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B6882" w14:textId="70C516AE" w:rsidR="00CE64DB" w:rsidRDefault="00CE64DB" w:rsidP="001150F4">
      <w:r w:rsidRPr="001D228D">
        <w:rPr>
          <w:sz w:val="28"/>
          <w:szCs w:val="28"/>
        </w:rPr>
        <w:t xml:space="preserve">WHY WE MEASURE WHAT, HOW, AND WHERE: </w:t>
      </w:r>
      <w:r w:rsidRPr="001D228D">
        <w:rPr>
          <w:sz w:val="28"/>
          <w:szCs w:val="28"/>
        </w:rPr>
        <w:br/>
      </w:r>
      <w:r w:rsidR="00E30D44">
        <w:t>M</w:t>
      </w:r>
      <w:r w:rsidR="00A650DA" w:rsidRPr="001D228D">
        <w:t>ethods for human thermal physiology experiments in built environment studies</w:t>
      </w:r>
    </w:p>
    <w:p w14:paraId="582FCB14" w14:textId="77777777" w:rsidR="00B95B4A" w:rsidRPr="00B95B4A" w:rsidRDefault="00B95B4A" w:rsidP="00B95B4A">
      <w:pPr>
        <w:rPr>
          <w:sz w:val="16"/>
          <w:szCs w:val="16"/>
        </w:rPr>
      </w:pPr>
      <w:r w:rsidRPr="00B95B4A">
        <w:rPr>
          <w:sz w:val="16"/>
          <w:szCs w:val="16"/>
        </w:rPr>
        <w:t>Version: v0.4 (2026-03-01)</w:t>
      </w:r>
    </w:p>
    <w:p w14:paraId="7C232F28" w14:textId="35729631" w:rsidR="00B95B4A" w:rsidRPr="00B95B4A" w:rsidRDefault="00B95B4A" w:rsidP="00B95B4A">
      <w:pPr>
        <w:pStyle w:val="Heading1"/>
        <w:rPr>
          <w:lang w:val="en-GB"/>
        </w:rPr>
      </w:pPr>
      <w:r w:rsidRPr="00B95B4A">
        <w:rPr>
          <w:lang w:val="en-GB"/>
        </w:rPr>
        <w:t>FOREWORD</w:t>
      </w:r>
    </w:p>
    <w:p w14:paraId="4310C253" w14:textId="77777777" w:rsidR="00B95B4A" w:rsidRDefault="00B95B4A" w:rsidP="00B95B4A">
      <w:pPr>
        <w:pStyle w:val="Heading2"/>
      </w:pPr>
      <w:r>
        <w:t>Background</w:t>
      </w:r>
    </w:p>
    <w:p w14:paraId="3D99EBDE" w14:textId="77777777" w:rsidR="00B95B4A" w:rsidRPr="001D228D" w:rsidRDefault="00B95B4A" w:rsidP="00B95B4A">
      <w:r w:rsidRPr="001D228D">
        <w:t>Physiological measurements provide evidence of how humans respond to thermal environments. A century-old field of thermophysiology offers very strong foundations in methodologies, however in building research not all of these are consistently adopted. This manuscript consolidates established knowledge from thermal physiology, environmental ergonomics, and chronobiology to clarify the rationale behind the variables most commonly used to character</w:t>
      </w:r>
      <w:r>
        <w:t>ise</w:t>
      </w:r>
      <w:r w:rsidRPr="001D228D">
        <w:t xml:space="preserve"> thermoregulatory function under sedentary and light-activity conditions. It currently outlines five commonly used signals; core body temperature, skin temperature, heart rate/heart-rate variability, blood pressure, and sweating/electrodermal activity. For each, the paper summar</w:t>
      </w:r>
      <w:r>
        <w:t>ise</w:t>
      </w:r>
      <w:r w:rsidRPr="001D228D">
        <w:t>s its mechanistic meaning (</w:t>
      </w:r>
      <w:r w:rsidRPr="001D228D">
        <w:rPr>
          <w:i/>
          <w:iCs/>
        </w:rPr>
        <w:t>why</w:t>
      </w:r>
      <w:r w:rsidRPr="001D228D">
        <w:t xml:space="preserve"> we measure it), commonly used measurement types (</w:t>
      </w:r>
      <w:r w:rsidRPr="001D228D">
        <w:rPr>
          <w:i/>
          <w:iCs/>
        </w:rPr>
        <w:t>how</w:t>
      </w:r>
      <w:r w:rsidRPr="001D228D">
        <w:t xml:space="preserve"> we measure it), typical body sites (</w:t>
      </w:r>
      <w:r w:rsidRPr="001D228D">
        <w:rPr>
          <w:i/>
          <w:iCs/>
        </w:rPr>
        <w:t>where</w:t>
      </w:r>
      <w:r w:rsidRPr="001D228D">
        <w:t xml:space="preserve"> we measure it), influencing factors, and data-handling conventions. The goal is to provide a systematic snapshot of the existing know-how, rather than document what the field currently is doing. By doing so, it aims to provide a shared foundation for more comparable, transparent, and physiologically grounded research on human thermal responses in buildings.</w:t>
      </w:r>
    </w:p>
    <w:p w14:paraId="3B9D0DE9" w14:textId="6B6A4093" w:rsidR="00B95B4A" w:rsidRDefault="00B95B4A" w:rsidP="00B95B4A">
      <w:pPr>
        <w:pStyle w:val="Heading2"/>
      </w:pPr>
      <w:r>
        <w:t xml:space="preserve">Framework </w:t>
      </w:r>
    </w:p>
    <w:p w14:paraId="171BF285" w14:textId="233EB425" w:rsidR="00B95B4A" w:rsidRPr="00B95B4A" w:rsidRDefault="00B95B4A" w:rsidP="00B95B4A">
      <w:pPr>
        <w:rPr>
          <w:lang w:val="en-US"/>
        </w:rPr>
      </w:pPr>
      <w:r>
        <w:rPr>
          <w:lang w:val="en-US"/>
        </w:rPr>
        <w:t>Lorem ipsum</w:t>
      </w:r>
    </w:p>
    <w:p w14:paraId="2E606765" w14:textId="77777777" w:rsidR="00B95B4A" w:rsidRPr="00B95B4A" w:rsidRDefault="00B95B4A" w:rsidP="00B95B4A">
      <w:pPr>
        <w:rPr>
          <w:lang w:val="en-US"/>
        </w:rPr>
      </w:pPr>
    </w:p>
    <w:p w14:paraId="4B208011" w14:textId="77777777" w:rsidR="00CE64DB" w:rsidRPr="001D228D" w:rsidRDefault="00CE64DB" w:rsidP="001150F4">
      <w:pPr>
        <w:pStyle w:val="Heading1"/>
        <w:rPr>
          <w:lang w:val="en-GB"/>
        </w:rPr>
      </w:pPr>
      <w:bookmarkStart w:id="0" w:name="_Toc211009201"/>
      <w:bookmarkStart w:id="1" w:name="_Toc223281661"/>
      <w:r w:rsidRPr="001D228D">
        <w:rPr>
          <w:lang w:val="en-GB"/>
        </w:rPr>
        <w:t>INTRODUCTION</w:t>
      </w:r>
      <w:bookmarkEnd w:id="0"/>
      <w:bookmarkEnd w:id="1"/>
    </w:p>
    <w:p w14:paraId="38DDEA23" w14:textId="76521387" w:rsidR="00CE64DB" w:rsidRPr="001D228D" w:rsidRDefault="00CE64DB" w:rsidP="001150F4">
      <w:bookmarkStart w:id="2" w:name="_Toc211009202"/>
      <w:r w:rsidRPr="001D228D">
        <w:t xml:space="preserve">Physiological measurements can be crucial to understanding how </w:t>
      </w:r>
      <w:r w:rsidR="005E14C0">
        <w:t>the thermal environment impacts human physiology, well-being, and, in</w:t>
      </w:r>
      <w:r w:rsidRPr="001D228D">
        <w:t xml:space="preserve"> the long term, health. In building and environmental design research, however, they are often used pragmatically; selected for convenience, familiarity, or sensor availability, rather than from a coherent physiological rationale. Meanwhile, closely related disciplines such as thermal physiology, environmental ergonomics, and chronobiology have developed precise conventions for assessing thermoregulatory function. These frameworks already describe </w:t>
      </w:r>
      <w:r w:rsidRPr="001D228D">
        <w:rPr>
          <w:rStyle w:val="Emphasis"/>
        </w:rPr>
        <w:t>what</w:t>
      </w:r>
      <w:r w:rsidRPr="001D228D">
        <w:t xml:space="preserve"> to measure, </w:t>
      </w:r>
      <w:r w:rsidRPr="001D228D">
        <w:rPr>
          <w:rStyle w:val="Emphasis"/>
        </w:rPr>
        <w:t>why</w:t>
      </w:r>
      <w:r w:rsidRPr="001D228D">
        <w:t xml:space="preserve"> it matters, and </w:t>
      </w:r>
      <w:r w:rsidRPr="001D228D">
        <w:rPr>
          <w:rStyle w:val="Emphasis"/>
        </w:rPr>
        <w:t>how</w:t>
      </w:r>
      <w:r w:rsidRPr="001D228D">
        <w:t xml:space="preserve"> to interpret it under defined experimental conditions.</w:t>
      </w:r>
    </w:p>
    <w:p w14:paraId="346C1203" w14:textId="77777777" w:rsidR="00CE64DB" w:rsidRPr="001D228D" w:rsidRDefault="00CE64DB" w:rsidP="001150F4">
      <w:r w:rsidRPr="001D228D">
        <w:t xml:space="preserve">The present paper revisits those established foundations with the aim of translating them into the context of built-environment research. Rather than documenting how studies are currently conducted, it asks how they </w:t>
      </w:r>
      <w:r w:rsidRPr="001D228D">
        <w:rPr>
          <w:rStyle w:val="Emphasis"/>
        </w:rPr>
        <w:t>could</w:t>
      </w:r>
      <w:r w:rsidRPr="001D228D">
        <w:t xml:space="preserve"> be structured if guided by shared physiological reasoning. The intent is to provide a reference that links measurement choices to underlying mechanisms, clarifies which contextual data are required for interpretation, and supports greater methodological consistency across building-scale experiments.</w:t>
      </w:r>
    </w:p>
    <w:p w14:paraId="30FBDA01" w14:textId="5A4577F1" w:rsidR="00CE64DB" w:rsidRPr="001D228D" w:rsidRDefault="00CE64DB" w:rsidP="001150F4">
      <w:r w:rsidRPr="001D228D">
        <w:t xml:space="preserve">Across laboratory and field studies, a small set of physiological variables is consistently used to represent thermoregulatory function. These include internal temperature, surface temperature, cardiovascular activity, sudomotor responses, and, where relevant, respiration and metabolic heat production </w:t>
      </w:r>
      <w:sdt>
        <w:sdtPr>
          <w:rPr>
            <w:color w:val="000000"/>
          </w:rPr>
          <w:tag w:val="MENDELEY_CITATION_v3_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
          <w:id w:val="-1794050038"/>
          <w:placeholder>
            <w:docPart w:val="DefaultPlaceholder_-1854013440"/>
          </w:placeholder>
        </w:sdtPr>
        <w:sdtContent>
          <w:r w:rsidR="00B43409" w:rsidRPr="00B43409">
            <w:rPr>
              <w:color w:val="000000"/>
            </w:rPr>
            <w:t>[1–3]</w:t>
          </w:r>
        </w:sdtContent>
      </w:sdt>
      <w:r w:rsidRPr="001D228D">
        <w:t xml:space="preserve">. Together, these signals offer complementary views of heat storage, heat transfer, and heat dissipation, and they can be obtained with established sensor technologies suitable for both controlled and applied protocols </w:t>
      </w:r>
      <w:sdt>
        <w:sdtPr>
          <w:rPr>
            <w:color w:val="000000"/>
          </w:rPr>
          <w:tag w:val="MENDELEY_CITATION_v3_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1dfQ=="/>
          <w:id w:val="-514855114"/>
          <w:placeholder>
            <w:docPart w:val="DefaultPlaceholder_-1854013440"/>
          </w:placeholder>
        </w:sdtPr>
        <w:sdtContent>
          <w:r w:rsidR="00B43409" w:rsidRPr="00B43409">
            <w:rPr>
              <w:color w:val="000000"/>
            </w:rPr>
            <w:t>[1,4]</w:t>
          </w:r>
        </w:sdtContent>
      </w:sdt>
      <w:r w:rsidRPr="001D228D">
        <w:t>.</w:t>
      </w:r>
    </w:p>
    <w:p w14:paraId="48E714D5" w14:textId="31A6482C" w:rsidR="00CE64DB" w:rsidRPr="001D228D" w:rsidRDefault="00CE64DB" w:rsidP="001150F4">
      <w:r w:rsidRPr="001D228D">
        <w:t xml:space="preserve">Although thermoregulation is multi-systemic, a small set of representative indicators is widely used because it captures key processes with acceptable burden and reliability. Core body temperature reflects internal heat storage and overall thermal strain </w:t>
      </w:r>
      <w:sdt>
        <w:sdtPr>
          <w:rPr>
            <w:color w:val="000000"/>
          </w:rPr>
          <w:tag w:val="MENDELEY_CITATION_v3_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
          <w:id w:val="26921889"/>
          <w:placeholder>
            <w:docPart w:val="DefaultPlaceholder_-1854013440"/>
          </w:placeholder>
        </w:sdtPr>
        <w:sdtContent>
          <w:r w:rsidR="00B43409" w:rsidRPr="00B43409">
            <w:rPr>
              <w:color w:val="000000"/>
            </w:rPr>
            <w:t>[5,6]</w:t>
          </w:r>
        </w:sdtContent>
      </w:sdt>
      <w:r w:rsidRPr="001D228D">
        <w:t xml:space="preserve">. Skin temperature describes peripheral heat exchange at the body–environment interface and is closely associated with thermal sensation and comfort reports </w:t>
      </w:r>
      <w:sdt>
        <w:sdtPr>
          <w:rPr>
            <w:color w:val="000000"/>
          </w:rPr>
          <w:tag w:val="MENDELEY_CITATION_v3_eyJjaXRhdGlvbklEIjoiTUVOREVMRVlfQ0lUQVRJT05fYmRmMzFkOTItZDJkYS00ZGQ4LWFlYmMtZTA0ZGZjOTY5MTFmIiwicHJvcGVydGllcyI6eyJub3RlSW5kZXgiOjB9LCJpc0VkaXRlZCI6ZmFsc2UsIm1hbnVhbE92ZXJyaWRlIjp7ImNpdGVwcm9jVGV4dCI6Ils0LDcsOF0iLCJpc01hbnVhbGx5T3ZlcnJpZGRlbiI6ZmFsc2UsIm1hbnVhbE92ZXJyaWRlVGV4dCI6IiJ9LCJjaXRhdGlvbkl0ZW1zIjpb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"/>
          <w:id w:val="2081566040"/>
          <w:placeholder>
            <w:docPart w:val="DefaultPlaceholder_-1854013440"/>
          </w:placeholder>
        </w:sdtPr>
        <w:sdtContent>
          <w:r w:rsidR="00B43409" w:rsidRPr="00B43409">
            <w:rPr>
              <w:color w:val="000000"/>
            </w:rPr>
            <w:t>[4,7,8]</w:t>
          </w:r>
        </w:sdtContent>
      </w:sdt>
      <w:r w:rsidRPr="001D228D">
        <w:t xml:space="preserve">. Heart rate and heart rate variability index autonomic cardiovascular adjustments that support thermal balance and can indicate the stability of physiological regulation under load </w:t>
      </w:r>
      <w:sdt>
        <w:sdtPr>
          <w:rPr>
            <w:color w:val="000000"/>
          </w:rPr>
          <w:tag w:val="MENDELEY_CITATION_v3_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"/>
          <w:id w:val="-1259130157"/>
          <w:placeholder>
            <w:docPart w:val="DefaultPlaceholder_-1854013440"/>
          </w:placeholder>
        </w:sdtPr>
        <w:sdtContent>
          <w:r w:rsidR="00B43409" w:rsidRPr="00B43409">
            <w:rPr>
              <w:color w:val="000000"/>
            </w:rPr>
            <w:t>[9]</w:t>
          </w:r>
        </w:sdtContent>
      </w:sdt>
      <w:r w:rsidRPr="001D228D">
        <w:t xml:space="preserve">. Measures of sweating, skin moisture, or electrodermal activity reflect sudomotor activation and the potential for evaporative heat loss </w:t>
      </w:r>
      <w:sdt>
        <w:sdtPr>
          <w:rPr>
            <w:color w:val="000000"/>
          </w:rPr>
          <w:tag w:val="MENDELEY_CITATION_v3_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lMWIyMDFiYS1iNWJiLTVkN2UtYjNkMC01ZjI4MGY0ODUxNmMiLCJpdGVtRGF0YSI6eyJET0kiOiIxMC4xMTUyL2phcHBsLjE5NzEuMzEuNi44MjgiLCJJU1NOIjoiODc1MC03NTg3IiwiUE1JRCI6IjUxMjM2NTk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"/>
          <w:id w:val="1694113324"/>
          <w:placeholder>
            <w:docPart w:val="DefaultPlaceholder_-1854013440"/>
          </w:placeholder>
        </w:sdtPr>
        <w:sdtContent>
          <w:r w:rsidR="00B43409" w:rsidRPr="00B43409">
            <w:rPr>
              <w:color w:val="000000"/>
            </w:rPr>
            <w:t>[10–13]</w:t>
          </w:r>
        </w:sdtContent>
      </w:sdt>
      <w:r w:rsidRPr="001D228D">
        <w:t>. These variables are not redundant; each contributes a distinct but complementary perspective on the same thermoregulatory episode.</w:t>
      </w:r>
    </w:p>
    <w:p w14:paraId="6416F942" w14:textId="77777777" w:rsidR="00CE64DB" w:rsidRPr="001D228D" w:rsidRDefault="00CE64DB" w:rsidP="001150F4">
      <w:r w:rsidRPr="001D228D">
        <w:lastRenderedPageBreak/>
        <w:t>This paper therefore serves three aims: (i) to summar</w:t>
      </w:r>
      <w:r>
        <w:t>ise</w:t>
      </w:r>
      <w:r w:rsidRPr="001D228D">
        <w:t xml:space="preserve"> the physiological meaning and standard measurement approaches of each variable; (ii) to identify participant, environmental, and procedural factors that modify these signals and should be documented for proper interpretation; and (iii) to outline common preprocessing and feature-extraction steps that enable comparability between studies. The purpose is not to prescribe new standards, but to re-articulate the established physiological basis of these measures within the methodological reality of building research.</w:t>
      </w:r>
    </w:p>
    <w:p w14:paraId="6065368F" w14:textId="77777777" w:rsidR="00CE64DB" w:rsidRPr="001D228D" w:rsidRDefault="00CE64DB" w:rsidP="001150F4">
      <w:r w:rsidRPr="001D228D">
        <w:t>The scope focuses on healthy adults under sedentary or light-activity conditions typical of buildings and similar environments. Evidence from exercise, clinical, and chronobiological studies is referenced where it clarifies mechanisms that also govern resting or mild-activity thermoregulation. Each section translates these mechanisms into practical guidance for experimental design for the experiments for the built environment; emphasizing how choices in sensor type, body site, timing, and data treatment shape the resulting signal.</w:t>
      </w:r>
    </w:p>
    <w:p w14:paraId="25EB0722" w14:textId="77777777" w:rsidR="00CE64DB" w:rsidRPr="001D228D" w:rsidRDefault="00CE64DB" w:rsidP="001150F4">
      <w:r w:rsidRPr="001D228D">
        <w:t>Finally, because thermoregulation is inherently multi-systemic, many studies interpret it through several concurrent variables. A synthesis section therefore outlines how these indicators can be combined to describe the same physiological episode from complementary perspectives. The remainder of the paper is organ</w:t>
      </w:r>
      <w:r>
        <w:t>ise</w:t>
      </w:r>
      <w:r w:rsidRPr="001D228D">
        <w:t>d as follows: Section 2 presents, for each physiological signal, its mechanistic meaning (</w:t>
      </w:r>
      <w:r w:rsidRPr="001D228D">
        <w:rPr>
          <w:i/>
          <w:iCs/>
        </w:rPr>
        <w:t>why</w:t>
      </w:r>
      <w:r w:rsidRPr="001D228D">
        <w:t>), sensor options (</w:t>
      </w:r>
      <w:r w:rsidRPr="001D228D">
        <w:rPr>
          <w:i/>
          <w:iCs/>
        </w:rPr>
        <w:t>how</w:t>
      </w:r>
      <w:r w:rsidRPr="001D228D">
        <w:t>), and typical body sites (</w:t>
      </w:r>
      <w:r w:rsidRPr="001D228D">
        <w:rPr>
          <w:i/>
          <w:iCs/>
        </w:rPr>
        <w:t>where</w:t>
      </w:r>
      <w:r w:rsidRPr="001D228D">
        <w:t>), along with relevant modifiers and data-handling practices. Section 3 summar</w:t>
      </w:r>
      <w:r>
        <w:t>ise</w:t>
      </w:r>
      <w:r w:rsidRPr="001D228D">
        <w:t xml:space="preserve">s common composite metrics and interpretive frameworks, and Section 4 discusses implications for documentation and comparability across research domains. </w:t>
      </w:r>
    </w:p>
    <w:p w14:paraId="447D6E81" w14:textId="77777777" w:rsidR="00CE64DB" w:rsidRPr="001D228D" w:rsidRDefault="00CE64DB" w:rsidP="001150F4">
      <w:pPr>
        <w:pStyle w:val="Heading1"/>
        <w:rPr>
          <w:lang w:val="en-GB"/>
        </w:rPr>
      </w:pPr>
      <w:bookmarkStart w:id="3" w:name="_Ref213766771"/>
      <w:bookmarkStart w:id="4" w:name="_Toc223281662"/>
      <w:r w:rsidRPr="001D228D">
        <w:rPr>
          <w:lang w:val="en-GB"/>
        </w:rPr>
        <w:t>PHYSIOLOGICAL SIGNALS</w:t>
      </w:r>
      <w:bookmarkEnd w:id="2"/>
      <w:bookmarkEnd w:id="3"/>
      <w:bookmarkEnd w:id="4"/>
    </w:p>
    <w:p w14:paraId="1B052BD3" w14:textId="77777777" w:rsidR="00CE64DB" w:rsidRPr="001D228D" w:rsidRDefault="00CE64DB" w:rsidP="001150F4">
      <w:r w:rsidRPr="001D228D">
        <w:t xml:space="preserve">This chapter provides reference material for the physiological variables most relevant to thermal-environment studies. Each subsection follows a consistent structure: it explains the physiological mechanism represented by the signal, </w:t>
      </w:r>
      <w:r>
        <w:t>summarises</w:t>
      </w:r>
      <w:r w:rsidRPr="001D228D">
        <w:t xml:space="preserve"> typical sensor technologies and body sites, identifies known modifiers and confounders, and lists standard preprocessing or feature-extraction methods. The focus is on variables that together describe the main components of thermoregulation, internal heat storage, peripheral heat exchange, cardiovascular adjustment, and evaporative control – mainly for </w:t>
      </w:r>
      <w:r>
        <w:t xml:space="preserve">the </w:t>
      </w:r>
      <w:r w:rsidRPr="001D228D">
        <w:t>adult population under sedentary/light-activity conditions. The intent is not to introduce new measures but to assemble, in one place, the methodological knowledge required for transparent and physiologically grounded experimentation in the built environment.</w:t>
      </w:r>
    </w:p>
    <w:p w14:paraId="306EF2C7" w14:textId="77777777" w:rsidR="00CE64DB" w:rsidRPr="001D228D" w:rsidRDefault="00CE64DB" w:rsidP="007A2440">
      <w:pPr>
        <w:pStyle w:val="Heading2"/>
        <w:rPr>
          <w:lang w:val="en-GB"/>
        </w:rPr>
      </w:pPr>
      <w:bookmarkStart w:id="5" w:name="_Toc211009203"/>
      <w:bookmarkStart w:id="6" w:name="_Toc223281663"/>
      <w:r w:rsidRPr="001D228D">
        <w:rPr>
          <w:lang w:val="en-GB"/>
        </w:rPr>
        <w:t>Core body temperature</w:t>
      </w:r>
      <w:bookmarkEnd w:id="5"/>
      <w:bookmarkEnd w:id="6"/>
    </w:p>
    <w:p w14:paraId="2B648DD1" w14:textId="77777777" w:rsidR="00CE64DB" w:rsidRPr="001D228D" w:rsidRDefault="00CE64DB" w:rsidP="007A2440">
      <w:pPr>
        <w:pStyle w:val="Heading3"/>
        <w:rPr>
          <w:lang w:val="en-GB"/>
        </w:rPr>
      </w:pPr>
      <w:bookmarkStart w:id="7" w:name="_Toc211009204"/>
      <w:bookmarkStart w:id="8" w:name="_Toc223281664"/>
      <w:r w:rsidRPr="001D228D">
        <w:rPr>
          <w:lang w:val="en-GB"/>
        </w:rPr>
        <w:t>Why: the mechanistic reasons behind the measurement</w:t>
      </w:r>
      <w:bookmarkEnd w:id="7"/>
      <w:bookmarkEnd w:id="8"/>
    </w:p>
    <w:p w14:paraId="4BA15661" w14:textId="3BEE3153" w:rsidR="00CE64DB" w:rsidRPr="001D228D" w:rsidRDefault="00CE64DB" w:rsidP="001150F4">
      <w:r w:rsidRPr="001D228D">
        <w:t xml:space="preserve">Core body temperature (CBT) represents the most direct indicator of whole-body heat storage and internal thermal strain. It integrates metabolic heat production with convective, radiative, evaporative, and conductive losses, reflecting the net balance of the body’s thermal budget </w:t>
      </w:r>
      <w:sdt>
        <w:sdtPr>
          <w:rPr>
            <w:color w:val="000000"/>
          </w:rPr>
          <w:tag w:val="MENDELEY_CITATION_v3_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"/>
          <w:id w:val="-1095931097"/>
          <w:placeholder>
            <w:docPart w:val="DefaultPlaceholder_-1854013440"/>
          </w:placeholder>
        </w:sdtPr>
        <w:sdtContent>
          <w:r w:rsidR="00B43409" w:rsidRPr="00B43409">
            <w:rPr>
              <w:color w:val="000000"/>
            </w:rPr>
            <w:t>[14]</w:t>
          </w:r>
        </w:sdtContent>
      </w:sdt>
      <w:r w:rsidRPr="001D228D">
        <w:t xml:space="preserve">. Even small CBT deviations can alter cardiovascular efficiency, neural conductivity, and endocrine </w:t>
      </w:r>
      <w:r>
        <w:t>signalling</w:t>
      </w:r>
      <w:r w:rsidRPr="001D228D">
        <w:t xml:space="preserve"> </w:t>
      </w:r>
      <w:sdt>
        <w:sdtPr>
          <w:rPr>
            <w:color w:val="000000"/>
          </w:rPr>
          <w:tag w:val="MENDELEY_CITATION_v3_eyJjaXRhdGlvbklEIjoiTUVOREVMRVlfQ0lUQVRJT05fZmM1OTk2NGMtMTk5ZS00NGZlLWExNDUtNzBkYzkxMjI2YWIzIiwicHJvcGVydGllcyI6eyJub3RlSW5kZXgiOjB9LCJpc0VkaXRlZCI6ZmFsc2UsIm1hbnVhbE92ZXJyaWRlIjp7ImNpdGVwcm9jVGV4dCI6Ils2XSIsImlzTWFudWFsbHlPdmVycmlkZGVuIjpmYWxzZSwibWFudWFsT3ZlcnJpZGVUZXh0IjoiIn0sImNpdGF0aW9uSXRlbXMiOlt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
          <w:id w:val="1537233805"/>
          <w:placeholder>
            <w:docPart w:val="DefaultPlaceholder_-1854013440"/>
          </w:placeholder>
        </w:sdtPr>
        <w:sdtContent>
          <w:r w:rsidR="00B43409" w:rsidRPr="00B43409">
            <w:rPr>
              <w:color w:val="000000"/>
            </w:rPr>
            <w:t>[6]</w:t>
          </w:r>
        </w:sdtContent>
      </w:sdt>
      <w:r w:rsidRPr="001D228D">
        <w:t>.</w:t>
      </w:r>
    </w:p>
    <w:p w14:paraId="077B9DB6" w14:textId="541557D3" w:rsidR="00CE64DB" w:rsidRPr="001D228D" w:rsidRDefault="00CE64DB" w:rsidP="001150F4">
      <w:r w:rsidRPr="001D228D">
        <w:t xml:space="preserve">Unlike skin temperature, which tracks environmental exchanges, CBT is actively defended near 36.5–37.5 °C in healthy adults through hypothalamic thermoregulatory circuits combining feedback and feed-forward control of vasomotion, sweating, and metabolic heat production </w:t>
      </w:r>
      <w:sdt>
        <w:sdtPr>
          <w:rPr>
            <w:color w:val="000000"/>
          </w:rPr>
          <w:tag w:val="MENDELEY_CITATION_v3_eyJjaXRhdGlvbklEIjoiTUVOREVMRVlfQ0lUQVRJT05fN2M1N2FmY2QtODE2Yy00YjE0LWFmYjUtZmUyZjc3MDYyNjE0IiwicHJvcGVydGllcyI6eyJub3RlSW5kZXgiOjB9LCJpc0VkaXRlZCI6ZmFsc2UsIm1hbnVhbE92ZXJyaWRlIjp7ImNpdGVwcm9jVGV4dCI6IlsxNSwxNl0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"/>
          <w:id w:val="-2028007597"/>
          <w:placeholder>
            <w:docPart w:val="DefaultPlaceholder_-1854013440"/>
          </w:placeholder>
        </w:sdtPr>
        <w:sdtContent>
          <w:r w:rsidR="00B43409" w:rsidRPr="00B43409">
            <w:rPr>
              <w:color w:val="000000"/>
            </w:rPr>
            <w:t>[15,16]</w:t>
          </w:r>
        </w:sdtContent>
      </w:sdt>
      <w:r w:rsidRPr="001D228D">
        <w:t xml:space="preserve">. During passive heat exposure, CBT increases linearly with cumulative heat storage and blood redistribution, serving as the primary input for effector activation thresholds </w:t>
      </w:r>
    </w:p>
    <w:p w14:paraId="2C5DF3C2" w14:textId="173C7D35" w:rsidR="00CE64DB" w:rsidRPr="001D228D" w:rsidRDefault="00CE64DB" w:rsidP="001150F4">
      <w:r w:rsidRPr="001D228D">
        <w:t xml:space="preserve">Because subjective thermal comfort or sensation can diverge from physiological strain, continuous CBT monitoring provides a quantitative index of thermal load, safety limits, and adaptation potential. Sustained CBT elevations ≥ 38.0–38.5 °C denote excessive physiological strain in occupational and environmental contexts </w:t>
      </w:r>
      <w:sdt>
        <w:sdtPr>
          <w:rPr>
            <w:color w:val="000000"/>
          </w:rPr>
          <w:tag w:val="MENDELEY_CITATION_v3_eyJjaXRhdGlvbklEIjoiTUVOREVMRVlfQ0lUQVRJT05fNTk5ZjY2NTUtMzYzOS00NDZjLWIyMTYtOGNlZjkzMmI1OWVi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1944908411"/>
          <w:placeholder>
            <w:docPart w:val="DefaultPlaceholder_-1854013440"/>
          </w:placeholder>
        </w:sdtPr>
        <w:sdtContent>
          <w:r w:rsidR="00B43409" w:rsidRPr="00B43409">
            <w:rPr>
              <w:color w:val="000000"/>
            </w:rPr>
            <w:t>[3]</w:t>
          </w:r>
        </w:sdtContent>
      </w:sdt>
      <w:r w:rsidRPr="001D228D">
        <w:t xml:space="preserve">, whereas levels ≥ 40.0–40.5 °C accompanied by central nervous system dysfunction define exertional heat stroke </w:t>
      </w:r>
      <w:sdt>
        <w:sdtPr>
          <w:rPr>
            <w:color w:val="000000"/>
          </w:rPr>
          <w:tag w:val="MENDELEY_CITATION_v3_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"/>
          <w:id w:val="1236203980"/>
          <w:placeholder>
            <w:docPart w:val="DefaultPlaceholder_-1854013440"/>
          </w:placeholder>
        </w:sdtPr>
        <w:sdtContent>
          <w:r w:rsidR="00B43409" w:rsidRPr="00B43409">
            <w:rPr>
              <w:color w:val="000000"/>
            </w:rPr>
            <w:t>[17]</w:t>
          </w:r>
        </w:sdtContent>
      </w:sdt>
      <w:r w:rsidRPr="001D228D">
        <w:t>.</w:t>
      </w:r>
    </w:p>
    <w:p w14:paraId="2B5D2C80" w14:textId="77777777" w:rsidR="00CE64DB" w:rsidRPr="001D228D" w:rsidRDefault="00CE64DB" w:rsidP="007A2440">
      <w:pPr>
        <w:pStyle w:val="Heading3"/>
        <w:rPr>
          <w:lang w:val="en-GB"/>
        </w:rPr>
      </w:pPr>
      <w:bookmarkStart w:id="9" w:name="_Toc211009205"/>
      <w:bookmarkStart w:id="10" w:name="_Toc223281665"/>
      <w:r w:rsidRPr="001D228D">
        <w:rPr>
          <w:lang w:val="en-GB"/>
        </w:rPr>
        <w:t>How: sensor types for measurement</w:t>
      </w:r>
      <w:bookmarkEnd w:id="9"/>
      <w:bookmarkEnd w:id="10"/>
      <w:r w:rsidRPr="001D228D">
        <w:rPr>
          <w:lang w:val="en-GB"/>
        </w:rPr>
        <w:t xml:space="preserve"> </w:t>
      </w:r>
    </w:p>
    <w:p w14:paraId="3080E7DE" w14:textId="77777777" w:rsidR="00CE64DB" w:rsidRPr="001D228D" w:rsidRDefault="00CE64DB" w:rsidP="001150F4">
      <w:bookmarkStart w:id="11" w:name="_Toc211009206"/>
      <w:r w:rsidRPr="001D228D">
        <w:t xml:space="preserve">A variety of sensors and techniques are used to estimate CBT, differing in anatomical site, thermal response time, invasiveness, and susceptibility to environmental error. Sensor types include thermal probes and thermocouples (measuring conductive heat transfer), infrared thermometers (radiative detection), thermistors with telemetry capability, and heat-flux capacitors (inferring deep temperature from surface gradients). </w:t>
      </w:r>
    </w:p>
    <w:p w14:paraId="5C4C006B" w14:textId="77777777" w:rsidR="00CE64DB" w:rsidRPr="001D228D" w:rsidRDefault="00CE64DB" w:rsidP="007A2440">
      <w:pPr>
        <w:pStyle w:val="Heading3"/>
        <w:rPr>
          <w:lang w:val="en-GB"/>
        </w:rPr>
      </w:pPr>
      <w:bookmarkStart w:id="12" w:name="_Toc223281666"/>
      <w:r w:rsidRPr="001D228D">
        <w:rPr>
          <w:lang w:val="en-GB"/>
        </w:rPr>
        <w:lastRenderedPageBreak/>
        <w:t>Where: body sites of measurement</w:t>
      </w:r>
      <w:bookmarkEnd w:id="11"/>
      <w:bookmarkEnd w:id="12"/>
    </w:p>
    <w:p w14:paraId="6AB901BA" w14:textId="65278697" w:rsidR="00CE64DB" w:rsidRPr="001D228D" w:rsidRDefault="00CE64DB" w:rsidP="001150F4">
      <w:r w:rsidRPr="001D228D">
        <w:rPr>
          <w:rStyle w:val="Strong"/>
        </w:rPr>
        <w:t xml:space="preserve">Rectal thermometry. </w:t>
      </w:r>
      <w:r w:rsidRPr="001D228D">
        <w:t xml:space="preserve">Flexible thermistor probes inserted approximately 10–15 cm beyond the anal sphincter remain a laboratory reference. Insertion to near 15 cm </w:t>
      </w:r>
      <w:r>
        <w:t>minimises</w:t>
      </w:r>
      <w:r w:rsidRPr="001D228D">
        <w:t xml:space="preserve"> local gradient error and improves reproducibility </w:t>
      </w:r>
      <w:sdt>
        <w:sdtPr>
          <w:rPr>
            <w:color w:val="000000"/>
          </w:rPr>
          <w:tag w:val="MENDELEY_CITATION_v3_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"/>
          <w:id w:val="-1726519703"/>
          <w:placeholder>
            <w:docPart w:val="DefaultPlaceholder_-1854013440"/>
          </w:placeholder>
        </w:sdtPr>
        <w:sdtContent>
          <w:r w:rsidR="00B43409" w:rsidRPr="00B43409">
            <w:rPr>
              <w:color w:val="000000"/>
            </w:rPr>
            <w:t>[18]</w:t>
          </w:r>
        </w:sdtContent>
      </w:sdt>
      <w:r w:rsidRPr="001D228D">
        <w:t xml:space="preserve">. Rectal probes typically respond within 10–30 s and exhibit an accuracy of ±0.1 °C under quasi-steady conditions </w:t>
      </w:r>
      <w:sdt>
        <w:sdtPr>
          <w:rPr>
            <w:color w:val="000000"/>
          </w:rPr>
          <w:tag w:val="MENDELEY_CITATION_v3_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"/>
          <w:id w:val="-259368827"/>
          <w:placeholder>
            <w:docPart w:val="DefaultPlaceholder_-1854013440"/>
          </w:placeholder>
        </w:sdtPr>
        <w:sdtContent>
          <w:r w:rsidR="00B43409" w:rsidRPr="00B43409">
            <w:rPr>
              <w:color w:val="000000"/>
            </w:rPr>
            <w:t>[19]</w:t>
          </w:r>
        </w:sdtContent>
      </w:sdt>
      <w:r w:rsidRPr="001D228D">
        <w:t xml:space="preserve">. Because of the surrounding tissue’s thermal inertia, rectal temperature lags rapid internal shifts by 5–15 min, providing a time-integrated estimate of core heat content </w:t>
      </w:r>
      <w:sdt>
        <w:sdtPr>
          <w:rPr>
            <w:color w:val="000000"/>
          </w:rPr>
          <w:tag w:val="MENDELEY_CITATION_v3_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"/>
          <w:id w:val="-807554515"/>
          <w:placeholder>
            <w:docPart w:val="DefaultPlaceholder_-1854013440"/>
          </w:placeholder>
        </w:sdtPr>
        <w:sdtContent>
          <w:r w:rsidR="00B43409" w:rsidRPr="00B43409">
            <w:rPr>
              <w:color w:val="000000"/>
            </w:rPr>
            <w:t>[20]</w:t>
          </w:r>
        </w:sdtContent>
      </w:sdt>
      <w:r w:rsidRPr="001D228D">
        <w:t>.</w:t>
      </w:r>
    </w:p>
    <w:p w14:paraId="56843C3F" w14:textId="3F5F5D0C" w:rsidR="00CE64DB" w:rsidRPr="001D228D" w:rsidRDefault="00CE64DB" w:rsidP="001150F4">
      <w:r>
        <w:rPr>
          <w:rStyle w:val="Strong"/>
        </w:rPr>
        <w:t>Oesophageal</w:t>
      </w:r>
      <w:r w:rsidRPr="001D228D">
        <w:rPr>
          <w:rStyle w:val="Strong"/>
        </w:rPr>
        <w:t xml:space="preserve"> thermometry. </w:t>
      </w:r>
      <w:r w:rsidRPr="001D228D">
        <w:t xml:space="preserve">A lubricated thermistor or thermocouple is advanced ~35–45 cm through the nostril into the lower </w:t>
      </w:r>
      <w:r>
        <w:t>oesophagus</w:t>
      </w:r>
      <w:r w:rsidRPr="001D228D">
        <w:t xml:space="preserve">, aligning with central blood temperature </w:t>
      </w:r>
      <w:sdt>
        <w:sdtPr>
          <w:rPr>
            <w:color w:val="000000"/>
          </w:rPr>
          <w:tag w:val="MENDELEY_CITATION_v3_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"/>
          <w:id w:val="-1418866359"/>
          <w:placeholder>
            <w:docPart w:val="DefaultPlaceholder_-1854013440"/>
          </w:placeholder>
        </w:sdtPr>
        <w:sdtContent>
          <w:r w:rsidR="00B43409" w:rsidRPr="00B43409">
            <w:rPr>
              <w:color w:val="000000"/>
            </w:rPr>
            <w:t>[21]</w:t>
          </w:r>
        </w:sdtContent>
      </w:sdt>
      <w:r w:rsidRPr="001D228D">
        <w:t xml:space="preserve">. Because of its proximity to large vessels, the </w:t>
      </w:r>
      <w:r>
        <w:t>oesophageal</w:t>
      </w:r>
      <w:r w:rsidRPr="001D228D">
        <w:t xml:space="preserve"> probe captures rapid changes in core blood temperature within ~10 s </w:t>
      </w:r>
      <w:sdt>
        <w:sdtPr>
          <w:rPr>
            <w:color w:val="000000"/>
          </w:rPr>
          <w:tag w:val="MENDELEY_CITATION_v3_eyJjaXRhdGlvbklEIjoiTUVOREVMRVlfQ0lUQVRJT05fZmE3OWY3MWQtYzc5ZS00NGVlLTkwODQtNmNhNmRiODk0ODAwIiwicHJvcGVydGllcyI6eyJub3RlSW5kZXgiOjB9LCJpc0VkaXRlZCI6ZmFsc2UsIm1hbnVhbE92ZXJyaWRlIjp7ImNpdGVwcm9jVGV4dCI6IlsyMl0iLCJpc01hbnVhbGx5T3ZlcnJpZGRlbiI6ZmFsc2UsIm1hbnVhbE92ZXJyaWRlVGV4dCI6IiJ9LCJjaXRhdGlvbkl0ZW1zIjpb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XX0="/>
          <w:id w:val="-1462101573"/>
          <w:placeholder>
            <w:docPart w:val="DefaultPlaceholder_-1854013440"/>
          </w:placeholder>
        </w:sdtPr>
        <w:sdtContent>
          <w:r w:rsidR="00B43409" w:rsidRPr="00B43409">
            <w:rPr>
              <w:color w:val="000000"/>
            </w:rPr>
            <w:t>[22]</w:t>
          </w:r>
        </w:sdtContent>
      </w:sdt>
      <w:r w:rsidRPr="001D228D">
        <w:t>, and leads rectal measurements during both heating and cooling phases. Tolerance issues, probe displacement, and discomfort limit its use to short-term laboratory protocols.</w:t>
      </w:r>
    </w:p>
    <w:p w14:paraId="2A082A82" w14:textId="465B32E4" w:rsidR="00CE64DB" w:rsidRPr="001D228D" w:rsidRDefault="00CE64DB" w:rsidP="001150F4">
      <w:r w:rsidRPr="001D228D">
        <w:rPr>
          <w:rStyle w:val="Strong"/>
        </w:rPr>
        <w:t xml:space="preserve">Gastrointestinal telemetry pills. </w:t>
      </w:r>
      <w:r w:rsidRPr="001D228D">
        <w:t xml:space="preserve">Ingestible capsules containing a precision thermistor and radio transmitter provide wireless measurements at 1–4 Hz sampling. Under controlled conditions, accuracy is ±0.1 °C </w:t>
      </w:r>
      <w:sdt>
        <w:sdtPr>
          <w:rPr>
            <w:color w:val="000000"/>
          </w:rPr>
          <w:tag w:val="MENDELEY_CITATION_v3_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"/>
          <w:id w:val="1784453352"/>
          <w:placeholder>
            <w:docPart w:val="DefaultPlaceholder_-1854013440"/>
          </w:placeholder>
        </w:sdtPr>
        <w:sdtContent>
          <w:r w:rsidR="00B43409" w:rsidRPr="00B43409">
            <w:rPr>
              <w:color w:val="000000"/>
            </w:rPr>
            <w:t>[23]</w:t>
          </w:r>
        </w:sdtContent>
      </w:sdt>
      <w:r w:rsidRPr="001D228D">
        <w:t xml:space="preserve">. Transit time through the stomach and small intestine varies between 12 and 72 h, and measurements become invalid once the capsule enters the colon, typically marked by an abrupt temperature drop </w:t>
      </w:r>
      <w:sdt>
        <w:sdtPr>
          <w:rPr>
            <w:color w:val="000000"/>
          </w:rPr>
          <w:tag w:val="MENDELEY_CITATION_v3_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"/>
          <w:id w:val="7717238"/>
          <w:placeholder>
            <w:docPart w:val="DefaultPlaceholder_-1854013440"/>
          </w:placeholder>
        </w:sdtPr>
        <w:sdtContent>
          <w:r w:rsidR="00B43409" w:rsidRPr="00B43409">
            <w:rPr>
              <w:color w:val="000000"/>
            </w:rPr>
            <w:t>[24]</w:t>
          </w:r>
        </w:sdtContent>
      </w:sdt>
      <w:r w:rsidRPr="001D228D">
        <w:t xml:space="preserve">. Telemetry pills display intermediate dynamics, slower than </w:t>
      </w:r>
      <w:r>
        <w:t>oesophageal</w:t>
      </w:r>
      <w:r w:rsidRPr="001D228D">
        <w:t xml:space="preserve"> but faster than rectal responses </w:t>
      </w:r>
      <w:sdt>
        <w:sdtPr>
          <w:rPr>
            <w:color w:val="000000"/>
          </w:rPr>
          <w:tag w:val="MENDELEY_CITATION_v3_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"/>
          <w:id w:val="2036914801"/>
          <w:placeholder>
            <w:docPart w:val="DefaultPlaceholder_-1854013440"/>
          </w:placeholder>
        </w:sdtPr>
        <w:sdtContent>
          <w:r w:rsidR="00B43409" w:rsidRPr="00B43409">
            <w:rPr>
              <w:color w:val="000000"/>
            </w:rPr>
            <w:t>[23]</w:t>
          </w:r>
        </w:sdtContent>
      </w:sdt>
      <w:r w:rsidRPr="001D228D">
        <w:t>.</w:t>
      </w:r>
    </w:p>
    <w:p w14:paraId="16538D1A" w14:textId="117D6ADA" w:rsidR="00CE64DB" w:rsidRPr="001D228D" w:rsidRDefault="00CE64DB" w:rsidP="001150F4">
      <w:r w:rsidRPr="001D228D">
        <w:rPr>
          <w:rStyle w:val="Strong"/>
        </w:rPr>
        <w:t xml:space="preserve">Tympanic thermometry. </w:t>
      </w:r>
      <w:r w:rsidRPr="001D228D">
        <w:t xml:space="preserve">Infrared tympanic devices estimate CBT from radiation emitted by the tympanic membrane, assuming equilibrium with carotid arterial blood. Accuracy depends strongly on probe orientation, ear-canal anatomy, and the absence of airflow or obstruction </w:t>
      </w:r>
      <w:sdt>
        <w:sdtPr>
          <w:rPr>
            <w:color w:val="000000"/>
          </w:rPr>
          <w:tag w:val="MENDELEY_CITATION_v3_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"/>
          <w:id w:val="1853605700"/>
          <w:placeholder>
            <w:docPart w:val="DefaultPlaceholder_-1854013440"/>
          </w:placeholder>
        </w:sdtPr>
        <w:sdtContent>
          <w:r w:rsidR="00B43409" w:rsidRPr="00B43409">
            <w:rPr>
              <w:color w:val="000000"/>
            </w:rPr>
            <w:t>[25]</w:t>
          </w:r>
        </w:sdtContent>
      </w:sdt>
      <w:r w:rsidRPr="001D228D">
        <w:t xml:space="preserve">. Tympanic canal temperatures can diverge from </w:t>
      </w:r>
      <w:r>
        <w:t>oesophageal</w:t>
      </w:r>
      <w:r w:rsidRPr="001D228D">
        <w:t xml:space="preserve"> and rectal readings during exercise and recovery, particularly under convective airflow or incomplete sealing </w:t>
      </w:r>
      <w:sdt>
        <w:sdtPr>
          <w:rPr>
            <w:color w:val="000000"/>
          </w:rPr>
          <w:tag w:val="MENDELEY_CITATION_v3_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"/>
          <w:id w:val="-420792998"/>
          <w:placeholder>
            <w:docPart w:val="DefaultPlaceholder_-1854013440"/>
          </w:placeholder>
        </w:sdtPr>
        <w:sdtContent>
          <w:r w:rsidR="00B43409" w:rsidRPr="00B43409">
            <w:rPr>
              <w:color w:val="000000"/>
            </w:rPr>
            <w:t>[26]</w:t>
          </w:r>
        </w:sdtContent>
      </w:sdt>
      <w:r w:rsidRPr="001D228D">
        <w:t>.</w:t>
      </w:r>
    </w:p>
    <w:p w14:paraId="1E58EA0D" w14:textId="7A1356A0" w:rsidR="00CE64DB" w:rsidRPr="001D228D" w:rsidRDefault="00CE64DB" w:rsidP="001150F4">
      <w:r w:rsidRPr="001D228D">
        <w:rPr>
          <w:rStyle w:val="Strong"/>
        </w:rPr>
        <w:t xml:space="preserve">Temporal-artery infrared and </w:t>
      </w:r>
      <w:r w:rsidRPr="001D228D">
        <w:rPr>
          <w:b/>
          <w:bCs/>
        </w:rPr>
        <w:t>dual- or zero-heat-flux sensors</w:t>
      </w:r>
      <w:r w:rsidRPr="001D228D">
        <w:rPr>
          <w:rStyle w:val="Strong"/>
        </w:rPr>
        <w:t xml:space="preserve">. </w:t>
      </w:r>
      <w:r w:rsidRPr="001D228D">
        <w:t xml:space="preserve">Non-invasive infrared thermometers measure surface emission along the temporal artery, whereas dual-heat-flux (DHF) and zero-heat-flux (ZHF) sensors infer deep tissue temperature by combining paired heat-flux paths of different thermal resistances </w:t>
      </w:r>
      <w:sdt>
        <w:sdtPr>
          <w:rPr>
            <w:color w:val="000000"/>
          </w:rPr>
          <w:tag w:val="MENDELEY_CITATION_v3_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"/>
          <w:id w:val="1466229472"/>
          <w:placeholder>
            <w:docPart w:val="DefaultPlaceholder_-1854013440"/>
          </w:placeholder>
        </w:sdtPr>
        <w:sdtContent>
          <w:r w:rsidR="00B43409" w:rsidRPr="00B43409">
            <w:rPr>
              <w:color w:val="000000"/>
            </w:rPr>
            <w:t>[27]</w:t>
          </w:r>
        </w:sdtContent>
      </w:sdt>
      <w:r w:rsidRPr="001D228D">
        <w:t xml:space="preserve">. These techniques are useful for ambulatory or field monitoring but require stable ambient conditions and careful calibration; drift can occur with sweating or variable skin perfusion </w:t>
      </w:r>
      <w:sdt>
        <w:sdtPr>
          <w:rPr>
            <w:color w:val="000000"/>
          </w:rPr>
          <w:tag w:val="MENDELEY_CITATION_v3_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"/>
          <w:id w:val="279077571"/>
          <w:placeholder>
            <w:docPart w:val="DefaultPlaceholder_-1854013440"/>
          </w:placeholder>
        </w:sdtPr>
        <w:sdtContent>
          <w:r w:rsidR="00B43409" w:rsidRPr="00B43409">
            <w:rPr>
              <w:color w:val="000000"/>
            </w:rPr>
            <w:t>[28]</w:t>
          </w:r>
        </w:sdtContent>
      </w:sdt>
      <w:r w:rsidRPr="001D228D">
        <w:t>.</w:t>
      </w:r>
    </w:p>
    <w:p w14:paraId="5417B2C3" w14:textId="50F518FA" w:rsidR="00CE64DB" w:rsidRPr="001D228D" w:rsidRDefault="00CE64DB" w:rsidP="001150F4">
      <w:r w:rsidRPr="001D228D">
        <w:rPr>
          <w:rStyle w:val="Strong"/>
        </w:rPr>
        <w:t xml:space="preserve">Pulmonary artery and bladder catheters. </w:t>
      </w:r>
      <w:r w:rsidRPr="001D228D">
        <w:t xml:space="preserve">Invasive thermistors located in the pulmonary artery directly measure mixed venous blood and remain the clinical </w:t>
      </w:r>
      <w:r w:rsidRPr="001D228D">
        <w:rPr>
          <w:i/>
          <w:iCs/>
        </w:rPr>
        <w:t>gold standard</w:t>
      </w:r>
      <w:r w:rsidRPr="001D228D">
        <w:t xml:space="preserve">. Bladder thermistors, integrated into urinary catheters, are less invasive and show small mean differences (≤ 0.2 °C) relative to pulmonary-artery temperature under stable hemodynamic conditions </w:t>
      </w:r>
      <w:sdt>
        <w:sdtPr>
          <w:rPr>
            <w:color w:val="000000"/>
          </w:rPr>
          <w:tag w:val="MENDELEY_CITATION_v3_eyJjaXRhdGlvbklEIjoiTUVOREVMRVlfQ0lUQVRJT05fYWNhYjNjOGEtMzdlNy00ZjBjLWI0NzgtYzFiNzc1MjU3YjhlIiwicHJvcGVydGllcyI6eyJub3RlSW5kZXgiOjB9LCJpc0VkaXRlZCI6ZmFsc2UsIm1hbnVhbE92ZXJyaWRlIjp7ImNpdGVwcm9jVGV4dCI6IlsyOV0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
          <w:id w:val="-1797518883"/>
          <w:placeholder>
            <w:docPart w:val="DefaultPlaceholder_-1854013440"/>
          </w:placeholder>
        </w:sdtPr>
        <w:sdtContent>
          <w:r w:rsidR="00B43409" w:rsidRPr="00B43409">
            <w:rPr>
              <w:color w:val="000000"/>
            </w:rPr>
            <w:t>[29]</w:t>
          </w:r>
        </w:sdtContent>
      </w:sdt>
      <w:r w:rsidRPr="001D228D">
        <w:t>. Their use is restricted to medical or highly controlled research applications.</w:t>
      </w:r>
    </w:p>
    <w:p w14:paraId="2C31CBF7" w14:textId="77777777" w:rsidR="00CE64DB" w:rsidRPr="001D228D" w:rsidRDefault="00CE64DB" w:rsidP="007A2440">
      <w:pPr>
        <w:pStyle w:val="Heading3"/>
        <w:rPr>
          <w:lang w:val="en-GB"/>
        </w:rPr>
      </w:pPr>
      <w:bookmarkStart w:id="13" w:name="_Toc223281667"/>
      <w:r w:rsidRPr="001D228D">
        <w:rPr>
          <w:lang w:val="en-GB"/>
        </w:rPr>
        <w:t>Agreeability across sensor types</w:t>
      </w:r>
      <w:bookmarkEnd w:id="13"/>
    </w:p>
    <w:p w14:paraId="0D6A9681" w14:textId="5038D4B3" w:rsidR="00CE64DB" w:rsidRPr="001D228D" w:rsidRDefault="00CE64DB" w:rsidP="001150F4">
      <w:bookmarkStart w:id="14" w:name="_Toc211009207"/>
      <w:r w:rsidRPr="001D228D">
        <w:t xml:space="preserve">Inter-site comparisons show consistent but physiologically interpretable biases that depend on tissue depth, perfusion, and the rate of thermal change. Under steady conditions, </w:t>
      </w:r>
      <w:r w:rsidRPr="001D228D">
        <w:rPr>
          <w:rStyle w:val="Strong"/>
          <w:b w:val="0"/>
          <w:bCs w:val="0"/>
        </w:rPr>
        <w:t xml:space="preserve">rectal, intestinal, and </w:t>
      </w:r>
      <w:r>
        <w:rPr>
          <w:rStyle w:val="Strong"/>
          <w:b w:val="0"/>
          <w:bCs w:val="0"/>
        </w:rPr>
        <w:t>oesophageal</w:t>
      </w:r>
      <w:r w:rsidRPr="001D228D">
        <w:rPr>
          <w:rStyle w:val="Strong"/>
          <w:b w:val="0"/>
          <w:bCs w:val="0"/>
        </w:rPr>
        <w:t xml:space="preserve"> temperatures differ by less than 0.3 °C</w:t>
      </w:r>
      <w:r w:rsidRPr="001D228D">
        <w:t xml:space="preserve">, but diverge during dynamic heating or cooling. </w:t>
      </w:r>
      <w:r>
        <w:rPr>
          <w:rStyle w:val="Strong"/>
          <w:b w:val="0"/>
          <w:bCs w:val="0"/>
        </w:rPr>
        <w:t>Oesophageal</w:t>
      </w:r>
      <w:r w:rsidRPr="001D228D">
        <w:rPr>
          <w:rStyle w:val="Strong"/>
          <w:b w:val="0"/>
          <w:bCs w:val="0"/>
        </w:rPr>
        <w:t xml:space="preserve"> readings</w:t>
      </w:r>
      <w:r w:rsidRPr="001D228D">
        <w:t xml:space="preserve"> track central blood temperature most closely, typically within ±0.2 °C of pulmonary-artery measurements and with the fastest response (≤10 s) </w:t>
      </w:r>
      <w:sdt>
        <w:sdtPr>
          <w:rPr>
            <w:color w:val="000000"/>
          </w:rPr>
          <w:tag w:val="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"/>
          <w:id w:val="147711375"/>
          <w:placeholder>
            <w:docPart w:val="DefaultPlaceholder_-1854013440"/>
          </w:placeholder>
        </w:sdtPr>
        <w:sdtContent>
          <w:r w:rsidR="00B43409" w:rsidRPr="00B43409">
            <w:rPr>
              <w:color w:val="000000"/>
            </w:rPr>
            <w:t>[29,30]</w:t>
          </w:r>
        </w:sdtContent>
      </w:sdt>
      <w:r w:rsidRPr="001D228D">
        <w:t xml:space="preserve">. </w:t>
      </w:r>
      <w:r w:rsidRPr="001D228D">
        <w:rPr>
          <w:rStyle w:val="Strong"/>
          <w:b w:val="0"/>
          <w:bCs w:val="0"/>
        </w:rPr>
        <w:t>Rectal temperature</w:t>
      </w:r>
      <w:r w:rsidRPr="001D228D">
        <w:t xml:space="preserve"> lags </w:t>
      </w:r>
      <w:r>
        <w:t>oesophageal</w:t>
      </w:r>
      <w:r w:rsidRPr="001D228D">
        <w:t xml:space="preserve"> by 10–25 min and averages 0.3–0.6 °C lower during heating phases </w:t>
      </w:r>
      <w:sdt>
        <w:sdtPr>
          <w:rPr>
            <w:color w:val="000000"/>
          </w:rPr>
          <w:tag w:val="MENDELEY_CITATION_v3_eyJjaXRhdGlvbklEIjoiTUVOREVMRVlfQ0lUQVRJT05fZDc5NWZhM2QtOWJlMy00ZDFjLThiMjEtNmVjZWNlZDkxNjg5IiwicHJvcGVydGllcyI6eyJub3RlSW5kZXgiOjB9LCJpc0VkaXRlZCI6ZmFsc2UsIm1hbnVhbE92ZXJyaWRlIjp7ImNpdGVwcm9jVGV4dCI6IlsyMl0iLCJpc01hbnVhbGx5T3ZlcnJpZGRlbiI6ZmFsc2UsIm1hbnVhbE92ZXJyaWRlVGV4dCI6IiJ9LCJjaXRhdGlvbkl0ZW1zIjpb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XX0="/>
          <w:id w:val="833114842"/>
          <w:placeholder>
            <w:docPart w:val="DefaultPlaceholder_-1854013440"/>
          </w:placeholder>
        </w:sdtPr>
        <w:sdtContent>
          <w:r w:rsidR="00B43409" w:rsidRPr="00B43409">
            <w:rPr>
              <w:color w:val="000000"/>
            </w:rPr>
            <w:t>[22]</w:t>
          </w:r>
        </w:sdtContent>
      </w:sdt>
      <w:r w:rsidRPr="001D228D">
        <w:t xml:space="preserve">. </w:t>
      </w:r>
      <w:r w:rsidRPr="001D228D">
        <w:rPr>
          <w:rStyle w:val="Strong"/>
          <w:b w:val="0"/>
          <w:bCs w:val="0"/>
        </w:rPr>
        <w:t>Intestinal or telemetry-pill temperatures</w:t>
      </w:r>
      <w:r w:rsidRPr="001D228D">
        <w:t xml:space="preserve"> are intermediate, initially 0.4–0.9 °C lower than rectal when the capsule remains in the stomach</w:t>
      </w:r>
      <w:r>
        <w:t>,</w:t>
      </w:r>
      <w:r w:rsidRPr="001D228D">
        <w:t xml:space="preserve"> but converging to ≤ 0.2 °C once it passes into the small intestine </w:t>
      </w:r>
      <w:sdt>
        <w:sdtPr>
          <w:rPr>
            <w:color w:val="000000"/>
          </w:rPr>
          <w:tag w:val="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"/>
          <w:id w:val="864943480"/>
          <w:placeholder>
            <w:docPart w:val="DefaultPlaceholder_-1854013440"/>
          </w:placeholder>
        </w:sdtPr>
        <w:sdtContent>
          <w:r w:rsidR="00B43409" w:rsidRPr="00B43409">
            <w:rPr>
              <w:color w:val="000000"/>
            </w:rPr>
            <w:t>[24,31,32]</w:t>
          </w:r>
        </w:sdtContent>
      </w:sdt>
      <w:r w:rsidRPr="001D228D">
        <w:t>.</w:t>
      </w:r>
    </w:p>
    <w:p w14:paraId="4D1C8930" w14:textId="3E12EA85" w:rsidR="00CE64DB" w:rsidRPr="001D228D" w:rsidRDefault="00CE64DB" w:rsidP="001150F4">
      <w:r w:rsidRPr="001D228D">
        <w:rPr>
          <w:rStyle w:val="Strong"/>
          <w:b w:val="0"/>
          <w:bCs w:val="0"/>
        </w:rPr>
        <w:t>Bladder thermistors</w:t>
      </w:r>
      <w:r w:rsidRPr="001D228D">
        <w:t xml:space="preserve"> agree well with pulmonary-artery temperature (bias ≤ 0.2 °C) under stable perfusion</w:t>
      </w:r>
      <w:r>
        <w:t>,</w:t>
      </w:r>
      <w:r w:rsidRPr="001D228D">
        <w:t xml:space="preserve"> but deviate during low urine flow or bypass </w:t>
      </w:r>
      <w:sdt>
        <w:sdtPr>
          <w:rPr>
            <w:color w:val="000000"/>
          </w:rPr>
          <w:tag w:val="MENDELEY_CITATION_v3_eyJjaXRhdGlvbklEIjoiTUVOREVMRVlfQ0lUQVRJT05fODY2NGEyNzYtMGJhZS00YjQ2LWE2MjctNGViNDYzMjUwODJkIiwicHJvcGVydGllcyI6eyJub3RlSW5kZXgiOjB9LCJpc0VkaXRlZCI6ZmFsc2UsIm1hbnVhbE92ZXJyaWRlIjp7ImNpdGVwcm9jVGV4dCI6IlsyOV0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
          <w:id w:val="-1624151847"/>
          <w:placeholder>
            <w:docPart w:val="DefaultPlaceholder_-1854013440"/>
          </w:placeholder>
        </w:sdtPr>
        <w:sdtContent>
          <w:r w:rsidR="00B43409" w:rsidRPr="00B43409">
            <w:rPr>
              <w:color w:val="000000"/>
            </w:rPr>
            <w:t>[29]</w:t>
          </w:r>
        </w:sdtContent>
      </w:sdt>
      <w:r w:rsidRPr="001D228D">
        <w:t xml:space="preserve">. </w:t>
      </w:r>
      <w:r w:rsidRPr="001D228D">
        <w:rPr>
          <w:rStyle w:val="Strong"/>
          <w:b w:val="0"/>
          <w:bCs w:val="0"/>
        </w:rPr>
        <w:t xml:space="preserve">Rectal and </w:t>
      </w:r>
      <w:r>
        <w:rPr>
          <w:rStyle w:val="Strong"/>
          <w:b w:val="0"/>
          <w:bCs w:val="0"/>
        </w:rPr>
        <w:t>oesophageal</w:t>
      </w:r>
      <w:r w:rsidRPr="001D228D">
        <w:t xml:space="preserve"> values remain within 0.4 °C of pulmonary-artery readings at rest, confirming their reliability as integrated estimates of body heat content </w:t>
      </w:r>
      <w:sdt>
        <w:sdtPr>
          <w:rPr>
            <w:color w:val="000000"/>
          </w:rPr>
          <w:tag w:val="MENDELEY_CITATION_v3_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"/>
          <w:id w:val="-2059388526"/>
          <w:placeholder>
            <w:docPart w:val="DefaultPlaceholder_-1854013440"/>
          </w:placeholder>
        </w:sdtPr>
        <w:sdtContent>
          <w:r w:rsidR="00B43409" w:rsidRPr="00B43409">
            <w:rPr>
              <w:color w:val="000000"/>
            </w:rPr>
            <w:t>[30]</w:t>
          </w:r>
        </w:sdtContent>
      </w:sdt>
      <w:r w:rsidRPr="001D228D">
        <w:t>.</w:t>
      </w:r>
    </w:p>
    <w:p w14:paraId="5AC7C45D" w14:textId="5F14E709" w:rsidR="00CE64DB" w:rsidRPr="001D228D" w:rsidRDefault="00CE64DB" w:rsidP="001150F4">
      <w:r w:rsidRPr="001D228D">
        <w:t xml:space="preserve">Non-invasive ear and forehead methods exhibit larger scatter. </w:t>
      </w:r>
      <w:r w:rsidRPr="001D228D">
        <w:rPr>
          <w:rStyle w:val="Strong"/>
          <w:b w:val="0"/>
          <w:bCs w:val="0"/>
        </w:rPr>
        <w:t>Infrared tympanic thermometers</w:t>
      </w:r>
      <w:r w:rsidRPr="001D228D">
        <w:t xml:space="preserve"> underestimate deep-core temperature by 0.3 °C at rest and by ~1 °C during exercise, with errors increasing to &gt;1.5 °C when </w:t>
      </w:r>
      <w:r>
        <w:t>rectal temperature exceeds</w:t>
      </w:r>
      <w:r w:rsidRPr="001D228D">
        <w:t xml:space="preserve"> 39 °C </w:t>
      </w:r>
      <w:sdt>
        <w:sdtPr>
          <w:rPr>
            <w:color w:val="000000"/>
          </w:rPr>
          <w:tag w:val="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"/>
          <w:id w:val="-1496265327"/>
          <w:placeholder>
            <w:docPart w:val="DefaultPlaceholder_-1854013440"/>
          </w:placeholder>
        </w:sdtPr>
        <w:sdtContent>
          <w:r w:rsidR="00B43409" w:rsidRPr="00B43409">
            <w:rPr>
              <w:color w:val="000000"/>
            </w:rPr>
            <w:t>[33,34]</w:t>
          </w:r>
        </w:sdtContent>
      </w:sdt>
      <w:r w:rsidRPr="001D228D">
        <w:t xml:space="preserve">. Even meta-analytic evidence across &gt;30 studies indicates wide limits of agreement (± 1.3 °C), making tympanic readings unreliable for precise monitoring </w:t>
      </w:r>
      <w:sdt>
        <w:sdtPr>
          <w:rPr>
            <w:color w:val="000000"/>
          </w:rPr>
          <w:tag w:val="MENDELEY_CITATION_v3_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"/>
          <w:id w:val="1069148356"/>
          <w:placeholder>
            <w:docPart w:val="DefaultPlaceholder_-1854013440"/>
          </w:placeholder>
        </w:sdtPr>
        <w:sdtContent>
          <w:r w:rsidR="00B43409" w:rsidRPr="00B43409">
            <w:rPr>
              <w:color w:val="000000"/>
            </w:rPr>
            <w:t>[34]</w:t>
          </w:r>
        </w:sdtContent>
      </w:sdt>
      <w:r w:rsidRPr="001D228D">
        <w:t xml:space="preserve">. </w:t>
      </w:r>
      <w:r w:rsidRPr="001D228D">
        <w:rPr>
          <w:rStyle w:val="Strong"/>
          <w:b w:val="0"/>
          <w:bCs w:val="0"/>
        </w:rPr>
        <w:t>Temporal-artery infrared</w:t>
      </w:r>
      <w:r w:rsidRPr="001D228D">
        <w:t xml:space="preserve"> and </w:t>
      </w:r>
      <w:r w:rsidRPr="001D228D">
        <w:rPr>
          <w:rStyle w:val="Strong"/>
          <w:b w:val="0"/>
          <w:bCs w:val="0"/>
        </w:rPr>
        <w:t>axillary</w:t>
      </w:r>
      <w:r w:rsidRPr="001D228D">
        <w:t xml:space="preserve"> measures show similar variability </w:t>
      </w:r>
      <w:sdt>
        <w:sdtPr>
          <w:rPr>
            <w:color w:val="000000"/>
          </w:rPr>
          <w:tag w:val="MENDELEY_CITATION_v3_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"/>
          <w:id w:val="570541155"/>
          <w:placeholder>
            <w:docPart w:val="DefaultPlaceholder_-1854013440"/>
          </w:placeholder>
        </w:sdtPr>
        <w:sdtContent>
          <w:r w:rsidR="00B43409" w:rsidRPr="00B43409">
            <w:rPr>
              <w:color w:val="000000"/>
            </w:rPr>
            <w:t>[30]</w:t>
          </w:r>
        </w:sdtContent>
      </w:sdt>
      <w:r w:rsidRPr="001D228D">
        <w:t>.</w:t>
      </w:r>
    </w:p>
    <w:p w14:paraId="3CC4FA07" w14:textId="7192C63B" w:rsidR="00CE64DB" w:rsidRPr="001D228D" w:rsidRDefault="00CE64DB" w:rsidP="001150F4">
      <w:r w:rsidRPr="001D228D">
        <w:rPr>
          <w:rStyle w:val="Strong"/>
          <w:b w:val="0"/>
          <w:bCs w:val="0"/>
        </w:rPr>
        <w:lastRenderedPageBreak/>
        <w:t>Zero-heat-flux (ZHF)</w:t>
      </w:r>
      <w:r w:rsidRPr="001D228D">
        <w:t xml:space="preserve"> thermometers show markedly improved accuracy, differing from pulmonary-artery temperature by only –0.06 °C (mean) with limits of agreement ± 0.89 °C </w:t>
      </w:r>
      <w:sdt>
        <w:sdtPr>
          <w:rPr>
            <w:color w:val="000000"/>
          </w:rPr>
          <w:tag w:val="MENDELEY_CITATION_v3_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"/>
          <w:id w:val="-798303339"/>
          <w:placeholder>
            <w:docPart w:val="DefaultPlaceholder_-1854013440"/>
          </w:placeholder>
        </w:sdtPr>
        <w:sdtContent>
          <w:r w:rsidR="00B43409" w:rsidRPr="00B43409">
            <w:rPr>
              <w:color w:val="000000"/>
            </w:rPr>
            <w:t>[35]</w:t>
          </w:r>
        </w:sdtContent>
      </w:sdt>
      <w:r w:rsidRPr="001D228D">
        <w:t xml:space="preserve">. These perform comparably to oesophageal and bladder probes under anaesthesia when the forehead site remains perfused. Emerging </w:t>
      </w:r>
      <w:r w:rsidRPr="001D228D">
        <w:rPr>
          <w:rStyle w:val="Strong"/>
          <w:b w:val="0"/>
          <w:bCs w:val="0"/>
        </w:rPr>
        <w:t>dual-heat-flux</w:t>
      </w:r>
      <w:r w:rsidRPr="001D228D">
        <w:t xml:space="preserve"> and </w:t>
      </w:r>
      <w:r w:rsidRPr="001D228D">
        <w:rPr>
          <w:rStyle w:val="Strong"/>
          <w:b w:val="0"/>
          <w:bCs w:val="0"/>
        </w:rPr>
        <w:t>heart-rate-derived algorithms</w:t>
      </w:r>
      <w:r w:rsidRPr="001D228D">
        <w:t xml:space="preserve"> can estimate core temperature non-invasively with mean biases around 0.2–0.3 °C</w:t>
      </w:r>
      <w:r>
        <w:t>,</w:t>
      </w:r>
      <w:r w:rsidRPr="001D228D">
        <w:t xml:space="preserve"> but limits of agreement ± 0.6–0.7 °C </w:t>
      </w:r>
      <w:sdt>
        <w:sdtPr>
          <w:rPr>
            <w:color w:val="000000"/>
          </w:rPr>
          <w:tag w:val="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"/>
          <w:id w:val="-1363361003"/>
          <w:placeholder>
            <w:docPart w:val="DefaultPlaceholder_-1854013440"/>
          </w:placeholder>
        </w:sdtPr>
        <w:sdtContent>
          <w:r w:rsidR="00B43409" w:rsidRPr="00B43409">
            <w:rPr>
              <w:color w:val="000000"/>
            </w:rPr>
            <w:t>[36,37]</w:t>
          </w:r>
        </w:sdtContent>
      </w:sdt>
      <w:r w:rsidRPr="001D228D">
        <w:t>. They remain sensitive to local perfusion and ambient conditions but hold promise for field and occupational studies.</w:t>
      </w:r>
    </w:p>
    <w:p w14:paraId="6BB8BB01" w14:textId="77777777" w:rsidR="00CE64DB" w:rsidRPr="001D228D" w:rsidRDefault="00CE64DB" w:rsidP="001150F4">
      <w:r w:rsidRPr="001D228D">
        <w:t xml:space="preserve">Overall, </w:t>
      </w:r>
      <w:r>
        <w:rPr>
          <w:rStyle w:val="Strong"/>
          <w:b w:val="0"/>
          <w:bCs w:val="0"/>
        </w:rPr>
        <w:t>oesophageal</w:t>
      </w:r>
      <w:r w:rsidRPr="001D228D">
        <w:rPr>
          <w:rStyle w:val="Strong"/>
          <w:b w:val="0"/>
          <w:bCs w:val="0"/>
        </w:rPr>
        <w:t xml:space="preserve"> and pulmonary-artery</w:t>
      </w:r>
      <w:r w:rsidRPr="001D228D">
        <w:t xml:space="preserve"> sites provide the most responsive and accurate dynamic indicators of CBT, while </w:t>
      </w:r>
      <w:r w:rsidRPr="001D228D">
        <w:rPr>
          <w:rStyle w:val="Strong"/>
          <w:b w:val="0"/>
          <w:bCs w:val="0"/>
        </w:rPr>
        <w:t>rectal, intestinal, and bladder</w:t>
      </w:r>
      <w:r w:rsidRPr="001D228D">
        <w:t xml:space="preserve"> sensors yield stable integrated measures of stored heat. </w:t>
      </w:r>
      <w:r w:rsidRPr="001D228D">
        <w:rPr>
          <w:rStyle w:val="Strong"/>
          <w:b w:val="0"/>
          <w:bCs w:val="0"/>
        </w:rPr>
        <w:t>Infrared and heat-flux methods</w:t>
      </w:r>
      <w:r w:rsidRPr="001D228D">
        <w:t xml:space="preserve"> enable practical non-invasive alternatives when calibration and contextual metadata are explicitly documented.</w:t>
      </w:r>
    </w:p>
    <w:p w14:paraId="28EAF4C0" w14:textId="77777777" w:rsidR="00CE64DB" w:rsidRPr="001D228D" w:rsidRDefault="00CE64DB" w:rsidP="007A2440">
      <w:pPr>
        <w:pStyle w:val="Heading3"/>
        <w:rPr>
          <w:lang w:val="en-GB"/>
        </w:rPr>
      </w:pPr>
      <w:bookmarkStart w:id="15" w:name="_Toc223281668"/>
      <w:r w:rsidRPr="001D228D">
        <w:rPr>
          <w:lang w:val="en-GB"/>
        </w:rPr>
        <w:t>Known confounders and modifiers</w:t>
      </w:r>
      <w:bookmarkEnd w:id="14"/>
      <w:bookmarkEnd w:id="15"/>
    </w:p>
    <w:p w14:paraId="58BC2611" w14:textId="77777777" w:rsidR="00CE64DB" w:rsidRPr="001D228D" w:rsidRDefault="00CE64DB" w:rsidP="001150F4">
      <w:r w:rsidRPr="001D228D">
        <w:t xml:space="preserve">Core body temperature is shaped by multiple intrinsic and extrinsic influences that must be measured, controlled, or statistically adjusted in experimental protocols. These factors act through metabolic, hormonal, neural, and environmental pathways that shift the thermoregulatory set-point or modify heat-exchange efficiency. </w:t>
      </w:r>
    </w:p>
    <w:p w14:paraId="450D3C7B" w14:textId="759F5BC3" w:rsidR="00CE64DB" w:rsidRPr="001D228D" w:rsidRDefault="00CE64DB" w:rsidP="001150F4">
      <w:r w:rsidRPr="001D228D">
        <w:rPr>
          <w:b/>
          <w:bCs/>
        </w:rPr>
        <w:t>Circadian influences</w:t>
      </w:r>
      <w:r w:rsidRPr="001D228D">
        <w:rPr>
          <w:rStyle w:val="Strong"/>
        </w:rPr>
        <w:t>.</w:t>
      </w:r>
      <w:r w:rsidRPr="001D228D">
        <w:t xml:space="preserve"> CBT exhibits a robust endogenous oscillation of approximately 0.8–1.0 °C under normal entrainment, generated by the suprachiasmatic nucleus and peripheral clock gene networks </w:t>
      </w:r>
      <w:sdt>
        <w:sdtPr>
          <w:rPr>
            <w:color w:val="000000"/>
          </w:rPr>
          <w:tag w:val="MENDELEY_CITATION_v3_eyJjaXRhdGlvbklEIjoiTUVOREVMRVlfQ0lUQVRJT05fODdmZDFkM2QtYWU0YS00Njc4LThlNzYtZDA1ZWE4MmVjYmU4IiwicHJvcGVydGllcyI6eyJub3RlSW5kZXgiOjB9LCJpc0VkaXRlZCI6ZmFsc2UsIm1hbnVhbE92ZXJyaWRlIjp7ImNpdGVwcm9jVGV4dCI6IlszOCwzOV0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"/>
          <w:id w:val="-452098017"/>
          <w:placeholder>
            <w:docPart w:val="DefaultPlaceholder_-1854013440"/>
          </w:placeholder>
        </w:sdtPr>
        <w:sdtContent>
          <w:r w:rsidR="00B43409" w:rsidRPr="00B43409">
            <w:rPr>
              <w:color w:val="000000"/>
            </w:rPr>
            <w:t>[38,39]</w:t>
          </w:r>
        </w:sdtContent>
      </w:sdt>
      <w:r w:rsidRPr="001D228D">
        <w:t xml:space="preserve">. The nadir occurs near 04:00–05:00 h, coinciding with peak melatonin and lowest alertness, while the acrophase appears around 16:00–18:00 h. This rhythm persists under constant posture and ambient conditions, confirming endogenous control, though masking by sleep, posture, and activity can shift observed CBT by ±0.3 °C </w:t>
      </w:r>
      <w:sdt>
        <w:sdtPr>
          <w:rPr>
            <w:color w:val="000000"/>
          </w:rPr>
          <w:tag w:val="MENDELEY_CITATION_v3_eyJjaXRhdGlvbklEIjoiTUVOREVMRVlfQ0lUQVRJT05fOWJiY2U3MzUtNTAwZS00MTNhLWE3OTMtNGNlZWZiZTlkMWYzIiwicHJvcGVydGllcyI6eyJub3RlSW5kZXgiOjB9LCJpc0VkaXRlZCI6ZmFsc2UsIm1hbnVhbE92ZXJyaWRlIjp7ImNpdGVwcm9jVGV4dCI6IlszOCw0MCw0MV0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"/>
          <w:id w:val="1332328501"/>
          <w:placeholder>
            <w:docPart w:val="DefaultPlaceholder_-1854013440"/>
          </w:placeholder>
        </w:sdtPr>
        <w:sdtContent>
          <w:r w:rsidR="00B43409" w:rsidRPr="00B43409">
            <w:rPr>
              <w:color w:val="000000"/>
            </w:rPr>
            <w:t>[38,40,41]</w:t>
          </w:r>
        </w:sdtContent>
      </w:sdt>
      <w:r w:rsidRPr="001D228D">
        <w:t xml:space="preserve">. Ambient light exposure </w:t>
      </w:r>
      <w:sdt>
        <w:sdtPr>
          <w:rPr>
            <w:color w:val="000000"/>
          </w:rPr>
          <w:tag w:val="MENDELEY_CITATION_v3_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"/>
          <w:id w:val="1150710405"/>
          <w:placeholder>
            <w:docPart w:val="DefaultPlaceholder_-1854013440"/>
          </w:placeholder>
        </w:sdtPr>
        <w:sdtContent>
          <w:r w:rsidR="00B43409" w:rsidRPr="00B43409">
            <w:rPr>
              <w:color w:val="000000"/>
            </w:rPr>
            <w:t>[42,43]</w:t>
          </w:r>
        </w:sdtContent>
      </w:sdt>
      <w:r w:rsidRPr="001D228D">
        <w:t xml:space="preserve"> and recent travel may also alter phase</w:t>
      </w:r>
      <w:r>
        <w:t xml:space="preserve"> and amplitude</w:t>
      </w:r>
      <w:r w:rsidRPr="001D228D">
        <w:t>. Session timing, chronotype alignment, and relative phase (hours from habitual wake time or dim-light melatonin onset) should therefore be logged and, where possible, standardised across participants.</w:t>
      </w:r>
    </w:p>
    <w:p w14:paraId="27D62083" w14:textId="51F840FA" w:rsidR="00CE64DB" w:rsidRDefault="00CE64DB" w:rsidP="001150F4">
      <w:r>
        <w:rPr>
          <w:b/>
          <w:bCs/>
        </w:rPr>
        <w:t xml:space="preserve">Sex. </w:t>
      </w:r>
      <w:r>
        <w:t xml:space="preserve">Generally, females exhibit higher core temperatures than males </w:t>
      </w:r>
      <w:sdt>
        <w:sdtPr>
          <w:rPr>
            <w:color w:val="000000"/>
          </w:rPr>
          <w:tag w:val="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"/>
          <w:id w:val="-419644530"/>
          <w:placeholder>
            <w:docPart w:val="DefaultPlaceholder_-1854013440"/>
          </w:placeholder>
        </w:sdtPr>
        <w:sdtContent>
          <w:r w:rsidR="00B43409" w:rsidRPr="00B43409">
            <w:rPr>
              <w:color w:val="000000"/>
            </w:rPr>
            <w:t>[44,45]</w:t>
          </w:r>
        </w:sdtContent>
      </w:sdt>
      <w:r>
        <w:t xml:space="preserve">. </w:t>
      </w:r>
      <w:r w:rsidRPr="00634093">
        <w:t>During exercise under heat stress, early observational studies suggested women experienced greater and more rapid increases in core temperature than men; however, these differences are largely explained by confounding factors such as a lower body mass, lower aerobic capacity, and a higher relative metabolic heat production in females</w:t>
      </w:r>
      <w:r>
        <w:t xml:space="preserve"> </w:t>
      </w:r>
      <w:sdt>
        <w:sdtPr>
          <w:rPr>
            <w:color w:val="000000"/>
          </w:rPr>
          <w:tag w:val="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"/>
          <w:id w:val="1175692818"/>
          <w:placeholder>
            <w:docPart w:val="DefaultPlaceholder_-1854013440"/>
          </w:placeholder>
        </w:sdtPr>
        <w:sdtContent>
          <w:r w:rsidR="00B43409" w:rsidRPr="00B43409">
            <w:rPr>
              <w:color w:val="000000"/>
            </w:rPr>
            <w:t>[46–48]</w:t>
          </w:r>
        </w:sdtContent>
      </w:sdt>
      <w:r w:rsidRPr="00634093">
        <w:t>. When males and females are appropriately matched for physical characteristics and the biophysical requirement for heat loss, core temperature responses are generally similar, though women may experience slightly greater increases (0.2°C to 0.4°C) only during severe, uncompensable heat stress</w:t>
      </w:r>
      <w:r>
        <w:t xml:space="preserve"> </w:t>
      </w:r>
      <w:sdt>
        <w:sdtPr>
          <w:rPr>
            <w:color w:val="000000"/>
          </w:rPr>
          <w:tag w:val="MENDELEY_CITATION_v3_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"/>
          <w:id w:val="974257024"/>
          <w:placeholder>
            <w:docPart w:val="DefaultPlaceholder_-1854013440"/>
          </w:placeholder>
        </w:sdtPr>
        <w:sdtContent>
          <w:r w:rsidR="00B43409" w:rsidRPr="00B43409">
            <w:rPr>
              <w:color w:val="000000"/>
            </w:rPr>
            <w:t>[49]</w:t>
          </w:r>
        </w:sdtContent>
      </w:sdt>
      <w:r w:rsidRPr="00634093">
        <w:t>.</w:t>
      </w:r>
      <w:r>
        <w:t xml:space="preserve"> This difference may be clinically insignificant </w:t>
      </w:r>
      <w:sdt>
        <w:sdtPr>
          <w:rPr>
            <w:color w:val="000000"/>
          </w:rPr>
          <w:tag w:val="MENDELEY_CITATION_v3_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"/>
          <w:id w:val="-2108871779"/>
          <w:placeholder>
            <w:docPart w:val="DefaultPlaceholder_-1854013440"/>
          </w:placeholder>
        </w:sdtPr>
        <w:sdtContent>
          <w:r w:rsidR="00B43409" w:rsidRPr="00B43409">
            <w:rPr>
              <w:color w:val="000000"/>
            </w:rPr>
            <w:t>[50]</w:t>
          </w:r>
        </w:sdtContent>
      </w:sdt>
      <w:r>
        <w:t>.</w:t>
      </w:r>
    </w:p>
    <w:p w14:paraId="5CAA15A8" w14:textId="41A25502" w:rsidR="00CE64DB" w:rsidRPr="001D228D" w:rsidRDefault="00CE64DB" w:rsidP="001150F4">
      <w:r w:rsidRPr="001D228D">
        <w:rPr>
          <w:b/>
          <w:bCs/>
        </w:rPr>
        <w:t>Sex hormones and reproductive status</w:t>
      </w:r>
      <w:r w:rsidRPr="001D228D">
        <w:rPr>
          <w:rStyle w:val="Strong"/>
        </w:rPr>
        <w:t>.</w:t>
      </w:r>
      <w:r w:rsidRPr="001D228D">
        <w:t xml:space="preserve"> Progesterone elevates the hypothalamic thermoregulatory set-point, increasing resting core body temperature by approximately 0.3–0.5 °C during the luteal phase. In contrast, </w:t>
      </w:r>
      <w:r>
        <w:t>oestrogen</w:t>
      </w:r>
      <w:r w:rsidRPr="001D228D">
        <w:t xml:space="preserve"> facilitates peripheral heat dissipation through cutaneous vasodilation and enhanced skin perfusion </w:t>
      </w:r>
      <w:sdt>
        <w:sdtPr>
          <w:rPr>
            <w:color w:val="000000"/>
          </w:rPr>
          <w:tag w:val="MENDELEY_CITATION_v3_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"/>
          <w:id w:val="489288531"/>
          <w:placeholder>
            <w:docPart w:val="DefaultPlaceholder_-1854013440"/>
          </w:placeholder>
        </w:sdtPr>
        <w:sdtContent>
          <w:r w:rsidR="00B43409" w:rsidRPr="00B43409">
            <w:rPr>
              <w:color w:val="000000"/>
            </w:rPr>
            <w:t>[51]</w:t>
          </w:r>
        </w:sdtContent>
      </w:sdt>
      <w:r w:rsidRPr="001D228D">
        <w:t xml:space="preserve">. Women using combined oral contraceptives exhibit a constant, mid-luteal-like CBT profile, typically 0.3–0.4 °C higher than naturally cycling follicular-phase values, with reduced circadian amplitude and phase </w:t>
      </w:r>
      <w:r>
        <w:t>stabilisation</w:t>
      </w:r>
      <w:r w:rsidRPr="001D228D">
        <w:t xml:space="preserve"> </w:t>
      </w:r>
      <w:sdt>
        <w:sdtPr>
          <w:rPr>
            <w:color w:val="000000"/>
          </w:rPr>
          <w:tag w:val="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"/>
          <w:id w:val="227045061"/>
          <w:placeholder>
            <w:docPart w:val="DefaultPlaceholder_-1854013440"/>
          </w:placeholder>
        </w:sdtPr>
        <w:sdtContent>
          <w:r w:rsidR="00B43409" w:rsidRPr="00B43409">
            <w:rPr>
              <w:color w:val="000000"/>
            </w:rPr>
            <w:t>[52–54]</w:t>
          </w:r>
        </w:sdtContent>
      </w:sdt>
      <w:r w:rsidRPr="001D228D">
        <w:t>. Accurate determination of menstrual or contraceptive phase is therefore essential in mixed-sex studies.</w:t>
      </w:r>
    </w:p>
    <w:p w14:paraId="040DC698" w14:textId="13FB8E94" w:rsidR="00CE64DB" w:rsidRPr="001D228D" w:rsidRDefault="00CE64DB" w:rsidP="001150F4">
      <w:r w:rsidRPr="001D228D">
        <w:t xml:space="preserve">During perimenopause, fluctuating </w:t>
      </w:r>
      <w:r>
        <w:t>oestrogen</w:t>
      </w:r>
      <w:r w:rsidRPr="001D228D">
        <w:t xml:space="preserve"> levels </w:t>
      </w:r>
      <w:r>
        <w:t>destabilise</w:t>
      </w:r>
      <w:r w:rsidRPr="001D228D">
        <w:t xml:space="preserve"> hypothalamic feedback and narrow the thermoneutral zone, producing transient hyperthermic flushes </w:t>
      </w:r>
      <w:sdt>
        <w:sdtPr>
          <w:rPr>
            <w:color w:val="000000"/>
          </w:rPr>
          <w:tag w:val="MENDELEY_CITATION_v3_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"/>
          <w:id w:val="160981363"/>
          <w:placeholder>
            <w:docPart w:val="DefaultPlaceholder_-1854013440"/>
          </w:placeholder>
        </w:sdtPr>
        <w:sdtContent>
          <w:r w:rsidR="00B43409" w:rsidRPr="00B43409">
            <w:rPr>
              <w:color w:val="000000"/>
            </w:rPr>
            <w:t>[55]</w:t>
          </w:r>
        </w:sdtContent>
      </w:sdt>
      <w:r w:rsidRPr="001D228D">
        <w:t xml:space="preserve">. </w:t>
      </w:r>
      <w:r>
        <w:t>Oestrogen</w:t>
      </w:r>
      <w:r w:rsidRPr="001D228D">
        <w:t xml:space="preserve"> therapy alone lowers the vasodilation and sweating thresholds, effectively narrowing the interthreshold zone </w:t>
      </w:r>
      <w:sdt>
        <w:sdtPr>
          <w:rPr>
            <w:color w:val="000000"/>
          </w:rPr>
          <w:tag w:val="MENDELEY_CITATION_v3_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"/>
          <w:id w:val="-1647962006"/>
          <w:placeholder>
            <w:docPart w:val="DefaultPlaceholder_-1854013440"/>
          </w:placeholder>
        </w:sdtPr>
        <w:sdtContent>
          <w:r w:rsidR="00B43409" w:rsidRPr="00B43409">
            <w:rPr>
              <w:color w:val="000000"/>
            </w:rPr>
            <w:t>[56,57]</w:t>
          </w:r>
        </w:sdtContent>
      </w:sdt>
      <w:r w:rsidRPr="001D228D">
        <w:t xml:space="preserve">, whereas the addition of progestin raises the defended temperature and CBT by ~ 0.3 °C, mirroring premenopausal luteal physiology </w:t>
      </w:r>
      <w:sdt>
        <w:sdtPr>
          <w:rPr>
            <w:color w:val="000000"/>
          </w:rPr>
          <w:tag w:val="MENDELEY_CITATION_v3_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"/>
          <w:id w:val="-137266497"/>
          <w:placeholder>
            <w:docPart w:val="DefaultPlaceholder_-1854013440"/>
          </w:placeholder>
        </w:sdtPr>
        <w:sdtContent>
          <w:r w:rsidR="00B43409" w:rsidRPr="00B43409">
            <w:rPr>
              <w:color w:val="000000"/>
            </w:rPr>
            <w:t>[58,59]</w:t>
          </w:r>
        </w:sdtContent>
      </w:sdt>
      <w:r w:rsidRPr="001D228D">
        <w:t xml:space="preserve">. Exogenous sex hormones used in contraception, menopausal hormone therapy, or gender-affirming treatment likewise alter thermoregulatory set-point and amplitude: oestradiol-dominant regimens generally lower or </w:t>
      </w:r>
      <w:r>
        <w:t>stabilise</w:t>
      </w:r>
      <w:r w:rsidRPr="001D228D">
        <w:t xml:space="preserve"> CBT via enhanced vasodilation, while progestin-dominant or androgenic formulations elevate CBT and attenuate peripheral heat loss </w:t>
      </w:r>
      <w:sdt>
        <w:sdtPr>
          <w:rPr>
            <w:color w:val="000000"/>
          </w:rPr>
          <w:tag w:val="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"/>
          <w:id w:val="1818752431"/>
          <w:placeholder>
            <w:docPart w:val="DefaultPlaceholder_-1854013440"/>
          </w:placeholder>
        </w:sdtPr>
        <w:sdtContent>
          <w:r w:rsidR="00B43409" w:rsidRPr="00B43409">
            <w:rPr>
              <w:color w:val="000000"/>
            </w:rPr>
            <w:t>[59–61]</w:t>
          </w:r>
        </w:sdtContent>
      </w:sdt>
      <w:r w:rsidRPr="001D228D">
        <w:t>. Precise documentation of hormonal formulation, dosage, and treatment duration is essential for accurate cross-participant comparison.</w:t>
      </w:r>
    </w:p>
    <w:p w14:paraId="1F8872AA" w14:textId="288E833B" w:rsidR="00CE64DB" w:rsidRPr="001D228D" w:rsidRDefault="00CE64DB" w:rsidP="001150F4">
      <w:r w:rsidRPr="001D228D">
        <w:rPr>
          <w:rStyle w:val="Strong"/>
        </w:rPr>
        <w:t xml:space="preserve">Age. </w:t>
      </w:r>
      <w:r w:rsidRPr="001D228D">
        <w:t xml:space="preserve">Advancing age reduces sweat-gland output and cutaneous vasodilation, slowing heat loss and increasing peak CBT during heat stress </w:t>
      </w:r>
      <w:sdt>
        <w:sdtPr>
          <w:rPr>
            <w:color w:val="000000"/>
          </w:rPr>
          <w:tag w:val="MENDELEY_CITATION_v3_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"/>
          <w:id w:val="-1421248336"/>
          <w:placeholder>
            <w:docPart w:val="DefaultPlaceholder_-1854013440"/>
          </w:placeholder>
        </w:sdtPr>
        <w:sdtContent>
          <w:r w:rsidR="00B43409" w:rsidRPr="00B43409">
            <w:rPr>
              <w:color w:val="000000"/>
            </w:rPr>
            <w:t>[62]</w:t>
          </w:r>
        </w:sdtContent>
      </w:sdt>
      <w:r w:rsidRPr="001D228D">
        <w:t xml:space="preserve">. </w:t>
      </w:r>
      <w:r>
        <w:t xml:space="preserve">Under thermoneutral conditions, core temperature differences by age were found to be </w:t>
      </w:r>
      <w:r w:rsidRPr="001D228D">
        <w:t>~</w:t>
      </w:r>
      <w:r>
        <w:t xml:space="preserve"> 0.15 </w:t>
      </w:r>
      <w:r w:rsidRPr="001D228D">
        <w:t>°C</w:t>
      </w:r>
      <w:r>
        <w:t xml:space="preserve"> based on data from over 18.000 people </w:t>
      </w:r>
      <w:sdt>
        <w:sdtPr>
          <w:rPr>
            <w:color w:val="000000"/>
          </w:rPr>
          <w:tag w:val="MENDELEY_CITATION_v3_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"/>
          <w:id w:val="-1987854340"/>
          <w:placeholder>
            <w:docPart w:val="DefaultPlaceholder_-1854013440"/>
          </w:placeholder>
        </w:sdtPr>
        <w:sdtContent>
          <w:r w:rsidR="00B43409" w:rsidRPr="00B43409">
            <w:rPr>
              <w:color w:val="000000"/>
            </w:rPr>
            <w:t>[44]</w:t>
          </w:r>
        </w:sdtContent>
      </w:sdt>
      <w:r>
        <w:t>.</w:t>
      </w:r>
    </w:p>
    <w:p w14:paraId="50A39523" w14:textId="20FCA343" w:rsidR="00CE64DB" w:rsidRPr="001D228D" w:rsidRDefault="00CE64DB" w:rsidP="001150F4">
      <w:r w:rsidRPr="001D228D">
        <w:rPr>
          <w:rStyle w:val="Strong"/>
        </w:rPr>
        <w:lastRenderedPageBreak/>
        <w:t xml:space="preserve">Fitness. </w:t>
      </w:r>
      <w:r w:rsidRPr="001D228D">
        <w:t xml:space="preserve">Aerobically trained individuals show slightly lower resting CBT (~0.2 °C) and reduced heat-storage rates for a given metabolic load, owing to expanded plasma volume, earlier sweat onset, and efficient peripheral perfusion </w:t>
      </w:r>
      <w:sdt>
        <w:sdtPr>
          <w:rPr>
            <w:color w:val="000000"/>
          </w:rPr>
          <w:tag w:val="MENDELEY_CITATION_v3_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"/>
          <w:id w:val="-1413924562"/>
          <w:placeholder>
            <w:docPart w:val="DefaultPlaceholder_-1854013440"/>
          </w:placeholder>
        </w:sdtPr>
        <w:sdtContent>
          <w:r w:rsidR="00B43409" w:rsidRPr="00B43409">
            <w:rPr>
              <w:color w:val="000000"/>
            </w:rPr>
            <w:t>[63]</w:t>
          </w:r>
        </w:sdtContent>
      </w:sdt>
      <w:r w:rsidRPr="001D228D">
        <w:t>.</w:t>
      </w:r>
    </w:p>
    <w:p w14:paraId="2E9D2E17" w14:textId="66AE8909" w:rsidR="00CE64DB" w:rsidRPr="001D228D" w:rsidRDefault="00CE64DB" w:rsidP="001150F4">
      <w:r w:rsidRPr="001D228D">
        <w:rPr>
          <w:rStyle w:val="Strong"/>
        </w:rPr>
        <w:t xml:space="preserve">Heat acclimation. </w:t>
      </w:r>
      <w:r w:rsidRPr="001D228D">
        <w:t xml:space="preserve">Repeated daily exposures, for even as few as 5 days, lower resting CBT by ~0.2–0.4 °C </w:t>
      </w:r>
      <w:sdt>
        <w:sdtPr>
          <w:rPr>
            <w:color w:val="000000"/>
          </w:rPr>
          <w:tag w:val="MENDELEY_CITATION_v3_eyJjaXRhdGlvbklEIjoiTUVOREVMRVlfQ0lUQVRJT05fZGFlY2Y5ZWMtZGNmZC00MWVmLTk1NWYtYzBhMmM1ZjM4ZTUzIiwicHJvcGVydGllcyI6eyJub3RlSW5kZXgiOjB9LCJpc0VkaXRlZCI6ZmFsc2UsIm1hbnVhbE92ZXJyaWRlIjp7ImNpdGVwcm9jVGV4dCI6Ils2LDY0XSIsImlzTWFudWFsbHlPdmVycmlkZGVuIjpmYWxzZSwibWFudWFsT3ZlcnJpZGVUZXh0IjoiIn0sImNpdGF0aW9uSXRlbXMiOlt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"/>
          <w:id w:val="-1236311189"/>
          <w:placeholder>
            <w:docPart w:val="DefaultPlaceholder_-1854013440"/>
          </w:placeholder>
        </w:sdtPr>
        <w:sdtContent>
          <w:r w:rsidR="00B43409" w:rsidRPr="00B43409">
            <w:rPr>
              <w:color w:val="000000"/>
            </w:rPr>
            <w:t>[6,64]</w:t>
          </w:r>
        </w:sdtContent>
      </w:sdt>
      <w:r w:rsidRPr="001D228D">
        <w:t xml:space="preserve">. Acclimated individuals maintain smaller CBT excursions and faster recovery under equivalent heat loads </w:t>
      </w:r>
      <w:sdt>
        <w:sdtPr>
          <w:rPr>
            <w:color w:val="000000"/>
          </w:rPr>
          <w:tag w:val="MENDELEY_CITATION_v3_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"/>
          <w:id w:val="341987032"/>
          <w:placeholder>
            <w:docPart w:val="DefaultPlaceholder_-1854013440"/>
          </w:placeholder>
        </w:sdtPr>
        <w:sdtContent>
          <w:r w:rsidR="00B43409" w:rsidRPr="00B43409">
            <w:rPr>
              <w:color w:val="000000"/>
            </w:rPr>
            <w:t>[65]</w:t>
          </w:r>
        </w:sdtContent>
      </w:sdt>
      <w:r w:rsidRPr="001D228D">
        <w:t>. Acclimation adaptations partially reverse within 2–3 weeks of heat withdrawal; however</w:t>
      </w:r>
      <w:r>
        <w:t>,</w:t>
      </w:r>
      <w:r w:rsidRPr="001D228D">
        <w:t xml:space="preserve"> re-acclimation occurs quicker than initial acclimation </w:t>
      </w:r>
      <w:sdt>
        <w:sdtPr>
          <w:rPr>
            <w:color w:val="000000"/>
          </w:rPr>
          <w:tag w:val="MENDELEY_CITATION_v3_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"/>
          <w:id w:val="493146569"/>
          <w:placeholder>
            <w:docPart w:val="DefaultPlaceholder_-1854013440"/>
          </w:placeholder>
        </w:sdtPr>
        <w:sdtContent>
          <w:r w:rsidR="00B43409" w:rsidRPr="00B43409">
            <w:rPr>
              <w:color w:val="000000"/>
            </w:rPr>
            <w:t>[64]</w:t>
          </w:r>
        </w:sdtContent>
      </w:sdt>
      <w:r w:rsidRPr="001D228D">
        <w:t xml:space="preserve">. </w:t>
      </w:r>
    </w:p>
    <w:p w14:paraId="5EFE020B" w14:textId="1935F60F" w:rsidR="00CE64DB" w:rsidRPr="001D228D" w:rsidRDefault="00CE64DB" w:rsidP="001150F4">
      <w:r w:rsidRPr="001D228D">
        <w:rPr>
          <w:rStyle w:val="Strong"/>
        </w:rPr>
        <w:t xml:space="preserve">Hydration and nutrition. </w:t>
      </w:r>
      <w:r w:rsidRPr="001D228D">
        <w:t xml:space="preserve">Dehydration ≥ 2 % body mass elevates CBT by 0.2–0.5 °C for a given workload due to plasma-volume reduction, impaired skin blood flow, and reduced sweat rate </w:t>
      </w:r>
      <w:sdt>
        <w:sdtPr>
          <w:rPr>
            <w:color w:val="000000"/>
          </w:rPr>
          <w:tag w:val="MENDELEY_CITATION_v3_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"/>
          <w:id w:val="1429462889"/>
          <w:placeholder>
            <w:docPart w:val="DefaultPlaceholder_-1854013440"/>
          </w:placeholder>
        </w:sdtPr>
        <w:sdtContent>
          <w:r w:rsidR="00B43409" w:rsidRPr="00B43409">
            <w:rPr>
              <w:color w:val="000000"/>
            </w:rPr>
            <w:t>[66]</w:t>
          </w:r>
        </w:sdtContent>
      </w:sdt>
      <w:r w:rsidRPr="001D228D">
        <w:t xml:space="preserve">. </w:t>
      </w:r>
      <w:r>
        <w:t>Diet-induced</w:t>
      </w:r>
      <w:r w:rsidRPr="001D228D">
        <w:t xml:space="preserve"> thermogenesis (DIT) transiently raises CBT by ~0.2–0.4 °C, peaking 1–3 h after eating</w:t>
      </w:r>
      <w:r>
        <w:t>,</w:t>
      </w:r>
      <w:r w:rsidRPr="001D228D">
        <w:t xml:space="preserve"> depending on macronutrient content </w:t>
      </w:r>
      <w:sdt>
        <w:sdtPr>
          <w:rPr>
            <w:color w:val="000000"/>
          </w:rPr>
          <w:tag w:val="MENDELEY_CITATION_v3_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"/>
          <w:id w:val="-2054842950"/>
          <w:placeholder>
            <w:docPart w:val="DefaultPlaceholder_-1854013440"/>
          </w:placeholder>
        </w:sdtPr>
        <w:sdtContent>
          <w:r w:rsidR="00B43409" w:rsidRPr="00B43409">
            <w:rPr>
              <w:color w:val="000000"/>
            </w:rPr>
            <w:t>[67]</w:t>
          </w:r>
        </w:sdtContent>
      </w:sdt>
      <w:r w:rsidRPr="001D228D">
        <w:t xml:space="preserve">, while </w:t>
      </w:r>
      <w:r>
        <w:t xml:space="preserve">the </w:t>
      </w:r>
      <w:r w:rsidRPr="001D228D">
        <w:t xml:space="preserve">presence of diabetes mellitus, insulin resistance, obesity or thyroid disease alters the impacts </w:t>
      </w:r>
      <w:sdt>
        <w:sdtPr>
          <w:rPr>
            <w:color w:val="000000"/>
          </w:rPr>
          <w:tag w:val="MENDELEY_CITATION_v3_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"/>
          <w:id w:val="-355811362"/>
          <w:placeholder>
            <w:docPart w:val="DefaultPlaceholder_-1854013440"/>
          </w:placeholder>
        </w:sdtPr>
        <w:sdtContent>
          <w:r w:rsidR="00B43409" w:rsidRPr="00B43409">
            <w:rPr>
              <w:color w:val="000000"/>
            </w:rPr>
            <w:t>[68]</w:t>
          </w:r>
        </w:sdtContent>
      </w:sdt>
      <w:r w:rsidRPr="001D228D">
        <w:t xml:space="preserve">. Caffeine and capsaicin stimulate metabolic heat production, whereas alcohol depresses vasoconstriction, lowering CBT in cool conditions </w:t>
      </w:r>
      <w:sdt>
        <w:sdtPr>
          <w:rPr>
            <w:color w:val="000000"/>
          </w:rPr>
          <w:tag w:val="MENDELEY_CITATION_v3_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
          <w:id w:val="-1130931425"/>
          <w:placeholder>
            <w:docPart w:val="DefaultPlaceholder_-1854013440"/>
          </w:placeholder>
        </w:sdtPr>
        <w:sdtContent>
          <w:r w:rsidR="00B43409" w:rsidRPr="00B43409">
            <w:rPr>
              <w:color w:val="000000"/>
            </w:rPr>
            <w:t>[15,69]</w:t>
          </w:r>
        </w:sdtContent>
      </w:sdt>
      <w:r w:rsidRPr="001D228D">
        <w:t>.</w:t>
      </w:r>
    </w:p>
    <w:p w14:paraId="51A14A18" w14:textId="358C1508" w:rsidR="00CE64DB" w:rsidRPr="001D228D" w:rsidRDefault="00CE64DB" w:rsidP="001150F4">
      <w:r w:rsidRPr="001D228D">
        <w:rPr>
          <w:rStyle w:val="Strong"/>
        </w:rPr>
        <w:t xml:space="preserve">Body composition. </w:t>
      </w:r>
      <w:r w:rsidRPr="001D228D">
        <w:t xml:space="preserve">Greater subcutaneous adiposity increases insulation and thermal inertia, lengthening CBT time constants by 20–30 % compared with lean individuals </w:t>
      </w:r>
      <w:sdt>
        <w:sdtPr>
          <w:rPr>
            <w:color w:val="000000"/>
          </w:rPr>
          <w:tag w:val="MENDELEY_CITATION_v3_eyJjaXRhdGlvbklEIjoiTUVOREVMRVlfQ0lUQVRJT05fNzg2MzcxNzUtY2I2OS00YzE4LTljZDgtMzNiNThjYTAyZGYxIiwicHJvcGVydGllcyI6eyJub3RlSW5kZXgiOjB9LCJpc0VkaXRlZCI6ZmFsc2UsIm1hbnVhbE92ZXJyaWRlIjp7ImNpdGVwcm9jVGV4dCI6Ils0X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1dfQ=="/>
          <w:id w:val="1794327619"/>
          <w:placeholder>
            <w:docPart w:val="DefaultPlaceholder_-1854013440"/>
          </w:placeholder>
        </w:sdtPr>
        <w:sdtContent>
          <w:r w:rsidR="00B43409" w:rsidRPr="00B43409">
            <w:rPr>
              <w:color w:val="000000"/>
            </w:rPr>
            <w:t>[4]</w:t>
          </w:r>
        </w:sdtContent>
      </w:sdt>
      <w:r w:rsidRPr="001D228D">
        <w:t xml:space="preserve">. Conversely, higher muscle mass and surface-to-mass ratio facilitate faster heat dissipation. </w:t>
      </w:r>
    </w:p>
    <w:p w14:paraId="33A45C5A" w14:textId="577C093E" w:rsidR="00CE64DB" w:rsidRPr="001D228D" w:rsidRDefault="00CE64DB" w:rsidP="001150F4">
      <w:r w:rsidRPr="001D228D">
        <w:rPr>
          <w:b/>
          <w:bCs/>
        </w:rPr>
        <w:t>Posture.</w:t>
      </w:r>
      <w:r w:rsidRPr="001D228D">
        <w:t xml:space="preserve"> Posture changes (supine to upright) can transiently alter CBT by ~0.1–0.4 °C through redistribution of blood volume and convective exchange </w:t>
      </w:r>
      <w:sdt>
        <w:sdtPr>
          <w:rPr>
            <w:color w:val="000000"/>
          </w:rPr>
          <w:tag w:val="MENDELEY_CITATION_v3_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"/>
          <w:id w:val="293492927"/>
          <w:placeholder>
            <w:docPart w:val="DefaultPlaceholder_-1854013440"/>
          </w:placeholder>
        </w:sdtPr>
        <w:sdtContent>
          <w:r w:rsidR="00B43409" w:rsidRPr="00B43409">
            <w:rPr>
              <w:color w:val="000000"/>
            </w:rPr>
            <w:t>[70,71]</w:t>
          </w:r>
        </w:sdtContent>
      </w:sdt>
      <w:r w:rsidRPr="001D228D">
        <w:t>.</w:t>
      </w:r>
    </w:p>
    <w:p w14:paraId="4377B62C" w14:textId="3A8C3A19" w:rsidR="00CE64DB" w:rsidRPr="001D228D" w:rsidRDefault="00CE64DB" w:rsidP="001150F4">
      <w:r w:rsidRPr="001D228D">
        <w:rPr>
          <w:b/>
          <w:bCs/>
        </w:rPr>
        <w:t>Chronotype and sleep timing.</w:t>
      </w:r>
      <w:r w:rsidRPr="001D228D">
        <w:t xml:space="preserve"> Interindividual differences in circadian phase shift CBT acrophase and amplitude </w:t>
      </w:r>
      <w:sdt>
        <w:sdtPr>
          <w:rPr>
            <w:color w:val="000000"/>
          </w:rPr>
          <w:tag w:val="MENDELEY_CITATION_v3_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"/>
          <w:id w:val="-659699124"/>
          <w:placeholder>
            <w:docPart w:val="DefaultPlaceholder_-1854013440"/>
          </w:placeholder>
        </w:sdtPr>
        <w:sdtContent>
          <w:r w:rsidR="00B43409" w:rsidRPr="00B43409">
            <w:rPr>
              <w:color w:val="000000"/>
            </w:rPr>
            <w:t>[72]</w:t>
          </w:r>
        </w:sdtContent>
      </w:sdt>
      <w:r w:rsidRPr="001D228D">
        <w:t>. Evening types (</w:t>
      </w:r>
      <w:r w:rsidRPr="001D228D">
        <w:rPr>
          <w:i/>
          <w:iCs/>
        </w:rPr>
        <w:t>owls</w:t>
      </w:r>
      <w:r w:rsidRPr="001D228D">
        <w:t>) exhibit delayed peaks and elevated nocturnal troughs, while morning types (</w:t>
      </w:r>
      <w:r w:rsidRPr="001D228D">
        <w:rPr>
          <w:i/>
          <w:iCs/>
        </w:rPr>
        <w:t>larks</w:t>
      </w:r>
      <w:r w:rsidRPr="001D228D">
        <w:t>) peak earlier by around 2 hours </w:t>
      </w:r>
      <w:sdt>
        <w:sdtPr>
          <w:rPr>
            <w:color w:val="000000"/>
          </w:rPr>
          <w:tag w:val="MENDELEY_CITATION_v3_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"/>
          <w:id w:val="594205131"/>
          <w:placeholder>
            <w:docPart w:val="DefaultPlaceholder_-1854013440"/>
          </w:placeholder>
        </w:sdtPr>
        <w:sdtContent>
          <w:r w:rsidR="00B43409" w:rsidRPr="00B43409">
            <w:rPr>
              <w:color w:val="000000"/>
            </w:rPr>
            <w:t>[73,74]</w:t>
          </w:r>
        </w:sdtContent>
      </w:sdt>
      <w:r w:rsidRPr="001D228D">
        <w:t xml:space="preserve">. Sleep deprivation may blunt CBT amplitude, delay phase onset and lower overall CBT the following day during wake hours </w:t>
      </w:r>
      <w:sdt>
        <w:sdtPr>
          <w:rPr>
            <w:color w:val="000000"/>
          </w:rPr>
          <w:tag w:val="MENDELEY_CITATION_v3_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"/>
          <w:id w:val="1821384256"/>
          <w:placeholder>
            <w:docPart w:val="DefaultPlaceholder_-1854013440"/>
          </w:placeholder>
        </w:sdtPr>
        <w:sdtContent>
          <w:r w:rsidR="00B43409" w:rsidRPr="00B43409">
            <w:rPr>
              <w:color w:val="000000"/>
            </w:rPr>
            <w:t>[75]</w:t>
          </w:r>
        </w:sdtContent>
      </w:sdt>
      <w:r w:rsidRPr="001D228D">
        <w:t>.</w:t>
      </w:r>
    </w:p>
    <w:p w14:paraId="629488C7" w14:textId="1B774627" w:rsidR="00CE64DB" w:rsidRPr="001D228D" w:rsidRDefault="00CE64DB" w:rsidP="001150F4">
      <w:r w:rsidRPr="001D228D">
        <w:rPr>
          <w:b/>
          <w:bCs/>
        </w:rPr>
        <w:t xml:space="preserve">Neurodivergent </w:t>
      </w:r>
      <w:commentRangeStart w:id="16"/>
      <w:r w:rsidRPr="001D228D">
        <w:rPr>
          <w:b/>
          <w:bCs/>
        </w:rPr>
        <w:t>populations</w:t>
      </w:r>
      <w:commentRangeEnd w:id="16"/>
      <w:r w:rsidR="00444234" w:rsidRPr="001D228D">
        <w:rPr>
          <w:rStyle w:val="CommentReference"/>
          <w:b/>
          <w:bCs/>
          <w:sz w:val="20"/>
          <w:szCs w:val="20"/>
        </w:rPr>
        <w:commentReference w:id="16"/>
      </w:r>
      <w:r w:rsidRPr="001D228D">
        <w:rPr>
          <w:b/>
          <w:bCs/>
        </w:rPr>
        <w:t xml:space="preserve">. </w:t>
      </w:r>
      <w:r w:rsidRPr="001D228D">
        <w:t xml:space="preserve">Evidence from autism spectrum disorder (ASD), ADHD, and related neurodevelopmental conditions indicates altered autonomic balance and circadian regulation. Individuals with ASD frequently display attenuated CBT amplitude and increased day-to-day variability, suggesting weaker circadian entrainment </w:t>
      </w:r>
      <w:sdt>
        <w:sdtPr>
          <w:rPr>
            <w:color w:val="000000"/>
          </w:rPr>
          <w:tag w:val="MENDELEY_CITATION_v3_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"/>
          <w:id w:val="-872534210"/>
          <w:placeholder>
            <w:docPart w:val="DefaultPlaceholder_-1854013440"/>
          </w:placeholder>
        </w:sdtPr>
        <w:sdtContent>
          <w:r w:rsidR="00B43409" w:rsidRPr="00B43409">
            <w:rPr>
              <w:color w:val="000000"/>
            </w:rPr>
            <w:t>[76]</w:t>
          </w:r>
        </w:sdtContent>
      </w:sdt>
      <w:r w:rsidRPr="001D228D">
        <w:t xml:space="preserve">. Melatonin secretion profiles in ASD are often delayed or reduced </w:t>
      </w:r>
      <w:sdt>
        <w:sdtPr>
          <w:rPr>
            <w:color w:val="000000"/>
          </w:rPr>
          <w:tag w:val="MENDELEY_CITATION_v3_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"/>
          <w:id w:val="-877853828"/>
          <w:placeholder>
            <w:docPart w:val="DefaultPlaceholder_-1854013440"/>
          </w:placeholder>
        </w:sdtPr>
        <w:sdtContent>
          <w:r w:rsidR="00B43409" w:rsidRPr="00B43409">
            <w:rPr>
              <w:color w:val="000000"/>
            </w:rPr>
            <w:t>[77]</w:t>
          </w:r>
        </w:sdtContent>
      </w:sdt>
      <w:r w:rsidRPr="001D228D">
        <w:t xml:space="preserve">, producing phase lags of 1–4 h relative to typically developing controls, with corresponding CBT delays of similar magnitude </w:t>
      </w:r>
      <w:sdt>
        <w:sdtPr>
          <w:rPr>
            <w:color w:val="000000"/>
          </w:rPr>
          <w:tag w:val="MENDELEY_CITATION_v3_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"/>
          <w:id w:val="474880753"/>
          <w:placeholder>
            <w:docPart w:val="DefaultPlaceholder_-1854013440"/>
          </w:placeholder>
        </w:sdtPr>
        <w:sdtContent>
          <w:r w:rsidR="00B43409" w:rsidRPr="00B43409">
            <w:rPr>
              <w:color w:val="000000"/>
            </w:rPr>
            <w:t>[78]</w:t>
          </w:r>
        </w:sdtContent>
      </w:sdt>
      <w:r w:rsidRPr="001D228D">
        <w:t xml:space="preserve">. ADHD is associated with delayed sleep onset, longer sleep latency, and a consistent eveningness preference </w:t>
      </w:r>
      <w:sdt>
        <w:sdtPr>
          <w:rPr>
            <w:color w:val="000000"/>
          </w:rPr>
          <w:tag w:val="MENDELEY_CITATION_v3_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"/>
          <w:id w:val="-1327274371"/>
          <w:placeholder>
            <w:docPart w:val="DefaultPlaceholder_-1854013440"/>
          </w:placeholder>
        </w:sdtPr>
        <w:sdtContent>
          <w:r w:rsidR="00B43409" w:rsidRPr="00B43409">
            <w:rPr>
              <w:color w:val="000000"/>
            </w:rPr>
            <w:t>[79]</w:t>
          </w:r>
        </w:sdtContent>
      </w:sdt>
      <w:r w:rsidRPr="001D228D">
        <w:t xml:space="preserve">, all of which shift CBT acrophase later into the evening </w:t>
      </w:r>
      <w:sdt>
        <w:sdtPr>
          <w:rPr>
            <w:color w:val="000000"/>
          </w:rPr>
          <w:tag w:val="MENDELEY_CITATION_v3_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"/>
          <w:id w:val="-1067798247"/>
          <w:placeholder>
            <w:docPart w:val="DefaultPlaceholder_-1854013440"/>
          </w:placeholder>
        </w:sdtPr>
        <w:sdtContent>
          <w:r w:rsidR="00B43409" w:rsidRPr="00B43409">
            <w:rPr>
              <w:color w:val="000000"/>
            </w:rPr>
            <w:t>[80]</w:t>
          </w:r>
        </w:sdtContent>
      </w:sdt>
      <w:r w:rsidRPr="001D228D">
        <w:t xml:space="preserve">. </w:t>
      </w:r>
    </w:p>
    <w:p w14:paraId="77502F7A" w14:textId="44B49379" w:rsidR="00CE64DB" w:rsidRPr="001D228D" w:rsidRDefault="00CE64DB" w:rsidP="001150F4">
      <w:r w:rsidRPr="001D228D">
        <w:rPr>
          <w:b/>
          <w:bCs/>
        </w:rPr>
        <w:t xml:space="preserve">Underlying medical conditions and medications. </w:t>
      </w:r>
      <w:r w:rsidRPr="001D228D">
        <w:t xml:space="preserve">Fever and systemic inflammation raise the hypothalamic set-point via cytokine-mediated prostaglandin synthesis </w:t>
      </w:r>
      <w:sdt>
        <w:sdtPr>
          <w:rPr>
            <w:color w:val="000000"/>
          </w:rPr>
          <w:tag w:val="MENDELEY_CITATION_v3_eyJjaXRhdGlvbklEIjoiTUVOREVMRVlfQ0lUQVRJT05fODczYzIzNDMtOTQ2Ni00NGJhLTljNjYtZGNlOWM2NDVhYTNmIiwicHJvcGVydGllcyI6eyJub3RlSW5kZXgiOjB9LCJpc0VkaXRlZCI6ZmFsc2UsIm1hbnVhbE92ZXJyaWRlIjp7ImNpdGVwcm9jVGV4dCI6IlsxNV0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
          <w:id w:val="599063709"/>
          <w:placeholder>
            <w:docPart w:val="DefaultPlaceholder_-1854013440"/>
          </w:placeholder>
        </w:sdtPr>
        <w:sdtContent>
          <w:r w:rsidR="00B43409" w:rsidRPr="00B43409">
            <w:rPr>
              <w:color w:val="000000"/>
            </w:rPr>
            <w:t>[15]</w:t>
          </w:r>
        </w:sdtContent>
      </w:sdt>
      <w:r w:rsidRPr="001D228D">
        <w:t xml:space="preserve">. Thyroid dysfunctions, particularly hyperthyroidism, elevate basal metabolic rate and CBT, whereas hypothyroidism lowers it by a similar margin </w:t>
      </w:r>
      <w:sdt>
        <w:sdtPr>
          <w:rPr>
            <w:color w:val="000000"/>
          </w:rPr>
          <w:tag w:val="MENDELEY_CITATION_v3_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"/>
          <w:id w:val="-1779167074"/>
          <w:placeholder>
            <w:docPart w:val="DefaultPlaceholder_-1854013440"/>
          </w:placeholder>
        </w:sdtPr>
        <w:sdtContent>
          <w:r w:rsidR="00B43409" w:rsidRPr="00B43409">
            <w:rPr>
              <w:color w:val="000000"/>
            </w:rPr>
            <w:t>[81]</w:t>
          </w:r>
        </w:sdtContent>
      </w:sdt>
      <w:r w:rsidRPr="001D228D">
        <w:t xml:space="preserve">. Autonomic neuropathy impairs thermoeffector control of skin blood flow and sweating, increasing vulnerability to heat and cold stress </w:t>
      </w:r>
      <w:sdt>
        <w:sdtPr>
          <w:rPr>
            <w:color w:val="000000"/>
          </w:rPr>
          <w:tag w:val="MENDELEY_CITATION_v3_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"/>
          <w:id w:val="1665749141"/>
          <w:placeholder>
            <w:docPart w:val="DefaultPlaceholder_-1854013440"/>
          </w:placeholder>
        </w:sdtPr>
        <w:sdtContent>
          <w:r w:rsidR="00B43409" w:rsidRPr="00B43409">
            <w:rPr>
              <w:color w:val="000000"/>
            </w:rPr>
            <w:t>[82]</w:t>
          </w:r>
        </w:sdtContent>
      </w:sdt>
      <w:r w:rsidRPr="001D228D">
        <w:t xml:space="preserve">. Diabetes mellitus, through autonomic and microvascular dysfunction, reduces heat-dissipation capacity and alters core temperature responses </w:t>
      </w:r>
      <w:sdt>
        <w:sdtPr>
          <w:rPr>
            <w:color w:val="000000"/>
          </w:rPr>
          <w:tag w:val="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"/>
          <w:id w:val="938957046"/>
          <w:placeholder>
            <w:docPart w:val="DefaultPlaceholder_-1854013440"/>
          </w:placeholder>
        </w:sdtPr>
        <w:sdtContent>
          <w:r w:rsidR="00B43409" w:rsidRPr="00B43409">
            <w:rPr>
              <w:color w:val="000000"/>
            </w:rPr>
            <w:t>[83,84]</w:t>
          </w:r>
        </w:sdtContent>
      </w:sdt>
      <w:r w:rsidRPr="001D228D">
        <w:t xml:space="preserve">. Parkinson’s patients have lower </w:t>
      </w:r>
      <w:r>
        <w:t>nighttime</w:t>
      </w:r>
      <w:r w:rsidRPr="001D228D">
        <w:t xml:space="preserve"> CBT following the severity of RSB symptoms </w:t>
      </w:r>
      <w:sdt>
        <w:sdtPr>
          <w:rPr>
            <w:color w:val="000000"/>
          </w:rPr>
          <w:tag w:val="MENDELEY_CITATION_v3_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"/>
          <w:id w:val="-1580197548"/>
          <w:placeholder>
            <w:docPart w:val="DefaultPlaceholder_-1854013440"/>
          </w:placeholder>
        </w:sdtPr>
        <w:sdtContent>
          <w:r w:rsidR="00B43409" w:rsidRPr="00B43409">
            <w:rPr>
              <w:color w:val="000000"/>
            </w:rPr>
            <w:t>[85]</w:t>
          </w:r>
        </w:sdtContent>
      </w:sdt>
      <w:r w:rsidRPr="001D228D">
        <w:t xml:space="preserve">. Spinal cord injury, especially lesions at or above T6, interrupts sympathetic outflow and sweating/vasomotor control, leading to impaired thermoregulation </w:t>
      </w:r>
      <w:sdt>
        <w:sdtPr>
          <w:rPr>
            <w:color w:val="000000"/>
          </w:rPr>
          <w:tag w:val="MENDELEY_CITATION_v3_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"/>
          <w:id w:val="-2034331732"/>
          <w:placeholder>
            <w:docPart w:val="DefaultPlaceholder_-1854013440"/>
          </w:placeholder>
        </w:sdtPr>
        <w:sdtContent>
          <w:r w:rsidR="00B43409" w:rsidRPr="00B43409">
            <w:rPr>
              <w:color w:val="000000"/>
            </w:rPr>
            <w:t>[86,87]</w:t>
          </w:r>
        </w:sdtContent>
      </w:sdt>
      <w:r w:rsidRPr="001D228D">
        <w:t xml:space="preserve">. β-blockers, anticholinergics, sedatives, and SSRIs further modulate thermoregulatory control and should be screened </w:t>
      </w:r>
      <w:sdt>
        <w:sdtPr>
          <w:rPr>
            <w:color w:val="000000"/>
          </w:rPr>
          <w:tag w:val="MENDELEY_CITATION_v3_eyJjaXRhdGlvbklEIjoiTUVOREVMRVlfQ0lUQVRJT05fNWQ2ZTk4YzEtN2I1MS00NDdlLWI5NWYtNWUzZTQ3YzQwZTA3IiwicHJvcGVydGllcyI6eyJub3RlSW5kZXgiOjB9LCJpc0VkaXRlZCI6ZmFsc2UsIm1hbnVhbE92ZXJyaWRlIjp7ImNpdGVwcm9jVGV4dCI6IlsxNV0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
          <w:id w:val="2142073109"/>
          <w:placeholder>
            <w:docPart w:val="DefaultPlaceholder_-1854013440"/>
          </w:placeholder>
        </w:sdtPr>
        <w:sdtContent>
          <w:r w:rsidR="00B43409" w:rsidRPr="00B43409">
            <w:rPr>
              <w:color w:val="000000"/>
            </w:rPr>
            <w:t>[15]</w:t>
          </w:r>
        </w:sdtContent>
      </w:sdt>
      <w:r w:rsidRPr="001D228D">
        <w:t>.</w:t>
      </w:r>
    </w:p>
    <w:p w14:paraId="5A3A5ED1" w14:textId="2DF4DD6A" w:rsidR="00CE64DB" w:rsidRPr="001D228D" w:rsidRDefault="00CE64DB" w:rsidP="001150F4">
      <w:r w:rsidRPr="001D228D">
        <w:rPr>
          <w:b/>
          <w:bCs/>
        </w:rPr>
        <w:t>Measurement artefacts</w:t>
      </w:r>
      <w:r w:rsidRPr="001D228D">
        <w:t xml:space="preserve">. Shallow rectal insertion, oral breathing/cold or hot fluids, or cerumen/misalignment in tympanic readings bias results; for ingestible pills, ingestion/timing, GI motility and device bias matter </w:t>
      </w:r>
      <w:sdt>
        <w:sdtPr>
          <w:rPr>
            <w:color w:val="000000"/>
          </w:rPr>
          <w:tag w:val="MENDELEY_CITATION_v3_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"/>
          <w:id w:val="-908378253"/>
          <w:placeholder>
            <w:docPart w:val="DefaultPlaceholder_-1854013440"/>
          </w:placeholder>
        </w:sdtPr>
        <w:sdtContent>
          <w:r w:rsidR="00B43409" w:rsidRPr="00B43409">
            <w:rPr>
              <w:color w:val="000000"/>
            </w:rPr>
            <w:t>[3,25,88,89]</w:t>
          </w:r>
        </w:sdtContent>
      </w:sdt>
      <w:r w:rsidRPr="001D228D">
        <w:t>.</w:t>
      </w:r>
    </w:p>
    <w:p w14:paraId="0C546FBD" w14:textId="77777777" w:rsidR="00CE64DB" w:rsidRPr="00BB1EA7" w:rsidRDefault="00CE64DB" w:rsidP="007A2440">
      <w:pPr>
        <w:pStyle w:val="Heading3"/>
        <w:rPr>
          <w:lang w:val="en-GB"/>
        </w:rPr>
      </w:pPr>
      <w:bookmarkStart w:id="17" w:name="_Toc211009208"/>
      <w:bookmarkStart w:id="18" w:name="_Toc223281669"/>
      <w:r w:rsidRPr="00BB1EA7">
        <w:rPr>
          <w:lang w:val="en-GB"/>
        </w:rPr>
        <w:t>Data handling methods</w:t>
      </w:r>
      <w:bookmarkEnd w:id="17"/>
      <w:bookmarkEnd w:id="18"/>
    </w:p>
    <w:p w14:paraId="1E4F6A26" w14:textId="77777777" w:rsidR="00CE64DB" w:rsidRPr="00BB1EA7" w:rsidRDefault="00CE64DB" w:rsidP="007A2440">
      <w:pPr>
        <w:pStyle w:val="Heading4"/>
        <w:rPr>
          <w:lang w:val="en-GB"/>
        </w:rPr>
      </w:pPr>
      <w:r w:rsidRPr="00BB1EA7">
        <w:rPr>
          <w:lang w:val="en-GB"/>
        </w:rPr>
        <w:t>Sensor calibration</w:t>
      </w:r>
    </w:p>
    <w:p w14:paraId="67A7E807" w14:textId="3003B28F" w:rsidR="00CE64DB" w:rsidRPr="00BB1EA7" w:rsidRDefault="00CE64DB" w:rsidP="00A67372">
      <w:pPr>
        <w:rPr>
          <w:lang w:val="en-US"/>
        </w:rPr>
      </w:pPr>
      <w:r w:rsidRPr="00BB1EA7">
        <w:t>Sensor calibration is a critical step prior to data collection, particularly for ingestible telemetry pills and thermistors, to ensure measurement accuracy and correct for systematic bias. The standard approach involves evaluating each sensor individually against a certified, traceable reference thermometer in a circulated, heated water bath</w:t>
      </w:r>
      <w:r w:rsidRPr="00BB1EA7">
        <w:rPr>
          <w:lang w:val="en-US"/>
        </w:rPr>
        <w:t xml:space="preserve"> </w:t>
      </w:r>
      <w:sdt>
        <w:sdtPr>
          <w:rPr>
            <w:color w:val="000000"/>
            <w:lang w:val="en-US"/>
          </w:rPr>
          <w:tag w:val="MENDELEY_CITATION_v3_eyJjaXRhdGlvbklEIjoiTUVOREVMRVlfQ0lUQVRJT05fZWQ4ZWViOWEtNDk2ZC00MDBhLThhNzAtYzg1MGE5MzA2ZGU2IiwicHJvcGVydGllcyI6eyJub3RlSW5kZXgiOjB9LCJpc0VkaXRlZCI6ZmFsc2UsIm1hbnVhbE92ZXJyaWRlIjp7ImNpdGVwcm9jVGV4dCI6Ils5MF0iLCJpc01hbnVhbGx5T3ZlcnJpZGRlbiI6ZmFsc2UsIm1hbnVhbE92ZXJyaWRlVGV4dCI6IiJ9LCJjaXRhdGlvbkl0ZW1zIjpbeyJpZCI6ImI1ODFkZTk1LTc1ODgtNWNlOS04OGM3LTU1MjViYWU0NTE3OS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YjU4MWRlOTUtNzU4OC01Y2U5LTg4YzctNTUyNWJhZTQ1MTc5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E2Y2YyZjJlLTE4YjctNDRhNy04OTgwLWY4OTcwNDE1NDBiMCJdLCJpc1RlbXBvcmFyeSI6ZmFsc2UsImxlZ2FjeURlc2t0b3BJZCI6IjE2Y2YyZjJlLTE4YjctNDRhNy04OTgwLWY4OTcwNDE1NDBiMCJ9XX0="/>
          <w:id w:val="680096076"/>
          <w:placeholder>
            <w:docPart w:val="DefaultPlaceholder_-1854013440"/>
          </w:placeholder>
        </w:sdtPr>
        <w:sdtEndPr>
          <w:rPr>
            <w:lang w:val="en-GB"/>
          </w:rPr>
        </w:sdtEndPr>
        <w:sdtContent>
          <w:r w:rsidR="00B43409" w:rsidRPr="00B43409">
            <w:rPr>
              <w:color w:val="000000"/>
            </w:rPr>
            <w:t>[90]</w:t>
          </w:r>
        </w:sdtContent>
      </w:sdt>
      <w:r w:rsidRPr="00BB1EA7">
        <w:t xml:space="preserve">. Calibration should be performed across a physiologically valid range of temperatures (typically three to five discrete points, such as </w:t>
      </w:r>
      <w:r w:rsidRPr="00BB1EA7">
        <w:lastRenderedPageBreak/>
        <w:t>30 °C, 34 °C, 38 °C, and 42 °C). After allowing sufficient time for the sensor and water temperature to stabilise (e.g., &gt;4 minutes), simultaneous readings are recorded to establish a relationship</w:t>
      </w:r>
      <w:r w:rsidRPr="00BB1EA7">
        <w:rPr>
          <w:lang w:val="en-US"/>
        </w:rPr>
        <w:t xml:space="preserve"> </w:t>
      </w:r>
      <w:sdt>
        <w:sdtPr>
          <w:rPr>
            <w:color w:val="000000"/>
            <w:lang w:val="en-US"/>
          </w:rPr>
          <w:tag w:val="MENDELEY_CITATION_v3_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Sx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"/>
          <w:id w:val="-1831284945"/>
          <w:placeholder>
            <w:docPart w:val="DefaultPlaceholder_-1854013440"/>
          </w:placeholder>
        </w:sdtPr>
        <w:sdtEndPr>
          <w:rPr>
            <w:lang w:val="en-GB"/>
          </w:rPr>
        </w:sdtEndPr>
        <w:sdtContent>
          <w:r w:rsidR="00B43409" w:rsidRPr="00B43409">
            <w:rPr>
              <w:color w:val="000000"/>
            </w:rPr>
            <w:t>[22,89,91,92]</w:t>
          </w:r>
        </w:sdtContent>
      </w:sdt>
      <w:r w:rsidRPr="00BB1EA7">
        <w:rPr>
          <w:lang w:val="en-US"/>
        </w:rPr>
        <w:t>.</w:t>
      </w:r>
    </w:p>
    <w:p w14:paraId="2F7D4589" w14:textId="01EAA9D7" w:rsidR="00CE64DB" w:rsidRPr="00BB1EA7" w:rsidRDefault="00CE64DB" w:rsidP="001150F4">
      <w:pPr>
        <w:rPr>
          <w:lang w:val="en-US"/>
        </w:rPr>
      </w:pPr>
      <w:r w:rsidRPr="00BB1EA7">
        <w:t>Because individual sensors can exhibit systematic biases or offsets from the manufacturer's stated accuracy, the water bath data is used to generate an individualised linear regression equation for each sensor. This individual equation is then applied to correct the raw data collected during the actual experiment. Alternatively, a generalised linear correction equation can be applied to the raw data, provided that a single-point preliminary check confirms the sensor falls within an acceptable initial error margin (e.g., ±0.5 °C of the reference thermometer)</w:t>
      </w:r>
      <w:r w:rsidRPr="00BB1EA7">
        <w:rPr>
          <w:lang w:val="en-US"/>
        </w:rPr>
        <w:t xml:space="preserve"> </w:t>
      </w:r>
      <w:sdt>
        <w:sdtPr>
          <w:rPr>
            <w:color w:val="000000"/>
            <w:lang w:val="en-US"/>
          </w:rPr>
          <w:tag w:val="MENDELEY_CITATION_v3_eyJjaXRhdGlvbklEIjoiTUVOREVMRVlfQ0lUQVRJT05fMWRhMTFiYTMtOGQ4Ny00NGY5LTlkZWUtOWI0ZmE2ODVlMDQyIiwicHJvcGVydGllcyI6eyJub3RlSW5kZXgiOjB9LCJpc0VkaXRlZCI6ZmFsc2UsIm1hbnVhbE92ZXJyaWRlIjp7ImNpdGVwcm9jVGV4dCI6Ils4OV0iLCJpc01hbnVhbGx5T3ZlcnJpZGRlbiI6ZmFsc2UsIm1hbnVhbE92ZXJyaWRlVGV4dCI6IiJ9LCJjaXRhdGlvbkl0ZW1zIjpb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V19"/>
          <w:id w:val="1856388148"/>
          <w:placeholder>
            <w:docPart w:val="DefaultPlaceholder_-1854013440"/>
          </w:placeholder>
        </w:sdtPr>
        <w:sdtEndPr>
          <w:rPr>
            <w:lang w:val="en-GB"/>
          </w:rPr>
        </w:sdtEndPr>
        <w:sdtContent>
          <w:r w:rsidR="00B43409" w:rsidRPr="00B43409">
            <w:rPr>
              <w:color w:val="000000"/>
            </w:rPr>
            <w:t>[89]</w:t>
          </w:r>
        </w:sdtContent>
      </w:sdt>
      <w:r w:rsidRPr="00BB1EA7">
        <w:t>.</w:t>
      </w:r>
      <w:r w:rsidRPr="00BB1EA7">
        <w:rPr>
          <w:lang w:val="en-US"/>
        </w:rPr>
        <w:t xml:space="preserve"> </w:t>
      </w:r>
    </w:p>
    <w:p w14:paraId="73E16F4F" w14:textId="77777777" w:rsidR="00CE64DB" w:rsidRPr="00BB1EA7" w:rsidRDefault="00CE64DB" w:rsidP="007A2440">
      <w:pPr>
        <w:pStyle w:val="Heading4"/>
        <w:rPr>
          <w:lang w:val="en-GB"/>
        </w:rPr>
      </w:pPr>
      <w:r w:rsidRPr="00BB1EA7">
        <w:rPr>
          <w:lang w:val="en-GB"/>
        </w:rPr>
        <w:t>Data cleaning and correction</w:t>
      </w:r>
    </w:p>
    <w:p w14:paraId="2A782209" w14:textId="483D5A34" w:rsidR="00CE64DB" w:rsidRDefault="00CE64DB" w:rsidP="001150F4">
      <w:r w:rsidRPr="00BB1EA7">
        <w:rPr>
          <w:b/>
          <w:bCs/>
        </w:rPr>
        <w:t xml:space="preserve">Filtering for </w:t>
      </w:r>
      <w:r w:rsidRPr="00BB1EA7">
        <w:rPr>
          <w:b/>
          <w:bCs/>
          <w:lang w:val="en-US"/>
        </w:rPr>
        <w:t>n</w:t>
      </w:r>
      <w:r w:rsidRPr="00BB1EA7">
        <w:rPr>
          <w:b/>
          <w:bCs/>
        </w:rPr>
        <w:t>oise</w:t>
      </w:r>
      <w:r w:rsidRPr="00BB1EA7">
        <w:rPr>
          <w:b/>
          <w:bCs/>
          <w:lang w:val="en-US"/>
        </w:rPr>
        <w:t>.</w:t>
      </w:r>
      <w:r w:rsidRPr="00BB1EA7">
        <w:t xml:space="preserve"> Practical approaches</w:t>
      </w:r>
      <w:r w:rsidRPr="001D228D">
        <w:t xml:space="preserve"> include low-pass or moving-average smoothing (e.g., 30–60 s windows) to suppress motion/respiratory artefacts while retaining thermoregulatory trends </w:t>
      </w:r>
      <w:sdt>
        <w:sdtPr>
          <w:rPr>
            <w:color w:val="000000"/>
          </w:rPr>
          <w:tag w:val="MENDELEY_CITATION_v3_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ZGRlMmU2OGUtNzZmZi01MzA3LTljYzYtZTM5MjRjMDkwMTE0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WNhNDE2NDg2LTI2NjItNDY2ZS1hNTRiLWFlMzExN2FjMTU2MiIsImh0dHA6Ly93d3cubWVuZGVsZXkuY29tL2RvY3VtZW50cy8/dXVpZD04YTJjMTlkNS03OThjLTQ5MmYtYmM3Ny04ODBhYjkwYTRhZDciXSwiaXNUZW1wb3JhcnkiOmZhbHNlLCJsZWdhY3lEZXNrdG9wSWQiOiJjYTQxNjQ4Ni0yNjYyLTQ2NmUtYTU0Yi1hZTMxMTdhYzE1NjIifV19"/>
          <w:id w:val="-1345696853"/>
          <w:placeholder>
            <w:docPart w:val="DefaultPlaceholder_-1854013440"/>
          </w:placeholder>
        </w:sdtPr>
        <w:sdtContent>
          <w:r w:rsidR="00B43409" w:rsidRPr="00B43409">
            <w:rPr>
              <w:color w:val="000000"/>
            </w:rPr>
            <w:t>[93,94]</w:t>
          </w:r>
        </w:sdtContent>
      </w:sdt>
      <w:r w:rsidRPr="001D228D">
        <w:t xml:space="preserve">. </w:t>
      </w:r>
      <w:r w:rsidRPr="00BB1EA7">
        <w:t>For ingestible capsules, brief telemetry gaps (&lt; ~2 min) can be linearly interpolated; longer gaps (often caused by the sensor going temporarily out of range of the receiver) are excluded or spline-interpolated with caution</w:t>
      </w:r>
      <w:r>
        <w:t xml:space="preserve"> </w:t>
      </w:r>
      <w:sdt>
        <w:sdtPr>
          <w:rPr>
            <w:color w:val="000000"/>
          </w:rPr>
          <w:tag w:val="MENDELEY_CITATION_v3_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"/>
          <w:id w:val="-1457096788"/>
          <w:placeholder>
            <w:docPart w:val="DefaultPlaceholder_-1854013440"/>
          </w:placeholder>
        </w:sdtPr>
        <w:sdtContent>
          <w:r w:rsidR="00B43409" w:rsidRPr="00B43409">
            <w:rPr>
              <w:color w:val="000000"/>
            </w:rPr>
            <w:t>[93]</w:t>
          </w:r>
        </w:sdtContent>
      </w:sdt>
      <w:r w:rsidRPr="001D228D">
        <w:t xml:space="preserve">. </w:t>
      </w:r>
    </w:p>
    <w:p w14:paraId="5DBE8251" w14:textId="77777777" w:rsidR="00CE64DB" w:rsidRDefault="00CE64DB" w:rsidP="00315F8B">
      <w:r w:rsidRPr="00D61ACE">
        <w:rPr>
          <w:b/>
          <w:bCs/>
        </w:rPr>
        <w:t>Discarded data.</w:t>
      </w:r>
      <w:r>
        <w:t xml:space="preserve"> Artefact removal should target non-physiological discontinuities. Specific instances requiring data exclusion include:</w:t>
      </w:r>
    </w:p>
    <w:p w14:paraId="709A4F77" w14:textId="77777777" w:rsidR="00CE64DB" w:rsidRDefault="00CE64DB" w:rsidP="00D61ACE">
      <w:pPr>
        <w:pStyle w:val="Bullet"/>
        <w:numPr>
          <w:ilvl w:val="0"/>
          <w:numId w:val="0"/>
        </w:numPr>
      </w:pPr>
      <w:r>
        <w:t>-</w:t>
      </w:r>
      <w:r>
        <w:tab/>
        <w:t>Data points recorded before a sensor is properly affixed or ingested, or during known periods of temporary removal (e.g., bathing).</w:t>
      </w:r>
    </w:p>
    <w:p w14:paraId="6AE7739A" w14:textId="3956005D" w:rsidR="00CE64DB" w:rsidRDefault="00CE64DB" w:rsidP="00D61ACE">
      <w:pPr>
        <w:pStyle w:val="Bullet"/>
        <w:numPr>
          <w:ilvl w:val="0"/>
          <w:numId w:val="0"/>
        </w:numPr>
      </w:pPr>
      <w:r>
        <w:t>-</w:t>
      </w:r>
      <w:r>
        <w:tab/>
        <w:t xml:space="preserve">Sudden, transient depressions in gastrointestinal or oesophageal temperature are clearly associated with the ingestion of cold fluids or food, as these reflect local cooling rather than true core body temperature changes. To avoid these data blocks, several protocols provide food/drinks at around 36.5–37 °C </w:t>
      </w:r>
      <w:sdt>
        <w:sdtPr>
          <w:rPr>
            <w:color w:val="000000"/>
          </w:rPr>
          <w:tag w:val="MENDELEY_CITATION_v3_eyJjaXRhdGlvbklEIjoiTUVOREVMRVlfQ0lUQVRJT05fN2ZmOTc2NDAtMWFlZS00MThiLWE3ZjMtOTAxMmY3ZjZjNjkyIiwicHJvcGVydGllcyI6eyJub3RlSW5kZXgiOjB9LCJpc0VkaXRlZCI6ZmFsc2UsIm1hbnVhbE92ZXJyaWRlIjp7ImNpdGVwcm9jVGV4dCI6Ils5NV0iLCJpc01hbnVhbGx5T3ZlcnJpZGRlbiI6ZmFsc2UsIm1hbnVhbE92ZXJyaWRlVGV4dCI6IiJ9LCJjaXRhdGlvbkl0ZW1zIjpbeyJpZCI6IjVjMTdmMDllLTA4NTEtNTIxZS04Y2FhLWVjMGM2OTYwYjhkNi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NWMxN2YwOWUtMDg1MS01MjFlLThjYWEtZWMwYzY5NjBiOGQ2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ljZWFiYjBjLWQ3ZGUtNDkwNC05ZmM3LWU1YTRkNzU0NGRiMSJdLCJpc1RlbXBvcmFyeSI6ZmFsc2UsImxlZ2FjeURlc2t0b3BJZCI6IjljZWFiYjBjLWQ3ZGUtNDkwNC05ZmM3LWU1YTRkNzU0NGRiMSJ9XX0="/>
          <w:id w:val="1301805528"/>
          <w:placeholder>
            <w:docPart w:val="DefaultPlaceholder_-1854013440"/>
          </w:placeholder>
        </w:sdtPr>
        <w:sdtContent>
          <w:r w:rsidR="00B43409" w:rsidRPr="00B43409">
            <w:rPr>
              <w:color w:val="000000"/>
            </w:rPr>
            <w:t>[95]</w:t>
          </w:r>
        </w:sdtContent>
      </w:sdt>
      <w:r>
        <w:t>.</w:t>
      </w:r>
    </w:p>
    <w:p w14:paraId="4C4AC006" w14:textId="7A710198" w:rsidR="00CE64DB" w:rsidRDefault="00CE64DB" w:rsidP="00D61ACE">
      <w:pPr>
        <w:pStyle w:val="Bullet"/>
        <w:numPr>
          <w:ilvl w:val="0"/>
          <w:numId w:val="0"/>
        </w:numPr>
      </w:pPr>
      <w:r>
        <w:t>-</w:t>
      </w:r>
      <w:r>
        <w:tab/>
        <w:t xml:space="preserve">Data from the early phase of ingestible capsule transit; some protocols systematically erase data from the first several hours (e.g., 6 hours </w:t>
      </w:r>
      <w:sdt>
        <w:sdtPr>
          <w:rPr>
            <w:color w:val="000000"/>
          </w:rPr>
          <w:tag w:val="MENDELEY_CITATION_v3_eyJjaXRhdGlvbklEIjoiTUVOREVMRVlfQ0lUQVRJT05fYWQ4NzFiZDYtODdlNi00NDBiLTgxYTgtNjY0NTYzZDU4N2Y4IiwicHJvcGVydGllcyI6eyJub3RlSW5kZXgiOjB9LCJpc0VkaXRlZCI6ZmFsc2UsIm1hbnVhbE92ZXJyaWRlIjp7ImNpdGVwcm9jVGV4dCI6IlsyMl0iLCJpc01hbnVhbGx5T3ZlcnJpZGRlbiI6ZmFsc2UsIm1hbnVhbE92ZXJyaWRlVGV4dCI6IiJ9LCJjaXRhdGlvbkl0ZW1zIjpb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XX0="/>
          <w:id w:val="-494880853"/>
          <w:placeholder>
            <w:docPart w:val="DefaultPlaceholder_-1854013440"/>
          </w:placeholder>
        </w:sdtPr>
        <w:sdtContent>
          <w:r w:rsidR="00B43409" w:rsidRPr="00B43409">
            <w:rPr>
              <w:color w:val="000000"/>
            </w:rPr>
            <w:t>[22]</w:t>
          </w:r>
        </w:sdtContent>
      </w:sdt>
      <w:r>
        <w:t>) post-ingestion to avoid the instability and systematic errors associated with stomach transit.</w:t>
      </w:r>
    </w:p>
    <w:p w14:paraId="6AB5815D" w14:textId="6BAF64E4" w:rsidR="00CE64DB" w:rsidRPr="00D61ACE" w:rsidRDefault="00CE64DB" w:rsidP="00315F8B">
      <w:pPr>
        <w:rPr>
          <w:b/>
          <w:bCs/>
        </w:rPr>
      </w:pPr>
      <w:r w:rsidRPr="00D61ACE">
        <w:rPr>
          <w:b/>
          <w:bCs/>
        </w:rPr>
        <w:t xml:space="preserve">Typical ranges. </w:t>
      </w:r>
      <w:r>
        <w:t>N</w:t>
      </w:r>
      <w:r w:rsidRPr="00766FCF">
        <w:t xml:space="preserve">ormal resting core body temperature is tightly maintained </w:t>
      </w:r>
      <w:r>
        <w:t>between 36.0 – 37.5</w:t>
      </w:r>
      <w:r w:rsidRPr="00766FCF">
        <w:t xml:space="preserve"> °C</w:t>
      </w:r>
      <w:r>
        <w:t xml:space="preserve"> </w:t>
      </w:r>
      <w:sdt>
        <w:sdtPr>
          <w:rPr>
            <w:color w:val="000000"/>
          </w:rPr>
          <w:tag w:val="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"/>
          <w:id w:val="-2036642253"/>
          <w:placeholder>
            <w:docPart w:val="DefaultPlaceholder_-1854013440"/>
          </w:placeholder>
        </w:sdtPr>
        <w:sdtContent>
          <w:r w:rsidR="00B43409" w:rsidRPr="00B43409">
            <w:rPr>
              <w:color w:val="000000"/>
            </w:rPr>
            <w:t>[45,96]</w:t>
          </w:r>
        </w:sdtContent>
      </w:sdt>
      <w:r w:rsidRPr="00766FCF">
        <w:t xml:space="preserve">. Valid physiological data during severe thermal stress typically stays within the limits of clinical hypothermia (&lt; 35.0 °C) and severe hyperthermia or heat stroke (&gt; 40.0–40.5 °C). Readings falling significantly outside of these physiological extremes (such as sensor drops below 30 °C in ambulatory humans) are generally indicative of technical problems, equipment failure, </w:t>
      </w:r>
      <w:r>
        <w:t xml:space="preserve">cold food/drink ingestion, </w:t>
      </w:r>
      <w:r w:rsidRPr="00766FCF">
        <w:t xml:space="preserve">or </w:t>
      </w:r>
      <w:r>
        <w:t>the</w:t>
      </w:r>
      <w:r w:rsidRPr="00766FCF">
        <w:t xml:space="preserve"> sensor expelled from the body</w:t>
      </w:r>
      <w:r>
        <w:t>.</w:t>
      </w:r>
    </w:p>
    <w:p w14:paraId="5030CF29" w14:textId="77777777" w:rsidR="00CE64DB" w:rsidRPr="001D228D" w:rsidRDefault="00CE64DB" w:rsidP="007A2440">
      <w:pPr>
        <w:pStyle w:val="Heading4"/>
        <w:rPr>
          <w:lang w:val="en-GB"/>
        </w:rPr>
      </w:pPr>
      <w:r w:rsidRPr="001D228D">
        <w:rPr>
          <w:lang w:val="en-GB"/>
        </w:rPr>
        <w:t>Derived parameters</w:t>
      </w:r>
    </w:p>
    <w:p w14:paraId="7B8833D4" w14:textId="77777777" w:rsidR="00CE64DB" w:rsidRPr="001D228D" w:rsidRDefault="00CE64DB" w:rsidP="001150F4">
      <w:r w:rsidRPr="001D228D">
        <w:t xml:space="preserve">From the filtered signal, several derived parameters </w:t>
      </w:r>
      <w:r>
        <w:t>may be</w:t>
      </w:r>
      <w:r w:rsidRPr="001D228D">
        <w:t xml:space="preserve"> computed:</w:t>
      </w:r>
    </w:p>
    <w:p w14:paraId="33394759" w14:textId="77777777" w:rsidR="00CE64DB" w:rsidRPr="001D228D" w:rsidRDefault="00CE64DB" w:rsidP="001150F4">
      <w:pPr>
        <w:pStyle w:val="Bullet"/>
      </w:pPr>
      <w:r w:rsidRPr="001D228D">
        <w:rPr>
          <w:u w:val="single"/>
        </w:rPr>
        <w:t>Baseline CBT (°C).</w:t>
      </w:r>
      <w:r w:rsidRPr="001D228D">
        <w:t xml:space="preserve"> Mean temperature during the final 10–15 min before exposure.</w:t>
      </w:r>
    </w:p>
    <w:p w14:paraId="3772FA93" w14:textId="77777777" w:rsidR="00CE64DB" w:rsidRPr="001D228D" w:rsidRDefault="00CE64DB" w:rsidP="001150F4">
      <w:pPr>
        <w:pStyle w:val="Bullet"/>
      </w:pPr>
      <w:r w:rsidRPr="001D228D">
        <w:rPr>
          <w:u w:val="single"/>
        </w:rPr>
        <w:t>ΔCBT (°C).</w:t>
      </w:r>
      <w:r w:rsidRPr="001D228D">
        <w:t xml:space="preserve"> Difference between end- and start-exposure means; reflects net heat storage or dissipation.</w:t>
      </w:r>
    </w:p>
    <w:p w14:paraId="510399B1" w14:textId="09F928FB" w:rsidR="00CE64DB" w:rsidRPr="001D228D" w:rsidRDefault="00CE64DB" w:rsidP="001150F4">
      <w:pPr>
        <w:pStyle w:val="Bullet"/>
      </w:pPr>
      <w:r w:rsidRPr="001D228D">
        <w:rPr>
          <w:u w:val="single"/>
        </w:rPr>
        <w:t>Rate of rise (°C·h⁻¹).</w:t>
      </w:r>
      <w:r w:rsidRPr="001D228D">
        <w:t xml:space="preserve"> Linear slope of CBT during exposure; indicates the rate of uncompensated heat storage </w:t>
      </w:r>
      <w:sdt>
        <w:sdtPr>
          <w:rPr>
            <w:color w:val="000000"/>
          </w:rPr>
          <w:tag w:val="MENDELEY_CITATION_v3_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"/>
          <w:id w:val="532071857"/>
          <w:placeholder>
            <w:docPart w:val="DefaultPlaceholder_-1854013440"/>
          </w:placeholder>
        </w:sdtPr>
        <w:sdtContent>
          <w:r w:rsidR="00B43409" w:rsidRPr="00B43409">
            <w:rPr>
              <w:color w:val="000000"/>
            </w:rPr>
            <w:t>[63]</w:t>
          </w:r>
        </w:sdtContent>
      </w:sdt>
      <w:r w:rsidRPr="001D228D">
        <w:t>.</w:t>
      </w:r>
    </w:p>
    <w:p w14:paraId="122BEF4C" w14:textId="77777777" w:rsidR="00CE64DB" w:rsidRPr="001D228D" w:rsidRDefault="00CE64DB" w:rsidP="001150F4">
      <w:pPr>
        <w:pStyle w:val="Bullet"/>
      </w:pPr>
      <w:r w:rsidRPr="001D228D">
        <w:rPr>
          <w:u w:val="single"/>
        </w:rPr>
        <w:t>Peak CBT (°C).</w:t>
      </w:r>
      <w:r w:rsidRPr="001D228D">
        <w:t xml:space="preserve"> Maximum observed temperature during the protocol.</w:t>
      </w:r>
    </w:p>
    <w:p w14:paraId="3A8801D7" w14:textId="3E0BD765" w:rsidR="00CE64DB" w:rsidRPr="001D228D" w:rsidRDefault="00CE64DB" w:rsidP="001150F4">
      <w:pPr>
        <w:pStyle w:val="Bullet"/>
      </w:pPr>
      <w:r w:rsidRPr="001D228D">
        <w:rPr>
          <w:u w:val="single"/>
        </w:rPr>
        <w:t>Area under the curve (AUC, °C·min).</w:t>
      </w:r>
      <w:r w:rsidRPr="001D228D">
        <w:t xml:space="preserve"> Integral of CBT above baseline across the session, often normalised by duration (°C·min) to quantify total thermal load </w:t>
      </w:r>
      <w:sdt>
        <w:sdtPr>
          <w:rPr>
            <w:color w:val="000000"/>
          </w:rPr>
          <w:tag w:val="MENDELEY_CITATION_v3_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"/>
          <w:id w:val="56449215"/>
          <w:placeholder>
            <w:docPart w:val="DefaultPlaceholder_-1854013440"/>
          </w:placeholder>
        </w:sdtPr>
        <w:sdtContent>
          <w:r w:rsidR="00B43409" w:rsidRPr="00B43409">
            <w:rPr>
              <w:color w:val="000000"/>
            </w:rPr>
            <w:t>[97]</w:t>
          </w:r>
        </w:sdtContent>
      </w:sdt>
      <w:r w:rsidRPr="001D228D">
        <w:t>.</w:t>
      </w:r>
    </w:p>
    <w:p w14:paraId="0EBB56AC" w14:textId="77777777" w:rsidR="00CE64DB" w:rsidRPr="001D228D" w:rsidRDefault="00CE64DB" w:rsidP="001150F4">
      <w:pPr>
        <w:pStyle w:val="Bullet"/>
      </w:pPr>
      <w:r w:rsidRPr="001D228D">
        <w:rPr>
          <w:u w:val="single"/>
        </w:rPr>
        <w:t>Recovery slope (°C·h⁻¹).</w:t>
      </w:r>
      <w:r w:rsidRPr="001D228D">
        <w:rPr>
          <w:b/>
          <w:bCs/>
        </w:rPr>
        <w:t xml:space="preserve"> </w:t>
      </w:r>
      <w:r w:rsidRPr="001D228D">
        <w:t>Rate of CBT decline post-exposure, used to assess heat-dissipation efficiency and vascular recovery kinetics.</w:t>
      </w:r>
    </w:p>
    <w:p w14:paraId="43F8B57D" w14:textId="188EF600"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7650AF">
        <w:rPr>
          <w:noProof/>
        </w:rPr>
        <w:t>1</w:t>
      </w:r>
      <w:r w:rsidRPr="001D228D">
        <w:fldChar w:fldCharType="end"/>
      </w:r>
      <w:r w:rsidRPr="001D228D">
        <w:t>. Summary of core-temperature measurement techniques, signal properties, and practical considerations.</w:t>
      </w:r>
    </w:p>
    <w:tbl>
      <w:tblPr>
        <w:tblStyle w:val="PlainTable4"/>
        <w:tblW w:w="9950" w:type="dxa"/>
        <w:tblLook w:val="04A0" w:firstRow="1" w:lastRow="0" w:firstColumn="1" w:lastColumn="0" w:noHBand="0" w:noVBand="1"/>
      </w:tblPr>
      <w:tblGrid>
        <w:gridCol w:w="1449"/>
        <w:gridCol w:w="1341"/>
        <w:gridCol w:w="989"/>
        <w:gridCol w:w="1171"/>
        <w:gridCol w:w="1710"/>
        <w:gridCol w:w="1710"/>
        <w:gridCol w:w="1580"/>
      </w:tblGrid>
      <w:tr w:rsidR="00CE64DB" w:rsidRPr="00DF59EB" w14:paraId="233A66CF" w14:textId="77777777" w:rsidTr="006D4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bottom w:val="single" w:sz="4" w:space="0" w:color="auto"/>
            </w:tcBorders>
            <w:hideMark/>
          </w:tcPr>
          <w:p w14:paraId="37574E4F" w14:textId="77777777" w:rsidR="00CE64DB" w:rsidRPr="00DF59EB" w:rsidRDefault="00CE64DB" w:rsidP="001150F4">
            <w:pPr>
              <w:rPr>
                <w:b w:val="0"/>
                <w:bCs w:val="0"/>
                <w:i/>
                <w:iCs/>
                <w:sz w:val="18"/>
                <w:szCs w:val="18"/>
              </w:rPr>
            </w:pPr>
            <w:r w:rsidRPr="00DF59EB">
              <w:rPr>
                <w:sz w:val="18"/>
                <w:szCs w:val="18"/>
              </w:rPr>
              <w:t>Measure / Site</w:t>
            </w:r>
          </w:p>
        </w:tc>
        <w:tc>
          <w:tcPr>
            <w:tcW w:w="1341" w:type="dxa"/>
            <w:tcBorders>
              <w:bottom w:val="single" w:sz="4" w:space="0" w:color="auto"/>
            </w:tcBorders>
            <w:hideMark/>
          </w:tcPr>
          <w:p w14:paraId="2B63F4A2"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Sensor / Principle</w:t>
            </w:r>
          </w:p>
        </w:tc>
        <w:tc>
          <w:tcPr>
            <w:tcW w:w="989" w:type="dxa"/>
            <w:tcBorders>
              <w:bottom w:val="single" w:sz="4" w:space="0" w:color="auto"/>
            </w:tcBorders>
            <w:hideMark/>
          </w:tcPr>
          <w:p w14:paraId="34ACACB7"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Response time</w:t>
            </w:r>
          </w:p>
        </w:tc>
        <w:tc>
          <w:tcPr>
            <w:tcW w:w="1171" w:type="dxa"/>
            <w:tcBorders>
              <w:bottom w:val="single" w:sz="4" w:space="0" w:color="auto"/>
            </w:tcBorders>
            <w:hideMark/>
          </w:tcPr>
          <w:p w14:paraId="5F6AB55B"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Accuracy</w:t>
            </w:r>
          </w:p>
        </w:tc>
        <w:tc>
          <w:tcPr>
            <w:tcW w:w="1710" w:type="dxa"/>
            <w:tcBorders>
              <w:bottom w:val="single" w:sz="4" w:space="0" w:color="auto"/>
            </w:tcBorders>
            <w:hideMark/>
          </w:tcPr>
          <w:p w14:paraId="1BBC4BD6"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Advantages</w:t>
            </w:r>
          </w:p>
        </w:tc>
        <w:tc>
          <w:tcPr>
            <w:tcW w:w="1710" w:type="dxa"/>
            <w:tcBorders>
              <w:bottom w:val="single" w:sz="4" w:space="0" w:color="auto"/>
            </w:tcBorders>
            <w:hideMark/>
          </w:tcPr>
          <w:p w14:paraId="21B61A2D"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Limitations</w:t>
            </w:r>
          </w:p>
        </w:tc>
        <w:tc>
          <w:tcPr>
            <w:tcW w:w="1580" w:type="dxa"/>
            <w:tcBorders>
              <w:bottom w:val="single" w:sz="4" w:space="0" w:color="auto"/>
            </w:tcBorders>
            <w:hideMark/>
          </w:tcPr>
          <w:p w14:paraId="6216E41F" w14:textId="77777777" w:rsidR="00CE64DB" w:rsidRPr="00DF59EB" w:rsidRDefault="00CE64DB" w:rsidP="001150F4">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DF59EB">
              <w:rPr>
                <w:sz w:val="18"/>
                <w:szCs w:val="18"/>
              </w:rPr>
              <w:t>Approx. cost (€)*</w:t>
            </w:r>
          </w:p>
        </w:tc>
      </w:tr>
      <w:tr w:rsidR="00CE64DB" w:rsidRPr="00DF59EB" w14:paraId="5D510C9A"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auto"/>
            </w:tcBorders>
            <w:hideMark/>
          </w:tcPr>
          <w:p w14:paraId="1286DC1C" w14:textId="77777777" w:rsidR="00CE64DB" w:rsidRPr="00DF59EB" w:rsidRDefault="00CE64DB" w:rsidP="001150F4">
            <w:pPr>
              <w:rPr>
                <w:sz w:val="18"/>
                <w:szCs w:val="18"/>
              </w:rPr>
            </w:pPr>
            <w:r w:rsidRPr="00DF59EB">
              <w:rPr>
                <w:rStyle w:val="Strong"/>
                <w:sz w:val="18"/>
                <w:szCs w:val="18"/>
              </w:rPr>
              <w:t>Rectal</w:t>
            </w:r>
          </w:p>
        </w:tc>
        <w:tc>
          <w:tcPr>
            <w:tcW w:w="1341" w:type="dxa"/>
            <w:tcBorders>
              <w:top w:val="single" w:sz="4" w:space="0" w:color="auto"/>
            </w:tcBorders>
            <w:hideMark/>
          </w:tcPr>
          <w:p w14:paraId="5AB6C78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Thermistor / thermocouple</w:t>
            </w:r>
          </w:p>
        </w:tc>
        <w:tc>
          <w:tcPr>
            <w:tcW w:w="989" w:type="dxa"/>
            <w:tcBorders>
              <w:top w:val="single" w:sz="4" w:space="0" w:color="auto"/>
            </w:tcBorders>
            <w:hideMark/>
          </w:tcPr>
          <w:p w14:paraId="31119070"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10–30 s</w:t>
            </w:r>
          </w:p>
        </w:tc>
        <w:tc>
          <w:tcPr>
            <w:tcW w:w="1171" w:type="dxa"/>
            <w:tcBorders>
              <w:top w:val="single" w:sz="4" w:space="0" w:color="auto"/>
            </w:tcBorders>
            <w:hideMark/>
          </w:tcPr>
          <w:p w14:paraId="09DEDEF9"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 °C</w:t>
            </w:r>
          </w:p>
        </w:tc>
        <w:tc>
          <w:tcPr>
            <w:tcW w:w="1710" w:type="dxa"/>
            <w:tcBorders>
              <w:top w:val="single" w:sz="4" w:space="0" w:color="auto"/>
            </w:tcBorders>
            <w:hideMark/>
          </w:tcPr>
          <w:p w14:paraId="461CB87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Established reference, low noise</w:t>
            </w:r>
          </w:p>
        </w:tc>
        <w:tc>
          <w:tcPr>
            <w:tcW w:w="1710" w:type="dxa"/>
            <w:tcBorders>
              <w:top w:val="single" w:sz="4" w:space="0" w:color="auto"/>
            </w:tcBorders>
            <w:hideMark/>
          </w:tcPr>
          <w:p w14:paraId="56DDAE6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Invasive, slow dynamics</w:t>
            </w:r>
          </w:p>
        </w:tc>
        <w:tc>
          <w:tcPr>
            <w:tcW w:w="1580" w:type="dxa"/>
            <w:tcBorders>
              <w:top w:val="single" w:sz="4" w:space="0" w:color="auto"/>
            </w:tcBorders>
            <w:hideMark/>
          </w:tcPr>
          <w:p w14:paraId="1178AB51"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100–300</w:t>
            </w:r>
          </w:p>
        </w:tc>
      </w:tr>
      <w:tr w:rsidR="00CE64DB" w:rsidRPr="00DF59EB" w14:paraId="39B34F72"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095D6968" w14:textId="77777777" w:rsidR="00CE64DB" w:rsidRPr="00DF59EB" w:rsidRDefault="00CE64DB" w:rsidP="001150F4">
            <w:pPr>
              <w:rPr>
                <w:sz w:val="18"/>
                <w:szCs w:val="18"/>
              </w:rPr>
            </w:pPr>
            <w:r w:rsidRPr="00DF59EB">
              <w:rPr>
                <w:rStyle w:val="Strong"/>
                <w:sz w:val="18"/>
                <w:szCs w:val="18"/>
              </w:rPr>
              <w:t xml:space="preserve">Oesophageal </w:t>
            </w:r>
          </w:p>
        </w:tc>
        <w:tc>
          <w:tcPr>
            <w:tcW w:w="1341" w:type="dxa"/>
            <w:hideMark/>
          </w:tcPr>
          <w:p w14:paraId="5FA17F1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Thermistor (nasal insertion 35–45 cm)</w:t>
            </w:r>
          </w:p>
        </w:tc>
        <w:tc>
          <w:tcPr>
            <w:tcW w:w="989" w:type="dxa"/>
            <w:hideMark/>
          </w:tcPr>
          <w:p w14:paraId="51966E8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5–10 s</w:t>
            </w:r>
          </w:p>
        </w:tc>
        <w:tc>
          <w:tcPr>
            <w:tcW w:w="1171" w:type="dxa"/>
            <w:hideMark/>
          </w:tcPr>
          <w:p w14:paraId="131BEA19"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0.05 °C</w:t>
            </w:r>
          </w:p>
        </w:tc>
        <w:tc>
          <w:tcPr>
            <w:tcW w:w="1710" w:type="dxa"/>
            <w:hideMark/>
          </w:tcPr>
          <w:p w14:paraId="30F07083"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Rapid response, tracks core blood temp.</w:t>
            </w:r>
          </w:p>
        </w:tc>
        <w:tc>
          <w:tcPr>
            <w:tcW w:w="1710" w:type="dxa"/>
            <w:hideMark/>
          </w:tcPr>
          <w:p w14:paraId="13192A9C"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Discomfort, motion artefact</w:t>
            </w:r>
          </w:p>
        </w:tc>
        <w:tc>
          <w:tcPr>
            <w:tcW w:w="1580" w:type="dxa"/>
            <w:hideMark/>
          </w:tcPr>
          <w:p w14:paraId="47844E0E"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150–400</w:t>
            </w:r>
          </w:p>
        </w:tc>
      </w:tr>
      <w:tr w:rsidR="00CE64DB" w:rsidRPr="00DF59EB" w14:paraId="40911BC7"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2EFB9285" w14:textId="77777777" w:rsidR="00CE64DB" w:rsidRPr="00DF59EB" w:rsidRDefault="00CE64DB" w:rsidP="001150F4">
            <w:pPr>
              <w:rPr>
                <w:sz w:val="18"/>
                <w:szCs w:val="18"/>
              </w:rPr>
            </w:pPr>
            <w:r w:rsidRPr="00DF59EB">
              <w:rPr>
                <w:rStyle w:val="Strong"/>
                <w:sz w:val="18"/>
                <w:szCs w:val="18"/>
              </w:rPr>
              <w:t xml:space="preserve">Gastrointestinal </w:t>
            </w:r>
          </w:p>
        </w:tc>
        <w:tc>
          <w:tcPr>
            <w:tcW w:w="1341" w:type="dxa"/>
            <w:hideMark/>
          </w:tcPr>
          <w:p w14:paraId="0430C473"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Ingestible telemetry capsule/pill</w:t>
            </w:r>
          </w:p>
        </w:tc>
        <w:tc>
          <w:tcPr>
            <w:tcW w:w="989" w:type="dxa"/>
            <w:hideMark/>
          </w:tcPr>
          <w:p w14:paraId="5DED11DE"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5–15 s</w:t>
            </w:r>
          </w:p>
        </w:tc>
        <w:tc>
          <w:tcPr>
            <w:tcW w:w="1171" w:type="dxa"/>
            <w:hideMark/>
          </w:tcPr>
          <w:p w14:paraId="6AD36449"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 °C</w:t>
            </w:r>
          </w:p>
        </w:tc>
        <w:tc>
          <w:tcPr>
            <w:tcW w:w="1710" w:type="dxa"/>
            <w:hideMark/>
          </w:tcPr>
          <w:p w14:paraId="4ABB4146"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Ambulatory, wireless</w:t>
            </w:r>
          </w:p>
        </w:tc>
        <w:tc>
          <w:tcPr>
            <w:tcW w:w="1710" w:type="dxa"/>
            <w:hideMark/>
          </w:tcPr>
          <w:p w14:paraId="0CC404E8"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Transit variability, cost</w:t>
            </w:r>
          </w:p>
        </w:tc>
        <w:tc>
          <w:tcPr>
            <w:tcW w:w="1580" w:type="dxa"/>
            <w:hideMark/>
          </w:tcPr>
          <w:p w14:paraId="56FCF007"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50–100 per capsule + receiver (1000–2000)</w:t>
            </w:r>
          </w:p>
        </w:tc>
      </w:tr>
      <w:tr w:rsidR="00CE64DB" w:rsidRPr="00DF59EB" w14:paraId="745F297F"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19E375F7" w14:textId="77777777" w:rsidR="00CE64DB" w:rsidRPr="00DF59EB" w:rsidRDefault="00CE64DB" w:rsidP="001150F4">
            <w:pPr>
              <w:rPr>
                <w:sz w:val="18"/>
                <w:szCs w:val="18"/>
              </w:rPr>
            </w:pPr>
            <w:r w:rsidRPr="00DF59EB">
              <w:rPr>
                <w:rStyle w:val="Strong"/>
                <w:sz w:val="18"/>
                <w:szCs w:val="18"/>
              </w:rPr>
              <w:t>Tympanic</w:t>
            </w:r>
          </w:p>
        </w:tc>
        <w:tc>
          <w:tcPr>
            <w:tcW w:w="1341" w:type="dxa"/>
            <w:hideMark/>
          </w:tcPr>
          <w:p w14:paraId="463141F2"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Infrared thermopile</w:t>
            </w:r>
          </w:p>
        </w:tc>
        <w:tc>
          <w:tcPr>
            <w:tcW w:w="989" w:type="dxa"/>
            <w:hideMark/>
          </w:tcPr>
          <w:p w14:paraId="6ABBCA1C"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&lt; 3 s</w:t>
            </w:r>
          </w:p>
        </w:tc>
        <w:tc>
          <w:tcPr>
            <w:tcW w:w="1171" w:type="dxa"/>
            <w:hideMark/>
          </w:tcPr>
          <w:p w14:paraId="41459546"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0.2 °C</w:t>
            </w:r>
          </w:p>
        </w:tc>
        <w:tc>
          <w:tcPr>
            <w:tcW w:w="1710" w:type="dxa"/>
            <w:hideMark/>
          </w:tcPr>
          <w:p w14:paraId="257C76FF"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Non-invasive, rapid</w:t>
            </w:r>
          </w:p>
        </w:tc>
        <w:tc>
          <w:tcPr>
            <w:tcW w:w="1710" w:type="dxa"/>
            <w:hideMark/>
          </w:tcPr>
          <w:p w14:paraId="32EDE2F0"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Position-dependent, earwax artefact</w:t>
            </w:r>
          </w:p>
        </w:tc>
        <w:tc>
          <w:tcPr>
            <w:tcW w:w="1580" w:type="dxa"/>
            <w:hideMark/>
          </w:tcPr>
          <w:p w14:paraId="6B27E3E8"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100–500</w:t>
            </w:r>
          </w:p>
        </w:tc>
      </w:tr>
      <w:tr w:rsidR="00CE64DB" w:rsidRPr="00DF59EB" w14:paraId="12CBE8A9" w14:textId="77777777" w:rsidTr="006D4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01C7F4D6" w14:textId="77777777" w:rsidR="00CE64DB" w:rsidRPr="00DF59EB" w:rsidRDefault="00CE64DB" w:rsidP="001150F4">
            <w:pPr>
              <w:rPr>
                <w:sz w:val="18"/>
                <w:szCs w:val="18"/>
              </w:rPr>
            </w:pPr>
            <w:r w:rsidRPr="00DF59EB">
              <w:rPr>
                <w:rStyle w:val="Strong"/>
                <w:sz w:val="18"/>
                <w:szCs w:val="18"/>
              </w:rPr>
              <w:lastRenderedPageBreak/>
              <w:t>Dual-heat-flux</w:t>
            </w:r>
          </w:p>
        </w:tc>
        <w:tc>
          <w:tcPr>
            <w:tcW w:w="1341" w:type="dxa"/>
            <w:hideMark/>
          </w:tcPr>
          <w:p w14:paraId="6F08676B"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Surface + heat-flux gradient</w:t>
            </w:r>
          </w:p>
        </w:tc>
        <w:tc>
          <w:tcPr>
            <w:tcW w:w="989" w:type="dxa"/>
            <w:hideMark/>
          </w:tcPr>
          <w:p w14:paraId="30745E1F"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10–60 s</w:t>
            </w:r>
          </w:p>
        </w:tc>
        <w:tc>
          <w:tcPr>
            <w:tcW w:w="1171" w:type="dxa"/>
            <w:hideMark/>
          </w:tcPr>
          <w:p w14:paraId="7B4BAB8B"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 0.1–0.2 °C</w:t>
            </w:r>
          </w:p>
        </w:tc>
        <w:tc>
          <w:tcPr>
            <w:tcW w:w="1710" w:type="dxa"/>
            <w:hideMark/>
          </w:tcPr>
          <w:p w14:paraId="2100DCFF"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Continuous, wearable</w:t>
            </w:r>
          </w:p>
        </w:tc>
        <w:tc>
          <w:tcPr>
            <w:tcW w:w="1710" w:type="dxa"/>
            <w:hideMark/>
          </w:tcPr>
          <w:p w14:paraId="392AF2E3"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Calibration, ambient sensitivity</w:t>
            </w:r>
          </w:p>
        </w:tc>
        <w:tc>
          <w:tcPr>
            <w:tcW w:w="1580" w:type="dxa"/>
            <w:hideMark/>
          </w:tcPr>
          <w:p w14:paraId="3FB4B68C" w14:textId="77777777" w:rsidR="00CE64DB" w:rsidRPr="00DF59E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DF59EB">
              <w:rPr>
                <w:sz w:val="18"/>
                <w:szCs w:val="18"/>
              </w:rPr>
              <w:t>500–1500</w:t>
            </w:r>
          </w:p>
        </w:tc>
      </w:tr>
      <w:tr w:rsidR="00CE64DB" w:rsidRPr="00DF59EB" w14:paraId="21B02617" w14:textId="77777777" w:rsidTr="006D463F">
        <w:tc>
          <w:tcPr>
            <w:cnfStyle w:val="001000000000" w:firstRow="0" w:lastRow="0" w:firstColumn="1" w:lastColumn="0" w:oddVBand="0" w:evenVBand="0" w:oddHBand="0" w:evenHBand="0" w:firstRowFirstColumn="0" w:firstRowLastColumn="0" w:lastRowFirstColumn="0" w:lastRowLastColumn="0"/>
            <w:tcW w:w="1449" w:type="dxa"/>
            <w:hideMark/>
          </w:tcPr>
          <w:p w14:paraId="33A96008" w14:textId="77777777" w:rsidR="00CE64DB" w:rsidRPr="00DF59EB" w:rsidRDefault="00CE64DB" w:rsidP="001150F4">
            <w:pPr>
              <w:rPr>
                <w:sz w:val="18"/>
                <w:szCs w:val="18"/>
              </w:rPr>
            </w:pPr>
            <w:r w:rsidRPr="00DF59EB">
              <w:rPr>
                <w:rStyle w:val="Strong"/>
                <w:sz w:val="18"/>
                <w:szCs w:val="18"/>
              </w:rPr>
              <w:t>Pulmonary/ Bladder</w:t>
            </w:r>
          </w:p>
        </w:tc>
        <w:tc>
          <w:tcPr>
            <w:tcW w:w="1341" w:type="dxa"/>
            <w:hideMark/>
          </w:tcPr>
          <w:p w14:paraId="03D5D512"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Thermistor catheter</w:t>
            </w:r>
          </w:p>
        </w:tc>
        <w:tc>
          <w:tcPr>
            <w:tcW w:w="989" w:type="dxa"/>
            <w:hideMark/>
          </w:tcPr>
          <w:p w14:paraId="3D5BD5ED"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1–2 s</w:t>
            </w:r>
          </w:p>
        </w:tc>
        <w:tc>
          <w:tcPr>
            <w:tcW w:w="1171" w:type="dxa"/>
            <w:hideMark/>
          </w:tcPr>
          <w:p w14:paraId="072ABC65"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 0.05 °C</w:t>
            </w:r>
          </w:p>
        </w:tc>
        <w:tc>
          <w:tcPr>
            <w:tcW w:w="1710" w:type="dxa"/>
            <w:hideMark/>
          </w:tcPr>
          <w:p w14:paraId="0D8A1343"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Gold standard, high-frequency</w:t>
            </w:r>
          </w:p>
        </w:tc>
        <w:tc>
          <w:tcPr>
            <w:tcW w:w="1710" w:type="dxa"/>
            <w:hideMark/>
          </w:tcPr>
          <w:p w14:paraId="05119708"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Invasive, clinical only</w:t>
            </w:r>
          </w:p>
        </w:tc>
        <w:tc>
          <w:tcPr>
            <w:tcW w:w="1580" w:type="dxa"/>
            <w:hideMark/>
          </w:tcPr>
          <w:p w14:paraId="0EDBCF66" w14:textId="77777777" w:rsidR="00CE64DB" w:rsidRPr="00DF59E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DF59EB">
              <w:rPr>
                <w:sz w:val="18"/>
                <w:szCs w:val="18"/>
              </w:rPr>
              <w:t>&gt; 1000</w:t>
            </w:r>
          </w:p>
        </w:tc>
      </w:tr>
    </w:tbl>
    <w:p w14:paraId="7DB2165F" w14:textId="77777777" w:rsidR="00CE64DB" w:rsidRPr="001D228D" w:rsidRDefault="00CE64DB" w:rsidP="00E81310">
      <w:pPr>
        <w:pStyle w:val="Caption"/>
      </w:pPr>
      <w:r w:rsidRPr="001D228D">
        <w:br/>
        <w:t>* Costs represent approximate 2024 academic pricing; consumables not included.</w:t>
      </w:r>
      <w:r w:rsidRPr="001D228D">
        <w:br/>
      </w:r>
    </w:p>
    <w:p w14:paraId="3411286F" w14:textId="77777777" w:rsidR="00CE64DB" w:rsidRPr="001D228D" w:rsidRDefault="00CE64DB" w:rsidP="007A2440">
      <w:pPr>
        <w:pStyle w:val="Heading2"/>
        <w:rPr>
          <w:lang w:val="en-GB"/>
        </w:rPr>
      </w:pPr>
      <w:bookmarkStart w:id="19" w:name="_Toc211009209"/>
      <w:bookmarkStart w:id="20" w:name="_Toc223281670"/>
      <w:r w:rsidRPr="001D228D">
        <w:rPr>
          <w:lang w:val="en-GB"/>
        </w:rPr>
        <w:t>Skin temperature</w:t>
      </w:r>
      <w:bookmarkEnd w:id="19"/>
      <w:bookmarkEnd w:id="20"/>
    </w:p>
    <w:p w14:paraId="1148EFC9" w14:textId="77777777" w:rsidR="00CE64DB" w:rsidRPr="001D228D" w:rsidRDefault="00CE64DB" w:rsidP="007A2440">
      <w:pPr>
        <w:pStyle w:val="Heading3"/>
        <w:rPr>
          <w:lang w:val="en-GB"/>
        </w:rPr>
      </w:pPr>
      <w:bookmarkStart w:id="21" w:name="_Toc211009210"/>
      <w:bookmarkStart w:id="22" w:name="_Toc223281671"/>
      <w:r w:rsidRPr="001D228D">
        <w:rPr>
          <w:lang w:val="en-GB"/>
        </w:rPr>
        <w:t>Why: the mechanistic reasons behind the measurement</w:t>
      </w:r>
      <w:bookmarkEnd w:id="21"/>
      <w:bookmarkEnd w:id="22"/>
    </w:p>
    <w:p w14:paraId="3623B41B" w14:textId="006EE370" w:rsidR="00CE64DB" w:rsidRPr="001D228D" w:rsidRDefault="00CE64DB" w:rsidP="001150F4">
      <w:r w:rsidRPr="001D228D">
        <w:t xml:space="preserve">Skin temperature </w:t>
      </w:r>
      <w:r>
        <w:t>(</w:t>
      </w:r>
      <w:r w:rsidRPr="00FA2870">
        <w:t>Tsk</w:t>
      </w:r>
      <w:r>
        <w:t xml:space="preserve">) </w:t>
      </w:r>
      <w:r w:rsidRPr="001D228D">
        <w:t xml:space="preserve">represents the body’s thermal interface with the environment. It reflects the dynamic balance between </w:t>
      </w:r>
      <w:r w:rsidRPr="001D228D">
        <w:rPr>
          <w:rStyle w:val="Strong"/>
          <w:b w:val="0"/>
          <w:bCs w:val="0"/>
        </w:rPr>
        <w:t>internal heat delivery via skin blood flow</w:t>
      </w:r>
      <w:r w:rsidRPr="001D228D">
        <w:t xml:space="preserve"> and </w:t>
      </w:r>
      <w:r w:rsidRPr="001D228D">
        <w:rPr>
          <w:rStyle w:val="Strong"/>
          <w:b w:val="0"/>
          <w:bCs w:val="0"/>
        </w:rPr>
        <w:t>external heat exchange</w:t>
      </w:r>
      <w:r w:rsidRPr="001D228D">
        <w:t xml:space="preserve"> through convection, radiation, and evaporation </w:t>
      </w:r>
      <w:sdt>
        <w:sdtPr>
          <w:rPr>
            <w:color w:val="000000"/>
          </w:rPr>
          <w:tag w:val="MENDELEY_CITATION_v3_eyJjaXRhdGlvbklEIjoiTUVOREVMRVlfQ0lUQVRJT05fZGQ4NjdhMDgtNzBjZC00NTllLWE2OWItYjQzMmY5NDJhMmI3IiwicHJvcGVydGllcyI6eyJub3RlSW5kZXgiOjB9LCJpc0VkaXRlZCI6ZmFsc2UsIm1hbnVhbE92ZXJyaWRlIjp7ImNpdGVwcm9jVGV4dCI6Ils0LDk4X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"/>
          <w:id w:val="287863476"/>
          <w:placeholder>
            <w:docPart w:val="DefaultPlaceholder_-1854013440"/>
          </w:placeholder>
        </w:sdtPr>
        <w:sdtContent>
          <w:r w:rsidR="00B43409" w:rsidRPr="00B43409">
            <w:rPr>
              <w:color w:val="000000"/>
            </w:rPr>
            <w:t>[4,98]</w:t>
          </w:r>
        </w:sdtContent>
      </w:sdt>
      <w:r w:rsidRPr="001D228D">
        <w:t xml:space="preserve">. Changes in </w:t>
      </w:r>
      <w:r>
        <w:t>skin temperature, therefore,</w:t>
      </w:r>
      <w:r w:rsidRPr="001D228D">
        <w:t xml:space="preserve"> serve as a direct indicator of </w:t>
      </w:r>
      <w:r w:rsidRPr="001D228D">
        <w:rPr>
          <w:rStyle w:val="Strong"/>
          <w:b w:val="0"/>
          <w:bCs w:val="0"/>
        </w:rPr>
        <w:t>cutaneous vasomotor adjustments</w:t>
      </w:r>
      <w:r w:rsidRPr="001D228D">
        <w:t xml:space="preserve"> that regulate core-to-environment heat transfer.</w:t>
      </w:r>
    </w:p>
    <w:p w14:paraId="12C15198" w14:textId="6DD8CFB4" w:rsidR="00CE64DB" w:rsidRPr="001D228D" w:rsidRDefault="00CE64DB" w:rsidP="001150F4">
      <w:r w:rsidRPr="001D228D">
        <w:t xml:space="preserve">Unlike CBT, which changes slowly, </w:t>
      </w:r>
      <w:r>
        <w:t>skin temperature</w:t>
      </w:r>
      <w:r w:rsidRPr="001D228D">
        <w:t xml:space="preserve"> responds within seconds to alterations in air temperature, mean radiant temperature, air velocity, or clothing insulation. The spatial pattern of </w:t>
      </w:r>
      <w:r>
        <w:t>skin temperature</w:t>
      </w:r>
      <w:r w:rsidRPr="001D228D">
        <w:t xml:space="preserve"> provides insight into </w:t>
      </w:r>
      <w:r w:rsidRPr="001D228D">
        <w:rPr>
          <w:rStyle w:val="Strong"/>
          <w:b w:val="0"/>
          <w:bCs w:val="0"/>
        </w:rPr>
        <w:t>regional heat-loss pathways</w:t>
      </w:r>
      <w:r w:rsidRPr="001D228D">
        <w:t xml:space="preserve"> and </w:t>
      </w:r>
      <w:r w:rsidRPr="001D228D">
        <w:rPr>
          <w:rStyle w:val="Strong"/>
          <w:b w:val="0"/>
          <w:bCs w:val="0"/>
        </w:rPr>
        <w:t>thermoregulatory strategy</w:t>
      </w:r>
      <w:r w:rsidRPr="001D228D">
        <w:t xml:space="preserve">: for example, distal (hand, foot) skin cooling denotes vasoconstriction, whereas proximal and facial warming mark vasodilation </w:t>
      </w:r>
      <w:sdt>
        <w:sdtPr>
          <w:rPr>
            <w:color w:val="000000"/>
          </w:rPr>
          <w:tag w:val="MENDELEY_CITATION_v3_eyJjaXRhdGlvbklEIjoiTUVOREVMRVlfQ0lUQVRJT05fMGM0ZmE4ODItNDI0Mi00YWJiLTg5MjgtZGMzOTRkODhhMjA0IiwicHJvcGVydGllcyI6eyJub3RlSW5kZXgiOjB9LCJpc0VkaXRlZCI6ZmFsc2UsIm1hbnVhbE92ZXJyaWRlIjp7ImNpdGVwcm9jVGV4dCI6Ils2XSIsImlzTWFudWFsbHlPdmVycmlkZGVuIjpmYWxzZSwibWFudWFsT3ZlcnJpZGVUZXh0IjoiIn0sImNpdGF0aW9uSXRlbXMiOlt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
          <w:id w:val="239597109"/>
          <w:placeholder>
            <w:docPart w:val="DefaultPlaceholder_-1854013440"/>
          </w:placeholder>
        </w:sdtPr>
        <w:sdtContent>
          <w:r w:rsidR="00B43409" w:rsidRPr="00B43409">
            <w:rPr>
              <w:color w:val="000000"/>
            </w:rPr>
            <w:t>[6]</w:t>
          </w:r>
        </w:sdtContent>
      </w:sdt>
      <w:r w:rsidRPr="001D228D">
        <w:t>.</w:t>
      </w:r>
    </w:p>
    <w:p w14:paraId="1D63E945" w14:textId="007E008B" w:rsidR="00CE64DB" w:rsidRPr="001D228D" w:rsidRDefault="00CE64DB" w:rsidP="001150F4">
      <w:r w:rsidRPr="001D228D">
        <w:t xml:space="preserve">At the whole-body level, mean </w:t>
      </w:r>
      <w:r>
        <w:t>skin temperature</w:t>
      </w:r>
      <w:r w:rsidRPr="001D228D">
        <w:t xml:space="preserve"> is a determinant of </w:t>
      </w:r>
      <w:r w:rsidRPr="001D228D">
        <w:rPr>
          <w:rStyle w:val="Strong"/>
          <w:b w:val="0"/>
          <w:bCs w:val="0"/>
        </w:rPr>
        <w:t>thermal comfort perception</w:t>
      </w:r>
      <w:r w:rsidRPr="001D228D">
        <w:t xml:space="preserve"> and </w:t>
      </w:r>
      <w:r w:rsidRPr="001D228D">
        <w:rPr>
          <w:rStyle w:val="Strong"/>
          <w:b w:val="0"/>
          <w:bCs w:val="0"/>
        </w:rPr>
        <w:t>autonomic heat-loss drive</w:t>
      </w:r>
      <w:r w:rsidRPr="001D228D">
        <w:t xml:space="preserve">, forming part of the neural input that defines thermal sensation thresholds </w:t>
      </w:r>
      <w:sdt>
        <w:sdtPr>
          <w:rPr>
            <w:color w:val="000000"/>
          </w:rPr>
          <w:tag w:val="MENDELEY_CITATION_v3_eyJjaXRhdGlvbklEIjoiTUVOREVMRVlfQ0lUQVRJT05fN2RjY2E0OGQtNGU2ZC00Yjc2LWJlZWMtNzI0OTMwMGJhMzZlIiwicHJvcGVydGllcyI6eyJub3RlSW5kZXgiOjB9LCJpc0VkaXRlZCI6ZmFsc2UsIm1hbnVhbE92ZXJyaWRlIjp7ImNpdGVwcm9jVGV4dCI6Ils4LDk5LDEwMF0iLCJpc01hbnVhbGx5T3ZlcnJpZGRlbiI6ZmFsc2UsIm1hbnVhbE92ZXJyaWRlVGV4dCI6IiJ9LCJjaXRhdGlvbkl0ZW1zIjpb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"/>
          <w:id w:val="-1337836178"/>
          <w:placeholder>
            <w:docPart w:val="DefaultPlaceholder_-1854013440"/>
          </w:placeholder>
        </w:sdtPr>
        <w:sdtContent>
          <w:r w:rsidR="00B43409" w:rsidRPr="00B43409">
            <w:rPr>
              <w:color w:val="000000"/>
            </w:rPr>
            <w:t>[8,99,100]</w:t>
          </w:r>
        </w:sdtContent>
      </w:sdt>
      <w:r w:rsidRPr="001D228D">
        <w:t>.</w:t>
      </w:r>
    </w:p>
    <w:p w14:paraId="1CF8C69F" w14:textId="77777777" w:rsidR="00CE64DB" w:rsidRPr="001D228D" w:rsidRDefault="00CE64DB" w:rsidP="007A2440">
      <w:pPr>
        <w:pStyle w:val="Heading3"/>
        <w:rPr>
          <w:lang w:val="en-GB"/>
        </w:rPr>
      </w:pPr>
      <w:bookmarkStart w:id="23" w:name="_Toc211009211"/>
      <w:bookmarkStart w:id="24" w:name="_Toc223281672"/>
      <w:r w:rsidRPr="001D228D">
        <w:rPr>
          <w:lang w:val="en-GB"/>
        </w:rPr>
        <w:t>How: sensor types for measurement</w:t>
      </w:r>
      <w:bookmarkEnd w:id="23"/>
      <w:bookmarkEnd w:id="24"/>
      <w:r w:rsidRPr="001D228D">
        <w:rPr>
          <w:lang w:val="en-GB"/>
        </w:rPr>
        <w:t xml:space="preserve"> </w:t>
      </w:r>
    </w:p>
    <w:p w14:paraId="0EE89157" w14:textId="27208946" w:rsidR="00CE64DB" w:rsidRPr="001D228D" w:rsidRDefault="00CE64DB" w:rsidP="001150F4">
      <w:r w:rsidRPr="001D228D">
        <w:rPr>
          <w:b/>
          <w:bCs/>
        </w:rPr>
        <w:t>Contact sensors (thermistors, thermocouples).</w:t>
      </w:r>
      <w:r w:rsidRPr="001D228D">
        <w:t xml:space="preserve"> Small, taped sensors measure surface temperature conductively. When properly mounted and shielded, both precision NTC thermistors and fine-wire copper–constantan thermocouples offer high accuracy and sub-second response; setup choices (contact pressure, tape, shielding, cable movement) are the dominant error sources rather than sensor physics </w:t>
      </w:r>
      <w:sdt>
        <w:sdtPr>
          <w:rPr>
            <w:color w:val="000000"/>
          </w:rPr>
          <w:tag w:val="MENDELEY_CITATION_v3_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"/>
          <w:id w:val="-841621884"/>
          <w:placeholder>
            <w:docPart w:val="DefaultPlaceholder_-1854013440"/>
          </w:placeholder>
        </w:sdtPr>
        <w:sdtContent>
          <w:r w:rsidR="00B43409" w:rsidRPr="00B43409">
            <w:rPr>
              <w:color w:val="000000"/>
            </w:rPr>
            <w:t>[101,102]</w:t>
          </w:r>
        </w:sdtContent>
      </w:sdt>
      <w:r w:rsidRPr="001D228D">
        <w:t>.</w:t>
      </w:r>
      <w:r>
        <w:t xml:space="preserve"> </w:t>
      </w:r>
      <w:r w:rsidRPr="00D12948">
        <w:t xml:space="preserve">Furthermore, hard-wired connections can hinder participant movement and are prone to detachment during </w:t>
      </w:r>
      <w:r>
        <w:t>movement</w:t>
      </w:r>
      <w:r w:rsidRPr="00D12948">
        <w:t xml:space="preserve">, limiting their use in field settings </w:t>
      </w:r>
      <w:sdt>
        <w:sdtPr>
          <w:rPr>
            <w:color w:val="000000"/>
          </w:rPr>
          <w:tag w:val="MENDELEY_CITATION_v3_eyJjaXRhdGlvbklEIjoiTUVOREVMRVlfQ0lUQVRJT05fNjM2ZWE2MDItNzIyZC00YjNmLWJlMzktNTYzMjkxMDg5YjFjIiwicHJvcGVydGllcyI6eyJub3RlSW5kZXgiOjB9LCJpc0VkaXRlZCI6ZmFsc2UsIm1hbnVhbE92ZXJyaWRlIjp7ImNpdGVwcm9jVGV4dCI6IlsxMDNd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
          <w:id w:val="1602299065"/>
          <w:placeholder>
            <w:docPart w:val="DefaultPlaceholder_-1854013440"/>
          </w:placeholder>
        </w:sdtPr>
        <w:sdtContent>
          <w:r w:rsidR="00B43409" w:rsidRPr="00B43409">
            <w:rPr>
              <w:color w:val="000000"/>
            </w:rPr>
            <w:t>[103]</w:t>
          </w:r>
        </w:sdtContent>
      </w:sdt>
    </w:p>
    <w:p w14:paraId="0B1C6657" w14:textId="5D8FFFD4" w:rsidR="00CE64DB" w:rsidRDefault="00CE64DB" w:rsidP="001150F4">
      <w:r w:rsidRPr="001D228D">
        <w:rPr>
          <w:b/>
          <w:bCs/>
        </w:rPr>
        <w:t>Wearable loggers (e.g., iButton®).</w:t>
      </w:r>
      <w:r w:rsidRPr="001D228D">
        <w:t xml:space="preserve"> Compact thermochrones enable long-term field recordings (typically 1–60 s sampling). After two-point calibration, accuracy ~±0.1 °C is achievable</w:t>
      </w:r>
      <w:r>
        <w:t xml:space="preserve">. </w:t>
      </w:r>
      <w:r w:rsidRPr="006C3E1D">
        <w:t>However, due to their larger mass and stainless-steel packaging, they exhibit high thermal inertia</w:t>
      </w:r>
      <w:r>
        <w:t>,</w:t>
      </w:r>
      <w:r w:rsidRPr="006C3E1D">
        <w:t xml:space="preserve"> resulting in slower response times, with a time constant () of approximately 19 seconds in water</w:t>
      </w:r>
      <w:r>
        <w:t xml:space="preserve">. </w:t>
      </w:r>
      <w:r w:rsidRPr="006C3E1D">
        <w:t>Consequently, fast temperature transients are effectively low-pass filtered, which can introduce momentary errors of up to 1 °C during rapid environmental changes</w:t>
      </w:r>
      <w:r w:rsidRPr="001D228D">
        <w:t xml:space="preserve"> </w:t>
      </w:r>
      <w:sdt>
        <w:sdtPr>
          <w:rPr>
            <w:color w:val="000000"/>
          </w:rPr>
          <w:tag w:val="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
          <w:id w:val="1242138782"/>
          <w:placeholder>
            <w:docPart w:val="DefaultPlaceholder_-1854013440"/>
          </w:placeholder>
        </w:sdtPr>
        <w:sdtContent>
          <w:r w:rsidR="00B43409" w:rsidRPr="00B43409">
            <w:rPr>
              <w:color w:val="000000"/>
            </w:rPr>
            <w:t>[104–106]</w:t>
          </w:r>
        </w:sdtContent>
      </w:sdt>
      <w:r w:rsidRPr="001D228D">
        <w:t>.</w:t>
      </w:r>
    </w:p>
    <w:p w14:paraId="5B8EBFC4" w14:textId="49F5C42B" w:rsidR="00CE64DB" w:rsidRPr="009F5EF6" w:rsidRDefault="00CE64DB" w:rsidP="001150F4">
      <w:pPr>
        <w:rPr>
          <w:b/>
          <w:bCs/>
        </w:rPr>
      </w:pPr>
      <w:r w:rsidRPr="00BD70C9">
        <w:rPr>
          <w:b/>
          <w:bCs/>
        </w:rPr>
        <w:t>Infrared thermometry.</w:t>
      </w:r>
      <w:r w:rsidRPr="00E96513">
        <w:t xml:space="preserve"> Handheld infrared thermometers provide non-contact "point and shoot" spot measurements of thermal radiation emitted from the skin</w:t>
      </w:r>
      <w:r>
        <w:t xml:space="preserve"> </w:t>
      </w:r>
      <w:sdt>
        <w:sdtPr>
          <w:rPr>
            <w:color w:val="000000"/>
          </w:rPr>
          <w:tag w:val="MENDELEY_CITATION_v3_eyJjaXRhdGlvbklEIjoiTUVOREVMRVlfQ0lUQVRJT05fZDViZDE5NTMtMGQyMC00MTlmLTk2ZTYtZDM1MWQ3ZjlmNDljIiwicHJvcGVydGllcyI6eyJub3RlSW5kZXgiOjB9LCJpc0VkaXRlZCI6ZmFsc2UsIm1hbnVhbE92ZXJyaWRlIjp7ImNpdGVwcm9jVGV4dCI6IlsxMDddIiwiaXNNYW51YWxseU92ZXJyaWRkZW4iOmZhbHNlLCJtYW51YWxPdmVycmlkZVRleHQiOiIifSwiY2l0YXRpb25JdGVtcyI6W3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1dfQ=="/>
          <w:id w:val="598685031"/>
          <w:placeholder>
            <w:docPart w:val="DefaultPlaceholder_-1854013440"/>
          </w:placeholder>
        </w:sdtPr>
        <w:sdtContent>
          <w:r w:rsidR="00B43409" w:rsidRPr="00B43409">
            <w:rPr>
              <w:color w:val="000000"/>
            </w:rPr>
            <w:t>[107]</w:t>
          </w:r>
        </w:sdtContent>
      </w:sdt>
      <w:r>
        <w:t>.</w:t>
      </w:r>
      <w:r w:rsidRPr="00E96513">
        <w:t xml:space="preserve"> These low-cost devices are highly valid and reliable for measuring skin temperature under stable, resting thermoneutral conditions </w:t>
      </w:r>
      <w:sdt>
        <w:sdtPr>
          <w:rPr>
            <w:color w:val="000000"/>
          </w:rPr>
          <w:tag w:val="MENDELEY_CITATION_v3_eyJjaXRhdGlvbklEIjoiTUVOREVMRVlfQ0lUQVRJT05fZGVmNDU3ZDAtNTBlNC00ZWU5LTk0ZGYtM2VhOTBiZmNlODJmIiwicHJvcGVydGllcyI6eyJub3RlSW5kZXgiOjB9LCJpc0VkaXRlZCI6ZmFsc2UsIm1hbnVhbE92ZXJyaWRlIjp7ImNpdGVwcm9jVGV4dCI6IlsxMDhdIiwiaXNNYW51YWxseU92ZXJyaWRkZW4iOmZhbHNlLCJtYW51YWxPdmVycmlkZVRleHQiOiIifSwiY2l0YXRpb25JdGVtcyI6W3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1dfQ=="/>
          <w:id w:val="2083871779"/>
          <w:placeholder>
            <w:docPart w:val="DefaultPlaceholder_-1854013440"/>
          </w:placeholder>
        </w:sdtPr>
        <w:sdtContent>
          <w:r w:rsidR="00B43409" w:rsidRPr="00B43409">
            <w:rPr>
              <w:color w:val="000000"/>
            </w:rPr>
            <w:t>[108]</w:t>
          </w:r>
        </w:sdtContent>
      </w:sdt>
      <w:r>
        <w:t xml:space="preserve">. </w:t>
      </w:r>
      <w:r w:rsidRPr="00E96513">
        <w:t xml:space="preserve">However, their accuracy significantly degrades in the presence of physical or environmental stressors. Specifically, </w:t>
      </w:r>
      <w:r>
        <w:t>sweat accumulation on the skin alters its radiant properties, leading</w:t>
      </w:r>
      <w:r w:rsidRPr="00E96513">
        <w:t xml:space="preserve"> infrared thermometers to substantially underestimate true skin temperature during exercise or in hot environments </w:t>
      </w:r>
      <w:sdt>
        <w:sdtPr>
          <w:rPr>
            <w:color w:val="000000"/>
          </w:rPr>
          <w:tag w:val="MENDELEY_CITATION_v3_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
          <w:id w:val="-1516605109"/>
          <w:placeholder>
            <w:docPart w:val="DefaultPlaceholder_-1854013440"/>
          </w:placeholder>
        </w:sdtPr>
        <w:sdtContent>
          <w:r w:rsidR="00B43409" w:rsidRPr="00B43409">
            <w:rPr>
              <w:color w:val="000000"/>
            </w:rPr>
            <w:t>[103,107]</w:t>
          </w:r>
        </w:sdtContent>
      </w:sdt>
      <w:r w:rsidRPr="00E96513">
        <w:t>.</w:t>
      </w:r>
    </w:p>
    <w:p w14:paraId="0E5FA9D5" w14:textId="47703211" w:rsidR="00CE64DB" w:rsidRPr="001D228D" w:rsidRDefault="00CE64DB" w:rsidP="001150F4">
      <w:r w:rsidRPr="001D228D">
        <w:rPr>
          <w:b/>
          <w:bCs/>
        </w:rPr>
        <w:t>Infrared thermography (IRT).</w:t>
      </w:r>
      <w:r w:rsidRPr="001D228D">
        <w:t xml:space="preserve"> IRT provides non-contact regional/whole-body mapping. With emissivity set near human skin values (~0.98), reflected temperature accounted for, and viewing distance/angle controlled, modern systems achieve </w:t>
      </w:r>
      <w:r w:rsidRPr="001D228D">
        <w:rPr>
          <w:rFonts w:ascii="Cambria Math" w:hAnsi="Cambria Math" w:cs="Cambria Math"/>
        </w:rPr>
        <w:t>≲</w:t>
      </w:r>
      <w:r w:rsidRPr="001D228D">
        <w:t xml:space="preserve">0.1–0.2 °C thermal resolution under static, controlled scenes </w:t>
      </w:r>
      <w:sdt>
        <w:sdtPr>
          <w:rPr>
            <w:color w:val="000000"/>
          </w:rPr>
          <w:tag w:val="MENDELEY_CITATION_v3_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"/>
          <w:id w:val="673852506"/>
          <w:placeholder>
            <w:docPart w:val="DefaultPlaceholder_-1854013440"/>
          </w:placeholder>
        </w:sdtPr>
        <w:sdtContent>
          <w:r w:rsidR="00B43409" w:rsidRPr="00B43409">
            <w:rPr>
              <w:color w:val="000000"/>
            </w:rPr>
            <w:t>[109,110]</w:t>
          </w:r>
        </w:sdtContent>
      </w:sdt>
      <w:r w:rsidRPr="001D228D">
        <w:t xml:space="preserve">. </w:t>
      </w:r>
      <w:r>
        <w:t>Similar to infrared thermometers</w:t>
      </w:r>
      <w:r w:rsidRPr="00E55954">
        <w:t xml:space="preserve">, moisture, sweat, or topical lotions act as physical barriers that lower apparent emissivity and can introduce massive temperature errors </w:t>
      </w:r>
      <w:sdt>
        <w:sdtPr>
          <w:rPr>
            <w:color w:val="000000"/>
          </w:rPr>
          <w:tag w:val="MENDELEY_CITATION_v3_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"/>
          <w:id w:val="701282459"/>
          <w:placeholder>
            <w:docPart w:val="DefaultPlaceholder_-1854013440"/>
          </w:placeholder>
        </w:sdtPr>
        <w:sdtContent>
          <w:r w:rsidR="00B43409" w:rsidRPr="00B43409">
            <w:rPr>
              <w:color w:val="000000"/>
            </w:rPr>
            <w:t>[111]</w:t>
          </w:r>
        </w:sdtContent>
      </w:sdt>
      <w:r>
        <w:t>.</w:t>
      </w:r>
    </w:p>
    <w:p w14:paraId="07030BE0" w14:textId="77777777" w:rsidR="00CE64DB" w:rsidRPr="001D228D" w:rsidRDefault="00CE64DB" w:rsidP="007A2440">
      <w:pPr>
        <w:pStyle w:val="Heading3"/>
        <w:rPr>
          <w:lang w:val="en-GB"/>
        </w:rPr>
      </w:pPr>
      <w:bookmarkStart w:id="25" w:name="_Toc211009212"/>
      <w:bookmarkStart w:id="26" w:name="_Toc223281673"/>
      <w:r w:rsidRPr="001D228D">
        <w:rPr>
          <w:lang w:val="en-GB"/>
        </w:rPr>
        <w:t>Where: body sites of measurement</w:t>
      </w:r>
      <w:bookmarkEnd w:id="25"/>
      <w:bookmarkEnd w:id="26"/>
    </w:p>
    <w:p w14:paraId="1AEB4C65" w14:textId="28A65428" w:rsidR="00CE64DB" w:rsidRPr="001D228D" w:rsidRDefault="00CE64DB" w:rsidP="001150F4">
      <w:r w:rsidRPr="001D228D">
        <w:t xml:space="preserve">Skin temperature exhibits large regional variation; typically smaller under thermoneutral and warm conditions, and </w:t>
      </w:r>
      <w:r>
        <w:t xml:space="preserve">potentially </w:t>
      </w:r>
      <w:r w:rsidRPr="001D228D">
        <w:t xml:space="preserve">exceeding 10 °C across the body under cold exposure </w:t>
      </w:r>
      <w:sdt>
        <w:sdtPr>
          <w:rPr>
            <w:color w:val="000000"/>
          </w:rPr>
          <w:tag w:val="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"/>
          <w:id w:val="21451719"/>
          <w:placeholder>
            <w:docPart w:val="DefaultPlaceholder_-1854013440"/>
          </w:placeholder>
        </w:sdtPr>
        <w:sdtContent>
          <w:r w:rsidR="00B43409" w:rsidRPr="00B43409">
            <w:rPr>
              <w:color w:val="000000"/>
            </w:rPr>
            <w:t>[98,112,113]</w:t>
          </w:r>
        </w:sdtContent>
      </w:sdt>
      <w:r w:rsidRPr="001D228D">
        <w:t xml:space="preserve">. These differences arise from the heterogeneous distribution of skin blood flow, subcutaneous fat, and local exposure to environmental heat exchange. The choice of </w:t>
      </w:r>
      <w:r w:rsidRPr="001D228D">
        <w:rPr>
          <w:i/>
          <w:iCs/>
        </w:rPr>
        <w:t>where</w:t>
      </w:r>
      <w:r w:rsidRPr="001D228D">
        <w:t xml:space="preserve"> to measure </w:t>
      </w:r>
      <w:r w:rsidRPr="00FA2870">
        <w:t>Tsk</w:t>
      </w:r>
      <w:r w:rsidRPr="001D228D">
        <w:t xml:space="preserve"> depends fundamentally on whether the aim is to obtain a representative whole-body mean or to probe regional mechanisms of thermoregulation.</w:t>
      </w:r>
    </w:p>
    <w:p w14:paraId="4FDE8520" w14:textId="77777777" w:rsidR="00CE64DB" w:rsidRPr="001D228D" w:rsidRDefault="00CE64DB" w:rsidP="00E81310">
      <w:pPr>
        <w:pStyle w:val="Bullet"/>
        <w:jc w:val="center"/>
      </w:pPr>
      <w:r w:rsidRPr="001D228D">
        <w:rPr>
          <w:noProof/>
        </w:rPr>
        <w:lastRenderedPageBreak/>
        <w:drawing>
          <wp:inline distT="0" distB="0" distL="0" distR="0" wp14:anchorId="11F483CD" wp14:editId="6C70FAA1">
            <wp:extent cx="5029200" cy="5479402"/>
            <wp:effectExtent l="0" t="0" r="0" b="7620"/>
            <wp:docPr id="1053502004" name="Picture 2" descr="A full sho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2004" name="Picture 2" descr="A full shot of a person and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6720" cy="5509385"/>
                    </a:xfrm>
                    <a:prstGeom prst="rect">
                      <a:avLst/>
                    </a:prstGeom>
                  </pic:spPr>
                </pic:pic>
              </a:graphicData>
            </a:graphic>
          </wp:inline>
        </w:drawing>
      </w:r>
    </w:p>
    <w:p w14:paraId="26A5EC93" w14:textId="3835AA1B" w:rsidR="00CE64DB" w:rsidRPr="001D228D" w:rsidRDefault="00CE64DB" w:rsidP="00E81310">
      <w:pPr>
        <w:pStyle w:val="Caption"/>
        <w:jc w:val="center"/>
      </w:pPr>
      <w:commentRangeStart w:id="27"/>
      <w:r w:rsidRPr="001D228D">
        <w:t xml:space="preserve">Figure </w:t>
      </w:r>
      <w:commentRangeEnd w:id="27"/>
      <w:r w:rsidR="00444234" w:rsidRPr="001D228D">
        <w:rPr>
          <w:rStyle w:val="CommentReference"/>
          <w:sz w:val="18"/>
          <w:szCs w:val="18"/>
        </w:rPr>
        <w:commentReference w:id="27"/>
      </w:r>
      <w:r w:rsidRPr="001D228D">
        <w:fldChar w:fldCharType="begin"/>
      </w:r>
      <w:r w:rsidRPr="001D228D">
        <w:instrText xml:space="preserve"> SEQ Figure \* ARABIC </w:instrText>
      </w:r>
      <w:r w:rsidRPr="001D228D">
        <w:fldChar w:fldCharType="separate"/>
      </w:r>
      <w:r w:rsidR="007650AF">
        <w:rPr>
          <w:noProof/>
        </w:rPr>
        <w:t>1</w:t>
      </w:r>
      <w:r w:rsidRPr="001D228D">
        <w:fldChar w:fldCharType="end"/>
      </w:r>
      <w:r w:rsidRPr="001D228D">
        <w:t>. Body sites for skin temperature measurement used across protocols.</w:t>
      </w:r>
      <w:r w:rsidRPr="001D228D">
        <w:br/>
        <w:t xml:space="preserve">Anterior and posterior views show 18 anatomical regions grouped by head, torso, arms, and legs. Labels adopt a consistent left/right (L/R), anterior/posterior (A/P), and medial (M) notation (e.g., 13AL = left anterior wrist). The map aligns common measurement sites based on the meta reviews of </w:t>
      </w:r>
      <w:sdt>
        <w:sdtPr>
          <w:rPr>
            <w:color w:val="000000"/>
          </w:rPr>
          <w:tag w:val="MENDELEY_CITATION_v3_eyJjaXRhdGlvbklEIjoiTUVOREVMRVlfQ0lUQVRJT05fMTkzMjM2NTItOTNlYS00MDMwLWJkNWYtZDdjMjgzMGMzOWQwIiwicHJvcGVydGllcyI6eyJub3RlSW5kZXgiOjB9LCJpc0VkaXRlZCI6ZmFsc2UsIm1hbnVhbE92ZXJyaWRlIjp7ImNpdGVwcm9jVGV4dCI6IlszLDExNOKAkzExOF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"/>
          <w:id w:val="-118529001"/>
          <w:placeholder>
            <w:docPart w:val="DefaultPlaceholder_-1854013440"/>
          </w:placeholder>
        </w:sdtPr>
        <w:sdtContent>
          <w:r w:rsidR="00B43409" w:rsidRPr="00B43409">
            <w:rPr>
              <w:color w:val="000000"/>
            </w:rPr>
            <w:t>[3,114–118]</w:t>
          </w:r>
        </w:sdtContent>
      </w:sdt>
      <w:r w:rsidRPr="001D228D">
        <w:t>.</w:t>
      </w:r>
    </w:p>
    <w:p w14:paraId="467195F9" w14:textId="77777777" w:rsidR="00CE64DB" w:rsidRPr="001D228D" w:rsidRDefault="00CE64DB" w:rsidP="001150F4">
      <w:r w:rsidRPr="001D228D">
        <w:t xml:space="preserve">In mechanistic or circadian thermophysiology, averaging across sites can obscure key regional dynamics. Site-specific analysis, therefore, may be preferred when the objective is to characterise </w:t>
      </w:r>
      <w:r w:rsidRPr="001D228D">
        <w:rPr>
          <w:i/>
          <w:iCs/>
        </w:rPr>
        <w:t>where</w:t>
      </w:r>
      <w:r w:rsidRPr="001D228D">
        <w:t xml:space="preserve"> and </w:t>
      </w:r>
      <w:r w:rsidRPr="001D228D">
        <w:rPr>
          <w:i/>
          <w:iCs/>
        </w:rPr>
        <w:t>how</w:t>
      </w:r>
      <w:r w:rsidRPr="001D228D">
        <w:t xml:space="preserve"> heat exchange occurs.</w:t>
      </w:r>
    </w:p>
    <w:p w14:paraId="0E9351BE" w14:textId="6DDF646A" w:rsidR="00CE64DB" w:rsidRPr="001D228D" w:rsidRDefault="00CE64DB" w:rsidP="001150F4">
      <w:pPr>
        <w:pStyle w:val="Bullet"/>
        <w:rPr>
          <w:rStyle w:val="BulletChar"/>
        </w:rPr>
      </w:pPr>
      <w:r w:rsidRPr="001D228D">
        <w:rPr>
          <w:rStyle w:val="BulletChar"/>
          <w:u w:val="single"/>
        </w:rPr>
        <w:t>Distal skin (hands/feet/ankle)</w:t>
      </w:r>
      <w:r w:rsidRPr="001D228D">
        <w:rPr>
          <w:rStyle w:val="BulletChar"/>
        </w:rPr>
        <w:t xml:space="preserve">. Sensitive marker of sympathetic vasomotor tone via AVA control; the distal–proximal gradient (DPG) predicts sleep-onset latency and comfort transitions </w:t>
      </w:r>
      <w:sdt>
        <w:sdtPr>
          <w:rPr>
            <w:rStyle w:val="BulletChar"/>
            <w:color w:val="000000"/>
          </w:rPr>
          <w:tag w:val="MENDELEY_CITATION_v3_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"/>
          <w:id w:val="-62032936"/>
          <w:placeholder>
            <w:docPart w:val="DefaultPlaceholder_-1854013440"/>
          </w:placeholder>
        </w:sdtPr>
        <w:sdtEndPr>
          <w:rPr>
            <w:rStyle w:val="DefaultParagraphFont"/>
          </w:rPr>
        </w:sdtEndPr>
        <w:sdtContent>
          <w:r w:rsidR="00B43409" w:rsidRPr="00B43409">
            <w:rPr>
              <w:color w:val="000000"/>
            </w:rPr>
            <w:t>[119]</w:t>
          </w:r>
        </w:sdtContent>
      </w:sdt>
      <w:r w:rsidRPr="001D228D">
        <w:rPr>
          <w:rStyle w:val="BulletChar"/>
        </w:rPr>
        <w:t>.</w:t>
      </w:r>
    </w:p>
    <w:p w14:paraId="44B3A929" w14:textId="63DB60BC" w:rsidR="00CE64DB" w:rsidRPr="001D228D" w:rsidRDefault="00CE64DB" w:rsidP="001150F4">
      <w:pPr>
        <w:pStyle w:val="Bullet"/>
        <w:rPr>
          <w:rStyle w:val="BulletChar"/>
        </w:rPr>
      </w:pPr>
      <w:r w:rsidRPr="001D228D">
        <w:rPr>
          <w:rStyle w:val="BulletChar"/>
          <w:u w:val="single"/>
        </w:rPr>
        <w:t>Proximal trunk (chest/back/thigh)</w:t>
      </w:r>
      <w:r w:rsidRPr="001D228D">
        <w:rPr>
          <w:rStyle w:val="BulletChar"/>
        </w:rPr>
        <w:t xml:space="preserve">. Tracks core-to-shell transfer and internal thermal load, with less susceptibility to local drafts than distal sites </w:t>
      </w:r>
      <w:sdt>
        <w:sdtPr>
          <w:rPr>
            <w:rStyle w:val="BulletChar"/>
            <w:color w:val="000000"/>
          </w:rPr>
          <w:tag w:val="MENDELEY_CITATION_v3_eyJjaXRhdGlvbklEIjoiTUVOREVMRVlfQ0lUQVRJT05fNGVhMGI0ZjktZWQ0Zi00YzBkLWFlZGQtZDM3MjQwMDQ1ZjIx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1897315896"/>
          <w:placeholder>
            <w:docPart w:val="DefaultPlaceholder_-1854013440"/>
          </w:placeholder>
        </w:sdtPr>
        <w:sdtEndPr>
          <w:rPr>
            <w:rStyle w:val="DefaultParagraphFont"/>
          </w:rPr>
        </w:sdtEndPr>
        <w:sdtContent>
          <w:r w:rsidR="00B43409" w:rsidRPr="00B43409">
            <w:rPr>
              <w:color w:val="000000"/>
            </w:rPr>
            <w:t>[3]</w:t>
          </w:r>
        </w:sdtContent>
      </w:sdt>
      <w:r w:rsidRPr="001D228D">
        <w:rPr>
          <w:rStyle w:val="BulletChar"/>
        </w:rPr>
        <w:t>.</w:t>
      </w:r>
    </w:p>
    <w:p w14:paraId="3B6D5A25" w14:textId="5DE815F8" w:rsidR="00CE64DB" w:rsidRPr="001D228D" w:rsidRDefault="00CE64DB" w:rsidP="001150F4">
      <w:pPr>
        <w:pStyle w:val="Bullet"/>
        <w:rPr>
          <w:rStyle w:val="BulletChar"/>
        </w:rPr>
      </w:pPr>
      <w:r w:rsidRPr="001D228D">
        <w:rPr>
          <w:rStyle w:val="BulletChar"/>
          <w:u w:val="single"/>
        </w:rPr>
        <w:t>Face/neck.</w:t>
      </w:r>
      <w:r w:rsidRPr="001D228D">
        <w:rPr>
          <w:rStyle w:val="BulletChar"/>
        </w:rPr>
        <w:t xml:space="preserve"> Rapidly responsive to both thermal and affective stimuli; facial thermal shifts of ~0.3–0.5 °C accompany social/affective manipulations </w:t>
      </w:r>
      <w:sdt>
        <w:sdtPr>
          <w:rPr>
            <w:rStyle w:val="BulletChar"/>
            <w:color w:val="000000"/>
          </w:rPr>
          <w:tag w:val="MENDELEY_CITATION_v3_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"/>
          <w:id w:val="-528404187"/>
          <w:placeholder>
            <w:docPart w:val="DefaultPlaceholder_-1854013440"/>
          </w:placeholder>
        </w:sdtPr>
        <w:sdtEndPr>
          <w:rPr>
            <w:rStyle w:val="DefaultParagraphFont"/>
          </w:rPr>
        </w:sdtEndPr>
        <w:sdtContent>
          <w:r w:rsidR="00B43409" w:rsidRPr="00B43409">
            <w:rPr>
              <w:color w:val="000000"/>
            </w:rPr>
            <w:t>[120]</w:t>
          </w:r>
        </w:sdtContent>
      </w:sdt>
      <w:r w:rsidRPr="001D228D">
        <w:rPr>
          <w:rStyle w:val="BulletChar"/>
        </w:rPr>
        <w:t>.</w:t>
      </w:r>
    </w:p>
    <w:p w14:paraId="6D280585" w14:textId="77777777" w:rsidR="00CE64DB" w:rsidRPr="001D228D" w:rsidRDefault="00CE64DB" w:rsidP="001150F4">
      <w:pPr>
        <w:pStyle w:val="Bullet"/>
      </w:pPr>
      <w:r w:rsidRPr="001D228D">
        <w:rPr>
          <w:u w:val="single"/>
        </w:rPr>
        <w:t>Asymmetry and field studies.</w:t>
      </w:r>
      <w:r w:rsidRPr="001D228D">
        <w:t xml:space="preserve"> In non-uniform environments, anterior/posterior or left/right averages and region-specific weighting improve representativeness.</w:t>
      </w:r>
    </w:p>
    <w:p w14:paraId="3368B57B" w14:textId="2C45A370" w:rsidR="00CE64DB" w:rsidRPr="001D228D" w:rsidRDefault="00CE64DB" w:rsidP="001150F4">
      <w:r w:rsidRPr="001D228D">
        <w:t xml:space="preserve">A wide range of formulas exists for integrating multiple site temperatures into a single representative mean. These computational approaches are described under </w:t>
      </w:r>
      <w:r w:rsidRPr="001D228D">
        <w:rPr>
          <w:i/>
          <w:iCs/>
        </w:rPr>
        <w:t>Data handling methods</w:t>
      </w:r>
      <w:r w:rsidRPr="001D228D">
        <w:t xml:space="preserve">, where the weighting systems and historical variants are consolidated in </w:t>
      </w:r>
      <w:r w:rsidRPr="001D228D">
        <w:fldChar w:fldCharType="begin"/>
      </w:r>
      <w:r w:rsidRPr="001D228D">
        <w:instrText xml:space="preserve"> REF _Ref211005883 \h  \* MERGEFORMAT </w:instrText>
      </w:r>
      <w:r w:rsidRPr="001D228D">
        <w:fldChar w:fldCharType="separate"/>
      </w:r>
      <w:r w:rsidR="007650AF" w:rsidRPr="001D228D">
        <w:t xml:space="preserve">Table </w:t>
      </w:r>
      <w:r w:rsidR="007650AF">
        <w:t>7</w:t>
      </w:r>
      <w:r w:rsidRPr="001D228D">
        <w:fldChar w:fldCharType="end"/>
      </w:r>
      <w:r w:rsidRPr="001D228D">
        <w:t xml:space="preserve"> in </w:t>
      </w:r>
      <w:r w:rsidRPr="001D228D">
        <w:fldChar w:fldCharType="begin"/>
      </w:r>
      <w:r w:rsidRPr="001D228D">
        <w:instrText xml:space="preserve"> REF _Ref213765681 \h  \* MERGEFORMAT </w:instrText>
      </w:r>
      <w:r w:rsidRPr="001D228D">
        <w:fldChar w:fldCharType="separate"/>
      </w:r>
      <w:r w:rsidR="007650AF" w:rsidRPr="001D228D">
        <w:t>MEAN SKIN TEMPERATURE FORMULAS</w:t>
      </w:r>
      <w:r w:rsidRPr="001D228D">
        <w:fldChar w:fldCharType="end"/>
      </w:r>
      <w:r w:rsidRPr="001D228D">
        <w:t>.</w:t>
      </w:r>
    </w:p>
    <w:p w14:paraId="5306F464" w14:textId="77777777" w:rsidR="00CE64DB" w:rsidRPr="001D228D" w:rsidRDefault="00CE64DB" w:rsidP="007A2440">
      <w:pPr>
        <w:pStyle w:val="Heading3"/>
        <w:rPr>
          <w:lang w:val="en-GB"/>
        </w:rPr>
      </w:pPr>
      <w:bookmarkStart w:id="28" w:name="_Toc223281674"/>
      <w:r w:rsidRPr="001D228D">
        <w:rPr>
          <w:lang w:val="en-GB"/>
        </w:rPr>
        <w:lastRenderedPageBreak/>
        <w:t>Agreeability across sensor types</w:t>
      </w:r>
      <w:bookmarkStart w:id="29" w:name="_Toc211009213"/>
      <w:bookmarkEnd w:id="28"/>
    </w:p>
    <w:p w14:paraId="4CDA8FD2" w14:textId="2B0FD1C5" w:rsidR="00CE64DB" w:rsidRPr="001D228D" w:rsidRDefault="00CE64DB" w:rsidP="001150F4">
      <w:r w:rsidRPr="001D228D">
        <w:t xml:space="preserve">Agreement among skin temperature systems depends on sensing principle (contact vs infrared), sensor packaging (mass, encapsulation material, backing), attachment method, sampling rate, firmware, and manufacturer calibration. Under steady conditions, co-located contact devices such as thermistors, thermocouples, and calibrated iButtons typically agree within ± 0.2–0.3 °C, although small systematic offsets may occur. Classic validations reported low bias (~ –0.09 °C) and high precision (SD ~ 0.05 °C) for iButtons relative to reference thermistors, although brand- or model-specific differences of up to ~ 0.5 °C have also been noted, reflecting variation in encapsulation, adhesive insulation, and internal thermal time-constants </w:t>
      </w:r>
      <w:sdt>
        <w:sdtPr>
          <w:rPr>
            <w:color w:val="000000"/>
          </w:rPr>
          <w:tag w:val="MENDELEY_CITATION_v3_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I4MzA1MjU0Mi00YWExLTUyMTQtYjUzYi0xNmQ1NTY2YjA3ZGY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ZGJkMTFjM2ItZGEyMS00ZWZiLWEyOGItMzZjY2EyN2NlMzMzIiwiaHR0cDovL3d3dy5tZW5kZWxleS5jb20vZG9jdW1lbnRzLz91dWlkPTc1YWVjMTlhLWI3MzEtNGRmYi1iNGE0LTE4ODM1NTk5OGJmMyJdLCJpc1RlbXBvcmFyeSI6ZmFsc2UsImxlZ2FjeURlc2t0b3BJZCI6ImRiZDExYzNiLWRhMjEtNGVmYi1hMjhiLTM2Y2NhMjdjZTMzMyJ9XX0="/>
          <w:id w:val="246167772"/>
          <w:placeholder>
            <w:docPart w:val="DefaultPlaceholder_-1854013440"/>
          </w:placeholder>
        </w:sdtPr>
        <w:sdtContent>
          <w:r w:rsidR="00B43409" w:rsidRPr="00B43409">
            <w:rPr>
              <w:color w:val="000000"/>
            </w:rPr>
            <w:t>[121,122]</w:t>
          </w:r>
        </w:sdtContent>
      </w:sdt>
      <w:r w:rsidRPr="001D228D">
        <w:t>.</w:t>
      </w:r>
    </w:p>
    <w:p w14:paraId="77CC4FEA" w14:textId="3C07946D" w:rsidR="00CE64DB" w:rsidRPr="001D228D" w:rsidRDefault="00CE64DB" w:rsidP="001150F4">
      <w:r w:rsidRPr="001D228D">
        <w:t xml:space="preserve">Attachment and packaging effects are among the largest practical error sources. Covering thermistors with foam or adhesive tape elevates readings by as much as +1.3 °C, particularly in thermoneutral air, due to reduced convective and evaporative loss </w:t>
      </w:r>
      <w:sdt>
        <w:sdtPr>
          <w:rPr>
            <w:color w:val="000000"/>
          </w:rPr>
          <w:tag w:val="MENDELEY_CITATION_v3_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"/>
          <w:id w:val="-140886755"/>
          <w:placeholder>
            <w:docPart w:val="DefaultPlaceholder_-1854013440"/>
          </w:placeholder>
        </w:sdtPr>
        <w:sdtContent>
          <w:r w:rsidR="00B43409" w:rsidRPr="00B43409">
            <w:rPr>
              <w:color w:val="000000"/>
            </w:rPr>
            <w:t>[123]</w:t>
          </w:r>
        </w:sdtContent>
      </w:sdt>
      <w:r w:rsidRPr="001D228D">
        <w:t>. Manikin experiments confirm up to 2 °C under- or over-estimation depending on tape type, covering, and clothing insulation</w:t>
      </w:r>
      <w:r w:rsidR="00062811">
        <w:rPr>
          <w:color w:val="000000"/>
        </w:rPr>
        <w:t xml:space="preserve"> </w:t>
      </w:r>
      <w:sdt>
        <w:sdtPr>
          <w:rPr>
            <w:color w:val="000000"/>
          </w:rPr>
          <w:tag w:val="MENDELEY_CITATION_v3_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lzc3VlIjoiNSIsInZvbHVtZSI6IjU4In0sImlzVGVtcG9yYXJ5IjpmYWxzZX1dfQ=="/>
          <w:id w:val="-923956509"/>
          <w:placeholder>
            <w:docPart w:val="DefaultPlaceholder_-1854013440"/>
          </w:placeholder>
        </w:sdtPr>
        <w:sdtContent>
          <w:r w:rsidR="00B43409" w:rsidRPr="00B43409">
            <w:rPr>
              <w:color w:val="000000"/>
            </w:rPr>
            <w:t>[124]</w:t>
          </w:r>
        </w:sdtContent>
      </w:sdt>
      <w:r w:rsidR="00062811">
        <w:rPr>
          <w:color w:val="000000"/>
        </w:rPr>
        <w:t xml:space="preserve"> </w:t>
      </w:r>
      <w:r w:rsidRPr="001D228D">
        <w:t>while finite-element models demonstrat</w:t>
      </w:r>
      <w:r w:rsidR="00444234">
        <w:t>e</w:t>
      </w:r>
      <w:r w:rsidRPr="001D228D">
        <w:t xml:space="preserve"> that low-conductivity foam backings trap heat around the probe </w:t>
      </w:r>
      <w:sdt>
        <w:sdtPr>
          <w:rPr>
            <w:color w:val="000000"/>
          </w:rPr>
          <w:tag w:val="MENDELEY_CITATION_v3_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"/>
          <w:id w:val="-1808384816"/>
          <w:placeholder>
            <w:docPart w:val="DefaultPlaceholder_-1854013440"/>
          </w:placeholder>
        </w:sdtPr>
        <w:sdtContent>
          <w:r w:rsidR="00B43409" w:rsidRPr="00B43409">
            <w:rPr>
              <w:color w:val="000000"/>
            </w:rPr>
            <w:t>[125]</w:t>
          </w:r>
        </w:sdtContent>
      </w:sdt>
      <w:r w:rsidRPr="001D228D">
        <w:t xml:space="preserve">. MacRae et al. </w:t>
      </w:r>
      <w:sdt>
        <w:sdtPr>
          <w:rPr>
            <w:color w:val="000000"/>
          </w:rPr>
          <w:tag w:val="MENDELEY_CITATION_v3_eyJjaXRhdGlvbklEIjoiTUVOREVMRVlfQ0lUQVRJT05fNDk5YTJhYjQtNzhhOS00Y2U5LWJlMWQtZWFiMGFhNTE4N2Q5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
          <w:id w:val="-307164348"/>
          <w:placeholder>
            <w:docPart w:val="DefaultPlaceholder_-1854013440"/>
          </w:placeholder>
        </w:sdtPr>
        <w:sdtContent>
          <w:r w:rsidR="00B43409" w:rsidRPr="00B43409">
            <w:rPr>
              <w:color w:val="000000"/>
            </w:rPr>
            <w:t>[101]</w:t>
          </w:r>
        </w:sdtContent>
      </w:sdt>
      <w:r w:rsidRPr="001D228D">
        <w:t xml:space="preserve"> review 21 contact-sensor studies and found measurement biases ranging from &lt; 0.5 °C to &gt; 0.5 °C, with 95 % limits of agreement often spanning ± 1 °C in vivo. They attribute most between-study spread to differences in sensor housing, attachment pressure, and environmental control, and noted that more than half of published experiments omit key metadata, e.g. sensor model, calibration procedure, attachment method, and shielding – limiting reproducibility across laboratories.</w:t>
      </w:r>
    </w:p>
    <w:p w14:paraId="7422C209" w14:textId="5906EE5E" w:rsidR="00CE64DB" w:rsidRPr="001D228D" w:rsidRDefault="00CE64DB" w:rsidP="001150F4">
      <w:r w:rsidRPr="001D228D">
        <w:t xml:space="preserve">Infrared modalities introduce additional sources of variability due to assumptions about emissivity, corrections for reflected radiation, and viewing geometry. Hand-held infrared thermometers and thermal cameras consistently overestimate skin temperature relative to contact probes, with mean biases of +0.8 to +1.9 °C during exercise or rapid thermal transitions </w:t>
      </w:r>
      <w:sdt>
        <w:sdtPr>
          <w:rPr>
            <w:color w:val="000000"/>
          </w:rPr>
          <w:tag w:val="MENDELEY_CITATION_v3_eyJjaXRhdGlvbklEIjoiTUVOREVMRVlfQ0lUQVRJT05fNTljN2I2NDQtOTJjOS00NThlLTgwZjItMGQwYTE3MzdmYTE3IiwicHJvcGVydGllcyI6eyJub3RlSW5kZXgiOjB9LCJpc0VkaXRlZCI6ZmFsc2UsIm1hbnVhbE92ZXJyaWRlIjp7ImNpdGVwcm9jVGV4dCI6IlsxMDcsMTA4LDEyNiwxMjddIiwiaXNNYW51YWxseU92ZXJyaWRkZW4iOmZhbHNlLCJtYW51YWxPdmVycmlkZVRleHQiOiIifSwiY2l0YXRpb25JdGVtcyI6W3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"/>
          <w:id w:val="1075011678"/>
          <w:placeholder>
            <w:docPart w:val="DefaultPlaceholder_-1854013440"/>
          </w:placeholder>
        </w:sdtPr>
        <w:sdtContent>
          <w:r w:rsidR="00B43409" w:rsidRPr="00B43409">
            <w:rPr>
              <w:color w:val="000000"/>
            </w:rPr>
            <w:t>[107,108,126,127]</w:t>
          </w:r>
        </w:sdtContent>
      </w:sdt>
      <w:r w:rsidRPr="001D228D">
        <w:t xml:space="preserve">. A cold-exposure comparison reported a +1.8 °C bias (95 % LoA –0.46 to +4.07 °C) </w:t>
      </w:r>
      <w:sdt>
        <w:sdtPr>
          <w:rPr>
            <w:color w:val="000000"/>
          </w:rPr>
          <w:tag w:val="MENDELEY_CITATION_v3_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"/>
          <w:id w:val="-757365421"/>
          <w:placeholder>
            <w:docPart w:val="DefaultPlaceholder_-1854013440"/>
          </w:placeholder>
        </w:sdtPr>
        <w:sdtContent>
          <w:r w:rsidR="00B43409" w:rsidRPr="00B43409">
            <w:rPr>
              <w:color w:val="000000"/>
            </w:rPr>
            <w:t>[126]</w:t>
          </w:r>
        </w:sdtContent>
      </w:sdt>
      <w:r w:rsidRPr="001D228D">
        <w:t xml:space="preserve">. The first systematic review of conductive versus infrared methods </w:t>
      </w:r>
      <w:sdt>
        <w:sdtPr>
          <w:rPr>
            <w:color w:val="000000"/>
          </w:rPr>
          <w:tag w:val="MENDELEY_CITATION_v3_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"/>
          <w:id w:val="-498279711"/>
          <w:placeholder>
            <w:docPart w:val="DefaultPlaceholder_-1854013440"/>
          </w:placeholder>
        </w:sdtPr>
        <w:sdtContent>
          <w:r w:rsidR="00B43409" w:rsidRPr="00B43409">
            <w:rPr>
              <w:color w:val="000000"/>
            </w:rPr>
            <w:t>[128]</w:t>
          </w:r>
        </w:sdtContent>
      </w:sdt>
      <w:r w:rsidRPr="001D228D">
        <w:t xml:space="preserve"> found that 12 of 16 studies exceeded the commonly accepted ±0.5 °C bias and ±1 °C limits of agreement, particularly under exercise or radiant-load conditions. Subsequent reviews identified environmental and technical drivers, e.g. emissivity control, calibration-target temperature, and region-of-interest selection, as dominant determinants of variability </w:t>
      </w:r>
      <w:sdt>
        <w:sdtPr>
          <w:rPr>
            <w:color w:val="000000"/>
          </w:rPr>
          <w:tag w:val="MENDELEY_CITATION_v3_eyJjaXRhdGlvbklEIjoiTUVOREVMRVlfQ0lUQVRJT05fMzNkMWRiMjctZjNkOC00YjMzLWEzOWItNWQxYmE0N2M2NjYwIiwicHJvcGVydGllcyI6eyJub3RlSW5kZXgiOjB9LCJpc0VkaXRlZCI6ZmFsc2UsIm1hbnVhbE92ZXJyaWRlIjp7ImNpdGVwcm9jVGV4dCI6IlsxMjnigJMxMzFd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"/>
          <w:id w:val="663980580"/>
          <w:placeholder>
            <w:docPart w:val="DefaultPlaceholder_-1854013440"/>
          </w:placeholder>
        </w:sdtPr>
        <w:sdtContent>
          <w:r w:rsidR="00B43409" w:rsidRPr="00B43409">
            <w:rPr>
              <w:color w:val="000000"/>
            </w:rPr>
            <w:t>[129–131]</w:t>
          </w:r>
        </w:sdtContent>
      </w:sdt>
      <w:r w:rsidRPr="001D228D">
        <w:t xml:space="preserve">. Delphi consensus work </w:t>
      </w:r>
      <w:sdt>
        <w:sdtPr>
          <w:rPr>
            <w:color w:val="000000"/>
          </w:rPr>
          <w:tag w:val="MENDELEY_CITATION_v3_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"/>
          <w:id w:val="1696646862"/>
          <w:placeholder>
            <w:docPart w:val="DefaultPlaceholder_-1854013440"/>
          </w:placeholder>
        </w:sdtPr>
        <w:sdtContent>
          <w:r w:rsidR="00B43409" w:rsidRPr="00B43409">
            <w:rPr>
              <w:color w:val="000000"/>
            </w:rPr>
            <w:t>[131]</w:t>
          </w:r>
        </w:sdtContent>
      </w:sdt>
      <w:r w:rsidRPr="001D228D">
        <w:t xml:space="preserve"> now defines minimum reporting standards for infrared thermography, including emissivity = 0.97, fixed camera–subject distance, reference calibration targets, and ambient control.</w:t>
      </w:r>
    </w:p>
    <w:p w14:paraId="747AC130" w14:textId="0B1D9B42" w:rsidR="00CE64DB" w:rsidRPr="001D228D" w:rsidRDefault="00CE64DB" w:rsidP="001150F4">
      <w:r w:rsidRPr="001D228D">
        <w:t xml:space="preserve">Beyond the sensing principle, brand/model choice and setup variables (adhesive type, applied pressure, site curvature, shielding) can further shift readings. Across studies, inter-device spreads of ~ 0.5 °C are common even under controlled laboratory conditions, and ±1–2 °C differences appear under transient or asymmetric exposures </w:t>
      </w:r>
      <w:sdt>
        <w:sdtPr>
          <w:rPr>
            <w:color w:val="000000"/>
          </w:rPr>
          <w:tag w:val="MENDELEY_CITATION_v3_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
          <w:id w:val="-1324194800"/>
          <w:placeholder>
            <w:docPart w:val="DefaultPlaceholder_-1854013440"/>
          </w:placeholder>
        </w:sdtPr>
        <w:sdtContent>
          <w:r w:rsidR="00B43409" w:rsidRPr="00B43409">
            <w:rPr>
              <w:color w:val="000000"/>
            </w:rPr>
            <w:t>[125,128,132,133]</w:t>
          </w:r>
        </w:sdtContent>
      </w:sdt>
      <w:r w:rsidRPr="001D228D">
        <w:t>. While broad concordance between thermistor- and iButton</w:t>
      </w:r>
      <w:r>
        <w:t xml:space="preserve"> (thermochron)</w:t>
      </w:r>
      <w:r w:rsidRPr="001D228D">
        <w:t>-based systems is well established, brand-resolved benchmarking for skin-temperature loggers remains sparse.</w:t>
      </w:r>
    </w:p>
    <w:p w14:paraId="24523A43" w14:textId="77777777" w:rsidR="00CE64DB" w:rsidRPr="001D228D" w:rsidRDefault="00CE64DB" w:rsidP="007A2440">
      <w:pPr>
        <w:pStyle w:val="Heading3"/>
        <w:rPr>
          <w:lang w:val="en-GB"/>
        </w:rPr>
      </w:pPr>
      <w:bookmarkStart w:id="30" w:name="_Toc223281675"/>
      <w:r w:rsidRPr="001D228D">
        <w:rPr>
          <w:lang w:val="en-GB"/>
        </w:rPr>
        <w:t>Known confounders and modifiers</w:t>
      </w:r>
      <w:bookmarkEnd w:id="29"/>
      <w:bookmarkEnd w:id="30"/>
    </w:p>
    <w:p w14:paraId="0191DE81" w14:textId="77777777" w:rsidR="00CE64DB" w:rsidRPr="001D228D" w:rsidRDefault="00CE64DB" w:rsidP="001150F4">
      <w:r w:rsidRPr="001D228D">
        <w:t>Skin temperature is influenced by numerous physiological, environmental, and behavioural factors that interact across time scales. These modifiers must be carefully considered when interpreting or comparing measurements across individuals, sessions, or studies.</w:t>
      </w:r>
    </w:p>
    <w:p w14:paraId="5411BD40" w14:textId="09AFBA1A" w:rsidR="00CE64DB" w:rsidRPr="001D228D" w:rsidRDefault="00CE64DB" w:rsidP="001150F4">
      <w:r w:rsidRPr="001D228D">
        <w:rPr>
          <w:b/>
          <w:bCs/>
        </w:rPr>
        <w:t xml:space="preserve">Circadian influences. </w:t>
      </w:r>
      <w:r w:rsidRPr="001D228D">
        <w:t xml:space="preserve">Skin temperature follows a robust circadian rhythm orchestrated by the suprachiasmatic nucleus through sympathetic outflow and melatonin secretion. Distal regions such as the hands, wrists, and feet typically warm during the evening and reach their highest temperatures around the biological night, promoting heat dissipation and facilitating sleep onset. In contrast, proximal and facial regions tend to mirror the diurnal rhythm of core temperature, showing a mid-afternoon maximum and nocturnal decline </w:t>
      </w:r>
      <w:sdt>
        <w:sdtPr>
          <w:rPr>
            <w:color w:val="000000"/>
          </w:rPr>
          <w:tag w:val="MENDELEY_CITATION_v3_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"/>
          <w:id w:val="-1705552385"/>
          <w:placeholder>
            <w:docPart w:val="DefaultPlaceholder_-1854013440"/>
          </w:placeholder>
        </w:sdtPr>
        <w:sdtContent>
          <w:r w:rsidR="00B43409" w:rsidRPr="00B43409">
            <w:rPr>
              <w:color w:val="000000"/>
            </w:rPr>
            <w:t>[134]</w:t>
          </w:r>
        </w:sdtContent>
      </w:sdt>
      <w:r w:rsidRPr="001D228D">
        <w:t xml:space="preserve">. The distal–proximal gradient (DPG = </w:t>
      </w:r>
      <w:r w:rsidRPr="00FA2870">
        <w:t>Tsk</w:t>
      </w:r>
      <w:r w:rsidRPr="001D228D">
        <w:t xml:space="preserve"> distal − </w:t>
      </w:r>
      <w:r w:rsidRPr="00FA2870">
        <w:t>Tsk</w:t>
      </w:r>
      <w:r w:rsidRPr="001D228D">
        <w:t xml:space="preserve"> proximal) increases sharply before habitual sleep onset, often preceding the evening melatonin rise by about an hour, and has become a validated physiological marker of circadian phase </w:t>
      </w:r>
      <w:sdt>
        <w:sdtPr>
          <w:rPr>
            <w:color w:val="000000"/>
          </w:rPr>
          <w:tag w:val="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"/>
          <w:id w:val="692423892"/>
          <w:placeholder>
            <w:docPart w:val="DefaultPlaceholder_-1854013440"/>
          </w:placeholder>
        </w:sdtPr>
        <w:sdtContent>
          <w:r w:rsidR="00B43409" w:rsidRPr="00B43409">
            <w:rPr>
              <w:color w:val="000000"/>
            </w:rPr>
            <w:t>[135–137]</w:t>
          </w:r>
        </w:sdtContent>
      </w:sdt>
      <w:r w:rsidRPr="001D228D">
        <w:t xml:space="preserve">. </w:t>
      </w:r>
    </w:p>
    <w:p w14:paraId="4796178B" w14:textId="63BE231E" w:rsidR="00CE64DB" w:rsidRDefault="00CE64DB" w:rsidP="001150F4">
      <w:r w:rsidRPr="001D228D">
        <w:rPr>
          <w:b/>
          <w:bCs/>
        </w:rPr>
        <w:t>Chronotype and sleep timing.</w:t>
      </w:r>
      <w:r w:rsidRPr="001D228D">
        <w:t xml:space="preserve"> Chronotype also modulates these temporal patterns: evening types exhibit delayed distal warming and smaller nocturnal DPG amplitudes relative to morning types </w:t>
      </w:r>
      <w:sdt>
        <w:sdtPr>
          <w:rPr>
            <w:color w:val="000000"/>
          </w:rPr>
          <w:tag w:val="MENDELEY_CITATION_v3_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"/>
          <w:id w:val="-966429744"/>
          <w:placeholder>
            <w:docPart w:val="DefaultPlaceholder_-1854013440"/>
          </w:placeholder>
        </w:sdtPr>
        <w:sdtContent>
          <w:r w:rsidR="00B43409" w:rsidRPr="00B43409">
            <w:rPr>
              <w:color w:val="000000"/>
            </w:rPr>
            <w:t>[138]</w:t>
          </w:r>
        </w:sdtContent>
      </w:sdt>
      <w:r w:rsidRPr="001D228D">
        <w:t>. Behavioural factors such as posture, recent activity, exposure to light, or use of screens with high blue light content before bedtime can attenuate distal vasodilation and blunt the nocturnal</w:t>
      </w:r>
      <w:r>
        <w:t xml:space="preserve"> </w:t>
      </w:r>
      <w:r w:rsidRPr="00FA2870">
        <w:t>Tsk</w:t>
      </w:r>
      <w:r w:rsidRPr="001D228D">
        <w:t xml:space="preserve"> rhythm. Conversely, behaviours that promote peripheral vasodilation, such as foot bathing before sleep, accelerate distal warming and shorten sleep-onset latency </w:t>
      </w:r>
      <w:sdt>
        <w:sdtPr>
          <w:rPr>
            <w:color w:val="000000"/>
          </w:rPr>
          <w:tag w:val="MENDELEY_CITATION_v3_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"/>
          <w:id w:val="309996492"/>
          <w:placeholder>
            <w:docPart w:val="DefaultPlaceholder_-1854013440"/>
          </w:placeholder>
        </w:sdtPr>
        <w:sdtContent>
          <w:r w:rsidR="00B43409" w:rsidRPr="00B43409">
            <w:rPr>
              <w:color w:val="000000"/>
            </w:rPr>
            <w:t>[139]</w:t>
          </w:r>
        </w:sdtContent>
      </w:sdt>
      <w:r w:rsidRPr="001D228D">
        <w:t xml:space="preserve">. Because each </w:t>
      </w:r>
      <w:r w:rsidRPr="001D228D">
        <w:lastRenderedPageBreak/>
        <w:t xml:space="preserve">measurement site expresses a distinct phase and amplitude of the daily temperature rhythm, cross-site comparisons should be interpreted in conjunction with the </w:t>
      </w:r>
      <w:r w:rsidRPr="001D228D">
        <w:rPr>
          <w:i/>
          <w:iCs/>
        </w:rPr>
        <w:t xml:space="preserve">2.2.3. Where: Body sites of measurement </w:t>
      </w:r>
      <w:r w:rsidRPr="001D228D">
        <w:t>Chapter.</w:t>
      </w:r>
    </w:p>
    <w:p w14:paraId="641205E3" w14:textId="627CB23F" w:rsidR="00CE64DB" w:rsidRPr="00AE1C6C" w:rsidRDefault="00CE64DB" w:rsidP="001150F4">
      <w:pPr>
        <w:rPr>
          <w:lang w:val="en-US"/>
        </w:rPr>
      </w:pPr>
      <w:r w:rsidRPr="00692710">
        <w:rPr>
          <w:b/>
          <w:bCs/>
        </w:rPr>
        <w:t>Sex.</w:t>
      </w:r>
      <w:r>
        <w:t xml:space="preserve"> </w:t>
      </w:r>
      <w:r w:rsidRPr="0041012E">
        <w:t>Because women produce less metabolic heat and have a thicker layer of subcutaneous fat (which insulates the body core but leaves the skin cooler), men generally exhibit significantly higher average skin temperatures than women across most body regions at rest, particularly in the morning</w:t>
      </w:r>
      <w:r>
        <w:rPr>
          <w:lang w:val="en-US"/>
        </w:rPr>
        <w:t xml:space="preserve"> </w:t>
      </w:r>
      <w:sdt>
        <w:sdtPr>
          <w:rPr>
            <w:color w:val="000000"/>
            <w:lang w:val="en-US"/>
          </w:rPr>
          <w:tag w:val="MENDELEY_CITATION_v3_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"/>
          <w:id w:val="-1799746656"/>
          <w:placeholder>
            <w:docPart w:val="DefaultPlaceholder_-1854013440"/>
          </w:placeholder>
        </w:sdtPr>
        <w:sdtEndPr>
          <w:rPr>
            <w:lang w:val="en-GB"/>
          </w:rPr>
        </w:sdtEndPr>
        <w:sdtContent>
          <w:r w:rsidR="00B43409" w:rsidRPr="00B43409">
            <w:rPr>
              <w:color w:val="000000"/>
            </w:rPr>
            <w:t>[140]</w:t>
          </w:r>
        </w:sdtContent>
      </w:sdt>
      <w:r w:rsidRPr="0041012E">
        <w:t>.</w:t>
      </w:r>
      <w:r>
        <w:rPr>
          <w:lang w:val="en-US"/>
        </w:rPr>
        <w:t xml:space="preserve"> </w:t>
      </w:r>
      <w:r w:rsidRPr="0041012E">
        <w:t xml:space="preserve">A woman's skin temperature is significantly more affected by the </w:t>
      </w:r>
      <w:r>
        <w:rPr>
          <w:lang w:val="en-US"/>
        </w:rPr>
        <w:t>exposure</w:t>
      </w:r>
      <w:r w:rsidRPr="0041012E">
        <w:t xml:space="preserve"> temperature than a man's</w:t>
      </w:r>
      <w:r>
        <w:rPr>
          <w:lang w:val="en-US"/>
        </w:rPr>
        <w:t xml:space="preserve">: in cold exposure, the skin temperature drops faster and more in women, and the opposite is observable in warm exposure, mostly due to lower sweating thresholds and earlier onsets in men </w:t>
      </w:r>
      <w:sdt>
        <w:sdtPr>
          <w:rPr>
            <w:color w:val="000000"/>
            <w:lang w:val="en-US"/>
          </w:rPr>
          <w:tag w:val="MENDELEY_CITATION_v3_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"/>
          <w:id w:val="620030881"/>
          <w:placeholder>
            <w:docPart w:val="DefaultPlaceholder_-1854013440"/>
          </w:placeholder>
        </w:sdtPr>
        <w:sdtEndPr>
          <w:rPr>
            <w:lang w:val="en-GB"/>
          </w:rPr>
        </w:sdtEndPr>
        <w:sdtContent>
          <w:r w:rsidR="00B43409" w:rsidRPr="00B43409">
            <w:rPr>
              <w:color w:val="000000"/>
            </w:rPr>
            <w:t>[141]</w:t>
          </w:r>
        </w:sdtContent>
      </w:sdt>
      <w:r w:rsidRPr="0041012E">
        <w:t>.</w:t>
      </w:r>
      <w:r>
        <w:rPr>
          <w:lang w:val="en-US"/>
        </w:rPr>
        <w:t xml:space="preserve"> </w:t>
      </w:r>
      <w:r w:rsidRPr="0041012E">
        <w:t>Distal body parts show the greatest sex differences; for example, females' foot temperatures are consistently much lower than males' when resting in cool environments</w:t>
      </w:r>
      <w:r>
        <w:rPr>
          <w:lang w:val="en-US"/>
        </w:rPr>
        <w:t xml:space="preserve"> </w:t>
      </w:r>
      <w:sdt>
        <w:sdtPr>
          <w:rPr>
            <w:color w:val="000000"/>
            <w:lang w:val="en-US"/>
          </w:rPr>
          <w:tag w:val="MENDELEY_CITATION_v3_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"/>
          <w:id w:val="1125813389"/>
          <w:placeholder>
            <w:docPart w:val="DefaultPlaceholder_-1854013440"/>
          </w:placeholder>
        </w:sdtPr>
        <w:sdtEndPr>
          <w:rPr>
            <w:lang w:val="en-GB"/>
          </w:rPr>
        </w:sdtEndPr>
        <w:sdtContent>
          <w:r w:rsidR="00B43409" w:rsidRPr="00B43409">
            <w:rPr>
              <w:color w:val="000000"/>
            </w:rPr>
            <w:t>[142]</w:t>
          </w:r>
        </w:sdtContent>
      </w:sdt>
      <w:r w:rsidRPr="0041012E">
        <w:t>.</w:t>
      </w:r>
    </w:p>
    <w:p w14:paraId="2278BFDD" w14:textId="07FDEBCA" w:rsidR="00CE64DB" w:rsidRPr="001D228D" w:rsidRDefault="00CE64DB" w:rsidP="001150F4">
      <w:r w:rsidRPr="001D228D">
        <w:rPr>
          <w:b/>
          <w:bCs/>
        </w:rPr>
        <w:t xml:space="preserve">Sex hormones and reproductive status. </w:t>
      </w:r>
      <w:r w:rsidRPr="004D2353">
        <w:t>Overall,</w:t>
      </w:r>
      <w:r>
        <w:rPr>
          <w:b/>
          <w:bCs/>
        </w:rPr>
        <w:t xml:space="preserve"> </w:t>
      </w:r>
      <w:r>
        <w:t xml:space="preserve">females </w:t>
      </w:r>
      <w:r w:rsidRPr="001D228D">
        <w:t xml:space="preserve">Sex steroid hormones strongly modulate cutaneous thermoeffector thresholds and baseline skin perfusion, thereby shaping skin-temperature patterns across the menstrual cycle and reproductive lifespan. Progesterone, elevated in the luteal phase, raises resting </w:t>
      </w:r>
      <w:r w:rsidRPr="00FA2870">
        <w:t>Tsk</w:t>
      </w:r>
      <w:r w:rsidRPr="001D228D">
        <w:t xml:space="preserve">, increases vasoconstrictor responsiveness, and shifts the vasodilation threshold rightward, delaying heat dissipation under thermal load </w:t>
      </w:r>
      <w:sdt>
        <w:sdtPr>
          <w:rPr>
            <w:color w:val="000000"/>
          </w:rPr>
          <w:tag w:val="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"/>
          <w:id w:val="1162589398"/>
          <w:placeholder>
            <w:docPart w:val="DefaultPlaceholder_-1854013440"/>
          </w:placeholder>
        </w:sdtPr>
        <w:sdtContent>
          <w:r w:rsidR="00B43409" w:rsidRPr="00B43409">
            <w:rPr>
              <w:color w:val="000000"/>
            </w:rPr>
            <w:t>[143–145]</w:t>
          </w:r>
        </w:sdtContent>
      </w:sdt>
      <w:r w:rsidRPr="001D228D">
        <w:t xml:space="preserve">. In contrast, </w:t>
      </w:r>
      <w:r>
        <w:t>oestrogen</w:t>
      </w:r>
      <w:r w:rsidRPr="001D228D">
        <w:t xml:space="preserve"> enhances cutaneous vasodilation through both central autonomic pathways and peripheral nitric-oxide–mediated mechanisms </w:t>
      </w:r>
      <w:sdt>
        <w:sdtPr>
          <w:rPr>
            <w:color w:val="000000"/>
          </w:rPr>
          <w:tag w:val="MENDELEY_CITATION_v3_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"/>
          <w:id w:val="-346870996"/>
          <w:placeholder>
            <w:docPart w:val="DefaultPlaceholder_-1854013440"/>
          </w:placeholder>
        </w:sdtPr>
        <w:sdtContent>
          <w:r w:rsidR="00B43409" w:rsidRPr="00B43409">
            <w:rPr>
              <w:color w:val="000000"/>
            </w:rPr>
            <w:t>[146,147]</w:t>
          </w:r>
        </w:sdtContent>
      </w:sdt>
      <w:r w:rsidRPr="001D228D">
        <w:t xml:space="preserve">, promoting capillary recruitment and improving thermal conductance. Reduced </w:t>
      </w:r>
      <w:r>
        <w:t>oestrogen</w:t>
      </w:r>
      <w:r w:rsidRPr="001D228D">
        <w:t xml:space="preserve"> availability, whether in the late follicular phase, during menopause, or due to low-dose formulations</w:t>
      </w:r>
      <w:r>
        <w:t>,</w:t>
      </w:r>
      <w:r w:rsidRPr="001D228D">
        <w:t xml:space="preserve"> decreases skin perfusion and heightens thermal instability </w:t>
      </w:r>
      <w:sdt>
        <w:sdtPr>
          <w:rPr>
            <w:color w:val="000000"/>
          </w:rPr>
          <w:tag w:val="MENDELEY_CITATION_v3_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"/>
          <w:id w:val="-922792621"/>
          <w:placeholder>
            <w:docPart w:val="DefaultPlaceholder_-1854013440"/>
          </w:placeholder>
        </w:sdtPr>
        <w:sdtContent>
          <w:r w:rsidR="00B43409" w:rsidRPr="00B43409">
            <w:rPr>
              <w:color w:val="000000"/>
            </w:rPr>
            <w:t>[51]</w:t>
          </w:r>
        </w:sdtContent>
      </w:sdt>
      <w:r w:rsidRPr="001D228D">
        <w:t>.</w:t>
      </w:r>
    </w:p>
    <w:p w14:paraId="0D65586E" w14:textId="64622BB5" w:rsidR="00CE64DB" w:rsidRPr="001D228D" w:rsidRDefault="00CE64DB" w:rsidP="001150F4">
      <w:r w:rsidRPr="001D228D">
        <w:t xml:space="preserve">Human microdialysis and local-heating studies further show that hormonal state alters nitric-oxide–dependent vasodilation, with combined </w:t>
      </w:r>
      <w:r>
        <w:t>oral contraceptive</w:t>
      </w:r>
      <w:r w:rsidRPr="001D228D">
        <w:t xml:space="preserve"> users exhibiting enhanced NO-mediated vasodilation compared with early-follicular measurements </w:t>
      </w:r>
      <w:sdt>
        <w:sdtPr>
          <w:rPr>
            <w:color w:val="000000"/>
          </w:rPr>
          <w:tag w:val="MENDELEY_CITATION_v3_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"/>
          <w:id w:val="1479802774"/>
          <w:placeholder>
            <w:docPart w:val="DefaultPlaceholder_-1854013440"/>
          </w:placeholder>
        </w:sdtPr>
        <w:sdtContent>
          <w:r w:rsidR="00B43409" w:rsidRPr="00B43409">
            <w:rPr>
              <w:color w:val="000000"/>
            </w:rPr>
            <w:t>[148]</w:t>
          </w:r>
        </w:sdtContent>
      </w:sdt>
      <w:r w:rsidRPr="001D228D">
        <w:t xml:space="preserve">. These endocrine patterns underlie the well-known 24-h elevation in body temperature during the luteal or active-pill phase </w:t>
      </w:r>
      <w:sdt>
        <w:sdtPr>
          <w:rPr>
            <w:color w:val="000000"/>
          </w:rPr>
          <w:tag w:val="MENDELEY_CITATION_v3_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"/>
          <w:id w:val="541179271"/>
          <w:placeholder>
            <w:docPart w:val="DefaultPlaceholder_-1854013440"/>
          </w:placeholder>
        </w:sdtPr>
        <w:sdtContent>
          <w:r w:rsidR="00B43409" w:rsidRPr="00B43409">
            <w:rPr>
              <w:color w:val="000000"/>
            </w:rPr>
            <w:t>[53]</w:t>
          </w:r>
        </w:sdtContent>
      </w:sdt>
      <w:r w:rsidRPr="001D228D">
        <w:t xml:space="preserve">, as well as the lower vasodilation and sweating thresholds during </w:t>
      </w:r>
      <w:r>
        <w:t>oestrogen</w:t>
      </w:r>
      <w:r w:rsidRPr="001D228D">
        <w:t xml:space="preserve">-dominant states </w:t>
      </w:r>
      <w:sdt>
        <w:sdtPr>
          <w:rPr>
            <w:color w:val="000000"/>
          </w:rPr>
          <w:tag w:val="MENDELEY_CITATION_v3_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"/>
          <w:id w:val="1878275143"/>
          <w:placeholder>
            <w:docPart w:val="DefaultPlaceholder_-1854013440"/>
          </w:placeholder>
        </w:sdtPr>
        <w:sdtContent>
          <w:r w:rsidR="00B43409" w:rsidRPr="00B43409">
            <w:rPr>
              <w:color w:val="000000"/>
            </w:rPr>
            <w:t>[149]</w:t>
          </w:r>
        </w:sdtContent>
      </w:sdt>
      <w:r w:rsidRPr="001D228D">
        <w:t>.</w:t>
      </w:r>
    </w:p>
    <w:p w14:paraId="03FE30F5" w14:textId="77777777" w:rsidR="00CE64DB" w:rsidRPr="001D228D" w:rsidRDefault="00CE64DB" w:rsidP="001150F4">
      <w:r w:rsidRPr="001D228D">
        <w:t xml:space="preserve">Across reproductive stages, these mechanisms generate distinct regional and diurnal skin-temperature signatures. For example, women using combined oral contraceptives often show higher mean </w:t>
      </w:r>
      <w:r>
        <w:t>skin temperature</w:t>
      </w:r>
      <w:r w:rsidRPr="001D228D">
        <w:t xml:space="preserve"> but reduced diurnal amplitude, reflecting hormonal </w:t>
      </w:r>
      <w:r>
        <w:t>stabilisation</w:t>
      </w:r>
      <w:r w:rsidRPr="001D228D">
        <w:t xml:space="preserve"> and blunted cycling [45,126]. During menopause, declining </w:t>
      </w:r>
      <w:r>
        <w:t>oestrogen</w:t>
      </w:r>
      <w:r w:rsidRPr="001D228D">
        <w:t xml:space="preserve"> produces marked vasomotor lability, with brief surges of facial and upper-body </w:t>
      </w:r>
      <w:r>
        <w:t>skin temperature</w:t>
      </w:r>
      <w:r w:rsidRPr="001D228D">
        <w:t xml:space="preserve"> (hot flushes) followed by rapid cooling [48]. Because these hormonal influences vary by phase, formulation, and dosage, precise documentation of menstrual, contraceptive, or menopausal status is essential for meaningful cross-participant comparison.</w:t>
      </w:r>
    </w:p>
    <w:p w14:paraId="49A8D4EF" w14:textId="0154DE00" w:rsidR="00CE64DB" w:rsidRPr="001D228D" w:rsidRDefault="00CE64DB" w:rsidP="001150F4">
      <w:r w:rsidRPr="001D228D">
        <w:rPr>
          <w:b/>
          <w:bCs/>
        </w:rPr>
        <w:t xml:space="preserve">Age. </w:t>
      </w:r>
      <w:r w:rsidRPr="001D228D">
        <w:t xml:space="preserve">Ageing attenuates cutaneous vascular conductance and slows the temporal dynamics of local thermal responses. Older adults exhibit roughly half the reflex vasoconstriction capacity of young adults, with diminished neurotransmitter release, reduced nitric-oxide bioavailability, and slower vasodilatory recovery following temperature perturbations </w:t>
      </w:r>
      <w:sdt>
        <w:sdtPr>
          <w:rPr>
            <w:color w:val="000000"/>
          </w:rPr>
          <w:tag w:val="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"/>
          <w:id w:val="-1182122129"/>
          <w:placeholder>
            <w:docPart w:val="DefaultPlaceholder_-1854013440"/>
          </w:placeholder>
        </w:sdtPr>
        <w:sdtContent>
          <w:r w:rsidR="00B43409" w:rsidRPr="00B43409">
            <w:rPr>
              <w:color w:val="000000"/>
            </w:rPr>
            <w:t>[150–153]</w:t>
          </w:r>
        </w:sdtContent>
      </w:sdt>
      <w:r w:rsidRPr="001D228D">
        <w:t xml:space="preserve">. These alterations lead to smaller skin-temperature fluctuations, delayed distal warming, and blunted distal–proximal gradients, especially under thermal stress. Classic and contemporary studies confirm that older adults exhibit about half the reflex vasoconstrictor capacity of young adults and reduced active vasodilator responsiveness during heat stress </w:t>
      </w:r>
      <w:sdt>
        <w:sdtPr>
          <w:rPr>
            <w:color w:val="000000"/>
          </w:rPr>
          <w:tag w:val="MENDELEY_CITATION_v3_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"/>
          <w:id w:val="177707688"/>
          <w:placeholder>
            <w:docPart w:val="DefaultPlaceholder_-1854013440"/>
          </w:placeholder>
        </w:sdtPr>
        <w:sdtContent>
          <w:r w:rsidR="00B43409" w:rsidRPr="00B43409">
            <w:rPr>
              <w:color w:val="000000"/>
            </w:rPr>
            <w:t>[62,150,154]</w:t>
          </w:r>
        </w:sdtContent>
      </w:sdt>
      <w:r w:rsidRPr="001D228D">
        <w:t xml:space="preserve">. </w:t>
      </w:r>
    </w:p>
    <w:p w14:paraId="6CFDBBEC" w14:textId="5F5C2A76" w:rsidR="00CE64DB" w:rsidRPr="00FA2870" w:rsidRDefault="00CE64DB" w:rsidP="001150F4">
      <w:r w:rsidRPr="001D228D">
        <w:rPr>
          <w:b/>
          <w:bCs/>
        </w:rPr>
        <w:t xml:space="preserve">Fitness and acclimation. </w:t>
      </w:r>
      <w:r w:rsidRPr="001D228D">
        <w:t xml:space="preserve">Regular aerobic training or repeated heat exposure enhances cutaneous vascular sensitivity and thermoeffector gain. The threshold for vasodilation occurs at a lower internal temperature and the slope of the </w:t>
      </w:r>
      <w:r w:rsidRPr="00B066B5">
        <w:rPr>
          <w:i/>
          <w:iCs/>
        </w:rPr>
        <w:t>skin temperature –</w:t>
      </w:r>
      <w:r>
        <w:rPr>
          <w:i/>
          <w:iCs/>
        </w:rPr>
        <w:t xml:space="preserve"> </w:t>
      </w:r>
      <w:r w:rsidRPr="00B066B5">
        <w:rPr>
          <w:i/>
          <w:iCs/>
        </w:rPr>
        <w:t>core body temperature</w:t>
      </w:r>
      <w:r>
        <w:t xml:space="preserve"> </w:t>
      </w:r>
      <w:r w:rsidRPr="001D228D">
        <w:t xml:space="preserve">relationship steepens, producing faster surface warming and more efficient cooling under heat stress </w:t>
      </w:r>
      <w:sdt>
        <w:sdtPr>
          <w:rPr>
            <w:color w:val="000000"/>
          </w:rPr>
          <w:tag w:val="MENDELEY_CITATION_v3_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"/>
          <w:id w:val="-1577962499"/>
          <w:placeholder>
            <w:docPart w:val="DefaultPlaceholder_-1854013440"/>
          </w:placeholder>
        </w:sdtPr>
        <w:sdtContent>
          <w:r w:rsidR="00B43409" w:rsidRPr="00B43409">
            <w:rPr>
              <w:color w:val="000000"/>
            </w:rPr>
            <w:t>[147]</w:t>
          </w:r>
        </w:sdtContent>
      </w:sdt>
      <w:r w:rsidRPr="001D228D">
        <w:t xml:space="preserve">. Heat-acclimated or physically fit individuals therefore </w:t>
      </w:r>
      <w:r w:rsidRPr="00FA2870">
        <w:t>display quicker Tsk recovery after thermal loads and smaller inter-regional gradients than sedentary participants, making fitness and acclimation history relevant covariates in comparative analyses.</w:t>
      </w:r>
    </w:p>
    <w:p w14:paraId="5D1F4A8A" w14:textId="2514435E" w:rsidR="00CE64DB" w:rsidRPr="00FA2870" w:rsidRDefault="00CE64DB" w:rsidP="001150F4">
      <w:r w:rsidRPr="00FA2870">
        <w:rPr>
          <w:b/>
          <w:bCs/>
        </w:rPr>
        <w:t xml:space="preserve">Body composition. </w:t>
      </w:r>
      <w:r w:rsidRPr="00FA2870">
        <w:t xml:space="preserve">Subcutaneous adipose tissue functions as a thermal insulator, reducing conductive heat transfer to the surface and dampening rapid changes in Tsk. Individuals with greater total or regional adiposity exhibit lower mean and trunk Tsk, especially under cool ambient conditions </w:t>
      </w:r>
      <w:sdt>
        <w:sdtPr>
          <w:rPr>
            <w:color w:val="000000"/>
          </w:rPr>
          <w:tag w:val="MENDELEY_CITATION_v3_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"/>
          <w:id w:val="1652865410"/>
          <w:placeholder>
            <w:docPart w:val="DefaultPlaceholder_-1854013440"/>
          </w:placeholder>
        </w:sdtPr>
        <w:sdtContent>
          <w:r w:rsidR="00B43409" w:rsidRPr="00B43409">
            <w:rPr>
              <w:color w:val="000000"/>
            </w:rPr>
            <w:t>[155,156]</w:t>
          </w:r>
        </w:sdtContent>
      </w:sdt>
      <w:r w:rsidRPr="00FA2870">
        <w:t xml:space="preserve">. Modern infrared thermography has confirmed strong negative correlations between regional fat mass and surface temperature across the trunk and limbs, with correlation coefficients around –0.6 to –0.8 </w:t>
      </w:r>
      <w:sdt>
        <w:sdtPr>
          <w:rPr>
            <w:color w:val="000000"/>
          </w:rPr>
          <w:tag w:val="MENDELEY_CITATION_v3_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"/>
          <w:id w:val="-643976183"/>
          <w:placeholder>
            <w:docPart w:val="DefaultPlaceholder_-1854013440"/>
          </w:placeholder>
        </w:sdtPr>
        <w:sdtContent>
          <w:r w:rsidR="00B43409" w:rsidRPr="00B43409">
            <w:rPr>
              <w:color w:val="000000"/>
            </w:rPr>
            <w:t>[157]</w:t>
          </w:r>
        </w:sdtContent>
      </w:sdt>
      <w:r w:rsidRPr="00FA2870">
        <w:t xml:space="preserve">. Because adipose distribution varies regionally and between sexes, Tsk </w:t>
      </w:r>
      <w:r w:rsidRPr="00FA2870">
        <w:lastRenderedPageBreak/>
        <w:t>heterogeneity cannot be fully explained by body-mass index alone. Including direct body-composition measures (e.g., bioimpedance, DEXA) or at least anthropometric surrogates improves interpretability.</w:t>
      </w:r>
    </w:p>
    <w:p w14:paraId="147B6913" w14:textId="4625AFEC" w:rsidR="00CE64DB" w:rsidRPr="00FA2870" w:rsidRDefault="00CE64DB" w:rsidP="001150F4">
      <w:r w:rsidRPr="00FA2870">
        <w:rPr>
          <w:b/>
          <w:bCs/>
        </w:rPr>
        <w:t xml:space="preserve">Nutrition and hydration. </w:t>
      </w:r>
      <w:r w:rsidRPr="00FA2870">
        <w:t>Skin perfusion depends on circulating plasma volume, metabolic rate, and vascular endothelial integrity. Even mild hypohydration equivalent to 2 % of body-mass loss reduces skin blood flow by approximately 15–20 % and lowers mean Tsk by about 0.3 °C at a given meta</w:t>
      </w:r>
      <w:r w:rsidRPr="001D228D">
        <w:t xml:space="preserve">bolic rate </w:t>
      </w:r>
      <w:sdt>
        <w:sdtPr>
          <w:rPr>
            <w:color w:val="000000"/>
          </w:rPr>
          <w:tag w:val="MENDELEY_CITATION_v3_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"/>
          <w:id w:val="839814395"/>
          <w:placeholder>
            <w:docPart w:val="DefaultPlaceholder_-1854013440"/>
          </w:placeholder>
        </w:sdtPr>
        <w:sdtContent>
          <w:r w:rsidR="00B43409" w:rsidRPr="00B43409">
            <w:rPr>
              <w:color w:val="000000"/>
            </w:rPr>
            <w:t>[158,159]</w:t>
          </w:r>
        </w:sdtContent>
      </w:sdt>
      <w:r w:rsidRPr="001D228D">
        <w:t xml:space="preserve">. Beyond hydration, postprandial metabolic and vasoactive processes substantially alter skin temperature, differently between sexes </w:t>
      </w:r>
      <w:sdt>
        <w:sdtPr>
          <w:rPr>
            <w:color w:val="000000"/>
          </w:rPr>
          <w:tag w:val="MENDELEY_CITATION_v3_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"/>
          <w:id w:val="-949626657"/>
          <w:placeholder>
            <w:docPart w:val="DefaultPlaceholder_-1854013440"/>
          </w:placeholder>
        </w:sdtPr>
        <w:sdtContent>
          <w:r w:rsidR="00B43409" w:rsidRPr="00B43409">
            <w:rPr>
              <w:color w:val="000000"/>
            </w:rPr>
            <w:t>[160]</w:t>
          </w:r>
        </w:sdtContent>
      </w:sdt>
      <w:r w:rsidRPr="001D228D">
        <w:t xml:space="preserve">. Stimulant and psychoactive compounds further modify cutaneous thermoregulation: Caffeine intake (~ 200 mg) lowers distal </w:t>
      </w:r>
      <w:r w:rsidRPr="00FA2870">
        <w:t xml:space="preserve">and mean Tsk for several hours through adrenergic vasoconstriction and can delay the nocturnal distal warming associated with sleep onset </w:t>
      </w:r>
      <w:sdt>
        <w:sdtPr>
          <w:rPr>
            <w:color w:val="000000"/>
          </w:rPr>
          <w:tag w:val="MENDELEY_CITATION_v3_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"/>
          <w:id w:val="1227488711"/>
          <w:placeholder>
            <w:docPart w:val="DefaultPlaceholder_-1854013440"/>
          </w:placeholder>
        </w:sdtPr>
        <w:sdtContent>
          <w:r w:rsidR="00B43409" w:rsidRPr="00B43409">
            <w:rPr>
              <w:color w:val="000000"/>
            </w:rPr>
            <w:t>[161]</w:t>
          </w:r>
        </w:sdtContent>
      </w:sdt>
      <w:r w:rsidRPr="00FA2870">
        <w:t xml:space="preserve">. Alcohol, conversely, induces short-lived vasodilation and Tsk elevation followed by rebound cooling as core heat is lost. </w:t>
      </w:r>
    </w:p>
    <w:p w14:paraId="5D7AC8AE" w14:textId="34432309" w:rsidR="00CE64DB" w:rsidRPr="001D228D" w:rsidRDefault="00CE64DB" w:rsidP="001150F4">
      <w:r w:rsidRPr="00FA2870">
        <w:rPr>
          <w:b/>
          <w:bCs/>
        </w:rPr>
        <w:t xml:space="preserve">Neurophysiological and psychological factors. </w:t>
      </w:r>
      <w:r w:rsidRPr="00FA2870">
        <w:t xml:space="preserve">Emotional and cognitive states rapidly influence skin temperature via autonomic control. Acute stress, anxiety, and cognitive load activate sympathetic vasoconstriction, particularly in glabrous regions such as the fingertips and face, producing brief (seconds-to-minutes) drops in local Tsk </w:t>
      </w:r>
      <w:sdt>
        <w:sdtPr>
          <w:rPr>
            <w:color w:val="000000"/>
          </w:rPr>
          <w:tag w:val="MENDELEY_CITATION_v3_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"/>
          <w:id w:val="1070085689"/>
          <w:placeholder>
            <w:docPart w:val="DefaultPlaceholder_-1854013440"/>
          </w:placeholder>
        </w:sdtPr>
        <w:sdtContent>
          <w:r w:rsidR="00B43409" w:rsidRPr="00B43409">
            <w:rPr>
              <w:color w:val="000000"/>
            </w:rPr>
            <w:t>[162]</w:t>
          </w:r>
        </w:sdtContent>
      </w:sdt>
      <w:r w:rsidRPr="00FA2870">
        <w:t xml:space="preserve">. </w:t>
      </w:r>
      <w:r w:rsidRPr="001D228D">
        <w:t>Relaxation and meditative states, conversely, enhance parasympathetic tone and promote peripheral warming. These rapid fluctuations mirror electrodermal and heart-rate changes, reflecting tight coupling between emotional arousal and thermoeffector output in hypothalamic and medullary circuits.</w:t>
      </w:r>
    </w:p>
    <w:p w14:paraId="4A719FB1" w14:textId="69BAA772" w:rsidR="00CE64DB" w:rsidRPr="001D228D" w:rsidRDefault="00CE64DB" w:rsidP="001150F4">
      <w:r w:rsidRPr="001D228D">
        <w:rPr>
          <w:b/>
          <w:bCs/>
        </w:rPr>
        <w:t xml:space="preserve">Neurodivergent populations. </w:t>
      </w:r>
      <w:r w:rsidRPr="001D228D">
        <w:t xml:space="preserve">Neurodevelopmental conditions such as autism spectrum disorder (ASD) and attention-deficit/hyperactivity disorder (ADHD) show persistent circadian and autonomic dysregulation that modifies skin-temperature rhythms. Individuals with ASD exhibit reduced melatonin secretion, flattened nocturnal temperature amplitudes, and elevated sympathetic tone, yielding unstable distal–proximal gradients and irregular sleep–wake cycles </w:t>
      </w:r>
      <w:sdt>
        <w:sdtPr>
          <w:rPr>
            <w:color w:val="000000"/>
          </w:rPr>
          <w:tag w:val="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"/>
          <w:id w:val="32621333"/>
          <w:placeholder>
            <w:docPart w:val="DefaultPlaceholder_-1854013440"/>
          </w:placeholder>
        </w:sdtPr>
        <w:sdtContent>
          <w:r w:rsidR="00B43409" w:rsidRPr="00B43409">
            <w:rPr>
              <w:color w:val="000000"/>
            </w:rPr>
            <w:t>[76,77,163]</w:t>
          </w:r>
        </w:sdtContent>
      </w:sdt>
      <w:r w:rsidRPr="001D228D">
        <w:t xml:space="preserve">. Genetic variants in clock genes further link circadian misalignment with autistic traits </w:t>
      </w:r>
      <w:sdt>
        <w:sdtPr>
          <w:rPr>
            <w:color w:val="000000"/>
          </w:rPr>
          <w:tag w:val="MENDELEY_CITATION_v3_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"/>
          <w:id w:val="-1475978026"/>
          <w:placeholder>
            <w:docPart w:val="DefaultPlaceholder_-1854013440"/>
          </w:placeholder>
        </w:sdtPr>
        <w:sdtContent>
          <w:r w:rsidR="00B43409" w:rsidRPr="00B43409">
            <w:rPr>
              <w:color w:val="000000"/>
            </w:rPr>
            <w:t>[164]</w:t>
          </w:r>
        </w:sdtContent>
      </w:sdt>
      <w:r w:rsidRPr="001D228D">
        <w:t xml:space="preserve">. Adults with ADHD display delayed and lower core and skin temperatures, greater day-to-day variability, and weaker nocturnal warming </w:t>
      </w:r>
      <w:sdt>
        <w:sdtPr>
          <w:rPr>
            <w:color w:val="000000"/>
          </w:rPr>
          <w:tag w:val="MENDELEY_CITATION_v3_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"/>
          <w:id w:val="-1158526505"/>
          <w:placeholder>
            <w:docPart w:val="DefaultPlaceholder_-1854013440"/>
          </w:placeholder>
        </w:sdtPr>
        <w:sdtContent>
          <w:r w:rsidR="00B43409" w:rsidRPr="00B43409">
            <w:rPr>
              <w:color w:val="000000"/>
            </w:rPr>
            <w:t>[80]</w:t>
          </w:r>
        </w:sdtContent>
      </w:sdt>
      <w:r w:rsidRPr="001D228D">
        <w:t>.</w:t>
      </w:r>
    </w:p>
    <w:p w14:paraId="04081309" w14:textId="5F064A21" w:rsidR="00CE64DB" w:rsidRPr="001D228D" w:rsidRDefault="00CE64DB" w:rsidP="001150F4">
      <w:r w:rsidRPr="001D228D">
        <w:rPr>
          <w:b/>
          <w:bCs/>
        </w:rPr>
        <w:t>Underlying medical conditions.</w:t>
      </w:r>
      <w:r w:rsidRPr="001D228D">
        <w:t xml:space="preserve"> Chronic diseases that impair autonomic or vascular function markedly alter skin-temperature dynamics. Type 2 diabetes mellitus elevates the internal-temperature threshold for active cutaneous vasodilation and reduces nitric-oxide-dependent vasodilatory capacity, reflecting both endothelial and neural impairments </w:t>
      </w:r>
      <w:sdt>
        <w:sdtPr>
          <w:rPr>
            <w:color w:val="000000"/>
          </w:rPr>
          <w:tag w:val="MENDELEY_CITATION_v3_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"/>
          <w:id w:val="-1309009291"/>
          <w:placeholder>
            <w:docPart w:val="DefaultPlaceholder_-1854013440"/>
          </w:placeholder>
        </w:sdtPr>
        <w:sdtContent>
          <w:r w:rsidR="00B43409" w:rsidRPr="00B43409">
            <w:rPr>
              <w:color w:val="000000"/>
            </w:rPr>
            <w:t>[147,165]</w:t>
          </w:r>
        </w:sdtContent>
      </w:sdt>
      <w:r w:rsidRPr="001D228D">
        <w:t xml:space="preserve">. Baseline vasoconstrictor tone may be reduced, yet reflex responses to cold remain near-normal, suggesting selective deficits in active vasodilator pathways. Cardiovascular and thyroid disorders further modify basal perfusion and metabolic rate, shifting baseline mean skin temperature upward or downward depending on whether vasodilation or vasoconstriction predominates </w:t>
      </w:r>
      <w:sdt>
        <w:sdtPr>
          <w:rPr>
            <w:color w:val="000000"/>
          </w:rPr>
          <w:tag w:val="MENDELEY_CITATION_v3_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"/>
          <w:id w:val="1218475935"/>
          <w:placeholder>
            <w:docPart w:val="DefaultPlaceholder_-1854013440"/>
          </w:placeholder>
        </w:sdtPr>
        <w:sdtContent>
          <w:r w:rsidR="00B43409" w:rsidRPr="00B43409">
            <w:rPr>
              <w:color w:val="000000"/>
            </w:rPr>
            <w:t>[166–168]</w:t>
          </w:r>
        </w:sdtContent>
      </w:sdt>
      <w:r w:rsidRPr="001D228D">
        <w:t xml:space="preserve">. Patients with hepatic cirrhosis show persistently elevated proximal and distal skin temperatures and fail to reach the near-zero distal–proximal gradient normally observed at sleep onset, indicating impaired nocturnal vasodilatory control </w:t>
      </w:r>
      <w:sdt>
        <w:sdtPr>
          <w:rPr>
            <w:color w:val="000000"/>
          </w:rPr>
          <w:tag w:val="MENDELEY_CITATION_v3_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"/>
          <w:id w:val="1712839559"/>
          <w:placeholder>
            <w:docPart w:val="DefaultPlaceholder_-1854013440"/>
          </w:placeholder>
        </w:sdtPr>
        <w:sdtContent>
          <w:r w:rsidR="00B43409" w:rsidRPr="00B43409">
            <w:rPr>
              <w:color w:val="000000"/>
            </w:rPr>
            <w:t>[169]</w:t>
          </w:r>
        </w:sdtContent>
      </w:sdt>
      <w:r w:rsidRPr="001D228D">
        <w:t xml:space="preserve">. Spinal cord injury disrupts sympathetic vasomotor and sudomotor control below the lesion, producing segmental anhidrosis and regionally fixed mean skin temperature profiles that vary little with ambient or internal temperature changes </w:t>
      </w:r>
      <w:sdt>
        <w:sdtPr>
          <w:rPr>
            <w:color w:val="000000"/>
          </w:rPr>
          <w:tag w:val="MENDELEY_CITATION_v3_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"/>
          <w:id w:val="-1585755488"/>
          <w:placeholder>
            <w:docPart w:val="DefaultPlaceholder_-1854013440"/>
          </w:placeholder>
        </w:sdtPr>
        <w:sdtContent>
          <w:r w:rsidR="00B43409" w:rsidRPr="00B43409">
            <w:rPr>
              <w:color w:val="000000"/>
            </w:rPr>
            <w:t>[166,167]</w:t>
          </w:r>
        </w:sdtContent>
      </w:sdt>
      <w:r w:rsidRPr="001D228D">
        <w:t>.</w:t>
      </w:r>
    </w:p>
    <w:p w14:paraId="44CEE98E" w14:textId="625E226F" w:rsidR="00CE64DB" w:rsidRPr="001D228D" w:rsidRDefault="00CE64DB" w:rsidP="001150F4">
      <w:r w:rsidRPr="001D228D">
        <w:rPr>
          <w:b/>
          <w:bCs/>
        </w:rPr>
        <w:t>Measurement artefacts.</w:t>
      </w:r>
      <w:r w:rsidRPr="001D228D">
        <w:t xml:space="preserve"> Measurement artefacts can rival or even surpass physiological variance in skin temperature. Contact sensors alter local heat exchange through poor adhesion, insulating tapes, or vessel compression, while emissivity errors, reflections, and viewing geometry affect infrared thermography </w:t>
      </w:r>
      <w:sdt>
        <w:sdtPr>
          <w:rPr>
            <w:color w:val="000000"/>
          </w:rPr>
          <w:tag w:val="MENDELEY_CITATION_v3_eyJjaXRhdGlvbklEIjoiTUVOREVMRVlfQ0lUQVRJT05fMGExYWZiZDMtZGE2NS00YTJiLWJmNjEtNjBhMjVhNjVlZmY1IiwicHJvcGVydGllcyI6eyJub3RlSW5kZXgiOjB9LCJpc0VkaXRlZCI6ZmFsc2UsIm1hbnVhbE92ZXJyaWRlIjp7ImNpdGVwcm9jVGV4dCI6IlsxMDEsMTcwLDE3MV0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XX0="/>
          <w:id w:val="-1332058574"/>
          <w:placeholder>
            <w:docPart w:val="DefaultPlaceholder_-1854013440"/>
          </w:placeholder>
        </w:sdtPr>
        <w:sdtContent>
          <w:r w:rsidR="00B43409" w:rsidRPr="00B43409">
            <w:rPr>
              <w:color w:val="000000"/>
            </w:rPr>
            <w:t>[101,170,171]</w:t>
          </w:r>
        </w:sdtContent>
      </w:sdt>
      <w:r w:rsidRPr="001D228D">
        <w:t xml:space="preserve">. Substances such as sweat, gels, or lotions can lower emissivity and increase reflected ambient radiation, introducing errors of &gt; 4 °C if uncorrected </w:t>
      </w:r>
      <w:sdt>
        <w:sdtPr>
          <w:rPr>
            <w:color w:val="000000"/>
          </w:rPr>
          <w:tag w:val="MENDELEY_CITATION_v3_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"/>
          <w:id w:val="-373386724"/>
          <w:placeholder>
            <w:docPart w:val="DefaultPlaceholder_-1854013440"/>
          </w:placeholder>
        </w:sdtPr>
        <w:sdtContent>
          <w:r w:rsidR="00B43409" w:rsidRPr="00B43409">
            <w:rPr>
              <w:color w:val="000000"/>
            </w:rPr>
            <w:t>[111]</w:t>
          </w:r>
        </w:sdtContent>
      </w:sdt>
      <w:r w:rsidRPr="001D228D">
        <w:t xml:space="preserve">. Standardised cleaning of both the sensor surfaces and the skin, low-insulating fixation, sensor equilibration, and calibration under controlled ambient conditions are essential for reproducibility </w:t>
      </w:r>
      <w:sdt>
        <w:sdtPr>
          <w:rPr>
            <w:color w:val="000000"/>
          </w:rPr>
          <w:tag w:val="MENDELEY_CITATION_v3_eyJjaXRhdGlvbklEIjoiTUVOREVMRVlfQ0lUQVRJT05fMTEwNDEwMDItOTViNS00YTI3LTg4NDEtNDNmYjMwMzQzMmY5IiwicHJvcGVydGllcyI6eyJub3RlSW5kZXgiOjB9LCJpc0VkaXRlZCI6ZmFsc2UsIm1hbnVhbE92ZXJyaWRlIjp7ImNpdGVwcm9jVGV4dCI6IlsxMjld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
          <w:id w:val="-532269165"/>
          <w:placeholder>
            <w:docPart w:val="DefaultPlaceholder_-1854013440"/>
          </w:placeholder>
        </w:sdtPr>
        <w:sdtContent>
          <w:r w:rsidR="00B43409" w:rsidRPr="00B43409">
            <w:rPr>
              <w:color w:val="000000"/>
            </w:rPr>
            <w:t>[129]</w:t>
          </w:r>
        </w:sdtContent>
      </w:sdt>
      <w:r w:rsidRPr="001D228D">
        <w:t xml:space="preserve">. </w:t>
      </w:r>
    </w:p>
    <w:p w14:paraId="50E2C9A5" w14:textId="77777777" w:rsidR="00CE64DB" w:rsidRPr="001D228D" w:rsidRDefault="00CE64DB" w:rsidP="007A2440">
      <w:pPr>
        <w:pStyle w:val="Heading3"/>
        <w:rPr>
          <w:lang w:val="en-GB"/>
        </w:rPr>
      </w:pPr>
      <w:bookmarkStart w:id="31" w:name="_Toc211009214"/>
      <w:bookmarkStart w:id="32" w:name="_Ref213802844"/>
      <w:bookmarkStart w:id="33" w:name="_Ref213802851"/>
      <w:bookmarkStart w:id="34" w:name="_Toc223281676"/>
      <w:r w:rsidRPr="001D228D">
        <w:rPr>
          <w:lang w:val="en-GB"/>
        </w:rPr>
        <w:t>Data handling methods</w:t>
      </w:r>
      <w:bookmarkEnd w:id="31"/>
      <w:bookmarkEnd w:id="32"/>
      <w:bookmarkEnd w:id="33"/>
      <w:bookmarkEnd w:id="34"/>
    </w:p>
    <w:p w14:paraId="275EAFB6" w14:textId="77777777" w:rsidR="00CE64DB" w:rsidRPr="001D228D" w:rsidRDefault="00CE64DB" w:rsidP="007A2440">
      <w:pPr>
        <w:pStyle w:val="Heading4"/>
        <w:rPr>
          <w:lang w:val="en-GB"/>
        </w:rPr>
      </w:pPr>
      <w:r w:rsidRPr="001D228D">
        <w:rPr>
          <w:lang w:val="en-GB"/>
        </w:rPr>
        <w:t>Sensor calibration</w:t>
      </w:r>
    </w:p>
    <w:p w14:paraId="76879AC0" w14:textId="54BC9502" w:rsidR="00CE64DB" w:rsidRDefault="00CE64DB" w:rsidP="001150F4">
      <w:r w:rsidRPr="0074397B">
        <w:t>To ensure measurement accuracy, contact temperature sensors such as thermistors and thermocouples must undergo rigorous calibration prior to human application</w:t>
      </w:r>
      <w:r>
        <w:t xml:space="preserve"> </w:t>
      </w:r>
      <w:sdt>
        <w:sdtPr>
          <w:rPr>
            <w:color w:val="000000"/>
          </w:rPr>
          <w:tag w:val="MENDELEY_CITATION_v3_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V19"/>
          <w:id w:val="318785036"/>
          <w:placeholder>
            <w:docPart w:val="DefaultPlaceholder_-1854013440"/>
          </w:placeholder>
        </w:sdtPr>
        <w:sdtContent>
          <w:r w:rsidR="00B43409" w:rsidRPr="00B43409">
            <w:rPr>
              <w:color w:val="000000"/>
            </w:rPr>
            <w:t>[106,132]</w:t>
          </w:r>
        </w:sdtContent>
      </w:sdt>
      <w:r>
        <w:t xml:space="preserve">. </w:t>
      </w:r>
      <w:r w:rsidRPr="008537E6">
        <w:t>A standard and highly reliable calibration method involves immersing the sensors in a temperature-controlled, stirred water bath across a physiologically relevant temperature range (e.g., 10 °C to 40 °C) alongside a high-precision, certified reference thermometer</w:t>
      </w:r>
      <w:r>
        <w:t xml:space="preserve"> </w:t>
      </w:r>
      <w:sdt>
        <w:sdtPr>
          <w:rPr>
            <w:color w:val="000000"/>
          </w:rPr>
          <w:tag w:val="MENDELEY_CITATION_v3_eyJjaXRhdGlvbklEIjoiTUVOREVMRVlfQ0lUQVRJT05fZDM2NjJlZTMtMzZmYy00OTEwLTg1NjAtNjg1ZGU0ZWUxMTYzIiwicHJvcGVydGllcyI6eyJub3RlSW5kZXgiOjB9LCJpc0VkaXRlZCI6ZmFsc2UsIm1hbnVhbE92ZXJyaWRlIjp7ImNpdGVwcm9jVGV4dCI6IlsxMDZdIiwiaXNNYW51YWxseU92ZXJyaWRkZW4iOmZhbHNlLCJtYW51YWxPdmVycmlkZVRleHQiOiIifSwiY2l0YXRpb25JdGVtcyI6W3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
          <w:id w:val="-641651695"/>
          <w:placeholder>
            <w:docPart w:val="DefaultPlaceholder_-1854013440"/>
          </w:placeholder>
        </w:sdtPr>
        <w:sdtContent>
          <w:r w:rsidR="00B43409" w:rsidRPr="00B43409">
            <w:rPr>
              <w:color w:val="000000"/>
            </w:rPr>
            <w:t>[106]</w:t>
          </w:r>
        </w:sdtContent>
      </w:sdt>
      <w:r>
        <w:t xml:space="preserve">. </w:t>
      </w:r>
      <w:r w:rsidRPr="001D228D">
        <w:t xml:space="preserve">Thermistors typically achieve post-calibration accuracy of ± 0.2 °C when verified against reference thermometers in stirred water baths </w:t>
      </w:r>
      <w:sdt>
        <w:sdtPr>
          <w:rPr>
            <w:color w:val="000000"/>
          </w:rPr>
          <w:tag w:val="MENDELEY_CITATION_v3_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"/>
          <w:id w:val="197588090"/>
          <w:placeholder>
            <w:docPart w:val="DefaultPlaceholder_-1854013440"/>
          </w:placeholder>
        </w:sdtPr>
        <w:sdtContent>
          <w:r w:rsidR="00B43409" w:rsidRPr="00B43409">
            <w:rPr>
              <w:color w:val="000000"/>
            </w:rPr>
            <w:t>[103,172]</w:t>
          </w:r>
        </w:sdtContent>
      </w:sdt>
      <w:r w:rsidRPr="001D228D">
        <w:t>. Thermochron</w:t>
      </w:r>
      <w:r>
        <w:t>s</w:t>
      </w:r>
      <w:r w:rsidRPr="001D228D">
        <w:t xml:space="preserve"> provide high digital resolution (0.0625 °C; manufacturer specification) but factory accuracy </w:t>
      </w:r>
      <w:r w:rsidRPr="001D228D">
        <w:lastRenderedPageBreak/>
        <w:t xml:space="preserve">of ± 0.5 °C, and inter-sensor offsets of ~0.2–0.4 °C are common when multiple devices are used simultaneously </w:t>
      </w:r>
      <w:sdt>
        <w:sdtPr>
          <w:rPr>
            <w:color w:val="000000"/>
          </w:rPr>
          <w:tag w:val="MENDELEY_CITATION_v3_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jgwZTQ3Y2U5LTBkM2ItNTZkMi1hY2UwLWFmMGU2ZWJiNjQ3ZC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03NWFlYzE5YS1iNzMxLTRkZmItYjRhNC0xODgzNTU5OThiZjMiLCJodHRwOi8vd3d3Lm1lbmRlbGV5LmNvbS9kb2N1bWVudHMvP3V1aWQ9ZGJkMTFjM2ItZGEyMS00ZWZiLWEyOGItMzZjY2EyN2NlMzMzIl0sImlzVGVtcG9yYXJ5IjpmYWxzZSwibGVnYWN5RGVza3RvcElkIjoiNzVhZWMxOWEtYjczMS00ZGZiLWI0YTQtMTg4MzU1OTk4YmYzIn1dfQ=="/>
          <w:id w:val="1018967965"/>
          <w:placeholder>
            <w:docPart w:val="DefaultPlaceholder_-1854013440"/>
          </w:placeholder>
        </w:sdtPr>
        <w:sdtContent>
          <w:r w:rsidR="00B43409" w:rsidRPr="00B43409">
            <w:rPr>
              <w:color w:val="000000"/>
            </w:rPr>
            <w:t>[173,174]</w:t>
          </w:r>
        </w:sdtContent>
      </w:sdt>
      <w:r w:rsidRPr="001D228D">
        <w:t xml:space="preserve">. </w:t>
      </w:r>
      <w:r>
        <w:t>After a</w:t>
      </w:r>
      <w:r w:rsidRPr="001D228D">
        <w:t xml:space="preserve"> </w:t>
      </w:r>
      <w:r>
        <w:t xml:space="preserve">post calibration by </w:t>
      </w:r>
      <w:r w:rsidRPr="001707CC">
        <w:t>conducting individual linear regression analyses on each sensor to derive unique slope and intercept correction factors, the random error and systematic bias for both thermistors and iButtons can be reduced to negligible amounts</w:t>
      </w:r>
      <w:r>
        <w:t xml:space="preserve"> </w:t>
      </w:r>
      <w:sdt>
        <w:sdtPr>
          <w:rPr>
            <w:color w:val="000000"/>
          </w:rPr>
          <w:tag w:val="MENDELEY_CITATION_v3_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
          <w:id w:val="2075162429"/>
          <w:placeholder>
            <w:docPart w:val="DefaultPlaceholder_-1854013440"/>
          </w:placeholder>
        </w:sdtPr>
        <w:sdtContent>
          <w:r w:rsidR="00B43409" w:rsidRPr="00B43409">
            <w:rPr>
              <w:color w:val="000000"/>
            </w:rPr>
            <w:t>[106,175]</w:t>
          </w:r>
        </w:sdtContent>
      </w:sdt>
      <w:r>
        <w:t>.</w:t>
      </w:r>
    </w:p>
    <w:p w14:paraId="4B48BC73" w14:textId="6414A60C" w:rsidR="00CE64DB" w:rsidRPr="001D228D" w:rsidRDefault="00CE64DB" w:rsidP="001150F4">
      <w:r w:rsidRPr="001D228D">
        <w:t xml:space="preserve">For infrared thermography, radiometric calibration using a blackbody or in-frame reference target, combined with emissivity correction (ε ~ 0.98), can </w:t>
      </w:r>
      <w:r>
        <w:t>control the drift</w:t>
      </w:r>
      <w:r w:rsidRPr="001D228D">
        <w:t xml:space="preserve"> under controlled laboratory conditions </w:t>
      </w:r>
      <w:sdt>
        <w:sdtPr>
          <w:rPr>
            <w:color w:val="000000"/>
          </w:rPr>
          <w:tag w:val="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"/>
          <w:id w:val="-399603828"/>
          <w:placeholder>
            <w:docPart w:val="DefaultPlaceholder_-1854013440"/>
          </w:placeholder>
        </w:sdtPr>
        <w:sdtContent>
          <w:r w:rsidR="00B43409" w:rsidRPr="00B43409">
            <w:rPr>
              <w:color w:val="000000"/>
            </w:rPr>
            <w:t>[129,171,176]</w:t>
          </w:r>
        </w:sdtContent>
      </w:sdt>
      <w:r w:rsidRPr="001D228D">
        <w:t xml:space="preserve">. </w:t>
      </w:r>
      <w:r>
        <w:t>However, e</w:t>
      </w:r>
      <w:r w:rsidRPr="00C83859">
        <w:t>ven under controlled laboratory conditions, the expanded uncertainty of a calibrated thermal imager in practical use is approximately ±0.52 °C to ±0.6 °C, largely due to variations in ambient conditions, reflected background radiation, and distance effects</w:t>
      </w:r>
      <w:r>
        <w:t xml:space="preserve"> </w:t>
      </w:r>
      <w:sdt>
        <w:sdtPr>
          <w:rPr>
            <w:color w:val="000000"/>
          </w:rPr>
          <w:tag w:val="MENDELEY_CITATION_v3_eyJjaXRhdGlvbklEIjoiTUVOREVMRVlfQ0lUQVRJT05fZTRkNmYxYzItZmY3Mi00MzZhLWIyMGUtZmFlMzM4ZjQ5MTdiIiwicHJvcGVydGllcyI6eyJub3RlSW5kZXgiOjB9LCJpc0VkaXRlZCI6ZmFsc2UsIm1hbnVhbE92ZXJyaWRlIjp7ImNpdGVwcm9jVGV4dCI6IlsxNzZd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
          <w:id w:val="-153606670"/>
          <w:placeholder>
            <w:docPart w:val="DefaultPlaceholder_-1854013440"/>
          </w:placeholder>
        </w:sdtPr>
        <w:sdtContent>
          <w:r w:rsidR="00B43409" w:rsidRPr="00B43409">
            <w:rPr>
              <w:color w:val="000000"/>
            </w:rPr>
            <w:t>[176]</w:t>
          </w:r>
        </w:sdtContent>
      </w:sdt>
      <w:r>
        <w:t>.</w:t>
      </w:r>
    </w:p>
    <w:p w14:paraId="407255A1" w14:textId="77777777" w:rsidR="00CE64DB" w:rsidRPr="001D228D" w:rsidRDefault="00CE64DB" w:rsidP="007A2440">
      <w:pPr>
        <w:pStyle w:val="Heading4"/>
        <w:rPr>
          <w:lang w:val="en-GB"/>
        </w:rPr>
      </w:pPr>
      <w:r w:rsidRPr="001D228D">
        <w:rPr>
          <w:lang w:val="en-GB"/>
        </w:rPr>
        <w:t>Data cleaning and correction</w:t>
      </w:r>
    </w:p>
    <w:p w14:paraId="7D4BD0C2" w14:textId="6A49F08B" w:rsidR="00CE64DB" w:rsidRPr="001D228D" w:rsidRDefault="00CE64DB" w:rsidP="001150F4">
      <w:r w:rsidRPr="00010EE1">
        <w:rPr>
          <w:b/>
          <w:bCs/>
        </w:rPr>
        <w:t xml:space="preserve">Filtering for </w:t>
      </w:r>
      <w:r>
        <w:rPr>
          <w:b/>
          <w:bCs/>
          <w:lang w:val="en-US"/>
        </w:rPr>
        <w:t>n</w:t>
      </w:r>
      <w:r w:rsidRPr="00010EE1">
        <w:rPr>
          <w:b/>
          <w:bCs/>
        </w:rPr>
        <w:t>oise</w:t>
      </w:r>
      <w:r>
        <w:rPr>
          <w:b/>
          <w:bCs/>
          <w:lang w:val="en-US"/>
        </w:rPr>
        <w:t>.</w:t>
      </w:r>
      <w:r>
        <w:t xml:space="preserve"> </w:t>
      </w:r>
      <w:r w:rsidRPr="002911C2">
        <w:t>Physiological sensors in contact with the human body often capture noise and random error during dynamic measurements</w:t>
      </w:r>
      <w:r>
        <w:t xml:space="preserve"> </w:t>
      </w:r>
      <w:sdt>
        <w:sdtPr>
          <w:rPr>
            <w:color w:val="000000"/>
          </w:rPr>
          <w:tag w:val="MENDELEY_CITATION_v3_eyJjaXRhdGlvbklEIjoiTUVOREVMRVlfQ0lUQVRJT05fMmE4ZjQ4ZjMtOWJlZC00NWFhLWE5M2UtMmZjYTFiOTNjMzk2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
          <w:id w:val="-724993317"/>
          <w:placeholder>
            <w:docPart w:val="DefaultPlaceholder_-1854013440"/>
          </w:placeholder>
        </w:sdtPr>
        <w:sdtContent>
          <w:r w:rsidR="00B43409" w:rsidRPr="00B43409">
            <w:rPr>
              <w:color w:val="000000"/>
            </w:rPr>
            <w:t>[101]</w:t>
          </w:r>
        </w:sdtContent>
      </w:sdt>
      <w:r>
        <w:t xml:space="preserve">. </w:t>
      </w:r>
      <w:r w:rsidRPr="001D228D">
        <w:t xml:space="preserve">Skin temperature data </w:t>
      </w:r>
      <w:r>
        <w:t>can be</w:t>
      </w:r>
      <w:r w:rsidRPr="001D228D">
        <w:t xml:space="preserve"> low-pass filtered at 0.05–0.1 Hz to remove high-frequency artefacts caused by movement or airflow, while preserving thermoregulatory fluctuations that occur over tens of seconds to minutes </w:t>
      </w:r>
      <w:sdt>
        <w:sdtPr>
          <w:rPr>
            <w:color w:val="000000"/>
          </w:rPr>
          <w:tag w:val="MENDELEY_CITATION_v3_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"/>
          <w:id w:val="-1974431816"/>
          <w:placeholder>
            <w:docPart w:val="DefaultPlaceholder_-1854013440"/>
          </w:placeholder>
        </w:sdtPr>
        <w:sdtContent>
          <w:r w:rsidR="00B43409" w:rsidRPr="00B43409">
            <w:rPr>
              <w:color w:val="000000"/>
            </w:rPr>
            <w:t>[172]</w:t>
          </w:r>
        </w:sdtContent>
      </w:sdt>
      <w:r w:rsidRPr="001D228D">
        <w:t>. For 1 Hz wearable recordings, a moving-average or LOESS can balance temporal fidelity and noise reduction.</w:t>
      </w:r>
    </w:p>
    <w:p w14:paraId="6094A96C" w14:textId="4FCE5D98" w:rsidR="00CE64DB" w:rsidRPr="005B47BD" w:rsidRDefault="00CE64DB" w:rsidP="005B47BD">
      <w:pPr>
        <w:rPr>
          <w:b/>
          <w:bCs/>
        </w:rPr>
      </w:pPr>
      <w:r w:rsidRPr="001D228D">
        <w:t xml:space="preserve">In infrared thermography, accurate emissivity and ambient control are critical. Human skin emissivity is ~0.98 ± 0.01 </w:t>
      </w:r>
      <w:sdt>
        <w:sdtPr>
          <w:rPr>
            <w:color w:val="000000"/>
          </w:rPr>
          <w:tag w:val="MENDELEY_CITATION_v3_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"/>
          <w:id w:val="-161396486"/>
          <w:placeholder>
            <w:docPart w:val="DefaultPlaceholder_-1854013440"/>
          </w:placeholder>
        </w:sdtPr>
        <w:sdtContent>
          <w:r w:rsidR="00B43409" w:rsidRPr="00B43409">
            <w:rPr>
              <w:color w:val="000000"/>
            </w:rPr>
            <w:t>[111]</w:t>
          </w:r>
        </w:sdtContent>
      </w:sdt>
      <w:r w:rsidRPr="001D228D">
        <w:t xml:space="preserve">; moisture, gels, or lotions lower apparent emissivity and can introduce temperature errors of several °C through increased ambient reflection </w:t>
      </w:r>
      <w:sdt>
        <w:sdtPr>
          <w:rPr>
            <w:color w:val="000000"/>
          </w:rPr>
          <w:tag w:val="MENDELEY_CITATION_v3_eyJjaXRhdGlvbklEIjoiTUVOREVMRVlfQ0lUQVRJT05fZTM3Y2E5NGMtMzJlNS00OTY3LTgxNDctYjAyNTE0NGY3ZDIxIiwicHJvcGVydGllcyI6eyJub3RlSW5kZXgiOjB9LCJpc0VkaXRlZCI6ZmFsc2UsIm1hbnVhbE92ZXJyaWRlIjp7ImNpdGVwcm9jVGV4dCI6IlsxMjld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
          <w:id w:val="1479034026"/>
          <w:placeholder>
            <w:docPart w:val="DefaultPlaceholder_-1854013440"/>
          </w:placeholder>
        </w:sdtPr>
        <w:sdtContent>
          <w:r w:rsidR="00B43409" w:rsidRPr="00B43409">
            <w:rPr>
              <w:color w:val="000000"/>
            </w:rPr>
            <w:t>[129]</w:t>
          </w:r>
        </w:sdtContent>
      </w:sdt>
      <w:r w:rsidRPr="001D228D">
        <w:t xml:space="preserve">. Using ε = 0.97–0.98, perpendicular camera alignment, fixed distance, and controlled background </w:t>
      </w:r>
      <w:r w:rsidRPr="005B47BD">
        <w:t xml:space="preserve">temperature can minimise systematic bias to approximately ±0.3 °C under optimal laboratory conditions </w:t>
      </w:r>
      <w:sdt>
        <w:sdtPr>
          <w:rPr>
            <w:color w:val="000000"/>
          </w:rPr>
          <w:tag w:val="MENDELEY_CITATION_v3_eyJjaXRhdGlvbklEIjoiTUVOREVMRVlfQ0lUQVRJT05fZWRiYWMwY2ItMTk3OC00MWEyLThkYjQtOGRhOTAzZTM2NWFjIiwicHJvcGVydGllcyI6eyJub3RlSW5kZXgiOjB9LCJpc0VkaXRlZCI6ZmFsc2UsIm1hbnVhbE92ZXJyaWRlIjp7ImNpdGVwcm9jVGV4dCI6IlsxMDcsMTI4LDEyOSwxNzFdIiwiaXNNYW51YWxseU92ZXJyaWRkZW4iOmZhbHNlLCJtYW51YWxPdmVycmlkZVRleHQiOiIifSwiY2l0YXRpb25JdGVtcyI6W3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LH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
          <w:id w:val="-727151981"/>
          <w:placeholder>
            <w:docPart w:val="DefaultPlaceholder_-1854013440"/>
          </w:placeholder>
        </w:sdtPr>
        <w:sdtContent>
          <w:r w:rsidR="00B43409" w:rsidRPr="00B43409">
            <w:rPr>
              <w:color w:val="000000"/>
            </w:rPr>
            <w:t>[107,128,129,171]</w:t>
          </w:r>
        </w:sdtContent>
      </w:sdt>
      <w:r w:rsidRPr="005B47BD">
        <w:t xml:space="preserve">. </w:t>
      </w:r>
    </w:p>
    <w:p w14:paraId="42347352" w14:textId="1F9870A8" w:rsidR="00CE64DB" w:rsidRPr="008A35DE" w:rsidRDefault="00CE64DB" w:rsidP="005B47BD">
      <w:r w:rsidRPr="005B47BD">
        <w:rPr>
          <w:b/>
          <w:bCs/>
        </w:rPr>
        <w:t xml:space="preserve">Discarded </w:t>
      </w:r>
      <w:r w:rsidRPr="005B47BD">
        <w:rPr>
          <w:b/>
          <w:bCs/>
          <w:lang w:val="en-US"/>
        </w:rPr>
        <w:t>d</w:t>
      </w:r>
      <w:r w:rsidRPr="005B47BD">
        <w:rPr>
          <w:b/>
          <w:bCs/>
        </w:rPr>
        <w:t>ata</w:t>
      </w:r>
      <w:r w:rsidRPr="005B47BD">
        <w:rPr>
          <w:b/>
          <w:bCs/>
          <w:lang w:val="en-US"/>
        </w:rPr>
        <w:t>.</w:t>
      </w:r>
      <w:r w:rsidRPr="005B47BD">
        <w:t xml:space="preserve"> Sensor</w:t>
      </w:r>
      <w:r w:rsidRPr="001D228D">
        <w:t xml:space="preserve"> drift during long recordings should be corrected by cross-calibrating thermistors pre- and post-session </w:t>
      </w:r>
      <w:sdt>
        <w:sdtPr>
          <w:rPr>
            <w:color w:val="000000"/>
          </w:rPr>
          <w:tag w:val="MENDELEY_CITATION_v3_eyJjaXRhdGlvbklEIjoiTUVOREVMRVlfQ0lUQVRJT05fODEyNTE2NzktMDBmZS00ZmIxLWFkNzUtMGEzYTIwNThlYjUx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
          <w:id w:val="-1348787501"/>
          <w:placeholder>
            <w:docPart w:val="DefaultPlaceholder_-1854013440"/>
          </w:placeholder>
        </w:sdtPr>
        <w:sdtContent>
          <w:r w:rsidR="00B43409" w:rsidRPr="00B43409">
            <w:rPr>
              <w:color w:val="000000"/>
            </w:rPr>
            <w:t>[101]</w:t>
          </w:r>
        </w:sdtContent>
      </w:sdt>
      <w:r w:rsidRPr="001D228D">
        <w:t xml:space="preserve">. Transient spikes (e.g., ±0.5 °C lasting &lt;10 s) from contact loss or cable movement should be removed or interpolated; periods of pressure or insulation should be flagged, as they may elevate local </w:t>
      </w:r>
      <w:r w:rsidRPr="00FA2870">
        <w:t>Tsk</w:t>
      </w:r>
      <w:r w:rsidRPr="001D228D">
        <w:t xml:space="preserve"> </w:t>
      </w:r>
      <w:sdt>
        <w:sdtPr>
          <w:rPr>
            <w:color w:val="000000"/>
          </w:rPr>
          <w:tag w:val="MENDELEY_CITATION_v3_eyJjaXRhdGlvbklEIjoiTUVOREVMRVlfQ0lUQVRJT05fYTY0NzllM2EtZmVmNi00ZWQwLTlkMjYtZmIyN2M4ZTIzMDVhIiwicHJvcGVydGllcyI6eyJub3RlSW5kZXgiOjB9LCJpc0VkaXRlZCI6ZmFsc2UsIm1hbnVhbE92ZXJyaWRlIjp7ImNpdGVwcm9jVGV4dCI6IlsxMDNd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
          <w:id w:val="-1591699430"/>
          <w:placeholder>
            <w:docPart w:val="DefaultPlaceholder_-1854013440"/>
          </w:placeholder>
        </w:sdtPr>
        <w:sdtContent>
          <w:r w:rsidR="00B43409" w:rsidRPr="00B43409">
            <w:rPr>
              <w:color w:val="000000"/>
            </w:rPr>
            <w:t>[103]</w:t>
          </w:r>
        </w:sdtContent>
      </w:sdt>
      <w:r w:rsidRPr="001D228D">
        <w:t>.</w:t>
      </w:r>
      <w:r>
        <w:t xml:space="preserve"> </w:t>
      </w:r>
      <w:r w:rsidRPr="00B56070">
        <w:t xml:space="preserve">Field and continuous physiological assessments are rarely free of </w:t>
      </w:r>
      <w:r>
        <w:t>artefacts</w:t>
      </w:r>
      <w:r w:rsidRPr="00B56070">
        <w:t xml:space="preserve"> caused by poor skin contact, loose tape, or sudden physical interference. To address this, automated </w:t>
      </w:r>
      <w:r>
        <w:t>artefact</w:t>
      </w:r>
      <w:r w:rsidRPr="00B56070">
        <w:t xml:space="preserve"> rejection procedures are implemented; a common non-parametric method involves calculating the rate of change (ROC) to remove fast temperature drops or rises exceeding one interquartile distance from the 25th or 75th percentiles, followed by removing implausibly low absolute temperatures and linearly interpolating the gaps</w:t>
      </w:r>
      <w:r>
        <w:t xml:space="preserve"> </w:t>
      </w:r>
      <w:r w:rsidRPr="001D228D">
        <w:t>e</w:t>
      </w:r>
      <w:sdt>
        <w:sdtPr>
          <w:rPr>
            <w:color w:val="000000"/>
          </w:rPr>
          <w:tag w:val="MENDELEY_CITATION_v3_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"/>
          <w:id w:val="-1078818713"/>
          <w:placeholder>
            <w:docPart w:val="DefaultPlaceholder_-1854013440"/>
          </w:placeholder>
        </w:sdtPr>
        <w:sdtContent>
          <w:r w:rsidR="00B43409" w:rsidRPr="00B43409">
            <w:rPr>
              <w:color w:val="000000"/>
            </w:rPr>
            <w:t>[104]</w:t>
          </w:r>
        </w:sdtContent>
      </w:sdt>
      <w:r>
        <w:t xml:space="preserve">. </w:t>
      </w:r>
      <w:r w:rsidRPr="003F56A4">
        <w:t xml:space="preserve">Periods where the sensor is subjected to excessive pressure or occlusion by heavy tape should also be flagged, as the insulating microenvironment impairs local heat dissipation and artificially elevates the </w:t>
      </w:r>
      <w:r>
        <w:t>localised</w:t>
      </w:r>
      <w:r w:rsidRPr="003F56A4">
        <w:t xml:space="preserve"> skin temperature beneath the probe</w:t>
      </w:r>
      <w:r>
        <w:t xml:space="preserve"> </w:t>
      </w:r>
      <w:sdt>
        <w:sdtPr>
          <w:rPr>
            <w:color w:val="000000"/>
          </w:rPr>
          <w:tag w:val="MENDELEY_CITATION_v3_eyJjaXRhdGlvbklEIjoiTUVOREVMRVlfQ0lUQVRJT05fZjkxMDY2YTMtMmJiZi00MDUyLWFmYmItMjFmNmRkZjE5OGRj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
          <w:id w:val="-323290443"/>
          <w:placeholder>
            <w:docPart w:val="DefaultPlaceholder_-1854013440"/>
          </w:placeholder>
        </w:sdtPr>
        <w:sdtContent>
          <w:r w:rsidR="00B43409" w:rsidRPr="00B43409">
            <w:rPr>
              <w:color w:val="000000"/>
            </w:rPr>
            <w:t>[101]</w:t>
          </w:r>
        </w:sdtContent>
      </w:sdt>
      <w:r>
        <w:t xml:space="preserve">. </w:t>
      </w:r>
      <w:r w:rsidRPr="00C61D07">
        <w:t xml:space="preserve">Additionally, </w:t>
      </w:r>
      <w:r>
        <w:t>some analysis protocols</w:t>
      </w:r>
      <w:r w:rsidRPr="00C61D07">
        <w:t xml:space="preserve"> discard data from the </w:t>
      </w:r>
      <w:r w:rsidRPr="008A35DE">
        <w:t xml:space="preserve">initial acclimation/overshoot period (e.g., the first 10–30 minutes of room exposure) to ensure that only steady-state, thermally equilibrated temperatures are analysed </w:t>
      </w:r>
      <w:sdt>
        <w:sdtPr>
          <w:rPr>
            <w:color w:val="000000"/>
          </w:rPr>
          <w:tag w:val="MENDELEY_CITATION_v3_eyJjaXRhdGlvbklEIjoiTUVOREVMRVlfQ0lUQVRJT05fZmQzNGE1OGQtMjlmYy00MzFiLTllZDgtOWY3ZTYyOTlkZjI2IiwicHJvcGVydGllcyI6eyJub3RlSW5kZXgiOjB9LCJpc0VkaXRlZCI6ZmFsc2UsIm1hbnVhbE92ZXJyaWRlIjp7ImNpdGVwcm9jVGV4dCI6IlsxNzZd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
          <w:id w:val="730355126"/>
          <w:placeholder>
            <w:docPart w:val="DefaultPlaceholder_-1854013440"/>
          </w:placeholder>
        </w:sdtPr>
        <w:sdtContent>
          <w:r w:rsidR="00B43409" w:rsidRPr="00B43409">
            <w:rPr>
              <w:color w:val="000000"/>
            </w:rPr>
            <w:t>[176]</w:t>
          </w:r>
        </w:sdtContent>
      </w:sdt>
      <w:r w:rsidRPr="008A35DE">
        <w:t>.</w:t>
      </w:r>
    </w:p>
    <w:p w14:paraId="7138D785" w14:textId="27BBC0E9" w:rsidR="00CE64DB" w:rsidRPr="001D228D" w:rsidRDefault="00CE64DB" w:rsidP="00C336E5">
      <w:r w:rsidRPr="008A35DE">
        <w:rPr>
          <w:b/>
          <w:bCs/>
        </w:rPr>
        <w:t xml:space="preserve">Typical </w:t>
      </w:r>
      <w:r w:rsidRPr="008A35DE">
        <w:rPr>
          <w:b/>
          <w:bCs/>
          <w:lang w:val="en-US"/>
        </w:rPr>
        <w:t>r</w:t>
      </w:r>
      <w:r w:rsidRPr="008A35DE">
        <w:rPr>
          <w:b/>
          <w:bCs/>
        </w:rPr>
        <w:t>anges</w:t>
      </w:r>
      <w:r w:rsidRPr="008A35DE">
        <w:rPr>
          <w:b/>
          <w:bCs/>
          <w:lang w:val="en-US"/>
        </w:rPr>
        <w:t>.</w:t>
      </w:r>
      <w:r w:rsidRPr="008A35DE">
        <w:t xml:space="preserve"> Skin</w:t>
      </w:r>
      <w:r w:rsidRPr="00EC2B26">
        <w:t xml:space="preserve"> temperature varies widely </w:t>
      </w:r>
      <w:r>
        <w:t xml:space="preserve">across body segments and in response to </w:t>
      </w:r>
      <w:r w:rsidRPr="00EC2B26">
        <w:t>the ambient environment. In thermally neutral conditions at rest, the mean skin temperature generally ranges between 3</w:t>
      </w:r>
      <w:r>
        <w:t>2.5</w:t>
      </w:r>
      <w:r w:rsidRPr="00EC2B26">
        <w:t xml:space="preserve"> °C and 34.5 °C </w:t>
      </w:r>
      <w:sdt>
        <w:sdtPr>
          <w:rPr>
            <w:color w:val="000000"/>
          </w:rPr>
          <w:tag w:val="MENDELEY_CITATION_v3_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"/>
          <w:id w:val="1865941587"/>
          <w:placeholder>
            <w:docPart w:val="DefaultPlaceholder_-1854013440"/>
          </w:placeholder>
        </w:sdtPr>
        <w:sdtContent>
          <w:r w:rsidR="00B43409" w:rsidRPr="00B43409">
            <w:rPr>
              <w:color w:val="000000"/>
            </w:rPr>
            <w:t>[108,155]</w:t>
          </w:r>
        </w:sdtContent>
      </w:sdt>
      <w:r w:rsidRPr="00EC2B26">
        <w:t>.</w:t>
      </w:r>
      <w:r>
        <w:t xml:space="preserve"> </w:t>
      </w:r>
      <w:r w:rsidRPr="00C82803">
        <w:t>Proximal core areas (e.g., chest and back) remain relatively stable, whereas distal regions, such as the hands and feet, exhibit the most significant fluctuations due to sympathetic vasoconstriction or vasodilation</w:t>
      </w:r>
      <w:r>
        <w:t xml:space="preserve"> </w:t>
      </w:r>
      <w:sdt>
        <w:sdtPr>
          <w:rPr>
            <w:color w:val="000000"/>
          </w:rPr>
          <w:tag w:val="MENDELEY_CITATION_v3_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"/>
          <w:id w:val="-1372832349"/>
          <w:placeholder>
            <w:docPart w:val="DefaultPlaceholder_-1854013440"/>
          </w:placeholder>
        </w:sdtPr>
        <w:sdtContent>
          <w:r w:rsidR="00B43409" w:rsidRPr="00B43409">
            <w:rPr>
              <w:color w:val="000000"/>
            </w:rPr>
            <w:t>[130,142]</w:t>
          </w:r>
        </w:sdtContent>
      </w:sdt>
      <w:r>
        <w:t>.</w:t>
      </w:r>
      <w:r w:rsidRPr="00C82803">
        <w:t xml:space="preserve"> For instance, finger temperatures can rise to 37 °C during passive heating, but can drop to 24 °C or lower in cool ambient conditions </w:t>
      </w:r>
      <w:sdt>
        <w:sdtPr>
          <w:rPr>
            <w:color w:val="000000"/>
          </w:rPr>
          <w:tag w:val="MENDELEY_CITATION_v3_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"/>
          <w:id w:val="927919988"/>
          <w:placeholder>
            <w:docPart w:val="DefaultPlaceholder_-1854013440"/>
          </w:placeholder>
        </w:sdtPr>
        <w:sdtContent>
          <w:r w:rsidR="00B43409" w:rsidRPr="00B43409">
            <w:rPr>
              <w:color w:val="000000"/>
            </w:rPr>
            <w:t>[127]</w:t>
          </w:r>
        </w:sdtContent>
      </w:sdt>
      <w:r w:rsidRPr="00C82803">
        <w:t>. Skin temperature readings falling drastically outside these physiologically expected bounds</w:t>
      </w:r>
      <w:r>
        <w:t xml:space="preserve"> (i.e., </w:t>
      </w:r>
      <w:r w:rsidRPr="00C82803">
        <w:t>below 16 °C without extreme cold water provocation, or above 40 °C without a severe heat source</w:t>
      </w:r>
      <w:r>
        <w:t xml:space="preserve">) </w:t>
      </w:r>
      <w:r w:rsidRPr="00C82803">
        <w:t xml:space="preserve">are typically indicative of artifacts, sensor detachment, or painful thermal stress and are treated accordingly </w:t>
      </w:r>
      <w:sdt>
        <w:sdtPr>
          <w:rPr>
            <w:color w:val="000000"/>
          </w:rPr>
          <w:tag w:val="MENDELEY_CITATION_v3_eyJjaXRhdGlvbklEIjoiTUVOREVMRVlfQ0lUQVRJT05fMTQ5ZjdjNTgtM2NjMC00ZmRjLThiMTYtMWNkNTMyZWQ3MDVhIiwicHJvcGVydGllcyI6eyJub3RlSW5kZXgiOjB9LCJpc0VkaXRlZCI6ZmFsc2UsIm1hbnVhbE92ZXJyaWRlIjp7ImNpdGVwcm9jVGV4dCI6IlsxMDYsMTI4XSIsImlzTWFudWFsbHlPdmVycmlkZGVuIjpmYWxzZSwibWFudWFsT3ZlcnJpZGVUZXh0IjoiIn0sImNpdGF0aW9uSXRlbXMiOlt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"/>
          <w:id w:val="1487271356"/>
          <w:placeholder>
            <w:docPart w:val="DefaultPlaceholder_-1854013440"/>
          </w:placeholder>
        </w:sdtPr>
        <w:sdtContent>
          <w:r w:rsidR="00B43409" w:rsidRPr="00B43409">
            <w:rPr>
              <w:color w:val="000000"/>
            </w:rPr>
            <w:t>[106,128]</w:t>
          </w:r>
        </w:sdtContent>
      </w:sdt>
      <w:r>
        <w:t>.</w:t>
      </w:r>
    </w:p>
    <w:p w14:paraId="2CB0F524" w14:textId="77777777" w:rsidR="00CE64DB" w:rsidRPr="001D228D" w:rsidRDefault="00CE64DB" w:rsidP="007A2440">
      <w:pPr>
        <w:pStyle w:val="Heading4"/>
        <w:rPr>
          <w:lang w:val="en-GB"/>
        </w:rPr>
      </w:pPr>
      <w:bookmarkStart w:id="35" w:name="_Ref222158421"/>
      <w:r w:rsidRPr="001D228D">
        <w:rPr>
          <w:lang w:val="en-GB"/>
        </w:rPr>
        <w:t>Derived parameters</w:t>
      </w:r>
      <w:bookmarkEnd w:id="35"/>
    </w:p>
    <w:p w14:paraId="1BB9283E" w14:textId="77777777" w:rsidR="00CE64DB" w:rsidRPr="00FA2870" w:rsidRDefault="00CE64DB" w:rsidP="001150F4">
      <w:r w:rsidRPr="001D228D">
        <w:t xml:space="preserve">Depending on study </w:t>
      </w:r>
      <w:r w:rsidRPr="00FA2870">
        <w:t>design and research aim, several key parameters are derived from the preprocessed Tsk signal:</w:t>
      </w:r>
    </w:p>
    <w:p w14:paraId="294994E9" w14:textId="77777777" w:rsidR="00CE64DB" w:rsidRPr="00FA2870" w:rsidRDefault="00CE64DB" w:rsidP="001150F4">
      <w:pPr>
        <w:pStyle w:val="Bullet"/>
      </w:pPr>
      <w:r w:rsidRPr="00FA2870">
        <w:rPr>
          <w:u w:val="single"/>
        </w:rPr>
        <w:t>Baseline Tsk (°C).</w:t>
      </w:r>
      <w:r w:rsidRPr="00FA2870">
        <w:t xml:space="preserve"> The mean temperature over the final 5–10 minutes of the pre-exposure or neutral period; serves as a reference point for calculating subsequent changes.</w:t>
      </w:r>
    </w:p>
    <w:p w14:paraId="06E285F1" w14:textId="77777777" w:rsidR="00CE64DB" w:rsidRPr="001D228D" w:rsidRDefault="00CE64DB" w:rsidP="001150F4">
      <w:pPr>
        <w:pStyle w:val="Bullet"/>
      </w:pPr>
      <w:r w:rsidRPr="00FA2870">
        <w:rPr>
          <w:u w:val="single"/>
        </w:rPr>
        <w:t>ΔTsk (chan</w:t>
      </w:r>
      <w:r w:rsidRPr="001D228D">
        <w:rPr>
          <w:u w:val="single"/>
        </w:rPr>
        <w:t>ge, °C or K).</w:t>
      </w:r>
      <w:r w:rsidRPr="001D228D">
        <w:t xml:space="preserve"> The difference between end- and start-exposure means, indicating the magnitude of peripheral warming or cooling.</w:t>
      </w:r>
    </w:p>
    <w:p w14:paraId="3B39131E" w14:textId="77777777" w:rsidR="00CE64DB" w:rsidRPr="001D228D" w:rsidRDefault="00CE64DB" w:rsidP="001150F4">
      <w:pPr>
        <w:pStyle w:val="Bullet"/>
      </w:pPr>
      <w:r w:rsidRPr="001D228D">
        <w:rPr>
          <w:u w:val="single"/>
        </w:rPr>
        <w:lastRenderedPageBreak/>
        <w:t>Rate of rise or fall (°C·h⁻¹).</w:t>
      </w:r>
      <w:r w:rsidRPr="001D228D">
        <w:t xml:space="preserve"> The slope of the linear regression fitted to the </w:t>
      </w:r>
      <w:r w:rsidRPr="00FA2870">
        <w:t>Tsk</w:t>
      </w:r>
      <w:r w:rsidRPr="001D228D">
        <w:t xml:space="preserve"> trajectory over the exposure period, describing the speed of thermal adaptation or recovery.</w:t>
      </w:r>
    </w:p>
    <w:p w14:paraId="179F31F4" w14:textId="77777777" w:rsidR="00CE64DB" w:rsidRPr="001D228D" w:rsidRDefault="00CE64DB" w:rsidP="001150F4">
      <w:pPr>
        <w:pStyle w:val="Bullet"/>
      </w:pPr>
      <w:r w:rsidRPr="001D228D">
        <w:rPr>
          <w:u w:val="single"/>
        </w:rPr>
        <w:t>Distal–Proximal Gradient (DPG, °C).</w:t>
      </w:r>
      <w:r w:rsidRPr="001D228D">
        <w:t>The mean of distal (hands, feet) minus proximal (chest, thigh) sites; a sensitive indicator of sympathetic vasomotor tone. Positive DPG values reflect vasodilation, whereas negative values indicate vasoconstriction.</w:t>
      </w:r>
    </w:p>
    <w:p w14:paraId="514C1F21" w14:textId="77777777" w:rsidR="00CE64DB" w:rsidRPr="001D228D" w:rsidRDefault="00CE64DB" w:rsidP="001150F4">
      <w:pPr>
        <w:pStyle w:val="Bullet"/>
      </w:pPr>
      <w:r w:rsidRPr="001D228D">
        <w:rPr>
          <w:u w:val="single"/>
        </w:rPr>
        <w:t>Amplitude (diurnal or experimental, °C).</w:t>
      </w:r>
      <w:r w:rsidRPr="001D228D">
        <w:t xml:space="preserve"> The difference between maximum and minimum </w:t>
      </w:r>
      <w:r w:rsidRPr="00FA2870">
        <w:t>Tsk</w:t>
      </w:r>
      <w:r w:rsidRPr="001D228D">
        <w:t xml:space="preserve"> within a defined period, capturing circadian modulation or thermal variability.</w:t>
      </w:r>
    </w:p>
    <w:p w14:paraId="70530562" w14:textId="4473128B" w:rsidR="00CE64DB" w:rsidRPr="001D228D" w:rsidRDefault="00CE64DB" w:rsidP="001150F4">
      <w:pPr>
        <w:pStyle w:val="Bullet"/>
      </w:pPr>
      <w:r w:rsidRPr="001D228D">
        <w:rPr>
          <w:u w:val="single"/>
        </w:rPr>
        <w:t>Mean skin temperature (°C).</w:t>
      </w:r>
      <w:r w:rsidRPr="001D228D">
        <w:t xml:space="preserve"> The weighted average across all measurement sites, representing overall shell temperature and used to estimate body heat storage. Since the 1930s, dozens of formulas have been proposed to estimate mean skin temperature from discrete site measurements. The earliest models used three to seven body sites, while later standards such as ISO 9886:2004 formalised four-, eight- and fourteen-site sets with equal or weighted contributions. Comparative analyses in the 2010s–2020s revealed between-formula spreads of up to 1 °C under non-uniform exposures </w:t>
      </w:r>
      <w:sdt>
        <w:sdtPr>
          <w:rPr>
            <w:color w:val="000000"/>
          </w:rPr>
          <w:tag w:val="MENDELEY_CITATION_v3_eyJjaXRhdGlvbklEIjoiTUVOREVMRVlfQ0lUQVRJT05fZGQ1NzZhMTEtZGIwZS00ZGQ2LWI0YzYtYTFmMDJmYzQ2Y2I5IiwicHJvcGVydGllcyI6eyJub3RlSW5kZXgiOjB9LCJpc0VkaXRlZCI6ZmFsc2UsIm1hbnVhbE92ZXJyaWRlIjp7ImNpdGVwcm9jVGV4dCI6IlsxNzRdIiwiaXNNYW51YWxseU92ZXJyaWRkZW4iOmZhbHNlLCJtYW51YWxPdmVycmlkZVRleHQiOiIifSwiY2l0YXRpb25JdGVtcyI6W3siaWQiOiI4MGU0N2NlOS0wZDNiLTU2ZDItYWNlMC1hZjBlNmViYjY0N2Q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I4MGU0N2NlOS0wZDNiLTU2ZDItYWNlMC1hZjBlNmViYjY0N2Q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NzVhZWMxOWEtYjczMS00ZGZiLWI0YTQtMTg4MzU1OTk4YmYzIiwiaHR0cDovL3d3dy5tZW5kZWxleS5jb20vZG9jdW1lbnRzLz91dWlkPWRiZDExYzNiLWRhMjEtNGVmYi1hMjhiLTM2Y2NhMjdjZTMzMyJdLCJpc1RlbXBvcmFyeSI6ZmFsc2UsImxlZ2FjeURlc2t0b3BJZCI6Ijc1YWVjMTlhLWI3MzEtNGRmYi1iNGE0LTE4ODM1NTk5OGJmMyJ9XX0="/>
          <w:id w:val="855304333"/>
          <w:placeholder>
            <w:docPart w:val="DefaultPlaceholder_-1854013440"/>
          </w:placeholder>
        </w:sdtPr>
        <w:sdtContent>
          <w:r w:rsidR="00B43409" w:rsidRPr="00B43409">
            <w:rPr>
              <w:color w:val="000000"/>
            </w:rPr>
            <w:t>[174]</w:t>
          </w:r>
        </w:sdtContent>
      </w:sdt>
      <w:r w:rsidRPr="001D228D">
        <w:t xml:space="preserve">, underscoring the need to report both the included sites and their weighting coefficients explicitly. The principal historical and contemporary formulations are consolidated in </w:t>
      </w:r>
      <w:r w:rsidRPr="001D228D">
        <w:rPr>
          <w:rStyle w:val="BulletChar"/>
        </w:rPr>
        <w:fldChar w:fldCharType="begin"/>
      </w:r>
      <w:r w:rsidRPr="001D228D">
        <w:rPr>
          <w:rStyle w:val="BulletChar"/>
        </w:rPr>
        <w:instrText xml:space="preserve"> REF _Ref211005883 \h  \* MERGEFORMAT </w:instrText>
      </w:r>
      <w:r w:rsidRPr="001D228D">
        <w:rPr>
          <w:rStyle w:val="BulletChar"/>
        </w:rPr>
      </w:r>
      <w:r w:rsidRPr="001D228D">
        <w:rPr>
          <w:rStyle w:val="BulletChar"/>
        </w:rPr>
        <w:fldChar w:fldCharType="separate"/>
      </w:r>
      <w:r w:rsidR="007650AF" w:rsidRPr="007650AF">
        <w:rPr>
          <w:rStyle w:val="BulletChar"/>
        </w:rPr>
        <w:t>Table 7</w:t>
      </w:r>
      <w:r w:rsidRPr="001D228D">
        <w:rPr>
          <w:rStyle w:val="BulletChar"/>
        </w:rPr>
        <w:fldChar w:fldCharType="end"/>
      </w:r>
      <w:r w:rsidRPr="001D228D">
        <w:t xml:space="preserve"> (See </w:t>
      </w:r>
      <w:r w:rsidRPr="001D228D">
        <w:fldChar w:fldCharType="begin"/>
      </w:r>
      <w:r w:rsidRPr="001D228D">
        <w:instrText xml:space="preserve"> REF _Ref213712584 \h  \* MERGEFORMAT </w:instrText>
      </w:r>
      <w:r w:rsidRPr="001D228D">
        <w:fldChar w:fldCharType="separate"/>
      </w:r>
      <w:r w:rsidR="007650AF" w:rsidRPr="001D228D">
        <w:t>MEAN SKIN TEMPERATURE FORMULA</w:t>
      </w:r>
      <w:r w:rsidRPr="001D228D">
        <w:fldChar w:fldCharType="end"/>
      </w:r>
      <w:r w:rsidRPr="001D228D">
        <w:t>).</w:t>
      </w:r>
    </w:p>
    <w:p w14:paraId="3C027CFC" w14:textId="77777777" w:rsidR="00CE64DB" w:rsidRPr="001D228D" w:rsidRDefault="00CE64DB" w:rsidP="001150F4">
      <w:r w:rsidRPr="001D228D">
        <w:t>Modified or hybrid mean skin temperature models are used when local conditions deviate from thermal uniformity or when higher spatial resolution is needed:</w:t>
      </w:r>
    </w:p>
    <w:p w14:paraId="4681971A" w14:textId="235A535D" w:rsidR="00CE64DB" w:rsidRPr="001D228D" w:rsidRDefault="00CE64DB" w:rsidP="001150F4">
      <w:pPr>
        <w:pStyle w:val="Bullet"/>
      </w:pPr>
      <w:r w:rsidRPr="001D228D">
        <w:rPr>
          <w:u w:val="single"/>
        </w:rPr>
        <w:t>Cold exposure.</w:t>
      </w:r>
      <w:r w:rsidRPr="00EC2B26">
        <w:t xml:space="preserve"> </w:t>
      </w:r>
      <w:r w:rsidRPr="001D228D">
        <w:t xml:space="preserve">Under cold air, formulas place disproportionately high weight on distal segments to capture extremity-driven heat loss. This reflects larger spatial non-uniformity in cool environments </w:t>
      </w:r>
      <w:sdt>
        <w:sdtPr>
          <w:rPr>
            <w:color w:val="000000"/>
          </w:rPr>
          <w:tag w:val="MENDELEY_CITATION_v3_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"/>
          <w:id w:val="1396708845"/>
          <w:placeholder>
            <w:docPart w:val="DefaultPlaceholder_-1854013440"/>
          </w:placeholder>
        </w:sdtPr>
        <w:sdtContent>
          <w:r w:rsidR="00B43409" w:rsidRPr="00B43409">
            <w:rPr>
              <w:color w:val="000000"/>
            </w:rPr>
            <w:t>[175]</w:t>
          </w:r>
        </w:sdtContent>
      </w:sdt>
      <w:r w:rsidRPr="001D228D">
        <w:t>.</w:t>
      </w:r>
    </w:p>
    <w:p w14:paraId="748EAC30" w14:textId="77777777" w:rsidR="00CE64DB" w:rsidRPr="001D228D" w:rsidRDefault="00CE64DB" w:rsidP="001150F4">
      <w:pPr>
        <w:pStyle w:val="Bullet"/>
      </w:pPr>
      <w:r w:rsidRPr="001D228D">
        <w:rPr>
          <w:u w:val="single"/>
        </w:rPr>
        <w:t>Asymmetrical or radiant conditions.</w:t>
      </w:r>
      <w:r w:rsidRPr="001D228D">
        <w:t xml:space="preserve"> When exposures are non-uniform (e.g., radiant panels, drafts), it’s appropriate to compute MST with region-specific subsets (e.g., anterior vs posterior) or adopt non-uniform comfort models that aggregate local states to whole-body sensation.</w:t>
      </w:r>
    </w:p>
    <w:p w14:paraId="2070B549" w14:textId="72A4CAA8" w:rsidR="00CE64DB" w:rsidRPr="001D228D" w:rsidRDefault="00CE64DB" w:rsidP="001150F4">
      <w:pPr>
        <w:pStyle w:val="Bullet"/>
      </w:pPr>
      <w:r w:rsidRPr="001D228D">
        <w:rPr>
          <w:u w:val="single"/>
        </w:rPr>
        <w:t>Brown Adipose Tissue (BAT) studies.</w:t>
      </w:r>
      <w:r w:rsidRPr="001D228D">
        <w:t xml:space="preserve"> High-resolution protocols use many sites (up to 26) to resolve regional thermogenesis and gradients; across-equation differences can be material </w:t>
      </w:r>
      <w:sdt>
        <w:sdtPr>
          <w:rPr>
            <w:color w:val="000000"/>
          </w:rPr>
          <w:tag w:val="MENDELEY_CITATION_v3_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"/>
          <w:id w:val="736523770"/>
          <w:placeholder>
            <w:docPart w:val="DefaultPlaceholder_-1854013440"/>
          </w:placeholder>
        </w:sdtPr>
        <w:sdtContent>
          <w:r w:rsidR="00B43409" w:rsidRPr="00B43409">
            <w:rPr>
              <w:color w:val="000000"/>
            </w:rPr>
            <w:t>[177]</w:t>
          </w:r>
        </w:sdtContent>
      </w:sdt>
      <w:r w:rsidRPr="001D228D">
        <w:t>.</w:t>
      </w:r>
    </w:p>
    <w:p w14:paraId="1EE77123" w14:textId="2EE1935D" w:rsidR="00CE64DB" w:rsidRPr="001D228D" w:rsidRDefault="00CE64DB" w:rsidP="001150F4">
      <w:pPr>
        <w:pStyle w:val="Bullet"/>
      </w:pPr>
      <w:r w:rsidRPr="001D228D">
        <w:rPr>
          <w:u w:val="single"/>
        </w:rPr>
        <w:t>Sleep physiology.</w:t>
      </w:r>
      <w:r w:rsidRPr="001D228D">
        <w:t xml:space="preserve"> Night-time studies re-evaluate daytime weighting factors, accounting for covered body areas and pressure artefacts from the supine posture </w:t>
      </w:r>
      <w:sdt>
        <w:sdtPr>
          <w:rPr>
            <w:color w:val="000000"/>
          </w:rPr>
          <w:tag w:val="MENDELEY_CITATION_v3_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"/>
          <w:id w:val="-2099790847"/>
          <w:placeholder>
            <w:docPart w:val="DefaultPlaceholder_-1854013440"/>
          </w:placeholder>
        </w:sdtPr>
        <w:sdtContent>
          <w:r w:rsidR="00B43409" w:rsidRPr="00B43409">
            <w:rPr>
              <w:color w:val="000000"/>
            </w:rPr>
            <w:t>[178,179]</w:t>
          </w:r>
        </w:sdtContent>
      </w:sdt>
      <w:r w:rsidRPr="001D228D">
        <w:t>.</w:t>
      </w:r>
    </w:p>
    <w:p w14:paraId="2FEC075C" w14:textId="3BA427A1"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7650AF">
        <w:rPr>
          <w:noProof/>
        </w:rPr>
        <w:t>2</w:t>
      </w:r>
      <w:r w:rsidRPr="001D228D">
        <w:fldChar w:fldCharType="end"/>
      </w:r>
      <w:r w:rsidRPr="001D228D">
        <w:t>. Summary of skin-temperature measurement techniques and typical characteristics</w:t>
      </w:r>
    </w:p>
    <w:tbl>
      <w:tblPr>
        <w:tblStyle w:val="PlainTable5"/>
        <w:tblW w:w="9180" w:type="dxa"/>
        <w:tblLook w:val="04A0" w:firstRow="1" w:lastRow="0" w:firstColumn="1" w:lastColumn="0" w:noHBand="0" w:noVBand="1"/>
      </w:tblPr>
      <w:tblGrid>
        <w:gridCol w:w="1439"/>
        <w:gridCol w:w="1263"/>
        <w:gridCol w:w="1004"/>
        <w:gridCol w:w="946"/>
        <w:gridCol w:w="1468"/>
        <w:gridCol w:w="1800"/>
        <w:gridCol w:w="1260"/>
      </w:tblGrid>
      <w:tr w:rsidR="00CE64DB" w:rsidRPr="00D83D3A" w14:paraId="0F9F771C" w14:textId="77777777" w:rsidTr="007802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E31E61" w14:textId="77777777" w:rsidR="00CE64DB" w:rsidRPr="00D83D3A" w:rsidRDefault="00CE64DB" w:rsidP="001150F4">
            <w:pPr>
              <w:rPr>
                <w:b/>
                <w:bCs/>
                <w:i w:val="0"/>
                <w:iCs w:val="0"/>
                <w:sz w:val="18"/>
                <w:szCs w:val="18"/>
              </w:rPr>
            </w:pPr>
            <w:r w:rsidRPr="00D83D3A">
              <w:rPr>
                <w:b/>
                <w:bCs/>
                <w:i w:val="0"/>
                <w:iCs w:val="0"/>
                <w:sz w:val="18"/>
                <w:szCs w:val="18"/>
              </w:rPr>
              <w:t>Measure</w:t>
            </w:r>
          </w:p>
        </w:tc>
        <w:tc>
          <w:tcPr>
            <w:tcW w:w="1263" w:type="dxa"/>
            <w:hideMark/>
          </w:tcPr>
          <w:p w14:paraId="00112D6F"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Sensor / Method</w:t>
            </w:r>
          </w:p>
        </w:tc>
        <w:tc>
          <w:tcPr>
            <w:tcW w:w="0" w:type="auto"/>
            <w:hideMark/>
          </w:tcPr>
          <w:p w14:paraId="2E08A5A9"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Sampling rate</w:t>
            </w:r>
          </w:p>
        </w:tc>
        <w:tc>
          <w:tcPr>
            <w:tcW w:w="0" w:type="auto"/>
            <w:hideMark/>
          </w:tcPr>
          <w:p w14:paraId="1CC80FED"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Accuracy</w:t>
            </w:r>
          </w:p>
        </w:tc>
        <w:tc>
          <w:tcPr>
            <w:tcW w:w="1468" w:type="dxa"/>
            <w:hideMark/>
          </w:tcPr>
          <w:p w14:paraId="4217BBCF"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Advantages</w:t>
            </w:r>
          </w:p>
        </w:tc>
        <w:tc>
          <w:tcPr>
            <w:tcW w:w="1800" w:type="dxa"/>
            <w:hideMark/>
          </w:tcPr>
          <w:p w14:paraId="238CBD55"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Limitations</w:t>
            </w:r>
          </w:p>
        </w:tc>
        <w:tc>
          <w:tcPr>
            <w:tcW w:w="1260" w:type="dxa"/>
            <w:hideMark/>
          </w:tcPr>
          <w:p w14:paraId="69482424" w14:textId="77777777" w:rsidR="00CE64DB" w:rsidRPr="00D83D3A"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D83D3A">
              <w:rPr>
                <w:b/>
                <w:bCs/>
                <w:i w:val="0"/>
                <w:iCs w:val="0"/>
                <w:sz w:val="18"/>
                <w:szCs w:val="18"/>
              </w:rPr>
              <w:t>Approx. cost (€)*</w:t>
            </w:r>
          </w:p>
        </w:tc>
      </w:tr>
      <w:tr w:rsidR="00CE64DB" w:rsidRPr="00387AD4" w14:paraId="6F2CC291" w14:textId="77777777" w:rsidTr="00780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3493" w14:textId="77777777" w:rsidR="00CE64DB" w:rsidRPr="00387AD4" w:rsidRDefault="00CE64DB" w:rsidP="001150F4">
            <w:pPr>
              <w:rPr>
                <w:b/>
                <w:bCs/>
                <w:i w:val="0"/>
                <w:iCs w:val="0"/>
                <w:sz w:val="18"/>
                <w:szCs w:val="18"/>
              </w:rPr>
            </w:pPr>
            <w:r w:rsidRPr="00387AD4">
              <w:rPr>
                <w:b/>
                <w:bCs/>
                <w:i w:val="0"/>
                <w:iCs w:val="0"/>
                <w:sz w:val="18"/>
                <w:szCs w:val="18"/>
              </w:rPr>
              <w:t xml:space="preserve">Local </w:t>
            </w:r>
            <w:r w:rsidRPr="00FA2870">
              <w:rPr>
                <w:b/>
                <w:bCs/>
                <w:i w:val="0"/>
                <w:iCs w:val="0"/>
                <w:sz w:val="18"/>
                <w:szCs w:val="18"/>
              </w:rPr>
              <w:t>Tsk</w:t>
            </w:r>
          </w:p>
        </w:tc>
        <w:tc>
          <w:tcPr>
            <w:tcW w:w="1263" w:type="dxa"/>
            <w:hideMark/>
          </w:tcPr>
          <w:p w14:paraId="3D52EF94"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Thermistor / thermocouple</w:t>
            </w:r>
          </w:p>
        </w:tc>
        <w:tc>
          <w:tcPr>
            <w:tcW w:w="0" w:type="auto"/>
            <w:hideMark/>
          </w:tcPr>
          <w:p w14:paraId="31BDC421"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0.1–1 Hz</w:t>
            </w:r>
          </w:p>
        </w:tc>
        <w:tc>
          <w:tcPr>
            <w:tcW w:w="0" w:type="auto"/>
            <w:hideMark/>
          </w:tcPr>
          <w:p w14:paraId="5819E4C7"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±0.1 °C</w:t>
            </w:r>
          </w:p>
        </w:tc>
        <w:tc>
          <w:tcPr>
            <w:tcW w:w="1468" w:type="dxa"/>
            <w:hideMark/>
          </w:tcPr>
          <w:p w14:paraId="746A885F"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High precision, small size</w:t>
            </w:r>
          </w:p>
        </w:tc>
        <w:tc>
          <w:tcPr>
            <w:tcW w:w="1800" w:type="dxa"/>
            <w:hideMark/>
          </w:tcPr>
          <w:p w14:paraId="35FE9BCC"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Wired, local interference</w:t>
            </w:r>
          </w:p>
        </w:tc>
        <w:tc>
          <w:tcPr>
            <w:tcW w:w="1260" w:type="dxa"/>
            <w:hideMark/>
          </w:tcPr>
          <w:p w14:paraId="03ABC18C" w14:textId="77777777" w:rsidR="00CE64DB" w:rsidRPr="00387AD4"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387AD4">
              <w:rPr>
                <w:sz w:val="18"/>
                <w:szCs w:val="18"/>
              </w:rPr>
              <w:t>50–300 per channel</w:t>
            </w:r>
          </w:p>
        </w:tc>
      </w:tr>
      <w:tr w:rsidR="00CE64DB" w:rsidRPr="00387AD4" w14:paraId="74D9C319" w14:textId="77777777" w:rsidTr="007802AD">
        <w:tc>
          <w:tcPr>
            <w:cnfStyle w:val="001000000000" w:firstRow="0" w:lastRow="0" w:firstColumn="1" w:lastColumn="0" w:oddVBand="0" w:evenVBand="0" w:oddHBand="0" w:evenHBand="0" w:firstRowFirstColumn="0" w:firstRowLastColumn="0" w:lastRowFirstColumn="0" w:lastRowLastColumn="0"/>
            <w:tcW w:w="0" w:type="auto"/>
            <w:hideMark/>
          </w:tcPr>
          <w:p w14:paraId="2331230C" w14:textId="77777777" w:rsidR="00CE64DB" w:rsidRPr="00387AD4" w:rsidRDefault="00CE64DB" w:rsidP="001150F4">
            <w:pPr>
              <w:rPr>
                <w:b/>
                <w:bCs/>
                <w:i w:val="0"/>
                <w:iCs w:val="0"/>
                <w:sz w:val="18"/>
                <w:szCs w:val="18"/>
              </w:rPr>
            </w:pPr>
            <w:r w:rsidRPr="00387AD4">
              <w:rPr>
                <w:b/>
                <w:bCs/>
                <w:i w:val="0"/>
                <w:iCs w:val="0"/>
                <w:sz w:val="18"/>
                <w:szCs w:val="18"/>
              </w:rPr>
              <w:t>Infrared thermography</w:t>
            </w:r>
          </w:p>
        </w:tc>
        <w:tc>
          <w:tcPr>
            <w:tcW w:w="1263" w:type="dxa"/>
            <w:hideMark/>
          </w:tcPr>
          <w:p w14:paraId="2F1A4C44"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Calibrated IR camera</w:t>
            </w:r>
          </w:p>
        </w:tc>
        <w:tc>
          <w:tcPr>
            <w:tcW w:w="0" w:type="auto"/>
            <w:hideMark/>
          </w:tcPr>
          <w:p w14:paraId="1EEC9C6E"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1–10 Hz</w:t>
            </w:r>
          </w:p>
        </w:tc>
        <w:tc>
          <w:tcPr>
            <w:tcW w:w="0" w:type="auto"/>
            <w:hideMark/>
          </w:tcPr>
          <w:p w14:paraId="7639E5A0"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±0.2 °C</w:t>
            </w:r>
          </w:p>
        </w:tc>
        <w:tc>
          <w:tcPr>
            <w:tcW w:w="1468" w:type="dxa"/>
            <w:hideMark/>
          </w:tcPr>
          <w:p w14:paraId="262B17C6"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Full-field spatial mapping</w:t>
            </w:r>
          </w:p>
        </w:tc>
        <w:tc>
          <w:tcPr>
            <w:tcW w:w="1800" w:type="dxa"/>
            <w:hideMark/>
          </w:tcPr>
          <w:p w14:paraId="5E3BC917"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Sensitive to emissivity, reflections</w:t>
            </w:r>
          </w:p>
        </w:tc>
        <w:tc>
          <w:tcPr>
            <w:tcW w:w="1260" w:type="dxa"/>
            <w:hideMark/>
          </w:tcPr>
          <w:p w14:paraId="369E601B" w14:textId="77777777" w:rsidR="00CE64DB" w:rsidRPr="00387AD4"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387AD4">
              <w:rPr>
                <w:sz w:val="18"/>
                <w:szCs w:val="18"/>
              </w:rPr>
              <w:t>5,000–20,000</w:t>
            </w:r>
          </w:p>
        </w:tc>
      </w:tr>
    </w:tbl>
    <w:p w14:paraId="611E875F" w14:textId="77777777" w:rsidR="00CE64DB" w:rsidRPr="001D228D" w:rsidRDefault="00CE64DB" w:rsidP="001150F4">
      <w:pPr>
        <w:pStyle w:val="Caption"/>
      </w:pPr>
      <w:r w:rsidRPr="001D228D">
        <w:br/>
        <w:t>* Costs represent approximate 2024 academic prices for durable equipment; disposables, maintenance and analysis software are not included.</w:t>
      </w:r>
      <w:r w:rsidRPr="001D228D">
        <w:br/>
      </w:r>
    </w:p>
    <w:p w14:paraId="6B3C39ED" w14:textId="77777777" w:rsidR="00CE64DB" w:rsidRPr="001D228D" w:rsidRDefault="00CE64DB" w:rsidP="007A2440">
      <w:pPr>
        <w:pStyle w:val="Heading2"/>
        <w:rPr>
          <w:lang w:val="en-GB"/>
        </w:rPr>
      </w:pPr>
      <w:bookmarkStart w:id="36" w:name="_Toc211009227"/>
      <w:bookmarkStart w:id="37" w:name="_Toc223281677"/>
      <w:r w:rsidRPr="001D228D">
        <w:rPr>
          <w:lang w:val="en-GB"/>
        </w:rPr>
        <w:t>Sweat, skin moisture and skin conductance</w:t>
      </w:r>
      <w:bookmarkEnd w:id="36"/>
      <w:bookmarkEnd w:id="37"/>
    </w:p>
    <w:p w14:paraId="008720F4" w14:textId="77777777" w:rsidR="00CE64DB" w:rsidRPr="001D228D" w:rsidRDefault="00CE64DB" w:rsidP="007A2440">
      <w:pPr>
        <w:pStyle w:val="Heading3"/>
        <w:rPr>
          <w:lang w:val="en-GB"/>
        </w:rPr>
      </w:pPr>
      <w:bookmarkStart w:id="38" w:name="_Toc211009228"/>
      <w:bookmarkStart w:id="39" w:name="_Toc223281678"/>
      <w:r w:rsidRPr="001D228D">
        <w:rPr>
          <w:lang w:val="en-GB"/>
        </w:rPr>
        <w:t>Why: the mechanistic reasons</w:t>
      </w:r>
      <w:bookmarkEnd w:id="38"/>
      <w:bookmarkEnd w:id="39"/>
      <w:r w:rsidRPr="001D228D">
        <w:rPr>
          <w:lang w:val="en-GB"/>
        </w:rPr>
        <w:t xml:space="preserve"> </w:t>
      </w:r>
    </w:p>
    <w:p w14:paraId="5B07DAD3" w14:textId="19CF369C" w:rsidR="00CE64DB" w:rsidRPr="001D228D" w:rsidRDefault="00CE64DB" w:rsidP="001150F4">
      <w:r w:rsidRPr="001D228D">
        <w:t xml:space="preserve">Sweating is the body’s principal avenue for evaporative heat loss during thermal stress. In warm, dry, and moving air, evaporation can provide 70–80 % of total heat dissipation, becoming the dominant term in the heat-balance equation when convective and radiant avenues are constrained </w:t>
      </w:r>
      <w:sdt>
        <w:sdtPr>
          <w:rPr>
            <w:color w:val="000000"/>
          </w:rPr>
          <w:tag w:val="MENDELEY_CITATION_v3_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"/>
          <w:id w:val="229514033"/>
          <w:placeholder>
            <w:docPart w:val="DefaultPlaceholder_-1854013440"/>
          </w:placeholder>
        </w:sdtPr>
        <w:sdtContent>
          <w:r w:rsidR="00B43409" w:rsidRPr="00B43409">
            <w:rPr>
              <w:color w:val="000000"/>
            </w:rPr>
            <w:t>[4,12,13]</w:t>
          </w:r>
        </w:sdtContent>
      </w:sdt>
      <w:r w:rsidRPr="001D228D">
        <w:t xml:space="preserve">. The onset, rate, and distribution of sweat secretion are governed by sympathetic cholinergic activation of eccrine glands, integrating both core- and skin-temperature drives </w:t>
      </w:r>
      <w:sdt>
        <w:sdtPr>
          <w:rPr>
            <w:color w:val="000000"/>
          </w:rPr>
          <w:tag w:val="MENDELEY_CITATION_v3_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"/>
          <w:id w:val="303587875"/>
          <w:placeholder>
            <w:docPart w:val="DefaultPlaceholder_-1854013440"/>
          </w:placeholder>
        </w:sdtPr>
        <w:sdtContent>
          <w:r w:rsidR="00B43409" w:rsidRPr="00B43409">
            <w:rPr>
              <w:color w:val="000000"/>
            </w:rPr>
            <w:t>[98,180]</w:t>
          </w:r>
        </w:sdtContent>
      </w:sdt>
      <w:r w:rsidRPr="001D228D">
        <w:t>.</w:t>
      </w:r>
    </w:p>
    <w:p w14:paraId="5762B49B" w14:textId="60ADC92C" w:rsidR="00CE64DB" w:rsidRPr="001D228D" w:rsidRDefault="00CE64DB" w:rsidP="001150F4">
      <w:r w:rsidRPr="001D228D">
        <w:t xml:space="preserve">Local sweat rate (LSR) therefore represents the available evaporative capacity at a specific site, while the spatial recruitment pattern of active glands indicates how efficiently the body scales evaporative cooling during sustained or repeated heat loads </w:t>
      </w:r>
      <w:sdt>
        <w:sdtPr>
          <w:rPr>
            <w:color w:val="000000"/>
          </w:rPr>
          <w:tag w:val="MENDELEY_CITATION_v3_eyJjaXRhdGlvbklEIjoiTUVOREVMRVlfQ0lUQVRJT05fY2EzYjE2NzItMTJiMi00ODY0LWIxZDMtNDExNzUwODQ2MmU0IiwicHJvcGVydGllcyI6eyJub3RlSW5kZXgiOjB9LCJpc0VkaXRlZCI6ZmFsc2UsIm1hbnVhbE92ZXJyaWRlIjp7ImNpdGVwcm9jVGV4dCI6Ils0LDE4MV0iLCJpc01hbnVhbGx5T3ZlcnJpZGRlbiI6ZmFsc2UsIm1hbnVhbE92ZXJyaWRlVGV4dCI6IiJ9LCJjaXRhdGlvbkl0ZW1zIjpb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QW9raSIsImdpdmVuIjoiSy4iLCJub24tZHJvcHBpbmctcGFydGljbGUiOiIiLCJwYXJzZS1uYW1lcyI6ZmFsc2UsInN1ZmZpeCI6IiJ9LHsiZHJvcHBpbmctcGFydGljbGUiOiIiLCJmYW1pbHkiOiJTaGliYXNha2kiLCJnaXZlbiI6Ik0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"/>
          <w:id w:val="-253903707"/>
          <w:placeholder>
            <w:docPart w:val="DefaultPlaceholder_-1854013440"/>
          </w:placeholder>
        </w:sdtPr>
        <w:sdtContent>
          <w:r w:rsidR="00B43409" w:rsidRPr="00B43409">
            <w:rPr>
              <w:color w:val="000000"/>
            </w:rPr>
            <w:t>[4,181]</w:t>
          </w:r>
        </w:sdtContent>
      </w:sdt>
      <w:r w:rsidRPr="001D228D">
        <w:t>.</w:t>
      </w:r>
    </w:p>
    <w:p w14:paraId="00B78F74" w14:textId="7A15ED6F" w:rsidR="00CE64DB" w:rsidRPr="001D228D" w:rsidRDefault="00CE64DB" w:rsidP="001150F4">
      <w:r w:rsidRPr="001D228D">
        <w:lastRenderedPageBreak/>
        <w:t xml:space="preserve">Effective evaporation depends not only on secretion rate but also on skin wettedness, air velocity, humidity, and clothing permeability, which together determine the fraction of sweat that actually evaporates versus accumulates or drips </w:t>
      </w:r>
      <w:sdt>
        <w:sdtPr>
          <w:rPr>
            <w:color w:val="000000"/>
          </w:rPr>
          <w:tag w:val="MENDELEY_CITATION_v3_eyJjaXRhdGlvbklEIjoiTUVOREVMRVlfQ0lUQVRJT05fNjNmMDQ3ZmEtMTgwNi00ZTMzLWIzODQtYmNhZDRlYjdlMDhjIiwicHJvcGVydGllcyI6eyJub3RlSW5kZXgiOjB9LCJpc0VkaXRlZCI6ZmFsc2UsIm1hbnVhbE92ZXJyaWRlIjp7ImNpdGVwcm9jVGV4dCI6IlszLDE4Ml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"/>
          <w:id w:val="191348125"/>
          <w:placeholder>
            <w:docPart w:val="DefaultPlaceholder_-1854013440"/>
          </w:placeholder>
        </w:sdtPr>
        <w:sdtContent>
          <w:r w:rsidR="00B43409" w:rsidRPr="00B43409">
            <w:rPr>
              <w:color w:val="000000"/>
            </w:rPr>
            <w:t>[3,182]</w:t>
          </w:r>
        </w:sdtContent>
      </w:sdt>
      <w:r w:rsidRPr="001D228D">
        <w:t>.</w:t>
      </w:r>
    </w:p>
    <w:p w14:paraId="1D071342" w14:textId="340C04C0" w:rsidR="00CE64DB" w:rsidRPr="001D228D" w:rsidRDefault="00CE64DB" w:rsidP="001150F4">
      <w:r w:rsidRPr="001D228D">
        <w:t xml:space="preserve">Electrodermal activity (EDA), also termed galvanic skin response (GSR), provides an indirect index of sweat-duct filling and sudomotor nerve activity measured via small conductance changes. Because eccrine glands act as variable resistors when filled with electrolyte, EDA reflects both thermoregulatory sweating and non-thermal sympathetic arousal </w:t>
      </w:r>
      <w:sdt>
        <w:sdtPr>
          <w:rPr>
            <w:color w:val="000000"/>
          </w:rPr>
          <w:tag w:val="MENDELEY_CITATION_v3_eyJjaXRhdGlvbklEIjoiTUVOREVMRVlfQ0lUQVRJT05fZDIzNWQ0MTMtOTRmZS00MGE3LTk5ZmYtODFhMTlkZGVlOWJiIiwicHJvcGVydGllcyI6eyJub3RlSW5kZXgiOjB9LCJpc0VkaXRlZCI6ZmFsc2UsIm1hbnVhbE92ZXJyaWRlIjp7ImNpdGVwcm9jVGV4dCI6IlsxMSwxODNd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"/>
          <w:id w:val="1242757557"/>
          <w:placeholder>
            <w:docPart w:val="DefaultPlaceholder_-1854013440"/>
          </w:placeholder>
        </w:sdtPr>
        <w:sdtContent>
          <w:r w:rsidR="00B43409" w:rsidRPr="00B43409">
            <w:rPr>
              <w:color w:val="000000"/>
            </w:rPr>
            <w:t>[11,183]</w:t>
          </w:r>
        </w:sdtContent>
      </w:sdt>
      <w:r w:rsidRPr="001D228D">
        <w:t xml:space="preserve">. In thermal-physiology protocols, combining sweat-rate or skin-moisture measures with EDA links autonomic thermoeffector output to perceptual and emotional processes, allowing integrated assessment of heat strain, thermal comfort, and sympathetic load </w:t>
      </w:r>
      <w:sdt>
        <w:sdtPr>
          <w:rPr>
            <w:color w:val="000000"/>
          </w:rPr>
          <w:tag w:val="MENDELEY_CITATION_v3_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"/>
          <w:id w:val="-76684393"/>
          <w:placeholder>
            <w:docPart w:val="DefaultPlaceholder_-1854013440"/>
          </w:placeholder>
        </w:sdtPr>
        <w:sdtContent>
          <w:r w:rsidR="00B43409" w:rsidRPr="00B43409">
            <w:rPr>
              <w:color w:val="000000"/>
            </w:rPr>
            <w:t>[184,185]</w:t>
          </w:r>
        </w:sdtContent>
      </w:sdt>
      <w:r w:rsidRPr="001D228D">
        <w:t>.</w:t>
      </w:r>
    </w:p>
    <w:p w14:paraId="337A94B5" w14:textId="77777777" w:rsidR="00CE64DB" w:rsidRPr="001D228D" w:rsidRDefault="00CE64DB" w:rsidP="007A2440">
      <w:pPr>
        <w:pStyle w:val="Heading3"/>
        <w:rPr>
          <w:lang w:val="en-GB"/>
        </w:rPr>
      </w:pPr>
      <w:bookmarkStart w:id="40" w:name="_Toc211009229"/>
      <w:bookmarkStart w:id="41" w:name="_Toc223281679"/>
      <w:r w:rsidRPr="001D228D">
        <w:rPr>
          <w:lang w:val="en-GB"/>
        </w:rPr>
        <w:t>How: sensor types for measurement</w:t>
      </w:r>
      <w:bookmarkEnd w:id="40"/>
      <w:bookmarkEnd w:id="41"/>
      <w:r w:rsidRPr="001D228D">
        <w:rPr>
          <w:lang w:val="en-GB"/>
        </w:rPr>
        <w:t xml:space="preserve"> </w:t>
      </w:r>
    </w:p>
    <w:p w14:paraId="00A7BEE9" w14:textId="77777777" w:rsidR="00CE64DB" w:rsidRPr="001D228D" w:rsidRDefault="00CE64DB" w:rsidP="001150F4">
      <w:r w:rsidRPr="001D228D">
        <w:t>Quantifying sweating and skin conductance requires methods that differ in physical principle, temporal resolution, and calibration rigour. Each technique provides a different window onto evaporative heat loss or sudomotor activation, from direct local sweat flux to indirect indices of gland filling and surface moisture.</w:t>
      </w:r>
    </w:p>
    <w:p w14:paraId="3E538FA1" w14:textId="71DC7C2D" w:rsidR="00CE64DB" w:rsidRPr="001D228D" w:rsidRDefault="00CE64DB" w:rsidP="001150F4">
      <w:r w:rsidRPr="001D228D">
        <w:rPr>
          <w:b/>
          <w:bCs/>
        </w:rPr>
        <w:t>Local sweat rate (LSR, ventilated-capsule method).</w:t>
      </w:r>
      <w:r w:rsidRPr="001D228D">
        <w:t xml:space="preserve"> The gold-standard technique measures water-vapour flux from a small, sealed skin area ventilated with dry air. The vapour-density difference between inlet and outlet streams, determined using dew-point or infrared hygrometers, yields instantaneous LSR in mg·cm⁻²·min⁻¹ </w:t>
      </w:r>
      <w:sdt>
        <w:sdtPr>
          <w:rPr>
            <w:color w:val="000000"/>
          </w:rPr>
          <w:tag w:val="MENDELEY_CITATION_v3_eyJjaXRhdGlvbklEIjoiTUVOREVMRVlfQ0lUQVRJT05fNTZiZWM4Y2MtNDg1ZC00NjE1LWJiYjQtZjZmZjhkYTJjMTI4IiwicHJvcGVydGllcyI6eyJub3RlSW5kZXgiOjB9LCJpc0VkaXRlZCI6ZmFsc2UsIm1hbnVhbE92ZXJyaWRlIjp7ImNpdGVwcm9jVGV4dCI6Ils0LDk5LDE4Nl0iLCJpc01hbnVhbGx5T3ZlcnJpZGRlbiI6ZmFsc2UsIm1hbnVhbE92ZXJyaWRlVGV4dCI6IiJ9LCJjaXRhdGlvbkl0ZW1zIjpb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0s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"/>
          <w:id w:val="-1244567302"/>
          <w:placeholder>
            <w:docPart w:val="DefaultPlaceholder_-1854013440"/>
          </w:placeholder>
        </w:sdtPr>
        <w:sdtContent>
          <w:r w:rsidR="00B43409" w:rsidRPr="00B43409">
            <w:rPr>
              <w:color w:val="000000"/>
            </w:rPr>
            <w:t>[4,99,186]</w:t>
          </w:r>
        </w:sdtContent>
      </w:sdt>
      <w:r w:rsidRPr="001D228D">
        <w:t>. The system provides continuous, quantitative sweat-flux data, though it requires careful sealing and may slightly alter local evaporation.</w:t>
      </w:r>
    </w:p>
    <w:p w14:paraId="26B9DE4F" w14:textId="5B110FE7" w:rsidR="00CE64DB" w:rsidRPr="001D228D" w:rsidRDefault="00CE64DB" w:rsidP="001150F4">
      <w:r w:rsidRPr="001D228D">
        <w:rPr>
          <w:b/>
          <w:bCs/>
        </w:rPr>
        <w:t>Near-skin humidity and skin moisture probes.</w:t>
      </w:r>
      <w:r w:rsidRPr="001D228D">
        <w:t xml:space="preserve"> Simpler approaches employ miniature dew-point or capacitive (dielectric) sensors positioned a few mm above the surface to capture relative humidity in the skin microclimate </w:t>
      </w:r>
      <w:sdt>
        <w:sdtPr>
          <w:rPr>
            <w:color w:val="000000"/>
          </w:rPr>
          <w:tag w:val="MENDELEY_CITATION_v3_eyJjaXRhdGlvbklEIjoiTUVOREVMRVlfQ0lUQVRJT05fNzgxOTczNzAtOTgzZi00NjM1LWE0M2QtZGMyN2RmMGFlNjU3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584635"/>
          <w:placeholder>
            <w:docPart w:val="DefaultPlaceholder_-1854013440"/>
          </w:placeholder>
        </w:sdtPr>
        <w:sdtContent>
          <w:r w:rsidR="00B43409" w:rsidRPr="00B43409">
            <w:rPr>
              <w:color w:val="000000"/>
            </w:rPr>
            <w:t>[3]</w:t>
          </w:r>
        </w:sdtContent>
      </w:sdt>
      <w:r w:rsidRPr="001D228D">
        <w:t>. Readings are sensitive to contact pressure and ambient humidity drift, thus benefiting from standardised positioning and calibration against LSR.</w:t>
      </w:r>
    </w:p>
    <w:p w14:paraId="4392369E" w14:textId="2023594B" w:rsidR="00CE64DB" w:rsidRPr="001D228D" w:rsidRDefault="00CE64DB" w:rsidP="001150F4">
      <w:r w:rsidRPr="001D228D">
        <w:rPr>
          <w:b/>
          <w:bCs/>
        </w:rPr>
        <w:t xml:space="preserve">Absorbent-patch gravimetry and chemical analysis. </w:t>
      </w:r>
      <w:r w:rsidRPr="001D228D">
        <w:t xml:space="preserve">For integrated sweat-rate and composition data, absorbent pads or polymer films of known surface area are pre-weighed, applied for fixed intervals, and re-weighed post-collection; extracted sweat is </w:t>
      </w:r>
      <w:r>
        <w:t>analysed</w:t>
      </w:r>
      <w:r w:rsidRPr="001D228D">
        <w:t xml:space="preserve"> for electrolytes via ion chromatography </w:t>
      </w:r>
      <w:sdt>
        <w:sdtPr>
          <w:rPr>
            <w:color w:val="000000"/>
          </w:rPr>
          <w:tag w:val="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"/>
          <w:id w:val="-96643866"/>
          <w:placeholder>
            <w:docPart w:val="DefaultPlaceholder_-1854013440"/>
          </w:placeholder>
        </w:sdtPr>
        <w:sdtContent>
          <w:r w:rsidR="00B43409" w:rsidRPr="00B43409">
            <w:rPr>
              <w:color w:val="000000"/>
            </w:rPr>
            <w:t>[187,188]</w:t>
          </w:r>
        </w:sdtContent>
      </w:sdt>
      <w:r w:rsidRPr="001D228D">
        <w:t>. This method captures ionic composition and glandular adaptation but lacks temporal resolution.</w:t>
      </w:r>
    </w:p>
    <w:p w14:paraId="5B4634E5" w14:textId="5F75480E" w:rsidR="00CE64DB" w:rsidRPr="001D228D" w:rsidRDefault="00CE64DB" w:rsidP="001150F4">
      <w:r w:rsidRPr="001D228D">
        <w:rPr>
          <w:b/>
          <w:bCs/>
        </w:rPr>
        <w:t xml:space="preserve">Colorimetric and microfluidic sweat patches. </w:t>
      </w:r>
      <w:r w:rsidRPr="001D228D">
        <w:t>Flexible polymer sensors containing hydrochromic dyes or serpentine microchannels visual</w:t>
      </w:r>
      <w:r>
        <w:t>ise</w:t>
      </w:r>
      <w:r w:rsidRPr="001D228D">
        <w:t xml:space="preserve"> cumulative sweat volume and dynamics in real time </w:t>
      </w:r>
      <w:sdt>
        <w:sdtPr>
          <w:rPr>
            <w:color w:val="000000"/>
          </w:rPr>
          <w:tag w:val="MENDELEY_CITATION_v3_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"/>
          <w:id w:val="839970118"/>
          <w:placeholder>
            <w:docPart w:val="DefaultPlaceholder_-1854013440"/>
          </w:placeholder>
        </w:sdtPr>
        <w:sdtContent>
          <w:r w:rsidR="00B43409" w:rsidRPr="00B43409">
            <w:rPr>
              <w:color w:val="000000"/>
            </w:rPr>
            <w:t>[189–192]</w:t>
          </w:r>
        </w:sdtContent>
      </w:sdt>
      <w:r w:rsidRPr="001D228D">
        <w:t xml:space="preserve">. The colour intensity or length-of-fill correlates with sweat volume with latency of 1–3 s. These patches are inexpensive and </w:t>
      </w:r>
      <w:r>
        <w:t>well-suited</w:t>
      </w:r>
      <w:r w:rsidRPr="001D228D">
        <w:t xml:space="preserve"> for field or wearable applications, though quantitative use requires calibration against ventilated-capsule data and correction for evaporative loss beneath the patch.</w:t>
      </w:r>
    </w:p>
    <w:p w14:paraId="2F682BCE" w14:textId="1A193090" w:rsidR="00CE64DB" w:rsidRPr="001D228D" w:rsidRDefault="00CE64DB" w:rsidP="001150F4">
      <w:r w:rsidRPr="001D228D">
        <w:rPr>
          <w:b/>
          <w:bCs/>
        </w:rPr>
        <w:t xml:space="preserve">Whole-body sweat loss (WBSL). </w:t>
      </w:r>
      <w:r w:rsidRPr="001D228D">
        <w:t xml:space="preserve">Global evaporative water loss is determined gravimetrically from the change in nude body mass before and after exposure, corrected for fluid intake and urine output, and normalised to body-surface area </w:t>
      </w:r>
      <w:sdt>
        <w:sdtPr>
          <w:rPr>
            <w:color w:val="000000"/>
          </w:rPr>
          <w:tag w:val="MENDELEY_CITATION_v3_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"/>
          <w:id w:val="1340729159"/>
          <w:placeholder>
            <w:docPart w:val="DefaultPlaceholder_-1854013440"/>
          </w:placeholder>
        </w:sdtPr>
        <w:sdtContent>
          <w:r w:rsidR="00B43409" w:rsidRPr="00B43409">
            <w:rPr>
              <w:color w:val="000000"/>
            </w:rPr>
            <w:t>[159]</w:t>
          </w:r>
        </w:sdtContent>
      </w:sdt>
      <w:r w:rsidRPr="001D228D">
        <w:t>. Although WBSL integrates all regional fluxes, it lacks spatial or temporal resolution and is best interpreted alongside local measures.</w:t>
      </w:r>
    </w:p>
    <w:p w14:paraId="4A6545EB" w14:textId="522085AF" w:rsidR="00CE64DB" w:rsidRPr="001D228D" w:rsidRDefault="00CE64DB" w:rsidP="001150F4">
      <w:r w:rsidRPr="001D228D">
        <w:rPr>
          <w:b/>
          <w:bCs/>
        </w:rPr>
        <w:t xml:space="preserve">Electrodermal activity (EDA). </w:t>
      </w:r>
      <w:r w:rsidRPr="001D228D">
        <w:t xml:space="preserve">EDA quantifies sympathetic activation of eccrine sweat glands via changes in skin conductance between Ag/AgCl electrodes, typically at a constant 0.5 V DC and 4–32 Hz sampling </w:t>
      </w:r>
      <w:sdt>
        <w:sdtPr>
          <w:rPr>
            <w:color w:val="000000"/>
          </w:rPr>
          <w:tag w:val="MENDELEY_CITATION_v3_eyJjaXRhdGlvbklEIjoiTUVOREVMRVlfQ0lUQVRJT05fYTk2ZTdkM2QtNzZjNC00MTQ3LWI5YzQtNGNlZWE2ZGQ3YzMxIiwicHJvcGVydGllcyI6eyJub3RlSW5kZXgiOjB9LCJpc0VkaXRlZCI6ZmFsc2UsIm1hbnVhbE92ZXJyaWRlIjp7ImNpdGVwcm9jVGV4dCI6IlsxMSwxODMsMTg1X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"/>
          <w:id w:val="1337500932"/>
          <w:placeholder>
            <w:docPart w:val="DefaultPlaceholder_-1854013440"/>
          </w:placeholder>
        </w:sdtPr>
        <w:sdtContent>
          <w:r w:rsidR="00B43409" w:rsidRPr="00B43409">
            <w:rPr>
              <w:color w:val="000000"/>
            </w:rPr>
            <w:t>[11,183,185]</w:t>
          </w:r>
        </w:sdtContent>
      </w:sdt>
      <w:r w:rsidRPr="001D228D">
        <w:t xml:space="preserve">. The signal comprises a slowly varying tonic component (skin-conductance level, SCL) and rapid phasic responses (skin-conductance responses, SCRs). </w:t>
      </w:r>
    </w:p>
    <w:p w14:paraId="2A38182C" w14:textId="77777777" w:rsidR="00CE64DB" w:rsidRPr="001D228D" w:rsidRDefault="00CE64DB" w:rsidP="007A2440">
      <w:pPr>
        <w:pStyle w:val="Heading3"/>
        <w:rPr>
          <w:lang w:val="en-GB"/>
        </w:rPr>
      </w:pPr>
      <w:bookmarkStart w:id="42" w:name="_Toc211009230"/>
      <w:bookmarkStart w:id="43" w:name="_Toc223281680"/>
      <w:r w:rsidRPr="001D228D">
        <w:rPr>
          <w:lang w:val="en-GB"/>
        </w:rPr>
        <w:t>Where: body sites of measurement</w:t>
      </w:r>
      <w:bookmarkEnd w:id="42"/>
      <w:bookmarkEnd w:id="43"/>
    </w:p>
    <w:p w14:paraId="4504149E" w14:textId="52839125" w:rsidR="00CE64DB" w:rsidRPr="001D228D" w:rsidRDefault="00CE64DB" w:rsidP="001150F4">
      <w:r w:rsidRPr="001D228D">
        <w:t xml:space="preserve">Sweating and electrodermal responses show strong topographical variation that reflects eccrine‐gland density, local skin temperature, and sympathetic innervation. Gland density ranges from fewer than 100 glands·cm⁻² on the trunk (e.g., ~64 on the back) to more than ~250–550 glands cm⁻² on palmar and plantar skin </w:t>
      </w:r>
      <w:sdt>
        <w:sdtPr>
          <w:rPr>
            <w:color w:val="000000"/>
          </w:rPr>
          <w:tag w:val="MENDELEY_CITATION_v3_eyJjaXRhdGlvbklEIjoiTUVOREVMRVlfQ0lUQVRJT05fNjQ5ZjlkNWEtYmY5Ny00MDllLWExOGItMmY2MTFhZjY5NTMxIiwicHJvcGVydGllcyI6eyJub3RlSW5kZXgiOjB9LCJpc0VkaXRlZCI6ZmFsc2UsIm1hbnVhbE92ZXJyaWRlIjp7ImNpdGVwcm9jVGV4dCI6IlsxOTMsMTk0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1dfQ=="/>
          <w:id w:val="319171145"/>
          <w:placeholder>
            <w:docPart w:val="DefaultPlaceholder_-1854013440"/>
          </w:placeholder>
        </w:sdtPr>
        <w:sdtContent>
          <w:r w:rsidR="00B43409" w:rsidRPr="00B43409">
            <w:rPr>
              <w:color w:val="000000"/>
            </w:rPr>
            <w:t>[193,194]</w:t>
          </w:r>
        </w:sdtContent>
      </w:sdt>
      <w:r w:rsidRPr="001D228D">
        <w:t xml:space="preserve">. During passive or low-metabolic heat exposures typical of sedentary laboratory studies, the highest thermoregulatory sweat rates occur on the forehead, upper back, chest, and thigh, whereas the distal limbs contribute less to total evaporative heat loss </w:t>
      </w:r>
      <w:sdt>
        <w:sdtPr>
          <w:rPr>
            <w:color w:val="000000"/>
          </w:rPr>
          <w:tag w:val="MENDELEY_CITATION_v3_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"/>
          <w:id w:val="552814537"/>
          <w:placeholder>
            <w:docPart w:val="DefaultPlaceholder_-1854013440"/>
          </w:placeholder>
        </w:sdtPr>
        <w:sdtContent>
          <w:r w:rsidR="00B43409" w:rsidRPr="00B43409">
            <w:rPr>
              <w:color w:val="000000"/>
            </w:rPr>
            <w:t>[195]</w:t>
          </w:r>
        </w:sdtContent>
      </w:sdt>
      <w:r w:rsidRPr="001D228D">
        <w:t>.</w:t>
      </w:r>
    </w:p>
    <w:p w14:paraId="4897D9EC" w14:textId="25B10E4F" w:rsidR="00CE64DB" w:rsidRPr="001D228D" w:rsidRDefault="00CE64DB" w:rsidP="001150F4">
      <w:r w:rsidRPr="001D228D">
        <w:rPr>
          <w:rStyle w:val="Strong"/>
        </w:rPr>
        <w:lastRenderedPageBreak/>
        <w:t>Local sweat-rate sites</w:t>
      </w:r>
      <w:r w:rsidRPr="001D228D">
        <w:t>. Ventilated capsules and absorbent patches are most often applied to the forearm, chest, upper back, or thigh, which combine good attachment stability with representative thermoregulatory behaviour.</w:t>
      </w:r>
      <w:r w:rsidRPr="001D228D">
        <w:br/>
        <w:t xml:space="preserve">Forearm placement remains the field standard due to historical comparability and low motion artefact, although biological variation between repeated trials can approach ~ 20–25 % CV </w:t>
      </w:r>
      <w:sdt>
        <w:sdtPr>
          <w:rPr>
            <w:color w:val="000000"/>
          </w:rPr>
          <w:tag w:val="MENDELEY_CITATION_v3_eyJjaXRhdGlvbklEIjoiTUVOREVMRVlfQ0lUQVRJT05fNWY4Y2MxNjEtYTM3Yi00M2U0LTk4YjEtNGQ1NDBlMjkxMTYwIiwicHJvcGVydGllcyI6eyJub3RlSW5kZXgiOjB9LCJpc0VkaXRlZCI6ZmFsc2UsIm1hbnVhbE92ZXJyaWRlIjp7ImNpdGVwcm9jVGV4dCI6IlsxOTZd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
          <w:id w:val="683409948"/>
          <w:placeholder>
            <w:docPart w:val="DefaultPlaceholder_-1854013440"/>
          </w:placeholder>
        </w:sdtPr>
        <w:sdtContent>
          <w:r w:rsidR="00B43409" w:rsidRPr="00B43409">
            <w:rPr>
              <w:color w:val="000000"/>
            </w:rPr>
            <w:t>[196]</w:t>
          </w:r>
        </w:sdtContent>
      </w:sdt>
      <w:r w:rsidRPr="001D228D">
        <w:t xml:space="preserve">. Trunk regions, particularly the back and chest, show higher reproducibility and smaller inter-individual variance than distal sites (CV &lt; 25 % under passive heating) when measured by the ventilated-capsule method </w:t>
      </w:r>
      <w:sdt>
        <w:sdtPr>
          <w:rPr>
            <w:color w:val="000000"/>
          </w:rPr>
          <w:tag w:val="MENDELEY_CITATION_v3_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"/>
          <w:id w:val="-459886945"/>
          <w:placeholder>
            <w:docPart w:val="DefaultPlaceholder_-1854013440"/>
          </w:placeholder>
        </w:sdtPr>
        <w:sdtContent>
          <w:r w:rsidR="00B43409" w:rsidRPr="00B43409">
            <w:rPr>
              <w:color w:val="000000"/>
            </w:rPr>
            <w:t>[197]</w:t>
          </w:r>
        </w:sdtContent>
      </w:sdt>
      <w:r w:rsidRPr="001D228D">
        <w:t xml:space="preserve">. Technical-absorbent or polymer-patch methods produce equivalent steady-state flux estimates on these regions within ~10 % bias relative to capsule data </w:t>
      </w:r>
      <w:sdt>
        <w:sdtPr>
          <w:rPr>
            <w:color w:val="000000"/>
          </w:rPr>
          <w:tag w:val="MENDELEY_CITATION_v3_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"/>
          <w:id w:val="-945535063"/>
          <w:placeholder>
            <w:docPart w:val="DefaultPlaceholder_-1854013440"/>
          </w:placeholder>
        </w:sdtPr>
        <w:sdtContent>
          <w:r w:rsidR="00B43409" w:rsidRPr="00B43409">
            <w:rPr>
              <w:color w:val="000000"/>
            </w:rPr>
            <w:t>[198]</w:t>
          </w:r>
        </w:sdtContent>
      </w:sdt>
      <w:r w:rsidRPr="001D228D">
        <w:t>.</w:t>
      </w:r>
    </w:p>
    <w:p w14:paraId="04901B7D" w14:textId="590ADEC6" w:rsidR="00CE64DB" w:rsidRPr="001D228D" w:rsidRDefault="00CE64DB" w:rsidP="001150F4">
      <w:r w:rsidRPr="001D228D">
        <w:rPr>
          <w:rStyle w:val="Strong"/>
        </w:rPr>
        <w:t>Skin-moisture and wettedness probes.</w:t>
      </w:r>
      <w:r w:rsidRPr="001D228D">
        <w:rPr>
          <w:rStyle w:val="Strong"/>
          <w:b w:val="0"/>
          <w:bCs w:val="0"/>
        </w:rPr>
        <w:t xml:space="preserve"> </w:t>
      </w:r>
      <w:r w:rsidRPr="001D228D">
        <w:t xml:space="preserve">Capacitance or near-skin-humidity sensors are best mounted on flat, hairless surfaces such as the ventral forearm, upper arm, or upper chest, where contact pressure and curvature artefacts are minimal. These areas offer stable microclimates suitable for repeated recordings, whereas hair-bearing or curved surfaces (scalp, axillae, abdomen) introduce local humidity pockets that confound steady-state readings </w:t>
      </w:r>
      <w:sdt>
        <w:sdtPr>
          <w:rPr>
            <w:color w:val="000000"/>
          </w:rPr>
          <w:tag w:val="MENDELEY_CITATION_v3_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"/>
          <w:id w:val="-378857629"/>
          <w:placeholder>
            <w:docPart w:val="DefaultPlaceholder_-1854013440"/>
          </w:placeholder>
        </w:sdtPr>
        <w:sdtContent>
          <w:r w:rsidR="00B43409" w:rsidRPr="00B43409">
            <w:rPr>
              <w:color w:val="000000"/>
            </w:rPr>
            <w:t>[194]</w:t>
          </w:r>
        </w:sdtContent>
      </w:sdt>
      <w:r w:rsidRPr="001D228D">
        <w:t>.</w:t>
      </w:r>
    </w:p>
    <w:p w14:paraId="277B3B57" w14:textId="2391AFF4" w:rsidR="00CE64DB" w:rsidRPr="001D228D" w:rsidRDefault="00CE64DB" w:rsidP="001150F4">
      <w:r w:rsidRPr="001D228D">
        <w:rPr>
          <w:rStyle w:val="Strong"/>
        </w:rPr>
        <w:t>Electrodermal-activity sites.</w:t>
      </w:r>
      <w:r w:rsidRPr="001D228D">
        <w:rPr>
          <w:rStyle w:val="Strong"/>
          <w:b w:val="0"/>
          <w:bCs w:val="0"/>
        </w:rPr>
        <w:t xml:space="preserve"> </w:t>
      </w:r>
      <w:r w:rsidRPr="001D228D">
        <w:t xml:space="preserve">Electrodermal-activity electrodes detect sweat-duct filling and sympathetic activation. The palmar and plantar surfaces exhibit the highest gland densities and the largest phasic conductance responses but are also strongly influenced by emotional or cognitive stimuli </w:t>
      </w:r>
      <w:sdt>
        <w:sdtPr>
          <w:rPr>
            <w:color w:val="000000"/>
          </w:rPr>
          <w:tag w:val="MENDELEY_CITATION_v3_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"/>
          <w:id w:val="389147858"/>
          <w:placeholder>
            <w:docPart w:val="DefaultPlaceholder_-1854013440"/>
          </w:placeholder>
        </w:sdtPr>
        <w:sdtContent>
          <w:r w:rsidR="00B43409" w:rsidRPr="00B43409">
            <w:rPr>
              <w:color w:val="000000"/>
            </w:rPr>
            <w:t>[199]</w:t>
          </w:r>
        </w:sdtContent>
      </w:sdt>
      <w:r w:rsidRPr="001D228D">
        <w:t xml:space="preserve">. For thermoregulatory studies, ventral forearm, upper arm, or upper chest placements are preferred, as they predominantly reflect thermal sympathetic drive rather than affective arousal. </w:t>
      </w:r>
    </w:p>
    <w:p w14:paraId="3DA04389" w14:textId="4B3DBF9F" w:rsidR="00CE64DB" w:rsidRPr="001D228D" w:rsidRDefault="00CE64DB" w:rsidP="001150F4">
      <w:r w:rsidRPr="001D228D">
        <w:rPr>
          <w:rStyle w:val="Strong"/>
        </w:rPr>
        <w:t>Confounding regions.</w:t>
      </w:r>
      <w:r w:rsidRPr="001D228D">
        <w:rPr>
          <w:rStyle w:val="Strong"/>
          <w:b w:val="0"/>
          <w:bCs w:val="0"/>
        </w:rPr>
        <w:t xml:space="preserve"> </w:t>
      </w:r>
      <w:r w:rsidRPr="001D228D">
        <w:t xml:space="preserve">Certain regions, such as </w:t>
      </w:r>
      <w:r w:rsidRPr="001D228D">
        <w:rPr>
          <w:rStyle w:val="Strong"/>
          <w:b w:val="0"/>
          <w:bCs w:val="0"/>
        </w:rPr>
        <w:t>face</w:t>
      </w:r>
      <w:r w:rsidRPr="001D228D">
        <w:t xml:space="preserve">, </w:t>
      </w:r>
      <w:r w:rsidRPr="001D228D">
        <w:rPr>
          <w:rStyle w:val="Strong"/>
          <w:b w:val="0"/>
          <w:bCs w:val="0"/>
        </w:rPr>
        <w:t>axillae</w:t>
      </w:r>
      <w:r w:rsidRPr="001D228D">
        <w:t xml:space="preserve">, </w:t>
      </w:r>
      <w:r w:rsidRPr="001D228D">
        <w:rPr>
          <w:rStyle w:val="Strong"/>
          <w:b w:val="0"/>
          <w:bCs w:val="0"/>
        </w:rPr>
        <w:t>abdomen</w:t>
      </w:r>
      <w:r w:rsidRPr="001D228D">
        <w:t xml:space="preserve">, and </w:t>
      </w:r>
      <w:r w:rsidRPr="001D228D">
        <w:rPr>
          <w:rStyle w:val="Strong"/>
          <w:b w:val="0"/>
          <w:bCs w:val="0"/>
        </w:rPr>
        <w:t>palms</w:t>
      </w:r>
      <w:r w:rsidRPr="001D228D">
        <w:t xml:space="preserve">, may show sweating driven by non-thermal pathways (emotional </w:t>
      </w:r>
      <w:sdt>
        <w:sdtPr>
          <w:rPr>
            <w:color w:val="000000"/>
          </w:rPr>
          <w:tag w:val="MENDELEY_CITATION_v3_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"/>
          <w:id w:val="3876225"/>
          <w:placeholder>
            <w:docPart w:val="DefaultPlaceholder_-1854013440"/>
          </w:placeholder>
        </w:sdtPr>
        <w:sdtContent>
          <w:r w:rsidR="00B43409" w:rsidRPr="00B43409">
            <w:rPr>
              <w:color w:val="000000"/>
            </w:rPr>
            <w:t>[200,201]</w:t>
          </w:r>
        </w:sdtContent>
      </w:sdt>
      <w:r w:rsidRPr="001D228D">
        <w:t xml:space="preserve">, gustatory </w:t>
      </w:r>
      <w:sdt>
        <w:sdtPr>
          <w:rPr>
            <w:color w:val="000000"/>
          </w:rPr>
          <w:tag w:val="MENDELEY_CITATION_v3_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"/>
          <w:id w:val="-439837871"/>
          <w:placeholder>
            <w:docPart w:val="DefaultPlaceholder_-1854013440"/>
          </w:placeholder>
        </w:sdtPr>
        <w:sdtContent>
          <w:r w:rsidR="00B43409" w:rsidRPr="00B43409">
            <w:rPr>
              <w:color w:val="000000"/>
            </w:rPr>
            <w:t>[202]</w:t>
          </w:r>
        </w:sdtContent>
      </w:sdt>
      <w:r w:rsidRPr="001D228D">
        <w:t xml:space="preserve">, or visceral). Facial sweating contributes substantially to total evaporative heat loss </w:t>
      </w:r>
      <w:sdt>
        <w:sdtPr>
          <w:rPr>
            <w:color w:val="000000"/>
          </w:rPr>
          <w:tag w:val="MENDELEY_CITATION_v3_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"/>
          <w:id w:val="599149652"/>
          <w:placeholder>
            <w:docPart w:val="DefaultPlaceholder_-1854013440"/>
          </w:placeholder>
        </w:sdtPr>
        <w:sdtContent>
          <w:r w:rsidR="00B43409" w:rsidRPr="00B43409">
            <w:rPr>
              <w:color w:val="000000"/>
            </w:rPr>
            <w:t>[203]</w:t>
          </w:r>
        </w:sdtContent>
      </w:sdt>
      <w:r w:rsidRPr="001D228D">
        <w:t xml:space="preserve"> yet remains technically challenging to monitor continuously due to motion, airflow, and cosmetic interference </w:t>
      </w:r>
      <w:sdt>
        <w:sdtPr>
          <w:rPr>
            <w:color w:val="000000"/>
          </w:rPr>
          <w:tag w:val="MENDELEY_CITATION_v3_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"/>
          <w:id w:val="-240408965"/>
          <w:placeholder>
            <w:docPart w:val="DefaultPlaceholder_-1854013440"/>
          </w:placeholder>
        </w:sdtPr>
        <w:sdtContent>
          <w:r w:rsidR="00B43409" w:rsidRPr="00B43409">
            <w:rPr>
              <w:color w:val="000000"/>
            </w:rPr>
            <w:t>[204]</w:t>
          </w:r>
        </w:sdtContent>
      </w:sdt>
      <w:r w:rsidRPr="001D228D">
        <w:t xml:space="preserve">. </w:t>
      </w:r>
    </w:p>
    <w:p w14:paraId="484BAAD2" w14:textId="77777777" w:rsidR="00CE64DB" w:rsidRPr="001D228D" w:rsidRDefault="00CE64DB" w:rsidP="007A2440">
      <w:pPr>
        <w:pStyle w:val="Heading3"/>
        <w:rPr>
          <w:lang w:val="en-GB"/>
        </w:rPr>
      </w:pPr>
      <w:bookmarkStart w:id="44" w:name="_Toc223281681"/>
      <w:r w:rsidRPr="001D228D">
        <w:rPr>
          <w:lang w:val="en-GB"/>
        </w:rPr>
        <w:t>Agreeability across sensor types</w:t>
      </w:r>
      <w:bookmarkEnd w:id="44"/>
    </w:p>
    <w:p w14:paraId="19E52224" w14:textId="14366BD3" w:rsidR="00CE64DB" w:rsidRPr="001D228D" w:rsidRDefault="00CE64DB" w:rsidP="001150F4">
      <w:r w:rsidRPr="001D228D">
        <w:t xml:space="preserve">Agreement between sweat-measurement systems depends on sensing principle, airflow characteristics, surface sealing, and temporal resolution. Comparative work shows that ventilated-capsule and technical-absorbent techniques yield closely matched steady-state local sweat rates under passive heating, with group-level bias typically &lt; 10 % and limits of agreement around ± 0.3 mg·cm⁻²·min⁻¹ </w:t>
      </w:r>
      <w:sdt>
        <w:sdtPr>
          <w:rPr>
            <w:color w:val="000000"/>
          </w:rPr>
          <w:tag w:val="MENDELEY_CITATION_v3_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"/>
          <w:id w:val="1120419936"/>
          <w:placeholder>
            <w:docPart w:val="DefaultPlaceholder_-1854013440"/>
          </w:placeholder>
        </w:sdtPr>
        <w:sdtContent>
          <w:r w:rsidR="00B43409" w:rsidRPr="00B43409">
            <w:rPr>
              <w:color w:val="000000"/>
            </w:rPr>
            <w:t>[198]</w:t>
          </w:r>
        </w:sdtContent>
      </w:sdt>
      <w:r w:rsidRPr="001D228D">
        <w:t xml:space="preserve">. Reliability is region-specific: trunk sites (upper back/chest) show the highest repeatability (Intraclass Correlation Coefficient ~ 0.85), whereas forearm is lower (~ 0.60) when measured during passive heating </w:t>
      </w:r>
      <w:sdt>
        <w:sdtPr>
          <w:rPr>
            <w:color w:val="000000"/>
          </w:rPr>
          <w:tag w:val="MENDELEY_CITATION_v3_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"/>
          <w:id w:val="1054356362"/>
          <w:placeholder>
            <w:docPart w:val="DefaultPlaceholder_-1854013440"/>
          </w:placeholder>
        </w:sdtPr>
        <w:sdtContent>
          <w:r w:rsidR="00B43409" w:rsidRPr="00B43409">
            <w:rPr>
              <w:color w:val="000000"/>
            </w:rPr>
            <w:t>[197]</w:t>
          </w:r>
        </w:sdtContent>
      </w:sdt>
      <w:r w:rsidRPr="001D228D">
        <w:t>. Across repeated trials, analytical variance is dominated by biological</w:t>
      </w:r>
      <w:r w:rsidRPr="001D228D">
        <w:rPr>
          <w:b/>
          <w:bCs/>
        </w:rPr>
        <w:t xml:space="preserve"> </w:t>
      </w:r>
      <w:r w:rsidRPr="001D228D">
        <w:t xml:space="preserve">variability plus subtle differences in capsule flow, seal integrity, and leak checks </w:t>
      </w:r>
      <w:sdt>
        <w:sdtPr>
          <w:rPr>
            <w:color w:val="000000"/>
          </w:rPr>
          <w:tag w:val="MENDELEY_CITATION_v3_eyJjaXRhdGlvbklEIjoiTUVOREVMRVlfQ0lUQVRJT05fOGI5MDNmOWEtN2RmNC00NzgwLTg0MWUtNzc1ZDRhNDI2OTg4IiwicHJvcGVydGllcyI6eyJub3RlSW5kZXgiOjB9LCJpc0VkaXRlZCI6ZmFsc2UsIm1hbnVhbE92ZXJyaWRlIjp7ImNpdGVwcm9jVGV4dCI6IlsxOTZd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
          <w:id w:val="1499076734"/>
          <w:placeholder>
            <w:docPart w:val="DefaultPlaceholder_-1854013440"/>
          </w:placeholder>
        </w:sdtPr>
        <w:sdtContent>
          <w:r w:rsidR="00B43409" w:rsidRPr="00B43409">
            <w:rPr>
              <w:color w:val="000000"/>
            </w:rPr>
            <w:t>[196]</w:t>
          </w:r>
        </w:sdtContent>
      </w:sdt>
      <w:r w:rsidRPr="001D228D">
        <w:t>.</w:t>
      </w:r>
    </w:p>
    <w:p w14:paraId="065B8F7B" w14:textId="6E83276C" w:rsidR="00CE64DB" w:rsidRPr="001D228D" w:rsidRDefault="00CE64DB" w:rsidP="001150F4">
      <w:r w:rsidRPr="001D228D">
        <w:t xml:space="preserve">For near-skin humidity and skin-moisture probes, agreement improves when sensors are cross-calibrated against ventilated capsules under controlled, low-air-movement conditions and when pressure/occlusion are standardised. However, ambient air movement, condensation, and probe pressure can introduce appreciable error, so these systems are best treated as trend measures or calibrated surrogates of local sweat flux in sedentary laboratory settings </w:t>
      </w:r>
      <w:sdt>
        <w:sdtPr>
          <w:rPr>
            <w:color w:val="000000"/>
          </w:rPr>
          <w:tag w:val="MENDELEY_CITATION_v3_eyJjaXRhdGlvbklEIjoiTUVOREVMRVlfQ0lUQVRJT05fY2JkYjYyNDUtNTUxZi00ZmY0LWIwNDUtOGFmYTQzMmEwNTQ0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1367947223"/>
          <w:placeholder>
            <w:docPart w:val="DefaultPlaceholder_-1854013440"/>
          </w:placeholder>
        </w:sdtPr>
        <w:sdtContent>
          <w:r w:rsidR="00B43409" w:rsidRPr="00B43409">
            <w:rPr>
              <w:color w:val="000000"/>
            </w:rPr>
            <w:t>[3]</w:t>
          </w:r>
        </w:sdtContent>
      </w:sdt>
      <w:r w:rsidRPr="001D228D">
        <w:t>.</w:t>
      </w:r>
    </w:p>
    <w:p w14:paraId="019C1158" w14:textId="7CDB9559" w:rsidR="00CE64DB" w:rsidRPr="001D228D" w:rsidRDefault="00CE64DB" w:rsidP="001150F4">
      <w:r w:rsidRPr="001D228D">
        <w:t>Microfluidic/colorimetric patches show good concordance with capsule-derived flux once calibrated in situ during mild heat stress; typical absolute errors reported are on the order of RMSE ~ 0.2–0.4 mg·cm⁻²·min⁻</w:t>
      </w:r>
      <w:sdt>
        <w:sdtPr>
          <w:rPr>
            <w:color w:val="000000"/>
          </w:rPr>
          <w:tag w:val="MENDELEY_CITATION_v3_eyJjaXRhdGlvbklEIjoiTUVOREVMRVlfQ0lUQVRJT05fMDQyMjdlYTYtNGY4MS00OTU1LWJmNDMtOWYzMDM2YzYzMWM5IiwicHJvcGVydGllcyI6eyJub3RlSW5kZXgiOjB9LCJpc0VkaXRlZCI6ZmFsc2UsIm1hbnVhbE92ZXJyaWRlIjp7ImNpdGVwcm9jVGV4dCI6IlsxOTEsMTkyX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"/>
          <w:id w:val="97996885"/>
          <w:placeholder>
            <w:docPart w:val="DefaultPlaceholder_-1854013440"/>
          </w:placeholder>
        </w:sdtPr>
        <w:sdtContent>
          <w:r w:rsidR="00B43409" w:rsidRPr="00B43409">
            <w:rPr>
              <w:color w:val="000000"/>
            </w:rPr>
            <w:t>[191,192]</w:t>
          </w:r>
        </w:sdtContent>
      </w:sdt>
      <w:r w:rsidRPr="001D228D">
        <w:t>. Practical limitations include small air gaps or adhesive lift, which can under-collect sweat, and uncertainty from direct evaporation beneath the patch.</w:t>
      </w:r>
    </w:p>
    <w:p w14:paraId="5B51FE29" w14:textId="75BAE655" w:rsidR="00CE64DB" w:rsidRPr="001D228D" w:rsidRDefault="00CE64DB" w:rsidP="001150F4">
      <w:r w:rsidRPr="001D228D">
        <w:t xml:space="preserve">For electrodermal activity (EDA), signals recorded with constant-voltage or constant-current amplifiers are generally interchangeable when normalised within-subject and recorded with standardised electrode materials/placements; variability is driven more by electrode-skin interface (cleaning, gel/electrolyte, inter-electrode distance) than by the electronics themselves </w:t>
      </w:r>
      <w:sdt>
        <w:sdtPr>
          <w:rPr>
            <w:color w:val="000000"/>
          </w:rPr>
          <w:tag w:val="MENDELEY_CITATION_v3_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1476728246"/>
          <w:placeholder>
            <w:docPart w:val="DefaultPlaceholder_-1854013440"/>
          </w:placeholder>
        </w:sdtPr>
        <w:sdtContent>
          <w:r w:rsidR="00B43409" w:rsidRPr="00B43409">
            <w:rPr>
              <w:color w:val="000000"/>
            </w:rPr>
            <w:t>[11,183,205]</w:t>
          </w:r>
        </w:sdtContent>
      </w:sdt>
      <w:r w:rsidRPr="001D228D">
        <w:t>. Electrode-gel composition, surface cleaning, and inter-electrode distance contribute most measurement variability rather than electronics per se.</w:t>
      </w:r>
    </w:p>
    <w:p w14:paraId="739056A4" w14:textId="77777777" w:rsidR="00CE64DB" w:rsidRPr="001D228D" w:rsidRDefault="00CE64DB" w:rsidP="001150F4">
      <w:r w:rsidRPr="001D228D">
        <w:t xml:space="preserve">Overall, under controlled, sedentary laboratory conditions with careful calibration and placement, inter-method bias between established sweat-monitoring approaches (ventilated capsule, technical absorbent, calibrated microfluidics) is typically within ~ ± 10–15 %, with the remaining spread explained by biological variance and local setup details. </w:t>
      </w:r>
    </w:p>
    <w:p w14:paraId="0358BE87" w14:textId="77777777" w:rsidR="00CE64DB" w:rsidRPr="001D228D" w:rsidRDefault="00CE64DB" w:rsidP="007A2440">
      <w:pPr>
        <w:pStyle w:val="Heading3"/>
        <w:rPr>
          <w:lang w:val="en-GB"/>
        </w:rPr>
      </w:pPr>
      <w:bookmarkStart w:id="45" w:name="_Toc211009231"/>
      <w:bookmarkStart w:id="46" w:name="_Toc223281682"/>
      <w:r w:rsidRPr="001D228D">
        <w:rPr>
          <w:lang w:val="en-GB"/>
        </w:rPr>
        <w:lastRenderedPageBreak/>
        <w:t>Known confounders and modifiers</w:t>
      </w:r>
      <w:bookmarkEnd w:id="45"/>
      <w:bookmarkEnd w:id="46"/>
    </w:p>
    <w:p w14:paraId="7E91F8B6" w14:textId="77777777" w:rsidR="00CE64DB" w:rsidRPr="001D228D" w:rsidRDefault="00CE64DB" w:rsidP="001150F4">
      <w:r w:rsidRPr="001D228D">
        <w:t xml:space="preserve">Sweat and electrodermal responses vary widely across individuals and conditions. Both are shaped by a combination of intrinsic physiological traits and extrinsic experimental factors that influence </w:t>
      </w:r>
      <w:r w:rsidRPr="001D228D">
        <w:rPr>
          <w:rStyle w:val="Strong"/>
          <w:b w:val="0"/>
          <w:bCs w:val="0"/>
        </w:rPr>
        <w:t>sudomotor drive, gland sensitivity, evaporative efficiency, or recording fidelity</w:t>
      </w:r>
      <w:r w:rsidRPr="001D228D">
        <w:t>. The following modifiers should be considered when designing or comparing studies under sedentary or mild-activity thermal exposures.</w:t>
      </w:r>
    </w:p>
    <w:p w14:paraId="40FF5CBF" w14:textId="280EB419" w:rsidR="00CE64DB" w:rsidRPr="001D228D" w:rsidRDefault="00CE64DB" w:rsidP="001150F4">
      <w:pPr>
        <w:rPr>
          <w:rStyle w:val="Strong"/>
          <w:b w:val="0"/>
          <w:bCs w:val="0"/>
        </w:rPr>
      </w:pPr>
      <w:r w:rsidRPr="001D228D">
        <w:rPr>
          <w:b/>
          <w:bCs/>
        </w:rPr>
        <w:t>Circadian influences</w:t>
      </w:r>
      <w:r w:rsidRPr="001D228D">
        <w:rPr>
          <w:rStyle w:val="Strong"/>
        </w:rPr>
        <w:t>.</w:t>
      </w:r>
      <w:r w:rsidRPr="001D228D">
        <w:rPr>
          <w:rStyle w:val="Strong"/>
          <w:b w:val="0"/>
          <w:bCs w:val="0"/>
        </w:rPr>
        <w:t xml:space="preserve"> </w:t>
      </w:r>
      <w:r w:rsidRPr="001D228D">
        <w:t xml:space="preserve">Sweating follows a diurnal rhythm coordinated with core body temperature and sympathetic tone. The </w:t>
      </w:r>
      <w:r w:rsidRPr="001D228D">
        <w:rPr>
          <w:rStyle w:val="Strong"/>
          <w:b w:val="0"/>
          <w:bCs w:val="0"/>
        </w:rPr>
        <w:t>onset and gain of the sweating response</w:t>
      </w:r>
      <w:r w:rsidRPr="001D228D">
        <w:t xml:space="preserve"> are lowest in the morning and highest in the late afternoon to early evening, paralleling the daily CBT maximum </w:t>
      </w:r>
      <w:sdt>
        <w:sdtPr>
          <w:rPr>
            <w:color w:val="000000"/>
          </w:rPr>
          <w:tag w:val="MENDELEY_CITATION_v3_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"/>
          <w:id w:val="237841275"/>
          <w:placeholder>
            <w:docPart w:val="DefaultPlaceholder_-1854013440"/>
          </w:placeholder>
        </w:sdtPr>
        <w:sdtContent>
          <w:r w:rsidR="00B43409" w:rsidRPr="00B43409">
            <w:rPr>
              <w:color w:val="000000"/>
            </w:rPr>
            <w:t>[13,206]</w:t>
          </w:r>
        </w:sdtContent>
      </w:sdt>
      <w:r w:rsidRPr="001D228D">
        <w:t xml:space="preserve">. Under constant-routine conditions, local sweat rate and electrodermal activity both show </w:t>
      </w:r>
      <w:r w:rsidRPr="001D228D">
        <w:rPr>
          <w:rStyle w:val="Strong"/>
          <w:b w:val="0"/>
          <w:bCs w:val="0"/>
        </w:rPr>
        <w:t>afternoon elevations of ~15–25 %</w:t>
      </w:r>
      <w:r w:rsidRPr="001D228D">
        <w:t xml:space="preserve">, attributed to circadian modulation of hypothalamic sympathetic output </w:t>
      </w:r>
      <w:sdt>
        <w:sdtPr>
          <w:rPr>
            <w:color w:val="000000"/>
          </w:rPr>
          <w:tag w:val="MENDELEY_CITATION_v3_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"/>
          <w:id w:val="-1456170861"/>
          <w:placeholder>
            <w:docPart w:val="DefaultPlaceholder_-1854013440"/>
          </w:placeholder>
        </w:sdtPr>
        <w:sdtContent>
          <w:r w:rsidR="00B43409" w:rsidRPr="00B43409">
            <w:rPr>
              <w:color w:val="000000"/>
            </w:rPr>
            <w:t>[207]</w:t>
          </w:r>
        </w:sdtContent>
      </w:sdt>
      <w:r w:rsidRPr="001D228D">
        <w:t xml:space="preserve">. Sleep restriction or circadian misalignment dampens this rhythm, delaying sweating onset and reducing amplitude of both thermoregulatory and phasic EDA components </w:t>
      </w:r>
      <w:sdt>
        <w:sdtPr>
          <w:rPr>
            <w:color w:val="000000"/>
          </w:rPr>
          <w:tag w:val="MENDELEY_CITATION_v3_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"/>
          <w:id w:val="-986161134"/>
          <w:placeholder>
            <w:docPart w:val="DefaultPlaceholder_-1854013440"/>
          </w:placeholder>
        </w:sdtPr>
        <w:sdtContent>
          <w:r w:rsidR="00B43409" w:rsidRPr="00B43409">
            <w:rPr>
              <w:color w:val="000000"/>
            </w:rPr>
            <w:t>[208]</w:t>
          </w:r>
        </w:sdtContent>
      </w:sdt>
      <w:r w:rsidRPr="001D228D">
        <w:t xml:space="preserve">. Electrodermal and thermoeffector activity follow clear circadian organisation: EDA amplitude increases during sleep and exhibits a strong 24-h rhythm in controlled settings </w:t>
      </w:r>
      <w:sdt>
        <w:sdtPr>
          <w:rPr>
            <w:color w:val="000000"/>
          </w:rPr>
          <w:tag w:val="MENDELEY_CITATION_v3_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"/>
          <w:id w:val="1273819269"/>
          <w:placeholder>
            <w:docPart w:val="DefaultPlaceholder_-1854013440"/>
          </w:placeholder>
        </w:sdtPr>
        <w:sdtContent>
          <w:r w:rsidR="00B43409" w:rsidRPr="00B43409">
            <w:rPr>
              <w:color w:val="000000"/>
            </w:rPr>
            <w:t>[209,210]</w:t>
          </w:r>
        </w:sdtContent>
      </w:sdt>
      <w:r w:rsidRPr="001D228D">
        <w:t xml:space="preserve">. Late-night light exposure or delayed chronotype shifts can attenuate the distal warming and sweating responses that normally precede sleep, altering both thermal comfort and circadian alignment </w:t>
      </w:r>
      <w:sdt>
        <w:sdtPr>
          <w:rPr>
            <w:color w:val="000000"/>
          </w:rPr>
          <w:tag w:val="MENDELEY_CITATION_v3_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"/>
          <w:id w:val="-462806867"/>
          <w:placeholder>
            <w:docPart w:val="DefaultPlaceholder_-1854013440"/>
          </w:placeholder>
        </w:sdtPr>
        <w:sdtContent>
          <w:r w:rsidR="00B43409" w:rsidRPr="00B43409">
            <w:rPr>
              <w:color w:val="000000"/>
            </w:rPr>
            <w:t>[119,211]</w:t>
          </w:r>
        </w:sdtContent>
      </w:sdt>
      <w:r w:rsidRPr="001D228D">
        <w:t>.</w:t>
      </w:r>
    </w:p>
    <w:p w14:paraId="1F95E454" w14:textId="40FE3821" w:rsidR="00CE64DB" w:rsidRDefault="00CE64DB" w:rsidP="00827AAA">
      <w:r w:rsidRPr="00AE1C6C">
        <w:rPr>
          <w:b/>
          <w:bCs/>
        </w:rPr>
        <w:t>Sex.</w:t>
      </w:r>
      <w:r>
        <w:t xml:space="preserve"> </w:t>
      </w:r>
      <w:r w:rsidRPr="001D228D">
        <w:t xml:space="preserve">Men generally produce higher absolute sweat rates than women under the same heat load, mainly because of greater output per active gland rather than gland-number differences </w:t>
      </w:r>
      <w:sdt>
        <w:sdtPr>
          <w:rPr>
            <w:color w:val="000000"/>
          </w:rPr>
          <w:tag w:val="MENDELEY_CITATION_v3_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"/>
          <w:id w:val="-485174554"/>
          <w:placeholder>
            <w:docPart w:val="DefaultPlaceholder_-1854013440"/>
          </w:placeholder>
        </w:sdtPr>
        <w:sdtContent>
          <w:r w:rsidR="00B43409" w:rsidRPr="00B43409">
            <w:rPr>
              <w:color w:val="000000"/>
            </w:rPr>
            <w:t>[212–215]</w:t>
          </w:r>
        </w:sdtContent>
      </w:sdt>
      <w:r w:rsidRPr="001D228D">
        <w:t>. Women, in turn, rely more heavily on cutaneous vasodilation for heat dissipation.</w:t>
      </w:r>
      <w:r>
        <w:t xml:space="preserve"> </w:t>
      </w:r>
      <w:r w:rsidRPr="00F33BB0">
        <w:t>This disparity is not due to an anatomical lack of sweat glands; in fact, because of their typically smaller body surface area, women actually possess a higher overall density of eccrine sweat glands than men</w:t>
      </w:r>
      <w:r>
        <w:t>. T</w:t>
      </w:r>
      <w:r w:rsidRPr="00214AFB">
        <w:t>he reduced sweating response in females is driven by a significantly lower sweat output per individual gland and a reduced peripheral cholinergic responsiveness</w:t>
      </w:r>
      <w:r>
        <w:t xml:space="preserve"> </w:t>
      </w:r>
      <w:sdt>
        <w:sdtPr>
          <w:rPr>
            <w:color w:val="000000"/>
          </w:rPr>
          <w:tag w:val="MENDELEY_CITATION_v3_eyJjaXRhdGlvbklEIjoiTUVOREVMRVlfQ0lUQVRJT05fY2JiYTRlYzUtZWNiYS00MDM2LWJjNzktOTU5ZTg3YTMzOGFmIiwicHJvcGVydGllcyI6eyJub3RlSW5kZXgiOjB9LCJpc0VkaXRlZCI6ZmFsc2UsIm1hbnVhbE92ZXJyaWRlIjp7ImNpdGVwcm9jVGV4dCI6IlsxOTNdIiwiaXNNYW51YWxseU92ZXJyaWRkZW4iOmZhbHNlLCJtYW51YWxPdmVycmlkZVRleHQiOiIifSwiY2l0YXRpb25JdGVtcyI6W3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V19"/>
          <w:id w:val="1826540978"/>
          <w:placeholder>
            <w:docPart w:val="DefaultPlaceholder_-1854013440"/>
          </w:placeholder>
        </w:sdtPr>
        <w:sdtContent>
          <w:r w:rsidR="00B43409" w:rsidRPr="00B43409">
            <w:rPr>
              <w:color w:val="000000"/>
            </w:rPr>
            <w:t>[193]</w:t>
          </w:r>
        </w:sdtContent>
      </w:sdt>
      <w:r>
        <w:t xml:space="preserve">. </w:t>
      </w:r>
      <w:r w:rsidRPr="000B53EB">
        <w:t>Consequently, women are often characterized as more "efficient" sweaters during resting heat exposure</w:t>
      </w:r>
      <w:r>
        <w:t xml:space="preserve"> </w:t>
      </w:r>
      <w:sdt>
        <w:sdtPr>
          <w:rPr>
            <w:color w:val="000000"/>
          </w:rPr>
          <w:tag w:val="MENDELEY_CITATION_v3_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"/>
          <w:id w:val="-2081824484"/>
          <w:placeholder>
            <w:docPart w:val="DefaultPlaceholder_-1854013440"/>
          </w:placeholder>
        </w:sdtPr>
        <w:sdtContent>
          <w:r w:rsidR="00B43409" w:rsidRPr="00B43409">
            <w:rPr>
              <w:color w:val="000000"/>
            </w:rPr>
            <w:t>[216]</w:t>
          </w:r>
        </w:sdtContent>
      </w:sdt>
      <w:r w:rsidRPr="000B53EB">
        <w:t>. They tend to activate a higher percentage of their available sweat glands but secrete less overall fluid, which helps them avoid "wasted sweating"</w:t>
      </w:r>
      <w:r>
        <w:t xml:space="preserve">, </w:t>
      </w:r>
      <w:r w:rsidRPr="000B53EB">
        <w:t>where excess sweat pools and drips off the skin without contributing to evaporative cooling</w:t>
      </w:r>
      <w:r>
        <w:t xml:space="preserve">, </w:t>
      </w:r>
      <w:r w:rsidRPr="000B53EB">
        <w:t>while still achieving effective thermal balance in moderately hot environments</w:t>
      </w:r>
      <w:r>
        <w:t>.</w:t>
      </w:r>
    </w:p>
    <w:p w14:paraId="5465354B" w14:textId="0E63497D" w:rsidR="00CE64DB" w:rsidRPr="001D228D" w:rsidRDefault="00CE64DB" w:rsidP="00827AAA">
      <w:r w:rsidRPr="001D228D">
        <w:rPr>
          <w:b/>
          <w:bCs/>
        </w:rPr>
        <w:t>Sex hormones and reproductive status</w:t>
      </w:r>
      <w:r w:rsidRPr="001D228D">
        <w:rPr>
          <w:rStyle w:val="Strong"/>
        </w:rPr>
        <w:t>.</w:t>
      </w:r>
      <w:r w:rsidRPr="001D228D">
        <w:rPr>
          <w:rStyle w:val="Strong"/>
          <w:b w:val="0"/>
          <w:bCs w:val="0"/>
        </w:rPr>
        <w:t xml:space="preserve"> </w:t>
      </w:r>
      <w:r w:rsidRPr="001D228D">
        <w:t xml:space="preserve">Menstrual phase, oral-contraceptive use, and menopausal status primarily affect sweating by shifting the core-temperature threshold for activating heat-loss mechanisms </w:t>
      </w:r>
      <w:sdt>
        <w:sdtPr>
          <w:rPr>
            <w:color w:val="000000"/>
          </w:rPr>
          <w:tag w:val="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"/>
          <w:id w:val="-479225997"/>
          <w:placeholder>
            <w:docPart w:val="DefaultPlaceholder_-1854013440"/>
          </w:placeholder>
        </w:sdtPr>
        <w:sdtContent>
          <w:r w:rsidR="00B43409" w:rsidRPr="00B43409">
            <w:rPr>
              <w:color w:val="000000"/>
            </w:rPr>
            <w:t>[58,217,218]</w:t>
          </w:r>
        </w:sdtContent>
      </w:sdt>
      <w:r w:rsidRPr="001D228D">
        <w:t xml:space="preserve">. Progesterone’s thermogenic action elevates the hypothalamic set-point by roughly 0.4 °C in the luteal phase </w:t>
      </w:r>
      <w:sdt>
        <w:sdtPr>
          <w:rPr>
            <w:color w:val="000000"/>
          </w:rPr>
          <w:tag w:val="MENDELEY_CITATION_v3_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"/>
          <w:id w:val="685646063"/>
          <w:placeholder>
            <w:docPart w:val="DefaultPlaceholder_-1854013440"/>
          </w:placeholder>
        </w:sdtPr>
        <w:sdtContent>
          <w:r w:rsidR="00B43409" w:rsidRPr="00B43409">
            <w:rPr>
              <w:color w:val="000000"/>
            </w:rPr>
            <w:t>[219,220]</w:t>
          </w:r>
        </w:sdtContent>
      </w:sdt>
      <w:r w:rsidRPr="001D228D">
        <w:t xml:space="preserve">, reflected in higher oesophageal thresholds for sweating (38.0 ± 0.3 °C vs 37.3 ± 0.1 °C in the follicular phase) </w:t>
      </w:r>
      <w:sdt>
        <w:sdtPr>
          <w:rPr>
            <w:color w:val="000000"/>
          </w:rPr>
          <w:tag w:val="MENDELEY_CITATION_v3_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"/>
          <w:id w:val="-2034484572"/>
          <w:placeholder>
            <w:docPart w:val="DefaultPlaceholder_-1854013440"/>
          </w:placeholder>
        </w:sdtPr>
        <w:sdtContent>
          <w:r w:rsidR="00B43409" w:rsidRPr="00B43409">
            <w:rPr>
              <w:color w:val="000000"/>
            </w:rPr>
            <w:t>[58,221]</w:t>
          </w:r>
        </w:sdtContent>
      </w:sdt>
      <w:r w:rsidRPr="001D228D">
        <w:t>.</w:t>
      </w:r>
    </w:p>
    <w:p w14:paraId="49BA62BA" w14:textId="70344920" w:rsidR="00CE64DB" w:rsidRPr="001D228D" w:rsidRDefault="00CE64DB" w:rsidP="001150F4">
      <w:r w:rsidRPr="001D228D">
        <w:t xml:space="preserve">Exogenous hormones exert similar effects. Combined OCPs raise the sweating threshold </w:t>
      </w:r>
      <w:sdt>
        <w:sdtPr>
          <w:rPr>
            <w:color w:val="000000"/>
          </w:rPr>
          <w:tag w:val="MENDELEY_CITATION_v3_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"/>
          <w:id w:val="1597895919"/>
          <w:placeholder>
            <w:docPart w:val="DefaultPlaceholder_-1854013440"/>
          </w:placeholder>
        </w:sdtPr>
        <w:sdtContent>
          <w:r w:rsidR="00B43409" w:rsidRPr="00B43409">
            <w:rPr>
              <w:color w:val="000000"/>
            </w:rPr>
            <w:t>[222,223]</w:t>
          </w:r>
        </w:sdtContent>
      </w:sdt>
      <w:r w:rsidRPr="001D228D">
        <w:t xml:space="preserve">, consistent with progestin-mediated inhibition of warm-sensitive neurons </w:t>
      </w:r>
      <w:sdt>
        <w:sdtPr>
          <w:rPr>
            <w:color w:val="000000"/>
          </w:rPr>
          <w:tag w:val="MENDELEY_CITATION_v3_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"/>
          <w:id w:val="-912626226"/>
          <w:placeholder>
            <w:docPart w:val="DefaultPlaceholder_-1854013440"/>
          </w:placeholder>
        </w:sdtPr>
        <w:sdtContent>
          <w:r w:rsidR="00B43409" w:rsidRPr="00B43409">
            <w:rPr>
              <w:color w:val="000000"/>
            </w:rPr>
            <w:t>[224]</w:t>
          </w:r>
        </w:sdtContent>
      </w:sdt>
      <w:r w:rsidRPr="001D228D">
        <w:t xml:space="preserve">. During the active high-hormone pill week, the oral-temperature threshold increases to ~ 37.15 ± 0.11 °C compared with the placebo week </w:t>
      </w:r>
      <w:sdt>
        <w:sdtPr>
          <w:rPr>
            <w:color w:val="000000"/>
          </w:rPr>
          <w:tag w:val="MENDELEY_CITATION_v3_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"/>
          <w:id w:val="947284132"/>
          <w:placeholder>
            <w:docPart w:val="DefaultPlaceholder_-1854013440"/>
          </w:placeholder>
        </w:sdtPr>
        <w:sdtContent>
          <w:r w:rsidR="00B43409" w:rsidRPr="00B43409">
            <w:rPr>
              <w:color w:val="000000"/>
            </w:rPr>
            <w:t>[225]</w:t>
          </w:r>
        </w:sdtContent>
      </w:sdt>
      <w:r w:rsidRPr="001D228D">
        <w:t xml:space="preserve">. </w:t>
      </w:r>
      <w:r>
        <w:t>Oestrogen</w:t>
      </w:r>
      <w:r w:rsidRPr="001D228D">
        <w:t xml:space="preserve"> counteracts this elevation: unopposed progestin yields a higher threshold (38.07 ± 0.17 °C), whereas combined </w:t>
      </w:r>
      <w:r>
        <w:t>oestrogen</w:t>
      </w:r>
      <w:r w:rsidRPr="001D228D">
        <w:t xml:space="preserve">–progestin treatment lowers it (37.46 ± 0.18 °C), confirming </w:t>
      </w:r>
      <w:r>
        <w:t>oestrogen</w:t>
      </w:r>
      <w:r w:rsidRPr="001D228D">
        <w:t xml:space="preserve">’s cooling influence and antagonism to progestin </w:t>
      </w:r>
      <w:sdt>
        <w:sdtPr>
          <w:rPr>
            <w:color w:val="000000"/>
          </w:rPr>
          <w:tag w:val="MENDELEY_CITATION_v3_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"/>
          <w:id w:val="1879125411"/>
          <w:placeholder>
            <w:docPart w:val="DefaultPlaceholder_-1854013440"/>
          </w:placeholder>
        </w:sdtPr>
        <w:sdtContent>
          <w:r w:rsidR="00B43409" w:rsidRPr="00B43409">
            <w:rPr>
              <w:color w:val="000000"/>
            </w:rPr>
            <w:t>[58,226]</w:t>
          </w:r>
        </w:sdtContent>
      </w:sdt>
      <w:r w:rsidRPr="001D228D">
        <w:t>.</w:t>
      </w:r>
    </w:p>
    <w:p w14:paraId="0E6A434E" w14:textId="1858CBCD" w:rsidR="00CE64DB" w:rsidRPr="001D228D" w:rsidRDefault="00CE64DB" w:rsidP="001150F4">
      <w:r w:rsidRPr="001D228D">
        <w:t xml:space="preserve">In postmenopausal women, </w:t>
      </w:r>
      <w:r>
        <w:t>oestrogen</w:t>
      </w:r>
      <w:r w:rsidRPr="001D228D">
        <w:t xml:space="preserve"> replacement similarly reduces sweating thresholds, while the addition of progestin abolishes this reduction </w:t>
      </w:r>
      <w:sdt>
        <w:sdtPr>
          <w:rPr>
            <w:color w:val="000000"/>
          </w:rPr>
          <w:tag w:val="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"/>
          <w:id w:val="-1059938162"/>
          <w:placeholder>
            <w:docPart w:val="DefaultPlaceholder_-1854013440"/>
          </w:placeholder>
        </w:sdtPr>
        <w:sdtContent>
          <w:r w:rsidR="00B43409" w:rsidRPr="00B43409">
            <w:rPr>
              <w:color w:val="000000"/>
            </w:rPr>
            <w:t>[227,228]</w:t>
          </w:r>
        </w:sdtContent>
      </w:sdt>
      <w:r w:rsidRPr="001D228D">
        <w:t xml:space="preserve">. Together, these findings demonstrate that progesterone elevates, and </w:t>
      </w:r>
      <w:r>
        <w:t>oestrogen</w:t>
      </w:r>
      <w:r w:rsidRPr="001D228D">
        <w:t xml:space="preserve"> lowers, the thermoregulatory operating point; an antagonistic interplay that underlies sex and hormonal differences in sudomotor control.</w:t>
      </w:r>
    </w:p>
    <w:p w14:paraId="1DA4B0A0" w14:textId="3770FF4B" w:rsidR="00CE64DB" w:rsidRPr="001D228D" w:rsidRDefault="00CE64DB" w:rsidP="001150F4">
      <w:r w:rsidRPr="001D228D">
        <w:rPr>
          <w:rStyle w:val="Strong"/>
        </w:rPr>
        <w:t>Age.</w:t>
      </w:r>
      <w:r w:rsidRPr="001D228D">
        <w:rPr>
          <w:rStyle w:val="Strong"/>
          <w:b w:val="0"/>
          <w:bCs w:val="0"/>
        </w:rPr>
        <w:t xml:space="preserve"> </w:t>
      </w:r>
      <w:r w:rsidRPr="001D228D">
        <w:t xml:space="preserve">Sweat-gland output and responsiveness decline progressively with ageing. Comparative studies report </w:t>
      </w:r>
      <w:r w:rsidRPr="001D228D">
        <w:rPr>
          <w:rStyle w:val="Strong"/>
          <w:b w:val="0"/>
          <w:bCs w:val="0"/>
        </w:rPr>
        <w:t>30–40 % lower maximal sweat rates</w:t>
      </w:r>
      <w:r w:rsidRPr="001D228D">
        <w:t xml:space="preserve"> between 20 and 60 years, even under identical heat loads </w:t>
      </w:r>
      <w:sdt>
        <w:sdtPr>
          <w:rPr>
            <w:color w:val="000000"/>
          </w:rPr>
          <w:tag w:val="MENDELEY_CITATION_v3_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"/>
          <w:id w:val="-1935815229"/>
          <w:placeholder>
            <w:docPart w:val="DefaultPlaceholder_-1854013440"/>
          </w:placeholder>
        </w:sdtPr>
        <w:sdtContent>
          <w:r w:rsidR="00B43409" w:rsidRPr="00B43409">
            <w:rPr>
              <w:color w:val="000000"/>
            </w:rPr>
            <w:t>[229,230]</w:t>
          </w:r>
        </w:sdtContent>
      </w:sdt>
      <w:r w:rsidRPr="001D228D">
        <w:t xml:space="preserve">. This reduction arises from </w:t>
      </w:r>
      <w:r w:rsidRPr="001D228D">
        <w:rPr>
          <w:rStyle w:val="Strong"/>
          <w:b w:val="0"/>
          <w:bCs w:val="0"/>
        </w:rPr>
        <w:t>atrophy of secretory coils</w:t>
      </w:r>
      <w:r w:rsidRPr="001D228D">
        <w:t xml:space="preserve">, </w:t>
      </w:r>
      <w:r w:rsidRPr="001D228D">
        <w:rPr>
          <w:rStyle w:val="Strong"/>
          <w:b w:val="0"/>
          <w:bCs w:val="0"/>
        </w:rPr>
        <w:t>reduced cholinergic sensitivity</w:t>
      </w:r>
      <w:r w:rsidRPr="001D228D">
        <w:t xml:space="preserve">, and </w:t>
      </w:r>
      <w:r w:rsidRPr="001D228D">
        <w:rPr>
          <w:rStyle w:val="Strong"/>
          <w:b w:val="0"/>
          <w:bCs w:val="0"/>
        </w:rPr>
        <w:t>impaired cutaneous vasodilation</w:t>
      </w:r>
      <w:r w:rsidRPr="001D228D">
        <w:t xml:space="preserve">. Consequently, older adults show slower sweat onset and reduced regional uniformity, especially on the limbs and back. EDA amplitude and reactivity likewise diminish with age, reflecting lower sympathetic-skin response gain </w:t>
      </w:r>
      <w:sdt>
        <w:sdtPr>
          <w:rPr>
            <w:color w:val="000000"/>
          </w:rPr>
          <w:tag w:val="MENDELEY_CITATION_v3_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"/>
          <w:id w:val="1515732098"/>
          <w:placeholder>
            <w:docPart w:val="DefaultPlaceholder_-1854013440"/>
          </w:placeholder>
        </w:sdtPr>
        <w:sdtContent>
          <w:r w:rsidR="00B43409" w:rsidRPr="00B43409">
            <w:rPr>
              <w:color w:val="000000"/>
            </w:rPr>
            <w:t>[180]</w:t>
          </w:r>
        </w:sdtContent>
      </w:sdt>
      <w:r w:rsidRPr="001D228D">
        <w:t>.</w:t>
      </w:r>
    </w:p>
    <w:p w14:paraId="5218A0D2" w14:textId="4BAD5973" w:rsidR="00CE64DB" w:rsidRPr="001D228D" w:rsidRDefault="00CE64DB" w:rsidP="001150F4">
      <w:r w:rsidRPr="001D228D">
        <w:rPr>
          <w:rStyle w:val="Strong"/>
        </w:rPr>
        <w:t>Fitness and acclimation.</w:t>
      </w:r>
      <w:r w:rsidRPr="001D228D">
        <w:rPr>
          <w:rStyle w:val="Strong"/>
          <w:b w:val="0"/>
          <w:bCs w:val="0"/>
        </w:rPr>
        <w:t xml:space="preserve"> </w:t>
      </w:r>
      <w:r w:rsidRPr="001D228D">
        <w:t xml:space="preserve">Aerobic training and repeated heat exposure both enhance </w:t>
      </w:r>
      <w:r w:rsidRPr="001D228D">
        <w:rPr>
          <w:rStyle w:val="Strong"/>
          <w:b w:val="0"/>
          <w:bCs w:val="0"/>
        </w:rPr>
        <w:t>sudomotor sensitivity</w:t>
      </w:r>
      <w:r w:rsidRPr="001D228D">
        <w:t xml:space="preserve"> and </w:t>
      </w:r>
      <w:r w:rsidRPr="001D228D">
        <w:rPr>
          <w:rStyle w:val="Strong"/>
          <w:b w:val="0"/>
          <w:bCs w:val="0"/>
        </w:rPr>
        <w:t>evaporative efficiency</w:t>
      </w:r>
      <w:r w:rsidRPr="001D228D">
        <w:t xml:space="preserve">. Trained or acclimated individuals begin sweating at a lower core temperature and show steeper sweat rate–temperature slopes </w:t>
      </w:r>
      <w:sdt>
        <w:sdtPr>
          <w:rPr>
            <w:color w:val="000000"/>
          </w:rPr>
          <w:tag w:val="MENDELEY_CITATION_v3_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"/>
          <w:id w:val="-410009839"/>
          <w:placeholder>
            <w:docPart w:val="DefaultPlaceholder_-1854013440"/>
          </w:placeholder>
        </w:sdtPr>
        <w:sdtContent>
          <w:r w:rsidR="00B43409" w:rsidRPr="00B43409">
            <w:rPr>
              <w:color w:val="000000"/>
            </w:rPr>
            <w:t>[182,231]</w:t>
          </w:r>
        </w:sdtContent>
      </w:sdt>
      <w:r w:rsidRPr="001D228D">
        <w:t xml:space="preserve">. Glandular recruitment expands, and the ionic composition of sweat (particularly Na⁺ and Cl⁻) shifts toward lower concentrations, reflecting ductal reabsorption adaptation. EDA studies show increased tonic levels during heat acclimation, consistent with heightened cholinergic activity </w:t>
      </w:r>
      <w:sdt>
        <w:sdtPr>
          <w:rPr>
            <w:color w:val="000000"/>
          </w:rPr>
          <w:tag w:val="MENDELEY_CITATION_v3_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"/>
          <w:id w:val="-1671562609"/>
          <w:placeholder>
            <w:docPart w:val="DefaultPlaceholder_-1854013440"/>
          </w:placeholder>
        </w:sdtPr>
        <w:sdtContent>
          <w:r w:rsidR="00B43409" w:rsidRPr="00B43409">
            <w:rPr>
              <w:color w:val="000000"/>
            </w:rPr>
            <w:t>[214]</w:t>
          </w:r>
        </w:sdtContent>
      </w:sdt>
      <w:r w:rsidRPr="001D228D">
        <w:t>.</w:t>
      </w:r>
    </w:p>
    <w:p w14:paraId="15DE890F" w14:textId="03ACE461" w:rsidR="00CE64DB" w:rsidRPr="001D228D" w:rsidRDefault="00CE64DB" w:rsidP="001150F4">
      <w:r w:rsidRPr="001D228D">
        <w:rPr>
          <w:rStyle w:val="Strong"/>
        </w:rPr>
        <w:lastRenderedPageBreak/>
        <w:t xml:space="preserve">Body composition. </w:t>
      </w:r>
      <w:r w:rsidRPr="001D228D">
        <w:t xml:space="preserve">Subcutaneous adiposity insulates and increases heat storage requirements, typically delaying sweating and reducing heat-loss effectiveness under heat stress </w:t>
      </w:r>
      <w:sdt>
        <w:sdtPr>
          <w:rPr>
            <w:color w:val="000000"/>
          </w:rPr>
          <w:tag w:val="MENDELEY_CITATION_v3_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"/>
          <w:id w:val="-536345722"/>
          <w:placeholder>
            <w:docPart w:val="DefaultPlaceholder_-1854013440"/>
          </w:placeholder>
        </w:sdtPr>
        <w:sdtContent>
          <w:r w:rsidR="00B43409" w:rsidRPr="00B43409">
            <w:rPr>
              <w:color w:val="000000"/>
            </w:rPr>
            <w:t>[232,233]</w:t>
          </w:r>
        </w:sdtContent>
      </w:sdt>
      <w:r w:rsidRPr="001D228D">
        <w:t xml:space="preserve">. </w:t>
      </w:r>
    </w:p>
    <w:p w14:paraId="153CC617" w14:textId="75090196" w:rsidR="00CE64DB" w:rsidRPr="001D228D" w:rsidRDefault="00CE64DB" w:rsidP="001150F4">
      <w:r w:rsidRPr="001D228D">
        <w:rPr>
          <w:rStyle w:val="Strong"/>
        </w:rPr>
        <w:t xml:space="preserve">Hydration. </w:t>
      </w:r>
      <w:r w:rsidRPr="001D228D">
        <w:t xml:space="preserve">Around ~2% hypohydration, sweating and skin blood flow are reduced and evaporative heat loss becomes less effective, accelerating heat storage; functional impairments increase with greater deficits </w:t>
      </w:r>
      <w:sdt>
        <w:sdtPr>
          <w:rPr>
            <w:color w:val="000000"/>
          </w:rPr>
          <w:tag w:val="MENDELEY_CITATION_v3_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"/>
          <w:id w:val="140232241"/>
          <w:placeholder>
            <w:docPart w:val="DefaultPlaceholder_-1854013440"/>
          </w:placeholder>
        </w:sdtPr>
        <w:sdtContent>
          <w:r w:rsidR="00B43409" w:rsidRPr="00B43409">
            <w:rPr>
              <w:color w:val="000000"/>
            </w:rPr>
            <w:t>[234–236]</w:t>
          </w:r>
        </w:sdtContent>
      </w:sdt>
      <w:r w:rsidRPr="001D228D">
        <w:t>.</w:t>
      </w:r>
    </w:p>
    <w:p w14:paraId="57881853" w14:textId="7E98B407" w:rsidR="00CE64DB" w:rsidRPr="001D228D" w:rsidRDefault="00CE64DB" w:rsidP="001150F4">
      <w:r w:rsidRPr="001D228D">
        <w:rPr>
          <w:rStyle w:val="Strong"/>
        </w:rPr>
        <w:t>Food intake and stimulants.</w:t>
      </w:r>
      <w:r w:rsidRPr="001D228D">
        <w:rPr>
          <w:rStyle w:val="Strong"/>
          <w:b w:val="0"/>
          <w:bCs w:val="0"/>
        </w:rPr>
        <w:t xml:space="preserve"> </w:t>
      </w:r>
      <w:r w:rsidRPr="001D228D">
        <w:t xml:space="preserve">Postprandial thermogenesis modestly elevates metabolic heat production for several hours and can slightly raise core temperature, transiently lowering the load needed to trigger sweating </w:t>
      </w:r>
      <w:sdt>
        <w:sdtPr>
          <w:rPr>
            <w:color w:val="000000"/>
          </w:rPr>
          <w:tag w:val="MENDELEY_CITATION_v3_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"/>
          <w:id w:val="1028610835"/>
          <w:placeholder>
            <w:docPart w:val="DefaultPlaceholder_-1854013440"/>
          </w:placeholder>
        </w:sdtPr>
        <w:sdtContent>
          <w:r w:rsidR="00B43409" w:rsidRPr="00B43409">
            <w:rPr>
              <w:color w:val="000000"/>
            </w:rPr>
            <w:t>[237]</w:t>
          </w:r>
        </w:sdtContent>
      </w:sdt>
      <w:r w:rsidRPr="001D228D">
        <w:t xml:space="preserve">. Capsaicin (TRPV1 activation) elicits gustatory sweating via trigeminal sympathetic pathways </w:t>
      </w:r>
      <w:sdt>
        <w:sdtPr>
          <w:rPr>
            <w:color w:val="000000"/>
          </w:rPr>
          <w:tag w:val="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"/>
          <w:id w:val="2041624856"/>
          <w:placeholder>
            <w:docPart w:val="DefaultPlaceholder_-1854013440"/>
          </w:placeholder>
        </w:sdtPr>
        <w:sdtContent>
          <w:r w:rsidR="00B43409" w:rsidRPr="00B43409">
            <w:rPr>
              <w:color w:val="000000"/>
            </w:rPr>
            <w:t>[238,239]</w:t>
          </w:r>
        </w:sdtContent>
      </w:sdt>
      <w:r w:rsidRPr="001D228D">
        <w:t xml:space="preserve">. Caffeine can modulate thermoregulatory responses in the heat, but effects on sweating and core temperature are heterogeneous across studies and doses </w:t>
      </w:r>
      <w:sdt>
        <w:sdtPr>
          <w:rPr>
            <w:color w:val="000000"/>
          </w:rPr>
          <w:tag w:val="MENDELEY_CITATION_v3_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"/>
          <w:id w:val="1922755310"/>
          <w:placeholder>
            <w:docPart w:val="DefaultPlaceholder_-1854013440"/>
          </w:placeholder>
        </w:sdtPr>
        <w:sdtContent>
          <w:r w:rsidR="00B43409" w:rsidRPr="00B43409">
            <w:rPr>
              <w:color w:val="000000"/>
            </w:rPr>
            <w:t>[240,241]</w:t>
          </w:r>
        </w:sdtContent>
      </w:sdt>
      <w:r w:rsidRPr="001D228D">
        <w:t xml:space="preserve">. Nicotine increases sympathetic arousal, reflected in elevated EDA, while its effects on heat-evoked sweating remain less well characterised </w:t>
      </w:r>
      <w:sdt>
        <w:sdtPr>
          <w:rPr>
            <w:color w:val="000000"/>
          </w:rPr>
          <w:tag w:val="MENDELEY_CITATION_v3_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"/>
          <w:id w:val="-440228762"/>
          <w:placeholder>
            <w:docPart w:val="DefaultPlaceholder_-1854013440"/>
          </w:placeholder>
        </w:sdtPr>
        <w:sdtContent>
          <w:r w:rsidR="00B43409" w:rsidRPr="00B43409">
            <w:rPr>
              <w:color w:val="000000"/>
            </w:rPr>
            <w:t>[242]</w:t>
          </w:r>
        </w:sdtContent>
      </w:sdt>
      <w:r w:rsidRPr="001D228D">
        <w:t xml:space="preserve">. Alcohol acutely increases skin perfusion and sweating with altered thermal sensation, followed by reduced core temperature and impaired thermoregulation </w:t>
      </w:r>
      <w:sdt>
        <w:sdtPr>
          <w:rPr>
            <w:color w:val="000000"/>
          </w:rPr>
          <w:tag w:val="MENDELEY_CITATION_v3_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"/>
          <w:id w:val="1565603226"/>
          <w:placeholder>
            <w:docPart w:val="DefaultPlaceholder_-1854013440"/>
          </w:placeholder>
        </w:sdtPr>
        <w:sdtContent>
          <w:r w:rsidR="00B43409" w:rsidRPr="00B43409">
            <w:rPr>
              <w:color w:val="000000"/>
            </w:rPr>
            <w:t>[243]</w:t>
          </w:r>
        </w:sdtContent>
      </w:sdt>
      <w:r w:rsidRPr="001D228D">
        <w:t>.</w:t>
      </w:r>
    </w:p>
    <w:p w14:paraId="1B1A1C4B" w14:textId="04FA391A" w:rsidR="00CE64DB" w:rsidRPr="001D228D" w:rsidRDefault="00CE64DB" w:rsidP="001150F4">
      <w:r w:rsidRPr="001D228D">
        <w:rPr>
          <w:rStyle w:val="Strong"/>
        </w:rPr>
        <w:t>Psychological and cognitive arousal</w:t>
      </w:r>
      <w:r w:rsidRPr="001D228D">
        <w:t xml:space="preserve">. Non-thermal sympathetic activation can strongly modulate EDA and palmar sweating. Mental workload, anxiety, or startle evoke rapid phasic conductance spikes and transient local sweating even under thermoneutral conditions </w:t>
      </w:r>
      <w:sdt>
        <w:sdtPr>
          <w:rPr>
            <w:color w:val="000000"/>
          </w:rPr>
          <w:tag w:val="MENDELEY_CITATION_v3_eyJjaXRhdGlvbklEIjoiTUVOREVMRVlfQ0lUQVRJT05fYjA3YmE5NjUtZGU5MS00MmVjLTk1MWMtNDg2ZGZiMTc5NjIwIiwicHJvcGVydGllcyI6eyJub3RlSW5kZXgiOjB9LCJpc0VkaXRlZCI6ZmFsc2UsIm1hbnVhbE92ZXJyaWRlIjp7ImNpdGVwcm9jVGV4dCI6IlsxMSwxODUsMjQ0X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"/>
          <w:id w:val="-1967342916"/>
          <w:placeholder>
            <w:docPart w:val="DefaultPlaceholder_-1854013440"/>
          </w:placeholder>
        </w:sdtPr>
        <w:sdtContent>
          <w:r w:rsidR="00B43409" w:rsidRPr="00B43409">
            <w:rPr>
              <w:color w:val="000000"/>
            </w:rPr>
            <w:t>[11,185,244]</w:t>
          </w:r>
        </w:sdtContent>
      </w:sdt>
      <w:r w:rsidRPr="001D228D">
        <w:t xml:space="preserve">. These responses are most pronounced at glabrous sites such as the palms, soles, and forehead – regions densely innervated by sympathetic cholinergic fibers </w:t>
      </w:r>
      <w:sdt>
        <w:sdtPr>
          <w:rPr>
            <w:color w:val="000000"/>
          </w:rPr>
          <w:tag w:val="MENDELEY_CITATION_v3_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"/>
          <w:id w:val="1535463101"/>
          <w:placeholder>
            <w:docPart w:val="DefaultPlaceholder_-1854013440"/>
          </w:placeholder>
        </w:sdtPr>
        <w:sdtContent>
          <w:r w:rsidR="00B43409" w:rsidRPr="00B43409">
            <w:rPr>
              <w:color w:val="000000"/>
            </w:rPr>
            <w:t>[194]</w:t>
          </w:r>
        </w:sdtContent>
      </w:sdt>
      <w:r w:rsidRPr="001D228D">
        <w:t>, so they can obscure thermoregulatory signals if used for measurement. Non-glabrous placements (forearm, upper chest) minimise this interference.</w:t>
      </w:r>
    </w:p>
    <w:p w14:paraId="53BC318D" w14:textId="4E5E57D9" w:rsidR="00CE64DB" w:rsidRPr="001D228D" w:rsidRDefault="00CE64DB" w:rsidP="001150F4">
      <w:r w:rsidRPr="001D228D">
        <w:rPr>
          <w:rStyle w:val="Strong"/>
        </w:rPr>
        <w:t>Neurodivergent populations.</w:t>
      </w:r>
      <w:r w:rsidRPr="001D228D">
        <w:rPr>
          <w:rStyle w:val="Strong"/>
          <w:b w:val="0"/>
          <w:bCs w:val="0"/>
        </w:rPr>
        <w:t xml:space="preserve"> </w:t>
      </w:r>
      <w:r w:rsidRPr="001D228D">
        <w:t xml:space="preserve">Autonomic dysregulation in autism spectrum disorder (ASD) and attention-deficit/hyperactivity disorder (ADHD) can alter sudomotor profiles. In ASD, studies report elevated daytime tonic conductance, reduced nocturnal EDA amplitude, and weaker coupling between EDA and behavioural states, suggesting atypical sympathetic modulation </w:t>
      </w:r>
      <w:sdt>
        <w:sdtPr>
          <w:rPr>
            <w:color w:val="000000"/>
          </w:rPr>
          <w:tag w:val="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"/>
          <w:id w:val="1797637330"/>
          <w:placeholder>
            <w:docPart w:val="DefaultPlaceholder_-1854013440"/>
          </w:placeholder>
        </w:sdtPr>
        <w:sdtContent>
          <w:r w:rsidR="00B43409" w:rsidRPr="00B43409">
            <w:rPr>
              <w:color w:val="000000"/>
            </w:rPr>
            <w:t>[245,246]</w:t>
          </w:r>
        </w:sdtContent>
      </w:sdt>
      <w:r w:rsidRPr="001D228D">
        <w:t xml:space="preserve">. In adults with ADHD, there is evidence of delayed and altered circadian rhythms in body temperature and activity patterns </w:t>
      </w:r>
      <w:sdt>
        <w:sdtPr>
          <w:rPr>
            <w:color w:val="000000"/>
          </w:rPr>
          <w:tag w:val="MENDELEY_CITATION_v3_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"/>
          <w:id w:val="-2037808895"/>
          <w:placeholder>
            <w:docPart w:val="DefaultPlaceholder_-1854013440"/>
          </w:placeholder>
        </w:sdtPr>
        <w:sdtContent>
          <w:r w:rsidR="00B43409" w:rsidRPr="00B43409">
            <w:rPr>
              <w:color w:val="000000"/>
            </w:rPr>
            <w:t>[80]</w:t>
          </w:r>
        </w:sdtContent>
      </w:sdt>
      <w:r w:rsidRPr="001D228D">
        <w:t xml:space="preserve"> and more broadly in neurophysiological responsiveness </w:t>
      </w:r>
      <w:sdt>
        <w:sdtPr>
          <w:rPr>
            <w:color w:val="000000"/>
          </w:rPr>
          <w:tag w:val="MENDELEY_CITATION_v3_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"/>
          <w:id w:val="421223248"/>
          <w:placeholder>
            <w:docPart w:val="DefaultPlaceholder_-1854013440"/>
          </w:placeholder>
        </w:sdtPr>
        <w:sdtContent>
          <w:r w:rsidR="00B43409" w:rsidRPr="00B43409">
            <w:rPr>
              <w:color w:val="000000"/>
            </w:rPr>
            <w:t>[247]</w:t>
          </w:r>
        </w:sdtContent>
      </w:sdt>
      <w:r w:rsidRPr="001D228D">
        <w:t xml:space="preserve">. </w:t>
      </w:r>
    </w:p>
    <w:p w14:paraId="75C5D2EC" w14:textId="5E9DE2A6" w:rsidR="00CE64DB" w:rsidRPr="001D228D" w:rsidRDefault="00CE64DB" w:rsidP="001150F4">
      <w:r w:rsidRPr="001D228D">
        <w:rPr>
          <w:rStyle w:val="Strong"/>
        </w:rPr>
        <w:t>Underlying medical conditions and medications.</w:t>
      </w:r>
      <w:r w:rsidRPr="001D228D">
        <w:rPr>
          <w:rStyle w:val="Strong"/>
          <w:b w:val="0"/>
          <w:bCs w:val="0"/>
        </w:rPr>
        <w:t xml:space="preserve"> </w:t>
      </w:r>
      <w:r w:rsidRPr="001D228D">
        <w:t xml:space="preserve">Neurological and endocrine disorders can substantially alter thermoregulatory sweating by disrupting sympathetic cholinergic pathways or shifting central set-points. Autonomic neuropathies, classically in diabetes mellitus, Parkinson’s disease, and after spinal-cord injury, damage postganglionic fibers innervating eccrine glands and produce regional hypohidrosis/anhidrosis, diminishing evaporative heat loss under environmental heat stress </w:t>
      </w:r>
      <w:sdt>
        <w:sdtPr>
          <w:rPr>
            <w:color w:val="000000"/>
          </w:rPr>
          <w:tag w:val="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"/>
          <w:id w:val="1120259124"/>
          <w:placeholder>
            <w:docPart w:val="DefaultPlaceholder_-1854013440"/>
          </w:placeholder>
        </w:sdtPr>
        <w:sdtContent>
          <w:r w:rsidR="00B43409" w:rsidRPr="00B43409">
            <w:rPr>
              <w:color w:val="000000"/>
            </w:rPr>
            <w:t>[82,248–250]</w:t>
          </w:r>
        </w:sdtContent>
      </w:sdt>
      <w:r w:rsidRPr="001D228D">
        <w:t>. Endocrine disorders likewise modify heat balance: thyroid</w:t>
      </w:r>
      <w:r w:rsidRPr="001D228D">
        <w:rPr>
          <w:b/>
          <w:bCs/>
        </w:rPr>
        <w:t xml:space="preserve"> </w:t>
      </w:r>
      <w:r w:rsidRPr="001D228D">
        <w:t xml:space="preserve">excess increases metabolic heat production, while deficiency reduces it; changes that can raise or lower the threshold load required to trigger sweating </w:t>
      </w:r>
      <w:sdt>
        <w:sdtPr>
          <w:rPr>
            <w:color w:val="000000"/>
          </w:rPr>
          <w:tag w:val="MENDELEY_CITATION_v3_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"/>
          <w:id w:val="853382200"/>
          <w:placeholder>
            <w:docPart w:val="DefaultPlaceholder_-1854013440"/>
          </w:placeholder>
        </w:sdtPr>
        <w:sdtContent>
          <w:r w:rsidR="00B43409" w:rsidRPr="00B43409">
            <w:rPr>
              <w:color w:val="000000"/>
            </w:rPr>
            <w:t>[82,251]</w:t>
          </w:r>
        </w:sdtContent>
      </w:sdt>
      <w:r w:rsidRPr="001D228D">
        <w:t xml:space="preserve">. Medications also modulate sudomotor activity: anticholinergics directly suppress eccrine secretion via muscarinic blockade; β-blockers and centrally acting agents (e.g., propranolol, clonidine) are used in selected hyperhidrosis or flushing contexts and can alter heat-loss responses – hence </w:t>
      </w:r>
      <w:r>
        <w:t xml:space="preserve">essential </w:t>
      </w:r>
      <w:r w:rsidRPr="001D228D">
        <w:t>careful medication screening</w:t>
      </w:r>
      <w:r>
        <w:t xml:space="preserve"> </w:t>
      </w:r>
      <w:r w:rsidRPr="001D228D">
        <w:t xml:space="preserve">in heat-stress studies </w:t>
      </w:r>
      <w:sdt>
        <w:sdtPr>
          <w:rPr>
            <w:color w:val="000000"/>
          </w:rPr>
          <w:tag w:val="MENDELEY_CITATION_v3_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"/>
          <w:id w:val="-227615277"/>
          <w:placeholder>
            <w:docPart w:val="DefaultPlaceholder_-1854013440"/>
          </w:placeholder>
        </w:sdtPr>
        <w:sdtContent>
          <w:r w:rsidR="00B43409" w:rsidRPr="00B43409">
            <w:rPr>
              <w:color w:val="000000"/>
            </w:rPr>
            <w:t>[252]</w:t>
          </w:r>
        </w:sdtContent>
      </w:sdt>
      <w:r w:rsidRPr="001D228D">
        <w:t xml:space="preserve">. </w:t>
      </w:r>
    </w:p>
    <w:p w14:paraId="4139ACBB" w14:textId="70AD8512" w:rsidR="00CE64DB" w:rsidRPr="001D228D" w:rsidRDefault="00CE64DB" w:rsidP="001150F4">
      <w:r w:rsidRPr="001D228D">
        <w:rPr>
          <w:rStyle w:val="Strong"/>
        </w:rPr>
        <w:t>Measurement artefacts.</w:t>
      </w:r>
      <w:r w:rsidRPr="001D228D">
        <w:rPr>
          <w:rStyle w:val="Strong"/>
          <w:b w:val="0"/>
          <w:bCs w:val="0"/>
        </w:rPr>
        <w:t xml:space="preserve"> </w:t>
      </w:r>
      <w:r w:rsidRPr="001D228D">
        <w:t xml:space="preserve">Measurement artefacts can rival physiological variance in magnitude. In sweat-rate systems, leaks or condensation within tubing alter humidity gradients; in EDA, variations in </w:t>
      </w:r>
      <w:r w:rsidRPr="001D228D">
        <w:rPr>
          <w:rStyle w:val="Strong"/>
          <w:b w:val="0"/>
          <w:bCs w:val="0"/>
        </w:rPr>
        <w:t>skin cleaning, electrode pressure, and gel conductivity</w:t>
      </w:r>
      <w:r w:rsidRPr="001D228D">
        <w:t xml:space="preserve"> produce drift and false phasic peaks </w:t>
      </w:r>
      <w:sdt>
        <w:sdtPr>
          <w:rPr>
            <w:color w:val="000000"/>
          </w:rPr>
          <w:tag w:val="MENDELEY_CITATION_v3_eyJjaXRhdGlvbklEIjoiTUVOREVMRVlfQ0lUQVRJT05fOTQ2OTVkY2EtNzJhZS00ZDZhLWFmOGYtNTNhMWI5ZmUwYjE1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1821878566"/>
          <w:placeholder>
            <w:docPart w:val="DefaultPlaceholder_-1854013440"/>
          </w:placeholder>
        </w:sdtPr>
        <w:sdtContent>
          <w:r w:rsidR="00B43409" w:rsidRPr="00B43409">
            <w:rPr>
              <w:color w:val="000000"/>
            </w:rPr>
            <w:t>[11]</w:t>
          </w:r>
        </w:sdtContent>
      </w:sdt>
      <w:r w:rsidRPr="001D228D">
        <w:t xml:space="preserve">. Skin cleaning with alcohol or abrasion can transiently increase local sweating by stimulating mechanoreceptors. </w:t>
      </w:r>
    </w:p>
    <w:p w14:paraId="5CA46BA8" w14:textId="77777777" w:rsidR="00CE64DB" w:rsidRPr="001D228D" w:rsidRDefault="00CE64DB" w:rsidP="00652687">
      <w:pPr>
        <w:pStyle w:val="Heading3"/>
        <w:ind w:left="450" w:hanging="450"/>
        <w:rPr>
          <w:lang w:val="en-GB"/>
        </w:rPr>
      </w:pPr>
      <w:bookmarkStart w:id="47" w:name="_Toc211009232"/>
      <w:bookmarkStart w:id="48" w:name="_Toc223281683"/>
      <w:r w:rsidRPr="001D228D">
        <w:rPr>
          <w:lang w:val="en-GB"/>
        </w:rPr>
        <w:t>Data handling methods</w:t>
      </w:r>
      <w:bookmarkEnd w:id="47"/>
      <w:bookmarkEnd w:id="48"/>
    </w:p>
    <w:p w14:paraId="2AC2F130" w14:textId="77777777" w:rsidR="00CE64DB" w:rsidRPr="001D228D" w:rsidRDefault="00CE64DB" w:rsidP="00652687">
      <w:pPr>
        <w:pStyle w:val="Heading4"/>
      </w:pPr>
      <w:r w:rsidRPr="001D228D">
        <w:t>Sensor calibration</w:t>
      </w:r>
    </w:p>
    <w:p w14:paraId="13AB7A29" w14:textId="77777777" w:rsidR="00CE64DB" w:rsidRPr="001D228D" w:rsidRDefault="00CE64DB" w:rsidP="001150F4">
      <w:r w:rsidRPr="001D228D">
        <w:t xml:space="preserve">Accurate quantification of sweat and EDA signals requires pre- and post-session calibration to correct for drift and environmental bias. </w:t>
      </w:r>
    </w:p>
    <w:p w14:paraId="347A2174" w14:textId="21B3DC43" w:rsidR="00CE64DB" w:rsidRDefault="00CE64DB" w:rsidP="002F3198">
      <w:r w:rsidRPr="006A2D77">
        <w:rPr>
          <w:b/>
          <w:bCs/>
        </w:rPr>
        <w:t>Ventilated-capsule systems</w:t>
      </w:r>
      <w:r>
        <w:t>.</w:t>
      </w:r>
      <w:r w:rsidRPr="001D228D">
        <w:t xml:space="preserve"> </w:t>
      </w:r>
      <w:r>
        <w:t>F</w:t>
      </w:r>
      <w:r w:rsidRPr="001D228D">
        <w:t xml:space="preserve">low meters should be verified (0.5–1.0 L·min⁻¹) and dew-point sensors checked for linearity across 0–100 % RH. Zero-flow offsets are recorded at the start of each session to remove baseline drift </w:t>
      </w:r>
      <w:sdt>
        <w:sdtPr>
          <w:rPr>
            <w:color w:val="000000"/>
          </w:rPr>
          <w:tag w:val="MENDELEY_CITATION_v3_eyJjaXRhdGlvbklEIjoiTUVOREVMRVlfQ0lUQVRJT05fOTE0NzZlMTYtM2Y5Zi00ZTQyLWI1YTItN2M1YzlkNDRlZjAy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476575155"/>
          <w:placeholder>
            <w:docPart w:val="DefaultPlaceholder_-1854013440"/>
          </w:placeholder>
        </w:sdtPr>
        <w:sdtContent>
          <w:r w:rsidR="00B43409" w:rsidRPr="00B43409">
            <w:rPr>
              <w:color w:val="000000"/>
            </w:rPr>
            <w:t>[3]</w:t>
          </w:r>
        </w:sdtContent>
      </w:sdt>
      <w:r w:rsidRPr="001D228D">
        <w:t xml:space="preserve">. Capacitive or dielectric probes are calibrated against saturated-salt humidity standards to map raw voltage to relative humidity. </w:t>
      </w:r>
    </w:p>
    <w:p w14:paraId="4C623F93" w14:textId="1E30B3D6" w:rsidR="00CE64DB" w:rsidRPr="002C2D0F" w:rsidRDefault="00CE64DB" w:rsidP="002F3198">
      <w:r w:rsidRPr="002C2D0F">
        <w:rPr>
          <w:b/>
          <w:bCs/>
        </w:rPr>
        <w:t xml:space="preserve">Local </w:t>
      </w:r>
      <w:r>
        <w:rPr>
          <w:b/>
          <w:bCs/>
          <w:lang w:val="en-US"/>
        </w:rPr>
        <w:t>s</w:t>
      </w:r>
      <w:r w:rsidRPr="002C2D0F">
        <w:rPr>
          <w:b/>
          <w:bCs/>
        </w:rPr>
        <w:t xml:space="preserve">weat </w:t>
      </w:r>
      <w:r>
        <w:rPr>
          <w:b/>
          <w:bCs/>
          <w:lang w:val="en-US"/>
        </w:rPr>
        <w:t>r</w:t>
      </w:r>
      <w:r w:rsidRPr="002C2D0F">
        <w:rPr>
          <w:b/>
          <w:bCs/>
        </w:rPr>
        <w:t>ate (LSR)</w:t>
      </w:r>
      <w:r>
        <w:rPr>
          <w:lang w:val="en-US"/>
        </w:rPr>
        <w:t xml:space="preserve">. Some </w:t>
      </w:r>
      <w:r w:rsidRPr="002C2D0F">
        <w:t>wearable</w:t>
      </w:r>
      <w:r>
        <w:rPr>
          <w:lang w:val="en-US"/>
        </w:rPr>
        <w:t>s</w:t>
      </w:r>
      <w:r w:rsidRPr="002C2D0F">
        <w:t xml:space="preserve"> require a </w:t>
      </w:r>
      <w:r>
        <w:rPr>
          <w:lang w:val="en-US"/>
        </w:rPr>
        <w:t>set</w:t>
      </w:r>
      <w:r w:rsidRPr="002C2D0F">
        <w:t xml:space="preserve"> stabilisation period within an environmental chamber prior to data collection. This period is used to assess an individual "offset number", which is later subtracted from the raw score </w:t>
      </w:r>
      <w:r w:rsidRPr="002C2D0F">
        <w:lastRenderedPageBreak/>
        <w:t xml:space="preserve">during analysis to yield standardised LSR values </w:t>
      </w:r>
      <w:sdt>
        <w:sdtPr>
          <w:rPr>
            <w:color w:val="000000"/>
          </w:rPr>
          <w:tag w:val="MENDELEY_CITATION_v3_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"/>
          <w:id w:val="1652865354"/>
          <w:placeholder>
            <w:docPart w:val="DefaultPlaceholder_-1854013440"/>
          </w:placeholder>
        </w:sdtPr>
        <w:sdtContent>
          <w:r w:rsidR="00B43409" w:rsidRPr="00B43409">
            <w:rPr>
              <w:color w:val="000000"/>
            </w:rPr>
            <w:t>[253]</w:t>
          </w:r>
        </w:sdtContent>
      </w:sdt>
      <w:r w:rsidRPr="002C2D0F">
        <w:t>. For colorimetric microfluidic (epifluidic) devices, calibration is integrated into the device hardware through the printing of reference markers (e.g., a white centre</w:t>
      </w:r>
      <w:r>
        <w:rPr>
          <w:lang w:val="en-US"/>
        </w:rPr>
        <w:t>e</w:t>
      </w:r>
      <w:r w:rsidRPr="002C2D0F">
        <w:t xml:space="preserve"> dot and four black crosses)</w:t>
      </w:r>
      <w:r>
        <w:t xml:space="preserve"> </w:t>
      </w:r>
      <w:sdt>
        <w:sdtPr>
          <w:rPr>
            <w:color w:val="000000"/>
          </w:rPr>
          <w:tag w:val="MENDELEY_CITATION_v3_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lBhaWsiLCJnaXZlbiI6IlVuZ3l1Iiwibm9uLWRyb3BwaW5nLXBhcnRpY2xlIjoiIiwicGFyc2UtbmFtZXMiOmZhbHNlLCJzdWZmaXgiOiIifSx7ImRyb3BwaW5nLXBhcnRpY2xlIjoiIiwiZmFtaWx5IjoiU2xlcGlhbiIsImdpdmVuIjoiTWFydmluIEoiLCJub24tZHJvcHBpbmctcGFydGljbGUiOiIiLCJwYXJzZS1uYW1lcyI6ZmFsc2UsInN1ZmZpeCI6IiJ9LHsiZHJvcHBpbmctcGFydGljbGUiOiIiLCJmYW1pbHkiOiJCYWxvb2NoIiwiZ2l2ZW4iOiJHdWl2ZS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"/>
          <w:id w:val="-407075682"/>
          <w:placeholder>
            <w:docPart w:val="DefaultPlaceholder_-1854013440"/>
          </w:placeholder>
        </w:sdtPr>
        <w:sdtContent>
          <w:r w:rsidR="00B43409" w:rsidRPr="00B43409">
            <w:rPr>
              <w:color w:val="000000"/>
            </w:rPr>
            <w:t>[191]</w:t>
          </w:r>
        </w:sdtContent>
      </w:sdt>
      <w:r w:rsidRPr="002C2D0F">
        <w:t xml:space="preserve">. These markers </w:t>
      </w:r>
      <w:r>
        <w:t>enable software to perform automatic white balancing and position calibration, eliminating measurement errors caused by varying lighting conditions (daylight vs</w:t>
      </w:r>
      <w:r w:rsidRPr="002C2D0F">
        <w:t xml:space="preserve"> shadow) or device orientation </w:t>
      </w:r>
      <w:sdt>
        <w:sdtPr>
          <w:rPr>
            <w:color w:val="000000"/>
          </w:rPr>
          <w:tag w:val="MENDELEY_CITATION_v3_eyJjaXRhdGlvbklEIjoiTUVOREVMRVlfQ0lUQVRJT05fMGI2MjI0MDMtODJmOS00YTRkLWE0MzYtZDcyZThmODgxNDRmIiwicHJvcGVydGllcyI6eyJub3RlSW5kZXgiOjB9LCJpc0VkaXRlZCI6ZmFsc2UsIm1hbnVhbE92ZXJyaWRlIjp7ImNpdGVwcm9jVGV4dCI6IlsxOTEsMjU0X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LHsiaWQiOiI5MTAzMGMwNC0wMWRiLTUyNjUtOWRjZC05M2VjZWVjYmQ3ODMiLCJpdGVtRGF0YSI6eyJET0kiOiIxMC4xMTI2L3NjaWFkdi5hYXIzOTIxIiwiSVNTTiI6IjIzNzUtMjU0OCIsImFic3RyYWN0IjoiVGhlIGFkdmFuY2VzIGluIHN3ZWF0IGNvbGxlY3Rpb24gYW5kIGFuYWx5dGljcyBmb2xsb3cgZnJvbSBhIGNvbnZlcmdlbmNlIG9mIGVsZWN0cm9uaWNzLCBlbGVjdHJvY2hlbWlzdHJ5LCBhbmQgbWljcm9mbHVpZGljcy4iLCJhdXRob3IiOlt7ImRyb3BwaW5nLXBhcnRpY2xlIjoiIiwiZmFtaWx5IjoiQ2hvaSIsImdpdmVuIjoiSnVuZ2ls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"/>
          <w:id w:val="-71276100"/>
          <w:placeholder>
            <w:docPart w:val="DefaultPlaceholder_-1854013440"/>
          </w:placeholder>
        </w:sdtPr>
        <w:sdtContent>
          <w:r w:rsidR="00B43409" w:rsidRPr="00B43409">
            <w:rPr>
              <w:color w:val="000000"/>
            </w:rPr>
            <w:t>[191,254]</w:t>
          </w:r>
        </w:sdtContent>
      </w:sdt>
      <w:r w:rsidRPr="002C2D0F">
        <w:t>.</w:t>
      </w:r>
    </w:p>
    <w:p w14:paraId="702DBB79" w14:textId="4A7885E5" w:rsidR="00CE64DB" w:rsidRPr="002C2D0F" w:rsidRDefault="00CE64DB" w:rsidP="002C2D0F">
      <w:r w:rsidRPr="002C2D0F">
        <w:rPr>
          <w:b/>
          <w:bCs/>
        </w:rPr>
        <w:t xml:space="preserve">Sweat </w:t>
      </w:r>
      <w:r>
        <w:rPr>
          <w:b/>
          <w:bCs/>
          <w:lang w:val="en-US"/>
        </w:rPr>
        <w:t>c</w:t>
      </w:r>
      <w:r w:rsidRPr="002C2D0F">
        <w:rPr>
          <w:b/>
          <w:bCs/>
        </w:rPr>
        <w:t xml:space="preserve">omposition and </w:t>
      </w:r>
      <w:r>
        <w:rPr>
          <w:b/>
          <w:bCs/>
          <w:lang w:val="en-US"/>
        </w:rPr>
        <w:t>b</w:t>
      </w:r>
      <w:r w:rsidRPr="002C2D0F">
        <w:rPr>
          <w:b/>
          <w:bCs/>
        </w:rPr>
        <w:t xml:space="preserve">iochemical </w:t>
      </w:r>
      <w:r>
        <w:rPr>
          <w:b/>
          <w:bCs/>
          <w:lang w:val="en-US"/>
        </w:rPr>
        <w:t>a</w:t>
      </w:r>
      <w:r w:rsidRPr="002C2D0F">
        <w:rPr>
          <w:b/>
          <w:bCs/>
        </w:rPr>
        <w:t>nalysis</w:t>
      </w:r>
      <w:r>
        <w:rPr>
          <w:lang w:val="en-US"/>
        </w:rPr>
        <w:t xml:space="preserve">. </w:t>
      </w:r>
      <w:r w:rsidRPr="00A466F4">
        <w:t>Calibration of analytical equipment is essential for quantifying sweat electrolytes. Handheld ion-selective electrode (ISE) analysers require frequent calibration (approximately every 10 measurements) to prevent instrument drift</w:t>
      </w:r>
      <w:r>
        <w:t xml:space="preserve"> </w:t>
      </w:r>
      <w:sdt>
        <w:sdtPr>
          <w:rPr>
            <w:color w:val="000000"/>
          </w:rPr>
          <w:tag w:val="MENDELEY_CITATION_v3_eyJjaXRhdGlvbklEIjoiTUVOREVMRVlfQ0lUQVRJT05fZDA5YTIzZTYtNTFlOC00ZmQ4LTgyMjItOTRiN2NhZTUxYjRkIiwicHJvcGVydGllcyI6eyJub3RlSW5kZXgiOjB9LCJpc0VkaXRlZCI6ZmFsc2UsIm1hbnVhbE92ZXJyaWRlIjp7ImNpdGVwcm9jVGV4dCI6IlsxODdd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
          <w:id w:val="-725222962"/>
          <w:placeholder>
            <w:docPart w:val="DefaultPlaceholder_-1854013440"/>
          </w:placeholder>
        </w:sdtPr>
        <w:sdtContent>
          <w:r w:rsidR="00B43409" w:rsidRPr="00B43409">
            <w:rPr>
              <w:color w:val="000000"/>
            </w:rPr>
            <w:t>[187]</w:t>
          </w:r>
        </w:sdtContent>
      </w:sdt>
      <w:r w:rsidRPr="002C2D0F">
        <w:t xml:space="preserve">. </w:t>
      </w:r>
      <w:r w:rsidRPr="00A466F4">
        <w:t>A 2-point calibration is used for sodium with 150 ppm and 2000 ppm standard solutions, while a 1-point calibration (150 ppm) is used for potassium</w:t>
      </w:r>
      <w:r>
        <w:rPr>
          <w:lang w:val="en-US"/>
        </w:rPr>
        <w:t xml:space="preserve"> </w:t>
      </w:r>
      <w:sdt>
        <w:sdtPr>
          <w:rPr>
            <w:color w:val="000000"/>
            <w:lang w:val="en-US"/>
          </w:rPr>
          <w:tag w:val="MENDELEY_CITATION_v3_eyJjaXRhdGlvbklEIjoiTUVOREVMRVlfQ0lUQVRJT05fOWQ0MjQ2MmItYTVhNi00Njc0LThiMmEtODRjYzNiMzQ5YzA3IiwicHJvcGVydGllcyI6eyJub3RlSW5kZXgiOjB9LCJpc0VkaXRlZCI6ZmFsc2UsIm1hbnVhbE92ZXJyaWRlIjp7ImNpdGVwcm9jVGV4dCI6IlsxODdd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
          <w:id w:val="988979732"/>
          <w:placeholder>
            <w:docPart w:val="DefaultPlaceholder_-1854013440"/>
          </w:placeholder>
        </w:sdtPr>
        <w:sdtEndPr>
          <w:rPr>
            <w:lang w:val="en-GB"/>
          </w:rPr>
        </w:sdtEndPr>
        <w:sdtContent>
          <w:r w:rsidR="00B43409" w:rsidRPr="00B43409">
            <w:rPr>
              <w:color w:val="000000"/>
            </w:rPr>
            <w:t>[187]</w:t>
          </w:r>
        </w:sdtContent>
      </w:sdt>
      <w:r w:rsidRPr="002C2D0F">
        <w:t xml:space="preserve">. </w:t>
      </w:r>
      <w:r w:rsidRPr="00A466F4">
        <w:t>Conductivity-based systems are calibrated using distilled cold water according to manufacturer guidelines before samples are processed</w:t>
      </w:r>
      <w:r>
        <w:t xml:space="preserve"> </w:t>
      </w:r>
      <w:sdt>
        <w:sdtPr>
          <w:rPr>
            <w:color w:val="000000"/>
          </w:rPr>
          <w:tag w:val="MENDELEY_CITATION_v3_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"/>
          <w:id w:val="471564032"/>
          <w:placeholder>
            <w:docPart w:val="DefaultPlaceholder_-1854013440"/>
          </w:placeholder>
        </w:sdtPr>
        <w:sdtContent>
          <w:r w:rsidR="00B43409" w:rsidRPr="00B43409">
            <w:rPr>
              <w:color w:val="000000"/>
            </w:rPr>
            <w:t>[253]</w:t>
          </w:r>
        </w:sdtContent>
      </w:sdt>
      <w:r w:rsidRPr="002C2D0F">
        <w:t xml:space="preserve">. </w:t>
      </w:r>
      <w:r w:rsidRPr="00A466F4">
        <w:t>For patch-based collection, background sodium, chloride, and other electrolyte concentrations are determined from unexposed patches and used as correction factors</w:t>
      </w:r>
      <w:r w:rsidRPr="002C2D0F">
        <w:t xml:space="preserve"> </w:t>
      </w:r>
      <w:sdt>
        <w:sdtPr>
          <w:rPr>
            <w:color w:val="000000"/>
          </w:rPr>
          <w:tag w:val="MENDELEY_CITATION_v3_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"/>
          <w:id w:val="141319697"/>
          <w:placeholder>
            <w:docPart w:val="DefaultPlaceholder_-1854013440"/>
          </w:placeholder>
        </w:sdtPr>
        <w:sdtContent>
          <w:r w:rsidR="00B43409" w:rsidRPr="00B43409">
            <w:rPr>
              <w:color w:val="000000"/>
            </w:rPr>
            <w:t>[255]</w:t>
          </w:r>
        </w:sdtContent>
      </w:sdt>
      <w:r w:rsidRPr="002C2D0F">
        <w:t xml:space="preserve">. </w:t>
      </w:r>
      <w:r>
        <w:t>C</w:t>
      </w:r>
      <w:r w:rsidRPr="00714937">
        <w:t>olorimetric assays for biomarkers like chloride are calibrated by filling devices with known stock solutions (e.g., 25, 50, 75, and 100 mM) to produce a calibration curve or reference colour dial for image-based quantitation</w:t>
      </w:r>
      <w:r w:rsidRPr="002C2D0F">
        <w:t xml:space="preserve"> </w:t>
      </w:r>
      <w:sdt>
        <w:sdtPr>
          <w:rPr>
            <w:color w:val="000000"/>
          </w:rPr>
          <w:tag w:val="MENDELEY_CITATION_v3_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"/>
          <w:id w:val="1955825638"/>
          <w:placeholder>
            <w:docPart w:val="DefaultPlaceholder_-1854013440"/>
          </w:placeholder>
        </w:sdtPr>
        <w:sdtContent>
          <w:r w:rsidR="00B43409" w:rsidRPr="00B43409">
            <w:rPr>
              <w:color w:val="000000"/>
            </w:rPr>
            <w:t>[192]</w:t>
          </w:r>
        </w:sdtContent>
      </w:sdt>
      <w:r w:rsidRPr="002C2D0F">
        <w:t>.</w:t>
      </w:r>
    </w:p>
    <w:p w14:paraId="257DFF54" w14:textId="164EE526" w:rsidR="00CE64DB" w:rsidRPr="006A2D77" w:rsidRDefault="00CE64DB" w:rsidP="001150F4">
      <w:r w:rsidRPr="002C2D0F">
        <w:rPr>
          <w:b/>
          <w:bCs/>
        </w:rPr>
        <w:t xml:space="preserve">Electrodermal </w:t>
      </w:r>
      <w:r>
        <w:rPr>
          <w:b/>
          <w:bCs/>
          <w:lang w:val="en-US"/>
        </w:rPr>
        <w:t>a</w:t>
      </w:r>
      <w:r w:rsidRPr="002C2D0F">
        <w:rPr>
          <w:b/>
          <w:bCs/>
        </w:rPr>
        <w:t>ctivity (EDA)</w:t>
      </w:r>
      <w:r>
        <w:rPr>
          <w:lang w:val="en-US"/>
        </w:rPr>
        <w:t xml:space="preserve">. </w:t>
      </w:r>
      <w:r w:rsidRPr="00192CCA">
        <w:t>Calibration for EDA involves electronic standardisation to manage the wide dynamic range of skin conductance. Wheatstone bridge circuits can be used to cancel out (or "balance") the large tonic skin conductance level so that small phasic responses can be resolved</w:t>
      </w:r>
      <w:r>
        <w:t xml:space="preserve"> </w:t>
      </w:r>
      <w:sdt>
        <w:sdtPr>
          <w:rPr>
            <w:color w:val="000000"/>
          </w:rPr>
          <w:tag w:val="MENDELEY_CITATION_v3_eyJjaXRhdGlvbklEIjoiTUVOREVMRVlfQ0lUQVRJT05fMmEzMjM5YTktOTcyNy00NDZlLWI2NjItNTMwYzk0ZjhiNGJl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856928011"/>
          <w:placeholder>
            <w:docPart w:val="DefaultPlaceholder_-1854013440"/>
          </w:placeholder>
        </w:sdtPr>
        <w:sdtContent>
          <w:r w:rsidR="00B43409" w:rsidRPr="00B43409">
            <w:rPr>
              <w:color w:val="000000"/>
            </w:rPr>
            <w:t>[11]</w:t>
          </w:r>
        </w:sdtContent>
      </w:sdt>
      <w:r>
        <w:rPr>
          <w:lang w:val="en-US"/>
        </w:rPr>
        <w:t>.</w:t>
      </w:r>
      <w:r w:rsidRPr="002C2D0F">
        <w:t xml:space="preserve"> </w:t>
      </w:r>
      <w:r w:rsidRPr="00D50200">
        <w:t>Using adjustable resistors—such as a 10-turn potentiometer where each complete turn cancels out 10 μmhos—the experimenter balances the bridge to achieve an optimal amplifier sensitivity (e.g., 1 mV/cm)</w:t>
      </w:r>
      <w:r>
        <w:t xml:space="preserve"> </w:t>
      </w:r>
      <w:sdt>
        <w:sdtPr>
          <w:rPr>
            <w:color w:val="000000"/>
          </w:rPr>
          <w:tag w:val="MENDELEY_CITATION_v3_eyJjaXRhdGlvbklEIjoiTUVOREVMRVlfQ0lUQVRJT05fNTg0YTlmMWEtOWNhZC00ZTQzLWI2MzMtYTRkNDMwNDA2ZjU3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592289889"/>
          <w:placeholder>
            <w:docPart w:val="DefaultPlaceholder_-1854013440"/>
          </w:placeholder>
        </w:sdtPr>
        <w:sdtContent>
          <w:r w:rsidR="00B43409" w:rsidRPr="00B43409">
            <w:rPr>
              <w:color w:val="000000"/>
            </w:rPr>
            <w:t>[11]</w:t>
          </w:r>
        </w:sdtContent>
      </w:sdt>
      <w:r w:rsidRPr="002C2D0F">
        <w:t xml:space="preserve">. </w:t>
      </w:r>
      <w:r w:rsidRPr="00D50200">
        <w:t>Modern high-resolution analog-to-digital converters often bypass the need for this separate circuitry, instead using adaptive gain controls or high-pass filtering to compress the dynamic range and manage slow-varying baseline drift</w:t>
      </w:r>
      <w:r>
        <w:t xml:space="preserve"> </w:t>
      </w:r>
      <w:sdt>
        <w:sdtPr>
          <w:rPr>
            <w:color w:val="000000"/>
          </w:rPr>
          <w:tag w:val="MENDELEY_CITATION_v3_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"/>
          <w:id w:val="1269046136"/>
          <w:placeholder>
            <w:docPart w:val="DefaultPlaceholder_-1854013440"/>
          </w:placeholder>
        </w:sdtPr>
        <w:sdtContent>
          <w:r w:rsidR="00B43409" w:rsidRPr="00B43409">
            <w:rPr>
              <w:color w:val="000000"/>
            </w:rPr>
            <w:t>[256]</w:t>
          </w:r>
        </w:sdtContent>
      </w:sdt>
      <w:r w:rsidRPr="002C2D0F">
        <w:t>.</w:t>
      </w:r>
      <w:r>
        <w:t xml:space="preserve"> </w:t>
      </w:r>
    </w:p>
    <w:p w14:paraId="6DB9026B" w14:textId="77777777" w:rsidR="00CE64DB" w:rsidRPr="001D228D" w:rsidRDefault="00CE64DB" w:rsidP="007A2440">
      <w:pPr>
        <w:pStyle w:val="Heading4"/>
        <w:rPr>
          <w:lang w:val="en-GB"/>
        </w:rPr>
      </w:pPr>
      <w:r w:rsidRPr="001D228D">
        <w:rPr>
          <w:lang w:val="en-GB"/>
        </w:rPr>
        <w:t>Data cleaning and correction</w:t>
      </w:r>
    </w:p>
    <w:p w14:paraId="6D9EB8F5" w14:textId="77777777" w:rsidR="00CE64DB" w:rsidRPr="00943477" w:rsidRDefault="00CE64DB" w:rsidP="00652687">
      <w:pPr>
        <w:pStyle w:val="Heading4"/>
        <w:numPr>
          <w:ilvl w:val="4"/>
          <w:numId w:val="1"/>
        </w:numPr>
        <w:ind w:left="810"/>
        <w:rPr>
          <w:lang w:val="en-GB"/>
        </w:rPr>
      </w:pPr>
      <w:r w:rsidRPr="00943477">
        <w:rPr>
          <w:lang w:val="en-GB"/>
        </w:rPr>
        <w:t>Local Sweat Rate (LSR)</w:t>
      </w:r>
    </w:p>
    <w:p w14:paraId="7D2A7308" w14:textId="17A02BE4" w:rsidR="00CE64DB" w:rsidRPr="00C07C34" w:rsidRDefault="00CE64DB" w:rsidP="00DA7EA4">
      <w:pPr>
        <w:rPr>
          <w:lang w:val="en-US"/>
        </w:rPr>
      </w:pPr>
      <w:r w:rsidRPr="00943477">
        <w:rPr>
          <w:b/>
          <w:bCs/>
        </w:rPr>
        <w:t xml:space="preserve">Filtering for </w:t>
      </w:r>
      <w:r>
        <w:rPr>
          <w:b/>
          <w:bCs/>
          <w:lang w:val="en-US"/>
        </w:rPr>
        <w:t>n</w:t>
      </w:r>
      <w:r w:rsidRPr="00943477">
        <w:rPr>
          <w:b/>
          <w:bCs/>
        </w:rPr>
        <w:t>oise</w:t>
      </w:r>
      <w:r>
        <w:rPr>
          <w:b/>
          <w:bCs/>
          <w:lang w:val="en-US"/>
        </w:rPr>
        <w:t>.</w:t>
      </w:r>
      <w:r w:rsidRPr="00943477">
        <w:t xml:space="preserve"> Data integrity for LSR begins with rigorous skin preparation; sites are cleaned with alcohol and deionised water, then dried thoroughly to remove sebum and residual minerals</w:t>
      </w:r>
      <w:r>
        <w:rPr>
          <w:lang w:val="en-US"/>
        </w:rPr>
        <w:t xml:space="preserve"> </w:t>
      </w:r>
      <w:sdt>
        <w:sdtPr>
          <w:rPr>
            <w:color w:val="000000"/>
            <w:lang w:val="en-US"/>
          </w:rPr>
          <w:tag w:val="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"/>
          <w:id w:val="-384874700"/>
          <w:placeholder>
            <w:docPart w:val="DefaultPlaceholder_-1854013440"/>
          </w:placeholder>
        </w:sdtPr>
        <w:sdtEndPr>
          <w:rPr>
            <w:lang w:val="en-GB"/>
          </w:rPr>
        </w:sdtEndPr>
        <w:sdtContent>
          <w:r w:rsidR="00B43409" w:rsidRPr="00B43409">
            <w:rPr>
              <w:color w:val="000000"/>
            </w:rPr>
            <w:t>[255,257,258]</w:t>
          </w:r>
        </w:sdtContent>
      </w:sdt>
      <w:r w:rsidRPr="00943477">
        <w:t xml:space="preserve">. </w:t>
      </w:r>
      <w:r>
        <w:t>T</w:t>
      </w:r>
      <w:r w:rsidRPr="00F838F0">
        <w:t>o "flush" the sweat ducts of old sweat and surface contaminants, the first 20–30 minutes of sweat is often wiped away before actual collection begins</w:t>
      </w:r>
      <w:r>
        <w:t xml:space="preserve">. </w:t>
      </w:r>
      <w:r w:rsidRPr="00912B15">
        <w:t>To filter out "reactive error" and prevent hidromeiosis (suppression of sweating caused by skin wettedness), ventilated capsules are supplied with dry air or nitrogen at flow rates typically between 0.4 and 2.0 L/min</w:t>
      </w:r>
      <w:r w:rsidRPr="00943477">
        <w:t xml:space="preserve"> </w:t>
      </w:r>
      <w:sdt>
        <w:sdtPr>
          <w:rPr>
            <w:color w:val="000000"/>
          </w:rPr>
          <w:tag w:val="MENDELEY_CITATION_v3_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QW9raSIsImdpdmVuIjoiSy4iLCJub24tZHJvcHBpbmctcGFydGljbGUiOiIiLCJwYXJzZS1uYW1lcyI6ZmFsc2UsInN1ZmZpeCI6IiJ9LHsiZHJvcHBpbmctcGFydGljbGUiOiIiLCJmYW1pbHkiOiJTaGliYXNha2kiLCJnaXZlbiI6Ik0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"/>
          <w:id w:val="1642065557"/>
          <w:placeholder>
            <w:docPart w:val="DefaultPlaceholder_-1854013440"/>
          </w:placeholder>
        </w:sdtPr>
        <w:sdtContent>
          <w:r w:rsidR="00B43409" w:rsidRPr="00B43409">
            <w:rPr>
              <w:color w:val="000000"/>
            </w:rPr>
            <w:t>[49,181,193,198,259]</w:t>
          </w:r>
        </w:sdtContent>
      </w:sdt>
      <w:r w:rsidRPr="00943477">
        <w:t xml:space="preserve">. </w:t>
      </w:r>
      <w:r w:rsidRPr="00912B15">
        <w:t xml:space="preserve">In patch-based collection, noise from solid skin contaminants is filtered via centrifugation </w:t>
      </w:r>
      <w:r>
        <w:t xml:space="preserve">or </w:t>
      </w:r>
      <w:r w:rsidRPr="00912B15">
        <w:t>a syringe compression method to isolate pure sweat fluid from the absorbent material</w:t>
      </w:r>
      <w:r w:rsidRPr="00943477">
        <w:t xml:space="preserve"> </w:t>
      </w:r>
      <w:sdt>
        <w:sdtPr>
          <w:rPr>
            <w:color w:val="000000"/>
          </w:rPr>
          <w:tag w:val="MENDELEY_CITATION_v3_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"/>
          <w:id w:val="-1833132100"/>
          <w:placeholder>
            <w:docPart w:val="DefaultPlaceholder_-1854013440"/>
          </w:placeholder>
        </w:sdtPr>
        <w:sdtContent>
          <w:r w:rsidR="00B43409" w:rsidRPr="00B43409">
            <w:rPr>
              <w:color w:val="000000"/>
            </w:rPr>
            <w:t>[193,255,257]</w:t>
          </w:r>
        </w:sdtContent>
      </w:sdt>
      <w:r>
        <w:rPr>
          <w:lang w:val="en-US"/>
        </w:rPr>
        <w:t>.</w:t>
      </w:r>
    </w:p>
    <w:p w14:paraId="608BE6A0" w14:textId="39B82325" w:rsidR="00CE64DB" w:rsidRPr="00943477" w:rsidRDefault="00CE64DB" w:rsidP="00DA7EA4">
      <w:r w:rsidRPr="00943477">
        <w:rPr>
          <w:b/>
          <w:bCs/>
        </w:rPr>
        <w:t>Normalisation</w:t>
      </w:r>
      <w:r>
        <w:rPr>
          <w:b/>
          <w:bCs/>
          <w:lang w:val="en-US"/>
        </w:rPr>
        <w:t>.</w:t>
      </w:r>
      <w:r w:rsidRPr="00943477">
        <w:t xml:space="preserve"> LSR is standardly normalised gravimetrically by calculating the mass of the sweat (wet patch minus dry patch mass) divided by the skin surface area and the duration of application, expressed as</w:t>
      </w:r>
      <w:r>
        <w:rPr>
          <w:lang w:val="en-US"/>
        </w:rPr>
        <w:t xml:space="preserve"> </w:t>
      </w:r>
      <w:r w:rsidRPr="002B0691">
        <w:rPr>
          <w:i/>
          <w:iCs/>
          <w:lang w:val="en-US"/>
        </w:rPr>
        <w:t>mg·cm</w:t>
      </w:r>
      <w:r w:rsidRPr="002B0691">
        <w:rPr>
          <w:i/>
          <w:iCs/>
          <w:vertAlign w:val="superscript"/>
          <w:lang w:val="en-US"/>
        </w:rPr>
        <w:t>-2</w:t>
      </w:r>
      <w:r w:rsidRPr="002B0691">
        <w:rPr>
          <w:i/>
          <w:iCs/>
          <w:lang w:val="en-US"/>
        </w:rPr>
        <w:t>·min</w:t>
      </w:r>
      <w:r w:rsidRPr="002B0691">
        <w:rPr>
          <w:i/>
          <w:iCs/>
          <w:vertAlign w:val="superscript"/>
          <w:lang w:val="en-US"/>
        </w:rPr>
        <w:t>-1</w:t>
      </w:r>
      <w:r>
        <w:rPr>
          <w:vertAlign w:val="superscript"/>
          <w:lang w:val="en-US"/>
        </w:rPr>
        <w:t xml:space="preserve"> </w:t>
      </w:r>
      <w:sdt>
        <w:sdtPr>
          <w:rPr>
            <w:color w:val="000000"/>
            <w:lang w:val="en-US"/>
          </w:rPr>
          <w:tag w:val="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"/>
          <w:id w:val="-1284265418"/>
          <w:placeholder>
            <w:docPart w:val="DefaultPlaceholder_-1854013440"/>
          </w:placeholder>
        </w:sdtPr>
        <w:sdtEndPr>
          <w:rPr>
            <w:lang w:val="en-GB"/>
          </w:rPr>
        </w:sdtEndPr>
        <w:sdtContent>
          <w:r w:rsidR="00B43409" w:rsidRPr="00B43409">
            <w:rPr>
              <w:color w:val="000000"/>
            </w:rPr>
            <w:t>[255,260]</w:t>
          </w:r>
        </w:sdtContent>
      </w:sdt>
      <w:r w:rsidRPr="00943477">
        <w:t xml:space="preserve">. To account for session-to-session variability, regional sweat rates may be standardised against the individual’s </w:t>
      </w:r>
      <w:r w:rsidRPr="00652687">
        <w:t>Gross Sweat Loss (GSL)</w:t>
      </w:r>
      <w:r w:rsidRPr="00943477">
        <w:t xml:space="preserve"> </w:t>
      </w:r>
      <w:sdt>
        <w:sdtPr>
          <w:rPr>
            <w:color w:val="000000"/>
          </w:rPr>
          <w:tag w:val="MENDELEY_CITATION_v3_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"/>
          <w:id w:val="919759159"/>
          <w:placeholder>
            <w:docPart w:val="DefaultPlaceholder_-1854013440"/>
          </w:placeholder>
        </w:sdtPr>
        <w:sdtContent>
          <w:r w:rsidR="00B43409" w:rsidRPr="00B43409">
            <w:rPr>
              <w:color w:val="000000"/>
            </w:rPr>
            <w:t>[260]</w:t>
          </w:r>
        </w:sdtContent>
      </w:sdt>
      <w:r w:rsidRPr="00943477">
        <w:t>. Furthermore, mathematical modelling uses sensitivity coefficients to weight skin areas based on their thermal sensor density</w:t>
      </w:r>
      <w:r>
        <w:rPr>
          <w:lang w:val="en-US"/>
        </w:rPr>
        <w:t xml:space="preserve"> </w:t>
      </w:r>
      <w:sdt>
        <w:sdtPr>
          <w:rPr>
            <w:color w:val="000000"/>
            <w:lang w:val="en-US"/>
          </w:rPr>
          <w:tag w:val="MENDELEY_CITATION_v3_eyJjaXRhdGlvbklEIjoiTUVOREVMRVlfQ0lUQVRJT05fODFjYmZlMDYtMjI2Ni00YjI0LTkzNGQtNzk0ZWEwNzE5NWY1IiwicHJvcGVydGllcyI6eyJub3RlSW5kZXgiOjB9LCJpc0VkaXRlZCI6ZmFsc2UsIm1hbnVhbE92ZXJyaWRlIjp7ImNpdGVwcm9jVGV4dCI6Ils0LDk5X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1dfQ=="/>
          <w:id w:val="-369994987"/>
          <w:placeholder>
            <w:docPart w:val="DefaultPlaceholder_-1854013440"/>
          </w:placeholder>
        </w:sdtPr>
        <w:sdtEndPr>
          <w:rPr>
            <w:lang w:val="en-GB"/>
          </w:rPr>
        </w:sdtEndPr>
        <w:sdtContent>
          <w:r w:rsidR="00B43409" w:rsidRPr="00B43409">
            <w:rPr>
              <w:color w:val="000000"/>
            </w:rPr>
            <w:t>[4,99]</w:t>
          </w:r>
        </w:sdtContent>
      </w:sdt>
      <w:r w:rsidRPr="00943477">
        <w:t>.</w:t>
      </w:r>
    </w:p>
    <w:p w14:paraId="721B778A" w14:textId="33E7B60C" w:rsidR="00CE64DB" w:rsidRPr="00943477" w:rsidRDefault="00CE64DB" w:rsidP="00DA7EA4">
      <w:r w:rsidRPr="00943477">
        <w:rPr>
          <w:b/>
          <w:bCs/>
        </w:rPr>
        <w:t xml:space="preserve">Discarded </w:t>
      </w:r>
      <w:r>
        <w:rPr>
          <w:b/>
          <w:bCs/>
          <w:lang w:val="en-US"/>
        </w:rPr>
        <w:t>d</w:t>
      </w:r>
      <w:r w:rsidRPr="00943477">
        <w:rPr>
          <w:b/>
          <w:bCs/>
        </w:rPr>
        <w:t>ata</w:t>
      </w:r>
      <w:r>
        <w:rPr>
          <w:b/>
          <w:bCs/>
          <w:lang w:val="en-US"/>
        </w:rPr>
        <w:t>.</w:t>
      </w:r>
      <w:r w:rsidRPr="00943477">
        <w:t xml:space="preserve"> </w:t>
      </w:r>
      <w:r>
        <w:t>In exercise physiology studies, d</w:t>
      </w:r>
      <w:r w:rsidRPr="00943477">
        <w:t xml:space="preserve">ata from the </w:t>
      </w:r>
      <w:r w:rsidRPr="00652687">
        <w:t>first and last 20 minutes</w:t>
      </w:r>
      <w:r w:rsidRPr="00943477">
        <w:t xml:space="preserve"> of an exercise bout are often discarded in patch methods because they lack the temporal resolution to track the rapid onset and decay of sweating seen in continuous hygrometry</w:t>
      </w:r>
      <w:r>
        <w:rPr>
          <w:lang w:val="en-US"/>
        </w:rPr>
        <w:t xml:space="preserve"> </w:t>
      </w:r>
      <w:sdt>
        <w:sdtPr>
          <w:rPr>
            <w:color w:val="000000"/>
            <w:lang w:val="en-US"/>
          </w:rPr>
          <w:tag w:val="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"/>
          <w:id w:val="-343395880"/>
          <w:placeholder>
            <w:docPart w:val="DefaultPlaceholder_-1854013440"/>
          </w:placeholder>
        </w:sdtPr>
        <w:sdtEndPr>
          <w:rPr>
            <w:lang w:val="en-GB"/>
          </w:rPr>
        </w:sdtEndPr>
        <w:sdtContent>
          <w:r w:rsidR="00B43409" w:rsidRPr="00B43409">
            <w:rPr>
              <w:color w:val="000000"/>
            </w:rPr>
            <w:t>[194,261]</w:t>
          </w:r>
        </w:sdtContent>
      </w:sdt>
      <w:r w:rsidRPr="00943477">
        <w:t xml:space="preserve">. Additionally, some protocols discard the first 20–30 minutes of sweating to "flush" the sweat ducts of old sweat and contaminants </w:t>
      </w:r>
      <w:sdt>
        <w:sdtPr>
          <w:rPr>
            <w:color w:val="000000"/>
          </w:rPr>
          <w:tag w:val="MENDELEY_CITATION_v3_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"/>
          <w:id w:val="1804115187"/>
          <w:placeholder>
            <w:docPart w:val="DefaultPlaceholder_-1854013440"/>
          </w:placeholder>
        </w:sdtPr>
        <w:sdtContent>
          <w:r w:rsidR="00B43409" w:rsidRPr="00B43409">
            <w:rPr>
              <w:color w:val="000000"/>
            </w:rPr>
            <w:t>[257]</w:t>
          </w:r>
        </w:sdtContent>
      </w:sdt>
      <w:r w:rsidRPr="00943477">
        <w:t xml:space="preserve">. Duplicate measurements showing a major variance are handled by discarding the outlier and retaining the value best representing </w:t>
      </w:r>
      <w:r>
        <w:t xml:space="preserve">the </w:t>
      </w:r>
      <w:r w:rsidRPr="00943477">
        <w:t xml:space="preserve">area activation </w:t>
      </w:r>
      <w:sdt>
        <w:sdtPr>
          <w:rPr>
            <w:color w:val="000000"/>
          </w:rPr>
          <w:tag w:val="MENDELEY_CITATION_v3_eyJjaXRhdGlvbklEIjoiTUVOREVMRVlfQ0lUQVRJT05fMGQxYWU3NjMtYTcwNC00OTI5LWFiY2ItNWVmMmZkYjk4NTlmIiwicHJvcGVydGllcyI6eyJub3RlSW5kZXgiOjB9LCJpc0VkaXRlZCI6ZmFsc2UsIm1hbnVhbE92ZXJyaWRlIjp7ImNpdGVwcm9jVGV4dCI6IlsxOTMsMjYy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"/>
          <w:id w:val="-344250470"/>
          <w:placeholder>
            <w:docPart w:val="DefaultPlaceholder_-1854013440"/>
          </w:placeholder>
        </w:sdtPr>
        <w:sdtContent>
          <w:r w:rsidR="00B43409" w:rsidRPr="00B43409">
            <w:rPr>
              <w:color w:val="000000"/>
            </w:rPr>
            <w:t>[193,262]</w:t>
          </w:r>
        </w:sdtContent>
      </w:sdt>
      <w:r w:rsidRPr="00943477">
        <w:t>.</w:t>
      </w:r>
      <w:r>
        <w:t xml:space="preserve"> In sedentary studies, the initial minutes may show an overshoot effect depending on the </w:t>
      </w:r>
      <w:r w:rsidR="00F82A37">
        <w:t>change in exposure</w:t>
      </w:r>
      <w:r>
        <w:t xml:space="preserve"> from baseline; therefore, this could be a specific part of the analysis.</w:t>
      </w:r>
    </w:p>
    <w:p w14:paraId="22C5ED29" w14:textId="0AA3631B" w:rsidR="00CE64DB" w:rsidRDefault="00CE64DB" w:rsidP="00652687">
      <w:pPr>
        <w:rPr>
          <w:lang w:val="en-US"/>
        </w:rPr>
      </w:pPr>
      <w:r w:rsidRPr="00943477">
        <w:rPr>
          <w:b/>
          <w:bCs/>
        </w:rPr>
        <w:t xml:space="preserve">Typical </w:t>
      </w:r>
      <w:r>
        <w:rPr>
          <w:b/>
          <w:bCs/>
          <w:lang w:val="en-US"/>
        </w:rPr>
        <w:t>r</w:t>
      </w:r>
      <w:r w:rsidRPr="00943477">
        <w:rPr>
          <w:b/>
          <w:bCs/>
        </w:rPr>
        <w:t>anges</w:t>
      </w:r>
      <w:r>
        <w:rPr>
          <w:b/>
          <w:bCs/>
          <w:lang w:val="en-US"/>
        </w:rPr>
        <w:t>.</w:t>
      </w:r>
      <w:r w:rsidRPr="00943477">
        <w:t xml:space="preserve"> Regional variations are significant: </w:t>
      </w:r>
      <w:r>
        <w:t xml:space="preserve">under passive heat exposure at rest, </w:t>
      </w:r>
      <w:r w:rsidRPr="00943477">
        <w:t xml:space="preserve">the </w:t>
      </w:r>
      <w:r w:rsidRPr="007345A7">
        <w:t>forehead</w:t>
      </w:r>
      <w:r w:rsidRPr="00943477">
        <w:t xml:space="preserve"> ranges from 0.99 to 1.71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the </w:t>
      </w:r>
      <w:r w:rsidRPr="007345A7">
        <w:t>upper back</w:t>
      </w:r>
      <w:r w:rsidRPr="00943477">
        <w:t xml:space="preserve"> from 0.59 to 1.20</w:t>
      </w:r>
      <w:r>
        <w:rPr>
          <w:lang w:val="en-US"/>
        </w:rPr>
        <w:t xml:space="preserve">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and the </w:t>
      </w:r>
      <w:r w:rsidRPr="007345A7">
        <w:t>limbs</w:t>
      </w:r>
      <w:r w:rsidRPr="00943477">
        <w:t xml:space="preserve"> approximately 0.12</w:t>
      </w:r>
      <w:r>
        <w:rPr>
          <w:lang w:val="en-US"/>
        </w:rPr>
        <w:t xml:space="preserve"> </w:t>
      </w:r>
      <w:r w:rsidRPr="002B0691">
        <w:rPr>
          <w:lang w:val="en-US"/>
        </w:rPr>
        <w:t>mg</w:t>
      </w:r>
      <w:r>
        <w:rPr>
          <w:lang w:val="en-US"/>
        </w:rPr>
        <w:t>·</w:t>
      </w:r>
      <w:r w:rsidRPr="002B0691">
        <w:rPr>
          <w:lang w:val="en-US"/>
        </w:rPr>
        <w:t>cm</w:t>
      </w:r>
      <w:r w:rsidRPr="002B0691">
        <w:rPr>
          <w:vertAlign w:val="superscript"/>
          <w:lang w:val="en-US"/>
        </w:rPr>
        <w:t>-2</w:t>
      </w:r>
      <w:r>
        <w:rPr>
          <w:lang w:val="en-US"/>
        </w:rPr>
        <w:t>·</w:t>
      </w:r>
      <w:r w:rsidRPr="002B0691">
        <w:rPr>
          <w:lang w:val="en-US"/>
        </w:rPr>
        <w:t>min</w:t>
      </w:r>
      <w:r w:rsidRPr="002B0691">
        <w:rPr>
          <w:vertAlign w:val="superscript"/>
          <w:lang w:val="en-US"/>
        </w:rPr>
        <w:t>-1</w:t>
      </w:r>
      <w:r w:rsidRPr="00943477">
        <w:t xml:space="preserve"> </w:t>
      </w:r>
      <w:sdt>
        <w:sdtPr>
          <w:rPr>
            <w:color w:val="000000"/>
          </w:rPr>
          <w:tag w:val="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"/>
          <w:id w:val="-715500104"/>
          <w:placeholder>
            <w:docPart w:val="DefaultPlaceholder_-1854013440"/>
          </w:placeholder>
        </w:sdtPr>
        <w:sdtContent>
          <w:r w:rsidR="00B43409" w:rsidRPr="00B43409">
            <w:rPr>
              <w:color w:val="000000"/>
            </w:rPr>
            <w:t>[194,263]</w:t>
          </w:r>
        </w:sdtContent>
      </w:sdt>
      <w:r w:rsidRPr="00943477">
        <w:t>.</w:t>
      </w:r>
      <w:r>
        <w:t xml:space="preserve"> </w:t>
      </w:r>
    </w:p>
    <w:p w14:paraId="1E27F378" w14:textId="77777777" w:rsidR="00CE64DB" w:rsidRPr="007345A7" w:rsidRDefault="00CE64DB" w:rsidP="007345A7">
      <w:pPr>
        <w:pStyle w:val="Heading4"/>
        <w:numPr>
          <w:ilvl w:val="4"/>
          <w:numId w:val="1"/>
        </w:numPr>
        <w:ind w:left="810"/>
        <w:rPr>
          <w:lang w:val="en-GB"/>
        </w:rPr>
      </w:pPr>
      <w:r w:rsidRPr="007345A7">
        <w:rPr>
          <w:lang w:val="en-GB"/>
        </w:rPr>
        <w:lastRenderedPageBreak/>
        <w:t>Skin Wettedness (</w:t>
      </w:r>
      <w:r w:rsidRPr="003123D4">
        <w:t>ω</w:t>
      </w:r>
      <w:r w:rsidRPr="003123D4">
        <w:rPr>
          <w:vertAlign w:val="subscript"/>
        </w:rPr>
        <w:t>max</w:t>
      </w:r>
      <w:r w:rsidRPr="007345A7">
        <w:rPr>
          <w:lang w:val="en-GB"/>
        </w:rPr>
        <w:t>)</w:t>
      </w:r>
    </w:p>
    <w:p w14:paraId="7DB4178F" w14:textId="34D609A7" w:rsidR="00CE64DB" w:rsidRPr="00010EE1" w:rsidRDefault="00CE64DB" w:rsidP="00652687">
      <w:r w:rsidRPr="00010EE1">
        <w:rPr>
          <w:b/>
          <w:bCs/>
        </w:rPr>
        <w:t xml:space="preserve">Filtering for </w:t>
      </w:r>
      <w:r>
        <w:rPr>
          <w:b/>
          <w:bCs/>
          <w:lang w:val="en-US"/>
        </w:rPr>
        <w:t>n</w:t>
      </w:r>
      <w:r w:rsidRPr="00010EE1">
        <w:rPr>
          <w:b/>
          <w:bCs/>
        </w:rPr>
        <w:t>oise</w:t>
      </w:r>
      <w:r>
        <w:rPr>
          <w:b/>
          <w:bCs/>
          <w:lang w:val="en-US"/>
        </w:rPr>
        <w:t>.</w:t>
      </w:r>
      <w:r w:rsidRPr="00010EE1">
        <w:t xml:space="preserve"> </w:t>
      </w:r>
      <w:r w:rsidRPr="00874531">
        <w:t>Skin wettedness is a derived mathematical metric representing the proportion of the body surface covered by sweat</w:t>
      </w:r>
      <w:r w:rsidRPr="00010EE1">
        <w:t xml:space="preserve">. </w:t>
      </w:r>
      <w:r w:rsidRPr="0041170A">
        <w:t xml:space="preserve">The noise is filtered by identifying the critical ambient </w:t>
      </w:r>
      <w:r>
        <w:t>vapour</w:t>
      </w:r>
      <w:r w:rsidRPr="0041170A">
        <w:t xml:space="preserve"> pressure inflection point from core temperature graphs during a humidity ramp protocol, which isolates the exact transition from compensable to uncompensable heat stress</w:t>
      </w:r>
      <w:r w:rsidRPr="00010EE1">
        <w:t xml:space="preserve"> </w:t>
      </w:r>
      <w:sdt>
        <w:sdtPr>
          <w:rPr>
            <w:color w:val="000000"/>
          </w:rPr>
          <w:tag w:val="MENDELEY_CITATION_v3_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V19"/>
          <w:id w:val="155496928"/>
          <w:placeholder>
            <w:docPart w:val="DefaultPlaceholder_-1854013440"/>
          </w:placeholder>
        </w:sdtPr>
        <w:sdtContent>
          <w:r w:rsidR="00B43409" w:rsidRPr="00B43409">
            <w:rPr>
              <w:color w:val="000000"/>
            </w:rPr>
            <w:t>[193,259,264]</w:t>
          </w:r>
        </w:sdtContent>
      </w:sdt>
      <w:r w:rsidRPr="00010EE1">
        <w:t>.</w:t>
      </w:r>
    </w:p>
    <w:p w14:paraId="00F8C868" w14:textId="56588621" w:rsidR="00CE64DB" w:rsidRPr="00010EE1" w:rsidRDefault="00CE64DB" w:rsidP="00652687">
      <w:r w:rsidRPr="00010EE1">
        <w:rPr>
          <w:b/>
          <w:bCs/>
        </w:rPr>
        <w:t>Normalisation</w:t>
      </w:r>
      <w:r>
        <w:rPr>
          <w:b/>
          <w:bCs/>
          <w:lang w:val="en-US"/>
        </w:rPr>
        <w:t>.</w:t>
      </w:r>
      <w:r w:rsidRPr="00010EE1">
        <w:t xml:space="preserve"> </w:t>
      </w:r>
      <w:r w:rsidRPr="003123D4">
        <w:t>ω</w:t>
      </w:r>
      <w:r w:rsidRPr="003123D4">
        <w:rPr>
          <w:vertAlign w:val="subscript"/>
        </w:rPr>
        <w:t>max</w:t>
      </w:r>
      <w:r>
        <w:rPr>
          <w:vertAlign w:val="subscript"/>
        </w:rPr>
        <w:t xml:space="preserve"> </w:t>
      </w:r>
      <w:r w:rsidRPr="00010EE1">
        <w:t xml:space="preserve">is expressed as a </w:t>
      </w:r>
      <w:r w:rsidRPr="007345A7">
        <w:t>dimensionless ratio</w:t>
      </w:r>
      <w:r w:rsidRPr="00010EE1">
        <w:t xml:space="preserve"> (0.00 to 1.00), where 1.00 represents a skin surface 100% saturated with sweat </w:t>
      </w:r>
      <w:sdt>
        <w:sdtPr>
          <w:rPr>
            <w:color w:val="000000"/>
          </w:rPr>
          <w:tag w:val="MENDELEY_CITATION_v3_eyJjaXRhdGlvbklEIjoiTUVOREVMRVlfQ0lUQVRJT05fZDYzYWNkYmUtZWEzMS00MjEwLTkxY2MtMWMwNmNlNDQ2ZGQxIiwicHJvcGVydGllcyI6eyJub3RlSW5kZXgiOjB9LCJpc0VkaXRlZCI6ZmFsc2UsIm1hbnVhbE92ZXJyaWRlIjp7ImNpdGVwcm9jVGV4dCI6IlsxOTMsMjY0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"/>
          <w:id w:val="1699579687"/>
          <w:placeholder>
            <w:docPart w:val="DefaultPlaceholder_-1854013440"/>
          </w:placeholder>
        </w:sdtPr>
        <w:sdtContent>
          <w:r w:rsidR="00B43409" w:rsidRPr="00B43409">
            <w:rPr>
              <w:color w:val="000000"/>
            </w:rPr>
            <w:t>[193,264]</w:t>
          </w:r>
        </w:sdtContent>
      </w:sdt>
      <w:r w:rsidRPr="00010EE1">
        <w:t>.</w:t>
      </w:r>
    </w:p>
    <w:p w14:paraId="632CF035" w14:textId="15DE1BCE" w:rsidR="00CE64DB" w:rsidRPr="00010EE1" w:rsidRDefault="00CE64DB" w:rsidP="00652687">
      <w:r w:rsidRPr="00010EE1">
        <w:rPr>
          <w:b/>
          <w:bCs/>
        </w:rPr>
        <w:t xml:space="preserve">Discarded </w:t>
      </w:r>
      <w:r>
        <w:rPr>
          <w:b/>
          <w:bCs/>
          <w:lang w:val="en-US"/>
        </w:rPr>
        <w:t>d</w:t>
      </w:r>
      <w:r w:rsidRPr="00010EE1">
        <w:rPr>
          <w:b/>
          <w:bCs/>
        </w:rPr>
        <w:t>ata</w:t>
      </w:r>
      <w:r>
        <w:rPr>
          <w:b/>
          <w:bCs/>
          <w:lang w:val="en-US"/>
        </w:rPr>
        <w:t>.</w:t>
      </w:r>
      <w:r w:rsidRPr="00010EE1">
        <w:t xml:space="preserve"> </w:t>
      </w:r>
      <w:r w:rsidRPr="0004018E">
        <w:t xml:space="preserve">Calculations focus on the upper physiological limit of evaporative heat loss; therefore, the mathematical derivation of </w:t>
      </w:r>
      <w:r w:rsidRPr="003123D4">
        <w:t>ω</w:t>
      </w:r>
      <w:r w:rsidRPr="003123D4">
        <w:rPr>
          <w:vertAlign w:val="subscript"/>
        </w:rPr>
        <w:t>max</w:t>
      </w:r>
      <w:r w:rsidRPr="0004018E">
        <w:t xml:space="preserve"> requires identifying the specific inflection point where the body can no longer maintain thermal balance, rendering data below this threshold as strictly compensable baseline</w:t>
      </w:r>
      <w:r>
        <w:t xml:space="preserve"> </w:t>
      </w:r>
      <w:sdt>
        <w:sdtPr>
          <w:rPr>
            <w:color w:val="000000"/>
          </w:rPr>
          <w:tag w:val="MENDELEY_CITATION_v3_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"/>
          <w:id w:val="617033553"/>
          <w:placeholder>
            <w:docPart w:val="DefaultPlaceholder_-1854013440"/>
          </w:placeholder>
        </w:sdtPr>
        <w:sdtContent>
          <w:r w:rsidR="00B43409" w:rsidRPr="00B43409">
            <w:rPr>
              <w:color w:val="000000"/>
            </w:rPr>
            <w:t>[259]</w:t>
          </w:r>
        </w:sdtContent>
      </w:sdt>
      <w:r w:rsidRPr="00010EE1">
        <w:t>.</w:t>
      </w:r>
    </w:p>
    <w:p w14:paraId="4E080476" w14:textId="12EB1A90" w:rsidR="00CE64DB" w:rsidRDefault="00CE64DB" w:rsidP="00617808">
      <w:pPr>
        <w:rPr>
          <w:rFonts w:eastAsia="Times New Roman"/>
          <w:kern w:val="0"/>
          <w:sz w:val="24"/>
          <w:szCs w:val="24"/>
          <w:lang w:val="en-US"/>
          <w14:ligatures w14:val="none"/>
        </w:rPr>
      </w:pPr>
      <w:r w:rsidRPr="00010EE1">
        <w:rPr>
          <w:b/>
          <w:bCs/>
        </w:rPr>
        <w:t xml:space="preserve">Typical </w:t>
      </w:r>
      <w:r>
        <w:rPr>
          <w:b/>
          <w:bCs/>
          <w:lang w:val="en-US"/>
        </w:rPr>
        <w:t>r</w:t>
      </w:r>
      <w:r w:rsidRPr="00010EE1">
        <w:rPr>
          <w:b/>
          <w:bCs/>
        </w:rPr>
        <w:t>anges</w:t>
      </w:r>
      <w:r>
        <w:rPr>
          <w:b/>
          <w:bCs/>
          <w:lang w:val="en-US"/>
        </w:rPr>
        <w:t>.</w:t>
      </w:r>
      <w:r w:rsidRPr="00010EE1">
        <w:t xml:space="preserve"> </w:t>
      </w:r>
      <w:r w:rsidRPr="0034158C">
        <w:t xml:space="preserve">While traditional ISO models assume a </w:t>
      </w:r>
      <w:r w:rsidRPr="003123D4">
        <w:t>ω</w:t>
      </w:r>
      <w:r w:rsidRPr="003123D4">
        <w:rPr>
          <w:vertAlign w:val="subscript"/>
        </w:rPr>
        <w:t>max</w:t>
      </w:r>
      <w:r>
        <w:rPr>
          <w:vertAlign w:val="subscript"/>
        </w:rPr>
        <w:t xml:space="preserve"> </w:t>
      </w:r>
      <w:r w:rsidRPr="0034158C">
        <w:t>of 0.85 for unacclimated individuals and 1.00 following successful heat acclimation</w:t>
      </w:r>
      <w:r>
        <w:t xml:space="preserve"> </w:t>
      </w:r>
      <w:r w:rsidRPr="0034158C">
        <w:t xml:space="preserve">, recent empirical data </w:t>
      </w:r>
      <w:r>
        <w:t>show</w:t>
      </w:r>
      <w:r w:rsidRPr="0034158C">
        <w:t xml:space="preserve"> values ranging from 0.72 in untrained/unacclimated individuals, to 0.84 in trained/unacclimated individuals, and up to 0.95 following aerobic training combined with heat acclimation</w:t>
      </w:r>
      <w:r w:rsidRPr="00010EE1">
        <w:t xml:space="preserve"> </w:t>
      </w:r>
      <w:sdt>
        <w:sdtPr>
          <w:rPr>
            <w:color w:val="000000"/>
          </w:rPr>
          <w:tag w:val="MENDELEY_CITATION_v3_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"/>
          <w:id w:val="-1165616778"/>
          <w:placeholder>
            <w:docPart w:val="DefaultPlaceholder_-1854013440"/>
          </w:placeholder>
        </w:sdtPr>
        <w:sdtContent>
          <w:r w:rsidR="00B43409" w:rsidRPr="00B43409">
            <w:rPr>
              <w:color w:val="000000"/>
            </w:rPr>
            <w:t>[265,266]</w:t>
          </w:r>
        </w:sdtContent>
      </w:sdt>
      <w:r w:rsidRPr="00010EE1">
        <w:t>.</w:t>
      </w:r>
    </w:p>
    <w:p w14:paraId="249FF4B1" w14:textId="77777777" w:rsidR="00CE64DB" w:rsidRPr="00010EE1" w:rsidRDefault="00CE64DB" w:rsidP="00617808">
      <w:pPr>
        <w:pStyle w:val="Heading4"/>
        <w:numPr>
          <w:ilvl w:val="4"/>
          <w:numId w:val="1"/>
        </w:numPr>
        <w:ind w:left="810"/>
        <w:rPr>
          <w:lang w:val="en-GB"/>
        </w:rPr>
      </w:pPr>
      <w:r w:rsidRPr="00010EE1">
        <w:rPr>
          <w:lang w:val="en-GB"/>
        </w:rPr>
        <w:t>Total Sweat Loss (Whole-Body Sweat Rate - WBSR)</w:t>
      </w:r>
    </w:p>
    <w:p w14:paraId="277AEB44" w14:textId="1132BC50" w:rsidR="00CE64DB" w:rsidRPr="00010EE1" w:rsidRDefault="00CE64DB" w:rsidP="00617808">
      <w:r w:rsidRPr="00010EE1">
        <w:rPr>
          <w:b/>
          <w:bCs/>
        </w:rPr>
        <w:t>Normalisation</w:t>
      </w:r>
      <w:r>
        <w:rPr>
          <w:b/>
          <w:bCs/>
          <w:lang w:val="en-US"/>
        </w:rPr>
        <w:t>.</w:t>
      </w:r>
      <w:r w:rsidRPr="00010EE1">
        <w:t xml:space="preserve"> WBSR is expressed in </w:t>
      </w:r>
      <w:r>
        <w:t>litres</w:t>
      </w:r>
      <w:r w:rsidRPr="00095FDC">
        <w:t xml:space="preserve"> per hour </w:t>
      </w:r>
      <w:r>
        <w:rPr>
          <w:lang w:val="en-US"/>
        </w:rPr>
        <w:t xml:space="preserve">(L/h) </w:t>
      </w:r>
      <w:r w:rsidRPr="00095FDC">
        <w:t>or grams per minute</w:t>
      </w:r>
      <w:r>
        <w:rPr>
          <w:lang w:val="en-US"/>
        </w:rPr>
        <w:t xml:space="preserve"> (g/min)</w:t>
      </w:r>
      <w:r w:rsidRPr="00095FDC">
        <w:t>. It is rigorously normalised through corrections for mass errors, including fluid intake, urine voiding, and metabolic/resp</w:t>
      </w:r>
      <w:r w:rsidRPr="00010EE1">
        <w:t xml:space="preserve">iratory mass loss due to gas exchange </w:t>
      </w:r>
      <w:sdt>
        <w:sdtPr>
          <w:rPr>
            <w:color w:val="000000"/>
          </w:rPr>
          <w:tag w:val="MENDELEY_CITATION_v3_eyJjaXRhdGlvbklEIjoiTUVOREVMRVlfQ0lUQVRJT05fY2I1N2UwZmUtNDVkZi00OGQ3LTk2ZmQtNDBhMjIxMzZjNzdiIiwicHJvcGVydGllcyI6eyJub3RlSW5kZXgiOjB9LCJpc0VkaXRlZCI6ZmFsc2UsIm1hbnVhbE92ZXJyaWRlIjp7ImNpdGVwcm9jVGV4dCI6IlsxOTMsMjU5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V19"/>
          <w:id w:val="178476631"/>
          <w:placeholder>
            <w:docPart w:val="DefaultPlaceholder_-1854013440"/>
          </w:placeholder>
        </w:sdtPr>
        <w:sdtContent>
          <w:r w:rsidR="00B43409" w:rsidRPr="00B43409">
            <w:rPr>
              <w:color w:val="000000"/>
            </w:rPr>
            <w:t>[193,259]</w:t>
          </w:r>
        </w:sdtContent>
      </w:sdt>
      <w:r w:rsidRPr="00010EE1">
        <w:t>.</w:t>
      </w:r>
    </w:p>
    <w:p w14:paraId="31A055B0" w14:textId="5D9A845A" w:rsidR="00CE64DB" w:rsidRPr="00010EE1" w:rsidRDefault="00CE64DB" w:rsidP="00617808">
      <w:r w:rsidRPr="00010EE1">
        <w:rPr>
          <w:b/>
          <w:bCs/>
        </w:rPr>
        <w:t xml:space="preserve">Typical </w:t>
      </w:r>
      <w:r>
        <w:rPr>
          <w:b/>
          <w:bCs/>
          <w:lang w:val="en-US"/>
        </w:rPr>
        <w:t>r</w:t>
      </w:r>
      <w:r w:rsidRPr="00010EE1">
        <w:rPr>
          <w:b/>
          <w:bCs/>
        </w:rPr>
        <w:t>anges</w:t>
      </w:r>
      <w:r>
        <w:rPr>
          <w:b/>
          <w:bCs/>
          <w:lang w:val="en-US"/>
        </w:rPr>
        <w:t>.</w:t>
      </w:r>
      <w:r w:rsidRPr="00010EE1">
        <w:t xml:space="preserve"> </w:t>
      </w:r>
      <w:r w:rsidRPr="00F27617">
        <w:t>Rates typically range from ~0.2 to 0.4 L/h at rest or under mild conditions, up to 3.0 L/h across a wide range of activities, with strenuous endurance exercise in the heat occasionally eliciting maximal sustainable rates approaching 4.0 L/h</w:t>
      </w:r>
      <w:r>
        <w:t xml:space="preserve"> </w:t>
      </w:r>
      <w:sdt>
        <w:sdtPr>
          <w:rPr>
            <w:color w:val="000000"/>
          </w:rPr>
          <w:tag w:val="MENDELEY_CITATION_v3_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"/>
          <w:id w:val="1680621282"/>
          <w:placeholder>
            <w:docPart w:val="DefaultPlaceholder_-1854013440"/>
          </w:placeholder>
        </w:sdtPr>
        <w:sdtContent>
          <w:r w:rsidR="00B43409" w:rsidRPr="00B43409">
            <w:rPr>
              <w:color w:val="000000"/>
            </w:rPr>
            <w:t>[236,258]</w:t>
          </w:r>
        </w:sdtContent>
      </w:sdt>
      <w:r>
        <w:t>.</w:t>
      </w:r>
    </w:p>
    <w:p w14:paraId="6F040D70" w14:textId="77777777" w:rsidR="00CE64DB" w:rsidRPr="00010EE1" w:rsidRDefault="00CE64DB" w:rsidP="00617808">
      <w:pPr>
        <w:pStyle w:val="Heading4"/>
        <w:numPr>
          <w:ilvl w:val="4"/>
          <w:numId w:val="1"/>
        </w:numPr>
        <w:ind w:left="810"/>
        <w:rPr>
          <w:lang w:val="en-GB"/>
        </w:rPr>
      </w:pPr>
      <w:r w:rsidRPr="00010EE1">
        <w:rPr>
          <w:lang w:val="en-GB"/>
        </w:rPr>
        <w:t>Electrodermal Activity (EDA)</w:t>
      </w:r>
    </w:p>
    <w:p w14:paraId="09846CFD" w14:textId="4FC82837" w:rsidR="00CE64DB" w:rsidRPr="00010EE1" w:rsidRDefault="00CE64DB" w:rsidP="00617808">
      <w:r w:rsidRPr="00010EE1">
        <w:rPr>
          <w:b/>
          <w:bCs/>
        </w:rPr>
        <w:t xml:space="preserve">Filtering for </w:t>
      </w:r>
      <w:r>
        <w:rPr>
          <w:b/>
          <w:bCs/>
          <w:lang w:val="en-US"/>
        </w:rPr>
        <w:t>n</w:t>
      </w:r>
      <w:r w:rsidRPr="00010EE1">
        <w:rPr>
          <w:b/>
          <w:bCs/>
        </w:rPr>
        <w:t>oise</w:t>
      </w:r>
      <w:r>
        <w:rPr>
          <w:b/>
          <w:bCs/>
          <w:lang w:val="en-US"/>
        </w:rPr>
        <w:t>.</w:t>
      </w:r>
      <w:r w:rsidRPr="00010EE1">
        <w:t xml:space="preserve"> EDA signals are resampled (e.g., at 8 Hz from 100 Hz) to improve processing efficiency </w:t>
      </w:r>
      <w:sdt>
        <w:sdtPr>
          <w:rPr>
            <w:color w:val="000000"/>
          </w:rPr>
          <w:tag w:val="MENDELEY_CITATION_v3_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"/>
          <w:id w:val="1579322104"/>
          <w:placeholder>
            <w:docPart w:val="DefaultPlaceholder_-1854013440"/>
          </w:placeholder>
        </w:sdtPr>
        <w:sdtContent>
          <w:r w:rsidR="00B43409" w:rsidRPr="00B43409">
            <w:rPr>
              <w:color w:val="000000"/>
            </w:rPr>
            <w:t>[199]</w:t>
          </w:r>
        </w:sdtContent>
      </w:sdt>
      <w:r>
        <w:t>.</w:t>
      </w:r>
      <w:r w:rsidRPr="00010EE1">
        <w:t xml:space="preserve"> Noise is filtered using </w:t>
      </w:r>
      <w:r w:rsidRPr="00617808">
        <w:t>low-pass Butterworth filters</w:t>
      </w:r>
      <w:r w:rsidRPr="00010EE1">
        <w:t xml:space="preserve"> with cutoff frequencies between </w:t>
      </w:r>
      <w:r w:rsidRPr="00617808">
        <w:t xml:space="preserve">0.6 Hz and 10 Hz </w:t>
      </w:r>
      <w:r w:rsidRPr="00010EE1">
        <w:t xml:space="preserve">to remove high-frequency </w:t>
      </w:r>
      <w:r>
        <w:t>artefacts</w:t>
      </w:r>
      <w:r w:rsidRPr="00010EE1">
        <w:t xml:space="preserve"> </w:t>
      </w:r>
      <w:sdt>
        <w:sdtPr>
          <w:rPr>
            <w:color w:val="000000"/>
          </w:rPr>
          <w:tag w:val="MENDELEY_CITATION_v3_eyJjaXRhdGlvbklEIjoiTUVOREVMRVlfQ0lUQVRJT05fNmQwNGNlNWUtNGUyNi00OWQyLTg1NTgtNDJlOGNjMDhlZjljIiwicHJvcGVydGllcyI6eyJub3RlSW5kZXgiOjB9LCJpc0VkaXRlZCI6ZmFsc2UsIm1hbnVhbE92ZXJyaWRlIjp7ImNpdGVwcm9jVGV4dCI6IlsxMSwxOTld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
          <w:id w:val="-905073862"/>
          <w:placeholder>
            <w:docPart w:val="DefaultPlaceholder_-1854013440"/>
          </w:placeholder>
        </w:sdtPr>
        <w:sdtContent>
          <w:r w:rsidR="00B43409" w:rsidRPr="00B43409">
            <w:rPr>
              <w:color w:val="000000"/>
            </w:rPr>
            <w:t>[11,199]</w:t>
          </w:r>
        </w:sdtContent>
      </w:sdt>
      <w:r w:rsidRPr="00010EE1">
        <w:t xml:space="preserve">. </w:t>
      </w:r>
      <w:r w:rsidRPr="00617808">
        <w:t>High-pass filtering</w:t>
      </w:r>
      <w:r w:rsidRPr="00010EE1">
        <w:t xml:space="preserve"> is applied to remove the slow-shifting tonic baseline (SCL) to isolate phasic responses </w:t>
      </w:r>
      <w:sdt>
        <w:sdtPr>
          <w:rPr>
            <w:color w:val="000000"/>
          </w:rPr>
          <w:tag w:val="MENDELEY_CITATION_v3_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
          <w:id w:val="609100127"/>
          <w:placeholder>
            <w:docPart w:val="DefaultPlaceholder_-1854013440"/>
          </w:placeholder>
        </w:sdtPr>
        <w:sdtContent>
          <w:r w:rsidR="00B43409" w:rsidRPr="00B43409">
            <w:rPr>
              <w:color w:val="000000"/>
            </w:rPr>
            <w:t>[256,267]</w:t>
          </w:r>
        </w:sdtContent>
      </w:sdt>
      <w:r>
        <w:t xml:space="preserve"> </w:t>
      </w:r>
      <w:r w:rsidRPr="00010EE1">
        <w:t>(</w:t>
      </w:r>
      <w:r>
        <w:rPr>
          <w:lang w:val="en-US"/>
        </w:rPr>
        <w:t xml:space="preserve">see </w:t>
      </w:r>
      <w:r>
        <w:rPr>
          <w:lang w:val="en-US"/>
        </w:rPr>
        <w:fldChar w:fldCharType="begin"/>
      </w:r>
      <w:r>
        <w:rPr>
          <w:lang w:val="en-US"/>
        </w:rPr>
        <w:instrText xml:space="preserve"> REF _Ref222158421 \w \h </w:instrText>
      </w:r>
      <w:r>
        <w:rPr>
          <w:lang w:val="en-US"/>
        </w:rPr>
      </w:r>
      <w:r>
        <w:rPr>
          <w:lang w:val="en-US"/>
        </w:rPr>
        <w:fldChar w:fldCharType="separate"/>
      </w:r>
      <w:r w:rsidR="007650AF">
        <w:rPr>
          <w:lang w:val="en-US"/>
        </w:rPr>
        <w:t>3.2.6.3</w:t>
      </w:r>
      <w:r>
        <w:rPr>
          <w:lang w:val="en-US"/>
        </w:rPr>
        <w:fldChar w:fldCharType="end"/>
      </w:r>
      <w:r>
        <w:rPr>
          <w:lang w:val="en-US"/>
        </w:rPr>
        <w:t xml:space="preserve"> </w:t>
      </w:r>
      <w:r>
        <w:rPr>
          <w:lang w:val="en-US"/>
        </w:rPr>
        <w:fldChar w:fldCharType="begin"/>
      </w:r>
      <w:r>
        <w:rPr>
          <w:lang w:val="en-US"/>
        </w:rPr>
        <w:instrText xml:space="preserve"> REF _Ref222158421 \h </w:instrText>
      </w:r>
      <w:r>
        <w:rPr>
          <w:lang w:val="en-US"/>
        </w:rPr>
      </w:r>
      <w:r>
        <w:rPr>
          <w:lang w:val="en-US"/>
        </w:rPr>
        <w:fldChar w:fldCharType="separate"/>
      </w:r>
      <w:r w:rsidR="007650AF" w:rsidRPr="001D228D">
        <w:t>Derived parameters</w:t>
      </w:r>
      <w:r>
        <w:rPr>
          <w:lang w:val="en-US"/>
        </w:rPr>
        <w:fldChar w:fldCharType="end"/>
      </w:r>
      <w:r w:rsidRPr="00010EE1">
        <w:t>).</w:t>
      </w:r>
    </w:p>
    <w:p w14:paraId="3855DD95" w14:textId="2FC0A65D" w:rsidR="00CE64DB" w:rsidRPr="00010EE1" w:rsidRDefault="00CE64DB" w:rsidP="00617808">
      <w:r w:rsidRPr="00010EE1">
        <w:rPr>
          <w:b/>
          <w:bCs/>
        </w:rPr>
        <w:t>Normalisation</w:t>
      </w:r>
      <w:r>
        <w:rPr>
          <w:b/>
          <w:bCs/>
          <w:lang w:val="en-US"/>
        </w:rPr>
        <w:t>.</w:t>
      </w:r>
      <w:r w:rsidRPr="00010EE1">
        <w:t xml:space="preserve"> Logarithmic and square root transformations are used to address data skewness and Poisson distributions </w:t>
      </w:r>
      <w:sdt>
        <w:sdtPr>
          <w:rPr>
            <w:color w:val="000000"/>
          </w:rPr>
          <w:tag w:val="MENDELEY_CITATION_v3_eyJjaXRhdGlvbklEIjoiTUVOREVMRVlfQ0lUQVRJT05fMDcxODgwYmUtYzY4Ni00YmU0LWEwMDktOTg0NWM0ZTI0OGM4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419794081"/>
          <w:placeholder>
            <w:docPart w:val="DefaultPlaceholder_-1854013440"/>
          </w:placeholder>
        </w:sdtPr>
        <w:sdtContent>
          <w:r w:rsidR="00B43409" w:rsidRPr="00B43409">
            <w:rPr>
              <w:color w:val="000000"/>
            </w:rPr>
            <w:t>[11]</w:t>
          </w:r>
        </w:sdtContent>
      </w:sdt>
      <w:r w:rsidRPr="00010EE1">
        <w:t xml:space="preserve">. </w:t>
      </w:r>
      <w:r w:rsidRPr="00617808">
        <w:t>Range correction</w:t>
      </w:r>
      <w:r w:rsidRPr="00010EE1">
        <w:t xml:space="preserve"> scales data between an individual’s minimum and maximum reactivity (0.0 to 1.0) to facilitate inter-individual comparison. Signals may also be </w:t>
      </w:r>
      <w:r w:rsidRPr="00617808">
        <w:t>detrended</w:t>
      </w:r>
      <w:r w:rsidRPr="00010EE1">
        <w:t xml:space="preserve"> to eliminate slow shifts from thermoregulation </w:t>
      </w:r>
      <w:sdt>
        <w:sdtPr>
          <w:rPr>
            <w:color w:val="000000"/>
          </w:rPr>
          <w:tag w:val="MENDELEY_CITATION_v3_eyJjaXRhdGlvbklEIjoiTUVOREVMRVlfQ0lUQVRJT05fMDNmNDAwNjUtNDc0Zi00MmY5LTgwMDQtZGExNDE4NjcxMDBi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728655761"/>
          <w:placeholder>
            <w:docPart w:val="DefaultPlaceholder_-1854013440"/>
          </w:placeholder>
        </w:sdtPr>
        <w:sdtContent>
          <w:r w:rsidR="00B43409" w:rsidRPr="00B43409">
            <w:rPr>
              <w:color w:val="000000"/>
            </w:rPr>
            <w:t>[11]</w:t>
          </w:r>
        </w:sdtContent>
      </w:sdt>
      <w:r w:rsidRPr="00010EE1">
        <w:t>.</w:t>
      </w:r>
    </w:p>
    <w:p w14:paraId="51227565" w14:textId="72BEB19B" w:rsidR="00CE64DB" w:rsidRPr="00010EE1" w:rsidRDefault="00CE64DB" w:rsidP="00617808">
      <w:r w:rsidRPr="00010EE1">
        <w:rPr>
          <w:b/>
          <w:bCs/>
        </w:rPr>
        <w:t xml:space="preserve">Discarded </w:t>
      </w:r>
      <w:r>
        <w:rPr>
          <w:b/>
          <w:bCs/>
          <w:lang w:val="en-US"/>
        </w:rPr>
        <w:t>d</w:t>
      </w:r>
      <w:r w:rsidRPr="00010EE1">
        <w:rPr>
          <w:b/>
          <w:bCs/>
        </w:rPr>
        <w:t>ata</w:t>
      </w:r>
      <w:r>
        <w:rPr>
          <w:b/>
          <w:bCs/>
          <w:lang w:val="en-US"/>
        </w:rPr>
        <w:t>.</w:t>
      </w:r>
      <w:r w:rsidRPr="00010EE1">
        <w:t xml:space="preserve"> The </w:t>
      </w:r>
      <w:r w:rsidRPr="00617808">
        <w:t>first and last 10 minutes</w:t>
      </w:r>
      <w:r w:rsidRPr="00010EE1">
        <w:t xml:space="preserve"> of tasks are often discarded to eliminate </w:t>
      </w:r>
      <w:r>
        <w:t>the effects of physiological acclimatisation</w:t>
      </w:r>
      <w:r w:rsidRPr="00010EE1">
        <w:t xml:space="preserve"> and anticipation anxiety</w:t>
      </w:r>
      <w:r>
        <w:rPr>
          <w:lang w:val="en-US"/>
        </w:rPr>
        <w:t xml:space="preserve"> </w:t>
      </w:r>
      <w:sdt>
        <w:sdtPr>
          <w:rPr>
            <w:color w:val="000000"/>
            <w:lang w:val="en-US"/>
          </w:rPr>
          <w:tag w:val="MENDELEY_CITATION_v3_eyJjaXRhdGlvbklEIjoiTUVOREVMRVlfQ0lUQVRJT05fNzQ1Yjc2ZDQtMzVjNS00MjYwLWE3N2YtODcyOWY4NDEzY2Y3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694163425"/>
          <w:placeholder>
            <w:docPart w:val="DefaultPlaceholder_-1854013440"/>
          </w:placeholder>
        </w:sdtPr>
        <w:sdtEndPr>
          <w:rPr>
            <w:lang w:val="en-GB"/>
          </w:rPr>
        </w:sdtEndPr>
        <w:sdtContent>
          <w:r w:rsidR="00B43409" w:rsidRPr="00B43409">
            <w:rPr>
              <w:color w:val="000000"/>
            </w:rPr>
            <w:t>[11]</w:t>
          </w:r>
        </w:sdtContent>
      </w:sdt>
      <w:r w:rsidRPr="00010EE1">
        <w:t xml:space="preserve">. Any segments containing </w:t>
      </w:r>
      <w:r>
        <w:t>artefacts</w:t>
      </w:r>
      <w:r w:rsidRPr="00010EE1">
        <w:t xml:space="preserve"> from </w:t>
      </w:r>
      <w:r w:rsidRPr="00617808">
        <w:t>movement, speech, or deep respiration</w:t>
      </w:r>
      <w:r w:rsidRPr="00010EE1">
        <w:t xml:space="preserve"> (e.g., sighs) are rejected </w:t>
      </w:r>
      <w:sdt>
        <w:sdtPr>
          <w:rPr>
            <w:color w:val="000000"/>
          </w:rPr>
          <w:tag w:val="MENDELEY_CITATION_v3_eyJjaXRhdGlvbklEIjoiTUVOREVMRVlfQ0lUQVRJT05fMDQ2YzFmMWEtNGRhZS00MGZhLWEwNzgtNzg2NjI2MmM2Mzc2IiwicHJvcGVydGllcyI6eyJub3RlSW5kZXgiOjB9LCJpc0VkaXRlZCI6ZmFsc2UsIm1hbnVhbE92ZXJyaWRlIjp7ImNpdGVwcm9jVGV4dCI6IlsxMSwyNTYsMjY3X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"/>
          <w:id w:val="-1316020496"/>
          <w:placeholder>
            <w:docPart w:val="DefaultPlaceholder_-1854013440"/>
          </w:placeholder>
        </w:sdtPr>
        <w:sdtContent>
          <w:r w:rsidR="00B43409" w:rsidRPr="00B43409">
            <w:rPr>
              <w:color w:val="000000"/>
            </w:rPr>
            <w:t>[11,256,267]</w:t>
          </w:r>
        </w:sdtContent>
      </w:sdt>
      <w:r w:rsidRPr="00010EE1">
        <w:t>.</w:t>
      </w:r>
      <w:r>
        <w:t xml:space="preserve"> </w:t>
      </w:r>
    </w:p>
    <w:p w14:paraId="31FE7C7C" w14:textId="57B5DBDD" w:rsidR="00CE64DB" w:rsidRPr="00010EE1" w:rsidRDefault="00CE64DB" w:rsidP="00617808">
      <w:r w:rsidRPr="00010EE1">
        <w:rPr>
          <w:b/>
          <w:bCs/>
        </w:rPr>
        <w:t xml:space="preserve">Typical </w:t>
      </w:r>
      <w:r>
        <w:rPr>
          <w:b/>
          <w:bCs/>
          <w:lang w:val="en-US"/>
        </w:rPr>
        <w:t>r</w:t>
      </w:r>
      <w:r w:rsidRPr="00010EE1">
        <w:rPr>
          <w:b/>
          <w:bCs/>
        </w:rPr>
        <w:t>anges</w:t>
      </w:r>
      <w:r>
        <w:rPr>
          <w:b/>
          <w:bCs/>
          <w:lang w:val="en-US"/>
        </w:rPr>
        <w:t>.</w:t>
      </w:r>
      <w:r w:rsidRPr="00010EE1">
        <w:t xml:space="preserve"> Tonic SCL generally falls between </w:t>
      </w:r>
      <w:r w:rsidRPr="00617808">
        <w:t>2 and 20</w:t>
      </w:r>
      <w:r>
        <w:t xml:space="preserve"> </w:t>
      </w:r>
      <w:r w:rsidRPr="001D228D">
        <w:t>µS</w:t>
      </w:r>
      <w:r w:rsidRPr="00010EE1">
        <w:rPr>
          <w:b/>
          <w:bCs/>
        </w:rPr>
        <w:t xml:space="preserve"> </w:t>
      </w:r>
      <w:sdt>
        <w:sdtPr>
          <w:rPr>
            <w:b/>
            <w:bCs/>
            <w:color w:val="000000"/>
          </w:rPr>
          <w:tag w:val="MENDELEY_CITATION_v3_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"/>
          <w:id w:val="-2139863779"/>
          <w:placeholder>
            <w:docPart w:val="DefaultPlaceholder_-1854013440"/>
          </w:placeholder>
        </w:sdtPr>
        <w:sdtEndPr>
          <w:rPr>
            <w:b w:val="0"/>
            <w:bCs w:val="0"/>
          </w:rPr>
        </w:sdtEndPr>
        <w:sdtContent>
          <w:r w:rsidR="00B43409" w:rsidRPr="00B43409">
            <w:rPr>
              <w:color w:val="000000"/>
            </w:rPr>
            <w:t>[268]</w:t>
          </w:r>
        </w:sdtContent>
      </w:sdt>
      <w:r w:rsidRPr="00010EE1">
        <w:t xml:space="preserve">. Phasic SCRs are registered using a detection criterion of </w:t>
      </w:r>
      <w:r w:rsidRPr="00617808">
        <w:t>0.01 to 0.05</w:t>
      </w:r>
      <w:r>
        <w:t xml:space="preserve"> </w:t>
      </w:r>
      <w:r w:rsidRPr="001D228D">
        <w:t>µS</w:t>
      </w:r>
      <w:r w:rsidRPr="00617808">
        <w:t xml:space="preserve"> </w:t>
      </w:r>
      <w:sdt>
        <w:sdtPr>
          <w:rPr>
            <w:color w:val="000000"/>
          </w:rPr>
          <w:tag w:val="MENDELEY_CITATION_v3_eyJjaXRhdGlvbklEIjoiTUVOREVMRVlfQ0lUQVRJT05fYjBhMTE3ODktNjRkYi00MWE5LTk5ZGYtODg0MzAyYmI2OTk1IiwicHJvcGVydGllcyI6eyJub3RlSW5kZXgiOjB9LCJpc0VkaXRlZCI6ZmFsc2UsIm1hbnVhbE92ZXJyaWRlIjp7ImNpdGVwcm9jVGV4dCI6IlsyNjddIiwiaXNNYW51YWxseU92ZXJyaWRkZW4iOmZhbHNlLCJtYW51YWxPdmVycmlkZVRleHQiOiIifSwiY2l0YXRpb25JdGVtcyI6W3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
          <w:id w:val="-1947372619"/>
          <w:placeholder>
            <w:docPart w:val="DefaultPlaceholder_-1854013440"/>
          </w:placeholder>
        </w:sdtPr>
        <w:sdtContent>
          <w:r w:rsidR="00B43409" w:rsidRPr="00B43409">
            <w:rPr>
              <w:color w:val="000000"/>
            </w:rPr>
            <w:t>[267]</w:t>
          </w:r>
        </w:sdtContent>
      </w:sdt>
      <w:r w:rsidRPr="00010EE1">
        <w:t xml:space="preserve">, </w:t>
      </w:r>
      <w:r w:rsidRPr="00654F62">
        <w:t>with frequencies typically ranging from 1 to over 20 SCRs/min</w:t>
      </w:r>
      <w:r>
        <w:t>,</w:t>
      </w:r>
      <w:r w:rsidRPr="00654F62">
        <w:t xml:space="preserve"> depending on the level of autonomic </w:t>
      </w:r>
      <w:r>
        <w:t>arousal</w:t>
      </w:r>
      <w:r w:rsidRPr="00010EE1">
        <w:t xml:space="preserve"> </w:t>
      </w:r>
      <w:sdt>
        <w:sdtPr>
          <w:rPr>
            <w:color w:val="000000"/>
          </w:rPr>
          <w:tag w:val="MENDELEY_CITATION_v3_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"/>
          <w:id w:val="1223944832"/>
          <w:placeholder>
            <w:docPart w:val="DefaultPlaceholder_-1854013440"/>
          </w:placeholder>
        </w:sdtPr>
        <w:sdtContent>
          <w:r w:rsidR="00B43409" w:rsidRPr="00B43409">
            <w:rPr>
              <w:color w:val="000000"/>
            </w:rPr>
            <w:t>[267,268]</w:t>
          </w:r>
        </w:sdtContent>
      </w:sdt>
      <w:r w:rsidRPr="00010EE1">
        <w:t>.</w:t>
      </w:r>
    </w:p>
    <w:p w14:paraId="0AFA5DE4" w14:textId="77777777" w:rsidR="00CE64DB" w:rsidRPr="001D228D" w:rsidRDefault="00CE64DB" w:rsidP="007A2440">
      <w:pPr>
        <w:pStyle w:val="Heading4"/>
        <w:rPr>
          <w:lang w:val="en-GB"/>
        </w:rPr>
      </w:pPr>
      <w:r w:rsidRPr="001D228D">
        <w:rPr>
          <w:lang w:val="en-GB"/>
        </w:rPr>
        <w:t>Derived parameters</w:t>
      </w:r>
    </w:p>
    <w:p w14:paraId="41F0BA30" w14:textId="77777777" w:rsidR="00CE64DB" w:rsidRPr="001D228D" w:rsidRDefault="00CE64DB" w:rsidP="001150F4">
      <w:r w:rsidRPr="001D228D">
        <w:t>Depending on study design and research aim, several key parameters are derived from the preprocessed sweat-rate and electrodermal signals. These parameters describe both the magnitude and temporal dynamics of sudomotor activity at local and whole-body levels.</w:t>
      </w:r>
    </w:p>
    <w:p w14:paraId="4B238C6B" w14:textId="77777777" w:rsidR="00CE64DB" w:rsidRPr="001D228D" w:rsidRDefault="00CE64DB" w:rsidP="001150F4">
      <w:r w:rsidRPr="001D228D">
        <w:t>For local and whole-body sweating, the following parameters are calculated:</w:t>
      </w:r>
    </w:p>
    <w:p w14:paraId="2DCEBB91" w14:textId="77777777" w:rsidR="00CE64DB" w:rsidRPr="001D228D" w:rsidRDefault="00CE64DB" w:rsidP="001150F4">
      <w:pPr>
        <w:pStyle w:val="Bullet"/>
      </w:pPr>
      <w:r w:rsidRPr="001D228D">
        <w:rPr>
          <w:u w:val="single"/>
        </w:rPr>
        <w:t>Sweat-onset temperature (°C).</w:t>
      </w:r>
      <w:r w:rsidRPr="001D228D">
        <w:t xml:space="preserve"> The core or skin temperature at which sweat rate first rises above baseline by &gt; 0.01 mg·cm⁻²·min⁻¹, indicating activation of eccrine glands.</w:t>
      </w:r>
    </w:p>
    <w:p w14:paraId="6EFE6338" w14:textId="77777777" w:rsidR="00CE64DB" w:rsidRPr="001D228D" w:rsidRDefault="00CE64DB" w:rsidP="001150F4">
      <w:pPr>
        <w:pStyle w:val="Bullet"/>
      </w:pPr>
      <w:r w:rsidRPr="001D228D">
        <w:rPr>
          <w:u w:val="single"/>
        </w:rPr>
        <w:lastRenderedPageBreak/>
        <w:t>Maximum sweat rate (mg·cm⁻²·min⁻¹). The</w:t>
      </w:r>
      <w:r w:rsidRPr="001D228D">
        <w:t xml:space="preserve"> highest value reached during exposure; represents glandular output capacity.</w:t>
      </w:r>
    </w:p>
    <w:p w14:paraId="3031485E" w14:textId="77777777" w:rsidR="00CE64DB" w:rsidRPr="001D228D" w:rsidRDefault="00CE64DB" w:rsidP="001150F4">
      <w:pPr>
        <w:pStyle w:val="Bullet"/>
      </w:pPr>
      <w:r w:rsidRPr="001D228D">
        <w:rPr>
          <w:u w:val="single"/>
        </w:rPr>
        <w:t>Sweating sensitivity (mg·cm⁻²·min⁻¹·°C⁻¹).</w:t>
      </w:r>
      <w:r w:rsidRPr="001D228D">
        <w:t xml:space="preserve"> The slope of the sweat-rate–core-temperature relation after onset; reflects thermoeffector gain.</w:t>
      </w:r>
    </w:p>
    <w:p w14:paraId="6DB1FCB6" w14:textId="77777777" w:rsidR="00CE64DB" w:rsidRPr="001D228D" w:rsidRDefault="00CE64DB" w:rsidP="001150F4">
      <w:pPr>
        <w:pStyle w:val="Bullet"/>
      </w:pPr>
      <w:r w:rsidRPr="001D228D">
        <w:rPr>
          <w:u w:val="single"/>
        </w:rPr>
        <w:t>Total sweat output (mg·cm⁻²).</w:t>
      </w:r>
      <w:r w:rsidRPr="001D228D">
        <w:t xml:space="preserve"> The time-integrated area under the sweat-rate curve; quantifies cumulative evaporative loss for a given site or exposure period.</w:t>
      </w:r>
    </w:p>
    <w:p w14:paraId="6038C5A8" w14:textId="77777777" w:rsidR="00CE64DB" w:rsidRPr="001D228D" w:rsidRDefault="00CE64DB" w:rsidP="001150F4">
      <w:pPr>
        <w:pStyle w:val="Bullet"/>
      </w:pPr>
      <w:r w:rsidRPr="001D228D">
        <w:t>Whole-body sweat loss (WBSL, kg·h⁻¹ or L·h⁻¹). Calculated as:</w:t>
      </w:r>
    </w:p>
    <w:p w14:paraId="7D039B77" w14:textId="77777777" w:rsidR="00CE64DB" w:rsidRPr="001D228D" w:rsidRDefault="00CE64DB" w:rsidP="001150F4">
      <m:oMathPara>
        <m:oMath>
          <m:r>
            <m:rPr>
              <m:nor/>
            </m:rPr>
            <m:t>WBSL</m:t>
          </m:r>
          <m:r>
            <w:rPr>
              <w:rFonts w:ascii="Cambria Math" w:hAnsi="Cambria Math"/>
            </w:rPr>
            <m:t>=(</m:t>
          </m:r>
          <m:sSub>
            <m:sSubPr>
              <m:ctrlPr>
                <w:rPr>
                  <w:rFonts w:ascii="Cambria Math" w:hAnsi="Cambria Math"/>
                </w:rPr>
              </m:ctrlPr>
            </m:sSubPr>
            <m:e>
              <m:r>
                <m:rPr>
                  <m:nor/>
                </m:rPr>
                <m:t>Body mass</m:t>
              </m:r>
            </m:e>
            <m:sub>
              <m:r>
                <m:rPr>
                  <m:nor/>
                </m:rPr>
                <m:t>pre</m:t>
              </m:r>
            </m:sub>
          </m:sSub>
          <m:r>
            <w:rPr>
              <w:rFonts w:ascii="Cambria Math" w:hAnsi="Cambria Math"/>
            </w:rPr>
            <m:t>-</m:t>
          </m:r>
          <m:sSub>
            <m:sSubPr>
              <m:ctrlPr>
                <w:rPr>
                  <w:rFonts w:ascii="Cambria Math" w:hAnsi="Cambria Math"/>
                </w:rPr>
              </m:ctrlPr>
            </m:sSubPr>
            <m:e>
              <m:r>
                <m:rPr>
                  <m:nor/>
                </m:rPr>
                <m:t>Body mass</m:t>
              </m:r>
            </m:e>
            <m:sub>
              <m:r>
                <m:rPr>
                  <m:nor/>
                </m:rPr>
                <m:t>post</m:t>
              </m:r>
            </m:sub>
          </m:sSub>
          <m:r>
            <w:rPr>
              <w:rFonts w:ascii="Cambria Math" w:hAnsi="Cambria Math"/>
            </w:rPr>
            <m:t>)+</m:t>
          </m:r>
          <m:r>
            <m:rPr>
              <m:nor/>
            </m:rPr>
            <m:t>Fluid intake</m:t>
          </m:r>
          <m:r>
            <w:rPr>
              <w:rFonts w:ascii="Cambria Math" w:hAnsi="Cambria Math"/>
            </w:rPr>
            <m:t>-</m:t>
          </m:r>
          <m:r>
            <m:rPr>
              <m:nor/>
            </m:rPr>
            <m:t>Urine volume</m:t>
          </m:r>
        </m:oMath>
      </m:oMathPara>
    </w:p>
    <w:p w14:paraId="0E70117B" w14:textId="12D2EF26" w:rsidR="00CE64DB" w:rsidRPr="001D228D" w:rsidRDefault="00CE64DB" w:rsidP="001150F4">
      <w:r w:rsidRPr="001D228D">
        <w:t xml:space="preserve">The result is normalised by body-surface area using the Du Bois &amp; Du Bois equation. Typical ranges are 0.2–0.6 kg·h⁻¹ at rest and &gt; 1 kg·h⁻¹ during moderate heat stress, depending on acclimation, clothing, and environment </w:t>
      </w:r>
      <w:sdt>
        <w:sdtPr>
          <w:rPr>
            <w:color w:val="000000"/>
          </w:rPr>
          <w:tag w:val="MENDELEY_CITATION_v3_eyJjaXRhdGlvbklEIjoiTUVOREVMRVlfQ0lUQVRJT05fMDczYzBmMzItZTMxNS00ZThlLWI5YWYtMTA2NjI5MGU1NGFlIiwicHJvcGVydGllcyI6eyJub3RlSW5kZXgiOjB9LCJpc0VkaXRlZCI6ZmFsc2UsIm1hbnVhbE92ZXJyaWRlIjp7ImNpdGVwcm9jVGV4dCI6IlszLDI2OV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"/>
          <w:id w:val="1538770389"/>
          <w:placeholder>
            <w:docPart w:val="DefaultPlaceholder_-1854013440"/>
          </w:placeholder>
        </w:sdtPr>
        <w:sdtContent>
          <w:r w:rsidR="00B43409" w:rsidRPr="00B43409">
            <w:rPr>
              <w:color w:val="000000"/>
            </w:rPr>
            <w:t>[3,269]</w:t>
          </w:r>
        </w:sdtContent>
      </w:sdt>
      <w:r w:rsidRPr="001D228D">
        <w:t>.</w:t>
      </w:r>
    </w:p>
    <w:p w14:paraId="7C5B48DD" w14:textId="145AB968" w:rsidR="00CE64DB" w:rsidRPr="001D228D" w:rsidRDefault="00CE64DB" w:rsidP="001150F4">
      <w:r w:rsidRPr="001D228D">
        <w:t xml:space="preserve">EDA signals are decomposed into tonic (SCL) and phasic (SCR) components to separate baseline sympathetic tone from discrete bursts of sudomotor nerve activity </w:t>
      </w:r>
      <w:sdt>
        <w:sdtPr>
          <w:rPr>
            <w:color w:val="000000"/>
          </w:rPr>
          <w:tag w:val="MENDELEY_CITATION_v3_eyJjaXRhdGlvbklEIjoiTUVOREVMRVlfQ0lUQVRJT05fOGFmOTI3YTQtZjEwZS00NmFiLTg3MjItNzQ4YmRmODhkNzI2IiwicHJvcGVydGllcyI6eyJub3RlSW5kZXgiOjB9LCJpc0VkaXRlZCI6ZmFsc2UsIm1hbnVhbE92ZXJyaWRlIjp7ImNpdGVwcm9jVGV4dCI6IlsxMSwxODNdIiwiaXNNYW51YWxseU92ZXJyaWRkZW4iOmZhbHNlLCJtYW51YWxPdmVycmlkZVRleHQiOiIifSwiY2l0YXRpb25JdGVtcyI6W3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
          <w:id w:val="-844710853"/>
          <w:placeholder>
            <w:docPart w:val="DefaultPlaceholder_-1854013440"/>
          </w:placeholder>
        </w:sdtPr>
        <w:sdtContent>
          <w:r w:rsidR="00B43409" w:rsidRPr="00B43409">
            <w:rPr>
              <w:color w:val="000000"/>
            </w:rPr>
            <w:t>[11,183]</w:t>
          </w:r>
        </w:sdtContent>
      </w:sdt>
      <w:r w:rsidRPr="001D228D">
        <w:t>. Typical palmar conductance levels range 1–20 µS, with transient SCR amplitudes of 0.05–0.5 µS and 0–5 events·min⁻¹ under resting to mild-stress conditions.</w:t>
      </w:r>
    </w:p>
    <w:p w14:paraId="5507346E" w14:textId="77777777" w:rsidR="00CE64DB" w:rsidRPr="001D228D" w:rsidRDefault="00CE64DB" w:rsidP="001150F4">
      <w:pPr>
        <w:pStyle w:val="Bullet"/>
      </w:pPr>
      <w:r w:rsidRPr="001D228D">
        <w:rPr>
          <w:u w:val="single"/>
        </w:rPr>
        <w:t>Skin conductance level (SCL, µS).</w:t>
      </w:r>
      <w:r w:rsidRPr="001D228D">
        <w:t xml:space="preserve"> Mean tonic conductance over a defined period; represents baseline sympathetic drive.</w:t>
      </w:r>
    </w:p>
    <w:p w14:paraId="10733A67" w14:textId="77777777" w:rsidR="00CE64DB" w:rsidRPr="001D228D" w:rsidRDefault="00CE64DB" w:rsidP="001150F4">
      <w:pPr>
        <w:pStyle w:val="Bullet"/>
      </w:pPr>
      <w:r w:rsidRPr="001D228D">
        <w:rPr>
          <w:u w:val="single"/>
        </w:rPr>
        <w:t>ΔSCL (µS).</w:t>
      </w:r>
      <w:r w:rsidRPr="001D228D">
        <w:t xml:space="preserve"> Change in mean SCL between baseline and exposure; expresses magnitude of sympathetic shift.</w:t>
      </w:r>
    </w:p>
    <w:p w14:paraId="2F943E1C" w14:textId="77777777" w:rsidR="00CE64DB" w:rsidRPr="001D228D" w:rsidRDefault="00CE64DB" w:rsidP="001150F4">
      <w:pPr>
        <w:pStyle w:val="Bullet"/>
      </w:pPr>
      <w:r w:rsidRPr="001D228D">
        <w:rPr>
          <w:u w:val="single"/>
        </w:rPr>
        <w:t>Skin conductance response count (SCR·min⁻¹).</w:t>
      </w:r>
      <w:r w:rsidRPr="001D228D">
        <w:t xml:space="preserve"> Number of phasic responses exceeding a threshold (0.01–0.05 µS); reflects frequency of sudomotor bursts.</w:t>
      </w:r>
    </w:p>
    <w:p w14:paraId="651F96F4" w14:textId="77777777" w:rsidR="00CE64DB" w:rsidRPr="001D228D" w:rsidRDefault="00CE64DB" w:rsidP="001150F4">
      <w:pPr>
        <w:pStyle w:val="Bullet"/>
      </w:pPr>
      <w:r w:rsidRPr="001D228D">
        <w:rPr>
          <w:u w:val="single"/>
        </w:rPr>
        <w:t>Mean SCR amplitude (ΔµS).</w:t>
      </w:r>
      <w:r w:rsidRPr="001D228D">
        <w:t xml:space="preserve"> Average height of detected SCRs; indicates intensity of individual sympathetic discharges.</w:t>
      </w:r>
    </w:p>
    <w:p w14:paraId="07EF063B" w14:textId="339C1587" w:rsidR="00CE64DB" w:rsidRPr="001D228D" w:rsidRDefault="00CE64DB" w:rsidP="001150F4">
      <w:pPr>
        <w:pStyle w:val="Bullet"/>
      </w:pPr>
      <w:r w:rsidRPr="001D228D">
        <w:rPr>
          <w:u w:val="single"/>
        </w:rPr>
        <w:t xml:space="preserve">Phasic driver / sudomotor-nerve activity (µS·s⁻¹). </w:t>
      </w:r>
      <w:r w:rsidRPr="001D228D">
        <w:t xml:space="preserve">Output of non-negative deconvolution models (NeuroKit2 </w:t>
      </w:r>
      <w:sdt>
        <w:sdtPr>
          <w:rPr>
            <w:color w:val="000000"/>
          </w:rPr>
          <w:tag w:val="MENDELEY_CITATION_v3_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"/>
          <w:id w:val="-491486303"/>
          <w:placeholder>
            <w:docPart w:val="DefaultPlaceholder_-1854013440"/>
          </w:placeholder>
        </w:sdtPr>
        <w:sdtContent>
          <w:r w:rsidR="00B43409" w:rsidRPr="00B43409">
            <w:rPr>
              <w:color w:val="000000"/>
            </w:rPr>
            <w:t>[270]</w:t>
          </w:r>
        </w:sdtContent>
      </w:sdt>
      <w:r w:rsidRPr="001D228D">
        <w:t xml:space="preserve"> or Ledalab </w:t>
      </w:r>
      <w:sdt>
        <w:sdtPr>
          <w:rPr>
            <w:color w:val="000000"/>
          </w:rPr>
          <w:tag w:val="MENDELEY_CITATION_v3_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"/>
          <w:id w:val="2133436243"/>
          <w:placeholder>
            <w:docPart w:val="DefaultPlaceholder_-1854013440"/>
          </w:placeholder>
        </w:sdtPr>
        <w:sdtContent>
          <w:r w:rsidR="00B43409" w:rsidRPr="00B43409">
            <w:rPr>
              <w:color w:val="000000"/>
            </w:rPr>
            <w:t>[271]</w:t>
          </w:r>
        </w:sdtContent>
      </w:sdt>
      <w:r w:rsidRPr="001D228D">
        <w:t>); provides a continuous index of sympathetic input.</w:t>
      </w:r>
    </w:p>
    <w:p w14:paraId="77CEB503" w14:textId="77777777" w:rsidR="00CE64DB" w:rsidRPr="001D228D" w:rsidRDefault="00CE64DB" w:rsidP="001150F4">
      <w:pPr>
        <w:pStyle w:val="Bullet"/>
      </w:pPr>
      <w:r w:rsidRPr="001D228D">
        <w:rPr>
          <w:u w:val="single"/>
        </w:rPr>
        <w:t>Response latency (s).</w:t>
      </w:r>
      <w:r w:rsidRPr="001D228D">
        <w:t xml:space="preserve"> Interval between stimulus and SCR onset; reflects efferent conduction time and gland responsiveness.</w:t>
      </w:r>
    </w:p>
    <w:p w14:paraId="50031B0A" w14:textId="77777777" w:rsidR="00CE64DB" w:rsidRPr="001D228D" w:rsidRDefault="00CE64DB" w:rsidP="001150F4">
      <w:pPr>
        <w:pStyle w:val="Bullet"/>
      </w:pPr>
      <w:r w:rsidRPr="001D228D">
        <w:rPr>
          <w:u w:val="single"/>
        </w:rPr>
        <w:t>EDA reactivity index (%).</w:t>
      </w:r>
      <w:r w:rsidRPr="001D228D">
        <w:t xml:space="preserve"> (ΔSCL / baseline SCL) × 100; normalised measure for inter-subject comparison.</w:t>
      </w:r>
    </w:p>
    <w:p w14:paraId="22313EA7" w14:textId="77777777" w:rsidR="00CE64DB" w:rsidRPr="001D228D" w:rsidRDefault="00CE64DB" w:rsidP="001150F4">
      <w:r w:rsidRPr="001D228D">
        <w:t>For circadian or long-term recordings, additional descriptors can be extracted from smoothed SCL time series:</w:t>
      </w:r>
    </w:p>
    <w:p w14:paraId="563D5559" w14:textId="77777777" w:rsidR="00CE64DB" w:rsidRPr="001D228D" w:rsidRDefault="00CE64DB" w:rsidP="001150F4">
      <w:pPr>
        <w:pStyle w:val="Bullet"/>
      </w:pPr>
      <w:r w:rsidRPr="001D228D">
        <w:rPr>
          <w:u w:val="single"/>
        </w:rPr>
        <w:t>Amplitude (µS).</w:t>
      </w:r>
      <w:r w:rsidRPr="001D228D">
        <w:t xml:space="preserve"> Difference between daily maximum and minimum; expresses circadian modulation of sympathetic tone.</w:t>
      </w:r>
    </w:p>
    <w:p w14:paraId="0A001885" w14:textId="77777777" w:rsidR="00CE64DB" w:rsidRPr="001D228D" w:rsidRDefault="00CE64DB" w:rsidP="001150F4">
      <w:pPr>
        <w:pStyle w:val="Bullet"/>
      </w:pPr>
      <w:r w:rsidRPr="001D228D">
        <w:rPr>
          <w:u w:val="single"/>
        </w:rPr>
        <w:t>Mean level (µS).</w:t>
      </w:r>
      <w:r w:rsidRPr="001D228D">
        <w:t xml:space="preserve"> 24-h average; reflects overall autonomic balance.</w:t>
      </w:r>
    </w:p>
    <w:p w14:paraId="40B949FC" w14:textId="0503A1D0" w:rsidR="00CE64DB" w:rsidRPr="001D228D" w:rsidRDefault="00CE64DB" w:rsidP="001150F4">
      <w:pPr>
        <w:pStyle w:val="Bullet"/>
      </w:pPr>
      <w:r w:rsidRPr="001D228D">
        <w:rPr>
          <w:u w:val="single"/>
        </w:rPr>
        <w:t>Phase timing (h).</w:t>
      </w:r>
      <w:r w:rsidRPr="001D228D">
        <w:t xml:space="preserve"> Clock time of minimum SCL or maximum SCR frequency; aligns EDA rhythm with core-temperature phase </w:t>
      </w:r>
      <w:sdt>
        <w:sdtPr>
          <w:rPr>
            <w:color w:val="000000"/>
          </w:rPr>
          <w:tag w:val="MENDELEY_CITATION_v3_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"/>
          <w:id w:val="1923371844"/>
          <w:placeholder>
            <w:docPart w:val="DefaultPlaceholder_-1854013440"/>
          </w:placeholder>
        </w:sdtPr>
        <w:sdtContent>
          <w:r w:rsidR="00B43409" w:rsidRPr="00B43409">
            <w:rPr>
              <w:color w:val="000000"/>
            </w:rPr>
            <w:t>[272]</w:t>
          </w:r>
        </w:sdtContent>
      </w:sdt>
      <w:r w:rsidRPr="001D228D">
        <w:t xml:space="preserve">. </w:t>
      </w:r>
    </w:p>
    <w:p w14:paraId="1F580DB5" w14:textId="6BCE232C"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7650AF">
        <w:rPr>
          <w:noProof/>
        </w:rPr>
        <w:t>3</w:t>
      </w:r>
      <w:r w:rsidRPr="001D228D">
        <w:fldChar w:fldCharType="end"/>
      </w:r>
      <w:r w:rsidRPr="001D228D">
        <w:t>. Summary of sweat and electrodermal measurement techniques, typical signal characteristics, and practical considerations.</w:t>
      </w:r>
      <w:r w:rsidRPr="001D228D">
        <w:br/>
        <w:t>Sampling rates denote typical acquisition frequencies used for physiological data logging, not device limits.</w:t>
      </w:r>
    </w:p>
    <w:tbl>
      <w:tblPr>
        <w:tblStyle w:val="PlainTable5"/>
        <w:tblW w:w="9055" w:type="dxa"/>
        <w:tblLayout w:type="fixed"/>
        <w:tblLook w:val="04A0" w:firstRow="1" w:lastRow="0" w:firstColumn="1" w:lastColumn="0" w:noHBand="0" w:noVBand="1"/>
      </w:tblPr>
      <w:tblGrid>
        <w:gridCol w:w="1350"/>
        <w:gridCol w:w="1585"/>
        <w:gridCol w:w="990"/>
        <w:gridCol w:w="1475"/>
        <w:gridCol w:w="2070"/>
        <w:gridCol w:w="1585"/>
      </w:tblGrid>
      <w:tr w:rsidR="00CE64DB" w:rsidRPr="00090DDB" w14:paraId="3E611DC0" w14:textId="77777777" w:rsidTr="00D83D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50" w:type="dxa"/>
            <w:hideMark/>
          </w:tcPr>
          <w:p w14:paraId="1012A555" w14:textId="77777777" w:rsidR="00CE64DB" w:rsidRPr="00090DDB" w:rsidRDefault="00CE64DB" w:rsidP="001150F4">
            <w:pPr>
              <w:rPr>
                <w:b/>
                <w:bCs/>
                <w:i w:val="0"/>
                <w:iCs w:val="0"/>
                <w:sz w:val="18"/>
                <w:szCs w:val="18"/>
              </w:rPr>
            </w:pPr>
            <w:r w:rsidRPr="00090DDB">
              <w:rPr>
                <w:b/>
                <w:bCs/>
                <w:i w:val="0"/>
                <w:iCs w:val="0"/>
                <w:sz w:val="18"/>
                <w:szCs w:val="18"/>
              </w:rPr>
              <w:t>Measure</w:t>
            </w:r>
          </w:p>
        </w:tc>
        <w:tc>
          <w:tcPr>
            <w:tcW w:w="1585" w:type="dxa"/>
            <w:hideMark/>
          </w:tcPr>
          <w:p w14:paraId="365D79C8"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Sensor/Principle</w:t>
            </w:r>
          </w:p>
        </w:tc>
        <w:tc>
          <w:tcPr>
            <w:tcW w:w="990" w:type="dxa"/>
            <w:hideMark/>
          </w:tcPr>
          <w:p w14:paraId="3B15C792"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Sampling</w:t>
            </w:r>
          </w:p>
        </w:tc>
        <w:tc>
          <w:tcPr>
            <w:tcW w:w="1475" w:type="dxa"/>
            <w:hideMark/>
          </w:tcPr>
          <w:p w14:paraId="4D9604AE"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Advantages</w:t>
            </w:r>
          </w:p>
        </w:tc>
        <w:tc>
          <w:tcPr>
            <w:tcW w:w="2070" w:type="dxa"/>
            <w:hideMark/>
          </w:tcPr>
          <w:p w14:paraId="0F3E5C7C"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Limitations</w:t>
            </w:r>
          </w:p>
        </w:tc>
        <w:tc>
          <w:tcPr>
            <w:tcW w:w="1585" w:type="dxa"/>
            <w:hideMark/>
          </w:tcPr>
          <w:p w14:paraId="666EA948" w14:textId="77777777" w:rsidR="00CE64DB" w:rsidRPr="00090DDB"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090DDB">
              <w:rPr>
                <w:b/>
                <w:bCs/>
                <w:i w:val="0"/>
                <w:iCs w:val="0"/>
                <w:sz w:val="18"/>
                <w:szCs w:val="18"/>
              </w:rPr>
              <w:t>Approx. Cost (€)*</w:t>
            </w:r>
          </w:p>
        </w:tc>
      </w:tr>
      <w:tr w:rsidR="00CE64DB" w:rsidRPr="00090DDB" w14:paraId="7B6F0739"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2EBF2C7D" w14:textId="77777777" w:rsidR="00CE64DB" w:rsidRPr="00090DDB" w:rsidRDefault="00CE64DB" w:rsidP="001150F4">
            <w:pPr>
              <w:rPr>
                <w:b/>
                <w:bCs/>
                <w:i w:val="0"/>
                <w:iCs w:val="0"/>
                <w:sz w:val="18"/>
                <w:szCs w:val="18"/>
              </w:rPr>
            </w:pPr>
            <w:r w:rsidRPr="00090DDB">
              <w:rPr>
                <w:b/>
                <w:bCs/>
                <w:i w:val="0"/>
                <w:iCs w:val="0"/>
                <w:sz w:val="18"/>
                <w:szCs w:val="18"/>
              </w:rPr>
              <w:t>Local sweat rate (LSR)</w:t>
            </w:r>
          </w:p>
        </w:tc>
        <w:tc>
          <w:tcPr>
            <w:tcW w:w="1585" w:type="dxa"/>
            <w:hideMark/>
          </w:tcPr>
          <w:p w14:paraId="771A73CD"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Ventilated capsule / dew-point</w:t>
            </w:r>
          </w:p>
        </w:tc>
        <w:tc>
          <w:tcPr>
            <w:tcW w:w="990" w:type="dxa"/>
            <w:hideMark/>
          </w:tcPr>
          <w:p w14:paraId="4CD968BF"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0.1–1 Hz</w:t>
            </w:r>
          </w:p>
        </w:tc>
        <w:tc>
          <w:tcPr>
            <w:tcW w:w="1475" w:type="dxa"/>
            <w:hideMark/>
          </w:tcPr>
          <w:p w14:paraId="4B94492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Gold-standard, continuous</w:t>
            </w:r>
          </w:p>
        </w:tc>
        <w:tc>
          <w:tcPr>
            <w:tcW w:w="2070" w:type="dxa"/>
            <w:hideMark/>
          </w:tcPr>
          <w:p w14:paraId="12C7D209"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Bulky setup, calibration required</w:t>
            </w:r>
          </w:p>
        </w:tc>
        <w:tc>
          <w:tcPr>
            <w:tcW w:w="1585" w:type="dxa"/>
            <w:hideMark/>
          </w:tcPr>
          <w:p w14:paraId="16D16DD3"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2000–3000</w:t>
            </w:r>
          </w:p>
        </w:tc>
      </w:tr>
      <w:tr w:rsidR="00CE64DB" w:rsidRPr="00090DDB" w14:paraId="51160E8D"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6D751229" w14:textId="77777777" w:rsidR="00CE64DB" w:rsidRPr="00090DDB" w:rsidRDefault="00CE64DB" w:rsidP="001150F4">
            <w:pPr>
              <w:rPr>
                <w:b/>
                <w:bCs/>
                <w:i w:val="0"/>
                <w:iCs w:val="0"/>
                <w:sz w:val="18"/>
                <w:szCs w:val="18"/>
              </w:rPr>
            </w:pPr>
            <w:r w:rsidRPr="00090DDB">
              <w:rPr>
                <w:b/>
                <w:bCs/>
                <w:i w:val="0"/>
                <w:iCs w:val="0"/>
                <w:sz w:val="18"/>
                <w:szCs w:val="18"/>
              </w:rPr>
              <w:t>Skin moisture / wettedness</w:t>
            </w:r>
          </w:p>
        </w:tc>
        <w:tc>
          <w:tcPr>
            <w:tcW w:w="1585" w:type="dxa"/>
            <w:hideMark/>
          </w:tcPr>
          <w:p w14:paraId="3F46A3D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Capacitance / dielectric probe</w:t>
            </w:r>
          </w:p>
        </w:tc>
        <w:tc>
          <w:tcPr>
            <w:tcW w:w="990" w:type="dxa"/>
            <w:hideMark/>
          </w:tcPr>
          <w:p w14:paraId="1408F73B"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1–10 Hz</w:t>
            </w:r>
          </w:p>
        </w:tc>
        <w:tc>
          <w:tcPr>
            <w:tcW w:w="1475" w:type="dxa"/>
            <w:hideMark/>
          </w:tcPr>
          <w:p w14:paraId="370150C6"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Compact, non-invasive</w:t>
            </w:r>
          </w:p>
        </w:tc>
        <w:tc>
          <w:tcPr>
            <w:tcW w:w="2070" w:type="dxa"/>
            <w:hideMark/>
          </w:tcPr>
          <w:p w14:paraId="48849A90"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Indirect for rate, pressure sensitive</w:t>
            </w:r>
          </w:p>
        </w:tc>
        <w:tc>
          <w:tcPr>
            <w:tcW w:w="1585" w:type="dxa"/>
            <w:hideMark/>
          </w:tcPr>
          <w:p w14:paraId="222A6FF7"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300–1500</w:t>
            </w:r>
          </w:p>
        </w:tc>
      </w:tr>
      <w:tr w:rsidR="00CE64DB" w:rsidRPr="00090DDB" w14:paraId="66F28C4B"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56391D6C" w14:textId="77777777" w:rsidR="00CE64DB" w:rsidRPr="00090DDB" w:rsidRDefault="00CE64DB" w:rsidP="001150F4">
            <w:pPr>
              <w:rPr>
                <w:b/>
                <w:bCs/>
                <w:i w:val="0"/>
                <w:iCs w:val="0"/>
                <w:sz w:val="18"/>
                <w:szCs w:val="18"/>
              </w:rPr>
            </w:pPr>
            <w:r w:rsidRPr="00090DDB">
              <w:rPr>
                <w:b/>
                <w:bCs/>
                <w:i w:val="0"/>
                <w:iCs w:val="0"/>
                <w:sz w:val="18"/>
                <w:szCs w:val="18"/>
              </w:rPr>
              <w:t>Absorbent patch (REG)</w:t>
            </w:r>
          </w:p>
        </w:tc>
        <w:tc>
          <w:tcPr>
            <w:tcW w:w="1585" w:type="dxa"/>
            <w:hideMark/>
          </w:tcPr>
          <w:p w14:paraId="682AAF25"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Filter pad gravimetry + ion analysis</w:t>
            </w:r>
          </w:p>
        </w:tc>
        <w:tc>
          <w:tcPr>
            <w:tcW w:w="990" w:type="dxa"/>
            <w:hideMark/>
          </w:tcPr>
          <w:p w14:paraId="488E0265"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Block (10–30 min)</w:t>
            </w:r>
          </w:p>
        </w:tc>
        <w:tc>
          <w:tcPr>
            <w:tcW w:w="1475" w:type="dxa"/>
            <w:hideMark/>
          </w:tcPr>
          <w:p w14:paraId="0AFEC25F"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Chemical analysis</w:t>
            </w:r>
          </w:p>
        </w:tc>
        <w:tc>
          <w:tcPr>
            <w:tcW w:w="2070" w:type="dxa"/>
            <w:hideMark/>
          </w:tcPr>
          <w:p w14:paraId="6A737CA4"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Discrete, no temporal resolution</w:t>
            </w:r>
          </w:p>
        </w:tc>
        <w:tc>
          <w:tcPr>
            <w:tcW w:w="1585" w:type="dxa"/>
            <w:hideMark/>
          </w:tcPr>
          <w:p w14:paraId="6B81A061"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Consumable + lab</w:t>
            </w:r>
          </w:p>
        </w:tc>
      </w:tr>
      <w:tr w:rsidR="00CE64DB" w:rsidRPr="00090DDB" w14:paraId="5B7DDE25"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01FCF82F" w14:textId="77777777" w:rsidR="00CE64DB" w:rsidRPr="00090DDB" w:rsidRDefault="00CE64DB" w:rsidP="001150F4">
            <w:pPr>
              <w:rPr>
                <w:b/>
                <w:bCs/>
                <w:i w:val="0"/>
                <w:iCs w:val="0"/>
                <w:sz w:val="18"/>
                <w:szCs w:val="18"/>
              </w:rPr>
            </w:pPr>
            <w:r w:rsidRPr="00090DDB">
              <w:rPr>
                <w:b/>
                <w:bCs/>
                <w:i w:val="0"/>
                <w:iCs w:val="0"/>
                <w:sz w:val="18"/>
                <w:szCs w:val="18"/>
              </w:rPr>
              <w:t>Colorimetric / hydrochromic patch</w:t>
            </w:r>
          </w:p>
        </w:tc>
        <w:tc>
          <w:tcPr>
            <w:tcW w:w="1585" w:type="dxa"/>
            <w:hideMark/>
          </w:tcPr>
          <w:p w14:paraId="60C9DBDE"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Color / length-of-fill microfluidic</w:t>
            </w:r>
          </w:p>
        </w:tc>
        <w:tc>
          <w:tcPr>
            <w:tcW w:w="990" w:type="dxa"/>
            <w:hideMark/>
          </w:tcPr>
          <w:p w14:paraId="3B04C7B7"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Visual / photo</w:t>
            </w:r>
          </w:p>
        </w:tc>
        <w:tc>
          <w:tcPr>
            <w:tcW w:w="1475" w:type="dxa"/>
            <w:hideMark/>
          </w:tcPr>
          <w:p w14:paraId="416E8FD2"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Low burden, field deployable</w:t>
            </w:r>
          </w:p>
        </w:tc>
        <w:tc>
          <w:tcPr>
            <w:tcW w:w="2070" w:type="dxa"/>
            <w:hideMark/>
          </w:tcPr>
          <w:p w14:paraId="49904B0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Calibration needed</w:t>
            </w:r>
          </w:p>
        </w:tc>
        <w:tc>
          <w:tcPr>
            <w:tcW w:w="1585" w:type="dxa"/>
            <w:hideMark/>
          </w:tcPr>
          <w:p w14:paraId="3F9BEA72"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5–30 per patch</w:t>
            </w:r>
          </w:p>
        </w:tc>
      </w:tr>
      <w:tr w:rsidR="00CE64DB" w:rsidRPr="00090DDB" w14:paraId="7D9AC77E" w14:textId="77777777" w:rsidTr="00D83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06C01D44" w14:textId="77777777" w:rsidR="00CE64DB" w:rsidRPr="00090DDB" w:rsidRDefault="00CE64DB" w:rsidP="001150F4">
            <w:pPr>
              <w:rPr>
                <w:b/>
                <w:bCs/>
                <w:i w:val="0"/>
                <w:iCs w:val="0"/>
                <w:sz w:val="18"/>
                <w:szCs w:val="18"/>
              </w:rPr>
            </w:pPr>
            <w:r w:rsidRPr="00090DDB">
              <w:rPr>
                <w:b/>
                <w:bCs/>
                <w:i w:val="0"/>
                <w:iCs w:val="0"/>
                <w:sz w:val="18"/>
                <w:szCs w:val="18"/>
              </w:rPr>
              <w:t>Whole-body sweat loss (WBSL)</w:t>
            </w:r>
          </w:p>
        </w:tc>
        <w:tc>
          <w:tcPr>
            <w:tcW w:w="1585" w:type="dxa"/>
            <w:hideMark/>
          </w:tcPr>
          <w:p w14:paraId="132F7BC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Body-mass scale (pre/post)</w:t>
            </w:r>
          </w:p>
        </w:tc>
        <w:tc>
          <w:tcPr>
            <w:tcW w:w="990" w:type="dxa"/>
            <w:hideMark/>
          </w:tcPr>
          <w:p w14:paraId="1FACD62B"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Block</w:t>
            </w:r>
          </w:p>
        </w:tc>
        <w:tc>
          <w:tcPr>
            <w:tcW w:w="1475" w:type="dxa"/>
            <w:hideMark/>
          </w:tcPr>
          <w:p w14:paraId="44A0E4AC"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Simple, global index</w:t>
            </w:r>
          </w:p>
        </w:tc>
        <w:tc>
          <w:tcPr>
            <w:tcW w:w="2070" w:type="dxa"/>
            <w:hideMark/>
          </w:tcPr>
          <w:p w14:paraId="6B716509"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No spatial or temporal resolution</w:t>
            </w:r>
          </w:p>
        </w:tc>
        <w:tc>
          <w:tcPr>
            <w:tcW w:w="1585" w:type="dxa"/>
            <w:hideMark/>
          </w:tcPr>
          <w:p w14:paraId="783E0034" w14:textId="77777777" w:rsidR="00CE64DB" w:rsidRPr="00090DDB"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090DDB">
              <w:rPr>
                <w:sz w:val="18"/>
                <w:szCs w:val="18"/>
              </w:rPr>
              <w:t>&lt; 200</w:t>
            </w:r>
          </w:p>
        </w:tc>
      </w:tr>
      <w:tr w:rsidR="00CE64DB" w:rsidRPr="00090DDB" w14:paraId="00D9D535" w14:textId="77777777" w:rsidTr="00D83D3A">
        <w:tc>
          <w:tcPr>
            <w:cnfStyle w:val="001000000000" w:firstRow="0" w:lastRow="0" w:firstColumn="1" w:lastColumn="0" w:oddVBand="0" w:evenVBand="0" w:oddHBand="0" w:evenHBand="0" w:firstRowFirstColumn="0" w:firstRowLastColumn="0" w:lastRowFirstColumn="0" w:lastRowLastColumn="0"/>
            <w:tcW w:w="1350" w:type="dxa"/>
            <w:hideMark/>
          </w:tcPr>
          <w:p w14:paraId="35E42FAD" w14:textId="77777777" w:rsidR="00CE64DB" w:rsidRPr="00090DDB" w:rsidRDefault="00CE64DB" w:rsidP="001150F4">
            <w:pPr>
              <w:rPr>
                <w:b/>
                <w:bCs/>
                <w:i w:val="0"/>
                <w:iCs w:val="0"/>
                <w:sz w:val="18"/>
                <w:szCs w:val="18"/>
              </w:rPr>
            </w:pPr>
            <w:r w:rsidRPr="00090DDB">
              <w:rPr>
                <w:b/>
                <w:bCs/>
                <w:i w:val="0"/>
                <w:iCs w:val="0"/>
                <w:sz w:val="18"/>
                <w:szCs w:val="18"/>
              </w:rPr>
              <w:t>EDA** (SCL/SCR)</w:t>
            </w:r>
          </w:p>
        </w:tc>
        <w:tc>
          <w:tcPr>
            <w:tcW w:w="1585" w:type="dxa"/>
            <w:hideMark/>
          </w:tcPr>
          <w:p w14:paraId="0E05BFEA"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Ag/AgCl electrodes (0.5 V)</w:t>
            </w:r>
          </w:p>
        </w:tc>
        <w:tc>
          <w:tcPr>
            <w:tcW w:w="990" w:type="dxa"/>
            <w:hideMark/>
          </w:tcPr>
          <w:p w14:paraId="0DA0331A"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4–32 Hz</w:t>
            </w:r>
          </w:p>
        </w:tc>
        <w:tc>
          <w:tcPr>
            <w:tcW w:w="1475" w:type="dxa"/>
            <w:hideMark/>
          </w:tcPr>
          <w:p w14:paraId="55D51DAC"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Sensitive, continuous, non-invasive</w:t>
            </w:r>
          </w:p>
        </w:tc>
        <w:tc>
          <w:tcPr>
            <w:tcW w:w="2070" w:type="dxa"/>
            <w:hideMark/>
          </w:tcPr>
          <w:p w14:paraId="6BE03649"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Emotion confounds</w:t>
            </w:r>
          </w:p>
        </w:tc>
        <w:tc>
          <w:tcPr>
            <w:tcW w:w="1585" w:type="dxa"/>
            <w:hideMark/>
          </w:tcPr>
          <w:p w14:paraId="138F7074" w14:textId="77777777" w:rsidR="00CE64DB" w:rsidRPr="00090DDB"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090DDB">
              <w:rPr>
                <w:sz w:val="18"/>
                <w:szCs w:val="18"/>
              </w:rPr>
              <w:t>500–1500</w:t>
            </w:r>
          </w:p>
        </w:tc>
      </w:tr>
    </w:tbl>
    <w:p w14:paraId="3FD4F52C" w14:textId="77777777" w:rsidR="00CE64DB" w:rsidRPr="00E148CE" w:rsidRDefault="00CE64DB" w:rsidP="001150F4">
      <w:r w:rsidRPr="001D228D">
        <w:lastRenderedPageBreak/>
        <w:br/>
        <w:t>* Costs represent approximate 2024 academic prices for durable equipment; disposables, maintenance and analysis software are not included.</w:t>
      </w:r>
      <w:r w:rsidRPr="001D228D">
        <w:br/>
        <w:t>** EDA = electrodermal activity; SCL = skin conductance level; SCR = skin conductance response.</w:t>
      </w:r>
    </w:p>
    <w:p w14:paraId="67CE652F" w14:textId="77777777" w:rsidR="00CE64DB" w:rsidRPr="001D228D" w:rsidRDefault="00CE64DB" w:rsidP="007A2440">
      <w:pPr>
        <w:pStyle w:val="Heading2"/>
        <w:rPr>
          <w:lang w:val="en-GB"/>
        </w:rPr>
      </w:pPr>
      <w:bookmarkStart w:id="49" w:name="_Toc211009215"/>
      <w:bookmarkStart w:id="50" w:name="_Toc223281684"/>
      <w:r w:rsidRPr="001D228D">
        <w:rPr>
          <w:lang w:val="en-GB"/>
        </w:rPr>
        <w:t>Heart rate and heart rate variability</w:t>
      </w:r>
      <w:bookmarkEnd w:id="49"/>
      <w:bookmarkEnd w:id="50"/>
    </w:p>
    <w:p w14:paraId="740CBD53" w14:textId="77777777" w:rsidR="00CE64DB" w:rsidRPr="001D228D" w:rsidRDefault="00CE64DB" w:rsidP="007A2440">
      <w:pPr>
        <w:pStyle w:val="Heading3"/>
        <w:rPr>
          <w:lang w:val="en-GB"/>
        </w:rPr>
      </w:pPr>
      <w:bookmarkStart w:id="51" w:name="_Toc211009216"/>
      <w:bookmarkStart w:id="52" w:name="_Toc223281685"/>
      <w:r w:rsidRPr="001D228D">
        <w:rPr>
          <w:lang w:val="en-GB"/>
        </w:rPr>
        <w:t>Why: the mechanistic reasons behind the measurement</w:t>
      </w:r>
      <w:bookmarkEnd w:id="51"/>
      <w:bookmarkEnd w:id="52"/>
    </w:p>
    <w:p w14:paraId="27C7FFA8" w14:textId="0681467E" w:rsidR="00CE64DB" w:rsidRPr="001D228D" w:rsidRDefault="00CE64DB" w:rsidP="001150F4">
      <w:r w:rsidRPr="001D228D">
        <w:t xml:space="preserve">Heart rate (HR) is a primary indicator of the cardiovascular workload required to support metabolic demands and heat exchange. In resting humans, HR reflects the balance of sympathetic and parasympathetic outflow to the sinoatrial node, with vagal influences predominating under sedentary conditions </w:t>
      </w:r>
      <w:sdt>
        <w:sdtPr>
          <w:rPr>
            <w:color w:val="000000"/>
          </w:rPr>
          <w:tag w:val="MENDELEY_CITATION_v3_eyJjaXRhdGlvbklEIjoiTUVOREVMRVlfQ0lUQVRJT05fYmQ5M2VhMjItNjU1MC00YTA3LWJhOGEtYmRlNTQ0ZDY3ZTQ4IiwicHJvcGVydGllcyI6eyJub3RlSW5kZXgiOjB9LCJpc0VkaXRlZCI6ZmFsc2UsIm1hbnVhbE92ZXJyaWRlIjp7ImNpdGVwcm9jVGV4dCI6IlsyNzMsMjc0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"/>
          <w:id w:val="482123817"/>
          <w:placeholder>
            <w:docPart w:val="DefaultPlaceholder_-1854013440"/>
          </w:placeholder>
        </w:sdtPr>
        <w:sdtContent>
          <w:r w:rsidR="00B43409" w:rsidRPr="00B43409">
            <w:rPr>
              <w:color w:val="000000"/>
            </w:rPr>
            <w:t>[273,274]</w:t>
          </w:r>
        </w:sdtContent>
      </w:sdt>
      <w:r w:rsidRPr="001D228D">
        <w:t xml:space="preserve">. When the body is exposed to heat, this balance shifts markedly. Cutaneous vasodilation, required to transfer heat from the core to the skin, reduces total peripheral resistance, compelling the cardiovascular system to increase cardiac output to maintain arterial pressure </w:t>
      </w:r>
      <w:sdt>
        <w:sdtPr>
          <w:rPr>
            <w:color w:val="000000"/>
          </w:rPr>
          <w:tag w:val="MENDELEY_CITATION_v3_eyJjaXRhdGlvbklEIjoiTUVOREVMRVlfQ0lUQVRJT05fM2YxZmE5ZDUtZTkzZS00ZWRkLTg1NDAtMjhiYTE2MmMxZmJiIiwicHJvcGVydGllcyI6eyJub3RlSW5kZXgiOjB9LCJpc0VkaXRlZCI6ZmFsc2UsIm1hbnVhbE92ZXJyaWRlIjp7ImNpdGVwcm9jVGV4dCI6IlsyNzUsMjc2X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"/>
          <w:id w:val="-143972351"/>
          <w:placeholder>
            <w:docPart w:val="DefaultPlaceholder_-1854013440"/>
          </w:placeholder>
        </w:sdtPr>
        <w:sdtContent>
          <w:r w:rsidR="00B43409" w:rsidRPr="00B43409">
            <w:rPr>
              <w:color w:val="000000"/>
            </w:rPr>
            <w:t>[275,276]</w:t>
          </w:r>
        </w:sdtContent>
      </w:sdt>
      <w:r w:rsidRPr="001D228D">
        <w:t xml:space="preserve">. In healthy adults under passive heat stress, this increase in cardiac output is achieved primarily by raising HR rather than through substantial changes in stroke volume </w:t>
      </w:r>
      <w:sdt>
        <w:sdtPr>
          <w:rPr>
            <w:color w:val="000000"/>
          </w:rPr>
          <w:tag w:val="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"/>
          <w:id w:val="854692531"/>
          <w:placeholder>
            <w:docPart w:val="DefaultPlaceholder_-1854013440"/>
          </w:placeholder>
        </w:sdtPr>
        <w:sdtContent>
          <w:r w:rsidR="00B43409" w:rsidRPr="00B43409">
            <w:rPr>
              <w:color w:val="000000"/>
            </w:rPr>
            <w:t>[277–280]</w:t>
          </w:r>
        </w:sdtContent>
      </w:sdt>
      <w:r w:rsidRPr="001D228D">
        <w:t xml:space="preserve">. Classic invasive studies demonstrate an approximately linear relationship between internal temperature and HR, typically showing increases of ~7 beats·min⁻¹ per 1 °C rise in core temperature </w:t>
      </w:r>
      <w:sdt>
        <w:sdtPr>
          <w:rPr>
            <w:color w:val="000000"/>
          </w:rPr>
          <w:tag w:val="MENDELEY_CITATION_v3_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"/>
          <w:id w:val="-1216963509"/>
          <w:placeholder>
            <w:docPart w:val="DefaultPlaceholder_-1854013440"/>
          </w:placeholder>
        </w:sdtPr>
        <w:sdtContent>
          <w:r w:rsidR="00B43409" w:rsidRPr="00B43409">
            <w:rPr>
              <w:color w:val="000000"/>
            </w:rPr>
            <w:t>[280,281]</w:t>
          </w:r>
        </w:sdtContent>
      </w:sdt>
      <w:r w:rsidRPr="001D228D">
        <w:t>, making HR a direct marker of combined thermal and circulatory strain.</w:t>
      </w:r>
    </w:p>
    <w:p w14:paraId="3EA79617" w14:textId="18F46DFB" w:rsidR="00CE64DB" w:rsidRPr="001D228D" w:rsidRDefault="00CE64DB" w:rsidP="001150F4">
      <w:r w:rsidRPr="001D228D">
        <w:t xml:space="preserve">Even in thermoneutral indoor environments, modest shifts in air temperature, mean radiant temperature, posture, or arousal elicit measurable autonomic adjustments that alter HR </w:t>
      </w:r>
      <w:sdt>
        <w:sdtPr>
          <w:rPr>
            <w:color w:val="000000"/>
          </w:rPr>
          <w:tag w:val="MENDELEY_CITATION_v3_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"/>
          <w:id w:val="-928111506"/>
          <w:placeholder>
            <w:docPart w:val="DefaultPlaceholder_-1854013440"/>
          </w:placeholder>
        </w:sdtPr>
        <w:sdtContent>
          <w:r w:rsidR="00B43409" w:rsidRPr="00B43409">
            <w:rPr>
              <w:color w:val="000000"/>
            </w:rPr>
            <w:t>[282,283]</w:t>
          </w:r>
        </w:sdtContent>
      </w:sdt>
      <w:r w:rsidRPr="001D228D">
        <w:t>. Thus, HR functions as a continuous index of the chronotropic effort required to stabilise blood pressure while simultaneously supporting thermoregulation. When paired with core and skin temperatures, HR helps distinguish equivalent thermal states that are reached through different cardiovascular costs across individuals, times of day, or exposure histories.</w:t>
      </w:r>
    </w:p>
    <w:p w14:paraId="3E35C3D3" w14:textId="4E07610B" w:rsidR="00CE64DB" w:rsidRPr="001D228D" w:rsidRDefault="00CE64DB" w:rsidP="001150F4">
      <w:r w:rsidRPr="001D228D">
        <w:t xml:space="preserve">Heart rate variability (HRV) quantifies the pattern and magnitude of beat-to-beat fluctuations around this mean rate. These fluctuations arise from baroreflex activity, respiratory sinus arrhythmia, vasomotor oscillations, and higher-order central autonomic regulation </w:t>
      </w:r>
      <w:sdt>
        <w:sdtPr>
          <w:rPr>
            <w:color w:val="000000"/>
          </w:rPr>
          <w:tag w:val="MENDELEY_CITATION_v3_eyJjaXRhdGlvbklEIjoiTUVOREVMRVlfQ0lUQVRJT05fNjRkN2RmMjktZjIzNS00ZDNhLTk4YWMtMjRhNGUyYTE5MDZjIiwicHJvcGVydGllcyI6eyJub3RlSW5kZXgiOjB9LCJpc0VkaXRlZCI6ZmFsc2UsIm1hbnVhbE92ZXJyaWRlIjp7ImNpdGVwcm9jVGV4dCI6Ils5LDI4MiwyODRdIiwiaXNNYW51YWxseU92ZXJyaWRkZW4iOmZhbHNlLCJtYW51YWxPdmVycmlkZVRleHQiOiIifSwiY2l0YXRpb25JdGVtcyI6W3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"/>
          <w:id w:val="-2032325741"/>
          <w:placeholder>
            <w:docPart w:val="DefaultPlaceholder_-1854013440"/>
          </w:placeholder>
        </w:sdtPr>
        <w:sdtContent>
          <w:r w:rsidR="00B43409" w:rsidRPr="00B43409">
            <w:rPr>
              <w:color w:val="000000"/>
            </w:rPr>
            <w:t>[9,282,284]</w:t>
          </w:r>
        </w:sdtContent>
      </w:sdt>
      <w:r w:rsidRPr="001D228D">
        <w:t xml:space="preserve">. High resting HRV is associated with adaptive autonomic flexibility and strong vagal influence, whereas chronically reduced HRV reflects diminished baroreflex gain, reduced autonomic complexity, and elevated allostatic load </w:t>
      </w:r>
      <w:sdt>
        <w:sdtPr>
          <w:rPr>
            <w:color w:val="000000"/>
          </w:rPr>
          <w:tag w:val="MENDELEY_CITATION_v3_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"/>
          <w:id w:val="-1035738298"/>
          <w:placeholder>
            <w:docPart w:val="DefaultPlaceholder_-1854013440"/>
          </w:placeholder>
        </w:sdtPr>
        <w:sdtContent>
          <w:r w:rsidR="00B43409" w:rsidRPr="00B43409">
            <w:rPr>
              <w:color w:val="000000"/>
            </w:rPr>
            <w:t>[283,285]</w:t>
          </w:r>
        </w:sdtContent>
      </w:sdt>
      <w:r w:rsidRPr="001D228D">
        <w:t>.</w:t>
      </w:r>
    </w:p>
    <w:p w14:paraId="2FA65CD4" w14:textId="43AFC7E5" w:rsidR="00CE64DB" w:rsidRPr="001D228D" w:rsidRDefault="00CE64DB" w:rsidP="001150F4">
      <w:r w:rsidRPr="001D228D">
        <w:t xml:space="preserve">HRV analysis is useful in thermal-environment studies because thermoregulation imposes rapid shifts in both sympathetic and parasympathetic outflow. Heat exposure usually induces withdrawal of vagal (parasympathetic) influence, leading to reductions in vagally mediated HRV indices, particularly in the high-frequency (HF) range linked to respiratory sinus arrhythmia: mean HR rises, HF-HRV decreases, and LF and LF/HF frequently increase </w:t>
      </w:r>
      <w:sdt>
        <w:sdtPr>
          <w:rPr>
            <w:color w:val="000000"/>
          </w:rPr>
          <w:tag w:val="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"/>
          <w:id w:val="393317578"/>
          <w:placeholder>
            <w:docPart w:val="DefaultPlaceholder_-1854013440"/>
          </w:placeholder>
        </w:sdtPr>
        <w:sdtContent>
          <w:r w:rsidR="00B43409" w:rsidRPr="00B43409">
            <w:rPr>
              <w:color w:val="000000"/>
            </w:rPr>
            <w:t>[286–289]</w:t>
          </w:r>
        </w:sdtContent>
      </w:sdt>
      <w:r w:rsidRPr="001D228D">
        <w:t xml:space="preserve">. At the same time, moderate to pronounced heat stress is a strong sympathoexcitatory stimulus, increasing indices such as muscle sympathetic nerve activity </w:t>
      </w:r>
      <w:sdt>
        <w:sdtPr>
          <w:rPr>
            <w:color w:val="000000"/>
          </w:rPr>
          <w:tag w:val="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"/>
          <w:id w:val="-33125049"/>
          <w:placeholder>
            <w:docPart w:val="DefaultPlaceholder_-1854013440"/>
          </w:placeholder>
        </w:sdtPr>
        <w:sdtContent>
          <w:r w:rsidR="00B43409" w:rsidRPr="00B43409">
            <w:rPr>
              <w:color w:val="000000"/>
            </w:rPr>
            <w:t>[286,290–293]</w:t>
          </w:r>
        </w:sdtContent>
      </w:sdt>
      <w:r w:rsidRPr="001D228D">
        <w:t>. Together, these shifts alter time-domain and spectral HRV measures and can reveal how much autonomic effort is required to sustain thermal homeostasis.</w:t>
      </w:r>
    </w:p>
    <w:p w14:paraId="1C440F6E" w14:textId="38E5C4E5" w:rsidR="00CE64DB" w:rsidRPr="001D228D" w:rsidRDefault="00CE64DB" w:rsidP="001150F4">
      <w:r w:rsidRPr="001D228D">
        <w:t xml:space="preserve">Some frequency components of HRV have particular relevance for thermoregulation. Very-low-frequency (VLF) oscillations (~0.003–0.04 Hz) have been linked to slow thermoregulatory and vasomotor processes, including modulation of peripheral arterial tone </w:t>
      </w:r>
      <w:sdt>
        <w:sdtPr>
          <w:rPr>
            <w:color w:val="000000"/>
          </w:rPr>
          <w:tag w:val="MENDELEY_CITATION_v3_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"/>
          <w:id w:val="-123160279"/>
          <w:placeholder>
            <w:docPart w:val="DefaultPlaceholder_-1854013440"/>
          </w:placeholder>
        </w:sdtPr>
        <w:sdtContent>
          <w:r w:rsidR="00B43409" w:rsidRPr="00B43409">
            <w:rPr>
              <w:color w:val="000000"/>
            </w:rPr>
            <w:t>[284,294–297]</w:t>
          </w:r>
        </w:sdtContent>
      </w:sdt>
      <w:r w:rsidRPr="001D228D">
        <w:t xml:space="preserve">. This band likely reflects a mixture of mechanisms, but changes in VLF power during or after thermal perturbations can be informative about longer-timescale adjustments in vascular and thermal control. The HF band (~0.15–0.4 Hz) predominantly indexes short-latency vagal modulation and is sensitive to both respiratory pattern and heat-induced vagal withdrawal. The LF band (~0.04–0.15 Hz) reflects combined baroreflex and autonomic influences; although its interpretation as a direct marker of “sympathetic activity” is debated </w:t>
      </w:r>
      <w:sdt>
        <w:sdtPr>
          <w:rPr>
            <w:color w:val="000000"/>
          </w:rPr>
          <w:tag w:val="MENDELEY_CITATION_v3_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"/>
          <w:id w:val="-1902051587"/>
          <w:placeholder>
            <w:docPart w:val="DefaultPlaceholder_-1854013440"/>
          </w:placeholder>
        </w:sdtPr>
        <w:sdtContent>
          <w:r w:rsidR="00B43409" w:rsidRPr="00B43409">
            <w:rPr>
              <w:color w:val="000000"/>
            </w:rPr>
            <w:t>[298]</w:t>
          </w:r>
        </w:sdtContent>
      </w:sdt>
      <w:r w:rsidRPr="001D228D">
        <w:t xml:space="preserve">, LF and LF/HF often change systematically with thermal load and can still serve as descriptive markers if interpreted cautiously </w:t>
      </w:r>
      <w:sdt>
        <w:sdtPr>
          <w:rPr>
            <w:color w:val="000000"/>
          </w:rPr>
          <w:tag w:val="MENDELEY_CITATION_v3_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"/>
          <w:id w:val="-599333386"/>
          <w:placeholder>
            <w:docPart w:val="DefaultPlaceholder_-1854013440"/>
          </w:placeholder>
        </w:sdtPr>
        <w:sdtContent>
          <w:r w:rsidR="00B43409" w:rsidRPr="00B43409">
            <w:rPr>
              <w:color w:val="000000"/>
            </w:rPr>
            <w:t>[299]</w:t>
          </w:r>
        </w:sdtContent>
      </w:sdt>
      <w:r w:rsidRPr="001D228D">
        <w:t>.</w:t>
      </w:r>
    </w:p>
    <w:p w14:paraId="7A109D57" w14:textId="77777777" w:rsidR="00CE64DB" w:rsidRPr="001D228D" w:rsidRDefault="00CE64DB" w:rsidP="001150F4">
      <w:r w:rsidRPr="001D228D">
        <w:t xml:space="preserve">In the context of indoor-environment research, HR and HRV provide complementary views of how the cardiovascular and autonomic systems maintain thermal balance. HR quantifies the overall cardiovascular effort required under a given environmental load; HRV describes the organisation, flexibility, and </w:t>
      </w:r>
      <w:r w:rsidRPr="001D228D">
        <w:rPr>
          <w:i/>
          <w:iCs/>
        </w:rPr>
        <w:t>cost</w:t>
      </w:r>
      <w:r w:rsidRPr="001D228D">
        <w:t xml:space="preserve"> of that effort. When combined with core and skin temperatures, blood pressure, and sweating responses, these signals enable researchers to characterise not only the thermal state itself but the physiological work required to achieve and sustain it.</w:t>
      </w:r>
    </w:p>
    <w:p w14:paraId="0BACA666" w14:textId="1162CDFA" w:rsidR="00CE64DB" w:rsidRPr="001D228D" w:rsidRDefault="00CE64DB" w:rsidP="001150F4">
      <w:bookmarkStart w:id="53" w:name="_Toc211009217"/>
      <w:bookmarkStart w:id="54" w:name="_Toc223281686"/>
      <w:r w:rsidRPr="001D228D">
        <w:lastRenderedPageBreak/>
        <w:t>How: sensor types for measurement</w:t>
      </w:r>
      <w:bookmarkEnd w:id="53"/>
      <w:bookmarkEnd w:id="54"/>
      <w:r w:rsidRPr="001D228D">
        <w:t xml:space="preserve"> </w:t>
      </w:r>
      <w:bookmarkStart w:id="55" w:name="_Toc211009218"/>
      <w:r w:rsidRPr="001D228D">
        <w:t>HR and HRV require a time series in which individual cardiac cycles can be identified with sufficient temporal precision to derive interbeat intervals. In practice, this is achieved via signals that capture either the electrical depolarisation of the heart (electrocardiography, ECG) or the peripheral pulse wave (photoplethysmography, PPG), as well as devices that embed these sensors in wearable formats.</w:t>
      </w:r>
    </w:p>
    <w:p w14:paraId="797859BD" w14:textId="6AC8A0A9" w:rsidR="00CE64DB" w:rsidRPr="001D228D" w:rsidRDefault="00CE64DB" w:rsidP="001150F4">
      <w:pPr>
        <w:rPr>
          <w:b/>
          <w:bCs/>
        </w:rPr>
      </w:pPr>
      <w:r w:rsidRPr="001D228D">
        <w:rPr>
          <w:rStyle w:val="Strong"/>
        </w:rPr>
        <w:t xml:space="preserve">Laboratory electrocardiography (ECG). </w:t>
      </w:r>
      <w:r w:rsidRPr="001D228D">
        <w:t xml:space="preserve">The reference method for HR and HRV is multi- or single-lead ECG, which records cardiac depolarisation directly from the thorax (Task Force of the ESC/NASPE, 1996; Berntson et al., 1997). Short-term HRV is typically derived from 3–12 leads sampled at ≥250–500 Hz to resolve R peaks with millisecond precision and avoid aliasing in the HF band </w:t>
      </w:r>
      <w:sdt>
        <w:sdtPr>
          <w:rPr>
            <w:color w:val="000000"/>
          </w:rPr>
          <w:tag w:val="MENDELEY_CITATION_v3_eyJjaXRhdGlvbklEIjoiTUVOREVMRVlfQ0lUQVRJT05fOTk2YmQyMzktYWFmNi00OWJkLTkzZDQtYWY2NDZjNGIzYWU0IiwicHJvcGVydGllcyI6eyJub3RlSW5kZXgiOjB9LCJpc0VkaXRlZCI6ZmFsc2UsIm1hbnVhbE92ZXJyaWRlIjp7ImNpdGVwcm9jVGV4dCI6IlsyNzMsMzAw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"/>
          <w:id w:val="1267195238"/>
          <w:placeholder>
            <w:docPart w:val="DefaultPlaceholder_-1854013440"/>
          </w:placeholder>
        </w:sdtPr>
        <w:sdtContent>
          <w:r w:rsidR="00B43409" w:rsidRPr="00B43409">
            <w:rPr>
              <w:color w:val="000000"/>
            </w:rPr>
            <w:t>[273,300]</w:t>
          </w:r>
        </w:sdtContent>
      </w:sdt>
      <w:r w:rsidRPr="001D228D">
        <w:t xml:space="preserve">. For building-scale experiments, a single modified lead II or a 3-lead configuration is usually sufficient, provided that R-waves are clearly distinguishable from noise. Higher sampling (500–1000 Hz) improves timing accuracy for nonlinear indices and ectopic-beat editing </w:t>
      </w:r>
      <w:sdt>
        <w:sdtPr>
          <w:rPr>
            <w:color w:val="000000"/>
          </w:rPr>
          <w:tag w:val="MENDELEY_CITATION_v3_eyJjaXRhdGlvbklEIjoiTUVOREVMRVlfQ0lUQVRJT05fMjBlMzg2ZWItMzVlMi00NWRlLWJmNGUtZWJmYTYxYWQyZDE2IiwicHJvcGVydGllcyI6eyJub3RlSW5kZXgiOjB9LCJpc0VkaXRlZCI6ZmFsc2UsIm1hbnVhbE92ZXJyaWRlIjp7ImNpdGVwcm9jVGV4dCI6IlsyNzQsMzAxXSIsImlzTWFudWFsbHlPdmVycmlkZGVuIjpmYWxzZSwibWFudWFsT3ZlcnJpZGVUZXh0IjoiIn0sImNpdGF0aW9uSXRlbXMiOlt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V19"/>
          <w:id w:val="-807868022"/>
          <w:placeholder>
            <w:docPart w:val="DefaultPlaceholder_-1854013440"/>
          </w:placeholder>
        </w:sdtPr>
        <w:sdtContent>
          <w:r w:rsidR="00B43409" w:rsidRPr="00B43409">
            <w:rPr>
              <w:color w:val="000000"/>
            </w:rPr>
            <w:t>[274,301]</w:t>
          </w:r>
        </w:sdtContent>
      </w:sdt>
      <w:r w:rsidRPr="001D228D">
        <w:t xml:space="preserve">. Research-grade ECG systems provide full waveforms, enabling visual inspection, manual or semi-automated artefact correction, and standardised time- and frequency-domain analysis </w:t>
      </w:r>
      <w:sdt>
        <w:sdtPr>
          <w:rPr>
            <w:color w:val="000000"/>
          </w:rPr>
          <w:tag w:val="MENDELEY_CITATION_v3_eyJjaXRhdGlvbklEIjoiTUVOREVMRVlfQ0lUQVRJT05fNTg3MGYxNTctMWQ4NS00M2EwLTkzODQtZWUzNDk3NmJiZTlhIiwicHJvcGVydGllcyI6eyJub3RlSW5kZXgiOjB9LCJpc0VkaXRlZCI6ZmFsc2UsIm1hbnVhbE92ZXJyaWRlIjp7ImNpdGVwcm9jVGV4dCI6Ils5LDI3M10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"/>
          <w:id w:val="-1933120083"/>
          <w:placeholder>
            <w:docPart w:val="DefaultPlaceholder_-1854013440"/>
          </w:placeholder>
        </w:sdtPr>
        <w:sdtContent>
          <w:r w:rsidR="00B43409" w:rsidRPr="00B43409">
            <w:rPr>
              <w:color w:val="000000"/>
            </w:rPr>
            <w:t>[9,273]</w:t>
          </w:r>
        </w:sdtContent>
      </w:sdt>
      <w:r w:rsidRPr="001D228D">
        <w:t>. The trade-offs are higher setup burden, the need for skin preparation and electrodes, and potential discomfort during long protocols.</w:t>
      </w:r>
    </w:p>
    <w:p w14:paraId="19179AD4" w14:textId="0BA5D072" w:rsidR="00CE64DB" w:rsidRPr="001D228D" w:rsidRDefault="00CE64DB" w:rsidP="001150F4">
      <w:r w:rsidRPr="001D228D">
        <w:rPr>
          <w:rStyle w:val="Strong"/>
        </w:rPr>
        <w:t xml:space="preserve">Holter monitors and ECG garments. </w:t>
      </w:r>
      <w:r w:rsidRPr="001D228D">
        <w:t xml:space="preserve">Holter recorders and ECG-integrated garments embed 1–3 leads in adhesive patches or textile electrodes and record continuously at 128–250 Hz over many hours </w:t>
      </w:r>
      <w:sdt>
        <w:sdtPr>
          <w:rPr>
            <w:color w:val="000000"/>
          </w:rPr>
          <w:tag w:val="MENDELEY_CITATION_v3_eyJjaXRhdGlvbklEIjoiTUVOREVMRVlfQ0lUQVRJT05fZjlhMjQ5YWEtZTkxOS00ODEzLTg0ODEtNDc5MTI3ZjcwYTczIiwicHJvcGVydGllcyI6eyJub3RlSW5kZXgiOjB9LCJpc0VkaXRlZCI6ZmFsc2UsIm1hbnVhbE92ZXJyaWRlIjp7ImNpdGVwcm9jVGV4dCI6IlszMDJd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
          <w:id w:val="848065107"/>
          <w:placeholder>
            <w:docPart w:val="DefaultPlaceholder_-1854013440"/>
          </w:placeholder>
        </w:sdtPr>
        <w:sdtContent>
          <w:r w:rsidR="00B43409" w:rsidRPr="00B43409">
            <w:rPr>
              <w:color w:val="000000"/>
            </w:rPr>
            <w:t>[302]</w:t>
          </w:r>
        </w:sdtContent>
      </w:sdt>
      <w:r w:rsidRPr="001D228D">
        <w:t xml:space="preserve">. These systems are well suited to field or day-long laboratory protocols where HR/HRV must be tracked across changing indoor environments. When electrode contact is stable and R-wave amplitude is adequate, standard HRV indices from Holter recordings closely match those from conventional ECG in resting or light-activity conditions </w:t>
      </w:r>
      <w:sdt>
        <w:sdtPr>
          <w:rPr>
            <w:color w:val="000000"/>
          </w:rPr>
          <w:tag w:val="MENDELEY_CITATION_v3_eyJjaXRhdGlvbklEIjoiTUVOREVMRVlfQ0lUQVRJT05fYTdiMjgzYTktMTFiMi00MjViLThjZGQtMDYwZTYwY2JkYzQ1IiwicHJvcGVydGllcyI6eyJub3RlSW5kZXgiOjB9LCJpc0VkaXRlZCI6ZmFsc2UsIm1hbnVhbE92ZXJyaWRlIjp7ImNpdGVwcm9jVGV4dCI6IlszMDPigJMzMDVdIiwiaXNNYW51YWxseU92ZXJyaWRkZW4iOmZhbHNlLCJtYW51YWxPdmVycmlkZVRleHQiOiIifSwiY2l0YXRpb25JdGVtcyI6W3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"/>
          <w:id w:val="490537512"/>
          <w:placeholder>
            <w:docPart w:val="DefaultPlaceholder_-1854013440"/>
          </w:placeholder>
        </w:sdtPr>
        <w:sdtContent>
          <w:r w:rsidR="00B43409" w:rsidRPr="00B43409">
            <w:rPr>
              <w:color w:val="000000"/>
            </w:rPr>
            <w:t>[303–305]</w:t>
          </w:r>
        </w:sdtContent>
      </w:sdt>
      <w:r w:rsidRPr="001D228D">
        <w:t>. Limitations include proprietary filtering pipelines, sometimes restricted access to raw ECG, and greater susceptibility to motion artefacts during free movement.</w:t>
      </w:r>
    </w:p>
    <w:p w14:paraId="399B7189" w14:textId="1665CD32" w:rsidR="00CE64DB" w:rsidRPr="001D228D" w:rsidRDefault="00CE64DB" w:rsidP="001150F4">
      <w:r w:rsidRPr="001D228D">
        <w:rPr>
          <w:rStyle w:val="Strong"/>
        </w:rPr>
        <w:t xml:space="preserve">Chest-strap heart rate monitors (single-lead ECG). </w:t>
      </w:r>
      <w:r w:rsidRPr="001D228D">
        <w:t xml:space="preserve">Chest straps use two or more dry electrodes on an elastic band to record a single-lead ECG from the lower thorax. Validated models show near-identical R–R intervals and HRV indices compared with reference ECG at rest and during low-to-moderate exercise </w:t>
      </w:r>
      <w:sdt>
        <w:sdtPr>
          <w:rPr>
            <w:color w:val="000000"/>
          </w:rPr>
          <w:tag w:val="MENDELEY_CITATION_v3_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
          <w:id w:val="92752458"/>
          <w:placeholder>
            <w:docPart w:val="DefaultPlaceholder_-1854013440"/>
          </w:placeholder>
        </w:sdtPr>
        <w:sdtContent>
          <w:r w:rsidR="00B43409" w:rsidRPr="00B43409">
            <w:rPr>
              <w:color w:val="000000"/>
            </w:rPr>
            <w:t>[306,307]</w:t>
          </w:r>
        </w:sdtContent>
      </w:sdt>
      <w:r w:rsidRPr="001D228D">
        <w:t xml:space="preserve">. Under these conditions, chest straps can serve as practical substitutes for wired ECG in seated or recumbent indoor studies, provided they export true beat-to-beat intervals rather than smoothed HR traces </w:t>
      </w:r>
      <w:sdt>
        <w:sdtPr>
          <w:rPr>
            <w:color w:val="000000"/>
          </w:rPr>
          <w:tag w:val="MENDELEY_CITATION_v3_eyJjaXRhdGlvbklEIjoiTUVOREVMRVlfQ0lUQVRJT05fNDI3MjBkMWUtOWE4Ni00MTdhLWIxYmItZGM4OWY5NjRjN2Y1IiwicHJvcGVydGllcyI6eyJub3RlSW5kZXgiOjB9LCJpc0VkaXRlZCI6ZmFsc2UsIm1hbnVhbE92ZXJyaWRlIjp7ImNpdGVwcm9jVGV4dCI6IlsyNzMsMzAx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V19"/>
          <w:id w:val="-1839069472"/>
          <w:placeholder>
            <w:docPart w:val="DefaultPlaceholder_-1854013440"/>
          </w:placeholder>
        </w:sdtPr>
        <w:sdtContent>
          <w:r w:rsidR="00B43409" w:rsidRPr="00B43409">
            <w:rPr>
              <w:color w:val="000000"/>
            </w:rPr>
            <w:t>[273,301]</w:t>
          </w:r>
        </w:sdtContent>
      </w:sdt>
      <w:r w:rsidRPr="001D228D">
        <w:t xml:space="preserve">. Their main limitations are dependence on correct strap tension and positioning, occasional contact loss from sweat or very dry skin, and device-to-device variation in internal preprocessing </w:t>
      </w:r>
      <w:sdt>
        <w:sdtPr>
          <w:rPr>
            <w:color w:val="000000"/>
          </w:rPr>
          <w:tag w:val="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"/>
          <w:id w:val="-1343933248"/>
          <w:placeholder>
            <w:docPart w:val="DefaultPlaceholder_-1854013440"/>
          </w:placeholder>
        </w:sdtPr>
        <w:sdtContent>
          <w:r w:rsidR="00B43409" w:rsidRPr="00B43409">
            <w:rPr>
              <w:color w:val="000000"/>
            </w:rPr>
            <w:t>[306–309]</w:t>
          </w:r>
        </w:sdtContent>
      </w:sdt>
      <w:r w:rsidRPr="001D228D">
        <w:t>.</w:t>
      </w:r>
    </w:p>
    <w:p w14:paraId="1B5F694B" w14:textId="620699B5" w:rsidR="00CE64DB" w:rsidRPr="001D228D" w:rsidRDefault="00CE64DB" w:rsidP="001150F4">
      <w:r w:rsidRPr="001D228D">
        <w:rPr>
          <w:rStyle w:val="Strong"/>
        </w:rPr>
        <w:t xml:space="preserve">Photoplethysmography (PPG). </w:t>
      </w:r>
      <w:r w:rsidRPr="001D228D">
        <w:t xml:space="preserve">PPG estimates HR from pulsatile changes in blood volume detected optically at the skin surface, typically at the finger pad or ear lobe </w:t>
      </w:r>
      <w:sdt>
        <w:sdtPr>
          <w:rPr>
            <w:color w:val="000000"/>
          </w:rPr>
          <w:tag w:val="MENDELEY_CITATION_v3_eyJjaXRhdGlvbklEIjoiTUVOREVMRVlfQ0lUQVRJT05fNWNmY2FjNGYtMDQ5YS00Y2Q5LWI4NmEtYmQyNDM3Mzg1ODQ1IiwicHJvcGVydGllcyI6eyJub3RlSW5kZXgiOjB9LCJpc0VkaXRlZCI6ZmFsc2UsIm1hbnVhbE92ZXJyaWRlIjp7ImNpdGVwcm9jVGV4dCI6IlsyODQsMzEwXSIsImlzTWFudWFsbHlPdmVycmlkZGVuIjpmYWxzZSwibWFudWFsT3ZlcnJpZGVUZXh0IjoiIn0sImNpdGF0aW9uSXRlbXMiOlt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1dfQ=="/>
          <w:id w:val="-818808347"/>
          <w:placeholder>
            <w:docPart w:val="DefaultPlaceholder_-1854013440"/>
          </w:placeholder>
        </w:sdtPr>
        <w:sdtContent>
          <w:r w:rsidR="00B43409" w:rsidRPr="00B43409">
            <w:rPr>
              <w:color w:val="000000"/>
            </w:rPr>
            <w:t>[284,310]</w:t>
          </w:r>
        </w:sdtContent>
      </w:sdt>
      <w:r w:rsidRPr="001D228D">
        <w:t xml:space="preserve">. Pulse-to-pulse intervals derived from these signals yield pulse-rate variability (PRV), which can approximate ECG-HRV at rest in healthy adults: studies report strong correlations and small mean differences for mean HR, SDNN, RMSSD and HF power under warm, well-perfused conditions </w:t>
      </w:r>
      <w:sdt>
        <w:sdtPr>
          <w:rPr>
            <w:color w:val="000000"/>
          </w:rPr>
          <w:tag w:val="MENDELEY_CITATION_v3_eyJjaXRhdGlvbklEIjoiTUVOREVMRVlfQ0lUQVRJT05fOTNlZjk4ZTItNTc2Yi00ZWIzLWEzYzEtMmFhYTgyOTM2NTA0IiwicHJvcGVydGllcyI6eyJub3RlSW5kZXgiOjB9LCJpc0VkaXRlZCI6ZmFsc2UsIm1hbnVhbE92ZXJyaWRlIjp7ImNpdGVwcm9jVGV4dCI6IlszMTBd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2042428617"/>
          <w:placeholder>
            <w:docPart w:val="DefaultPlaceholder_-1854013440"/>
          </w:placeholder>
        </w:sdtPr>
        <w:sdtContent>
          <w:r w:rsidR="00B43409" w:rsidRPr="00B43409">
            <w:rPr>
              <w:color w:val="000000"/>
            </w:rPr>
            <w:t>[310]</w:t>
          </w:r>
        </w:sdtContent>
      </w:sdt>
      <w:r w:rsidRPr="001D228D">
        <w:t xml:space="preserve">. However, PRV is more sensitive than ECG to local vasoconstriction, temperature-induced changes in perfusion, contact pressure, and movement </w:t>
      </w:r>
      <w:sdt>
        <w:sdtPr>
          <w:rPr>
            <w:color w:val="000000"/>
          </w:rPr>
          <w:tag w:val="MENDELEY_CITATION_v3_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lZGl0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"/>
          <w:id w:val="-300607589"/>
          <w:placeholder>
            <w:docPart w:val="DefaultPlaceholder_-1854013440"/>
          </w:placeholder>
        </w:sdtPr>
        <w:sdtContent>
          <w:r w:rsidR="00B43409" w:rsidRPr="00B43409">
            <w:rPr>
              <w:color w:val="000000"/>
            </w:rPr>
            <w:t>[311,312]</w:t>
          </w:r>
        </w:sdtContent>
      </w:sdt>
      <w:r w:rsidRPr="001D228D">
        <w:t xml:space="preserve">. Cooling the extremities, changing arm position, or applying pressure to the sensing site can distort pulse morphology or obscure beats, causing spurious variability or data loss </w:t>
      </w:r>
      <w:sdt>
        <w:sdtPr>
          <w:rPr>
            <w:color w:val="000000"/>
          </w:rPr>
          <w:tag w:val="MENDELEY_CITATION_v3_eyJjaXRhdGlvbklEIjoiTUVOREVMRVlfQ0lUQVRJT05fMDhjNmE3MjEtZmMwMi00ZDk5LWIwMWEtNTIyMDY0YWQ5OTQyIiwicHJvcGVydGllcyI6eyJub3RlSW5kZXgiOjB9LCJpc0VkaXRlZCI6ZmFsc2UsIm1hbnVhbE92ZXJyaWRlIjp7ImNpdGVwcm9jVGV4dCI6IlszMTAsMzEyXSIsImlzTWFudWFsbHlPdmVycmlkZGVuIjpmYWxzZSwibWFudWFsT3ZlcnJpZGVUZXh0IjoiIn0sImNpdGF0aW9uSXRlbXMiOlt7ImlkIjoiYjMzYTc2ZGEtNDcyMy01NTA3LTk1MzktZjZjYzFkOTc0OTU1IiwiaXRlbURhdGEiOnsiSVNCTiI6IjAxOTg1NzUzMzUiLCJhdXRo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VkaXR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"/>
          <w:id w:val="1025525270"/>
          <w:placeholder>
            <w:docPart w:val="DefaultPlaceholder_-1854013440"/>
          </w:placeholder>
        </w:sdtPr>
        <w:sdtContent>
          <w:r w:rsidR="00B43409" w:rsidRPr="00B43409">
            <w:rPr>
              <w:color w:val="000000"/>
            </w:rPr>
            <w:t>[310,312]</w:t>
          </w:r>
        </w:sdtContent>
      </w:sdt>
      <w:r w:rsidRPr="001D228D">
        <w:t>. In thermal-environment studies, these characteristics are particularly important: cooling of the extremities can reduce signal amplitude and distort interval estimates, while heating can change vascular tone and pulse transit time even if HRV at the heart remains unchanged. PRV should therefore be interpreted as a related but distinct signal, and its use for detailed frequency-domain HRV analyses, especially in protocols with large changes in local skin temperature, should be justified and ideally validated against ECG in a subset of participants.</w:t>
      </w:r>
    </w:p>
    <w:p w14:paraId="36571187" w14:textId="49E2DDF2" w:rsidR="00CE64DB" w:rsidRPr="001D228D" w:rsidRDefault="00CE64DB" w:rsidP="001150F4">
      <w:r w:rsidRPr="001D228D">
        <w:rPr>
          <w:rStyle w:val="Strong"/>
        </w:rPr>
        <w:t xml:space="preserve">Wrist- and finger-worn wearables. </w:t>
      </w:r>
      <w:r w:rsidRPr="001D228D">
        <w:t xml:space="preserve">Commercial wearables (watches, wristbands, smart rings) use reflectance PPG to estimate HR and, in some cases, HRV. Systematic reviews show that many devices estimate mean HR accurately at rest but display highly variable and often poor agreement for HRV metrics, especially LF, HF and LF/HF </w:t>
      </w:r>
      <w:sdt>
        <w:sdtPr>
          <w:rPr>
            <w:color w:val="000000"/>
          </w:rPr>
          <w:tag w:val="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"/>
          <w:id w:val="420231613"/>
          <w:placeholder>
            <w:docPart w:val="DefaultPlaceholder_-1854013440"/>
          </w:placeholder>
        </w:sdtPr>
        <w:sdtContent>
          <w:r w:rsidR="00B43409" w:rsidRPr="00B43409">
            <w:rPr>
              <w:color w:val="000000"/>
            </w:rPr>
            <w:t>[313,314]</w:t>
          </w:r>
        </w:sdtContent>
      </w:sdt>
      <w:r w:rsidRPr="001D228D">
        <w:t xml:space="preserve">. Finger-worn devices tend to outperform wrist wearables for nocturnal HR and HRV because of stronger pulsatile signals and reduced movement during sleep </w:t>
      </w:r>
      <w:sdt>
        <w:sdtPr>
          <w:rPr>
            <w:color w:val="000000"/>
          </w:rPr>
          <w:tag w:val="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1dfQ=="/>
          <w:id w:val="296425852"/>
          <w:placeholder>
            <w:docPart w:val="DefaultPlaceholder_-1854013440"/>
          </w:placeholder>
        </w:sdtPr>
        <w:sdtContent>
          <w:r w:rsidR="00B43409" w:rsidRPr="00B43409">
            <w:rPr>
              <w:color w:val="000000"/>
            </w:rPr>
            <w:t>[314–316]</w:t>
          </w:r>
        </w:sdtContent>
      </w:sdt>
      <w:r w:rsidRPr="001D228D">
        <w:t xml:space="preserve">. Nonetheless, most wearables: (i) do not provide raw interbeat intervals; (ii) use dynamic, sometimes sparse sampling schemes; and (iii) apply proprietary filtering and artefact rejection that are undocumented and can change with firmware updates </w:t>
      </w:r>
      <w:sdt>
        <w:sdtPr>
          <w:rPr>
            <w:color w:val="000000"/>
          </w:rPr>
          <w:tag w:val="MENDELEY_CITATION_v3_eyJjaXRhdGlvbklEIjoiTUVOREVMRVlfQ0lUQVRJT05fMzM0YmU0NTktNDRhNi00ZDVjLThiYTktZmJhOTc0ZTU1NDY5IiwicHJvcGVydGllcyI6eyJub3RlSW5kZXgiOjB9LCJpc0VkaXRlZCI6ZmFsc2UsIm1hbnVhbE92ZXJyaWRlIjp7ImNpdGVwcm9jVGV4dCI6IlszMTNd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
          <w:id w:val="1221333549"/>
          <w:placeholder>
            <w:docPart w:val="DefaultPlaceholder_-1854013440"/>
          </w:placeholder>
        </w:sdtPr>
        <w:sdtContent>
          <w:r w:rsidR="00B43409" w:rsidRPr="00B43409">
            <w:rPr>
              <w:color w:val="000000"/>
            </w:rPr>
            <w:t>[313]</w:t>
          </w:r>
        </w:sdtContent>
      </w:sdt>
      <w:r w:rsidRPr="001D228D">
        <w:t>. As a result, wearable-derived indices are best treated as device-specific proxies of relative autonomic state (e.g. night-to-night changes in vagal tone) rather than as interchangeable replacements for ECG-based HRV in mechanistic thermal-physiology studies.</w:t>
      </w:r>
    </w:p>
    <w:p w14:paraId="4548331F" w14:textId="77777777" w:rsidR="00CE64DB" w:rsidRPr="001D228D" w:rsidRDefault="00CE64DB" w:rsidP="001150F4">
      <w:r w:rsidRPr="00EC4529">
        <w:rPr>
          <w:rStyle w:val="Strong"/>
          <w:highlight w:val="yellow"/>
        </w:rPr>
        <w:lastRenderedPageBreak/>
        <w:t>Implications for experimental design.</w:t>
      </w:r>
      <w:r w:rsidRPr="001D228D">
        <w:rPr>
          <w:rStyle w:val="Strong"/>
        </w:rPr>
        <w:t xml:space="preserve"> </w:t>
      </w:r>
      <w:r w:rsidRPr="001D228D">
        <w:t>For mechanistic indoor-environment protocols where HRV is a primary outcome, research-grade ECG or validated chest-strap systems that output raw R–R intervals remain the preferred methods. PPG at finger or ear sites can be appropriate when electrical sensors are impractical, but its thermal sensitivity and site-specific artefacts must be considered in both design and analysis. Wrist and ring wearables can complement laboratory measurements for longer-term or field monitoring, but –unless device-specific validation is available– HRV metrics derived from them should be used cautiously and primarily for descriptive or exploratory purposes rather than as a basis for quantitative autonomic modelling.</w:t>
      </w:r>
    </w:p>
    <w:p w14:paraId="7DDE063F" w14:textId="77777777" w:rsidR="00CE64DB" w:rsidRPr="001D228D" w:rsidRDefault="00CE64DB" w:rsidP="007A2440">
      <w:pPr>
        <w:pStyle w:val="Heading3"/>
        <w:rPr>
          <w:lang w:val="en-GB"/>
        </w:rPr>
      </w:pPr>
      <w:bookmarkStart w:id="56" w:name="_Toc223281687"/>
      <w:r w:rsidRPr="001D228D">
        <w:rPr>
          <w:lang w:val="en-GB"/>
        </w:rPr>
        <w:t>Where: body sites of measurement</w:t>
      </w:r>
      <w:bookmarkEnd w:id="55"/>
      <w:bookmarkEnd w:id="56"/>
    </w:p>
    <w:p w14:paraId="49A2A4DC" w14:textId="77777777" w:rsidR="00CE64DB" w:rsidRPr="001D228D" w:rsidRDefault="00CE64DB" w:rsidP="001150F4">
      <w:r w:rsidRPr="001D228D">
        <w:t>The anatomical site chosen to measure HR and HRV determines the quality of the physiological signal, the stability of beat detection, and the extent to which thermal manipulations influence the underlying waveform. Because HRV depends on millisecond-level precision, the placement of electrodes or optical sensors must minimise motion artefact, preserve waveform morphology, and avoid regions where thermoregulatory vasoconstriction or vasodilation can distort interbeat intervals.</w:t>
      </w:r>
    </w:p>
    <w:p w14:paraId="7F9B5D11" w14:textId="7A112372" w:rsidR="00CE64DB" w:rsidRPr="001D228D" w:rsidRDefault="00CE64DB" w:rsidP="001150F4">
      <w:r w:rsidRPr="001D228D">
        <w:rPr>
          <w:b/>
          <w:bCs/>
        </w:rPr>
        <w:t xml:space="preserve">Thorax. </w:t>
      </w:r>
      <w:r w:rsidRPr="001D228D">
        <w:t xml:space="preserve">The anterior thorax is the most reliable site for capturing cardiac electrical activity, with consistently large and sharply defined R waves across individuals. Standard laboratory ECG positions electrodes along modified limb-lead vectors across the chest wall because this configuration maximises R-wave amplitude and minimises electromyographic interference </w:t>
      </w:r>
      <w:sdt>
        <w:sdtPr>
          <w:rPr>
            <w:color w:val="000000"/>
          </w:rPr>
          <w:tag w:val="MENDELEY_CITATION_v3_eyJjaXRhdGlvbklEIjoiTUVOREVMRVlfQ0lUQVRJT05fZGI4ODgxMjMtOWE4NC00MDU3LWExMjItYmYyOWZiYjFlMzYzIiwicHJvcGVydGllcyI6eyJub3RlSW5kZXgiOjB9LCJpc0VkaXRlZCI6ZmFsc2UsIm1hbnVhbE92ZXJyaWRlIjp7ImNpdGVwcm9jVGV4dCI6IlsyNzMsMjc0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"/>
          <w:id w:val="-1671561321"/>
          <w:placeholder>
            <w:docPart w:val="DefaultPlaceholder_-1854013440"/>
          </w:placeholder>
        </w:sdtPr>
        <w:sdtContent>
          <w:r w:rsidR="00B43409" w:rsidRPr="00B43409">
            <w:rPr>
              <w:color w:val="000000"/>
            </w:rPr>
            <w:t>[273,274]</w:t>
          </w:r>
        </w:sdtContent>
      </w:sdt>
      <w:r w:rsidRPr="001D228D">
        <w:t xml:space="preserve">. Thoracic placements also allow full waveform inspection for artefact detection and ectopic beat correction </w:t>
      </w:r>
      <w:sdt>
        <w:sdtPr>
          <w:rPr>
            <w:color w:val="000000"/>
          </w:rPr>
          <w:tag w:val="MENDELEY_CITATION_v3_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"/>
          <w:id w:val="678474224"/>
          <w:placeholder>
            <w:docPart w:val="DefaultPlaceholder_-1854013440"/>
          </w:placeholder>
        </w:sdtPr>
        <w:sdtContent>
          <w:r w:rsidR="00B43409" w:rsidRPr="00B43409">
            <w:rPr>
              <w:color w:val="000000"/>
            </w:rPr>
            <w:t>[282]</w:t>
          </w:r>
        </w:sdtContent>
      </w:sdt>
      <w:r w:rsidRPr="001D228D">
        <w:t>. Importantly for thermal studies, the thorax remains relatively stable in perfusion and skin temperature compared with peripheral sites, making it the preferred location for mechanistic HRV analysis.</w:t>
      </w:r>
    </w:p>
    <w:p w14:paraId="064E4A84" w14:textId="31D52EE6" w:rsidR="00CE64DB" w:rsidRPr="001D228D" w:rsidRDefault="00CE64DB" w:rsidP="001150F4">
      <w:r w:rsidRPr="001D228D">
        <w:rPr>
          <w:b/>
          <w:bCs/>
        </w:rPr>
        <w:t xml:space="preserve">Lower thorax. </w:t>
      </w:r>
      <w:r w:rsidRPr="001D228D">
        <w:t xml:space="preserve">Chest-strap ECG sensors position electrodes circumferentially around the lower thorax, below the pectoral muscles. This site provides a stable electrical vector with high R-wave amplitude, yielding R–R intervals that closely match those from wired ECG during rest and mild activity </w:t>
      </w:r>
      <w:sdt>
        <w:sdtPr>
          <w:rPr>
            <w:color w:val="000000"/>
          </w:rPr>
          <w:tag w:val="MENDELEY_CITATION_v3_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
          <w:id w:val="1100140875"/>
          <w:placeholder>
            <w:docPart w:val="DefaultPlaceholder_-1854013440"/>
          </w:placeholder>
        </w:sdtPr>
        <w:sdtContent>
          <w:r w:rsidR="00B43409" w:rsidRPr="00B43409">
            <w:rPr>
              <w:color w:val="000000"/>
            </w:rPr>
            <w:t>[306,307]</w:t>
          </w:r>
        </w:sdtContent>
      </w:sdt>
      <w:r w:rsidRPr="001D228D">
        <w:t>. The lower thorax is less affected by distal vasomotor changes induced by heating or cooling, making this location robust during indoor thermal exposures. Signal quality, however, depends on consistent strap tension and uninterrupted skin contact.</w:t>
      </w:r>
    </w:p>
    <w:p w14:paraId="048D6ED1" w14:textId="15AC0462" w:rsidR="00CE64DB" w:rsidRPr="001D228D" w:rsidRDefault="00CE64DB" w:rsidP="001150F4">
      <w:r w:rsidRPr="001D228D">
        <w:rPr>
          <w:b/>
          <w:bCs/>
        </w:rPr>
        <w:t xml:space="preserve">Upper arm, flank, and rib cage. </w:t>
      </w:r>
      <w:r w:rsidRPr="001D228D">
        <w:t xml:space="preserve">Some adhesive ECG patches and ECG-integrated garments place electrodes along the upper arm, lateral thorax, or lower rib cage. These placements can produce interpretable cardiac vectors for estimating mean HR </w:t>
      </w:r>
      <w:sdt>
        <w:sdtPr>
          <w:rPr>
            <w:color w:val="000000"/>
          </w:rPr>
          <w:tag w:val="MENDELEY_CITATION_v3_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"/>
          <w:id w:val="-1281108585"/>
          <w:placeholder>
            <w:docPart w:val="DefaultPlaceholder_-1854013440"/>
          </w:placeholder>
        </w:sdtPr>
        <w:sdtContent>
          <w:r w:rsidR="00B43409" w:rsidRPr="00B43409">
            <w:rPr>
              <w:color w:val="000000"/>
            </w:rPr>
            <w:t>[304]</w:t>
          </w:r>
        </w:sdtContent>
      </w:sdt>
      <w:r w:rsidRPr="001D228D">
        <w:t>, but R-wave amplitudes are typically smaller and more susceptible to movement than anterior chest sites. Thermal fluctuations that alter skin adhesion, such as sweating, local</w:t>
      </w:r>
      <w:r>
        <w:t>ise</w:t>
      </w:r>
      <w:r w:rsidRPr="001D228D">
        <w:t xml:space="preserve">d heating, drafts, also degrade electrode stability. As a result, limb-adjacent electrode placements are generally unsuitable for high-precision HRV, particularly for frequency-domain or nonlinear analyses requiring stable, artefact-free R–R intervals </w:t>
      </w:r>
      <w:sdt>
        <w:sdtPr>
          <w:rPr>
            <w:color w:val="000000"/>
          </w:rPr>
          <w:tag w:val="MENDELEY_CITATION_v3_eyJjaXRhdGlvbklEIjoiTUVOREVMRVlfQ0lUQVRJT05fYTg3MzNkMzQtMzMyYi00NWEwLTg5YzQtNDhiOWU1OTc1NDc2IiwicHJvcGVydGllcyI6eyJub3RlSW5kZXgiOjB9LCJpc0VkaXRlZCI6ZmFsc2UsIm1hbnVhbE92ZXJyaWRlIjp7ImNpdGVwcm9jVGV4dCI6IlszMDJd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
          <w:id w:val="-1097397811"/>
          <w:placeholder>
            <w:docPart w:val="DefaultPlaceholder_-1854013440"/>
          </w:placeholder>
        </w:sdtPr>
        <w:sdtContent>
          <w:r w:rsidR="00B43409" w:rsidRPr="00B43409">
            <w:rPr>
              <w:color w:val="000000"/>
            </w:rPr>
            <w:t>[302]</w:t>
          </w:r>
        </w:sdtContent>
      </w:sdt>
      <w:r w:rsidRPr="001D228D">
        <w:t>.</w:t>
      </w:r>
    </w:p>
    <w:p w14:paraId="40E0F8A1" w14:textId="6BDD1C65" w:rsidR="00CE64DB" w:rsidRPr="001D228D" w:rsidRDefault="00CE64DB" w:rsidP="001150F4">
      <w:r w:rsidRPr="001D228D">
        <w:rPr>
          <w:b/>
          <w:bCs/>
        </w:rPr>
        <w:t xml:space="preserve">Fingertip. </w:t>
      </w:r>
      <w:r w:rsidRPr="001D228D">
        <w:t xml:space="preserve">Peripheral optical sensing introduces strong dependencies on local perfusion. Fingertip PPG is attractive because of its large pulsatile signal arising from the dense arteriolar network of the distal phalanx </w:t>
      </w:r>
      <w:sdt>
        <w:sdtPr>
          <w:rPr>
            <w:color w:val="000000"/>
          </w:rPr>
          <w:tag w:val="MENDELEY_CITATION_v3_eyJjaXRhdGlvbklEIjoiTUVOREVMRVlfQ0lUQVRJT05fNTUzNTQxN2EtYTliNC00MThlLTk1MzYtZDY1Zjg3NjQwMjRhIiwicHJvcGVydGllcyI6eyJub3RlSW5kZXgiOjB9LCJpc0VkaXRlZCI6ZmFsc2UsIm1hbnVhbE92ZXJyaWRlIjp7ImNpdGVwcm9jVGV4dCI6IlsyODQsMzEwXSIsImlzTWFudWFsbHlPdmVycmlkZGVuIjpmYWxzZSwibWFudWFsT3ZlcnJpZGVUZXh0IjoiIn0sImNpdGF0aW9uSXRlbXMiOlt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1dfQ=="/>
          <w:id w:val="773902087"/>
          <w:placeholder>
            <w:docPart w:val="DefaultPlaceholder_-1854013440"/>
          </w:placeholder>
        </w:sdtPr>
        <w:sdtContent>
          <w:r w:rsidR="00B43409" w:rsidRPr="00B43409">
            <w:rPr>
              <w:color w:val="000000"/>
            </w:rPr>
            <w:t>[284,310]</w:t>
          </w:r>
        </w:sdtContent>
      </w:sdt>
      <w:r w:rsidRPr="001D228D">
        <w:t xml:space="preserve">. Under warm, well-perfused conditions, fingertip pulse-wave intervals correlate closely with ECG-derived R–R intervals. However, the fingertip is one of the first sites to undergo thermoregulatory vasoconstriction during cooling, substantially reducing pulse amplitude and distorting beat detection </w:t>
      </w:r>
      <w:sdt>
        <w:sdtPr>
          <w:rPr>
            <w:color w:val="000000"/>
          </w:rPr>
          <w:tag w:val="MENDELEY_CITATION_v3_eyJjaXRhdGlvbklEIjoiTUVOREVMRVlfQ0lUQVRJT05fYTA4NGFjMjUtNTc4Ni00YWFiLWE1NWItMTJmOTBiYTRkMWJiIiwicHJvcGVydGllcyI6eyJub3RlSW5kZXgiOjB9LCJpc0VkaXRlZCI6ZmFsc2UsIm1hbnVhbE92ZXJyaWRlIjp7ImNpdGVwcm9jVGV4dCI6IlszMTJdIiwiaXNNYW51YWxseU92ZXJyaWRkZW4iOmZhbHNlLCJtYW51YWxPdmVycmlkZVRleHQiOiIifSwiY2l0YXRpb25JdGVtcyI6W3siaWQiOiJiMzNhNzZkYS00NzIzLTU1MDctOTUzOS1mNmNjMWQ5NzQ5NTUiLCJpdGVtRGF0YSI6eyJJU0JOIjoiMDE5ODU3NTMzNSIsImF1dGh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ZWRpd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"/>
          <w:id w:val="-1530560663"/>
          <w:placeholder>
            <w:docPart w:val="DefaultPlaceholder_-1854013440"/>
          </w:placeholder>
        </w:sdtPr>
        <w:sdtContent>
          <w:r w:rsidR="00B43409" w:rsidRPr="00B43409">
            <w:rPr>
              <w:color w:val="000000"/>
            </w:rPr>
            <w:t>[312]</w:t>
          </w:r>
        </w:sdtContent>
      </w:sdt>
      <w:r w:rsidRPr="001D228D">
        <w:t>. Even modest thermal asymmetry across the hands, for example from radiant panels or drafts, can produce differences in waveform clarity. Fingertip PPG therefore requires strict control of hand position and local exposure in thermal-environment studies.</w:t>
      </w:r>
    </w:p>
    <w:p w14:paraId="11AF14E1" w14:textId="124D47F5" w:rsidR="00CE64DB" w:rsidRPr="001D228D" w:rsidRDefault="00CE64DB" w:rsidP="001150F4">
      <w:pPr>
        <w:rPr>
          <w:b/>
          <w:bCs/>
        </w:rPr>
      </w:pPr>
      <w:r w:rsidRPr="001D228D">
        <w:rPr>
          <w:b/>
          <w:bCs/>
        </w:rPr>
        <w:t xml:space="preserve">Fingers. </w:t>
      </w:r>
      <w:r w:rsidRPr="001D228D">
        <w:t xml:space="preserve">Ring-based PPG sensors, positioned circumferentially at the base of the finger, offer more stable contact pressure and reduced motion relative to fingertip clips. These factors contribute to excellent nocturnal accuracy for both HR and HRV, with time-domain indices often approaching ECG agreement </w:t>
      </w:r>
      <w:sdt>
        <w:sdtPr>
          <w:rPr>
            <w:color w:val="000000"/>
          </w:rPr>
          <w:tag w:val="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"/>
          <w:id w:val="-1326509610"/>
          <w:placeholder>
            <w:docPart w:val="DefaultPlaceholder_-1854013440"/>
          </w:placeholder>
        </w:sdtPr>
        <w:sdtContent>
          <w:r w:rsidR="00B43409" w:rsidRPr="00B43409">
            <w:rPr>
              <w:color w:val="000000"/>
            </w:rPr>
            <w:t>[314,315]</w:t>
          </w:r>
        </w:sdtContent>
      </w:sdt>
      <w:r w:rsidRPr="001D228D">
        <w:t>. Yet, the ring site remains physiologically peripheral: acral vasoconstriction during cooling, or asymmetrical hand exposure to airflow or radiant sources, can markedly affect beat detectability. Thus, although finger rings outperform wrist devices for HRV, the site is still susceptible to thermal confounding and requires careful monitoring of local conditions.</w:t>
      </w:r>
    </w:p>
    <w:p w14:paraId="04C0ADCB" w14:textId="277CD38F" w:rsidR="00CE64DB" w:rsidRPr="001D228D" w:rsidRDefault="00CE64DB" w:rsidP="001150F4">
      <w:r w:rsidRPr="001D228D">
        <w:rPr>
          <w:b/>
          <w:bCs/>
        </w:rPr>
        <w:t>Ear lobe.</w:t>
      </w:r>
      <w:r w:rsidRPr="001D228D">
        <w:t xml:space="preserve"> The ear lobe provides a relatively well-perfused peripheral site with less thermal variability than the hands during mild cooling. PPG at the ear commonly retains adequate pulsatile amplitude even when finger signals deteriorate </w:t>
      </w:r>
      <w:sdt>
        <w:sdtPr>
          <w:rPr>
            <w:color w:val="000000"/>
          </w:rPr>
          <w:tag w:val="MENDELEY_CITATION_v3_eyJjaXRhdGlvbklEIjoiTUVOREVMRVlfQ0lUQVRJT05fYTdmZjI5ODktZWE0Mi00OTI1LTk1ZjAtMjkyOWE1YzI0ODQxIiwicHJvcGVydGllcyI6eyJub3RlSW5kZXgiOjB9LCJpc0VkaXRlZCI6ZmFsc2UsIm1hbnVhbE92ZXJyaWRlIjp7ImNpdGVwcm9jVGV4dCI6IlsyODRdIiwiaXNNYW51YWxseU92ZXJyaWRkZW4iOmZhbHNlLCJtYW51YWxPdmVycmlkZVRleHQiOiIifSwiY2l0YXRpb25JdGVtcyI6W3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V19"/>
          <w:id w:val="2124337383"/>
          <w:placeholder>
            <w:docPart w:val="DefaultPlaceholder_-1854013440"/>
          </w:placeholder>
        </w:sdtPr>
        <w:sdtContent>
          <w:r w:rsidR="00B43409" w:rsidRPr="00B43409">
            <w:rPr>
              <w:color w:val="000000"/>
            </w:rPr>
            <w:t>[284]</w:t>
          </w:r>
        </w:sdtContent>
      </w:sdt>
      <w:r w:rsidRPr="001D228D">
        <w:t xml:space="preserve">. Because head movement is limited during seated exposures, ear-lobe PPG experiences fewer motion artefacts than wrist sensors. However, clip pressure can distort the waveform, and local heating or cooling of the head, such as radiant warmers or ventilation jets, may influence perfusion </w:t>
      </w:r>
      <w:sdt>
        <w:sdtPr>
          <w:rPr>
            <w:color w:val="000000"/>
          </w:rPr>
          <w:tag w:val="MENDELEY_CITATION_v3_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"/>
          <w:id w:val="1042717613"/>
          <w:placeholder>
            <w:docPart w:val="DefaultPlaceholder_-1854013440"/>
          </w:placeholder>
        </w:sdtPr>
        <w:sdtContent>
          <w:r w:rsidR="00B43409" w:rsidRPr="00B43409">
            <w:rPr>
              <w:color w:val="000000"/>
            </w:rPr>
            <w:t>[317]</w:t>
          </w:r>
        </w:sdtContent>
      </w:sdt>
      <w:r w:rsidRPr="001D228D">
        <w:t>.</w:t>
      </w:r>
    </w:p>
    <w:p w14:paraId="6ED8051B" w14:textId="1056DB1A" w:rsidR="00CE64DB" w:rsidRPr="001D228D" w:rsidRDefault="00CE64DB" w:rsidP="001150F4">
      <w:r w:rsidRPr="001D228D">
        <w:rPr>
          <w:b/>
          <w:bCs/>
        </w:rPr>
        <w:lastRenderedPageBreak/>
        <w:t xml:space="preserve">Wrist. </w:t>
      </w:r>
      <w:r w:rsidRPr="001D228D">
        <w:t xml:space="preserve">Wrist-mounted PPG sensors sit over the radial and ulnar artery beds, where pulsatile signals are smaller, more variable, and more sensitive to motion than at the finger or ear. Numerous validation studies report accurate mean HR at rest but substantial variability in HRV metrics across wrist devices, driven by a combination of low peripheral perfusion, strap-pressure differences, and device-specific preprocessing </w:t>
      </w:r>
      <w:sdt>
        <w:sdtPr>
          <w:rPr>
            <w:color w:val="000000"/>
          </w:rPr>
          <w:tag w:val="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"/>
          <w:id w:val="-380640091"/>
          <w:placeholder>
            <w:docPart w:val="DefaultPlaceholder_-1854013440"/>
          </w:placeholder>
        </w:sdtPr>
        <w:sdtContent>
          <w:r w:rsidR="00B43409" w:rsidRPr="00B43409">
            <w:rPr>
              <w:color w:val="000000"/>
            </w:rPr>
            <w:t>[313,314]</w:t>
          </w:r>
        </w:sdtContent>
      </w:sdt>
      <w:r w:rsidRPr="001D228D">
        <w:t xml:space="preserve">. Wrist perfusion is also strongly influenced by thermoregulatory vasoconstriction, making HRV estimates particularly unreliable during cooling or asymmetric exposure </w:t>
      </w:r>
      <w:sdt>
        <w:sdtPr>
          <w:rPr>
            <w:color w:val="000000"/>
          </w:rPr>
          <w:tag w:val="MENDELEY_CITATION_v3_eyJjaXRhdGlvbklEIjoiTUVOREVMRVlfQ0lUQVRJT05fYzY1NGEzN2QtODdlNy00ZjU3LWIwMTItZDc4NzkyNzM2NmJmIiwicHJvcGVydGllcyI6eyJub3RlSW5kZXgiOjB9LCJpc0VkaXRlZCI6ZmFsc2UsIm1hbnVhbE92ZXJyaWRlIjp7ImNpdGVwcm9jVGV4dCI6IlszMTBd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2028709208"/>
          <w:placeholder>
            <w:docPart w:val="DefaultPlaceholder_-1854013440"/>
          </w:placeholder>
        </w:sdtPr>
        <w:sdtContent>
          <w:r w:rsidR="00B43409" w:rsidRPr="00B43409">
            <w:rPr>
              <w:color w:val="000000"/>
            </w:rPr>
            <w:t>[310]</w:t>
          </w:r>
        </w:sdtContent>
      </w:sdt>
      <w:r w:rsidRPr="001D228D">
        <w:t>. Wrist placement is therefore suitable for broad HR monitoring in field studies, but not for precise HRV interpretation in controlled thermal experiments.</w:t>
      </w:r>
    </w:p>
    <w:p w14:paraId="7048DE22" w14:textId="77777777" w:rsidR="00CE64DB" w:rsidRPr="001D228D" w:rsidRDefault="00CE64DB" w:rsidP="007A2440">
      <w:pPr>
        <w:pStyle w:val="Heading3"/>
        <w:rPr>
          <w:lang w:val="en-GB"/>
        </w:rPr>
      </w:pPr>
      <w:bookmarkStart w:id="57" w:name="_Toc223281688"/>
      <w:r w:rsidRPr="001D228D">
        <w:rPr>
          <w:lang w:val="en-GB"/>
        </w:rPr>
        <w:t>Agreeability across sensor types</w:t>
      </w:r>
      <w:bookmarkEnd w:id="57"/>
    </w:p>
    <w:p w14:paraId="367EABF9" w14:textId="77777777" w:rsidR="00CE64DB" w:rsidRPr="001D228D" w:rsidRDefault="00CE64DB" w:rsidP="001150F4">
      <w:r w:rsidRPr="001D228D">
        <w:t>Agreement between HR and HRV estimates varies substantially across sensor modalities. Multi-lead ECG is the reference standard for beat detection and all HRV metrics, and most validation studies interpret device performance relative to short artefact-free ECG segments.</w:t>
      </w:r>
    </w:p>
    <w:p w14:paraId="34983F68" w14:textId="75A11A6F" w:rsidR="00CE64DB" w:rsidRPr="001D228D" w:rsidRDefault="00CE64DB" w:rsidP="001150F4">
      <w:r w:rsidRPr="001D228D">
        <w:t xml:space="preserve">Modern chest-strap monitors record a single ECG lead across the lower thorax and can reproduce RR intervals with very high fidelity. In controlled rest and orthostatic conditions, the Polar H10 or V800 shows extremely small bias and narrow limits of agreement, with ICC values above 0.99 for all standard HRV indices </w:t>
      </w:r>
      <w:sdt>
        <w:sdtPr>
          <w:rPr>
            <w:color w:val="000000"/>
          </w:rPr>
          <w:tag w:val="MENDELEY_CITATION_v3_eyJjaXRhdGlvbklEIjoiTUVOREVMRVlfQ0lUQVRJT05fZGQ5YTliNmYtMDgzMS00MGVkLTkwMTYtY2U5NjA2NWY2YTBlIiwicHJvcGVydGllcyI6eyJub3RlSW5kZXgiOjB9LCJpc0VkaXRlZCI6ZmFsc2UsIm1hbnVhbE92ZXJyaWRlIjp7ImNpdGVwcm9jVGV4dCI6IlszMDddIiwiaXNNYW51YWxseU92ZXJyaWRkZW4iOmZhbHNlLCJtYW51YWxPdmVycmlkZVRleHQiOiIifSwiY2l0YXRpb25JdGVtcyI6W3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
          <w:id w:val="619179716"/>
          <w:placeholder>
            <w:docPart w:val="DefaultPlaceholder_-1854013440"/>
          </w:placeholder>
        </w:sdtPr>
        <w:sdtContent>
          <w:r w:rsidR="00B43409" w:rsidRPr="00B43409">
            <w:rPr>
              <w:color w:val="000000"/>
            </w:rPr>
            <w:t>[307]</w:t>
          </w:r>
        </w:sdtContent>
      </w:sdt>
      <w:r w:rsidRPr="001D228D">
        <w:t xml:space="preserve">. Similar accuracy has been reported for earlier Polar models such as the S810, S810i, RS800, and RS800CX, provided that identical software is used to derive HRV metrics </w:t>
      </w:r>
      <w:sdt>
        <w:sdtPr>
          <w:rPr>
            <w:color w:val="000000"/>
          </w:rPr>
          <w:tag w:val="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"/>
          <w:id w:val="1585027975"/>
          <w:placeholder>
            <w:docPart w:val="DefaultPlaceholder_-1854013440"/>
          </w:placeholder>
        </w:sdtPr>
        <w:sdtContent>
          <w:r w:rsidR="00B43409" w:rsidRPr="00B43409">
            <w:rPr>
              <w:color w:val="000000"/>
            </w:rPr>
            <w:t>[306,308,309,318–322]</w:t>
          </w:r>
        </w:sdtContent>
      </w:sdt>
      <w:r w:rsidRPr="001D228D">
        <w:t>. These findings indicate that chest-strap ECG is largely interchangeable with laboratory ECG for HRV at rest, although electrode–skin contact and strap tension remain critical sources of noise.</w:t>
      </w:r>
      <w:r>
        <w:t xml:space="preserve"> </w:t>
      </w:r>
    </w:p>
    <w:p w14:paraId="4FC54B5A" w14:textId="10F0B624" w:rsidR="00CE64DB" w:rsidRPr="001D228D" w:rsidRDefault="00CE64DB" w:rsidP="001150F4">
      <w:r w:rsidRPr="001D228D">
        <w:t xml:space="preserve">Peripheral PPG can approximate RR intervals when perfusion is stable. Several comparative studies show that fingertip or ear-lobe PPG produces HRV indices that correlate strongly with ECG under warm, motion-free conditions </w:t>
      </w:r>
      <w:sdt>
        <w:sdtPr>
          <w:rPr>
            <w:color w:val="000000"/>
          </w:rPr>
          <w:tag w:val="MENDELEY_CITATION_v3_eyJjaXRhdGlvbklEIjoiTUVOREVMRVlfQ0lUQVRJT05fNTQwZGY1MmItYTE3NC00Y2UxLTk5NDctYzA4YmUwZGI0ZDFlIiwicHJvcGVydGllcyI6eyJub3RlSW5kZXgiOjB9LCJpc0VkaXRlZCI6ZmFsc2UsIm1hbnVhbE92ZXJyaWRlIjp7ImNpdGVwcm9jVGV4dCI6IlszMTAsMzIzLDMyNF0iLCJpc01hbnVhbGx5T3ZlcnJpZGRlbiI6ZmFsc2UsIm1hbnVhbE92ZXJyaWRlVGV4dCI6IiJ9LCJjaXRhdGlvbkl0ZW1zIjpb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"/>
          <w:id w:val="298420448"/>
          <w:placeholder>
            <w:docPart w:val="DefaultPlaceholder_-1854013440"/>
          </w:placeholder>
        </w:sdtPr>
        <w:sdtContent>
          <w:r w:rsidR="00B43409" w:rsidRPr="00B43409">
            <w:rPr>
              <w:color w:val="000000"/>
            </w:rPr>
            <w:t>[310,323,324]</w:t>
          </w:r>
        </w:sdtContent>
      </w:sdt>
      <w:r w:rsidRPr="001D228D">
        <w:t>. However, the PPG signal is strongly influenced by vasomotor tone: cold exposure, local vasoconstriction, or asymmetric radiant conditions degrade pulse amplitude and introduce jitter in beat-to-beat timing. As a result, mean HR remains accurate, but metrics sensitive to high-frequency variation, such as RMSSD, or HF power may deviate systematically from ECG estimates.</w:t>
      </w:r>
    </w:p>
    <w:p w14:paraId="5EE89BFA" w14:textId="66AC385E" w:rsidR="00CE64DB" w:rsidRPr="001D228D" w:rsidRDefault="00CE64DB" w:rsidP="001150F4">
      <w:r w:rsidRPr="001D228D">
        <w:t xml:space="preserve">Smartwatch PPG signals, recorded at the wrist, show good accuracy for mean HR at rest but highly variable HRV agreement across devices. Systematic evaluations report wide limits of agreement, with many devices showing large errors in RMSSD, LF, and HF during even mild movement or thermal perturbation </w:t>
      </w:r>
      <w:sdt>
        <w:sdtPr>
          <w:rPr>
            <w:color w:val="000000"/>
          </w:rPr>
          <w:tag w:val="MENDELEY_CITATION_v3_eyJjaXRhdGlvbklEIjoiTUVOREVMRVlfQ0lUQVRJT05fNzQwMjkyYmEtYTNhNC00ZDllLTgwODctYzkzYTc2OTgwMjE1IiwicHJvcGVydGllcyI6eyJub3RlSW5kZXgiOjB9LCJpc0VkaXRlZCI6ZmFsc2UsIm1hbnVhbE92ZXJyaWRlIjp7ImNpdGVwcm9jVGV4dCI6IlszMTNd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
          <w:id w:val="-670555037"/>
          <w:placeholder>
            <w:docPart w:val="DefaultPlaceholder_-1854013440"/>
          </w:placeholder>
        </w:sdtPr>
        <w:sdtContent>
          <w:r w:rsidR="00B43409" w:rsidRPr="00B43409">
            <w:rPr>
              <w:color w:val="000000"/>
            </w:rPr>
            <w:t>[313]</w:t>
          </w:r>
        </w:sdtContent>
      </w:sdt>
      <w:r w:rsidRPr="001D228D">
        <w:t xml:space="preserve">. Field validation studies consistently demonstrate that wrist PPG performance deteriorates under movement, mental workload, or low peripheral perfusion </w:t>
      </w:r>
      <w:sdt>
        <w:sdtPr>
          <w:rPr>
            <w:color w:val="000000"/>
          </w:rPr>
          <w:tag w:val="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"/>
          <w:id w:val="-1658143044"/>
          <w:placeholder>
            <w:docPart w:val="DefaultPlaceholder_-1854013440"/>
          </w:placeholder>
        </w:sdtPr>
        <w:sdtContent>
          <w:r w:rsidR="00B43409" w:rsidRPr="00B43409">
            <w:rPr>
              <w:color w:val="000000"/>
            </w:rPr>
            <w:t>[318,325–329]</w:t>
          </w:r>
        </w:sdtContent>
      </w:sdt>
      <w:r w:rsidRPr="001D228D">
        <w:t>. Because wrist perfusion is highly responsive to thermoregulatory vasoconstriction, HRV from these devices is not considered reliable in thermal-physiology contexts.</w:t>
      </w:r>
    </w:p>
    <w:p w14:paraId="1CB4AF52" w14:textId="2582DFE1" w:rsidR="00CE64DB" w:rsidRPr="001D228D" w:rsidRDefault="00CE64DB" w:rsidP="001150F4">
      <w:r w:rsidRPr="001D228D">
        <w:t xml:space="preserve">Finger-ring PPG sensors offer more stable contact pressure and stronger pulsatile amplitude than wrist devices. Comparative wearable studies show that ring-based devices outperform wrist PPG for nocturnal HRV and approach chest-strap ECG accuracy for RMSSD and SDNN </w:t>
      </w:r>
      <w:sdt>
        <w:sdtPr>
          <w:rPr>
            <w:color w:val="000000"/>
          </w:rPr>
          <w:tag w:val="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"/>
          <w:id w:val="374127807"/>
          <w:placeholder>
            <w:docPart w:val="DefaultPlaceholder_-1854013440"/>
          </w:placeholder>
        </w:sdtPr>
        <w:sdtContent>
          <w:r w:rsidR="00B43409" w:rsidRPr="00B43409">
            <w:rPr>
              <w:color w:val="000000"/>
            </w:rPr>
            <w:t>[314–316,330]</w:t>
          </w:r>
        </w:sdtContent>
      </w:sdt>
      <w:r w:rsidRPr="001D228D">
        <w:t>. However, the finger remains a thermally labile site, and perfusion changes during cooling or airflow can still degrade PRV accuracy relative to ECG.</w:t>
      </w:r>
    </w:p>
    <w:p w14:paraId="5AB6AD09" w14:textId="395A3A02" w:rsidR="00CE64DB" w:rsidRPr="001D228D" w:rsidRDefault="00CE64DB" w:rsidP="001150F4">
      <w:pPr>
        <w:rPr>
          <w:b/>
          <w:bCs/>
        </w:rPr>
      </w:pPr>
      <w:r w:rsidRPr="001D228D">
        <w:t xml:space="preserve">A major source of disagreement across studies is not hardware but software. Several validation papers demonstrate that HRV values differ markedly across software packages, even when the </w:t>
      </w:r>
      <w:r w:rsidRPr="001D228D">
        <w:rPr>
          <w:u w:val="single"/>
        </w:rPr>
        <w:t>underlying RR intervals are identical</w:t>
      </w:r>
      <w:r w:rsidRPr="001D228D">
        <w:t xml:space="preserve">, due to differences in artifact detection, ectopic correction, detrending, windowing, and spectral estimation </w:t>
      </w:r>
      <w:sdt>
        <w:sdtPr>
          <w:rPr>
            <w:color w:val="000000"/>
          </w:rPr>
          <w:tag w:val="MENDELEY_CITATION_v3_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"/>
          <w:id w:val="-2076659032"/>
          <w:placeholder>
            <w:docPart w:val="DefaultPlaceholder_-1854013440"/>
          </w:placeholder>
        </w:sdtPr>
        <w:sdtContent>
          <w:r w:rsidR="00B43409" w:rsidRPr="00B43409">
            <w:rPr>
              <w:color w:val="000000"/>
            </w:rPr>
            <w:t>[319,320,331]</w:t>
          </w:r>
        </w:sdtContent>
      </w:sdt>
      <w:r w:rsidRPr="001D228D">
        <w:t>. HRV metrics are therefore not interchangeable across</w:t>
      </w:r>
      <w:r w:rsidRPr="001D228D">
        <w:rPr>
          <w:b/>
          <w:bCs/>
        </w:rPr>
        <w:t xml:space="preserve"> </w:t>
      </w:r>
      <w:r w:rsidRPr="001D228D">
        <w:t>software</w:t>
      </w:r>
      <w:r w:rsidRPr="001D228D">
        <w:rPr>
          <w:b/>
          <w:bCs/>
        </w:rPr>
        <w:t xml:space="preserve"> </w:t>
      </w:r>
      <w:r w:rsidRPr="001D228D">
        <w:t>ecosystems, and agreement must be assessed using identical analysis pipelines</w:t>
      </w:r>
      <w:r>
        <w:t xml:space="preserve"> (see more in </w:t>
      </w:r>
      <w:r>
        <w:fldChar w:fldCharType="begin"/>
      </w:r>
      <w:r>
        <w:instrText xml:space="preserve"> REF _Ref223194341 \w \h </w:instrText>
      </w:r>
      <w:r>
        <w:fldChar w:fldCharType="separate"/>
      </w:r>
      <w:r w:rsidR="007650AF">
        <w:t>3.4.5</w:t>
      </w:r>
      <w:r>
        <w:fldChar w:fldCharType="end"/>
      </w:r>
      <w:r>
        <w:t xml:space="preserve"> </w:t>
      </w:r>
      <w:r>
        <w:fldChar w:fldCharType="begin"/>
      </w:r>
      <w:r>
        <w:instrText xml:space="preserve"> REF _Ref223194348 \h </w:instrText>
      </w:r>
      <w:r>
        <w:fldChar w:fldCharType="separate"/>
      </w:r>
      <w:r w:rsidR="007650AF" w:rsidRPr="001D228D">
        <w:t>Data handling methods</w:t>
      </w:r>
      <w:r>
        <w:fldChar w:fldCharType="end"/>
      </w:r>
      <w:r>
        <w:t>)</w:t>
      </w:r>
      <w:r w:rsidRPr="001D228D">
        <w:t>.</w:t>
      </w:r>
    </w:p>
    <w:p w14:paraId="2D1920B7" w14:textId="77777777" w:rsidR="00CE64DB" w:rsidRPr="001D228D" w:rsidRDefault="00CE64DB" w:rsidP="001150F4">
      <w:r w:rsidRPr="001D228D">
        <w:t>Across all devices, a practical hierarchy emerges: Best agreement</w:t>
      </w:r>
      <w:r w:rsidRPr="001D228D">
        <w:rPr>
          <w:b/>
          <w:bCs/>
        </w:rPr>
        <w:t xml:space="preserve"> </w:t>
      </w:r>
      <w:r w:rsidRPr="001D228D">
        <w:t>is between multi-lead ECG and chest-strap ECG, followed by fingertip and ear-lobe PPG under thermoneutral, stable conditions. Wrist-based PPG devices show variable to poor agreement, particularly for frequency-domain HRV. For thermal-physiology protocols, where peripheral perfusion can shift rapidly with temperature, radiant asymmetry, or airflow, ECG-based methods remain the preferred option for accurate HRV.</w:t>
      </w:r>
    </w:p>
    <w:p w14:paraId="3808DC48" w14:textId="77777777" w:rsidR="00CE64DB" w:rsidRPr="001D228D" w:rsidRDefault="00CE64DB" w:rsidP="007A2440">
      <w:pPr>
        <w:pStyle w:val="Heading3"/>
        <w:rPr>
          <w:lang w:val="en-GB"/>
        </w:rPr>
      </w:pPr>
      <w:bookmarkStart w:id="58" w:name="_Toc211009219"/>
      <w:bookmarkStart w:id="59" w:name="_Toc223281689"/>
      <w:r w:rsidRPr="001D228D">
        <w:rPr>
          <w:lang w:val="en-GB"/>
        </w:rPr>
        <w:t>Known confounders and modifiers</w:t>
      </w:r>
      <w:bookmarkEnd w:id="58"/>
      <w:bookmarkEnd w:id="59"/>
    </w:p>
    <w:p w14:paraId="46F77ACA" w14:textId="77777777" w:rsidR="00CE64DB" w:rsidRPr="001D228D" w:rsidRDefault="00CE64DB" w:rsidP="001150F4">
      <w:r w:rsidRPr="001D228D">
        <w:t xml:space="preserve">Heart rate and heart-rate variability are influenced by numerous physiological, behavioural, and environmental factors that act on overlapping time scales. Because HRV reflects the dynamic interplay of vagal and sympathetic outflow, and </w:t>
      </w:r>
      <w:r w:rsidRPr="001D228D">
        <w:lastRenderedPageBreak/>
        <w:t>HR indexes net chronotropic demand, any factor that changes autonomic tone, baroreflex engagement, or peripheral perfusion can modulate these signals independently of thermal load. These modifiers must therefore be documented or controlled when HR/HRV are used to interpret thermoregulatory responses.</w:t>
      </w:r>
    </w:p>
    <w:p w14:paraId="1F2E7FE9" w14:textId="0DC52A48" w:rsidR="00CE64DB" w:rsidRPr="001D228D" w:rsidRDefault="00CE64DB" w:rsidP="001150F4">
      <w:r w:rsidRPr="001D228D">
        <w:rPr>
          <w:b/>
          <w:bCs/>
        </w:rPr>
        <w:t xml:space="preserve">Circadian and behavioural influences. </w:t>
      </w:r>
      <w:r w:rsidRPr="001D228D">
        <w:t xml:space="preserve">Cardiac autonomic activity shows a robust 24-h rhythm: vagal modulation (HF power, RMSSD) is highest during nocturnal sleep, while daytime wakefulness is characterised by relatively greater sympathetic predominance and reduced overall variability </w:t>
      </w:r>
      <w:sdt>
        <w:sdtPr>
          <w:rPr>
            <w:color w:val="000000"/>
          </w:rPr>
          <w:tag w:val="MENDELEY_CITATION_v3_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"/>
          <w:id w:val="499782956"/>
          <w:placeholder>
            <w:docPart w:val="DefaultPlaceholder_-1854013440"/>
          </w:placeholder>
        </w:sdtPr>
        <w:sdtContent>
          <w:r w:rsidR="00B43409" w:rsidRPr="00B43409">
            <w:rPr>
              <w:color w:val="000000"/>
            </w:rPr>
            <w:t>[284,332–335]</w:t>
          </w:r>
        </w:sdtContent>
      </w:sdt>
      <w:r w:rsidRPr="001D228D">
        <w:t xml:space="preserve">. Age-stratified population studies demonstrate that both HR and HRV exhibit clear diurnal patterns, with lowest resting HR and highest time-domain HRV parameters during the biological night, and progressive vagal withdrawal across the day </w:t>
      </w:r>
      <w:sdt>
        <w:sdtPr>
          <w:rPr>
            <w:color w:val="000000"/>
          </w:rPr>
          <w:tag w:val="MENDELEY_CITATION_v3_eyJjaXRhdGlvbklEIjoiTUVOREVMRVlfQ0lUQVRJT05fNjE4YTI0NmYtYTA5NC00NGM0LTk0ZmYtNTNmOWVlM2M1YmRjIiwicHJvcGVydGllcyI6eyJub3RlSW5kZXgiOjB9LCJpc0VkaXRlZCI6ZmFsc2UsIm1hbnVhbE92ZXJyaWRlIjp7ImNpdGVwcm9jVGV4dCI6IlszMDMsMzM2XSIsImlzTWFudWFsbHlPdmVycmlkZGVuIjpmYWxzZSwibWFudWFsT3ZlcnJpZGVUZXh0IjoiIn0sImNpdGF0aW9uSXRlbXMiOlt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"/>
          <w:id w:val="-1223980010"/>
          <w:placeholder>
            <w:docPart w:val="DefaultPlaceholder_-1854013440"/>
          </w:placeholder>
        </w:sdtPr>
        <w:sdtContent>
          <w:r w:rsidR="00B43409" w:rsidRPr="00B43409">
            <w:rPr>
              <w:color w:val="000000"/>
            </w:rPr>
            <w:t>[303,336]</w:t>
          </w:r>
        </w:sdtContent>
      </w:sdt>
      <w:r w:rsidRPr="001D228D">
        <w:t xml:space="preserve">. Behavioural state strongly shapes these rhythms. Posture changes, spontaneous activity, cognitive load, and light exposure all shift sympathovagal balance: even low-level mental tasks or screen use can increase HR and reduce HF-HRV compared with quiet rest </w:t>
      </w:r>
      <w:sdt>
        <w:sdtPr>
          <w:rPr>
            <w:color w:val="000000"/>
          </w:rPr>
          <w:tag w:val="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"/>
          <w:id w:val="-792754935"/>
          <w:placeholder>
            <w:docPart w:val="DefaultPlaceholder_-1854013440"/>
          </w:placeholder>
        </w:sdtPr>
        <w:sdtContent>
          <w:r w:rsidR="00B43409" w:rsidRPr="00B43409">
            <w:rPr>
              <w:color w:val="000000"/>
            </w:rPr>
            <w:t>[337,338]</w:t>
          </w:r>
        </w:sdtContent>
      </w:sdt>
      <w:r w:rsidRPr="001D228D">
        <w:t xml:space="preserve">. Sleep restriction, social/occupational stress, and circadian misalignment (e.g. late chronotype in early schedules) reduce night-time vagal dominance and dampen the amplitude of day–night HRV variation </w:t>
      </w:r>
      <w:sdt>
        <w:sdtPr>
          <w:rPr>
            <w:color w:val="000000"/>
          </w:rPr>
          <w:tag w:val="MENDELEY_CITATION_v3_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"/>
          <w:id w:val="-824979799"/>
          <w:placeholder>
            <w:docPart w:val="DefaultPlaceholder_-1854013440"/>
          </w:placeholder>
        </w:sdtPr>
        <w:sdtContent>
          <w:r w:rsidR="00B43409" w:rsidRPr="00B43409">
            <w:rPr>
              <w:color w:val="000000"/>
            </w:rPr>
            <w:t>[283,339,340]</w:t>
          </w:r>
        </w:sdtContent>
      </w:sdt>
      <w:r w:rsidRPr="001D228D">
        <w:t>. Thermal protocols that compare “morning” and “afternoon” sessions or involve prolonged daytime exposure should therefore consider circadian phase, prior sleep, and behavioural context as important covariates.</w:t>
      </w:r>
    </w:p>
    <w:p w14:paraId="55EDD008" w14:textId="1FE1679D" w:rsidR="00CE64DB" w:rsidRDefault="00CE64DB" w:rsidP="001150F4">
      <w:r w:rsidRPr="00911968">
        <w:rPr>
          <w:b/>
          <w:bCs/>
        </w:rPr>
        <w:t>Sex.</w:t>
      </w:r>
      <w:r>
        <w:t xml:space="preserve"> </w:t>
      </w:r>
      <w:r w:rsidRPr="001D228D">
        <w:t xml:space="preserve">Sex differences in HRV are well documented but depend strongly on age and hormonal status. </w:t>
      </w:r>
      <w:r w:rsidRPr="00D81DAB">
        <w:t>Under resting, sedentary conditions, healthy women and men exhibit distinct heart rate variability (HRV) profiles; notably, women generally present with lower overall heart rate variability, as evidenced by a lower standard deviation of RR intervals (SD)</w:t>
      </w:r>
      <w:r>
        <w:t>.</w:t>
      </w:r>
      <w:r w:rsidRPr="00D81DAB">
        <w:t xml:space="preserve"> However, the underlying autonomic balance differs between the sexes: women show a relative predominance of parasympathetic (vagal) modulation, while men display greater sympathetic dominance. This dynamic is clearly reflected in frequency-domain HRV measures, </w:t>
      </w:r>
      <w:r>
        <w:t>p</w:t>
      </w:r>
      <w:r w:rsidRPr="001D228D">
        <w:t xml:space="preserve">opulation studies show that </w:t>
      </w:r>
      <w:r w:rsidRPr="00D81DAB">
        <w:t xml:space="preserve">women </w:t>
      </w:r>
      <w:r w:rsidRPr="0025026E">
        <w:t>typically demonstrate lower low-frequency (LF) power, resulting in a lower LF/HF ratio than men</w:t>
      </w:r>
      <w:r w:rsidRPr="00D81DAB">
        <w:t>, while absolute high-frequency (HF) power remains similar between the sexes</w:t>
      </w:r>
      <w:r w:rsidRPr="001D228D">
        <w:t xml:space="preserve"> </w:t>
      </w:r>
      <w:sdt>
        <w:sdtPr>
          <w:rPr>
            <w:color w:val="000000"/>
          </w:rPr>
          <w:tag w:val="MENDELEY_CITATION_v3_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"/>
          <w:id w:val="-29801361"/>
          <w:placeholder>
            <w:docPart w:val="DefaultPlaceholder_-1854013440"/>
          </w:placeholder>
        </w:sdtPr>
        <w:sdtContent>
          <w:r w:rsidR="00B43409" w:rsidRPr="00B43409">
            <w:rPr>
              <w:color w:val="000000"/>
            </w:rPr>
            <w:t>[303,341–343]</w:t>
          </w:r>
        </w:sdtContent>
      </w:sdt>
      <w:r w:rsidRPr="001D228D">
        <w:t xml:space="preserve">. </w:t>
      </w:r>
      <w:r w:rsidRPr="00D81DAB">
        <w:t>These sex-related differences in autonomic HRV balance are heavily influenced by aging and reproductive state, with distinct variations in autonomic modulation observed as women transition through menopause</w:t>
      </w:r>
      <w:r>
        <w:t xml:space="preserve"> </w:t>
      </w:r>
      <w:sdt>
        <w:sdtPr>
          <w:rPr>
            <w:color w:val="000000"/>
          </w:rPr>
          <w:tag w:val="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"/>
          <w:id w:val="118967339"/>
          <w:placeholder>
            <w:docPart w:val="DefaultPlaceholder_-1854013440"/>
          </w:placeholder>
        </w:sdtPr>
        <w:sdtContent>
          <w:r w:rsidR="00B43409" w:rsidRPr="00B43409">
            <w:rPr>
              <w:color w:val="000000"/>
            </w:rPr>
            <w:t>[344–346]</w:t>
          </w:r>
        </w:sdtContent>
      </w:sdt>
      <w:r w:rsidRPr="00D81DAB">
        <w:t>.</w:t>
      </w:r>
      <w:r>
        <w:t xml:space="preserve"> </w:t>
      </w:r>
    </w:p>
    <w:p w14:paraId="1F529A33" w14:textId="59FC46A4" w:rsidR="00CE64DB" w:rsidRPr="001D228D" w:rsidRDefault="00CE64DB" w:rsidP="005E1575">
      <w:r w:rsidRPr="001D228D">
        <w:rPr>
          <w:b/>
          <w:bCs/>
        </w:rPr>
        <w:t xml:space="preserve">Sex hormones and reproductive status. </w:t>
      </w:r>
      <w:r w:rsidRPr="001D228D">
        <w:t xml:space="preserve">Within women, menstrual-cycle–related variations in ovarian hormones modulate autonomic control. Experimental studies report enhanced vagal indices (HF, RMSSD) and lower LF/HF in </w:t>
      </w:r>
      <w:r>
        <w:t>oestrogen</w:t>
      </w:r>
      <w:r w:rsidRPr="001D228D">
        <w:t>-dominant phases and greater sympathetic activity in the luteal phase, although effect s</w:t>
      </w:r>
      <w:r>
        <w:t>ize</w:t>
      </w:r>
      <w:r w:rsidRPr="001D228D">
        <w:t xml:space="preserve">s are small and not always consistent across metrics or protocols </w:t>
      </w:r>
      <w:sdt>
        <w:sdtPr>
          <w:rPr>
            <w:color w:val="000000"/>
          </w:rPr>
          <w:tag w:val="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"/>
          <w:id w:val="413124664"/>
          <w:placeholder>
            <w:docPart w:val="DefaultPlaceholder_-1854013440"/>
          </w:placeholder>
        </w:sdtPr>
        <w:sdtContent>
          <w:r w:rsidR="00B43409" w:rsidRPr="00B43409">
            <w:rPr>
              <w:color w:val="000000"/>
            </w:rPr>
            <w:t>[347–349]</w:t>
          </w:r>
        </w:sdtContent>
      </w:sdt>
      <w:r w:rsidRPr="001D228D">
        <w:t xml:space="preserve">. Detailed mapping of endogenous oestradiol, progesterone, FSH and LH across the cycle suggests that peak </w:t>
      </w:r>
      <w:r>
        <w:t>oestradiol</w:t>
      </w:r>
      <w:r w:rsidRPr="001D228D">
        <w:t xml:space="preserve"> is positively associated with absolute HRV power, supporting a cardioprotective, vagotonic effect of </w:t>
      </w:r>
      <w:r>
        <w:t>oestrogen</w:t>
      </w:r>
      <w:r w:rsidRPr="001D228D">
        <w:t xml:space="preserve"> </w:t>
      </w:r>
      <w:sdt>
        <w:sdtPr>
          <w:rPr>
            <w:color w:val="000000"/>
          </w:rPr>
          <w:tag w:val="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"/>
          <w:id w:val="-1284506"/>
          <w:placeholder>
            <w:docPart w:val="DefaultPlaceholder_-1854013440"/>
          </w:placeholder>
        </w:sdtPr>
        <w:sdtContent>
          <w:r w:rsidR="00B43409" w:rsidRPr="00B43409">
            <w:rPr>
              <w:color w:val="000000"/>
            </w:rPr>
            <w:t>[346,350]</w:t>
          </w:r>
        </w:sdtContent>
      </w:sdt>
      <w:r w:rsidRPr="001D228D">
        <w:t>.</w:t>
      </w:r>
    </w:p>
    <w:p w14:paraId="3EF26175" w14:textId="5F76FC3A" w:rsidR="00CE64DB" w:rsidRPr="001D228D" w:rsidRDefault="00CE64DB" w:rsidP="001150F4">
      <w:r w:rsidRPr="001D228D">
        <w:t xml:space="preserve">Interventional data reinforce this pattern: </w:t>
      </w:r>
      <w:r>
        <w:t>oestrogen</w:t>
      </w:r>
      <w:r w:rsidRPr="001D228D">
        <w:t xml:space="preserve"> replacement increases HRV and baroreflex sensitivity, whereas progesterone or combined </w:t>
      </w:r>
      <w:r>
        <w:t>oestrogen</w:t>
      </w:r>
      <w:r w:rsidRPr="001D228D">
        <w:t xml:space="preserve">–progestin regimens can blunt vagal indices and shift LF/HF upward </w:t>
      </w:r>
      <w:sdt>
        <w:sdtPr>
          <w:rPr>
            <w:color w:val="000000"/>
          </w:rPr>
          <w:tag w:val="MENDELEY_CITATION_v3_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"/>
          <w:id w:val="1831397472"/>
          <w:placeholder>
            <w:docPart w:val="DefaultPlaceholder_-1854013440"/>
          </w:placeholder>
        </w:sdtPr>
        <w:sdtContent>
          <w:r w:rsidR="00B43409" w:rsidRPr="00B43409">
            <w:rPr>
              <w:color w:val="000000"/>
            </w:rPr>
            <w:t>[351,352]</w:t>
          </w:r>
        </w:sdtContent>
      </w:sdt>
      <w:r w:rsidRPr="001D228D">
        <w:t xml:space="preserve">. Oral contraceptives tend to flatten cyclical variation and modestly elevate resting HR, with subtle reductions in HF-HRV </w:t>
      </w:r>
      <w:sdt>
        <w:sdtPr>
          <w:rPr>
            <w:color w:val="000000"/>
          </w:rPr>
          <w:tag w:val="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"/>
          <w:id w:val="469794921"/>
          <w:placeholder>
            <w:docPart w:val="DefaultPlaceholder_-1854013440"/>
          </w:placeholder>
        </w:sdtPr>
        <w:sdtContent>
          <w:r w:rsidR="00B43409" w:rsidRPr="00B43409">
            <w:rPr>
              <w:color w:val="000000"/>
            </w:rPr>
            <w:t>[353–355]</w:t>
          </w:r>
        </w:sdtContent>
      </w:sdt>
      <w:r w:rsidRPr="001D228D">
        <w:t>.</w:t>
      </w:r>
    </w:p>
    <w:p w14:paraId="7391918E" w14:textId="6CE60DC7" w:rsidR="00CE64DB" w:rsidRPr="001D228D" w:rsidRDefault="00CE64DB" w:rsidP="001150F4">
      <w:r w:rsidRPr="001D228D">
        <w:rPr>
          <w:b/>
          <w:bCs/>
        </w:rPr>
        <w:t xml:space="preserve">Age. </w:t>
      </w:r>
      <w:r w:rsidRPr="001D228D">
        <w:t xml:space="preserve">Ageing has a pronounced and measure-dependent impact on HR and HRV. Cross-sectional and cohort studies from healthy populations show a progressive decline in SDNN, RMSSD, pNN50, HF and LF power from early adulthood onward, with the steepest reductions occurring between the third and seventh decades of life </w:t>
      </w:r>
      <w:sdt>
        <w:sdtPr>
          <w:rPr>
            <w:color w:val="000000"/>
          </w:rPr>
          <w:tag w:val="MENDELEY_CITATION_v3_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
          <w:id w:val="1394387018"/>
          <w:placeholder>
            <w:docPart w:val="DefaultPlaceholder_-1854013440"/>
          </w:placeholder>
        </w:sdtPr>
        <w:sdtContent>
          <w:r w:rsidR="00B43409" w:rsidRPr="00B43409">
            <w:rPr>
              <w:color w:val="000000"/>
            </w:rPr>
            <w:t>[303,333,336]</w:t>
          </w:r>
        </w:sdtContent>
      </w:sdt>
      <w:r w:rsidRPr="001D228D">
        <w:t xml:space="preserve">.  These age-related changes reflect declining vagal tone, impaired baroreflex sensitivity, and structural changes in both the sinus node and vasculature </w:t>
      </w:r>
      <w:sdt>
        <w:sdtPr>
          <w:rPr>
            <w:color w:val="000000"/>
          </w:rPr>
          <w:tag w:val="MENDELEY_CITATION_v3_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"/>
          <w:id w:val="214634605"/>
          <w:placeholder>
            <w:docPart w:val="DefaultPlaceholder_-1854013440"/>
          </w:placeholder>
        </w:sdtPr>
        <w:sdtContent>
          <w:r w:rsidR="00B43409" w:rsidRPr="00B43409">
            <w:rPr>
              <w:color w:val="000000"/>
            </w:rPr>
            <w:t>[356,357]</w:t>
          </w:r>
        </w:sdtContent>
      </w:sdt>
      <w:r w:rsidRPr="001D228D">
        <w:t xml:space="preserve">. Notably, older adults can exhibit HRV values that fall within the “high-risk” range for mortality even in the absence of overt disease </w:t>
      </w:r>
      <w:sdt>
        <w:sdtPr>
          <w:rPr>
            <w:color w:val="000000"/>
          </w:rPr>
          <w:tag w:val="MENDELEY_CITATION_v3_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XX0="/>
          <w:id w:val="651331312"/>
          <w:placeholder>
            <w:docPart w:val="DefaultPlaceholder_-1854013440"/>
          </w:placeholder>
        </w:sdtPr>
        <w:sdtContent>
          <w:r w:rsidR="00B43409" w:rsidRPr="00B43409">
            <w:rPr>
              <w:color w:val="000000"/>
            </w:rPr>
            <w:t>[303,358]</w:t>
          </w:r>
        </w:sdtContent>
      </w:sdt>
      <w:r w:rsidRPr="001D228D">
        <w:t>. Thermal studies therefore need to treat age as more than a descriptive characteristic: even in healthy cohorts, older groups will show reduced baseline HRV and potentially smaller autonomic responses to thermal perturbations, confounding comparisons if not accounted for.</w:t>
      </w:r>
    </w:p>
    <w:p w14:paraId="3289DC70" w14:textId="1B6AD761" w:rsidR="00CE64DB" w:rsidRPr="001D228D" w:rsidRDefault="00CE64DB" w:rsidP="001150F4">
      <w:r w:rsidRPr="001D228D">
        <w:rPr>
          <w:b/>
          <w:bCs/>
        </w:rPr>
        <w:t xml:space="preserve">Fitness. </w:t>
      </w:r>
      <w:r w:rsidRPr="001D228D">
        <w:t xml:space="preserve">Aerobic fitness is strongly associated with higher resting HRV and lower resting HR. Systematic reviews and training studies consistently demonstrate that moderate-to-vigorous endurance training increases vagally mediated indices (RMSSD, HF) and total power, while lowering resting HR in previously sedentary adults </w:t>
      </w:r>
      <w:sdt>
        <w:sdtPr>
          <w:rPr>
            <w:color w:val="000000"/>
          </w:rPr>
          <w:tag w:val="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"/>
          <w:id w:val="-1614196174"/>
          <w:placeholder>
            <w:docPart w:val="DefaultPlaceholder_-1854013440"/>
          </w:placeholder>
        </w:sdtPr>
        <w:sdtContent>
          <w:r w:rsidR="00B43409" w:rsidRPr="00B43409">
            <w:rPr>
              <w:color w:val="000000"/>
            </w:rPr>
            <w:t>[350,359–361]</w:t>
          </w:r>
        </w:sdtContent>
      </w:sdt>
      <w:r w:rsidRPr="001D228D">
        <w:t xml:space="preserve">. In older populations, long-term training and competitive endurance participation partly offset the age-related decline in HRV, yielding higher HF and LF power compared with sedentary peers </w:t>
      </w:r>
      <w:sdt>
        <w:sdtPr>
          <w:rPr>
            <w:color w:val="000000"/>
          </w:rPr>
          <w:tag w:val="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"/>
          <w:id w:val="1214776555"/>
          <w:placeholder>
            <w:docPart w:val="DefaultPlaceholder_-1854013440"/>
          </w:placeholder>
        </w:sdtPr>
        <w:sdtContent>
          <w:r w:rsidR="00B43409" w:rsidRPr="00B43409">
            <w:rPr>
              <w:color w:val="000000"/>
            </w:rPr>
            <w:t>[360,362,363]</w:t>
          </w:r>
        </w:sdtContent>
      </w:sdt>
      <w:r w:rsidRPr="001D228D">
        <w:t>.</w:t>
      </w:r>
    </w:p>
    <w:p w14:paraId="6DDA853C" w14:textId="0FFA231C" w:rsidR="00CE64DB" w:rsidRPr="001D228D" w:rsidRDefault="00CE64DB" w:rsidP="001150F4">
      <w:r w:rsidRPr="001D228D">
        <w:rPr>
          <w:b/>
          <w:bCs/>
        </w:rPr>
        <w:lastRenderedPageBreak/>
        <w:t>Acclimation.</w:t>
      </w:r>
      <w:r w:rsidRPr="001D228D">
        <w:t xml:space="preserve"> Heat acclimation interacts with fitness by expanding plasma volume, improving cutaneous vasodilatory capacity, and reducing the HR increase required to sustain cardiac output at a given thermal load </w:t>
      </w:r>
      <w:sdt>
        <w:sdtPr>
          <w:rPr>
            <w:color w:val="000000"/>
          </w:rPr>
          <w:tag w:val="MENDELEY_CITATION_v3_eyJjaXRhdGlvbklEIjoiTUVOREVMRVlfQ0lUQVRJT05fNzZmYWExYzQtNjZkYy00MTZlLTg3NWQtZjY0ZjE1MzU4ODkwIiwicHJvcGVydGllcyI6eyJub3RlSW5kZXgiOjB9LCJpc0VkaXRlZCI6ZmFsc2UsIm1hbnVhbE92ZXJyaWRlIjp7ImNpdGVwcm9jVGV4dCI6IlsyNzUsMzY0X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"/>
          <w:id w:val="-1579904366"/>
          <w:placeholder>
            <w:docPart w:val="DefaultPlaceholder_-1854013440"/>
          </w:placeholder>
        </w:sdtPr>
        <w:sdtContent>
          <w:r w:rsidR="00B43409" w:rsidRPr="00B43409">
            <w:rPr>
              <w:color w:val="000000"/>
            </w:rPr>
            <w:t>[275,364]</w:t>
          </w:r>
        </w:sdtContent>
      </w:sdt>
      <w:r w:rsidRPr="001D228D">
        <w:t>. Acclimated individuals thus display lower HR at a given core temperature and more stable HRV under heat stress compared to unacclimated controls. Without explicit information on training status and recent acclimation (e.g. season, occupational exposure, climate), HR/HRV responses to thermal stimuli are difficult to attribute solely to environmental conditions.</w:t>
      </w:r>
    </w:p>
    <w:p w14:paraId="733632C0" w14:textId="6BFA43E8" w:rsidR="00CE64DB" w:rsidRPr="001D228D" w:rsidRDefault="00CE64DB" w:rsidP="001150F4">
      <w:r w:rsidRPr="001D228D">
        <w:rPr>
          <w:b/>
          <w:bCs/>
        </w:rPr>
        <w:t>Body composition</w:t>
      </w:r>
      <w:r w:rsidRPr="001D228D">
        <w:t xml:space="preserve">. Body composition modifies autonomic regulation via altered metabolic load, inflammatory signalling, and haemodynamic demands. Increased body mass index and central adiposity are associated with elevated resting HR, reduced HF-HRV, and increased LF/HF ratio in otherwise healthy individuals, suggesting a shift toward sympathetic dominance </w:t>
      </w:r>
      <w:sdt>
        <w:sdtPr>
          <w:rPr>
            <w:color w:val="000000"/>
          </w:rPr>
          <w:tag w:val="MENDELEY_CITATION_v3_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"/>
          <w:id w:val="-1217735883"/>
          <w:placeholder>
            <w:docPart w:val="DefaultPlaceholder_-1854013440"/>
          </w:placeholder>
        </w:sdtPr>
        <w:sdtContent>
          <w:r w:rsidR="00B43409" w:rsidRPr="00B43409">
            <w:rPr>
              <w:color w:val="000000"/>
            </w:rPr>
            <w:t>[365–367]</w:t>
          </w:r>
        </w:sdtContent>
      </w:sdt>
      <w:r w:rsidRPr="001D228D">
        <w:t>. Obesity often co-occurs with reduced physical activity and subclinical cardiometabolic disease, further depressing HRV and blunting autonomic responsiveness. When comparing HR and HRV during thermal exposures, differences in BMI and fat distribution (e.g. android vs gynoid) should be treated as potential confounders, particularly in small samples.</w:t>
      </w:r>
    </w:p>
    <w:p w14:paraId="0145D595" w14:textId="0D65A489" w:rsidR="00CE64DB" w:rsidRPr="001D228D" w:rsidRDefault="00CE64DB" w:rsidP="001150F4">
      <w:pPr>
        <w:rPr>
          <w:b/>
          <w:bCs/>
        </w:rPr>
      </w:pPr>
      <w:r w:rsidRPr="001D228D">
        <w:rPr>
          <w:b/>
          <w:bCs/>
        </w:rPr>
        <w:t xml:space="preserve">Hydration. </w:t>
      </w:r>
      <w:r w:rsidRPr="001D228D">
        <w:t xml:space="preserve">Hydration state critically influences cardiovascular control during heat stress. Classic physiological studies show that hypohydration of ~2 % body mass reduces stroke volume, elevates HR, and increases internal temperature thresholds for cutaneous vasodilation </w:t>
      </w:r>
      <w:sdt>
        <w:sdtPr>
          <w:rPr>
            <w:color w:val="000000"/>
          </w:rPr>
          <w:tag w:val="MENDELEY_CITATION_v3_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"/>
          <w:id w:val="-1173565872"/>
          <w:placeholder>
            <w:docPart w:val="DefaultPlaceholder_-1854013440"/>
          </w:placeholder>
        </w:sdtPr>
        <w:sdtContent>
          <w:r w:rsidR="00B43409" w:rsidRPr="00B43409">
            <w:rPr>
              <w:color w:val="000000"/>
            </w:rPr>
            <w:t>[368]</w:t>
          </w:r>
        </w:sdtContent>
      </w:sdt>
      <w:r w:rsidRPr="001D228D">
        <w:t>. This combination increases cardiac strain and requires stronger sympathetic activation, reducing HRV even when environmental conditions are identical.</w:t>
      </w:r>
    </w:p>
    <w:p w14:paraId="6F1F62E8" w14:textId="73398716" w:rsidR="00CE64DB" w:rsidRPr="001D228D" w:rsidRDefault="00CE64DB" w:rsidP="001150F4">
      <w:r w:rsidRPr="001D228D">
        <w:rPr>
          <w:b/>
          <w:bCs/>
        </w:rPr>
        <w:t>Food intake and stimulants.</w:t>
      </w:r>
      <w:r w:rsidRPr="001D228D">
        <w:t xml:space="preserve"> Food intake and macro-nutrient composition also modulate autonomic outflow. Postprandial thermogenesis and splanchnic vasodilation elevate HR and transiently reduce HF-HRV. Caffeine and nicotine acutely increase sympathetic tone and HR, lowering RMSSD and HF </w:t>
      </w:r>
      <w:sdt>
        <w:sdtPr>
          <w:rPr>
            <w:color w:val="000000"/>
          </w:rPr>
          <w:tag w:val="MENDELEY_CITATION_v3_eyJjaXRhdGlvbklEIjoiTUVOREVMRVlfQ0lUQVRJT05fNmUwOWQ5ZjYtY2RhZC00NjhkLTk0OGEtMDYzYmQ3YWZkYmQ3IiwicHJvcGVydGllcyI6eyJub3RlSW5kZXgiOjB9LCJpc0VkaXRlZCI6ZmFsc2UsIm1hbnVhbE92ZXJyaWRlIjp7ImNpdGVwcm9jVGV4dCI6IlsyODNdIiwiaXNNYW51YWxseU92ZXJyaWRkZW4iOmZhbHNlLCJtYW51YWxPdmVycmlkZVRleHQiOiIifSwiY2l0YXRpb25JdGVtcyI6W3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V19"/>
          <w:id w:val="-1567865429"/>
          <w:placeholder>
            <w:docPart w:val="DefaultPlaceholder_-1854013440"/>
          </w:placeholder>
        </w:sdtPr>
        <w:sdtContent>
          <w:r w:rsidR="00B43409" w:rsidRPr="00B43409">
            <w:rPr>
              <w:color w:val="000000"/>
            </w:rPr>
            <w:t>[283]</w:t>
          </w:r>
        </w:sdtContent>
      </w:sdt>
      <w:r w:rsidRPr="001D228D">
        <w:t xml:space="preserve">; alcohol has more complex, biphasic effects but is generally associated with lower short-term HRV in dependence and heavy use </w:t>
      </w:r>
      <w:sdt>
        <w:sdtPr>
          <w:rPr>
            <w:color w:val="000000"/>
          </w:rPr>
          <w:tag w:val="MENDELEY_CITATION_v3_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"/>
          <w:id w:val="-1907603962"/>
          <w:placeholder>
            <w:docPart w:val="DefaultPlaceholder_-1854013440"/>
          </w:placeholder>
        </w:sdtPr>
        <w:sdtContent>
          <w:r w:rsidR="00B43409" w:rsidRPr="00B43409">
            <w:rPr>
              <w:color w:val="000000"/>
            </w:rPr>
            <w:t>[369]</w:t>
          </w:r>
        </w:sdtContent>
      </w:sdt>
      <w:r w:rsidRPr="001D228D">
        <w:t>. For resting thermal protocols, overnight fasting or standardised light meals and restrictions on caffeine, nicotine, and alcohol intake are therefore recommended.</w:t>
      </w:r>
    </w:p>
    <w:p w14:paraId="22225DD0" w14:textId="3DDB81BE" w:rsidR="00CE64DB" w:rsidRPr="001D228D" w:rsidRDefault="00CE64DB" w:rsidP="001150F4">
      <w:r w:rsidRPr="001D228D">
        <w:rPr>
          <w:b/>
          <w:bCs/>
        </w:rPr>
        <w:t xml:space="preserve">Psychological load and psychopathology. </w:t>
      </w:r>
      <w:r w:rsidRPr="001D228D">
        <w:t xml:space="preserve">Psychological stress is one of the most powerful non-thermal modifiers of HRV. Acute mental stress, anxiety, and negative affect produce rapid vagal withdrawal, increases in HR, and reductions in HF and RMSSD, while often increasing LF/HF. Meta-analyses show robust associations between reduced resting HRV and a range of psychiatric conditions including anxiety disorders, depression, alcohol dependence, bipolar disorder, and schizophrenia </w:t>
      </w:r>
      <w:sdt>
        <w:sdtPr>
          <w:rPr>
            <w:color w:val="000000"/>
          </w:rPr>
          <w:tag w:val="MENDELEY_CITATION_v3_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"/>
          <w:id w:val="713388081"/>
          <w:placeholder>
            <w:docPart w:val="DefaultPlaceholder_-1854013440"/>
          </w:placeholder>
        </w:sdtPr>
        <w:sdtContent>
          <w:r w:rsidR="00B43409" w:rsidRPr="00B43409">
            <w:rPr>
              <w:color w:val="000000"/>
            </w:rPr>
            <w:t>[370–377]</w:t>
          </w:r>
        </w:sdtContent>
      </w:sdt>
      <w:r w:rsidRPr="001D228D">
        <w:t xml:space="preserve">. These effects are amplified by psychotropic medications, particularly tricyclic antidepressants, some SSRIs/SNRIs, and antipsychotics, which further reduce HRV </w:t>
      </w:r>
      <w:sdt>
        <w:sdtPr>
          <w:rPr>
            <w:color w:val="000000"/>
          </w:rPr>
          <w:tag w:val="MENDELEY_CITATION_v3_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"/>
          <w:id w:val="-726841586"/>
          <w:placeholder>
            <w:docPart w:val="DefaultPlaceholder_-1854013440"/>
          </w:placeholder>
        </w:sdtPr>
        <w:sdtContent>
          <w:r w:rsidR="00B43409" w:rsidRPr="00B43409">
            <w:rPr>
              <w:color w:val="000000"/>
            </w:rPr>
            <w:t>[374]</w:t>
          </w:r>
        </w:sdtContent>
      </w:sdt>
      <w:r w:rsidRPr="001D228D">
        <w:t>. Because low HRV can signal chronic stress or psychopathology rather than thermal strain per se, thermal experiments should at minimum screen for major psychiatric diagnoses, heavy alcohol use, and ongoing psychotropic treatment, or interpret HRV data with these factors explicitly in mind.</w:t>
      </w:r>
    </w:p>
    <w:p w14:paraId="1B75B96D" w14:textId="2F5C43FC" w:rsidR="00CE64DB" w:rsidRPr="001D228D" w:rsidRDefault="00CE64DB" w:rsidP="001150F4">
      <w:pPr>
        <w:rPr>
          <w:b/>
          <w:bCs/>
        </w:rPr>
      </w:pPr>
      <w:r w:rsidRPr="001D228D">
        <w:rPr>
          <w:b/>
          <w:bCs/>
        </w:rPr>
        <w:t xml:space="preserve">Neurodivergent populations. </w:t>
      </w:r>
      <w:r w:rsidRPr="001D228D">
        <w:t xml:space="preserve">Neurodevelopmental conditions such as autism spectrum disorder (ASD) and attention-deficit/hyperactivity disorder (ADHD) are characterised by altered autonomic regulation, including atypical vagal tone, heightened sympathetic reactivity, and disrupted circadian patterns of HR and HRV </w:t>
      </w:r>
      <w:sdt>
        <w:sdtPr>
          <w:rPr>
            <w:color w:val="000000"/>
          </w:rPr>
          <w:tag w:val="MENDELEY_CITATION_v3_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"/>
          <w:id w:val="-1138726295"/>
          <w:placeholder>
            <w:docPart w:val="DefaultPlaceholder_-1854013440"/>
          </w:placeholder>
        </w:sdtPr>
        <w:sdtContent>
          <w:r w:rsidR="00B43409" w:rsidRPr="00B43409">
            <w:rPr>
              <w:color w:val="000000"/>
            </w:rPr>
            <w:t>[375,378]</w:t>
          </w:r>
        </w:sdtContent>
      </w:sdt>
      <w:r w:rsidRPr="001D228D">
        <w:t xml:space="preserve">. Individuals with ASD often show reduced HF-HRV at rest and diminished autonomic flexibility during social and cognitive challenges </w:t>
      </w:r>
      <w:sdt>
        <w:sdtPr>
          <w:rPr>
            <w:color w:val="000000"/>
          </w:rPr>
          <w:tag w:val="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"/>
          <w:id w:val="-543139922"/>
          <w:placeholder>
            <w:docPart w:val="DefaultPlaceholder_-1854013440"/>
          </w:placeholder>
        </w:sdtPr>
        <w:sdtContent>
          <w:r w:rsidR="00B43409" w:rsidRPr="00B43409">
            <w:rPr>
              <w:color w:val="000000"/>
            </w:rPr>
            <w:t>[379,380]</w:t>
          </w:r>
        </w:sdtContent>
      </w:sdt>
      <w:r w:rsidRPr="001D228D">
        <w:t>, while ADHD is associated with delayed HR/HRV rhythms and greater day-to-day variability. These baseline differences may shape both the magnitude and interpretation of HRV responses under thermal load and warrant documentation in inclusive or neurodivergent samples.</w:t>
      </w:r>
    </w:p>
    <w:p w14:paraId="0E573B4E" w14:textId="7DDBDF82" w:rsidR="00CE64DB" w:rsidRPr="001D228D" w:rsidRDefault="00CE64DB" w:rsidP="001150F4">
      <w:r w:rsidRPr="001D228D">
        <w:rPr>
          <w:b/>
          <w:bCs/>
        </w:rPr>
        <w:t>Underlying medical conditions and medications</w:t>
      </w:r>
      <w:r w:rsidRPr="001D228D">
        <w:t xml:space="preserve">. Cardiometabolic and neurological diseases can profoundly depress HRV. Diabetes mellitus with cardiovascular autonomic neuropathy is associated with marked reductions in total power, HF, and time-domain indices, even after adjusting for age and disease duration </w:t>
      </w:r>
      <w:sdt>
        <w:sdtPr>
          <w:rPr>
            <w:color w:val="000000"/>
          </w:rPr>
          <w:tag w:val="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"/>
          <w:id w:val="1341579409"/>
          <w:placeholder>
            <w:docPart w:val="DefaultPlaceholder_-1854013440"/>
          </w:placeholder>
        </w:sdtPr>
        <w:sdtContent>
          <w:r w:rsidR="00B43409" w:rsidRPr="00B43409">
            <w:rPr>
              <w:color w:val="000000"/>
            </w:rPr>
            <w:t>[381,382]</w:t>
          </w:r>
        </w:sdtContent>
      </w:sdt>
      <w:r w:rsidRPr="001D228D">
        <w:t xml:space="preserve">. Hypertension, coronary artery disease, and heart failure similarly reduce HRV and increase arrhythmic risk </w:t>
      </w:r>
      <w:sdt>
        <w:sdtPr>
          <w:rPr>
            <w:color w:val="000000"/>
          </w:rPr>
          <w:tag w:val="MENDELEY_CITATION_v3_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"/>
          <w:id w:val="1204599482"/>
          <w:placeholder>
            <w:docPart w:val="DefaultPlaceholder_-1854013440"/>
          </w:placeholder>
        </w:sdtPr>
        <w:sdtContent>
          <w:r w:rsidR="00B43409" w:rsidRPr="00B43409">
            <w:rPr>
              <w:color w:val="000000"/>
            </w:rPr>
            <w:t>[358,383]</w:t>
          </w:r>
        </w:sdtContent>
      </w:sdt>
      <w:r w:rsidRPr="001D228D">
        <w:t xml:space="preserve">. </w:t>
      </w:r>
    </w:p>
    <w:p w14:paraId="438AD55C" w14:textId="27AE4BDB" w:rsidR="00CE64DB" w:rsidRPr="001D228D" w:rsidRDefault="00CE64DB" w:rsidP="001150F4">
      <w:r w:rsidRPr="001D228D">
        <w:t xml:space="preserve">Beyond disease, medications exert large and often directionally specific influences: β-blockers increase HF-HRV and reduce HR; anticholinergics blunt vagal modulation; some antidepressants and antipsychotics decrease HRV; and stimulants used for ADHD substantially elevate HR and LF/HF </w:t>
      </w:r>
      <w:sdt>
        <w:sdtPr>
          <w:rPr>
            <w:color w:val="000000"/>
          </w:rPr>
          <w:tag w:val="MENDELEY_CITATION_v3_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V19"/>
          <w:id w:val="-1564710273"/>
          <w:placeholder>
            <w:docPart w:val="DefaultPlaceholder_-1854013440"/>
          </w:placeholder>
        </w:sdtPr>
        <w:sdtContent>
          <w:r w:rsidR="00B43409" w:rsidRPr="00B43409">
            <w:rPr>
              <w:color w:val="000000"/>
            </w:rPr>
            <w:t>[283,374]</w:t>
          </w:r>
        </w:sdtContent>
      </w:sdt>
      <w:r w:rsidRPr="001D228D">
        <w:t>. In many resting thermal protocols, the HRV effects of disease and medication exceed those of mild environmental heat or cold; careful screening and reporting are therefore essential.</w:t>
      </w:r>
    </w:p>
    <w:p w14:paraId="402802D6" w14:textId="6A355F8C" w:rsidR="00CE64DB" w:rsidRPr="001D228D" w:rsidRDefault="00CE64DB" w:rsidP="001150F4">
      <w:r w:rsidRPr="001D228D">
        <w:rPr>
          <w:b/>
          <w:bCs/>
        </w:rPr>
        <w:lastRenderedPageBreak/>
        <w:t xml:space="preserve">Respiration. </w:t>
      </w:r>
      <w:r w:rsidRPr="00593338">
        <w:t>Because HF-HRV largely reflects respiratory sinus arrhythmia, any factor that alters respiratory frequency or tidal volume will affect HRV estimates</w:t>
      </w:r>
      <w:r>
        <w:t xml:space="preserve"> </w:t>
      </w:r>
      <w:sdt>
        <w:sdtPr>
          <w:rPr>
            <w:color w:val="000000"/>
          </w:rPr>
          <w:tag w:val="MENDELEY_CITATION_v3_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"/>
          <w:id w:val="2134279771"/>
          <w:placeholder>
            <w:docPart w:val="DefaultPlaceholder_-1854013440"/>
          </w:placeholder>
        </w:sdtPr>
        <w:sdtContent>
          <w:r w:rsidR="00B43409" w:rsidRPr="00B43409">
            <w:rPr>
              <w:color w:val="000000"/>
            </w:rPr>
            <w:t>[384,385]</w:t>
          </w:r>
        </w:sdtContent>
      </w:sdt>
      <w:r w:rsidRPr="001D228D">
        <w:t xml:space="preserve">. </w:t>
      </w:r>
      <w:r w:rsidRPr="00593338">
        <w:t>Speaking, sighing, mask-wearing, slumped posture, and emotional arousal can all change breathing patterns; controlled metronome breathing, while standardising frequency, can itself act as a mild stressor and shift autonomic balance</w:t>
      </w:r>
      <w:r w:rsidRPr="001D228D">
        <w:t xml:space="preserve"> </w:t>
      </w:r>
      <w:sdt>
        <w:sdtPr>
          <w:rPr>
            <w:color w:val="000000"/>
          </w:rPr>
          <w:tag w:val="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"/>
          <w:id w:val="1307435176"/>
          <w:placeholder>
            <w:docPart w:val="DefaultPlaceholder_-1854013440"/>
          </w:placeholder>
        </w:sdtPr>
        <w:sdtContent>
          <w:r w:rsidR="00B43409" w:rsidRPr="00B43409">
            <w:rPr>
              <w:color w:val="000000"/>
            </w:rPr>
            <w:t>[302,386–388]</w:t>
          </w:r>
        </w:sdtContent>
      </w:sdt>
      <w:r>
        <w:t xml:space="preserve">. </w:t>
      </w:r>
      <w:r w:rsidRPr="00C32BE1">
        <w:t>Heat stress can modestly increase breathing rate, reducing HF power even without changes in autonomic drive</w:t>
      </w:r>
      <w:r>
        <w:t xml:space="preserve"> </w:t>
      </w:r>
      <w:sdt>
        <w:sdtPr>
          <w:rPr>
            <w:color w:val="000000"/>
          </w:rPr>
          <w:tag w:val="MENDELEY_CITATION_v3_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"/>
          <w:id w:val="1364016930"/>
          <w:placeholder>
            <w:docPart w:val="DefaultPlaceholder_-1854013440"/>
          </w:placeholder>
        </w:sdtPr>
        <w:sdtContent>
          <w:r w:rsidR="00B43409" w:rsidRPr="00B43409">
            <w:rPr>
              <w:color w:val="000000"/>
            </w:rPr>
            <w:t>[389]</w:t>
          </w:r>
        </w:sdtContent>
      </w:sdt>
      <w:r w:rsidRPr="001D228D">
        <w:t>. Whenever HRV is used mechanistically, concurrent measurement or at least explicit consideration of respiration is recommended</w:t>
      </w:r>
      <w:r>
        <w:t xml:space="preserve"> </w:t>
      </w:r>
      <w:sdt>
        <w:sdtPr>
          <w:rPr>
            <w:color w:val="000000"/>
          </w:rPr>
          <w:tag w:val="MENDELEY_CITATION_v3_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"/>
          <w:id w:val="1452200509"/>
          <w:placeholder>
            <w:docPart w:val="DefaultPlaceholder_-1854013440"/>
          </w:placeholder>
        </w:sdtPr>
        <w:sdtContent>
          <w:r w:rsidR="00B43409" w:rsidRPr="00B43409">
            <w:rPr>
              <w:color w:val="000000"/>
            </w:rPr>
            <w:t>[301]</w:t>
          </w:r>
        </w:sdtContent>
      </w:sdt>
      <w:r w:rsidRPr="001D228D">
        <w:t>.</w:t>
      </w:r>
    </w:p>
    <w:p w14:paraId="5A01B278" w14:textId="53DB7A8E" w:rsidR="00CE64DB" w:rsidRPr="001D228D" w:rsidRDefault="00CE64DB" w:rsidP="001150F4">
      <w:r w:rsidRPr="001D228D">
        <w:rPr>
          <w:b/>
          <w:bCs/>
        </w:rPr>
        <w:t xml:space="preserve">Measurement artefacts. </w:t>
      </w:r>
      <w:r w:rsidRPr="001D228D">
        <w:t xml:space="preserve">Finally, technical and preprocessing choices can generate “pseudo-variability” comparable in magnitude to physiological changes. Poor R-peak detection, motion artefacts, ectopic beats, missing data, and nonstationarity all distort time- and frequency-domain indices </w:t>
      </w:r>
      <w:sdt>
        <w:sdtPr>
          <w:rPr>
            <w:color w:val="000000"/>
          </w:rPr>
          <w:tag w:val="MENDELEY_CITATION_v3_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
          <w:id w:val="-834994545"/>
          <w:placeholder>
            <w:docPart w:val="DefaultPlaceholder_-1854013440"/>
          </w:placeholder>
        </w:sdtPr>
        <w:sdtContent>
          <w:r w:rsidR="00B43409" w:rsidRPr="00B43409">
            <w:rPr>
              <w:color w:val="000000"/>
            </w:rPr>
            <w:t>[273,274,282,336]</w:t>
          </w:r>
        </w:sdtContent>
      </w:sdt>
      <w:r w:rsidRPr="001D228D">
        <w:t xml:space="preserve">. PPG-derived HRV is particularly sensitive to local vasoconstriction during cooling or airflow, which can degrade waveform quality and bias interval estimates </w:t>
      </w:r>
      <w:sdt>
        <w:sdtPr>
          <w:rPr>
            <w:color w:val="000000"/>
          </w:rPr>
          <w:tag w:val="MENDELEY_CITATION_v3_eyJjaXRhdGlvbklEIjoiTUVOREVMRVlfQ0lUQVRJT05fYjFkNzNhNjItOGU4YS00NjVlLWFmMjYtZDMxNjhjZWE1ZWQzIiwicHJvcGVydGllcyI6eyJub3RlSW5kZXgiOjB9LCJpc0VkaXRlZCI6ZmFsc2UsIm1hbnVhbE92ZXJyaWRlIjp7ImNpdGVwcm9jVGV4dCI6IlszMTMsMzE0XSIsImlzTWFudWFsbHlPdmVycmlkZGVuIjpmYWxzZSwibWFudWFsT3ZlcnJpZGVUZXh0IjoiIn0sImNpdGF0aW9uSXRlbXMiOlt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"/>
          <w:id w:val="1843502768"/>
          <w:placeholder>
            <w:docPart w:val="DefaultPlaceholder_-1854013440"/>
          </w:placeholder>
        </w:sdtPr>
        <w:sdtContent>
          <w:r w:rsidR="00B43409" w:rsidRPr="00B43409">
            <w:rPr>
              <w:color w:val="000000"/>
            </w:rPr>
            <w:t>[313,314]</w:t>
          </w:r>
        </w:sdtContent>
      </w:sdt>
      <w:r w:rsidRPr="001D228D">
        <w:t>.</w:t>
      </w:r>
    </w:p>
    <w:p w14:paraId="0E28808F" w14:textId="77777777" w:rsidR="00CE64DB" w:rsidRPr="001D228D" w:rsidRDefault="00CE64DB" w:rsidP="007A2440">
      <w:pPr>
        <w:pStyle w:val="Heading3"/>
        <w:rPr>
          <w:lang w:val="en-GB"/>
        </w:rPr>
      </w:pPr>
      <w:bookmarkStart w:id="60" w:name="_Toc211009220"/>
      <w:bookmarkStart w:id="61" w:name="_Ref223194341"/>
      <w:bookmarkStart w:id="62" w:name="_Ref223194348"/>
      <w:bookmarkStart w:id="63" w:name="_Toc223281690"/>
      <w:r w:rsidRPr="001D228D">
        <w:rPr>
          <w:lang w:val="en-GB"/>
        </w:rPr>
        <w:t>Data handling methods</w:t>
      </w:r>
      <w:bookmarkEnd w:id="60"/>
      <w:bookmarkEnd w:id="61"/>
      <w:bookmarkEnd w:id="62"/>
      <w:bookmarkEnd w:id="63"/>
    </w:p>
    <w:p w14:paraId="42D8B50E" w14:textId="2996E169" w:rsidR="00CE64DB" w:rsidRPr="001D228D" w:rsidRDefault="00CE64DB" w:rsidP="001150F4">
      <w:r w:rsidRPr="001D228D">
        <w:t xml:space="preserve">The interpretability of HR and HRV in thermal-physiology experiments depends critically on rigorous data handling. Even small errors in beat detection or inconsistent preprocessing can obscure the relatively subtle autonomic changes typical of sedentary thermal exposures. Standard workflows therefore include (i) verifying sensor performance, (ii) cleaning RR intervals, and (iii) deriving a consistent set of indices using transparent and reproducible methods. As a well-established field outside thermophysiology, HRV research benefits from several methodological guidelines and reporting checklists </w:t>
      </w:r>
      <w:sdt>
        <w:sdtPr>
          <w:rPr>
            <w:color w:val="000000"/>
          </w:rPr>
          <w:tag w:val="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"/>
          <w:id w:val="-313493511"/>
          <w:placeholder>
            <w:docPart w:val="DefaultPlaceholder_-1854013440"/>
          </w:placeholder>
        </w:sdtPr>
        <w:sdtContent>
          <w:r w:rsidR="00B43409" w:rsidRPr="00B43409">
            <w:rPr>
              <w:color w:val="000000"/>
            </w:rPr>
            <w:t>[9,390,391]</w:t>
          </w:r>
        </w:sdtContent>
      </w:sdt>
      <w:r w:rsidRPr="001D228D">
        <w:t>.</w:t>
      </w:r>
    </w:p>
    <w:p w14:paraId="0EA6C264" w14:textId="77777777" w:rsidR="00CE64DB" w:rsidRPr="001D228D" w:rsidRDefault="00CE64DB" w:rsidP="007A2440">
      <w:pPr>
        <w:pStyle w:val="Heading4"/>
        <w:rPr>
          <w:lang w:val="en-GB"/>
        </w:rPr>
      </w:pPr>
      <w:r w:rsidRPr="001D228D">
        <w:rPr>
          <w:lang w:val="en-GB"/>
        </w:rPr>
        <w:t>Sensor calibration</w:t>
      </w:r>
    </w:p>
    <w:p w14:paraId="2E7C23D0" w14:textId="6A002982" w:rsidR="00CE64DB" w:rsidRDefault="00CE64DB" w:rsidP="00833BDB">
      <w:r w:rsidRPr="001D228D">
        <w:t xml:space="preserve">PPG-based/optical sensors rely on local perfusion and cannot be “calibrated” against a physical standard; instead, suitability is established via brief local validation against ECG under identical conditions </w:t>
      </w:r>
      <w:sdt>
        <w:sdtPr>
          <w:rPr>
            <w:color w:val="000000"/>
          </w:rPr>
          <w:tag w:val="MENDELEY_CITATION_v3_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
          <w:id w:val="1451976207"/>
          <w:placeholder>
            <w:docPart w:val="DefaultPlaceholder_-1854013440"/>
          </w:placeholder>
        </w:sdtPr>
        <w:sdtContent>
          <w:r w:rsidR="00B43409" w:rsidRPr="00B43409">
            <w:rPr>
              <w:color w:val="000000"/>
            </w:rPr>
            <w:t>[310,392]</w:t>
          </w:r>
        </w:sdtContent>
      </w:sdt>
      <w:r w:rsidRPr="001D228D">
        <w:t xml:space="preserve">. </w:t>
      </w:r>
    </w:p>
    <w:p w14:paraId="6B769FDA" w14:textId="77777777" w:rsidR="00CE64DB" w:rsidRPr="001D228D" w:rsidRDefault="00CE64DB" w:rsidP="00833BDB">
      <w:pPr>
        <w:pStyle w:val="Heading4"/>
        <w:rPr>
          <w:lang w:val="en-GB"/>
        </w:rPr>
      </w:pPr>
      <w:r w:rsidRPr="001D228D">
        <w:rPr>
          <w:lang w:val="en-GB"/>
        </w:rPr>
        <w:t>Data cleaning and correction</w:t>
      </w:r>
    </w:p>
    <w:p w14:paraId="40DF5E5D" w14:textId="24333A5F" w:rsidR="00CE64DB" w:rsidRPr="001D228D" w:rsidRDefault="00CE64DB" w:rsidP="001150F4">
      <w:r w:rsidRPr="00305173">
        <w:t>Data cleaning is a vital stage in HRV analysis, as raw signals frequently contain technical noise, motion artifacts, and physiological anomalies (such as ectopic beats or arrhythmias) that can cause significant over- or under-estimation of HRV parameters</w:t>
      </w:r>
      <w:r w:rsidRPr="001D228D">
        <w:t xml:space="preserve"> </w:t>
      </w:r>
      <w:sdt>
        <w:sdtPr>
          <w:rPr>
            <w:color w:val="000000"/>
          </w:rPr>
          <w:tag w:val="MENDELEY_CITATION_v3_eyJjaXRhdGlvbklEIjoiTUVOREVMRVlfQ0lUQVRJT05fMTBlYjE3MDItZjZkNS00ZjYxLTg4NzgtNmFjMTRkNzY4OTY3IiwicHJvcGVydGllcyI6eyJub3RlSW5kZXgiOjB9LCJpc0VkaXRlZCI6ZmFsc2UsIm1hbnVhbE92ZXJyaWRlIjp7ImNpdGVwcm9jVGV4dCI6IlsyNzMsMjc0LDMwMSwzMDIsMzkz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Sx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"/>
          <w:id w:val="-1436437929"/>
          <w:placeholder>
            <w:docPart w:val="DefaultPlaceholder_-1854013440"/>
          </w:placeholder>
        </w:sdtPr>
        <w:sdtContent>
          <w:r w:rsidR="00B43409" w:rsidRPr="00B43409">
            <w:rPr>
              <w:color w:val="000000"/>
            </w:rPr>
            <w:t>[273,274,301,302,393]</w:t>
          </w:r>
        </w:sdtContent>
      </w:sdt>
      <w:r w:rsidRPr="001D228D">
        <w:t>.</w:t>
      </w:r>
    </w:p>
    <w:p w14:paraId="5433EC7A" w14:textId="77777777" w:rsidR="00CE64DB" w:rsidRPr="001D228D" w:rsidRDefault="00CE64DB" w:rsidP="001150F4">
      <w:r w:rsidRPr="001D228D">
        <w:rPr>
          <w:b/>
          <w:bCs/>
        </w:rPr>
        <w:t xml:space="preserve">Visual inspection and artefact detection. </w:t>
      </w:r>
      <w:r w:rsidRPr="001D228D">
        <w:t>Raw ECG or PPG waveforms and the RR tachogram should be inspected for:</w:t>
      </w:r>
    </w:p>
    <w:p w14:paraId="6703E43A" w14:textId="77777777" w:rsidR="00CE64DB" w:rsidRPr="001D228D" w:rsidRDefault="00CE64DB" w:rsidP="001150F4">
      <w:pPr>
        <w:pStyle w:val="Bullet"/>
      </w:pPr>
      <w:r w:rsidRPr="001D228D">
        <w:t>missed beats (single long RR ~2× local mean),</w:t>
      </w:r>
    </w:p>
    <w:p w14:paraId="1B577218" w14:textId="77777777" w:rsidR="00CE64DB" w:rsidRPr="001D228D" w:rsidRDefault="00CE64DB" w:rsidP="001150F4">
      <w:pPr>
        <w:pStyle w:val="Bullet"/>
      </w:pPr>
      <w:r w:rsidRPr="001D228D">
        <w:t>double detections (two short RR),</w:t>
      </w:r>
    </w:p>
    <w:p w14:paraId="04C0C136" w14:textId="77777777" w:rsidR="00CE64DB" w:rsidRPr="001D228D" w:rsidRDefault="00CE64DB" w:rsidP="001150F4">
      <w:pPr>
        <w:pStyle w:val="Bullet"/>
      </w:pPr>
      <w:r w:rsidRPr="001D228D">
        <w:t>ectopic beats,</w:t>
      </w:r>
    </w:p>
    <w:p w14:paraId="71C0FAD3" w14:textId="77777777" w:rsidR="00CE64DB" w:rsidRPr="001D228D" w:rsidRDefault="00CE64DB" w:rsidP="001150F4">
      <w:pPr>
        <w:pStyle w:val="Bullet"/>
      </w:pPr>
      <w:r w:rsidRPr="001D228D">
        <w:t>saturated/flat segments (PPG contact loss),</w:t>
      </w:r>
    </w:p>
    <w:p w14:paraId="13635210" w14:textId="77777777" w:rsidR="00CE64DB" w:rsidRPr="001D228D" w:rsidRDefault="00CE64DB" w:rsidP="001150F4">
      <w:pPr>
        <w:pStyle w:val="Bullet"/>
      </w:pPr>
      <w:r w:rsidRPr="001D228D">
        <w:t>abrupt transients from movement.</w:t>
      </w:r>
    </w:p>
    <w:p w14:paraId="644FE862" w14:textId="50B2D215" w:rsidR="00CE64DB" w:rsidRPr="001D228D" w:rsidRDefault="00CE64DB" w:rsidP="001150F4">
      <w:r w:rsidRPr="001D228D">
        <w:t xml:space="preserve">Although automatic filters exist, visual inspection of flagged segments remains necessary in research settings. Following the GRAPH guidelines for transparent HRV reporting </w:t>
      </w:r>
      <w:sdt>
        <w:sdtPr>
          <w:rPr>
            <w:color w:val="000000"/>
          </w:rPr>
          <w:tag w:val="MENDELEY_CITATION_v3_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"/>
          <w:id w:val="-1321493770"/>
          <w:placeholder>
            <w:docPart w:val="DefaultPlaceholder_-1854013440"/>
          </w:placeholder>
        </w:sdtPr>
        <w:sdtContent>
          <w:r w:rsidR="00B43409" w:rsidRPr="00B43409">
            <w:rPr>
              <w:color w:val="000000"/>
            </w:rPr>
            <w:t>[391]</w:t>
          </w:r>
        </w:sdtContent>
      </w:sdt>
      <w:r w:rsidRPr="001D228D">
        <w:t>, all preprocessing steps should be explicitly stated, including:</w:t>
      </w:r>
    </w:p>
    <w:p w14:paraId="6892D6C2" w14:textId="77777777" w:rsidR="00CE64DB" w:rsidRPr="001D228D" w:rsidRDefault="00CE64DB" w:rsidP="001150F4">
      <w:pPr>
        <w:pStyle w:val="Bullet"/>
        <w:rPr>
          <w:rStyle w:val="BulletChar"/>
        </w:rPr>
      </w:pPr>
      <w:r w:rsidRPr="001D228D">
        <w:rPr>
          <w:rStyle w:val="BulletChar"/>
        </w:rPr>
        <w:t xml:space="preserve">the algorithm used for R-peak detection, </w:t>
      </w:r>
    </w:p>
    <w:p w14:paraId="6445C48A" w14:textId="77777777" w:rsidR="00CE64DB" w:rsidRPr="001D228D" w:rsidRDefault="00CE64DB" w:rsidP="001150F4">
      <w:pPr>
        <w:pStyle w:val="Bullet"/>
        <w:rPr>
          <w:rStyle w:val="BulletChar"/>
        </w:rPr>
      </w:pPr>
      <w:r w:rsidRPr="001D228D">
        <w:rPr>
          <w:rStyle w:val="BulletChar"/>
        </w:rPr>
        <w:t>criteria for identifying ectopic or artefactual beats,</w:t>
      </w:r>
    </w:p>
    <w:p w14:paraId="6391C9D5" w14:textId="77777777" w:rsidR="00CE64DB" w:rsidRPr="001D228D" w:rsidRDefault="00CE64DB" w:rsidP="001150F4">
      <w:pPr>
        <w:pStyle w:val="Bullet"/>
        <w:rPr>
          <w:rStyle w:val="BulletChar"/>
        </w:rPr>
      </w:pPr>
      <w:r w:rsidRPr="001D228D">
        <w:rPr>
          <w:rStyle w:val="BulletChar"/>
        </w:rPr>
        <w:t>whether manual inspection was performed,</w:t>
      </w:r>
    </w:p>
    <w:p w14:paraId="6AF8D934" w14:textId="77777777" w:rsidR="00CE64DB" w:rsidRPr="001D228D" w:rsidRDefault="00CE64DB" w:rsidP="001150F4">
      <w:pPr>
        <w:pStyle w:val="Bullet"/>
        <w:rPr>
          <w:rStyle w:val="BulletChar"/>
        </w:rPr>
      </w:pPr>
      <w:r w:rsidRPr="001D228D">
        <w:rPr>
          <w:rStyle w:val="BulletChar"/>
        </w:rPr>
        <w:t>beat-editing method (e.g., linear or cubic-spline interpolation),</w:t>
      </w:r>
    </w:p>
    <w:p w14:paraId="67B17E26" w14:textId="77777777" w:rsidR="00CE64DB" w:rsidRPr="001D228D" w:rsidRDefault="00CE64DB" w:rsidP="001150F4">
      <w:pPr>
        <w:pStyle w:val="Bullet"/>
      </w:pPr>
      <w:r w:rsidRPr="001D228D">
        <w:rPr>
          <w:rStyle w:val="BulletChar"/>
        </w:rPr>
        <w:t>the percentage of corrected or removed beats per segment and per participant.</w:t>
      </w:r>
    </w:p>
    <w:p w14:paraId="1F416521" w14:textId="77777777" w:rsidR="00CE64DB" w:rsidRPr="001D228D" w:rsidRDefault="00CE64DB" w:rsidP="001150F4">
      <w:r w:rsidRPr="001D228D">
        <w:t>These elements are crucial because differences in artefact handling can generate variability comparable to physiological effects in short-term HRV.</w:t>
      </w:r>
    </w:p>
    <w:p w14:paraId="2AD156FD" w14:textId="77777777" w:rsidR="00CE64DB" w:rsidRPr="001D228D" w:rsidRDefault="00CE64DB" w:rsidP="001150F4">
      <w:r w:rsidRPr="001D228D">
        <w:rPr>
          <w:b/>
          <w:bCs/>
        </w:rPr>
        <w:t xml:space="preserve">Correction strategies. </w:t>
      </w:r>
      <w:r w:rsidRPr="001D228D">
        <w:t>Common correction rules include:</w:t>
      </w:r>
    </w:p>
    <w:p w14:paraId="3C0303FF" w14:textId="5480ADEE" w:rsidR="00CE64DB" w:rsidRPr="001D228D" w:rsidRDefault="00CE64DB" w:rsidP="001150F4">
      <w:pPr>
        <w:pStyle w:val="Bullet"/>
      </w:pPr>
      <w:r w:rsidRPr="001D228D">
        <w:rPr>
          <w:u w:val="single"/>
        </w:rPr>
        <w:t>Missed beat:</w:t>
      </w:r>
      <w:r w:rsidRPr="001D228D">
        <w:t xml:space="preserve"> divide a long RR into two interpolated intervals</w:t>
      </w:r>
      <w:r>
        <w:t xml:space="preserve"> </w:t>
      </w:r>
      <w:sdt>
        <w:sdtPr>
          <w:rPr>
            <w:color w:val="000000"/>
          </w:rPr>
          <w:tag w:val="MENDELEY_CITATION_v3_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"/>
          <w:id w:val="1169138699"/>
          <w:placeholder>
            <w:docPart w:val="DefaultPlaceholder_-1854013440"/>
          </w:placeholder>
        </w:sdtPr>
        <w:sdtContent>
          <w:r w:rsidR="00B43409" w:rsidRPr="00B43409">
            <w:rPr>
              <w:color w:val="000000"/>
            </w:rPr>
            <w:t>[394]</w:t>
          </w:r>
        </w:sdtContent>
      </w:sdt>
      <w:r w:rsidRPr="001D228D">
        <w:t>.</w:t>
      </w:r>
    </w:p>
    <w:p w14:paraId="5ABD308A" w14:textId="77777777" w:rsidR="00CE64DB" w:rsidRPr="001D228D" w:rsidRDefault="00CE64DB" w:rsidP="001150F4">
      <w:pPr>
        <w:pStyle w:val="Bullet"/>
      </w:pPr>
      <w:r w:rsidRPr="001D228D">
        <w:rPr>
          <w:u w:val="single"/>
        </w:rPr>
        <w:t>Double detection:</w:t>
      </w:r>
      <w:r w:rsidRPr="001D228D">
        <w:t xml:space="preserve"> merge short intervals to approximate neighbouring RR.</w:t>
      </w:r>
    </w:p>
    <w:p w14:paraId="26FC1558" w14:textId="436C1E28" w:rsidR="00CE64DB" w:rsidRPr="001D228D" w:rsidRDefault="00CE64DB" w:rsidP="001150F4">
      <w:pPr>
        <w:pStyle w:val="Bullet"/>
      </w:pPr>
      <w:r w:rsidRPr="001D228D">
        <w:rPr>
          <w:u w:val="single"/>
        </w:rPr>
        <w:lastRenderedPageBreak/>
        <w:t>Isolated ectopic beats:</w:t>
      </w:r>
      <w:r w:rsidRPr="001D228D">
        <w:t xml:space="preserve"> remove and replace with spline or linear interpolation </w:t>
      </w:r>
      <w:sdt>
        <w:sdtPr>
          <w:rPr>
            <w:color w:val="000000"/>
          </w:rPr>
          <w:tag w:val="MENDELEY_CITATION_v3_eyJjaXRhdGlvbklEIjoiTUVOREVMRVlfQ0lUQVRJT05fMDRmODNmYzEtM2I0YS00MzYxLWI3ZTEtYTYzMzc1YTlmYTEyIiwicHJvcGVydGllcyI6eyJub3RlSW5kZXgiOjB9LCJpc0VkaXRlZCI6ZmFsc2UsIm1hbnVhbE92ZXJyaWRlIjp7ImNpdGVwcm9jVGV4dCI6IlsyNzMsMzAyLDM5M10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"/>
          <w:id w:val="76331719"/>
          <w:placeholder>
            <w:docPart w:val="DefaultPlaceholder_-1854013440"/>
          </w:placeholder>
        </w:sdtPr>
        <w:sdtContent>
          <w:r w:rsidR="00B43409" w:rsidRPr="00B43409">
            <w:rPr>
              <w:color w:val="000000"/>
            </w:rPr>
            <w:t>[273,302,393]</w:t>
          </w:r>
        </w:sdtContent>
      </w:sdt>
      <w:r w:rsidRPr="001D228D">
        <w:t>.</w:t>
      </w:r>
      <w:r>
        <w:t xml:space="preserve"> </w:t>
      </w:r>
      <w:r w:rsidRPr="001D6C8D">
        <w:t>Simply deleting intervals is highly discouraged</w:t>
      </w:r>
      <w:r>
        <w:t xml:space="preserve"> (</w:t>
      </w:r>
      <w:r w:rsidRPr="001D6C8D">
        <w:t>especially for spectral analysis</w:t>
      </w:r>
      <w:r>
        <w:t xml:space="preserve">) </w:t>
      </w:r>
      <w:r w:rsidRPr="001D6C8D">
        <w:t>because it shortens the waveform, introduces step-like discontinuities, and creates false frequency components</w:t>
      </w:r>
      <w:r>
        <w:t xml:space="preserve"> </w:t>
      </w:r>
      <w:sdt>
        <w:sdtPr>
          <w:rPr>
            <w:color w:val="000000"/>
          </w:rPr>
          <w:tag w:val="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"/>
          <w:id w:val="-243960853"/>
          <w:placeholder>
            <w:docPart w:val="DefaultPlaceholder_-1854013440"/>
          </w:placeholder>
        </w:sdtPr>
        <w:sdtContent>
          <w:r w:rsidR="00B43409" w:rsidRPr="00B43409">
            <w:rPr>
              <w:color w:val="000000"/>
            </w:rPr>
            <w:t>[393,395]</w:t>
          </w:r>
        </w:sdtContent>
      </w:sdt>
      <w:r>
        <w:t>.</w:t>
      </w:r>
    </w:p>
    <w:p w14:paraId="2FCBAA6F" w14:textId="379FD51C" w:rsidR="00CE64DB" w:rsidRPr="001D228D" w:rsidRDefault="00CE64DB" w:rsidP="001150F4">
      <w:r w:rsidRPr="001D228D">
        <w:t xml:space="preserve">Methods papers recommend reporting the percentage of corrected beats, and excluding segments where &gt;3–5% of intervals were corrected </w:t>
      </w:r>
      <w:sdt>
        <w:sdtPr>
          <w:rPr>
            <w:color w:val="000000"/>
          </w:rPr>
          <w:tag w:val="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"/>
          <w:id w:val="2036926272"/>
          <w:placeholder>
            <w:docPart w:val="DefaultPlaceholder_-1854013440"/>
          </w:placeholder>
        </w:sdtPr>
        <w:sdtContent>
          <w:r w:rsidR="00B43409" w:rsidRPr="00B43409">
            <w:rPr>
              <w:color w:val="000000"/>
            </w:rPr>
            <w:t>[331,396–398]</w:t>
          </w:r>
        </w:sdtContent>
      </w:sdt>
      <w:r w:rsidRPr="001D228D">
        <w:t>.</w:t>
      </w:r>
    </w:p>
    <w:p w14:paraId="33563985" w14:textId="0A3FE44A" w:rsidR="00CE64DB" w:rsidRPr="001D228D" w:rsidRDefault="00CE64DB" w:rsidP="001150F4">
      <w:r w:rsidRPr="001D228D">
        <w:rPr>
          <w:b/>
          <w:bCs/>
        </w:rPr>
        <w:t xml:space="preserve">Segment selection and stationarity. </w:t>
      </w:r>
      <w:r w:rsidRPr="001D228D">
        <w:t>Short-term HRV is conventionally derived from 5-min stationary segments, particularly for LF and HF spectral indices</w:t>
      </w:r>
      <w:r>
        <w:t xml:space="preserve"> </w:t>
      </w:r>
      <w:sdt>
        <w:sdtPr>
          <w:rPr>
            <w:color w:val="000000"/>
          </w:rPr>
          <w:tag w:val="MENDELEY_CITATION_v3_eyJjaXRhdGlvbklEIjoiTUVOREVMRVlfQ0lUQVRJT05fZTI1NDI5NTUtYmRmOS00MWY4LWI2YmUtNmYwYzVhODgyZDE5IiwicHJvcGVydGllcyI6eyJub3RlSW5kZXgiOjB9LCJpc0VkaXRlZCI6ZmFsc2UsIm1hbnVhbE92ZXJyaWRlIjp7ImNpdGVwcm9jVGV4dCI6IlsyNzNd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V19"/>
          <w:id w:val="-965962440"/>
          <w:placeholder>
            <w:docPart w:val="DefaultPlaceholder_-1854013440"/>
          </w:placeholder>
        </w:sdtPr>
        <w:sdtContent>
          <w:r w:rsidR="00B43409" w:rsidRPr="00B43409">
            <w:rPr>
              <w:color w:val="000000"/>
            </w:rPr>
            <w:t>[273]</w:t>
          </w:r>
        </w:sdtContent>
      </w:sdt>
      <w:r w:rsidRPr="001D228D">
        <w:t>. Three-minute windows are sometimes used, especially for RMSSD or HF, but should be reported explicitly. For thermal protocols:</w:t>
      </w:r>
    </w:p>
    <w:p w14:paraId="0DE96AF4" w14:textId="77777777" w:rsidR="00CE64DB" w:rsidRPr="001D228D" w:rsidRDefault="00CE64DB" w:rsidP="001150F4">
      <w:pPr>
        <w:pStyle w:val="Bullet"/>
      </w:pPr>
      <w:r w:rsidRPr="001D228D">
        <w:t>segment lengths must be identical across conditions,</w:t>
      </w:r>
    </w:p>
    <w:p w14:paraId="4EB8B8A1" w14:textId="77777777" w:rsidR="00CE64DB" w:rsidRPr="001D228D" w:rsidRDefault="00CE64DB" w:rsidP="001150F4">
      <w:pPr>
        <w:pStyle w:val="Bullet"/>
      </w:pPr>
      <w:r w:rsidRPr="001D228D">
        <w:t>transitions or posture changes are avoided,</w:t>
      </w:r>
    </w:p>
    <w:p w14:paraId="1F8FD5DA" w14:textId="77777777" w:rsidR="00CE64DB" w:rsidRPr="001D228D" w:rsidRDefault="00CE64DB" w:rsidP="001150F4">
      <w:pPr>
        <w:pStyle w:val="Bullet"/>
      </w:pPr>
      <w:r w:rsidRPr="001D228D">
        <w:t>segments represent thermally stable phases (e.g., final 5 min of baseline, mid-exposure).</w:t>
      </w:r>
      <w:r>
        <w:t xml:space="preserve"> </w:t>
      </w:r>
    </w:p>
    <w:p w14:paraId="6C0BCC1B" w14:textId="6268D0C8" w:rsidR="00CE64DB" w:rsidRPr="001D228D" w:rsidRDefault="00CE64DB" w:rsidP="001150F4">
      <w:r w:rsidRPr="001D228D">
        <w:t xml:space="preserve">Time–frequency methods for nonstationary data exist (e.g., wavelets, adaptive Kalman smoother–based spectral estimation) </w:t>
      </w:r>
      <w:sdt>
        <w:sdtPr>
          <w:rPr>
            <w:color w:val="000000"/>
          </w:rPr>
          <w:tag w:val="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"/>
          <w:id w:val="-1927488403"/>
          <w:placeholder>
            <w:docPart w:val="DefaultPlaceholder_-1854013440"/>
          </w:placeholder>
        </w:sdtPr>
        <w:sdtContent>
          <w:r w:rsidR="00B43409" w:rsidRPr="00B43409">
            <w:rPr>
              <w:color w:val="000000"/>
            </w:rPr>
            <w:t>[341,399]</w:t>
          </w:r>
        </w:sdtContent>
      </w:sdt>
      <w:r w:rsidRPr="001D228D">
        <w:t xml:space="preserve">, </w:t>
      </w:r>
      <w:r w:rsidRPr="002B4811">
        <w:t xml:space="preserve">though these are generally unnecessary in stable, seated thermal exposures. Short-term HRV analysis should not be performed during the first minute following posture changes or sensor adjustment, and a period of acclimatization should precede the extraction of analysis windows to ensure signal stationarity </w:t>
      </w:r>
      <w:sdt>
        <w:sdtPr>
          <w:rPr>
            <w:color w:val="000000"/>
          </w:rPr>
          <w:tag w:val="MENDELEY_CITATION_v3_eyJjaXRhdGlvbklEIjoiTUVOREVMRVlfQ0lUQVRJT05fN2U2NTE2ZWEtZTdlZS00ZmNlLTg3YWYtNzk4OGI5NWQzNTdlIiwicHJvcGVydGllcyI6eyJub3RlSW5kZXgiOjB9LCJpc0VkaXRlZCI6ZmFsc2UsIm1hbnVhbE92ZXJyaWRlIjp7ImNpdGVwcm9jVGV4dCI6IlsyNzNd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V19"/>
          <w:id w:val="-2130539019"/>
          <w:placeholder>
            <w:docPart w:val="DefaultPlaceholder_-1854013440"/>
          </w:placeholder>
        </w:sdtPr>
        <w:sdtContent>
          <w:r w:rsidR="00B43409" w:rsidRPr="00B43409">
            <w:rPr>
              <w:color w:val="000000"/>
            </w:rPr>
            <w:t>[273]</w:t>
          </w:r>
        </w:sdtContent>
      </w:sdt>
      <w:r w:rsidRPr="001D228D">
        <w:t>.</w:t>
      </w:r>
    </w:p>
    <w:p w14:paraId="1BA225B1" w14:textId="4830939F" w:rsidR="00CE64DB" w:rsidRPr="001D228D" w:rsidRDefault="00CE64DB" w:rsidP="001150F4">
      <w:r w:rsidRPr="001D228D">
        <w:rPr>
          <w:b/>
          <w:bCs/>
        </w:rPr>
        <w:t xml:space="preserve">Detrending, resampling, and preprocessing. </w:t>
      </w:r>
      <w:r w:rsidRPr="00F4469E">
        <w:t>Before spectral analysis, non-equidistant RR series are detrended, artefact-corrected, and resampled (typically at 2–4 Hz) using cubic spline interpolation to create an equidistant time series</w:t>
      </w:r>
      <w:r>
        <w:t>.</w:t>
      </w:r>
      <w:r w:rsidRPr="001D228D">
        <w:t xml:space="preserve"> </w:t>
      </w:r>
      <w:r w:rsidRPr="003F7AB4">
        <w:t>Simple polynomial detrending may be insufficient; the smoothness-priors detrending method acts as an advanced time-varying high-pass filter that effectively reduces slow drift and improves LF/HF estimates in short windows by removing VLF distortions</w:t>
      </w:r>
      <w:r>
        <w:t xml:space="preserve"> </w:t>
      </w:r>
      <w:r w:rsidRPr="001D228D">
        <w:t>reduces slow drift and improves LF/HF estimates in short windows</w:t>
      </w:r>
      <w:r>
        <w:t xml:space="preserve"> </w:t>
      </w:r>
      <w:sdt>
        <w:sdtPr>
          <w:rPr>
            <w:color w:val="000000"/>
          </w:rPr>
          <w:tag w:val="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"/>
          <w:id w:val="-66660063"/>
          <w:placeholder>
            <w:docPart w:val="DefaultPlaceholder_-1854013440"/>
          </w:placeholder>
        </w:sdtPr>
        <w:sdtContent>
          <w:r w:rsidR="00B43409" w:rsidRPr="00B43409">
            <w:rPr>
              <w:color w:val="000000"/>
            </w:rPr>
            <w:t>[394,400,401]</w:t>
          </w:r>
        </w:sdtContent>
      </w:sdt>
      <w:r>
        <w:t>.</w:t>
      </w:r>
      <w:r w:rsidRPr="001D228D">
        <w:t xml:space="preserve"> </w:t>
      </w:r>
    </w:p>
    <w:p w14:paraId="368CB0C6" w14:textId="77777777" w:rsidR="00CE64DB" w:rsidRPr="003F7AB4" w:rsidRDefault="00CE64DB" w:rsidP="003F7AB4">
      <w:pPr>
        <w:pStyle w:val="Bullet"/>
      </w:pPr>
      <w:r w:rsidRPr="003F7AB4">
        <w:t>Reporting should include:</w:t>
      </w:r>
    </w:p>
    <w:p w14:paraId="4E665B9E" w14:textId="77777777" w:rsidR="00CE64DB" w:rsidRPr="003F7AB4" w:rsidRDefault="00CE64DB" w:rsidP="003F7AB4">
      <w:pPr>
        <w:pStyle w:val="Bullet"/>
      </w:pPr>
      <w:r w:rsidRPr="003F7AB4">
        <w:t>detrending method,</w:t>
      </w:r>
    </w:p>
    <w:p w14:paraId="47D5A55F" w14:textId="77777777" w:rsidR="00CE64DB" w:rsidRPr="003F7AB4" w:rsidRDefault="00CE64DB" w:rsidP="003F7AB4">
      <w:pPr>
        <w:pStyle w:val="Bullet"/>
      </w:pPr>
      <w:r w:rsidRPr="003F7AB4">
        <w:t>interpolation method and resampling frequency,</w:t>
      </w:r>
    </w:p>
    <w:p w14:paraId="6A3619B5" w14:textId="77777777" w:rsidR="00CE64DB" w:rsidRPr="003F7AB4" w:rsidRDefault="00CE64DB" w:rsidP="003F7AB4">
      <w:pPr>
        <w:pStyle w:val="Bullet"/>
      </w:pPr>
      <w:r w:rsidRPr="003F7AB4">
        <w:t>spectral method (FFT vs autoregressive),</w:t>
      </w:r>
    </w:p>
    <w:p w14:paraId="388519AF" w14:textId="77777777" w:rsidR="00CE64DB" w:rsidRPr="003F7AB4" w:rsidRDefault="00CE64DB" w:rsidP="003F7AB4">
      <w:pPr>
        <w:pStyle w:val="Bullet"/>
      </w:pPr>
      <w:r w:rsidRPr="003F7AB4">
        <w:t>LF/HF normalisation (absolute vs normalised vs log-transformed),</w:t>
      </w:r>
    </w:p>
    <w:p w14:paraId="65371BC0" w14:textId="77777777" w:rsidR="00CE64DB" w:rsidRPr="00C92508" w:rsidRDefault="00CE64DB" w:rsidP="00C92508">
      <w:pPr>
        <w:pStyle w:val="Bullet"/>
      </w:pPr>
      <w:r w:rsidRPr="003F7AB4">
        <w:t>software and version.</w:t>
      </w:r>
    </w:p>
    <w:p w14:paraId="0E30720A" w14:textId="18A3E5F2" w:rsidR="00CE64DB" w:rsidRDefault="00CE64DB" w:rsidP="001150F4">
      <w:r w:rsidRPr="001D228D">
        <w:t xml:space="preserve">The pipeline dependence of spectral HRV indices is well documented </w:t>
      </w:r>
      <w:sdt>
        <w:sdtPr>
          <w:rPr>
            <w:color w:val="000000"/>
          </w:rPr>
          <w:tag w:val="MENDELEY_CITATION_v3_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"/>
          <w:id w:val="37934884"/>
          <w:placeholder>
            <w:docPart w:val="DefaultPlaceholder_-1854013440"/>
          </w:placeholder>
        </w:sdtPr>
        <w:sdtContent>
          <w:r w:rsidR="00B43409" w:rsidRPr="00B43409">
            <w:rPr>
              <w:color w:val="000000"/>
            </w:rPr>
            <w:t>[391,401,402]</w:t>
          </w:r>
        </w:sdtContent>
      </w:sdt>
      <w:r w:rsidRPr="001D228D">
        <w:t xml:space="preserve">. </w:t>
      </w:r>
      <w:r w:rsidRPr="003F7AB4">
        <w:t>Explicit reporting of software and parameter settings is essential for reproducibility, because different toolchains and analytical choices can produce systematically different outputs for the exact same raw data</w:t>
      </w:r>
      <w:r w:rsidRPr="001D228D">
        <w:t>.</w:t>
      </w:r>
    </w:p>
    <w:p w14:paraId="7393A293" w14:textId="77777777" w:rsidR="00CE64DB" w:rsidRPr="002A17BB" w:rsidRDefault="00CE64DB" w:rsidP="002A17BB">
      <w:r w:rsidRPr="002A17BB">
        <w:rPr>
          <w:b/>
          <w:bCs/>
        </w:rPr>
        <w:t>Typical ranges</w:t>
      </w:r>
      <w:r>
        <w:rPr>
          <w:b/>
          <w:bCs/>
          <w:lang w:val="en-US"/>
        </w:rPr>
        <w:t>.</w:t>
      </w:r>
      <w:r w:rsidRPr="002A17BB">
        <w:t xml:space="preserve"> Normative physiological ranges exhibit massive inter-individual variation and are heavily dependent on factors such as age, sex, and recording duration. In large-scale studies of healthy adults, common time-domain HRV indices show the following typical profiles:</w:t>
      </w:r>
    </w:p>
    <w:p w14:paraId="01D0E368" w14:textId="17C4ED97" w:rsidR="00CE64DB" w:rsidRPr="002A17BB" w:rsidRDefault="00CE64DB" w:rsidP="00E31B0C">
      <w:pPr>
        <w:pStyle w:val="Bullet"/>
      </w:pPr>
      <w:r w:rsidRPr="00E31B0C">
        <w:rPr>
          <w:u w:val="single"/>
        </w:rPr>
        <w:t>SDNN (Standard Deviation of NN intervals)</w:t>
      </w:r>
      <w:r w:rsidRPr="002A17BB">
        <w:t xml:space="preserve"> Depending on the specific age cohort, normal physiological limits for 24-hour recordings generally span from roughly 63 to 219 ms</w:t>
      </w:r>
      <w:r>
        <w:rPr>
          <w:lang w:val="en-US"/>
        </w:rPr>
        <w:t xml:space="preserve"> </w:t>
      </w:r>
      <w:sdt>
        <w:sdtPr>
          <w:rPr>
            <w:color w:val="000000"/>
            <w:lang w:val="en-US"/>
          </w:rPr>
          <w:tag w:val="MENDELEY_CITATION_v3_eyJjaXRhdGlvbklEIjoiTUVOREVMRVlfQ0lUQVRJT05fYWE4ODhlNjMtNDY3Mi00OTQ3LWJkYjUtNTQxY2ZiNWI1NWNiIiwicHJvcGVydGllcyI6eyJub3RlSW5kZXgiOjB9LCJpc0VkaXRlZCI6ZmFsc2UsIm1hbnVhbE92ZXJyaWRlIjp7ImNpdGVwcm9jVGV4dCI6IlszMDNdIiwiaXNNYW51YWxseU92ZXJyaWRkZW4iOmZhbHNlLCJtYW51YWxPdmVycmlkZVRleHQiOiIifSwiY2l0YXRpb25JdGVtcyI6W3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1dfQ=="/>
          <w:id w:val="-532043257"/>
          <w:placeholder>
            <w:docPart w:val="DefaultPlaceholder_-1854013440"/>
          </w:placeholder>
        </w:sdtPr>
        <w:sdtEndPr>
          <w:rPr>
            <w:lang w:val="en-GB"/>
          </w:rPr>
        </w:sdtEndPr>
        <w:sdtContent>
          <w:r w:rsidR="00B43409" w:rsidRPr="00B43409">
            <w:rPr>
              <w:color w:val="000000"/>
            </w:rPr>
            <w:t>[303]</w:t>
          </w:r>
        </w:sdtContent>
      </w:sdt>
      <w:r w:rsidRPr="002A17BB">
        <w:t xml:space="preserve">. Other population samples report mean daytime SDNN values clustering broadly between 50 and 150 ms </w:t>
      </w:r>
      <w:sdt>
        <w:sdtPr>
          <w:rPr>
            <w:color w:val="000000"/>
          </w:rPr>
          <w:tag w:val="MENDELEY_CITATION_v3_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"/>
          <w:id w:val="2044013581"/>
          <w:placeholder>
            <w:docPart w:val="DefaultPlaceholder_-1854013440"/>
          </w:placeholder>
        </w:sdtPr>
        <w:sdtContent>
          <w:r w:rsidR="00B43409" w:rsidRPr="00B43409">
            <w:rPr>
              <w:color w:val="000000"/>
            </w:rPr>
            <w:t>[365]</w:t>
          </w:r>
        </w:sdtContent>
      </w:sdt>
      <w:r w:rsidRPr="002A17BB">
        <w:t>.</w:t>
      </w:r>
    </w:p>
    <w:p w14:paraId="45B0C5F4" w14:textId="12073CE1" w:rsidR="00CE64DB" w:rsidRPr="00E31B0C" w:rsidRDefault="00CE64DB" w:rsidP="00E31B0C">
      <w:pPr>
        <w:pStyle w:val="Bullet"/>
      </w:pPr>
      <w:r w:rsidRPr="00E31B0C">
        <w:rPr>
          <w:u w:val="single"/>
        </w:rPr>
        <w:t>RMSS</w:t>
      </w:r>
      <w:r>
        <w:rPr>
          <w:u w:val="single"/>
          <w:lang w:val="en-US"/>
        </w:rPr>
        <w:t>D.</w:t>
      </w:r>
      <w:r w:rsidRPr="002A17BB">
        <w:t xml:space="preserve"> Mean values for resting healthy adults in short-term studies are frequently observed between 35 and 41 ms </w:t>
      </w:r>
      <w:sdt>
        <w:sdtPr>
          <w:rPr>
            <w:color w:val="000000"/>
          </w:rPr>
          <w:tag w:val="MENDELEY_CITATION_v3_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"/>
          <w:id w:val="-2001416723"/>
          <w:placeholder>
            <w:docPart w:val="DefaultPlaceholder_-1854013440"/>
          </w:placeholder>
        </w:sdtPr>
        <w:sdtContent>
          <w:r w:rsidR="00B43409" w:rsidRPr="00B43409">
            <w:rPr>
              <w:color w:val="000000"/>
            </w:rPr>
            <w:t>[396]</w:t>
          </w:r>
        </w:sdtContent>
      </w:sdt>
      <w:r w:rsidRPr="002A17BB">
        <w:t>, while other cohorts report average night-time RMSSD values clustering between 20 and 60 ms</w:t>
      </w:r>
      <w:r>
        <w:rPr>
          <w:lang w:val="en-US"/>
        </w:rPr>
        <w:t xml:space="preserve"> </w:t>
      </w:r>
      <w:sdt>
        <w:sdtPr>
          <w:rPr>
            <w:color w:val="000000"/>
            <w:lang w:val="en-US"/>
          </w:rPr>
          <w:tag w:val="MENDELEY_CITATION_v3_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"/>
          <w:id w:val="260028685"/>
          <w:placeholder>
            <w:docPart w:val="DefaultPlaceholder_-1854013440"/>
          </w:placeholder>
        </w:sdtPr>
        <w:sdtEndPr>
          <w:rPr>
            <w:lang w:val="en-GB"/>
          </w:rPr>
        </w:sdtEndPr>
        <w:sdtContent>
          <w:r w:rsidR="00B43409" w:rsidRPr="00B43409">
            <w:rPr>
              <w:color w:val="000000"/>
            </w:rPr>
            <w:t>[365]</w:t>
          </w:r>
        </w:sdtContent>
      </w:sdt>
      <w:r>
        <w:rPr>
          <w:lang w:val="en-US"/>
        </w:rPr>
        <w:t>.</w:t>
      </w:r>
    </w:p>
    <w:p w14:paraId="29A6EBD3" w14:textId="77777777" w:rsidR="00CE64DB" w:rsidRPr="001D228D" w:rsidRDefault="00CE64DB" w:rsidP="007A2440">
      <w:pPr>
        <w:pStyle w:val="Heading4"/>
        <w:rPr>
          <w:lang w:val="en-GB"/>
        </w:rPr>
      </w:pPr>
      <w:r w:rsidRPr="001D228D">
        <w:rPr>
          <w:lang w:val="en-GB"/>
        </w:rPr>
        <w:t>Derived parameters</w:t>
      </w:r>
    </w:p>
    <w:p w14:paraId="03B1C164" w14:textId="77777777" w:rsidR="00CE64DB" w:rsidRPr="001D228D" w:rsidRDefault="00CE64DB" w:rsidP="001150F4">
      <w:r w:rsidRPr="001D228D">
        <w:t>From the cleaned NN series, several HR and HRV parameters are derived. Their interpretation in thermoregulation depends on how autonomic outflow adapts to changes in skin blood flow, venous return, baroreflex engagement, and metabolic load.</w:t>
      </w:r>
    </w:p>
    <w:p w14:paraId="5554D498" w14:textId="77777777" w:rsidR="00CE64DB" w:rsidRPr="001D228D" w:rsidRDefault="00CE64DB" w:rsidP="001150F4">
      <w:r w:rsidRPr="001D228D">
        <w:t>Time-domain indices:</w:t>
      </w:r>
    </w:p>
    <w:p w14:paraId="326CBF0F" w14:textId="77777777" w:rsidR="00CE64DB" w:rsidRPr="001D228D" w:rsidRDefault="00CE64DB" w:rsidP="001150F4">
      <w:pPr>
        <w:pStyle w:val="Bullet"/>
      </w:pPr>
      <w:r w:rsidRPr="001D228D">
        <w:rPr>
          <w:u w:val="single"/>
        </w:rPr>
        <w:t>Mean HR / Mean NN</w:t>
      </w:r>
      <w:r w:rsidRPr="001D228D">
        <w:rPr>
          <w:b/>
          <w:bCs/>
        </w:rPr>
        <w:t xml:space="preserve">. </w:t>
      </w:r>
      <w:r w:rsidRPr="001D228D">
        <w:t>Indicates total cardiovascular effort. HR rises in heat (cutaneous vasodilation reduces vascular resistance) and may decrease slightly in mild cooling.</w:t>
      </w:r>
    </w:p>
    <w:p w14:paraId="10EA7540" w14:textId="77777777" w:rsidR="00CE64DB" w:rsidRPr="001D228D" w:rsidRDefault="00CE64DB" w:rsidP="001150F4">
      <w:pPr>
        <w:pStyle w:val="Bullet"/>
      </w:pPr>
      <w:r w:rsidRPr="001D228D">
        <w:rPr>
          <w:u w:val="single"/>
        </w:rPr>
        <w:lastRenderedPageBreak/>
        <w:t>SDNN.</w:t>
      </w:r>
      <w:r w:rsidRPr="001D228D">
        <w:rPr>
          <w:b/>
          <w:bCs/>
        </w:rPr>
        <w:t xml:space="preserve"> </w:t>
      </w:r>
      <w:r w:rsidRPr="001D228D">
        <w:t>Reflects total variability, incorporating slow vasomotor and baroreflex rhythms. Often decreases under heat, may increase modestly in non-shivering cold.</w:t>
      </w:r>
    </w:p>
    <w:p w14:paraId="0DA0C0B7" w14:textId="6237D08B" w:rsidR="00CE64DB" w:rsidRPr="001D228D" w:rsidRDefault="00CE64DB" w:rsidP="001150F4">
      <w:pPr>
        <w:pStyle w:val="Bullet"/>
      </w:pPr>
      <w:r w:rsidRPr="001D228D">
        <w:rPr>
          <w:u w:val="single"/>
        </w:rPr>
        <w:t xml:space="preserve">RMSSD </w:t>
      </w:r>
      <w:r w:rsidRPr="001D228D">
        <w:rPr>
          <w:i/>
          <w:iCs/>
          <w:u w:val="single"/>
        </w:rPr>
        <w:t>(primary vagal marker).</w:t>
      </w:r>
      <w:r w:rsidRPr="001D228D">
        <w:rPr>
          <w:i/>
          <w:iCs/>
        </w:rPr>
        <w:t xml:space="preserve"> </w:t>
      </w:r>
      <w:r w:rsidRPr="001D228D">
        <w:t xml:space="preserve">Robust index of parasympathetic modulation. Decreases reliably in heat via vagal withdrawal; stable or slightly increased in mild cold. Most reliable HRV feature in wearable validation studies </w:t>
      </w:r>
      <w:sdt>
        <w:sdtPr>
          <w:rPr>
            <w:color w:val="000000"/>
          </w:rPr>
          <w:tag w:val="MENDELEY_CITATION_v3_eyJjaXRhdGlvbklEIjoiTUVOREVMRVlfQ0lUQVRJT05fYzM0ZmE3NjUtZGY5OS00ZmJkLWJmNmItMzg0YjhiMzliZTJjIiwicHJvcGVydGllcyI6eyJub3RlSW5kZXgiOjB9LCJpc0VkaXRlZCI6ZmFsc2UsIm1hbnVhbE92ZXJyaWRlIjp7ImNpdGVwcm9jVGV4dCI6IlszMDcsMzE5XSIsImlzTWFudWFsbHlPdmVycmlkZGVuIjpmYWxzZSwibWFudWFsT3ZlcnJpZGVUZXh0IjoiIn0sImNpdGF0aW9uSXRlbXMiOlt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
          <w:id w:val="-1722350990"/>
          <w:placeholder>
            <w:docPart w:val="DefaultPlaceholder_-1854013440"/>
          </w:placeholder>
        </w:sdtPr>
        <w:sdtContent>
          <w:r w:rsidR="00B43409" w:rsidRPr="00B43409">
            <w:rPr>
              <w:color w:val="000000"/>
            </w:rPr>
            <w:t>[307,319]</w:t>
          </w:r>
        </w:sdtContent>
      </w:sdt>
      <w:r w:rsidRPr="001D228D">
        <w:t>.</w:t>
      </w:r>
    </w:p>
    <w:p w14:paraId="6B0DE340" w14:textId="77777777" w:rsidR="00CE64DB" w:rsidRPr="001D228D" w:rsidRDefault="00CE64DB" w:rsidP="001150F4">
      <w:pPr>
        <w:pStyle w:val="Bullet"/>
      </w:pPr>
      <w:r w:rsidRPr="001D228D">
        <w:rPr>
          <w:u w:val="single"/>
        </w:rPr>
        <w:t>pNN50.</w:t>
      </w:r>
      <w:r w:rsidRPr="001D228D">
        <w:rPr>
          <w:b/>
          <w:bCs/>
        </w:rPr>
        <w:t xml:space="preserve"> </w:t>
      </w:r>
      <w:r w:rsidRPr="001D228D">
        <w:t>Similar to RMSSD but noisier; less commonly interpreted.</w:t>
      </w:r>
    </w:p>
    <w:p w14:paraId="0ED405FD" w14:textId="77777777" w:rsidR="00CE64DB" w:rsidRPr="001D228D" w:rsidRDefault="00CE64DB" w:rsidP="001150F4">
      <w:r w:rsidRPr="001D228D">
        <w:t>Frequency-domain indices:</w:t>
      </w:r>
    </w:p>
    <w:p w14:paraId="76F67893" w14:textId="77777777" w:rsidR="00CE64DB" w:rsidRPr="001D228D" w:rsidRDefault="00CE64DB" w:rsidP="001150F4">
      <w:pPr>
        <w:pStyle w:val="Bullet"/>
      </w:pPr>
      <w:r w:rsidRPr="001D228D">
        <w:rPr>
          <w:u w:val="single"/>
        </w:rPr>
        <w:t>VLF (0.003–0.04 Hz).</w:t>
      </w:r>
      <w:r w:rsidRPr="001D228D">
        <w:rPr>
          <w:b/>
          <w:bCs/>
        </w:rPr>
        <w:t xml:space="preserve"> </w:t>
      </w:r>
      <w:r w:rsidRPr="001D228D">
        <w:t>Associated with slow thermoregulatory and vasomotor oscillations. Difficult to estimate reliably in 5-min recordings but often suppressed under heat and increased in mild peripheral cooling.</w:t>
      </w:r>
    </w:p>
    <w:p w14:paraId="687C8C0C" w14:textId="77777777" w:rsidR="00CE64DB" w:rsidRPr="001D228D" w:rsidRDefault="00CE64DB" w:rsidP="001150F4">
      <w:pPr>
        <w:pStyle w:val="Bullet"/>
      </w:pPr>
      <w:r w:rsidRPr="001D228D">
        <w:rPr>
          <w:u w:val="single"/>
        </w:rPr>
        <w:t>LF (0.04–0.15 Hz).</w:t>
      </w:r>
      <w:r w:rsidRPr="001D228D">
        <w:t xml:space="preserve"> Reflects baroreflex-mediated blood-pressure modulation. Often decreases in heat (reduced baroreflex gain), increases in cooling with stronger sympathetic vasoconstrictor oscillations.</w:t>
      </w:r>
    </w:p>
    <w:p w14:paraId="0D1590E3" w14:textId="77777777" w:rsidR="00CE64DB" w:rsidRPr="001D228D" w:rsidRDefault="00CE64DB" w:rsidP="001150F4">
      <w:pPr>
        <w:pStyle w:val="Bullet"/>
      </w:pPr>
      <w:r w:rsidRPr="001D228D">
        <w:rPr>
          <w:u w:val="single"/>
        </w:rPr>
        <w:t>HF (0.15–0.4 Hz).</w:t>
      </w:r>
      <w:r w:rsidRPr="001D228D">
        <w:rPr>
          <w:b/>
          <w:bCs/>
        </w:rPr>
        <w:t xml:space="preserve"> </w:t>
      </w:r>
      <w:r w:rsidRPr="001D228D">
        <w:t>Respiratory sinus arrhythmia; vagally mediated. Decreases in heat, stable in mild cooling. Strongly dependent on breathing rate → breathing should be recorded or controlled.</w:t>
      </w:r>
    </w:p>
    <w:p w14:paraId="0F6416DB" w14:textId="4ACEEA73" w:rsidR="00CE64DB" w:rsidRPr="001D228D" w:rsidRDefault="00CE64DB" w:rsidP="001150F4">
      <w:pPr>
        <w:pStyle w:val="Bullet"/>
      </w:pPr>
      <w:r w:rsidRPr="001D228D">
        <w:rPr>
          <w:u w:val="single"/>
        </w:rPr>
        <w:t>LF/HF ratio.</w:t>
      </w:r>
      <w:r w:rsidRPr="001D228D">
        <w:rPr>
          <w:b/>
          <w:bCs/>
        </w:rPr>
        <w:t xml:space="preserve"> </w:t>
      </w:r>
      <w:r w:rsidRPr="001D228D">
        <w:t xml:space="preserve">Sensitive to breathing, baroreflex gain, and total power; not a reliable index of “sympathovagal balance,” especially in thermal studies where baroreflex modulation and respiratory patterns change simultaneously </w:t>
      </w:r>
      <w:sdt>
        <w:sdtPr>
          <w:rPr>
            <w:color w:val="000000"/>
          </w:rPr>
          <w:tag w:val="MENDELEY_CITATION_v3_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"/>
          <w:id w:val="69707238"/>
          <w:placeholder>
            <w:docPart w:val="DefaultPlaceholder_-1854013440"/>
          </w:placeholder>
        </w:sdtPr>
        <w:sdtContent>
          <w:r w:rsidR="00B43409" w:rsidRPr="00B43409">
            <w:rPr>
              <w:color w:val="000000"/>
            </w:rPr>
            <w:t>[298,403]</w:t>
          </w:r>
        </w:sdtContent>
      </w:sdt>
      <w:r w:rsidRPr="001D228D">
        <w:t xml:space="preserve">. </w:t>
      </w:r>
    </w:p>
    <w:p w14:paraId="0DCD807D" w14:textId="77777777" w:rsidR="00CE64DB" w:rsidRPr="001D228D" w:rsidRDefault="00CE64DB" w:rsidP="001150F4">
      <w:r w:rsidRPr="001D228D">
        <w:t>Non-linear indices:</w:t>
      </w:r>
    </w:p>
    <w:p w14:paraId="1FC70657" w14:textId="77777777" w:rsidR="00CE64DB" w:rsidRPr="001D228D" w:rsidRDefault="00CE64DB" w:rsidP="001150F4">
      <w:pPr>
        <w:pStyle w:val="Bullet"/>
      </w:pPr>
      <w:r w:rsidRPr="001D228D">
        <w:rPr>
          <w:u w:val="single"/>
        </w:rPr>
        <w:t>SD1, SD2 (Poincaré plot).</w:t>
      </w:r>
      <w:r w:rsidRPr="001D228D">
        <w:rPr>
          <w:b/>
          <w:bCs/>
        </w:rPr>
        <w:t xml:space="preserve"> </w:t>
      </w:r>
      <w:r w:rsidRPr="001D228D">
        <w:t>SD1 tracks vagal modulation (RMSSD-like), SD2 reflects long-term variability including baroreflex activity. Both tend to decrease during passive heat; SD2 may increase slightly in cold.</w:t>
      </w:r>
    </w:p>
    <w:p w14:paraId="314B03A9" w14:textId="77777777" w:rsidR="00CE64DB" w:rsidRPr="001D228D" w:rsidRDefault="00CE64DB" w:rsidP="001150F4">
      <w:pPr>
        <w:pStyle w:val="Bullet"/>
      </w:pPr>
      <w:r w:rsidRPr="001D228D">
        <w:rPr>
          <w:u w:val="single"/>
        </w:rPr>
        <w:t>Entropy (ApEn, SampEn).</w:t>
      </w:r>
      <w:r w:rsidRPr="001D228D">
        <w:rPr>
          <w:b/>
          <w:bCs/>
        </w:rPr>
        <w:t xml:space="preserve"> </w:t>
      </w:r>
      <w:r w:rsidRPr="001D228D">
        <w:t>Captures pattern irregularity. Can decrease in heat (reduced autonomic flexibility), remain stable or increase in cold. Sensitive to artefacts and requires carefully selected stationary windows.</w:t>
      </w:r>
    </w:p>
    <w:p w14:paraId="25D82BE2" w14:textId="77777777" w:rsidR="00CE64DB" w:rsidRPr="001D228D" w:rsidRDefault="00CE64DB" w:rsidP="001150F4">
      <w:pPr>
        <w:pStyle w:val="Bullet"/>
      </w:pPr>
      <w:r w:rsidRPr="001D228D">
        <w:rPr>
          <w:u w:val="single"/>
        </w:rPr>
        <w:t>DFA α1 (fractal scaling).</w:t>
      </w:r>
      <w:r w:rsidRPr="001D228D">
        <w:rPr>
          <w:b/>
          <w:bCs/>
        </w:rPr>
        <w:t xml:space="preserve"> </w:t>
      </w:r>
      <w:r w:rsidRPr="001D228D">
        <w:t xml:space="preserve">Represents </w:t>
      </w:r>
      <w:r>
        <w:t xml:space="preserve">a </w:t>
      </w:r>
      <w:r w:rsidRPr="001D228D">
        <w:t>fractal-like structure of HR dynamics. Sometimes decreases toward randomness (α1 → 0.5) during strong heat load, indicating constrained regulatory adaptability. Intermediate cold exposures sometimes preserve fractal structure.</w:t>
      </w:r>
    </w:p>
    <w:p w14:paraId="71184D7F" w14:textId="77777777" w:rsidR="00CE64DB" w:rsidRPr="001D228D" w:rsidRDefault="00CE64DB" w:rsidP="001150F4">
      <w:r w:rsidRPr="001D228D">
        <w:t>For building-scale thermal studies, a recommended</w:t>
      </w:r>
      <w:r w:rsidRPr="001D228D">
        <w:rPr>
          <w:b/>
          <w:bCs/>
        </w:rPr>
        <w:t xml:space="preserve"> </w:t>
      </w:r>
      <w:r w:rsidRPr="001D228D">
        <w:t>practical minimal reporting</w:t>
      </w:r>
      <w:r w:rsidRPr="001D228D">
        <w:rPr>
          <w:b/>
          <w:bCs/>
        </w:rPr>
        <w:t xml:space="preserve"> </w:t>
      </w:r>
      <w:r w:rsidRPr="001D228D">
        <w:t>subset includes: mean HR, RMSSD, HF power (with breathing rate), and SD1/SD2 when longer stationary windows are available. Reporting window length, breathing conditions, and % of corrected beats is essential for comparability. GRAPH further recommends reporting absolute (ms²) LF and HF power in addition to any log-transformed or normalised units, as absolute values convey the true magnitude of autonomic fluctuations and facilitate cross-study comparability.</w:t>
      </w:r>
    </w:p>
    <w:p w14:paraId="4C61FD84" w14:textId="2C55B077" w:rsidR="00CE64DB" w:rsidRPr="001D228D" w:rsidRDefault="00CE64DB" w:rsidP="001150F4">
      <w:pPr>
        <w:pStyle w:val="Caption"/>
      </w:pPr>
      <w:r w:rsidRPr="001D228D">
        <w:t xml:space="preserve">Table </w:t>
      </w:r>
      <w:r w:rsidRPr="001D228D">
        <w:fldChar w:fldCharType="begin"/>
      </w:r>
      <w:r w:rsidRPr="001D228D">
        <w:instrText xml:space="preserve"> SEQ Table \* ARABIC </w:instrText>
      </w:r>
      <w:r w:rsidRPr="001D228D">
        <w:fldChar w:fldCharType="separate"/>
      </w:r>
      <w:r w:rsidR="007650AF">
        <w:rPr>
          <w:noProof/>
        </w:rPr>
        <w:t>4</w:t>
      </w:r>
      <w:r w:rsidRPr="001D228D">
        <w:fldChar w:fldCharType="end"/>
      </w:r>
      <w:r w:rsidRPr="001D228D">
        <w:t>. Summary of HR and HRV measurement techniques, typical signal characteristics, and practical considerations.</w:t>
      </w:r>
      <w:r w:rsidRPr="001D228D">
        <w:br/>
        <w:t>Sampling rates denote common acquisition frequencies used for physiological data logging, not device limits.</w:t>
      </w:r>
    </w:p>
    <w:tbl>
      <w:tblPr>
        <w:tblStyle w:val="PlainTable5"/>
        <w:tblW w:w="9778" w:type="dxa"/>
        <w:tblLook w:val="04A0" w:firstRow="1" w:lastRow="0" w:firstColumn="1" w:lastColumn="0" w:noHBand="0" w:noVBand="1"/>
      </w:tblPr>
      <w:tblGrid>
        <w:gridCol w:w="1413"/>
        <w:gridCol w:w="1351"/>
        <w:gridCol w:w="1026"/>
        <w:gridCol w:w="2510"/>
        <w:gridCol w:w="1980"/>
        <w:gridCol w:w="1498"/>
      </w:tblGrid>
      <w:tr w:rsidR="00CE64DB" w:rsidRPr="008D462F" w14:paraId="02C4AF78" w14:textId="77777777" w:rsidTr="00573A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66479EDF" w14:textId="77777777" w:rsidR="00CE64DB" w:rsidRPr="008D462F" w:rsidRDefault="00CE64DB" w:rsidP="001150F4">
            <w:pPr>
              <w:rPr>
                <w:b/>
                <w:bCs/>
                <w:i w:val="0"/>
                <w:iCs w:val="0"/>
                <w:sz w:val="18"/>
                <w:szCs w:val="18"/>
              </w:rPr>
            </w:pPr>
            <w:r w:rsidRPr="008D462F">
              <w:rPr>
                <w:b/>
                <w:bCs/>
                <w:i w:val="0"/>
                <w:iCs w:val="0"/>
                <w:sz w:val="18"/>
                <w:szCs w:val="18"/>
              </w:rPr>
              <w:t>Measure</w:t>
            </w:r>
          </w:p>
        </w:tc>
        <w:tc>
          <w:tcPr>
            <w:tcW w:w="1351" w:type="dxa"/>
            <w:hideMark/>
          </w:tcPr>
          <w:p w14:paraId="64A6BCC2"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 xml:space="preserve">Sensor </w:t>
            </w:r>
          </w:p>
        </w:tc>
        <w:tc>
          <w:tcPr>
            <w:tcW w:w="1026" w:type="dxa"/>
            <w:hideMark/>
          </w:tcPr>
          <w:p w14:paraId="6BA43FF5"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Sampling</w:t>
            </w:r>
          </w:p>
        </w:tc>
        <w:tc>
          <w:tcPr>
            <w:tcW w:w="2510" w:type="dxa"/>
            <w:hideMark/>
          </w:tcPr>
          <w:p w14:paraId="17367FE9"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Advantages</w:t>
            </w:r>
          </w:p>
        </w:tc>
        <w:tc>
          <w:tcPr>
            <w:tcW w:w="1980" w:type="dxa"/>
            <w:hideMark/>
          </w:tcPr>
          <w:p w14:paraId="20D5C252"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Limitations</w:t>
            </w:r>
          </w:p>
        </w:tc>
        <w:tc>
          <w:tcPr>
            <w:tcW w:w="0" w:type="auto"/>
            <w:hideMark/>
          </w:tcPr>
          <w:p w14:paraId="438C91DD" w14:textId="77777777" w:rsidR="00CE64DB" w:rsidRPr="008D462F"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8D462F">
              <w:rPr>
                <w:b/>
                <w:bCs/>
                <w:i w:val="0"/>
                <w:iCs w:val="0"/>
                <w:sz w:val="18"/>
                <w:szCs w:val="18"/>
              </w:rPr>
              <w:t>Approx. Cost (€)</w:t>
            </w:r>
          </w:p>
        </w:tc>
      </w:tr>
      <w:tr w:rsidR="00CE64DB" w:rsidRPr="008D462F" w14:paraId="5FA866FA"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E8C3C73" w14:textId="77777777" w:rsidR="00CE64DB" w:rsidRPr="008D462F" w:rsidRDefault="00CE64DB" w:rsidP="001150F4">
            <w:pPr>
              <w:rPr>
                <w:b/>
                <w:bCs/>
                <w:i w:val="0"/>
                <w:iCs w:val="0"/>
                <w:sz w:val="18"/>
                <w:szCs w:val="18"/>
              </w:rPr>
            </w:pPr>
            <w:r w:rsidRPr="008D462F">
              <w:rPr>
                <w:b/>
                <w:bCs/>
                <w:i w:val="0"/>
                <w:iCs w:val="0"/>
                <w:sz w:val="18"/>
                <w:szCs w:val="18"/>
              </w:rPr>
              <w:t>HR + HRV (reference method)</w:t>
            </w:r>
          </w:p>
        </w:tc>
        <w:tc>
          <w:tcPr>
            <w:tcW w:w="1351" w:type="dxa"/>
            <w:hideMark/>
          </w:tcPr>
          <w:p w14:paraId="74F7E7E9"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Multi-lead ECG (3–12 leads)</w:t>
            </w:r>
          </w:p>
        </w:tc>
        <w:tc>
          <w:tcPr>
            <w:tcW w:w="1026" w:type="dxa"/>
            <w:hideMark/>
          </w:tcPr>
          <w:p w14:paraId="6588C835"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250–1000 Hz</w:t>
            </w:r>
          </w:p>
        </w:tc>
        <w:tc>
          <w:tcPr>
            <w:tcW w:w="2510" w:type="dxa"/>
            <w:hideMark/>
          </w:tcPr>
          <w:p w14:paraId="4B758F1E"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Gold standard for HRV; full waveforms; best R-peak precision; robust to peripheral vasomotor changes</w:t>
            </w:r>
          </w:p>
        </w:tc>
        <w:tc>
          <w:tcPr>
            <w:tcW w:w="1980" w:type="dxa"/>
            <w:hideMark/>
          </w:tcPr>
          <w:p w14:paraId="78004105"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Requires electrodes &amp; prep; reduced comfort for long protocols; higher setup burden</w:t>
            </w:r>
          </w:p>
        </w:tc>
        <w:tc>
          <w:tcPr>
            <w:tcW w:w="0" w:type="auto"/>
            <w:hideMark/>
          </w:tcPr>
          <w:p w14:paraId="3CCB55D3"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3000–10,000</w:t>
            </w:r>
          </w:p>
        </w:tc>
      </w:tr>
      <w:tr w:rsidR="00CE64DB" w:rsidRPr="008D462F" w14:paraId="5A62FCE6"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5A83712A" w14:textId="77777777" w:rsidR="00CE64DB" w:rsidRPr="008D462F" w:rsidRDefault="00CE64DB" w:rsidP="001150F4">
            <w:pPr>
              <w:rPr>
                <w:b/>
                <w:bCs/>
                <w:i w:val="0"/>
                <w:iCs w:val="0"/>
                <w:sz w:val="18"/>
                <w:szCs w:val="18"/>
              </w:rPr>
            </w:pPr>
            <w:r w:rsidRPr="008D462F">
              <w:rPr>
                <w:b/>
                <w:bCs/>
                <w:i w:val="0"/>
                <w:iCs w:val="0"/>
                <w:sz w:val="18"/>
                <w:szCs w:val="18"/>
              </w:rPr>
              <w:t>HR + HRV</w:t>
            </w:r>
          </w:p>
        </w:tc>
        <w:tc>
          <w:tcPr>
            <w:tcW w:w="1351" w:type="dxa"/>
            <w:hideMark/>
          </w:tcPr>
          <w:p w14:paraId="7F994B1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Single-lead chest-strap ECG (e.g., Polar H10/V800)</w:t>
            </w:r>
          </w:p>
        </w:tc>
        <w:tc>
          <w:tcPr>
            <w:tcW w:w="1026" w:type="dxa"/>
            <w:hideMark/>
          </w:tcPr>
          <w:p w14:paraId="36E3CF8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130–1000 Hz</w:t>
            </w:r>
          </w:p>
        </w:tc>
        <w:tc>
          <w:tcPr>
            <w:tcW w:w="2510" w:type="dxa"/>
            <w:hideMark/>
          </w:tcPr>
          <w:p w14:paraId="5C9E7EFC"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Very high agreement with ECG (ICC &gt;0.99 at rest); low burden; stable thoracic vector; suitable for long indoor protocols</w:t>
            </w:r>
          </w:p>
        </w:tc>
        <w:tc>
          <w:tcPr>
            <w:tcW w:w="1980" w:type="dxa"/>
            <w:hideMark/>
          </w:tcPr>
          <w:p w14:paraId="477A61D0"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Dependent on strap tension &amp; moisture; raw IBI export varies by model</w:t>
            </w:r>
          </w:p>
        </w:tc>
        <w:tc>
          <w:tcPr>
            <w:tcW w:w="0" w:type="auto"/>
            <w:hideMark/>
          </w:tcPr>
          <w:p w14:paraId="3D07415A"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80–150</w:t>
            </w:r>
          </w:p>
        </w:tc>
      </w:tr>
      <w:tr w:rsidR="00CE64DB" w:rsidRPr="008D462F" w14:paraId="295CDE09"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28CF047" w14:textId="77777777" w:rsidR="00CE64DB" w:rsidRPr="008D462F" w:rsidRDefault="00CE64DB" w:rsidP="001150F4">
            <w:pPr>
              <w:rPr>
                <w:b/>
                <w:bCs/>
                <w:i w:val="0"/>
                <w:iCs w:val="0"/>
                <w:sz w:val="18"/>
                <w:szCs w:val="18"/>
              </w:rPr>
            </w:pPr>
            <w:r w:rsidRPr="008D462F">
              <w:rPr>
                <w:b/>
                <w:bCs/>
                <w:i w:val="0"/>
                <w:iCs w:val="0"/>
                <w:sz w:val="18"/>
                <w:szCs w:val="18"/>
              </w:rPr>
              <w:t>HR + PRV (ECG-approximation)</w:t>
            </w:r>
          </w:p>
        </w:tc>
        <w:tc>
          <w:tcPr>
            <w:tcW w:w="1351" w:type="dxa"/>
            <w:hideMark/>
          </w:tcPr>
          <w:p w14:paraId="13EA9CC7"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Finger or ear-lobe PPG</w:t>
            </w:r>
          </w:p>
        </w:tc>
        <w:tc>
          <w:tcPr>
            <w:tcW w:w="1026" w:type="dxa"/>
            <w:hideMark/>
          </w:tcPr>
          <w:p w14:paraId="2A8D2EA0"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25–200 Hz</w:t>
            </w:r>
          </w:p>
        </w:tc>
        <w:tc>
          <w:tcPr>
            <w:tcW w:w="2510" w:type="dxa"/>
            <w:hideMark/>
          </w:tcPr>
          <w:p w14:paraId="054269AD"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Strong pulsatile signal; good agreement with ECG under warm, motion-free conditions; compatible with seated indoor protocols</w:t>
            </w:r>
          </w:p>
        </w:tc>
        <w:tc>
          <w:tcPr>
            <w:tcW w:w="1980" w:type="dxa"/>
            <w:hideMark/>
          </w:tcPr>
          <w:p w14:paraId="5FDCB224"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Highly sensitive to perfusion changes, local cooling, and contact pressure; limited reliability for LF/HF</w:t>
            </w:r>
          </w:p>
        </w:tc>
        <w:tc>
          <w:tcPr>
            <w:tcW w:w="0" w:type="auto"/>
            <w:hideMark/>
          </w:tcPr>
          <w:p w14:paraId="30AAF3EF"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200–800</w:t>
            </w:r>
          </w:p>
        </w:tc>
      </w:tr>
      <w:tr w:rsidR="00CE64DB" w:rsidRPr="008D462F" w14:paraId="2A187C80"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6ABEBA50" w14:textId="77777777" w:rsidR="00CE64DB" w:rsidRPr="008D462F" w:rsidRDefault="00CE64DB" w:rsidP="001150F4">
            <w:pPr>
              <w:rPr>
                <w:b/>
                <w:bCs/>
                <w:i w:val="0"/>
                <w:iCs w:val="0"/>
                <w:sz w:val="18"/>
                <w:szCs w:val="18"/>
              </w:rPr>
            </w:pPr>
            <w:r w:rsidRPr="008D462F">
              <w:rPr>
                <w:b/>
                <w:bCs/>
                <w:i w:val="0"/>
                <w:iCs w:val="0"/>
                <w:sz w:val="18"/>
                <w:szCs w:val="18"/>
              </w:rPr>
              <w:t>HR + PRV (limited HRV accuracy)</w:t>
            </w:r>
          </w:p>
        </w:tc>
        <w:tc>
          <w:tcPr>
            <w:tcW w:w="1351" w:type="dxa"/>
            <w:hideMark/>
          </w:tcPr>
          <w:p w14:paraId="31FE6DF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Wrist-worn PPG (smartwatches)</w:t>
            </w:r>
          </w:p>
        </w:tc>
        <w:tc>
          <w:tcPr>
            <w:tcW w:w="1026" w:type="dxa"/>
            <w:hideMark/>
          </w:tcPr>
          <w:p w14:paraId="08CEAECD"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Dynamic (typically 25–100 Hz equivalent)</w:t>
            </w:r>
          </w:p>
        </w:tc>
        <w:tc>
          <w:tcPr>
            <w:tcW w:w="2510" w:type="dxa"/>
            <w:hideMark/>
          </w:tcPr>
          <w:p w14:paraId="7C1495C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Convenient, low burden; good continuous HR; useful for field monitoring</w:t>
            </w:r>
          </w:p>
        </w:tc>
        <w:tc>
          <w:tcPr>
            <w:tcW w:w="1980" w:type="dxa"/>
            <w:hideMark/>
          </w:tcPr>
          <w:p w14:paraId="3CC40DE7"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Poor LF/HF accuracy; no raw IBIs on many devices; strong dependence on motion and vasoconstriction</w:t>
            </w:r>
          </w:p>
        </w:tc>
        <w:tc>
          <w:tcPr>
            <w:tcW w:w="0" w:type="auto"/>
            <w:hideMark/>
          </w:tcPr>
          <w:p w14:paraId="48561961"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150–500</w:t>
            </w:r>
          </w:p>
        </w:tc>
      </w:tr>
      <w:tr w:rsidR="00CE64DB" w:rsidRPr="008D462F" w14:paraId="4229E14B"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86D0150" w14:textId="77777777" w:rsidR="00CE64DB" w:rsidRPr="008D462F" w:rsidRDefault="00CE64DB" w:rsidP="001150F4">
            <w:pPr>
              <w:rPr>
                <w:b/>
                <w:bCs/>
                <w:i w:val="0"/>
                <w:iCs w:val="0"/>
                <w:sz w:val="18"/>
                <w:szCs w:val="18"/>
              </w:rPr>
            </w:pPr>
            <w:r w:rsidRPr="008D462F">
              <w:rPr>
                <w:b/>
                <w:bCs/>
                <w:i w:val="0"/>
                <w:iCs w:val="0"/>
                <w:sz w:val="18"/>
                <w:szCs w:val="18"/>
              </w:rPr>
              <w:lastRenderedPageBreak/>
              <w:t>HR + PRV ** (improved over wrist)</w:t>
            </w:r>
          </w:p>
        </w:tc>
        <w:tc>
          <w:tcPr>
            <w:tcW w:w="1351" w:type="dxa"/>
            <w:hideMark/>
          </w:tcPr>
          <w:p w14:paraId="58D80020"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Finger-ring PPG (smart rings)</w:t>
            </w:r>
          </w:p>
        </w:tc>
        <w:tc>
          <w:tcPr>
            <w:tcW w:w="1026" w:type="dxa"/>
            <w:hideMark/>
          </w:tcPr>
          <w:p w14:paraId="7189AFF4"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Dynamic (~20–250 Hz equivalent)</w:t>
            </w:r>
          </w:p>
        </w:tc>
        <w:tc>
          <w:tcPr>
            <w:tcW w:w="2510" w:type="dxa"/>
            <w:hideMark/>
          </w:tcPr>
          <w:p w14:paraId="4A3005CC"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Stable contact, strong pulsatile amplitude; excellent nocturnal HRV; better than wrist devices</w:t>
            </w:r>
          </w:p>
        </w:tc>
        <w:tc>
          <w:tcPr>
            <w:tcW w:w="1980" w:type="dxa"/>
            <w:hideMark/>
          </w:tcPr>
          <w:p w14:paraId="2F5B3B27"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Still peripheral –susceptible to cooling and airflow; proprietary preprocessing</w:t>
            </w:r>
          </w:p>
        </w:tc>
        <w:tc>
          <w:tcPr>
            <w:tcW w:w="0" w:type="auto"/>
            <w:hideMark/>
          </w:tcPr>
          <w:p w14:paraId="59F90B0D"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250–600</w:t>
            </w:r>
          </w:p>
        </w:tc>
      </w:tr>
      <w:tr w:rsidR="00CE64DB" w:rsidRPr="008D462F" w14:paraId="0CF133EC" w14:textId="77777777" w:rsidTr="00573A45">
        <w:tc>
          <w:tcPr>
            <w:cnfStyle w:val="001000000000" w:firstRow="0" w:lastRow="0" w:firstColumn="1" w:lastColumn="0" w:oddVBand="0" w:evenVBand="0" w:oddHBand="0" w:evenHBand="0" w:firstRowFirstColumn="0" w:firstRowLastColumn="0" w:lastRowFirstColumn="0" w:lastRowLastColumn="0"/>
            <w:tcW w:w="1413" w:type="dxa"/>
            <w:hideMark/>
          </w:tcPr>
          <w:p w14:paraId="5BB4BF7A" w14:textId="77777777" w:rsidR="00CE64DB" w:rsidRPr="008D462F" w:rsidRDefault="00CE64DB" w:rsidP="001150F4">
            <w:pPr>
              <w:rPr>
                <w:b/>
                <w:bCs/>
                <w:i w:val="0"/>
                <w:iCs w:val="0"/>
                <w:sz w:val="18"/>
                <w:szCs w:val="18"/>
              </w:rPr>
            </w:pPr>
            <w:r w:rsidRPr="008D462F">
              <w:rPr>
                <w:b/>
                <w:bCs/>
                <w:i w:val="0"/>
                <w:iCs w:val="0"/>
                <w:sz w:val="18"/>
                <w:szCs w:val="18"/>
              </w:rPr>
              <w:t>HR (limited HRV)</w:t>
            </w:r>
          </w:p>
        </w:tc>
        <w:tc>
          <w:tcPr>
            <w:tcW w:w="1351" w:type="dxa"/>
            <w:hideMark/>
          </w:tcPr>
          <w:p w14:paraId="4022A53B"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Upper-arm / rib-cage ECG patches</w:t>
            </w:r>
          </w:p>
        </w:tc>
        <w:tc>
          <w:tcPr>
            <w:tcW w:w="1026" w:type="dxa"/>
            <w:hideMark/>
          </w:tcPr>
          <w:p w14:paraId="0C299038"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128–256 Hz</w:t>
            </w:r>
          </w:p>
        </w:tc>
        <w:tc>
          <w:tcPr>
            <w:tcW w:w="2510" w:type="dxa"/>
            <w:hideMark/>
          </w:tcPr>
          <w:p w14:paraId="318E6845"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Wearable over many hours; simple setup</w:t>
            </w:r>
          </w:p>
        </w:tc>
        <w:tc>
          <w:tcPr>
            <w:tcW w:w="1980" w:type="dxa"/>
            <w:hideMark/>
          </w:tcPr>
          <w:p w14:paraId="3F42F42F"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Smaller R-waves; motion artefacts; thermal effects on adhesion; limited spectral HRV</w:t>
            </w:r>
          </w:p>
        </w:tc>
        <w:tc>
          <w:tcPr>
            <w:tcW w:w="0" w:type="auto"/>
            <w:hideMark/>
          </w:tcPr>
          <w:p w14:paraId="069E961B" w14:textId="77777777" w:rsidR="00CE64DB" w:rsidRPr="008D462F"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8D462F">
              <w:rPr>
                <w:sz w:val="18"/>
                <w:szCs w:val="18"/>
              </w:rPr>
              <w:t>200–500</w:t>
            </w:r>
          </w:p>
        </w:tc>
      </w:tr>
      <w:tr w:rsidR="00CE64DB" w:rsidRPr="008D462F" w14:paraId="0A7C4C03" w14:textId="77777777" w:rsidTr="00573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C619B5C" w14:textId="77777777" w:rsidR="00CE64DB" w:rsidRPr="008D462F" w:rsidRDefault="00CE64DB" w:rsidP="001150F4">
            <w:pPr>
              <w:rPr>
                <w:b/>
                <w:bCs/>
                <w:i w:val="0"/>
                <w:iCs w:val="0"/>
                <w:sz w:val="18"/>
                <w:szCs w:val="18"/>
              </w:rPr>
            </w:pPr>
            <w:r w:rsidRPr="008D462F">
              <w:rPr>
                <w:b/>
                <w:bCs/>
                <w:i w:val="0"/>
                <w:iCs w:val="0"/>
                <w:sz w:val="18"/>
                <w:szCs w:val="18"/>
              </w:rPr>
              <w:t>HR only</w:t>
            </w:r>
          </w:p>
        </w:tc>
        <w:tc>
          <w:tcPr>
            <w:tcW w:w="1351" w:type="dxa"/>
            <w:hideMark/>
          </w:tcPr>
          <w:p w14:paraId="6791DBDB"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Commercial activity trackers (accelerometer + PPG fusion)</w:t>
            </w:r>
          </w:p>
        </w:tc>
        <w:tc>
          <w:tcPr>
            <w:tcW w:w="1026" w:type="dxa"/>
            <w:hideMark/>
          </w:tcPr>
          <w:p w14:paraId="61AC4CAE"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Device-specific</w:t>
            </w:r>
          </w:p>
        </w:tc>
        <w:tc>
          <w:tcPr>
            <w:tcW w:w="2510" w:type="dxa"/>
            <w:hideMark/>
          </w:tcPr>
          <w:p w14:paraId="2A068D2C"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Very low burden; contextual behaviour data</w:t>
            </w:r>
          </w:p>
        </w:tc>
        <w:tc>
          <w:tcPr>
            <w:tcW w:w="1980" w:type="dxa"/>
            <w:hideMark/>
          </w:tcPr>
          <w:p w14:paraId="5862A248"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Not suitable for HRV; heavy proprietary filtering</w:t>
            </w:r>
          </w:p>
        </w:tc>
        <w:tc>
          <w:tcPr>
            <w:tcW w:w="0" w:type="auto"/>
            <w:hideMark/>
          </w:tcPr>
          <w:p w14:paraId="5AF88111" w14:textId="77777777" w:rsidR="00CE64DB" w:rsidRPr="008D462F"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8D462F">
              <w:rPr>
                <w:sz w:val="18"/>
                <w:szCs w:val="18"/>
              </w:rPr>
              <w:t>50–300</w:t>
            </w:r>
          </w:p>
        </w:tc>
      </w:tr>
    </w:tbl>
    <w:p w14:paraId="5D7CB29B" w14:textId="77777777" w:rsidR="00CE64DB" w:rsidRPr="001D228D" w:rsidRDefault="00CE64DB" w:rsidP="001150F4">
      <w:pPr>
        <w:pStyle w:val="Caption"/>
      </w:pPr>
      <w:r w:rsidRPr="001D228D">
        <w:br/>
        <w:t>* Cost estimates reflect approximate 2024 academic/research purchasing ranges.</w:t>
      </w:r>
      <w:r w:rsidRPr="001D228D">
        <w:br/>
        <w:t>** PRV = pulse-rate variability, derived from PPG. Approximates ECG-HRV only when perfusion and contact are stable.</w:t>
      </w:r>
    </w:p>
    <w:p w14:paraId="13DCC1E6" w14:textId="77777777" w:rsidR="00CE64DB" w:rsidRPr="001D228D" w:rsidRDefault="00CE64DB" w:rsidP="001150F4"/>
    <w:p w14:paraId="17074303" w14:textId="77777777" w:rsidR="00CE64DB" w:rsidRPr="001D228D" w:rsidRDefault="00CE64DB" w:rsidP="007A2440">
      <w:pPr>
        <w:pStyle w:val="Heading2"/>
        <w:rPr>
          <w:lang w:val="en-GB"/>
        </w:rPr>
      </w:pPr>
      <w:bookmarkStart w:id="64" w:name="_Toc211009221"/>
      <w:bookmarkStart w:id="65" w:name="_Toc223281691"/>
      <w:r w:rsidRPr="001D228D">
        <w:rPr>
          <w:lang w:val="en-GB"/>
        </w:rPr>
        <w:t>Blood pressure</w:t>
      </w:r>
      <w:bookmarkEnd w:id="64"/>
      <w:bookmarkEnd w:id="65"/>
    </w:p>
    <w:p w14:paraId="0CA2953F" w14:textId="77777777" w:rsidR="00CE64DB" w:rsidRPr="001D228D" w:rsidRDefault="00CE64DB" w:rsidP="007A2440">
      <w:pPr>
        <w:pStyle w:val="Heading3"/>
        <w:rPr>
          <w:lang w:val="en-GB"/>
        </w:rPr>
      </w:pPr>
      <w:bookmarkStart w:id="66" w:name="_Toc211009222"/>
      <w:bookmarkStart w:id="67" w:name="_Toc223281692"/>
      <w:r w:rsidRPr="001D228D">
        <w:rPr>
          <w:lang w:val="en-GB"/>
        </w:rPr>
        <w:t>Why: the mechanistic reasons behind the measurement</w:t>
      </w:r>
      <w:bookmarkStart w:id="68" w:name="_Toc211009223"/>
      <w:bookmarkEnd w:id="66"/>
      <w:bookmarkEnd w:id="67"/>
    </w:p>
    <w:p w14:paraId="54444C7B" w14:textId="191A02A5" w:rsidR="00CE64DB" w:rsidRPr="001D228D" w:rsidRDefault="00CE64DB" w:rsidP="001150F4">
      <w:r w:rsidRPr="001D228D">
        <w:t xml:space="preserve">Arterial blood pressure (BP) indexes the perfusion pressure delivered to organs and the load against which the heart pumps; in shorthand it reflects the interaction of cardiac output with total peripheral resistance and arterial compliance. Under warm indoor exposures, cutaneous vasodilation redistributes blood to the skin, lowers peripheral resistance, and requires compensatory adjustments in cardiac output to maintain BP; documenting BP therefore links thermal vasomotion to central hemodynamics in sedentary protocols </w:t>
      </w:r>
      <w:sdt>
        <w:sdtPr>
          <w:rPr>
            <w:color w:val="000000"/>
          </w:rPr>
          <w:tag w:val="MENDELEY_CITATION_v3_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"/>
          <w:id w:val="902871467"/>
          <w:placeholder>
            <w:docPart w:val="DefaultPlaceholder_-1854013440"/>
          </w:placeholder>
        </w:sdtPr>
        <w:sdtContent>
          <w:r w:rsidR="00B43409" w:rsidRPr="00B43409">
            <w:rPr>
              <w:color w:val="000000"/>
            </w:rPr>
            <w:t>[404]</w:t>
          </w:r>
        </w:sdtContent>
      </w:sdt>
      <w:r w:rsidRPr="001D228D">
        <w:t xml:space="preserve">. </w:t>
      </w:r>
    </w:p>
    <w:p w14:paraId="5B36E62B" w14:textId="60253E1B" w:rsidR="00CE64DB" w:rsidRPr="001D228D" w:rsidRDefault="00CE64DB" w:rsidP="001150F4">
      <w:r w:rsidRPr="001D228D">
        <w:t>Short-latency baroreflex and autonomic responses stabil</w:t>
      </w:r>
      <w:r>
        <w:t>ise</w:t>
      </w:r>
      <w:r w:rsidRPr="001D228D">
        <w:t xml:space="preserve"> BP on the order of seconds to minutes, while vascular/renal mechanisms govern longer horizons; even small BP shifts (e.g., diastolic or MAP) during passive heating or cooling provide a hemodynamic context for concurrent changes in skin blood flow, skin temperature, and heart-rate–derived metrics </w:t>
      </w:r>
      <w:sdt>
        <w:sdtPr>
          <w:rPr>
            <w:color w:val="000000"/>
          </w:rPr>
          <w:tag w:val="MENDELEY_CITATION_v3_eyJjaXRhdGlvbklEIjoiTUVOREVMRVlfQ0lUQVRJT05fMTdjZDU4OTYtZDY1MC00ZmJkLWJjZmQtYzdhOWFhNTAwMmVk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
          <w:id w:val="-2102176044"/>
          <w:placeholder>
            <w:docPart w:val="DefaultPlaceholder_-1854013440"/>
          </w:placeholder>
        </w:sdtPr>
        <w:sdtContent>
          <w:r w:rsidR="00B43409" w:rsidRPr="00B43409">
            <w:rPr>
              <w:color w:val="000000"/>
            </w:rPr>
            <w:t>[405]</w:t>
          </w:r>
        </w:sdtContent>
      </w:sdt>
      <w:r w:rsidRPr="001D228D">
        <w:t>.</w:t>
      </w:r>
    </w:p>
    <w:p w14:paraId="6428F781" w14:textId="53DC5591" w:rsidR="00CE64DB" w:rsidRPr="001D228D" w:rsidRDefault="00CE64DB" w:rsidP="001150F4">
      <w:r w:rsidRPr="001D228D">
        <w:t xml:space="preserve">Because thermal manipulations in seated participants alter vascular tone without large metabolic changes, BP serves as the concise readout of whether perfusion pressure is preserved as skin blood flow increases, and whether autonomic buffering remains intact across time-of-day or exposure blocks </w:t>
      </w:r>
      <w:sdt>
        <w:sdtPr>
          <w:rPr>
            <w:color w:val="000000"/>
          </w:rPr>
          <w:tag w:val="MENDELEY_CITATION_v3_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"/>
          <w:id w:val="1048640974"/>
          <w:placeholder>
            <w:docPart w:val="DefaultPlaceholder_-1854013440"/>
          </w:placeholder>
        </w:sdtPr>
        <w:sdtContent>
          <w:r w:rsidR="00B43409" w:rsidRPr="00B43409">
            <w:rPr>
              <w:color w:val="000000"/>
            </w:rPr>
            <w:t>[406]</w:t>
          </w:r>
        </w:sdtContent>
      </w:sdt>
      <w:r w:rsidRPr="001D228D">
        <w:t>.</w:t>
      </w:r>
    </w:p>
    <w:p w14:paraId="12AC01AF" w14:textId="77777777" w:rsidR="00CE64DB" w:rsidRPr="001D228D" w:rsidRDefault="00CE64DB" w:rsidP="007A2440">
      <w:pPr>
        <w:pStyle w:val="Heading3"/>
        <w:rPr>
          <w:lang w:val="en-GB"/>
        </w:rPr>
      </w:pPr>
      <w:bookmarkStart w:id="69" w:name="_Toc223281693"/>
      <w:r w:rsidRPr="001D228D">
        <w:rPr>
          <w:lang w:val="en-GB"/>
        </w:rPr>
        <w:t>How: sensor types for measurement</w:t>
      </w:r>
      <w:bookmarkEnd w:id="68"/>
      <w:bookmarkEnd w:id="69"/>
      <w:r w:rsidRPr="001D228D">
        <w:rPr>
          <w:lang w:val="en-GB"/>
        </w:rPr>
        <w:t xml:space="preserve"> </w:t>
      </w:r>
    </w:p>
    <w:p w14:paraId="6BC946AD" w14:textId="2F6C088B" w:rsidR="00CE64DB" w:rsidRPr="001D228D" w:rsidRDefault="00CE64DB" w:rsidP="001150F4">
      <w:r w:rsidRPr="001D228D">
        <w:rPr>
          <w:rStyle w:val="Strong"/>
        </w:rPr>
        <w:t>Upper-arm cuff (oscillometric or auscultatory).</w:t>
      </w:r>
      <w:r w:rsidRPr="001D228D">
        <w:t xml:space="preserve"> Automated oscillometric cuffs are the default for intermittent BP at rest in laboratory and field studies; the device infers systolic/diastolic values from the cuff-pressure oscillation envelope during deflation, while auscultatory methods detect Korotkoff sounds. Validation statements and technique details are consolidated by the American Heart Association </w:t>
      </w:r>
      <w:sdt>
        <w:sdtPr>
          <w:rPr>
            <w:color w:val="000000"/>
          </w:rPr>
          <w:tag w:val="MENDELEY_CITATION_v3_eyJjaXRhdGlvbklEIjoiTUVOREVMRVlfQ0lUQVRJT05fNjQ0ZTI1NTAtZmE1Yi00MjI1LWEzZTItMGI4M2NmZWIyMjMz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1319961499"/>
          <w:placeholder>
            <w:docPart w:val="DefaultPlaceholder_-1854013440"/>
          </w:placeholder>
        </w:sdtPr>
        <w:sdtContent>
          <w:r w:rsidR="00B43409" w:rsidRPr="00B43409">
            <w:rPr>
              <w:color w:val="000000"/>
            </w:rPr>
            <w:t>[407]</w:t>
          </w:r>
        </w:sdtContent>
      </w:sdt>
      <w:r w:rsidRPr="001D228D">
        <w:t xml:space="preserve">; modeling/limits of oscillometry are reviewed with open-access summaries </w:t>
      </w:r>
      <w:sdt>
        <w:sdtPr>
          <w:rPr>
            <w:color w:val="000000"/>
          </w:rPr>
          <w:tag w:val="MENDELEY_CITATION_v3_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"/>
          <w:id w:val="-1609656794"/>
          <w:placeholder>
            <w:docPart w:val="DefaultPlaceholder_-1854013440"/>
          </w:placeholder>
        </w:sdtPr>
        <w:sdtContent>
          <w:r w:rsidR="00B43409" w:rsidRPr="00B43409">
            <w:rPr>
              <w:color w:val="000000"/>
            </w:rPr>
            <w:t>[408]</w:t>
          </w:r>
        </w:sdtContent>
      </w:sdt>
      <w:r w:rsidRPr="001D228D">
        <w:t xml:space="preserve">. Under sedentary, thermally perturbed conditions, accuracy can vary with arterial compliance and waveform shape; worth noting when vasodilation is substantial </w:t>
      </w:r>
      <w:sdt>
        <w:sdtPr>
          <w:rPr>
            <w:color w:val="000000"/>
          </w:rPr>
          <w:tag w:val="MENDELEY_CITATION_v3_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"/>
          <w:id w:val="-1503961280"/>
          <w:placeholder>
            <w:docPart w:val="DefaultPlaceholder_-1854013440"/>
          </w:placeholder>
        </w:sdtPr>
        <w:sdtContent>
          <w:r w:rsidR="00B43409" w:rsidRPr="00B43409">
            <w:rPr>
              <w:color w:val="000000"/>
            </w:rPr>
            <w:t>[409]</w:t>
          </w:r>
        </w:sdtContent>
      </w:sdt>
      <w:r w:rsidRPr="001D228D">
        <w:t>.</w:t>
      </w:r>
    </w:p>
    <w:p w14:paraId="23A94C37" w14:textId="250F5F63" w:rsidR="00CE64DB" w:rsidRPr="001D228D" w:rsidRDefault="00CE64DB" w:rsidP="001150F4">
      <w:r w:rsidRPr="001D228D">
        <w:rPr>
          <w:rStyle w:val="Strong"/>
        </w:rPr>
        <w:t>Ambulatory/automated repeated cuffs.</w:t>
      </w:r>
      <w:r w:rsidRPr="001D228D">
        <w:t xml:space="preserve"> For longer indoor protocols, ambulatory or scheduled automated measurements extend intermittent monitoring without continuous inflation, retaining the oscillometric principle and standard validation constraints </w:t>
      </w:r>
      <w:sdt>
        <w:sdtPr>
          <w:rPr>
            <w:color w:val="000000"/>
          </w:rPr>
          <w:tag w:val="MENDELEY_CITATION_v3_eyJjaXRhdGlvbklEIjoiTUVOREVMRVlfQ0lUQVRJT05fN2Y3NzA2OTEtODdhNy00ZGU4LWFiMzYtZmE5NTMyZTQ1NjY5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764817073"/>
          <w:placeholder>
            <w:docPart w:val="DefaultPlaceholder_-1854013440"/>
          </w:placeholder>
        </w:sdtPr>
        <w:sdtContent>
          <w:r w:rsidR="00B43409" w:rsidRPr="00B43409">
            <w:rPr>
              <w:color w:val="000000"/>
            </w:rPr>
            <w:t>[407]</w:t>
          </w:r>
        </w:sdtContent>
      </w:sdt>
      <w:r w:rsidRPr="001D228D">
        <w:t>.</w:t>
      </w:r>
    </w:p>
    <w:p w14:paraId="30DDAD14" w14:textId="57113FF3" w:rsidR="00CE64DB" w:rsidRPr="001D228D" w:rsidRDefault="00CE64DB" w:rsidP="001150F4">
      <w:r w:rsidRPr="001D228D">
        <w:rPr>
          <w:rStyle w:val="Strong"/>
        </w:rPr>
        <w:t xml:space="preserve">Non-invasive continuous methods (beat-to-beat). </w:t>
      </w:r>
      <w:r w:rsidRPr="001D228D">
        <w:t xml:space="preserve">A range of systems provide continuous or near–beat-to-beat BP estimation without arterial cannulation, typically by tracking arterial volume or wall motion at a peripheral site and then reconstructing arterial pressure from the waveform plus calibration </w:t>
      </w:r>
      <w:sdt>
        <w:sdtPr>
          <w:rPr>
            <w:color w:val="000000"/>
          </w:rPr>
          <w:tag w:val="MENDELEY_CITATION_v3_eyJjaXRhdGlvbklEIjoiTUVOREVMRVlfQ0lUQVRJT05fOTg5OTNkMmMtYmI5Mi00NWU4LTlmMGYtNTAyZWQzZGExZGMzIiwicHJvcGVydGllcyI6eyJub3RlSW5kZXgiOjB9LCJpc0VkaXRlZCI6ZmFsc2UsIm1hbnVhbE92ZXJyaWRlIjp7ImNpdGVwcm9jVGV4dCI6Ils0MTBdIiwiaXNNYW51YWxseU92ZXJyaWRkZW4iOmZhbHNlLCJtYW51YWxPdmVycmlkZVRleHQiOiIifSwiY2l0YXRpb25JdGVtcyI6W3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
          <w:id w:val="-1028260663"/>
          <w:placeholder>
            <w:docPart w:val="DefaultPlaceholder_-1854013440"/>
          </w:placeholder>
        </w:sdtPr>
        <w:sdtContent>
          <w:r w:rsidR="00B43409" w:rsidRPr="00B43409">
            <w:rPr>
              <w:color w:val="000000"/>
            </w:rPr>
            <w:t>[410]</w:t>
          </w:r>
        </w:sdtContent>
      </w:sdt>
      <w:r w:rsidRPr="001D228D">
        <w:t>.</w:t>
      </w:r>
    </w:p>
    <w:p w14:paraId="43459C9A" w14:textId="2B50B09E" w:rsidR="00CE64DB" w:rsidRPr="001D228D" w:rsidRDefault="00CE64DB" w:rsidP="001150F4">
      <w:pPr>
        <w:pStyle w:val="Bullet"/>
        <w:rPr>
          <w:rStyle w:val="BulletChar"/>
        </w:rPr>
      </w:pPr>
      <w:r w:rsidRPr="001D228D">
        <w:rPr>
          <w:rStyle w:val="BulletChar"/>
          <w:u w:val="single"/>
        </w:rPr>
        <w:t>Volume-clamp (vascular unloading) finger cuff,</w:t>
      </w:r>
      <w:r w:rsidRPr="001D228D">
        <w:t xml:space="preserve"> A pneumatic cuff around the finger adjusts pressure to maintain constant arterial volume; the servo-controlled cuff pressure approximates the intra-arterial waveform. This “Penáz method” underlies several commercial systems and has been evaluated against invasive reference measurements in perioperative and intensive-care cohorts </w:t>
      </w:r>
      <w:sdt>
        <w:sdtPr>
          <w:rPr>
            <w:color w:val="000000"/>
          </w:rPr>
          <w:tag w:val="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"/>
          <w:id w:val="-1796822786"/>
          <w:placeholder>
            <w:docPart w:val="DefaultPlaceholder_-1854013440"/>
          </w:placeholder>
        </w:sdtPr>
        <w:sdtContent>
          <w:r w:rsidR="00B43409" w:rsidRPr="00B43409">
            <w:rPr>
              <w:color w:val="000000"/>
            </w:rPr>
            <w:t>[411–413]</w:t>
          </w:r>
        </w:sdtContent>
      </w:sdt>
      <w:r w:rsidRPr="001D228D">
        <w:t>.</w:t>
      </w:r>
    </w:p>
    <w:p w14:paraId="60958C98" w14:textId="4C4CD45D" w:rsidR="00CE64DB" w:rsidRPr="001D228D" w:rsidRDefault="00CE64DB" w:rsidP="001150F4">
      <w:pPr>
        <w:pStyle w:val="Bullet"/>
        <w:rPr>
          <w:rStyle w:val="BulletChar"/>
        </w:rPr>
      </w:pPr>
      <w:r w:rsidRPr="001D228D">
        <w:rPr>
          <w:rStyle w:val="BulletChar"/>
          <w:u w:val="single"/>
        </w:rPr>
        <w:lastRenderedPageBreak/>
        <w:t>Applanation/arterial tonometry.</w:t>
      </w:r>
      <w:r w:rsidRPr="001D228D">
        <w:rPr>
          <w:rStyle w:val="BulletChar"/>
        </w:rPr>
        <w:t xml:space="preserve"> </w:t>
      </w:r>
      <w:r w:rsidRPr="001D228D">
        <w:t xml:space="preserve">A flat sensor positioned over a superficial artery (typically radial) partially flattens the vessel and records the pressure waveform, which is then calibrated to brachial cuff values. Technical descriptions and comparative performance data are summarised in reviews of non-invasive arterial pressure monitoring </w:t>
      </w:r>
      <w:sdt>
        <w:sdtPr>
          <w:rPr>
            <w:color w:val="000000"/>
          </w:rPr>
          <w:tag w:val="MENDELEY_CITATION_v3_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"/>
          <w:id w:val="-636649233"/>
          <w:placeholder>
            <w:docPart w:val="DefaultPlaceholder_-1854013440"/>
          </w:placeholder>
        </w:sdtPr>
        <w:sdtContent>
          <w:r w:rsidR="00B43409" w:rsidRPr="00B43409">
            <w:rPr>
              <w:color w:val="000000"/>
            </w:rPr>
            <w:t>[410,414]</w:t>
          </w:r>
        </w:sdtContent>
      </w:sdt>
      <w:r w:rsidRPr="001D228D">
        <w:t xml:space="preserve">; see also Salvi et al. for radial tonometry and central pressure estimation </w:t>
      </w:r>
      <w:sdt>
        <w:sdtPr>
          <w:rPr>
            <w:color w:val="000000"/>
          </w:rPr>
          <w:tag w:val="MENDELEY_CITATION_v3_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"/>
          <w:id w:val="-676186816"/>
          <w:placeholder>
            <w:docPart w:val="DefaultPlaceholder_-1854013440"/>
          </w:placeholder>
        </w:sdtPr>
        <w:sdtContent>
          <w:r w:rsidR="00B43409" w:rsidRPr="00B43409">
            <w:rPr>
              <w:color w:val="000000"/>
            </w:rPr>
            <w:t>[415]</w:t>
          </w:r>
        </w:sdtContent>
      </w:sdt>
      <w:r w:rsidRPr="001D228D">
        <w:t>.</w:t>
      </w:r>
    </w:p>
    <w:p w14:paraId="643F9C73" w14:textId="6C1FAC89" w:rsidR="00CE64DB" w:rsidRPr="001D228D" w:rsidRDefault="00CE64DB" w:rsidP="001150F4">
      <w:pPr>
        <w:pStyle w:val="Bullet"/>
      </w:pPr>
      <w:r w:rsidRPr="001D228D">
        <w:rPr>
          <w:rStyle w:val="BulletChar"/>
          <w:u w:val="single"/>
        </w:rPr>
        <w:t>Cuffless timing methods (PTT/PAT)</w:t>
      </w:r>
      <w:r w:rsidRPr="001D228D">
        <w:t xml:space="preserve">. Pulse transit time (PTT) and pulse arrival time (PAT) approaches estimate BP changes from the delay between a proximal signal (e.g., ECG or phonocardiogram) and a distal photoplethysmogram (PPG) or similar waveform. Reviews highlight their promise and the need for individual calibration and careful validation </w:t>
      </w:r>
      <w:sdt>
        <w:sdtPr>
          <w:rPr>
            <w:color w:val="000000"/>
          </w:rPr>
          <w:tag w:val="MENDELEY_CITATION_v3_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
          <w:id w:val="-2145955938"/>
          <w:placeholder>
            <w:docPart w:val="DefaultPlaceholder_-1854013440"/>
          </w:placeholder>
        </w:sdtPr>
        <w:sdtContent>
          <w:r w:rsidR="00B43409" w:rsidRPr="00B43409">
            <w:rPr>
              <w:color w:val="000000"/>
            </w:rPr>
            <w:t>[405,416]</w:t>
          </w:r>
        </w:sdtContent>
      </w:sdt>
      <w:r w:rsidRPr="001D228D">
        <w:t xml:space="preserve">. A recent example is the cuffless real-time device by Choi et al., which uses ECG electrodes and a microphone at the wrist to derive PTT and estimate BP </w:t>
      </w:r>
      <w:sdt>
        <w:sdtPr>
          <w:rPr>
            <w:color w:val="000000"/>
          </w:rPr>
          <w:tag w:val="MENDELEY_CITATION_v3_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"/>
          <w:id w:val="1746837400"/>
          <w:placeholder>
            <w:docPart w:val="DefaultPlaceholder_-1854013440"/>
          </w:placeholder>
        </w:sdtPr>
        <w:sdtContent>
          <w:r w:rsidR="00B43409" w:rsidRPr="00B43409">
            <w:rPr>
              <w:color w:val="000000"/>
            </w:rPr>
            <w:t>[417]</w:t>
          </w:r>
        </w:sdtContent>
      </w:sdt>
      <w:r w:rsidRPr="001D228D">
        <w:t>.</w:t>
      </w:r>
    </w:p>
    <w:p w14:paraId="7761E3EE" w14:textId="2A2257EF" w:rsidR="00CE64DB" w:rsidRPr="001D228D" w:rsidRDefault="00CE64DB" w:rsidP="001150F4">
      <w:pPr>
        <w:pStyle w:val="Bullet"/>
        <w:rPr>
          <w:rStyle w:val="BulletChar"/>
        </w:rPr>
      </w:pPr>
      <w:r w:rsidRPr="001D228D">
        <w:rPr>
          <w:u w:val="single"/>
        </w:rPr>
        <w:t>Wearable cuffless devices (wrist/arm/ring).</w:t>
      </w:r>
      <w:r w:rsidRPr="001D228D">
        <w:t xml:space="preserve"> Newer devices embed optical, electrical or mechanical sensors into wristbands, upper-arm bands or rings, and estimate BP using pulse-wave features and machine-learning models. Systematic and narrative reviews summarise available devices, sensing principles and validation status </w:t>
      </w:r>
      <w:sdt>
        <w:sdtPr>
          <w:rPr>
            <w:color w:val="000000"/>
          </w:rPr>
          <w:tag w:val="MENDELEY_CITATION_v3_eyJjaXRhdGlvbklEIjoiTUVOREVMRVlfQ0lUQVRJT05fODEyYjcxOGYtZTFhNS00NjFlLThjYzMtYTNmZGNkOGM5Yzk2IiwicHJvcGVydGllcyI6eyJub3RlSW5kZXgiOjB9LCJpc0VkaXRlZCI6ZmFsc2UsIm1hbnVhbE92ZXJyaWRlIjp7ImNpdGVwcm9jVGV4dCI6Ils0MTjigJM0MjBd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"/>
          <w:id w:val="-1216352617"/>
          <w:placeholder>
            <w:docPart w:val="DefaultPlaceholder_-1854013440"/>
          </w:placeholder>
        </w:sdtPr>
        <w:sdtContent>
          <w:r w:rsidR="00B43409" w:rsidRPr="00B43409">
            <w:rPr>
              <w:color w:val="000000"/>
            </w:rPr>
            <w:t>[418–420]</w:t>
          </w:r>
        </w:sdtContent>
      </w:sdt>
      <w:r w:rsidRPr="001D228D">
        <w:t>. These systems are still typically calibrated to brachial cuff measurements and their performance under different thermal and perfusion states remains an active research area</w:t>
      </w:r>
      <w:r w:rsidRPr="001D228D">
        <w:rPr>
          <w:rStyle w:val="BulletChar"/>
        </w:rPr>
        <w:t>.</w:t>
      </w:r>
    </w:p>
    <w:p w14:paraId="017220D8" w14:textId="421ADE4C" w:rsidR="00CE64DB" w:rsidRPr="001D228D" w:rsidRDefault="00CE64DB" w:rsidP="001150F4">
      <w:r w:rsidRPr="001D228D">
        <w:rPr>
          <w:rStyle w:val="Strong"/>
        </w:rPr>
        <w:t>Invasive arterial line.</w:t>
      </w:r>
      <w:r w:rsidRPr="001D228D">
        <w:t xml:space="preserve"> Direct intra-arterial monitoring via an arterial catheter connected to a fluid-filled transducer remains the reference standard for waveform fidelity and absolute pressure measurement, particularly in critically ill or high-risk surgical patients </w:t>
      </w:r>
      <w:sdt>
        <w:sdtPr>
          <w:rPr>
            <w:color w:val="000000"/>
          </w:rPr>
          <w:tag w:val="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
          <w:id w:val="-965281542"/>
          <w:placeholder>
            <w:docPart w:val="DefaultPlaceholder_-1854013440"/>
          </w:placeholder>
        </w:sdtPr>
        <w:sdtContent>
          <w:r w:rsidR="00B43409" w:rsidRPr="00B43409">
            <w:rPr>
              <w:color w:val="000000"/>
            </w:rPr>
            <w:t>[410,414,421]</w:t>
          </w:r>
        </w:sdtContent>
      </w:sdt>
      <w:r w:rsidRPr="001D228D">
        <w:t>. It is, however, restricted to clinical or highly controlled physiological settings and is not typical for sedentary built-environment experiments, where the non-invasive alternatives above are preferred.</w:t>
      </w:r>
    </w:p>
    <w:p w14:paraId="1262A9DB" w14:textId="77777777" w:rsidR="00CE64DB" w:rsidRPr="001D228D" w:rsidRDefault="00CE64DB" w:rsidP="007A2440">
      <w:pPr>
        <w:pStyle w:val="Heading3"/>
        <w:rPr>
          <w:lang w:val="en-GB"/>
        </w:rPr>
      </w:pPr>
      <w:bookmarkStart w:id="70" w:name="_Toc211009224"/>
      <w:bookmarkStart w:id="71" w:name="_Toc223281694"/>
      <w:r w:rsidRPr="001D228D">
        <w:rPr>
          <w:lang w:val="en-GB"/>
        </w:rPr>
        <w:t>Where: body sites of measurement</w:t>
      </w:r>
      <w:bookmarkEnd w:id="70"/>
      <w:bookmarkEnd w:id="71"/>
    </w:p>
    <w:p w14:paraId="6E1AF08D" w14:textId="7A4D5DDC" w:rsidR="00CE64DB" w:rsidRPr="001D228D" w:rsidRDefault="00CE64DB" w:rsidP="001150F4">
      <w:r w:rsidRPr="001D228D">
        <w:t xml:space="preserve">Blood pressure in sedentary thermophysiology studies is most commonly measured at the upper arm, wrist, finger, or much less frequently the radial or a central artery. The choice of site determines which arterial segment is sampled (brachial vs radial vs digital), the hydrostatic relation to the heart, and how strongly local vasomotor changes (e.g., thermal vasodilation in the hand) influence the signal </w:t>
      </w:r>
      <w:sdt>
        <w:sdtPr>
          <w:rPr>
            <w:color w:val="000000"/>
          </w:rPr>
          <w:tag w:val="MENDELEY_CITATION_v3_eyJjaXRhdGlvbklEIjoiTUVOREVMRVlfQ0lUQVRJT05fMzIwMTA3MDYtYzlkYy00N2E1LWExMjYtMjJmYTk4MmZlYTgx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1168787931"/>
          <w:placeholder>
            <w:docPart w:val="DefaultPlaceholder_-1854013440"/>
          </w:placeholder>
        </w:sdtPr>
        <w:sdtContent>
          <w:r w:rsidR="00B43409" w:rsidRPr="00B43409">
            <w:rPr>
              <w:color w:val="000000"/>
            </w:rPr>
            <w:t>[407]</w:t>
          </w:r>
        </w:sdtContent>
      </w:sdt>
      <w:r w:rsidRPr="001D228D">
        <w:t>.</w:t>
      </w:r>
    </w:p>
    <w:p w14:paraId="1A8B4D32" w14:textId="61CAD0E0" w:rsidR="00CE64DB" w:rsidRPr="001D228D" w:rsidRDefault="00CE64DB" w:rsidP="001150F4">
      <w:r w:rsidRPr="001D228D">
        <w:rPr>
          <w:rStyle w:val="Strong"/>
        </w:rPr>
        <w:t xml:space="preserve">Upper-arm (brachial) measurements. </w:t>
      </w:r>
      <w:r w:rsidRPr="001D228D">
        <w:t xml:space="preserve">The standard location for non-invasive sphygmomanometry is the upper arm with the cuff encircling the brachial artery at heart level in the seated position </w:t>
      </w:r>
      <w:sdt>
        <w:sdtPr>
          <w:rPr>
            <w:color w:val="000000"/>
          </w:rPr>
          <w:tag w:val="MENDELEY_CITATION_v3_eyJjaXRhdGlvbklEIjoiTUVOREVMRVlfQ0lUQVRJT05fNzZkNzhiZWYtZWY4MC00ZTAwLWFhZjItMTIyZDcwYjA2ZDQw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397437110"/>
          <w:placeholder>
            <w:docPart w:val="DefaultPlaceholder_-1854013440"/>
          </w:placeholder>
        </w:sdtPr>
        <w:sdtContent>
          <w:r w:rsidR="00B43409" w:rsidRPr="00B43409">
            <w:rPr>
              <w:color w:val="000000"/>
            </w:rPr>
            <w:t>[407]</w:t>
          </w:r>
        </w:sdtContent>
      </w:sdt>
      <w:r w:rsidRPr="001D228D">
        <w:t xml:space="preserve">. This site is preferred because the brachial artery is relatively large, easily occluded, and lies at a similar hydrostatic level to the aorta when the arm is supported; brachial pressures are also the reference against which alternative sites (wrist, finger, tonometry) are usually validated </w:t>
      </w:r>
      <w:sdt>
        <w:sdtPr>
          <w:rPr>
            <w:color w:val="000000"/>
          </w:rPr>
          <w:tag w:val="MENDELEY_CITATION_v3_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"/>
          <w:id w:val="-908299000"/>
          <w:placeholder>
            <w:docPart w:val="DefaultPlaceholder_-1854013440"/>
          </w:placeholder>
        </w:sdtPr>
        <w:sdtContent>
          <w:r w:rsidR="00B43409" w:rsidRPr="00B43409">
            <w:rPr>
              <w:color w:val="000000"/>
            </w:rPr>
            <w:t>[422]</w:t>
          </w:r>
        </w:sdtContent>
      </w:sdt>
      <w:r w:rsidRPr="001D228D">
        <w:t>. In indoor sedentary experiments, cuffs are typically placed on the non-dominant upper arm to minimise movement and interference with tasks.</w:t>
      </w:r>
    </w:p>
    <w:p w14:paraId="6D1D2BB0" w14:textId="21A0C35F" w:rsidR="00CE64DB" w:rsidRPr="001D228D" w:rsidRDefault="00CE64DB" w:rsidP="001150F4">
      <w:r w:rsidRPr="001D228D">
        <w:rPr>
          <w:rStyle w:val="Strong"/>
        </w:rPr>
        <w:t xml:space="preserve">Wrist (radial/ulnar) cuff devices. </w:t>
      </w:r>
      <w:r w:rsidRPr="001D228D">
        <w:t xml:space="preserve">Oscillometric wrist monitors place the cuff over the radial and ulnar arteries proximal to the carpus. They are used when upper-arm placement is impractical (e.g., very large arm circumference or arm instrumentation), but wrist readings are more sensitive to arm and wrist position relative to the heart and to local vasomotor tone </w:t>
      </w:r>
      <w:sdt>
        <w:sdtPr>
          <w:rPr>
            <w:color w:val="000000"/>
          </w:rPr>
          <w:tag w:val="MENDELEY_CITATION_v3_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"/>
          <w:id w:val="330031144"/>
          <w:placeholder>
            <w:docPart w:val="DefaultPlaceholder_-1854013440"/>
          </w:placeholder>
        </w:sdtPr>
        <w:sdtContent>
          <w:r w:rsidR="00B43409" w:rsidRPr="00B43409">
            <w:rPr>
              <w:color w:val="000000"/>
            </w:rPr>
            <w:t>[423,424]</w:t>
          </w:r>
        </w:sdtContent>
      </w:sdt>
      <w:r w:rsidRPr="001D228D">
        <w:t xml:space="preserve">. Comparative work and clinical guidance generally regard upper-arm (brachial) measurement as the reference and treat wrist devices as secondary options that require careful positioning and validation </w:t>
      </w:r>
      <w:sdt>
        <w:sdtPr>
          <w:rPr>
            <w:color w:val="000000"/>
          </w:rPr>
          <w:tag w:val="MENDELEY_CITATION_v3_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"/>
          <w:id w:val="-1543592819"/>
          <w:placeholder>
            <w:docPart w:val="DefaultPlaceholder_-1854013440"/>
          </w:placeholder>
        </w:sdtPr>
        <w:sdtContent>
          <w:r w:rsidR="00B43409" w:rsidRPr="00B43409">
            <w:rPr>
              <w:color w:val="000000"/>
            </w:rPr>
            <w:t>[425]</w:t>
          </w:r>
        </w:sdtContent>
      </w:sdt>
      <w:r w:rsidRPr="001D228D">
        <w:t>.</w:t>
      </w:r>
    </w:p>
    <w:p w14:paraId="1321E571" w14:textId="66C337B1" w:rsidR="00CE64DB" w:rsidRPr="001D228D" w:rsidRDefault="00CE64DB" w:rsidP="001150F4">
      <w:r w:rsidRPr="001D228D">
        <w:rPr>
          <w:rStyle w:val="Strong"/>
        </w:rPr>
        <w:t xml:space="preserve">Finger (digital) measurements. </w:t>
      </w:r>
      <w:r w:rsidRPr="001D228D">
        <w:t xml:space="preserve">Finger cuffs used in volume-clamp systems enclose the middle phalanx and maintain constant arterial volume via a servo-controlled pressure adjustment; the cuff pressure then approximates the finger arterial pressure waveform. This site enables beat-to-beat recording and is widely used for continuous BP and derived hemodynamic variables in research </w:t>
      </w:r>
      <w:sdt>
        <w:sdtPr>
          <w:rPr>
            <w:color w:val="000000"/>
          </w:rPr>
          <w:tag w:val="MENDELEY_CITATION_v3_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"/>
          <w:id w:val="-1852641976"/>
          <w:placeholder>
            <w:docPart w:val="DefaultPlaceholder_-1854013440"/>
          </w:placeholder>
        </w:sdtPr>
        <w:sdtContent>
          <w:r w:rsidR="00B43409" w:rsidRPr="00B43409">
            <w:rPr>
              <w:color w:val="000000"/>
            </w:rPr>
            <w:t>[412,426]</w:t>
          </w:r>
        </w:sdtContent>
      </w:sdt>
      <w:r w:rsidRPr="001D228D">
        <w:t xml:space="preserve">. Meta-analyses comparing finger-cuff arterial pressure with invasive reference show acceptable mean bias but wide limits of agreement, with accuracy reduced when peripheral vasoconstriction, low perfusion or rapid hemodynamic changes are present </w:t>
      </w:r>
      <w:sdt>
        <w:sdtPr>
          <w:rPr>
            <w:color w:val="000000"/>
          </w:rPr>
          <w:tag w:val="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"/>
          <w:id w:val="-1565633603"/>
          <w:placeholder>
            <w:docPart w:val="DefaultPlaceholder_-1854013440"/>
          </w:placeholder>
        </w:sdtPr>
        <w:sdtContent>
          <w:r w:rsidR="00B43409" w:rsidRPr="00B43409">
            <w:rPr>
              <w:color w:val="000000"/>
            </w:rPr>
            <w:t>[413,427]</w:t>
          </w:r>
        </w:sdtContent>
      </w:sdt>
      <w:r w:rsidRPr="001D228D">
        <w:t>. In thermal studies, the finger site is therefore attractive for continuous monitoring but more vulnerable to local temperature and vasomotor changes than the brachial site.</w:t>
      </w:r>
    </w:p>
    <w:p w14:paraId="166BE61D" w14:textId="4885DB52" w:rsidR="00CE64DB" w:rsidRPr="001D228D" w:rsidRDefault="00CE64DB" w:rsidP="001150F4">
      <w:r w:rsidRPr="001D228D">
        <w:rPr>
          <w:rStyle w:val="Strong"/>
        </w:rPr>
        <w:t xml:space="preserve">Radial artery (wrist/forearm) applanation tonometry. </w:t>
      </w:r>
      <w:r w:rsidRPr="001D228D">
        <w:t xml:space="preserve">Applanation tonometry at the radial artery records the local pulse waveform by gently flattening (applanating) the artery against underlying bone with a flat sensor. The waveform is subsequently calibrated to brachial cuff systolic and diastolic pressures to estimate peripheral and, via transfer functions, central pressures </w:t>
      </w:r>
      <w:sdt>
        <w:sdtPr>
          <w:rPr>
            <w:color w:val="000000"/>
          </w:rPr>
          <w:tag w:val="MENDELEY_CITATION_v3_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Ub21peWFtYSIsImdpdmVuIjoiSGlyb2Z1bWk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"/>
          <w:id w:val="984046553"/>
          <w:placeholder>
            <w:docPart w:val="DefaultPlaceholder_-1854013440"/>
          </w:placeholder>
        </w:sdtPr>
        <w:sdtContent>
          <w:r w:rsidR="00B43409" w:rsidRPr="00B43409">
            <w:rPr>
              <w:color w:val="000000"/>
            </w:rPr>
            <w:t>[415,428]</w:t>
          </w:r>
        </w:sdtContent>
      </w:sdt>
      <w:r w:rsidRPr="001D228D">
        <w:t>.</w:t>
      </w:r>
    </w:p>
    <w:p w14:paraId="446793A4" w14:textId="200F36C3" w:rsidR="00CE64DB" w:rsidRPr="001D228D" w:rsidRDefault="00CE64DB" w:rsidP="001150F4">
      <w:r w:rsidRPr="001D228D">
        <w:rPr>
          <w:rStyle w:val="Strong"/>
        </w:rPr>
        <w:t xml:space="preserve">Central and invasive sites (reference). </w:t>
      </w:r>
      <w:r w:rsidRPr="001D228D">
        <w:t xml:space="preserve">Invasive catheters placed in central arteries (e.g., radial, femoral, or directly the aorta) provide reference waveforms and absolute pressures for validation studies but are almost never used in sedentary </w:t>
      </w:r>
      <w:r w:rsidRPr="001D228D">
        <w:lastRenderedPageBreak/>
        <w:t xml:space="preserve">built-environment experiments. They mainly appear in perioperative or intensive-care research, where they serve as the comparison standard for finger-cuff, radial-tonometry or cuffless methods </w:t>
      </w:r>
      <w:sdt>
        <w:sdtPr>
          <w:rPr>
            <w:color w:val="000000"/>
          </w:rPr>
          <w:tag w:val="MENDELEY_CITATION_v3_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
          <w:id w:val="1384137709"/>
          <w:placeholder>
            <w:docPart w:val="DefaultPlaceholder_-1854013440"/>
          </w:placeholder>
        </w:sdtPr>
        <w:sdtContent>
          <w:r w:rsidR="00B43409" w:rsidRPr="00B43409">
            <w:rPr>
              <w:color w:val="000000"/>
            </w:rPr>
            <w:t>[410,421]</w:t>
          </w:r>
        </w:sdtContent>
      </w:sdt>
      <w:r w:rsidRPr="001D228D">
        <w:t>.</w:t>
      </w:r>
    </w:p>
    <w:p w14:paraId="5497E1C1" w14:textId="77777777" w:rsidR="00CE64DB" w:rsidRPr="001D228D" w:rsidRDefault="00CE64DB" w:rsidP="007A2440">
      <w:pPr>
        <w:pStyle w:val="Heading3"/>
        <w:rPr>
          <w:lang w:val="en-GB"/>
        </w:rPr>
      </w:pPr>
      <w:bookmarkStart w:id="72" w:name="_Toc223281695"/>
      <w:r w:rsidRPr="001D228D">
        <w:rPr>
          <w:lang w:val="en-GB"/>
        </w:rPr>
        <w:t>Agreeability across sensor types</w:t>
      </w:r>
      <w:bookmarkEnd w:id="72"/>
    </w:p>
    <w:p w14:paraId="61BC8785" w14:textId="11C969FA" w:rsidR="00CE64DB" w:rsidRPr="001D228D" w:rsidRDefault="00CE64DB" w:rsidP="001150F4">
      <w:r w:rsidRPr="001D228D">
        <w:t xml:space="preserve">Brachial upper-arm oscillometric devices are generally treated as the non-invasive reference in adults at rest </w:t>
      </w:r>
      <w:sdt>
        <w:sdtPr>
          <w:rPr>
            <w:color w:val="000000"/>
          </w:rPr>
          <w:tag w:val="MENDELEY_CITATION_v3_eyJjaXRhdGlvbklEIjoiTUVOREVMRVlfQ0lUQVRJT05fZDEzMzIwMzItMjA0MS00Y2IxLTlmZDAtMWZhODI5MTYxYzc0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2110113573"/>
          <w:placeholder>
            <w:docPart w:val="DefaultPlaceholder_-1854013440"/>
          </w:placeholder>
        </w:sdtPr>
        <w:sdtContent>
          <w:r w:rsidR="00B43409" w:rsidRPr="00B43409">
            <w:rPr>
              <w:color w:val="000000"/>
            </w:rPr>
            <w:t>[407]</w:t>
          </w:r>
        </w:sdtContent>
      </w:sdt>
      <w:r w:rsidRPr="001D228D">
        <w:t xml:space="preserve">. Method-comparison studies and meta-analyses report small mean differences versus invasive arterial pressure for mean arterial pressure, alongside wide individual limits of agreement </w:t>
      </w:r>
      <w:sdt>
        <w:sdtPr>
          <w:rPr>
            <w:color w:val="000000"/>
          </w:rPr>
          <w:tag w:val="MENDELEY_CITATION_v3_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"/>
          <w:id w:val="80649517"/>
          <w:placeholder>
            <w:docPart w:val="DefaultPlaceholder_-1854013440"/>
          </w:placeholder>
        </w:sdtPr>
        <w:sdtContent>
          <w:r w:rsidR="00B43409" w:rsidRPr="00B43409">
            <w:rPr>
              <w:color w:val="000000"/>
            </w:rPr>
            <w:t>[429,430]</w:t>
          </w:r>
        </w:sdtContent>
      </w:sdt>
      <w:r w:rsidRPr="001D228D">
        <w:t xml:space="preserve">. These devices are therefore suitable for group-level analyses and trend tracking, but not strictly interchangeable with intra-arterial measurements at the individual level </w:t>
      </w:r>
      <w:sdt>
        <w:sdtPr>
          <w:rPr>
            <w:color w:val="000000"/>
          </w:rPr>
          <w:tag w:val="MENDELEY_CITATION_v3_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"/>
          <w:id w:val="792101966"/>
          <w:placeholder>
            <w:docPart w:val="DefaultPlaceholder_-1854013440"/>
          </w:placeholder>
        </w:sdtPr>
        <w:sdtContent>
          <w:r w:rsidR="00B43409" w:rsidRPr="00B43409">
            <w:rPr>
              <w:color w:val="000000"/>
            </w:rPr>
            <w:t>[429]</w:t>
          </w:r>
        </w:sdtContent>
      </w:sdt>
      <w:r w:rsidRPr="001D228D">
        <w:t>.</w:t>
      </w:r>
    </w:p>
    <w:p w14:paraId="18A7F46D" w14:textId="1ABC4695" w:rsidR="00CE64DB" w:rsidRPr="001D228D" w:rsidRDefault="00CE64DB" w:rsidP="001150F4">
      <w:r w:rsidRPr="001D228D">
        <w:t xml:space="preserve">Within non-invasive techniques, correctly sized upper-arm cuffs typically perform better than wrist cuffs </w:t>
      </w:r>
      <w:sdt>
        <w:sdtPr>
          <w:rPr>
            <w:color w:val="000000"/>
          </w:rPr>
          <w:tag w:val="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"/>
          <w:id w:val="-546368990"/>
          <w:placeholder>
            <w:docPart w:val="DefaultPlaceholder_-1854013440"/>
          </w:placeholder>
        </w:sdtPr>
        <w:sdtContent>
          <w:r w:rsidR="00B43409" w:rsidRPr="00B43409">
            <w:rPr>
              <w:color w:val="000000"/>
            </w:rPr>
            <w:t>[424,431]</w:t>
          </w:r>
        </w:sdtContent>
      </w:sdt>
      <w:r w:rsidRPr="001D228D">
        <w:t xml:space="preserve">. Wrist devices show larger bias and scatter and require careful positioning at heart level and, ideally, device-specific validation against brachial measurements </w:t>
      </w:r>
      <w:sdt>
        <w:sdtPr>
          <w:rPr>
            <w:color w:val="000000"/>
          </w:rPr>
          <w:tag w:val="MENDELEY_CITATION_v3_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"/>
          <w:id w:val="-522777561"/>
          <w:placeholder>
            <w:docPart w:val="DefaultPlaceholder_-1854013440"/>
          </w:placeholder>
        </w:sdtPr>
        <w:sdtContent>
          <w:r w:rsidR="00B43409" w:rsidRPr="00B43409">
            <w:rPr>
              <w:color w:val="000000"/>
            </w:rPr>
            <w:t>[432]</w:t>
          </w:r>
        </w:sdtContent>
      </w:sdt>
      <w:r w:rsidRPr="001D228D">
        <w:t>.</w:t>
      </w:r>
    </w:p>
    <w:p w14:paraId="7E58BDC7" w14:textId="08EFCB0C" w:rsidR="00CE64DB" w:rsidRPr="001D228D" w:rsidRDefault="00CE64DB" w:rsidP="001150F4">
      <w:r w:rsidRPr="001D228D">
        <w:t xml:space="preserve">Finger volume-clamp systems provide beat-to-beat waveforms and track brachial or intra-arterial pressures reasonably at rest </w:t>
      </w:r>
      <w:sdt>
        <w:sdtPr>
          <w:rPr>
            <w:color w:val="000000"/>
          </w:rPr>
          <w:tag w:val="MENDELEY_CITATION_v3_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"/>
          <w:id w:val="-630406690"/>
          <w:placeholder>
            <w:docPart w:val="DefaultPlaceholder_-1854013440"/>
          </w:placeholder>
        </w:sdtPr>
        <w:sdtContent>
          <w:r w:rsidR="00B43409" w:rsidRPr="00B43409">
            <w:rPr>
              <w:color w:val="000000"/>
            </w:rPr>
            <w:t>[412]</w:t>
          </w:r>
        </w:sdtContent>
      </w:sdt>
      <w:r w:rsidRPr="001D228D">
        <w:t xml:space="preserve">. However, individual limits of agreement on the order of ~10–20 mmHg and sensitivity to local vasoconstriction or low perfusion are commonly reported </w:t>
      </w:r>
      <w:sdt>
        <w:sdtPr>
          <w:rPr>
            <w:color w:val="000000"/>
          </w:rPr>
          <w:tag w:val="MENDELEY_CITATION_v3_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"/>
          <w:id w:val="226274107"/>
          <w:placeholder>
            <w:docPart w:val="DefaultPlaceholder_-1854013440"/>
          </w:placeholder>
        </w:sdtPr>
        <w:sdtContent>
          <w:r w:rsidR="00B43409" w:rsidRPr="00B43409">
            <w:rPr>
              <w:color w:val="000000"/>
            </w:rPr>
            <w:t>[413]</w:t>
          </w:r>
        </w:sdtContent>
      </w:sdt>
      <w:r w:rsidRPr="001D228D">
        <w:t>.</w:t>
      </w:r>
    </w:p>
    <w:p w14:paraId="2D7586BC" w14:textId="6081F875" w:rsidR="00CE64DB" w:rsidRPr="001D228D" w:rsidRDefault="00CE64DB" w:rsidP="001150F4">
      <w:r w:rsidRPr="001D228D">
        <w:t xml:space="preserve">For cuffless wearable systems, current evidence indicates modest mean bias versus cuff-based reference in seated or ambulatory users </w:t>
      </w:r>
      <w:sdt>
        <w:sdtPr>
          <w:rPr>
            <w:color w:val="000000"/>
          </w:rPr>
          <w:tag w:val="MENDELEY_CITATION_v3_eyJjaXRhdGlvbklEIjoiTUVOREVMRVlfQ0lUQVRJT05fOTJkNDVlMWEtMzBkMS00MTQzLWFmNmMtNTA0YWU4NDE4NmQ2IiwicHJvcGVydGllcyI6eyJub3RlSW5kZXgiOjB9LCJpc0VkaXRlZCI6ZmFsc2UsIm1hbnVhbE92ZXJyaWRlIjp7ImNpdGVwcm9jVGV4dCI6Ils0MThd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XX0="/>
          <w:id w:val="-2104409010"/>
          <w:placeholder>
            <w:docPart w:val="DefaultPlaceholder_-1854013440"/>
          </w:placeholder>
        </w:sdtPr>
        <w:sdtContent>
          <w:r w:rsidR="00B43409" w:rsidRPr="00B43409">
            <w:rPr>
              <w:color w:val="000000"/>
            </w:rPr>
            <w:t>[418]</w:t>
          </w:r>
        </w:sdtContent>
      </w:sdt>
      <w:r w:rsidRPr="001D228D">
        <w:t xml:space="preserve">. Between-device and between-study heterogeneity is high, and limits of agreement often exceed usual interchangeability criteria </w:t>
      </w:r>
      <w:sdt>
        <w:sdtPr>
          <w:rPr>
            <w:color w:val="000000"/>
          </w:rPr>
          <w:tag w:val="MENDELEY_CITATION_v3_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"/>
          <w:id w:val="-911848954"/>
          <w:placeholder>
            <w:docPart w:val="DefaultPlaceholder_-1854013440"/>
          </w:placeholder>
        </w:sdtPr>
        <w:sdtContent>
          <w:r w:rsidR="00B43409" w:rsidRPr="00B43409">
            <w:rPr>
              <w:color w:val="000000"/>
            </w:rPr>
            <w:t>[405,433]</w:t>
          </w:r>
        </w:sdtContent>
      </w:sdt>
      <w:r w:rsidRPr="001D228D">
        <w:t>. When reporting BP outcomes, it is therefore useful to specify device type, body site, calibration procedure and posture, and to treat different sensor types as related but non-equivalent measures unless equivalence has been demonstrated for the protocol in question.</w:t>
      </w:r>
    </w:p>
    <w:p w14:paraId="10BEB57D" w14:textId="77777777" w:rsidR="00CE64DB" w:rsidRPr="001D228D" w:rsidRDefault="00CE64DB" w:rsidP="007A2440">
      <w:pPr>
        <w:pStyle w:val="Heading3"/>
        <w:rPr>
          <w:lang w:val="en-GB"/>
        </w:rPr>
      </w:pPr>
      <w:bookmarkStart w:id="73" w:name="_Toc211009225"/>
      <w:bookmarkStart w:id="74" w:name="_Toc223281696"/>
      <w:r w:rsidRPr="001D228D">
        <w:rPr>
          <w:lang w:val="en-GB"/>
        </w:rPr>
        <w:t>Known confounders and modifiers</w:t>
      </w:r>
      <w:bookmarkEnd w:id="73"/>
      <w:bookmarkEnd w:id="74"/>
    </w:p>
    <w:p w14:paraId="7F45320E" w14:textId="77777777" w:rsidR="00CE64DB" w:rsidRPr="001D228D" w:rsidRDefault="00CE64DB" w:rsidP="001150F4">
      <w:r w:rsidRPr="001D228D">
        <w:t xml:space="preserve">Blood pressure is sensitive to intrinsic regulatory rhythms and to experimental conditions that affect vascular tone, volume status, or measurement technique. </w:t>
      </w:r>
    </w:p>
    <w:p w14:paraId="1C9E4564" w14:textId="7955E078" w:rsidR="00CE64DB" w:rsidRPr="001D228D" w:rsidRDefault="00CE64DB" w:rsidP="001150F4">
      <w:r w:rsidRPr="001D228D">
        <w:rPr>
          <w:b/>
          <w:bCs/>
        </w:rPr>
        <w:t>Circadian influences</w:t>
      </w:r>
      <w:r w:rsidRPr="001D228D">
        <w:rPr>
          <w:rStyle w:val="Strong"/>
        </w:rPr>
        <w:t xml:space="preserve">. </w:t>
      </w:r>
      <w:r w:rsidRPr="001D228D">
        <w:t xml:space="preserve">Blood pressure exhibits a pronounced 24-h rhythm, with daytime values typically 10–20 % higher than nighttime pressures (“dipping”) and a characteristic morning surge after waking </w:t>
      </w:r>
      <w:sdt>
        <w:sdtPr>
          <w:rPr>
            <w:color w:val="000000"/>
          </w:rPr>
          <w:tag w:val="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"/>
          <w:id w:val="-569118808"/>
          <w:placeholder>
            <w:docPart w:val="DefaultPlaceholder_-1854013440"/>
          </w:placeholder>
        </w:sdtPr>
        <w:sdtContent>
          <w:r w:rsidR="00B43409" w:rsidRPr="00B43409">
            <w:rPr>
              <w:color w:val="000000"/>
            </w:rPr>
            <w:t>[434–436]</w:t>
          </w:r>
        </w:sdtContent>
      </w:sdt>
      <w:r w:rsidRPr="001D228D">
        <w:t xml:space="preserve">. Abnormal dipping patterns (non-dipping, reverse dipping) are associated with increased cardiovascular risk, even when mean 24-h BP is similar </w:t>
      </w:r>
      <w:sdt>
        <w:sdtPr>
          <w:rPr>
            <w:color w:val="000000"/>
          </w:rPr>
          <w:tag w:val="MENDELEY_CITATION_v3_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1dfQ=="/>
          <w:id w:val="1414208360"/>
          <w:placeholder>
            <w:docPart w:val="DefaultPlaceholder_-1854013440"/>
          </w:placeholder>
        </w:sdtPr>
        <w:sdtContent>
          <w:r w:rsidR="00B43409" w:rsidRPr="00B43409">
            <w:rPr>
              <w:color w:val="000000"/>
            </w:rPr>
            <w:t>[437,438]</w:t>
          </w:r>
        </w:sdtContent>
      </w:sdt>
      <w:r w:rsidRPr="001D228D">
        <w:t xml:space="preserve">. Irregular sleep–wake schedules, naps, and shift work can blunt or distort these profiles </w:t>
      </w:r>
      <w:sdt>
        <w:sdtPr>
          <w:rPr>
            <w:color w:val="000000"/>
          </w:rPr>
          <w:tag w:val="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"/>
          <w:id w:val="-1947991731"/>
          <w:placeholder>
            <w:docPart w:val="DefaultPlaceholder_-1854013440"/>
          </w:placeholder>
        </w:sdtPr>
        <w:sdtContent>
          <w:r w:rsidR="00B43409" w:rsidRPr="00B43409">
            <w:rPr>
              <w:color w:val="000000"/>
            </w:rPr>
            <w:t>[439,440]</w:t>
          </w:r>
        </w:sdtContent>
      </w:sdt>
      <w:r w:rsidRPr="001D228D">
        <w:t>. Behaviour immediately before measurement (recent walking, posture changes, talking, screen use, cognitive tasks) adds short-term fluctuations on top of the circadian pattern; aligning recording windows to habitual sleep–wake timing and standardising pre-measurement behaviour reduces this variance.</w:t>
      </w:r>
    </w:p>
    <w:p w14:paraId="7ED8BC01" w14:textId="1F10C5B0" w:rsidR="00CE64DB" w:rsidRDefault="00CE64DB" w:rsidP="001150F4">
      <w:r w:rsidRPr="009251E4">
        <w:rPr>
          <w:b/>
          <w:bCs/>
        </w:rPr>
        <w:t>Sex.</w:t>
      </w:r>
      <w:r>
        <w:t xml:space="preserve"> </w:t>
      </w:r>
      <w:r w:rsidRPr="001D228D">
        <w:t xml:space="preserve">Across adulthood, women generally show lower BP than age-matched men until midlife, with convergence or reversal around menopause, reflecting sex-specific trajectories in vascular stiffness, autonomic balance, and the renin–angiotensin–aldosterone system </w:t>
      </w:r>
      <w:sdt>
        <w:sdtPr>
          <w:rPr>
            <w:color w:val="000000"/>
          </w:rPr>
          <w:tag w:val="MENDELEY_CITATION_v3_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"/>
          <w:id w:val="614874718"/>
          <w:placeholder>
            <w:docPart w:val="DefaultPlaceholder_-1854013440"/>
          </w:placeholder>
        </w:sdtPr>
        <w:sdtContent>
          <w:r w:rsidR="00B43409" w:rsidRPr="00B43409">
            <w:rPr>
              <w:color w:val="000000"/>
            </w:rPr>
            <w:t>[441]</w:t>
          </w:r>
        </w:sdtContent>
      </w:sdt>
      <w:r w:rsidRPr="001D228D">
        <w:t xml:space="preserve">. </w:t>
      </w:r>
    </w:p>
    <w:p w14:paraId="5BB178C9" w14:textId="320CABAB" w:rsidR="00CE64DB" w:rsidRPr="001D228D" w:rsidRDefault="00CE64DB" w:rsidP="001150F4">
      <w:r w:rsidRPr="001D228D">
        <w:rPr>
          <w:rStyle w:val="Strong"/>
        </w:rPr>
        <w:t xml:space="preserve">Sex hormones and reproductive status. </w:t>
      </w:r>
      <w:r w:rsidRPr="001D228D">
        <w:t>Oestrogen tend</w:t>
      </w:r>
      <w:r>
        <w:t>s</w:t>
      </w:r>
      <w:r w:rsidRPr="001D228D">
        <w:t xml:space="preserve"> to promote vasodilation and lower BP via endothelial nitric oxide and neurohumoral modulation, whereas progestins and androgens can favour higher vascular tone </w:t>
      </w:r>
      <w:sdt>
        <w:sdtPr>
          <w:rPr>
            <w:color w:val="000000"/>
          </w:rPr>
          <w:tag w:val="MENDELEY_CITATION_v3_eyJjaXRhdGlvbklEIjoiTUVOREVMRVlfQ0lUQVRJT05fYjE0OWNiZTItNjI4ZC00NDk3LWI2MzctYjAwNjQzYmRjM2ZlIiwicHJvcGVydGllcyI6eyJub3RlSW5kZXgiOjB9LCJpc0VkaXRlZCI6ZmFsc2UsIm1hbnVhbE92ZXJyaWRlIjp7ImNpdGVwcm9jVGV4dCI6Ils0NDJd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
          <w:id w:val="846445175"/>
          <w:placeholder>
            <w:docPart w:val="DefaultPlaceholder_-1854013440"/>
          </w:placeholder>
        </w:sdtPr>
        <w:sdtContent>
          <w:r w:rsidR="00B43409" w:rsidRPr="00B43409">
            <w:rPr>
              <w:color w:val="000000"/>
            </w:rPr>
            <w:t>[442]</w:t>
          </w:r>
        </w:sdtContent>
      </w:sdt>
      <w:r w:rsidRPr="001D228D">
        <w:t xml:space="preserve">. Combined </w:t>
      </w:r>
      <w:r>
        <w:t>oral contraceptive</w:t>
      </w:r>
      <w:r w:rsidRPr="001D228D">
        <w:t xml:space="preserve"> use is associated with modest but significant elevations in BP and </w:t>
      </w:r>
      <w:r>
        <w:t xml:space="preserve">a </w:t>
      </w:r>
      <w:r w:rsidRPr="001D228D">
        <w:t xml:space="preserve">higher risk of developing hypertension in meta-analyses and large cohort studies </w:t>
      </w:r>
      <w:sdt>
        <w:sdtPr>
          <w:rPr>
            <w:color w:val="000000"/>
          </w:rPr>
          <w:tag w:val="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"/>
          <w:id w:val="-1648348508"/>
          <w:placeholder>
            <w:docPart w:val="DefaultPlaceholder_-1854013440"/>
          </w:placeholder>
        </w:sdtPr>
        <w:sdtContent>
          <w:r w:rsidR="00B43409" w:rsidRPr="00B43409">
            <w:rPr>
              <w:color w:val="000000"/>
            </w:rPr>
            <w:t>[443,444]</w:t>
          </w:r>
        </w:sdtContent>
      </w:sdt>
      <w:r w:rsidRPr="001D228D">
        <w:t xml:space="preserve">. Around menopause, declining </w:t>
      </w:r>
      <w:r>
        <w:t>oestrogen</w:t>
      </w:r>
      <w:r w:rsidRPr="001D228D">
        <w:t xml:space="preserve"> and increasing arterial stiffness contribute to steeper age-related rises in systolic and pulse pressure in women than in men </w:t>
      </w:r>
      <w:sdt>
        <w:sdtPr>
          <w:rPr>
            <w:color w:val="000000"/>
          </w:rPr>
          <w:tag w:val="MENDELEY_CITATION_v3_eyJjaXRhdGlvbklEIjoiTUVOREVMRVlfQ0lUQVRJT05fYTk3Yjg3YjUtMGE5Ny00NTRjLWI5ZjAtMGMwODYwY2MxMTI3IiwicHJvcGVydGllcyI6eyJub3RlSW5kZXgiOjB9LCJpc0VkaXRlZCI6ZmFsc2UsIm1hbnVhbE92ZXJyaWRlIjp7ImNpdGVwcm9jVGV4dCI6Ils0NDJd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
          <w:id w:val="-542451733"/>
          <w:placeholder>
            <w:docPart w:val="DefaultPlaceholder_-1854013440"/>
          </w:placeholder>
        </w:sdtPr>
        <w:sdtContent>
          <w:r w:rsidR="00B43409" w:rsidRPr="00B43409">
            <w:rPr>
              <w:color w:val="000000"/>
            </w:rPr>
            <w:t>[442]</w:t>
          </w:r>
        </w:sdtContent>
      </w:sdt>
      <w:r w:rsidRPr="001D228D">
        <w:t>. Accurate documentation of sex, menstrual or menopausal status, and hormonal contraception type and duration is therefore essential for cross-participant comparisons.</w:t>
      </w:r>
    </w:p>
    <w:p w14:paraId="42738BC3" w14:textId="4075F4AF" w:rsidR="00CE64DB" w:rsidRPr="001D228D" w:rsidRDefault="00CE64DB" w:rsidP="001150F4">
      <w:r w:rsidRPr="001D228D">
        <w:rPr>
          <w:rStyle w:val="Strong"/>
        </w:rPr>
        <w:t xml:space="preserve">Age. </w:t>
      </w:r>
      <w:r w:rsidRPr="001D228D">
        <w:t xml:space="preserve">Ageing increases large-artery stiffness, widens pulse pressure, and attenuates baroreflex sensitivity, leading to higher systolic and pulse pressures and less efficient buffering of acute BP changes </w:t>
      </w:r>
      <w:sdt>
        <w:sdtPr>
          <w:rPr>
            <w:color w:val="000000"/>
          </w:rPr>
          <w:tag w:val="MENDELEY_CITATION_v3_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"/>
          <w:id w:val="1520661548"/>
          <w:placeholder>
            <w:docPart w:val="DefaultPlaceholder_-1854013440"/>
          </w:placeholder>
        </w:sdtPr>
        <w:sdtContent>
          <w:r w:rsidR="00B43409" w:rsidRPr="00B43409">
            <w:rPr>
              <w:color w:val="000000"/>
            </w:rPr>
            <w:t>[445,446]</w:t>
          </w:r>
        </w:sdtContent>
      </w:sdt>
      <w:r w:rsidRPr="001D228D">
        <w:t xml:space="preserve">. Older adults exhibit greater seasonal and thermal influences on BP and are more prone to orthostatic instability compared with young adults </w:t>
      </w:r>
      <w:sdt>
        <w:sdtPr>
          <w:rPr>
            <w:color w:val="000000"/>
          </w:rPr>
          <w:tag w:val="MENDELEY_CITATION_v3_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"/>
          <w:id w:val="1010573349"/>
          <w:placeholder>
            <w:docPart w:val="DefaultPlaceholder_-1854013440"/>
          </w:placeholder>
        </w:sdtPr>
        <w:sdtContent>
          <w:r w:rsidR="00B43409" w:rsidRPr="00B43409">
            <w:rPr>
              <w:color w:val="000000"/>
            </w:rPr>
            <w:t>[447]</w:t>
          </w:r>
        </w:sdtContent>
      </w:sdt>
      <w:r w:rsidRPr="001D228D">
        <w:t>. Age group and vascular risk profile thus shape both baseline levels and responses to thermal or postural perturbations.</w:t>
      </w:r>
    </w:p>
    <w:p w14:paraId="65C5A263" w14:textId="0B6F82CC" w:rsidR="00CE64DB" w:rsidRPr="001D228D" w:rsidRDefault="00CE64DB" w:rsidP="001150F4">
      <w:r w:rsidRPr="001D228D">
        <w:rPr>
          <w:rStyle w:val="Strong"/>
        </w:rPr>
        <w:lastRenderedPageBreak/>
        <w:t xml:space="preserve">Fitness and acclimation. </w:t>
      </w:r>
      <w:r w:rsidRPr="001D228D">
        <w:t xml:space="preserve">Regular aerobic training modestly lowers resting BP and reduces BP reactivity to physical and mental stressors, partly through improved endothelial function and autonomic regulation </w:t>
      </w:r>
      <w:sdt>
        <w:sdtPr>
          <w:rPr>
            <w:color w:val="000000"/>
          </w:rPr>
          <w:tag w:val="MENDELEY_CITATION_v3_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"/>
          <w:id w:val="-2000032382"/>
          <w:placeholder>
            <w:docPart w:val="DefaultPlaceholder_-1854013440"/>
          </w:placeholder>
        </w:sdtPr>
        <w:sdtContent>
          <w:r w:rsidR="00B43409" w:rsidRPr="00B43409">
            <w:rPr>
              <w:color w:val="000000"/>
            </w:rPr>
            <w:t>[448]</w:t>
          </w:r>
        </w:sdtContent>
      </w:sdt>
      <w:r w:rsidRPr="001D228D">
        <w:t>. Higher cardiorespiratory fitness is associated with more favourable heart-rate variability and baroreflex indices, indicating greater buffering capacity against acute challenges. Although specific data on heat-acclimation and resting BP in sedentary indoor conditions are limited, training status and recent exercise can shift absolute pressures and should be recorded when comparing groups.</w:t>
      </w:r>
    </w:p>
    <w:p w14:paraId="69F3950A" w14:textId="36256F70" w:rsidR="00CE64DB" w:rsidRPr="001D228D" w:rsidRDefault="00CE64DB" w:rsidP="001150F4">
      <w:r w:rsidRPr="001D228D">
        <w:rPr>
          <w:rStyle w:val="Strong"/>
        </w:rPr>
        <w:t xml:space="preserve">Body composition. </w:t>
      </w:r>
      <w:r w:rsidRPr="001D228D">
        <w:t xml:space="preserve">Higher BMI, central adiposity and visceral fat are consistently associated with higher BP and increased hypertension risk across age groups </w:t>
      </w:r>
      <w:sdt>
        <w:sdtPr>
          <w:rPr>
            <w:color w:val="000000"/>
          </w:rPr>
          <w:tag w:val="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"/>
          <w:id w:val="211313856"/>
          <w:placeholder>
            <w:docPart w:val="DefaultPlaceholder_-1854013440"/>
          </w:placeholder>
        </w:sdtPr>
        <w:sdtContent>
          <w:r w:rsidR="00B43409" w:rsidRPr="00B43409">
            <w:rPr>
              <w:color w:val="000000"/>
            </w:rPr>
            <w:t>[449,450]</w:t>
          </w:r>
        </w:sdtContent>
      </w:sdt>
      <w:r w:rsidRPr="001D228D">
        <w:t xml:space="preserve">. Network meta-analyses show a graded increase in hypertension incidence with higher or rising adiposity trajectories </w:t>
      </w:r>
      <w:sdt>
        <w:sdtPr>
          <w:rPr>
            <w:color w:val="000000"/>
          </w:rPr>
          <w:tag w:val="MENDELEY_CITATION_v3_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"/>
          <w:id w:val="1227729029"/>
          <w:placeholder>
            <w:docPart w:val="DefaultPlaceholder_-1854013440"/>
          </w:placeholder>
        </w:sdtPr>
        <w:sdtContent>
          <w:r w:rsidR="00B43409" w:rsidRPr="00B43409">
            <w:rPr>
              <w:color w:val="000000"/>
            </w:rPr>
            <w:t>[451]</w:t>
          </w:r>
        </w:sdtContent>
      </w:sdt>
      <w:r w:rsidRPr="001D228D">
        <w:t>. Differences in fat distribution (e.g., android vs gynoid) further modulate BP, so anthropometry and, where possible, direct body-composition measures improve interpretability of between-participant differences.</w:t>
      </w:r>
    </w:p>
    <w:p w14:paraId="40A9A21C" w14:textId="7CEDEFCA" w:rsidR="00CE64DB" w:rsidRPr="001D228D" w:rsidRDefault="00CE64DB" w:rsidP="001150F4">
      <w:r w:rsidRPr="001D228D">
        <w:rPr>
          <w:rStyle w:val="Strong"/>
        </w:rPr>
        <w:t xml:space="preserve">Nutrition and hydration. </w:t>
      </w:r>
      <w:r w:rsidRPr="001D228D">
        <w:t xml:space="preserve">Hydration status influences BP by altering plasma volume and autonomic–hormonal responses. Experimental work shows that hypohydration can modify baroreflex control, vascular resistance and BP variability, sometimes lowering resting BP but increasing susceptibility to orthostatic or heat-induced instability </w:t>
      </w:r>
      <w:sdt>
        <w:sdtPr>
          <w:rPr>
            <w:color w:val="000000"/>
          </w:rPr>
          <w:tag w:val="MENDELEY_CITATION_v3_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"/>
          <w:id w:val="217020333"/>
          <w:placeholder>
            <w:docPart w:val="DefaultPlaceholder_-1854013440"/>
          </w:placeholder>
        </w:sdtPr>
        <w:sdtContent>
          <w:r w:rsidR="00B43409" w:rsidRPr="00B43409">
            <w:rPr>
              <w:color w:val="000000"/>
            </w:rPr>
            <w:t>[452]</w:t>
          </w:r>
        </w:sdtContent>
      </w:sdt>
      <w:r w:rsidRPr="001D228D">
        <w:t>.</w:t>
      </w:r>
      <w:r w:rsidRPr="001D228D">
        <w:br/>
        <w:t xml:space="preserve">Caffeine induces a small but significant transient rise in systolic and diastolic BP (~2–4 mmHg) over several hours, particularly in non-habitual consumers and in individuals with hypertension </w:t>
      </w:r>
      <w:sdt>
        <w:sdtPr>
          <w:rPr>
            <w:color w:val="000000"/>
          </w:rPr>
          <w:tag w:val="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"/>
          <w:id w:val="-51321629"/>
          <w:placeholder>
            <w:docPart w:val="DefaultPlaceholder_-1854013440"/>
          </w:placeholder>
        </w:sdtPr>
        <w:sdtContent>
          <w:r w:rsidR="00B43409" w:rsidRPr="00B43409">
            <w:rPr>
              <w:color w:val="000000"/>
            </w:rPr>
            <w:t>[453–455]</w:t>
          </w:r>
        </w:sdtContent>
      </w:sdt>
      <w:r w:rsidRPr="001D228D">
        <w:t xml:space="preserve">. Energy drinks combining caffeine with other stimulants elicit somewhat larger short-term BP increases </w:t>
      </w:r>
      <w:sdt>
        <w:sdtPr>
          <w:rPr>
            <w:color w:val="000000"/>
          </w:rPr>
          <w:tag w:val="MENDELEY_CITATION_v3_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"/>
          <w:id w:val="-1303075470"/>
          <w:placeholder>
            <w:docPart w:val="DefaultPlaceholder_-1854013440"/>
          </w:placeholder>
        </w:sdtPr>
        <w:sdtContent>
          <w:r w:rsidR="00B43409" w:rsidRPr="00B43409">
            <w:rPr>
              <w:color w:val="000000"/>
            </w:rPr>
            <w:t>[456,457]</w:t>
          </w:r>
        </w:sdtContent>
      </w:sdt>
      <w:r w:rsidRPr="001D228D">
        <w:t xml:space="preserve"> Meal timing and composition (e.g., large carbohydrate loads) can also induce postprandial hypotension or variability, especially in older or autonomically impaired individuals. Standardising or documenting recent fluid intake, meals, and stimulant use is therefore important.</w:t>
      </w:r>
    </w:p>
    <w:p w14:paraId="46BCE137" w14:textId="309D78B4" w:rsidR="00CE64DB" w:rsidRPr="001D228D" w:rsidRDefault="00CE64DB" w:rsidP="001150F4">
      <w:r w:rsidRPr="001D228D">
        <w:rPr>
          <w:rStyle w:val="Strong"/>
        </w:rPr>
        <w:t xml:space="preserve">Neurophysiological and psychological factors. </w:t>
      </w:r>
      <w:r w:rsidRPr="001D228D">
        <w:t xml:space="preserve">Acute psychological stress, time pressure and emotional arousal typically raise BP via sympathetic activation and vasoconstriction. Laboratory studies show substantial inter-individual differences in BP reactivity to mental-stress tasks, and exaggerated reactivity predicts incident hypertension and cardiovascular events </w:t>
      </w:r>
      <w:sdt>
        <w:sdtPr>
          <w:rPr>
            <w:color w:val="000000"/>
          </w:rPr>
          <w:tag w:val="MENDELEY_CITATION_v3_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"/>
          <w:id w:val="-898743820"/>
          <w:placeholder>
            <w:docPart w:val="DefaultPlaceholder_-1854013440"/>
          </w:placeholder>
        </w:sdtPr>
        <w:sdtContent>
          <w:r w:rsidR="00B43409" w:rsidRPr="00B43409">
            <w:rPr>
              <w:color w:val="000000"/>
            </w:rPr>
            <w:t>[458,459]</w:t>
          </w:r>
        </w:sdtContent>
      </w:sdt>
      <w:r w:rsidRPr="001D228D">
        <w:t>. Everyday cognitive load (e.g., demanding tasks during measurement) and affective state can therefore modulate BP independently of the thermal environment.</w:t>
      </w:r>
    </w:p>
    <w:p w14:paraId="5718DB0A" w14:textId="248A05CD" w:rsidR="00CE64DB" w:rsidRPr="001D228D" w:rsidRDefault="00CE64DB" w:rsidP="001150F4">
      <w:r w:rsidRPr="001D228D">
        <w:rPr>
          <w:rStyle w:val="Strong"/>
        </w:rPr>
        <w:t xml:space="preserve">Neurodivergent populations. </w:t>
      </w:r>
      <w:r w:rsidRPr="001D228D">
        <w:t xml:space="preserve">Neurodevelopmental conditions such as autism spectrum disorder (ASD) and ADHD are associated with atypical cardiovascular autonomic regulation. In ASD, autonomic-clinic cohorts report intermittent neuro-cardiovascular dysfunction affecting both heart rate and blood pressure, including postural tachycardia, vasovagal syncope and orthostatic hypotension, indicating impaired sympathetic vasoconstriction and baroreflex control </w:t>
      </w:r>
      <w:sdt>
        <w:sdtPr>
          <w:rPr>
            <w:color w:val="000000"/>
          </w:rPr>
          <w:tag w:val="MENDELEY_CITATION_v3_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"/>
          <w:id w:val="983199418"/>
          <w:placeholder>
            <w:docPart w:val="DefaultPlaceholder_-1854013440"/>
          </w:placeholder>
        </w:sdtPr>
        <w:sdtContent>
          <w:r w:rsidR="00B43409" w:rsidRPr="00B43409">
            <w:rPr>
              <w:color w:val="000000"/>
            </w:rPr>
            <w:t>[379,460]</w:t>
          </w:r>
        </w:sdtContent>
      </w:sdt>
      <w:r w:rsidRPr="001D228D">
        <w:t xml:space="preserve">. In ADHD, ambulatory blood-pressure monitoring studies and stimulant-treatment trials show small but consistent increases in daytime systolic BP and heart rate, and a higher prevalence of elevated BP or hypertension compared with peers </w:t>
      </w:r>
      <w:sdt>
        <w:sdtPr>
          <w:rPr>
            <w:color w:val="000000"/>
          </w:rPr>
          <w:tag w:val="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"/>
          <w:id w:val="-1937663284"/>
          <w:placeholder>
            <w:docPart w:val="DefaultPlaceholder_-1854013440"/>
          </w:placeholder>
        </w:sdtPr>
        <w:sdtContent>
          <w:r w:rsidR="00B43409" w:rsidRPr="00B43409">
            <w:rPr>
              <w:color w:val="000000"/>
            </w:rPr>
            <w:t>[461,462]</w:t>
          </w:r>
        </w:sdtContent>
      </w:sdt>
      <w:r w:rsidRPr="001D228D">
        <w:t>. While detailed circadian BP profiles in neurodivergent adults remain limited, these findings suggest that both baseline BP and its responses to posture, stress or medication may diverge from neurotypical patterns and should be explicitly reported.</w:t>
      </w:r>
    </w:p>
    <w:p w14:paraId="6F97E339" w14:textId="57CE9D1D" w:rsidR="00CE64DB" w:rsidRPr="001D228D" w:rsidRDefault="00CE64DB" w:rsidP="001150F4">
      <w:r w:rsidRPr="001D228D">
        <w:rPr>
          <w:rStyle w:val="Strong"/>
        </w:rPr>
        <w:t xml:space="preserve">Underlying medical conditions. </w:t>
      </w:r>
      <w:r w:rsidRPr="001D228D">
        <w:t xml:space="preserve">Chronic kidney disease, diabetes, obstructive sleep apnoea and established hypertension all alter BP regulation, often disrupting normal dipping patterns and increasing BP variability </w:t>
      </w:r>
      <w:sdt>
        <w:sdtPr>
          <w:rPr>
            <w:color w:val="000000"/>
          </w:rPr>
          <w:tag w:val="MENDELEY_CITATION_v3_eyJjaXRhdGlvbklEIjoiTUVOREVMRVlfQ0lUQVRJT05fYWY0MGJjMTUtMGQwNi00NmZiLTg2ZDQtMzIzYzUzMjc3NWVlIiwicHJvcGVydGllcyI6eyJub3RlSW5kZXgiOjB9LCJpc0VkaXRlZCI6ZmFsc2UsIm1hbnVhbE92ZXJyaWRlIjp7ImNpdGVwcm9jVGV4dCI6Ils0MzgsNDYzXSIsImlzTWFudWFsbHlPdmVycmlkZGVuIjpmYWxzZSwibWFudWFsT3ZlcnJpZGVUZXh0IjoiIn0sImNpdGF0aW9uSXRlbXMiOlt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"/>
          <w:id w:val="1146472282"/>
          <w:placeholder>
            <w:docPart w:val="DefaultPlaceholder_-1854013440"/>
          </w:placeholder>
        </w:sdtPr>
        <w:sdtContent>
          <w:r w:rsidR="00B43409" w:rsidRPr="00B43409">
            <w:rPr>
              <w:color w:val="000000"/>
            </w:rPr>
            <w:t>[438,463]</w:t>
          </w:r>
        </w:sdtContent>
      </w:sdt>
      <w:r w:rsidRPr="001D228D">
        <w:t xml:space="preserve"> . Autonomic neuropathies and neurodegenerative disorders can produce orthostatic hypotension or labile BP through impaired baroreflex and sympathetic control </w:t>
      </w:r>
      <w:sdt>
        <w:sdtPr>
          <w:rPr>
            <w:color w:val="000000"/>
          </w:rPr>
          <w:tag w:val="MENDELEY_CITATION_v3_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"/>
          <w:id w:val="-957015407"/>
          <w:placeholder>
            <w:docPart w:val="DefaultPlaceholder_-1854013440"/>
          </w:placeholder>
        </w:sdtPr>
        <w:sdtContent>
          <w:r w:rsidR="00B43409" w:rsidRPr="00B43409">
            <w:rPr>
              <w:color w:val="000000"/>
            </w:rPr>
            <w:t>[446]</w:t>
          </w:r>
        </w:sdtContent>
      </w:sdt>
      <w:r w:rsidRPr="001D228D">
        <w:t>. Recording major cardiovascular and autonomic diagnoses, and keeping medication regimens stable where possible, is important for interpretation.</w:t>
      </w:r>
    </w:p>
    <w:p w14:paraId="30F504AF" w14:textId="5E5ABF2E" w:rsidR="00CE64DB" w:rsidRPr="001D228D" w:rsidRDefault="00CE64DB" w:rsidP="001150F4">
      <w:r w:rsidRPr="001D228D">
        <w:rPr>
          <w:rStyle w:val="Strong"/>
        </w:rPr>
        <w:t xml:space="preserve">Measurement artefacts. </w:t>
      </w:r>
      <w:r w:rsidRPr="001D228D">
        <w:t xml:space="preserve">Procedural factors and device characteristics can introduce variability comparable to physiological effects. Common issues include incorrect cuff size, cuff placement over clothing, arm not supported at heart level, talking during measurement, insufficient seated rest, and recent activity </w:t>
      </w:r>
      <w:sdt>
        <w:sdtPr>
          <w:rPr>
            <w:color w:val="000000"/>
          </w:rPr>
          <w:tag w:val="MENDELEY_CITATION_v3_eyJjaXRhdGlvbklEIjoiTUVOREVMRVlfQ0lUQVRJT05fZjI1ZTY0YzMtNDExZC00ZTRmLWIyNGQtYTY2NmU4NWRmY2U1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2014337488"/>
          <w:placeholder>
            <w:docPart w:val="DefaultPlaceholder_-1854013440"/>
          </w:placeholder>
        </w:sdtPr>
        <w:sdtContent>
          <w:r w:rsidR="00B43409" w:rsidRPr="00B43409">
            <w:rPr>
              <w:color w:val="000000"/>
            </w:rPr>
            <w:t>[407]</w:t>
          </w:r>
        </w:sdtContent>
      </w:sdt>
      <w:r w:rsidRPr="001D228D">
        <w:t>. Device-specific calibration, repeated readings after a standardised rest period, and consistent posture and arm support are essential to reduce artefactual variance. Reporting device type, measurement protocol and quality-control steps alongside BP outcomes improves reproducibility and cross-study comparison.</w:t>
      </w:r>
    </w:p>
    <w:p w14:paraId="42C17488" w14:textId="77777777" w:rsidR="00CE64DB" w:rsidRPr="001D228D" w:rsidRDefault="00CE64DB" w:rsidP="007A2440">
      <w:pPr>
        <w:pStyle w:val="Heading3"/>
        <w:rPr>
          <w:lang w:val="en-GB"/>
        </w:rPr>
      </w:pPr>
      <w:bookmarkStart w:id="75" w:name="_Toc211009226"/>
      <w:bookmarkStart w:id="76" w:name="_Toc223281697"/>
      <w:r w:rsidRPr="001D228D">
        <w:rPr>
          <w:lang w:val="en-GB"/>
        </w:rPr>
        <w:lastRenderedPageBreak/>
        <w:t>Data handling methods</w:t>
      </w:r>
      <w:bookmarkEnd w:id="75"/>
      <w:bookmarkEnd w:id="76"/>
    </w:p>
    <w:p w14:paraId="12A05FC6" w14:textId="77777777" w:rsidR="00CE64DB" w:rsidRPr="001D228D" w:rsidRDefault="00CE64DB" w:rsidP="007A2440">
      <w:pPr>
        <w:pStyle w:val="Heading4"/>
        <w:rPr>
          <w:lang w:val="en-GB"/>
        </w:rPr>
      </w:pPr>
      <w:r w:rsidRPr="001D228D">
        <w:rPr>
          <w:lang w:val="en-GB"/>
        </w:rPr>
        <w:t>Sensor calibration</w:t>
      </w:r>
    </w:p>
    <w:p w14:paraId="2D86E4A8" w14:textId="706D8563" w:rsidR="00CE64DB" w:rsidRPr="001D228D" w:rsidRDefault="00CE64DB" w:rsidP="001150F4">
      <w:r w:rsidRPr="00A32968">
        <w:t>Modern aneroid and oscillometric sphygmomanometers are calibrated against reference manometers. When correctly calibrated and maintained, an accuracy within ±3 mmHg is expected, with digital devices often calibrated against a reference manometer having a strict accuracy of ±0.1 mmHg</w:t>
      </w:r>
      <w:r>
        <w:t xml:space="preserve"> </w:t>
      </w:r>
      <w:sdt>
        <w:sdtPr>
          <w:rPr>
            <w:color w:val="000000"/>
          </w:rPr>
          <w:tag w:val="MENDELEY_CITATION_v3_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"/>
          <w:id w:val="2098199879"/>
          <w:placeholder>
            <w:docPart w:val="DefaultPlaceholder_-1854013440"/>
          </w:placeholder>
        </w:sdtPr>
        <w:sdtContent>
          <w:r w:rsidR="00B43409" w:rsidRPr="00B43409">
            <w:rPr>
              <w:color w:val="000000"/>
            </w:rPr>
            <w:t>[464]</w:t>
          </w:r>
        </w:sdtContent>
      </w:sdt>
      <w:r w:rsidRPr="001D228D">
        <w:t xml:space="preserve">. At the device/clinical level, the AAMI/ESH/ISO Universal Standard (ISO 81060-2 </w:t>
      </w:r>
      <w:sdt>
        <w:sdtPr>
          <w:rPr>
            <w:color w:val="000000"/>
          </w:rPr>
          <w:tag w:val="MENDELEY_CITATION_v3_eyJjaXRhdGlvbklEIjoiTUVOREVMRVlfQ0lUQVRJT05fZWNkMDA4MzItZDk3NS00Mzg2LWIyOTEtYzM0NjY0Y2IxOTcyIiwicHJvcGVydGllcyI6eyJub3RlSW5kZXgiOjB9LCJpc0VkaXRlZCI6ZmFsc2UsIm1hbnVhbE92ZXJyaWRlIjp7ImNpdGVwcm9jVGV4dCI6Ils0NjVd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
          <w:id w:val="-398753701"/>
          <w:placeholder>
            <w:docPart w:val="DefaultPlaceholder_-1854013440"/>
          </w:placeholder>
        </w:sdtPr>
        <w:sdtContent>
          <w:r w:rsidR="00B43409" w:rsidRPr="00B43409">
            <w:rPr>
              <w:color w:val="000000"/>
            </w:rPr>
            <w:t>[465]</w:t>
          </w:r>
        </w:sdtContent>
      </w:sdt>
      <w:r w:rsidRPr="001D228D">
        <w:t xml:space="preserve">) specifies accuracy criteria and validation procedures for non-invasive intermittent BP devices, forming the basis for most commercial upper-arm and wrist monitors and their periodic verification against reference methods </w:t>
      </w:r>
      <w:sdt>
        <w:sdtPr>
          <w:rPr>
            <w:color w:val="000000"/>
          </w:rPr>
          <w:tag w:val="MENDELEY_CITATION_v3_eyJjaXRhdGlvbklEIjoiTUVOREVMRVlfQ0lUQVRJT05fYWE2NzJhZDUtZDUwMS00M2EzLWI0ZDAtMjc1NzI5ODYxYjQxIiwicHJvcGVydGllcyI6eyJub3RlSW5kZXgiOjB9LCJpc0VkaXRlZCI6ZmFsc2UsIm1hbnVhbE92ZXJyaWRlIjp7ImNpdGVwcm9jVGV4dCI6Ils0NjZd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
          <w:id w:val="665677361"/>
          <w:placeholder>
            <w:docPart w:val="DefaultPlaceholder_-1854013440"/>
          </w:placeholder>
        </w:sdtPr>
        <w:sdtContent>
          <w:r w:rsidR="00B43409" w:rsidRPr="00B43409">
            <w:rPr>
              <w:color w:val="000000"/>
            </w:rPr>
            <w:t>[466]</w:t>
          </w:r>
        </w:sdtContent>
      </w:sdt>
      <w:r w:rsidRPr="001D228D">
        <w:t xml:space="preserve">. </w:t>
      </w:r>
      <w:r w:rsidRPr="00F74261">
        <w:t>Continuous finger volume-clamp systems and radial applanation tonometry require calibration to brachial SBP/DBP at baseline, along with hydrostatic (height) correction between the heart and measurement site, as differences in arm position significantly alter pressures</w:t>
      </w:r>
      <w:r w:rsidRPr="001D228D">
        <w:t xml:space="preserve"> </w:t>
      </w:r>
      <w:sdt>
        <w:sdtPr>
          <w:rPr>
            <w:color w:val="000000"/>
          </w:rPr>
          <w:tag w:val="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"/>
          <w:id w:val="-1101640811"/>
          <w:placeholder>
            <w:docPart w:val="DefaultPlaceholder_-1854013440"/>
          </w:placeholder>
        </w:sdtPr>
        <w:sdtContent>
          <w:r w:rsidR="00B43409" w:rsidRPr="00B43409">
            <w:rPr>
              <w:color w:val="000000"/>
            </w:rPr>
            <w:t>[412,413,415]</w:t>
          </w:r>
        </w:sdtContent>
      </w:sdt>
      <w:r w:rsidRPr="001D228D">
        <w:t xml:space="preserve">. </w:t>
      </w:r>
      <w:r w:rsidRPr="0025137D">
        <w:t>Cuffless and wearable devices generally depend on one or more reference measurements with a validated brachial cuff to initialize the mapping between pulse-wave features (such as pulse transit time) and absolute BP</w:t>
      </w:r>
      <w:r>
        <w:t xml:space="preserve"> </w:t>
      </w:r>
      <w:sdt>
        <w:sdtPr>
          <w:rPr>
            <w:color w:val="000000"/>
          </w:rPr>
          <w:tag w:val="MENDELEY_CITATION_v3_eyJjaXRhdGlvbklEIjoiTUVOREVMRVlfQ0lUQVRJT05fNzcyZDU4ZTQtMDhiMi00YjRlLTlhMDctNGY4ZTk0M2I3OTIw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
          <w:id w:val="-1319721867"/>
          <w:placeholder>
            <w:docPart w:val="DefaultPlaceholder_-1854013440"/>
          </w:placeholder>
        </w:sdtPr>
        <w:sdtContent>
          <w:r w:rsidR="00B43409" w:rsidRPr="00B43409">
            <w:rPr>
              <w:color w:val="000000"/>
            </w:rPr>
            <w:t>[405]</w:t>
          </w:r>
        </w:sdtContent>
      </w:sdt>
      <w:r>
        <w:t xml:space="preserve">. </w:t>
      </w:r>
      <w:r w:rsidRPr="0025137D">
        <w:t>Because of continuous physiological changes and vascular aging, this calibration must be repeated at defined intervals for the device to accurately track BP over time</w:t>
      </w:r>
      <w:r>
        <w:t xml:space="preserve"> </w:t>
      </w:r>
      <w:sdt>
        <w:sdtPr>
          <w:rPr>
            <w:color w:val="000000"/>
          </w:rPr>
          <w:tag w:val="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"/>
          <w:id w:val="518356923"/>
          <w:placeholder>
            <w:docPart w:val="DefaultPlaceholder_-1854013440"/>
          </w:placeholder>
        </w:sdtPr>
        <w:sdtContent>
          <w:r w:rsidR="00B43409" w:rsidRPr="00B43409">
            <w:rPr>
              <w:color w:val="000000"/>
            </w:rPr>
            <w:t>[430,467,468]</w:t>
          </w:r>
        </w:sdtContent>
      </w:sdt>
      <w:r w:rsidRPr="001D228D">
        <w:t>.</w:t>
      </w:r>
    </w:p>
    <w:p w14:paraId="2AFEBD93" w14:textId="77777777" w:rsidR="00CE64DB" w:rsidRPr="001D228D" w:rsidRDefault="00CE64DB" w:rsidP="007A2440">
      <w:pPr>
        <w:pStyle w:val="Heading4"/>
        <w:rPr>
          <w:lang w:val="en-GB"/>
        </w:rPr>
      </w:pPr>
      <w:r w:rsidRPr="001D228D">
        <w:rPr>
          <w:lang w:val="en-GB"/>
        </w:rPr>
        <w:t>Data cleaning and correction</w:t>
      </w:r>
    </w:p>
    <w:p w14:paraId="09BB8141" w14:textId="68357E88" w:rsidR="00CE64DB" w:rsidRPr="001D228D" w:rsidRDefault="00CE64DB" w:rsidP="001150F4">
      <w:r w:rsidRPr="00684DA8">
        <w:t>For intermittent brachial measurements, BP is typically recorded as three consecutive readings, spaced 1 to 2 minutes apart, following at least 5 minutes of seated rest</w:t>
      </w:r>
      <w:r w:rsidRPr="001D228D">
        <w:t xml:space="preserve"> </w:t>
      </w:r>
      <w:sdt>
        <w:sdtPr>
          <w:rPr>
            <w:color w:val="000000"/>
          </w:rPr>
          <w:tag w:val="MENDELEY_CITATION_v3_eyJjaXRhdGlvbklEIjoiTUVOREVMRVlfQ0lUQVRJT05fYjg2Y2MzZTEtNjgxYi00ZGFiLThhOGMtYzg0MGJjYzk2Nzc2IiwicHJvcGVydGllcyI6eyJub3RlSW5kZXgiOjB9LCJpc0VkaXRlZCI6ZmFsc2UsIm1hbnVhbE92ZXJyaWRlIjp7ImNpdGVwcm9jVGV4dCI6Ils0Njld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
          <w:id w:val="694195430"/>
          <w:placeholder>
            <w:docPart w:val="DefaultPlaceholder_-1854013440"/>
          </w:placeholder>
        </w:sdtPr>
        <w:sdtContent>
          <w:r w:rsidR="00B43409" w:rsidRPr="00B43409">
            <w:rPr>
              <w:color w:val="000000"/>
            </w:rPr>
            <w:t>[469]</w:t>
          </w:r>
        </w:sdtContent>
      </w:sdt>
      <w:r w:rsidRPr="001D228D">
        <w:t xml:space="preserve">. </w:t>
      </w:r>
      <w:r w:rsidRPr="000117E5">
        <w:t>The arm must be supported at heart level, and both the patient and observer must refrain from talking. Because the first reading is often the highest, the patient's BP is usually recorded as the average of the last two readings; additional measurements are recommended if the first two readings differ by more than 10 mmH</w:t>
      </w:r>
      <w:r>
        <w:t xml:space="preserve"> </w:t>
      </w:r>
      <w:sdt>
        <w:sdtPr>
          <w:rPr>
            <w:color w:val="000000"/>
          </w:rPr>
          <w:tag w:val="MENDELEY_CITATION_v3_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"/>
          <w:id w:val="1812215837"/>
          <w:placeholder>
            <w:docPart w:val="DefaultPlaceholder_-1854013440"/>
          </w:placeholder>
        </w:sdtPr>
        <w:sdtContent>
          <w:r w:rsidR="00B43409" w:rsidRPr="00B43409">
            <w:rPr>
              <w:color w:val="000000"/>
            </w:rPr>
            <w:t>[470]</w:t>
          </w:r>
        </w:sdtContent>
      </w:sdt>
      <w:r>
        <w:t xml:space="preserve">. </w:t>
      </w:r>
      <w:r w:rsidRPr="001D228D">
        <w:t>Readings taken with incorrect cuff size, over clothing, during posture changes, or within 30 min of caffeine or smoking should be excluded or repeated under standardised conditions</w:t>
      </w:r>
      <w:r>
        <w:t xml:space="preserve"> </w:t>
      </w:r>
      <w:sdt>
        <w:sdtPr>
          <w:rPr>
            <w:color w:val="000000"/>
          </w:rPr>
          <w:tag w:val="MENDELEY_CITATION_v3_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"/>
          <w:id w:val="-1379005220"/>
          <w:placeholder>
            <w:docPart w:val="DefaultPlaceholder_-1854013440"/>
          </w:placeholder>
        </w:sdtPr>
        <w:sdtContent>
          <w:r w:rsidR="00B43409" w:rsidRPr="00B43409">
            <w:rPr>
              <w:color w:val="000000"/>
            </w:rPr>
            <w:t>[471]</w:t>
          </w:r>
        </w:sdtContent>
      </w:sdt>
      <w:r w:rsidRPr="001D228D">
        <w:t>.</w:t>
      </w:r>
    </w:p>
    <w:p w14:paraId="795A4DB6" w14:textId="6512818F" w:rsidR="00CE64DB" w:rsidRDefault="00CE64DB" w:rsidP="00AD13AC">
      <w:pPr>
        <w:rPr>
          <w:lang w:val="en-US"/>
        </w:rPr>
      </w:pPr>
      <w:r w:rsidRPr="00E6179E">
        <w:rPr>
          <w:b/>
          <w:bCs/>
        </w:rPr>
        <w:t>Filtering for noise</w:t>
      </w:r>
      <w:r>
        <w:rPr>
          <w:b/>
          <w:bCs/>
        </w:rPr>
        <w:t xml:space="preserve">. </w:t>
      </w:r>
      <w:r w:rsidRPr="002E671E">
        <w:t xml:space="preserve">Because raw blood pressure and biosignals like photoplethysmograms are highly susceptible to baseline wandering, motion </w:t>
      </w:r>
      <w:r>
        <w:t>artefacts</w:t>
      </w:r>
      <w:r w:rsidRPr="002E671E">
        <w:t xml:space="preserve">, and external high-frequency interference, rigorous filtering is essential. </w:t>
      </w:r>
      <w:r w:rsidRPr="00BF047B">
        <w:t>Butterworth filters</w:t>
      </w:r>
      <w:r w:rsidRPr="002E671E">
        <w:t xml:space="preserve"> are extensively used; for instance, applying a low-pass Butterworth filter (e.g., 0.5 to 30 Hz, or specifically a 10 Hz cutoff) effectively removes high-frequency noise and movement </w:t>
      </w:r>
      <w:r>
        <w:t xml:space="preserve">artefacts </w:t>
      </w:r>
      <w:sdt>
        <w:sdtPr>
          <w:rPr>
            <w:color w:val="000000"/>
          </w:rPr>
          <w:tag w:val="MENDELEY_CITATION_v3_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"/>
          <w:id w:val="1019270363"/>
          <w:placeholder>
            <w:docPart w:val="DefaultPlaceholder_-1854013440"/>
          </w:placeholder>
        </w:sdtPr>
        <w:sdtContent>
          <w:r w:rsidR="00B43409" w:rsidRPr="00B43409">
            <w:rPr>
              <w:color w:val="000000"/>
            </w:rPr>
            <w:t>[472,473]</w:t>
          </w:r>
        </w:sdtContent>
      </w:sdt>
      <w:r w:rsidRPr="00674D53">
        <w:t xml:space="preserve">. </w:t>
      </w:r>
      <w:r w:rsidRPr="00EE6A3E">
        <w:t>Other common filters include bandpass Equiripple FIR filters (e.g., 0.5–8 Hz) for PPG signals and Savitzky–Golay filters for arterial blood pressure (ABP) signals</w:t>
      </w:r>
      <w:r>
        <w:t xml:space="preserve"> </w:t>
      </w:r>
      <w:sdt>
        <w:sdtPr>
          <w:rPr>
            <w:color w:val="000000"/>
          </w:rPr>
          <w:tag w:val="MENDELEY_CITATION_v3_eyJjaXRhdGlvbklEIjoiTUVOREVMRVlfQ0lUQVRJT05fMzc1NTQ5NWQtODQyYS00ZDU0LTlkMDAtZDlhODdmMDdhOTY3IiwicHJvcGVydGllcyI6eyJub3RlSW5kZXgiOjB9LCJpc0VkaXRlZCI6ZmFsc2UsIm1hbnVhbE92ZXJyaWRlIjp7ImNpdGVwcm9jVGV4dCI6Ils0MTRd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
          <w:id w:val="-1756509045"/>
          <w:placeholder>
            <w:docPart w:val="DefaultPlaceholder_-1854013440"/>
          </w:placeholder>
        </w:sdtPr>
        <w:sdtContent>
          <w:r w:rsidR="00B43409" w:rsidRPr="00B43409">
            <w:rPr>
              <w:color w:val="000000"/>
            </w:rPr>
            <w:t>[414]</w:t>
          </w:r>
        </w:sdtContent>
      </w:sdt>
      <w:r>
        <w:t xml:space="preserve">. </w:t>
      </w:r>
      <w:r w:rsidRPr="00AD13AC">
        <w:t>To eliminate baseline offsets, nonlinear Median filters (MF) are frequently applied</w:t>
      </w:r>
      <w:r>
        <w:t xml:space="preserve">, with </w:t>
      </w:r>
      <w:r w:rsidRPr="00AD13AC">
        <w:t>more complex noise, advanced signal processing techniques such as Wavelet Transforms (WT) (using basis functions like Daubechies or sym8), Hilbert-Huang Transforms (HHT), and Independent Component Analysis (ICA) are utilized</w:t>
      </w:r>
      <w:r>
        <w:t xml:space="preserve"> </w:t>
      </w:r>
      <w:sdt>
        <w:sdtPr>
          <w:rPr>
            <w:color w:val="000000"/>
          </w:rPr>
          <w:tag w:val="MENDELEY_CITATION_v3_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"/>
          <w:id w:val="-556245420"/>
          <w:placeholder>
            <w:docPart w:val="DefaultPlaceholder_-1854013440"/>
          </w:placeholder>
        </w:sdtPr>
        <w:sdtContent>
          <w:r w:rsidR="00B43409" w:rsidRPr="00B43409">
            <w:rPr>
              <w:color w:val="000000"/>
            </w:rPr>
            <w:t>[474]</w:t>
          </w:r>
        </w:sdtContent>
      </w:sdt>
      <w:r>
        <w:t xml:space="preserve">. </w:t>
      </w:r>
      <w:r w:rsidRPr="00FC7CBC">
        <w:t>Additionally, adaptive filters (like Least Mean Squares [LMS] or Normalized Least Mean Squares [NLMS]) can dynamically subtract motion artifacts by using an accelerometer's signal norm as a reference</w:t>
      </w:r>
      <w:r>
        <w:t xml:space="preserve"> </w:t>
      </w:r>
      <w:sdt>
        <w:sdtPr>
          <w:rPr>
            <w:color w:val="000000"/>
          </w:rPr>
          <w:tag w:val="MENDELEY_CITATION_v3_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"/>
          <w:id w:val="444968434"/>
          <w:placeholder>
            <w:docPart w:val="DefaultPlaceholder_-1854013440"/>
          </w:placeholder>
        </w:sdtPr>
        <w:sdtContent>
          <w:r w:rsidR="00B43409" w:rsidRPr="00B43409">
            <w:rPr>
              <w:color w:val="000000"/>
            </w:rPr>
            <w:t>[473,475]</w:t>
          </w:r>
        </w:sdtContent>
      </w:sdt>
      <w:r w:rsidRPr="00FC7CBC">
        <w:t>.</w:t>
      </w:r>
    </w:p>
    <w:p w14:paraId="18643AAD" w14:textId="08A1F50D" w:rsidR="00CE64DB" w:rsidRPr="00674D53" w:rsidRDefault="00CE64DB" w:rsidP="00AD13AC">
      <w:r w:rsidRPr="00674D53">
        <w:rPr>
          <w:b/>
          <w:bCs/>
        </w:rPr>
        <w:t>Normalisation</w:t>
      </w:r>
      <w:r>
        <w:rPr>
          <w:b/>
          <w:bCs/>
          <w:lang w:val="en-US"/>
        </w:rPr>
        <w:t>.</w:t>
      </w:r>
      <w:r w:rsidRPr="00674D53">
        <w:t xml:space="preserve"> </w:t>
      </w:r>
      <w:r>
        <w:t>Normalisation</w:t>
      </w:r>
      <w:r w:rsidRPr="00674D53">
        <w:t xml:space="preserve"> is a crucial processing step </w:t>
      </w:r>
      <w:r>
        <w:t>that eliminates scale and range differences across biosignals, enabling</w:t>
      </w:r>
      <w:r w:rsidRPr="00674D53">
        <w:t xml:space="preserve"> accurate algorithm training and robust monitoring</w:t>
      </w:r>
      <w:r>
        <w:rPr>
          <w:lang w:val="en-US"/>
        </w:rPr>
        <w:t xml:space="preserve"> </w:t>
      </w:r>
      <w:sdt>
        <w:sdtPr>
          <w:rPr>
            <w:color w:val="000000"/>
            <w:lang w:val="en-US"/>
          </w:rPr>
          <w:tag w:val="MENDELEY_CITATION_v3_eyJjaXRhdGlvbklEIjoiTUVOREVMRVlfQ0lUQVRJT05fNzFjYTY4NzEtMThlNS00NjA3LTkyM2EtZDQyZDcwODkxZTI5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
          <w:id w:val="156657161"/>
          <w:placeholder>
            <w:docPart w:val="DefaultPlaceholder_-1854013440"/>
          </w:placeholder>
        </w:sdtPr>
        <w:sdtEndPr>
          <w:rPr>
            <w:lang w:val="en-GB"/>
          </w:rPr>
        </w:sdtEndPr>
        <w:sdtContent>
          <w:r w:rsidR="00B43409" w:rsidRPr="00B43409">
            <w:rPr>
              <w:color w:val="000000"/>
            </w:rPr>
            <w:t>[405]</w:t>
          </w:r>
        </w:sdtContent>
      </w:sdt>
      <w:r w:rsidRPr="00674D53">
        <w:t xml:space="preserve">. In optical measurements like PPG, data-driven feature extraction is performed only after </w:t>
      </w:r>
      <w:r>
        <w:t xml:space="preserve">normalising the pulsatile alternating current (AC) component relative to the non-pulsatile direct current (DC) component; this specific normalisation mitigates the </w:t>
      </w:r>
      <w:r w:rsidRPr="00674D53">
        <w:t>effects of ambient lighting, temperature variations, and skin pigmentation</w:t>
      </w:r>
      <w:r>
        <w:rPr>
          <w:lang w:val="en-US"/>
        </w:rPr>
        <w:t xml:space="preserve"> </w:t>
      </w:r>
      <w:sdt>
        <w:sdtPr>
          <w:rPr>
            <w:color w:val="000000"/>
            <w:lang w:val="en-US"/>
          </w:rPr>
          <w:tag w:val="MENDELEY_CITATION_v3_eyJjaXRhdGlvbklEIjoiTUVOREVMRVlfQ0lUQVRJT05fNmM4NjIxZjUtZTMwYy00MGY0LWIyNWYtMzVlZTViY2YwODg0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
          <w:id w:val="821003412"/>
          <w:placeholder>
            <w:docPart w:val="DefaultPlaceholder_-1854013440"/>
          </w:placeholder>
        </w:sdtPr>
        <w:sdtEndPr>
          <w:rPr>
            <w:lang w:val="en-GB"/>
          </w:rPr>
        </w:sdtEndPr>
        <w:sdtContent>
          <w:r w:rsidR="00B43409" w:rsidRPr="00B43409">
            <w:rPr>
              <w:color w:val="000000"/>
            </w:rPr>
            <w:t>[405]</w:t>
          </w:r>
        </w:sdtContent>
      </w:sdt>
      <w:r w:rsidRPr="00674D53">
        <w:t xml:space="preserve">. </w:t>
      </w:r>
      <w:r>
        <w:t>In machine learning, input and output signal segments are routinely scaled using mathematical normalisations, most commonly Z-score, mean, and Min-Max normalisations</w:t>
      </w:r>
      <w:r>
        <w:rPr>
          <w:lang w:val="en-US"/>
        </w:rPr>
        <w:t xml:space="preserve"> </w:t>
      </w:r>
      <w:sdt>
        <w:sdtPr>
          <w:rPr>
            <w:color w:val="000000"/>
            <w:lang w:val="en-US"/>
          </w:rPr>
          <w:tag w:val="MENDELEY_CITATION_v3_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"/>
          <w:id w:val="-381636863"/>
          <w:placeholder>
            <w:docPart w:val="DefaultPlaceholder_-1854013440"/>
          </w:placeholder>
        </w:sdtPr>
        <w:sdtEndPr>
          <w:rPr>
            <w:lang w:val="en-GB"/>
          </w:rPr>
        </w:sdtEndPr>
        <w:sdtContent>
          <w:r w:rsidR="00B43409" w:rsidRPr="00B43409">
            <w:rPr>
              <w:color w:val="000000"/>
            </w:rPr>
            <w:t>[472]</w:t>
          </w:r>
        </w:sdtContent>
      </w:sdt>
      <w:r w:rsidRPr="00674D53">
        <w:t>.</w:t>
      </w:r>
    </w:p>
    <w:p w14:paraId="582BC68E" w14:textId="76F5970A" w:rsidR="00CE64DB" w:rsidRDefault="00CE64DB" w:rsidP="00B25986">
      <w:r w:rsidRPr="00674D53">
        <w:rPr>
          <w:b/>
          <w:bCs/>
        </w:rPr>
        <w:t>Discarded data</w:t>
      </w:r>
      <w:r>
        <w:rPr>
          <w:b/>
          <w:bCs/>
          <w:lang w:val="en-US"/>
        </w:rPr>
        <w:t xml:space="preserve">. </w:t>
      </w:r>
      <w:r w:rsidRPr="00B25986">
        <w:t xml:space="preserve">To maintain the integrity of BP measurements and algorithm training datasets, data containing severe </w:t>
      </w:r>
      <w:r>
        <w:t>artefacts</w:t>
      </w:r>
      <w:r w:rsidRPr="00B25986">
        <w:t xml:space="preserve">, protocol violations, or physiological impossibilities must be systematically discarded. In digital signal processing, segments with unacceptably fast heartbeats, long discontinuities, or missing values are removed. Algorithms often use double derivation thresholding (e.g., excluding segments with high standard </w:t>
      </w:r>
      <w:r>
        <w:t>derivations</w:t>
      </w:r>
      <w:r w:rsidRPr="00B25986">
        <w:t xml:space="preserve"> beyond a cutoff) or deploy specific Convolutional Neural Networks (CNNs) to automatically flag and discard erroneous PPG and ABP signals. Furthermore, "peak cleaning" mechanisms use acceleration norms to identify and discard specific time windows heavily corrupted by motion </w:t>
      </w:r>
      <w:r>
        <w:t xml:space="preserve">artefacts </w:t>
      </w:r>
      <w:sdt>
        <w:sdtPr>
          <w:rPr>
            <w:color w:val="000000"/>
          </w:rPr>
          <w:tag w:val="MENDELEY_CITATION_v3_eyJjaXRhdGlvbklEIjoiTUVOREVMRVlfQ0lUQVRJT05fOGJkODU4MDYtNjlkZS00NDBiLThkYzEtMGM2NWRhZjc3NzJkIiwicHJvcGVydGllcyI6eyJub3RlSW5kZXgiOjB9LCJpc0VkaXRlZCI6ZmFsc2UsIm1hbnVhbE92ZXJyaWRlIjp7ImNpdGVwcm9jVGV4dCI6Ils0MTRd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
          <w:id w:val="-1905906249"/>
          <w:placeholder>
            <w:docPart w:val="DefaultPlaceholder_-1854013440"/>
          </w:placeholder>
        </w:sdtPr>
        <w:sdtContent>
          <w:r w:rsidR="00B43409" w:rsidRPr="00B43409">
            <w:rPr>
              <w:color w:val="000000"/>
            </w:rPr>
            <w:t>[414]</w:t>
          </w:r>
        </w:sdtContent>
      </w:sdt>
      <w:r w:rsidRPr="00B25986">
        <w:t>. In clinical validation and practice, readings are excluded if independent human observers disagree on a systolic or diastolic measurement by more than 4 mmHg</w:t>
      </w:r>
      <w:r>
        <w:t xml:space="preserve"> </w:t>
      </w:r>
      <w:sdt>
        <w:sdtPr>
          <w:rPr>
            <w:color w:val="000000"/>
          </w:rPr>
          <w:tag w:val="MENDELEY_CITATION_v3_eyJjaXRhdGlvbklEIjoiTUVOREVMRVlfQ0lUQVRJT05fZDZjYjlhZDUtYTQ4YS00NWIxLWE2M2UtYmE0MDgwMGIyYmJmIiwicHJvcGVydGllcyI6eyJub3RlSW5kZXgiOjB9LCJpc0VkaXRlZCI6ZmFsc2UsIm1hbnVhbE92ZXJyaWRlIjp7ImNpdGVwcm9jVGV4dCI6Ils0NjVd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
          <w:id w:val="1394388587"/>
          <w:placeholder>
            <w:docPart w:val="DefaultPlaceholder_-1854013440"/>
          </w:placeholder>
        </w:sdtPr>
        <w:sdtContent>
          <w:r w:rsidR="00B43409" w:rsidRPr="00B43409">
            <w:rPr>
              <w:color w:val="000000"/>
            </w:rPr>
            <w:t>[465]</w:t>
          </w:r>
        </w:sdtContent>
      </w:sdt>
      <w:r w:rsidRPr="00B25986">
        <w:t>, or if the required Korotkoff sounds (K1 or K5) cannot be clearly heard</w:t>
      </w:r>
      <w:r>
        <w:t xml:space="preserve"> </w:t>
      </w:r>
      <w:sdt>
        <w:sdtPr>
          <w:rPr>
            <w:color w:val="000000"/>
          </w:rPr>
          <w:tag w:val="MENDELEY_CITATION_v3_eyJjaXRhdGlvbklEIjoiTUVOREVMRVlfQ0lUQVRJT05fMWRmNmQxNGQtNzRiZi00NGMzLWI1NzEtN2QwZTBjOGZlNDk4IiwicHJvcGVydGllcyI6eyJub3RlSW5kZXgiOjB9LCJpc0VkaXRlZCI6ZmFsc2UsIm1hbnVhbE92ZXJyaWRlIjp7ImNpdGVwcm9jVGV4dCI6Ils0NjZd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
          <w:id w:val="-1769616080"/>
          <w:placeholder>
            <w:docPart w:val="DefaultPlaceholder_-1854013440"/>
          </w:placeholder>
        </w:sdtPr>
        <w:sdtContent>
          <w:r w:rsidR="00B43409" w:rsidRPr="00B43409">
            <w:rPr>
              <w:color w:val="000000"/>
            </w:rPr>
            <w:t>[466]</w:t>
          </w:r>
        </w:sdtContent>
      </w:sdt>
      <w:r w:rsidRPr="00B25986">
        <w:t>.</w:t>
      </w:r>
    </w:p>
    <w:p w14:paraId="226D08E9" w14:textId="79D053A7" w:rsidR="00CE64DB" w:rsidRPr="00426B10" w:rsidRDefault="00CE64DB" w:rsidP="00426B10">
      <w:pPr>
        <w:rPr>
          <w:lang w:val="en-US"/>
        </w:rPr>
      </w:pPr>
      <w:r w:rsidRPr="00674D53">
        <w:rPr>
          <w:b/>
          <w:bCs/>
        </w:rPr>
        <w:lastRenderedPageBreak/>
        <w:t>Typical ranges</w:t>
      </w:r>
      <w:r>
        <w:rPr>
          <w:b/>
          <w:bCs/>
          <w:lang w:val="en-US"/>
        </w:rPr>
        <w:t>.</w:t>
      </w:r>
      <w:r w:rsidRPr="00674D53">
        <w:t xml:space="preserve"> </w:t>
      </w:r>
      <w:r w:rsidRPr="00426B10">
        <w:t>Typical blood pressure ranges serve dual purposes: diagnosing patient health in clinical settings and establishing strict algorithmic thresholds for data cleaning. Clinically, a healthy individual's normal BP is widely defined as having a systolic BP (SBP) &lt; 120 mmHg and a diastolic BP (DBP) &lt; 80 mmHg</w:t>
      </w:r>
      <w:r>
        <w:t xml:space="preserve"> </w:t>
      </w:r>
      <w:sdt>
        <w:sdtPr>
          <w:rPr>
            <w:color w:val="000000"/>
          </w:rPr>
          <w:tag w:val="MENDELEY_CITATION_v3_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GlwIiwiZ2l2ZW4iOiJHcmVnb3J5IFkuIEgu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5hcmtpZXdpY3oiLCJnaXZlbiI6IktyenlzenRvZi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
          <w:id w:val="1683095643"/>
          <w:placeholder>
            <w:docPart w:val="DefaultPlaceholder_-1854013440"/>
          </w:placeholder>
        </w:sdtPr>
        <w:sdtContent>
          <w:r w:rsidR="00B43409" w:rsidRPr="00B43409">
            <w:rPr>
              <w:color w:val="000000"/>
            </w:rPr>
            <w:t>[407,470,476]</w:t>
          </w:r>
        </w:sdtContent>
      </w:sdt>
      <w:r w:rsidRPr="00426B10">
        <w:t>. Hypertension thresholds vary slightly by clinical guidelines but are generally defined as 130/80 mmHg (ACC/AHA guidelines</w:t>
      </w:r>
      <w:r>
        <w:t xml:space="preserve"> </w:t>
      </w:r>
      <w:sdt>
        <w:sdtPr>
          <w:rPr>
            <w:color w:val="000000"/>
          </w:rPr>
          <w:tag w:val="MENDELEY_CITATION_v3_eyJjaXRhdGlvbklEIjoiTUVOREVMRVlfQ0lUQVRJT05fOWIwNGI0YzQtMGZkOC00MDg4LWEyNTEtODAyMzczMGU4Mzdk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
          <w:id w:val="-972758665"/>
          <w:placeholder>
            <w:docPart w:val="DefaultPlaceholder_-1854013440"/>
          </w:placeholder>
        </w:sdtPr>
        <w:sdtContent>
          <w:r w:rsidR="00B43409" w:rsidRPr="00B43409">
            <w:rPr>
              <w:color w:val="000000"/>
            </w:rPr>
            <w:t>[407]</w:t>
          </w:r>
        </w:sdtContent>
      </w:sdt>
      <w:r w:rsidRPr="00426B10">
        <w:t>) or 140/90 mmHg (ESC/ESH guidelines</w:t>
      </w:r>
      <w:r>
        <w:t xml:space="preserve"> </w:t>
      </w:r>
      <w:sdt>
        <w:sdtPr>
          <w:rPr>
            <w:color w:val="000000"/>
          </w:rPr>
          <w:tag w:val="MENDELEY_CITATION_v3_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"/>
          <w:id w:val="1875804377"/>
          <w:placeholder>
            <w:docPart w:val="DefaultPlaceholder_-1854013440"/>
          </w:placeholder>
        </w:sdtPr>
        <w:sdtContent>
          <w:r w:rsidR="00B43409" w:rsidRPr="00B43409">
            <w:rPr>
              <w:color w:val="000000"/>
            </w:rPr>
            <w:t>[477]</w:t>
          </w:r>
        </w:sdtContent>
      </w:sdt>
      <w:r w:rsidRPr="00426B10">
        <w:t>) for office readings. For signal processing and deep learning applications, algorithms define erroneous or "irregular" signals based on extreme physiological limits. Datasets frequently flag and discard reading segments if the DBP falls below 50–60 mmHg or exceeds 130 mmHg, and if the SBP falls below 80 mmHg or exceeds 180–200 mmHg</w:t>
      </w:r>
      <w:r>
        <w:t xml:space="preserve"> </w:t>
      </w:r>
      <w:sdt>
        <w:sdtPr>
          <w:rPr>
            <w:color w:val="000000"/>
          </w:rPr>
          <w:tag w:val="MENDELEY_CITATION_v3_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"/>
          <w:id w:val="-1086836977"/>
          <w:placeholder>
            <w:docPart w:val="DefaultPlaceholder_-1854013440"/>
          </w:placeholder>
        </w:sdtPr>
        <w:sdtContent>
          <w:r w:rsidR="00B43409" w:rsidRPr="00B43409">
            <w:rPr>
              <w:color w:val="000000"/>
            </w:rPr>
            <w:t>[478]</w:t>
          </w:r>
        </w:sdtContent>
      </w:sdt>
      <w:r w:rsidRPr="00426B10">
        <w:t>.</w:t>
      </w:r>
    </w:p>
    <w:p w14:paraId="4BFB8585" w14:textId="77777777" w:rsidR="00CE64DB" w:rsidRPr="001D228D" w:rsidRDefault="00CE64DB" w:rsidP="007A2440">
      <w:pPr>
        <w:pStyle w:val="Heading4"/>
        <w:rPr>
          <w:lang w:val="en-GB"/>
        </w:rPr>
      </w:pPr>
      <w:r w:rsidRPr="001D228D">
        <w:rPr>
          <w:lang w:val="en-GB"/>
        </w:rPr>
        <w:t>Derived parameters</w:t>
      </w:r>
    </w:p>
    <w:p w14:paraId="0B3E25F9" w14:textId="77777777" w:rsidR="00CE64DB" w:rsidRPr="001D228D" w:rsidRDefault="00CE64DB" w:rsidP="001150F4">
      <w:r w:rsidRPr="001D228D">
        <w:t>Depending on study design and research aim, several key parameters are derived from the preprocessed BP signal. These metrics describe both the magnitude and temporal dynamics of cardiovascular responses.</w:t>
      </w:r>
    </w:p>
    <w:p w14:paraId="6A436F16" w14:textId="60CE99BC" w:rsidR="00CE64DB" w:rsidRPr="001D228D" w:rsidRDefault="00CE64DB" w:rsidP="001150F4">
      <w:pPr>
        <w:pStyle w:val="Bullet"/>
      </w:pPr>
      <w:r w:rsidRPr="001D228D">
        <w:rPr>
          <w:u w:val="single"/>
        </w:rPr>
        <w:t>Baseline BP (mmHg).</w:t>
      </w:r>
      <w:r w:rsidRPr="001D228D">
        <w:t xml:space="preserve"> Mean SBP, DBP and/or MAP over the final 3–10 min of the pre-exposure or neutral period; used as a reference for subsequent changes </w:t>
      </w:r>
      <w:sdt>
        <w:sdtPr>
          <w:rPr>
            <w:color w:val="000000"/>
          </w:rPr>
          <w:tag w:val="MENDELEY_CITATION_v3_eyJjaXRhdGlvbklEIjoiTUVOREVMRVlfQ0lUQVRJT05fYjI5ZmRhMzMtNjk1Ny00ZTg3LTgyNTItZGE3ODk0MWJiMGU4IiwicHJvcGVydGllcyI6eyJub3RlSW5kZXgiOjB9LCJpc0VkaXRlZCI6ZmFsc2UsIm1hbnVhbE92ZXJyaWRlIjp7ImNpdGVwcm9jVGV4dCI6Ils0Njld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
          <w:id w:val="-1255743193"/>
          <w:placeholder>
            <w:docPart w:val="DefaultPlaceholder_-1854013440"/>
          </w:placeholder>
        </w:sdtPr>
        <w:sdtContent>
          <w:r w:rsidR="00B43409" w:rsidRPr="00B43409">
            <w:rPr>
              <w:color w:val="000000"/>
            </w:rPr>
            <w:t>[469]</w:t>
          </w:r>
        </w:sdtContent>
      </w:sdt>
      <w:r w:rsidRPr="001D228D">
        <w:rPr>
          <w:u w:val="single"/>
        </w:rPr>
        <w:t>.</w:t>
      </w:r>
      <w:r w:rsidRPr="001D228D">
        <w:t xml:space="preserve"> When devices do not provide MAP directly, it is usually estimated as:</w:t>
      </w:r>
    </w:p>
    <w:p w14:paraId="38099096" w14:textId="77777777" w:rsidR="00CE64DB" w:rsidRPr="001D228D" w:rsidRDefault="00CE64DB" w:rsidP="00BC3F4A">
      <w:pPr>
        <w:pStyle w:val="Bullet"/>
        <w:numPr>
          <w:ilvl w:val="0"/>
          <w:numId w:val="0"/>
        </w:numPr>
      </w:pPr>
    </w:p>
    <w:p w14:paraId="61FC8C0D" w14:textId="77777777" w:rsidR="00CE64DB" w:rsidRPr="001D228D" w:rsidRDefault="00CE64DB" w:rsidP="00BC3F4A">
      <w:pPr>
        <w:pStyle w:val="Bullet"/>
        <w:numPr>
          <w:ilvl w:val="0"/>
          <w:numId w:val="0"/>
        </w:numPr>
        <w:jc w:val="center"/>
      </w:pPr>
      <w:r w:rsidRPr="001D228D">
        <w:t>MAP = DBP + ⅓(SBP − DBP)</w:t>
      </w:r>
    </w:p>
    <w:p w14:paraId="7BEB09F9" w14:textId="77777777" w:rsidR="00BC3F4A" w:rsidRDefault="00BC3F4A" w:rsidP="00BC3F4A">
      <w:pPr>
        <w:pStyle w:val="Bullet"/>
        <w:numPr>
          <w:ilvl w:val="0"/>
          <w:numId w:val="0"/>
        </w:numPr>
      </w:pPr>
    </w:p>
    <w:p w14:paraId="7DD15009" w14:textId="76DE4812" w:rsidR="00CE64DB" w:rsidRPr="001D228D" w:rsidRDefault="00CE64DB" w:rsidP="00BC3F4A">
      <w:pPr>
        <w:pStyle w:val="Bullet"/>
        <w:numPr>
          <w:ilvl w:val="0"/>
          <w:numId w:val="0"/>
        </w:numPr>
      </w:pPr>
      <w:r w:rsidRPr="001D228D">
        <w:t xml:space="preserve">Alternative weightings such as DBP + 0.4(SBP − DBP) or DBP + 0.412(SBP − DBP) have been proposed to better approximate time-averaged pressure and show slightly stronger associations with target-organ indices; comparisons of seven different formulas report systematic between-formula differences of a few mmHg </w:t>
      </w:r>
      <w:sdt>
        <w:sdtPr>
          <w:rPr>
            <w:color w:val="000000"/>
          </w:rPr>
          <w:tag w:val="MENDELEY_CITATION_v3_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"/>
          <w:id w:val="-225460880"/>
          <w:placeholder>
            <w:docPart w:val="DefaultPlaceholder_-1854013440"/>
          </w:placeholder>
        </w:sdtPr>
        <w:sdtContent>
          <w:r w:rsidR="00B43409" w:rsidRPr="00B43409">
            <w:rPr>
              <w:color w:val="000000"/>
            </w:rPr>
            <w:t>[479]</w:t>
          </w:r>
        </w:sdtContent>
      </w:sdt>
      <w:r w:rsidRPr="001D228D">
        <w:t xml:space="preserve">. Studies comparing measured oscillometric MAP with values recalculated from SBP and DBP similarly conclude that measured and calculated MAP cannot be used interchangeably in individual subjects </w:t>
      </w:r>
      <w:sdt>
        <w:sdtPr>
          <w:rPr>
            <w:color w:val="000000"/>
          </w:rPr>
          <w:tag w:val="MENDELEY_CITATION_v3_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"/>
          <w:id w:val="-1766613046"/>
          <w:placeholder>
            <w:docPart w:val="DefaultPlaceholder_-1854013440"/>
          </w:placeholder>
        </w:sdtPr>
        <w:sdtContent>
          <w:r w:rsidR="00B43409" w:rsidRPr="00B43409">
            <w:rPr>
              <w:color w:val="000000"/>
            </w:rPr>
            <w:t>[480]</w:t>
          </w:r>
        </w:sdtContent>
      </w:sdt>
      <w:r w:rsidRPr="001D228D">
        <w:t>. Using a single, explicitly stated formula within a study avoids internal inconsistencies.</w:t>
      </w:r>
    </w:p>
    <w:p w14:paraId="61F85790" w14:textId="77777777" w:rsidR="00CE64DB" w:rsidRPr="001D228D" w:rsidRDefault="00CE64DB" w:rsidP="001150F4">
      <w:pPr>
        <w:pStyle w:val="Bullet"/>
      </w:pPr>
      <w:r w:rsidRPr="001D228D">
        <w:rPr>
          <w:u w:val="single"/>
        </w:rPr>
        <w:t>ΔBP (change, mmHg).</w:t>
      </w:r>
      <w:r w:rsidRPr="001D228D">
        <w:t xml:space="preserve"> Difference between end- and start-exposure means, or between condition means, indicating the magnitude of pressor or depressor responses to thermal, postural, or behavioural manipulations.</w:t>
      </w:r>
    </w:p>
    <w:p w14:paraId="0F44178B" w14:textId="77777777" w:rsidR="00CE64DB" w:rsidRPr="001D228D" w:rsidRDefault="00CE64DB" w:rsidP="001150F4">
      <w:pPr>
        <w:pStyle w:val="Bullet"/>
      </w:pPr>
      <w:r w:rsidRPr="001D228D">
        <w:rPr>
          <w:u w:val="single"/>
        </w:rPr>
        <w:t>Rate of change (mmHg·min⁻¹).</w:t>
      </w:r>
      <w:r w:rsidRPr="001D228D">
        <w:t xml:space="preserve"> Slope of a linear regression fitted to SBP, DBP or MAP over a specified interval (e.g., first 20–30 min of exposure), describing the speed of adjustment or recovery.</w:t>
      </w:r>
    </w:p>
    <w:p w14:paraId="4247D602" w14:textId="5A5AC2F0" w:rsidR="00CE64DB" w:rsidRPr="001D228D" w:rsidRDefault="00CE64DB" w:rsidP="001150F4">
      <w:pPr>
        <w:pStyle w:val="Bullet"/>
      </w:pPr>
      <w:r w:rsidRPr="001D228D">
        <w:rPr>
          <w:u w:val="single"/>
        </w:rPr>
        <w:t>Short-term variability (SD, CV).</w:t>
      </w:r>
      <w:r w:rsidRPr="001D228D">
        <w:t xml:space="preserve"> For continuous recordings, variability within a segment (e.g., 5–30 min) is summarised as the standard deviation (SD) or coefficient of variation (CV = SD/mean × 100 %) of SBP, DBP or MAP </w:t>
      </w:r>
      <w:sdt>
        <w:sdtPr>
          <w:rPr>
            <w:color w:val="000000"/>
          </w:rPr>
          <w:tag w:val="MENDELEY_CITATION_v3_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"/>
          <w:id w:val="-1698531921"/>
          <w:placeholder>
            <w:docPart w:val="DefaultPlaceholder_-1854013440"/>
          </w:placeholder>
        </w:sdtPr>
        <w:sdtContent>
          <w:r w:rsidR="00B43409" w:rsidRPr="00B43409">
            <w:rPr>
              <w:color w:val="000000"/>
            </w:rPr>
            <w:t>[481]</w:t>
          </w:r>
        </w:sdtContent>
      </w:sdt>
      <w:r w:rsidRPr="001D228D">
        <w:t>.</w:t>
      </w:r>
    </w:p>
    <w:p w14:paraId="58E9F280" w14:textId="0916DF73" w:rsidR="00CE64DB" w:rsidRPr="001D228D" w:rsidRDefault="00CE64DB" w:rsidP="001150F4">
      <w:pPr>
        <w:pStyle w:val="Bullet"/>
      </w:pPr>
      <w:r w:rsidRPr="001D228D">
        <w:rPr>
          <w:u w:val="single"/>
        </w:rPr>
        <w:t>Average real variability (ARV).</w:t>
      </w:r>
      <w:r w:rsidRPr="001D228D">
        <w:t xml:space="preserve"> Mean absolute difference between consecutive values over a given period; ARV is less influenced by extreme values than SD and is increasingly used in BP-variability research </w:t>
      </w:r>
      <w:sdt>
        <w:sdtPr>
          <w:rPr>
            <w:color w:val="000000"/>
          </w:rPr>
          <w:tag w:val="MENDELEY_CITATION_v3_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"/>
          <w:id w:val="-235853611"/>
          <w:placeholder>
            <w:docPart w:val="DefaultPlaceholder_-1854013440"/>
          </w:placeholder>
        </w:sdtPr>
        <w:sdtContent>
          <w:r w:rsidR="00B43409" w:rsidRPr="00B43409">
            <w:rPr>
              <w:color w:val="000000"/>
            </w:rPr>
            <w:t>[481]</w:t>
          </w:r>
        </w:sdtContent>
      </w:sdt>
      <w:r w:rsidRPr="001D228D">
        <w:t>.</w:t>
      </w:r>
    </w:p>
    <w:p w14:paraId="2209084C" w14:textId="77777777" w:rsidR="00CE64DB" w:rsidRPr="001D228D" w:rsidRDefault="00CE64DB" w:rsidP="001150F4">
      <w:r w:rsidRPr="001D228D">
        <w:t>For extended or ambulatory recordings, additional descriptors are often used:</w:t>
      </w:r>
    </w:p>
    <w:p w14:paraId="4F8FFF62" w14:textId="77777777" w:rsidR="00CE64DB" w:rsidRPr="001D228D" w:rsidRDefault="00CE64DB" w:rsidP="001150F4">
      <w:pPr>
        <w:pStyle w:val="Bullet"/>
      </w:pPr>
      <w:r w:rsidRPr="001D228D">
        <w:rPr>
          <w:u w:val="single"/>
        </w:rPr>
        <w:t>Daytime and nighttime means (mmHg).</w:t>
      </w:r>
      <w:r w:rsidRPr="001D228D">
        <w:t xml:space="preserve"> Mean BP during predefined wake and sleep windows, typically based on diaries or fixed clock-time bands.</w:t>
      </w:r>
    </w:p>
    <w:p w14:paraId="62454025" w14:textId="77777777" w:rsidR="00CE64DB" w:rsidRPr="001D228D" w:rsidRDefault="00CE64DB" w:rsidP="001150F4">
      <w:pPr>
        <w:pStyle w:val="Bullet"/>
      </w:pPr>
      <w:r w:rsidRPr="001D228D">
        <w:t xml:space="preserve">Dipping percentage (%). Calculated as: </w:t>
      </w:r>
    </w:p>
    <w:p w14:paraId="15BABAB6" w14:textId="77777777" w:rsidR="00CE64DB" w:rsidRPr="001D228D" w:rsidRDefault="00CE64DB" w:rsidP="00BC3F4A">
      <w:pPr>
        <w:pStyle w:val="Bullet"/>
        <w:jc w:val="center"/>
        <w:rPr>
          <w:i/>
        </w:rPr>
      </w:pPr>
      <m:oMath>
        <m:r>
          <m:rPr>
            <m:sty m:val="p"/>
          </m:rPr>
          <w:rPr>
            <w:rFonts w:ascii="Cambria Math" w:hAnsi="Cambria Math"/>
          </w:rPr>
          <m:t>100 × (daytime mean - nighttime mean) / daytime mean</m:t>
        </m:r>
      </m:oMath>
    </w:p>
    <w:p w14:paraId="3799A7D7" w14:textId="52774ACF" w:rsidR="00CE64DB" w:rsidRPr="001D228D" w:rsidRDefault="00CE64DB" w:rsidP="00BC3F4A">
      <w:pPr>
        <w:pStyle w:val="Bullet"/>
        <w:numPr>
          <w:ilvl w:val="0"/>
          <w:numId w:val="0"/>
        </w:numPr>
      </w:pPr>
      <w:r w:rsidRPr="001D228D">
        <w:t xml:space="preserve">used to classify individuals as “dippers”, “non-dippers”, “extreme dippers”, or “risers” based on established cut-offs </w:t>
      </w:r>
      <w:sdt>
        <w:sdtPr>
          <w:rPr>
            <w:color w:val="000000"/>
          </w:rPr>
          <w:tag w:val="MENDELEY_CITATION_v3_eyJjaXRhdGlvbklEIjoiTUVOREVMRVlfQ0lUQVRJT05fMzBjZmQyMjMtNGNjYS00MGJjLWFlZDEtOWQ5ZjM4NmMxYjQzIiwicHJvcGVydGllcyI6eyJub3RlSW5kZXgiOjB9LCJpc0VkaXRlZCI6ZmFsc2UsIm1hbnVhbE92ZXJyaWRlIjp7ImNpdGVwcm9jVGV4dCI6Ils0MzcsNDM4XSIsImlzTWFudWFsbHlPdmVycmlkZGVuIjpmYWxzZSwibWFudWFsT3ZlcnJpZGVUZXh0IjoiIn0sImNpdGF0aW9uSXRlbXMiOlt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"/>
          <w:id w:val="-1631238567"/>
          <w:placeholder>
            <w:docPart w:val="DefaultPlaceholder_-1854013440"/>
          </w:placeholder>
        </w:sdtPr>
        <w:sdtContent>
          <w:r w:rsidR="00B43409" w:rsidRPr="00B43409">
            <w:rPr>
              <w:color w:val="000000"/>
            </w:rPr>
            <w:t>[437,438]</w:t>
          </w:r>
        </w:sdtContent>
      </w:sdt>
      <w:r w:rsidRPr="001D228D">
        <w:t>.</w:t>
      </w:r>
    </w:p>
    <w:p w14:paraId="1CC8C723" w14:textId="77777777" w:rsidR="00CE64DB" w:rsidRPr="001D228D" w:rsidRDefault="00CE64DB" w:rsidP="001150F4">
      <w:pPr>
        <w:pStyle w:val="Bullet"/>
      </w:pPr>
      <w:r w:rsidRPr="001D228D">
        <w:rPr>
          <w:u w:val="single"/>
        </w:rPr>
        <w:t>BP load / area-under-curve (AUC).</w:t>
      </w:r>
      <w:r w:rsidRPr="001D228D">
        <w:t xml:space="preserve"> Proportion of readings above guideline thresholds (e.g., ≥135/85 mmHg daytime) or time integral of BP above baseline or clinical cut-offs; these indices capture cumulative exposure to elevated pressure beyond simple means.</w:t>
      </w:r>
    </w:p>
    <w:p w14:paraId="5D8C4FFF" w14:textId="03940A30" w:rsidR="00CE64DB" w:rsidRPr="001D228D" w:rsidRDefault="00CE64DB" w:rsidP="001150F4">
      <w:r w:rsidRPr="001D228D">
        <w:t xml:space="preserve">Across repeated sessions or time blocks, visit- or period-level variability can be summarised as the SD or ARV of mean BP values, reflecting intra-individual lability over hours to weeks and showing independent associations with cardiovascular risk </w:t>
      </w:r>
      <w:sdt>
        <w:sdtPr>
          <w:rPr>
            <w:color w:val="000000"/>
          </w:rPr>
          <w:tag w:val="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"/>
          <w:id w:val="-1692520981"/>
          <w:placeholder>
            <w:docPart w:val="DefaultPlaceholder_-1854013440"/>
          </w:placeholder>
        </w:sdtPr>
        <w:sdtContent>
          <w:r w:rsidR="00B43409" w:rsidRPr="00B43409">
            <w:rPr>
              <w:color w:val="000000"/>
            </w:rPr>
            <w:t>[430,482]</w:t>
          </w:r>
        </w:sdtContent>
      </w:sdt>
      <w:r w:rsidRPr="001D228D">
        <w:t>.</w:t>
      </w:r>
    </w:p>
    <w:p w14:paraId="6AE5D202" w14:textId="18FBE5E2" w:rsidR="00CE64DB" w:rsidRDefault="00CE64DB" w:rsidP="001150F4">
      <w:pPr>
        <w:rPr>
          <w:sz w:val="18"/>
          <w:szCs w:val="18"/>
        </w:rPr>
      </w:pPr>
      <w:r w:rsidRPr="001C0298">
        <w:rPr>
          <w:sz w:val="18"/>
          <w:szCs w:val="18"/>
        </w:rPr>
        <w:t xml:space="preserve">Table </w:t>
      </w:r>
      <w:r w:rsidRPr="001C0298">
        <w:rPr>
          <w:sz w:val="18"/>
          <w:szCs w:val="18"/>
        </w:rPr>
        <w:fldChar w:fldCharType="begin"/>
      </w:r>
      <w:r w:rsidRPr="001C0298">
        <w:rPr>
          <w:sz w:val="18"/>
          <w:szCs w:val="18"/>
        </w:rPr>
        <w:instrText xml:space="preserve"> SEQ Table \* ARABIC </w:instrText>
      </w:r>
      <w:r w:rsidRPr="001C0298">
        <w:rPr>
          <w:sz w:val="18"/>
          <w:szCs w:val="18"/>
        </w:rPr>
        <w:fldChar w:fldCharType="separate"/>
      </w:r>
      <w:r w:rsidR="007650AF">
        <w:rPr>
          <w:noProof/>
          <w:sz w:val="18"/>
          <w:szCs w:val="18"/>
        </w:rPr>
        <w:t>5</w:t>
      </w:r>
      <w:r w:rsidRPr="001C0298">
        <w:rPr>
          <w:sz w:val="18"/>
          <w:szCs w:val="18"/>
        </w:rPr>
        <w:fldChar w:fldCharType="end"/>
      </w:r>
      <w:r w:rsidRPr="001C0298">
        <w:rPr>
          <w:sz w:val="18"/>
          <w:szCs w:val="18"/>
        </w:rPr>
        <w:t>. Summary of blood-pressure measurement techniques, typical signal characteristics, and practical considerations</w:t>
      </w:r>
      <w:r w:rsidRPr="001C0298">
        <w:rPr>
          <w:sz w:val="18"/>
          <w:szCs w:val="18"/>
        </w:rPr>
        <w:br/>
        <w:t>Sampling rates denote typical acquisition frequencies used for physiological data logging, not device limits.</w:t>
      </w:r>
    </w:p>
    <w:p w14:paraId="23B619F3" w14:textId="77777777" w:rsidR="00E41CF0" w:rsidRPr="001C0298" w:rsidRDefault="00E41CF0" w:rsidP="001150F4">
      <w:pPr>
        <w:rPr>
          <w:sz w:val="18"/>
          <w:szCs w:val="18"/>
        </w:rPr>
      </w:pPr>
    </w:p>
    <w:tbl>
      <w:tblPr>
        <w:tblStyle w:val="PlainTable5"/>
        <w:tblW w:w="0" w:type="auto"/>
        <w:tblLook w:val="04A0" w:firstRow="1" w:lastRow="0" w:firstColumn="1" w:lastColumn="0" w:noHBand="0" w:noVBand="1"/>
      </w:tblPr>
      <w:tblGrid>
        <w:gridCol w:w="1466"/>
        <w:gridCol w:w="1745"/>
        <w:gridCol w:w="1232"/>
        <w:gridCol w:w="1742"/>
        <w:gridCol w:w="2446"/>
        <w:gridCol w:w="999"/>
      </w:tblGrid>
      <w:tr w:rsidR="00CE64DB" w:rsidRPr="001C0298" w14:paraId="2EFCE77F" w14:textId="77777777" w:rsidTr="008017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6" w:type="dxa"/>
            <w:hideMark/>
          </w:tcPr>
          <w:p w14:paraId="0DB697E8" w14:textId="77777777" w:rsidR="00CE64DB" w:rsidRPr="001C0298" w:rsidRDefault="00CE64DB" w:rsidP="001150F4">
            <w:pPr>
              <w:rPr>
                <w:b/>
                <w:bCs/>
                <w:i w:val="0"/>
                <w:iCs w:val="0"/>
                <w:sz w:val="18"/>
                <w:szCs w:val="18"/>
              </w:rPr>
            </w:pPr>
            <w:r w:rsidRPr="001C0298">
              <w:rPr>
                <w:b/>
                <w:bCs/>
                <w:i w:val="0"/>
                <w:iCs w:val="0"/>
                <w:sz w:val="18"/>
                <w:szCs w:val="18"/>
              </w:rPr>
              <w:lastRenderedPageBreak/>
              <w:t>Measure</w:t>
            </w:r>
          </w:p>
        </w:tc>
        <w:tc>
          <w:tcPr>
            <w:tcW w:w="0" w:type="auto"/>
            <w:hideMark/>
          </w:tcPr>
          <w:p w14:paraId="30EE5874"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Sensor / Principle</w:t>
            </w:r>
          </w:p>
        </w:tc>
        <w:tc>
          <w:tcPr>
            <w:tcW w:w="0" w:type="auto"/>
            <w:hideMark/>
          </w:tcPr>
          <w:p w14:paraId="42C42452"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Sampling rate</w:t>
            </w:r>
          </w:p>
        </w:tc>
        <w:tc>
          <w:tcPr>
            <w:tcW w:w="0" w:type="auto"/>
            <w:hideMark/>
          </w:tcPr>
          <w:p w14:paraId="79B230E2"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Advantages</w:t>
            </w:r>
          </w:p>
        </w:tc>
        <w:tc>
          <w:tcPr>
            <w:tcW w:w="0" w:type="auto"/>
            <w:hideMark/>
          </w:tcPr>
          <w:p w14:paraId="440A38CD"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Limitations</w:t>
            </w:r>
          </w:p>
        </w:tc>
        <w:tc>
          <w:tcPr>
            <w:tcW w:w="0" w:type="auto"/>
            <w:hideMark/>
          </w:tcPr>
          <w:p w14:paraId="5731DD20" w14:textId="77777777" w:rsidR="00CE64DB" w:rsidRPr="001C0298" w:rsidRDefault="00CE64DB" w:rsidP="001150F4">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1C0298">
              <w:rPr>
                <w:b/>
                <w:bCs/>
                <w:i w:val="0"/>
                <w:iCs w:val="0"/>
                <w:sz w:val="18"/>
                <w:szCs w:val="18"/>
              </w:rPr>
              <w:t>Approx. cost (€)*</w:t>
            </w:r>
          </w:p>
        </w:tc>
      </w:tr>
      <w:tr w:rsidR="00CE64DB" w:rsidRPr="001C0298" w14:paraId="4814A452"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3749C8EE" w14:textId="77777777" w:rsidR="00CE64DB" w:rsidRPr="001C0298" w:rsidRDefault="00CE64DB" w:rsidP="001150F4">
            <w:pPr>
              <w:rPr>
                <w:b/>
                <w:bCs/>
                <w:i w:val="0"/>
                <w:iCs w:val="0"/>
                <w:sz w:val="18"/>
                <w:szCs w:val="18"/>
              </w:rPr>
            </w:pPr>
            <w:r w:rsidRPr="001C0298">
              <w:rPr>
                <w:b/>
                <w:bCs/>
                <w:i w:val="0"/>
                <w:iCs w:val="0"/>
                <w:sz w:val="18"/>
                <w:szCs w:val="18"/>
              </w:rPr>
              <w:t>Brachial BP</w:t>
            </w:r>
          </w:p>
        </w:tc>
        <w:tc>
          <w:tcPr>
            <w:tcW w:w="0" w:type="auto"/>
            <w:hideMark/>
          </w:tcPr>
          <w:p w14:paraId="24AE2B7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Upper-arm oscillometric cuff</w:t>
            </w:r>
          </w:p>
        </w:tc>
        <w:tc>
          <w:tcPr>
            <w:tcW w:w="0" w:type="auto"/>
            <w:hideMark/>
          </w:tcPr>
          <w:p w14:paraId="48C6B91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Block (2–3 readings / point)</w:t>
            </w:r>
          </w:p>
        </w:tc>
        <w:tc>
          <w:tcPr>
            <w:tcW w:w="0" w:type="auto"/>
            <w:hideMark/>
          </w:tcPr>
          <w:p w14:paraId="0AB6A18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Standard method; widely validated; simple</w:t>
            </w:r>
          </w:p>
        </w:tc>
        <w:tc>
          <w:tcPr>
            <w:tcW w:w="0" w:type="auto"/>
            <w:hideMark/>
          </w:tcPr>
          <w:p w14:paraId="1B5FCEE0"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Intermittent; sensitive to cuff size, posture, talking, recent intake</w:t>
            </w:r>
          </w:p>
        </w:tc>
        <w:tc>
          <w:tcPr>
            <w:tcW w:w="0" w:type="auto"/>
            <w:hideMark/>
          </w:tcPr>
          <w:p w14:paraId="4590338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100–1000</w:t>
            </w:r>
          </w:p>
        </w:tc>
      </w:tr>
      <w:tr w:rsidR="00CE64DB" w:rsidRPr="001C0298" w14:paraId="4F80EB03"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5AF0AA11" w14:textId="77777777" w:rsidR="00CE64DB" w:rsidRPr="001C0298" w:rsidRDefault="00CE64DB" w:rsidP="001150F4">
            <w:pPr>
              <w:rPr>
                <w:b/>
                <w:bCs/>
                <w:i w:val="0"/>
                <w:iCs w:val="0"/>
                <w:sz w:val="18"/>
                <w:szCs w:val="18"/>
              </w:rPr>
            </w:pPr>
            <w:r w:rsidRPr="001C0298">
              <w:rPr>
                <w:b/>
                <w:bCs/>
                <w:i w:val="0"/>
                <w:iCs w:val="0"/>
                <w:sz w:val="18"/>
                <w:szCs w:val="18"/>
              </w:rPr>
              <w:t>Ambulatory BP</w:t>
            </w:r>
          </w:p>
        </w:tc>
        <w:tc>
          <w:tcPr>
            <w:tcW w:w="0" w:type="auto"/>
            <w:hideMark/>
          </w:tcPr>
          <w:p w14:paraId="5DB9249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Automated upper-arm oscillometric (24 h)</w:t>
            </w:r>
          </w:p>
        </w:tc>
        <w:tc>
          <w:tcPr>
            <w:tcW w:w="0" w:type="auto"/>
            <w:hideMark/>
          </w:tcPr>
          <w:p w14:paraId="22BCB913"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Block (15–60 min intervals)</w:t>
            </w:r>
          </w:p>
        </w:tc>
        <w:tc>
          <w:tcPr>
            <w:tcW w:w="0" w:type="auto"/>
            <w:hideMark/>
          </w:tcPr>
          <w:p w14:paraId="3D14E50B"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Day–night pattern; real-world environment</w:t>
            </w:r>
          </w:p>
        </w:tc>
        <w:tc>
          <w:tcPr>
            <w:tcW w:w="0" w:type="auto"/>
            <w:hideMark/>
          </w:tcPr>
          <w:p w14:paraId="65A3BA59"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No beat-to-beat detail; cuff inflation may disturb sleep</w:t>
            </w:r>
          </w:p>
        </w:tc>
        <w:tc>
          <w:tcPr>
            <w:tcW w:w="0" w:type="auto"/>
            <w:hideMark/>
          </w:tcPr>
          <w:p w14:paraId="5530E2FD"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150–2000</w:t>
            </w:r>
          </w:p>
        </w:tc>
      </w:tr>
      <w:tr w:rsidR="00CE64DB" w:rsidRPr="001C0298" w14:paraId="29C72D8C"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1FC4A989" w14:textId="77777777" w:rsidR="00CE64DB" w:rsidRPr="001C0298" w:rsidRDefault="00CE64DB" w:rsidP="001150F4">
            <w:pPr>
              <w:rPr>
                <w:b/>
                <w:bCs/>
                <w:i w:val="0"/>
                <w:iCs w:val="0"/>
                <w:sz w:val="18"/>
                <w:szCs w:val="18"/>
              </w:rPr>
            </w:pPr>
            <w:r w:rsidRPr="001C0298">
              <w:rPr>
                <w:b/>
                <w:bCs/>
                <w:i w:val="0"/>
                <w:iCs w:val="0"/>
                <w:sz w:val="18"/>
                <w:szCs w:val="18"/>
              </w:rPr>
              <w:t>Wrist BP</w:t>
            </w:r>
          </w:p>
        </w:tc>
        <w:tc>
          <w:tcPr>
            <w:tcW w:w="0" w:type="auto"/>
            <w:hideMark/>
          </w:tcPr>
          <w:p w14:paraId="56A89F45"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Wrist oscillometric cuff (radial/ulnar)</w:t>
            </w:r>
          </w:p>
        </w:tc>
        <w:tc>
          <w:tcPr>
            <w:tcW w:w="0" w:type="auto"/>
            <w:hideMark/>
          </w:tcPr>
          <w:p w14:paraId="1DF3043E"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Block</w:t>
            </w:r>
          </w:p>
        </w:tc>
        <w:tc>
          <w:tcPr>
            <w:tcW w:w="0" w:type="auto"/>
            <w:hideMark/>
          </w:tcPr>
          <w:p w14:paraId="0EF680C3"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Compact; option when arm cuffs impractical</w:t>
            </w:r>
          </w:p>
        </w:tc>
        <w:tc>
          <w:tcPr>
            <w:tcW w:w="0" w:type="auto"/>
            <w:hideMark/>
          </w:tcPr>
          <w:p w14:paraId="21B68232"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Requires strict heart-level positioning; generally less accurate than arm</w:t>
            </w:r>
          </w:p>
        </w:tc>
        <w:tc>
          <w:tcPr>
            <w:tcW w:w="0" w:type="auto"/>
            <w:hideMark/>
          </w:tcPr>
          <w:p w14:paraId="71AD8B55"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100–800</w:t>
            </w:r>
          </w:p>
        </w:tc>
      </w:tr>
      <w:tr w:rsidR="00CE64DB" w:rsidRPr="001C0298" w14:paraId="43864B33"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592B1C77" w14:textId="77777777" w:rsidR="00CE64DB" w:rsidRPr="001C0298" w:rsidRDefault="00CE64DB" w:rsidP="001150F4">
            <w:pPr>
              <w:rPr>
                <w:b/>
                <w:bCs/>
                <w:i w:val="0"/>
                <w:iCs w:val="0"/>
                <w:sz w:val="18"/>
                <w:szCs w:val="18"/>
              </w:rPr>
            </w:pPr>
            <w:r w:rsidRPr="001C0298">
              <w:rPr>
                <w:b/>
                <w:bCs/>
                <w:i w:val="0"/>
                <w:iCs w:val="0"/>
                <w:sz w:val="18"/>
                <w:szCs w:val="18"/>
              </w:rPr>
              <w:t>Continuous finger BP</w:t>
            </w:r>
          </w:p>
        </w:tc>
        <w:tc>
          <w:tcPr>
            <w:tcW w:w="0" w:type="auto"/>
            <w:hideMark/>
          </w:tcPr>
          <w:p w14:paraId="65EFDB7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Volume-clamp finger cuff</w:t>
            </w:r>
          </w:p>
        </w:tc>
        <w:tc>
          <w:tcPr>
            <w:tcW w:w="0" w:type="auto"/>
            <w:hideMark/>
          </w:tcPr>
          <w:p w14:paraId="3DC2729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100–250 Hz (beat-to-beat)</w:t>
            </w:r>
          </w:p>
        </w:tc>
        <w:tc>
          <w:tcPr>
            <w:tcW w:w="0" w:type="auto"/>
            <w:hideMark/>
          </w:tcPr>
          <w:p w14:paraId="67B1E97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Beat-to-beat waveform; hemodynamic indices</w:t>
            </w:r>
          </w:p>
        </w:tc>
        <w:tc>
          <w:tcPr>
            <w:tcW w:w="0" w:type="auto"/>
            <w:hideMark/>
          </w:tcPr>
          <w:p w14:paraId="2F5623F8"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Needs calibration to brachial BP; sensitive to vasoconstriction, hand temperature</w:t>
            </w:r>
          </w:p>
        </w:tc>
        <w:tc>
          <w:tcPr>
            <w:tcW w:w="0" w:type="auto"/>
            <w:hideMark/>
          </w:tcPr>
          <w:p w14:paraId="16AE9B3E"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5,000–25,000</w:t>
            </w:r>
          </w:p>
        </w:tc>
      </w:tr>
      <w:tr w:rsidR="00CE64DB" w:rsidRPr="001C0298" w14:paraId="4C3F4840"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11FFCDC7" w14:textId="77777777" w:rsidR="00CE64DB" w:rsidRPr="001C0298" w:rsidRDefault="00CE64DB" w:rsidP="001150F4">
            <w:pPr>
              <w:rPr>
                <w:b/>
                <w:bCs/>
                <w:i w:val="0"/>
                <w:iCs w:val="0"/>
                <w:sz w:val="18"/>
                <w:szCs w:val="18"/>
              </w:rPr>
            </w:pPr>
            <w:r w:rsidRPr="001C0298">
              <w:rPr>
                <w:b/>
                <w:bCs/>
                <w:i w:val="0"/>
                <w:iCs w:val="0"/>
                <w:sz w:val="18"/>
                <w:szCs w:val="18"/>
              </w:rPr>
              <w:t>Radial waveform / derived BP</w:t>
            </w:r>
          </w:p>
        </w:tc>
        <w:tc>
          <w:tcPr>
            <w:tcW w:w="0" w:type="auto"/>
            <w:hideMark/>
          </w:tcPr>
          <w:p w14:paraId="1D861480"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Applanation tonometry at radial artery</w:t>
            </w:r>
          </w:p>
        </w:tc>
        <w:tc>
          <w:tcPr>
            <w:tcW w:w="0" w:type="auto"/>
            <w:hideMark/>
          </w:tcPr>
          <w:p w14:paraId="3BCD37BC"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128–1000 Hz</w:t>
            </w:r>
          </w:p>
        </w:tc>
        <w:tc>
          <w:tcPr>
            <w:tcW w:w="0" w:type="auto"/>
            <w:hideMark/>
          </w:tcPr>
          <w:p w14:paraId="4ADFFAD7"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Central BP estimation; waveform morphology</w:t>
            </w:r>
          </w:p>
        </w:tc>
        <w:tc>
          <w:tcPr>
            <w:tcW w:w="0" w:type="auto"/>
            <w:hideMark/>
          </w:tcPr>
          <w:p w14:paraId="0DA6F841"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Operator dependent; calibration and probe placement critical</w:t>
            </w:r>
          </w:p>
        </w:tc>
        <w:tc>
          <w:tcPr>
            <w:tcW w:w="0" w:type="auto"/>
            <w:hideMark/>
          </w:tcPr>
          <w:p w14:paraId="598E898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5,000–20,000</w:t>
            </w:r>
          </w:p>
        </w:tc>
      </w:tr>
      <w:tr w:rsidR="00CE64DB" w:rsidRPr="001C0298" w14:paraId="0886C6AE" w14:textId="77777777" w:rsidTr="00801773">
        <w:tc>
          <w:tcPr>
            <w:cnfStyle w:val="001000000000" w:firstRow="0" w:lastRow="0" w:firstColumn="1" w:lastColumn="0" w:oddVBand="0" w:evenVBand="0" w:oddHBand="0" w:evenHBand="0" w:firstRowFirstColumn="0" w:firstRowLastColumn="0" w:lastRowFirstColumn="0" w:lastRowLastColumn="0"/>
            <w:tcW w:w="1466" w:type="dxa"/>
            <w:hideMark/>
          </w:tcPr>
          <w:p w14:paraId="32C3A647" w14:textId="77777777" w:rsidR="00CE64DB" w:rsidRPr="001C0298" w:rsidRDefault="00CE64DB" w:rsidP="001150F4">
            <w:pPr>
              <w:rPr>
                <w:b/>
                <w:bCs/>
                <w:i w:val="0"/>
                <w:iCs w:val="0"/>
                <w:sz w:val="18"/>
                <w:szCs w:val="18"/>
              </w:rPr>
            </w:pPr>
            <w:r w:rsidRPr="001C0298">
              <w:rPr>
                <w:b/>
                <w:bCs/>
                <w:i w:val="0"/>
                <w:iCs w:val="0"/>
                <w:sz w:val="18"/>
                <w:szCs w:val="18"/>
              </w:rPr>
              <w:t>Cuffless wearable BP (wrist/arm/ring)</w:t>
            </w:r>
          </w:p>
        </w:tc>
        <w:tc>
          <w:tcPr>
            <w:tcW w:w="0" w:type="auto"/>
            <w:hideMark/>
          </w:tcPr>
          <w:p w14:paraId="16CEC24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Optical / impedance / pressure sensors + PTT/ML</w:t>
            </w:r>
          </w:p>
        </w:tc>
        <w:tc>
          <w:tcPr>
            <w:tcW w:w="0" w:type="auto"/>
            <w:hideMark/>
          </w:tcPr>
          <w:p w14:paraId="14FF87B1"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1–10 Hz</w:t>
            </w:r>
          </w:p>
        </w:tc>
        <w:tc>
          <w:tcPr>
            <w:tcW w:w="0" w:type="auto"/>
            <w:hideMark/>
          </w:tcPr>
          <w:p w14:paraId="2A0554BD"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Low burden; potential long-term monitoring</w:t>
            </w:r>
          </w:p>
        </w:tc>
        <w:tc>
          <w:tcPr>
            <w:tcW w:w="0" w:type="auto"/>
            <w:hideMark/>
          </w:tcPr>
          <w:p w14:paraId="29909C6C"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Requires calibration; device- and state-dependent accuracy; evolving validation</w:t>
            </w:r>
          </w:p>
        </w:tc>
        <w:tc>
          <w:tcPr>
            <w:tcW w:w="0" w:type="auto"/>
            <w:hideMark/>
          </w:tcPr>
          <w:p w14:paraId="2BCD92D5" w14:textId="77777777" w:rsidR="00CE64DB" w:rsidRPr="001C0298" w:rsidRDefault="00CE64DB" w:rsidP="001150F4">
            <w:pPr>
              <w:cnfStyle w:val="000000000000" w:firstRow="0" w:lastRow="0" w:firstColumn="0" w:lastColumn="0" w:oddVBand="0" w:evenVBand="0" w:oddHBand="0" w:evenHBand="0" w:firstRowFirstColumn="0" w:firstRowLastColumn="0" w:lastRowFirstColumn="0" w:lastRowLastColumn="0"/>
              <w:rPr>
                <w:sz w:val="18"/>
                <w:szCs w:val="18"/>
              </w:rPr>
            </w:pPr>
            <w:r w:rsidRPr="001C0298">
              <w:rPr>
                <w:sz w:val="18"/>
                <w:szCs w:val="18"/>
              </w:rPr>
              <w:t>200–1500</w:t>
            </w:r>
          </w:p>
        </w:tc>
      </w:tr>
      <w:tr w:rsidR="00CE64DB" w:rsidRPr="001C0298" w14:paraId="4DF673C4" w14:textId="77777777" w:rsidTr="0080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3580B7C2" w14:textId="77777777" w:rsidR="00CE64DB" w:rsidRPr="001C0298" w:rsidRDefault="00CE64DB" w:rsidP="001150F4">
            <w:pPr>
              <w:rPr>
                <w:b/>
                <w:bCs/>
                <w:i w:val="0"/>
                <w:iCs w:val="0"/>
                <w:sz w:val="18"/>
                <w:szCs w:val="18"/>
              </w:rPr>
            </w:pPr>
            <w:r w:rsidRPr="001C0298">
              <w:rPr>
                <w:b/>
                <w:bCs/>
                <w:i w:val="0"/>
                <w:iCs w:val="0"/>
                <w:sz w:val="18"/>
                <w:szCs w:val="18"/>
              </w:rPr>
              <w:t>Invasive arterial BP **</w:t>
            </w:r>
          </w:p>
        </w:tc>
        <w:tc>
          <w:tcPr>
            <w:tcW w:w="0" w:type="auto"/>
            <w:hideMark/>
          </w:tcPr>
          <w:p w14:paraId="2616704F"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Fluid-filled or solid-state arterial catheter</w:t>
            </w:r>
          </w:p>
        </w:tc>
        <w:tc>
          <w:tcPr>
            <w:tcW w:w="0" w:type="auto"/>
            <w:hideMark/>
          </w:tcPr>
          <w:p w14:paraId="45DF5094"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100–250 Hz</w:t>
            </w:r>
          </w:p>
        </w:tc>
        <w:tc>
          <w:tcPr>
            <w:tcW w:w="0" w:type="auto"/>
            <w:hideMark/>
          </w:tcPr>
          <w:p w14:paraId="23231B5A"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Gold-standard reference; high fidelity</w:t>
            </w:r>
          </w:p>
        </w:tc>
        <w:tc>
          <w:tcPr>
            <w:tcW w:w="0" w:type="auto"/>
            <w:hideMark/>
          </w:tcPr>
          <w:p w14:paraId="14DD2084"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Invasive; clinical use only; not used in typical sedentary experiments</w:t>
            </w:r>
          </w:p>
        </w:tc>
        <w:tc>
          <w:tcPr>
            <w:tcW w:w="0" w:type="auto"/>
            <w:hideMark/>
          </w:tcPr>
          <w:p w14:paraId="0235331C" w14:textId="77777777" w:rsidR="00CE64DB" w:rsidRPr="001C0298" w:rsidRDefault="00CE64DB" w:rsidP="001150F4">
            <w:pPr>
              <w:cnfStyle w:val="000000100000" w:firstRow="0" w:lastRow="0" w:firstColumn="0" w:lastColumn="0" w:oddVBand="0" w:evenVBand="0" w:oddHBand="1" w:evenHBand="0" w:firstRowFirstColumn="0" w:firstRowLastColumn="0" w:lastRowFirstColumn="0" w:lastRowLastColumn="0"/>
              <w:rPr>
                <w:sz w:val="18"/>
                <w:szCs w:val="18"/>
              </w:rPr>
            </w:pPr>
            <w:r w:rsidRPr="001C0298">
              <w:rPr>
                <w:sz w:val="18"/>
                <w:szCs w:val="18"/>
              </w:rPr>
              <w:t>Per-use clinical</w:t>
            </w:r>
          </w:p>
        </w:tc>
      </w:tr>
    </w:tbl>
    <w:p w14:paraId="02C401B2" w14:textId="77777777" w:rsidR="00CE64DB" w:rsidRPr="001D228D" w:rsidRDefault="00CE64DB" w:rsidP="001150F4"/>
    <w:p w14:paraId="3481CBD4" w14:textId="77777777" w:rsidR="00CE64DB" w:rsidRPr="001C0298" w:rsidRDefault="00CE64DB" w:rsidP="001150F4">
      <w:pPr>
        <w:rPr>
          <w:sz w:val="18"/>
          <w:szCs w:val="18"/>
        </w:rPr>
      </w:pPr>
      <w:r w:rsidRPr="001C0298">
        <w:rPr>
          <w:sz w:val="18"/>
          <w:szCs w:val="18"/>
        </w:rPr>
        <w:t>* Costs represent approximate 2024 academic prices for durable equipment; disposables, maintenance and analysis software are not included.</w:t>
      </w:r>
      <w:r w:rsidRPr="001C0298">
        <w:rPr>
          <w:sz w:val="18"/>
          <w:szCs w:val="18"/>
        </w:rPr>
        <w:br/>
        <w:t>** Included as reference method; rarely used outside clinical or highly controlled physiological studies.</w:t>
      </w:r>
    </w:p>
    <w:p w14:paraId="72754667" w14:textId="77777777" w:rsidR="00CE64DB" w:rsidRPr="001D228D" w:rsidRDefault="00CE64DB" w:rsidP="007A2440">
      <w:pPr>
        <w:pStyle w:val="Heading2"/>
        <w:rPr>
          <w:lang w:val="en-GB"/>
        </w:rPr>
      </w:pPr>
      <w:bookmarkStart w:id="77" w:name="_Toc223281698"/>
      <w:r w:rsidRPr="001D228D">
        <w:rPr>
          <w:lang w:val="en-GB"/>
        </w:rPr>
        <w:t>Other physiological indicators</w:t>
      </w:r>
      <w:bookmarkEnd w:id="77"/>
    </w:p>
    <w:p w14:paraId="181ACBB7" w14:textId="77777777" w:rsidR="00CE64DB" w:rsidRPr="001D228D" w:rsidRDefault="00CE64DB" w:rsidP="001150F4">
      <w:bookmarkStart w:id="78" w:name="_Toc211009239"/>
      <w:r w:rsidRPr="001D228D">
        <w:t>A number of additional physiological measures are occasionally incorporated into built-environment studies to address specific questions or to connect protocols with neighbouring literatures. They are less commonly used than core temperature, skin temperature, cardiovascular indices, sweating and electrodermal activity, and their analytical standards largely come from fields such as neuroscience, vascular physiology, endocrinology, and exercise science. This section briefly summarises why these signals are measured, how they are typically acquired, and where on the body they are recorded.</w:t>
      </w:r>
    </w:p>
    <w:p w14:paraId="5705ED57" w14:textId="77777777" w:rsidR="00CE64DB" w:rsidRPr="001D228D" w:rsidRDefault="00CE64DB" w:rsidP="007A2440">
      <w:pPr>
        <w:pStyle w:val="Heading3"/>
        <w:rPr>
          <w:lang w:val="en-GB"/>
        </w:rPr>
      </w:pPr>
      <w:bookmarkStart w:id="79" w:name="_Toc223281699"/>
      <w:r w:rsidRPr="001D228D">
        <w:rPr>
          <w:lang w:val="en-GB"/>
        </w:rPr>
        <w:t>Electroencephalography (EEG)</w:t>
      </w:r>
      <w:bookmarkEnd w:id="79"/>
    </w:p>
    <w:p w14:paraId="196F15D9" w14:textId="6C55324F" w:rsidR="00CE64DB" w:rsidRPr="001D228D" w:rsidRDefault="00CE64DB" w:rsidP="001150F4">
      <w:r w:rsidRPr="001D228D">
        <w:rPr>
          <w:b/>
          <w:bCs/>
        </w:rPr>
        <w:t>Why.</w:t>
      </w:r>
      <w:r w:rsidRPr="001D228D">
        <w:t xml:space="preserve"> EEG can be used to index dynamics related to arousal, sleep–wake state, and cognitive or mental workload. In thermophysiological research, nocturnal EEG is used to quantify sleep architecture and continuity under different thermal or environmental conditions, while daytime EEG is increasingly used to assess how indoor temperature, ventilation, noise or lighting </w:t>
      </w:r>
      <w:r w:rsidR="00BC3F4A">
        <w:t>influences</w:t>
      </w:r>
      <w:r w:rsidRPr="001D228D">
        <w:t xml:space="preserve"> attention, fatigue, and task performance. Changes in band-limited power (e.g. theta, alpha, beta) and event-related potentials are sensitive to cognitive load and vigilance, making EEG a useful complement to heart rate, EDA, and behavioural performance measures when cognitive state is of interest </w:t>
      </w:r>
      <w:sdt>
        <w:sdtPr>
          <w:rPr>
            <w:color w:val="000000"/>
          </w:rPr>
          <w:tag w:val="MENDELEY_CITATION_v3_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"/>
          <w:id w:val="1218471359"/>
          <w:placeholder>
            <w:docPart w:val="DefaultPlaceholder_-1854013440"/>
          </w:placeholder>
        </w:sdtPr>
        <w:sdtContent>
          <w:r w:rsidR="00B43409" w:rsidRPr="00B43409">
            <w:rPr>
              <w:color w:val="000000"/>
            </w:rPr>
            <w:t>[483,484]</w:t>
          </w:r>
        </w:sdtContent>
      </w:sdt>
      <w:r w:rsidRPr="001D228D">
        <w:t xml:space="preserve">. </w:t>
      </w:r>
    </w:p>
    <w:p w14:paraId="55A5E73E" w14:textId="612724F2" w:rsidR="00CE64DB" w:rsidRPr="001D228D" w:rsidRDefault="00CE64DB" w:rsidP="001150F4">
      <w:r w:rsidRPr="001D228D">
        <w:rPr>
          <w:b/>
          <w:bCs/>
        </w:rPr>
        <w:t>How.</w:t>
      </w:r>
      <w:r w:rsidRPr="001D228D">
        <w:t xml:space="preserve"> EEG measures voltage differences at the scalp using multiple electrodes referenced to a common or linked reference. Conventional laboratory systems use gel-based caps with 32–64 or more channels, high input-impedance amplifiers, and wired acquisition. Recent mobile systems employ 5–14 dry or semi-dry electrodes integrated into headsets or headbands, with wireless transmission and embedded amplifiers. These devices trade spatial resolution and artefact robustness for reduced setup time and higher acceptability in field-like environments </w:t>
      </w:r>
      <w:sdt>
        <w:sdtPr>
          <w:rPr>
            <w:color w:val="000000"/>
          </w:rPr>
          <w:tag w:val="MENDELEY_CITATION_v3_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"/>
          <w:id w:val="-1535496744"/>
          <w:placeholder>
            <w:docPart w:val="DefaultPlaceholder_-1854013440"/>
          </w:placeholder>
        </w:sdtPr>
        <w:sdtContent>
          <w:r w:rsidR="00B43409" w:rsidRPr="00B43409">
            <w:rPr>
              <w:color w:val="000000"/>
            </w:rPr>
            <w:t>[485,486]</w:t>
          </w:r>
        </w:sdtContent>
      </w:sdt>
      <w:r w:rsidRPr="001D228D">
        <w:t>.</w:t>
      </w:r>
    </w:p>
    <w:p w14:paraId="58A52551" w14:textId="52140E76" w:rsidR="00CE64DB" w:rsidRPr="001D228D" w:rsidRDefault="00CE64DB" w:rsidP="001150F4">
      <w:r w:rsidRPr="001D228D">
        <w:rPr>
          <w:b/>
          <w:bCs/>
        </w:rPr>
        <w:t>Where.</w:t>
      </w:r>
      <w:r w:rsidRPr="001D228D">
        <w:t xml:space="preserve"> Electrode placement follows reduced versions of the international 10–20 system. Full-cap setups cover frontal, central, temporal, parietal, and occipital regions; portable environmental setups often concentrate on frontal and central leads, which are informative for vigilance and workload and easier to accommodate with everyday headwear </w:t>
      </w:r>
      <w:sdt>
        <w:sdtPr>
          <w:rPr>
            <w:color w:val="000000"/>
          </w:rPr>
          <w:tag w:val="MENDELEY_CITATION_v3_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"/>
          <w:id w:val="-5982658"/>
          <w:placeholder>
            <w:docPart w:val="DefaultPlaceholder_-1854013440"/>
          </w:placeholder>
        </w:sdtPr>
        <w:sdtContent>
          <w:r w:rsidR="00B43409" w:rsidRPr="00B43409">
            <w:rPr>
              <w:color w:val="000000"/>
            </w:rPr>
            <w:t>[483]</w:t>
          </w:r>
        </w:sdtContent>
      </w:sdt>
      <w:r w:rsidRPr="001D228D">
        <w:t>. Some commercial systems embed electrodes into headphone bands or in-ear devices, further lowering intrusiveness at the cost of more constrained spatial sampling.</w:t>
      </w:r>
    </w:p>
    <w:p w14:paraId="52956E90" w14:textId="77777777" w:rsidR="00CE64DB" w:rsidRPr="001D228D" w:rsidRDefault="00CE64DB" w:rsidP="007A2440">
      <w:pPr>
        <w:pStyle w:val="Heading3"/>
        <w:rPr>
          <w:lang w:val="en-GB"/>
        </w:rPr>
      </w:pPr>
      <w:bookmarkStart w:id="80" w:name="_Toc223281700"/>
      <w:r w:rsidRPr="001D228D">
        <w:rPr>
          <w:lang w:val="en-GB"/>
        </w:rPr>
        <w:lastRenderedPageBreak/>
        <w:t>Skin blood flow (SBF)</w:t>
      </w:r>
      <w:bookmarkEnd w:id="80"/>
    </w:p>
    <w:p w14:paraId="49BF77DB" w14:textId="47120833" w:rsidR="00CE64DB" w:rsidRPr="001D228D" w:rsidRDefault="00CE64DB" w:rsidP="001150F4">
      <w:r w:rsidRPr="001D228D">
        <w:rPr>
          <w:b/>
          <w:bCs/>
        </w:rPr>
        <w:t>Why.</w:t>
      </w:r>
      <w:r w:rsidRPr="001D228D">
        <w:t xml:space="preserve"> Skin blood flow provides a more direct measure of cutaneous vasomotor responses than skin temperature alone. It reflects the balance between sympathetic vasoconstrictor and active vasodilator outflow and is central to controlling dry heat exchange at the body surface </w:t>
      </w:r>
      <w:sdt>
        <w:sdtPr>
          <w:rPr>
            <w:color w:val="000000"/>
          </w:rPr>
          <w:tag w:val="MENDELEY_CITATION_v3_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"/>
          <w:id w:val="-500885413"/>
          <w:placeholder>
            <w:docPart w:val="DefaultPlaceholder_-1854013440"/>
          </w:placeholder>
        </w:sdtPr>
        <w:sdtContent>
          <w:r w:rsidR="00B43409" w:rsidRPr="00B43409">
            <w:rPr>
              <w:color w:val="000000"/>
            </w:rPr>
            <w:t>[487]</w:t>
          </w:r>
        </w:sdtContent>
      </w:sdt>
      <w:r w:rsidRPr="001D228D">
        <w:t xml:space="preserve">. SBF measurements are used to characterise reflex thermoregulatory responses to whole-body heating and cooling, local thermal control mechanisms, and age- or disease-related changes in microvascular function that may modify thermal tolerance </w:t>
      </w:r>
      <w:sdt>
        <w:sdtPr>
          <w:rPr>
            <w:color w:val="000000"/>
          </w:rPr>
          <w:tag w:val="MENDELEY_CITATION_v3_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"/>
          <w:id w:val="1375739333"/>
          <w:placeholder>
            <w:docPart w:val="DefaultPlaceholder_-1854013440"/>
          </w:placeholder>
        </w:sdtPr>
        <w:sdtContent>
          <w:r w:rsidR="00B43409" w:rsidRPr="00B43409">
            <w:rPr>
              <w:color w:val="000000"/>
            </w:rPr>
            <w:t>[488,489]</w:t>
          </w:r>
        </w:sdtContent>
      </w:sdt>
      <w:r w:rsidRPr="001D228D">
        <w:t>.</w:t>
      </w:r>
    </w:p>
    <w:p w14:paraId="5165FBD4" w14:textId="2660F136" w:rsidR="00CE64DB" w:rsidRPr="001D228D" w:rsidRDefault="00CE64DB" w:rsidP="001150F4">
      <w:r w:rsidRPr="001D228D">
        <w:rPr>
          <w:b/>
          <w:bCs/>
        </w:rPr>
        <w:t>How.</w:t>
      </w:r>
      <w:r w:rsidRPr="001D228D">
        <w:t xml:space="preserve"> SBF is commonly assessed using laser Doppler flowmetry, which estimates red blood cell flux in superficial capillary beds, or by optical photoplethysmography, which infers perfusion from pulsatile changes in light absorption. These techniques provide continuous time series in arbitrary perfusion units rather than absolute flow. For mechanistic studies, local heating or cooling protocols can be applied to the measurement site to probe reflex and local control mechanisms </w:t>
      </w:r>
      <w:sdt>
        <w:sdtPr>
          <w:rPr>
            <w:color w:val="000000"/>
          </w:rPr>
          <w:tag w:val="MENDELEY_CITATION_v3_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"/>
          <w:id w:val="2065986804"/>
          <w:placeholder>
            <w:docPart w:val="DefaultPlaceholder_-1854013440"/>
          </w:placeholder>
        </w:sdtPr>
        <w:sdtContent>
          <w:r w:rsidR="00B43409" w:rsidRPr="00B43409">
            <w:rPr>
              <w:color w:val="000000"/>
            </w:rPr>
            <w:t>[490]</w:t>
          </w:r>
        </w:sdtContent>
      </w:sdt>
      <w:r w:rsidRPr="001D228D">
        <w:t>.</w:t>
      </w:r>
    </w:p>
    <w:p w14:paraId="507AC3BD" w14:textId="43D5618C" w:rsidR="00CE64DB" w:rsidRPr="001D228D" w:rsidRDefault="00CE64DB" w:rsidP="001150F4">
      <w:r w:rsidRPr="001D228D">
        <w:rPr>
          <w:b/>
          <w:bCs/>
        </w:rPr>
        <w:t>Where.</w:t>
      </w:r>
      <w:r w:rsidRPr="001D228D">
        <w:t xml:space="preserve"> Probes are taped or strapped to the skin over regions of interest, typically the ventral forearm, dorsal hand, fingertip, calf, or foot. Sites are chosen to match the research question: for example, distal extremities to study arteriovenous anastomoses, or forearm and calf to examine non-glabrous skin responses </w:t>
      </w:r>
      <w:sdt>
        <w:sdtPr>
          <w:rPr>
            <w:color w:val="000000"/>
          </w:rPr>
          <w:tag w:val="MENDELEY_CITATION_v3_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"/>
          <w:id w:val="2101219591"/>
          <w:placeholder>
            <w:docPart w:val="DefaultPlaceholder_-1854013440"/>
          </w:placeholder>
        </w:sdtPr>
        <w:sdtContent>
          <w:r w:rsidR="00B43409" w:rsidRPr="00B43409">
            <w:rPr>
              <w:color w:val="000000"/>
            </w:rPr>
            <w:t>[487]</w:t>
          </w:r>
        </w:sdtContent>
      </w:sdt>
      <w:r w:rsidRPr="001D228D">
        <w:t>. Probes are usually shielded from direct drafts and radiative sources to minimise local environmental artefacts. In built-environment studies, SBF remains more common in small mechanistic protocols than in larger field deployments because of its sensitivity to motion and the need for site-specific preparation.</w:t>
      </w:r>
    </w:p>
    <w:p w14:paraId="10B40DB1" w14:textId="77777777" w:rsidR="00CE64DB" w:rsidRPr="001D228D" w:rsidRDefault="00CE64DB" w:rsidP="007A2440">
      <w:pPr>
        <w:pStyle w:val="Heading3"/>
        <w:rPr>
          <w:lang w:val="en-GB"/>
        </w:rPr>
      </w:pPr>
      <w:bookmarkStart w:id="81" w:name="_Toc223281701"/>
      <w:r w:rsidRPr="001D228D">
        <w:rPr>
          <w:lang w:val="en-GB"/>
        </w:rPr>
        <w:t>Endocrine and biochemical markers</w:t>
      </w:r>
      <w:bookmarkEnd w:id="81"/>
    </w:p>
    <w:p w14:paraId="667E0595" w14:textId="290D0DCD" w:rsidR="00CE64DB" w:rsidRPr="001D228D" w:rsidRDefault="00CE64DB" w:rsidP="001150F4">
      <w:r w:rsidRPr="001D228D">
        <w:rPr>
          <w:b/>
          <w:bCs/>
        </w:rPr>
        <w:t>Why.</w:t>
      </w:r>
      <w:r w:rsidRPr="001D228D">
        <w:t xml:space="preserve"> Hormonal and biochemical markers provide an integrative view of stress, circadian phase, inflammation, and metabolic status that can modulate or contextualise thermophysiological responses. Cortisol profiles are used to index hypothalamic–pituitary–adrenal (HPA) axis activity and its circadian rhythm or response to environmental and psychosocial stressors </w:t>
      </w:r>
      <w:sdt>
        <w:sdtPr>
          <w:rPr>
            <w:color w:val="000000"/>
          </w:rPr>
          <w:tag w:val="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"/>
          <w:id w:val="470420400"/>
          <w:placeholder>
            <w:docPart w:val="DefaultPlaceholder_-1854013440"/>
          </w:placeholder>
        </w:sdtPr>
        <w:sdtContent>
          <w:r w:rsidR="00B43409" w:rsidRPr="00B43409">
            <w:rPr>
              <w:color w:val="000000"/>
            </w:rPr>
            <w:t>[491,492]</w:t>
          </w:r>
        </w:sdtContent>
      </w:sdt>
      <w:r w:rsidRPr="001D228D">
        <w:t xml:space="preserve">. Melatonin timing, especially dim-light melatonin onset (DLMO), serves as a robust circadian phase marker that can anchor interpretation of temperature, sleep, and autonomic rhythms </w:t>
      </w:r>
      <w:sdt>
        <w:sdtPr>
          <w:rPr>
            <w:color w:val="000000"/>
          </w:rPr>
          <w:tag w:val="MENDELEY_CITATION_v3_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"/>
          <w:id w:val="628902354"/>
          <w:placeholder>
            <w:docPart w:val="DefaultPlaceholder_-1854013440"/>
          </w:placeholder>
        </w:sdtPr>
        <w:sdtContent>
          <w:r w:rsidR="00B43409" w:rsidRPr="00B43409">
            <w:rPr>
              <w:color w:val="000000"/>
            </w:rPr>
            <w:t>[493,494]</w:t>
          </w:r>
        </w:sdtContent>
      </w:sdt>
      <w:r w:rsidRPr="001D228D">
        <w:t>. Inflammatory markers or endothelial indicators are sometimes measured in studies linking environmental exposures to vascular or metabolic risk.</w:t>
      </w:r>
    </w:p>
    <w:p w14:paraId="0BA90D82" w14:textId="6CAEBCF2" w:rsidR="00CE64DB" w:rsidRPr="001D228D" w:rsidRDefault="00CE64DB" w:rsidP="001150F4">
      <w:r w:rsidRPr="001D228D">
        <w:rPr>
          <w:b/>
          <w:bCs/>
        </w:rPr>
        <w:t>How.</w:t>
      </w:r>
      <w:r w:rsidRPr="001D228D">
        <w:t xml:space="preserve"> These markers are sampled discretely rather than continuously. Cortisol can be assayed from serum, saliva, urine, hair, or interstitial fluid; salivary and urinary cortisol are particularly useful for repeated sampling over the day and for capturing circadian patterns </w:t>
      </w:r>
      <w:sdt>
        <w:sdtPr>
          <w:rPr>
            <w:color w:val="000000"/>
          </w:rPr>
          <w:tag w:val="MENDELEY_CITATION_v3_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"/>
          <w:id w:val="-520167271"/>
          <w:placeholder>
            <w:docPart w:val="DefaultPlaceholder_-1854013440"/>
          </w:placeholder>
        </w:sdtPr>
        <w:sdtContent>
          <w:r w:rsidR="00B43409" w:rsidRPr="00B43409">
            <w:rPr>
              <w:color w:val="000000"/>
            </w:rPr>
            <w:t>[495,496]</w:t>
          </w:r>
        </w:sdtContent>
      </w:sdt>
      <w:r w:rsidRPr="001D228D">
        <w:t xml:space="preserve">. Melatonin is typically measured from saliva or plasma samples collected at regular intervals in the evening to determine DLMO </w:t>
      </w:r>
      <w:sdt>
        <w:sdtPr>
          <w:rPr>
            <w:color w:val="000000"/>
          </w:rPr>
          <w:tag w:val="MENDELEY_CITATION_v3_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"/>
          <w:id w:val="1391230639"/>
          <w:placeholder>
            <w:docPart w:val="DefaultPlaceholder_-1854013440"/>
          </w:placeholder>
        </w:sdtPr>
        <w:sdtContent>
          <w:r w:rsidR="00B43409" w:rsidRPr="00B43409">
            <w:rPr>
              <w:color w:val="000000"/>
            </w:rPr>
            <w:t>[497,498]</w:t>
          </w:r>
        </w:sdtContent>
      </w:sdt>
      <w:r w:rsidRPr="001D228D">
        <w:t>. Inflammatory and endothelial markers, lipids and other biochemical measures are generally obtained from venous blood and analysed in batches.</w:t>
      </w:r>
    </w:p>
    <w:p w14:paraId="6F77E8AC" w14:textId="56A5CD44" w:rsidR="00CE64DB" w:rsidRPr="001D228D" w:rsidRDefault="00CE64DB" w:rsidP="001150F4">
      <w:r w:rsidRPr="001D228D">
        <w:rPr>
          <w:b/>
          <w:bCs/>
        </w:rPr>
        <w:t>Where.</w:t>
      </w:r>
      <w:r w:rsidRPr="001D228D">
        <w:t xml:space="preserve"> Blood samples are drawn from peripheral veins (usually in the arm), saliva is collected via oral swabs or passive drool, and urine is collected either as spot samples or over defined intervals. In many environmental or field studies, saliva and urine are preferred for logistical reasons, with serum used when clinical or more detailed biochemical profiling is required </w:t>
      </w:r>
      <w:sdt>
        <w:sdtPr>
          <w:rPr>
            <w:color w:val="000000"/>
          </w:rPr>
          <w:tag w:val="MENDELEY_CITATION_v3_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"/>
          <w:id w:val="70859158"/>
          <w:placeholder>
            <w:docPart w:val="DefaultPlaceholder_-1854013440"/>
          </w:placeholder>
        </w:sdtPr>
        <w:sdtContent>
          <w:r w:rsidR="00B43409" w:rsidRPr="00B43409">
            <w:rPr>
              <w:color w:val="000000"/>
            </w:rPr>
            <w:t>[499]</w:t>
          </w:r>
        </w:sdtContent>
      </w:sdt>
      <w:r w:rsidRPr="001D228D">
        <w:t>. Interpretation focuses on systemic or whole-day patterns rather than local tissue concentrations.</w:t>
      </w:r>
    </w:p>
    <w:p w14:paraId="66261461" w14:textId="77777777" w:rsidR="00CE64DB" w:rsidRPr="001D228D" w:rsidRDefault="00CE64DB" w:rsidP="007A2440">
      <w:pPr>
        <w:pStyle w:val="Heading3"/>
        <w:rPr>
          <w:lang w:val="en-GB"/>
        </w:rPr>
      </w:pPr>
      <w:bookmarkStart w:id="82" w:name="_Toc223281702"/>
      <w:r w:rsidRPr="001D228D">
        <w:rPr>
          <w:lang w:val="en-GB"/>
        </w:rPr>
        <w:t>Movement and activity (accelerometry)</w:t>
      </w:r>
      <w:bookmarkEnd w:id="82"/>
    </w:p>
    <w:p w14:paraId="5DE8BDDB" w14:textId="5AD2713D" w:rsidR="00CE64DB" w:rsidRPr="001D228D" w:rsidRDefault="00CE64DB" w:rsidP="001150F4">
      <w:r w:rsidRPr="001D228D">
        <w:rPr>
          <w:b/>
          <w:bCs/>
        </w:rPr>
        <w:t>Why.</w:t>
      </w:r>
      <w:r w:rsidRPr="001D228D">
        <w:t xml:space="preserve"> Movement and posture influence convective and evaporative heat loss and shape the context in which physiological signals are recorded. Accelerometry provides an objective record of whether a participant is sitting, standing, walking, or engaging in more vigorous activity, and is often used to distinguish low-level activity from true rest, to flag motion artefacts in other signals, and to interpret differences in thermal responses between sessions or participants. In sedentary built-environment studies, activity data are typically used as contextual covariates rather than primary outcomes </w:t>
      </w:r>
      <w:sdt>
        <w:sdtPr>
          <w:rPr>
            <w:color w:val="000000"/>
          </w:rPr>
          <w:tag w:val="MENDELEY_CITATION_v3_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"/>
          <w:id w:val="926076583"/>
          <w:placeholder>
            <w:docPart w:val="DefaultPlaceholder_-1854013440"/>
          </w:placeholder>
        </w:sdtPr>
        <w:sdtContent>
          <w:r w:rsidR="00B43409" w:rsidRPr="00B43409">
            <w:rPr>
              <w:color w:val="000000"/>
            </w:rPr>
            <w:t>[500]</w:t>
          </w:r>
        </w:sdtContent>
      </w:sdt>
      <w:r w:rsidRPr="001D228D">
        <w:t>.</w:t>
      </w:r>
    </w:p>
    <w:p w14:paraId="44C8549F" w14:textId="6FE17339" w:rsidR="00CE64DB" w:rsidRPr="001D228D" w:rsidRDefault="00CE64DB" w:rsidP="001150F4">
      <w:r w:rsidRPr="001D228D">
        <w:rPr>
          <w:b/>
          <w:bCs/>
        </w:rPr>
        <w:t>How.</w:t>
      </w:r>
      <w:r w:rsidRPr="001D228D">
        <w:t xml:space="preserve"> Accelerometers measure tri-axial linear acceleration, and sometimes angular velocity, at sampling rates from a few Hz to several hundred Hz. Many optical heart-rate, ECG and smartwatch devices include embedded accelerometers, so movement data are often available without additional hardware. Dedicated activity monitors provide higher configurability and may include posture classification algorithms. Raw acceleration can be processed into step </w:t>
      </w:r>
      <w:r w:rsidRPr="001D228D">
        <w:lastRenderedPageBreak/>
        <w:t xml:space="preserve">counts, activity counts, posture labels, or simple metrics such as time spent sitting vs standing and number of sit-to-stand transitions </w:t>
      </w:r>
      <w:sdt>
        <w:sdtPr>
          <w:rPr>
            <w:color w:val="000000"/>
          </w:rPr>
          <w:tag w:val="MENDELEY_CITATION_v3_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"/>
          <w:id w:val="-1033032922"/>
          <w:placeholder>
            <w:docPart w:val="DefaultPlaceholder_-1854013440"/>
          </w:placeholder>
        </w:sdtPr>
        <w:sdtContent>
          <w:r w:rsidR="00B43409" w:rsidRPr="00B43409">
            <w:rPr>
              <w:color w:val="000000"/>
            </w:rPr>
            <w:t>[500,501]</w:t>
          </w:r>
        </w:sdtContent>
      </w:sdt>
      <w:r w:rsidRPr="001D228D">
        <w:t>.</w:t>
      </w:r>
    </w:p>
    <w:p w14:paraId="54633E56" w14:textId="227EB410" w:rsidR="00CE64DB" w:rsidRPr="001D228D" w:rsidRDefault="00CE64DB" w:rsidP="001150F4">
      <w:r w:rsidRPr="001D228D">
        <w:rPr>
          <w:b/>
          <w:bCs/>
        </w:rPr>
        <w:t>Where.</w:t>
      </w:r>
      <w:r w:rsidRPr="001D228D">
        <w:t xml:space="preserve"> Sensors are typically worn on the wrist, chest, waist, or thigh. Wrist-worn accelerometry is convenient and aligns with common wearable devices but is less precise for posture discrimination; thigh- or waist-mounted sensors provide better separation of sitting, standing and stepping at the cost of slightly higher burden </w:t>
      </w:r>
      <w:sdt>
        <w:sdtPr>
          <w:rPr>
            <w:color w:val="000000"/>
          </w:rPr>
          <w:tag w:val="MENDELEY_CITATION_v3_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"/>
          <w:id w:val="-1070881856"/>
          <w:placeholder>
            <w:docPart w:val="DefaultPlaceholder_-1854013440"/>
          </w:placeholder>
        </w:sdtPr>
        <w:sdtContent>
          <w:r w:rsidR="00B43409" w:rsidRPr="00B43409">
            <w:rPr>
              <w:color w:val="000000"/>
            </w:rPr>
            <w:t>[502,503]</w:t>
          </w:r>
        </w:sdtContent>
      </w:sdt>
      <w:r w:rsidRPr="001D228D">
        <w:t>. In built-environment protocols, wrist or chest placements are often chosen to co-locate accelerometry with HR or ECG sensors.</w:t>
      </w:r>
    </w:p>
    <w:p w14:paraId="7E5B5CA1" w14:textId="77777777" w:rsidR="00CE64DB" w:rsidRPr="001D228D" w:rsidRDefault="00CE64DB" w:rsidP="007A2440">
      <w:pPr>
        <w:pStyle w:val="Heading3"/>
        <w:rPr>
          <w:lang w:val="en-GB"/>
        </w:rPr>
      </w:pPr>
      <w:bookmarkStart w:id="83" w:name="_Toc223281703"/>
      <w:r w:rsidRPr="001D228D">
        <w:rPr>
          <w:lang w:val="en-GB"/>
        </w:rPr>
        <w:t>Respiratory and metabolic measures</w:t>
      </w:r>
      <w:bookmarkEnd w:id="83"/>
    </w:p>
    <w:p w14:paraId="11FD8234" w14:textId="58288121" w:rsidR="00CE64DB" w:rsidRPr="001D228D" w:rsidRDefault="00CE64DB" w:rsidP="001150F4">
      <w:r w:rsidRPr="001D228D">
        <w:rPr>
          <w:b/>
          <w:bCs/>
        </w:rPr>
        <w:t>Why.</w:t>
      </w:r>
      <w:r w:rsidRPr="001D228D">
        <w:t xml:space="preserve"> Ventilation and metabolic rate determine internal heat production and influence gas exchange, which can interact with indoor air quality and thermal comfort. In some laboratory-based thermophysiology studies, respiratory and metabolic measurements are used to quantify resting energy expenditure, the metabolic cost of tasks, or the effect of temperature on ventilatory patterns. These data help separate changes in heat storage due to altered environmental heat loss from those caused by shifts in metabolic rate </w:t>
      </w:r>
      <w:sdt>
        <w:sdtPr>
          <w:rPr>
            <w:color w:val="000000"/>
          </w:rPr>
          <w:tag w:val="MENDELEY_CITATION_v3_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"/>
          <w:id w:val="-782649766"/>
          <w:placeholder>
            <w:docPart w:val="DefaultPlaceholder_-1854013440"/>
          </w:placeholder>
        </w:sdtPr>
        <w:sdtContent>
          <w:r w:rsidR="00B43409" w:rsidRPr="00B43409">
            <w:rPr>
              <w:color w:val="000000"/>
            </w:rPr>
            <w:t>[504]</w:t>
          </w:r>
        </w:sdtContent>
      </w:sdt>
      <w:r w:rsidRPr="001D228D">
        <w:t>.</w:t>
      </w:r>
    </w:p>
    <w:p w14:paraId="4578C627" w14:textId="70C95446" w:rsidR="00CE64DB" w:rsidRPr="001D228D" w:rsidRDefault="00CE64DB" w:rsidP="001150F4">
      <w:r w:rsidRPr="001D228D">
        <w:rPr>
          <w:b/>
          <w:bCs/>
        </w:rPr>
        <w:t xml:space="preserve">How. </w:t>
      </w:r>
      <w:r w:rsidRPr="001D228D">
        <w:t xml:space="preserve">Metabolic rate is most commonly measured by indirect calorimetry, which estimates oxygen consumption (VO₂) and carbon dioxide production (VCO₂) by analysing inspired and expired gases. From these, resting or task-related energy expenditure can be calculated </w:t>
      </w:r>
      <w:sdt>
        <w:sdtPr>
          <w:rPr>
            <w:color w:val="000000"/>
          </w:rPr>
          <w:tag w:val="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"/>
          <w:id w:val="-186915506"/>
          <w:placeholder>
            <w:docPart w:val="DefaultPlaceholder_-1854013440"/>
          </w:placeholder>
        </w:sdtPr>
        <w:sdtContent>
          <w:r w:rsidR="00B43409" w:rsidRPr="00B43409">
            <w:rPr>
              <w:color w:val="000000"/>
            </w:rPr>
            <w:t>[504,505]</w:t>
          </w:r>
        </w:sdtContent>
      </w:sdt>
      <w:r w:rsidRPr="001D228D">
        <w:t xml:space="preserve">. Gas exchange is recorded breath-by-breath or averaged over short windows; several methods exist for processing VO₂/VCO₂ time series for steady-state or maximal values </w:t>
      </w:r>
      <w:sdt>
        <w:sdtPr>
          <w:rPr>
            <w:color w:val="000000"/>
          </w:rPr>
          <w:tag w:val="MENDELEY_CITATION_v3_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"/>
          <w:id w:val="-1372613748"/>
          <w:placeholder>
            <w:docPart w:val="DefaultPlaceholder_-1854013440"/>
          </w:placeholder>
        </w:sdtPr>
        <w:sdtContent>
          <w:r w:rsidR="00B43409" w:rsidRPr="00B43409">
            <w:rPr>
              <w:color w:val="000000"/>
            </w:rPr>
            <w:t>[506,507]</w:t>
          </w:r>
        </w:sdtContent>
      </w:sdt>
      <w:r w:rsidRPr="001D228D">
        <w:t>. Ventilation and respiratory pattern can also be monitored using respiratory inductance plethysmography belts, nasal thermistors, or pressure sensors, providing information on breathing frequency and tidal volume without full calorimetry.</w:t>
      </w:r>
    </w:p>
    <w:p w14:paraId="4556A806" w14:textId="03204AED" w:rsidR="00CE64DB" w:rsidRPr="001D228D" w:rsidRDefault="00CE64DB" w:rsidP="001150F4">
      <w:r w:rsidRPr="001D228D">
        <w:rPr>
          <w:b/>
          <w:bCs/>
        </w:rPr>
        <w:t>Where.</w:t>
      </w:r>
      <w:r w:rsidRPr="001D228D">
        <w:t xml:space="preserve"> Indirect calorimetry typically uses a mouthpiece with a nose clip, or a tight-fitting face mask, connected to a metabolic cart or a portable gas analyser. Respiratory belts are placed around the thorax and abdomen, while nasal thermistors or pressure transducers are positioned near the nostrils. These setups are more intrusive than most other signals discussed in this paper and are therefore mainly used in short, controlled laboratory exposures rather than long-duration building field studies </w:t>
      </w:r>
      <w:sdt>
        <w:sdtPr>
          <w:rPr>
            <w:color w:val="000000"/>
          </w:rPr>
          <w:tag w:val="MENDELEY_CITATION_v3_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"/>
          <w:id w:val="-675723725"/>
          <w:placeholder>
            <w:docPart w:val="DefaultPlaceholder_-1854013440"/>
          </w:placeholder>
        </w:sdtPr>
        <w:sdtContent>
          <w:r w:rsidR="00B43409" w:rsidRPr="00B43409">
            <w:rPr>
              <w:color w:val="000000"/>
            </w:rPr>
            <w:t>[504]</w:t>
          </w:r>
        </w:sdtContent>
      </w:sdt>
      <w:r w:rsidRPr="001D228D">
        <w:t>. In the context of built-environment research, respiratory and metabolic measures remain specialised tools for selected protocols where heat production is a primary outcome.</w:t>
      </w:r>
    </w:p>
    <w:bookmarkEnd w:id="78"/>
    <w:p w14:paraId="2878D090" w14:textId="77777777" w:rsidR="00CE64DB" w:rsidRDefault="00CE64DB" w:rsidP="001150F4"/>
    <w:p w14:paraId="3DE5EABF" w14:textId="77777777" w:rsidR="00CE64DB" w:rsidRDefault="00CE64DB" w:rsidP="001150F4"/>
    <w:p w14:paraId="386B7156" w14:textId="77777777" w:rsidR="00CE64DB" w:rsidRDefault="00CE64DB" w:rsidP="001150F4"/>
    <w:p w14:paraId="0CE7C2D1" w14:textId="77777777" w:rsidR="00CE64DB" w:rsidRDefault="00CE64DB" w:rsidP="001150F4"/>
    <w:p w14:paraId="322985D9" w14:textId="77777777" w:rsidR="00CE64DB" w:rsidRDefault="00CE64DB" w:rsidP="001150F4"/>
    <w:p w14:paraId="7E0098F7" w14:textId="77777777" w:rsidR="00CE64DB" w:rsidRDefault="00CE64DB" w:rsidP="001150F4"/>
    <w:p w14:paraId="77F93257" w14:textId="77777777" w:rsidR="00CE64DB" w:rsidRDefault="00CE64DB" w:rsidP="001150F4"/>
    <w:p w14:paraId="2E0D2220" w14:textId="77777777" w:rsidR="00CE64DB" w:rsidRDefault="00CE64DB" w:rsidP="001150F4"/>
    <w:p w14:paraId="48E2FC77" w14:textId="77777777" w:rsidR="00CE64DB" w:rsidRDefault="00CE64DB" w:rsidP="001150F4"/>
    <w:p w14:paraId="50F3D996" w14:textId="77777777" w:rsidR="00DB5AA9" w:rsidRDefault="00DB5AA9" w:rsidP="001150F4"/>
    <w:p w14:paraId="36EE4710" w14:textId="77777777" w:rsidR="00DB5AA9" w:rsidRDefault="00DB5AA9" w:rsidP="001150F4"/>
    <w:p w14:paraId="37BE3803" w14:textId="77777777" w:rsidR="00DB5AA9" w:rsidRDefault="00DB5AA9" w:rsidP="001150F4"/>
    <w:p w14:paraId="644F8C82" w14:textId="77777777" w:rsidR="00DB5AA9" w:rsidRDefault="00DB5AA9" w:rsidP="001150F4"/>
    <w:p w14:paraId="38E029ED" w14:textId="77777777" w:rsidR="00DB5AA9" w:rsidRDefault="00DB5AA9" w:rsidP="001150F4"/>
    <w:p w14:paraId="6731BEB8" w14:textId="77777777" w:rsidR="00DB5AA9" w:rsidRDefault="00DB5AA9" w:rsidP="001150F4"/>
    <w:p w14:paraId="76597071" w14:textId="77777777" w:rsidR="00DB5AA9" w:rsidRDefault="00DB5AA9" w:rsidP="00DB5AA9">
      <w:pPr>
        <w:pStyle w:val="Heading1"/>
      </w:pPr>
      <w:bookmarkStart w:id="84" w:name="_Toc223281705"/>
      <w:r>
        <w:lastRenderedPageBreak/>
        <w:t>NOMENCLATURE</w:t>
      </w:r>
      <w:bookmarkEnd w:id="84"/>
    </w:p>
    <w:p w14:paraId="603B8A46" w14:textId="396C9A01" w:rsidR="00DB5AA9" w:rsidRPr="001D228D" w:rsidRDefault="00DB5AA9" w:rsidP="00DB5AA9">
      <w:pPr>
        <w:pStyle w:val="Caption"/>
      </w:pPr>
      <w:r w:rsidRPr="001D228D">
        <w:t xml:space="preserve">Table </w:t>
      </w:r>
      <w:r w:rsidRPr="001D228D">
        <w:fldChar w:fldCharType="begin"/>
      </w:r>
      <w:r w:rsidRPr="001D228D">
        <w:instrText xml:space="preserve"> SEQ Table \* ARABIC </w:instrText>
      </w:r>
      <w:r w:rsidRPr="001D228D">
        <w:fldChar w:fldCharType="separate"/>
      </w:r>
      <w:r w:rsidR="007650AF">
        <w:rPr>
          <w:noProof/>
        </w:rPr>
        <w:t>6</w:t>
      </w:r>
      <w:r w:rsidRPr="001D228D">
        <w:fldChar w:fldCharType="end"/>
      </w:r>
      <w:r w:rsidRPr="001D228D">
        <w:t>. Physiological variable naming conventions in thermal physiology studies</w:t>
      </w:r>
    </w:p>
    <w:tbl>
      <w:tblPr>
        <w:tblStyle w:val="PlainTable5"/>
        <w:tblW w:w="10170" w:type="dxa"/>
        <w:tblInd w:w="-450" w:type="dxa"/>
        <w:tblLook w:val="04A0" w:firstRow="1" w:lastRow="0" w:firstColumn="1" w:lastColumn="0" w:noHBand="0" w:noVBand="1"/>
      </w:tblPr>
      <w:tblGrid>
        <w:gridCol w:w="1465"/>
        <w:gridCol w:w="2045"/>
        <w:gridCol w:w="1466"/>
        <w:gridCol w:w="2134"/>
        <w:gridCol w:w="3060"/>
      </w:tblGrid>
      <w:tr w:rsidR="00DB5AA9" w:rsidRPr="00B0476C" w14:paraId="35837D41" w14:textId="77777777" w:rsidTr="003570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5" w:type="dxa"/>
            <w:hideMark/>
          </w:tcPr>
          <w:p w14:paraId="67347692" w14:textId="77777777" w:rsidR="00DB5AA9" w:rsidRPr="00B0476C" w:rsidRDefault="00DB5AA9" w:rsidP="0035708B">
            <w:pPr>
              <w:rPr>
                <w:b/>
                <w:bCs/>
                <w:i w:val="0"/>
                <w:iCs w:val="0"/>
                <w:sz w:val="18"/>
                <w:szCs w:val="18"/>
              </w:rPr>
            </w:pPr>
            <w:r w:rsidRPr="00B0476C">
              <w:rPr>
                <w:b/>
                <w:bCs/>
                <w:i w:val="0"/>
                <w:iCs w:val="0"/>
                <w:sz w:val="18"/>
                <w:szCs w:val="18"/>
              </w:rPr>
              <w:t>Metric family</w:t>
            </w:r>
          </w:p>
        </w:tc>
        <w:tc>
          <w:tcPr>
            <w:tcW w:w="2045" w:type="dxa"/>
            <w:hideMark/>
          </w:tcPr>
          <w:p w14:paraId="62B5A264"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Specific variable / measure</w:t>
            </w:r>
          </w:p>
        </w:tc>
        <w:tc>
          <w:tcPr>
            <w:tcW w:w="1466" w:type="dxa"/>
            <w:hideMark/>
          </w:tcPr>
          <w:p w14:paraId="6D23D0FC"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Unit</w:t>
            </w:r>
          </w:p>
        </w:tc>
        <w:tc>
          <w:tcPr>
            <w:tcW w:w="2134" w:type="dxa"/>
            <w:hideMark/>
          </w:tcPr>
          <w:p w14:paraId="12153AA7"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Common aliases / symbols</w:t>
            </w:r>
          </w:p>
        </w:tc>
        <w:tc>
          <w:tcPr>
            <w:tcW w:w="3060" w:type="dxa"/>
            <w:hideMark/>
          </w:tcPr>
          <w:p w14:paraId="5377C9BF" w14:textId="77777777" w:rsidR="00DB5AA9" w:rsidRPr="00B0476C" w:rsidRDefault="00DB5AA9" w:rsidP="0035708B">
            <w:pP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B0476C">
              <w:rPr>
                <w:b/>
                <w:bCs/>
                <w:i w:val="0"/>
                <w:iCs w:val="0"/>
                <w:sz w:val="18"/>
                <w:szCs w:val="18"/>
              </w:rPr>
              <w:t>Notes</w:t>
            </w:r>
          </w:p>
        </w:tc>
      </w:tr>
      <w:tr w:rsidR="00DB5AA9" w:rsidRPr="00B0476C" w14:paraId="484DB9E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hideMark/>
          </w:tcPr>
          <w:p w14:paraId="1068EA6D" w14:textId="77777777" w:rsidR="00DB5AA9" w:rsidRPr="00B0476C" w:rsidRDefault="00DB5AA9" w:rsidP="0035708B">
            <w:pPr>
              <w:rPr>
                <w:sz w:val="18"/>
                <w:szCs w:val="18"/>
              </w:rPr>
            </w:pPr>
            <w:r w:rsidRPr="00B0476C">
              <w:rPr>
                <w:sz w:val="18"/>
                <w:szCs w:val="18"/>
              </w:rPr>
              <w:t>Core body temperature (</w:t>
            </w:r>
            <w:r w:rsidRPr="00B0476C">
              <w:rPr>
                <w:i w:val="0"/>
                <w:iCs w:val="0"/>
                <w:sz w:val="18"/>
                <w:szCs w:val="18"/>
              </w:rPr>
              <w:t>CBT, T</w:t>
            </w:r>
            <w:r w:rsidRPr="00B0476C">
              <w:rPr>
                <w:i w:val="0"/>
                <w:iCs w:val="0"/>
                <w:sz w:val="18"/>
                <w:szCs w:val="18"/>
                <w:vertAlign w:val="subscript"/>
              </w:rPr>
              <w:t xml:space="preserve">core, </w:t>
            </w:r>
            <w:r w:rsidRPr="00B0476C">
              <w:rPr>
                <w:i w:val="0"/>
                <w:iCs w:val="0"/>
                <w:sz w:val="18"/>
                <w:szCs w:val="18"/>
              </w:rPr>
              <w:t>T</w:t>
            </w:r>
            <w:r w:rsidRPr="00B0476C">
              <w:rPr>
                <w:i w:val="0"/>
                <w:iCs w:val="0"/>
                <w:sz w:val="18"/>
                <w:szCs w:val="18"/>
                <w:vertAlign w:val="subscript"/>
              </w:rPr>
              <w:t>CORE</w:t>
            </w:r>
            <w:r w:rsidRPr="00B0476C">
              <w:rPr>
                <w:i w:val="0"/>
                <w:iCs w:val="0"/>
                <w:sz w:val="18"/>
                <w:szCs w:val="18"/>
              </w:rPr>
              <w:t>,</w:t>
            </w:r>
            <w:r w:rsidRPr="00B0476C">
              <w:rPr>
                <w:i w:val="0"/>
                <w:iCs w:val="0"/>
                <w:sz w:val="18"/>
                <w:szCs w:val="18"/>
                <w:vertAlign w:val="subscript"/>
              </w:rPr>
              <w:t xml:space="preserve"> </w:t>
            </w:r>
            <w:r w:rsidRPr="00B0476C">
              <w:rPr>
                <w:i w:val="0"/>
                <w:iCs w:val="0"/>
                <w:sz w:val="18"/>
                <w:szCs w:val="18"/>
              </w:rPr>
              <w:t>t</w:t>
            </w:r>
            <w:r w:rsidRPr="00B0476C">
              <w:rPr>
                <w:i w:val="0"/>
                <w:iCs w:val="0"/>
                <w:sz w:val="18"/>
                <w:szCs w:val="18"/>
                <w:vertAlign w:val="subscript"/>
              </w:rPr>
              <w:t xml:space="preserve">core, </w:t>
            </w:r>
            <w:r w:rsidRPr="00B0476C">
              <w:rPr>
                <w:sz w:val="18"/>
                <w:szCs w:val="18"/>
              </w:rPr>
              <w:t>t</w:t>
            </w:r>
            <w:r w:rsidRPr="00B0476C">
              <w:rPr>
                <w:i w:val="0"/>
                <w:iCs w:val="0"/>
                <w:sz w:val="18"/>
                <w:szCs w:val="18"/>
                <w:vertAlign w:val="subscript"/>
              </w:rPr>
              <w:t>cr</w:t>
            </w:r>
            <w:r w:rsidRPr="00B0476C">
              <w:rPr>
                <w:sz w:val="18"/>
                <w:szCs w:val="18"/>
              </w:rPr>
              <w:t>)</w:t>
            </w:r>
          </w:p>
        </w:tc>
        <w:tc>
          <w:tcPr>
            <w:tcW w:w="2045" w:type="dxa"/>
            <w:hideMark/>
          </w:tcPr>
          <w:p w14:paraId="23F619D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Rectal temperature</w:t>
            </w:r>
          </w:p>
        </w:tc>
        <w:tc>
          <w:tcPr>
            <w:tcW w:w="1466" w:type="dxa"/>
            <w:hideMark/>
          </w:tcPr>
          <w:p w14:paraId="3349F01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hideMark/>
          </w:tcPr>
          <w:p w14:paraId="368CC24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 xml:space="preserve">trect, trec, tr, </w:t>
            </w:r>
            <w:r w:rsidRPr="00B0476C">
              <w:rPr>
                <w:i/>
                <w:iCs/>
                <w:sz w:val="18"/>
                <w:szCs w:val="18"/>
              </w:rPr>
              <w:t>t</w:t>
            </w:r>
            <w:r w:rsidRPr="00B0476C">
              <w:rPr>
                <w:sz w:val="18"/>
                <w:szCs w:val="18"/>
                <w:vertAlign w:val="subscript"/>
              </w:rPr>
              <w:t>re</w:t>
            </w:r>
            <w:r w:rsidRPr="00B0476C">
              <w:rPr>
                <w:sz w:val="18"/>
                <w:szCs w:val="18"/>
              </w:rPr>
              <w:t>, tre, Trect, Trec, Tr, T</w:t>
            </w:r>
            <w:r w:rsidRPr="00B0476C">
              <w:rPr>
                <w:sz w:val="18"/>
                <w:szCs w:val="18"/>
                <w:vertAlign w:val="subscript"/>
              </w:rPr>
              <w:t>re</w:t>
            </w:r>
            <w:r w:rsidRPr="00B0476C">
              <w:rPr>
                <w:sz w:val="18"/>
                <w:szCs w:val="18"/>
              </w:rPr>
              <w:t>, Tre, T</w:t>
            </w:r>
            <w:r w:rsidRPr="00B0476C">
              <w:rPr>
                <w:sz w:val="18"/>
                <w:szCs w:val="18"/>
                <w:vertAlign w:val="subscript"/>
              </w:rPr>
              <w:t>REC</w:t>
            </w:r>
          </w:p>
        </w:tc>
        <w:tc>
          <w:tcPr>
            <w:tcW w:w="3060" w:type="dxa"/>
            <w:hideMark/>
          </w:tcPr>
          <w:p w14:paraId="510502E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re</w:t>
            </w:r>
            <w:r w:rsidRPr="00B0476C">
              <w:rPr>
                <w:sz w:val="18"/>
                <w:szCs w:val="18"/>
              </w:rPr>
              <w:t xml:space="preserve"> in ISO 9886</w:t>
            </w:r>
          </w:p>
        </w:tc>
      </w:tr>
      <w:tr w:rsidR="00DB5AA9" w:rsidRPr="00B0476C" w14:paraId="7BDC5CD6"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8E1A629" w14:textId="77777777" w:rsidR="00DB5AA9" w:rsidRPr="00B0476C" w:rsidRDefault="00DB5AA9" w:rsidP="0035708B">
            <w:pPr>
              <w:rPr>
                <w:sz w:val="18"/>
                <w:szCs w:val="18"/>
              </w:rPr>
            </w:pPr>
          </w:p>
        </w:tc>
        <w:tc>
          <w:tcPr>
            <w:tcW w:w="2045" w:type="dxa"/>
            <w:hideMark/>
          </w:tcPr>
          <w:p w14:paraId="33B06B8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Oesophageal temperature</w:t>
            </w:r>
          </w:p>
        </w:tc>
        <w:tc>
          <w:tcPr>
            <w:tcW w:w="1466" w:type="dxa"/>
            <w:hideMark/>
          </w:tcPr>
          <w:p w14:paraId="121A04D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0B37998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eso</w:t>
            </w:r>
            <w:r w:rsidRPr="00B0476C">
              <w:rPr>
                <w:sz w:val="18"/>
                <w:szCs w:val="18"/>
              </w:rPr>
              <w:t xml:space="preserve">, tes, </w:t>
            </w:r>
            <w:r w:rsidRPr="00B0476C">
              <w:rPr>
                <w:i/>
                <w:iCs/>
                <w:sz w:val="18"/>
                <w:szCs w:val="18"/>
              </w:rPr>
              <w:t>t</w:t>
            </w:r>
            <w:r w:rsidRPr="00B0476C">
              <w:rPr>
                <w:sz w:val="18"/>
                <w:szCs w:val="18"/>
                <w:vertAlign w:val="subscript"/>
              </w:rPr>
              <w:t>es</w:t>
            </w:r>
            <w:r w:rsidRPr="00B0476C">
              <w:rPr>
                <w:sz w:val="18"/>
                <w:szCs w:val="18"/>
              </w:rPr>
              <w:t>, Teso, Tes, T</w:t>
            </w:r>
            <w:r w:rsidRPr="00B0476C">
              <w:rPr>
                <w:sz w:val="18"/>
                <w:szCs w:val="18"/>
                <w:vertAlign w:val="subscript"/>
              </w:rPr>
              <w:t>es</w:t>
            </w:r>
          </w:p>
        </w:tc>
        <w:tc>
          <w:tcPr>
            <w:tcW w:w="3060" w:type="dxa"/>
            <w:hideMark/>
          </w:tcPr>
          <w:p w14:paraId="6F0A5E9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es</w:t>
            </w:r>
            <w:r w:rsidRPr="00B0476C">
              <w:rPr>
                <w:sz w:val="18"/>
                <w:szCs w:val="18"/>
              </w:rPr>
              <w:t xml:space="preserve"> in ISO 9886</w:t>
            </w:r>
          </w:p>
        </w:tc>
      </w:tr>
      <w:tr w:rsidR="00DB5AA9" w:rsidRPr="00B0476C" w14:paraId="63467AA6"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FE279BF" w14:textId="77777777" w:rsidR="00DB5AA9" w:rsidRPr="00B0476C" w:rsidRDefault="00DB5AA9" w:rsidP="0035708B">
            <w:pPr>
              <w:rPr>
                <w:sz w:val="18"/>
                <w:szCs w:val="18"/>
              </w:rPr>
            </w:pPr>
          </w:p>
        </w:tc>
        <w:tc>
          <w:tcPr>
            <w:tcW w:w="2045" w:type="dxa"/>
            <w:hideMark/>
          </w:tcPr>
          <w:p w14:paraId="3E6585E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Gastrointestinal telemetry</w:t>
            </w:r>
          </w:p>
        </w:tc>
        <w:tc>
          <w:tcPr>
            <w:tcW w:w="1466" w:type="dxa"/>
            <w:hideMark/>
          </w:tcPr>
          <w:p w14:paraId="57CECFE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hideMark/>
          </w:tcPr>
          <w:p w14:paraId="34099FD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ab</w:t>
            </w:r>
            <w:r w:rsidRPr="00B0476C">
              <w:rPr>
                <w:sz w:val="18"/>
                <w:szCs w:val="18"/>
              </w:rPr>
              <w:t xml:space="preserve">, </w:t>
            </w:r>
            <w:r w:rsidRPr="00B0476C">
              <w:rPr>
                <w:i/>
                <w:iCs/>
                <w:sz w:val="18"/>
                <w:szCs w:val="18"/>
              </w:rPr>
              <w:t>t</w:t>
            </w:r>
            <w:r w:rsidRPr="00B0476C">
              <w:rPr>
                <w:sz w:val="18"/>
                <w:szCs w:val="18"/>
                <w:vertAlign w:val="subscript"/>
              </w:rPr>
              <w:t>gi</w:t>
            </w:r>
            <w:r w:rsidRPr="00B0476C">
              <w:rPr>
                <w:sz w:val="18"/>
                <w:szCs w:val="18"/>
              </w:rPr>
              <w:t xml:space="preserve">, </w:t>
            </w:r>
            <w:r w:rsidRPr="00B0476C">
              <w:rPr>
                <w:i/>
                <w:iCs/>
                <w:sz w:val="18"/>
                <w:szCs w:val="18"/>
              </w:rPr>
              <w:t>t</w:t>
            </w:r>
            <w:r w:rsidRPr="00B0476C">
              <w:rPr>
                <w:sz w:val="18"/>
                <w:szCs w:val="18"/>
                <w:vertAlign w:val="subscript"/>
              </w:rPr>
              <w:t>pill</w:t>
            </w:r>
            <w:r w:rsidRPr="00B0476C">
              <w:rPr>
                <w:sz w:val="18"/>
                <w:szCs w:val="18"/>
              </w:rPr>
              <w:t xml:space="preserve">, </w:t>
            </w:r>
            <w:r w:rsidRPr="00B0476C">
              <w:rPr>
                <w:i/>
                <w:iCs/>
                <w:sz w:val="18"/>
                <w:szCs w:val="18"/>
              </w:rPr>
              <w:t>t</w:t>
            </w:r>
            <w:r w:rsidRPr="00B0476C">
              <w:rPr>
                <w:sz w:val="18"/>
                <w:szCs w:val="18"/>
                <w:vertAlign w:val="subscript"/>
              </w:rPr>
              <w:t>GI</w:t>
            </w:r>
            <w:r w:rsidRPr="00B0476C">
              <w:rPr>
                <w:sz w:val="18"/>
                <w:szCs w:val="18"/>
              </w:rPr>
              <w:t>, T</w:t>
            </w:r>
            <w:r w:rsidRPr="00B0476C">
              <w:rPr>
                <w:sz w:val="18"/>
                <w:szCs w:val="18"/>
                <w:vertAlign w:val="subscript"/>
              </w:rPr>
              <w:t>PILL</w:t>
            </w:r>
            <w:r w:rsidRPr="00B0476C">
              <w:rPr>
                <w:sz w:val="18"/>
                <w:szCs w:val="18"/>
              </w:rPr>
              <w:t xml:space="preserve">  </w:t>
            </w:r>
          </w:p>
        </w:tc>
        <w:tc>
          <w:tcPr>
            <w:tcW w:w="3060" w:type="dxa"/>
            <w:hideMark/>
          </w:tcPr>
          <w:p w14:paraId="7046B2C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ab</w:t>
            </w:r>
            <w:r w:rsidRPr="00B0476C">
              <w:rPr>
                <w:sz w:val="18"/>
                <w:szCs w:val="18"/>
              </w:rPr>
              <w:t xml:space="preserve"> in ISO 9886</w:t>
            </w:r>
          </w:p>
        </w:tc>
      </w:tr>
      <w:tr w:rsidR="00DB5AA9" w:rsidRPr="00B0476C" w14:paraId="5016AF79"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21DC2F36" w14:textId="77777777" w:rsidR="00DB5AA9" w:rsidRPr="00B0476C" w:rsidRDefault="00DB5AA9" w:rsidP="0035708B">
            <w:pPr>
              <w:rPr>
                <w:sz w:val="18"/>
                <w:szCs w:val="18"/>
              </w:rPr>
            </w:pPr>
          </w:p>
        </w:tc>
        <w:tc>
          <w:tcPr>
            <w:tcW w:w="2045" w:type="dxa"/>
            <w:hideMark/>
          </w:tcPr>
          <w:p w14:paraId="170BFC9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Tympanic temperature</w:t>
            </w:r>
          </w:p>
        </w:tc>
        <w:tc>
          <w:tcPr>
            <w:tcW w:w="1466" w:type="dxa"/>
            <w:hideMark/>
          </w:tcPr>
          <w:p w14:paraId="41E5FBC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2EF7FF3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ty</w:t>
            </w:r>
            <w:r w:rsidRPr="00B0476C">
              <w:rPr>
                <w:sz w:val="18"/>
                <w:szCs w:val="18"/>
              </w:rPr>
              <w:t>, T</w:t>
            </w:r>
            <w:r w:rsidRPr="00B0476C">
              <w:rPr>
                <w:sz w:val="18"/>
                <w:szCs w:val="18"/>
                <w:vertAlign w:val="subscript"/>
              </w:rPr>
              <w:t>ty</w:t>
            </w:r>
            <w:r w:rsidRPr="00B0476C">
              <w:rPr>
                <w:sz w:val="18"/>
                <w:szCs w:val="18"/>
              </w:rPr>
              <w:t>, Tear</w:t>
            </w:r>
          </w:p>
        </w:tc>
        <w:tc>
          <w:tcPr>
            <w:tcW w:w="3060" w:type="dxa"/>
            <w:hideMark/>
          </w:tcPr>
          <w:p w14:paraId="7B06D49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 xml:space="preserve">ty </w:t>
            </w:r>
            <w:r w:rsidRPr="00B0476C">
              <w:rPr>
                <w:sz w:val="18"/>
                <w:szCs w:val="18"/>
              </w:rPr>
              <w:t>in ISO 9886</w:t>
            </w:r>
          </w:p>
        </w:tc>
      </w:tr>
      <w:tr w:rsidR="00DB5AA9" w:rsidRPr="00B0476C" w14:paraId="7E0131FD"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1156904C" w14:textId="77777777" w:rsidR="00DB5AA9" w:rsidRPr="00B0476C" w:rsidRDefault="00DB5AA9" w:rsidP="0035708B">
            <w:pPr>
              <w:rPr>
                <w:sz w:val="18"/>
                <w:szCs w:val="18"/>
              </w:rPr>
            </w:pPr>
          </w:p>
        </w:tc>
        <w:tc>
          <w:tcPr>
            <w:tcW w:w="2045" w:type="dxa"/>
          </w:tcPr>
          <w:p w14:paraId="40EA77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Aural canal temperature</w:t>
            </w:r>
          </w:p>
        </w:tc>
        <w:tc>
          <w:tcPr>
            <w:tcW w:w="1466" w:type="dxa"/>
          </w:tcPr>
          <w:p w14:paraId="7DEB8CD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tcPr>
          <w:p w14:paraId="5087A9A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ac</w:t>
            </w:r>
            <w:r w:rsidRPr="00B0476C">
              <w:rPr>
                <w:sz w:val="18"/>
                <w:szCs w:val="18"/>
              </w:rPr>
              <w:t>, T</w:t>
            </w:r>
            <w:r w:rsidRPr="00B0476C">
              <w:rPr>
                <w:sz w:val="18"/>
                <w:szCs w:val="18"/>
                <w:vertAlign w:val="subscript"/>
              </w:rPr>
              <w:t>AUR</w:t>
            </w:r>
          </w:p>
        </w:tc>
        <w:tc>
          <w:tcPr>
            <w:tcW w:w="3060" w:type="dxa"/>
          </w:tcPr>
          <w:p w14:paraId="7F83CA9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 xml:space="preserve">ac </w:t>
            </w:r>
            <w:r w:rsidRPr="00B0476C">
              <w:rPr>
                <w:sz w:val="18"/>
                <w:szCs w:val="18"/>
              </w:rPr>
              <w:t>in ISO 9886</w:t>
            </w:r>
          </w:p>
        </w:tc>
      </w:tr>
      <w:tr w:rsidR="00DB5AA9" w:rsidRPr="00B0476C" w14:paraId="4BCE4617" w14:textId="77777777" w:rsidTr="0035708B">
        <w:tc>
          <w:tcPr>
            <w:cnfStyle w:val="001000000000" w:firstRow="0" w:lastRow="0" w:firstColumn="1" w:lastColumn="0" w:oddVBand="0" w:evenVBand="0" w:oddHBand="0" w:evenHBand="0" w:firstRowFirstColumn="0" w:firstRowLastColumn="0" w:lastRowFirstColumn="0" w:lastRowLastColumn="0"/>
            <w:tcW w:w="1465" w:type="dxa"/>
          </w:tcPr>
          <w:p w14:paraId="0EE7BD69" w14:textId="77777777" w:rsidR="00DB5AA9" w:rsidRPr="00B0476C" w:rsidRDefault="00DB5AA9" w:rsidP="0035708B">
            <w:pPr>
              <w:rPr>
                <w:sz w:val="18"/>
                <w:szCs w:val="18"/>
              </w:rPr>
            </w:pPr>
          </w:p>
        </w:tc>
        <w:tc>
          <w:tcPr>
            <w:tcW w:w="2045" w:type="dxa"/>
          </w:tcPr>
          <w:p w14:paraId="6B5A1A6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Oral temperature</w:t>
            </w:r>
          </w:p>
        </w:tc>
        <w:tc>
          <w:tcPr>
            <w:tcW w:w="1466" w:type="dxa"/>
          </w:tcPr>
          <w:p w14:paraId="7AB45A5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tcPr>
          <w:p w14:paraId="73FA323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or</w:t>
            </w:r>
            <w:r w:rsidRPr="00B0476C">
              <w:rPr>
                <w:sz w:val="18"/>
                <w:szCs w:val="18"/>
              </w:rPr>
              <w:t>, Tor</w:t>
            </w:r>
          </w:p>
        </w:tc>
        <w:tc>
          <w:tcPr>
            <w:tcW w:w="3060" w:type="dxa"/>
          </w:tcPr>
          <w:p w14:paraId="6066336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or</w:t>
            </w:r>
            <w:r w:rsidRPr="00B0476C">
              <w:rPr>
                <w:sz w:val="18"/>
                <w:szCs w:val="18"/>
              </w:rPr>
              <w:t xml:space="preserve"> in ISO 9886</w:t>
            </w:r>
          </w:p>
        </w:tc>
      </w:tr>
      <w:tr w:rsidR="00DB5AA9" w:rsidRPr="00B0476C" w14:paraId="550CE1D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4363B420" w14:textId="77777777" w:rsidR="00DB5AA9" w:rsidRPr="00B0476C" w:rsidRDefault="00DB5AA9" w:rsidP="0035708B">
            <w:pPr>
              <w:rPr>
                <w:sz w:val="18"/>
                <w:szCs w:val="18"/>
              </w:rPr>
            </w:pPr>
            <w:r w:rsidRPr="00B0476C">
              <w:rPr>
                <w:sz w:val="18"/>
                <w:szCs w:val="18"/>
              </w:rPr>
              <w:t>Skin temperature</w:t>
            </w:r>
          </w:p>
        </w:tc>
        <w:tc>
          <w:tcPr>
            <w:tcW w:w="2045" w:type="dxa"/>
            <w:tcBorders>
              <w:top w:val="single" w:sz="4" w:space="0" w:color="auto"/>
            </w:tcBorders>
            <w:hideMark/>
          </w:tcPr>
          <w:p w14:paraId="63020C4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Local skin temperature</w:t>
            </w:r>
          </w:p>
        </w:tc>
        <w:tc>
          <w:tcPr>
            <w:tcW w:w="1466" w:type="dxa"/>
            <w:tcBorders>
              <w:top w:val="single" w:sz="4" w:space="0" w:color="auto"/>
            </w:tcBorders>
            <w:hideMark/>
          </w:tcPr>
          <w:p w14:paraId="609F26FC"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w:t>
            </w:r>
          </w:p>
        </w:tc>
        <w:tc>
          <w:tcPr>
            <w:tcW w:w="2134" w:type="dxa"/>
            <w:tcBorders>
              <w:top w:val="single" w:sz="4" w:space="0" w:color="auto"/>
            </w:tcBorders>
            <w:hideMark/>
          </w:tcPr>
          <w:p w14:paraId="54A78E2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T</w:t>
            </w:r>
            <w:r w:rsidRPr="00B0476C">
              <w:rPr>
                <w:sz w:val="18"/>
                <w:szCs w:val="18"/>
                <w:vertAlign w:val="subscript"/>
              </w:rPr>
              <w:t>sk</w:t>
            </w:r>
            <w:r w:rsidRPr="00B0476C">
              <w:rPr>
                <w:sz w:val="18"/>
                <w:szCs w:val="18"/>
              </w:rPr>
              <w:t>, Tsk, Tskin, Tsk</w:t>
            </w:r>
            <w:r w:rsidRPr="00B0476C">
              <w:rPr>
                <w:sz w:val="18"/>
                <w:szCs w:val="18"/>
                <w:vertAlign w:val="subscript"/>
              </w:rPr>
              <w:t>i</w:t>
            </w:r>
          </w:p>
        </w:tc>
        <w:tc>
          <w:tcPr>
            <w:tcW w:w="3060" w:type="dxa"/>
            <w:tcBorders>
              <w:top w:val="single" w:sz="4" w:space="0" w:color="auto"/>
            </w:tcBorders>
            <w:hideMark/>
          </w:tcPr>
          <w:p w14:paraId="3B054AA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xml:space="preserve">; index i denotes site (e.g., </w:t>
            </w:r>
            <w:r w:rsidRPr="00B0476C">
              <w:rPr>
                <w:i/>
                <w:iCs/>
                <w:sz w:val="18"/>
                <w:szCs w:val="18"/>
              </w:rPr>
              <w:t>t</w:t>
            </w:r>
            <w:r w:rsidRPr="00B0476C">
              <w:rPr>
                <w:sz w:val="18"/>
                <w:szCs w:val="18"/>
                <w:vertAlign w:val="subscript"/>
              </w:rPr>
              <w:t>sk,chest</w:t>
            </w:r>
            <w:r w:rsidRPr="00B0476C">
              <w:rPr>
                <w:sz w:val="18"/>
                <w:szCs w:val="18"/>
              </w:rPr>
              <w:t>); Tsk or Tskin more commonly found in publications</w:t>
            </w:r>
          </w:p>
        </w:tc>
      </w:tr>
      <w:tr w:rsidR="00DB5AA9" w:rsidRPr="00B0476C" w14:paraId="6C2E7429"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A420A9D" w14:textId="77777777" w:rsidR="00DB5AA9" w:rsidRPr="00B0476C" w:rsidRDefault="00DB5AA9" w:rsidP="0035708B">
            <w:pPr>
              <w:rPr>
                <w:sz w:val="18"/>
                <w:szCs w:val="18"/>
              </w:rPr>
            </w:pPr>
          </w:p>
        </w:tc>
        <w:tc>
          <w:tcPr>
            <w:tcW w:w="2045" w:type="dxa"/>
            <w:hideMark/>
          </w:tcPr>
          <w:p w14:paraId="029E2AB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Mean skin temperature</w:t>
            </w:r>
          </w:p>
        </w:tc>
        <w:tc>
          <w:tcPr>
            <w:tcW w:w="1466" w:type="dxa"/>
            <w:hideMark/>
          </w:tcPr>
          <w:p w14:paraId="08DA5840"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w:t>
            </w:r>
          </w:p>
        </w:tc>
        <w:tc>
          <w:tcPr>
            <w:tcW w:w="2134" w:type="dxa"/>
            <w:hideMark/>
          </w:tcPr>
          <w:p w14:paraId="3B783C96"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t</w:t>
            </w:r>
            <w:r w:rsidRPr="00B0476C">
              <w:rPr>
                <w:sz w:val="18"/>
                <w:szCs w:val="18"/>
                <w:vertAlign w:val="subscript"/>
              </w:rPr>
              <w:t>sk</w:t>
            </w:r>
            <w:r w:rsidRPr="00B0476C">
              <w:rPr>
                <w:sz w:val="18"/>
                <w:szCs w:val="18"/>
              </w:rPr>
              <w:t>, T̄sk, MST, Tmean</w:t>
            </w:r>
            <w:r w:rsidRPr="00B0476C">
              <w:rPr>
                <w:sz w:val="18"/>
                <w:szCs w:val="18"/>
                <w:vertAlign w:val="subscript"/>
              </w:rPr>
              <w:t>skin</w:t>
            </w:r>
            <w:r w:rsidRPr="00B0476C">
              <w:rPr>
                <w:sz w:val="18"/>
                <w:szCs w:val="18"/>
              </w:rPr>
              <w:t>, Tsk</w:t>
            </w:r>
            <w:r w:rsidRPr="00B0476C">
              <w:rPr>
                <w:sz w:val="18"/>
                <w:szCs w:val="18"/>
                <w:vertAlign w:val="subscript"/>
              </w:rPr>
              <w:t>mean</w:t>
            </w:r>
          </w:p>
        </w:tc>
        <w:tc>
          <w:tcPr>
            <w:tcW w:w="3060" w:type="dxa"/>
            <w:hideMark/>
          </w:tcPr>
          <w:p w14:paraId="0EB90CD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 xml:space="preserve">Also </w:t>
            </w:r>
            <w:r w:rsidRPr="00B0476C">
              <w:rPr>
                <w:i/>
                <w:iCs/>
                <w:sz w:val="18"/>
                <w:szCs w:val="18"/>
              </w:rPr>
              <w:t>t</w:t>
            </w:r>
            <w:r w:rsidRPr="00B0476C">
              <w:rPr>
                <w:sz w:val="18"/>
                <w:szCs w:val="18"/>
                <w:vertAlign w:val="subscript"/>
              </w:rPr>
              <w:t>sk</w:t>
            </w:r>
            <w:r w:rsidRPr="00B0476C">
              <w:rPr>
                <w:sz w:val="18"/>
                <w:szCs w:val="18"/>
              </w:rPr>
              <w:t xml:space="preserve"> in ISO 9886; MST common in building studies.</w:t>
            </w:r>
          </w:p>
        </w:tc>
      </w:tr>
      <w:tr w:rsidR="00DB5AA9" w:rsidRPr="00B0476C" w14:paraId="5AC58911"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D2B43DA" w14:textId="77777777" w:rsidR="00DB5AA9" w:rsidRPr="00B0476C" w:rsidRDefault="00DB5AA9" w:rsidP="0035708B">
            <w:pPr>
              <w:rPr>
                <w:sz w:val="18"/>
                <w:szCs w:val="18"/>
              </w:rPr>
            </w:pPr>
          </w:p>
        </w:tc>
        <w:tc>
          <w:tcPr>
            <w:tcW w:w="2045" w:type="dxa"/>
            <w:hideMark/>
          </w:tcPr>
          <w:p w14:paraId="0FD6DEE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Gradients</w:t>
            </w:r>
          </w:p>
        </w:tc>
        <w:tc>
          <w:tcPr>
            <w:tcW w:w="1466" w:type="dxa"/>
            <w:hideMark/>
          </w:tcPr>
          <w:p w14:paraId="4131520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 K</w:t>
            </w:r>
          </w:p>
        </w:tc>
        <w:tc>
          <w:tcPr>
            <w:tcW w:w="2134" w:type="dxa"/>
            <w:hideMark/>
          </w:tcPr>
          <w:p w14:paraId="1C24ACC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ΔTcore–skin, ΔTneck–ankle, ΔTprox–dist, DPG (Distal-Proximal Gradient)</w:t>
            </w:r>
          </w:p>
        </w:tc>
        <w:tc>
          <w:tcPr>
            <w:tcW w:w="3060" w:type="dxa"/>
            <w:hideMark/>
          </w:tcPr>
          <w:p w14:paraId="4605777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Greek Δ denotes difference; both orders (core–skin / skin–core) appear, need to clarify.</w:t>
            </w:r>
          </w:p>
        </w:tc>
      </w:tr>
      <w:tr w:rsidR="00DB5AA9" w:rsidRPr="00B0476C" w14:paraId="34974BC3"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672833C8" w14:textId="77777777" w:rsidR="00DB5AA9" w:rsidRPr="00B0476C" w:rsidRDefault="00DB5AA9" w:rsidP="0035708B">
            <w:pPr>
              <w:rPr>
                <w:sz w:val="18"/>
                <w:szCs w:val="18"/>
              </w:rPr>
            </w:pPr>
            <w:r w:rsidRPr="00B0476C">
              <w:rPr>
                <w:sz w:val="18"/>
                <w:szCs w:val="18"/>
              </w:rPr>
              <w:t>Sweat / skin moisture</w:t>
            </w:r>
          </w:p>
        </w:tc>
        <w:tc>
          <w:tcPr>
            <w:tcW w:w="2045" w:type="dxa"/>
            <w:tcBorders>
              <w:top w:val="single" w:sz="4" w:space="0" w:color="auto"/>
            </w:tcBorders>
            <w:hideMark/>
          </w:tcPr>
          <w:p w14:paraId="0C575AF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Local sweat rate</w:t>
            </w:r>
          </w:p>
        </w:tc>
        <w:tc>
          <w:tcPr>
            <w:tcW w:w="1466" w:type="dxa"/>
            <w:tcBorders>
              <w:top w:val="single" w:sz="4" w:space="0" w:color="auto"/>
            </w:tcBorders>
            <w:hideMark/>
          </w:tcPr>
          <w:p w14:paraId="0E4AAC3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mg·cm⁻²·min⁻¹, mL·min⁻¹, g</w:t>
            </w:r>
            <w:r w:rsidRPr="00B0476C">
              <w:rPr>
                <w:rFonts w:ascii="Cambria Math" w:hAnsi="Cambria Math" w:cs="Cambria Math"/>
                <w:sz w:val="18"/>
                <w:szCs w:val="18"/>
              </w:rPr>
              <w:t>⋅</w:t>
            </w:r>
            <w:r w:rsidRPr="00B0476C">
              <w:rPr>
                <w:sz w:val="18"/>
                <w:szCs w:val="18"/>
              </w:rPr>
              <w:t>h⁻¹</w:t>
            </w:r>
          </w:p>
        </w:tc>
        <w:tc>
          <w:tcPr>
            <w:tcW w:w="2134" w:type="dxa"/>
            <w:tcBorders>
              <w:top w:val="single" w:sz="4" w:space="0" w:color="auto"/>
            </w:tcBorders>
            <w:hideMark/>
          </w:tcPr>
          <w:p w14:paraId="61BDDA66"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S</w:t>
            </w:r>
            <w:r w:rsidRPr="00B0476C">
              <w:rPr>
                <w:sz w:val="18"/>
                <w:szCs w:val="18"/>
                <w:vertAlign w:val="subscript"/>
              </w:rPr>
              <w:t>W</w:t>
            </w:r>
            <w:r w:rsidRPr="00B0476C">
              <w:rPr>
                <w:sz w:val="18"/>
                <w:szCs w:val="18"/>
              </w:rPr>
              <w:t>, ṁsw, SRlocal, SR</w:t>
            </w:r>
          </w:p>
        </w:tc>
        <w:tc>
          <w:tcPr>
            <w:tcW w:w="3060" w:type="dxa"/>
            <w:tcBorders>
              <w:top w:val="single" w:sz="4" w:space="0" w:color="auto"/>
            </w:tcBorders>
            <w:hideMark/>
          </w:tcPr>
          <w:p w14:paraId="4B70772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i/>
                <w:iCs/>
                <w:sz w:val="18"/>
                <w:szCs w:val="18"/>
              </w:rPr>
              <w:t>S</w:t>
            </w:r>
            <w:r w:rsidRPr="00B0476C">
              <w:rPr>
                <w:sz w:val="18"/>
                <w:szCs w:val="18"/>
                <w:vertAlign w:val="subscript"/>
              </w:rPr>
              <w:t xml:space="preserve">W </w:t>
            </w:r>
            <w:r w:rsidRPr="00B0476C">
              <w:rPr>
                <w:sz w:val="18"/>
                <w:szCs w:val="18"/>
              </w:rPr>
              <w:t>in ISO 9886</w:t>
            </w:r>
          </w:p>
        </w:tc>
      </w:tr>
      <w:tr w:rsidR="00DB5AA9" w:rsidRPr="00B0476C" w14:paraId="52D5810C"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2B424DB6" w14:textId="77777777" w:rsidR="00DB5AA9" w:rsidRPr="00B0476C" w:rsidRDefault="00DB5AA9" w:rsidP="0035708B">
            <w:pPr>
              <w:rPr>
                <w:sz w:val="18"/>
                <w:szCs w:val="18"/>
              </w:rPr>
            </w:pPr>
          </w:p>
        </w:tc>
        <w:tc>
          <w:tcPr>
            <w:tcW w:w="2045" w:type="dxa"/>
            <w:hideMark/>
          </w:tcPr>
          <w:p w14:paraId="29ABF8B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Whole-body sweat loss</w:t>
            </w:r>
          </w:p>
        </w:tc>
        <w:tc>
          <w:tcPr>
            <w:tcW w:w="1466" w:type="dxa"/>
            <w:hideMark/>
          </w:tcPr>
          <w:p w14:paraId="4572384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 % body mass</w:t>
            </w:r>
          </w:p>
        </w:tc>
        <w:tc>
          <w:tcPr>
            <w:tcW w:w="2134" w:type="dxa"/>
            <w:hideMark/>
          </w:tcPr>
          <w:p w14:paraId="49E6294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w:t>
            </w:r>
            <w:r w:rsidRPr="00B0476C">
              <w:rPr>
                <w:sz w:val="18"/>
                <w:szCs w:val="18"/>
                <w:vertAlign w:val="subscript"/>
              </w:rPr>
              <w:t>sw</w:t>
            </w:r>
            <w:r w:rsidRPr="00B0476C">
              <w:rPr>
                <w:sz w:val="18"/>
                <w:szCs w:val="18"/>
              </w:rPr>
              <w:t>,WBSL, Δm</w:t>
            </w:r>
          </w:p>
        </w:tc>
        <w:tc>
          <w:tcPr>
            <w:tcW w:w="3060" w:type="dxa"/>
            <w:hideMark/>
          </w:tcPr>
          <w:p w14:paraId="1DC9693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w:t>
            </w:r>
            <w:r w:rsidRPr="00B0476C">
              <w:rPr>
                <w:sz w:val="18"/>
                <w:szCs w:val="18"/>
                <w:vertAlign w:val="subscript"/>
              </w:rPr>
              <w:t xml:space="preserve">sw </w:t>
            </w:r>
            <w:r w:rsidRPr="00B0476C">
              <w:rPr>
                <w:sz w:val="18"/>
                <w:szCs w:val="18"/>
              </w:rPr>
              <w:t>in ISO 9886; WBSL common in sports; Δm used in ergonomics.</w:t>
            </w:r>
          </w:p>
        </w:tc>
      </w:tr>
      <w:tr w:rsidR="00DB5AA9" w:rsidRPr="00B0476C" w14:paraId="6C2295AE"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3C49A0D" w14:textId="77777777" w:rsidR="00DB5AA9" w:rsidRPr="00B0476C" w:rsidRDefault="00DB5AA9" w:rsidP="0035708B">
            <w:pPr>
              <w:rPr>
                <w:sz w:val="18"/>
                <w:szCs w:val="18"/>
              </w:rPr>
            </w:pPr>
          </w:p>
        </w:tc>
        <w:tc>
          <w:tcPr>
            <w:tcW w:w="2045" w:type="dxa"/>
            <w:hideMark/>
          </w:tcPr>
          <w:p w14:paraId="0856C5C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Skin wettedness</w:t>
            </w:r>
          </w:p>
        </w:tc>
        <w:tc>
          <w:tcPr>
            <w:tcW w:w="1466" w:type="dxa"/>
            <w:hideMark/>
          </w:tcPr>
          <w:p w14:paraId="03ED5F9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t>
            </w:r>
          </w:p>
        </w:tc>
        <w:tc>
          <w:tcPr>
            <w:tcW w:w="2134" w:type="dxa"/>
            <w:hideMark/>
          </w:tcPr>
          <w:p w14:paraId="4478317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w:t>
            </w:r>
          </w:p>
        </w:tc>
        <w:tc>
          <w:tcPr>
            <w:tcW w:w="3060" w:type="dxa"/>
            <w:hideMark/>
          </w:tcPr>
          <w:p w14:paraId="520D87E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p>
        </w:tc>
      </w:tr>
      <w:tr w:rsidR="00DB5AA9" w:rsidRPr="00B0476C" w14:paraId="751D3339"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05D53757" w14:textId="77777777" w:rsidR="00DB5AA9" w:rsidRPr="00B0476C" w:rsidRDefault="00DB5AA9" w:rsidP="0035708B">
            <w:pPr>
              <w:rPr>
                <w:sz w:val="18"/>
                <w:szCs w:val="18"/>
              </w:rPr>
            </w:pPr>
          </w:p>
        </w:tc>
        <w:tc>
          <w:tcPr>
            <w:tcW w:w="2045" w:type="dxa"/>
            <w:hideMark/>
          </w:tcPr>
          <w:p w14:paraId="5FB8B34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Electrodermal activity (family)</w:t>
            </w:r>
          </w:p>
        </w:tc>
        <w:tc>
          <w:tcPr>
            <w:tcW w:w="1466" w:type="dxa"/>
            <w:hideMark/>
          </w:tcPr>
          <w:p w14:paraId="4BC2D79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hideMark/>
          </w:tcPr>
          <w:p w14:paraId="0CD51D5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EDA, SC, GSR</w:t>
            </w:r>
          </w:p>
        </w:tc>
        <w:tc>
          <w:tcPr>
            <w:tcW w:w="3060" w:type="dxa"/>
            <w:hideMark/>
          </w:tcPr>
          <w:p w14:paraId="66D42F08"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EDA preferred; GSR deprecated; SC sometimes confuses with sweat chloride.</w:t>
            </w:r>
          </w:p>
        </w:tc>
      </w:tr>
      <w:tr w:rsidR="00DB5AA9" w:rsidRPr="00B0476C" w14:paraId="09527900"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7C43126E" w14:textId="77777777" w:rsidR="00DB5AA9" w:rsidRPr="00B0476C" w:rsidRDefault="00DB5AA9" w:rsidP="0035708B">
            <w:pPr>
              <w:rPr>
                <w:sz w:val="18"/>
                <w:szCs w:val="18"/>
              </w:rPr>
            </w:pPr>
          </w:p>
        </w:tc>
        <w:tc>
          <w:tcPr>
            <w:tcW w:w="2045" w:type="dxa"/>
            <w:hideMark/>
          </w:tcPr>
          <w:p w14:paraId="34270890"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Tonic component (level)</w:t>
            </w:r>
          </w:p>
        </w:tc>
        <w:tc>
          <w:tcPr>
            <w:tcW w:w="1466" w:type="dxa"/>
            <w:hideMark/>
          </w:tcPr>
          <w:p w14:paraId="588046D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mS</w:t>
            </w:r>
          </w:p>
        </w:tc>
        <w:tc>
          <w:tcPr>
            <w:tcW w:w="2134" w:type="dxa"/>
            <w:hideMark/>
          </w:tcPr>
          <w:p w14:paraId="4C2B823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SCL, EDA Tonic, SC</w:t>
            </w:r>
          </w:p>
        </w:tc>
        <w:tc>
          <w:tcPr>
            <w:tcW w:w="3060" w:type="dxa"/>
            <w:hideMark/>
          </w:tcPr>
          <w:p w14:paraId="3C2F9AC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SCL (skin conductance level) standard.</w:t>
            </w:r>
          </w:p>
        </w:tc>
      </w:tr>
      <w:tr w:rsidR="00DB5AA9" w:rsidRPr="00B0476C" w14:paraId="04B59CBD"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3BF8B643" w14:textId="77777777" w:rsidR="00DB5AA9" w:rsidRPr="00B0476C" w:rsidRDefault="00DB5AA9" w:rsidP="0035708B">
            <w:pPr>
              <w:rPr>
                <w:sz w:val="18"/>
                <w:szCs w:val="18"/>
              </w:rPr>
            </w:pPr>
          </w:p>
        </w:tc>
        <w:tc>
          <w:tcPr>
            <w:tcW w:w="2045" w:type="dxa"/>
            <w:tcBorders>
              <w:bottom w:val="single" w:sz="4" w:space="0" w:color="auto"/>
            </w:tcBorders>
            <w:hideMark/>
          </w:tcPr>
          <w:p w14:paraId="4F750A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Phasic component (response)</w:t>
            </w:r>
          </w:p>
        </w:tc>
        <w:tc>
          <w:tcPr>
            <w:tcW w:w="1466" w:type="dxa"/>
            <w:tcBorders>
              <w:bottom w:val="single" w:sz="4" w:space="0" w:color="auto"/>
            </w:tcBorders>
            <w:hideMark/>
          </w:tcPr>
          <w:p w14:paraId="5815028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µS</w:t>
            </w:r>
          </w:p>
        </w:tc>
        <w:tc>
          <w:tcPr>
            <w:tcW w:w="2134" w:type="dxa"/>
            <w:tcBorders>
              <w:bottom w:val="single" w:sz="4" w:space="0" w:color="auto"/>
            </w:tcBorders>
            <w:hideMark/>
          </w:tcPr>
          <w:p w14:paraId="390F7B4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SCR, SL, EDA Phasic</w:t>
            </w:r>
          </w:p>
        </w:tc>
        <w:tc>
          <w:tcPr>
            <w:tcW w:w="3060" w:type="dxa"/>
            <w:tcBorders>
              <w:bottom w:val="single" w:sz="4" w:space="0" w:color="auto"/>
            </w:tcBorders>
            <w:hideMark/>
          </w:tcPr>
          <w:p w14:paraId="21F9BC3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SCR (skin conductance response); SL used in psychophysiology.</w:t>
            </w:r>
          </w:p>
        </w:tc>
      </w:tr>
      <w:tr w:rsidR="00DB5AA9" w:rsidRPr="00B0476C" w14:paraId="14790D5D"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464AB894" w14:textId="77777777" w:rsidR="00DB5AA9" w:rsidRPr="00B0476C" w:rsidRDefault="00DB5AA9" w:rsidP="0035708B">
            <w:pPr>
              <w:rPr>
                <w:sz w:val="18"/>
                <w:szCs w:val="18"/>
              </w:rPr>
            </w:pPr>
            <w:r w:rsidRPr="00B0476C">
              <w:rPr>
                <w:sz w:val="18"/>
                <w:szCs w:val="18"/>
              </w:rPr>
              <w:t>Cardiovascular</w:t>
            </w:r>
          </w:p>
        </w:tc>
        <w:tc>
          <w:tcPr>
            <w:tcW w:w="2045" w:type="dxa"/>
            <w:tcBorders>
              <w:top w:val="single" w:sz="4" w:space="0" w:color="auto"/>
            </w:tcBorders>
            <w:hideMark/>
          </w:tcPr>
          <w:p w14:paraId="3B97EF4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Heart rate</w:t>
            </w:r>
          </w:p>
        </w:tc>
        <w:tc>
          <w:tcPr>
            <w:tcW w:w="1466" w:type="dxa"/>
            <w:tcBorders>
              <w:top w:val="single" w:sz="4" w:space="0" w:color="auto"/>
            </w:tcBorders>
            <w:hideMark/>
          </w:tcPr>
          <w:p w14:paraId="4EC2D3F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beats·min⁻¹</w:t>
            </w:r>
          </w:p>
        </w:tc>
        <w:tc>
          <w:tcPr>
            <w:tcW w:w="2134" w:type="dxa"/>
            <w:tcBorders>
              <w:top w:val="single" w:sz="4" w:space="0" w:color="auto"/>
            </w:tcBorders>
            <w:hideMark/>
          </w:tcPr>
          <w:p w14:paraId="2349FFB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HR, bpm</w:t>
            </w:r>
          </w:p>
        </w:tc>
        <w:tc>
          <w:tcPr>
            <w:tcW w:w="3060" w:type="dxa"/>
            <w:tcBorders>
              <w:top w:val="single" w:sz="4" w:space="0" w:color="auto"/>
            </w:tcBorders>
            <w:hideMark/>
          </w:tcPr>
          <w:p w14:paraId="68E42C0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p>
        </w:tc>
      </w:tr>
      <w:tr w:rsidR="00DB5AA9" w:rsidRPr="00B0476C" w14:paraId="4792C94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03026AF3" w14:textId="77777777" w:rsidR="00DB5AA9" w:rsidRPr="00B0476C" w:rsidRDefault="00DB5AA9" w:rsidP="0035708B">
            <w:pPr>
              <w:rPr>
                <w:sz w:val="18"/>
                <w:szCs w:val="18"/>
              </w:rPr>
            </w:pPr>
          </w:p>
        </w:tc>
        <w:tc>
          <w:tcPr>
            <w:tcW w:w="2045" w:type="dxa"/>
            <w:hideMark/>
          </w:tcPr>
          <w:p w14:paraId="0ECDAEA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Inter-beat interval</w:t>
            </w:r>
          </w:p>
        </w:tc>
        <w:tc>
          <w:tcPr>
            <w:tcW w:w="1466" w:type="dxa"/>
            <w:hideMark/>
          </w:tcPr>
          <w:p w14:paraId="03B2870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hideMark/>
          </w:tcPr>
          <w:p w14:paraId="72F3DFA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IBI, RR, RRi</w:t>
            </w:r>
          </w:p>
        </w:tc>
        <w:tc>
          <w:tcPr>
            <w:tcW w:w="3060" w:type="dxa"/>
            <w:hideMark/>
          </w:tcPr>
          <w:p w14:paraId="10D7F30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RR from ECG R-wave interval; IBI preferred for PPG data.</w:t>
            </w:r>
          </w:p>
        </w:tc>
      </w:tr>
      <w:tr w:rsidR="00DB5AA9" w:rsidRPr="00B0476C" w14:paraId="15B153EE"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540870D" w14:textId="77777777" w:rsidR="00DB5AA9" w:rsidRPr="00B0476C" w:rsidRDefault="00DB5AA9" w:rsidP="0035708B">
            <w:pPr>
              <w:rPr>
                <w:sz w:val="18"/>
                <w:szCs w:val="18"/>
              </w:rPr>
            </w:pPr>
          </w:p>
        </w:tc>
        <w:tc>
          <w:tcPr>
            <w:tcW w:w="2045" w:type="dxa"/>
            <w:hideMark/>
          </w:tcPr>
          <w:p w14:paraId="7789EAE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Systolic pressure</w:t>
            </w:r>
          </w:p>
        </w:tc>
        <w:tc>
          <w:tcPr>
            <w:tcW w:w="1466" w:type="dxa"/>
            <w:hideMark/>
          </w:tcPr>
          <w:p w14:paraId="01051F9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mmHg</w:t>
            </w:r>
          </w:p>
        </w:tc>
        <w:tc>
          <w:tcPr>
            <w:tcW w:w="2134" w:type="dxa"/>
            <w:hideMark/>
          </w:tcPr>
          <w:p w14:paraId="3C9AD4B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SBP, Ps</w:t>
            </w:r>
          </w:p>
        </w:tc>
        <w:tc>
          <w:tcPr>
            <w:tcW w:w="3060" w:type="dxa"/>
            <w:hideMark/>
          </w:tcPr>
          <w:p w14:paraId="1ADFC5B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Ps legacy</w:t>
            </w:r>
          </w:p>
        </w:tc>
      </w:tr>
      <w:tr w:rsidR="00DB5AA9" w:rsidRPr="00B0476C" w14:paraId="3A70F01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4EED7F64" w14:textId="77777777" w:rsidR="00DB5AA9" w:rsidRPr="00B0476C" w:rsidRDefault="00DB5AA9" w:rsidP="0035708B">
            <w:pPr>
              <w:rPr>
                <w:sz w:val="18"/>
                <w:szCs w:val="18"/>
              </w:rPr>
            </w:pPr>
          </w:p>
        </w:tc>
        <w:tc>
          <w:tcPr>
            <w:tcW w:w="2045" w:type="dxa"/>
            <w:hideMark/>
          </w:tcPr>
          <w:p w14:paraId="083D066F"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Diastolic pressure</w:t>
            </w:r>
          </w:p>
        </w:tc>
        <w:tc>
          <w:tcPr>
            <w:tcW w:w="1466" w:type="dxa"/>
            <w:hideMark/>
          </w:tcPr>
          <w:p w14:paraId="282C816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mmHg</w:t>
            </w:r>
          </w:p>
        </w:tc>
        <w:tc>
          <w:tcPr>
            <w:tcW w:w="2134" w:type="dxa"/>
            <w:hideMark/>
          </w:tcPr>
          <w:p w14:paraId="4E6D2548"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DBP, Pd</w:t>
            </w:r>
          </w:p>
        </w:tc>
        <w:tc>
          <w:tcPr>
            <w:tcW w:w="3060" w:type="dxa"/>
            <w:hideMark/>
          </w:tcPr>
          <w:p w14:paraId="4C3C255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Pd legacy</w:t>
            </w:r>
          </w:p>
        </w:tc>
      </w:tr>
      <w:tr w:rsidR="00DB5AA9" w:rsidRPr="00B0476C" w14:paraId="6731D88F"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19B87842" w14:textId="77777777" w:rsidR="00DB5AA9" w:rsidRPr="00B0476C" w:rsidRDefault="00DB5AA9" w:rsidP="0035708B">
            <w:pPr>
              <w:rPr>
                <w:sz w:val="18"/>
                <w:szCs w:val="18"/>
              </w:rPr>
            </w:pPr>
          </w:p>
        </w:tc>
        <w:tc>
          <w:tcPr>
            <w:tcW w:w="2045" w:type="dxa"/>
            <w:hideMark/>
          </w:tcPr>
          <w:p w14:paraId="54EA28C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Mean arterial pressure</w:t>
            </w:r>
          </w:p>
        </w:tc>
        <w:tc>
          <w:tcPr>
            <w:tcW w:w="1466" w:type="dxa"/>
            <w:hideMark/>
          </w:tcPr>
          <w:p w14:paraId="362B725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mmHg</w:t>
            </w:r>
          </w:p>
        </w:tc>
        <w:tc>
          <w:tcPr>
            <w:tcW w:w="2134" w:type="dxa"/>
            <w:hideMark/>
          </w:tcPr>
          <w:p w14:paraId="3BCDA2A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MAP, Pm</w:t>
            </w:r>
          </w:p>
        </w:tc>
        <w:tc>
          <w:tcPr>
            <w:tcW w:w="3060" w:type="dxa"/>
            <w:hideMark/>
          </w:tcPr>
          <w:p w14:paraId="5AE6E6D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Pm legacy</w:t>
            </w:r>
          </w:p>
        </w:tc>
      </w:tr>
      <w:tr w:rsidR="00DB5AA9" w:rsidRPr="00B0476C" w14:paraId="73C1EBD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7E4DD0B8" w14:textId="77777777" w:rsidR="00DB5AA9" w:rsidRPr="00B0476C" w:rsidRDefault="00DB5AA9" w:rsidP="0035708B">
            <w:pPr>
              <w:rPr>
                <w:sz w:val="18"/>
                <w:szCs w:val="18"/>
              </w:rPr>
            </w:pPr>
          </w:p>
        </w:tc>
        <w:tc>
          <w:tcPr>
            <w:tcW w:w="2045" w:type="dxa"/>
            <w:hideMark/>
          </w:tcPr>
          <w:p w14:paraId="0A4D1CD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Stroke volume</w:t>
            </w:r>
          </w:p>
        </w:tc>
        <w:tc>
          <w:tcPr>
            <w:tcW w:w="1466" w:type="dxa"/>
            <w:hideMark/>
          </w:tcPr>
          <w:p w14:paraId="4B57BFC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w:t>
            </w:r>
          </w:p>
        </w:tc>
        <w:tc>
          <w:tcPr>
            <w:tcW w:w="2134" w:type="dxa"/>
            <w:hideMark/>
          </w:tcPr>
          <w:p w14:paraId="0064986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SV</w:t>
            </w:r>
          </w:p>
        </w:tc>
        <w:tc>
          <w:tcPr>
            <w:tcW w:w="3060" w:type="dxa"/>
            <w:hideMark/>
          </w:tcPr>
          <w:p w14:paraId="2E364A0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p>
        </w:tc>
      </w:tr>
      <w:tr w:rsidR="00DB5AA9" w:rsidRPr="00B0476C" w14:paraId="52A488DB"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71829443" w14:textId="77777777" w:rsidR="00DB5AA9" w:rsidRPr="00B0476C" w:rsidRDefault="00DB5AA9" w:rsidP="0035708B">
            <w:pPr>
              <w:rPr>
                <w:sz w:val="18"/>
                <w:szCs w:val="18"/>
              </w:rPr>
            </w:pPr>
          </w:p>
        </w:tc>
        <w:tc>
          <w:tcPr>
            <w:tcW w:w="2045" w:type="dxa"/>
            <w:tcBorders>
              <w:bottom w:val="single" w:sz="4" w:space="0" w:color="auto"/>
            </w:tcBorders>
            <w:hideMark/>
          </w:tcPr>
          <w:p w14:paraId="397ECED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Cardiac output</w:t>
            </w:r>
          </w:p>
        </w:tc>
        <w:tc>
          <w:tcPr>
            <w:tcW w:w="1466" w:type="dxa"/>
            <w:tcBorders>
              <w:bottom w:val="single" w:sz="4" w:space="0" w:color="auto"/>
            </w:tcBorders>
            <w:hideMark/>
          </w:tcPr>
          <w:p w14:paraId="50D1FBB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L·min⁻¹</w:t>
            </w:r>
          </w:p>
        </w:tc>
        <w:tc>
          <w:tcPr>
            <w:tcW w:w="2134" w:type="dxa"/>
            <w:tcBorders>
              <w:bottom w:val="single" w:sz="4" w:space="0" w:color="auto"/>
            </w:tcBorders>
            <w:hideMark/>
          </w:tcPr>
          <w:p w14:paraId="22B2DE7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Q̇, CO</w:t>
            </w:r>
          </w:p>
        </w:tc>
        <w:tc>
          <w:tcPr>
            <w:tcW w:w="3060" w:type="dxa"/>
            <w:tcBorders>
              <w:bottom w:val="single" w:sz="4" w:space="0" w:color="auto"/>
            </w:tcBorders>
            <w:hideMark/>
          </w:tcPr>
          <w:p w14:paraId="430C870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Dot on Q indicates flow; CO older clinical style.</w:t>
            </w:r>
          </w:p>
        </w:tc>
      </w:tr>
      <w:tr w:rsidR="00DB5AA9" w:rsidRPr="00B0476C" w14:paraId="0FE5235A" w14:textId="77777777" w:rsidTr="003570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0D2322B0" w14:textId="77777777" w:rsidR="00DB5AA9" w:rsidRPr="00B0476C" w:rsidRDefault="00DB5AA9" w:rsidP="0035708B">
            <w:pPr>
              <w:rPr>
                <w:sz w:val="18"/>
                <w:szCs w:val="18"/>
              </w:rPr>
            </w:pPr>
            <w:r w:rsidRPr="00B0476C">
              <w:rPr>
                <w:sz w:val="18"/>
                <w:szCs w:val="18"/>
              </w:rPr>
              <w:t>Autonomic modulation (HRV)</w:t>
            </w:r>
          </w:p>
        </w:tc>
        <w:tc>
          <w:tcPr>
            <w:tcW w:w="2045" w:type="dxa"/>
            <w:tcBorders>
              <w:top w:val="single" w:sz="4" w:space="0" w:color="auto"/>
            </w:tcBorders>
            <w:hideMark/>
          </w:tcPr>
          <w:p w14:paraId="17F6675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Time-domain indices</w:t>
            </w:r>
          </w:p>
        </w:tc>
        <w:tc>
          <w:tcPr>
            <w:tcW w:w="1466" w:type="dxa"/>
            <w:tcBorders>
              <w:top w:val="single" w:sz="4" w:space="0" w:color="auto"/>
            </w:tcBorders>
            <w:hideMark/>
          </w:tcPr>
          <w:p w14:paraId="62E777A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ms</w:t>
            </w:r>
          </w:p>
        </w:tc>
        <w:tc>
          <w:tcPr>
            <w:tcW w:w="2134" w:type="dxa"/>
            <w:tcBorders>
              <w:top w:val="single" w:sz="4" w:space="0" w:color="auto"/>
            </w:tcBorders>
            <w:hideMark/>
          </w:tcPr>
          <w:p w14:paraId="64E635F4"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RMSSD, SDNN, pNN50, NNmean</w:t>
            </w:r>
          </w:p>
        </w:tc>
        <w:tc>
          <w:tcPr>
            <w:tcW w:w="3060" w:type="dxa"/>
            <w:tcBorders>
              <w:top w:val="single" w:sz="4" w:space="0" w:color="auto"/>
            </w:tcBorders>
            <w:hideMark/>
          </w:tcPr>
          <w:p w14:paraId="6EB0CE3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All-caps abbreviations fixed by HRV Task Force (1996).</w:t>
            </w:r>
          </w:p>
        </w:tc>
      </w:tr>
      <w:tr w:rsidR="00DB5AA9" w:rsidRPr="00B0476C" w14:paraId="010F25A2"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6489ECDD" w14:textId="77777777" w:rsidR="00DB5AA9" w:rsidRPr="00B0476C" w:rsidRDefault="00DB5AA9" w:rsidP="0035708B">
            <w:pPr>
              <w:rPr>
                <w:sz w:val="18"/>
                <w:szCs w:val="18"/>
              </w:rPr>
            </w:pPr>
          </w:p>
        </w:tc>
        <w:tc>
          <w:tcPr>
            <w:tcW w:w="2045" w:type="dxa"/>
            <w:hideMark/>
          </w:tcPr>
          <w:p w14:paraId="1A50CAD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Frequency-domain indices</w:t>
            </w:r>
          </w:p>
        </w:tc>
        <w:tc>
          <w:tcPr>
            <w:tcW w:w="1466" w:type="dxa"/>
            <w:hideMark/>
          </w:tcPr>
          <w:p w14:paraId="2881FA1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ms² or n.u.</w:t>
            </w:r>
          </w:p>
        </w:tc>
        <w:tc>
          <w:tcPr>
            <w:tcW w:w="2134" w:type="dxa"/>
            <w:hideMark/>
          </w:tcPr>
          <w:p w14:paraId="1D64EED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LF, HF, LF/HF, TP</w:t>
            </w:r>
          </w:p>
        </w:tc>
        <w:tc>
          <w:tcPr>
            <w:tcW w:w="3060" w:type="dxa"/>
            <w:hideMark/>
          </w:tcPr>
          <w:p w14:paraId="442CADAA"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LF/HF ratio not dimensioned; n.u. = normalised units.</w:t>
            </w:r>
          </w:p>
        </w:tc>
      </w:tr>
      <w:tr w:rsidR="00DB5AA9" w:rsidRPr="00B0476C" w14:paraId="741CB3B7"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3D236748" w14:textId="77777777" w:rsidR="00DB5AA9" w:rsidRPr="00B0476C" w:rsidRDefault="00DB5AA9" w:rsidP="0035708B">
            <w:pPr>
              <w:rPr>
                <w:sz w:val="18"/>
                <w:szCs w:val="18"/>
              </w:rPr>
            </w:pPr>
          </w:p>
        </w:tc>
        <w:tc>
          <w:tcPr>
            <w:tcW w:w="2045" w:type="dxa"/>
            <w:tcBorders>
              <w:bottom w:val="single" w:sz="4" w:space="0" w:color="auto"/>
            </w:tcBorders>
            <w:hideMark/>
          </w:tcPr>
          <w:p w14:paraId="123E0E2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Nonlinear indices</w:t>
            </w:r>
          </w:p>
        </w:tc>
        <w:tc>
          <w:tcPr>
            <w:tcW w:w="1466" w:type="dxa"/>
            <w:tcBorders>
              <w:bottom w:val="single" w:sz="4" w:space="0" w:color="auto"/>
            </w:tcBorders>
            <w:hideMark/>
          </w:tcPr>
          <w:p w14:paraId="71B28B3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t>
            </w:r>
          </w:p>
        </w:tc>
        <w:tc>
          <w:tcPr>
            <w:tcW w:w="2134" w:type="dxa"/>
            <w:tcBorders>
              <w:bottom w:val="single" w:sz="4" w:space="0" w:color="auto"/>
            </w:tcBorders>
            <w:hideMark/>
          </w:tcPr>
          <w:p w14:paraId="6992D581"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SD1, SD2, SampEn, ApEn</w:t>
            </w:r>
          </w:p>
        </w:tc>
        <w:tc>
          <w:tcPr>
            <w:tcW w:w="3060" w:type="dxa"/>
            <w:tcBorders>
              <w:bottom w:val="single" w:sz="4" w:space="0" w:color="auto"/>
            </w:tcBorders>
            <w:hideMark/>
          </w:tcPr>
          <w:p w14:paraId="411595B2"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Case-sensitive</w:t>
            </w:r>
          </w:p>
        </w:tc>
      </w:tr>
      <w:tr w:rsidR="00DB5AA9" w:rsidRPr="00B0476C" w14:paraId="01946465"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0C275C75" w14:textId="77777777" w:rsidR="00DB5AA9" w:rsidRPr="00B0476C" w:rsidRDefault="00DB5AA9" w:rsidP="0035708B">
            <w:pPr>
              <w:rPr>
                <w:sz w:val="18"/>
                <w:szCs w:val="18"/>
              </w:rPr>
            </w:pPr>
            <w:r w:rsidRPr="00B0476C">
              <w:rPr>
                <w:sz w:val="18"/>
                <w:szCs w:val="18"/>
              </w:rPr>
              <w:t>Vascular control</w:t>
            </w:r>
          </w:p>
        </w:tc>
        <w:tc>
          <w:tcPr>
            <w:tcW w:w="2045" w:type="dxa"/>
            <w:tcBorders>
              <w:top w:val="single" w:sz="4" w:space="0" w:color="auto"/>
            </w:tcBorders>
            <w:hideMark/>
          </w:tcPr>
          <w:p w14:paraId="5D12BA6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Skin blood flow</w:t>
            </w:r>
          </w:p>
        </w:tc>
        <w:tc>
          <w:tcPr>
            <w:tcW w:w="1466" w:type="dxa"/>
            <w:tcBorders>
              <w:top w:val="single" w:sz="4" w:space="0" w:color="auto"/>
            </w:tcBorders>
            <w:hideMark/>
          </w:tcPr>
          <w:p w14:paraId="32863A0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PU, % max</w:t>
            </w:r>
          </w:p>
        </w:tc>
        <w:tc>
          <w:tcPr>
            <w:tcW w:w="2134" w:type="dxa"/>
            <w:tcBorders>
              <w:top w:val="single" w:sz="4" w:space="0" w:color="auto"/>
            </w:tcBorders>
            <w:hideMark/>
          </w:tcPr>
          <w:p w14:paraId="626D810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SkBF, SBF, Flux</w:t>
            </w:r>
          </w:p>
        </w:tc>
        <w:tc>
          <w:tcPr>
            <w:tcW w:w="3060" w:type="dxa"/>
            <w:tcBorders>
              <w:top w:val="single" w:sz="4" w:space="0" w:color="auto"/>
            </w:tcBorders>
            <w:hideMark/>
          </w:tcPr>
          <w:p w14:paraId="1DFCAD6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Flux shorthand from LDF; PU = perfusion units.</w:t>
            </w:r>
          </w:p>
        </w:tc>
      </w:tr>
      <w:tr w:rsidR="00DB5AA9" w:rsidRPr="00B0476C" w14:paraId="0582455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34DC175C" w14:textId="77777777" w:rsidR="00DB5AA9" w:rsidRPr="00B0476C" w:rsidRDefault="00DB5AA9" w:rsidP="0035708B">
            <w:pPr>
              <w:rPr>
                <w:sz w:val="18"/>
                <w:szCs w:val="18"/>
              </w:rPr>
            </w:pPr>
          </w:p>
        </w:tc>
        <w:tc>
          <w:tcPr>
            <w:tcW w:w="2045" w:type="dxa"/>
            <w:hideMark/>
          </w:tcPr>
          <w:p w14:paraId="7A7905C0"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Cutaneous vascular conductance</w:t>
            </w:r>
          </w:p>
        </w:tc>
        <w:tc>
          <w:tcPr>
            <w:tcW w:w="1466" w:type="dxa"/>
            <w:hideMark/>
          </w:tcPr>
          <w:p w14:paraId="0FDEA09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PU·mmHg⁻¹, % max</w:t>
            </w:r>
          </w:p>
        </w:tc>
        <w:tc>
          <w:tcPr>
            <w:tcW w:w="2134" w:type="dxa"/>
            <w:hideMark/>
          </w:tcPr>
          <w:p w14:paraId="6AC33FB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CVC, CVC</w:t>
            </w:r>
            <w:r w:rsidRPr="00B0476C">
              <w:rPr>
                <w:sz w:val="18"/>
                <w:szCs w:val="18"/>
                <w:vertAlign w:val="subscript"/>
              </w:rPr>
              <w:t>norm</w:t>
            </w:r>
          </w:p>
        </w:tc>
        <w:tc>
          <w:tcPr>
            <w:tcW w:w="3060" w:type="dxa"/>
            <w:hideMark/>
          </w:tcPr>
          <w:p w14:paraId="5F70CD5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CVC = SkBF / MAP; subscript norm if normalised.</w:t>
            </w:r>
          </w:p>
        </w:tc>
      </w:tr>
      <w:tr w:rsidR="00DB5AA9" w:rsidRPr="00B0476C" w14:paraId="5C8039E6"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tcBorders>
              <w:bottom w:val="single" w:sz="4" w:space="0" w:color="auto"/>
            </w:tcBorders>
            <w:hideMark/>
          </w:tcPr>
          <w:p w14:paraId="71ABFAEA" w14:textId="77777777" w:rsidR="00DB5AA9" w:rsidRPr="00B0476C" w:rsidRDefault="00DB5AA9" w:rsidP="0035708B">
            <w:pPr>
              <w:rPr>
                <w:sz w:val="18"/>
                <w:szCs w:val="18"/>
              </w:rPr>
            </w:pPr>
          </w:p>
        </w:tc>
        <w:tc>
          <w:tcPr>
            <w:tcW w:w="2045" w:type="dxa"/>
            <w:tcBorders>
              <w:bottom w:val="single" w:sz="4" w:space="0" w:color="auto"/>
            </w:tcBorders>
            <w:hideMark/>
          </w:tcPr>
          <w:p w14:paraId="6DC5E60E"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Forearm blood flow</w:t>
            </w:r>
          </w:p>
        </w:tc>
        <w:tc>
          <w:tcPr>
            <w:tcW w:w="1466" w:type="dxa"/>
            <w:tcBorders>
              <w:bottom w:val="single" w:sz="4" w:space="0" w:color="auto"/>
            </w:tcBorders>
            <w:hideMark/>
          </w:tcPr>
          <w:p w14:paraId="5C179B7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mL·min⁻¹·100 mL⁻¹</w:t>
            </w:r>
          </w:p>
        </w:tc>
        <w:tc>
          <w:tcPr>
            <w:tcW w:w="2134" w:type="dxa"/>
            <w:tcBorders>
              <w:bottom w:val="single" w:sz="4" w:space="0" w:color="auto"/>
            </w:tcBorders>
            <w:hideMark/>
          </w:tcPr>
          <w:p w14:paraId="10B3681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FBF</w:t>
            </w:r>
          </w:p>
        </w:tc>
        <w:tc>
          <w:tcPr>
            <w:tcW w:w="3060" w:type="dxa"/>
            <w:tcBorders>
              <w:bottom w:val="single" w:sz="4" w:space="0" w:color="auto"/>
            </w:tcBorders>
            <w:hideMark/>
          </w:tcPr>
          <w:p w14:paraId="4DAC0D1F"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Fixed abbreviation; capitalisation consistent.</w:t>
            </w:r>
          </w:p>
        </w:tc>
      </w:tr>
      <w:tr w:rsidR="00DB5AA9" w:rsidRPr="00B0476C" w14:paraId="4961A67E"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Borders>
              <w:top w:val="single" w:sz="4" w:space="0" w:color="auto"/>
            </w:tcBorders>
            <w:hideMark/>
          </w:tcPr>
          <w:p w14:paraId="3E3A0C04" w14:textId="77777777" w:rsidR="00DB5AA9" w:rsidRPr="00B0476C" w:rsidRDefault="00DB5AA9" w:rsidP="0035708B">
            <w:pPr>
              <w:rPr>
                <w:sz w:val="18"/>
                <w:szCs w:val="18"/>
              </w:rPr>
            </w:pPr>
            <w:r w:rsidRPr="00B0476C">
              <w:rPr>
                <w:sz w:val="18"/>
                <w:szCs w:val="18"/>
              </w:rPr>
              <w:t>Metabolic / systemic</w:t>
            </w:r>
          </w:p>
        </w:tc>
        <w:tc>
          <w:tcPr>
            <w:tcW w:w="2045" w:type="dxa"/>
            <w:tcBorders>
              <w:top w:val="single" w:sz="4" w:space="0" w:color="auto"/>
            </w:tcBorders>
            <w:hideMark/>
          </w:tcPr>
          <w:p w14:paraId="53EBB8A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Oxygen consumption</w:t>
            </w:r>
          </w:p>
        </w:tc>
        <w:tc>
          <w:tcPr>
            <w:tcW w:w="1466" w:type="dxa"/>
            <w:tcBorders>
              <w:top w:val="single" w:sz="4" w:space="0" w:color="auto"/>
            </w:tcBorders>
            <w:hideMark/>
          </w:tcPr>
          <w:p w14:paraId="151828F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mL·kg⁻¹·min⁻¹</w:t>
            </w:r>
          </w:p>
        </w:tc>
        <w:tc>
          <w:tcPr>
            <w:tcW w:w="2134" w:type="dxa"/>
            <w:tcBorders>
              <w:top w:val="single" w:sz="4" w:space="0" w:color="auto"/>
            </w:tcBorders>
            <w:hideMark/>
          </w:tcPr>
          <w:p w14:paraId="5AE8C2C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VO₂, V̇O₂, VO2abs</w:t>
            </w:r>
          </w:p>
        </w:tc>
        <w:tc>
          <w:tcPr>
            <w:tcW w:w="3060" w:type="dxa"/>
            <w:tcBorders>
              <w:top w:val="single" w:sz="4" w:space="0" w:color="auto"/>
            </w:tcBorders>
            <w:hideMark/>
          </w:tcPr>
          <w:p w14:paraId="2E8542D5"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Dot indicates rate; VO₂ standardised by physiology journals.</w:t>
            </w:r>
          </w:p>
        </w:tc>
      </w:tr>
      <w:tr w:rsidR="00DB5AA9" w:rsidRPr="00B0476C" w14:paraId="111481BF"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423D03B1" w14:textId="77777777" w:rsidR="00DB5AA9" w:rsidRPr="00B0476C" w:rsidRDefault="00DB5AA9" w:rsidP="0035708B">
            <w:pPr>
              <w:rPr>
                <w:sz w:val="18"/>
                <w:szCs w:val="18"/>
              </w:rPr>
            </w:pPr>
          </w:p>
        </w:tc>
        <w:tc>
          <w:tcPr>
            <w:tcW w:w="2045" w:type="dxa"/>
            <w:hideMark/>
          </w:tcPr>
          <w:p w14:paraId="39C387ED"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Carbon dioxide production</w:t>
            </w:r>
          </w:p>
        </w:tc>
        <w:tc>
          <w:tcPr>
            <w:tcW w:w="1466" w:type="dxa"/>
            <w:hideMark/>
          </w:tcPr>
          <w:p w14:paraId="1D4254C9"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mL·kg⁻¹·min⁻¹</w:t>
            </w:r>
          </w:p>
        </w:tc>
        <w:tc>
          <w:tcPr>
            <w:tcW w:w="2134" w:type="dxa"/>
            <w:hideMark/>
          </w:tcPr>
          <w:p w14:paraId="14BB53A7"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VCO₂, V̇CO₂</w:t>
            </w:r>
          </w:p>
        </w:tc>
        <w:tc>
          <w:tcPr>
            <w:tcW w:w="3060" w:type="dxa"/>
            <w:hideMark/>
          </w:tcPr>
          <w:p w14:paraId="7184DCB8"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Analogous to VO₂; VCO₂ plain text acceptable.</w:t>
            </w:r>
          </w:p>
        </w:tc>
      </w:tr>
      <w:tr w:rsidR="00DB5AA9" w:rsidRPr="00B0476C" w14:paraId="269A78E3"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5AC23C73" w14:textId="77777777" w:rsidR="00DB5AA9" w:rsidRPr="00B0476C" w:rsidRDefault="00DB5AA9" w:rsidP="0035708B">
            <w:pPr>
              <w:rPr>
                <w:sz w:val="18"/>
                <w:szCs w:val="18"/>
              </w:rPr>
            </w:pPr>
          </w:p>
        </w:tc>
        <w:tc>
          <w:tcPr>
            <w:tcW w:w="2045" w:type="dxa"/>
            <w:hideMark/>
          </w:tcPr>
          <w:p w14:paraId="6895ED3A"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Metabolic rate</w:t>
            </w:r>
          </w:p>
        </w:tc>
        <w:tc>
          <w:tcPr>
            <w:tcW w:w="1466" w:type="dxa"/>
            <w:hideMark/>
          </w:tcPr>
          <w:p w14:paraId="5ABAC806"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W·m⁻², Met</w:t>
            </w:r>
          </w:p>
        </w:tc>
        <w:tc>
          <w:tcPr>
            <w:tcW w:w="2134" w:type="dxa"/>
            <w:hideMark/>
          </w:tcPr>
          <w:p w14:paraId="4A9874FB"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 Met, qmet</w:t>
            </w:r>
          </w:p>
        </w:tc>
        <w:tc>
          <w:tcPr>
            <w:tcW w:w="3060" w:type="dxa"/>
            <w:hideMark/>
          </w:tcPr>
          <w:p w14:paraId="55CCA31D"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Met capitalised when unit, lower-case when variable.</w:t>
            </w:r>
          </w:p>
        </w:tc>
      </w:tr>
      <w:tr w:rsidR="00DB5AA9" w:rsidRPr="00B0476C" w14:paraId="2B2CB2AB"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0F1C5EC8" w14:textId="77777777" w:rsidR="00DB5AA9" w:rsidRPr="00B0476C" w:rsidRDefault="00DB5AA9" w:rsidP="0035708B">
            <w:pPr>
              <w:rPr>
                <w:sz w:val="18"/>
                <w:szCs w:val="18"/>
              </w:rPr>
            </w:pPr>
          </w:p>
        </w:tc>
        <w:tc>
          <w:tcPr>
            <w:tcW w:w="2045" w:type="dxa"/>
            <w:hideMark/>
          </w:tcPr>
          <w:p w14:paraId="4E6CC89E"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Respiratory exchange ratio</w:t>
            </w:r>
          </w:p>
        </w:tc>
        <w:tc>
          <w:tcPr>
            <w:tcW w:w="1466" w:type="dxa"/>
            <w:hideMark/>
          </w:tcPr>
          <w:p w14:paraId="3E592473"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w:t>
            </w:r>
          </w:p>
        </w:tc>
        <w:tc>
          <w:tcPr>
            <w:tcW w:w="2134" w:type="dxa"/>
            <w:hideMark/>
          </w:tcPr>
          <w:p w14:paraId="7CD81B7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RER, RQ</w:t>
            </w:r>
          </w:p>
        </w:tc>
        <w:tc>
          <w:tcPr>
            <w:tcW w:w="3060" w:type="dxa"/>
            <w:hideMark/>
          </w:tcPr>
          <w:p w14:paraId="09A21C8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RER = short-term, RQ = steady-state.</w:t>
            </w:r>
          </w:p>
        </w:tc>
      </w:tr>
      <w:tr w:rsidR="00DB5AA9" w:rsidRPr="00B0476C" w14:paraId="70D3A95B"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hideMark/>
          </w:tcPr>
          <w:p w14:paraId="6CCF253B" w14:textId="77777777" w:rsidR="00DB5AA9" w:rsidRPr="00B0476C" w:rsidRDefault="00DB5AA9" w:rsidP="0035708B">
            <w:pPr>
              <w:rPr>
                <w:sz w:val="18"/>
                <w:szCs w:val="18"/>
              </w:rPr>
            </w:pPr>
          </w:p>
        </w:tc>
        <w:tc>
          <w:tcPr>
            <w:tcW w:w="2045" w:type="dxa"/>
            <w:hideMark/>
          </w:tcPr>
          <w:p w14:paraId="61D443D7"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Heat storage rate</w:t>
            </w:r>
          </w:p>
        </w:tc>
        <w:tc>
          <w:tcPr>
            <w:tcW w:w="1466" w:type="dxa"/>
            <w:hideMark/>
          </w:tcPr>
          <w:p w14:paraId="273B6F3E"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°C·h⁻¹, kJ·kg⁻¹</w:t>
            </w:r>
          </w:p>
        </w:tc>
        <w:tc>
          <w:tcPr>
            <w:tcW w:w="2134" w:type="dxa"/>
            <w:hideMark/>
          </w:tcPr>
          <w:p w14:paraId="2E2752B9"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S, ΔH</w:t>
            </w:r>
          </w:p>
        </w:tc>
        <w:tc>
          <w:tcPr>
            <w:tcW w:w="3060" w:type="dxa"/>
            <w:hideMark/>
          </w:tcPr>
          <w:p w14:paraId="359D5BB3" w14:textId="77777777" w:rsidR="00DB5AA9" w:rsidRPr="00B0476C"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B0476C">
              <w:rPr>
                <w:sz w:val="18"/>
                <w:szCs w:val="18"/>
              </w:rPr>
              <w:t>ΔH = enthalpy change.</w:t>
            </w:r>
          </w:p>
        </w:tc>
      </w:tr>
      <w:tr w:rsidR="00DB5AA9" w:rsidRPr="00B0476C" w14:paraId="3F872E94" w14:textId="77777777" w:rsidTr="0035708B">
        <w:tc>
          <w:tcPr>
            <w:cnfStyle w:val="001000000000" w:firstRow="0" w:lastRow="0" w:firstColumn="1" w:lastColumn="0" w:oddVBand="0" w:evenVBand="0" w:oddHBand="0" w:evenHBand="0" w:firstRowFirstColumn="0" w:firstRowLastColumn="0" w:lastRowFirstColumn="0" w:lastRowLastColumn="0"/>
            <w:tcW w:w="1465" w:type="dxa"/>
            <w:vMerge/>
            <w:hideMark/>
          </w:tcPr>
          <w:p w14:paraId="03150545" w14:textId="77777777" w:rsidR="00DB5AA9" w:rsidRPr="00B0476C" w:rsidRDefault="00DB5AA9" w:rsidP="0035708B">
            <w:pPr>
              <w:rPr>
                <w:sz w:val="18"/>
                <w:szCs w:val="18"/>
              </w:rPr>
            </w:pPr>
          </w:p>
        </w:tc>
        <w:tc>
          <w:tcPr>
            <w:tcW w:w="2045" w:type="dxa"/>
            <w:hideMark/>
          </w:tcPr>
          <w:p w14:paraId="5877C942"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Body surface area</w:t>
            </w:r>
          </w:p>
        </w:tc>
        <w:tc>
          <w:tcPr>
            <w:tcW w:w="1466" w:type="dxa"/>
            <w:hideMark/>
          </w:tcPr>
          <w:p w14:paraId="0670D4BB"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m²</w:t>
            </w:r>
          </w:p>
        </w:tc>
        <w:tc>
          <w:tcPr>
            <w:tcW w:w="2134" w:type="dxa"/>
            <w:hideMark/>
          </w:tcPr>
          <w:p w14:paraId="319DB5B1"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BSA</w:t>
            </w:r>
          </w:p>
        </w:tc>
        <w:tc>
          <w:tcPr>
            <w:tcW w:w="3060" w:type="dxa"/>
            <w:hideMark/>
          </w:tcPr>
          <w:p w14:paraId="0A502424" w14:textId="77777777" w:rsidR="00DB5AA9" w:rsidRPr="00B0476C"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B0476C">
              <w:rPr>
                <w:sz w:val="18"/>
                <w:szCs w:val="18"/>
              </w:rPr>
              <w:t>Unambiguous; constants differ by formula (Du Bois vs Mosteller).</w:t>
            </w:r>
          </w:p>
        </w:tc>
      </w:tr>
    </w:tbl>
    <w:p w14:paraId="4012B1C4" w14:textId="77777777" w:rsidR="00DB5AA9" w:rsidRPr="001D228D" w:rsidRDefault="00DB5AA9" w:rsidP="00DB5AA9">
      <w:pPr>
        <w:sectPr w:rsidR="00DB5AA9" w:rsidRPr="001D228D" w:rsidSect="00DB5AA9">
          <w:footerReference w:type="default" r:id="rId13"/>
          <w:pgSz w:w="11906" w:h="16838"/>
          <w:pgMar w:top="1440" w:right="836" w:bottom="1440" w:left="1440" w:header="720" w:footer="720" w:gutter="0"/>
          <w:cols w:space="720"/>
          <w:docGrid w:linePitch="360"/>
        </w:sectPr>
      </w:pPr>
    </w:p>
    <w:p w14:paraId="283A896A" w14:textId="77777777" w:rsidR="00DB5AA9" w:rsidRPr="001D228D" w:rsidRDefault="00DB5AA9" w:rsidP="00DB5AA9">
      <w:pPr>
        <w:pStyle w:val="Heading1"/>
        <w:rPr>
          <w:lang w:val="en-GB"/>
        </w:rPr>
      </w:pPr>
      <w:bookmarkStart w:id="85" w:name="_Toc211009242"/>
      <w:bookmarkStart w:id="86" w:name="_Ref213712584"/>
      <w:bookmarkStart w:id="87" w:name="_Ref213765681"/>
      <w:bookmarkStart w:id="88" w:name="_Toc223281706"/>
      <w:r w:rsidRPr="001D228D">
        <w:rPr>
          <w:lang w:val="en-GB"/>
        </w:rPr>
        <w:lastRenderedPageBreak/>
        <w:t>MEAN SKIN TEMPERATURE FORMULA</w:t>
      </w:r>
      <w:bookmarkEnd w:id="85"/>
      <w:bookmarkEnd w:id="86"/>
      <w:r w:rsidRPr="001D228D">
        <w:rPr>
          <w:lang w:val="en-GB"/>
        </w:rPr>
        <w:t>S</w:t>
      </w:r>
      <w:bookmarkEnd w:id="87"/>
      <w:bookmarkEnd w:id="88"/>
    </w:p>
    <w:p w14:paraId="68B67FD9" w14:textId="585E61BD" w:rsidR="00DB5AA9" w:rsidRPr="001D228D" w:rsidRDefault="00DB5AA9" w:rsidP="00DB5AA9">
      <w:pPr>
        <w:pStyle w:val="Caption"/>
      </w:pPr>
      <w:bookmarkStart w:id="89" w:name="_Ref211005883"/>
      <w:r w:rsidRPr="001D228D">
        <w:t xml:space="preserve">Table </w:t>
      </w:r>
      <w:r w:rsidRPr="001D228D">
        <w:fldChar w:fldCharType="begin"/>
      </w:r>
      <w:r w:rsidRPr="001D228D">
        <w:instrText xml:space="preserve"> SEQ Table \* ARABIC </w:instrText>
      </w:r>
      <w:r w:rsidRPr="001D228D">
        <w:fldChar w:fldCharType="separate"/>
      </w:r>
      <w:r w:rsidR="007650AF">
        <w:rPr>
          <w:noProof/>
        </w:rPr>
        <w:t>7</w:t>
      </w:r>
      <w:r w:rsidRPr="001D228D">
        <w:fldChar w:fldCharType="end"/>
      </w:r>
      <w:bookmarkEnd w:id="89"/>
      <w:r w:rsidRPr="001D228D">
        <w:t>. Measurement sites and weighting factors for mean skin temperature formulas.</w:t>
      </w:r>
      <w:r w:rsidRPr="001D228D">
        <w:br/>
        <w:t>A: Forehead, B: Left cheek, C: Left neck</w:t>
      </w:r>
      <w:r w:rsidRPr="001D228D">
        <w:br/>
        <w:t>D: Right upper arm, E: Left elbow, F: Left forearm, G: Left palm, H: Right hand, I: Left hand</w:t>
      </w:r>
      <w:r w:rsidRPr="001D228D">
        <w:br/>
        <w:t>J: Left back, K: left chest, L: Left lumbar, M: Abdomen, N: Left buttocks</w:t>
      </w:r>
      <w:r w:rsidRPr="001D228D">
        <w:br/>
        <w:t>O: Anterior thigh, P: Left posterior thigh, Q: Right anterior calf, R: Left posterior calf, S: Left foot, T: Right foot, U: Left sole</w:t>
      </w:r>
    </w:p>
    <w:tbl>
      <w:tblPr>
        <w:tblStyle w:val="PlainTable5"/>
        <w:tblW w:w="15658" w:type="dxa"/>
        <w:tblInd w:w="-720" w:type="dxa"/>
        <w:tblLayout w:type="fixed"/>
        <w:tblLook w:val="04A0" w:firstRow="1" w:lastRow="0" w:firstColumn="1" w:lastColumn="0" w:noHBand="0" w:noVBand="1"/>
      </w:tblPr>
      <w:tblGrid>
        <w:gridCol w:w="540"/>
        <w:gridCol w:w="23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576"/>
        <w:gridCol w:w="1134"/>
        <w:gridCol w:w="630"/>
        <w:gridCol w:w="1022"/>
      </w:tblGrid>
      <w:tr w:rsidR="00DB5AA9" w:rsidRPr="00F55000" w14:paraId="03BBA97A" w14:textId="77777777" w:rsidTr="0035708B">
        <w:trPr>
          <w:cnfStyle w:val="100000000000" w:firstRow="1" w:lastRow="0" w:firstColumn="0" w:lastColumn="0" w:oddVBand="0" w:evenVBand="0" w:oddHBand="0" w:evenHBand="0" w:firstRowFirstColumn="0" w:firstRowLastColumn="0" w:lastRowFirstColumn="0" w:lastRowLastColumn="0"/>
          <w:trHeight w:val="345"/>
        </w:trPr>
        <w:tc>
          <w:tcPr>
            <w:cnfStyle w:val="001000000100" w:firstRow="0" w:lastRow="0" w:firstColumn="1" w:lastColumn="0" w:oddVBand="0" w:evenVBand="0" w:oddHBand="0" w:evenHBand="0" w:firstRowFirstColumn="1" w:firstRowLastColumn="0" w:lastRowFirstColumn="0" w:lastRowLastColumn="0"/>
            <w:tcW w:w="540" w:type="dxa"/>
            <w:tcBorders>
              <w:right w:val="single" w:sz="4" w:space="0" w:color="auto"/>
            </w:tcBorders>
            <w:hideMark/>
          </w:tcPr>
          <w:p w14:paraId="3C538797" w14:textId="77777777" w:rsidR="00DB5AA9" w:rsidRPr="00F55000" w:rsidRDefault="00DB5AA9" w:rsidP="0035708B">
            <w:pPr>
              <w:rPr>
                <w:sz w:val="16"/>
                <w:szCs w:val="16"/>
              </w:rPr>
            </w:pPr>
            <w:r w:rsidRPr="00F55000">
              <w:rPr>
                <w:sz w:val="16"/>
                <w:szCs w:val="16"/>
              </w:rPr>
              <w:t>Pts</w:t>
            </w:r>
          </w:p>
        </w:tc>
        <w:tc>
          <w:tcPr>
            <w:tcW w:w="236" w:type="dxa"/>
            <w:tcBorders>
              <w:left w:val="single" w:sz="4" w:space="0" w:color="auto"/>
              <w:right w:val="single" w:sz="4" w:space="0" w:color="auto"/>
            </w:tcBorders>
            <w:vAlign w:val="center"/>
          </w:tcPr>
          <w:p w14:paraId="6B858AF0"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hideMark/>
          </w:tcPr>
          <w:p w14:paraId="7D300648"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A</w:t>
            </w:r>
          </w:p>
        </w:tc>
        <w:tc>
          <w:tcPr>
            <w:tcW w:w="576" w:type="dxa"/>
            <w:hideMark/>
          </w:tcPr>
          <w:p w14:paraId="366DE3FB"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right w:val="single" w:sz="4" w:space="0" w:color="auto"/>
            </w:tcBorders>
            <w:hideMark/>
          </w:tcPr>
          <w:p w14:paraId="30CFD659"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hideMark/>
          </w:tcPr>
          <w:p w14:paraId="305ED6B8"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hideMark/>
          </w:tcPr>
          <w:p w14:paraId="41602823"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E</w:t>
            </w:r>
          </w:p>
        </w:tc>
        <w:tc>
          <w:tcPr>
            <w:tcW w:w="576" w:type="dxa"/>
            <w:hideMark/>
          </w:tcPr>
          <w:p w14:paraId="20F091A5"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F</w:t>
            </w:r>
          </w:p>
        </w:tc>
        <w:tc>
          <w:tcPr>
            <w:tcW w:w="576" w:type="dxa"/>
            <w:hideMark/>
          </w:tcPr>
          <w:p w14:paraId="481032FE"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G</w:t>
            </w:r>
          </w:p>
        </w:tc>
        <w:tc>
          <w:tcPr>
            <w:tcW w:w="576" w:type="dxa"/>
            <w:hideMark/>
          </w:tcPr>
          <w:p w14:paraId="30812220"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H</w:t>
            </w:r>
          </w:p>
        </w:tc>
        <w:tc>
          <w:tcPr>
            <w:tcW w:w="576" w:type="dxa"/>
            <w:tcBorders>
              <w:right w:val="single" w:sz="4" w:space="0" w:color="auto"/>
            </w:tcBorders>
            <w:hideMark/>
          </w:tcPr>
          <w:p w14:paraId="6506F605"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I</w:t>
            </w:r>
          </w:p>
        </w:tc>
        <w:tc>
          <w:tcPr>
            <w:tcW w:w="576" w:type="dxa"/>
            <w:tcBorders>
              <w:left w:val="single" w:sz="4" w:space="0" w:color="auto"/>
            </w:tcBorders>
            <w:hideMark/>
          </w:tcPr>
          <w:p w14:paraId="57191A32"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J</w:t>
            </w:r>
          </w:p>
        </w:tc>
        <w:tc>
          <w:tcPr>
            <w:tcW w:w="576" w:type="dxa"/>
            <w:hideMark/>
          </w:tcPr>
          <w:p w14:paraId="790EDE15"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K</w:t>
            </w:r>
          </w:p>
        </w:tc>
        <w:tc>
          <w:tcPr>
            <w:tcW w:w="576" w:type="dxa"/>
            <w:hideMark/>
          </w:tcPr>
          <w:p w14:paraId="4A6AB760"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L</w:t>
            </w:r>
          </w:p>
        </w:tc>
        <w:tc>
          <w:tcPr>
            <w:tcW w:w="576" w:type="dxa"/>
            <w:hideMark/>
          </w:tcPr>
          <w:p w14:paraId="7B09BF81"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M</w:t>
            </w:r>
          </w:p>
        </w:tc>
        <w:tc>
          <w:tcPr>
            <w:tcW w:w="576" w:type="dxa"/>
            <w:tcBorders>
              <w:right w:val="single" w:sz="4" w:space="0" w:color="auto"/>
            </w:tcBorders>
            <w:hideMark/>
          </w:tcPr>
          <w:p w14:paraId="4004ABB4"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N</w:t>
            </w:r>
          </w:p>
        </w:tc>
        <w:tc>
          <w:tcPr>
            <w:tcW w:w="576" w:type="dxa"/>
            <w:tcBorders>
              <w:left w:val="single" w:sz="4" w:space="0" w:color="auto"/>
            </w:tcBorders>
            <w:hideMark/>
          </w:tcPr>
          <w:p w14:paraId="0E3BEB57"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O</w:t>
            </w:r>
          </w:p>
        </w:tc>
        <w:tc>
          <w:tcPr>
            <w:tcW w:w="576" w:type="dxa"/>
            <w:hideMark/>
          </w:tcPr>
          <w:p w14:paraId="2BC01F01"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P</w:t>
            </w:r>
          </w:p>
        </w:tc>
        <w:tc>
          <w:tcPr>
            <w:tcW w:w="576" w:type="dxa"/>
            <w:hideMark/>
          </w:tcPr>
          <w:p w14:paraId="04723E43"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Q</w:t>
            </w:r>
          </w:p>
        </w:tc>
        <w:tc>
          <w:tcPr>
            <w:tcW w:w="576" w:type="dxa"/>
            <w:hideMark/>
          </w:tcPr>
          <w:p w14:paraId="2DCB3C19"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R</w:t>
            </w:r>
          </w:p>
        </w:tc>
        <w:tc>
          <w:tcPr>
            <w:tcW w:w="576" w:type="dxa"/>
            <w:hideMark/>
          </w:tcPr>
          <w:p w14:paraId="68CD67EB"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S</w:t>
            </w:r>
          </w:p>
        </w:tc>
        <w:tc>
          <w:tcPr>
            <w:tcW w:w="576" w:type="dxa"/>
            <w:hideMark/>
          </w:tcPr>
          <w:p w14:paraId="2B187E3C"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T</w:t>
            </w:r>
          </w:p>
        </w:tc>
        <w:tc>
          <w:tcPr>
            <w:tcW w:w="576" w:type="dxa"/>
            <w:tcBorders>
              <w:right w:val="single" w:sz="4" w:space="0" w:color="auto"/>
            </w:tcBorders>
            <w:hideMark/>
          </w:tcPr>
          <w:p w14:paraId="65AF91CC"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U</w:t>
            </w:r>
          </w:p>
        </w:tc>
        <w:tc>
          <w:tcPr>
            <w:tcW w:w="1134" w:type="dxa"/>
            <w:tcBorders>
              <w:left w:val="single" w:sz="4" w:space="0" w:color="auto"/>
            </w:tcBorders>
            <w:hideMark/>
          </w:tcPr>
          <w:p w14:paraId="1B791C53"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by</w:t>
            </w:r>
          </w:p>
        </w:tc>
        <w:tc>
          <w:tcPr>
            <w:tcW w:w="630" w:type="dxa"/>
            <w:hideMark/>
          </w:tcPr>
          <w:p w14:paraId="10404E22"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Year</w:t>
            </w:r>
          </w:p>
        </w:tc>
        <w:tc>
          <w:tcPr>
            <w:tcW w:w="1022" w:type="dxa"/>
            <w:hideMark/>
          </w:tcPr>
          <w:p w14:paraId="0E0227C0" w14:textId="77777777" w:rsidR="00DB5AA9" w:rsidRPr="00F55000" w:rsidRDefault="00DB5AA9" w:rsidP="0035708B">
            <w:pPr>
              <w:cnfStyle w:val="100000000000" w:firstRow="1" w:lastRow="0" w:firstColumn="0" w:lastColumn="0" w:oddVBand="0" w:evenVBand="0" w:oddHBand="0" w:evenHBand="0" w:firstRowFirstColumn="0" w:firstRowLastColumn="0" w:lastRowFirstColumn="0" w:lastRowLastColumn="0"/>
              <w:rPr>
                <w:sz w:val="16"/>
                <w:szCs w:val="16"/>
              </w:rPr>
            </w:pPr>
            <w:r w:rsidRPr="00F55000">
              <w:rPr>
                <w:sz w:val="16"/>
                <w:szCs w:val="16"/>
              </w:rPr>
              <w:t>Ref</w:t>
            </w:r>
          </w:p>
        </w:tc>
      </w:tr>
      <w:tr w:rsidR="00DB5AA9" w:rsidRPr="00F55000" w14:paraId="0A4D909F"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right w:val="single" w:sz="4" w:space="0" w:color="auto"/>
            </w:tcBorders>
            <w:vAlign w:val="center"/>
            <w:hideMark/>
          </w:tcPr>
          <w:p w14:paraId="51614DB0" w14:textId="77777777" w:rsidR="00DB5AA9" w:rsidRPr="00F55000" w:rsidRDefault="00DB5AA9" w:rsidP="0035708B">
            <w:pPr>
              <w:rPr>
                <w:sz w:val="16"/>
                <w:szCs w:val="16"/>
              </w:rPr>
            </w:pPr>
            <w:r w:rsidRPr="00F55000">
              <w:rPr>
                <w:sz w:val="16"/>
                <w:szCs w:val="16"/>
              </w:rPr>
              <w:t>3</w:t>
            </w:r>
          </w:p>
        </w:tc>
        <w:tc>
          <w:tcPr>
            <w:tcW w:w="236" w:type="dxa"/>
            <w:tcBorders>
              <w:left w:val="single" w:sz="4" w:space="0" w:color="auto"/>
              <w:right w:val="single" w:sz="4" w:space="0" w:color="auto"/>
            </w:tcBorders>
            <w:vAlign w:val="center"/>
          </w:tcPr>
          <w:p w14:paraId="1CEE44C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7F7F7F" w:themeColor="text1" w:themeTint="80"/>
              <w:left w:val="single" w:sz="4" w:space="0" w:color="auto"/>
            </w:tcBorders>
            <w:vAlign w:val="center"/>
            <w:hideMark/>
          </w:tcPr>
          <w:p w14:paraId="7BD0AEE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0FD39B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right w:val="single" w:sz="4" w:space="0" w:color="auto"/>
            </w:tcBorders>
            <w:vAlign w:val="center"/>
            <w:hideMark/>
          </w:tcPr>
          <w:p w14:paraId="440FE23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left w:val="single" w:sz="4" w:space="0" w:color="auto"/>
            </w:tcBorders>
            <w:vAlign w:val="center"/>
            <w:hideMark/>
          </w:tcPr>
          <w:p w14:paraId="30669C9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6B923EA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647B22F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tcBorders>
              <w:top w:val="single" w:sz="4" w:space="0" w:color="7F7F7F" w:themeColor="text1" w:themeTint="80"/>
            </w:tcBorders>
            <w:vAlign w:val="center"/>
            <w:hideMark/>
          </w:tcPr>
          <w:p w14:paraId="62F8B5C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7A630DB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right w:val="single" w:sz="4" w:space="0" w:color="auto"/>
            </w:tcBorders>
            <w:vAlign w:val="center"/>
            <w:hideMark/>
          </w:tcPr>
          <w:p w14:paraId="45118DE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left w:val="single" w:sz="4" w:space="0" w:color="auto"/>
            </w:tcBorders>
            <w:vAlign w:val="center"/>
            <w:hideMark/>
          </w:tcPr>
          <w:p w14:paraId="4D7CC25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46382FA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0.50</w:t>
            </w:r>
          </w:p>
        </w:tc>
        <w:tc>
          <w:tcPr>
            <w:tcW w:w="576" w:type="dxa"/>
            <w:tcBorders>
              <w:top w:val="single" w:sz="4" w:space="0" w:color="7F7F7F" w:themeColor="text1" w:themeTint="80"/>
            </w:tcBorders>
            <w:vAlign w:val="center"/>
            <w:hideMark/>
          </w:tcPr>
          <w:p w14:paraId="74895F1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55125A2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right w:val="single" w:sz="4" w:space="0" w:color="auto"/>
            </w:tcBorders>
            <w:vAlign w:val="center"/>
            <w:hideMark/>
          </w:tcPr>
          <w:p w14:paraId="3C1AB31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left w:val="single" w:sz="4" w:space="0" w:color="auto"/>
            </w:tcBorders>
            <w:vAlign w:val="center"/>
            <w:hideMark/>
          </w:tcPr>
          <w:p w14:paraId="6755300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4A21537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7B8CCA6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0.36</w:t>
            </w:r>
          </w:p>
        </w:tc>
        <w:tc>
          <w:tcPr>
            <w:tcW w:w="576" w:type="dxa"/>
            <w:tcBorders>
              <w:top w:val="single" w:sz="4" w:space="0" w:color="7F7F7F" w:themeColor="text1" w:themeTint="80"/>
            </w:tcBorders>
            <w:vAlign w:val="center"/>
            <w:hideMark/>
          </w:tcPr>
          <w:p w14:paraId="633DFC7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5C0BC88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tcBorders>
            <w:vAlign w:val="center"/>
            <w:hideMark/>
          </w:tcPr>
          <w:p w14:paraId="4B18FF0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7F7F7F" w:themeColor="text1" w:themeTint="80"/>
              <w:right w:val="single" w:sz="4" w:space="0" w:color="auto"/>
            </w:tcBorders>
            <w:vAlign w:val="center"/>
            <w:hideMark/>
          </w:tcPr>
          <w:p w14:paraId="18FD299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7F7F7F" w:themeColor="text1" w:themeTint="80"/>
              <w:left w:val="single" w:sz="4" w:space="0" w:color="auto"/>
            </w:tcBorders>
            <w:vAlign w:val="center"/>
            <w:hideMark/>
          </w:tcPr>
          <w:p w14:paraId="4330F1C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Burton</w:t>
            </w:r>
          </w:p>
        </w:tc>
        <w:tc>
          <w:tcPr>
            <w:tcW w:w="630" w:type="dxa"/>
            <w:tcBorders>
              <w:top w:val="single" w:sz="4" w:space="0" w:color="7F7F7F" w:themeColor="text1" w:themeTint="80"/>
            </w:tcBorders>
            <w:vAlign w:val="center"/>
            <w:hideMark/>
          </w:tcPr>
          <w:p w14:paraId="47B81F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1935</w:t>
            </w:r>
          </w:p>
        </w:tc>
        <w:tc>
          <w:tcPr>
            <w:tcW w:w="1022" w:type="dxa"/>
            <w:tcBorders>
              <w:top w:val="single" w:sz="4" w:space="0" w:color="7F7F7F" w:themeColor="text1" w:themeTint="80"/>
            </w:tcBorders>
            <w:vAlign w:val="center"/>
            <w:hideMark/>
          </w:tcPr>
          <w:sdt>
            <w:sdtPr>
              <w:rPr>
                <w:color w:val="000000"/>
              </w:rPr>
              <w:tag w:val="MENDELEY_CITATION_v3_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"/>
              <w:id w:val="585583942"/>
              <w:placeholder>
                <w:docPart w:val="B700A94C13C9464BA82929F49DFA3C29"/>
              </w:placeholder>
            </w:sdtPr>
            <w:sdtContent>
              <w:p w14:paraId="7D8C4C06" w14:textId="45C8E423"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[508]</w:t>
                </w:r>
              </w:p>
            </w:sdtContent>
          </w:sdt>
        </w:tc>
      </w:tr>
      <w:tr w:rsidR="00DB5AA9" w:rsidRPr="00F55000" w14:paraId="306A156B"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5CB1E2C6" w14:textId="77777777" w:rsidR="00DB5AA9" w:rsidRPr="00F55000" w:rsidRDefault="00DB5AA9" w:rsidP="0035708B">
            <w:pPr>
              <w:rPr>
                <w:sz w:val="16"/>
                <w:szCs w:val="16"/>
              </w:rPr>
            </w:pPr>
            <w:r w:rsidRPr="00F55000">
              <w:rPr>
                <w:sz w:val="16"/>
                <w:szCs w:val="16"/>
              </w:rPr>
              <w:t>3</w:t>
            </w:r>
          </w:p>
        </w:tc>
        <w:tc>
          <w:tcPr>
            <w:tcW w:w="236" w:type="dxa"/>
            <w:tcBorders>
              <w:left w:val="single" w:sz="4" w:space="0" w:color="auto"/>
              <w:right w:val="single" w:sz="4" w:space="0" w:color="auto"/>
            </w:tcBorders>
            <w:vAlign w:val="center"/>
          </w:tcPr>
          <w:p w14:paraId="2F55BCE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hideMark/>
          </w:tcPr>
          <w:p w14:paraId="073D47E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4FD570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1600215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E0B441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13F34F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0E0AE9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0.14</w:t>
            </w:r>
          </w:p>
        </w:tc>
        <w:tc>
          <w:tcPr>
            <w:tcW w:w="576" w:type="dxa"/>
            <w:vAlign w:val="center"/>
            <w:hideMark/>
          </w:tcPr>
          <w:p w14:paraId="2695D6A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D58A6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2CFF04C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4E68110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9620A3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0.50</w:t>
            </w:r>
          </w:p>
        </w:tc>
        <w:tc>
          <w:tcPr>
            <w:tcW w:w="576" w:type="dxa"/>
            <w:vAlign w:val="center"/>
            <w:hideMark/>
          </w:tcPr>
          <w:p w14:paraId="112FB80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EB4A82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23A3F3C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3CBECD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149BBE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4B9CDC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7173A3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0.36</w:t>
            </w:r>
          </w:p>
        </w:tc>
        <w:tc>
          <w:tcPr>
            <w:tcW w:w="576" w:type="dxa"/>
            <w:vAlign w:val="center"/>
            <w:hideMark/>
          </w:tcPr>
          <w:p w14:paraId="2121D07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9470F5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2624599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5B8DDFA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Olesen</w:t>
            </w:r>
          </w:p>
        </w:tc>
        <w:tc>
          <w:tcPr>
            <w:tcW w:w="630" w:type="dxa"/>
            <w:vAlign w:val="center"/>
            <w:hideMark/>
          </w:tcPr>
          <w:p w14:paraId="6CC9F5C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1984</w:t>
            </w:r>
          </w:p>
        </w:tc>
        <w:tc>
          <w:tcPr>
            <w:tcW w:w="1022" w:type="dxa"/>
            <w:vAlign w:val="center"/>
            <w:hideMark/>
          </w:tcPr>
          <w:sdt>
            <w:sdtPr>
              <w:rPr>
                <w:color w:val="000000"/>
              </w:rPr>
              <w:tag w:val="MENDELEY_CITATION_v3_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"/>
              <w:id w:val="972181207"/>
              <w:placeholder>
                <w:docPart w:val="B700A94C13C9464BA82929F49DFA3C29"/>
              </w:placeholder>
            </w:sdtPr>
            <w:sdtContent>
              <w:p w14:paraId="1AE72458" w14:textId="456C9760"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[509]</w:t>
                </w:r>
              </w:p>
            </w:sdtContent>
          </w:sdt>
        </w:tc>
      </w:tr>
      <w:tr w:rsidR="00DB5AA9" w:rsidRPr="00F55000" w14:paraId="723AA7FC"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70C46E5A" w14:textId="77777777" w:rsidR="00DB5AA9" w:rsidRPr="00F55000" w:rsidRDefault="00DB5AA9" w:rsidP="0035708B">
            <w:pPr>
              <w:rPr>
                <w:sz w:val="16"/>
                <w:szCs w:val="16"/>
              </w:rPr>
            </w:pPr>
            <w:r w:rsidRPr="00F55000">
              <w:rPr>
                <w:sz w:val="16"/>
                <w:szCs w:val="16"/>
              </w:rPr>
              <w:t>3</w:t>
            </w:r>
          </w:p>
        </w:tc>
        <w:tc>
          <w:tcPr>
            <w:tcW w:w="236" w:type="dxa"/>
            <w:tcBorders>
              <w:left w:val="single" w:sz="4" w:space="0" w:color="auto"/>
              <w:right w:val="single" w:sz="4" w:space="0" w:color="auto"/>
            </w:tcBorders>
            <w:vAlign w:val="center"/>
          </w:tcPr>
          <w:p w14:paraId="3ACA73A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hideMark/>
          </w:tcPr>
          <w:p w14:paraId="03C3720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0.25</w:t>
            </w:r>
          </w:p>
        </w:tc>
        <w:tc>
          <w:tcPr>
            <w:tcW w:w="576" w:type="dxa"/>
            <w:vAlign w:val="center"/>
            <w:hideMark/>
          </w:tcPr>
          <w:p w14:paraId="7BF9943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0B8B60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392B607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01F903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5ED4F0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0.50</w:t>
            </w:r>
          </w:p>
        </w:tc>
        <w:tc>
          <w:tcPr>
            <w:tcW w:w="576" w:type="dxa"/>
            <w:vAlign w:val="center"/>
            <w:hideMark/>
          </w:tcPr>
          <w:p w14:paraId="5BFE65D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4996955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0EC247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E3EC3D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78ECD3B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082286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0C55086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530437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799033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41D772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96FE32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46A823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7513895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0.25</w:t>
            </w:r>
          </w:p>
        </w:tc>
        <w:tc>
          <w:tcPr>
            <w:tcW w:w="576" w:type="dxa"/>
            <w:vAlign w:val="center"/>
            <w:hideMark/>
          </w:tcPr>
          <w:p w14:paraId="0989DD3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08F8BA2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49098FC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Cho et al.</w:t>
            </w:r>
          </w:p>
        </w:tc>
        <w:tc>
          <w:tcPr>
            <w:tcW w:w="630" w:type="dxa"/>
            <w:vAlign w:val="center"/>
            <w:hideMark/>
          </w:tcPr>
          <w:p w14:paraId="0EDEA96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1996</w:t>
            </w:r>
          </w:p>
        </w:tc>
        <w:tc>
          <w:tcPr>
            <w:tcW w:w="1022" w:type="dxa"/>
            <w:vAlign w:val="center"/>
            <w:hideMark/>
          </w:tcPr>
          <w:sdt>
            <w:sdtPr>
              <w:rPr>
                <w:color w:val="000000"/>
              </w:rPr>
              <w:tag w:val="MENDELEY_CITATION_v3_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"/>
              <w:id w:val="548809623"/>
              <w:placeholder>
                <w:docPart w:val="B700A94C13C9464BA82929F49DFA3C29"/>
              </w:placeholder>
            </w:sdtPr>
            <w:sdtContent>
              <w:p w14:paraId="0F16A167" w14:textId="189DAB6C"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[510]</w:t>
                </w:r>
              </w:p>
            </w:sdtContent>
          </w:sdt>
        </w:tc>
      </w:tr>
      <w:tr w:rsidR="00DB5AA9" w:rsidRPr="00F55000" w14:paraId="490757B8"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hideMark/>
          </w:tcPr>
          <w:p w14:paraId="4F4B57E5" w14:textId="77777777" w:rsidR="00DB5AA9" w:rsidRPr="00F55000" w:rsidRDefault="00DB5AA9" w:rsidP="0035708B">
            <w:pPr>
              <w:rPr>
                <w:sz w:val="16"/>
                <w:szCs w:val="16"/>
              </w:rPr>
            </w:pPr>
            <w:r w:rsidRPr="00F55000">
              <w:rPr>
                <w:sz w:val="16"/>
                <w:szCs w:val="16"/>
              </w:rPr>
              <w:t>3</w:t>
            </w:r>
          </w:p>
        </w:tc>
        <w:tc>
          <w:tcPr>
            <w:tcW w:w="236" w:type="dxa"/>
            <w:tcBorders>
              <w:left w:val="single" w:sz="4" w:space="0" w:color="auto"/>
              <w:bottom w:val="single" w:sz="4" w:space="0" w:color="auto"/>
              <w:right w:val="single" w:sz="4" w:space="0" w:color="auto"/>
            </w:tcBorders>
            <w:vAlign w:val="center"/>
          </w:tcPr>
          <w:p w14:paraId="1877D50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bottom w:val="single" w:sz="4" w:space="0" w:color="auto"/>
            </w:tcBorders>
            <w:vAlign w:val="center"/>
            <w:hideMark/>
          </w:tcPr>
          <w:p w14:paraId="4833D8B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080DAB4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0F71025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7D72750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B006FB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4AC9FE1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0.30</w:t>
            </w:r>
          </w:p>
        </w:tc>
        <w:tc>
          <w:tcPr>
            <w:tcW w:w="576" w:type="dxa"/>
            <w:tcBorders>
              <w:bottom w:val="single" w:sz="4" w:space="0" w:color="auto"/>
            </w:tcBorders>
            <w:vAlign w:val="center"/>
            <w:hideMark/>
          </w:tcPr>
          <w:p w14:paraId="4224BC6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165D6AC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18D7261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10DC541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F9297C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0.35</w:t>
            </w:r>
          </w:p>
        </w:tc>
        <w:tc>
          <w:tcPr>
            <w:tcW w:w="576" w:type="dxa"/>
            <w:tcBorders>
              <w:bottom w:val="single" w:sz="4" w:space="0" w:color="auto"/>
            </w:tcBorders>
            <w:vAlign w:val="center"/>
            <w:hideMark/>
          </w:tcPr>
          <w:p w14:paraId="65D5613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45FF768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747353C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0761528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BA8EF0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5AE6800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0.35</w:t>
            </w:r>
          </w:p>
        </w:tc>
        <w:tc>
          <w:tcPr>
            <w:tcW w:w="576" w:type="dxa"/>
            <w:tcBorders>
              <w:bottom w:val="single" w:sz="4" w:space="0" w:color="auto"/>
            </w:tcBorders>
            <w:vAlign w:val="center"/>
            <w:hideMark/>
          </w:tcPr>
          <w:p w14:paraId="57CBB93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D8D067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63DBF6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69E4806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hideMark/>
          </w:tcPr>
          <w:p w14:paraId="7E1F9D4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Wu et al.</w:t>
            </w:r>
          </w:p>
        </w:tc>
        <w:tc>
          <w:tcPr>
            <w:tcW w:w="630" w:type="dxa"/>
            <w:tcBorders>
              <w:bottom w:val="single" w:sz="4" w:space="0" w:color="auto"/>
            </w:tcBorders>
            <w:vAlign w:val="center"/>
            <w:hideMark/>
          </w:tcPr>
          <w:p w14:paraId="1DE28CA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2020</w:t>
            </w:r>
          </w:p>
        </w:tc>
        <w:tc>
          <w:tcPr>
            <w:tcW w:w="1022" w:type="dxa"/>
            <w:tcBorders>
              <w:bottom w:val="single" w:sz="4" w:space="0" w:color="auto"/>
            </w:tcBorders>
            <w:vAlign w:val="center"/>
            <w:hideMark/>
          </w:tcPr>
          <w:sdt>
            <w:sdtPr>
              <w:rPr>
                <w:color w:val="000000"/>
              </w:rPr>
              <w:tag w:val="MENDELEY_CITATION_v3_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"/>
              <w:id w:val="1808123947"/>
              <w:placeholder>
                <w:docPart w:val="B700A94C13C9464BA82929F49DFA3C29"/>
              </w:placeholder>
            </w:sdtPr>
            <w:sdtContent>
              <w:p w14:paraId="173AE246" w14:textId="6B4155BF"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[511]</w:t>
                </w:r>
              </w:p>
            </w:sdtContent>
          </w:sdt>
        </w:tc>
      </w:tr>
      <w:tr w:rsidR="00DB5AA9" w:rsidRPr="00F55000" w14:paraId="523FD94A"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39BD01D7" w14:textId="77777777" w:rsidR="00DB5AA9" w:rsidRPr="00F55000" w:rsidRDefault="00DB5AA9" w:rsidP="0035708B">
            <w:pPr>
              <w:rPr>
                <w:sz w:val="16"/>
                <w:szCs w:val="16"/>
              </w:rPr>
            </w:pPr>
            <w:r w:rsidRPr="00F55000">
              <w:rPr>
                <w:sz w:val="16"/>
                <w:szCs w:val="16"/>
              </w:rPr>
              <w:t>4</w:t>
            </w:r>
          </w:p>
        </w:tc>
        <w:tc>
          <w:tcPr>
            <w:tcW w:w="236" w:type="dxa"/>
            <w:tcBorders>
              <w:top w:val="single" w:sz="4" w:space="0" w:color="auto"/>
              <w:left w:val="single" w:sz="4" w:space="0" w:color="auto"/>
              <w:right w:val="single" w:sz="4" w:space="0" w:color="auto"/>
            </w:tcBorders>
            <w:vAlign w:val="center"/>
          </w:tcPr>
          <w:p w14:paraId="22FC605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470884C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CDBAA3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021D5EC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3BCA335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71F6C4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B8A36C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0.15</w:t>
            </w:r>
          </w:p>
        </w:tc>
        <w:tc>
          <w:tcPr>
            <w:tcW w:w="576" w:type="dxa"/>
            <w:tcBorders>
              <w:top w:val="single" w:sz="4" w:space="0" w:color="auto"/>
            </w:tcBorders>
            <w:vAlign w:val="center"/>
            <w:hideMark/>
          </w:tcPr>
          <w:p w14:paraId="3063B58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C38AC7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253D9E6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47F1FC5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969FD7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0.34</w:t>
            </w:r>
          </w:p>
        </w:tc>
        <w:tc>
          <w:tcPr>
            <w:tcW w:w="576" w:type="dxa"/>
            <w:tcBorders>
              <w:top w:val="single" w:sz="4" w:space="0" w:color="auto"/>
            </w:tcBorders>
            <w:vAlign w:val="center"/>
            <w:hideMark/>
          </w:tcPr>
          <w:p w14:paraId="622E1EC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E6013A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66DFF46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38B0908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0.33</w:t>
            </w:r>
          </w:p>
        </w:tc>
        <w:tc>
          <w:tcPr>
            <w:tcW w:w="576" w:type="dxa"/>
            <w:tcBorders>
              <w:top w:val="single" w:sz="4" w:space="0" w:color="auto"/>
            </w:tcBorders>
            <w:vAlign w:val="center"/>
            <w:hideMark/>
          </w:tcPr>
          <w:p w14:paraId="68A554D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9B4DF7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w:t>
            </w:r>
          </w:p>
        </w:tc>
        <w:tc>
          <w:tcPr>
            <w:tcW w:w="576" w:type="dxa"/>
            <w:tcBorders>
              <w:top w:val="single" w:sz="4" w:space="0" w:color="auto"/>
            </w:tcBorders>
            <w:vAlign w:val="center"/>
            <w:hideMark/>
          </w:tcPr>
          <w:p w14:paraId="1AED17B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4B3B8A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DBE903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22B0644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hideMark/>
          </w:tcPr>
          <w:p w14:paraId="6402E14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Newburgh &amp; Spealman</w:t>
            </w:r>
          </w:p>
        </w:tc>
        <w:tc>
          <w:tcPr>
            <w:tcW w:w="630" w:type="dxa"/>
            <w:tcBorders>
              <w:top w:val="single" w:sz="4" w:space="0" w:color="auto"/>
            </w:tcBorders>
            <w:vAlign w:val="center"/>
            <w:hideMark/>
          </w:tcPr>
          <w:p w14:paraId="5D88A46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1943</w:t>
            </w:r>
          </w:p>
        </w:tc>
        <w:tc>
          <w:tcPr>
            <w:tcW w:w="1022" w:type="dxa"/>
            <w:tcBorders>
              <w:top w:val="single" w:sz="4" w:space="0" w:color="auto"/>
            </w:tcBorders>
            <w:vAlign w:val="center"/>
          </w:tcPr>
          <w:sdt>
            <w:sdtPr>
              <w:rPr>
                <w:color w:val="000000"/>
              </w:rPr>
              <w:tag w:val="MENDELEY_CITATION_v3_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"/>
              <w:id w:val="-500586631"/>
              <w:placeholder>
                <w:docPart w:val="B700A94C13C9464BA82929F49DFA3C29"/>
              </w:placeholder>
            </w:sdtPr>
            <w:sdtContent>
              <w:p w14:paraId="5E17CDD2" w14:textId="2769BC97"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[512]</w:t>
                </w:r>
              </w:p>
            </w:sdtContent>
          </w:sdt>
        </w:tc>
      </w:tr>
      <w:tr w:rsidR="00DB5AA9" w:rsidRPr="00F55000" w14:paraId="53A705EF"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767FCA37" w14:textId="77777777" w:rsidR="00DB5AA9" w:rsidRPr="00F55000" w:rsidRDefault="00DB5AA9" w:rsidP="0035708B">
            <w:pPr>
              <w:rPr>
                <w:sz w:val="16"/>
                <w:szCs w:val="16"/>
              </w:rPr>
            </w:pPr>
            <w:r w:rsidRPr="00F55000">
              <w:rPr>
                <w:sz w:val="16"/>
                <w:szCs w:val="16"/>
              </w:rPr>
              <w:t>4</w:t>
            </w:r>
          </w:p>
        </w:tc>
        <w:tc>
          <w:tcPr>
            <w:tcW w:w="236" w:type="dxa"/>
            <w:tcBorders>
              <w:left w:val="single" w:sz="4" w:space="0" w:color="auto"/>
              <w:right w:val="single" w:sz="4" w:space="0" w:color="auto"/>
            </w:tcBorders>
            <w:vAlign w:val="center"/>
          </w:tcPr>
          <w:p w14:paraId="1F7D941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hideMark/>
          </w:tcPr>
          <w:p w14:paraId="2FA831B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2882C1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1D1177A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42282C1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0.30</w:t>
            </w:r>
          </w:p>
        </w:tc>
        <w:tc>
          <w:tcPr>
            <w:tcW w:w="576" w:type="dxa"/>
            <w:vAlign w:val="center"/>
            <w:hideMark/>
          </w:tcPr>
          <w:p w14:paraId="1A2F5F5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66889C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137A91F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03DFE6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4554A6A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B8B3A1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73FD51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0.30</w:t>
            </w:r>
          </w:p>
        </w:tc>
        <w:tc>
          <w:tcPr>
            <w:tcW w:w="576" w:type="dxa"/>
            <w:vAlign w:val="center"/>
            <w:hideMark/>
          </w:tcPr>
          <w:p w14:paraId="36DE228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2DE783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2BB6CF8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F43C64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0.20</w:t>
            </w:r>
          </w:p>
        </w:tc>
        <w:tc>
          <w:tcPr>
            <w:tcW w:w="576" w:type="dxa"/>
            <w:vAlign w:val="center"/>
            <w:hideMark/>
          </w:tcPr>
          <w:p w14:paraId="0619B18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2BBB8C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0.20</w:t>
            </w:r>
          </w:p>
        </w:tc>
        <w:tc>
          <w:tcPr>
            <w:tcW w:w="576" w:type="dxa"/>
            <w:vAlign w:val="center"/>
            <w:hideMark/>
          </w:tcPr>
          <w:p w14:paraId="16AC30A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6D3AE1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1CA9B5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4B75E6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79ACAB6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Ramanathan</w:t>
            </w:r>
          </w:p>
        </w:tc>
        <w:tc>
          <w:tcPr>
            <w:tcW w:w="630" w:type="dxa"/>
            <w:vAlign w:val="center"/>
            <w:hideMark/>
          </w:tcPr>
          <w:p w14:paraId="70381AB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1964</w:t>
            </w:r>
          </w:p>
        </w:tc>
        <w:tc>
          <w:tcPr>
            <w:tcW w:w="1022" w:type="dxa"/>
            <w:vAlign w:val="center"/>
          </w:tcPr>
          <w:sdt>
            <w:sdtPr>
              <w:rPr>
                <w:color w:val="000000"/>
              </w:rPr>
              <w:tag w:val="MENDELEY_CITATION_v3_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"/>
              <w:id w:val="-1479529694"/>
              <w:placeholder>
                <w:docPart w:val="B700A94C13C9464BA82929F49DFA3C29"/>
              </w:placeholder>
            </w:sdtPr>
            <w:sdtContent>
              <w:p w14:paraId="33656380" w14:textId="31AB9AF4"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[513]</w:t>
                </w:r>
              </w:p>
            </w:sdtContent>
          </w:sdt>
        </w:tc>
      </w:tr>
      <w:tr w:rsidR="00DB5AA9" w:rsidRPr="00F55000" w14:paraId="3138B0D3"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499B72E5" w14:textId="77777777" w:rsidR="00DB5AA9" w:rsidRPr="00F55000" w:rsidRDefault="00DB5AA9" w:rsidP="0035708B">
            <w:pPr>
              <w:rPr>
                <w:sz w:val="16"/>
                <w:szCs w:val="16"/>
              </w:rPr>
            </w:pPr>
            <w:r w:rsidRPr="00F55000">
              <w:rPr>
                <w:sz w:val="16"/>
                <w:szCs w:val="16"/>
              </w:rPr>
              <w:t>4</w:t>
            </w:r>
          </w:p>
        </w:tc>
        <w:tc>
          <w:tcPr>
            <w:tcW w:w="236" w:type="dxa"/>
            <w:tcBorders>
              <w:left w:val="single" w:sz="4" w:space="0" w:color="auto"/>
              <w:right w:val="single" w:sz="4" w:space="0" w:color="auto"/>
            </w:tcBorders>
            <w:vAlign w:val="center"/>
          </w:tcPr>
          <w:p w14:paraId="6B93A98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hideMark/>
          </w:tcPr>
          <w:p w14:paraId="1ADCC22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210CE3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79C33C5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0.28</w:t>
            </w:r>
          </w:p>
        </w:tc>
        <w:tc>
          <w:tcPr>
            <w:tcW w:w="576" w:type="dxa"/>
            <w:tcBorders>
              <w:left w:val="single" w:sz="4" w:space="0" w:color="auto"/>
            </w:tcBorders>
            <w:vAlign w:val="center"/>
            <w:hideMark/>
          </w:tcPr>
          <w:p w14:paraId="51EDB55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75269D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FB3A03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49165D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7A1C834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0.16</w:t>
            </w:r>
          </w:p>
        </w:tc>
        <w:tc>
          <w:tcPr>
            <w:tcW w:w="576" w:type="dxa"/>
            <w:tcBorders>
              <w:right w:val="single" w:sz="4" w:space="0" w:color="auto"/>
            </w:tcBorders>
            <w:vAlign w:val="center"/>
            <w:hideMark/>
          </w:tcPr>
          <w:p w14:paraId="32E48B3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04BD89C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0.28</w:t>
            </w:r>
          </w:p>
        </w:tc>
        <w:tc>
          <w:tcPr>
            <w:tcW w:w="576" w:type="dxa"/>
            <w:vAlign w:val="center"/>
            <w:hideMark/>
          </w:tcPr>
          <w:p w14:paraId="765B9E7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3DB08C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74ECBA7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8BB6BC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0923BDB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B32D7D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88E7D2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0.28</w:t>
            </w:r>
          </w:p>
        </w:tc>
        <w:tc>
          <w:tcPr>
            <w:tcW w:w="576" w:type="dxa"/>
            <w:vAlign w:val="center"/>
            <w:hideMark/>
          </w:tcPr>
          <w:p w14:paraId="7D6480F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3B51D6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63530B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19A967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028B906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 +</w:t>
            </w:r>
          </w:p>
        </w:tc>
        <w:tc>
          <w:tcPr>
            <w:tcW w:w="630" w:type="dxa"/>
            <w:vAlign w:val="center"/>
            <w:hideMark/>
          </w:tcPr>
          <w:p w14:paraId="3F3071B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1992</w:t>
            </w:r>
          </w:p>
        </w:tc>
        <w:tc>
          <w:tcPr>
            <w:tcW w:w="1022" w:type="dxa"/>
            <w:vAlign w:val="center"/>
          </w:tcPr>
          <w:sdt>
            <w:sdtPr>
              <w:rPr>
                <w:color w:val="000000"/>
              </w:rPr>
              <w:tag w:val="MENDELEY_CITATION_v3_eyJjaXRhdGlvbklEIjoiTUVOREVMRVlfQ0lUQVRJT05fMTVjNzM1ZjUtMWY5MC00OWUyLWJiMzYtZjQ5ODMyYWMxMWY5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672329967"/>
              <w:placeholder>
                <w:docPart w:val="B700A94C13C9464BA82929F49DFA3C29"/>
              </w:placeholder>
            </w:sdtPr>
            <w:sdtContent>
              <w:p w14:paraId="4087B507" w14:textId="78DD43B6"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[3]</w:t>
                </w:r>
              </w:p>
            </w:sdtContent>
          </w:sdt>
        </w:tc>
      </w:tr>
      <w:tr w:rsidR="00DB5AA9" w:rsidRPr="00F55000" w14:paraId="700B6C70"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66E45BFA" w14:textId="77777777" w:rsidR="00DB5AA9" w:rsidRPr="00F55000" w:rsidRDefault="00DB5AA9" w:rsidP="0035708B">
            <w:pPr>
              <w:rPr>
                <w:sz w:val="16"/>
                <w:szCs w:val="16"/>
              </w:rPr>
            </w:pPr>
            <w:r w:rsidRPr="00F55000">
              <w:rPr>
                <w:sz w:val="16"/>
                <w:szCs w:val="16"/>
              </w:rPr>
              <w:t>4</w:t>
            </w:r>
          </w:p>
        </w:tc>
        <w:tc>
          <w:tcPr>
            <w:tcW w:w="236" w:type="dxa"/>
            <w:tcBorders>
              <w:left w:val="single" w:sz="4" w:space="0" w:color="auto"/>
              <w:right w:val="single" w:sz="4" w:space="0" w:color="auto"/>
            </w:tcBorders>
            <w:vAlign w:val="center"/>
          </w:tcPr>
          <w:p w14:paraId="61A9710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tcBorders>
            <w:vAlign w:val="center"/>
            <w:hideMark/>
          </w:tcPr>
          <w:p w14:paraId="3C628A1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B57643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52ABD0F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247B944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3F442C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CB1D39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0.14</w:t>
            </w:r>
          </w:p>
        </w:tc>
        <w:tc>
          <w:tcPr>
            <w:tcW w:w="576" w:type="dxa"/>
            <w:vAlign w:val="center"/>
            <w:hideMark/>
          </w:tcPr>
          <w:p w14:paraId="0D0EE36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F37C6C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9D2B07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2C99B9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1B62536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0.35</w:t>
            </w:r>
          </w:p>
        </w:tc>
        <w:tc>
          <w:tcPr>
            <w:tcW w:w="576" w:type="dxa"/>
            <w:vAlign w:val="center"/>
            <w:hideMark/>
          </w:tcPr>
          <w:p w14:paraId="2625AF8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ECC324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4AB18BE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851336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0.26</w:t>
            </w:r>
          </w:p>
        </w:tc>
        <w:tc>
          <w:tcPr>
            <w:tcW w:w="576" w:type="dxa"/>
            <w:vAlign w:val="center"/>
            <w:hideMark/>
          </w:tcPr>
          <w:p w14:paraId="7E2CB98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14D626B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0.25</w:t>
            </w:r>
          </w:p>
        </w:tc>
        <w:tc>
          <w:tcPr>
            <w:tcW w:w="576" w:type="dxa"/>
            <w:vAlign w:val="center"/>
            <w:hideMark/>
          </w:tcPr>
          <w:p w14:paraId="7699119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9442A5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771921D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1A345E4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661242C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Wu et al.</w:t>
            </w:r>
          </w:p>
        </w:tc>
        <w:tc>
          <w:tcPr>
            <w:tcW w:w="630" w:type="dxa"/>
            <w:vAlign w:val="center"/>
            <w:hideMark/>
          </w:tcPr>
          <w:p w14:paraId="6598BCD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2020</w:t>
            </w:r>
          </w:p>
        </w:tc>
        <w:tc>
          <w:tcPr>
            <w:tcW w:w="1022" w:type="dxa"/>
            <w:vAlign w:val="center"/>
          </w:tcPr>
          <w:sdt>
            <w:sdtPr>
              <w:rPr>
                <w:color w:val="000000"/>
              </w:rPr>
              <w:tag w:val="MENDELEY_CITATION_v3_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"/>
              <w:id w:val="1297869716"/>
              <w:placeholder>
                <w:docPart w:val="B700A94C13C9464BA82929F49DFA3C29"/>
              </w:placeholder>
            </w:sdtPr>
            <w:sdtContent>
              <w:p w14:paraId="2F9130D7" w14:textId="4D40B997"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[511]</w:t>
                </w:r>
              </w:p>
            </w:sdtContent>
          </w:sdt>
        </w:tc>
      </w:tr>
      <w:tr w:rsidR="00DB5AA9" w:rsidRPr="00F55000" w14:paraId="48F2ADF8"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014BF7B5" w14:textId="77777777" w:rsidR="00DB5AA9" w:rsidRPr="00F55000" w:rsidRDefault="00DB5AA9" w:rsidP="0035708B">
            <w:pPr>
              <w:rPr>
                <w:sz w:val="16"/>
                <w:szCs w:val="16"/>
              </w:rPr>
            </w:pPr>
            <w:r w:rsidRPr="00F55000">
              <w:rPr>
                <w:sz w:val="16"/>
                <w:szCs w:val="16"/>
              </w:rPr>
              <w:t>5</w:t>
            </w:r>
          </w:p>
        </w:tc>
        <w:tc>
          <w:tcPr>
            <w:tcW w:w="236" w:type="dxa"/>
            <w:tcBorders>
              <w:top w:val="single" w:sz="4" w:space="0" w:color="auto"/>
              <w:left w:val="single" w:sz="4" w:space="0" w:color="auto"/>
              <w:right w:val="single" w:sz="4" w:space="0" w:color="auto"/>
            </w:tcBorders>
            <w:vAlign w:val="center"/>
          </w:tcPr>
          <w:p w14:paraId="5A6A875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43D6CB0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2236C5B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2A4C145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43B40D3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D6AD94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371D854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028DE52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89D018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right w:val="single" w:sz="4" w:space="0" w:color="auto"/>
            </w:tcBorders>
            <w:vAlign w:val="center"/>
            <w:hideMark/>
          </w:tcPr>
          <w:p w14:paraId="5A4F80C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370BB3F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703357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0.50</w:t>
            </w:r>
          </w:p>
        </w:tc>
        <w:tc>
          <w:tcPr>
            <w:tcW w:w="576" w:type="dxa"/>
            <w:tcBorders>
              <w:top w:val="single" w:sz="4" w:space="0" w:color="auto"/>
            </w:tcBorders>
            <w:vAlign w:val="center"/>
            <w:hideMark/>
          </w:tcPr>
          <w:p w14:paraId="3126D4F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39C4230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3480989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446A928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w:t>
            </w:r>
          </w:p>
        </w:tc>
        <w:tc>
          <w:tcPr>
            <w:tcW w:w="576" w:type="dxa"/>
            <w:tcBorders>
              <w:top w:val="single" w:sz="4" w:space="0" w:color="auto"/>
            </w:tcBorders>
            <w:vAlign w:val="center"/>
            <w:hideMark/>
          </w:tcPr>
          <w:p w14:paraId="4784FFD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456D18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tcBorders>
              <w:top w:val="single" w:sz="4" w:space="0" w:color="auto"/>
            </w:tcBorders>
            <w:vAlign w:val="center"/>
            <w:hideMark/>
          </w:tcPr>
          <w:p w14:paraId="21B1621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D0CE6B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2FBFCE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7823195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tcPr>
          <w:p w14:paraId="7590FBF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tcBorders>
            <w:vAlign w:val="center"/>
          </w:tcPr>
          <w:p w14:paraId="56203F2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tcBorders>
            <w:vAlign w:val="center"/>
          </w:tcPr>
          <w:sdt>
            <w:sdtPr>
              <w:rPr>
                <w:color w:val="000000"/>
              </w:rPr>
              <w:tag w:val="MENDELEY_CITATION_v3_eyJjaXRhdGlvbklEIjoiTUVOREVMRVlfQ0lUQVRJT05fOGRlNTg5ZjAtNTIyNi00YzM5LThjZmQtMzk4NDFlYzAwMzVk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560217767"/>
              <w:placeholder>
                <w:docPart w:val="B700A94C13C9464BA82929F49DFA3C29"/>
              </w:placeholder>
            </w:sdtPr>
            <w:sdtContent>
              <w:p w14:paraId="2E247D96" w14:textId="18EFB66E"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1D523718"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2108F211" w14:textId="77777777" w:rsidR="00DB5AA9" w:rsidRPr="00F55000" w:rsidRDefault="00DB5AA9" w:rsidP="0035708B">
            <w:pPr>
              <w:rPr>
                <w:sz w:val="16"/>
                <w:szCs w:val="16"/>
              </w:rPr>
            </w:pPr>
            <w:r w:rsidRPr="00F55000">
              <w:rPr>
                <w:sz w:val="16"/>
                <w:szCs w:val="16"/>
              </w:rPr>
              <w:t>5</w:t>
            </w:r>
          </w:p>
        </w:tc>
        <w:tc>
          <w:tcPr>
            <w:tcW w:w="236" w:type="dxa"/>
            <w:tcBorders>
              <w:left w:val="single" w:sz="4" w:space="0" w:color="auto"/>
              <w:right w:val="single" w:sz="4" w:space="0" w:color="auto"/>
            </w:tcBorders>
            <w:vAlign w:val="center"/>
          </w:tcPr>
          <w:p w14:paraId="6F3B2A0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hideMark/>
          </w:tcPr>
          <w:p w14:paraId="4BC81CB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7019D8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right w:val="single" w:sz="4" w:space="0" w:color="auto"/>
            </w:tcBorders>
            <w:vAlign w:val="center"/>
            <w:hideMark/>
          </w:tcPr>
          <w:p w14:paraId="7404F4B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7D2E1FC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0.19 (a)</w:t>
            </w:r>
          </w:p>
        </w:tc>
        <w:tc>
          <w:tcPr>
            <w:tcW w:w="576" w:type="dxa"/>
            <w:vAlign w:val="center"/>
            <w:hideMark/>
          </w:tcPr>
          <w:p w14:paraId="6D85C76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404041A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7C230E7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7EEB58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4BB80FF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F49F2A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2EE4AF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ABF4B1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0.175</w:t>
            </w:r>
          </w:p>
        </w:tc>
        <w:tc>
          <w:tcPr>
            <w:tcW w:w="576" w:type="dxa"/>
            <w:vAlign w:val="center"/>
            <w:hideMark/>
          </w:tcPr>
          <w:p w14:paraId="67B064E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0.175</w:t>
            </w:r>
          </w:p>
        </w:tc>
        <w:tc>
          <w:tcPr>
            <w:tcW w:w="576" w:type="dxa"/>
            <w:tcBorders>
              <w:right w:val="single" w:sz="4" w:space="0" w:color="auto"/>
            </w:tcBorders>
            <w:vAlign w:val="center"/>
            <w:hideMark/>
          </w:tcPr>
          <w:p w14:paraId="751C07E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4F687F4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76E8074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0.39</w:t>
            </w:r>
          </w:p>
        </w:tc>
        <w:tc>
          <w:tcPr>
            <w:tcW w:w="576" w:type="dxa"/>
            <w:vAlign w:val="center"/>
            <w:hideMark/>
          </w:tcPr>
          <w:p w14:paraId="3E6C475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AF9F44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421D248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7310307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4F20B0C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342BAB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Houdas</w:t>
            </w:r>
          </w:p>
        </w:tc>
        <w:tc>
          <w:tcPr>
            <w:tcW w:w="630" w:type="dxa"/>
            <w:vAlign w:val="center"/>
            <w:hideMark/>
          </w:tcPr>
          <w:p w14:paraId="0A65C15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1982</w:t>
            </w:r>
          </w:p>
        </w:tc>
        <w:tc>
          <w:tcPr>
            <w:tcW w:w="1022" w:type="dxa"/>
            <w:vAlign w:val="center"/>
          </w:tcPr>
          <w:sdt>
            <w:sdtPr>
              <w:rPr>
                <w:color w:val="000000"/>
              </w:rPr>
              <w:tag w:val="MENDELEY_CITATION_v3_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"/>
              <w:id w:val="-1889637921"/>
              <w:placeholder>
                <w:docPart w:val="B700A94C13C9464BA82929F49DFA3C29"/>
              </w:placeholder>
            </w:sdtPr>
            <w:sdtContent>
              <w:p w14:paraId="7CB74154" w14:textId="5C066FBF"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[515]</w:t>
                </w:r>
              </w:p>
            </w:sdtContent>
          </w:sdt>
        </w:tc>
      </w:tr>
      <w:tr w:rsidR="00DB5AA9" w:rsidRPr="00F55000" w14:paraId="0C7057AA"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761845B1" w14:textId="77777777" w:rsidR="00DB5AA9" w:rsidRPr="00F55000" w:rsidRDefault="00DB5AA9" w:rsidP="0035708B">
            <w:pPr>
              <w:rPr>
                <w:sz w:val="16"/>
                <w:szCs w:val="16"/>
              </w:rPr>
            </w:pPr>
            <w:r w:rsidRPr="00F55000">
              <w:rPr>
                <w:sz w:val="16"/>
                <w:szCs w:val="16"/>
              </w:rPr>
              <w:t>5</w:t>
            </w:r>
          </w:p>
        </w:tc>
        <w:tc>
          <w:tcPr>
            <w:tcW w:w="236" w:type="dxa"/>
            <w:tcBorders>
              <w:left w:val="single" w:sz="4" w:space="0" w:color="auto"/>
              <w:right w:val="single" w:sz="4" w:space="0" w:color="auto"/>
            </w:tcBorders>
            <w:vAlign w:val="center"/>
          </w:tcPr>
          <w:p w14:paraId="1C369D6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hideMark/>
          </w:tcPr>
          <w:p w14:paraId="7642177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vAlign w:val="center"/>
            <w:hideMark/>
          </w:tcPr>
          <w:p w14:paraId="608B2B4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56078D1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7ABBBC4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0F341B9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D12165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9EFD5D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0EB182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hideMark/>
          </w:tcPr>
          <w:p w14:paraId="76099C5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9BF236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4BDD4A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0.42</w:t>
            </w:r>
          </w:p>
        </w:tc>
        <w:tc>
          <w:tcPr>
            <w:tcW w:w="576" w:type="dxa"/>
            <w:vAlign w:val="center"/>
            <w:hideMark/>
          </w:tcPr>
          <w:p w14:paraId="6193C0E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7C5CBE5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0CFE76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92371F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0.26</w:t>
            </w:r>
          </w:p>
        </w:tc>
        <w:tc>
          <w:tcPr>
            <w:tcW w:w="576" w:type="dxa"/>
            <w:vAlign w:val="center"/>
            <w:hideMark/>
          </w:tcPr>
          <w:p w14:paraId="7FD84E4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840A89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vAlign w:val="center"/>
            <w:hideMark/>
          </w:tcPr>
          <w:p w14:paraId="5390100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8C4BE3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0EC1B7E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8B982D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3FDD757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Wu et al.</w:t>
            </w:r>
          </w:p>
        </w:tc>
        <w:tc>
          <w:tcPr>
            <w:tcW w:w="630" w:type="dxa"/>
            <w:vAlign w:val="center"/>
            <w:hideMark/>
          </w:tcPr>
          <w:p w14:paraId="2DEFCCF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2020</w:t>
            </w:r>
          </w:p>
        </w:tc>
        <w:tc>
          <w:tcPr>
            <w:tcW w:w="1022" w:type="dxa"/>
            <w:vAlign w:val="center"/>
          </w:tcPr>
          <w:sdt>
            <w:sdtPr>
              <w:rPr>
                <w:color w:val="000000"/>
              </w:rPr>
              <w:tag w:val="MENDELEY_CITATION_v3_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"/>
              <w:id w:val="336282877"/>
              <w:placeholder>
                <w:docPart w:val="B700A94C13C9464BA82929F49DFA3C29"/>
              </w:placeholder>
            </w:sdtPr>
            <w:sdtContent>
              <w:p w14:paraId="6395FF4F" w14:textId="665BE4C5"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[511]</w:t>
                </w:r>
              </w:p>
            </w:sdtContent>
          </w:sdt>
        </w:tc>
      </w:tr>
      <w:tr w:rsidR="00DB5AA9" w:rsidRPr="00F55000" w14:paraId="2D94E5B8"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hideMark/>
          </w:tcPr>
          <w:p w14:paraId="4CDFBFB1" w14:textId="77777777" w:rsidR="00DB5AA9" w:rsidRPr="00F55000" w:rsidRDefault="00DB5AA9" w:rsidP="0035708B">
            <w:pPr>
              <w:rPr>
                <w:sz w:val="16"/>
                <w:szCs w:val="16"/>
              </w:rPr>
            </w:pPr>
            <w:r w:rsidRPr="00F55000">
              <w:rPr>
                <w:sz w:val="16"/>
                <w:szCs w:val="16"/>
              </w:rPr>
              <w:t>5</w:t>
            </w:r>
          </w:p>
        </w:tc>
        <w:tc>
          <w:tcPr>
            <w:tcW w:w="236" w:type="dxa"/>
            <w:tcBorders>
              <w:left w:val="single" w:sz="4" w:space="0" w:color="auto"/>
              <w:bottom w:val="single" w:sz="4" w:space="0" w:color="auto"/>
              <w:right w:val="single" w:sz="4" w:space="0" w:color="auto"/>
            </w:tcBorders>
            <w:vAlign w:val="center"/>
          </w:tcPr>
          <w:p w14:paraId="3EC9C63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bottom w:val="single" w:sz="4" w:space="0" w:color="auto"/>
            </w:tcBorders>
            <w:vAlign w:val="center"/>
            <w:hideMark/>
          </w:tcPr>
          <w:p w14:paraId="5DC5E87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0.20</w:t>
            </w:r>
          </w:p>
        </w:tc>
        <w:tc>
          <w:tcPr>
            <w:tcW w:w="576" w:type="dxa"/>
            <w:tcBorders>
              <w:bottom w:val="single" w:sz="4" w:space="0" w:color="auto"/>
            </w:tcBorders>
            <w:vAlign w:val="center"/>
            <w:hideMark/>
          </w:tcPr>
          <w:p w14:paraId="0C734DA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3E77039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76D2993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w:t>
            </w:r>
          </w:p>
        </w:tc>
        <w:tc>
          <w:tcPr>
            <w:tcW w:w="576" w:type="dxa"/>
            <w:tcBorders>
              <w:bottom w:val="single" w:sz="4" w:space="0" w:color="auto"/>
            </w:tcBorders>
            <w:vAlign w:val="center"/>
            <w:hideMark/>
          </w:tcPr>
          <w:p w14:paraId="084CC48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041B1D2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1F3ADD1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04015A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bottom w:val="single" w:sz="4" w:space="0" w:color="auto"/>
              <w:right w:val="single" w:sz="4" w:space="0" w:color="auto"/>
            </w:tcBorders>
            <w:vAlign w:val="center"/>
            <w:hideMark/>
          </w:tcPr>
          <w:p w14:paraId="258C0CF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08D9993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0.50</w:t>
            </w:r>
          </w:p>
        </w:tc>
        <w:tc>
          <w:tcPr>
            <w:tcW w:w="576" w:type="dxa"/>
            <w:tcBorders>
              <w:bottom w:val="single" w:sz="4" w:space="0" w:color="auto"/>
            </w:tcBorders>
            <w:vAlign w:val="center"/>
            <w:hideMark/>
          </w:tcPr>
          <w:p w14:paraId="1ED7FC7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5EFD5C7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8D1F98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6A5EB33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4E0F2D6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374CFCF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1F916CF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90D31E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7A3FD79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7E3E749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3D0B189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hideMark/>
          </w:tcPr>
          <w:p w14:paraId="6DBA8BE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Wang et al.</w:t>
            </w:r>
          </w:p>
        </w:tc>
        <w:tc>
          <w:tcPr>
            <w:tcW w:w="630" w:type="dxa"/>
            <w:tcBorders>
              <w:bottom w:val="single" w:sz="4" w:space="0" w:color="auto"/>
            </w:tcBorders>
            <w:vAlign w:val="center"/>
            <w:hideMark/>
          </w:tcPr>
          <w:p w14:paraId="2896083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2013</w:t>
            </w:r>
          </w:p>
        </w:tc>
        <w:tc>
          <w:tcPr>
            <w:tcW w:w="1022" w:type="dxa"/>
            <w:tcBorders>
              <w:bottom w:val="single" w:sz="4" w:space="0" w:color="auto"/>
            </w:tcBorders>
            <w:vAlign w:val="center"/>
          </w:tcPr>
          <w:sdt>
            <w:sdtPr>
              <w:rPr>
                <w:color w:val="000000"/>
              </w:rPr>
              <w:tag w:val="MENDELEY_CITATION_v3_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"/>
              <w:id w:val="811369903"/>
              <w:placeholder>
                <w:docPart w:val="B700A94C13C9464BA82929F49DFA3C29"/>
              </w:placeholder>
            </w:sdtPr>
            <w:sdtContent>
              <w:p w14:paraId="1EC60405" w14:textId="60D192B7"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[516]</w:t>
                </w:r>
              </w:p>
            </w:sdtContent>
          </w:sdt>
        </w:tc>
      </w:tr>
      <w:tr w:rsidR="00DB5AA9" w:rsidRPr="00F55000" w14:paraId="199A9911"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443D9CA2" w14:textId="77777777" w:rsidR="00DB5AA9" w:rsidRPr="00F55000" w:rsidRDefault="00DB5AA9" w:rsidP="0035708B">
            <w:pPr>
              <w:rPr>
                <w:sz w:val="16"/>
                <w:szCs w:val="16"/>
              </w:rPr>
            </w:pPr>
            <w:r w:rsidRPr="00F55000">
              <w:rPr>
                <w:sz w:val="16"/>
                <w:szCs w:val="16"/>
              </w:rPr>
              <w:t>6</w:t>
            </w:r>
          </w:p>
        </w:tc>
        <w:tc>
          <w:tcPr>
            <w:tcW w:w="236" w:type="dxa"/>
            <w:tcBorders>
              <w:top w:val="single" w:sz="4" w:space="0" w:color="auto"/>
              <w:left w:val="single" w:sz="4" w:space="0" w:color="auto"/>
              <w:right w:val="single" w:sz="4" w:space="0" w:color="auto"/>
            </w:tcBorders>
            <w:vAlign w:val="center"/>
          </w:tcPr>
          <w:p w14:paraId="0AAED6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7056C3C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BA2A52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tcBorders>
              <w:top w:val="single" w:sz="4" w:space="0" w:color="auto"/>
              <w:right w:val="single" w:sz="4" w:space="0" w:color="auto"/>
            </w:tcBorders>
            <w:vAlign w:val="center"/>
            <w:hideMark/>
          </w:tcPr>
          <w:p w14:paraId="39A7AC8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70938B1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74AEFF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0E4495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top w:val="single" w:sz="4" w:space="0" w:color="auto"/>
            </w:tcBorders>
            <w:vAlign w:val="center"/>
            <w:hideMark/>
          </w:tcPr>
          <w:p w14:paraId="10DD94E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tcBorders>
            <w:vAlign w:val="center"/>
            <w:hideMark/>
          </w:tcPr>
          <w:p w14:paraId="1FA6FC2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6425070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7B8BE96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tcBorders>
              <w:top w:val="single" w:sz="4" w:space="0" w:color="auto"/>
            </w:tcBorders>
            <w:vAlign w:val="center"/>
            <w:hideMark/>
          </w:tcPr>
          <w:p w14:paraId="41867F1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tcBorders>
              <w:top w:val="single" w:sz="4" w:space="0" w:color="auto"/>
            </w:tcBorders>
            <w:vAlign w:val="center"/>
            <w:hideMark/>
          </w:tcPr>
          <w:p w14:paraId="5FC691A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FCEE75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1F8E0AD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274294D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0.32</w:t>
            </w:r>
          </w:p>
        </w:tc>
        <w:tc>
          <w:tcPr>
            <w:tcW w:w="576" w:type="dxa"/>
            <w:tcBorders>
              <w:top w:val="single" w:sz="4" w:space="0" w:color="auto"/>
            </w:tcBorders>
            <w:vAlign w:val="center"/>
            <w:hideMark/>
          </w:tcPr>
          <w:p w14:paraId="4055324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F75D74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06CFCB2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CB2732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4F7CDE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01A1BAD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tcPr>
          <w:p w14:paraId="348A2B0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tcBorders>
            <w:vAlign w:val="center"/>
          </w:tcPr>
          <w:p w14:paraId="33A2036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tcBorders>
            <w:vAlign w:val="center"/>
          </w:tcPr>
          <w:sdt>
            <w:sdtPr>
              <w:rPr>
                <w:color w:val="000000"/>
              </w:rPr>
              <w:tag w:val="MENDELEY_CITATION_v3_eyJjaXRhdGlvbklEIjoiTUVOREVMRVlfQ0lUQVRJT05fMTBhMzI0NTYtYjkwNi00NTU0LTlhOTgtMGZkMWM2ZDU2Nzli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974714832"/>
              <w:placeholder>
                <w:docPart w:val="B700A94C13C9464BA82929F49DFA3C29"/>
              </w:placeholder>
            </w:sdtPr>
            <w:sdtContent>
              <w:p w14:paraId="6969C43F" w14:textId="6BCB89EE"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539E7F63"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5AEED9D2" w14:textId="77777777" w:rsidR="00DB5AA9" w:rsidRPr="00F55000" w:rsidRDefault="00DB5AA9" w:rsidP="0035708B">
            <w:pPr>
              <w:rPr>
                <w:sz w:val="16"/>
                <w:szCs w:val="16"/>
              </w:rPr>
            </w:pPr>
            <w:r w:rsidRPr="00F55000">
              <w:rPr>
                <w:sz w:val="16"/>
                <w:szCs w:val="16"/>
              </w:rPr>
              <w:t>6</w:t>
            </w:r>
          </w:p>
        </w:tc>
        <w:tc>
          <w:tcPr>
            <w:tcW w:w="236" w:type="dxa"/>
            <w:tcBorders>
              <w:left w:val="single" w:sz="4" w:space="0" w:color="auto"/>
              <w:right w:val="single" w:sz="4" w:space="0" w:color="auto"/>
            </w:tcBorders>
            <w:vAlign w:val="center"/>
          </w:tcPr>
          <w:p w14:paraId="1827336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hideMark/>
          </w:tcPr>
          <w:p w14:paraId="32EC597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03078D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0.149</w:t>
            </w:r>
          </w:p>
        </w:tc>
        <w:tc>
          <w:tcPr>
            <w:tcW w:w="576" w:type="dxa"/>
            <w:tcBorders>
              <w:right w:val="single" w:sz="4" w:space="0" w:color="auto"/>
            </w:tcBorders>
            <w:vAlign w:val="center"/>
            <w:hideMark/>
          </w:tcPr>
          <w:p w14:paraId="4E99287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4B3802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0.107</w:t>
            </w:r>
          </w:p>
        </w:tc>
        <w:tc>
          <w:tcPr>
            <w:tcW w:w="576" w:type="dxa"/>
            <w:vAlign w:val="center"/>
            <w:hideMark/>
          </w:tcPr>
          <w:p w14:paraId="5548473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0E0C3C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9C4598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CAA6F0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117205C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E53AF6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4B7BF62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0.186</w:t>
            </w:r>
          </w:p>
        </w:tc>
        <w:tc>
          <w:tcPr>
            <w:tcW w:w="576" w:type="dxa"/>
            <w:vAlign w:val="center"/>
            <w:hideMark/>
          </w:tcPr>
          <w:p w14:paraId="6D9F0EC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0.186</w:t>
            </w:r>
          </w:p>
        </w:tc>
        <w:tc>
          <w:tcPr>
            <w:tcW w:w="576" w:type="dxa"/>
            <w:vAlign w:val="center"/>
            <w:hideMark/>
          </w:tcPr>
          <w:p w14:paraId="0A07F07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DA0FA5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3B0D82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0.186</w:t>
            </w:r>
          </w:p>
        </w:tc>
        <w:tc>
          <w:tcPr>
            <w:tcW w:w="576" w:type="dxa"/>
            <w:vAlign w:val="center"/>
            <w:hideMark/>
          </w:tcPr>
          <w:p w14:paraId="42608C5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0.186</w:t>
            </w:r>
          </w:p>
        </w:tc>
        <w:tc>
          <w:tcPr>
            <w:tcW w:w="576" w:type="dxa"/>
            <w:vAlign w:val="center"/>
            <w:hideMark/>
          </w:tcPr>
          <w:p w14:paraId="0CF5708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EE9B87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757730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0E457F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30F6DB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71F07D7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Teichner</w:t>
            </w:r>
          </w:p>
        </w:tc>
        <w:tc>
          <w:tcPr>
            <w:tcW w:w="630" w:type="dxa"/>
            <w:vAlign w:val="center"/>
            <w:hideMark/>
          </w:tcPr>
          <w:p w14:paraId="320A075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1958</w:t>
            </w:r>
          </w:p>
        </w:tc>
        <w:tc>
          <w:tcPr>
            <w:tcW w:w="1022" w:type="dxa"/>
            <w:vAlign w:val="center"/>
          </w:tcPr>
          <w:sdt>
            <w:sdtPr>
              <w:rPr>
                <w:color w:val="000000"/>
              </w:rPr>
              <w:tag w:val="MENDELEY_CITATION_v3_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"/>
              <w:id w:val="-1749723631"/>
              <w:placeholder>
                <w:docPart w:val="B700A94C13C9464BA82929F49DFA3C29"/>
              </w:placeholder>
            </w:sdtPr>
            <w:sdtContent>
              <w:p w14:paraId="45C9390D" w14:textId="1E2A302F"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[512]</w:t>
                </w:r>
              </w:p>
            </w:sdtContent>
          </w:sdt>
        </w:tc>
      </w:tr>
      <w:tr w:rsidR="00DB5AA9" w:rsidRPr="00F55000" w14:paraId="67271A26"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0289E6BD" w14:textId="77777777" w:rsidR="00DB5AA9" w:rsidRPr="00F55000" w:rsidRDefault="00DB5AA9" w:rsidP="0035708B">
            <w:pPr>
              <w:rPr>
                <w:sz w:val="16"/>
                <w:szCs w:val="16"/>
              </w:rPr>
            </w:pPr>
            <w:r w:rsidRPr="00F55000">
              <w:rPr>
                <w:sz w:val="16"/>
                <w:szCs w:val="16"/>
              </w:rPr>
              <w:t>6</w:t>
            </w:r>
          </w:p>
        </w:tc>
        <w:tc>
          <w:tcPr>
            <w:tcW w:w="236" w:type="dxa"/>
            <w:tcBorders>
              <w:left w:val="single" w:sz="4" w:space="0" w:color="auto"/>
              <w:right w:val="single" w:sz="4" w:space="0" w:color="auto"/>
            </w:tcBorders>
            <w:vAlign w:val="center"/>
          </w:tcPr>
          <w:p w14:paraId="7F65981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tcPr>
          <w:p w14:paraId="77892D8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0.10</w:t>
            </w:r>
          </w:p>
        </w:tc>
        <w:tc>
          <w:tcPr>
            <w:tcW w:w="576" w:type="dxa"/>
            <w:vAlign w:val="center"/>
          </w:tcPr>
          <w:p w14:paraId="64A4B68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1DFC8B6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7C7CC72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59F03F9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70C44E6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vAlign w:val="center"/>
          </w:tcPr>
          <w:p w14:paraId="3600E1B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5AE0261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tcPr>
          <w:p w14:paraId="6421F67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05F89F8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2E0CBA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0.40</w:t>
            </w:r>
          </w:p>
        </w:tc>
        <w:tc>
          <w:tcPr>
            <w:tcW w:w="576" w:type="dxa"/>
            <w:vAlign w:val="center"/>
          </w:tcPr>
          <w:p w14:paraId="39535DD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4E44848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359C42E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46C02D7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vAlign w:val="center"/>
          </w:tcPr>
          <w:p w14:paraId="559C8D3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71E1404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vAlign w:val="center"/>
          </w:tcPr>
          <w:p w14:paraId="696CD05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0E80A77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78A64E1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1F0F710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tcPr>
          <w:p w14:paraId="2E6EC4F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Miura et al</w:t>
            </w:r>
          </w:p>
        </w:tc>
        <w:tc>
          <w:tcPr>
            <w:tcW w:w="630" w:type="dxa"/>
            <w:vAlign w:val="center"/>
          </w:tcPr>
          <w:p w14:paraId="6A87523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w:t>
            </w:r>
          </w:p>
        </w:tc>
        <w:tc>
          <w:tcPr>
            <w:tcW w:w="1022" w:type="dxa"/>
            <w:vAlign w:val="center"/>
          </w:tcPr>
          <w:sdt>
            <w:sdtPr>
              <w:rPr>
                <w:color w:val="000000"/>
              </w:rPr>
              <w:tag w:val="MENDELEY_CITATION_v3_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"/>
              <w:id w:val="-399058388"/>
              <w:placeholder>
                <w:docPart w:val="B700A94C13C9464BA82929F49DFA3C29"/>
              </w:placeholder>
            </w:sdtPr>
            <w:sdtContent>
              <w:p w14:paraId="646A901A" w14:textId="19672205"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[517]</w:t>
                </w:r>
              </w:p>
            </w:sdtContent>
          </w:sdt>
        </w:tc>
      </w:tr>
      <w:tr w:rsidR="00DB5AA9" w:rsidRPr="00F55000" w14:paraId="4009BF31"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62230270" w14:textId="77777777" w:rsidR="00DB5AA9" w:rsidRPr="00F55000" w:rsidRDefault="00DB5AA9" w:rsidP="0035708B">
            <w:pPr>
              <w:rPr>
                <w:sz w:val="16"/>
                <w:szCs w:val="16"/>
              </w:rPr>
            </w:pPr>
            <w:r w:rsidRPr="00F55000">
              <w:rPr>
                <w:sz w:val="16"/>
                <w:szCs w:val="16"/>
              </w:rPr>
              <w:t>6</w:t>
            </w:r>
          </w:p>
        </w:tc>
        <w:tc>
          <w:tcPr>
            <w:tcW w:w="236" w:type="dxa"/>
            <w:tcBorders>
              <w:left w:val="single" w:sz="4" w:space="0" w:color="auto"/>
              <w:right w:val="single" w:sz="4" w:space="0" w:color="auto"/>
            </w:tcBorders>
            <w:vAlign w:val="center"/>
          </w:tcPr>
          <w:p w14:paraId="74216C5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tcBorders>
            <w:vAlign w:val="center"/>
          </w:tcPr>
          <w:p w14:paraId="4145FD6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0.11</w:t>
            </w:r>
          </w:p>
        </w:tc>
        <w:tc>
          <w:tcPr>
            <w:tcW w:w="576" w:type="dxa"/>
            <w:vAlign w:val="center"/>
          </w:tcPr>
          <w:p w14:paraId="351824E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7A4B7CE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3D0316A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w:t>
            </w:r>
          </w:p>
        </w:tc>
        <w:tc>
          <w:tcPr>
            <w:tcW w:w="576" w:type="dxa"/>
            <w:vAlign w:val="center"/>
          </w:tcPr>
          <w:p w14:paraId="3A89378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3D23D94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vAlign w:val="center"/>
          </w:tcPr>
          <w:p w14:paraId="2352A10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33F9550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7F3FB73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4A63E83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75D01A9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0.28</w:t>
            </w:r>
          </w:p>
        </w:tc>
        <w:tc>
          <w:tcPr>
            <w:tcW w:w="576" w:type="dxa"/>
            <w:vAlign w:val="center"/>
          </w:tcPr>
          <w:p w14:paraId="4B98C47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3EB59FE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58C56F1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294381F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0.21</w:t>
            </w:r>
          </w:p>
        </w:tc>
        <w:tc>
          <w:tcPr>
            <w:tcW w:w="576" w:type="dxa"/>
            <w:vAlign w:val="center"/>
          </w:tcPr>
          <w:p w14:paraId="1DDE054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697D23C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0.20</w:t>
            </w:r>
          </w:p>
        </w:tc>
        <w:tc>
          <w:tcPr>
            <w:tcW w:w="576" w:type="dxa"/>
            <w:vAlign w:val="center"/>
          </w:tcPr>
          <w:p w14:paraId="00D2388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1BCE4A9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541120C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3023836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tcPr>
          <w:p w14:paraId="5D7476A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Mochida</w:t>
            </w:r>
          </w:p>
        </w:tc>
        <w:tc>
          <w:tcPr>
            <w:tcW w:w="630" w:type="dxa"/>
            <w:vAlign w:val="center"/>
          </w:tcPr>
          <w:p w14:paraId="57F9EBD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1983</w:t>
            </w:r>
          </w:p>
        </w:tc>
        <w:tc>
          <w:tcPr>
            <w:tcW w:w="1022" w:type="dxa"/>
            <w:vAlign w:val="center"/>
          </w:tcPr>
          <w:sdt>
            <w:sdtPr>
              <w:rPr>
                <w:color w:val="000000"/>
              </w:rPr>
              <w:tag w:val="MENDELEY_CITATION_v3_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"/>
              <w:id w:val="941040371"/>
              <w:placeholder>
                <w:docPart w:val="B700A94C13C9464BA82929F49DFA3C29"/>
              </w:placeholder>
            </w:sdtPr>
            <w:sdtContent>
              <w:p w14:paraId="29DA8AC0" w14:textId="429AF9DE"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[517]</w:t>
                </w:r>
              </w:p>
            </w:sdtContent>
          </w:sdt>
        </w:tc>
      </w:tr>
      <w:tr w:rsidR="00DB5AA9" w:rsidRPr="00F55000" w14:paraId="58B6C4B2"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hideMark/>
          </w:tcPr>
          <w:p w14:paraId="50F893AA" w14:textId="77777777" w:rsidR="00DB5AA9" w:rsidRPr="00F55000" w:rsidRDefault="00DB5AA9" w:rsidP="0035708B">
            <w:pPr>
              <w:rPr>
                <w:sz w:val="16"/>
                <w:szCs w:val="16"/>
              </w:rPr>
            </w:pPr>
            <w:r w:rsidRPr="00F55000">
              <w:rPr>
                <w:sz w:val="16"/>
                <w:szCs w:val="16"/>
              </w:rPr>
              <w:t>6</w:t>
            </w:r>
          </w:p>
        </w:tc>
        <w:tc>
          <w:tcPr>
            <w:tcW w:w="236" w:type="dxa"/>
            <w:tcBorders>
              <w:left w:val="single" w:sz="4" w:space="0" w:color="auto"/>
              <w:bottom w:val="single" w:sz="4" w:space="0" w:color="auto"/>
              <w:right w:val="single" w:sz="4" w:space="0" w:color="auto"/>
            </w:tcBorders>
            <w:vAlign w:val="center"/>
          </w:tcPr>
          <w:p w14:paraId="6B45CAE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e</w:t>
            </w:r>
          </w:p>
        </w:tc>
        <w:tc>
          <w:tcPr>
            <w:tcW w:w="576" w:type="dxa"/>
            <w:tcBorders>
              <w:left w:val="single" w:sz="4" w:space="0" w:color="auto"/>
              <w:bottom w:val="single" w:sz="4" w:space="0" w:color="auto"/>
            </w:tcBorders>
            <w:vAlign w:val="center"/>
            <w:hideMark/>
          </w:tcPr>
          <w:p w14:paraId="6F86F5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774302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tcBorders>
              <w:bottom w:val="single" w:sz="4" w:space="0" w:color="auto"/>
              <w:right w:val="single" w:sz="4" w:space="0" w:color="auto"/>
            </w:tcBorders>
            <w:vAlign w:val="center"/>
            <w:hideMark/>
          </w:tcPr>
          <w:p w14:paraId="2F68B4D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5EEF7AE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44B742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7DB383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bottom w:val="single" w:sz="4" w:space="0" w:color="auto"/>
            </w:tcBorders>
            <w:vAlign w:val="center"/>
            <w:hideMark/>
          </w:tcPr>
          <w:p w14:paraId="6AB7CB8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809298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bottom w:val="single" w:sz="4" w:space="0" w:color="auto"/>
              <w:right w:val="single" w:sz="4" w:space="0" w:color="auto"/>
            </w:tcBorders>
            <w:vAlign w:val="center"/>
            <w:hideMark/>
          </w:tcPr>
          <w:p w14:paraId="028C090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5143F0B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6778BA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tcBorders>
              <w:bottom w:val="single" w:sz="4" w:space="0" w:color="auto"/>
            </w:tcBorders>
            <w:vAlign w:val="center"/>
            <w:hideMark/>
          </w:tcPr>
          <w:p w14:paraId="233491D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tcBorders>
              <w:bottom w:val="single" w:sz="4" w:space="0" w:color="auto"/>
            </w:tcBorders>
            <w:vAlign w:val="center"/>
            <w:hideMark/>
          </w:tcPr>
          <w:p w14:paraId="32CB52E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3D38161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2BB3AC8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0.32</w:t>
            </w:r>
          </w:p>
        </w:tc>
        <w:tc>
          <w:tcPr>
            <w:tcW w:w="576" w:type="dxa"/>
            <w:tcBorders>
              <w:bottom w:val="single" w:sz="4" w:space="0" w:color="auto"/>
            </w:tcBorders>
            <w:vAlign w:val="center"/>
            <w:hideMark/>
          </w:tcPr>
          <w:p w14:paraId="26EF41F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43C16E2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EAC93F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DB4EF2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51477A3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3E28821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hideMark/>
          </w:tcPr>
          <w:p w14:paraId="3313C5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Palmes &amp; Park</w:t>
            </w:r>
          </w:p>
        </w:tc>
        <w:tc>
          <w:tcPr>
            <w:tcW w:w="630" w:type="dxa"/>
            <w:tcBorders>
              <w:bottom w:val="single" w:sz="4" w:space="0" w:color="auto"/>
            </w:tcBorders>
            <w:vAlign w:val="center"/>
            <w:hideMark/>
          </w:tcPr>
          <w:p w14:paraId="187BB15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1947</w:t>
            </w:r>
          </w:p>
        </w:tc>
        <w:tc>
          <w:tcPr>
            <w:tcW w:w="1022" w:type="dxa"/>
            <w:tcBorders>
              <w:bottom w:val="single" w:sz="4" w:space="0" w:color="auto"/>
            </w:tcBorders>
            <w:vAlign w:val="center"/>
          </w:tcPr>
          <w:sdt>
            <w:sdtPr>
              <w:rPr>
                <w:color w:val="000000"/>
              </w:rPr>
              <w:tag w:val="MENDELEY_CITATION_v3_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"/>
              <w:id w:val="-789130510"/>
              <w:placeholder>
                <w:docPart w:val="B700A94C13C9464BA82929F49DFA3C29"/>
              </w:placeholder>
            </w:sdtPr>
            <w:sdtContent>
              <w:p w14:paraId="5C4EDE66" w14:textId="5234F8A3"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[518]</w:t>
                </w:r>
              </w:p>
            </w:sdtContent>
          </w:sdt>
        </w:tc>
      </w:tr>
      <w:tr w:rsidR="00DB5AA9" w:rsidRPr="00F55000" w14:paraId="0E20E8AB" w14:textId="77777777" w:rsidTr="0035708B">
        <w:trPr>
          <w:trHeight w:val="367"/>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76A4D21A" w14:textId="77777777" w:rsidR="00DB5AA9" w:rsidRPr="00F55000" w:rsidRDefault="00DB5AA9" w:rsidP="0035708B">
            <w:pPr>
              <w:rPr>
                <w:sz w:val="16"/>
                <w:szCs w:val="16"/>
              </w:rPr>
            </w:pPr>
            <w:r w:rsidRPr="00F55000">
              <w:rPr>
                <w:sz w:val="16"/>
                <w:szCs w:val="16"/>
              </w:rPr>
              <w:t>7</w:t>
            </w:r>
          </w:p>
        </w:tc>
        <w:tc>
          <w:tcPr>
            <w:tcW w:w="236" w:type="dxa"/>
            <w:tcBorders>
              <w:top w:val="single" w:sz="4" w:space="0" w:color="auto"/>
              <w:left w:val="single" w:sz="4" w:space="0" w:color="auto"/>
              <w:right w:val="single" w:sz="4" w:space="0" w:color="auto"/>
            </w:tcBorders>
            <w:vAlign w:val="center"/>
          </w:tcPr>
          <w:p w14:paraId="2C1D2FC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76BF84C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2C5637D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02A9E42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4AA1FE2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3A056D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93169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0.14</w:t>
            </w:r>
          </w:p>
        </w:tc>
        <w:tc>
          <w:tcPr>
            <w:tcW w:w="576" w:type="dxa"/>
            <w:tcBorders>
              <w:top w:val="single" w:sz="4" w:space="0" w:color="auto"/>
            </w:tcBorders>
            <w:vAlign w:val="center"/>
            <w:hideMark/>
          </w:tcPr>
          <w:p w14:paraId="77AFE25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tcBorders>
            <w:vAlign w:val="center"/>
            <w:hideMark/>
          </w:tcPr>
          <w:p w14:paraId="318A40E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1FE9958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5F1AE05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51D6A8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0.35</w:t>
            </w:r>
          </w:p>
        </w:tc>
        <w:tc>
          <w:tcPr>
            <w:tcW w:w="576" w:type="dxa"/>
            <w:tcBorders>
              <w:top w:val="single" w:sz="4" w:space="0" w:color="auto"/>
            </w:tcBorders>
            <w:vAlign w:val="center"/>
            <w:hideMark/>
          </w:tcPr>
          <w:p w14:paraId="748DBA9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C3B964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150226C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0E95435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0.19</w:t>
            </w:r>
          </w:p>
        </w:tc>
        <w:tc>
          <w:tcPr>
            <w:tcW w:w="576" w:type="dxa"/>
            <w:tcBorders>
              <w:top w:val="single" w:sz="4" w:space="0" w:color="auto"/>
            </w:tcBorders>
            <w:vAlign w:val="center"/>
            <w:hideMark/>
          </w:tcPr>
          <w:p w14:paraId="0F44D47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E97C91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tcBorders>
              <w:top w:val="single" w:sz="4" w:space="0" w:color="auto"/>
            </w:tcBorders>
            <w:vAlign w:val="center"/>
            <w:hideMark/>
          </w:tcPr>
          <w:p w14:paraId="000AA53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33700BD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C83E69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1B31228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1134" w:type="dxa"/>
            <w:tcBorders>
              <w:top w:val="single" w:sz="4" w:space="0" w:color="auto"/>
              <w:left w:val="single" w:sz="4" w:space="0" w:color="auto"/>
            </w:tcBorders>
            <w:vAlign w:val="center"/>
            <w:hideMark/>
          </w:tcPr>
          <w:p w14:paraId="4705F3B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Hardy &amp; DuBois</w:t>
            </w:r>
          </w:p>
        </w:tc>
        <w:tc>
          <w:tcPr>
            <w:tcW w:w="630" w:type="dxa"/>
            <w:tcBorders>
              <w:top w:val="single" w:sz="4" w:space="0" w:color="auto"/>
            </w:tcBorders>
            <w:vAlign w:val="center"/>
            <w:hideMark/>
          </w:tcPr>
          <w:p w14:paraId="4A62FA6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1938</w:t>
            </w:r>
          </w:p>
        </w:tc>
        <w:tc>
          <w:tcPr>
            <w:tcW w:w="1022" w:type="dxa"/>
            <w:tcBorders>
              <w:top w:val="single" w:sz="4" w:space="0" w:color="auto"/>
            </w:tcBorders>
            <w:vAlign w:val="center"/>
          </w:tcPr>
          <w:sdt>
            <w:sdtPr>
              <w:rPr>
                <w:color w:val="000000"/>
              </w:rPr>
              <w:tag w:val="MENDELEY_CITATION_v3_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"/>
              <w:id w:val="1617020808"/>
              <w:placeholder>
                <w:docPart w:val="B700A94C13C9464BA82929F49DFA3C29"/>
              </w:placeholder>
            </w:sdtPr>
            <w:sdtContent>
              <w:p w14:paraId="522C7211" w14:textId="1712E2B7"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[112]</w:t>
                </w:r>
              </w:p>
            </w:sdtContent>
          </w:sdt>
        </w:tc>
      </w:tr>
      <w:tr w:rsidR="00DB5AA9" w:rsidRPr="00F55000" w14:paraId="52F1B863" w14:textId="77777777" w:rsidTr="0035708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1F8AB094" w14:textId="77777777" w:rsidR="00DB5AA9" w:rsidRPr="00F55000" w:rsidRDefault="00DB5AA9" w:rsidP="0035708B">
            <w:pPr>
              <w:rPr>
                <w:sz w:val="16"/>
                <w:szCs w:val="16"/>
              </w:rPr>
            </w:pPr>
            <w:r w:rsidRPr="00F55000">
              <w:rPr>
                <w:sz w:val="16"/>
                <w:szCs w:val="16"/>
              </w:rPr>
              <w:t>7</w:t>
            </w:r>
          </w:p>
        </w:tc>
        <w:tc>
          <w:tcPr>
            <w:tcW w:w="236" w:type="dxa"/>
            <w:tcBorders>
              <w:left w:val="single" w:sz="4" w:space="0" w:color="auto"/>
              <w:right w:val="single" w:sz="4" w:space="0" w:color="auto"/>
            </w:tcBorders>
            <w:vAlign w:val="center"/>
          </w:tcPr>
          <w:p w14:paraId="26A4EA0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tcPr>
          <w:p w14:paraId="1FB37E6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4404865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7CA374E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25C98B7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3FF7B59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CFE0A2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vAlign w:val="center"/>
          </w:tcPr>
          <w:p w14:paraId="58D8E2D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3826BE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tcBorders>
              <w:right w:val="single" w:sz="4" w:space="0" w:color="auto"/>
            </w:tcBorders>
            <w:vAlign w:val="center"/>
          </w:tcPr>
          <w:p w14:paraId="0D72600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77DB921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vAlign w:val="center"/>
          </w:tcPr>
          <w:p w14:paraId="3D812FA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vAlign w:val="center"/>
          </w:tcPr>
          <w:p w14:paraId="200D569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3AC062B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019790E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2E9E848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vAlign w:val="center"/>
          </w:tcPr>
          <w:p w14:paraId="124FC32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8FEA1C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7B90E8A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vAlign w:val="center"/>
          </w:tcPr>
          <w:p w14:paraId="013A4E5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w:t>
            </w:r>
          </w:p>
        </w:tc>
        <w:tc>
          <w:tcPr>
            <w:tcW w:w="576" w:type="dxa"/>
            <w:vAlign w:val="center"/>
          </w:tcPr>
          <w:p w14:paraId="34DB03B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512972B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tcPr>
          <w:p w14:paraId="3E22E4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Park</w:t>
            </w:r>
          </w:p>
        </w:tc>
        <w:tc>
          <w:tcPr>
            <w:tcW w:w="630" w:type="dxa"/>
            <w:vAlign w:val="center"/>
          </w:tcPr>
          <w:p w14:paraId="5BB380C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1988</w:t>
            </w:r>
          </w:p>
        </w:tc>
        <w:tc>
          <w:tcPr>
            <w:tcW w:w="1022" w:type="dxa"/>
            <w:vAlign w:val="center"/>
          </w:tcPr>
          <w:sdt>
            <w:sdtPr>
              <w:rPr>
                <w:color w:val="000000"/>
              </w:rPr>
              <w:tag w:val="MENDELEY_CITATION_v3_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"/>
              <w:id w:val="-796290710"/>
              <w:placeholder>
                <w:docPart w:val="B700A94C13C9464BA82929F49DFA3C29"/>
              </w:placeholder>
            </w:sdtPr>
            <w:sdtContent>
              <w:p w14:paraId="1060217F" w14:textId="028955CB"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[519]</w:t>
                </w:r>
              </w:p>
            </w:sdtContent>
          </w:sdt>
        </w:tc>
      </w:tr>
      <w:tr w:rsidR="00DB5AA9" w:rsidRPr="00F55000" w14:paraId="3FBE764E" w14:textId="77777777" w:rsidTr="0035708B">
        <w:trPr>
          <w:trHeight w:val="367"/>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1E3B9119" w14:textId="77777777" w:rsidR="00DB5AA9" w:rsidRPr="00F55000" w:rsidRDefault="00DB5AA9" w:rsidP="0035708B">
            <w:pPr>
              <w:rPr>
                <w:sz w:val="16"/>
                <w:szCs w:val="16"/>
              </w:rPr>
            </w:pPr>
            <w:r w:rsidRPr="00F55000">
              <w:rPr>
                <w:sz w:val="16"/>
                <w:szCs w:val="16"/>
              </w:rPr>
              <w:t>7</w:t>
            </w:r>
          </w:p>
        </w:tc>
        <w:tc>
          <w:tcPr>
            <w:tcW w:w="236" w:type="dxa"/>
            <w:tcBorders>
              <w:left w:val="single" w:sz="4" w:space="0" w:color="auto"/>
              <w:right w:val="single" w:sz="4" w:space="0" w:color="auto"/>
            </w:tcBorders>
            <w:vAlign w:val="center"/>
          </w:tcPr>
          <w:p w14:paraId="6E3A2B7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tcPr>
          <w:p w14:paraId="48A28E0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0.21</w:t>
            </w:r>
          </w:p>
        </w:tc>
        <w:tc>
          <w:tcPr>
            <w:tcW w:w="576" w:type="dxa"/>
            <w:vAlign w:val="center"/>
          </w:tcPr>
          <w:p w14:paraId="1F30ABD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293D418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2E06C90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w:t>
            </w:r>
          </w:p>
        </w:tc>
        <w:tc>
          <w:tcPr>
            <w:tcW w:w="576" w:type="dxa"/>
            <w:vAlign w:val="center"/>
          </w:tcPr>
          <w:p w14:paraId="555A0EB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7AF37D2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w:t>
            </w:r>
          </w:p>
        </w:tc>
        <w:tc>
          <w:tcPr>
            <w:tcW w:w="576" w:type="dxa"/>
            <w:vAlign w:val="center"/>
          </w:tcPr>
          <w:p w14:paraId="6A148ED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31B7BF5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7135520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2598274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59271E0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0.21</w:t>
            </w:r>
          </w:p>
        </w:tc>
        <w:tc>
          <w:tcPr>
            <w:tcW w:w="576" w:type="dxa"/>
            <w:vAlign w:val="center"/>
          </w:tcPr>
          <w:p w14:paraId="4CB74FC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2F7C545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0.17</w:t>
            </w:r>
          </w:p>
        </w:tc>
        <w:tc>
          <w:tcPr>
            <w:tcW w:w="576" w:type="dxa"/>
            <w:tcBorders>
              <w:right w:val="single" w:sz="4" w:space="0" w:color="auto"/>
            </w:tcBorders>
            <w:vAlign w:val="center"/>
          </w:tcPr>
          <w:p w14:paraId="4FBC7FA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0D79C85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0.15</w:t>
            </w:r>
          </w:p>
        </w:tc>
        <w:tc>
          <w:tcPr>
            <w:tcW w:w="576" w:type="dxa"/>
            <w:vAlign w:val="center"/>
          </w:tcPr>
          <w:p w14:paraId="14068A1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59EB825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0.08</w:t>
            </w:r>
          </w:p>
        </w:tc>
        <w:tc>
          <w:tcPr>
            <w:tcW w:w="576" w:type="dxa"/>
            <w:vAlign w:val="center"/>
          </w:tcPr>
          <w:p w14:paraId="3AF35CF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2541DC5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6AAE344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381805E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tcPr>
          <w:p w14:paraId="0CA7F3D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Nadel</w:t>
            </w:r>
          </w:p>
        </w:tc>
        <w:tc>
          <w:tcPr>
            <w:tcW w:w="630" w:type="dxa"/>
            <w:vAlign w:val="center"/>
          </w:tcPr>
          <w:p w14:paraId="224184E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w:t>
            </w:r>
          </w:p>
        </w:tc>
        <w:tc>
          <w:tcPr>
            <w:tcW w:w="1022" w:type="dxa"/>
            <w:vAlign w:val="center"/>
          </w:tcPr>
          <w:sdt>
            <w:sdtPr>
              <w:rPr>
                <w:color w:val="000000"/>
              </w:rPr>
              <w:tag w:val="MENDELEY_CITATION_v3_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"/>
              <w:id w:val="-1416230268"/>
              <w:placeholder>
                <w:docPart w:val="B700A94C13C9464BA82929F49DFA3C29"/>
              </w:placeholder>
            </w:sdtPr>
            <w:sdtContent>
              <w:p w14:paraId="46943B94" w14:textId="79E37F62"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[517]</w:t>
                </w:r>
              </w:p>
            </w:sdtContent>
          </w:sdt>
        </w:tc>
      </w:tr>
      <w:tr w:rsidR="00DB5AA9" w:rsidRPr="00F55000" w14:paraId="75399C23"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08CD6A80" w14:textId="77777777" w:rsidR="00DB5AA9" w:rsidRPr="00F55000" w:rsidRDefault="00DB5AA9" w:rsidP="0035708B">
            <w:pPr>
              <w:rPr>
                <w:sz w:val="16"/>
                <w:szCs w:val="16"/>
              </w:rPr>
            </w:pPr>
            <w:r w:rsidRPr="00F55000">
              <w:rPr>
                <w:sz w:val="16"/>
                <w:szCs w:val="16"/>
              </w:rPr>
              <w:t>7</w:t>
            </w:r>
          </w:p>
        </w:tc>
        <w:tc>
          <w:tcPr>
            <w:tcW w:w="236" w:type="dxa"/>
            <w:tcBorders>
              <w:left w:val="single" w:sz="4" w:space="0" w:color="auto"/>
              <w:right w:val="single" w:sz="4" w:space="0" w:color="auto"/>
            </w:tcBorders>
            <w:vAlign w:val="center"/>
          </w:tcPr>
          <w:p w14:paraId="4B7B740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tcBorders>
            <w:vAlign w:val="center"/>
            <w:hideMark/>
          </w:tcPr>
          <w:p w14:paraId="5A1E63D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AE822C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168A8AE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0.098</w:t>
            </w:r>
          </w:p>
        </w:tc>
        <w:tc>
          <w:tcPr>
            <w:tcW w:w="576" w:type="dxa"/>
            <w:tcBorders>
              <w:left w:val="single" w:sz="4" w:space="0" w:color="auto"/>
            </w:tcBorders>
            <w:vAlign w:val="center"/>
            <w:hideMark/>
          </w:tcPr>
          <w:p w14:paraId="5BFE8CC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0.082</w:t>
            </w:r>
          </w:p>
        </w:tc>
        <w:tc>
          <w:tcPr>
            <w:tcW w:w="576" w:type="dxa"/>
            <w:vAlign w:val="center"/>
            <w:hideMark/>
          </w:tcPr>
          <w:p w14:paraId="4F6B096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8558CB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0.114</w:t>
            </w:r>
          </w:p>
        </w:tc>
        <w:tc>
          <w:tcPr>
            <w:tcW w:w="576" w:type="dxa"/>
            <w:vAlign w:val="center"/>
            <w:hideMark/>
          </w:tcPr>
          <w:p w14:paraId="6504147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891AD6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37B5837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498201B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0.162</w:t>
            </w:r>
          </w:p>
        </w:tc>
        <w:tc>
          <w:tcPr>
            <w:tcW w:w="576" w:type="dxa"/>
            <w:vAlign w:val="center"/>
            <w:hideMark/>
          </w:tcPr>
          <w:p w14:paraId="1B87AE6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0.166</w:t>
            </w:r>
          </w:p>
        </w:tc>
        <w:tc>
          <w:tcPr>
            <w:tcW w:w="576" w:type="dxa"/>
            <w:vAlign w:val="center"/>
            <w:hideMark/>
          </w:tcPr>
          <w:p w14:paraId="3F39993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FB825A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768A555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33F9796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0.182</w:t>
            </w:r>
          </w:p>
        </w:tc>
        <w:tc>
          <w:tcPr>
            <w:tcW w:w="576" w:type="dxa"/>
            <w:vAlign w:val="center"/>
            <w:hideMark/>
          </w:tcPr>
          <w:p w14:paraId="04B302E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283A21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0.206</w:t>
            </w:r>
          </w:p>
        </w:tc>
        <w:tc>
          <w:tcPr>
            <w:tcW w:w="576" w:type="dxa"/>
            <w:vAlign w:val="center"/>
            <w:hideMark/>
          </w:tcPr>
          <w:p w14:paraId="6EED8F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A9EE24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C5C645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F82123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tcPr>
          <w:p w14:paraId="6C01425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vAlign w:val="center"/>
          </w:tcPr>
          <w:p w14:paraId="075BABC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vAlign w:val="center"/>
          </w:tcPr>
          <w:sdt>
            <w:sdtPr>
              <w:rPr>
                <w:color w:val="000000"/>
              </w:rPr>
              <w:tag w:val="MENDELEY_CITATION_v3_eyJjaXRhdGlvbklEIjoiTUVOREVMRVlfQ0lUQVRJT05fN2JhYmEzMTItODExMi00MTllLThjOGUtMGQwMWIwYjYyMmU1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40006862"/>
              <w:placeholder>
                <w:docPart w:val="B700A94C13C9464BA82929F49DFA3C29"/>
              </w:placeholder>
            </w:sdtPr>
            <w:sdtContent>
              <w:p w14:paraId="62DA8BFF" w14:textId="2D34C542"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34FE9601" w14:textId="77777777" w:rsidTr="0035708B">
        <w:trPr>
          <w:trHeight w:val="345"/>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hideMark/>
          </w:tcPr>
          <w:p w14:paraId="3E27D723" w14:textId="77777777" w:rsidR="00DB5AA9" w:rsidRPr="00F55000" w:rsidRDefault="00DB5AA9" w:rsidP="0035708B">
            <w:pPr>
              <w:rPr>
                <w:sz w:val="16"/>
                <w:szCs w:val="16"/>
              </w:rPr>
            </w:pPr>
            <w:r w:rsidRPr="00F55000">
              <w:rPr>
                <w:sz w:val="16"/>
                <w:szCs w:val="16"/>
              </w:rPr>
              <w:lastRenderedPageBreak/>
              <w:t>Pts</w:t>
            </w:r>
          </w:p>
        </w:tc>
        <w:tc>
          <w:tcPr>
            <w:tcW w:w="236" w:type="dxa"/>
            <w:tcBorders>
              <w:left w:val="single" w:sz="4" w:space="0" w:color="auto"/>
              <w:right w:val="single" w:sz="4" w:space="0" w:color="auto"/>
            </w:tcBorders>
            <w:vAlign w:val="center"/>
          </w:tcPr>
          <w:p w14:paraId="19752D4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hideMark/>
          </w:tcPr>
          <w:p w14:paraId="3F562B1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A</w:t>
            </w:r>
          </w:p>
        </w:tc>
        <w:tc>
          <w:tcPr>
            <w:tcW w:w="576" w:type="dxa"/>
            <w:hideMark/>
          </w:tcPr>
          <w:p w14:paraId="67C11E8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right w:val="single" w:sz="4" w:space="0" w:color="auto"/>
            </w:tcBorders>
            <w:hideMark/>
          </w:tcPr>
          <w:p w14:paraId="76BDDC5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hideMark/>
          </w:tcPr>
          <w:p w14:paraId="6CBADCA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hideMark/>
          </w:tcPr>
          <w:p w14:paraId="57AF036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E</w:t>
            </w:r>
          </w:p>
        </w:tc>
        <w:tc>
          <w:tcPr>
            <w:tcW w:w="576" w:type="dxa"/>
            <w:hideMark/>
          </w:tcPr>
          <w:p w14:paraId="7022441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F</w:t>
            </w:r>
          </w:p>
        </w:tc>
        <w:tc>
          <w:tcPr>
            <w:tcW w:w="576" w:type="dxa"/>
            <w:hideMark/>
          </w:tcPr>
          <w:p w14:paraId="6D9AC64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G</w:t>
            </w:r>
          </w:p>
        </w:tc>
        <w:tc>
          <w:tcPr>
            <w:tcW w:w="576" w:type="dxa"/>
            <w:hideMark/>
          </w:tcPr>
          <w:p w14:paraId="65B553F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H</w:t>
            </w:r>
          </w:p>
        </w:tc>
        <w:tc>
          <w:tcPr>
            <w:tcW w:w="576" w:type="dxa"/>
            <w:tcBorders>
              <w:right w:val="single" w:sz="4" w:space="0" w:color="auto"/>
            </w:tcBorders>
            <w:hideMark/>
          </w:tcPr>
          <w:p w14:paraId="7862A07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I</w:t>
            </w:r>
          </w:p>
        </w:tc>
        <w:tc>
          <w:tcPr>
            <w:tcW w:w="576" w:type="dxa"/>
            <w:tcBorders>
              <w:left w:val="single" w:sz="4" w:space="0" w:color="auto"/>
            </w:tcBorders>
            <w:hideMark/>
          </w:tcPr>
          <w:p w14:paraId="7AB2D37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J</w:t>
            </w:r>
          </w:p>
        </w:tc>
        <w:tc>
          <w:tcPr>
            <w:tcW w:w="576" w:type="dxa"/>
            <w:hideMark/>
          </w:tcPr>
          <w:p w14:paraId="39684FB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K</w:t>
            </w:r>
          </w:p>
        </w:tc>
        <w:tc>
          <w:tcPr>
            <w:tcW w:w="576" w:type="dxa"/>
            <w:hideMark/>
          </w:tcPr>
          <w:p w14:paraId="71C7935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L</w:t>
            </w:r>
          </w:p>
        </w:tc>
        <w:tc>
          <w:tcPr>
            <w:tcW w:w="576" w:type="dxa"/>
            <w:hideMark/>
          </w:tcPr>
          <w:p w14:paraId="106D869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M</w:t>
            </w:r>
          </w:p>
        </w:tc>
        <w:tc>
          <w:tcPr>
            <w:tcW w:w="576" w:type="dxa"/>
            <w:tcBorders>
              <w:right w:val="single" w:sz="4" w:space="0" w:color="auto"/>
            </w:tcBorders>
            <w:hideMark/>
          </w:tcPr>
          <w:p w14:paraId="54D0479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N</w:t>
            </w:r>
          </w:p>
        </w:tc>
        <w:tc>
          <w:tcPr>
            <w:tcW w:w="576" w:type="dxa"/>
            <w:tcBorders>
              <w:left w:val="single" w:sz="4" w:space="0" w:color="auto"/>
            </w:tcBorders>
            <w:hideMark/>
          </w:tcPr>
          <w:p w14:paraId="55580AD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O</w:t>
            </w:r>
          </w:p>
        </w:tc>
        <w:tc>
          <w:tcPr>
            <w:tcW w:w="576" w:type="dxa"/>
            <w:hideMark/>
          </w:tcPr>
          <w:p w14:paraId="2DA45B1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P</w:t>
            </w:r>
          </w:p>
        </w:tc>
        <w:tc>
          <w:tcPr>
            <w:tcW w:w="576" w:type="dxa"/>
            <w:hideMark/>
          </w:tcPr>
          <w:p w14:paraId="1546F5F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Q</w:t>
            </w:r>
          </w:p>
        </w:tc>
        <w:tc>
          <w:tcPr>
            <w:tcW w:w="576" w:type="dxa"/>
            <w:hideMark/>
          </w:tcPr>
          <w:p w14:paraId="5E56ED8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R</w:t>
            </w:r>
          </w:p>
        </w:tc>
        <w:tc>
          <w:tcPr>
            <w:tcW w:w="576" w:type="dxa"/>
            <w:hideMark/>
          </w:tcPr>
          <w:p w14:paraId="47E43ED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S</w:t>
            </w:r>
          </w:p>
        </w:tc>
        <w:tc>
          <w:tcPr>
            <w:tcW w:w="576" w:type="dxa"/>
            <w:hideMark/>
          </w:tcPr>
          <w:p w14:paraId="1A4BD1A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T</w:t>
            </w:r>
          </w:p>
        </w:tc>
        <w:tc>
          <w:tcPr>
            <w:tcW w:w="576" w:type="dxa"/>
            <w:tcBorders>
              <w:right w:val="single" w:sz="4" w:space="0" w:color="auto"/>
            </w:tcBorders>
            <w:hideMark/>
          </w:tcPr>
          <w:p w14:paraId="69B64D0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U</w:t>
            </w:r>
          </w:p>
        </w:tc>
        <w:tc>
          <w:tcPr>
            <w:tcW w:w="1134" w:type="dxa"/>
            <w:tcBorders>
              <w:left w:val="single" w:sz="4" w:space="0" w:color="auto"/>
            </w:tcBorders>
            <w:hideMark/>
          </w:tcPr>
          <w:p w14:paraId="11B503B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i/>
                <w:iCs/>
                <w:sz w:val="16"/>
                <w:szCs w:val="16"/>
              </w:rPr>
            </w:pPr>
            <w:r w:rsidRPr="00F55000">
              <w:rPr>
                <w:sz w:val="16"/>
                <w:szCs w:val="16"/>
              </w:rPr>
              <w:t>by</w:t>
            </w:r>
          </w:p>
        </w:tc>
        <w:tc>
          <w:tcPr>
            <w:tcW w:w="630" w:type="dxa"/>
            <w:hideMark/>
          </w:tcPr>
          <w:p w14:paraId="685B7F7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i/>
                <w:iCs/>
                <w:sz w:val="16"/>
                <w:szCs w:val="16"/>
              </w:rPr>
            </w:pPr>
            <w:r w:rsidRPr="00F55000">
              <w:rPr>
                <w:sz w:val="16"/>
                <w:szCs w:val="16"/>
              </w:rPr>
              <w:t>Year</w:t>
            </w:r>
          </w:p>
        </w:tc>
        <w:tc>
          <w:tcPr>
            <w:tcW w:w="1022" w:type="dxa"/>
            <w:hideMark/>
          </w:tcPr>
          <w:p w14:paraId="1935836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i/>
                <w:iCs/>
                <w:sz w:val="16"/>
                <w:szCs w:val="16"/>
              </w:rPr>
            </w:pPr>
            <w:r w:rsidRPr="00F55000">
              <w:rPr>
                <w:sz w:val="16"/>
                <w:szCs w:val="16"/>
              </w:rPr>
              <w:t>Ref</w:t>
            </w:r>
          </w:p>
        </w:tc>
      </w:tr>
      <w:tr w:rsidR="00DB5AA9" w:rsidRPr="00F55000" w14:paraId="7CA1934F"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25CD75D0" w14:textId="77777777" w:rsidR="00DB5AA9" w:rsidRPr="00F55000" w:rsidRDefault="00DB5AA9" w:rsidP="0035708B">
            <w:pPr>
              <w:rPr>
                <w:sz w:val="16"/>
                <w:szCs w:val="16"/>
              </w:rPr>
            </w:pPr>
            <w:r w:rsidRPr="00F55000">
              <w:rPr>
                <w:sz w:val="16"/>
                <w:szCs w:val="16"/>
              </w:rPr>
              <w:t>7</w:t>
            </w:r>
          </w:p>
        </w:tc>
        <w:tc>
          <w:tcPr>
            <w:tcW w:w="236" w:type="dxa"/>
            <w:tcBorders>
              <w:left w:val="single" w:sz="4" w:space="0" w:color="auto"/>
              <w:right w:val="single" w:sz="4" w:space="0" w:color="auto"/>
            </w:tcBorders>
            <w:vAlign w:val="center"/>
          </w:tcPr>
          <w:p w14:paraId="562D710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e</w:t>
            </w:r>
          </w:p>
        </w:tc>
        <w:tc>
          <w:tcPr>
            <w:tcW w:w="576" w:type="dxa"/>
            <w:tcBorders>
              <w:left w:val="single" w:sz="4" w:space="0" w:color="auto"/>
            </w:tcBorders>
            <w:vAlign w:val="center"/>
          </w:tcPr>
          <w:p w14:paraId="2856B3F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0.066</w:t>
            </w:r>
          </w:p>
        </w:tc>
        <w:tc>
          <w:tcPr>
            <w:tcW w:w="576" w:type="dxa"/>
            <w:vAlign w:val="center"/>
          </w:tcPr>
          <w:p w14:paraId="21423BE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050109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13E2B5A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0.149</w:t>
            </w:r>
          </w:p>
        </w:tc>
        <w:tc>
          <w:tcPr>
            <w:tcW w:w="576" w:type="dxa"/>
            <w:vAlign w:val="center"/>
          </w:tcPr>
          <w:p w14:paraId="7B5E8A0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74E1EC4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0.151</w:t>
            </w:r>
          </w:p>
        </w:tc>
        <w:tc>
          <w:tcPr>
            <w:tcW w:w="576" w:type="dxa"/>
            <w:vAlign w:val="center"/>
          </w:tcPr>
          <w:p w14:paraId="1A3279C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D765EE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6123595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2427833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AE1FE0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0.153</w:t>
            </w:r>
          </w:p>
        </w:tc>
        <w:tc>
          <w:tcPr>
            <w:tcW w:w="576" w:type="dxa"/>
            <w:vAlign w:val="center"/>
          </w:tcPr>
          <w:p w14:paraId="6ADAD74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6881102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0.153</w:t>
            </w:r>
          </w:p>
        </w:tc>
        <w:tc>
          <w:tcPr>
            <w:tcW w:w="576" w:type="dxa"/>
            <w:tcBorders>
              <w:right w:val="single" w:sz="4" w:space="0" w:color="auto"/>
            </w:tcBorders>
            <w:vAlign w:val="center"/>
          </w:tcPr>
          <w:p w14:paraId="3A56DC2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314982E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0.163</w:t>
            </w:r>
          </w:p>
        </w:tc>
        <w:tc>
          <w:tcPr>
            <w:tcW w:w="576" w:type="dxa"/>
            <w:vAlign w:val="center"/>
          </w:tcPr>
          <w:p w14:paraId="6C30194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0C47BE6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0.183</w:t>
            </w:r>
          </w:p>
        </w:tc>
        <w:tc>
          <w:tcPr>
            <w:tcW w:w="576" w:type="dxa"/>
            <w:vAlign w:val="center"/>
          </w:tcPr>
          <w:p w14:paraId="3760FD1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EDA3C9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3554240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77F72E4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tcPr>
          <w:p w14:paraId="60B859A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Mochida</w:t>
            </w:r>
          </w:p>
        </w:tc>
        <w:tc>
          <w:tcPr>
            <w:tcW w:w="630" w:type="dxa"/>
            <w:vAlign w:val="center"/>
          </w:tcPr>
          <w:p w14:paraId="1B54242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1983</w:t>
            </w:r>
          </w:p>
        </w:tc>
        <w:tc>
          <w:tcPr>
            <w:tcW w:w="1022" w:type="dxa"/>
            <w:vAlign w:val="center"/>
          </w:tcPr>
          <w:sdt>
            <w:sdtPr>
              <w:rPr>
                <w:color w:val="000000"/>
              </w:rPr>
              <w:tag w:val="MENDELEY_CITATION_v3_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"/>
              <w:id w:val="-1487629881"/>
              <w:placeholder>
                <w:docPart w:val="B700A94C13C9464BA82929F49DFA3C29"/>
              </w:placeholder>
            </w:sdtPr>
            <w:sdtContent>
              <w:p w14:paraId="05FAABE8" w14:textId="2DB24FB6"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[517]</w:t>
                </w:r>
              </w:p>
            </w:sdtContent>
          </w:sdt>
        </w:tc>
      </w:tr>
      <w:tr w:rsidR="00DB5AA9" w:rsidRPr="00F55000" w14:paraId="0236DA83"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tcPr>
          <w:p w14:paraId="5D9D2819" w14:textId="77777777" w:rsidR="00DB5AA9" w:rsidRPr="00F55000" w:rsidRDefault="00DB5AA9" w:rsidP="0035708B">
            <w:pPr>
              <w:rPr>
                <w:sz w:val="16"/>
                <w:szCs w:val="16"/>
              </w:rPr>
            </w:pPr>
            <w:r w:rsidRPr="00F55000">
              <w:rPr>
                <w:sz w:val="16"/>
                <w:szCs w:val="16"/>
              </w:rPr>
              <w:t>7</w:t>
            </w:r>
          </w:p>
        </w:tc>
        <w:tc>
          <w:tcPr>
            <w:tcW w:w="236" w:type="dxa"/>
            <w:tcBorders>
              <w:left w:val="single" w:sz="4" w:space="0" w:color="auto"/>
              <w:bottom w:val="single" w:sz="4" w:space="0" w:color="auto"/>
              <w:right w:val="single" w:sz="4" w:space="0" w:color="auto"/>
            </w:tcBorders>
            <w:vAlign w:val="center"/>
          </w:tcPr>
          <w:p w14:paraId="71181E3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f</w:t>
            </w:r>
          </w:p>
        </w:tc>
        <w:tc>
          <w:tcPr>
            <w:tcW w:w="576" w:type="dxa"/>
            <w:tcBorders>
              <w:left w:val="single" w:sz="4" w:space="0" w:color="auto"/>
              <w:bottom w:val="single" w:sz="4" w:space="0" w:color="auto"/>
            </w:tcBorders>
            <w:vAlign w:val="center"/>
          </w:tcPr>
          <w:p w14:paraId="454C541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0.198</w:t>
            </w:r>
          </w:p>
        </w:tc>
        <w:tc>
          <w:tcPr>
            <w:tcW w:w="576" w:type="dxa"/>
            <w:tcBorders>
              <w:bottom w:val="single" w:sz="4" w:space="0" w:color="auto"/>
            </w:tcBorders>
            <w:vAlign w:val="center"/>
          </w:tcPr>
          <w:p w14:paraId="1C41BE4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tcPr>
          <w:p w14:paraId="212CB8A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tcPr>
          <w:p w14:paraId="4BB4ADD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0.138</w:t>
            </w:r>
          </w:p>
        </w:tc>
        <w:tc>
          <w:tcPr>
            <w:tcW w:w="576" w:type="dxa"/>
            <w:tcBorders>
              <w:bottom w:val="single" w:sz="4" w:space="0" w:color="auto"/>
            </w:tcBorders>
            <w:vAlign w:val="center"/>
          </w:tcPr>
          <w:p w14:paraId="6D7EF74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3AE0A87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0.076</w:t>
            </w:r>
          </w:p>
        </w:tc>
        <w:tc>
          <w:tcPr>
            <w:tcW w:w="576" w:type="dxa"/>
            <w:tcBorders>
              <w:bottom w:val="single" w:sz="4" w:space="0" w:color="auto"/>
            </w:tcBorders>
            <w:vAlign w:val="center"/>
          </w:tcPr>
          <w:p w14:paraId="57ABE96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7926A84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tcPr>
          <w:p w14:paraId="5B138A8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tcPr>
          <w:p w14:paraId="17B6674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4BA53A3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0.179</w:t>
            </w:r>
          </w:p>
        </w:tc>
        <w:tc>
          <w:tcPr>
            <w:tcW w:w="576" w:type="dxa"/>
            <w:tcBorders>
              <w:bottom w:val="single" w:sz="4" w:space="0" w:color="auto"/>
            </w:tcBorders>
            <w:vAlign w:val="center"/>
          </w:tcPr>
          <w:p w14:paraId="1CB7B3B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4E75410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0.145</w:t>
            </w:r>
          </w:p>
        </w:tc>
        <w:tc>
          <w:tcPr>
            <w:tcW w:w="576" w:type="dxa"/>
            <w:tcBorders>
              <w:bottom w:val="single" w:sz="4" w:space="0" w:color="auto"/>
              <w:right w:val="single" w:sz="4" w:space="0" w:color="auto"/>
            </w:tcBorders>
            <w:vAlign w:val="center"/>
          </w:tcPr>
          <w:p w14:paraId="034B839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tcPr>
          <w:p w14:paraId="030391C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0.153</w:t>
            </w:r>
          </w:p>
        </w:tc>
        <w:tc>
          <w:tcPr>
            <w:tcW w:w="576" w:type="dxa"/>
            <w:tcBorders>
              <w:bottom w:val="single" w:sz="4" w:space="0" w:color="auto"/>
            </w:tcBorders>
            <w:vAlign w:val="center"/>
          </w:tcPr>
          <w:p w14:paraId="3AFCE81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1360DF4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0.092</w:t>
            </w:r>
          </w:p>
        </w:tc>
        <w:tc>
          <w:tcPr>
            <w:tcW w:w="576" w:type="dxa"/>
            <w:tcBorders>
              <w:bottom w:val="single" w:sz="4" w:space="0" w:color="auto"/>
            </w:tcBorders>
            <w:vAlign w:val="center"/>
          </w:tcPr>
          <w:p w14:paraId="0662244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7E1557F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tcPr>
          <w:p w14:paraId="13DD22E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tcPr>
          <w:p w14:paraId="259004C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tcPr>
          <w:p w14:paraId="211332F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Mochida</w:t>
            </w:r>
          </w:p>
        </w:tc>
        <w:tc>
          <w:tcPr>
            <w:tcW w:w="630" w:type="dxa"/>
            <w:tcBorders>
              <w:bottom w:val="single" w:sz="4" w:space="0" w:color="auto"/>
            </w:tcBorders>
            <w:vAlign w:val="center"/>
          </w:tcPr>
          <w:p w14:paraId="7897C35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1983</w:t>
            </w:r>
          </w:p>
        </w:tc>
        <w:tc>
          <w:tcPr>
            <w:tcW w:w="1022" w:type="dxa"/>
            <w:tcBorders>
              <w:bottom w:val="single" w:sz="4" w:space="0" w:color="auto"/>
            </w:tcBorders>
            <w:vAlign w:val="center"/>
          </w:tcPr>
          <w:sdt>
            <w:sdtPr>
              <w:rPr>
                <w:color w:val="000000"/>
              </w:rPr>
              <w:tag w:val="MENDELEY_CITATION_v3_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"/>
              <w:id w:val="-1819419686"/>
              <w:placeholder>
                <w:docPart w:val="B700A94C13C9464BA82929F49DFA3C29"/>
              </w:placeholder>
            </w:sdtPr>
            <w:sdtContent>
              <w:p w14:paraId="712DB99E" w14:textId="27E88815"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[517]</w:t>
                </w:r>
              </w:p>
            </w:sdtContent>
          </w:sdt>
        </w:tc>
      </w:tr>
      <w:tr w:rsidR="00DB5AA9" w:rsidRPr="00F55000" w14:paraId="771D7E8D"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0D698DAA" w14:textId="77777777" w:rsidR="00DB5AA9" w:rsidRPr="00F55000" w:rsidRDefault="00DB5AA9" w:rsidP="0035708B">
            <w:pPr>
              <w:rPr>
                <w:sz w:val="16"/>
                <w:szCs w:val="16"/>
              </w:rPr>
            </w:pPr>
            <w:r w:rsidRPr="00F55000">
              <w:rPr>
                <w:sz w:val="16"/>
                <w:szCs w:val="16"/>
              </w:rPr>
              <w:t>8</w:t>
            </w:r>
          </w:p>
        </w:tc>
        <w:tc>
          <w:tcPr>
            <w:tcW w:w="236" w:type="dxa"/>
            <w:tcBorders>
              <w:top w:val="single" w:sz="4" w:space="0" w:color="auto"/>
              <w:left w:val="single" w:sz="4" w:space="0" w:color="auto"/>
              <w:right w:val="single" w:sz="4" w:space="0" w:color="auto"/>
            </w:tcBorders>
            <w:vAlign w:val="center"/>
          </w:tcPr>
          <w:p w14:paraId="256C5D7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494AA39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F73311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112E6F7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3D77A9C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0.085</w:t>
            </w:r>
          </w:p>
        </w:tc>
        <w:tc>
          <w:tcPr>
            <w:tcW w:w="576" w:type="dxa"/>
            <w:tcBorders>
              <w:top w:val="single" w:sz="4" w:space="0" w:color="auto"/>
            </w:tcBorders>
            <w:vAlign w:val="center"/>
            <w:hideMark/>
          </w:tcPr>
          <w:p w14:paraId="32B85CC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5CC2E4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tcBorders>
              <w:top w:val="single" w:sz="4" w:space="0" w:color="auto"/>
            </w:tcBorders>
            <w:vAlign w:val="center"/>
            <w:hideMark/>
          </w:tcPr>
          <w:p w14:paraId="65197BB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DAD093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124700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48E2B5A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top w:val="single" w:sz="4" w:space="0" w:color="auto"/>
            </w:tcBorders>
            <w:vAlign w:val="center"/>
            <w:hideMark/>
          </w:tcPr>
          <w:p w14:paraId="3C60A0C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top w:val="single" w:sz="4" w:space="0" w:color="auto"/>
            </w:tcBorders>
            <w:vAlign w:val="center"/>
            <w:hideMark/>
          </w:tcPr>
          <w:p w14:paraId="620531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top w:val="single" w:sz="4" w:space="0" w:color="auto"/>
            </w:tcBorders>
            <w:vAlign w:val="center"/>
            <w:hideMark/>
          </w:tcPr>
          <w:p w14:paraId="7C40976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top w:val="single" w:sz="4" w:space="0" w:color="auto"/>
              <w:right w:val="single" w:sz="4" w:space="0" w:color="auto"/>
            </w:tcBorders>
            <w:vAlign w:val="center"/>
            <w:hideMark/>
          </w:tcPr>
          <w:p w14:paraId="54FE55F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3C34BA1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0.23</w:t>
            </w:r>
          </w:p>
        </w:tc>
        <w:tc>
          <w:tcPr>
            <w:tcW w:w="576" w:type="dxa"/>
            <w:tcBorders>
              <w:top w:val="single" w:sz="4" w:space="0" w:color="auto"/>
            </w:tcBorders>
            <w:vAlign w:val="center"/>
            <w:hideMark/>
          </w:tcPr>
          <w:p w14:paraId="4DD3407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3C5D261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0.16</w:t>
            </w:r>
          </w:p>
        </w:tc>
        <w:tc>
          <w:tcPr>
            <w:tcW w:w="576" w:type="dxa"/>
            <w:tcBorders>
              <w:top w:val="single" w:sz="4" w:space="0" w:color="auto"/>
            </w:tcBorders>
            <w:vAlign w:val="center"/>
            <w:hideMark/>
          </w:tcPr>
          <w:p w14:paraId="5C8A38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3D9E27C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767EBC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68CD3B3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tcPr>
          <w:p w14:paraId="2466561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tcBorders>
            <w:vAlign w:val="center"/>
          </w:tcPr>
          <w:p w14:paraId="0500D24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tcBorders>
            <w:vAlign w:val="center"/>
          </w:tcPr>
          <w:sdt>
            <w:sdtPr>
              <w:rPr>
                <w:color w:val="000000"/>
              </w:rPr>
              <w:tag w:val="MENDELEY_CITATION_v3_eyJjaXRhdGlvbklEIjoiTUVOREVMRVlfQ0lUQVRJT05fN2Q2MDlhOTEtMjI5MS00YzI4LTk4Y2MtMDczMGRiZDljMjU1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940526761"/>
              <w:placeholder>
                <w:docPart w:val="B700A94C13C9464BA82929F49DFA3C29"/>
              </w:placeholder>
            </w:sdtPr>
            <w:sdtContent>
              <w:p w14:paraId="0B8E8F56" w14:textId="4371D65D"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5EFC6717"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418CDCC9" w14:textId="77777777" w:rsidR="00DB5AA9" w:rsidRPr="00F55000" w:rsidRDefault="00DB5AA9" w:rsidP="0035708B">
            <w:pPr>
              <w:rPr>
                <w:sz w:val="16"/>
                <w:szCs w:val="16"/>
              </w:rPr>
            </w:pPr>
            <w:r w:rsidRPr="00F55000">
              <w:rPr>
                <w:sz w:val="16"/>
                <w:szCs w:val="16"/>
              </w:rPr>
              <w:t>8</w:t>
            </w:r>
          </w:p>
        </w:tc>
        <w:tc>
          <w:tcPr>
            <w:tcW w:w="236" w:type="dxa"/>
            <w:tcBorders>
              <w:left w:val="single" w:sz="4" w:space="0" w:color="auto"/>
              <w:right w:val="single" w:sz="4" w:space="0" w:color="auto"/>
            </w:tcBorders>
            <w:vAlign w:val="center"/>
          </w:tcPr>
          <w:p w14:paraId="53FEE4B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hideMark/>
          </w:tcPr>
          <w:p w14:paraId="7498DDD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vAlign w:val="center"/>
            <w:hideMark/>
          </w:tcPr>
          <w:p w14:paraId="2783D5D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07AEF39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DC2DB7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vAlign w:val="center"/>
            <w:hideMark/>
          </w:tcPr>
          <w:p w14:paraId="176948C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D18F1A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vAlign w:val="center"/>
            <w:hideMark/>
          </w:tcPr>
          <w:p w14:paraId="00FA54F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1E9ACA1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hideMark/>
          </w:tcPr>
          <w:p w14:paraId="3347DB4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6B5037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0.175</w:t>
            </w:r>
          </w:p>
        </w:tc>
        <w:tc>
          <w:tcPr>
            <w:tcW w:w="576" w:type="dxa"/>
            <w:vAlign w:val="center"/>
            <w:hideMark/>
          </w:tcPr>
          <w:p w14:paraId="49537A7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0.175</w:t>
            </w:r>
          </w:p>
        </w:tc>
        <w:tc>
          <w:tcPr>
            <w:tcW w:w="576" w:type="dxa"/>
            <w:vAlign w:val="center"/>
            <w:hideMark/>
          </w:tcPr>
          <w:p w14:paraId="228DCAE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4AD9EB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03AE9F1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D18CE5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0.19</w:t>
            </w:r>
          </w:p>
        </w:tc>
        <w:tc>
          <w:tcPr>
            <w:tcW w:w="576" w:type="dxa"/>
            <w:vAlign w:val="center"/>
            <w:hideMark/>
          </w:tcPr>
          <w:p w14:paraId="1BB12C9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7709354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0.20</w:t>
            </w:r>
          </w:p>
        </w:tc>
        <w:tc>
          <w:tcPr>
            <w:tcW w:w="576" w:type="dxa"/>
            <w:vAlign w:val="center"/>
            <w:hideMark/>
          </w:tcPr>
          <w:p w14:paraId="374F135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FA572A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392B60A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5027E2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252FD1E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Gagge &amp; Nishi +</w:t>
            </w:r>
          </w:p>
        </w:tc>
        <w:tc>
          <w:tcPr>
            <w:tcW w:w="630" w:type="dxa"/>
            <w:vAlign w:val="center"/>
            <w:hideMark/>
          </w:tcPr>
          <w:p w14:paraId="36954B1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1977</w:t>
            </w:r>
          </w:p>
        </w:tc>
        <w:tc>
          <w:tcPr>
            <w:tcW w:w="1022" w:type="dxa"/>
            <w:vAlign w:val="center"/>
          </w:tcPr>
          <w:sdt>
            <w:sdtPr>
              <w:rPr>
                <w:color w:val="000000"/>
              </w:rPr>
              <w:tag w:val="MENDELEY_CITATION_v3_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
              <w:id w:val="-757437400"/>
              <w:placeholder>
                <w:docPart w:val="B700A94C13C9464BA82929F49DFA3C29"/>
              </w:placeholder>
            </w:sdtPr>
            <w:sdtContent>
              <w:p w14:paraId="186E6A9A" w14:textId="1420DB31"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[3,520]</w:t>
                </w:r>
              </w:p>
            </w:sdtContent>
          </w:sdt>
        </w:tc>
      </w:tr>
      <w:tr w:rsidR="00DB5AA9" w:rsidRPr="00F55000" w14:paraId="105E13EA"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140BD2B2" w14:textId="77777777" w:rsidR="00DB5AA9" w:rsidRPr="00F55000" w:rsidRDefault="00DB5AA9" w:rsidP="0035708B">
            <w:pPr>
              <w:rPr>
                <w:sz w:val="16"/>
                <w:szCs w:val="16"/>
              </w:rPr>
            </w:pPr>
            <w:r w:rsidRPr="00F55000">
              <w:rPr>
                <w:sz w:val="16"/>
                <w:szCs w:val="16"/>
              </w:rPr>
              <w:t>8</w:t>
            </w:r>
          </w:p>
        </w:tc>
        <w:tc>
          <w:tcPr>
            <w:tcW w:w="236" w:type="dxa"/>
            <w:tcBorders>
              <w:left w:val="single" w:sz="4" w:space="0" w:color="auto"/>
              <w:right w:val="single" w:sz="4" w:space="0" w:color="auto"/>
            </w:tcBorders>
            <w:vAlign w:val="center"/>
          </w:tcPr>
          <w:p w14:paraId="249EBB6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hideMark/>
          </w:tcPr>
          <w:p w14:paraId="78871B0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0.21</w:t>
            </w:r>
          </w:p>
        </w:tc>
        <w:tc>
          <w:tcPr>
            <w:tcW w:w="576" w:type="dxa"/>
            <w:vAlign w:val="center"/>
            <w:hideMark/>
          </w:tcPr>
          <w:p w14:paraId="7223D9F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46EBD0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075610E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w:t>
            </w:r>
          </w:p>
        </w:tc>
        <w:tc>
          <w:tcPr>
            <w:tcW w:w="576" w:type="dxa"/>
            <w:vAlign w:val="center"/>
            <w:hideMark/>
          </w:tcPr>
          <w:p w14:paraId="0BD34E9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447A436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576" w:type="dxa"/>
            <w:vAlign w:val="center"/>
            <w:hideMark/>
          </w:tcPr>
          <w:p w14:paraId="2177C23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0A63B4D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2E1D80A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3CDDA41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vAlign w:val="center"/>
            <w:hideMark/>
          </w:tcPr>
          <w:p w14:paraId="1DECF84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0.10</w:t>
            </w:r>
          </w:p>
        </w:tc>
        <w:tc>
          <w:tcPr>
            <w:tcW w:w="576" w:type="dxa"/>
            <w:vAlign w:val="center"/>
            <w:hideMark/>
          </w:tcPr>
          <w:p w14:paraId="26FC665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BEE450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0.17</w:t>
            </w:r>
          </w:p>
        </w:tc>
        <w:tc>
          <w:tcPr>
            <w:tcW w:w="576" w:type="dxa"/>
            <w:tcBorders>
              <w:right w:val="single" w:sz="4" w:space="0" w:color="auto"/>
            </w:tcBorders>
            <w:vAlign w:val="center"/>
            <w:hideMark/>
          </w:tcPr>
          <w:p w14:paraId="3EDB3DA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7BD982F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0.15</w:t>
            </w:r>
          </w:p>
        </w:tc>
        <w:tc>
          <w:tcPr>
            <w:tcW w:w="576" w:type="dxa"/>
            <w:vAlign w:val="center"/>
            <w:hideMark/>
          </w:tcPr>
          <w:p w14:paraId="6282204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51C7EC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w:t>
            </w:r>
          </w:p>
        </w:tc>
        <w:tc>
          <w:tcPr>
            <w:tcW w:w="576" w:type="dxa"/>
            <w:vAlign w:val="center"/>
            <w:hideMark/>
          </w:tcPr>
          <w:p w14:paraId="2138B3B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75282D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37331E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054E27B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22554A5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Nadel</w:t>
            </w:r>
          </w:p>
        </w:tc>
        <w:tc>
          <w:tcPr>
            <w:tcW w:w="630" w:type="dxa"/>
            <w:vAlign w:val="center"/>
            <w:hideMark/>
          </w:tcPr>
          <w:p w14:paraId="3D11459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1973</w:t>
            </w:r>
          </w:p>
        </w:tc>
        <w:tc>
          <w:tcPr>
            <w:tcW w:w="1022" w:type="dxa"/>
            <w:vAlign w:val="center"/>
          </w:tcPr>
          <w:sdt>
            <w:sdtPr>
              <w:rPr>
                <w:color w:val="000000"/>
              </w:rPr>
              <w:tag w:val="MENDELEY_CITATION_v3_eyJjaXRhdGlvbklEIjoiTUVOREVMRVlfQ0lUQVRJT05fYmFhZTY4NjctZWMxZi00NGMyLTk4ODItMmE1YmY3MjU0YTYyIiwicHJvcGVydGllcyI6eyJub3RlSW5kZXgiOjB9LCJpc0VkaXRlZCI6ZmFsc2UsIm1hbnVhbE92ZXJyaWRlIjp7ImNpdGVwcm9jVGV4dCI6Ils5OV0iLCJpc01hbnVhbGx5T3ZlcnJpZGRlbiI6ZmFsc2UsIm1hbnVhbE92ZXJyaWRlVGV4dCI6IiJ9LCJjaXRhdGlvbkl0ZW1zIjpb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1dfQ=="/>
              <w:id w:val="-1627618149"/>
              <w:placeholder>
                <w:docPart w:val="B700A94C13C9464BA82929F49DFA3C29"/>
              </w:placeholder>
            </w:sdtPr>
            <w:sdtContent>
              <w:p w14:paraId="5AA894B7" w14:textId="3DE17A2E"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[99]</w:t>
                </w:r>
              </w:p>
            </w:sdtContent>
          </w:sdt>
        </w:tc>
      </w:tr>
      <w:tr w:rsidR="00DB5AA9" w:rsidRPr="00F55000" w14:paraId="1C79E5A8"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042EACE9" w14:textId="77777777" w:rsidR="00DB5AA9" w:rsidRPr="00F55000" w:rsidRDefault="00DB5AA9" w:rsidP="0035708B">
            <w:pPr>
              <w:rPr>
                <w:sz w:val="16"/>
                <w:szCs w:val="16"/>
              </w:rPr>
            </w:pPr>
            <w:r w:rsidRPr="00F55000">
              <w:rPr>
                <w:sz w:val="16"/>
                <w:szCs w:val="16"/>
              </w:rPr>
              <w:t>8</w:t>
            </w:r>
          </w:p>
        </w:tc>
        <w:tc>
          <w:tcPr>
            <w:tcW w:w="236" w:type="dxa"/>
            <w:tcBorders>
              <w:left w:val="single" w:sz="4" w:space="0" w:color="auto"/>
              <w:right w:val="single" w:sz="4" w:space="0" w:color="auto"/>
            </w:tcBorders>
            <w:vAlign w:val="center"/>
          </w:tcPr>
          <w:p w14:paraId="0DAC234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tcBorders>
            <w:vAlign w:val="center"/>
          </w:tcPr>
          <w:p w14:paraId="1FD1992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vAlign w:val="center"/>
          </w:tcPr>
          <w:p w14:paraId="46ED68E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1CDD2EF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6C5EBE0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vAlign w:val="center"/>
          </w:tcPr>
          <w:p w14:paraId="09ACCA4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44D9581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w:t>
            </w:r>
          </w:p>
        </w:tc>
        <w:tc>
          <w:tcPr>
            <w:tcW w:w="576" w:type="dxa"/>
            <w:vAlign w:val="center"/>
          </w:tcPr>
          <w:p w14:paraId="61164B9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2F5DDD4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3EFDEFD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2EE5D94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0.09</w:t>
            </w:r>
          </w:p>
        </w:tc>
        <w:tc>
          <w:tcPr>
            <w:tcW w:w="576" w:type="dxa"/>
            <w:vAlign w:val="center"/>
          </w:tcPr>
          <w:p w14:paraId="42CE378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0.09</w:t>
            </w:r>
          </w:p>
        </w:tc>
        <w:tc>
          <w:tcPr>
            <w:tcW w:w="576" w:type="dxa"/>
            <w:vAlign w:val="center"/>
          </w:tcPr>
          <w:p w14:paraId="7C35776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2A33B00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w:t>
            </w:r>
          </w:p>
        </w:tc>
        <w:tc>
          <w:tcPr>
            <w:tcW w:w="576" w:type="dxa"/>
            <w:tcBorders>
              <w:right w:val="single" w:sz="4" w:space="0" w:color="auto"/>
            </w:tcBorders>
            <w:vAlign w:val="center"/>
          </w:tcPr>
          <w:p w14:paraId="1BF5843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34DE133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0.16</w:t>
            </w:r>
          </w:p>
        </w:tc>
        <w:tc>
          <w:tcPr>
            <w:tcW w:w="576" w:type="dxa"/>
            <w:vAlign w:val="center"/>
          </w:tcPr>
          <w:p w14:paraId="4694DC2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57CED1E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0.16</w:t>
            </w:r>
          </w:p>
        </w:tc>
        <w:tc>
          <w:tcPr>
            <w:tcW w:w="576" w:type="dxa"/>
            <w:vAlign w:val="center"/>
          </w:tcPr>
          <w:p w14:paraId="34588AC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43D0BC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39E2FE2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543D1F0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tcPr>
          <w:p w14:paraId="47DCD30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Nadel</w:t>
            </w:r>
          </w:p>
        </w:tc>
        <w:tc>
          <w:tcPr>
            <w:tcW w:w="630" w:type="dxa"/>
            <w:vAlign w:val="center"/>
          </w:tcPr>
          <w:p w14:paraId="7D98417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1973</w:t>
            </w:r>
          </w:p>
        </w:tc>
        <w:tc>
          <w:tcPr>
            <w:tcW w:w="1022" w:type="dxa"/>
            <w:vAlign w:val="center"/>
          </w:tcPr>
          <w:sdt>
            <w:sdtPr>
              <w:rPr>
                <w:color w:val="000000"/>
              </w:rPr>
              <w:tag w:val="MENDELEY_CITATION_v3_eyJjaXRhdGlvbklEIjoiTUVOREVMRVlfQ0lUQVRJT05fNzQ1OTk4MDUtMDc0My00MWU2LThkOTktNzAxY2I0YzBkNDNiIiwicHJvcGVydGllcyI6eyJub3RlSW5kZXgiOjB9LCJpc0VkaXRlZCI6ZmFsc2UsIm1hbnVhbE92ZXJyaWRlIjp7ImNpdGVwcm9jVGV4dCI6Ils5OV0iLCJpc01hbnVhbGx5T3ZlcnJpZGRlbiI6ZmFsc2UsIm1hbnVhbE92ZXJyaWRlVGV4dCI6IiJ9LCJjaXRhdGlvbkl0ZW1zIjpb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1dfQ=="/>
              <w:id w:val="412200477"/>
              <w:placeholder>
                <w:docPart w:val="B700A94C13C9464BA82929F49DFA3C29"/>
              </w:placeholder>
            </w:sdtPr>
            <w:sdtContent>
              <w:p w14:paraId="5514DD48" w14:textId="14A08ADC"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[99]</w:t>
                </w:r>
              </w:p>
            </w:sdtContent>
          </w:sdt>
        </w:tc>
      </w:tr>
      <w:tr w:rsidR="00DB5AA9" w:rsidRPr="00F55000" w14:paraId="0350DF64"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hideMark/>
          </w:tcPr>
          <w:p w14:paraId="0B6C10FC" w14:textId="77777777" w:rsidR="00DB5AA9" w:rsidRPr="00F55000" w:rsidRDefault="00DB5AA9" w:rsidP="0035708B">
            <w:pPr>
              <w:rPr>
                <w:sz w:val="16"/>
                <w:szCs w:val="16"/>
              </w:rPr>
            </w:pPr>
            <w:r w:rsidRPr="00F55000">
              <w:rPr>
                <w:sz w:val="16"/>
                <w:szCs w:val="16"/>
              </w:rPr>
              <w:t>8</w:t>
            </w:r>
          </w:p>
        </w:tc>
        <w:tc>
          <w:tcPr>
            <w:tcW w:w="236" w:type="dxa"/>
            <w:tcBorders>
              <w:left w:val="single" w:sz="4" w:space="0" w:color="auto"/>
              <w:bottom w:val="single" w:sz="4" w:space="0" w:color="auto"/>
              <w:right w:val="single" w:sz="4" w:space="0" w:color="auto"/>
            </w:tcBorders>
            <w:vAlign w:val="center"/>
          </w:tcPr>
          <w:p w14:paraId="4BD45AC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e</w:t>
            </w:r>
          </w:p>
        </w:tc>
        <w:tc>
          <w:tcPr>
            <w:tcW w:w="576" w:type="dxa"/>
            <w:tcBorders>
              <w:left w:val="single" w:sz="4" w:space="0" w:color="auto"/>
              <w:bottom w:val="single" w:sz="4" w:space="0" w:color="auto"/>
            </w:tcBorders>
            <w:vAlign w:val="center"/>
            <w:hideMark/>
          </w:tcPr>
          <w:p w14:paraId="2CAC60B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tcBorders>
              <w:bottom w:val="single" w:sz="4" w:space="0" w:color="auto"/>
            </w:tcBorders>
            <w:vAlign w:val="center"/>
            <w:hideMark/>
          </w:tcPr>
          <w:p w14:paraId="6C06F1B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6174043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3AD3CE0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0.13</w:t>
            </w:r>
          </w:p>
        </w:tc>
        <w:tc>
          <w:tcPr>
            <w:tcW w:w="576" w:type="dxa"/>
            <w:tcBorders>
              <w:bottom w:val="single" w:sz="4" w:space="0" w:color="auto"/>
            </w:tcBorders>
            <w:vAlign w:val="center"/>
            <w:hideMark/>
          </w:tcPr>
          <w:p w14:paraId="6A931CD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8C7009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w:t>
            </w:r>
          </w:p>
        </w:tc>
        <w:tc>
          <w:tcPr>
            <w:tcW w:w="576" w:type="dxa"/>
            <w:tcBorders>
              <w:bottom w:val="single" w:sz="4" w:space="0" w:color="auto"/>
            </w:tcBorders>
            <w:vAlign w:val="center"/>
            <w:hideMark/>
          </w:tcPr>
          <w:p w14:paraId="756F2E9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455B79D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615D703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58A5C7C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tcBorders>
              <w:bottom w:val="single" w:sz="4" w:space="0" w:color="auto"/>
            </w:tcBorders>
            <w:vAlign w:val="center"/>
            <w:hideMark/>
          </w:tcPr>
          <w:p w14:paraId="6AEE6ED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w:t>
            </w:r>
          </w:p>
        </w:tc>
        <w:tc>
          <w:tcPr>
            <w:tcW w:w="576" w:type="dxa"/>
            <w:tcBorders>
              <w:bottom w:val="single" w:sz="4" w:space="0" w:color="auto"/>
            </w:tcBorders>
            <w:vAlign w:val="center"/>
            <w:hideMark/>
          </w:tcPr>
          <w:p w14:paraId="5820165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206ADD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w:t>
            </w:r>
          </w:p>
        </w:tc>
        <w:tc>
          <w:tcPr>
            <w:tcW w:w="576" w:type="dxa"/>
            <w:tcBorders>
              <w:bottom w:val="single" w:sz="4" w:space="0" w:color="auto"/>
              <w:right w:val="single" w:sz="4" w:space="0" w:color="auto"/>
            </w:tcBorders>
            <w:vAlign w:val="center"/>
            <w:hideMark/>
          </w:tcPr>
          <w:p w14:paraId="354843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304A1F1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w:t>
            </w:r>
          </w:p>
        </w:tc>
        <w:tc>
          <w:tcPr>
            <w:tcW w:w="576" w:type="dxa"/>
            <w:tcBorders>
              <w:bottom w:val="single" w:sz="4" w:space="0" w:color="auto"/>
            </w:tcBorders>
            <w:vAlign w:val="center"/>
            <w:hideMark/>
          </w:tcPr>
          <w:p w14:paraId="26985BF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E0D416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0.15</w:t>
            </w:r>
          </w:p>
        </w:tc>
        <w:tc>
          <w:tcPr>
            <w:tcW w:w="576" w:type="dxa"/>
            <w:tcBorders>
              <w:bottom w:val="single" w:sz="4" w:space="0" w:color="auto"/>
            </w:tcBorders>
            <w:vAlign w:val="center"/>
            <w:hideMark/>
          </w:tcPr>
          <w:p w14:paraId="1D925C5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12EC51B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0F088FF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5688859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hideMark/>
          </w:tcPr>
          <w:p w14:paraId="4E7A0A4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Crawshaw</w:t>
            </w:r>
          </w:p>
        </w:tc>
        <w:tc>
          <w:tcPr>
            <w:tcW w:w="630" w:type="dxa"/>
            <w:tcBorders>
              <w:bottom w:val="single" w:sz="4" w:space="0" w:color="auto"/>
            </w:tcBorders>
            <w:vAlign w:val="center"/>
            <w:hideMark/>
          </w:tcPr>
          <w:p w14:paraId="3AE8715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1975</w:t>
            </w:r>
          </w:p>
        </w:tc>
        <w:tc>
          <w:tcPr>
            <w:tcW w:w="1022" w:type="dxa"/>
            <w:tcBorders>
              <w:bottom w:val="single" w:sz="4" w:space="0" w:color="auto"/>
            </w:tcBorders>
            <w:vAlign w:val="center"/>
          </w:tcPr>
          <w:sdt>
            <w:sdtPr>
              <w:rPr>
                <w:color w:val="000000"/>
              </w:rPr>
              <w:tag w:val="MENDELEY_CITATION_v3_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"/>
              <w:id w:val="86971523"/>
              <w:placeholder>
                <w:docPart w:val="B700A94C13C9464BA82929F49DFA3C29"/>
              </w:placeholder>
            </w:sdtPr>
            <w:sdtContent>
              <w:p w14:paraId="02514857" w14:textId="6405562D"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[186]</w:t>
                </w:r>
              </w:p>
            </w:sdtContent>
          </w:sdt>
        </w:tc>
      </w:tr>
      <w:tr w:rsidR="00DB5AA9" w:rsidRPr="00F55000" w14:paraId="33404A41"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5096B222" w14:textId="77777777" w:rsidR="00DB5AA9" w:rsidRPr="00F55000" w:rsidRDefault="00DB5AA9" w:rsidP="0035708B">
            <w:pPr>
              <w:rPr>
                <w:sz w:val="16"/>
                <w:szCs w:val="16"/>
              </w:rPr>
            </w:pPr>
            <w:r w:rsidRPr="00F55000">
              <w:rPr>
                <w:sz w:val="16"/>
                <w:szCs w:val="16"/>
              </w:rPr>
              <w:t>9</w:t>
            </w:r>
          </w:p>
        </w:tc>
        <w:tc>
          <w:tcPr>
            <w:tcW w:w="236" w:type="dxa"/>
            <w:tcBorders>
              <w:top w:val="single" w:sz="4" w:space="0" w:color="auto"/>
              <w:left w:val="single" w:sz="4" w:space="0" w:color="auto"/>
              <w:right w:val="single" w:sz="4" w:space="0" w:color="auto"/>
            </w:tcBorders>
            <w:vAlign w:val="center"/>
          </w:tcPr>
          <w:p w14:paraId="403C92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6ED397E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4676E3A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5A07CDF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7874555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21FACCB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D8B4CF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5413543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0493020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right w:val="single" w:sz="4" w:space="0" w:color="auto"/>
            </w:tcBorders>
            <w:vAlign w:val="center"/>
            <w:hideMark/>
          </w:tcPr>
          <w:p w14:paraId="16C1689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14D521A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w:t>
            </w:r>
          </w:p>
        </w:tc>
        <w:tc>
          <w:tcPr>
            <w:tcW w:w="576" w:type="dxa"/>
            <w:tcBorders>
              <w:top w:val="single" w:sz="4" w:space="0" w:color="auto"/>
            </w:tcBorders>
            <w:vAlign w:val="center"/>
            <w:hideMark/>
          </w:tcPr>
          <w:p w14:paraId="4F77AB4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0.18</w:t>
            </w:r>
          </w:p>
        </w:tc>
        <w:tc>
          <w:tcPr>
            <w:tcW w:w="576" w:type="dxa"/>
            <w:tcBorders>
              <w:top w:val="single" w:sz="4" w:space="0" w:color="auto"/>
            </w:tcBorders>
            <w:vAlign w:val="center"/>
            <w:hideMark/>
          </w:tcPr>
          <w:p w14:paraId="3CF2867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3F1CEAC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5368B26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72921EB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0.19</w:t>
            </w:r>
          </w:p>
        </w:tc>
        <w:tc>
          <w:tcPr>
            <w:tcW w:w="576" w:type="dxa"/>
            <w:tcBorders>
              <w:top w:val="single" w:sz="4" w:space="0" w:color="auto"/>
            </w:tcBorders>
            <w:vAlign w:val="center"/>
            <w:hideMark/>
          </w:tcPr>
          <w:p w14:paraId="6AB257B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6DC92C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tcBorders>
              <w:top w:val="single" w:sz="4" w:space="0" w:color="auto"/>
            </w:tcBorders>
            <w:vAlign w:val="center"/>
            <w:hideMark/>
          </w:tcPr>
          <w:p w14:paraId="66F6A63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1F537D5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60FC925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w:t>
            </w:r>
          </w:p>
        </w:tc>
        <w:tc>
          <w:tcPr>
            <w:tcW w:w="576" w:type="dxa"/>
            <w:tcBorders>
              <w:top w:val="single" w:sz="4" w:space="0" w:color="auto"/>
              <w:right w:val="single" w:sz="4" w:space="0" w:color="auto"/>
            </w:tcBorders>
            <w:vAlign w:val="center"/>
            <w:hideMark/>
          </w:tcPr>
          <w:p w14:paraId="54876A6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hideMark/>
          </w:tcPr>
          <w:p w14:paraId="6A0AA85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tcBorders>
            <w:vAlign w:val="center"/>
            <w:hideMark/>
          </w:tcPr>
          <w:p w14:paraId="35EA170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tcBorders>
            <w:vAlign w:val="center"/>
          </w:tcPr>
          <w:sdt>
            <w:sdtPr>
              <w:rPr>
                <w:color w:val="000000"/>
              </w:rPr>
              <w:tag w:val="MENDELEY_CITATION_v3_eyJjaXRhdGlvbklEIjoiTUVOREVMRVlfQ0lUQVRJT05fNGFkNDNiZWItOTQ1Ny00YmUyLTlhZWEtNjRkNzAxMzNkOWFk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414712700"/>
              <w:placeholder>
                <w:docPart w:val="B700A94C13C9464BA82929F49DFA3C29"/>
              </w:placeholder>
            </w:sdtPr>
            <w:sdtContent>
              <w:p w14:paraId="7081810A" w14:textId="3D8DAB50"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[514]</w:t>
                </w:r>
              </w:p>
            </w:sdtContent>
          </w:sdt>
        </w:tc>
      </w:tr>
      <w:tr w:rsidR="00DB5AA9" w:rsidRPr="00F55000" w14:paraId="195F763E"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tcPr>
          <w:p w14:paraId="446D6F90" w14:textId="77777777" w:rsidR="00DB5AA9" w:rsidRPr="00F55000" w:rsidRDefault="00DB5AA9" w:rsidP="0035708B">
            <w:pPr>
              <w:rPr>
                <w:sz w:val="16"/>
                <w:szCs w:val="16"/>
              </w:rPr>
            </w:pPr>
            <w:r w:rsidRPr="00F55000">
              <w:rPr>
                <w:sz w:val="16"/>
                <w:szCs w:val="16"/>
              </w:rPr>
              <w:t>9</w:t>
            </w:r>
          </w:p>
        </w:tc>
        <w:tc>
          <w:tcPr>
            <w:tcW w:w="236" w:type="dxa"/>
            <w:tcBorders>
              <w:left w:val="single" w:sz="4" w:space="0" w:color="auto"/>
              <w:bottom w:val="single" w:sz="4" w:space="0" w:color="auto"/>
              <w:right w:val="single" w:sz="4" w:space="0" w:color="auto"/>
            </w:tcBorders>
            <w:vAlign w:val="center"/>
          </w:tcPr>
          <w:p w14:paraId="355DB9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bottom w:val="single" w:sz="4" w:space="0" w:color="auto"/>
            </w:tcBorders>
            <w:vAlign w:val="center"/>
          </w:tcPr>
          <w:p w14:paraId="67B0F36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w:t>
            </w:r>
          </w:p>
        </w:tc>
        <w:tc>
          <w:tcPr>
            <w:tcW w:w="576" w:type="dxa"/>
            <w:tcBorders>
              <w:bottom w:val="single" w:sz="4" w:space="0" w:color="auto"/>
            </w:tcBorders>
            <w:vAlign w:val="center"/>
          </w:tcPr>
          <w:p w14:paraId="0A75E01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tcPr>
          <w:p w14:paraId="672315B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tcPr>
          <w:p w14:paraId="480415B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w:t>
            </w:r>
          </w:p>
        </w:tc>
        <w:tc>
          <w:tcPr>
            <w:tcW w:w="576" w:type="dxa"/>
            <w:tcBorders>
              <w:bottom w:val="single" w:sz="4" w:space="0" w:color="auto"/>
            </w:tcBorders>
            <w:vAlign w:val="center"/>
          </w:tcPr>
          <w:p w14:paraId="5FC3102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5950C61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bottom w:val="single" w:sz="4" w:space="0" w:color="auto"/>
            </w:tcBorders>
            <w:vAlign w:val="center"/>
          </w:tcPr>
          <w:p w14:paraId="0ACB891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3D56139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0.04</w:t>
            </w:r>
          </w:p>
        </w:tc>
        <w:tc>
          <w:tcPr>
            <w:tcW w:w="576" w:type="dxa"/>
            <w:tcBorders>
              <w:bottom w:val="single" w:sz="4" w:space="0" w:color="auto"/>
              <w:right w:val="single" w:sz="4" w:space="0" w:color="auto"/>
            </w:tcBorders>
            <w:vAlign w:val="center"/>
          </w:tcPr>
          <w:p w14:paraId="2A39529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tcPr>
          <w:p w14:paraId="7422CF3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7675233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w:t>
            </w:r>
          </w:p>
        </w:tc>
        <w:tc>
          <w:tcPr>
            <w:tcW w:w="576" w:type="dxa"/>
            <w:tcBorders>
              <w:bottom w:val="single" w:sz="4" w:space="0" w:color="auto"/>
            </w:tcBorders>
            <w:vAlign w:val="center"/>
          </w:tcPr>
          <w:p w14:paraId="06D4B68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296BC9F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0.16</w:t>
            </w:r>
          </w:p>
        </w:tc>
        <w:tc>
          <w:tcPr>
            <w:tcW w:w="576" w:type="dxa"/>
            <w:tcBorders>
              <w:bottom w:val="single" w:sz="4" w:space="0" w:color="auto"/>
              <w:right w:val="single" w:sz="4" w:space="0" w:color="auto"/>
            </w:tcBorders>
            <w:vAlign w:val="center"/>
          </w:tcPr>
          <w:p w14:paraId="272ED50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tcPr>
          <w:p w14:paraId="4AB03DE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w:t>
            </w:r>
          </w:p>
        </w:tc>
        <w:tc>
          <w:tcPr>
            <w:tcW w:w="576" w:type="dxa"/>
            <w:tcBorders>
              <w:bottom w:val="single" w:sz="4" w:space="0" w:color="auto"/>
            </w:tcBorders>
            <w:vAlign w:val="center"/>
          </w:tcPr>
          <w:p w14:paraId="664362C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4231CF1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0.11</w:t>
            </w:r>
          </w:p>
        </w:tc>
        <w:tc>
          <w:tcPr>
            <w:tcW w:w="576" w:type="dxa"/>
            <w:tcBorders>
              <w:bottom w:val="single" w:sz="4" w:space="0" w:color="auto"/>
            </w:tcBorders>
            <w:vAlign w:val="center"/>
          </w:tcPr>
          <w:p w14:paraId="0BE2EB9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1B75D7B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bottom w:val="single" w:sz="4" w:space="0" w:color="auto"/>
            </w:tcBorders>
            <w:vAlign w:val="center"/>
          </w:tcPr>
          <w:p w14:paraId="12E0DCE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w:t>
            </w:r>
          </w:p>
        </w:tc>
        <w:tc>
          <w:tcPr>
            <w:tcW w:w="576" w:type="dxa"/>
            <w:tcBorders>
              <w:bottom w:val="single" w:sz="4" w:space="0" w:color="auto"/>
              <w:right w:val="single" w:sz="4" w:space="0" w:color="auto"/>
            </w:tcBorders>
            <w:vAlign w:val="center"/>
          </w:tcPr>
          <w:p w14:paraId="57881CF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tcPr>
          <w:p w14:paraId="1BCC9B7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Neuroth</w:t>
            </w:r>
          </w:p>
        </w:tc>
        <w:tc>
          <w:tcPr>
            <w:tcW w:w="630" w:type="dxa"/>
            <w:tcBorders>
              <w:bottom w:val="single" w:sz="4" w:space="0" w:color="auto"/>
            </w:tcBorders>
            <w:vAlign w:val="center"/>
          </w:tcPr>
          <w:p w14:paraId="13749BE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w:t>
            </w:r>
          </w:p>
        </w:tc>
        <w:tc>
          <w:tcPr>
            <w:tcW w:w="1022" w:type="dxa"/>
            <w:tcBorders>
              <w:bottom w:val="single" w:sz="4" w:space="0" w:color="auto"/>
            </w:tcBorders>
            <w:vAlign w:val="center"/>
          </w:tcPr>
          <w:sdt>
            <w:sdtPr>
              <w:rPr>
                <w:color w:val="000000"/>
              </w:rPr>
              <w:tag w:val="MENDELEY_CITATION_v3_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"/>
              <w:id w:val="636306031"/>
              <w:placeholder>
                <w:docPart w:val="B700A94C13C9464BA82929F49DFA3C29"/>
              </w:placeholder>
            </w:sdtPr>
            <w:sdtContent>
              <w:p w14:paraId="7B8E33A0" w14:textId="5CFFDE6A"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[515]</w:t>
                </w:r>
              </w:p>
            </w:sdtContent>
          </w:sdt>
        </w:tc>
      </w:tr>
      <w:tr w:rsidR="00DB5AA9" w:rsidRPr="00F55000" w14:paraId="3485E3D4"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7E47D866" w14:textId="77777777" w:rsidR="00DB5AA9" w:rsidRPr="00F55000" w:rsidRDefault="00DB5AA9" w:rsidP="0035708B">
            <w:pPr>
              <w:rPr>
                <w:sz w:val="16"/>
                <w:szCs w:val="16"/>
              </w:rPr>
            </w:pPr>
            <w:r w:rsidRPr="00F55000">
              <w:rPr>
                <w:sz w:val="16"/>
                <w:szCs w:val="16"/>
              </w:rPr>
              <w:t>10</w:t>
            </w:r>
          </w:p>
        </w:tc>
        <w:tc>
          <w:tcPr>
            <w:tcW w:w="236" w:type="dxa"/>
            <w:tcBorders>
              <w:top w:val="single" w:sz="4" w:space="0" w:color="auto"/>
              <w:left w:val="single" w:sz="4" w:space="0" w:color="auto"/>
              <w:right w:val="single" w:sz="4" w:space="0" w:color="auto"/>
            </w:tcBorders>
            <w:vAlign w:val="center"/>
          </w:tcPr>
          <w:p w14:paraId="2545C3E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00786E4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272B3D9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top w:val="single" w:sz="4" w:space="0" w:color="auto"/>
              <w:right w:val="single" w:sz="4" w:space="0" w:color="auto"/>
            </w:tcBorders>
            <w:vAlign w:val="center"/>
            <w:hideMark/>
          </w:tcPr>
          <w:p w14:paraId="40E75CC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06DEC16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2AAE67A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FCC613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tcBorders>
            <w:vAlign w:val="center"/>
            <w:hideMark/>
          </w:tcPr>
          <w:p w14:paraId="5EB96C9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0A88BEB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w:t>
            </w:r>
          </w:p>
        </w:tc>
        <w:tc>
          <w:tcPr>
            <w:tcW w:w="576" w:type="dxa"/>
            <w:tcBorders>
              <w:top w:val="single" w:sz="4" w:space="0" w:color="auto"/>
              <w:right w:val="single" w:sz="4" w:space="0" w:color="auto"/>
            </w:tcBorders>
            <w:vAlign w:val="center"/>
            <w:hideMark/>
          </w:tcPr>
          <w:p w14:paraId="3B0A549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165C0F5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0.125</w:t>
            </w:r>
          </w:p>
        </w:tc>
        <w:tc>
          <w:tcPr>
            <w:tcW w:w="576" w:type="dxa"/>
            <w:tcBorders>
              <w:top w:val="single" w:sz="4" w:space="0" w:color="auto"/>
            </w:tcBorders>
            <w:vAlign w:val="center"/>
            <w:hideMark/>
          </w:tcPr>
          <w:p w14:paraId="64C4E7A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tcBorders>
              <w:top w:val="single" w:sz="4" w:space="0" w:color="auto"/>
            </w:tcBorders>
            <w:vAlign w:val="center"/>
            <w:hideMark/>
          </w:tcPr>
          <w:p w14:paraId="70F6C45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5D7D21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03A3A01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37413CC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0.125*</w:t>
            </w:r>
          </w:p>
        </w:tc>
        <w:tc>
          <w:tcPr>
            <w:tcW w:w="576" w:type="dxa"/>
            <w:tcBorders>
              <w:top w:val="single" w:sz="4" w:space="0" w:color="auto"/>
            </w:tcBorders>
            <w:vAlign w:val="center"/>
            <w:hideMark/>
          </w:tcPr>
          <w:p w14:paraId="5CC4FDB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0C45955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0.15</w:t>
            </w:r>
          </w:p>
        </w:tc>
        <w:tc>
          <w:tcPr>
            <w:tcW w:w="576" w:type="dxa"/>
            <w:tcBorders>
              <w:top w:val="single" w:sz="4" w:space="0" w:color="auto"/>
            </w:tcBorders>
            <w:vAlign w:val="center"/>
            <w:hideMark/>
          </w:tcPr>
          <w:p w14:paraId="647F183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AD138F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782678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right w:val="single" w:sz="4" w:space="0" w:color="auto"/>
            </w:tcBorders>
            <w:vAlign w:val="center"/>
            <w:hideMark/>
          </w:tcPr>
          <w:p w14:paraId="70CA176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hideMark/>
          </w:tcPr>
          <w:p w14:paraId="13F1C70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Teichner ++</w:t>
            </w:r>
          </w:p>
        </w:tc>
        <w:tc>
          <w:tcPr>
            <w:tcW w:w="630" w:type="dxa"/>
            <w:tcBorders>
              <w:top w:val="single" w:sz="4" w:space="0" w:color="auto"/>
            </w:tcBorders>
            <w:vAlign w:val="center"/>
            <w:hideMark/>
          </w:tcPr>
          <w:p w14:paraId="3D6E33B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1943</w:t>
            </w:r>
          </w:p>
        </w:tc>
        <w:tc>
          <w:tcPr>
            <w:tcW w:w="1022" w:type="dxa"/>
            <w:tcBorders>
              <w:top w:val="single" w:sz="4" w:space="0" w:color="auto"/>
            </w:tcBorders>
            <w:vAlign w:val="center"/>
          </w:tcPr>
          <w:sdt>
            <w:sdtPr>
              <w:rPr>
                <w:color w:val="000000"/>
              </w:rPr>
              <w:tag w:val="MENDELEY_CITATION_v3_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"/>
              <w:id w:val="729503130"/>
              <w:placeholder>
                <w:docPart w:val="B700A94C13C9464BA82929F49DFA3C29"/>
              </w:placeholder>
            </w:sdtPr>
            <w:sdtContent>
              <w:p w14:paraId="47C3905C" w14:textId="55FCF082"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[512]</w:t>
                </w:r>
              </w:p>
            </w:sdtContent>
          </w:sdt>
        </w:tc>
      </w:tr>
      <w:tr w:rsidR="00DB5AA9" w:rsidRPr="00F55000" w14:paraId="0DF5F977"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0F81FDA8" w14:textId="77777777" w:rsidR="00DB5AA9" w:rsidRPr="00F55000" w:rsidRDefault="00DB5AA9" w:rsidP="0035708B">
            <w:pPr>
              <w:rPr>
                <w:sz w:val="16"/>
                <w:szCs w:val="16"/>
              </w:rPr>
            </w:pPr>
            <w:r w:rsidRPr="00F55000">
              <w:rPr>
                <w:sz w:val="16"/>
                <w:szCs w:val="16"/>
              </w:rPr>
              <w:t>10</w:t>
            </w:r>
          </w:p>
        </w:tc>
        <w:tc>
          <w:tcPr>
            <w:tcW w:w="236" w:type="dxa"/>
            <w:tcBorders>
              <w:left w:val="single" w:sz="4" w:space="0" w:color="auto"/>
              <w:right w:val="single" w:sz="4" w:space="0" w:color="auto"/>
            </w:tcBorders>
            <w:vAlign w:val="center"/>
          </w:tcPr>
          <w:p w14:paraId="08ECCE0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tcBorders>
            <w:vAlign w:val="center"/>
            <w:hideMark/>
          </w:tcPr>
          <w:p w14:paraId="7FA7CA2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576" w:type="dxa"/>
            <w:vAlign w:val="center"/>
            <w:hideMark/>
          </w:tcPr>
          <w:p w14:paraId="63028F6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7443876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DAD79D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vAlign w:val="center"/>
            <w:hideMark/>
          </w:tcPr>
          <w:p w14:paraId="632812A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35FAF6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576" w:type="dxa"/>
            <w:vAlign w:val="center"/>
            <w:hideMark/>
          </w:tcPr>
          <w:p w14:paraId="58D931D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F594DF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hideMark/>
          </w:tcPr>
          <w:p w14:paraId="401095D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750E07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vAlign w:val="center"/>
            <w:hideMark/>
          </w:tcPr>
          <w:p w14:paraId="54BF6DF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0.10</w:t>
            </w:r>
          </w:p>
        </w:tc>
        <w:tc>
          <w:tcPr>
            <w:tcW w:w="576" w:type="dxa"/>
            <w:vAlign w:val="center"/>
            <w:hideMark/>
          </w:tcPr>
          <w:p w14:paraId="4EEACD4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20D15B1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0.095</w:t>
            </w:r>
          </w:p>
        </w:tc>
        <w:tc>
          <w:tcPr>
            <w:tcW w:w="576" w:type="dxa"/>
            <w:tcBorders>
              <w:right w:val="single" w:sz="4" w:space="0" w:color="auto"/>
            </w:tcBorders>
            <w:vAlign w:val="center"/>
            <w:hideMark/>
          </w:tcPr>
          <w:p w14:paraId="1AA0030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07A0170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vAlign w:val="center"/>
            <w:hideMark/>
          </w:tcPr>
          <w:p w14:paraId="23A137D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7AE754E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w:t>
            </w:r>
          </w:p>
        </w:tc>
        <w:tc>
          <w:tcPr>
            <w:tcW w:w="576" w:type="dxa"/>
            <w:vAlign w:val="center"/>
            <w:hideMark/>
          </w:tcPr>
          <w:p w14:paraId="17B1AF3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69B7D9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62CDA1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1B6DFC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1134" w:type="dxa"/>
            <w:tcBorders>
              <w:left w:val="single" w:sz="4" w:space="0" w:color="auto"/>
            </w:tcBorders>
            <w:vAlign w:val="center"/>
            <w:hideMark/>
          </w:tcPr>
          <w:p w14:paraId="3FB4673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vAlign w:val="center"/>
            <w:hideMark/>
          </w:tcPr>
          <w:p w14:paraId="06E91F46"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vAlign w:val="center"/>
          </w:tcPr>
          <w:sdt>
            <w:sdtPr>
              <w:rPr>
                <w:color w:val="000000"/>
              </w:rPr>
              <w:tag w:val="MENDELEY_CITATION_v3_eyJjaXRhdGlvbklEIjoiTUVOREVMRVlfQ0lUQVRJT05fNWVmZGM1MDktMTc3My00N2ViLWFmMTItZDc2ZWFjOTEwOWZk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364753816"/>
              <w:placeholder>
                <w:docPart w:val="B700A94C13C9464BA82929F49DFA3C29"/>
              </w:placeholder>
            </w:sdtPr>
            <w:sdtContent>
              <w:p w14:paraId="386175EE" w14:textId="0F714233"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03CE4B1A" w14:textId="77777777" w:rsidTr="0035708B">
        <w:trPr>
          <w:trHeight w:val="367"/>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30700114" w14:textId="77777777" w:rsidR="00DB5AA9" w:rsidRPr="00F55000" w:rsidRDefault="00DB5AA9" w:rsidP="0035708B">
            <w:pPr>
              <w:rPr>
                <w:sz w:val="16"/>
                <w:szCs w:val="16"/>
              </w:rPr>
            </w:pPr>
            <w:r w:rsidRPr="00F55000">
              <w:rPr>
                <w:sz w:val="16"/>
                <w:szCs w:val="16"/>
              </w:rPr>
              <w:t>10</w:t>
            </w:r>
          </w:p>
        </w:tc>
        <w:tc>
          <w:tcPr>
            <w:tcW w:w="236" w:type="dxa"/>
            <w:tcBorders>
              <w:left w:val="single" w:sz="4" w:space="0" w:color="auto"/>
              <w:right w:val="single" w:sz="4" w:space="0" w:color="auto"/>
            </w:tcBorders>
            <w:vAlign w:val="center"/>
          </w:tcPr>
          <w:p w14:paraId="53E6349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c</w:t>
            </w:r>
          </w:p>
        </w:tc>
        <w:tc>
          <w:tcPr>
            <w:tcW w:w="576" w:type="dxa"/>
            <w:tcBorders>
              <w:left w:val="single" w:sz="4" w:space="0" w:color="auto"/>
            </w:tcBorders>
            <w:vAlign w:val="center"/>
            <w:hideMark/>
          </w:tcPr>
          <w:p w14:paraId="417CFE1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w:t>
            </w:r>
          </w:p>
        </w:tc>
        <w:tc>
          <w:tcPr>
            <w:tcW w:w="576" w:type="dxa"/>
            <w:vAlign w:val="center"/>
            <w:hideMark/>
          </w:tcPr>
          <w:p w14:paraId="732BB14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6E3C1E1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35A845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0.08</w:t>
            </w:r>
          </w:p>
        </w:tc>
        <w:tc>
          <w:tcPr>
            <w:tcW w:w="576" w:type="dxa"/>
            <w:vAlign w:val="center"/>
            <w:hideMark/>
          </w:tcPr>
          <w:p w14:paraId="1294A5F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BAF1DA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w:t>
            </w:r>
          </w:p>
        </w:tc>
        <w:tc>
          <w:tcPr>
            <w:tcW w:w="576" w:type="dxa"/>
            <w:vAlign w:val="center"/>
            <w:hideMark/>
          </w:tcPr>
          <w:p w14:paraId="3811DA0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1FE6EFB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hideMark/>
          </w:tcPr>
          <w:p w14:paraId="7987859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5F1CD59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w:t>
            </w:r>
          </w:p>
        </w:tc>
        <w:tc>
          <w:tcPr>
            <w:tcW w:w="576" w:type="dxa"/>
            <w:vAlign w:val="center"/>
            <w:hideMark/>
          </w:tcPr>
          <w:p w14:paraId="703AAC5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w:t>
            </w:r>
          </w:p>
        </w:tc>
        <w:tc>
          <w:tcPr>
            <w:tcW w:w="576" w:type="dxa"/>
            <w:vAlign w:val="center"/>
            <w:hideMark/>
          </w:tcPr>
          <w:p w14:paraId="15F25F1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0E360AE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w:t>
            </w:r>
          </w:p>
        </w:tc>
        <w:tc>
          <w:tcPr>
            <w:tcW w:w="576" w:type="dxa"/>
            <w:tcBorders>
              <w:right w:val="single" w:sz="4" w:space="0" w:color="auto"/>
            </w:tcBorders>
            <w:vAlign w:val="center"/>
            <w:hideMark/>
          </w:tcPr>
          <w:p w14:paraId="4A4C55A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D7F6B9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0.19</w:t>
            </w:r>
          </w:p>
        </w:tc>
        <w:tc>
          <w:tcPr>
            <w:tcW w:w="576" w:type="dxa"/>
            <w:vAlign w:val="center"/>
            <w:hideMark/>
          </w:tcPr>
          <w:p w14:paraId="4C4F845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219469C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vAlign w:val="center"/>
            <w:hideMark/>
          </w:tcPr>
          <w:p w14:paraId="55A9BF6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6C214F7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hideMark/>
          </w:tcPr>
          <w:p w14:paraId="54F1D7F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right w:val="single" w:sz="4" w:space="0" w:color="auto"/>
            </w:tcBorders>
            <w:vAlign w:val="center"/>
            <w:hideMark/>
          </w:tcPr>
          <w:p w14:paraId="5CF76C8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1B0C828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Colin &amp; Houdas</w:t>
            </w:r>
          </w:p>
        </w:tc>
        <w:tc>
          <w:tcPr>
            <w:tcW w:w="630" w:type="dxa"/>
            <w:vAlign w:val="center"/>
            <w:hideMark/>
          </w:tcPr>
          <w:p w14:paraId="49F7D04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1982</w:t>
            </w:r>
          </w:p>
        </w:tc>
        <w:tc>
          <w:tcPr>
            <w:tcW w:w="1022" w:type="dxa"/>
            <w:vAlign w:val="center"/>
          </w:tcPr>
          <w:sdt>
            <w:sdtPr>
              <w:rPr>
                <w:color w:val="000000"/>
              </w:rPr>
              <w:tag w:val="MENDELEY_CITATION_v3_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"/>
              <w:id w:val="702593755"/>
              <w:placeholder>
                <w:docPart w:val="B700A94C13C9464BA82929F49DFA3C29"/>
              </w:placeholder>
            </w:sdtPr>
            <w:sdtContent>
              <w:p w14:paraId="42FD2056" w14:textId="1242531C"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[521]</w:t>
                </w:r>
              </w:p>
            </w:sdtContent>
          </w:sdt>
        </w:tc>
      </w:tr>
      <w:tr w:rsidR="00DB5AA9" w:rsidRPr="00F55000" w14:paraId="546D8782"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hideMark/>
          </w:tcPr>
          <w:p w14:paraId="1C23DF57" w14:textId="77777777" w:rsidR="00DB5AA9" w:rsidRPr="00F55000" w:rsidRDefault="00DB5AA9" w:rsidP="0035708B">
            <w:pPr>
              <w:rPr>
                <w:sz w:val="16"/>
                <w:szCs w:val="16"/>
              </w:rPr>
            </w:pPr>
            <w:r w:rsidRPr="00F55000">
              <w:rPr>
                <w:sz w:val="16"/>
                <w:szCs w:val="16"/>
              </w:rPr>
              <w:t>10</w:t>
            </w:r>
          </w:p>
        </w:tc>
        <w:tc>
          <w:tcPr>
            <w:tcW w:w="236" w:type="dxa"/>
            <w:tcBorders>
              <w:left w:val="single" w:sz="4" w:space="0" w:color="auto"/>
              <w:right w:val="single" w:sz="4" w:space="0" w:color="auto"/>
            </w:tcBorders>
            <w:vAlign w:val="center"/>
          </w:tcPr>
          <w:p w14:paraId="273BDD9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d</w:t>
            </w:r>
          </w:p>
        </w:tc>
        <w:tc>
          <w:tcPr>
            <w:tcW w:w="576" w:type="dxa"/>
            <w:tcBorders>
              <w:left w:val="single" w:sz="4" w:space="0" w:color="auto"/>
            </w:tcBorders>
            <w:vAlign w:val="center"/>
            <w:hideMark/>
          </w:tcPr>
          <w:p w14:paraId="3EB1445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197D74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tcBorders>
              <w:right w:val="single" w:sz="4" w:space="0" w:color="auto"/>
            </w:tcBorders>
            <w:vAlign w:val="center"/>
            <w:hideMark/>
          </w:tcPr>
          <w:p w14:paraId="292AD3E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B100A3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vAlign w:val="center"/>
            <w:hideMark/>
          </w:tcPr>
          <w:p w14:paraId="61652D9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0192972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vAlign w:val="center"/>
            <w:hideMark/>
          </w:tcPr>
          <w:p w14:paraId="6FBD8D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55F6F5F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7E4755D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11B58A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vAlign w:val="center"/>
            <w:hideMark/>
          </w:tcPr>
          <w:p w14:paraId="7C9B999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vAlign w:val="center"/>
            <w:hideMark/>
          </w:tcPr>
          <w:p w14:paraId="786026F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1BC4E94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0.125 (r)</w:t>
            </w:r>
          </w:p>
        </w:tc>
        <w:tc>
          <w:tcPr>
            <w:tcW w:w="576" w:type="dxa"/>
            <w:tcBorders>
              <w:right w:val="single" w:sz="4" w:space="0" w:color="auto"/>
            </w:tcBorders>
            <w:vAlign w:val="center"/>
            <w:hideMark/>
          </w:tcPr>
          <w:p w14:paraId="6C35AD7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hideMark/>
          </w:tcPr>
          <w:p w14:paraId="624BBCC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0.125***</w:t>
            </w:r>
          </w:p>
        </w:tc>
        <w:tc>
          <w:tcPr>
            <w:tcW w:w="576" w:type="dxa"/>
            <w:vAlign w:val="center"/>
            <w:hideMark/>
          </w:tcPr>
          <w:p w14:paraId="0E966B3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3B9C3B6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0.075</w:t>
            </w:r>
          </w:p>
        </w:tc>
        <w:tc>
          <w:tcPr>
            <w:tcW w:w="576" w:type="dxa"/>
            <w:vAlign w:val="center"/>
            <w:hideMark/>
          </w:tcPr>
          <w:p w14:paraId="739ED1A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0.075</w:t>
            </w:r>
          </w:p>
        </w:tc>
        <w:tc>
          <w:tcPr>
            <w:tcW w:w="576" w:type="dxa"/>
            <w:vAlign w:val="center"/>
            <w:hideMark/>
          </w:tcPr>
          <w:p w14:paraId="2EDCDBB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hideMark/>
          </w:tcPr>
          <w:p w14:paraId="69E5C73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hideMark/>
          </w:tcPr>
          <w:p w14:paraId="2F1914C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hideMark/>
          </w:tcPr>
          <w:p w14:paraId="703ED0C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Houdas &amp; Ring</w:t>
            </w:r>
          </w:p>
        </w:tc>
        <w:tc>
          <w:tcPr>
            <w:tcW w:w="630" w:type="dxa"/>
            <w:vAlign w:val="center"/>
            <w:hideMark/>
          </w:tcPr>
          <w:p w14:paraId="34DD901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1982</w:t>
            </w:r>
          </w:p>
        </w:tc>
        <w:tc>
          <w:tcPr>
            <w:tcW w:w="1022" w:type="dxa"/>
            <w:vAlign w:val="center"/>
          </w:tcPr>
          <w:sdt>
            <w:sdtPr>
              <w:rPr>
                <w:color w:val="000000"/>
              </w:rPr>
              <w:tag w:val="MENDELEY_CITATION_v3_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"/>
              <w:id w:val="-943072619"/>
              <w:placeholder>
                <w:docPart w:val="B700A94C13C9464BA82929F49DFA3C29"/>
              </w:placeholder>
            </w:sdtPr>
            <w:sdtContent>
              <w:p w14:paraId="32ED4B46" w14:textId="5C6802BA"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[521]</w:t>
                </w:r>
              </w:p>
            </w:sdtContent>
          </w:sdt>
        </w:tc>
      </w:tr>
      <w:tr w:rsidR="00DB5AA9" w:rsidRPr="00F55000" w14:paraId="793ECF58"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08F46038" w14:textId="77777777" w:rsidR="00DB5AA9" w:rsidRPr="00F55000" w:rsidRDefault="00DB5AA9" w:rsidP="0035708B">
            <w:pPr>
              <w:rPr>
                <w:sz w:val="16"/>
                <w:szCs w:val="16"/>
              </w:rPr>
            </w:pPr>
            <w:r w:rsidRPr="00F55000">
              <w:rPr>
                <w:sz w:val="16"/>
                <w:szCs w:val="16"/>
              </w:rPr>
              <w:t>10</w:t>
            </w:r>
          </w:p>
        </w:tc>
        <w:tc>
          <w:tcPr>
            <w:tcW w:w="236" w:type="dxa"/>
            <w:tcBorders>
              <w:left w:val="single" w:sz="4" w:space="0" w:color="auto"/>
              <w:right w:val="single" w:sz="4" w:space="0" w:color="auto"/>
            </w:tcBorders>
            <w:vAlign w:val="center"/>
          </w:tcPr>
          <w:p w14:paraId="221BFD9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e</w:t>
            </w:r>
          </w:p>
        </w:tc>
        <w:tc>
          <w:tcPr>
            <w:tcW w:w="576" w:type="dxa"/>
            <w:tcBorders>
              <w:left w:val="single" w:sz="4" w:space="0" w:color="auto"/>
            </w:tcBorders>
            <w:vAlign w:val="center"/>
          </w:tcPr>
          <w:p w14:paraId="26DC5B0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6E9C045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right w:val="single" w:sz="4" w:space="0" w:color="auto"/>
            </w:tcBorders>
            <w:vAlign w:val="center"/>
          </w:tcPr>
          <w:p w14:paraId="725F425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4B7FE6A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vAlign w:val="center"/>
          </w:tcPr>
          <w:p w14:paraId="04BF9A2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4589F16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vAlign w:val="center"/>
          </w:tcPr>
          <w:p w14:paraId="57FF0CC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6E9B157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w:t>
            </w:r>
          </w:p>
        </w:tc>
        <w:tc>
          <w:tcPr>
            <w:tcW w:w="576" w:type="dxa"/>
            <w:tcBorders>
              <w:right w:val="single" w:sz="4" w:space="0" w:color="auto"/>
            </w:tcBorders>
            <w:vAlign w:val="center"/>
          </w:tcPr>
          <w:p w14:paraId="4E94A11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36F50E9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vAlign w:val="center"/>
          </w:tcPr>
          <w:p w14:paraId="723D1D1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0.13</w:t>
            </w:r>
          </w:p>
        </w:tc>
        <w:tc>
          <w:tcPr>
            <w:tcW w:w="576" w:type="dxa"/>
            <w:vAlign w:val="center"/>
          </w:tcPr>
          <w:p w14:paraId="2D9175E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4064556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right w:val="single" w:sz="4" w:space="0" w:color="auto"/>
            </w:tcBorders>
            <w:vAlign w:val="center"/>
          </w:tcPr>
          <w:p w14:paraId="642D961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tcBorders>
            <w:vAlign w:val="center"/>
          </w:tcPr>
          <w:p w14:paraId="43E35D8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0.125**</w:t>
            </w:r>
          </w:p>
        </w:tc>
        <w:tc>
          <w:tcPr>
            <w:tcW w:w="576" w:type="dxa"/>
            <w:vAlign w:val="center"/>
          </w:tcPr>
          <w:p w14:paraId="0488AD5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0A6F72A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0.15</w:t>
            </w:r>
          </w:p>
        </w:tc>
        <w:tc>
          <w:tcPr>
            <w:tcW w:w="576" w:type="dxa"/>
            <w:vAlign w:val="center"/>
          </w:tcPr>
          <w:p w14:paraId="708EF89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37E2A27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vAlign w:val="center"/>
          </w:tcPr>
          <w:p w14:paraId="0C7FE70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tcPr>
          <w:p w14:paraId="21CEE70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tcBorders>
            <w:vAlign w:val="center"/>
          </w:tcPr>
          <w:p w14:paraId="198228E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Omrec</w:t>
            </w:r>
          </w:p>
        </w:tc>
        <w:tc>
          <w:tcPr>
            <w:tcW w:w="630" w:type="dxa"/>
            <w:vAlign w:val="center"/>
          </w:tcPr>
          <w:p w14:paraId="3167D73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w:t>
            </w:r>
          </w:p>
        </w:tc>
        <w:tc>
          <w:tcPr>
            <w:tcW w:w="1022" w:type="dxa"/>
            <w:vAlign w:val="center"/>
          </w:tcPr>
          <w:sdt>
            <w:sdtPr>
              <w:rPr>
                <w:color w:val="000000"/>
              </w:rPr>
              <w:tag w:val="MENDELEY_CITATION_v3_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"/>
              <w:id w:val="-427732600"/>
              <w:placeholder>
                <w:docPart w:val="B700A94C13C9464BA82929F49DFA3C29"/>
              </w:placeholder>
            </w:sdtPr>
            <w:sdtContent>
              <w:p w14:paraId="77B86D1C" w14:textId="4ABF6A74"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[515]</w:t>
                </w:r>
              </w:p>
            </w:sdtContent>
          </w:sdt>
        </w:tc>
      </w:tr>
      <w:tr w:rsidR="00DB5AA9" w:rsidRPr="00F55000" w14:paraId="18EDC221"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79A54CB0" w14:textId="77777777" w:rsidR="00DB5AA9" w:rsidRPr="00F55000" w:rsidRDefault="00DB5AA9" w:rsidP="0035708B">
            <w:pPr>
              <w:rPr>
                <w:sz w:val="16"/>
                <w:szCs w:val="16"/>
              </w:rPr>
            </w:pPr>
            <w:r w:rsidRPr="00F55000">
              <w:rPr>
                <w:sz w:val="16"/>
                <w:szCs w:val="16"/>
              </w:rPr>
              <w:t>10</w:t>
            </w:r>
          </w:p>
        </w:tc>
        <w:tc>
          <w:tcPr>
            <w:tcW w:w="236" w:type="dxa"/>
            <w:tcBorders>
              <w:left w:val="single" w:sz="4" w:space="0" w:color="auto"/>
              <w:right w:val="single" w:sz="4" w:space="0" w:color="auto"/>
            </w:tcBorders>
            <w:vAlign w:val="center"/>
          </w:tcPr>
          <w:p w14:paraId="557C078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f</w:t>
            </w:r>
          </w:p>
        </w:tc>
        <w:tc>
          <w:tcPr>
            <w:tcW w:w="576" w:type="dxa"/>
            <w:tcBorders>
              <w:left w:val="single" w:sz="4" w:space="0" w:color="auto"/>
            </w:tcBorders>
            <w:vAlign w:val="center"/>
          </w:tcPr>
          <w:p w14:paraId="1239AF2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0.031</w:t>
            </w:r>
          </w:p>
        </w:tc>
        <w:tc>
          <w:tcPr>
            <w:tcW w:w="576" w:type="dxa"/>
            <w:vAlign w:val="center"/>
          </w:tcPr>
          <w:p w14:paraId="4A01D86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right w:val="single" w:sz="4" w:space="0" w:color="auto"/>
            </w:tcBorders>
            <w:vAlign w:val="center"/>
          </w:tcPr>
          <w:p w14:paraId="43D7510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0.043</w:t>
            </w:r>
          </w:p>
        </w:tc>
        <w:tc>
          <w:tcPr>
            <w:tcW w:w="576" w:type="dxa"/>
            <w:tcBorders>
              <w:left w:val="single" w:sz="4" w:space="0" w:color="auto"/>
            </w:tcBorders>
            <w:vAlign w:val="center"/>
          </w:tcPr>
          <w:p w14:paraId="364BD46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0.082</w:t>
            </w:r>
          </w:p>
        </w:tc>
        <w:tc>
          <w:tcPr>
            <w:tcW w:w="576" w:type="dxa"/>
            <w:vAlign w:val="center"/>
          </w:tcPr>
          <w:p w14:paraId="161F637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4D38422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576" w:type="dxa"/>
            <w:vAlign w:val="center"/>
          </w:tcPr>
          <w:p w14:paraId="024E64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47ED54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right w:val="single" w:sz="4" w:space="0" w:color="auto"/>
            </w:tcBorders>
            <w:vAlign w:val="center"/>
          </w:tcPr>
          <w:p w14:paraId="60C8205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left w:val="single" w:sz="4" w:space="0" w:color="auto"/>
            </w:tcBorders>
            <w:vAlign w:val="center"/>
          </w:tcPr>
          <w:p w14:paraId="788C9E0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0.17</w:t>
            </w:r>
          </w:p>
        </w:tc>
        <w:tc>
          <w:tcPr>
            <w:tcW w:w="576" w:type="dxa"/>
            <w:vAlign w:val="center"/>
          </w:tcPr>
          <w:p w14:paraId="4596CA1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44D35E2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7BD08FF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0.081</w:t>
            </w:r>
          </w:p>
        </w:tc>
        <w:tc>
          <w:tcPr>
            <w:tcW w:w="576" w:type="dxa"/>
            <w:tcBorders>
              <w:right w:val="single" w:sz="4" w:space="0" w:color="auto"/>
            </w:tcBorders>
            <w:vAlign w:val="center"/>
          </w:tcPr>
          <w:p w14:paraId="0B2F78E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0.081</w:t>
            </w:r>
          </w:p>
        </w:tc>
        <w:tc>
          <w:tcPr>
            <w:tcW w:w="576" w:type="dxa"/>
            <w:tcBorders>
              <w:left w:val="single" w:sz="4" w:space="0" w:color="auto"/>
            </w:tcBorders>
            <w:vAlign w:val="center"/>
          </w:tcPr>
          <w:p w14:paraId="373E1A1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0.17</w:t>
            </w:r>
          </w:p>
        </w:tc>
        <w:tc>
          <w:tcPr>
            <w:tcW w:w="576" w:type="dxa"/>
            <w:vAlign w:val="center"/>
          </w:tcPr>
          <w:p w14:paraId="647C054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04E43B1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42BC565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0.134</w:t>
            </w:r>
          </w:p>
        </w:tc>
        <w:tc>
          <w:tcPr>
            <w:tcW w:w="576" w:type="dxa"/>
            <w:vAlign w:val="center"/>
          </w:tcPr>
          <w:p w14:paraId="4E4A530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vAlign w:val="center"/>
          </w:tcPr>
          <w:p w14:paraId="145F14B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tcBorders>
              <w:right w:val="single" w:sz="4" w:space="0" w:color="auto"/>
            </w:tcBorders>
            <w:vAlign w:val="center"/>
          </w:tcPr>
          <w:p w14:paraId="1EA9C78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left w:val="single" w:sz="4" w:space="0" w:color="auto"/>
            </w:tcBorders>
            <w:vAlign w:val="center"/>
          </w:tcPr>
          <w:p w14:paraId="72578DB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Kurata &amp; Funazu</w:t>
            </w:r>
          </w:p>
        </w:tc>
        <w:tc>
          <w:tcPr>
            <w:tcW w:w="630" w:type="dxa"/>
            <w:vAlign w:val="center"/>
          </w:tcPr>
          <w:p w14:paraId="23E43D8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w:t>
            </w:r>
          </w:p>
        </w:tc>
        <w:tc>
          <w:tcPr>
            <w:tcW w:w="1022" w:type="dxa"/>
            <w:vAlign w:val="center"/>
          </w:tcPr>
          <w:sdt>
            <w:sdtPr>
              <w:rPr>
                <w:color w:val="000000"/>
              </w:rPr>
              <w:tag w:val="MENDELEY_CITATION_v3_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"/>
              <w:id w:val="-1369756388"/>
              <w:placeholder>
                <w:docPart w:val="B700A94C13C9464BA82929F49DFA3C29"/>
              </w:placeholder>
            </w:sdtPr>
            <w:sdtContent>
              <w:p w14:paraId="06197016" w14:textId="660450D7"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[517]</w:t>
                </w:r>
              </w:p>
            </w:sdtContent>
          </w:sdt>
        </w:tc>
      </w:tr>
      <w:tr w:rsidR="00DB5AA9" w:rsidRPr="00F55000" w14:paraId="7AAE09B1"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hideMark/>
          </w:tcPr>
          <w:p w14:paraId="743D2010" w14:textId="77777777" w:rsidR="00DB5AA9" w:rsidRPr="00F55000" w:rsidRDefault="00DB5AA9" w:rsidP="0035708B">
            <w:pPr>
              <w:rPr>
                <w:sz w:val="16"/>
                <w:szCs w:val="16"/>
              </w:rPr>
            </w:pPr>
            <w:r w:rsidRPr="00F55000">
              <w:rPr>
                <w:sz w:val="16"/>
                <w:szCs w:val="16"/>
              </w:rPr>
              <w:t>10</w:t>
            </w:r>
          </w:p>
        </w:tc>
        <w:tc>
          <w:tcPr>
            <w:tcW w:w="236" w:type="dxa"/>
            <w:tcBorders>
              <w:left w:val="single" w:sz="4" w:space="0" w:color="auto"/>
              <w:bottom w:val="single" w:sz="4" w:space="0" w:color="auto"/>
              <w:right w:val="single" w:sz="4" w:space="0" w:color="auto"/>
            </w:tcBorders>
            <w:vAlign w:val="center"/>
          </w:tcPr>
          <w:p w14:paraId="6803E8D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g</w:t>
            </w:r>
          </w:p>
        </w:tc>
        <w:tc>
          <w:tcPr>
            <w:tcW w:w="576" w:type="dxa"/>
            <w:tcBorders>
              <w:left w:val="single" w:sz="4" w:space="0" w:color="auto"/>
              <w:bottom w:val="single" w:sz="4" w:space="0" w:color="auto"/>
            </w:tcBorders>
            <w:vAlign w:val="center"/>
            <w:hideMark/>
          </w:tcPr>
          <w:p w14:paraId="79096B9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7971124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01D76EB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40BFF1A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1EA62E7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85289A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41781C3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7DE710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right w:val="single" w:sz="4" w:space="0" w:color="auto"/>
            </w:tcBorders>
            <w:vAlign w:val="center"/>
            <w:hideMark/>
          </w:tcPr>
          <w:p w14:paraId="6BA3ACC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0127485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5B0E545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4FC5A22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6BEAD21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right w:val="single" w:sz="4" w:space="0" w:color="auto"/>
            </w:tcBorders>
            <w:vAlign w:val="center"/>
            <w:hideMark/>
          </w:tcPr>
          <w:p w14:paraId="2A89A17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7D04B44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3885551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6E1E6E3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077B89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tcBorders>
            <w:vAlign w:val="center"/>
            <w:hideMark/>
          </w:tcPr>
          <w:p w14:paraId="2BF0FC6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570EDD5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0.10</w:t>
            </w:r>
          </w:p>
        </w:tc>
        <w:tc>
          <w:tcPr>
            <w:tcW w:w="576" w:type="dxa"/>
            <w:tcBorders>
              <w:bottom w:val="single" w:sz="4" w:space="0" w:color="auto"/>
              <w:right w:val="single" w:sz="4" w:space="0" w:color="auto"/>
            </w:tcBorders>
            <w:vAlign w:val="center"/>
            <w:hideMark/>
          </w:tcPr>
          <w:p w14:paraId="704D629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hideMark/>
          </w:tcPr>
          <w:p w14:paraId="63CBFF7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Stolwijk &amp; Hardy</w:t>
            </w:r>
          </w:p>
        </w:tc>
        <w:tc>
          <w:tcPr>
            <w:tcW w:w="630" w:type="dxa"/>
            <w:tcBorders>
              <w:bottom w:val="single" w:sz="4" w:space="0" w:color="auto"/>
            </w:tcBorders>
            <w:vAlign w:val="center"/>
            <w:hideMark/>
          </w:tcPr>
          <w:p w14:paraId="241546F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1966</w:t>
            </w:r>
          </w:p>
        </w:tc>
        <w:tc>
          <w:tcPr>
            <w:tcW w:w="1022" w:type="dxa"/>
            <w:tcBorders>
              <w:bottom w:val="single" w:sz="4" w:space="0" w:color="auto"/>
            </w:tcBorders>
            <w:vAlign w:val="center"/>
          </w:tcPr>
          <w:sdt>
            <w:sdtPr>
              <w:rPr>
                <w:color w:val="000000"/>
              </w:rPr>
              <w:tag w:val="MENDELEY_CITATION_v3_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"/>
              <w:id w:val="396474223"/>
              <w:placeholder>
                <w:docPart w:val="B700A94C13C9464BA82929F49DFA3C29"/>
              </w:placeholder>
            </w:sdtPr>
            <w:sdtContent>
              <w:p w14:paraId="5F4F2793" w14:textId="4F42AD7A"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[522]</w:t>
                </w:r>
              </w:p>
            </w:sdtContent>
          </w:sdt>
        </w:tc>
      </w:tr>
      <w:tr w:rsidR="00DB5AA9" w:rsidRPr="00F55000" w14:paraId="62857E65"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right w:val="single" w:sz="4" w:space="0" w:color="auto"/>
            </w:tcBorders>
            <w:vAlign w:val="center"/>
            <w:hideMark/>
          </w:tcPr>
          <w:p w14:paraId="01B6BC99" w14:textId="77777777" w:rsidR="00DB5AA9" w:rsidRPr="00F55000" w:rsidRDefault="00DB5AA9" w:rsidP="0035708B">
            <w:pPr>
              <w:rPr>
                <w:sz w:val="16"/>
                <w:szCs w:val="16"/>
              </w:rPr>
            </w:pPr>
            <w:r w:rsidRPr="00F55000">
              <w:rPr>
                <w:sz w:val="16"/>
                <w:szCs w:val="16"/>
              </w:rPr>
              <w:t>11</w:t>
            </w:r>
          </w:p>
        </w:tc>
        <w:tc>
          <w:tcPr>
            <w:tcW w:w="236" w:type="dxa"/>
            <w:tcBorders>
              <w:top w:val="single" w:sz="4" w:space="0" w:color="auto"/>
              <w:left w:val="single" w:sz="4" w:space="0" w:color="auto"/>
              <w:bottom w:val="single" w:sz="4" w:space="0" w:color="auto"/>
              <w:right w:val="single" w:sz="4" w:space="0" w:color="auto"/>
            </w:tcBorders>
            <w:vAlign w:val="center"/>
          </w:tcPr>
          <w:p w14:paraId="5A6DDF4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441B41E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576" w:type="dxa"/>
            <w:tcBorders>
              <w:top w:val="single" w:sz="4" w:space="0" w:color="auto"/>
              <w:bottom w:val="single" w:sz="4" w:space="0" w:color="auto"/>
            </w:tcBorders>
            <w:vAlign w:val="center"/>
            <w:hideMark/>
          </w:tcPr>
          <w:p w14:paraId="64BCBBC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right w:val="single" w:sz="4" w:space="0" w:color="auto"/>
            </w:tcBorders>
            <w:vAlign w:val="center"/>
            <w:hideMark/>
          </w:tcPr>
          <w:p w14:paraId="377C67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3AAA117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bottom w:val="single" w:sz="4" w:space="0" w:color="auto"/>
            </w:tcBorders>
            <w:vAlign w:val="center"/>
            <w:hideMark/>
          </w:tcPr>
          <w:p w14:paraId="296D875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69EE889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bottom w:val="single" w:sz="4" w:space="0" w:color="auto"/>
            </w:tcBorders>
            <w:vAlign w:val="center"/>
            <w:hideMark/>
          </w:tcPr>
          <w:p w14:paraId="7EFA33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5F85C77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bottom w:val="single" w:sz="4" w:space="0" w:color="auto"/>
              <w:right w:val="single" w:sz="4" w:space="0" w:color="auto"/>
            </w:tcBorders>
            <w:vAlign w:val="center"/>
            <w:hideMark/>
          </w:tcPr>
          <w:p w14:paraId="2A42651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502C1D8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tcBorders>
              <w:top w:val="single" w:sz="4" w:space="0" w:color="auto"/>
              <w:bottom w:val="single" w:sz="4" w:space="0" w:color="auto"/>
            </w:tcBorders>
            <w:vAlign w:val="center"/>
            <w:hideMark/>
          </w:tcPr>
          <w:p w14:paraId="4775DAE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tcBorders>
              <w:top w:val="single" w:sz="4" w:space="0" w:color="auto"/>
              <w:bottom w:val="single" w:sz="4" w:space="0" w:color="auto"/>
            </w:tcBorders>
            <w:vAlign w:val="center"/>
            <w:hideMark/>
          </w:tcPr>
          <w:p w14:paraId="0F5A8F8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tcBorders>
              <w:top w:val="single" w:sz="4" w:space="0" w:color="auto"/>
              <w:bottom w:val="single" w:sz="4" w:space="0" w:color="auto"/>
            </w:tcBorders>
            <w:vAlign w:val="center"/>
            <w:hideMark/>
          </w:tcPr>
          <w:p w14:paraId="2040105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0.09</w:t>
            </w:r>
          </w:p>
        </w:tc>
        <w:tc>
          <w:tcPr>
            <w:tcW w:w="576" w:type="dxa"/>
            <w:tcBorders>
              <w:top w:val="single" w:sz="4" w:space="0" w:color="auto"/>
              <w:bottom w:val="single" w:sz="4" w:space="0" w:color="auto"/>
              <w:right w:val="single" w:sz="4" w:space="0" w:color="auto"/>
            </w:tcBorders>
            <w:vAlign w:val="center"/>
            <w:hideMark/>
          </w:tcPr>
          <w:p w14:paraId="54BEE61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3A8CF09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0.19</w:t>
            </w:r>
          </w:p>
        </w:tc>
        <w:tc>
          <w:tcPr>
            <w:tcW w:w="576" w:type="dxa"/>
            <w:tcBorders>
              <w:top w:val="single" w:sz="4" w:space="0" w:color="auto"/>
              <w:bottom w:val="single" w:sz="4" w:space="0" w:color="auto"/>
            </w:tcBorders>
            <w:vAlign w:val="center"/>
            <w:hideMark/>
          </w:tcPr>
          <w:p w14:paraId="4BF5D51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30FC110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0.13</w:t>
            </w:r>
          </w:p>
        </w:tc>
        <w:tc>
          <w:tcPr>
            <w:tcW w:w="576" w:type="dxa"/>
            <w:tcBorders>
              <w:top w:val="single" w:sz="4" w:space="0" w:color="auto"/>
              <w:bottom w:val="single" w:sz="4" w:space="0" w:color="auto"/>
            </w:tcBorders>
            <w:vAlign w:val="center"/>
            <w:hideMark/>
          </w:tcPr>
          <w:p w14:paraId="5126B65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552E6EF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7164C70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bottom w:val="single" w:sz="4" w:space="0" w:color="auto"/>
              <w:right w:val="single" w:sz="4" w:space="0" w:color="auto"/>
            </w:tcBorders>
            <w:vAlign w:val="center"/>
            <w:hideMark/>
          </w:tcPr>
          <w:p w14:paraId="4233958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bottom w:val="single" w:sz="4" w:space="0" w:color="auto"/>
            </w:tcBorders>
            <w:vAlign w:val="center"/>
            <w:hideMark/>
          </w:tcPr>
          <w:p w14:paraId="4FFC5B5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bottom w:val="single" w:sz="4" w:space="0" w:color="auto"/>
            </w:tcBorders>
            <w:vAlign w:val="center"/>
            <w:hideMark/>
          </w:tcPr>
          <w:p w14:paraId="1F49301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bottom w:val="single" w:sz="4" w:space="0" w:color="auto"/>
            </w:tcBorders>
            <w:vAlign w:val="center"/>
          </w:tcPr>
          <w:sdt>
            <w:sdtPr>
              <w:rPr>
                <w:color w:val="000000"/>
              </w:rPr>
              <w:tag w:val="MENDELEY_CITATION_v3_eyJjaXRhdGlvbklEIjoiTUVOREVMRVlfQ0lUQVRJT05fMDc3ZDcyZjktMmYwOC00NDQ3LWIwY2MtYTA4ZWJjNzIwYjdj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009053148"/>
              <w:placeholder>
                <w:docPart w:val="B700A94C13C9464BA82929F49DFA3C29"/>
              </w:placeholder>
            </w:sdtPr>
            <w:sdtContent>
              <w:p w14:paraId="55C786A6" w14:textId="7B1D0ECB"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618D8229"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right w:val="single" w:sz="4" w:space="0" w:color="auto"/>
            </w:tcBorders>
            <w:vAlign w:val="center"/>
            <w:hideMark/>
          </w:tcPr>
          <w:p w14:paraId="364EDEB4" w14:textId="77777777" w:rsidR="00DB5AA9" w:rsidRPr="00F55000" w:rsidRDefault="00DB5AA9" w:rsidP="0035708B">
            <w:pPr>
              <w:rPr>
                <w:sz w:val="16"/>
                <w:szCs w:val="16"/>
              </w:rPr>
            </w:pPr>
            <w:r w:rsidRPr="00F55000">
              <w:rPr>
                <w:sz w:val="16"/>
                <w:szCs w:val="16"/>
              </w:rPr>
              <w:t>12</w:t>
            </w:r>
          </w:p>
        </w:tc>
        <w:tc>
          <w:tcPr>
            <w:tcW w:w="236" w:type="dxa"/>
            <w:tcBorders>
              <w:top w:val="single" w:sz="4" w:space="0" w:color="auto"/>
              <w:left w:val="single" w:sz="4" w:space="0" w:color="auto"/>
              <w:bottom w:val="single" w:sz="4" w:space="0" w:color="auto"/>
              <w:right w:val="single" w:sz="4" w:space="0" w:color="auto"/>
            </w:tcBorders>
            <w:vAlign w:val="center"/>
          </w:tcPr>
          <w:p w14:paraId="0AC27C7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622D388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bottom w:val="single" w:sz="4" w:space="0" w:color="auto"/>
            </w:tcBorders>
            <w:vAlign w:val="center"/>
            <w:hideMark/>
          </w:tcPr>
          <w:p w14:paraId="7BDF147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right w:val="single" w:sz="4" w:space="0" w:color="auto"/>
            </w:tcBorders>
            <w:vAlign w:val="center"/>
            <w:hideMark/>
          </w:tcPr>
          <w:p w14:paraId="38222A7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11C431D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2EB7A17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55BA7F8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0.14</w:t>
            </w:r>
          </w:p>
        </w:tc>
        <w:tc>
          <w:tcPr>
            <w:tcW w:w="576" w:type="dxa"/>
            <w:tcBorders>
              <w:top w:val="single" w:sz="4" w:space="0" w:color="auto"/>
              <w:bottom w:val="single" w:sz="4" w:space="0" w:color="auto"/>
            </w:tcBorders>
            <w:vAlign w:val="center"/>
            <w:hideMark/>
          </w:tcPr>
          <w:p w14:paraId="6EBBB02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31613B3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0.05</w:t>
            </w:r>
          </w:p>
        </w:tc>
        <w:tc>
          <w:tcPr>
            <w:tcW w:w="576" w:type="dxa"/>
            <w:tcBorders>
              <w:top w:val="single" w:sz="4" w:space="0" w:color="auto"/>
              <w:bottom w:val="single" w:sz="4" w:space="0" w:color="auto"/>
              <w:right w:val="single" w:sz="4" w:space="0" w:color="auto"/>
            </w:tcBorders>
            <w:vAlign w:val="center"/>
            <w:hideMark/>
          </w:tcPr>
          <w:p w14:paraId="7A2929E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1839985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bottom w:val="single" w:sz="4" w:space="0" w:color="auto"/>
            </w:tcBorders>
            <w:vAlign w:val="center"/>
            <w:hideMark/>
          </w:tcPr>
          <w:p w14:paraId="7495897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bottom w:val="single" w:sz="4" w:space="0" w:color="auto"/>
            </w:tcBorders>
            <w:vAlign w:val="center"/>
            <w:hideMark/>
          </w:tcPr>
          <w:p w14:paraId="27C8320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bottom w:val="single" w:sz="4" w:space="0" w:color="auto"/>
            </w:tcBorders>
            <w:vAlign w:val="center"/>
            <w:hideMark/>
          </w:tcPr>
          <w:p w14:paraId="4633808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bottom w:val="single" w:sz="4" w:space="0" w:color="auto"/>
              <w:right w:val="single" w:sz="4" w:space="0" w:color="auto"/>
            </w:tcBorders>
            <w:vAlign w:val="center"/>
            <w:hideMark/>
          </w:tcPr>
          <w:p w14:paraId="40D6499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77D195B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0.095</w:t>
            </w:r>
          </w:p>
        </w:tc>
        <w:tc>
          <w:tcPr>
            <w:tcW w:w="576" w:type="dxa"/>
            <w:tcBorders>
              <w:top w:val="single" w:sz="4" w:space="0" w:color="auto"/>
              <w:bottom w:val="single" w:sz="4" w:space="0" w:color="auto"/>
            </w:tcBorders>
            <w:vAlign w:val="center"/>
            <w:hideMark/>
          </w:tcPr>
          <w:p w14:paraId="3E6A983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0.095</w:t>
            </w:r>
          </w:p>
        </w:tc>
        <w:tc>
          <w:tcPr>
            <w:tcW w:w="576" w:type="dxa"/>
            <w:tcBorders>
              <w:top w:val="single" w:sz="4" w:space="0" w:color="auto"/>
              <w:bottom w:val="single" w:sz="4" w:space="0" w:color="auto"/>
            </w:tcBorders>
            <w:vAlign w:val="center"/>
            <w:hideMark/>
          </w:tcPr>
          <w:p w14:paraId="1A5DD83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0.065</w:t>
            </w:r>
          </w:p>
        </w:tc>
        <w:tc>
          <w:tcPr>
            <w:tcW w:w="576" w:type="dxa"/>
            <w:tcBorders>
              <w:top w:val="single" w:sz="4" w:space="0" w:color="auto"/>
              <w:bottom w:val="single" w:sz="4" w:space="0" w:color="auto"/>
            </w:tcBorders>
            <w:vAlign w:val="center"/>
            <w:hideMark/>
          </w:tcPr>
          <w:p w14:paraId="1D3D4B5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0.065</w:t>
            </w:r>
          </w:p>
        </w:tc>
        <w:tc>
          <w:tcPr>
            <w:tcW w:w="576" w:type="dxa"/>
            <w:tcBorders>
              <w:top w:val="single" w:sz="4" w:space="0" w:color="auto"/>
              <w:bottom w:val="single" w:sz="4" w:space="0" w:color="auto"/>
            </w:tcBorders>
            <w:vAlign w:val="center"/>
            <w:hideMark/>
          </w:tcPr>
          <w:p w14:paraId="5381194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1AB2D71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top w:val="single" w:sz="4" w:space="0" w:color="auto"/>
              <w:bottom w:val="single" w:sz="4" w:space="0" w:color="auto"/>
              <w:right w:val="single" w:sz="4" w:space="0" w:color="auto"/>
            </w:tcBorders>
            <w:vAlign w:val="center"/>
            <w:hideMark/>
          </w:tcPr>
          <w:p w14:paraId="59F2463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top w:val="single" w:sz="4" w:space="0" w:color="auto"/>
              <w:left w:val="single" w:sz="4" w:space="0" w:color="auto"/>
              <w:bottom w:val="single" w:sz="4" w:space="0" w:color="auto"/>
            </w:tcBorders>
            <w:vAlign w:val="center"/>
            <w:hideMark/>
          </w:tcPr>
          <w:p w14:paraId="3E7CF3B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Hardy &amp; DuBois</w:t>
            </w:r>
          </w:p>
        </w:tc>
        <w:tc>
          <w:tcPr>
            <w:tcW w:w="630" w:type="dxa"/>
            <w:tcBorders>
              <w:top w:val="single" w:sz="4" w:space="0" w:color="auto"/>
              <w:bottom w:val="single" w:sz="4" w:space="0" w:color="auto"/>
            </w:tcBorders>
            <w:vAlign w:val="center"/>
            <w:hideMark/>
          </w:tcPr>
          <w:p w14:paraId="5A9F7D3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1938</w:t>
            </w:r>
          </w:p>
        </w:tc>
        <w:tc>
          <w:tcPr>
            <w:tcW w:w="1022" w:type="dxa"/>
            <w:tcBorders>
              <w:top w:val="single" w:sz="4" w:space="0" w:color="auto"/>
              <w:bottom w:val="single" w:sz="4" w:space="0" w:color="auto"/>
            </w:tcBorders>
            <w:vAlign w:val="center"/>
          </w:tcPr>
          <w:sdt>
            <w:sdtPr>
              <w:rPr>
                <w:color w:val="000000"/>
              </w:rPr>
              <w:tag w:val="MENDELEY_CITATION_v3_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"/>
              <w:id w:val="736442982"/>
              <w:placeholder>
                <w:docPart w:val="B700A94C13C9464BA82929F49DFA3C29"/>
              </w:placeholder>
            </w:sdtPr>
            <w:sdtContent>
              <w:p w14:paraId="3394765C" w14:textId="200AE0DE"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u w:val="single"/>
                  </w:rPr>
                </w:pPr>
                <w:r w:rsidRPr="00B43409">
                  <w:rPr>
                    <w:color w:val="000000"/>
                  </w:rPr>
                  <w:t>[112]</w:t>
                </w:r>
              </w:p>
            </w:sdtContent>
          </w:sdt>
        </w:tc>
      </w:tr>
      <w:tr w:rsidR="00DB5AA9" w:rsidRPr="00F55000" w14:paraId="00B01EB7"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right w:val="single" w:sz="4" w:space="0" w:color="auto"/>
            </w:tcBorders>
            <w:vAlign w:val="center"/>
          </w:tcPr>
          <w:p w14:paraId="0CC73777" w14:textId="77777777" w:rsidR="00DB5AA9" w:rsidRPr="00F55000" w:rsidRDefault="00DB5AA9" w:rsidP="0035708B">
            <w:pPr>
              <w:rPr>
                <w:sz w:val="16"/>
                <w:szCs w:val="16"/>
              </w:rPr>
            </w:pPr>
            <w:r w:rsidRPr="00F55000">
              <w:rPr>
                <w:sz w:val="16"/>
                <w:szCs w:val="16"/>
              </w:rPr>
              <w:t>13</w:t>
            </w:r>
          </w:p>
        </w:tc>
        <w:tc>
          <w:tcPr>
            <w:tcW w:w="236" w:type="dxa"/>
            <w:tcBorders>
              <w:top w:val="single" w:sz="4" w:space="0" w:color="auto"/>
              <w:left w:val="single" w:sz="4" w:space="0" w:color="auto"/>
              <w:bottom w:val="single" w:sz="4" w:space="0" w:color="auto"/>
              <w:right w:val="single" w:sz="4" w:space="0" w:color="auto"/>
            </w:tcBorders>
            <w:vAlign w:val="center"/>
          </w:tcPr>
          <w:p w14:paraId="51A7782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tcPr>
          <w:p w14:paraId="20B9DC5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1546E3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right w:val="single" w:sz="4" w:space="0" w:color="auto"/>
            </w:tcBorders>
            <w:vAlign w:val="center"/>
          </w:tcPr>
          <w:p w14:paraId="5B9EF6E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left w:val="single" w:sz="4" w:space="0" w:color="auto"/>
              <w:bottom w:val="single" w:sz="4" w:space="0" w:color="auto"/>
            </w:tcBorders>
            <w:vAlign w:val="center"/>
          </w:tcPr>
          <w:p w14:paraId="7C7319A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66AB8FF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tcPr>
          <w:p w14:paraId="5EBF5D2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6E64D01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tcPr>
          <w:p w14:paraId="2C90146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right w:val="single" w:sz="4" w:space="0" w:color="auto"/>
            </w:tcBorders>
            <w:vAlign w:val="center"/>
          </w:tcPr>
          <w:p w14:paraId="2E6B1AE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tcPr>
          <w:p w14:paraId="5DF4740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0612FA8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2122787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4274627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right w:val="single" w:sz="4" w:space="0" w:color="auto"/>
            </w:tcBorders>
            <w:vAlign w:val="center"/>
          </w:tcPr>
          <w:p w14:paraId="05F35FE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tcPr>
          <w:p w14:paraId="64B207F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1CE9592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tcPr>
          <w:p w14:paraId="3F0E7B7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tcBorders>
            <w:vAlign w:val="center"/>
          </w:tcPr>
          <w:p w14:paraId="29A2A06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tcPr>
          <w:p w14:paraId="5EF1518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tcPr>
          <w:p w14:paraId="6AD1C9B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0.077</w:t>
            </w:r>
          </w:p>
        </w:tc>
        <w:tc>
          <w:tcPr>
            <w:tcW w:w="576" w:type="dxa"/>
            <w:tcBorders>
              <w:top w:val="single" w:sz="4" w:space="0" w:color="auto"/>
              <w:bottom w:val="single" w:sz="4" w:space="0" w:color="auto"/>
              <w:right w:val="single" w:sz="4" w:space="0" w:color="auto"/>
            </w:tcBorders>
            <w:vAlign w:val="center"/>
          </w:tcPr>
          <w:p w14:paraId="0D3530C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bottom w:val="single" w:sz="4" w:space="0" w:color="auto"/>
            </w:tcBorders>
            <w:vAlign w:val="center"/>
          </w:tcPr>
          <w:p w14:paraId="4C9C0E8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Nielsen</w:t>
            </w:r>
          </w:p>
        </w:tc>
        <w:tc>
          <w:tcPr>
            <w:tcW w:w="630" w:type="dxa"/>
            <w:tcBorders>
              <w:top w:val="single" w:sz="4" w:space="0" w:color="auto"/>
              <w:bottom w:val="single" w:sz="4" w:space="0" w:color="auto"/>
            </w:tcBorders>
            <w:vAlign w:val="center"/>
          </w:tcPr>
          <w:p w14:paraId="19E6A757"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1984</w:t>
            </w:r>
          </w:p>
        </w:tc>
        <w:tc>
          <w:tcPr>
            <w:tcW w:w="1022" w:type="dxa"/>
            <w:tcBorders>
              <w:top w:val="single" w:sz="4" w:space="0" w:color="auto"/>
              <w:bottom w:val="single" w:sz="4" w:space="0" w:color="auto"/>
            </w:tcBorders>
            <w:vAlign w:val="center"/>
          </w:tcPr>
          <w:sdt>
            <w:sdtPr>
              <w:rPr>
                <w:color w:val="000000"/>
              </w:rPr>
              <w:tag w:val="MENDELEY_CITATION_v3_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"/>
              <w:id w:val="1741598333"/>
              <w:placeholder>
                <w:docPart w:val="B700A94C13C9464BA82929F49DFA3C29"/>
              </w:placeholder>
            </w:sdtPr>
            <w:sdtContent>
              <w:p w14:paraId="40AE7AF7" w14:textId="5328219D"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[523]</w:t>
                </w:r>
              </w:p>
            </w:sdtContent>
          </w:sdt>
        </w:tc>
      </w:tr>
      <w:tr w:rsidR="00DB5AA9" w:rsidRPr="00F55000" w14:paraId="6FE41E8F"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right w:val="single" w:sz="4" w:space="0" w:color="auto"/>
            </w:tcBorders>
            <w:vAlign w:val="center"/>
            <w:hideMark/>
          </w:tcPr>
          <w:p w14:paraId="7F9702CE" w14:textId="77777777" w:rsidR="00DB5AA9" w:rsidRPr="00F55000" w:rsidRDefault="00DB5AA9" w:rsidP="0035708B">
            <w:pPr>
              <w:rPr>
                <w:sz w:val="16"/>
                <w:szCs w:val="16"/>
              </w:rPr>
            </w:pPr>
            <w:r w:rsidRPr="00F55000">
              <w:rPr>
                <w:sz w:val="16"/>
                <w:szCs w:val="16"/>
              </w:rPr>
              <w:t>14</w:t>
            </w:r>
          </w:p>
        </w:tc>
        <w:tc>
          <w:tcPr>
            <w:tcW w:w="236" w:type="dxa"/>
            <w:tcBorders>
              <w:top w:val="single" w:sz="4" w:space="0" w:color="auto"/>
              <w:left w:val="single" w:sz="4" w:space="0" w:color="auto"/>
              <w:bottom w:val="single" w:sz="4" w:space="0" w:color="auto"/>
              <w:right w:val="single" w:sz="4" w:space="0" w:color="auto"/>
            </w:tcBorders>
            <w:vAlign w:val="center"/>
          </w:tcPr>
          <w:p w14:paraId="5F539F1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260BC75F"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2CEC44F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right w:val="single" w:sz="4" w:space="0" w:color="auto"/>
            </w:tcBorders>
            <w:vAlign w:val="center"/>
            <w:hideMark/>
          </w:tcPr>
          <w:p w14:paraId="7F1E1C6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left w:val="single" w:sz="4" w:space="0" w:color="auto"/>
              <w:bottom w:val="single" w:sz="4" w:space="0" w:color="auto"/>
            </w:tcBorders>
            <w:vAlign w:val="center"/>
            <w:hideMark/>
          </w:tcPr>
          <w:p w14:paraId="4133A9F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760CB5A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60A1E61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3E03F3B7"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38A98FA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right w:val="single" w:sz="4" w:space="0" w:color="auto"/>
            </w:tcBorders>
            <w:vAlign w:val="center"/>
            <w:hideMark/>
          </w:tcPr>
          <w:p w14:paraId="5BF87073"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64FEDED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20B8C47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6B56C11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7A3A1C0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 (r)</w:t>
            </w:r>
          </w:p>
        </w:tc>
        <w:tc>
          <w:tcPr>
            <w:tcW w:w="576" w:type="dxa"/>
            <w:tcBorders>
              <w:top w:val="single" w:sz="4" w:space="0" w:color="auto"/>
              <w:bottom w:val="single" w:sz="4" w:space="0" w:color="auto"/>
              <w:right w:val="single" w:sz="4" w:space="0" w:color="auto"/>
            </w:tcBorders>
            <w:vAlign w:val="center"/>
            <w:hideMark/>
          </w:tcPr>
          <w:p w14:paraId="2251BA1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left w:val="single" w:sz="4" w:space="0" w:color="auto"/>
              <w:bottom w:val="single" w:sz="4" w:space="0" w:color="auto"/>
            </w:tcBorders>
            <w:vAlign w:val="center"/>
            <w:hideMark/>
          </w:tcPr>
          <w:p w14:paraId="345DE3B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 (r)</w:t>
            </w:r>
          </w:p>
        </w:tc>
        <w:tc>
          <w:tcPr>
            <w:tcW w:w="576" w:type="dxa"/>
            <w:tcBorders>
              <w:top w:val="single" w:sz="4" w:space="0" w:color="auto"/>
              <w:bottom w:val="single" w:sz="4" w:space="0" w:color="auto"/>
            </w:tcBorders>
            <w:vAlign w:val="center"/>
            <w:hideMark/>
          </w:tcPr>
          <w:p w14:paraId="10F4F27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2007828C"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5B28063B"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tcBorders>
            <w:vAlign w:val="center"/>
            <w:hideMark/>
          </w:tcPr>
          <w:p w14:paraId="2983E95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top w:val="single" w:sz="4" w:space="0" w:color="auto"/>
              <w:bottom w:val="single" w:sz="4" w:space="0" w:color="auto"/>
            </w:tcBorders>
            <w:vAlign w:val="center"/>
            <w:hideMark/>
          </w:tcPr>
          <w:p w14:paraId="449A80C6"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0.071</w:t>
            </w:r>
          </w:p>
        </w:tc>
        <w:tc>
          <w:tcPr>
            <w:tcW w:w="576" w:type="dxa"/>
            <w:tcBorders>
              <w:top w:val="single" w:sz="4" w:space="0" w:color="auto"/>
              <w:bottom w:val="single" w:sz="4" w:space="0" w:color="auto"/>
              <w:right w:val="single" w:sz="4" w:space="0" w:color="auto"/>
            </w:tcBorders>
            <w:vAlign w:val="center"/>
            <w:hideMark/>
          </w:tcPr>
          <w:p w14:paraId="764AF62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top w:val="single" w:sz="4" w:space="0" w:color="auto"/>
              <w:left w:val="single" w:sz="4" w:space="0" w:color="auto"/>
              <w:bottom w:val="single" w:sz="4" w:space="0" w:color="auto"/>
            </w:tcBorders>
            <w:vAlign w:val="center"/>
            <w:hideMark/>
          </w:tcPr>
          <w:p w14:paraId="34D3432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Olesen +</w:t>
            </w:r>
          </w:p>
        </w:tc>
        <w:tc>
          <w:tcPr>
            <w:tcW w:w="630" w:type="dxa"/>
            <w:tcBorders>
              <w:top w:val="single" w:sz="4" w:space="0" w:color="auto"/>
              <w:bottom w:val="single" w:sz="4" w:space="0" w:color="auto"/>
            </w:tcBorders>
            <w:vAlign w:val="center"/>
            <w:hideMark/>
          </w:tcPr>
          <w:p w14:paraId="27C37C7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1992</w:t>
            </w:r>
          </w:p>
        </w:tc>
        <w:tc>
          <w:tcPr>
            <w:tcW w:w="1022" w:type="dxa"/>
            <w:tcBorders>
              <w:top w:val="single" w:sz="4" w:space="0" w:color="auto"/>
              <w:bottom w:val="single" w:sz="4" w:space="0" w:color="auto"/>
            </w:tcBorders>
            <w:vAlign w:val="center"/>
          </w:tcPr>
          <w:sdt>
            <w:sdtPr>
              <w:rPr>
                <w:color w:val="000000"/>
              </w:rPr>
              <w:tag w:val="MENDELEY_CITATION_v3_eyJjaXRhdGlvbklEIjoiTUVOREVMRVlfQ0lUQVRJT05fODE1YjI0OTktNjI2Zi00NDM1LWI1NzQtN2E2MTQyOGJkYTQyIiwicHJvcGVydGllcyI6eyJub3RlSW5kZXgiOjB9LCJpc0VkaXRlZCI6ZmFsc2UsIm1hbnVhbE92ZXJyaWRlIjp7ImNpdGVwcm9jVGV4dCI6IlszLDUwOV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"/>
              <w:id w:val="17821242"/>
              <w:placeholder>
                <w:docPart w:val="B700A94C13C9464BA82929F49DFA3C29"/>
              </w:placeholder>
            </w:sdtPr>
            <w:sdtContent>
              <w:p w14:paraId="1189D604" w14:textId="3C303187"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[3,509]</w:t>
                </w:r>
              </w:p>
            </w:sdtContent>
          </w:sdt>
        </w:tc>
      </w:tr>
      <w:tr w:rsidR="00DB5AA9" w:rsidRPr="00F55000" w14:paraId="4E709286" w14:textId="77777777" w:rsidTr="0035708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1D753C40" w14:textId="77777777" w:rsidR="00DB5AA9" w:rsidRPr="00F55000" w:rsidRDefault="00DB5AA9" w:rsidP="0035708B">
            <w:pPr>
              <w:rPr>
                <w:sz w:val="16"/>
                <w:szCs w:val="16"/>
              </w:rPr>
            </w:pPr>
            <w:r w:rsidRPr="00F55000">
              <w:rPr>
                <w:sz w:val="16"/>
                <w:szCs w:val="16"/>
              </w:rPr>
              <w:t>15</w:t>
            </w:r>
          </w:p>
        </w:tc>
        <w:tc>
          <w:tcPr>
            <w:tcW w:w="236" w:type="dxa"/>
            <w:tcBorders>
              <w:top w:val="single" w:sz="4" w:space="0" w:color="auto"/>
              <w:left w:val="single" w:sz="4" w:space="0" w:color="auto"/>
              <w:right w:val="single" w:sz="4" w:space="0" w:color="auto"/>
            </w:tcBorders>
            <w:vAlign w:val="center"/>
          </w:tcPr>
          <w:p w14:paraId="3595371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a</w:t>
            </w:r>
          </w:p>
        </w:tc>
        <w:tc>
          <w:tcPr>
            <w:tcW w:w="576" w:type="dxa"/>
            <w:tcBorders>
              <w:top w:val="single" w:sz="4" w:space="0" w:color="auto"/>
              <w:left w:val="single" w:sz="4" w:space="0" w:color="auto"/>
            </w:tcBorders>
            <w:vAlign w:val="center"/>
            <w:hideMark/>
          </w:tcPr>
          <w:p w14:paraId="386F776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w:t>
            </w:r>
          </w:p>
        </w:tc>
        <w:tc>
          <w:tcPr>
            <w:tcW w:w="576" w:type="dxa"/>
            <w:tcBorders>
              <w:top w:val="single" w:sz="4" w:space="0" w:color="auto"/>
            </w:tcBorders>
            <w:vAlign w:val="center"/>
            <w:hideMark/>
          </w:tcPr>
          <w:p w14:paraId="274367A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5FED54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2EDC21F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0.035</w:t>
            </w:r>
          </w:p>
        </w:tc>
        <w:tc>
          <w:tcPr>
            <w:tcW w:w="576" w:type="dxa"/>
            <w:tcBorders>
              <w:top w:val="single" w:sz="4" w:space="0" w:color="auto"/>
            </w:tcBorders>
            <w:vAlign w:val="center"/>
            <w:hideMark/>
          </w:tcPr>
          <w:p w14:paraId="4E0F7EC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437FA32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0.025</w:t>
            </w:r>
          </w:p>
        </w:tc>
        <w:tc>
          <w:tcPr>
            <w:tcW w:w="576" w:type="dxa"/>
            <w:tcBorders>
              <w:top w:val="single" w:sz="4" w:space="0" w:color="auto"/>
            </w:tcBorders>
            <w:vAlign w:val="center"/>
            <w:hideMark/>
          </w:tcPr>
          <w:p w14:paraId="12A23F7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568C80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0.0225</w:t>
            </w:r>
          </w:p>
        </w:tc>
        <w:tc>
          <w:tcPr>
            <w:tcW w:w="576" w:type="dxa"/>
            <w:tcBorders>
              <w:top w:val="single" w:sz="4" w:space="0" w:color="auto"/>
              <w:right w:val="single" w:sz="4" w:space="0" w:color="auto"/>
            </w:tcBorders>
            <w:vAlign w:val="center"/>
            <w:hideMark/>
          </w:tcPr>
          <w:p w14:paraId="4FCFEAD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0.0225</w:t>
            </w:r>
          </w:p>
        </w:tc>
        <w:tc>
          <w:tcPr>
            <w:tcW w:w="576" w:type="dxa"/>
            <w:tcBorders>
              <w:top w:val="single" w:sz="4" w:space="0" w:color="auto"/>
              <w:left w:val="single" w:sz="4" w:space="0" w:color="auto"/>
            </w:tcBorders>
            <w:vAlign w:val="center"/>
            <w:hideMark/>
          </w:tcPr>
          <w:p w14:paraId="76725DE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0.18</w:t>
            </w:r>
          </w:p>
        </w:tc>
        <w:tc>
          <w:tcPr>
            <w:tcW w:w="576" w:type="dxa"/>
            <w:tcBorders>
              <w:top w:val="single" w:sz="4" w:space="0" w:color="auto"/>
            </w:tcBorders>
            <w:vAlign w:val="center"/>
            <w:hideMark/>
          </w:tcPr>
          <w:p w14:paraId="1C8A430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0.20</w:t>
            </w:r>
          </w:p>
        </w:tc>
        <w:tc>
          <w:tcPr>
            <w:tcW w:w="576" w:type="dxa"/>
            <w:tcBorders>
              <w:top w:val="single" w:sz="4" w:space="0" w:color="auto"/>
            </w:tcBorders>
            <w:vAlign w:val="center"/>
            <w:hideMark/>
          </w:tcPr>
          <w:p w14:paraId="7F3A868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03472C0E"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right w:val="single" w:sz="4" w:space="0" w:color="auto"/>
            </w:tcBorders>
            <w:vAlign w:val="center"/>
            <w:hideMark/>
          </w:tcPr>
          <w:p w14:paraId="5C71CE4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1502842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0.1025</w:t>
            </w:r>
          </w:p>
        </w:tc>
        <w:tc>
          <w:tcPr>
            <w:tcW w:w="576" w:type="dxa"/>
            <w:tcBorders>
              <w:top w:val="single" w:sz="4" w:space="0" w:color="auto"/>
            </w:tcBorders>
            <w:vAlign w:val="center"/>
            <w:hideMark/>
          </w:tcPr>
          <w:p w14:paraId="1C94DCA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0.1025</w:t>
            </w:r>
          </w:p>
        </w:tc>
        <w:tc>
          <w:tcPr>
            <w:tcW w:w="576" w:type="dxa"/>
            <w:tcBorders>
              <w:top w:val="single" w:sz="4" w:space="0" w:color="auto"/>
            </w:tcBorders>
            <w:vAlign w:val="center"/>
            <w:hideMark/>
          </w:tcPr>
          <w:p w14:paraId="15E0EE1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tcBorders>
            <w:vAlign w:val="center"/>
            <w:hideMark/>
          </w:tcPr>
          <w:p w14:paraId="711BE8B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tcBorders>
            <w:vAlign w:val="center"/>
            <w:hideMark/>
          </w:tcPr>
          <w:p w14:paraId="56BC6D7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0.325</w:t>
            </w:r>
          </w:p>
        </w:tc>
        <w:tc>
          <w:tcPr>
            <w:tcW w:w="576" w:type="dxa"/>
            <w:tcBorders>
              <w:top w:val="single" w:sz="4" w:space="0" w:color="auto"/>
            </w:tcBorders>
            <w:vAlign w:val="center"/>
            <w:hideMark/>
          </w:tcPr>
          <w:p w14:paraId="15BFF06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0.325</w:t>
            </w:r>
          </w:p>
        </w:tc>
        <w:tc>
          <w:tcPr>
            <w:tcW w:w="576" w:type="dxa"/>
            <w:tcBorders>
              <w:top w:val="single" w:sz="4" w:space="0" w:color="auto"/>
              <w:right w:val="single" w:sz="4" w:space="0" w:color="auto"/>
            </w:tcBorders>
            <w:vAlign w:val="center"/>
            <w:hideMark/>
          </w:tcPr>
          <w:p w14:paraId="7F768385"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hideMark/>
          </w:tcPr>
          <w:p w14:paraId="00A078E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tcBorders>
            <w:vAlign w:val="center"/>
            <w:hideMark/>
          </w:tcPr>
          <w:p w14:paraId="274C26C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tcBorders>
            <w:vAlign w:val="center"/>
          </w:tcPr>
          <w:sdt>
            <w:sdtPr>
              <w:rPr>
                <w:color w:val="000000"/>
              </w:rPr>
              <w:tag w:val="MENDELEY_CITATION_v3_eyJjaXRhdGlvbklEIjoiTUVOREVMRVlfQ0lUQVRJT05fOWUzYTc0NDgtN2I3NS00MGNjLWJjMGUtMWVlZjBlYjk0Y2Q3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1258253568"/>
              <w:placeholder>
                <w:docPart w:val="B700A94C13C9464BA82929F49DFA3C29"/>
              </w:placeholder>
            </w:sdtPr>
            <w:sdtContent>
              <w:p w14:paraId="2F78F58B" w14:textId="7B8E380F"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r w:rsidR="00DB5AA9" w:rsidRPr="00F55000" w14:paraId="29B94DFB" w14:textId="77777777" w:rsidTr="0035708B">
        <w:trPr>
          <w:trHeight w:val="366"/>
        </w:trPr>
        <w:tc>
          <w:tcPr>
            <w:cnfStyle w:val="001000000000" w:firstRow="0" w:lastRow="0" w:firstColumn="1" w:lastColumn="0" w:oddVBand="0" w:evenVBand="0" w:oddHBand="0" w:evenHBand="0" w:firstRowFirstColumn="0" w:firstRowLastColumn="0" w:lastRowFirstColumn="0" w:lastRowLastColumn="0"/>
            <w:tcW w:w="540" w:type="dxa"/>
            <w:tcBorders>
              <w:bottom w:val="single" w:sz="4" w:space="0" w:color="auto"/>
              <w:right w:val="single" w:sz="4" w:space="0" w:color="auto"/>
            </w:tcBorders>
            <w:vAlign w:val="center"/>
            <w:hideMark/>
          </w:tcPr>
          <w:p w14:paraId="4FB209A4" w14:textId="77777777" w:rsidR="00DB5AA9" w:rsidRPr="00F55000" w:rsidRDefault="00DB5AA9" w:rsidP="0035708B">
            <w:pPr>
              <w:rPr>
                <w:sz w:val="16"/>
                <w:szCs w:val="16"/>
              </w:rPr>
            </w:pPr>
            <w:r w:rsidRPr="00F55000">
              <w:rPr>
                <w:sz w:val="16"/>
                <w:szCs w:val="16"/>
              </w:rPr>
              <w:t>15</w:t>
            </w:r>
          </w:p>
        </w:tc>
        <w:tc>
          <w:tcPr>
            <w:tcW w:w="236" w:type="dxa"/>
            <w:tcBorders>
              <w:left w:val="single" w:sz="4" w:space="0" w:color="auto"/>
              <w:bottom w:val="single" w:sz="4" w:space="0" w:color="auto"/>
              <w:right w:val="single" w:sz="4" w:space="0" w:color="auto"/>
            </w:tcBorders>
            <w:vAlign w:val="center"/>
          </w:tcPr>
          <w:p w14:paraId="7C28AA6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b</w:t>
            </w:r>
          </w:p>
        </w:tc>
        <w:tc>
          <w:tcPr>
            <w:tcW w:w="576" w:type="dxa"/>
            <w:tcBorders>
              <w:left w:val="single" w:sz="4" w:space="0" w:color="auto"/>
              <w:bottom w:val="single" w:sz="4" w:space="0" w:color="auto"/>
            </w:tcBorders>
            <w:vAlign w:val="center"/>
            <w:hideMark/>
          </w:tcPr>
          <w:p w14:paraId="3F1DF26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7AE85FA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right w:val="single" w:sz="4" w:space="0" w:color="auto"/>
            </w:tcBorders>
            <w:vAlign w:val="center"/>
            <w:hideMark/>
          </w:tcPr>
          <w:p w14:paraId="3FAAA9D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left w:val="single" w:sz="4" w:space="0" w:color="auto"/>
              <w:bottom w:val="single" w:sz="4" w:space="0" w:color="auto"/>
            </w:tcBorders>
            <w:vAlign w:val="center"/>
            <w:hideMark/>
          </w:tcPr>
          <w:p w14:paraId="11436A9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625DCF04"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43DBBF5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604771B9"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2FE2A43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right w:val="single" w:sz="4" w:space="0" w:color="auto"/>
            </w:tcBorders>
            <w:vAlign w:val="center"/>
            <w:hideMark/>
          </w:tcPr>
          <w:p w14:paraId="24C3B6C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03483C2D"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0539473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016CE92A"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4A39A9D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right w:val="single" w:sz="4" w:space="0" w:color="auto"/>
            </w:tcBorders>
            <w:vAlign w:val="center"/>
            <w:hideMark/>
          </w:tcPr>
          <w:p w14:paraId="21368E6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left w:val="single" w:sz="4" w:space="0" w:color="auto"/>
              <w:bottom w:val="single" w:sz="4" w:space="0" w:color="auto"/>
            </w:tcBorders>
            <w:vAlign w:val="center"/>
            <w:hideMark/>
          </w:tcPr>
          <w:p w14:paraId="450110C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54EC9D1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14529708"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3F78B91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tcBorders>
            <w:vAlign w:val="center"/>
            <w:hideMark/>
          </w:tcPr>
          <w:p w14:paraId="15608CA2"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576" w:type="dxa"/>
            <w:tcBorders>
              <w:bottom w:val="single" w:sz="4" w:space="0" w:color="auto"/>
            </w:tcBorders>
            <w:vAlign w:val="center"/>
            <w:hideMark/>
          </w:tcPr>
          <w:p w14:paraId="33FFD2F5"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0.07</w:t>
            </w:r>
          </w:p>
        </w:tc>
        <w:tc>
          <w:tcPr>
            <w:tcW w:w="576" w:type="dxa"/>
            <w:tcBorders>
              <w:bottom w:val="single" w:sz="4" w:space="0" w:color="auto"/>
              <w:right w:val="single" w:sz="4" w:space="0" w:color="auto"/>
            </w:tcBorders>
            <w:vAlign w:val="center"/>
            <w:hideMark/>
          </w:tcPr>
          <w:p w14:paraId="784CCC01"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p>
        </w:tc>
        <w:tc>
          <w:tcPr>
            <w:tcW w:w="1134" w:type="dxa"/>
            <w:tcBorders>
              <w:left w:val="single" w:sz="4" w:space="0" w:color="auto"/>
              <w:bottom w:val="single" w:sz="4" w:space="0" w:color="auto"/>
            </w:tcBorders>
            <w:vAlign w:val="center"/>
            <w:hideMark/>
          </w:tcPr>
          <w:p w14:paraId="353B3BC0"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Mitchell &amp; Wyndham</w:t>
            </w:r>
          </w:p>
        </w:tc>
        <w:tc>
          <w:tcPr>
            <w:tcW w:w="630" w:type="dxa"/>
            <w:tcBorders>
              <w:bottom w:val="single" w:sz="4" w:space="0" w:color="auto"/>
            </w:tcBorders>
            <w:vAlign w:val="center"/>
            <w:hideMark/>
          </w:tcPr>
          <w:p w14:paraId="3C6FF21E" w14:textId="77777777" w:rsidR="00DB5AA9" w:rsidRPr="00F55000" w:rsidRDefault="00DB5AA9" w:rsidP="0035708B">
            <w:pPr>
              <w:cnfStyle w:val="000000000000" w:firstRow="0" w:lastRow="0" w:firstColumn="0" w:lastColumn="0" w:oddVBand="0" w:evenVBand="0" w:oddHBand="0" w:evenHBand="0" w:firstRowFirstColumn="0" w:firstRowLastColumn="0" w:lastRowFirstColumn="0" w:lastRowLastColumn="0"/>
              <w:rPr>
                <w:sz w:val="16"/>
                <w:szCs w:val="16"/>
              </w:rPr>
            </w:pPr>
            <w:r w:rsidRPr="00F55000">
              <w:rPr>
                <w:sz w:val="16"/>
                <w:szCs w:val="16"/>
              </w:rPr>
              <w:t>1969</w:t>
            </w:r>
          </w:p>
        </w:tc>
        <w:tc>
          <w:tcPr>
            <w:tcW w:w="1022" w:type="dxa"/>
            <w:tcBorders>
              <w:bottom w:val="single" w:sz="4" w:space="0" w:color="auto"/>
            </w:tcBorders>
            <w:vAlign w:val="center"/>
          </w:tcPr>
          <w:sdt>
            <w:sdtPr>
              <w:rPr>
                <w:color w:val="000000"/>
              </w:rPr>
              <w:tag w:val="MENDELEY_CITATION_v3_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"/>
              <w:id w:val="439958925"/>
              <w:placeholder>
                <w:docPart w:val="B700A94C13C9464BA82929F49DFA3C29"/>
              </w:placeholder>
            </w:sdtPr>
            <w:sdtContent>
              <w:p w14:paraId="2DA839AC" w14:textId="378713AE" w:rsidR="00DB5AA9" w:rsidRPr="00F55000" w:rsidRDefault="00B43409" w:rsidP="0035708B">
                <w:pPr>
                  <w:cnfStyle w:val="000000000000" w:firstRow="0" w:lastRow="0" w:firstColumn="0" w:lastColumn="0" w:oddVBand="0" w:evenVBand="0" w:oddHBand="0" w:evenHBand="0" w:firstRowFirstColumn="0" w:firstRowLastColumn="0" w:lastRowFirstColumn="0" w:lastRowLastColumn="0"/>
                  <w:rPr>
                    <w:sz w:val="16"/>
                    <w:szCs w:val="16"/>
                  </w:rPr>
                </w:pPr>
                <w:r w:rsidRPr="00B43409">
                  <w:rPr>
                    <w:color w:val="000000"/>
                  </w:rPr>
                  <w:t>[524]</w:t>
                </w:r>
              </w:p>
            </w:sdtContent>
          </w:sdt>
        </w:tc>
      </w:tr>
      <w:tr w:rsidR="00DB5AA9" w:rsidRPr="00F55000" w14:paraId="45205953" w14:textId="77777777" w:rsidTr="0035708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hideMark/>
          </w:tcPr>
          <w:p w14:paraId="44F16F80" w14:textId="77777777" w:rsidR="00DB5AA9" w:rsidRPr="00F55000" w:rsidRDefault="00DB5AA9" w:rsidP="0035708B">
            <w:pPr>
              <w:rPr>
                <w:sz w:val="16"/>
                <w:szCs w:val="16"/>
              </w:rPr>
            </w:pPr>
            <w:r w:rsidRPr="00F55000">
              <w:rPr>
                <w:sz w:val="16"/>
                <w:szCs w:val="16"/>
              </w:rPr>
              <w:t>17</w:t>
            </w:r>
          </w:p>
        </w:tc>
        <w:tc>
          <w:tcPr>
            <w:tcW w:w="236" w:type="dxa"/>
            <w:tcBorders>
              <w:top w:val="single" w:sz="4" w:space="0" w:color="auto"/>
              <w:left w:val="single" w:sz="4" w:space="0" w:color="auto"/>
              <w:right w:val="single" w:sz="4" w:space="0" w:color="auto"/>
            </w:tcBorders>
            <w:vAlign w:val="center"/>
          </w:tcPr>
          <w:p w14:paraId="7D4F48C1"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65A70A5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0.037</w:t>
            </w:r>
          </w:p>
        </w:tc>
        <w:tc>
          <w:tcPr>
            <w:tcW w:w="576" w:type="dxa"/>
            <w:tcBorders>
              <w:top w:val="single" w:sz="4" w:space="0" w:color="auto"/>
            </w:tcBorders>
            <w:vAlign w:val="center"/>
            <w:hideMark/>
          </w:tcPr>
          <w:p w14:paraId="5444EA7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0.037</w:t>
            </w:r>
          </w:p>
        </w:tc>
        <w:tc>
          <w:tcPr>
            <w:tcW w:w="576" w:type="dxa"/>
            <w:tcBorders>
              <w:top w:val="single" w:sz="4" w:space="0" w:color="auto"/>
              <w:right w:val="single" w:sz="4" w:space="0" w:color="auto"/>
            </w:tcBorders>
            <w:vAlign w:val="center"/>
            <w:hideMark/>
          </w:tcPr>
          <w:p w14:paraId="72E309C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left w:val="single" w:sz="4" w:space="0" w:color="auto"/>
            </w:tcBorders>
            <w:vAlign w:val="center"/>
            <w:hideMark/>
          </w:tcPr>
          <w:p w14:paraId="0AFA1200"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0.075</w:t>
            </w:r>
          </w:p>
        </w:tc>
        <w:tc>
          <w:tcPr>
            <w:tcW w:w="576" w:type="dxa"/>
            <w:tcBorders>
              <w:top w:val="single" w:sz="4" w:space="0" w:color="auto"/>
            </w:tcBorders>
            <w:vAlign w:val="center"/>
            <w:hideMark/>
          </w:tcPr>
          <w:p w14:paraId="3691383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7C270C0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0.075</w:t>
            </w:r>
          </w:p>
        </w:tc>
        <w:tc>
          <w:tcPr>
            <w:tcW w:w="576" w:type="dxa"/>
            <w:tcBorders>
              <w:top w:val="single" w:sz="4" w:space="0" w:color="auto"/>
            </w:tcBorders>
            <w:vAlign w:val="center"/>
            <w:hideMark/>
          </w:tcPr>
          <w:p w14:paraId="0105EF5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576" w:type="dxa"/>
            <w:tcBorders>
              <w:top w:val="single" w:sz="4" w:space="0" w:color="auto"/>
            </w:tcBorders>
            <w:vAlign w:val="center"/>
            <w:hideMark/>
          </w:tcPr>
          <w:p w14:paraId="5BBAD0DD"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0.025</w:t>
            </w:r>
          </w:p>
        </w:tc>
        <w:tc>
          <w:tcPr>
            <w:tcW w:w="576" w:type="dxa"/>
            <w:tcBorders>
              <w:top w:val="single" w:sz="4" w:space="0" w:color="auto"/>
              <w:right w:val="single" w:sz="4" w:space="0" w:color="auto"/>
            </w:tcBorders>
            <w:vAlign w:val="center"/>
            <w:hideMark/>
          </w:tcPr>
          <w:p w14:paraId="28EB9158"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0.025</w:t>
            </w:r>
          </w:p>
        </w:tc>
        <w:tc>
          <w:tcPr>
            <w:tcW w:w="576" w:type="dxa"/>
            <w:tcBorders>
              <w:top w:val="single" w:sz="4" w:space="0" w:color="auto"/>
              <w:left w:val="single" w:sz="4" w:space="0" w:color="auto"/>
            </w:tcBorders>
            <w:vAlign w:val="center"/>
            <w:hideMark/>
          </w:tcPr>
          <w:p w14:paraId="7033A0DA"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tcBorders>
            <w:vAlign w:val="center"/>
            <w:hideMark/>
          </w:tcPr>
          <w:p w14:paraId="07AEBAC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tcBorders>
            <w:vAlign w:val="center"/>
            <w:hideMark/>
          </w:tcPr>
          <w:p w14:paraId="553FB68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tcBorders>
            <w:vAlign w:val="center"/>
            <w:hideMark/>
          </w:tcPr>
          <w:p w14:paraId="08499A1B"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right w:val="single" w:sz="4" w:space="0" w:color="auto"/>
            </w:tcBorders>
            <w:vAlign w:val="center"/>
            <w:hideMark/>
          </w:tcPr>
          <w:p w14:paraId="0AA9C17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0.0625</w:t>
            </w:r>
          </w:p>
        </w:tc>
        <w:tc>
          <w:tcPr>
            <w:tcW w:w="576" w:type="dxa"/>
            <w:tcBorders>
              <w:top w:val="single" w:sz="4" w:space="0" w:color="auto"/>
              <w:left w:val="single" w:sz="4" w:space="0" w:color="auto"/>
            </w:tcBorders>
            <w:vAlign w:val="center"/>
            <w:hideMark/>
          </w:tcPr>
          <w:p w14:paraId="2D6FF34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tcBorders>
            <w:vAlign w:val="center"/>
            <w:hideMark/>
          </w:tcPr>
          <w:p w14:paraId="3AD3FC9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tcBorders>
            <w:vAlign w:val="center"/>
            <w:hideMark/>
          </w:tcPr>
          <w:p w14:paraId="718D65D2"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tcBorders>
            <w:vAlign w:val="center"/>
            <w:hideMark/>
          </w:tcPr>
          <w:p w14:paraId="588821FF"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0.0875</w:t>
            </w:r>
          </w:p>
        </w:tc>
        <w:tc>
          <w:tcPr>
            <w:tcW w:w="576" w:type="dxa"/>
            <w:tcBorders>
              <w:top w:val="single" w:sz="4" w:space="0" w:color="auto"/>
            </w:tcBorders>
            <w:vAlign w:val="center"/>
            <w:hideMark/>
          </w:tcPr>
          <w:p w14:paraId="798D2573"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0.0305</w:t>
            </w:r>
          </w:p>
        </w:tc>
        <w:tc>
          <w:tcPr>
            <w:tcW w:w="576" w:type="dxa"/>
            <w:tcBorders>
              <w:top w:val="single" w:sz="4" w:space="0" w:color="auto"/>
            </w:tcBorders>
            <w:vAlign w:val="center"/>
            <w:hideMark/>
          </w:tcPr>
          <w:p w14:paraId="36E2A99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0.0305</w:t>
            </w:r>
          </w:p>
        </w:tc>
        <w:tc>
          <w:tcPr>
            <w:tcW w:w="576" w:type="dxa"/>
            <w:tcBorders>
              <w:top w:val="single" w:sz="4" w:space="0" w:color="auto"/>
              <w:right w:val="single" w:sz="4" w:space="0" w:color="auto"/>
            </w:tcBorders>
            <w:vAlign w:val="center"/>
            <w:hideMark/>
          </w:tcPr>
          <w:p w14:paraId="309190D4"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p>
        </w:tc>
        <w:tc>
          <w:tcPr>
            <w:tcW w:w="1134" w:type="dxa"/>
            <w:tcBorders>
              <w:top w:val="single" w:sz="4" w:space="0" w:color="auto"/>
              <w:left w:val="single" w:sz="4" w:space="0" w:color="auto"/>
            </w:tcBorders>
            <w:vAlign w:val="center"/>
            <w:hideMark/>
          </w:tcPr>
          <w:p w14:paraId="5B6DCF9C"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Ouyang</w:t>
            </w:r>
          </w:p>
        </w:tc>
        <w:tc>
          <w:tcPr>
            <w:tcW w:w="630" w:type="dxa"/>
            <w:tcBorders>
              <w:top w:val="single" w:sz="4" w:space="0" w:color="auto"/>
            </w:tcBorders>
            <w:vAlign w:val="center"/>
            <w:hideMark/>
          </w:tcPr>
          <w:p w14:paraId="1EC26F29" w14:textId="77777777" w:rsidR="00DB5AA9" w:rsidRPr="00F55000" w:rsidRDefault="00DB5AA9" w:rsidP="0035708B">
            <w:pPr>
              <w:cnfStyle w:val="000000100000" w:firstRow="0" w:lastRow="0" w:firstColumn="0" w:lastColumn="0" w:oddVBand="0" w:evenVBand="0" w:oddHBand="1" w:evenHBand="0" w:firstRowFirstColumn="0" w:firstRowLastColumn="0" w:lastRowFirstColumn="0" w:lastRowLastColumn="0"/>
              <w:rPr>
                <w:sz w:val="16"/>
                <w:szCs w:val="16"/>
              </w:rPr>
            </w:pPr>
            <w:r w:rsidRPr="00F55000">
              <w:rPr>
                <w:sz w:val="16"/>
                <w:szCs w:val="16"/>
              </w:rPr>
              <w:t>1985</w:t>
            </w:r>
          </w:p>
        </w:tc>
        <w:tc>
          <w:tcPr>
            <w:tcW w:w="1022" w:type="dxa"/>
            <w:tcBorders>
              <w:top w:val="single" w:sz="4" w:space="0" w:color="auto"/>
            </w:tcBorders>
            <w:vAlign w:val="center"/>
          </w:tcPr>
          <w:sdt>
            <w:sdtPr>
              <w:rPr>
                <w:color w:val="000000"/>
              </w:rPr>
              <w:tag w:val="MENDELEY_CITATION_v3_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"/>
              <w:id w:val="92590324"/>
              <w:placeholder>
                <w:docPart w:val="B700A94C13C9464BA82929F49DFA3C29"/>
              </w:placeholder>
            </w:sdtPr>
            <w:sdtContent>
              <w:p w14:paraId="242F496B" w14:textId="61E5D3B3" w:rsidR="00DB5AA9" w:rsidRPr="00F55000" w:rsidRDefault="00B43409" w:rsidP="0035708B">
                <w:pPr>
                  <w:cnfStyle w:val="000000100000" w:firstRow="0" w:lastRow="0" w:firstColumn="0" w:lastColumn="0" w:oddVBand="0" w:evenVBand="0" w:oddHBand="1" w:evenHBand="0" w:firstRowFirstColumn="0" w:firstRowLastColumn="0" w:lastRowFirstColumn="0" w:lastRowLastColumn="0"/>
                  <w:rPr>
                    <w:sz w:val="16"/>
                    <w:szCs w:val="16"/>
                  </w:rPr>
                </w:pPr>
                <w:r w:rsidRPr="00B43409">
                  <w:rPr>
                    <w:color w:val="000000"/>
                  </w:rPr>
                  <w:t>[514]</w:t>
                </w:r>
              </w:p>
            </w:sdtContent>
          </w:sdt>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6750"/>
        <w:gridCol w:w="4485"/>
      </w:tblGrid>
      <w:tr w:rsidR="00DB5AA9" w:rsidRPr="001D228D" w14:paraId="5A3EEB5D" w14:textId="77777777" w:rsidTr="0035708B">
        <w:tc>
          <w:tcPr>
            <w:tcW w:w="2520" w:type="dxa"/>
          </w:tcPr>
          <w:p w14:paraId="050F9BA0" w14:textId="77777777" w:rsidR="00DB5AA9" w:rsidRPr="001D228D" w:rsidRDefault="00DB5AA9" w:rsidP="0035708B">
            <w:r>
              <w:br/>
            </w:r>
            <w:r w:rsidRPr="001D228D">
              <w:t>(a) Measured anteriorly</w:t>
            </w:r>
            <w:r w:rsidRPr="001D228D">
              <w:br/>
              <w:t>(r) Measured on the right</w:t>
            </w:r>
          </w:p>
        </w:tc>
        <w:tc>
          <w:tcPr>
            <w:tcW w:w="6750" w:type="dxa"/>
          </w:tcPr>
          <w:p w14:paraId="42D1EDC4" w14:textId="77777777" w:rsidR="00DB5AA9" w:rsidRPr="001D228D" w:rsidRDefault="00DB5AA9" w:rsidP="0035708B">
            <w:r>
              <w:br/>
            </w:r>
            <w:r w:rsidRPr="001D228D">
              <w:t>* Measured on anterior thigh and antero-medial thigh, same weighting factor</w:t>
            </w:r>
          </w:p>
          <w:p w14:paraId="0A9B4B3A" w14:textId="77777777" w:rsidR="00DB5AA9" w:rsidRPr="001D228D" w:rsidRDefault="00DB5AA9" w:rsidP="0035708B">
            <w:r w:rsidRPr="001D228D">
              <w:t>** Measured on two locations, anterior and posterior, same weighting factor</w:t>
            </w:r>
          </w:p>
          <w:p w14:paraId="02A1AD71" w14:textId="77777777" w:rsidR="00DB5AA9" w:rsidRPr="001D228D" w:rsidRDefault="00DB5AA9" w:rsidP="0035708B">
            <w:r w:rsidRPr="001D228D">
              <w:t>*** Measured on antero-medial thigh</w:t>
            </w:r>
          </w:p>
        </w:tc>
        <w:tc>
          <w:tcPr>
            <w:tcW w:w="4485" w:type="dxa"/>
          </w:tcPr>
          <w:p w14:paraId="0F877277" w14:textId="77777777" w:rsidR="00DB5AA9" w:rsidRPr="001D228D" w:rsidRDefault="00DB5AA9" w:rsidP="0035708B">
            <w:r>
              <w:br/>
            </w:r>
            <w:r w:rsidRPr="001D228D">
              <w:t>+ Adopted by ISO 9886:2004</w:t>
            </w:r>
            <w:r w:rsidRPr="001D228D">
              <w:br/>
              <w:t>++ Adopted by QREC</w:t>
            </w:r>
          </w:p>
        </w:tc>
      </w:tr>
    </w:tbl>
    <w:p w14:paraId="3AD83F1A" w14:textId="77777777" w:rsidR="00DB5AA9" w:rsidRPr="001D228D" w:rsidRDefault="00DB5AA9" w:rsidP="00DB5AA9">
      <w:pPr>
        <w:pStyle w:val="Heading1"/>
        <w:rPr>
          <w:lang w:val="en-GB"/>
        </w:rPr>
        <w:sectPr w:rsidR="00DB5AA9" w:rsidRPr="001D228D" w:rsidSect="00DB5AA9">
          <w:pgSz w:w="16838" w:h="11906" w:orient="landscape"/>
          <w:pgMar w:top="630" w:right="1440" w:bottom="922" w:left="1440" w:header="720" w:footer="720" w:gutter="0"/>
          <w:cols w:space="720"/>
          <w:docGrid w:linePitch="360"/>
        </w:sectPr>
      </w:pPr>
    </w:p>
    <w:p w14:paraId="14F9AD01" w14:textId="77777777" w:rsidR="00DB5AA9" w:rsidRPr="001D228D" w:rsidRDefault="00DB5AA9" w:rsidP="00DB5AA9">
      <w:pPr>
        <w:pStyle w:val="Heading1"/>
        <w:rPr>
          <w:lang w:val="en-GB"/>
        </w:rPr>
      </w:pPr>
      <w:bookmarkStart w:id="90" w:name="_Toc223281707"/>
      <w:r>
        <w:rPr>
          <w:lang w:val="en-GB"/>
        </w:rPr>
        <w:lastRenderedPageBreak/>
        <w:t>SKIN</w:t>
      </w:r>
      <w:r w:rsidRPr="001D228D">
        <w:rPr>
          <w:lang w:val="en-GB"/>
        </w:rPr>
        <w:t xml:space="preserve"> TEMPERATURE MEASUREMENT SITES AND ALTERNATIVE NAMING CONVENTIONS</w:t>
      </w:r>
      <w:bookmarkEnd w:id="90"/>
    </w:p>
    <w:p w14:paraId="496EA9B3" w14:textId="186EA69E" w:rsidR="00DB5AA9" w:rsidRPr="001D228D" w:rsidRDefault="00DB5AA9" w:rsidP="00DB5AA9">
      <w:r w:rsidRPr="001D228D">
        <w:t>This appendix compiles the anatomical sites used for skin-temperature measurement, standardised into 19 body regions. Each site may include left/right or anterior/posterior counterparts; these are only specified when relevant.</w:t>
      </w:r>
      <w:r w:rsidRPr="001D228D">
        <w:br/>
        <w:t xml:space="preserve">Letters A–U from the previous chapter, </w:t>
      </w:r>
      <w:r w:rsidRPr="001D228D">
        <w:fldChar w:fldCharType="begin"/>
      </w:r>
      <w:r w:rsidRPr="001D228D">
        <w:instrText xml:space="preserve"> REF _Ref213765681 \h  \* MERGEFORMAT </w:instrText>
      </w:r>
      <w:r w:rsidRPr="001D228D">
        <w:fldChar w:fldCharType="separate"/>
      </w:r>
      <w:r w:rsidR="007650AF" w:rsidRPr="001D228D">
        <w:t>MEAN SKIN TEMPERATURE FORMULAS</w:t>
      </w:r>
      <w:r w:rsidRPr="001D228D">
        <w:fldChar w:fldCharType="end"/>
      </w:r>
      <w:r w:rsidRPr="001D228D">
        <w:t xml:space="preserve">, are retained solely to map historical formulas to the standardised regions shown in </w:t>
      </w:r>
      <w:r w:rsidRPr="001D228D">
        <w:fldChar w:fldCharType="begin"/>
      </w:r>
      <w:r w:rsidRPr="001D228D">
        <w:instrText xml:space="preserve"> REF _Ref213795235 \h  \* MERGEFORMAT </w:instrText>
      </w:r>
      <w:r w:rsidRPr="001D228D">
        <w:fldChar w:fldCharType="separate"/>
      </w:r>
      <w:r w:rsidR="007650AF" w:rsidRPr="001D228D">
        <w:t xml:space="preserve">Table </w:t>
      </w:r>
      <w:r w:rsidR="007650AF">
        <w:t>8</w:t>
      </w:r>
      <w:r w:rsidRPr="001D228D">
        <w:fldChar w:fldCharType="end"/>
      </w:r>
      <w:r w:rsidRPr="001D228D">
        <w:t xml:space="preserve"> and </w:t>
      </w:r>
      <w:r w:rsidRPr="001D228D">
        <w:fldChar w:fldCharType="begin"/>
      </w:r>
      <w:r w:rsidRPr="001D228D">
        <w:instrText xml:space="preserve"> REF _Ref213795246 \h  \* MERGEFORMAT </w:instrText>
      </w:r>
      <w:r w:rsidRPr="001D228D">
        <w:fldChar w:fldCharType="separate"/>
      </w:r>
      <w:r w:rsidR="007650AF" w:rsidRPr="001D228D">
        <w:t xml:space="preserve">Figure </w:t>
      </w:r>
      <w:r w:rsidR="007650AF">
        <w:t>2</w:t>
      </w:r>
      <w:r w:rsidRPr="001D228D">
        <w:fldChar w:fldCharType="end"/>
      </w:r>
      <w:r w:rsidRPr="001D228D">
        <w:t>.</w:t>
      </w:r>
    </w:p>
    <w:p w14:paraId="3571038E" w14:textId="77777777" w:rsidR="00DB5AA9" w:rsidRPr="001D228D" w:rsidRDefault="00DB5AA9" w:rsidP="00DB5AA9">
      <w:r w:rsidRPr="001D228D">
        <w:rPr>
          <w:noProof/>
        </w:rPr>
        <w:drawing>
          <wp:inline distT="0" distB="0" distL="0" distR="0" wp14:anchorId="1F0AD9C1" wp14:editId="7E508884">
            <wp:extent cx="6060440" cy="6602730"/>
            <wp:effectExtent l="0" t="0" r="0" b="7620"/>
            <wp:docPr id="1105330830" name="Picture 3" descr="A full sho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30830" name="Picture 3" descr="A full shot of a person and pers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0440" cy="6602730"/>
                    </a:xfrm>
                    <a:prstGeom prst="rect">
                      <a:avLst/>
                    </a:prstGeom>
                  </pic:spPr>
                </pic:pic>
              </a:graphicData>
            </a:graphic>
          </wp:inline>
        </w:drawing>
      </w:r>
    </w:p>
    <w:p w14:paraId="4BA23C05" w14:textId="39BAAD0A" w:rsidR="00DB5AA9" w:rsidRPr="001D228D" w:rsidRDefault="00DB5AA9" w:rsidP="00DB5AA9">
      <w:pPr>
        <w:pStyle w:val="Caption"/>
      </w:pPr>
      <w:bookmarkStart w:id="91" w:name="_Ref213795246"/>
      <w:bookmarkStart w:id="92" w:name="_Ref213795242"/>
      <w:r w:rsidRPr="001D228D">
        <w:t xml:space="preserve">Figure </w:t>
      </w:r>
      <w:r w:rsidRPr="001D228D">
        <w:fldChar w:fldCharType="begin"/>
      </w:r>
      <w:r w:rsidRPr="001D228D">
        <w:instrText xml:space="preserve"> SEQ Figure \* ARABIC </w:instrText>
      </w:r>
      <w:r w:rsidRPr="001D228D">
        <w:fldChar w:fldCharType="separate"/>
      </w:r>
      <w:r w:rsidR="007650AF">
        <w:rPr>
          <w:noProof/>
        </w:rPr>
        <w:t>2</w:t>
      </w:r>
      <w:r w:rsidRPr="001D228D">
        <w:fldChar w:fldCharType="end"/>
      </w:r>
      <w:bookmarkEnd w:id="91"/>
      <w:r w:rsidRPr="001D228D">
        <w:t>. Skin temperature measurement sites</w:t>
      </w:r>
      <w:bookmarkEnd w:id="92"/>
      <w:r w:rsidRPr="001D228D">
        <w:t xml:space="preserve">. Letter annotations refer to the matching measurement regions in Mean Skin Temperature calculation formulas. Regions correspond to </w:t>
      </w:r>
      <w:r w:rsidRPr="001D228D">
        <w:fldChar w:fldCharType="begin"/>
      </w:r>
      <w:r w:rsidRPr="001D228D">
        <w:instrText xml:space="preserve"> REF _Ref213798133 \h  \* MERGEFORMAT </w:instrText>
      </w:r>
      <w:r w:rsidRPr="001D228D">
        <w:fldChar w:fldCharType="separate"/>
      </w:r>
      <w:r w:rsidR="007650AF" w:rsidRPr="001D228D">
        <w:t xml:space="preserve">Table </w:t>
      </w:r>
      <w:r w:rsidR="007650AF">
        <w:t>8</w:t>
      </w:r>
      <w:r w:rsidRPr="001D228D">
        <w:fldChar w:fldCharType="end"/>
      </w:r>
      <w:r w:rsidRPr="001D228D">
        <w:t>. Each may be subdivided by side (L/R) or aspect (A = anterior, P = posterior, M = midline).</w:t>
      </w:r>
      <w:r w:rsidRPr="001D228D">
        <w:br/>
        <w:t>Black points indicate specific aspects of measurement sites as per MST formulas. Pink points indicate other possible sites, as seen in current practices.</w:t>
      </w:r>
    </w:p>
    <w:p w14:paraId="29E57910" w14:textId="77777777" w:rsidR="00DB5AA9" w:rsidRPr="001D228D" w:rsidRDefault="00DB5AA9" w:rsidP="00DB5AA9">
      <w:pPr>
        <w:pStyle w:val="Caption"/>
      </w:pPr>
    </w:p>
    <w:p w14:paraId="63622E35" w14:textId="5E27AA32" w:rsidR="00DB5AA9" w:rsidRPr="001D228D" w:rsidRDefault="00DB5AA9" w:rsidP="00DB5AA9">
      <w:pPr>
        <w:pStyle w:val="Caption"/>
      </w:pPr>
      <w:bookmarkStart w:id="93" w:name="_Ref213795235"/>
      <w:bookmarkStart w:id="94" w:name="_Ref213798133"/>
      <w:r w:rsidRPr="001D228D">
        <w:lastRenderedPageBreak/>
        <w:t xml:space="preserve">Table </w:t>
      </w:r>
      <w:r w:rsidRPr="001D228D">
        <w:fldChar w:fldCharType="begin"/>
      </w:r>
      <w:r w:rsidRPr="001D228D">
        <w:instrText xml:space="preserve"> SEQ Table \* ARABIC </w:instrText>
      </w:r>
      <w:r w:rsidRPr="001D228D">
        <w:fldChar w:fldCharType="separate"/>
      </w:r>
      <w:r w:rsidR="007650AF">
        <w:rPr>
          <w:noProof/>
        </w:rPr>
        <w:t>8</w:t>
      </w:r>
      <w:r w:rsidRPr="001D228D">
        <w:fldChar w:fldCharType="end"/>
      </w:r>
      <w:bookmarkEnd w:id="93"/>
      <w:bookmarkEnd w:id="94"/>
      <w:r w:rsidRPr="001D228D">
        <w:t>. Canonical body regions for skin-temperature measurement, with MST formula mappings, common aliases, and notes</w:t>
      </w:r>
    </w:p>
    <w:tbl>
      <w:tblPr>
        <w:tblStyle w:val="PlainTable4"/>
        <w:tblW w:w="9231" w:type="dxa"/>
        <w:tblLook w:val="04A0" w:firstRow="1" w:lastRow="0" w:firstColumn="1" w:lastColumn="0" w:noHBand="0" w:noVBand="1"/>
      </w:tblPr>
      <w:tblGrid>
        <w:gridCol w:w="961"/>
        <w:gridCol w:w="1248"/>
        <w:gridCol w:w="1158"/>
        <w:gridCol w:w="2866"/>
        <w:gridCol w:w="2998"/>
      </w:tblGrid>
      <w:tr w:rsidR="00DB5AA9" w:rsidRPr="001D228D" w14:paraId="40FC4F45" w14:textId="77777777" w:rsidTr="00357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bottom w:val="single" w:sz="4" w:space="0" w:color="auto"/>
            </w:tcBorders>
            <w:hideMark/>
          </w:tcPr>
          <w:p w14:paraId="48938776" w14:textId="77777777" w:rsidR="00DB5AA9" w:rsidRPr="001D228D" w:rsidRDefault="00DB5AA9" w:rsidP="0035708B">
            <w:r w:rsidRPr="001D228D">
              <w:t>MST Formula Code</w:t>
            </w:r>
          </w:p>
        </w:tc>
        <w:tc>
          <w:tcPr>
            <w:tcW w:w="1248" w:type="dxa"/>
            <w:tcBorders>
              <w:bottom w:val="single" w:sz="4" w:space="0" w:color="auto"/>
            </w:tcBorders>
          </w:tcPr>
          <w:p w14:paraId="5EC09C65"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pPr>
            <w:r w:rsidRPr="001D228D">
              <w:t>MST Formula Laterality</w:t>
            </w:r>
            <w:r w:rsidRPr="001D228D">
              <w:br/>
              <w:t>/Aspect</w:t>
            </w:r>
          </w:p>
        </w:tc>
        <w:tc>
          <w:tcPr>
            <w:tcW w:w="1158" w:type="dxa"/>
            <w:tcBorders>
              <w:bottom w:val="single" w:sz="4" w:space="0" w:color="auto"/>
            </w:tcBorders>
            <w:hideMark/>
          </w:tcPr>
          <w:p w14:paraId="1E3CC96D"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pPr>
            <w:r w:rsidRPr="001D228D">
              <w:t>Region Code</w:t>
            </w:r>
          </w:p>
        </w:tc>
        <w:tc>
          <w:tcPr>
            <w:tcW w:w="0" w:type="auto"/>
            <w:tcBorders>
              <w:bottom w:val="single" w:sz="4" w:space="0" w:color="auto"/>
            </w:tcBorders>
            <w:hideMark/>
          </w:tcPr>
          <w:p w14:paraId="1D08224E"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pPr>
            <w:r w:rsidRPr="001D228D">
              <w:t>Common Aliases / Variants</w:t>
            </w:r>
          </w:p>
        </w:tc>
        <w:tc>
          <w:tcPr>
            <w:tcW w:w="0" w:type="auto"/>
            <w:tcBorders>
              <w:bottom w:val="single" w:sz="4" w:space="0" w:color="auto"/>
            </w:tcBorders>
            <w:hideMark/>
          </w:tcPr>
          <w:p w14:paraId="5C18DDA8"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pPr>
            <w:r w:rsidRPr="001D228D">
              <w:t>Notes</w:t>
            </w:r>
          </w:p>
        </w:tc>
      </w:tr>
      <w:tr w:rsidR="00DB5AA9" w:rsidRPr="001D228D" w14:paraId="5F9103C9"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tcBorders>
              <w:top w:val="single" w:sz="4" w:space="0" w:color="auto"/>
            </w:tcBorders>
            <w:hideMark/>
          </w:tcPr>
          <w:p w14:paraId="2A79F0B8" w14:textId="77777777" w:rsidR="00DB5AA9" w:rsidRPr="001D228D" w:rsidRDefault="00DB5AA9" w:rsidP="0035708B">
            <w:r w:rsidRPr="001D228D">
              <w:t>A</w:t>
            </w:r>
          </w:p>
        </w:tc>
        <w:tc>
          <w:tcPr>
            <w:tcW w:w="1248" w:type="dxa"/>
            <w:tcBorders>
              <w:top w:val="single" w:sz="4" w:space="0" w:color="auto"/>
            </w:tcBorders>
          </w:tcPr>
          <w:p w14:paraId="231496D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Anterior midline</w:t>
            </w:r>
          </w:p>
        </w:tc>
        <w:tc>
          <w:tcPr>
            <w:tcW w:w="1158" w:type="dxa"/>
            <w:tcBorders>
              <w:top w:val="single" w:sz="4" w:space="0" w:color="auto"/>
            </w:tcBorders>
            <w:hideMark/>
          </w:tcPr>
          <w:p w14:paraId="67EB8155"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1 Forehead</w:t>
            </w:r>
          </w:p>
        </w:tc>
        <w:tc>
          <w:tcPr>
            <w:tcW w:w="0" w:type="auto"/>
            <w:tcBorders>
              <w:top w:val="single" w:sz="4" w:space="0" w:color="auto"/>
            </w:tcBorders>
            <w:hideMark/>
          </w:tcPr>
          <w:p w14:paraId="50CD81CE"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Brow, temple</w:t>
            </w:r>
          </w:p>
        </w:tc>
        <w:tc>
          <w:tcPr>
            <w:tcW w:w="0" w:type="auto"/>
            <w:tcBorders>
              <w:top w:val="single" w:sz="4" w:space="0" w:color="auto"/>
            </w:tcBorders>
            <w:hideMark/>
          </w:tcPr>
          <w:p w14:paraId="76F99333"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p>
        </w:tc>
      </w:tr>
      <w:tr w:rsidR="00DB5AA9" w:rsidRPr="001D228D" w14:paraId="487AD00B"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594B2463" w14:textId="77777777" w:rsidR="00DB5AA9" w:rsidRPr="001D228D" w:rsidRDefault="00DB5AA9" w:rsidP="0035708B">
            <w:r w:rsidRPr="001D228D">
              <w:t>–</w:t>
            </w:r>
          </w:p>
        </w:tc>
        <w:tc>
          <w:tcPr>
            <w:tcW w:w="1248" w:type="dxa"/>
          </w:tcPr>
          <w:p w14:paraId="32BFD929"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04FAC2A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2 Nose</w:t>
            </w:r>
          </w:p>
        </w:tc>
        <w:tc>
          <w:tcPr>
            <w:tcW w:w="0" w:type="auto"/>
            <w:hideMark/>
          </w:tcPr>
          <w:p w14:paraId="230A4275"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Nasal dorsum, alar region</w:t>
            </w:r>
          </w:p>
        </w:tc>
        <w:tc>
          <w:tcPr>
            <w:tcW w:w="0" w:type="auto"/>
            <w:hideMark/>
          </w:tcPr>
          <w:p w14:paraId="5BA44869"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Facial IRT extension; captures respiratory heat exchange</w:t>
            </w:r>
          </w:p>
        </w:tc>
      </w:tr>
      <w:tr w:rsidR="00DB5AA9" w:rsidRPr="001D228D" w14:paraId="5CA13B14"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2A8BFF0E" w14:textId="77777777" w:rsidR="00DB5AA9" w:rsidRPr="001D228D" w:rsidRDefault="00DB5AA9" w:rsidP="0035708B">
            <w:r w:rsidRPr="001D228D">
              <w:t>B</w:t>
            </w:r>
          </w:p>
        </w:tc>
        <w:tc>
          <w:tcPr>
            <w:tcW w:w="1248" w:type="dxa"/>
          </w:tcPr>
          <w:p w14:paraId="57C47362"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268B5264"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3 Cheek</w:t>
            </w:r>
          </w:p>
        </w:tc>
        <w:tc>
          <w:tcPr>
            <w:tcW w:w="0" w:type="auto"/>
            <w:hideMark/>
          </w:tcPr>
          <w:p w14:paraId="49E48D5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Malar region, zygomatic arch</w:t>
            </w:r>
          </w:p>
        </w:tc>
        <w:tc>
          <w:tcPr>
            <w:tcW w:w="0" w:type="auto"/>
            <w:hideMark/>
          </w:tcPr>
          <w:p w14:paraId="600FE3C1"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Common in IRT; not in older MST sets</w:t>
            </w:r>
          </w:p>
        </w:tc>
      </w:tr>
      <w:tr w:rsidR="00DB5AA9" w:rsidRPr="001D228D" w14:paraId="4EDB3807"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3064518C" w14:textId="77777777" w:rsidR="00DB5AA9" w:rsidRPr="001D228D" w:rsidRDefault="00DB5AA9" w:rsidP="0035708B">
            <w:r w:rsidRPr="001D228D">
              <w:t>C</w:t>
            </w:r>
          </w:p>
        </w:tc>
        <w:tc>
          <w:tcPr>
            <w:tcW w:w="1248" w:type="dxa"/>
          </w:tcPr>
          <w:p w14:paraId="13993530"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779A374B"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4 Neck</w:t>
            </w:r>
          </w:p>
        </w:tc>
        <w:tc>
          <w:tcPr>
            <w:tcW w:w="0" w:type="auto"/>
            <w:hideMark/>
          </w:tcPr>
          <w:p w14:paraId="724835AC"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Sternocleidomastoid, nape, lateral neck, nuchal area</w:t>
            </w:r>
          </w:p>
        </w:tc>
        <w:tc>
          <w:tcPr>
            <w:tcW w:w="0" w:type="auto"/>
          </w:tcPr>
          <w:p w14:paraId="57400A62"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p>
        </w:tc>
      </w:tr>
      <w:tr w:rsidR="00DB5AA9" w:rsidRPr="001D228D" w14:paraId="55D9303A"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4B0149FF" w14:textId="77777777" w:rsidR="00DB5AA9" w:rsidRPr="001D228D" w:rsidRDefault="00DB5AA9" w:rsidP="0035708B">
            <w:r w:rsidRPr="001D228D">
              <w:t>K</w:t>
            </w:r>
          </w:p>
        </w:tc>
        <w:tc>
          <w:tcPr>
            <w:tcW w:w="1248" w:type="dxa"/>
          </w:tcPr>
          <w:p w14:paraId="0B80933B"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5E9CFED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5 Chest</w:t>
            </w:r>
          </w:p>
        </w:tc>
        <w:tc>
          <w:tcPr>
            <w:tcW w:w="0" w:type="auto"/>
            <w:hideMark/>
          </w:tcPr>
          <w:p w14:paraId="47EA92F1"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Pectoral region, forebreast, sternum</w:t>
            </w:r>
            <w:r>
              <w:t>, thorax</w:t>
            </w:r>
          </w:p>
        </w:tc>
        <w:tc>
          <w:tcPr>
            <w:tcW w:w="0" w:type="auto"/>
          </w:tcPr>
          <w:p w14:paraId="0D1410E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p>
        </w:tc>
      </w:tr>
      <w:tr w:rsidR="00DB5AA9" w:rsidRPr="001D228D" w14:paraId="00B1D991"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081C17C3" w14:textId="77777777" w:rsidR="00DB5AA9" w:rsidRPr="001D228D" w:rsidRDefault="00DB5AA9" w:rsidP="0035708B">
            <w:r w:rsidRPr="001D228D">
              <w:t>M</w:t>
            </w:r>
          </w:p>
        </w:tc>
        <w:tc>
          <w:tcPr>
            <w:tcW w:w="1248" w:type="dxa"/>
          </w:tcPr>
          <w:p w14:paraId="38C83C8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74C6D2B8"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6 Abdomen</w:t>
            </w:r>
          </w:p>
        </w:tc>
        <w:tc>
          <w:tcPr>
            <w:tcW w:w="0" w:type="auto"/>
            <w:hideMark/>
          </w:tcPr>
          <w:p w14:paraId="0A8EC838"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Umbilical region, epigastric, central abdomen</w:t>
            </w:r>
            <w:r>
              <w:t>, lower thorax</w:t>
            </w:r>
          </w:p>
        </w:tc>
        <w:tc>
          <w:tcPr>
            <w:tcW w:w="0" w:type="auto"/>
          </w:tcPr>
          <w:p w14:paraId="22A3CB10"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p>
        </w:tc>
      </w:tr>
      <w:tr w:rsidR="00DB5AA9" w:rsidRPr="001D228D" w14:paraId="385BF91F"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41F43E5B" w14:textId="77777777" w:rsidR="00DB5AA9" w:rsidRPr="001D228D" w:rsidRDefault="00DB5AA9" w:rsidP="0035708B">
            <w:r w:rsidRPr="001D228D">
              <w:t>J</w:t>
            </w:r>
          </w:p>
        </w:tc>
        <w:tc>
          <w:tcPr>
            <w:tcW w:w="1248" w:type="dxa"/>
          </w:tcPr>
          <w:p w14:paraId="5209091E"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3FAFA3F5"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7 Back</w:t>
            </w:r>
          </w:p>
        </w:tc>
        <w:tc>
          <w:tcPr>
            <w:tcW w:w="0" w:type="auto"/>
            <w:hideMark/>
          </w:tcPr>
          <w:p w14:paraId="5031C299"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Scapular, interscapular, upper thoracic region</w:t>
            </w:r>
          </w:p>
        </w:tc>
        <w:tc>
          <w:tcPr>
            <w:tcW w:w="0" w:type="auto"/>
            <w:hideMark/>
          </w:tcPr>
          <w:p w14:paraId="20034432"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Frequent confusion with lumbar; mapped here</w:t>
            </w:r>
          </w:p>
        </w:tc>
      </w:tr>
      <w:tr w:rsidR="00DB5AA9" w:rsidRPr="001D228D" w14:paraId="56A8DD6B"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3B70F4A0" w14:textId="77777777" w:rsidR="00DB5AA9" w:rsidRPr="001D228D" w:rsidRDefault="00DB5AA9" w:rsidP="0035708B">
            <w:r w:rsidRPr="001D228D">
              <w:t>L</w:t>
            </w:r>
          </w:p>
        </w:tc>
        <w:tc>
          <w:tcPr>
            <w:tcW w:w="1248" w:type="dxa"/>
          </w:tcPr>
          <w:p w14:paraId="77657A35"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0B0E4C8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8 Lumbar</w:t>
            </w:r>
          </w:p>
        </w:tc>
        <w:tc>
          <w:tcPr>
            <w:tcW w:w="0" w:type="auto"/>
            <w:hideMark/>
          </w:tcPr>
          <w:p w14:paraId="3E9A818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Lumbar, flank, lumbosacral region</w:t>
            </w:r>
          </w:p>
        </w:tc>
        <w:tc>
          <w:tcPr>
            <w:tcW w:w="0" w:type="auto"/>
            <w:hideMark/>
          </w:tcPr>
          <w:p w14:paraId="4867F182"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p>
        </w:tc>
      </w:tr>
      <w:tr w:rsidR="00DB5AA9" w:rsidRPr="001D228D" w14:paraId="09CD6255"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27433FDE" w14:textId="77777777" w:rsidR="00DB5AA9" w:rsidRPr="001D228D" w:rsidRDefault="00DB5AA9" w:rsidP="0035708B">
            <w:r w:rsidRPr="001D228D">
              <w:t>N</w:t>
            </w:r>
          </w:p>
        </w:tc>
        <w:tc>
          <w:tcPr>
            <w:tcW w:w="1248" w:type="dxa"/>
          </w:tcPr>
          <w:p w14:paraId="59F5F400"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4B9E815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9 Buttocks</w:t>
            </w:r>
          </w:p>
        </w:tc>
        <w:tc>
          <w:tcPr>
            <w:tcW w:w="0" w:type="auto"/>
            <w:hideMark/>
          </w:tcPr>
          <w:p w14:paraId="1AD58CB4"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Gluteal region</w:t>
            </w:r>
          </w:p>
        </w:tc>
        <w:tc>
          <w:tcPr>
            <w:tcW w:w="0" w:type="auto"/>
            <w:hideMark/>
          </w:tcPr>
          <w:p w14:paraId="0D83868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Included in extended body-surface formulas</w:t>
            </w:r>
          </w:p>
        </w:tc>
      </w:tr>
      <w:tr w:rsidR="00DB5AA9" w:rsidRPr="001D228D" w14:paraId="7310F8FF"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27421692" w14:textId="77777777" w:rsidR="00DB5AA9" w:rsidRPr="001D228D" w:rsidRDefault="00DB5AA9" w:rsidP="0035708B">
            <w:r w:rsidRPr="001D228D">
              <w:t>D</w:t>
            </w:r>
          </w:p>
        </w:tc>
        <w:tc>
          <w:tcPr>
            <w:tcW w:w="1248" w:type="dxa"/>
          </w:tcPr>
          <w:p w14:paraId="2D68A1A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Right</w:t>
            </w:r>
          </w:p>
        </w:tc>
        <w:tc>
          <w:tcPr>
            <w:tcW w:w="1158" w:type="dxa"/>
            <w:hideMark/>
          </w:tcPr>
          <w:p w14:paraId="220E4981"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10 Upper arm</w:t>
            </w:r>
          </w:p>
        </w:tc>
        <w:tc>
          <w:tcPr>
            <w:tcW w:w="0" w:type="auto"/>
            <w:hideMark/>
          </w:tcPr>
          <w:p w14:paraId="1926986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Biceps, triceps, deltoid region</w:t>
            </w:r>
          </w:p>
        </w:tc>
        <w:tc>
          <w:tcPr>
            <w:tcW w:w="0" w:type="auto"/>
          </w:tcPr>
          <w:p w14:paraId="78B28122"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p>
        </w:tc>
      </w:tr>
      <w:tr w:rsidR="00DB5AA9" w:rsidRPr="001D228D" w14:paraId="4918BE96"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6D2D5462" w14:textId="77777777" w:rsidR="00DB5AA9" w:rsidRPr="001D228D" w:rsidRDefault="00DB5AA9" w:rsidP="0035708B">
            <w:r w:rsidRPr="001D228D">
              <w:t>E</w:t>
            </w:r>
          </w:p>
        </w:tc>
        <w:tc>
          <w:tcPr>
            <w:tcW w:w="1248" w:type="dxa"/>
          </w:tcPr>
          <w:p w14:paraId="7F0B164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Left</w:t>
            </w:r>
          </w:p>
        </w:tc>
        <w:tc>
          <w:tcPr>
            <w:tcW w:w="1158" w:type="dxa"/>
            <w:hideMark/>
          </w:tcPr>
          <w:p w14:paraId="6762AA89"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11 Elbow</w:t>
            </w:r>
          </w:p>
        </w:tc>
        <w:tc>
          <w:tcPr>
            <w:tcW w:w="0" w:type="auto"/>
            <w:hideMark/>
          </w:tcPr>
          <w:p w14:paraId="4F3536A4"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Cubital fossa (front), olecranon (back)</w:t>
            </w:r>
          </w:p>
        </w:tc>
        <w:tc>
          <w:tcPr>
            <w:tcW w:w="0" w:type="auto"/>
          </w:tcPr>
          <w:p w14:paraId="477E087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p>
        </w:tc>
      </w:tr>
      <w:tr w:rsidR="00DB5AA9" w:rsidRPr="001D228D" w14:paraId="05E9CA30"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55546126" w14:textId="77777777" w:rsidR="00DB5AA9" w:rsidRPr="001D228D" w:rsidRDefault="00DB5AA9" w:rsidP="0035708B">
            <w:r w:rsidRPr="001D228D">
              <w:t>F</w:t>
            </w:r>
          </w:p>
        </w:tc>
        <w:tc>
          <w:tcPr>
            <w:tcW w:w="1248" w:type="dxa"/>
          </w:tcPr>
          <w:p w14:paraId="211FD4C9"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Left</w:t>
            </w:r>
          </w:p>
        </w:tc>
        <w:tc>
          <w:tcPr>
            <w:tcW w:w="1158" w:type="dxa"/>
            <w:hideMark/>
          </w:tcPr>
          <w:p w14:paraId="5D32DEA9"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12 Forearm</w:t>
            </w:r>
          </w:p>
        </w:tc>
        <w:tc>
          <w:tcPr>
            <w:tcW w:w="0" w:type="auto"/>
            <w:hideMark/>
          </w:tcPr>
          <w:p w14:paraId="0394E9B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 xml:space="preserve">Antebrachial region </w:t>
            </w:r>
          </w:p>
        </w:tc>
        <w:tc>
          <w:tcPr>
            <w:tcW w:w="0" w:type="auto"/>
            <w:hideMark/>
          </w:tcPr>
          <w:p w14:paraId="02D6CFA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Widely used due to accessibility</w:t>
            </w:r>
          </w:p>
        </w:tc>
      </w:tr>
      <w:tr w:rsidR="00DB5AA9" w:rsidRPr="001D228D" w14:paraId="2901B646"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74FE389A" w14:textId="77777777" w:rsidR="00DB5AA9" w:rsidRPr="001D228D" w:rsidRDefault="00DB5AA9" w:rsidP="0035708B">
            <w:r w:rsidRPr="001D228D">
              <w:t>–</w:t>
            </w:r>
          </w:p>
        </w:tc>
        <w:tc>
          <w:tcPr>
            <w:tcW w:w="1248" w:type="dxa"/>
          </w:tcPr>
          <w:p w14:paraId="57CE6060"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w:t>
            </w:r>
          </w:p>
        </w:tc>
        <w:tc>
          <w:tcPr>
            <w:tcW w:w="1158" w:type="dxa"/>
            <w:hideMark/>
          </w:tcPr>
          <w:p w14:paraId="235417E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13 Wrist</w:t>
            </w:r>
          </w:p>
        </w:tc>
        <w:tc>
          <w:tcPr>
            <w:tcW w:w="0" w:type="auto"/>
            <w:hideMark/>
          </w:tcPr>
          <w:p w14:paraId="6C26726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Carpal region, radial wrist</w:t>
            </w:r>
          </w:p>
        </w:tc>
        <w:tc>
          <w:tcPr>
            <w:tcW w:w="0" w:type="auto"/>
            <w:hideMark/>
          </w:tcPr>
          <w:p w14:paraId="1A00BA8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Optional distal proxy for forearm</w:t>
            </w:r>
            <w:r>
              <w:t>, got popular with new wearables</w:t>
            </w:r>
          </w:p>
        </w:tc>
      </w:tr>
      <w:tr w:rsidR="00DB5AA9" w:rsidRPr="001D228D" w14:paraId="677E83A1"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41BA695B" w14:textId="77777777" w:rsidR="00DB5AA9" w:rsidRPr="001D228D" w:rsidRDefault="00DB5AA9" w:rsidP="0035708B">
            <w:r w:rsidRPr="001D228D">
              <w:t>G, H, I</w:t>
            </w:r>
          </w:p>
        </w:tc>
        <w:tc>
          <w:tcPr>
            <w:tcW w:w="1248" w:type="dxa"/>
          </w:tcPr>
          <w:p w14:paraId="27689E4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Left palm, Right dorsum, Left dorsum</w:t>
            </w:r>
          </w:p>
        </w:tc>
        <w:tc>
          <w:tcPr>
            <w:tcW w:w="1158" w:type="dxa"/>
            <w:hideMark/>
          </w:tcPr>
          <w:p w14:paraId="738DCC6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14 Hand</w:t>
            </w:r>
          </w:p>
        </w:tc>
        <w:tc>
          <w:tcPr>
            <w:tcW w:w="0" w:type="auto"/>
            <w:hideMark/>
          </w:tcPr>
          <w:p w14:paraId="21E89DB6"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Hand: Dorsum of hand, back of hand</w:t>
            </w:r>
          </w:p>
        </w:tc>
        <w:tc>
          <w:tcPr>
            <w:tcW w:w="0" w:type="auto"/>
            <w:hideMark/>
          </w:tcPr>
          <w:p w14:paraId="73F70B6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p>
        </w:tc>
      </w:tr>
      <w:tr w:rsidR="00DB5AA9" w:rsidRPr="001D228D" w14:paraId="5AD2A134"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7B8C9D50" w14:textId="77777777" w:rsidR="00DB5AA9" w:rsidRPr="001D228D" w:rsidRDefault="00DB5AA9" w:rsidP="0035708B">
            <w:r w:rsidRPr="001D228D">
              <w:t>–</w:t>
            </w:r>
          </w:p>
        </w:tc>
        <w:tc>
          <w:tcPr>
            <w:tcW w:w="1248" w:type="dxa"/>
          </w:tcPr>
          <w:p w14:paraId="5C7C007E"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w:t>
            </w:r>
          </w:p>
        </w:tc>
        <w:tc>
          <w:tcPr>
            <w:tcW w:w="1158" w:type="dxa"/>
            <w:hideMark/>
          </w:tcPr>
          <w:p w14:paraId="1C2BDA7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15 Finger</w:t>
            </w:r>
          </w:p>
        </w:tc>
        <w:tc>
          <w:tcPr>
            <w:tcW w:w="0" w:type="auto"/>
            <w:hideMark/>
          </w:tcPr>
          <w:p w14:paraId="5969926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Digital area, fingertip, phalanx</w:t>
            </w:r>
          </w:p>
        </w:tc>
        <w:tc>
          <w:tcPr>
            <w:tcW w:w="0" w:type="auto"/>
            <w:hideMark/>
          </w:tcPr>
          <w:p w14:paraId="42232F19"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Sensitive to sympathetic vasoconstriction</w:t>
            </w:r>
            <w:r>
              <w:t xml:space="preserve">, also used with new wearables </w:t>
            </w:r>
          </w:p>
        </w:tc>
      </w:tr>
      <w:tr w:rsidR="00DB5AA9" w:rsidRPr="001D228D" w14:paraId="4560A619"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5D7F40E6" w14:textId="77777777" w:rsidR="00DB5AA9" w:rsidRPr="001D228D" w:rsidRDefault="00DB5AA9" w:rsidP="0035708B">
            <w:r w:rsidRPr="001D228D">
              <w:t>O, P</w:t>
            </w:r>
          </w:p>
        </w:tc>
        <w:tc>
          <w:tcPr>
            <w:tcW w:w="1248" w:type="dxa"/>
          </w:tcPr>
          <w:p w14:paraId="75E99EC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 xml:space="preserve">Anterior, Posterior </w:t>
            </w:r>
          </w:p>
        </w:tc>
        <w:tc>
          <w:tcPr>
            <w:tcW w:w="1158" w:type="dxa"/>
            <w:hideMark/>
          </w:tcPr>
          <w:p w14:paraId="1E7E2A3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16 Thigh</w:t>
            </w:r>
          </w:p>
        </w:tc>
        <w:tc>
          <w:tcPr>
            <w:tcW w:w="0" w:type="auto"/>
            <w:hideMark/>
          </w:tcPr>
          <w:p w14:paraId="692650A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Quadriceps (front), hamstring (back)</w:t>
            </w:r>
          </w:p>
        </w:tc>
        <w:tc>
          <w:tcPr>
            <w:tcW w:w="0" w:type="auto"/>
            <w:hideMark/>
          </w:tcPr>
          <w:p w14:paraId="7DF1EEBC"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p>
        </w:tc>
      </w:tr>
      <w:tr w:rsidR="00DB5AA9" w:rsidRPr="001D228D" w14:paraId="3F153124"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27D0D40A" w14:textId="77777777" w:rsidR="00DB5AA9" w:rsidRPr="001D228D" w:rsidRDefault="00DB5AA9" w:rsidP="0035708B">
            <w:r w:rsidRPr="001D228D">
              <w:t>Q, R</w:t>
            </w:r>
          </w:p>
        </w:tc>
        <w:tc>
          <w:tcPr>
            <w:tcW w:w="1248" w:type="dxa"/>
          </w:tcPr>
          <w:p w14:paraId="11635E00"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Anterior, Posterior</w:t>
            </w:r>
          </w:p>
        </w:tc>
        <w:tc>
          <w:tcPr>
            <w:tcW w:w="1158" w:type="dxa"/>
            <w:hideMark/>
          </w:tcPr>
          <w:p w14:paraId="2C19DBBA"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17 Lower leg</w:t>
            </w:r>
          </w:p>
        </w:tc>
        <w:tc>
          <w:tcPr>
            <w:tcW w:w="0" w:type="auto"/>
            <w:hideMark/>
          </w:tcPr>
          <w:p w14:paraId="770F2B1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Anterior: Anterior tibia, shin</w:t>
            </w:r>
            <w:r w:rsidRPr="001D228D">
              <w:br/>
              <w:t>Posterior: Gastrocnemius, calf</w:t>
            </w:r>
          </w:p>
        </w:tc>
        <w:tc>
          <w:tcPr>
            <w:tcW w:w="0" w:type="auto"/>
            <w:hideMark/>
          </w:tcPr>
          <w:p w14:paraId="1BF5C863"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Differentiated anterior/posterior in formulas – calf vs shin often conflated</w:t>
            </w:r>
          </w:p>
        </w:tc>
      </w:tr>
      <w:tr w:rsidR="00DB5AA9" w:rsidRPr="001D228D" w14:paraId="5C72ABA9" w14:textId="77777777" w:rsidTr="0035708B">
        <w:tc>
          <w:tcPr>
            <w:cnfStyle w:val="001000000000" w:firstRow="0" w:lastRow="0" w:firstColumn="1" w:lastColumn="0" w:oddVBand="0" w:evenVBand="0" w:oddHBand="0" w:evenHBand="0" w:firstRowFirstColumn="0" w:firstRowLastColumn="0" w:lastRowFirstColumn="0" w:lastRowLastColumn="0"/>
            <w:tcW w:w="822" w:type="dxa"/>
            <w:hideMark/>
          </w:tcPr>
          <w:p w14:paraId="2B0B0E3E" w14:textId="77777777" w:rsidR="00DB5AA9" w:rsidRPr="001D228D" w:rsidRDefault="00DB5AA9" w:rsidP="0035708B">
            <w:r w:rsidRPr="001D228D">
              <w:t>–</w:t>
            </w:r>
          </w:p>
        </w:tc>
        <w:tc>
          <w:tcPr>
            <w:tcW w:w="1248" w:type="dxa"/>
          </w:tcPr>
          <w:p w14:paraId="622E2408"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w:t>
            </w:r>
          </w:p>
        </w:tc>
        <w:tc>
          <w:tcPr>
            <w:tcW w:w="1158" w:type="dxa"/>
            <w:hideMark/>
          </w:tcPr>
          <w:p w14:paraId="1F293A00"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18 Ankle</w:t>
            </w:r>
          </w:p>
        </w:tc>
        <w:tc>
          <w:tcPr>
            <w:tcW w:w="0" w:type="auto"/>
            <w:hideMark/>
          </w:tcPr>
          <w:p w14:paraId="0BA2C57B"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Malleolar area, lateral ankle, Achilles tendon</w:t>
            </w:r>
          </w:p>
        </w:tc>
        <w:tc>
          <w:tcPr>
            <w:tcW w:w="0" w:type="auto"/>
            <w:hideMark/>
          </w:tcPr>
          <w:p w14:paraId="7E7EAAF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pPr>
            <w:r w:rsidRPr="001D228D">
              <w:t>Added for distal gradient analysis</w:t>
            </w:r>
          </w:p>
        </w:tc>
      </w:tr>
      <w:tr w:rsidR="00DB5AA9" w:rsidRPr="001D228D" w14:paraId="3A1E92F3" w14:textId="77777777" w:rsidTr="00357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2" w:type="dxa"/>
            <w:hideMark/>
          </w:tcPr>
          <w:p w14:paraId="3630670F" w14:textId="77777777" w:rsidR="00DB5AA9" w:rsidRPr="001D228D" w:rsidRDefault="00DB5AA9" w:rsidP="0035708B">
            <w:r w:rsidRPr="001D228D">
              <w:t>S, T, U</w:t>
            </w:r>
          </w:p>
        </w:tc>
        <w:tc>
          <w:tcPr>
            <w:tcW w:w="1248" w:type="dxa"/>
          </w:tcPr>
          <w:p w14:paraId="79EE7D2B"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Left dorsum, Right dorsum, Left plantar</w:t>
            </w:r>
          </w:p>
        </w:tc>
        <w:tc>
          <w:tcPr>
            <w:tcW w:w="1158" w:type="dxa"/>
            <w:hideMark/>
          </w:tcPr>
          <w:p w14:paraId="4D44C8D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19 Foot / Sole</w:t>
            </w:r>
          </w:p>
        </w:tc>
        <w:tc>
          <w:tcPr>
            <w:tcW w:w="0" w:type="auto"/>
            <w:hideMark/>
          </w:tcPr>
          <w:p w14:paraId="62D9C16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r w:rsidRPr="001D228D">
              <w:t xml:space="preserve">Foot: Instep, dorsal foot </w:t>
            </w:r>
            <w:r w:rsidRPr="001D228D">
              <w:br/>
              <w:t>Sole: Plantar surface, sole</w:t>
            </w:r>
          </w:p>
        </w:tc>
        <w:tc>
          <w:tcPr>
            <w:tcW w:w="0" w:type="auto"/>
            <w:hideMark/>
          </w:tcPr>
          <w:p w14:paraId="56DEBDA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pPr>
          </w:p>
        </w:tc>
      </w:tr>
    </w:tbl>
    <w:p w14:paraId="41F8419B" w14:textId="77777777" w:rsidR="00DB5AA9" w:rsidRPr="001D228D" w:rsidRDefault="00DB5AA9" w:rsidP="00DB5AA9"/>
    <w:p w14:paraId="6BF99C2A" w14:textId="77777777" w:rsidR="00DB5AA9" w:rsidRPr="001D228D" w:rsidRDefault="00DB5AA9" w:rsidP="00DB5AA9"/>
    <w:p w14:paraId="61E8F4B0" w14:textId="77777777" w:rsidR="00DB5AA9" w:rsidRPr="001D228D" w:rsidRDefault="00DB5AA9" w:rsidP="00DB5AA9">
      <w:pPr>
        <w:sectPr w:rsidR="00DB5AA9" w:rsidRPr="001D228D" w:rsidSect="00DB5AA9">
          <w:pgSz w:w="11906" w:h="16838" w:code="9"/>
          <w:pgMar w:top="1440" w:right="922" w:bottom="1440" w:left="1440" w:header="720" w:footer="720" w:gutter="0"/>
          <w:cols w:space="720"/>
          <w:docGrid w:linePitch="360"/>
        </w:sectPr>
      </w:pPr>
    </w:p>
    <w:p w14:paraId="40FFE079" w14:textId="77777777" w:rsidR="00DB5AA9" w:rsidRPr="001D228D" w:rsidRDefault="00DB5AA9" w:rsidP="00DB5AA9">
      <w:pPr>
        <w:pStyle w:val="Heading1"/>
        <w:rPr>
          <w:lang w:val="en-GB"/>
        </w:rPr>
      </w:pPr>
      <w:bookmarkStart w:id="95" w:name="_Toc223281708"/>
      <w:r w:rsidRPr="001D228D">
        <w:rPr>
          <w:lang w:val="en-GB"/>
        </w:rPr>
        <w:lastRenderedPageBreak/>
        <w:t>SAMPLE CHECKLISTS &amp; SCHEMAS</w:t>
      </w:r>
      <w:bookmarkEnd w:id="95"/>
    </w:p>
    <w:p w14:paraId="3353684F" w14:textId="77777777" w:rsidR="00DB5AA9" w:rsidRPr="001D228D" w:rsidRDefault="00DB5AA9" w:rsidP="00DB5AA9">
      <w:r w:rsidRPr="001D228D">
        <w:t>This appendix illustrates one practical way to structure experiment-, participant-, and session-level documentation for human thermal physiology studies. The goal is not to prescribe a new field-wide standard, but to make our own approach transparent and to provide concrete examples that other groups can adapt and share. By circulating comparable schemas, the field can gradually converge on common reporting practices and enable more reproducible, interoperable datasets.</w:t>
      </w:r>
    </w:p>
    <w:p w14:paraId="21D57D30" w14:textId="08D57F1A" w:rsidR="00DB5AA9" w:rsidRPr="001D228D" w:rsidRDefault="00DB5AA9" w:rsidP="00DB5AA9">
      <w:r w:rsidRPr="001D228D">
        <w:t xml:space="preserve">The structure mirrors other established data standards for human studies, such as the Brain Imaging Data Structure (BIDS) </w:t>
      </w:r>
      <w:sdt>
        <w:sdtPr>
          <w:rPr>
            <w:color w:val="000000"/>
          </w:rPr>
          <w:tag w:val="MENDELEY_CITATION_v3_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"/>
          <w:id w:val="-873690112"/>
          <w:placeholder>
            <w:docPart w:val="B700A94C13C9464BA82929F49DFA3C29"/>
          </w:placeholder>
        </w:sdtPr>
        <w:sdtContent>
          <w:r w:rsidR="00B43409" w:rsidRPr="00B43409">
            <w:rPr>
              <w:color w:val="000000"/>
            </w:rPr>
            <w:t>[525]</w:t>
          </w:r>
        </w:sdtContent>
      </w:sdt>
      <w:r w:rsidRPr="001D228D">
        <w:t xml:space="preserve">, which separates participants.tsv and sessions.tsv files, and the ISA-Tab framework </w:t>
      </w:r>
      <w:sdt>
        <w:sdtPr>
          <w:rPr>
            <w:color w:val="000000"/>
          </w:rPr>
          <w:tag w:val="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"/>
          <w:id w:val="302742433"/>
          <w:placeholder>
            <w:docPart w:val="B700A94C13C9464BA82929F49DFA3C29"/>
          </w:placeholder>
        </w:sdtPr>
        <w:sdtContent>
          <w:r w:rsidR="00B43409" w:rsidRPr="00B43409">
            <w:rPr>
              <w:color w:val="000000"/>
            </w:rPr>
            <w:t>[526]</w:t>
          </w:r>
        </w:sdtContent>
      </w:sdt>
      <w:r w:rsidRPr="001D228D">
        <w:t>, which distinguishes investigation, study, and assay metadata. Our schema follows a similar logic: clean separation of persistent attributes, per-experiment descriptors, and per-visit variables.</w:t>
      </w:r>
    </w:p>
    <w:p w14:paraId="16304FCA" w14:textId="77777777" w:rsidR="00DB5AA9" w:rsidRPr="001D228D" w:rsidRDefault="00DB5AA9" w:rsidP="00DB5AA9">
      <w:r w:rsidRPr="001D228D">
        <w:t>We distinguish three levels:</w:t>
      </w:r>
    </w:p>
    <w:p w14:paraId="5671B872" w14:textId="77777777" w:rsidR="00DB5AA9" w:rsidRPr="001D228D" w:rsidRDefault="00DB5AA9" w:rsidP="00DB5AA9">
      <w:pPr>
        <w:pStyle w:val="Bullet"/>
      </w:pPr>
      <w:r w:rsidRPr="001D228D">
        <w:t>Experiment metadata: one record per study or protocol. Stores high-level information: title, lab, institute, recruitment window, primary endpoints, general exposure types (lab vs field, heat vs cold vs neutral), and ethics approval identifiers.</w:t>
      </w:r>
    </w:p>
    <w:p w14:paraId="63BDD2DD" w14:textId="77777777" w:rsidR="00DB5AA9" w:rsidRPr="001D228D" w:rsidRDefault="00DB5AA9" w:rsidP="00DB5AA9">
      <w:pPr>
        <w:pStyle w:val="Bullet"/>
      </w:pPr>
      <w:r w:rsidRPr="001D228D">
        <w:t>Participant metadata: one record per person, containing attributes that change slowly or not at all during the study. Stores demographics, morphology, health and diagnoses, hormonal status, lifestyle, sleep and chronotype, thermal sensitivity, and (optionally) built-environment context.</w:t>
      </w:r>
    </w:p>
    <w:p w14:paraId="044F663E" w14:textId="77777777" w:rsidR="00DB5AA9" w:rsidRPr="001D228D" w:rsidRDefault="00DB5AA9" w:rsidP="00DB5AA9">
      <w:pPr>
        <w:pStyle w:val="Bullet"/>
      </w:pPr>
      <w:r w:rsidRPr="001D228D">
        <w:t>Session metadata: one record per visit or experimental condition per person. Stores per-visit timing, condition labels, acute state (sleep, illness, recent behaviour), clothing and activity, and key protocol deviations.</w:t>
      </w:r>
    </w:p>
    <w:p w14:paraId="751218F5" w14:textId="77777777" w:rsidR="00DB5AA9" w:rsidRPr="001D228D" w:rsidRDefault="00DB5AA9" w:rsidP="00DB5AA9">
      <w:pPr>
        <w:pStyle w:val="Bullet"/>
      </w:pPr>
    </w:p>
    <w:p w14:paraId="5254774C" w14:textId="77777777" w:rsidR="00DB5AA9" w:rsidRPr="001D228D" w:rsidRDefault="00DB5AA9" w:rsidP="00DB5AA9">
      <w:pPr>
        <w:pStyle w:val="Bullet"/>
      </w:pPr>
      <w:r w:rsidRPr="001D228D">
        <w:t>This separation reflects how physiological data are actually generated: experiments define the protocol; participants bring stable individual characteristics; and sessions capture the day-to-day variability that strongly shapes thermoregulatory responses.</w:t>
      </w:r>
    </w:p>
    <w:p w14:paraId="0D718809" w14:textId="77777777" w:rsidR="00DB5AA9" w:rsidRPr="001D228D" w:rsidRDefault="00DB5AA9" w:rsidP="00DB5AA9">
      <w:r w:rsidRPr="001D228D">
        <w:t>Device inventories (sensor IDs, firmware versions, calibration logs) are stored in separate tables and linked to specific sessions and experiments. Separating device metadata helps manage multi-sensor setups, facilitates troubleshooting, and supports later data harmonisation.</w:t>
      </w:r>
    </w:p>
    <w:p w14:paraId="577C8A8C" w14:textId="77777777" w:rsidR="00DB5AA9" w:rsidRPr="001D228D" w:rsidRDefault="00DB5AA9" w:rsidP="00DB5AA9">
      <w:pPr>
        <w:pStyle w:val="Heading2"/>
        <w:rPr>
          <w:lang w:val="en-GB"/>
        </w:rPr>
      </w:pPr>
      <w:bookmarkStart w:id="96" w:name="_Toc223281709"/>
      <w:r w:rsidRPr="001D228D">
        <w:rPr>
          <w:lang w:val="en-GB"/>
        </w:rPr>
        <w:t>Experiment-level metadata</w:t>
      </w:r>
      <w:bookmarkEnd w:id="96"/>
    </w:p>
    <w:p w14:paraId="5FDC0F6C" w14:textId="77777777" w:rsidR="00DB5AA9" w:rsidRPr="001D228D" w:rsidRDefault="00DB5AA9" w:rsidP="00DB5AA9">
      <w:r w:rsidRPr="001D228D">
        <w:t>Experiment-level metadata capture the high-level characteristics of a study: where and when it was conducted, by whom, under which ethical approvals, and what its overall design and planned exposures were. These fields describe the protocol as a whole, independently of any particular participant or session, and form the top level of the metadata hierarchy.</w:t>
      </w:r>
    </w:p>
    <w:p w14:paraId="18489806" w14:textId="77777777" w:rsidR="00DB5AA9" w:rsidRPr="001D228D" w:rsidRDefault="00DB5AA9" w:rsidP="00DB5AA9">
      <w:r w:rsidRPr="001D228D">
        <w:t>To make the schema easier to reuse across different laboratories and study types, fields are grouped by topic and are assigned to three informal tiers:</w:t>
      </w:r>
    </w:p>
    <w:p w14:paraId="33FCE656" w14:textId="77777777" w:rsidR="00DB5AA9" w:rsidRPr="001D228D" w:rsidRDefault="00DB5AA9" w:rsidP="00DB5AA9">
      <w:pPr>
        <w:pStyle w:val="Bullet"/>
      </w:pPr>
      <w:r w:rsidRPr="001D228D">
        <w:rPr>
          <w:u w:val="single"/>
        </w:rPr>
        <w:t>Tier 1 – Core experiment descriptors:</w:t>
      </w:r>
      <w:r w:rsidRPr="001D228D">
        <w:t xml:space="preserve"> Essential information needed to interpret or reuse a study, including experiment identifiers, institutional affiliation, ethics approval, study design and environment, recruitment window, and the main exposure/intervention categories.</w:t>
      </w:r>
    </w:p>
    <w:p w14:paraId="081D4803" w14:textId="77777777" w:rsidR="00DB5AA9" w:rsidRPr="001D228D" w:rsidRDefault="00DB5AA9" w:rsidP="00DB5AA9">
      <w:pPr>
        <w:pStyle w:val="Bullet"/>
      </w:pPr>
      <w:r w:rsidRPr="001D228D">
        <w:rPr>
          <w:u w:val="single"/>
        </w:rPr>
        <w:t>Tier 2 – Recommended descriptors:</w:t>
      </w:r>
      <w:r w:rsidRPr="001D228D">
        <w:t xml:space="preserve"> Information that improves reproducibility and interpretability but may not always be available, such as randomisation method, blinding, standardised behavioural instructions, number and naming of conditions, and detailed environmental or HVAC descriptions.</w:t>
      </w:r>
    </w:p>
    <w:p w14:paraId="66605B9A" w14:textId="77777777" w:rsidR="00DB5AA9" w:rsidRPr="001D228D" w:rsidRDefault="00DB5AA9" w:rsidP="00DB5AA9">
      <w:pPr>
        <w:pStyle w:val="Bullet"/>
      </w:pPr>
      <w:r w:rsidRPr="001D228D">
        <w:rPr>
          <w:u w:val="single"/>
        </w:rPr>
        <w:t>Tier 3 – Specialised descriptors:</w:t>
      </w:r>
      <w:r w:rsidRPr="001D228D">
        <w:t xml:space="preserve"> More specific contextual information that is useful for certain study types or advanced meta-analyses, including room geometry, calibration summaries, or detailed equipment notes. These fields are optional but help achieve FAIR-level documentation when available.</w:t>
      </w:r>
    </w:p>
    <w:p w14:paraId="19A70BD9" w14:textId="77777777" w:rsidR="00DB5AA9" w:rsidRPr="001D228D" w:rsidRDefault="00DB5AA9" w:rsidP="00DB5AA9">
      <w:r w:rsidRPr="001D228D">
        <w:t>To aid cross-study comparison, we also include a concise PICOT summary for each experiment. PICOT provides a high-level, non-redundant synopsis of the Population, Intervention, Comparison, Outcomes, and Time frame, complementing (but not duplicating) the detailed metadata fields.</w:t>
      </w:r>
      <w:r>
        <w:br/>
      </w:r>
    </w:p>
    <w:p w14:paraId="387E42B3" w14:textId="6C7D6E23" w:rsidR="00DB5AA9" w:rsidRPr="001D228D" w:rsidRDefault="00DB5AA9" w:rsidP="00DB5AA9">
      <w:pPr>
        <w:pStyle w:val="Caption"/>
      </w:pPr>
      <w:r w:rsidRPr="001D228D">
        <w:lastRenderedPageBreak/>
        <w:t xml:space="preserve">Table </w:t>
      </w:r>
      <w:r w:rsidRPr="001D228D">
        <w:fldChar w:fldCharType="begin"/>
      </w:r>
      <w:r w:rsidRPr="001D228D">
        <w:instrText xml:space="preserve"> SEQ Table \* ARABIC </w:instrText>
      </w:r>
      <w:r w:rsidRPr="001D228D">
        <w:fldChar w:fldCharType="separate"/>
      </w:r>
      <w:r w:rsidR="007650AF">
        <w:rPr>
          <w:noProof/>
        </w:rPr>
        <w:t>9</w:t>
      </w:r>
      <w:r w:rsidRPr="001D228D">
        <w:fldChar w:fldCharType="end"/>
      </w:r>
      <w:r w:rsidRPr="001D228D">
        <w:t>. Experiment-level metadata schema, organised by group and tier.</w:t>
      </w:r>
    </w:p>
    <w:tbl>
      <w:tblPr>
        <w:tblW w:w="9888" w:type="dxa"/>
        <w:tblCellSpacing w:w="15" w:type="dxa"/>
        <w:tblCellMar>
          <w:top w:w="15" w:type="dxa"/>
          <w:left w:w="15" w:type="dxa"/>
          <w:bottom w:w="15" w:type="dxa"/>
          <w:right w:w="15" w:type="dxa"/>
        </w:tblCellMar>
        <w:tblLook w:val="04A0" w:firstRow="1" w:lastRow="0" w:firstColumn="1" w:lastColumn="0" w:noHBand="0" w:noVBand="1"/>
      </w:tblPr>
      <w:tblGrid>
        <w:gridCol w:w="1311"/>
        <w:gridCol w:w="2072"/>
        <w:gridCol w:w="573"/>
        <w:gridCol w:w="2950"/>
        <w:gridCol w:w="2982"/>
      </w:tblGrid>
      <w:tr w:rsidR="00DB5AA9" w:rsidRPr="00711DEB" w14:paraId="0173B698" w14:textId="77777777" w:rsidTr="0035708B">
        <w:trPr>
          <w:tblHeader/>
          <w:tblCellSpacing w:w="15" w:type="dxa"/>
        </w:trPr>
        <w:tc>
          <w:tcPr>
            <w:tcW w:w="1282" w:type="dxa"/>
            <w:hideMark/>
          </w:tcPr>
          <w:p w14:paraId="5ED18FB6" w14:textId="77777777" w:rsidR="00DB5AA9" w:rsidRPr="00711DEB" w:rsidRDefault="00DB5AA9" w:rsidP="0035708B">
            <w:pPr>
              <w:contextualSpacing/>
              <w:rPr>
                <w:b/>
                <w:bCs/>
                <w:sz w:val="18"/>
                <w:szCs w:val="18"/>
              </w:rPr>
            </w:pPr>
            <w:r w:rsidRPr="00711DEB">
              <w:rPr>
                <w:b/>
                <w:bCs/>
                <w:sz w:val="18"/>
                <w:szCs w:val="18"/>
              </w:rPr>
              <w:t>Group</w:t>
            </w:r>
          </w:p>
        </w:tc>
        <w:tc>
          <w:tcPr>
            <w:tcW w:w="2063" w:type="dxa"/>
            <w:hideMark/>
          </w:tcPr>
          <w:p w14:paraId="28832C49" w14:textId="77777777" w:rsidR="00DB5AA9" w:rsidRPr="00711DEB" w:rsidRDefault="00DB5AA9" w:rsidP="0035708B">
            <w:pPr>
              <w:contextualSpacing/>
              <w:rPr>
                <w:b/>
                <w:bCs/>
                <w:sz w:val="18"/>
                <w:szCs w:val="18"/>
              </w:rPr>
            </w:pPr>
            <w:r w:rsidRPr="00711DEB">
              <w:rPr>
                <w:b/>
                <w:bCs/>
                <w:sz w:val="18"/>
                <w:szCs w:val="18"/>
              </w:rPr>
              <w:t>Field name</w:t>
            </w:r>
          </w:p>
        </w:tc>
        <w:tc>
          <w:tcPr>
            <w:tcW w:w="553" w:type="dxa"/>
            <w:hideMark/>
          </w:tcPr>
          <w:p w14:paraId="4B46A6F7" w14:textId="77777777" w:rsidR="00DB5AA9" w:rsidRPr="00711DEB" w:rsidRDefault="00DB5AA9" w:rsidP="0035708B">
            <w:pPr>
              <w:contextualSpacing/>
              <w:rPr>
                <w:b/>
                <w:bCs/>
                <w:sz w:val="18"/>
                <w:szCs w:val="18"/>
              </w:rPr>
            </w:pPr>
            <w:r w:rsidRPr="00711DEB">
              <w:rPr>
                <w:b/>
                <w:bCs/>
                <w:sz w:val="18"/>
                <w:szCs w:val="18"/>
              </w:rPr>
              <w:t>Tier</w:t>
            </w:r>
          </w:p>
        </w:tc>
        <w:tc>
          <w:tcPr>
            <w:tcW w:w="2777" w:type="dxa"/>
            <w:hideMark/>
          </w:tcPr>
          <w:p w14:paraId="70801F47" w14:textId="77777777" w:rsidR="00DB5AA9" w:rsidRPr="00711DEB" w:rsidRDefault="00DB5AA9" w:rsidP="0035708B">
            <w:pPr>
              <w:contextualSpacing/>
              <w:rPr>
                <w:b/>
                <w:bCs/>
                <w:sz w:val="18"/>
                <w:szCs w:val="18"/>
              </w:rPr>
            </w:pPr>
            <w:r w:rsidRPr="00711DEB">
              <w:rPr>
                <w:b/>
                <w:bCs/>
                <w:sz w:val="18"/>
                <w:szCs w:val="18"/>
              </w:rPr>
              <w:t>Typical answers / coding</w:t>
            </w:r>
          </w:p>
        </w:tc>
        <w:tc>
          <w:tcPr>
            <w:tcW w:w="3033" w:type="dxa"/>
            <w:hideMark/>
          </w:tcPr>
          <w:p w14:paraId="7E3CE6EB" w14:textId="77777777" w:rsidR="00DB5AA9" w:rsidRPr="00711DEB" w:rsidRDefault="00DB5AA9" w:rsidP="0035708B">
            <w:pPr>
              <w:contextualSpacing/>
              <w:rPr>
                <w:b/>
                <w:bCs/>
                <w:sz w:val="18"/>
                <w:szCs w:val="18"/>
              </w:rPr>
            </w:pPr>
            <w:r w:rsidRPr="00711DEB">
              <w:rPr>
                <w:b/>
                <w:bCs/>
                <w:sz w:val="18"/>
                <w:szCs w:val="18"/>
              </w:rPr>
              <w:t>Notes / considerations</w:t>
            </w:r>
          </w:p>
        </w:tc>
      </w:tr>
      <w:tr w:rsidR="00DB5AA9" w:rsidRPr="00711DEB" w14:paraId="42D3D6A4" w14:textId="77777777" w:rsidTr="0035708B">
        <w:trPr>
          <w:tblCellSpacing w:w="15" w:type="dxa"/>
        </w:trPr>
        <w:tc>
          <w:tcPr>
            <w:tcW w:w="1282" w:type="dxa"/>
            <w:vMerge w:val="restart"/>
            <w:tcBorders>
              <w:top w:val="single" w:sz="4" w:space="0" w:color="auto"/>
            </w:tcBorders>
            <w:hideMark/>
          </w:tcPr>
          <w:p w14:paraId="4F308404" w14:textId="77777777" w:rsidR="00DB5AA9" w:rsidRPr="00711DEB" w:rsidRDefault="00DB5AA9" w:rsidP="0035708B">
            <w:pPr>
              <w:contextualSpacing/>
              <w:rPr>
                <w:sz w:val="18"/>
                <w:szCs w:val="18"/>
              </w:rPr>
            </w:pPr>
            <w:r w:rsidRPr="00711DEB">
              <w:rPr>
                <w:sz w:val="18"/>
                <w:szCs w:val="18"/>
              </w:rPr>
              <w:t>Core IDs</w:t>
            </w:r>
          </w:p>
        </w:tc>
        <w:tc>
          <w:tcPr>
            <w:tcW w:w="2063" w:type="dxa"/>
            <w:tcBorders>
              <w:top w:val="single" w:sz="4" w:space="0" w:color="auto"/>
            </w:tcBorders>
            <w:hideMark/>
          </w:tcPr>
          <w:p w14:paraId="13455A09" w14:textId="77777777" w:rsidR="00DB5AA9" w:rsidRPr="00711DEB" w:rsidRDefault="00DB5AA9" w:rsidP="0035708B">
            <w:pPr>
              <w:contextualSpacing/>
              <w:rPr>
                <w:sz w:val="18"/>
                <w:szCs w:val="18"/>
              </w:rPr>
            </w:pPr>
            <w:r w:rsidRPr="00711DEB">
              <w:rPr>
                <w:sz w:val="18"/>
                <w:szCs w:val="18"/>
              </w:rPr>
              <w:t>Experiment ID</w:t>
            </w:r>
          </w:p>
        </w:tc>
        <w:tc>
          <w:tcPr>
            <w:tcW w:w="553" w:type="dxa"/>
            <w:tcBorders>
              <w:top w:val="single" w:sz="4" w:space="0" w:color="auto"/>
            </w:tcBorders>
            <w:hideMark/>
          </w:tcPr>
          <w:p w14:paraId="669BBC45"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hideMark/>
          </w:tcPr>
          <w:p w14:paraId="7F929B53" w14:textId="77777777" w:rsidR="00DB5AA9" w:rsidRPr="00711DEB" w:rsidRDefault="00DB5AA9" w:rsidP="0035708B">
            <w:pPr>
              <w:contextualSpacing/>
              <w:rPr>
                <w:sz w:val="18"/>
                <w:szCs w:val="18"/>
              </w:rPr>
            </w:pPr>
            <w:r w:rsidRPr="00711DEB">
              <w:rPr>
                <w:sz w:val="18"/>
                <w:szCs w:val="18"/>
              </w:rPr>
              <w:t>Unique alphanumeric code</w:t>
            </w:r>
          </w:p>
        </w:tc>
        <w:tc>
          <w:tcPr>
            <w:tcW w:w="3033" w:type="dxa"/>
            <w:tcBorders>
              <w:top w:val="single" w:sz="4" w:space="0" w:color="auto"/>
            </w:tcBorders>
          </w:tcPr>
          <w:p w14:paraId="365DAD73" w14:textId="77777777" w:rsidR="00DB5AA9" w:rsidRPr="00711DEB" w:rsidRDefault="00DB5AA9" w:rsidP="0035708B">
            <w:pPr>
              <w:contextualSpacing/>
              <w:rPr>
                <w:sz w:val="18"/>
                <w:szCs w:val="18"/>
              </w:rPr>
            </w:pPr>
            <w:r w:rsidRPr="00711DEB">
              <w:rPr>
                <w:sz w:val="18"/>
                <w:szCs w:val="18"/>
              </w:rPr>
              <w:t>–</w:t>
            </w:r>
          </w:p>
        </w:tc>
      </w:tr>
      <w:tr w:rsidR="00DB5AA9" w:rsidRPr="00711DEB" w14:paraId="6A8B843F" w14:textId="77777777" w:rsidTr="0035708B">
        <w:trPr>
          <w:tblCellSpacing w:w="15" w:type="dxa"/>
        </w:trPr>
        <w:tc>
          <w:tcPr>
            <w:tcW w:w="1282" w:type="dxa"/>
            <w:vMerge/>
          </w:tcPr>
          <w:p w14:paraId="53DE1E74" w14:textId="77777777" w:rsidR="00DB5AA9" w:rsidRPr="00711DEB" w:rsidRDefault="00DB5AA9" w:rsidP="0035708B">
            <w:pPr>
              <w:contextualSpacing/>
              <w:rPr>
                <w:sz w:val="18"/>
                <w:szCs w:val="18"/>
              </w:rPr>
            </w:pPr>
          </w:p>
        </w:tc>
        <w:tc>
          <w:tcPr>
            <w:tcW w:w="2063" w:type="dxa"/>
          </w:tcPr>
          <w:p w14:paraId="0B432FEB" w14:textId="77777777" w:rsidR="00DB5AA9" w:rsidRPr="00711DEB" w:rsidRDefault="00DB5AA9" w:rsidP="0035708B">
            <w:pPr>
              <w:contextualSpacing/>
              <w:rPr>
                <w:sz w:val="18"/>
                <w:szCs w:val="18"/>
              </w:rPr>
            </w:pPr>
            <w:r w:rsidRPr="00711DEB">
              <w:rPr>
                <w:sz w:val="18"/>
                <w:szCs w:val="18"/>
              </w:rPr>
              <w:t>Experiment name</w:t>
            </w:r>
          </w:p>
        </w:tc>
        <w:tc>
          <w:tcPr>
            <w:tcW w:w="553" w:type="dxa"/>
          </w:tcPr>
          <w:p w14:paraId="2B9213CD" w14:textId="77777777" w:rsidR="00DB5AA9" w:rsidRPr="00711DEB" w:rsidRDefault="00DB5AA9" w:rsidP="0035708B">
            <w:pPr>
              <w:contextualSpacing/>
              <w:rPr>
                <w:sz w:val="18"/>
                <w:szCs w:val="18"/>
              </w:rPr>
            </w:pPr>
            <w:r w:rsidRPr="00711DEB">
              <w:rPr>
                <w:sz w:val="18"/>
                <w:szCs w:val="18"/>
              </w:rPr>
              <w:t>1</w:t>
            </w:r>
          </w:p>
        </w:tc>
        <w:tc>
          <w:tcPr>
            <w:tcW w:w="2777" w:type="dxa"/>
          </w:tcPr>
          <w:p w14:paraId="1E0E799D" w14:textId="77777777" w:rsidR="00DB5AA9" w:rsidRPr="00711DEB" w:rsidRDefault="00DB5AA9" w:rsidP="0035708B">
            <w:pPr>
              <w:contextualSpacing/>
              <w:rPr>
                <w:sz w:val="18"/>
                <w:szCs w:val="18"/>
              </w:rPr>
            </w:pPr>
            <w:r w:rsidRPr="00711DEB">
              <w:rPr>
                <w:sz w:val="18"/>
                <w:szCs w:val="18"/>
              </w:rPr>
              <w:t>Descriptive title</w:t>
            </w:r>
          </w:p>
        </w:tc>
        <w:tc>
          <w:tcPr>
            <w:tcW w:w="3033" w:type="dxa"/>
          </w:tcPr>
          <w:p w14:paraId="2C5C4338" w14:textId="77777777" w:rsidR="00DB5AA9" w:rsidRPr="00711DEB" w:rsidRDefault="00DB5AA9" w:rsidP="0035708B">
            <w:pPr>
              <w:contextualSpacing/>
              <w:rPr>
                <w:sz w:val="18"/>
                <w:szCs w:val="18"/>
              </w:rPr>
            </w:pPr>
            <w:r w:rsidRPr="00711DEB">
              <w:rPr>
                <w:sz w:val="18"/>
                <w:szCs w:val="18"/>
              </w:rPr>
              <w:t>–</w:t>
            </w:r>
          </w:p>
        </w:tc>
      </w:tr>
      <w:tr w:rsidR="00DB5AA9" w:rsidRPr="00711DEB" w14:paraId="49C426EE" w14:textId="77777777" w:rsidTr="0035708B">
        <w:trPr>
          <w:tblCellSpacing w:w="15" w:type="dxa"/>
        </w:trPr>
        <w:tc>
          <w:tcPr>
            <w:tcW w:w="1282" w:type="dxa"/>
            <w:vMerge/>
          </w:tcPr>
          <w:p w14:paraId="055D5AFA" w14:textId="77777777" w:rsidR="00DB5AA9" w:rsidRPr="00711DEB" w:rsidRDefault="00DB5AA9" w:rsidP="0035708B">
            <w:pPr>
              <w:contextualSpacing/>
              <w:rPr>
                <w:sz w:val="18"/>
                <w:szCs w:val="18"/>
              </w:rPr>
            </w:pPr>
          </w:p>
        </w:tc>
        <w:tc>
          <w:tcPr>
            <w:tcW w:w="2063" w:type="dxa"/>
          </w:tcPr>
          <w:p w14:paraId="6977E67C" w14:textId="77777777" w:rsidR="00DB5AA9" w:rsidRPr="00711DEB" w:rsidRDefault="00DB5AA9" w:rsidP="0035708B">
            <w:pPr>
              <w:contextualSpacing/>
              <w:rPr>
                <w:sz w:val="18"/>
                <w:szCs w:val="18"/>
              </w:rPr>
            </w:pPr>
            <w:r w:rsidRPr="00711DEB">
              <w:rPr>
                <w:sz w:val="18"/>
                <w:szCs w:val="18"/>
              </w:rPr>
              <w:t>Principal investigator/s</w:t>
            </w:r>
          </w:p>
        </w:tc>
        <w:tc>
          <w:tcPr>
            <w:tcW w:w="553" w:type="dxa"/>
          </w:tcPr>
          <w:p w14:paraId="37D20FB2" w14:textId="77777777" w:rsidR="00DB5AA9" w:rsidRPr="00711DEB" w:rsidRDefault="00DB5AA9" w:rsidP="0035708B">
            <w:pPr>
              <w:contextualSpacing/>
              <w:rPr>
                <w:sz w:val="18"/>
                <w:szCs w:val="18"/>
              </w:rPr>
            </w:pPr>
            <w:r w:rsidRPr="00711DEB">
              <w:rPr>
                <w:sz w:val="18"/>
                <w:szCs w:val="18"/>
              </w:rPr>
              <w:t>1</w:t>
            </w:r>
          </w:p>
        </w:tc>
        <w:tc>
          <w:tcPr>
            <w:tcW w:w="2777" w:type="dxa"/>
          </w:tcPr>
          <w:p w14:paraId="10B0E1AE" w14:textId="77777777" w:rsidR="00DB5AA9" w:rsidRPr="00711DEB" w:rsidRDefault="00DB5AA9" w:rsidP="0035708B">
            <w:pPr>
              <w:contextualSpacing/>
              <w:rPr>
                <w:sz w:val="18"/>
                <w:szCs w:val="18"/>
              </w:rPr>
            </w:pPr>
            <w:r w:rsidRPr="00711DEB">
              <w:rPr>
                <w:sz w:val="18"/>
                <w:szCs w:val="18"/>
              </w:rPr>
              <w:t>Name/s or initials</w:t>
            </w:r>
          </w:p>
        </w:tc>
        <w:tc>
          <w:tcPr>
            <w:tcW w:w="3033" w:type="dxa"/>
          </w:tcPr>
          <w:p w14:paraId="6CCE84A9" w14:textId="77777777" w:rsidR="00DB5AA9" w:rsidRPr="00711DEB" w:rsidRDefault="00DB5AA9" w:rsidP="0035708B">
            <w:pPr>
              <w:contextualSpacing/>
              <w:rPr>
                <w:sz w:val="18"/>
                <w:szCs w:val="18"/>
              </w:rPr>
            </w:pPr>
            <w:r w:rsidRPr="00711DEB">
              <w:rPr>
                <w:sz w:val="18"/>
                <w:szCs w:val="18"/>
              </w:rPr>
              <w:t>–</w:t>
            </w:r>
          </w:p>
        </w:tc>
      </w:tr>
      <w:tr w:rsidR="00DB5AA9" w:rsidRPr="00711DEB" w14:paraId="21B655C1" w14:textId="77777777" w:rsidTr="0035708B">
        <w:trPr>
          <w:tblCellSpacing w:w="15" w:type="dxa"/>
        </w:trPr>
        <w:tc>
          <w:tcPr>
            <w:tcW w:w="1282" w:type="dxa"/>
            <w:vMerge/>
          </w:tcPr>
          <w:p w14:paraId="051642B8" w14:textId="77777777" w:rsidR="00DB5AA9" w:rsidRPr="00711DEB" w:rsidRDefault="00DB5AA9" w:rsidP="0035708B">
            <w:pPr>
              <w:contextualSpacing/>
              <w:rPr>
                <w:sz w:val="18"/>
                <w:szCs w:val="18"/>
              </w:rPr>
            </w:pPr>
          </w:p>
        </w:tc>
        <w:tc>
          <w:tcPr>
            <w:tcW w:w="2063" w:type="dxa"/>
          </w:tcPr>
          <w:p w14:paraId="420A408B" w14:textId="77777777" w:rsidR="00DB5AA9" w:rsidRPr="00711DEB" w:rsidRDefault="00DB5AA9" w:rsidP="0035708B">
            <w:pPr>
              <w:contextualSpacing/>
              <w:rPr>
                <w:sz w:val="18"/>
                <w:szCs w:val="18"/>
              </w:rPr>
            </w:pPr>
            <w:r w:rsidRPr="00711DEB">
              <w:rPr>
                <w:sz w:val="18"/>
                <w:szCs w:val="18"/>
              </w:rPr>
              <w:t>Researcher/s</w:t>
            </w:r>
          </w:p>
        </w:tc>
        <w:tc>
          <w:tcPr>
            <w:tcW w:w="553" w:type="dxa"/>
          </w:tcPr>
          <w:p w14:paraId="1E5AFB13" w14:textId="77777777" w:rsidR="00DB5AA9" w:rsidRPr="00711DEB" w:rsidRDefault="00DB5AA9" w:rsidP="0035708B">
            <w:pPr>
              <w:contextualSpacing/>
              <w:rPr>
                <w:sz w:val="18"/>
                <w:szCs w:val="18"/>
              </w:rPr>
            </w:pPr>
            <w:r w:rsidRPr="00711DEB">
              <w:rPr>
                <w:sz w:val="18"/>
                <w:szCs w:val="18"/>
              </w:rPr>
              <w:t>1</w:t>
            </w:r>
          </w:p>
        </w:tc>
        <w:tc>
          <w:tcPr>
            <w:tcW w:w="2777" w:type="dxa"/>
          </w:tcPr>
          <w:p w14:paraId="235ED4EE" w14:textId="77777777" w:rsidR="00DB5AA9" w:rsidRPr="00711DEB" w:rsidRDefault="00DB5AA9" w:rsidP="0035708B">
            <w:pPr>
              <w:contextualSpacing/>
              <w:rPr>
                <w:sz w:val="18"/>
                <w:szCs w:val="18"/>
              </w:rPr>
            </w:pPr>
            <w:r w:rsidRPr="00711DEB">
              <w:rPr>
                <w:sz w:val="18"/>
                <w:szCs w:val="18"/>
              </w:rPr>
              <w:t>Name/s or initials</w:t>
            </w:r>
          </w:p>
        </w:tc>
        <w:tc>
          <w:tcPr>
            <w:tcW w:w="3033" w:type="dxa"/>
          </w:tcPr>
          <w:p w14:paraId="081B7DD0" w14:textId="77777777" w:rsidR="00DB5AA9" w:rsidRPr="00711DEB" w:rsidRDefault="00DB5AA9" w:rsidP="0035708B">
            <w:pPr>
              <w:contextualSpacing/>
              <w:rPr>
                <w:sz w:val="18"/>
                <w:szCs w:val="18"/>
              </w:rPr>
            </w:pPr>
            <w:r w:rsidRPr="00711DEB">
              <w:rPr>
                <w:sz w:val="18"/>
                <w:szCs w:val="18"/>
              </w:rPr>
              <w:t>–</w:t>
            </w:r>
          </w:p>
        </w:tc>
      </w:tr>
      <w:tr w:rsidR="00DB5AA9" w:rsidRPr="00711DEB" w14:paraId="722F8D7C" w14:textId="77777777" w:rsidTr="0035708B">
        <w:trPr>
          <w:tblCellSpacing w:w="15" w:type="dxa"/>
        </w:trPr>
        <w:tc>
          <w:tcPr>
            <w:tcW w:w="1282" w:type="dxa"/>
            <w:vMerge/>
          </w:tcPr>
          <w:p w14:paraId="6B0481A3" w14:textId="77777777" w:rsidR="00DB5AA9" w:rsidRPr="00711DEB" w:rsidRDefault="00DB5AA9" w:rsidP="0035708B">
            <w:pPr>
              <w:contextualSpacing/>
              <w:rPr>
                <w:sz w:val="18"/>
                <w:szCs w:val="18"/>
              </w:rPr>
            </w:pPr>
          </w:p>
        </w:tc>
        <w:tc>
          <w:tcPr>
            <w:tcW w:w="2063" w:type="dxa"/>
          </w:tcPr>
          <w:p w14:paraId="26EE30B8" w14:textId="77777777" w:rsidR="00DB5AA9" w:rsidRPr="00711DEB" w:rsidRDefault="00DB5AA9" w:rsidP="0035708B">
            <w:pPr>
              <w:contextualSpacing/>
              <w:rPr>
                <w:sz w:val="18"/>
                <w:szCs w:val="18"/>
              </w:rPr>
            </w:pPr>
            <w:r w:rsidRPr="00711DEB">
              <w:rPr>
                <w:sz w:val="18"/>
                <w:szCs w:val="18"/>
              </w:rPr>
              <w:t>Contact person</w:t>
            </w:r>
          </w:p>
        </w:tc>
        <w:tc>
          <w:tcPr>
            <w:tcW w:w="553" w:type="dxa"/>
          </w:tcPr>
          <w:p w14:paraId="1ACFC8E8" w14:textId="77777777" w:rsidR="00DB5AA9" w:rsidRPr="00711DEB" w:rsidRDefault="00DB5AA9" w:rsidP="0035708B">
            <w:pPr>
              <w:contextualSpacing/>
              <w:rPr>
                <w:sz w:val="18"/>
                <w:szCs w:val="18"/>
              </w:rPr>
            </w:pPr>
            <w:r w:rsidRPr="00711DEB">
              <w:rPr>
                <w:sz w:val="18"/>
                <w:szCs w:val="18"/>
              </w:rPr>
              <w:t>1</w:t>
            </w:r>
          </w:p>
        </w:tc>
        <w:tc>
          <w:tcPr>
            <w:tcW w:w="2777" w:type="dxa"/>
          </w:tcPr>
          <w:p w14:paraId="305B1964" w14:textId="77777777" w:rsidR="00DB5AA9" w:rsidRPr="00711DEB" w:rsidRDefault="00DB5AA9" w:rsidP="0035708B">
            <w:pPr>
              <w:contextualSpacing/>
              <w:rPr>
                <w:sz w:val="18"/>
                <w:szCs w:val="18"/>
              </w:rPr>
            </w:pPr>
            <w:r w:rsidRPr="00711DEB">
              <w:rPr>
                <w:sz w:val="18"/>
                <w:szCs w:val="18"/>
              </w:rPr>
              <w:t>Single designated contact</w:t>
            </w:r>
          </w:p>
        </w:tc>
        <w:tc>
          <w:tcPr>
            <w:tcW w:w="3033" w:type="dxa"/>
          </w:tcPr>
          <w:p w14:paraId="31E9D224" w14:textId="77777777" w:rsidR="00DB5AA9" w:rsidRPr="00711DEB" w:rsidRDefault="00DB5AA9" w:rsidP="0035708B">
            <w:pPr>
              <w:contextualSpacing/>
              <w:rPr>
                <w:sz w:val="18"/>
                <w:szCs w:val="18"/>
              </w:rPr>
            </w:pPr>
            <w:r w:rsidRPr="00711DEB">
              <w:rPr>
                <w:sz w:val="18"/>
                <w:szCs w:val="18"/>
              </w:rPr>
              <w:t>–</w:t>
            </w:r>
          </w:p>
        </w:tc>
      </w:tr>
      <w:tr w:rsidR="00DB5AA9" w:rsidRPr="00711DEB" w14:paraId="325FF7FD" w14:textId="77777777" w:rsidTr="0035708B">
        <w:trPr>
          <w:tblCellSpacing w:w="15" w:type="dxa"/>
        </w:trPr>
        <w:tc>
          <w:tcPr>
            <w:tcW w:w="1282" w:type="dxa"/>
            <w:vMerge/>
          </w:tcPr>
          <w:p w14:paraId="2553C928" w14:textId="77777777" w:rsidR="00DB5AA9" w:rsidRPr="00711DEB" w:rsidRDefault="00DB5AA9" w:rsidP="0035708B">
            <w:pPr>
              <w:contextualSpacing/>
              <w:rPr>
                <w:sz w:val="18"/>
                <w:szCs w:val="18"/>
              </w:rPr>
            </w:pPr>
          </w:p>
        </w:tc>
        <w:tc>
          <w:tcPr>
            <w:tcW w:w="2063" w:type="dxa"/>
          </w:tcPr>
          <w:p w14:paraId="1A58C7CB" w14:textId="77777777" w:rsidR="00DB5AA9" w:rsidRPr="00711DEB" w:rsidRDefault="00DB5AA9" w:rsidP="0035708B">
            <w:pPr>
              <w:contextualSpacing/>
              <w:rPr>
                <w:sz w:val="18"/>
                <w:szCs w:val="18"/>
              </w:rPr>
            </w:pPr>
            <w:r w:rsidRPr="00711DEB">
              <w:rPr>
                <w:sz w:val="18"/>
                <w:szCs w:val="18"/>
              </w:rPr>
              <w:t>Contact information</w:t>
            </w:r>
          </w:p>
        </w:tc>
        <w:tc>
          <w:tcPr>
            <w:tcW w:w="553" w:type="dxa"/>
          </w:tcPr>
          <w:p w14:paraId="5AF57C6E" w14:textId="77777777" w:rsidR="00DB5AA9" w:rsidRPr="00711DEB" w:rsidRDefault="00DB5AA9" w:rsidP="0035708B">
            <w:pPr>
              <w:contextualSpacing/>
              <w:rPr>
                <w:sz w:val="18"/>
                <w:szCs w:val="18"/>
              </w:rPr>
            </w:pPr>
            <w:r w:rsidRPr="00711DEB">
              <w:rPr>
                <w:sz w:val="18"/>
                <w:szCs w:val="18"/>
              </w:rPr>
              <w:t>1</w:t>
            </w:r>
          </w:p>
        </w:tc>
        <w:tc>
          <w:tcPr>
            <w:tcW w:w="2777" w:type="dxa"/>
          </w:tcPr>
          <w:p w14:paraId="16B35EF5" w14:textId="77777777" w:rsidR="00DB5AA9" w:rsidRPr="00711DEB" w:rsidRDefault="00DB5AA9" w:rsidP="0035708B">
            <w:pPr>
              <w:contextualSpacing/>
              <w:rPr>
                <w:sz w:val="18"/>
                <w:szCs w:val="18"/>
              </w:rPr>
            </w:pPr>
            <w:r w:rsidRPr="00711DEB">
              <w:rPr>
                <w:sz w:val="18"/>
                <w:szCs w:val="18"/>
              </w:rPr>
              <w:t>Email</w:t>
            </w:r>
          </w:p>
        </w:tc>
        <w:tc>
          <w:tcPr>
            <w:tcW w:w="3033" w:type="dxa"/>
          </w:tcPr>
          <w:p w14:paraId="7A4E8C0E" w14:textId="77777777" w:rsidR="00DB5AA9" w:rsidRPr="00711DEB" w:rsidRDefault="00DB5AA9" w:rsidP="0035708B">
            <w:pPr>
              <w:contextualSpacing/>
              <w:rPr>
                <w:sz w:val="18"/>
                <w:szCs w:val="18"/>
              </w:rPr>
            </w:pPr>
            <w:r w:rsidRPr="00711DEB">
              <w:rPr>
                <w:sz w:val="18"/>
                <w:szCs w:val="18"/>
              </w:rPr>
              <w:t>–</w:t>
            </w:r>
          </w:p>
        </w:tc>
      </w:tr>
      <w:tr w:rsidR="00DB5AA9" w:rsidRPr="00711DEB" w14:paraId="0D4164F1" w14:textId="77777777" w:rsidTr="0035708B">
        <w:trPr>
          <w:tblCellSpacing w:w="15" w:type="dxa"/>
        </w:trPr>
        <w:tc>
          <w:tcPr>
            <w:tcW w:w="1282" w:type="dxa"/>
            <w:vMerge/>
          </w:tcPr>
          <w:p w14:paraId="26B964FA" w14:textId="77777777" w:rsidR="00DB5AA9" w:rsidRPr="00711DEB" w:rsidRDefault="00DB5AA9" w:rsidP="0035708B">
            <w:pPr>
              <w:contextualSpacing/>
              <w:rPr>
                <w:sz w:val="18"/>
                <w:szCs w:val="18"/>
              </w:rPr>
            </w:pPr>
          </w:p>
        </w:tc>
        <w:tc>
          <w:tcPr>
            <w:tcW w:w="2063" w:type="dxa"/>
          </w:tcPr>
          <w:p w14:paraId="316389E9" w14:textId="77777777" w:rsidR="00DB5AA9" w:rsidRPr="00711DEB" w:rsidRDefault="00DB5AA9" w:rsidP="0035708B">
            <w:pPr>
              <w:contextualSpacing/>
              <w:rPr>
                <w:sz w:val="18"/>
                <w:szCs w:val="18"/>
              </w:rPr>
            </w:pPr>
            <w:r w:rsidRPr="00711DEB">
              <w:rPr>
                <w:sz w:val="18"/>
                <w:szCs w:val="18"/>
              </w:rPr>
              <w:t>Lab/s</w:t>
            </w:r>
          </w:p>
        </w:tc>
        <w:tc>
          <w:tcPr>
            <w:tcW w:w="553" w:type="dxa"/>
          </w:tcPr>
          <w:p w14:paraId="52AE873C" w14:textId="77777777" w:rsidR="00DB5AA9" w:rsidRPr="00711DEB" w:rsidRDefault="00DB5AA9" w:rsidP="0035708B">
            <w:pPr>
              <w:contextualSpacing/>
              <w:rPr>
                <w:sz w:val="18"/>
                <w:szCs w:val="18"/>
              </w:rPr>
            </w:pPr>
            <w:r w:rsidRPr="00711DEB">
              <w:rPr>
                <w:sz w:val="18"/>
                <w:szCs w:val="18"/>
              </w:rPr>
              <w:t>1</w:t>
            </w:r>
          </w:p>
        </w:tc>
        <w:tc>
          <w:tcPr>
            <w:tcW w:w="2777" w:type="dxa"/>
          </w:tcPr>
          <w:p w14:paraId="0C86EF9A" w14:textId="77777777" w:rsidR="00DB5AA9" w:rsidRPr="00711DEB" w:rsidRDefault="00DB5AA9" w:rsidP="0035708B">
            <w:pPr>
              <w:contextualSpacing/>
              <w:rPr>
                <w:sz w:val="18"/>
                <w:szCs w:val="18"/>
              </w:rPr>
            </w:pPr>
            <w:r w:rsidRPr="00711DEB">
              <w:rPr>
                <w:sz w:val="18"/>
                <w:szCs w:val="18"/>
              </w:rPr>
              <w:t>Lab or unit name</w:t>
            </w:r>
          </w:p>
        </w:tc>
        <w:tc>
          <w:tcPr>
            <w:tcW w:w="3033" w:type="dxa"/>
          </w:tcPr>
          <w:p w14:paraId="2FA2A284" w14:textId="77777777" w:rsidR="00DB5AA9" w:rsidRPr="00711DEB" w:rsidRDefault="00DB5AA9" w:rsidP="0035708B">
            <w:pPr>
              <w:contextualSpacing/>
              <w:rPr>
                <w:sz w:val="18"/>
                <w:szCs w:val="18"/>
              </w:rPr>
            </w:pPr>
            <w:r w:rsidRPr="00711DEB">
              <w:rPr>
                <w:sz w:val="18"/>
                <w:szCs w:val="18"/>
              </w:rPr>
              <w:t>–</w:t>
            </w:r>
          </w:p>
        </w:tc>
      </w:tr>
      <w:tr w:rsidR="00DB5AA9" w:rsidRPr="00711DEB" w14:paraId="1C8B1FF6" w14:textId="77777777" w:rsidTr="0035708B">
        <w:trPr>
          <w:tblCellSpacing w:w="15" w:type="dxa"/>
        </w:trPr>
        <w:tc>
          <w:tcPr>
            <w:tcW w:w="1282" w:type="dxa"/>
            <w:vMerge/>
          </w:tcPr>
          <w:p w14:paraId="20CA33DD" w14:textId="77777777" w:rsidR="00DB5AA9" w:rsidRPr="00711DEB" w:rsidRDefault="00DB5AA9" w:rsidP="0035708B">
            <w:pPr>
              <w:contextualSpacing/>
              <w:rPr>
                <w:sz w:val="18"/>
                <w:szCs w:val="18"/>
              </w:rPr>
            </w:pPr>
          </w:p>
        </w:tc>
        <w:tc>
          <w:tcPr>
            <w:tcW w:w="2063" w:type="dxa"/>
          </w:tcPr>
          <w:p w14:paraId="0834759D" w14:textId="77777777" w:rsidR="00DB5AA9" w:rsidRPr="00711DEB" w:rsidRDefault="00DB5AA9" w:rsidP="0035708B">
            <w:pPr>
              <w:contextualSpacing/>
              <w:rPr>
                <w:sz w:val="18"/>
                <w:szCs w:val="18"/>
              </w:rPr>
            </w:pPr>
            <w:r w:rsidRPr="00711DEB">
              <w:rPr>
                <w:sz w:val="18"/>
                <w:szCs w:val="18"/>
              </w:rPr>
              <w:t>Institute/s</w:t>
            </w:r>
          </w:p>
        </w:tc>
        <w:tc>
          <w:tcPr>
            <w:tcW w:w="553" w:type="dxa"/>
          </w:tcPr>
          <w:p w14:paraId="5F90B0B8" w14:textId="77777777" w:rsidR="00DB5AA9" w:rsidRPr="00711DEB" w:rsidRDefault="00DB5AA9" w:rsidP="0035708B">
            <w:pPr>
              <w:contextualSpacing/>
              <w:rPr>
                <w:sz w:val="18"/>
                <w:szCs w:val="18"/>
              </w:rPr>
            </w:pPr>
            <w:r w:rsidRPr="00711DEB">
              <w:rPr>
                <w:sz w:val="18"/>
                <w:szCs w:val="18"/>
              </w:rPr>
              <w:t>1</w:t>
            </w:r>
          </w:p>
        </w:tc>
        <w:tc>
          <w:tcPr>
            <w:tcW w:w="2777" w:type="dxa"/>
          </w:tcPr>
          <w:p w14:paraId="4CD874E2" w14:textId="77777777" w:rsidR="00DB5AA9" w:rsidRPr="00711DEB" w:rsidRDefault="00DB5AA9" w:rsidP="0035708B">
            <w:pPr>
              <w:contextualSpacing/>
              <w:rPr>
                <w:sz w:val="18"/>
                <w:szCs w:val="18"/>
              </w:rPr>
            </w:pPr>
            <w:r w:rsidRPr="00711DEB">
              <w:rPr>
                <w:sz w:val="18"/>
                <w:szCs w:val="18"/>
              </w:rPr>
              <w:t xml:space="preserve">Organisational affiliation </w:t>
            </w:r>
          </w:p>
        </w:tc>
        <w:tc>
          <w:tcPr>
            <w:tcW w:w="3033" w:type="dxa"/>
          </w:tcPr>
          <w:p w14:paraId="2708ED7A" w14:textId="77777777" w:rsidR="00DB5AA9" w:rsidRPr="00711DEB" w:rsidRDefault="00DB5AA9" w:rsidP="0035708B">
            <w:pPr>
              <w:contextualSpacing/>
              <w:rPr>
                <w:sz w:val="18"/>
                <w:szCs w:val="18"/>
              </w:rPr>
            </w:pPr>
            <w:r w:rsidRPr="00711DEB">
              <w:rPr>
                <w:sz w:val="18"/>
                <w:szCs w:val="18"/>
              </w:rPr>
              <w:t>–</w:t>
            </w:r>
          </w:p>
        </w:tc>
      </w:tr>
      <w:tr w:rsidR="00DB5AA9" w:rsidRPr="00711DEB" w14:paraId="775DA72E" w14:textId="77777777" w:rsidTr="0035708B">
        <w:trPr>
          <w:tblCellSpacing w:w="15" w:type="dxa"/>
        </w:trPr>
        <w:tc>
          <w:tcPr>
            <w:tcW w:w="1282" w:type="dxa"/>
            <w:vMerge/>
          </w:tcPr>
          <w:p w14:paraId="2055F484" w14:textId="77777777" w:rsidR="00DB5AA9" w:rsidRPr="00711DEB" w:rsidRDefault="00DB5AA9" w:rsidP="0035708B">
            <w:pPr>
              <w:contextualSpacing/>
              <w:rPr>
                <w:sz w:val="18"/>
                <w:szCs w:val="18"/>
              </w:rPr>
            </w:pPr>
          </w:p>
        </w:tc>
        <w:tc>
          <w:tcPr>
            <w:tcW w:w="2063" w:type="dxa"/>
          </w:tcPr>
          <w:p w14:paraId="1C921EC2" w14:textId="77777777" w:rsidR="00DB5AA9" w:rsidRPr="00711DEB" w:rsidRDefault="00DB5AA9" w:rsidP="0035708B">
            <w:pPr>
              <w:contextualSpacing/>
              <w:rPr>
                <w:sz w:val="18"/>
                <w:szCs w:val="18"/>
              </w:rPr>
            </w:pPr>
            <w:r w:rsidRPr="00711DEB">
              <w:rPr>
                <w:sz w:val="18"/>
                <w:szCs w:val="18"/>
              </w:rPr>
              <w:t>Location/s</w:t>
            </w:r>
          </w:p>
        </w:tc>
        <w:tc>
          <w:tcPr>
            <w:tcW w:w="553" w:type="dxa"/>
          </w:tcPr>
          <w:p w14:paraId="2CB2B1CC" w14:textId="77777777" w:rsidR="00DB5AA9" w:rsidRPr="00711DEB" w:rsidRDefault="00DB5AA9" w:rsidP="0035708B">
            <w:pPr>
              <w:contextualSpacing/>
              <w:rPr>
                <w:sz w:val="18"/>
                <w:szCs w:val="18"/>
              </w:rPr>
            </w:pPr>
            <w:r w:rsidRPr="00711DEB">
              <w:rPr>
                <w:sz w:val="18"/>
                <w:szCs w:val="18"/>
              </w:rPr>
              <w:t>1</w:t>
            </w:r>
          </w:p>
        </w:tc>
        <w:tc>
          <w:tcPr>
            <w:tcW w:w="2777" w:type="dxa"/>
          </w:tcPr>
          <w:p w14:paraId="5E5BB739" w14:textId="77777777" w:rsidR="00DB5AA9" w:rsidRPr="00711DEB" w:rsidRDefault="00DB5AA9" w:rsidP="0035708B">
            <w:pPr>
              <w:contextualSpacing/>
              <w:rPr>
                <w:sz w:val="18"/>
                <w:szCs w:val="18"/>
              </w:rPr>
            </w:pPr>
            <w:r w:rsidRPr="00711DEB">
              <w:rPr>
                <w:sz w:val="18"/>
                <w:szCs w:val="18"/>
              </w:rPr>
              <w:t>City, country, optionally coordinates or street address</w:t>
            </w:r>
          </w:p>
        </w:tc>
        <w:tc>
          <w:tcPr>
            <w:tcW w:w="3033" w:type="dxa"/>
          </w:tcPr>
          <w:p w14:paraId="7F90F6EC" w14:textId="77777777" w:rsidR="00DB5AA9" w:rsidRPr="00711DEB" w:rsidRDefault="00DB5AA9" w:rsidP="0035708B">
            <w:pPr>
              <w:contextualSpacing/>
              <w:rPr>
                <w:sz w:val="18"/>
                <w:szCs w:val="18"/>
              </w:rPr>
            </w:pPr>
            <w:r>
              <w:rPr>
                <w:sz w:val="18"/>
                <w:szCs w:val="18"/>
              </w:rPr>
              <w:t>High-resolution location info helps with automated climate data and time zone</w:t>
            </w:r>
          </w:p>
        </w:tc>
      </w:tr>
      <w:tr w:rsidR="00DB5AA9" w:rsidRPr="00711DEB" w14:paraId="4A56D514" w14:textId="77777777" w:rsidTr="0035708B">
        <w:trPr>
          <w:tblCellSpacing w:w="15" w:type="dxa"/>
        </w:trPr>
        <w:tc>
          <w:tcPr>
            <w:tcW w:w="1282" w:type="dxa"/>
            <w:vMerge w:val="restart"/>
            <w:tcBorders>
              <w:top w:val="single" w:sz="4" w:space="0" w:color="auto"/>
            </w:tcBorders>
          </w:tcPr>
          <w:p w14:paraId="5EE37BD5" w14:textId="77777777" w:rsidR="00DB5AA9" w:rsidRPr="00711DEB" w:rsidRDefault="00DB5AA9" w:rsidP="0035708B">
            <w:pPr>
              <w:contextualSpacing/>
              <w:rPr>
                <w:sz w:val="18"/>
                <w:szCs w:val="18"/>
              </w:rPr>
            </w:pPr>
            <w:r w:rsidRPr="00711DEB">
              <w:rPr>
                <w:sz w:val="18"/>
                <w:szCs w:val="18"/>
              </w:rPr>
              <w:t>Ethics &amp; governance</w:t>
            </w:r>
          </w:p>
        </w:tc>
        <w:tc>
          <w:tcPr>
            <w:tcW w:w="2063" w:type="dxa"/>
            <w:tcBorders>
              <w:top w:val="single" w:sz="4" w:space="0" w:color="auto"/>
            </w:tcBorders>
          </w:tcPr>
          <w:p w14:paraId="5812786A" w14:textId="77777777" w:rsidR="00DB5AA9" w:rsidRPr="00711DEB" w:rsidRDefault="00DB5AA9" w:rsidP="0035708B">
            <w:pPr>
              <w:contextualSpacing/>
              <w:rPr>
                <w:sz w:val="18"/>
                <w:szCs w:val="18"/>
              </w:rPr>
            </w:pPr>
            <w:r w:rsidRPr="00711DEB">
              <w:rPr>
                <w:sz w:val="18"/>
                <w:szCs w:val="18"/>
              </w:rPr>
              <w:t>Ethics committee</w:t>
            </w:r>
          </w:p>
        </w:tc>
        <w:tc>
          <w:tcPr>
            <w:tcW w:w="553" w:type="dxa"/>
            <w:tcBorders>
              <w:top w:val="single" w:sz="4" w:space="0" w:color="auto"/>
            </w:tcBorders>
          </w:tcPr>
          <w:p w14:paraId="57A252C6"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094E4EB9" w14:textId="77777777" w:rsidR="00DB5AA9" w:rsidRPr="00711DEB" w:rsidRDefault="00DB5AA9" w:rsidP="0035708B">
            <w:pPr>
              <w:contextualSpacing/>
              <w:rPr>
                <w:sz w:val="18"/>
                <w:szCs w:val="18"/>
              </w:rPr>
            </w:pPr>
            <w:r w:rsidRPr="00711DEB">
              <w:rPr>
                <w:sz w:val="18"/>
                <w:szCs w:val="18"/>
              </w:rPr>
              <w:t>Full name</w:t>
            </w:r>
          </w:p>
        </w:tc>
        <w:tc>
          <w:tcPr>
            <w:tcW w:w="3033" w:type="dxa"/>
            <w:tcBorders>
              <w:top w:val="single" w:sz="4" w:space="0" w:color="auto"/>
            </w:tcBorders>
          </w:tcPr>
          <w:p w14:paraId="1C2ECC0D" w14:textId="77777777" w:rsidR="00DB5AA9" w:rsidRPr="00711DEB" w:rsidRDefault="00DB5AA9" w:rsidP="0035708B">
            <w:pPr>
              <w:contextualSpacing/>
              <w:rPr>
                <w:sz w:val="18"/>
                <w:szCs w:val="18"/>
              </w:rPr>
            </w:pPr>
            <w:r w:rsidRPr="00711DEB">
              <w:rPr>
                <w:sz w:val="18"/>
                <w:szCs w:val="18"/>
              </w:rPr>
              <w:t>–</w:t>
            </w:r>
          </w:p>
        </w:tc>
      </w:tr>
      <w:tr w:rsidR="00DB5AA9" w:rsidRPr="00711DEB" w14:paraId="51D10128" w14:textId="77777777" w:rsidTr="0035708B">
        <w:trPr>
          <w:tblCellSpacing w:w="15" w:type="dxa"/>
        </w:trPr>
        <w:tc>
          <w:tcPr>
            <w:tcW w:w="1282" w:type="dxa"/>
            <w:vMerge/>
          </w:tcPr>
          <w:p w14:paraId="00394F9D" w14:textId="77777777" w:rsidR="00DB5AA9" w:rsidRPr="00711DEB" w:rsidRDefault="00DB5AA9" w:rsidP="0035708B">
            <w:pPr>
              <w:contextualSpacing/>
              <w:rPr>
                <w:sz w:val="18"/>
                <w:szCs w:val="18"/>
              </w:rPr>
            </w:pPr>
          </w:p>
        </w:tc>
        <w:tc>
          <w:tcPr>
            <w:tcW w:w="2063" w:type="dxa"/>
          </w:tcPr>
          <w:p w14:paraId="31AFEA5D" w14:textId="77777777" w:rsidR="00DB5AA9" w:rsidRPr="00711DEB" w:rsidRDefault="00DB5AA9" w:rsidP="0035708B">
            <w:pPr>
              <w:contextualSpacing/>
              <w:rPr>
                <w:sz w:val="18"/>
                <w:szCs w:val="18"/>
              </w:rPr>
            </w:pPr>
            <w:r w:rsidRPr="00711DEB">
              <w:rPr>
                <w:sz w:val="18"/>
                <w:szCs w:val="18"/>
              </w:rPr>
              <w:t>Ethics approval ID/Code</w:t>
            </w:r>
          </w:p>
        </w:tc>
        <w:tc>
          <w:tcPr>
            <w:tcW w:w="553" w:type="dxa"/>
          </w:tcPr>
          <w:p w14:paraId="44BED1B2" w14:textId="77777777" w:rsidR="00DB5AA9" w:rsidRPr="00711DEB" w:rsidRDefault="00DB5AA9" w:rsidP="0035708B">
            <w:pPr>
              <w:contextualSpacing/>
              <w:rPr>
                <w:sz w:val="18"/>
                <w:szCs w:val="18"/>
              </w:rPr>
            </w:pPr>
            <w:r w:rsidRPr="00711DEB">
              <w:rPr>
                <w:sz w:val="18"/>
                <w:szCs w:val="18"/>
              </w:rPr>
              <w:t>1</w:t>
            </w:r>
          </w:p>
        </w:tc>
        <w:tc>
          <w:tcPr>
            <w:tcW w:w="2777" w:type="dxa"/>
          </w:tcPr>
          <w:p w14:paraId="677F6EB5" w14:textId="77777777" w:rsidR="00DB5AA9" w:rsidRPr="00711DEB" w:rsidRDefault="00DB5AA9" w:rsidP="0035708B">
            <w:pPr>
              <w:contextualSpacing/>
              <w:rPr>
                <w:sz w:val="18"/>
                <w:szCs w:val="18"/>
              </w:rPr>
            </w:pPr>
            <w:r w:rsidRPr="00711DEB">
              <w:rPr>
                <w:sz w:val="18"/>
                <w:szCs w:val="18"/>
              </w:rPr>
              <w:t>Approval number</w:t>
            </w:r>
          </w:p>
        </w:tc>
        <w:tc>
          <w:tcPr>
            <w:tcW w:w="3033" w:type="dxa"/>
          </w:tcPr>
          <w:p w14:paraId="1EC6F5D0" w14:textId="77777777" w:rsidR="00DB5AA9" w:rsidRPr="00711DEB" w:rsidRDefault="00DB5AA9" w:rsidP="0035708B">
            <w:pPr>
              <w:contextualSpacing/>
              <w:rPr>
                <w:sz w:val="18"/>
                <w:szCs w:val="18"/>
              </w:rPr>
            </w:pPr>
            <w:r w:rsidRPr="00711DEB">
              <w:rPr>
                <w:sz w:val="18"/>
                <w:szCs w:val="18"/>
              </w:rPr>
              <w:t>–</w:t>
            </w:r>
          </w:p>
        </w:tc>
      </w:tr>
      <w:tr w:rsidR="00DB5AA9" w:rsidRPr="00711DEB" w14:paraId="3E49AD5D" w14:textId="77777777" w:rsidTr="0035708B">
        <w:trPr>
          <w:tblCellSpacing w:w="15" w:type="dxa"/>
        </w:trPr>
        <w:tc>
          <w:tcPr>
            <w:tcW w:w="1282" w:type="dxa"/>
            <w:vMerge/>
          </w:tcPr>
          <w:p w14:paraId="5A263824" w14:textId="77777777" w:rsidR="00DB5AA9" w:rsidRPr="00711DEB" w:rsidRDefault="00DB5AA9" w:rsidP="0035708B">
            <w:pPr>
              <w:contextualSpacing/>
              <w:rPr>
                <w:sz w:val="18"/>
                <w:szCs w:val="18"/>
              </w:rPr>
            </w:pPr>
          </w:p>
        </w:tc>
        <w:tc>
          <w:tcPr>
            <w:tcW w:w="2063" w:type="dxa"/>
          </w:tcPr>
          <w:p w14:paraId="0744AA67" w14:textId="77777777" w:rsidR="00DB5AA9" w:rsidRPr="00711DEB" w:rsidRDefault="00DB5AA9" w:rsidP="0035708B">
            <w:pPr>
              <w:contextualSpacing/>
              <w:rPr>
                <w:sz w:val="18"/>
                <w:szCs w:val="18"/>
              </w:rPr>
            </w:pPr>
            <w:r w:rsidRPr="00711DEB">
              <w:rPr>
                <w:sz w:val="18"/>
                <w:szCs w:val="18"/>
              </w:rPr>
              <w:t>Approval date</w:t>
            </w:r>
          </w:p>
        </w:tc>
        <w:tc>
          <w:tcPr>
            <w:tcW w:w="553" w:type="dxa"/>
          </w:tcPr>
          <w:p w14:paraId="7049E56A" w14:textId="77777777" w:rsidR="00DB5AA9" w:rsidRPr="00711DEB" w:rsidRDefault="00DB5AA9" w:rsidP="0035708B">
            <w:pPr>
              <w:contextualSpacing/>
              <w:rPr>
                <w:sz w:val="18"/>
                <w:szCs w:val="18"/>
              </w:rPr>
            </w:pPr>
            <w:r w:rsidRPr="00711DEB">
              <w:rPr>
                <w:sz w:val="18"/>
                <w:szCs w:val="18"/>
              </w:rPr>
              <w:t>2</w:t>
            </w:r>
          </w:p>
        </w:tc>
        <w:tc>
          <w:tcPr>
            <w:tcW w:w="2777" w:type="dxa"/>
          </w:tcPr>
          <w:p w14:paraId="5DF315F5" w14:textId="77777777" w:rsidR="00DB5AA9" w:rsidRPr="00711DEB" w:rsidRDefault="00DB5AA9" w:rsidP="0035708B">
            <w:pPr>
              <w:contextualSpacing/>
              <w:rPr>
                <w:sz w:val="18"/>
                <w:szCs w:val="18"/>
              </w:rPr>
            </w:pPr>
            <w:r w:rsidRPr="00711DEB">
              <w:rPr>
                <w:sz w:val="18"/>
                <w:szCs w:val="18"/>
              </w:rPr>
              <w:t>YYYY-MM-DD</w:t>
            </w:r>
          </w:p>
        </w:tc>
        <w:tc>
          <w:tcPr>
            <w:tcW w:w="3033" w:type="dxa"/>
          </w:tcPr>
          <w:p w14:paraId="519E3AFC" w14:textId="77777777" w:rsidR="00DB5AA9" w:rsidRPr="00711DEB" w:rsidRDefault="00DB5AA9" w:rsidP="0035708B">
            <w:pPr>
              <w:contextualSpacing/>
              <w:rPr>
                <w:sz w:val="18"/>
                <w:szCs w:val="18"/>
              </w:rPr>
            </w:pPr>
            <w:r w:rsidRPr="00711DEB">
              <w:rPr>
                <w:sz w:val="18"/>
                <w:szCs w:val="18"/>
              </w:rPr>
              <w:t>–</w:t>
            </w:r>
          </w:p>
        </w:tc>
      </w:tr>
      <w:tr w:rsidR="00DB5AA9" w:rsidRPr="00711DEB" w14:paraId="26C454BF" w14:textId="77777777" w:rsidTr="0035708B">
        <w:trPr>
          <w:tblCellSpacing w:w="15" w:type="dxa"/>
        </w:trPr>
        <w:tc>
          <w:tcPr>
            <w:tcW w:w="1282" w:type="dxa"/>
            <w:vMerge/>
          </w:tcPr>
          <w:p w14:paraId="2B8C9E21" w14:textId="77777777" w:rsidR="00DB5AA9" w:rsidRPr="00711DEB" w:rsidRDefault="00DB5AA9" w:rsidP="0035708B">
            <w:pPr>
              <w:contextualSpacing/>
              <w:rPr>
                <w:sz w:val="18"/>
                <w:szCs w:val="18"/>
              </w:rPr>
            </w:pPr>
          </w:p>
        </w:tc>
        <w:tc>
          <w:tcPr>
            <w:tcW w:w="2063" w:type="dxa"/>
          </w:tcPr>
          <w:p w14:paraId="4C9B2D8E" w14:textId="77777777" w:rsidR="00DB5AA9" w:rsidRPr="00711DEB" w:rsidRDefault="00DB5AA9" w:rsidP="0035708B">
            <w:pPr>
              <w:contextualSpacing/>
              <w:rPr>
                <w:sz w:val="18"/>
                <w:szCs w:val="18"/>
              </w:rPr>
            </w:pPr>
            <w:r w:rsidRPr="00711DEB">
              <w:rPr>
                <w:sz w:val="18"/>
                <w:szCs w:val="18"/>
              </w:rPr>
              <w:t>Amendments/versions</w:t>
            </w:r>
          </w:p>
        </w:tc>
        <w:tc>
          <w:tcPr>
            <w:tcW w:w="553" w:type="dxa"/>
          </w:tcPr>
          <w:p w14:paraId="782F8B0E" w14:textId="77777777" w:rsidR="00DB5AA9" w:rsidRPr="00711DEB" w:rsidRDefault="00DB5AA9" w:rsidP="0035708B">
            <w:pPr>
              <w:contextualSpacing/>
              <w:rPr>
                <w:sz w:val="18"/>
                <w:szCs w:val="18"/>
              </w:rPr>
            </w:pPr>
            <w:r w:rsidRPr="00711DEB">
              <w:rPr>
                <w:sz w:val="18"/>
                <w:szCs w:val="18"/>
              </w:rPr>
              <w:t>2</w:t>
            </w:r>
          </w:p>
        </w:tc>
        <w:tc>
          <w:tcPr>
            <w:tcW w:w="2777" w:type="dxa"/>
          </w:tcPr>
          <w:p w14:paraId="52F69C8F" w14:textId="77777777" w:rsidR="00DB5AA9" w:rsidRPr="00711DEB" w:rsidRDefault="00DB5AA9" w:rsidP="0035708B">
            <w:pPr>
              <w:contextualSpacing/>
              <w:rPr>
                <w:sz w:val="18"/>
                <w:szCs w:val="18"/>
              </w:rPr>
            </w:pPr>
            <w:r w:rsidRPr="00711DEB">
              <w:rPr>
                <w:sz w:val="18"/>
                <w:szCs w:val="18"/>
              </w:rPr>
              <w:t>Yes/No; brief notes</w:t>
            </w:r>
          </w:p>
        </w:tc>
        <w:tc>
          <w:tcPr>
            <w:tcW w:w="3033" w:type="dxa"/>
          </w:tcPr>
          <w:p w14:paraId="59E0F92F" w14:textId="77777777" w:rsidR="00DB5AA9" w:rsidRPr="00711DEB" w:rsidRDefault="00DB5AA9" w:rsidP="0035708B">
            <w:pPr>
              <w:contextualSpacing/>
              <w:rPr>
                <w:sz w:val="18"/>
                <w:szCs w:val="18"/>
              </w:rPr>
            </w:pPr>
            <w:r w:rsidRPr="00711DEB">
              <w:rPr>
                <w:sz w:val="18"/>
                <w:szCs w:val="18"/>
              </w:rPr>
              <w:t>–</w:t>
            </w:r>
          </w:p>
        </w:tc>
      </w:tr>
      <w:tr w:rsidR="00DB5AA9" w:rsidRPr="00711DEB" w14:paraId="00082572" w14:textId="77777777" w:rsidTr="0035708B">
        <w:trPr>
          <w:tblCellSpacing w:w="15" w:type="dxa"/>
        </w:trPr>
        <w:tc>
          <w:tcPr>
            <w:tcW w:w="1282" w:type="dxa"/>
            <w:vMerge/>
          </w:tcPr>
          <w:p w14:paraId="54F3E09A" w14:textId="77777777" w:rsidR="00DB5AA9" w:rsidRPr="00711DEB" w:rsidRDefault="00DB5AA9" w:rsidP="0035708B">
            <w:pPr>
              <w:contextualSpacing/>
              <w:rPr>
                <w:sz w:val="18"/>
                <w:szCs w:val="18"/>
              </w:rPr>
            </w:pPr>
          </w:p>
        </w:tc>
        <w:tc>
          <w:tcPr>
            <w:tcW w:w="2063" w:type="dxa"/>
          </w:tcPr>
          <w:p w14:paraId="2AFC5D25" w14:textId="77777777" w:rsidR="00DB5AA9" w:rsidRPr="00711DEB" w:rsidRDefault="00DB5AA9" w:rsidP="0035708B">
            <w:pPr>
              <w:contextualSpacing/>
              <w:rPr>
                <w:sz w:val="18"/>
                <w:szCs w:val="18"/>
              </w:rPr>
            </w:pPr>
            <w:r w:rsidRPr="00711DEB">
              <w:rPr>
                <w:sz w:val="18"/>
                <w:szCs w:val="18"/>
              </w:rPr>
              <w:t>Data protection compliance</w:t>
            </w:r>
          </w:p>
        </w:tc>
        <w:tc>
          <w:tcPr>
            <w:tcW w:w="553" w:type="dxa"/>
          </w:tcPr>
          <w:p w14:paraId="2E8E2F2E" w14:textId="77777777" w:rsidR="00DB5AA9" w:rsidRPr="00711DEB" w:rsidRDefault="00DB5AA9" w:rsidP="0035708B">
            <w:pPr>
              <w:contextualSpacing/>
              <w:rPr>
                <w:sz w:val="18"/>
                <w:szCs w:val="18"/>
              </w:rPr>
            </w:pPr>
            <w:r w:rsidRPr="00711DEB">
              <w:rPr>
                <w:sz w:val="18"/>
                <w:szCs w:val="18"/>
              </w:rPr>
              <w:t>1</w:t>
            </w:r>
          </w:p>
        </w:tc>
        <w:tc>
          <w:tcPr>
            <w:tcW w:w="2777" w:type="dxa"/>
          </w:tcPr>
          <w:p w14:paraId="1FB4D047" w14:textId="77777777" w:rsidR="00DB5AA9" w:rsidRPr="00711DEB" w:rsidRDefault="00DB5AA9" w:rsidP="0035708B">
            <w:pPr>
              <w:contextualSpacing/>
              <w:rPr>
                <w:sz w:val="18"/>
                <w:szCs w:val="18"/>
              </w:rPr>
            </w:pPr>
            <w:r w:rsidRPr="00711DEB">
              <w:rPr>
                <w:sz w:val="18"/>
                <w:szCs w:val="18"/>
              </w:rPr>
              <w:t>GDPR, HIPAA, other</w:t>
            </w:r>
          </w:p>
        </w:tc>
        <w:tc>
          <w:tcPr>
            <w:tcW w:w="3033" w:type="dxa"/>
          </w:tcPr>
          <w:p w14:paraId="76A70217" w14:textId="77777777" w:rsidR="00DB5AA9" w:rsidRPr="00711DEB" w:rsidRDefault="00DB5AA9" w:rsidP="0035708B">
            <w:pPr>
              <w:contextualSpacing/>
              <w:rPr>
                <w:sz w:val="18"/>
                <w:szCs w:val="18"/>
              </w:rPr>
            </w:pPr>
            <w:r w:rsidRPr="00711DEB">
              <w:rPr>
                <w:sz w:val="18"/>
                <w:szCs w:val="18"/>
              </w:rPr>
              <w:t>–</w:t>
            </w:r>
          </w:p>
        </w:tc>
      </w:tr>
      <w:tr w:rsidR="00DB5AA9" w:rsidRPr="00711DEB" w14:paraId="1A21A09C" w14:textId="77777777" w:rsidTr="0035708B">
        <w:trPr>
          <w:tblCellSpacing w:w="15" w:type="dxa"/>
        </w:trPr>
        <w:tc>
          <w:tcPr>
            <w:tcW w:w="1282" w:type="dxa"/>
            <w:vMerge/>
          </w:tcPr>
          <w:p w14:paraId="539127E8" w14:textId="77777777" w:rsidR="00DB5AA9" w:rsidRPr="00711DEB" w:rsidRDefault="00DB5AA9" w:rsidP="0035708B">
            <w:pPr>
              <w:contextualSpacing/>
              <w:rPr>
                <w:sz w:val="18"/>
                <w:szCs w:val="18"/>
              </w:rPr>
            </w:pPr>
          </w:p>
        </w:tc>
        <w:tc>
          <w:tcPr>
            <w:tcW w:w="2063" w:type="dxa"/>
          </w:tcPr>
          <w:p w14:paraId="02B4D08B" w14:textId="77777777" w:rsidR="00DB5AA9" w:rsidRPr="00711DEB" w:rsidRDefault="00DB5AA9" w:rsidP="0035708B">
            <w:pPr>
              <w:contextualSpacing/>
              <w:rPr>
                <w:sz w:val="18"/>
                <w:szCs w:val="18"/>
              </w:rPr>
            </w:pPr>
            <w:r w:rsidRPr="00711DEB">
              <w:rPr>
                <w:sz w:val="18"/>
                <w:szCs w:val="18"/>
              </w:rPr>
              <w:t>Preregistration ID</w:t>
            </w:r>
          </w:p>
        </w:tc>
        <w:tc>
          <w:tcPr>
            <w:tcW w:w="553" w:type="dxa"/>
          </w:tcPr>
          <w:p w14:paraId="6DB11CC4" w14:textId="77777777" w:rsidR="00DB5AA9" w:rsidRPr="00711DEB" w:rsidRDefault="00DB5AA9" w:rsidP="0035708B">
            <w:pPr>
              <w:contextualSpacing/>
              <w:rPr>
                <w:sz w:val="18"/>
                <w:szCs w:val="18"/>
              </w:rPr>
            </w:pPr>
            <w:r w:rsidRPr="00711DEB">
              <w:rPr>
                <w:sz w:val="18"/>
                <w:szCs w:val="18"/>
              </w:rPr>
              <w:t>2–3</w:t>
            </w:r>
          </w:p>
        </w:tc>
        <w:tc>
          <w:tcPr>
            <w:tcW w:w="2777" w:type="dxa"/>
          </w:tcPr>
          <w:p w14:paraId="3EA974DB" w14:textId="77777777" w:rsidR="00DB5AA9" w:rsidRPr="00711DEB" w:rsidRDefault="00DB5AA9" w:rsidP="0035708B">
            <w:pPr>
              <w:contextualSpacing/>
              <w:rPr>
                <w:sz w:val="18"/>
                <w:szCs w:val="18"/>
              </w:rPr>
            </w:pPr>
            <w:r w:rsidRPr="00711DEB">
              <w:rPr>
                <w:sz w:val="18"/>
                <w:szCs w:val="18"/>
              </w:rPr>
              <w:t>OSF/clinicaltrials.gov link</w:t>
            </w:r>
          </w:p>
        </w:tc>
        <w:tc>
          <w:tcPr>
            <w:tcW w:w="3033" w:type="dxa"/>
          </w:tcPr>
          <w:p w14:paraId="05F4C476" w14:textId="77777777" w:rsidR="00DB5AA9" w:rsidRPr="00711DEB" w:rsidRDefault="00DB5AA9" w:rsidP="0035708B">
            <w:pPr>
              <w:contextualSpacing/>
              <w:rPr>
                <w:sz w:val="18"/>
                <w:szCs w:val="18"/>
              </w:rPr>
            </w:pPr>
            <w:r w:rsidRPr="00711DEB">
              <w:rPr>
                <w:sz w:val="18"/>
                <w:szCs w:val="18"/>
              </w:rPr>
              <w:t>–</w:t>
            </w:r>
          </w:p>
        </w:tc>
      </w:tr>
      <w:tr w:rsidR="00DB5AA9" w:rsidRPr="00711DEB" w14:paraId="1D150C01" w14:textId="77777777" w:rsidTr="0035708B">
        <w:trPr>
          <w:tblCellSpacing w:w="15" w:type="dxa"/>
        </w:trPr>
        <w:tc>
          <w:tcPr>
            <w:tcW w:w="1282" w:type="dxa"/>
            <w:vMerge w:val="restart"/>
            <w:tcBorders>
              <w:top w:val="single" w:sz="4" w:space="0" w:color="auto"/>
            </w:tcBorders>
          </w:tcPr>
          <w:p w14:paraId="171B4DED" w14:textId="77777777" w:rsidR="00DB5AA9" w:rsidRPr="00711DEB" w:rsidRDefault="00DB5AA9" w:rsidP="0035708B">
            <w:pPr>
              <w:contextualSpacing/>
              <w:rPr>
                <w:sz w:val="18"/>
                <w:szCs w:val="18"/>
              </w:rPr>
            </w:pPr>
            <w:r w:rsidRPr="00711DEB">
              <w:rPr>
                <w:sz w:val="18"/>
                <w:szCs w:val="18"/>
              </w:rPr>
              <w:t>Study type</w:t>
            </w:r>
          </w:p>
        </w:tc>
        <w:tc>
          <w:tcPr>
            <w:tcW w:w="2063" w:type="dxa"/>
            <w:tcBorders>
              <w:top w:val="single" w:sz="4" w:space="0" w:color="auto"/>
            </w:tcBorders>
          </w:tcPr>
          <w:p w14:paraId="0D893AFE" w14:textId="77777777" w:rsidR="00DB5AA9" w:rsidRPr="00711DEB" w:rsidRDefault="00DB5AA9" w:rsidP="0035708B">
            <w:pPr>
              <w:contextualSpacing/>
              <w:rPr>
                <w:sz w:val="18"/>
                <w:szCs w:val="18"/>
              </w:rPr>
            </w:pPr>
            <w:r w:rsidRPr="00711DEB">
              <w:rPr>
                <w:sz w:val="18"/>
                <w:szCs w:val="18"/>
              </w:rPr>
              <w:t>Study environment</w:t>
            </w:r>
          </w:p>
        </w:tc>
        <w:tc>
          <w:tcPr>
            <w:tcW w:w="553" w:type="dxa"/>
            <w:tcBorders>
              <w:top w:val="single" w:sz="4" w:space="0" w:color="auto"/>
            </w:tcBorders>
          </w:tcPr>
          <w:p w14:paraId="64A8D719"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3C50B618" w14:textId="77777777" w:rsidR="00DB5AA9" w:rsidRPr="00711DEB" w:rsidRDefault="00DB5AA9" w:rsidP="0035708B">
            <w:pPr>
              <w:contextualSpacing/>
              <w:rPr>
                <w:sz w:val="18"/>
                <w:szCs w:val="18"/>
              </w:rPr>
            </w:pPr>
            <w:r w:rsidRPr="00711DEB">
              <w:rPr>
                <w:sz w:val="18"/>
                <w:szCs w:val="18"/>
              </w:rPr>
              <w:t>Laboratory, Field, Hybrid</w:t>
            </w:r>
          </w:p>
        </w:tc>
        <w:tc>
          <w:tcPr>
            <w:tcW w:w="3033" w:type="dxa"/>
            <w:tcBorders>
              <w:top w:val="single" w:sz="4" w:space="0" w:color="auto"/>
            </w:tcBorders>
          </w:tcPr>
          <w:p w14:paraId="7F6692A7" w14:textId="77777777" w:rsidR="00DB5AA9" w:rsidRPr="00711DEB" w:rsidRDefault="00DB5AA9" w:rsidP="0035708B">
            <w:pPr>
              <w:contextualSpacing/>
              <w:rPr>
                <w:sz w:val="18"/>
                <w:szCs w:val="18"/>
              </w:rPr>
            </w:pPr>
            <w:r w:rsidRPr="00711DEB">
              <w:rPr>
                <w:sz w:val="18"/>
                <w:szCs w:val="18"/>
              </w:rPr>
              <w:t>–</w:t>
            </w:r>
          </w:p>
        </w:tc>
      </w:tr>
      <w:tr w:rsidR="00DB5AA9" w:rsidRPr="00711DEB" w14:paraId="68F999CB" w14:textId="77777777" w:rsidTr="0035708B">
        <w:trPr>
          <w:tblCellSpacing w:w="15" w:type="dxa"/>
        </w:trPr>
        <w:tc>
          <w:tcPr>
            <w:tcW w:w="1282" w:type="dxa"/>
            <w:vMerge/>
          </w:tcPr>
          <w:p w14:paraId="4B7A353D" w14:textId="77777777" w:rsidR="00DB5AA9" w:rsidRPr="00711DEB" w:rsidRDefault="00DB5AA9" w:rsidP="0035708B">
            <w:pPr>
              <w:contextualSpacing/>
              <w:rPr>
                <w:sz w:val="18"/>
                <w:szCs w:val="18"/>
              </w:rPr>
            </w:pPr>
          </w:p>
        </w:tc>
        <w:tc>
          <w:tcPr>
            <w:tcW w:w="2063" w:type="dxa"/>
          </w:tcPr>
          <w:p w14:paraId="2A594BD0" w14:textId="77777777" w:rsidR="00DB5AA9" w:rsidRPr="00711DEB" w:rsidRDefault="00DB5AA9" w:rsidP="0035708B">
            <w:pPr>
              <w:contextualSpacing/>
              <w:rPr>
                <w:sz w:val="18"/>
                <w:szCs w:val="18"/>
              </w:rPr>
            </w:pPr>
            <w:r w:rsidRPr="00711DEB">
              <w:rPr>
                <w:sz w:val="18"/>
                <w:szCs w:val="18"/>
              </w:rPr>
              <w:t xml:space="preserve">Study design </w:t>
            </w:r>
          </w:p>
        </w:tc>
        <w:tc>
          <w:tcPr>
            <w:tcW w:w="553" w:type="dxa"/>
          </w:tcPr>
          <w:p w14:paraId="3EBE3E8F" w14:textId="77777777" w:rsidR="00DB5AA9" w:rsidRPr="00711DEB" w:rsidRDefault="00DB5AA9" w:rsidP="0035708B">
            <w:pPr>
              <w:contextualSpacing/>
              <w:rPr>
                <w:sz w:val="18"/>
                <w:szCs w:val="18"/>
              </w:rPr>
            </w:pPr>
            <w:r w:rsidRPr="00711DEB">
              <w:rPr>
                <w:sz w:val="18"/>
                <w:szCs w:val="18"/>
              </w:rPr>
              <w:t>1</w:t>
            </w:r>
          </w:p>
        </w:tc>
        <w:tc>
          <w:tcPr>
            <w:tcW w:w="2777" w:type="dxa"/>
          </w:tcPr>
          <w:p w14:paraId="2372BF2E" w14:textId="77777777" w:rsidR="00DB5AA9" w:rsidRPr="00711DEB" w:rsidRDefault="00DB5AA9" w:rsidP="0035708B">
            <w:pPr>
              <w:contextualSpacing/>
              <w:rPr>
                <w:sz w:val="18"/>
                <w:szCs w:val="18"/>
              </w:rPr>
            </w:pPr>
            <w:r w:rsidRPr="00711DEB">
              <w:rPr>
                <w:sz w:val="18"/>
                <w:szCs w:val="18"/>
              </w:rPr>
              <w:t>Controlled/Observational/Interventional</w:t>
            </w:r>
          </w:p>
        </w:tc>
        <w:tc>
          <w:tcPr>
            <w:tcW w:w="3033" w:type="dxa"/>
          </w:tcPr>
          <w:p w14:paraId="041D0947" w14:textId="77777777" w:rsidR="00DB5AA9" w:rsidRPr="00711DEB" w:rsidRDefault="00DB5AA9" w:rsidP="0035708B">
            <w:pPr>
              <w:contextualSpacing/>
              <w:rPr>
                <w:sz w:val="18"/>
                <w:szCs w:val="18"/>
              </w:rPr>
            </w:pPr>
            <w:r w:rsidRPr="00711DEB">
              <w:rPr>
                <w:sz w:val="18"/>
                <w:szCs w:val="18"/>
              </w:rPr>
              <w:t>–</w:t>
            </w:r>
          </w:p>
        </w:tc>
      </w:tr>
      <w:tr w:rsidR="00DB5AA9" w:rsidRPr="00711DEB" w14:paraId="0957A164" w14:textId="77777777" w:rsidTr="0035708B">
        <w:trPr>
          <w:tblCellSpacing w:w="15" w:type="dxa"/>
        </w:trPr>
        <w:tc>
          <w:tcPr>
            <w:tcW w:w="1282" w:type="dxa"/>
            <w:vMerge/>
          </w:tcPr>
          <w:p w14:paraId="4A8DF901" w14:textId="77777777" w:rsidR="00DB5AA9" w:rsidRPr="00711DEB" w:rsidRDefault="00DB5AA9" w:rsidP="0035708B">
            <w:pPr>
              <w:contextualSpacing/>
              <w:rPr>
                <w:sz w:val="18"/>
                <w:szCs w:val="18"/>
              </w:rPr>
            </w:pPr>
          </w:p>
        </w:tc>
        <w:tc>
          <w:tcPr>
            <w:tcW w:w="2063" w:type="dxa"/>
          </w:tcPr>
          <w:p w14:paraId="439689A8" w14:textId="77777777" w:rsidR="00DB5AA9" w:rsidRPr="00711DEB" w:rsidRDefault="00DB5AA9" w:rsidP="0035708B">
            <w:pPr>
              <w:contextualSpacing/>
              <w:rPr>
                <w:sz w:val="18"/>
                <w:szCs w:val="18"/>
              </w:rPr>
            </w:pPr>
            <w:r w:rsidRPr="00711DEB">
              <w:rPr>
                <w:sz w:val="18"/>
                <w:szCs w:val="18"/>
              </w:rPr>
              <w:t>Experimental structure</w:t>
            </w:r>
          </w:p>
        </w:tc>
        <w:tc>
          <w:tcPr>
            <w:tcW w:w="553" w:type="dxa"/>
          </w:tcPr>
          <w:p w14:paraId="012BDA43" w14:textId="77777777" w:rsidR="00DB5AA9" w:rsidRPr="00711DEB" w:rsidRDefault="00DB5AA9" w:rsidP="0035708B">
            <w:pPr>
              <w:contextualSpacing/>
              <w:rPr>
                <w:sz w:val="18"/>
                <w:szCs w:val="18"/>
              </w:rPr>
            </w:pPr>
            <w:r w:rsidRPr="00711DEB">
              <w:rPr>
                <w:sz w:val="18"/>
                <w:szCs w:val="18"/>
              </w:rPr>
              <w:t>2</w:t>
            </w:r>
          </w:p>
        </w:tc>
        <w:tc>
          <w:tcPr>
            <w:tcW w:w="2777" w:type="dxa"/>
          </w:tcPr>
          <w:p w14:paraId="0A60E2DB" w14:textId="77777777" w:rsidR="00DB5AA9" w:rsidRPr="00711DEB" w:rsidRDefault="00DB5AA9" w:rsidP="0035708B">
            <w:pPr>
              <w:contextualSpacing/>
              <w:rPr>
                <w:sz w:val="18"/>
                <w:szCs w:val="18"/>
              </w:rPr>
            </w:pPr>
            <w:r w:rsidRPr="00711DEB">
              <w:rPr>
                <w:sz w:val="18"/>
                <w:szCs w:val="18"/>
              </w:rPr>
              <w:t>Between-subjects, Within-subjects, Repeated measures, Crossover, Pre-Post, etc.</w:t>
            </w:r>
          </w:p>
        </w:tc>
        <w:tc>
          <w:tcPr>
            <w:tcW w:w="3033" w:type="dxa"/>
          </w:tcPr>
          <w:p w14:paraId="41EBACF9" w14:textId="77777777" w:rsidR="00DB5AA9" w:rsidRPr="00711DEB" w:rsidRDefault="00DB5AA9" w:rsidP="0035708B">
            <w:pPr>
              <w:contextualSpacing/>
              <w:rPr>
                <w:sz w:val="18"/>
                <w:szCs w:val="18"/>
              </w:rPr>
            </w:pPr>
            <w:r w:rsidRPr="00711DEB">
              <w:rPr>
                <w:sz w:val="18"/>
                <w:szCs w:val="18"/>
              </w:rPr>
              <w:t>Multiple can apply</w:t>
            </w:r>
          </w:p>
        </w:tc>
      </w:tr>
      <w:tr w:rsidR="00DB5AA9" w:rsidRPr="00711DEB" w14:paraId="5E6AB688" w14:textId="77777777" w:rsidTr="0035708B">
        <w:trPr>
          <w:tblCellSpacing w:w="15" w:type="dxa"/>
        </w:trPr>
        <w:tc>
          <w:tcPr>
            <w:tcW w:w="1282" w:type="dxa"/>
            <w:vMerge/>
          </w:tcPr>
          <w:p w14:paraId="01D73BB8" w14:textId="77777777" w:rsidR="00DB5AA9" w:rsidRPr="00711DEB" w:rsidRDefault="00DB5AA9" w:rsidP="0035708B">
            <w:pPr>
              <w:contextualSpacing/>
              <w:rPr>
                <w:sz w:val="18"/>
                <w:szCs w:val="18"/>
              </w:rPr>
            </w:pPr>
          </w:p>
        </w:tc>
        <w:tc>
          <w:tcPr>
            <w:tcW w:w="2063" w:type="dxa"/>
          </w:tcPr>
          <w:p w14:paraId="391AB2C6" w14:textId="77777777" w:rsidR="00DB5AA9" w:rsidRPr="00711DEB" w:rsidRDefault="00DB5AA9" w:rsidP="0035708B">
            <w:pPr>
              <w:contextualSpacing/>
              <w:rPr>
                <w:sz w:val="18"/>
                <w:szCs w:val="18"/>
              </w:rPr>
            </w:pPr>
            <w:r w:rsidRPr="00711DEB">
              <w:rPr>
                <w:sz w:val="18"/>
                <w:szCs w:val="18"/>
              </w:rPr>
              <w:t>Randomi</w:t>
            </w:r>
            <w:r>
              <w:rPr>
                <w:sz w:val="18"/>
                <w:szCs w:val="18"/>
              </w:rPr>
              <w:t>s</w:t>
            </w:r>
            <w:r w:rsidRPr="00711DEB">
              <w:rPr>
                <w:sz w:val="18"/>
                <w:szCs w:val="18"/>
              </w:rPr>
              <w:t>ation</w:t>
            </w:r>
          </w:p>
        </w:tc>
        <w:tc>
          <w:tcPr>
            <w:tcW w:w="553" w:type="dxa"/>
          </w:tcPr>
          <w:p w14:paraId="504920DC" w14:textId="77777777" w:rsidR="00DB5AA9" w:rsidRPr="00711DEB" w:rsidRDefault="00DB5AA9" w:rsidP="0035708B">
            <w:pPr>
              <w:contextualSpacing/>
              <w:rPr>
                <w:sz w:val="18"/>
                <w:szCs w:val="18"/>
              </w:rPr>
            </w:pPr>
            <w:r w:rsidRPr="00711DEB">
              <w:rPr>
                <w:sz w:val="18"/>
                <w:szCs w:val="18"/>
              </w:rPr>
              <w:t>2</w:t>
            </w:r>
          </w:p>
        </w:tc>
        <w:tc>
          <w:tcPr>
            <w:tcW w:w="2777" w:type="dxa"/>
          </w:tcPr>
          <w:p w14:paraId="207E7AFB" w14:textId="77777777" w:rsidR="00DB5AA9" w:rsidRPr="00711DEB" w:rsidRDefault="00DB5AA9" w:rsidP="0035708B">
            <w:pPr>
              <w:contextualSpacing/>
              <w:rPr>
                <w:sz w:val="18"/>
                <w:szCs w:val="18"/>
              </w:rPr>
            </w:pPr>
            <w:r w:rsidRPr="00711DEB">
              <w:rPr>
                <w:sz w:val="18"/>
                <w:szCs w:val="18"/>
              </w:rPr>
              <w:t>Yes/No; method (simple, block, Latin square)</w:t>
            </w:r>
          </w:p>
        </w:tc>
        <w:tc>
          <w:tcPr>
            <w:tcW w:w="3033" w:type="dxa"/>
          </w:tcPr>
          <w:p w14:paraId="2F40A79B" w14:textId="77777777" w:rsidR="00DB5AA9" w:rsidRPr="00711DEB" w:rsidRDefault="00DB5AA9" w:rsidP="0035708B">
            <w:pPr>
              <w:contextualSpacing/>
              <w:rPr>
                <w:sz w:val="18"/>
                <w:szCs w:val="18"/>
              </w:rPr>
            </w:pPr>
            <w:r w:rsidRPr="00711DEB">
              <w:rPr>
                <w:sz w:val="18"/>
                <w:szCs w:val="18"/>
              </w:rPr>
              <w:t>Links to randomi</w:t>
            </w:r>
            <w:r>
              <w:rPr>
                <w:sz w:val="18"/>
                <w:szCs w:val="18"/>
              </w:rPr>
              <w:t>s</w:t>
            </w:r>
            <w:r w:rsidRPr="00711DEB">
              <w:rPr>
                <w:sz w:val="18"/>
                <w:szCs w:val="18"/>
              </w:rPr>
              <w:t>ation table</w:t>
            </w:r>
          </w:p>
        </w:tc>
      </w:tr>
      <w:tr w:rsidR="00DB5AA9" w:rsidRPr="00711DEB" w14:paraId="6BFA4131" w14:textId="77777777" w:rsidTr="0035708B">
        <w:trPr>
          <w:tblCellSpacing w:w="15" w:type="dxa"/>
        </w:trPr>
        <w:tc>
          <w:tcPr>
            <w:tcW w:w="1282" w:type="dxa"/>
            <w:vMerge/>
          </w:tcPr>
          <w:p w14:paraId="3EE95559" w14:textId="77777777" w:rsidR="00DB5AA9" w:rsidRPr="00711DEB" w:rsidRDefault="00DB5AA9" w:rsidP="0035708B">
            <w:pPr>
              <w:contextualSpacing/>
              <w:rPr>
                <w:sz w:val="18"/>
                <w:szCs w:val="18"/>
              </w:rPr>
            </w:pPr>
          </w:p>
        </w:tc>
        <w:tc>
          <w:tcPr>
            <w:tcW w:w="2063" w:type="dxa"/>
          </w:tcPr>
          <w:p w14:paraId="187C1E49" w14:textId="77777777" w:rsidR="00DB5AA9" w:rsidRPr="00711DEB" w:rsidRDefault="00DB5AA9" w:rsidP="0035708B">
            <w:pPr>
              <w:contextualSpacing/>
              <w:rPr>
                <w:sz w:val="18"/>
                <w:szCs w:val="18"/>
              </w:rPr>
            </w:pPr>
            <w:r w:rsidRPr="00711DEB">
              <w:rPr>
                <w:sz w:val="18"/>
                <w:szCs w:val="18"/>
              </w:rPr>
              <w:t>Blinding</w:t>
            </w:r>
          </w:p>
        </w:tc>
        <w:tc>
          <w:tcPr>
            <w:tcW w:w="553" w:type="dxa"/>
          </w:tcPr>
          <w:p w14:paraId="6CA2A006" w14:textId="77777777" w:rsidR="00DB5AA9" w:rsidRPr="00711DEB" w:rsidRDefault="00DB5AA9" w:rsidP="0035708B">
            <w:pPr>
              <w:contextualSpacing/>
              <w:rPr>
                <w:sz w:val="18"/>
                <w:szCs w:val="18"/>
              </w:rPr>
            </w:pPr>
            <w:r w:rsidRPr="00711DEB">
              <w:rPr>
                <w:sz w:val="18"/>
                <w:szCs w:val="18"/>
              </w:rPr>
              <w:t>1</w:t>
            </w:r>
          </w:p>
        </w:tc>
        <w:tc>
          <w:tcPr>
            <w:tcW w:w="2777" w:type="dxa"/>
          </w:tcPr>
          <w:p w14:paraId="35E1E74A" w14:textId="77777777" w:rsidR="00DB5AA9" w:rsidRPr="00711DEB" w:rsidRDefault="00DB5AA9" w:rsidP="0035708B">
            <w:pPr>
              <w:contextualSpacing/>
              <w:rPr>
                <w:sz w:val="18"/>
                <w:szCs w:val="18"/>
              </w:rPr>
            </w:pPr>
            <w:r w:rsidRPr="00711DEB">
              <w:rPr>
                <w:sz w:val="18"/>
                <w:szCs w:val="18"/>
              </w:rPr>
              <w:t>None/Single-blind/Double-blind</w:t>
            </w:r>
          </w:p>
        </w:tc>
        <w:tc>
          <w:tcPr>
            <w:tcW w:w="3033" w:type="dxa"/>
          </w:tcPr>
          <w:p w14:paraId="3672C4F2" w14:textId="77777777" w:rsidR="00DB5AA9" w:rsidRPr="00711DEB" w:rsidRDefault="00DB5AA9" w:rsidP="0035708B">
            <w:pPr>
              <w:contextualSpacing/>
              <w:rPr>
                <w:sz w:val="18"/>
                <w:szCs w:val="18"/>
              </w:rPr>
            </w:pPr>
            <w:r w:rsidRPr="00711DEB">
              <w:rPr>
                <w:sz w:val="18"/>
                <w:szCs w:val="18"/>
              </w:rPr>
              <w:t>If None, a short description nice to have</w:t>
            </w:r>
          </w:p>
        </w:tc>
      </w:tr>
      <w:tr w:rsidR="00DB5AA9" w:rsidRPr="00711DEB" w14:paraId="1640836C" w14:textId="77777777" w:rsidTr="0035708B">
        <w:trPr>
          <w:tblCellSpacing w:w="15" w:type="dxa"/>
        </w:trPr>
        <w:tc>
          <w:tcPr>
            <w:tcW w:w="1282" w:type="dxa"/>
            <w:vMerge w:val="restart"/>
            <w:tcBorders>
              <w:top w:val="single" w:sz="4" w:space="0" w:color="auto"/>
            </w:tcBorders>
          </w:tcPr>
          <w:p w14:paraId="7AA3E75D" w14:textId="77777777" w:rsidR="00DB5AA9" w:rsidRPr="00711DEB" w:rsidRDefault="00DB5AA9" w:rsidP="0035708B">
            <w:pPr>
              <w:contextualSpacing/>
              <w:rPr>
                <w:sz w:val="18"/>
                <w:szCs w:val="18"/>
              </w:rPr>
            </w:pPr>
            <w:r w:rsidRPr="00711DEB">
              <w:rPr>
                <w:sz w:val="18"/>
                <w:szCs w:val="18"/>
              </w:rPr>
              <w:t>Timing &amp; Schedule</w:t>
            </w:r>
          </w:p>
        </w:tc>
        <w:tc>
          <w:tcPr>
            <w:tcW w:w="2063" w:type="dxa"/>
            <w:tcBorders>
              <w:top w:val="single" w:sz="4" w:space="0" w:color="auto"/>
            </w:tcBorders>
          </w:tcPr>
          <w:p w14:paraId="7CEFD0A5" w14:textId="77777777" w:rsidR="00DB5AA9" w:rsidRPr="00711DEB" w:rsidRDefault="00DB5AA9" w:rsidP="0035708B">
            <w:pPr>
              <w:contextualSpacing/>
              <w:rPr>
                <w:sz w:val="18"/>
                <w:szCs w:val="18"/>
              </w:rPr>
            </w:pPr>
            <w:r w:rsidRPr="00711DEB">
              <w:rPr>
                <w:sz w:val="18"/>
                <w:szCs w:val="18"/>
              </w:rPr>
              <w:t>Start date of the experiment</w:t>
            </w:r>
          </w:p>
        </w:tc>
        <w:tc>
          <w:tcPr>
            <w:tcW w:w="553" w:type="dxa"/>
            <w:tcBorders>
              <w:top w:val="single" w:sz="4" w:space="0" w:color="auto"/>
            </w:tcBorders>
          </w:tcPr>
          <w:p w14:paraId="17243F82"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64A5118D" w14:textId="77777777" w:rsidR="00DB5AA9" w:rsidRPr="00711DEB" w:rsidRDefault="00DB5AA9" w:rsidP="0035708B">
            <w:pPr>
              <w:contextualSpacing/>
              <w:rPr>
                <w:sz w:val="18"/>
                <w:szCs w:val="18"/>
              </w:rPr>
            </w:pPr>
            <w:r w:rsidRPr="00711DEB">
              <w:rPr>
                <w:sz w:val="18"/>
                <w:szCs w:val="18"/>
              </w:rPr>
              <w:t>YYYY-MM-DD</w:t>
            </w:r>
          </w:p>
        </w:tc>
        <w:tc>
          <w:tcPr>
            <w:tcW w:w="3033" w:type="dxa"/>
            <w:tcBorders>
              <w:top w:val="single" w:sz="4" w:space="0" w:color="auto"/>
            </w:tcBorders>
          </w:tcPr>
          <w:p w14:paraId="2B9F3853" w14:textId="77777777" w:rsidR="00DB5AA9" w:rsidRPr="00711DEB" w:rsidRDefault="00DB5AA9" w:rsidP="0035708B">
            <w:pPr>
              <w:contextualSpacing/>
              <w:rPr>
                <w:sz w:val="18"/>
                <w:szCs w:val="18"/>
              </w:rPr>
            </w:pPr>
            <w:r w:rsidRPr="00711DEB">
              <w:rPr>
                <w:sz w:val="18"/>
                <w:szCs w:val="18"/>
              </w:rPr>
              <w:t>–</w:t>
            </w:r>
          </w:p>
        </w:tc>
      </w:tr>
      <w:tr w:rsidR="00DB5AA9" w:rsidRPr="00711DEB" w14:paraId="43A7DAE7" w14:textId="77777777" w:rsidTr="0035708B">
        <w:trPr>
          <w:tblCellSpacing w:w="15" w:type="dxa"/>
        </w:trPr>
        <w:tc>
          <w:tcPr>
            <w:tcW w:w="1282" w:type="dxa"/>
            <w:vMerge/>
          </w:tcPr>
          <w:p w14:paraId="43FE93B6" w14:textId="77777777" w:rsidR="00DB5AA9" w:rsidRPr="00711DEB" w:rsidRDefault="00DB5AA9" w:rsidP="0035708B">
            <w:pPr>
              <w:contextualSpacing/>
              <w:rPr>
                <w:sz w:val="18"/>
                <w:szCs w:val="18"/>
              </w:rPr>
            </w:pPr>
          </w:p>
        </w:tc>
        <w:tc>
          <w:tcPr>
            <w:tcW w:w="2063" w:type="dxa"/>
          </w:tcPr>
          <w:p w14:paraId="18757FEA" w14:textId="77777777" w:rsidR="00DB5AA9" w:rsidRPr="00711DEB" w:rsidRDefault="00DB5AA9" w:rsidP="0035708B">
            <w:pPr>
              <w:contextualSpacing/>
              <w:rPr>
                <w:sz w:val="18"/>
                <w:szCs w:val="18"/>
              </w:rPr>
            </w:pPr>
            <w:r w:rsidRPr="00711DEB">
              <w:rPr>
                <w:sz w:val="18"/>
                <w:szCs w:val="18"/>
              </w:rPr>
              <w:t>End date of the experiment</w:t>
            </w:r>
          </w:p>
        </w:tc>
        <w:tc>
          <w:tcPr>
            <w:tcW w:w="553" w:type="dxa"/>
          </w:tcPr>
          <w:p w14:paraId="6EB902D4" w14:textId="77777777" w:rsidR="00DB5AA9" w:rsidRPr="00711DEB" w:rsidRDefault="00DB5AA9" w:rsidP="0035708B">
            <w:pPr>
              <w:contextualSpacing/>
              <w:rPr>
                <w:sz w:val="18"/>
                <w:szCs w:val="18"/>
              </w:rPr>
            </w:pPr>
            <w:r w:rsidRPr="00711DEB">
              <w:rPr>
                <w:sz w:val="18"/>
                <w:szCs w:val="18"/>
              </w:rPr>
              <w:t>1</w:t>
            </w:r>
          </w:p>
        </w:tc>
        <w:tc>
          <w:tcPr>
            <w:tcW w:w="2777" w:type="dxa"/>
          </w:tcPr>
          <w:p w14:paraId="4AAE8284" w14:textId="77777777" w:rsidR="00DB5AA9" w:rsidRPr="00711DEB" w:rsidRDefault="00DB5AA9" w:rsidP="0035708B">
            <w:pPr>
              <w:contextualSpacing/>
              <w:rPr>
                <w:sz w:val="18"/>
                <w:szCs w:val="18"/>
              </w:rPr>
            </w:pPr>
            <w:r w:rsidRPr="00711DEB">
              <w:rPr>
                <w:sz w:val="18"/>
                <w:szCs w:val="18"/>
              </w:rPr>
              <w:t>YYYY-MM-DD</w:t>
            </w:r>
          </w:p>
        </w:tc>
        <w:tc>
          <w:tcPr>
            <w:tcW w:w="3033" w:type="dxa"/>
          </w:tcPr>
          <w:p w14:paraId="23D1D367" w14:textId="77777777" w:rsidR="00DB5AA9" w:rsidRPr="00711DEB" w:rsidRDefault="00DB5AA9" w:rsidP="0035708B">
            <w:pPr>
              <w:contextualSpacing/>
              <w:rPr>
                <w:sz w:val="18"/>
                <w:szCs w:val="18"/>
              </w:rPr>
            </w:pPr>
            <w:r w:rsidRPr="00711DEB">
              <w:rPr>
                <w:sz w:val="18"/>
                <w:szCs w:val="18"/>
              </w:rPr>
              <w:t>–</w:t>
            </w:r>
          </w:p>
        </w:tc>
      </w:tr>
      <w:tr w:rsidR="00DB5AA9" w:rsidRPr="00711DEB" w14:paraId="1E9F32AC" w14:textId="77777777" w:rsidTr="0035708B">
        <w:trPr>
          <w:tblCellSpacing w:w="15" w:type="dxa"/>
        </w:trPr>
        <w:tc>
          <w:tcPr>
            <w:tcW w:w="1282" w:type="dxa"/>
            <w:vMerge/>
          </w:tcPr>
          <w:p w14:paraId="1985AA82" w14:textId="77777777" w:rsidR="00DB5AA9" w:rsidRPr="00711DEB" w:rsidRDefault="00DB5AA9" w:rsidP="0035708B">
            <w:pPr>
              <w:contextualSpacing/>
              <w:rPr>
                <w:sz w:val="18"/>
                <w:szCs w:val="18"/>
              </w:rPr>
            </w:pPr>
          </w:p>
        </w:tc>
        <w:tc>
          <w:tcPr>
            <w:tcW w:w="2063" w:type="dxa"/>
          </w:tcPr>
          <w:p w14:paraId="37EB07DB" w14:textId="77777777" w:rsidR="00DB5AA9" w:rsidRPr="00711DEB" w:rsidRDefault="00DB5AA9" w:rsidP="0035708B">
            <w:pPr>
              <w:contextualSpacing/>
              <w:rPr>
                <w:sz w:val="18"/>
                <w:szCs w:val="18"/>
              </w:rPr>
            </w:pPr>
            <w:r w:rsidRPr="00711DEB">
              <w:rPr>
                <w:sz w:val="18"/>
                <w:szCs w:val="18"/>
              </w:rPr>
              <w:t>Typical session duration</w:t>
            </w:r>
          </w:p>
        </w:tc>
        <w:tc>
          <w:tcPr>
            <w:tcW w:w="553" w:type="dxa"/>
          </w:tcPr>
          <w:p w14:paraId="4E99331A" w14:textId="77777777" w:rsidR="00DB5AA9" w:rsidRPr="00711DEB" w:rsidRDefault="00DB5AA9" w:rsidP="0035708B">
            <w:pPr>
              <w:contextualSpacing/>
              <w:rPr>
                <w:sz w:val="18"/>
                <w:szCs w:val="18"/>
              </w:rPr>
            </w:pPr>
            <w:r w:rsidRPr="00711DEB">
              <w:rPr>
                <w:sz w:val="18"/>
                <w:szCs w:val="18"/>
              </w:rPr>
              <w:t>1</w:t>
            </w:r>
          </w:p>
        </w:tc>
        <w:tc>
          <w:tcPr>
            <w:tcW w:w="2777" w:type="dxa"/>
          </w:tcPr>
          <w:p w14:paraId="664A3E6A" w14:textId="77777777" w:rsidR="00DB5AA9" w:rsidRPr="00711DEB" w:rsidRDefault="00DB5AA9" w:rsidP="0035708B">
            <w:pPr>
              <w:contextualSpacing/>
              <w:rPr>
                <w:sz w:val="18"/>
                <w:szCs w:val="18"/>
              </w:rPr>
            </w:pPr>
            <w:r w:rsidRPr="00711DEB">
              <w:rPr>
                <w:sz w:val="18"/>
                <w:szCs w:val="18"/>
              </w:rPr>
              <w:t>Minutes or hours</w:t>
            </w:r>
          </w:p>
        </w:tc>
        <w:tc>
          <w:tcPr>
            <w:tcW w:w="3033" w:type="dxa"/>
          </w:tcPr>
          <w:p w14:paraId="49495DC5" w14:textId="77777777" w:rsidR="00DB5AA9" w:rsidRPr="00711DEB" w:rsidRDefault="00DB5AA9" w:rsidP="0035708B">
            <w:pPr>
              <w:contextualSpacing/>
              <w:rPr>
                <w:sz w:val="18"/>
                <w:szCs w:val="18"/>
              </w:rPr>
            </w:pPr>
            <w:r w:rsidRPr="00711DEB">
              <w:rPr>
                <w:sz w:val="18"/>
                <w:szCs w:val="18"/>
              </w:rPr>
              <w:t>–</w:t>
            </w:r>
          </w:p>
        </w:tc>
      </w:tr>
      <w:tr w:rsidR="00DB5AA9" w:rsidRPr="00711DEB" w14:paraId="36554F90" w14:textId="77777777" w:rsidTr="0035708B">
        <w:trPr>
          <w:tblCellSpacing w:w="15" w:type="dxa"/>
        </w:trPr>
        <w:tc>
          <w:tcPr>
            <w:tcW w:w="1282" w:type="dxa"/>
            <w:vMerge/>
          </w:tcPr>
          <w:p w14:paraId="5C67BDBC" w14:textId="77777777" w:rsidR="00DB5AA9" w:rsidRPr="00711DEB" w:rsidRDefault="00DB5AA9" w:rsidP="0035708B">
            <w:pPr>
              <w:contextualSpacing/>
              <w:rPr>
                <w:sz w:val="18"/>
                <w:szCs w:val="18"/>
              </w:rPr>
            </w:pPr>
          </w:p>
        </w:tc>
        <w:tc>
          <w:tcPr>
            <w:tcW w:w="2063" w:type="dxa"/>
          </w:tcPr>
          <w:p w14:paraId="12E6B98E" w14:textId="77777777" w:rsidR="00DB5AA9" w:rsidRPr="00711DEB" w:rsidRDefault="00DB5AA9" w:rsidP="0035708B">
            <w:pPr>
              <w:contextualSpacing/>
              <w:rPr>
                <w:sz w:val="18"/>
                <w:szCs w:val="18"/>
              </w:rPr>
            </w:pPr>
            <w:r w:rsidRPr="00711DEB">
              <w:rPr>
                <w:sz w:val="18"/>
                <w:szCs w:val="18"/>
              </w:rPr>
              <w:t>Standard session start time</w:t>
            </w:r>
          </w:p>
        </w:tc>
        <w:tc>
          <w:tcPr>
            <w:tcW w:w="553" w:type="dxa"/>
          </w:tcPr>
          <w:p w14:paraId="38693169" w14:textId="77777777" w:rsidR="00DB5AA9" w:rsidRPr="00711DEB" w:rsidRDefault="00DB5AA9" w:rsidP="0035708B">
            <w:pPr>
              <w:contextualSpacing/>
              <w:rPr>
                <w:sz w:val="18"/>
                <w:szCs w:val="18"/>
              </w:rPr>
            </w:pPr>
            <w:r w:rsidRPr="00711DEB">
              <w:rPr>
                <w:sz w:val="18"/>
                <w:szCs w:val="18"/>
              </w:rPr>
              <w:t>1</w:t>
            </w:r>
          </w:p>
        </w:tc>
        <w:tc>
          <w:tcPr>
            <w:tcW w:w="2777" w:type="dxa"/>
          </w:tcPr>
          <w:p w14:paraId="36996528" w14:textId="77777777" w:rsidR="00DB5AA9" w:rsidRPr="00711DEB" w:rsidRDefault="00DB5AA9" w:rsidP="0035708B">
            <w:pPr>
              <w:contextualSpacing/>
              <w:rPr>
                <w:sz w:val="18"/>
                <w:szCs w:val="18"/>
              </w:rPr>
            </w:pPr>
            <w:r>
              <w:rPr>
                <w:sz w:val="18"/>
                <w:szCs w:val="18"/>
              </w:rPr>
              <w:t xml:space="preserve">hh:mm, </w:t>
            </w:r>
            <w:r w:rsidRPr="00711DEB">
              <w:rPr>
                <w:sz w:val="18"/>
                <w:szCs w:val="18"/>
              </w:rPr>
              <w:t>24 h time</w:t>
            </w:r>
          </w:p>
        </w:tc>
        <w:tc>
          <w:tcPr>
            <w:tcW w:w="3033" w:type="dxa"/>
          </w:tcPr>
          <w:p w14:paraId="35CA8B78" w14:textId="77777777" w:rsidR="00DB5AA9" w:rsidRPr="00711DEB" w:rsidRDefault="00DB5AA9" w:rsidP="0035708B">
            <w:pPr>
              <w:contextualSpacing/>
              <w:rPr>
                <w:sz w:val="18"/>
                <w:szCs w:val="18"/>
              </w:rPr>
            </w:pPr>
            <w:r w:rsidRPr="00711DEB">
              <w:rPr>
                <w:sz w:val="18"/>
                <w:szCs w:val="18"/>
              </w:rPr>
              <w:t>–</w:t>
            </w:r>
          </w:p>
        </w:tc>
      </w:tr>
      <w:tr w:rsidR="00DB5AA9" w:rsidRPr="00711DEB" w14:paraId="1E99A97B" w14:textId="77777777" w:rsidTr="0035708B">
        <w:trPr>
          <w:tblCellSpacing w:w="15" w:type="dxa"/>
        </w:trPr>
        <w:tc>
          <w:tcPr>
            <w:tcW w:w="1282" w:type="dxa"/>
            <w:vMerge/>
          </w:tcPr>
          <w:p w14:paraId="01DA2068" w14:textId="77777777" w:rsidR="00DB5AA9" w:rsidRPr="00711DEB" w:rsidRDefault="00DB5AA9" w:rsidP="0035708B">
            <w:pPr>
              <w:contextualSpacing/>
              <w:rPr>
                <w:sz w:val="18"/>
                <w:szCs w:val="18"/>
              </w:rPr>
            </w:pPr>
          </w:p>
        </w:tc>
        <w:tc>
          <w:tcPr>
            <w:tcW w:w="2063" w:type="dxa"/>
          </w:tcPr>
          <w:p w14:paraId="2819E823" w14:textId="77777777" w:rsidR="00DB5AA9" w:rsidRPr="00711DEB" w:rsidRDefault="00DB5AA9" w:rsidP="0035708B">
            <w:pPr>
              <w:contextualSpacing/>
              <w:rPr>
                <w:sz w:val="18"/>
                <w:szCs w:val="18"/>
              </w:rPr>
            </w:pPr>
            <w:r w:rsidRPr="00711DEB">
              <w:rPr>
                <w:sz w:val="18"/>
                <w:szCs w:val="18"/>
              </w:rPr>
              <w:t>Standard session end time</w:t>
            </w:r>
          </w:p>
        </w:tc>
        <w:tc>
          <w:tcPr>
            <w:tcW w:w="553" w:type="dxa"/>
          </w:tcPr>
          <w:p w14:paraId="04EB3C98" w14:textId="77777777" w:rsidR="00DB5AA9" w:rsidRPr="00711DEB" w:rsidRDefault="00DB5AA9" w:rsidP="0035708B">
            <w:pPr>
              <w:contextualSpacing/>
              <w:rPr>
                <w:sz w:val="18"/>
                <w:szCs w:val="18"/>
              </w:rPr>
            </w:pPr>
            <w:r w:rsidRPr="00711DEB">
              <w:rPr>
                <w:sz w:val="18"/>
                <w:szCs w:val="18"/>
              </w:rPr>
              <w:t>1</w:t>
            </w:r>
          </w:p>
        </w:tc>
        <w:tc>
          <w:tcPr>
            <w:tcW w:w="2777" w:type="dxa"/>
          </w:tcPr>
          <w:p w14:paraId="4F804E56" w14:textId="77777777" w:rsidR="00DB5AA9" w:rsidRPr="00711DEB" w:rsidRDefault="00DB5AA9" w:rsidP="0035708B">
            <w:pPr>
              <w:contextualSpacing/>
              <w:rPr>
                <w:sz w:val="18"/>
                <w:szCs w:val="18"/>
              </w:rPr>
            </w:pPr>
            <w:r>
              <w:rPr>
                <w:sz w:val="18"/>
                <w:szCs w:val="18"/>
              </w:rPr>
              <w:t xml:space="preserve">hh:mm, </w:t>
            </w:r>
            <w:r w:rsidRPr="00711DEB">
              <w:rPr>
                <w:sz w:val="18"/>
                <w:szCs w:val="18"/>
              </w:rPr>
              <w:t>24 h time</w:t>
            </w:r>
          </w:p>
        </w:tc>
        <w:tc>
          <w:tcPr>
            <w:tcW w:w="3033" w:type="dxa"/>
          </w:tcPr>
          <w:p w14:paraId="084A1F26" w14:textId="77777777" w:rsidR="00DB5AA9" w:rsidRPr="00711DEB" w:rsidRDefault="00DB5AA9" w:rsidP="0035708B">
            <w:pPr>
              <w:contextualSpacing/>
              <w:rPr>
                <w:sz w:val="18"/>
                <w:szCs w:val="18"/>
              </w:rPr>
            </w:pPr>
            <w:r w:rsidRPr="00711DEB">
              <w:rPr>
                <w:sz w:val="18"/>
                <w:szCs w:val="18"/>
              </w:rPr>
              <w:t>–</w:t>
            </w:r>
          </w:p>
        </w:tc>
      </w:tr>
      <w:tr w:rsidR="00DB5AA9" w:rsidRPr="00711DEB" w14:paraId="0042F9C1" w14:textId="77777777" w:rsidTr="0035708B">
        <w:trPr>
          <w:tblCellSpacing w:w="15" w:type="dxa"/>
        </w:trPr>
        <w:tc>
          <w:tcPr>
            <w:tcW w:w="1282" w:type="dxa"/>
            <w:vMerge w:val="restart"/>
            <w:tcBorders>
              <w:top w:val="single" w:sz="4" w:space="0" w:color="auto"/>
            </w:tcBorders>
          </w:tcPr>
          <w:p w14:paraId="0807A1C3" w14:textId="77777777" w:rsidR="00DB5AA9" w:rsidRPr="00711DEB" w:rsidRDefault="00DB5AA9" w:rsidP="0035708B">
            <w:pPr>
              <w:contextualSpacing/>
              <w:rPr>
                <w:sz w:val="18"/>
                <w:szCs w:val="18"/>
              </w:rPr>
            </w:pPr>
            <w:r w:rsidRPr="00711DEB">
              <w:rPr>
                <w:sz w:val="18"/>
                <w:szCs w:val="18"/>
              </w:rPr>
              <w:t>Study population</w:t>
            </w:r>
          </w:p>
        </w:tc>
        <w:tc>
          <w:tcPr>
            <w:tcW w:w="2063" w:type="dxa"/>
            <w:tcBorders>
              <w:top w:val="single" w:sz="4" w:space="0" w:color="auto"/>
            </w:tcBorders>
          </w:tcPr>
          <w:p w14:paraId="27D573A8" w14:textId="77777777" w:rsidR="00DB5AA9" w:rsidRPr="00711DEB" w:rsidRDefault="00DB5AA9" w:rsidP="0035708B">
            <w:pPr>
              <w:contextualSpacing/>
              <w:rPr>
                <w:sz w:val="18"/>
                <w:szCs w:val="18"/>
              </w:rPr>
            </w:pPr>
            <w:r w:rsidRPr="00711DEB">
              <w:rPr>
                <w:sz w:val="18"/>
                <w:szCs w:val="18"/>
              </w:rPr>
              <w:t xml:space="preserve">Target sample size </w:t>
            </w:r>
          </w:p>
        </w:tc>
        <w:tc>
          <w:tcPr>
            <w:tcW w:w="553" w:type="dxa"/>
            <w:tcBorders>
              <w:top w:val="single" w:sz="4" w:space="0" w:color="auto"/>
            </w:tcBorders>
          </w:tcPr>
          <w:p w14:paraId="42C2C840"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45891F62" w14:textId="77777777" w:rsidR="00DB5AA9" w:rsidRPr="00711DEB" w:rsidRDefault="00DB5AA9" w:rsidP="0035708B">
            <w:pPr>
              <w:contextualSpacing/>
              <w:rPr>
                <w:sz w:val="18"/>
                <w:szCs w:val="18"/>
              </w:rPr>
            </w:pPr>
            <w:r w:rsidRPr="00711DEB">
              <w:rPr>
                <w:sz w:val="18"/>
                <w:szCs w:val="18"/>
              </w:rPr>
              <w:t>Integer</w:t>
            </w:r>
          </w:p>
        </w:tc>
        <w:tc>
          <w:tcPr>
            <w:tcW w:w="3033" w:type="dxa"/>
            <w:tcBorders>
              <w:top w:val="single" w:sz="4" w:space="0" w:color="auto"/>
            </w:tcBorders>
          </w:tcPr>
          <w:p w14:paraId="3885CE2A" w14:textId="77777777" w:rsidR="00DB5AA9" w:rsidRPr="00711DEB" w:rsidRDefault="00DB5AA9" w:rsidP="0035708B">
            <w:pPr>
              <w:contextualSpacing/>
              <w:rPr>
                <w:sz w:val="18"/>
                <w:szCs w:val="18"/>
              </w:rPr>
            </w:pPr>
            <w:r w:rsidRPr="00711DEB">
              <w:rPr>
                <w:sz w:val="18"/>
                <w:szCs w:val="18"/>
              </w:rPr>
              <w:t>–</w:t>
            </w:r>
          </w:p>
        </w:tc>
      </w:tr>
      <w:tr w:rsidR="00DB5AA9" w:rsidRPr="00711DEB" w14:paraId="502581D6" w14:textId="77777777" w:rsidTr="0035708B">
        <w:trPr>
          <w:tblCellSpacing w:w="15" w:type="dxa"/>
        </w:trPr>
        <w:tc>
          <w:tcPr>
            <w:tcW w:w="1282" w:type="dxa"/>
            <w:vMerge/>
          </w:tcPr>
          <w:p w14:paraId="24740215" w14:textId="77777777" w:rsidR="00DB5AA9" w:rsidRPr="00711DEB" w:rsidRDefault="00DB5AA9" w:rsidP="0035708B">
            <w:pPr>
              <w:contextualSpacing/>
              <w:rPr>
                <w:sz w:val="18"/>
                <w:szCs w:val="18"/>
              </w:rPr>
            </w:pPr>
          </w:p>
        </w:tc>
        <w:tc>
          <w:tcPr>
            <w:tcW w:w="2063" w:type="dxa"/>
          </w:tcPr>
          <w:p w14:paraId="1180B67A" w14:textId="77777777" w:rsidR="00DB5AA9" w:rsidRPr="00711DEB" w:rsidRDefault="00DB5AA9" w:rsidP="0035708B">
            <w:pPr>
              <w:contextualSpacing/>
              <w:rPr>
                <w:sz w:val="18"/>
                <w:szCs w:val="18"/>
              </w:rPr>
            </w:pPr>
            <w:r w:rsidRPr="00711DEB">
              <w:rPr>
                <w:sz w:val="18"/>
                <w:szCs w:val="18"/>
              </w:rPr>
              <w:t>Achieved sample size</w:t>
            </w:r>
          </w:p>
        </w:tc>
        <w:tc>
          <w:tcPr>
            <w:tcW w:w="553" w:type="dxa"/>
          </w:tcPr>
          <w:p w14:paraId="11E515D4" w14:textId="77777777" w:rsidR="00DB5AA9" w:rsidRPr="00711DEB" w:rsidRDefault="00DB5AA9" w:rsidP="0035708B">
            <w:pPr>
              <w:contextualSpacing/>
              <w:rPr>
                <w:sz w:val="18"/>
                <w:szCs w:val="18"/>
              </w:rPr>
            </w:pPr>
            <w:r w:rsidRPr="00711DEB">
              <w:rPr>
                <w:sz w:val="18"/>
                <w:szCs w:val="18"/>
              </w:rPr>
              <w:t>1</w:t>
            </w:r>
          </w:p>
        </w:tc>
        <w:tc>
          <w:tcPr>
            <w:tcW w:w="2777" w:type="dxa"/>
          </w:tcPr>
          <w:p w14:paraId="1C831FA3" w14:textId="77777777" w:rsidR="00DB5AA9" w:rsidRPr="00711DEB" w:rsidRDefault="00DB5AA9" w:rsidP="0035708B">
            <w:pPr>
              <w:contextualSpacing/>
              <w:rPr>
                <w:sz w:val="18"/>
                <w:szCs w:val="18"/>
              </w:rPr>
            </w:pPr>
            <w:r w:rsidRPr="00711DEB">
              <w:rPr>
                <w:sz w:val="18"/>
                <w:szCs w:val="18"/>
              </w:rPr>
              <w:t>Integer</w:t>
            </w:r>
          </w:p>
        </w:tc>
        <w:tc>
          <w:tcPr>
            <w:tcW w:w="3033" w:type="dxa"/>
          </w:tcPr>
          <w:p w14:paraId="6D617DD7" w14:textId="77777777" w:rsidR="00DB5AA9" w:rsidRPr="00711DEB" w:rsidRDefault="00DB5AA9" w:rsidP="0035708B">
            <w:pPr>
              <w:contextualSpacing/>
              <w:rPr>
                <w:sz w:val="18"/>
                <w:szCs w:val="18"/>
              </w:rPr>
            </w:pPr>
            <w:r w:rsidRPr="00711DEB">
              <w:rPr>
                <w:sz w:val="18"/>
                <w:szCs w:val="18"/>
              </w:rPr>
              <w:t>–</w:t>
            </w:r>
          </w:p>
        </w:tc>
      </w:tr>
      <w:tr w:rsidR="00DB5AA9" w:rsidRPr="00711DEB" w14:paraId="2EF5FAFF" w14:textId="77777777" w:rsidTr="0035708B">
        <w:trPr>
          <w:tblCellSpacing w:w="15" w:type="dxa"/>
        </w:trPr>
        <w:tc>
          <w:tcPr>
            <w:tcW w:w="1282" w:type="dxa"/>
            <w:vMerge/>
          </w:tcPr>
          <w:p w14:paraId="49F2DBC3" w14:textId="77777777" w:rsidR="00DB5AA9" w:rsidRPr="00711DEB" w:rsidRDefault="00DB5AA9" w:rsidP="0035708B">
            <w:pPr>
              <w:contextualSpacing/>
              <w:rPr>
                <w:sz w:val="18"/>
                <w:szCs w:val="18"/>
              </w:rPr>
            </w:pPr>
          </w:p>
        </w:tc>
        <w:tc>
          <w:tcPr>
            <w:tcW w:w="2063" w:type="dxa"/>
          </w:tcPr>
          <w:p w14:paraId="04E5ACB2" w14:textId="77777777" w:rsidR="00DB5AA9" w:rsidRPr="00711DEB" w:rsidRDefault="00DB5AA9" w:rsidP="0035708B">
            <w:pPr>
              <w:contextualSpacing/>
              <w:rPr>
                <w:sz w:val="18"/>
                <w:szCs w:val="18"/>
              </w:rPr>
            </w:pPr>
            <w:r w:rsidRPr="00711DEB">
              <w:rPr>
                <w:sz w:val="18"/>
                <w:szCs w:val="18"/>
              </w:rPr>
              <w:t xml:space="preserve">Male participants </w:t>
            </w:r>
          </w:p>
        </w:tc>
        <w:tc>
          <w:tcPr>
            <w:tcW w:w="553" w:type="dxa"/>
          </w:tcPr>
          <w:p w14:paraId="7A1EEEDE" w14:textId="77777777" w:rsidR="00DB5AA9" w:rsidRPr="00711DEB" w:rsidRDefault="00DB5AA9" w:rsidP="0035708B">
            <w:pPr>
              <w:contextualSpacing/>
              <w:rPr>
                <w:sz w:val="18"/>
                <w:szCs w:val="18"/>
              </w:rPr>
            </w:pPr>
            <w:r w:rsidRPr="00711DEB">
              <w:rPr>
                <w:sz w:val="18"/>
                <w:szCs w:val="18"/>
              </w:rPr>
              <w:t>1</w:t>
            </w:r>
          </w:p>
        </w:tc>
        <w:tc>
          <w:tcPr>
            <w:tcW w:w="2777" w:type="dxa"/>
          </w:tcPr>
          <w:p w14:paraId="0FBEC26C" w14:textId="77777777" w:rsidR="00DB5AA9" w:rsidRPr="00711DEB" w:rsidRDefault="00DB5AA9" w:rsidP="0035708B">
            <w:pPr>
              <w:contextualSpacing/>
              <w:rPr>
                <w:sz w:val="18"/>
                <w:szCs w:val="18"/>
              </w:rPr>
            </w:pPr>
            <w:r w:rsidRPr="00711DEB">
              <w:rPr>
                <w:sz w:val="18"/>
                <w:szCs w:val="18"/>
              </w:rPr>
              <w:t>Integer</w:t>
            </w:r>
          </w:p>
        </w:tc>
        <w:tc>
          <w:tcPr>
            <w:tcW w:w="3033" w:type="dxa"/>
          </w:tcPr>
          <w:p w14:paraId="243561CF" w14:textId="77777777" w:rsidR="00DB5AA9" w:rsidRPr="00711DEB" w:rsidRDefault="00DB5AA9" w:rsidP="0035708B">
            <w:pPr>
              <w:contextualSpacing/>
              <w:rPr>
                <w:sz w:val="18"/>
                <w:szCs w:val="18"/>
              </w:rPr>
            </w:pPr>
            <w:r w:rsidRPr="00711DEB">
              <w:rPr>
                <w:sz w:val="18"/>
                <w:szCs w:val="18"/>
              </w:rPr>
              <w:t>–</w:t>
            </w:r>
          </w:p>
        </w:tc>
      </w:tr>
      <w:tr w:rsidR="00DB5AA9" w:rsidRPr="00711DEB" w14:paraId="3B1CA0D9" w14:textId="77777777" w:rsidTr="0035708B">
        <w:trPr>
          <w:tblCellSpacing w:w="15" w:type="dxa"/>
        </w:trPr>
        <w:tc>
          <w:tcPr>
            <w:tcW w:w="1282" w:type="dxa"/>
            <w:vMerge/>
          </w:tcPr>
          <w:p w14:paraId="2DAAD657" w14:textId="77777777" w:rsidR="00DB5AA9" w:rsidRPr="00711DEB" w:rsidRDefault="00DB5AA9" w:rsidP="0035708B">
            <w:pPr>
              <w:contextualSpacing/>
              <w:rPr>
                <w:sz w:val="18"/>
                <w:szCs w:val="18"/>
              </w:rPr>
            </w:pPr>
          </w:p>
        </w:tc>
        <w:tc>
          <w:tcPr>
            <w:tcW w:w="2063" w:type="dxa"/>
          </w:tcPr>
          <w:p w14:paraId="0DED88F2" w14:textId="77777777" w:rsidR="00DB5AA9" w:rsidRPr="00711DEB" w:rsidRDefault="00DB5AA9" w:rsidP="0035708B">
            <w:pPr>
              <w:contextualSpacing/>
              <w:rPr>
                <w:sz w:val="18"/>
                <w:szCs w:val="18"/>
              </w:rPr>
            </w:pPr>
            <w:r w:rsidRPr="00711DEB">
              <w:rPr>
                <w:sz w:val="18"/>
                <w:szCs w:val="18"/>
              </w:rPr>
              <w:t>Female participants</w:t>
            </w:r>
          </w:p>
        </w:tc>
        <w:tc>
          <w:tcPr>
            <w:tcW w:w="553" w:type="dxa"/>
          </w:tcPr>
          <w:p w14:paraId="6CAB6E60" w14:textId="77777777" w:rsidR="00DB5AA9" w:rsidRPr="00711DEB" w:rsidRDefault="00DB5AA9" w:rsidP="0035708B">
            <w:pPr>
              <w:contextualSpacing/>
              <w:rPr>
                <w:sz w:val="18"/>
                <w:szCs w:val="18"/>
              </w:rPr>
            </w:pPr>
            <w:r w:rsidRPr="00711DEB">
              <w:rPr>
                <w:sz w:val="18"/>
                <w:szCs w:val="18"/>
              </w:rPr>
              <w:t>1</w:t>
            </w:r>
          </w:p>
        </w:tc>
        <w:tc>
          <w:tcPr>
            <w:tcW w:w="2777" w:type="dxa"/>
          </w:tcPr>
          <w:p w14:paraId="07B63723" w14:textId="77777777" w:rsidR="00DB5AA9" w:rsidRPr="00711DEB" w:rsidRDefault="00DB5AA9" w:rsidP="0035708B">
            <w:pPr>
              <w:contextualSpacing/>
              <w:rPr>
                <w:sz w:val="18"/>
                <w:szCs w:val="18"/>
              </w:rPr>
            </w:pPr>
            <w:r w:rsidRPr="00711DEB">
              <w:rPr>
                <w:sz w:val="18"/>
                <w:szCs w:val="18"/>
              </w:rPr>
              <w:t>Integer</w:t>
            </w:r>
          </w:p>
        </w:tc>
        <w:tc>
          <w:tcPr>
            <w:tcW w:w="3033" w:type="dxa"/>
          </w:tcPr>
          <w:p w14:paraId="746E00AB" w14:textId="77777777" w:rsidR="00DB5AA9" w:rsidRPr="00711DEB" w:rsidRDefault="00DB5AA9" w:rsidP="0035708B">
            <w:pPr>
              <w:contextualSpacing/>
              <w:rPr>
                <w:sz w:val="18"/>
                <w:szCs w:val="18"/>
              </w:rPr>
            </w:pPr>
            <w:r w:rsidRPr="00711DEB">
              <w:rPr>
                <w:sz w:val="18"/>
                <w:szCs w:val="18"/>
              </w:rPr>
              <w:t>–</w:t>
            </w:r>
          </w:p>
        </w:tc>
      </w:tr>
      <w:tr w:rsidR="00DB5AA9" w:rsidRPr="00711DEB" w14:paraId="115EE740" w14:textId="77777777" w:rsidTr="0035708B">
        <w:trPr>
          <w:tblCellSpacing w:w="15" w:type="dxa"/>
        </w:trPr>
        <w:tc>
          <w:tcPr>
            <w:tcW w:w="1282" w:type="dxa"/>
            <w:vMerge/>
          </w:tcPr>
          <w:p w14:paraId="54538111" w14:textId="77777777" w:rsidR="00DB5AA9" w:rsidRPr="00711DEB" w:rsidRDefault="00DB5AA9" w:rsidP="0035708B">
            <w:pPr>
              <w:contextualSpacing/>
              <w:rPr>
                <w:sz w:val="18"/>
                <w:szCs w:val="18"/>
              </w:rPr>
            </w:pPr>
          </w:p>
        </w:tc>
        <w:tc>
          <w:tcPr>
            <w:tcW w:w="2063" w:type="dxa"/>
          </w:tcPr>
          <w:p w14:paraId="228B5A05" w14:textId="77777777" w:rsidR="00DB5AA9" w:rsidRPr="00711DEB" w:rsidRDefault="00DB5AA9" w:rsidP="0035708B">
            <w:pPr>
              <w:contextualSpacing/>
              <w:rPr>
                <w:sz w:val="18"/>
                <w:szCs w:val="18"/>
              </w:rPr>
            </w:pPr>
            <w:r w:rsidRPr="00711DEB">
              <w:rPr>
                <w:sz w:val="18"/>
                <w:szCs w:val="18"/>
              </w:rPr>
              <w:t>Intersex participants</w:t>
            </w:r>
          </w:p>
        </w:tc>
        <w:tc>
          <w:tcPr>
            <w:tcW w:w="553" w:type="dxa"/>
          </w:tcPr>
          <w:p w14:paraId="57093A6C" w14:textId="77777777" w:rsidR="00DB5AA9" w:rsidRPr="00711DEB" w:rsidRDefault="00DB5AA9" w:rsidP="0035708B">
            <w:pPr>
              <w:contextualSpacing/>
              <w:rPr>
                <w:sz w:val="18"/>
                <w:szCs w:val="18"/>
              </w:rPr>
            </w:pPr>
            <w:r w:rsidRPr="00711DEB">
              <w:rPr>
                <w:sz w:val="18"/>
                <w:szCs w:val="18"/>
              </w:rPr>
              <w:t>1</w:t>
            </w:r>
          </w:p>
        </w:tc>
        <w:tc>
          <w:tcPr>
            <w:tcW w:w="2777" w:type="dxa"/>
          </w:tcPr>
          <w:p w14:paraId="18131B73" w14:textId="77777777" w:rsidR="00DB5AA9" w:rsidRPr="00711DEB" w:rsidRDefault="00DB5AA9" w:rsidP="0035708B">
            <w:pPr>
              <w:contextualSpacing/>
              <w:rPr>
                <w:sz w:val="18"/>
                <w:szCs w:val="18"/>
              </w:rPr>
            </w:pPr>
            <w:r w:rsidRPr="00711DEB">
              <w:rPr>
                <w:sz w:val="18"/>
                <w:szCs w:val="18"/>
              </w:rPr>
              <w:t>Integer</w:t>
            </w:r>
          </w:p>
        </w:tc>
        <w:tc>
          <w:tcPr>
            <w:tcW w:w="3033" w:type="dxa"/>
          </w:tcPr>
          <w:p w14:paraId="3010D8EE" w14:textId="77777777" w:rsidR="00DB5AA9" w:rsidRPr="00711DEB" w:rsidRDefault="00DB5AA9" w:rsidP="0035708B">
            <w:pPr>
              <w:contextualSpacing/>
              <w:rPr>
                <w:sz w:val="18"/>
                <w:szCs w:val="18"/>
              </w:rPr>
            </w:pPr>
            <w:r w:rsidRPr="00711DEB">
              <w:rPr>
                <w:sz w:val="18"/>
                <w:szCs w:val="18"/>
              </w:rPr>
              <w:t>–</w:t>
            </w:r>
          </w:p>
        </w:tc>
      </w:tr>
      <w:tr w:rsidR="00DB5AA9" w:rsidRPr="00711DEB" w14:paraId="496799A2" w14:textId="77777777" w:rsidTr="0035708B">
        <w:trPr>
          <w:tblCellSpacing w:w="15" w:type="dxa"/>
        </w:trPr>
        <w:tc>
          <w:tcPr>
            <w:tcW w:w="1282" w:type="dxa"/>
            <w:vMerge/>
          </w:tcPr>
          <w:p w14:paraId="00DA2BFD" w14:textId="77777777" w:rsidR="00DB5AA9" w:rsidRPr="00711DEB" w:rsidRDefault="00DB5AA9" w:rsidP="0035708B">
            <w:pPr>
              <w:contextualSpacing/>
              <w:rPr>
                <w:sz w:val="18"/>
                <w:szCs w:val="18"/>
              </w:rPr>
            </w:pPr>
          </w:p>
        </w:tc>
        <w:tc>
          <w:tcPr>
            <w:tcW w:w="2063" w:type="dxa"/>
          </w:tcPr>
          <w:p w14:paraId="4CD6430E" w14:textId="77777777" w:rsidR="00DB5AA9" w:rsidRPr="00711DEB" w:rsidRDefault="00DB5AA9" w:rsidP="0035708B">
            <w:pPr>
              <w:contextualSpacing/>
              <w:rPr>
                <w:sz w:val="18"/>
                <w:szCs w:val="18"/>
              </w:rPr>
            </w:pPr>
            <w:r w:rsidRPr="00711DEB">
              <w:rPr>
                <w:sz w:val="18"/>
                <w:szCs w:val="18"/>
              </w:rPr>
              <w:t>Age range</w:t>
            </w:r>
          </w:p>
        </w:tc>
        <w:tc>
          <w:tcPr>
            <w:tcW w:w="553" w:type="dxa"/>
          </w:tcPr>
          <w:p w14:paraId="52D74821" w14:textId="77777777" w:rsidR="00DB5AA9" w:rsidRPr="00711DEB" w:rsidRDefault="00DB5AA9" w:rsidP="0035708B">
            <w:pPr>
              <w:contextualSpacing/>
              <w:rPr>
                <w:sz w:val="18"/>
                <w:szCs w:val="18"/>
              </w:rPr>
            </w:pPr>
            <w:r w:rsidRPr="00711DEB">
              <w:rPr>
                <w:sz w:val="18"/>
                <w:szCs w:val="18"/>
              </w:rPr>
              <w:t>1</w:t>
            </w:r>
          </w:p>
        </w:tc>
        <w:tc>
          <w:tcPr>
            <w:tcW w:w="2777" w:type="dxa"/>
          </w:tcPr>
          <w:p w14:paraId="27F6E957" w14:textId="77777777" w:rsidR="00DB5AA9" w:rsidRPr="00711DEB" w:rsidRDefault="00DB5AA9" w:rsidP="0035708B">
            <w:pPr>
              <w:contextualSpacing/>
              <w:rPr>
                <w:sz w:val="18"/>
                <w:szCs w:val="18"/>
              </w:rPr>
            </w:pPr>
            <w:r w:rsidRPr="00711DEB">
              <w:rPr>
                <w:sz w:val="18"/>
                <w:szCs w:val="18"/>
              </w:rPr>
              <w:t>Minimum-maximum</w:t>
            </w:r>
          </w:p>
        </w:tc>
        <w:tc>
          <w:tcPr>
            <w:tcW w:w="3033" w:type="dxa"/>
          </w:tcPr>
          <w:p w14:paraId="46626FCB" w14:textId="77777777" w:rsidR="00DB5AA9" w:rsidRPr="00711DEB" w:rsidRDefault="00DB5AA9" w:rsidP="0035708B">
            <w:pPr>
              <w:contextualSpacing/>
              <w:rPr>
                <w:sz w:val="18"/>
                <w:szCs w:val="18"/>
              </w:rPr>
            </w:pPr>
            <w:r w:rsidRPr="00711DEB">
              <w:rPr>
                <w:sz w:val="18"/>
                <w:szCs w:val="18"/>
              </w:rPr>
              <w:t>“21–35 years”</w:t>
            </w:r>
          </w:p>
        </w:tc>
      </w:tr>
      <w:tr w:rsidR="00DB5AA9" w:rsidRPr="00711DEB" w14:paraId="0BFB510F" w14:textId="77777777" w:rsidTr="0035708B">
        <w:trPr>
          <w:tblCellSpacing w:w="15" w:type="dxa"/>
        </w:trPr>
        <w:tc>
          <w:tcPr>
            <w:tcW w:w="1282" w:type="dxa"/>
            <w:vMerge/>
          </w:tcPr>
          <w:p w14:paraId="267DC25B" w14:textId="77777777" w:rsidR="00DB5AA9" w:rsidRPr="00711DEB" w:rsidRDefault="00DB5AA9" w:rsidP="0035708B">
            <w:pPr>
              <w:contextualSpacing/>
              <w:rPr>
                <w:sz w:val="18"/>
                <w:szCs w:val="18"/>
              </w:rPr>
            </w:pPr>
          </w:p>
        </w:tc>
        <w:tc>
          <w:tcPr>
            <w:tcW w:w="2063" w:type="dxa"/>
          </w:tcPr>
          <w:p w14:paraId="4195E31E" w14:textId="77777777" w:rsidR="00DB5AA9" w:rsidRPr="00711DEB" w:rsidRDefault="00DB5AA9" w:rsidP="0035708B">
            <w:pPr>
              <w:contextualSpacing/>
              <w:rPr>
                <w:sz w:val="18"/>
                <w:szCs w:val="18"/>
              </w:rPr>
            </w:pPr>
            <w:r w:rsidRPr="00711DEB">
              <w:rPr>
                <w:sz w:val="18"/>
                <w:szCs w:val="18"/>
              </w:rPr>
              <w:t>Population description</w:t>
            </w:r>
          </w:p>
        </w:tc>
        <w:tc>
          <w:tcPr>
            <w:tcW w:w="553" w:type="dxa"/>
          </w:tcPr>
          <w:p w14:paraId="2E36C95F" w14:textId="77777777" w:rsidR="00DB5AA9" w:rsidRPr="00711DEB" w:rsidRDefault="00DB5AA9" w:rsidP="0035708B">
            <w:pPr>
              <w:contextualSpacing/>
              <w:rPr>
                <w:sz w:val="18"/>
                <w:szCs w:val="18"/>
              </w:rPr>
            </w:pPr>
            <w:r w:rsidRPr="00711DEB">
              <w:rPr>
                <w:sz w:val="18"/>
                <w:szCs w:val="18"/>
              </w:rPr>
              <w:t>1</w:t>
            </w:r>
          </w:p>
        </w:tc>
        <w:tc>
          <w:tcPr>
            <w:tcW w:w="2777" w:type="dxa"/>
          </w:tcPr>
          <w:p w14:paraId="06D80254" w14:textId="77777777" w:rsidR="00DB5AA9" w:rsidRPr="00711DEB" w:rsidRDefault="00DB5AA9" w:rsidP="0035708B">
            <w:pPr>
              <w:contextualSpacing/>
              <w:rPr>
                <w:sz w:val="18"/>
                <w:szCs w:val="18"/>
              </w:rPr>
            </w:pPr>
            <w:r w:rsidRPr="00711DEB">
              <w:rPr>
                <w:sz w:val="18"/>
                <w:szCs w:val="18"/>
              </w:rPr>
              <w:t>Free text</w:t>
            </w:r>
          </w:p>
        </w:tc>
        <w:tc>
          <w:tcPr>
            <w:tcW w:w="3033" w:type="dxa"/>
          </w:tcPr>
          <w:p w14:paraId="27DE0890" w14:textId="77777777" w:rsidR="00DB5AA9" w:rsidRPr="00711DEB" w:rsidRDefault="00DB5AA9" w:rsidP="0035708B">
            <w:pPr>
              <w:contextualSpacing/>
              <w:rPr>
                <w:sz w:val="18"/>
                <w:szCs w:val="18"/>
              </w:rPr>
            </w:pPr>
            <w:r w:rsidRPr="00711DEB">
              <w:rPr>
                <w:sz w:val="18"/>
                <w:szCs w:val="18"/>
              </w:rPr>
              <w:t>e.g., “Healthy university students”, “Sedentary adults aged 20–40”</w:t>
            </w:r>
          </w:p>
        </w:tc>
      </w:tr>
      <w:tr w:rsidR="00DB5AA9" w:rsidRPr="00711DEB" w14:paraId="321E178D" w14:textId="77777777" w:rsidTr="0035708B">
        <w:trPr>
          <w:tblCellSpacing w:w="15" w:type="dxa"/>
        </w:trPr>
        <w:tc>
          <w:tcPr>
            <w:tcW w:w="1282" w:type="dxa"/>
            <w:vMerge/>
          </w:tcPr>
          <w:p w14:paraId="436170A2" w14:textId="77777777" w:rsidR="00DB5AA9" w:rsidRPr="00711DEB" w:rsidRDefault="00DB5AA9" w:rsidP="0035708B">
            <w:pPr>
              <w:contextualSpacing/>
              <w:rPr>
                <w:sz w:val="18"/>
                <w:szCs w:val="18"/>
              </w:rPr>
            </w:pPr>
          </w:p>
        </w:tc>
        <w:tc>
          <w:tcPr>
            <w:tcW w:w="2063" w:type="dxa"/>
          </w:tcPr>
          <w:p w14:paraId="0C2ADBEF" w14:textId="77777777" w:rsidR="00DB5AA9" w:rsidRPr="00711DEB" w:rsidRDefault="00DB5AA9" w:rsidP="0035708B">
            <w:pPr>
              <w:contextualSpacing/>
              <w:rPr>
                <w:sz w:val="18"/>
                <w:szCs w:val="18"/>
              </w:rPr>
            </w:pPr>
            <w:r w:rsidRPr="00711DEB">
              <w:rPr>
                <w:sz w:val="18"/>
                <w:szCs w:val="18"/>
              </w:rPr>
              <w:t>Inclusion criteria</w:t>
            </w:r>
          </w:p>
        </w:tc>
        <w:tc>
          <w:tcPr>
            <w:tcW w:w="553" w:type="dxa"/>
          </w:tcPr>
          <w:p w14:paraId="63441492" w14:textId="77777777" w:rsidR="00DB5AA9" w:rsidRPr="00711DEB" w:rsidRDefault="00DB5AA9" w:rsidP="0035708B">
            <w:pPr>
              <w:contextualSpacing/>
              <w:rPr>
                <w:sz w:val="18"/>
                <w:szCs w:val="18"/>
              </w:rPr>
            </w:pPr>
            <w:r w:rsidRPr="00711DEB">
              <w:rPr>
                <w:sz w:val="18"/>
                <w:szCs w:val="18"/>
              </w:rPr>
              <w:t>1</w:t>
            </w:r>
          </w:p>
        </w:tc>
        <w:tc>
          <w:tcPr>
            <w:tcW w:w="2777" w:type="dxa"/>
          </w:tcPr>
          <w:p w14:paraId="45D62072" w14:textId="77777777" w:rsidR="00DB5AA9" w:rsidRPr="00711DEB" w:rsidRDefault="00DB5AA9" w:rsidP="0035708B">
            <w:pPr>
              <w:contextualSpacing/>
              <w:rPr>
                <w:sz w:val="18"/>
                <w:szCs w:val="18"/>
              </w:rPr>
            </w:pPr>
            <w:r w:rsidRPr="00711DEB">
              <w:rPr>
                <w:sz w:val="18"/>
                <w:szCs w:val="18"/>
              </w:rPr>
              <w:t>Free text or list</w:t>
            </w:r>
          </w:p>
        </w:tc>
        <w:tc>
          <w:tcPr>
            <w:tcW w:w="3033" w:type="dxa"/>
          </w:tcPr>
          <w:p w14:paraId="42A79579" w14:textId="77777777" w:rsidR="00DB5AA9" w:rsidRPr="00711DEB" w:rsidRDefault="00DB5AA9" w:rsidP="0035708B">
            <w:pPr>
              <w:contextualSpacing/>
              <w:rPr>
                <w:sz w:val="18"/>
                <w:szCs w:val="18"/>
              </w:rPr>
            </w:pPr>
            <w:r w:rsidRPr="00711DEB">
              <w:rPr>
                <w:sz w:val="18"/>
                <w:szCs w:val="18"/>
              </w:rPr>
              <w:t>–</w:t>
            </w:r>
          </w:p>
        </w:tc>
      </w:tr>
      <w:tr w:rsidR="00DB5AA9" w:rsidRPr="00711DEB" w14:paraId="66790D5A" w14:textId="77777777" w:rsidTr="0035708B">
        <w:trPr>
          <w:tblCellSpacing w:w="15" w:type="dxa"/>
        </w:trPr>
        <w:tc>
          <w:tcPr>
            <w:tcW w:w="1282" w:type="dxa"/>
            <w:vMerge/>
          </w:tcPr>
          <w:p w14:paraId="477A58D5" w14:textId="77777777" w:rsidR="00DB5AA9" w:rsidRPr="00711DEB" w:rsidRDefault="00DB5AA9" w:rsidP="0035708B">
            <w:pPr>
              <w:contextualSpacing/>
              <w:rPr>
                <w:sz w:val="18"/>
                <w:szCs w:val="18"/>
              </w:rPr>
            </w:pPr>
          </w:p>
        </w:tc>
        <w:tc>
          <w:tcPr>
            <w:tcW w:w="2063" w:type="dxa"/>
          </w:tcPr>
          <w:p w14:paraId="3BAED0B3" w14:textId="77777777" w:rsidR="00DB5AA9" w:rsidRPr="00711DEB" w:rsidRDefault="00DB5AA9" w:rsidP="0035708B">
            <w:pPr>
              <w:contextualSpacing/>
              <w:rPr>
                <w:sz w:val="18"/>
                <w:szCs w:val="18"/>
              </w:rPr>
            </w:pPr>
            <w:r w:rsidRPr="00711DEB">
              <w:rPr>
                <w:sz w:val="18"/>
                <w:szCs w:val="18"/>
              </w:rPr>
              <w:t>Exclusion criteria</w:t>
            </w:r>
          </w:p>
        </w:tc>
        <w:tc>
          <w:tcPr>
            <w:tcW w:w="553" w:type="dxa"/>
          </w:tcPr>
          <w:p w14:paraId="3C893D64" w14:textId="77777777" w:rsidR="00DB5AA9" w:rsidRPr="00711DEB" w:rsidRDefault="00DB5AA9" w:rsidP="0035708B">
            <w:pPr>
              <w:contextualSpacing/>
              <w:rPr>
                <w:sz w:val="18"/>
                <w:szCs w:val="18"/>
              </w:rPr>
            </w:pPr>
            <w:r w:rsidRPr="00711DEB">
              <w:rPr>
                <w:sz w:val="18"/>
                <w:szCs w:val="18"/>
              </w:rPr>
              <w:t>1</w:t>
            </w:r>
          </w:p>
        </w:tc>
        <w:tc>
          <w:tcPr>
            <w:tcW w:w="2777" w:type="dxa"/>
          </w:tcPr>
          <w:p w14:paraId="78050169" w14:textId="77777777" w:rsidR="00DB5AA9" w:rsidRPr="00711DEB" w:rsidRDefault="00DB5AA9" w:rsidP="0035708B">
            <w:pPr>
              <w:contextualSpacing/>
              <w:rPr>
                <w:sz w:val="18"/>
                <w:szCs w:val="18"/>
              </w:rPr>
            </w:pPr>
            <w:r w:rsidRPr="00711DEB">
              <w:rPr>
                <w:sz w:val="18"/>
                <w:szCs w:val="18"/>
              </w:rPr>
              <w:t>Free text or list</w:t>
            </w:r>
          </w:p>
        </w:tc>
        <w:tc>
          <w:tcPr>
            <w:tcW w:w="3033" w:type="dxa"/>
          </w:tcPr>
          <w:p w14:paraId="73142269" w14:textId="77777777" w:rsidR="00DB5AA9" w:rsidRPr="00711DEB" w:rsidRDefault="00DB5AA9" w:rsidP="0035708B">
            <w:pPr>
              <w:contextualSpacing/>
              <w:rPr>
                <w:sz w:val="18"/>
                <w:szCs w:val="18"/>
              </w:rPr>
            </w:pPr>
            <w:r w:rsidRPr="00711DEB">
              <w:rPr>
                <w:sz w:val="18"/>
                <w:szCs w:val="18"/>
              </w:rPr>
              <w:t>–</w:t>
            </w:r>
          </w:p>
        </w:tc>
      </w:tr>
      <w:tr w:rsidR="00DB5AA9" w:rsidRPr="00711DEB" w14:paraId="2EB7B74F" w14:textId="77777777" w:rsidTr="0035708B">
        <w:trPr>
          <w:tblCellSpacing w:w="15" w:type="dxa"/>
        </w:trPr>
        <w:tc>
          <w:tcPr>
            <w:tcW w:w="1282" w:type="dxa"/>
            <w:vMerge w:val="restart"/>
            <w:tcBorders>
              <w:top w:val="single" w:sz="4" w:space="0" w:color="auto"/>
            </w:tcBorders>
          </w:tcPr>
          <w:p w14:paraId="4D023599" w14:textId="77777777" w:rsidR="00DB5AA9" w:rsidRPr="00711DEB" w:rsidRDefault="00DB5AA9" w:rsidP="0035708B">
            <w:pPr>
              <w:contextualSpacing/>
              <w:rPr>
                <w:sz w:val="18"/>
                <w:szCs w:val="18"/>
              </w:rPr>
            </w:pPr>
            <w:r w:rsidRPr="00711DEB">
              <w:rPr>
                <w:sz w:val="18"/>
                <w:szCs w:val="18"/>
              </w:rPr>
              <w:t>Intervention</w:t>
            </w:r>
          </w:p>
        </w:tc>
        <w:tc>
          <w:tcPr>
            <w:tcW w:w="2063" w:type="dxa"/>
            <w:tcBorders>
              <w:top w:val="single" w:sz="4" w:space="0" w:color="auto"/>
            </w:tcBorders>
          </w:tcPr>
          <w:p w14:paraId="68CF0ABE" w14:textId="77777777" w:rsidR="00DB5AA9" w:rsidRPr="00711DEB" w:rsidRDefault="00DB5AA9" w:rsidP="0035708B">
            <w:pPr>
              <w:contextualSpacing/>
              <w:rPr>
                <w:sz w:val="18"/>
                <w:szCs w:val="18"/>
              </w:rPr>
            </w:pPr>
            <w:r w:rsidRPr="00711DEB">
              <w:rPr>
                <w:sz w:val="18"/>
                <w:szCs w:val="18"/>
              </w:rPr>
              <w:t>Study domain/s</w:t>
            </w:r>
          </w:p>
        </w:tc>
        <w:tc>
          <w:tcPr>
            <w:tcW w:w="553" w:type="dxa"/>
            <w:tcBorders>
              <w:top w:val="single" w:sz="4" w:space="0" w:color="auto"/>
            </w:tcBorders>
          </w:tcPr>
          <w:p w14:paraId="69DC04E5"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38B4B848" w14:textId="77777777" w:rsidR="00DB5AA9" w:rsidRPr="00711DEB" w:rsidRDefault="00DB5AA9" w:rsidP="0035708B">
            <w:pPr>
              <w:contextualSpacing/>
              <w:rPr>
                <w:sz w:val="18"/>
                <w:szCs w:val="18"/>
              </w:rPr>
            </w:pPr>
            <w:r w:rsidRPr="00711DEB">
              <w:rPr>
                <w:sz w:val="18"/>
                <w:szCs w:val="18"/>
              </w:rPr>
              <w:t>Thermal / Humidity / Air velocity / Lighting / Air quality / Noise</w:t>
            </w:r>
          </w:p>
        </w:tc>
        <w:tc>
          <w:tcPr>
            <w:tcW w:w="3033" w:type="dxa"/>
            <w:tcBorders>
              <w:top w:val="single" w:sz="4" w:space="0" w:color="auto"/>
            </w:tcBorders>
          </w:tcPr>
          <w:p w14:paraId="080E7C00" w14:textId="77777777" w:rsidR="00DB5AA9" w:rsidRPr="00711DEB" w:rsidRDefault="00DB5AA9" w:rsidP="0035708B">
            <w:pPr>
              <w:contextualSpacing/>
              <w:rPr>
                <w:sz w:val="18"/>
                <w:szCs w:val="18"/>
              </w:rPr>
            </w:pPr>
            <w:r w:rsidRPr="00711DEB">
              <w:rPr>
                <w:sz w:val="18"/>
                <w:szCs w:val="18"/>
              </w:rPr>
              <w:t>Multiple allowed</w:t>
            </w:r>
          </w:p>
        </w:tc>
      </w:tr>
      <w:tr w:rsidR="00DB5AA9" w:rsidRPr="00711DEB" w14:paraId="402D5429" w14:textId="77777777" w:rsidTr="0035708B">
        <w:trPr>
          <w:tblCellSpacing w:w="15" w:type="dxa"/>
        </w:trPr>
        <w:tc>
          <w:tcPr>
            <w:tcW w:w="1282" w:type="dxa"/>
            <w:vMerge/>
          </w:tcPr>
          <w:p w14:paraId="59002B16" w14:textId="77777777" w:rsidR="00DB5AA9" w:rsidRPr="00711DEB" w:rsidRDefault="00DB5AA9" w:rsidP="0035708B">
            <w:pPr>
              <w:contextualSpacing/>
              <w:rPr>
                <w:sz w:val="18"/>
                <w:szCs w:val="18"/>
              </w:rPr>
            </w:pPr>
          </w:p>
        </w:tc>
        <w:tc>
          <w:tcPr>
            <w:tcW w:w="2063" w:type="dxa"/>
          </w:tcPr>
          <w:p w14:paraId="7681DF94" w14:textId="77777777" w:rsidR="00DB5AA9" w:rsidRPr="00711DEB" w:rsidRDefault="00DB5AA9" w:rsidP="0035708B">
            <w:pPr>
              <w:contextualSpacing/>
              <w:rPr>
                <w:sz w:val="18"/>
                <w:szCs w:val="18"/>
              </w:rPr>
            </w:pPr>
            <w:r w:rsidRPr="00711DEB">
              <w:rPr>
                <w:sz w:val="18"/>
                <w:szCs w:val="18"/>
              </w:rPr>
              <w:t>Intervention description</w:t>
            </w:r>
          </w:p>
        </w:tc>
        <w:tc>
          <w:tcPr>
            <w:tcW w:w="553" w:type="dxa"/>
          </w:tcPr>
          <w:p w14:paraId="6F6B22E1" w14:textId="77777777" w:rsidR="00DB5AA9" w:rsidRPr="00711DEB" w:rsidRDefault="00DB5AA9" w:rsidP="0035708B">
            <w:pPr>
              <w:contextualSpacing/>
              <w:rPr>
                <w:sz w:val="18"/>
                <w:szCs w:val="18"/>
              </w:rPr>
            </w:pPr>
            <w:r w:rsidRPr="00711DEB">
              <w:rPr>
                <w:sz w:val="18"/>
                <w:szCs w:val="18"/>
              </w:rPr>
              <w:t>1</w:t>
            </w:r>
          </w:p>
        </w:tc>
        <w:tc>
          <w:tcPr>
            <w:tcW w:w="2777" w:type="dxa"/>
          </w:tcPr>
          <w:p w14:paraId="7C260427" w14:textId="77777777" w:rsidR="00DB5AA9" w:rsidRPr="00711DEB" w:rsidRDefault="00DB5AA9" w:rsidP="0035708B">
            <w:pPr>
              <w:contextualSpacing/>
              <w:rPr>
                <w:sz w:val="18"/>
                <w:szCs w:val="18"/>
              </w:rPr>
            </w:pPr>
            <w:r w:rsidRPr="00711DEB">
              <w:rPr>
                <w:sz w:val="18"/>
                <w:szCs w:val="18"/>
              </w:rPr>
              <w:t>Free text</w:t>
            </w:r>
          </w:p>
        </w:tc>
        <w:tc>
          <w:tcPr>
            <w:tcW w:w="3033" w:type="dxa"/>
          </w:tcPr>
          <w:p w14:paraId="597A3418" w14:textId="77777777" w:rsidR="00DB5AA9" w:rsidRPr="00711DEB" w:rsidRDefault="00DB5AA9" w:rsidP="0035708B">
            <w:pPr>
              <w:contextualSpacing/>
              <w:rPr>
                <w:sz w:val="18"/>
                <w:szCs w:val="18"/>
              </w:rPr>
            </w:pPr>
            <w:r w:rsidRPr="00711DEB">
              <w:rPr>
                <w:sz w:val="18"/>
                <w:szCs w:val="18"/>
              </w:rPr>
              <w:t>Describe all manipulated variables</w:t>
            </w:r>
          </w:p>
        </w:tc>
      </w:tr>
      <w:tr w:rsidR="00DB5AA9" w:rsidRPr="00711DEB" w14:paraId="5047A76B" w14:textId="77777777" w:rsidTr="0035708B">
        <w:trPr>
          <w:tblCellSpacing w:w="15" w:type="dxa"/>
        </w:trPr>
        <w:tc>
          <w:tcPr>
            <w:tcW w:w="1282" w:type="dxa"/>
            <w:vMerge/>
          </w:tcPr>
          <w:p w14:paraId="260281C3" w14:textId="77777777" w:rsidR="00DB5AA9" w:rsidRPr="00711DEB" w:rsidRDefault="00DB5AA9" w:rsidP="0035708B">
            <w:pPr>
              <w:contextualSpacing/>
              <w:rPr>
                <w:sz w:val="18"/>
                <w:szCs w:val="18"/>
              </w:rPr>
            </w:pPr>
          </w:p>
        </w:tc>
        <w:tc>
          <w:tcPr>
            <w:tcW w:w="2063" w:type="dxa"/>
          </w:tcPr>
          <w:p w14:paraId="4938D9A6" w14:textId="77777777" w:rsidR="00DB5AA9" w:rsidRPr="00711DEB" w:rsidRDefault="00DB5AA9" w:rsidP="0035708B">
            <w:pPr>
              <w:contextualSpacing/>
              <w:rPr>
                <w:sz w:val="18"/>
                <w:szCs w:val="18"/>
              </w:rPr>
            </w:pPr>
            <w:r w:rsidRPr="00711DEB">
              <w:rPr>
                <w:sz w:val="18"/>
                <w:szCs w:val="18"/>
              </w:rPr>
              <w:t>Number of conditions</w:t>
            </w:r>
          </w:p>
        </w:tc>
        <w:tc>
          <w:tcPr>
            <w:tcW w:w="553" w:type="dxa"/>
          </w:tcPr>
          <w:p w14:paraId="25029DE8" w14:textId="77777777" w:rsidR="00DB5AA9" w:rsidRPr="00711DEB" w:rsidRDefault="00DB5AA9" w:rsidP="0035708B">
            <w:pPr>
              <w:contextualSpacing/>
              <w:rPr>
                <w:sz w:val="18"/>
                <w:szCs w:val="18"/>
              </w:rPr>
            </w:pPr>
            <w:r w:rsidRPr="00711DEB">
              <w:rPr>
                <w:sz w:val="18"/>
                <w:szCs w:val="18"/>
              </w:rPr>
              <w:t>2</w:t>
            </w:r>
          </w:p>
        </w:tc>
        <w:tc>
          <w:tcPr>
            <w:tcW w:w="2777" w:type="dxa"/>
          </w:tcPr>
          <w:p w14:paraId="707096A2" w14:textId="77777777" w:rsidR="00DB5AA9" w:rsidRPr="00711DEB" w:rsidRDefault="00DB5AA9" w:rsidP="0035708B">
            <w:pPr>
              <w:contextualSpacing/>
              <w:rPr>
                <w:sz w:val="18"/>
                <w:szCs w:val="18"/>
              </w:rPr>
            </w:pPr>
          </w:p>
        </w:tc>
        <w:tc>
          <w:tcPr>
            <w:tcW w:w="3033" w:type="dxa"/>
          </w:tcPr>
          <w:p w14:paraId="2A4FBE63" w14:textId="77777777" w:rsidR="00DB5AA9" w:rsidRPr="00711DEB" w:rsidRDefault="00DB5AA9" w:rsidP="0035708B">
            <w:pPr>
              <w:contextualSpacing/>
              <w:rPr>
                <w:sz w:val="18"/>
                <w:szCs w:val="18"/>
              </w:rPr>
            </w:pPr>
            <w:r w:rsidRPr="00711DEB">
              <w:rPr>
                <w:sz w:val="18"/>
                <w:szCs w:val="18"/>
              </w:rPr>
              <w:t>–</w:t>
            </w:r>
          </w:p>
        </w:tc>
      </w:tr>
      <w:tr w:rsidR="00DB5AA9" w:rsidRPr="00711DEB" w14:paraId="1303EBA8" w14:textId="77777777" w:rsidTr="0035708B">
        <w:trPr>
          <w:tblCellSpacing w:w="15" w:type="dxa"/>
        </w:trPr>
        <w:tc>
          <w:tcPr>
            <w:tcW w:w="1282" w:type="dxa"/>
            <w:vMerge/>
          </w:tcPr>
          <w:p w14:paraId="67EE8A56" w14:textId="77777777" w:rsidR="00DB5AA9" w:rsidRPr="00711DEB" w:rsidRDefault="00DB5AA9" w:rsidP="0035708B">
            <w:pPr>
              <w:contextualSpacing/>
              <w:rPr>
                <w:sz w:val="18"/>
                <w:szCs w:val="18"/>
              </w:rPr>
            </w:pPr>
          </w:p>
        </w:tc>
        <w:tc>
          <w:tcPr>
            <w:tcW w:w="2063" w:type="dxa"/>
          </w:tcPr>
          <w:p w14:paraId="453DF69C" w14:textId="77777777" w:rsidR="00DB5AA9" w:rsidRPr="00711DEB" w:rsidRDefault="00DB5AA9" w:rsidP="0035708B">
            <w:pPr>
              <w:contextualSpacing/>
              <w:rPr>
                <w:sz w:val="18"/>
                <w:szCs w:val="18"/>
              </w:rPr>
            </w:pPr>
            <w:r w:rsidRPr="00711DEB">
              <w:rPr>
                <w:sz w:val="18"/>
                <w:szCs w:val="18"/>
              </w:rPr>
              <w:t>Condition labels</w:t>
            </w:r>
          </w:p>
        </w:tc>
        <w:tc>
          <w:tcPr>
            <w:tcW w:w="553" w:type="dxa"/>
          </w:tcPr>
          <w:p w14:paraId="752A91B1" w14:textId="77777777" w:rsidR="00DB5AA9" w:rsidRPr="00711DEB" w:rsidRDefault="00DB5AA9" w:rsidP="0035708B">
            <w:pPr>
              <w:contextualSpacing/>
              <w:rPr>
                <w:sz w:val="18"/>
                <w:szCs w:val="18"/>
              </w:rPr>
            </w:pPr>
            <w:r w:rsidRPr="00711DEB">
              <w:rPr>
                <w:sz w:val="18"/>
                <w:szCs w:val="18"/>
              </w:rPr>
              <w:t>2</w:t>
            </w:r>
          </w:p>
        </w:tc>
        <w:tc>
          <w:tcPr>
            <w:tcW w:w="2777" w:type="dxa"/>
          </w:tcPr>
          <w:p w14:paraId="7D241707" w14:textId="77777777" w:rsidR="00DB5AA9" w:rsidRPr="00711DEB" w:rsidRDefault="00DB5AA9" w:rsidP="0035708B">
            <w:pPr>
              <w:contextualSpacing/>
              <w:rPr>
                <w:sz w:val="18"/>
                <w:szCs w:val="18"/>
              </w:rPr>
            </w:pPr>
          </w:p>
        </w:tc>
        <w:tc>
          <w:tcPr>
            <w:tcW w:w="3033" w:type="dxa"/>
          </w:tcPr>
          <w:p w14:paraId="6C945EC0" w14:textId="77777777" w:rsidR="00DB5AA9" w:rsidRPr="00711DEB" w:rsidRDefault="00DB5AA9" w:rsidP="0035708B">
            <w:pPr>
              <w:contextualSpacing/>
              <w:rPr>
                <w:sz w:val="18"/>
                <w:szCs w:val="18"/>
              </w:rPr>
            </w:pPr>
            <w:r w:rsidRPr="00711DEB">
              <w:rPr>
                <w:sz w:val="18"/>
                <w:szCs w:val="18"/>
              </w:rPr>
              <w:t>–</w:t>
            </w:r>
          </w:p>
        </w:tc>
      </w:tr>
      <w:tr w:rsidR="00DB5AA9" w:rsidRPr="00711DEB" w14:paraId="18C29571" w14:textId="77777777" w:rsidTr="0035708B">
        <w:trPr>
          <w:tblCellSpacing w:w="15" w:type="dxa"/>
        </w:trPr>
        <w:tc>
          <w:tcPr>
            <w:tcW w:w="1282" w:type="dxa"/>
            <w:vMerge/>
          </w:tcPr>
          <w:p w14:paraId="187441E8" w14:textId="77777777" w:rsidR="00DB5AA9" w:rsidRPr="00711DEB" w:rsidRDefault="00DB5AA9" w:rsidP="0035708B">
            <w:pPr>
              <w:contextualSpacing/>
              <w:rPr>
                <w:sz w:val="18"/>
                <w:szCs w:val="18"/>
              </w:rPr>
            </w:pPr>
          </w:p>
        </w:tc>
        <w:tc>
          <w:tcPr>
            <w:tcW w:w="2063" w:type="dxa"/>
          </w:tcPr>
          <w:p w14:paraId="3F112BC3" w14:textId="77777777" w:rsidR="00DB5AA9" w:rsidRPr="00711DEB" w:rsidRDefault="00DB5AA9" w:rsidP="0035708B">
            <w:pPr>
              <w:contextualSpacing/>
              <w:rPr>
                <w:sz w:val="18"/>
                <w:szCs w:val="18"/>
              </w:rPr>
            </w:pPr>
            <w:r w:rsidRPr="00711DEB">
              <w:rPr>
                <w:sz w:val="18"/>
                <w:szCs w:val="18"/>
              </w:rPr>
              <w:t>Standardised behaviour rules</w:t>
            </w:r>
          </w:p>
        </w:tc>
        <w:tc>
          <w:tcPr>
            <w:tcW w:w="553" w:type="dxa"/>
          </w:tcPr>
          <w:p w14:paraId="10C8A073" w14:textId="77777777" w:rsidR="00DB5AA9" w:rsidRPr="00711DEB" w:rsidRDefault="00DB5AA9" w:rsidP="0035708B">
            <w:pPr>
              <w:contextualSpacing/>
              <w:rPr>
                <w:sz w:val="18"/>
                <w:szCs w:val="18"/>
              </w:rPr>
            </w:pPr>
            <w:r w:rsidRPr="00711DEB">
              <w:rPr>
                <w:sz w:val="18"/>
                <w:szCs w:val="18"/>
              </w:rPr>
              <w:t>1</w:t>
            </w:r>
          </w:p>
        </w:tc>
        <w:tc>
          <w:tcPr>
            <w:tcW w:w="2777" w:type="dxa"/>
          </w:tcPr>
          <w:p w14:paraId="7BC00FA0" w14:textId="77777777" w:rsidR="00DB5AA9" w:rsidRPr="00711DEB" w:rsidRDefault="00DB5AA9" w:rsidP="0035708B">
            <w:pPr>
              <w:contextualSpacing/>
              <w:rPr>
                <w:sz w:val="18"/>
                <w:szCs w:val="18"/>
              </w:rPr>
            </w:pPr>
            <w:r w:rsidRPr="00711DEB">
              <w:rPr>
                <w:sz w:val="18"/>
                <w:szCs w:val="18"/>
              </w:rPr>
              <w:t xml:space="preserve">Resting, sitting, </w:t>
            </w:r>
            <w:r>
              <w:rPr>
                <w:sz w:val="18"/>
                <w:szCs w:val="18"/>
              </w:rPr>
              <w:t>acclimatisation/normalisation</w:t>
            </w:r>
            <w:r w:rsidRPr="00711DEB">
              <w:rPr>
                <w:sz w:val="18"/>
                <w:szCs w:val="18"/>
              </w:rPr>
              <w:t>,</w:t>
            </w:r>
            <w:r>
              <w:rPr>
                <w:sz w:val="18"/>
                <w:szCs w:val="18"/>
              </w:rPr>
              <w:t xml:space="preserve"> movement, eating,</w:t>
            </w:r>
            <w:r w:rsidRPr="00711DEB">
              <w:rPr>
                <w:sz w:val="18"/>
                <w:szCs w:val="18"/>
              </w:rPr>
              <w:t xml:space="preserve"> drinking protocols, etc.</w:t>
            </w:r>
          </w:p>
        </w:tc>
        <w:tc>
          <w:tcPr>
            <w:tcW w:w="3033" w:type="dxa"/>
          </w:tcPr>
          <w:p w14:paraId="122461A4" w14:textId="77777777" w:rsidR="00DB5AA9" w:rsidRPr="00711DEB" w:rsidRDefault="00DB5AA9" w:rsidP="0035708B">
            <w:pPr>
              <w:contextualSpacing/>
              <w:rPr>
                <w:sz w:val="18"/>
                <w:szCs w:val="18"/>
              </w:rPr>
            </w:pPr>
            <w:r w:rsidRPr="00711DEB">
              <w:rPr>
                <w:sz w:val="18"/>
                <w:szCs w:val="18"/>
              </w:rPr>
              <w:t>–</w:t>
            </w:r>
          </w:p>
        </w:tc>
      </w:tr>
      <w:tr w:rsidR="00DB5AA9" w:rsidRPr="00711DEB" w14:paraId="737DC1B9" w14:textId="77777777" w:rsidTr="0035708B">
        <w:trPr>
          <w:tblCellSpacing w:w="15" w:type="dxa"/>
        </w:trPr>
        <w:tc>
          <w:tcPr>
            <w:tcW w:w="1282" w:type="dxa"/>
            <w:vMerge w:val="restart"/>
            <w:tcBorders>
              <w:top w:val="single" w:sz="4" w:space="0" w:color="auto"/>
            </w:tcBorders>
          </w:tcPr>
          <w:p w14:paraId="7BEBC0C0" w14:textId="77777777" w:rsidR="00DB5AA9" w:rsidRPr="00711DEB" w:rsidRDefault="00DB5AA9" w:rsidP="0035708B">
            <w:pPr>
              <w:contextualSpacing/>
              <w:rPr>
                <w:sz w:val="18"/>
                <w:szCs w:val="18"/>
              </w:rPr>
            </w:pPr>
            <w:r w:rsidRPr="00711DEB">
              <w:rPr>
                <w:sz w:val="18"/>
                <w:szCs w:val="18"/>
              </w:rPr>
              <w:t>Environment &amp; equipment (experiment-level)</w:t>
            </w:r>
          </w:p>
        </w:tc>
        <w:tc>
          <w:tcPr>
            <w:tcW w:w="2063" w:type="dxa"/>
            <w:tcBorders>
              <w:top w:val="single" w:sz="4" w:space="0" w:color="auto"/>
            </w:tcBorders>
          </w:tcPr>
          <w:p w14:paraId="1E4E8881" w14:textId="77777777" w:rsidR="00DB5AA9" w:rsidRPr="00711DEB" w:rsidRDefault="00DB5AA9" w:rsidP="0035708B">
            <w:pPr>
              <w:contextualSpacing/>
              <w:rPr>
                <w:sz w:val="18"/>
                <w:szCs w:val="18"/>
              </w:rPr>
            </w:pPr>
            <w:r>
              <w:rPr>
                <w:sz w:val="18"/>
                <w:szCs w:val="18"/>
              </w:rPr>
              <w:t>Spatial</w:t>
            </w:r>
            <w:r w:rsidRPr="00711DEB">
              <w:rPr>
                <w:sz w:val="18"/>
                <w:szCs w:val="18"/>
              </w:rPr>
              <w:t xml:space="preserve"> typ</w:t>
            </w:r>
            <w:r>
              <w:rPr>
                <w:sz w:val="18"/>
                <w:szCs w:val="18"/>
              </w:rPr>
              <w:t>ology</w:t>
            </w:r>
          </w:p>
        </w:tc>
        <w:tc>
          <w:tcPr>
            <w:tcW w:w="553" w:type="dxa"/>
            <w:tcBorders>
              <w:top w:val="single" w:sz="4" w:space="0" w:color="auto"/>
            </w:tcBorders>
          </w:tcPr>
          <w:p w14:paraId="45D76EFE"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74C9CD9A" w14:textId="77777777" w:rsidR="00DB5AA9" w:rsidRPr="00711DEB" w:rsidRDefault="00DB5AA9" w:rsidP="0035708B">
            <w:pPr>
              <w:contextualSpacing/>
              <w:rPr>
                <w:sz w:val="18"/>
                <w:szCs w:val="18"/>
              </w:rPr>
            </w:pPr>
            <w:r>
              <w:rPr>
                <w:sz w:val="18"/>
                <w:szCs w:val="18"/>
              </w:rPr>
              <w:t>Office / Residential / Educational / Public / etc.</w:t>
            </w:r>
          </w:p>
        </w:tc>
        <w:tc>
          <w:tcPr>
            <w:tcW w:w="3033" w:type="dxa"/>
            <w:tcBorders>
              <w:top w:val="single" w:sz="4" w:space="0" w:color="auto"/>
            </w:tcBorders>
          </w:tcPr>
          <w:p w14:paraId="7CE18A26" w14:textId="77777777" w:rsidR="00DB5AA9" w:rsidRPr="00711DEB" w:rsidRDefault="00DB5AA9" w:rsidP="0035708B">
            <w:pPr>
              <w:contextualSpacing/>
              <w:rPr>
                <w:sz w:val="18"/>
                <w:szCs w:val="18"/>
              </w:rPr>
            </w:pPr>
            <w:r w:rsidRPr="00711DEB">
              <w:rPr>
                <w:sz w:val="18"/>
                <w:szCs w:val="18"/>
              </w:rPr>
              <w:t>–</w:t>
            </w:r>
          </w:p>
        </w:tc>
      </w:tr>
      <w:tr w:rsidR="00DB5AA9" w:rsidRPr="00711DEB" w14:paraId="6BA85107" w14:textId="77777777" w:rsidTr="0035708B">
        <w:trPr>
          <w:tblCellSpacing w:w="15" w:type="dxa"/>
        </w:trPr>
        <w:tc>
          <w:tcPr>
            <w:tcW w:w="1282" w:type="dxa"/>
            <w:vMerge/>
          </w:tcPr>
          <w:p w14:paraId="3A7DC208" w14:textId="77777777" w:rsidR="00DB5AA9" w:rsidRPr="00711DEB" w:rsidRDefault="00DB5AA9" w:rsidP="0035708B">
            <w:pPr>
              <w:contextualSpacing/>
              <w:rPr>
                <w:sz w:val="18"/>
                <w:szCs w:val="18"/>
              </w:rPr>
            </w:pPr>
          </w:p>
        </w:tc>
        <w:tc>
          <w:tcPr>
            <w:tcW w:w="2063" w:type="dxa"/>
          </w:tcPr>
          <w:p w14:paraId="05896F12" w14:textId="77777777" w:rsidR="00DB5AA9" w:rsidRPr="00711DEB" w:rsidRDefault="00DB5AA9" w:rsidP="0035708B">
            <w:pPr>
              <w:contextualSpacing/>
              <w:rPr>
                <w:sz w:val="18"/>
                <w:szCs w:val="18"/>
              </w:rPr>
            </w:pPr>
            <w:r w:rsidRPr="00711DEB">
              <w:rPr>
                <w:sz w:val="18"/>
                <w:szCs w:val="18"/>
              </w:rPr>
              <w:t>HVAC system description</w:t>
            </w:r>
          </w:p>
        </w:tc>
        <w:tc>
          <w:tcPr>
            <w:tcW w:w="553" w:type="dxa"/>
          </w:tcPr>
          <w:p w14:paraId="0476C7EE" w14:textId="77777777" w:rsidR="00DB5AA9" w:rsidRPr="00711DEB" w:rsidRDefault="00DB5AA9" w:rsidP="0035708B">
            <w:pPr>
              <w:contextualSpacing/>
              <w:rPr>
                <w:sz w:val="18"/>
                <w:szCs w:val="18"/>
              </w:rPr>
            </w:pPr>
            <w:r w:rsidRPr="00711DEB">
              <w:rPr>
                <w:sz w:val="18"/>
                <w:szCs w:val="18"/>
              </w:rPr>
              <w:t>2</w:t>
            </w:r>
          </w:p>
        </w:tc>
        <w:tc>
          <w:tcPr>
            <w:tcW w:w="2777" w:type="dxa"/>
          </w:tcPr>
          <w:p w14:paraId="5BE0A663" w14:textId="77777777" w:rsidR="00DB5AA9" w:rsidRPr="00711DEB" w:rsidRDefault="00DB5AA9" w:rsidP="0035708B">
            <w:pPr>
              <w:contextualSpacing/>
              <w:rPr>
                <w:sz w:val="18"/>
                <w:szCs w:val="18"/>
              </w:rPr>
            </w:pPr>
            <w:r w:rsidRPr="00711DEB">
              <w:rPr>
                <w:sz w:val="18"/>
                <w:szCs w:val="18"/>
              </w:rPr>
              <w:t>AC model, radiant panel specs, air velocity sources</w:t>
            </w:r>
          </w:p>
        </w:tc>
        <w:tc>
          <w:tcPr>
            <w:tcW w:w="3033" w:type="dxa"/>
          </w:tcPr>
          <w:p w14:paraId="545C1541" w14:textId="77777777" w:rsidR="00DB5AA9" w:rsidRPr="00711DEB" w:rsidRDefault="00DB5AA9" w:rsidP="0035708B">
            <w:pPr>
              <w:contextualSpacing/>
              <w:rPr>
                <w:sz w:val="18"/>
                <w:szCs w:val="18"/>
              </w:rPr>
            </w:pPr>
            <w:r w:rsidRPr="00711DEB">
              <w:rPr>
                <w:sz w:val="18"/>
                <w:szCs w:val="18"/>
              </w:rPr>
              <w:t>–</w:t>
            </w:r>
          </w:p>
        </w:tc>
      </w:tr>
      <w:tr w:rsidR="00DB5AA9" w:rsidRPr="00711DEB" w14:paraId="613AACF9" w14:textId="77777777" w:rsidTr="0035708B">
        <w:trPr>
          <w:tblCellSpacing w:w="15" w:type="dxa"/>
        </w:trPr>
        <w:tc>
          <w:tcPr>
            <w:tcW w:w="1282" w:type="dxa"/>
            <w:vMerge/>
          </w:tcPr>
          <w:p w14:paraId="33396165" w14:textId="77777777" w:rsidR="00DB5AA9" w:rsidRPr="00711DEB" w:rsidRDefault="00DB5AA9" w:rsidP="0035708B">
            <w:pPr>
              <w:contextualSpacing/>
              <w:rPr>
                <w:sz w:val="18"/>
                <w:szCs w:val="18"/>
              </w:rPr>
            </w:pPr>
          </w:p>
        </w:tc>
        <w:tc>
          <w:tcPr>
            <w:tcW w:w="2063" w:type="dxa"/>
          </w:tcPr>
          <w:p w14:paraId="3B5A303D" w14:textId="77777777" w:rsidR="00DB5AA9" w:rsidRPr="00711DEB" w:rsidRDefault="00DB5AA9" w:rsidP="0035708B">
            <w:pPr>
              <w:contextualSpacing/>
              <w:rPr>
                <w:sz w:val="18"/>
                <w:szCs w:val="18"/>
              </w:rPr>
            </w:pPr>
            <w:r w:rsidRPr="00711DEB">
              <w:rPr>
                <w:sz w:val="18"/>
                <w:szCs w:val="18"/>
              </w:rPr>
              <w:t>Room dimensions</w:t>
            </w:r>
          </w:p>
        </w:tc>
        <w:tc>
          <w:tcPr>
            <w:tcW w:w="553" w:type="dxa"/>
          </w:tcPr>
          <w:p w14:paraId="0DF9781E" w14:textId="77777777" w:rsidR="00DB5AA9" w:rsidRPr="00711DEB" w:rsidRDefault="00DB5AA9" w:rsidP="0035708B">
            <w:pPr>
              <w:contextualSpacing/>
              <w:rPr>
                <w:sz w:val="18"/>
                <w:szCs w:val="18"/>
              </w:rPr>
            </w:pPr>
            <w:r w:rsidRPr="00711DEB">
              <w:rPr>
                <w:sz w:val="18"/>
                <w:szCs w:val="18"/>
              </w:rPr>
              <w:t>3</w:t>
            </w:r>
          </w:p>
        </w:tc>
        <w:tc>
          <w:tcPr>
            <w:tcW w:w="2777" w:type="dxa"/>
          </w:tcPr>
          <w:p w14:paraId="3681D637" w14:textId="77777777" w:rsidR="00DB5AA9" w:rsidRPr="00711DEB" w:rsidRDefault="00DB5AA9" w:rsidP="0035708B">
            <w:pPr>
              <w:contextualSpacing/>
              <w:rPr>
                <w:sz w:val="18"/>
                <w:szCs w:val="18"/>
              </w:rPr>
            </w:pPr>
            <w:r w:rsidRPr="00711DEB">
              <w:rPr>
                <w:sz w:val="18"/>
                <w:szCs w:val="18"/>
              </w:rPr>
              <w:t>m² or m³</w:t>
            </w:r>
          </w:p>
        </w:tc>
        <w:tc>
          <w:tcPr>
            <w:tcW w:w="3033" w:type="dxa"/>
          </w:tcPr>
          <w:p w14:paraId="2E03C21D" w14:textId="77777777" w:rsidR="00DB5AA9" w:rsidRPr="00711DEB" w:rsidRDefault="00DB5AA9" w:rsidP="0035708B">
            <w:pPr>
              <w:contextualSpacing/>
              <w:rPr>
                <w:sz w:val="18"/>
                <w:szCs w:val="18"/>
              </w:rPr>
            </w:pPr>
            <w:r w:rsidRPr="00711DEB">
              <w:rPr>
                <w:sz w:val="18"/>
                <w:szCs w:val="18"/>
              </w:rPr>
              <w:t>–</w:t>
            </w:r>
          </w:p>
        </w:tc>
      </w:tr>
      <w:tr w:rsidR="00DB5AA9" w:rsidRPr="00711DEB" w14:paraId="3D21DEDB" w14:textId="77777777" w:rsidTr="0035708B">
        <w:trPr>
          <w:tblCellSpacing w:w="15" w:type="dxa"/>
        </w:trPr>
        <w:tc>
          <w:tcPr>
            <w:tcW w:w="1282" w:type="dxa"/>
            <w:vMerge/>
          </w:tcPr>
          <w:p w14:paraId="230AAF84" w14:textId="77777777" w:rsidR="00DB5AA9" w:rsidRPr="00711DEB" w:rsidRDefault="00DB5AA9" w:rsidP="0035708B">
            <w:pPr>
              <w:contextualSpacing/>
              <w:rPr>
                <w:sz w:val="18"/>
                <w:szCs w:val="18"/>
              </w:rPr>
            </w:pPr>
          </w:p>
        </w:tc>
        <w:tc>
          <w:tcPr>
            <w:tcW w:w="2063" w:type="dxa"/>
          </w:tcPr>
          <w:p w14:paraId="6BFC135F" w14:textId="77777777" w:rsidR="00DB5AA9" w:rsidRPr="00711DEB" w:rsidRDefault="00DB5AA9" w:rsidP="0035708B">
            <w:pPr>
              <w:contextualSpacing/>
              <w:rPr>
                <w:sz w:val="18"/>
                <w:szCs w:val="18"/>
              </w:rPr>
            </w:pPr>
            <w:r w:rsidRPr="00711DEB">
              <w:rPr>
                <w:sz w:val="18"/>
                <w:szCs w:val="18"/>
              </w:rPr>
              <w:t>Baseline environmental control</w:t>
            </w:r>
          </w:p>
        </w:tc>
        <w:tc>
          <w:tcPr>
            <w:tcW w:w="553" w:type="dxa"/>
          </w:tcPr>
          <w:p w14:paraId="40801B19" w14:textId="77777777" w:rsidR="00DB5AA9" w:rsidRPr="00711DEB" w:rsidRDefault="00DB5AA9" w:rsidP="0035708B">
            <w:pPr>
              <w:contextualSpacing/>
              <w:rPr>
                <w:sz w:val="18"/>
                <w:szCs w:val="18"/>
              </w:rPr>
            </w:pPr>
            <w:r w:rsidRPr="00711DEB">
              <w:rPr>
                <w:sz w:val="18"/>
                <w:szCs w:val="18"/>
              </w:rPr>
              <w:t>1</w:t>
            </w:r>
          </w:p>
        </w:tc>
        <w:tc>
          <w:tcPr>
            <w:tcW w:w="2777" w:type="dxa"/>
          </w:tcPr>
          <w:p w14:paraId="0D9C6407" w14:textId="77777777" w:rsidR="00DB5AA9" w:rsidRPr="00711DEB" w:rsidRDefault="00DB5AA9" w:rsidP="0035708B">
            <w:pPr>
              <w:contextualSpacing/>
              <w:rPr>
                <w:sz w:val="18"/>
                <w:szCs w:val="18"/>
              </w:rPr>
            </w:pPr>
            <w:r w:rsidRPr="00711DEB">
              <w:rPr>
                <w:sz w:val="18"/>
                <w:szCs w:val="18"/>
              </w:rPr>
              <w:t>Air temperature, radiant temperature, humidity, lighting ranges, etc.</w:t>
            </w:r>
          </w:p>
        </w:tc>
        <w:tc>
          <w:tcPr>
            <w:tcW w:w="3033" w:type="dxa"/>
          </w:tcPr>
          <w:p w14:paraId="43B62122" w14:textId="77777777" w:rsidR="00DB5AA9" w:rsidRPr="00711DEB" w:rsidRDefault="00DB5AA9" w:rsidP="0035708B">
            <w:pPr>
              <w:contextualSpacing/>
              <w:rPr>
                <w:sz w:val="18"/>
                <w:szCs w:val="18"/>
              </w:rPr>
            </w:pPr>
            <w:r w:rsidRPr="00711DEB">
              <w:rPr>
                <w:sz w:val="18"/>
                <w:szCs w:val="18"/>
              </w:rPr>
              <w:t>Multiple allowed</w:t>
            </w:r>
          </w:p>
        </w:tc>
      </w:tr>
      <w:tr w:rsidR="00DB5AA9" w:rsidRPr="00711DEB" w14:paraId="3744925C" w14:textId="77777777" w:rsidTr="0035708B">
        <w:trPr>
          <w:tblCellSpacing w:w="15" w:type="dxa"/>
        </w:trPr>
        <w:tc>
          <w:tcPr>
            <w:tcW w:w="1282" w:type="dxa"/>
            <w:vMerge/>
          </w:tcPr>
          <w:p w14:paraId="576F58AA" w14:textId="77777777" w:rsidR="00DB5AA9" w:rsidRPr="00711DEB" w:rsidRDefault="00DB5AA9" w:rsidP="0035708B">
            <w:pPr>
              <w:contextualSpacing/>
              <w:rPr>
                <w:sz w:val="18"/>
                <w:szCs w:val="18"/>
              </w:rPr>
            </w:pPr>
          </w:p>
        </w:tc>
        <w:tc>
          <w:tcPr>
            <w:tcW w:w="2063" w:type="dxa"/>
          </w:tcPr>
          <w:p w14:paraId="65A95B2E" w14:textId="77777777" w:rsidR="00DB5AA9" w:rsidRPr="00711DEB" w:rsidRDefault="00DB5AA9" w:rsidP="0035708B">
            <w:pPr>
              <w:contextualSpacing/>
              <w:rPr>
                <w:sz w:val="18"/>
                <w:szCs w:val="18"/>
              </w:rPr>
            </w:pPr>
            <w:r w:rsidRPr="00711DEB">
              <w:rPr>
                <w:sz w:val="18"/>
                <w:szCs w:val="18"/>
              </w:rPr>
              <w:t>Primary instruments used</w:t>
            </w:r>
          </w:p>
        </w:tc>
        <w:tc>
          <w:tcPr>
            <w:tcW w:w="553" w:type="dxa"/>
          </w:tcPr>
          <w:p w14:paraId="2D1BE35B" w14:textId="77777777" w:rsidR="00DB5AA9" w:rsidRPr="00711DEB" w:rsidRDefault="00DB5AA9" w:rsidP="0035708B">
            <w:pPr>
              <w:contextualSpacing/>
              <w:rPr>
                <w:sz w:val="18"/>
                <w:szCs w:val="18"/>
              </w:rPr>
            </w:pPr>
            <w:r w:rsidRPr="00711DEB">
              <w:rPr>
                <w:sz w:val="18"/>
                <w:szCs w:val="18"/>
              </w:rPr>
              <w:t>1</w:t>
            </w:r>
          </w:p>
        </w:tc>
        <w:tc>
          <w:tcPr>
            <w:tcW w:w="2777" w:type="dxa"/>
          </w:tcPr>
          <w:p w14:paraId="21EDE643" w14:textId="77777777" w:rsidR="00DB5AA9" w:rsidRPr="00711DEB" w:rsidRDefault="00DB5AA9" w:rsidP="0035708B">
            <w:pPr>
              <w:contextualSpacing/>
              <w:rPr>
                <w:sz w:val="18"/>
                <w:szCs w:val="18"/>
              </w:rPr>
            </w:pPr>
            <w:r w:rsidRPr="00711DEB">
              <w:rPr>
                <w:sz w:val="18"/>
                <w:szCs w:val="18"/>
              </w:rPr>
              <w:t>Names + IDs</w:t>
            </w:r>
          </w:p>
        </w:tc>
        <w:tc>
          <w:tcPr>
            <w:tcW w:w="3033" w:type="dxa"/>
          </w:tcPr>
          <w:p w14:paraId="3EA767C4" w14:textId="77777777" w:rsidR="00DB5AA9" w:rsidRPr="00711DEB" w:rsidRDefault="00DB5AA9" w:rsidP="0035708B">
            <w:pPr>
              <w:contextualSpacing/>
              <w:rPr>
                <w:sz w:val="18"/>
                <w:szCs w:val="18"/>
              </w:rPr>
            </w:pPr>
            <w:r w:rsidRPr="00711DEB">
              <w:rPr>
                <w:sz w:val="18"/>
                <w:szCs w:val="18"/>
              </w:rPr>
              <w:t>Linked to external Sensors table if exists</w:t>
            </w:r>
          </w:p>
        </w:tc>
      </w:tr>
      <w:tr w:rsidR="00DB5AA9" w:rsidRPr="00711DEB" w14:paraId="5D65D8DE" w14:textId="77777777" w:rsidTr="0035708B">
        <w:trPr>
          <w:tblCellSpacing w:w="15" w:type="dxa"/>
        </w:trPr>
        <w:tc>
          <w:tcPr>
            <w:tcW w:w="1282" w:type="dxa"/>
            <w:vMerge/>
          </w:tcPr>
          <w:p w14:paraId="5CAFAA30" w14:textId="77777777" w:rsidR="00DB5AA9" w:rsidRPr="00711DEB" w:rsidRDefault="00DB5AA9" w:rsidP="0035708B">
            <w:pPr>
              <w:contextualSpacing/>
              <w:rPr>
                <w:sz w:val="18"/>
                <w:szCs w:val="18"/>
              </w:rPr>
            </w:pPr>
          </w:p>
        </w:tc>
        <w:tc>
          <w:tcPr>
            <w:tcW w:w="2063" w:type="dxa"/>
          </w:tcPr>
          <w:p w14:paraId="5A20DA50" w14:textId="77777777" w:rsidR="00DB5AA9" w:rsidRPr="00711DEB" w:rsidRDefault="00DB5AA9" w:rsidP="0035708B">
            <w:pPr>
              <w:contextualSpacing/>
              <w:rPr>
                <w:sz w:val="18"/>
                <w:szCs w:val="18"/>
              </w:rPr>
            </w:pPr>
            <w:r w:rsidRPr="00711DEB">
              <w:rPr>
                <w:sz w:val="18"/>
                <w:szCs w:val="18"/>
              </w:rPr>
              <w:t>Instrument calibration notes</w:t>
            </w:r>
          </w:p>
        </w:tc>
        <w:tc>
          <w:tcPr>
            <w:tcW w:w="553" w:type="dxa"/>
          </w:tcPr>
          <w:p w14:paraId="396417F6" w14:textId="77777777" w:rsidR="00DB5AA9" w:rsidRPr="00711DEB" w:rsidRDefault="00DB5AA9" w:rsidP="0035708B">
            <w:pPr>
              <w:contextualSpacing/>
              <w:rPr>
                <w:sz w:val="18"/>
                <w:szCs w:val="18"/>
              </w:rPr>
            </w:pPr>
            <w:r w:rsidRPr="00711DEB">
              <w:rPr>
                <w:sz w:val="18"/>
                <w:szCs w:val="18"/>
              </w:rPr>
              <w:t>3</w:t>
            </w:r>
          </w:p>
        </w:tc>
        <w:tc>
          <w:tcPr>
            <w:tcW w:w="2777" w:type="dxa"/>
          </w:tcPr>
          <w:p w14:paraId="4FF81D98" w14:textId="77777777" w:rsidR="00DB5AA9" w:rsidRPr="00711DEB" w:rsidRDefault="00DB5AA9" w:rsidP="0035708B">
            <w:pPr>
              <w:contextualSpacing/>
              <w:rPr>
                <w:sz w:val="18"/>
                <w:szCs w:val="18"/>
              </w:rPr>
            </w:pPr>
            <w:r w:rsidRPr="00711DEB">
              <w:rPr>
                <w:sz w:val="18"/>
                <w:szCs w:val="18"/>
              </w:rPr>
              <w:t>Summary + links to logs</w:t>
            </w:r>
          </w:p>
        </w:tc>
        <w:tc>
          <w:tcPr>
            <w:tcW w:w="3033" w:type="dxa"/>
          </w:tcPr>
          <w:p w14:paraId="7C943944" w14:textId="77777777" w:rsidR="00DB5AA9" w:rsidRPr="00711DEB" w:rsidRDefault="00DB5AA9" w:rsidP="0035708B">
            <w:pPr>
              <w:contextualSpacing/>
              <w:rPr>
                <w:sz w:val="18"/>
                <w:szCs w:val="18"/>
              </w:rPr>
            </w:pPr>
            <w:r w:rsidRPr="00711DEB">
              <w:rPr>
                <w:sz w:val="18"/>
                <w:szCs w:val="18"/>
              </w:rPr>
              <w:t>Linked to external Sensors table if exists</w:t>
            </w:r>
          </w:p>
        </w:tc>
      </w:tr>
      <w:tr w:rsidR="00DB5AA9" w:rsidRPr="00711DEB" w14:paraId="0AD91C3C" w14:textId="77777777" w:rsidTr="0035708B">
        <w:trPr>
          <w:tblCellSpacing w:w="15" w:type="dxa"/>
        </w:trPr>
        <w:tc>
          <w:tcPr>
            <w:tcW w:w="1282" w:type="dxa"/>
            <w:tcBorders>
              <w:top w:val="single" w:sz="4" w:space="0" w:color="auto"/>
            </w:tcBorders>
          </w:tcPr>
          <w:p w14:paraId="273D9D88" w14:textId="77777777" w:rsidR="00DB5AA9" w:rsidRPr="00711DEB" w:rsidRDefault="00DB5AA9" w:rsidP="0035708B">
            <w:pPr>
              <w:contextualSpacing/>
              <w:rPr>
                <w:sz w:val="18"/>
                <w:szCs w:val="18"/>
              </w:rPr>
            </w:pPr>
            <w:r w:rsidRPr="00711DEB">
              <w:rPr>
                <w:sz w:val="18"/>
                <w:szCs w:val="18"/>
              </w:rPr>
              <w:t>PICOT Summary</w:t>
            </w:r>
          </w:p>
        </w:tc>
        <w:tc>
          <w:tcPr>
            <w:tcW w:w="2063" w:type="dxa"/>
            <w:tcBorders>
              <w:top w:val="single" w:sz="4" w:space="0" w:color="auto"/>
            </w:tcBorders>
          </w:tcPr>
          <w:p w14:paraId="01D13EEE" w14:textId="77777777" w:rsidR="00DB5AA9" w:rsidRPr="00711DEB" w:rsidRDefault="00DB5AA9" w:rsidP="0035708B">
            <w:pPr>
              <w:contextualSpacing/>
              <w:rPr>
                <w:sz w:val="18"/>
                <w:szCs w:val="18"/>
              </w:rPr>
            </w:pPr>
            <w:r w:rsidRPr="00711DEB">
              <w:rPr>
                <w:sz w:val="18"/>
                <w:szCs w:val="18"/>
              </w:rPr>
              <w:t>P – Population</w:t>
            </w:r>
          </w:p>
        </w:tc>
        <w:tc>
          <w:tcPr>
            <w:tcW w:w="553" w:type="dxa"/>
            <w:tcBorders>
              <w:top w:val="single" w:sz="4" w:space="0" w:color="auto"/>
            </w:tcBorders>
          </w:tcPr>
          <w:p w14:paraId="5367DFBD" w14:textId="77777777" w:rsidR="00DB5AA9" w:rsidRPr="00711DEB" w:rsidRDefault="00DB5AA9" w:rsidP="0035708B">
            <w:pPr>
              <w:contextualSpacing/>
              <w:rPr>
                <w:sz w:val="18"/>
                <w:szCs w:val="18"/>
              </w:rPr>
            </w:pPr>
            <w:r w:rsidRPr="00711DEB">
              <w:rPr>
                <w:sz w:val="18"/>
                <w:szCs w:val="18"/>
              </w:rPr>
              <w:t>1</w:t>
            </w:r>
          </w:p>
        </w:tc>
        <w:tc>
          <w:tcPr>
            <w:tcW w:w="2777" w:type="dxa"/>
            <w:tcBorders>
              <w:top w:val="single" w:sz="4" w:space="0" w:color="auto"/>
            </w:tcBorders>
          </w:tcPr>
          <w:p w14:paraId="52FF471A" w14:textId="77777777" w:rsidR="00DB5AA9" w:rsidRPr="00711DEB" w:rsidRDefault="00DB5AA9" w:rsidP="0035708B">
            <w:pPr>
              <w:contextualSpacing/>
              <w:rPr>
                <w:sz w:val="18"/>
                <w:szCs w:val="18"/>
              </w:rPr>
            </w:pPr>
            <w:r w:rsidRPr="00711DEB">
              <w:rPr>
                <w:sz w:val="18"/>
                <w:szCs w:val="18"/>
              </w:rPr>
              <w:t>Short description of target group and key eligibility criteria</w:t>
            </w:r>
          </w:p>
        </w:tc>
        <w:tc>
          <w:tcPr>
            <w:tcW w:w="3033" w:type="dxa"/>
            <w:tcBorders>
              <w:top w:val="single" w:sz="4" w:space="0" w:color="auto"/>
            </w:tcBorders>
          </w:tcPr>
          <w:p w14:paraId="2657A170" w14:textId="77777777" w:rsidR="00DB5AA9" w:rsidRPr="00711DEB" w:rsidRDefault="00DB5AA9" w:rsidP="0035708B">
            <w:pPr>
              <w:contextualSpacing/>
              <w:rPr>
                <w:sz w:val="18"/>
                <w:szCs w:val="18"/>
              </w:rPr>
            </w:pPr>
            <w:r w:rsidRPr="00711DEB">
              <w:rPr>
                <w:sz w:val="18"/>
                <w:szCs w:val="18"/>
              </w:rPr>
              <w:t>“Healthy adults 18–35, BMI 18–25, non-smokers; no CV/metabolic disease; regular sleep schedule”</w:t>
            </w:r>
          </w:p>
        </w:tc>
      </w:tr>
      <w:tr w:rsidR="00DB5AA9" w:rsidRPr="00711DEB" w14:paraId="7239A580" w14:textId="77777777" w:rsidTr="0035708B">
        <w:trPr>
          <w:tblCellSpacing w:w="15" w:type="dxa"/>
        </w:trPr>
        <w:tc>
          <w:tcPr>
            <w:tcW w:w="1282" w:type="dxa"/>
          </w:tcPr>
          <w:p w14:paraId="461CD568" w14:textId="77777777" w:rsidR="00DB5AA9" w:rsidRPr="00711DEB" w:rsidRDefault="00DB5AA9" w:rsidP="0035708B">
            <w:pPr>
              <w:contextualSpacing/>
              <w:rPr>
                <w:sz w:val="18"/>
                <w:szCs w:val="18"/>
              </w:rPr>
            </w:pPr>
          </w:p>
        </w:tc>
        <w:tc>
          <w:tcPr>
            <w:tcW w:w="2063" w:type="dxa"/>
          </w:tcPr>
          <w:p w14:paraId="5B33C5AE" w14:textId="77777777" w:rsidR="00DB5AA9" w:rsidRPr="00711DEB" w:rsidRDefault="00DB5AA9" w:rsidP="0035708B">
            <w:pPr>
              <w:contextualSpacing/>
              <w:rPr>
                <w:sz w:val="18"/>
                <w:szCs w:val="18"/>
              </w:rPr>
            </w:pPr>
            <w:r w:rsidRPr="00711DEB">
              <w:rPr>
                <w:sz w:val="18"/>
                <w:szCs w:val="18"/>
              </w:rPr>
              <w:t>I – Intervention / exposure</w:t>
            </w:r>
          </w:p>
        </w:tc>
        <w:tc>
          <w:tcPr>
            <w:tcW w:w="553" w:type="dxa"/>
          </w:tcPr>
          <w:p w14:paraId="6C338850" w14:textId="77777777" w:rsidR="00DB5AA9" w:rsidRPr="00711DEB" w:rsidRDefault="00DB5AA9" w:rsidP="0035708B">
            <w:pPr>
              <w:contextualSpacing/>
              <w:rPr>
                <w:sz w:val="18"/>
                <w:szCs w:val="18"/>
              </w:rPr>
            </w:pPr>
            <w:r w:rsidRPr="00711DEB">
              <w:rPr>
                <w:sz w:val="18"/>
                <w:szCs w:val="18"/>
              </w:rPr>
              <w:t>1</w:t>
            </w:r>
          </w:p>
        </w:tc>
        <w:tc>
          <w:tcPr>
            <w:tcW w:w="2777" w:type="dxa"/>
          </w:tcPr>
          <w:p w14:paraId="100158AE" w14:textId="77777777" w:rsidR="00DB5AA9" w:rsidRPr="00711DEB" w:rsidRDefault="00DB5AA9" w:rsidP="0035708B">
            <w:pPr>
              <w:contextualSpacing/>
              <w:rPr>
                <w:sz w:val="18"/>
                <w:szCs w:val="18"/>
              </w:rPr>
            </w:pPr>
            <w:r w:rsidRPr="00711DEB">
              <w:rPr>
                <w:sz w:val="18"/>
                <w:szCs w:val="18"/>
              </w:rPr>
              <w:t>Summary of main exposure(s) or experimental condition(s)</w:t>
            </w:r>
          </w:p>
        </w:tc>
        <w:tc>
          <w:tcPr>
            <w:tcW w:w="3033" w:type="dxa"/>
          </w:tcPr>
          <w:p w14:paraId="1EB3C92E" w14:textId="77777777" w:rsidR="00DB5AA9" w:rsidRPr="00711DEB" w:rsidRDefault="00DB5AA9" w:rsidP="0035708B">
            <w:pPr>
              <w:contextualSpacing/>
              <w:rPr>
                <w:sz w:val="18"/>
                <w:szCs w:val="18"/>
              </w:rPr>
            </w:pPr>
            <w:r w:rsidRPr="00711DEB">
              <w:rPr>
                <w:sz w:val="18"/>
                <w:szCs w:val="18"/>
              </w:rPr>
              <w:t>“14-day heat acclimation: AC at 26 °C vs free-running apartment (summer conditions)”</w:t>
            </w:r>
          </w:p>
        </w:tc>
      </w:tr>
      <w:tr w:rsidR="00DB5AA9" w:rsidRPr="00711DEB" w14:paraId="71BA8A72" w14:textId="77777777" w:rsidTr="0035708B">
        <w:trPr>
          <w:tblCellSpacing w:w="15" w:type="dxa"/>
        </w:trPr>
        <w:tc>
          <w:tcPr>
            <w:tcW w:w="1282" w:type="dxa"/>
          </w:tcPr>
          <w:p w14:paraId="288F1DC2" w14:textId="77777777" w:rsidR="00DB5AA9" w:rsidRPr="00711DEB" w:rsidRDefault="00DB5AA9" w:rsidP="0035708B">
            <w:pPr>
              <w:contextualSpacing/>
              <w:rPr>
                <w:sz w:val="18"/>
                <w:szCs w:val="18"/>
              </w:rPr>
            </w:pPr>
          </w:p>
        </w:tc>
        <w:tc>
          <w:tcPr>
            <w:tcW w:w="2063" w:type="dxa"/>
          </w:tcPr>
          <w:p w14:paraId="15755181" w14:textId="77777777" w:rsidR="00DB5AA9" w:rsidRPr="00711DEB" w:rsidRDefault="00DB5AA9" w:rsidP="0035708B">
            <w:pPr>
              <w:contextualSpacing/>
              <w:rPr>
                <w:sz w:val="18"/>
                <w:szCs w:val="18"/>
              </w:rPr>
            </w:pPr>
            <w:r w:rsidRPr="00711DEB">
              <w:rPr>
                <w:sz w:val="18"/>
                <w:szCs w:val="18"/>
              </w:rPr>
              <w:t>C – Comparison / control conditions</w:t>
            </w:r>
          </w:p>
        </w:tc>
        <w:tc>
          <w:tcPr>
            <w:tcW w:w="553" w:type="dxa"/>
          </w:tcPr>
          <w:p w14:paraId="50C473EA" w14:textId="77777777" w:rsidR="00DB5AA9" w:rsidRPr="00711DEB" w:rsidRDefault="00DB5AA9" w:rsidP="0035708B">
            <w:pPr>
              <w:contextualSpacing/>
              <w:rPr>
                <w:sz w:val="18"/>
                <w:szCs w:val="18"/>
              </w:rPr>
            </w:pPr>
            <w:r w:rsidRPr="00711DEB">
              <w:rPr>
                <w:sz w:val="18"/>
                <w:szCs w:val="18"/>
              </w:rPr>
              <w:t>1</w:t>
            </w:r>
          </w:p>
        </w:tc>
        <w:tc>
          <w:tcPr>
            <w:tcW w:w="2777" w:type="dxa"/>
          </w:tcPr>
          <w:p w14:paraId="1B9FBEBD" w14:textId="77777777" w:rsidR="00DB5AA9" w:rsidRPr="00711DEB" w:rsidRDefault="00DB5AA9" w:rsidP="0035708B">
            <w:pPr>
              <w:contextualSpacing/>
              <w:rPr>
                <w:sz w:val="18"/>
                <w:szCs w:val="18"/>
              </w:rPr>
            </w:pPr>
            <w:r w:rsidRPr="00711DEB">
              <w:rPr>
                <w:sz w:val="18"/>
                <w:szCs w:val="18"/>
              </w:rPr>
              <w:t>Description of comparator condition(s)</w:t>
            </w:r>
          </w:p>
        </w:tc>
        <w:tc>
          <w:tcPr>
            <w:tcW w:w="3033" w:type="dxa"/>
          </w:tcPr>
          <w:p w14:paraId="5A650D42" w14:textId="77777777" w:rsidR="00DB5AA9" w:rsidRPr="00711DEB" w:rsidRDefault="00DB5AA9" w:rsidP="0035708B">
            <w:pPr>
              <w:contextualSpacing/>
              <w:rPr>
                <w:sz w:val="18"/>
                <w:szCs w:val="18"/>
              </w:rPr>
            </w:pPr>
            <w:r w:rsidRPr="00711DEB">
              <w:rPr>
                <w:sz w:val="18"/>
                <w:szCs w:val="18"/>
              </w:rPr>
              <w:t>“Free-running cooling vs constant AC; within-subject crossover” or “Neutral 24 °C control”</w:t>
            </w:r>
          </w:p>
        </w:tc>
      </w:tr>
      <w:tr w:rsidR="00DB5AA9" w:rsidRPr="00711DEB" w14:paraId="05641B21" w14:textId="77777777" w:rsidTr="0035708B">
        <w:trPr>
          <w:tblCellSpacing w:w="15" w:type="dxa"/>
        </w:trPr>
        <w:tc>
          <w:tcPr>
            <w:tcW w:w="1282" w:type="dxa"/>
          </w:tcPr>
          <w:p w14:paraId="1C5E1FB7" w14:textId="77777777" w:rsidR="00DB5AA9" w:rsidRPr="00711DEB" w:rsidRDefault="00DB5AA9" w:rsidP="0035708B">
            <w:pPr>
              <w:contextualSpacing/>
              <w:rPr>
                <w:sz w:val="18"/>
                <w:szCs w:val="18"/>
              </w:rPr>
            </w:pPr>
          </w:p>
        </w:tc>
        <w:tc>
          <w:tcPr>
            <w:tcW w:w="2063" w:type="dxa"/>
          </w:tcPr>
          <w:p w14:paraId="61F38353" w14:textId="77777777" w:rsidR="00DB5AA9" w:rsidRPr="00711DEB" w:rsidRDefault="00DB5AA9" w:rsidP="0035708B">
            <w:pPr>
              <w:contextualSpacing/>
              <w:rPr>
                <w:sz w:val="18"/>
                <w:szCs w:val="18"/>
              </w:rPr>
            </w:pPr>
            <w:r w:rsidRPr="00711DEB">
              <w:rPr>
                <w:sz w:val="18"/>
                <w:szCs w:val="18"/>
              </w:rPr>
              <w:t>O – Primary outcome(s</w:t>
            </w:r>
          </w:p>
        </w:tc>
        <w:tc>
          <w:tcPr>
            <w:tcW w:w="553" w:type="dxa"/>
          </w:tcPr>
          <w:p w14:paraId="5601EACE" w14:textId="77777777" w:rsidR="00DB5AA9" w:rsidRPr="00711DEB" w:rsidRDefault="00DB5AA9" w:rsidP="0035708B">
            <w:pPr>
              <w:contextualSpacing/>
              <w:rPr>
                <w:sz w:val="18"/>
                <w:szCs w:val="18"/>
              </w:rPr>
            </w:pPr>
            <w:r w:rsidRPr="00711DEB">
              <w:rPr>
                <w:sz w:val="18"/>
                <w:szCs w:val="18"/>
              </w:rPr>
              <w:t>1</w:t>
            </w:r>
          </w:p>
        </w:tc>
        <w:tc>
          <w:tcPr>
            <w:tcW w:w="2777" w:type="dxa"/>
          </w:tcPr>
          <w:p w14:paraId="2299D101" w14:textId="77777777" w:rsidR="00DB5AA9" w:rsidRPr="00711DEB" w:rsidRDefault="00DB5AA9" w:rsidP="0035708B">
            <w:pPr>
              <w:contextualSpacing/>
              <w:rPr>
                <w:sz w:val="18"/>
                <w:szCs w:val="18"/>
              </w:rPr>
            </w:pPr>
            <w:r w:rsidRPr="00711DEB">
              <w:rPr>
                <w:sz w:val="18"/>
                <w:szCs w:val="18"/>
              </w:rPr>
              <w:t>List main endpoints and how they are quantified</w:t>
            </w:r>
          </w:p>
        </w:tc>
        <w:tc>
          <w:tcPr>
            <w:tcW w:w="3033" w:type="dxa"/>
          </w:tcPr>
          <w:p w14:paraId="01F3E9FC" w14:textId="77777777" w:rsidR="00DB5AA9" w:rsidRPr="00711DEB" w:rsidRDefault="00DB5AA9" w:rsidP="0035708B">
            <w:pPr>
              <w:contextualSpacing/>
              <w:rPr>
                <w:sz w:val="18"/>
                <w:szCs w:val="18"/>
              </w:rPr>
            </w:pPr>
            <w:r w:rsidRPr="00711DEB">
              <w:rPr>
                <w:sz w:val="18"/>
                <w:szCs w:val="18"/>
              </w:rPr>
              <w:t>“Core body temperature, neck/ankle skin temp, HR, BP, HRV (RMSSD), thermal sensation”</w:t>
            </w:r>
          </w:p>
        </w:tc>
      </w:tr>
      <w:tr w:rsidR="00DB5AA9" w:rsidRPr="00711DEB" w14:paraId="42EDD0AB" w14:textId="77777777" w:rsidTr="0035708B">
        <w:trPr>
          <w:tblCellSpacing w:w="15" w:type="dxa"/>
        </w:trPr>
        <w:tc>
          <w:tcPr>
            <w:tcW w:w="1282" w:type="dxa"/>
          </w:tcPr>
          <w:p w14:paraId="6C716567" w14:textId="77777777" w:rsidR="00DB5AA9" w:rsidRPr="00711DEB" w:rsidRDefault="00DB5AA9" w:rsidP="0035708B">
            <w:pPr>
              <w:contextualSpacing/>
              <w:rPr>
                <w:sz w:val="18"/>
                <w:szCs w:val="18"/>
              </w:rPr>
            </w:pPr>
          </w:p>
        </w:tc>
        <w:tc>
          <w:tcPr>
            <w:tcW w:w="2063" w:type="dxa"/>
          </w:tcPr>
          <w:p w14:paraId="554C1BE4" w14:textId="77777777" w:rsidR="00DB5AA9" w:rsidRPr="00711DEB" w:rsidRDefault="00DB5AA9" w:rsidP="0035708B">
            <w:pPr>
              <w:contextualSpacing/>
              <w:rPr>
                <w:sz w:val="18"/>
                <w:szCs w:val="18"/>
              </w:rPr>
            </w:pPr>
            <w:r w:rsidRPr="00711DEB">
              <w:rPr>
                <w:sz w:val="18"/>
                <w:szCs w:val="18"/>
              </w:rPr>
              <w:t>O – Secondary outcomes</w:t>
            </w:r>
          </w:p>
        </w:tc>
        <w:tc>
          <w:tcPr>
            <w:tcW w:w="553" w:type="dxa"/>
          </w:tcPr>
          <w:p w14:paraId="63D6D1B8" w14:textId="77777777" w:rsidR="00DB5AA9" w:rsidRPr="00711DEB" w:rsidRDefault="00DB5AA9" w:rsidP="0035708B">
            <w:pPr>
              <w:contextualSpacing/>
              <w:rPr>
                <w:sz w:val="18"/>
                <w:szCs w:val="18"/>
              </w:rPr>
            </w:pPr>
            <w:r w:rsidRPr="00711DEB">
              <w:rPr>
                <w:sz w:val="18"/>
                <w:szCs w:val="18"/>
              </w:rPr>
              <w:t>2</w:t>
            </w:r>
          </w:p>
        </w:tc>
        <w:tc>
          <w:tcPr>
            <w:tcW w:w="2777" w:type="dxa"/>
          </w:tcPr>
          <w:p w14:paraId="43385C28" w14:textId="77777777" w:rsidR="00DB5AA9" w:rsidRPr="00711DEB" w:rsidRDefault="00DB5AA9" w:rsidP="0035708B">
            <w:pPr>
              <w:contextualSpacing/>
              <w:rPr>
                <w:sz w:val="18"/>
                <w:szCs w:val="18"/>
              </w:rPr>
            </w:pPr>
            <w:r w:rsidRPr="00711DEB">
              <w:rPr>
                <w:sz w:val="18"/>
                <w:szCs w:val="18"/>
              </w:rPr>
              <w:t>Additional exploratory endpoints (no units or detail)</w:t>
            </w:r>
          </w:p>
        </w:tc>
        <w:tc>
          <w:tcPr>
            <w:tcW w:w="3033" w:type="dxa"/>
          </w:tcPr>
          <w:p w14:paraId="64343BFA" w14:textId="77777777" w:rsidR="00DB5AA9" w:rsidRPr="00711DEB" w:rsidRDefault="00DB5AA9" w:rsidP="0035708B">
            <w:pPr>
              <w:contextualSpacing/>
              <w:rPr>
                <w:sz w:val="18"/>
                <w:szCs w:val="18"/>
              </w:rPr>
            </w:pPr>
            <w:r w:rsidRPr="00711DEB">
              <w:rPr>
                <w:sz w:val="18"/>
                <w:szCs w:val="18"/>
              </w:rPr>
              <w:t>“Sleep onset latency, actigraphy-based sleep efficiency, melatonin AUC”</w:t>
            </w:r>
          </w:p>
        </w:tc>
      </w:tr>
      <w:tr w:rsidR="00DB5AA9" w:rsidRPr="00711DEB" w14:paraId="313DDCDA" w14:textId="77777777" w:rsidTr="0035708B">
        <w:trPr>
          <w:tblCellSpacing w:w="15" w:type="dxa"/>
        </w:trPr>
        <w:tc>
          <w:tcPr>
            <w:tcW w:w="1282" w:type="dxa"/>
          </w:tcPr>
          <w:p w14:paraId="386B0AB6" w14:textId="77777777" w:rsidR="00DB5AA9" w:rsidRPr="00711DEB" w:rsidRDefault="00DB5AA9" w:rsidP="0035708B">
            <w:pPr>
              <w:contextualSpacing/>
              <w:rPr>
                <w:sz w:val="18"/>
                <w:szCs w:val="18"/>
              </w:rPr>
            </w:pPr>
          </w:p>
        </w:tc>
        <w:tc>
          <w:tcPr>
            <w:tcW w:w="2063" w:type="dxa"/>
          </w:tcPr>
          <w:p w14:paraId="7D86B2BE" w14:textId="77777777" w:rsidR="00DB5AA9" w:rsidRPr="00711DEB" w:rsidRDefault="00DB5AA9" w:rsidP="0035708B">
            <w:pPr>
              <w:contextualSpacing/>
              <w:rPr>
                <w:sz w:val="18"/>
                <w:szCs w:val="18"/>
              </w:rPr>
            </w:pPr>
            <w:r w:rsidRPr="00711DEB">
              <w:rPr>
                <w:sz w:val="18"/>
                <w:szCs w:val="18"/>
              </w:rPr>
              <w:t>T – Time frame</w:t>
            </w:r>
          </w:p>
        </w:tc>
        <w:tc>
          <w:tcPr>
            <w:tcW w:w="553" w:type="dxa"/>
          </w:tcPr>
          <w:p w14:paraId="33841FEE" w14:textId="77777777" w:rsidR="00DB5AA9" w:rsidRPr="00711DEB" w:rsidRDefault="00DB5AA9" w:rsidP="0035708B">
            <w:pPr>
              <w:contextualSpacing/>
              <w:rPr>
                <w:sz w:val="18"/>
                <w:szCs w:val="18"/>
              </w:rPr>
            </w:pPr>
            <w:r w:rsidRPr="00711DEB">
              <w:rPr>
                <w:sz w:val="18"/>
                <w:szCs w:val="18"/>
              </w:rPr>
              <w:t>1</w:t>
            </w:r>
          </w:p>
        </w:tc>
        <w:tc>
          <w:tcPr>
            <w:tcW w:w="2777" w:type="dxa"/>
          </w:tcPr>
          <w:p w14:paraId="6EC9BF81" w14:textId="77777777" w:rsidR="00DB5AA9" w:rsidRPr="00711DEB" w:rsidRDefault="00DB5AA9" w:rsidP="0035708B">
            <w:pPr>
              <w:contextualSpacing/>
              <w:rPr>
                <w:sz w:val="18"/>
                <w:szCs w:val="18"/>
              </w:rPr>
            </w:pPr>
            <w:r w:rsidRPr="00711DEB">
              <w:rPr>
                <w:sz w:val="18"/>
                <w:szCs w:val="18"/>
              </w:rPr>
              <w:t>Time horizon for the effect and measurement</w:t>
            </w:r>
          </w:p>
        </w:tc>
        <w:tc>
          <w:tcPr>
            <w:tcW w:w="3033" w:type="dxa"/>
          </w:tcPr>
          <w:p w14:paraId="4CC4B418" w14:textId="77777777" w:rsidR="00DB5AA9" w:rsidRPr="00711DEB" w:rsidRDefault="00DB5AA9" w:rsidP="0035708B">
            <w:pPr>
              <w:contextualSpacing/>
              <w:rPr>
                <w:sz w:val="18"/>
                <w:szCs w:val="18"/>
              </w:rPr>
            </w:pPr>
            <w:r w:rsidRPr="00711DEB">
              <w:rPr>
                <w:sz w:val="18"/>
                <w:szCs w:val="18"/>
              </w:rPr>
              <w:t>“Pre–post mild heat stress test before and after 14-day exposure; tests between 09:00–16:00”</w:t>
            </w:r>
          </w:p>
        </w:tc>
      </w:tr>
    </w:tbl>
    <w:p w14:paraId="2D4E72C2" w14:textId="77777777" w:rsidR="00DB5AA9" w:rsidRPr="001D228D" w:rsidRDefault="00DB5AA9" w:rsidP="00DB5AA9"/>
    <w:p w14:paraId="359554F8" w14:textId="77777777" w:rsidR="00DB5AA9" w:rsidRPr="001D228D" w:rsidRDefault="00DB5AA9" w:rsidP="00DB5AA9">
      <w:pPr>
        <w:pStyle w:val="Heading2"/>
        <w:ind w:left="360" w:hanging="360"/>
        <w:rPr>
          <w:lang w:val="en-GB"/>
        </w:rPr>
      </w:pPr>
      <w:bookmarkStart w:id="97" w:name="_Toc223281710"/>
      <w:r w:rsidRPr="001D228D">
        <w:rPr>
          <w:lang w:val="en-GB"/>
        </w:rPr>
        <w:t>Participant-level metadata</w:t>
      </w:r>
      <w:bookmarkEnd w:id="97"/>
    </w:p>
    <w:p w14:paraId="3CE9756D" w14:textId="77777777" w:rsidR="00DB5AA9" w:rsidRPr="001D228D" w:rsidRDefault="00DB5AA9" w:rsidP="00DB5AA9">
      <w:r w:rsidRPr="001D228D">
        <w:t>Participant-level metadata capture characteristics that are stable or slowly changing across the duration of a study. These variables describe each individual taking part in the experiment and provide the context needed to interpret physiological responses, account for relevant modifiers, and enable subgroup or meta-analytic work.</w:t>
      </w:r>
    </w:p>
    <w:p w14:paraId="634AAD70" w14:textId="77777777" w:rsidR="00DB5AA9" w:rsidRPr="001D228D" w:rsidRDefault="00DB5AA9" w:rsidP="00DB5AA9">
      <w:r w:rsidRPr="001D228D">
        <w:t>Each participant is represented by one row in a dedicated metadata table, with one column per field. As in the experiment-level schema, fields are grouped by topic (e.g., Demographics &amp; Morphology, Health &amp; Diagnoses, Lifestyle, Reproductive &amp; Hormonal) and assigned to informal tiers indicating their importance:</w:t>
      </w:r>
    </w:p>
    <w:p w14:paraId="42EC8F88" w14:textId="77777777" w:rsidR="00DB5AA9" w:rsidRPr="001D228D" w:rsidRDefault="00DB5AA9" w:rsidP="00DB5AA9">
      <w:pPr>
        <w:pStyle w:val="Bullet"/>
      </w:pPr>
      <w:r w:rsidRPr="001D228D">
        <w:rPr>
          <w:u w:val="single"/>
        </w:rPr>
        <w:t>Tier 1 – Core:</w:t>
      </w:r>
      <w:r w:rsidRPr="001D228D">
        <w:t xml:space="preserve"> Minimal information required in any thermal physiology experiment (e.g., age, sex at birth, height, weight, BMI, basic health status, habitual physical activity, key hormonal status).</w:t>
      </w:r>
    </w:p>
    <w:p w14:paraId="084B3930" w14:textId="77777777" w:rsidR="00DB5AA9" w:rsidRPr="001D228D" w:rsidRDefault="00DB5AA9" w:rsidP="00DB5AA9">
      <w:pPr>
        <w:pStyle w:val="Bullet"/>
      </w:pPr>
      <w:r w:rsidRPr="001D228D">
        <w:rPr>
          <w:u w:val="single"/>
        </w:rPr>
        <w:t>Tier 2 – Recommended:</w:t>
      </w:r>
      <w:r w:rsidRPr="001D228D">
        <w:t xml:space="preserve"> Variables that strongly influence thermoregulation and improve interpretability, including body surface area, thermal history, smoking and alcohol use, typical sleep timing, menstrual cycle characteristics, hormone therapies, thermosensitivity, and selected built-environment descriptors.</w:t>
      </w:r>
    </w:p>
    <w:p w14:paraId="48DDA5AD" w14:textId="77777777" w:rsidR="00DB5AA9" w:rsidRPr="001D228D" w:rsidRDefault="00DB5AA9" w:rsidP="00DB5AA9">
      <w:pPr>
        <w:pStyle w:val="Bullet"/>
      </w:pPr>
      <w:r w:rsidRPr="001D228D">
        <w:rPr>
          <w:u w:val="single"/>
        </w:rPr>
        <w:t>Tier 3 – Specialised:</w:t>
      </w:r>
      <w:r w:rsidRPr="001D228D">
        <w:t xml:space="preserve"> More detailed or study-specific attributes, such as body composition, occupation, education, sensory-sensitivity or psychological scales, quality-of-life instruments, or vision/colour-vision assessments. These fields are optional but useful for specialised analyses or targeted protocols.</w:t>
      </w:r>
    </w:p>
    <w:p w14:paraId="7A29C35F" w14:textId="77777777" w:rsidR="00DB5AA9" w:rsidRPr="001D228D" w:rsidRDefault="00DB5AA9" w:rsidP="00DB5AA9">
      <w:r w:rsidRPr="001D228D">
        <w:lastRenderedPageBreak/>
        <w:t>The participant metadata table can be implemented in a spreadsheet, REDCap form, or as structured CSV/TSV with accompanying JSON (e.g., a participants.tsv + participants.json pair following BIDS conventions).</w:t>
      </w:r>
    </w:p>
    <w:p w14:paraId="2F391870" w14:textId="4E31E838" w:rsidR="00DB5AA9" w:rsidRPr="001D228D" w:rsidRDefault="00DB5AA9" w:rsidP="00DB5AA9">
      <w:pPr>
        <w:pStyle w:val="Caption"/>
      </w:pPr>
      <w:r w:rsidRPr="001D228D">
        <w:t xml:space="preserve">Table </w:t>
      </w:r>
      <w:r w:rsidRPr="001D228D">
        <w:fldChar w:fldCharType="begin"/>
      </w:r>
      <w:r w:rsidRPr="001D228D">
        <w:instrText xml:space="preserve"> SEQ Table \* ARABIC </w:instrText>
      </w:r>
      <w:r w:rsidRPr="001D228D">
        <w:fldChar w:fldCharType="separate"/>
      </w:r>
      <w:r w:rsidR="007650AF">
        <w:rPr>
          <w:noProof/>
        </w:rPr>
        <w:t>10</w:t>
      </w:r>
      <w:r w:rsidRPr="001D228D">
        <w:fldChar w:fldCharType="end"/>
      </w:r>
      <w:r w:rsidRPr="001D228D">
        <w:t>. Example participant-level metadata schema, including groups, field definitions, tiers, typical coding formats, and references to relevant standards or screening tools.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350"/>
        <w:gridCol w:w="1530"/>
        <w:gridCol w:w="596"/>
        <w:gridCol w:w="2700"/>
        <w:gridCol w:w="3184"/>
      </w:tblGrid>
      <w:tr w:rsidR="00DB5AA9" w:rsidRPr="001D228D" w14:paraId="03ABDE8E" w14:textId="77777777" w:rsidTr="0035708B">
        <w:trPr>
          <w:tblHeader/>
          <w:tblCellSpacing w:w="15" w:type="dxa"/>
        </w:trPr>
        <w:tc>
          <w:tcPr>
            <w:tcW w:w="1305" w:type="dxa"/>
            <w:tcBorders>
              <w:bottom w:val="single" w:sz="4" w:space="0" w:color="auto"/>
            </w:tcBorders>
            <w:hideMark/>
          </w:tcPr>
          <w:p w14:paraId="3C6B3D28" w14:textId="77777777" w:rsidR="00DB5AA9" w:rsidRPr="001D228D" w:rsidRDefault="00DB5AA9" w:rsidP="0035708B">
            <w:pPr>
              <w:contextualSpacing/>
              <w:rPr>
                <w:b/>
                <w:bCs/>
                <w:sz w:val="18"/>
                <w:szCs w:val="18"/>
              </w:rPr>
            </w:pPr>
            <w:r w:rsidRPr="001D228D">
              <w:rPr>
                <w:b/>
                <w:bCs/>
                <w:sz w:val="18"/>
                <w:szCs w:val="18"/>
              </w:rPr>
              <w:t>Group</w:t>
            </w:r>
          </w:p>
        </w:tc>
        <w:tc>
          <w:tcPr>
            <w:tcW w:w="1500" w:type="dxa"/>
            <w:tcBorders>
              <w:bottom w:val="single" w:sz="4" w:space="0" w:color="auto"/>
            </w:tcBorders>
            <w:hideMark/>
          </w:tcPr>
          <w:p w14:paraId="7915F168" w14:textId="77777777" w:rsidR="00DB5AA9" w:rsidRPr="001D228D" w:rsidRDefault="00DB5AA9" w:rsidP="0035708B">
            <w:pPr>
              <w:contextualSpacing/>
              <w:rPr>
                <w:b/>
                <w:bCs/>
                <w:sz w:val="18"/>
                <w:szCs w:val="18"/>
              </w:rPr>
            </w:pPr>
            <w:r w:rsidRPr="001D228D">
              <w:rPr>
                <w:b/>
                <w:bCs/>
                <w:sz w:val="18"/>
                <w:szCs w:val="18"/>
              </w:rPr>
              <w:t>Field name</w:t>
            </w:r>
          </w:p>
        </w:tc>
        <w:tc>
          <w:tcPr>
            <w:tcW w:w="566" w:type="dxa"/>
            <w:tcBorders>
              <w:bottom w:val="single" w:sz="4" w:space="0" w:color="auto"/>
            </w:tcBorders>
            <w:hideMark/>
          </w:tcPr>
          <w:p w14:paraId="59DB26BB" w14:textId="77777777" w:rsidR="00DB5AA9" w:rsidRPr="001D228D" w:rsidRDefault="00DB5AA9" w:rsidP="0035708B">
            <w:pPr>
              <w:contextualSpacing/>
              <w:rPr>
                <w:b/>
                <w:bCs/>
                <w:sz w:val="18"/>
                <w:szCs w:val="18"/>
              </w:rPr>
            </w:pPr>
            <w:r w:rsidRPr="001D228D">
              <w:rPr>
                <w:b/>
                <w:bCs/>
                <w:sz w:val="18"/>
                <w:szCs w:val="18"/>
              </w:rPr>
              <w:t>Tier</w:t>
            </w:r>
          </w:p>
        </w:tc>
        <w:tc>
          <w:tcPr>
            <w:tcW w:w="2670" w:type="dxa"/>
            <w:tcBorders>
              <w:bottom w:val="single" w:sz="4" w:space="0" w:color="auto"/>
            </w:tcBorders>
            <w:hideMark/>
          </w:tcPr>
          <w:p w14:paraId="4769A8D4" w14:textId="77777777" w:rsidR="00DB5AA9" w:rsidRPr="001D228D" w:rsidRDefault="00DB5AA9" w:rsidP="0035708B">
            <w:pPr>
              <w:contextualSpacing/>
              <w:rPr>
                <w:b/>
                <w:bCs/>
                <w:sz w:val="18"/>
                <w:szCs w:val="18"/>
              </w:rPr>
            </w:pPr>
            <w:r w:rsidRPr="001D228D">
              <w:rPr>
                <w:b/>
                <w:bCs/>
                <w:sz w:val="18"/>
                <w:szCs w:val="18"/>
              </w:rPr>
              <w:t>Typical answers / coding</w:t>
            </w:r>
          </w:p>
        </w:tc>
        <w:tc>
          <w:tcPr>
            <w:tcW w:w="3139" w:type="dxa"/>
            <w:tcBorders>
              <w:bottom w:val="single" w:sz="4" w:space="0" w:color="auto"/>
            </w:tcBorders>
            <w:hideMark/>
          </w:tcPr>
          <w:p w14:paraId="3B7E9F23" w14:textId="77777777" w:rsidR="00DB5AA9" w:rsidRPr="001D228D" w:rsidRDefault="00DB5AA9" w:rsidP="0035708B">
            <w:pPr>
              <w:contextualSpacing/>
              <w:rPr>
                <w:b/>
                <w:bCs/>
                <w:sz w:val="18"/>
                <w:szCs w:val="18"/>
              </w:rPr>
            </w:pPr>
            <w:r w:rsidRPr="001D228D">
              <w:rPr>
                <w:b/>
                <w:bCs/>
                <w:sz w:val="18"/>
                <w:szCs w:val="18"/>
              </w:rPr>
              <w:t>Example instruments / tools</w:t>
            </w:r>
          </w:p>
        </w:tc>
      </w:tr>
      <w:tr w:rsidR="00DB5AA9" w:rsidRPr="001D228D" w14:paraId="214F2F7F" w14:textId="77777777" w:rsidTr="0035708B">
        <w:trPr>
          <w:tblCellSpacing w:w="15" w:type="dxa"/>
        </w:trPr>
        <w:tc>
          <w:tcPr>
            <w:tcW w:w="1305" w:type="dxa"/>
            <w:vMerge w:val="restart"/>
            <w:hideMark/>
          </w:tcPr>
          <w:p w14:paraId="7385A315" w14:textId="77777777" w:rsidR="00DB5AA9" w:rsidRPr="001D228D" w:rsidRDefault="00DB5AA9" w:rsidP="0035708B">
            <w:pPr>
              <w:contextualSpacing/>
              <w:rPr>
                <w:sz w:val="18"/>
                <w:szCs w:val="18"/>
              </w:rPr>
            </w:pPr>
            <w:r w:rsidRPr="001D228D">
              <w:rPr>
                <w:sz w:val="18"/>
                <w:szCs w:val="18"/>
              </w:rPr>
              <w:t>Core IDs</w:t>
            </w:r>
          </w:p>
        </w:tc>
        <w:tc>
          <w:tcPr>
            <w:tcW w:w="1500" w:type="dxa"/>
            <w:hideMark/>
          </w:tcPr>
          <w:p w14:paraId="68CE50FE" w14:textId="77777777" w:rsidR="00DB5AA9" w:rsidRPr="001D228D" w:rsidRDefault="00DB5AA9" w:rsidP="0035708B">
            <w:pPr>
              <w:contextualSpacing/>
              <w:rPr>
                <w:sz w:val="18"/>
                <w:szCs w:val="18"/>
              </w:rPr>
            </w:pPr>
            <w:r w:rsidRPr="001D228D">
              <w:rPr>
                <w:sz w:val="18"/>
                <w:szCs w:val="18"/>
              </w:rPr>
              <w:t>Participant ID</w:t>
            </w:r>
          </w:p>
        </w:tc>
        <w:tc>
          <w:tcPr>
            <w:tcW w:w="566" w:type="dxa"/>
            <w:hideMark/>
          </w:tcPr>
          <w:p w14:paraId="4E05FD8F"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6DD3642" w14:textId="77777777" w:rsidR="00DB5AA9" w:rsidRPr="001D228D" w:rsidRDefault="00DB5AA9" w:rsidP="0035708B">
            <w:pPr>
              <w:contextualSpacing/>
              <w:rPr>
                <w:sz w:val="18"/>
                <w:szCs w:val="18"/>
              </w:rPr>
            </w:pPr>
            <w:r w:rsidRPr="001D228D">
              <w:rPr>
                <w:sz w:val="18"/>
                <w:szCs w:val="18"/>
              </w:rPr>
              <w:t>Text ID (e.g. P01, SL23_001)</w:t>
            </w:r>
          </w:p>
        </w:tc>
        <w:tc>
          <w:tcPr>
            <w:tcW w:w="3139" w:type="dxa"/>
            <w:hideMark/>
          </w:tcPr>
          <w:p w14:paraId="7F775D9C" w14:textId="77777777" w:rsidR="00DB5AA9" w:rsidRPr="001D228D" w:rsidRDefault="00DB5AA9" w:rsidP="0035708B">
            <w:pPr>
              <w:contextualSpacing/>
              <w:rPr>
                <w:sz w:val="18"/>
                <w:szCs w:val="18"/>
              </w:rPr>
            </w:pPr>
            <w:r w:rsidRPr="001D228D">
              <w:rPr>
                <w:sz w:val="18"/>
                <w:szCs w:val="18"/>
              </w:rPr>
              <w:t>– (lab-defined)</w:t>
            </w:r>
          </w:p>
        </w:tc>
      </w:tr>
      <w:tr w:rsidR="00DB5AA9" w:rsidRPr="001D228D" w14:paraId="266D90ED" w14:textId="77777777" w:rsidTr="0035708B">
        <w:trPr>
          <w:tblCellSpacing w:w="15" w:type="dxa"/>
        </w:trPr>
        <w:tc>
          <w:tcPr>
            <w:tcW w:w="1305" w:type="dxa"/>
            <w:vMerge/>
            <w:tcBorders>
              <w:bottom w:val="single" w:sz="4" w:space="0" w:color="auto"/>
            </w:tcBorders>
            <w:hideMark/>
          </w:tcPr>
          <w:p w14:paraId="75DDDE7F"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BAD934A" w14:textId="77777777" w:rsidR="00DB5AA9" w:rsidRPr="001D228D" w:rsidRDefault="00DB5AA9" w:rsidP="0035708B">
            <w:pPr>
              <w:contextualSpacing/>
              <w:rPr>
                <w:sz w:val="18"/>
                <w:szCs w:val="18"/>
              </w:rPr>
            </w:pPr>
            <w:r w:rsidRPr="001D228D">
              <w:rPr>
                <w:sz w:val="18"/>
                <w:szCs w:val="18"/>
              </w:rPr>
              <w:t>Study / cohort</w:t>
            </w:r>
          </w:p>
        </w:tc>
        <w:tc>
          <w:tcPr>
            <w:tcW w:w="566" w:type="dxa"/>
            <w:tcBorders>
              <w:bottom w:val="single" w:sz="4" w:space="0" w:color="auto"/>
            </w:tcBorders>
            <w:hideMark/>
          </w:tcPr>
          <w:p w14:paraId="2CF8601E" w14:textId="77777777" w:rsidR="00DB5AA9" w:rsidRPr="001D228D" w:rsidRDefault="00DB5AA9" w:rsidP="0035708B">
            <w:pPr>
              <w:contextualSpacing/>
              <w:rPr>
                <w:sz w:val="18"/>
                <w:szCs w:val="18"/>
              </w:rPr>
            </w:pPr>
            <w:r w:rsidRPr="001D228D">
              <w:rPr>
                <w:sz w:val="18"/>
                <w:szCs w:val="18"/>
              </w:rPr>
              <w:t>1</w:t>
            </w:r>
          </w:p>
        </w:tc>
        <w:tc>
          <w:tcPr>
            <w:tcW w:w="2670" w:type="dxa"/>
            <w:tcBorders>
              <w:bottom w:val="single" w:sz="4" w:space="0" w:color="auto"/>
            </w:tcBorders>
            <w:hideMark/>
          </w:tcPr>
          <w:p w14:paraId="4F8C1765" w14:textId="77777777" w:rsidR="00DB5AA9" w:rsidRPr="001D228D" w:rsidRDefault="00DB5AA9" w:rsidP="0035708B">
            <w:pPr>
              <w:contextualSpacing/>
              <w:rPr>
                <w:sz w:val="18"/>
                <w:szCs w:val="18"/>
              </w:rPr>
            </w:pPr>
            <w:r w:rsidRPr="001D228D">
              <w:rPr>
                <w:sz w:val="18"/>
                <w:szCs w:val="18"/>
              </w:rPr>
              <w:t xml:space="preserve">Text (e.g. PMV05 – Red, ACvsFR – </w:t>
            </w:r>
            <w:r>
              <w:rPr>
                <w:sz w:val="18"/>
                <w:szCs w:val="18"/>
              </w:rPr>
              <w:t>AC</w:t>
            </w:r>
            <w:r w:rsidRPr="001D228D">
              <w:rPr>
                <w:sz w:val="18"/>
                <w:szCs w:val="18"/>
              </w:rPr>
              <w:t>)</w:t>
            </w:r>
          </w:p>
        </w:tc>
        <w:tc>
          <w:tcPr>
            <w:tcW w:w="3139" w:type="dxa"/>
            <w:tcBorders>
              <w:bottom w:val="single" w:sz="4" w:space="0" w:color="auto"/>
            </w:tcBorders>
            <w:hideMark/>
          </w:tcPr>
          <w:p w14:paraId="4C6A55E2" w14:textId="77777777" w:rsidR="00DB5AA9" w:rsidRPr="001D228D" w:rsidRDefault="00DB5AA9" w:rsidP="0035708B">
            <w:pPr>
              <w:contextualSpacing/>
              <w:rPr>
                <w:sz w:val="18"/>
                <w:szCs w:val="18"/>
              </w:rPr>
            </w:pPr>
            <w:r w:rsidRPr="001D228D">
              <w:rPr>
                <w:sz w:val="18"/>
                <w:szCs w:val="18"/>
              </w:rPr>
              <w:t>– (lab-defined)</w:t>
            </w:r>
          </w:p>
        </w:tc>
      </w:tr>
      <w:tr w:rsidR="00DB5AA9" w:rsidRPr="001D228D" w14:paraId="08537743" w14:textId="77777777" w:rsidTr="0035708B">
        <w:trPr>
          <w:tblCellSpacing w:w="15" w:type="dxa"/>
        </w:trPr>
        <w:tc>
          <w:tcPr>
            <w:tcW w:w="1305" w:type="dxa"/>
            <w:vMerge w:val="restart"/>
            <w:hideMark/>
          </w:tcPr>
          <w:p w14:paraId="545D950F" w14:textId="77777777" w:rsidR="00DB5AA9" w:rsidRPr="001D228D" w:rsidRDefault="00DB5AA9" w:rsidP="0035708B">
            <w:pPr>
              <w:contextualSpacing/>
              <w:rPr>
                <w:sz w:val="18"/>
                <w:szCs w:val="18"/>
              </w:rPr>
            </w:pPr>
            <w:r w:rsidRPr="001D228D">
              <w:rPr>
                <w:sz w:val="18"/>
                <w:szCs w:val="18"/>
              </w:rPr>
              <w:t>Demographics &amp; morphology</w:t>
            </w:r>
          </w:p>
        </w:tc>
        <w:tc>
          <w:tcPr>
            <w:tcW w:w="1500" w:type="dxa"/>
            <w:hideMark/>
          </w:tcPr>
          <w:p w14:paraId="252C4CCC" w14:textId="77777777" w:rsidR="00DB5AA9" w:rsidRPr="001D228D" w:rsidRDefault="00DB5AA9" w:rsidP="0035708B">
            <w:pPr>
              <w:contextualSpacing/>
              <w:rPr>
                <w:sz w:val="18"/>
                <w:szCs w:val="18"/>
              </w:rPr>
            </w:pPr>
            <w:r w:rsidRPr="001D228D">
              <w:rPr>
                <w:sz w:val="18"/>
                <w:szCs w:val="18"/>
              </w:rPr>
              <w:t>Age</w:t>
            </w:r>
          </w:p>
        </w:tc>
        <w:tc>
          <w:tcPr>
            <w:tcW w:w="566" w:type="dxa"/>
            <w:hideMark/>
          </w:tcPr>
          <w:p w14:paraId="2F8AFA9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1BD1DF9" w14:textId="77777777" w:rsidR="00DB5AA9" w:rsidRPr="001D228D" w:rsidRDefault="00DB5AA9" w:rsidP="0035708B">
            <w:pPr>
              <w:contextualSpacing/>
              <w:rPr>
                <w:sz w:val="18"/>
                <w:szCs w:val="18"/>
              </w:rPr>
            </w:pPr>
            <w:r w:rsidRPr="001D228D">
              <w:rPr>
                <w:sz w:val="18"/>
                <w:szCs w:val="18"/>
              </w:rPr>
              <w:t>Numeric (years at first session)</w:t>
            </w:r>
          </w:p>
        </w:tc>
        <w:tc>
          <w:tcPr>
            <w:tcW w:w="3139" w:type="dxa"/>
            <w:hideMark/>
          </w:tcPr>
          <w:p w14:paraId="4F339121" w14:textId="2848039F" w:rsidR="00DB5AA9" w:rsidRPr="001D228D" w:rsidRDefault="00DB5AA9" w:rsidP="0035708B">
            <w:pPr>
              <w:contextualSpacing/>
              <w:rPr>
                <w:sz w:val="18"/>
                <w:szCs w:val="18"/>
              </w:rPr>
            </w:pPr>
            <w:r w:rsidRPr="001D228D">
              <w:rPr>
                <w:sz w:val="18"/>
                <w:szCs w:val="18"/>
              </w:rPr>
              <w:t xml:space="preserve">Direct (derived from DOB if stored). If ethics committees do not allow, then age group according to a medically agreed on standard </w:t>
            </w:r>
            <w:sdt>
              <w:sdtPr>
                <w:rPr>
                  <w:color w:val="000000"/>
                  <w:szCs w:val="18"/>
                </w:rPr>
                <w:tag w:val="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"/>
                <w:id w:val="612865095"/>
                <w:placeholder>
                  <w:docPart w:val="B700A94C13C9464BA82929F49DFA3C29"/>
                </w:placeholder>
              </w:sdtPr>
              <w:sdtEndPr>
                <w:rPr>
                  <w:szCs w:val="20"/>
                </w:rPr>
              </w:sdtEndPr>
              <w:sdtContent>
                <w:r w:rsidR="00B43409" w:rsidRPr="00B43409">
                  <w:rPr>
                    <w:color w:val="000000"/>
                  </w:rPr>
                  <w:t>[527]</w:t>
                </w:r>
              </w:sdtContent>
            </w:sdt>
          </w:p>
        </w:tc>
      </w:tr>
      <w:tr w:rsidR="00DB5AA9" w:rsidRPr="001D228D" w14:paraId="3E388DFC" w14:textId="77777777" w:rsidTr="0035708B">
        <w:trPr>
          <w:tblCellSpacing w:w="15" w:type="dxa"/>
        </w:trPr>
        <w:tc>
          <w:tcPr>
            <w:tcW w:w="1305" w:type="dxa"/>
            <w:vMerge/>
            <w:hideMark/>
          </w:tcPr>
          <w:p w14:paraId="0512E869" w14:textId="77777777" w:rsidR="00DB5AA9" w:rsidRPr="001D228D" w:rsidRDefault="00DB5AA9" w:rsidP="0035708B">
            <w:pPr>
              <w:contextualSpacing/>
              <w:rPr>
                <w:sz w:val="18"/>
                <w:szCs w:val="18"/>
              </w:rPr>
            </w:pPr>
          </w:p>
        </w:tc>
        <w:tc>
          <w:tcPr>
            <w:tcW w:w="1500" w:type="dxa"/>
            <w:hideMark/>
          </w:tcPr>
          <w:p w14:paraId="416AB7EC" w14:textId="77777777" w:rsidR="00DB5AA9" w:rsidRPr="001D228D" w:rsidRDefault="00DB5AA9" w:rsidP="0035708B">
            <w:pPr>
              <w:contextualSpacing/>
              <w:rPr>
                <w:sz w:val="18"/>
                <w:szCs w:val="18"/>
              </w:rPr>
            </w:pPr>
            <w:r w:rsidRPr="001D228D">
              <w:rPr>
                <w:sz w:val="18"/>
                <w:szCs w:val="18"/>
              </w:rPr>
              <w:t>Sex</w:t>
            </w:r>
          </w:p>
        </w:tc>
        <w:tc>
          <w:tcPr>
            <w:tcW w:w="566" w:type="dxa"/>
            <w:hideMark/>
          </w:tcPr>
          <w:p w14:paraId="361E9FE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4FE9C347" w14:textId="77777777" w:rsidR="00DB5AA9" w:rsidRPr="001D228D" w:rsidRDefault="00DB5AA9" w:rsidP="0035708B">
            <w:pPr>
              <w:contextualSpacing/>
              <w:rPr>
                <w:sz w:val="18"/>
                <w:szCs w:val="18"/>
              </w:rPr>
            </w:pPr>
            <w:r w:rsidRPr="001D228D">
              <w:rPr>
                <w:sz w:val="18"/>
                <w:szCs w:val="18"/>
              </w:rPr>
              <w:t xml:space="preserve">Categorical: female / male / </w:t>
            </w:r>
            <w:r>
              <w:rPr>
                <w:sz w:val="18"/>
                <w:szCs w:val="18"/>
              </w:rPr>
              <w:t>trans f2m</w:t>
            </w:r>
            <w:r w:rsidRPr="001D228D">
              <w:rPr>
                <w:sz w:val="18"/>
                <w:szCs w:val="18"/>
              </w:rPr>
              <w:t xml:space="preserve">/ </w:t>
            </w:r>
            <w:r>
              <w:rPr>
                <w:sz w:val="18"/>
                <w:szCs w:val="18"/>
              </w:rPr>
              <w:t>trans m2f</w:t>
            </w:r>
          </w:p>
        </w:tc>
        <w:tc>
          <w:tcPr>
            <w:tcW w:w="3139" w:type="dxa"/>
            <w:hideMark/>
          </w:tcPr>
          <w:p w14:paraId="55F54A84" w14:textId="77777777" w:rsidR="00DB5AA9" w:rsidRPr="001D228D" w:rsidRDefault="00DB5AA9" w:rsidP="0035708B">
            <w:pPr>
              <w:contextualSpacing/>
              <w:rPr>
                <w:sz w:val="18"/>
                <w:szCs w:val="18"/>
              </w:rPr>
            </w:pPr>
            <w:r>
              <w:rPr>
                <w:sz w:val="18"/>
                <w:szCs w:val="18"/>
              </w:rPr>
              <w:t>Trans categories only for active transitioning at the time of the experiment</w:t>
            </w:r>
          </w:p>
        </w:tc>
      </w:tr>
      <w:tr w:rsidR="00DB5AA9" w:rsidRPr="001D228D" w14:paraId="49E9EC13" w14:textId="77777777" w:rsidTr="0035708B">
        <w:trPr>
          <w:tblCellSpacing w:w="15" w:type="dxa"/>
        </w:trPr>
        <w:tc>
          <w:tcPr>
            <w:tcW w:w="1305" w:type="dxa"/>
            <w:vMerge/>
            <w:hideMark/>
          </w:tcPr>
          <w:p w14:paraId="1AABC2D5" w14:textId="77777777" w:rsidR="00DB5AA9" w:rsidRPr="001D228D" w:rsidRDefault="00DB5AA9" w:rsidP="0035708B">
            <w:pPr>
              <w:contextualSpacing/>
              <w:rPr>
                <w:sz w:val="18"/>
                <w:szCs w:val="18"/>
              </w:rPr>
            </w:pPr>
          </w:p>
        </w:tc>
        <w:tc>
          <w:tcPr>
            <w:tcW w:w="1500" w:type="dxa"/>
            <w:hideMark/>
          </w:tcPr>
          <w:p w14:paraId="4A5E2764" w14:textId="77777777" w:rsidR="00DB5AA9" w:rsidRPr="001D228D" w:rsidRDefault="00DB5AA9" w:rsidP="0035708B">
            <w:pPr>
              <w:contextualSpacing/>
              <w:rPr>
                <w:sz w:val="18"/>
                <w:szCs w:val="18"/>
              </w:rPr>
            </w:pPr>
            <w:r w:rsidRPr="001D228D">
              <w:rPr>
                <w:sz w:val="18"/>
                <w:szCs w:val="18"/>
              </w:rPr>
              <w:t>Gender identity (optional)</w:t>
            </w:r>
          </w:p>
        </w:tc>
        <w:tc>
          <w:tcPr>
            <w:tcW w:w="566" w:type="dxa"/>
            <w:hideMark/>
          </w:tcPr>
          <w:p w14:paraId="191A0225"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5D0FE9D" w14:textId="77777777" w:rsidR="00DB5AA9" w:rsidRPr="001D228D" w:rsidRDefault="00DB5AA9" w:rsidP="0035708B">
            <w:pPr>
              <w:contextualSpacing/>
              <w:rPr>
                <w:sz w:val="18"/>
                <w:szCs w:val="18"/>
              </w:rPr>
            </w:pPr>
            <w:r w:rsidRPr="001D228D">
              <w:rPr>
                <w:sz w:val="18"/>
                <w:szCs w:val="18"/>
              </w:rPr>
              <w:t>Categorical or free text</w:t>
            </w:r>
          </w:p>
        </w:tc>
        <w:tc>
          <w:tcPr>
            <w:tcW w:w="3139" w:type="dxa"/>
            <w:hideMark/>
          </w:tcPr>
          <w:p w14:paraId="0DC49738" w14:textId="77777777" w:rsidR="00DB5AA9" w:rsidRPr="001D228D" w:rsidRDefault="00DB5AA9" w:rsidP="0035708B">
            <w:pPr>
              <w:contextualSpacing/>
              <w:rPr>
                <w:sz w:val="18"/>
                <w:szCs w:val="18"/>
              </w:rPr>
            </w:pPr>
            <w:r w:rsidRPr="001D228D">
              <w:rPr>
                <w:sz w:val="18"/>
                <w:szCs w:val="18"/>
              </w:rPr>
              <w:t>– (lab-defined wording)</w:t>
            </w:r>
          </w:p>
        </w:tc>
      </w:tr>
      <w:tr w:rsidR="00DB5AA9" w:rsidRPr="001D228D" w14:paraId="32C4D0DA" w14:textId="77777777" w:rsidTr="0035708B">
        <w:trPr>
          <w:tblCellSpacing w:w="15" w:type="dxa"/>
        </w:trPr>
        <w:tc>
          <w:tcPr>
            <w:tcW w:w="1305" w:type="dxa"/>
            <w:vMerge/>
            <w:hideMark/>
          </w:tcPr>
          <w:p w14:paraId="2E127F9A" w14:textId="77777777" w:rsidR="00DB5AA9" w:rsidRPr="001D228D" w:rsidRDefault="00DB5AA9" w:rsidP="0035708B">
            <w:pPr>
              <w:contextualSpacing/>
              <w:rPr>
                <w:sz w:val="18"/>
                <w:szCs w:val="18"/>
              </w:rPr>
            </w:pPr>
          </w:p>
        </w:tc>
        <w:tc>
          <w:tcPr>
            <w:tcW w:w="1500" w:type="dxa"/>
            <w:hideMark/>
          </w:tcPr>
          <w:p w14:paraId="16B6039A" w14:textId="77777777" w:rsidR="00DB5AA9" w:rsidRPr="001D228D" w:rsidRDefault="00DB5AA9" w:rsidP="0035708B">
            <w:pPr>
              <w:contextualSpacing/>
              <w:rPr>
                <w:sz w:val="18"/>
                <w:szCs w:val="18"/>
              </w:rPr>
            </w:pPr>
            <w:r w:rsidRPr="001D228D">
              <w:rPr>
                <w:sz w:val="18"/>
                <w:szCs w:val="18"/>
              </w:rPr>
              <w:t>Height</w:t>
            </w:r>
          </w:p>
        </w:tc>
        <w:tc>
          <w:tcPr>
            <w:tcW w:w="566" w:type="dxa"/>
            <w:hideMark/>
          </w:tcPr>
          <w:p w14:paraId="5FB4D77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7BA52EF" w14:textId="77777777" w:rsidR="00DB5AA9" w:rsidRPr="001D228D" w:rsidRDefault="00DB5AA9" w:rsidP="0035708B">
            <w:pPr>
              <w:contextualSpacing/>
              <w:rPr>
                <w:sz w:val="18"/>
                <w:szCs w:val="18"/>
              </w:rPr>
            </w:pPr>
            <w:r w:rsidRPr="001D228D">
              <w:rPr>
                <w:sz w:val="18"/>
                <w:szCs w:val="18"/>
              </w:rPr>
              <w:t>Numeric (cm), self-reported or measured (flag which)</w:t>
            </w:r>
          </w:p>
        </w:tc>
        <w:tc>
          <w:tcPr>
            <w:tcW w:w="3139" w:type="dxa"/>
            <w:hideMark/>
          </w:tcPr>
          <w:p w14:paraId="020C73D8" w14:textId="77777777" w:rsidR="00DB5AA9" w:rsidRPr="001D228D" w:rsidRDefault="00DB5AA9" w:rsidP="0035708B">
            <w:pPr>
              <w:contextualSpacing/>
              <w:rPr>
                <w:sz w:val="18"/>
                <w:szCs w:val="18"/>
              </w:rPr>
            </w:pPr>
            <w:r w:rsidRPr="001D228D">
              <w:rPr>
                <w:sz w:val="18"/>
                <w:szCs w:val="18"/>
              </w:rPr>
              <w:t>Stadiometer; self-report</w:t>
            </w:r>
          </w:p>
        </w:tc>
      </w:tr>
      <w:tr w:rsidR="00DB5AA9" w:rsidRPr="001D228D" w14:paraId="252C0D7B" w14:textId="77777777" w:rsidTr="0035708B">
        <w:trPr>
          <w:tblCellSpacing w:w="15" w:type="dxa"/>
        </w:trPr>
        <w:tc>
          <w:tcPr>
            <w:tcW w:w="1305" w:type="dxa"/>
            <w:vMerge/>
            <w:hideMark/>
          </w:tcPr>
          <w:p w14:paraId="438D1B8E" w14:textId="77777777" w:rsidR="00DB5AA9" w:rsidRPr="001D228D" w:rsidRDefault="00DB5AA9" w:rsidP="0035708B">
            <w:pPr>
              <w:contextualSpacing/>
              <w:rPr>
                <w:sz w:val="18"/>
                <w:szCs w:val="18"/>
              </w:rPr>
            </w:pPr>
          </w:p>
        </w:tc>
        <w:tc>
          <w:tcPr>
            <w:tcW w:w="1500" w:type="dxa"/>
            <w:hideMark/>
          </w:tcPr>
          <w:p w14:paraId="1766F7B2" w14:textId="77777777" w:rsidR="00DB5AA9" w:rsidRPr="001D228D" w:rsidRDefault="00DB5AA9" w:rsidP="0035708B">
            <w:pPr>
              <w:contextualSpacing/>
              <w:rPr>
                <w:sz w:val="18"/>
                <w:szCs w:val="18"/>
              </w:rPr>
            </w:pPr>
            <w:r w:rsidRPr="001D228D">
              <w:rPr>
                <w:sz w:val="18"/>
                <w:szCs w:val="18"/>
              </w:rPr>
              <w:t>Weight</w:t>
            </w:r>
          </w:p>
        </w:tc>
        <w:tc>
          <w:tcPr>
            <w:tcW w:w="566" w:type="dxa"/>
            <w:hideMark/>
          </w:tcPr>
          <w:p w14:paraId="64392AB9"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028EADB" w14:textId="77777777" w:rsidR="00DB5AA9" w:rsidRPr="001D228D" w:rsidRDefault="00DB5AA9" w:rsidP="0035708B">
            <w:pPr>
              <w:contextualSpacing/>
              <w:rPr>
                <w:sz w:val="18"/>
                <w:szCs w:val="18"/>
              </w:rPr>
            </w:pPr>
            <w:r w:rsidRPr="001D228D">
              <w:rPr>
                <w:sz w:val="18"/>
                <w:szCs w:val="18"/>
              </w:rPr>
              <w:t>Numeric (kg), self-reported or measured</w:t>
            </w:r>
          </w:p>
        </w:tc>
        <w:tc>
          <w:tcPr>
            <w:tcW w:w="3139" w:type="dxa"/>
            <w:hideMark/>
          </w:tcPr>
          <w:p w14:paraId="3CC67966" w14:textId="77777777" w:rsidR="00DB5AA9" w:rsidRPr="001D228D" w:rsidRDefault="00DB5AA9" w:rsidP="0035708B">
            <w:pPr>
              <w:contextualSpacing/>
              <w:rPr>
                <w:sz w:val="18"/>
                <w:szCs w:val="18"/>
              </w:rPr>
            </w:pPr>
            <w:r w:rsidRPr="001D228D">
              <w:rPr>
                <w:sz w:val="18"/>
                <w:szCs w:val="18"/>
              </w:rPr>
              <w:t>Scale or self-report. If measured, note the method (e.g., in nude, in underwear, fasting morning, etc.)</w:t>
            </w:r>
          </w:p>
        </w:tc>
      </w:tr>
      <w:tr w:rsidR="00DB5AA9" w:rsidRPr="001D228D" w14:paraId="0264BEA0" w14:textId="77777777" w:rsidTr="0035708B">
        <w:trPr>
          <w:tblCellSpacing w:w="15" w:type="dxa"/>
        </w:trPr>
        <w:tc>
          <w:tcPr>
            <w:tcW w:w="1305" w:type="dxa"/>
            <w:vMerge/>
            <w:hideMark/>
          </w:tcPr>
          <w:p w14:paraId="260DFE3A" w14:textId="77777777" w:rsidR="00DB5AA9" w:rsidRPr="001D228D" w:rsidRDefault="00DB5AA9" w:rsidP="0035708B">
            <w:pPr>
              <w:contextualSpacing/>
              <w:rPr>
                <w:sz w:val="18"/>
                <w:szCs w:val="18"/>
              </w:rPr>
            </w:pPr>
          </w:p>
        </w:tc>
        <w:tc>
          <w:tcPr>
            <w:tcW w:w="1500" w:type="dxa"/>
            <w:hideMark/>
          </w:tcPr>
          <w:p w14:paraId="01DEC90C" w14:textId="77777777" w:rsidR="00DB5AA9" w:rsidRPr="001D228D" w:rsidRDefault="00DB5AA9" w:rsidP="0035708B">
            <w:pPr>
              <w:contextualSpacing/>
              <w:rPr>
                <w:sz w:val="18"/>
                <w:szCs w:val="18"/>
              </w:rPr>
            </w:pPr>
            <w:r w:rsidRPr="001D228D">
              <w:rPr>
                <w:sz w:val="18"/>
                <w:szCs w:val="18"/>
              </w:rPr>
              <w:t>BMI</w:t>
            </w:r>
          </w:p>
        </w:tc>
        <w:tc>
          <w:tcPr>
            <w:tcW w:w="566" w:type="dxa"/>
            <w:hideMark/>
          </w:tcPr>
          <w:p w14:paraId="5AD379E5"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DF82A4B" w14:textId="77777777" w:rsidR="00DB5AA9" w:rsidRPr="001D228D" w:rsidRDefault="00DB5AA9" w:rsidP="0035708B">
            <w:pPr>
              <w:contextualSpacing/>
              <w:rPr>
                <w:sz w:val="18"/>
                <w:szCs w:val="18"/>
              </w:rPr>
            </w:pPr>
            <w:r w:rsidRPr="001D228D">
              <w:rPr>
                <w:sz w:val="18"/>
                <w:szCs w:val="18"/>
              </w:rPr>
              <w:t>Numeric (kg·m⁻²), derived</w:t>
            </w:r>
          </w:p>
        </w:tc>
        <w:tc>
          <w:tcPr>
            <w:tcW w:w="3139" w:type="dxa"/>
            <w:hideMark/>
          </w:tcPr>
          <w:p w14:paraId="347B89DD" w14:textId="77777777" w:rsidR="00DB5AA9" w:rsidRPr="001D228D" w:rsidRDefault="00DB5AA9" w:rsidP="0035708B">
            <w:pPr>
              <w:contextualSpacing/>
              <w:rPr>
                <w:sz w:val="18"/>
                <w:szCs w:val="18"/>
              </w:rPr>
            </w:pPr>
            <w:r w:rsidRPr="001D228D">
              <w:rPr>
                <w:sz w:val="18"/>
                <w:szCs w:val="18"/>
              </w:rPr>
              <w:t>Calculation from height &amp; weight</w:t>
            </w:r>
          </w:p>
        </w:tc>
      </w:tr>
      <w:tr w:rsidR="00DB5AA9" w:rsidRPr="001D228D" w14:paraId="035D1B9B" w14:textId="77777777" w:rsidTr="0035708B">
        <w:trPr>
          <w:tblCellSpacing w:w="15" w:type="dxa"/>
        </w:trPr>
        <w:tc>
          <w:tcPr>
            <w:tcW w:w="1305" w:type="dxa"/>
            <w:vMerge/>
            <w:hideMark/>
          </w:tcPr>
          <w:p w14:paraId="6DF1C3B5" w14:textId="77777777" w:rsidR="00DB5AA9" w:rsidRPr="001D228D" w:rsidRDefault="00DB5AA9" w:rsidP="0035708B">
            <w:pPr>
              <w:contextualSpacing/>
              <w:rPr>
                <w:sz w:val="18"/>
                <w:szCs w:val="18"/>
              </w:rPr>
            </w:pPr>
          </w:p>
        </w:tc>
        <w:tc>
          <w:tcPr>
            <w:tcW w:w="1500" w:type="dxa"/>
            <w:hideMark/>
          </w:tcPr>
          <w:p w14:paraId="6EEDF0D0" w14:textId="77777777" w:rsidR="00DB5AA9" w:rsidRPr="001D228D" w:rsidRDefault="00DB5AA9" w:rsidP="0035708B">
            <w:pPr>
              <w:contextualSpacing/>
              <w:rPr>
                <w:sz w:val="18"/>
                <w:szCs w:val="18"/>
              </w:rPr>
            </w:pPr>
            <w:r w:rsidRPr="001D228D">
              <w:rPr>
                <w:sz w:val="18"/>
                <w:szCs w:val="18"/>
              </w:rPr>
              <w:t>Body surface area (BSA)</w:t>
            </w:r>
          </w:p>
        </w:tc>
        <w:tc>
          <w:tcPr>
            <w:tcW w:w="566" w:type="dxa"/>
            <w:hideMark/>
          </w:tcPr>
          <w:p w14:paraId="393C4849"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58ADE193" w14:textId="77777777" w:rsidR="00DB5AA9" w:rsidRPr="001D228D" w:rsidRDefault="00DB5AA9" w:rsidP="0035708B">
            <w:pPr>
              <w:contextualSpacing/>
              <w:rPr>
                <w:sz w:val="18"/>
                <w:szCs w:val="18"/>
              </w:rPr>
            </w:pPr>
            <w:r w:rsidRPr="001D228D">
              <w:rPr>
                <w:sz w:val="18"/>
                <w:szCs w:val="18"/>
              </w:rPr>
              <w:t>Numeric (m²)</w:t>
            </w:r>
          </w:p>
        </w:tc>
        <w:tc>
          <w:tcPr>
            <w:tcW w:w="3139" w:type="dxa"/>
            <w:hideMark/>
          </w:tcPr>
          <w:p w14:paraId="21B3A211" w14:textId="77777777" w:rsidR="00DB5AA9" w:rsidRPr="001D228D" w:rsidRDefault="00DB5AA9" w:rsidP="0035708B">
            <w:pPr>
              <w:contextualSpacing/>
              <w:rPr>
                <w:sz w:val="18"/>
                <w:szCs w:val="18"/>
              </w:rPr>
            </w:pPr>
            <w:r w:rsidRPr="001D228D">
              <w:rPr>
                <w:sz w:val="18"/>
                <w:szCs w:val="18"/>
              </w:rPr>
              <w:t>DuBois &amp; DuBois, Mosteller, etc. (formula documented)</w:t>
            </w:r>
          </w:p>
        </w:tc>
      </w:tr>
      <w:tr w:rsidR="00DB5AA9" w:rsidRPr="001D228D" w14:paraId="0CA39D72" w14:textId="77777777" w:rsidTr="0035708B">
        <w:trPr>
          <w:tblCellSpacing w:w="15" w:type="dxa"/>
        </w:trPr>
        <w:tc>
          <w:tcPr>
            <w:tcW w:w="1305" w:type="dxa"/>
            <w:vMerge/>
            <w:hideMark/>
          </w:tcPr>
          <w:p w14:paraId="25F8A9FB" w14:textId="77777777" w:rsidR="00DB5AA9" w:rsidRPr="001D228D" w:rsidRDefault="00DB5AA9" w:rsidP="0035708B">
            <w:pPr>
              <w:contextualSpacing/>
              <w:rPr>
                <w:sz w:val="18"/>
                <w:szCs w:val="18"/>
              </w:rPr>
            </w:pPr>
          </w:p>
        </w:tc>
        <w:tc>
          <w:tcPr>
            <w:tcW w:w="1500" w:type="dxa"/>
            <w:hideMark/>
          </w:tcPr>
          <w:p w14:paraId="4F9DBD27" w14:textId="77777777" w:rsidR="00DB5AA9" w:rsidRPr="001D228D" w:rsidRDefault="00DB5AA9" w:rsidP="0035708B">
            <w:pPr>
              <w:contextualSpacing/>
              <w:rPr>
                <w:sz w:val="18"/>
                <w:szCs w:val="18"/>
              </w:rPr>
            </w:pPr>
            <w:r w:rsidRPr="001D228D">
              <w:rPr>
                <w:sz w:val="18"/>
                <w:szCs w:val="18"/>
              </w:rPr>
              <w:t>Body fat %</w:t>
            </w:r>
          </w:p>
        </w:tc>
        <w:tc>
          <w:tcPr>
            <w:tcW w:w="566" w:type="dxa"/>
            <w:hideMark/>
          </w:tcPr>
          <w:p w14:paraId="716E5922"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15E50A2" w14:textId="77777777" w:rsidR="00DB5AA9" w:rsidRPr="001D228D" w:rsidRDefault="00DB5AA9" w:rsidP="0035708B">
            <w:pPr>
              <w:contextualSpacing/>
              <w:rPr>
                <w:sz w:val="18"/>
                <w:szCs w:val="18"/>
              </w:rPr>
            </w:pPr>
            <w:r w:rsidRPr="001D228D">
              <w:rPr>
                <w:sz w:val="18"/>
                <w:szCs w:val="18"/>
              </w:rPr>
              <w:t>Numeric (%)</w:t>
            </w:r>
          </w:p>
        </w:tc>
        <w:tc>
          <w:tcPr>
            <w:tcW w:w="3139" w:type="dxa"/>
            <w:hideMark/>
          </w:tcPr>
          <w:p w14:paraId="0A482442" w14:textId="77777777" w:rsidR="00DB5AA9" w:rsidRPr="001D228D" w:rsidRDefault="00DB5AA9" w:rsidP="0035708B">
            <w:pPr>
              <w:contextualSpacing/>
              <w:rPr>
                <w:sz w:val="18"/>
                <w:szCs w:val="18"/>
              </w:rPr>
            </w:pPr>
            <w:r w:rsidRPr="001D228D">
              <w:rPr>
                <w:sz w:val="18"/>
                <w:szCs w:val="18"/>
              </w:rPr>
              <w:t>BIA, DXA, skinfolds, BodPod, etc.</w:t>
            </w:r>
          </w:p>
        </w:tc>
      </w:tr>
      <w:tr w:rsidR="00DB5AA9" w:rsidRPr="001D228D" w14:paraId="04D14A2D" w14:textId="77777777" w:rsidTr="0035708B">
        <w:trPr>
          <w:tblCellSpacing w:w="15" w:type="dxa"/>
        </w:trPr>
        <w:tc>
          <w:tcPr>
            <w:tcW w:w="1305" w:type="dxa"/>
            <w:vMerge/>
            <w:tcBorders>
              <w:bottom w:val="single" w:sz="4" w:space="0" w:color="auto"/>
            </w:tcBorders>
            <w:hideMark/>
          </w:tcPr>
          <w:p w14:paraId="7BDBCAFE"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3A077566" w14:textId="77777777" w:rsidR="00DB5AA9" w:rsidRPr="001D228D" w:rsidRDefault="00DB5AA9" w:rsidP="0035708B">
            <w:pPr>
              <w:contextualSpacing/>
              <w:rPr>
                <w:sz w:val="18"/>
                <w:szCs w:val="18"/>
              </w:rPr>
            </w:pPr>
            <w:r w:rsidRPr="001D228D">
              <w:rPr>
                <w:sz w:val="18"/>
                <w:szCs w:val="18"/>
              </w:rPr>
              <w:t>Ethnic background / nationality</w:t>
            </w:r>
          </w:p>
        </w:tc>
        <w:tc>
          <w:tcPr>
            <w:tcW w:w="566" w:type="dxa"/>
            <w:tcBorders>
              <w:bottom w:val="single" w:sz="4" w:space="0" w:color="auto"/>
            </w:tcBorders>
            <w:hideMark/>
          </w:tcPr>
          <w:p w14:paraId="4B2F9F19"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7CF76223" w14:textId="77777777" w:rsidR="00DB5AA9" w:rsidRPr="001D228D" w:rsidRDefault="00DB5AA9" w:rsidP="0035708B">
            <w:pPr>
              <w:contextualSpacing/>
              <w:rPr>
                <w:sz w:val="18"/>
                <w:szCs w:val="18"/>
              </w:rPr>
            </w:pPr>
            <w:r w:rsidRPr="001D228D">
              <w:rPr>
                <w:sz w:val="18"/>
                <w:szCs w:val="18"/>
              </w:rPr>
              <w:t>Categorical or free text; optional</w:t>
            </w:r>
          </w:p>
        </w:tc>
        <w:tc>
          <w:tcPr>
            <w:tcW w:w="3139" w:type="dxa"/>
            <w:tcBorders>
              <w:bottom w:val="single" w:sz="4" w:space="0" w:color="auto"/>
            </w:tcBorders>
            <w:hideMark/>
          </w:tcPr>
          <w:p w14:paraId="397CD3AC" w14:textId="77777777" w:rsidR="00DB5AA9" w:rsidRPr="001D228D" w:rsidRDefault="00DB5AA9" w:rsidP="0035708B">
            <w:pPr>
              <w:contextualSpacing/>
              <w:rPr>
                <w:sz w:val="18"/>
                <w:szCs w:val="18"/>
              </w:rPr>
            </w:pPr>
            <w:r w:rsidRPr="001D228D">
              <w:rPr>
                <w:sz w:val="18"/>
                <w:szCs w:val="18"/>
              </w:rPr>
              <w:t>– (decide based on ethics &amp; purpose)</w:t>
            </w:r>
          </w:p>
        </w:tc>
      </w:tr>
      <w:tr w:rsidR="00DB5AA9" w:rsidRPr="001D228D" w14:paraId="28B6456D" w14:textId="77777777" w:rsidTr="0035708B">
        <w:trPr>
          <w:tblCellSpacing w:w="15" w:type="dxa"/>
        </w:trPr>
        <w:tc>
          <w:tcPr>
            <w:tcW w:w="1305" w:type="dxa"/>
            <w:vMerge w:val="restart"/>
            <w:hideMark/>
          </w:tcPr>
          <w:p w14:paraId="6C1747E8" w14:textId="77777777" w:rsidR="00DB5AA9" w:rsidRPr="001D228D" w:rsidRDefault="00DB5AA9" w:rsidP="0035708B">
            <w:pPr>
              <w:contextualSpacing/>
              <w:rPr>
                <w:sz w:val="18"/>
                <w:szCs w:val="18"/>
              </w:rPr>
            </w:pPr>
            <w:r w:rsidRPr="001D228D">
              <w:rPr>
                <w:sz w:val="18"/>
                <w:szCs w:val="18"/>
              </w:rPr>
              <w:t>Thermal history &amp; occupation</w:t>
            </w:r>
          </w:p>
        </w:tc>
        <w:tc>
          <w:tcPr>
            <w:tcW w:w="1500" w:type="dxa"/>
            <w:hideMark/>
          </w:tcPr>
          <w:p w14:paraId="542E8BE3" w14:textId="77777777" w:rsidR="00DB5AA9" w:rsidRPr="001D228D" w:rsidRDefault="00DB5AA9" w:rsidP="0035708B">
            <w:pPr>
              <w:contextualSpacing/>
              <w:rPr>
                <w:sz w:val="18"/>
                <w:szCs w:val="18"/>
              </w:rPr>
            </w:pPr>
            <w:r w:rsidRPr="001D228D">
              <w:rPr>
                <w:sz w:val="18"/>
                <w:szCs w:val="18"/>
              </w:rPr>
              <w:t>Thermal history / acclimation background</w:t>
            </w:r>
          </w:p>
        </w:tc>
        <w:tc>
          <w:tcPr>
            <w:tcW w:w="566" w:type="dxa"/>
            <w:hideMark/>
          </w:tcPr>
          <w:p w14:paraId="18B96001"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AA4C65B" w14:textId="77777777" w:rsidR="00DB5AA9" w:rsidRPr="001D228D" w:rsidRDefault="00DB5AA9" w:rsidP="0035708B">
            <w:pPr>
              <w:contextualSpacing/>
              <w:rPr>
                <w:sz w:val="18"/>
                <w:szCs w:val="18"/>
              </w:rPr>
            </w:pPr>
            <w:r w:rsidRPr="001D228D">
              <w:rPr>
                <w:sz w:val="18"/>
                <w:szCs w:val="18"/>
              </w:rPr>
              <w:t>Free text or categories (e.g. “&gt;5 y in hot climate”, “recently relocated from cold climate”)</w:t>
            </w:r>
          </w:p>
        </w:tc>
        <w:tc>
          <w:tcPr>
            <w:tcW w:w="3139" w:type="dxa"/>
            <w:hideMark/>
          </w:tcPr>
          <w:p w14:paraId="3E5A492E" w14:textId="77777777" w:rsidR="00DB5AA9" w:rsidRPr="001D228D" w:rsidRDefault="00DB5AA9" w:rsidP="0035708B">
            <w:pPr>
              <w:contextualSpacing/>
              <w:rPr>
                <w:sz w:val="18"/>
                <w:szCs w:val="18"/>
              </w:rPr>
            </w:pPr>
            <w:r w:rsidRPr="001D228D">
              <w:rPr>
                <w:sz w:val="18"/>
                <w:szCs w:val="18"/>
              </w:rPr>
              <w:t>– (short structured items)</w:t>
            </w:r>
          </w:p>
        </w:tc>
      </w:tr>
      <w:tr w:rsidR="00DB5AA9" w:rsidRPr="001D228D" w14:paraId="3C629548" w14:textId="77777777" w:rsidTr="0035708B">
        <w:trPr>
          <w:tblCellSpacing w:w="15" w:type="dxa"/>
        </w:trPr>
        <w:tc>
          <w:tcPr>
            <w:tcW w:w="1305" w:type="dxa"/>
            <w:vMerge/>
            <w:hideMark/>
          </w:tcPr>
          <w:p w14:paraId="739226A9" w14:textId="77777777" w:rsidR="00DB5AA9" w:rsidRPr="001D228D" w:rsidRDefault="00DB5AA9" w:rsidP="0035708B">
            <w:pPr>
              <w:contextualSpacing/>
              <w:rPr>
                <w:sz w:val="18"/>
                <w:szCs w:val="18"/>
              </w:rPr>
            </w:pPr>
          </w:p>
        </w:tc>
        <w:tc>
          <w:tcPr>
            <w:tcW w:w="1500" w:type="dxa"/>
            <w:hideMark/>
          </w:tcPr>
          <w:p w14:paraId="48E206D9" w14:textId="77777777" w:rsidR="00DB5AA9" w:rsidRPr="001D228D" w:rsidRDefault="00DB5AA9" w:rsidP="0035708B">
            <w:pPr>
              <w:contextualSpacing/>
              <w:rPr>
                <w:sz w:val="18"/>
                <w:szCs w:val="18"/>
              </w:rPr>
            </w:pPr>
            <w:r w:rsidRPr="001D228D">
              <w:rPr>
                <w:sz w:val="18"/>
                <w:szCs w:val="18"/>
              </w:rPr>
              <w:t>Occupation / profession</w:t>
            </w:r>
          </w:p>
        </w:tc>
        <w:tc>
          <w:tcPr>
            <w:tcW w:w="566" w:type="dxa"/>
            <w:hideMark/>
          </w:tcPr>
          <w:p w14:paraId="222D8A93"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4829F7C7" w14:textId="77777777" w:rsidR="00DB5AA9" w:rsidRPr="001D228D" w:rsidRDefault="00DB5AA9" w:rsidP="0035708B">
            <w:pPr>
              <w:contextualSpacing/>
              <w:rPr>
                <w:sz w:val="18"/>
                <w:szCs w:val="18"/>
              </w:rPr>
            </w:pPr>
            <w:r w:rsidRPr="001D228D">
              <w:rPr>
                <w:sz w:val="18"/>
                <w:szCs w:val="18"/>
              </w:rPr>
              <w:t>Categorical / free text (e.g. student, office worker, outdoor labour)</w:t>
            </w:r>
          </w:p>
        </w:tc>
        <w:tc>
          <w:tcPr>
            <w:tcW w:w="3139" w:type="dxa"/>
            <w:hideMark/>
          </w:tcPr>
          <w:p w14:paraId="0D1366FC" w14:textId="77777777" w:rsidR="00DB5AA9" w:rsidRPr="001D228D" w:rsidRDefault="00DB5AA9" w:rsidP="0035708B">
            <w:pPr>
              <w:contextualSpacing/>
              <w:rPr>
                <w:sz w:val="18"/>
                <w:szCs w:val="18"/>
              </w:rPr>
            </w:pPr>
            <w:r w:rsidRPr="001D228D">
              <w:rPr>
                <w:sz w:val="18"/>
                <w:szCs w:val="18"/>
              </w:rPr>
              <w:t>–</w:t>
            </w:r>
            <w:r>
              <w:rPr>
                <w:sz w:val="18"/>
                <w:szCs w:val="18"/>
              </w:rPr>
              <w:t xml:space="preserve"> </w:t>
            </w:r>
            <w:r w:rsidRPr="001D228D">
              <w:rPr>
                <w:sz w:val="18"/>
                <w:szCs w:val="18"/>
              </w:rPr>
              <w:t>(decide based on ethics &amp; purpose)</w:t>
            </w:r>
          </w:p>
        </w:tc>
      </w:tr>
      <w:tr w:rsidR="00DB5AA9" w:rsidRPr="001D228D" w14:paraId="563BC759" w14:textId="77777777" w:rsidTr="0035708B">
        <w:trPr>
          <w:tblCellSpacing w:w="15" w:type="dxa"/>
        </w:trPr>
        <w:tc>
          <w:tcPr>
            <w:tcW w:w="1305" w:type="dxa"/>
            <w:vMerge/>
            <w:tcBorders>
              <w:bottom w:val="single" w:sz="4" w:space="0" w:color="auto"/>
            </w:tcBorders>
            <w:hideMark/>
          </w:tcPr>
          <w:p w14:paraId="2D05CCCA"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28E2EDC" w14:textId="77777777" w:rsidR="00DB5AA9" w:rsidRPr="001D228D" w:rsidRDefault="00DB5AA9" w:rsidP="0035708B">
            <w:pPr>
              <w:contextualSpacing/>
              <w:rPr>
                <w:sz w:val="18"/>
                <w:szCs w:val="18"/>
              </w:rPr>
            </w:pPr>
            <w:r w:rsidRPr="001D228D">
              <w:rPr>
                <w:sz w:val="18"/>
                <w:szCs w:val="18"/>
              </w:rPr>
              <w:t>Education level</w:t>
            </w:r>
          </w:p>
        </w:tc>
        <w:tc>
          <w:tcPr>
            <w:tcW w:w="566" w:type="dxa"/>
            <w:tcBorders>
              <w:bottom w:val="single" w:sz="4" w:space="0" w:color="auto"/>
            </w:tcBorders>
            <w:hideMark/>
          </w:tcPr>
          <w:p w14:paraId="33A880B8"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625EE1AB" w14:textId="77777777" w:rsidR="00DB5AA9" w:rsidRPr="001D228D" w:rsidRDefault="00DB5AA9" w:rsidP="0035708B">
            <w:pPr>
              <w:contextualSpacing/>
              <w:rPr>
                <w:sz w:val="18"/>
                <w:szCs w:val="18"/>
              </w:rPr>
            </w:pPr>
            <w:r w:rsidRPr="001D228D">
              <w:rPr>
                <w:sz w:val="18"/>
                <w:szCs w:val="18"/>
              </w:rPr>
              <w:t>Categorical (e.g. secondary / bachelor / master / PhD)</w:t>
            </w:r>
          </w:p>
        </w:tc>
        <w:tc>
          <w:tcPr>
            <w:tcW w:w="3139" w:type="dxa"/>
            <w:tcBorders>
              <w:bottom w:val="single" w:sz="4" w:space="0" w:color="auto"/>
            </w:tcBorders>
            <w:hideMark/>
          </w:tcPr>
          <w:p w14:paraId="6D043A41" w14:textId="77777777" w:rsidR="00DB5AA9" w:rsidRPr="001D228D" w:rsidRDefault="00DB5AA9" w:rsidP="0035708B">
            <w:pPr>
              <w:contextualSpacing/>
              <w:rPr>
                <w:sz w:val="18"/>
                <w:szCs w:val="18"/>
              </w:rPr>
            </w:pPr>
            <w:r w:rsidRPr="001D228D">
              <w:rPr>
                <w:sz w:val="18"/>
                <w:szCs w:val="18"/>
              </w:rPr>
              <w:t>–</w:t>
            </w:r>
            <w:r>
              <w:rPr>
                <w:sz w:val="18"/>
                <w:szCs w:val="18"/>
              </w:rPr>
              <w:t xml:space="preserve"> </w:t>
            </w:r>
            <w:r w:rsidRPr="001D228D">
              <w:rPr>
                <w:sz w:val="18"/>
                <w:szCs w:val="18"/>
              </w:rPr>
              <w:t>(decide based on ethics &amp; purpose)</w:t>
            </w:r>
          </w:p>
        </w:tc>
      </w:tr>
      <w:tr w:rsidR="00DB5AA9" w:rsidRPr="001D228D" w14:paraId="70BCD803" w14:textId="77777777" w:rsidTr="0035708B">
        <w:trPr>
          <w:tblCellSpacing w:w="15" w:type="dxa"/>
        </w:trPr>
        <w:tc>
          <w:tcPr>
            <w:tcW w:w="1305" w:type="dxa"/>
            <w:vMerge w:val="restart"/>
            <w:hideMark/>
          </w:tcPr>
          <w:p w14:paraId="4E5B855C" w14:textId="77777777" w:rsidR="00DB5AA9" w:rsidRPr="001D228D" w:rsidRDefault="00DB5AA9" w:rsidP="0035708B">
            <w:pPr>
              <w:contextualSpacing/>
              <w:rPr>
                <w:sz w:val="18"/>
                <w:szCs w:val="18"/>
              </w:rPr>
            </w:pPr>
            <w:r w:rsidRPr="001D228D">
              <w:rPr>
                <w:sz w:val="18"/>
                <w:szCs w:val="18"/>
              </w:rPr>
              <w:t>Lifestyle &amp; exposure</w:t>
            </w:r>
          </w:p>
        </w:tc>
        <w:tc>
          <w:tcPr>
            <w:tcW w:w="1500" w:type="dxa"/>
            <w:hideMark/>
          </w:tcPr>
          <w:p w14:paraId="28180712" w14:textId="77777777" w:rsidR="00DB5AA9" w:rsidRPr="001D228D" w:rsidRDefault="00DB5AA9" w:rsidP="0035708B">
            <w:pPr>
              <w:contextualSpacing/>
              <w:rPr>
                <w:sz w:val="18"/>
                <w:szCs w:val="18"/>
              </w:rPr>
            </w:pPr>
            <w:r w:rsidRPr="001D228D">
              <w:rPr>
                <w:sz w:val="18"/>
                <w:szCs w:val="18"/>
              </w:rPr>
              <w:t>Smoking status</w:t>
            </w:r>
          </w:p>
        </w:tc>
        <w:tc>
          <w:tcPr>
            <w:tcW w:w="566" w:type="dxa"/>
            <w:hideMark/>
          </w:tcPr>
          <w:p w14:paraId="3CD3FF8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BFF9F0A" w14:textId="77777777" w:rsidR="00DB5AA9" w:rsidRPr="001D228D" w:rsidRDefault="00DB5AA9" w:rsidP="0035708B">
            <w:pPr>
              <w:contextualSpacing/>
              <w:rPr>
                <w:sz w:val="18"/>
                <w:szCs w:val="18"/>
              </w:rPr>
            </w:pPr>
            <w:r w:rsidRPr="001D228D">
              <w:rPr>
                <w:sz w:val="18"/>
                <w:szCs w:val="18"/>
              </w:rPr>
              <w:t>Never / former / current; pack-years if known</w:t>
            </w:r>
          </w:p>
        </w:tc>
        <w:tc>
          <w:tcPr>
            <w:tcW w:w="3139" w:type="dxa"/>
            <w:hideMark/>
          </w:tcPr>
          <w:p w14:paraId="0884FBCF" w14:textId="77777777" w:rsidR="00DB5AA9" w:rsidRPr="001D228D" w:rsidRDefault="00DB5AA9" w:rsidP="0035708B">
            <w:pPr>
              <w:contextualSpacing/>
              <w:rPr>
                <w:sz w:val="18"/>
                <w:szCs w:val="18"/>
              </w:rPr>
            </w:pPr>
            <w:r>
              <w:rPr>
                <w:sz w:val="18"/>
                <w:szCs w:val="18"/>
              </w:rPr>
              <w:t>Can be t</w:t>
            </w:r>
            <w:r w:rsidRPr="001D228D">
              <w:rPr>
                <w:sz w:val="18"/>
                <w:szCs w:val="18"/>
              </w:rPr>
              <w:t>aken from PAR-Q+ or simple lab form</w:t>
            </w:r>
          </w:p>
        </w:tc>
      </w:tr>
      <w:tr w:rsidR="00DB5AA9" w:rsidRPr="001D228D" w14:paraId="6E160F19" w14:textId="77777777" w:rsidTr="0035708B">
        <w:trPr>
          <w:tblCellSpacing w:w="15" w:type="dxa"/>
        </w:trPr>
        <w:tc>
          <w:tcPr>
            <w:tcW w:w="1305" w:type="dxa"/>
            <w:vMerge/>
            <w:hideMark/>
          </w:tcPr>
          <w:p w14:paraId="17B7E48D" w14:textId="77777777" w:rsidR="00DB5AA9" w:rsidRPr="001D228D" w:rsidRDefault="00DB5AA9" w:rsidP="0035708B">
            <w:pPr>
              <w:contextualSpacing/>
              <w:rPr>
                <w:sz w:val="18"/>
                <w:szCs w:val="18"/>
              </w:rPr>
            </w:pPr>
          </w:p>
        </w:tc>
        <w:tc>
          <w:tcPr>
            <w:tcW w:w="1500" w:type="dxa"/>
            <w:hideMark/>
          </w:tcPr>
          <w:p w14:paraId="04C7B9A3" w14:textId="77777777" w:rsidR="00DB5AA9" w:rsidRPr="001D228D" w:rsidRDefault="00DB5AA9" w:rsidP="0035708B">
            <w:pPr>
              <w:contextualSpacing/>
              <w:rPr>
                <w:sz w:val="18"/>
                <w:szCs w:val="18"/>
              </w:rPr>
            </w:pPr>
            <w:r w:rsidRPr="001D228D">
              <w:rPr>
                <w:sz w:val="18"/>
                <w:szCs w:val="18"/>
              </w:rPr>
              <w:t>Alcohol use (habitual)</w:t>
            </w:r>
          </w:p>
        </w:tc>
        <w:tc>
          <w:tcPr>
            <w:tcW w:w="566" w:type="dxa"/>
            <w:hideMark/>
          </w:tcPr>
          <w:p w14:paraId="7D294F78"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4DAA3B5" w14:textId="77777777" w:rsidR="00DB5AA9" w:rsidRPr="001D228D" w:rsidRDefault="00DB5AA9" w:rsidP="0035708B">
            <w:pPr>
              <w:contextualSpacing/>
              <w:rPr>
                <w:sz w:val="18"/>
                <w:szCs w:val="18"/>
              </w:rPr>
            </w:pPr>
            <w:r w:rsidRPr="001D228D">
              <w:rPr>
                <w:sz w:val="18"/>
                <w:szCs w:val="18"/>
              </w:rPr>
              <w:t>Units per week or categories (none / occasional / regular)</w:t>
            </w:r>
          </w:p>
        </w:tc>
        <w:tc>
          <w:tcPr>
            <w:tcW w:w="3139" w:type="dxa"/>
            <w:hideMark/>
          </w:tcPr>
          <w:p w14:paraId="42C72CFF" w14:textId="4D4FB644" w:rsidR="00DB5AA9" w:rsidRPr="001D228D" w:rsidRDefault="00DB5AA9" w:rsidP="0035708B">
            <w:pPr>
              <w:contextualSpacing/>
              <w:rPr>
                <w:sz w:val="18"/>
                <w:szCs w:val="18"/>
              </w:rPr>
            </w:pPr>
            <w:r w:rsidRPr="001D228D">
              <w:rPr>
                <w:sz w:val="18"/>
                <w:szCs w:val="18"/>
              </w:rPr>
              <w:t xml:space="preserve">AUDIT-C </w:t>
            </w:r>
            <w:sdt>
              <w:sdtPr>
                <w:rPr>
                  <w:color w:val="000000"/>
                  <w:szCs w:val="18"/>
                </w:rPr>
                <w:tag w:val="MENDELEY_CITATION_v3_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"/>
                <w:id w:val="816609666"/>
                <w:placeholder>
                  <w:docPart w:val="B700A94C13C9464BA82929F49DFA3C29"/>
                </w:placeholder>
              </w:sdtPr>
              <w:sdtEndPr>
                <w:rPr>
                  <w:szCs w:val="20"/>
                </w:rPr>
              </w:sdtEndPr>
              <w:sdtContent>
                <w:r w:rsidR="00B43409" w:rsidRPr="00B43409">
                  <w:rPr>
                    <w:color w:val="000000"/>
                  </w:rPr>
                  <w:t>[528]</w:t>
                </w:r>
              </w:sdtContent>
            </w:sdt>
            <w:r w:rsidRPr="001D228D">
              <w:rPr>
                <w:sz w:val="18"/>
                <w:szCs w:val="18"/>
              </w:rPr>
              <w:t xml:space="preserve"> or simple frequency question</w:t>
            </w:r>
          </w:p>
        </w:tc>
      </w:tr>
      <w:tr w:rsidR="00DB5AA9" w:rsidRPr="001D228D" w14:paraId="63F67D15" w14:textId="77777777" w:rsidTr="0035708B">
        <w:trPr>
          <w:tblCellSpacing w:w="15" w:type="dxa"/>
        </w:trPr>
        <w:tc>
          <w:tcPr>
            <w:tcW w:w="1305" w:type="dxa"/>
            <w:vMerge/>
            <w:hideMark/>
          </w:tcPr>
          <w:p w14:paraId="5F4E1177" w14:textId="77777777" w:rsidR="00DB5AA9" w:rsidRPr="001D228D" w:rsidRDefault="00DB5AA9" w:rsidP="0035708B">
            <w:pPr>
              <w:contextualSpacing/>
              <w:rPr>
                <w:sz w:val="18"/>
                <w:szCs w:val="18"/>
              </w:rPr>
            </w:pPr>
          </w:p>
        </w:tc>
        <w:tc>
          <w:tcPr>
            <w:tcW w:w="1500" w:type="dxa"/>
            <w:hideMark/>
          </w:tcPr>
          <w:p w14:paraId="5100E4E9" w14:textId="77777777" w:rsidR="00DB5AA9" w:rsidRPr="001D228D" w:rsidRDefault="00DB5AA9" w:rsidP="0035708B">
            <w:pPr>
              <w:contextualSpacing/>
              <w:rPr>
                <w:sz w:val="18"/>
                <w:szCs w:val="18"/>
              </w:rPr>
            </w:pPr>
            <w:r w:rsidRPr="001D228D">
              <w:rPr>
                <w:sz w:val="18"/>
                <w:szCs w:val="18"/>
              </w:rPr>
              <w:t>Regular caffeine intake</w:t>
            </w:r>
          </w:p>
        </w:tc>
        <w:tc>
          <w:tcPr>
            <w:tcW w:w="566" w:type="dxa"/>
            <w:hideMark/>
          </w:tcPr>
          <w:p w14:paraId="2A5AA0F4"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71DD701A" w14:textId="77777777" w:rsidR="00DB5AA9" w:rsidRPr="001D228D" w:rsidRDefault="00DB5AA9" w:rsidP="0035708B">
            <w:pPr>
              <w:contextualSpacing/>
              <w:rPr>
                <w:sz w:val="18"/>
                <w:szCs w:val="18"/>
              </w:rPr>
            </w:pPr>
            <w:r w:rsidRPr="001D228D">
              <w:rPr>
                <w:sz w:val="18"/>
                <w:szCs w:val="18"/>
              </w:rPr>
              <w:t>Cups per day or categories (low / moderate / high)</w:t>
            </w:r>
          </w:p>
        </w:tc>
        <w:tc>
          <w:tcPr>
            <w:tcW w:w="3139" w:type="dxa"/>
            <w:hideMark/>
          </w:tcPr>
          <w:p w14:paraId="57228FE1" w14:textId="77777777" w:rsidR="00DB5AA9" w:rsidRPr="001D228D" w:rsidRDefault="00DB5AA9" w:rsidP="0035708B">
            <w:pPr>
              <w:contextualSpacing/>
              <w:rPr>
                <w:sz w:val="18"/>
                <w:szCs w:val="18"/>
              </w:rPr>
            </w:pPr>
            <w:r w:rsidRPr="001D228D">
              <w:rPr>
                <w:sz w:val="18"/>
                <w:szCs w:val="18"/>
              </w:rPr>
              <w:t>Simple frequency question</w:t>
            </w:r>
          </w:p>
        </w:tc>
      </w:tr>
      <w:tr w:rsidR="00DB5AA9" w:rsidRPr="001D228D" w14:paraId="280E4680" w14:textId="77777777" w:rsidTr="0035708B">
        <w:trPr>
          <w:tblCellSpacing w:w="15" w:type="dxa"/>
        </w:trPr>
        <w:tc>
          <w:tcPr>
            <w:tcW w:w="1305" w:type="dxa"/>
            <w:vMerge/>
            <w:tcBorders>
              <w:bottom w:val="single" w:sz="4" w:space="0" w:color="auto"/>
            </w:tcBorders>
            <w:hideMark/>
          </w:tcPr>
          <w:p w14:paraId="02298060"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D2E8C04" w14:textId="77777777" w:rsidR="00DB5AA9" w:rsidRPr="001D228D" w:rsidRDefault="00DB5AA9" w:rsidP="0035708B">
            <w:pPr>
              <w:contextualSpacing/>
              <w:rPr>
                <w:sz w:val="18"/>
                <w:szCs w:val="18"/>
              </w:rPr>
            </w:pPr>
            <w:r w:rsidRPr="001D228D">
              <w:rPr>
                <w:sz w:val="18"/>
                <w:szCs w:val="18"/>
              </w:rPr>
              <w:t>Physical activity / fitness level (habitual)</w:t>
            </w:r>
          </w:p>
        </w:tc>
        <w:tc>
          <w:tcPr>
            <w:tcW w:w="566" w:type="dxa"/>
            <w:tcBorders>
              <w:bottom w:val="single" w:sz="4" w:space="0" w:color="auto"/>
            </w:tcBorders>
            <w:hideMark/>
          </w:tcPr>
          <w:p w14:paraId="4DBE1E37" w14:textId="77777777" w:rsidR="00DB5AA9" w:rsidRPr="001D228D" w:rsidRDefault="00DB5AA9" w:rsidP="0035708B">
            <w:pPr>
              <w:contextualSpacing/>
              <w:rPr>
                <w:sz w:val="18"/>
                <w:szCs w:val="18"/>
              </w:rPr>
            </w:pPr>
            <w:r w:rsidRPr="001D228D">
              <w:rPr>
                <w:sz w:val="18"/>
                <w:szCs w:val="18"/>
              </w:rPr>
              <w:t>1–2</w:t>
            </w:r>
          </w:p>
        </w:tc>
        <w:tc>
          <w:tcPr>
            <w:tcW w:w="2670" w:type="dxa"/>
            <w:tcBorders>
              <w:bottom w:val="single" w:sz="4" w:space="0" w:color="auto"/>
            </w:tcBorders>
            <w:hideMark/>
          </w:tcPr>
          <w:p w14:paraId="119A0DA0" w14:textId="77777777" w:rsidR="00DB5AA9" w:rsidRPr="001D228D" w:rsidRDefault="00DB5AA9" w:rsidP="0035708B">
            <w:pPr>
              <w:contextualSpacing/>
              <w:rPr>
                <w:sz w:val="18"/>
                <w:szCs w:val="18"/>
              </w:rPr>
            </w:pPr>
            <w:r w:rsidRPr="001D228D">
              <w:rPr>
                <w:sz w:val="18"/>
                <w:szCs w:val="18"/>
              </w:rPr>
              <w:t>MET-min/week + category (low / moderate / high)</w:t>
            </w:r>
          </w:p>
        </w:tc>
        <w:tc>
          <w:tcPr>
            <w:tcW w:w="3139" w:type="dxa"/>
            <w:tcBorders>
              <w:bottom w:val="single" w:sz="4" w:space="0" w:color="auto"/>
            </w:tcBorders>
            <w:hideMark/>
          </w:tcPr>
          <w:p w14:paraId="5E095BA9" w14:textId="668D341C" w:rsidR="00DB5AA9" w:rsidRPr="001D228D" w:rsidRDefault="00DB5AA9" w:rsidP="0035708B">
            <w:pPr>
              <w:contextualSpacing/>
              <w:rPr>
                <w:sz w:val="18"/>
                <w:szCs w:val="18"/>
              </w:rPr>
            </w:pPr>
            <w:r w:rsidRPr="001D228D">
              <w:rPr>
                <w:sz w:val="18"/>
                <w:szCs w:val="18"/>
              </w:rPr>
              <w:t xml:space="preserve">IPAQ-SF, IPAQ-LF </w:t>
            </w:r>
            <w:sdt>
              <w:sdtPr>
                <w:rPr>
                  <w:color w:val="000000"/>
                  <w:szCs w:val="18"/>
                </w:rPr>
                <w:tag w:val="MENDELEY_CITATION_v3_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"/>
                <w:id w:val="-551623473"/>
                <w:placeholder>
                  <w:docPart w:val="B700A94C13C9464BA82929F49DFA3C29"/>
                </w:placeholder>
              </w:sdtPr>
              <w:sdtEndPr>
                <w:rPr>
                  <w:szCs w:val="20"/>
                </w:rPr>
              </w:sdtEndPr>
              <w:sdtContent>
                <w:r w:rsidR="00B43409" w:rsidRPr="00B43409">
                  <w:rPr>
                    <w:color w:val="000000"/>
                  </w:rPr>
                  <w:t>[529]</w:t>
                </w:r>
              </w:sdtContent>
            </w:sdt>
            <w:r w:rsidRPr="001D228D">
              <w:rPr>
                <w:sz w:val="18"/>
                <w:szCs w:val="18"/>
              </w:rPr>
              <w:t xml:space="preserve">, or GPAQ (WHO) </w:t>
            </w:r>
            <w:sdt>
              <w:sdtPr>
                <w:rPr>
                  <w:color w:val="000000"/>
                  <w:szCs w:val="18"/>
                </w:rPr>
                <w:tag w:val="MENDELEY_CITATION_v3_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"/>
                <w:id w:val="12813850"/>
                <w:placeholder>
                  <w:docPart w:val="B700A94C13C9464BA82929F49DFA3C29"/>
                </w:placeholder>
              </w:sdtPr>
              <w:sdtEndPr>
                <w:rPr>
                  <w:szCs w:val="20"/>
                </w:rPr>
              </w:sdtEndPr>
              <w:sdtContent>
                <w:r w:rsidR="00B43409" w:rsidRPr="00B43409">
                  <w:rPr>
                    <w:color w:val="000000"/>
                  </w:rPr>
                  <w:t>[530]</w:t>
                </w:r>
              </w:sdtContent>
            </w:sdt>
          </w:p>
        </w:tc>
      </w:tr>
      <w:tr w:rsidR="00DB5AA9" w:rsidRPr="001D228D" w14:paraId="0DB7C908" w14:textId="77777777" w:rsidTr="0035708B">
        <w:trPr>
          <w:tblCellSpacing w:w="15" w:type="dxa"/>
        </w:trPr>
        <w:tc>
          <w:tcPr>
            <w:tcW w:w="1305" w:type="dxa"/>
            <w:vMerge w:val="restart"/>
            <w:hideMark/>
          </w:tcPr>
          <w:p w14:paraId="46B369C0" w14:textId="77777777" w:rsidR="00DB5AA9" w:rsidRPr="001D228D" w:rsidRDefault="00DB5AA9" w:rsidP="0035708B">
            <w:pPr>
              <w:contextualSpacing/>
              <w:rPr>
                <w:sz w:val="18"/>
                <w:szCs w:val="18"/>
              </w:rPr>
            </w:pPr>
            <w:r w:rsidRPr="001D228D">
              <w:rPr>
                <w:sz w:val="18"/>
                <w:szCs w:val="18"/>
              </w:rPr>
              <w:t>Health &amp; diagnoses</w:t>
            </w:r>
          </w:p>
        </w:tc>
        <w:tc>
          <w:tcPr>
            <w:tcW w:w="1500" w:type="dxa"/>
            <w:hideMark/>
          </w:tcPr>
          <w:p w14:paraId="6BECCF00" w14:textId="77777777" w:rsidR="00DB5AA9" w:rsidRPr="001D228D" w:rsidRDefault="00DB5AA9" w:rsidP="0035708B">
            <w:pPr>
              <w:contextualSpacing/>
              <w:rPr>
                <w:sz w:val="18"/>
                <w:szCs w:val="18"/>
              </w:rPr>
            </w:pPr>
            <w:r w:rsidRPr="001D228D">
              <w:rPr>
                <w:sz w:val="18"/>
                <w:szCs w:val="18"/>
              </w:rPr>
              <w:t>Overall health status</w:t>
            </w:r>
          </w:p>
        </w:tc>
        <w:tc>
          <w:tcPr>
            <w:tcW w:w="566" w:type="dxa"/>
            <w:hideMark/>
          </w:tcPr>
          <w:p w14:paraId="76CE348C"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FC2E14F" w14:textId="77777777" w:rsidR="00DB5AA9" w:rsidRPr="001D228D" w:rsidRDefault="00DB5AA9" w:rsidP="0035708B">
            <w:pPr>
              <w:contextualSpacing/>
              <w:rPr>
                <w:sz w:val="18"/>
                <w:szCs w:val="18"/>
              </w:rPr>
            </w:pPr>
            <w:r w:rsidRPr="001D228D">
              <w:rPr>
                <w:sz w:val="18"/>
                <w:szCs w:val="18"/>
              </w:rPr>
              <w:t>Healthy / controlled condition(s) / other + notes</w:t>
            </w:r>
          </w:p>
        </w:tc>
        <w:tc>
          <w:tcPr>
            <w:tcW w:w="3139" w:type="dxa"/>
            <w:hideMark/>
          </w:tcPr>
          <w:p w14:paraId="524A76AE" w14:textId="6ACF4D2B" w:rsidR="00DB5AA9" w:rsidRPr="001D228D" w:rsidRDefault="00DB5AA9" w:rsidP="0035708B">
            <w:pPr>
              <w:contextualSpacing/>
              <w:rPr>
                <w:sz w:val="18"/>
                <w:szCs w:val="18"/>
              </w:rPr>
            </w:pPr>
            <w:r w:rsidRPr="001D228D">
              <w:rPr>
                <w:sz w:val="18"/>
                <w:szCs w:val="18"/>
              </w:rPr>
              <w:t xml:space="preserve">Summary from screening; may combine PAR-Q+ </w:t>
            </w:r>
            <w:sdt>
              <w:sdtPr>
                <w:rPr>
                  <w:color w:val="000000"/>
                  <w:szCs w:val="18"/>
                </w:rPr>
                <w:tag w:val="MENDELEY_CITATION_v3_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"/>
                <w:id w:val="984436914"/>
                <w:placeholder>
                  <w:docPart w:val="B700A94C13C9464BA82929F49DFA3C29"/>
                </w:placeholder>
              </w:sdtPr>
              <w:sdtEndPr>
                <w:rPr>
                  <w:szCs w:val="20"/>
                </w:rPr>
              </w:sdtEndPr>
              <w:sdtContent>
                <w:r w:rsidR="00B43409" w:rsidRPr="00B43409">
                  <w:rPr>
                    <w:color w:val="000000"/>
                  </w:rPr>
                  <w:t>[531]</w:t>
                </w:r>
              </w:sdtContent>
            </w:sdt>
            <w:r w:rsidRPr="001D228D">
              <w:rPr>
                <w:sz w:val="18"/>
                <w:szCs w:val="18"/>
              </w:rPr>
              <w:t xml:space="preserve"> + brief medical history</w:t>
            </w:r>
          </w:p>
        </w:tc>
      </w:tr>
      <w:tr w:rsidR="00DB5AA9" w:rsidRPr="001D228D" w14:paraId="36512858" w14:textId="77777777" w:rsidTr="0035708B">
        <w:trPr>
          <w:tblCellSpacing w:w="15" w:type="dxa"/>
        </w:trPr>
        <w:tc>
          <w:tcPr>
            <w:tcW w:w="1305" w:type="dxa"/>
            <w:vMerge/>
            <w:hideMark/>
          </w:tcPr>
          <w:p w14:paraId="5EA7E6E2" w14:textId="77777777" w:rsidR="00DB5AA9" w:rsidRPr="001D228D" w:rsidRDefault="00DB5AA9" w:rsidP="0035708B">
            <w:pPr>
              <w:contextualSpacing/>
              <w:rPr>
                <w:sz w:val="18"/>
                <w:szCs w:val="18"/>
              </w:rPr>
            </w:pPr>
          </w:p>
        </w:tc>
        <w:tc>
          <w:tcPr>
            <w:tcW w:w="1500" w:type="dxa"/>
            <w:hideMark/>
          </w:tcPr>
          <w:p w14:paraId="6A516808" w14:textId="77777777" w:rsidR="00DB5AA9" w:rsidRPr="001D228D" w:rsidRDefault="00DB5AA9" w:rsidP="0035708B">
            <w:pPr>
              <w:contextualSpacing/>
              <w:rPr>
                <w:sz w:val="18"/>
                <w:szCs w:val="18"/>
              </w:rPr>
            </w:pPr>
            <w:r w:rsidRPr="001D228D">
              <w:rPr>
                <w:sz w:val="18"/>
                <w:szCs w:val="18"/>
              </w:rPr>
              <w:t>Cardiovascular diagnoses</w:t>
            </w:r>
          </w:p>
        </w:tc>
        <w:tc>
          <w:tcPr>
            <w:tcW w:w="566" w:type="dxa"/>
            <w:hideMark/>
          </w:tcPr>
          <w:p w14:paraId="5010E56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33C9859" w14:textId="77777777" w:rsidR="00DB5AA9" w:rsidRPr="001D228D" w:rsidRDefault="00DB5AA9" w:rsidP="0035708B">
            <w:pPr>
              <w:contextualSpacing/>
              <w:rPr>
                <w:sz w:val="18"/>
                <w:szCs w:val="18"/>
              </w:rPr>
            </w:pPr>
            <w:r w:rsidRPr="001D228D">
              <w:rPr>
                <w:sz w:val="18"/>
                <w:szCs w:val="18"/>
              </w:rPr>
              <w:t>Yes/No per condition (hypertension, arrhythmia, CAD, HF, etc.)</w:t>
            </w:r>
          </w:p>
        </w:tc>
        <w:tc>
          <w:tcPr>
            <w:tcW w:w="3139" w:type="dxa"/>
            <w:hideMark/>
          </w:tcPr>
          <w:p w14:paraId="36AD6D91" w14:textId="448872B9" w:rsidR="00DB5AA9" w:rsidRPr="001D228D" w:rsidRDefault="00DB5AA9" w:rsidP="0035708B">
            <w:pPr>
              <w:contextualSpacing/>
              <w:rPr>
                <w:sz w:val="18"/>
                <w:szCs w:val="18"/>
              </w:rPr>
            </w:pPr>
            <w:r w:rsidRPr="001D228D">
              <w:rPr>
                <w:sz w:val="18"/>
                <w:szCs w:val="18"/>
              </w:rPr>
              <w:t xml:space="preserve">PAR-Q+, Charlson comorbidity list </w:t>
            </w:r>
            <w:sdt>
              <w:sdtPr>
                <w:rPr>
                  <w:color w:val="000000"/>
                  <w:szCs w:val="18"/>
                </w:rPr>
                <w:tag w:val="MENDELEY_CITATION_v3_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"/>
                <w:id w:val="-1444224848"/>
                <w:placeholder>
                  <w:docPart w:val="B700A94C13C9464BA82929F49DFA3C29"/>
                </w:placeholder>
              </w:sdtPr>
              <w:sdtEndPr>
                <w:rPr>
                  <w:szCs w:val="20"/>
                </w:rPr>
              </w:sdtEndPr>
              <w:sdtContent>
                <w:r w:rsidR="00B43409" w:rsidRPr="00B43409">
                  <w:rPr>
                    <w:color w:val="000000"/>
                  </w:rPr>
                  <w:t>[532]</w:t>
                </w:r>
              </w:sdtContent>
            </w:sdt>
            <w:r w:rsidRPr="001D228D">
              <w:rPr>
                <w:sz w:val="18"/>
                <w:szCs w:val="18"/>
              </w:rPr>
              <w:t>, or tailored checklist</w:t>
            </w:r>
          </w:p>
        </w:tc>
      </w:tr>
      <w:tr w:rsidR="00DB5AA9" w:rsidRPr="001D228D" w14:paraId="17B7EF7B" w14:textId="77777777" w:rsidTr="0035708B">
        <w:trPr>
          <w:tblCellSpacing w:w="15" w:type="dxa"/>
        </w:trPr>
        <w:tc>
          <w:tcPr>
            <w:tcW w:w="1305" w:type="dxa"/>
            <w:vMerge/>
            <w:hideMark/>
          </w:tcPr>
          <w:p w14:paraId="62859B8C" w14:textId="77777777" w:rsidR="00DB5AA9" w:rsidRPr="001D228D" w:rsidRDefault="00DB5AA9" w:rsidP="0035708B">
            <w:pPr>
              <w:contextualSpacing/>
              <w:rPr>
                <w:sz w:val="18"/>
                <w:szCs w:val="18"/>
              </w:rPr>
            </w:pPr>
          </w:p>
        </w:tc>
        <w:tc>
          <w:tcPr>
            <w:tcW w:w="1500" w:type="dxa"/>
            <w:hideMark/>
          </w:tcPr>
          <w:p w14:paraId="3AAD330F" w14:textId="77777777" w:rsidR="00DB5AA9" w:rsidRPr="001D228D" w:rsidRDefault="00DB5AA9" w:rsidP="0035708B">
            <w:pPr>
              <w:contextualSpacing/>
              <w:rPr>
                <w:sz w:val="18"/>
                <w:szCs w:val="18"/>
              </w:rPr>
            </w:pPr>
            <w:r w:rsidRPr="001D228D">
              <w:rPr>
                <w:sz w:val="18"/>
                <w:szCs w:val="18"/>
              </w:rPr>
              <w:t>Endocrine / metabolic diagnoses</w:t>
            </w:r>
          </w:p>
        </w:tc>
        <w:tc>
          <w:tcPr>
            <w:tcW w:w="566" w:type="dxa"/>
            <w:hideMark/>
          </w:tcPr>
          <w:p w14:paraId="218CA13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B108701" w14:textId="77777777" w:rsidR="00DB5AA9" w:rsidRPr="001D228D" w:rsidRDefault="00DB5AA9" w:rsidP="0035708B">
            <w:pPr>
              <w:contextualSpacing/>
              <w:rPr>
                <w:sz w:val="18"/>
                <w:szCs w:val="18"/>
              </w:rPr>
            </w:pPr>
            <w:r w:rsidRPr="001D228D">
              <w:rPr>
                <w:sz w:val="18"/>
                <w:szCs w:val="18"/>
              </w:rPr>
              <w:t>Yes/No per condition (diabetes, thyroid disease, obesity, CKD, etc.)</w:t>
            </w:r>
          </w:p>
        </w:tc>
        <w:tc>
          <w:tcPr>
            <w:tcW w:w="3139" w:type="dxa"/>
            <w:hideMark/>
          </w:tcPr>
          <w:p w14:paraId="3417FFAA" w14:textId="77777777" w:rsidR="00DB5AA9" w:rsidRPr="001D228D" w:rsidRDefault="00DB5AA9" w:rsidP="0035708B">
            <w:pPr>
              <w:contextualSpacing/>
              <w:rPr>
                <w:sz w:val="18"/>
                <w:szCs w:val="18"/>
              </w:rPr>
            </w:pPr>
            <w:r w:rsidRPr="001D228D">
              <w:rPr>
                <w:sz w:val="18"/>
                <w:szCs w:val="18"/>
              </w:rPr>
              <w:t>PAR-Q+, Charlson-based checklist</w:t>
            </w:r>
          </w:p>
        </w:tc>
      </w:tr>
      <w:tr w:rsidR="00DB5AA9" w:rsidRPr="001D228D" w14:paraId="51F01E83" w14:textId="77777777" w:rsidTr="0035708B">
        <w:trPr>
          <w:tblCellSpacing w:w="15" w:type="dxa"/>
        </w:trPr>
        <w:tc>
          <w:tcPr>
            <w:tcW w:w="1305" w:type="dxa"/>
            <w:vMerge/>
            <w:hideMark/>
          </w:tcPr>
          <w:p w14:paraId="066B098B" w14:textId="77777777" w:rsidR="00DB5AA9" w:rsidRPr="001D228D" w:rsidRDefault="00DB5AA9" w:rsidP="0035708B">
            <w:pPr>
              <w:contextualSpacing/>
              <w:rPr>
                <w:sz w:val="18"/>
                <w:szCs w:val="18"/>
              </w:rPr>
            </w:pPr>
          </w:p>
        </w:tc>
        <w:tc>
          <w:tcPr>
            <w:tcW w:w="1500" w:type="dxa"/>
            <w:hideMark/>
          </w:tcPr>
          <w:p w14:paraId="5359D464" w14:textId="77777777" w:rsidR="00DB5AA9" w:rsidRPr="001D228D" w:rsidRDefault="00DB5AA9" w:rsidP="0035708B">
            <w:pPr>
              <w:contextualSpacing/>
              <w:rPr>
                <w:sz w:val="18"/>
                <w:szCs w:val="18"/>
              </w:rPr>
            </w:pPr>
            <w:r w:rsidRPr="001D228D">
              <w:rPr>
                <w:sz w:val="18"/>
                <w:szCs w:val="18"/>
              </w:rPr>
              <w:t>Neurological / autonomic disorders</w:t>
            </w:r>
          </w:p>
        </w:tc>
        <w:tc>
          <w:tcPr>
            <w:tcW w:w="566" w:type="dxa"/>
            <w:hideMark/>
          </w:tcPr>
          <w:p w14:paraId="3835D154"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3AC448F" w14:textId="77777777" w:rsidR="00DB5AA9" w:rsidRPr="001D228D" w:rsidRDefault="00DB5AA9" w:rsidP="0035708B">
            <w:pPr>
              <w:contextualSpacing/>
              <w:rPr>
                <w:sz w:val="18"/>
                <w:szCs w:val="18"/>
              </w:rPr>
            </w:pPr>
            <w:r w:rsidRPr="001D228D">
              <w:rPr>
                <w:sz w:val="18"/>
                <w:szCs w:val="18"/>
              </w:rPr>
              <w:t>Yes/No per condition (POTS, autonomic neuropathy, Parkinson’s, SCI, etc.)</w:t>
            </w:r>
          </w:p>
        </w:tc>
        <w:tc>
          <w:tcPr>
            <w:tcW w:w="3139" w:type="dxa"/>
            <w:hideMark/>
          </w:tcPr>
          <w:p w14:paraId="02CEC88B" w14:textId="77777777" w:rsidR="00DB5AA9" w:rsidRPr="001D228D" w:rsidRDefault="00DB5AA9" w:rsidP="0035708B">
            <w:pPr>
              <w:contextualSpacing/>
              <w:rPr>
                <w:sz w:val="18"/>
                <w:szCs w:val="18"/>
              </w:rPr>
            </w:pPr>
            <w:r w:rsidRPr="001D228D">
              <w:rPr>
                <w:sz w:val="18"/>
                <w:szCs w:val="18"/>
              </w:rPr>
              <w:t>Screening form referencing medical history</w:t>
            </w:r>
          </w:p>
        </w:tc>
      </w:tr>
      <w:tr w:rsidR="00DB5AA9" w:rsidRPr="001D228D" w14:paraId="189E69DC" w14:textId="77777777" w:rsidTr="0035708B">
        <w:trPr>
          <w:tblCellSpacing w:w="15" w:type="dxa"/>
        </w:trPr>
        <w:tc>
          <w:tcPr>
            <w:tcW w:w="1305" w:type="dxa"/>
            <w:vMerge/>
            <w:hideMark/>
          </w:tcPr>
          <w:p w14:paraId="03CF7345" w14:textId="77777777" w:rsidR="00DB5AA9" w:rsidRPr="001D228D" w:rsidRDefault="00DB5AA9" w:rsidP="0035708B">
            <w:pPr>
              <w:contextualSpacing/>
              <w:rPr>
                <w:sz w:val="18"/>
                <w:szCs w:val="18"/>
              </w:rPr>
            </w:pPr>
          </w:p>
        </w:tc>
        <w:tc>
          <w:tcPr>
            <w:tcW w:w="1500" w:type="dxa"/>
            <w:hideMark/>
          </w:tcPr>
          <w:p w14:paraId="4885C2DB" w14:textId="77777777" w:rsidR="00DB5AA9" w:rsidRPr="001D228D" w:rsidRDefault="00DB5AA9" w:rsidP="0035708B">
            <w:pPr>
              <w:contextualSpacing/>
              <w:rPr>
                <w:sz w:val="18"/>
                <w:szCs w:val="18"/>
              </w:rPr>
            </w:pPr>
            <w:r w:rsidRPr="001D228D">
              <w:rPr>
                <w:sz w:val="18"/>
                <w:szCs w:val="18"/>
              </w:rPr>
              <w:t>History of syncope / orthostatic intolerance</w:t>
            </w:r>
          </w:p>
        </w:tc>
        <w:tc>
          <w:tcPr>
            <w:tcW w:w="566" w:type="dxa"/>
            <w:hideMark/>
          </w:tcPr>
          <w:p w14:paraId="4E912C84"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32659F71" w14:textId="77777777" w:rsidR="00DB5AA9" w:rsidRPr="001D228D" w:rsidRDefault="00DB5AA9" w:rsidP="0035708B">
            <w:pPr>
              <w:contextualSpacing/>
              <w:rPr>
                <w:sz w:val="18"/>
                <w:szCs w:val="18"/>
              </w:rPr>
            </w:pPr>
            <w:r w:rsidRPr="001D228D">
              <w:rPr>
                <w:sz w:val="18"/>
                <w:szCs w:val="18"/>
              </w:rPr>
              <w:t>Yes/No + short description</w:t>
            </w:r>
          </w:p>
        </w:tc>
        <w:tc>
          <w:tcPr>
            <w:tcW w:w="3139" w:type="dxa"/>
            <w:hideMark/>
          </w:tcPr>
          <w:p w14:paraId="7FA28392" w14:textId="77777777" w:rsidR="00DB5AA9" w:rsidRPr="001D228D" w:rsidRDefault="00DB5AA9" w:rsidP="0035708B">
            <w:pPr>
              <w:contextualSpacing/>
              <w:rPr>
                <w:sz w:val="18"/>
                <w:szCs w:val="18"/>
              </w:rPr>
            </w:pPr>
            <w:r w:rsidRPr="001D228D">
              <w:rPr>
                <w:sz w:val="18"/>
                <w:szCs w:val="18"/>
              </w:rPr>
              <w:t>PAR-Q+ style yes/no item(s)</w:t>
            </w:r>
          </w:p>
        </w:tc>
      </w:tr>
      <w:tr w:rsidR="00DB5AA9" w:rsidRPr="001D228D" w14:paraId="2E0B4BA1" w14:textId="77777777" w:rsidTr="0035708B">
        <w:trPr>
          <w:tblCellSpacing w:w="15" w:type="dxa"/>
        </w:trPr>
        <w:tc>
          <w:tcPr>
            <w:tcW w:w="1305" w:type="dxa"/>
            <w:vMerge/>
            <w:hideMark/>
          </w:tcPr>
          <w:p w14:paraId="104FCD1B" w14:textId="77777777" w:rsidR="00DB5AA9" w:rsidRPr="001D228D" w:rsidRDefault="00DB5AA9" w:rsidP="0035708B">
            <w:pPr>
              <w:contextualSpacing/>
              <w:rPr>
                <w:sz w:val="18"/>
                <w:szCs w:val="18"/>
              </w:rPr>
            </w:pPr>
          </w:p>
        </w:tc>
        <w:tc>
          <w:tcPr>
            <w:tcW w:w="1500" w:type="dxa"/>
            <w:hideMark/>
          </w:tcPr>
          <w:p w14:paraId="607C306A" w14:textId="77777777" w:rsidR="00DB5AA9" w:rsidRPr="001D228D" w:rsidRDefault="00DB5AA9" w:rsidP="0035708B">
            <w:pPr>
              <w:contextualSpacing/>
              <w:rPr>
                <w:sz w:val="18"/>
                <w:szCs w:val="18"/>
              </w:rPr>
            </w:pPr>
            <w:r w:rsidRPr="001D228D">
              <w:rPr>
                <w:sz w:val="18"/>
                <w:szCs w:val="18"/>
              </w:rPr>
              <w:t>Diagnosed sleep disorder</w:t>
            </w:r>
          </w:p>
        </w:tc>
        <w:tc>
          <w:tcPr>
            <w:tcW w:w="566" w:type="dxa"/>
            <w:hideMark/>
          </w:tcPr>
          <w:p w14:paraId="175A47C6"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7D8034AB" w14:textId="77777777" w:rsidR="00DB5AA9" w:rsidRPr="001D228D" w:rsidRDefault="00DB5AA9" w:rsidP="0035708B">
            <w:pPr>
              <w:contextualSpacing/>
              <w:rPr>
                <w:sz w:val="18"/>
                <w:szCs w:val="18"/>
              </w:rPr>
            </w:pPr>
            <w:r w:rsidRPr="001D228D">
              <w:rPr>
                <w:sz w:val="18"/>
                <w:szCs w:val="18"/>
              </w:rPr>
              <w:t>None / OSA / insomnia / restless legs / other</w:t>
            </w:r>
          </w:p>
        </w:tc>
        <w:tc>
          <w:tcPr>
            <w:tcW w:w="3139" w:type="dxa"/>
            <w:hideMark/>
          </w:tcPr>
          <w:p w14:paraId="3A7177BC" w14:textId="77777777" w:rsidR="00DB5AA9" w:rsidRPr="001D228D" w:rsidRDefault="00DB5AA9" w:rsidP="0035708B">
            <w:pPr>
              <w:contextualSpacing/>
              <w:rPr>
                <w:sz w:val="18"/>
                <w:szCs w:val="18"/>
              </w:rPr>
            </w:pPr>
            <w:r w:rsidRPr="001D228D">
              <w:rPr>
                <w:sz w:val="18"/>
                <w:szCs w:val="18"/>
              </w:rPr>
              <w:t>PSQI/ISI + STOP-Bang / Berlin / Epworth, or clinical history</w:t>
            </w:r>
          </w:p>
        </w:tc>
      </w:tr>
      <w:tr w:rsidR="00DB5AA9" w:rsidRPr="001D228D" w14:paraId="18D1E6B9" w14:textId="77777777" w:rsidTr="0035708B">
        <w:trPr>
          <w:tblCellSpacing w:w="15" w:type="dxa"/>
        </w:trPr>
        <w:tc>
          <w:tcPr>
            <w:tcW w:w="1305" w:type="dxa"/>
            <w:vMerge/>
            <w:hideMark/>
          </w:tcPr>
          <w:p w14:paraId="02611B49" w14:textId="77777777" w:rsidR="00DB5AA9" w:rsidRPr="001D228D" w:rsidRDefault="00DB5AA9" w:rsidP="0035708B">
            <w:pPr>
              <w:contextualSpacing/>
              <w:rPr>
                <w:sz w:val="18"/>
                <w:szCs w:val="18"/>
              </w:rPr>
            </w:pPr>
          </w:p>
        </w:tc>
        <w:tc>
          <w:tcPr>
            <w:tcW w:w="1500" w:type="dxa"/>
            <w:hideMark/>
          </w:tcPr>
          <w:p w14:paraId="6260710C" w14:textId="77777777" w:rsidR="00DB5AA9" w:rsidRPr="001D228D" w:rsidRDefault="00DB5AA9" w:rsidP="0035708B">
            <w:pPr>
              <w:contextualSpacing/>
              <w:rPr>
                <w:sz w:val="18"/>
                <w:szCs w:val="18"/>
              </w:rPr>
            </w:pPr>
            <w:r w:rsidRPr="001D228D">
              <w:rPr>
                <w:sz w:val="18"/>
                <w:szCs w:val="18"/>
              </w:rPr>
              <w:t>Neurodivergent diagnosis</w:t>
            </w:r>
          </w:p>
        </w:tc>
        <w:tc>
          <w:tcPr>
            <w:tcW w:w="566" w:type="dxa"/>
            <w:hideMark/>
          </w:tcPr>
          <w:p w14:paraId="28DDB5AD"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5C8F6FEF" w14:textId="77777777" w:rsidR="00DB5AA9" w:rsidRPr="001D228D" w:rsidRDefault="00DB5AA9" w:rsidP="0035708B">
            <w:pPr>
              <w:contextualSpacing/>
              <w:rPr>
                <w:sz w:val="18"/>
                <w:szCs w:val="18"/>
              </w:rPr>
            </w:pPr>
            <w:r w:rsidRPr="001D228D">
              <w:rPr>
                <w:sz w:val="18"/>
                <w:szCs w:val="18"/>
              </w:rPr>
              <w:t>None / ASD / ADHD / other / prefer not to say</w:t>
            </w:r>
          </w:p>
        </w:tc>
        <w:tc>
          <w:tcPr>
            <w:tcW w:w="3139" w:type="dxa"/>
            <w:hideMark/>
          </w:tcPr>
          <w:p w14:paraId="05C6059C" w14:textId="77777777" w:rsidR="00DB5AA9" w:rsidRPr="001D228D" w:rsidRDefault="00DB5AA9" w:rsidP="0035708B">
            <w:pPr>
              <w:contextualSpacing/>
              <w:rPr>
                <w:sz w:val="18"/>
                <w:szCs w:val="18"/>
              </w:rPr>
            </w:pPr>
            <w:r w:rsidRPr="001D228D">
              <w:rPr>
                <w:sz w:val="18"/>
                <w:szCs w:val="18"/>
              </w:rPr>
              <w:t>Self-report; may link to ASD/ADHD screening tools if used</w:t>
            </w:r>
          </w:p>
        </w:tc>
      </w:tr>
      <w:tr w:rsidR="00DB5AA9" w:rsidRPr="001D228D" w14:paraId="0FF30C34" w14:textId="77777777" w:rsidTr="0035708B">
        <w:trPr>
          <w:tblCellSpacing w:w="15" w:type="dxa"/>
        </w:trPr>
        <w:tc>
          <w:tcPr>
            <w:tcW w:w="1305" w:type="dxa"/>
            <w:vMerge/>
            <w:tcBorders>
              <w:bottom w:val="single" w:sz="4" w:space="0" w:color="auto"/>
            </w:tcBorders>
            <w:hideMark/>
          </w:tcPr>
          <w:p w14:paraId="478D11C3"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9EF356B" w14:textId="77777777" w:rsidR="00DB5AA9" w:rsidRPr="001D228D" w:rsidRDefault="00DB5AA9" w:rsidP="0035708B">
            <w:pPr>
              <w:contextualSpacing/>
              <w:rPr>
                <w:sz w:val="18"/>
                <w:szCs w:val="18"/>
              </w:rPr>
            </w:pPr>
            <w:r w:rsidRPr="001D228D">
              <w:rPr>
                <w:sz w:val="18"/>
                <w:szCs w:val="18"/>
              </w:rPr>
              <w:t>Other diagnoses relevant to thermoregulation</w:t>
            </w:r>
          </w:p>
        </w:tc>
        <w:tc>
          <w:tcPr>
            <w:tcW w:w="566" w:type="dxa"/>
            <w:tcBorders>
              <w:bottom w:val="single" w:sz="4" w:space="0" w:color="auto"/>
            </w:tcBorders>
            <w:hideMark/>
          </w:tcPr>
          <w:p w14:paraId="38E0F99A"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29D45779" w14:textId="77777777" w:rsidR="00DB5AA9" w:rsidRPr="001D228D" w:rsidRDefault="00DB5AA9" w:rsidP="0035708B">
            <w:pPr>
              <w:contextualSpacing/>
              <w:rPr>
                <w:sz w:val="18"/>
                <w:szCs w:val="18"/>
              </w:rPr>
            </w:pPr>
            <w:r w:rsidRPr="001D228D">
              <w:rPr>
                <w:sz w:val="18"/>
                <w:szCs w:val="18"/>
              </w:rPr>
              <w:t>Free text + coded categories</w:t>
            </w:r>
          </w:p>
        </w:tc>
        <w:tc>
          <w:tcPr>
            <w:tcW w:w="3139" w:type="dxa"/>
            <w:tcBorders>
              <w:bottom w:val="single" w:sz="4" w:space="0" w:color="auto"/>
            </w:tcBorders>
            <w:hideMark/>
          </w:tcPr>
          <w:p w14:paraId="522C7E38" w14:textId="77777777" w:rsidR="00DB5AA9" w:rsidRPr="001D228D" w:rsidRDefault="00DB5AA9" w:rsidP="0035708B">
            <w:pPr>
              <w:contextualSpacing/>
              <w:rPr>
                <w:sz w:val="18"/>
                <w:szCs w:val="18"/>
              </w:rPr>
            </w:pPr>
            <w:r w:rsidRPr="001D228D">
              <w:rPr>
                <w:sz w:val="18"/>
                <w:szCs w:val="18"/>
              </w:rPr>
              <w:t>Examples: autoimmune disease, large burns/grafts, chronic infection, etc.</w:t>
            </w:r>
          </w:p>
        </w:tc>
      </w:tr>
      <w:tr w:rsidR="00DB5AA9" w:rsidRPr="001D228D" w14:paraId="400BF15D" w14:textId="77777777" w:rsidTr="0035708B">
        <w:trPr>
          <w:tblCellSpacing w:w="15" w:type="dxa"/>
        </w:trPr>
        <w:tc>
          <w:tcPr>
            <w:tcW w:w="1305" w:type="dxa"/>
            <w:vMerge w:val="restart"/>
            <w:hideMark/>
          </w:tcPr>
          <w:p w14:paraId="7A27E2E8" w14:textId="77777777" w:rsidR="00DB5AA9" w:rsidRPr="001D228D" w:rsidRDefault="00DB5AA9" w:rsidP="0035708B">
            <w:pPr>
              <w:contextualSpacing/>
              <w:rPr>
                <w:sz w:val="18"/>
                <w:szCs w:val="18"/>
              </w:rPr>
            </w:pPr>
            <w:r w:rsidRPr="001D228D">
              <w:rPr>
                <w:sz w:val="18"/>
                <w:szCs w:val="18"/>
              </w:rPr>
              <w:t>Medication</w:t>
            </w:r>
          </w:p>
        </w:tc>
        <w:tc>
          <w:tcPr>
            <w:tcW w:w="1500" w:type="dxa"/>
            <w:hideMark/>
          </w:tcPr>
          <w:p w14:paraId="6738CB13" w14:textId="77777777" w:rsidR="00DB5AA9" w:rsidRPr="001D228D" w:rsidRDefault="00DB5AA9" w:rsidP="0035708B">
            <w:pPr>
              <w:contextualSpacing/>
              <w:rPr>
                <w:sz w:val="18"/>
                <w:szCs w:val="18"/>
              </w:rPr>
            </w:pPr>
            <w:r w:rsidRPr="001D228D">
              <w:rPr>
                <w:sz w:val="18"/>
                <w:szCs w:val="18"/>
              </w:rPr>
              <w:t>Chronic medications (by class)</w:t>
            </w:r>
          </w:p>
        </w:tc>
        <w:tc>
          <w:tcPr>
            <w:tcW w:w="566" w:type="dxa"/>
            <w:hideMark/>
          </w:tcPr>
          <w:p w14:paraId="08D38E3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703A68D" w14:textId="77777777" w:rsidR="00DB5AA9" w:rsidRPr="001D228D" w:rsidRDefault="00DB5AA9" w:rsidP="0035708B">
            <w:pPr>
              <w:contextualSpacing/>
              <w:rPr>
                <w:sz w:val="18"/>
                <w:szCs w:val="18"/>
              </w:rPr>
            </w:pPr>
            <w:r w:rsidRPr="001D228D">
              <w:rPr>
                <w:sz w:val="18"/>
                <w:szCs w:val="18"/>
              </w:rPr>
              <w:t>Yes/No per class (β-blockers, antihypertensives, anticholinergics, SSRIs, stimulants, etc.)</w:t>
            </w:r>
          </w:p>
        </w:tc>
        <w:tc>
          <w:tcPr>
            <w:tcW w:w="3139" w:type="dxa"/>
            <w:hideMark/>
          </w:tcPr>
          <w:p w14:paraId="22194F82" w14:textId="77777777" w:rsidR="00DB5AA9" w:rsidRPr="001D228D" w:rsidRDefault="00DB5AA9" w:rsidP="0035708B">
            <w:pPr>
              <w:contextualSpacing/>
              <w:rPr>
                <w:sz w:val="18"/>
                <w:szCs w:val="18"/>
              </w:rPr>
            </w:pPr>
            <w:r w:rsidRPr="001D228D">
              <w:rPr>
                <w:sz w:val="18"/>
                <w:szCs w:val="18"/>
              </w:rPr>
              <w:t>Simple class checklist; optionally ATC codes</w:t>
            </w:r>
          </w:p>
        </w:tc>
      </w:tr>
      <w:tr w:rsidR="00DB5AA9" w:rsidRPr="001D228D" w14:paraId="42D3331B" w14:textId="77777777" w:rsidTr="0035708B">
        <w:trPr>
          <w:tblCellSpacing w:w="15" w:type="dxa"/>
        </w:trPr>
        <w:tc>
          <w:tcPr>
            <w:tcW w:w="1305" w:type="dxa"/>
            <w:vMerge/>
            <w:tcBorders>
              <w:bottom w:val="single" w:sz="4" w:space="0" w:color="auto"/>
            </w:tcBorders>
            <w:hideMark/>
          </w:tcPr>
          <w:p w14:paraId="25374D09"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5931A59" w14:textId="77777777" w:rsidR="00DB5AA9" w:rsidRPr="001D228D" w:rsidRDefault="00DB5AA9" w:rsidP="0035708B">
            <w:pPr>
              <w:contextualSpacing/>
              <w:rPr>
                <w:sz w:val="18"/>
                <w:szCs w:val="18"/>
              </w:rPr>
            </w:pPr>
            <w:r w:rsidRPr="001D228D">
              <w:rPr>
                <w:sz w:val="18"/>
                <w:szCs w:val="18"/>
              </w:rPr>
              <w:t>Thermally relevant medication notes</w:t>
            </w:r>
          </w:p>
        </w:tc>
        <w:tc>
          <w:tcPr>
            <w:tcW w:w="566" w:type="dxa"/>
            <w:tcBorders>
              <w:bottom w:val="single" w:sz="4" w:space="0" w:color="auto"/>
            </w:tcBorders>
            <w:hideMark/>
          </w:tcPr>
          <w:p w14:paraId="0766BE7F"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0BA6D2C6" w14:textId="77777777" w:rsidR="00DB5AA9" w:rsidRPr="001D228D" w:rsidRDefault="00DB5AA9" w:rsidP="0035708B">
            <w:pPr>
              <w:contextualSpacing/>
              <w:rPr>
                <w:sz w:val="18"/>
                <w:szCs w:val="18"/>
              </w:rPr>
            </w:pPr>
            <w:r w:rsidRPr="001D228D">
              <w:rPr>
                <w:sz w:val="18"/>
                <w:szCs w:val="18"/>
              </w:rPr>
              <w:t>Free text (drug names, dose, duration)</w:t>
            </w:r>
          </w:p>
        </w:tc>
        <w:tc>
          <w:tcPr>
            <w:tcW w:w="3139" w:type="dxa"/>
            <w:tcBorders>
              <w:bottom w:val="single" w:sz="4" w:space="0" w:color="auto"/>
            </w:tcBorders>
            <w:hideMark/>
          </w:tcPr>
          <w:p w14:paraId="19F0B818" w14:textId="77777777" w:rsidR="00DB5AA9" w:rsidRPr="001D228D" w:rsidRDefault="00DB5AA9" w:rsidP="0035708B">
            <w:pPr>
              <w:contextualSpacing/>
              <w:rPr>
                <w:sz w:val="18"/>
                <w:szCs w:val="18"/>
              </w:rPr>
            </w:pPr>
            <w:r w:rsidRPr="001D228D">
              <w:rPr>
                <w:sz w:val="18"/>
                <w:szCs w:val="18"/>
              </w:rPr>
              <w:t>– (structured notes)</w:t>
            </w:r>
          </w:p>
        </w:tc>
      </w:tr>
      <w:tr w:rsidR="00DB5AA9" w:rsidRPr="001D228D" w14:paraId="12F58FDE" w14:textId="77777777" w:rsidTr="0035708B">
        <w:trPr>
          <w:tblCellSpacing w:w="15" w:type="dxa"/>
        </w:trPr>
        <w:tc>
          <w:tcPr>
            <w:tcW w:w="1305" w:type="dxa"/>
            <w:vMerge w:val="restart"/>
            <w:hideMark/>
          </w:tcPr>
          <w:p w14:paraId="3B5C6A1A" w14:textId="77777777" w:rsidR="00DB5AA9" w:rsidRPr="001D228D" w:rsidRDefault="00DB5AA9" w:rsidP="0035708B">
            <w:pPr>
              <w:contextualSpacing/>
              <w:rPr>
                <w:sz w:val="18"/>
                <w:szCs w:val="18"/>
              </w:rPr>
            </w:pPr>
            <w:r w:rsidRPr="001D228D">
              <w:rPr>
                <w:sz w:val="18"/>
                <w:szCs w:val="18"/>
              </w:rPr>
              <w:t>Reproductive &amp; hormonal</w:t>
            </w:r>
          </w:p>
        </w:tc>
        <w:tc>
          <w:tcPr>
            <w:tcW w:w="1500" w:type="dxa"/>
            <w:hideMark/>
          </w:tcPr>
          <w:p w14:paraId="635F325F" w14:textId="77777777" w:rsidR="00DB5AA9" w:rsidRPr="001D228D" w:rsidRDefault="00DB5AA9" w:rsidP="0035708B">
            <w:pPr>
              <w:contextualSpacing/>
              <w:rPr>
                <w:sz w:val="18"/>
                <w:szCs w:val="18"/>
              </w:rPr>
            </w:pPr>
            <w:r w:rsidRPr="001D228D">
              <w:rPr>
                <w:sz w:val="18"/>
                <w:szCs w:val="18"/>
              </w:rPr>
              <w:t>Menstrual / reproductive status</w:t>
            </w:r>
          </w:p>
        </w:tc>
        <w:tc>
          <w:tcPr>
            <w:tcW w:w="566" w:type="dxa"/>
            <w:hideMark/>
          </w:tcPr>
          <w:p w14:paraId="561C58E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88C63F3" w14:textId="77777777" w:rsidR="00DB5AA9" w:rsidRPr="001D228D" w:rsidRDefault="00DB5AA9" w:rsidP="0035708B">
            <w:pPr>
              <w:contextualSpacing/>
              <w:rPr>
                <w:sz w:val="18"/>
                <w:szCs w:val="18"/>
              </w:rPr>
            </w:pPr>
            <w:r w:rsidRPr="001D228D">
              <w:rPr>
                <w:sz w:val="18"/>
                <w:szCs w:val="18"/>
              </w:rPr>
              <w:t>Eumenorrheic / perimenopausal / postmenopausal / amenorrheic / pregnant / lactating</w:t>
            </w:r>
          </w:p>
        </w:tc>
        <w:tc>
          <w:tcPr>
            <w:tcW w:w="3139" w:type="dxa"/>
            <w:hideMark/>
          </w:tcPr>
          <w:p w14:paraId="5CE331AD" w14:textId="77777777" w:rsidR="00DB5AA9" w:rsidRPr="001D228D" w:rsidRDefault="00DB5AA9" w:rsidP="0035708B">
            <w:pPr>
              <w:contextualSpacing/>
              <w:rPr>
                <w:sz w:val="18"/>
                <w:szCs w:val="18"/>
              </w:rPr>
            </w:pPr>
            <w:r w:rsidRPr="001D228D">
              <w:rPr>
                <w:sz w:val="18"/>
                <w:szCs w:val="18"/>
              </w:rPr>
              <w:t>Simple categorical items</w:t>
            </w:r>
          </w:p>
        </w:tc>
      </w:tr>
      <w:tr w:rsidR="00DB5AA9" w:rsidRPr="001D228D" w14:paraId="09B3CCF7" w14:textId="77777777" w:rsidTr="0035708B">
        <w:trPr>
          <w:tblCellSpacing w:w="15" w:type="dxa"/>
        </w:trPr>
        <w:tc>
          <w:tcPr>
            <w:tcW w:w="1305" w:type="dxa"/>
            <w:vMerge/>
            <w:hideMark/>
          </w:tcPr>
          <w:p w14:paraId="719CFF34" w14:textId="77777777" w:rsidR="00DB5AA9" w:rsidRPr="001D228D" w:rsidRDefault="00DB5AA9" w:rsidP="0035708B">
            <w:pPr>
              <w:contextualSpacing/>
              <w:rPr>
                <w:sz w:val="18"/>
                <w:szCs w:val="18"/>
              </w:rPr>
            </w:pPr>
          </w:p>
        </w:tc>
        <w:tc>
          <w:tcPr>
            <w:tcW w:w="1500" w:type="dxa"/>
            <w:hideMark/>
          </w:tcPr>
          <w:p w14:paraId="2EF759A4" w14:textId="77777777" w:rsidR="00DB5AA9" w:rsidRPr="001D228D" w:rsidRDefault="00DB5AA9" w:rsidP="0035708B">
            <w:pPr>
              <w:contextualSpacing/>
              <w:rPr>
                <w:sz w:val="18"/>
                <w:szCs w:val="18"/>
              </w:rPr>
            </w:pPr>
            <w:r w:rsidRPr="001D228D">
              <w:rPr>
                <w:sz w:val="18"/>
                <w:szCs w:val="18"/>
              </w:rPr>
              <w:t>Cycle length &amp; regularity</w:t>
            </w:r>
          </w:p>
        </w:tc>
        <w:tc>
          <w:tcPr>
            <w:tcW w:w="566" w:type="dxa"/>
            <w:hideMark/>
          </w:tcPr>
          <w:p w14:paraId="6236A3D8"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6538894E" w14:textId="77777777" w:rsidR="00DB5AA9" w:rsidRPr="001D228D" w:rsidRDefault="00DB5AA9" w:rsidP="0035708B">
            <w:pPr>
              <w:contextualSpacing/>
              <w:rPr>
                <w:sz w:val="18"/>
                <w:szCs w:val="18"/>
              </w:rPr>
            </w:pPr>
            <w:r w:rsidRPr="001D228D">
              <w:rPr>
                <w:sz w:val="18"/>
                <w:szCs w:val="18"/>
              </w:rPr>
              <w:t>Numeric (days) + regular / irregular</w:t>
            </w:r>
          </w:p>
        </w:tc>
        <w:tc>
          <w:tcPr>
            <w:tcW w:w="3139" w:type="dxa"/>
            <w:hideMark/>
          </w:tcPr>
          <w:p w14:paraId="44F86E7F" w14:textId="77777777" w:rsidR="00DB5AA9" w:rsidRPr="001D228D" w:rsidRDefault="00DB5AA9" w:rsidP="0035708B">
            <w:pPr>
              <w:contextualSpacing/>
              <w:rPr>
                <w:sz w:val="18"/>
                <w:szCs w:val="18"/>
              </w:rPr>
            </w:pPr>
            <w:r w:rsidRPr="001D228D">
              <w:rPr>
                <w:sz w:val="18"/>
                <w:szCs w:val="18"/>
              </w:rPr>
              <w:t>Short structured questions</w:t>
            </w:r>
          </w:p>
        </w:tc>
      </w:tr>
      <w:tr w:rsidR="00DB5AA9" w:rsidRPr="001D228D" w14:paraId="6C1C52D8" w14:textId="77777777" w:rsidTr="0035708B">
        <w:trPr>
          <w:tblCellSpacing w:w="15" w:type="dxa"/>
        </w:trPr>
        <w:tc>
          <w:tcPr>
            <w:tcW w:w="1305" w:type="dxa"/>
            <w:vMerge/>
            <w:hideMark/>
          </w:tcPr>
          <w:p w14:paraId="51CAD681" w14:textId="77777777" w:rsidR="00DB5AA9" w:rsidRPr="001D228D" w:rsidRDefault="00DB5AA9" w:rsidP="0035708B">
            <w:pPr>
              <w:contextualSpacing/>
              <w:rPr>
                <w:sz w:val="18"/>
                <w:szCs w:val="18"/>
              </w:rPr>
            </w:pPr>
          </w:p>
        </w:tc>
        <w:tc>
          <w:tcPr>
            <w:tcW w:w="1500" w:type="dxa"/>
            <w:hideMark/>
          </w:tcPr>
          <w:p w14:paraId="6D93E43C" w14:textId="77777777" w:rsidR="00DB5AA9" w:rsidRPr="001D228D" w:rsidRDefault="00DB5AA9" w:rsidP="0035708B">
            <w:pPr>
              <w:contextualSpacing/>
              <w:rPr>
                <w:sz w:val="18"/>
                <w:szCs w:val="18"/>
              </w:rPr>
            </w:pPr>
            <w:r w:rsidRPr="001D228D">
              <w:rPr>
                <w:sz w:val="18"/>
                <w:szCs w:val="18"/>
              </w:rPr>
              <w:t>Hormonal contraception</w:t>
            </w:r>
          </w:p>
        </w:tc>
        <w:tc>
          <w:tcPr>
            <w:tcW w:w="566" w:type="dxa"/>
            <w:hideMark/>
          </w:tcPr>
          <w:p w14:paraId="5DA7B5AD"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5F18CA3" w14:textId="77777777" w:rsidR="00DB5AA9" w:rsidRPr="001D228D" w:rsidRDefault="00DB5AA9" w:rsidP="0035708B">
            <w:pPr>
              <w:contextualSpacing/>
              <w:rPr>
                <w:sz w:val="18"/>
                <w:szCs w:val="18"/>
              </w:rPr>
            </w:pPr>
            <w:r w:rsidRPr="001D228D">
              <w:rPr>
                <w:sz w:val="18"/>
                <w:szCs w:val="18"/>
              </w:rPr>
              <w:t>Type (combined pill, progestin-only, IUD, implant, injection, none) + duration</w:t>
            </w:r>
          </w:p>
        </w:tc>
        <w:tc>
          <w:tcPr>
            <w:tcW w:w="3139" w:type="dxa"/>
            <w:hideMark/>
          </w:tcPr>
          <w:p w14:paraId="1EACF414" w14:textId="77777777" w:rsidR="00DB5AA9" w:rsidRPr="001D228D" w:rsidRDefault="00DB5AA9" w:rsidP="0035708B">
            <w:pPr>
              <w:contextualSpacing/>
              <w:rPr>
                <w:sz w:val="18"/>
                <w:szCs w:val="18"/>
              </w:rPr>
            </w:pPr>
            <w:r w:rsidRPr="001D228D">
              <w:rPr>
                <w:sz w:val="18"/>
                <w:szCs w:val="18"/>
              </w:rPr>
              <w:t>Short structured questions</w:t>
            </w:r>
          </w:p>
        </w:tc>
      </w:tr>
      <w:tr w:rsidR="00DB5AA9" w:rsidRPr="001D228D" w14:paraId="46D28782" w14:textId="77777777" w:rsidTr="0035708B">
        <w:trPr>
          <w:tblCellSpacing w:w="15" w:type="dxa"/>
        </w:trPr>
        <w:tc>
          <w:tcPr>
            <w:tcW w:w="1305" w:type="dxa"/>
            <w:vMerge/>
            <w:hideMark/>
          </w:tcPr>
          <w:p w14:paraId="15A30F6C" w14:textId="77777777" w:rsidR="00DB5AA9" w:rsidRPr="001D228D" w:rsidRDefault="00DB5AA9" w:rsidP="0035708B">
            <w:pPr>
              <w:contextualSpacing/>
              <w:rPr>
                <w:sz w:val="18"/>
                <w:szCs w:val="18"/>
              </w:rPr>
            </w:pPr>
          </w:p>
        </w:tc>
        <w:tc>
          <w:tcPr>
            <w:tcW w:w="1500" w:type="dxa"/>
            <w:hideMark/>
          </w:tcPr>
          <w:p w14:paraId="2B936BE4" w14:textId="77777777" w:rsidR="00DB5AA9" w:rsidRPr="001D228D" w:rsidRDefault="00DB5AA9" w:rsidP="0035708B">
            <w:pPr>
              <w:contextualSpacing/>
              <w:rPr>
                <w:sz w:val="18"/>
                <w:szCs w:val="18"/>
              </w:rPr>
            </w:pPr>
            <w:r w:rsidRPr="001D228D">
              <w:rPr>
                <w:sz w:val="18"/>
                <w:szCs w:val="18"/>
              </w:rPr>
              <w:t>HRT (hormone replacement therapy)</w:t>
            </w:r>
          </w:p>
        </w:tc>
        <w:tc>
          <w:tcPr>
            <w:tcW w:w="566" w:type="dxa"/>
            <w:hideMark/>
          </w:tcPr>
          <w:p w14:paraId="519ED282"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4FEA668" w14:textId="77777777" w:rsidR="00DB5AA9" w:rsidRPr="001D228D" w:rsidRDefault="00DB5AA9" w:rsidP="0035708B">
            <w:pPr>
              <w:contextualSpacing/>
              <w:rPr>
                <w:sz w:val="18"/>
                <w:szCs w:val="18"/>
              </w:rPr>
            </w:pPr>
            <w:r w:rsidRPr="001D228D">
              <w:rPr>
                <w:sz w:val="18"/>
                <w:szCs w:val="18"/>
              </w:rPr>
              <w:t>Regimen (</w:t>
            </w:r>
            <w:r>
              <w:rPr>
                <w:sz w:val="18"/>
                <w:szCs w:val="18"/>
              </w:rPr>
              <w:t>oestrogen</w:t>
            </w:r>
            <w:r w:rsidRPr="001D228D">
              <w:rPr>
                <w:sz w:val="18"/>
                <w:szCs w:val="18"/>
              </w:rPr>
              <w:t xml:space="preserve">, </w:t>
            </w:r>
            <w:r>
              <w:rPr>
                <w:sz w:val="18"/>
                <w:szCs w:val="18"/>
              </w:rPr>
              <w:t>oestrogen</w:t>
            </w:r>
            <w:r w:rsidRPr="001D228D">
              <w:rPr>
                <w:sz w:val="18"/>
                <w:szCs w:val="18"/>
              </w:rPr>
              <w:t>+progestin, other) + duration</w:t>
            </w:r>
          </w:p>
        </w:tc>
        <w:tc>
          <w:tcPr>
            <w:tcW w:w="3139" w:type="dxa"/>
            <w:hideMark/>
          </w:tcPr>
          <w:p w14:paraId="4842D42C" w14:textId="77777777" w:rsidR="00DB5AA9" w:rsidRPr="001D228D" w:rsidRDefault="00DB5AA9" w:rsidP="0035708B">
            <w:pPr>
              <w:contextualSpacing/>
              <w:rPr>
                <w:sz w:val="18"/>
                <w:szCs w:val="18"/>
              </w:rPr>
            </w:pPr>
            <w:r w:rsidRPr="001D228D">
              <w:rPr>
                <w:sz w:val="18"/>
                <w:szCs w:val="18"/>
              </w:rPr>
              <w:t>Medical history question</w:t>
            </w:r>
          </w:p>
        </w:tc>
      </w:tr>
      <w:tr w:rsidR="00DB5AA9" w:rsidRPr="001D228D" w14:paraId="6B4E9699" w14:textId="77777777" w:rsidTr="0035708B">
        <w:trPr>
          <w:tblCellSpacing w:w="15" w:type="dxa"/>
        </w:trPr>
        <w:tc>
          <w:tcPr>
            <w:tcW w:w="1305" w:type="dxa"/>
            <w:vMerge/>
            <w:tcBorders>
              <w:bottom w:val="single" w:sz="4" w:space="0" w:color="auto"/>
            </w:tcBorders>
            <w:hideMark/>
          </w:tcPr>
          <w:p w14:paraId="15A552CE"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026674BE" w14:textId="77777777" w:rsidR="00DB5AA9" w:rsidRPr="001D228D" w:rsidRDefault="00DB5AA9" w:rsidP="0035708B">
            <w:pPr>
              <w:contextualSpacing/>
              <w:rPr>
                <w:sz w:val="18"/>
                <w:szCs w:val="18"/>
              </w:rPr>
            </w:pPr>
            <w:r w:rsidRPr="001D228D">
              <w:rPr>
                <w:sz w:val="18"/>
                <w:szCs w:val="18"/>
              </w:rPr>
              <w:t>GAHT (gender-affirming hormone therapy)</w:t>
            </w:r>
          </w:p>
        </w:tc>
        <w:tc>
          <w:tcPr>
            <w:tcW w:w="566" w:type="dxa"/>
            <w:tcBorders>
              <w:bottom w:val="single" w:sz="4" w:space="0" w:color="auto"/>
            </w:tcBorders>
            <w:hideMark/>
          </w:tcPr>
          <w:p w14:paraId="2F995093" w14:textId="77777777" w:rsidR="00DB5AA9" w:rsidRPr="001D228D" w:rsidRDefault="00DB5AA9" w:rsidP="0035708B">
            <w:pPr>
              <w:contextualSpacing/>
              <w:rPr>
                <w:sz w:val="18"/>
                <w:szCs w:val="18"/>
              </w:rPr>
            </w:pPr>
            <w:r w:rsidRPr="001D228D">
              <w:rPr>
                <w:sz w:val="18"/>
                <w:szCs w:val="18"/>
              </w:rPr>
              <w:t>1</w:t>
            </w:r>
          </w:p>
        </w:tc>
        <w:tc>
          <w:tcPr>
            <w:tcW w:w="2670" w:type="dxa"/>
            <w:tcBorders>
              <w:bottom w:val="single" w:sz="4" w:space="0" w:color="auto"/>
            </w:tcBorders>
            <w:hideMark/>
          </w:tcPr>
          <w:p w14:paraId="27B4F00C" w14:textId="77777777" w:rsidR="00DB5AA9" w:rsidRPr="001D228D" w:rsidRDefault="00DB5AA9" w:rsidP="0035708B">
            <w:pPr>
              <w:contextualSpacing/>
              <w:rPr>
                <w:sz w:val="18"/>
                <w:szCs w:val="18"/>
              </w:rPr>
            </w:pPr>
            <w:r w:rsidRPr="001D228D">
              <w:rPr>
                <w:sz w:val="18"/>
                <w:szCs w:val="18"/>
              </w:rPr>
              <w:t xml:space="preserve">Yes/No; regimen (e.g. </w:t>
            </w:r>
            <w:r>
              <w:rPr>
                <w:sz w:val="18"/>
                <w:szCs w:val="18"/>
              </w:rPr>
              <w:t>oestradiol</w:t>
            </w:r>
            <w:r w:rsidRPr="001D228D">
              <w:rPr>
                <w:sz w:val="18"/>
                <w:szCs w:val="18"/>
              </w:rPr>
              <w:t>, testosterone, blockers) + duration</w:t>
            </w:r>
          </w:p>
        </w:tc>
        <w:tc>
          <w:tcPr>
            <w:tcW w:w="3139" w:type="dxa"/>
            <w:tcBorders>
              <w:bottom w:val="single" w:sz="4" w:space="0" w:color="auto"/>
            </w:tcBorders>
            <w:hideMark/>
          </w:tcPr>
          <w:p w14:paraId="6369C244" w14:textId="77777777" w:rsidR="00DB5AA9" w:rsidRPr="001D228D" w:rsidRDefault="00DB5AA9" w:rsidP="0035708B">
            <w:pPr>
              <w:contextualSpacing/>
              <w:rPr>
                <w:sz w:val="18"/>
                <w:szCs w:val="18"/>
              </w:rPr>
            </w:pPr>
            <w:r w:rsidRPr="001D228D">
              <w:rPr>
                <w:sz w:val="18"/>
                <w:szCs w:val="18"/>
              </w:rPr>
              <w:t>Medical history; optional and ethics-dependent</w:t>
            </w:r>
          </w:p>
        </w:tc>
      </w:tr>
      <w:tr w:rsidR="00DB5AA9" w:rsidRPr="001D228D" w14:paraId="541C7A32" w14:textId="77777777" w:rsidTr="0035708B">
        <w:trPr>
          <w:tblCellSpacing w:w="15" w:type="dxa"/>
        </w:trPr>
        <w:tc>
          <w:tcPr>
            <w:tcW w:w="1305" w:type="dxa"/>
            <w:vMerge w:val="restart"/>
            <w:hideMark/>
          </w:tcPr>
          <w:p w14:paraId="40F45B00" w14:textId="77777777" w:rsidR="00DB5AA9" w:rsidRPr="001D228D" w:rsidRDefault="00DB5AA9" w:rsidP="0035708B">
            <w:pPr>
              <w:contextualSpacing/>
              <w:rPr>
                <w:sz w:val="18"/>
                <w:szCs w:val="18"/>
              </w:rPr>
            </w:pPr>
            <w:r w:rsidRPr="001D228D">
              <w:rPr>
                <w:sz w:val="18"/>
                <w:szCs w:val="18"/>
              </w:rPr>
              <w:t>Thermal sensitivity / preference &amp; psychological traits</w:t>
            </w:r>
          </w:p>
        </w:tc>
        <w:tc>
          <w:tcPr>
            <w:tcW w:w="1500" w:type="dxa"/>
            <w:hideMark/>
          </w:tcPr>
          <w:p w14:paraId="7953ECBB" w14:textId="77777777" w:rsidR="00DB5AA9" w:rsidRPr="001D228D" w:rsidRDefault="00DB5AA9" w:rsidP="0035708B">
            <w:pPr>
              <w:contextualSpacing/>
              <w:rPr>
                <w:sz w:val="18"/>
                <w:szCs w:val="18"/>
              </w:rPr>
            </w:pPr>
            <w:r w:rsidRPr="001D228D">
              <w:rPr>
                <w:sz w:val="18"/>
                <w:szCs w:val="18"/>
              </w:rPr>
              <w:t>Thermal sensitivity / preference</w:t>
            </w:r>
          </w:p>
        </w:tc>
        <w:tc>
          <w:tcPr>
            <w:tcW w:w="566" w:type="dxa"/>
            <w:hideMark/>
          </w:tcPr>
          <w:p w14:paraId="23ADCB0E"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5D539B25" w14:textId="77777777" w:rsidR="00DB5AA9" w:rsidRPr="001D228D" w:rsidRDefault="00DB5AA9" w:rsidP="0035708B">
            <w:pPr>
              <w:contextualSpacing/>
              <w:rPr>
                <w:sz w:val="18"/>
                <w:szCs w:val="18"/>
              </w:rPr>
            </w:pPr>
            <w:r w:rsidRPr="001D228D">
              <w:rPr>
                <w:sz w:val="18"/>
                <w:szCs w:val="18"/>
              </w:rPr>
              <w:t>Scores + groupings (e.g. cold / neutral / warm-preferring)</w:t>
            </w:r>
          </w:p>
        </w:tc>
        <w:tc>
          <w:tcPr>
            <w:tcW w:w="3139" w:type="dxa"/>
            <w:hideMark/>
          </w:tcPr>
          <w:p w14:paraId="6B73CA15" w14:textId="107237FB" w:rsidR="00DB5AA9" w:rsidRPr="001D228D" w:rsidRDefault="00DB5AA9" w:rsidP="0035708B">
            <w:pPr>
              <w:contextualSpacing/>
              <w:rPr>
                <w:sz w:val="18"/>
                <w:szCs w:val="18"/>
              </w:rPr>
            </w:pPr>
            <w:r w:rsidRPr="001D228D">
              <w:rPr>
                <w:sz w:val="18"/>
                <w:szCs w:val="18"/>
              </w:rPr>
              <w:t xml:space="preserve">ETSRS </w:t>
            </w:r>
            <w:sdt>
              <w:sdtPr>
                <w:rPr>
                  <w:color w:val="000000"/>
                  <w:szCs w:val="18"/>
                </w:rPr>
                <w:tag w:val="MENDELEY_CITATION_v3_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"/>
                <w:id w:val="849152193"/>
                <w:placeholder>
                  <w:docPart w:val="B700A94C13C9464BA82929F49DFA3C29"/>
                </w:placeholder>
              </w:sdtPr>
              <w:sdtEndPr>
                <w:rPr>
                  <w:szCs w:val="20"/>
                </w:rPr>
              </w:sdtEndPr>
              <w:sdtContent>
                <w:r w:rsidR="00B43409" w:rsidRPr="00B43409">
                  <w:rPr>
                    <w:color w:val="000000"/>
                  </w:rPr>
                  <w:t>[533]</w:t>
                </w:r>
              </w:sdtContent>
            </w:sdt>
            <w:r w:rsidRPr="001D228D">
              <w:rPr>
                <w:sz w:val="18"/>
                <w:szCs w:val="18"/>
              </w:rPr>
              <w:t xml:space="preserve"> or similar </w:t>
            </w:r>
          </w:p>
        </w:tc>
      </w:tr>
      <w:tr w:rsidR="00DB5AA9" w:rsidRPr="001D228D" w14:paraId="264802EB" w14:textId="77777777" w:rsidTr="0035708B">
        <w:trPr>
          <w:tblCellSpacing w:w="15" w:type="dxa"/>
        </w:trPr>
        <w:tc>
          <w:tcPr>
            <w:tcW w:w="1305" w:type="dxa"/>
            <w:vMerge/>
            <w:hideMark/>
          </w:tcPr>
          <w:p w14:paraId="63889FA9" w14:textId="77777777" w:rsidR="00DB5AA9" w:rsidRPr="001D228D" w:rsidRDefault="00DB5AA9" w:rsidP="0035708B">
            <w:pPr>
              <w:contextualSpacing/>
              <w:rPr>
                <w:sz w:val="18"/>
                <w:szCs w:val="18"/>
              </w:rPr>
            </w:pPr>
          </w:p>
        </w:tc>
        <w:tc>
          <w:tcPr>
            <w:tcW w:w="1500" w:type="dxa"/>
            <w:hideMark/>
          </w:tcPr>
          <w:p w14:paraId="0B620BE3" w14:textId="77777777" w:rsidR="00DB5AA9" w:rsidRPr="001D228D" w:rsidRDefault="00DB5AA9" w:rsidP="0035708B">
            <w:pPr>
              <w:contextualSpacing/>
              <w:rPr>
                <w:sz w:val="18"/>
                <w:szCs w:val="18"/>
              </w:rPr>
            </w:pPr>
            <w:r w:rsidRPr="001D228D">
              <w:rPr>
                <w:sz w:val="18"/>
                <w:szCs w:val="18"/>
              </w:rPr>
              <w:t>Personality traits</w:t>
            </w:r>
          </w:p>
        </w:tc>
        <w:tc>
          <w:tcPr>
            <w:tcW w:w="566" w:type="dxa"/>
            <w:hideMark/>
          </w:tcPr>
          <w:p w14:paraId="4B6EAFBF"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705919A3" w14:textId="77777777" w:rsidR="00DB5AA9" w:rsidRPr="001D228D" w:rsidRDefault="00DB5AA9" w:rsidP="0035708B">
            <w:pPr>
              <w:contextualSpacing/>
              <w:rPr>
                <w:sz w:val="18"/>
                <w:szCs w:val="18"/>
              </w:rPr>
            </w:pPr>
            <w:r w:rsidRPr="001D228D">
              <w:rPr>
                <w:sz w:val="18"/>
                <w:szCs w:val="18"/>
              </w:rPr>
              <w:t>Scores on Big Five, BIS/BAS, etc.</w:t>
            </w:r>
          </w:p>
        </w:tc>
        <w:tc>
          <w:tcPr>
            <w:tcW w:w="3139" w:type="dxa"/>
            <w:hideMark/>
          </w:tcPr>
          <w:p w14:paraId="25396798" w14:textId="77777777" w:rsidR="00DB5AA9" w:rsidRPr="001D228D" w:rsidRDefault="00DB5AA9" w:rsidP="0035708B">
            <w:pPr>
              <w:contextualSpacing/>
              <w:rPr>
                <w:sz w:val="18"/>
                <w:szCs w:val="18"/>
              </w:rPr>
            </w:pPr>
            <w:r w:rsidRPr="001D228D">
              <w:rPr>
                <w:sz w:val="18"/>
                <w:szCs w:val="18"/>
              </w:rPr>
              <w:t>Big Five (e.g. BFI, NEO-FFI), BIS/BAS scales, etc.</w:t>
            </w:r>
          </w:p>
        </w:tc>
      </w:tr>
      <w:tr w:rsidR="00DB5AA9" w:rsidRPr="001D228D" w14:paraId="0292B2BE" w14:textId="77777777" w:rsidTr="0035708B">
        <w:trPr>
          <w:tblCellSpacing w:w="15" w:type="dxa"/>
        </w:trPr>
        <w:tc>
          <w:tcPr>
            <w:tcW w:w="1305" w:type="dxa"/>
            <w:vMerge/>
            <w:hideMark/>
          </w:tcPr>
          <w:p w14:paraId="33A4BCE6" w14:textId="77777777" w:rsidR="00DB5AA9" w:rsidRPr="001D228D" w:rsidRDefault="00DB5AA9" w:rsidP="0035708B">
            <w:pPr>
              <w:contextualSpacing/>
              <w:rPr>
                <w:sz w:val="18"/>
                <w:szCs w:val="18"/>
              </w:rPr>
            </w:pPr>
          </w:p>
        </w:tc>
        <w:tc>
          <w:tcPr>
            <w:tcW w:w="1500" w:type="dxa"/>
            <w:hideMark/>
          </w:tcPr>
          <w:p w14:paraId="51EFA0FD" w14:textId="77777777" w:rsidR="00DB5AA9" w:rsidRPr="001D228D" w:rsidRDefault="00DB5AA9" w:rsidP="0035708B">
            <w:pPr>
              <w:contextualSpacing/>
              <w:rPr>
                <w:sz w:val="18"/>
                <w:szCs w:val="18"/>
              </w:rPr>
            </w:pPr>
            <w:r w:rsidRPr="001D228D">
              <w:rPr>
                <w:sz w:val="18"/>
                <w:szCs w:val="18"/>
              </w:rPr>
              <w:t>General sensory / emotional sensitivity</w:t>
            </w:r>
          </w:p>
        </w:tc>
        <w:tc>
          <w:tcPr>
            <w:tcW w:w="566" w:type="dxa"/>
            <w:hideMark/>
          </w:tcPr>
          <w:p w14:paraId="70FFF727"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26B98CEE" w14:textId="77777777" w:rsidR="00DB5AA9" w:rsidRPr="001D228D" w:rsidRDefault="00DB5AA9" w:rsidP="0035708B">
            <w:pPr>
              <w:contextualSpacing/>
              <w:rPr>
                <w:sz w:val="18"/>
                <w:szCs w:val="18"/>
              </w:rPr>
            </w:pPr>
            <w:r w:rsidRPr="001D228D">
              <w:rPr>
                <w:sz w:val="18"/>
                <w:szCs w:val="18"/>
              </w:rPr>
              <w:t>Score(s)</w:t>
            </w:r>
          </w:p>
        </w:tc>
        <w:tc>
          <w:tcPr>
            <w:tcW w:w="3139" w:type="dxa"/>
            <w:hideMark/>
          </w:tcPr>
          <w:p w14:paraId="37604062" w14:textId="77777777" w:rsidR="00DB5AA9" w:rsidRPr="001D228D" w:rsidRDefault="00DB5AA9" w:rsidP="0035708B">
            <w:pPr>
              <w:contextualSpacing/>
              <w:rPr>
                <w:sz w:val="18"/>
                <w:szCs w:val="18"/>
              </w:rPr>
            </w:pPr>
            <w:r w:rsidRPr="001D228D">
              <w:rPr>
                <w:sz w:val="18"/>
                <w:szCs w:val="18"/>
              </w:rPr>
              <w:t>Highly Sensitive Person Scale (HSPS) or similar, if used</w:t>
            </w:r>
          </w:p>
        </w:tc>
      </w:tr>
      <w:tr w:rsidR="00DB5AA9" w:rsidRPr="001D228D" w14:paraId="2A8123AD" w14:textId="77777777" w:rsidTr="0035708B">
        <w:trPr>
          <w:tblCellSpacing w:w="15" w:type="dxa"/>
        </w:trPr>
        <w:tc>
          <w:tcPr>
            <w:tcW w:w="1305" w:type="dxa"/>
            <w:vMerge/>
            <w:tcBorders>
              <w:bottom w:val="single" w:sz="4" w:space="0" w:color="auto"/>
            </w:tcBorders>
            <w:hideMark/>
          </w:tcPr>
          <w:p w14:paraId="50DFCCE8"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34C4CEBB" w14:textId="77777777" w:rsidR="00DB5AA9" w:rsidRPr="001D228D" w:rsidRDefault="00DB5AA9" w:rsidP="0035708B">
            <w:pPr>
              <w:contextualSpacing/>
              <w:rPr>
                <w:sz w:val="18"/>
                <w:szCs w:val="18"/>
              </w:rPr>
            </w:pPr>
            <w:r w:rsidRPr="001D228D">
              <w:rPr>
                <w:sz w:val="18"/>
                <w:szCs w:val="18"/>
              </w:rPr>
              <w:t>Psychological / psychiatric scales</w:t>
            </w:r>
          </w:p>
        </w:tc>
        <w:tc>
          <w:tcPr>
            <w:tcW w:w="566" w:type="dxa"/>
            <w:tcBorders>
              <w:bottom w:val="single" w:sz="4" w:space="0" w:color="auto"/>
            </w:tcBorders>
            <w:hideMark/>
          </w:tcPr>
          <w:p w14:paraId="7D3B9C5E"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72EACA71" w14:textId="77777777" w:rsidR="00DB5AA9" w:rsidRPr="001D228D" w:rsidRDefault="00DB5AA9" w:rsidP="0035708B">
            <w:pPr>
              <w:contextualSpacing/>
              <w:rPr>
                <w:sz w:val="18"/>
                <w:szCs w:val="18"/>
              </w:rPr>
            </w:pPr>
            <w:r w:rsidRPr="001D228D">
              <w:rPr>
                <w:sz w:val="18"/>
                <w:szCs w:val="18"/>
              </w:rPr>
              <w:t>Scores, cut-offs for depression, anxiety, etc.</w:t>
            </w:r>
          </w:p>
        </w:tc>
        <w:tc>
          <w:tcPr>
            <w:tcW w:w="3139" w:type="dxa"/>
            <w:tcBorders>
              <w:bottom w:val="single" w:sz="4" w:space="0" w:color="auto"/>
            </w:tcBorders>
            <w:hideMark/>
          </w:tcPr>
          <w:p w14:paraId="34653A7A" w14:textId="77777777" w:rsidR="00DB5AA9" w:rsidRPr="001D228D" w:rsidRDefault="00DB5AA9" w:rsidP="0035708B">
            <w:pPr>
              <w:contextualSpacing/>
              <w:rPr>
                <w:sz w:val="18"/>
                <w:szCs w:val="18"/>
              </w:rPr>
            </w:pPr>
            <w:r w:rsidRPr="001D228D">
              <w:rPr>
                <w:sz w:val="18"/>
                <w:szCs w:val="18"/>
              </w:rPr>
              <w:t>e.g. PHQ-9, GAD-7, DASS-21</w:t>
            </w:r>
          </w:p>
        </w:tc>
      </w:tr>
      <w:tr w:rsidR="00DB5AA9" w:rsidRPr="001D228D" w14:paraId="4C4A4E45" w14:textId="77777777" w:rsidTr="0035708B">
        <w:trPr>
          <w:tblCellSpacing w:w="15" w:type="dxa"/>
        </w:trPr>
        <w:tc>
          <w:tcPr>
            <w:tcW w:w="1305" w:type="dxa"/>
            <w:vMerge w:val="restart"/>
            <w:hideMark/>
          </w:tcPr>
          <w:p w14:paraId="37427705" w14:textId="77777777" w:rsidR="00DB5AA9" w:rsidRPr="001D228D" w:rsidRDefault="00DB5AA9" w:rsidP="0035708B">
            <w:pPr>
              <w:contextualSpacing/>
              <w:rPr>
                <w:sz w:val="18"/>
                <w:szCs w:val="18"/>
              </w:rPr>
            </w:pPr>
            <w:r w:rsidRPr="001D228D">
              <w:rPr>
                <w:sz w:val="18"/>
                <w:szCs w:val="18"/>
              </w:rPr>
              <w:t>Sleep &amp; chronobiology</w:t>
            </w:r>
          </w:p>
        </w:tc>
        <w:tc>
          <w:tcPr>
            <w:tcW w:w="1500" w:type="dxa"/>
            <w:hideMark/>
          </w:tcPr>
          <w:p w14:paraId="0BDCC61F" w14:textId="77777777" w:rsidR="00DB5AA9" w:rsidRPr="001D228D" w:rsidRDefault="00DB5AA9" w:rsidP="0035708B">
            <w:pPr>
              <w:contextualSpacing/>
              <w:rPr>
                <w:sz w:val="18"/>
                <w:szCs w:val="18"/>
              </w:rPr>
            </w:pPr>
            <w:r w:rsidRPr="001D228D">
              <w:rPr>
                <w:sz w:val="18"/>
                <w:szCs w:val="18"/>
              </w:rPr>
              <w:t>Chronotype</w:t>
            </w:r>
          </w:p>
        </w:tc>
        <w:tc>
          <w:tcPr>
            <w:tcW w:w="566" w:type="dxa"/>
            <w:hideMark/>
          </w:tcPr>
          <w:p w14:paraId="2FA95BC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0F334DFF" w14:textId="77777777" w:rsidR="00DB5AA9" w:rsidRPr="001D228D" w:rsidRDefault="00DB5AA9" w:rsidP="0035708B">
            <w:pPr>
              <w:contextualSpacing/>
              <w:rPr>
                <w:sz w:val="18"/>
                <w:szCs w:val="18"/>
              </w:rPr>
            </w:pPr>
            <w:r w:rsidRPr="001D228D">
              <w:rPr>
                <w:sz w:val="18"/>
                <w:szCs w:val="18"/>
              </w:rPr>
              <w:t>Continuous score + category (morning / intermediate / evening)</w:t>
            </w:r>
          </w:p>
        </w:tc>
        <w:tc>
          <w:tcPr>
            <w:tcW w:w="3139" w:type="dxa"/>
            <w:hideMark/>
          </w:tcPr>
          <w:p w14:paraId="3E43DB8C" w14:textId="14DDB971" w:rsidR="00DB5AA9" w:rsidRPr="001D228D" w:rsidRDefault="00DB5AA9" w:rsidP="0035708B">
            <w:pPr>
              <w:contextualSpacing/>
              <w:rPr>
                <w:sz w:val="18"/>
                <w:szCs w:val="18"/>
              </w:rPr>
            </w:pPr>
            <w:r w:rsidRPr="001D228D">
              <w:rPr>
                <w:sz w:val="18"/>
                <w:szCs w:val="18"/>
              </w:rPr>
              <w:t xml:space="preserve">Morningness–Eveningness Questionnaire (MEQ) </w:t>
            </w:r>
            <w:sdt>
              <w:sdtPr>
                <w:rPr>
                  <w:color w:val="000000"/>
                  <w:szCs w:val="18"/>
                </w:rPr>
                <w:tag w:val="MENDELEY_CITATION_v3_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"/>
                <w:id w:val="-325437115"/>
                <w:placeholder>
                  <w:docPart w:val="B700A94C13C9464BA82929F49DFA3C29"/>
                </w:placeholder>
              </w:sdtPr>
              <w:sdtEndPr>
                <w:rPr>
                  <w:szCs w:val="20"/>
                </w:rPr>
              </w:sdtEndPr>
              <w:sdtContent>
                <w:r w:rsidR="00B43409" w:rsidRPr="00B43409">
                  <w:rPr>
                    <w:color w:val="000000"/>
                  </w:rPr>
                  <w:t>[534]</w:t>
                </w:r>
              </w:sdtContent>
            </w:sdt>
            <w:r w:rsidRPr="001D228D">
              <w:rPr>
                <w:sz w:val="18"/>
                <w:szCs w:val="18"/>
              </w:rPr>
              <w:t xml:space="preserve">, Composite Scale of Morningness (CSM) </w:t>
            </w:r>
            <w:sdt>
              <w:sdtPr>
                <w:rPr>
                  <w:color w:val="000000"/>
                  <w:szCs w:val="18"/>
                </w:rPr>
                <w:tag w:val="MENDELEY_CITATION_v3_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"/>
                <w:id w:val="-27343030"/>
                <w:placeholder>
                  <w:docPart w:val="B700A94C13C9464BA82929F49DFA3C29"/>
                </w:placeholder>
              </w:sdtPr>
              <w:sdtEndPr>
                <w:rPr>
                  <w:szCs w:val="20"/>
                </w:rPr>
              </w:sdtEndPr>
              <w:sdtContent>
                <w:r w:rsidR="00B43409" w:rsidRPr="00B43409">
                  <w:rPr>
                    <w:color w:val="000000"/>
                  </w:rPr>
                  <w:t>[535]</w:t>
                </w:r>
              </w:sdtContent>
            </w:sdt>
            <w:r w:rsidRPr="001D228D">
              <w:rPr>
                <w:sz w:val="18"/>
                <w:szCs w:val="18"/>
              </w:rPr>
              <w:t xml:space="preserve">, and/or Munich Chronotype Questionnaire </w:t>
            </w:r>
            <w:sdt>
              <w:sdtPr>
                <w:rPr>
                  <w:color w:val="000000"/>
                  <w:szCs w:val="18"/>
                </w:rPr>
                <w:tag w:val="MENDELEY_CITATION_v3_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"/>
                <w:id w:val="-1130242381"/>
                <w:placeholder>
                  <w:docPart w:val="B700A94C13C9464BA82929F49DFA3C29"/>
                </w:placeholder>
              </w:sdtPr>
              <w:sdtEndPr>
                <w:rPr>
                  <w:szCs w:val="20"/>
                </w:rPr>
              </w:sdtEndPr>
              <w:sdtContent>
                <w:r w:rsidR="00B43409" w:rsidRPr="00B43409">
                  <w:rPr>
                    <w:color w:val="000000"/>
                  </w:rPr>
                  <w:t>[536]</w:t>
                </w:r>
              </w:sdtContent>
            </w:sdt>
            <w:r w:rsidRPr="001D228D">
              <w:rPr>
                <w:sz w:val="18"/>
                <w:szCs w:val="18"/>
              </w:rPr>
              <w:t>.</w:t>
            </w:r>
            <w:r w:rsidRPr="001D228D">
              <w:rPr>
                <w:sz w:val="18"/>
                <w:szCs w:val="18"/>
              </w:rPr>
              <w:br/>
              <w:t>Store instrument name + score/category</w:t>
            </w:r>
          </w:p>
        </w:tc>
      </w:tr>
      <w:tr w:rsidR="00DB5AA9" w:rsidRPr="001D228D" w14:paraId="7EE8888C" w14:textId="77777777" w:rsidTr="0035708B">
        <w:trPr>
          <w:tblCellSpacing w:w="15" w:type="dxa"/>
        </w:trPr>
        <w:tc>
          <w:tcPr>
            <w:tcW w:w="1305" w:type="dxa"/>
            <w:vMerge/>
            <w:hideMark/>
          </w:tcPr>
          <w:p w14:paraId="59A980AF" w14:textId="77777777" w:rsidR="00DB5AA9" w:rsidRPr="001D228D" w:rsidRDefault="00DB5AA9" w:rsidP="0035708B">
            <w:pPr>
              <w:contextualSpacing/>
              <w:rPr>
                <w:sz w:val="18"/>
                <w:szCs w:val="18"/>
              </w:rPr>
            </w:pPr>
          </w:p>
        </w:tc>
        <w:tc>
          <w:tcPr>
            <w:tcW w:w="1500" w:type="dxa"/>
            <w:hideMark/>
          </w:tcPr>
          <w:p w14:paraId="56BAAEB0" w14:textId="77777777" w:rsidR="00DB5AA9" w:rsidRPr="001D228D" w:rsidRDefault="00DB5AA9" w:rsidP="0035708B">
            <w:pPr>
              <w:contextualSpacing/>
              <w:rPr>
                <w:sz w:val="18"/>
                <w:szCs w:val="18"/>
              </w:rPr>
            </w:pPr>
            <w:r w:rsidRPr="001D228D">
              <w:rPr>
                <w:sz w:val="18"/>
                <w:szCs w:val="18"/>
              </w:rPr>
              <w:t>Habitual bedtime</w:t>
            </w:r>
          </w:p>
        </w:tc>
        <w:tc>
          <w:tcPr>
            <w:tcW w:w="566" w:type="dxa"/>
            <w:hideMark/>
          </w:tcPr>
          <w:p w14:paraId="52CC6C1B"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075C1D4E" w14:textId="77777777" w:rsidR="00DB5AA9" w:rsidRPr="001D228D" w:rsidRDefault="00DB5AA9" w:rsidP="0035708B">
            <w:pPr>
              <w:contextualSpacing/>
              <w:rPr>
                <w:sz w:val="18"/>
                <w:szCs w:val="18"/>
              </w:rPr>
            </w:pPr>
            <w:r w:rsidRPr="001D228D">
              <w:rPr>
                <w:sz w:val="18"/>
                <w:szCs w:val="18"/>
              </w:rPr>
              <w:t>Typical bed and wake times (work days vs free days)</w:t>
            </w:r>
          </w:p>
        </w:tc>
        <w:tc>
          <w:tcPr>
            <w:tcW w:w="3139" w:type="dxa"/>
            <w:hideMark/>
          </w:tcPr>
          <w:p w14:paraId="73DCF679" w14:textId="77777777" w:rsidR="00DB5AA9" w:rsidRPr="001D228D" w:rsidRDefault="00DB5AA9" w:rsidP="0035708B">
            <w:pPr>
              <w:contextualSpacing/>
              <w:rPr>
                <w:sz w:val="18"/>
                <w:szCs w:val="18"/>
              </w:rPr>
            </w:pPr>
            <w:r w:rsidRPr="001D228D">
              <w:rPr>
                <w:sz w:val="18"/>
                <w:szCs w:val="18"/>
              </w:rPr>
              <w:t>Often comes with MCTQ; or simple timing questions</w:t>
            </w:r>
          </w:p>
        </w:tc>
      </w:tr>
      <w:tr w:rsidR="00DB5AA9" w:rsidRPr="001D228D" w14:paraId="621107D3" w14:textId="77777777" w:rsidTr="0035708B">
        <w:trPr>
          <w:tblCellSpacing w:w="15" w:type="dxa"/>
        </w:trPr>
        <w:tc>
          <w:tcPr>
            <w:tcW w:w="1305" w:type="dxa"/>
            <w:vMerge/>
            <w:tcBorders>
              <w:bottom w:val="single" w:sz="4" w:space="0" w:color="auto"/>
            </w:tcBorders>
            <w:hideMark/>
          </w:tcPr>
          <w:p w14:paraId="39CB6828"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4B67A5C4" w14:textId="77777777" w:rsidR="00DB5AA9" w:rsidRPr="001D228D" w:rsidRDefault="00DB5AA9" w:rsidP="0035708B">
            <w:pPr>
              <w:contextualSpacing/>
              <w:rPr>
                <w:sz w:val="18"/>
                <w:szCs w:val="18"/>
              </w:rPr>
            </w:pPr>
            <w:r w:rsidRPr="001D228D">
              <w:rPr>
                <w:sz w:val="18"/>
                <w:szCs w:val="18"/>
              </w:rPr>
              <w:t>Habitual sleep quality</w:t>
            </w:r>
          </w:p>
        </w:tc>
        <w:tc>
          <w:tcPr>
            <w:tcW w:w="566" w:type="dxa"/>
            <w:tcBorders>
              <w:bottom w:val="single" w:sz="4" w:space="0" w:color="auto"/>
            </w:tcBorders>
            <w:hideMark/>
          </w:tcPr>
          <w:p w14:paraId="624F24DF"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11466298" w14:textId="77777777" w:rsidR="00DB5AA9" w:rsidRPr="001D228D" w:rsidRDefault="00DB5AA9" w:rsidP="0035708B">
            <w:pPr>
              <w:contextualSpacing/>
              <w:rPr>
                <w:sz w:val="18"/>
                <w:szCs w:val="18"/>
              </w:rPr>
            </w:pPr>
            <w:r w:rsidRPr="001D228D">
              <w:rPr>
                <w:sz w:val="18"/>
                <w:szCs w:val="18"/>
              </w:rPr>
              <w:t>Global score, and optionally “good vs poor sleeper”</w:t>
            </w:r>
          </w:p>
        </w:tc>
        <w:tc>
          <w:tcPr>
            <w:tcW w:w="3139" w:type="dxa"/>
            <w:tcBorders>
              <w:bottom w:val="single" w:sz="4" w:space="0" w:color="auto"/>
            </w:tcBorders>
            <w:hideMark/>
          </w:tcPr>
          <w:p w14:paraId="5441240E" w14:textId="388A1190" w:rsidR="00DB5AA9" w:rsidRPr="001D228D" w:rsidRDefault="00DB5AA9" w:rsidP="0035708B">
            <w:pPr>
              <w:contextualSpacing/>
              <w:rPr>
                <w:sz w:val="18"/>
                <w:szCs w:val="18"/>
              </w:rPr>
            </w:pPr>
            <w:r w:rsidRPr="001D228D">
              <w:rPr>
                <w:sz w:val="18"/>
                <w:szCs w:val="18"/>
              </w:rPr>
              <w:t xml:space="preserve">Pittsburgh Sleep Quality Index (PSQI) for overall sleep quality  </w:t>
            </w:r>
            <w:sdt>
              <w:sdtPr>
                <w:rPr>
                  <w:color w:val="000000"/>
                  <w:szCs w:val="18"/>
                </w:rPr>
                <w:tag w:val="MENDELEY_CITATION_v3_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"/>
                <w:id w:val="1004779164"/>
                <w:placeholder>
                  <w:docPart w:val="B700A94C13C9464BA82929F49DFA3C29"/>
                </w:placeholder>
              </w:sdtPr>
              <w:sdtEndPr>
                <w:rPr>
                  <w:szCs w:val="20"/>
                </w:rPr>
              </w:sdtEndPr>
              <w:sdtContent>
                <w:r w:rsidR="00B43409" w:rsidRPr="00B43409">
                  <w:rPr>
                    <w:color w:val="000000"/>
                  </w:rPr>
                  <w:t>[537]</w:t>
                </w:r>
              </w:sdtContent>
            </w:sdt>
          </w:p>
        </w:tc>
      </w:tr>
      <w:tr w:rsidR="00DB5AA9" w:rsidRPr="001D228D" w14:paraId="4F37473E" w14:textId="77777777" w:rsidTr="0035708B">
        <w:trPr>
          <w:tblCellSpacing w:w="15" w:type="dxa"/>
        </w:trPr>
        <w:tc>
          <w:tcPr>
            <w:tcW w:w="1305" w:type="dxa"/>
            <w:vMerge w:val="restart"/>
            <w:hideMark/>
          </w:tcPr>
          <w:p w14:paraId="42660238" w14:textId="77777777" w:rsidR="00DB5AA9" w:rsidRPr="001D228D" w:rsidRDefault="00DB5AA9" w:rsidP="0035708B">
            <w:pPr>
              <w:contextualSpacing/>
              <w:rPr>
                <w:sz w:val="18"/>
                <w:szCs w:val="18"/>
              </w:rPr>
            </w:pPr>
            <w:r w:rsidRPr="001D228D">
              <w:rPr>
                <w:sz w:val="18"/>
                <w:szCs w:val="18"/>
              </w:rPr>
              <w:lastRenderedPageBreak/>
              <w:t>Built-environment context (optional)</w:t>
            </w:r>
          </w:p>
        </w:tc>
        <w:tc>
          <w:tcPr>
            <w:tcW w:w="1500" w:type="dxa"/>
            <w:hideMark/>
          </w:tcPr>
          <w:p w14:paraId="5E6FECA4" w14:textId="77777777" w:rsidR="00DB5AA9" w:rsidRPr="001D228D" w:rsidRDefault="00DB5AA9" w:rsidP="0035708B">
            <w:pPr>
              <w:contextualSpacing/>
              <w:rPr>
                <w:sz w:val="18"/>
                <w:szCs w:val="18"/>
              </w:rPr>
            </w:pPr>
            <w:r w:rsidRPr="001D228D">
              <w:rPr>
                <w:sz w:val="18"/>
                <w:szCs w:val="18"/>
              </w:rPr>
              <w:t>Main dwelling type</w:t>
            </w:r>
          </w:p>
        </w:tc>
        <w:tc>
          <w:tcPr>
            <w:tcW w:w="566" w:type="dxa"/>
            <w:hideMark/>
          </w:tcPr>
          <w:p w14:paraId="06D648AB"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65AE699D" w14:textId="77777777" w:rsidR="00DB5AA9" w:rsidRPr="001D228D" w:rsidRDefault="00DB5AA9" w:rsidP="0035708B">
            <w:pPr>
              <w:contextualSpacing/>
              <w:rPr>
                <w:sz w:val="18"/>
                <w:szCs w:val="18"/>
              </w:rPr>
            </w:pPr>
            <w:r w:rsidRPr="001D228D">
              <w:rPr>
                <w:sz w:val="18"/>
                <w:szCs w:val="18"/>
              </w:rPr>
              <w:t>Detached house / apartment / dorm / informal etc.</w:t>
            </w:r>
          </w:p>
        </w:tc>
        <w:tc>
          <w:tcPr>
            <w:tcW w:w="3139" w:type="dxa"/>
            <w:hideMark/>
          </w:tcPr>
          <w:p w14:paraId="6F168D4A" w14:textId="77777777" w:rsidR="00DB5AA9" w:rsidRPr="001D228D" w:rsidRDefault="00DB5AA9" w:rsidP="0035708B">
            <w:pPr>
              <w:contextualSpacing/>
              <w:rPr>
                <w:sz w:val="18"/>
                <w:szCs w:val="18"/>
              </w:rPr>
            </w:pPr>
            <w:r w:rsidRPr="001D228D">
              <w:rPr>
                <w:sz w:val="18"/>
                <w:szCs w:val="18"/>
              </w:rPr>
              <w:t>Simple categorical question</w:t>
            </w:r>
          </w:p>
        </w:tc>
      </w:tr>
      <w:tr w:rsidR="00DB5AA9" w:rsidRPr="001D228D" w14:paraId="098F6B14" w14:textId="77777777" w:rsidTr="0035708B">
        <w:trPr>
          <w:tblCellSpacing w:w="15" w:type="dxa"/>
        </w:trPr>
        <w:tc>
          <w:tcPr>
            <w:tcW w:w="1305" w:type="dxa"/>
            <w:vMerge/>
            <w:hideMark/>
          </w:tcPr>
          <w:p w14:paraId="16B4FD01" w14:textId="77777777" w:rsidR="00DB5AA9" w:rsidRPr="001D228D" w:rsidRDefault="00DB5AA9" w:rsidP="0035708B">
            <w:pPr>
              <w:contextualSpacing/>
              <w:rPr>
                <w:sz w:val="18"/>
                <w:szCs w:val="18"/>
              </w:rPr>
            </w:pPr>
          </w:p>
        </w:tc>
        <w:tc>
          <w:tcPr>
            <w:tcW w:w="1500" w:type="dxa"/>
            <w:hideMark/>
          </w:tcPr>
          <w:p w14:paraId="385ABCEC" w14:textId="77777777" w:rsidR="00DB5AA9" w:rsidRPr="001D228D" w:rsidRDefault="00DB5AA9" w:rsidP="0035708B">
            <w:pPr>
              <w:contextualSpacing/>
              <w:rPr>
                <w:sz w:val="18"/>
                <w:szCs w:val="18"/>
              </w:rPr>
            </w:pPr>
            <w:r w:rsidRPr="001D228D">
              <w:rPr>
                <w:sz w:val="18"/>
                <w:szCs w:val="18"/>
              </w:rPr>
              <w:t>Home and/or office heating/cooling systems</w:t>
            </w:r>
          </w:p>
        </w:tc>
        <w:tc>
          <w:tcPr>
            <w:tcW w:w="566" w:type="dxa"/>
            <w:hideMark/>
          </w:tcPr>
          <w:p w14:paraId="0C0E6DFF"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209E9553" w14:textId="77777777" w:rsidR="00DB5AA9" w:rsidRPr="001D228D" w:rsidRDefault="00DB5AA9" w:rsidP="0035708B">
            <w:pPr>
              <w:contextualSpacing/>
              <w:rPr>
                <w:sz w:val="18"/>
                <w:szCs w:val="18"/>
              </w:rPr>
            </w:pPr>
            <w:r w:rsidRPr="001D228D">
              <w:rPr>
                <w:sz w:val="18"/>
                <w:szCs w:val="18"/>
              </w:rPr>
              <w:t>Multi-select: central heating, floor heating, AC, fans, none, etc.</w:t>
            </w:r>
          </w:p>
        </w:tc>
        <w:tc>
          <w:tcPr>
            <w:tcW w:w="3139" w:type="dxa"/>
            <w:hideMark/>
          </w:tcPr>
          <w:p w14:paraId="7ED341C7" w14:textId="77777777" w:rsidR="00DB5AA9" w:rsidRPr="001D228D" w:rsidRDefault="00DB5AA9" w:rsidP="0035708B">
            <w:pPr>
              <w:contextualSpacing/>
              <w:rPr>
                <w:sz w:val="18"/>
                <w:szCs w:val="18"/>
              </w:rPr>
            </w:pPr>
            <w:r w:rsidRPr="001D228D">
              <w:rPr>
                <w:sz w:val="18"/>
                <w:szCs w:val="18"/>
              </w:rPr>
              <w:t>Simple checklist</w:t>
            </w:r>
          </w:p>
        </w:tc>
      </w:tr>
      <w:tr w:rsidR="00DB5AA9" w:rsidRPr="001D228D" w14:paraId="56E53C6D" w14:textId="77777777" w:rsidTr="0035708B">
        <w:trPr>
          <w:tblCellSpacing w:w="15" w:type="dxa"/>
        </w:trPr>
        <w:tc>
          <w:tcPr>
            <w:tcW w:w="1305" w:type="dxa"/>
            <w:vMerge/>
            <w:tcBorders>
              <w:bottom w:val="single" w:sz="4" w:space="0" w:color="auto"/>
            </w:tcBorders>
            <w:hideMark/>
          </w:tcPr>
          <w:p w14:paraId="5E0B9470"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7D4A7309" w14:textId="77777777" w:rsidR="00DB5AA9" w:rsidRPr="001D228D" w:rsidRDefault="00DB5AA9" w:rsidP="0035708B">
            <w:pPr>
              <w:contextualSpacing/>
              <w:rPr>
                <w:sz w:val="18"/>
                <w:szCs w:val="18"/>
              </w:rPr>
            </w:pPr>
            <w:r w:rsidRPr="001D228D">
              <w:rPr>
                <w:sz w:val="18"/>
                <w:szCs w:val="18"/>
              </w:rPr>
              <w:t>Typical bedroom temperature</w:t>
            </w:r>
          </w:p>
        </w:tc>
        <w:tc>
          <w:tcPr>
            <w:tcW w:w="566" w:type="dxa"/>
            <w:tcBorders>
              <w:bottom w:val="single" w:sz="4" w:space="0" w:color="auto"/>
            </w:tcBorders>
            <w:hideMark/>
          </w:tcPr>
          <w:p w14:paraId="2C2C251E"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3498CBB0" w14:textId="77777777" w:rsidR="00DB5AA9" w:rsidRPr="001D228D" w:rsidRDefault="00DB5AA9" w:rsidP="0035708B">
            <w:pPr>
              <w:contextualSpacing/>
              <w:rPr>
                <w:sz w:val="18"/>
                <w:szCs w:val="18"/>
              </w:rPr>
            </w:pPr>
            <w:r w:rsidRPr="001D228D">
              <w:rPr>
                <w:sz w:val="18"/>
                <w:szCs w:val="18"/>
              </w:rPr>
              <w:t>°C or cool/neutral/warm category</w:t>
            </w:r>
          </w:p>
        </w:tc>
        <w:tc>
          <w:tcPr>
            <w:tcW w:w="3139" w:type="dxa"/>
            <w:tcBorders>
              <w:bottom w:val="single" w:sz="4" w:space="0" w:color="auto"/>
            </w:tcBorders>
            <w:hideMark/>
          </w:tcPr>
          <w:p w14:paraId="64CAE5F8" w14:textId="77777777" w:rsidR="00DB5AA9" w:rsidRPr="001D228D" w:rsidRDefault="00DB5AA9" w:rsidP="0035708B">
            <w:pPr>
              <w:contextualSpacing/>
              <w:rPr>
                <w:sz w:val="18"/>
                <w:szCs w:val="18"/>
              </w:rPr>
            </w:pPr>
            <w:r w:rsidRPr="001D228D">
              <w:rPr>
                <w:sz w:val="18"/>
                <w:szCs w:val="18"/>
              </w:rPr>
              <w:t>Self-estimate question</w:t>
            </w:r>
          </w:p>
        </w:tc>
      </w:tr>
      <w:tr w:rsidR="00DB5AA9" w:rsidRPr="001D228D" w14:paraId="6B7D7307" w14:textId="77777777" w:rsidTr="0035708B">
        <w:trPr>
          <w:tblCellSpacing w:w="15" w:type="dxa"/>
        </w:trPr>
        <w:tc>
          <w:tcPr>
            <w:tcW w:w="1305" w:type="dxa"/>
            <w:vMerge w:val="restart"/>
            <w:hideMark/>
          </w:tcPr>
          <w:p w14:paraId="334BF991" w14:textId="77777777" w:rsidR="00DB5AA9" w:rsidRPr="001D228D" w:rsidRDefault="00DB5AA9" w:rsidP="0035708B">
            <w:pPr>
              <w:contextualSpacing/>
              <w:rPr>
                <w:sz w:val="18"/>
                <w:szCs w:val="18"/>
              </w:rPr>
            </w:pPr>
            <w:r w:rsidRPr="001D228D">
              <w:rPr>
                <w:sz w:val="18"/>
                <w:szCs w:val="18"/>
              </w:rPr>
              <w:t>Vision &amp; sensory (for light/EEG-heavy protocols)</w:t>
            </w:r>
          </w:p>
        </w:tc>
        <w:tc>
          <w:tcPr>
            <w:tcW w:w="1500" w:type="dxa"/>
            <w:hideMark/>
          </w:tcPr>
          <w:p w14:paraId="04B1EC99" w14:textId="77777777" w:rsidR="00DB5AA9" w:rsidRPr="001D228D" w:rsidRDefault="00DB5AA9" w:rsidP="0035708B">
            <w:pPr>
              <w:contextualSpacing/>
              <w:rPr>
                <w:sz w:val="18"/>
                <w:szCs w:val="18"/>
              </w:rPr>
            </w:pPr>
            <w:r w:rsidRPr="001D228D">
              <w:rPr>
                <w:sz w:val="18"/>
                <w:szCs w:val="18"/>
              </w:rPr>
              <w:t>Vision status</w:t>
            </w:r>
          </w:p>
        </w:tc>
        <w:tc>
          <w:tcPr>
            <w:tcW w:w="566" w:type="dxa"/>
            <w:hideMark/>
          </w:tcPr>
          <w:p w14:paraId="38CE508C" w14:textId="77777777" w:rsidR="00DB5AA9" w:rsidRPr="001D228D" w:rsidRDefault="00DB5AA9" w:rsidP="0035708B">
            <w:pPr>
              <w:contextualSpacing/>
              <w:rPr>
                <w:sz w:val="18"/>
                <w:szCs w:val="18"/>
              </w:rPr>
            </w:pPr>
            <w:r w:rsidRPr="001D228D">
              <w:rPr>
                <w:sz w:val="18"/>
                <w:szCs w:val="18"/>
              </w:rPr>
              <w:t>3</w:t>
            </w:r>
          </w:p>
        </w:tc>
        <w:tc>
          <w:tcPr>
            <w:tcW w:w="2670" w:type="dxa"/>
            <w:hideMark/>
          </w:tcPr>
          <w:p w14:paraId="5DF4CFB8" w14:textId="77777777" w:rsidR="00DB5AA9" w:rsidRPr="001D228D" w:rsidRDefault="00DB5AA9" w:rsidP="0035708B">
            <w:pPr>
              <w:contextualSpacing/>
              <w:rPr>
                <w:sz w:val="18"/>
                <w:szCs w:val="18"/>
              </w:rPr>
            </w:pPr>
            <w:r w:rsidRPr="001D228D">
              <w:rPr>
                <w:sz w:val="18"/>
                <w:szCs w:val="18"/>
              </w:rPr>
              <w:t>Normal with/without correction / impaired</w:t>
            </w:r>
          </w:p>
        </w:tc>
        <w:tc>
          <w:tcPr>
            <w:tcW w:w="3139" w:type="dxa"/>
            <w:hideMark/>
          </w:tcPr>
          <w:p w14:paraId="13D19CEA" w14:textId="77777777" w:rsidR="00DB5AA9" w:rsidRPr="001D228D" w:rsidRDefault="00DB5AA9" w:rsidP="0035708B">
            <w:pPr>
              <w:contextualSpacing/>
              <w:rPr>
                <w:sz w:val="18"/>
                <w:szCs w:val="18"/>
              </w:rPr>
            </w:pPr>
            <w:r w:rsidRPr="001D228D">
              <w:rPr>
                <w:sz w:val="18"/>
                <w:szCs w:val="18"/>
              </w:rPr>
              <w:t>Snellen or LogMAR chart; self-report of correction</w:t>
            </w:r>
          </w:p>
        </w:tc>
      </w:tr>
      <w:tr w:rsidR="00DB5AA9" w:rsidRPr="001D228D" w14:paraId="2FA5499C" w14:textId="77777777" w:rsidTr="0035708B">
        <w:trPr>
          <w:tblCellSpacing w:w="15" w:type="dxa"/>
        </w:trPr>
        <w:tc>
          <w:tcPr>
            <w:tcW w:w="1305" w:type="dxa"/>
            <w:vMerge/>
            <w:tcBorders>
              <w:bottom w:val="single" w:sz="4" w:space="0" w:color="auto"/>
            </w:tcBorders>
            <w:hideMark/>
          </w:tcPr>
          <w:p w14:paraId="46B2D252" w14:textId="77777777" w:rsidR="00DB5AA9" w:rsidRPr="001D228D" w:rsidRDefault="00DB5AA9" w:rsidP="0035708B">
            <w:pPr>
              <w:contextualSpacing/>
              <w:rPr>
                <w:sz w:val="18"/>
                <w:szCs w:val="18"/>
              </w:rPr>
            </w:pPr>
          </w:p>
        </w:tc>
        <w:tc>
          <w:tcPr>
            <w:tcW w:w="1500" w:type="dxa"/>
            <w:tcBorders>
              <w:bottom w:val="single" w:sz="4" w:space="0" w:color="auto"/>
            </w:tcBorders>
            <w:hideMark/>
          </w:tcPr>
          <w:p w14:paraId="553B7A84" w14:textId="77777777" w:rsidR="00DB5AA9" w:rsidRPr="001D228D" w:rsidRDefault="00DB5AA9" w:rsidP="0035708B">
            <w:pPr>
              <w:contextualSpacing/>
              <w:rPr>
                <w:sz w:val="18"/>
                <w:szCs w:val="18"/>
              </w:rPr>
            </w:pPr>
            <w:r w:rsidRPr="001D228D">
              <w:rPr>
                <w:sz w:val="18"/>
                <w:szCs w:val="18"/>
              </w:rPr>
              <w:t>Colour vision</w:t>
            </w:r>
          </w:p>
        </w:tc>
        <w:tc>
          <w:tcPr>
            <w:tcW w:w="566" w:type="dxa"/>
            <w:tcBorders>
              <w:bottom w:val="single" w:sz="4" w:space="0" w:color="auto"/>
            </w:tcBorders>
            <w:hideMark/>
          </w:tcPr>
          <w:p w14:paraId="65D7F4EA" w14:textId="77777777" w:rsidR="00DB5AA9" w:rsidRPr="001D228D" w:rsidRDefault="00DB5AA9" w:rsidP="0035708B">
            <w:pPr>
              <w:contextualSpacing/>
              <w:rPr>
                <w:sz w:val="18"/>
                <w:szCs w:val="18"/>
              </w:rPr>
            </w:pPr>
            <w:r w:rsidRPr="001D228D">
              <w:rPr>
                <w:sz w:val="18"/>
                <w:szCs w:val="18"/>
              </w:rPr>
              <w:t>3</w:t>
            </w:r>
          </w:p>
        </w:tc>
        <w:tc>
          <w:tcPr>
            <w:tcW w:w="2670" w:type="dxa"/>
            <w:tcBorders>
              <w:bottom w:val="single" w:sz="4" w:space="0" w:color="auto"/>
            </w:tcBorders>
            <w:hideMark/>
          </w:tcPr>
          <w:p w14:paraId="28DBA27B" w14:textId="77777777" w:rsidR="00DB5AA9" w:rsidRPr="001D228D" w:rsidRDefault="00DB5AA9" w:rsidP="0035708B">
            <w:pPr>
              <w:contextualSpacing/>
              <w:rPr>
                <w:sz w:val="18"/>
                <w:szCs w:val="18"/>
              </w:rPr>
            </w:pPr>
            <w:r w:rsidRPr="001D228D">
              <w:rPr>
                <w:sz w:val="18"/>
                <w:szCs w:val="18"/>
              </w:rPr>
              <w:t>Normal / red–green deficiency / other</w:t>
            </w:r>
          </w:p>
        </w:tc>
        <w:tc>
          <w:tcPr>
            <w:tcW w:w="3139" w:type="dxa"/>
            <w:tcBorders>
              <w:bottom w:val="single" w:sz="4" w:space="0" w:color="auto"/>
            </w:tcBorders>
            <w:hideMark/>
          </w:tcPr>
          <w:p w14:paraId="0CF50AA0" w14:textId="77777777" w:rsidR="00DB5AA9" w:rsidRPr="001D228D" w:rsidRDefault="00DB5AA9" w:rsidP="0035708B">
            <w:pPr>
              <w:contextualSpacing/>
              <w:rPr>
                <w:sz w:val="18"/>
                <w:szCs w:val="18"/>
              </w:rPr>
            </w:pPr>
            <w:r w:rsidRPr="001D228D">
              <w:rPr>
                <w:sz w:val="18"/>
                <w:szCs w:val="18"/>
              </w:rPr>
              <w:t>Ishihara plates or equivalent test</w:t>
            </w:r>
          </w:p>
        </w:tc>
      </w:tr>
    </w:tbl>
    <w:p w14:paraId="7305A2F6" w14:textId="77777777" w:rsidR="00DB5AA9" w:rsidRPr="001D228D" w:rsidRDefault="00DB5AA9" w:rsidP="00DB5AA9">
      <w:r w:rsidRPr="001D228D">
        <w:t>Note. Some questions may be redundant when already used as an exclusion criterion, e.g., if having any CV history is an exclusion reason, then no need to repeat it in participant metadata.</w:t>
      </w:r>
      <w:r w:rsidRPr="001D228D">
        <w:br/>
      </w:r>
    </w:p>
    <w:p w14:paraId="3A49A789" w14:textId="77777777" w:rsidR="00DB5AA9" w:rsidRPr="001D228D" w:rsidRDefault="00DB5AA9" w:rsidP="00DB5AA9">
      <w:pPr>
        <w:pStyle w:val="Heading2"/>
        <w:rPr>
          <w:lang w:val="en-GB"/>
        </w:rPr>
      </w:pPr>
      <w:bookmarkStart w:id="98" w:name="_Toc223281711"/>
      <w:r w:rsidRPr="001D228D">
        <w:rPr>
          <w:lang w:val="en-GB"/>
        </w:rPr>
        <w:t>Session-level metadata</w:t>
      </w:r>
      <w:bookmarkEnd w:id="98"/>
    </w:p>
    <w:p w14:paraId="36AD0976" w14:textId="77777777" w:rsidR="00DB5AA9" w:rsidRPr="001D228D" w:rsidRDefault="00DB5AA9" w:rsidP="00DB5AA9">
      <w:r w:rsidRPr="001D228D">
        <w:t xml:space="preserve">Session-level metadata </w:t>
      </w:r>
      <w:r>
        <w:t>captures</w:t>
      </w:r>
      <w:r w:rsidRPr="001D228D">
        <w:t xml:space="preserve"> all information that varies from one visit or experimental condition to the next for a given participant. Many of the acute modifiers discussed in Section 2—such as last night’s sleep, time since waking, recent illness, caffeine or meal timing, and daily hormonal fluctuations—change from day to day and therefore must be recorded at the session rather than participant level.</w:t>
      </w:r>
    </w:p>
    <w:p w14:paraId="2750D3C7" w14:textId="77777777" w:rsidR="00DB5AA9" w:rsidRPr="001D228D" w:rsidRDefault="00DB5AA9" w:rsidP="00DB5AA9">
      <w:r w:rsidRPr="001D228D">
        <w:t xml:space="preserve">Each session is represented by one row in a dedicated metadata table, with one column per </w:t>
      </w:r>
      <w:r>
        <w:t>session</w:t>
      </w:r>
      <w:r w:rsidRPr="001D228D">
        <w:t xml:space="preserve"> field. As with the experiment- and participant-level schemas, fields are grouped by topic (e.g., Identifiers &amp; Timing, Devices &amp; Logistics, Protocol Adherence, Acute Health State) and assigned to informal tiers:</w:t>
      </w:r>
    </w:p>
    <w:p w14:paraId="62D93FF3" w14:textId="77777777" w:rsidR="00DB5AA9" w:rsidRPr="001D228D" w:rsidRDefault="00DB5AA9" w:rsidP="00DB5AA9">
      <w:pPr>
        <w:pStyle w:val="Bullet"/>
      </w:pPr>
      <w:r w:rsidRPr="001D228D">
        <w:rPr>
          <w:u w:val="single"/>
        </w:rPr>
        <w:t>Tier 1 – Core:</w:t>
      </w:r>
      <w:r w:rsidRPr="001D228D">
        <w:rPr>
          <w:b/>
          <w:bCs/>
        </w:rPr>
        <w:t xml:space="preserve"> </w:t>
      </w:r>
      <w:r w:rsidRPr="001D228D">
        <w:t>Essential variables recorded for every visit (e.g., session ID, date and time, condition code, clothing, sleep duration, pre-session restrictions, acute illness indicators).</w:t>
      </w:r>
    </w:p>
    <w:p w14:paraId="43773222" w14:textId="77777777" w:rsidR="00DB5AA9" w:rsidRPr="001D228D" w:rsidRDefault="00DB5AA9" w:rsidP="00DB5AA9">
      <w:pPr>
        <w:pStyle w:val="Bullet"/>
      </w:pPr>
      <w:r w:rsidRPr="001D228D">
        <w:rPr>
          <w:u w:val="single"/>
        </w:rPr>
        <w:t>Tier 2 – Recommended:</w:t>
      </w:r>
      <w:r w:rsidRPr="001D228D">
        <w:rPr>
          <w:b/>
          <w:bCs/>
        </w:rPr>
        <w:t xml:space="preserve"> </w:t>
      </w:r>
      <w:r w:rsidRPr="001D228D">
        <w:t>Factors that meaningfully influence thermophysiological responses but may not always be collected (e.g., researchers present, acclimation period, night-shift work, time since exercise).</w:t>
      </w:r>
    </w:p>
    <w:p w14:paraId="4ECB088F" w14:textId="77777777" w:rsidR="00DB5AA9" w:rsidRPr="001D228D" w:rsidRDefault="00DB5AA9" w:rsidP="00DB5AA9">
      <w:pPr>
        <w:pStyle w:val="Bullet"/>
      </w:pPr>
      <w:r w:rsidRPr="001D228D">
        <w:rPr>
          <w:u w:val="single"/>
        </w:rPr>
        <w:t>Tier 3 – Specialised:</w:t>
      </w:r>
      <w:r w:rsidRPr="001D228D">
        <w:rPr>
          <w:b/>
          <w:bCs/>
        </w:rPr>
        <w:t xml:space="preserve"> </w:t>
      </w:r>
      <w:r w:rsidRPr="001D228D">
        <w:t>Detailed or study-specific variables, such as exact bathroom break volumes, caloric intake calculations, event logs, or fine-grained environmental contextualisation.</w:t>
      </w:r>
    </w:p>
    <w:p w14:paraId="5E14375B" w14:textId="77777777" w:rsidR="00DB5AA9" w:rsidRPr="001D228D" w:rsidRDefault="00DB5AA9" w:rsidP="00DB5AA9">
      <w:r w:rsidRPr="001D228D">
        <w:t>Individual studies may extend this table with experiment-specific columns, such as time points for discrete measurements, cognitive task blocks, stepwise heating/cooling adjustments, water-intake increments, or protocol deviations. The core fields remain comparable across studies, facilitating harmonisation and meta-analysis.</w:t>
      </w:r>
    </w:p>
    <w:p w14:paraId="489C7CFE" w14:textId="77777777" w:rsidR="00DB5AA9" w:rsidRPr="001D228D" w:rsidRDefault="00DB5AA9" w:rsidP="00DB5AA9">
      <w:r w:rsidRPr="001D228D">
        <w:t>Session metadata can be recorded via paper logs, REDCap/Qualtrics forms, or digital forms directly linked to the underlying session table.</w:t>
      </w:r>
    </w:p>
    <w:p w14:paraId="3673FB6F" w14:textId="7F66EE3A" w:rsidR="00DB5AA9" w:rsidRPr="001D228D" w:rsidRDefault="00DB5AA9" w:rsidP="00DB5AA9">
      <w:pPr>
        <w:pStyle w:val="Caption"/>
      </w:pPr>
      <w:bookmarkStart w:id="99" w:name="_Ref213774585"/>
      <w:bookmarkStart w:id="100" w:name="_Ref213797537"/>
      <w:r w:rsidRPr="001D228D">
        <w:t xml:space="preserve">Table </w:t>
      </w:r>
      <w:r w:rsidRPr="001D228D">
        <w:fldChar w:fldCharType="begin"/>
      </w:r>
      <w:r w:rsidRPr="001D228D">
        <w:instrText xml:space="preserve"> SEQ Table \* ARABIC </w:instrText>
      </w:r>
      <w:r w:rsidRPr="001D228D">
        <w:fldChar w:fldCharType="separate"/>
      </w:r>
      <w:r w:rsidR="007650AF">
        <w:rPr>
          <w:noProof/>
        </w:rPr>
        <w:t>11</w:t>
      </w:r>
      <w:r w:rsidRPr="001D228D">
        <w:fldChar w:fldCharType="end"/>
      </w:r>
      <w:bookmarkEnd w:id="99"/>
      <w:r w:rsidRPr="001D228D">
        <w:t xml:space="preserve">. Example </w:t>
      </w:r>
      <w:bookmarkEnd w:id="100"/>
      <w:r w:rsidRPr="001D228D">
        <w:t>session-level metadata schema, organised by group, tier, and typical data formats, with optional references to instruments or logging tools.</w:t>
      </w:r>
    </w:p>
    <w:tbl>
      <w:tblPr>
        <w:tblW w:w="9270" w:type="dxa"/>
        <w:tblCellSpacing w:w="15" w:type="dxa"/>
        <w:tblCellMar>
          <w:top w:w="15" w:type="dxa"/>
          <w:left w:w="15" w:type="dxa"/>
          <w:bottom w:w="15" w:type="dxa"/>
          <w:right w:w="15" w:type="dxa"/>
        </w:tblCellMar>
        <w:tblLook w:val="04A0" w:firstRow="1" w:lastRow="0" w:firstColumn="1" w:lastColumn="0" w:noHBand="0" w:noVBand="1"/>
      </w:tblPr>
      <w:tblGrid>
        <w:gridCol w:w="1772"/>
        <w:gridCol w:w="1538"/>
        <w:gridCol w:w="560"/>
        <w:gridCol w:w="2700"/>
        <w:gridCol w:w="2700"/>
      </w:tblGrid>
      <w:tr w:rsidR="00DB5AA9" w:rsidRPr="001D228D" w14:paraId="3F3655EF" w14:textId="77777777" w:rsidTr="0035708B">
        <w:trPr>
          <w:tblHeader/>
          <w:tblCellSpacing w:w="15" w:type="dxa"/>
        </w:trPr>
        <w:tc>
          <w:tcPr>
            <w:tcW w:w="0" w:type="auto"/>
            <w:tcBorders>
              <w:bottom w:val="single" w:sz="4" w:space="0" w:color="auto"/>
            </w:tcBorders>
            <w:hideMark/>
          </w:tcPr>
          <w:p w14:paraId="1A819F07" w14:textId="77777777" w:rsidR="00DB5AA9" w:rsidRPr="001D228D" w:rsidRDefault="00DB5AA9" w:rsidP="0035708B">
            <w:pPr>
              <w:contextualSpacing/>
              <w:rPr>
                <w:b/>
                <w:bCs/>
                <w:sz w:val="18"/>
                <w:szCs w:val="18"/>
              </w:rPr>
            </w:pPr>
            <w:r w:rsidRPr="001D228D">
              <w:rPr>
                <w:b/>
                <w:bCs/>
                <w:sz w:val="18"/>
                <w:szCs w:val="18"/>
              </w:rPr>
              <w:t>Group</w:t>
            </w:r>
          </w:p>
        </w:tc>
        <w:tc>
          <w:tcPr>
            <w:tcW w:w="1508" w:type="dxa"/>
            <w:tcBorders>
              <w:bottom w:val="single" w:sz="4" w:space="0" w:color="auto"/>
            </w:tcBorders>
            <w:hideMark/>
          </w:tcPr>
          <w:p w14:paraId="79BE90E1" w14:textId="77777777" w:rsidR="00DB5AA9" w:rsidRPr="001D228D" w:rsidRDefault="00DB5AA9" w:rsidP="0035708B">
            <w:pPr>
              <w:contextualSpacing/>
              <w:rPr>
                <w:b/>
                <w:bCs/>
                <w:sz w:val="18"/>
                <w:szCs w:val="18"/>
              </w:rPr>
            </w:pPr>
            <w:r w:rsidRPr="001D228D">
              <w:rPr>
                <w:b/>
                <w:bCs/>
                <w:sz w:val="18"/>
                <w:szCs w:val="18"/>
              </w:rPr>
              <w:t>Field name</w:t>
            </w:r>
          </w:p>
        </w:tc>
        <w:tc>
          <w:tcPr>
            <w:tcW w:w="530" w:type="dxa"/>
            <w:tcBorders>
              <w:bottom w:val="single" w:sz="4" w:space="0" w:color="auto"/>
            </w:tcBorders>
            <w:hideMark/>
          </w:tcPr>
          <w:p w14:paraId="1EC8F091" w14:textId="77777777" w:rsidR="00DB5AA9" w:rsidRPr="001D228D" w:rsidRDefault="00DB5AA9" w:rsidP="0035708B">
            <w:pPr>
              <w:contextualSpacing/>
              <w:rPr>
                <w:b/>
                <w:bCs/>
                <w:sz w:val="18"/>
                <w:szCs w:val="18"/>
              </w:rPr>
            </w:pPr>
            <w:r w:rsidRPr="001D228D">
              <w:rPr>
                <w:b/>
                <w:bCs/>
                <w:sz w:val="18"/>
                <w:szCs w:val="18"/>
              </w:rPr>
              <w:t>Tier</w:t>
            </w:r>
          </w:p>
        </w:tc>
        <w:tc>
          <w:tcPr>
            <w:tcW w:w="2670" w:type="dxa"/>
            <w:tcBorders>
              <w:bottom w:val="single" w:sz="4" w:space="0" w:color="auto"/>
            </w:tcBorders>
            <w:hideMark/>
          </w:tcPr>
          <w:p w14:paraId="1DC1A2A6" w14:textId="77777777" w:rsidR="00DB5AA9" w:rsidRPr="001D228D" w:rsidRDefault="00DB5AA9" w:rsidP="0035708B">
            <w:pPr>
              <w:contextualSpacing/>
              <w:rPr>
                <w:b/>
                <w:bCs/>
                <w:sz w:val="18"/>
                <w:szCs w:val="18"/>
              </w:rPr>
            </w:pPr>
            <w:r w:rsidRPr="001D228D">
              <w:rPr>
                <w:b/>
                <w:bCs/>
                <w:sz w:val="18"/>
                <w:szCs w:val="18"/>
              </w:rPr>
              <w:t>Typical answers / coding</w:t>
            </w:r>
          </w:p>
        </w:tc>
        <w:tc>
          <w:tcPr>
            <w:tcW w:w="2655" w:type="dxa"/>
            <w:tcBorders>
              <w:bottom w:val="single" w:sz="4" w:space="0" w:color="auto"/>
            </w:tcBorders>
            <w:hideMark/>
          </w:tcPr>
          <w:p w14:paraId="28898815" w14:textId="77777777" w:rsidR="00DB5AA9" w:rsidRPr="001D228D" w:rsidRDefault="00DB5AA9" w:rsidP="0035708B">
            <w:pPr>
              <w:contextualSpacing/>
              <w:rPr>
                <w:b/>
                <w:bCs/>
                <w:sz w:val="18"/>
                <w:szCs w:val="18"/>
              </w:rPr>
            </w:pPr>
            <w:r w:rsidRPr="001D228D">
              <w:rPr>
                <w:b/>
                <w:bCs/>
                <w:sz w:val="18"/>
                <w:szCs w:val="18"/>
              </w:rPr>
              <w:t>Example instruments / tools</w:t>
            </w:r>
          </w:p>
        </w:tc>
      </w:tr>
      <w:tr w:rsidR="00DB5AA9" w:rsidRPr="001D228D" w14:paraId="6C97DEC4" w14:textId="77777777" w:rsidTr="0035708B">
        <w:trPr>
          <w:tblCellSpacing w:w="15" w:type="dxa"/>
        </w:trPr>
        <w:tc>
          <w:tcPr>
            <w:tcW w:w="0" w:type="auto"/>
            <w:hideMark/>
          </w:tcPr>
          <w:p w14:paraId="228B9688" w14:textId="77777777" w:rsidR="00DB5AA9" w:rsidRPr="001D228D" w:rsidRDefault="00DB5AA9" w:rsidP="0035708B">
            <w:pPr>
              <w:contextualSpacing/>
              <w:rPr>
                <w:sz w:val="18"/>
                <w:szCs w:val="18"/>
              </w:rPr>
            </w:pPr>
            <w:r w:rsidRPr="001D228D">
              <w:rPr>
                <w:sz w:val="18"/>
                <w:szCs w:val="18"/>
              </w:rPr>
              <w:t>Identifiers &amp; timing</w:t>
            </w:r>
          </w:p>
        </w:tc>
        <w:tc>
          <w:tcPr>
            <w:tcW w:w="1508" w:type="dxa"/>
            <w:hideMark/>
          </w:tcPr>
          <w:p w14:paraId="601A97AD" w14:textId="77777777" w:rsidR="00DB5AA9" w:rsidRPr="001D228D" w:rsidRDefault="00DB5AA9" w:rsidP="0035708B">
            <w:pPr>
              <w:contextualSpacing/>
              <w:rPr>
                <w:sz w:val="18"/>
                <w:szCs w:val="18"/>
              </w:rPr>
            </w:pPr>
            <w:r w:rsidRPr="001D228D">
              <w:rPr>
                <w:sz w:val="18"/>
                <w:szCs w:val="18"/>
              </w:rPr>
              <w:t>Session ID</w:t>
            </w:r>
          </w:p>
        </w:tc>
        <w:tc>
          <w:tcPr>
            <w:tcW w:w="530" w:type="dxa"/>
            <w:hideMark/>
          </w:tcPr>
          <w:p w14:paraId="7739B17E"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B5B3351" w14:textId="77777777" w:rsidR="00DB5AA9" w:rsidRPr="001D228D" w:rsidRDefault="00DB5AA9" w:rsidP="0035708B">
            <w:pPr>
              <w:contextualSpacing/>
              <w:rPr>
                <w:sz w:val="18"/>
                <w:szCs w:val="18"/>
              </w:rPr>
            </w:pPr>
            <w:r w:rsidRPr="001D228D">
              <w:rPr>
                <w:sz w:val="18"/>
                <w:szCs w:val="18"/>
              </w:rPr>
              <w:t>Unique ID per visit/condition (e.g. P01_S1, P03_C01_Armchair)</w:t>
            </w:r>
          </w:p>
        </w:tc>
        <w:tc>
          <w:tcPr>
            <w:tcW w:w="2655" w:type="dxa"/>
            <w:hideMark/>
          </w:tcPr>
          <w:p w14:paraId="74CCB710" w14:textId="77777777" w:rsidR="00DB5AA9" w:rsidRPr="001D228D" w:rsidRDefault="00DB5AA9" w:rsidP="0035708B">
            <w:pPr>
              <w:contextualSpacing/>
              <w:rPr>
                <w:sz w:val="18"/>
                <w:szCs w:val="18"/>
              </w:rPr>
            </w:pPr>
            <w:r w:rsidRPr="001D228D">
              <w:rPr>
                <w:sz w:val="18"/>
                <w:szCs w:val="18"/>
              </w:rPr>
              <w:t>Lab-defined</w:t>
            </w:r>
          </w:p>
        </w:tc>
      </w:tr>
      <w:tr w:rsidR="00DB5AA9" w:rsidRPr="001D228D" w14:paraId="2727D748" w14:textId="77777777" w:rsidTr="0035708B">
        <w:trPr>
          <w:tblCellSpacing w:w="15" w:type="dxa"/>
        </w:trPr>
        <w:tc>
          <w:tcPr>
            <w:tcW w:w="0" w:type="auto"/>
            <w:hideMark/>
          </w:tcPr>
          <w:p w14:paraId="1949EC15" w14:textId="77777777" w:rsidR="00DB5AA9" w:rsidRPr="001D228D" w:rsidRDefault="00DB5AA9" w:rsidP="0035708B">
            <w:pPr>
              <w:contextualSpacing/>
              <w:rPr>
                <w:sz w:val="18"/>
                <w:szCs w:val="18"/>
              </w:rPr>
            </w:pPr>
          </w:p>
        </w:tc>
        <w:tc>
          <w:tcPr>
            <w:tcW w:w="1508" w:type="dxa"/>
            <w:hideMark/>
          </w:tcPr>
          <w:p w14:paraId="43F2A43E" w14:textId="77777777" w:rsidR="00DB5AA9" w:rsidRPr="001D228D" w:rsidRDefault="00DB5AA9" w:rsidP="0035708B">
            <w:pPr>
              <w:contextualSpacing/>
              <w:rPr>
                <w:sz w:val="18"/>
                <w:szCs w:val="18"/>
              </w:rPr>
            </w:pPr>
            <w:r w:rsidRPr="001D228D">
              <w:rPr>
                <w:sz w:val="18"/>
                <w:szCs w:val="18"/>
              </w:rPr>
              <w:t>Participant ID</w:t>
            </w:r>
          </w:p>
        </w:tc>
        <w:tc>
          <w:tcPr>
            <w:tcW w:w="530" w:type="dxa"/>
            <w:hideMark/>
          </w:tcPr>
          <w:p w14:paraId="4E93A45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1151BFD" w14:textId="77777777" w:rsidR="00DB5AA9" w:rsidRPr="001D228D" w:rsidRDefault="00DB5AA9" w:rsidP="0035708B">
            <w:pPr>
              <w:contextualSpacing/>
              <w:rPr>
                <w:sz w:val="18"/>
                <w:szCs w:val="18"/>
              </w:rPr>
            </w:pPr>
            <w:r w:rsidRPr="001D228D">
              <w:rPr>
                <w:sz w:val="18"/>
                <w:szCs w:val="18"/>
              </w:rPr>
              <w:t>Unique participant code linked to master table (P01, SL23_001, etc.)</w:t>
            </w:r>
          </w:p>
        </w:tc>
        <w:tc>
          <w:tcPr>
            <w:tcW w:w="2655" w:type="dxa"/>
            <w:hideMark/>
          </w:tcPr>
          <w:p w14:paraId="71DF8615" w14:textId="77777777" w:rsidR="00DB5AA9" w:rsidRPr="001D228D" w:rsidRDefault="00DB5AA9" w:rsidP="0035708B">
            <w:pPr>
              <w:contextualSpacing/>
              <w:rPr>
                <w:sz w:val="18"/>
                <w:szCs w:val="18"/>
              </w:rPr>
            </w:pPr>
            <w:r w:rsidRPr="001D228D">
              <w:rPr>
                <w:sz w:val="18"/>
                <w:szCs w:val="18"/>
              </w:rPr>
              <w:t>Lab-defined</w:t>
            </w:r>
          </w:p>
        </w:tc>
      </w:tr>
      <w:tr w:rsidR="00DB5AA9" w:rsidRPr="001D228D" w14:paraId="0C555E46" w14:textId="77777777" w:rsidTr="0035708B">
        <w:trPr>
          <w:tblCellSpacing w:w="15" w:type="dxa"/>
        </w:trPr>
        <w:tc>
          <w:tcPr>
            <w:tcW w:w="0" w:type="auto"/>
            <w:hideMark/>
          </w:tcPr>
          <w:p w14:paraId="3E7A9E2D" w14:textId="77777777" w:rsidR="00DB5AA9" w:rsidRPr="001D228D" w:rsidRDefault="00DB5AA9" w:rsidP="0035708B">
            <w:pPr>
              <w:contextualSpacing/>
              <w:rPr>
                <w:sz w:val="18"/>
                <w:szCs w:val="18"/>
              </w:rPr>
            </w:pPr>
          </w:p>
        </w:tc>
        <w:tc>
          <w:tcPr>
            <w:tcW w:w="1508" w:type="dxa"/>
            <w:hideMark/>
          </w:tcPr>
          <w:p w14:paraId="011306F5" w14:textId="77777777" w:rsidR="00DB5AA9" w:rsidRPr="001D228D" w:rsidRDefault="00DB5AA9" w:rsidP="0035708B">
            <w:pPr>
              <w:contextualSpacing/>
              <w:rPr>
                <w:sz w:val="18"/>
                <w:szCs w:val="18"/>
              </w:rPr>
            </w:pPr>
            <w:r w:rsidRPr="001D228D">
              <w:rPr>
                <w:sz w:val="18"/>
                <w:szCs w:val="18"/>
              </w:rPr>
              <w:t>Date</w:t>
            </w:r>
          </w:p>
        </w:tc>
        <w:tc>
          <w:tcPr>
            <w:tcW w:w="530" w:type="dxa"/>
            <w:hideMark/>
          </w:tcPr>
          <w:p w14:paraId="51FE99FA"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F65F5C5" w14:textId="77777777" w:rsidR="00DB5AA9" w:rsidRPr="001D228D" w:rsidRDefault="00DB5AA9" w:rsidP="0035708B">
            <w:pPr>
              <w:contextualSpacing/>
              <w:rPr>
                <w:sz w:val="18"/>
                <w:szCs w:val="18"/>
              </w:rPr>
            </w:pPr>
            <w:r w:rsidRPr="001D228D">
              <w:rPr>
                <w:sz w:val="18"/>
                <w:szCs w:val="18"/>
              </w:rPr>
              <w:t xml:space="preserve">Calendar date </w:t>
            </w:r>
          </w:p>
        </w:tc>
        <w:tc>
          <w:tcPr>
            <w:tcW w:w="2655" w:type="dxa"/>
            <w:hideMark/>
          </w:tcPr>
          <w:p w14:paraId="759265B9" w14:textId="77777777" w:rsidR="00DB5AA9" w:rsidRPr="001D228D" w:rsidRDefault="00DB5AA9" w:rsidP="0035708B">
            <w:pPr>
              <w:contextualSpacing/>
              <w:rPr>
                <w:sz w:val="18"/>
                <w:szCs w:val="18"/>
              </w:rPr>
            </w:pPr>
            <w:r w:rsidRPr="001D228D">
              <w:rPr>
                <w:sz w:val="18"/>
                <w:szCs w:val="18"/>
              </w:rPr>
              <w:t>–  YYYY-MM-DD or format noted</w:t>
            </w:r>
          </w:p>
        </w:tc>
      </w:tr>
      <w:tr w:rsidR="00DB5AA9" w:rsidRPr="001D228D" w14:paraId="20716663" w14:textId="77777777" w:rsidTr="0035708B">
        <w:trPr>
          <w:tblCellSpacing w:w="15" w:type="dxa"/>
        </w:trPr>
        <w:tc>
          <w:tcPr>
            <w:tcW w:w="0" w:type="auto"/>
            <w:hideMark/>
          </w:tcPr>
          <w:p w14:paraId="420E64D8" w14:textId="77777777" w:rsidR="00DB5AA9" w:rsidRPr="001D228D" w:rsidRDefault="00DB5AA9" w:rsidP="0035708B">
            <w:pPr>
              <w:contextualSpacing/>
              <w:rPr>
                <w:sz w:val="18"/>
                <w:szCs w:val="18"/>
              </w:rPr>
            </w:pPr>
          </w:p>
        </w:tc>
        <w:tc>
          <w:tcPr>
            <w:tcW w:w="1508" w:type="dxa"/>
            <w:hideMark/>
          </w:tcPr>
          <w:p w14:paraId="3D3F7BE6" w14:textId="77777777" w:rsidR="00DB5AA9" w:rsidRPr="001D228D" w:rsidRDefault="00DB5AA9" w:rsidP="0035708B">
            <w:pPr>
              <w:contextualSpacing/>
              <w:rPr>
                <w:sz w:val="18"/>
                <w:szCs w:val="18"/>
              </w:rPr>
            </w:pPr>
            <w:r w:rsidRPr="001D228D">
              <w:rPr>
                <w:sz w:val="18"/>
                <w:szCs w:val="18"/>
              </w:rPr>
              <w:t>Session start time</w:t>
            </w:r>
          </w:p>
        </w:tc>
        <w:tc>
          <w:tcPr>
            <w:tcW w:w="530" w:type="dxa"/>
            <w:hideMark/>
          </w:tcPr>
          <w:p w14:paraId="478100B1"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3B0473D9" w14:textId="77777777" w:rsidR="00DB5AA9" w:rsidRPr="001D228D" w:rsidRDefault="00DB5AA9" w:rsidP="0035708B">
            <w:pPr>
              <w:contextualSpacing/>
              <w:rPr>
                <w:sz w:val="18"/>
                <w:szCs w:val="18"/>
              </w:rPr>
            </w:pPr>
            <w:r w:rsidRPr="001D228D">
              <w:rPr>
                <w:sz w:val="18"/>
                <w:szCs w:val="18"/>
              </w:rPr>
              <w:t>24-h clock time or UNIX timestamp</w:t>
            </w:r>
          </w:p>
        </w:tc>
        <w:tc>
          <w:tcPr>
            <w:tcW w:w="2655" w:type="dxa"/>
            <w:hideMark/>
          </w:tcPr>
          <w:p w14:paraId="34DD14BD" w14:textId="77777777" w:rsidR="00DB5AA9" w:rsidRPr="001D228D" w:rsidRDefault="00DB5AA9" w:rsidP="0035708B">
            <w:pPr>
              <w:contextualSpacing/>
              <w:rPr>
                <w:sz w:val="18"/>
                <w:szCs w:val="18"/>
              </w:rPr>
            </w:pPr>
            <w:r w:rsidRPr="001D228D">
              <w:rPr>
                <w:sz w:val="18"/>
                <w:szCs w:val="18"/>
              </w:rPr>
              <w:t>–</w:t>
            </w:r>
          </w:p>
        </w:tc>
      </w:tr>
      <w:tr w:rsidR="00DB5AA9" w:rsidRPr="001D228D" w14:paraId="0CDDAFE6" w14:textId="77777777" w:rsidTr="0035708B">
        <w:trPr>
          <w:tblCellSpacing w:w="15" w:type="dxa"/>
        </w:trPr>
        <w:tc>
          <w:tcPr>
            <w:tcW w:w="0" w:type="auto"/>
            <w:hideMark/>
          </w:tcPr>
          <w:p w14:paraId="3971A1A2" w14:textId="77777777" w:rsidR="00DB5AA9" w:rsidRPr="001D228D" w:rsidRDefault="00DB5AA9" w:rsidP="0035708B">
            <w:pPr>
              <w:contextualSpacing/>
              <w:rPr>
                <w:sz w:val="18"/>
                <w:szCs w:val="18"/>
              </w:rPr>
            </w:pPr>
          </w:p>
        </w:tc>
        <w:tc>
          <w:tcPr>
            <w:tcW w:w="1508" w:type="dxa"/>
            <w:hideMark/>
          </w:tcPr>
          <w:p w14:paraId="57528A22" w14:textId="77777777" w:rsidR="00DB5AA9" w:rsidRPr="001D228D" w:rsidRDefault="00DB5AA9" w:rsidP="0035708B">
            <w:pPr>
              <w:contextualSpacing/>
              <w:rPr>
                <w:sz w:val="18"/>
                <w:szCs w:val="18"/>
              </w:rPr>
            </w:pPr>
            <w:r w:rsidRPr="001D228D">
              <w:rPr>
                <w:sz w:val="18"/>
                <w:szCs w:val="18"/>
              </w:rPr>
              <w:t>Session end time</w:t>
            </w:r>
          </w:p>
        </w:tc>
        <w:tc>
          <w:tcPr>
            <w:tcW w:w="530" w:type="dxa"/>
            <w:hideMark/>
          </w:tcPr>
          <w:p w14:paraId="148A22BB"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2631463" w14:textId="77777777" w:rsidR="00DB5AA9" w:rsidRPr="001D228D" w:rsidRDefault="00DB5AA9" w:rsidP="0035708B">
            <w:pPr>
              <w:contextualSpacing/>
              <w:rPr>
                <w:sz w:val="18"/>
                <w:szCs w:val="18"/>
              </w:rPr>
            </w:pPr>
            <w:r w:rsidRPr="001D228D">
              <w:rPr>
                <w:sz w:val="18"/>
                <w:szCs w:val="18"/>
              </w:rPr>
              <w:t>24-h clock time or UNIX timestamp</w:t>
            </w:r>
          </w:p>
        </w:tc>
        <w:tc>
          <w:tcPr>
            <w:tcW w:w="2655" w:type="dxa"/>
            <w:hideMark/>
          </w:tcPr>
          <w:p w14:paraId="7E11D322" w14:textId="77777777" w:rsidR="00DB5AA9" w:rsidRPr="001D228D" w:rsidRDefault="00DB5AA9" w:rsidP="0035708B">
            <w:pPr>
              <w:contextualSpacing/>
              <w:rPr>
                <w:sz w:val="18"/>
                <w:szCs w:val="18"/>
              </w:rPr>
            </w:pPr>
            <w:r w:rsidRPr="001D228D">
              <w:rPr>
                <w:sz w:val="18"/>
                <w:szCs w:val="18"/>
              </w:rPr>
              <w:t>–</w:t>
            </w:r>
          </w:p>
        </w:tc>
      </w:tr>
      <w:tr w:rsidR="00DB5AA9" w:rsidRPr="001D228D" w14:paraId="5ABFC2B8" w14:textId="77777777" w:rsidTr="0035708B">
        <w:trPr>
          <w:tblCellSpacing w:w="15" w:type="dxa"/>
        </w:trPr>
        <w:tc>
          <w:tcPr>
            <w:tcW w:w="0" w:type="auto"/>
            <w:hideMark/>
          </w:tcPr>
          <w:p w14:paraId="2FB1B770" w14:textId="77777777" w:rsidR="00DB5AA9" w:rsidRPr="001D228D" w:rsidRDefault="00DB5AA9" w:rsidP="0035708B">
            <w:pPr>
              <w:contextualSpacing/>
              <w:rPr>
                <w:sz w:val="18"/>
                <w:szCs w:val="18"/>
              </w:rPr>
            </w:pPr>
          </w:p>
        </w:tc>
        <w:tc>
          <w:tcPr>
            <w:tcW w:w="1508" w:type="dxa"/>
            <w:hideMark/>
          </w:tcPr>
          <w:p w14:paraId="4FD715F5" w14:textId="77777777" w:rsidR="00DB5AA9" w:rsidRPr="001D228D" w:rsidRDefault="00DB5AA9" w:rsidP="0035708B">
            <w:pPr>
              <w:contextualSpacing/>
              <w:rPr>
                <w:sz w:val="18"/>
                <w:szCs w:val="18"/>
              </w:rPr>
            </w:pPr>
            <w:r w:rsidRPr="001D228D">
              <w:rPr>
                <w:sz w:val="18"/>
                <w:szCs w:val="18"/>
              </w:rPr>
              <w:t>Condition / scenario code</w:t>
            </w:r>
          </w:p>
        </w:tc>
        <w:tc>
          <w:tcPr>
            <w:tcW w:w="530" w:type="dxa"/>
            <w:hideMark/>
          </w:tcPr>
          <w:p w14:paraId="097242C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7F789FE9" w14:textId="77777777" w:rsidR="00DB5AA9" w:rsidRPr="001D228D" w:rsidRDefault="00DB5AA9" w:rsidP="0035708B">
            <w:pPr>
              <w:contextualSpacing/>
              <w:rPr>
                <w:sz w:val="18"/>
                <w:szCs w:val="18"/>
              </w:rPr>
            </w:pPr>
            <w:r w:rsidRPr="001D228D">
              <w:rPr>
                <w:sz w:val="18"/>
                <w:szCs w:val="18"/>
              </w:rPr>
              <w:t>Text label for assigned condition (e.g. C01_01, Heat_26C, Night_Armchair)</w:t>
            </w:r>
          </w:p>
        </w:tc>
        <w:tc>
          <w:tcPr>
            <w:tcW w:w="2655" w:type="dxa"/>
            <w:hideMark/>
          </w:tcPr>
          <w:p w14:paraId="519BA2C2" w14:textId="77777777" w:rsidR="00DB5AA9" w:rsidRPr="001D228D" w:rsidRDefault="00DB5AA9" w:rsidP="0035708B">
            <w:pPr>
              <w:contextualSpacing/>
              <w:rPr>
                <w:sz w:val="18"/>
                <w:szCs w:val="18"/>
              </w:rPr>
            </w:pPr>
            <w:r w:rsidRPr="001D228D">
              <w:rPr>
                <w:sz w:val="18"/>
                <w:szCs w:val="18"/>
              </w:rPr>
              <w:t>Lab-defined</w:t>
            </w:r>
          </w:p>
        </w:tc>
      </w:tr>
      <w:tr w:rsidR="00DB5AA9" w:rsidRPr="001D228D" w14:paraId="59E02EBE" w14:textId="77777777" w:rsidTr="0035708B">
        <w:trPr>
          <w:tblCellSpacing w:w="15" w:type="dxa"/>
        </w:trPr>
        <w:tc>
          <w:tcPr>
            <w:tcW w:w="0" w:type="auto"/>
            <w:hideMark/>
          </w:tcPr>
          <w:p w14:paraId="099DE94F" w14:textId="77777777" w:rsidR="00DB5AA9" w:rsidRPr="001D228D" w:rsidRDefault="00DB5AA9" w:rsidP="0035708B">
            <w:pPr>
              <w:contextualSpacing/>
              <w:rPr>
                <w:sz w:val="18"/>
                <w:szCs w:val="18"/>
              </w:rPr>
            </w:pPr>
          </w:p>
        </w:tc>
        <w:tc>
          <w:tcPr>
            <w:tcW w:w="1508" w:type="dxa"/>
            <w:hideMark/>
          </w:tcPr>
          <w:p w14:paraId="0A0C34B9" w14:textId="77777777" w:rsidR="00DB5AA9" w:rsidRPr="001D228D" w:rsidRDefault="00DB5AA9" w:rsidP="0035708B">
            <w:pPr>
              <w:contextualSpacing/>
              <w:rPr>
                <w:sz w:val="18"/>
                <w:szCs w:val="18"/>
              </w:rPr>
            </w:pPr>
            <w:r w:rsidRPr="001D228D">
              <w:rPr>
                <w:sz w:val="18"/>
                <w:szCs w:val="18"/>
              </w:rPr>
              <w:t>Location / room</w:t>
            </w:r>
          </w:p>
        </w:tc>
        <w:tc>
          <w:tcPr>
            <w:tcW w:w="530" w:type="dxa"/>
            <w:hideMark/>
          </w:tcPr>
          <w:p w14:paraId="114F5974"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2C276C1E" w14:textId="77777777" w:rsidR="00DB5AA9" w:rsidRPr="001D228D" w:rsidRDefault="00DB5AA9" w:rsidP="0035708B">
            <w:pPr>
              <w:contextualSpacing/>
              <w:rPr>
                <w:sz w:val="18"/>
                <w:szCs w:val="18"/>
              </w:rPr>
            </w:pPr>
            <w:r w:rsidRPr="001D228D">
              <w:rPr>
                <w:sz w:val="18"/>
                <w:szCs w:val="18"/>
              </w:rPr>
              <w:t>Room or laboratory code</w:t>
            </w:r>
          </w:p>
        </w:tc>
        <w:tc>
          <w:tcPr>
            <w:tcW w:w="2655" w:type="dxa"/>
            <w:hideMark/>
          </w:tcPr>
          <w:p w14:paraId="7F6B7E7B" w14:textId="77777777" w:rsidR="00DB5AA9" w:rsidRPr="001D228D" w:rsidRDefault="00DB5AA9" w:rsidP="0035708B">
            <w:pPr>
              <w:contextualSpacing/>
              <w:rPr>
                <w:sz w:val="18"/>
                <w:szCs w:val="18"/>
              </w:rPr>
            </w:pPr>
            <w:r w:rsidRPr="001D228D">
              <w:rPr>
                <w:sz w:val="18"/>
                <w:szCs w:val="18"/>
              </w:rPr>
              <w:t>–</w:t>
            </w:r>
          </w:p>
        </w:tc>
      </w:tr>
      <w:tr w:rsidR="00DB5AA9" w:rsidRPr="001D228D" w14:paraId="45A6C2B2" w14:textId="77777777" w:rsidTr="0035708B">
        <w:trPr>
          <w:tblCellSpacing w:w="15" w:type="dxa"/>
        </w:trPr>
        <w:tc>
          <w:tcPr>
            <w:tcW w:w="0" w:type="auto"/>
            <w:tcBorders>
              <w:bottom w:val="single" w:sz="4" w:space="0" w:color="auto"/>
            </w:tcBorders>
            <w:hideMark/>
          </w:tcPr>
          <w:p w14:paraId="086E04D2"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7FBB9EF0" w14:textId="77777777" w:rsidR="00DB5AA9" w:rsidRPr="001D228D" w:rsidRDefault="00DB5AA9" w:rsidP="0035708B">
            <w:pPr>
              <w:contextualSpacing/>
              <w:rPr>
                <w:sz w:val="18"/>
                <w:szCs w:val="18"/>
              </w:rPr>
            </w:pPr>
            <w:r w:rsidRPr="001D228D">
              <w:rPr>
                <w:sz w:val="18"/>
                <w:szCs w:val="18"/>
              </w:rPr>
              <w:t>Researchers present</w:t>
            </w:r>
          </w:p>
        </w:tc>
        <w:tc>
          <w:tcPr>
            <w:tcW w:w="530" w:type="dxa"/>
            <w:tcBorders>
              <w:bottom w:val="single" w:sz="4" w:space="0" w:color="auto"/>
            </w:tcBorders>
            <w:hideMark/>
          </w:tcPr>
          <w:p w14:paraId="5BCD554C"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6F4E250A" w14:textId="77777777" w:rsidR="00DB5AA9" w:rsidRPr="001D228D" w:rsidRDefault="00DB5AA9" w:rsidP="0035708B">
            <w:pPr>
              <w:contextualSpacing/>
              <w:rPr>
                <w:sz w:val="18"/>
                <w:szCs w:val="18"/>
              </w:rPr>
            </w:pPr>
            <w:r w:rsidRPr="001D228D">
              <w:rPr>
                <w:sz w:val="18"/>
                <w:szCs w:val="18"/>
              </w:rPr>
              <w:t>Initials or staff codes</w:t>
            </w:r>
          </w:p>
        </w:tc>
        <w:tc>
          <w:tcPr>
            <w:tcW w:w="2655" w:type="dxa"/>
            <w:tcBorders>
              <w:bottom w:val="single" w:sz="4" w:space="0" w:color="auto"/>
            </w:tcBorders>
            <w:hideMark/>
          </w:tcPr>
          <w:p w14:paraId="23EFE812" w14:textId="77777777" w:rsidR="00DB5AA9" w:rsidRPr="001D228D" w:rsidRDefault="00DB5AA9" w:rsidP="0035708B">
            <w:pPr>
              <w:contextualSpacing/>
              <w:rPr>
                <w:sz w:val="18"/>
                <w:szCs w:val="18"/>
              </w:rPr>
            </w:pPr>
            <w:r w:rsidRPr="001D228D">
              <w:rPr>
                <w:sz w:val="18"/>
                <w:szCs w:val="18"/>
              </w:rPr>
              <w:t>–</w:t>
            </w:r>
          </w:p>
        </w:tc>
      </w:tr>
      <w:tr w:rsidR="00DB5AA9" w:rsidRPr="001D228D" w14:paraId="30F07145" w14:textId="77777777" w:rsidTr="0035708B">
        <w:trPr>
          <w:tblCellSpacing w:w="15" w:type="dxa"/>
        </w:trPr>
        <w:tc>
          <w:tcPr>
            <w:tcW w:w="0" w:type="auto"/>
            <w:hideMark/>
          </w:tcPr>
          <w:p w14:paraId="2987FD6F" w14:textId="77777777" w:rsidR="00DB5AA9" w:rsidRPr="001D228D" w:rsidRDefault="00DB5AA9" w:rsidP="0035708B">
            <w:pPr>
              <w:contextualSpacing/>
              <w:rPr>
                <w:sz w:val="18"/>
                <w:szCs w:val="18"/>
              </w:rPr>
            </w:pPr>
            <w:r w:rsidRPr="001D228D">
              <w:rPr>
                <w:sz w:val="18"/>
                <w:szCs w:val="18"/>
              </w:rPr>
              <w:t>Devices &amp; protocol logistics</w:t>
            </w:r>
          </w:p>
        </w:tc>
        <w:tc>
          <w:tcPr>
            <w:tcW w:w="1508" w:type="dxa"/>
            <w:hideMark/>
          </w:tcPr>
          <w:p w14:paraId="61124BD6" w14:textId="77777777" w:rsidR="00DB5AA9" w:rsidRPr="001D228D" w:rsidRDefault="00DB5AA9" w:rsidP="0035708B">
            <w:pPr>
              <w:contextualSpacing/>
              <w:rPr>
                <w:sz w:val="18"/>
                <w:szCs w:val="18"/>
              </w:rPr>
            </w:pPr>
            <w:r w:rsidRPr="001D228D">
              <w:rPr>
                <w:sz w:val="18"/>
                <w:szCs w:val="18"/>
              </w:rPr>
              <w:t>Device IDs used</w:t>
            </w:r>
          </w:p>
        </w:tc>
        <w:tc>
          <w:tcPr>
            <w:tcW w:w="530" w:type="dxa"/>
            <w:hideMark/>
          </w:tcPr>
          <w:p w14:paraId="15F439A5"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5542DCE" w14:textId="77777777" w:rsidR="00DB5AA9" w:rsidRPr="001D228D" w:rsidRDefault="00DB5AA9" w:rsidP="0035708B">
            <w:pPr>
              <w:contextualSpacing/>
              <w:rPr>
                <w:sz w:val="18"/>
                <w:szCs w:val="18"/>
              </w:rPr>
            </w:pPr>
            <w:r w:rsidRPr="001D228D">
              <w:rPr>
                <w:sz w:val="18"/>
                <w:szCs w:val="18"/>
              </w:rPr>
              <w:t>ID numbers for all devices applied to this participant</w:t>
            </w:r>
          </w:p>
        </w:tc>
        <w:tc>
          <w:tcPr>
            <w:tcW w:w="2655" w:type="dxa"/>
            <w:hideMark/>
          </w:tcPr>
          <w:p w14:paraId="196E20E3" w14:textId="77777777" w:rsidR="00DB5AA9" w:rsidRPr="001D228D" w:rsidRDefault="00DB5AA9" w:rsidP="0035708B">
            <w:pPr>
              <w:contextualSpacing/>
              <w:rPr>
                <w:sz w:val="18"/>
                <w:szCs w:val="18"/>
              </w:rPr>
            </w:pPr>
            <w:r w:rsidRPr="001D228D">
              <w:rPr>
                <w:sz w:val="18"/>
                <w:szCs w:val="18"/>
              </w:rPr>
              <w:t>Internal device inventory</w:t>
            </w:r>
          </w:p>
        </w:tc>
      </w:tr>
      <w:tr w:rsidR="00DB5AA9" w:rsidRPr="001D228D" w14:paraId="785A22FC" w14:textId="77777777" w:rsidTr="0035708B">
        <w:trPr>
          <w:tblCellSpacing w:w="15" w:type="dxa"/>
        </w:trPr>
        <w:tc>
          <w:tcPr>
            <w:tcW w:w="0" w:type="auto"/>
            <w:hideMark/>
          </w:tcPr>
          <w:p w14:paraId="13361E83" w14:textId="77777777" w:rsidR="00DB5AA9" w:rsidRPr="001D228D" w:rsidRDefault="00DB5AA9" w:rsidP="0035708B">
            <w:pPr>
              <w:contextualSpacing/>
              <w:rPr>
                <w:sz w:val="18"/>
                <w:szCs w:val="18"/>
              </w:rPr>
            </w:pPr>
          </w:p>
        </w:tc>
        <w:tc>
          <w:tcPr>
            <w:tcW w:w="1508" w:type="dxa"/>
            <w:hideMark/>
          </w:tcPr>
          <w:p w14:paraId="1E3D5525" w14:textId="77777777" w:rsidR="00DB5AA9" w:rsidRPr="001D228D" w:rsidRDefault="00DB5AA9" w:rsidP="0035708B">
            <w:pPr>
              <w:contextualSpacing/>
              <w:rPr>
                <w:sz w:val="18"/>
                <w:szCs w:val="18"/>
              </w:rPr>
            </w:pPr>
            <w:r w:rsidRPr="001D228D">
              <w:rPr>
                <w:sz w:val="18"/>
                <w:szCs w:val="18"/>
              </w:rPr>
              <w:t>Device attachment / ingestion times</w:t>
            </w:r>
          </w:p>
        </w:tc>
        <w:tc>
          <w:tcPr>
            <w:tcW w:w="530" w:type="dxa"/>
            <w:hideMark/>
          </w:tcPr>
          <w:p w14:paraId="31F81FD8"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6EA6C2D" w14:textId="77777777" w:rsidR="00DB5AA9" w:rsidRPr="001D228D" w:rsidRDefault="00DB5AA9" w:rsidP="0035708B">
            <w:pPr>
              <w:contextualSpacing/>
              <w:rPr>
                <w:sz w:val="18"/>
                <w:szCs w:val="18"/>
              </w:rPr>
            </w:pPr>
            <w:r w:rsidRPr="001D228D">
              <w:rPr>
                <w:sz w:val="18"/>
                <w:szCs w:val="18"/>
              </w:rPr>
              <w:t>Clock times per device (e.g., “CBT pill ingested 17:50”, “Sensors attached 17:55”)</w:t>
            </w:r>
          </w:p>
        </w:tc>
        <w:tc>
          <w:tcPr>
            <w:tcW w:w="2655" w:type="dxa"/>
            <w:hideMark/>
          </w:tcPr>
          <w:p w14:paraId="3A44B17F" w14:textId="77777777" w:rsidR="00DB5AA9" w:rsidRPr="001D228D" w:rsidRDefault="00DB5AA9" w:rsidP="0035708B">
            <w:pPr>
              <w:contextualSpacing/>
              <w:rPr>
                <w:sz w:val="18"/>
                <w:szCs w:val="18"/>
              </w:rPr>
            </w:pPr>
            <w:r w:rsidRPr="001D228D">
              <w:rPr>
                <w:sz w:val="18"/>
                <w:szCs w:val="18"/>
              </w:rPr>
              <w:t>–</w:t>
            </w:r>
          </w:p>
        </w:tc>
      </w:tr>
      <w:tr w:rsidR="00DB5AA9" w:rsidRPr="001D228D" w14:paraId="4F852877" w14:textId="77777777" w:rsidTr="0035708B">
        <w:trPr>
          <w:tblCellSpacing w:w="15" w:type="dxa"/>
        </w:trPr>
        <w:tc>
          <w:tcPr>
            <w:tcW w:w="0" w:type="auto"/>
          </w:tcPr>
          <w:p w14:paraId="34FD132F" w14:textId="77777777" w:rsidR="00DB5AA9" w:rsidRPr="001D228D" w:rsidRDefault="00DB5AA9" w:rsidP="0035708B">
            <w:pPr>
              <w:contextualSpacing/>
              <w:rPr>
                <w:sz w:val="18"/>
                <w:szCs w:val="18"/>
              </w:rPr>
            </w:pPr>
          </w:p>
        </w:tc>
        <w:tc>
          <w:tcPr>
            <w:tcW w:w="1508" w:type="dxa"/>
          </w:tcPr>
          <w:p w14:paraId="6BD5D2CE" w14:textId="77777777" w:rsidR="00DB5AA9" w:rsidRPr="001D228D" w:rsidRDefault="00DB5AA9" w:rsidP="0035708B">
            <w:pPr>
              <w:contextualSpacing/>
              <w:rPr>
                <w:sz w:val="18"/>
                <w:szCs w:val="18"/>
              </w:rPr>
            </w:pPr>
            <w:r w:rsidRPr="001D228D">
              <w:rPr>
                <w:sz w:val="18"/>
                <w:szCs w:val="18"/>
              </w:rPr>
              <w:t>Device attachment type</w:t>
            </w:r>
          </w:p>
        </w:tc>
        <w:tc>
          <w:tcPr>
            <w:tcW w:w="530" w:type="dxa"/>
          </w:tcPr>
          <w:p w14:paraId="050515C9" w14:textId="77777777" w:rsidR="00DB5AA9" w:rsidRPr="001D228D" w:rsidRDefault="00DB5AA9" w:rsidP="0035708B">
            <w:pPr>
              <w:contextualSpacing/>
              <w:rPr>
                <w:sz w:val="18"/>
                <w:szCs w:val="18"/>
              </w:rPr>
            </w:pPr>
            <w:r w:rsidRPr="001D228D">
              <w:rPr>
                <w:sz w:val="18"/>
                <w:szCs w:val="18"/>
              </w:rPr>
              <w:t>1</w:t>
            </w:r>
          </w:p>
        </w:tc>
        <w:tc>
          <w:tcPr>
            <w:tcW w:w="2670" w:type="dxa"/>
          </w:tcPr>
          <w:p w14:paraId="2F2177B1" w14:textId="77777777" w:rsidR="00DB5AA9" w:rsidRPr="001D228D" w:rsidRDefault="00DB5AA9" w:rsidP="0035708B">
            <w:pPr>
              <w:contextualSpacing/>
              <w:rPr>
                <w:sz w:val="18"/>
                <w:szCs w:val="18"/>
              </w:rPr>
            </w:pPr>
            <w:r w:rsidRPr="001D228D">
              <w:rPr>
                <w:sz w:val="18"/>
                <w:szCs w:val="18"/>
              </w:rPr>
              <w:t>Attachment type per device, when relevant (e.g., “Skin temperature sensor IDXXXXX: Medical tape”)</w:t>
            </w:r>
          </w:p>
        </w:tc>
        <w:tc>
          <w:tcPr>
            <w:tcW w:w="2655" w:type="dxa"/>
          </w:tcPr>
          <w:p w14:paraId="31F99991" w14:textId="77777777" w:rsidR="00DB5AA9" w:rsidRPr="001D228D" w:rsidRDefault="00DB5AA9" w:rsidP="0035708B">
            <w:pPr>
              <w:contextualSpacing/>
              <w:rPr>
                <w:sz w:val="18"/>
                <w:szCs w:val="18"/>
              </w:rPr>
            </w:pPr>
            <w:r w:rsidRPr="001D228D">
              <w:rPr>
                <w:sz w:val="18"/>
                <w:szCs w:val="18"/>
              </w:rPr>
              <w:t>–</w:t>
            </w:r>
          </w:p>
        </w:tc>
      </w:tr>
      <w:tr w:rsidR="00DB5AA9" w:rsidRPr="001D228D" w14:paraId="2800D3FA" w14:textId="77777777" w:rsidTr="0035708B">
        <w:trPr>
          <w:tblCellSpacing w:w="15" w:type="dxa"/>
        </w:trPr>
        <w:tc>
          <w:tcPr>
            <w:tcW w:w="0" w:type="auto"/>
            <w:hideMark/>
          </w:tcPr>
          <w:p w14:paraId="426E4070" w14:textId="77777777" w:rsidR="00DB5AA9" w:rsidRPr="001D228D" w:rsidRDefault="00DB5AA9" w:rsidP="0035708B">
            <w:pPr>
              <w:contextualSpacing/>
              <w:rPr>
                <w:sz w:val="18"/>
                <w:szCs w:val="18"/>
              </w:rPr>
            </w:pPr>
          </w:p>
        </w:tc>
        <w:tc>
          <w:tcPr>
            <w:tcW w:w="1508" w:type="dxa"/>
            <w:hideMark/>
          </w:tcPr>
          <w:p w14:paraId="1AAACF0C" w14:textId="77777777" w:rsidR="00DB5AA9" w:rsidRPr="001D228D" w:rsidRDefault="00DB5AA9" w:rsidP="0035708B">
            <w:pPr>
              <w:contextualSpacing/>
              <w:rPr>
                <w:sz w:val="18"/>
                <w:szCs w:val="18"/>
              </w:rPr>
            </w:pPr>
            <w:r w:rsidRPr="001D228D">
              <w:rPr>
                <w:sz w:val="18"/>
                <w:szCs w:val="18"/>
              </w:rPr>
              <w:t>Condition order / randomisation code</w:t>
            </w:r>
          </w:p>
        </w:tc>
        <w:tc>
          <w:tcPr>
            <w:tcW w:w="530" w:type="dxa"/>
            <w:hideMark/>
          </w:tcPr>
          <w:p w14:paraId="25D5C857"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573884D" w14:textId="77777777" w:rsidR="00DB5AA9" w:rsidRPr="001D228D" w:rsidRDefault="00DB5AA9" w:rsidP="0035708B">
            <w:pPr>
              <w:contextualSpacing/>
              <w:rPr>
                <w:sz w:val="18"/>
                <w:szCs w:val="18"/>
              </w:rPr>
            </w:pPr>
            <w:r w:rsidRPr="001D228D">
              <w:rPr>
                <w:sz w:val="18"/>
                <w:szCs w:val="18"/>
              </w:rPr>
              <w:t>Randomisation sequence label (e.g., “Sequence A: warm → neutral → cool”)</w:t>
            </w:r>
          </w:p>
        </w:tc>
        <w:tc>
          <w:tcPr>
            <w:tcW w:w="2655" w:type="dxa"/>
            <w:hideMark/>
          </w:tcPr>
          <w:p w14:paraId="0C40AB85" w14:textId="77777777" w:rsidR="00DB5AA9" w:rsidRPr="001D228D" w:rsidRDefault="00DB5AA9" w:rsidP="0035708B">
            <w:pPr>
              <w:contextualSpacing/>
              <w:rPr>
                <w:sz w:val="18"/>
                <w:szCs w:val="18"/>
              </w:rPr>
            </w:pPr>
            <w:r w:rsidRPr="001D228D">
              <w:rPr>
                <w:sz w:val="18"/>
                <w:szCs w:val="18"/>
              </w:rPr>
              <w:t>Study randomisation plan</w:t>
            </w:r>
          </w:p>
        </w:tc>
      </w:tr>
      <w:tr w:rsidR="00DB5AA9" w:rsidRPr="001D228D" w14:paraId="32C4D37C" w14:textId="77777777" w:rsidTr="0035708B">
        <w:trPr>
          <w:tblCellSpacing w:w="15" w:type="dxa"/>
        </w:trPr>
        <w:tc>
          <w:tcPr>
            <w:tcW w:w="0" w:type="auto"/>
            <w:tcBorders>
              <w:bottom w:val="single" w:sz="4" w:space="0" w:color="auto"/>
            </w:tcBorders>
            <w:hideMark/>
          </w:tcPr>
          <w:p w14:paraId="42D0DC50"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61A0AF45" w14:textId="77777777" w:rsidR="00DB5AA9" w:rsidRPr="001D228D" w:rsidRDefault="00DB5AA9" w:rsidP="0035708B">
            <w:pPr>
              <w:contextualSpacing/>
              <w:rPr>
                <w:sz w:val="18"/>
                <w:szCs w:val="18"/>
              </w:rPr>
            </w:pPr>
            <w:r w:rsidRPr="001D228D">
              <w:rPr>
                <w:sz w:val="18"/>
                <w:szCs w:val="18"/>
              </w:rPr>
              <w:t>Calibration / zeroing performed</w:t>
            </w:r>
          </w:p>
        </w:tc>
        <w:tc>
          <w:tcPr>
            <w:tcW w:w="530" w:type="dxa"/>
            <w:tcBorders>
              <w:bottom w:val="single" w:sz="4" w:space="0" w:color="auto"/>
            </w:tcBorders>
            <w:hideMark/>
          </w:tcPr>
          <w:p w14:paraId="6C70CB79"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3E3ABFE4" w14:textId="77777777" w:rsidR="00DB5AA9" w:rsidRPr="001D228D" w:rsidRDefault="00DB5AA9" w:rsidP="0035708B">
            <w:pPr>
              <w:contextualSpacing/>
              <w:rPr>
                <w:sz w:val="18"/>
                <w:szCs w:val="18"/>
              </w:rPr>
            </w:pPr>
            <w:r w:rsidRPr="001D228D">
              <w:rPr>
                <w:sz w:val="18"/>
                <w:szCs w:val="18"/>
              </w:rPr>
              <w:t>Yes/No + short note (e.g., “BP device calibrated 2025-06-01”)</w:t>
            </w:r>
          </w:p>
        </w:tc>
        <w:tc>
          <w:tcPr>
            <w:tcW w:w="2655" w:type="dxa"/>
            <w:tcBorders>
              <w:bottom w:val="single" w:sz="4" w:space="0" w:color="auto"/>
            </w:tcBorders>
            <w:hideMark/>
          </w:tcPr>
          <w:p w14:paraId="6EE06D0F" w14:textId="77777777" w:rsidR="00DB5AA9" w:rsidRPr="001D228D" w:rsidRDefault="00DB5AA9" w:rsidP="0035708B">
            <w:pPr>
              <w:contextualSpacing/>
              <w:rPr>
                <w:sz w:val="18"/>
                <w:szCs w:val="18"/>
              </w:rPr>
            </w:pPr>
            <w:r w:rsidRPr="001D228D">
              <w:rPr>
                <w:sz w:val="18"/>
                <w:szCs w:val="18"/>
              </w:rPr>
              <w:t>Device calibration logs</w:t>
            </w:r>
          </w:p>
        </w:tc>
      </w:tr>
      <w:tr w:rsidR="00DB5AA9" w:rsidRPr="001D228D" w14:paraId="180B9BB6" w14:textId="77777777" w:rsidTr="0035708B">
        <w:trPr>
          <w:tblCellSpacing w:w="15" w:type="dxa"/>
        </w:trPr>
        <w:tc>
          <w:tcPr>
            <w:tcW w:w="0" w:type="auto"/>
            <w:vMerge w:val="restart"/>
            <w:hideMark/>
          </w:tcPr>
          <w:p w14:paraId="43F1F96A" w14:textId="77777777" w:rsidR="00DB5AA9" w:rsidRPr="001D228D" w:rsidRDefault="00DB5AA9" w:rsidP="0035708B">
            <w:pPr>
              <w:contextualSpacing/>
              <w:rPr>
                <w:sz w:val="18"/>
                <w:szCs w:val="18"/>
              </w:rPr>
            </w:pPr>
            <w:r w:rsidRPr="001D228D">
              <w:rPr>
                <w:sz w:val="18"/>
                <w:szCs w:val="18"/>
              </w:rPr>
              <w:t>Environment &amp; exposure (session context)</w:t>
            </w:r>
          </w:p>
        </w:tc>
        <w:tc>
          <w:tcPr>
            <w:tcW w:w="1508" w:type="dxa"/>
            <w:hideMark/>
          </w:tcPr>
          <w:p w14:paraId="34FA2848" w14:textId="77777777" w:rsidR="00DB5AA9" w:rsidRPr="001D228D" w:rsidRDefault="00DB5AA9" w:rsidP="0035708B">
            <w:pPr>
              <w:contextualSpacing/>
              <w:rPr>
                <w:sz w:val="18"/>
                <w:szCs w:val="18"/>
              </w:rPr>
            </w:pPr>
            <w:r w:rsidRPr="001D228D">
              <w:rPr>
                <w:sz w:val="18"/>
                <w:szCs w:val="18"/>
              </w:rPr>
              <w:t>Clothing description</w:t>
            </w:r>
          </w:p>
        </w:tc>
        <w:tc>
          <w:tcPr>
            <w:tcW w:w="530" w:type="dxa"/>
            <w:hideMark/>
          </w:tcPr>
          <w:p w14:paraId="7BE824A6"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13D2F3FC" w14:textId="77777777" w:rsidR="00DB5AA9" w:rsidRPr="001D228D" w:rsidRDefault="00DB5AA9" w:rsidP="0035708B">
            <w:pPr>
              <w:contextualSpacing/>
              <w:rPr>
                <w:sz w:val="18"/>
                <w:szCs w:val="18"/>
              </w:rPr>
            </w:pPr>
            <w:r w:rsidRPr="001D228D">
              <w:rPr>
                <w:sz w:val="18"/>
                <w:szCs w:val="18"/>
              </w:rPr>
              <w:t>Free text description (e.g. “T-shirt, jeans, socks”)</w:t>
            </w:r>
          </w:p>
        </w:tc>
        <w:tc>
          <w:tcPr>
            <w:tcW w:w="2655" w:type="dxa"/>
            <w:hideMark/>
          </w:tcPr>
          <w:p w14:paraId="1EE6D1CE" w14:textId="77777777" w:rsidR="00DB5AA9" w:rsidRPr="001D228D" w:rsidRDefault="00DB5AA9" w:rsidP="0035708B">
            <w:pPr>
              <w:contextualSpacing/>
              <w:rPr>
                <w:sz w:val="18"/>
                <w:szCs w:val="18"/>
              </w:rPr>
            </w:pPr>
            <w:r w:rsidRPr="001D228D">
              <w:rPr>
                <w:sz w:val="18"/>
                <w:szCs w:val="18"/>
              </w:rPr>
              <w:t>–</w:t>
            </w:r>
          </w:p>
        </w:tc>
      </w:tr>
      <w:tr w:rsidR="00DB5AA9" w:rsidRPr="001D228D" w14:paraId="7C1E69E4" w14:textId="77777777" w:rsidTr="0035708B">
        <w:trPr>
          <w:tblCellSpacing w:w="15" w:type="dxa"/>
        </w:trPr>
        <w:tc>
          <w:tcPr>
            <w:tcW w:w="0" w:type="auto"/>
            <w:vMerge/>
            <w:hideMark/>
          </w:tcPr>
          <w:p w14:paraId="106160B9" w14:textId="77777777" w:rsidR="00DB5AA9" w:rsidRPr="001D228D" w:rsidRDefault="00DB5AA9" w:rsidP="0035708B">
            <w:pPr>
              <w:contextualSpacing/>
              <w:rPr>
                <w:sz w:val="18"/>
                <w:szCs w:val="18"/>
              </w:rPr>
            </w:pPr>
          </w:p>
        </w:tc>
        <w:tc>
          <w:tcPr>
            <w:tcW w:w="1508" w:type="dxa"/>
            <w:hideMark/>
          </w:tcPr>
          <w:p w14:paraId="02C85740" w14:textId="77777777" w:rsidR="00DB5AA9" w:rsidRPr="001D228D" w:rsidRDefault="00DB5AA9" w:rsidP="0035708B">
            <w:pPr>
              <w:contextualSpacing/>
              <w:rPr>
                <w:sz w:val="18"/>
                <w:szCs w:val="18"/>
              </w:rPr>
            </w:pPr>
            <w:r w:rsidRPr="001D228D">
              <w:rPr>
                <w:sz w:val="18"/>
                <w:szCs w:val="18"/>
              </w:rPr>
              <w:t>Clothing insulation (clo)</w:t>
            </w:r>
          </w:p>
        </w:tc>
        <w:tc>
          <w:tcPr>
            <w:tcW w:w="530" w:type="dxa"/>
            <w:hideMark/>
          </w:tcPr>
          <w:p w14:paraId="5AC7F50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440F47DD" w14:textId="77777777" w:rsidR="00DB5AA9" w:rsidRPr="001D228D" w:rsidRDefault="00DB5AA9" w:rsidP="0035708B">
            <w:pPr>
              <w:contextualSpacing/>
              <w:rPr>
                <w:sz w:val="18"/>
                <w:szCs w:val="18"/>
              </w:rPr>
            </w:pPr>
            <w:r w:rsidRPr="001D228D">
              <w:rPr>
                <w:sz w:val="18"/>
                <w:szCs w:val="18"/>
              </w:rPr>
              <w:t>Numeric clo value (approx. 0.5–1.5 etc.)</w:t>
            </w:r>
          </w:p>
        </w:tc>
        <w:tc>
          <w:tcPr>
            <w:tcW w:w="2655" w:type="dxa"/>
            <w:hideMark/>
          </w:tcPr>
          <w:p w14:paraId="1944B69D" w14:textId="77777777" w:rsidR="00DB5AA9" w:rsidRPr="001D228D" w:rsidRDefault="00DB5AA9" w:rsidP="0035708B">
            <w:pPr>
              <w:contextualSpacing/>
              <w:rPr>
                <w:sz w:val="18"/>
                <w:szCs w:val="18"/>
              </w:rPr>
            </w:pPr>
            <w:r w:rsidRPr="001D228D">
              <w:rPr>
                <w:sz w:val="18"/>
                <w:szCs w:val="18"/>
              </w:rPr>
              <w:t>Estimation based on ISO 9920 tables; or lab-specific lookup</w:t>
            </w:r>
          </w:p>
        </w:tc>
      </w:tr>
      <w:tr w:rsidR="00DB5AA9" w:rsidRPr="001D228D" w14:paraId="6AD2EF9C" w14:textId="77777777" w:rsidTr="0035708B">
        <w:trPr>
          <w:tblCellSpacing w:w="15" w:type="dxa"/>
        </w:trPr>
        <w:tc>
          <w:tcPr>
            <w:tcW w:w="0" w:type="auto"/>
            <w:vMerge/>
            <w:hideMark/>
          </w:tcPr>
          <w:p w14:paraId="35D14D42" w14:textId="77777777" w:rsidR="00DB5AA9" w:rsidRPr="001D228D" w:rsidRDefault="00DB5AA9" w:rsidP="0035708B">
            <w:pPr>
              <w:contextualSpacing/>
              <w:rPr>
                <w:sz w:val="18"/>
                <w:szCs w:val="18"/>
              </w:rPr>
            </w:pPr>
          </w:p>
        </w:tc>
        <w:tc>
          <w:tcPr>
            <w:tcW w:w="1508" w:type="dxa"/>
            <w:hideMark/>
          </w:tcPr>
          <w:p w14:paraId="398DB984" w14:textId="77777777" w:rsidR="00DB5AA9" w:rsidRPr="001D228D" w:rsidRDefault="00DB5AA9" w:rsidP="0035708B">
            <w:pPr>
              <w:contextualSpacing/>
              <w:rPr>
                <w:sz w:val="18"/>
                <w:szCs w:val="18"/>
              </w:rPr>
            </w:pPr>
            <w:r w:rsidRPr="001D228D">
              <w:rPr>
                <w:sz w:val="18"/>
                <w:szCs w:val="18"/>
              </w:rPr>
              <w:t>Outdoor weather context</w:t>
            </w:r>
          </w:p>
        </w:tc>
        <w:tc>
          <w:tcPr>
            <w:tcW w:w="530" w:type="dxa"/>
            <w:hideMark/>
          </w:tcPr>
          <w:p w14:paraId="0D12BCF2" w14:textId="77777777" w:rsidR="00DB5AA9" w:rsidRPr="001D228D" w:rsidRDefault="00DB5AA9" w:rsidP="0035708B">
            <w:pPr>
              <w:contextualSpacing/>
              <w:rPr>
                <w:sz w:val="18"/>
                <w:szCs w:val="18"/>
              </w:rPr>
            </w:pPr>
            <w:r w:rsidRPr="001D228D">
              <w:rPr>
                <w:sz w:val="18"/>
                <w:szCs w:val="18"/>
              </w:rPr>
              <w:t>2–3</w:t>
            </w:r>
          </w:p>
        </w:tc>
        <w:tc>
          <w:tcPr>
            <w:tcW w:w="2670" w:type="dxa"/>
            <w:hideMark/>
          </w:tcPr>
          <w:p w14:paraId="22E7480A" w14:textId="77777777" w:rsidR="00DB5AA9" w:rsidRPr="001D228D" w:rsidRDefault="00DB5AA9" w:rsidP="0035708B">
            <w:pPr>
              <w:contextualSpacing/>
              <w:rPr>
                <w:sz w:val="18"/>
                <w:szCs w:val="18"/>
              </w:rPr>
            </w:pPr>
            <w:r w:rsidRPr="001D228D">
              <w:rPr>
                <w:sz w:val="18"/>
                <w:szCs w:val="18"/>
              </w:rPr>
              <w:t>Simple categories: “cold spell”, “typical”, “heatwave”, or link to local weather series</w:t>
            </w:r>
          </w:p>
        </w:tc>
        <w:tc>
          <w:tcPr>
            <w:tcW w:w="2655" w:type="dxa"/>
            <w:hideMark/>
          </w:tcPr>
          <w:p w14:paraId="1DC35CFC" w14:textId="77777777" w:rsidR="00DB5AA9" w:rsidRPr="001D228D" w:rsidRDefault="00DB5AA9" w:rsidP="0035708B">
            <w:pPr>
              <w:contextualSpacing/>
              <w:rPr>
                <w:sz w:val="18"/>
                <w:szCs w:val="18"/>
              </w:rPr>
            </w:pPr>
            <w:r w:rsidRPr="001D228D">
              <w:rPr>
                <w:sz w:val="18"/>
                <w:szCs w:val="18"/>
              </w:rPr>
              <w:t>Researcher notes – weather data assumed to be measured or obtained from nearest meteorological station</w:t>
            </w:r>
          </w:p>
        </w:tc>
      </w:tr>
      <w:tr w:rsidR="00DB5AA9" w:rsidRPr="001D228D" w14:paraId="7FDDDC84" w14:textId="77777777" w:rsidTr="0035708B">
        <w:trPr>
          <w:tblCellSpacing w:w="15" w:type="dxa"/>
        </w:trPr>
        <w:tc>
          <w:tcPr>
            <w:tcW w:w="0" w:type="auto"/>
            <w:vMerge/>
            <w:tcBorders>
              <w:bottom w:val="single" w:sz="4" w:space="0" w:color="auto"/>
            </w:tcBorders>
            <w:hideMark/>
          </w:tcPr>
          <w:p w14:paraId="393F1920"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44B3B85E" w14:textId="77777777" w:rsidR="00DB5AA9" w:rsidRPr="001D228D" w:rsidRDefault="00DB5AA9" w:rsidP="0035708B">
            <w:pPr>
              <w:contextualSpacing/>
              <w:rPr>
                <w:sz w:val="18"/>
                <w:szCs w:val="18"/>
              </w:rPr>
            </w:pPr>
            <w:r w:rsidRPr="001D228D">
              <w:rPr>
                <w:sz w:val="18"/>
                <w:szCs w:val="18"/>
              </w:rPr>
              <w:t>Use of additional personal conditioning</w:t>
            </w:r>
          </w:p>
        </w:tc>
        <w:tc>
          <w:tcPr>
            <w:tcW w:w="530" w:type="dxa"/>
            <w:tcBorders>
              <w:bottom w:val="single" w:sz="4" w:space="0" w:color="auto"/>
            </w:tcBorders>
            <w:hideMark/>
          </w:tcPr>
          <w:p w14:paraId="3DB4BC86" w14:textId="77777777" w:rsidR="00DB5AA9" w:rsidRPr="001D228D" w:rsidRDefault="00DB5AA9" w:rsidP="0035708B">
            <w:pPr>
              <w:contextualSpacing/>
              <w:rPr>
                <w:sz w:val="18"/>
                <w:szCs w:val="18"/>
              </w:rPr>
            </w:pPr>
            <w:r w:rsidRPr="001D228D">
              <w:rPr>
                <w:sz w:val="18"/>
                <w:szCs w:val="18"/>
              </w:rPr>
              <w:t>2–3</w:t>
            </w:r>
          </w:p>
        </w:tc>
        <w:tc>
          <w:tcPr>
            <w:tcW w:w="2670" w:type="dxa"/>
            <w:tcBorders>
              <w:bottom w:val="single" w:sz="4" w:space="0" w:color="auto"/>
            </w:tcBorders>
            <w:hideMark/>
          </w:tcPr>
          <w:p w14:paraId="59B13A5E" w14:textId="77777777" w:rsidR="00DB5AA9" w:rsidRPr="001D228D" w:rsidRDefault="00DB5AA9" w:rsidP="0035708B">
            <w:pPr>
              <w:contextualSpacing/>
              <w:rPr>
                <w:sz w:val="18"/>
                <w:szCs w:val="18"/>
              </w:rPr>
            </w:pPr>
            <w:r w:rsidRPr="001D228D">
              <w:rPr>
                <w:sz w:val="18"/>
                <w:szCs w:val="18"/>
              </w:rPr>
              <w:t>Yes/No; type (fan, blanket, personal heater, etc.)</w:t>
            </w:r>
          </w:p>
        </w:tc>
        <w:tc>
          <w:tcPr>
            <w:tcW w:w="2655" w:type="dxa"/>
            <w:tcBorders>
              <w:bottom w:val="single" w:sz="4" w:space="0" w:color="auto"/>
            </w:tcBorders>
            <w:hideMark/>
          </w:tcPr>
          <w:p w14:paraId="7F19123E" w14:textId="77777777" w:rsidR="00DB5AA9" w:rsidRPr="001D228D" w:rsidRDefault="00DB5AA9" w:rsidP="0035708B">
            <w:pPr>
              <w:contextualSpacing/>
              <w:rPr>
                <w:sz w:val="18"/>
                <w:szCs w:val="18"/>
              </w:rPr>
            </w:pPr>
            <w:r w:rsidRPr="001D228D">
              <w:rPr>
                <w:sz w:val="18"/>
                <w:szCs w:val="18"/>
              </w:rPr>
              <w:t>Observed + logged when allowed by protocol</w:t>
            </w:r>
          </w:p>
        </w:tc>
      </w:tr>
      <w:tr w:rsidR="00DB5AA9" w:rsidRPr="001D228D" w14:paraId="74BD28B1" w14:textId="77777777" w:rsidTr="0035708B">
        <w:trPr>
          <w:tblCellSpacing w:w="15" w:type="dxa"/>
        </w:trPr>
        <w:tc>
          <w:tcPr>
            <w:tcW w:w="0" w:type="auto"/>
            <w:hideMark/>
          </w:tcPr>
          <w:p w14:paraId="7D61A7DD" w14:textId="77777777" w:rsidR="00DB5AA9" w:rsidRPr="001D228D" w:rsidRDefault="00DB5AA9" w:rsidP="0035708B">
            <w:pPr>
              <w:contextualSpacing/>
              <w:rPr>
                <w:sz w:val="18"/>
                <w:szCs w:val="18"/>
              </w:rPr>
            </w:pPr>
            <w:r w:rsidRPr="001D228D">
              <w:rPr>
                <w:sz w:val="18"/>
                <w:szCs w:val="18"/>
              </w:rPr>
              <w:t>Protocol adherence</w:t>
            </w:r>
          </w:p>
        </w:tc>
        <w:tc>
          <w:tcPr>
            <w:tcW w:w="1508" w:type="dxa"/>
            <w:hideMark/>
          </w:tcPr>
          <w:p w14:paraId="2671C97D" w14:textId="77777777" w:rsidR="00DB5AA9" w:rsidRPr="001D228D" w:rsidRDefault="00DB5AA9" w:rsidP="0035708B">
            <w:pPr>
              <w:contextualSpacing/>
              <w:rPr>
                <w:sz w:val="18"/>
                <w:szCs w:val="18"/>
              </w:rPr>
            </w:pPr>
            <w:r w:rsidRPr="001D228D">
              <w:rPr>
                <w:sz w:val="18"/>
                <w:szCs w:val="18"/>
              </w:rPr>
              <w:t>Pre-session restriction compliance</w:t>
            </w:r>
          </w:p>
        </w:tc>
        <w:tc>
          <w:tcPr>
            <w:tcW w:w="530" w:type="dxa"/>
            <w:hideMark/>
          </w:tcPr>
          <w:p w14:paraId="764B9227"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4C32E8E3" w14:textId="77777777" w:rsidR="00DB5AA9" w:rsidRPr="001D228D" w:rsidRDefault="00DB5AA9" w:rsidP="0035708B">
            <w:pPr>
              <w:contextualSpacing/>
              <w:rPr>
                <w:sz w:val="18"/>
                <w:szCs w:val="18"/>
              </w:rPr>
            </w:pPr>
            <w:r w:rsidRPr="001D228D">
              <w:rPr>
                <w:sz w:val="18"/>
                <w:szCs w:val="18"/>
              </w:rPr>
              <w:t>Yes/No; if No: short description (e.g. “coffee 2 h before”, “ran to lab”)</w:t>
            </w:r>
          </w:p>
        </w:tc>
        <w:tc>
          <w:tcPr>
            <w:tcW w:w="2655" w:type="dxa"/>
            <w:hideMark/>
          </w:tcPr>
          <w:p w14:paraId="581D3D15" w14:textId="77777777" w:rsidR="00DB5AA9" w:rsidRPr="001D228D" w:rsidRDefault="00DB5AA9" w:rsidP="0035708B">
            <w:pPr>
              <w:contextualSpacing/>
              <w:rPr>
                <w:sz w:val="18"/>
                <w:szCs w:val="18"/>
              </w:rPr>
            </w:pPr>
            <w:r w:rsidRPr="001D228D">
              <w:rPr>
                <w:sz w:val="18"/>
                <w:szCs w:val="18"/>
              </w:rPr>
              <w:t>Checklist based on study instructions (no alcohol, no caffeine, etc.)</w:t>
            </w:r>
          </w:p>
        </w:tc>
      </w:tr>
      <w:tr w:rsidR="00DB5AA9" w:rsidRPr="001D228D" w14:paraId="616493CC" w14:textId="77777777" w:rsidTr="0035708B">
        <w:trPr>
          <w:tblCellSpacing w:w="15" w:type="dxa"/>
        </w:trPr>
        <w:tc>
          <w:tcPr>
            <w:tcW w:w="0" w:type="auto"/>
            <w:hideMark/>
          </w:tcPr>
          <w:p w14:paraId="17CEF4E1" w14:textId="77777777" w:rsidR="00DB5AA9" w:rsidRPr="001D228D" w:rsidRDefault="00DB5AA9" w:rsidP="0035708B">
            <w:pPr>
              <w:contextualSpacing/>
              <w:rPr>
                <w:sz w:val="18"/>
                <w:szCs w:val="18"/>
              </w:rPr>
            </w:pPr>
          </w:p>
        </w:tc>
        <w:tc>
          <w:tcPr>
            <w:tcW w:w="1508" w:type="dxa"/>
            <w:hideMark/>
          </w:tcPr>
          <w:p w14:paraId="799528D6" w14:textId="77777777" w:rsidR="00DB5AA9" w:rsidRPr="001D228D" w:rsidRDefault="00DB5AA9" w:rsidP="0035708B">
            <w:pPr>
              <w:contextualSpacing/>
              <w:rPr>
                <w:sz w:val="18"/>
                <w:szCs w:val="18"/>
              </w:rPr>
            </w:pPr>
            <w:r w:rsidRPr="001D228D">
              <w:rPr>
                <w:sz w:val="18"/>
                <w:szCs w:val="18"/>
              </w:rPr>
              <w:t>Arrival time to lab</w:t>
            </w:r>
          </w:p>
        </w:tc>
        <w:tc>
          <w:tcPr>
            <w:tcW w:w="530" w:type="dxa"/>
            <w:hideMark/>
          </w:tcPr>
          <w:p w14:paraId="6A4C966C"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73390AB" w14:textId="77777777" w:rsidR="00DB5AA9" w:rsidRPr="001D228D" w:rsidRDefault="00DB5AA9" w:rsidP="0035708B">
            <w:pPr>
              <w:contextualSpacing/>
              <w:rPr>
                <w:sz w:val="18"/>
                <w:szCs w:val="18"/>
              </w:rPr>
            </w:pPr>
            <w:r w:rsidRPr="001D228D">
              <w:rPr>
                <w:sz w:val="18"/>
                <w:szCs w:val="18"/>
              </w:rPr>
              <w:t>Clock time</w:t>
            </w:r>
          </w:p>
        </w:tc>
        <w:tc>
          <w:tcPr>
            <w:tcW w:w="2655" w:type="dxa"/>
            <w:hideMark/>
          </w:tcPr>
          <w:p w14:paraId="3041A506" w14:textId="77777777" w:rsidR="00DB5AA9" w:rsidRPr="001D228D" w:rsidRDefault="00DB5AA9" w:rsidP="0035708B">
            <w:pPr>
              <w:contextualSpacing/>
              <w:rPr>
                <w:sz w:val="18"/>
                <w:szCs w:val="18"/>
              </w:rPr>
            </w:pPr>
            <w:r w:rsidRPr="001D228D">
              <w:rPr>
                <w:sz w:val="18"/>
                <w:szCs w:val="18"/>
              </w:rPr>
              <w:t>–</w:t>
            </w:r>
          </w:p>
        </w:tc>
      </w:tr>
      <w:tr w:rsidR="00DB5AA9" w:rsidRPr="001D228D" w14:paraId="7078A57E" w14:textId="77777777" w:rsidTr="0035708B">
        <w:trPr>
          <w:tblCellSpacing w:w="15" w:type="dxa"/>
        </w:trPr>
        <w:tc>
          <w:tcPr>
            <w:tcW w:w="0" w:type="auto"/>
            <w:tcBorders>
              <w:bottom w:val="single" w:sz="4" w:space="0" w:color="auto"/>
            </w:tcBorders>
            <w:hideMark/>
          </w:tcPr>
          <w:p w14:paraId="6A86D0EC"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5109E971" w14:textId="77777777" w:rsidR="00DB5AA9" w:rsidRPr="001D228D" w:rsidRDefault="00DB5AA9" w:rsidP="0035708B">
            <w:pPr>
              <w:contextualSpacing/>
              <w:rPr>
                <w:sz w:val="18"/>
                <w:szCs w:val="18"/>
              </w:rPr>
            </w:pPr>
            <w:r w:rsidRPr="001D228D">
              <w:rPr>
                <w:sz w:val="18"/>
                <w:szCs w:val="18"/>
              </w:rPr>
              <w:t>Waiting / acclimation period</w:t>
            </w:r>
          </w:p>
        </w:tc>
        <w:tc>
          <w:tcPr>
            <w:tcW w:w="530" w:type="dxa"/>
            <w:tcBorders>
              <w:bottom w:val="single" w:sz="4" w:space="0" w:color="auto"/>
            </w:tcBorders>
            <w:hideMark/>
          </w:tcPr>
          <w:p w14:paraId="044D699F"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28D9BCE0" w14:textId="77777777" w:rsidR="00DB5AA9" w:rsidRPr="001D228D" w:rsidRDefault="00DB5AA9" w:rsidP="0035708B">
            <w:pPr>
              <w:contextualSpacing/>
              <w:rPr>
                <w:sz w:val="18"/>
                <w:szCs w:val="18"/>
              </w:rPr>
            </w:pPr>
            <w:r w:rsidRPr="001D228D">
              <w:rPr>
                <w:sz w:val="18"/>
                <w:szCs w:val="18"/>
              </w:rPr>
              <w:t>Minutes from arrival to session start (numeric)</w:t>
            </w:r>
          </w:p>
        </w:tc>
        <w:tc>
          <w:tcPr>
            <w:tcW w:w="2655" w:type="dxa"/>
            <w:tcBorders>
              <w:bottom w:val="single" w:sz="4" w:space="0" w:color="auto"/>
            </w:tcBorders>
            <w:hideMark/>
          </w:tcPr>
          <w:p w14:paraId="442F951F" w14:textId="77777777" w:rsidR="00DB5AA9" w:rsidRPr="001D228D" w:rsidRDefault="00DB5AA9" w:rsidP="0035708B">
            <w:pPr>
              <w:contextualSpacing/>
              <w:rPr>
                <w:sz w:val="18"/>
                <w:szCs w:val="18"/>
              </w:rPr>
            </w:pPr>
            <w:r w:rsidRPr="001D228D">
              <w:rPr>
                <w:sz w:val="18"/>
                <w:szCs w:val="18"/>
              </w:rPr>
              <w:t>Derived from times</w:t>
            </w:r>
            <w:r>
              <w:rPr>
                <w:sz w:val="18"/>
                <w:szCs w:val="18"/>
              </w:rPr>
              <w:t>, duration should be standardised</w:t>
            </w:r>
          </w:p>
        </w:tc>
      </w:tr>
      <w:tr w:rsidR="00DB5AA9" w:rsidRPr="001D228D" w14:paraId="3A4984A5" w14:textId="77777777" w:rsidTr="0035708B">
        <w:trPr>
          <w:tblCellSpacing w:w="15" w:type="dxa"/>
        </w:trPr>
        <w:tc>
          <w:tcPr>
            <w:tcW w:w="0" w:type="auto"/>
            <w:hideMark/>
          </w:tcPr>
          <w:p w14:paraId="5F71CDCE" w14:textId="77777777" w:rsidR="00DB5AA9" w:rsidRPr="001D228D" w:rsidRDefault="00DB5AA9" w:rsidP="0035708B">
            <w:pPr>
              <w:contextualSpacing/>
              <w:rPr>
                <w:sz w:val="18"/>
                <w:szCs w:val="18"/>
              </w:rPr>
            </w:pPr>
            <w:r w:rsidRPr="001D228D">
              <w:rPr>
                <w:sz w:val="18"/>
                <w:szCs w:val="18"/>
              </w:rPr>
              <w:t>Scheduling &amp; circadian context</w:t>
            </w:r>
          </w:p>
        </w:tc>
        <w:tc>
          <w:tcPr>
            <w:tcW w:w="1508" w:type="dxa"/>
            <w:hideMark/>
          </w:tcPr>
          <w:p w14:paraId="2BF13B91" w14:textId="77777777" w:rsidR="00DB5AA9" w:rsidRPr="001D228D" w:rsidRDefault="00DB5AA9" w:rsidP="0035708B">
            <w:pPr>
              <w:contextualSpacing/>
              <w:rPr>
                <w:sz w:val="18"/>
                <w:szCs w:val="18"/>
              </w:rPr>
            </w:pPr>
            <w:r w:rsidRPr="001D228D">
              <w:rPr>
                <w:sz w:val="18"/>
                <w:szCs w:val="18"/>
              </w:rPr>
              <w:t>Sleep-wake times</w:t>
            </w:r>
          </w:p>
        </w:tc>
        <w:tc>
          <w:tcPr>
            <w:tcW w:w="530" w:type="dxa"/>
            <w:hideMark/>
          </w:tcPr>
          <w:p w14:paraId="6086FA72"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3542E046" w14:textId="77777777" w:rsidR="00DB5AA9" w:rsidRPr="001D228D" w:rsidRDefault="00DB5AA9" w:rsidP="0035708B">
            <w:pPr>
              <w:contextualSpacing/>
              <w:rPr>
                <w:sz w:val="18"/>
                <w:szCs w:val="18"/>
              </w:rPr>
            </w:pPr>
            <w:r w:rsidRPr="001D228D">
              <w:rPr>
                <w:sz w:val="18"/>
                <w:szCs w:val="18"/>
              </w:rPr>
              <w:t>Clock time, 24 h</w:t>
            </w:r>
          </w:p>
        </w:tc>
        <w:tc>
          <w:tcPr>
            <w:tcW w:w="2655" w:type="dxa"/>
            <w:hideMark/>
          </w:tcPr>
          <w:p w14:paraId="61A2B6BE" w14:textId="77777777" w:rsidR="00DB5AA9" w:rsidRPr="001D228D" w:rsidRDefault="00DB5AA9" w:rsidP="0035708B">
            <w:pPr>
              <w:contextualSpacing/>
              <w:rPr>
                <w:sz w:val="18"/>
                <w:szCs w:val="18"/>
              </w:rPr>
            </w:pPr>
            <w:r w:rsidRPr="001D228D">
              <w:rPr>
                <w:sz w:val="18"/>
                <w:szCs w:val="18"/>
              </w:rPr>
              <w:t>Sleep log / app</w:t>
            </w:r>
          </w:p>
        </w:tc>
      </w:tr>
      <w:tr w:rsidR="00DB5AA9" w:rsidRPr="001D228D" w14:paraId="34E9C69B" w14:textId="77777777" w:rsidTr="0035708B">
        <w:trPr>
          <w:tblCellSpacing w:w="15" w:type="dxa"/>
        </w:trPr>
        <w:tc>
          <w:tcPr>
            <w:tcW w:w="0" w:type="auto"/>
            <w:hideMark/>
          </w:tcPr>
          <w:p w14:paraId="31727DD1" w14:textId="77777777" w:rsidR="00DB5AA9" w:rsidRPr="001D228D" w:rsidRDefault="00DB5AA9" w:rsidP="0035708B">
            <w:pPr>
              <w:contextualSpacing/>
              <w:rPr>
                <w:sz w:val="18"/>
                <w:szCs w:val="18"/>
              </w:rPr>
            </w:pPr>
          </w:p>
        </w:tc>
        <w:tc>
          <w:tcPr>
            <w:tcW w:w="1508" w:type="dxa"/>
            <w:hideMark/>
          </w:tcPr>
          <w:p w14:paraId="10518688" w14:textId="77777777" w:rsidR="00DB5AA9" w:rsidRPr="001D228D" w:rsidRDefault="00DB5AA9" w:rsidP="0035708B">
            <w:pPr>
              <w:contextualSpacing/>
              <w:rPr>
                <w:sz w:val="18"/>
                <w:szCs w:val="18"/>
              </w:rPr>
            </w:pPr>
            <w:r w:rsidRPr="001D228D">
              <w:rPr>
                <w:sz w:val="18"/>
                <w:szCs w:val="18"/>
              </w:rPr>
              <w:t>Sleep duration last night</w:t>
            </w:r>
          </w:p>
        </w:tc>
        <w:tc>
          <w:tcPr>
            <w:tcW w:w="530" w:type="dxa"/>
            <w:hideMark/>
          </w:tcPr>
          <w:p w14:paraId="22A2CD73" w14:textId="77777777" w:rsidR="00DB5AA9" w:rsidRPr="001D228D" w:rsidRDefault="00DB5AA9" w:rsidP="0035708B">
            <w:pPr>
              <w:contextualSpacing/>
              <w:rPr>
                <w:sz w:val="18"/>
                <w:szCs w:val="18"/>
              </w:rPr>
            </w:pPr>
            <w:r w:rsidRPr="001D228D">
              <w:rPr>
                <w:sz w:val="18"/>
                <w:szCs w:val="18"/>
              </w:rPr>
              <w:t>1</w:t>
            </w:r>
          </w:p>
        </w:tc>
        <w:tc>
          <w:tcPr>
            <w:tcW w:w="2670" w:type="dxa"/>
            <w:hideMark/>
          </w:tcPr>
          <w:p w14:paraId="5AB0778A" w14:textId="77777777" w:rsidR="00DB5AA9" w:rsidRPr="001D228D" w:rsidRDefault="00DB5AA9" w:rsidP="0035708B">
            <w:pPr>
              <w:contextualSpacing/>
              <w:rPr>
                <w:sz w:val="18"/>
                <w:szCs w:val="18"/>
              </w:rPr>
            </w:pPr>
            <w:r w:rsidRPr="001D228D">
              <w:rPr>
                <w:sz w:val="18"/>
                <w:szCs w:val="18"/>
              </w:rPr>
              <w:t>Numeric (hours slept; e.g. 6.8)</w:t>
            </w:r>
          </w:p>
        </w:tc>
        <w:tc>
          <w:tcPr>
            <w:tcW w:w="2655" w:type="dxa"/>
            <w:hideMark/>
          </w:tcPr>
          <w:p w14:paraId="3EE6BCE7" w14:textId="77777777" w:rsidR="00DB5AA9" w:rsidRPr="001D228D" w:rsidRDefault="00DB5AA9" w:rsidP="0035708B">
            <w:pPr>
              <w:contextualSpacing/>
              <w:rPr>
                <w:sz w:val="18"/>
                <w:szCs w:val="18"/>
              </w:rPr>
            </w:pPr>
            <w:r w:rsidRPr="001D228D">
              <w:rPr>
                <w:sz w:val="18"/>
                <w:szCs w:val="18"/>
              </w:rPr>
              <w:t>Derived from log</w:t>
            </w:r>
          </w:p>
        </w:tc>
      </w:tr>
      <w:tr w:rsidR="00DB5AA9" w:rsidRPr="001D228D" w14:paraId="56962BEE" w14:textId="77777777" w:rsidTr="0035708B">
        <w:trPr>
          <w:tblCellSpacing w:w="15" w:type="dxa"/>
        </w:trPr>
        <w:tc>
          <w:tcPr>
            <w:tcW w:w="0" w:type="auto"/>
            <w:hideMark/>
          </w:tcPr>
          <w:p w14:paraId="0774F63D" w14:textId="77777777" w:rsidR="00DB5AA9" w:rsidRPr="001D228D" w:rsidRDefault="00DB5AA9" w:rsidP="0035708B">
            <w:pPr>
              <w:contextualSpacing/>
              <w:rPr>
                <w:sz w:val="18"/>
                <w:szCs w:val="18"/>
              </w:rPr>
            </w:pPr>
          </w:p>
        </w:tc>
        <w:tc>
          <w:tcPr>
            <w:tcW w:w="1508" w:type="dxa"/>
            <w:hideMark/>
          </w:tcPr>
          <w:p w14:paraId="2D17320A" w14:textId="77777777" w:rsidR="00DB5AA9" w:rsidRPr="001D228D" w:rsidRDefault="00DB5AA9" w:rsidP="0035708B">
            <w:pPr>
              <w:contextualSpacing/>
              <w:rPr>
                <w:sz w:val="18"/>
                <w:szCs w:val="18"/>
              </w:rPr>
            </w:pPr>
            <w:r w:rsidRPr="001D228D">
              <w:rPr>
                <w:sz w:val="18"/>
                <w:szCs w:val="18"/>
              </w:rPr>
              <w:t>Sleep quality last night</w:t>
            </w:r>
          </w:p>
        </w:tc>
        <w:tc>
          <w:tcPr>
            <w:tcW w:w="530" w:type="dxa"/>
            <w:hideMark/>
          </w:tcPr>
          <w:p w14:paraId="6DE78618"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6610261A" w14:textId="77777777" w:rsidR="00DB5AA9" w:rsidRPr="001D228D" w:rsidRDefault="00DB5AA9" w:rsidP="0035708B">
            <w:pPr>
              <w:contextualSpacing/>
              <w:rPr>
                <w:sz w:val="18"/>
                <w:szCs w:val="18"/>
              </w:rPr>
            </w:pPr>
            <w:r w:rsidRPr="001D228D">
              <w:rPr>
                <w:sz w:val="18"/>
                <w:szCs w:val="18"/>
              </w:rPr>
              <w:t>0–10 scale or 1–5 Likert</w:t>
            </w:r>
          </w:p>
        </w:tc>
        <w:tc>
          <w:tcPr>
            <w:tcW w:w="2655" w:type="dxa"/>
            <w:hideMark/>
          </w:tcPr>
          <w:p w14:paraId="14929621" w14:textId="77777777" w:rsidR="00DB5AA9" w:rsidRPr="001D228D" w:rsidRDefault="00DB5AA9" w:rsidP="0035708B">
            <w:pPr>
              <w:contextualSpacing/>
              <w:rPr>
                <w:sz w:val="18"/>
                <w:szCs w:val="18"/>
              </w:rPr>
            </w:pPr>
            <w:r w:rsidRPr="001D228D">
              <w:rPr>
                <w:sz w:val="18"/>
                <w:szCs w:val="18"/>
              </w:rPr>
              <w:t>Subjective rating</w:t>
            </w:r>
          </w:p>
        </w:tc>
      </w:tr>
      <w:tr w:rsidR="00DB5AA9" w:rsidRPr="001D228D" w14:paraId="32490065" w14:textId="77777777" w:rsidTr="0035708B">
        <w:trPr>
          <w:tblCellSpacing w:w="15" w:type="dxa"/>
        </w:trPr>
        <w:tc>
          <w:tcPr>
            <w:tcW w:w="0" w:type="auto"/>
            <w:tcBorders>
              <w:bottom w:val="single" w:sz="4" w:space="0" w:color="auto"/>
            </w:tcBorders>
            <w:hideMark/>
          </w:tcPr>
          <w:p w14:paraId="5A202F4A"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1FC2FDF4" w14:textId="77777777" w:rsidR="00DB5AA9" w:rsidRPr="001D228D" w:rsidRDefault="00DB5AA9" w:rsidP="0035708B">
            <w:pPr>
              <w:contextualSpacing/>
              <w:rPr>
                <w:sz w:val="18"/>
                <w:szCs w:val="18"/>
              </w:rPr>
            </w:pPr>
            <w:r w:rsidRPr="001D228D">
              <w:rPr>
                <w:sz w:val="18"/>
                <w:szCs w:val="18"/>
              </w:rPr>
              <w:t>Recent night-shift work</w:t>
            </w:r>
          </w:p>
        </w:tc>
        <w:tc>
          <w:tcPr>
            <w:tcW w:w="530" w:type="dxa"/>
            <w:tcBorders>
              <w:bottom w:val="single" w:sz="4" w:space="0" w:color="auto"/>
            </w:tcBorders>
            <w:hideMark/>
          </w:tcPr>
          <w:p w14:paraId="16954BD7"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788B348B" w14:textId="77777777" w:rsidR="00DB5AA9" w:rsidRPr="001D228D" w:rsidRDefault="00DB5AA9" w:rsidP="0035708B">
            <w:pPr>
              <w:contextualSpacing/>
              <w:rPr>
                <w:sz w:val="18"/>
                <w:szCs w:val="18"/>
              </w:rPr>
            </w:pPr>
            <w:r w:rsidRPr="001D228D">
              <w:rPr>
                <w:sz w:val="18"/>
                <w:szCs w:val="18"/>
              </w:rPr>
              <w:t>Yes/No; description (e.g. “3 consecutive night shifts in last week”)</w:t>
            </w:r>
          </w:p>
        </w:tc>
        <w:tc>
          <w:tcPr>
            <w:tcW w:w="2655" w:type="dxa"/>
            <w:tcBorders>
              <w:bottom w:val="single" w:sz="4" w:space="0" w:color="auto"/>
            </w:tcBorders>
            <w:hideMark/>
          </w:tcPr>
          <w:p w14:paraId="0F6BB69B" w14:textId="77777777" w:rsidR="00DB5AA9" w:rsidRPr="001D228D" w:rsidRDefault="00DB5AA9" w:rsidP="0035708B">
            <w:pPr>
              <w:contextualSpacing/>
              <w:rPr>
                <w:sz w:val="18"/>
                <w:szCs w:val="18"/>
              </w:rPr>
            </w:pPr>
            <w:r w:rsidRPr="001D228D">
              <w:rPr>
                <w:sz w:val="18"/>
                <w:szCs w:val="18"/>
              </w:rPr>
              <w:t>Sleep log / app</w:t>
            </w:r>
          </w:p>
        </w:tc>
      </w:tr>
      <w:tr w:rsidR="00DB5AA9" w:rsidRPr="001D228D" w14:paraId="25A36766" w14:textId="77777777" w:rsidTr="0035708B">
        <w:trPr>
          <w:tblCellSpacing w:w="15" w:type="dxa"/>
        </w:trPr>
        <w:tc>
          <w:tcPr>
            <w:tcW w:w="0" w:type="auto"/>
            <w:hideMark/>
          </w:tcPr>
          <w:p w14:paraId="35A1035A" w14:textId="77777777" w:rsidR="00DB5AA9" w:rsidRPr="001D228D" w:rsidRDefault="00DB5AA9" w:rsidP="0035708B">
            <w:pPr>
              <w:contextualSpacing/>
              <w:rPr>
                <w:sz w:val="18"/>
                <w:szCs w:val="18"/>
              </w:rPr>
            </w:pPr>
            <w:r w:rsidRPr="001D228D">
              <w:rPr>
                <w:sz w:val="18"/>
                <w:szCs w:val="18"/>
              </w:rPr>
              <w:t>Acute health state (today / last few days)</w:t>
            </w:r>
          </w:p>
        </w:tc>
        <w:tc>
          <w:tcPr>
            <w:tcW w:w="1508" w:type="dxa"/>
            <w:hideMark/>
          </w:tcPr>
          <w:p w14:paraId="7D0A534E" w14:textId="77777777" w:rsidR="00DB5AA9" w:rsidRPr="001D228D" w:rsidRDefault="00DB5AA9" w:rsidP="0035708B">
            <w:pPr>
              <w:contextualSpacing/>
              <w:rPr>
                <w:sz w:val="18"/>
                <w:szCs w:val="18"/>
              </w:rPr>
            </w:pPr>
            <w:r w:rsidRPr="001D228D">
              <w:rPr>
                <w:sz w:val="18"/>
                <w:szCs w:val="18"/>
              </w:rPr>
              <w:t>Recent acute illness (last 7 days)</w:t>
            </w:r>
          </w:p>
        </w:tc>
        <w:tc>
          <w:tcPr>
            <w:tcW w:w="530" w:type="dxa"/>
            <w:hideMark/>
          </w:tcPr>
          <w:p w14:paraId="102ADFB5" w14:textId="77777777" w:rsidR="00DB5AA9" w:rsidRPr="001D228D" w:rsidRDefault="00DB5AA9" w:rsidP="0035708B">
            <w:pPr>
              <w:contextualSpacing/>
              <w:rPr>
                <w:sz w:val="18"/>
                <w:szCs w:val="18"/>
              </w:rPr>
            </w:pPr>
            <w:r w:rsidRPr="001D228D">
              <w:rPr>
                <w:sz w:val="18"/>
                <w:szCs w:val="18"/>
              </w:rPr>
              <w:t>1–2</w:t>
            </w:r>
          </w:p>
        </w:tc>
        <w:tc>
          <w:tcPr>
            <w:tcW w:w="2670" w:type="dxa"/>
            <w:hideMark/>
          </w:tcPr>
          <w:p w14:paraId="57D4ECB5" w14:textId="77777777" w:rsidR="00DB5AA9" w:rsidRPr="001D228D" w:rsidRDefault="00DB5AA9" w:rsidP="0035708B">
            <w:pPr>
              <w:contextualSpacing/>
              <w:rPr>
                <w:sz w:val="18"/>
                <w:szCs w:val="18"/>
              </w:rPr>
            </w:pPr>
            <w:r w:rsidRPr="001D228D">
              <w:rPr>
                <w:sz w:val="18"/>
                <w:szCs w:val="18"/>
              </w:rPr>
              <w:t>Yes/No; short description (“URI with fever”, “GI infection”)</w:t>
            </w:r>
          </w:p>
        </w:tc>
        <w:tc>
          <w:tcPr>
            <w:tcW w:w="2655" w:type="dxa"/>
            <w:hideMark/>
          </w:tcPr>
          <w:p w14:paraId="1E89C04F" w14:textId="77777777" w:rsidR="00DB5AA9" w:rsidRPr="001D228D" w:rsidRDefault="00DB5AA9" w:rsidP="0035708B">
            <w:pPr>
              <w:contextualSpacing/>
              <w:rPr>
                <w:sz w:val="18"/>
                <w:szCs w:val="18"/>
              </w:rPr>
            </w:pPr>
            <w:r w:rsidRPr="001D228D">
              <w:rPr>
                <w:sz w:val="18"/>
                <w:szCs w:val="18"/>
              </w:rPr>
              <w:t>PAR-Q+ style yes/no items; brief medical history</w:t>
            </w:r>
          </w:p>
        </w:tc>
      </w:tr>
      <w:tr w:rsidR="00DB5AA9" w:rsidRPr="001D228D" w14:paraId="6C0792E0" w14:textId="77777777" w:rsidTr="0035708B">
        <w:trPr>
          <w:tblCellSpacing w:w="15" w:type="dxa"/>
        </w:trPr>
        <w:tc>
          <w:tcPr>
            <w:tcW w:w="0" w:type="auto"/>
            <w:hideMark/>
          </w:tcPr>
          <w:p w14:paraId="08C27F96" w14:textId="77777777" w:rsidR="00DB5AA9" w:rsidRPr="001D228D" w:rsidRDefault="00DB5AA9" w:rsidP="0035708B">
            <w:pPr>
              <w:contextualSpacing/>
              <w:rPr>
                <w:sz w:val="18"/>
                <w:szCs w:val="18"/>
              </w:rPr>
            </w:pPr>
          </w:p>
        </w:tc>
        <w:tc>
          <w:tcPr>
            <w:tcW w:w="1508" w:type="dxa"/>
            <w:hideMark/>
          </w:tcPr>
          <w:p w14:paraId="28A55491" w14:textId="77777777" w:rsidR="00DB5AA9" w:rsidRPr="001D228D" w:rsidRDefault="00DB5AA9" w:rsidP="0035708B">
            <w:pPr>
              <w:contextualSpacing/>
              <w:rPr>
                <w:sz w:val="18"/>
                <w:szCs w:val="18"/>
              </w:rPr>
            </w:pPr>
            <w:r w:rsidRPr="001D228D">
              <w:rPr>
                <w:sz w:val="18"/>
                <w:szCs w:val="18"/>
              </w:rPr>
              <w:t>Fever symptoms in last 48 h</w:t>
            </w:r>
          </w:p>
        </w:tc>
        <w:tc>
          <w:tcPr>
            <w:tcW w:w="530" w:type="dxa"/>
            <w:hideMark/>
          </w:tcPr>
          <w:p w14:paraId="69AA058E"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3AA41258" w14:textId="77777777" w:rsidR="00DB5AA9" w:rsidRPr="001D228D" w:rsidRDefault="00DB5AA9" w:rsidP="0035708B">
            <w:pPr>
              <w:contextualSpacing/>
              <w:rPr>
                <w:sz w:val="18"/>
                <w:szCs w:val="18"/>
              </w:rPr>
            </w:pPr>
            <w:r w:rsidRPr="001D228D">
              <w:rPr>
                <w:sz w:val="18"/>
                <w:szCs w:val="18"/>
              </w:rPr>
              <w:t>Yes/No; peak temperature if known</w:t>
            </w:r>
          </w:p>
        </w:tc>
        <w:tc>
          <w:tcPr>
            <w:tcW w:w="2655" w:type="dxa"/>
            <w:hideMark/>
          </w:tcPr>
          <w:p w14:paraId="43609A2D" w14:textId="77777777" w:rsidR="00DB5AA9" w:rsidRPr="001D228D" w:rsidRDefault="00DB5AA9" w:rsidP="0035708B">
            <w:pPr>
              <w:contextualSpacing/>
              <w:rPr>
                <w:sz w:val="18"/>
                <w:szCs w:val="18"/>
              </w:rPr>
            </w:pPr>
            <w:r w:rsidRPr="001D228D">
              <w:rPr>
                <w:sz w:val="18"/>
                <w:szCs w:val="18"/>
              </w:rPr>
              <w:t>–</w:t>
            </w:r>
          </w:p>
        </w:tc>
      </w:tr>
      <w:tr w:rsidR="00DB5AA9" w:rsidRPr="001D228D" w14:paraId="39C15788" w14:textId="77777777" w:rsidTr="0035708B">
        <w:trPr>
          <w:tblCellSpacing w:w="15" w:type="dxa"/>
        </w:trPr>
        <w:tc>
          <w:tcPr>
            <w:tcW w:w="0" w:type="auto"/>
            <w:hideMark/>
          </w:tcPr>
          <w:p w14:paraId="799A961B" w14:textId="77777777" w:rsidR="00DB5AA9" w:rsidRPr="001D228D" w:rsidRDefault="00DB5AA9" w:rsidP="0035708B">
            <w:pPr>
              <w:contextualSpacing/>
              <w:rPr>
                <w:sz w:val="18"/>
                <w:szCs w:val="18"/>
              </w:rPr>
            </w:pPr>
          </w:p>
        </w:tc>
        <w:tc>
          <w:tcPr>
            <w:tcW w:w="1508" w:type="dxa"/>
            <w:hideMark/>
          </w:tcPr>
          <w:p w14:paraId="3A7D7807" w14:textId="77777777" w:rsidR="00DB5AA9" w:rsidRPr="001D228D" w:rsidRDefault="00DB5AA9" w:rsidP="0035708B">
            <w:pPr>
              <w:contextualSpacing/>
              <w:rPr>
                <w:sz w:val="18"/>
                <w:szCs w:val="18"/>
              </w:rPr>
            </w:pPr>
            <w:r w:rsidRPr="001D228D">
              <w:rPr>
                <w:sz w:val="18"/>
                <w:szCs w:val="18"/>
              </w:rPr>
              <w:t>Antipyretic use (last 48 h)</w:t>
            </w:r>
          </w:p>
        </w:tc>
        <w:tc>
          <w:tcPr>
            <w:tcW w:w="530" w:type="dxa"/>
            <w:hideMark/>
          </w:tcPr>
          <w:p w14:paraId="7A7285DF" w14:textId="77777777" w:rsidR="00DB5AA9" w:rsidRPr="001D228D" w:rsidRDefault="00DB5AA9" w:rsidP="0035708B">
            <w:pPr>
              <w:contextualSpacing/>
              <w:rPr>
                <w:sz w:val="18"/>
                <w:szCs w:val="18"/>
              </w:rPr>
            </w:pPr>
            <w:r w:rsidRPr="001D228D">
              <w:rPr>
                <w:sz w:val="18"/>
                <w:szCs w:val="18"/>
              </w:rPr>
              <w:t>2</w:t>
            </w:r>
          </w:p>
        </w:tc>
        <w:tc>
          <w:tcPr>
            <w:tcW w:w="2670" w:type="dxa"/>
            <w:hideMark/>
          </w:tcPr>
          <w:p w14:paraId="1686BA58" w14:textId="77777777" w:rsidR="00DB5AA9" w:rsidRPr="001D228D" w:rsidRDefault="00DB5AA9" w:rsidP="0035708B">
            <w:pPr>
              <w:contextualSpacing/>
              <w:rPr>
                <w:sz w:val="18"/>
                <w:szCs w:val="18"/>
              </w:rPr>
            </w:pPr>
            <w:r w:rsidRPr="001D228D">
              <w:rPr>
                <w:sz w:val="18"/>
                <w:szCs w:val="18"/>
              </w:rPr>
              <w:t>Yes/No; drug name and approximate time (free text)</w:t>
            </w:r>
          </w:p>
        </w:tc>
        <w:tc>
          <w:tcPr>
            <w:tcW w:w="2655" w:type="dxa"/>
            <w:hideMark/>
          </w:tcPr>
          <w:p w14:paraId="49A77F09" w14:textId="77777777" w:rsidR="00DB5AA9" w:rsidRPr="001D228D" w:rsidRDefault="00DB5AA9" w:rsidP="0035708B">
            <w:pPr>
              <w:contextualSpacing/>
              <w:rPr>
                <w:sz w:val="18"/>
                <w:szCs w:val="18"/>
              </w:rPr>
            </w:pPr>
            <w:r w:rsidRPr="001D228D">
              <w:rPr>
                <w:sz w:val="18"/>
                <w:szCs w:val="18"/>
              </w:rPr>
              <w:t>–</w:t>
            </w:r>
          </w:p>
        </w:tc>
      </w:tr>
      <w:tr w:rsidR="00DB5AA9" w:rsidRPr="001D228D" w14:paraId="14C173EB" w14:textId="77777777" w:rsidTr="0035708B">
        <w:trPr>
          <w:tblCellSpacing w:w="15" w:type="dxa"/>
        </w:trPr>
        <w:tc>
          <w:tcPr>
            <w:tcW w:w="0" w:type="auto"/>
            <w:tcBorders>
              <w:bottom w:val="single" w:sz="4" w:space="0" w:color="auto"/>
            </w:tcBorders>
            <w:hideMark/>
          </w:tcPr>
          <w:p w14:paraId="4947DF63" w14:textId="77777777" w:rsidR="00DB5AA9" w:rsidRPr="001D228D" w:rsidRDefault="00DB5AA9" w:rsidP="0035708B">
            <w:pPr>
              <w:contextualSpacing/>
              <w:rPr>
                <w:sz w:val="18"/>
                <w:szCs w:val="18"/>
              </w:rPr>
            </w:pPr>
          </w:p>
        </w:tc>
        <w:tc>
          <w:tcPr>
            <w:tcW w:w="1508" w:type="dxa"/>
            <w:tcBorders>
              <w:bottom w:val="single" w:sz="4" w:space="0" w:color="auto"/>
            </w:tcBorders>
            <w:hideMark/>
          </w:tcPr>
          <w:p w14:paraId="6551B0C7" w14:textId="77777777" w:rsidR="00DB5AA9" w:rsidRPr="001D228D" w:rsidRDefault="00DB5AA9" w:rsidP="0035708B">
            <w:pPr>
              <w:contextualSpacing/>
              <w:rPr>
                <w:sz w:val="18"/>
                <w:szCs w:val="18"/>
              </w:rPr>
            </w:pPr>
            <w:r w:rsidRPr="001D228D">
              <w:rPr>
                <w:sz w:val="18"/>
                <w:szCs w:val="18"/>
              </w:rPr>
              <w:t>New medications since previous session</w:t>
            </w:r>
          </w:p>
        </w:tc>
        <w:tc>
          <w:tcPr>
            <w:tcW w:w="530" w:type="dxa"/>
            <w:tcBorders>
              <w:bottom w:val="single" w:sz="4" w:space="0" w:color="auto"/>
            </w:tcBorders>
            <w:hideMark/>
          </w:tcPr>
          <w:p w14:paraId="09F7BE01" w14:textId="77777777" w:rsidR="00DB5AA9" w:rsidRPr="001D228D" w:rsidRDefault="00DB5AA9" w:rsidP="0035708B">
            <w:pPr>
              <w:contextualSpacing/>
              <w:rPr>
                <w:sz w:val="18"/>
                <w:szCs w:val="18"/>
              </w:rPr>
            </w:pPr>
            <w:r w:rsidRPr="001D228D">
              <w:rPr>
                <w:sz w:val="18"/>
                <w:szCs w:val="18"/>
              </w:rPr>
              <w:t>2</w:t>
            </w:r>
          </w:p>
        </w:tc>
        <w:tc>
          <w:tcPr>
            <w:tcW w:w="2670" w:type="dxa"/>
            <w:tcBorders>
              <w:bottom w:val="single" w:sz="4" w:space="0" w:color="auto"/>
            </w:tcBorders>
            <w:hideMark/>
          </w:tcPr>
          <w:p w14:paraId="0040DB93" w14:textId="77777777" w:rsidR="00DB5AA9" w:rsidRPr="001D228D" w:rsidRDefault="00DB5AA9" w:rsidP="0035708B">
            <w:pPr>
              <w:contextualSpacing/>
              <w:rPr>
                <w:sz w:val="18"/>
                <w:szCs w:val="18"/>
              </w:rPr>
            </w:pPr>
            <w:r w:rsidRPr="001D228D">
              <w:rPr>
                <w:sz w:val="18"/>
                <w:szCs w:val="18"/>
              </w:rPr>
              <w:t>Yes/No; if Yes: names and doses (free text)</w:t>
            </w:r>
          </w:p>
        </w:tc>
        <w:tc>
          <w:tcPr>
            <w:tcW w:w="2655" w:type="dxa"/>
            <w:tcBorders>
              <w:bottom w:val="single" w:sz="4" w:space="0" w:color="auto"/>
            </w:tcBorders>
            <w:hideMark/>
          </w:tcPr>
          <w:p w14:paraId="53343426" w14:textId="77777777" w:rsidR="00DB5AA9" w:rsidRPr="001D228D" w:rsidRDefault="00DB5AA9" w:rsidP="0035708B">
            <w:pPr>
              <w:contextualSpacing/>
              <w:rPr>
                <w:sz w:val="18"/>
                <w:szCs w:val="18"/>
              </w:rPr>
            </w:pPr>
            <w:r w:rsidRPr="001D228D">
              <w:rPr>
                <w:sz w:val="18"/>
                <w:szCs w:val="18"/>
              </w:rPr>
              <w:t>–</w:t>
            </w:r>
          </w:p>
        </w:tc>
      </w:tr>
      <w:tr w:rsidR="00DC03D0" w:rsidRPr="001D228D" w14:paraId="0E76F634" w14:textId="77777777" w:rsidTr="0035708B">
        <w:trPr>
          <w:tblCellSpacing w:w="15" w:type="dxa"/>
        </w:trPr>
        <w:tc>
          <w:tcPr>
            <w:tcW w:w="0" w:type="auto"/>
            <w:vMerge w:val="restart"/>
            <w:hideMark/>
          </w:tcPr>
          <w:p w14:paraId="5C88C5A0" w14:textId="77777777" w:rsidR="00DC03D0" w:rsidRPr="001D228D" w:rsidRDefault="00DC03D0" w:rsidP="0035708B">
            <w:pPr>
              <w:contextualSpacing/>
              <w:rPr>
                <w:sz w:val="18"/>
                <w:szCs w:val="18"/>
              </w:rPr>
            </w:pPr>
            <w:r w:rsidRPr="001D228D">
              <w:rPr>
                <w:sz w:val="18"/>
                <w:szCs w:val="18"/>
              </w:rPr>
              <w:t>Behaviour since waking (session-day)</w:t>
            </w:r>
          </w:p>
        </w:tc>
        <w:tc>
          <w:tcPr>
            <w:tcW w:w="1508" w:type="dxa"/>
            <w:hideMark/>
          </w:tcPr>
          <w:p w14:paraId="0612815E" w14:textId="77777777" w:rsidR="00DC03D0" w:rsidRPr="001D228D" w:rsidRDefault="00DC03D0" w:rsidP="0035708B">
            <w:pPr>
              <w:contextualSpacing/>
              <w:rPr>
                <w:sz w:val="18"/>
                <w:szCs w:val="18"/>
              </w:rPr>
            </w:pPr>
            <w:r w:rsidRPr="001D228D">
              <w:rPr>
                <w:sz w:val="18"/>
                <w:szCs w:val="18"/>
              </w:rPr>
              <w:t>Time since last meal at start</w:t>
            </w:r>
          </w:p>
        </w:tc>
        <w:tc>
          <w:tcPr>
            <w:tcW w:w="530" w:type="dxa"/>
            <w:hideMark/>
          </w:tcPr>
          <w:p w14:paraId="0EF99864"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1857F25F" w14:textId="77777777" w:rsidR="00DC03D0" w:rsidRPr="001D228D" w:rsidRDefault="00DC03D0" w:rsidP="0035708B">
            <w:pPr>
              <w:contextualSpacing/>
              <w:rPr>
                <w:sz w:val="18"/>
                <w:szCs w:val="18"/>
              </w:rPr>
            </w:pPr>
            <w:r w:rsidRPr="001D228D">
              <w:rPr>
                <w:sz w:val="18"/>
                <w:szCs w:val="18"/>
              </w:rPr>
              <w:t>Numeric (hours); optional category (light / normal / heavy); Yes/No if a specific fasting time was instructed (e.g. “Did not eat in the last 12 hours”)</w:t>
            </w:r>
          </w:p>
        </w:tc>
        <w:tc>
          <w:tcPr>
            <w:tcW w:w="2655" w:type="dxa"/>
            <w:hideMark/>
          </w:tcPr>
          <w:p w14:paraId="00F9E947" w14:textId="77777777" w:rsidR="00DC03D0" w:rsidRPr="001D228D" w:rsidRDefault="00DC03D0" w:rsidP="0035708B">
            <w:pPr>
              <w:contextualSpacing/>
              <w:rPr>
                <w:sz w:val="18"/>
                <w:szCs w:val="18"/>
              </w:rPr>
            </w:pPr>
            <w:r w:rsidRPr="001D228D">
              <w:rPr>
                <w:sz w:val="18"/>
                <w:szCs w:val="18"/>
              </w:rPr>
              <w:t>–</w:t>
            </w:r>
          </w:p>
        </w:tc>
      </w:tr>
      <w:tr w:rsidR="00DC03D0" w:rsidRPr="001D228D" w14:paraId="0D4646A3" w14:textId="77777777" w:rsidTr="0035708B">
        <w:trPr>
          <w:tblCellSpacing w:w="15" w:type="dxa"/>
        </w:trPr>
        <w:tc>
          <w:tcPr>
            <w:tcW w:w="0" w:type="auto"/>
            <w:vMerge/>
            <w:hideMark/>
          </w:tcPr>
          <w:p w14:paraId="04CFDF38" w14:textId="77777777" w:rsidR="00DC03D0" w:rsidRPr="001D228D" w:rsidRDefault="00DC03D0" w:rsidP="0035708B">
            <w:pPr>
              <w:contextualSpacing/>
              <w:rPr>
                <w:sz w:val="18"/>
                <w:szCs w:val="18"/>
              </w:rPr>
            </w:pPr>
          </w:p>
        </w:tc>
        <w:tc>
          <w:tcPr>
            <w:tcW w:w="1508" w:type="dxa"/>
            <w:hideMark/>
          </w:tcPr>
          <w:p w14:paraId="35B31A69" w14:textId="77777777" w:rsidR="00DC03D0" w:rsidRPr="001D228D" w:rsidRDefault="00DC03D0" w:rsidP="0035708B">
            <w:pPr>
              <w:contextualSpacing/>
              <w:rPr>
                <w:sz w:val="18"/>
                <w:szCs w:val="18"/>
              </w:rPr>
            </w:pPr>
            <w:r w:rsidRPr="001D228D">
              <w:rPr>
                <w:sz w:val="18"/>
                <w:szCs w:val="18"/>
              </w:rPr>
              <w:t>Time since last caffeine</w:t>
            </w:r>
          </w:p>
        </w:tc>
        <w:tc>
          <w:tcPr>
            <w:tcW w:w="530" w:type="dxa"/>
            <w:hideMark/>
          </w:tcPr>
          <w:p w14:paraId="3308ECAC"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786C5F64" w14:textId="77777777" w:rsidR="00DC03D0" w:rsidRPr="001D228D" w:rsidRDefault="00DC03D0" w:rsidP="0035708B">
            <w:pPr>
              <w:contextualSpacing/>
              <w:rPr>
                <w:sz w:val="18"/>
                <w:szCs w:val="18"/>
              </w:rPr>
            </w:pPr>
            <w:r w:rsidRPr="001D228D">
              <w:rPr>
                <w:sz w:val="18"/>
                <w:szCs w:val="18"/>
              </w:rPr>
              <w:t>Numeric (hours); type (coffee / tea / energy drink / other); Yes/No if a specific fasting time was instructed (e.g. “Did not drink coffee in the last 12 hours”)</w:t>
            </w:r>
          </w:p>
        </w:tc>
        <w:tc>
          <w:tcPr>
            <w:tcW w:w="2655" w:type="dxa"/>
            <w:hideMark/>
          </w:tcPr>
          <w:p w14:paraId="70948885" w14:textId="77777777" w:rsidR="00DC03D0" w:rsidRPr="001D228D" w:rsidRDefault="00DC03D0" w:rsidP="0035708B">
            <w:pPr>
              <w:contextualSpacing/>
              <w:rPr>
                <w:sz w:val="18"/>
                <w:szCs w:val="18"/>
              </w:rPr>
            </w:pPr>
            <w:r w:rsidRPr="001D228D">
              <w:rPr>
                <w:sz w:val="18"/>
                <w:szCs w:val="18"/>
              </w:rPr>
              <w:t>–</w:t>
            </w:r>
          </w:p>
        </w:tc>
      </w:tr>
      <w:tr w:rsidR="00DC03D0" w:rsidRPr="001D228D" w14:paraId="684DAD65" w14:textId="77777777" w:rsidTr="0035708B">
        <w:trPr>
          <w:tblCellSpacing w:w="15" w:type="dxa"/>
        </w:trPr>
        <w:tc>
          <w:tcPr>
            <w:tcW w:w="0" w:type="auto"/>
            <w:vMerge/>
            <w:hideMark/>
          </w:tcPr>
          <w:p w14:paraId="5C10997B" w14:textId="77777777" w:rsidR="00DC03D0" w:rsidRPr="001D228D" w:rsidRDefault="00DC03D0" w:rsidP="0035708B">
            <w:pPr>
              <w:contextualSpacing/>
              <w:rPr>
                <w:sz w:val="18"/>
                <w:szCs w:val="18"/>
              </w:rPr>
            </w:pPr>
          </w:p>
        </w:tc>
        <w:tc>
          <w:tcPr>
            <w:tcW w:w="1508" w:type="dxa"/>
            <w:hideMark/>
          </w:tcPr>
          <w:p w14:paraId="03DCDB5B" w14:textId="77777777" w:rsidR="00DC03D0" w:rsidRPr="001D228D" w:rsidRDefault="00DC03D0" w:rsidP="0035708B">
            <w:pPr>
              <w:contextualSpacing/>
              <w:rPr>
                <w:sz w:val="18"/>
                <w:szCs w:val="18"/>
              </w:rPr>
            </w:pPr>
            <w:r w:rsidRPr="001D228D">
              <w:rPr>
                <w:sz w:val="18"/>
                <w:szCs w:val="18"/>
              </w:rPr>
              <w:t>Time since last moderate/vigorous exercise</w:t>
            </w:r>
          </w:p>
        </w:tc>
        <w:tc>
          <w:tcPr>
            <w:tcW w:w="530" w:type="dxa"/>
            <w:hideMark/>
          </w:tcPr>
          <w:p w14:paraId="4AD7D31A" w14:textId="77777777" w:rsidR="00DC03D0" w:rsidRPr="001D228D" w:rsidRDefault="00DC03D0" w:rsidP="0035708B">
            <w:pPr>
              <w:contextualSpacing/>
              <w:rPr>
                <w:sz w:val="18"/>
                <w:szCs w:val="18"/>
              </w:rPr>
            </w:pPr>
            <w:r w:rsidRPr="001D228D">
              <w:rPr>
                <w:sz w:val="18"/>
                <w:szCs w:val="18"/>
              </w:rPr>
              <w:t>2</w:t>
            </w:r>
          </w:p>
        </w:tc>
        <w:tc>
          <w:tcPr>
            <w:tcW w:w="2670" w:type="dxa"/>
            <w:hideMark/>
          </w:tcPr>
          <w:p w14:paraId="54CA6A41" w14:textId="77777777" w:rsidR="00DC03D0" w:rsidRPr="001D228D" w:rsidRDefault="00DC03D0" w:rsidP="0035708B">
            <w:pPr>
              <w:contextualSpacing/>
              <w:rPr>
                <w:sz w:val="18"/>
                <w:szCs w:val="18"/>
              </w:rPr>
            </w:pPr>
            <w:r w:rsidRPr="001D228D">
              <w:rPr>
                <w:sz w:val="18"/>
                <w:szCs w:val="18"/>
              </w:rPr>
              <w:t>Numeric (hours); or category (&lt;4 h, 4–12 h, &gt;12 h); Yes/No if a specific fasting time was instructed (e.g. “Did not exercise in the last 12 hours”)</w:t>
            </w:r>
          </w:p>
        </w:tc>
        <w:tc>
          <w:tcPr>
            <w:tcW w:w="2655" w:type="dxa"/>
            <w:hideMark/>
          </w:tcPr>
          <w:p w14:paraId="745B2956" w14:textId="77777777" w:rsidR="00DC03D0" w:rsidRPr="001D228D" w:rsidRDefault="00DC03D0" w:rsidP="0035708B">
            <w:pPr>
              <w:contextualSpacing/>
              <w:rPr>
                <w:sz w:val="18"/>
                <w:szCs w:val="18"/>
              </w:rPr>
            </w:pPr>
            <w:r w:rsidRPr="001D228D">
              <w:rPr>
                <w:sz w:val="18"/>
                <w:szCs w:val="18"/>
              </w:rPr>
              <w:t>Short structured item; can echo IPAQ intensity definitions</w:t>
            </w:r>
          </w:p>
        </w:tc>
      </w:tr>
      <w:tr w:rsidR="00DC03D0" w:rsidRPr="001D228D" w14:paraId="78523352" w14:textId="77777777" w:rsidTr="0035708B">
        <w:trPr>
          <w:tblCellSpacing w:w="15" w:type="dxa"/>
        </w:trPr>
        <w:tc>
          <w:tcPr>
            <w:tcW w:w="0" w:type="auto"/>
            <w:vMerge/>
            <w:hideMark/>
          </w:tcPr>
          <w:p w14:paraId="0701DDED" w14:textId="77777777" w:rsidR="00DC03D0" w:rsidRPr="001D228D" w:rsidRDefault="00DC03D0" w:rsidP="0035708B">
            <w:pPr>
              <w:contextualSpacing/>
              <w:rPr>
                <w:sz w:val="18"/>
                <w:szCs w:val="18"/>
              </w:rPr>
            </w:pPr>
          </w:p>
        </w:tc>
        <w:tc>
          <w:tcPr>
            <w:tcW w:w="1508" w:type="dxa"/>
            <w:hideMark/>
          </w:tcPr>
          <w:p w14:paraId="6DAB8597" w14:textId="77777777" w:rsidR="00DC03D0" w:rsidRPr="001D228D" w:rsidRDefault="00DC03D0" w:rsidP="0035708B">
            <w:pPr>
              <w:contextualSpacing/>
              <w:rPr>
                <w:sz w:val="18"/>
                <w:szCs w:val="18"/>
              </w:rPr>
            </w:pPr>
            <w:r w:rsidRPr="001D228D">
              <w:rPr>
                <w:sz w:val="18"/>
                <w:szCs w:val="18"/>
              </w:rPr>
              <w:t>Alcohol intake in last 24 h</w:t>
            </w:r>
          </w:p>
        </w:tc>
        <w:tc>
          <w:tcPr>
            <w:tcW w:w="530" w:type="dxa"/>
            <w:hideMark/>
          </w:tcPr>
          <w:p w14:paraId="6830F068" w14:textId="77777777" w:rsidR="00DC03D0" w:rsidRPr="001D228D" w:rsidRDefault="00DC03D0" w:rsidP="0035708B">
            <w:pPr>
              <w:contextualSpacing/>
              <w:rPr>
                <w:sz w:val="18"/>
                <w:szCs w:val="18"/>
              </w:rPr>
            </w:pPr>
            <w:r w:rsidRPr="001D228D">
              <w:rPr>
                <w:sz w:val="18"/>
                <w:szCs w:val="18"/>
              </w:rPr>
              <w:t>2</w:t>
            </w:r>
          </w:p>
        </w:tc>
        <w:tc>
          <w:tcPr>
            <w:tcW w:w="2670" w:type="dxa"/>
            <w:hideMark/>
          </w:tcPr>
          <w:p w14:paraId="3883BE0B" w14:textId="77777777" w:rsidR="00DC03D0" w:rsidRPr="001D228D" w:rsidRDefault="00DC03D0" w:rsidP="0035708B">
            <w:pPr>
              <w:contextualSpacing/>
              <w:rPr>
                <w:sz w:val="18"/>
                <w:szCs w:val="18"/>
              </w:rPr>
            </w:pPr>
            <w:r w:rsidRPr="001D228D">
              <w:rPr>
                <w:sz w:val="18"/>
                <w:szCs w:val="18"/>
              </w:rPr>
              <w:t>Yes/No; rough units or category (none / 1–2 / 3–5 / &gt;5)</w:t>
            </w:r>
          </w:p>
        </w:tc>
        <w:tc>
          <w:tcPr>
            <w:tcW w:w="2655" w:type="dxa"/>
            <w:hideMark/>
          </w:tcPr>
          <w:p w14:paraId="311E73EE" w14:textId="77777777" w:rsidR="00DC03D0" w:rsidRPr="001D228D" w:rsidRDefault="00DC03D0" w:rsidP="0035708B">
            <w:pPr>
              <w:contextualSpacing/>
              <w:rPr>
                <w:sz w:val="18"/>
                <w:szCs w:val="18"/>
              </w:rPr>
            </w:pPr>
            <w:r w:rsidRPr="001D228D">
              <w:rPr>
                <w:sz w:val="18"/>
                <w:szCs w:val="18"/>
              </w:rPr>
              <w:t xml:space="preserve">AUDIT-C wording if more structure needed; alternatively an alcohol test can be done before each session </w:t>
            </w:r>
          </w:p>
        </w:tc>
      </w:tr>
      <w:tr w:rsidR="00DC03D0" w:rsidRPr="001D228D" w14:paraId="775D7013" w14:textId="77777777" w:rsidTr="0035708B">
        <w:trPr>
          <w:tblCellSpacing w:w="15" w:type="dxa"/>
        </w:trPr>
        <w:tc>
          <w:tcPr>
            <w:tcW w:w="0" w:type="auto"/>
            <w:vMerge/>
            <w:tcBorders>
              <w:bottom w:val="single" w:sz="4" w:space="0" w:color="auto"/>
            </w:tcBorders>
            <w:hideMark/>
          </w:tcPr>
          <w:p w14:paraId="0487C408"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67782877" w14:textId="77777777" w:rsidR="00DC03D0" w:rsidRPr="001D228D" w:rsidRDefault="00DC03D0" w:rsidP="0035708B">
            <w:pPr>
              <w:contextualSpacing/>
              <w:rPr>
                <w:sz w:val="18"/>
                <w:szCs w:val="18"/>
              </w:rPr>
            </w:pPr>
            <w:r w:rsidRPr="001D228D">
              <w:rPr>
                <w:sz w:val="18"/>
                <w:szCs w:val="18"/>
              </w:rPr>
              <w:t>Smoking / vaping today</w:t>
            </w:r>
          </w:p>
        </w:tc>
        <w:tc>
          <w:tcPr>
            <w:tcW w:w="530" w:type="dxa"/>
            <w:tcBorders>
              <w:bottom w:val="single" w:sz="4" w:space="0" w:color="auto"/>
            </w:tcBorders>
            <w:hideMark/>
          </w:tcPr>
          <w:p w14:paraId="07B55AF7" w14:textId="77777777" w:rsidR="00DC03D0" w:rsidRPr="001D228D" w:rsidRDefault="00DC03D0" w:rsidP="0035708B">
            <w:pPr>
              <w:contextualSpacing/>
              <w:rPr>
                <w:sz w:val="18"/>
                <w:szCs w:val="18"/>
              </w:rPr>
            </w:pPr>
            <w:r w:rsidRPr="001D228D">
              <w:rPr>
                <w:sz w:val="18"/>
                <w:szCs w:val="18"/>
              </w:rPr>
              <w:t>2–3</w:t>
            </w:r>
          </w:p>
        </w:tc>
        <w:tc>
          <w:tcPr>
            <w:tcW w:w="2670" w:type="dxa"/>
            <w:tcBorders>
              <w:bottom w:val="single" w:sz="4" w:space="0" w:color="auto"/>
            </w:tcBorders>
            <w:hideMark/>
          </w:tcPr>
          <w:p w14:paraId="536F6143" w14:textId="77777777" w:rsidR="00DC03D0" w:rsidRPr="001D228D" w:rsidRDefault="00DC03D0" w:rsidP="0035708B">
            <w:pPr>
              <w:contextualSpacing/>
              <w:rPr>
                <w:sz w:val="18"/>
                <w:szCs w:val="18"/>
              </w:rPr>
            </w:pPr>
            <w:r w:rsidRPr="001D228D">
              <w:rPr>
                <w:sz w:val="18"/>
                <w:szCs w:val="18"/>
              </w:rPr>
              <w:t>Yes/No; approximate cigarettes/vapes since waking</w:t>
            </w:r>
          </w:p>
        </w:tc>
        <w:tc>
          <w:tcPr>
            <w:tcW w:w="2655" w:type="dxa"/>
            <w:tcBorders>
              <w:bottom w:val="single" w:sz="4" w:space="0" w:color="auto"/>
            </w:tcBorders>
            <w:hideMark/>
          </w:tcPr>
          <w:p w14:paraId="72F335A2" w14:textId="77777777" w:rsidR="00DC03D0" w:rsidRPr="001D228D" w:rsidRDefault="00DC03D0" w:rsidP="0035708B">
            <w:pPr>
              <w:contextualSpacing/>
              <w:rPr>
                <w:sz w:val="18"/>
                <w:szCs w:val="18"/>
              </w:rPr>
            </w:pPr>
            <w:r w:rsidRPr="001D228D">
              <w:rPr>
                <w:sz w:val="18"/>
                <w:szCs w:val="18"/>
              </w:rPr>
              <w:t>–</w:t>
            </w:r>
          </w:p>
        </w:tc>
      </w:tr>
      <w:tr w:rsidR="00DC03D0" w:rsidRPr="001D228D" w14:paraId="1EDD9A77" w14:textId="77777777" w:rsidTr="0035708B">
        <w:trPr>
          <w:tblCellSpacing w:w="15" w:type="dxa"/>
        </w:trPr>
        <w:tc>
          <w:tcPr>
            <w:tcW w:w="0" w:type="auto"/>
            <w:vMerge w:val="restart"/>
            <w:hideMark/>
          </w:tcPr>
          <w:p w14:paraId="56A17C37" w14:textId="77777777" w:rsidR="00DC03D0" w:rsidRPr="001D228D" w:rsidRDefault="00DC03D0" w:rsidP="0035708B">
            <w:pPr>
              <w:contextualSpacing/>
              <w:rPr>
                <w:sz w:val="18"/>
                <w:szCs w:val="18"/>
              </w:rPr>
            </w:pPr>
            <w:r w:rsidRPr="001D228D">
              <w:rPr>
                <w:sz w:val="18"/>
                <w:szCs w:val="18"/>
              </w:rPr>
              <w:t>Hormonal &amp; reproductive (per session info)</w:t>
            </w:r>
          </w:p>
        </w:tc>
        <w:tc>
          <w:tcPr>
            <w:tcW w:w="1508" w:type="dxa"/>
            <w:hideMark/>
          </w:tcPr>
          <w:p w14:paraId="0C2738CE" w14:textId="77777777" w:rsidR="00DC03D0" w:rsidRPr="001D228D" w:rsidRDefault="00DC03D0" w:rsidP="0035708B">
            <w:pPr>
              <w:contextualSpacing/>
              <w:rPr>
                <w:sz w:val="18"/>
                <w:szCs w:val="18"/>
              </w:rPr>
            </w:pPr>
            <w:r w:rsidRPr="001D228D">
              <w:rPr>
                <w:sz w:val="18"/>
                <w:szCs w:val="18"/>
              </w:rPr>
              <w:t>Menstrual phase at session</w:t>
            </w:r>
          </w:p>
        </w:tc>
        <w:tc>
          <w:tcPr>
            <w:tcW w:w="530" w:type="dxa"/>
            <w:hideMark/>
          </w:tcPr>
          <w:p w14:paraId="57BADCC0" w14:textId="77777777" w:rsidR="00DC03D0" w:rsidRPr="001D228D" w:rsidRDefault="00DC03D0" w:rsidP="0035708B">
            <w:pPr>
              <w:contextualSpacing/>
              <w:rPr>
                <w:sz w:val="18"/>
                <w:szCs w:val="18"/>
              </w:rPr>
            </w:pPr>
            <w:r w:rsidRPr="001D228D">
              <w:rPr>
                <w:sz w:val="18"/>
                <w:szCs w:val="18"/>
              </w:rPr>
              <w:t>1</w:t>
            </w:r>
          </w:p>
        </w:tc>
        <w:tc>
          <w:tcPr>
            <w:tcW w:w="2670" w:type="dxa"/>
            <w:hideMark/>
          </w:tcPr>
          <w:p w14:paraId="36B38825" w14:textId="77777777" w:rsidR="00DC03D0" w:rsidRPr="001D228D" w:rsidRDefault="00DC03D0" w:rsidP="0035708B">
            <w:pPr>
              <w:contextualSpacing/>
              <w:rPr>
                <w:sz w:val="18"/>
                <w:szCs w:val="18"/>
              </w:rPr>
            </w:pPr>
            <w:r w:rsidRPr="001D228D">
              <w:rPr>
                <w:sz w:val="18"/>
                <w:szCs w:val="18"/>
              </w:rPr>
              <w:t>Categorical (e.g. early follicular, late follicular, mid-luteal, perimenopausal, postmenopausal, unknown)</w:t>
            </w:r>
          </w:p>
        </w:tc>
        <w:tc>
          <w:tcPr>
            <w:tcW w:w="2655" w:type="dxa"/>
            <w:hideMark/>
          </w:tcPr>
          <w:p w14:paraId="207AB77B" w14:textId="77777777" w:rsidR="00DC03D0" w:rsidRPr="001D228D" w:rsidRDefault="00DC03D0" w:rsidP="0035708B">
            <w:pPr>
              <w:contextualSpacing/>
              <w:rPr>
                <w:sz w:val="18"/>
                <w:szCs w:val="18"/>
              </w:rPr>
            </w:pPr>
            <w:r w:rsidRPr="001D228D">
              <w:rPr>
                <w:sz w:val="18"/>
                <w:szCs w:val="18"/>
              </w:rPr>
              <w:t>Derived from self-reported menstrual dates; optionally hormone assays</w:t>
            </w:r>
          </w:p>
        </w:tc>
      </w:tr>
      <w:tr w:rsidR="00DC03D0" w:rsidRPr="001D228D" w14:paraId="428AABB0" w14:textId="77777777" w:rsidTr="0035708B">
        <w:trPr>
          <w:tblCellSpacing w:w="15" w:type="dxa"/>
        </w:trPr>
        <w:tc>
          <w:tcPr>
            <w:tcW w:w="0" w:type="auto"/>
            <w:vMerge/>
            <w:tcBorders>
              <w:bottom w:val="single" w:sz="4" w:space="0" w:color="auto"/>
            </w:tcBorders>
            <w:hideMark/>
          </w:tcPr>
          <w:p w14:paraId="367B8439"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3B8C5301" w14:textId="77777777" w:rsidR="00DC03D0" w:rsidRPr="001D228D" w:rsidRDefault="00DC03D0" w:rsidP="0035708B">
            <w:pPr>
              <w:contextualSpacing/>
              <w:rPr>
                <w:sz w:val="18"/>
                <w:szCs w:val="18"/>
              </w:rPr>
            </w:pPr>
            <w:r w:rsidRPr="001D228D">
              <w:rPr>
                <w:sz w:val="18"/>
                <w:szCs w:val="18"/>
              </w:rPr>
              <w:t>Pregnancy / breastfeeding status</w:t>
            </w:r>
          </w:p>
        </w:tc>
        <w:tc>
          <w:tcPr>
            <w:tcW w:w="530" w:type="dxa"/>
            <w:tcBorders>
              <w:bottom w:val="single" w:sz="4" w:space="0" w:color="auto"/>
            </w:tcBorders>
            <w:hideMark/>
          </w:tcPr>
          <w:p w14:paraId="11590E1B" w14:textId="77777777" w:rsidR="00DC03D0" w:rsidRPr="001D228D" w:rsidRDefault="00DC03D0" w:rsidP="0035708B">
            <w:pPr>
              <w:contextualSpacing/>
              <w:rPr>
                <w:sz w:val="18"/>
                <w:szCs w:val="18"/>
              </w:rPr>
            </w:pPr>
            <w:r w:rsidRPr="001D228D">
              <w:rPr>
                <w:sz w:val="18"/>
                <w:szCs w:val="18"/>
              </w:rPr>
              <w:t>2</w:t>
            </w:r>
          </w:p>
        </w:tc>
        <w:tc>
          <w:tcPr>
            <w:tcW w:w="2670" w:type="dxa"/>
            <w:tcBorders>
              <w:bottom w:val="single" w:sz="4" w:space="0" w:color="auto"/>
            </w:tcBorders>
            <w:hideMark/>
          </w:tcPr>
          <w:p w14:paraId="207ED2E4" w14:textId="77777777" w:rsidR="00DC03D0" w:rsidRPr="001D228D" w:rsidRDefault="00DC03D0" w:rsidP="0035708B">
            <w:pPr>
              <w:contextualSpacing/>
              <w:rPr>
                <w:sz w:val="18"/>
                <w:szCs w:val="18"/>
              </w:rPr>
            </w:pPr>
            <w:r w:rsidRPr="001D228D">
              <w:rPr>
                <w:sz w:val="18"/>
                <w:szCs w:val="18"/>
              </w:rPr>
              <w:t>Yes/No; if Yes: notes</w:t>
            </w:r>
          </w:p>
        </w:tc>
        <w:tc>
          <w:tcPr>
            <w:tcW w:w="2655" w:type="dxa"/>
            <w:tcBorders>
              <w:bottom w:val="single" w:sz="4" w:space="0" w:color="auto"/>
            </w:tcBorders>
            <w:hideMark/>
          </w:tcPr>
          <w:p w14:paraId="3C6D2755" w14:textId="77777777" w:rsidR="00DC03D0" w:rsidRPr="001D228D" w:rsidRDefault="00DC03D0" w:rsidP="0035708B">
            <w:pPr>
              <w:contextualSpacing/>
              <w:rPr>
                <w:sz w:val="18"/>
                <w:szCs w:val="18"/>
              </w:rPr>
            </w:pPr>
            <w:r w:rsidRPr="001D228D">
              <w:rPr>
                <w:sz w:val="18"/>
                <w:szCs w:val="18"/>
              </w:rPr>
              <w:t>Pregnancy tests can be done before each experiment/session when needed</w:t>
            </w:r>
          </w:p>
        </w:tc>
      </w:tr>
      <w:tr w:rsidR="00DC03D0" w:rsidRPr="001D228D" w14:paraId="554201FD" w14:textId="77777777" w:rsidTr="0035708B">
        <w:trPr>
          <w:tblCellSpacing w:w="15" w:type="dxa"/>
        </w:trPr>
        <w:tc>
          <w:tcPr>
            <w:tcW w:w="0" w:type="auto"/>
            <w:vMerge w:val="restart"/>
            <w:hideMark/>
          </w:tcPr>
          <w:p w14:paraId="5CE96789" w14:textId="77777777" w:rsidR="00DC03D0" w:rsidRPr="001D228D" w:rsidRDefault="00DC03D0" w:rsidP="0035708B">
            <w:pPr>
              <w:contextualSpacing/>
              <w:rPr>
                <w:sz w:val="18"/>
                <w:szCs w:val="18"/>
              </w:rPr>
            </w:pPr>
            <w:r w:rsidRPr="001D228D">
              <w:rPr>
                <w:sz w:val="18"/>
                <w:szCs w:val="18"/>
              </w:rPr>
              <w:t>Events &amp; deviations</w:t>
            </w:r>
          </w:p>
        </w:tc>
        <w:tc>
          <w:tcPr>
            <w:tcW w:w="1508" w:type="dxa"/>
            <w:hideMark/>
          </w:tcPr>
          <w:p w14:paraId="0135E27E" w14:textId="77777777" w:rsidR="00DC03D0" w:rsidRPr="001D228D" w:rsidRDefault="00DC03D0" w:rsidP="0035708B">
            <w:pPr>
              <w:contextualSpacing/>
              <w:rPr>
                <w:sz w:val="18"/>
                <w:szCs w:val="18"/>
              </w:rPr>
            </w:pPr>
            <w:r w:rsidRPr="001D228D">
              <w:rPr>
                <w:sz w:val="18"/>
                <w:szCs w:val="18"/>
              </w:rPr>
              <w:t>Acute events during session</w:t>
            </w:r>
          </w:p>
        </w:tc>
        <w:tc>
          <w:tcPr>
            <w:tcW w:w="530" w:type="dxa"/>
            <w:hideMark/>
          </w:tcPr>
          <w:p w14:paraId="0B3EA896"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7DD6276E" w14:textId="77777777" w:rsidR="00DC03D0" w:rsidRPr="001D228D" w:rsidRDefault="00DC03D0" w:rsidP="0035708B">
            <w:pPr>
              <w:contextualSpacing/>
              <w:rPr>
                <w:sz w:val="18"/>
                <w:szCs w:val="18"/>
              </w:rPr>
            </w:pPr>
            <w:r w:rsidRPr="001D228D">
              <w:rPr>
                <w:sz w:val="18"/>
                <w:szCs w:val="18"/>
              </w:rPr>
              <w:t>Free text (e.g. “felt faint at 20:10, paused”, “strong emotional phone call at 21:00”)</w:t>
            </w:r>
          </w:p>
        </w:tc>
        <w:tc>
          <w:tcPr>
            <w:tcW w:w="2655" w:type="dxa"/>
            <w:hideMark/>
          </w:tcPr>
          <w:p w14:paraId="1BB3A15C" w14:textId="77777777" w:rsidR="00DC03D0" w:rsidRPr="001D228D" w:rsidRDefault="00DC03D0" w:rsidP="0035708B">
            <w:pPr>
              <w:contextualSpacing/>
              <w:rPr>
                <w:sz w:val="18"/>
                <w:szCs w:val="18"/>
              </w:rPr>
            </w:pPr>
            <w:r w:rsidRPr="001D228D">
              <w:rPr>
                <w:sz w:val="18"/>
                <w:szCs w:val="18"/>
              </w:rPr>
              <w:t>End-of-session log entry</w:t>
            </w:r>
          </w:p>
        </w:tc>
      </w:tr>
      <w:tr w:rsidR="00DC03D0" w:rsidRPr="001D228D" w14:paraId="238E6064" w14:textId="77777777" w:rsidTr="0035708B">
        <w:trPr>
          <w:tblCellSpacing w:w="15" w:type="dxa"/>
        </w:trPr>
        <w:tc>
          <w:tcPr>
            <w:tcW w:w="0" w:type="auto"/>
            <w:vMerge/>
            <w:hideMark/>
          </w:tcPr>
          <w:p w14:paraId="60533042" w14:textId="77777777" w:rsidR="00DC03D0" w:rsidRPr="001D228D" w:rsidRDefault="00DC03D0" w:rsidP="0035708B">
            <w:pPr>
              <w:contextualSpacing/>
              <w:rPr>
                <w:sz w:val="18"/>
                <w:szCs w:val="18"/>
              </w:rPr>
            </w:pPr>
          </w:p>
        </w:tc>
        <w:tc>
          <w:tcPr>
            <w:tcW w:w="1508" w:type="dxa"/>
            <w:hideMark/>
          </w:tcPr>
          <w:p w14:paraId="726F3CA6" w14:textId="77777777" w:rsidR="00DC03D0" w:rsidRPr="001D228D" w:rsidRDefault="00DC03D0" w:rsidP="0035708B">
            <w:pPr>
              <w:contextualSpacing/>
              <w:rPr>
                <w:sz w:val="18"/>
                <w:szCs w:val="18"/>
              </w:rPr>
            </w:pPr>
            <w:r w:rsidRPr="001D228D">
              <w:rPr>
                <w:sz w:val="18"/>
                <w:szCs w:val="18"/>
              </w:rPr>
              <w:t>Bathroom visits</w:t>
            </w:r>
          </w:p>
        </w:tc>
        <w:tc>
          <w:tcPr>
            <w:tcW w:w="530" w:type="dxa"/>
            <w:hideMark/>
          </w:tcPr>
          <w:p w14:paraId="3076A2FE"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5257B952" w14:textId="77777777" w:rsidR="00DC03D0" w:rsidRPr="001D228D" w:rsidRDefault="00DC03D0" w:rsidP="0035708B">
            <w:pPr>
              <w:contextualSpacing/>
              <w:rPr>
                <w:sz w:val="18"/>
                <w:szCs w:val="18"/>
              </w:rPr>
            </w:pPr>
            <w:r w:rsidRPr="001D228D">
              <w:rPr>
                <w:sz w:val="18"/>
                <w:szCs w:val="18"/>
              </w:rPr>
              <w:t>Times or time ranges; optional volume where measured</w:t>
            </w:r>
          </w:p>
        </w:tc>
        <w:tc>
          <w:tcPr>
            <w:tcW w:w="2655" w:type="dxa"/>
            <w:hideMark/>
          </w:tcPr>
          <w:p w14:paraId="0A6D70D5" w14:textId="77777777" w:rsidR="00DC03D0" w:rsidRPr="001D228D" w:rsidRDefault="00DC03D0" w:rsidP="0035708B">
            <w:pPr>
              <w:contextualSpacing/>
              <w:rPr>
                <w:sz w:val="18"/>
                <w:szCs w:val="18"/>
              </w:rPr>
            </w:pPr>
            <w:r w:rsidRPr="001D228D">
              <w:rPr>
                <w:sz w:val="18"/>
                <w:szCs w:val="18"/>
              </w:rPr>
              <w:t>Manually logged, useful for future detection of outside-lab/uncontrolled exposure times</w:t>
            </w:r>
          </w:p>
        </w:tc>
      </w:tr>
      <w:tr w:rsidR="00DC03D0" w:rsidRPr="001D228D" w14:paraId="418C2FA5" w14:textId="77777777" w:rsidTr="0035708B">
        <w:trPr>
          <w:tblCellSpacing w:w="15" w:type="dxa"/>
        </w:trPr>
        <w:tc>
          <w:tcPr>
            <w:tcW w:w="0" w:type="auto"/>
            <w:vMerge/>
            <w:hideMark/>
          </w:tcPr>
          <w:p w14:paraId="28149AF8" w14:textId="77777777" w:rsidR="00DC03D0" w:rsidRPr="001D228D" w:rsidRDefault="00DC03D0" w:rsidP="0035708B">
            <w:pPr>
              <w:contextualSpacing/>
              <w:rPr>
                <w:sz w:val="18"/>
                <w:szCs w:val="18"/>
              </w:rPr>
            </w:pPr>
          </w:p>
        </w:tc>
        <w:tc>
          <w:tcPr>
            <w:tcW w:w="1508" w:type="dxa"/>
            <w:hideMark/>
          </w:tcPr>
          <w:p w14:paraId="3989F03D" w14:textId="77777777" w:rsidR="00DC03D0" w:rsidRPr="001D228D" w:rsidRDefault="00DC03D0" w:rsidP="0035708B">
            <w:pPr>
              <w:contextualSpacing/>
              <w:rPr>
                <w:sz w:val="18"/>
                <w:szCs w:val="18"/>
              </w:rPr>
            </w:pPr>
            <w:r w:rsidRPr="001D228D">
              <w:rPr>
                <w:sz w:val="18"/>
                <w:szCs w:val="18"/>
              </w:rPr>
              <w:t>Food / drink provided</w:t>
            </w:r>
          </w:p>
        </w:tc>
        <w:tc>
          <w:tcPr>
            <w:tcW w:w="530" w:type="dxa"/>
            <w:hideMark/>
          </w:tcPr>
          <w:p w14:paraId="7BD22D52"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4921A8D6" w14:textId="77777777" w:rsidR="00DC03D0" w:rsidRPr="001D228D" w:rsidRDefault="00DC03D0" w:rsidP="0035708B">
            <w:pPr>
              <w:contextualSpacing/>
              <w:rPr>
                <w:sz w:val="18"/>
                <w:szCs w:val="18"/>
              </w:rPr>
            </w:pPr>
            <w:r w:rsidRPr="001D228D">
              <w:rPr>
                <w:sz w:val="18"/>
                <w:szCs w:val="18"/>
              </w:rPr>
              <w:t>Type and energy content (kcal) if standardised</w:t>
            </w:r>
          </w:p>
        </w:tc>
        <w:tc>
          <w:tcPr>
            <w:tcW w:w="2655" w:type="dxa"/>
            <w:hideMark/>
          </w:tcPr>
          <w:p w14:paraId="2B56F1EF" w14:textId="77777777" w:rsidR="00DC03D0" w:rsidRPr="001D228D" w:rsidRDefault="00DC03D0" w:rsidP="0035708B">
            <w:pPr>
              <w:contextualSpacing/>
              <w:rPr>
                <w:sz w:val="18"/>
                <w:szCs w:val="18"/>
              </w:rPr>
            </w:pPr>
            <w:r w:rsidRPr="001D228D">
              <w:rPr>
                <w:sz w:val="18"/>
                <w:szCs w:val="18"/>
              </w:rPr>
              <w:t>Study-specific (e.g. Huel Liquid Drink)</w:t>
            </w:r>
          </w:p>
        </w:tc>
      </w:tr>
      <w:tr w:rsidR="00DC03D0" w:rsidRPr="001D228D" w14:paraId="71644752" w14:textId="77777777" w:rsidTr="0035708B">
        <w:trPr>
          <w:tblCellSpacing w:w="15" w:type="dxa"/>
        </w:trPr>
        <w:tc>
          <w:tcPr>
            <w:tcW w:w="0" w:type="auto"/>
            <w:vMerge/>
          </w:tcPr>
          <w:p w14:paraId="3A0CB445" w14:textId="77777777" w:rsidR="00DC03D0" w:rsidRPr="001D228D" w:rsidRDefault="00DC03D0" w:rsidP="0035708B">
            <w:pPr>
              <w:contextualSpacing/>
              <w:rPr>
                <w:sz w:val="18"/>
                <w:szCs w:val="18"/>
              </w:rPr>
            </w:pPr>
          </w:p>
        </w:tc>
        <w:tc>
          <w:tcPr>
            <w:tcW w:w="1508" w:type="dxa"/>
          </w:tcPr>
          <w:p w14:paraId="146C810D" w14:textId="77777777" w:rsidR="00DC03D0" w:rsidRPr="001D228D" w:rsidRDefault="00DC03D0" w:rsidP="0035708B">
            <w:pPr>
              <w:contextualSpacing/>
              <w:rPr>
                <w:sz w:val="18"/>
                <w:szCs w:val="18"/>
              </w:rPr>
            </w:pPr>
            <w:r w:rsidRPr="001D228D">
              <w:rPr>
                <w:sz w:val="18"/>
                <w:szCs w:val="18"/>
              </w:rPr>
              <w:t>Required calories</w:t>
            </w:r>
          </w:p>
        </w:tc>
        <w:tc>
          <w:tcPr>
            <w:tcW w:w="530" w:type="dxa"/>
          </w:tcPr>
          <w:p w14:paraId="219F9C3A" w14:textId="77777777" w:rsidR="00DC03D0" w:rsidRPr="001D228D" w:rsidRDefault="00DC03D0" w:rsidP="0035708B">
            <w:pPr>
              <w:contextualSpacing/>
              <w:rPr>
                <w:sz w:val="18"/>
                <w:szCs w:val="18"/>
              </w:rPr>
            </w:pPr>
            <w:r w:rsidRPr="001D228D">
              <w:rPr>
                <w:sz w:val="18"/>
                <w:szCs w:val="18"/>
              </w:rPr>
              <w:t>2–3</w:t>
            </w:r>
          </w:p>
        </w:tc>
        <w:tc>
          <w:tcPr>
            <w:tcW w:w="2670" w:type="dxa"/>
          </w:tcPr>
          <w:p w14:paraId="03392202" w14:textId="77777777" w:rsidR="00DC03D0" w:rsidRPr="001D228D" w:rsidRDefault="00DC03D0" w:rsidP="0035708B">
            <w:pPr>
              <w:contextualSpacing/>
              <w:rPr>
                <w:sz w:val="18"/>
                <w:szCs w:val="18"/>
              </w:rPr>
            </w:pPr>
            <w:r w:rsidRPr="001D228D">
              <w:rPr>
                <w:sz w:val="18"/>
                <w:szCs w:val="18"/>
              </w:rPr>
              <w:t>Calculated kcal requirement via BMR equations</w:t>
            </w:r>
          </w:p>
        </w:tc>
        <w:tc>
          <w:tcPr>
            <w:tcW w:w="2655" w:type="dxa"/>
          </w:tcPr>
          <w:p w14:paraId="41DA5E66" w14:textId="39FD65B9" w:rsidR="00DC03D0" w:rsidRPr="001D228D" w:rsidRDefault="00DC03D0" w:rsidP="0035708B">
            <w:pPr>
              <w:contextualSpacing/>
              <w:rPr>
                <w:sz w:val="18"/>
                <w:szCs w:val="18"/>
              </w:rPr>
            </w:pPr>
            <w:r w:rsidRPr="001D228D">
              <w:rPr>
                <w:sz w:val="18"/>
                <w:szCs w:val="18"/>
              </w:rPr>
              <w:t xml:space="preserve">Formulas St. Jeor-Mifflin </w:t>
            </w:r>
            <w:sdt>
              <w:sdtPr>
                <w:rPr>
                  <w:color w:val="000000"/>
                  <w:szCs w:val="18"/>
                </w:rPr>
                <w:tag w:val="MENDELEY_CITATION_v3_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"/>
                <w:id w:val="1776664222"/>
                <w:placeholder>
                  <w:docPart w:val="BFD6DBFA62D2471D9F7A7F387D1358A0"/>
                </w:placeholder>
              </w:sdtPr>
              <w:sdtEndPr>
                <w:rPr>
                  <w:szCs w:val="20"/>
                </w:rPr>
              </w:sdtEndPr>
              <w:sdtContent>
                <w:r w:rsidRPr="00B43409">
                  <w:rPr>
                    <w:color w:val="000000"/>
                  </w:rPr>
                  <w:t>[538]</w:t>
                </w:r>
              </w:sdtContent>
            </w:sdt>
            <w:r w:rsidRPr="001D228D">
              <w:rPr>
                <w:sz w:val="18"/>
                <w:szCs w:val="18"/>
              </w:rPr>
              <w:t xml:space="preserve"> or similar</w:t>
            </w:r>
          </w:p>
        </w:tc>
      </w:tr>
      <w:tr w:rsidR="00DC03D0" w:rsidRPr="001D228D" w14:paraId="4EBFAFA4" w14:textId="77777777" w:rsidTr="0035708B">
        <w:trPr>
          <w:tblCellSpacing w:w="15" w:type="dxa"/>
        </w:trPr>
        <w:tc>
          <w:tcPr>
            <w:tcW w:w="0" w:type="auto"/>
            <w:vMerge/>
            <w:hideMark/>
          </w:tcPr>
          <w:p w14:paraId="2F110495" w14:textId="77777777" w:rsidR="00DC03D0" w:rsidRPr="001D228D" w:rsidRDefault="00DC03D0" w:rsidP="0035708B">
            <w:pPr>
              <w:contextualSpacing/>
              <w:rPr>
                <w:sz w:val="18"/>
                <w:szCs w:val="18"/>
              </w:rPr>
            </w:pPr>
          </w:p>
        </w:tc>
        <w:tc>
          <w:tcPr>
            <w:tcW w:w="1508" w:type="dxa"/>
            <w:hideMark/>
          </w:tcPr>
          <w:p w14:paraId="3AE9A245" w14:textId="77777777" w:rsidR="00DC03D0" w:rsidRPr="001D228D" w:rsidRDefault="00DC03D0" w:rsidP="0035708B">
            <w:pPr>
              <w:contextualSpacing/>
              <w:rPr>
                <w:sz w:val="18"/>
                <w:szCs w:val="18"/>
              </w:rPr>
            </w:pPr>
            <w:r w:rsidRPr="001D228D">
              <w:rPr>
                <w:sz w:val="18"/>
                <w:szCs w:val="18"/>
              </w:rPr>
              <w:t>Food / drink consumed</w:t>
            </w:r>
          </w:p>
        </w:tc>
        <w:tc>
          <w:tcPr>
            <w:tcW w:w="530" w:type="dxa"/>
            <w:hideMark/>
          </w:tcPr>
          <w:p w14:paraId="3002F840" w14:textId="77777777" w:rsidR="00DC03D0" w:rsidRPr="001D228D" w:rsidRDefault="00DC03D0" w:rsidP="0035708B">
            <w:pPr>
              <w:contextualSpacing/>
              <w:rPr>
                <w:sz w:val="18"/>
                <w:szCs w:val="18"/>
              </w:rPr>
            </w:pPr>
            <w:r w:rsidRPr="001D228D">
              <w:rPr>
                <w:sz w:val="18"/>
                <w:szCs w:val="18"/>
              </w:rPr>
              <w:t>2–3</w:t>
            </w:r>
          </w:p>
        </w:tc>
        <w:tc>
          <w:tcPr>
            <w:tcW w:w="2670" w:type="dxa"/>
            <w:hideMark/>
          </w:tcPr>
          <w:p w14:paraId="7CFA7827" w14:textId="77777777" w:rsidR="00DC03D0" w:rsidRPr="001D228D" w:rsidRDefault="00DC03D0" w:rsidP="0035708B">
            <w:pPr>
              <w:contextualSpacing/>
              <w:rPr>
                <w:sz w:val="18"/>
                <w:szCs w:val="18"/>
              </w:rPr>
            </w:pPr>
            <w:r w:rsidRPr="001D228D">
              <w:rPr>
                <w:sz w:val="18"/>
                <w:szCs w:val="18"/>
              </w:rPr>
              <w:t>Estimated intake (kcal or %) + timing</w:t>
            </w:r>
          </w:p>
        </w:tc>
        <w:tc>
          <w:tcPr>
            <w:tcW w:w="2655" w:type="dxa"/>
            <w:hideMark/>
          </w:tcPr>
          <w:p w14:paraId="2FE06642" w14:textId="77777777" w:rsidR="00DC03D0" w:rsidRPr="001D228D" w:rsidRDefault="00DC03D0" w:rsidP="0035708B">
            <w:pPr>
              <w:contextualSpacing/>
              <w:rPr>
                <w:sz w:val="18"/>
                <w:szCs w:val="18"/>
              </w:rPr>
            </w:pPr>
            <w:r w:rsidRPr="001D228D">
              <w:rPr>
                <w:sz w:val="18"/>
                <w:szCs w:val="18"/>
              </w:rPr>
              <w:t>Participant-specific</w:t>
            </w:r>
          </w:p>
        </w:tc>
      </w:tr>
      <w:tr w:rsidR="00DC03D0" w:rsidRPr="001D228D" w14:paraId="5B428594" w14:textId="77777777" w:rsidTr="0035708B">
        <w:trPr>
          <w:tblCellSpacing w:w="15" w:type="dxa"/>
        </w:trPr>
        <w:tc>
          <w:tcPr>
            <w:tcW w:w="0" w:type="auto"/>
            <w:vMerge/>
            <w:hideMark/>
          </w:tcPr>
          <w:p w14:paraId="2AC2133A" w14:textId="77777777" w:rsidR="00DC03D0" w:rsidRPr="001D228D" w:rsidRDefault="00DC03D0" w:rsidP="0035708B">
            <w:pPr>
              <w:contextualSpacing/>
              <w:rPr>
                <w:sz w:val="18"/>
                <w:szCs w:val="18"/>
              </w:rPr>
            </w:pPr>
          </w:p>
        </w:tc>
        <w:tc>
          <w:tcPr>
            <w:tcW w:w="1508" w:type="dxa"/>
            <w:hideMark/>
          </w:tcPr>
          <w:p w14:paraId="72685A14" w14:textId="77777777" w:rsidR="00DC03D0" w:rsidRPr="001D228D" w:rsidRDefault="00DC03D0" w:rsidP="0035708B">
            <w:pPr>
              <w:contextualSpacing/>
              <w:rPr>
                <w:sz w:val="18"/>
                <w:szCs w:val="18"/>
              </w:rPr>
            </w:pPr>
            <w:r w:rsidRPr="001D228D">
              <w:rPr>
                <w:sz w:val="18"/>
                <w:szCs w:val="18"/>
              </w:rPr>
              <w:t>Major protocol deviations</w:t>
            </w:r>
          </w:p>
        </w:tc>
        <w:tc>
          <w:tcPr>
            <w:tcW w:w="530" w:type="dxa"/>
            <w:hideMark/>
          </w:tcPr>
          <w:p w14:paraId="2854B272" w14:textId="77777777" w:rsidR="00DC03D0" w:rsidRPr="001D228D" w:rsidRDefault="00DC03D0" w:rsidP="0035708B">
            <w:pPr>
              <w:contextualSpacing/>
              <w:rPr>
                <w:sz w:val="18"/>
                <w:szCs w:val="18"/>
              </w:rPr>
            </w:pPr>
            <w:r w:rsidRPr="001D228D">
              <w:rPr>
                <w:sz w:val="18"/>
                <w:szCs w:val="18"/>
              </w:rPr>
              <w:t>1–2</w:t>
            </w:r>
          </w:p>
        </w:tc>
        <w:tc>
          <w:tcPr>
            <w:tcW w:w="2670" w:type="dxa"/>
            <w:hideMark/>
          </w:tcPr>
          <w:p w14:paraId="544E7895" w14:textId="77777777" w:rsidR="00DC03D0" w:rsidRPr="001D228D" w:rsidRDefault="00DC03D0" w:rsidP="0035708B">
            <w:pPr>
              <w:contextualSpacing/>
              <w:rPr>
                <w:sz w:val="18"/>
                <w:szCs w:val="18"/>
              </w:rPr>
            </w:pPr>
            <w:r w:rsidRPr="001D228D">
              <w:rPr>
                <w:sz w:val="18"/>
                <w:szCs w:val="18"/>
              </w:rPr>
              <w:t>Free text (e.g. “session ended early”, “CBT probe dislodged”, “BP failed for 30 min”)</w:t>
            </w:r>
          </w:p>
        </w:tc>
        <w:tc>
          <w:tcPr>
            <w:tcW w:w="2655" w:type="dxa"/>
            <w:hideMark/>
          </w:tcPr>
          <w:p w14:paraId="6174DCAB" w14:textId="77777777" w:rsidR="00DC03D0" w:rsidRPr="001D228D" w:rsidRDefault="00DC03D0" w:rsidP="0035708B">
            <w:pPr>
              <w:contextualSpacing/>
              <w:rPr>
                <w:sz w:val="18"/>
                <w:szCs w:val="18"/>
              </w:rPr>
            </w:pPr>
            <w:r w:rsidRPr="001D228D">
              <w:rPr>
                <w:sz w:val="18"/>
                <w:szCs w:val="18"/>
              </w:rPr>
              <w:t>Protocol deviation form</w:t>
            </w:r>
          </w:p>
        </w:tc>
      </w:tr>
      <w:tr w:rsidR="00DC03D0" w:rsidRPr="001D228D" w14:paraId="6D2C7E51" w14:textId="77777777" w:rsidTr="0035708B">
        <w:trPr>
          <w:tblCellSpacing w:w="15" w:type="dxa"/>
        </w:trPr>
        <w:tc>
          <w:tcPr>
            <w:tcW w:w="0" w:type="auto"/>
            <w:vMerge/>
            <w:tcBorders>
              <w:bottom w:val="single" w:sz="4" w:space="0" w:color="auto"/>
            </w:tcBorders>
            <w:hideMark/>
          </w:tcPr>
          <w:p w14:paraId="220B6977" w14:textId="77777777" w:rsidR="00DC03D0" w:rsidRPr="001D228D" w:rsidRDefault="00DC03D0" w:rsidP="0035708B">
            <w:pPr>
              <w:contextualSpacing/>
              <w:rPr>
                <w:sz w:val="18"/>
                <w:szCs w:val="18"/>
              </w:rPr>
            </w:pPr>
          </w:p>
        </w:tc>
        <w:tc>
          <w:tcPr>
            <w:tcW w:w="1508" w:type="dxa"/>
            <w:tcBorders>
              <w:bottom w:val="single" w:sz="4" w:space="0" w:color="auto"/>
            </w:tcBorders>
            <w:hideMark/>
          </w:tcPr>
          <w:p w14:paraId="2AD9C6E2" w14:textId="77777777" w:rsidR="00DC03D0" w:rsidRPr="001D228D" w:rsidRDefault="00DC03D0" w:rsidP="0035708B">
            <w:pPr>
              <w:contextualSpacing/>
              <w:rPr>
                <w:sz w:val="18"/>
                <w:szCs w:val="18"/>
              </w:rPr>
            </w:pPr>
            <w:r w:rsidRPr="001D228D">
              <w:rPr>
                <w:sz w:val="18"/>
                <w:szCs w:val="18"/>
              </w:rPr>
              <w:t>Free-text notes</w:t>
            </w:r>
          </w:p>
        </w:tc>
        <w:tc>
          <w:tcPr>
            <w:tcW w:w="530" w:type="dxa"/>
            <w:tcBorders>
              <w:bottom w:val="single" w:sz="4" w:space="0" w:color="auto"/>
            </w:tcBorders>
            <w:hideMark/>
          </w:tcPr>
          <w:p w14:paraId="7FAF9EF8" w14:textId="77777777" w:rsidR="00DC03D0" w:rsidRPr="001D228D" w:rsidRDefault="00DC03D0" w:rsidP="0035708B">
            <w:pPr>
              <w:contextualSpacing/>
              <w:rPr>
                <w:sz w:val="18"/>
                <w:szCs w:val="18"/>
              </w:rPr>
            </w:pPr>
            <w:r w:rsidRPr="001D228D">
              <w:rPr>
                <w:sz w:val="18"/>
                <w:szCs w:val="18"/>
              </w:rPr>
              <w:t>2</w:t>
            </w:r>
          </w:p>
        </w:tc>
        <w:tc>
          <w:tcPr>
            <w:tcW w:w="2670" w:type="dxa"/>
            <w:tcBorders>
              <w:bottom w:val="single" w:sz="4" w:space="0" w:color="auto"/>
            </w:tcBorders>
            <w:hideMark/>
          </w:tcPr>
          <w:p w14:paraId="0F728C41" w14:textId="77777777" w:rsidR="00DC03D0" w:rsidRPr="001D228D" w:rsidRDefault="00DC03D0" w:rsidP="0035708B">
            <w:pPr>
              <w:contextualSpacing/>
              <w:rPr>
                <w:sz w:val="18"/>
                <w:szCs w:val="18"/>
              </w:rPr>
            </w:pPr>
            <w:r w:rsidRPr="001D228D">
              <w:rPr>
                <w:sz w:val="18"/>
                <w:szCs w:val="18"/>
              </w:rPr>
              <w:t>Any other remarks that help interpret data</w:t>
            </w:r>
          </w:p>
        </w:tc>
        <w:tc>
          <w:tcPr>
            <w:tcW w:w="2655" w:type="dxa"/>
            <w:tcBorders>
              <w:bottom w:val="single" w:sz="4" w:space="0" w:color="auto"/>
            </w:tcBorders>
            <w:hideMark/>
          </w:tcPr>
          <w:p w14:paraId="387B4C57" w14:textId="77777777" w:rsidR="00DC03D0" w:rsidRPr="001D228D" w:rsidRDefault="00DC03D0" w:rsidP="0035708B">
            <w:pPr>
              <w:contextualSpacing/>
              <w:rPr>
                <w:sz w:val="18"/>
                <w:szCs w:val="18"/>
              </w:rPr>
            </w:pPr>
            <w:r w:rsidRPr="001D228D">
              <w:rPr>
                <w:sz w:val="18"/>
                <w:szCs w:val="18"/>
              </w:rPr>
              <w:t>–</w:t>
            </w:r>
          </w:p>
        </w:tc>
      </w:tr>
    </w:tbl>
    <w:p w14:paraId="5EF6EC06" w14:textId="77777777" w:rsidR="00DB5AA9" w:rsidRPr="001D228D" w:rsidRDefault="00DB5AA9" w:rsidP="00DB5AA9">
      <w:pPr>
        <w:contextualSpacing/>
        <w:rPr>
          <w:sz w:val="18"/>
          <w:szCs w:val="18"/>
        </w:rPr>
      </w:pPr>
    </w:p>
    <w:p w14:paraId="41C99319" w14:textId="77777777" w:rsidR="00DB5AA9" w:rsidRPr="001D228D" w:rsidRDefault="00DB5AA9" w:rsidP="00DB5AA9">
      <w:pPr>
        <w:sectPr w:rsidR="00DB5AA9" w:rsidRPr="001D228D" w:rsidSect="00DB5AA9">
          <w:pgSz w:w="11906" w:h="16838"/>
          <w:pgMar w:top="1440" w:right="922" w:bottom="1440" w:left="1440" w:header="720" w:footer="720" w:gutter="0"/>
          <w:cols w:space="720"/>
          <w:docGrid w:linePitch="360"/>
        </w:sectPr>
      </w:pPr>
    </w:p>
    <w:p w14:paraId="6D1CF5A7" w14:textId="77777777" w:rsidR="00DB5AA9" w:rsidRPr="001D228D" w:rsidRDefault="00DB5AA9" w:rsidP="00DB5AA9">
      <w:pPr>
        <w:pStyle w:val="Heading1"/>
        <w:rPr>
          <w:lang w:val="en-GB"/>
        </w:rPr>
      </w:pPr>
      <w:bookmarkStart w:id="101" w:name="_Toc223281712"/>
      <w:r w:rsidRPr="001D228D">
        <w:rPr>
          <w:lang w:val="en-GB"/>
        </w:rPr>
        <w:lastRenderedPageBreak/>
        <w:t>CONFOUNDER × SIGNAL: SYNTHESIS OF MODIFIERS</w:t>
      </w:r>
      <w:bookmarkEnd w:id="101"/>
    </w:p>
    <w:p w14:paraId="0B090421" w14:textId="14120DB6" w:rsidR="00DB5AA9" w:rsidRPr="001D228D" w:rsidRDefault="00DB5AA9" w:rsidP="00DB5AA9">
      <w:r w:rsidRPr="001D228D">
        <w:t xml:space="preserve">The “Known confounders and modifiers” subsections in Chapter </w:t>
      </w:r>
      <w:r w:rsidRPr="001D228D">
        <w:fldChar w:fldCharType="begin"/>
      </w:r>
      <w:r w:rsidRPr="001D228D">
        <w:instrText xml:space="preserve"> REF _Ref213766771 \r \h  \* MERGEFORMAT </w:instrText>
      </w:r>
      <w:r w:rsidRPr="001D228D">
        <w:fldChar w:fldCharType="separate"/>
      </w:r>
      <w:r w:rsidR="007650AF">
        <w:t>3</w:t>
      </w:r>
      <w:r w:rsidRPr="001D228D">
        <w:fldChar w:fldCharType="end"/>
      </w:r>
      <w:r w:rsidRPr="001D228D">
        <w:t xml:space="preserve"> describe, for each signal, how participant characteristics, timing, protocol choices, and underlying conditions shape recorded values and responses. </w:t>
      </w:r>
      <w:r>
        <w:fldChar w:fldCharType="begin"/>
      </w:r>
      <w:r>
        <w:instrText xml:space="preserve"> REF _Ref223212918 \h </w:instrText>
      </w:r>
      <w:r>
        <w:fldChar w:fldCharType="separate"/>
      </w:r>
      <w:r w:rsidR="007650AF" w:rsidRPr="001D228D">
        <w:t xml:space="preserve">Table </w:t>
      </w:r>
      <w:r w:rsidR="007650AF">
        <w:rPr>
          <w:noProof/>
        </w:rPr>
        <w:t>12</w:t>
      </w:r>
      <w:r>
        <w:fldChar w:fldCharType="end"/>
      </w:r>
      <w:r w:rsidRPr="001D228D">
        <w:t xml:space="preserve"> summarises these influences across signals. Rows correspond to the main modifier headings used in Chapter </w:t>
      </w:r>
      <w:r w:rsidRPr="001D228D">
        <w:fldChar w:fldCharType="begin"/>
      </w:r>
      <w:r w:rsidRPr="001D228D">
        <w:instrText xml:space="preserve"> REF _Ref213766771 \r \h  \* MERGEFORMAT </w:instrText>
      </w:r>
      <w:r w:rsidRPr="001D228D">
        <w:fldChar w:fldCharType="separate"/>
      </w:r>
      <w:r w:rsidR="007650AF">
        <w:t>3</w:t>
      </w:r>
      <w:r w:rsidRPr="001D228D">
        <w:fldChar w:fldCharType="end"/>
      </w:r>
      <w:r w:rsidRPr="001D228D">
        <w:t xml:space="preserve">, and columns group related physiological indicators: core body temperature (CBT), mean and regional skin temperature (Tsk, distal–proximal gradient, DPG), heart rate (HR), heart rate variability (HRV), blood pressure (BP), sweating and whole-body sweat loss (Sweat / WBSL), and electrodermal activity (EDA). Within each cell, short phrases describe the typical direction or nature of the effect relative to a young, healthy, well-rested adult under thermoneutral indoor conditions (e.g. “↑ baseline”, “↓ gain”, “phase delay”, “blunted amplitude”). The table is intended as a planning and interpretation aid; fuller mechanisms, exceptions, and references are given in the respective signal-specific sections of Chapter </w:t>
      </w:r>
      <w:r w:rsidRPr="001D228D">
        <w:fldChar w:fldCharType="begin"/>
      </w:r>
      <w:r w:rsidRPr="001D228D">
        <w:instrText xml:space="preserve"> REF _Ref213766771 \r \h  \* MERGEFORMAT </w:instrText>
      </w:r>
      <w:r w:rsidRPr="001D228D">
        <w:fldChar w:fldCharType="separate"/>
      </w:r>
      <w:r w:rsidR="007650AF">
        <w:t>3</w:t>
      </w:r>
      <w:r w:rsidRPr="001D228D">
        <w:fldChar w:fldCharType="end"/>
      </w:r>
      <w:r w:rsidRPr="001D228D">
        <w:t>.</w:t>
      </w:r>
    </w:p>
    <w:p w14:paraId="73F00E39" w14:textId="59B3000C" w:rsidR="00DB5AA9" w:rsidRPr="001D228D" w:rsidRDefault="00DB5AA9" w:rsidP="00DB5AA9">
      <w:pPr>
        <w:pStyle w:val="Caption"/>
      </w:pPr>
      <w:bookmarkStart w:id="102" w:name="_Ref223212918"/>
      <w:r w:rsidRPr="001D228D">
        <w:t xml:space="preserve">Table </w:t>
      </w:r>
      <w:r w:rsidRPr="001D228D">
        <w:fldChar w:fldCharType="begin"/>
      </w:r>
      <w:r w:rsidRPr="001D228D">
        <w:instrText xml:space="preserve"> SEQ Table \* ARABIC </w:instrText>
      </w:r>
      <w:r w:rsidRPr="001D228D">
        <w:fldChar w:fldCharType="separate"/>
      </w:r>
      <w:r w:rsidR="007650AF">
        <w:rPr>
          <w:noProof/>
        </w:rPr>
        <w:t>12</w:t>
      </w:r>
      <w:r w:rsidRPr="001D228D">
        <w:fldChar w:fldCharType="end"/>
      </w:r>
      <w:bookmarkEnd w:id="102"/>
      <w:r w:rsidRPr="001D228D">
        <w:t>. Known confounders and modifiers across physiological signals</w:t>
      </w:r>
    </w:p>
    <w:tbl>
      <w:tblPr>
        <w:tblStyle w:val="PlainTable2"/>
        <w:tblW w:w="15390" w:type="dxa"/>
        <w:tblInd w:w="-630" w:type="dxa"/>
        <w:tblLook w:val="04A0" w:firstRow="1" w:lastRow="0" w:firstColumn="1" w:lastColumn="0" w:noHBand="0" w:noVBand="1"/>
      </w:tblPr>
      <w:tblGrid>
        <w:gridCol w:w="1583"/>
        <w:gridCol w:w="2119"/>
        <w:gridCol w:w="2021"/>
        <w:gridCol w:w="1787"/>
        <w:gridCol w:w="1843"/>
        <w:gridCol w:w="1987"/>
        <w:gridCol w:w="1890"/>
        <w:gridCol w:w="2160"/>
      </w:tblGrid>
      <w:tr w:rsidR="00DB5AA9" w:rsidRPr="001D228D" w14:paraId="070C9C79" w14:textId="77777777" w:rsidTr="00357E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5B5E8F4D" w14:textId="77777777" w:rsidR="00DB5AA9" w:rsidRPr="001D228D" w:rsidRDefault="00DB5AA9" w:rsidP="0035708B">
            <w:pPr>
              <w:rPr>
                <w:b w:val="0"/>
                <w:bCs w:val="0"/>
                <w:i/>
                <w:iCs/>
                <w:sz w:val="18"/>
                <w:szCs w:val="18"/>
              </w:rPr>
            </w:pPr>
            <w:r w:rsidRPr="001D228D">
              <w:rPr>
                <w:sz w:val="18"/>
                <w:szCs w:val="18"/>
              </w:rPr>
              <w:t xml:space="preserve">Modifier </w:t>
            </w:r>
          </w:p>
        </w:tc>
        <w:tc>
          <w:tcPr>
            <w:tcW w:w="2119" w:type="dxa"/>
            <w:hideMark/>
          </w:tcPr>
          <w:p w14:paraId="55AC5AB5"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CBT</w:t>
            </w:r>
          </w:p>
        </w:tc>
        <w:tc>
          <w:tcPr>
            <w:tcW w:w="0" w:type="auto"/>
            <w:hideMark/>
          </w:tcPr>
          <w:p w14:paraId="5020B482"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Tsk / DPG</w:t>
            </w:r>
          </w:p>
        </w:tc>
        <w:tc>
          <w:tcPr>
            <w:tcW w:w="1787" w:type="dxa"/>
            <w:hideMark/>
          </w:tcPr>
          <w:p w14:paraId="11B9C881"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HR</w:t>
            </w:r>
          </w:p>
        </w:tc>
        <w:tc>
          <w:tcPr>
            <w:tcW w:w="0" w:type="auto"/>
            <w:hideMark/>
          </w:tcPr>
          <w:p w14:paraId="1F4DB835"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HRV</w:t>
            </w:r>
          </w:p>
        </w:tc>
        <w:tc>
          <w:tcPr>
            <w:tcW w:w="1987" w:type="dxa"/>
            <w:hideMark/>
          </w:tcPr>
          <w:p w14:paraId="03A09DB4"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BP</w:t>
            </w:r>
          </w:p>
        </w:tc>
        <w:tc>
          <w:tcPr>
            <w:tcW w:w="1890" w:type="dxa"/>
            <w:hideMark/>
          </w:tcPr>
          <w:p w14:paraId="43CEAAB4"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Sweat / WBSL</w:t>
            </w:r>
          </w:p>
        </w:tc>
        <w:tc>
          <w:tcPr>
            <w:tcW w:w="2160" w:type="dxa"/>
            <w:hideMark/>
          </w:tcPr>
          <w:p w14:paraId="6A778A96" w14:textId="77777777" w:rsidR="00DB5AA9" w:rsidRPr="001D228D" w:rsidRDefault="00DB5AA9" w:rsidP="0035708B">
            <w:pP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1D228D">
              <w:rPr>
                <w:sz w:val="18"/>
                <w:szCs w:val="18"/>
              </w:rPr>
              <w:t>EDA</w:t>
            </w:r>
          </w:p>
        </w:tc>
      </w:tr>
      <w:tr w:rsidR="00DB5AA9" w:rsidRPr="001D228D" w14:paraId="13CB808F" w14:textId="77777777" w:rsidTr="00357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09DB8ABA" w14:textId="77777777" w:rsidR="00DB5AA9" w:rsidRPr="001D228D" w:rsidRDefault="00DB5AA9" w:rsidP="0035708B">
            <w:pPr>
              <w:rPr>
                <w:b w:val="0"/>
                <w:bCs w:val="0"/>
                <w:i/>
                <w:iCs/>
                <w:sz w:val="18"/>
                <w:szCs w:val="18"/>
              </w:rPr>
            </w:pPr>
            <w:r w:rsidRPr="001D228D">
              <w:rPr>
                <w:sz w:val="18"/>
                <w:szCs w:val="18"/>
              </w:rPr>
              <w:t>Circadian rhythm and behavioural influences</w:t>
            </w:r>
          </w:p>
        </w:tc>
        <w:tc>
          <w:tcPr>
            <w:tcW w:w="2119" w:type="dxa"/>
            <w:hideMark/>
          </w:tcPr>
          <w:p w14:paraId="4665C0F6"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Strong 24-h rhythm (nocturnal nadir, late-afternoon peak); masking by sleep, posture, activity and light can shift observed CBT.</w:t>
            </w:r>
          </w:p>
        </w:tc>
        <w:tc>
          <w:tcPr>
            <w:tcW w:w="0" w:type="auto"/>
            <w:hideMark/>
          </w:tcPr>
          <w:p w14:paraId="48A86A78"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Distal sites warm in evening and biological night; proximal Tsk mirrors CBT; DPG increases before sleep onset; posture, activity, light/screens can blunt or accentuate these rhythms.</w:t>
            </w:r>
          </w:p>
        </w:tc>
        <w:tc>
          <w:tcPr>
            <w:tcW w:w="1787" w:type="dxa"/>
            <w:hideMark/>
          </w:tcPr>
          <w:p w14:paraId="000953EA"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Higher by day, lower at night; morning rise after waking; recent activity and posture changes add short-term variability.</w:t>
            </w:r>
          </w:p>
        </w:tc>
        <w:tc>
          <w:tcPr>
            <w:tcW w:w="0" w:type="auto"/>
            <w:hideMark/>
          </w:tcPr>
          <w:p w14:paraId="00E4F514"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Vagal indices (RMSSD, HF) highest at night, reduced by day; behavioural masking and irregular schedules flatten amplitude.</w:t>
            </w:r>
          </w:p>
        </w:tc>
        <w:tc>
          <w:tcPr>
            <w:tcW w:w="1987" w:type="dxa"/>
            <w:hideMark/>
          </w:tcPr>
          <w:p w14:paraId="6A9AB52A"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Clear day–night pattern with “dipping” at night and morning surge; irregular schedules and pre-measurement behaviour (talking, walking, screens) distort profiles.</w:t>
            </w:r>
          </w:p>
        </w:tc>
        <w:tc>
          <w:tcPr>
            <w:tcW w:w="1890" w:type="dxa"/>
            <w:hideMark/>
          </w:tcPr>
          <w:p w14:paraId="4C24FCE4"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Diurnal pattern in sweat onset and gain; responses weakest in morning and strongest late afternoon/early evening; behaviours that modify thermal load or sympathetic tone modulate this.</w:t>
            </w:r>
          </w:p>
        </w:tc>
        <w:tc>
          <w:tcPr>
            <w:tcW w:w="2160" w:type="dxa"/>
            <w:hideMark/>
          </w:tcPr>
          <w:p w14:paraId="4206A3E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Tonic level and SCR frequency often higher in afternoon/evening, lower at night; behavioural state (task engagement, posture, sensory load) strongly shapes moment-to-moment variation.</w:t>
            </w:r>
          </w:p>
        </w:tc>
      </w:tr>
      <w:tr w:rsidR="00DB5AA9" w:rsidRPr="001D228D" w14:paraId="4B661D2B" w14:textId="77777777" w:rsidTr="00357E08">
        <w:tc>
          <w:tcPr>
            <w:cnfStyle w:val="001000000000" w:firstRow="0" w:lastRow="0" w:firstColumn="1" w:lastColumn="0" w:oddVBand="0" w:evenVBand="0" w:oddHBand="0" w:evenHBand="0" w:firstRowFirstColumn="0" w:firstRowLastColumn="0" w:lastRowFirstColumn="0" w:lastRowLastColumn="0"/>
            <w:tcW w:w="1583" w:type="dxa"/>
            <w:hideMark/>
          </w:tcPr>
          <w:p w14:paraId="010FB00A" w14:textId="77777777" w:rsidR="00DB5AA9" w:rsidRPr="001D228D" w:rsidRDefault="00DB5AA9" w:rsidP="0035708B">
            <w:pPr>
              <w:rPr>
                <w:b w:val="0"/>
                <w:bCs w:val="0"/>
                <w:i/>
                <w:iCs/>
                <w:sz w:val="18"/>
                <w:szCs w:val="18"/>
              </w:rPr>
            </w:pPr>
            <w:r w:rsidRPr="001D228D">
              <w:rPr>
                <w:sz w:val="18"/>
                <w:szCs w:val="18"/>
              </w:rPr>
              <w:t>Chronotype, sleep timing, and misalignment</w:t>
            </w:r>
          </w:p>
        </w:tc>
        <w:tc>
          <w:tcPr>
            <w:tcW w:w="2119" w:type="dxa"/>
            <w:hideMark/>
          </w:tcPr>
          <w:p w14:paraId="51E12B0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Morning types: advanced phase and earlier CBT peak; evening types: delayed peak, often slightly higher nocturnal CBT; short/irregular sleep lowers amplitude and delays phase.</w:t>
            </w:r>
          </w:p>
        </w:tc>
        <w:tc>
          <w:tcPr>
            <w:tcW w:w="0" w:type="auto"/>
            <w:hideMark/>
          </w:tcPr>
          <w:p w14:paraId="463D6D23"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Evening types show delayed distal warming and reduced nocturnal DPG amplitude; sleep restriction/misalignment delays distal vasodilation and blunts night-time rhythm.</w:t>
            </w:r>
          </w:p>
        </w:tc>
        <w:tc>
          <w:tcPr>
            <w:tcW w:w="1787" w:type="dxa"/>
            <w:hideMark/>
          </w:tcPr>
          <w:p w14:paraId="3D90ADBC"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Irregular or restricted sleep elevates nocturnal HR and reduces day–night contrast.</w:t>
            </w:r>
          </w:p>
        </w:tc>
        <w:tc>
          <w:tcPr>
            <w:tcW w:w="0" w:type="auto"/>
            <w:hideMark/>
          </w:tcPr>
          <w:p w14:paraId="7265CCDA"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Reduced nocturnal RMSSD/HF and flatter 24-h profile with sleep restriction and circadian misalignment.</w:t>
            </w:r>
          </w:p>
        </w:tc>
        <w:tc>
          <w:tcPr>
            <w:tcW w:w="1987" w:type="dxa"/>
            <w:hideMark/>
          </w:tcPr>
          <w:p w14:paraId="4670B2F1"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Shift work, social jetlag, and irregular sleep–wake timing increase non-dipping and reverse-dipping patterns.</w:t>
            </w:r>
          </w:p>
        </w:tc>
        <w:tc>
          <w:tcPr>
            <w:tcW w:w="1890" w:type="dxa"/>
            <w:hideMark/>
          </w:tcPr>
          <w:p w14:paraId="6C8DA92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Misalignment can delay sweat onset and reduce diurnal variation in sudomotor responses.</w:t>
            </w:r>
          </w:p>
        </w:tc>
        <w:tc>
          <w:tcPr>
            <w:tcW w:w="2160" w:type="dxa"/>
            <w:hideMark/>
          </w:tcPr>
          <w:p w14:paraId="11A03D8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Sleep restriction and misalignment dampen nocturnal SCL minima and SCR rhythms; EDA rhythm may drift away from CBT phase.</w:t>
            </w:r>
          </w:p>
        </w:tc>
      </w:tr>
      <w:tr w:rsidR="00DB5AA9" w:rsidRPr="001D228D" w14:paraId="70B29527" w14:textId="77777777" w:rsidTr="00357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2779D762" w14:textId="77777777" w:rsidR="00DB5AA9" w:rsidRPr="001D228D" w:rsidRDefault="00DB5AA9" w:rsidP="0035708B">
            <w:pPr>
              <w:rPr>
                <w:b w:val="0"/>
                <w:bCs w:val="0"/>
                <w:i/>
                <w:iCs/>
                <w:sz w:val="18"/>
                <w:szCs w:val="18"/>
              </w:rPr>
            </w:pPr>
            <w:r w:rsidRPr="001D228D">
              <w:rPr>
                <w:sz w:val="18"/>
                <w:szCs w:val="18"/>
              </w:rPr>
              <w:t>Sex hormones, reproductive status, contraceptives, menopause, and exogenous hormones (OCP, HRT, GAHT)</w:t>
            </w:r>
          </w:p>
        </w:tc>
        <w:tc>
          <w:tcPr>
            <w:tcW w:w="2119" w:type="dxa"/>
            <w:hideMark/>
          </w:tcPr>
          <w:p w14:paraId="08489F80"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 xml:space="preserve">Luteal phase / progestin-dominant states ↑ resting CBT by ~0.3–0.5 °C and narrow thermoneutral zone; </w:t>
            </w:r>
            <w:r>
              <w:rPr>
                <w:sz w:val="18"/>
                <w:szCs w:val="18"/>
              </w:rPr>
              <w:t>oestrogen</w:t>
            </w:r>
            <w:r w:rsidRPr="001D228D">
              <w:rPr>
                <w:sz w:val="18"/>
                <w:szCs w:val="18"/>
              </w:rPr>
              <w:t xml:space="preserve"> lowers defended CBT; combined OCP produces chronically higher, flatter CBT; peri-/postmenopausal instability and HRT/GAHT shift defended level towards current hormonal profile.</w:t>
            </w:r>
          </w:p>
        </w:tc>
        <w:tc>
          <w:tcPr>
            <w:tcW w:w="0" w:type="auto"/>
            <w:hideMark/>
          </w:tcPr>
          <w:p w14:paraId="651B9D42"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 xml:space="preserve">Luteal and progestin-dominant states ↑ baseline Tsk and delay vasodilation; </w:t>
            </w:r>
            <w:r>
              <w:rPr>
                <w:sz w:val="18"/>
                <w:szCs w:val="18"/>
              </w:rPr>
              <w:t>oestrogen</w:t>
            </w:r>
            <w:r w:rsidRPr="001D228D">
              <w:rPr>
                <w:sz w:val="18"/>
                <w:szCs w:val="18"/>
              </w:rPr>
              <w:t xml:space="preserve"> enhances skin perfusion and stabilises Tsk rhythms; combined OCP: higher Tsk but blunted cycling; menopause and some HRT regimens cause regional vasomotor instability (flushes).</w:t>
            </w:r>
          </w:p>
        </w:tc>
        <w:tc>
          <w:tcPr>
            <w:tcW w:w="1787" w:type="dxa"/>
            <w:hideMark/>
          </w:tcPr>
          <w:p w14:paraId="6F6CC9C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Ovarian hormone fluctuations and exogenous regimens produce small phase-dependent HR shifts; androgens (including masculinising GAHT) tend to ↑ HR over time.</w:t>
            </w:r>
          </w:p>
        </w:tc>
        <w:tc>
          <w:tcPr>
            <w:tcW w:w="0" w:type="auto"/>
            <w:hideMark/>
          </w:tcPr>
          <w:p w14:paraId="3B870C6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Oestrogen</w:t>
            </w:r>
            <w:r w:rsidRPr="001D228D">
              <w:rPr>
                <w:sz w:val="18"/>
                <w:szCs w:val="18"/>
              </w:rPr>
              <w:t>-dominant states and some HRT regimens ↑ vagal HRV; luteal/low-</w:t>
            </w:r>
            <w:r>
              <w:rPr>
                <w:sz w:val="18"/>
                <w:szCs w:val="18"/>
              </w:rPr>
              <w:t>oestrogen</w:t>
            </w:r>
            <w:r w:rsidRPr="001D228D">
              <w:rPr>
                <w:sz w:val="18"/>
                <w:szCs w:val="18"/>
              </w:rPr>
              <w:t xml:space="preserve"> states and some OCP/GAHT protocols ↓ HRV and dampen cyclicity.</w:t>
            </w:r>
          </w:p>
        </w:tc>
        <w:tc>
          <w:tcPr>
            <w:tcW w:w="1987" w:type="dxa"/>
            <w:hideMark/>
          </w:tcPr>
          <w:p w14:paraId="46F47FB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Premenopausal women have lower BP than men; combined OCP and some HRT/GAHT ↑ BP and hypertension risk; postmenopausal trajectories show steeper SBP and pulse-pressure rise.</w:t>
            </w:r>
          </w:p>
        </w:tc>
        <w:tc>
          <w:tcPr>
            <w:tcW w:w="1890" w:type="dxa"/>
            <w:hideMark/>
          </w:tcPr>
          <w:p w14:paraId="2CD5AD89"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 xml:space="preserve">Progesterone raises, and </w:t>
            </w:r>
            <w:r>
              <w:rPr>
                <w:sz w:val="18"/>
                <w:szCs w:val="18"/>
              </w:rPr>
              <w:t>oestrogen</w:t>
            </w:r>
            <w:r w:rsidRPr="001D228D">
              <w:rPr>
                <w:sz w:val="18"/>
                <w:szCs w:val="18"/>
              </w:rPr>
              <w:t xml:space="preserve"> lowers, sweating thresholds; OCP and HRT shift sudomotor thresholds accordingly; testosterone/androgen-dominant states increase sweating capacity; patterns under GAHT generally mirror affirmed hormonal profile.</w:t>
            </w:r>
          </w:p>
        </w:tc>
        <w:tc>
          <w:tcPr>
            <w:tcW w:w="2160" w:type="dxa"/>
            <w:hideMark/>
          </w:tcPr>
          <w:p w14:paraId="1C6F30D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Vasomotor events (flushes) appear as transient EDA surges; hormonal state shapes tonic levels, circadian amplitude, and magnitude of thermal and non-thermal EDA responses.</w:t>
            </w:r>
          </w:p>
        </w:tc>
      </w:tr>
      <w:tr w:rsidR="00DB5AA9" w:rsidRPr="001D228D" w14:paraId="586E0A84" w14:textId="77777777" w:rsidTr="00357E08">
        <w:tc>
          <w:tcPr>
            <w:cnfStyle w:val="001000000000" w:firstRow="0" w:lastRow="0" w:firstColumn="1" w:lastColumn="0" w:oddVBand="0" w:evenVBand="0" w:oddHBand="0" w:evenHBand="0" w:firstRowFirstColumn="0" w:firstRowLastColumn="0" w:lastRowFirstColumn="0" w:lastRowLastColumn="0"/>
            <w:tcW w:w="1583" w:type="dxa"/>
            <w:hideMark/>
          </w:tcPr>
          <w:p w14:paraId="0E10F793" w14:textId="77777777" w:rsidR="00DB5AA9" w:rsidRPr="001D228D" w:rsidRDefault="00DB5AA9" w:rsidP="0035708B">
            <w:pPr>
              <w:rPr>
                <w:b w:val="0"/>
                <w:bCs w:val="0"/>
                <w:i/>
                <w:iCs/>
                <w:sz w:val="18"/>
                <w:szCs w:val="18"/>
              </w:rPr>
            </w:pPr>
            <w:r w:rsidRPr="001D228D">
              <w:rPr>
                <w:sz w:val="18"/>
                <w:szCs w:val="18"/>
              </w:rPr>
              <w:lastRenderedPageBreak/>
              <w:t>Age</w:t>
            </w:r>
          </w:p>
        </w:tc>
        <w:tc>
          <w:tcPr>
            <w:tcW w:w="2119" w:type="dxa"/>
            <w:hideMark/>
          </w:tcPr>
          <w:p w14:paraId="3BF6865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Similar mean CBT but reduced circadian amplitude and slower dynamics; older adults exhibit larger CBT excursions under heat/cold when effectors are limited.</w:t>
            </w:r>
          </w:p>
        </w:tc>
        <w:tc>
          <w:tcPr>
            <w:tcW w:w="0" w:type="auto"/>
            <w:hideMark/>
          </w:tcPr>
          <w:p w14:paraId="7B8D6DF5"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Reduced maximal vasodilation, cooler and more slowly warming extremities; more heterogeneous regional Tsk; altered DPG patterns.</w:t>
            </w:r>
          </w:p>
        </w:tc>
        <w:tc>
          <w:tcPr>
            <w:tcW w:w="1787" w:type="dxa"/>
            <w:hideMark/>
          </w:tcPr>
          <w:p w14:paraId="7BC0377A"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Lower maximal HR, often slightly higher resting HR; slower on- and off-responses.</w:t>
            </w:r>
          </w:p>
        </w:tc>
        <w:tc>
          <w:tcPr>
            <w:tcW w:w="0" w:type="auto"/>
            <w:hideMark/>
          </w:tcPr>
          <w:p w14:paraId="181D3DA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Progressive decline in vagal HRV and baroreflex sensitivity; less flexible autonomic modulation.</w:t>
            </w:r>
          </w:p>
        </w:tc>
        <w:tc>
          <w:tcPr>
            <w:tcW w:w="1987" w:type="dxa"/>
            <w:hideMark/>
          </w:tcPr>
          <w:p w14:paraId="34D40784"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Higher SBP and pulse pressure, increased BP variability; greater seasonal and thermal sensitivity; more orthostatic instability.</w:t>
            </w:r>
          </w:p>
        </w:tc>
        <w:tc>
          <w:tcPr>
            <w:tcW w:w="1890" w:type="dxa"/>
            <w:hideMark/>
          </w:tcPr>
          <w:p w14:paraId="45311B7C"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Declining gland output and sensitivity; slower onset, lower maximal sweat rate, less uniform regional sweating.</w:t>
            </w:r>
          </w:p>
        </w:tc>
        <w:tc>
          <w:tcPr>
            <w:tcW w:w="2160" w:type="dxa"/>
            <w:hideMark/>
          </w:tcPr>
          <w:p w14:paraId="07F8374C"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Lower tonic SCL and smaller SCR amplitudes; reduced sympathetic-skin reactivity and slower recovery.</w:t>
            </w:r>
          </w:p>
        </w:tc>
      </w:tr>
      <w:tr w:rsidR="00DB5AA9" w:rsidRPr="001D228D" w14:paraId="16BAD050" w14:textId="77777777" w:rsidTr="00357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109654BB" w14:textId="77777777" w:rsidR="00DB5AA9" w:rsidRPr="001D228D" w:rsidRDefault="00DB5AA9" w:rsidP="0035708B">
            <w:pPr>
              <w:rPr>
                <w:b w:val="0"/>
                <w:bCs w:val="0"/>
                <w:i/>
                <w:iCs/>
                <w:sz w:val="18"/>
                <w:szCs w:val="18"/>
              </w:rPr>
            </w:pPr>
            <w:r w:rsidRPr="001D228D">
              <w:rPr>
                <w:sz w:val="18"/>
                <w:szCs w:val="18"/>
              </w:rPr>
              <w:t>Fitness and heat acclimation</w:t>
            </w:r>
          </w:p>
        </w:tc>
        <w:tc>
          <w:tcPr>
            <w:tcW w:w="2119" w:type="dxa"/>
            <w:hideMark/>
          </w:tcPr>
          <w:p w14:paraId="723D3730"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Aerobically trained and heat-acclimated individuals show slightly lower resting CBT and smaller CBT excursions for a given heat load; faster recovery after exposure.</w:t>
            </w:r>
          </w:p>
        </w:tc>
        <w:tc>
          <w:tcPr>
            <w:tcW w:w="0" w:type="auto"/>
            <w:hideMark/>
          </w:tcPr>
          <w:p w14:paraId="317B218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Earlier and larger cutaneous vasodilatory responses; higher distal Tsk and more stable gradients at a given load; acclimation improves shell-core coordination.</w:t>
            </w:r>
          </w:p>
        </w:tc>
        <w:tc>
          <w:tcPr>
            <w:tcW w:w="1787" w:type="dxa"/>
            <w:hideMark/>
          </w:tcPr>
          <w:p w14:paraId="5BC2F47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Fitness and acclimation reduce resting and exercise HR for the same workload and accelerate recovery.</w:t>
            </w:r>
          </w:p>
        </w:tc>
        <w:tc>
          <w:tcPr>
            <w:tcW w:w="0" w:type="auto"/>
            <w:hideMark/>
          </w:tcPr>
          <w:p w14:paraId="612955B1"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Generally higher vagal HRV and baroreflex sensitivity; acclimation can further enhance autonomic efficiency in heat.</w:t>
            </w:r>
          </w:p>
        </w:tc>
        <w:tc>
          <w:tcPr>
            <w:tcW w:w="1987" w:type="dxa"/>
            <w:hideMark/>
          </w:tcPr>
          <w:p w14:paraId="09C946B0"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Lower resting BP and attenuated BP reactivity to thermal and psychological stress, especially with regular exercise.</w:t>
            </w:r>
          </w:p>
        </w:tc>
        <w:tc>
          <w:tcPr>
            <w:tcW w:w="1890" w:type="dxa"/>
            <w:hideMark/>
          </w:tcPr>
          <w:p w14:paraId="09A98A2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Fitness and acclimation both increase maximal sweat rate and earlier onset; greater WBSL for a given ΔCBT; more uniform regional sweating.</w:t>
            </w:r>
          </w:p>
        </w:tc>
        <w:tc>
          <w:tcPr>
            <w:tcW w:w="2160" w:type="dxa"/>
            <w:hideMark/>
          </w:tcPr>
          <w:p w14:paraId="4826E20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Larger thermally driven EDA components with higher sudomotor capacity, but often lower stress-related reactivity and faster recovery.</w:t>
            </w:r>
          </w:p>
        </w:tc>
      </w:tr>
      <w:tr w:rsidR="00DB5AA9" w:rsidRPr="001D228D" w14:paraId="0A790FAA" w14:textId="77777777" w:rsidTr="00357E08">
        <w:tc>
          <w:tcPr>
            <w:cnfStyle w:val="001000000000" w:firstRow="0" w:lastRow="0" w:firstColumn="1" w:lastColumn="0" w:oddVBand="0" w:evenVBand="0" w:oddHBand="0" w:evenHBand="0" w:firstRowFirstColumn="0" w:firstRowLastColumn="0" w:lastRowFirstColumn="0" w:lastRowLastColumn="0"/>
            <w:tcW w:w="1583" w:type="dxa"/>
            <w:hideMark/>
          </w:tcPr>
          <w:p w14:paraId="17D63A66" w14:textId="77777777" w:rsidR="00DB5AA9" w:rsidRPr="001D228D" w:rsidRDefault="00DB5AA9" w:rsidP="0035708B">
            <w:pPr>
              <w:rPr>
                <w:b w:val="0"/>
                <w:bCs w:val="0"/>
                <w:i/>
                <w:iCs/>
                <w:sz w:val="18"/>
                <w:szCs w:val="18"/>
              </w:rPr>
            </w:pPr>
            <w:r w:rsidRPr="001D228D">
              <w:rPr>
                <w:sz w:val="18"/>
                <w:szCs w:val="18"/>
              </w:rPr>
              <w:t>Hydration and nutrition (meals, DIT, caffeine, energy drinks, alcohol, thermogenic foods)</w:t>
            </w:r>
          </w:p>
        </w:tc>
        <w:tc>
          <w:tcPr>
            <w:tcW w:w="2119" w:type="dxa"/>
            <w:hideMark/>
          </w:tcPr>
          <w:p w14:paraId="108B0A6A"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Hypohydration ↑ CBT for a given load and slows cooling; meals and thermogenic foods (capsaicin, caffeine) raise CBT via diet-induced thermogenesis; alcohol in cool environments can ↓ CBT via vasodilation and impaired vasoconstriction.</w:t>
            </w:r>
          </w:p>
        </w:tc>
        <w:tc>
          <w:tcPr>
            <w:tcW w:w="0" w:type="auto"/>
            <w:hideMark/>
          </w:tcPr>
          <w:p w14:paraId="411B3031"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Dehydration reduces skin blood flow and MST, often ↑ DPG (cooler extremities); meals/alcohol warm skin via vasodilation, especially face and trunk; post-meal hypotension can alter distal perfusion.</w:t>
            </w:r>
          </w:p>
        </w:tc>
        <w:tc>
          <w:tcPr>
            <w:tcW w:w="1787" w:type="dxa"/>
            <w:hideMark/>
          </w:tcPr>
          <w:p w14:paraId="4B149DAB"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Hypohydration, meals, caffeine and energy drinks transiently ↑ HR; alcohol produces complex biphasic HR changes.</w:t>
            </w:r>
          </w:p>
        </w:tc>
        <w:tc>
          <w:tcPr>
            <w:tcW w:w="0" w:type="auto"/>
            <w:hideMark/>
          </w:tcPr>
          <w:p w14:paraId="70F1891A"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Dehydration and stimulants reduce vagal HRV and can ↑ LF/HF; heavy meals transiently depress HRV.</w:t>
            </w:r>
          </w:p>
        </w:tc>
        <w:tc>
          <w:tcPr>
            <w:tcW w:w="1987" w:type="dxa"/>
            <w:hideMark/>
          </w:tcPr>
          <w:p w14:paraId="7D259E6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Dehydration can lower resting BP yet ↑ BP variability and orthostatic susceptibility; caffeine and energy drinks ↑ BP acutely; heavy meals may cause postprandial hypotension, especially in older or autonomically impaired adults.</w:t>
            </w:r>
          </w:p>
        </w:tc>
        <w:tc>
          <w:tcPr>
            <w:tcW w:w="1890" w:type="dxa"/>
            <w:hideMark/>
          </w:tcPr>
          <w:p w14:paraId="273BE90F"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Dehydration ↓ sweat rate and evaporative capacity; caffeine/capsaicin modestly enhance sweating; alcohol interacts with flushing and may disrupt evaporative efficiency.</w:t>
            </w:r>
          </w:p>
        </w:tc>
        <w:tc>
          <w:tcPr>
            <w:tcW w:w="2160" w:type="dxa"/>
            <w:hideMark/>
          </w:tcPr>
          <w:p w14:paraId="4068AB1B"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Skin dryness from dehydration ↓ conductance; caffeine/energy drinks ↑ tonic and phasic EDA; alcohol produces complex, sometimes biphasic, effects on EDA patterns.</w:t>
            </w:r>
          </w:p>
        </w:tc>
      </w:tr>
      <w:tr w:rsidR="00DB5AA9" w:rsidRPr="001D228D" w14:paraId="2B36D686" w14:textId="77777777" w:rsidTr="00357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615AB2F7" w14:textId="77777777" w:rsidR="00DB5AA9" w:rsidRPr="001D228D" w:rsidRDefault="00DB5AA9" w:rsidP="0035708B">
            <w:pPr>
              <w:rPr>
                <w:b w:val="0"/>
                <w:bCs w:val="0"/>
                <w:i/>
                <w:iCs/>
                <w:sz w:val="18"/>
                <w:szCs w:val="18"/>
              </w:rPr>
            </w:pPr>
            <w:r w:rsidRPr="001D228D">
              <w:rPr>
                <w:sz w:val="18"/>
                <w:szCs w:val="18"/>
              </w:rPr>
              <w:t>Body composition and posture</w:t>
            </w:r>
          </w:p>
        </w:tc>
        <w:tc>
          <w:tcPr>
            <w:tcW w:w="2119" w:type="dxa"/>
            <w:hideMark/>
          </w:tcPr>
          <w:p w14:paraId="6F908F22"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Greater subcutaneous fat ↑ insulation and thermal inertia → slower CBT changes and potentially greater stored heat under sustained load; higher surface-to-mass ratio in lean/small individuals → faster CBT shifts.</w:t>
            </w:r>
          </w:p>
        </w:tc>
        <w:tc>
          <w:tcPr>
            <w:tcW w:w="0" w:type="auto"/>
            <w:hideMark/>
          </w:tcPr>
          <w:p w14:paraId="17D010A7"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Obesity and central adiposity distort regional Tsk (cooler extremities, warmer trunk); posture (supine vs upright) redistributes perfusion, changing local Tsk and DPG.</w:t>
            </w:r>
          </w:p>
        </w:tc>
        <w:tc>
          <w:tcPr>
            <w:tcW w:w="1787" w:type="dxa"/>
            <w:hideMark/>
          </w:tcPr>
          <w:p w14:paraId="241B8F8A"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Higher adiposity tends to ↑ resting HR and lower HR reserve; upright posture ↑ HR vs supine/sitting.</w:t>
            </w:r>
          </w:p>
        </w:tc>
        <w:tc>
          <w:tcPr>
            <w:tcW w:w="0" w:type="auto"/>
            <w:hideMark/>
          </w:tcPr>
          <w:p w14:paraId="505E75C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Obesity and metabolic syndrome reduce vagal HRV and ↑ sympathetic dominance; supine posture increases HRV relative to standing.</w:t>
            </w:r>
          </w:p>
        </w:tc>
        <w:tc>
          <w:tcPr>
            <w:tcW w:w="1987" w:type="dxa"/>
            <w:hideMark/>
          </w:tcPr>
          <w:p w14:paraId="52DA1D0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Higher BMI and visceral fat increase BP and hypertension risk; posture changes induce transient BP drops or rises; orthostatic responses amplified in some individuals.</w:t>
            </w:r>
          </w:p>
        </w:tc>
        <w:tc>
          <w:tcPr>
            <w:tcW w:w="1890" w:type="dxa"/>
            <w:hideMark/>
          </w:tcPr>
          <w:p w14:paraId="149964E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Larger bodies often have higher absolute WBSL, but adiposity can impair local evaporative efficiency; posture-dependent pooling can change local sweat patterns.</w:t>
            </w:r>
          </w:p>
        </w:tc>
        <w:tc>
          <w:tcPr>
            <w:tcW w:w="2160" w:type="dxa"/>
            <w:hideMark/>
          </w:tcPr>
          <w:p w14:paraId="5BC18C79"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Thickened skin and callusing (e.g. soles and palms) reduce EDA signal; posture transitions elicit short-latency SCRs due to orthostatic and arousal effects.</w:t>
            </w:r>
          </w:p>
        </w:tc>
      </w:tr>
      <w:tr w:rsidR="00DB5AA9" w:rsidRPr="001D228D" w14:paraId="4998822F" w14:textId="77777777" w:rsidTr="00357E08">
        <w:tc>
          <w:tcPr>
            <w:cnfStyle w:val="001000000000" w:firstRow="0" w:lastRow="0" w:firstColumn="1" w:lastColumn="0" w:oddVBand="0" w:evenVBand="0" w:oddHBand="0" w:evenHBand="0" w:firstRowFirstColumn="0" w:firstRowLastColumn="0" w:lastRowFirstColumn="0" w:lastRowLastColumn="0"/>
            <w:tcW w:w="1583" w:type="dxa"/>
            <w:hideMark/>
          </w:tcPr>
          <w:p w14:paraId="71D0A0FA" w14:textId="77777777" w:rsidR="00DB5AA9" w:rsidRPr="001D228D" w:rsidRDefault="00DB5AA9" w:rsidP="0035708B">
            <w:pPr>
              <w:rPr>
                <w:b w:val="0"/>
                <w:bCs w:val="0"/>
                <w:i/>
                <w:iCs/>
                <w:sz w:val="18"/>
                <w:szCs w:val="18"/>
              </w:rPr>
            </w:pPr>
            <w:r w:rsidRPr="001D228D">
              <w:rPr>
                <w:sz w:val="18"/>
                <w:szCs w:val="18"/>
              </w:rPr>
              <w:t>Psychological stress, mental workload, emotional arousal</w:t>
            </w:r>
          </w:p>
        </w:tc>
        <w:tc>
          <w:tcPr>
            <w:tcW w:w="2119" w:type="dxa"/>
            <w:hideMark/>
          </w:tcPr>
          <w:p w14:paraId="6BBC8FE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Mild/acute stress has small direct CBT effects but can contribute to slow upward drift with prolonged activation.</w:t>
            </w:r>
          </w:p>
        </w:tc>
        <w:tc>
          <w:tcPr>
            <w:tcW w:w="0" w:type="auto"/>
            <w:hideMark/>
          </w:tcPr>
          <w:p w14:paraId="3BE97F23"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Sympathetic vasoconstriction in extremities cools hands and feet; facial Tsk may rise with emotional flushing.</w:t>
            </w:r>
          </w:p>
        </w:tc>
        <w:tc>
          <w:tcPr>
            <w:tcW w:w="1787" w:type="dxa"/>
            <w:hideMark/>
          </w:tcPr>
          <w:p w14:paraId="07BF430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Clear tachycardic response to acute stress; magnitude and recovery are highly individual.</w:t>
            </w:r>
          </w:p>
        </w:tc>
        <w:tc>
          <w:tcPr>
            <w:tcW w:w="0" w:type="auto"/>
            <w:hideMark/>
          </w:tcPr>
          <w:p w14:paraId="4F7BFB53"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Vagal indices fall and LF/HF rises during stress; prolonged or repeated stress can flatten daily HRV patterns.</w:t>
            </w:r>
          </w:p>
        </w:tc>
        <w:tc>
          <w:tcPr>
            <w:tcW w:w="1987" w:type="dxa"/>
            <w:hideMark/>
          </w:tcPr>
          <w:p w14:paraId="6265826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BP rises during mental stress; large reactivity predicts higher long-term CV risk even when resting BP is normal.</w:t>
            </w:r>
          </w:p>
        </w:tc>
        <w:tc>
          <w:tcPr>
            <w:tcW w:w="1890" w:type="dxa"/>
            <w:hideMark/>
          </w:tcPr>
          <w:p w14:paraId="6B49A9A6"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 xml:space="preserve">“Emotional sweating” strongly ↑ palmar/plantar sweating independent of thermal load; can contaminate </w:t>
            </w:r>
            <w:r w:rsidRPr="001D228D">
              <w:rPr>
                <w:sz w:val="18"/>
                <w:szCs w:val="18"/>
              </w:rPr>
              <w:lastRenderedPageBreak/>
              <w:t>thermoregulatory sweat measures.</w:t>
            </w:r>
          </w:p>
        </w:tc>
        <w:tc>
          <w:tcPr>
            <w:tcW w:w="2160" w:type="dxa"/>
            <w:hideMark/>
          </w:tcPr>
          <w:p w14:paraId="03FE3088"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lastRenderedPageBreak/>
              <w:t>Strong ↑ in tonic SCL and SCR frequency/amplitude; major confounder for thermoregulatory EDA unless affect and cognitive load are controlled.</w:t>
            </w:r>
          </w:p>
        </w:tc>
      </w:tr>
      <w:tr w:rsidR="00DB5AA9" w:rsidRPr="001D228D" w14:paraId="2A6C39DA" w14:textId="77777777" w:rsidTr="00357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7AC7286D" w14:textId="77777777" w:rsidR="00DB5AA9" w:rsidRPr="001D228D" w:rsidRDefault="00DB5AA9" w:rsidP="0035708B">
            <w:pPr>
              <w:rPr>
                <w:b w:val="0"/>
                <w:bCs w:val="0"/>
                <w:i/>
                <w:iCs/>
                <w:sz w:val="18"/>
                <w:szCs w:val="18"/>
              </w:rPr>
            </w:pPr>
            <w:r w:rsidRPr="001D228D">
              <w:rPr>
                <w:sz w:val="18"/>
                <w:szCs w:val="18"/>
              </w:rPr>
              <w:t>Neurodivergent populations (ASD, ADHD and related)</w:t>
            </w:r>
          </w:p>
        </w:tc>
        <w:tc>
          <w:tcPr>
            <w:tcW w:w="2119" w:type="dxa"/>
            <w:hideMark/>
          </w:tcPr>
          <w:p w14:paraId="4566D841"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Often attenuated CBT amplitude and greater day-to-day variability; CBT peaks and troughs tend to be delayed in ASD/ADHD with pronounced eveningness.</w:t>
            </w:r>
          </w:p>
        </w:tc>
        <w:tc>
          <w:tcPr>
            <w:tcW w:w="0" w:type="auto"/>
            <w:hideMark/>
          </w:tcPr>
          <w:p w14:paraId="15831CCB"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Likely delayed distal warming and altered nocturnal Tsk/DPG patterns; direct data still limited, but circadian phase delays are common.</w:t>
            </w:r>
          </w:p>
        </w:tc>
        <w:tc>
          <w:tcPr>
            <w:tcW w:w="1787" w:type="dxa"/>
            <w:hideMark/>
          </w:tcPr>
          <w:p w14:paraId="61F44FCA"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Higher prevalence of neuro-cardiovascular instability (e.g. POTS, vasovagal episodes); stimulants ↑ HR.</w:t>
            </w:r>
          </w:p>
        </w:tc>
        <w:tc>
          <w:tcPr>
            <w:tcW w:w="0" w:type="auto"/>
            <w:hideMark/>
          </w:tcPr>
          <w:p w14:paraId="74A5F37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HRV often reduced (lower vagal tone, higher sympathetic drive) and strongly modified by medication.</w:t>
            </w:r>
          </w:p>
        </w:tc>
        <w:tc>
          <w:tcPr>
            <w:tcW w:w="1987" w:type="dxa"/>
            <w:hideMark/>
          </w:tcPr>
          <w:p w14:paraId="1D7AECF6"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ADHD cohorts show slightly elevated waking BP and higher rates of elevated BP; ASD cohorts exhibit more labile BP and orthostatic issues.</w:t>
            </w:r>
          </w:p>
        </w:tc>
        <w:tc>
          <w:tcPr>
            <w:tcW w:w="1890" w:type="dxa"/>
            <w:hideMark/>
          </w:tcPr>
          <w:p w14:paraId="0FE1583C"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Atypical sudomotor control; regional sweating and its coupling to thermal load may differ from typical patterns.</w:t>
            </w:r>
          </w:p>
        </w:tc>
        <w:tc>
          <w:tcPr>
            <w:tcW w:w="2160" w:type="dxa"/>
            <w:hideMark/>
          </w:tcPr>
          <w:p w14:paraId="5302B87B"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ASD: elevated daytime tonic EDA, reduced nocturnal amplitude, weaker alignment with behaviour; ADHD: delayed and altered EDA rhythms; both require careful documentation of diagnosis and medication.</w:t>
            </w:r>
          </w:p>
        </w:tc>
      </w:tr>
      <w:tr w:rsidR="00DB5AA9" w:rsidRPr="001D228D" w14:paraId="217C449C" w14:textId="77777777" w:rsidTr="00357E08">
        <w:tc>
          <w:tcPr>
            <w:cnfStyle w:val="001000000000" w:firstRow="0" w:lastRow="0" w:firstColumn="1" w:lastColumn="0" w:oddVBand="0" w:evenVBand="0" w:oddHBand="0" w:evenHBand="0" w:firstRowFirstColumn="0" w:firstRowLastColumn="0" w:lastRowFirstColumn="0" w:lastRowLastColumn="0"/>
            <w:tcW w:w="1583" w:type="dxa"/>
            <w:hideMark/>
          </w:tcPr>
          <w:p w14:paraId="14F41AA4" w14:textId="77777777" w:rsidR="00DB5AA9" w:rsidRPr="001D228D" w:rsidRDefault="00DB5AA9" w:rsidP="0035708B">
            <w:pPr>
              <w:rPr>
                <w:b w:val="0"/>
                <w:bCs w:val="0"/>
                <w:i/>
                <w:iCs/>
                <w:sz w:val="18"/>
                <w:szCs w:val="18"/>
              </w:rPr>
            </w:pPr>
            <w:r w:rsidRPr="001D228D">
              <w:rPr>
                <w:sz w:val="18"/>
                <w:szCs w:val="18"/>
              </w:rPr>
              <w:t>Endocrine and metabolic disease (thyroid, diabetes, insulin resistance, CKD, obesity-related syndrome)</w:t>
            </w:r>
          </w:p>
        </w:tc>
        <w:tc>
          <w:tcPr>
            <w:tcW w:w="2119" w:type="dxa"/>
            <w:hideMark/>
          </w:tcPr>
          <w:p w14:paraId="73AED320"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Hyperthyroidism ↑ CBT and amplifies heat responses; hypothyroidism ↓ CBT and blunts responses; diabetes and metabolic disease alter CBT trajectories under heat/cold.</w:t>
            </w:r>
          </w:p>
        </w:tc>
        <w:tc>
          <w:tcPr>
            <w:tcW w:w="0" w:type="auto"/>
            <w:hideMark/>
          </w:tcPr>
          <w:p w14:paraId="14E672C1"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Diabetic microvascular disease and endocrine pathologies reduce skin perfusion and distort regional Tsk/DPG maps.</w:t>
            </w:r>
          </w:p>
        </w:tc>
        <w:tc>
          <w:tcPr>
            <w:tcW w:w="1787" w:type="dxa"/>
            <w:hideMark/>
          </w:tcPr>
          <w:p w14:paraId="67CD20F7"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Hyperthyroidism raises HR; hypothyroidism lowers HR; diabetic autonomic neuropathy often → resting tachycardia.</w:t>
            </w:r>
          </w:p>
        </w:tc>
        <w:tc>
          <w:tcPr>
            <w:tcW w:w="0" w:type="auto"/>
            <w:hideMark/>
          </w:tcPr>
          <w:p w14:paraId="43768F2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Diabetes and metabolic syndrome consistently ↓ vagal HRV and ↑ sympathetic markers; thyroid disease also alters HRV patterns.</w:t>
            </w:r>
          </w:p>
        </w:tc>
        <w:tc>
          <w:tcPr>
            <w:tcW w:w="1987" w:type="dxa"/>
            <w:hideMark/>
          </w:tcPr>
          <w:p w14:paraId="365F9D52"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Diabetes, CKD and obesity-related syndromes increase BP and variability and reduce nocturnal dipping.</w:t>
            </w:r>
          </w:p>
        </w:tc>
        <w:tc>
          <w:tcPr>
            <w:tcW w:w="1890" w:type="dxa"/>
            <w:hideMark/>
          </w:tcPr>
          <w:p w14:paraId="0D2322D1"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Diabetic and autonomic neuropathies cause regional hypo- or anhidrosis; hyperthyroidism ↑ sweating, hypothyroidism ↓ it.</w:t>
            </w:r>
          </w:p>
        </w:tc>
        <w:tc>
          <w:tcPr>
            <w:tcW w:w="2160" w:type="dxa"/>
            <w:hideMark/>
          </w:tcPr>
          <w:p w14:paraId="17FB5F1B"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Autonomic neuropathy lowers or abolishes EDA in affected regions; endocrine states modulate baseline sympathetic tone and reactivity.</w:t>
            </w:r>
          </w:p>
        </w:tc>
      </w:tr>
      <w:tr w:rsidR="00DB5AA9" w:rsidRPr="001D228D" w14:paraId="77A6CD0E" w14:textId="77777777" w:rsidTr="00357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3760D82F" w14:textId="77777777" w:rsidR="00DB5AA9" w:rsidRPr="001D228D" w:rsidRDefault="00DB5AA9" w:rsidP="0035708B">
            <w:pPr>
              <w:rPr>
                <w:b w:val="0"/>
                <w:bCs w:val="0"/>
                <w:i/>
                <w:iCs/>
                <w:sz w:val="18"/>
                <w:szCs w:val="18"/>
              </w:rPr>
            </w:pPr>
            <w:r w:rsidRPr="001D228D">
              <w:rPr>
                <w:sz w:val="18"/>
                <w:szCs w:val="18"/>
              </w:rPr>
              <w:t>Cardiovascular and autonomic disorders, spinal cord injury, obstructive sleep apnoea</w:t>
            </w:r>
          </w:p>
        </w:tc>
        <w:tc>
          <w:tcPr>
            <w:tcW w:w="2119" w:type="dxa"/>
            <w:hideMark/>
          </w:tcPr>
          <w:p w14:paraId="19524FCE"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SCI and severe autonomic failure impair heat loss, producing larger CBT excursions; OSA and chronic CV disease alter nocturnal CBT via disturbed sleep and perfusion.</w:t>
            </w:r>
          </w:p>
        </w:tc>
        <w:tc>
          <w:tcPr>
            <w:tcW w:w="0" w:type="auto"/>
            <w:hideMark/>
          </w:tcPr>
          <w:p w14:paraId="05CC4551"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SCI and autonomic lesions create regions with fixed Tsk and absent vasomotor responses; OSA and CV disease alter nocturnal Tsk/DPG through fragmented sleep and altered haemodynamics.</w:t>
            </w:r>
          </w:p>
        </w:tc>
        <w:tc>
          <w:tcPr>
            <w:tcW w:w="1787" w:type="dxa"/>
            <w:hideMark/>
          </w:tcPr>
          <w:p w14:paraId="088BDFBD"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Autonomic failure blunts HR responses; POTS exaggerates HR rise on standing; OSA raises nocturnal HR and increases transient surges.</w:t>
            </w:r>
          </w:p>
        </w:tc>
        <w:tc>
          <w:tcPr>
            <w:tcW w:w="0" w:type="auto"/>
            <w:hideMark/>
          </w:tcPr>
          <w:p w14:paraId="791308AF"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Markedly reduced HRV and baroreflex sensitivity in autonomic failure and advanced CV disease; OSA fragments HRV rhythms and reduces nocturnal vagal dominance.</w:t>
            </w:r>
          </w:p>
        </w:tc>
        <w:tc>
          <w:tcPr>
            <w:tcW w:w="1987" w:type="dxa"/>
            <w:hideMark/>
          </w:tcPr>
          <w:p w14:paraId="6A411629"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Non-dipping or reverse-dipping patterns common in OSA/CKD/advanced hypertension; labile BP and orthostatic hypotension in autonomic neuropathy, Parkinson’s disease, and SCI.</w:t>
            </w:r>
          </w:p>
        </w:tc>
        <w:tc>
          <w:tcPr>
            <w:tcW w:w="1890" w:type="dxa"/>
            <w:hideMark/>
          </w:tcPr>
          <w:p w14:paraId="5DFC1502"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SCI and autonomic failure cause segmental loss of sweating below the lesion with compensatory hyperhidrosis above; OSA and CV disease influence sweat responses via altered autonomic patterning.</w:t>
            </w:r>
          </w:p>
        </w:tc>
        <w:tc>
          <w:tcPr>
            <w:tcW w:w="2160" w:type="dxa"/>
            <w:hideMark/>
          </w:tcPr>
          <w:p w14:paraId="2ABEE012" w14:textId="77777777" w:rsidR="00DB5AA9" w:rsidRPr="001D228D" w:rsidRDefault="00DB5AA9" w:rsidP="0035708B">
            <w:pPr>
              <w:cnfStyle w:val="000000100000" w:firstRow="0" w:lastRow="0" w:firstColumn="0" w:lastColumn="0" w:oddVBand="0" w:evenVBand="0" w:oddHBand="1" w:evenHBand="0" w:firstRowFirstColumn="0" w:firstRowLastColumn="0" w:lastRowFirstColumn="0" w:lastRowLastColumn="0"/>
              <w:rPr>
                <w:sz w:val="18"/>
                <w:szCs w:val="18"/>
              </w:rPr>
            </w:pPr>
            <w:r w:rsidRPr="001D228D">
              <w:rPr>
                <w:sz w:val="18"/>
                <w:szCs w:val="18"/>
              </w:rPr>
              <w:t>Segmental loss of EDA below SCI lesion; exaggerated or dysregulated EDA above lesion; OSA and CV disease alter nocturnal EDA profiles in parallel with HR and BP disturbances.</w:t>
            </w:r>
          </w:p>
        </w:tc>
      </w:tr>
      <w:tr w:rsidR="00DB5AA9" w:rsidRPr="001D228D" w14:paraId="34007952" w14:textId="77777777" w:rsidTr="00357E08">
        <w:tc>
          <w:tcPr>
            <w:cnfStyle w:val="001000000000" w:firstRow="0" w:lastRow="0" w:firstColumn="1" w:lastColumn="0" w:oddVBand="0" w:evenVBand="0" w:oddHBand="0" w:evenHBand="0" w:firstRowFirstColumn="0" w:firstRowLastColumn="0" w:lastRowFirstColumn="0" w:lastRowLastColumn="0"/>
            <w:tcW w:w="1583" w:type="dxa"/>
            <w:hideMark/>
          </w:tcPr>
          <w:p w14:paraId="55158CF8" w14:textId="77777777" w:rsidR="00DB5AA9" w:rsidRPr="001D228D" w:rsidRDefault="00DB5AA9" w:rsidP="0035708B">
            <w:pPr>
              <w:rPr>
                <w:b w:val="0"/>
                <w:bCs w:val="0"/>
                <w:i/>
                <w:iCs/>
                <w:sz w:val="18"/>
                <w:szCs w:val="18"/>
              </w:rPr>
            </w:pPr>
            <w:r w:rsidRPr="001D228D">
              <w:rPr>
                <w:sz w:val="18"/>
                <w:szCs w:val="18"/>
              </w:rPr>
              <w:t>Medications affecting autonomic and thermoregulatory control (β-blockers, anticholinergics, sedatives, SSRIs/SNRIs, stimulants, others)</w:t>
            </w:r>
          </w:p>
        </w:tc>
        <w:tc>
          <w:tcPr>
            <w:tcW w:w="2119" w:type="dxa"/>
            <w:hideMark/>
          </w:tcPr>
          <w:p w14:paraId="36CDDBBD"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Many psychotropics, anticholinergics, and some anaesthetics narrow the thermoneutral zone or blunt sweating, raising CBT in heat; others impair shivering and cold defence; fever-inducing drugs raise set-point.</w:t>
            </w:r>
          </w:p>
        </w:tc>
        <w:tc>
          <w:tcPr>
            <w:tcW w:w="0" w:type="auto"/>
            <w:hideMark/>
          </w:tcPr>
          <w:p w14:paraId="1273ACBE"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Vasoactive agents (β-blockers, calcium-channel blockers, vasodilators) alter skin perfusion; sedatives and centrally acting agents blunt behavioural thermoregulation; anticholinergics can reduce local sweating and modify Tsk.</w:t>
            </w:r>
          </w:p>
        </w:tc>
        <w:tc>
          <w:tcPr>
            <w:tcW w:w="1787" w:type="dxa"/>
            <w:hideMark/>
          </w:tcPr>
          <w:p w14:paraId="7AB6A8A5"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β-blockers ↓ HR and reactivity; stimulants, thyroid replacement, some antidepressants and antipsychotics ↑ HR.</w:t>
            </w:r>
          </w:p>
        </w:tc>
        <w:tc>
          <w:tcPr>
            <w:tcW w:w="0" w:type="auto"/>
            <w:hideMark/>
          </w:tcPr>
          <w:p w14:paraId="4C70C7EA"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β-blockers often ↑ HRV by lowering HR; stimulants and many antidepressants/SSRIs ↓ vagal HRV and may ↑ LF/HF; sedatives can dampen variability.</w:t>
            </w:r>
          </w:p>
        </w:tc>
        <w:tc>
          <w:tcPr>
            <w:tcW w:w="1987" w:type="dxa"/>
            <w:hideMark/>
          </w:tcPr>
          <w:p w14:paraId="1DB22D28"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Antihypertensives ↓ BP and can exacerbate orthostatic drops; stimulants and some antidepressants ↑ BP; many drugs modify dipping patterns.</w:t>
            </w:r>
          </w:p>
        </w:tc>
        <w:tc>
          <w:tcPr>
            <w:tcW w:w="1890" w:type="dxa"/>
            <w:hideMark/>
          </w:tcPr>
          <w:p w14:paraId="577B2681"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Anticholinergics and some psychotropics suppress sweating; β-blockers and centrally acting drugs are used to treat hyperhidrosis/flushing and alter sudomotor gain; other agents can precipitate hyperhidrosis or night sweats.</w:t>
            </w:r>
          </w:p>
        </w:tc>
        <w:tc>
          <w:tcPr>
            <w:tcW w:w="2160" w:type="dxa"/>
            <w:hideMark/>
          </w:tcPr>
          <w:p w14:paraId="2A810DF0" w14:textId="77777777" w:rsidR="00DB5AA9" w:rsidRPr="001D228D" w:rsidRDefault="00DB5AA9" w:rsidP="0035708B">
            <w:pPr>
              <w:cnfStyle w:val="000000000000" w:firstRow="0" w:lastRow="0" w:firstColumn="0" w:lastColumn="0" w:oddVBand="0" w:evenVBand="0" w:oddHBand="0" w:evenHBand="0" w:firstRowFirstColumn="0" w:firstRowLastColumn="0" w:lastRowFirstColumn="0" w:lastRowLastColumn="0"/>
              <w:rPr>
                <w:sz w:val="18"/>
                <w:szCs w:val="18"/>
              </w:rPr>
            </w:pPr>
            <w:r w:rsidRPr="001D228D">
              <w:rPr>
                <w:sz w:val="18"/>
                <w:szCs w:val="18"/>
              </w:rPr>
              <w:t>Anticholinergics and sedatives ↓ EDA amplitudes; stimulants and some antidepressants/SSRIs ↑ tonic and phasic EDA; many agents change reactivity profiles and should be documented explicitly.</w:t>
            </w:r>
          </w:p>
        </w:tc>
      </w:tr>
    </w:tbl>
    <w:p w14:paraId="113AFD0F" w14:textId="77777777" w:rsidR="00DB5AA9" w:rsidRPr="001150F4" w:rsidRDefault="00DB5AA9" w:rsidP="00DB5AA9">
      <w:pPr>
        <w:rPr>
          <w:lang w:val="en-US"/>
        </w:rPr>
      </w:pPr>
    </w:p>
    <w:p w14:paraId="3E6EF549" w14:textId="77777777" w:rsidR="00DB5AA9" w:rsidRDefault="00DB5AA9" w:rsidP="001150F4">
      <w:pPr>
        <w:sectPr w:rsidR="00DB5AA9" w:rsidSect="00357E08">
          <w:footerReference w:type="default" r:id="rId15"/>
          <w:pgSz w:w="16838" w:h="11906" w:orient="landscape"/>
          <w:pgMar w:top="1440" w:right="908" w:bottom="835" w:left="1440" w:header="720" w:footer="720" w:gutter="0"/>
          <w:cols w:space="720"/>
          <w:docGrid w:linePitch="360"/>
        </w:sectPr>
      </w:pPr>
    </w:p>
    <w:p w14:paraId="14138075" w14:textId="44225696" w:rsidR="00B95B4A" w:rsidRDefault="00B95B4A" w:rsidP="001150F4">
      <w:pPr>
        <w:pStyle w:val="Heading1"/>
        <w:rPr>
          <w:lang w:val="en-GB"/>
        </w:rPr>
      </w:pPr>
      <w:bookmarkStart w:id="103" w:name="_Toc211009241"/>
      <w:bookmarkStart w:id="104" w:name="_Toc223281704"/>
      <w:r>
        <w:rPr>
          <w:lang w:val="en-GB"/>
        </w:rPr>
        <w:lastRenderedPageBreak/>
        <w:t>CONTRIBUTION</w:t>
      </w:r>
    </w:p>
    <w:p w14:paraId="4EB7DB79" w14:textId="77777777" w:rsidR="00B95B4A" w:rsidRDefault="00B95B4A" w:rsidP="00B95B4A">
      <w:pPr>
        <w:pStyle w:val="Heading2"/>
      </w:pPr>
      <w:r>
        <w:t>Community and community roles</w:t>
      </w:r>
    </w:p>
    <w:p w14:paraId="7E6B9D73" w14:textId="77777777" w:rsidR="00B95B4A" w:rsidRDefault="00B95B4A" w:rsidP="00B95B4A">
      <w:pPr>
        <w:rPr>
          <w:lang w:val="en-US"/>
        </w:rPr>
      </w:pPr>
      <w:r>
        <w:rPr>
          <w:lang w:val="en-US"/>
        </w:rPr>
        <w:t>Lorem ipsum</w:t>
      </w:r>
    </w:p>
    <w:p w14:paraId="4BE48A23" w14:textId="61916C35" w:rsidR="00B95B4A" w:rsidRDefault="00B95B4A" w:rsidP="00B95B4A">
      <w:pPr>
        <w:pStyle w:val="Heading2"/>
      </w:pPr>
      <w:r>
        <w:t>List of contributors</w:t>
      </w:r>
    </w:p>
    <w:p w14:paraId="38CE5C7A" w14:textId="28E574A9" w:rsidR="00B95B4A" w:rsidRPr="00B95B4A" w:rsidRDefault="00B95B4A" w:rsidP="00B95B4A">
      <w:pPr>
        <w:rPr>
          <w:lang w:val="en-US"/>
        </w:rPr>
      </w:pPr>
      <w:r>
        <w:rPr>
          <w:lang w:val="en-US"/>
        </w:rPr>
        <w:t>Lorem ipsum</w:t>
      </w:r>
    </w:p>
    <w:p w14:paraId="01844595" w14:textId="77777777" w:rsidR="00B95B4A" w:rsidRDefault="00B95B4A" w:rsidP="00B95B4A">
      <w:pPr>
        <w:pStyle w:val="Heading2"/>
      </w:pPr>
      <w:r>
        <w:t>Governance</w:t>
      </w:r>
    </w:p>
    <w:p w14:paraId="4A6E21E5" w14:textId="77777777" w:rsidR="00B95B4A" w:rsidRPr="00B95B4A" w:rsidRDefault="00B95B4A" w:rsidP="00B95B4A">
      <w:pPr>
        <w:rPr>
          <w:lang w:val="en-US"/>
        </w:rPr>
      </w:pPr>
      <w:r>
        <w:rPr>
          <w:lang w:val="en-US"/>
        </w:rPr>
        <w:t>Lorem ipsum</w:t>
      </w:r>
    </w:p>
    <w:p w14:paraId="7E1733F1" w14:textId="77777777" w:rsidR="00B95B4A" w:rsidRDefault="00B95B4A" w:rsidP="00B95B4A">
      <w:pPr>
        <w:pStyle w:val="Heading2"/>
      </w:pPr>
      <w:r>
        <w:t>How to cite</w:t>
      </w:r>
    </w:p>
    <w:p w14:paraId="5B30A37A" w14:textId="77777777" w:rsidR="00B95B4A" w:rsidRPr="00B95B4A" w:rsidRDefault="00B95B4A" w:rsidP="00B95B4A">
      <w:pPr>
        <w:rPr>
          <w:lang w:val="en-US"/>
        </w:rPr>
      </w:pPr>
      <w:r>
        <w:rPr>
          <w:lang w:val="en-US"/>
        </w:rPr>
        <w:t>Lorem ipsum</w:t>
      </w:r>
    </w:p>
    <w:p w14:paraId="73FC7421" w14:textId="77777777" w:rsidR="00B95B4A" w:rsidRDefault="00B95B4A" w:rsidP="00B95B4A">
      <w:pPr>
        <w:pStyle w:val="Heading2"/>
      </w:pPr>
      <w:r>
        <w:t>Contact</w:t>
      </w:r>
    </w:p>
    <w:p w14:paraId="37001D03" w14:textId="77777777" w:rsidR="00B95B4A" w:rsidRPr="00B95B4A" w:rsidRDefault="00B95B4A" w:rsidP="00B95B4A">
      <w:pPr>
        <w:rPr>
          <w:lang w:val="en-US"/>
        </w:rPr>
      </w:pPr>
      <w:r>
        <w:rPr>
          <w:lang w:val="en-US"/>
        </w:rPr>
        <w:t>Lorem ipsum</w:t>
      </w:r>
    </w:p>
    <w:p w14:paraId="351A583D" w14:textId="77777777" w:rsidR="00B95B4A" w:rsidRDefault="00B95B4A" w:rsidP="00B95B4A"/>
    <w:p w14:paraId="76D67025" w14:textId="77777777" w:rsidR="00357E08" w:rsidRDefault="00357E08" w:rsidP="00B95B4A"/>
    <w:p w14:paraId="60F6963C" w14:textId="77777777" w:rsidR="00357E08" w:rsidRDefault="00357E08" w:rsidP="00B95B4A"/>
    <w:p w14:paraId="4BBF18B3" w14:textId="77777777" w:rsidR="00357E08" w:rsidRDefault="00357E08" w:rsidP="00B95B4A"/>
    <w:p w14:paraId="546B0D17" w14:textId="77777777" w:rsidR="00357E08" w:rsidRDefault="00357E08" w:rsidP="00B95B4A"/>
    <w:p w14:paraId="630471C2" w14:textId="77777777" w:rsidR="00357E08" w:rsidRDefault="00357E08" w:rsidP="00B95B4A"/>
    <w:p w14:paraId="0C5E6F63" w14:textId="77777777" w:rsidR="00357E08" w:rsidRDefault="00357E08" w:rsidP="00B95B4A"/>
    <w:p w14:paraId="4ACE9E3D" w14:textId="77777777" w:rsidR="00357E08" w:rsidRDefault="00357E08" w:rsidP="00B95B4A"/>
    <w:p w14:paraId="5E5EE884" w14:textId="77777777" w:rsidR="00357E08" w:rsidRDefault="00357E08" w:rsidP="00B95B4A"/>
    <w:p w14:paraId="11BD4B24" w14:textId="77777777" w:rsidR="00357E08" w:rsidRDefault="00357E08" w:rsidP="00B95B4A"/>
    <w:p w14:paraId="470988CE" w14:textId="77777777" w:rsidR="00357E08" w:rsidRDefault="00357E08" w:rsidP="00B95B4A"/>
    <w:p w14:paraId="3EA12581" w14:textId="77777777" w:rsidR="00357E08" w:rsidRDefault="00357E08" w:rsidP="00B95B4A"/>
    <w:p w14:paraId="7B4D1C07" w14:textId="77777777" w:rsidR="00357E08" w:rsidRDefault="00357E08" w:rsidP="00B95B4A"/>
    <w:p w14:paraId="23E7244B" w14:textId="77777777" w:rsidR="00357E08" w:rsidRDefault="00357E08" w:rsidP="00B95B4A"/>
    <w:p w14:paraId="36BA2EA4" w14:textId="77777777" w:rsidR="00357E08" w:rsidRDefault="00357E08" w:rsidP="00B95B4A"/>
    <w:p w14:paraId="439496B7" w14:textId="77777777" w:rsidR="00357E08" w:rsidRDefault="00357E08" w:rsidP="00B95B4A"/>
    <w:p w14:paraId="2129FC95" w14:textId="77777777" w:rsidR="00357E08" w:rsidRDefault="00357E08" w:rsidP="00B95B4A"/>
    <w:p w14:paraId="38AADECE" w14:textId="77777777" w:rsidR="00357E08" w:rsidRDefault="00357E08" w:rsidP="00B95B4A"/>
    <w:p w14:paraId="3EBA1542" w14:textId="77777777" w:rsidR="00357E08" w:rsidRDefault="00357E08" w:rsidP="00B95B4A"/>
    <w:p w14:paraId="20E434E8" w14:textId="77777777" w:rsidR="00357E08" w:rsidRDefault="00357E08" w:rsidP="00B95B4A"/>
    <w:p w14:paraId="253D7E20" w14:textId="77777777" w:rsidR="00357E08" w:rsidRDefault="00357E08" w:rsidP="00B95B4A"/>
    <w:p w14:paraId="34030986" w14:textId="77777777" w:rsidR="00357E08" w:rsidRPr="00B95B4A" w:rsidRDefault="00357E08" w:rsidP="00B95B4A"/>
    <w:p w14:paraId="3FAE1917" w14:textId="4080463E" w:rsidR="00CE64DB" w:rsidRPr="001D228D" w:rsidRDefault="00CE64DB" w:rsidP="001150F4">
      <w:pPr>
        <w:pStyle w:val="Heading1"/>
        <w:rPr>
          <w:lang w:val="en-GB"/>
        </w:rPr>
      </w:pPr>
      <w:r w:rsidRPr="001D228D">
        <w:rPr>
          <w:lang w:val="en-GB"/>
        </w:rPr>
        <w:lastRenderedPageBreak/>
        <w:t>REFERENCES</w:t>
      </w:r>
      <w:bookmarkEnd w:id="103"/>
      <w:bookmarkEnd w:id="104"/>
    </w:p>
    <w:sdt>
      <w:sdtPr>
        <w:rPr>
          <w:rFonts w:eastAsia="Times New Roman"/>
          <w:color w:val="000000"/>
        </w:rPr>
        <w:tag w:val="MENDELEY_BIBLIOGRAPHY"/>
        <w:id w:val="-671257768"/>
        <w:placeholder>
          <w:docPart w:val="DefaultPlaceholder_-1854013440"/>
        </w:placeholder>
      </w:sdtPr>
      <w:sdtContent>
        <w:p w14:paraId="0DF84C94" w14:textId="77777777" w:rsidR="00B43409" w:rsidRPr="00B43409" w:rsidRDefault="00B43409">
          <w:pPr>
            <w:autoSpaceDE w:val="0"/>
            <w:autoSpaceDN w:val="0"/>
            <w:ind w:hanging="640"/>
            <w:divId w:val="1413625840"/>
            <w:rPr>
              <w:rFonts w:eastAsia="Times New Roman"/>
              <w:color w:val="000000"/>
              <w:kern w:val="0"/>
              <w:szCs w:val="24"/>
              <w14:ligatures w14:val="none"/>
            </w:rPr>
          </w:pPr>
          <w:r w:rsidRPr="00B43409">
            <w:rPr>
              <w:rFonts w:eastAsia="Times New Roman"/>
              <w:color w:val="000000"/>
            </w:rPr>
            <w:t>[1]</w:t>
          </w:r>
          <w:r w:rsidRPr="00B43409">
            <w:rPr>
              <w:rFonts w:eastAsia="Times New Roman"/>
              <w:color w:val="000000"/>
            </w:rPr>
            <w:tab/>
            <w:t>K. Parsons, Human thermal environments, in: Human Thermal Environments, CRC Press, 1993: pp. 22–49. https://doi.org/10.1201/9780203302620-10.</w:t>
          </w:r>
        </w:p>
        <w:p w14:paraId="099E90CD" w14:textId="77777777" w:rsidR="00B43409" w:rsidRPr="00B43409" w:rsidRDefault="00B43409">
          <w:pPr>
            <w:autoSpaceDE w:val="0"/>
            <w:autoSpaceDN w:val="0"/>
            <w:ind w:hanging="640"/>
            <w:divId w:val="632567532"/>
            <w:rPr>
              <w:rFonts w:eastAsia="Times New Roman"/>
              <w:color w:val="000000"/>
            </w:rPr>
          </w:pPr>
          <w:r w:rsidRPr="00B43409">
            <w:rPr>
              <w:rFonts w:eastAsia="Times New Roman"/>
              <w:color w:val="000000"/>
            </w:rPr>
            <w:t>[2]</w:t>
          </w:r>
          <w:r w:rsidRPr="00B43409">
            <w:rPr>
              <w:rFonts w:eastAsia="Times New Roman"/>
              <w:color w:val="000000"/>
            </w:rPr>
            <w:tab/>
            <w:t>G.P. Kenny, Human thermoregulation: separating thermal and nonthermal effects on heat loss, Frontiers in Bioscience 15 (2010) 259. https://doi.org/10.2741/3620.</w:t>
          </w:r>
        </w:p>
        <w:p w14:paraId="2325C371" w14:textId="77777777" w:rsidR="00B43409" w:rsidRPr="00B43409" w:rsidRDefault="00B43409">
          <w:pPr>
            <w:autoSpaceDE w:val="0"/>
            <w:autoSpaceDN w:val="0"/>
            <w:ind w:hanging="640"/>
            <w:divId w:val="415787969"/>
            <w:rPr>
              <w:rFonts w:eastAsia="Times New Roman"/>
              <w:color w:val="000000"/>
            </w:rPr>
          </w:pPr>
          <w:r w:rsidRPr="00B43409">
            <w:rPr>
              <w:rFonts w:eastAsia="Times New Roman"/>
              <w:color w:val="000000"/>
            </w:rPr>
            <w:t>[3]</w:t>
          </w:r>
          <w:r w:rsidRPr="00B43409">
            <w:rPr>
              <w:rFonts w:eastAsia="Times New Roman"/>
              <w:color w:val="000000"/>
            </w:rPr>
            <w:tab/>
            <w:t>ISO, ISO 9886:2004 Ergonomics — Evaluation of thermal strain by physiological measurements, Geneva, 2004.</w:t>
          </w:r>
        </w:p>
        <w:p w14:paraId="7AC79E03" w14:textId="77777777" w:rsidR="00B43409" w:rsidRPr="00B43409" w:rsidRDefault="00B43409">
          <w:pPr>
            <w:autoSpaceDE w:val="0"/>
            <w:autoSpaceDN w:val="0"/>
            <w:ind w:hanging="640"/>
            <w:divId w:val="1729576316"/>
            <w:rPr>
              <w:rFonts w:eastAsia="Times New Roman"/>
              <w:color w:val="000000"/>
            </w:rPr>
          </w:pPr>
          <w:r w:rsidRPr="00B43409">
            <w:rPr>
              <w:rFonts w:eastAsia="Times New Roman"/>
              <w:color w:val="000000"/>
            </w:rPr>
            <w:t>[4]</w:t>
          </w:r>
          <w:r w:rsidRPr="00B43409">
            <w:rPr>
              <w:rFonts w:eastAsia="Times New Roman"/>
              <w:color w:val="000000"/>
            </w:rPr>
            <w:tab/>
            <w:t>G. Havenith, Individualized model of human thermoregulation for the simulation of heat stress response, J. Appl. Physiol. 90 (2001) 1943–1954. https://doi.org/10.1152/jappl.2001.90.5.1943.</w:t>
          </w:r>
        </w:p>
        <w:p w14:paraId="5705E2BB" w14:textId="77777777" w:rsidR="00B43409" w:rsidRPr="00B43409" w:rsidRDefault="00B43409">
          <w:pPr>
            <w:autoSpaceDE w:val="0"/>
            <w:autoSpaceDN w:val="0"/>
            <w:ind w:hanging="640"/>
            <w:divId w:val="174613005"/>
            <w:rPr>
              <w:rFonts w:eastAsia="Times New Roman"/>
              <w:color w:val="000000"/>
            </w:rPr>
          </w:pPr>
          <w:r w:rsidRPr="00B43409">
            <w:rPr>
              <w:rFonts w:eastAsia="Times New Roman"/>
              <w:color w:val="000000"/>
            </w:rPr>
            <w:t>[5]</w:t>
          </w:r>
          <w:r w:rsidRPr="00B43409">
            <w:rPr>
              <w:rFonts w:eastAsia="Times New Roman"/>
              <w:color w:val="000000"/>
            </w:rPr>
            <w:tab/>
            <w:t>A.A. Romanovsky, Skin temperature: its role in thermoregulation, Acta Physiologica 210 (2014) 498–507. https://doi.org/10.1111/apha.12231.</w:t>
          </w:r>
        </w:p>
        <w:p w14:paraId="17D813B3" w14:textId="77777777" w:rsidR="00B43409" w:rsidRPr="00B43409" w:rsidRDefault="00B43409">
          <w:pPr>
            <w:autoSpaceDE w:val="0"/>
            <w:autoSpaceDN w:val="0"/>
            <w:ind w:hanging="640"/>
            <w:divId w:val="623393563"/>
            <w:rPr>
              <w:rFonts w:eastAsia="Times New Roman"/>
              <w:color w:val="000000"/>
            </w:rPr>
          </w:pPr>
          <w:r w:rsidRPr="00B43409">
            <w:rPr>
              <w:rFonts w:eastAsia="Times New Roman"/>
              <w:color w:val="000000"/>
            </w:rPr>
            <w:t>[6]</w:t>
          </w:r>
          <w:r w:rsidRPr="00B43409">
            <w:rPr>
              <w:rFonts w:eastAsia="Times New Roman"/>
              <w:color w:val="000000"/>
            </w:rPr>
            <w:tab/>
            <w:t>N.A.S. Taylor, Human Heat Adaptation, Compr. Physiol. 4 (2014) 325–365. https://doi.org/10.1002/j.2040-4603.2014.tb00547.x.</w:t>
          </w:r>
        </w:p>
        <w:p w14:paraId="577885DB" w14:textId="77777777" w:rsidR="00B43409" w:rsidRPr="00B43409" w:rsidRDefault="00B43409">
          <w:pPr>
            <w:autoSpaceDE w:val="0"/>
            <w:autoSpaceDN w:val="0"/>
            <w:ind w:hanging="640"/>
            <w:divId w:val="1044868940"/>
            <w:rPr>
              <w:rFonts w:eastAsia="Times New Roman"/>
              <w:color w:val="000000"/>
            </w:rPr>
          </w:pPr>
          <w:r w:rsidRPr="00B43409">
            <w:rPr>
              <w:rFonts w:eastAsia="Times New Roman"/>
              <w:color w:val="000000"/>
            </w:rPr>
            <w:t>[7]</w:t>
          </w:r>
          <w:r w:rsidRPr="00B43409">
            <w:rPr>
              <w:rFonts w:eastAsia="Times New Roman"/>
              <w:color w:val="000000"/>
            </w:rPr>
            <w:tab/>
            <w:t>H. Zhang, E. Arens, C. Huizenga, T. Han, Thermal sensation and comfort models for non-uniform and transient environments, part III: Whole-body sensation and comfort, Build. Environ. 45 (2010) 399–410. https://doi.org/10.1016/j.buildenv.2009.06.020.</w:t>
          </w:r>
        </w:p>
        <w:p w14:paraId="45B3F581" w14:textId="77777777" w:rsidR="00B43409" w:rsidRPr="00B43409" w:rsidRDefault="00B43409">
          <w:pPr>
            <w:autoSpaceDE w:val="0"/>
            <w:autoSpaceDN w:val="0"/>
            <w:ind w:hanging="640"/>
            <w:divId w:val="215897114"/>
            <w:rPr>
              <w:rFonts w:eastAsia="Times New Roman"/>
              <w:color w:val="000000"/>
            </w:rPr>
          </w:pPr>
          <w:r w:rsidRPr="00B43409">
            <w:rPr>
              <w:rFonts w:eastAsia="Times New Roman"/>
              <w:color w:val="000000"/>
            </w:rPr>
            <w:t>[8]</w:t>
          </w:r>
          <w:r w:rsidRPr="00B43409">
            <w:rPr>
              <w:rFonts w:eastAsia="Times New Roman"/>
              <w:color w:val="000000"/>
            </w:rPr>
            <w:tab/>
            <w:t>H. Zhang, C. Huizenga, E. Arenas, D. Wang, Thermal sensation and comfort in transient non-uniform thermal environments, Eur. J. Appl. Physiol. 92 (2004) 728–733. https://doi.org/10.1007/s00421-004-1137-y.</w:t>
          </w:r>
        </w:p>
        <w:p w14:paraId="23DE32A0" w14:textId="77777777" w:rsidR="00B43409" w:rsidRPr="00B43409" w:rsidRDefault="00B43409">
          <w:pPr>
            <w:autoSpaceDE w:val="0"/>
            <w:autoSpaceDN w:val="0"/>
            <w:ind w:hanging="640"/>
            <w:divId w:val="735012269"/>
            <w:rPr>
              <w:rFonts w:eastAsia="Times New Roman"/>
              <w:color w:val="000000"/>
            </w:rPr>
          </w:pPr>
          <w:r w:rsidRPr="00B43409">
            <w:rPr>
              <w:rFonts w:eastAsia="Times New Roman"/>
              <w:color w:val="000000"/>
            </w:rPr>
            <w:t>[9]</w:t>
          </w:r>
          <w:r w:rsidRPr="00B43409">
            <w:rPr>
              <w:rFonts w:eastAsia="Times New Roman"/>
              <w:color w:val="000000"/>
            </w:rPr>
            <w:tab/>
            <w:t>F. Shaffer, J.P. Ginsberg, An Overview of Heart Rate Variability Metrics and Norms, Front. Public Health 5 (2017) 1–17. https://doi.org/10.3389/fpubh.2017.00258.</w:t>
          </w:r>
        </w:p>
        <w:p w14:paraId="1E48F905" w14:textId="77777777" w:rsidR="00B43409" w:rsidRPr="00B43409" w:rsidRDefault="00B43409">
          <w:pPr>
            <w:autoSpaceDE w:val="0"/>
            <w:autoSpaceDN w:val="0"/>
            <w:ind w:hanging="640"/>
            <w:divId w:val="1391228437"/>
            <w:rPr>
              <w:rFonts w:eastAsia="Times New Roman"/>
              <w:color w:val="000000"/>
            </w:rPr>
          </w:pPr>
          <w:r w:rsidRPr="00B43409">
            <w:rPr>
              <w:rFonts w:eastAsia="Times New Roman"/>
              <w:color w:val="000000"/>
            </w:rPr>
            <w:t>[10]</w:t>
          </w:r>
          <w:r w:rsidRPr="00B43409">
            <w:rPr>
              <w:rFonts w:eastAsia="Times New Roman"/>
              <w:color w:val="000000"/>
            </w:rPr>
            <w:tab/>
            <w:t>M.J. Patterson, J.D. Cotter, N.A.S. Taylor, Human sudomotor responses to heating and cooling upper-body skin surfaces: Cutaneous thermal sensitivity, Acta Physiol. Scand. 163 (1998) 289–296. https://doi.org/10.1046/j.1365-201x.1998.00379.x.</w:t>
          </w:r>
        </w:p>
        <w:p w14:paraId="708606EF" w14:textId="77777777" w:rsidR="00B43409" w:rsidRPr="00B43409" w:rsidRDefault="00B43409">
          <w:pPr>
            <w:autoSpaceDE w:val="0"/>
            <w:autoSpaceDN w:val="0"/>
            <w:ind w:hanging="640"/>
            <w:divId w:val="1823739733"/>
            <w:rPr>
              <w:rFonts w:eastAsia="Times New Roman"/>
              <w:color w:val="000000"/>
            </w:rPr>
          </w:pPr>
          <w:r w:rsidRPr="00B43409">
            <w:rPr>
              <w:rFonts w:eastAsia="Times New Roman"/>
              <w:color w:val="000000"/>
            </w:rPr>
            <w:t>[11]</w:t>
          </w:r>
          <w:r w:rsidRPr="00B43409">
            <w:rPr>
              <w:rFonts w:eastAsia="Times New Roman"/>
              <w:color w:val="000000"/>
            </w:rPr>
            <w:tab/>
            <w:t>W. Boucsein, Electrodermal Activity, 2nd ed., Springer US, Boston, MA, 2012. https://doi.org/10.1007/978-1-4614-1126-0.</w:t>
          </w:r>
        </w:p>
        <w:p w14:paraId="60C50206" w14:textId="77777777" w:rsidR="00B43409" w:rsidRPr="00B43409" w:rsidRDefault="00B43409">
          <w:pPr>
            <w:autoSpaceDE w:val="0"/>
            <w:autoSpaceDN w:val="0"/>
            <w:ind w:hanging="640"/>
            <w:divId w:val="1192065915"/>
            <w:rPr>
              <w:rFonts w:eastAsia="Times New Roman"/>
              <w:color w:val="000000"/>
            </w:rPr>
          </w:pPr>
          <w:r w:rsidRPr="00B43409">
            <w:rPr>
              <w:rFonts w:eastAsia="Times New Roman"/>
              <w:color w:val="000000"/>
            </w:rPr>
            <w:t>[12]</w:t>
          </w:r>
          <w:r w:rsidRPr="00B43409">
            <w:rPr>
              <w:rFonts w:eastAsia="Times New Roman"/>
              <w:color w:val="000000"/>
            </w:rPr>
            <w:tab/>
            <w:t>E.R. Nadel, J.W. Mitchell, B. Saltin, J.A. Stolwijk, Peripheral modifications to the central drive for sweating, J. Appl. Physiol. 31 (1971) 828–833. https://doi.org/10.1152/jappl.1971.31.6.828.</w:t>
          </w:r>
        </w:p>
        <w:p w14:paraId="00EB7C1F" w14:textId="77777777" w:rsidR="00B43409" w:rsidRPr="00B43409" w:rsidRDefault="00B43409">
          <w:pPr>
            <w:autoSpaceDE w:val="0"/>
            <w:autoSpaceDN w:val="0"/>
            <w:ind w:hanging="640"/>
            <w:divId w:val="689530958"/>
            <w:rPr>
              <w:rFonts w:eastAsia="Times New Roman"/>
              <w:color w:val="000000"/>
            </w:rPr>
          </w:pPr>
          <w:r w:rsidRPr="00B43409">
            <w:rPr>
              <w:rFonts w:eastAsia="Times New Roman"/>
              <w:color w:val="000000"/>
            </w:rPr>
            <w:t>[13]</w:t>
          </w:r>
          <w:r w:rsidRPr="00B43409">
            <w:rPr>
              <w:rFonts w:eastAsia="Times New Roman"/>
              <w:color w:val="000000"/>
            </w:rPr>
            <w:tab/>
            <w:t>L.A. Stephenson, C.B. Wenger, B.H. O’Donovan, E.R. Nadel, Circadian rhythm in sweating and cutaneous blood flow, Am. J. Physiol. Regul. Integr. Comp. Physiol. 15 (1984) 321–324. https://doi.org/10.1152/ajpregu.1984.246.3.r321.</w:t>
          </w:r>
        </w:p>
        <w:p w14:paraId="65055FDD" w14:textId="77777777" w:rsidR="00B43409" w:rsidRPr="00B43409" w:rsidRDefault="00B43409">
          <w:pPr>
            <w:autoSpaceDE w:val="0"/>
            <w:autoSpaceDN w:val="0"/>
            <w:ind w:hanging="640"/>
            <w:divId w:val="1990941123"/>
            <w:rPr>
              <w:rFonts w:eastAsia="Times New Roman"/>
              <w:color w:val="000000"/>
            </w:rPr>
          </w:pPr>
          <w:r w:rsidRPr="00B43409">
            <w:rPr>
              <w:rFonts w:eastAsia="Times New Roman"/>
              <w:color w:val="000000"/>
            </w:rPr>
            <w:t>[14]</w:t>
          </w:r>
          <w:r w:rsidRPr="00B43409">
            <w:rPr>
              <w:rFonts w:eastAsia="Times New Roman"/>
              <w:color w:val="000000"/>
            </w:rPr>
            <w:tab/>
            <w:t>J. Werner, System properties, feedback control and effector coordination of human temperature regulation, Eur. J. Appl. Physiol. 109 (2010) 13–25. https://doi.org/10.1007/s00421-009-1216-1.</w:t>
          </w:r>
        </w:p>
        <w:p w14:paraId="1A3BA0BE" w14:textId="77777777" w:rsidR="00B43409" w:rsidRPr="00B43409" w:rsidRDefault="00B43409">
          <w:pPr>
            <w:autoSpaceDE w:val="0"/>
            <w:autoSpaceDN w:val="0"/>
            <w:ind w:hanging="640"/>
            <w:divId w:val="1379742330"/>
            <w:rPr>
              <w:rFonts w:eastAsia="Times New Roman"/>
              <w:color w:val="000000"/>
            </w:rPr>
          </w:pPr>
          <w:r w:rsidRPr="00B43409">
            <w:rPr>
              <w:rFonts w:eastAsia="Times New Roman"/>
              <w:color w:val="000000"/>
            </w:rPr>
            <w:t>[15]</w:t>
          </w:r>
          <w:r w:rsidRPr="00B43409">
            <w:rPr>
              <w:rFonts w:eastAsia="Times New Roman"/>
              <w:color w:val="000000"/>
            </w:rPr>
            <w:tab/>
            <w:t>A.A. Romanovsky, Thermoregulation: Some concepts have changed. Functional architecture of the thermoregulatory system, Am. J. Physiol. Regul. Integr. Comp. Physiol. 292 (2007) 64–66. https://doi.org/10.1152/ajpregu.00668.2006.</w:t>
          </w:r>
        </w:p>
        <w:p w14:paraId="7C9256D6" w14:textId="77777777" w:rsidR="00B43409" w:rsidRPr="00B43409" w:rsidRDefault="00B43409">
          <w:pPr>
            <w:autoSpaceDE w:val="0"/>
            <w:autoSpaceDN w:val="0"/>
            <w:ind w:hanging="640"/>
            <w:divId w:val="553541448"/>
            <w:rPr>
              <w:rFonts w:eastAsia="Times New Roman"/>
              <w:color w:val="000000"/>
            </w:rPr>
          </w:pPr>
          <w:r w:rsidRPr="00B43409">
            <w:rPr>
              <w:rFonts w:eastAsia="Times New Roman"/>
              <w:color w:val="000000"/>
            </w:rPr>
            <w:t>[16]</w:t>
          </w:r>
          <w:r w:rsidRPr="00B43409">
            <w:rPr>
              <w:rFonts w:eastAsia="Times New Roman"/>
              <w:color w:val="000000"/>
            </w:rPr>
            <w:tab/>
            <w:t>C.L. Tan, Z.A. Knight, Regulation of Body Temperature by the Nervous System, Neuron 98 (2018) 31–48. https://doi.org/10.1016/j.neuron.2018.02.022.</w:t>
          </w:r>
        </w:p>
        <w:p w14:paraId="151A4A54" w14:textId="77777777" w:rsidR="00B43409" w:rsidRPr="00B43409" w:rsidRDefault="00B43409">
          <w:pPr>
            <w:autoSpaceDE w:val="0"/>
            <w:autoSpaceDN w:val="0"/>
            <w:ind w:hanging="640"/>
            <w:divId w:val="1029570629"/>
            <w:rPr>
              <w:rFonts w:eastAsia="Times New Roman"/>
              <w:color w:val="000000"/>
            </w:rPr>
          </w:pPr>
          <w:r w:rsidRPr="00B43409">
            <w:rPr>
              <w:rFonts w:eastAsia="Times New Roman"/>
              <w:color w:val="000000"/>
            </w:rPr>
            <w:t>[17]</w:t>
          </w:r>
          <w:r w:rsidRPr="00B43409">
            <w:rPr>
              <w:rFonts w:eastAsia="Times New Roman"/>
              <w:color w:val="000000"/>
            </w:rPr>
            <w:tab/>
            <w:t>L.E. Armstrong, D.J. Casa, M. Millard-Stafford, D.S. Moran, S.W. Pyne, W.O. Roberts, Exertional heat illness during training and competition, Med. Sci. Sports Exerc. 39 (2007) 556–572. https://doi.org/10.1249/MSS.0b013e31802fa199.</w:t>
          </w:r>
        </w:p>
        <w:p w14:paraId="2CA23249" w14:textId="77777777" w:rsidR="00B43409" w:rsidRPr="00B43409" w:rsidRDefault="00B43409">
          <w:pPr>
            <w:autoSpaceDE w:val="0"/>
            <w:autoSpaceDN w:val="0"/>
            <w:ind w:hanging="640"/>
            <w:divId w:val="1253003955"/>
            <w:rPr>
              <w:rFonts w:eastAsia="Times New Roman"/>
              <w:color w:val="000000"/>
            </w:rPr>
          </w:pPr>
          <w:r w:rsidRPr="00B43409">
            <w:rPr>
              <w:rFonts w:eastAsia="Times New Roman"/>
              <w:color w:val="000000"/>
            </w:rPr>
            <w:lastRenderedPageBreak/>
            <w:t>[18]</w:t>
          </w:r>
          <w:r w:rsidRPr="00B43409">
            <w:rPr>
              <w:rFonts w:eastAsia="Times New Roman"/>
              <w:color w:val="000000"/>
            </w:rPr>
            <w:tab/>
            <w:t>K.C. Miller, L.E. Hughes, B.C. Long, W.M. Adams, D.J. Casa, Validity of core temperature measurements at 3 rectal depths during rest, exercise, cold-water immersion, and recovery, J. Athl. Train. 52 (2017) 332–338. https://doi.org/10.4085/1062-6050-52.2.10.</w:t>
          </w:r>
        </w:p>
        <w:p w14:paraId="656FF614" w14:textId="77777777" w:rsidR="00B43409" w:rsidRPr="00B43409" w:rsidRDefault="00B43409">
          <w:pPr>
            <w:autoSpaceDE w:val="0"/>
            <w:autoSpaceDN w:val="0"/>
            <w:ind w:hanging="640"/>
            <w:divId w:val="504367889"/>
            <w:rPr>
              <w:rFonts w:eastAsia="Times New Roman"/>
              <w:color w:val="000000"/>
            </w:rPr>
          </w:pPr>
          <w:r w:rsidRPr="00B43409">
            <w:rPr>
              <w:rFonts w:eastAsia="Times New Roman"/>
              <w:color w:val="000000"/>
            </w:rPr>
            <w:t>[19]</w:t>
          </w:r>
          <w:r w:rsidRPr="00B43409">
            <w:rPr>
              <w:rFonts w:eastAsia="Times New Roman"/>
              <w:color w:val="000000"/>
            </w:rPr>
            <w:tab/>
            <w:t>H. Hymczak, A. Gołąb, K. Mendrala, D. Plicner, T. Darocha, P. Podsiadło, D. Hudziak, R. Gocoł, S. Kosiński, Core temperature measurement—principles of correct measurement, problems, and complications, Int. J. Environ. Res. Public Health 18 (2021). https://doi.org/10.3390/ijerph182010606.</w:t>
          </w:r>
        </w:p>
        <w:p w14:paraId="13405C1F" w14:textId="77777777" w:rsidR="00B43409" w:rsidRPr="00B43409" w:rsidRDefault="00B43409">
          <w:pPr>
            <w:autoSpaceDE w:val="0"/>
            <w:autoSpaceDN w:val="0"/>
            <w:ind w:hanging="640"/>
            <w:divId w:val="567769810"/>
            <w:rPr>
              <w:rFonts w:eastAsia="Times New Roman"/>
              <w:color w:val="000000"/>
            </w:rPr>
          </w:pPr>
          <w:r w:rsidRPr="00B43409">
            <w:rPr>
              <w:rFonts w:eastAsia="Times New Roman"/>
              <w:color w:val="000000"/>
            </w:rPr>
            <w:t>[20]</w:t>
          </w:r>
          <w:r w:rsidRPr="00B43409">
            <w:rPr>
              <w:rFonts w:eastAsia="Times New Roman"/>
              <w:color w:val="000000"/>
            </w:rPr>
            <w:tab/>
            <w:t>D.S. Greenes, G.R. Fleisher, When body temperature changes, does rectal temperature lag?, Journal of Pediatrics 144 (2004) 824–826. https://doi.org/10.1016/j.jpeds.2004.02.037.</w:t>
          </w:r>
        </w:p>
        <w:p w14:paraId="271AD898" w14:textId="77777777" w:rsidR="00B43409" w:rsidRPr="00B43409" w:rsidRDefault="00B43409">
          <w:pPr>
            <w:autoSpaceDE w:val="0"/>
            <w:autoSpaceDN w:val="0"/>
            <w:ind w:hanging="640"/>
            <w:divId w:val="673342216"/>
            <w:rPr>
              <w:rFonts w:eastAsia="Times New Roman"/>
              <w:color w:val="000000"/>
            </w:rPr>
          </w:pPr>
          <w:r w:rsidRPr="00B43409">
            <w:rPr>
              <w:rFonts w:eastAsia="Times New Roman"/>
              <w:color w:val="000000"/>
            </w:rPr>
            <w:t>[21]</w:t>
          </w:r>
          <w:r w:rsidRPr="00B43409">
            <w:rPr>
              <w:rFonts w:eastAsia="Times New Roman"/>
              <w:color w:val="000000"/>
            </w:rPr>
            <w:tab/>
            <w:t>I.B. Mekjavic, M.E. Rempel, Determination of esophageal probe insertion length based on standing and sitting height, J. Appl. Physiol. 69 (1990) 376–379. https://doi.org/10.1152/jappl.1990.69.1.376.</w:t>
          </w:r>
        </w:p>
        <w:p w14:paraId="4BF4160F" w14:textId="77777777" w:rsidR="00B43409" w:rsidRPr="00B43409" w:rsidRDefault="00B43409">
          <w:pPr>
            <w:autoSpaceDE w:val="0"/>
            <w:autoSpaceDN w:val="0"/>
            <w:ind w:hanging="640"/>
            <w:divId w:val="227885187"/>
            <w:rPr>
              <w:rFonts w:eastAsia="Times New Roman"/>
              <w:color w:val="000000"/>
            </w:rPr>
          </w:pPr>
          <w:r w:rsidRPr="00B43409">
            <w:rPr>
              <w:rFonts w:eastAsia="Times New Roman"/>
              <w:color w:val="000000"/>
            </w:rPr>
            <w:t>[22]</w:t>
          </w:r>
          <w:r w:rsidRPr="00B43409">
            <w:rPr>
              <w:rFonts w:eastAsia="Times New Roman"/>
              <w:color w:val="000000"/>
            </w:rPr>
            <w:tab/>
            <w:t>S.M.C. Lee, W. Jon Williams, S.M. Fortney Schneider, Core temperature measurement during supine exercise: Esophageal, rectal, and intestinal temperatures, Aviat. Space Environ. Med. 71 (2000) 939–945.</w:t>
          </w:r>
        </w:p>
        <w:p w14:paraId="6DFF2B4B" w14:textId="77777777" w:rsidR="00B43409" w:rsidRPr="00B43409" w:rsidRDefault="00B43409">
          <w:pPr>
            <w:autoSpaceDE w:val="0"/>
            <w:autoSpaceDN w:val="0"/>
            <w:ind w:hanging="640"/>
            <w:divId w:val="1902708497"/>
            <w:rPr>
              <w:rFonts w:eastAsia="Times New Roman"/>
              <w:color w:val="000000"/>
            </w:rPr>
          </w:pPr>
          <w:r w:rsidRPr="00B43409">
            <w:rPr>
              <w:rFonts w:eastAsia="Times New Roman"/>
              <w:color w:val="000000"/>
            </w:rPr>
            <w:t>[23]</w:t>
          </w:r>
          <w:r w:rsidRPr="00B43409">
            <w:rPr>
              <w:rFonts w:eastAsia="Times New Roman"/>
              <w:color w:val="000000"/>
            </w:rPr>
            <w:tab/>
            <w:t>C. O’BRIEN, R.W. HOYT, M.J. BULLER, J.W. CASTELLANI, A.J. YOUNG, Telemetry pill measurement of core temperature in humans during active heating and cooling, Medicine &amp;amp Science in Sports &amp;amp Exercise 30 (1998) 468–472. https://doi.org/10.1097/00005768-199803000-00020.</w:t>
          </w:r>
        </w:p>
        <w:p w14:paraId="712CC106" w14:textId="77777777" w:rsidR="00B43409" w:rsidRPr="00B43409" w:rsidRDefault="00B43409">
          <w:pPr>
            <w:autoSpaceDE w:val="0"/>
            <w:autoSpaceDN w:val="0"/>
            <w:ind w:hanging="640"/>
            <w:divId w:val="1435008319"/>
            <w:rPr>
              <w:rFonts w:eastAsia="Times New Roman"/>
              <w:color w:val="000000"/>
            </w:rPr>
          </w:pPr>
          <w:r w:rsidRPr="00B43409">
            <w:rPr>
              <w:rFonts w:eastAsia="Times New Roman"/>
              <w:color w:val="000000"/>
            </w:rPr>
            <w:t>[24]</w:t>
          </w:r>
          <w:r w:rsidRPr="00B43409">
            <w:rPr>
              <w:rFonts w:eastAsia="Times New Roman"/>
              <w:color w:val="000000"/>
            </w:rPr>
            <w:tab/>
            <w:t>L.P.J. Teunissen, A. De Haan, J.J. De Koning, H.A.M. Daanen, Telemetry pill versus rectal and esophageal temperature during extreme rates of exercise-induced core temperature change, Physiol. Meas. 33 (2012) 915–924. https://doi.org/10.1088/0967-3334/33/6/915.</w:t>
          </w:r>
        </w:p>
        <w:p w14:paraId="5CF5E8DB" w14:textId="77777777" w:rsidR="00B43409" w:rsidRPr="00B43409" w:rsidRDefault="00B43409">
          <w:pPr>
            <w:autoSpaceDE w:val="0"/>
            <w:autoSpaceDN w:val="0"/>
            <w:ind w:hanging="640"/>
            <w:divId w:val="1799689581"/>
            <w:rPr>
              <w:rFonts w:eastAsia="Times New Roman"/>
              <w:color w:val="000000"/>
            </w:rPr>
          </w:pPr>
          <w:r w:rsidRPr="00B43409">
            <w:rPr>
              <w:rFonts w:eastAsia="Times New Roman"/>
              <w:color w:val="000000"/>
            </w:rPr>
            <w:t>[25]</w:t>
          </w:r>
          <w:r w:rsidRPr="00B43409">
            <w:rPr>
              <w:rFonts w:eastAsia="Times New Roman"/>
              <w:color w:val="000000"/>
            </w:rPr>
            <w:tab/>
            <w:t>C. Childs, R. Harrison, C. Hodkinson, Tympanic membrane temperature as a measure of core temperature, Arch. Dis. Child. 80 (1999) 262–266. https://doi.org/10.1136/adc.80.3.262.</w:t>
          </w:r>
        </w:p>
        <w:p w14:paraId="60F30621" w14:textId="77777777" w:rsidR="00B43409" w:rsidRPr="00B43409" w:rsidRDefault="00B43409">
          <w:pPr>
            <w:autoSpaceDE w:val="0"/>
            <w:autoSpaceDN w:val="0"/>
            <w:ind w:hanging="640"/>
            <w:divId w:val="580454237"/>
            <w:rPr>
              <w:rFonts w:eastAsia="Times New Roman"/>
              <w:color w:val="000000"/>
            </w:rPr>
          </w:pPr>
          <w:r w:rsidRPr="00B43409">
            <w:rPr>
              <w:rFonts w:eastAsia="Times New Roman"/>
              <w:color w:val="000000"/>
            </w:rPr>
            <w:t>[26]</w:t>
          </w:r>
          <w:r w:rsidRPr="00B43409">
            <w:rPr>
              <w:rFonts w:eastAsia="Times New Roman"/>
              <w:color w:val="000000"/>
            </w:rPr>
            <w:tab/>
            <w:t>D. Gagnon, B.B. Lemire, O. Jay, G.P. Kenny, Aural canal, esophageal, and rectal temperatures during exertional heat stress and the subsequent recovery period, J. Athl. Train. 45 (2010) 157–163. https://doi.org/10.4085/1062-6050-45.2.157.</w:t>
          </w:r>
        </w:p>
        <w:p w14:paraId="663F0165" w14:textId="77777777" w:rsidR="00B43409" w:rsidRPr="00B43409" w:rsidRDefault="00B43409">
          <w:pPr>
            <w:autoSpaceDE w:val="0"/>
            <w:autoSpaceDN w:val="0"/>
            <w:ind w:hanging="640"/>
            <w:divId w:val="555825122"/>
            <w:rPr>
              <w:rFonts w:eastAsia="Times New Roman"/>
              <w:color w:val="000000"/>
            </w:rPr>
          </w:pPr>
          <w:r w:rsidRPr="00B43409">
            <w:rPr>
              <w:rFonts w:eastAsia="Times New Roman"/>
              <w:color w:val="000000"/>
            </w:rPr>
            <w:t>[27]</w:t>
          </w:r>
          <w:r w:rsidRPr="00B43409">
            <w:rPr>
              <w:rFonts w:eastAsia="Times New Roman"/>
              <w:color w:val="000000"/>
            </w:rPr>
            <w:tab/>
            <w:t>K.I. Kitamura, X. Zhu, W. Chen, T. Nemoto, Development of a new method for the noninvasive measurement of deep body temperature without a heater, Med. Eng. Phys. 32 (2010) 1–6. https://doi.org/10.1016/j.medengphy.2009.09.004.</w:t>
          </w:r>
        </w:p>
        <w:p w14:paraId="1A255EA1" w14:textId="77777777" w:rsidR="00B43409" w:rsidRPr="00B43409" w:rsidRDefault="00B43409">
          <w:pPr>
            <w:autoSpaceDE w:val="0"/>
            <w:autoSpaceDN w:val="0"/>
            <w:ind w:hanging="640"/>
            <w:divId w:val="1295981882"/>
            <w:rPr>
              <w:rFonts w:eastAsia="Times New Roman"/>
              <w:color w:val="000000"/>
            </w:rPr>
          </w:pPr>
          <w:r w:rsidRPr="00B43409">
            <w:rPr>
              <w:rFonts w:eastAsia="Times New Roman"/>
              <w:color w:val="000000"/>
            </w:rPr>
            <w:t>[28]</w:t>
          </w:r>
          <w:r w:rsidRPr="00B43409">
            <w:rPr>
              <w:rFonts w:eastAsia="Times New Roman"/>
              <w:color w:val="000000"/>
            </w:rPr>
            <w:tab/>
            <w:t>A. Bräuer, A. Fazliu, T. Perl, D. Heise, K. Meissner, I.F. Brandes, Accuracy of zero-heat-flux thermometry and bladder temperature measurement in critically ill patients, Sci. Rep. 10 (2020) 1–7. https://doi.org/10.1038/s41598-020-78753-w.</w:t>
          </w:r>
        </w:p>
        <w:p w14:paraId="26ABFF49" w14:textId="77777777" w:rsidR="00B43409" w:rsidRPr="00B43409" w:rsidRDefault="00B43409">
          <w:pPr>
            <w:autoSpaceDE w:val="0"/>
            <w:autoSpaceDN w:val="0"/>
            <w:ind w:hanging="640"/>
            <w:divId w:val="766923451"/>
            <w:rPr>
              <w:rFonts w:eastAsia="Times New Roman"/>
              <w:color w:val="000000"/>
            </w:rPr>
          </w:pPr>
          <w:r w:rsidRPr="00B43409">
            <w:rPr>
              <w:rFonts w:eastAsia="Times New Roman"/>
              <w:color w:val="000000"/>
            </w:rPr>
            <w:t>[29]</w:t>
          </w:r>
          <w:r w:rsidRPr="00B43409">
            <w:rPr>
              <w:rFonts w:eastAsia="Times New Roman"/>
              <w:color w:val="000000"/>
            </w:rPr>
            <w:tab/>
            <w:t>J.Y. Lefrant, L. Muller, J. Emmanuel Coussaye, M. Benbabaali, C. Lebris, N. Zeitoun, C. Mari, G. Saïssi, J. Ripart, J.J. Eledjam, Temperature measurement in intensive care patients: Comparison of urinary bladder, oesophageal, rectal, axillary, and inguinal methods versus pulmonary artery core method, Intensive Care Med. 29 (2003) 414–418. https://doi.org/10.1007/s00134-002-1619-5.</w:t>
          </w:r>
        </w:p>
        <w:p w14:paraId="2F6D6139" w14:textId="77777777" w:rsidR="00B43409" w:rsidRPr="00B43409" w:rsidRDefault="00B43409">
          <w:pPr>
            <w:autoSpaceDE w:val="0"/>
            <w:autoSpaceDN w:val="0"/>
            <w:ind w:hanging="640"/>
            <w:divId w:val="1813402542"/>
            <w:rPr>
              <w:rFonts w:eastAsia="Times New Roman"/>
              <w:color w:val="000000"/>
            </w:rPr>
          </w:pPr>
          <w:r w:rsidRPr="00B43409">
            <w:rPr>
              <w:rFonts w:eastAsia="Times New Roman"/>
              <w:color w:val="000000"/>
            </w:rPr>
            <w:t>[30]</w:t>
          </w:r>
          <w:r w:rsidRPr="00B43409">
            <w:rPr>
              <w:rFonts w:eastAsia="Times New Roman"/>
              <w:color w:val="000000"/>
            </w:rPr>
            <w:tab/>
            <w:t>J. Robinson, J. Charlton, R. Seal, D. Spady, M.R. Joffres, Oesophageal, rectal, axillary, tympanic and pulmonary artery temperatures during cardiac surgery, Canadian Journal of Anaesthesia 45 (1998) 317–323. https://doi.org/10.1007/BF03012021.</w:t>
          </w:r>
        </w:p>
        <w:p w14:paraId="1237890C" w14:textId="77777777" w:rsidR="00B43409" w:rsidRPr="00B43409" w:rsidRDefault="00B43409">
          <w:pPr>
            <w:autoSpaceDE w:val="0"/>
            <w:autoSpaceDN w:val="0"/>
            <w:ind w:hanging="640"/>
            <w:divId w:val="254441605"/>
            <w:rPr>
              <w:rFonts w:eastAsia="Times New Roman"/>
              <w:color w:val="000000"/>
            </w:rPr>
          </w:pPr>
          <w:r w:rsidRPr="00B43409">
            <w:rPr>
              <w:rFonts w:eastAsia="Times New Roman"/>
              <w:color w:val="000000"/>
            </w:rPr>
            <w:t>[31]</w:t>
          </w:r>
          <w:r w:rsidRPr="00B43409">
            <w:rPr>
              <w:rFonts w:eastAsia="Times New Roman"/>
              <w:color w:val="000000"/>
            </w:rPr>
            <w:tab/>
            <w:t>P.B. Sparling, T.K. Snow, M.L. Millard-Stafford, Monitoring core temperature during exercise: Ingestible sensor vs. rectal thermistor, Aviat. Space Environ. Med. 64 (1993) 760–763.</w:t>
          </w:r>
        </w:p>
        <w:p w14:paraId="779153D1" w14:textId="77777777" w:rsidR="00B43409" w:rsidRPr="00B43409" w:rsidRDefault="00B43409">
          <w:pPr>
            <w:autoSpaceDE w:val="0"/>
            <w:autoSpaceDN w:val="0"/>
            <w:ind w:hanging="640"/>
            <w:divId w:val="1252592186"/>
            <w:rPr>
              <w:rFonts w:eastAsia="Times New Roman"/>
              <w:color w:val="000000"/>
            </w:rPr>
          </w:pPr>
          <w:r w:rsidRPr="00B43409">
            <w:rPr>
              <w:rFonts w:eastAsia="Times New Roman"/>
              <w:color w:val="000000"/>
            </w:rPr>
            <w:t>[32]</w:t>
          </w:r>
          <w:r w:rsidRPr="00B43409">
            <w:rPr>
              <w:rFonts w:eastAsia="Times New Roman"/>
              <w:color w:val="000000"/>
            </w:rPr>
            <w:tab/>
            <w:t>S.R. Notley, R.D. Meade, G.P. Kenny, Time following ingestion does not influence the validity of telemetry pill measurements of core temperature during exercise-heat stress: The journal Temperature toolbox, Temperature 8 (2021) 12–20. https://doi.org/10.1080/23328940.2020.1801119.</w:t>
          </w:r>
        </w:p>
        <w:p w14:paraId="1D497D8D" w14:textId="77777777" w:rsidR="00B43409" w:rsidRPr="00B43409" w:rsidRDefault="00B43409">
          <w:pPr>
            <w:autoSpaceDE w:val="0"/>
            <w:autoSpaceDN w:val="0"/>
            <w:ind w:hanging="640"/>
            <w:divId w:val="954679924"/>
            <w:rPr>
              <w:rFonts w:eastAsia="Times New Roman"/>
              <w:color w:val="000000"/>
            </w:rPr>
          </w:pPr>
          <w:r w:rsidRPr="00B43409">
            <w:rPr>
              <w:rFonts w:eastAsia="Times New Roman"/>
              <w:color w:val="000000"/>
            </w:rPr>
            <w:lastRenderedPageBreak/>
            <w:t>[33]</w:t>
          </w:r>
          <w:r w:rsidRPr="00B43409">
            <w:rPr>
              <w:rFonts w:eastAsia="Times New Roman"/>
              <w:color w:val="000000"/>
            </w:rPr>
            <w:tab/>
            <w:t>R. Huggins, N. Glaviano, N. Negishi, D.J. Casa, J. Hertel, Comparison of rectal and aural core body temperature thermometry in hyperthermic, exercising individuals: A meta-analysis, J. Athl. Train. 47 (2012) 329–338. https://doi.org/10.4085/1062-6050-47.3.09.</w:t>
          </w:r>
        </w:p>
        <w:p w14:paraId="2762512E" w14:textId="77777777" w:rsidR="00B43409" w:rsidRPr="00B43409" w:rsidRDefault="00B43409">
          <w:pPr>
            <w:autoSpaceDE w:val="0"/>
            <w:autoSpaceDN w:val="0"/>
            <w:ind w:hanging="640"/>
            <w:divId w:val="1789659949"/>
            <w:rPr>
              <w:rFonts w:eastAsia="Times New Roman"/>
              <w:color w:val="000000"/>
            </w:rPr>
          </w:pPr>
          <w:r w:rsidRPr="00B43409">
            <w:rPr>
              <w:rFonts w:eastAsia="Times New Roman"/>
              <w:color w:val="000000"/>
            </w:rPr>
            <w:t>[34]</w:t>
          </w:r>
          <w:r w:rsidRPr="00B43409">
            <w:rPr>
              <w:rFonts w:eastAsia="Times New Roman"/>
              <w:color w:val="000000"/>
            </w:rPr>
            <w:tab/>
            <w:t>J. V. Craig, G.A. Lancaster, S. Taylor, P.R. Williamson, R.L. Smyth, Infrared ear thermometry compared with rectal thermometry in children: A systematic review, Lancet 360 (2002) 603–609. https://doi.org/10.1016/S0140-6736(02)09783-0.</w:t>
          </w:r>
        </w:p>
        <w:p w14:paraId="01D12C14" w14:textId="77777777" w:rsidR="00B43409" w:rsidRPr="00B43409" w:rsidRDefault="00B43409">
          <w:pPr>
            <w:autoSpaceDE w:val="0"/>
            <w:autoSpaceDN w:val="0"/>
            <w:ind w:hanging="640"/>
            <w:divId w:val="827407680"/>
            <w:rPr>
              <w:rFonts w:eastAsia="Times New Roman"/>
              <w:color w:val="000000"/>
            </w:rPr>
          </w:pPr>
          <w:r w:rsidRPr="00B43409">
            <w:rPr>
              <w:rFonts w:eastAsia="Times New Roman"/>
              <w:color w:val="000000"/>
            </w:rPr>
            <w:t>[35]</w:t>
          </w:r>
          <w:r w:rsidRPr="00B43409">
            <w:rPr>
              <w:rFonts w:eastAsia="Times New Roman"/>
              <w:color w:val="000000"/>
            </w:rPr>
            <w:tab/>
            <w:t>C. Verheyden, A. Neyrinck, A. Laenen, S. Rex, E. Van Gerven, Clinical evaluation of a cutaneous zero-heat-flux thermometer during cardiac surgery, J. Clin. Monit. Comput. 36 (2022) 1279–1287. https://doi.org/10.1007/s10877-021-00758-1.</w:t>
          </w:r>
        </w:p>
        <w:p w14:paraId="5094B0FD" w14:textId="77777777" w:rsidR="00B43409" w:rsidRPr="00B43409" w:rsidRDefault="00B43409">
          <w:pPr>
            <w:autoSpaceDE w:val="0"/>
            <w:autoSpaceDN w:val="0"/>
            <w:ind w:hanging="640"/>
            <w:divId w:val="386027341"/>
            <w:rPr>
              <w:rFonts w:eastAsia="Times New Roman"/>
              <w:color w:val="000000"/>
            </w:rPr>
          </w:pPr>
          <w:r w:rsidRPr="00B43409">
            <w:rPr>
              <w:rFonts w:eastAsia="Times New Roman"/>
              <w:color w:val="000000"/>
            </w:rPr>
            <w:t>[36]</w:t>
          </w:r>
          <w:r w:rsidRPr="00B43409">
            <w:rPr>
              <w:rFonts w:eastAsia="Times New Roman"/>
              <w:color w:val="000000"/>
            </w:rPr>
            <w:tab/>
            <w:t>P.J. Agostinelli, B.A. Linder, K.A. Frick, N.C. Bordonie, F.K. Neal, J.E.M. Sefton, Validity of heart rate derived core temperature estimation during simulated firefighting tasks, Sci. Rep. 13 (2023) 1–11. https://doi.org/10.1038/s41598-023-49929-x.</w:t>
          </w:r>
        </w:p>
        <w:p w14:paraId="7356BCD1" w14:textId="77777777" w:rsidR="00B43409" w:rsidRPr="00B43409" w:rsidRDefault="00B43409">
          <w:pPr>
            <w:autoSpaceDE w:val="0"/>
            <w:autoSpaceDN w:val="0"/>
            <w:ind w:hanging="640"/>
            <w:divId w:val="1289043571"/>
            <w:rPr>
              <w:rFonts w:eastAsia="Times New Roman"/>
              <w:color w:val="000000"/>
            </w:rPr>
          </w:pPr>
          <w:r w:rsidRPr="00B43409">
            <w:rPr>
              <w:rFonts w:eastAsia="Times New Roman"/>
              <w:color w:val="000000"/>
            </w:rPr>
            <w:t>[37]</w:t>
          </w:r>
          <w:r w:rsidRPr="00B43409">
            <w:rPr>
              <w:rFonts w:eastAsia="Times New Roman"/>
              <w:color w:val="000000"/>
            </w:rPr>
            <w:tab/>
            <w:t>N. Verdel, T. Podlogar, U. Ciuha, H.C. Holmberg, T. Debevec, M. Supej, Reliability and validity of the core sensor to assess core body temperature during cycling exercise, Sensors 21 (2021) 1–13. https://doi.org/10.3390/s21175932.</w:t>
          </w:r>
        </w:p>
        <w:p w14:paraId="619685C6" w14:textId="77777777" w:rsidR="00B43409" w:rsidRPr="00B43409" w:rsidRDefault="00B43409">
          <w:pPr>
            <w:autoSpaceDE w:val="0"/>
            <w:autoSpaceDN w:val="0"/>
            <w:ind w:hanging="640"/>
            <w:divId w:val="1061439970"/>
            <w:rPr>
              <w:rFonts w:eastAsia="Times New Roman"/>
              <w:color w:val="000000"/>
            </w:rPr>
          </w:pPr>
          <w:r w:rsidRPr="00B43409">
            <w:rPr>
              <w:rFonts w:eastAsia="Times New Roman"/>
              <w:color w:val="000000"/>
            </w:rPr>
            <w:t>[38]</w:t>
          </w:r>
          <w:r w:rsidRPr="00B43409">
            <w:rPr>
              <w:rFonts w:eastAsia="Times New Roman"/>
              <w:color w:val="000000"/>
            </w:rPr>
            <w:tab/>
            <w:t>K. Kräuchi, How is the circadian rhythm of core body temperature regulated?, Clinical Autonomic Research 12 (2002) 147–149. https://doi.org/10.1007/s10286-002-0043-9.</w:t>
          </w:r>
        </w:p>
        <w:p w14:paraId="6696F3D7" w14:textId="77777777" w:rsidR="00B43409" w:rsidRPr="00B43409" w:rsidRDefault="00B43409">
          <w:pPr>
            <w:autoSpaceDE w:val="0"/>
            <w:autoSpaceDN w:val="0"/>
            <w:ind w:hanging="640"/>
            <w:divId w:val="1937207884"/>
            <w:rPr>
              <w:rFonts w:eastAsia="Times New Roman"/>
              <w:color w:val="000000"/>
            </w:rPr>
          </w:pPr>
          <w:r w:rsidRPr="00B43409">
            <w:rPr>
              <w:rFonts w:eastAsia="Times New Roman"/>
              <w:color w:val="000000"/>
            </w:rPr>
            <w:t>[39]</w:t>
          </w:r>
          <w:r w:rsidRPr="00B43409">
            <w:rPr>
              <w:rFonts w:eastAsia="Times New Roman"/>
              <w:color w:val="000000"/>
            </w:rPr>
            <w:tab/>
            <w:t>K. Kräuchi, A. Wirz-Justice, Circadian rhythm of heat production, heart rate , and skin and core temperature under unmasking conditions in men, Am. J. Physiol. 267 (1994) R819-29. https://doi.org/http://dx.doi.org/10.1152/ajpregu.1994.267.3.R819.</w:t>
          </w:r>
        </w:p>
        <w:p w14:paraId="4815630F" w14:textId="77777777" w:rsidR="00B43409" w:rsidRPr="00B43409" w:rsidRDefault="00B43409">
          <w:pPr>
            <w:autoSpaceDE w:val="0"/>
            <w:autoSpaceDN w:val="0"/>
            <w:ind w:hanging="640"/>
            <w:divId w:val="185679478"/>
            <w:rPr>
              <w:rFonts w:eastAsia="Times New Roman"/>
              <w:color w:val="000000"/>
            </w:rPr>
          </w:pPr>
          <w:r w:rsidRPr="00B43409">
            <w:rPr>
              <w:rFonts w:eastAsia="Times New Roman"/>
              <w:color w:val="000000"/>
            </w:rPr>
            <w:t>[40]</w:t>
          </w:r>
          <w:r w:rsidRPr="00B43409">
            <w:rPr>
              <w:rFonts w:eastAsia="Times New Roman"/>
              <w:color w:val="000000"/>
            </w:rPr>
            <w:tab/>
            <w:t>R. Refinetti, Analysis of the circadian rhythm of body temperature, Behavior Research Methods, Instruments, &amp; Computers 24 (1992) 28–36. https://doi.org/10.3758/BF03203466.</w:t>
          </w:r>
        </w:p>
        <w:p w14:paraId="77861C20" w14:textId="77777777" w:rsidR="00B43409" w:rsidRPr="00B43409" w:rsidRDefault="00B43409">
          <w:pPr>
            <w:autoSpaceDE w:val="0"/>
            <w:autoSpaceDN w:val="0"/>
            <w:ind w:hanging="640"/>
            <w:divId w:val="383717314"/>
            <w:rPr>
              <w:rFonts w:eastAsia="Times New Roman"/>
              <w:color w:val="000000"/>
            </w:rPr>
          </w:pPr>
          <w:r w:rsidRPr="00B43409">
            <w:rPr>
              <w:rFonts w:eastAsia="Times New Roman"/>
              <w:color w:val="000000"/>
            </w:rPr>
            <w:t>[41]</w:t>
          </w:r>
          <w:r w:rsidRPr="00B43409">
            <w:rPr>
              <w:rFonts w:eastAsia="Times New Roman"/>
              <w:color w:val="000000"/>
            </w:rPr>
            <w:tab/>
            <w:t>G. Kelly, Body temperature variability (Part 1): a review of the history of body temperature and its variability due to site selection, biological rhythms, fitness, and aging., Alternative Medicine Review 11 (2006) 278–293.</w:t>
          </w:r>
        </w:p>
        <w:p w14:paraId="6EF1E41E" w14:textId="77777777" w:rsidR="00B43409" w:rsidRPr="00B43409" w:rsidRDefault="00B43409">
          <w:pPr>
            <w:autoSpaceDE w:val="0"/>
            <w:autoSpaceDN w:val="0"/>
            <w:ind w:hanging="640"/>
            <w:divId w:val="1968464515"/>
            <w:rPr>
              <w:rFonts w:eastAsia="Times New Roman"/>
              <w:color w:val="000000"/>
            </w:rPr>
          </w:pPr>
          <w:r w:rsidRPr="00B43409">
            <w:rPr>
              <w:rFonts w:eastAsia="Times New Roman"/>
              <w:color w:val="000000"/>
            </w:rPr>
            <w:t>[42]</w:t>
          </w:r>
          <w:r w:rsidRPr="00B43409">
            <w:rPr>
              <w:rFonts w:eastAsia="Times New Roman"/>
              <w:color w:val="000000"/>
            </w:rPr>
            <w:tab/>
            <w:t>D.-J. Dijk, C. Cajochen, A.A. Borbély, Effect of a single 3-hour exposure to bright light on core body temperature and sleep in humans, Neurosci. Lett. 121 (1991) 59–62. https://doi.org/10.1016/0304-3940(91)90649-E.</w:t>
          </w:r>
        </w:p>
        <w:p w14:paraId="50C953B3" w14:textId="77777777" w:rsidR="00B43409" w:rsidRPr="00B43409" w:rsidRDefault="00B43409">
          <w:pPr>
            <w:autoSpaceDE w:val="0"/>
            <w:autoSpaceDN w:val="0"/>
            <w:ind w:hanging="640"/>
            <w:divId w:val="31539882"/>
            <w:rPr>
              <w:rFonts w:eastAsia="Times New Roman"/>
              <w:color w:val="000000"/>
            </w:rPr>
          </w:pPr>
          <w:r w:rsidRPr="00B43409">
            <w:rPr>
              <w:rFonts w:eastAsia="Times New Roman"/>
              <w:color w:val="000000"/>
            </w:rPr>
            <w:t>[43]</w:t>
          </w:r>
          <w:r w:rsidRPr="00B43409">
            <w:rPr>
              <w:rFonts w:eastAsia="Times New Roman"/>
              <w:color w:val="000000"/>
            </w:rPr>
            <w:tab/>
            <w:t>A. Elkounni, M. Vellei, J. Le Dréau, M. Schweiker, C. Inard, Acute effect of light and time of day on thermal physiology, perception, and behavior, Sci. Rep. 15 (2025) 38640. https://doi.org/10.1038/s41598-025-22542-w.</w:t>
          </w:r>
        </w:p>
        <w:p w14:paraId="569CDD28" w14:textId="77777777" w:rsidR="00B43409" w:rsidRPr="00B43409" w:rsidRDefault="00B43409">
          <w:pPr>
            <w:autoSpaceDE w:val="0"/>
            <w:autoSpaceDN w:val="0"/>
            <w:ind w:hanging="640"/>
            <w:divId w:val="788013463"/>
            <w:rPr>
              <w:rFonts w:eastAsia="Times New Roman"/>
              <w:color w:val="000000"/>
            </w:rPr>
          </w:pPr>
          <w:r w:rsidRPr="00B43409">
            <w:rPr>
              <w:rFonts w:eastAsia="Times New Roman"/>
              <w:color w:val="000000"/>
            </w:rPr>
            <w:t>[44]</w:t>
          </w:r>
          <w:r w:rsidRPr="00B43409">
            <w:rPr>
              <w:rFonts w:eastAsia="Times New Roman"/>
              <w:color w:val="000000"/>
            </w:rPr>
            <w:tab/>
            <w:t>J. Waalen, J.N. Buxbaum, Is Older Colder or Colder Older? The Association of Age With Body Temperature in 18,630 Individuals, J. Gerontol. A Biol. Sci. Med. Sci. 66A (2011) 487–492. https://doi.org/10.1093/gerona/glr001.</w:t>
          </w:r>
        </w:p>
        <w:p w14:paraId="5ADD2D48" w14:textId="77777777" w:rsidR="00B43409" w:rsidRPr="00B43409" w:rsidRDefault="00B43409">
          <w:pPr>
            <w:autoSpaceDE w:val="0"/>
            <w:autoSpaceDN w:val="0"/>
            <w:ind w:hanging="640"/>
            <w:divId w:val="660155739"/>
            <w:rPr>
              <w:rFonts w:eastAsia="Times New Roman"/>
              <w:color w:val="000000"/>
            </w:rPr>
          </w:pPr>
          <w:r w:rsidRPr="00B43409">
            <w:rPr>
              <w:rFonts w:eastAsia="Times New Roman"/>
              <w:color w:val="000000"/>
            </w:rPr>
            <w:t>[45]</w:t>
          </w:r>
          <w:r w:rsidRPr="00B43409">
            <w:rPr>
              <w:rFonts w:eastAsia="Times New Roman"/>
              <w:color w:val="000000"/>
            </w:rPr>
            <w:tab/>
            <w:t>A. Diamond, C.T. Lye, D. Prasad, D. Abbott, One size does not fit all: Assuming the same normal body temperature for everyone is not justified, PLoS One 16 (2021) 1–13. https://doi.org/10.1371/journal.pone.0245257.</w:t>
          </w:r>
        </w:p>
        <w:p w14:paraId="721F169E" w14:textId="77777777" w:rsidR="00B43409" w:rsidRPr="00B43409" w:rsidRDefault="00B43409">
          <w:pPr>
            <w:autoSpaceDE w:val="0"/>
            <w:autoSpaceDN w:val="0"/>
            <w:ind w:hanging="640"/>
            <w:divId w:val="1431855741"/>
            <w:rPr>
              <w:rFonts w:eastAsia="Times New Roman"/>
              <w:color w:val="000000"/>
            </w:rPr>
          </w:pPr>
          <w:r w:rsidRPr="00B43409">
            <w:rPr>
              <w:rFonts w:eastAsia="Times New Roman"/>
              <w:color w:val="000000"/>
            </w:rPr>
            <w:t>[46]</w:t>
          </w:r>
          <w:r w:rsidRPr="00B43409">
            <w:rPr>
              <w:rFonts w:eastAsia="Times New Roman"/>
              <w:color w:val="000000"/>
            </w:rPr>
            <w:tab/>
            <w:t>A. Debray, S. Sardar, T.A. Deshayes, A. Mornas, K. Oubouchou, Y. Ouazaa, D. Gagnon, Sex-related differences in temperature regulation during heat stress from childhood to older age, Autonomic Neuroscience 260 (2025) 103294. https://doi.org/10.1016/j.autneu.2025.103294.</w:t>
          </w:r>
        </w:p>
        <w:p w14:paraId="2DB3A815" w14:textId="77777777" w:rsidR="00B43409" w:rsidRPr="00B43409" w:rsidRDefault="00B43409">
          <w:pPr>
            <w:autoSpaceDE w:val="0"/>
            <w:autoSpaceDN w:val="0"/>
            <w:ind w:hanging="640"/>
            <w:divId w:val="1425882289"/>
            <w:rPr>
              <w:rFonts w:eastAsia="Times New Roman"/>
              <w:color w:val="000000"/>
            </w:rPr>
          </w:pPr>
          <w:r w:rsidRPr="00B43409">
            <w:rPr>
              <w:rFonts w:eastAsia="Times New Roman"/>
              <w:color w:val="000000"/>
            </w:rPr>
            <w:t>[47]</w:t>
          </w:r>
          <w:r w:rsidRPr="00B43409">
            <w:rPr>
              <w:rFonts w:eastAsia="Times New Roman"/>
              <w:color w:val="000000"/>
            </w:rPr>
            <w:tab/>
            <w:t>D. Gagnon, G.P. Kenny, Sex differences in thermoeffector responses during exercise at fixed requirements for heat loss, J. Appl. Physiol. 113 (2012) 746–757. https://doi.org/10.1152/japplphysiol.00637.2012.</w:t>
          </w:r>
        </w:p>
        <w:p w14:paraId="6043EAB2" w14:textId="77777777" w:rsidR="00B43409" w:rsidRPr="00B43409" w:rsidRDefault="00B43409">
          <w:pPr>
            <w:autoSpaceDE w:val="0"/>
            <w:autoSpaceDN w:val="0"/>
            <w:ind w:hanging="640"/>
            <w:divId w:val="2010522774"/>
            <w:rPr>
              <w:rFonts w:eastAsia="Times New Roman"/>
              <w:color w:val="000000"/>
            </w:rPr>
          </w:pPr>
          <w:r w:rsidRPr="00B43409">
            <w:rPr>
              <w:rFonts w:eastAsia="Times New Roman"/>
              <w:color w:val="000000"/>
            </w:rPr>
            <w:lastRenderedPageBreak/>
            <w:t>[48]</w:t>
          </w:r>
          <w:r w:rsidRPr="00B43409">
            <w:rPr>
              <w:rFonts w:eastAsia="Times New Roman"/>
              <w:color w:val="000000"/>
            </w:rPr>
            <w:tab/>
            <w:t>S. Dervis, G.B. Coombs, G.K. Chaseling, D. Filingeri, J. Smoljanic, O. Jay, A comparison of thermoregulatory responses to exercise between mass-matched groups with large differences in body fat, J. Appl. Physiol. 120 (2016) 615–623. https://doi.org/10.1152/japplphysiol.00906.2015.</w:t>
          </w:r>
        </w:p>
        <w:p w14:paraId="288F89EE" w14:textId="77777777" w:rsidR="00B43409" w:rsidRPr="00B43409" w:rsidRDefault="00B43409">
          <w:pPr>
            <w:autoSpaceDE w:val="0"/>
            <w:autoSpaceDN w:val="0"/>
            <w:ind w:hanging="640"/>
            <w:divId w:val="1090195133"/>
            <w:rPr>
              <w:rFonts w:eastAsia="Times New Roman"/>
              <w:color w:val="000000"/>
            </w:rPr>
          </w:pPr>
          <w:r w:rsidRPr="00B43409">
            <w:rPr>
              <w:rFonts w:eastAsia="Times New Roman"/>
              <w:color w:val="000000"/>
            </w:rPr>
            <w:t>[49]</w:t>
          </w:r>
          <w:r w:rsidRPr="00B43409">
            <w:rPr>
              <w:rFonts w:eastAsia="Times New Roman"/>
              <w:color w:val="000000"/>
            </w:rPr>
            <w:tab/>
            <w:t>T.H. Lei, S.R. Stannard, B.G. Perry, Z.J. Schlader, J.D. Cotter, T. Mündel, Influence of menstrual phase and arid vs. humid heat stress on autonomic and behavioural thermoregulation during exercise in trained but unacclimated women, Journal of Physiology 595 (2017) 2823–2837. https://doi.org/10.1113/JP273176.</w:t>
          </w:r>
        </w:p>
        <w:p w14:paraId="25AB2C14" w14:textId="77777777" w:rsidR="00B43409" w:rsidRPr="00B43409" w:rsidRDefault="00B43409">
          <w:pPr>
            <w:autoSpaceDE w:val="0"/>
            <w:autoSpaceDN w:val="0"/>
            <w:ind w:hanging="640"/>
            <w:divId w:val="677926833"/>
            <w:rPr>
              <w:rFonts w:eastAsia="Times New Roman"/>
              <w:color w:val="000000"/>
            </w:rPr>
          </w:pPr>
          <w:r w:rsidRPr="00B43409">
            <w:rPr>
              <w:rFonts w:eastAsia="Times New Roman"/>
              <w:color w:val="000000"/>
            </w:rPr>
            <w:t>[50]</w:t>
          </w:r>
          <w:r w:rsidRPr="00B43409">
            <w:rPr>
              <w:rFonts w:eastAsia="Times New Roman"/>
              <w:color w:val="000000"/>
            </w:rPr>
            <w:tab/>
            <w:t>G.E.W. Giersch, N. Charkoudian, Regulation of body temperature and blood pressure in women: Mechanisms and implications for heat illness risk, Exp. Physiol. 110 (2025) 196–199. https://doi.org/10.1113/EP091455.</w:t>
          </w:r>
        </w:p>
        <w:p w14:paraId="32C6D315" w14:textId="77777777" w:rsidR="00B43409" w:rsidRPr="00B43409" w:rsidRDefault="00B43409">
          <w:pPr>
            <w:autoSpaceDE w:val="0"/>
            <w:autoSpaceDN w:val="0"/>
            <w:ind w:hanging="640"/>
            <w:divId w:val="868371334"/>
            <w:rPr>
              <w:rFonts w:eastAsia="Times New Roman"/>
              <w:color w:val="000000"/>
            </w:rPr>
          </w:pPr>
          <w:r w:rsidRPr="00B43409">
            <w:rPr>
              <w:rFonts w:eastAsia="Times New Roman"/>
              <w:color w:val="000000"/>
            </w:rPr>
            <w:t>[51]</w:t>
          </w:r>
          <w:r w:rsidRPr="00B43409">
            <w:rPr>
              <w:rFonts w:eastAsia="Times New Roman"/>
              <w:color w:val="000000"/>
            </w:rPr>
            <w:tab/>
            <w:t>N. Charkoudian, N. Stachenfeld, Sex hormone effects on autonomic mechanisms of thermoregulation in humans, Auton. Neurosci. 196 (2016) 75–80. https://doi.org/10.1016/j.autneu.2015.11.004.</w:t>
          </w:r>
        </w:p>
        <w:p w14:paraId="109CA1FA" w14:textId="77777777" w:rsidR="00B43409" w:rsidRPr="00B43409" w:rsidRDefault="00B43409">
          <w:pPr>
            <w:autoSpaceDE w:val="0"/>
            <w:autoSpaceDN w:val="0"/>
            <w:ind w:hanging="640"/>
            <w:divId w:val="2062513408"/>
            <w:rPr>
              <w:rFonts w:eastAsia="Times New Roman"/>
              <w:color w:val="000000"/>
            </w:rPr>
          </w:pPr>
          <w:r w:rsidRPr="00B43409">
            <w:rPr>
              <w:rFonts w:eastAsia="Times New Roman"/>
              <w:color w:val="000000"/>
            </w:rPr>
            <w:t>[52]</w:t>
          </w:r>
          <w:r w:rsidRPr="00B43409">
            <w:rPr>
              <w:rFonts w:eastAsia="Times New Roman"/>
              <w:color w:val="000000"/>
            </w:rPr>
            <w:tab/>
            <w:t>L.A. Stephenson, M.A. Kolka, Thermoregulation in Women, Exerc. Sport Sci. Rev. 21 (1993) 231???262. https://doi.org/10.1249/00003677-199301000-00008.</w:t>
          </w:r>
        </w:p>
        <w:p w14:paraId="63FEA306" w14:textId="77777777" w:rsidR="00B43409" w:rsidRPr="00B43409" w:rsidRDefault="00B43409">
          <w:pPr>
            <w:autoSpaceDE w:val="0"/>
            <w:autoSpaceDN w:val="0"/>
            <w:ind w:hanging="640"/>
            <w:divId w:val="1179393206"/>
            <w:rPr>
              <w:rFonts w:eastAsia="Times New Roman"/>
              <w:color w:val="000000"/>
            </w:rPr>
          </w:pPr>
          <w:r w:rsidRPr="00B43409">
            <w:rPr>
              <w:rFonts w:eastAsia="Times New Roman"/>
              <w:color w:val="000000"/>
            </w:rPr>
            <w:t>[53]</w:t>
          </w:r>
          <w:r w:rsidRPr="00B43409">
            <w:rPr>
              <w:rFonts w:eastAsia="Times New Roman"/>
              <w:color w:val="000000"/>
            </w:rPr>
            <w:tab/>
            <w:t>F.C. Baker, D. Mitchell, H.S. Driver, Oral contraceptives alter sleep and raise body temperature in young women, Pflugers Arch. 442 (2001) 729–737. https://doi.org/10.1007/s004240100582.</w:t>
          </w:r>
        </w:p>
        <w:p w14:paraId="3AC107A7" w14:textId="77777777" w:rsidR="00B43409" w:rsidRPr="00B43409" w:rsidRDefault="00B43409">
          <w:pPr>
            <w:autoSpaceDE w:val="0"/>
            <w:autoSpaceDN w:val="0"/>
            <w:ind w:hanging="640"/>
            <w:divId w:val="1957633249"/>
            <w:rPr>
              <w:rFonts w:eastAsia="Times New Roman"/>
              <w:color w:val="000000"/>
            </w:rPr>
          </w:pPr>
          <w:r w:rsidRPr="00B43409">
            <w:rPr>
              <w:rFonts w:eastAsia="Times New Roman"/>
              <w:color w:val="000000"/>
            </w:rPr>
            <w:t>[54]</w:t>
          </w:r>
          <w:r w:rsidRPr="00B43409">
            <w:rPr>
              <w:rFonts w:eastAsia="Times New Roman"/>
              <w:color w:val="000000"/>
            </w:rPr>
            <w:tab/>
            <w:t>F.C. Baker, H.S. Driver, Circadian rhythms, sleep, and the menstrual cycle, Sleep Med. 8 (2007) 613–622. https://doi.org/10.1016/j.sleep.2006.09.011.</w:t>
          </w:r>
        </w:p>
        <w:p w14:paraId="1A4F6FC8" w14:textId="77777777" w:rsidR="00B43409" w:rsidRPr="00B43409" w:rsidRDefault="00B43409">
          <w:pPr>
            <w:autoSpaceDE w:val="0"/>
            <w:autoSpaceDN w:val="0"/>
            <w:ind w:hanging="640"/>
            <w:divId w:val="255017216"/>
            <w:rPr>
              <w:rFonts w:eastAsia="Times New Roman"/>
              <w:color w:val="000000"/>
            </w:rPr>
          </w:pPr>
          <w:r w:rsidRPr="00B43409">
            <w:rPr>
              <w:rFonts w:eastAsia="Times New Roman"/>
              <w:color w:val="000000"/>
            </w:rPr>
            <w:t>[55]</w:t>
          </w:r>
          <w:r w:rsidRPr="00B43409">
            <w:rPr>
              <w:rFonts w:eastAsia="Times New Roman"/>
              <w:color w:val="000000"/>
            </w:rPr>
            <w:tab/>
            <w:t>R.R. Freedman, Menopausal Related Hot flashes: Mechanisms, Endocrinology and Treatment, J Steroid Biochem Mol Biol 142 (2014) 115–120. https://doi.org/10.1016/j.jsbmb.2013.08.010.MENOPAUSAL.</w:t>
          </w:r>
        </w:p>
        <w:p w14:paraId="74800486" w14:textId="77777777" w:rsidR="00B43409" w:rsidRPr="00B43409" w:rsidRDefault="00B43409">
          <w:pPr>
            <w:autoSpaceDE w:val="0"/>
            <w:autoSpaceDN w:val="0"/>
            <w:ind w:hanging="640"/>
            <w:divId w:val="1762680861"/>
            <w:rPr>
              <w:rFonts w:eastAsia="Times New Roman"/>
              <w:color w:val="000000"/>
            </w:rPr>
          </w:pPr>
          <w:r w:rsidRPr="00B43409">
            <w:rPr>
              <w:rFonts w:eastAsia="Times New Roman"/>
              <w:color w:val="000000"/>
            </w:rPr>
            <w:t>[56]</w:t>
          </w:r>
          <w:r w:rsidRPr="00B43409">
            <w:rPr>
              <w:rFonts w:eastAsia="Times New Roman"/>
              <w:color w:val="000000"/>
            </w:rPr>
            <w:tab/>
            <w:t>N. Gupta, S.M. Frank, N. Ghoneim, H.K. El-Rahmany, M.A. Talamini, H.A. Zacur, S.N. Raja, Thermoregulation and hormone replacement in postmenopausal women, J. Therm. Biol. 25 (2000) 165–169. https://doi.org/10.1016/S0306-4565(99)00053-4.</w:t>
          </w:r>
        </w:p>
        <w:p w14:paraId="6E3A83B6" w14:textId="77777777" w:rsidR="00B43409" w:rsidRPr="00B43409" w:rsidRDefault="00B43409">
          <w:pPr>
            <w:autoSpaceDE w:val="0"/>
            <w:autoSpaceDN w:val="0"/>
            <w:ind w:hanging="640"/>
            <w:divId w:val="720717441"/>
            <w:rPr>
              <w:rFonts w:eastAsia="Times New Roman"/>
              <w:color w:val="000000"/>
            </w:rPr>
          </w:pPr>
          <w:r w:rsidRPr="00B43409">
            <w:rPr>
              <w:rFonts w:eastAsia="Times New Roman"/>
              <w:color w:val="000000"/>
            </w:rPr>
            <w:t>[57]</w:t>
          </w:r>
          <w:r w:rsidRPr="00B43409">
            <w:rPr>
              <w:rFonts w:eastAsia="Times New Roman"/>
              <w:color w:val="000000"/>
            </w:rPr>
            <w:tab/>
            <w:t>R.R. Freedman, W. Krell, Reduced thermoregulatory null zone in postmenopausal women with hot flashes, Am. J. Obstet. Gynecol. 181 (1999) 66–70. https://doi.org/10.1016/S0002-9378(99)70437-0.</w:t>
          </w:r>
        </w:p>
        <w:p w14:paraId="55DBC0D9" w14:textId="77777777" w:rsidR="00B43409" w:rsidRPr="00B43409" w:rsidRDefault="00B43409">
          <w:pPr>
            <w:autoSpaceDE w:val="0"/>
            <w:autoSpaceDN w:val="0"/>
            <w:ind w:hanging="640"/>
            <w:divId w:val="649140457"/>
            <w:rPr>
              <w:rFonts w:eastAsia="Times New Roman"/>
              <w:color w:val="000000"/>
            </w:rPr>
          </w:pPr>
          <w:r w:rsidRPr="00B43409">
            <w:rPr>
              <w:rFonts w:eastAsia="Times New Roman"/>
              <w:color w:val="000000"/>
            </w:rPr>
            <w:t>[58]</w:t>
          </w:r>
          <w:r w:rsidRPr="00B43409">
            <w:rPr>
              <w:rFonts w:eastAsia="Times New Roman"/>
              <w:color w:val="000000"/>
            </w:rPr>
            <w:tab/>
            <w:t>N.S. Stachenfeld, C. Silva, D.L. Keefe, Estrogen modifies the temperature effects of progesterone, J. Appl. Physiol. 88 (2000) 1643–1649. https://doi.org/10.1152/jappl.2000.88.5.1643.</w:t>
          </w:r>
        </w:p>
        <w:p w14:paraId="6A8215AD" w14:textId="77777777" w:rsidR="00B43409" w:rsidRPr="00B43409" w:rsidRDefault="00B43409">
          <w:pPr>
            <w:autoSpaceDE w:val="0"/>
            <w:autoSpaceDN w:val="0"/>
            <w:ind w:hanging="640"/>
            <w:divId w:val="1332879776"/>
            <w:rPr>
              <w:rFonts w:eastAsia="Times New Roman"/>
              <w:color w:val="000000"/>
            </w:rPr>
          </w:pPr>
          <w:r w:rsidRPr="00B43409">
            <w:rPr>
              <w:rFonts w:eastAsia="Times New Roman"/>
              <w:color w:val="000000"/>
            </w:rPr>
            <w:t>[59]</w:t>
          </w:r>
          <w:r w:rsidRPr="00B43409">
            <w:rPr>
              <w:rFonts w:eastAsia="Times New Roman"/>
              <w:color w:val="000000"/>
            </w:rPr>
            <w:tab/>
            <w:t>F.C. Baker, F. Siboza, A. Fuller, Temperature regulation in women: Effects of the menstrual cycle, Temperature 7 (2020) 226–262. https://doi.org/10.1080/23328940.2020.1735927.</w:t>
          </w:r>
        </w:p>
        <w:p w14:paraId="1B868DAE" w14:textId="77777777" w:rsidR="00B43409" w:rsidRPr="00B43409" w:rsidRDefault="00B43409">
          <w:pPr>
            <w:autoSpaceDE w:val="0"/>
            <w:autoSpaceDN w:val="0"/>
            <w:ind w:hanging="640"/>
            <w:divId w:val="1166482076"/>
            <w:rPr>
              <w:rFonts w:eastAsia="Times New Roman"/>
              <w:color w:val="000000"/>
            </w:rPr>
          </w:pPr>
          <w:r w:rsidRPr="00B43409">
            <w:rPr>
              <w:rFonts w:eastAsia="Times New Roman"/>
              <w:color w:val="000000"/>
            </w:rPr>
            <w:t>[60]</w:t>
          </w:r>
          <w:r w:rsidRPr="00B43409">
            <w:rPr>
              <w:rFonts w:eastAsia="Times New Roman"/>
              <w:color w:val="000000"/>
            </w:rPr>
            <w:tab/>
            <w:t>R.R. Freedman, C.M. Blacker, Estrogen raises the sweating threshold in postmenopausal women with hot flashes, Fertil. Steril. 77 (2002) 487–490. https://doi.org/10.1016/S0015-0282(01)03009-6.</w:t>
          </w:r>
        </w:p>
        <w:p w14:paraId="13F5FB0B" w14:textId="77777777" w:rsidR="00B43409" w:rsidRPr="00B43409" w:rsidRDefault="00B43409">
          <w:pPr>
            <w:autoSpaceDE w:val="0"/>
            <w:autoSpaceDN w:val="0"/>
            <w:ind w:hanging="640"/>
            <w:divId w:val="1670215482"/>
            <w:rPr>
              <w:rFonts w:eastAsia="Times New Roman"/>
              <w:color w:val="000000"/>
            </w:rPr>
          </w:pPr>
          <w:r w:rsidRPr="00B43409">
            <w:rPr>
              <w:rFonts w:eastAsia="Times New Roman"/>
              <w:color w:val="000000"/>
            </w:rPr>
            <w:t>[61]</w:t>
          </w:r>
          <w:r w:rsidRPr="00B43409">
            <w:rPr>
              <w:rFonts w:eastAsia="Times New Roman"/>
              <w:color w:val="000000"/>
            </w:rPr>
            <w:tab/>
            <w:t>M. Gombert-Labedens, K. Vesterdorf, A. Fuller, S.K. Maloney, F.C. Baker, Effects of menopause on temperature regulation, Temperature 12 (2025) 92–132. https://doi.org/10.1080/23328940.2025.2484499.</w:t>
          </w:r>
        </w:p>
        <w:p w14:paraId="5EAC9CA0" w14:textId="77777777" w:rsidR="00B43409" w:rsidRPr="00B43409" w:rsidRDefault="00B43409">
          <w:pPr>
            <w:autoSpaceDE w:val="0"/>
            <w:autoSpaceDN w:val="0"/>
            <w:ind w:hanging="640"/>
            <w:divId w:val="1434934369"/>
            <w:rPr>
              <w:rFonts w:eastAsia="Times New Roman"/>
              <w:color w:val="000000"/>
            </w:rPr>
          </w:pPr>
          <w:r w:rsidRPr="00B43409">
            <w:rPr>
              <w:rFonts w:eastAsia="Times New Roman"/>
              <w:color w:val="000000"/>
            </w:rPr>
            <w:t>[62]</w:t>
          </w:r>
          <w:r w:rsidRPr="00B43409">
            <w:rPr>
              <w:rFonts w:eastAsia="Times New Roman"/>
              <w:color w:val="000000"/>
            </w:rPr>
            <w:tab/>
            <w:t>W.L. Kenney, T.A. Munce, Aging and human temperature regulation, J. Appl. Physiol. 95 (2003) 2598–2603. https://doi.org/10.1152/japplphysiol.00202.2003.</w:t>
          </w:r>
        </w:p>
        <w:p w14:paraId="1F0198D8" w14:textId="77777777" w:rsidR="00B43409" w:rsidRPr="00B43409" w:rsidRDefault="00B43409">
          <w:pPr>
            <w:autoSpaceDE w:val="0"/>
            <w:autoSpaceDN w:val="0"/>
            <w:ind w:hanging="640"/>
            <w:divId w:val="7611085"/>
            <w:rPr>
              <w:rFonts w:eastAsia="Times New Roman"/>
              <w:color w:val="000000"/>
            </w:rPr>
          </w:pPr>
          <w:r w:rsidRPr="00B43409">
            <w:rPr>
              <w:rFonts w:eastAsia="Times New Roman"/>
              <w:color w:val="000000"/>
            </w:rPr>
            <w:t>[63]</w:t>
          </w:r>
          <w:r w:rsidRPr="00B43409">
            <w:rPr>
              <w:rFonts w:eastAsia="Times New Roman"/>
              <w:color w:val="000000"/>
            </w:rPr>
            <w:tab/>
            <w:t>J.D. Périard, T.M.H. Eijsvogels, H.A.M. Daanen, Exercise under heat stress: Thermoregulation, hydration, performance implications, and mitigation strategies, Physiol. Rev. 101 (2021) 1873–1979. https://doi.org/10.1152/physrev.00038.2020.</w:t>
          </w:r>
        </w:p>
        <w:p w14:paraId="1B514D78" w14:textId="77777777" w:rsidR="00B43409" w:rsidRPr="00B43409" w:rsidRDefault="00B43409">
          <w:pPr>
            <w:autoSpaceDE w:val="0"/>
            <w:autoSpaceDN w:val="0"/>
            <w:ind w:hanging="640"/>
            <w:divId w:val="1610969864"/>
            <w:rPr>
              <w:rFonts w:eastAsia="Times New Roman"/>
              <w:color w:val="000000"/>
            </w:rPr>
          </w:pPr>
          <w:r w:rsidRPr="00B43409">
            <w:rPr>
              <w:rFonts w:eastAsia="Times New Roman"/>
              <w:color w:val="000000"/>
            </w:rPr>
            <w:t>[64]</w:t>
          </w:r>
          <w:r w:rsidRPr="00B43409">
            <w:rPr>
              <w:rFonts w:eastAsia="Times New Roman"/>
              <w:color w:val="000000"/>
            </w:rPr>
            <w:tab/>
            <w:t>H.A.M. Daanen, S. Racinais, J.D. Périard, Heat Acclimation Decay and Re-Induction: A Systematic Review and Meta-Analysis, Sports Medicine 48 (2018) 409–430. https://doi.org/10.1007/s40279-017-0808-x.</w:t>
          </w:r>
        </w:p>
        <w:p w14:paraId="1915B483" w14:textId="77777777" w:rsidR="00B43409" w:rsidRPr="00B43409" w:rsidRDefault="00B43409">
          <w:pPr>
            <w:autoSpaceDE w:val="0"/>
            <w:autoSpaceDN w:val="0"/>
            <w:ind w:hanging="640"/>
            <w:divId w:val="827866481"/>
            <w:rPr>
              <w:rFonts w:eastAsia="Times New Roman"/>
              <w:color w:val="000000"/>
            </w:rPr>
          </w:pPr>
          <w:r w:rsidRPr="00B43409">
            <w:rPr>
              <w:rFonts w:eastAsia="Times New Roman"/>
              <w:color w:val="000000"/>
            </w:rPr>
            <w:lastRenderedPageBreak/>
            <w:t>[65]</w:t>
          </w:r>
          <w:r w:rsidRPr="00B43409">
            <w:rPr>
              <w:rFonts w:eastAsia="Times New Roman"/>
              <w:color w:val="000000"/>
            </w:rPr>
            <w:tab/>
            <w:t>A.T. Garrett, N.G. Goosens, N.G. Rehrer, M.J. Patterson, J.D. Cotter, Induction and decay of short-term heat acclimation, Eur. J. Appl. Physiol. 107 (2009) 659–670. https://doi.org/10.1007/s00421-009-1182-7.</w:t>
          </w:r>
        </w:p>
        <w:p w14:paraId="70BAB6BD" w14:textId="77777777" w:rsidR="00B43409" w:rsidRPr="00B43409" w:rsidRDefault="00B43409">
          <w:pPr>
            <w:autoSpaceDE w:val="0"/>
            <w:autoSpaceDN w:val="0"/>
            <w:ind w:hanging="640"/>
            <w:divId w:val="750393844"/>
            <w:rPr>
              <w:rFonts w:eastAsia="Times New Roman"/>
              <w:color w:val="000000"/>
            </w:rPr>
          </w:pPr>
          <w:r w:rsidRPr="00B43409">
            <w:rPr>
              <w:rFonts w:eastAsia="Times New Roman"/>
              <w:color w:val="000000"/>
            </w:rPr>
            <w:t>[66]</w:t>
          </w:r>
          <w:r w:rsidRPr="00B43409">
            <w:rPr>
              <w:rFonts w:eastAsia="Times New Roman"/>
              <w:color w:val="000000"/>
            </w:rPr>
            <w:tab/>
            <w:t>M.N. Sawka, S.J. Montain, W.A. Latzka, Hydration effects on thermoregulation and performance in the heat, Comparative Biochemistry and Physiology - A Molecular and Integrative Physiology 128 (2001) 679–690. https://doi.org/10.1016/S1095-6433(01)00274-4.</w:t>
          </w:r>
        </w:p>
        <w:p w14:paraId="460176DB" w14:textId="77777777" w:rsidR="00B43409" w:rsidRPr="00B43409" w:rsidRDefault="00B43409">
          <w:pPr>
            <w:autoSpaceDE w:val="0"/>
            <w:autoSpaceDN w:val="0"/>
            <w:ind w:hanging="640"/>
            <w:divId w:val="1244796389"/>
            <w:rPr>
              <w:rFonts w:eastAsia="Times New Roman"/>
              <w:color w:val="000000"/>
            </w:rPr>
          </w:pPr>
          <w:r w:rsidRPr="00B43409">
            <w:rPr>
              <w:rFonts w:eastAsia="Times New Roman"/>
              <w:color w:val="000000"/>
            </w:rPr>
            <w:t>[67]</w:t>
          </w:r>
          <w:r w:rsidRPr="00B43409">
            <w:rPr>
              <w:rFonts w:eastAsia="Times New Roman"/>
              <w:color w:val="000000"/>
            </w:rPr>
            <w:tab/>
            <w:t>K.R. Westerterp, Diet induced thermogenesis, Nutr. Metab. (Lond). 1 (2004) 1–5. https://doi.org/10.1186/1743-7075-1-5.</w:t>
          </w:r>
        </w:p>
        <w:p w14:paraId="413995B0" w14:textId="77777777" w:rsidR="00B43409" w:rsidRPr="00B43409" w:rsidRDefault="00B43409">
          <w:pPr>
            <w:autoSpaceDE w:val="0"/>
            <w:autoSpaceDN w:val="0"/>
            <w:ind w:hanging="640"/>
            <w:divId w:val="2058511537"/>
            <w:rPr>
              <w:rFonts w:eastAsia="Times New Roman"/>
              <w:color w:val="000000"/>
            </w:rPr>
          </w:pPr>
          <w:r w:rsidRPr="00B43409">
            <w:rPr>
              <w:rFonts w:eastAsia="Times New Roman"/>
              <w:color w:val="000000"/>
            </w:rPr>
            <w:t>[68]</w:t>
          </w:r>
          <w:r w:rsidRPr="00B43409">
            <w:rPr>
              <w:rFonts w:eastAsia="Times New Roman"/>
              <w:color w:val="000000"/>
            </w:rPr>
            <w:tab/>
            <w:t>E. Tzeravini, A. Tentolouris, A. Kokkinos, N. Tentolouris, N. Katsilambros, Diet induced thermogenesis, older and newer data with emphasis on obesity and diabetes mellitus - A narrative review, Metabol. Open 22 (2024) 100291. https://doi.org/10.1016/j.metop.2024.100291.</w:t>
          </w:r>
        </w:p>
        <w:p w14:paraId="59304A84" w14:textId="77777777" w:rsidR="00B43409" w:rsidRPr="00B43409" w:rsidRDefault="00B43409">
          <w:pPr>
            <w:autoSpaceDE w:val="0"/>
            <w:autoSpaceDN w:val="0"/>
            <w:ind w:hanging="640"/>
            <w:divId w:val="1527598813"/>
            <w:rPr>
              <w:rFonts w:eastAsia="Times New Roman"/>
              <w:color w:val="000000"/>
            </w:rPr>
          </w:pPr>
          <w:r w:rsidRPr="00B43409">
            <w:rPr>
              <w:rFonts w:eastAsia="Times New Roman"/>
              <w:color w:val="000000"/>
            </w:rPr>
            <w:t>[69]</w:t>
          </w:r>
          <w:r w:rsidRPr="00B43409">
            <w:rPr>
              <w:rFonts w:eastAsia="Times New Roman"/>
              <w:color w:val="000000"/>
            </w:rPr>
            <w:tab/>
            <w:t>S. Michlig, J.M. Merlini, M. Beaumont, M. Ledda, A. Tavenard, R. Mukherjee, S. Camacho, J. Le Coutre, Effects of TRP channel agonist ingestion on metabolism and autonomic nervous system in a randomized clinical trial of healthy subjects, Sci. Rep. 6 (2016) 1–12. https://doi.org/10.1038/srep20795.</w:t>
          </w:r>
        </w:p>
        <w:p w14:paraId="2CA79208" w14:textId="77777777" w:rsidR="00B43409" w:rsidRPr="00B43409" w:rsidRDefault="00B43409">
          <w:pPr>
            <w:autoSpaceDE w:val="0"/>
            <w:autoSpaceDN w:val="0"/>
            <w:ind w:hanging="640"/>
            <w:divId w:val="3362093"/>
            <w:rPr>
              <w:rFonts w:eastAsia="Times New Roman"/>
              <w:color w:val="000000"/>
            </w:rPr>
          </w:pPr>
          <w:r w:rsidRPr="00B43409">
            <w:rPr>
              <w:rFonts w:eastAsia="Times New Roman"/>
              <w:color w:val="000000"/>
            </w:rPr>
            <w:t>[70]</w:t>
          </w:r>
          <w:r w:rsidRPr="00B43409">
            <w:rPr>
              <w:rFonts w:eastAsia="Times New Roman"/>
              <w:color w:val="000000"/>
            </w:rPr>
            <w:tab/>
            <w:t>G.C. Donaldson, M. Scarborough, K. Mridha, L. Whelan, M. Caunce, W.R. Keatinge, Effect of posture on body temperature of young men in cold air, Eur. J. Appl. Physiol. Occup. Physiol. 73 (1996) 326–331. https://doi.org/10.1007/BF02425494.</w:t>
          </w:r>
        </w:p>
        <w:p w14:paraId="3399FBD9" w14:textId="77777777" w:rsidR="00B43409" w:rsidRPr="00B43409" w:rsidRDefault="00B43409">
          <w:pPr>
            <w:autoSpaceDE w:val="0"/>
            <w:autoSpaceDN w:val="0"/>
            <w:ind w:hanging="640"/>
            <w:divId w:val="108202540"/>
            <w:rPr>
              <w:rFonts w:eastAsia="Times New Roman"/>
              <w:color w:val="000000"/>
            </w:rPr>
          </w:pPr>
          <w:r w:rsidRPr="00B43409">
            <w:rPr>
              <w:rFonts w:eastAsia="Times New Roman"/>
              <w:color w:val="000000"/>
            </w:rPr>
            <w:t>[71]</w:t>
          </w:r>
          <w:r w:rsidRPr="00B43409">
            <w:rPr>
              <w:rFonts w:eastAsia="Times New Roman"/>
              <w:color w:val="000000"/>
            </w:rPr>
            <w:tab/>
            <w:t>P. Tikuisis, M.B. Ducharme, The effect of postural changes on body temperatures and heat balance, Eur. J. Appl. Physiol. Occup. Physiol. 72–72 (1996) 451–459. https://doi.org/10.1007/BF00242275.</w:t>
          </w:r>
        </w:p>
        <w:p w14:paraId="355F7D7D" w14:textId="77777777" w:rsidR="00B43409" w:rsidRPr="00B43409" w:rsidRDefault="00B43409">
          <w:pPr>
            <w:autoSpaceDE w:val="0"/>
            <w:autoSpaceDN w:val="0"/>
            <w:ind w:hanging="640"/>
            <w:divId w:val="2098478361"/>
            <w:rPr>
              <w:rFonts w:eastAsia="Times New Roman"/>
              <w:color w:val="000000"/>
            </w:rPr>
          </w:pPr>
          <w:r w:rsidRPr="00B43409">
            <w:rPr>
              <w:rFonts w:eastAsia="Times New Roman"/>
              <w:color w:val="000000"/>
            </w:rPr>
            <w:t>[72]</w:t>
          </w:r>
          <w:r w:rsidRPr="00B43409">
            <w:rPr>
              <w:rFonts w:eastAsia="Times New Roman"/>
              <w:color w:val="000000"/>
            </w:rPr>
            <w:tab/>
            <w:t>J. Taillard, P. Philip, O. Coste, P. Sagaspe, B. Bioulac, The circadian and homeostatic modulation of sleep pressure during wakefulness differs between morning and evening chronotypes, J. Sleep Res. 12 (2003) 275–282. https://doi.org/10.1046/j.0962-1105.2003.00369.x.</w:t>
          </w:r>
        </w:p>
        <w:p w14:paraId="2B5DED18" w14:textId="77777777" w:rsidR="00B43409" w:rsidRPr="00B43409" w:rsidRDefault="00B43409">
          <w:pPr>
            <w:autoSpaceDE w:val="0"/>
            <w:autoSpaceDN w:val="0"/>
            <w:ind w:hanging="640"/>
            <w:divId w:val="1026639746"/>
            <w:rPr>
              <w:rFonts w:eastAsia="Times New Roman"/>
              <w:color w:val="000000"/>
            </w:rPr>
          </w:pPr>
          <w:r w:rsidRPr="00B43409">
            <w:rPr>
              <w:rFonts w:eastAsia="Times New Roman"/>
              <w:color w:val="000000"/>
            </w:rPr>
            <w:t>[73]</w:t>
          </w:r>
          <w:r w:rsidRPr="00B43409">
            <w:rPr>
              <w:rFonts w:eastAsia="Times New Roman"/>
              <w:color w:val="000000"/>
            </w:rPr>
            <w:tab/>
            <w:t>E.K. Baehr, W. Revelle, C.I. Eastman, Individual differences in the phase and amplitude of the human circadian temperature rhythm: with an emphasis on morningness–eveningness, J. Sleep Res. 9 (2000) 117–127. https://doi.org/10.1046/j.1365-2869.2000.00196.x.</w:t>
          </w:r>
        </w:p>
        <w:p w14:paraId="4D5D6C89" w14:textId="77777777" w:rsidR="00B43409" w:rsidRPr="00B43409" w:rsidRDefault="00B43409">
          <w:pPr>
            <w:autoSpaceDE w:val="0"/>
            <w:autoSpaceDN w:val="0"/>
            <w:ind w:hanging="640"/>
            <w:divId w:val="1570577196"/>
            <w:rPr>
              <w:rFonts w:eastAsia="Times New Roman"/>
              <w:color w:val="000000"/>
            </w:rPr>
          </w:pPr>
          <w:r w:rsidRPr="00B43409">
            <w:rPr>
              <w:rFonts w:eastAsia="Times New Roman"/>
              <w:color w:val="000000"/>
            </w:rPr>
            <w:t>[74]</w:t>
          </w:r>
          <w:r w:rsidRPr="00B43409">
            <w:rPr>
              <w:rFonts w:eastAsia="Times New Roman"/>
              <w:color w:val="000000"/>
            </w:rPr>
            <w:tab/>
            <w:t>G.A. Kerkhof, H.P.A. Van Dongen, Morning-type and evening-type individuals differ in the phase position of their endogenous circadian oscillator, Neurosci. Lett. 218 (1996) 153–156. https://doi.org/10.1016/S0304-3940(96)13140-2.</w:t>
          </w:r>
        </w:p>
        <w:p w14:paraId="1419B42A" w14:textId="77777777" w:rsidR="00B43409" w:rsidRPr="00B43409" w:rsidRDefault="00B43409">
          <w:pPr>
            <w:autoSpaceDE w:val="0"/>
            <w:autoSpaceDN w:val="0"/>
            <w:ind w:hanging="640"/>
            <w:divId w:val="1753578878"/>
            <w:rPr>
              <w:rFonts w:eastAsia="Times New Roman"/>
              <w:color w:val="000000"/>
            </w:rPr>
          </w:pPr>
          <w:r w:rsidRPr="00B43409">
            <w:rPr>
              <w:rFonts w:eastAsia="Times New Roman"/>
              <w:color w:val="000000"/>
            </w:rPr>
            <w:t>[75]</w:t>
          </w:r>
          <w:r w:rsidRPr="00B43409">
            <w:rPr>
              <w:rFonts w:eastAsia="Times New Roman"/>
              <w:color w:val="000000"/>
            </w:rPr>
            <w:tab/>
            <w:t>M. Hibi, C. Kubota, T. Mizuno, S. Aritake, Y. Mitsui, M. Katashima, S. Uchida, Effect of shortened sleep on energy expenditure, core body temperature, and appetite: a human randomised crossover trial, Sci. Rep. 7 (2017) 39640. https://doi.org/10.1038/srep39640.</w:t>
          </w:r>
        </w:p>
        <w:p w14:paraId="3921746B" w14:textId="77777777" w:rsidR="00B43409" w:rsidRPr="00B43409" w:rsidRDefault="00B43409">
          <w:pPr>
            <w:autoSpaceDE w:val="0"/>
            <w:autoSpaceDN w:val="0"/>
            <w:ind w:hanging="640"/>
            <w:divId w:val="1648044639"/>
            <w:rPr>
              <w:rFonts w:eastAsia="Times New Roman"/>
              <w:color w:val="000000"/>
            </w:rPr>
          </w:pPr>
          <w:r w:rsidRPr="00B43409">
            <w:rPr>
              <w:rFonts w:eastAsia="Times New Roman"/>
              <w:color w:val="000000"/>
            </w:rPr>
            <w:t>[76]</w:t>
          </w:r>
          <w:r w:rsidRPr="00B43409">
            <w:rPr>
              <w:rFonts w:eastAsia="Times New Roman"/>
              <w:color w:val="000000"/>
            </w:rPr>
            <w:tab/>
            <w:t>L. Dell’Osso, L. Massoni, S. Battaglini, I.M. Cremone, C. Carmassi, B. Carpita, Biological correlates of altered circadian rhythms, autonomic functions and sleep problems in autism spectrum disorder, Ann. Gen. Psychiatry 21 (2022) 1–28. https://doi.org/10.1186/s12991-022-00390-6.</w:t>
          </w:r>
        </w:p>
        <w:p w14:paraId="537BF972" w14:textId="77777777" w:rsidR="00B43409" w:rsidRPr="00B43409" w:rsidRDefault="00B43409">
          <w:pPr>
            <w:autoSpaceDE w:val="0"/>
            <w:autoSpaceDN w:val="0"/>
            <w:ind w:hanging="640"/>
            <w:divId w:val="1284849940"/>
            <w:rPr>
              <w:rFonts w:eastAsia="Times New Roman"/>
              <w:color w:val="000000"/>
            </w:rPr>
          </w:pPr>
          <w:r w:rsidRPr="00B43409">
            <w:rPr>
              <w:rFonts w:eastAsia="Times New Roman"/>
              <w:color w:val="000000"/>
            </w:rPr>
            <w:t>[77]</w:t>
          </w:r>
          <w:r w:rsidRPr="00B43409">
            <w:rPr>
              <w:rFonts w:eastAsia="Times New Roman"/>
              <w:color w:val="000000"/>
            </w:rPr>
            <w:tab/>
            <w:t>Z. Wu, S. Huang, J. Zou, Q. Wang, M. Naveed, H. Bao, W. Wang, K. Fukunaga, F. Han, Autism spectrum disorder (ASD): Disturbance of the melatonin system and its implications, Biomedicine &amp; Pharmacotherapy 130 (2020) 110496. https://doi.org/10.1016/j.biopha.2020.110496.</w:t>
          </w:r>
        </w:p>
        <w:p w14:paraId="561D7CAE" w14:textId="77777777" w:rsidR="00B43409" w:rsidRPr="00B43409" w:rsidRDefault="00B43409">
          <w:pPr>
            <w:autoSpaceDE w:val="0"/>
            <w:autoSpaceDN w:val="0"/>
            <w:ind w:hanging="640"/>
            <w:divId w:val="1509835071"/>
            <w:rPr>
              <w:rFonts w:eastAsia="Times New Roman"/>
              <w:color w:val="000000"/>
            </w:rPr>
          </w:pPr>
          <w:r w:rsidRPr="00B43409">
            <w:rPr>
              <w:rFonts w:eastAsia="Times New Roman"/>
              <w:color w:val="000000"/>
            </w:rPr>
            <w:t>[78]</w:t>
          </w:r>
          <w:r w:rsidRPr="00B43409">
            <w:rPr>
              <w:rFonts w:eastAsia="Times New Roman"/>
              <w:color w:val="000000"/>
            </w:rPr>
            <w:tab/>
            <w:t>D.A. Rossignol, R.E. Frye, Melatonin in autism spectrum disorders: A systematic review and meta-analysis, Dev. Med. Child Neurol. 53 (2011) 783–792. https://doi.org/10.1111/j.1469-8749.2011.03980.x.</w:t>
          </w:r>
        </w:p>
        <w:p w14:paraId="4444F920" w14:textId="77777777" w:rsidR="00B43409" w:rsidRPr="00B43409" w:rsidRDefault="00B43409">
          <w:pPr>
            <w:autoSpaceDE w:val="0"/>
            <w:autoSpaceDN w:val="0"/>
            <w:ind w:hanging="640"/>
            <w:divId w:val="1227186079"/>
            <w:rPr>
              <w:rFonts w:eastAsia="Times New Roman"/>
              <w:color w:val="000000"/>
            </w:rPr>
          </w:pPr>
          <w:r w:rsidRPr="00B43409">
            <w:rPr>
              <w:rFonts w:eastAsia="Times New Roman"/>
              <w:color w:val="000000"/>
            </w:rPr>
            <w:t>[79]</w:t>
          </w:r>
          <w:r w:rsidRPr="00B43409">
            <w:rPr>
              <w:rFonts w:eastAsia="Times New Roman"/>
              <w:color w:val="000000"/>
            </w:rPr>
            <w:tab/>
            <w:t>M.A. Snitselaar, M.G. Smits, K.B. van der Heijden, J. Spijker, Sleep and Circadian Rhythmicity in Adult ADHD and the Effect of Stimulants: A Review of the Current Literature, J. Atten. Disord. 21 (2017) 14–26. https://doi.org/10.1177/1087054713479663.</w:t>
          </w:r>
        </w:p>
        <w:p w14:paraId="25161944" w14:textId="77777777" w:rsidR="00B43409" w:rsidRPr="00B43409" w:rsidRDefault="00B43409">
          <w:pPr>
            <w:autoSpaceDE w:val="0"/>
            <w:autoSpaceDN w:val="0"/>
            <w:ind w:hanging="640"/>
            <w:divId w:val="446971939"/>
            <w:rPr>
              <w:rFonts w:eastAsia="Times New Roman"/>
              <w:color w:val="000000"/>
            </w:rPr>
          </w:pPr>
          <w:r w:rsidRPr="00B43409">
            <w:rPr>
              <w:rFonts w:eastAsia="Times New Roman"/>
              <w:color w:val="000000"/>
            </w:rPr>
            <w:lastRenderedPageBreak/>
            <w:t>[80]</w:t>
          </w:r>
          <w:r w:rsidRPr="00B43409">
            <w:rPr>
              <w:rFonts w:eastAsia="Times New Roman"/>
              <w:color w:val="000000"/>
            </w:rPr>
            <w:tab/>
            <w:t>D. Bijlenga, E.J.W. Van Someren, R. Gruber, T.I. Bron, I.F. Kruithof, E.C.A. Spanbroek, J.J.S. Kooij, Body temperature, activity and melatonin profiles in adults with attention-deficit/hyperactivity disorder and delayed sleep: A case-control study, J. Sleep Res. 22 (2013) 607–616. https://doi.org/10.1111/jsr.12075.</w:t>
          </w:r>
        </w:p>
        <w:p w14:paraId="5BD41AF8" w14:textId="77777777" w:rsidR="00B43409" w:rsidRPr="00B43409" w:rsidRDefault="00B43409">
          <w:pPr>
            <w:autoSpaceDE w:val="0"/>
            <w:autoSpaceDN w:val="0"/>
            <w:ind w:hanging="640"/>
            <w:divId w:val="1076509495"/>
            <w:rPr>
              <w:rFonts w:eastAsia="Times New Roman"/>
              <w:color w:val="000000"/>
            </w:rPr>
          </w:pPr>
          <w:r w:rsidRPr="00B43409">
            <w:rPr>
              <w:rFonts w:eastAsia="Times New Roman"/>
              <w:color w:val="000000"/>
            </w:rPr>
            <w:t>[81]</w:t>
          </w:r>
          <w:r w:rsidRPr="00B43409">
            <w:rPr>
              <w:rFonts w:eastAsia="Times New Roman"/>
              <w:color w:val="000000"/>
            </w:rPr>
            <w:tab/>
            <w:t>K.A. Iwen, R. Oelkrug, G. Brabant, Effects of thyroid hormones on thermogenesis and energy partitioning, J. Mol. Endocrinol. 60 (2018) R157–R170. https://doi.org/10.1530/JME-17-0319.</w:t>
          </w:r>
        </w:p>
        <w:p w14:paraId="731B910E" w14:textId="77777777" w:rsidR="00B43409" w:rsidRPr="00B43409" w:rsidRDefault="00B43409">
          <w:pPr>
            <w:autoSpaceDE w:val="0"/>
            <w:autoSpaceDN w:val="0"/>
            <w:ind w:hanging="640"/>
            <w:divId w:val="1846090722"/>
            <w:rPr>
              <w:rFonts w:eastAsia="Times New Roman"/>
              <w:color w:val="000000"/>
            </w:rPr>
          </w:pPr>
          <w:r w:rsidRPr="00B43409">
            <w:rPr>
              <w:rFonts w:eastAsia="Times New Roman"/>
              <w:color w:val="000000"/>
            </w:rPr>
            <w:t>[82]</w:t>
          </w:r>
          <w:r w:rsidRPr="00B43409">
            <w:rPr>
              <w:rFonts w:eastAsia="Times New Roman"/>
              <w:color w:val="000000"/>
            </w:rPr>
            <w:tab/>
            <w:t>W.P. Cheshire, Thermoregulatory disorders and illness related to heat and cold stress, Auton. Neurosci. 196 (2016) 91–104. https://doi.org/10.1016/j.autneu.2016.01.001.</w:t>
          </w:r>
        </w:p>
        <w:p w14:paraId="0398B4AF" w14:textId="77777777" w:rsidR="00B43409" w:rsidRPr="00B43409" w:rsidRDefault="00B43409">
          <w:pPr>
            <w:autoSpaceDE w:val="0"/>
            <w:autoSpaceDN w:val="0"/>
            <w:ind w:hanging="640"/>
            <w:divId w:val="335688213"/>
            <w:rPr>
              <w:rFonts w:eastAsia="Times New Roman"/>
              <w:color w:val="000000"/>
            </w:rPr>
          </w:pPr>
          <w:r w:rsidRPr="00B43409">
            <w:rPr>
              <w:rFonts w:eastAsia="Times New Roman"/>
              <w:color w:val="000000"/>
            </w:rPr>
            <w:t>[83]</w:t>
          </w:r>
          <w:r w:rsidRPr="00B43409">
            <w:rPr>
              <w:rFonts w:eastAsia="Times New Roman"/>
              <w:color w:val="000000"/>
            </w:rPr>
            <w:tab/>
            <w:t>G.P. Kenny, R.J. Sigal, R. McGinn, Body temperature regulation in diabetes, Temperature 3 (2016) 119–145. https://doi.org/10.1080/23328940.2015.1131506.</w:t>
          </w:r>
        </w:p>
        <w:p w14:paraId="145854F3" w14:textId="77777777" w:rsidR="00B43409" w:rsidRPr="00B43409" w:rsidRDefault="00B43409">
          <w:pPr>
            <w:autoSpaceDE w:val="0"/>
            <w:autoSpaceDN w:val="0"/>
            <w:ind w:hanging="640"/>
            <w:divId w:val="1873106879"/>
            <w:rPr>
              <w:rFonts w:eastAsia="Times New Roman"/>
              <w:color w:val="000000"/>
            </w:rPr>
          </w:pPr>
          <w:r w:rsidRPr="00B43409">
            <w:rPr>
              <w:rFonts w:eastAsia="Times New Roman"/>
              <w:color w:val="000000"/>
            </w:rPr>
            <w:t>[84]</w:t>
          </w:r>
          <w:r w:rsidRPr="00B43409">
            <w:rPr>
              <w:rFonts w:eastAsia="Times New Roman"/>
              <w:color w:val="000000"/>
            </w:rPr>
            <w:tab/>
            <w:t>S.B. Rutkove, A. Veves, T. Mitsa, R. Nie, P.M. Fogerson, L.P. Garmirian, R.A. Nardin, Impaired distal thermoregulation in diabetes and diabetic polyneuropathy, Diabetes Care 32 (2009) 671–676. https://doi.org/10.2337/dc08-1844.</w:t>
          </w:r>
        </w:p>
        <w:p w14:paraId="1BBFAAAC" w14:textId="77777777" w:rsidR="00B43409" w:rsidRPr="00B43409" w:rsidRDefault="00B43409">
          <w:pPr>
            <w:autoSpaceDE w:val="0"/>
            <w:autoSpaceDN w:val="0"/>
            <w:ind w:hanging="640"/>
            <w:divId w:val="1196039725"/>
            <w:rPr>
              <w:rFonts w:eastAsia="Times New Roman"/>
              <w:color w:val="000000"/>
            </w:rPr>
          </w:pPr>
          <w:r w:rsidRPr="00B43409">
            <w:rPr>
              <w:rFonts w:eastAsia="Times New Roman"/>
              <w:color w:val="000000"/>
            </w:rPr>
            <w:t>[85]</w:t>
          </w:r>
          <w:r w:rsidRPr="00B43409">
            <w:rPr>
              <w:rFonts w:eastAsia="Times New Roman"/>
              <w:color w:val="000000"/>
            </w:rPr>
            <w:tab/>
            <w:t>G. Zhong, S. Bolitho, R. Grunstein, S.L. Naismith, S.J.G. Lewis, The Relationship between Thermoregulation and REM Sleep Behaviour Disorder in Parkinson’s Disease, PLoS One 8 (2013) e72661. https://doi.org/10.1371/journal.pone.0072661.</w:t>
          </w:r>
        </w:p>
        <w:p w14:paraId="23034B66" w14:textId="77777777" w:rsidR="00B43409" w:rsidRPr="00B43409" w:rsidRDefault="00B43409">
          <w:pPr>
            <w:autoSpaceDE w:val="0"/>
            <w:autoSpaceDN w:val="0"/>
            <w:ind w:hanging="640"/>
            <w:divId w:val="434063402"/>
            <w:rPr>
              <w:rFonts w:eastAsia="Times New Roman"/>
              <w:color w:val="000000"/>
            </w:rPr>
          </w:pPr>
          <w:r w:rsidRPr="00B43409">
            <w:rPr>
              <w:rFonts w:eastAsia="Times New Roman"/>
              <w:color w:val="000000"/>
            </w:rPr>
            <w:t>[86]</w:t>
          </w:r>
          <w:r w:rsidRPr="00B43409">
            <w:rPr>
              <w:rFonts w:eastAsia="Times New Roman"/>
              <w:color w:val="000000"/>
            </w:rPr>
            <w:tab/>
            <w:t>A.K. Karlsson, Autonomic dysfunction in spinal cord injury: Clinical presentation of symptoms and signs, Prog. Brain Res. 152 (2006) 1–8. https://doi.org/10.1016/S0079-6123(05)52034-X.</w:t>
          </w:r>
        </w:p>
        <w:p w14:paraId="50704366" w14:textId="77777777" w:rsidR="00B43409" w:rsidRPr="00B43409" w:rsidRDefault="00B43409">
          <w:pPr>
            <w:autoSpaceDE w:val="0"/>
            <w:autoSpaceDN w:val="0"/>
            <w:ind w:hanging="640"/>
            <w:divId w:val="2060977926"/>
            <w:rPr>
              <w:rFonts w:eastAsia="Times New Roman"/>
              <w:color w:val="000000"/>
            </w:rPr>
          </w:pPr>
          <w:r w:rsidRPr="00B43409">
            <w:rPr>
              <w:rFonts w:eastAsia="Times New Roman"/>
              <w:color w:val="000000"/>
            </w:rPr>
            <w:t>[87]</w:t>
          </w:r>
          <w:r w:rsidRPr="00B43409">
            <w:rPr>
              <w:rFonts w:eastAsia="Times New Roman"/>
              <w:color w:val="000000"/>
            </w:rPr>
            <w:tab/>
            <w:t>J.P. Handrakis, M. Trbovich, E.M. Hagen, M. Price, Thermodysregulation in persons with spinal cord injury: case series on use of the autonomic standards, Spinal Cord 3 (2017) 1–7. https://doi.org/10.1038/S41394-017-0026-7.</w:t>
          </w:r>
        </w:p>
        <w:p w14:paraId="7DD6747F" w14:textId="77777777" w:rsidR="00B43409" w:rsidRPr="00B43409" w:rsidRDefault="00B43409">
          <w:pPr>
            <w:autoSpaceDE w:val="0"/>
            <w:autoSpaceDN w:val="0"/>
            <w:ind w:hanging="640"/>
            <w:divId w:val="754015554"/>
            <w:rPr>
              <w:rFonts w:eastAsia="Times New Roman"/>
              <w:color w:val="000000"/>
            </w:rPr>
          </w:pPr>
          <w:r w:rsidRPr="00B43409">
            <w:rPr>
              <w:rFonts w:eastAsia="Times New Roman"/>
              <w:color w:val="000000"/>
            </w:rPr>
            <w:t>[88]</w:t>
          </w:r>
          <w:r w:rsidRPr="00B43409">
            <w:rPr>
              <w:rFonts w:eastAsia="Times New Roman"/>
              <w:color w:val="000000"/>
            </w:rPr>
            <w:tab/>
            <w:t>C. Byrne, C.L. Lim, The ingestible telemetric body core temperature sensor: A review of validity and exercise applications, Br. J. Sports Med. 41 (2007) 126–133. https://doi.org/10.1136/bjsm.2006.026344.</w:t>
          </w:r>
        </w:p>
        <w:p w14:paraId="2740212D" w14:textId="77777777" w:rsidR="00B43409" w:rsidRPr="00B43409" w:rsidRDefault="00B43409">
          <w:pPr>
            <w:autoSpaceDE w:val="0"/>
            <w:autoSpaceDN w:val="0"/>
            <w:ind w:hanging="640"/>
            <w:divId w:val="2120488537"/>
            <w:rPr>
              <w:rFonts w:eastAsia="Times New Roman"/>
              <w:color w:val="000000"/>
            </w:rPr>
          </w:pPr>
          <w:r w:rsidRPr="00B43409">
            <w:rPr>
              <w:rFonts w:eastAsia="Times New Roman"/>
              <w:color w:val="000000"/>
            </w:rPr>
            <w:t>[89]</w:t>
          </w:r>
          <w:r w:rsidRPr="00B43409">
            <w:rPr>
              <w:rFonts w:eastAsia="Times New Roman"/>
              <w:color w:val="000000"/>
            </w:rPr>
            <w:tab/>
            <w:t>A.P. Hunt, A.J.E. Bach, D.N. Borg, J.T. Costello, I.B. Stewart, The Systematic Bias of Ingestible Core Temperature Sensors Requires a Correction by Linear Regression, Front. Physiol. 8 (2017) 1–7. https://doi.org/10.3389/fphys.2017.00260.</w:t>
          </w:r>
        </w:p>
        <w:p w14:paraId="62458AB2" w14:textId="77777777" w:rsidR="00B43409" w:rsidRPr="00B43409" w:rsidRDefault="00B43409">
          <w:pPr>
            <w:autoSpaceDE w:val="0"/>
            <w:autoSpaceDN w:val="0"/>
            <w:ind w:hanging="640"/>
            <w:divId w:val="1715689747"/>
            <w:rPr>
              <w:rFonts w:eastAsia="Times New Roman"/>
              <w:color w:val="000000"/>
            </w:rPr>
          </w:pPr>
          <w:r w:rsidRPr="00B43409">
            <w:rPr>
              <w:rFonts w:eastAsia="Times New Roman"/>
              <w:color w:val="000000"/>
            </w:rPr>
            <w:t>[90]</w:t>
          </w:r>
          <w:r w:rsidRPr="00B43409">
            <w:rPr>
              <w:rFonts w:eastAsia="Times New Roman"/>
              <w:color w:val="000000"/>
            </w:rPr>
            <w:tab/>
            <w:t>C. Byrne, C.L. Lim, The ingestible telemetric body core temperature sensor: A review of validity and exercise applications, Br. J. Sports Med. 41 (2007) 126–133. https://doi.org/10.1136/bjsm.2006.026344.</w:t>
          </w:r>
        </w:p>
        <w:p w14:paraId="20E6B638" w14:textId="77777777" w:rsidR="00B43409" w:rsidRPr="00B43409" w:rsidRDefault="00B43409">
          <w:pPr>
            <w:autoSpaceDE w:val="0"/>
            <w:autoSpaceDN w:val="0"/>
            <w:ind w:hanging="640"/>
            <w:divId w:val="1417439095"/>
            <w:rPr>
              <w:rFonts w:eastAsia="Times New Roman"/>
              <w:color w:val="000000"/>
            </w:rPr>
          </w:pPr>
          <w:r w:rsidRPr="00B43409">
            <w:rPr>
              <w:rFonts w:eastAsia="Times New Roman"/>
              <w:color w:val="000000"/>
            </w:rPr>
            <w:t>[91]</w:t>
          </w:r>
          <w:r w:rsidRPr="00B43409">
            <w:rPr>
              <w:rFonts w:eastAsia="Times New Roman"/>
              <w:color w:val="000000"/>
            </w:rPr>
            <w:tab/>
            <w:t>R. Simpson, G. Machin, H. McEvoy, R. Rusby, Traceability and calibration in temperature measurement: a clinical necessity, J. Med. Eng. Technol. 30 (2006) 212–217. https://doi.org/10.1080/03091900600711530.</w:t>
          </w:r>
        </w:p>
        <w:p w14:paraId="4DE936DE" w14:textId="77777777" w:rsidR="00B43409" w:rsidRPr="00B43409" w:rsidRDefault="00B43409">
          <w:pPr>
            <w:autoSpaceDE w:val="0"/>
            <w:autoSpaceDN w:val="0"/>
            <w:ind w:hanging="640"/>
            <w:divId w:val="1312639315"/>
            <w:rPr>
              <w:rFonts w:eastAsia="Times New Roman"/>
              <w:color w:val="000000"/>
            </w:rPr>
          </w:pPr>
          <w:r w:rsidRPr="00B43409">
            <w:rPr>
              <w:rFonts w:eastAsia="Times New Roman"/>
              <w:color w:val="000000"/>
            </w:rPr>
            <w:t>[92]</w:t>
          </w:r>
          <w:r w:rsidRPr="00B43409">
            <w:rPr>
              <w:rFonts w:eastAsia="Times New Roman"/>
              <w:color w:val="000000"/>
            </w:rPr>
            <w:tab/>
            <w:t>C. O’Brien, R.W. Hoyt, M.J. Buller, J.W. Castellani, A.J. Young, Telemetry pill measurement of core temperature in humans during active heating and cooling, Med. Sci. Sports Exerc. 30 (1998) 468–472. https://doi.org/10.1097/00005768-199803000-00020.</w:t>
          </w:r>
        </w:p>
        <w:p w14:paraId="06EAC927" w14:textId="77777777" w:rsidR="00B43409" w:rsidRPr="00B43409" w:rsidRDefault="00B43409">
          <w:pPr>
            <w:autoSpaceDE w:val="0"/>
            <w:autoSpaceDN w:val="0"/>
            <w:ind w:hanging="640"/>
            <w:divId w:val="2058043893"/>
            <w:rPr>
              <w:rFonts w:eastAsia="Times New Roman"/>
              <w:color w:val="000000"/>
            </w:rPr>
          </w:pPr>
          <w:r w:rsidRPr="00B43409">
            <w:rPr>
              <w:rFonts w:eastAsia="Times New Roman"/>
              <w:color w:val="000000"/>
            </w:rPr>
            <w:t>[93]</w:t>
          </w:r>
          <w:r w:rsidRPr="00B43409">
            <w:rPr>
              <w:rFonts w:eastAsia="Times New Roman"/>
              <w:color w:val="000000"/>
            </w:rPr>
            <w:tab/>
            <w:t>C.C.W.G. Bongers, M.T.E. Hopman, T.M.H. Eijsvogels, Using an ingestible telemetric temperature pill to assess gastrointestinal temperature during exercise, Journal of Visualized Experiments 2015 (2015) 1–9. https://doi.org/10.3791/53258.</w:t>
          </w:r>
        </w:p>
        <w:p w14:paraId="7833A339" w14:textId="77777777" w:rsidR="00B43409" w:rsidRPr="00B43409" w:rsidRDefault="00B43409">
          <w:pPr>
            <w:autoSpaceDE w:val="0"/>
            <w:autoSpaceDN w:val="0"/>
            <w:ind w:hanging="640"/>
            <w:divId w:val="1178078426"/>
            <w:rPr>
              <w:rFonts w:eastAsia="Times New Roman"/>
              <w:color w:val="000000"/>
            </w:rPr>
          </w:pPr>
          <w:r w:rsidRPr="00B43409">
            <w:rPr>
              <w:rFonts w:eastAsia="Times New Roman"/>
              <w:color w:val="000000"/>
            </w:rPr>
            <w:t>[94]</w:t>
          </w:r>
          <w:r w:rsidRPr="00B43409">
            <w:rPr>
              <w:rFonts w:eastAsia="Times New Roman"/>
              <w:color w:val="000000"/>
            </w:rPr>
            <w:tab/>
            <w:t>C. Byrne, C.L. Lim, The ingestible telemetric body core temperature sensor: A review of validity and exercise applications, Br. J. Sports Med. 41 (2007) 126–133. https://doi.org/10.1136/bjsm.2006.026344.</w:t>
          </w:r>
        </w:p>
        <w:p w14:paraId="7009BB8A" w14:textId="77777777" w:rsidR="00B43409" w:rsidRPr="00B43409" w:rsidRDefault="00B43409">
          <w:pPr>
            <w:autoSpaceDE w:val="0"/>
            <w:autoSpaceDN w:val="0"/>
            <w:ind w:hanging="640"/>
            <w:divId w:val="326178390"/>
            <w:rPr>
              <w:rFonts w:eastAsia="Times New Roman"/>
              <w:color w:val="000000"/>
            </w:rPr>
          </w:pPr>
          <w:r w:rsidRPr="00B43409">
            <w:rPr>
              <w:rFonts w:eastAsia="Times New Roman"/>
              <w:color w:val="000000"/>
            </w:rPr>
            <w:t>[95]</w:t>
          </w:r>
          <w:r w:rsidRPr="00B43409">
            <w:rPr>
              <w:rFonts w:eastAsia="Times New Roman"/>
              <w:color w:val="000000"/>
            </w:rPr>
            <w:tab/>
            <w:t>C. Byrne, C.L. Lim, The ingestible telemetric body core temperature sensor: A review of validity and exercise applications, Br. J. Sports Med. 41 (2007) 126–133. https://doi.org/10.1136/bjsm.2006.026344.</w:t>
          </w:r>
        </w:p>
        <w:p w14:paraId="406C8476" w14:textId="77777777" w:rsidR="00B43409" w:rsidRPr="00B43409" w:rsidRDefault="00B43409">
          <w:pPr>
            <w:autoSpaceDE w:val="0"/>
            <w:autoSpaceDN w:val="0"/>
            <w:ind w:hanging="640"/>
            <w:divId w:val="608200437"/>
            <w:rPr>
              <w:rFonts w:eastAsia="Times New Roman"/>
              <w:color w:val="000000"/>
            </w:rPr>
          </w:pPr>
          <w:r w:rsidRPr="00B43409">
            <w:rPr>
              <w:rFonts w:eastAsia="Times New Roman"/>
              <w:color w:val="000000"/>
            </w:rPr>
            <w:lastRenderedPageBreak/>
            <w:t>[96]</w:t>
          </w:r>
          <w:r w:rsidRPr="00B43409">
            <w:rPr>
              <w:rFonts w:eastAsia="Times New Roman"/>
              <w:color w:val="000000"/>
            </w:rPr>
            <w:tab/>
            <w:t>P.A. Mackowiak, S.S. Wasserman, M.M. Levine, A Critical Appraisal of 98.6°F, the Upper Limit of the Normal Body Temperature, and Other Legacies of Carl Reinhold August Wunderlich, JAMA: The Journal of the American Medical Association 268 (1992) 1578–1580. https://doi.org/10.1001/jama.1992.03490120092034.</w:t>
          </w:r>
        </w:p>
        <w:p w14:paraId="1E2268ED" w14:textId="77777777" w:rsidR="00B43409" w:rsidRPr="00B43409" w:rsidRDefault="00B43409">
          <w:pPr>
            <w:autoSpaceDE w:val="0"/>
            <w:autoSpaceDN w:val="0"/>
            <w:ind w:hanging="640"/>
            <w:divId w:val="1012343550"/>
            <w:rPr>
              <w:rFonts w:eastAsia="Times New Roman"/>
              <w:color w:val="000000"/>
            </w:rPr>
          </w:pPr>
          <w:r w:rsidRPr="00B43409">
            <w:rPr>
              <w:rFonts w:eastAsia="Times New Roman"/>
              <w:color w:val="000000"/>
            </w:rPr>
            <w:t>[97]</w:t>
          </w:r>
          <w:r w:rsidRPr="00B43409">
            <w:rPr>
              <w:rFonts w:eastAsia="Times New Roman"/>
              <w:color w:val="000000"/>
            </w:rPr>
            <w:tab/>
            <w:t>N.R. Datta, D. Marder, S. Datta, A. Meister, E. Puric, E. Stutz, S. Rogers, B. Eberle, O. Timm, M. Staruch, O. Riesterer, S. Bodis, Quantification of thermal dose in moderate clinical hyperthermia with radiotherapy: a relook using temperature–time area under the curve (AUC), International Journal of Hyperthermia 38 (2021) 296–307. https://doi.org/10.1080/02656736.2021.1875060.</w:t>
          </w:r>
        </w:p>
        <w:p w14:paraId="29201F92" w14:textId="77777777" w:rsidR="00B43409" w:rsidRPr="00B43409" w:rsidRDefault="00B43409">
          <w:pPr>
            <w:autoSpaceDE w:val="0"/>
            <w:autoSpaceDN w:val="0"/>
            <w:ind w:hanging="640"/>
            <w:divId w:val="1664309631"/>
            <w:rPr>
              <w:rFonts w:eastAsia="Times New Roman"/>
              <w:color w:val="000000"/>
            </w:rPr>
          </w:pPr>
          <w:r w:rsidRPr="00B43409">
            <w:rPr>
              <w:rFonts w:eastAsia="Times New Roman"/>
              <w:color w:val="000000"/>
            </w:rPr>
            <w:t>[98]</w:t>
          </w:r>
          <w:r w:rsidRPr="00B43409">
            <w:rPr>
              <w:rFonts w:eastAsia="Times New Roman"/>
              <w:color w:val="000000"/>
            </w:rPr>
            <w:tab/>
            <w:t>E. Arens, H. Zhang, The skin’s role in human thermoregulation and comfort, in: Thermal and Moisture Transport in Fibrous Materials, Elsevier, 2006: pp. 560–602. https://doi.org/10.1533/9781845692261.3.560.</w:t>
          </w:r>
        </w:p>
        <w:p w14:paraId="5067E4DA" w14:textId="77777777" w:rsidR="00B43409" w:rsidRPr="00B43409" w:rsidRDefault="00B43409">
          <w:pPr>
            <w:autoSpaceDE w:val="0"/>
            <w:autoSpaceDN w:val="0"/>
            <w:ind w:hanging="640"/>
            <w:divId w:val="450705095"/>
            <w:rPr>
              <w:rFonts w:eastAsia="Times New Roman"/>
              <w:color w:val="000000"/>
            </w:rPr>
          </w:pPr>
          <w:r w:rsidRPr="00B43409">
            <w:rPr>
              <w:rFonts w:eastAsia="Times New Roman"/>
              <w:color w:val="000000"/>
            </w:rPr>
            <w:t>[99]</w:t>
          </w:r>
          <w:r w:rsidRPr="00B43409">
            <w:rPr>
              <w:rFonts w:eastAsia="Times New Roman"/>
              <w:color w:val="000000"/>
            </w:rPr>
            <w:tab/>
            <w:t>E.R. Nadel, J.W. Mitchell, J.A.J. Stolwijk, Differential thermal sensitivity in the human skin, Pflugers Arch. 340 (1973) 71–76. https://doi.org/10.1007/BF00592198.</w:t>
          </w:r>
        </w:p>
        <w:p w14:paraId="3CC35D9B" w14:textId="77777777" w:rsidR="00B43409" w:rsidRPr="00B43409" w:rsidRDefault="00B43409">
          <w:pPr>
            <w:autoSpaceDE w:val="0"/>
            <w:autoSpaceDN w:val="0"/>
            <w:ind w:hanging="640"/>
            <w:divId w:val="591279133"/>
            <w:rPr>
              <w:rFonts w:eastAsia="Times New Roman"/>
              <w:color w:val="000000"/>
            </w:rPr>
          </w:pPr>
          <w:r w:rsidRPr="00B43409">
            <w:rPr>
              <w:rFonts w:eastAsia="Times New Roman"/>
              <w:color w:val="000000"/>
            </w:rPr>
            <w:t>[100]</w:t>
          </w:r>
          <w:r w:rsidRPr="00B43409">
            <w:rPr>
              <w:rFonts w:eastAsia="Times New Roman"/>
              <w:color w:val="000000"/>
            </w:rPr>
            <w:tab/>
            <w:t>C.M.C. Jacquot, L. Schellen, B.R. Kingma, M.A. van Baak, W.D. Van Marken Lichtenbelt, Influence of thermophysiology on thermal behavior: The essentials of categorization, Physiol. Behav. 128 (2014) 180–187. https://doi.org/10.1016/j.physbeh.2014.01.025.</w:t>
          </w:r>
        </w:p>
        <w:p w14:paraId="2DEAD80E" w14:textId="77777777" w:rsidR="00B43409" w:rsidRPr="00B43409" w:rsidRDefault="00B43409">
          <w:pPr>
            <w:autoSpaceDE w:val="0"/>
            <w:autoSpaceDN w:val="0"/>
            <w:ind w:hanging="640"/>
            <w:divId w:val="1474133652"/>
            <w:rPr>
              <w:rFonts w:eastAsia="Times New Roman"/>
              <w:color w:val="000000"/>
            </w:rPr>
          </w:pPr>
          <w:r w:rsidRPr="00B43409">
            <w:rPr>
              <w:rFonts w:eastAsia="Times New Roman"/>
              <w:color w:val="000000"/>
            </w:rPr>
            <w:t>[101]</w:t>
          </w:r>
          <w:r w:rsidRPr="00B43409">
            <w:rPr>
              <w:rFonts w:eastAsia="Times New Roman"/>
              <w:color w:val="000000"/>
            </w:rPr>
            <w:tab/>
            <w:t>B.A. MacRae, S. Annaheim, C.M. Spengler, R.M. Rossi, Skin temperature measurement using contact thermometry: A systematic review of setup variables and their effects on measured values, Front. Physiol. 9 (2018) 1–24. https://doi.org/10.3389/fphys.2018.00029.</w:t>
          </w:r>
        </w:p>
        <w:p w14:paraId="256F5546" w14:textId="77777777" w:rsidR="00B43409" w:rsidRPr="00B43409" w:rsidRDefault="00B43409">
          <w:pPr>
            <w:autoSpaceDE w:val="0"/>
            <w:autoSpaceDN w:val="0"/>
            <w:ind w:hanging="640"/>
            <w:divId w:val="613244797"/>
            <w:rPr>
              <w:rFonts w:eastAsia="Times New Roman"/>
              <w:color w:val="000000"/>
            </w:rPr>
          </w:pPr>
          <w:r w:rsidRPr="00B43409">
            <w:rPr>
              <w:rFonts w:eastAsia="Times New Roman"/>
              <w:color w:val="000000"/>
            </w:rPr>
            <w:t>[102]</w:t>
          </w:r>
          <w:r w:rsidRPr="00B43409">
            <w:rPr>
              <w:rFonts w:eastAsia="Times New Roman"/>
              <w:color w:val="000000"/>
            </w:rPr>
            <w:tab/>
            <w:t>A. Psikuta, R. Niedermann, R.M. Rossi, Effect of ambient temperature and attachment method on surface temperature measurements, Int. J. Biometeorol. 58 (2014) 877–885. https://doi.org/10.1007/s00484-013-0669-4.</w:t>
          </w:r>
        </w:p>
        <w:p w14:paraId="3B271D25" w14:textId="77777777" w:rsidR="00B43409" w:rsidRPr="00B43409" w:rsidRDefault="00B43409">
          <w:pPr>
            <w:autoSpaceDE w:val="0"/>
            <w:autoSpaceDN w:val="0"/>
            <w:ind w:hanging="640"/>
            <w:divId w:val="1534077407"/>
            <w:rPr>
              <w:rFonts w:eastAsia="Times New Roman"/>
              <w:color w:val="000000"/>
            </w:rPr>
          </w:pPr>
          <w:r w:rsidRPr="00B43409">
            <w:rPr>
              <w:rFonts w:eastAsia="Times New Roman"/>
              <w:color w:val="000000"/>
            </w:rPr>
            <w:t>[103]</w:t>
          </w:r>
          <w:r w:rsidRPr="00B43409">
            <w:rPr>
              <w:rFonts w:eastAsia="Times New Roman"/>
              <w:color w:val="000000"/>
            </w:rPr>
            <w:tab/>
            <w:t>C.A. James, A.J. Richardson, P.W. Watt, N.S. Maxwell, Reliability and validity of skin temperature measurement by telemetry thermistors and a thermal camera during exercise in the heat, J. Therm. Biol. 45 (2014) 141–149. https://doi.org/10.1016/j.jtherbio.2014.08.010.</w:t>
          </w:r>
        </w:p>
        <w:p w14:paraId="6695EF8D" w14:textId="77777777" w:rsidR="00B43409" w:rsidRPr="00B43409" w:rsidRDefault="00B43409">
          <w:pPr>
            <w:autoSpaceDE w:val="0"/>
            <w:autoSpaceDN w:val="0"/>
            <w:ind w:hanging="640"/>
            <w:divId w:val="1090008251"/>
            <w:rPr>
              <w:rFonts w:eastAsia="Times New Roman"/>
              <w:color w:val="000000"/>
            </w:rPr>
          </w:pPr>
          <w:r w:rsidRPr="00B43409">
            <w:rPr>
              <w:rFonts w:eastAsia="Times New Roman"/>
              <w:color w:val="000000"/>
            </w:rPr>
            <w:t>[104]</w:t>
          </w:r>
          <w:r w:rsidRPr="00B43409">
            <w:rPr>
              <w:rFonts w:eastAsia="Times New Roman"/>
              <w:color w:val="000000"/>
            </w:rPr>
            <w:tab/>
            <w:t>W.D. van Marken Lichtenbelt, H.A.M. Daanen, L. Wouters, R. Fronczek, R.J.E.M. Raymann, N.M.W. Severens, E.J.W. Van Someren, Evaluation of wireless determination of skin temperature using iButtons, Physiol. Behav. 88 (2006) 489–497. https://doi.org/10.1016/j.physbeh.2006.04.026.</w:t>
          </w:r>
        </w:p>
        <w:p w14:paraId="2113EFA2" w14:textId="77777777" w:rsidR="00B43409" w:rsidRPr="00B43409" w:rsidRDefault="00B43409">
          <w:pPr>
            <w:autoSpaceDE w:val="0"/>
            <w:autoSpaceDN w:val="0"/>
            <w:ind w:hanging="640"/>
            <w:divId w:val="2049990907"/>
            <w:rPr>
              <w:rFonts w:eastAsia="Times New Roman"/>
              <w:color w:val="000000"/>
            </w:rPr>
          </w:pPr>
          <w:r w:rsidRPr="00B43409">
            <w:rPr>
              <w:rFonts w:eastAsia="Times New Roman"/>
              <w:color w:val="000000"/>
            </w:rPr>
            <w:t>[105]</w:t>
          </w:r>
          <w:r w:rsidRPr="00B43409">
            <w:rPr>
              <w:rFonts w:eastAsia="Times New Roman"/>
              <w:color w:val="000000"/>
            </w:rPr>
            <w:tab/>
            <w:t>M.J. Hasselberg, J. McMahon, K. Parker, The validity, reliability, and utility of the iButton® for measurement of body temperature circadian rhythms in sleep/wake research, Sleep Med. 14 (2013) 5–11. https://doi.org/10.1016/j.sleep.2010.12.011.</w:t>
          </w:r>
        </w:p>
        <w:p w14:paraId="14DCD38D" w14:textId="77777777" w:rsidR="00B43409" w:rsidRPr="00B43409" w:rsidRDefault="00B43409">
          <w:pPr>
            <w:autoSpaceDE w:val="0"/>
            <w:autoSpaceDN w:val="0"/>
            <w:ind w:hanging="640"/>
            <w:divId w:val="1049647214"/>
            <w:rPr>
              <w:rFonts w:eastAsia="Times New Roman"/>
              <w:color w:val="000000"/>
            </w:rPr>
          </w:pPr>
          <w:r w:rsidRPr="00B43409">
            <w:rPr>
              <w:rFonts w:eastAsia="Times New Roman"/>
              <w:color w:val="000000"/>
            </w:rPr>
            <w:t>[106]</w:t>
          </w:r>
          <w:r w:rsidRPr="00B43409">
            <w:rPr>
              <w:rFonts w:eastAsia="Times New Roman"/>
              <w:color w:val="000000"/>
            </w:rPr>
            <w:tab/>
            <w:t>A.D.H. Smith, D.R. Crabtree, J.L.J. Bilzon, N.P. Walsh, The validity of wireless iButtons® and thermistors for human skin temperature measurement, Physiol. Meas. 31 (2010) 95–114. https://doi.org/10.1088/0967-3334/31/1/007.</w:t>
          </w:r>
        </w:p>
        <w:p w14:paraId="76AC7673" w14:textId="77777777" w:rsidR="00B43409" w:rsidRPr="00B43409" w:rsidRDefault="00B43409">
          <w:pPr>
            <w:autoSpaceDE w:val="0"/>
            <w:autoSpaceDN w:val="0"/>
            <w:ind w:hanging="640"/>
            <w:divId w:val="643001050"/>
            <w:rPr>
              <w:rFonts w:eastAsia="Times New Roman"/>
              <w:color w:val="000000"/>
            </w:rPr>
          </w:pPr>
          <w:r w:rsidRPr="00B43409">
            <w:rPr>
              <w:rFonts w:eastAsia="Times New Roman"/>
              <w:color w:val="000000"/>
            </w:rPr>
            <w:t>[107]</w:t>
          </w:r>
          <w:r w:rsidRPr="00B43409">
            <w:rPr>
              <w:rFonts w:eastAsia="Times New Roman"/>
              <w:color w:val="000000"/>
            </w:rPr>
            <w:tab/>
            <w:t>A.J.E. Bach, I.B. Stewart, A.E. Disher, J.T. Costello, A comparison between conductive and infrared devices for measuring mean skin temperature at rest, during exercise in the heat, and recovery., PLoS One 10 (2015) e0117907. https://doi.org/10.1371/journal.pone.0117907.</w:t>
          </w:r>
        </w:p>
        <w:p w14:paraId="51491CC0" w14:textId="77777777" w:rsidR="00B43409" w:rsidRPr="00B43409" w:rsidRDefault="00B43409">
          <w:pPr>
            <w:autoSpaceDE w:val="0"/>
            <w:autoSpaceDN w:val="0"/>
            <w:ind w:hanging="640"/>
            <w:divId w:val="1494224839"/>
            <w:rPr>
              <w:rFonts w:eastAsia="Times New Roman"/>
              <w:color w:val="000000"/>
            </w:rPr>
          </w:pPr>
          <w:r w:rsidRPr="00B43409">
            <w:rPr>
              <w:rFonts w:eastAsia="Times New Roman"/>
              <w:color w:val="000000"/>
            </w:rPr>
            <w:t>[108]</w:t>
          </w:r>
          <w:r w:rsidRPr="00B43409">
            <w:rPr>
              <w:rFonts w:eastAsia="Times New Roman"/>
              <w:color w:val="000000"/>
            </w:rPr>
            <w:tab/>
            <w:t>M.J. Buono, A. Jechort, R. Marques, C. Smith, J. Welch, Comparison of infrared versus contact thermometry for measuring skin temperature during exercise in the heat, Physiol. Meas. 28 (2007) 855–859. https://doi.org/10.1088/0967-3334/28/8/008.</w:t>
          </w:r>
        </w:p>
        <w:p w14:paraId="7CE0DF11" w14:textId="77777777" w:rsidR="00B43409" w:rsidRPr="00B43409" w:rsidRDefault="00B43409">
          <w:pPr>
            <w:autoSpaceDE w:val="0"/>
            <w:autoSpaceDN w:val="0"/>
            <w:ind w:hanging="640"/>
            <w:divId w:val="1387484764"/>
            <w:rPr>
              <w:rFonts w:eastAsia="Times New Roman"/>
              <w:color w:val="000000"/>
            </w:rPr>
          </w:pPr>
          <w:r w:rsidRPr="00B43409">
            <w:rPr>
              <w:rFonts w:eastAsia="Times New Roman"/>
              <w:color w:val="000000"/>
            </w:rPr>
            <w:t>[109]</w:t>
          </w:r>
          <w:r w:rsidRPr="00B43409">
            <w:rPr>
              <w:rFonts w:eastAsia="Times New Roman"/>
              <w:color w:val="000000"/>
            </w:rPr>
            <w:tab/>
            <w:t>B.B. Lahiri, S. Bagavathiappan, T. Jayakumar, J. Philip, Medical applications of infrared thermography: A review, Infrared Phys. Technol. 55 (2012) 221–235. https://doi.org/10.1016/j.infrared.2012.03.007.</w:t>
          </w:r>
        </w:p>
        <w:p w14:paraId="59DA8FE7" w14:textId="77777777" w:rsidR="00B43409" w:rsidRPr="00B43409" w:rsidRDefault="00B43409">
          <w:pPr>
            <w:autoSpaceDE w:val="0"/>
            <w:autoSpaceDN w:val="0"/>
            <w:ind w:hanging="640"/>
            <w:divId w:val="1939561489"/>
            <w:rPr>
              <w:rFonts w:eastAsia="Times New Roman"/>
              <w:color w:val="000000"/>
            </w:rPr>
          </w:pPr>
          <w:r w:rsidRPr="00B43409">
            <w:rPr>
              <w:rFonts w:eastAsia="Times New Roman"/>
              <w:color w:val="000000"/>
            </w:rPr>
            <w:lastRenderedPageBreak/>
            <w:t>[110]</w:t>
          </w:r>
          <w:r w:rsidRPr="00B43409">
            <w:rPr>
              <w:rFonts w:eastAsia="Times New Roman"/>
              <w:color w:val="000000"/>
            </w:rPr>
            <w:tab/>
            <w:t>R.M.S.F. Almeida, E. Barreira, M.L. Simões, T.S.F. Sousa, Infrared Thermography to Evaluate Thermal Comfort under Controlled Ambient Conditions, Applied Sciences (Switzerland) 12 (2022). https://doi.org/10.3390/app122312105.</w:t>
          </w:r>
        </w:p>
        <w:p w14:paraId="30CF6D28" w14:textId="77777777" w:rsidR="00B43409" w:rsidRPr="00B43409" w:rsidRDefault="00B43409">
          <w:pPr>
            <w:autoSpaceDE w:val="0"/>
            <w:autoSpaceDN w:val="0"/>
            <w:ind w:hanging="640"/>
            <w:divId w:val="617490778"/>
            <w:rPr>
              <w:rFonts w:eastAsia="Times New Roman"/>
              <w:color w:val="000000"/>
            </w:rPr>
          </w:pPr>
          <w:r w:rsidRPr="00B43409">
            <w:rPr>
              <w:rFonts w:eastAsia="Times New Roman"/>
              <w:color w:val="000000"/>
            </w:rPr>
            <w:t>[111]</w:t>
          </w:r>
          <w:r w:rsidRPr="00B43409">
            <w:rPr>
              <w:rFonts w:eastAsia="Times New Roman"/>
              <w:color w:val="000000"/>
            </w:rPr>
            <w:tab/>
            <w:t>V. Bernard, E. Staffa, V. Mornstein, A. Bourek, Infrared camera assessment of skin surface temperature - Effect of emissivity, Physica Medica 29 (2013) 583–591. https://doi.org/10.1016/j.ejmp.2012.09.003.</w:t>
          </w:r>
        </w:p>
        <w:p w14:paraId="209B6203" w14:textId="77777777" w:rsidR="00B43409" w:rsidRPr="00B43409" w:rsidRDefault="00B43409">
          <w:pPr>
            <w:autoSpaceDE w:val="0"/>
            <w:autoSpaceDN w:val="0"/>
            <w:ind w:hanging="640"/>
            <w:divId w:val="2013677916"/>
            <w:rPr>
              <w:rFonts w:eastAsia="Times New Roman"/>
              <w:color w:val="000000"/>
            </w:rPr>
          </w:pPr>
          <w:r w:rsidRPr="00B43409">
            <w:rPr>
              <w:rFonts w:eastAsia="Times New Roman"/>
              <w:color w:val="000000"/>
            </w:rPr>
            <w:t>[112]</w:t>
          </w:r>
          <w:r w:rsidRPr="00B43409">
            <w:rPr>
              <w:rFonts w:eastAsia="Times New Roman"/>
              <w:color w:val="000000"/>
            </w:rPr>
            <w:tab/>
            <w:t>J.D. Hardy, E.F. Du Bois, G.F. Soderstrom, The Technic of Measuring Radiation and Convection, J. Nutr. 15 (1938) 461–475. https://doi.org/10.1093/jn/15.5.461.</w:t>
          </w:r>
        </w:p>
        <w:p w14:paraId="040BD5B3" w14:textId="77777777" w:rsidR="00B43409" w:rsidRPr="00B43409" w:rsidRDefault="00B43409">
          <w:pPr>
            <w:autoSpaceDE w:val="0"/>
            <w:autoSpaceDN w:val="0"/>
            <w:ind w:hanging="640"/>
            <w:divId w:val="714046912"/>
            <w:rPr>
              <w:rFonts w:eastAsia="Times New Roman"/>
              <w:color w:val="000000"/>
            </w:rPr>
          </w:pPr>
          <w:r w:rsidRPr="00B43409">
            <w:rPr>
              <w:rFonts w:eastAsia="Times New Roman"/>
              <w:color w:val="000000"/>
            </w:rPr>
            <w:t>[113]</w:t>
          </w:r>
          <w:r w:rsidRPr="00B43409">
            <w:rPr>
              <w:rFonts w:eastAsia="Times New Roman"/>
              <w:color w:val="000000"/>
            </w:rPr>
            <w:tab/>
            <w:t>E.R. Nadel, R.W. Bullard, J.A. Stolwijk, Importance of skin temperature in the regulation of sweating., J. Appl. Physiol. 31 (1971) 80–87. https://doi.org/10.1152/jappl.1971.31.1.80.</w:t>
          </w:r>
        </w:p>
        <w:p w14:paraId="5511E7E0" w14:textId="77777777" w:rsidR="00B43409" w:rsidRPr="00B43409" w:rsidRDefault="00B43409">
          <w:pPr>
            <w:autoSpaceDE w:val="0"/>
            <w:autoSpaceDN w:val="0"/>
            <w:ind w:hanging="640"/>
            <w:divId w:val="182479778"/>
            <w:rPr>
              <w:rFonts w:eastAsia="Times New Roman"/>
              <w:color w:val="000000"/>
            </w:rPr>
          </w:pPr>
          <w:r w:rsidRPr="00B43409">
            <w:rPr>
              <w:rFonts w:eastAsia="Times New Roman"/>
              <w:color w:val="000000"/>
            </w:rPr>
            <w:t>[114]</w:t>
          </w:r>
          <w:r w:rsidRPr="00B43409">
            <w:rPr>
              <w:rFonts w:eastAsia="Times New Roman"/>
              <w:color w:val="000000"/>
            </w:rPr>
            <w:tab/>
            <w:t>W. Song, F. Zhong, J.K. Calautit, J. Li, Exploring the role of skin temperature in thermal sensation and thermal comfort: A comprehensive review, Energy and Built Environment (2024). https://doi.org/10.1016/j.enbenv.2024.03.002.</w:t>
          </w:r>
        </w:p>
        <w:p w14:paraId="2AF970E4" w14:textId="77777777" w:rsidR="00B43409" w:rsidRPr="00B43409" w:rsidRDefault="00B43409">
          <w:pPr>
            <w:autoSpaceDE w:val="0"/>
            <w:autoSpaceDN w:val="0"/>
            <w:ind w:hanging="640"/>
            <w:divId w:val="488711790"/>
            <w:rPr>
              <w:rFonts w:eastAsia="Times New Roman"/>
              <w:color w:val="000000"/>
            </w:rPr>
          </w:pPr>
          <w:r w:rsidRPr="00B43409">
            <w:rPr>
              <w:rFonts w:eastAsia="Times New Roman"/>
              <w:color w:val="000000"/>
            </w:rPr>
            <w:t>[115]</w:t>
          </w:r>
          <w:r w:rsidRPr="00B43409">
            <w:rPr>
              <w:rFonts w:eastAsia="Times New Roman"/>
              <w:color w:val="000000"/>
            </w:rPr>
            <w:tab/>
            <w:t>W. Liu, Z. Lian, Q. Deng, Y. Liu, Evaluation of calculation methods of mean skin temperature for use in thermal comfort study, Build. Environ. 46 (2011) 478–488. https://doi.org/10.1016/j.buildenv.2010.08.011.</w:t>
          </w:r>
        </w:p>
        <w:p w14:paraId="3E6C9F9D" w14:textId="77777777" w:rsidR="00B43409" w:rsidRPr="00B43409" w:rsidRDefault="00B43409">
          <w:pPr>
            <w:autoSpaceDE w:val="0"/>
            <w:autoSpaceDN w:val="0"/>
            <w:ind w:hanging="640"/>
            <w:divId w:val="942613067"/>
            <w:rPr>
              <w:rFonts w:eastAsia="Times New Roman"/>
              <w:color w:val="000000"/>
            </w:rPr>
          </w:pPr>
          <w:r w:rsidRPr="00B43409">
            <w:rPr>
              <w:rFonts w:eastAsia="Times New Roman"/>
              <w:color w:val="000000"/>
            </w:rPr>
            <w:t>[116]</w:t>
          </w:r>
          <w:r w:rsidRPr="00B43409">
            <w:rPr>
              <w:rFonts w:eastAsia="Times New Roman"/>
              <w:color w:val="000000"/>
            </w:rPr>
            <w:tab/>
            <w:t>K. Kuwabara, T. Mochida, K. Nagano, K. Shimakura, Fundamental Study of Weighting Factors for Calculating Mean Skin Temperature, J. Hum. Environ. Syst. 9 (2006) 35–42. https://doi.org/10.1618/jhes.9.35.</w:t>
          </w:r>
        </w:p>
        <w:p w14:paraId="68341A22" w14:textId="77777777" w:rsidR="00B43409" w:rsidRPr="00B43409" w:rsidRDefault="00B43409">
          <w:pPr>
            <w:autoSpaceDE w:val="0"/>
            <w:autoSpaceDN w:val="0"/>
            <w:ind w:hanging="640"/>
            <w:divId w:val="285890411"/>
            <w:rPr>
              <w:rFonts w:eastAsia="Times New Roman"/>
              <w:color w:val="000000"/>
            </w:rPr>
          </w:pPr>
          <w:r w:rsidRPr="00B43409">
            <w:rPr>
              <w:rFonts w:eastAsia="Times New Roman"/>
              <w:color w:val="000000"/>
            </w:rPr>
            <w:t>[117]</w:t>
          </w:r>
          <w:r w:rsidRPr="00B43409">
            <w:rPr>
              <w:rFonts w:eastAsia="Times New Roman"/>
              <w:color w:val="000000"/>
            </w:rPr>
            <w:tab/>
            <w:t>C.-E.A. Winslow, L.P. Herrington, A.P. Gagge, A NEW METHOD OF PARTITIONAL CALORIMETRY, American Journal of Physiology-Legacy Content 116 (1936) 641–655. https://doi.org/10.1152/ajplegacy.1936.116.3.641.</w:t>
          </w:r>
        </w:p>
        <w:p w14:paraId="31DB6ADC" w14:textId="77777777" w:rsidR="00B43409" w:rsidRPr="00B43409" w:rsidRDefault="00B43409">
          <w:pPr>
            <w:autoSpaceDE w:val="0"/>
            <w:autoSpaceDN w:val="0"/>
            <w:ind w:hanging="640"/>
            <w:divId w:val="785855309"/>
            <w:rPr>
              <w:rFonts w:eastAsia="Times New Roman"/>
              <w:color w:val="000000"/>
            </w:rPr>
          </w:pPr>
          <w:r w:rsidRPr="00B43409">
            <w:rPr>
              <w:rFonts w:eastAsia="Times New Roman"/>
              <w:color w:val="000000"/>
            </w:rPr>
            <w:t>[118]</w:t>
          </w:r>
          <w:r w:rsidRPr="00B43409">
            <w:rPr>
              <w:rFonts w:eastAsia="Times New Roman"/>
              <w:color w:val="000000"/>
            </w:rPr>
            <w:tab/>
            <w:t>J.K. Choi, K. Miki, S. Sagawa, K. Shiraki, Evaluation of mean skin temperature formulas by infrared thermography, Int. J. Biometeorol. 41 (1997) 68–75. https://doi.org/10.1007/s004840050056.</w:t>
          </w:r>
        </w:p>
        <w:p w14:paraId="499F51F6" w14:textId="77777777" w:rsidR="00B43409" w:rsidRPr="00B43409" w:rsidRDefault="00B43409">
          <w:pPr>
            <w:autoSpaceDE w:val="0"/>
            <w:autoSpaceDN w:val="0"/>
            <w:ind w:hanging="640"/>
            <w:divId w:val="1079329623"/>
            <w:rPr>
              <w:rFonts w:eastAsia="Times New Roman"/>
              <w:color w:val="000000"/>
            </w:rPr>
          </w:pPr>
          <w:r w:rsidRPr="00B43409">
            <w:rPr>
              <w:rFonts w:eastAsia="Times New Roman"/>
              <w:color w:val="000000"/>
            </w:rPr>
            <w:t>[119]</w:t>
          </w:r>
          <w:r w:rsidRPr="00B43409">
            <w:rPr>
              <w:rFonts w:eastAsia="Times New Roman"/>
              <w:color w:val="000000"/>
            </w:rPr>
            <w:tab/>
            <w:t>K. Kräuchi, C. Cajochen, E. Werth, A. Wirz-Justice, Functional link between distal vasodilation and sleep-onset latency?, Am. J. Physiol. Regul. Integr. Comp. Physiol. 278 (2000) 741–748. https://doi.org/10.1152/ajpregu.2000.278.3.r741.</w:t>
          </w:r>
        </w:p>
        <w:p w14:paraId="0018349F" w14:textId="77777777" w:rsidR="00B43409" w:rsidRPr="00B43409" w:rsidRDefault="00B43409">
          <w:pPr>
            <w:autoSpaceDE w:val="0"/>
            <w:autoSpaceDN w:val="0"/>
            <w:ind w:hanging="640"/>
            <w:divId w:val="1264194376"/>
            <w:rPr>
              <w:rFonts w:eastAsia="Times New Roman"/>
              <w:color w:val="000000"/>
            </w:rPr>
          </w:pPr>
          <w:r w:rsidRPr="00B43409">
            <w:rPr>
              <w:rFonts w:eastAsia="Times New Roman"/>
              <w:color w:val="000000"/>
            </w:rPr>
            <w:t>[120]</w:t>
          </w:r>
          <w:r w:rsidRPr="00B43409">
            <w:rPr>
              <w:rFonts w:eastAsia="Times New Roman"/>
              <w:color w:val="000000"/>
            </w:rPr>
            <w:tab/>
            <w:t>S. Ioannou, P. Morris, H. Mercer, M. Baker, V. Gallese, V. Reddy, Proximity and gaze influences facial temperature: A thermal infrared imaging study, Front. Psychol. 5 (2014) 1–12. https://doi.org/10.3389/fpsyg.2014.00845.</w:t>
          </w:r>
        </w:p>
        <w:p w14:paraId="3BA75A9B" w14:textId="77777777" w:rsidR="00B43409" w:rsidRPr="00B43409" w:rsidRDefault="00B43409">
          <w:pPr>
            <w:autoSpaceDE w:val="0"/>
            <w:autoSpaceDN w:val="0"/>
            <w:ind w:hanging="640"/>
            <w:divId w:val="224805838"/>
            <w:rPr>
              <w:rFonts w:eastAsia="Times New Roman"/>
              <w:color w:val="000000"/>
            </w:rPr>
          </w:pPr>
          <w:r w:rsidRPr="00B43409">
            <w:rPr>
              <w:rFonts w:eastAsia="Times New Roman"/>
              <w:color w:val="000000"/>
            </w:rPr>
            <w:t>[121]</w:t>
          </w:r>
          <w:r w:rsidRPr="00B43409">
            <w:rPr>
              <w:rFonts w:eastAsia="Times New Roman"/>
              <w:color w:val="000000"/>
            </w:rPr>
            <w:tab/>
            <w:t>T.J. Kelechi, A. Good, M. Mueller, Agreement and repeatability of an infrared thermometer, J. Nurs. Meas. 19 (2011) 55–64. https://doi.org/10.1891/1061-3749.19.1.55.</w:t>
          </w:r>
        </w:p>
        <w:p w14:paraId="1E4BB18C" w14:textId="77777777" w:rsidR="00B43409" w:rsidRPr="00B43409" w:rsidRDefault="00B43409">
          <w:pPr>
            <w:autoSpaceDE w:val="0"/>
            <w:autoSpaceDN w:val="0"/>
            <w:ind w:hanging="640"/>
            <w:divId w:val="2088577271"/>
            <w:rPr>
              <w:rFonts w:eastAsia="Times New Roman"/>
              <w:color w:val="000000"/>
            </w:rPr>
          </w:pPr>
          <w:r w:rsidRPr="00B43409">
            <w:rPr>
              <w:rFonts w:eastAsia="Times New Roman"/>
              <w:color w:val="000000"/>
            </w:rPr>
            <w:t>[122]</w:t>
          </w:r>
          <w:r w:rsidRPr="00B43409">
            <w:rPr>
              <w:rFonts w:eastAsia="Times New Roman"/>
              <w:color w:val="000000"/>
            </w:rPr>
            <w:tab/>
            <w:t>B.A. MacRae, S. Annaheim, C.M. Spengler, R.M. Rossi, Skin temperature measurement using contact thermometry: A systematic review of setup variables and their effects on measured values, Front. Physiol. 9 (2018) 1–24. https://doi.org/10.3389/fphys.2018.00029.</w:t>
          </w:r>
        </w:p>
        <w:p w14:paraId="58E702AD" w14:textId="77777777" w:rsidR="00B43409" w:rsidRPr="00B43409" w:rsidRDefault="00B43409">
          <w:pPr>
            <w:autoSpaceDE w:val="0"/>
            <w:autoSpaceDN w:val="0"/>
            <w:ind w:hanging="640"/>
            <w:divId w:val="357125263"/>
            <w:rPr>
              <w:rFonts w:eastAsia="Times New Roman"/>
              <w:color w:val="000000"/>
            </w:rPr>
          </w:pPr>
          <w:r w:rsidRPr="00B43409">
            <w:rPr>
              <w:rFonts w:eastAsia="Times New Roman"/>
              <w:color w:val="000000"/>
            </w:rPr>
            <w:t>[123]</w:t>
          </w:r>
          <w:r w:rsidRPr="00B43409">
            <w:rPr>
              <w:rFonts w:eastAsia="Times New Roman"/>
              <w:color w:val="000000"/>
            </w:rPr>
            <w:tab/>
            <w:t>M.J. Buono, R.L. Ulrich, Comparison of mean skin temperature using “covered” versus “uncovered” contact thermistors, Physiol. Meas. 19 (1998) 297–300. https://doi.org/10.1088/0967-3334/19/2/016.</w:t>
          </w:r>
        </w:p>
        <w:p w14:paraId="315E973E" w14:textId="77777777" w:rsidR="00B43409" w:rsidRPr="00B43409" w:rsidRDefault="00B43409">
          <w:pPr>
            <w:autoSpaceDE w:val="0"/>
            <w:autoSpaceDN w:val="0"/>
            <w:ind w:hanging="640"/>
            <w:divId w:val="1843811786"/>
            <w:rPr>
              <w:rFonts w:eastAsia="Times New Roman"/>
              <w:color w:val="000000"/>
            </w:rPr>
          </w:pPr>
          <w:r w:rsidRPr="00B43409">
            <w:rPr>
              <w:rFonts w:eastAsia="Times New Roman"/>
              <w:color w:val="000000"/>
            </w:rPr>
            <w:t>[124]</w:t>
          </w:r>
          <w:r w:rsidRPr="00B43409">
            <w:rPr>
              <w:rFonts w:eastAsia="Times New Roman"/>
              <w:color w:val="000000"/>
            </w:rPr>
            <w:tab/>
            <w:t>A. Psikuta, R. Niedermann, R.M. Rossi, Effect of ambient temperature and attachment method on surface temperature measurements, Int. J. Biometeorol. 58 (2014) 877–885. https://doi.org/10.1007/s00484-013-0669-4.</w:t>
          </w:r>
        </w:p>
        <w:p w14:paraId="14DCEAAF" w14:textId="77777777" w:rsidR="00B43409" w:rsidRPr="00B43409" w:rsidRDefault="00B43409">
          <w:pPr>
            <w:autoSpaceDE w:val="0"/>
            <w:autoSpaceDN w:val="0"/>
            <w:ind w:hanging="640"/>
            <w:divId w:val="886141197"/>
            <w:rPr>
              <w:rFonts w:eastAsia="Times New Roman"/>
              <w:color w:val="000000"/>
            </w:rPr>
          </w:pPr>
          <w:r w:rsidRPr="00B43409">
            <w:rPr>
              <w:rFonts w:eastAsia="Times New Roman"/>
              <w:color w:val="000000"/>
            </w:rPr>
            <w:t>[125]</w:t>
          </w:r>
          <w:r w:rsidRPr="00B43409">
            <w:rPr>
              <w:rFonts w:eastAsia="Times New Roman"/>
              <w:color w:val="000000"/>
            </w:rPr>
            <w:tab/>
            <w:t>S.K.S. Boetcher, E.M. Sparrow, M. V. Dugay, Characteristics of direct-contact, skin-surface temperature sensors, Int. J. Heat Mass Transf. 52 (2009) 3799–3804. https://doi.org/10.1016/j.ijheatmasstransfer.2009.02.011.</w:t>
          </w:r>
        </w:p>
        <w:p w14:paraId="7A240826" w14:textId="77777777" w:rsidR="00B43409" w:rsidRPr="00B43409" w:rsidRDefault="00B43409">
          <w:pPr>
            <w:autoSpaceDE w:val="0"/>
            <w:autoSpaceDN w:val="0"/>
            <w:ind w:hanging="640"/>
            <w:divId w:val="570697291"/>
            <w:rPr>
              <w:rFonts w:eastAsia="Times New Roman"/>
              <w:color w:val="000000"/>
            </w:rPr>
          </w:pPr>
          <w:r w:rsidRPr="00B43409">
            <w:rPr>
              <w:rFonts w:eastAsia="Times New Roman"/>
              <w:color w:val="000000"/>
            </w:rPr>
            <w:lastRenderedPageBreak/>
            <w:t>[126]</w:t>
          </w:r>
          <w:r w:rsidRPr="00B43409">
            <w:rPr>
              <w:rFonts w:eastAsia="Times New Roman"/>
              <w:color w:val="000000"/>
            </w:rPr>
            <w:tab/>
            <w:t>M.J. Maley, A.P. Hunt, A.J. Bach, C.M. Eglin, J.T. Costello, Infrared cameras overestimate skin temperature during rewarming from cold exposure, J. Therm. Biol. 91 (2020) 102614. https://doi.org/10.1016/j.jtherbio.2020.102614.</w:t>
          </w:r>
        </w:p>
        <w:p w14:paraId="53598C12" w14:textId="77777777" w:rsidR="00B43409" w:rsidRPr="00B43409" w:rsidRDefault="00B43409">
          <w:pPr>
            <w:autoSpaceDE w:val="0"/>
            <w:autoSpaceDN w:val="0"/>
            <w:ind w:hanging="640"/>
            <w:divId w:val="538081575"/>
            <w:rPr>
              <w:rFonts w:eastAsia="Times New Roman"/>
              <w:color w:val="000000"/>
            </w:rPr>
          </w:pPr>
          <w:r w:rsidRPr="00B43409">
            <w:rPr>
              <w:rFonts w:eastAsia="Times New Roman"/>
              <w:color w:val="000000"/>
            </w:rPr>
            <w:t>[127]</w:t>
          </w:r>
          <w:r w:rsidRPr="00B43409">
            <w:rPr>
              <w:rFonts w:eastAsia="Times New Roman"/>
              <w:color w:val="000000"/>
            </w:rPr>
            <w:tab/>
            <w:t>T. Matsukawa, M. Ozaki, T. Nishiyama, M. Imamura, T. Kumazawa, Comparison of infrared thermometer with thermocouple for monitoring skin temperature, Crit. Care Med. 28 (2000) 532–536. https://doi.org/10.1097/00003246-200002000-00041.</w:t>
          </w:r>
        </w:p>
        <w:p w14:paraId="2D5F6888" w14:textId="77777777" w:rsidR="00B43409" w:rsidRPr="00B43409" w:rsidRDefault="00B43409">
          <w:pPr>
            <w:autoSpaceDE w:val="0"/>
            <w:autoSpaceDN w:val="0"/>
            <w:ind w:hanging="640"/>
            <w:divId w:val="905997594"/>
            <w:rPr>
              <w:rFonts w:eastAsia="Times New Roman"/>
              <w:color w:val="000000"/>
            </w:rPr>
          </w:pPr>
          <w:r w:rsidRPr="00B43409">
            <w:rPr>
              <w:rFonts w:eastAsia="Times New Roman"/>
              <w:color w:val="000000"/>
            </w:rPr>
            <w:t>[128]</w:t>
          </w:r>
          <w:r w:rsidRPr="00B43409">
            <w:rPr>
              <w:rFonts w:eastAsia="Times New Roman"/>
              <w:color w:val="000000"/>
            </w:rPr>
            <w:tab/>
            <w:t>A.J.E. Bach, I.B. Stewart, G.M. Minett, J.T. Costello, Does the technique employed for skin temperature assessment alter outcomes? A systematic review, Physiol. Meas. 36 (2015) R27–R51. https://doi.org/10.1088/0967-3334/36/9/R27.</w:t>
          </w:r>
        </w:p>
        <w:p w14:paraId="4039E2A7" w14:textId="77777777" w:rsidR="00B43409" w:rsidRPr="00B43409" w:rsidRDefault="00B43409">
          <w:pPr>
            <w:autoSpaceDE w:val="0"/>
            <w:autoSpaceDN w:val="0"/>
            <w:ind w:hanging="640"/>
            <w:divId w:val="201988149"/>
            <w:rPr>
              <w:rFonts w:eastAsia="Times New Roman"/>
              <w:color w:val="000000"/>
            </w:rPr>
          </w:pPr>
          <w:r w:rsidRPr="00B43409">
            <w:rPr>
              <w:rFonts w:eastAsia="Times New Roman"/>
              <w:color w:val="000000"/>
            </w:rPr>
            <w:t>[129]</w:t>
          </w:r>
          <w:r w:rsidRPr="00B43409">
            <w:rPr>
              <w:rFonts w:eastAsia="Times New Roman"/>
              <w:color w:val="000000"/>
            </w:rPr>
            <w:tab/>
            <w:t>I. Fernández-Cuevas, J.C. Bouzas Marins, J. Arnáiz Lastras, P.M. Gómez Carmona, S. Piñonosa Cano, M.Á. García-Concepción, M. Sillero-Quintana, Classification of factors influencing the use of infrared thermography in humans: A review, Infrared Phys. Technol. 71 (2015) 28–55. https://doi.org/10.1016/j.infrared.2015.02.007.</w:t>
          </w:r>
        </w:p>
        <w:p w14:paraId="07B8F1D2" w14:textId="77777777" w:rsidR="00B43409" w:rsidRPr="00B43409" w:rsidRDefault="00B43409">
          <w:pPr>
            <w:autoSpaceDE w:val="0"/>
            <w:autoSpaceDN w:val="0"/>
            <w:ind w:hanging="640"/>
            <w:divId w:val="1232547666"/>
            <w:rPr>
              <w:rFonts w:eastAsia="Times New Roman"/>
              <w:color w:val="000000"/>
            </w:rPr>
          </w:pPr>
          <w:r w:rsidRPr="00B43409">
            <w:rPr>
              <w:rFonts w:eastAsia="Times New Roman"/>
              <w:color w:val="000000"/>
            </w:rPr>
            <w:t>[130]</w:t>
          </w:r>
          <w:r w:rsidRPr="00B43409">
            <w:rPr>
              <w:rFonts w:eastAsia="Times New Roman"/>
              <w:color w:val="000000"/>
            </w:rPr>
            <w:tab/>
            <w:t>N. Maniar, A.J.E. Bach, I.B. Stewart, J.T. Costello, The effect of using different regions of interest on local and mean skin temperature, J. Therm. Biol. 49–50 (2015) 33–38. https://doi.org/10.1016/j.jtherbio.2015.01.008.</w:t>
          </w:r>
        </w:p>
        <w:p w14:paraId="5D21ADE6" w14:textId="77777777" w:rsidR="00B43409" w:rsidRPr="00B43409" w:rsidRDefault="00B43409">
          <w:pPr>
            <w:autoSpaceDE w:val="0"/>
            <w:autoSpaceDN w:val="0"/>
            <w:ind w:hanging="640"/>
            <w:divId w:val="89205959"/>
            <w:rPr>
              <w:rFonts w:eastAsia="Times New Roman"/>
              <w:color w:val="000000"/>
            </w:rPr>
          </w:pPr>
          <w:r w:rsidRPr="00B43409">
            <w:rPr>
              <w:rFonts w:eastAsia="Times New Roman"/>
              <w:color w:val="000000"/>
            </w:rPr>
            <w:t>[131]</w:t>
          </w:r>
          <w:r w:rsidRPr="00B43409">
            <w:rPr>
              <w:rFonts w:eastAsia="Times New Roman"/>
              <w:color w:val="000000"/>
            </w:rPr>
            <w:tab/>
            <w:t>D.G. Moreira, J.T. Costello, C.J. Brito, J.G. Adamczyk, K. Ammer, A.J.E. Bach, C.M.A. Costa, C. Eglin, A.A. Fernandes, I. Fernández-Cuevas, J.J.A. Ferreira, D. Formenti, D. Fournet, G. Havenith, K. Howell, A. Jung, G.P. Kenny, E.S. Kolosovas-Machuca, M.J. Maley, A. Merla, D.D. Pascoe, J.I. Priego Quesada, R.G. Schwartz, A.R.D. Seixas, J. Selfe, B.G. Vainer, M. Sillero-Quintana, Thermographic imaging in sports and exercise medicine: A Delphi study and consensus statement on the measurement of human skin temperature, J. Therm. Biol. 69 (2017) 155–162. https://doi.org/10.1016/j.jtherbio.2017.07.006.</w:t>
          </w:r>
        </w:p>
        <w:p w14:paraId="70193BA0" w14:textId="77777777" w:rsidR="00B43409" w:rsidRPr="00B43409" w:rsidRDefault="00B43409">
          <w:pPr>
            <w:autoSpaceDE w:val="0"/>
            <w:autoSpaceDN w:val="0"/>
            <w:ind w:hanging="640"/>
            <w:divId w:val="1721856389"/>
            <w:rPr>
              <w:rFonts w:eastAsia="Times New Roman"/>
              <w:color w:val="000000"/>
            </w:rPr>
          </w:pPr>
          <w:r w:rsidRPr="00B43409">
            <w:rPr>
              <w:rFonts w:eastAsia="Times New Roman"/>
              <w:color w:val="000000"/>
            </w:rPr>
            <w:t>[132]</w:t>
          </w:r>
          <w:r w:rsidRPr="00B43409">
            <w:rPr>
              <w:rFonts w:eastAsia="Times New Roman"/>
              <w:color w:val="000000"/>
            </w:rPr>
            <w:tab/>
            <w:t>M.J. Buono, R.L. Ulrich, Comparison of mean skin temperature using “covered” versus “uncovered” contact thermistors, Physiol. Meas. 19 (1998) 297–300. https://doi.org/10.1088/0967-3334/19/2/016.</w:t>
          </w:r>
        </w:p>
        <w:p w14:paraId="1311589F" w14:textId="77777777" w:rsidR="00B43409" w:rsidRPr="00B43409" w:rsidRDefault="00B43409">
          <w:pPr>
            <w:autoSpaceDE w:val="0"/>
            <w:autoSpaceDN w:val="0"/>
            <w:ind w:hanging="640"/>
            <w:divId w:val="997341459"/>
            <w:rPr>
              <w:rFonts w:eastAsia="Times New Roman"/>
              <w:color w:val="000000"/>
            </w:rPr>
          </w:pPr>
          <w:r w:rsidRPr="00B43409">
            <w:rPr>
              <w:rFonts w:eastAsia="Times New Roman"/>
              <w:color w:val="000000"/>
            </w:rPr>
            <w:t>[133]</w:t>
          </w:r>
          <w:r w:rsidRPr="00B43409">
            <w:rPr>
              <w:rFonts w:eastAsia="Times New Roman"/>
              <w:color w:val="000000"/>
            </w:rPr>
            <w:tab/>
            <w:t>S.S. Cheung, D.H. Sweeney, Influence of attachment method and clothing on skin temperature sensor accuracy, Med. Sci. Sports Exerc. 33 (2001) S161.</w:t>
          </w:r>
        </w:p>
        <w:p w14:paraId="1B818A08" w14:textId="77777777" w:rsidR="00B43409" w:rsidRPr="00B43409" w:rsidRDefault="00B43409">
          <w:pPr>
            <w:autoSpaceDE w:val="0"/>
            <w:autoSpaceDN w:val="0"/>
            <w:ind w:hanging="640"/>
            <w:divId w:val="735082169"/>
            <w:rPr>
              <w:rFonts w:eastAsia="Times New Roman"/>
              <w:color w:val="000000"/>
            </w:rPr>
          </w:pPr>
          <w:r w:rsidRPr="00B43409">
            <w:rPr>
              <w:rFonts w:eastAsia="Times New Roman"/>
              <w:color w:val="000000"/>
            </w:rPr>
            <w:t>[134]</w:t>
          </w:r>
          <w:r w:rsidRPr="00B43409">
            <w:rPr>
              <w:rFonts w:eastAsia="Times New Roman"/>
              <w:color w:val="000000"/>
            </w:rPr>
            <w:tab/>
            <w:t>K. Kräuchi, A. Wirz-Justice, Circadian clues to sleep onset mechanisms, Neuropsychopharmacology 25 (2001) S92–S96. https://doi.org/10.1016/S0893-133X(01)00315-3.</w:t>
          </w:r>
        </w:p>
        <w:p w14:paraId="53990635" w14:textId="77777777" w:rsidR="00B43409" w:rsidRPr="00B43409" w:rsidRDefault="00B43409">
          <w:pPr>
            <w:autoSpaceDE w:val="0"/>
            <w:autoSpaceDN w:val="0"/>
            <w:ind w:hanging="640"/>
            <w:divId w:val="1835757516"/>
            <w:rPr>
              <w:rFonts w:eastAsia="Times New Roman"/>
              <w:color w:val="000000"/>
            </w:rPr>
          </w:pPr>
          <w:r w:rsidRPr="00B43409">
            <w:rPr>
              <w:rFonts w:eastAsia="Times New Roman"/>
              <w:color w:val="000000"/>
            </w:rPr>
            <w:t>[135]</w:t>
          </w:r>
          <w:r w:rsidRPr="00B43409">
            <w:rPr>
              <w:rFonts w:eastAsia="Times New Roman"/>
              <w:color w:val="000000"/>
            </w:rPr>
            <w:tab/>
            <w:t>N. Abe, H. Kodama, Distal-proximal skin temperature gradient prior to sleep onset in infants for clinical use, Pediatrics International 57 (2015) 227–233. https://doi.org/10.1111/ped.12473.</w:t>
          </w:r>
        </w:p>
        <w:p w14:paraId="30900D06" w14:textId="77777777" w:rsidR="00B43409" w:rsidRPr="00B43409" w:rsidRDefault="00B43409">
          <w:pPr>
            <w:autoSpaceDE w:val="0"/>
            <w:autoSpaceDN w:val="0"/>
            <w:ind w:hanging="640"/>
            <w:divId w:val="1698659996"/>
            <w:rPr>
              <w:rFonts w:eastAsia="Times New Roman"/>
              <w:color w:val="000000"/>
            </w:rPr>
          </w:pPr>
          <w:r w:rsidRPr="00B43409">
            <w:rPr>
              <w:rFonts w:eastAsia="Times New Roman"/>
              <w:color w:val="000000"/>
            </w:rPr>
            <w:t>[136]</w:t>
          </w:r>
          <w:r w:rsidRPr="00B43409">
            <w:rPr>
              <w:rFonts w:eastAsia="Times New Roman"/>
              <w:color w:val="000000"/>
            </w:rPr>
            <w:tab/>
            <w:t>K. Kräuchi, C. Cajochen, E. Werth, A. Wirz-Justice, Warm feet promote the rapid onset of sleep, Nature 401 (1999) 36–37. https://doi.org/10.1038/43366.</w:t>
          </w:r>
        </w:p>
        <w:p w14:paraId="21507CFE" w14:textId="77777777" w:rsidR="00B43409" w:rsidRPr="00B43409" w:rsidRDefault="00B43409">
          <w:pPr>
            <w:autoSpaceDE w:val="0"/>
            <w:autoSpaceDN w:val="0"/>
            <w:ind w:hanging="640"/>
            <w:divId w:val="493447440"/>
            <w:rPr>
              <w:rFonts w:eastAsia="Times New Roman"/>
              <w:color w:val="000000"/>
            </w:rPr>
          </w:pPr>
          <w:r w:rsidRPr="00B43409">
            <w:rPr>
              <w:rFonts w:eastAsia="Times New Roman"/>
              <w:color w:val="000000"/>
            </w:rPr>
            <w:t>[137]</w:t>
          </w:r>
          <w:r w:rsidRPr="00B43409">
            <w:rPr>
              <w:rFonts w:eastAsia="Times New Roman"/>
              <w:color w:val="000000"/>
            </w:rPr>
            <w:tab/>
            <w:t>K. Kräuchi, C. Cajochen, A. Wirz-Justice, A relationship between heat loss and sleepiness: Effects of postural change and melatonin administration, J. Appl. Physiol. 83 (1997) 134–139. https://doi.org/10.1152/jappl.1997.83.1.134.</w:t>
          </w:r>
        </w:p>
        <w:p w14:paraId="27D7DFA3" w14:textId="77777777" w:rsidR="00B43409" w:rsidRPr="00B43409" w:rsidRDefault="00B43409">
          <w:pPr>
            <w:autoSpaceDE w:val="0"/>
            <w:autoSpaceDN w:val="0"/>
            <w:ind w:hanging="640"/>
            <w:divId w:val="1248878678"/>
            <w:rPr>
              <w:rFonts w:eastAsia="Times New Roman"/>
              <w:color w:val="000000"/>
            </w:rPr>
          </w:pPr>
          <w:r w:rsidRPr="00B43409">
            <w:rPr>
              <w:rFonts w:eastAsia="Times New Roman"/>
              <w:color w:val="000000"/>
            </w:rPr>
            <w:t>[138]</w:t>
          </w:r>
          <w:r w:rsidRPr="00B43409">
            <w:rPr>
              <w:rFonts w:eastAsia="Times New Roman"/>
              <w:color w:val="000000"/>
            </w:rPr>
            <w:tab/>
            <w:t>T.G. Brooks, N.F. Lahens, G.R. Grant, Y.I. Sheline, G.A. FitzGerald, C. Skarke, Diurnal rhythms of wrist temperature are associated with future disease risk in the UK Biobank, Nat. Commun. 14 (2023) 5172. https://doi.org/10.1038/s41467-023-40977-5.</w:t>
          </w:r>
        </w:p>
        <w:p w14:paraId="1FAB2F02" w14:textId="77777777" w:rsidR="00B43409" w:rsidRPr="00B43409" w:rsidRDefault="00B43409">
          <w:pPr>
            <w:autoSpaceDE w:val="0"/>
            <w:autoSpaceDN w:val="0"/>
            <w:ind w:hanging="640"/>
            <w:divId w:val="1137868577"/>
            <w:rPr>
              <w:rFonts w:eastAsia="Times New Roman"/>
              <w:color w:val="000000"/>
            </w:rPr>
          </w:pPr>
          <w:r w:rsidRPr="00B43409">
            <w:rPr>
              <w:rFonts w:eastAsia="Times New Roman"/>
              <w:color w:val="000000"/>
            </w:rPr>
            <w:t>[139]</w:t>
          </w:r>
          <w:r w:rsidRPr="00B43409">
            <w:rPr>
              <w:rFonts w:eastAsia="Times New Roman"/>
              <w:color w:val="000000"/>
            </w:rPr>
            <w:tab/>
            <w:t>W.-C. Liao, C.A. Landis, M.J. Lentz, M.-J. Chiu, Effect of foot bathing on distal-proximal skin temperature gradient in elders, Int. J. Nurs. Stud. 42 (2005) 717–722. https://doi.org/10.1016/j.ijnurstu.2004.11.011.</w:t>
          </w:r>
        </w:p>
        <w:p w14:paraId="05371B73" w14:textId="77777777" w:rsidR="00B43409" w:rsidRPr="00B43409" w:rsidRDefault="00B43409">
          <w:pPr>
            <w:autoSpaceDE w:val="0"/>
            <w:autoSpaceDN w:val="0"/>
            <w:ind w:hanging="640"/>
            <w:divId w:val="1803381933"/>
            <w:rPr>
              <w:rFonts w:eastAsia="Times New Roman"/>
              <w:color w:val="000000"/>
            </w:rPr>
          </w:pPr>
          <w:r w:rsidRPr="00B43409">
            <w:rPr>
              <w:rFonts w:eastAsia="Times New Roman"/>
              <w:color w:val="000000"/>
            </w:rPr>
            <w:lastRenderedPageBreak/>
            <w:t>[140]</w:t>
          </w:r>
          <w:r w:rsidRPr="00B43409">
            <w:rPr>
              <w:rFonts w:eastAsia="Times New Roman"/>
              <w:color w:val="000000"/>
            </w:rPr>
            <w:tab/>
            <w:t>J.C.B. Marins, D. Formenti, C.M.A. Costa, A. De Andrade Fernandes, M. Sillero-Quintana, Circadian and gender differences in skin temperature in militaries by thermography, Infrared Phys. Technol. 71 (2015) 322–328. https://doi.org/10.1016/j.infrared.2015.05.008.</w:t>
          </w:r>
        </w:p>
        <w:p w14:paraId="2E24B557" w14:textId="77777777" w:rsidR="00B43409" w:rsidRPr="00B43409" w:rsidRDefault="00B43409">
          <w:pPr>
            <w:autoSpaceDE w:val="0"/>
            <w:autoSpaceDN w:val="0"/>
            <w:ind w:hanging="640"/>
            <w:divId w:val="46497060"/>
            <w:rPr>
              <w:rFonts w:eastAsia="Times New Roman"/>
              <w:color w:val="000000"/>
            </w:rPr>
          </w:pPr>
          <w:r w:rsidRPr="00B43409">
            <w:rPr>
              <w:rFonts w:eastAsia="Times New Roman"/>
              <w:color w:val="000000"/>
            </w:rPr>
            <w:t>[141]</w:t>
          </w:r>
          <w:r w:rsidRPr="00B43409">
            <w:rPr>
              <w:rFonts w:eastAsia="Times New Roman"/>
              <w:color w:val="000000"/>
            </w:rPr>
            <w:tab/>
            <w:t>X. Xu, H. Zhang, G. Wu, Z. Lian, H. Xu, Sex differences in body temperature and thermal perception under stable and transient thermal environments: A comparative study, Science of The Total Environment 951 (2024) 175323. https://doi.org/10.1016/j.scitotenv.2024.175323.</w:t>
          </w:r>
        </w:p>
        <w:p w14:paraId="514D84AD" w14:textId="77777777" w:rsidR="00B43409" w:rsidRPr="00B43409" w:rsidRDefault="00B43409">
          <w:pPr>
            <w:autoSpaceDE w:val="0"/>
            <w:autoSpaceDN w:val="0"/>
            <w:ind w:hanging="640"/>
            <w:divId w:val="1817448692"/>
            <w:rPr>
              <w:rFonts w:eastAsia="Times New Roman"/>
              <w:color w:val="000000"/>
            </w:rPr>
          </w:pPr>
          <w:r w:rsidRPr="00B43409">
            <w:rPr>
              <w:rFonts w:eastAsia="Times New Roman"/>
              <w:color w:val="000000"/>
            </w:rPr>
            <w:t>[142]</w:t>
          </w:r>
          <w:r w:rsidRPr="00B43409">
            <w:rPr>
              <w:rFonts w:eastAsia="Times New Roman"/>
              <w:color w:val="000000"/>
            </w:rPr>
            <w:tab/>
            <w:t>X. Xu, H. Zhang, Z. Lian, H. Xu, Sex difference in body temperature and thermal perception during nighttime sleep: A time series analysis, Energy Build. 344 (2025) 115995. https://doi.org/10.1016/j.enbuild.2025.115995.</w:t>
          </w:r>
        </w:p>
        <w:p w14:paraId="25E7B1EC" w14:textId="77777777" w:rsidR="00B43409" w:rsidRPr="00B43409" w:rsidRDefault="00B43409">
          <w:pPr>
            <w:autoSpaceDE w:val="0"/>
            <w:autoSpaceDN w:val="0"/>
            <w:ind w:hanging="640"/>
            <w:divId w:val="519858710"/>
            <w:rPr>
              <w:rFonts w:eastAsia="Times New Roman"/>
              <w:color w:val="000000"/>
            </w:rPr>
          </w:pPr>
          <w:r w:rsidRPr="00B43409">
            <w:rPr>
              <w:rFonts w:eastAsia="Times New Roman"/>
              <w:color w:val="000000"/>
            </w:rPr>
            <w:t>[143]</w:t>
          </w:r>
          <w:r w:rsidRPr="00B43409">
            <w:rPr>
              <w:rFonts w:eastAsia="Times New Roman"/>
              <w:color w:val="000000"/>
            </w:rPr>
            <w:tab/>
            <w:t>M.M. Wenner, H.S. Taylor, N.S. Stachenfeld, Progesterone enhances adrenergic control of skin blood flow in women with high but not low orthostatic tolerance, Journal of Physiology 589 (2011) 975–986. https://doi.org/10.1113/jphysiol.2010.194563.</w:t>
          </w:r>
        </w:p>
        <w:p w14:paraId="44A172BE" w14:textId="77777777" w:rsidR="00B43409" w:rsidRPr="00B43409" w:rsidRDefault="00B43409">
          <w:pPr>
            <w:autoSpaceDE w:val="0"/>
            <w:autoSpaceDN w:val="0"/>
            <w:ind w:hanging="640"/>
            <w:divId w:val="738557148"/>
            <w:rPr>
              <w:rFonts w:eastAsia="Times New Roman"/>
              <w:color w:val="000000"/>
            </w:rPr>
          </w:pPr>
          <w:r w:rsidRPr="00B43409">
            <w:rPr>
              <w:rFonts w:eastAsia="Times New Roman"/>
              <w:color w:val="000000"/>
            </w:rPr>
            <w:t>[144]</w:t>
          </w:r>
          <w:r w:rsidRPr="00B43409">
            <w:rPr>
              <w:rFonts w:eastAsia="Times New Roman"/>
              <w:color w:val="000000"/>
            </w:rPr>
            <w:tab/>
            <w:t>F.C. Baker, F. Siboza, A. Fuller, Temperature regulation in women: Effects of the menstrual cycle, Temperature 7 (2020) 226–262. https://doi.org/10.1080/23328940.2020.1735927.</w:t>
          </w:r>
        </w:p>
        <w:p w14:paraId="00BBABDC" w14:textId="77777777" w:rsidR="00B43409" w:rsidRPr="00B43409" w:rsidRDefault="00B43409">
          <w:pPr>
            <w:autoSpaceDE w:val="0"/>
            <w:autoSpaceDN w:val="0"/>
            <w:ind w:hanging="640"/>
            <w:divId w:val="1666277939"/>
            <w:rPr>
              <w:rFonts w:eastAsia="Times New Roman"/>
              <w:color w:val="000000"/>
            </w:rPr>
          </w:pPr>
          <w:r w:rsidRPr="00B43409">
            <w:rPr>
              <w:rFonts w:eastAsia="Times New Roman"/>
              <w:color w:val="000000"/>
            </w:rPr>
            <w:t>[145]</w:t>
          </w:r>
          <w:r w:rsidRPr="00B43409">
            <w:rPr>
              <w:rFonts w:eastAsia="Times New Roman"/>
              <w:color w:val="000000"/>
            </w:rPr>
            <w:tab/>
            <w:t>N. V. Kirby, S.R. Notley, R.D. Meade, B.J. Richards, G.P. Kenny, Menstrual Cycle Modulates the Contribution of Dry Heat Loss to Total Heat Loss During Exercise in Warm‐Dry Conditions in Young, Recreationally Active Females: Preliminary Findings, The FASEB Journal 36 (2022). https://doi.org/10.1096/fasebj.2022.36.S1.R5592.</w:t>
          </w:r>
        </w:p>
        <w:p w14:paraId="3ABCB951" w14:textId="77777777" w:rsidR="00B43409" w:rsidRPr="00B43409" w:rsidRDefault="00B43409">
          <w:pPr>
            <w:autoSpaceDE w:val="0"/>
            <w:autoSpaceDN w:val="0"/>
            <w:ind w:hanging="640"/>
            <w:divId w:val="917834871"/>
            <w:rPr>
              <w:rFonts w:eastAsia="Times New Roman"/>
              <w:color w:val="000000"/>
            </w:rPr>
          </w:pPr>
          <w:r w:rsidRPr="00B43409">
            <w:rPr>
              <w:rFonts w:eastAsia="Times New Roman"/>
              <w:color w:val="000000"/>
            </w:rPr>
            <w:t>[146]</w:t>
          </w:r>
          <w:r w:rsidRPr="00B43409">
            <w:rPr>
              <w:rFonts w:eastAsia="Times New Roman"/>
              <w:color w:val="000000"/>
            </w:rPr>
            <w:tab/>
            <w:t>D.L. Kellogg, Y. Liu, I.F. Kosiba, D. O’Donnell, Role of nitric oxide in the vascular effects of local warming of the skin in humans, J. Appl. Physiol. 86 (1999) 1185–1190. https://doi.org/10.1152/jappl.1999.86.4.1185.</w:t>
          </w:r>
        </w:p>
        <w:p w14:paraId="751E1A36" w14:textId="77777777" w:rsidR="00B43409" w:rsidRPr="00B43409" w:rsidRDefault="00B43409">
          <w:pPr>
            <w:autoSpaceDE w:val="0"/>
            <w:autoSpaceDN w:val="0"/>
            <w:ind w:hanging="640"/>
            <w:divId w:val="758990430"/>
            <w:rPr>
              <w:rFonts w:eastAsia="Times New Roman"/>
              <w:color w:val="000000"/>
            </w:rPr>
          </w:pPr>
          <w:r w:rsidRPr="00B43409">
            <w:rPr>
              <w:rFonts w:eastAsia="Times New Roman"/>
              <w:color w:val="000000"/>
            </w:rPr>
            <w:t>[147]</w:t>
          </w:r>
          <w:r w:rsidRPr="00B43409">
            <w:rPr>
              <w:rFonts w:eastAsia="Times New Roman"/>
              <w:color w:val="000000"/>
            </w:rPr>
            <w:tab/>
            <w:t>N. Charkoudian, Mechanisms and modifiers of reflex induced cutaneous vasodilation and vasoconstriction in humans, J. Appl. Physiol. 109 (2010) 1221–1228. https://doi.org/10.1152/japplphysiol.00298.2010.</w:t>
          </w:r>
        </w:p>
        <w:p w14:paraId="1EE0815B" w14:textId="77777777" w:rsidR="00B43409" w:rsidRPr="00B43409" w:rsidRDefault="00B43409">
          <w:pPr>
            <w:autoSpaceDE w:val="0"/>
            <w:autoSpaceDN w:val="0"/>
            <w:ind w:hanging="640"/>
            <w:divId w:val="713427605"/>
            <w:rPr>
              <w:rFonts w:eastAsia="Times New Roman"/>
              <w:color w:val="000000"/>
            </w:rPr>
          </w:pPr>
          <w:r w:rsidRPr="00B43409">
            <w:rPr>
              <w:rFonts w:eastAsia="Times New Roman"/>
              <w:color w:val="000000"/>
            </w:rPr>
            <w:t>[148]</w:t>
          </w:r>
          <w:r w:rsidRPr="00B43409">
            <w:rPr>
              <w:rFonts w:eastAsia="Times New Roman"/>
              <w:color w:val="000000"/>
            </w:rPr>
            <w:tab/>
            <w:t>C.G. Turner, A.E. Stanhewicz, K.E. Nielsen, J.S. Otis, R.G. Feresin, B.J. Wong, Effects of biological sex and oral contraceptive pill use on cutaneous microvascular endothelial function and nitric oxide-dependent vasodilation in humans, J. Appl. Physiol. 134 (2023) 858–867. https://doi.org/10.1152/japplphysiol.00586.2022.</w:t>
          </w:r>
        </w:p>
        <w:p w14:paraId="25CF3DBA" w14:textId="77777777" w:rsidR="00B43409" w:rsidRPr="00B43409" w:rsidRDefault="00B43409">
          <w:pPr>
            <w:autoSpaceDE w:val="0"/>
            <w:autoSpaceDN w:val="0"/>
            <w:ind w:hanging="640"/>
            <w:divId w:val="1147285535"/>
            <w:rPr>
              <w:rFonts w:eastAsia="Times New Roman"/>
              <w:color w:val="000000"/>
            </w:rPr>
          </w:pPr>
          <w:r w:rsidRPr="00B43409">
            <w:rPr>
              <w:rFonts w:eastAsia="Times New Roman"/>
              <w:color w:val="000000"/>
            </w:rPr>
            <w:t>[149]</w:t>
          </w:r>
          <w:r w:rsidRPr="00B43409">
            <w:rPr>
              <w:rFonts w:eastAsia="Times New Roman"/>
              <w:color w:val="000000"/>
            </w:rPr>
            <w:tab/>
            <w:t>N. Charkoudian, J.M. Johnson, Reflex control of cutaneous vasoconstrictor system is reset by exogenous female reproductive hormones, J. Appl. Physiol. 87 (1999) 381–385. https://doi.org/10.1152/jappl.1999.87.1.381.</w:t>
          </w:r>
        </w:p>
        <w:p w14:paraId="1A7FCEDB" w14:textId="77777777" w:rsidR="00B43409" w:rsidRPr="00B43409" w:rsidRDefault="00B43409">
          <w:pPr>
            <w:autoSpaceDE w:val="0"/>
            <w:autoSpaceDN w:val="0"/>
            <w:ind w:hanging="640"/>
            <w:divId w:val="664012345"/>
            <w:rPr>
              <w:rFonts w:eastAsia="Times New Roman"/>
              <w:color w:val="000000"/>
            </w:rPr>
          </w:pPr>
          <w:r w:rsidRPr="00B43409">
            <w:rPr>
              <w:rFonts w:eastAsia="Times New Roman"/>
              <w:color w:val="000000"/>
            </w:rPr>
            <w:t>[150]</w:t>
          </w:r>
          <w:r w:rsidRPr="00B43409">
            <w:rPr>
              <w:rFonts w:eastAsia="Times New Roman"/>
              <w:color w:val="000000"/>
            </w:rPr>
            <w:tab/>
            <w:t>J.L. Greaney, L.M. Alexander, W.L. Kenney, Sympathetic control of reflex cutaneous vasoconstriction in human aging, J. Appl. Physiol. 119 (2015) 771–782. https://doi.org/10.1152/japplphysiol.00527.2015.</w:t>
          </w:r>
        </w:p>
        <w:p w14:paraId="342F6992" w14:textId="77777777" w:rsidR="00B43409" w:rsidRPr="00B43409" w:rsidRDefault="00B43409">
          <w:pPr>
            <w:autoSpaceDE w:val="0"/>
            <w:autoSpaceDN w:val="0"/>
            <w:ind w:hanging="640"/>
            <w:divId w:val="741296322"/>
            <w:rPr>
              <w:rFonts w:eastAsia="Times New Roman"/>
              <w:color w:val="000000"/>
            </w:rPr>
          </w:pPr>
          <w:r w:rsidRPr="00B43409">
            <w:rPr>
              <w:rFonts w:eastAsia="Times New Roman"/>
              <w:color w:val="000000"/>
            </w:rPr>
            <w:t>[151]</w:t>
          </w:r>
          <w:r w:rsidRPr="00B43409">
            <w:rPr>
              <w:rFonts w:eastAsia="Times New Roman"/>
              <w:color w:val="000000"/>
            </w:rPr>
            <w:tab/>
            <w:t>L.A. Holowatz, W.L. Kenney, Peripheral mechanisms of thermoregulatory control of skin blood flow in aged humans, J. Appl. Physiol. 109 (2010) 1538–1544. https://doi.org/10.1152/japplphysiol.00338.2010.</w:t>
          </w:r>
        </w:p>
        <w:p w14:paraId="19F1E0DB" w14:textId="77777777" w:rsidR="00B43409" w:rsidRPr="00B43409" w:rsidRDefault="00B43409">
          <w:pPr>
            <w:autoSpaceDE w:val="0"/>
            <w:autoSpaceDN w:val="0"/>
            <w:ind w:hanging="640"/>
            <w:divId w:val="1937134538"/>
            <w:rPr>
              <w:rFonts w:eastAsia="Times New Roman"/>
              <w:color w:val="000000"/>
            </w:rPr>
          </w:pPr>
          <w:r w:rsidRPr="00B43409">
            <w:rPr>
              <w:rFonts w:eastAsia="Times New Roman"/>
              <w:color w:val="000000"/>
            </w:rPr>
            <w:t>[152]</w:t>
          </w:r>
          <w:r w:rsidRPr="00B43409">
            <w:rPr>
              <w:rFonts w:eastAsia="Times New Roman"/>
              <w:color w:val="000000"/>
            </w:rPr>
            <w:tab/>
            <w:t>W.L. Kenney, D.H. Craighead, L.M. Alexander, Heat Waves, Aging, and Human Cardiovascular Health, Med. Sci. Sports Exerc. 46 (2014) 1891–1899. https://doi.org/10.1249/MSS.0000000000000325.</w:t>
          </w:r>
        </w:p>
        <w:p w14:paraId="6F4BEABA" w14:textId="77777777" w:rsidR="00B43409" w:rsidRPr="00B43409" w:rsidRDefault="00B43409">
          <w:pPr>
            <w:autoSpaceDE w:val="0"/>
            <w:autoSpaceDN w:val="0"/>
            <w:ind w:hanging="640"/>
            <w:divId w:val="1541817508"/>
            <w:rPr>
              <w:rFonts w:eastAsia="Times New Roman"/>
              <w:color w:val="000000"/>
            </w:rPr>
          </w:pPr>
          <w:r w:rsidRPr="00B43409">
            <w:rPr>
              <w:rFonts w:eastAsia="Times New Roman"/>
              <w:color w:val="000000"/>
            </w:rPr>
            <w:t>[153]</w:t>
          </w:r>
          <w:r w:rsidRPr="00B43409">
            <w:rPr>
              <w:rFonts w:eastAsia="Times New Roman"/>
              <w:color w:val="000000"/>
            </w:rPr>
            <w:tab/>
            <w:t>W.L. Kenney, S.T. Wolf, G.A. Dillon, C.W. Berry, L.M. Alexander, Temperature regulation during exercise in the heat: Insights for the aging athlete, J. Sci. Med. Sport 24 (2021) 739–746. https://doi.org/10.1016/j.jsams.2020.12.007.</w:t>
          </w:r>
        </w:p>
        <w:p w14:paraId="4E78D21D" w14:textId="77777777" w:rsidR="00B43409" w:rsidRPr="00B43409" w:rsidRDefault="00B43409">
          <w:pPr>
            <w:autoSpaceDE w:val="0"/>
            <w:autoSpaceDN w:val="0"/>
            <w:ind w:hanging="640"/>
            <w:divId w:val="1675954677"/>
            <w:rPr>
              <w:rFonts w:eastAsia="Times New Roman"/>
              <w:color w:val="000000"/>
            </w:rPr>
          </w:pPr>
          <w:r w:rsidRPr="00B43409">
            <w:rPr>
              <w:rFonts w:eastAsia="Times New Roman"/>
              <w:color w:val="000000"/>
            </w:rPr>
            <w:lastRenderedPageBreak/>
            <w:t>[154]</w:t>
          </w:r>
          <w:r w:rsidRPr="00B43409">
            <w:rPr>
              <w:rFonts w:eastAsia="Times New Roman"/>
              <w:color w:val="000000"/>
            </w:rPr>
            <w:tab/>
            <w:t>E.J.W. Van Someren, R.J.E.M. Raymann, E.J.A. Scherder, H.A.M. Daanen, D.F. Swaab, Circadian and age-related modulation of thermoreception and temperature regulation: Mechanisms and functional implications, Ageing Res. Rev. 1 (2002) 721–778. https://doi.org/10.1016/S1568-1637(02)00030-2.</w:t>
          </w:r>
        </w:p>
        <w:p w14:paraId="0C2175C9" w14:textId="77777777" w:rsidR="00B43409" w:rsidRPr="00B43409" w:rsidRDefault="00B43409">
          <w:pPr>
            <w:autoSpaceDE w:val="0"/>
            <w:autoSpaceDN w:val="0"/>
            <w:ind w:hanging="640"/>
            <w:divId w:val="2102870599"/>
            <w:rPr>
              <w:rFonts w:eastAsia="Times New Roman"/>
              <w:color w:val="000000"/>
            </w:rPr>
          </w:pPr>
          <w:r w:rsidRPr="00B43409">
            <w:rPr>
              <w:rFonts w:eastAsia="Times New Roman"/>
              <w:color w:val="000000"/>
            </w:rPr>
            <w:t>[155]</w:t>
          </w:r>
          <w:r w:rsidRPr="00B43409">
            <w:rPr>
              <w:rFonts w:eastAsia="Times New Roman"/>
              <w:color w:val="000000"/>
            </w:rPr>
            <w:tab/>
            <w:t>S.D. Livingstone, R.W. Nolan, J. Frim, L.D. Reed, R.E. Limmer, A thermographic study of the effect of body composition and ambient temperature on the accuracy of mean skin temperature calculations, Eur. J. Appl. Physiol. Occup. Physiol. 56 (1987) 120–125. https://doi.org/10.1007/BF00696387.</w:t>
          </w:r>
        </w:p>
        <w:p w14:paraId="7AB04BED" w14:textId="77777777" w:rsidR="00B43409" w:rsidRPr="00B43409" w:rsidRDefault="00B43409">
          <w:pPr>
            <w:autoSpaceDE w:val="0"/>
            <w:autoSpaceDN w:val="0"/>
            <w:ind w:hanging="640"/>
            <w:divId w:val="1705211214"/>
            <w:rPr>
              <w:rFonts w:eastAsia="Times New Roman"/>
              <w:color w:val="000000"/>
            </w:rPr>
          </w:pPr>
          <w:r w:rsidRPr="00B43409">
            <w:rPr>
              <w:rFonts w:eastAsia="Times New Roman"/>
              <w:color w:val="000000"/>
            </w:rPr>
            <w:t>[156]</w:t>
          </w:r>
          <w:r w:rsidRPr="00B43409">
            <w:rPr>
              <w:rFonts w:eastAsia="Times New Roman"/>
              <w:color w:val="000000"/>
            </w:rPr>
            <w:tab/>
            <w:t>E.B. Neves, The effect of body fat percentage and body fat distribution on skin surface temperature with infrared thermography, J. Therm. Biol. 66 (2017) 1–9. https://doi.org/10.1016/j.jtherbio.2017.03.006.</w:t>
          </w:r>
        </w:p>
        <w:p w14:paraId="585DADDF" w14:textId="77777777" w:rsidR="00B43409" w:rsidRPr="00B43409" w:rsidRDefault="00B43409">
          <w:pPr>
            <w:autoSpaceDE w:val="0"/>
            <w:autoSpaceDN w:val="0"/>
            <w:ind w:hanging="640"/>
            <w:divId w:val="1091857499"/>
            <w:rPr>
              <w:rFonts w:eastAsia="Times New Roman"/>
              <w:color w:val="000000"/>
            </w:rPr>
          </w:pPr>
          <w:r w:rsidRPr="00B43409">
            <w:rPr>
              <w:rFonts w:eastAsia="Times New Roman"/>
              <w:color w:val="000000"/>
            </w:rPr>
            <w:t>[157]</w:t>
          </w:r>
          <w:r w:rsidRPr="00B43409">
            <w:rPr>
              <w:rFonts w:eastAsia="Times New Roman"/>
              <w:color w:val="000000"/>
            </w:rPr>
            <w:tab/>
            <w:t>R.K. do N. Silva, F.L. Matias, A.F. Gonçalves, F.N.A. dos Santos, G.N. Eduardo, P.R. de Andrade, RELATIONSHIO BETWEEN SKIN TEMPERATURE AND BODY COMPOSITION WOMEN, Braz. J. Phys. Ther. 28 (2024) 100969. https://doi.org/10.1016/j.bjpt.2024.100969.</w:t>
          </w:r>
        </w:p>
        <w:p w14:paraId="1CE417B6" w14:textId="77777777" w:rsidR="00B43409" w:rsidRPr="00B43409" w:rsidRDefault="00B43409">
          <w:pPr>
            <w:autoSpaceDE w:val="0"/>
            <w:autoSpaceDN w:val="0"/>
            <w:ind w:hanging="640"/>
            <w:divId w:val="1882744578"/>
            <w:rPr>
              <w:rFonts w:eastAsia="Times New Roman"/>
              <w:color w:val="000000"/>
            </w:rPr>
          </w:pPr>
          <w:r w:rsidRPr="00B43409">
            <w:rPr>
              <w:rFonts w:eastAsia="Times New Roman"/>
              <w:color w:val="000000"/>
            </w:rPr>
            <w:t>[158]</w:t>
          </w:r>
          <w:r w:rsidRPr="00B43409">
            <w:rPr>
              <w:rFonts w:eastAsia="Times New Roman"/>
              <w:color w:val="000000"/>
            </w:rPr>
            <w:tab/>
            <w:t>M. Sawka, W. Latzka, R. Matott, S. Montain, Hydration Effects on Temperature Regulation, Int. J. Sports Med. 19 (1998) S108–S110. https://doi.org/10.1055/s-2007-971971.</w:t>
          </w:r>
        </w:p>
        <w:p w14:paraId="756E5078" w14:textId="77777777" w:rsidR="00B43409" w:rsidRPr="00B43409" w:rsidRDefault="00B43409">
          <w:pPr>
            <w:autoSpaceDE w:val="0"/>
            <w:autoSpaceDN w:val="0"/>
            <w:ind w:hanging="640"/>
            <w:divId w:val="862593381"/>
            <w:rPr>
              <w:rFonts w:eastAsia="Times New Roman"/>
              <w:color w:val="000000"/>
            </w:rPr>
          </w:pPr>
          <w:r w:rsidRPr="00B43409">
            <w:rPr>
              <w:rFonts w:eastAsia="Times New Roman"/>
              <w:color w:val="000000"/>
            </w:rPr>
            <w:t>[159]</w:t>
          </w:r>
          <w:r w:rsidRPr="00B43409">
            <w:rPr>
              <w:rFonts w:eastAsia="Times New Roman"/>
              <w:color w:val="000000"/>
            </w:rPr>
            <w:tab/>
            <w:t>S.N. Cheuvront, R.W. Kenefick, Dehydration: Physiology, Assessment, and Performance Effects, Compr. Physiol. 4 (2014) 257–285. https://doi.org/10.1002/j.2040-4603.2014.tb00543.x.</w:t>
          </w:r>
        </w:p>
        <w:p w14:paraId="24120401" w14:textId="77777777" w:rsidR="00B43409" w:rsidRPr="00B43409" w:rsidRDefault="00B43409">
          <w:pPr>
            <w:autoSpaceDE w:val="0"/>
            <w:autoSpaceDN w:val="0"/>
            <w:ind w:hanging="640"/>
            <w:divId w:val="357511024"/>
            <w:rPr>
              <w:rFonts w:eastAsia="Times New Roman"/>
              <w:color w:val="000000"/>
            </w:rPr>
          </w:pPr>
          <w:r w:rsidRPr="00B43409">
            <w:rPr>
              <w:rFonts w:eastAsia="Times New Roman"/>
              <w:color w:val="000000"/>
            </w:rPr>
            <w:t>[160]</w:t>
          </w:r>
          <w:r w:rsidRPr="00B43409">
            <w:rPr>
              <w:rFonts w:eastAsia="Times New Roman"/>
              <w:color w:val="000000"/>
            </w:rPr>
            <w:tab/>
            <w:t>B. Martinez-Tellez, L. Ortiz-Alvarez, G. Sanchez-Delgado, H. Xu, F.M. Acosta, E. Merchan-Ramirez, V. Muñoz-Hernandez, W.D. Martinez-Avila, M.A. Contreras-Gomez, A. Gil, I. Labayen, J.R. Ruiz, Skin temperature response to a liquid meal intake is different in men than in women, Clinical Nutrition 38 (2019) 1339–1347. https://doi.org/10.1016/j.clnu.2018.05.026.</w:t>
          </w:r>
        </w:p>
        <w:p w14:paraId="6230704E" w14:textId="77777777" w:rsidR="00B43409" w:rsidRPr="00B43409" w:rsidRDefault="00B43409">
          <w:pPr>
            <w:autoSpaceDE w:val="0"/>
            <w:autoSpaceDN w:val="0"/>
            <w:ind w:hanging="640"/>
            <w:divId w:val="1677348023"/>
            <w:rPr>
              <w:rFonts w:eastAsia="Times New Roman"/>
              <w:color w:val="000000"/>
            </w:rPr>
          </w:pPr>
          <w:r w:rsidRPr="00B43409">
            <w:rPr>
              <w:rFonts w:eastAsia="Times New Roman"/>
              <w:color w:val="000000"/>
            </w:rPr>
            <w:t>[161]</w:t>
          </w:r>
          <w:r w:rsidRPr="00B43409">
            <w:rPr>
              <w:rFonts w:eastAsia="Times New Roman"/>
              <w:color w:val="000000"/>
            </w:rPr>
            <w:tab/>
            <w:t>A.W. Mchill, B.J. Smith, K.P. Wright, Effects of caffeine on skin and core temperatures, alertness, and recovery sleep during circadian misalignment, J. Biol. Rhythms 29 (2014) 131–143. https://doi.org/10.1177/0748730414523078.</w:t>
          </w:r>
        </w:p>
        <w:p w14:paraId="77514749" w14:textId="77777777" w:rsidR="00B43409" w:rsidRPr="00B43409" w:rsidRDefault="00B43409">
          <w:pPr>
            <w:autoSpaceDE w:val="0"/>
            <w:autoSpaceDN w:val="0"/>
            <w:ind w:hanging="640"/>
            <w:divId w:val="1255701453"/>
            <w:rPr>
              <w:rFonts w:eastAsia="Times New Roman"/>
              <w:color w:val="000000"/>
            </w:rPr>
          </w:pPr>
          <w:r w:rsidRPr="00B43409">
            <w:rPr>
              <w:rFonts w:eastAsia="Times New Roman"/>
              <w:color w:val="000000"/>
            </w:rPr>
            <w:t>[162]</w:t>
          </w:r>
          <w:r w:rsidRPr="00B43409">
            <w:rPr>
              <w:rFonts w:eastAsia="Times New Roman"/>
              <w:color w:val="000000"/>
            </w:rPr>
            <w:tab/>
            <w:t>A. Kistler, C. Mariauzouls, K. Von Berlepsch, Fingertip temperature as an indicator for sympathetic responses, International Journal of Psychophysiology 29 (1998) 35–41. https://doi.org/10.1016/S0167-8760(97)00087-1.</w:t>
          </w:r>
        </w:p>
        <w:p w14:paraId="0428AB64" w14:textId="77777777" w:rsidR="00B43409" w:rsidRPr="00B43409" w:rsidRDefault="00B43409">
          <w:pPr>
            <w:autoSpaceDE w:val="0"/>
            <w:autoSpaceDN w:val="0"/>
            <w:ind w:hanging="640"/>
            <w:divId w:val="2143304442"/>
            <w:rPr>
              <w:rFonts w:eastAsia="Times New Roman"/>
              <w:color w:val="000000"/>
            </w:rPr>
          </w:pPr>
          <w:r w:rsidRPr="00B43409">
            <w:rPr>
              <w:rFonts w:eastAsia="Times New Roman"/>
              <w:color w:val="000000"/>
            </w:rPr>
            <w:t>[163]</w:t>
          </w:r>
          <w:r w:rsidRPr="00B43409">
            <w:rPr>
              <w:rFonts w:eastAsia="Times New Roman"/>
              <w:color w:val="000000"/>
            </w:rPr>
            <w:tab/>
            <w:t>S. Tordjman, I. Najjar, E. Bellissant, G. Anderson, M. Barburoth, D. Cohen, N. Jaafari, O. Schischmanoff, R. Fagard, E. Lagdas, S. Kermarrec, S. Ribardiere, M. Botbol, C. Fougerou, G. Bronsard, J. Vernay-Leconte, Advances in the Research of Melatonin in Autism Spectrum Disorders: Literature Review and New Perspectives, Int. J. Mol. Sci. 14 (2013) 20508–20542. https://doi.org/10.3390/ijms141020508.</w:t>
          </w:r>
        </w:p>
        <w:p w14:paraId="2743D626" w14:textId="77777777" w:rsidR="00B43409" w:rsidRPr="00B43409" w:rsidRDefault="00B43409">
          <w:pPr>
            <w:autoSpaceDE w:val="0"/>
            <w:autoSpaceDN w:val="0"/>
            <w:ind w:hanging="640"/>
            <w:divId w:val="656765505"/>
            <w:rPr>
              <w:rFonts w:eastAsia="Times New Roman"/>
              <w:color w:val="000000"/>
            </w:rPr>
          </w:pPr>
          <w:r w:rsidRPr="00B43409">
            <w:rPr>
              <w:rFonts w:eastAsia="Times New Roman"/>
              <w:color w:val="000000"/>
            </w:rPr>
            <w:t>[164]</w:t>
          </w:r>
          <w:r w:rsidRPr="00B43409">
            <w:rPr>
              <w:rFonts w:eastAsia="Times New Roman"/>
              <w:color w:val="000000"/>
            </w:rPr>
            <w:tab/>
            <w:t>R. Tesfaye, G. Huguet, Z. Schmilovich, T. Renne, M.A. Loum, E. Douard, Z. Saci, M. Jean-Louis, J.L. Martineau, R. Whelan, S. Desrivieres, A. Heinz, G. Schumann, C. Hayward, M. Elsabbagh, S. Jacquemont, Investigating the contributions of circadian pathway and insomnia risk genes to autism and sleep disturbances, Transl. Psychiatry 12 (2022). https://doi.org/10.1038/s41398-022-02188-2.</w:t>
          </w:r>
        </w:p>
        <w:p w14:paraId="707B39D5" w14:textId="77777777" w:rsidR="00B43409" w:rsidRPr="00B43409" w:rsidRDefault="00B43409">
          <w:pPr>
            <w:autoSpaceDE w:val="0"/>
            <w:autoSpaceDN w:val="0"/>
            <w:ind w:hanging="640"/>
            <w:divId w:val="822280941"/>
            <w:rPr>
              <w:rFonts w:eastAsia="Times New Roman"/>
              <w:color w:val="000000"/>
            </w:rPr>
          </w:pPr>
          <w:r w:rsidRPr="00B43409">
            <w:rPr>
              <w:rFonts w:eastAsia="Times New Roman"/>
              <w:color w:val="000000"/>
            </w:rPr>
            <w:t>[165]</w:t>
          </w:r>
          <w:r w:rsidRPr="00B43409">
            <w:rPr>
              <w:rFonts w:eastAsia="Times New Roman"/>
              <w:color w:val="000000"/>
            </w:rPr>
            <w:tab/>
            <w:t>D.E. Wick, S.K. Roberts, A. Basu, P. Sandroni, R.D. Fealey, D. Sletten, N. Charkoudian, Delayed threshold for active cutaneous vasodilation in patients with Type 2 diabetes mellitus, J. Appl. Physiol. 100 (2006) 637–641. https://doi.org/10.1152/japplphysiol.00943.2005.</w:t>
          </w:r>
        </w:p>
        <w:p w14:paraId="42668BE7" w14:textId="77777777" w:rsidR="00B43409" w:rsidRPr="00B43409" w:rsidRDefault="00B43409">
          <w:pPr>
            <w:autoSpaceDE w:val="0"/>
            <w:autoSpaceDN w:val="0"/>
            <w:ind w:hanging="640"/>
            <w:divId w:val="1833331715"/>
            <w:rPr>
              <w:rFonts w:eastAsia="Times New Roman"/>
              <w:color w:val="000000"/>
            </w:rPr>
          </w:pPr>
          <w:r w:rsidRPr="00B43409">
            <w:rPr>
              <w:rFonts w:eastAsia="Times New Roman"/>
              <w:color w:val="000000"/>
            </w:rPr>
            <w:t>[166]</w:t>
          </w:r>
          <w:r w:rsidRPr="00B43409">
            <w:rPr>
              <w:rFonts w:eastAsia="Times New Roman"/>
              <w:color w:val="000000"/>
            </w:rPr>
            <w:tab/>
            <w:t>M. Weiss, B. Milman, B. Rosen, R. Zimlichman, Quantitation of thyroid hormone effect on skin perfusion by laser Doppler flowmetry, Journal of Clinical Endocrinology and Metabolism 76 (1993) 680–682. https://doi.org/10.1210/jcem.76.3.8445026.</w:t>
          </w:r>
        </w:p>
        <w:p w14:paraId="7311E991" w14:textId="77777777" w:rsidR="00B43409" w:rsidRPr="00B43409" w:rsidRDefault="00B43409">
          <w:pPr>
            <w:autoSpaceDE w:val="0"/>
            <w:autoSpaceDN w:val="0"/>
            <w:ind w:hanging="640"/>
            <w:divId w:val="653997648"/>
            <w:rPr>
              <w:rFonts w:eastAsia="Times New Roman"/>
              <w:color w:val="000000"/>
            </w:rPr>
          </w:pPr>
          <w:r w:rsidRPr="00B43409">
            <w:rPr>
              <w:rFonts w:eastAsia="Times New Roman"/>
              <w:color w:val="000000"/>
            </w:rPr>
            <w:t>[167]</w:t>
          </w:r>
          <w:r w:rsidRPr="00B43409">
            <w:rPr>
              <w:rFonts w:eastAsia="Times New Roman"/>
              <w:color w:val="000000"/>
            </w:rPr>
            <w:tab/>
            <w:t>J.D. Safer, Thyroid hormone action on skin, Dermatoendocrinol. 3 (2011) 211–215. https://doi.org/https://doi.org/10.4161/derm.3.3.17027.</w:t>
          </w:r>
        </w:p>
        <w:p w14:paraId="113A58EA" w14:textId="77777777" w:rsidR="00B43409" w:rsidRPr="00B43409" w:rsidRDefault="00B43409">
          <w:pPr>
            <w:autoSpaceDE w:val="0"/>
            <w:autoSpaceDN w:val="0"/>
            <w:ind w:hanging="640"/>
            <w:divId w:val="383800423"/>
            <w:rPr>
              <w:rFonts w:eastAsia="Times New Roman"/>
              <w:color w:val="000000"/>
            </w:rPr>
          </w:pPr>
          <w:r w:rsidRPr="00B43409">
            <w:rPr>
              <w:rFonts w:eastAsia="Times New Roman"/>
              <w:color w:val="000000"/>
            </w:rPr>
            <w:t>[168]</w:t>
          </w:r>
          <w:r w:rsidRPr="00B43409">
            <w:rPr>
              <w:rFonts w:eastAsia="Times New Roman"/>
              <w:color w:val="000000"/>
            </w:rPr>
            <w:tab/>
            <w:t>B. Cohen, A. Cadesky, S. Jaggi, Dermatologic manifestations of thyroid disease: a literature review, Front. Endocrinol. (Lausanne). 14 (2023) 1–20. https://doi.org/10.3389/fendo.2023.1167890.</w:t>
          </w:r>
        </w:p>
        <w:p w14:paraId="0671B897" w14:textId="77777777" w:rsidR="00B43409" w:rsidRPr="00B43409" w:rsidRDefault="00B43409">
          <w:pPr>
            <w:autoSpaceDE w:val="0"/>
            <w:autoSpaceDN w:val="0"/>
            <w:ind w:hanging="640"/>
            <w:divId w:val="1947034251"/>
            <w:rPr>
              <w:rFonts w:eastAsia="Times New Roman"/>
              <w:color w:val="000000"/>
            </w:rPr>
          </w:pPr>
          <w:r w:rsidRPr="00B43409">
            <w:rPr>
              <w:rFonts w:eastAsia="Times New Roman"/>
              <w:color w:val="000000"/>
            </w:rPr>
            <w:lastRenderedPageBreak/>
            <w:t>[169]</w:t>
          </w:r>
          <w:r w:rsidRPr="00B43409">
            <w:rPr>
              <w:rFonts w:eastAsia="Times New Roman"/>
              <w:color w:val="000000"/>
            </w:rPr>
            <w:tab/>
            <w:t>M. Garrido, D. Saccardo, M. De Rui, E. Vettore, A. Verardo, P. Carraro, N. Di Vitofrancesco, A.R. Mani, P. Angeli, M. Bolognesi, S. Montagnese, Abnormalities in the 24-hour rhythm of skin temperature in cirrhosis: Sleep-wake and general clinical implications, Liver International 37 (2017) 1833–1842. https://doi.org/10.1111/liv.13525.</w:t>
          </w:r>
        </w:p>
        <w:p w14:paraId="53C33971" w14:textId="77777777" w:rsidR="00B43409" w:rsidRPr="00B43409" w:rsidRDefault="00B43409">
          <w:pPr>
            <w:autoSpaceDE w:val="0"/>
            <w:autoSpaceDN w:val="0"/>
            <w:ind w:hanging="640"/>
            <w:divId w:val="2131244894"/>
            <w:rPr>
              <w:rFonts w:eastAsia="Times New Roman"/>
              <w:color w:val="000000"/>
            </w:rPr>
          </w:pPr>
          <w:r w:rsidRPr="00B43409">
            <w:rPr>
              <w:rFonts w:eastAsia="Times New Roman"/>
              <w:color w:val="000000"/>
            </w:rPr>
            <w:t>[170]</w:t>
          </w:r>
          <w:r w:rsidRPr="00B43409">
            <w:rPr>
              <w:rFonts w:eastAsia="Times New Roman"/>
              <w:color w:val="000000"/>
            </w:rPr>
            <w:tab/>
            <w:t>N. Playà-Montmany, G.J. Tattersall, Spot size, distance and emissivity errors in field applications of infrared thermography, Methods Ecol. Evol. 12 (2021) 828–840. https://doi.org/10.1111/2041-210X.13563.</w:t>
          </w:r>
        </w:p>
        <w:p w14:paraId="037F93EC" w14:textId="77777777" w:rsidR="00B43409" w:rsidRPr="00B43409" w:rsidRDefault="00B43409">
          <w:pPr>
            <w:autoSpaceDE w:val="0"/>
            <w:autoSpaceDN w:val="0"/>
            <w:ind w:hanging="640"/>
            <w:divId w:val="521556864"/>
            <w:rPr>
              <w:rFonts w:eastAsia="Times New Roman"/>
              <w:color w:val="000000"/>
            </w:rPr>
          </w:pPr>
          <w:r w:rsidRPr="00B43409">
            <w:rPr>
              <w:rFonts w:eastAsia="Times New Roman"/>
              <w:color w:val="000000"/>
            </w:rPr>
            <w:t>[171]</w:t>
          </w:r>
          <w:r w:rsidRPr="00B43409">
            <w:rPr>
              <w:rFonts w:eastAsia="Times New Roman"/>
              <w:color w:val="000000"/>
            </w:rPr>
            <w:tab/>
            <w:t>E.F.J. Ring, K. Ammer, Infrared thermal imaging in medicine, Physiol. Meas. 33 (2012). https://doi.org/10.1088/0967-3334/33/3/R33.</w:t>
          </w:r>
        </w:p>
        <w:p w14:paraId="505A7F7A" w14:textId="77777777" w:rsidR="00B43409" w:rsidRPr="00B43409" w:rsidRDefault="00B43409">
          <w:pPr>
            <w:autoSpaceDE w:val="0"/>
            <w:autoSpaceDN w:val="0"/>
            <w:ind w:hanging="640"/>
            <w:divId w:val="942804730"/>
            <w:rPr>
              <w:rFonts w:eastAsia="Times New Roman"/>
              <w:color w:val="000000"/>
            </w:rPr>
          </w:pPr>
          <w:r w:rsidRPr="00B43409">
            <w:rPr>
              <w:rFonts w:eastAsia="Times New Roman"/>
              <w:color w:val="000000"/>
            </w:rPr>
            <w:t>[172]</w:t>
          </w:r>
          <w:r w:rsidRPr="00B43409">
            <w:rPr>
              <w:rFonts w:eastAsia="Times New Roman"/>
              <w:color w:val="000000"/>
            </w:rPr>
            <w:tab/>
            <w:t>N.A.S. Taylor, M.J. Tipton, G.P. Kenny, Considerations for the measurement of core, skin and mean body temperatures, J. Therm. Biol. 46 (2014) 72–101. https://doi.org/10.1016/j.jtherbio.2014.10.006.</w:t>
          </w:r>
        </w:p>
        <w:p w14:paraId="3AD954BF" w14:textId="77777777" w:rsidR="00B43409" w:rsidRPr="00B43409" w:rsidRDefault="00B43409">
          <w:pPr>
            <w:autoSpaceDE w:val="0"/>
            <w:autoSpaceDN w:val="0"/>
            <w:ind w:hanging="640"/>
            <w:divId w:val="1305310778"/>
            <w:rPr>
              <w:rFonts w:eastAsia="Times New Roman"/>
              <w:color w:val="000000"/>
            </w:rPr>
          </w:pPr>
          <w:r w:rsidRPr="00B43409">
            <w:rPr>
              <w:rFonts w:eastAsia="Times New Roman"/>
              <w:color w:val="000000"/>
            </w:rPr>
            <w:t>[173]</w:t>
          </w:r>
          <w:r w:rsidRPr="00B43409">
            <w:rPr>
              <w:rFonts w:eastAsia="Times New Roman"/>
              <w:color w:val="000000"/>
            </w:rPr>
            <w:tab/>
            <w:t>Maxim Integrated Products, DS1922L DS1922T iButton Temperature Loggers with 8KB Datalog Memory DS1922L / DS1922T iButton Temperature Loggers with 8KB Datalog Memory Absolute Maximum Ratings, 2015.</w:t>
          </w:r>
        </w:p>
        <w:p w14:paraId="3E94ECAB" w14:textId="77777777" w:rsidR="00B43409" w:rsidRPr="00B43409" w:rsidRDefault="00B43409">
          <w:pPr>
            <w:autoSpaceDE w:val="0"/>
            <w:autoSpaceDN w:val="0"/>
            <w:ind w:hanging="640"/>
            <w:divId w:val="1623071408"/>
            <w:rPr>
              <w:rFonts w:eastAsia="Times New Roman"/>
              <w:color w:val="000000"/>
            </w:rPr>
          </w:pPr>
          <w:r w:rsidRPr="00B43409">
            <w:rPr>
              <w:rFonts w:eastAsia="Times New Roman"/>
              <w:color w:val="000000"/>
            </w:rPr>
            <w:t>[174]</w:t>
          </w:r>
          <w:r w:rsidRPr="00B43409">
            <w:rPr>
              <w:rFonts w:eastAsia="Times New Roman"/>
              <w:color w:val="000000"/>
            </w:rPr>
            <w:tab/>
            <w:t>B.A. MacRae, S. Annaheim, C.M. Spengler, R.M. Rossi, Skin temperature measurement using contact thermometry: A systematic review of setup variables and their effects on measured values, Front. Physiol. 9 (2018) 1–24. https://doi.org/10.3389/fphys.2018.00029.</w:t>
          </w:r>
        </w:p>
        <w:p w14:paraId="72482852" w14:textId="77777777" w:rsidR="00B43409" w:rsidRPr="00B43409" w:rsidRDefault="00B43409">
          <w:pPr>
            <w:autoSpaceDE w:val="0"/>
            <w:autoSpaceDN w:val="0"/>
            <w:ind w:hanging="640"/>
            <w:divId w:val="1690134152"/>
            <w:rPr>
              <w:rFonts w:eastAsia="Times New Roman"/>
              <w:color w:val="000000"/>
            </w:rPr>
          </w:pPr>
          <w:r w:rsidRPr="00B43409">
            <w:rPr>
              <w:rFonts w:eastAsia="Times New Roman"/>
              <w:color w:val="000000"/>
            </w:rPr>
            <w:t>[175]</w:t>
          </w:r>
          <w:r w:rsidRPr="00B43409">
            <w:rPr>
              <w:rFonts w:eastAsia="Times New Roman"/>
              <w:color w:val="000000"/>
            </w:rPr>
            <w:tab/>
            <w:t>X. Su, O.B. Kazanci, B.W. Olesen, L. Sun, Y. Yuan, A novel method of calculating mean skin temperature with high thermal sensitivity for thermal sensation evaluation, Energy Build. 340 (2025). https://doi.org/10.1016/j.enbuild.2025.115809.</w:t>
          </w:r>
        </w:p>
        <w:p w14:paraId="553FC793" w14:textId="77777777" w:rsidR="00B43409" w:rsidRPr="00B43409" w:rsidRDefault="00B43409">
          <w:pPr>
            <w:autoSpaceDE w:val="0"/>
            <w:autoSpaceDN w:val="0"/>
            <w:ind w:hanging="640"/>
            <w:divId w:val="1774285149"/>
            <w:rPr>
              <w:rFonts w:eastAsia="Times New Roman"/>
              <w:color w:val="000000"/>
            </w:rPr>
          </w:pPr>
          <w:r w:rsidRPr="00B43409">
            <w:rPr>
              <w:rFonts w:eastAsia="Times New Roman"/>
              <w:color w:val="000000"/>
            </w:rPr>
            <w:t>[176]</w:t>
          </w:r>
          <w:r w:rsidRPr="00B43409">
            <w:rPr>
              <w:rFonts w:eastAsia="Times New Roman"/>
              <w:color w:val="000000"/>
            </w:rPr>
            <w:tab/>
            <w:t>I.P. Ul, P.S. Msl, N. Zealand, G. Inrim, L.K. Cmi, C. Republic, S. Npl, G.M. Npl, D.C. Garcia, Q.W. Fda, K.K. Inmetro, M.S. Cnam, Ö.P.Y. Tubİtak, BEST PRACTICE GUIDE USE OF THERMAL IMAGERS TO PERFORM TRACEABLE NON- CONTACT SCREENING OF HUMAN BODY TEMPERATURE Prepared by : UME , Turkey ) F . E . Liebmann ( Fluke , USA ), J . Gust ( Fluke , USA ), K . Howell ( EAT , UK ) Version 3 , July 2023, 2023.</w:t>
          </w:r>
        </w:p>
        <w:p w14:paraId="0AD840ED" w14:textId="77777777" w:rsidR="00B43409" w:rsidRPr="00B43409" w:rsidRDefault="00B43409">
          <w:pPr>
            <w:autoSpaceDE w:val="0"/>
            <w:autoSpaceDN w:val="0"/>
            <w:ind w:hanging="640"/>
            <w:divId w:val="911893198"/>
            <w:rPr>
              <w:rFonts w:eastAsia="Times New Roman"/>
              <w:color w:val="000000"/>
            </w:rPr>
          </w:pPr>
          <w:r w:rsidRPr="00B43409">
            <w:rPr>
              <w:rFonts w:eastAsia="Times New Roman"/>
              <w:color w:val="000000"/>
            </w:rPr>
            <w:t>[177]</w:t>
          </w:r>
          <w:r w:rsidRPr="00B43409">
            <w:rPr>
              <w:rFonts w:eastAsia="Times New Roman"/>
              <w:color w:val="000000"/>
            </w:rPr>
            <w:tab/>
            <w:t>B. Martinez-Tellez, G. Sanchez-Delgado, F.M. Acosta, J.M.A. Alcantara, M.R. Boon, P.C.N. Rensen, J.R. Ruiz, Differences between the most used equations in BAT-human studies to estimate parameters of skin temperature in young lean men, Sci. Rep. 7 (2017) 1–12. https://doi.org/10.1038/s41598-017-10444-5.</w:t>
          </w:r>
        </w:p>
        <w:p w14:paraId="253F7481" w14:textId="77777777" w:rsidR="00B43409" w:rsidRPr="00B43409" w:rsidRDefault="00B43409">
          <w:pPr>
            <w:autoSpaceDE w:val="0"/>
            <w:autoSpaceDN w:val="0"/>
            <w:ind w:hanging="640"/>
            <w:divId w:val="852719493"/>
            <w:rPr>
              <w:rFonts w:eastAsia="Times New Roman"/>
              <w:color w:val="000000"/>
            </w:rPr>
          </w:pPr>
          <w:r w:rsidRPr="00B43409">
            <w:rPr>
              <w:rFonts w:eastAsia="Times New Roman"/>
              <w:color w:val="000000"/>
            </w:rPr>
            <w:t>[178]</w:t>
          </w:r>
          <w:r w:rsidRPr="00B43409">
            <w:rPr>
              <w:rFonts w:eastAsia="Times New Roman"/>
              <w:color w:val="000000"/>
            </w:rPr>
            <w:tab/>
            <w:t>X. Xu, Z. Lian, Rethinking the calculation method of mean skin temperature in sleep research: Different formulas apply to different purposes, Build. Environ. 251 (2024) 111231. https://doi.org/10.1016/j.buildenv.2024.111231.</w:t>
          </w:r>
        </w:p>
        <w:p w14:paraId="0E653961" w14:textId="77777777" w:rsidR="00B43409" w:rsidRPr="00B43409" w:rsidRDefault="00B43409">
          <w:pPr>
            <w:autoSpaceDE w:val="0"/>
            <w:autoSpaceDN w:val="0"/>
            <w:ind w:hanging="640"/>
            <w:divId w:val="246037038"/>
            <w:rPr>
              <w:rFonts w:eastAsia="Times New Roman"/>
              <w:color w:val="000000"/>
            </w:rPr>
          </w:pPr>
          <w:r w:rsidRPr="00B43409">
            <w:rPr>
              <w:rFonts w:eastAsia="Times New Roman"/>
              <w:color w:val="000000"/>
            </w:rPr>
            <w:t>[179]</w:t>
          </w:r>
          <w:r w:rsidRPr="00B43409">
            <w:rPr>
              <w:rFonts w:eastAsia="Times New Roman"/>
              <w:color w:val="000000"/>
            </w:rPr>
            <w:tab/>
            <w:t>L. Lan, L. Xia, J. Tang, D.P. Wyon, H. Liu, Mean skin temperature estimated from 3 measuring points can predict sleeping thermal sensation, Build. Environ. 162 (2019) 106292. https://doi.org/10.1016/j.buildenv.2019.106292.</w:t>
          </w:r>
        </w:p>
        <w:p w14:paraId="5C5700C6" w14:textId="77777777" w:rsidR="00B43409" w:rsidRPr="00B43409" w:rsidRDefault="00B43409">
          <w:pPr>
            <w:autoSpaceDE w:val="0"/>
            <w:autoSpaceDN w:val="0"/>
            <w:ind w:hanging="640"/>
            <w:divId w:val="138691184"/>
            <w:rPr>
              <w:rFonts w:eastAsia="Times New Roman"/>
              <w:color w:val="000000"/>
            </w:rPr>
          </w:pPr>
          <w:r w:rsidRPr="00B43409">
            <w:rPr>
              <w:rFonts w:eastAsia="Times New Roman"/>
              <w:color w:val="000000"/>
            </w:rPr>
            <w:t>[180]</w:t>
          </w:r>
          <w:r w:rsidRPr="00B43409">
            <w:rPr>
              <w:rFonts w:eastAsia="Times New Roman"/>
              <w:color w:val="000000"/>
            </w:rPr>
            <w:tab/>
            <w:t>M. Shibasaki, C.G. Crandall, Mechanisms and controllers of eccrine sweating in humans, Frontiers in Bioscience S2 (2010) 94. https://doi.org/10.2741/s94.</w:t>
          </w:r>
        </w:p>
        <w:p w14:paraId="10C59129" w14:textId="77777777" w:rsidR="00B43409" w:rsidRPr="00B43409" w:rsidRDefault="00B43409">
          <w:pPr>
            <w:autoSpaceDE w:val="0"/>
            <w:autoSpaceDN w:val="0"/>
            <w:ind w:hanging="640"/>
            <w:divId w:val="617834239"/>
            <w:rPr>
              <w:rFonts w:eastAsia="Times New Roman"/>
              <w:color w:val="000000"/>
            </w:rPr>
          </w:pPr>
          <w:r w:rsidRPr="00B43409">
            <w:rPr>
              <w:rFonts w:eastAsia="Times New Roman"/>
              <w:color w:val="000000"/>
            </w:rPr>
            <w:t>[181]</w:t>
          </w:r>
          <w:r w:rsidRPr="00B43409">
            <w:rPr>
              <w:rFonts w:eastAsia="Times New Roman"/>
              <w:color w:val="000000"/>
            </w:rPr>
            <w:tab/>
            <w:t>N. Kondo, S. Takano, K. Aoki, M. Shibasaki, H. Tominaga, Y. Inoue, Regional differences in the effect of exercise intensity on thermoregulatory sweating and cutaneous vasodilation, Acta Physiol. Scand. 164 (1998) 71–78. https://doi.org/10.1046/j.1365-201X.1998.00407.x.</w:t>
          </w:r>
        </w:p>
        <w:p w14:paraId="065E9496" w14:textId="77777777" w:rsidR="00B43409" w:rsidRPr="00B43409" w:rsidRDefault="00B43409">
          <w:pPr>
            <w:autoSpaceDE w:val="0"/>
            <w:autoSpaceDN w:val="0"/>
            <w:ind w:hanging="640"/>
            <w:divId w:val="1512331499"/>
            <w:rPr>
              <w:rFonts w:eastAsia="Times New Roman"/>
              <w:color w:val="000000"/>
            </w:rPr>
          </w:pPr>
          <w:r w:rsidRPr="00B43409">
            <w:rPr>
              <w:rFonts w:eastAsia="Times New Roman"/>
              <w:color w:val="000000"/>
            </w:rPr>
            <w:t>[182]</w:t>
          </w:r>
          <w:r w:rsidRPr="00B43409">
            <w:rPr>
              <w:rFonts w:eastAsia="Times New Roman"/>
              <w:color w:val="000000"/>
            </w:rPr>
            <w:tab/>
            <w:t>G. Havenith, H. van Middendorp, The relative influence of physical fitness, acclimatization state, anthropometric measures and gender on individual reactions to heat stress, Eur. J. Appl. Physiol. Occup. Physiol. 61 (1990) 419–427. https://doi.org/10.1007/BF00236062.</w:t>
          </w:r>
        </w:p>
        <w:p w14:paraId="7576E4ED" w14:textId="77777777" w:rsidR="00B43409" w:rsidRPr="00B43409" w:rsidRDefault="00B43409">
          <w:pPr>
            <w:autoSpaceDE w:val="0"/>
            <w:autoSpaceDN w:val="0"/>
            <w:ind w:hanging="640"/>
            <w:divId w:val="2120248921"/>
            <w:rPr>
              <w:rFonts w:eastAsia="Times New Roman"/>
              <w:color w:val="000000"/>
            </w:rPr>
          </w:pPr>
          <w:r w:rsidRPr="00B43409">
            <w:rPr>
              <w:rFonts w:eastAsia="Times New Roman"/>
              <w:color w:val="000000"/>
            </w:rPr>
            <w:lastRenderedPageBreak/>
            <w:t>[183]</w:t>
          </w:r>
          <w:r w:rsidRPr="00B43409">
            <w:rPr>
              <w:rFonts w:eastAsia="Times New Roman"/>
              <w:color w:val="000000"/>
            </w:rPr>
            <w:tab/>
            <w:t>M. Benedek, C. Kaernbach, A continuous measure of phasic electrodermal activity, J. Neurosci. Methods 190 (2010) 80–91. https://doi.org/10.1016/j.jneumeth.2010.04.028.</w:t>
          </w:r>
        </w:p>
        <w:p w14:paraId="6D395F44" w14:textId="77777777" w:rsidR="00B43409" w:rsidRPr="00B43409" w:rsidRDefault="00B43409">
          <w:pPr>
            <w:autoSpaceDE w:val="0"/>
            <w:autoSpaceDN w:val="0"/>
            <w:ind w:hanging="640"/>
            <w:divId w:val="760759519"/>
            <w:rPr>
              <w:rFonts w:eastAsia="Times New Roman"/>
              <w:color w:val="000000"/>
            </w:rPr>
          </w:pPr>
          <w:r w:rsidRPr="00B43409">
            <w:rPr>
              <w:rFonts w:eastAsia="Times New Roman"/>
              <w:color w:val="000000"/>
            </w:rPr>
            <w:t>[184]</w:t>
          </w:r>
          <w:r w:rsidRPr="00B43409">
            <w:rPr>
              <w:rFonts w:eastAsia="Times New Roman"/>
              <w:color w:val="000000"/>
            </w:rPr>
            <w:tab/>
            <w:t>N. Gerrett, K. Griggs, B. Redortier, T. Voelcker, N. Kondo, G. Havenith, Sweat from gland to skin surface: production, transport, and skin absorption, J. Appl. Physiol. 125 (2018) 459–469. https://doi.org/10.1152/japplphysiol.00872.2017.</w:t>
          </w:r>
        </w:p>
        <w:p w14:paraId="4D08A79E" w14:textId="77777777" w:rsidR="00B43409" w:rsidRPr="00B43409" w:rsidRDefault="00B43409">
          <w:pPr>
            <w:autoSpaceDE w:val="0"/>
            <w:autoSpaceDN w:val="0"/>
            <w:ind w:hanging="640"/>
            <w:divId w:val="1970814019"/>
            <w:rPr>
              <w:rFonts w:eastAsia="Times New Roman"/>
              <w:color w:val="000000"/>
            </w:rPr>
          </w:pPr>
          <w:r w:rsidRPr="00B43409">
            <w:rPr>
              <w:rFonts w:eastAsia="Times New Roman"/>
              <w:color w:val="000000"/>
            </w:rPr>
            <w:t>[185]</w:t>
          </w:r>
          <w:r w:rsidRPr="00B43409">
            <w:rPr>
              <w:rFonts w:eastAsia="Times New Roman"/>
              <w:color w:val="000000"/>
            </w:rPr>
            <w:tab/>
            <w:t>H.D. Critchley, Review: Electrodermal Responses: What Happens in the Brain, The Neuroscientist 8 (2002) 132–142. https://doi.org/10.1177/107385840200800209.</w:t>
          </w:r>
        </w:p>
        <w:p w14:paraId="6013323C" w14:textId="77777777" w:rsidR="00B43409" w:rsidRPr="00B43409" w:rsidRDefault="00B43409">
          <w:pPr>
            <w:autoSpaceDE w:val="0"/>
            <w:autoSpaceDN w:val="0"/>
            <w:ind w:hanging="640"/>
            <w:divId w:val="1167021203"/>
            <w:rPr>
              <w:rFonts w:eastAsia="Times New Roman"/>
              <w:color w:val="000000"/>
            </w:rPr>
          </w:pPr>
          <w:r w:rsidRPr="00B43409">
            <w:rPr>
              <w:rFonts w:eastAsia="Times New Roman"/>
              <w:color w:val="000000"/>
            </w:rPr>
            <w:t>[186]</w:t>
          </w:r>
          <w:r w:rsidRPr="00B43409">
            <w:rPr>
              <w:rFonts w:eastAsia="Times New Roman"/>
              <w:color w:val="000000"/>
            </w:rPr>
            <w:tab/>
            <w:t>L.I. Crawshaw, E.R. Nadel, J.A.J. Stolwijk, B.A. Stamford, Effect of local cooling on sweating rate and cold sensation, Pflugers Arch. 354 (1975) 19–27. https://doi.org/10.1007/BF00584500.</w:t>
          </w:r>
        </w:p>
        <w:p w14:paraId="5B7B1FD5" w14:textId="77777777" w:rsidR="00B43409" w:rsidRPr="00B43409" w:rsidRDefault="00B43409">
          <w:pPr>
            <w:autoSpaceDE w:val="0"/>
            <w:autoSpaceDN w:val="0"/>
            <w:ind w:hanging="640"/>
            <w:divId w:val="1674870624"/>
            <w:rPr>
              <w:rFonts w:eastAsia="Times New Roman"/>
              <w:color w:val="000000"/>
            </w:rPr>
          </w:pPr>
          <w:r w:rsidRPr="00B43409">
            <w:rPr>
              <w:rFonts w:eastAsia="Times New Roman"/>
              <w:color w:val="000000"/>
            </w:rPr>
            <w:t>[187]</w:t>
          </w:r>
          <w:r w:rsidRPr="00B43409">
            <w:rPr>
              <w:rFonts w:eastAsia="Times New Roman"/>
              <w:color w:val="000000"/>
            </w:rPr>
            <w:tab/>
            <w:t>L.B. Baker, C.T. Ungaro, K.A. Barnes, R.P. Nuccio, A.J. Reimel, J.R. Stofan, Validity and reliability of a field technique for sweat Na+ and K+ analysis during exercise in a hot-humid environment, Physiol. Rep. 2 (2014). https://doi.org/10.14814/phy2.12007.</w:t>
          </w:r>
        </w:p>
        <w:p w14:paraId="1D8107C5" w14:textId="77777777" w:rsidR="00B43409" w:rsidRPr="00B43409" w:rsidRDefault="00B43409">
          <w:pPr>
            <w:autoSpaceDE w:val="0"/>
            <w:autoSpaceDN w:val="0"/>
            <w:ind w:hanging="640"/>
            <w:divId w:val="815804161"/>
            <w:rPr>
              <w:rFonts w:eastAsia="Times New Roman"/>
              <w:color w:val="000000"/>
            </w:rPr>
          </w:pPr>
          <w:r w:rsidRPr="00B43409">
            <w:rPr>
              <w:rFonts w:eastAsia="Times New Roman"/>
              <w:color w:val="000000"/>
            </w:rPr>
            <w:t>[188]</w:t>
          </w:r>
          <w:r w:rsidRPr="00B43409">
            <w:rPr>
              <w:rFonts w:eastAsia="Times New Roman"/>
              <w:color w:val="000000"/>
            </w:rPr>
            <w:tab/>
            <w:t>L.B. Baker, J.R. Stofan, A.A. Hamilton, C.A. Horswill, Comparison of regional patch collection vs. whole body washdown for measuring sweat sodium and potassium loss during exercise, J. Appl. Physiol. 107 (2009) 887–895. https://doi.org/10.1152/japplphysiol.00197.2009.</w:t>
          </w:r>
        </w:p>
        <w:p w14:paraId="7A13DECA" w14:textId="77777777" w:rsidR="00B43409" w:rsidRPr="00B43409" w:rsidRDefault="00B43409">
          <w:pPr>
            <w:autoSpaceDE w:val="0"/>
            <w:autoSpaceDN w:val="0"/>
            <w:ind w:hanging="640"/>
            <w:divId w:val="1024862297"/>
            <w:rPr>
              <w:rFonts w:eastAsia="Times New Roman"/>
              <w:color w:val="000000"/>
            </w:rPr>
          </w:pPr>
          <w:r w:rsidRPr="00B43409">
            <w:rPr>
              <w:rFonts w:eastAsia="Times New Roman"/>
              <w:color w:val="000000"/>
            </w:rPr>
            <w:t>[189]</w:t>
          </w:r>
          <w:r w:rsidRPr="00B43409">
            <w:rPr>
              <w:rFonts w:eastAsia="Times New Roman"/>
              <w:color w:val="000000"/>
            </w:rPr>
            <w:tab/>
            <w:t>H. Yu, J. Sun, Sweat detection theory and fluid driven methods: A review, Nanotechnology and Precision Engineering 3 (2020) 126–140. https://doi.org/10.1016/j.npe.2020.08.003.</w:t>
          </w:r>
        </w:p>
        <w:p w14:paraId="6756DD7F" w14:textId="77777777" w:rsidR="00B43409" w:rsidRPr="00B43409" w:rsidRDefault="00B43409">
          <w:pPr>
            <w:autoSpaceDE w:val="0"/>
            <w:autoSpaceDN w:val="0"/>
            <w:ind w:hanging="640"/>
            <w:divId w:val="15233871"/>
            <w:rPr>
              <w:rFonts w:eastAsia="Times New Roman"/>
              <w:color w:val="000000"/>
            </w:rPr>
          </w:pPr>
          <w:r w:rsidRPr="00B43409">
            <w:rPr>
              <w:rFonts w:eastAsia="Times New Roman"/>
              <w:color w:val="000000"/>
            </w:rPr>
            <w:t>[190]</w:t>
          </w:r>
          <w:r w:rsidRPr="00B43409">
            <w:rPr>
              <w:rFonts w:eastAsia="Times New Roman"/>
              <w:color w:val="000000"/>
            </w:rPr>
            <w:tab/>
            <w:t>S. Madhu, M.S. Alam, S. Ramasamy, J. Choi, Wearable, fabric-based microfluidic systems with integrated electrochemical and colorimetric sensing array for multiplex sweat analysis, Chemical Engineering Journal 504 (2025) 158979. https://doi.org/10.1016/j.cej.2024.158979.</w:t>
          </w:r>
        </w:p>
        <w:p w14:paraId="0A7C438E" w14:textId="77777777" w:rsidR="00B43409" w:rsidRPr="00B43409" w:rsidRDefault="00B43409">
          <w:pPr>
            <w:autoSpaceDE w:val="0"/>
            <w:autoSpaceDN w:val="0"/>
            <w:ind w:hanging="640"/>
            <w:divId w:val="488130949"/>
            <w:rPr>
              <w:rFonts w:eastAsia="Times New Roman"/>
              <w:color w:val="000000"/>
            </w:rPr>
          </w:pPr>
          <w:r w:rsidRPr="00B43409">
            <w:rPr>
              <w:rFonts w:eastAsia="Times New Roman"/>
              <w:color w:val="000000"/>
            </w:rPr>
            <w:t>[191]</w:t>
          </w:r>
          <w:r w:rsidRPr="00B43409">
            <w:rPr>
              <w:rFonts w:eastAsia="Times New Roman"/>
              <w:color w:val="000000"/>
            </w:rPr>
            <w:tab/>
            <w:t>A. Koh, D. Kang, Y. Xue, S. Lee, R.M. Pielak, J. Kim, T. Hwang, S. Min, A. Banks, P. Bastien, M.C. Manco, L. Wang, K.R. Ammann, K. Jang, P. Won, S. Han, R. Ghaffari, U. Paik, M.J. Slepian, G. Balooch, Y. Huang, J.A. Rogers, A soft, wearable microfluidic device for the capture, storage, and colorimetric sensing of sweat, Sci. Transl. Med. 8 (2016). https://doi.org/10.1126/scitranslmed.aaf2593.</w:t>
          </w:r>
        </w:p>
        <w:p w14:paraId="5C386012" w14:textId="77777777" w:rsidR="00B43409" w:rsidRPr="00B43409" w:rsidRDefault="00B43409">
          <w:pPr>
            <w:autoSpaceDE w:val="0"/>
            <w:autoSpaceDN w:val="0"/>
            <w:ind w:hanging="640"/>
            <w:divId w:val="1277060839"/>
            <w:rPr>
              <w:rFonts w:eastAsia="Times New Roman"/>
              <w:color w:val="000000"/>
            </w:rPr>
          </w:pPr>
          <w:r w:rsidRPr="00B43409">
            <w:rPr>
              <w:rFonts w:eastAsia="Times New Roman"/>
              <w:color w:val="000000"/>
            </w:rPr>
            <w:t>[192]</w:t>
          </w:r>
          <w:r w:rsidRPr="00B43409">
            <w:rPr>
              <w:rFonts w:eastAsia="Times New Roman"/>
              <w:color w:val="000000"/>
            </w:rPr>
            <w:tab/>
            <w:t>J.T. Reeder, J. Choi, Y. Xue, P. Gutruf, J. Hanson, M. Liu, T. Ray, A.J. Bandodkar, R. Avila, W. Xia, S. Krishnan, S. Xu, K. Barnes, M. Pahnke, R. Ghaffari, Y. Huang, J.A. Rogers, Waterproof, electronics-enabled, epidermal microfluidic devices for sweat collection, biomarker analysis, and thermography in aquatic settings, Sci. Adv. 5 (2019). https://doi.org/10.1126/sciadv.aau6356.</w:t>
          </w:r>
        </w:p>
        <w:p w14:paraId="79CA894C" w14:textId="77777777" w:rsidR="00B43409" w:rsidRPr="00B43409" w:rsidRDefault="00B43409">
          <w:pPr>
            <w:autoSpaceDE w:val="0"/>
            <w:autoSpaceDN w:val="0"/>
            <w:ind w:hanging="640"/>
            <w:divId w:val="489371531"/>
            <w:rPr>
              <w:rFonts w:eastAsia="Times New Roman"/>
              <w:color w:val="000000"/>
            </w:rPr>
          </w:pPr>
          <w:r w:rsidRPr="00B43409">
            <w:rPr>
              <w:rFonts w:eastAsia="Times New Roman"/>
              <w:color w:val="000000"/>
            </w:rPr>
            <w:t>[193]</w:t>
          </w:r>
          <w:r w:rsidRPr="00B43409">
            <w:rPr>
              <w:rFonts w:eastAsia="Times New Roman"/>
              <w:color w:val="000000"/>
            </w:rPr>
            <w:tab/>
            <w:t>L.B. Baker, Physiology of sweat gland function: The roles of sweating and sweat composition in human health, Temperature 6 (2019) 211–259. https://doi.org/10.1080/23328940.2019.1632145.</w:t>
          </w:r>
        </w:p>
        <w:p w14:paraId="6A0224FD" w14:textId="77777777" w:rsidR="00B43409" w:rsidRPr="00B43409" w:rsidRDefault="00B43409">
          <w:pPr>
            <w:autoSpaceDE w:val="0"/>
            <w:autoSpaceDN w:val="0"/>
            <w:ind w:hanging="640"/>
            <w:divId w:val="1107584679"/>
            <w:rPr>
              <w:rFonts w:eastAsia="Times New Roman"/>
              <w:color w:val="000000"/>
            </w:rPr>
          </w:pPr>
          <w:r w:rsidRPr="00B43409">
            <w:rPr>
              <w:rFonts w:eastAsia="Times New Roman"/>
              <w:color w:val="000000"/>
            </w:rPr>
            <w:t>[194]</w:t>
          </w:r>
          <w:r w:rsidRPr="00B43409">
            <w:rPr>
              <w:rFonts w:eastAsia="Times New Roman"/>
              <w:color w:val="000000"/>
            </w:rPr>
            <w:tab/>
            <w:t>N.A.S. Taylor, C.A. Machado-Moreira, Regional variations in transepidermal water loss, eccrine sweat gland density, sweat secretion rates and electrolyte composition in resting and exercising humans, Extrem. Physiol. Med. 2 (2013) 1. https://doi.org/10.1186/2046-7648-2-4.</w:t>
          </w:r>
        </w:p>
        <w:p w14:paraId="6F51EBD4" w14:textId="77777777" w:rsidR="00B43409" w:rsidRPr="00B43409" w:rsidRDefault="00B43409">
          <w:pPr>
            <w:autoSpaceDE w:val="0"/>
            <w:autoSpaceDN w:val="0"/>
            <w:ind w:hanging="640"/>
            <w:divId w:val="1832982094"/>
            <w:rPr>
              <w:rFonts w:eastAsia="Times New Roman"/>
              <w:color w:val="000000"/>
            </w:rPr>
          </w:pPr>
          <w:r w:rsidRPr="00B43409">
            <w:rPr>
              <w:rFonts w:eastAsia="Times New Roman"/>
              <w:color w:val="000000"/>
            </w:rPr>
            <w:t>[195]</w:t>
          </w:r>
          <w:r w:rsidRPr="00B43409">
            <w:rPr>
              <w:rFonts w:eastAsia="Times New Roman"/>
              <w:color w:val="000000"/>
            </w:rPr>
            <w:tab/>
            <w:t>N.A. Coull, A.M. West, S.G. Hodder, P. Wheeler, G. Havenith, Body mapping of regional sweat distribution in young and older males, Eur. J. Appl. Physiol. 121 (2021) 109–125. https://doi.org/10.1007/s00421-020-04503-5.</w:t>
          </w:r>
        </w:p>
        <w:p w14:paraId="34D10FC3" w14:textId="77777777" w:rsidR="00B43409" w:rsidRPr="00B43409" w:rsidRDefault="00B43409">
          <w:pPr>
            <w:autoSpaceDE w:val="0"/>
            <w:autoSpaceDN w:val="0"/>
            <w:ind w:hanging="640"/>
            <w:divId w:val="1474255940"/>
            <w:rPr>
              <w:rFonts w:eastAsia="Times New Roman"/>
              <w:color w:val="000000"/>
            </w:rPr>
          </w:pPr>
          <w:r w:rsidRPr="00B43409">
            <w:rPr>
              <w:rFonts w:eastAsia="Times New Roman"/>
              <w:color w:val="000000"/>
            </w:rPr>
            <w:t>[196]</w:t>
          </w:r>
          <w:r w:rsidRPr="00B43409">
            <w:rPr>
              <w:rFonts w:eastAsia="Times New Roman"/>
              <w:color w:val="000000"/>
            </w:rPr>
            <w:tab/>
            <w:t>R.W. Kenefick, S.N. Cheuvront, L.D. Elliott, B.R. Ely, M.N. Sawka, Biological and analytical variation of the human sweating response: Implications for study design and analysis, Am. J. Physiol. Regul. Integr. Comp. Physiol. 302 (2012) 252–258. https://doi.org/10.1152/ajpregu.00456.2011.</w:t>
          </w:r>
        </w:p>
        <w:p w14:paraId="53568D78" w14:textId="77777777" w:rsidR="00B43409" w:rsidRPr="00B43409" w:rsidRDefault="00B43409">
          <w:pPr>
            <w:autoSpaceDE w:val="0"/>
            <w:autoSpaceDN w:val="0"/>
            <w:ind w:hanging="640"/>
            <w:divId w:val="2086343000"/>
            <w:rPr>
              <w:rFonts w:eastAsia="Times New Roman"/>
              <w:color w:val="000000"/>
            </w:rPr>
          </w:pPr>
          <w:r w:rsidRPr="00B43409">
            <w:rPr>
              <w:rFonts w:eastAsia="Times New Roman"/>
              <w:color w:val="000000"/>
            </w:rPr>
            <w:t>[197]</w:t>
          </w:r>
          <w:r w:rsidRPr="00B43409">
            <w:rPr>
              <w:rFonts w:eastAsia="Times New Roman"/>
              <w:color w:val="000000"/>
            </w:rPr>
            <w:tab/>
            <w:t>M.M. Rutherford, A.P. Akerman, S.R. Notley, R.D. Meade, M.D. Schmidt, G.P. Kenny, Regional variation in the reliability of sweat rate measured via the ventilated capsule technique during passive heating, Exp. Physiol. 106 (2021) 615–633. https://doi.org/10.1113/EP089074.</w:t>
          </w:r>
        </w:p>
        <w:p w14:paraId="3A7E286F" w14:textId="77777777" w:rsidR="00B43409" w:rsidRPr="00B43409" w:rsidRDefault="00B43409">
          <w:pPr>
            <w:autoSpaceDE w:val="0"/>
            <w:autoSpaceDN w:val="0"/>
            <w:ind w:hanging="640"/>
            <w:divId w:val="1294554339"/>
            <w:rPr>
              <w:rFonts w:eastAsia="Times New Roman"/>
              <w:color w:val="000000"/>
            </w:rPr>
          </w:pPr>
          <w:r w:rsidRPr="00B43409">
            <w:rPr>
              <w:rFonts w:eastAsia="Times New Roman"/>
              <w:color w:val="000000"/>
            </w:rPr>
            <w:lastRenderedPageBreak/>
            <w:t>[198]</w:t>
          </w:r>
          <w:r w:rsidRPr="00B43409">
            <w:rPr>
              <w:rFonts w:eastAsia="Times New Roman"/>
              <w:color w:val="000000"/>
            </w:rPr>
            <w:tab/>
            <w:t>N.B. Morris, M.N. Cramer, S.G. Hodder, G. Havenith, O. Jay, A comparison between the technical absorbent and ventilated capsule methods for measuring local sweat rate, J. Appl. Physiol. 114 (2013) 816–823. https://doi.org/10.1152/japplphysiol.01088.2012.</w:t>
          </w:r>
        </w:p>
        <w:p w14:paraId="14E1FD1F" w14:textId="77777777" w:rsidR="00B43409" w:rsidRPr="00B43409" w:rsidRDefault="00B43409">
          <w:pPr>
            <w:autoSpaceDE w:val="0"/>
            <w:autoSpaceDN w:val="0"/>
            <w:ind w:hanging="640"/>
            <w:divId w:val="1869027420"/>
            <w:rPr>
              <w:rFonts w:eastAsia="Times New Roman"/>
              <w:color w:val="000000"/>
            </w:rPr>
          </w:pPr>
          <w:r w:rsidRPr="00B43409">
            <w:rPr>
              <w:rFonts w:eastAsia="Times New Roman"/>
              <w:color w:val="000000"/>
            </w:rPr>
            <w:t>[199]</w:t>
          </w:r>
          <w:r w:rsidRPr="00B43409">
            <w:rPr>
              <w:rFonts w:eastAsia="Times New Roman"/>
              <w:color w:val="000000"/>
            </w:rPr>
            <w:tab/>
            <w:t>M.-B. Hossain, Y. Kong, H.F. Posada-Quintero, K.H. Chon, Comparison of Electrodermal Activity from Multiple Body Locations Based on Standard EDA Indices’ Quality and Robustness against Motion Artifact, Sensors 22 (2022) 3177. https://doi.org/10.3390/s22093177.</w:t>
          </w:r>
        </w:p>
        <w:p w14:paraId="3CB85D16" w14:textId="77777777" w:rsidR="00B43409" w:rsidRPr="00B43409" w:rsidRDefault="00B43409">
          <w:pPr>
            <w:autoSpaceDE w:val="0"/>
            <w:autoSpaceDN w:val="0"/>
            <w:ind w:hanging="640"/>
            <w:divId w:val="2094735026"/>
            <w:rPr>
              <w:rFonts w:eastAsia="Times New Roman"/>
              <w:color w:val="000000"/>
            </w:rPr>
          </w:pPr>
          <w:r w:rsidRPr="00B43409">
            <w:rPr>
              <w:rFonts w:eastAsia="Times New Roman"/>
              <w:color w:val="000000"/>
            </w:rPr>
            <w:t>[200]</w:t>
          </w:r>
          <w:r w:rsidRPr="00B43409">
            <w:rPr>
              <w:rFonts w:eastAsia="Times New Roman"/>
              <w:color w:val="000000"/>
            </w:rPr>
            <w:tab/>
            <w:t>M. Harker, Psychological Sweating: A Systematic Review Focused on Aetiology and Cutaneous Response, Skin Pharmacol. Physiol. 26 (2013) 92–100. https://doi.org/10.1159/000346930.</w:t>
          </w:r>
        </w:p>
        <w:p w14:paraId="07D7F222" w14:textId="77777777" w:rsidR="00B43409" w:rsidRPr="00B43409" w:rsidRDefault="00B43409">
          <w:pPr>
            <w:autoSpaceDE w:val="0"/>
            <w:autoSpaceDN w:val="0"/>
            <w:ind w:hanging="640"/>
            <w:divId w:val="1908104715"/>
            <w:rPr>
              <w:rFonts w:eastAsia="Times New Roman"/>
              <w:color w:val="000000"/>
            </w:rPr>
          </w:pPr>
          <w:r w:rsidRPr="00B43409">
            <w:rPr>
              <w:rFonts w:eastAsia="Times New Roman"/>
              <w:color w:val="000000"/>
            </w:rPr>
            <w:t>[201]</w:t>
          </w:r>
          <w:r w:rsidRPr="00B43409">
            <w:rPr>
              <w:rFonts w:eastAsia="Times New Roman"/>
              <w:color w:val="000000"/>
            </w:rPr>
            <w:tab/>
            <w:t>J. Wohlrab, F.G. Bechara, C. Schick, M. Naumann, Hyperhidrosis: A Central Nervous Dysfunction of Sweat Secretion, Dermatol. Ther. (Heidelb). 13 (2023) 453–463. https://doi.org/10.1007/s13555-022-00885-w.</w:t>
          </w:r>
        </w:p>
        <w:p w14:paraId="0270AD5D" w14:textId="77777777" w:rsidR="00B43409" w:rsidRPr="00B43409" w:rsidRDefault="00B43409">
          <w:pPr>
            <w:autoSpaceDE w:val="0"/>
            <w:autoSpaceDN w:val="0"/>
            <w:ind w:hanging="640"/>
            <w:divId w:val="324868806"/>
            <w:rPr>
              <w:rFonts w:eastAsia="Times New Roman"/>
              <w:color w:val="000000"/>
            </w:rPr>
          </w:pPr>
          <w:r w:rsidRPr="00B43409">
            <w:rPr>
              <w:rFonts w:eastAsia="Times New Roman"/>
              <w:color w:val="000000"/>
            </w:rPr>
            <w:t>[202]</w:t>
          </w:r>
          <w:r w:rsidRPr="00B43409">
            <w:rPr>
              <w:rFonts w:eastAsia="Times New Roman"/>
              <w:color w:val="000000"/>
            </w:rPr>
            <w:tab/>
            <w:t>R. Laskawi, M. Ellies, R. Röodel, C. Schoenebeck, Gustatory sweating: Clinical implications and etiologic aspects, Journal of Oral and Maxillofacial Surgery 57 (1999) 642–648. https://doi.org/10.1016/S0278-2391(99)90420-2.</w:t>
          </w:r>
        </w:p>
        <w:p w14:paraId="37B7864D" w14:textId="77777777" w:rsidR="00B43409" w:rsidRPr="00B43409" w:rsidRDefault="00B43409">
          <w:pPr>
            <w:autoSpaceDE w:val="0"/>
            <w:autoSpaceDN w:val="0"/>
            <w:ind w:hanging="640"/>
            <w:divId w:val="1099332809"/>
            <w:rPr>
              <w:rFonts w:eastAsia="Times New Roman"/>
              <w:color w:val="000000"/>
            </w:rPr>
          </w:pPr>
          <w:r w:rsidRPr="00B43409">
            <w:rPr>
              <w:rFonts w:eastAsia="Times New Roman"/>
              <w:color w:val="000000"/>
            </w:rPr>
            <w:t>[203]</w:t>
          </w:r>
          <w:r w:rsidRPr="00B43409">
            <w:rPr>
              <w:rFonts w:eastAsia="Times New Roman"/>
              <w:color w:val="000000"/>
            </w:rPr>
            <w:tab/>
            <w:t>C. O’Brien, B.S. Cadarette, Quantification of head sweating during rest and exercise in the heat, Eur. J. Appl. Physiol. 113 (2013) 735–741. https://doi.org/10.1007/s00421-012-2482-x.</w:t>
          </w:r>
        </w:p>
        <w:p w14:paraId="16A816B0" w14:textId="77777777" w:rsidR="00B43409" w:rsidRPr="00B43409" w:rsidRDefault="00B43409">
          <w:pPr>
            <w:autoSpaceDE w:val="0"/>
            <w:autoSpaceDN w:val="0"/>
            <w:ind w:hanging="640"/>
            <w:divId w:val="1442383707"/>
            <w:rPr>
              <w:rFonts w:eastAsia="Times New Roman"/>
              <w:color w:val="000000"/>
            </w:rPr>
          </w:pPr>
          <w:r w:rsidRPr="00B43409">
            <w:rPr>
              <w:rFonts w:eastAsia="Times New Roman"/>
              <w:color w:val="000000"/>
            </w:rPr>
            <w:t>[204]</w:t>
          </w:r>
          <w:r w:rsidRPr="00B43409">
            <w:rPr>
              <w:rFonts w:eastAsia="Times New Roman"/>
              <w:color w:val="000000"/>
            </w:rPr>
            <w:tab/>
            <w:t>J. He, Y. Liu, H. Wu, Y. Liu, Association of Facial Infrared Thermography with Thermal Comfort and Cognitive Performance in Summer Indoor Environments, Energy and Built Environment (2025). https://doi.org/10.1016/j.enbenv.2025.10.003.</w:t>
          </w:r>
        </w:p>
        <w:p w14:paraId="497B18D5" w14:textId="77777777" w:rsidR="00B43409" w:rsidRPr="00B43409" w:rsidRDefault="00B43409">
          <w:pPr>
            <w:autoSpaceDE w:val="0"/>
            <w:autoSpaceDN w:val="0"/>
            <w:ind w:hanging="640"/>
            <w:divId w:val="1145581609"/>
            <w:rPr>
              <w:rFonts w:eastAsia="Times New Roman"/>
              <w:color w:val="000000"/>
            </w:rPr>
          </w:pPr>
          <w:r w:rsidRPr="00B43409">
            <w:rPr>
              <w:rFonts w:eastAsia="Times New Roman"/>
              <w:color w:val="000000"/>
            </w:rPr>
            <w:t>[205]</w:t>
          </w:r>
          <w:r w:rsidRPr="00B43409">
            <w:rPr>
              <w:rFonts w:eastAsia="Times New Roman"/>
              <w:color w:val="000000"/>
            </w:rPr>
            <w:tab/>
            <w:t>M. Benedek, C. Kaernbach, Decomposition of skin conductance data by means of nonnegative deconvolution, Psychophysiology 47 (2010) 647–658. https://doi.org/10.1111/j.1469-8986.2009.00972.x.</w:t>
          </w:r>
        </w:p>
        <w:p w14:paraId="12747461" w14:textId="77777777" w:rsidR="00B43409" w:rsidRPr="00B43409" w:rsidRDefault="00B43409">
          <w:pPr>
            <w:autoSpaceDE w:val="0"/>
            <w:autoSpaceDN w:val="0"/>
            <w:ind w:hanging="640"/>
            <w:divId w:val="1821926291"/>
            <w:rPr>
              <w:rFonts w:eastAsia="Times New Roman"/>
              <w:color w:val="000000"/>
            </w:rPr>
          </w:pPr>
          <w:r w:rsidRPr="00B43409">
            <w:rPr>
              <w:rFonts w:eastAsia="Times New Roman"/>
              <w:color w:val="000000"/>
            </w:rPr>
            <w:t>[206]</w:t>
          </w:r>
          <w:r w:rsidRPr="00B43409">
            <w:rPr>
              <w:rFonts w:eastAsia="Times New Roman"/>
              <w:color w:val="000000"/>
            </w:rPr>
            <w:tab/>
            <w:t>K. Aoki, N. Kondo, M. Shibasaki, S. Takano, H. Tominaga, T. Katsuura, Circadian variation of sweating responses to passive heat stress, Acta Physiol. Scand. 161 (1997) 397–402. https://doi.org/10.1046/j.1365-201X.1997.d01-1981.x.</w:t>
          </w:r>
        </w:p>
        <w:p w14:paraId="18A16E47" w14:textId="77777777" w:rsidR="00B43409" w:rsidRPr="00B43409" w:rsidRDefault="00B43409">
          <w:pPr>
            <w:autoSpaceDE w:val="0"/>
            <w:autoSpaceDN w:val="0"/>
            <w:ind w:hanging="640"/>
            <w:divId w:val="1373725656"/>
            <w:rPr>
              <w:rFonts w:eastAsia="Times New Roman"/>
              <w:color w:val="000000"/>
            </w:rPr>
          </w:pPr>
          <w:r w:rsidRPr="00B43409">
            <w:rPr>
              <w:rFonts w:eastAsia="Times New Roman"/>
              <w:color w:val="000000"/>
            </w:rPr>
            <w:t>[207]</w:t>
          </w:r>
          <w:r w:rsidRPr="00B43409">
            <w:rPr>
              <w:rFonts w:eastAsia="Times New Roman"/>
              <w:color w:val="000000"/>
            </w:rPr>
            <w:tab/>
            <w:t>F. Tayefeh, O. Plattner, D.I. Sessler, T. Ikeda, D. Marder, Circadian changes in the sweating-to-vasoconstriction interthreshold range, Pflugers Arch. 435 (1998) 402–406. https://doi.org/10.1007/s004240050530.</w:t>
          </w:r>
        </w:p>
        <w:p w14:paraId="041066C0" w14:textId="77777777" w:rsidR="00B43409" w:rsidRPr="00B43409" w:rsidRDefault="00B43409">
          <w:pPr>
            <w:autoSpaceDE w:val="0"/>
            <w:autoSpaceDN w:val="0"/>
            <w:ind w:hanging="640"/>
            <w:divId w:val="666714070"/>
            <w:rPr>
              <w:rFonts w:eastAsia="Times New Roman"/>
              <w:color w:val="000000"/>
            </w:rPr>
          </w:pPr>
          <w:r w:rsidRPr="00B43409">
            <w:rPr>
              <w:rFonts w:eastAsia="Times New Roman"/>
              <w:color w:val="000000"/>
            </w:rPr>
            <w:t>[208]</w:t>
          </w:r>
          <w:r w:rsidRPr="00B43409">
            <w:rPr>
              <w:rFonts w:eastAsia="Times New Roman"/>
              <w:color w:val="000000"/>
            </w:rPr>
            <w:tab/>
            <w:t>J. Timbal, J. Colin, C. Boutelier, Circadian variations in the sweating mechanism, J. Appl. Physiol. 39 (1975) 226–230. https://doi.org/https://doi.org/10.1152/jappl.1975.39.2.226.</w:t>
          </w:r>
        </w:p>
        <w:p w14:paraId="044275C5" w14:textId="77777777" w:rsidR="00B43409" w:rsidRPr="00B43409" w:rsidRDefault="00B43409">
          <w:pPr>
            <w:autoSpaceDE w:val="0"/>
            <w:autoSpaceDN w:val="0"/>
            <w:ind w:hanging="640"/>
            <w:divId w:val="890653157"/>
            <w:rPr>
              <w:rFonts w:eastAsia="Times New Roman"/>
              <w:color w:val="000000"/>
            </w:rPr>
          </w:pPr>
          <w:r w:rsidRPr="00B43409">
            <w:rPr>
              <w:rFonts w:eastAsia="Times New Roman"/>
              <w:color w:val="000000"/>
            </w:rPr>
            <w:t>[209]</w:t>
          </w:r>
          <w:r w:rsidRPr="00B43409">
            <w:rPr>
              <w:rFonts w:eastAsia="Times New Roman"/>
              <w:color w:val="000000"/>
            </w:rPr>
            <w:tab/>
            <w:t>J. Kim, B. Ku, J.H. Bae, G.C. Han, J.U. Kim, Contrast in the circadian behaviors of an electrodermal activity and bioimpedance spectroscopy, Chronobiol. Int. 35 (2018) 1413–1422. https://doi.org/10.1080/07420528.2018.1486852.</w:t>
          </w:r>
        </w:p>
        <w:p w14:paraId="04ACCBE1" w14:textId="77777777" w:rsidR="00B43409" w:rsidRPr="00B43409" w:rsidRDefault="00B43409">
          <w:pPr>
            <w:autoSpaceDE w:val="0"/>
            <w:autoSpaceDN w:val="0"/>
            <w:ind w:hanging="640"/>
            <w:divId w:val="910894583"/>
            <w:rPr>
              <w:rFonts w:eastAsia="Times New Roman"/>
              <w:color w:val="000000"/>
            </w:rPr>
          </w:pPr>
          <w:r w:rsidRPr="00B43409">
            <w:rPr>
              <w:rFonts w:eastAsia="Times New Roman"/>
              <w:color w:val="000000"/>
            </w:rPr>
            <w:t>[210]</w:t>
          </w:r>
          <w:r w:rsidRPr="00B43409">
            <w:rPr>
              <w:rFonts w:eastAsia="Times New Roman"/>
              <w:color w:val="000000"/>
            </w:rPr>
            <w:tab/>
            <w:t>A. Sano, R.W. Picard, R. Stickgold, Quantitative analysis of wrist electrodermal activity during sleep, International Journal of Psychophysiology 94 (2014) 382–389. https://doi.org/10.1016/j.ijpsycho.2014.09.011.</w:t>
          </w:r>
        </w:p>
        <w:p w14:paraId="74162AE3" w14:textId="77777777" w:rsidR="00B43409" w:rsidRPr="00B43409" w:rsidRDefault="00B43409">
          <w:pPr>
            <w:autoSpaceDE w:val="0"/>
            <w:autoSpaceDN w:val="0"/>
            <w:ind w:hanging="640"/>
            <w:divId w:val="1961573607"/>
            <w:rPr>
              <w:rFonts w:eastAsia="Times New Roman"/>
              <w:color w:val="000000"/>
            </w:rPr>
          </w:pPr>
          <w:r w:rsidRPr="00B43409">
            <w:rPr>
              <w:rFonts w:eastAsia="Times New Roman"/>
              <w:color w:val="000000"/>
            </w:rPr>
            <w:t>[211]</w:t>
          </w:r>
          <w:r w:rsidRPr="00B43409">
            <w:rPr>
              <w:rFonts w:eastAsia="Times New Roman"/>
              <w:color w:val="000000"/>
            </w:rPr>
            <w:tab/>
            <w:t>C.A. Czeisler, J.F. Duffy, T.L. Shanahan, E.N. Brown, J.F. Mitchell, D.W. Rimmer, J.M. Ronda, E.J. Silva, J.S. Allan, J.S. Emens, D.J. Dijk, R.E. Kronauer, Stability, precision, and near-24-hour period of the human circadian pacemaker, Science (1979). 284 (1999) 2177–2181. https://doi.org/10.1126/science.284.5423.2177.</w:t>
          </w:r>
        </w:p>
        <w:p w14:paraId="1178307E" w14:textId="77777777" w:rsidR="00B43409" w:rsidRPr="00B43409" w:rsidRDefault="00B43409">
          <w:pPr>
            <w:autoSpaceDE w:val="0"/>
            <w:autoSpaceDN w:val="0"/>
            <w:ind w:hanging="640"/>
            <w:divId w:val="1284771610"/>
            <w:rPr>
              <w:rFonts w:eastAsia="Times New Roman"/>
              <w:color w:val="000000"/>
            </w:rPr>
          </w:pPr>
          <w:r w:rsidRPr="00B43409">
            <w:rPr>
              <w:rFonts w:eastAsia="Times New Roman"/>
              <w:color w:val="000000"/>
            </w:rPr>
            <w:t>[212]</w:t>
          </w:r>
          <w:r w:rsidRPr="00B43409">
            <w:rPr>
              <w:rFonts w:eastAsia="Times New Roman"/>
              <w:color w:val="000000"/>
            </w:rPr>
            <w:tab/>
            <w:t>D. Gagnon, O. Jay, B. Lemire, G.P. Kenny, Sex-related differences in evaporative heat loss: The importance of metabolic heat production, Eur. J. Appl. Physiol. 104 (2008) 821–829. https://doi.org/10.1007/s00421-008-0837-0.</w:t>
          </w:r>
        </w:p>
        <w:p w14:paraId="4AE90626" w14:textId="77777777" w:rsidR="00B43409" w:rsidRPr="00B43409" w:rsidRDefault="00B43409">
          <w:pPr>
            <w:autoSpaceDE w:val="0"/>
            <w:autoSpaceDN w:val="0"/>
            <w:ind w:hanging="640"/>
            <w:divId w:val="1372223348"/>
            <w:rPr>
              <w:rFonts w:eastAsia="Times New Roman"/>
              <w:color w:val="000000"/>
            </w:rPr>
          </w:pPr>
          <w:r w:rsidRPr="00B43409">
            <w:rPr>
              <w:rFonts w:eastAsia="Times New Roman"/>
              <w:color w:val="000000"/>
            </w:rPr>
            <w:lastRenderedPageBreak/>
            <w:t>[213]</w:t>
          </w:r>
          <w:r w:rsidRPr="00B43409">
            <w:rPr>
              <w:rFonts w:eastAsia="Times New Roman"/>
              <w:color w:val="000000"/>
            </w:rPr>
            <w:tab/>
            <w:t>D. Gagnon, G.P. Kenny, Does sex have an independent effect on thermoeffector responses during exercise in the heat?, Journal of Physiology 590 (2012) 5963–5973. https://doi.org/10.1113/jphysiol.2012.240739.</w:t>
          </w:r>
        </w:p>
        <w:p w14:paraId="689DB85E" w14:textId="77777777" w:rsidR="00B43409" w:rsidRPr="00B43409" w:rsidRDefault="00B43409">
          <w:pPr>
            <w:autoSpaceDE w:val="0"/>
            <w:autoSpaceDN w:val="0"/>
            <w:ind w:hanging="640"/>
            <w:divId w:val="1392772162"/>
            <w:rPr>
              <w:rFonts w:eastAsia="Times New Roman"/>
              <w:color w:val="000000"/>
            </w:rPr>
          </w:pPr>
          <w:r w:rsidRPr="00B43409">
            <w:rPr>
              <w:rFonts w:eastAsia="Times New Roman"/>
              <w:color w:val="000000"/>
            </w:rPr>
            <w:t>[214]</w:t>
          </w:r>
          <w:r w:rsidRPr="00B43409">
            <w:rPr>
              <w:rFonts w:eastAsia="Times New Roman"/>
              <w:color w:val="000000"/>
            </w:rPr>
            <w:tab/>
            <w:t>D. Gagnon, G.P. Kenny, Sex differences in thermoeffector responses during exercise at fixed requirements for heat loss, J. Appl. Physiol. 113 (2012) 746–757. https://doi.org/10.1152/japplphysiol.00637.2012.</w:t>
          </w:r>
        </w:p>
        <w:p w14:paraId="05B6E2D1" w14:textId="77777777" w:rsidR="00B43409" w:rsidRPr="00B43409" w:rsidRDefault="00B43409">
          <w:pPr>
            <w:autoSpaceDE w:val="0"/>
            <w:autoSpaceDN w:val="0"/>
            <w:ind w:hanging="640"/>
            <w:divId w:val="1662269285"/>
            <w:rPr>
              <w:rFonts w:eastAsia="Times New Roman"/>
              <w:color w:val="000000"/>
            </w:rPr>
          </w:pPr>
          <w:r w:rsidRPr="00B43409">
            <w:rPr>
              <w:rFonts w:eastAsia="Times New Roman"/>
              <w:color w:val="000000"/>
            </w:rPr>
            <w:t>[215]</w:t>
          </w:r>
          <w:r w:rsidRPr="00B43409">
            <w:rPr>
              <w:rFonts w:eastAsia="Times New Roman"/>
              <w:color w:val="000000"/>
            </w:rPr>
            <w:tab/>
            <w:t>D. Gagnon, C.G. Crandall, G.P. Kenny, Sex differences in postsynaptic sweating and cutaneous vasodilation, J. Appl. Physiol. 114 (2013) 394–401. https://doi.org/10.1152/japplphysiol.00877.2012.</w:t>
          </w:r>
        </w:p>
        <w:p w14:paraId="54281848" w14:textId="77777777" w:rsidR="00B43409" w:rsidRPr="00B43409" w:rsidRDefault="00B43409">
          <w:pPr>
            <w:autoSpaceDE w:val="0"/>
            <w:autoSpaceDN w:val="0"/>
            <w:ind w:hanging="640"/>
            <w:divId w:val="794250689"/>
            <w:rPr>
              <w:rFonts w:eastAsia="Times New Roman"/>
              <w:color w:val="000000"/>
            </w:rPr>
          </w:pPr>
          <w:r w:rsidRPr="00B43409">
            <w:rPr>
              <w:rFonts w:eastAsia="Times New Roman"/>
              <w:color w:val="000000"/>
            </w:rPr>
            <w:t>[216]</w:t>
          </w:r>
          <w:r w:rsidRPr="00B43409">
            <w:rPr>
              <w:rFonts w:eastAsia="Times New Roman"/>
              <w:color w:val="000000"/>
            </w:rPr>
            <w:tab/>
            <w:t>R. Yanovich, I. Ketko, N. Charkoudian, Sex differences in human thermoregulation: Relevance for 2020 and beyond, Physiology 35 (2020) 177–184. https://doi.org/10.1152/physiol.00035.2019.</w:t>
          </w:r>
        </w:p>
        <w:p w14:paraId="21387061" w14:textId="77777777" w:rsidR="00B43409" w:rsidRPr="00B43409" w:rsidRDefault="00B43409">
          <w:pPr>
            <w:autoSpaceDE w:val="0"/>
            <w:autoSpaceDN w:val="0"/>
            <w:ind w:hanging="640"/>
            <w:divId w:val="1492794170"/>
            <w:rPr>
              <w:rFonts w:eastAsia="Times New Roman"/>
              <w:color w:val="000000"/>
            </w:rPr>
          </w:pPr>
          <w:r w:rsidRPr="00B43409">
            <w:rPr>
              <w:rFonts w:eastAsia="Times New Roman"/>
              <w:color w:val="000000"/>
            </w:rPr>
            <w:t>[217]</w:t>
          </w:r>
          <w:r w:rsidRPr="00B43409">
            <w:rPr>
              <w:rFonts w:eastAsia="Times New Roman"/>
              <w:color w:val="000000"/>
            </w:rPr>
            <w:tab/>
            <w:t>T.H. Lei, J.D. Cotter, Z.J. Schlader, S.R. Stannard, B.G. Perry, M.J. Barnes, T. Mündel, On exercise thermoregulation in females: interaction of endogenous and exogenous ovarian hormones, Journal of Physiology 597 (2019) 71–88. https://doi.org/10.1113/JP276233.</w:t>
          </w:r>
        </w:p>
        <w:p w14:paraId="0D3BF423" w14:textId="77777777" w:rsidR="00B43409" w:rsidRPr="00B43409" w:rsidRDefault="00B43409">
          <w:pPr>
            <w:autoSpaceDE w:val="0"/>
            <w:autoSpaceDN w:val="0"/>
            <w:ind w:hanging="640"/>
            <w:divId w:val="211430717"/>
            <w:rPr>
              <w:rFonts w:eastAsia="Times New Roman"/>
              <w:color w:val="000000"/>
            </w:rPr>
          </w:pPr>
          <w:r w:rsidRPr="00B43409">
            <w:rPr>
              <w:rFonts w:eastAsia="Times New Roman"/>
              <w:color w:val="000000"/>
            </w:rPr>
            <w:t>[218]</w:t>
          </w:r>
          <w:r w:rsidRPr="00B43409">
            <w:rPr>
              <w:rFonts w:eastAsia="Times New Roman"/>
              <w:color w:val="000000"/>
            </w:rPr>
            <w:tab/>
            <w:t>C.J. SMITH, G. HAVENITH, Body Mapping of Sweating Patterns in Athletes, Med. Sci. Sports Exerc. 44 (2012) 2350–2361. https://doi.org/10.1249/MSS.0b013e318267b0c4.</w:t>
          </w:r>
        </w:p>
        <w:p w14:paraId="50118D59" w14:textId="77777777" w:rsidR="00B43409" w:rsidRPr="00B43409" w:rsidRDefault="00B43409">
          <w:pPr>
            <w:autoSpaceDE w:val="0"/>
            <w:autoSpaceDN w:val="0"/>
            <w:ind w:hanging="640"/>
            <w:divId w:val="102461871"/>
            <w:rPr>
              <w:rFonts w:eastAsia="Times New Roman"/>
              <w:color w:val="000000"/>
            </w:rPr>
          </w:pPr>
          <w:r w:rsidRPr="00B43409">
            <w:rPr>
              <w:rFonts w:eastAsia="Times New Roman"/>
              <w:color w:val="000000"/>
            </w:rPr>
            <w:t>[219]</w:t>
          </w:r>
          <w:r w:rsidRPr="00B43409">
            <w:rPr>
              <w:rFonts w:eastAsia="Times New Roman"/>
              <w:color w:val="000000"/>
            </w:rPr>
            <w:tab/>
            <w:t>S.L. Israel, O. Schneller, The Thermogenic Property of Progesterone, Fertil. Steril. 1 (1950) 53–65. https://doi.org/10.1016/s0015-0282(16)30066-8.</w:t>
          </w:r>
        </w:p>
        <w:p w14:paraId="4C6876BC" w14:textId="77777777" w:rsidR="00B43409" w:rsidRPr="00B43409" w:rsidRDefault="00B43409">
          <w:pPr>
            <w:autoSpaceDE w:val="0"/>
            <w:autoSpaceDN w:val="0"/>
            <w:ind w:hanging="640"/>
            <w:divId w:val="1261337352"/>
            <w:rPr>
              <w:rFonts w:eastAsia="Times New Roman"/>
              <w:color w:val="000000"/>
            </w:rPr>
          </w:pPr>
          <w:r w:rsidRPr="00B43409">
            <w:rPr>
              <w:rFonts w:eastAsia="Times New Roman"/>
              <w:color w:val="000000"/>
            </w:rPr>
            <w:t>[220]</w:t>
          </w:r>
          <w:r w:rsidRPr="00B43409">
            <w:rPr>
              <w:rFonts w:eastAsia="Times New Roman"/>
              <w:color w:val="000000"/>
            </w:rPr>
            <w:tab/>
            <w:t>N. Charkoudian, N.S. Stachenfeld, Reproductive Hormone Influences on Thermoregulation in Women, in: Compr. Physiol., Wiley, 2014: pp. 793–804. https://doi.org/10.1002/cphy.c130029.</w:t>
          </w:r>
        </w:p>
        <w:p w14:paraId="5E9FD73F" w14:textId="77777777" w:rsidR="00B43409" w:rsidRPr="00B43409" w:rsidRDefault="00B43409">
          <w:pPr>
            <w:autoSpaceDE w:val="0"/>
            <w:autoSpaceDN w:val="0"/>
            <w:ind w:hanging="640"/>
            <w:divId w:val="1607035221"/>
            <w:rPr>
              <w:rFonts w:eastAsia="Times New Roman"/>
              <w:color w:val="000000"/>
            </w:rPr>
          </w:pPr>
          <w:r w:rsidRPr="00B43409">
            <w:rPr>
              <w:rFonts w:eastAsia="Times New Roman"/>
              <w:color w:val="000000"/>
            </w:rPr>
            <w:t>[221]</w:t>
          </w:r>
          <w:r w:rsidRPr="00B43409">
            <w:rPr>
              <w:rFonts w:eastAsia="Times New Roman"/>
              <w:color w:val="000000"/>
            </w:rPr>
            <w:tab/>
            <w:t>L.A. Stephenson, M.A. Kolka, Menstrual cycle phase and time of day alter reference signal controlling arm blood flow and sweating, Am. J. Physiol. Regul. Integr. Comp. Physiol. 18 (1985). https://doi.org/10.1152/ajpregu.1985.249.2.r186.</w:t>
          </w:r>
        </w:p>
        <w:p w14:paraId="35117AA2" w14:textId="77777777" w:rsidR="00B43409" w:rsidRPr="00B43409" w:rsidRDefault="00B43409">
          <w:pPr>
            <w:autoSpaceDE w:val="0"/>
            <w:autoSpaceDN w:val="0"/>
            <w:ind w:hanging="640"/>
            <w:divId w:val="1329595225"/>
            <w:rPr>
              <w:rFonts w:eastAsia="Times New Roman"/>
              <w:color w:val="000000"/>
            </w:rPr>
          </w:pPr>
          <w:r w:rsidRPr="00B43409">
            <w:rPr>
              <w:rFonts w:eastAsia="Times New Roman"/>
              <w:color w:val="000000"/>
            </w:rPr>
            <w:t>[222]</w:t>
          </w:r>
          <w:r w:rsidRPr="00B43409">
            <w:rPr>
              <w:rFonts w:eastAsia="Times New Roman"/>
              <w:color w:val="000000"/>
            </w:rPr>
            <w:tab/>
            <w:t>R. Grucza, H. Pekkarinen, E.-K. Titov, A. Kononoff, O. Haenninen, Influence of the menstrual cycle and oral contraceptives on thermoregulatory responses to exercise in young women, Eur. J. Appl. Physiol. Occup. Physiol. 67 (1993) 279–285. https://doi.org/10.1007/BF00864229.</w:t>
          </w:r>
        </w:p>
        <w:p w14:paraId="7A9A5E28" w14:textId="77777777" w:rsidR="00B43409" w:rsidRPr="00B43409" w:rsidRDefault="00B43409">
          <w:pPr>
            <w:autoSpaceDE w:val="0"/>
            <w:autoSpaceDN w:val="0"/>
            <w:ind w:hanging="640"/>
            <w:divId w:val="140738281"/>
            <w:rPr>
              <w:rFonts w:eastAsia="Times New Roman"/>
              <w:color w:val="000000"/>
            </w:rPr>
          </w:pPr>
          <w:r w:rsidRPr="00B43409">
            <w:rPr>
              <w:rFonts w:eastAsia="Times New Roman"/>
              <w:color w:val="000000"/>
            </w:rPr>
            <w:t>[223]</w:t>
          </w:r>
          <w:r w:rsidRPr="00B43409">
            <w:rPr>
              <w:rFonts w:eastAsia="Times New Roman"/>
              <w:color w:val="000000"/>
            </w:rPr>
            <w:tab/>
            <w:t>C. Sunderland, M. Nevill, Effect of the menstrual cycle on performance of intermittent, high-intensity shuttle running in a hot environment, Eur. J. Appl. Physiol. 88 (2003) 345–352. https://doi.org/10.1007/s00421-002-0722-1.</w:t>
          </w:r>
        </w:p>
        <w:p w14:paraId="0F1B2569" w14:textId="77777777" w:rsidR="00B43409" w:rsidRPr="00B43409" w:rsidRDefault="00B43409">
          <w:pPr>
            <w:autoSpaceDE w:val="0"/>
            <w:autoSpaceDN w:val="0"/>
            <w:ind w:hanging="640"/>
            <w:divId w:val="908073211"/>
            <w:rPr>
              <w:rFonts w:eastAsia="Times New Roman"/>
              <w:color w:val="000000"/>
            </w:rPr>
          </w:pPr>
          <w:r w:rsidRPr="00B43409">
            <w:rPr>
              <w:rFonts w:eastAsia="Times New Roman"/>
              <w:color w:val="000000"/>
            </w:rPr>
            <w:t>[224]</w:t>
          </w:r>
          <w:r w:rsidRPr="00B43409">
            <w:rPr>
              <w:rFonts w:eastAsia="Times New Roman"/>
              <w:color w:val="000000"/>
            </w:rPr>
            <w:tab/>
            <w:t>T. Nakayama, M. Suzuki, N. Ishizuka, Action of progesterone on preoptic thermosensitive neurones, Nature 258 (1975) 80. https://doi.org/10.1038/258080a0.</w:t>
          </w:r>
        </w:p>
        <w:p w14:paraId="1F76F0CF" w14:textId="77777777" w:rsidR="00B43409" w:rsidRPr="00B43409" w:rsidRDefault="00B43409">
          <w:pPr>
            <w:autoSpaceDE w:val="0"/>
            <w:autoSpaceDN w:val="0"/>
            <w:ind w:hanging="640"/>
            <w:divId w:val="2096048443"/>
            <w:rPr>
              <w:rFonts w:eastAsia="Times New Roman"/>
              <w:color w:val="000000"/>
            </w:rPr>
          </w:pPr>
          <w:r w:rsidRPr="00B43409">
            <w:rPr>
              <w:rFonts w:eastAsia="Times New Roman"/>
              <w:color w:val="000000"/>
            </w:rPr>
            <w:t>[225]</w:t>
          </w:r>
          <w:r w:rsidRPr="00B43409">
            <w:rPr>
              <w:rFonts w:eastAsia="Times New Roman"/>
              <w:color w:val="000000"/>
            </w:rPr>
            <w:tab/>
            <w:t>N. Charkoudian, J.M. Johnson, Modification of active cutaneous vasodilation by oral contraceptive hormones, J. Appl. Physiol. 83 (1997) 2012–2018. https://doi.org/10.1152/jappl.1997.83.6.2012.</w:t>
          </w:r>
        </w:p>
        <w:p w14:paraId="3100E980" w14:textId="77777777" w:rsidR="00B43409" w:rsidRPr="00B43409" w:rsidRDefault="00B43409">
          <w:pPr>
            <w:autoSpaceDE w:val="0"/>
            <w:autoSpaceDN w:val="0"/>
            <w:ind w:hanging="640"/>
            <w:divId w:val="2067072045"/>
            <w:rPr>
              <w:rFonts w:eastAsia="Times New Roman"/>
              <w:color w:val="000000"/>
            </w:rPr>
          </w:pPr>
          <w:r w:rsidRPr="00B43409">
            <w:rPr>
              <w:rFonts w:eastAsia="Times New Roman"/>
              <w:color w:val="000000"/>
            </w:rPr>
            <w:t>[226]</w:t>
          </w:r>
          <w:r w:rsidRPr="00B43409">
            <w:rPr>
              <w:rFonts w:eastAsia="Times New Roman"/>
              <w:color w:val="000000"/>
            </w:rPr>
            <w:tab/>
            <w:t>L.A. Stephenson, M.A. Kolka, Esophageal temperature threshold for sweating decreases before ovulation in premenopausal women, J. Appl. Physiol. 86 (1999) 22–28. https://doi.org/10.1152/jappl.1999.86.1.22.</w:t>
          </w:r>
        </w:p>
        <w:p w14:paraId="0B0AA51A" w14:textId="77777777" w:rsidR="00B43409" w:rsidRPr="00B43409" w:rsidRDefault="00B43409">
          <w:pPr>
            <w:autoSpaceDE w:val="0"/>
            <w:autoSpaceDN w:val="0"/>
            <w:ind w:hanging="640"/>
            <w:divId w:val="1798719086"/>
            <w:rPr>
              <w:rFonts w:eastAsia="Times New Roman"/>
              <w:color w:val="000000"/>
            </w:rPr>
          </w:pPr>
          <w:r w:rsidRPr="00B43409">
            <w:rPr>
              <w:rFonts w:eastAsia="Times New Roman"/>
              <w:color w:val="000000"/>
            </w:rPr>
            <w:t>[227]</w:t>
          </w:r>
          <w:r w:rsidRPr="00B43409">
            <w:rPr>
              <w:rFonts w:eastAsia="Times New Roman"/>
              <w:color w:val="000000"/>
            </w:rPr>
            <w:tab/>
            <w:t>C.G. Tankersley, W.C. Nicholas, D.R. Deaver, D. Mikita, W.L. Kenney, Estrogen replacement in middle-aged women: Thermoregulatory responses to exercise in the heat, J. Appl. Physiol. 73 (1992) 1238–1245. https://doi.org/10.1152/jappl.1992.73.4.1238.</w:t>
          </w:r>
        </w:p>
        <w:p w14:paraId="326C8281" w14:textId="77777777" w:rsidR="00B43409" w:rsidRPr="00B43409" w:rsidRDefault="00B43409">
          <w:pPr>
            <w:autoSpaceDE w:val="0"/>
            <w:autoSpaceDN w:val="0"/>
            <w:ind w:hanging="640"/>
            <w:divId w:val="814420538"/>
            <w:rPr>
              <w:rFonts w:eastAsia="Times New Roman"/>
              <w:color w:val="000000"/>
            </w:rPr>
          </w:pPr>
          <w:r w:rsidRPr="00B43409">
            <w:rPr>
              <w:rFonts w:eastAsia="Times New Roman"/>
              <w:color w:val="000000"/>
            </w:rPr>
            <w:t>[228]</w:t>
          </w:r>
          <w:r w:rsidRPr="00B43409">
            <w:rPr>
              <w:rFonts w:eastAsia="Times New Roman"/>
              <w:color w:val="000000"/>
            </w:rPr>
            <w:tab/>
            <w:t>E.M. Brooks, A.L. Morgan, J.M. Pierzga, S.L. Wladkowski, J.T. O’Gorman, J.A. Derr, W.L. Kenney, Chronic hormone replacement therapy alters thermoregulatory and vasomotor function in postmenopausal women, J. Appl. Physiol. 83 (1997) 477–484. https://doi.org/10.1152/jappl.1997.83.2.477.</w:t>
          </w:r>
        </w:p>
        <w:p w14:paraId="07D76137" w14:textId="77777777" w:rsidR="00B43409" w:rsidRPr="00B43409" w:rsidRDefault="00B43409">
          <w:pPr>
            <w:autoSpaceDE w:val="0"/>
            <w:autoSpaceDN w:val="0"/>
            <w:ind w:hanging="640"/>
            <w:divId w:val="1456564642"/>
            <w:rPr>
              <w:rFonts w:eastAsia="Times New Roman"/>
              <w:color w:val="000000"/>
            </w:rPr>
          </w:pPr>
          <w:r w:rsidRPr="00B43409">
            <w:rPr>
              <w:rFonts w:eastAsia="Times New Roman"/>
              <w:color w:val="000000"/>
            </w:rPr>
            <w:lastRenderedPageBreak/>
            <w:t>[229]</w:t>
          </w:r>
          <w:r w:rsidRPr="00B43409">
            <w:rPr>
              <w:rFonts w:eastAsia="Times New Roman"/>
              <w:color w:val="000000"/>
            </w:rPr>
            <w:tab/>
            <w:t>Y. Inoue, G. Havenith, W.L. Kenney, J.L. Loomis, E.R. Buskirk, Exercise- and methylcholine-induced sweating responses in older and younger men: Effect of heat acclimation and aerobic fitness, Int. J. Biometeorol. 42 (1999) 210–216. https://doi.org/10.1007/s004840050107.</w:t>
          </w:r>
        </w:p>
        <w:p w14:paraId="6CB91FFE" w14:textId="77777777" w:rsidR="00B43409" w:rsidRPr="00B43409" w:rsidRDefault="00B43409">
          <w:pPr>
            <w:autoSpaceDE w:val="0"/>
            <w:autoSpaceDN w:val="0"/>
            <w:ind w:hanging="640"/>
            <w:divId w:val="602761273"/>
            <w:rPr>
              <w:rFonts w:eastAsia="Times New Roman"/>
              <w:color w:val="000000"/>
            </w:rPr>
          </w:pPr>
          <w:r w:rsidRPr="00B43409">
            <w:rPr>
              <w:rFonts w:eastAsia="Times New Roman"/>
              <w:color w:val="000000"/>
            </w:rPr>
            <w:t>[230]</w:t>
          </w:r>
          <w:r w:rsidRPr="00B43409">
            <w:rPr>
              <w:rFonts w:eastAsia="Times New Roman"/>
              <w:color w:val="000000"/>
            </w:rPr>
            <w:tab/>
            <w:t>Y. Inoue, N. Gerrett, T. Ichinose-Kuwahara, Y. Umino, S. Kiuchi, T. Amano, H. Ueda, G. Havenith, N. Kondo, Sex differences in age-related changes on peripheral warm and cold innocuous thermal sensitivity, Physiol. Behav. 164 (2016) 86–92. https://doi.org/10.1016/j.physbeh.2016.05.045.</w:t>
          </w:r>
        </w:p>
        <w:p w14:paraId="150D4923" w14:textId="77777777" w:rsidR="00B43409" w:rsidRPr="00B43409" w:rsidRDefault="00B43409">
          <w:pPr>
            <w:autoSpaceDE w:val="0"/>
            <w:autoSpaceDN w:val="0"/>
            <w:ind w:hanging="640"/>
            <w:divId w:val="1346402943"/>
            <w:rPr>
              <w:rFonts w:eastAsia="Times New Roman"/>
              <w:color w:val="000000"/>
            </w:rPr>
          </w:pPr>
          <w:r w:rsidRPr="00B43409">
            <w:rPr>
              <w:rFonts w:eastAsia="Times New Roman"/>
              <w:color w:val="000000"/>
            </w:rPr>
            <w:t>[231]</w:t>
          </w:r>
          <w:r w:rsidRPr="00B43409">
            <w:rPr>
              <w:rFonts w:eastAsia="Times New Roman"/>
              <w:color w:val="000000"/>
            </w:rPr>
            <w:tab/>
            <w:t>J.D. Périard, S. Racinais, M.N. Sawka, Adaptations and mechanisms of human heat acclimation: Applications for competitive athletes and sports, Scand. J. Med. Sci. Sports 25 (2015) 20–38. https://doi.org/10.1111/sms.12408.</w:t>
          </w:r>
        </w:p>
        <w:p w14:paraId="39BB92EA" w14:textId="77777777" w:rsidR="00B43409" w:rsidRPr="00B43409" w:rsidRDefault="00B43409">
          <w:pPr>
            <w:autoSpaceDE w:val="0"/>
            <w:autoSpaceDN w:val="0"/>
            <w:ind w:hanging="640"/>
            <w:divId w:val="1167791265"/>
            <w:rPr>
              <w:rFonts w:eastAsia="Times New Roman"/>
              <w:color w:val="000000"/>
            </w:rPr>
          </w:pPr>
          <w:r w:rsidRPr="00B43409">
            <w:rPr>
              <w:rFonts w:eastAsia="Times New Roman"/>
              <w:color w:val="000000"/>
            </w:rPr>
            <w:t>[232]</w:t>
          </w:r>
          <w:r w:rsidRPr="00B43409">
            <w:rPr>
              <w:rFonts w:eastAsia="Times New Roman"/>
              <w:color w:val="000000"/>
            </w:rPr>
            <w:tab/>
            <w:t>G.P. Kenny, J. Yardley, C. Brown, R.J. Sigal, O. Jay, Heat stress in older individuals and patients with common chronic diseases, CMAJ. Canadian Medical Association Journal 182 (2010) 1053–1060. https://doi.org/10.1503/cmaj.081050.</w:t>
          </w:r>
        </w:p>
        <w:p w14:paraId="6BFFF49F" w14:textId="77777777" w:rsidR="00B43409" w:rsidRPr="00B43409" w:rsidRDefault="00B43409">
          <w:pPr>
            <w:autoSpaceDE w:val="0"/>
            <w:autoSpaceDN w:val="0"/>
            <w:ind w:hanging="640"/>
            <w:divId w:val="1370759773"/>
            <w:rPr>
              <w:rFonts w:eastAsia="Times New Roman"/>
              <w:color w:val="000000"/>
            </w:rPr>
          </w:pPr>
          <w:r w:rsidRPr="00B43409">
            <w:rPr>
              <w:rFonts w:eastAsia="Times New Roman"/>
              <w:color w:val="000000"/>
            </w:rPr>
            <w:t>[233]</w:t>
          </w:r>
          <w:r w:rsidRPr="00B43409">
            <w:rPr>
              <w:rFonts w:eastAsia="Times New Roman"/>
              <w:color w:val="000000"/>
            </w:rPr>
            <w:tab/>
            <w:t>M.C. Morrissey, Y. Wu, E.F. Zuk, J. Livingston, D.J. Casa, L.S. Pescatello, The impact of body fat on thermoregulation during exercise in the heat: A systematic review and meta-analysis, J. Sci. Med. Sport 24 (2021) 843–850. https://doi.org/10.1016/j.jsams.2021.06.004.</w:t>
          </w:r>
        </w:p>
        <w:p w14:paraId="55585AE4" w14:textId="77777777" w:rsidR="00B43409" w:rsidRPr="00B43409" w:rsidRDefault="00B43409">
          <w:pPr>
            <w:autoSpaceDE w:val="0"/>
            <w:autoSpaceDN w:val="0"/>
            <w:ind w:hanging="640"/>
            <w:divId w:val="945389267"/>
            <w:rPr>
              <w:rFonts w:eastAsia="Times New Roman"/>
              <w:color w:val="000000"/>
            </w:rPr>
          </w:pPr>
          <w:r w:rsidRPr="00B43409">
            <w:rPr>
              <w:rFonts w:eastAsia="Times New Roman"/>
              <w:color w:val="000000"/>
            </w:rPr>
            <w:t>[234]</w:t>
          </w:r>
          <w:r w:rsidRPr="00B43409">
            <w:rPr>
              <w:rFonts w:eastAsia="Times New Roman"/>
              <w:color w:val="000000"/>
            </w:rPr>
            <w:tab/>
            <w:t>M.N. Sawka, S.N. Cheuvront, R.W. Kenefick, Hypohydration and Human Performance: Impact of Environment and Physiological Mechanisms, Sports Medicine 45 (2015) 51–60. https://doi.org/10.1007/s40279-015-0395-7.</w:t>
          </w:r>
        </w:p>
        <w:p w14:paraId="39A3C2A8" w14:textId="77777777" w:rsidR="00B43409" w:rsidRPr="00B43409" w:rsidRDefault="00B43409">
          <w:pPr>
            <w:autoSpaceDE w:val="0"/>
            <w:autoSpaceDN w:val="0"/>
            <w:ind w:hanging="640"/>
            <w:divId w:val="1476878047"/>
            <w:rPr>
              <w:rFonts w:eastAsia="Times New Roman"/>
              <w:color w:val="000000"/>
            </w:rPr>
          </w:pPr>
          <w:r w:rsidRPr="00B43409">
            <w:rPr>
              <w:rFonts w:eastAsia="Times New Roman"/>
              <w:color w:val="000000"/>
            </w:rPr>
            <w:t>[235]</w:t>
          </w:r>
          <w:r w:rsidRPr="00B43409">
            <w:rPr>
              <w:rFonts w:eastAsia="Times New Roman"/>
              <w:color w:val="000000"/>
            </w:rPr>
            <w:tab/>
            <w:t>R.W. Kenefick, Drinking Strategies: Planned Drinking Versus Drinking to Thirst, Sports Medicine 48 (2018) 31–37. https://doi.org/10.1007/s40279-017-0844-6.</w:t>
          </w:r>
        </w:p>
        <w:p w14:paraId="5A6F7B19" w14:textId="77777777" w:rsidR="00B43409" w:rsidRPr="00B43409" w:rsidRDefault="00B43409">
          <w:pPr>
            <w:autoSpaceDE w:val="0"/>
            <w:autoSpaceDN w:val="0"/>
            <w:ind w:hanging="640"/>
            <w:divId w:val="1627274412"/>
            <w:rPr>
              <w:rFonts w:eastAsia="Times New Roman"/>
              <w:color w:val="000000"/>
            </w:rPr>
          </w:pPr>
          <w:r w:rsidRPr="00B43409">
            <w:rPr>
              <w:rFonts w:eastAsia="Times New Roman"/>
              <w:color w:val="000000"/>
            </w:rPr>
            <w:t>[236]</w:t>
          </w:r>
          <w:r w:rsidRPr="00B43409">
            <w:rPr>
              <w:rFonts w:eastAsia="Times New Roman"/>
              <w:color w:val="000000"/>
            </w:rPr>
            <w:tab/>
            <w:t>R.W. Kenefick, S.N. Cheuvront, Physiological adjustments to hypohydration: Impact on thermoregulation, Auton. Neurosci. 196 (2016) 47–51. https://doi.org/10.1016/j.autneu.2016.02.003.</w:t>
          </w:r>
        </w:p>
        <w:p w14:paraId="01D266A5" w14:textId="77777777" w:rsidR="00B43409" w:rsidRPr="00B43409" w:rsidRDefault="00B43409">
          <w:pPr>
            <w:autoSpaceDE w:val="0"/>
            <w:autoSpaceDN w:val="0"/>
            <w:ind w:hanging="640"/>
            <w:divId w:val="434985619"/>
            <w:rPr>
              <w:rFonts w:eastAsia="Times New Roman"/>
              <w:color w:val="000000"/>
            </w:rPr>
          </w:pPr>
          <w:r w:rsidRPr="00B43409">
            <w:rPr>
              <w:rFonts w:eastAsia="Times New Roman"/>
              <w:color w:val="000000"/>
            </w:rPr>
            <w:t>[237]</w:t>
          </w:r>
          <w:r w:rsidRPr="00B43409">
            <w:rPr>
              <w:rFonts w:eastAsia="Times New Roman"/>
              <w:color w:val="000000"/>
            </w:rPr>
            <w:tab/>
            <w:t>D.A. D’Alessio, E.C. Kavle, M.A. Mozzoli, K.J. Smalley, M. Polansky, Z. V. Kendrick, L.R. Owen, M.C. Bushman, G. Boden, O.E. Owen, Thermic effect of food in lean and obese men, Journal of Clinical Investigation 81 (1988) 1781–1789. https://doi.org/10.1172/JCI113520.</w:t>
          </w:r>
        </w:p>
        <w:p w14:paraId="7FB88561" w14:textId="77777777" w:rsidR="00B43409" w:rsidRPr="00B43409" w:rsidRDefault="00B43409">
          <w:pPr>
            <w:autoSpaceDE w:val="0"/>
            <w:autoSpaceDN w:val="0"/>
            <w:ind w:hanging="640"/>
            <w:divId w:val="1655719340"/>
            <w:rPr>
              <w:rFonts w:eastAsia="Times New Roman"/>
              <w:color w:val="000000"/>
            </w:rPr>
          </w:pPr>
          <w:r w:rsidRPr="00B43409">
            <w:rPr>
              <w:rFonts w:eastAsia="Times New Roman"/>
              <w:color w:val="000000"/>
            </w:rPr>
            <w:t>[238]</w:t>
          </w:r>
          <w:r w:rsidRPr="00B43409">
            <w:rPr>
              <w:rFonts w:eastAsia="Times New Roman"/>
              <w:color w:val="000000"/>
            </w:rPr>
            <w:tab/>
            <w:t>P.D. Drummond, Mechanisms of physiological gustatory sweating and flushing in the face, J. Auton. Nerv. Syst. 52 (1995) 117–124. https://doi.org/10.1016/0165-1838(94)00151-9.</w:t>
          </w:r>
        </w:p>
        <w:p w14:paraId="64E1D858" w14:textId="77777777" w:rsidR="00B43409" w:rsidRPr="00B43409" w:rsidRDefault="00B43409">
          <w:pPr>
            <w:autoSpaceDE w:val="0"/>
            <w:autoSpaceDN w:val="0"/>
            <w:ind w:hanging="640"/>
            <w:divId w:val="1927034318"/>
            <w:rPr>
              <w:rFonts w:eastAsia="Times New Roman"/>
              <w:color w:val="000000"/>
            </w:rPr>
          </w:pPr>
          <w:r w:rsidRPr="00B43409">
            <w:rPr>
              <w:rFonts w:eastAsia="Times New Roman"/>
              <w:color w:val="000000"/>
            </w:rPr>
            <w:t>[239]</w:t>
          </w:r>
          <w:r w:rsidRPr="00B43409">
            <w:rPr>
              <w:rFonts w:eastAsia="Times New Roman"/>
              <w:color w:val="000000"/>
            </w:rPr>
            <w:tab/>
            <w:t>S. Kawakami, H. Sato, A.T. Sasaki, H.C. Tanabe, Y. Yoshida, M. Saito, H. Toyoda, N. Sadato, Y. Kang, The brain mechanisms underlying the perception of pungent taste of capsaicin and the subsequent autonomic responses, Front. Hum. Neurosci. 9 (2016) 1–16. https://doi.org/10.3389/fnhum.2015.00720.</w:t>
          </w:r>
        </w:p>
        <w:p w14:paraId="47358D59" w14:textId="77777777" w:rsidR="00B43409" w:rsidRPr="00B43409" w:rsidRDefault="00B43409">
          <w:pPr>
            <w:autoSpaceDE w:val="0"/>
            <w:autoSpaceDN w:val="0"/>
            <w:ind w:hanging="640"/>
            <w:divId w:val="1757901882"/>
            <w:rPr>
              <w:rFonts w:eastAsia="Times New Roman"/>
              <w:color w:val="000000"/>
            </w:rPr>
          </w:pPr>
          <w:r w:rsidRPr="00B43409">
            <w:rPr>
              <w:rFonts w:eastAsia="Times New Roman"/>
              <w:color w:val="000000"/>
            </w:rPr>
            <w:t>[240]</w:t>
          </w:r>
          <w:r w:rsidRPr="00B43409">
            <w:rPr>
              <w:rFonts w:eastAsia="Times New Roman"/>
              <w:color w:val="000000"/>
            </w:rPr>
            <w:tab/>
            <w:t>L.A. Hunt, L. Hospers, J.W. Smallcombe, Y. Mavros, O. Jay, Caffeine alters thermoregulatory responses to exercise in the heat only in caffeine-habituated individuals: A double-blind placebo-controlled trial, J. Appl. Physiol. 131 (2021) 1300–1310. https://doi.org/10.1152/japplphysiol.00172.2021.</w:t>
          </w:r>
        </w:p>
        <w:p w14:paraId="6C7C5FF4" w14:textId="77777777" w:rsidR="00B43409" w:rsidRPr="00B43409" w:rsidRDefault="00B43409">
          <w:pPr>
            <w:autoSpaceDE w:val="0"/>
            <w:autoSpaceDN w:val="0"/>
            <w:ind w:hanging="640"/>
            <w:divId w:val="2039695552"/>
            <w:rPr>
              <w:rFonts w:eastAsia="Times New Roman"/>
              <w:color w:val="000000"/>
            </w:rPr>
          </w:pPr>
          <w:r w:rsidRPr="00B43409">
            <w:rPr>
              <w:rFonts w:eastAsia="Times New Roman"/>
              <w:color w:val="000000"/>
            </w:rPr>
            <w:t>[241]</w:t>
          </w:r>
          <w:r w:rsidRPr="00B43409">
            <w:rPr>
              <w:rFonts w:eastAsia="Times New Roman"/>
              <w:color w:val="000000"/>
            </w:rPr>
            <w:tab/>
            <w:t>H. Li, Y. Yang, Q. Liu, L. Liu, G. Zhang, X. Zhang, M. Yin, Y. Cao, The Effects of Caffeine on Exercise in Hot Environments: A Bibliometric Study, Nutrients 16 (2024). https://doi.org/10.3390/nu16213692.</w:t>
          </w:r>
        </w:p>
        <w:p w14:paraId="7A79FE8F" w14:textId="77777777" w:rsidR="00B43409" w:rsidRPr="00B43409" w:rsidRDefault="00B43409">
          <w:pPr>
            <w:autoSpaceDE w:val="0"/>
            <w:autoSpaceDN w:val="0"/>
            <w:ind w:hanging="640"/>
            <w:divId w:val="374887151"/>
            <w:rPr>
              <w:rFonts w:eastAsia="Times New Roman"/>
              <w:color w:val="000000"/>
            </w:rPr>
          </w:pPr>
          <w:r w:rsidRPr="00B43409">
            <w:rPr>
              <w:rFonts w:eastAsia="Times New Roman"/>
              <w:color w:val="000000"/>
            </w:rPr>
            <w:t>[242]</w:t>
          </w:r>
          <w:r w:rsidRPr="00B43409">
            <w:rPr>
              <w:rFonts w:eastAsia="Times New Roman"/>
              <w:color w:val="000000"/>
            </w:rPr>
            <w:tab/>
            <w:t>A.V.T. Ho, K. Toska, J. Wesche, Rapid, Large, and Synchronous Sweat and Cardiovascular Responses Upon Minor Stimuli in Healthy Subjects. Dynamics and Reproducibility, Front. Neurol. 11 (2020) 1–10. https://doi.org/10.3389/fneur.2020.00051.</w:t>
          </w:r>
        </w:p>
        <w:p w14:paraId="3527BBF2" w14:textId="77777777" w:rsidR="00B43409" w:rsidRPr="00B43409" w:rsidRDefault="00B43409">
          <w:pPr>
            <w:autoSpaceDE w:val="0"/>
            <w:autoSpaceDN w:val="0"/>
            <w:ind w:hanging="640"/>
            <w:divId w:val="1377311613"/>
            <w:rPr>
              <w:rFonts w:eastAsia="Times New Roman"/>
              <w:color w:val="000000"/>
            </w:rPr>
          </w:pPr>
          <w:r w:rsidRPr="00B43409">
            <w:rPr>
              <w:rFonts w:eastAsia="Times New Roman"/>
              <w:color w:val="000000"/>
            </w:rPr>
            <w:t>[243]</w:t>
          </w:r>
          <w:r w:rsidRPr="00B43409">
            <w:rPr>
              <w:rFonts w:eastAsia="Times New Roman"/>
              <w:color w:val="000000"/>
            </w:rPr>
            <w:tab/>
            <w:t>T. Yoda, L.I. Crawshaw, M. Nakamura, K. Saito, A. Konishi, K. Nagashima, S. Uchida, K. Kanosue, Effects of alcohol on thermoregulation during mild heat exposure in humans, Alcohol 36 (2005) 195–200. https://doi.org/10.1016/j.alcohol.2005.09.002.</w:t>
          </w:r>
        </w:p>
        <w:p w14:paraId="50620077" w14:textId="77777777" w:rsidR="00B43409" w:rsidRPr="00B43409" w:rsidRDefault="00B43409">
          <w:pPr>
            <w:autoSpaceDE w:val="0"/>
            <w:autoSpaceDN w:val="0"/>
            <w:ind w:hanging="640"/>
            <w:divId w:val="1135294584"/>
            <w:rPr>
              <w:rFonts w:eastAsia="Times New Roman"/>
              <w:color w:val="000000"/>
            </w:rPr>
          </w:pPr>
          <w:r w:rsidRPr="00B43409">
            <w:rPr>
              <w:rFonts w:eastAsia="Times New Roman"/>
              <w:color w:val="000000"/>
            </w:rPr>
            <w:lastRenderedPageBreak/>
            <w:t>[244]</w:t>
          </w:r>
          <w:r w:rsidRPr="00B43409">
            <w:rPr>
              <w:rFonts w:eastAsia="Times New Roman"/>
              <w:color w:val="000000"/>
            </w:rPr>
            <w:tab/>
            <w:t>R. Edelberg, Electrical activity of the skin: Its measurement and uses in psychophysiology, in: N.S. Greenfield, R.A. Sternbach (Eds.), Handbook of Psychophysiology, Holt, Rinehart &amp; Winston, New York, 1972: p. 1011.</w:t>
          </w:r>
        </w:p>
        <w:p w14:paraId="5AB8AEFE" w14:textId="77777777" w:rsidR="00B43409" w:rsidRPr="00B43409" w:rsidRDefault="00B43409">
          <w:pPr>
            <w:autoSpaceDE w:val="0"/>
            <w:autoSpaceDN w:val="0"/>
            <w:ind w:hanging="640"/>
            <w:divId w:val="1869875451"/>
            <w:rPr>
              <w:rFonts w:eastAsia="Times New Roman"/>
              <w:color w:val="000000"/>
            </w:rPr>
          </w:pPr>
          <w:r w:rsidRPr="00B43409">
            <w:rPr>
              <w:rFonts w:eastAsia="Times New Roman"/>
              <w:color w:val="000000"/>
            </w:rPr>
            <w:t>[245]</w:t>
          </w:r>
          <w:r w:rsidRPr="00B43409">
            <w:rPr>
              <w:rFonts w:eastAsia="Times New Roman"/>
              <w:color w:val="000000"/>
            </w:rPr>
            <w:tab/>
            <w:t>P.L.H. Chong, E. Abel, R. Pao, C.E.B. McCormick, A.J. Schwichtenberg, Sleep Dysregulation and Daytime Electrodermal Patterns in Children With Autism: A Descriptive Study, Journal of Genetic Psychology 182 (2021) 335–347. https://doi.org/10.1080/00221325.2021.1911919.</w:t>
          </w:r>
        </w:p>
        <w:p w14:paraId="7A1E3756" w14:textId="77777777" w:rsidR="00B43409" w:rsidRPr="00B43409" w:rsidRDefault="00B43409">
          <w:pPr>
            <w:autoSpaceDE w:val="0"/>
            <w:autoSpaceDN w:val="0"/>
            <w:ind w:hanging="640"/>
            <w:divId w:val="634722477"/>
            <w:rPr>
              <w:rFonts w:eastAsia="Times New Roman"/>
              <w:color w:val="000000"/>
            </w:rPr>
          </w:pPr>
          <w:r w:rsidRPr="00B43409">
            <w:rPr>
              <w:rFonts w:eastAsia="Times New Roman"/>
              <w:color w:val="000000"/>
            </w:rPr>
            <w:t>[246]</w:t>
          </w:r>
          <w:r w:rsidRPr="00B43409">
            <w:rPr>
              <w:rFonts w:eastAsia="Times New Roman"/>
              <w:color w:val="000000"/>
            </w:rPr>
            <w:tab/>
            <w:t>H.K. Schiltz, R.M. Fenning, S.A. Erath, B.R.W. Baucom, J.K. Baker, Electrodermal Activity Moderates Sleep-Behavior Associations in Children with Autism Spectrum Disorder, Res. Child Adolesc. Psychopathol. 50 (2022) 823–835. https://doi.org/10.1007/s10802-022-00900-w.</w:t>
          </w:r>
        </w:p>
        <w:p w14:paraId="743DE21D" w14:textId="77777777" w:rsidR="00B43409" w:rsidRPr="00B43409" w:rsidRDefault="00B43409">
          <w:pPr>
            <w:autoSpaceDE w:val="0"/>
            <w:autoSpaceDN w:val="0"/>
            <w:ind w:hanging="640"/>
            <w:divId w:val="883560429"/>
            <w:rPr>
              <w:rFonts w:eastAsia="Times New Roman"/>
              <w:color w:val="000000"/>
            </w:rPr>
          </w:pPr>
          <w:r w:rsidRPr="00B43409">
            <w:rPr>
              <w:rFonts w:eastAsia="Times New Roman"/>
              <w:color w:val="000000"/>
            </w:rPr>
            <w:t>[247]</w:t>
          </w:r>
          <w:r w:rsidRPr="00B43409">
            <w:rPr>
              <w:rFonts w:eastAsia="Times New Roman"/>
              <w:color w:val="000000"/>
            </w:rPr>
            <w:tab/>
            <w:t>L. Imeraj, E. Sonuga-Barke, I. Antrop, H. Roeyers, R. Wiersema, S. Bal, D. Deboutte, Altered circadian profiles in attention-deficit/hyperactivity disorder: An integrative review and theoretical framework for future studies, Neurosci. Biobehav. Rev. 36 (2012) 1897–1919. https://doi.org/10.1016/j.neubiorev.2012.04.007.</w:t>
          </w:r>
        </w:p>
        <w:p w14:paraId="051866C1" w14:textId="77777777" w:rsidR="00B43409" w:rsidRPr="00B43409" w:rsidRDefault="00B43409">
          <w:pPr>
            <w:autoSpaceDE w:val="0"/>
            <w:autoSpaceDN w:val="0"/>
            <w:ind w:hanging="640"/>
            <w:divId w:val="150372143"/>
            <w:rPr>
              <w:rFonts w:eastAsia="Times New Roman"/>
              <w:color w:val="000000"/>
            </w:rPr>
          </w:pPr>
          <w:r w:rsidRPr="00B43409">
            <w:rPr>
              <w:rFonts w:eastAsia="Times New Roman"/>
              <w:color w:val="000000"/>
            </w:rPr>
            <w:t>[248]</w:t>
          </w:r>
          <w:r w:rsidRPr="00B43409">
            <w:rPr>
              <w:rFonts w:eastAsia="Times New Roman"/>
              <w:color w:val="000000"/>
            </w:rPr>
            <w:tab/>
            <w:t>A. Reitz, D.M. Schmid, A. Curt, P.A. Knapp, B. Schurch, Sympathetic sudomotor skin activity in human after complete spinal cord injury, Auton. Neurosci. 102 (2002) 78–84. https://doi.org/10.1016/S1566-0702(02)00207-2.</w:t>
          </w:r>
        </w:p>
        <w:p w14:paraId="142AA31A" w14:textId="77777777" w:rsidR="00B43409" w:rsidRPr="00B43409" w:rsidRDefault="00B43409">
          <w:pPr>
            <w:autoSpaceDE w:val="0"/>
            <w:autoSpaceDN w:val="0"/>
            <w:ind w:hanging="640"/>
            <w:divId w:val="517697461"/>
            <w:rPr>
              <w:rFonts w:eastAsia="Times New Roman"/>
              <w:color w:val="000000"/>
            </w:rPr>
          </w:pPr>
          <w:r w:rsidRPr="00B43409">
            <w:rPr>
              <w:rFonts w:eastAsia="Times New Roman"/>
              <w:color w:val="000000"/>
            </w:rPr>
            <w:t>[249]</w:t>
          </w:r>
          <w:r w:rsidRPr="00B43409">
            <w:rPr>
              <w:rFonts w:eastAsia="Times New Roman"/>
              <w:color w:val="000000"/>
            </w:rPr>
            <w:tab/>
            <w:t>P.A. Low, Evaluation of sudomotor function, Clinical Neurophysiology 115 (2004) 1506–1513. https://doi.org/10.1016/j.clinph.2004.01.023.</w:t>
          </w:r>
        </w:p>
        <w:p w14:paraId="42BFDDA2" w14:textId="77777777" w:rsidR="00B43409" w:rsidRPr="00B43409" w:rsidRDefault="00B43409">
          <w:pPr>
            <w:autoSpaceDE w:val="0"/>
            <w:autoSpaceDN w:val="0"/>
            <w:ind w:hanging="640"/>
            <w:divId w:val="1570994207"/>
            <w:rPr>
              <w:rFonts w:eastAsia="Times New Roman"/>
              <w:color w:val="000000"/>
            </w:rPr>
          </w:pPr>
          <w:r w:rsidRPr="00B43409">
            <w:rPr>
              <w:rFonts w:eastAsia="Times New Roman"/>
              <w:color w:val="000000"/>
            </w:rPr>
            <w:t>[250]</w:t>
          </w:r>
          <w:r w:rsidRPr="00B43409">
            <w:rPr>
              <w:rFonts w:eastAsia="Times New Roman"/>
              <w:color w:val="000000"/>
            </w:rPr>
            <w:tab/>
            <w:t>M. Habek, M. Andabaka, A. Fanciulli, G. Brecl Jakob, J. Drulović, F. Leys, F. Di Pauli, H. Hegen, M. Auer, T. Pekmezović, Š. Mesaroš, V. Jovičević, A. Junaković, G.K. Wenning, F. Deisenhammer, T. Gabelić, B. Barun, I. Adamec, M. Krbot Skorić, Sudomotor dysfunction in people with neuromyelitis optica spectrum disorders, Eur. J. Neurol. 29 (2022) 2772–2780. https://doi.org/10.1111/ene.15413.</w:t>
          </w:r>
        </w:p>
        <w:p w14:paraId="55A66ABD" w14:textId="77777777" w:rsidR="00B43409" w:rsidRPr="00B43409" w:rsidRDefault="00B43409">
          <w:pPr>
            <w:autoSpaceDE w:val="0"/>
            <w:autoSpaceDN w:val="0"/>
            <w:ind w:hanging="640"/>
            <w:divId w:val="1179539761"/>
            <w:rPr>
              <w:rFonts w:eastAsia="Times New Roman"/>
              <w:color w:val="000000"/>
            </w:rPr>
          </w:pPr>
          <w:r w:rsidRPr="00B43409">
            <w:rPr>
              <w:rFonts w:eastAsia="Times New Roman"/>
              <w:color w:val="000000"/>
            </w:rPr>
            <w:t>[251]</w:t>
          </w:r>
          <w:r w:rsidRPr="00B43409">
            <w:rPr>
              <w:rFonts w:eastAsia="Times New Roman"/>
              <w:color w:val="000000"/>
            </w:rPr>
            <w:tab/>
            <w:t>K.A. Iwen, R. Oelkrug, G. Brabant, Effects of thyroid hormones on thermogenesis and energy partitioning, J. Mol. Endocrinol. 60 (2018) R157–R170. https://doi.org/10.1530/JME-17-0319.</w:t>
          </w:r>
        </w:p>
        <w:p w14:paraId="6C59BB29" w14:textId="77777777" w:rsidR="00B43409" w:rsidRPr="00B43409" w:rsidRDefault="00B43409">
          <w:pPr>
            <w:autoSpaceDE w:val="0"/>
            <w:autoSpaceDN w:val="0"/>
            <w:ind w:hanging="640"/>
            <w:divId w:val="1460605912"/>
            <w:rPr>
              <w:rFonts w:eastAsia="Times New Roman"/>
              <w:color w:val="000000"/>
            </w:rPr>
          </w:pPr>
          <w:r w:rsidRPr="00B43409">
            <w:rPr>
              <w:rFonts w:eastAsia="Times New Roman"/>
              <w:color w:val="000000"/>
            </w:rPr>
            <w:t>[252]</w:t>
          </w:r>
          <w:r w:rsidRPr="00B43409">
            <w:rPr>
              <w:rFonts w:eastAsia="Times New Roman"/>
              <w:color w:val="000000"/>
            </w:rPr>
            <w:tab/>
            <w:t>D.A. nna Glaser, K. Glaser, Use of Systemic Therapies to Manage Focal Hyperhidrosis, Mo. Med. 112 (2015) 287–291.</w:t>
          </w:r>
        </w:p>
        <w:p w14:paraId="496E0051" w14:textId="77777777" w:rsidR="00B43409" w:rsidRPr="00B43409" w:rsidRDefault="00B43409">
          <w:pPr>
            <w:autoSpaceDE w:val="0"/>
            <w:autoSpaceDN w:val="0"/>
            <w:ind w:hanging="640"/>
            <w:divId w:val="234122715"/>
            <w:rPr>
              <w:rFonts w:eastAsia="Times New Roman"/>
              <w:color w:val="000000"/>
            </w:rPr>
          </w:pPr>
          <w:r w:rsidRPr="00B43409">
            <w:rPr>
              <w:rFonts w:eastAsia="Times New Roman"/>
              <w:color w:val="000000"/>
            </w:rPr>
            <w:t>[253]</w:t>
          </w:r>
          <w:r w:rsidRPr="00B43409">
            <w:rPr>
              <w:rFonts w:eastAsia="Times New Roman"/>
              <w:color w:val="000000"/>
            </w:rPr>
            <w:tab/>
            <w:t>R. Relf, A. Willmott, M.S. Flint, L. Beale, N. Maxwell, Reliability of a wearable sweat rate monitor and routine sweat analysis techniques under heat stress in females, J. Therm. Biol. 79 (2019) 209–217. https://doi.org/10.1016/j.jtherbio.2018.12.019.</w:t>
          </w:r>
        </w:p>
        <w:p w14:paraId="1C0EF6F9" w14:textId="77777777" w:rsidR="00B43409" w:rsidRPr="00B43409" w:rsidRDefault="00B43409">
          <w:pPr>
            <w:autoSpaceDE w:val="0"/>
            <w:autoSpaceDN w:val="0"/>
            <w:ind w:hanging="640"/>
            <w:divId w:val="207108331"/>
            <w:rPr>
              <w:rFonts w:eastAsia="Times New Roman"/>
              <w:color w:val="000000"/>
            </w:rPr>
          </w:pPr>
          <w:r w:rsidRPr="00B43409">
            <w:rPr>
              <w:rFonts w:eastAsia="Times New Roman"/>
              <w:color w:val="000000"/>
            </w:rPr>
            <w:t>[254]</w:t>
          </w:r>
          <w:r w:rsidRPr="00B43409">
            <w:rPr>
              <w:rFonts w:eastAsia="Times New Roman"/>
              <w:color w:val="000000"/>
            </w:rPr>
            <w:tab/>
            <w:t>J. Choi, R. Ghaffari, L.B. Baker, J.A. Rogers, Skin-interfaced systems for sweat collection and analytics, Sci. Adv. 4 (2018) 1–9. https://doi.org/10.1126/sciadv.aar3921.</w:t>
          </w:r>
        </w:p>
        <w:p w14:paraId="0525763E" w14:textId="77777777" w:rsidR="00B43409" w:rsidRPr="00B43409" w:rsidRDefault="00B43409">
          <w:pPr>
            <w:autoSpaceDE w:val="0"/>
            <w:autoSpaceDN w:val="0"/>
            <w:ind w:hanging="640"/>
            <w:divId w:val="1240866411"/>
            <w:rPr>
              <w:rFonts w:eastAsia="Times New Roman"/>
              <w:color w:val="000000"/>
            </w:rPr>
          </w:pPr>
          <w:r w:rsidRPr="00B43409">
            <w:rPr>
              <w:rFonts w:eastAsia="Times New Roman"/>
              <w:color w:val="000000"/>
            </w:rPr>
            <w:t>[255]</w:t>
          </w:r>
          <w:r w:rsidRPr="00B43409">
            <w:rPr>
              <w:rFonts w:eastAsia="Times New Roman"/>
              <w:color w:val="000000"/>
            </w:rPr>
            <w:tab/>
            <w:t>L. Klous, C. De Ruiter, P. Alkemade, H. Daanen, N. Gerrett, Sweat rate and sweat composition during heat acclimation, J. Therm. Biol. 93 (2020) 102697. https://doi.org/10.1016/j.jtherbio.2020.102697.</w:t>
          </w:r>
        </w:p>
        <w:p w14:paraId="0935DC74" w14:textId="77777777" w:rsidR="00B43409" w:rsidRPr="00B43409" w:rsidRDefault="00B43409">
          <w:pPr>
            <w:autoSpaceDE w:val="0"/>
            <w:autoSpaceDN w:val="0"/>
            <w:ind w:hanging="640"/>
            <w:divId w:val="451481876"/>
            <w:rPr>
              <w:rFonts w:eastAsia="Times New Roman"/>
              <w:color w:val="000000"/>
            </w:rPr>
          </w:pPr>
          <w:r w:rsidRPr="00B43409">
            <w:rPr>
              <w:rFonts w:eastAsia="Times New Roman"/>
              <w:color w:val="000000"/>
            </w:rPr>
            <w:t>[256]</w:t>
          </w:r>
          <w:r w:rsidRPr="00B43409">
            <w:rPr>
              <w:rFonts w:eastAsia="Times New Roman"/>
              <w:color w:val="000000"/>
            </w:rPr>
            <w:tab/>
            <w:t>C. Tronstad, M. Amini, D.R. Bach, Ø.G. Martinsen, Current trends and opportunities in the methodology of electrodermal activity measurement, Physiol. Meas. 43 (2022) 02TR01. https://doi.org/10.1088/1361-6579/ac5007.</w:t>
          </w:r>
        </w:p>
        <w:p w14:paraId="7256FCE5" w14:textId="77777777" w:rsidR="00B43409" w:rsidRPr="00B43409" w:rsidRDefault="00B43409">
          <w:pPr>
            <w:autoSpaceDE w:val="0"/>
            <w:autoSpaceDN w:val="0"/>
            <w:ind w:hanging="640"/>
            <w:divId w:val="1263342395"/>
            <w:rPr>
              <w:rFonts w:eastAsia="Times New Roman"/>
              <w:color w:val="000000"/>
            </w:rPr>
          </w:pPr>
          <w:r w:rsidRPr="00B43409">
            <w:rPr>
              <w:rFonts w:eastAsia="Times New Roman"/>
              <w:color w:val="000000"/>
            </w:rPr>
            <w:t>[257]</w:t>
          </w:r>
          <w:r w:rsidRPr="00B43409">
            <w:rPr>
              <w:rFonts w:eastAsia="Times New Roman"/>
              <w:color w:val="000000"/>
            </w:rPr>
            <w:tab/>
            <w:t>M. Akbar, A. Wandy, G.V. Soraya, Y. Goysal, M. Lotisna, M.I. Basri, Sudomotor dysfunction in diabetic peripheral neuropathy (DPN) and its testing modalities: A literature review, Heliyon 9 (2023) e18184. https://doi.org/10.1016/j.heliyon.2023.e18184.</w:t>
          </w:r>
        </w:p>
        <w:p w14:paraId="0E30C439" w14:textId="77777777" w:rsidR="00B43409" w:rsidRPr="00B43409" w:rsidRDefault="00B43409">
          <w:pPr>
            <w:autoSpaceDE w:val="0"/>
            <w:autoSpaceDN w:val="0"/>
            <w:ind w:hanging="640"/>
            <w:divId w:val="1186553190"/>
            <w:rPr>
              <w:rFonts w:eastAsia="Times New Roman"/>
              <w:color w:val="000000"/>
            </w:rPr>
          </w:pPr>
          <w:r w:rsidRPr="00B43409">
            <w:rPr>
              <w:rFonts w:eastAsia="Times New Roman"/>
              <w:color w:val="000000"/>
            </w:rPr>
            <w:t>[258]</w:t>
          </w:r>
          <w:r w:rsidRPr="00B43409">
            <w:rPr>
              <w:rFonts w:eastAsia="Times New Roman"/>
              <w:color w:val="000000"/>
            </w:rPr>
            <w:tab/>
            <w:t>L.B. Baker, A.S. Wolfe, Physiological mechanisms determining eccrine sweat composition, Eur. J. Appl. Physiol. 120 (2020) 719–752. https://doi.org/10.1007/s00421-020-04323-7.</w:t>
          </w:r>
        </w:p>
        <w:p w14:paraId="7FE468E3" w14:textId="77777777" w:rsidR="00B43409" w:rsidRPr="00B43409" w:rsidRDefault="00B43409">
          <w:pPr>
            <w:autoSpaceDE w:val="0"/>
            <w:autoSpaceDN w:val="0"/>
            <w:ind w:hanging="640"/>
            <w:divId w:val="266163119"/>
            <w:rPr>
              <w:rFonts w:eastAsia="Times New Roman"/>
              <w:color w:val="000000"/>
            </w:rPr>
          </w:pPr>
          <w:r w:rsidRPr="00B43409">
            <w:rPr>
              <w:rFonts w:eastAsia="Times New Roman"/>
              <w:color w:val="000000"/>
            </w:rPr>
            <w:lastRenderedPageBreak/>
            <w:t>[259]</w:t>
          </w:r>
          <w:r w:rsidRPr="00B43409">
            <w:rPr>
              <w:rFonts w:eastAsia="Times New Roman"/>
              <w:color w:val="000000"/>
            </w:rPr>
            <w:tab/>
            <w:t>T. Mündel, Thermoregulatory sweating and evaporative heat loss during exercise: is the whole greater than the sum of its parts?, Journal of Physiology 598 (2020) 2535–2536. https://doi.org/10.1113/JP279944.</w:t>
          </w:r>
        </w:p>
        <w:p w14:paraId="7898D6C8" w14:textId="77777777" w:rsidR="00B43409" w:rsidRPr="00B43409" w:rsidRDefault="00B43409">
          <w:pPr>
            <w:autoSpaceDE w:val="0"/>
            <w:autoSpaceDN w:val="0"/>
            <w:ind w:hanging="640"/>
            <w:divId w:val="669479580"/>
            <w:rPr>
              <w:rFonts w:eastAsia="Times New Roman"/>
              <w:color w:val="000000"/>
            </w:rPr>
          </w:pPr>
          <w:r w:rsidRPr="00B43409">
            <w:rPr>
              <w:rFonts w:eastAsia="Times New Roman"/>
              <w:color w:val="000000"/>
            </w:rPr>
            <w:t>[260]</w:t>
          </w:r>
          <w:r w:rsidRPr="00B43409">
            <w:rPr>
              <w:rFonts w:eastAsia="Times New Roman"/>
              <w:color w:val="000000"/>
            </w:rPr>
            <w:tab/>
            <w:t>C.J. Smith, G. Havenith, Body mapping of sweating patterns in male athletes in mild exercise-induced hyperthermia, Eur. J. Appl. Physiol. 111 (2011) 1391–1404. https://doi.org/10.1007/s00421-010-1744-8.</w:t>
          </w:r>
        </w:p>
        <w:p w14:paraId="1A749C7D" w14:textId="77777777" w:rsidR="00B43409" w:rsidRPr="00B43409" w:rsidRDefault="00B43409">
          <w:pPr>
            <w:autoSpaceDE w:val="0"/>
            <w:autoSpaceDN w:val="0"/>
            <w:ind w:hanging="640"/>
            <w:divId w:val="544291322"/>
            <w:rPr>
              <w:rFonts w:eastAsia="Times New Roman"/>
              <w:color w:val="000000"/>
            </w:rPr>
          </w:pPr>
          <w:r w:rsidRPr="00B43409">
            <w:rPr>
              <w:rFonts w:eastAsia="Times New Roman"/>
              <w:color w:val="000000"/>
            </w:rPr>
            <w:t>[261]</w:t>
          </w:r>
          <w:r w:rsidRPr="00B43409">
            <w:rPr>
              <w:rFonts w:eastAsia="Times New Roman"/>
              <w:color w:val="000000"/>
            </w:rPr>
            <w:tab/>
            <w:t>N.B. Morris, M.N. Cramer, S.G. Hodder, G. Havenith, O. Jay, A comparison between the technical absorbent and ventilated capsule methods for measuring local sweat rate, J. Appl. Physiol. 114 (2013) 816–823. https://doi.org/10.1152/japplphysiol.01088.2012.</w:t>
          </w:r>
        </w:p>
        <w:p w14:paraId="06A41532" w14:textId="77777777" w:rsidR="00B43409" w:rsidRPr="00B43409" w:rsidRDefault="00B43409">
          <w:pPr>
            <w:autoSpaceDE w:val="0"/>
            <w:autoSpaceDN w:val="0"/>
            <w:ind w:hanging="640"/>
            <w:divId w:val="1904483559"/>
            <w:rPr>
              <w:rFonts w:eastAsia="Times New Roman"/>
              <w:color w:val="000000"/>
            </w:rPr>
          </w:pPr>
          <w:r w:rsidRPr="00B43409">
            <w:rPr>
              <w:rFonts w:eastAsia="Times New Roman"/>
              <w:color w:val="000000"/>
            </w:rPr>
            <w:t>[262]</w:t>
          </w:r>
          <w:r w:rsidRPr="00B43409">
            <w:rPr>
              <w:rFonts w:eastAsia="Times New Roman"/>
              <w:color w:val="000000"/>
            </w:rPr>
            <w:tab/>
            <w:t>M.P. Poirier, D. Gagnon, G.P. Kenny, Local versus whole-body sweating adaptations following 14 days of traditional heat acclimation, Applied Physiology, Nutrition and Metabolism 41 (2016) 816–824. https://doi.org/10.1139/apnm-2015-0698.</w:t>
          </w:r>
        </w:p>
        <w:p w14:paraId="5FCDD1F7" w14:textId="77777777" w:rsidR="00B43409" w:rsidRPr="00B43409" w:rsidRDefault="00B43409">
          <w:pPr>
            <w:autoSpaceDE w:val="0"/>
            <w:autoSpaceDN w:val="0"/>
            <w:ind w:hanging="640"/>
            <w:divId w:val="1115900778"/>
            <w:rPr>
              <w:rFonts w:eastAsia="Times New Roman"/>
              <w:color w:val="000000"/>
            </w:rPr>
          </w:pPr>
          <w:r w:rsidRPr="00B43409">
            <w:rPr>
              <w:rFonts w:eastAsia="Times New Roman"/>
              <w:color w:val="000000"/>
            </w:rPr>
            <w:t>[263]</w:t>
          </w:r>
          <w:r w:rsidRPr="00B43409">
            <w:rPr>
              <w:rFonts w:eastAsia="Times New Roman"/>
              <w:color w:val="000000"/>
            </w:rPr>
            <w:tab/>
            <w:t>C.J. SMITH, G. HAVENITH, Body Mapping of Sweating Patterns in Athletes, Med. Sci. Sports Exerc. 44 (2012) 2350–2361. https://doi.org/10.1249/MSS.0b013e318267b0c4.</w:t>
          </w:r>
        </w:p>
        <w:p w14:paraId="75FCD069" w14:textId="77777777" w:rsidR="00B43409" w:rsidRPr="00B43409" w:rsidRDefault="00B43409">
          <w:pPr>
            <w:autoSpaceDE w:val="0"/>
            <w:autoSpaceDN w:val="0"/>
            <w:ind w:hanging="640"/>
            <w:divId w:val="1445230432"/>
            <w:rPr>
              <w:rFonts w:eastAsia="Times New Roman"/>
              <w:color w:val="000000"/>
            </w:rPr>
          </w:pPr>
          <w:r w:rsidRPr="00B43409">
            <w:rPr>
              <w:rFonts w:eastAsia="Times New Roman"/>
              <w:color w:val="000000"/>
            </w:rPr>
            <w:t>[264]</w:t>
          </w:r>
          <w:r w:rsidRPr="00B43409">
            <w:rPr>
              <w:rFonts w:eastAsia="Times New Roman"/>
              <w:color w:val="000000"/>
            </w:rPr>
            <w:tab/>
            <w:t>N. Ravanelli, G.B. Coombs, P. Imbeault, O. Jay, Maximum skin wettedness after aerobic training with and without heat acclimation, Med. Sci. Sports Exerc. 50 (2018) 299–307. https://doi.org/10.1249/MSS.0000000000001439.</w:t>
          </w:r>
        </w:p>
        <w:p w14:paraId="7ED44A9F" w14:textId="77777777" w:rsidR="00B43409" w:rsidRPr="00B43409" w:rsidRDefault="00B43409">
          <w:pPr>
            <w:autoSpaceDE w:val="0"/>
            <w:autoSpaceDN w:val="0"/>
            <w:ind w:hanging="640"/>
            <w:divId w:val="1970932261"/>
            <w:rPr>
              <w:rFonts w:eastAsia="Times New Roman"/>
              <w:color w:val="000000"/>
            </w:rPr>
          </w:pPr>
          <w:r w:rsidRPr="00B43409">
            <w:rPr>
              <w:rFonts w:eastAsia="Times New Roman"/>
              <w:color w:val="000000"/>
            </w:rPr>
            <w:t>[265]</w:t>
          </w:r>
          <w:r w:rsidRPr="00B43409">
            <w:rPr>
              <w:rFonts w:eastAsia="Times New Roman"/>
              <w:color w:val="000000"/>
            </w:rPr>
            <w:tab/>
            <w:t>V. Candas, J.P. Libert, J.J. Vogt, Human skin wettedness and evaporative efficiency of sweating, J. Appl. Physiol. 46 (1979) 522–528. https://doi.org/10.1152/jappl.1979.46.3.522.</w:t>
          </w:r>
        </w:p>
        <w:p w14:paraId="313FA6FB" w14:textId="77777777" w:rsidR="00B43409" w:rsidRPr="00B43409" w:rsidRDefault="00B43409">
          <w:pPr>
            <w:autoSpaceDE w:val="0"/>
            <w:autoSpaceDN w:val="0"/>
            <w:ind w:hanging="640"/>
            <w:divId w:val="2026976172"/>
            <w:rPr>
              <w:rFonts w:eastAsia="Times New Roman"/>
              <w:color w:val="000000"/>
            </w:rPr>
          </w:pPr>
          <w:r w:rsidRPr="00B43409">
            <w:rPr>
              <w:rFonts w:eastAsia="Times New Roman"/>
              <w:color w:val="000000"/>
            </w:rPr>
            <w:t>[266]</w:t>
          </w:r>
          <w:r w:rsidRPr="00B43409">
            <w:rPr>
              <w:rFonts w:eastAsia="Times New Roman"/>
              <w:color w:val="000000"/>
            </w:rPr>
            <w:tab/>
            <w:t>J.D. Périard, S. Racinais, M.N. Sawka, Adaptations and mechanisms of human heat acclimation: Applications for competitive athletes and sports, Scand. J. Med. Sci. Sports 25 (2015) 20–38. https://doi.org/10.1111/sms.12408.</w:t>
          </w:r>
        </w:p>
        <w:p w14:paraId="71F5B057" w14:textId="77777777" w:rsidR="00B43409" w:rsidRPr="00B43409" w:rsidRDefault="00B43409">
          <w:pPr>
            <w:autoSpaceDE w:val="0"/>
            <w:autoSpaceDN w:val="0"/>
            <w:ind w:hanging="640"/>
            <w:divId w:val="33358997"/>
            <w:rPr>
              <w:rFonts w:eastAsia="Times New Roman"/>
              <w:color w:val="000000"/>
            </w:rPr>
          </w:pPr>
          <w:r w:rsidRPr="00B43409">
            <w:rPr>
              <w:rFonts w:eastAsia="Times New Roman"/>
              <w:color w:val="000000"/>
            </w:rPr>
            <w:t>[267]</w:t>
          </w:r>
          <w:r w:rsidRPr="00B43409">
            <w:rPr>
              <w:rFonts w:eastAsia="Times New Roman"/>
              <w:color w:val="000000"/>
            </w:rPr>
            <w:tab/>
            <w:t>J.J. Braithwaite, W.G. Derrick, R. Jones, M. Rowe, A Guide for Analysing Electrodermal Activity (EDA) &amp;amp; Skin Conductance Responses (SCRs) for Psychological Experiments, Birmingham, UK, 2015.</w:t>
          </w:r>
        </w:p>
        <w:p w14:paraId="797AEC8B" w14:textId="77777777" w:rsidR="00B43409" w:rsidRPr="00B43409" w:rsidRDefault="00B43409">
          <w:pPr>
            <w:autoSpaceDE w:val="0"/>
            <w:autoSpaceDN w:val="0"/>
            <w:ind w:hanging="640"/>
            <w:divId w:val="1866553426"/>
            <w:rPr>
              <w:rFonts w:eastAsia="Times New Roman"/>
              <w:color w:val="000000"/>
            </w:rPr>
          </w:pPr>
          <w:r w:rsidRPr="00B43409">
            <w:rPr>
              <w:rFonts w:eastAsia="Times New Roman"/>
              <w:color w:val="000000"/>
            </w:rPr>
            <w:t>[268]</w:t>
          </w:r>
          <w:r w:rsidRPr="00B43409">
            <w:rPr>
              <w:rFonts w:eastAsia="Times New Roman"/>
              <w:color w:val="000000"/>
            </w:rPr>
            <w:tab/>
            <w:t>W. Boucsein, D.C. Fowles, S. Grimnes, G. Ben-Shakhar, W.T. Roth, M.E. Dawson, D.L. Filion, Publication recommendations for electrodermal measurements, Psychophysiology 49 (2012) 1017–1034. https://doi.org/10.1111/j.1469-8986.2012.01384.x.</w:t>
          </w:r>
        </w:p>
        <w:p w14:paraId="7BD182E9" w14:textId="77777777" w:rsidR="00B43409" w:rsidRPr="00B43409" w:rsidRDefault="00B43409">
          <w:pPr>
            <w:autoSpaceDE w:val="0"/>
            <w:autoSpaceDN w:val="0"/>
            <w:ind w:hanging="640"/>
            <w:divId w:val="1733697850"/>
            <w:rPr>
              <w:rFonts w:eastAsia="Times New Roman"/>
              <w:color w:val="000000"/>
            </w:rPr>
          </w:pPr>
          <w:r w:rsidRPr="00B43409">
            <w:rPr>
              <w:rFonts w:eastAsia="Times New Roman"/>
              <w:color w:val="000000"/>
            </w:rPr>
            <w:t>[269]</w:t>
          </w:r>
          <w:r w:rsidRPr="00B43409">
            <w:rPr>
              <w:rFonts w:eastAsia="Times New Roman"/>
              <w:color w:val="000000"/>
            </w:rPr>
            <w:tab/>
            <w:t>D. Gagnon, O. Jay, G.P. Kenny, The evaporative requirement for heat balance determines whole‐body sweat rate during exercise under conditions permitting full evaporation, J. Physiol. 591 (2013) 2925–2935. https://doi.org/10.1113/jphysiol.2012.248823.</w:t>
          </w:r>
        </w:p>
        <w:p w14:paraId="2F980C92" w14:textId="77777777" w:rsidR="00B43409" w:rsidRPr="00B43409" w:rsidRDefault="00B43409">
          <w:pPr>
            <w:autoSpaceDE w:val="0"/>
            <w:autoSpaceDN w:val="0"/>
            <w:ind w:hanging="640"/>
            <w:divId w:val="53432208"/>
            <w:rPr>
              <w:rFonts w:eastAsia="Times New Roman"/>
              <w:color w:val="000000"/>
            </w:rPr>
          </w:pPr>
          <w:r w:rsidRPr="00B43409">
            <w:rPr>
              <w:rFonts w:eastAsia="Times New Roman"/>
              <w:color w:val="000000"/>
            </w:rPr>
            <w:t>[270]</w:t>
          </w:r>
          <w:r w:rsidRPr="00B43409">
            <w:rPr>
              <w:rFonts w:eastAsia="Times New Roman"/>
              <w:color w:val="000000"/>
            </w:rPr>
            <w:tab/>
            <w:t>D. Makowski, T. Pham, Z.J. Lau, J.C. Brammer, F. Lespinasse, H. Pham, C. Schölzel, S.H.A. Chen, NeuroKit2: A Python toolbox for neurophysiological signal processing, Behav. Res. Methods 53 (2021) 1689–1696. https://doi.org/10.3758/s13428-020-01516-y.</w:t>
          </w:r>
        </w:p>
        <w:p w14:paraId="7727147A" w14:textId="77777777" w:rsidR="00B43409" w:rsidRPr="00B43409" w:rsidRDefault="00B43409">
          <w:pPr>
            <w:autoSpaceDE w:val="0"/>
            <w:autoSpaceDN w:val="0"/>
            <w:ind w:hanging="640"/>
            <w:divId w:val="992954087"/>
            <w:rPr>
              <w:rFonts w:eastAsia="Times New Roman"/>
              <w:color w:val="000000"/>
            </w:rPr>
          </w:pPr>
          <w:r w:rsidRPr="00B43409">
            <w:rPr>
              <w:rFonts w:eastAsia="Times New Roman"/>
              <w:color w:val="000000"/>
            </w:rPr>
            <w:t>[271]</w:t>
          </w:r>
          <w:r w:rsidRPr="00B43409">
            <w:rPr>
              <w:rFonts w:eastAsia="Times New Roman"/>
              <w:color w:val="000000"/>
            </w:rPr>
            <w:tab/>
            <w:t>M. Benedek, C. Kaernbach, Decomposition of skin conductance data by means of nonnegative deconvolution, Psychophysiology 47 (2010) 647–658. https://doi.org/10.1111/j.1469-8986.2009.00972.x.</w:t>
          </w:r>
        </w:p>
        <w:p w14:paraId="31498B8D" w14:textId="77777777" w:rsidR="00B43409" w:rsidRPr="00B43409" w:rsidRDefault="00B43409">
          <w:pPr>
            <w:autoSpaceDE w:val="0"/>
            <w:autoSpaceDN w:val="0"/>
            <w:ind w:hanging="640"/>
            <w:divId w:val="509492984"/>
            <w:rPr>
              <w:rFonts w:eastAsia="Times New Roman"/>
              <w:color w:val="000000"/>
            </w:rPr>
          </w:pPr>
          <w:r w:rsidRPr="00B43409">
            <w:rPr>
              <w:rFonts w:eastAsia="Times New Roman"/>
              <w:color w:val="000000"/>
            </w:rPr>
            <w:t>[272]</w:t>
          </w:r>
          <w:r w:rsidRPr="00B43409">
            <w:rPr>
              <w:rFonts w:eastAsia="Times New Roman"/>
              <w:color w:val="000000"/>
            </w:rPr>
            <w:tab/>
            <w:t>B. Vittrant, V. Courrier, R.Y. Yang, P. de Villèle, S. Tebeka, S. Mauries, P.A. Geoffroy, Circadian-like patterns in electrochemical skin conductance measured from home-based devices: a retrospective study, Front. Neurol. 14 (2023) 1–8. https://doi.org/10.3389/fneur.2023.1249170.</w:t>
          </w:r>
        </w:p>
        <w:p w14:paraId="6D7B642E" w14:textId="77777777" w:rsidR="00B43409" w:rsidRPr="00B43409" w:rsidRDefault="00B43409">
          <w:pPr>
            <w:autoSpaceDE w:val="0"/>
            <w:autoSpaceDN w:val="0"/>
            <w:ind w:hanging="640"/>
            <w:divId w:val="2028677940"/>
            <w:rPr>
              <w:rFonts w:eastAsia="Times New Roman"/>
              <w:color w:val="000000"/>
            </w:rPr>
          </w:pPr>
          <w:r w:rsidRPr="00B43409">
            <w:rPr>
              <w:rFonts w:eastAsia="Times New Roman"/>
              <w:color w:val="000000"/>
            </w:rPr>
            <w:t>[273]</w:t>
          </w:r>
          <w:r w:rsidRPr="00B43409">
            <w:rPr>
              <w:rFonts w:eastAsia="Times New Roman"/>
              <w:color w:val="000000"/>
            </w:rPr>
            <w:tab/>
            <w:t>Task Force of the European Society of Cardiology the North American Society of Pacing Electrophysiology, Heart Rate Variability: Standards of Measurement, Physiological Interpretation, and Clinical Use, Circulation 93 (1996) 1043–1065. https://doi.org/10.1161/01.CIR.93.5.1043.</w:t>
          </w:r>
        </w:p>
        <w:p w14:paraId="31BF2F40" w14:textId="77777777" w:rsidR="00B43409" w:rsidRPr="00B43409" w:rsidRDefault="00B43409">
          <w:pPr>
            <w:autoSpaceDE w:val="0"/>
            <w:autoSpaceDN w:val="0"/>
            <w:ind w:hanging="640"/>
            <w:divId w:val="903492855"/>
            <w:rPr>
              <w:rFonts w:eastAsia="Times New Roman"/>
              <w:color w:val="000000"/>
            </w:rPr>
          </w:pPr>
          <w:r w:rsidRPr="00B43409">
            <w:rPr>
              <w:rFonts w:eastAsia="Times New Roman"/>
              <w:color w:val="000000"/>
            </w:rPr>
            <w:lastRenderedPageBreak/>
            <w:t>[274]</w:t>
          </w:r>
          <w:r w:rsidRPr="00B43409">
            <w:rPr>
              <w:rFonts w:eastAsia="Times New Roman"/>
              <w:color w:val="000000"/>
            </w:rPr>
            <w:tab/>
            <w:t>G.G. Berntson, J.R. Stowell, ECG artifacts and heart period variability: Don’t miss a beat!, Psychophysiology 35 (1998) 127–132. https://doi.org/10.1017/S0048577298001541.</w:t>
          </w:r>
        </w:p>
        <w:p w14:paraId="0E846B84" w14:textId="77777777" w:rsidR="00B43409" w:rsidRPr="00B43409" w:rsidRDefault="00B43409">
          <w:pPr>
            <w:autoSpaceDE w:val="0"/>
            <w:autoSpaceDN w:val="0"/>
            <w:ind w:hanging="640"/>
            <w:divId w:val="1399478322"/>
            <w:rPr>
              <w:rFonts w:eastAsia="Times New Roman"/>
              <w:color w:val="000000"/>
            </w:rPr>
          </w:pPr>
          <w:r w:rsidRPr="00B43409">
            <w:rPr>
              <w:rFonts w:eastAsia="Times New Roman"/>
              <w:color w:val="000000"/>
            </w:rPr>
            <w:t>[275]</w:t>
          </w:r>
          <w:r w:rsidRPr="00B43409">
            <w:rPr>
              <w:rFonts w:eastAsia="Times New Roman"/>
              <w:color w:val="000000"/>
            </w:rPr>
            <w:tab/>
            <w:t>L.B. Rowell, Human cardiovascular adjustments to exercise and thermal stress, Physiol. Rev. 54 (1974) 75–159. https://doi.org/10.1152/physrev.1974.54.1.75.</w:t>
          </w:r>
        </w:p>
        <w:p w14:paraId="091D6273" w14:textId="77777777" w:rsidR="00B43409" w:rsidRPr="00B43409" w:rsidRDefault="00B43409">
          <w:pPr>
            <w:autoSpaceDE w:val="0"/>
            <w:autoSpaceDN w:val="0"/>
            <w:ind w:hanging="640"/>
            <w:divId w:val="576327638"/>
            <w:rPr>
              <w:rFonts w:eastAsia="Times New Roman"/>
              <w:color w:val="000000"/>
            </w:rPr>
          </w:pPr>
          <w:r w:rsidRPr="00B43409">
            <w:rPr>
              <w:rFonts w:eastAsia="Times New Roman"/>
              <w:color w:val="000000"/>
            </w:rPr>
            <w:t>[276]</w:t>
          </w:r>
          <w:r w:rsidRPr="00B43409">
            <w:rPr>
              <w:rFonts w:eastAsia="Times New Roman"/>
              <w:color w:val="000000"/>
            </w:rPr>
            <w:tab/>
            <w:t>C.G. Crandall, J. González‐Alonso, Cardiovascular function in the heat‐stressed human, Acta Physiologica 199 (2010) 407–423. https://doi.org/10.1111/j.1748-1716.2010.02119.x.</w:t>
          </w:r>
        </w:p>
        <w:p w14:paraId="475691CB" w14:textId="77777777" w:rsidR="00B43409" w:rsidRPr="00B43409" w:rsidRDefault="00B43409">
          <w:pPr>
            <w:autoSpaceDE w:val="0"/>
            <w:autoSpaceDN w:val="0"/>
            <w:ind w:hanging="640"/>
            <w:divId w:val="1776288455"/>
            <w:rPr>
              <w:rFonts w:eastAsia="Times New Roman"/>
              <w:color w:val="000000"/>
            </w:rPr>
          </w:pPr>
          <w:r w:rsidRPr="00B43409">
            <w:rPr>
              <w:rFonts w:eastAsia="Times New Roman"/>
              <w:color w:val="000000"/>
            </w:rPr>
            <w:t>[277]</w:t>
          </w:r>
          <w:r w:rsidRPr="00B43409">
            <w:rPr>
              <w:rFonts w:eastAsia="Times New Roman"/>
              <w:color w:val="000000"/>
            </w:rPr>
            <w:tab/>
            <w:t>L.B. ROWELL, J.A. MURRAY, G.L. BRENGELMANN, K.K. KRANING, Human Cardiovascular Adjustments to Rapid Changes in Skin Temperature during Exercise, Circ. Res. 24 (1969) 711–724. https://doi.org/10.1161/01.RES.24.5.711.</w:t>
          </w:r>
        </w:p>
        <w:p w14:paraId="5F24058A" w14:textId="77777777" w:rsidR="00B43409" w:rsidRPr="00B43409" w:rsidRDefault="00B43409">
          <w:pPr>
            <w:autoSpaceDE w:val="0"/>
            <w:autoSpaceDN w:val="0"/>
            <w:ind w:hanging="640"/>
            <w:divId w:val="1283881314"/>
            <w:rPr>
              <w:rFonts w:eastAsia="Times New Roman"/>
              <w:color w:val="000000"/>
            </w:rPr>
          </w:pPr>
          <w:r w:rsidRPr="00B43409">
            <w:rPr>
              <w:rFonts w:eastAsia="Times New Roman"/>
              <w:color w:val="000000"/>
            </w:rPr>
            <w:t>[278]</w:t>
          </w:r>
          <w:r w:rsidRPr="00B43409">
            <w:rPr>
              <w:rFonts w:eastAsia="Times New Roman"/>
              <w:color w:val="000000"/>
            </w:rPr>
            <w:tab/>
            <w:t>L.B. Rowell, K.K. Kraning, J.W. Kennedy, T.O. Evans, Central circulatory responses to work in dry heat before and after acclimatization., J. Appl. Physiol. 22 (1967) 509–518. https://doi.org/10.1152/jappl.1967.22.3.509.</w:t>
          </w:r>
        </w:p>
        <w:p w14:paraId="03F57573" w14:textId="77777777" w:rsidR="00B43409" w:rsidRPr="00B43409" w:rsidRDefault="00B43409">
          <w:pPr>
            <w:autoSpaceDE w:val="0"/>
            <w:autoSpaceDN w:val="0"/>
            <w:ind w:hanging="640"/>
            <w:divId w:val="1534490243"/>
            <w:rPr>
              <w:rFonts w:eastAsia="Times New Roman"/>
              <w:color w:val="000000"/>
            </w:rPr>
          </w:pPr>
          <w:r w:rsidRPr="00B43409">
            <w:rPr>
              <w:rFonts w:eastAsia="Times New Roman"/>
              <w:color w:val="000000"/>
            </w:rPr>
            <w:t>[279]</w:t>
          </w:r>
          <w:r w:rsidRPr="00B43409">
            <w:rPr>
              <w:rFonts w:eastAsia="Times New Roman"/>
              <w:color w:val="000000"/>
            </w:rPr>
            <w:tab/>
            <w:t>C.T. Minson, S.L. Wladkowski, A.F. Cardell, J.A. Pawelczyk, W.L. Kenney, Age alters the cardiovascular response to direct passive heating, J. Appl. Physiol. 84 (1998) 1323–1332. https://doi.org/10.1152/jappl.1998.84.4.1323.</w:t>
          </w:r>
        </w:p>
        <w:p w14:paraId="7AA768FB" w14:textId="77777777" w:rsidR="00B43409" w:rsidRPr="00B43409" w:rsidRDefault="00B43409">
          <w:pPr>
            <w:autoSpaceDE w:val="0"/>
            <w:autoSpaceDN w:val="0"/>
            <w:ind w:hanging="640"/>
            <w:divId w:val="1645355590"/>
            <w:rPr>
              <w:rFonts w:eastAsia="Times New Roman"/>
              <w:color w:val="000000"/>
            </w:rPr>
          </w:pPr>
          <w:r w:rsidRPr="00B43409">
            <w:rPr>
              <w:rFonts w:eastAsia="Times New Roman"/>
              <w:color w:val="000000"/>
            </w:rPr>
            <w:t>[280]</w:t>
          </w:r>
          <w:r w:rsidRPr="00B43409">
            <w:rPr>
              <w:rFonts w:eastAsia="Times New Roman"/>
              <w:color w:val="000000"/>
            </w:rPr>
            <w:tab/>
            <w:t>C.G. Crandall, T.E. Wilson, Human cardiovascular responses to passive heat stress, Compr. Physiol. 5 (2015) 17–43. https://doi.org/10.1002/cphy.c140015.</w:t>
          </w:r>
        </w:p>
        <w:p w14:paraId="03736BD5" w14:textId="77777777" w:rsidR="00B43409" w:rsidRPr="00B43409" w:rsidRDefault="00B43409">
          <w:pPr>
            <w:autoSpaceDE w:val="0"/>
            <w:autoSpaceDN w:val="0"/>
            <w:ind w:hanging="640"/>
            <w:divId w:val="1605848459"/>
            <w:rPr>
              <w:rFonts w:eastAsia="Times New Roman"/>
              <w:color w:val="000000"/>
            </w:rPr>
          </w:pPr>
          <w:r w:rsidRPr="00B43409">
            <w:rPr>
              <w:rFonts w:eastAsia="Times New Roman"/>
              <w:color w:val="000000"/>
            </w:rPr>
            <w:t>[281]</w:t>
          </w:r>
          <w:r w:rsidRPr="00B43409">
            <w:rPr>
              <w:rFonts w:eastAsia="Times New Roman"/>
              <w:color w:val="000000"/>
            </w:rPr>
            <w:tab/>
            <w:t>A.D. Jose, D. Collison, The normal range and determinants of the intrinsic heart rate in man, Cardiovasc. Res. 4 (1970) 160–167. https://doi.org/10.1093/cvr/4.2.160.</w:t>
          </w:r>
        </w:p>
        <w:p w14:paraId="7DFC8D96" w14:textId="77777777" w:rsidR="00B43409" w:rsidRPr="00B43409" w:rsidRDefault="00B43409">
          <w:pPr>
            <w:autoSpaceDE w:val="0"/>
            <w:autoSpaceDN w:val="0"/>
            <w:ind w:hanging="640"/>
            <w:divId w:val="1483498525"/>
            <w:rPr>
              <w:rFonts w:eastAsia="Times New Roman"/>
              <w:color w:val="000000"/>
            </w:rPr>
          </w:pPr>
          <w:r w:rsidRPr="00B43409">
            <w:rPr>
              <w:rFonts w:eastAsia="Times New Roman"/>
              <w:color w:val="000000"/>
            </w:rPr>
            <w:t>[282]</w:t>
          </w:r>
          <w:r w:rsidRPr="00B43409">
            <w:rPr>
              <w:rFonts w:eastAsia="Times New Roman"/>
              <w:color w:val="000000"/>
            </w:rPr>
            <w:tab/>
            <w:t>J. Saul, Beat-To-Beat Variations of Heart Rate Reflect Modulation of Cardiac Autonomic Outflow, Physiology 5 (1990) 32–37. https://doi.org/10.1152/physiologyonline.1990.5.1.32.</w:t>
          </w:r>
        </w:p>
        <w:p w14:paraId="5CD0B112" w14:textId="77777777" w:rsidR="00B43409" w:rsidRPr="00B43409" w:rsidRDefault="00B43409">
          <w:pPr>
            <w:autoSpaceDE w:val="0"/>
            <w:autoSpaceDN w:val="0"/>
            <w:ind w:hanging="640"/>
            <w:divId w:val="820730139"/>
            <w:rPr>
              <w:rFonts w:eastAsia="Times New Roman"/>
              <w:color w:val="000000"/>
            </w:rPr>
          </w:pPr>
          <w:r w:rsidRPr="00B43409">
            <w:rPr>
              <w:rFonts w:eastAsia="Times New Roman"/>
              <w:color w:val="000000"/>
            </w:rPr>
            <w:t>[283]</w:t>
          </w:r>
          <w:r w:rsidRPr="00B43409">
            <w:rPr>
              <w:rFonts w:eastAsia="Times New Roman"/>
              <w:color w:val="000000"/>
            </w:rPr>
            <w:tab/>
            <w:t>J.F. Thayer, S.S. Yamamoto, J.F. Brosschot, The relationship of autonomic imbalance, heart rate variability and cardiovascular disease risk factors, Int. J. Cardiol. 141 (2010) 122–131. https://doi.org/10.1016/j.ijcard.2009.09.543.</w:t>
          </w:r>
        </w:p>
        <w:p w14:paraId="4D25E9DD" w14:textId="77777777" w:rsidR="00B43409" w:rsidRPr="00B43409" w:rsidRDefault="00B43409">
          <w:pPr>
            <w:autoSpaceDE w:val="0"/>
            <w:autoSpaceDN w:val="0"/>
            <w:ind w:hanging="640"/>
            <w:divId w:val="1297757426"/>
            <w:rPr>
              <w:rFonts w:eastAsia="Times New Roman"/>
              <w:color w:val="000000"/>
            </w:rPr>
          </w:pPr>
          <w:r w:rsidRPr="00B43409">
            <w:rPr>
              <w:rFonts w:eastAsia="Times New Roman"/>
              <w:color w:val="000000"/>
            </w:rPr>
            <w:t>[284]</w:t>
          </w:r>
          <w:r w:rsidRPr="00B43409">
            <w:rPr>
              <w:rFonts w:eastAsia="Times New Roman"/>
              <w:color w:val="000000"/>
            </w:rPr>
            <w:tab/>
            <w:t>S. Akselrod, D. Gordon, F.A. Ubel, D.C. Shannon, A.C. Berger, R.J. Cohen, Power Spectrum Analysis of Heart Rate Fluctuation: A Quantitative Probe of Beat-to-Beat Cardiovascular Control, Science (1979). 213 (1981) 220–222. https://doi.org/10.1126/science.6166045.</w:t>
          </w:r>
        </w:p>
        <w:p w14:paraId="42899375" w14:textId="77777777" w:rsidR="00B43409" w:rsidRPr="00B43409" w:rsidRDefault="00B43409">
          <w:pPr>
            <w:autoSpaceDE w:val="0"/>
            <w:autoSpaceDN w:val="0"/>
            <w:ind w:hanging="640"/>
            <w:divId w:val="616716299"/>
            <w:rPr>
              <w:rFonts w:eastAsia="Times New Roman"/>
              <w:color w:val="000000"/>
            </w:rPr>
          </w:pPr>
          <w:r w:rsidRPr="00B43409">
            <w:rPr>
              <w:rFonts w:eastAsia="Times New Roman"/>
              <w:color w:val="000000"/>
            </w:rPr>
            <w:t>[285]</w:t>
          </w:r>
          <w:r w:rsidRPr="00B43409">
            <w:rPr>
              <w:rFonts w:eastAsia="Times New Roman"/>
              <w:color w:val="000000"/>
            </w:rPr>
            <w:tab/>
            <w:t>F. Shaffer, R. McCraty, C.L. Zerr, A healthy heart is not a metronome: an integrative review of the heart’s anatomy and heart rate variability, Front. Psychol. 5 (2014) 1–19. https://doi.org/10.3389/fpsyg.2014.01040.</w:t>
          </w:r>
        </w:p>
        <w:p w14:paraId="32EAD6FB" w14:textId="77777777" w:rsidR="00B43409" w:rsidRPr="00B43409" w:rsidRDefault="00B43409">
          <w:pPr>
            <w:autoSpaceDE w:val="0"/>
            <w:autoSpaceDN w:val="0"/>
            <w:ind w:hanging="640"/>
            <w:divId w:val="1540967097"/>
            <w:rPr>
              <w:rFonts w:eastAsia="Times New Roman"/>
              <w:color w:val="000000"/>
            </w:rPr>
          </w:pPr>
          <w:r w:rsidRPr="00B43409">
            <w:rPr>
              <w:rFonts w:eastAsia="Times New Roman"/>
              <w:color w:val="000000"/>
            </w:rPr>
            <w:t>[286]</w:t>
          </w:r>
          <w:r w:rsidRPr="00B43409">
            <w:rPr>
              <w:rFonts w:eastAsia="Times New Roman"/>
              <w:color w:val="000000"/>
            </w:rPr>
            <w:tab/>
            <w:t>Y. Niimi, T. Matsukawa, Y. Sugiyama, A.S.M. Shamsuzzaman, H. Ito, G. Sobue, T. Mano, Effect of heat stress on muscle sympathetic nerve activity in humans, J. Auton. Nerv. Syst. 63 (1997) 61–67. https://doi.org/10.1016/S0165-1838(96)00134-8.</w:t>
          </w:r>
        </w:p>
        <w:p w14:paraId="76462F1A" w14:textId="77777777" w:rsidR="00B43409" w:rsidRPr="00B43409" w:rsidRDefault="00B43409">
          <w:pPr>
            <w:autoSpaceDE w:val="0"/>
            <w:autoSpaceDN w:val="0"/>
            <w:ind w:hanging="640"/>
            <w:divId w:val="696665603"/>
            <w:rPr>
              <w:rFonts w:eastAsia="Times New Roman"/>
              <w:color w:val="000000"/>
            </w:rPr>
          </w:pPr>
          <w:r w:rsidRPr="00B43409">
            <w:rPr>
              <w:rFonts w:eastAsia="Times New Roman"/>
              <w:color w:val="000000"/>
            </w:rPr>
            <w:t>[287]</w:t>
          </w:r>
          <w:r w:rsidRPr="00B43409">
            <w:rPr>
              <w:rFonts w:eastAsia="Times New Roman"/>
              <w:color w:val="000000"/>
            </w:rPr>
            <w:tab/>
            <w:t>S.S. Bruce-Low, D. Cotterrell, G.E. Jones, Heart rate variability during high ambient heat exposure., Aviat. Space Environ. Med. 77 (2006) 915–20.</w:t>
          </w:r>
        </w:p>
        <w:p w14:paraId="7D89E311" w14:textId="77777777" w:rsidR="00B43409" w:rsidRPr="00B43409" w:rsidRDefault="00B43409">
          <w:pPr>
            <w:autoSpaceDE w:val="0"/>
            <w:autoSpaceDN w:val="0"/>
            <w:ind w:hanging="640"/>
            <w:divId w:val="318732996"/>
            <w:rPr>
              <w:rFonts w:eastAsia="Times New Roman"/>
              <w:color w:val="000000"/>
            </w:rPr>
          </w:pPr>
          <w:r w:rsidRPr="00B43409">
            <w:rPr>
              <w:rFonts w:eastAsia="Times New Roman"/>
              <w:color w:val="000000"/>
            </w:rPr>
            <w:t>[288]</w:t>
          </w:r>
          <w:r w:rsidRPr="00B43409">
            <w:rPr>
              <w:rFonts w:eastAsia="Times New Roman"/>
              <w:color w:val="000000"/>
            </w:rPr>
            <w:tab/>
            <w:t>S. Yamamoto, M. Iwamoto, M. Inoue, N. Harada, Evaluation of the effect of heat exposure on the autonomic nervous system by heart rate variability and urinary catecholamines., J. Occup. Health 49 (2007) 199–204. https://doi.org/10.1539/joh.49.199.</w:t>
          </w:r>
        </w:p>
        <w:p w14:paraId="2DD8EF4C" w14:textId="77777777" w:rsidR="00B43409" w:rsidRPr="00B43409" w:rsidRDefault="00B43409">
          <w:pPr>
            <w:autoSpaceDE w:val="0"/>
            <w:autoSpaceDN w:val="0"/>
            <w:ind w:hanging="640"/>
            <w:divId w:val="1521429922"/>
            <w:rPr>
              <w:rFonts w:eastAsia="Times New Roman"/>
              <w:color w:val="000000"/>
            </w:rPr>
          </w:pPr>
          <w:r w:rsidRPr="00B43409">
            <w:rPr>
              <w:rFonts w:eastAsia="Times New Roman"/>
              <w:color w:val="000000"/>
            </w:rPr>
            <w:t>[289]</w:t>
          </w:r>
          <w:r w:rsidRPr="00B43409">
            <w:rPr>
              <w:rFonts w:eastAsia="Times New Roman"/>
              <w:color w:val="000000"/>
            </w:rPr>
            <w:tab/>
            <w:t>C.G. Crandall, B.D. Levine, R.A. Etzel, Effect of increasing central venous pressure during passive heating on skin blood flow, J. Appl. Physiol. 86 (1999) 605–610. https://doi.org/10.1152/jappl.1999.86.2.605.</w:t>
          </w:r>
        </w:p>
        <w:p w14:paraId="766114A4" w14:textId="77777777" w:rsidR="00B43409" w:rsidRPr="00B43409" w:rsidRDefault="00B43409">
          <w:pPr>
            <w:autoSpaceDE w:val="0"/>
            <w:autoSpaceDN w:val="0"/>
            <w:ind w:hanging="640"/>
            <w:divId w:val="1094479662"/>
            <w:rPr>
              <w:rFonts w:eastAsia="Times New Roman"/>
              <w:color w:val="000000"/>
            </w:rPr>
          </w:pPr>
          <w:r w:rsidRPr="00B43409">
            <w:rPr>
              <w:rFonts w:eastAsia="Times New Roman"/>
              <w:color w:val="000000"/>
            </w:rPr>
            <w:lastRenderedPageBreak/>
            <w:t>[290]</w:t>
          </w:r>
          <w:r w:rsidRPr="00B43409">
            <w:rPr>
              <w:rFonts w:eastAsia="Times New Roman"/>
              <w:color w:val="000000"/>
            </w:rPr>
            <w:tab/>
            <w:t>J. Cui, T.E. Wilson, C.G. Crandall, Phenylephrine-induced elevations in arterial blood pressure are attenuated in heat-stressed humans, Am. J. Physiol. Regul. Integr. Comp. Physiol. 283 (2002) 1221–1226. https://doi.org/10.1152/ajpregu.00195.2002.</w:t>
          </w:r>
        </w:p>
        <w:p w14:paraId="0561D636" w14:textId="77777777" w:rsidR="00B43409" w:rsidRPr="00B43409" w:rsidRDefault="00B43409">
          <w:pPr>
            <w:autoSpaceDE w:val="0"/>
            <w:autoSpaceDN w:val="0"/>
            <w:ind w:hanging="640"/>
            <w:divId w:val="1853179193"/>
            <w:rPr>
              <w:rFonts w:eastAsia="Times New Roman"/>
              <w:color w:val="000000"/>
            </w:rPr>
          </w:pPr>
          <w:r w:rsidRPr="00B43409">
            <w:rPr>
              <w:rFonts w:eastAsia="Times New Roman"/>
              <w:color w:val="000000"/>
            </w:rPr>
            <w:t>[291]</w:t>
          </w:r>
          <w:r w:rsidRPr="00B43409">
            <w:rPr>
              <w:rFonts w:eastAsia="Times New Roman"/>
              <w:color w:val="000000"/>
            </w:rPr>
            <w:tab/>
            <w:t>J. Cui, M. Shibasaki, D.A. Low, D.M. Keller, S.L. Davis, C.G. Crandall, Heat stress attenuates the increase in arterial blood pressure during the cold pressor test, J. Appl. Physiol. 109 (2010) 1354–1359. https://doi.org/10.1152/japplphysiol.00292.2010.</w:t>
          </w:r>
        </w:p>
        <w:p w14:paraId="15638832" w14:textId="77777777" w:rsidR="00B43409" w:rsidRPr="00B43409" w:rsidRDefault="00B43409">
          <w:pPr>
            <w:autoSpaceDE w:val="0"/>
            <w:autoSpaceDN w:val="0"/>
            <w:ind w:hanging="640"/>
            <w:divId w:val="1749377433"/>
            <w:rPr>
              <w:rFonts w:eastAsia="Times New Roman"/>
              <w:color w:val="000000"/>
            </w:rPr>
          </w:pPr>
          <w:r w:rsidRPr="00B43409">
            <w:rPr>
              <w:rFonts w:eastAsia="Times New Roman"/>
              <w:color w:val="000000"/>
            </w:rPr>
            <w:t>[292]</w:t>
          </w:r>
          <w:r w:rsidRPr="00B43409">
            <w:rPr>
              <w:rFonts w:eastAsia="Times New Roman"/>
              <w:color w:val="000000"/>
            </w:rPr>
            <w:tab/>
            <w:t>D.A. Low, D.M. Keller, J.E. Wingo, R.M. Brothers, C.G. Crandall, Sympathetic nerve activity and whole body heat stress in humans, J. Appl. Physiol. 111 (2011) 1329–1334. https://doi.org/10.1152/japplphysiol.00498.2011.</w:t>
          </w:r>
        </w:p>
        <w:p w14:paraId="266CB0F2" w14:textId="77777777" w:rsidR="00B43409" w:rsidRPr="00B43409" w:rsidRDefault="00B43409">
          <w:pPr>
            <w:autoSpaceDE w:val="0"/>
            <w:autoSpaceDN w:val="0"/>
            <w:ind w:hanging="640"/>
            <w:divId w:val="914633703"/>
            <w:rPr>
              <w:rFonts w:eastAsia="Times New Roman"/>
              <w:color w:val="000000"/>
            </w:rPr>
          </w:pPr>
          <w:r w:rsidRPr="00B43409">
            <w:rPr>
              <w:rFonts w:eastAsia="Times New Roman"/>
              <w:color w:val="000000"/>
            </w:rPr>
            <w:t>[293]</w:t>
          </w:r>
          <w:r w:rsidRPr="00B43409">
            <w:rPr>
              <w:rFonts w:eastAsia="Times New Roman"/>
              <w:color w:val="000000"/>
            </w:rPr>
            <w:tab/>
            <w:t>C.G. Crandall, R.A. Etzel, D.B. Farr, Cardiopulmonary baroreceptor control of muscle sympathetic nerve activity in heat-stressed humans, American Journal of Physiology-Heart and Circulatory Physiology 277 (1999) H2348–H2352. https://doi.org/10.1152/ajpheart.1999.277.6.H2348.</w:t>
          </w:r>
        </w:p>
        <w:p w14:paraId="32CCF208" w14:textId="77777777" w:rsidR="00B43409" w:rsidRPr="00B43409" w:rsidRDefault="00B43409">
          <w:pPr>
            <w:autoSpaceDE w:val="0"/>
            <w:autoSpaceDN w:val="0"/>
            <w:ind w:hanging="640"/>
            <w:divId w:val="101610283"/>
            <w:rPr>
              <w:rFonts w:eastAsia="Times New Roman"/>
              <w:color w:val="000000"/>
            </w:rPr>
          </w:pPr>
          <w:r w:rsidRPr="00B43409">
            <w:rPr>
              <w:rFonts w:eastAsia="Times New Roman"/>
              <w:color w:val="000000"/>
            </w:rPr>
            <w:t>[294]</w:t>
          </w:r>
          <w:r w:rsidRPr="00B43409">
            <w:rPr>
              <w:rFonts w:eastAsia="Times New Roman"/>
              <w:color w:val="000000"/>
            </w:rPr>
            <w:tab/>
            <w:t>O. Rompelman, A.J.R.M. Coenen, R.I. Kitney, Measurement of heart-rate variability: Part 1—Comparative study of heart-rate variability analysis methods, Med. Biol. Eng. Comput. 15 (1977) 233–239. https://doi.org/10.1007/BF02441043.</w:t>
          </w:r>
        </w:p>
        <w:p w14:paraId="7B6DE6A2" w14:textId="77777777" w:rsidR="00B43409" w:rsidRPr="00B43409" w:rsidRDefault="00B43409">
          <w:pPr>
            <w:autoSpaceDE w:val="0"/>
            <w:autoSpaceDN w:val="0"/>
            <w:ind w:hanging="640"/>
            <w:divId w:val="121701949"/>
            <w:rPr>
              <w:rFonts w:eastAsia="Times New Roman"/>
              <w:color w:val="000000"/>
            </w:rPr>
          </w:pPr>
          <w:r w:rsidRPr="00B43409">
            <w:rPr>
              <w:rFonts w:eastAsia="Times New Roman"/>
              <w:color w:val="000000"/>
            </w:rPr>
            <w:t>[295]</w:t>
          </w:r>
          <w:r w:rsidRPr="00B43409">
            <w:rPr>
              <w:rFonts w:eastAsia="Times New Roman"/>
              <w:color w:val="000000"/>
            </w:rPr>
            <w:tab/>
            <w:t>A.J.R.M. Coenen, O. Rompelman, R.I. Kitney, Measurement of heart-rate variability: Part 2-hardware digital device for the assessment of heart-rate variability, Med. Biol. Eng. Comput. 15 (1977) 423–430. https://doi.org/10.1007/BF02457997.</w:t>
          </w:r>
        </w:p>
        <w:p w14:paraId="4235CADD" w14:textId="77777777" w:rsidR="00B43409" w:rsidRPr="00B43409" w:rsidRDefault="00B43409">
          <w:pPr>
            <w:autoSpaceDE w:val="0"/>
            <w:autoSpaceDN w:val="0"/>
            <w:ind w:hanging="640"/>
            <w:divId w:val="515390607"/>
            <w:rPr>
              <w:rFonts w:eastAsia="Times New Roman"/>
              <w:color w:val="000000"/>
            </w:rPr>
          </w:pPr>
          <w:r w:rsidRPr="00B43409">
            <w:rPr>
              <w:rFonts w:eastAsia="Times New Roman"/>
              <w:color w:val="000000"/>
            </w:rPr>
            <w:t>[296]</w:t>
          </w:r>
          <w:r w:rsidRPr="00B43409">
            <w:rPr>
              <w:rFonts w:eastAsia="Times New Roman"/>
              <w:color w:val="000000"/>
            </w:rPr>
            <w:tab/>
            <w:t>J.F. Thayer, F. Åhs, M. Fredrikson, J.J. Sollers, T.D. Wager, A meta-analysis of heart rate variability and neuroimaging studies: Implications for heart rate variability as a marker of stress and health, Neurosci. Biobehav. Rev. 36 (2012) 747–756. https://doi.org/10.1016/j.neubiorev.2011.11.009.</w:t>
          </w:r>
        </w:p>
        <w:p w14:paraId="24B45D6C" w14:textId="77777777" w:rsidR="00B43409" w:rsidRPr="00B43409" w:rsidRDefault="00B43409">
          <w:pPr>
            <w:autoSpaceDE w:val="0"/>
            <w:autoSpaceDN w:val="0"/>
            <w:ind w:hanging="640"/>
            <w:divId w:val="561061648"/>
            <w:rPr>
              <w:rFonts w:eastAsia="Times New Roman"/>
              <w:color w:val="000000"/>
            </w:rPr>
          </w:pPr>
          <w:r w:rsidRPr="00B43409">
            <w:rPr>
              <w:rFonts w:eastAsia="Times New Roman"/>
              <w:color w:val="000000"/>
            </w:rPr>
            <w:t>[297]</w:t>
          </w:r>
          <w:r w:rsidRPr="00B43409">
            <w:rPr>
              <w:rFonts w:eastAsia="Times New Roman"/>
              <w:color w:val="000000"/>
            </w:rPr>
            <w:tab/>
            <w:t>C.W. Myers, M.A. Cohen, D.L. Eckberg, J.A. Taylor, A model for the genesis of arterial pressure Mayer waves from heart rate and sympathetic activity, Autonomic Neuroscience 91 (2001) 62–75. https://doi.org/10.1016/S1566-0702(01)00289-2.</w:t>
          </w:r>
        </w:p>
        <w:p w14:paraId="3670C99B" w14:textId="77777777" w:rsidR="00B43409" w:rsidRPr="00B43409" w:rsidRDefault="00B43409">
          <w:pPr>
            <w:autoSpaceDE w:val="0"/>
            <w:autoSpaceDN w:val="0"/>
            <w:ind w:hanging="640"/>
            <w:divId w:val="1951814651"/>
            <w:rPr>
              <w:rFonts w:eastAsia="Times New Roman"/>
              <w:color w:val="000000"/>
            </w:rPr>
          </w:pPr>
          <w:r w:rsidRPr="00B43409">
            <w:rPr>
              <w:rFonts w:eastAsia="Times New Roman"/>
              <w:color w:val="000000"/>
            </w:rPr>
            <w:t>[298]</w:t>
          </w:r>
          <w:r w:rsidRPr="00B43409">
            <w:rPr>
              <w:rFonts w:eastAsia="Times New Roman"/>
              <w:color w:val="000000"/>
            </w:rPr>
            <w:tab/>
            <w:t>G.E. Billman, The LF/HF ratio does not accurately measure cardiac sympatho-vagal balance, Front. Physiol. 4 FEB (2013) 1–5. https://doi.org/10.3389/fphys.2013.00026.</w:t>
          </w:r>
        </w:p>
        <w:p w14:paraId="1FF32331" w14:textId="77777777" w:rsidR="00B43409" w:rsidRPr="00B43409" w:rsidRDefault="00B43409">
          <w:pPr>
            <w:autoSpaceDE w:val="0"/>
            <w:autoSpaceDN w:val="0"/>
            <w:ind w:hanging="640"/>
            <w:divId w:val="1302224249"/>
            <w:rPr>
              <w:rFonts w:eastAsia="Times New Roman"/>
              <w:color w:val="000000"/>
            </w:rPr>
          </w:pPr>
          <w:r w:rsidRPr="00B43409">
            <w:rPr>
              <w:rFonts w:eastAsia="Times New Roman"/>
              <w:color w:val="000000"/>
            </w:rPr>
            <w:t>[299]</w:t>
          </w:r>
          <w:r w:rsidRPr="00B43409">
            <w:rPr>
              <w:rFonts w:eastAsia="Times New Roman"/>
              <w:color w:val="000000"/>
            </w:rPr>
            <w:tab/>
            <w:t>G.A. Reyes del Paso, W. Langewitz, L.J.M. Mulder, A. van Roon, S. Duschek, The utility of low frequency heart rate variability as an index of sympathetic cardiac tone: A review with emphasis on a reanalysis of previous studies, Psychophysiology 50 (2013) 477–487. https://doi.org/10.1111/psyp.12027.</w:t>
          </w:r>
        </w:p>
        <w:p w14:paraId="4D99C725" w14:textId="77777777" w:rsidR="00B43409" w:rsidRPr="00B43409" w:rsidRDefault="00B43409">
          <w:pPr>
            <w:autoSpaceDE w:val="0"/>
            <w:autoSpaceDN w:val="0"/>
            <w:ind w:hanging="640"/>
            <w:divId w:val="1337617319"/>
            <w:rPr>
              <w:rFonts w:eastAsia="Times New Roman"/>
              <w:color w:val="000000"/>
            </w:rPr>
          </w:pPr>
          <w:r w:rsidRPr="00B43409">
            <w:rPr>
              <w:rFonts w:eastAsia="Times New Roman"/>
              <w:color w:val="000000"/>
            </w:rPr>
            <w:t>[300]</w:t>
          </w:r>
          <w:r w:rsidRPr="00B43409">
            <w:rPr>
              <w:rFonts w:eastAsia="Times New Roman"/>
              <w:color w:val="000000"/>
            </w:rPr>
            <w:tab/>
            <w:t>G.D. Pinna, R. Maestri, A. Torunski, L. Danilowicz-Szymanowicz, M. Szwoch, M.T. La Rovere, G. Raczak, Heart rate variability measures: A fresh look at reliability, Clin. Sci. 113 (2007) 131–140. https://doi.org/10.1042/CS20070055.</w:t>
          </w:r>
        </w:p>
        <w:p w14:paraId="1F79C710" w14:textId="77777777" w:rsidR="00B43409" w:rsidRPr="00B43409" w:rsidRDefault="00B43409">
          <w:pPr>
            <w:autoSpaceDE w:val="0"/>
            <w:autoSpaceDN w:val="0"/>
            <w:ind w:hanging="640"/>
            <w:divId w:val="1757555382"/>
            <w:rPr>
              <w:rFonts w:eastAsia="Times New Roman"/>
              <w:color w:val="000000"/>
            </w:rPr>
          </w:pPr>
          <w:r w:rsidRPr="00B43409">
            <w:rPr>
              <w:rFonts w:eastAsia="Times New Roman"/>
              <w:color w:val="000000"/>
            </w:rPr>
            <w:t>[301]</w:t>
          </w:r>
          <w:r w:rsidRPr="00B43409">
            <w:rPr>
              <w:rFonts w:eastAsia="Times New Roman"/>
              <w:color w:val="000000"/>
            </w:rPr>
            <w:tab/>
            <w:t>S. Laborde, E. Mosley, J.F. Thayer, Heart Rate Variability and Cardiac Vagal Tone in Psychophysiological Research – Recommendations for Experiment Planning, Data Analysis, and Data Reporting, Front. Psychol. 08 (2017) 1–18. https://doi.org/10.3389/fpsyg.2017.00213.</w:t>
          </w:r>
        </w:p>
        <w:p w14:paraId="1DD66484" w14:textId="77777777" w:rsidR="00B43409" w:rsidRPr="00B43409" w:rsidRDefault="00B43409">
          <w:pPr>
            <w:autoSpaceDE w:val="0"/>
            <w:autoSpaceDN w:val="0"/>
            <w:ind w:hanging="640"/>
            <w:divId w:val="72050740"/>
            <w:rPr>
              <w:rFonts w:eastAsia="Times New Roman"/>
              <w:color w:val="000000"/>
            </w:rPr>
          </w:pPr>
          <w:r w:rsidRPr="00B43409">
            <w:rPr>
              <w:rFonts w:eastAsia="Times New Roman"/>
              <w:color w:val="000000"/>
            </w:rPr>
            <w:t>[302]</w:t>
          </w:r>
          <w:r w:rsidRPr="00B43409">
            <w:rPr>
              <w:rFonts w:eastAsia="Times New Roman"/>
              <w:color w:val="000000"/>
            </w:rPr>
            <w:tab/>
            <w:t>A.M. Catai, C.M. Pastre, M.F. de Godoy, E. da Silva, A.C. de M. Takahashi, L.C.M. Vanderlei, Heart rate variability: are you using it properly? Standardisation checklist of procedures, Braz. J. Phys. Ther. 24 (2020) 91–102. https://doi.org/10.1016/j.bjpt.2019.02.006.</w:t>
          </w:r>
        </w:p>
        <w:p w14:paraId="44DADC2B" w14:textId="77777777" w:rsidR="00B43409" w:rsidRPr="00B43409" w:rsidRDefault="00B43409">
          <w:pPr>
            <w:autoSpaceDE w:val="0"/>
            <w:autoSpaceDN w:val="0"/>
            <w:ind w:hanging="640"/>
            <w:divId w:val="405494026"/>
            <w:rPr>
              <w:rFonts w:eastAsia="Times New Roman"/>
              <w:color w:val="000000"/>
            </w:rPr>
          </w:pPr>
          <w:r w:rsidRPr="00B43409">
            <w:rPr>
              <w:rFonts w:eastAsia="Times New Roman"/>
              <w:color w:val="000000"/>
            </w:rPr>
            <w:t>[303]</w:t>
          </w:r>
          <w:r w:rsidRPr="00B43409">
            <w:rPr>
              <w:rFonts w:eastAsia="Times New Roman"/>
              <w:color w:val="000000"/>
            </w:rPr>
            <w:tab/>
            <w:t>K. Umetani, D.H. Singer, R. McCraty, M. Atkinson, Twenty-four hour time domain heart rate variability and heart rate: Relations to age and gender over nine decades, J. Am. Coll. Cardiol. 31 (1998) 593–601. https://doi.org/10.1016/S0735-1097(97)00554-8.</w:t>
          </w:r>
        </w:p>
        <w:p w14:paraId="1B3D2AA6" w14:textId="77777777" w:rsidR="00B43409" w:rsidRPr="00B43409" w:rsidRDefault="00B43409">
          <w:pPr>
            <w:autoSpaceDE w:val="0"/>
            <w:autoSpaceDN w:val="0"/>
            <w:ind w:hanging="640"/>
            <w:divId w:val="698554037"/>
            <w:rPr>
              <w:rFonts w:eastAsia="Times New Roman"/>
              <w:color w:val="000000"/>
            </w:rPr>
          </w:pPr>
          <w:r w:rsidRPr="00B43409">
            <w:rPr>
              <w:rFonts w:eastAsia="Times New Roman"/>
              <w:color w:val="000000"/>
            </w:rPr>
            <w:t>[304]</w:t>
          </w:r>
          <w:r w:rsidRPr="00B43409">
            <w:rPr>
              <w:rFonts w:eastAsia="Times New Roman"/>
              <w:color w:val="000000"/>
            </w:rPr>
            <w:tab/>
            <w:t>K.J. Heilman, S.W. Porges, Accuracy of the LifeShirt® (Vivometrics) in the detection of cardiac rhythms, Biol. Psychol. 75 (2007) 300–305. https://doi.org/10.1016/j.biopsycho.2007.04.001.</w:t>
          </w:r>
        </w:p>
        <w:p w14:paraId="1499F1A8" w14:textId="77777777" w:rsidR="00B43409" w:rsidRPr="00B43409" w:rsidRDefault="00B43409">
          <w:pPr>
            <w:autoSpaceDE w:val="0"/>
            <w:autoSpaceDN w:val="0"/>
            <w:ind w:hanging="640"/>
            <w:divId w:val="496650975"/>
            <w:rPr>
              <w:rFonts w:eastAsia="Times New Roman"/>
              <w:color w:val="000000"/>
            </w:rPr>
          </w:pPr>
          <w:r w:rsidRPr="00B43409">
            <w:rPr>
              <w:rFonts w:eastAsia="Times New Roman"/>
              <w:color w:val="000000"/>
            </w:rPr>
            <w:lastRenderedPageBreak/>
            <w:t>[305]</w:t>
          </w:r>
          <w:r w:rsidRPr="00B43409">
            <w:rPr>
              <w:rFonts w:eastAsia="Times New Roman"/>
              <w:color w:val="000000"/>
            </w:rPr>
            <w:tab/>
            <w:t>L. Kent, B. O’Neill, G. Davison, A. Nevill, J. Stuart Elborn, J.M. Bradley, Validity and reliability of cardiorespiratory measurements recorded by the LifeShirt during exercise tests, Respir. Physiol. Neurobiol. 167 (2009) 162–167. https://doi.org/10.1016/j.resp.2009.03.013.</w:t>
          </w:r>
        </w:p>
        <w:p w14:paraId="70D87B37" w14:textId="77777777" w:rsidR="00B43409" w:rsidRPr="00B43409" w:rsidRDefault="00B43409">
          <w:pPr>
            <w:autoSpaceDE w:val="0"/>
            <w:autoSpaceDN w:val="0"/>
            <w:ind w:hanging="640"/>
            <w:divId w:val="1693338471"/>
            <w:rPr>
              <w:rFonts w:eastAsia="Times New Roman"/>
              <w:color w:val="000000"/>
            </w:rPr>
          </w:pPr>
          <w:r w:rsidRPr="00B43409">
            <w:rPr>
              <w:rFonts w:eastAsia="Times New Roman"/>
              <w:color w:val="000000"/>
            </w:rPr>
            <w:t>[306]</w:t>
          </w:r>
          <w:r w:rsidRPr="00B43409">
            <w:rPr>
              <w:rFonts w:eastAsia="Times New Roman"/>
              <w:color w:val="000000"/>
            </w:rPr>
            <w:tab/>
            <w:t>M. Schaffarczyk, B. Rogers, R. Reer, T. Gronwald, Validity of the Polar H10 Sensor for Heart Rate Variability Analysis during Resting State and Incremental Exercise in Recreational Men and Women, Sensors 22 (2022) 6536. https://doi.org/10.3390/s22176536.</w:t>
          </w:r>
        </w:p>
        <w:p w14:paraId="3BFBEE3B" w14:textId="77777777" w:rsidR="00B43409" w:rsidRPr="00B43409" w:rsidRDefault="00B43409">
          <w:pPr>
            <w:autoSpaceDE w:val="0"/>
            <w:autoSpaceDN w:val="0"/>
            <w:ind w:hanging="640"/>
            <w:divId w:val="207032067"/>
            <w:rPr>
              <w:rFonts w:eastAsia="Times New Roman"/>
              <w:color w:val="000000"/>
            </w:rPr>
          </w:pPr>
          <w:r w:rsidRPr="00B43409">
            <w:rPr>
              <w:rFonts w:eastAsia="Times New Roman"/>
              <w:color w:val="000000"/>
            </w:rPr>
            <w:t>[307]</w:t>
          </w:r>
          <w:r w:rsidRPr="00B43409">
            <w:rPr>
              <w:rFonts w:eastAsia="Times New Roman"/>
              <w:color w:val="000000"/>
            </w:rPr>
            <w:tab/>
            <w:t>D. Giles, N. Draper, W. Neil, Validity of the Polar V800 heart rate monitor to measure RR intervals at rest, Eur. J. Appl. Physiol. 116 (2016) 563–571. https://doi.org/10.1007/s00421-015-3303-9.</w:t>
          </w:r>
        </w:p>
        <w:p w14:paraId="4AEF3403" w14:textId="77777777" w:rsidR="00B43409" w:rsidRPr="00B43409" w:rsidRDefault="00B43409">
          <w:pPr>
            <w:autoSpaceDE w:val="0"/>
            <w:autoSpaceDN w:val="0"/>
            <w:ind w:hanging="640"/>
            <w:divId w:val="247151629"/>
            <w:rPr>
              <w:rFonts w:eastAsia="Times New Roman"/>
              <w:color w:val="000000"/>
            </w:rPr>
          </w:pPr>
          <w:r w:rsidRPr="00B43409">
            <w:rPr>
              <w:rFonts w:eastAsia="Times New Roman"/>
              <w:color w:val="000000"/>
            </w:rPr>
            <w:t>[308]</w:t>
          </w:r>
          <w:r w:rsidRPr="00B43409">
            <w:rPr>
              <w:rFonts w:eastAsia="Times New Roman"/>
              <w:color w:val="000000"/>
            </w:rPr>
            <w:tab/>
            <w:t>C.J. Huang, H.L. Chan, Y.J. Chang, S.M. Chen, M.J. Hsu, Validity of the polar v800 monitor for assessing heart rate variability in elderly adults under mental stress and dual task conditions, Int. J. Environ. Res. Public Health 18 (2021) 1–12. https://doi.org/10.3390/ijerph18030869.</w:t>
          </w:r>
        </w:p>
        <w:p w14:paraId="55AB241D" w14:textId="77777777" w:rsidR="00B43409" w:rsidRPr="00B43409" w:rsidRDefault="00B43409">
          <w:pPr>
            <w:autoSpaceDE w:val="0"/>
            <w:autoSpaceDN w:val="0"/>
            <w:ind w:hanging="640"/>
            <w:divId w:val="1926844722"/>
            <w:rPr>
              <w:rFonts w:eastAsia="Times New Roman"/>
              <w:color w:val="000000"/>
            </w:rPr>
          </w:pPr>
          <w:r w:rsidRPr="00B43409">
            <w:rPr>
              <w:rFonts w:eastAsia="Times New Roman"/>
              <w:color w:val="000000"/>
            </w:rPr>
            <w:t>[309]</w:t>
          </w:r>
          <w:r w:rsidRPr="00B43409">
            <w:rPr>
              <w:rFonts w:eastAsia="Times New Roman"/>
              <w:color w:val="000000"/>
            </w:rPr>
            <w:tab/>
            <w:t>K. Hinde, G. White, N. Armstrong, Wearable devices suitable for monitoring twenty four hour heart rate variability in military populations, Sensors (Switzerland) 21 (2021) 1–20. https://doi.org/10.3390/s21041061.</w:t>
          </w:r>
        </w:p>
        <w:p w14:paraId="21956240" w14:textId="77777777" w:rsidR="00B43409" w:rsidRPr="00B43409" w:rsidRDefault="00B43409">
          <w:pPr>
            <w:autoSpaceDE w:val="0"/>
            <w:autoSpaceDN w:val="0"/>
            <w:ind w:hanging="640"/>
            <w:divId w:val="1128664539"/>
            <w:rPr>
              <w:rFonts w:eastAsia="Times New Roman"/>
              <w:color w:val="000000"/>
            </w:rPr>
          </w:pPr>
          <w:r w:rsidRPr="00B43409">
            <w:rPr>
              <w:rFonts w:eastAsia="Times New Roman"/>
              <w:color w:val="000000"/>
            </w:rPr>
            <w:t>[310]</w:t>
          </w:r>
          <w:r w:rsidRPr="00B43409">
            <w:rPr>
              <w:rFonts w:eastAsia="Times New Roman"/>
              <w:color w:val="000000"/>
            </w:rPr>
            <w:tab/>
            <w:t>G. Lu, F. Yang, J.A. Taylor, J.F. Stein, A comparison of photoplethysmography and ECG recording to analyse heart rate variability in healthy subjects, J. Med. Eng. Technol. 33 (2009) 634–641. https://doi.org/10.3109/03091900903150998.</w:t>
          </w:r>
        </w:p>
        <w:p w14:paraId="7AE6F26F" w14:textId="77777777" w:rsidR="00B43409" w:rsidRPr="00B43409" w:rsidRDefault="00B43409">
          <w:pPr>
            <w:autoSpaceDE w:val="0"/>
            <w:autoSpaceDN w:val="0"/>
            <w:ind w:hanging="640"/>
            <w:divId w:val="1283998713"/>
            <w:rPr>
              <w:rFonts w:eastAsia="Times New Roman"/>
              <w:color w:val="000000"/>
            </w:rPr>
          </w:pPr>
          <w:r w:rsidRPr="00B43409">
            <w:rPr>
              <w:rFonts w:eastAsia="Times New Roman"/>
              <w:color w:val="000000"/>
            </w:rPr>
            <w:t>[311]</w:t>
          </w:r>
          <w:r w:rsidRPr="00B43409">
            <w:rPr>
              <w:rFonts w:eastAsia="Times New Roman"/>
              <w:color w:val="000000"/>
            </w:rPr>
            <w:tab/>
            <w:t>H. Park, D.Y. Park, Prediction of individual thermal comfort based on ensemble transfer learning method using wearable and environmental sensors, Build. Environ. 207 (2022) 108492. https://doi.org/10.1016/j.buildenv.2021.108492.</w:t>
          </w:r>
        </w:p>
        <w:p w14:paraId="08EF8D94" w14:textId="77777777" w:rsidR="00B43409" w:rsidRPr="00B43409" w:rsidRDefault="00B43409">
          <w:pPr>
            <w:autoSpaceDE w:val="0"/>
            <w:autoSpaceDN w:val="0"/>
            <w:ind w:hanging="640"/>
            <w:divId w:val="772633451"/>
            <w:rPr>
              <w:rFonts w:eastAsia="Times New Roman"/>
              <w:color w:val="000000"/>
            </w:rPr>
          </w:pPr>
          <w:r w:rsidRPr="00B43409">
            <w:rPr>
              <w:rFonts w:eastAsia="Times New Roman"/>
              <w:color w:val="000000"/>
            </w:rPr>
            <w:t>[312]</w:t>
          </w:r>
          <w:r w:rsidRPr="00B43409">
            <w:rPr>
              <w:rFonts w:eastAsia="Times New Roman"/>
              <w:color w:val="000000"/>
            </w:rPr>
            <w:tab/>
            <w:t>R.I.; Kitney, O. Rompelman, The Study of heart-rate variability, Clarendon Press, Oxford, 1980.</w:t>
          </w:r>
        </w:p>
        <w:p w14:paraId="691726FA" w14:textId="77777777" w:rsidR="00B43409" w:rsidRPr="00B43409" w:rsidRDefault="00B43409">
          <w:pPr>
            <w:autoSpaceDE w:val="0"/>
            <w:autoSpaceDN w:val="0"/>
            <w:ind w:hanging="640"/>
            <w:divId w:val="272447880"/>
            <w:rPr>
              <w:rFonts w:eastAsia="Times New Roman"/>
              <w:color w:val="000000"/>
            </w:rPr>
          </w:pPr>
          <w:r w:rsidRPr="00B43409">
            <w:rPr>
              <w:rFonts w:eastAsia="Times New Roman"/>
              <w:color w:val="000000"/>
            </w:rPr>
            <w:t>[313]</w:t>
          </w:r>
          <w:r w:rsidRPr="00B43409">
            <w:rPr>
              <w:rFonts w:eastAsia="Times New Roman"/>
              <w:color w:val="000000"/>
            </w:rPr>
            <w:tab/>
            <w:t>K. Georgiou, A. V. Larentzakis, N.N. Khamis, G.I. Alsuhaibani, Y.A. Alaska, E.J. Giallafos, Can Wearable Devices Accurately Measure Heart Rate Variability? A Systematic Review, Folia Med. (Plovdiv). 60 (2018) 7–20. https://doi.org/10.2478/folmed-2018-0012.</w:t>
          </w:r>
        </w:p>
        <w:p w14:paraId="383F3836" w14:textId="77777777" w:rsidR="00B43409" w:rsidRPr="00B43409" w:rsidRDefault="00B43409">
          <w:pPr>
            <w:autoSpaceDE w:val="0"/>
            <w:autoSpaceDN w:val="0"/>
            <w:ind w:hanging="640"/>
            <w:divId w:val="1936939542"/>
            <w:rPr>
              <w:rFonts w:eastAsia="Times New Roman"/>
              <w:color w:val="000000"/>
            </w:rPr>
          </w:pPr>
          <w:r w:rsidRPr="00B43409">
            <w:rPr>
              <w:rFonts w:eastAsia="Times New Roman"/>
              <w:color w:val="000000"/>
            </w:rPr>
            <w:t>[314]</w:t>
          </w:r>
          <w:r w:rsidRPr="00B43409">
            <w:rPr>
              <w:rFonts w:eastAsia="Times New Roman"/>
              <w:color w:val="000000"/>
            </w:rPr>
            <w:tab/>
            <w:t>J.D. Stone, H.K. Ulman, K. Tran, A.G. Thompson, M.D. Halter, J.H. Ramadan, M. Stephenson, V.S. Finomore, S.M. Galster, A.R. Rezai, J.A. Hagen, Assessing the Accuracy of Popular Commercial Technologies That Measure Resting Heart Rate and Heart Rate Variability, Front. Sports Act. Living 3 (2021). https://doi.org/10.3389/fspor.2021.585870.</w:t>
          </w:r>
        </w:p>
        <w:p w14:paraId="6C5C3EF7" w14:textId="77777777" w:rsidR="00B43409" w:rsidRPr="00B43409" w:rsidRDefault="00B43409">
          <w:pPr>
            <w:autoSpaceDE w:val="0"/>
            <w:autoSpaceDN w:val="0"/>
            <w:ind w:hanging="640"/>
            <w:divId w:val="35473959"/>
            <w:rPr>
              <w:rFonts w:eastAsia="Times New Roman"/>
              <w:color w:val="000000"/>
            </w:rPr>
          </w:pPr>
          <w:r w:rsidRPr="00B43409">
            <w:rPr>
              <w:rFonts w:eastAsia="Times New Roman"/>
              <w:color w:val="000000"/>
            </w:rPr>
            <w:t>[315]</w:t>
          </w:r>
          <w:r w:rsidRPr="00B43409">
            <w:rPr>
              <w:rFonts w:eastAsia="Times New Roman"/>
              <w:color w:val="000000"/>
            </w:rPr>
            <w:tab/>
            <w:t>R. Cao, I. Azimi, F. Sarhaddi, H. Niela-Vilen, A. Axelin, P. Liljeberg, A.M. Rahmani, Accuracy Assessment of Oura Ring Nocturnal Heart Rate and Heart Rate Variability in Comparison With Electrocardiography in Time and Frequency Domains: Comprehensive Analysis, J. Med. Internet Res. 24 (2022) 1–16. https://doi.org/10.2196/27487.</w:t>
          </w:r>
        </w:p>
        <w:p w14:paraId="29E87148" w14:textId="77777777" w:rsidR="00B43409" w:rsidRPr="00B43409" w:rsidRDefault="00B43409">
          <w:pPr>
            <w:autoSpaceDE w:val="0"/>
            <w:autoSpaceDN w:val="0"/>
            <w:ind w:hanging="640"/>
            <w:divId w:val="639191028"/>
            <w:rPr>
              <w:rFonts w:eastAsia="Times New Roman"/>
              <w:color w:val="000000"/>
            </w:rPr>
          </w:pPr>
          <w:r w:rsidRPr="00B43409">
            <w:rPr>
              <w:rFonts w:eastAsia="Times New Roman"/>
              <w:color w:val="000000"/>
            </w:rPr>
            <w:t>[316]</w:t>
          </w:r>
          <w:r w:rsidRPr="00B43409">
            <w:rPr>
              <w:rFonts w:eastAsia="Times New Roman"/>
              <w:color w:val="000000"/>
            </w:rPr>
            <w:tab/>
            <w:t>M.B. Dial, M.E. Hollander, E.A. Vatne, A.M. Emerson, N.A. Edwards, J.A. Hagen, Validation of nocturnal resting heart rate and heart rate variability in consumer wearables, Physiol. Rep. 13 (2025) 1–13. https://doi.org/10.14814/phy2.70527.</w:t>
          </w:r>
        </w:p>
        <w:p w14:paraId="554EB231" w14:textId="77777777" w:rsidR="00B43409" w:rsidRPr="00B43409" w:rsidRDefault="00B43409">
          <w:pPr>
            <w:autoSpaceDE w:val="0"/>
            <w:autoSpaceDN w:val="0"/>
            <w:ind w:hanging="640"/>
            <w:divId w:val="762916175"/>
            <w:rPr>
              <w:rFonts w:eastAsia="Times New Roman"/>
              <w:color w:val="000000"/>
            </w:rPr>
          </w:pPr>
          <w:r w:rsidRPr="00B43409">
            <w:rPr>
              <w:rFonts w:eastAsia="Times New Roman"/>
              <w:color w:val="000000"/>
            </w:rPr>
            <w:t>[317]</w:t>
          </w:r>
          <w:r w:rsidRPr="00B43409">
            <w:rPr>
              <w:rFonts w:eastAsia="Times New Roman"/>
              <w:color w:val="000000"/>
            </w:rPr>
            <w:tab/>
            <w:t>J. Park, H.S. Seok, S.-S. Kim, H. Shin, Photoplethysmogram Analysis and Applications: An Integrative Review, Front. Physiol. 12 (2022) 1–23. https://doi.org/10.3389/fphys.2021.808451.</w:t>
          </w:r>
        </w:p>
        <w:p w14:paraId="4716F63D" w14:textId="77777777" w:rsidR="00B43409" w:rsidRPr="00B43409" w:rsidRDefault="00B43409">
          <w:pPr>
            <w:autoSpaceDE w:val="0"/>
            <w:autoSpaceDN w:val="0"/>
            <w:ind w:hanging="640"/>
            <w:divId w:val="1707028358"/>
            <w:rPr>
              <w:rFonts w:eastAsia="Times New Roman"/>
              <w:color w:val="000000"/>
            </w:rPr>
          </w:pPr>
          <w:r w:rsidRPr="00B43409">
            <w:rPr>
              <w:rFonts w:eastAsia="Times New Roman"/>
              <w:color w:val="000000"/>
            </w:rPr>
            <w:t>[318]</w:t>
          </w:r>
          <w:r w:rsidRPr="00B43409">
            <w:rPr>
              <w:rFonts w:eastAsia="Times New Roman"/>
              <w:color w:val="000000"/>
            </w:rPr>
            <w:tab/>
            <w:t>D. Fuller, E. Colwell, J. Low, K. Orychock, M. Ann Tobin, B. Simango, R. Buote, D. van Heerden, H. Luan, K. Cullen, L. Slade, N.G.A. Taylor, Reliability and Validity of Commercially Available Wearable Devices for Measuring Steps, Energy Expenditure, and Heart Rate: Systematic Review, JMIR Mhealth Uhealth 8 (2020) 1–23. https://doi.org/10.2196/18694.</w:t>
          </w:r>
        </w:p>
        <w:p w14:paraId="56F16657" w14:textId="77777777" w:rsidR="00B43409" w:rsidRPr="00B43409" w:rsidRDefault="00B43409">
          <w:pPr>
            <w:autoSpaceDE w:val="0"/>
            <w:autoSpaceDN w:val="0"/>
            <w:ind w:hanging="640"/>
            <w:divId w:val="694696471"/>
            <w:rPr>
              <w:rFonts w:eastAsia="Times New Roman"/>
              <w:color w:val="000000"/>
            </w:rPr>
          </w:pPr>
          <w:r w:rsidRPr="00B43409">
            <w:rPr>
              <w:rFonts w:eastAsia="Times New Roman"/>
              <w:color w:val="000000"/>
            </w:rPr>
            <w:t>[319]</w:t>
          </w:r>
          <w:r w:rsidRPr="00B43409">
            <w:rPr>
              <w:rFonts w:eastAsia="Times New Roman"/>
              <w:color w:val="000000"/>
            </w:rPr>
            <w:tab/>
            <w:t>D. Nunan, D. Gay, D.G. Jakovljevic, L.D. Hodges, G.R.H. Sandercock, D.A. Brodie, Validity and reliability of short-term heart-rate variability from the Polar S810, Med. Sci. Sports Exerc. 41 (2009) 243–250. https://doi.org/10.1249/MSS.0b013e318184a4b1.</w:t>
          </w:r>
        </w:p>
        <w:p w14:paraId="05EFEBD4" w14:textId="77777777" w:rsidR="00B43409" w:rsidRPr="00B43409" w:rsidRDefault="00B43409">
          <w:pPr>
            <w:autoSpaceDE w:val="0"/>
            <w:autoSpaceDN w:val="0"/>
            <w:ind w:hanging="640"/>
            <w:divId w:val="255870742"/>
            <w:rPr>
              <w:rFonts w:eastAsia="Times New Roman"/>
              <w:color w:val="000000"/>
            </w:rPr>
          </w:pPr>
          <w:r w:rsidRPr="00B43409">
            <w:rPr>
              <w:rFonts w:eastAsia="Times New Roman"/>
              <w:color w:val="000000"/>
            </w:rPr>
            <w:lastRenderedPageBreak/>
            <w:t>[320]</w:t>
          </w:r>
          <w:r w:rsidRPr="00B43409">
            <w:rPr>
              <w:rFonts w:eastAsia="Times New Roman"/>
              <w:color w:val="000000"/>
            </w:rPr>
            <w:tab/>
            <w:t>M.B. Wallén, D. Hasson, T. Theorell, B. Canlon, W. Osika, S.A. Ward, Possibilities and limitations of the polar RS800 in measuring heart rate variability at rest, Eur. J. Appl. Physiol. 112 (2012) 1153–1165. https://doi.org/10.1007/s00421-011-2079-9.</w:t>
          </w:r>
        </w:p>
        <w:p w14:paraId="6036DDC9" w14:textId="77777777" w:rsidR="00B43409" w:rsidRPr="00B43409" w:rsidRDefault="00B43409">
          <w:pPr>
            <w:autoSpaceDE w:val="0"/>
            <w:autoSpaceDN w:val="0"/>
            <w:ind w:hanging="640"/>
            <w:divId w:val="2088839505"/>
            <w:rPr>
              <w:rFonts w:eastAsia="Times New Roman"/>
              <w:color w:val="000000"/>
            </w:rPr>
          </w:pPr>
          <w:r w:rsidRPr="00B43409">
            <w:rPr>
              <w:rFonts w:eastAsia="Times New Roman"/>
              <w:color w:val="000000"/>
            </w:rPr>
            <w:t>[321]</w:t>
          </w:r>
          <w:r w:rsidRPr="00B43409">
            <w:rPr>
              <w:rFonts w:eastAsia="Times New Roman"/>
              <w:color w:val="000000"/>
            </w:rPr>
            <w:tab/>
            <w:t>A. Hernández-Vicente, D. Hernando, J. Marín-Puyalto, G. Vicente-Rodríguez, N. Garatachea, E. Pueyo, R. Bailón, Validity of the Polar H7 Heart Rate Sensor for Heart Rate Variability Analysis during Exercise in Different Age, Body Composition and Fitness Level Groups, Sensors 21 (2021) 902. https://doi.org/10.3390/s21030902.</w:t>
          </w:r>
        </w:p>
        <w:p w14:paraId="33E74395" w14:textId="77777777" w:rsidR="00B43409" w:rsidRPr="00B43409" w:rsidRDefault="00B43409">
          <w:pPr>
            <w:autoSpaceDE w:val="0"/>
            <w:autoSpaceDN w:val="0"/>
            <w:ind w:hanging="640"/>
            <w:divId w:val="1006983262"/>
            <w:rPr>
              <w:rFonts w:eastAsia="Times New Roman"/>
              <w:color w:val="000000"/>
            </w:rPr>
          </w:pPr>
          <w:r w:rsidRPr="00B43409">
            <w:rPr>
              <w:rFonts w:eastAsia="Times New Roman"/>
              <w:color w:val="000000"/>
            </w:rPr>
            <w:t>[322]</w:t>
          </w:r>
          <w:r w:rsidRPr="00B43409">
            <w:rPr>
              <w:rFonts w:eastAsia="Times New Roman"/>
              <w:color w:val="000000"/>
            </w:rPr>
            <w:tab/>
            <w:t>F.X. Gamelin, S. Berthoin, L. Bosquet, Validity of the polar S810 Heart rate monitor to measure R-R intervals at rest, Med. Sci. Sports Exerc. 38 (2006) 887–893. https://doi.org/10.1249/01.mss.0000218135.79476.9c.</w:t>
          </w:r>
        </w:p>
        <w:p w14:paraId="4A18839E" w14:textId="77777777" w:rsidR="00B43409" w:rsidRPr="00B43409" w:rsidRDefault="00B43409">
          <w:pPr>
            <w:autoSpaceDE w:val="0"/>
            <w:autoSpaceDN w:val="0"/>
            <w:ind w:hanging="640"/>
            <w:divId w:val="1339455607"/>
            <w:rPr>
              <w:rFonts w:eastAsia="Times New Roman"/>
              <w:color w:val="000000"/>
            </w:rPr>
          </w:pPr>
          <w:r w:rsidRPr="00B43409">
            <w:rPr>
              <w:rFonts w:eastAsia="Times New Roman"/>
              <w:color w:val="000000"/>
            </w:rPr>
            <w:t>[323]</w:t>
          </w:r>
          <w:r w:rsidRPr="00B43409">
            <w:rPr>
              <w:rFonts w:eastAsia="Times New Roman"/>
              <w:color w:val="000000"/>
            </w:rPr>
            <w:tab/>
            <w:t>D.W. Rogers, A.T. Himariotis, T.J. Sherriff, Q.J. Proulx, M.T. Duong, S.E. Noel, D.J. Cornell, Test–Retest Reliability and Concurrent Validity of Photoplethysmography Finger Sensor to Collect Measures of Heart Rate Variability, Sports 13 (2025) 29. https://doi.org/10.3390/sports13020029.</w:t>
          </w:r>
        </w:p>
        <w:p w14:paraId="297E3218" w14:textId="77777777" w:rsidR="00B43409" w:rsidRPr="00B43409" w:rsidRDefault="00B43409">
          <w:pPr>
            <w:autoSpaceDE w:val="0"/>
            <w:autoSpaceDN w:val="0"/>
            <w:ind w:hanging="640"/>
            <w:divId w:val="695039489"/>
            <w:rPr>
              <w:rFonts w:eastAsia="Times New Roman"/>
              <w:color w:val="000000"/>
            </w:rPr>
          </w:pPr>
          <w:r w:rsidRPr="00B43409">
            <w:rPr>
              <w:rFonts w:eastAsia="Times New Roman"/>
              <w:color w:val="000000"/>
            </w:rPr>
            <w:t>[324]</w:t>
          </w:r>
          <w:r w:rsidRPr="00B43409">
            <w:rPr>
              <w:rFonts w:eastAsia="Times New Roman"/>
              <w:color w:val="000000"/>
            </w:rPr>
            <w:tab/>
            <w:t>T. Adams, S. Wagner, M. Baldinger, I. Zellhuber, M. Weber, D. Nass, R. Surges, Accurate detection of heart rate using in-ear photoplethysmography in a clinical setting, Front. Digit. Health 4 (2022) 1–10. https://doi.org/10.3389/fdgth.2022.909519.</w:t>
          </w:r>
        </w:p>
        <w:p w14:paraId="6954998F" w14:textId="77777777" w:rsidR="00B43409" w:rsidRPr="00B43409" w:rsidRDefault="00B43409">
          <w:pPr>
            <w:autoSpaceDE w:val="0"/>
            <w:autoSpaceDN w:val="0"/>
            <w:ind w:hanging="640"/>
            <w:divId w:val="1368867569"/>
            <w:rPr>
              <w:rFonts w:eastAsia="Times New Roman"/>
              <w:color w:val="000000"/>
            </w:rPr>
          </w:pPr>
          <w:r w:rsidRPr="00B43409">
            <w:rPr>
              <w:rFonts w:eastAsia="Times New Roman"/>
              <w:color w:val="000000"/>
            </w:rPr>
            <w:t>[325]</w:t>
          </w:r>
          <w:r w:rsidRPr="00B43409">
            <w:rPr>
              <w:rFonts w:eastAsia="Times New Roman"/>
              <w:color w:val="000000"/>
            </w:rPr>
            <w:tab/>
            <w:t>T. Shumate, M. Link, J. Furness, K. Kemp-Smith, V. Simas, M. Climstein, Validity of the Polar Vantage M watch when measuring heart rate at different exercise intensities, PeerJ 9 (2021) e10893. https://doi.org/10.7717/peerj.10893.</w:t>
          </w:r>
        </w:p>
        <w:p w14:paraId="6D93F0CB" w14:textId="77777777" w:rsidR="00B43409" w:rsidRPr="00B43409" w:rsidRDefault="00B43409">
          <w:pPr>
            <w:autoSpaceDE w:val="0"/>
            <w:autoSpaceDN w:val="0"/>
            <w:ind w:hanging="640"/>
            <w:divId w:val="1828788093"/>
            <w:rPr>
              <w:rFonts w:eastAsia="Times New Roman"/>
              <w:color w:val="000000"/>
            </w:rPr>
          </w:pPr>
          <w:r w:rsidRPr="00B43409">
            <w:rPr>
              <w:rFonts w:eastAsia="Times New Roman"/>
              <w:color w:val="000000"/>
            </w:rPr>
            <w:t>[326]</w:t>
          </w:r>
          <w:r w:rsidRPr="00B43409">
            <w:rPr>
              <w:rFonts w:eastAsia="Times New Roman"/>
              <w:color w:val="000000"/>
            </w:rPr>
            <w:tab/>
            <w:t>A.A.T.T. Schuurmans, P. de Looff, K.S. Nijhof, C. Rosada, R.H.J.J. Scholte, A. Popma, R. Otten, Validity of the Empatica E4 Wristband to Measure Heart Rate Variability (HRV) Parameters: a Comparison to Electrocardiography (ECG), J. Med. Syst. 44 (2020) 190. https://doi.org/10.1007/s10916-020-01648-w.</w:t>
          </w:r>
        </w:p>
        <w:p w14:paraId="5F898086" w14:textId="77777777" w:rsidR="00B43409" w:rsidRPr="00B43409" w:rsidRDefault="00B43409">
          <w:pPr>
            <w:autoSpaceDE w:val="0"/>
            <w:autoSpaceDN w:val="0"/>
            <w:ind w:hanging="640"/>
            <w:divId w:val="732966301"/>
            <w:rPr>
              <w:rFonts w:eastAsia="Times New Roman"/>
              <w:color w:val="000000"/>
            </w:rPr>
          </w:pPr>
          <w:r w:rsidRPr="00B43409">
            <w:rPr>
              <w:rFonts w:eastAsia="Times New Roman"/>
              <w:color w:val="000000"/>
            </w:rPr>
            <w:t>[327]</w:t>
          </w:r>
          <w:r w:rsidRPr="00B43409">
            <w:rPr>
              <w:rFonts w:eastAsia="Times New Roman"/>
              <w:color w:val="000000"/>
            </w:rPr>
            <w:tab/>
            <w:t>H. Stuyck, L. Dalla Costa, A. Cleeremans, E. Van den Bussche, Validity of the Empatica E4 wristband to estimate resting-state heart rate variability in a lab-based context, International Journal of Psychophysiology 182 (2022) 105–118. https://doi.org/10.1016/j.ijpsycho.2022.10.003.</w:t>
          </w:r>
        </w:p>
        <w:p w14:paraId="39147A5C" w14:textId="77777777" w:rsidR="00B43409" w:rsidRPr="00B43409" w:rsidRDefault="00B43409">
          <w:pPr>
            <w:autoSpaceDE w:val="0"/>
            <w:autoSpaceDN w:val="0"/>
            <w:ind w:hanging="640"/>
            <w:divId w:val="11303738"/>
            <w:rPr>
              <w:rFonts w:eastAsia="Times New Roman"/>
              <w:color w:val="000000"/>
            </w:rPr>
          </w:pPr>
          <w:r w:rsidRPr="00B43409">
            <w:rPr>
              <w:rFonts w:eastAsia="Times New Roman"/>
              <w:color w:val="000000"/>
            </w:rPr>
            <w:t>[328]</w:t>
          </w:r>
          <w:r w:rsidRPr="00B43409">
            <w:rPr>
              <w:rFonts w:eastAsia="Times New Roman"/>
              <w:color w:val="000000"/>
            </w:rPr>
            <w:tab/>
            <w:t>B.W. Nelson, N.B. Allen, Accuracy of consumer wearable heart rate measurement during an ecologically valid 24-hour period: Intraindividual validation study, JMIR Mhealth Uhealth 7 (2019) 1–16. https://doi.org/10.2196/10828.</w:t>
          </w:r>
        </w:p>
        <w:p w14:paraId="61A6E18E" w14:textId="77777777" w:rsidR="00B43409" w:rsidRPr="00B43409" w:rsidRDefault="00B43409">
          <w:pPr>
            <w:autoSpaceDE w:val="0"/>
            <w:autoSpaceDN w:val="0"/>
            <w:ind w:hanging="640"/>
            <w:divId w:val="189344304"/>
            <w:rPr>
              <w:rFonts w:eastAsia="Times New Roman"/>
              <w:color w:val="000000"/>
            </w:rPr>
          </w:pPr>
          <w:r w:rsidRPr="00B43409">
            <w:rPr>
              <w:rFonts w:eastAsia="Times New Roman"/>
              <w:color w:val="000000"/>
            </w:rPr>
            <w:t>[329]</w:t>
          </w:r>
          <w:r w:rsidRPr="00B43409">
            <w:rPr>
              <w:rFonts w:eastAsia="Times New Roman"/>
              <w:color w:val="000000"/>
            </w:rPr>
            <w:tab/>
            <w:t>D. Hernando, S. Roca, J. Sancho, Á. Alesanco, R. Bailón, Validation of the Apple Watch for Heart Rate Variability Measurements during Relax and Mental Stress in Healthy Subjects, Sensors 18 (2018) 2619. https://doi.org/10.3390/s18082619.</w:t>
          </w:r>
        </w:p>
        <w:p w14:paraId="5A27DF06" w14:textId="77777777" w:rsidR="00B43409" w:rsidRPr="00B43409" w:rsidRDefault="00B43409">
          <w:pPr>
            <w:autoSpaceDE w:val="0"/>
            <w:autoSpaceDN w:val="0"/>
            <w:ind w:hanging="640"/>
            <w:divId w:val="682438924"/>
            <w:rPr>
              <w:rFonts w:eastAsia="Times New Roman"/>
              <w:color w:val="000000"/>
            </w:rPr>
          </w:pPr>
          <w:r w:rsidRPr="00B43409">
            <w:rPr>
              <w:rFonts w:eastAsia="Times New Roman"/>
              <w:color w:val="000000"/>
            </w:rPr>
            <w:t>[330]</w:t>
          </w:r>
          <w:r w:rsidRPr="00B43409">
            <w:rPr>
              <w:rFonts w:eastAsia="Times New Roman"/>
              <w:color w:val="000000"/>
            </w:rPr>
            <w:tab/>
            <w:t>M. Fiore, A. Bianconi, G. Sicari, A. Conni, J. Lenzi, G. Tomaiuolo, F. Zito, D. Golinelli, F. Sanmarchi, The Use of Smart Rings in Health Monitoring—A Meta-Analysis, Applied Sciences (Switzerland) 14 (2024) 1–18. https://doi.org/10.3390/app142310778.</w:t>
          </w:r>
        </w:p>
        <w:p w14:paraId="46A3CC3C" w14:textId="77777777" w:rsidR="00B43409" w:rsidRPr="00B43409" w:rsidRDefault="00B43409">
          <w:pPr>
            <w:autoSpaceDE w:val="0"/>
            <w:autoSpaceDN w:val="0"/>
            <w:ind w:hanging="640"/>
            <w:divId w:val="354815422"/>
            <w:rPr>
              <w:rFonts w:eastAsia="Times New Roman"/>
              <w:color w:val="000000"/>
            </w:rPr>
          </w:pPr>
          <w:r w:rsidRPr="00B43409">
            <w:rPr>
              <w:rFonts w:eastAsia="Times New Roman"/>
              <w:color w:val="000000"/>
            </w:rPr>
            <w:t>[331]</w:t>
          </w:r>
          <w:r w:rsidRPr="00B43409">
            <w:rPr>
              <w:rFonts w:eastAsia="Times New Roman"/>
              <w:color w:val="000000"/>
            </w:rPr>
            <w:tab/>
            <w:t>M. Radespiel-Tröger, R. Rauh, C. Mahlke, T. Gottschalk, M. Mück-Weymann, Agreement of two different methods for measurement of heart rate variability, Clinical Autonomic Research 13 (2003) 99–102. https://doi.org/10.1007/s10286-003-0085-7.</w:t>
          </w:r>
        </w:p>
        <w:p w14:paraId="14DEF896" w14:textId="77777777" w:rsidR="00B43409" w:rsidRPr="00B43409" w:rsidRDefault="00B43409">
          <w:pPr>
            <w:autoSpaceDE w:val="0"/>
            <w:autoSpaceDN w:val="0"/>
            <w:ind w:hanging="640"/>
            <w:divId w:val="309484681"/>
            <w:rPr>
              <w:rFonts w:eastAsia="Times New Roman"/>
              <w:color w:val="000000"/>
            </w:rPr>
          </w:pPr>
          <w:r w:rsidRPr="00B43409">
            <w:rPr>
              <w:rFonts w:eastAsia="Times New Roman"/>
              <w:color w:val="000000"/>
            </w:rPr>
            <w:t>[332]</w:t>
          </w:r>
          <w:r w:rsidRPr="00B43409">
            <w:rPr>
              <w:rFonts w:eastAsia="Times New Roman"/>
              <w:color w:val="000000"/>
            </w:rPr>
            <w:tab/>
            <w:t>L.A. Lipsitz, J. Mietus, G.B. Moody, A.L. Goldberger, Spectral characteristics of heart rate variability before and during postural tilt: Relations to aging and risk of syncope, Circulation 81 (1990) 1803–1810. https://doi.org/10.1161/01.cir.81.6.1803.</w:t>
          </w:r>
        </w:p>
        <w:p w14:paraId="48F33D5A" w14:textId="77777777" w:rsidR="00B43409" w:rsidRPr="00B43409" w:rsidRDefault="00B43409">
          <w:pPr>
            <w:autoSpaceDE w:val="0"/>
            <w:autoSpaceDN w:val="0"/>
            <w:ind w:hanging="640"/>
            <w:divId w:val="1137187839"/>
            <w:rPr>
              <w:rFonts w:eastAsia="Times New Roman"/>
              <w:color w:val="000000"/>
            </w:rPr>
          </w:pPr>
          <w:r w:rsidRPr="00B43409">
            <w:rPr>
              <w:rFonts w:eastAsia="Times New Roman"/>
              <w:color w:val="000000"/>
            </w:rPr>
            <w:t>[333]</w:t>
          </w:r>
          <w:r w:rsidRPr="00B43409">
            <w:rPr>
              <w:rFonts w:eastAsia="Times New Roman"/>
              <w:color w:val="000000"/>
            </w:rPr>
            <w:tab/>
            <w:t>I.A. O’Brien, P. O’Hare, R.J. Corrall, Heart rate variability in healthy subjects: effect of age and the derivation of normal ranges for tests of autonomic function., Heart 55 (1986) 348–354. https://doi.org/10.1136/hrt.55.4.348.</w:t>
          </w:r>
        </w:p>
        <w:p w14:paraId="36857BA4" w14:textId="77777777" w:rsidR="00B43409" w:rsidRPr="00B43409" w:rsidRDefault="00B43409">
          <w:pPr>
            <w:autoSpaceDE w:val="0"/>
            <w:autoSpaceDN w:val="0"/>
            <w:ind w:hanging="640"/>
            <w:divId w:val="377246776"/>
            <w:rPr>
              <w:rFonts w:eastAsia="Times New Roman"/>
              <w:color w:val="000000"/>
            </w:rPr>
          </w:pPr>
          <w:r w:rsidRPr="00B43409">
            <w:rPr>
              <w:rFonts w:eastAsia="Times New Roman"/>
              <w:color w:val="000000"/>
            </w:rPr>
            <w:lastRenderedPageBreak/>
            <w:t>[334]</w:t>
          </w:r>
          <w:r w:rsidRPr="00B43409">
            <w:rPr>
              <w:rFonts w:eastAsia="Times New Roman"/>
              <w:color w:val="000000"/>
            </w:rPr>
            <w:tab/>
            <w:t>H. Bonnemeier, U.K.H. Wiegand, A. Brandes, N. Kluge, H.A. Katus, G. Richardt, J. Potratz, Circadian profile of cardiac autonomic nervous modulation in healthy subjects: Differing effects of aging and gender on heart rate variability, J. Cardiovasc. Electrophysiol. 14 (2003) 791–799. https://doi.org/10.1046/j.1540-8167.2003.03078.x.</w:t>
          </w:r>
        </w:p>
        <w:p w14:paraId="39E5032B" w14:textId="77777777" w:rsidR="00B43409" w:rsidRPr="00B43409" w:rsidRDefault="00B43409">
          <w:pPr>
            <w:autoSpaceDE w:val="0"/>
            <w:autoSpaceDN w:val="0"/>
            <w:ind w:hanging="640"/>
            <w:divId w:val="783228966"/>
            <w:rPr>
              <w:rFonts w:eastAsia="Times New Roman"/>
              <w:color w:val="000000"/>
            </w:rPr>
          </w:pPr>
          <w:r w:rsidRPr="00B43409">
            <w:rPr>
              <w:rFonts w:eastAsia="Times New Roman"/>
              <w:color w:val="000000"/>
            </w:rPr>
            <w:t>[335]</w:t>
          </w:r>
          <w:r w:rsidRPr="00B43409">
            <w:rPr>
              <w:rFonts w:eastAsia="Times New Roman"/>
              <w:color w:val="000000"/>
            </w:rPr>
            <w:tab/>
            <w:t>H. Otzenberger, C. Gronfier, C. Simon, A. Charloux, J. Ehrhart, F. Piquard, G. Brandenberger, Dynamic heart rate variability: A tool for exploring sympathovagal balance continuously during sleep in men, Am. J. Physiol. Heart Circ. Physiol. 275 (1998). https://doi.org/10.1152/ajpheart.1998.275.3.h946.</w:t>
          </w:r>
        </w:p>
        <w:p w14:paraId="21B75221" w14:textId="77777777" w:rsidR="00B43409" w:rsidRPr="00B43409" w:rsidRDefault="00B43409">
          <w:pPr>
            <w:autoSpaceDE w:val="0"/>
            <w:autoSpaceDN w:val="0"/>
            <w:ind w:hanging="640"/>
            <w:divId w:val="1061443826"/>
            <w:rPr>
              <w:rFonts w:eastAsia="Times New Roman"/>
              <w:color w:val="000000"/>
            </w:rPr>
          </w:pPr>
          <w:r w:rsidRPr="00B43409">
            <w:rPr>
              <w:rFonts w:eastAsia="Times New Roman"/>
              <w:color w:val="000000"/>
            </w:rPr>
            <w:t>[336]</w:t>
          </w:r>
          <w:r w:rsidRPr="00B43409">
            <w:rPr>
              <w:rFonts w:eastAsia="Times New Roman"/>
              <w:color w:val="000000"/>
            </w:rPr>
            <w:tab/>
            <w:t>A. Voss, A. Heitmann, R. Schroeder, A. Peters, S. Perz, Short-term heart rate variability - Age dependence in healthy subjects, Physiol. Meas. 33 (2012) 1289–1311. https://doi.org/10.1088/0967-3334/33/8/1289.</w:t>
          </w:r>
        </w:p>
        <w:p w14:paraId="10D676BC" w14:textId="77777777" w:rsidR="00B43409" w:rsidRPr="00B43409" w:rsidRDefault="00B43409">
          <w:pPr>
            <w:autoSpaceDE w:val="0"/>
            <w:autoSpaceDN w:val="0"/>
            <w:ind w:hanging="640"/>
            <w:divId w:val="1700428871"/>
            <w:rPr>
              <w:rFonts w:eastAsia="Times New Roman"/>
              <w:color w:val="000000"/>
            </w:rPr>
          </w:pPr>
          <w:r w:rsidRPr="00B43409">
            <w:rPr>
              <w:rFonts w:eastAsia="Times New Roman"/>
              <w:color w:val="000000"/>
            </w:rPr>
            <w:t>[337]</w:t>
          </w:r>
          <w:r w:rsidRPr="00B43409">
            <w:rPr>
              <w:rFonts w:eastAsia="Times New Roman"/>
              <w:color w:val="000000"/>
            </w:rPr>
            <w:tab/>
            <w:t>N. Hjortskov, D. Rissen, A.K. Blangsted, N. Fallentin, U. Lundberg, K. Sogaard, The effect of mental stress on heart rate variability and blood pressure during computer work, Eur. J. Appl. Physiol. 92 (2004) 84–89. https://doi.org/10.1007/s00421-004-1055-z.</w:t>
          </w:r>
        </w:p>
        <w:p w14:paraId="0E95CD5C" w14:textId="77777777" w:rsidR="00B43409" w:rsidRPr="00B43409" w:rsidRDefault="00B43409">
          <w:pPr>
            <w:autoSpaceDE w:val="0"/>
            <w:autoSpaceDN w:val="0"/>
            <w:ind w:hanging="640"/>
            <w:divId w:val="1215195266"/>
            <w:rPr>
              <w:rFonts w:eastAsia="Times New Roman"/>
              <w:color w:val="000000"/>
            </w:rPr>
          </w:pPr>
          <w:r w:rsidRPr="00B43409">
            <w:rPr>
              <w:rFonts w:eastAsia="Times New Roman"/>
              <w:color w:val="000000"/>
            </w:rPr>
            <w:t>[338]</w:t>
          </w:r>
          <w:r w:rsidRPr="00B43409">
            <w:rPr>
              <w:rFonts w:eastAsia="Times New Roman"/>
              <w:color w:val="000000"/>
            </w:rPr>
            <w:tab/>
            <w:t>G. Vandewalle, B. Middleton, S.M.W. Rajaratnam, B.M. Stone, B. Thorleifsdottir, J. Arendt, D.J. Dijk, Robust circadian rhythm in heart rate and its variability: Influence of exogenous melatonin and photoperiod, J. Sleep Res. 16 (2007) 148–155. https://doi.org/10.1111/j.1365-2869.2007.00581.x.</w:t>
          </w:r>
        </w:p>
        <w:p w14:paraId="23F40BB4" w14:textId="77777777" w:rsidR="00B43409" w:rsidRPr="00B43409" w:rsidRDefault="00B43409">
          <w:pPr>
            <w:autoSpaceDE w:val="0"/>
            <w:autoSpaceDN w:val="0"/>
            <w:ind w:hanging="640"/>
            <w:divId w:val="1096827812"/>
            <w:rPr>
              <w:rFonts w:eastAsia="Times New Roman"/>
              <w:color w:val="000000"/>
            </w:rPr>
          </w:pPr>
          <w:r w:rsidRPr="00B43409">
            <w:rPr>
              <w:rFonts w:eastAsia="Times New Roman"/>
              <w:color w:val="000000"/>
            </w:rPr>
            <w:t>[339]</w:t>
          </w:r>
          <w:r w:rsidRPr="00B43409">
            <w:rPr>
              <w:rFonts w:eastAsia="Times New Roman"/>
              <w:color w:val="000000"/>
            </w:rPr>
            <w:tab/>
            <w:t>T.E. Seeman, B.S. McEwen, J.W. Rowe, B.H. Singer, Allostatic load as a marker of cumulative biological risk: MacArthur studies of successful aging, in: Proc. Natl. Acad. Sci. U. S. A., 2001: pp. 4770–4775. https://doi.org/10.1073/pnas.081072698.</w:t>
          </w:r>
        </w:p>
        <w:p w14:paraId="6471C497" w14:textId="77777777" w:rsidR="00B43409" w:rsidRPr="00B43409" w:rsidRDefault="00B43409">
          <w:pPr>
            <w:autoSpaceDE w:val="0"/>
            <w:autoSpaceDN w:val="0"/>
            <w:ind w:hanging="640"/>
            <w:divId w:val="1422098279"/>
            <w:rPr>
              <w:rFonts w:eastAsia="Times New Roman"/>
              <w:color w:val="000000"/>
            </w:rPr>
          </w:pPr>
          <w:r w:rsidRPr="00B43409">
            <w:rPr>
              <w:rFonts w:eastAsia="Times New Roman"/>
              <w:color w:val="000000"/>
            </w:rPr>
            <w:t>[340]</w:t>
          </w:r>
          <w:r w:rsidRPr="00B43409">
            <w:rPr>
              <w:rFonts w:eastAsia="Times New Roman"/>
              <w:color w:val="000000"/>
            </w:rPr>
            <w:tab/>
            <w:t>M.N. Jarczok, M. Jarczok, D. Mauss, J. Koenig, J. Li, R.M. Herr, J.F. Thayer, Autonomic nervous system activity and workplace stressors—A systematic review, Neurosci. Biobehav. Rev. 37 (2013) 1810–1823. https://doi.org/10.1016/j.neubiorev.2013.07.004.</w:t>
          </w:r>
        </w:p>
        <w:p w14:paraId="7B8FCAA4" w14:textId="77777777" w:rsidR="00B43409" w:rsidRPr="00B43409" w:rsidRDefault="00B43409">
          <w:pPr>
            <w:autoSpaceDE w:val="0"/>
            <w:autoSpaceDN w:val="0"/>
            <w:ind w:hanging="640"/>
            <w:divId w:val="1885360310"/>
            <w:rPr>
              <w:rFonts w:eastAsia="Times New Roman"/>
              <w:color w:val="000000"/>
            </w:rPr>
          </w:pPr>
          <w:r w:rsidRPr="00B43409">
            <w:rPr>
              <w:rFonts w:eastAsia="Times New Roman"/>
              <w:color w:val="000000"/>
            </w:rPr>
            <w:t>[341]</w:t>
          </w:r>
          <w:r w:rsidRPr="00B43409">
            <w:rPr>
              <w:rFonts w:eastAsia="Times New Roman"/>
              <w:color w:val="000000"/>
            </w:rPr>
            <w:tab/>
            <w:t>R. Sassi, S. Cerutti, F. Lombardi, M. Malik, H. V. Huikuri, C.K. Peng, G. Schmidt, Y. Yamamoto, Advances in heart rate variability signal analysis: Joint position statement by the e-Cardiology ESC Working Group and the European Heart Rhythm Association co-endorsed by the Asia Pacific Heart Rhythm Society, Europace 17 (2015) 1341–1353. https://doi.org/10.1093/europace/euv015.</w:t>
          </w:r>
        </w:p>
        <w:p w14:paraId="565DE419" w14:textId="77777777" w:rsidR="00B43409" w:rsidRPr="00B43409" w:rsidRDefault="00B43409">
          <w:pPr>
            <w:autoSpaceDE w:val="0"/>
            <w:autoSpaceDN w:val="0"/>
            <w:ind w:hanging="640"/>
            <w:divId w:val="820122683"/>
            <w:rPr>
              <w:rFonts w:eastAsia="Times New Roman"/>
              <w:color w:val="000000"/>
            </w:rPr>
          </w:pPr>
          <w:r w:rsidRPr="00B43409">
            <w:rPr>
              <w:rFonts w:eastAsia="Times New Roman"/>
              <w:color w:val="000000"/>
            </w:rPr>
            <w:t>[342]</w:t>
          </w:r>
          <w:r w:rsidRPr="00B43409">
            <w:rPr>
              <w:rFonts w:eastAsia="Times New Roman"/>
              <w:color w:val="000000"/>
            </w:rPr>
            <w:tab/>
            <w:t>R. Sinnreich, J.D. Kark, Y. Friedlander, D. Sapoznikov, M.H. Luria, Five minute recordings of heart rate variability for population studies: Repeatability and age-sex characteristics, Heart 80 (1998) 156–162. https://doi.org/10.1136/hrt.80.2.156.</w:t>
          </w:r>
        </w:p>
        <w:p w14:paraId="6B0469EC" w14:textId="77777777" w:rsidR="00B43409" w:rsidRPr="00B43409" w:rsidRDefault="00B43409">
          <w:pPr>
            <w:autoSpaceDE w:val="0"/>
            <w:autoSpaceDN w:val="0"/>
            <w:ind w:hanging="640"/>
            <w:divId w:val="1411848166"/>
            <w:rPr>
              <w:rFonts w:eastAsia="Times New Roman"/>
              <w:color w:val="000000"/>
            </w:rPr>
          </w:pPr>
          <w:r w:rsidRPr="00B43409">
            <w:rPr>
              <w:rFonts w:eastAsia="Times New Roman"/>
              <w:color w:val="000000"/>
            </w:rPr>
            <w:t>[343]</w:t>
          </w:r>
          <w:r w:rsidRPr="00B43409">
            <w:rPr>
              <w:rFonts w:eastAsia="Times New Roman"/>
              <w:color w:val="000000"/>
            </w:rPr>
            <w:tab/>
            <w:t>R.P. Sloan, M.-H. Huang, H. McCreath, S. Sidney, K. Liu, O. Dale Williams, T. Seeman, Cardiac autonomic control and the effects of age, race, and sex: The CARDIA study, Autonomic Neuroscience 139 (2008) 78–85. https://doi.org/10.1016/j.autneu.2008.01.006.</w:t>
          </w:r>
        </w:p>
        <w:p w14:paraId="23607095" w14:textId="77777777" w:rsidR="00B43409" w:rsidRPr="00B43409" w:rsidRDefault="00B43409">
          <w:pPr>
            <w:autoSpaceDE w:val="0"/>
            <w:autoSpaceDN w:val="0"/>
            <w:ind w:hanging="640"/>
            <w:divId w:val="595870942"/>
            <w:rPr>
              <w:rFonts w:eastAsia="Times New Roman"/>
              <w:color w:val="000000"/>
            </w:rPr>
          </w:pPr>
          <w:r w:rsidRPr="00B43409">
            <w:rPr>
              <w:rFonts w:eastAsia="Times New Roman"/>
              <w:color w:val="000000"/>
            </w:rPr>
            <w:t>[344]</w:t>
          </w:r>
          <w:r w:rsidRPr="00B43409">
            <w:rPr>
              <w:rFonts w:eastAsia="Times New Roman"/>
              <w:color w:val="000000"/>
            </w:rPr>
            <w:tab/>
            <w:t>H. V. Huikuri, K.M. Kessler, E. Terracall, A. Castellanos, M.K. Linnaluoto, R.J. Myerburg, Reproducibility and circadian rhythm of heart rate variability in healthy subjects, Am. J. Cardiol. 65 (1990) 391–393. https://doi.org/10.1016/0002-9149(90)90308-N.</w:t>
          </w:r>
        </w:p>
        <w:p w14:paraId="45CBC2B2" w14:textId="77777777" w:rsidR="00B43409" w:rsidRPr="00B43409" w:rsidRDefault="00B43409">
          <w:pPr>
            <w:autoSpaceDE w:val="0"/>
            <w:autoSpaceDN w:val="0"/>
            <w:ind w:hanging="640"/>
            <w:divId w:val="186406851"/>
            <w:rPr>
              <w:rFonts w:eastAsia="Times New Roman"/>
              <w:color w:val="000000"/>
            </w:rPr>
          </w:pPr>
          <w:r w:rsidRPr="00B43409">
            <w:rPr>
              <w:rFonts w:eastAsia="Times New Roman"/>
              <w:color w:val="000000"/>
            </w:rPr>
            <w:t>[345]</w:t>
          </w:r>
          <w:r w:rsidRPr="00B43409">
            <w:rPr>
              <w:rFonts w:eastAsia="Times New Roman"/>
              <w:color w:val="000000"/>
            </w:rPr>
            <w:tab/>
            <w:t>H. V. Huikuri, S.M. Pikkuja¨msa¨, K.E.J. Airaksinen, M.J. Ika¨heimo, A.O. Rantala, H. Kauma, M. Lilja, Y.A. Kesa¨niemi, Sex-Related Differences in Autonomic Modulation of Heart Rate in Middle-aged Subjects, Circulation 94 (1996) 122–125. https://doi.org/10.1161/01.CIR.94.2.122.</w:t>
          </w:r>
        </w:p>
        <w:p w14:paraId="34F8F3D7" w14:textId="77777777" w:rsidR="00B43409" w:rsidRPr="00B43409" w:rsidRDefault="00B43409">
          <w:pPr>
            <w:autoSpaceDE w:val="0"/>
            <w:autoSpaceDN w:val="0"/>
            <w:ind w:hanging="640"/>
            <w:divId w:val="1762482392"/>
            <w:rPr>
              <w:rFonts w:eastAsia="Times New Roman"/>
              <w:color w:val="000000"/>
            </w:rPr>
          </w:pPr>
          <w:r w:rsidRPr="00B43409">
            <w:rPr>
              <w:rFonts w:eastAsia="Times New Roman"/>
              <w:color w:val="000000"/>
            </w:rPr>
            <w:t>[346]</w:t>
          </w:r>
          <w:r w:rsidRPr="00B43409">
            <w:rPr>
              <w:rFonts w:eastAsia="Times New Roman"/>
              <w:color w:val="000000"/>
            </w:rPr>
            <w:tab/>
            <w:t>S. Ramesh, M.T. James, J.M. Holroyd-Leduc, S.B. Wilton, D.Y. Sola, S.B. Ahmed, Heart rate variability as a function of menopausal status, menstrual cycle phase, and estradiol level, Physiol. Rep. 10 (2022) 1–10. https://doi.org/10.14814/phy2.15298.</w:t>
          </w:r>
        </w:p>
        <w:p w14:paraId="4DAF5C64" w14:textId="77777777" w:rsidR="00B43409" w:rsidRPr="00B43409" w:rsidRDefault="00B43409">
          <w:pPr>
            <w:autoSpaceDE w:val="0"/>
            <w:autoSpaceDN w:val="0"/>
            <w:ind w:hanging="640"/>
            <w:divId w:val="703019065"/>
            <w:rPr>
              <w:rFonts w:eastAsia="Times New Roman"/>
              <w:color w:val="000000"/>
            </w:rPr>
          </w:pPr>
          <w:r w:rsidRPr="00B43409">
            <w:rPr>
              <w:rFonts w:eastAsia="Times New Roman"/>
              <w:color w:val="000000"/>
            </w:rPr>
            <w:t>[347]</w:t>
          </w:r>
          <w:r w:rsidRPr="00B43409">
            <w:rPr>
              <w:rFonts w:eastAsia="Times New Roman"/>
              <w:color w:val="000000"/>
            </w:rPr>
            <w:tab/>
            <w:t>A. Yildirir, G. Kabakci, E. Akgul, L. Tokgozoglu, A. Oto, Effects of menstrual cycle on cardiac autonomic innervation as assessed by heart rate variability, Annals of Noninvasive Electrocardiology 7 (2001) 60–63. https://doi.org/10.1111/j.1542-474x.2001.tb00140.x.</w:t>
          </w:r>
        </w:p>
        <w:p w14:paraId="5B7847A3" w14:textId="77777777" w:rsidR="00B43409" w:rsidRPr="00B43409" w:rsidRDefault="00B43409">
          <w:pPr>
            <w:autoSpaceDE w:val="0"/>
            <w:autoSpaceDN w:val="0"/>
            <w:ind w:hanging="640"/>
            <w:divId w:val="1281571047"/>
            <w:rPr>
              <w:rFonts w:eastAsia="Times New Roman"/>
              <w:color w:val="000000"/>
            </w:rPr>
          </w:pPr>
          <w:r w:rsidRPr="00B43409">
            <w:rPr>
              <w:rFonts w:eastAsia="Times New Roman"/>
              <w:color w:val="000000"/>
            </w:rPr>
            <w:lastRenderedPageBreak/>
            <w:t>[348]</w:t>
          </w:r>
          <w:r w:rsidRPr="00B43409">
            <w:rPr>
              <w:rFonts w:eastAsia="Times New Roman"/>
              <w:color w:val="000000"/>
            </w:rPr>
            <w:tab/>
            <w:t>N. Sato, S. Miyake, J. Akatsu, M. Kumashiro, Power spectral analysis of heart rate variability in healthy young women during the normal menstrual cycle, Psychosom. Med. 57 (1995) 331–335. https://doi.org/10.1097/00006842-199507000-00004.</w:t>
          </w:r>
        </w:p>
        <w:p w14:paraId="306113DA" w14:textId="77777777" w:rsidR="00B43409" w:rsidRPr="00B43409" w:rsidRDefault="00B43409">
          <w:pPr>
            <w:autoSpaceDE w:val="0"/>
            <w:autoSpaceDN w:val="0"/>
            <w:ind w:hanging="640"/>
            <w:divId w:val="1500734883"/>
            <w:rPr>
              <w:rFonts w:eastAsia="Times New Roman"/>
              <w:color w:val="000000"/>
            </w:rPr>
          </w:pPr>
          <w:r w:rsidRPr="00B43409">
            <w:rPr>
              <w:rFonts w:eastAsia="Times New Roman"/>
              <w:color w:val="000000"/>
            </w:rPr>
            <w:t>[349]</w:t>
          </w:r>
          <w:r w:rsidRPr="00B43409">
            <w:rPr>
              <w:rFonts w:eastAsia="Times New Roman"/>
              <w:color w:val="000000"/>
            </w:rPr>
            <w:tab/>
            <w:t>Y. Saeki, F. Atogami, K. Takahashi, T. Yoshizawa, Reflex control of autonomic function induced by posture change during the menstrual cycle, J. Auton. Nerv. Syst. 66 (1997) 69–74. https://doi.org/10.1016/S0165-1838(97)00067-2.</w:t>
          </w:r>
        </w:p>
        <w:p w14:paraId="174371A8" w14:textId="77777777" w:rsidR="00B43409" w:rsidRPr="00B43409" w:rsidRDefault="00B43409">
          <w:pPr>
            <w:autoSpaceDE w:val="0"/>
            <w:autoSpaceDN w:val="0"/>
            <w:ind w:hanging="640"/>
            <w:divId w:val="1497648852"/>
            <w:rPr>
              <w:rFonts w:eastAsia="Times New Roman"/>
              <w:color w:val="000000"/>
            </w:rPr>
          </w:pPr>
          <w:r w:rsidRPr="00B43409">
            <w:rPr>
              <w:rFonts w:eastAsia="Times New Roman"/>
              <w:color w:val="000000"/>
            </w:rPr>
            <w:t>[350]</w:t>
          </w:r>
          <w:r w:rsidRPr="00B43409">
            <w:rPr>
              <w:rFonts w:eastAsia="Times New Roman"/>
              <w:color w:val="000000"/>
            </w:rPr>
            <w:tab/>
            <w:t>A.S. Leicht, D.A. Hirning, G.D. Allen, Heart rate variability and endogenous sex hormones during the menstrual cycle in young women, Exp. Physiol. 88 (2003) 441–446. https://doi.org/10.1113/eph8802535.</w:t>
          </w:r>
        </w:p>
        <w:p w14:paraId="116BFD3F" w14:textId="77777777" w:rsidR="00B43409" w:rsidRPr="00B43409" w:rsidRDefault="00B43409">
          <w:pPr>
            <w:autoSpaceDE w:val="0"/>
            <w:autoSpaceDN w:val="0"/>
            <w:ind w:hanging="640"/>
            <w:divId w:val="274413652"/>
            <w:rPr>
              <w:rFonts w:eastAsia="Times New Roman"/>
              <w:color w:val="000000"/>
            </w:rPr>
          </w:pPr>
          <w:r w:rsidRPr="00B43409">
            <w:rPr>
              <w:rFonts w:eastAsia="Times New Roman"/>
              <w:color w:val="000000"/>
            </w:rPr>
            <w:t>[351]</w:t>
          </w:r>
          <w:r w:rsidRPr="00B43409">
            <w:rPr>
              <w:rFonts w:eastAsia="Times New Roman"/>
              <w:color w:val="000000"/>
            </w:rPr>
            <w:tab/>
            <w:t>N. Hirshoren, I. Tzoran, I. Makrienko, Y. Edoute, M.M. Plawner, J. Itskovitz-Eldor, G. Jacob, R.M. Center, Menstrual cycle effects on the neurohumoral and autonomic nervous systems regulating the cardiovascular system, Journal of Clinical Endocrinology and Metabolism 87 (2002) 1569–1575. https://doi.org/10.1210/jcem.87.4.8406.</w:t>
          </w:r>
        </w:p>
        <w:p w14:paraId="76DF0ABD" w14:textId="77777777" w:rsidR="00B43409" w:rsidRPr="00B43409" w:rsidRDefault="00B43409">
          <w:pPr>
            <w:autoSpaceDE w:val="0"/>
            <w:autoSpaceDN w:val="0"/>
            <w:ind w:hanging="640"/>
            <w:divId w:val="424964927"/>
            <w:rPr>
              <w:rFonts w:eastAsia="Times New Roman"/>
              <w:color w:val="000000"/>
            </w:rPr>
          </w:pPr>
          <w:r w:rsidRPr="00B43409">
            <w:rPr>
              <w:rFonts w:eastAsia="Times New Roman"/>
              <w:color w:val="000000"/>
            </w:rPr>
            <w:t>[352]</w:t>
          </w:r>
          <w:r w:rsidRPr="00B43409">
            <w:rPr>
              <w:rFonts w:eastAsia="Times New Roman"/>
              <w:color w:val="000000"/>
            </w:rPr>
            <w:tab/>
            <w:t>C.C. Liu, T.B.J. Kuo, C.C.H. Yang, Effects of estrogen on gender-related autonomic differences in humans, Am. J. Physiol. Heart Circ. Physiol. 285 (2003) 2188–2193. https://doi.org/10.1152/ajpheart.00256.2003.</w:t>
          </w:r>
        </w:p>
        <w:p w14:paraId="65ABDEFB" w14:textId="77777777" w:rsidR="00B43409" w:rsidRPr="00B43409" w:rsidRDefault="00B43409">
          <w:pPr>
            <w:autoSpaceDE w:val="0"/>
            <w:autoSpaceDN w:val="0"/>
            <w:ind w:hanging="640"/>
            <w:divId w:val="810370000"/>
            <w:rPr>
              <w:rFonts w:eastAsia="Times New Roman"/>
              <w:color w:val="000000"/>
            </w:rPr>
          </w:pPr>
          <w:r w:rsidRPr="00B43409">
            <w:rPr>
              <w:rFonts w:eastAsia="Times New Roman"/>
              <w:color w:val="000000"/>
            </w:rPr>
            <w:t>[353]</w:t>
          </w:r>
          <w:r w:rsidRPr="00B43409">
            <w:rPr>
              <w:rFonts w:eastAsia="Times New Roman"/>
              <w:color w:val="000000"/>
            </w:rPr>
            <w:tab/>
            <w:t>C.T. Minson, J.R. Halliwill, T.M. Young, M.J. Joyner, Influence of the menstrual cycle on sympathetic activity, baroreflex sensitivity, and vascular transduction in young women, Circulation 101 (2000) 862–868. https://doi.org/10.1161/01.CIR.101.8.862.</w:t>
          </w:r>
        </w:p>
        <w:p w14:paraId="0D9639CC" w14:textId="77777777" w:rsidR="00B43409" w:rsidRPr="00B43409" w:rsidRDefault="00B43409">
          <w:pPr>
            <w:autoSpaceDE w:val="0"/>
            <w:autoSpaceDN w:val="0"/>
            <w:ind w:hanging="640"/>
            <w:divId w:val="940602531"/>
            <w:rPr>
              <w:rFonts w:eastAsia="Times New Roman"/>
              <w:color w:val="000000"/>
            </w:rPr>
          </w:pPr>
          <w:r w:rsidRPr="00B43409">
            <w:rPr>
              <w:rFonts w:eastAsia="Times New Roman"/>
              <w:color w:val="000000"/>
            </w:rPr>
            <w:t>[354]</w:t>
          </w:r>
          <w:r w:rsidRPr="00B43409">
            <w:rPr>
              <w:rFonts w:eastAsia="Times New Roman"/>
              <w:color w:val="000000"/>
            </w:rPr>
            <w:tab/>
            <w:t>C.T. Minson, J.R. Halliwill, T.M. Young, M.J. Joyner, Sympathetic activity and baroreflex sensitivity in young women taking oral contraceptives, Circulation 102 (2000) 1473–1476. https://doi.org/10.1161/01.CIR.102.13.1473.</w:t>
          </w:r>
        </w:p>
        <w:p w14:paraId="57340F30" w14:textId="77777777" w:rsidR="00B43409" w:rsidRPr="00B43409" w:rsidRDefault="00B43409">
          <w:pPr>
            <w:autoSpaceDE w:val="0"/>
            <w:autoSpaceDN w:val="0"/>
            <w:ind w:hanging="640"/>
            <w:divId w:val="1560628085"/>
            <w:rPr>
              <w:rFonts w:eastAsia="Times New Roman"/>
              <w:color w:val="000000"/>
            </w:rPr>
          </w:pPr>
          <w:r w:rsidRPr="00B43409">
            <w:rPr>
              <w:rFonts w:eastAsia="Times New Roman"/>
              <w:color w:val="000000"/>
            </w:rPr>
            <w:t>[355]</w:t>
          </w:r>
          <w:r w:rsidRPr="00B43409">
            <w:rPr>
              <w:rFonts w:eastAsia="Times New Roman"/>
              <w:color w:val="000000"/>
            </w:rPr>
            <w:tab/>
            <w:t>A.L. Teixeira, P.S. Ramos, L.C. Vianna, D.R. Ricardo, Heart rate variability across the menstrual cycle in young women taking oral contraceptives, Psychophysiology 52 (2015) 1451–1455. https://doi.org/10.1111/psyp.12510.</w:t>
          </w:r>
        </w:p>
        <w:p w14:paraId="03379A9A" w14:textId="77777777" w:rsidR="00B43409" w:rsidRPr="00B43409" w:rsidRDefault="00B43409">
          <w:pPr>
            <w:autoSpaceDE w:val="0"/>
            <w:autoSpaceDN w:val="0"/>
            <w:ind w:hanging="640"/>
            <w:divId w:val="1670711568"/>
            <w:rPr>
              <w:rFonts w:eastAsia="Times New Roman"/>
              <w:color w:val="000000"/>
            </w:rPr>
          </w:pPr>
          <w:r w:rsidRPr="00B43409">
            <w:rPr>
              <w:rFonts w:eastAsia="Times New Roman"/>
              <w:color w:val="000000"/>
            </w:rPr>
            <w:t>[356]</w:t>
          </w:r>
          <w:r w:rsidRPr="00B43409">
            <w:rPr>
              <w:rFonts w:eastAsia="Times New Roman"/>
              <w:color w:val="000000"/>
            </w:rPr>
            <w:tab/>
            <w:t>T.J. Ingall, J.G. McLeod, P.C. O’Brien, The effect of ageing on autonomic nervous system function, Aust. N. Z. J. Med. 20 (1990) 570–577. https://doi.org/10.1111/j.1445-5994.1990.tb01315.x.</w:t>
          </w:r>
        </w:p>
        <w:p w14:paraId="0732CA95" w14:textId="77777777" w:rsidR="00B43409" w:rsidRPr="00B43409" w:rsidRDefault="00B43409">
          <w:pPr>
            <w:autoSpaceDE w:val="0"/>
            <w:autoSpaceDN w:val="0"/>
            <w:ind w:hanging="640"/>
            <w:divId w:val="1865512713"/>
            <w:rPr>
              <w:rFonts w:eastAsia="Times New Roman"/>
              <w:color w:val="000000"/>
            </w:rPr>
          </w:pPr>
          <w:r w:rsidRPr="00B43409">
            <w:rPr>
              <w:rFonts w:eastAsia="Times New Roman"/>
              <w:color w:val="000000"/>
            </w:rPr>
            <w:t>[357]</w:t>
          </w:r>
          <w:r w:rsidRPr="00B43409">
            <w:rPr>
              <w:rFonts w:eastAsia="Times New Roman"/>
              <w:color w:val="000000"/>
            </w:rPr>
            <w:tab/>
            <w:t>C.-H. Yeh, T.B.J. Kuo, J.-Y. Li, K.-L. Kuo, C.-M. Chern, C.C.H. Yang, H.-Y. Huang, Effects of age and sex on vasomotor activity and baroreflex sensitivity during the sleep–wake cycle, Sci. Rep. 12 (2022) 22424. https://doi.org/10.1038/s41598-022-26440-3.</w:t>
          </w:r>
        </w:p>
        <w:p w14:paraId="4292784B" w14:textId="77777777" w:rsidR="00B43409" w:rsidRPr="00B43409" w:rsidRDefault="00B43409">
          <w:pPr>
            <w:autoSpaceDE w:val="0"/>
            <w:autoSpaceDN w:val="0"/>
            <w:ind w:hanging="640"/>
            <w:divId w:val="864443773"/>
            <w:rPr>
              <w:rFonts w:eastAsia="Times New Roman"/>
              <w:color w:val="000000"/>
            </w:rPr>
          </w:pPr>
          <w:r w:rsidRPr="00B43409">
            <w:rPr>
              <w:rFonts w:eastAsia="Times New Roman"/>
              <w:color w:val="000000"/>
            </w:rPr>
            <w:t>[358]</w:t>
          </w:r>
          <w:r w:rsidRPr="00B43409">
            <w:rPr>
              <w:rFonts w:eastAsia="Times New Roman"/>
              <w:color w:val="000000"/>
            </w:rPr>
            <w:tab/>
            <w:t>R.E. Kleiger, J.P. Miller, J.T. Bigger, A.J. Moss, Decreased heart rate variability and its association with increased mortality after acute myocardial infarction, Am. J. Cardiol. 59 (1987) 256–262. https://doi.org/10.1016/0002-9149(87)90795-8.</w:t>
          </w:r>
        </w:p>
        <w:p w14:paraId="081DAEA1" w14:textId="77777777" w:rsidR="00B43409" w:rsidRPr="00B43409" w:rsidRDefault="00B43409">
          <w:pPr>
            <w:autoSpaceDE w:val="0"/>
            <w:autoSpaceDN w:val="0"/>
            <w:ind w:hanging="640"/>
            <w:divId w:val="857887831"/>
            <w:rPr>
              <w:rFonts w:eastAsia="Times New Roman"/>
              <w:color w:val="000000"/>
            </w:rPr>
          </w:pPr>
          <w:r w:rsidRPr="00B43409">
            <w:rPr>
              <w:rFonts w:eastAsia="Times New Roman"/>
              <w:color w:val="000000"/>
            </w:rPr>
            <w:t>[359]</w:t>
          </w:r>
          <w:r w:rsidRPr="00B43409">
            <w:rPr>
              <w:rFonts w:eastAsia="Times New Roman"/>
              <w:color w:val="000000"/>
            </w:rPr>
            <w:tab/>
            <w:t>E.L. Melanson, P.S. Freedson, The effect of endurance training on resting heart rate variability in sedentary adult males, Eur. J. Appl. Physiol. 85 (2001) 442–449. https://doi.org/10.1007/s004210100479.</w:t>
          </w:r>
        </w:p>
        <w:p w14:paraId="75C1156D" w14:textId="77777777" w:rsidR="00B43409" w:rsidRPr="00B43409" w:rsidRDefault="00B43409">
          <w:pPr>
            <w:autoSpaceDE w:val="0"/>
            <w:autoSpaceDN w:val="0"/>
            <w:ind w:hanging="640"/>
            <w:divId w:val="1788426664"/>
            <w:rPr>
              <w:rFonts w:eastAsia="Times New Roman"/>
              <w:color w:val="000000"/>
            </w:rPr>
          </w:pPr>
          <w:r w:rsidRPr="00B43409">
            <w:rPr>
              <w:rFonts w:eastAsia="Times New Roman"/>
              <w:color w:val="000000"/>
            </w:rPr>
            <w:t>[360]</w:t>
          </w:r>
          <w:r w:rsidRPr="00B43409">
            <w:rPr>
              <w:rFonts w:eastAsia="Times New Roman"/>
              <w:color w:val="000000"/>
            </w:rPr>
            <w:tab/>
            <w:t>A.E. Aubert, B. Seps, F. Beckers, Heart Rate Variability in Athletes, Sports Medicine 33 (2003) 889–919. https://doi.org/10.2165/00007256-200333120-00003.</w:t>
          </w:r>
        </w:p>
        <w:p w14:paraId="0B5FE69E" w14:textId="77777777" w:rsidR="00B43409" w:rsidRPr="00B43409" w:rsidRDefault="00B43409">
          <w:pPr>
            <w:autoSpaceDE w:val="0"/>
            <w:autoSpaceDN w:val="0"/>
            <w:ind w:hanging="640"/>
            <w:divId w:val="340788939"/>
            <w:rPr>
              <w:rFonts w:eastAsia="Times New Roman"/>
              <w:color w:val="000000"/>
            </w:rPr>
          </w:pPr>
          <w:r w:rsidRPr="00B43409">
            <w:rPr>
              <w:rFonts w:eastAsia="Times New Roman"/>
              <w:color w:val="000000"/>
            </w:rPr>
            <w:t>[361]</w:t>
          </w:r>
          <w:r w:rsidRPr="00B43409">
            <w:rPr>
              <w:rFonts w:eastAsia="Times New Roman"/>
              <w:color w:val="000000"/>
            </w:rPr>
            <w:tab/>
            <w:t>J. Gregoire, S. Tuck, Y. Yamamoto, R.L. Hughson, Heart Rate Variability at Rest and Exercise: Influence of Age, Gender, and Physical Training, Canadian Journal of Applied Physiology 21 (1996) 455–470. https://doi.org/10.1139/h96-040.</w:t>
          </w:r>
        </w:p>
        <w:p w14:paraId="791F0427" w14:textId="77777777" w:rsidR="00B43409" w:rsidRPr="00B43409" w:rsidRDefault="00B43409">
          <w:pPr>
            <w:autoSpaceDE w:val="0"/>
            <w:autoSpaceDN w:val="0"/>
            <w:ind w:hanging="640"/>
            <w:divId w:val="490029960"/>
            <w:rPr>
              <w:rFonts w:eastAsia="Times New Roman"/>
              <w:color w:val="000000"/>
            </w:rPr>
          </w:pPr>
          <w:r w:rsidRPr="00B43409">
            <w:rPr>
              <w:rFonts w:eastAsia="Times New Roman"/>
              <w:color w:val="000000"/>
            </w:rPr>
            <w:t>[362]</w:t>
          </w:r>
          <w:r w:rsidRPr="00B43409">
            <w:rPr>
              <w:rFonts w:eastAsia="Times New Roman"/>
              <w:color w:val="000000"/>
            </w:rPr>
            <w:tab/>
            <w:t>A.R. Yataco, L.A. Fleisher, L.I. Katzel, Heart rate variability and cardiovascular fitness in senior athletes, American Journal of Cardiology 80 (1997) 1389–1391. https://doi.org/10.1016/S0002-9149(97)00697-8.</w:t>
          </w:r>
        </w:p>
        <w:p w14:paraId="35EF3452" w14:textId="77777777" w:rsidR="00B43409" w:rsidRPr="00B43409" w:rsidRDefault="00B43409">
          <w:pPr>
            <w:autoSpaceDE w:val="0"/>
            <w:autoSpaceDN w:val="0"/>
            <w:ind w:hanging="640"/>
            <w:divId w:val="1706560919"/>
            <w:rPr>
              <w:rFonts w:eastAsia="Times New Roman"/>
              <w:color w:val="000000"/>
            </w:rPr>
          </w:pPr>
          <w:r w:rsidRPr="00B43409">
            <w:rPr>
              <w:rFonts w:eastAsia="Times New Roman"/>
              <w:color w:val="000000"/>
            </w:rPr>
            <w:lastRenderedPageBreak/>
            <w:t>[363]</w:t>
          </w:r>
          <w:r w:rsidRPr="00B43409">
            <w:rPr>
              <w:rFonts w:eastAsia="Times New Roman"/>
              <w:color w:val="000000"/>
            </w:rPr>
            <w:tab/>
            <w:t>K. Jensen-Urstad, N. Storck, F. Bouvier, M. Ericson, L.E. Lindblad, M. Jensen-Urstad, Heart rate variability in healthy subjects is related to age and gender, Acta Physiol. Scand. 160 (1997) 235–241. https://doi.org/10.1046/j.1365-201X.1997.00142.x.</w:t>
          </w:r>
        </w:p>
        <w:p w14:paraId="34B6F3D9" w14:textId="77777777" w:rsidR="00B43409" w:rsidRPr="00B43409" w:rsidRDefault="00B43409">
          <w:pPr>
            <w:autoSpaceDE w:val="0"/>
            <w:autoSpaceDN w:val="0"/>
            <w:ind w:hanging="640"/>
            <w:divId w:val="1887139337"/>
            <w:rPr>
              <w:rFonts w:eastAsia="Times New Roman"/>
              <w:color w:val="000000"/>
            </w:rPr>
          </w:pPr>
          <w:r w:rsidRPr="00B43409">
            <w:rPr>
              <w:rFonts w:eastAsia="Times New Roman"/>
              <w:color w:val="000000"/>
            </w:rPr>
            <w:t>[364]</w:t>
          </w:r>
          <w:r w:rsidRPr="00B43409">
            <w:rPr>
              <w:rFonts w:eastAsia="Times New Roman"/>
              <w:color w:val="000000"/>
            </w:rPr>
            <w:tab/>
            <w:t>J. González‐Alonso, C.G. Crandall, J.M. Johnson, The cardiovascular challenge of exercising in the heat, J. Physiol. 586 (2008) 45–53. https://doi.org/10.1113/jphysiol.2007.142158.</w:t>
          </w:r>
        </w:p>
        <w:p w14:paraId="69B59F4D" w14:textId="77777777" w:rsidR="00B43409" w:rsidRPr="00B43409" w:rsidRDefault="00B43409">
          <w:pPr>
            <w:autoSpaceDE w:val="0"/>
            <w:autoSpaceDN w:val="0"/>
            <w:ind w:hanging="640"/>
            <w:divId w:val="828209592"/>
            <w:rPr>
              <w:rFonts w:eastAsia="Times New Roman"/>
              <w:color w:val="000000"/>
            </w:rPr>
          </w:pPr>
          <w:r w:rsidRPr="00B43409">
            <w:rPr>
              <w:rFonts w:eastAsia="Times New Roman"/>
              <w:color w:val="000000"/>
            </w:rPr>
            <w:t>[365]</w:t>
          </w:r>
          <w:r w:rsidRPr="00B43409">
            <w:rPr>
              <w:rFonts w:eastAsia="Times New Roman"/>
              <w:color w:val="000000"/>
            </w:rPr>
            <w:tab/>
            <w:t>B.G. Windham, S. Fumagalli, A. Ble, J.J. Sollers, J.F. Thayer, S.S. Najjar, M.E. Griswold, L. Ferrucci, The relationship between heart rate variability and adiposity differs for central and overall adiposity, J. Obes. 2012 (2012). https://doi.org/10.1155/2012/149516.</w:t>
          </w:r>
        </w:p>
        <w:p w14:paraId="77AD3425" w14:textId="77777777" w:rsidR="00B43409" w:rsidRPr="00B43409" w:rsidRDefault="00B43409">
          <w:pPr>
            <w:autoSpaceDE w:val="0"/>
            <w:autoSpaceDN w:val="0"/>
            <w:ind w:hanging="640"/>
            <w:divId w:val="841354884"/>
            <w:rPr>
              <w:rFonts w:eastAsia="Times New Roman"/>
              <w:color w:val="000000"/>
            </w:rPr>
          </w:pPr>
          <w:r w:rsidRPr="00B43409">
            <w:rPr>
              <w:rFonts w:eastAsia="Times New Roman"/>
              <w:color w:val="000000"/>
            </w:rPr>
            <w:t>[366]</w:t>
          </w:r>
          <w:r w:rsidRPr="00B43409">
            <w:rPr>
              <w:rFonts w:eastAsia="Times New Roman"/>
              <w:color w:val="000000"/>
            </w:rPr>
            <w:tab/>
            <w:t>B.S. Tegegne, T. Man, A.M. van Roon, H. Riese, H. Snieder, Determinants of heart rate variability in the general population: The Lifelines Cohort Study, Heart Rhythm 15 (2018) 1552–1558. https://doi.org/10.1016/j.hrthm.2018.05.006.</w:t>
          </w:r>
        </w:p>
        <w:p w14:paraId="4AB67437" w14:textId="77777777" w:rsidR="00B43409" w:rsidRPr="00B43409" w:rsidRDefault="00B43409">
          <w:pPr>
            <w:autoSpaceDE w:val="0"/>
            <w:autoSpaceDN w:val="0"/>
            <w:ind w:hanging="640"/>
            <w:divId w:val="896361768"/>
            <w:rPr>
              <w:rFonts w:eastAsia="Times New Roman"/>
              <w:color w:val="000000"/>
            </w:rPr>
          </w:pPr>
          <w:r w:rsidRPr="00B43409">
            <w:rPr>
              <w:rFonts w:eastAsia="Times New Roman"/>
              <w:color w:val="000000"/>
            </w:rPr>
            <w:t>[367]</w:t>
          </w:r>
          <w:r w:rsidRPr="00B43409">
            <w:rPr>
              <w:rFonts w:eastAsia="Times New Roman"/>
              <w:color w:val="000000"/>
            </w:rPr>
            <w:tab/>
            <w:t>N. Michels, E. Clays, M. De Buyzere, I. Huybrechts, S. Marild, B. Vanaelst, S. De Henauw, I. Sioen, Determinants and reference values of short-term heart rate variability in children, Eur. J. Appl. Physiol. 113 (2013) 1477–1488. https://doi.org/10.1007/s00421-012-2572-9.</w:t>
          </w:r>
        </w:p>
        <w:p w14:paraId="549536B9" w14:textId="77777777" w:rsidR="00B43409" w:rsidRPr="00B43409" w:rsidRDefault="00B43409">
          <w:pPr>
            <w:autoSpaceDE w:val="0"/>
            <w:autoSpaceDN w:val="0"/>
            <w:ind w:hanging="640"/>
            <w:divId w:val="1089154765"/>
            <w:rPr>
              <w:rFonts w:eastAsia="Times New Roman"/>
              <w:color w:val="000000"/>
            </w:rPr>
          </w:pPr>
          <w:r w:rsidRPr="00B43409">
            <w:rPr>
              <w:rFonts w:eastAsia="Times New Roman"/>
              <w:color w:val="000000"/>
            </w:rPr>
            <w:t>[368]</w:t>
          </w:r>
          <w:r w:rsidRPr="00B43409">
            <w:rPr>
              <w:rFonts w:eastAsia="Times New Roman"/>
              <w:color w:val="000000"/>
            </w:rPr>
            <w:tab/>
            <w:t>E.R. Nadel, S.M. Fortney, C.B. Wenger, Effect of hydration state on circulatory and thermal regulations, J. Appl. Physiol. Respir. Environ. Exerc. Physiol. 49 (1980) 715–721. https://doi.org/10.1152/jappl.1980.49.4.715.</w:t>
          </w:r>
        </w:p>
        <w:p w14:paraId="7B6141C0" w14:textId="77777777" w:rsidR="00B43409" w:rsidRPr="00B43409" w:rsidRDefault="00B43409">
          <w:pPr>
            <w:autoSpaceDE w:val="0"/>
            <w:autoSpaceDN w:val="0"/>
            <w:ind w:hanging="640"/>
            <w:divId w:val="764687087"/>
            <w:rPr>
              <w:rFonts w:eastAsia="Times New Roman"/>
              <w:color w:val="000000"/>
            </w:rPr>
          </w:pPr>
          <w:r w:rsidRPr="00B43409">
            <w:rPr>
              <w:rFonts w:eastAsia="Times New Roman"/>
              <w:color w:val="000000"/>
            </w:rPr>
            <w:t>[369]</w:t>
          </w:r>
          <w:r w:rsidRPr="00B43409">
            <w:rPr>
              <w:rFonts w:eastAsia="Times New Roman"/>
              <w:color w:val="000000"/>
            </w:rPr>
            <w:tab/>
            <w:t>D.S. Quintana, A.J. Guastella, I.S. Mcgregor, I.B. Hickie, A.H. Kemp, Moderate alcohol intake is related to increased heart rate variability in young adults: Implications for health and well-being, Psychophysiology 50 (2013) 1202–1208. https://doi.org/10.1111/psyp.12134.</w:t>
          </w:r>
        </w:p>
        <w:p w14:paraId="5D246E31" w14:textId="77777777" w:rsidR="00B43409" w:rsidRPr="00B43409" w:rsidRDefault="00B43409">
          <w:pPr>
            <w:autoSpaceDE w:val="0"/>
            <w:autoSpaceDN w:val="0"/>
            <w:ind w:hanging="640"/>
            <w:divId w:val="866869593"/>
            <w:rPr>
              <w:rFonts w:eastAsia="Times New Roman"/>
              <w:color w:val="000000"/>
            </w:rPr>
          </w:pPr>
          <w:r w:rsidRPr="00B43409">
            <w:rPr>
              <w:rFonts w:eastAsia="Times New Roman"/>
              <w:color w:val="000000"/>
            </w:rPr>
            <w:t>[370]</w:t>
          </w:r>
          <w:r w:rsidRPr="00B43409">
            <w:rPr>
              <w:rFonts w:eastAsia="Times New Roman"/>
              <w:color w:val="000000"/>
            </w:rPr>
            <w:tab/>
            <w:t>A.H. Kemp, D.S. Quintana, M.A. Gray, K.L. Felmingham, K. Brown, J.M. Gatt, Impact of Depression and Antidepressant Treatment on Heart Rate Variability: A Review and Meta-Analysis, Biol. Psychiatry 67 (2010) 1067–1074. https://doi.org/10.1016/j.biopsych.2009.12.012.</w:t>
          </w:r>
        </w:p>
        <w:p w14:paraId="59A428FD" w14:textId="77777777" w:rsidR="00B43409" w:rsidRPr="00B43409" w:rsidRDefault="00B43409">
          <w:pPr>
            <w:autoSpaceDE w:val="0"/>
            <w:autoSpaceDN w:val="0"/>
            <w:ind w:hanging="640"/>
            <w:divId w:val="1504514373"/>
            <w:rPr>
              <w:rFonts w:eastAsia="Times New Roman"/>
              <w:color w:val="000000"/>
            </w:rPr>
          </w:pPr>
          <w:r w:rsidRPr="00B43409">
            <w:rPr>
              <w:rFonts w:eastAsia="Times New Roman"/>
              <w:color w:val="000000"/>
            </w:rPr>
            <w:t>[371]</w:t>
          </w:r>
          <w:r w:rsidRPr="00B43409">
            <w:rPr>
              <w:rFonts w:eastAsia="Times New Roman"/>
              <w:color w:val="000000"/>
            </w:rPr>
            <w:tab/>
            <w:t>J.A. Chalmers, D.S. Quintana, M.J.A. Abbott, A.H. Kemp, Anxiety disorders are associated with reduced heart rate variability: A meta-analysis, Front. Psychiatry 5 (2014) 1–11. https://doi.org/10.3389/fpsyt.2014.00080.</w:t>
          </w:r>
        </w:p>
        <w:p w14:paraId="09C54DED" w14:textId="77777777" w:rsidR="00B43409" w:rsidRPr="00B43409" w:rsidRDefault="00B43409">
          <w:pPr>
            <w:autoSpaceDE w:val="0"/>
            <w:autoSpaceDN w:val="0"/>
            <w:ind w:hanging="640"/>
            <w:divId w:val="543105775"/>
            <w:rPr>
              <w:rFonts w:eastAsia="Times New Roman"/>
              <w:color w:val="000000"/>
            </w:rPr>
          </w:pPr>
          <w:r w:rsidRPr="00B43409">
            <w:rPr>
              <w:rFonts w:eastAsia="Times New Roman"/>
              <w:color w:val="000000"/>
            </w:rPr>
            <w:t>[372]</w:t>
          </w:r>
          <w:r w:rsidRPr="00B43409">
            <w:rPr>
              <w:rFonts w:eastAsia="Times New Roman"/>
              <w:color w:val="000000"/>
            </w:rPr>
            <w:tab/>
            <w:t>A.H. Kemp, D.S. Quintana, K.L. Felmingham, S. Matthews, H.F. Jelinek, Depression, comorbid anxiety disorders, and heart rate variability in physically healthy, unmedicated patients: Implications for cardiovascular risk, PLoS One 7 (2012) 1–8. https://doi.org/10.1371/journal.pone.0030777.</w:t>
          </w:r>
        </w:p>
        <w:p w14:paraId="714B32AB" w14:textId="77777777" w:rsidR="00B43409" w:rsidRPr="00B43409" w:rsidRDefault="00B43409">
          <w:pPr>
            <w:autoSpaceDE w:val="0"/>
            <w:autoSpaceDN w:val="0"/>
            <w:ind w:hanging="640"/>
            <w:divId w:val="1428768278"/>
            <w:rPr>
              <w:rFonts w:eastAsia="Times New Roman"/>
              <w:color w:val="000000"/>
            </w:rPr>
          </w:pPr>
          <w:r w:rsidRPr="00B43409">
            <w:rPr>
              <w:rFonts w:eastAsia="Times New Roman"/>
              <w:color w:val="000000"/>
            </w:rPr>
            <w:t>[373]</w:t>
          </w:r>
          <w:r w:rsidRPr="00B43409">
            <w:rPr>
              <w:rFonts w:eastAsia="Times New Roman"/>
              <w:color w:val="000000"/>
            </w:rPr>
            <w:tab/>
            <w:t>M. Faurholt-Jepsen, L.V. Kessing, K. Munkholm, Heart rate variability in bipolar disorder: A systematic review and meta-analysis, Neurosci. Biobehav. Rev. 73 (2017) 68–80. https://doi.org/10.1016/j.neubiorev.2016.12.007.</w:t>
          </w:r>
        </w:p>
        <w:p w14:paraId="6CE3C573" w14:textId="77777777" w:rsidR="00B43409" w:rsidRPr="00B43409" w:rsidRDefault="00B43409">
          <w:pPr>
            <w:autoSpaceDE w:val="0"/>
            <w:autoSpaceDN w:val="0"/>
            <w:ind w:hanging="640"/>
            <w:divId w:val="849293876"/>
            <w:rPr>
              <w:rFonts w:eastAsia="Times New Roman"/>
              <w:color w:val="000000"/>
            </w:rPr>
          </w:pPr>
          <w:r w:rsidRPr="00B43409">
            <w:rPr>
              <w:rFonts w:eastAsia="Times New Roman"/>
              <w:color w:val="000000"/>
            </w:rPr>
            <w:t>[374]</w:t>
          </w:r>
          <w:r w:rsidRPr="00B43409">
            <w:rPr>
              <w:rFonts w:eastAsia="Times New Roman"/>
              <w:color w:val="000000"/>
            </w:rPr>
            <w:tab/>
            <w:t>G.A. Alvares, D.S. Quintana, I.B. Hickie, A.J. Guastella, Autonomic nervous system dysfunction in psychiatric disorders and the impact of psychotropic medications: A systematic review and meta-analysis, Journal of Psychiatry and Neuroscience 41 (2016) 89–104. https://doi.org/10.1503/jpn.140217.</w:t>
          </w:r>
        </w:p>
        <w:p w14:paraId="791ACC61" w14:textId="77777777" w:rsidR="00B43409" w:rsidRPr="00B43409" w:rsidRDefault="00B43409">
          <w:pPr>
            <w:autoSpaceDE w:val="0"/>
            <w:autoSpaceDN w:val="0"/>
            <w:ind w:hanging="640"/>
            <w:divId w:val="1268929648"/>
            <w:rPr>
              <w:rFonts w:eastAsia="Times New Roman"/>
              <w:color w:val="000000"/>
            </w:rPr>
          </w:pPr>
          <w:r w:rsidRPr="00B43409">
            <w:rPr>
              <w:rFonts w:eastAsia="Times New Roman"/>
              <w:color w:val="000000"/>
            </w:rPr>
            <w:t>[375]</w:t>
          </w:r>
          <w:r w:rsidRPr="00B43409">
            <w:rPr>
              <w:rFonts w:eastAsia="Times New Roman"/>
              <w:color w:val="000000"/>
            </w:rPr>
            <w:tab/>
            <w:t>T.P. Beauchaine, J.F. Thayer, Heart rate variability as a transdiagnostic biomarker of psychopathology, International Journal of Psychophysiology 98 (2015) 338–350. https://doi.org/10.1016/j.ijpsycho.2015.08.004.</w:t>
          </w:r>
        </w:p>
        <w:p w14:paraId="141F8BF8" w14:textId="77777777" w:rsidR="00B43409" w:rsidRPr="00B43409" w:rsidRDefault="00B43409">
          <w:pPr>
            <w:autoSpaceDE w:val="0"/>
            <w:autoSpaceDN w:val="0"/>
            <w:ind w:hanging="640"/>
            <w:divId w:val="1764573760"/>
            <w:rPr>
              <w:rFonts w:eastAsia="Times New Roman"/>
              <w:color w:val="000000"/>
            </w:rPr>
          </w:pPr>
          <w:r w:rsidRPr="00B43409">
            <w:rPr>
              <w:rFonts w:eastAsia="Times New Roman"/>
              <w:color w:val="000000"/>
            </w:rPr>
            <w:t>[376]</w:t>
          </w:r>
          <w:r w:rsidRPr="00B43409">
            <w:rPr>
              <w:rFonts w:eastAsia="Times New Roman"/>
              <w:color w:val="000000"/>
            </w:rPr>
            <w:tab/>
            <w:t>B.L. Henry, A. Minassian, M.P. Paulus, M.A. Geyer, W. Perry, Heart rate variability in bipolar mania and schizophrenia, J. Psychiatr. Res. 44 (2010) 168–176. https://doi.org/10.1016/j.jpsychires.2009.07.011.</w:t>
          </w:r>
        </w:p>
        <w:p w14:paraId="19495DC5" w14:textId="77777777" w:rsidR="00B43409" w:rsidRPr="00B43409" w:rsidRDefault="00B43409">
          <w:pPr>
            <w:autoSpaceDE w:val="0"/>
            <w:autoSpaceDN w:val="0"/>
            <w:ind w:hanging="640"/>
            <w:divId w:val="1026099870"/>
            <w:rPr>
              <w:rFonts w:eastAsia="Times New Roman"/>
              <w:color w:val="000000"/>
            </w:rPr>
          </w:pPr>
          <w:r w:rsidRPr="00B43409">
            <w:rPr>
              <w:rFonts w:eastAsia="Times New Roman"/>
              <w:color w:val="000000"/>
            </w:rPr>
            <w:t>[377]</w:t>
          </w:r>
          <w:r w:rsidRPr="00B43409">
            <w:rPr>
              <w:rFonts w:eastAsia="Times New Roman"/>
              <w:color w:val="000000"/>
            </w:rPr>
            <w:tab/>
            <w:t>J.B. Holzman, D.J. Bridgett, Heart rate variability indices as bio-markers of top-down self-regulatory mechanisms: A meta-analytic review, Neurosci. Biobehav. Rev. 74 (2017) 233–255. https://doi.org/10.1016/j.neubiorev.2016.12.032.</w:t>
          </w:r>
        </w:p>
        <w:p w14:paraId="2E9F1CA5" w14:textId="77777777" w:rsidR="00B43409" w:rsidRPr="00B43409" w:rsidRDefault="00B43409">
          <w:pPr>
            <w:autoSpaceDE w:val="0"/>
            <w:autoSpaceDN w:val="0"/>
            <w:ind w:hanging="640"/>
            <w:divId w:val="1320766021"/>
            <w:rPr>
              <w:rFonts w:eastAsia="Times New Roman"/>
              <w:color w:val="000000"/>
            </w:rPr>
          </w:pPr>
          <w:r w:rsidRPr="00B43409">
            <w:rPr>
              <w:rFonts w:eastAsia="Times New Roman"/>
              <w:color w:val="000000"/>
            </w:rPr>
            <w:lastRenderedPageBreak/>
            <w:t>[378]</w:t>
          </w:r>
          <w:r w:rsidRPr="00B43409">
            <w:rPr>
              <w:rFonts w:eastAsia="Times New Roman"/>
              <w:color w:val="000000"/>
            </w:rPr>
            <w:tab/>
            <w:t>E. Bal, E. Harden, D. Lamb, A.V. Van Hecke, J.W. Denver, S.W. Porges, Emotion recognition in children with autism spectrum disorders: Relations to eye gaze and autonomic state, J. Autism Dev. Disord. 40 (2010) 358–370. https://doi.org/10.1007/s10803-009-0884-3.</w:t>
          </w:r>
        </w:p>
        <w:p w14:paraId="291AA3C2" w14:textId="77777777" w:rsidR="00B43409" w:rsidRPr="00B43409" w:rsidRDefault="00B43409">
          <w:pPr>
            <w:autoSpaceDE w:val="0"/>
            <w:autoSpaceDN w:val="0"/>
            <w:ind w:hanging="640"/>
            <w:divId w:val="734086075"/>
            <w:rPr>
              <w:rFonts w:eastAsia="Times New Roman"/>
              <w:color w:val="000000"/>
            </w:rPr>
          </w:pPr>
          <w:r w:rsidRPr="00B43409">
            <w:rPr>
              <w:rFonts w:eastAsia="Times New Roman"/>
              <w:color w:val="000000"/>
            </w:rPr>
            <w:t>[379]</w:t>
          </w:r>
          <w:r w:rsidRPr="00B43409">
            <w:rPr>
              <w:rFonts w:eastAsia="Times New Roman"/>
              <w:color w:val="000000"/>
            </w:rPr>
            <w:tab/>
            <w:t>I. Tonhajzerova, I. Ondrejka, N. Ferencova, I. Bujnakova, M. Grendar, L.B. Olexova, I. Hrtanek, Z. Visnovcova, Alternations in the Cardiovascular Autonomic Regulation and Growth Factors in Autism, Physiol. Res. 70 (2021) 551–561. https://doi.org/10.33549/physiolres.934662.</w:t>
          </w:r>
        </w:p>
        <w:p w14:paraId="7E091DB1" w14:textId="77777777" w:rsidR="00B43409" w:rsidRPr="00B43409" w:rsidRDefault="00B43409">
          <w:pPr>
            <w:autoSpaceDE w:val="0"/>
            <w:autoSpaceDN w:val="0"/>
            <w:ind w:hanging="640"/>
            <w:divId w:val="1701398281"/>
            <w:rPr>
              <w:rFonts w:eastAsia="Times New Roman"/>
              <w:color w:val="000000"/>
            </w:rPr>
          </w:pPr>
          <w:r w:rsidRPr="00B43409">
            <w:rPr>
              <w:rFonts w:eastAsia="Times New Roman"/>
              <w:color w:val="000000"/>
            </w:rPr>
            <w:t>[380]</w:t>
          </w:r>
          <w:r w:rsidRPr="00B43409">
            <w:rPr>
              <w:rFonts w:eastAsia="Times New Roman"/>
              <w:color w:val="000000"/>
            </w:rPr>
            <w:tab/>
            <w:t>R. Thapa, I. Pokorski, Z. Ambarchi, E. Thomas, M. Demayo, K. Boulton, S. Matthews, S. Patel, I. Sedeli, I.B. Hickie, A.J. Guastella, Heart Rate Variability in Children With Autism Spectrum Disorder and Associations With Medication and Symptom Severity, Autism Research 14 (2021) 75–85. https://doi.org/10.1002/aur.2437.</w:t>
          </w:r>
        </w:p>
        <w:p w14:paraId="3EC515CC" w14:textId="77777777" w:rsidR="00B43409" w:rsidRPr="00B43409" w:rsidRDefault="00B43409">
          <w:pPr>
            <w:autoSpaceDE w:val="0"/>
            <w:autoSpaceDN w:val="0"/>
            <w:ind w:hanging="640"/>
            <w:divId w:val="521667868"/>
            <w:rPr>
              <w:rFonts w:eastAsia="Times New Roman"/>
              <w:color w:val="000000"/>
            </w:rPr>
          </w:pPr>
          <w:r w:rsidRPr="00B43409">
            <w:rPr>
              <w:rFonts w:eastAsia="Times New Roman"/>
              <w:color w:val="000000"/>
            </w:rPr>
            <w:t>[381]</w:t>
          </w:r>
          <w:r w:rsidRPr="00B43409">
            <w:rPr>
              <w:rFonts w:eastAsia="Times New Roman"/>
              <w:color w:val="000000"/>
            </w:rPr>
            <w:tab/>
            <w:t>V. Spallone, D. Ziegler, R. Freeman, L. Bernardi, S. Frontoni, R. Pop‐Busui, M. Stevens, P. Kempler, J. Hilsted, S. Tesfaye, P. Low, P. Valensi, Cardiovascular autonomic neuropathy in diabetes: clinical impact, assessment, diagnosis, and management, Diabetes. Metab. Res. Rev. 27 (2011) 639–653. https://doi.org/10.1002/dmrr.1239.</w:t>
          </w:r>
        </w:p>
        <w:p w14:paraId="29E20EC0" w14:textId="77777777" w:rsidR="00B43409" w:rsidRPr="00B43409" w:rsidRDefault="00B43409">
          <w:pPr>
            <w:autoSpaceDE w:val="0"/>
            <w:autoSpaceDN w:val="0"/>
            <w:ind w:hanging="640"/>
            <w:divId w:val="2099784121"/>
            <w:rPr>
              <w:rFonts w:eastAsia="Times New Roman"/>
              <w:color w:val="000000"/>
            </w:rPr>
          </w:pPr>
          <w:r w:rsidRPr="00B43409">
            <w:rPr>
              <w:rFonts w:eastAsia="Times New Roman"/>
              <w:color w:val="000000"/>
            </w:rPr>
            <w:t>[382]</w:t>
          </w:r>
          <w:r w:rsidRPr="00B43409">
            <w:rPr>
              <w:rFonts w:eastAsia="Times New Roman"/>
              <w:color w:val="000000"/>
            </w:rPr>
            <w:tab/>
            <w:t>S. Masaoka, A. Lev-Ran, L.R. Hill, G. Vakil, E.H. Hon, Heart rate variability in diabetes: Relationship to age and duration of the disease, Diabetes Care 8 (1985) 64–68. https://doi.org/10.2337/diacare.8.1.64.</w:t>
          </w:r>
        </w:p>
        <w:p w14:paraId="605C94D8" w14:textId="77777777" w:rsidR="00B43409" w:rsidRPr="00B43409" w:rsidRDefault="00B43409">
          <w:pPr>
            <w:autoSpaceDE w:val="0"/>
            <w:autoSpaceDN w:val="0"/>
            <w:ind w:hanging="640"/>
            <w:divId w:val="742067920"/>
            <w:rPr>
              <w:rFonts w:eastAsia="Times New Roman"/>
              <w:color w:val="000000"/>
            </w:rPr>
          </w:pPr>
          <w:r w:rsidRPr="00B43409">
            <w:rPr>
              <w:rFonts w:eastAsia="Times New Roman"/>
              <w:color w:val="000000"/>
            </w:rPr>
            <w:t>[383]</w:t>
          </w:r>
          <w:r w:rsidRPr="00B43409">
            <w:rPr>
              <w:rFonts w:eastAsia="Times New Roman"/>
              <w:color w:val="000000"/>
            </w:rPr>
            <w:tab/>
            <w:t>J.F. Thayer, A.L. Hansen, B.H. Johnsen, A. Balance, B. Medicine, Handbook of Behavioral Medicine, Springer New York, New York, NY, 2010. https://doi.org/10.1007/978-0-387-09488-5.</w:t>
          </w:r>
        </w:p>
        <w:p w14:paraId="5AC70C0B" w14:textId="77777777" w:rsidR="00B43409" w:rsidRPr="00B43409" w:rsidRDefault="00B43409">
          <w:pPr>
            <w:autoSpaceDE w:val="0"/>
            <w:autoSpaceDN w:val="0"/>
            <w:ind w:hanging="640"/>
            <w:divId w:val="1627739347"/>
            <w:rPr>
              <w:rFonts w:eastAsia="Times New Roman"/>
              <w:color w:val="000000"/>
            </w:rPr>
          </w:pPr>
          <w:r w:rsidRPr="00B43409">
            <w:rPr>
              <w:rFonts w:eastAsia="Times New Roman"/>
              <w:color w:val="000000"/>
            </w:rPr>
            <w:t>[384]</w:t>
          </w:r>
          <w:r w:rsidRPr="00B43409">
            <w:rPr>
              <w:rFonts w:eastAsia="Times New Roman"/>
              <w:color w:val="000000"/>
            </w:rPr>
            <w:tab/>
            <w:t>T.E. Brown, L.A. Beightol, J. Koh, D.L. Eckberg, Important influence of respiration on human R-R interval power spectra is largely ignored, J. Appl. Physiol. 75 (1993) 2310–2317. https://doi.org/10.1152/jappl.1993.75.5.2310.</w:t>
          </w:r>
        </w:p>
        <w:p w14:paraId="2125D937" w14:textId="77777777" w:rsidR="00B43409" w:rsidRPr="00B43409" w:rsidRDefault="00B43409">
          <w:pPr>
            <w:autoSpaceDE w:val="0"/>
            <w:autoSpaceDN w:val="0"/>
            <w:ind w:hanging="640"/>
            <w:divId w:val="1915583110"/>
            <w:rPr>
              <w:rFonts w:eastAsia="Times New Roman"/>
              <w:color w:val="000000"/>
            </w:rPr>
          </w:pPr>
          <w:r w:rsidRPr="00B43409">
            <w:rPr>
              <w:rFonts w:eastAsia="Times New Roman"/>
              <w:color w:val="000000"/>
            </w:rPr>
            <w:t>[385]</w:t>
          </w:r>
          <w:r w:rsidRPr="00B43409">
            <w:rPr>
              <w:rFonts w:eastAsia="Times New Roman"/>
              <w:color w:val="000000"/>
            </w:rPr>
            <w:tab/>
            <w:t>J.A. Hirsch, B. Bishop, Respiratory sinus arrhythmia in humans: How breathing pattern modulates heart rate, Am. J. Physiol. Heart Circ. Physiol. 10 (1981) 620–629. https://doi.org/10.1152/ajpheart.1981.241.4.h620.</w:t>
          </w:r>
        </w:p>
        <w:p w14:paraId="440AD6F1" w14:textId="77777777" w:rsidR="00B43409" w:rsidRPr="00B43409" w:rsidRDefault="00B43409">
          <w:pPr>
            <w:autoSpaceDE w:val="0"/>
            <w:autoSpaceDN w:val="0"/>
            <w:ind w:hanging="640"/>
            <w:divId w:val="438985064"/>
            <w:rPr>
              <w:rFonts w:eastAsia="Times New Roman"/>
              <w:color w:val="000000"/>
            </w:rPr>
          </w:pPr>
          <w:r w:rsidRPr="00B43409">
            <w:rPr>
              <w:rFonts w:eastAsia="Times New Roman"/>
              <w:color w:val="000000"/>
            </w:rPr>
            <w:t>[386]</w:t>
          </w:r>
          <w:r w:rsidRPr="00B43409">
            <w:rPr>
              <w:rFonts w:eastAsia="Times New Roman"/>
              <w:color w:val="000000"/>
            </w:rPr>
            <w:tab/>
            <w:t>J.D. Hoit, H.L. Lohmeier, Influence of Continuous Speaking on Ventilation, Journal of Speech, Language, and Hearing Research 43 (2000) 1240–1251. https://doi.org/10.1044/jslhr.4305.1240.</w:t>
          </w:r>
        </w:p>
        <w:p w14:paraId="6EE4ABB9" w14:textId="77777777" w:rsidR="00B43409" w:rsidRPr="00B43409" w:rsidRDefault="00B43409">
          <w:pPr>
            <w:autoSpaceDE w:val="0"/>
            <w:autoSpaceDN w:val="0"/>
            <w:ind w:hanging="640"/>
            <w:divId w:val="652636193"/>
            <w:rPr>
              <w:rFonts w:eastAsia="Times New Roman"/>
              <w:color w:val="000000"/>
            </w:rPr>
          </w:pPr>
          <w:r w:rsidRPr="00B43409">
            <w:rPr>
              <w:rFonts w:eastAsia="Times New Roman"/>
              <w:color w:val="000000"/>
            </w:rPr>
            <w:t>[387]</w:t>
          </w:r>
          <w:r w:rsidRPr="00B43409">
            <w:rPr>
              <w:rFonts w:eastAsia="Times New Roman"/>
              <w:color w:val="000000"/>
            </w:rPr>
            <w:tab/>
            <w:t>A.R. Patwardhan, S. Vallurupalli, J.M. Evans, E.N. Bruce, C.F. Knapp, Override of spontaneous respiratory pattern generator reduces cardiovascular parasympathetic influence, J. Appl. Physiol. 79 (1995) 1048–1054. https://doi.org/10.1152/jappl.1995.79.3.1048.</w:t>
          </w:r>
        </w:p>
        <w:p w14:paraId="559CBFAF" w14:textId="77777777" w:rsidR="00B43409" w:rsidRPr="00B43409" w:rsidRDefault="00B43409">
          <w:pPr>
            <w:autoSpaceDE w:val="0"/>
            <w:autoSpaceDN w:val="0"/>
            <w:ind w:hanging="640"/>
            <w:divId w:val="799618479"/>
            <w:rPr>
              <w:rFonts w:eastAsia="Times New Roman"/>
              <w:color w:val="000000"/>
            </w:rPr>
          </w:pPr>
          <w:r w:rsidRPr="00B43409">
            <w:rPr>
              <w:rFonts w:eastAsia="Times New Roman"/>
              <w:color w:val="000000"/>
            </w:rPr>
            <w:t>[388]</w:t>
          </w:r>
          <w:r w:rsidRPr="00B43409">
            <w:rPr>
              <w:rFonts w:eastAsia="Times New Roman"/>
              <w:color w:val="000000"/>
            </w:rPr>
            <w:tab/>
            <w:t>E. Vlemincx, J.L. Abelson, P.M. Lehrer, P.W. Davenport, I. Van Diest, O. Van Den Bergh, Respiratory variability and sighing: A psychophysiological reset model, Biol. Psychol. 93 (2013) 24–32. https://doi.org/10.1016/j.biopsycho.2012.12.001.</w:t>
          </w:r>
        </w:p>
        <w:p w14:paraId="79727091" w14:textId="77777777" w:rsidR="00B43409" w:rsidRPr="00B43409" w:rsidRDefault="00B43409">
          <w:pPr>
            <w:autoSpaceDE w:val="0"/>
            <w:autoSpaceDN w:val="0"/>
            <w:ind w:hanging="640"/>
            <w:divId w:val="1445156457"/>
            <w:rPr>
              <w:rFonts w:eastAsia="Times New Roman"/>
              <w:color w:val="000000"/>
            </w:rPr>
          </w:pPr>
          <w:r w:rsidRPr="00B43409">
            <w:rPr>
              <w:rFonts w:eastAsia="Times New Roman"/>
              <w:color w:val="000000"/>
            </w:rPr>
            <w:t>[389]</w:t>
          </w:r>
          <w:r w:rsidRPr="00B43409">
            <w:rPr>
              <w:rFonts w:eastAsia="Times New Roman"/>
              <w:color w:val="000000"/>
            </w:rPr>
            <w:tab/>
            <w:t>L.B. Rowell, G.L. Brengelmann, J.A. Murray, Cardiovascular responses to sustained high skin temperature in resting man., J. Appl. Physiol. 27 (1969) 673–680. https://doi.org/10.1152/jappl.1969.27.5.673.</w:t>
          </w:r>
        </w:p>
        <w:p w14:paraId="36555C45" w14:textId="77777777" w:rsidR="00B43409" w:rsidRPr="00B43409" w:rsidRDefault="00B43409">
          <w:pPr>
            <w:autoSpaceDE w:val="0"/>
            <w:autoSpaceDN w:val="0"/>
            <w:ind w:hanging="640"/>
            <w:divId w:val="1175420824"/>
            <w:rPr>
              <w:rFonts w:eastAsia="Times New Roman"/>
              <w:color w:val="000000"/>
            </w:rPr>
          </w:pPr>
          <w:r w:rsidRPr="00B43409">
            <w:rPr>
              <w:rFonts w:eastAsia="Times New Roman"/>
              <w:color w:val="000000"/>
            </w:rPr>
            <w:t>[390]</w:t>
          </w:r>
          <w:r w:rsidRPr="00B43409">
            <w:rPr>
              <w:rFonts w:eastAsia="Times New Roman"/>
              <w:color w:val="000000"/>
            </w:rPr>
            <w:tab/>
            <w:t>M.W. Agelink, T. Majewski, F. Akila, T. Zeit, D. Ziegler, Standardized tests of Heart Rate Variability, Clinical Autonomic Research 11 (2001) 99–108.</w:t>
          </w:r>
        </w:p>
        <w:p w14:paraId="03C184A2" w14:textId="77777777" w:rsidR="00B43409" w:rsidRPr="00B43409" w:rsidRDefault="00B43409">
          <w:pPr>
            <w:autoSpaceDE w:val="0"/>
            <w:autoSpaceDN w:val="0"/>
            <w:ind w:hanging="640"/>
            <w:divId w:val="1356693355"/>
            <w:rPr>
              <w:rFonts w:eastAsia="Times New Roman"/>
              <w:color w:val="000000"/>
            </w:rPr>
          </w:pPr>
          <w:r w:rsidRPr="00B43409">
            <w:rPr>
              <w:rFonts w:eastAsia="Times New Roman"/>
              <w:color w:val="000000"/>
            </w:rPr>
            <w:t>[391]</w:t>
          </w:r>
          <w:r w:rsidRPr="00B43409">
            <w:rPr>
              <w:rFonts w:eastAsia="Times New Roman"/>
              <w:color w:val="000000"/>
            </w:rPr>
            <w:tab/>
            <w:t>D.S. Quintana, G.A. Alvares, J.A.J. Heathers, Guidelines for Reporting Articles on Psychiatry and Heart rate variability (GRAPH): recommendations to advance research communication, Transl. Psychiatry 6 (2016). https://doi.org/10.1038/TP.2016.73.</w:t>
          </w:r>
        </w:p>
        <w:p w14:paraId="3209EBDB" w14:textId="77777777" w:rsidR="00B43409" w:rsidRPr="00B43409" w:rsidRDefault="00B43409">
          <w:pPr>
            <w:autoSpaceDE w:val="0"/>
            <w:autoSpaceDN w:val="0"/>
            <w:ind w:hanging="640"/>
            <w:divId w:val="2135320775"/>
            <w:rPr>
              <w:rFonts w:eastAsia="Times New Roman"/>
              <w:color w:val="000000"/>
            </w:rPr>
          </w:pPr>
          <w:r w:rsidRPr="00B43409">
            <w:rPr>
              <w:rFonts w:eastAsia="Times New Roman"/>
              <w:color w:val="000000"/>
            </w:rPr>
            <w:t>[392]</w:t>
          </w:r>
          <w:r w:rsidRPr="00B43409">
            <w:rPr>
              <w:rFonts w:eastAsia="Times New Roman"/>
              <w:color w:val="000000"/>
            </w:rPr>
            <w:tab/>
            <w:t>T. Gronwald, M. Schaffarczyk, C. Reinsberger, O. Hoos, Heart Rate Variability – Methods and Analysis in Sports Medicine and Exercise Science, Dtsch. Z. Sportmed. 75 (2024) 113–118. https://doi.org/10.5960/dzsm.2024.595.</w:t>
          </w:r>
        </w:p>
        <w:p w14:paraId="41AA0275" w14:textId="77777777" w:rsidR="00B43409" w:rsidRPr="00B43409" w:rsidRDefault="00B43409">
          <w:pPr>
            <w:autoSpaceDE w:val="0"/>
            <w:autoSpaceDN w:val="0"/>
            <w:ind w:hanging="640"/>
            <w:divId w:val="628321284"/>
            <w:rPr>
              <w:rFonts w:eastAsia="Times New Roman"/>
              <w:color w:val="000000"/>
            </w:rPr>
          </w:pPr>
          <w:r w:rsidRPr="00B43409">
            <w:rPr>
              <w:rFonts w:eastAsia="Times New Roman"/>
              <w:color w:val="000000"/>
            </w:rPr>
            <w:lastRenderedPageBreak/>
            <w:t>[393]</w:t>
          </w:r>
          <w:r w:rsidRPr="00B43409">
            <w:rPr>
              <w:rFonts w:eastAsia="Times New Roman"/>
              <w:color w:val="000000"/>
            </w:rPr>
            <w:tab/>
            <w:t>M.A. Peltola, Role of editing of R-R intervals in the analysis of heart rate variability, Front. Physiol. 3 MAY (2012) 1–10. https://doi.org/10.3389/fphys.2012.00148.</w:t>
          </w:r>
        </w:p>
        <w:p w14:paraId="322D0A70" w14:textId="77777777" w:rsidR="00B43409" w:rsidRPr="00B43409" w:rsidRDefault="00B43409">
          <w:pPr>
            <w:autoSpaceDE w:val="0"/>
            <w:autoSpaceDN w:val="0"/>
            <w:ind w:hanging="640"/>
            <w:divId w:val="654724138"/>
            <w:rPr>
              <w:rFonts w:eastAsia="Times New Roman"/>
              <w:color w:val="000000"/>
            </w:rPr>
          </w:pPr>
          <w:r w:rsidRPr="00B43409">
            <w:rPr>
              <w:rFonts w:eastAsia="Times New Roman"/>
              <w:color w:val="000000"/>
            </w:rPr>
            <w:t>[394]</w:t>
          </w:r>
          <w:r w:rsidRPr="00B43409">
            <w:rPr>
              <w:rFonts w:eastAsia="Times New Roman"/>
              <w:color w:val="000000"/>
            </w:rPr>
            <w:tab/>
            <w:t>J.A. Lipponen, M.P. Tarvainen, A robust algorithm for heart rate variability time series artefact correction using novel beat classification, J. Med. Eng. Technol. 43 (2019) 173–181. https://doi.org/10.1080/03091902.2019.1640306.</w:t>
          </w:r>
        </w:p>
        <w:p w14:paraId="04F62C8E" w14:textId="77777777" w:rsidR="00B43409" w:rsidRPr="00B43409" w:rsidRDefault="00B43409">
          <w:pPr>
            <w:autoSpaceDE w:val="0"/>
            <w:autoSpaceDN w:val="0"/>
            <w:ind w:hanging="640"/>
            <w:divId w:val="1235316253"/>
            <w:rPr>
              <w:rFonts w:eastAsia="Times New Roman"/>
              <w:color w:val="000000"/>
            </w:rPr>
          </w:pPr>
          <w:r w:rsidRPr="00B43409">
            <w:rPr>
              <w:rFonts w:eastAsia="Times New Roman"/>
              <w:color w:val="000000"/>
            </w:rPr>
            <w:t>[395]</w:t>
          </w:r>
          <w:r w:rsidRPr="00B43409">
            <w:rPr>
              <w:rFonts w:eastAsia="Times New Roman"/>
              <w:color w:val="000000"/>
            </w:rPr>
            <w:tab/>
            <w:t>M.A. Salo, H. V. Huikuri, T. Seppanen, Ectopic beats in heart rate variability analysis: Effects of editing on time and frequency domain measures, Annals of Noninvasive Electrocardiology 6 (2001) 5–17. https://doi.org/10.1111/j.1542-474X.2001.tb00080.x.</w:t>
          </w:r>
        </w:p>
        <w:p w14:paraId="7317EA19" w14:textId="77777777" w:rsidR="00B43409" w:rsidRPr="00B43409" w:rsidRDefault="00B43409">
          <w:pPr>
            <w:autoSpaceDE w:val="0"/>
            <w:autoSpaceDN w:val="0"/>
            <w:ind w:hanging="640"/>
            <w:divId w:val="182210024"/>
            <w:rPr>
              <w:rFonts w:eastAsia="Times New Roman"/>
              <w:color w:val="000000"/>
            </w:rPr>
          </w:pPr>
          <w:r w:rsidRPr="00B43409">
            <w:rPr>
              <w:rFonts w:eastAsia="Times New Roman"/>
              <w:color w:val="000000"/>
            </w:rPr>
            <w:t>[396]</w:t>
          </w:r>
          <w:r w:rsidRPr="00B43409">
            <w:rPr>
              <w:rFonts w:eastAsia="Times New Roman"/>
              <w:color w:val="000000"/>
            </w:rPr>
            <w:tab/>
            <w:t>D. NUNAN, G.R.H. SANDERCOCK, D.A. BRODIE, A Quantitative Systematic Review of Normal Values for Short-Term Heart Rate Variability in Healthy Adults, Pacing and Clinical Electrophysiology 33 (2010) 1407–1417. https://doi.org/10.1111/j.1540-8159.2010.02841.x.</w:t>
          </w:r>
        </w:p>
        <w:p w14:paraId="777CA8DB" w14:textId="77777777" w:rsidR="00B43409" w:rsidRPr="00B43409" w:rsidRDefault="00B43409">
          <w:pPr>
            <w:autoSpaceDE w:val="0"/>
            <w:autoSpaceDN w:val="0"/>
            <w:ind w:hanging="640"/>
            <w:divId w:val="830677935"/>
            <w:rPr>
              <w:rFonts w:eastAsia="Times New Roman"/>
              <w:color w:val="000000"/>
            </w:rPr>
          </w:pPr>
          <w:r w:rsidRPr="00B43409">
            <w:rPr>
              <w:rFonts w:eastAsia="Times New Roman"/>
              <w:color w:val="000000"/>
            </w:rPr>
            <w:t>[397]</w:t>
          </w:r>
          <w:r w:rsidRPr="00B43409">
            <w:rPr>
              <w:rFonts w:eastAsia="Times New Roman"/>
              <w:color w:val="000000"/>
            </w:rPr>
            <w:tab/>
            <w:t>D.C. Jarrin, Q.C. Gv, J.J. Mcgrath, S.S. West, Q.C. Hb, P. Poirier, L. Séguin, R.E. Tremblay, D.R.C.H.U. Ste-justine, Short-Term Heart Rate Variability in a Population-Based Sample of 10-Year-Old Children, Pediatr. Cardiol. 36 (2015) 41–48. https://doi.org/10.1007/s00246-014-0962-y.Short-Term.</w:t>
          </w:r>
        </w:p>
        <w:p w14:paraId="0466C96E" w14:textId="77777777" w:rsidR="00B43409" w:rsidRPr="00B43409" w:rsidRDefault="00B43409">
          <w:pPr>
            <w:autoSpaceDE w:val="0"/>
            <w:autoSpaceDN w:val="0"/>
            <w:ind w:hanging="640"/>
            <w:divId w:val="1412236627"/>
            <w:rPr>
              <w:rFonts w:eastAsia="Times New Roman"/>
              <w:color w:val="000000"/>
            </w:rPr>
          </w:pPr>
          <w:r w:rsidRPr="00B43409">
            <w:rPr>
              <w:rFonts w:eastAsia="Times New Roman"/>
              <w:color w:val="000000"/>
            </w:rPr>
            <w:t>[398]</w:t>
          </w:r>
          <w:r w:rsidRPr="00B43409">
            <w:rPr>
              <w:rFonts w:eastAsia="Times New Roman"/>
              <w:color w:val="000000"/>
            </w:rPr>
            <w:tab/>
            <w:t>G.R.H. Sandercock, P.D. Bromley, D.A. Brodie, The reliability of short-term measurements of heart rate variability, Int. J. Cardiol. 103 (2005) 238–247. https://doi.org/10.1016/j.ijcard.2004.09.013.</w:t>
          </w:r>
        </w:p>
        <w:p w14:paraId="764A3BC7" w14:textId="77777777" w:rsidR="00B43409" w:rsidRPr="00B43409" w:rsidRDefault="00B43409">
          <w:pPr>
            <w:autoSpaceDE w:val="0"/>
            <w:autoSpaceDN w:val="0"/>
            <w:ind w:hanging="640"/>
            <w:divId w:val="1284534429"/>
            <w:rPr>
              <w:rFonts w:eastAsia="Times New Roman"/>
              <w:color w:val="000000"/>
            </w:rPr>
          </w:pPr>
          <w:r w:rsidRPr="00B43409">
            <w:rPr>
              <w:rFonts w:eastAsia="Times New Roman"/>
              <w:color w:val="000000"/>
            </w:rPr>
            <w:t>[399]</w:t>
          </w:r>
          <w:r w:rsidRPr="00B43409">
            <w:rPr>
              <w:rFonts w:eastAsia="Times New Roman"/>
              <w:color w:val="000000"/>
            </w:rPr>
            <w:tab/>
            <w:t>M.P. Tarvainen, S.D. Georgiadis, P.O. Ranta-Aho, P.A. Karjalainen, Time-varying analysis of heart rate variability signals with a Kalman smoother algorithm, Physiol. Meas. 27 (2006) 225–239. https://doi.org/10.1088/0967-3334/27/3/002.</w:t>
          </w:r>
        </w:p>
        <w:p w14:paraId="18E431B0" w14:textId="77777777" w:rsidR="00B43409" w:rsidRPr="00B43409" w:rsidRDefault="00B43409">
          <w:pPr>
            <w:autoSpaceDE w:val="0"/>
            <w:autoSpaceDN w:val="0"/>
            <w:ind w:hanging="640"/>
            <w:divId w:val="355934627"/>
            <w:rPr>
              <w:rFonts w:eastAsia="Times New Roman"/>
              <w:color w:val="000000"/>
            </w:rPr>
          </w:pPr>
          <w:r w:rsidRPr="00B43409">
            <w:rPr>
              <w:rFonts w:eastAsia="Times New Roman"/>
              <w:color w:val="000000"/>
            </w:rPr>
            <w:t>[400]</w:t>
          </w:r>
          <w:r w:rsidRPr="00B43409">
            <w:rPr>
              <w:rFonts w:eastAsia="Times New Roman"/>
              <w:color w:val="000000"/>
            </w:rPr>
            <w:tab/>
            <w:t>M.P. Tarvainen, P.O. Ranta-aho, P.A. Karjalainen, An advanced detrending method with application to HRV analysis, IEEE Trans. Biomed. Eng. 49 (2002) 172–175. https://doi.org/10.1109/10.979357.</w:t>
          </w:r>
        </w:p>
        <w:p w14:paraId="0552F21A" w14:textId="77777777" w:rsidR="00B43409" w:rsidRPr="00B43409" w:rsidRDefault="00B43409">
          <w:pPr>
            <w:autoSpaceDE w:val="0"/>
            <w:autoSpaceDN w:val="0"/>
            <w:ind w:hanging="640"/>
            <w:divId w:val="1490904925"/>
            <w:rPr>
              <w:rFonts w:eastAsia="Times New Roman"/>
              <w:color w:val="000000"/>
            </w:rPr>
          </w:pPr>
          <w:r w:rsidRPr="00B43409">
            <w:rPr>
              <w:rFonts w:eastAsia="Times New Roman"/>
              <w:color w:val="000000"/>
            </w:rPr>
            <w:t>[401]</w:t>
          </w:r>
          <w:r w:rsidRPr="00B43409">
            <w:rPr>
              <w:rFonts w:eastAsia="Times New Roman"/>
              <w:color w:val="000000"/>
            </w:rPr>
            <w:tab/>
            <w:t>D.C. Jarrin, J.J. McGrath, S. Giovanniello, P. Poirier, M. Lambert, Measurement fidelity of heart rate variability signal processing: The devil is in the details, International Journal of Psychophysiology 86 (2012) 88–97. https://doi.org/10.1016/j.ijpsycho.2012.07.004.</w:t>
          </w:r>
        </w:p>
        <w:p w14:paraId="5A1E75A8" w14:textId="77777777" w:rsidR="00B43409" w:rsidRPr="00B43409" w:rsidRDefault="00B43409">
          <w:pPr>
            <w:autoSpaceDE w:val="0"/>
            <w:autoSpaceDN w:val="0"/>
            <w:ind w:hanging="640"/>
            <w:divId w:val="101733761"/>
            <w:rPr>
              <w:rFonts w:eastAsia="Times New Roman"/>
              <w:color w:val="000000"/>
            </w:rPr>
          </w:pPr>
          <w:r w:rsidRPr="00B43409">
            <w:rPr>
              <w:rFonts w:eastAsia="Times New Roman"/>
              <w:color w:val="000000"/>
            </w:rPr>
            <w:t>[402]</w:t>
          </w:r>
          <w:r w:rsidRPr="00B43409">
            <w:rPr>
              <w:rFonts w:eastAsia="Times New Roman"/>
              <w:color w:val="000000"/>
            </w:rPr>
            <w:tab/>
            <w:t>K. Kalinkov, V. Markova, T. Ganchev, Heart Rate Variability calculation methods, in: Proceedings of the International Conference on Biomedical Innovations and Applications, BIA 2020, 2020: pp. 97–100. https://doi.org/10.1109/BIA50171.2020.9244285.</w:t>
          </w:r>
        </w:p>
        <w:p w14:paraId="5D94A04C" w14:textId="77777777" w:rsidR="00B43409" w:rsidRPr="00B43409" w:rsidRDefault="00B43409">
          <w:pPr>
            <w:autoSpaceDE w:val="0"/>
            <w:autoSpaceDN w:val="0"/>
            <w:ind w:hanging="640"/>
            <w:divId w:val="84810623"/>
            <w:rPr>
              <w:rFonts w:eastAsia="Times New Roman"/>
              <w:color w:val="000000"/>
            </w:rPr>
          </w:pPr>
          <w:r w:rsidRPr="00B43409">
            <w:rPr>
              <w:rFonts w:eastAsia="Times New Roman"/>
              <w:color w:val="000000"/>
            </w:rPr>
            <w:t>[403]</w:t>
          </w:r>
          <w:r w:rsidRPr="00B43409">
            <w:rPr>
              <w:rFonts w:eastAsia="Times New Roman"/>
              <w:color w:val="000000"/>
            </w:rPr>
            <w:tab/>
            <w:t>D.S. Goldstein, O. Bentho, M.Y. Park, Y. Sharabi, Low-frequency power of heart rate variability is not a measure of cardiac sympathetic tone but may be a measure of modulation of cardiac autonomic outflows by baroreflexes, Exp. Physiol. 96 (2011) 1255–1261. https://doi.org/10.1113/expphysiol.2010.056259.</w:t>
          </w:r>
        </w:p>
        <w:p w14:paraId="29D65D86" w14:textId="77777777" w:rsidR="00B43409" w:rsidRPr="00B43409" w:rsidRDefault="00B43409">
          <w:pPr>
            <w:autoSpaceDE w:val="0"/>
            <w:autoSpaceDN w:val="0"/>
            <w:ind w:hanging="640"/>
            <w:divId w:val="1652564186"/>
            <w:rPr>
              <w:rFonts w:eastAsia="Times New Roman"/>
              <w:color w:val="000000"/>
            </w:rPr>
          </w:pPr>
          <w:r w:rsidRPr="00B43409">
            <w:rPr>
              <w:rFonts w:eastAsia="Times New Roman"/>
              <w:color w:val="000000"/>
            </w:rPr>
            <w:t>[404]</w:t>
          </w:r>
          <w:r w:rsidRPr="00B43409">
            <w:rPr>
              <w:rFonts w:eastAsia="Times New Roman"/>
              <w:color w:val="000000"/>
            </w:rPr>
            <w:tab/>
            <w:t>C.G. Crandall, Heat stress and baroreflex regulation ofblood pressure, Med. Sci. Sports Exerc. 40 (2008) 2063–2070. https://doi.org/10.1249/MSS.0b013e318180bc98.</w:t>
          </w:r>
        </w:p>
        <w:p w14:paraId="1FCEB652" w14:textId="77777777" w:rsidR="00B43409" w:rsidRPr="00B43409" w:rsidRDefault="00B43409">
          <w:pPr>
            <w:autoSpaceDE w:val="0"/>
            <w:autoSpaceDN w:val="0"/>
            <w:ind w:hanging="640"/>
            <w:divId w:val="954143928"/>
            <w:rPr>
              <w:rFonts w:eastAsia="Times New Roman"/>
              <w:color w:val="000000"/>
            </w:rPr>
          </w:pPr>
          <w:r w:rsidRPr="00B43409">
            <w:rPr>
              <w:rFonts w:eastAsia="Times New Roman"/>
              <w:color w:val="000000"/>
            </w:rPr>
            <w:t>[405]</w:t>
          </w:r>
          <w:r w:rsidRPr="00B43409">
            <w:rPr>
              <w:rFonts w:eastAsia="Times New Roman"/>
              <w:color w:val="000000"/>
            </w:rPr>
            <w:tab/>
            <w:t>R. Mukkamala, G.S. Stergiou, A.P. Avolio, Cuffless Blood Pressure Measurement, Annu. Rev. Biomed. Eng. 24 (2022) 203–230. https://doi.org/10.1146/annurev-bioeng-110220-014644.</w:t>
          </w:r>
        </w:p>
        <w:p w14:paraId="58353D0E" w14:textId="77777777" w:rsidR="00B43409" w:rsidRPr="00B43409" w:rsidRDefault="00B43409">
          <w:pPr>
            <w:autoSpaceDE w:val="0"/>
            <w:autoSpaceDN w:val="0"/>
            <w:ind w:hanging="640"/>
            <w:divId w:val="1082481979"/>
            <w:rPr>
              <w:rFonts w:eastAsia="Times New Roman"/>
              <w:color w:val="000000"/>
            </w:rPr>
          </w:pPr>
          <w:r w:rsidRPr="00B43409">
            <w:rPr>
              <w:rFonts w:eastAsia="Times New Roman"/>
              <w:color w:val="000000"/>
            </w:rPr>
            <w:t>[406]</w:t>
          </w:r>
          <w:r w:rsidRPr="00B43409">
            <w:rPr>
              <w:rFonts w:eastAsia="Times New Roman"/>
              <w:color w:val="000000"/>
            </w:rPr>
            <w:tab/>
            <w:t>L.B. Rowell, Human cardiovascular adjustments to exercise and thermal stress, Physiol. Rev. 54 (1974) 75–159. https://doi.org/10.1152/physrev.1974.54.1.75.</w:t>
          </w:r>
        </w:p>
        <w:p w14:paraId="0D74370D" w14:textId="77777777" w:rsidR="00B43409" w:rsidRPr="00B43409" w:rsidRDefault="00B43409">
          <w:pPr>
            <w:autoSpaceDE w:val="0"/>
            <w:autoSpaceDN w:val="0"/>
            <w:ind w:hanging="640"/>
            <w:divId w:val="1194538087"/>
            <w:rPr>
              <w:rFonts w:eastAsia="Times New Roman"/>
              <w:color w:val="000000"/>
            </w:rPr>
          </w:pPr>
          <w:r w:rsidRPr="00B43409">
            <w:rPr>
              <w:rFonts w:eastAsia="Times New Roman"/>
              <w:color w:val="000000"/>
            </w:rPr>
            <w:t>[407]</w:t>
          </w:r>
          <w:r w:rsidRPr="00B43409">
            <w:rPr>
              <w:rFonts w:eastAsia="Times New Roman"/>
              <w:color w:val="000000"/>
            </w:rPr>
            <w:tab/>
            <w:t>P. Muntner, D. Shimbo, R.M. Carey, J.B. Charleston, T. Gaillard, S. Misra, M.G. Myers, G. Ogedegbe, J.E. Schwartz, R.R. Townsend, E.M. Urbina, A.J. Viera, W.B. White, J.T. Wright, Measurement of Blood Pressure in Humans: A Scientific Statement From the American Heart Association, Hypertension 73 (2019) E35–E66. https://doi.org/10.1161/HYP.0000000000000087.</w:t>
          </w:r>
        </w:p>
        <w:p w14:paraId="3E70B5F4" w14:textId="77777777" w:rsidR="00B43409" w:rsidRPr="00B43409" w:rsidRDefault="00B43409">
          <w:pPr>
            <w:autoSpaceDE w:val="0"/>
            <w:autoSpaceDN w:val="0"/>
            <w:ind w:hanging="640"/>
            <w:divId w:val="1945503712"/>
            <w:rPr>
              <w:rFonts w:eastAsia="Times New Roman"/>
              <w:color w:val="000000"/>
            </w:rPr>
          </w:pPr>
          <w:r w:rsidRPr="00B43409">
            <w:rPr>
              <w:rFonts w:eastAsia="Times New Roman"/>
              <w:color w:val="000000"/>
            </w:rPr>
            <w:lastRenderedPageBreak/>
            <w:t>[408]</w:t>
          </w:r>
          <w:r w:rsidRPr="00B43409">
            <w:rPr>
              <w:rFonts w:eastAsia="Times New Roman"/>
              <w:color w:val="000000"/>
            </w:rPr>
            <w:tab/>
            <w:t>A. Chandrasekhar, M. Yavarimanesh, J.O. Hahn, S.H. Sung, C.H. Chen, H.M. Cheng, R. Mukkamala, Formulas to Explain Popular Oscillometric Blood Pressure Estimation Algorithms, Front. Physiol. 10 (2019) 1–14. https://doi.org/10.3389/fphys.2019.01415.</w:t>
          </w:r>
        </w:p>
        <w:p w14:paraId="05012F61" w14:textId="77777777" w:rsidR="00B43409" w:rsidRPr="00B43409" w:rsidRDefault="00B43409">
          <w:pPr>
            <w:autoSpaceDE w:val="0"/>
            <w:autoSpaceDN w:val="0"/>
            <w:ind w:hanging="640"/>
            <w:divId w:val="853882849"/>
            <w:rPr>
              <w:rFonts w:eastAsia="Times New Roman"/>
              <w:color w:val="000000"/>
            </w:rPr>
          </w:pPr>
          <w:r w:rsidRPr="00B43409">
            <w:rPr>
              <w:rFonts w:eastAsia="Times New Roman"/>
              <w:color w:val="000000"/>
            </w:rPr>
            <w:t>[409]</w:t>
          </w:r>
          <w:r w:rsidRPr="00B43409">
            <w:rPr>
              <w:rFonts w:eastAsia="Times New Roman"/>
              <w:color w:val="000000"/>
            </w:rPr>
            <w:tab/>
            <w:t>B.S. Alpert, D. Quinn, D. Gallick, Oscillometric blood pressure: A review for clinicians, Journal of the American Society of Hypertension 8 (2014) 930–938. https://doi.org/10.1016/j.jash.2014.08.014.</w:t>
          </w:r>
        </w:p>
        <w:p w14:paraId="198358A2" w14:textId="77777777" w:rsidR="00B43409" w:rsidRPr="00B43409" w:rsidRDefault="00B43409">
          <w:pPr>
            <w:autoSpaceDE w:val="0"/>
            <w:autoSpaceDN w:val="0"/>
            <w:ind w:hanging="640"/>
            <w:divId w:val="259334514"/>
            <w:rPr>
              <w:rFonts w:eastAsia="Times New Roman"/>
              <w:color w:val="000000"/>
            </w:rPr>
          </w:pPr>
          <w:r w:rsidRPr="00B43409">
            <w:rPr>
              <w:rFonts w:eastAsia="Times New Roman"/>
              <w:color w:val="000000"/>
            </w:rPr>
            <w:t>[410]</w:t>
          </w:r>
          <w:r w:rsidRPr="00B43409">
            <w:rPr>
              <w:rFonts w:eastAsia="Times New Roman"/>
              <w:color w:val="000000"/>
            </w:rPr>
            <w:tab/>
            <w:t>A.S. Meidert, B. Saugel, Techniques for Non-Invasive Monitoring of Arterial Blood Pressure, Front. Med. (Lausanne). 4 (2018) 1–6. https://doi.org/10.3389/fmed.2017.00231.</w:t>
          </w:r>
        </w:p>
        <w:p w14:paraId="5EEC01C3" w14:textId="77777777" w:rsidR="00B43409" w:rsidRPr="00B43409" w:rsidRDefault="00B43409">
          <w:pPr>
            <w:autoSpaceDE w:val="0"/>
            <w:autoSpaceDN w:val="0"/>
            <w:ind w:hanging="640"/>
            <w:divId w:val="1803184950"/>
            <w:rPr>
              <w:rFonts w:eastAsia="Times New Roman"/>
              <w:color w:val="000000"/>
            </w:rPr>
          </w:pPr>
          <w:r w:rsidRPr="00B43409">
            <w:rPr>
              <w:rFonts w:eastAsia="Times New Roman"/>
              <w:color w:val="000000"/>
            </w:rPr>
            <w:t>[411]</w:t>
          </w:r>
          <w:r w:rsidRPr="00B43409">
            <w:rPr>
              <w:rFonts w:eastAsia="Times New Roman"/>
              <w:color w:val="000000"/>
            </w:rPr>
            <w:tab/>
            <w:t>J.Y. Wagner, I. Negulescu, M. Schöfthaler, A. Hapfelmeier, A.S. Meidert, W. Huber, R.M. Schmid, B. Saugel, Continuous noninvasive arterial pressure measurement using the volume clamp method: an evaluation of the CNAP device in intensive care unit patients, J. Clin. Monit. Comput. 29 (2015) 807–813. https://doi.org/10.1007/s10877-015-9670-2.</w:t>
          </w:r>
        </w:p>
        <w:p w14:paraId="1F0C778C" w14:textId="77777777" w:rsidR="00B43409" w:rsidRPr="00B43409" w:rsidRDefault="00B43409">
          <w:pPr>
            <w:autoSpaceDE w:val="0"/>
            <w:autoSpaceDN w:val="0"/>
            <w:ind w:hanging="640"/>
            <w:divId w:val="212351202"/>
            <w:rPr>
              <w:rFonts w:eastAsia="Times New Roman"/>
              <w:color w:val="000000"/>
            </w:rPr>
          </w:pPr>
          <w:r w:rsidRPr="00B43409">
            <w:rPr>
              <w:rFonts w:eastAsia="Times New Roman"/>
              <w:color w:val="000000"/>
            </w:rPr>
            <w:t>[412]</w:t>
          </w:r>
          <w:r w:rsidRPr="00B43409">
            <w:rPr>
              <w:rFonts w:eastAsia="Times New Roman"/>
              <w:color w:val="000000"/>
            </w:rPr>
            <w:tab/>
            <w:t>J. Fortin, D.E. Rogge, C. Fellner, D. Flotzinger, J. Grond, K. Lerche, B. Saugel, A novel art of continuous noninvasive blood pressure measurement, Nat. Commun. 12 (2021) 1387. https://doi.org/10.1038/s41467-021-21271-8.</w:t>
          </w:r>
        </w:p>
        <w:p w14:paraId="3C530A4E" w14:textId="77777777" w:rsidR="00B43409" w:rsidRPr="00B43409" w:rsidRDefault="00B43409">
          <w:pPr>
            <w:autoSpaceDE w:val="0"/>
            <w:autoSpaceDN w:val="0"/>
            <w:ind w:hanging="640"/>
            <w:divId w:val="1352410493"/>
            <w:rPr>
              <w:rFonts w:eastAsia="Times New Roman"/>
              <w:color w:val="000000"/>
            </w:rPr>
          </w:pPr>
          <w:r w:rsidRPr="00B43409">
            <w:rPr>
              <w:rFonts w:eastAsia="Times New Roman"/>
              <w:color w:val="000000"/>
            </w:rPr>
            <w:t>[413]</w:t>
          </w:r>
          <w:r w:rsidRPr="00B43409">
            <w:rPr>
              <w:rFonts w:eastAsia="Times New Roman"/>
              <w:color w:val="000000"/>
            </w:rPr>
            <w:tab/>
            <w:t>B. Saugel, P. Hoppe, J.Y. Nicklas, K. Kouz, A. Körner, J.C. Hempel, J.J. Vos, G. Schön, T.W.L. Scheeren, Continuous noninvasive pulse wave analysis using finger cuff technologies for arterial blood pressure and cardiac output monitoring in perioperative and intensive care medicine: a systematic review and meta-analysis, Br. J. Anaesth. 125 (2020) 25–37. https://doi.org/10.1016/j.bja.2020.03.013.</w:t>
          </w:r>
        </w:p>
        <w:p w14:paraId="58BF2102" w14:textId="77777777" w:rsidR="00B43409" w:rsidRPr="00B43409" w:rsidRDefault="00B43409">
          <w:pPr>
            <w:autoSpaceDE w:val="0"/>
            <w:autoSpaceDN w:val="0"/>
            <w:ind w:hanging="640"/>
            <w:divId w:val="1362362492"/>
            <w:rPr>
              <w:rFonts w:eastAsia="Times New Roman"/>
              <w:color w:val="000000"/>
            </w:rPr>
          </w:pPr>
          <w:r w:rsidRPr="00B43409">
            <w:rPr>
              <w:rFonts w:eastAsia="Times New Roman"/>
              <w:color w:val="000000"/>
            </w:rPr>
            <w:t>[414]</w:t>
          </w:r>
          <w:r w:rsidRPr="00B43409">
            <w:rPr>
              <w:rFonts w:eastAsia="Times New Roman"/>
              <w:color w:val="000000"/>
            </w:rPr>
            <w:tab/>
            <w:t>T. Athaya, S. Choi, A Review of Noninvasive Methodologies to Estimate the Blood Pressure Waveform, Sensors 22 (2022) 3953. https://doi.org/10.3390/s22103953.</w:t>
          </w:r>
        </w:p>
        <w:p w14:paraId="37623F4A" w14:textId="77777777" w:rsidR="00B43409" w:rsidRPr="00B43409" w:rsidRDefault="00B43409">
          <w:pPr>
            <w:autoSpaceDE w:val="0"/>
            <w:autoSpaceDN w:val="0"/>
            <w:ind w:hanging="640"/>
            <w:divId w:val="430661643"/>
            <w:rPr>
              <w:rFonts w:eastAsia="Times New Roman"/>
              <w:color w:val="000000"/>
            </w:rPr>
          </w:pPr>
          <w:r w:rsidRPr="00B43409">
            <w:rPr>
              <w:rFonts w:eastAsia="Times New Roman"/>
              <w:color w:val="000000"/>
            </w:rPr>
            <w:t>[415]</w:t>
          </w:r>
          <w:r w:rsidRPr="00B43409">
            <w:rPr>
              <w:rFonts w:eastAsia="Times New Roman"/>
              <w:color w:val="000000"/>
            </w:rPr>
            <w:tab/>
            <w:t>P. Salvi, A. Grillo, G. Parati, Noninvasive estimation of central blood pressure and analysis of pulse waves by applanation tonometry, Hypertension Research 38 (2015) 646–648. https://doi.org/10.1038/hr.2015.78.</w:t>
          </w:r>
        </w:p>
        <w:p w14:paraId="4F22D37F" w14:textId="77777777" w:rsidR="00B43409" w:rsidRPr="00B43409" w:rsidRDefault="00B43409">
          <w:pPr>
            <w:autoSpaceDE w:val="0"/>
            <w:autoSpaceDN w:val="0"/>
            <w:ind w:hanging="640"/>
            <w:divId w:val="746731637"/>
            <w:rPr>
              <w:rFonts w:eastAsia="Times New Roman"/>
              <w:color w:val="000000"/>
            </w:rPr>
          </w:pPr>
          <w:r w:rsidRPr="00B43409">
            <w:rPr>
              <w:rFonts w:eastAsia="Times New Roman"/>
              <w:color w:val="000000"/>
            </w:rPr>
            <w:t>[416]</w:t>
          </w:r>
          <w:r w:rsidRPr="00B43409">
            <w:rPr>
              <w:rFonts w:eastAsia="Times New Roman"/>
              <w:color w:val="000000"/>
            </w:rPr>
            <w:tab/>
            <w:t>X. Ding, Y.-T. Zhang, Pulse transit time technique for cuffless unobtrusive blood pressure measurement: from theory to algorithm, Biomed. Eng. Lett. 9 (2019) 37–52. https://doi.org/10.1007/s13534-019-00096-x.</w:t>
          </w:r>
        </w:p>
        <w:p w14:paraId="06189245" w14:textId="77777777" w:rsidR="00B43409" w:rsidRPr="00B43409" w:rsidRDefault="00B43409">
          <w:pPr>
            <w:autoSpaceDE w:val="0"/>
            <w:autoSpaceDN w:val="0"/>
            <w:ind w:hanging="640"/>
            <w:divId w:val="247152154"/>
            <w:rPr>
              <w:rFonts w:eastAsia="Times New Roman"/>
              <w:color w:val="000000"/>
            </w:rPr>
          </w:pPr>
          <w:r w:rsidRPr="00B43409">
            <w:rPr>
              <w:rFonts w:eastAsia="Times New Roman"/>
              <w:color w:val="000000"/>
            </w:rPr>
            <w:t>[417]</w:t>
          </w:r>
          <w:r w:rsidRPr="00B43409">
            <w:rPr>
              <w:rFonts w:eastAsia="Times New Roman"/>
              <w:color w:val="000000"/>
            </w:rPr>
            <w:tab/>
            <w:t>J. Choi, Y. Kang, J. Park, Y. Joung, C. Koo, Development of Real-Time Cuffless Blood Pressure Measurement Systems with ECG Electrodes and a Microphone Using Pulse Transit Time (PTT), Sensors 23 (2023) 1684. https://doi.org/10.3390/s23031684.</w:t>
          </w:r>
        </w:p>
        <w:p w14:paraId="77B02074" w14:textId="77777777" w:rsidR="00B43409" w:rsidRPr="00B43409" w:rsidRDefault="00B43409">
          <w:pPr>
            <w:autoSpaceDE w:val="0"/>
            <w:autoSpaceDN w:val="0"/>
            <w:ind w:hanging="640"/>
            <w:divId w:val="2118476371"/>
            <w:rPr>
              <w:rFonts w:eastAsia="Times New Roman"/>
              <w:color w:val="000000"/>
            </w:rPr>
          </w:pPr>
          <w:r w:rsidRPr="00B43409">
            <w:rPr>
              <w:rFonts w:eastAsia="Times New Roman"/>
              <w:color w:val="000000"/>
            </w:rPr>
            <w:t>[418]</w:t>
          </w:r>
          <w:r w:rsidRPr="00B43409">
            <w:rPr>
              <w:rFonts w:eastAsia="Times New Roman"/>
              <w:color w:val="000000"/>
            </w:rPr>
            <w:tab/>
            <w:t>S.M.S. Islam, C.K. Chow, R. Daryabeygikhotbehsara, N. Subedi, J. Rawstorn, T. Tegegne, C. Karmakar, M.U. Siddiqui, G. Lambert, R. Maddison, Wearable cuffless blood pressure monitoring devices: A systematic review and meta-Analysis, European Heart Journal - Digital Health 3 (2022) 323–337. https://doi.org/10.1093/ehjdh/ztac021.</w:t>
          </w:r>
        </w:p>
        <w:p w14:paraId="3AD9F59B" w14:textId="77777777" w:rsidR="00B43409" w:rsidRPr="00B43409" w:rsidRDefault="00B43409">
          <w:pPr>
            <w:autoSpaceDE w:val="0"/>
            <w:autoSpaceDN w:val="0"/>
            <w:ind w:hanging="640"/>
            <w:divId w:val="1904756256"/>
            <w:rPr>
              <w:rFonts w:eastAsia="Times New Roman"/>
              <w:color w:val="000000"/>
            </w:rPr>
          </w:pPr>
          <w:r w:rsidRPr="00B43409">
            <w:rPr>
              <w:rFonts w:eastAsia="Times New Roman"/>
              <w:color w:val="000000"/>
            </w:rPr>
            <w:t>[419]</w:t>
          </w:r>
          <w:r w:rsidRPr="00B43409">
            <w:rPr>
              <w:rFonts w:eastAsia="Times New Roman"/>
              <w:color w:val="000000"/>
            </w:rPr>
            <w:tab/>
            <w:t>L. Zhao, C. Liang, Y. Huang, G. Zhou, Y. Xiao, N. Ji, Y.T. Zhang, N. Zhao, Emerging sensing and modeling technologies for wearable and cuffless blood pressure monitoring, NPJ Digit. Med. 6 (2023) 1–15. https://doi.org/10.1038/s41746-023-00835-6.</w:t>
          </w:r>
        </w:p>
        <w:p w14:paraId="56B011B3" w14:textId="77777777" w:rsidR="00B43409" w:rsidRPr="00B43409" w:rsidRDefault="00B43409">
          <w:pPr>
            <w:autoSpaceDE w:val="0"/>
            <w:autoSpaceDN w:val="0"/>
            <w:ind w:hanging="640"/>
            <w:divId w:val="113409703"/>
            <w:rPr>
              <w:rFonts w:eastAsia="Times New Roman"/>
              <w:color w:val="000000"/>
            </w:rPr>
          </w:pPr>
          <w:r w:rsidRPr="00B43409">
            <w:rPr>
              <w:rFonts w:eastAsia="Times New Roman"/>
              <w:color w:val="000000"/>
            </w:rPr>
            <w:t>[420]</w:t>
          </w:r>
          <w:r w:rsidRPr="00B43409">
            <w:rPr>
              <w:rFonts w:eastAsia="Times New Roman"/>
              <w:color w:val="000000"/>
            </w:rPr>
            <w:tab/>
            <w:t>S. Kumar, S. Yadav, A. Kumar, Blood pressure measurement techniques, standards, technologies, and the latest futuristic wearable cuff-less know-how, Sensors &amp; Diagnostics 3 (2024) 181–202. https://doi.org/10.1039/D3SD00201B.</w:t>
          </w:r>
        </w:p>
        <w:p w14:paraId="3BA3EA6D" w14:textId="77777777" w:rsidR="00B43409" w:rsidRPr="00B43409" w:rsidRDefault="00B43409">
          <w:pPr>
            <w:autoSpaceDE w:val="0"/>
            <w:autoSpaceDN w:val="0"/>
            <w:ind w:hanging="640"/>
            <w:divId w:val="675613307"/>
            <w:rPr>
              <w:rFonts w:eastAsia="Times New Roman"/>
              <w:color w:val="000000"/>
            </w:rPr>
          </w:pPr>
          <w:r w:rsidRPr="00B43409">
            <w:rPr>
              <w:rFonts w:eastAsia="Times New Roman"/>
              <w:color w:val="000000"/>
            </w:rPr>
            <w:t>[421]</w:t>
          </w:r>
          <w:r w:rsidRPr="00B43409">
            <w:rPr>
              <w:rFonts w:eastAsia="Times New Roman"/>
              <w:color w:val="000000"/>
            </w:rPr>
            <w:tab/>
            <w:t>S. Romagnoli, Z. Ricci, D. Quattrone, L. Tofani, O. Tujjar, G. Villa, S.M. Romano, A.R. De Gaudio, Accuracy of invasive arterial pressure monitoring in cardiovascular patients: an observational study, Crit. Care 18 (2014) 644. https://doi.org/10.1186/s13054-014-0644-4.</w:t>
          </w:r>
        </w:p>
        <w:p w14:paraId="1A652EBE" w14:textId="77777777" w:rsidR="00B43409" w:rsidRPr="00B43409" w:rsidRDefault="00B43409">
          <w:pPr>
            <w:autoSpaceDE w:val="0"/>
            <w:autoSpaceDN w:val="0"/>
            <w:ind w:hanging="640"/>
            <w:divId w:val="38361267"/>
            <w:rPr>
              <w:rFonts w:eastAsia="Times New Roman"/>
              <w:color w:val="000000"/>
            </w:rPr>
          </w:pPr>
          <w:r w:rsidRPr="00B43409">
            <w:rPr>
              <w:rFonts w:eastAsia="Times New Roman"/>
              <w:color w:val="000000"/>
            </w:rPr>
            <w:lastRenderedPageBreak/>
            <w:t>[422]</w:t>
          </w:r>
          <w:r w:rsidRPr="00B43409">
            <w:rPr>
              <w:rFonts w:eastAsia="Times New Roman"/>
              <w:color w:val="000000"/>
            </w:rPr>
            <w:tab/>
            <w:t>Pickering T, Hall J, Appel L, Falkner B, Graves J, Hill M, Jones D, Kurtz T, Sheps S, Edward J. Roccella E, Recommendations for Bloods Pressure Measurements in Humans, The Journal of Clinical Hypertension 7 (2005) 102–109.</w:t>
          </w:r>
        </w:p>
        <w:p w14:paraId="36BEEC04" w14:textId="77777777" w:rsidR="00B43409" w:rsidRPr="00B43409" w:rsidRDefault="00B43409">
          <w:pPr>
            <w:autoSpaceDE w:val="0"/>
            <w:autoSpaceDN w:val="0"/>
            <w:ind w:hanging="640"/>
            <w:divId w:val="1804734484"/>
            <w:rPr>
              <w:rFonts w:eastAsia="Times New Roman"/>
              <w:color w:val="000000"/>
            </w:rPr>
          </w:pPr>
          <w:r w:rsidRPr="00B43409">
            <w:rPr>
              <w:rFonts w:eastAsia="Times New Roman"/>
              <w:color w:val="000000"/>
            </w:rPr>
            <w:t>[423]</w:t>
          </w:r>
          <w:r w:rsidRPr="00B43409">
            <w:rPr>
              <w:rFonts w:eastAsia="Times New Roman"/>
              <w:color w:val="000000"/>
            </w:rPr>
            <w:tab/>
            <w:t>P. Palatini, Challenges and pitfalls of cuff oscillometric blood pressure measurement, Hypertension Research 48 (2025) 1993–1996. https://doi.org/10.1038/s41440-025-02207-x.</w:t>
          </w:r>
        </w:p>
        <w:p w14:paraId="557129BF" w14:textId="77777777" w:rsidR="00B43409" w:rsidRPr="00B43409" w:rsidRDefault="00B43409">
          <w:pPr>
            <w:autoSpaceDE w:val="0"/>
            <w:autoSpaceDN w:val="0"/>
            <w:ind w:hanging="640"/>
            <w:divId w:val="1367947983"/>
            <w:rPr>
              <w:rFonts w:eastAsia="Times New Roman"/>
              <w:color w:val="000000"/>
            </w:rPr>
          </w:pPr>
          <w:r w:rsidRPr="00B43409">
            <w:rPr>
              <w:rFonts w:eastAsia="Times New Roman"/>
              <w:color w:val="000000"/>
            </w:rPr>
            <w:t>[424]</w:t>
          </w:r>
          <w:r w:rsidRPr="00B43409">
            <w:rPr>
              <w:rFonts w:eastAsia="Times New Roman"/>
              <w:color w:val="000000"/>
            </w:rPr>
            <w:tab/>
            <w:t>E. Casiglia, V. Tikhonoff, F. Albertini, P. Palatini, Poor Reliability of Wrist Blood Pressure Self-Measurement at Home: A Population-Based Study, Hypertension 68 (2016) 896–903. https://doi.org/10.1161/HYPERTENSIONAHA.116.07961.</w:t>
          </w:r>
        </w:p>
        <w:p w14:paraId="715B6B7C" w14:textId="77777777" w:rsidR="00B43409" w:rsidRPr="00B43409" w:rsidRDefault="00B43409">
          <w:pPr>
            <w:autoSpaceDE w:val="0"/>
            <w:autoSpaceDN w:val="0"/>
            <w:ind w:hanging="640"/>
            <w:divId w:val="1342313081"/>
            <w:rPr>
              <w:rFonts w:eastAsia="Times New Roman"/>
              <w:color w:val="000000"/>
            </w:rPr>
          </w:pPr>
          <w:r w:rsidRPr="00B43409">
            <w:rPr>
              <w:rFonts w:eastAsia="Times New Roman"/>
              <w:color w:val="000000"/>
            </w:rPr>
            <w:t>[425]</w:t>
          </w:r>
          <w:r w:rsidRPr="00B43409">
            <w:rPr>
              <w:rFonts w:eastAsia="Times New Roman"/>
              <w:color w:val="000000"/>
            </w:rPr>
            <w:tab/>
            <w:t>S. Melville, R. Teskey, S. Philip, J.A. Simpson, S. Lutchmedial, K.R. Brunt, A comparison and calibration of a wrist-worn blood pressure monitor for patient management: Assessing the reliability of innovative blood pressure devices, J. Med. Internet Res. 20 (2018) 1–13. https://doi.org/10.2196/jmir.8009.</w:t>
          </w:r>
        </w:p>
        <w:p w14:paraId="5B3771DA" w14:textId="77777777" w:rsidR="00B43409" w:rsidRPr="00B43409" w:rsidRDefault="00B43409">
          <w:pPr>
            <w:autoSpaceDE w:val="0"/>
            <w:autoSpaceDN w:val="0"/>
            <w:ind w:hanging="640"/>
            <w:divId w:val="729498107"/>
            <w:rPr>
              <w:rFonts w:eastAsia="Times New Roman"/>
              <w:color w:val="000000"/>
            </w:rPr>
          </w:pPr>
          <w:r w:rsidRPr="00B43409">
            <w:rPr>
              <w:rFonts w:eastAsia="Times New Roman"/>
              <w:color w:val="000000"/>
            </w:rPr>
            <w:t>[426]</w:t>
          </w:r>
          <w:r w:rsidRPr="00B43409">
            <w:rPr>
              <w:rFonts w:eastAsia="Times New Roman"/>
              <w:color w:val="000000"/>
            </w:rPr>
            <w:tab/>
            <w:t>M. Żyliński, G. Cybulski, Verification of the Assumptions of Volume-Clamp Method for Continuous Blood Pressure Measurement in a Silicone Phantom, in: 2022 Computing in Cardiology (CinC), Tampere, Finland, 2022: pp. 1–4. https://doi.org/10.22489/CinC.2022.215.</w:t>
          </w:r>
        </w:p>
        <w:p w14:paraId="79179122" w14:textId="77777777" w:rsidR="00B43409" w:rsidRPr="00B43409" w:rsidRDefault="00B43409">
          <w:pPr>
            <w:autoSpaceDE w:val="0"/>
            <w:autoSpaceDN w:val="0"/>
            <w:ind w:hanging="640"/>
            <w:divId w:val="1342394113"/>
            <w:rPr>
              <w:rFonts w:eastAsia="Times New Roman"/>
              <w:color w:val="000000"/>
            </w:rPr>
          </w:pPr>
          <w:r w:rsidRPr="00B43409">
            <w:rPr>
              <w:rFonts w:eastAsia="Times New Roman"/>
              <w:color w:val="000000"/>
            </w:rPr>
            <w:t>[427]</w:t>
          </w:r>
          <w:r w:rsidRPr="00B43409">
            <w:rPr>
              <w:rFonts w:eastAsia="Times New Roman"/>
              <w:color w:val="000000"/>
            </w:rPr>
            <w:tab/>
            <w:t>P. Andriessen, O. Schraa, W. van den Bosch-Ruis, D. Jan Ten Harkel, J.J. Settels, S.B. Oetomo, C.E. Blanco, Feasibility of Noninvasive Continuous Finger Arterial Blood Pressure Measurements in Very Young Children, Aged 0–4 Years, Pediatr. Res. 63 (2008) 691–696. https://doi.org/10.1203/PDR.0b013e31816c8fe3.</w:t>
          </w:r>
        </w:p>
        <w:p w14:paraId="1827B67F" w14:textId="77777777" w:rsidR="00B43409" w:rsidRPr="00B43409" w:rsidRDefault="00B43409">
          <w:pPr>
            <w:autoSpaceDE w:val="0"/>
            <w:autoSpaceDN w:val="0"/>
            <w:ind w:hanging="640"/>
            <w:divId w:val="1709336577"/>
            <w:rPr>
              <w:rFonts w:eastAsia="Times New Roman"/>
              <w:color w:val="000000"/>
            </w:rPr>
          </w:pPr>
          <w:r w:rsidRPr="00B43409">
            <w:rPr>
              <w:rFonts w:eastAsia="Times New Roman"/>
              <w:color w:val="000000"/>
            </w:rPr>
            <w:t>[428]</w:t>
          </w:r>
          <w:r w:rsidRPr="00B43409">
            <w:rPr>
              <w:rFonts w:eastAsia="Times New Roman"/>
              <w:color w:val="000000"/>
            </w:rPr>
            <w:tab/>
            <w:t>J.E. Sharman, A.P. Avolio, J. Baulmann, A. Benetos, J. Blacher, C.L. Blizzard, P. Boutouyrie, C.H. Chen, P. Chowienczyk, J.R. Cockcroft, J.K. Cruickshank, I. Ferreira, L. Ghiadoni, A. Hughes, P. Jankowski, S. Laurent, B.J. McDonnell, C. McEniery, S.C. Millasseau, T.G. Papaioannou, G. Parati, J.B. Park, A.D. Protogerou, M.J. Roman, G. Schillaci, P. Segers, G.S. Stergiou, H. Tomiyama, R.R. Townsend, L.M. Van Bortel, J. Wang, S. Wassertheurer, T. Weber, I.B. Wilkinson, C. Vlachopoulos, Validation of non-invasive central blood pressure devices: ARTERY Society task force consensus statement on protocol standardization, Eur. Heart J. 38 (2017) 2805–2812. https://doi.org/10.1093/eurheartj/ehw632.</w:t>
          </w:r>
        </w:p>
        <w:p w14:paraId="4690E467" w14:textId="77777777" w:rsidR="00B43409" w:rsidRPr="00B43409" w:rsidRDefault="00B43409">
          <w:pPr>
            <w:autoSpaceDE w:val="0"/>
            <w:autoSpaceDN w:val="0"/>
            <w:ind w:hanging="640"/>
            <w:divId w:val="1996374566"/>
            <w:rPr>
              <w:rFonts w:eastAsia="Times New Roman"/>
              <w:color w:val="000000"/>
            </w:rPr>
          </w:pPr>
          <w:r w:rsidRPr="00B43409">
            <w:rPr>
              <w:rFonts w:eastAsia="Times New Roman"/>
              <w:color w:val="000000"/>
            </w:rPr>
            <w:t>[429]</w:t>
          </w:r>
          <w:r w:rsidRPr="00B43409">
            <w:rPr>
              <w:rFonts w:eastAsia="Times New Roman"/>
              <w:color w:val="000000"/>
            </w:rPr>
            <w:tab/>
            <w:t>W.L. Nedel, A.T. Vasconcellos, K.A. Gunsch, P.H. Rigotti Soares, Accuracy and precision of oscillometric noninvasive blood pressure measurement in critically ill patients: systematic review and meta-analysis, Anaesthesiol. Intensive Ther. 54 (2022) 425–431. https://doi.org/10.5114/ait.2022.123120.</w:t>
          </w:r>
        </w:p>
        <w:p w14:paraId="3F971B16" w14:textId="77777777" w:rsidR="00B43409" w:rsidRPr="00B43409" w:rsidRDefault="00B43409">
          <w:pPr>
            <w:autoSpaceDE w:val="0"/>
            <w:autoSpaceDN w:val="0"/>
            <w:ind w:hanging="640"/>
            <w:divId w:val="1594044678"/>
            <w:rPr>
              <w:rFonts w:eastAsia="Times New Roman"/>
              <w:color w:val="000000"/>
            </w:rPr>
          </w:pPr>
          <w:r w:rsidRPr="00B43409">
            <w:rPr>
              <w:rFonts w:eastAsia="Times New Roman"/>
              <w:color w:val="000000"/>
            </w:rPr>
            <w:t>[430]</w:t>
          </w:r>
          <w:r w:rsidRPr="00B43409">
            <w:rPr>
              <w:rFonts w:eastAsia="Times New Roman"/>
              <w:color w:val="000000"/>
            </w:rPr>
            <w:tab/>
            <w:t>A.E. Schutte, A. Kollias, G.S. Stergiou, Blood pressure and its variability: classic and novel measurement techniques, Nat. Rev. Cardiol. 19 (2022) 643–654. https://doi.org/10.1038/s41569-022-00690-0.</w:t>
          </w:r>
        </w:p>
        <w:p w14:paraId="22F6E267" w14:textId="77777777" w:rsidR="00B43409" w:rsidRPr="00B43409" w:rsidRDefault="00B43409">
          <w:pPr>
            <w:autoSpaceDE w:val="0"/>
            <w:autoSpaceDN w:val="0"/>
            <w:ind w:hanging="640"/>
            <w:divId w:val="390660537"/>
            <w:rPr>
              <w:rFonts w:eastAsia="Times New Roman"/>
              <w:color w:val="000000"/>
            </w:rPr>
          </w:pPr>
          <w:r w:rsidRPr="00B43409">
            <w:rPr>
              <w:rFonts w:eastAsia="Times New Roman"/>
              <w:color w:val="000000"/>
            </w:rPr>
            <w:t>[431]</w:t>
          </w:r>
          <w:r w:rsidRPr="00B43409">
            <w:rPr>
              <w:rFonts w:eastAsia="Times New Roman"/>
              <w:color w:val="000000"/>
            </w:rPr>
            <w:tab/>
            <w:t>G. Irving, J. Holden, R. Stevens, R.J. McManus, Which cuff should I use? Indirect blood pressure measurement for the diagnosis of hypertension in patients with obesity: a diagnostic accuracy review, BMJ Open 6 (2016) e012429. https://doi.org/10.1136/bmjopen-2016-012429.</w:t>
          </w:r>
        </w:p>
        <w:p w14:paraId="745840DD" w14:textId="77777777" w:rsidR="00B43409" w:rsidRPr="00B43409" w:rsidRDefault="00B43409">
          <w:pPr>
            <w:autoSpaceDE w:val="0"/>
            <w:autoSpaceDN w:val="0"/>
            <w:ind w:hanging="640"/>
            <w:divId w:val="36662094"/>
            <w:rPr>
              <w:rFonts w:eastAsia="Times New Roman"/>
              <w:color w:val="000000"/>
            </w:rPr>
          </w:pPr>
          <w:r w:rsidRPr="00B43409">
            <w:rPr>
              <w:rFonts w:eastAsia="Times New Roman"/>
              <w:color w:val="000000"/>
            </w:rPr>
            <w:t>[432]</w:t>
          </w:r>
          <w:r w:rsidRPr="00B43409">
            <w:rPr>
              <w:rFonts w:eastAsia="Times New Roman"/>
              <w:color w:val="000000"/>
            </w:rPr>
            <w:tab/>
            <w:t>S. Melville, R. Teskey, S. Philip, J.A. Simpson, S. Lutchmedial, K.R. Brunt, A comparison and calibration of a wrist-worn blood pressure monitor for patient management: Assessing the reliability of innovative blood pressure devices, J. Med. Internet Res. 20 (2018) 1–13. https://doi.org/10.2196/jmir.8009.</w:t>
          </w:r>
        </w:p>
        <w:p w14:paraId="78BD4801" w14:textId="77777777" w:rsidR="00B43409" w:rsidRPr="00B43409" w:rsidRDefault="00B43409">
          <w:pPr>
            <w:autoSpaceDE w:val="0"/>
            <w:autoSpaceDN w:val="0"/>
            <w:ind w:hanging="640"/>
            <w:divId w:val="1281572332"/>
            <w:rPr>
              <w:rFonts w:eastAsia="Times New Roman"/>
              <w:color w:val="000000"/>
            </w:rPr>
          </w:pPr>
          <w:r w:rsidRPr="00B43409">
            <w:rPr>
              <w:rFonts w:eastAsia="Times New Roman"/>
              <w:color w:val="000000"/>
            </w:rPr>
            <w:t>[433]</w:t>
          </w:r>
          <w:r w:rsidRPr="00B43409">
            <w:rPr>
              <w:rFonts w:eastAsia="Times New Roman"/>
              <w:color w:val="000000"/>
            </w:rPr>
            <w:tab/>
            <w:t>M. Proença, J. Ambühl, G. Bonnier, T.A. Meister, J. Valentin, R. Soria, D. Ferrario, M. Lemay, E. Rexhaj, Method-comparison study between a watch-like sensor and a cuff-based device for 24-h ambulatory blood pressure monitoring, Sci. Rep. 13 (2023) 1–10. https://doi.org/10.1038/s41598-023-33205-z.</w:t>
          </w:r>
        </w:p>
        <w:p w14:paraId="108059F5" w14:textId="77777777" w:rsidR="00B43409" w:rsidRPr="00B43409" w:rsidRDefault="00B43409">
          <w:pPr>
            <w:autoSpaceDE w:val="0"/>
            <w:autoSpaceDN w:val="0"/>
            <w:ind w:hanging="640"/>
            <w:divId w:val="1721201881"/>
            <w:rPr>
              <w:rFonts w:eastAsia="Times New Roman"/>
              <w:color w:val="000000"/>
            </w:rPr>
          </w:pPr>
          <w:r w:rsidRPr="00B43409">
            <w:rPr>
              <w:rFonts w:eastAsia="Times New Roman"/>
              <w:color w:val="000000"/>
            </w:rPr>
            <w:lastRenderedPageBreak/>
            <w:t>[434]</w:t>
          </w:r>
          <w:r w:rsidRPr="00B43409">
            <w:rPr>
              <w:rFonts w:eastAsia="Times New Roman"/>
              <w:color w:val="000000"/>
            </w:rPr>
            <w:tab/>
            <w:t>R.C. Hermida, D.E. Ayala, F. Portaluppi, Circadian variation of blood pressure: The basis for the chronotherapy of hypertension, Adv. Drug Deliv. Rev. 59 (2007) 904–922. https://doi.org/10.1016/j.addr.2006.08.003.</w:t>
          </w:r>
        </w:p>
        <w:p w14:paraId="2707CEC4" w14:textId="77777777" w:rsidR="00B43409" w:rsidRPr="00B43409" w:rsidRDefault="00B43409">
          <w:pPr>
            <w:autoSpaceDE w:val="0"/>
            <w:autoSpaceDN w:val="0"/>
            <w:ind w:hanging="640"/>
            <w:divId w:val="1409376007"/>
            <w:rPr>
              <w:rFonts w:eastAsia="Times New Roman"/>
              <w:color w:val="000000"/>
            </w:rPr>
          </w:pPr>
          <w:r w:rsidRPr="00B43409">
            <w:rPr>
              <w:rFonts w:eastAsia="Times New Roman"/>
              <w:color w:val="000000"/>
            </w:rPr>
            <w:t>[435]</w:t>
          </w:r>
          <w:r w:rsidRPr="00B43409">
            <w:rPr>
              <w:rFonts w:eastAsia="Times New Roman"/>
              <w:color w:val="000000"/>
            </w:rPr>
            <w:tab/>
            <w:t>E.J. Filippone, A.J. Foy, G. V. Naccarelli, Controversies in Hypertension III: Dipping, Nocturnal Hypertension, and the Morning Surge, American Journal of Medicine 136 (2023) 629–637. https://doi.org/10.1016/j.amjmed.2023.02.018.</w:t>
          </w:r>
        </w:p>
        <w:p w14:paraId="719408F8" w14:textId="77777777" w:rsidR="00B43409" w:rsidRPr="00B43409" w:rsidRDefault="00B43409">
          <w:pPr>
            <w:autoSpaceDE w:val="0"/>
            <w:autoSpaceDN w:val="0"/>
            <w:ind w:hanging="640"/>
            <w:divId w:val="2058972625"/>
            <w:rPr>
              <w:rFonts w:eastAsia="Times New Roman"/>
              <w:color w:val="000000"/>
            </w:rPr>
          </w:pPr>
          <w:r w:rsidRPr="00B43409">
            <w:rPr>
              <w:rFonts w:eastAsia="Times New Roman"/>
              <w:color w:val="000000"/>
            </w:rPr>
            <w:t>[436]</w:t>
          </w:r>
          <w:r w:rsidRPr="00B43409">
            <w:rPr>
              <w:rFonts w:eastAsia="Times New Roman"/>
              <w:color w:val="000000"/>
            </w:rPr>
            <w:tab/>
            <w:t>L. Bankir, M. Bochud, M. Maillard, P. Bovet, A. Gabriel, M. Burnier, Nighttime blood pressure and nocturnal dipping are associated with daytime urinary sodium excretion in African subjects, Hypertension 51 (2008) 891–898. https://doi.org/10.1161/HYPERTENSIONAHA.107.105510.</w:t>
          </w:r>
        </w:p>
        <w:p w14:paraId="57291524" w14:textId="77777777" w:rsidR="00B43409" w:rsidRPr="00B43409" w:rsidRDefault="00B43409">
          <w:pPr>
            <w:autoSpaceDE w:val="0"/>
            <w:autoSpaceDN w:val="0"/>
            <w:ind w:hanging="640"/>
            <w:divId w:val="407964482"/>
            <w:rPr>
              <w:rFonts w:eastAsia="Times New Roman"/>
              <w:color w:val="000000"/>
            </w:rPr>
          </w:pPr>
          <w:r w:rsidRPr="00B43409">
            <w:rPr>
              <w:rFonts w:eastAsia="Times New Roman"/>
              <w:color w:val="000000"/>
            </w:rPr>
            <w:t>[437]</w:t>
          </w:r>
          <w:r w:rsidRPr="00B43409">
            <w:rPr>
              <w:rFonts w:eastAsia="Times New Roman"/>
              <w:color w:val="000000"/>
            </w:rPr>
            <w:tab/>
            <w:t>C. Cuspidi, C. Sala, M. Tadic, E. Gherbesi, A. De Giorgi, G. Grassi, G. Mancia, Clinical and prognostic significance of a reverse dipping pattern on ambulatory monitoring: An updated review, J. Clin. Hypertens. 19 (2017) 713–721. https://doi.org/10.1111/jch.13023.</w:t>
          </w:r>
        </w:p>
        <w:p w14:paraId="5E1CFA71" w14:textId="77777777" w:rsidR="00B43409" w:rsidRPr="00B43409" w:rsidRDefault="00B43409">
          <w:pPr>
            <w:autoSpaceDE w:val="0"/>
            <w:autoSpaceDN w:val="0"/>
            <w:ind w:hanging="640"/>
            <w:divId w:val="940451837"/>
            <w:rPr>
              <w:rFonts w:eastAsia="Times New Roman"/>
              <w:color w:val="000000"/>
            </w:rPr>
          </w:pPr>
          <w:r w:rsidRPr="00B43409">
            <w:rPr>
              <w:rFonts w:eastAsia="Times New Roman"/>
              <w:color w:val="000000"/>
            </w:rPr>
            <w:t>[438]</w:t>
          </w:r>
          <w:r w:rsidRPr="00B43409">
            <w:rPr>
              <w:rFonts w:eastAsia="Times New Roman"/>
              <w:color w:val="000000"/>
            </w:rPr>
            <w:tab/>
            <w:t>S.D. Pierdomenico, A.M. Pierdomenico, F. Coccina, D. Lapenna, E. Porreca, Circadian blood pressure changes and cardiovascular risk in elderly-treated hypertensive patients, Hypertension Research 39 (2016) 805–811. https://doi.org/10.1038/hr.2016.74.</w:t>
          </w:r>
        </w:p>
        <w:p w14:paraId="18C09E44" w14:textId="77777777" w:rsidR="00B43409" w:rsidRPr="00B43409" w:rsidRDefault="00B43409">
          <w:pPr>
            <w:autoSpaceDE w:val="0"/>
            <w:autoSpaceDN w:val="0"/>
            <w:ind w:hanging="640"/>
            <w:divId w:val="926960691"/>
            <w:rPr>
              <w:rFonts w:eastAsia="Times New Roman"/>
              <w:color w:val="000000"/>
            </w:rPr>
          </w:pPr>
          <w:r w:rsidRPr="00B43409">
            <w:rPr>
              <w:rFonts w:eastAsia="Times New Roman"/>
              <w:color w:val="000000"/>
            </w:rPr>
            <w:t>[439]</w:t>
          </w:r>
          <w:r w:rsidRPr="00B43409">
            <w:rPr>
              <w:rFonts w:eastAsia="Times New Roman"/>
              <w:color w:val="000000"/>
            </w:rPr>
            <w:tab/>
            <w:t>N. Kakaletsis, G. Ntaios, H. Milionis, A. Karagiannaki, I. Chouvarda, V. Dourliou, I. Ladakis, G. Kaiafa, K. Vemmos, C. Savopoulos, Midday Dipping and Circadian Blood Pressure Patterns in Acute Ischemic Stroke, J. Clin. Med. 12 (2023). https://doi.org/10.3390/jcm12144816.</w:t>
          </w:r>
        </w:p>
        <w:p w14:paraId="308448AE" w14:textId="77777777" w:rsidR="00B43409" w:rsidRPr="00B43409" w:rsidRDefault="00B43409">
          <w:pPr>
            <w:autoSpaceDE w:val="0"/>
            <w:autoSpaceDN w:val="0"/>
            <w:ind w:hanging="640"/>
            <w:divId w:val="89744369"/>
            <w:rPr>
              <w:rFonts w:eastAsia="Times New Roman"/>
              <w:color w:val="000000"/>
            </w:rPr>
          </w:pPr>
          <w:r w:rsidRPr="00B43409">
            <w:rPr>
              <w:rFonts w:eastAsia="Times New Roman"/>
              <w:color w:val="000000"/>
            </w:rPr>
            <w:t>[440]</w:t>
          </w:r>
          <w:r w:rsidRPr="00B43409">
            <w:rPr>
              <w:rFonts w:eastAsia="Times New Roman"/>
              <w:color w:val="000000"/>
            </w:rPr>
            <w:tab/>
            <w:t>A.L. Hinderliter, F.S. Routledge, J.A. Blumenthal, G. Koch, M.A. Hussey, W.K. Wohlgemuth, A. Sherwood, Reproducibility of blood pressure dipping: Relation to day-to-day variability in sleep quality, Journal of the American Society of Hypertension 7 (2013) 432–439. https://doi.org/10.1016/j.jash.2013.06.001.</w:t>
          </w:r>
        </w:p>
        <w:p w14:paraId="5DE51AF8" w14:textId="77777777" w:rsidR="00B43409" w:rsidRPr="00B43409" w:rsidRDefault="00B43409">
          <w:pPr>
            <w:autoSpaceDE w:val="0"/>
            <w:autoSpaceDN w:val="0"/>
            <w:ind w:hanging="640"/>
            <w:divId w:val="339240806"/>
            <w:rPr>
              <w:rFonts w:eastAsia="Times New Roman"/>
              <w:color w:val="000000"/>
            </w:rPr>
          </w:pPr>
          <w:r w:rsidRPr="00B43409">
            <w:rPr>
              <w:rFonts w:eastAsia="Times New Roman"/>
              <w:color w:val="000000"/>
            </w:rPr>
            <w:t>[441]</w:t>
          </w:r>
          <w:r w:rsidRPr="00B43409">
            <w:rPr>
              <w:rFonts w:eastAsia="Times New Roman"/>
              <w:color w:val="000000"/>
            </w:rPr>
            <w:tab/>
            <w:t>T. Tasić, M. Tadić, M. Lozić, Hypertension in Women, Front. Cardiovasc. Med. 9 (2022) 1–7. https://doi.org/10.3389/fcvm.2022.905504.</w:t>
          </w:r>
        </w:p>
        <w:p w14:paraId="39487B2E" w14:textId="77777777" w:rsidR="00B43409" w:rsidRPr="00B43409" w:rsidRDefault="00B43409">
          <w:pPr>
            <w:autoSpaceDE w:val="0"/>
            <w:autoSpaceDN w:val="0"/>
            <w:ind w:hanging="640"/>
            <w:divId w:val="234778471"/>
            <w:rPr>
              <w:rFonts w:eastAsia="Times New Roman"/>
              <w:color w:val="000000"/>
            </w:rPr>
          </w:pPr>
          <w:r w:rsidRPr="00B43409">
            <w:rPr>
              <w:rFonts w:eastAsia="Times New Roman"/>
              <w:color w:val="000000"/>
            </w:rPr>
            <w:t>[442]</w:t>
          </w:r>
          <w:r w:rsidRPr="00B43409">
            <w:rPr>
              <w:rFonts w:eastAsia="Times New Roman"/>
              <w:color w:val="000000"/>
            </w:rPr>
            <w:tab/>
            <w:t>E.R. Drury, J. Wu, J.C. Gigliotti, T.H. Le, Sex differences in blood pressure regulation and hypertension: renal, hemodynamic, and hormonal mechanisms, Physiol. Rev. 104 (2024) 199–251. https://doi.org/10.1152/physrev.00041.2022.</w:t>
          </w:r>
        </w:p>
        <w:p w14:paraId="2CAA5A72" w14:textId="77777777" w:rsidR="00B43409" w:rsidRPr="00B43409" w:rsidRDefault="00B43409">
          <w:pPr>
            <w:autoSpaceDE w:val="0"/>
            <w:autoSpaceDN w:val="0"/>
            <w:ind w:hanging="640"/>
            <w:divId w:val="536084492"/>
            <w:rPr>
              <w:rFonts w:eastAsia="Times New Roman"/>
              <w:color w:val="000000"/>
            </w:rPr>
          </w:pPr>
          <w:r w:rsidRPr="00B43409">
            <w:rPr>
              <w:rFonts w:eastAsia="Times New Roman"/>
              <w:color w:val="000000"/>
            </w:rPr>
            <w:t>[443]</w:t>
          </w:r>
          <w:r w:rsidRPr="00B43409">
            <w:rPr>
              <w:rFonts w:eastAsia="Times New Roman"/>
              <w:color w:val="000000"/>
            </w:rPr>
            <w:tab/>
            <w:t>N.A. Cameron, C.A. Blyler, N.A. Bello, Oral Contraceptive Pills and Hypertension: A Review of Current Evidence and Recommendations, Hypertension 80 (2023) 924–935. https://doi.org/10.1161/HYPERTENSIONAHA.122.20018.</w:t>
          </w:r>
        </w:p>
        <w:p w14:paraId="1E5C8CE0" w14:textId="77777777" w:rsidR="00B43409" w:rsidRPr="00B43409" w:rsidRDefault="00B43409">
          <w:pPr>
            <w:autoSpaceDE w:val="0"/>
            <w:autoSpaceDN w:val="0"/>
            <w:ind w:hanging="640"/>
            <w:divId w:val="1699814439"/>
            <w:rPr>
              <w:rFonts w:eastAsia="Times New Roman"/>
              <w:color w:val="000000"/>
            </w:rPr>
          </w:pPr>
          <w:r w:rsidRPr="00B43409">
            <w:rPr>
              <w:rFonts w:eastAsia="Times New Roman"/>
              <w:color w:val="000000"/>
            </w:rPr>
            <w:t>[444]</w:t>
          </w:r>
          <w:r w:rsidRPr="00B43409">
            <w:rPr>
              <w:rFonts w:eastAsia="Times New Roman"/>
              <w:color w:val="000000"/>
            </w:rPr>
            <w:tab/>
            <w:t>I.S. de Souza, G.Z. Laporta, J. Zangirolami-Raimundo, I.C.E. Sorpreso, H.C.L. Silva dos Santos, J.M. Soares Júnior, R.D. Raimundo, Association between the use of oral contraceptives and the occurrence of systemic hypertension: A systematic review with statistical comparison between randomized clinical trial interventions, Eur. J. Obstet. Gynecol. Reprod. Biol. X 22 (2024) 100307. https://doi.org/10.1016/j.eurox.2024.100307.</w:t>
          </w:r>
        </w:p>
        <w:p w14:paraId="5F952F76" w14:textId="77777777" w:rsidR="00B43409" w:rsidRPr="00B43409" w:rsidRDefault="00B43409">
          <w:pPr>
            <w:autoSpaceDE w:val="0"/>
            <w:autoSpaceDN w:val="0"/>
            <w:ind w:hanging="640"/>
            <w:divId w:val="466123400"/>
            <w:rPr>
              <w:rFonts w:eastAsia="Times New Roman"/>
              <w:color w:val="000000"/>
            </w:rPr>
          </w:pPr>
          <w:r w:rsidRPr="00B43409">
            <w:rPr>
              <w:rFonts w:eastAsia="Times New Roman"/>
              <w:color w:val="000000"/>
            </w:rPr>
            <w:t>[445]</w:t>
          </w:r>
          <w:r w:rsidRPr="00B43409">
            <w:rPr>
              <w:rFonts w:eastAsia="Times New Roman"/>
              <w:color w:val="000000"/>
            </w:rPr>
            <w:tab/>
            <w:t>S. Laurent, P. Boutouyrie, Arterial Stiffness and Hypertension in the Elderly, Front. Cardiovasc. Med. 7 (2020) 1–13. https://doi.org/10.3389/fcvm.2020.544302.</w:t>
          </w:r>
        </w:p>
        <w:p w14:paraId="794AA3A5" w14:textId="77777777" w:rsidR="00B43409" w:rsidRPr="00B43409" w:rsidRDefault="00B43409">
          <w:pPr>
            <w:autoSpaceDE w:val="0"/>
            <w:autoSpaceDN w:val="0"/>
            <w:ind w:hanging="640"/>
            <w:divId w:val="1391079604"/>
            <w:rPr>
              <w:rFonts w:eastAsia="Times New Roman"/>
              <w:color w:val="000000"/>
            </w:rPr>
          </w:pPr>
          <w:r w:rsidRPr="00B43409">
            <w:rPr>
              <w:rFonts w:eastAsia="Times New Roman"/>
              <w:color w:val="000000"/>
            </w:rPr>
            <w:t>[446]</w:t>
          </w:r>
          <w:r w:rsidRPr="00B43409">
            <w:rPr>
              <w:rFonts w:eastAsia="Times New Roman"/>
              <w:color w:val="000000"/>
            </w:rPr>
            <w:tab/>
            <w:t>H.-L. Kim, Arterial stiffness and hypertension, Clin. Hypertens. 29 (2023) 1–9. https://doi.org/10.1186/s40885-023-00258-1.</w:t>
          </w:r>
        </w:p>
        <w:p w14:paraId="3F74F2B8" w14:textId="77777777" w:rsidR="00B43409" w:rsidRPr="00B43409" w:rsidRDefault="00B43409">
          <w:pPr>
            <w:autoSpaceDE w:val="0"/>
            <w:autoSpaceDN w:val="0"/>
            <w:ind w:hanging="640"/>
            <w:divId w:val="648557966"/>
            <w:rPr>
              <w:rFonts w:eastAsia="Times New Roman"/>
              <w:color w:val="000000"/>
            </w:rPr>
          </w:pPr>
          <w:r w:rsidRPr="00B43409">
            <w:rPr>
              <w:rFonts w:eastAsia="Times New Roman"/>
              <w:color w:val="000000"/>
            </w:rPr>
            <w:t>[447]</w:t>
          </w:r>
          <w:r w:rsidRPr="00B43409">
            <w:rPr>
              <w:rFonts w:eastAsia="Times New Roman"/>
              <w:color w:val="000000"/>
            </w:rPr>
            <w:tab/>
            <w:t>K.D. Monahan, Effect of aging on baroreflex function in humans, Am. J. Physiol. Regul. Integr. Comp. Physiol. 293 (2007). https://doi.org/10.1152/ajpregu.00031.2007.</w:t>
          </w:r>
        </w:p>
        <w:p w14:paraId="04904767" w14:textId="77777777" w:rsidR="00B43409" w:rsidRPr="00B43409" w:rsidRDefault="00B43409">
          <w:pPr>
            <w:autoSpaceDE w:val="0"/>
            <w:autoSpaceDN w:val="0"/>
            <w:ind w:hanging="640"/>
            <w:divId w:val="1198348357"/>
            <w:rPr>
              <w:rFonts w:eastAsia="Times New Roman"/>
              <w:color w:val="000000"/>
            </w:rPr>
          </w:pPr>
          <w:r w:rsidRPr="00B43409">
            <w:rPr>
              <w:rFonts w:eastAsia="Times New Roman"/>
              <w:color w:val="000000"/>
            </w:rPr>
            <w:t>[448]</w:t>
          </w:r>
          <w:r w:rsidRPr="00B43409">
            <w:rPr>
              <w:rFonts w:eastAsia="Times New Roman"/>
              <w:color w:val="000000"/>
            </w:rPr>
            <w:tab/>
            <w:t>I.M. Mariano, A.L. Amaral, P.A.B. Ribeiro, G.M. Puga, Exercise training improves blood pressure reactivity to stress: a systematic review and meta-analysis, Sci. Rep. 13 (2023) 10962. https://doi.org/10.1038/s41598-023-38041-9.</w:t>
          </w:r>
        </w:p>
        <w:p w14:paraId="2E0FE3A1" w14:textId="77777777" w:rsidR="00B43409" w:rsidRPr="00B43409" w:rsidRDefault="00B43409">
          <w:pPr>
            <w:autoSpaceDE w:val="0"/>
            <w:autoSpaceDN w:val="0"/>
            <w:ind w:hanging="640"/>
            <w:divId w:val="1811513296"/>
            <w:rPr>
              <w:rFonts w:eastAsia="Times New Roman"/>
              <w:color w:val="000000"/>
            </w:rPr>
          </w:pPr>
          <w:r w:rsidRPr="00B43409">
            <w:rPr>
              <w:rFonts w:eastAsia="Times New Roman"/>
              <w:color w:val="000000"/>
            </w:rPr>
            <w:lastRenderedPageBreak/>
            <w:t>[449]</w:t>
          </w:r>
          <w:r w:rsidRPr="00B43409">
            <w:rPr>
              <w:rFonts w:eastAsia="Times New Roman"/>
              <w:color w:val="000000"/>
            </w:rPr>
            <w:tab/>
            <w:t>A. Chandra, I.J. Neeland, J.D. Berry, C.R. Ayers, A. Rohatgi, S.R. Das, A. Khera, D.K. McGuire, J.A. De Lemos, A.T. Turer, The relationship of body mass and fat distribution with incident hypertension: Observations from the dallas heart study, J. Am. Coll. Cardiol. 64 (2014) 997–1002. https://doi.org/10.1016/j.jacc.2014.05.057.</w:t>
          </w:r>
        </w:p>
        <w:p w14:paraId="329C6D95" w14:textId="77777777" w:rsidR="00B43409" w:rsidRPr="00B43409" w:rsidRDefault="00B43409">
          <w:pPr>
            <w:autoSpaceDE w:val="0"/>
            <w:autoSpaceDN w:val="0"/>
            <w:ind w:hanging="640"/>
            <w:divId w:val="802037850"/>
            <w:rPr>
              <w:rFonts w:eastAsia="Times New Roman"/>
              <w:color w:val="000000"/>
            </w:rPr>
          </w:pPr>
          <w:r w:rsidRPr="00B43409">
            <w:rPr>
              <w:rFonts w:eastAsia="Times New Roman"/>
              <w:color w:val="000000"/>
            </w:rPr>
            <w:t>[450]</w:t>
          </w:r>
          <w:r w:rsidRPr="00B43409">
            <w:rPr>
              <w:rFonts w:eastAsia="Times New Roman"/>
              <w:color w:val="000000"/>
            </w:rPr>
            <w:tab/>
            <w:t>N.N. Leite, B.C. Cota, A.R.E.M. Gotine, D.M.U.P. Rocha, P.F. Pereira, H.H.M. Hermsdorff, Visceral adiposity index is positively associated with blood pressure: A systematic review, Obes. Res. Clin. Pract. 15 (2021) 546–556. https://doi.org/10.1016/j.orcp.2021.10.001.</w:t>
          </w:r>
        </w:p>
        <w:p w14:paraId="3624BBA8" w14:textId="77777777" w:rsidR="00B43409" w:rsidRPr="00B43409" w:rsidRDefault="00B43409">
          <w:pPr>
            <w:autoSpaceDE w:val="0"/>
            <w:autoSpaceDN w:val="0"/>
            <w:ind w:hanging="640"/>
            <w:divId w:val="883172354"/>
            <w:rPr>
              <w:rFonts w:eastAsia="Times New Roman"/>
              <w:color w:val="000000"/>
            </w:rPr>
          </w:pPr>
          <w:r w:rsidRPr="00B43409">
            <w:rPr>
              <w:rFonts w:eastAsia="Times New Roman"/>
              <w:color w:val="000000"/>
            </w:rPr>
            <w:t>[451]</w:t>
          </w:r>
          <w:r w:rsidRPr="00B43409">
            <w:rPr>
              <w:rFonts w:eastAsia="Times New Roman"/>
              <w:color w:val="000000"/>
            </w:rPr>
            <w:tab/>
            <w:t>L. Tan, L. Long, X. Ma, W. Yang, F. Liao, Y. Peng, J. Lu, A. Shen, D. An, H. Qu, C. Fu, Association of body mass index trajectory and hypertension risk: A systematic review of cohort studies and network meta-analysis of 89,094 participants, Front. Cardiovasc. Med. 9 (2023). https://doi.org/10.3389/fcvm.2022.941341.</w:t>
          </w:r>
        </w:p>
        <w:p w14:paraId="3A3FDD4B" w14:textId="77777777" w:rsidR="00B43409" w:rsidRPr="00B43409" w:rsidRDefault="00B43409">
          <w:pPr>
            <w:autoSpaceDE w:val="0"/>
            <w:autoSpaceDN w:val="0"/>
            <w:ind w:hanging="640"/>
            <w:divId w:val="1567453208"/>
            <w:rPr>
              <w:rFonts w:eastAsia="Times New Roman"/>
              <w:color w:val="000000"/>
            </w:rPr>
          </w:pPr>
          <w:r w:rsidRPr="00B43409">
            <w:rPr>
              <w:rFonts w:eastAsia="Times New Roman"/>
              <w:color w:val="000000"/>
            </w:rPr>
            <w:t>[452]</w:t>
          </w:r>
          <w:r w:rsidRPr="00B43409">
            <w:rPr>
              <w:rFonts w:eastAsia="Times New Roman"/>
              <w:color w:val="000000"/>
            </w:rPr>
            <w:tab/>
            <w:t>J.C. Watso, W.B. Farquhar, Hydration status and cardiovascular function, Nutrients 11 (2019). https://doi.org/10.3390/nu11081866.</w:t>
          </w:r>
        </w:p>
        <w:p w14:paraId="3F19681A" w14:textId="77777777" w:rsidR="00B43409" w:rsidRPr="00B43409" w:rsidRDefault="00B43409">
          <w:pPr>
            <w:autoSpaceDE w:val="0"/>
            <w:autoSpaceDN w:val="0"/>
            <w:ind w:hanging="640"/>
            <w:divId w:val="411970543"/>
            <w:rPr>
              <w:rFonts w:eastAsia="Times New Roman"/>
              <w:color w:val="000000"/>
            </w:rPr>
          </w:pPr>
          <w:r w:rsidRPr="00B43409">
            <w:rPr>
              <w:rFonts w:eastAsia="Times New Roman"/>
              <w:color w:val="000000"/>
            </w:rPr>
            <w:t>[453]</w:t>
          </w:r>
          <w:r w:rsidRPr="00B43409">
            <w:rPr>
              <w:rFonts w:eastAsia="Times New Roman"/>
              <w:color w:val="000000"/>
            </w:rPr>
            <w:tab/>
            <w:t>A.E. Mesas, L.M. Leon-Muñoz, F. Rodriguez-Artalejo, E. Lopez-Garcia, The effect of coffee on blood pressure and cardiovascular disease in hypertensive individuals: A systematic review and meta-analysis, American Journal of Clinical Nutrition 94 (2011) 1113–1126. https://doi.org/10.3945/ajcn.111.016667.</w:t>
          </w:r>
        </w:p>
        <w:p w14:paraId="4CBB8FD3" w14:textId="77777777" w:rsidR="00B43409" w:rsidRPr="00B43409" w:rsidRDefault="00B43409">
          <w:pPr>
            <w:autoSpaceDE w:val="0"/>
            <w:autoSpaceDN w:val="0"/>
            <w:ind w:hanging="640"/>
            <w:divId w:val="1245335146"/>
            <w:rPr>
              <w:rFonts w:eastAsia="Times New Roman"/>
              <w:color w:val="000000"/>
            </w:rPr>
          </w:pPr>
          <w:r w:rsidRPr="00B43409">
            <w:rPr>
              <w:rFonts w:eastAsia="Times New Roman"/>
              <w:color w:val="000000"/>
            </w:rPr>
            <w:t>[454]</w:t>
          </w:r>
          <w:r w:rsidRPr="00B43409">
            <w:rPr>
              <w:rFonts w:eastAsia="Times New Roman"/>
              <w:color w:val="000000"/>
            </w:rPr>
            <w:tab/>
            <w:t>Z. Xu, Q. Meng, X. Ge, R. Zhuang, J. Liu, X. Liang, H. Fan, P. Yu, L. Zheng, X. Zhou, A short-term effect of caffeinated beverages on blood pressure: A meta-analysis of randomized controlled trails, J. Funct. Foods 81 (2021) 104482. https://doi.org/10.1016/j.jff.2021.104482.</w:t>
          </w:r>
        </w:p>
        <w:p w14:paraId="52897E73" w14:textId="77777777" w:rsidR="00B43409" w:rsidRPr="00B43409" w:rsidRDefault="00B43409">
          <w:pPr>
            <w:autoSpaceDE w:val="0"/>
            <w:autoSpaceDN w:val="0"/>
            <w:ind w:hanging="640"/>
            <w:divId w:val="1921216300"/>
            <w:rPr>
              <w:rFonts w:eastAsia="Times New Roman"/>
              <w:color w:val="000000"/>
            </w:rPr>
          </w:pPr>
          <w:r w:rsidRPr="00B43409">
            <w:rPr>
              <w:rFonts w:eastAsia="Times New Roman"/>
              <w:color w:val="000000"/>
            </w:rPr>
            <w:t>[455]</w:t>
          </w:r>
          <w:r w:rsidRPr="00B43409">
            <w:rPr>
              <w:rFonts w:eastAsia="Times New Roman"/>
              <w:color w:val="000000"/>
            </w:rPr>
            <w:tab/>
            <w:t>S.A. Abbas-Hashemi, D. Hosseininasab, S. Rastgoo, F. Shiraseb, O. Asbaghi, The effects of caffeine supplementation on blood pressure in adults: A systematic review and dose-response meta-analysis, Clin. Nutr. ESPEN 58 (2023) 165–177. https://doi.org/10.1016/j.clnesp.2023.09.923.</w:t>
          </w:r>
        </w:p>
        <w:p w14:paraId="7FC4D1B9" w14:textId="77777777" w:rsidR="00B43409" w:rsidRPr="00B43409" w:rsidRDefault="00B43409">
          <w:pPr>
            <w:autoSpaceDE w:val="0"/>
            <w:autoSpaceDN w:val="0"/>
            <w:ind w:hanging="640"/>
            <w:divId w:val="879315851"/>
            <w:rPr>
              <w:rFonts w:eastAsia="Times New Roman"/>
              <w:color w:val="000000"/>
            </w:rPr>
          </w:pPr>
          <w:r w:rsidRPr="00B43409">
            <w:rPr>
              <w:rFonts w:eastAsia="Times New Roman"/>
              <w:color w:val="000000"/>
            </w:rPr>
            <w:t>[456]</w:t>
          </w:r>
          <w:r w:rsidRPr="00B43409">
            <w:rPr>
              <w:rFonts w:eastAsia="Times New Roman"/>
              <w:color w:val="000000"/>
            </w:rPr>
            <w:tab/>
            <w:t>P.I.B. Gualberto, V. V Benvindo, G. Waclawovsky, L.F. Deresz, Acute effects of energy drink consumption on cardiovascular parameters in healthy adults: a systematic review and meta-analysis of randomized clinical trials, Nutr. Rev. 82 (2024) 1028–1045. https://doi.org/10.1093/nutrit/nuad112.</w:t>
          </w:r>
        </w:p>
        <w:p w14:paraId="3CAE9F24" w14:textId="77777777" w:rsidR="00B43409" w:rsidRPr="00B43409" w:rsidRDefault="00B43409">
          <w:pPr>
            <w:autoSpaceDE w:val="0"/>
            <w:autoSpaceDN w:val="0"/>
            <w:ind w:hanging="640"/>
            <w:divId w:val="145366522"/>
            <w:rPr>
              <w:rFonts w:eastAsia="Times New Roman"/>
              <w:color w:val="000000"/>
            </w:rPr>
          </w:pPr>
          <w:r w:rsidRPr="00B43409">
            <w:rPr>
              <w:rFonts w:eastAsia="Times New Roman"/>
              <w:color w:val="000000"/>
            </w:rPr>
            <w:t>[457]</w:t>
          </w:r>
          <w:r w:rsidRPr="00B43409">
            <w:rPr>
              <w:rFonts w:eastAsia="Times New Roman"/>
              <w:color w:val="000000"/>
            </w:rPr>
            <w:tab/>
            <w:t>A.M. Benjo, V. Jaramillo, F. Atassi, F. Nascimento, J. Benjo, D. Mahtta, C. Alviar, Acute Cardiovascular Effects of Energy Drinks in Healthy Subjects: a Meta-Analysis of Randomized Trials, J. Am. Coll. Cardiol. 73 (2019) 1883. https://doi.org/10.1016/s0735-1097(19)32489-1.</w:t>
          </w:r>
        </w:p>
        <w:p w14:paraId="121C0884" w14:textId="77777777" w:rsidR="00B43409" w:rsidRPr="00B43409" w:rsidRDefault="00B43409">
          <w:pPr>
            <w:autoSpaceDE w:val="0"/>
            <w:autoSpaceDN w:val="0"/>
            <w:ind w:hanging="640"/>
            <w:divId w:val="1997998548"/>
            <w:rPr>
              <w:rFonts w:eastAsia="Times New Roman"/>
              <w:color w:val="000000"/>
            </w:rPr>
          </w:pPr>
          <w:r w:rsidRPr="00B43409">
            <w:rPr>
              <w:rFonts w:eastAsia="Times New Roman"/>
              <w:color w:val="000000"/>
            </w:rPr>
            <w:t>[458]</w:t>
          </w:r>
          <w:r w:rsidRPr="00B43409">
            <w:rPr>
              <w:rFonts w:eastAsia="Times New Roman"/>
              <w:color w:val="000000"/>
            </w:rPr>
            <w:tab/>
            <w:t>K.A. Matthews, C.R. Katholi, H. McCreath, M.A. Whooley, D.R. Williams, S. Zhu, J.H. Markovitz, Blood pressure reactivity to psychological stress predicts hypertension in the CARDIA study, Circulation 110 (2004) 74–78. https://doi.org/10.1161/01.CIR.0000133415.37578.E4.</w:t>
          </w:r>
        </w:p>
        <w:p w14:paraId="587F5AA9" w14:textId="77777777" w:rsidR="00B43409" w:rsidRPr="00B43409" w:rsidRDefault="00B43409">
          <w:pPr>
            <w:autoSpaceDE w:val="0"/>
            <w:autoSpaceDN w:val="0"/>
            <w:ind w:hanging="640"/>
            <w:divId w:val="1664627711"/>
            <w:rPr>
              <w:rFonts w:eastAsia="Times New Roman"/>
              <w:color w:val="000000"/>
            </w:rPr>
          </w:pPr>
          <w:r w:rsidRPr="00B43409">
            <w:rPr>
              <w:rFonts w:eastAsia="Times New Roman"/>
              <w:color w:val="000000"/>
            </w:rPr>
            <w:t>[459]</w:t>
          </w:r>
          <w:r w:rsidRPr="00B43409">
            <w:rPr>
              <w:rFonts w:eastAsia="Times New Roman"/>
              <w:color w:val="000000"/>
            </w:rPr>
            <w:tab/>
            <w:t>A.T. Ginty, A.T. Tyra, D.A. Young, R.C. Brindle, S.R. de Rooij, S.E. Williams, Cardiovascular reactions to acute psychological stress and academic achievement, Psychophysiology 59 (2022) 1–14. https://doi.org/10.1111/psyp.14064.</w:t>
          </w:r>
        </w:p>
        <w:p w14:paraId="28C5F3C4" w14:textId="77777777" w:rsidR="00B43409" w:rsidRPr="00B43409" w:rsidRDefault="00B43409">
          <w:pPr>
            <w:autoSpaceDE w:val="0"/>
            <w:autoSpaceDN w:val="0"/>
            <w:ind w:hanging="640"/>
            <w:divId w:val="802887191"/>
            <w:rPr>
              <w:rFonts w:eastAsia="Times New Roman"/>
              <w:color w:val="000000"/>
            </w:rPr>
          </w:pPr>
          <w:r w:rsidRPr="00B43409">
            <w:rPr>
              <w:rFonts w:eastAsia="Times New Roman"/>
              <w:color w:val="000000"/>
            </w:rPr>
            <w:t>[460]</w:t>
          </w:r>
          <w:r w:rsidRPr="00B43409">
            <w:rPr>
              <w:rFonts w:eastAsia="Times New Roman"/>
              <w:color w:val="000000"/>
            </w:rPr>
            <w:tab/>
            <w:t>A.P. Owens, C.J. Mathias, V. Iodice, Autonomic Dysfunction in Autism Spectrum Disorder, Front. Integr. Neurosci. 15 (2021) 1–10. https://doi.org/10.3389/fnint.2021.787037.</w:t>
          </w:r>
        </w:p>
        <w:p w14:paraId="4D256F08" w14:textId="77777777" w:rsidR="00B43409" w:rsidRPr="00B43409" w:rsidRDefault="00B43409">
          <w:pPr>
            <w:autoSpaceDE w:val="0"/>
            <w:autoSpaceDN w:val="0"/>
            <w:ind w:hanging="640"/>
            <w:divId w:val="961230088"/>
            <w:rPr>
              <w:rFonts w:eastAsia="Times New Roman"/>
              <w:color w:val="000000"/>
            </w:rPr>
          </w:pPr>
          <w:r w:rsidRPr="00B43409">
            <w:rPr>
              <w:rFonts w:eastAsia="Times New Roman"/>
              <w:color w:val="000000"/>
            </w:rPr>
            <w:t>[461]</w:t>
          </w:r>
          <w:r w:rsidRPr="00B43409">
            <w:rPr>
              <w:rFonts w:eastAsia="Times New Roman"/>
              <w:color w:val="000000"/>
            </w:rPr>
            <w:tab/>
            <w:t>J.K. Buitelaar, G.H.H. van de Loo-Neus, L. Hennissen, C.U. Greven, P.J. Hoekstra, P. Nagy, A. Ramos-Quiroga, E. Rosenthal, S. Kabir, K.K.C. Man, W. IC, D. Coghill, A. Häge, T. Banaschewski, S.K. Inglis, S. Carucci, M. Danckaerts, R.W. Dittmann, B. Falissard, P. Garas, C. Hollis, K. Konrad, H. Kovshoff, E. Liddle, S. McCarthy, A. Neubert, E.J.S. Sonuga-Barke, A. Zuddas, Long-term methylphenidate exposure and 24-hours blood pressure and left ventricular mass in adolescents and young adults with attention deficit hyperactivity disorder, European Neuropsychopharmacology 64 (2022) 63–71. https://doi.org/10.1016/j.euroneuro.2022.09.001.</w:t>
          </w:r>
        </w:p>
        <w:p w14:paraId="30217507" w14:textId="77777777" w:rsidR="00B43409" w:rsidRPr="00B43409" w:rsidRDefault="00B43409">
          <w:pPr>
            <w:autoSpaceDE w:val="0"/>
            <w:autoSpaceDN w:val="0"/>
            <w:ind w:hanging="640"/>
            <w:divId w:val="269438286"/>
            <w:rPr>
              <w:rFonts w:eastAsia="Times New Roman"/>
              <w:color w:val="000000"/>
            </w:rPr>
          </w:pPr>
          <w:r w:rsidRPr="00B43409">
            <w:rPr>
              <w:rFonts w:eastAsia="Times New Roman"/>
              <w:color w:val="000000"/>
            </w:rPr>
            <w:lastRenderedPageBreak/>
            <w:t>[462]</w:t>
          </w:r>
          <w:r w:rsidRPr="00B43409">
            <w:rPr>
              <w:rFonts w:eastAsia="Times New Roman"/>
              <w:color w:val="000000"/>
            </w:rPr>
            <w:tab/>
            <w:t>S. Grisaru, M.W. Yue, J.C. Mah, L.A. Hamiwka, Ambulatory blood pressure monitoring in a cohort of children referred with suspected hypertension: Characteristics of children with and without attention deficit hyperactivity disorder, Int. J. Hypertens. 2013 (2013). https://doi.org/10.1155/2013/419208.</w:t>
          </w:r>
        </w:p>
        <w:p w14:paraId="0E934F55" w14:textId="77777777" w:rsidR="00B43409" w:rsidRPr="00B43409" w:rsidRDefault="00B43409">
          <w:pPr>
            <w:autoSpaceDE w:val="0"/>
            <w:autoSpaceDN w:val="0"/>
            <w:ind w:hanging="640"/>
            <w:divId w:val="1538816834"/>
            <w:rPr>
              <w:rFonts w:eastAsia="Times New Roman"/>
              <w:color w:val="000000"/>
            </w:rPr>
          </w:pPr>
          <w:r w:rsidRPr="00B43409">
            <w:rPr>
              <w:rFonts w:eastAsia="Times New Roman"/>
              <w:color w:val="000000"/>
            </w:rPr>
            <w:t>[463]</w:t>
          </w:r>
          <w:r w:rsidRPr="00B43409">
            <w:rPr>
              <w:rFonts w:eastAsia="Times New Roman"/>
              <w:color w:val="000000"/>
            </w:rPr>
            <w:tab/>
            <w:t>Q. Luo, N. Li, Q. Zhu, X. Yao, M. Wang, M. Heizhati, X. Cai, J. Hu, A. Abulimiti, L. Yao, X. Li, L. Gan, Non-dipping blood pressure pattern is associated with higher risk of new-onset diabetes in hypertensive patients with obstructive sleep apnea: UROSAH data, Front. Endocrinol. (Lausanne). 14 (2023) 1–13. https://doi.org/10.3389/fendo.2023.1083179.</w:t>
          </w:r>
        </w:p>
        <w:p w14:paraId="445735C9" w14:textId="77777777" w:rsidR="00B43409" w:rsidRPr="00B43409" w:rsidRDefault="00B43409">
          <w:pPr>
            <w:autoSpaceDE w:val="0"/>
            <w:autoSpaceDN w:val="0"/>
            <w:ind w:hanging="640"/>
            <w:divId w:val="1998412036"/>
            <w:rPr>
              <w:rFonts w:eastAsia="Times New Roman"/>
              <w:color w:val="000000"/>
            </w:rPr>
          </w:pPr>
          <w:r w:rsidRPr="00B43409">
            <w:rPr>
              <w:rFonts w:eastAsia="Times New Roman"/>
              <w:color w:val="000000"/>
            </w:rPr>
            <w:t>[464]</w:t>
          </w:r>
          <w:r w:rsidRPr="00B43409">
            <w:rPr>
              <w:rFonts w:eastAsia="Times New Roman"/>
              <w:color w:val="000000"/>
            </w:rPr>
            <w:tab/>
            <w:t>R. Kumar, P.K. Dubey, A. Zafer, A. Kumar, S. Yadav, Past, present and future of blood pressure measuring instruments and their calibration, Measurement (Lond). 172 (2021) 108845. https://doi.org/10.1016/j.measurement.2020.108845.</w:t>
          </w:r>
        </w:p>
        <w:p w14:paraId="60B74BEA" w14:textId="77777777" w:rsidR="00B43409" w:rsidRPr="00B43409" w:rsidRDefault="00B43409">
          <w:pPr>
            <w:autoSpaceDE w:val="0"/>
            <w:autoSpaceDN w:val="0"/>
            <w:ind w:hanging="640"/>
            <w:divId w:val="1096898534"/>
            <w:rPr>
              <w:rFonts w:eastAsia="Times New Roman"/>
              <w:color w:val="000000"/>
            </w:rPr>
          </w:pPr>
          <w:r w:rsidRPr="00B43409">
            <w:rPr>
              <w:rFonts w:eastAsia="Times New Roman"/>
              <w:color w:val="000000"/>
            </w:rPr>
            <w:t>[465]</w:t>
          </w:r>
          <w:r w:rsidRPr="00B43409">
            <w:rPr>
              <w:rFonts w:eastAsia="Times New Roman"/>
              <w:color w:val="000000"/>
            </w:rPr>
            <w:tab/>
            <w:t>ISO, Non-invasive sphygmomanometers—Part 2: Clinical investigation of the intermittent automated measurement type, AAMI, 2019. https://doi.org/10.2345/9781570207228.ch1.</w:t>
          </w:r>
        </w:p>
        <w:p w14:paraId="72E83F6C" w14:textId="77777777" w:rsidR="00B43409" w:rsidRPr="00B43409" w:rsidRDefault="00B43409">
          <w:pPr>
            <w:autoSpaceDE w:val="0"/>
            <w:autoSpaceDN w:val="0"/>
            <w:ind w:hanging="640"/>
            <w:divId w:val="1622803141"/>
            <w:rPr>
              <w:rFonts w:eastAsia="Times New Roman"/>
              <w:color w:val="000000"/>
            </w:rPr>
          </w:pPr>
          <w:r w:rsidRPr="00B43409">
            <w:rPr>
              <w:rFonts w:eastAsia="Times New Roman"/>
              <w:color w:val="000000"/>
            </w:rPr>
            <w:t>[466]</w:t>
          </w:r>
          <w:r w:rsidRPr="00B43409">
            <w:rPr>
              <w:rFonts w:eastAsia="Times New Roman"/>
              <w:color w:val="000000"/>
            </w:rPr>
            <w:tab/>
            <w:t>G.S. Stergiou, B. Alpert, S. Mieke, R. Asmar, N. Atkins, S. Eckert, G. Frick, B. Friedman, T. Graßl, T. Ichikawa, J.P. Ioannidis, P. Lacy, R. McManus, A. Murray, M. Myers, P. Palatini, G. Parati, D. Quinn, J. Sarkis, A. Shennan, T. Usuda, J. Wang, C.O. Wu, E. O’Brien, A universal standard for the validation of blood pressure measuring devices: Association for the Advancement of Medical Instrumentation/European Society of Hypertension/International Organization for Standardization (AAMI/ESH/ISO) Collaboration Statement, Hypertension 71 (2018) 368–374. https://doi.org/10.1161/HYPERTENSIONAHA.117.10237.</w:t>
          </w:r>
        </w:p>
        <w:p w14:paraId="52D61642" w14:textId="77777777" w:rsidR="00B43409" w:rsidRPr="00B43409" w:rsidRDefault="00B43409">
          <w:pPr>
            <w:autoSpaceDE w:val="0"/>
            <w:autoSpaceDN w:val="0"/>
            <w:ind w:hanging="640"/>
            <w:divId w:val="259996762"/>
            <w:rPr>
              <w:rFonts w:eastAsia="Times New Roman"/>
              <w:color w:val="000000"/>
            </w:rPr>
          </w:pPr>
          <w:r w:rsidRPr="00B43409">
            <w:rPr>
              <w:rFonts w:eastAsia="Times New Roman"/>
              <w:color w:val="000000"/>
            </w:rPr>
            <w:t>[467]</w:t>
          </w:r>
          <w:r w:rsidRPr="00B43409">
            <w:rPr>
              <w:rFonts w:eastAsia="Times New Roman"/>
              <w:color w:val="000000"/>
            </w:rPr>
            <w:tab/>
            <w:t>J.R. Hu, G. Martin, S. Iyengar, L.C. Kovell, T.B. Plante, N. van Helmond, R.A. Dart, T.M. Brady, R.A.N. Turkson-Ocran, S.P. Juraschek, Validating cuffless continuous blood pressure monitoring devices, Cardiovasc. Digit. Health J. 4 (2023) 9–20. https://doi.org/10.1016/j.cvdhj.2023.01.001.</w:t>
          </w:r>
        </w:p>
        <w:p w14:paraId="7A20BDE9" w14:textId="77777777" w:rsidR="00B43409" w:rsidRPr="00B43409" w:rsidRDefault="00B43409">
          <w:pPr>
            <w:autoSpaceDE w:val="0"/>
            <w:autoSpaceDN w:val="0"/>
            <w:ind w:hanging="640"/>
            <w:divId w:val="1841658994"/>
            <w:rPr>
              <w:rFonts w:eastAsia="Times New Roman"/>
              <w:color w:val="000000"/>
            </w:rPr>
          </w:pPr>
          <w:r w:rsidRPr="00B43409">
            <w:rPr>
              <w:rFonts w:eastAsia="Times New Roman"/>
              <w:color w:val="000000"/>
            </w:rPr>
            <w:t>[468]</w:t>
          </w:r>
          <w:r w:rsidRPr="00B43409">
            <w:rPr>
              <w:rFonts w:eastAsia="Times New Roman"/>
              <w:color w:val="000000"/>
            </w:rPr>
            <w:tab/>
            <w:t>B. Henry, M. Merz, H. Hoang, G. Abdulkarim, J. Wosik, P. Schoettker, Cuffless Blood Pressure in clinical practice: challenges, opportunities and current limits., Blood Press. 33 (2024). https://doi.org/10.1080/08037051.2024.2304190.</w:t>
          </w:r>
        </w:p>
        <w:p w14:paraId="55228EFA" w14:textId="77777777" w:rsidR="00B43409" w:rsidRPr="00B43409" w:rsidRDefault="00B43409">
          <w:pPr>
            <w:autoSpaceDE w:val="0"/>
            <w:autoSpaceDN w:val="0"/>
            <w:ind w:hanging="640"/>
            <w:divId w:val="1174220911"/>
            <w:rPr>
              <w:rFonts w:eastAsia="Times New Roman"/>
              <w:color w:val="000000"/>
            </w:rPr>
          </w:pPr>
          <w:r w:rsidRPr="00B43409">
            <w:rPr>
              <w:rFonts w:eastAsia="Times New Roman"/>
              <w:color w:val="000000"/>
            </w:rPr>
            <w:t>[469]</w:t>
          </w:r>
          <w:r w:rsidRPr="00B43409">
            <w:rPr>
              <w:rFonts w:eastAsia="Times New Roman"/>
              <w:color w:val="000000"/>
            </w:rPr>
            <w:tab/>
            <w:t>G.S. Stergiou, P. Palatini, G. Parati, E. O’Brien, A. Januszewicz, E. Lurbe, A. Persu, G. Mancia, R. Kreutz, 2021 European Society of Hypertension practice guidelines for office and out-of-office blood pressure measurement, J. Hypertens. 39 (2021) 1293–1302. https://doi.org/10.1097/HJH.0000000000002843.</w:t>
          </w:r>
        </w:p>
        <w:p w14:paraId="29D3E610" w14:textId="77777777" w:rsidR="00B43409" w:rsidRPr="00B43409" w:rsidRDefault="00B43409">
          <w:pPr>
            <w:autoSpaceDE w:val="0"/>
            <w:autoSpaceDN w:val="0"/>
            <w:ind w:hanging="640"/>
            <w:divId w:val="581960325"/>
            <w:rPr>
              <w:rFonts w:eastAsia="Times New Roman"/>
              <w:color w:val="000000"/>
            </w:rPr>
          </w:pPr>
          <w:r w:rsidRPr="00B43409">
            <w:rPr>
              <w:rFonts w:eastAsia="Times New Roman"/>
              <w:color w:val="000000"/>
            </w:rPr>
            <w:t>[470]</w:t>
          </w:r>
          <w:r w:rsidRPr="00B43409">
            <w:rPr>
              <w:rFonts w:eastAsia="Times New Roman"/>
              <w:color w:val="000000"/>
            </w:rPr>
            <w:tab/>
            <w:t>B. Williams, G. Mancia, W. Spiering, E.A. Rosei, M. Azizi, M. Burnier, D.L. Clement, A. Coca, G. De Simone, A. Dominiczak, T. Kahan, F. Mahfoud, J. Redon, L. Ruilope, A. Zanchetti, M. Kerins, S.E. Kjeldsen, R. Kreutz, S. Laurent, G.Y.H. Lip, R. McManus, K. Narkiewicz, F. Ruschitzka, R.E. Schmieder, E. Shlyakhto, C. Tsioufis, V. Aboyans, I. Desormais, 2018 ESC/ESH Guidelines for the management of arterial hypertension, Kardiol. Pol. 77 (2019) 71–159. https://doi.org/10.5603/KP.2019.0018.</w:t>
          </w:r>
        </w:p>
        <w:p w14:paraId="412DB41A" w14:textId="77777777" w:rsidR="00B43409" w:rsidRPr="00B43409" w:rsidRDefault="00B43409">
          <w:pPr>
            <w:autoSpaceDE w:val="0"/>
            <w:autoSpaceDN w:val="0"/>
            <w:ind w:hanging="640"/>
            <w:divId w:val="802695687"/>
            <w:rPr>
              <w:rFonts w:eastAsia="Times New Roman"/>
              <w:color w:val="000000"/>
            </w:rPr>
          </w:pPr>
          <w:r w:rsidRPr="00B43409">
            <w:rPr>
              <w:rFonts w:eastAsia="Times New Roman"/>
              <w:color w:val="000000"/>
            </w:rPr>
            <w:t>[471]</w:t>
          </w:r>
          <w:r w:rsidRPr="00B43409">
            <w:rPr>
              <w:rFonts w:eastAsia="Times New Roman"/>
              <w:color w:val="000000"/>
            </w:rPr>
            <w:tab/>
            <w:t>T.G. Pickering, J.E. Hall, L.J. Appel, B.E. Falkner, J.W. Graves, M.N. Hill, D.W. Jones, T. Kurtz, S.G. Sheps, E.J. Roccella, Recommendations for Blood Pressure Measurement in Humans: An AHA Scientific Statement from the Council on High Blood Pressure Research Professional and Public Education Subcommittee, The Journal of Clinical Hypertension 7 (2005) 102–109. https://doi.org/10.1111/j.1524-6175.2005.04377.x.</w:t>
          </w:r>
        </w:p>
        <w:p w14:paraId="11631D71" w14:textId="77777777" w:rsidR="00B43409" w:rsidRPr="00B43409" w:rsidRDefault="00B43409">
          <w:pPr>
            <w:autoSpaceDE w:val="0"/>
            <w:autoSpaceDN w:val="0"/>
            <w:ind w:hanging="640"/>
            <w:divId w:val="1279604015"/>
            <w:rPr>
              <w:rFonts w:eastAsia="Times New Roman"/>
              <w:color w:val="000000"/>
            </w:rPr>
          </w:pPr>
          <w:r w:rsidRPr="00B43409">
            <w:rPr>
              <w:rFonts w:eastAsia="Times New Roman"/>
              <w:color w:val="000000"/>
            </w:rPr>
            <w:t>[472]</w:t>
          </w:r>
          <w:r w:rsidRPr="00B43409">
            <w:rPr>
              <w:rFonts w:eastAsia="Times New Roman"/>
              <w:color w:val="000000"/>
            </w:rPr>
            <w:tab/>
            <w:t>S. Maqsood, S. Xu, M. Springer, R. Mohawesh, H.B. Salameh, S. Gheewala, Temporal attention to estimate continuous blood pressure using photoplethysmography signals, Cluster Comput. 28 (2025). https://doi.org/10.1007/s10586-025-05185-4.</w:t>
          </w:r>
        </w:p>
        <w:p w14:paraId="226D4348" w14:textId="77777777" w:rsidR="00B43409" w:rsidRPr="00B43409" w:rsidRDefault="00B43409">
          <w:pPr>
            <w:autoSpaceDE w:val="0"/>
            <w:autoSpaceDN w:val="0"/>
            <w:ind w:hanging="640"/>
            <w:divId w:val="2138377898"/>
            <w:rPr>
              <w:rFonts w:eastAsia="Times New Roman"/>
              <w:color w:val="000000"/>
            </w:rPr>
          </w:pPr>
          <w:r w:rsidRPr="00B43409">
            <w:rPr>
              <w:rFonts w:eastAsia="Times New Roman"/>
              <w:color w:val="000000"/>
            </w:rPr>
            <w:lastRenderedPageBreak/>
            <w:t>[473]</w:t>
          </w:r>
          <w:r w:rsidRPr="00B43409">
            <w:rPr>
              <w:rFonts w:eastAsia="Times New Roman"/>
              <w:color w:val="000000"/>
            </w:rPr>
            <w:tab/>
            <w:t>F. Boschi, V. Figini, G. Pagana, M. Visintin, G. Scholar, Optimized Cuffless Blood Pressure Measurement Using ECG , PPG and Linear Regression, (2023). https://doi.org/10.20944/preprints202312.0273.v1.</w:t>
          </w:r>
        </w:p>
        <w:p w14:paraId="54BAE2B8" w14:textId="77777777" w:rsidR="00B43409" w:rsidRPr="00B43409" w:rsidRDefault="00B43409">
          <w:pPr>
            <w:autoSpaceDE w:val="0"/>
            <w:autoSpaceDN w:val="0"/>
            <w:ind w:hanging="640"/>
            <w:divId w:val="729960007"/>
            <w:rPr>
              <w:rFonts w:eastAsia="Times New Roman"/>
              <w:color w:val="000000"/>
            </w:rPr>
          </w:pPr>
          <w:r w:rsidRPr="00B43409">
            <w:rPr>
              <w:rFonts w:eastAsia="Times New Roman"/>
              <w:color w:val="000000"/>
            </w:rPr>
            <w:t>[474]</w:t>
          </w:r>
          <w:r w:rsidRPr="00B43409">
            <w:rPr>
              <w:rFonts w:eastAsia="Times New Roman"/>
              <w:color w:val="000000"/>
            </w:rPr>
            <w:tab/>
            <w:t>F. Deng, J. Zhang, Y. Jia, A denoising strategy for the improvements of PPGi’s signal-to-noise-ratio, J. Phys. Conf. Ser. 1607 (2020). https://doi.org/10.1088/1742-6596/1607/1/012088.</w:t>
          </w:r>
        </w:p>
        <w:p w14:paraId="20988436" w14:textId="77777777" w:rsidR="00B43409" w:rsidRPr="00B43409" w:rsidRDefault="00B43409">
          <w:pPr>
            <w:autoSpaceDE w:val="0"/>
            <w:autoSpaceDN w:val="0"/>
            <w:ind w:hanging="640"/>
            <w:divId w:val="175002311"/>
            <w:rPr>
              <w:rFonts w:eastAsia="Times New Roman"/>
              <w:color w:val="000000"/>
            </w:rPr>
          </w:pPr>
          <w:r w:rsidRPr="00B43409">
            <w:rPr>
              <w:rFonts w:eastAsia="Times New Roman"/>
              <w:color w:val="000000"/>
            </w:rPr>
            <w:t>[475]</w:t>
          </w:r>
          <w:r w:rsidRPr="00B43409">
            <w:rPr>
              <w:rFonts w:eastAsia="Times New Roman"/>
              <w:color w:val="000000"/>
            </w:rPr>
            <w:tab/>
            <w:t>H.S. Choi, H.S. Myoung, H.K. Lee, H.D. Park, K.J. Lee, A new noise reduction method for oscillometric blood pressure measurement, Proceedings of the 30th Annual International Conference of the IEEE Engineering in Medicine and Biology Society, EMBS’08 - “Personalized Healthcare through Technology” 5 (2008) 270–272. https://doi.org/10.1109/iembs.2008.4649142.</w:t>
          </w:r>
        </w:p>
        <w:p w14:paraId="1614DD84" w14:textId="77777777" w:rsidR="00B43409" w:rsidRPr="00B43409" w:rsidRDefault="00B43409">
          <w:pPr>
            <w:autoSpaceDE w:val="0"/>
            <w:autoSpaceDN w:val="0"/>
            <w:ind w:hanging="640"/>
            <w:divId w:val="442267549"/>
            <w:rPr>
              <w:rFonts w:eastAsia="Times New Roman"/>
              <w:color w:val="000000"/>
            </w:rPr>
          </w:pPr>
          <w:r w:rsidRPr="00B43409">
            <w:rPr>
              <w:rFonts w:eastAsia="Times New Roman"/>
              <w:color w:val="000000"/>
            </w:rPr>
            <w:t>[476]</w:t>
          </w:r>
          <w:r w:rsidRPr="00B43409">
            <w:rPr>
              <w:rFonts w:eastAsia="Times New Roman"/>
              <w:color w:val="000000"/>
            </w:rPr>
            <w:tab/>
            <w:t>I. Baik, N.H. Kim, S.H. Kim, C. Shin, Association of blood pressure measurements in sitting, supine, and standing positions with the 10-year risk of mortality in Korean adults, Epidemiol. Health 45 (2023) e2023055. https://doi.org/10.4178/epih.e2023055.</w:t>
          </w:r>
        </w:p>
        <w:p w14:paraId="3982D8E3" w14:textId="77777777" w:rsidR="00B43409" w:rsidRPr="00B43409" w:rsidRDefault="00B43409">
          <w:pPr>
            <w:autoSpaceDE w:val="0"/>
            <w:autoSpaceDN w:val="0"/>
            <w:ind w:hanging="640"/>
            <w:divId w:val="44185756"/>
            <w:rPr>
              <w:rFonts w:eastAsia="Times New Roman"/>
              <w:color w:val="000000"/>
            </w:rPr>
          </w:pPr>
          <w:r w:rsidRPr="00B43409">
            <w:rPr>
              <w:rFonts w:eastAsia="Times New Roman"/>
              <w:color w:val="000000"/>
            </w:rPr>
            <w:t>[477]</w:t>
          </w:r>
          <w:r w:rsidRPr="00B43409">
            <w:rPr>
              <w:rFonts w:eastAsia="Times New Roman"/>
              <w:color w:val="000000"/>
            </w:rPr>
            <w:tab/>
            <w:t>G. Montalescot, U. Sechtem, S. Achenbach, F. Andreotti, C. Arden, A. Budaj, R. Bugiardini, F. Crea, T. Cuisset, C. Di Mario, J.R. Ferreira, B.J. Gersh, A.K. Gitt, J.S. Hulot, N. Marx, L.H. Opie, M. Pfisterer, E. Prescott, F. Ruschitzka, M. Sabaté, R. Senior, D.P. Taggart, E.E. Van Der Wall, C.J.M. Vrints, J.L. Zamorano, H. Baumgartner, J.J. Bax, H. Bueno, V. Dean, C. Deaton, C. Erol, R. Fagard, R. Ferrari, D. Hasdai, A.W. Hoes, P. Kirchhof, J. Knuuti, P. Kolh, P. Lancellotti, A. Linhart, P. Nihoyannopoulos, M.F. Piepoli, P. Ponikowski, P.A. Sirnes, J.L. Tamargo, M. Tendera, A. Torbicki, W. Wijns, S. Windecker, M. Valgimigli, M.J. Claeys, N. Donner-Banzhoff, H. Frank, C. Funck-Brentano, O. Gaemperli, J.R. Gonzalez-Juanatey, M. Hamilos, S. Husted, S.K. James, K. Kervinen, S.D. Kristensen, A. Pietro Maggioni, F. Romeo, L. Rydén, M.L. Simoons, P.G. Steg, A. Timmis, A. Yildirir, 2013 ESC guidelines on the management of stable coronary artery disease, Eur. Heart J. 34 (2013) 2949–3003. https://doi.org/10.1093/eurheartj/eht296.</w:t>
          </w:r>
        </w:p>
        <w:p w14:paraId="6BC73E53" w14:textId="77777777" w:rsidR="00B43409" w:rsidRPr="00B43409" w:rsidRDefault="00B43409">
          <w:pPr>
            <w:autoSpaceDE w:val="0"/>
            <w:autoSpaceDN w:val="0"/>
            <w:ind w:hanging="640"/>
            <w:divId w:val="1033842284"/>
            <w:rPr>
              <w:rFonts w:eastAsia="Times New Roman"/>
              <w:color w:val="000000"/>
            </w:rPr>
          </w:pPr>
          <w:r w:rsidRPr="00B43409">
            <w:rPr>
              <w:rFonts w:eastAsia="Times New Roman"/>
              <w:color w:val="000000"/>
            </w:rPr>
            <w:t>[478]</w:t>
          </w:r>
          <w:r w:rsidRPr="00B43409">
            <w:rPr>
              <w:rFonts w:eastAsia="Times New Roman"/>
              <w:color w:val="000000"/>
            </w:rPr>
            <w:tab/>
            <w:t>K. Rishi Vardhan, S. Vedanth, G. Poojah, K. Abhishek, M. Nitish Kumar, V. Vijayaraghavan, BP-Net: Efficient Deep Learning for Continuous Arterial Blood Pressure Estimation using Photoplethysmogram, Proceedings - 20th IEEE International Conference on Machine Learning and Applications, ICMLA 2021 (2021) 1495–1500. https://doi.org/10.1109/ICMLA52953.2021.00241.</w:t>
          </w:r>
        </w:p>
        <w:p w14:paraId="55AEE964" w14:textId="77777777" w:rsidR="00B43409" w:rsidRPr="00B43409" w:rsidRDefault="00B43409">
          <w:pPr>
            <w:autoSpaceDE w:val="0"/>
            <w:autoSpaceDN w:val="0"/>
            <w:ind w:hanging="640"/>
            <w:divId w:val="1191183597"/>
            <w:rPr>
              <w:rFonts w:eastAsia="Times New Roman"/>
              <w:color w:val="000000"/>
            </w:rPr>
          </w:pPr>
          <w:r w:rsidRPr="00B43409">
            <w:rPr>
              <w:rFonts w:eastAsia="Times New Roman"/>
              <w:color w:val="000000"/>
            </w:rPr>
            <w:t>[479]</w:t>
          </w:r>
          <w:r w:rsidRPr="00B43409">
            <w:rPr>
              <w:rFonts w:eastAsia="Times New Roman"/>
              <w:color w:val="000000"/>
            </w:rPr>
            <w:tab/>
            <w:t>T.G. Papaioannou, A.D. Protogerou, D. Vrachatis, G. Konstantonis, E. Aissopou, A. Argyris, E. Nasothimiou, E.J. Gialafos, M. Karamanou, D. Tousoulis, P.P. Sfikakis, Mean arterial pressure values calculated using seven different methods and their associations with target organ deterioration in a single-center study of 1878 individuals, Hypertension Research 39 (2016) 640–647. https://doi.org/10.1038/hr.2016.41.</w:t>
          </w:r>
        </w:p>
        <w:p w14:paraId="323C8941" w14:textId="77777777" w:rsidR="00B43409" w:rsidRPr="00B43409" w:rsidRDefault="00B43409">
          <w:pPr>
            <w:autoSpaceDE w:val="0"/>
            <w:autoSpaceDN w:val="0"/>
            <w:ind w:hanging="640"/>
            <w:divId w:val="361975195"/>
            <w:rPr>
              <w:rFonts w:eastAsia="Times New Roman"/>
              <w:color w:val="000000"/>
            </w:rPr>
          </w:pPr>
          <w:r w:rsidRPr="00B43409">
            <w:rPr>
              <w:rFonts w:eastAsia="Times New Roman"/>
              <w:color w:val="000000"/>
            </w:rPr>
            <w:t>[480]</w:t>
          </w:r>
          <w:r w:rsidRPr="00B43409">
            <w:rPr>
              <w:rFonts w:eastAsia="Times New Roman"/>
              <w:color w:val="000000"/>
            </w:rPr>
            <w:tab/>
            <w:t>H.D. Kiers, J.M. Hofstra, J.F.M. Wetzels, Oscillometric blood pressure measurements: Differences between measured and calculated mean arterial pressure, Netherlands Journal of Medicine 66 (2008) 474–479.</w:t>
          </w:r>
        </w:p>
        <w:p w14:paraId="576A59FB" w14:textId="77777777" w:rsidR="00B43409" w:rsidRPr="00B43409" w:rsidRDefault="00B43409">
          <w:pPr>
            <w:autoSpaceDE w:val="0"/>
            <w:autoSpaceDN w:val="0"/>
            <w:ind w:hanging="640"/>
            <w:divId w:val="911159622"/>
            <w:rPr>
              <w:rFonts w:eastAsia="Times New Roman"/>
              <w:color w:val="000000"/>
            </w:rPr>
          </w:pPr>
          <w:r w:rsidRPr="00B43409">
            <w:rPr>
              <w:rFonts w:eastAsia="Times New Roman"/>
              <w:color w:val="000000"/>
            </w:rPr>
            <w:t>[481]</w:t>
          </w:r>
          <w:r w:rsidRPr="00B43409">
            <w:rPr>
              <w:rFonts w:eastAsia="Times New Roman"/>
              <w:color w:val="000000"/>
            </w:rPr>
            <w:tab/>
            <w:t>G. Parati, G.S. Stergiou, E. Dolan, G. Bilo, Blood pressure variability: clinical relevance and application, The Journal of Clinical Hypertension 20 (2018) 1133–1137. https://doi.org/10.1111/jch.13304.</w:t>
          </w:r>
        </w:p>
        <w:p w14:paraId="260AC415" w14:textId="77777777" w:rsidR="00B43409" w:rsidRPr="00B43409" w:rsidRDefault="00B43409">
          <w:pPr>
            <w:autoSpaceDE w:val="0"/>
            <w:autoSpaceDN w:val="0"/>
            <w:ind w:hanging="640"/>
            <w:divId w:val="535628986"/>
            <w:rPr>
              <w:rFonts w:eastAsia="Times New Roman"/>
              <w:color w:val="000000"/>
            </w:rPr>
          </w:pPr>
          <w:r w:rsidRPr="00B43409">
            <w:rPr>
              <w:rFonts w:eastAsia="Times New Roman"/>
              <w:color w:val="000000"/>
            </w:rPr>
            <w:t>[482]</w:t>
          </w:r>
          <w:r w:rsidRPr="00B43409">
            <w:rPr>
              <w:rFonts w:eastAsia="Times New Roman"/>
              <w:color w:val="000000"/>
            </w:rPr>
            <w:tab/>
            <w:t>E. Vidal-Petiot, A. Stebbins, K. Chiswell, D. Ardissino, P.E. Aylward, C.P. Cannon, M.A. Ramos Corrales, C. Held, J.L. López-Sendón, R.A.H. Stewart, L. Wallentin, H.D. White, P.G. Steg, Visit-to-visit variability of blood pressure and cardiovascular outcomes in patients with stable coronary heart disease. Insights from the STABILITY trial, Eur. Heart J. 38 (2017) 2813–2822. https://doi.org/10.1093/eurheartj/ehx250.</w:t>
          </w:r>
        </w:p>
        <w:p w14:paraId="06112190" w14:textId="77777777" w:rsidR="00B43409" w:rsidRPr="00B43409" w:rsidRDefault="00B43409">
          <w:pPr>
            <w:autoSpaceDE w:val="0"/>
            <w:autoSpaceDN w:val="0"/>
            <w:ind w:hanging="640"/>
            <w:divId w:val="1714112430"/>
            <w:rPr>
              <w:rFonts w:eastAsia="Times New Roman"/>
              <w:color w:val="000000"/>
            </w:rPr>
          </w:pPr>
          <w:r w:rsidRPr="00B43409">
            <w:rPr>
              <w:rFonts w:eastAsia="Times New Roman"/>
              <w:color w:val="000000"/>
            </w:rPr>
            <w:t>[483]</w:t>
          </w:r>
          <w:r w:rsidRPr="00B43409">
            <w:rPr>
              <w:rFonts w:eastAsia="Times New Roman"/>
              <w:color w:val="000000"/>
            </w:rPr>
            <w:tab/>
            <w:t>S. Chikhi, N. Matton, S. Blanchet, EEG power spectral measures of cognitive workload: A meta-analysis, Psychophysiology 59 (2022) 1–24. https://doi.org/10.1111/psyp.14009.</w:t>
          </w:r>
        </w:p>
        <w:p w14:paraId="5A41532C" w14:textId="77777777" w:rsidR="00B43409" w:rsidRPr="00B43409" w:rsidRDefault="00B43409">
          <w:pPr>
            <w:autoSpaceDE w:val="0"/>
            <w:autoSpaceDN w:val="0"/>
            <w:ind w:hanging="640"/>
            <w:divId w:val="808476219"/>
            <w:rPr>
              <w:rFonts w:eastAsia="Times New Roman"/>
              <w:color w:val="000000"/>
            </w:rPr>
          </w:pPr>
          <w:r w:rsidRPr="00B43409">
            <w:rPr>
              <w:rFonts w:eastAsia="Times New Roman"/>
              <w:color w:val="000000"/>
            </w:rPr>
            <w:lastRenderedPageBreak/>
            <w:t>[484]</w:t>
          </w:r>
          <w:r w:rsidRPr="00B43409">
            <w:rPr>
              <w:rFonts w:eastAsia="Times New Roman"/>
              <w:color w:val="000000"/>
            </w:rPr>
            <w:tab/>
            <w:t>E. Wascher, J. Reiser, G. Rinkenauer, M. Larrá, F.A. Dreger, D. Schneider, M. Karthaus, S. Getzmann, M. Gutberlet, S. Arnau, Neuroergonomics on the Go: An Evaluation of the Potential of Mobile EEG for Workplace Assessment and Design, Hum. Factors 65 (2023) 86–106. https://doi.org/10.1177/00187208211007707.</w:t>
          </w:r>
        </w:p>
        <w:p w14:paraId="1720B23A" w14:textId="77777777" w:rsidR="00B43409" w:rsidRPr="00B43409" w:rsidRDefault="00B43409">
          <w:pPr>
            <w:autoSpaceDE w:val="0"/>
            <w:autoSpaceDN w:val="0"/>
            <w:ind w:hanging="640"/>
            <w:divId w:val="32850845"/>
            <w:rPr>
              <w:rFonts w:eastAsia="Times New Roman"/>
              <w:color w:val="000000"/>
            </w:rPr>
          </w:pPr>
          <w:r w:rsidRPr="00B43409">
            <w:rPr>
              <w:rFonts w:eastAsia="Times New Roman"/>
              <w:color w:val="000000"/>
            </w:rPr>
            <w:t>[485]</w:t>
          </w:r>
          <w:r w:rsidRPr="00B43409">
            <w:rPr>
              <w:rFonts w:eastAsia="Times New Roman"/>
              <w:color w:val="000000"/>
            </w:rPr>
            <w:tab/>
            <w:t>M.M. Swerdloff, L.J. Hargrove, Dry EEG measurement of P3 to evaluate cognitive load during sitting, standing, and walking, PLoS One 18 (2023) 1–16. https://doi.org/10.1371/journal.pone.0287885.</w:t>
          </w:r>
        </w:p>
        <w:p w14:paraId="5C621C7B" w14:textId="77777777" w:rsidR="00B43409" w:rsidRPr="00B43409" w:rsidRDefault="00B43409">
          <w:pPr>
            <w:autoSpaceDE w:val="0"/>
            <w:autoSpaceDN w:val="0"/>
            <w:ind w:hanging="640"/>
            <w:divId w:val="935361036"/>
            <w:rPr>
              <w:rFonts w:eastAsia="Times New Roman"/>
              <w:color w:val="000000"/>
            </w:rPr>
          </w:pPr>
          <w:r w:rsidRPr="00B43409">
            <w:rPr>
              <w:rFonts w:eastAsia="Times New Roman"/>
              <w:color w:val="000000"/>
            </w:rPr>
            <w:t>[486]</w:t>
          </w:r>
          <w:r w:rsidRPr="00B43409">
            <w:rPr>
              <w:rFonts w:eastAsia="Times New Roman"/>
              <w:color w:val="000000"/>
            </w:rPr>
            <w:tab/>
            <w:t>S. Ladouce, M. Pietzker, D. Manzey, F. Dehais, Evaluation of a headphones-fitted EEG system for the recording of auditory evoked potentials and mental workload assessment, Behavioural Brain Research 460 (2024) 114827. https://doi.org/10.1016/j.bbr.2023.114827.</w:t>
          </w:r>
        </w:p>
        <w:p w14:paraId="3AEB8A7A" w14:textId="77777777" w:rsidR="00B43409" w:rsidRPr="00B43409" w:rsidRDefault="00B43409">
          <w:pPr>
            <w:autoSpaceDE w:val="0"/>
            <w:autoSpaceDN w:val="0"/>
            <w:ind w:hanging="640"/>
            <w:divId w:val="2138142896"/>
            <w:rPr>
              <w:rFonts w:eastAsia="Times New Roman"/>
              <w:color w:val="000000"/>
            </w:rPr>
          </w:pPr>
          <w:r w:rsidRPr="00B43409">
            <w:rPr>
              <w:rFonts w:eastAsia="Times New Roman"/>
              <w:color w:val="000000"/>
            </w:rPr>
            <w:t>[487]</w:t>
          </w:r>
          <w:r w:rsidRPr="00B43409">
            <w:rPr>
              <w:rFonts w:eastAsia="Times New Roman"/>
              <w:color w:val="000000"/>
            </w:rPr>
            <w:tab/>
            <w:t>N. Charkoudian, Skin blood flow in adult human thermoregulation: How it works, when it does not, and why, Mayo Clin. Proc. 78 (2003) 603–612. https://doi.org/10.4065/78.5.603.</w:t>
          </w:r>
        </w:p>
        <w:p w14:paraId="792C4475" w14:textId="77777777" w:rsidR="00B43409" w:rsidRPr="00B43409" w:rsidRDefault="00B43409">
          <w:pPr>
            <w:autoSpaceDE w:val="0"/>
            <w:autoSpaceDN w:val="0"/>
            <w:ind w:hanging="640"/>
            <w:divId w:val="62876869"/>
            <w:rPr>
              <w:rFonts w:eastAsia="Times New Roman"/>
              <w:color w:val="000000"/>
            </w:rPr>
          </w:pPr>
          <w:r w:rsidRPr="00B43409">
            <w:rPr>
              <w:rFonts w:eastAsia="Times New Roman"/>
              <w:color w:val="000000"/>
            </w:rPr>
            <w:t>[488]</w:t>
          </w:r>
          <w:r w:rsidRPr="00B43409">
            <w:rPr>
              <w:rFonts w:eastAsia="Times New Roman"/>
              <w:color w:val="000000"/>
            </w:rPr>
            <w:tab/>
            <w:t>J.M. Johnson, D.L. Kellogg, Local thermal control of the human cutaneous circulation, J. Appl. Physiol. 109 (2010) 1229–1238. https://doi.org/10.1152/japplphysiol.00407.2010.</w:t>
          </w:r>
        </w:p>
        <w:p w14:paraId="324B2A0D" w14:textId="77777777" w:rsidR="00B43409" w:rsidRPr="00B43409" w:rsidRDefault="00B43409">
          <w:pPr>
            <w:autoSpaceDE w:val="0"/>
            <w:autoSpaceDN w:val="0"/>
            <w:ind w:hanging="640"/>
            <w:divId w:val="496387174"/>
            <w:rPr>
              <w:rFonts w:eastAsia="Times New Roman"/>
              <w:color w:val="000000"/>
            </w:rPr>
          </w:pPr>
          <w:r w:rsidRPr="00B43409">
            <w:rPr>
              <w:rFonts w:eastAsia="Times New Roman"/>
              <w:color w:val="000000"/>
            </w:rPr>
            <w:t>[489]</w:t>
          </w:r>
          <w:r w:rsidRPr="00B43409">
            <w:rPr>
              <w:rFonts w:eastAsia="Times New Roman"/>
              <w:color w:val="000000"/>
            </w:rPr>
            <w:tab/>
            <w:t>D.A. Low, H. Jones, N.T. Cable, L.M. Alexander, W.L. Kenney, Historical reviews of the assessment of human cardiovascular function: interrogation and understanding of the control of skin blood flow, Eur. J. Appl. Physiol. 120 (2020) 1–16. https://doi.org/10.1007/s00421-019-04246-y.</w:t>
          </w:r>
        </w:p>
        <w:p w14:paraId="0898FDC8" w14:textId="77777777" w:rsidR="00B43409" w:rsidRPr="00B43409" w:rsidRDefault="00B43409">
          <w:pPr>
            <w:autoSpaceDE w:val="0"/>
            <w:autoSpaceDN w:val="0"/>
            <w:ind w:hanging="640"/>
            <w:divId w:val="1917203022"/>
            <w:rPr>
              <w:rFonts w:eastAsia="Times New Roman"/>
              <w:color w:val="000000"/>
            </w:rPr>
          </w:pPr>
          <w:r w:rsidRPr="00B43409">
            <w:rPr>
              <w:rFonts w:eastAsia="Times New Roman"/>
              <w:color w:val="000000"/>
            </w:rPr>
            <w:t>[490]</w:t>
          </w:r>
          <w:r w:rsidRPr="00B43409">
            <w:rPr>
              <w:rFonts w:eastAsia="Times New Roman"/>
              <w:color w:val="000000"/>
            </w:rPr>
            <w:tab/>
            <w:t>J.M. Johnson, D.L. Kellogg, Local thermal control of the human cutaneous circulation, J. Appl. Physiol. 109 (2010) 1229–1238. https://doi.org/10.1152/japplphysiol.00407.2010.</w:t>
          </w:r>
        </w:p>
        <w:p w14:paraId="704C98F3" w14:textId="77777777" w:rsidR="00B43409" w:rsidRPr="00B43409" w:rsidRDefault="00B43409">
          <w:pPr>
            <w:autoSpaceDE w:val="0"/>
            <w:autoSpaceDN w:val="0"/>
            <w:ind w:hanging="640"/>
            <w:divId w:val="1459302236"/>
            <w:rPr>
              <w:rFonts w:eastAsia="Times New Roman"/>
              <w:color w:val="000000"/>
            </w:rPr>
          </w:pPr>
          <w:r w:rsidRPr="00B43409">
            <w:rPr>
              <w:rFonts w:eastAsia="Times New Roman"/>
              <w:color w:val="000000"/>
            </w:rPr>
            <w:t>[491]</w:t>
          </w:r>
          <w:r w:rsidRPr="00B43409">
            <w:rPr>
              <w:rFonts w:eastAsia="Times New Roman"/>
              <w:color w:val="000000"/>
            </w:rPr>
            <w:tab/>
            <w:t>N. El-Farhan, D.A. Rees, C. Evans, Measuring cortisol in serum, urine and saliva – are our assays good enough?, Ann. Clin. Biochem. 54 (2017) 308–322. https://doi.org/10.1177/0004563216687335.</w:t>
          </w:r>
        </w:p>
        <w:p w14:paraId="4594A46E" w14:textId="77777777" w:rsidR="00B43409" w:rsidRPr="00B43409" w:rsidRDefault="00B43409">
          <w:pPr>
            <w:autoSpaceDE w:val="0"/>
            <w:autoSpaceDN w:val="0"/>
            <w:ind w:hanging="640"/>
            <w:divId w:val="1677687332"/>
            <w:rPr>
              <w:rFonts w:eastAsia="Times New Roman"/>
              <w:color w:val="000000"/>
            </w:rPr>
          </w:pPr>
          <w:r w:rsidRPr="00B43409">
            <w:rPr>
              <w:rFonts w:eastAsia="Times New Roman"/>
              <w:color w:val="000000"/>
            </w:rPr>
            <w:t>[492]</w:t>
          </w:r>
          <w:r w:rsidRPr="00B43409">
            <w:rPr>
              <w:rFonts w:eastAsia="Times New Roman"/>
              <w:color w:val="000000"/>
            </w:rPr>
            <w:tab/>
            <w:t>R.M. Paragliola, A. Corsello, E. Troiani, P. Locantore, G. Papi, G. Donnini, A. Pontecorvi, S.M. Corsello, C. Carrozza, Cortisol circadian rhythm and jet-lag syndrome: evaluation of salivary cortisol rhythm in a group of eastward travelers, Endocrine 73 (2021) 424–430. https://doi.org/10.1007/s12020-021-02621-4.</w:t>
          </w:r>
        </w:p>
        <w:p w14:paraId="7274D711" w14:textId="77777777" w:rsidR="00B43409" w:rsidRPr="00B43409" w:rsidRDefault="00B43409">
          <w:pPr>
            <w:autoSpaceDE w:val="0"/>
            <w:autoSpaceDN w:val="0"/>
            <w:ind w:hanging="640"/>
            <w:divId w:val="2055620419"/>
            <w:rPr>
              <w:rFonts w:eastAsia="Times New Roman"/>
              <w:color w:val="000000"/>
            </w:rPr>
          </w:pPr>
          <w:r w:rsidRPr="00B43409">
            <w:rPr>
              <w:rFonts w:eastAsia="Times New Roman"/>
              <w:color w:val="000000"/>
            </w:rPr>
            <w:t>[493]</w:t>
          </w:r>
          <w:r w:rsidRPr="00B43409">
            <w:rPr>
              <w:rFonts w:eastAsia="Times New Roman"/>
              <w:color w:val="000000"/>
            </w:rPr>
            <w:tab/>
            <w:t>S.R. Pandi-Perumal, M. Smits, W. Spence, V. Srinivasan, D.P. Cardinali, A.D. Lowe, L. Kayumov, Dim light melatonin onset (DLMO): A tool for the analysis of circadian phase in human sleep and chronobiological disorders, Prog. Neuropsychopharmacol. Biol. Psychiatry 31 (2007) 1–11. https://doi.org/10.1016/j.pnpbp.2006.06.020.</w:t>
          </w:r>
        </w:p>
        <w:p w14:paraId="076B8F7B" w14:textId="77777777" w:rsidR="00B43409" w:rsidRPr="00B43409" w:rsidRDefault="00B43409">
          <w:pPr>
            <w:autoSpaceDE w:val="0"/>
            <w:autoSpaceDN w:val="0"/>
            <w:ind w:hanging="640"/>
            <w:divId w:val="183708403"/>
            <w:rPr>
              <w:rFonts w:eastAsia="Times New Roman"/>
              <w:color w:val="000000"/>
            </w:rPr>
          </w:pPr>
          <w:r w:rsidRPr="00B43409">
            <w:rPr>
              <w:rFonts w:eastAsia="Times New Roman"/>
              <w:color w:val="000000"/>
            </w:rPr>
            <w:t>[494]</w:t>
          </w:r>
          <w:r w:rsidRPr="00B43409">
            <w:rPr>
              <w:rFonts w:eastAsia="Times New Roman"/>
              <w:color w:val="000000"/>
            </w:rPr>
            <w:tab/>
            <w:t>D.J. Kennaway, The dim light melatonin onset across ages, methodologies, and sex and its relationship with morningness/eveningness, Sleep 46 (2023) 1–14. https://doi.org/10.1093/sleep/zsad033.</w:t>
          </w:r>
        </w:p>
        <w:p w14:paraId="446C0F2A" w14:textId="77777777" w:rsidR="00B43409" w:rsidRPr="00B43409" w:rsidRDefault="00B43409">
          <w:pPr>
            <w:autoSpaceDE w:val="0"/>
            <w:autoSpaceDN w:val="0"/>
            <w:ind w:hanging="640"/>
            <w:divId w:val="1964118454"/>
            <w:rPr>
              <w:rFonts w:eastAsia="Times New Roman"/>
              <w:color w:val="000000"/>
            </w:rPr>
          </w:pPr>
          <w:r w:rsidRPr="00B43409">
            <w:rPr>
              <w:rFonts w:eastAsia="Times New Roman"/>
              <w:color w:val="000000"/>
            </w:rPr>
            <w:t>[495]</w:t>
          </w:r>
          <w:r w:rsidRPr="00B43409">
            <w:rPr>
              <w:rFonts w:eastAsia="Times New Roman"/>
              <w:color w:val="000000"/>
            </w:rPr>
            <w:tab/>
            <w:t>N. El-Farhan, D.A. Rees, C. Evans, Measuring cortisol in serum, urine and saliva – are our assays good enough?, Ann. Clin. Biochem. 54 (2017) 308–322. https://doi.org/10.1177/0004563216687335.</w:t>
          </w:r>
        </w:p>
        <w:p w14:paraId="008EA1EB" w14:textId="77777777" w:rsidR="00B43409" w:rsidRPr="00B43409" w:rsidRDefault="00B43409">
          <w:pPr>
            <w:autoSpaceDE w:val="0"/>
            <w:autoSpaceDN w:val="0"/>
            <w:ind w:hanging="640"/>
            <w:divId w:val="184639065"/>
            <w:rPr>
              <w:rFonts w:eastAsia="Times New Roman"/>
              <w:color w:val="000000"/>
            </w:rPr>
          </w:pPr>
          <w:r w:rsidRPr="00B43409">
            <w:rPr>
              <w:rFonts w:eastAsia="Times New Roman"/>
              <w:color w:val="000000"/>
            </w:rPr>
            <w:t>[496]</w:t>
          </w:r>
          <w:r w:rsidRPr="00B43409">
            <w:rPr>
              <w:rFonts w:eastAsia="Times New Roman"/>
              <w:color w:val="000000"/>
            </w:rPr>
            <w:tab/>
            <w:t>N. Juliana, S.M. Maluin, N.M. Effendy, I.F. Abu, S. Azmani, Cortisol Detection Methods and the Hormone’s Role in Evaluating Circadian Rhythm Disruption, Int. J. Mol. Sci. 26 (2025) 1–17. https://doi.org/10.3390/ijms26189141.</w:t>
          </w:r>
        </w:p>
        <w:p w14:paraId="7AE657CF" w14:textId="77777777" w:rsidR="00B43409" w:rsidRPr="00B43409" w:rsidRDefault="00B43409">
          <w:pPr>
            <w:autoSpaceDE w:val="0"/>
            <w:autoSpaceDN w:val="0"/>
            <w:ind w:hanging="640"/>
            <w:divId w:val="1399479057"/>
            <w:rPr>
              <w:rFonts w:eastAsia="Times New Roman"/>
              <w:color w:val="000000"/>
            </w:rPr>
          </w:pPr>
          <w:r w:rsidRPr="00B43409">
            <w:rPr>
              <w:rFonts w:eastAsia="Times New Roman"/>
              <w:color w:val="000000"/>
            </w:rPr>
            <w:t>[497]</w:t>
          </w:r>
          <w:r w:rsidRPr="00B43409">
            <w:rPr>
              <w:rFonts w:eastAsia="Times New Roman"/>
              <w:color w:val="000000"/>
            </w:rPr>
            <w:tab/>
            <w:t>A.J. Lewy, R.L. Sack, The dim light melatonin onset as a marker for orcadian phase position, Chronobiol. Int. 6 (1989) 93–102. https://doi.org/10.3109/07420528909059144.</w:t>
          </w:r>
        </w:p>
        <w:p w14:paraId="71C39D2E" w14:textId="77777777" w:rsidR="00B43409" w:rsidRPr="00B43409" w:rsidRDefault="00B43409">
          <w:pPr>
            <w:autoSpaceDE w:val="0"/>
            <w:autoSpaceDN w:val="0"/>
            <w:ind w:hanging="640"/>
            <w:divId w:val="800653563"/>
            <w:rPr>
              <w:rFonts w:eastAsia="Times New Roman"/>
              <w:color w:val="000000"/>
            </w:rPr>
          </w:pPr>
          <w:r w:rsidRPr="00B43409">
            <w:rPr>
              <w:rFonts w:eastAsia="Times New Roman"/>
              <w:color w:val="000000"/>
            </w:rPr>
            <w:t>[498]</w:t>
          </w:r>
          <w:r w:rsidRPr="00B43409">
            <w:rPr>
              <w:rFonts w:eastAsia="Times New Roman"/>
              <w:color w:val="000000"/>
            </w:rPr>
            <w:tab/>
            <w:t>R. Glacet, E. Reynaud, L. Robin-Choteau, N. Reix, L. Hugueny, E. Ruppert, P.A. Geoffroy, Ü. Kilic-Huck, H. Comtet, P. Bourgin, A comparison of four methods to estimate dim light melatonin onset: a repeatability and agreement study, Chronobiol. Int. 40 (2023) 123–131. https://doi.org/10.1080/07420528.2022.2150554.</w:t>
          </w:r>
        </w:p>
        <w:p w14:paraId="7871D230" w14:textId="77777777" w:rsidR="00B43409" w:rsidRPr="00B43409" w:rsidRDefault="00B43409">
          <w:pPr>
            <w:autoSpaceDE w:val="0"/>
            <w:autoSpaceDN w:val="0"/>
            <w:ind w:hanging="640"/>
            <w:divId w:val="1939604884"/>
            <w:rPr>
              <w:rFonts w:eastAsia="Times New Roman"/>
              <w:color w:val="000000"/>
            </w:rPr>
          </w:pPr>
          <w:r w:rsidRPr="00B43409">
            <w:rPr>
              <w:rFonts w:eastAsia="Times New Roman"/>
              <w:color w:val="000000"/>
            </w:rPr>
            <w:t>[499]</w:t>
          </w:r>
          <w:r w:rsidRPr="00B43409">
            <w:rPr>
              <w:rFonts w:eastAsia="Times New Roman"/>
              <w:color w:val="000000"/>
            </w:rPr>
            <w:tab/>
            <w:t>N. El-Farhan, D.A. Rees, C. Evans, Measuring cortisol in serum, urine and saliva – are our assays good enough?, Ann. Clin. Biochem. 54 (2017) 308–322. https://doi.org/10.1177/0004563216687335.</w:t>
          </w:r>
        </w:p>
        <w:p w14:paraId="41996B9B" w14:textId="77777777" w:rsidR="00B43409" w:rsidRPr="00B43409" w:rsidRDefault="00B43409">
          <w:pPr>
            <w:autoSpaceDE w:val="0"/>
            <w:autoSpaceDN w:val="0"/>
            <w:ind w:hanging="640"/>
            <w:divId w:val="706949231"/>
            <w:rPr>
              <w:rFonts w:eastAsia="Times New Roman"/>
              <w:color w:val="000000"/>
            </w:rPr>
          </w:pPr>
          <w:r w:rsidRPr="00B43409">
            <w:rPr>
              <w:rFonts w:eastAsia="Times New Roman"/>
              <w:color w:val="000000"/>
            </w:rPr>
            <w:lastRenderedPageBreak/>
            <w:t>[500]</w:t>
          </w:r>
          <w:r w:rsidRPr="00B43409">
            <w:rPr>
              <w:rFonts w:eastAsia="Times New Roman"/>
              <w:color w:val="000000"/>
            </w:rPr>
            <w:tab/>
            <w:t>C.C. Yang, Y.L. Hsu, A review of accelerometry-based wearable motion detectors for physical activity monitoring, Sensors 10 (2010) 7772–7788. https://doi.org/10.3390/s100807772.</w:t>
          </w:r>
        </w:p>
        <w:p w14:paraId="35C1F000" w14:textId="77777777" w:rsidR="00B43409" w:rsidRPr="00B43409" w:rsidRDefault="00B43409">
          <w:pPr>
            <w:autoSpaceDE w:val="0"/>
            <w:autoSpaceDN w:val="0"/>
            <w:ind w:hanging="640"/>
            <w:divId w:val="480778851"/>
            <w:rPr>
              <w:rFonts w:eastAsia="Times New Roman"/>
              <w:color w:val="000000"/>
            </w:rPr>
          </w:pPr>
          <w:r w:rsidRPr="00B43409">
            <w:rPr>
              <w:rFonts w:eastAsia="Times New Roman"/>
              <w:color w:val="000000"/>
            </w:rPr>
            <w:t>[501]</w:t>
          </w:r>
          <w:r w:rsidRPr="00B43409">
            <w:rPr>
              <w:rFonts w:eastAsia="Times New Roman"/>
              <w:color w:val="000000"/>
            </w:rPr>
            <w:tab/>
            <w:t>V. Lugade, E. Fortune, M. Morrow, K. Kaufman, Validity of using tri-axial accelerometers to measure human movement-Part I: Posture and movement detection, Med. Eng. Phys. 36 (2014) 169–176. https://doi.org/10.1016/j.medengphy.2013.06.005.</w:t>
          </w:r>
        </w:p>
        <w:p w14:paraId="6C210FE8" w14:textId="77777777" w:rsidR="00B43409" w:rsidRPr="00B43409" w:rsidRDefault="00B43409">
          <w:pPr>
            <w:autoSpaceDE w:val="0"/>
            <w:autoSpaceDN w:val="0"/>
            <w:ind w:hanging="640"/>
            <w:divId w:val="694381001"/>
            <w:rPr>
              <w:rFonts w:eastAsia="Times New Roman"/>
              <w:color w:val="000000"/>
            </w:rPr>
          </w:pPr>
          <w:r w:rsidRPr="00B43409">
            <w:rPr>
              <w:rFonts w:eastAsia="Times New Roman"/>
              <w:color w:val="000000"/>
            </w:rPr>
            <w:t>[502]</w:t>
          </w:r>
          <w:r w:rsidRPr="00B43409">
            <w:rPr>
              <w:rFonts w:eastAsia="Times New Roman"/>
              <w:color w:val="000000"/>
            </w:rPr>
            <w:tab/>
            <w:t>F. Franzese, P. Hettiarachchi, A. Holtermann, M. Ahmadi, P.J. Johansson, Comparing Physical Activity Metrics From Different Placements of Thigh-Worn Accelerometers, J. Meas. Phys. Behav. 8 (2025) 1–15. https://doi.org/10.1123/jmpb.2024-0043.</w:t>
          </w:r>
        </w:p>
        <w:p w14:paraId="4B6C244D" w14:textId="77777777" w:rsidR="00B43409" w:rsidRPr="00B43409" w:rsidRDefault="00B43409">
          <w:pPr>
            <w:autoSpaceDE w:val="0"/>
            <w:autoSpaceDN w:val="0"/>
            <w:ind w:hanging="640"/>
            <w:divId w:val="637566453"/>
            <w:rPr>
              <w:rFonts w:eastAsia="Times New Roman"/>
              <w:color w:val="000000"/>
            </w:rPr>
          </w:pPr>
          <w:r w:rsidRPr="00B43409">
            <w:rPr>
              <w:rFonts w:eastAsia="Times New Roman"/>
              <w:color w:val="000000"/>
            </w:rPr>
            <w:t>[503]</w:t>
          </w:r>
          <w:r w:rsidRPr="00B43409">
            <w:rPr>
              <w:rFonts w:eastAsia="Times New Roman"/>
              <w:color w:val="000000"/>
            </w:rPr>
            <w:tab/>
            <w:t>F. Foerster, M. Smeja, J. Fahrenberg, Detection of posture and motion by accelerometry: a validation study in ambulatory monitoring, Comput. Human Behav. 15 (1999) 571–583. https://doi.org/10.1016/S0747-5632(99)00037-0.</w:t>
          </w:r>
        </w:p>
        <w:p w14:paraId="0EB982E8" w14:textId="77777777" w:rsidR="00B43409" w:rsidRPr="00B43409" w:rsidRDefault="00B43409">
          <w:pPr>
            <w:autoSpaceDE w:val="0"/>
            <w:autoSpaceDN w:val="0"/>
            <w:ind w:hanging="640"/>
            <w:divId w:val="37560118"/>
            <w:rPr>
              <w:rFonts w:eastAsia="Times New Roman"/>
              <w:color w:val="000000"/>
            </w:rPr>
          </w:pPr>
          <w:r w:rsidRPr="00B43409">
            <w:rPr>
              <w:rFonts w:eastAsia="Times New Roman"/>
              <w:color w:val="000000"/>
            </w:rPr>
            <w:t>[504]</w:t>
          </w:r>
          <w:r w:rsidRPr="00B43409">
            <w:rPr>
              <w:rFonts w:eastAsia="Times New Roman"/>
              <w:color w:val="000000"/>
            </w:rPr>
            <w:tab/>
            <w:t>M. Delsoglio, N. Achamrah, M.M. Berger, C. Pichard, Indirect calorimetry in clinical practice, J. Clin. Med. 8 (2019) 1–19. https://doi.org/10.3390/jcm8091387.</w:t>
          </w:r>
        </w:p>
        <w:p w14:paraId="7DDFA517" w14:textId="77777777" w:rsidR="00B43409" w:rsidRPr="00B43409" w:rsidRDefault="00B43409">
          <w:pPr>
            <w:autoSpaceDE w:val="0"/>
            <w:autoSpaceDN w:val="0"/>
            <w:ind w:hanging="640"/>
            <w:divId w:val="1589189878"/>
            <w:rPr>
              <w:rFonts w:eastAsia="Times New Roman"/>
              <w:color w:val="000000"/>
            </w:rPr>
          </w:pPr>
          <w:r w:rsidRPr="00B43409">
            <w:rPr>
              <w:rFonts w:eastAsia="Times New Roman"/>
              <w:color w:val="000000"/>
            </w:rPr>
            <w:t>[505]</w:t>
          </w:r>
          <w:r w:rsidRPr="00B43409">
            <w:rPr>
              <w:rFonts w:eastAsia="Times New Roman"/>
              <w:color w:val="000000"/>
            </w:rPr>
            <w:tab/>
            <w:t>S.J. Mora, M. Sprowls, V. V. Tipparaju, C.M. Wheatley-Guy, D. Kulick, B. Johnson, X. Xiaojun, E. Forzani, Comparative study of a novel portable indirect calorimeter to a reference breath-by-breath instrument and its use in telemedicine settings, Clin. Nutr. ESPEN 46 (2021) 361–366. https://doi.org/10.1016/j.clnesp.2021.09.731.</w:t>
          </w:r>
        </w:p>
        <w:p w14:paraId="07CD6702" w14:textId="77777777" w:rsidR="00B43409" w:rsidRPr="00B43409" w:rsidRDefault="00B43409">
          <w:pPr>
            <w:autoSpaceDE w:val="0"/>
            <w:autoSpaceDN w:val="0"/>
            <w:ind w:hanging="640"/>
            <w:divId w:val="1185483210"/>
            <w:rPr>
              <w:rFonts w:eastAsia="Times New Roman"/>
              <w:color w:val="000000"/>
            </w:rPr>
          </w:pPr>
          <w:r w:rsidRPr="00B43409">
            <w:rPr>
              <w:rFonts w:eastAsia="Times New Roman"/>
              <w:color w:val="000000"/>
            </w:rPr>
            <w:t>[506]</w:t>
          </w:r>
          <w:r w:rsidRPr="00B43409">
            <w:rPr>
              <w:rFonts w:eastAsia="Times New Roman"/>
              <w:color w:val="000000"/>
            </w:rPr>
            <w:tab/>
            <w:t>R.A. Robergs, A.F. Burnett, Methods Used to Process Data from Indirect Calorimetry and their Application to VO2Max, Journal of Exercise Physiology 6 (2003) 44–57.</w:t>
          </w:r>
        </w:p>
        <w:p w14:paraId="6DF570BF" w14:textId="77777777" w:rsidR="00B43409" w:rsidRPr="00B43409" w:rsidRDefault="00B43409">
          <w:pPr>
            <w:autoSpaceDE w:val="0"/>
            <w:autoSpaceDN w:val="0"/>
            <w:ind w:hanging="640"/>
            <w:divId w:val="1259755598"/>
            <w:rPr>
              <w:rFonts w:eastAsia="Times New Roman"/>
              <w:color w:val="000000"/>
            </w:rPr>
          </w:pPr>
          <w:r w:rsidRPr="00B43409">
            <w:rPr>
              <w:rFonts w:eastAsia="Times New Roman"/>
              <w:color w:val="000000"/>
            </w:rPr>
            <w:t>[507]</w:t>
          </w:r>
          <w:r w:rsidRPr="00B43409">
            <w:rPr>
              <w:rFonts w:eastAsia="Times New Roman"/>
              <w:color w:val="000000"/>
            </w:rPr>
            <w:tab/>
            <w:t>M. Martin-Rincon, J.A.L. Calbet, Progress Update and Challenges on VO2max Testing and Interpretation, Front. Physiol. 11 (2020) 1–8. https://doi.org/10.3389/fphys.2020.01070.</w:t>
          </w:r>
        </w:p>
        <w:p w14:paraId="7BF331FD" w14:textId="77777777" w:rsidR="00B43409" w:rsidRPr="00B43409" w:rsidRDefault="00B43409">
          <w:pPr>
            <w:autoSpaceDE w:val="0"/>
            <w:autoSpaceDN w:val="0"/>
            <w:ind w:hanging="640"/>
            <w:divId w:val="739982001"/>
            <w:rPr>
              <w:rFonts w:eastAsia="Times New Roman"/>
              <w:color w:val="000000"/>
            </w:rPr>
          </w:pPr>
          <w:r w:rsidRPr="00B43409">
            <w:rPr>
              <w:rFonts w:eastAsia="Times New Roman"/>
              <w:color w:val="000000"/>
            </w:rPr>
            <w:t>[508]</w:t>
          </w:r>
          <w:r w:rsidRPr="00B43409">
            <w:rPr>
              <w:rFonts w:eastAsia="Times New Roman"/>
              <w:color w:val="000000"/>
            </w:rPr>
            <w:tab/>
            <w:t>D. Mitchell, C.H. Wyndham, Comparison of weighting formulas for calculating mean skin temperature., J. Appl. Physiol. 26 (1969) 616–622. https://doi.org/10.1152/jappl.1969.26.5.616.</w:t>
          </w:r>
        </w:p>
        <w:p w14:paraId="3BD1B89D" w14:textId="77777777" w:rsidR="00B43409" w:rsidRPr="00B43409" w:rsidRDefault="00B43409">
          <w:pPr>
            <w:autoSpaceDE w:val="0"/>
            <w:autoSpaceDN w:val="0"/>
            <w:ind w:hanging="640"/>
            <w:divId w:val="109931595"/>
            <w:rPr>
              <w:rFonts w:eastAsia="Times New Roman"/>
              <w:color w:val="000000"/>
            </w:rPr>
          </w:pPr>
          <w:r w:rsidRPr="00B43409">
            <w:rPr>
              <w:rFonts w:eastAsia="Times New Roman"/>
              <w:color w:val="000000"/>
            </w:rPr>
            <w:t>[509]</w:t>
          </w:r>
          <w:r w:rsidRPr="00B43409">
            <w:rPr>
              <w:rFonts w:eastAsia="Times New Roman"/>
              <w:color w:val="000000"/>
            </w:rPr>
            <w:tab/>
            <w:t>B.W. Olesen, How many sites are necessary to estimate a mean skin temperature, Thermal Physiology (1984) 34–38.</w:t>
          </w:r>
        </w:p>
        <w:p w14:paraId="77A422B1" w14:textId="77777777" w:rsidR="00B43409" w:rsidRPr="00B43409" w:rsidRDefault="00B43409">
          <w:pPr>
            <w:autoSpaceDE w:val="0"/>
            <w:autoSpaceDN w:val="0"/>
            <w:ind w:hanging="640"/>
            <w:divId w:val="1245532670"/>
            <w:rPr>
              <w:rFonts w:eastAsia="Times New Roman"/>
              <w:color w:val="000000"/>
            </w:rPr>
          </w:pPr>
          <w:r w:rsidRPr="00B43409">
            <w:rPr>
              <w:rFonts w:eastAsia="Times New Roman"/>
              <w:color w:val="000000"/>
            </w:rPr>
            <w:t>[510]</w:t>
          </w:r>
          <w:r w:rsidRPr="00B43409">
            <w:rPr>
              <w:rFonts w:eastAsia="Times New Roman"/>
              <w:color w:val="000000"/>
            </w:rPr>
            <w:tab/>
            <w:t>C.K. Cho, H.M. Lee, M.H. Yun, M.W. Lee, Development of a temperature control procedure for a room air-conditioner using the concept of just noticeable difference (JND) on thermal sensation, in: Proceedings of the Human Factors and Ergonomics Society Annual Meeting, 1996: pp. 473–477. https://doi.org/10.1177/154193129604000901.</w:t>
          </w:r>
        </w:p>
        <w:p w14:paraId="6ED3E153" w14:textId="77777777" w:rsidR="00B43409" w:rsidRPr="00B43409" w:rsidRDefault="00B43409">
          <w:pPr>
            <w:autoSpaceDE w:val="0"/>
            <w:autoSpaceDN w:val="0"/>
            <w:ind w:hanging="640"/>
            <w:divId w:val="295189134"/>
            <w:rPr>
              <w:rFonts w:eastAsia="Times New Roman"/>
              <w:color w:val="000000"/>
            </w:rPr>
          </w:pPr>
          <w:r w:rsidRPr="00B43409">
            <w:rPr>
              <w:rFonts w:eastAsia="Times New Roman"/>
              <w:color w:val="000000"/>
            </w:rPr>
            <w:t>[511]</w:t>
          </w:r>
          <w:r w:rsidRPr="00B43409">
            <w:rPr>
              <w:rFonts w:eastAsia="Times New Roman"/>
              <w:color w:val="000000"/>
            </w:rPr>
            <w:tab/>
            <w:t>Y. Wu, H. Liu, B. Li, J. Jokisalo, R. Kosonen, Y. Cheng, W. Zhao, X. Yuan, Evaluation and modification of the weighting formulas for mean skin temperature of human body in winter conditions, Energy Build. 229 (2020). https://doi.org/10.1016/j.enbuild.2020.110390.</w:t>
          </w:r>
        </w:p>
        <w:p w14:paraId="51782543" w14:textId="77777777" w:rsidR="00B43409" w:rsidRPr="00B43409" w:rsidRDefault="00B43409">
          <w:pPr>
            <w:autoSpaceDE w:val="0"/>
            <w:autoSpaceDN w:val="0"/>
            <w:ind w:hanging="640"/>
            <w:divId w:val="1216815848"/>
            <w:rPr>
              <w:rFonts w:eastAsia="Times New Roman"/>
              <w:color w:val="000000"/>
            </w:rPr>
          </w:pPr>
          <w:r w:rsidRPr="00B43409">
            <w:rPr>
              <w:rFonts w:eastAsia="Times New Roman"/>
              <w:color w:val="000000"/>
            </w:rPr>
            <w:t>[512]</w:t>
          </w:r>
          <w:r w:rsidRPr="00B43409">
            <w:rPr>
              <w:rFonts w:eastAsia="Times New Roman"/>
              <w:color w:val="000000"/>
            </w:rPr>
            <w:tab/>
            <w:t>W.H. Teichner, Assessment of Mean Body Surface Temperature, J. Appl. Physiol. 12 (1958) 169–176. https://doi.org/10.1152/jappl.1958.12.2.169.</w:t>
          </w:r>
        </w:p>
        <w:p w14:paraId="093A5BC7" w14:textId="77777777" w:rsidR="00B43409" w:rsidRPr="00B43409" w:rsidRDefault="00B43409">
          <w:pPr>
            <w:autoSpaceDE w:val="0"/>
            <w:autoSpaceDN w:val="0"/>
            <w:ind w:hanging="640"/>
            <w:divId w:val="1543470354"/>
            <w:rPr>
              <w:rFonts w:eastAsia="Times New Roman"/>
              <w:color w:val="000000"/>
            </w:rPr>
          </w:pPr>
          <w:r w:rsidRPr="00B43409">
            <w:rPr>
              <w:rFonts w:eastAsia="Times New Roman"/>
              <w:color w:val="000000"/>
            </w:rPr>
            <w:t>[513]</w:t>
          </w:r>
          <w:r w:rsidRPr="00B43409">
            <w:rPr>
              <w:rFonts w:eastAsia="Times New Roman"/>
              <w:color w:val="000000"/>
            </w:rPr>
            <w:tab/>
            <w:t>N.L. Ramanathan, A new weighting system for mean surface temperature of the human body, J. Appl. Physiol. 19 (1964) 531–533. https://doi.org/10.1152/jappl.1964.19.3.531.</w:t>
          </w:r>
        </w:p>
        <w:p w14:paraId="1EDF8C01" w14:textId="77777777" w:rsidR="00B43409" w:rsidRPr="00B43409" w:rsidRDefault="00B43409">
          <w:pPr>
            <w:autoSpaceDE w:val="0"/>
            <w:autoSpaceDN w:val="0"/>
            <w:ind w:hanging="640"/>
            <w:divId w:val="1193151036"/>
            <w:rPr>
              <w:rFonts w:eastAsia="Times New Roman"/>
              <w:color w:val="000000"/>
            </w:rPr>
          </w:pPr>
          <w:r w:rsidRPr="00B43409">
            <w:rPr>
              <w:rFonts w:eastAsia="Times New Roman"/>
              <w:color w:val="000000"/>
            </w:rPr>
            <w:t>[514]</w:t>
          </w:r>
          <w:r w:rsidRPr="00B43409">
            <w:rPr>
              <w:rFonts w:eastAsia="Times New Roman"/>
              <w:color w:val="000000"/>
            </w:rPr>
            <w:tab/>
            <w:t>H. Ouyang, Clothes hygiene, People’s Military Medicine Press, Beijing, 1985.</w:t>
          </w:r>
        </w:p>
        <w:p w14:paraId="010ACA60" w14:textId="77777777" w:rsidR="00B43409" w:rsidRPr="00B43409" w:rsidRDefault="00B43409">
          <w:pPr>
            <w:autoSpaceDE w:val="0"/>
            <w:autoSpaceDN w:val="0"/>
            <w:ind w:hanging="640"/>
            <w:divId w:val="740522843"/>
            <w:rPr>
              <w:rFonts w:eastAsia="Times New Roman"/>
              <w:color w:val="000000"/>
            </w:rPr>
          </w:pPr>
          <w:r w:rsidRPr="00B43409">
            <w:rPr>
              <w:rFonts w:eastAsia="Times New Roman"/>
              <w:color w:val="000000"/>
            </w:rPr>
            <w:t>[515]</w:t>
          </w:r>
          <w:r w:rsidRPr="00B43409">
            <w:rPr>
              <w:rFonts w:eastAsia="Times New Roman"/>
              <w:color w:val="000000"/>
            </w:rPr>
            <w:tab/>
            <w:t>Y. Houdas, E.F.J. Ring, Temperature Distribution, in: Y. Houdas, E.F.J. Ring (Eds.), Human Body Temperature, Springer US, Boston, MA, 1982: pp. 81–103. https://doi.org/10.1007/978-1-4899-0345-7_5.</w:t>
          </w:r>
        </w:p>
        <w:p w14:paraId="16026758" w14:textId="77777777" w:rsidR="00B43409" w:rsidRPr="00B43409" w:rsidRDefault="00B43409">
          <w:pPr>
            <w:autoSpaceDE w:val="0"/>
            <w:autoSpaceDN w:val="0"/>
            <w:ind w:hanging="640"/>
            <w:divId w:val="479659351"/>
            <w:rPr>
              <w:rFonts w:eastAsia="Times New Roman"/>
              <w:color w:val="000000"/>
            </w:rPr>
          </w:pPr>
          <w:r w:rsidRPr="00B43409">
            <w:rPr>
              <w:rFonts w:eastAsia="Times New Roman"/>
              <w:color w:val="000000"/>
            </w:rPr>
            <w:lastRenderedPageBreak/>
            <w:t>[516]</w:t>
          </w:r>
          <w:r w:rsidRPr="00B43409">
            <w:rPr>
              <w:rFonts w:eastAsia="Times New Roman"/>
              <w:color w:val="000000"/>
            </w:rPr>
            <w:tab/>
            <w:t>Z. Wang, Y. He, J. Hou, L. Jiang, Human skin temperature and thermal responses in asymmetrical cold radiation environments, Build. Environ. 67 (2013) 217–223. https://doi.org/10.1016/j.buildenv.2013.05.020.</w:t>
          </w:r>
        </w:p>
        <w:p w14:paraId="754363B9" w14:textId="77777777" w:rsidR="00B43409" w:rsidRPr="00B43409" w:rsidRDefault="00B43409">
          <w:pPr>
            <w:autoSpaceDE w:val="0"/>
            <w:autoSpaceDN w:val="0"/>
            <w:ind w:hanging="640"/>
            <w:divId w:val="1663042692"/>
            <w:rPr>
              <w:rFonts w:eastAsia="Times New Roman"/>
              <w:color w:val="000000"/>
            </w:rPr>
          </w:pPr>
          <w:r w:rsidRPr="00B43409">
            <w:rPr>
              <w:rFonts w:eastAsia="Times New Roman"/>
              <w:color w:val="000000"/>
            </w:rPr>
            <w:t>[517]</w:t>
          </w:r>
          <w:r w:rsidRPr="00B43409">
            <w:rPr>
              <w:rFonts w:eastAsia="Times New Roman"/>
              <w:color w:val="000000"/>
            </w:rPr>
            <w:tab/>
            <w:t>T. Mochida, Mean Skin Temperature Weighted by Skin Area, Heat Transfer Coefficients and Thermal Sensitivity, Bulletin of the Faculty of Engineering Hokkaido University 115 (1983).</w:t>
          </w:r>
        </w:p>
        <w:p w14:paraId="3555A3DC" w14:textId="77777777" w:rsidR="00B43409" w:rsidRPr="00B43409" w:rsidRDefault="00B43409">
          <w:pPr>
            <w:autoSpaceDE w:val="0"/>
            <w:autoSpaceDN w:val="0"/>
            <w:ind w:hanging="640"/>
            <w:divId w:val="665741718"/>
            <w:rPr>
              <w:rFonts w:eastAsia="Times New Roman"/>
              <w:color w:val="000000"/>
            </w:rPr>
          </w:pPr>
          <w:r w:rsidRPr="00B43409">
            <w:rPr>
              <w:rFonts w:eastAsia="Times New Roman"/>
              <w:color w:val="000000"/>
            </w:rPr>
            <w:t>[518]</w:t>
          </w:r>
          <w:r w:rsidRPr="00B43409">
            <w:rPr>
              <w:rFonts w:eastAsia="Times New Roman"/>
              <w:color w:val="000000"/>
            </w:rPr>
            <w:tab/>
            <w:t>E.D. Palmes, C.R. Park, Thermocouples for the measurement of the surface temperature of the skin, Fed. Proc. 6 (1947) 175.</w:t>
          </w:r>
        </w:p>
        <w:p w14:paraId="317C0384" w14:textId="77777777" w:rsidR="00B43409" w:rsidRPr="00B43409" w:rsidRDefault="00B43409">
          <w:pPr>
            <w:autoSpaceDE w:val="0"/>
            <w:autoSpaceDN w:val="0"/>
            <w:ind w:hanging="640"/>
            <w:divId w:val="2064257845"/>
            <w:rPr>
              <w:rFonts w:eastAsia="Times New Roman"/>
              <w:color w:val="000000"/>
            </w:rPr>
          </w:pPr>
          <w:r w:rsidRPr="00B43409">
            <w:rPr>
              <w:rFonts w:eastAsia="Times New Roman"/>
              <w:color w:val="000000"/>
            </w:rPr>
            <w:t>[519]</w:t>
          </w:r>
          <w:r w:rsidRPr="00B43409">
            <w:rPr>
              <w:rFonts w:eastAsia="Times New Roman"/>
              <w:color w:val="000000"/>
            </w:rPr>
            <w:tab/>
            <w:t>Y.H. Park, J. Iwamoto, F. Tajima, K. Miki, Y.S. Park, K. Shiraki, Effect of pressure on thermal insulation in humans wearing wet suits, J. Appl. Physiol. 64 (1988) 1916–1922. https://doi.org/10.1152/jappl.1988.64.5.1916.</w:t>
          </w:r>
        </w:p>
        <w:p w14:paraId="7D9FBB90" w14:textId="77777777" w:rsidR="00B43409" w:rsidRPr="00B43409" w:rsidRDefault="00B43409">
          <w:pPr>
            <w:autoSpaceDE w:val="0"/>
            <w:autoSpaceDN w:val="0"/>
            <w:ind w:hanging="640"/>
            <w:divId w:val="1383671944"/>
            <w:rPr>
              <w:rFonts w:eastAsia="Times New Roman"/>
              <w:color w:val="000000"/>
            </w:rPr>
          </w:pPr>
          <w:r w:rsidRPr="00B43409">
            <w:rPr>
              <w:rFonts w:eastAsia="Times New Roman"/>
              <w:color w:val="000000"/>
            </w:rPr>
            <w:t>[520]</w:t>
          </w:r>
          <w:r w:rsidRPr="00B43409">
            <w:rPr>
              <w:rFonts w:eastAsia="Times New Roman"/>
              <w:color w:val="000000"/>
            </w:rPr>
            <w:tab/>
            <w:t>A.P. Gagge, Y. Nishi, Heat Exchange Between Human Skin Surface and Thermal Environment, in: Compr. Physiol., Wiley, 1977: pp. 69–92. https://doi.org/10.1002/cphy.cp090105.</w:t>
          </w:r>
        </w:p>
        <w:p w14:paraId="73EB70A1" w14:textId="77777777" w:rsidR="00B43409" w:rsidRPr="00B43409" w:rsidRDefault="00B43409">
          <w:pPr>
            <w:autoSpaceDE w:val="0"/>
            <w:autoSpaceDN w:val="0"/>
            <w:ind w:hanging="640"/>
            <w:divId w:val="1638336843"/>
            <w:rPr>
              <w:rFonts w:eastAsia="Times New Roman"/>
              <w:color w:val="000000"/>
            </w:rPr>
          </w:pPr>
          <w:r w:rsidRPr="00B43409">
            <w:rPr>
              <w:rFonts w:eastAsia="Times New Roman"/>
              <w:color w:val="000000"/>
            </w:rPr>
            <w:t>[521]</w:t>
          </w:r>
          <w:r w:rsidRPr="00B43409">
            <w:rPr>
              <w:rFonts w:eastAsia="Times New Roman"/>
              <w:color w:val="000000"/>
            </w:rPr>
            <w:tab/>
            <w:t>J. Colin, J. Timbal, Y. Houdas, C. Boutelier, J.D. Guieu, Computation of mean body temperature from rectal and skin temperatures., J. Appl. Physiol. 31 (1971) 484–489. https://doi.org/10.1152/jappl.1971.31.3.484.</w:t>
          </w:r>
        </w:p>
        <w:p w14:paraId="2A4CD14B" w14:textId="77777777" w:rsidR="00B43409" w:rsidRPr="00B43409" w:rsidRDefault="00B43409">
          <w:pPr>
            <w:autoSpaceDE w:val="0"/>
            <w:autoSpaceDN w:val="0"/>
            <w:ind w:hanging="640"/>
            <w:divId w:val="358509181"/>
            <w:rPr>
              <w:rFonts w:eastAsia="Times New Roman"/>
              <w:color w:val="000000"/>
            </w:rPr>
          </w:pPr>
          <w:r w:rsidRPr="00B43409">
            <w:rPr>
              <w:rFonts w:eastAsia="Times New Roman"/>
              <w:color w:val="000000"/>
            </w:rPr>
            <w:t>[522]</w:t>
          </w:r>
          <w:r w:rsidRPr="00B43409">
            <w:rPr>
              <w:rFonts w:eastAsia="Times New Roman"/>
              <w:color w:val="000000"/>
            </w:rPr>
            <w:tab/>
            <w:t>A.P. Gagge, J.A.J. Stolwijk, J.D. Hardy, Comfort and thermal sensations and associated physiological responses at various ambient temperatures, Environ. Res. 1 (1967) 1–20. https://doi.org/10.1016/0013-9351(67)90002-3.</w:t>
          </w:r>
        </w:p>
        <w:p w14:paraId="6005E703" w14:textId="77777777" w:rsidR="00B43409" w:rsidRPr="00B43409" w:rsidRDefault="00B43409">
          <w:pPr>
            <w:autoSpaceDE w:val="0"/>
            <w:autoSpaceDN w:val="0"/>
            <w:ind w:hanging="640"/>
            <w:divId w:val="54162813"/>
            <w:rPr>
              <w:rFonts w:eastAsia="Times New Roman"/>
              <w:color w:val="000000"/>
            </w:rPr>
          </w:pPr>
          <w:r w:rsidRPr="00B43409">
            <w:rPr>
              <w:rFonts w:eastAsia="Times New Roman"/>
              <w:color w:val="000000"/>
            </w:rPr>
            <w:t>[523]</w:t>
          </w:r>
          <w:r w:rsidRPr="00B43409">
            <w:rPr>
              <w:rFonts w:eastAsia="Times New Roman"/>
              <w:color w:val="000000"/>
            </w:rPr>
            <w:tab/>
            <w:t>R. Nielsen, B. Nielsen, Measurement of mean skin temperature of clothed persons in cool environments, Eur. J. Appl. Physiol. Occup. Physiol. 53 (1984) 231–236. https://doi.org/10.1007/BF00776595.</w:t>
          </w:r>
        </w:p>
        <w:p w14:paraId="5D7C43D7" w14:textId="77777777" w:rsidR="00B43409" w:rsidRPr="00B43409" w:rsidRDefault="00B43409">
          <w:pPr>
            <w:autoSpaceDE w:val="0"/>
            <w:autoSpaceDN w:val="0"/>
            <w:ind w:hanging="640"/>
            <w:divId w:val="887836945"/>
            <w:rPr>
              <w:rFonts w:eastAsia="Times New Roman"/>
              <w:color w:val="000000"/>
            </w:rPr>
          </w:pPr>
          <w:r w:rsidRPr="00B43409">
            <w:rPr>
              <w:rFonts w:eastAsia="Times New Roman"/>
              <w:color w:val="000000"/>
            </w:rPr>
            <w:t>[524]</w:t>
          </w:r>
          <w:r w:rsidRPr="00B43409">
            <w:rPr>
              <w:rFonts w:eastAsia="Times New Roman"/>
              <w:color w:val="000000"/>
            </w:rPr>
            <w:tab/>
            <w:t>D. Mitchell, C.H. Wyndham, Comparison of weighting formulas for calculating mean skin temperature., J. Appl. Physiol. 26 (1969) 616–622. https://doi.org/10.1152/jappl.1969.26.5.616.</w:t>
          </w:r>
        </w:p>
        <w:p w14:paraId="03438293" w14:textId="77777777" w:rsidR="00B43409" w:rsidRPr="00B43409" w:rsidRDefault="00B43409">
          <w:pPr>
            <w:autoSpaceDE w:val="0"/>
            <w:autoSpaceDN w:val="0"/>
            <w:ind w:hanging="640"/>
            <w:divId w:val="1806192067"/>
            <w:rPr>
              <w:rFonts w:eastAsia="Times New Roman"/>
              <w:color w:val="000000"/>
            </w:rPr>
          </w:pPr>
          <w:r w:rsidRPr="00B43409">
            <w:rPr>
              <w:rFonts w:eastAsia="Times New Roman"/>
              <w:color w:val="000000"/>
            </w:rPr>
            <w:t>[525]</w:t>
          </w:r>
          <w:r w:rsidRPr="00B43409">
            <w:rPr>
              <w:rFonts w:eastAsia="Times New Roman"/>
              <w:color w:val="000000"/>
            </w:rPr>
            <w:tab/>
            <w:t>K.J. Gorgolewski, T. Auer, V.D. Calhoun, R.C. Craddock, S. Das, E.P. Duff, G. Flandin, S.S. Ghosh, T. Glatard, Y.O. Halchenko, D.A. Handwerker, M. Hanke, D. Keator, X. Li, Z. Michael, C. Maumet, B.N. Nichols, T.E. Nichols, J. Pellman, J.-B. Poline, A. Rokem, G. Schaefer, V. Sochat, W. Triplett, J.A. Turner, G. Varoquaux, R.A. Poldrack, The brain imaging data structure, a format for organizing and describing outputs of neuroimaging experiments, Sci. Data 3 (2016) 160044. https://doi.org/10.1038/sdata.2016.44.</w:t>
          </w:r>
        </w:p>
        <w:p w14:paraId="4FF4F15B" w14:textId="77777777" w:rsidR="00B43409" w:rsidRPr="00B43409" w:rsidRDefault="00B43409">
          <w:pPr>
            <w:autoSpaceDE w:val="0"/>
            <w:autoSpaceDN w:val="0"/>
            <w:ind w:hanging="640"/>
            <w:divId w:val="1274437091"/>
            <w:rPr>
              <w:rFonts w:eastAsia="Times New Roman"/>
              <w:color w:val="000000"/>
            </w:rPr>
          </w:pPr>
          <w:r w:rsidRPr="00B43409">
            <w:rPr>
              <w:rFonts w:eastAsia="Times New Roman"/>
              <w:color w:val="000000"/>
            </w:rPr>
            <w:t>[526]</w:t>
          </w:r>
          <w:r w:rsidRPr="00B43409">
            <w:rPr>
              <w:rFonts w:eastAsia="Times New Roman"/>
              <w:color w:val="000000"/>
            </w:rPr>
            <w:tab/>
            <w:t>S.-A. Sansone, P. Rocca-Serra, D. Field, E. Maguire, C. Taylor, O. Hofmann, H. Fang, S. Neumann, W. Tong, L. Amaral-Zettler, K. Begley, T. Booth, L. Bougueleret, G. Burns, B. Chapman, T. Clark, L.-A. Coleman, J. Copeland, S. Das, A. de Daruvar, P. de Matos, I. Dix, S. Edmunds, C.T. Evelo, M.J. Forster, P. Gaudet, J. Gilbert, C. Goble, J.L. Griffin, D. Jacob, J. Kleinjans, L. Harland, K. Haug, H. Hermjakob, S.J.H. Sui, A. Laederach, S. Liang, S. Marshall, A. McGrath, E. Merrill, D. Reilly, M. Roux, C.E. Shamu, C.A. Shang, C. Steinbeck, A. Trefethen, B. Williams-Jones, K. Wolstencroft, I. Xenarios, W. Hide, Toward interoperable bioscience data, Nat. Genet. 44 (2012) 121–126. https://doi.org/10.1038/ng.1054.</w:t>
          </w:r>
        </w:p>
        <w:p w14:paraId="02DC137F" w14:textId="77777777" w:rsidR="00B43409" w:rsidRPr="00B43409" w:rsidRDefault="00B43409">
          <w:pPr>
            <w:autoSpaceDE w:val="0"/>
            <w:autoSpaceDN w:val="0"/>
            <w:ind w:hanging="640"/>
            <w:divId w:val="861405315"/>
            <w:rPr>
              <w:rFonts w:eastAsia="Times New Roman"/>
              <w:color w:val="000000"/>
            </w:rPr>
          </w:pPr>
          <w:r w:rsidRPr="00B43409">
            <w:rPr>
              <w:rFonts w:eastAsia="Times New Roman"/>
              <w:color w:val="000000"/>
            </w:rPr>
            <w:t>[527]</w:t>
          </w:r>
          <w:r w:rsidRPr="00B43409">
            <w:rPr>
              <w:rFonts w:eastAsia="Times New Roman"/>
              <w:color w:val="000000"/>
            </w:rPr>
            <w:tab/>
            <w:t>T. Diaz, K.L. Strong, B. Cao, R. Guthold, A.C. Moran, A.B. Moller, J. Requejo, R. Sadana, J.A. Thiyagarajan, E. Adebayo, E. Akwara, A. Amouzou, J.J. Aponte Varon, P.S. Azzopardi, C. Boschi-Pinto, L. Carvajal, V. Chandra-Mouli, S. Crofts, S. Dastgiri, J.S. Dery, S. Elnakib, L. Fagan, B. Jane Ferguson, J. Fitzner, H.S. Friedman, A. Hagell, E. Jongstra, L. Kann, S. Chatterji, M. English, P. Glaziou, C. Hanson, A.R. Hosseinpoor, A. Marsh, A.P. Morgan, M.K. Munos, A. Noor, B.I. Pavlin, R. Pereira, T.A. Porth, J. Schellenberg, R. Siddique, D. You, L.M.E. Vaz, A. Banerjee, A call for standardised age-disaggregated health data, Lancet Healthy Longev. 2 (2021) e436–e443. https://doi.org/10.1016/S2666-7568(21)00115-X.</w:t>
          </w:r>
        </w:p>
        <w:p w14:paraId="4FE494AD" w14:textId="77777777" w:rsidR="00B43409" w:rsidRPr="00B43409" w:rsidRDefault="00B43409">
          <w:pPr>
            <w:autoSpaceDE w:val="0"/>
            <w:autoSpaceDN w:val="0"/>
            <w:ind w:hanging="640"/>
            <w:divId w:val="1619603840"/>
            <w:rPr>
              <w:rFonts w:eastAsia="Times New Roman"/>
              <w:color w:val="000000"/>
            </w:rPr>
          </w:pPr>
          <w:r w:rsidRPr="00B43409">
            <w:rPr>
              <w:rFonts w:eastAsia="Times New Roman"/>
              <w:color w:val="000000"/>
            </w:rPr>
            <w:lastRenderedPageBreak/>
            <w:t>[528]</w:t>
          </w:r>
          <w:r w:rsidRPr="00B43409">
            <w:rPr>
              <w:rFonts w:eastAsia="Times New Roman"/>
              <w:color w:val="000000"/>
            </w:rPr>
            <w:tab/>
            <w:t>B.R. Lawford, M. Barnes, J.P. Connor, K. Heslop, P. Nyst, R.M.D. Young, Alcohol use disorders identification test (AUDIT) scores are elevated in antipsychotic-induced hyperprolactinaemia, Journal of Psychopharmacology 26 (2012) 324–329. https://doi.org/10.1177/0269881110393051.</w:t>
          </w:r>
        </w:p>
        <w:p w14:paraId="0F288AC4" w14:textId="77777777" w:rsidR="00B43409" w:rsidRPr="00B43409" w:rsidRDefault="00B43409">
          <w:pPr>
            <w:autoSpaceDE w:val="0"/>
            <w:autoSpaceDN w:val="0"/>
            <w:ind w:hanging="640"/>
            <w:divId w:val="1298802967"/>
            <w:rPr>
              <w:rFonts w:eastAsia="Times New Roman"/>
              <w:color w:val="000000"/>
            </w:rPr>
          </w:pPr>
          <w:r w:rsidRPr="00B43409">
            <w:rPr>
              <w:rFonts w:eastAsia="Times New Roman"/>
              <w:color w:val="000000"/>
            </w:rPr>
            <w:t>[529]</w:t>
          </w:r>
          <w:r w:rsidRPr="00B43409">
            <w:rPr>
              <w:rFonts w:eastAsia="Times New Roman"/>
              <w:color w:val="000000"/>
            </w:rPr>
            <w:tab/>
            <w:t>P.H. Lee, D.J. Macfarlane, T. Lam, S.M. Stewart, Validity of the international physical activity questionnaire short form (IPAQ-SF): A systematic review, International Journal of Behavioral Nutrition and Physical Activity 8 (2011) 115. https://doi.org/10.1186/1479-5868-8-115.</w:t>
          </w:r>
        </w:p>
        <w:p w14:paraId="21604A7C" w14:textId="77777777" w:rsidR="00B43409" w:rsidRPr="00B43409" w:rsidRDefault="00B43409">
          <w:pPr>
            <w:autoSpaceDE w:val="0"/>
            <w:autoSpaceDN w:val="0"/>
            <w:ind w:hanging="640"/>
            <w:divId w:val="1243636408"/>
            <w:rPr>
              <w:rFonts w:eastAsia="Times New Roman"/>
              <w:color w:val="000000"/>
            </w:rPr>
          </w:pPr>
          <w:r w:rsidRPr="00B43409">
            <w:rPr>
              <w:rFonts w:eastAsia="Times New Roman"/>
              <w:color w:val="000000"/>
            </w:rPr>
            <w:t>[530]</w:t>
          </w:r>
          <w:r w:rsidRPr="00B43409">
            <w:rPr>
              <w:rFonts w:eastAsia="Times New Roman"/>
              <w:color w:val="000000"/>
            </w:rPr>
            <w:tab/>
            <w:t>F.C. Bull, T.S. Maslin, T. Armstrong, Global physical activity questionnaire (GPAQ): Nine country reliability and validity study, J. Phys. Act. Health 6 (2009) 790–804. https://doi.org/10.1123/jpah.6.6.790.</w:t>
          </w:r>
        </w:p>
        <w:p w14:paraId="06164341" w14:textId="77777777" w:rsidR="00B43409" w:rsidRPr="00B43409" w:rsidRDefault="00B43409">
          <w:pPr>
            <w:autoSpaceDE w:val="0"/>
            <w:autoSpaceDN w:val="0"/>
            <w:ind w:hanging="640"/>
            <w:divId w:val="1795366860"/>
            <w:rPr>
              <w:rFonts w:eastAsia="Times New Roman"/>
              <w:color w:val="000000"/>
            </w:rPr>
          </w:pPr>
          <w:r w:rsidRPr="00B43409">
            <w:rPr>
              <w:rFonts w:eastAsia="Times New Roman"/>
              <w:color w:val="000000"/>
            </w:rPr>
            <w:t>[531]</w:t>
          </w:r>
          <w:r w:rsidRPr="00B43409">
            <w:rPr>
              <w:rFonts w:eastAsia="Times New Roman"/>
              <w:color w:val="000000"/>
            </w:rPr>
            <w:tab/>
            <w:t>D.E.R. Warburton, S.S.D. Bredin, V.K. Jamnik, N. Gledhill, Validation of the PAR-Q+ and ePARmed-X+, Health &amp; Fitness Journal of Canada 4 (2011) 1920–6216. https://doi.org/10.14288/hfjc.v4i2.151.</w:t>
          </w:r>
        </w:p>
        <w:p w14:paraId="1F1EBDAD" w14:textId="77777777" w:rsidR="00B43409" w:rsidRPr="00B43409" w:rsidRDefault="00B43409">
          <w:pPr>
            <w:autoSpaceDE w:val="0"/>
            <w:autoSpaceDN w:val="0"/>
            <w:ind w:hanging="640"/>
            <w:divId w:val="926232200"/>
            <w:rPr>
              <w:rFonts w:eastAsia="Times New Roman"/>
              <w:color w:val="000000"/>
            </w:rPr>
          </w:pPr>
          <w:r w:rsidRPr="00B43409">
            <w:rPr>
              <w:rFonts w:eastAsia="Times New Roman"/>
              <w:color w:val="000000"/>
            </w:rPr>
            <w:t>[532]</w:t>
          </w:r>
          <w:r w:rsidRPr="00B43409">
            <w:rPr>
              <w:rFonts w:eastAsia="Times New Roman"/>
              <w:color w:val="000000"/>
            </w:rPr>
            <w:tab/>
            <w:t>M.E. Charlson, D. Carrozzino, J. Guidi, C. Patierno, Charlson Comorbidity Index: A Critical Review of Clinimetric Properties, Psychother. Psychosom. 91 (2022) 8–35. https://doi.org/10.1159/000521288.</w:t>
          </w:r>
        </w:p>
        <w:p w14:paraId="795F5E00" w14:textId="77777777" w:rsidR="00B43409" w:rsidRPr="00B43409" w:rsidRDefault="00B43409">
          <w:pPr>
            <w:autoSpaceDE w:val="0"/>
            <w:autoSpaceDN w:val="0"/>
            <w:ind w:hanging="640"/>
            <w:divId w:val="1554192439"/>
            <w:rPr>
              <w:rFonts w:eastAsia="Times New Roman"/>
              <w:color w:val="000000"/>
            </w:rPr>
          </w:pPr>
          <w:r w:rsidRPr="00B43409">
            <w:rPr>
              <w:rFonts w:eastAsia="Times New Roman"/>
              <w:color w:val="000000"/>
            </w:rPr>
            <w:t>[533]</w:t>
          </w:r>
          <w:r w:rsidRPr="00B43409">
            <w:rPr>
              <w:rFonts w:eastAsia="Times New Roman"/>
              <w:color w:val="000000"/>
            </w:rPr>
            <w:tab/>
            <w:t>E.J.W. Van Someren, K. Dekker, B.H.W. Te Lindert, J.S. Benjamins, S. Moens, F. Migliorati, E. Aarts, S. van der Sluis, The experienced temperature sensitivity and regulation survey, Temperature 3 (2016) 59–76. https://doi.org/10.1080/23328940.2015.1130519.</w:t>
          </w:r>
        </w:p>
        <w:p w14:paraId="5AA62321" w14:textId="77777777" w:rsidR="00B43409" w:rsidRPr="00B43409" w:rsidRDefault="00B43409">
          <w:pPr>
            <w:autoSpaceDE w:val="0"/>
            <w:autoSpaceDN w:val="0"/>
            <w:ind w:hanging="640"/>
            <w:divId w:val="814293370"/>
            <w:rPr>
              <w:rFonts w:eastAsia="Times New Roman"/>
              <w:color w:val="000000"/>
            </w:rPr>
          </w:pPr>
          <w:r w:rsidRPr="00B43409">
            <w:rPr>
              <w:rFonts w:eastAsia="Times New Roman"/>
              <w:color w:val="000000"/>
            </w:rPr>
            <w:t>[534]</w:t>
          </w:r>
          <w:r w:rsidRPr="00B43409">
            <w:rPr>
              <w:rFonts w:eastAsia="Times New Roman"/>
              <w:color w:val="000000"/>
            </w:rPr>
            <w:tab/>
            <w:t>J.A. Horne, O. Ostberg, A self-assessment questionnaire to determine morningness-eveningness in human circadian rhythms., Int. J. Chronobiol. 4 (1976) 97–110.</w:t>
          </w:r>
        </w:p>
        <w:p w14:paraId="329E9004" w14:textId="77777777" w:rsidR="00B43409" w:rsidRPr="00B43409" w:rsidRDefault="00B43409">
          <w:pPr>
            <w:autoSpaceDE w:val="0"/>
            <w:autoSpaceDN w:val="0"/>
            <w:ind w:hanging="640"/>
            <w:divId w:val="398289933"/>
            <w:rPr>
              <w:rFonts w:eastAsia="Times New Roman"/>
              <w:color w:val="000000"/>
            </w:rPr>
          </w:pPr>
          <w:r w:rsidRPr="00B43409">
            <w:rPr>
              <w:rFonts w:eastAsia="Times New Roman"/>
              <w:color w:val="000000"/>
            </w:rPr>
            <w:t>[535]</w:t>
          </w:r>
          <w:r w:rsidRPr="00B43409">
            <w:rPr>
              <w:rFonts w:eastAsia="Times New Roman"/>
              <w:color w:val="000000"/>
            </w:rPr>
            <w:tab/>
            <w:t>C.S. Smith, C. Reilly, K. Midkiff, Composite Scale of Morningness, PsycTESTS Dataset (2011). https://doi.org/10.1037/t07216-000.</w:t>
          </w:r>
        </w:p>
        <w:p w14:paraId="0807B9EE" w14:textId="77777777" w:rsidR="00B43409" w:rsidRPr="00B43409" w:rsidRDefault="00B43409">
          <w:pPr>
            <w:autoSpaceDE w:val="0"/>
            <w:autoSpaceDN w:val="0"/>
            <w:ind w:hanging="640"/>
            <w:divId w:val="1006597453"/>
            <w:rPr>
              <w:rFonts w:eastAsia="Times New Roman"/>
              <w:color w:val="000000"/>
            </w:rPr>
          </w:pPr>
          <w:r w:rsidRPr="00B43409">
            <w:rPr>
              <w:rFonts w:eastAsia="Times New Roman"/>
              <w:color w:val="000000"/>
            </w:rPr>
            <w:t>[536]</w:t>
          </w:r>
          <w:r w:rsidRPr="00B43409">
            <w:rPr>
              <w:rFonts w:eastAsia="Times New Roman"/>
              <w:color w:val="000000"/>
            </w:rPr>
            <w:tab/>
            <w:t>T. Roenneberg, L.K. Keller, D. Fischer, J.L. Matera, C. Vetter, E.C. Winnebeck, Human activity and rest in situ, Methods Enzymol. 552 (2015) 257–283. https://doi.org/10.1016/bs.mie.2014.11.028.</w:t>
          </w:r>
        </w:p>
        <w:p w14:paraId="2B749616" w14:textId="77777777" w:rsidR="00B43409" w:rsidRPr="00B43409" w:rsidRDefault="00B43409">
          <w:pPr>
            <w:autoSpaceDE w:val="0"/>
            <w:autoSpaceDN w:val="0"/>
            <w:ind w:hanging="640"/>
            <w:divId w:val="203175126"/>
            <w:rPr>
              <w:rFonts w:eastAsia="Times New Roman"/>
              <w:color w:val="000000"/>
            </w:rPr>
          </w:pPr>
          <w:r w:rsidRPr="00B43409">
            <w:rPr>
              <w:rFonts w:eastAsia="Times New Roman"/>
              <w:color w:val="000000"/>
            </w:rPr>
            <w:t>[537]</w:t>
          </w:r>
          <w:r w:rsidRPr="00B43409">
            <w:rPr>
              <w:rFonts w:eastAsia="Times New Roman"/>
              <w:color w:val="000000"/>
            </w:rPr>
            <w:tab/>
            <w:t>D.J. Buysse, C.F. Reynolds, T.H. Monk, S.R. Berman, D.J. Kupfer, The Pittsburgh sleep quality index: A new instrument for psychiatric practice and research, Psychiatry Res. 28 (1989) 193–213. https://doi.org/10.1016/0165-1781(89)90047-4.</w:t>
          </w:r>
        </w:p>
        <w:p w14:paraId="32AE8D6E" w14:textId="77777777" w:rsidR="00B43409" w:rsidRPr="00B43409" w:rsidRDefault="00B43409">
          <w:pPr>
            <w:autoSpaceDE w:val="0"/>
            <w:autoSpaceDN w:val="0"/>
            <w:ind w:hanging="640"/>
            <w:divId w:val="189026755"/>
            <w:rPr>
              <w:rFonts w:eastAsia="Times New Roman"/>
              <w:color w:val="000000"/>
            </w:rPr>
          </w:pPr>
          <w:r w:rsidRPr="00B43409">
            <w:rPr>
              <w:rFonts w:eastAsia="Times New Roman"/>
              <w:color w:val="000000"/>
            </w:rPr>
            <w:t>[538]</w:t>
          </w:r>
          <w:r w:rsidRPr="00B43409">
            <w:rPr>
              <w:rFonts w:eastAsia="Times New Roman"/>
              <w:color w:val="000000"/>
            </w:rPr>
            <w:tab/>
            <w:t>M. Mifflin, S. St Jeor, L. Hill, B. Scott, S. Daugherty, Y. Koh, A new predictive equation for resting energy expenditure in healthy individuals, Am. J. Clin. Nutr. 51 (1990) 241–247. https://doi.org/10.1093/ajcn/51.2.241.</w:t>
          </w:r>
        </w:p>
        <w:p w14:paraId="4515E28C" w14:textId="6D747AB7" w:rsidR="00062811" w:rsidRPr="00062811" w:rsidRDefault="00B43409" w:rsidP="00062811">
          <w:pPr>
            <w:autoSpaceDE w:val="0"/>
            <w:autoSpaceDN w:val="0"/>
            <w:spacing w:afterLines="80" w:after="192"/>
            <w:ind w:hanging="640"/>
            <w:divId w:val="357632608"/>
            <w:rPr>
              <w:rFonts w:eastAsia="Times New Roman"/>
              <w:color w:val="000000"/>
            </w:rPr>
          </w:pPr>
          <w:r w:rsidRPr="00B43409">
            <w:rPr>
              <w:rFonts w:eastAsia="Times New Roman"/>
              <w:color w:val="000000"/>
            </w:rPr>
            <w:t> </w:t>
          </w:r>
        </w:p>
      </w:sdtContent>
    </w:sdt>
    <w:p w14:paraId="150565EB" w14:textId="73A0E52E" w:rsidR="00CE64DB" w:rsidRDefault="00062811">
      <w:pPr>
        <w:rPr>
          <w:color w:val="000000"/>
        </w:rPr>
      </w:pPr>
      <w:r w:rsidRPr="00062811">
        <w:rPr>
          <w:rFonts w:eastAsia="Times New Roman"/>
          <w:color w:val="000000"/>
        </w:rPr>
        <w:t> </w:t>
      </w:r>
    </w:p>
    <w:p w14:paraId="4474C3A9" w14:textId="77777777" w:rsidR="00062811" w:rsidRDefault="00062811"/>
    <w:p w14:paraId="526F82A0" w14:textId="77777777" w:rsidR="00884959" w:rsidRDefault="00884959" w:rsidP="001150F4">
      <w:pPr>
        <w:pStyle w:val="Caption"/>
      </w:pPr>
    </w:p>
    <w:p w14:paraId="78D33541" w14:textId="77777777" w:rsidR="00884959" w:rsidRDefault="00884959" w:rsidP="001150F4">
      <w:pPr>
        <w:pStyle w:val="Caption"/>
      </w:pPr>
    </w:p>
    <w:p w14:paraId="279DDEAE" w14:textId="77777777" w:rsidR="00884959" w:rsidRDefault="00884959" w:rsidP="001150F4">
      <w:pPr>
        <w:pStyle w:val="Caption"/>
      </w:pPr>
    </w:p>
    <w:sectPr w:rsidR="00884959" w:rsidSect="00DB5AA9">
      <w:pgSz w:w="11906" w:h="16838"/>
      <w:pgMar w:top="1440" w:right="835"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ilge Kobas" w:date="2025-12-01T20:32:00Z" w:initials="BK">
    <w:p w14:paraId="22E53BB6" w14:textId="77777777" w:rsidR="00CE64DB" w:rsidRPr="001D228D" w:rsidRDefault="00CE64DB" w:rsidP="001150F4">
      <w:pPr>
        <w:pStyle w:val="CommentText"/>
      </w:pPr>
      <w:r w:rsidRPr="001D228D">
        <w:rPr>
          <w:rStyle w:val="CommentReference"/>
        </w:rPr>
        <w:annotationRef/>
      </w:r>
      <w:r w:rsidRPr="001D228D">
        <w:t>Also check bipolar</w:t>
      </w:r>
    </w:p>
  </w:comment>
  <w:comment w:id="27" w:author="Bilge Kobas" w:date="2025-12-01T20:34:00Z" w:initials="BK">
    <w:p w14:paraId="4F308404" w14:textId="77777777" w:rsidR="00CE64DB" w:rsidRPr="001D228D" w:rsidRDefault="00CE64DB" w:rsidP="001150F4">
      <w:pPr>
        <w:pStyle w:val="CommentText"/>
      </w:pPr>
      <w:r w:rsidRPr="001D228D">
        <w:rPr>
          <w:rStyle w:val="CommentReference"/>
        </w:rPr>
        <w:annotationRef/>
      </w:r>
      <w:r w:rsidRPr="001D228D">
        <w:t>Update after the figure in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53BB6" w15:done="0"/>
  <w15:commentEx w15:paraId="4F3084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3B5A35" w16cex:dateUtc="2025-12-01T19:32:00Z"/>
  <w16cex:commentExtensible w16cex:durableId="7BD7074C" w16cex:dateUtc="2025-12-01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53BB6" w16cid:durableId="7F3B5A35"/>
  <w16cid:commentId w16cid:paraId="4F308404" w16cid:durableId="7BD707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6E2A" w14:textId="77777777" w:rsidR="00B97A76" w:rsidRPr="001D228D" w:rsidRDefault="00B97A76" w:rsidP="001150F4">
      <w:r w:rsidRPr="001D228D">
        <w:separator/>
      </w:r>
    </w:p>
  </w:endnote>
  <w:endnote w:type="continuationSeparator" w:id="0">
    <w:p w14:paraId="294B79CF" w14:textId="77777777" w:rsidR="00B97A76" w:rsidRPr="001D228D" w:rsidRDefault="00B97A76" w:rsidP="001150F4">
      <w:r w:rsidRPr="001D22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57299"/>
      <w:docPartObj>
        <w:docPartGallery w:val="Page Numbers (Bottom of Page)"/>
        <w:docPartUnique/>
      </w:docPartObj>
    </w:sdtPr>
    <w:sdtContent>
      <w:p w14:paraId="72923420" w14:textId="77777777" w:rsidR="00DB5AA9" w:rsidRPr="001D228D" w:rsidRDefault="00DB5AA9" w:rsidP="001150F4">
        <w:pPr>
          <w:pStyle w:val="Footer"/>
        </w:pPr>
        <w:r w:rsidRPr="001D228D">
          <w:fldChar w:fldCharType="begin"/>
        </w:r>
        <w:r w:rsidRPr="001D228D">
          <w:instrText xml:space="preserve"> PAGE   \* MERGEFORMAT </w:instrText>
        </w:r>
        <w:r w:rsidRPr="001D228D">
          <w:fldChar w:fldCharType="separate"/>
        </w:r>
        <w:r w:rsidRPr="001D228D">
          <w:t>2</w:t>
        </w:r>
        <w:r w:rsidRPr="001D228D">
          <w:fldChar w:fldCharType="end"/>
        </w:r>
      </w:p>
    </w:sdtContent>
  </w:sdt>
  <w:p w14:paraId="6DE69959" w14:textId="77777777" w:rsidR="00DB5AA9" w:rsidRPr="001D228D" w:rsidRDefault="00DB5AA9" w:rsidP="001150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99862"/>
      <w:docPartObj>
        <w:docPartGallery w:val="Page Numbers (Bottom of Page)"/>
        <w:docPartUnique/>
      </w:docPartObj>
    </w:sdtPr>
    <w:sdtContent>
      <w:p w14:paraId="76FB5371" w14:textId="3DA4BB00" w:rsidR="005D7B5B" w:rsidRPr="001D228D" w:rsidRDefault="005D7B5B" w:rsidP="001150F4">
        <w:pPr>
          <w:pStyle w:val="Footer"/>
        </w:pPr>
        <w:r w:rsidRPr="001D228D">
          <w:fldChar w:fldCharType="begin"/>
        </w:r>
        <w:r w:rsidRPr="001D228D">
          <w:instrText xml:space="preserve"> PAGE   \* MERGEFORMAT </w:instrText>
        </w:r>
        <w:r w:rsidRPr="001D228D">
          <w:fldChar w:fldCharType="separate"/>
        </w:r>
        <w:r w:rsidRPr="001D228D">
          <w:t>2</w:t>
        </w:r>
        <w:r w:rsidRPr="001D228D">
          <w:fldChar w:fldCharType="end"/>
        </w:r>
      </w:p>
    </w:sdtContent>
  </w:sdt>
  <w:p w14:paraId="2C04104F" w14:textId="77777777" w:rsidR="00E25275" w:rsidRPr="001D228D" w:rsidRDefault="00E25275" w:rsidP="00115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473C" w14:textId="77777777" w:rsidR="00B97A76" w:rsidRPr="001D228D" w:rsidRDefault="00B97A76" w:rsidP="001150F4">
      <w:r w:rsidRPr="001D228D">
        <w:separator/>
      </w:r>
    </w:p>
  </w:footnote>
  <w:footnote w:type="continuationSeparator" w:id="0">
    <w:p w14:paraId="064BD05B" w14:textId="77777777" w:rsidR="00B97A76" w:rsidRPr="001D228D" w:rsidRDefault="00B97A76" w:rsidP="001150F4">
      <w:r w:rsidRPr="001D22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86A19"/>
    <w:multiLevelType w:val="multilevel"/>
    <w:tmpl w:val="831C6C9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A47F48"/>
    <w:multiLevelType w:val="hybridMultilevel"/>
    <w:tmpl w:val="B0263452"/>
    <w:lvl w:ilvl="0" w:tplc="883E483E">
      <w:start w:val="1"/>
      <w:numFmt w:val="bullet"/>
      <w:pStyle w:val="Bullet"/>
      <w:lvlText w:val="-"/>
      <w:lvlJc w:val="left"/>
      <w:pPr>
        <w:ind w:left="720" w:hanging="360"/>
      </w:pPr>
      <w:rPr>
        <w:rFonts w:ascii="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21853684">
    <w:abstractNumId w:val="0"/>
  </w:num>
  <w:num w:numId="2" w16cid:durableId="1484153164">
    <w:abstractNumId w:val="1"/>
  </w:num>
  <w:num w:numId="3" w16cid:durableId="460653637">
    <w:abstractNumId w:val="0"/>
  </w:num>
  <w:num w:numId="4" w16cid:durableId="1237714822">
    <w:abstractNumId w:val="0"/>
  </w:num>
  <w:num w:numId="5" w16cid:durableId="288441011">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lge Kobas">
    <w15:presenceInfo w15:providerId="Windows Live" w15:userId="7bb65d427e6092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A14"/>
    <w:rsid w:val="000003ED"/>
    <w:rsid w:val="000012D9"/>
    <w:rsid w:val="0000141A"/>
    <w:rsid w:val="000015E1"/>
    <w:rsid w:val="00003BFA"/>
    <w:rsid w:val="00003E89"/>
    <w:rsid w:val="00004534"/>
    <w:rsid w:val="00004F12"/>
    <w:rsid w:val="000068B2"/>
    <w:rsid w:val="00010EE1"/>
    <w:rsid w:val="000117E5"/>
    <w:rsid w:val="0001366C"/>
    <w:rsid w:val="00013EA7"/>
    <w:rsid w:val="000146B4"/>
    <w:rsid w:val="000147A0"/>
    <w:rsid w:val="0001635B"/>
    <w:rsid w:val="0001692C"/>
    <w:rsid w:val="00016D7F"/>
    <w:rsid w:val="0001743B"/>
    <w:rsid w:val="0001782F"/>
    <w:rsid w:val="00020462"/>
    <w:rsid w:val="00020A83"/>
    <w:rsid w:val="0002222A"/>
    <w:rsid w:val="00022ACE"/>
    <w:rsid w:val="00024C0F"/>
    <w:rsid w:val="00026B64"/>
    <w:rsid w:val="00027B3A"/>
    <w:rsid w:val="00030326"/>
    <w:rsid w:val="00030C3D"/>
    <w:rsid w:val="00031649"/>
    <w:rsid w:val="00031F2F"/>
    <w:rsid w:val="00031F50"/>
    <w:rsid w:val="00032A3E"/>
    <w:rsid w:val="00033913"/>
    <w:rsid w:val="00034049"/>
    <w:rsid w:val="0003450F"/>
    <w:rsid w:val="00035A00"/>
    <w:rsid w:val="00036061"/>
    <w:rsid w:val="000377D2"/>
    <w:rsid w:val="00037953"/>
    <w:rsid w:val="0004018E"/>
    <w:rsid w:val="00041341"/>
    <w:rsid w:val="000418DB"/>
    <w:rsid w:val="000419B1"/>
    <w:rsid w:val="00042307"/>
    <w:rsid w:val="0004384E"/>
    <w:rsid w:val="00044238"/>
    <w:rsid w:val="00044978"/>
    <w:rsid w:val="00045EA6"/>
    <w:rsid w:val="000464C8"/>
    <w:rsid w:val="00046827"/>
    <w:rsid w:val="00047625"/>
    <w:rsid w:val="00052481"/>
    <w:rsid w:val="000527C1"/>
    <w:rsid w:val="00055DC8"/>
    <w:rsid w:val="0005728B"/>
    <w:rsid w:val="000611A5"/>
    <w:rsid w:val="00062091"/>
    <w:rsid w:val="00062811"/>
    <w:rsid w:val="00062AEE"/>
    <w:rsid w:val="00063091"/>
    <w:rsid w:val="000635E3"/>
    <w:rsid w:val="000655CF"/>
    <w:rsid w:val="0006617A"/>
    <w:rsid w:val="000661FE"/>
    <w:rsid w:val="00066B7C"/>
    <w:rsid w:val="00073096"/>
    <w:rsid w:val="00074BF2"/>
    <w:rsid w:val="000751CB"/>
    <w:rsid w:val="00075209"/>
    <w:rsid w:val="00076BF8"/>
    <w:rsid w:val="00077093"/>
    <w:rsid w:val="000773EF"/>
    <w:rsid w:val="00077561"/>
    <w:rsid w:val="00080705"/>
    <w:rsid w:val="00081CDB"/>
    <w:rsid w:val="00081E62"/>
    <w:rsid w:val="0008347A"/>
    <w:rsid w:val="00085ACC"/>
    <w:rsid w:val="0008690B"/>
    <w:rsid w:val="00087B89"/>
    <w:rsid w:val="00090DDB"/>
    <w:rsid w:val="00091BAB"/>
    <w:rsid w:val="00092424"/>
    <w:rsid w:val="0009270D"/>
    <w:rsid w:val="00092D77"/>
    <w:rsid w:val="00093EE2"/>
    <w:rsid w:val="00094A03"/>
    <w:rsid w:val="00094D66"/>
    <w:rsid w:val="00095FDC"/>
    <w:rsid w:val="000977DC"/>
    <w:rsid w:val="00097AC5"/>
    <w:rsid w:val="000A0FCC"/>
    <w:rsid w:val="000A172A"/>
    <w:rsid w:val="000A2112"/>
    <w:rsid w:val="000A2253"/>
    <w:rsid w:val="000A2D53"/>
    <w:rsid w:val="000A36CA"/>
    <w:rsid w:val="000A389A"/>
    <w:rsid w:val="000A463C"/>
    <w:rsid w:val="000A59F4"/>
    <w:rsid w:val="000A5FB4"/>
    <w:rsid w:val="000B0E0A"/>
    <w:rsid w:val="000B2B05"/>
    <w:rsid w:val="000B36EF"/>
    <w:rsid w:val="000B3E6F"/>
    <w:rsid w:val="000B53EB"/>
    <w:rsid w:val="000B5E09"/>
    <w:rsid w:val="000B5F42"/>
    <w:rsid w:val="000B63D4"/>
    <w:rsid w:val="000B66AB"/>
    <w:rsid w:val="000B6776"/>
    <w:rsid w:val="000B6A5C"/>
    <w:rsid w:val="000B718E"/>
    <w:rsid w:val="000B740F"/>
    <w:rsid w:val="000B7410"/>
    <w:rsid w:val="000B7B3F"/>
    <w:rsid w:val="000C1E4C"/>
    <w:rsid w:val="000C385F"/>
    <w:rsid w:val="000C3D01"/>
    <w:rsid w:val="000C3D83"/>
    <w:rsid w:val="000C3E1D"/>
    <w:rsid w:val="000C519C"/>
    <w:rsid w:val="000C6565"/>
    <w:rsid w:val="000C6CED"/>
    <w:rsid w:val="000C6E7E"/>
    <w:rsid w:val="000D2258"/>
    <w:rsid w:val="000D4ADB"/>
    <w:rsid w:val="000D528E"/>
    <w:rsid w:val="000D5545"/>
    <w:rsid w:val="000D6150"/>
    <w:rsid w:val="000D6D64"/>
    <w:rsid w:val="000D74FE"/>
    <w:rsid w:val="000E015B"/>
    <w:rsid w:val="000E0BEC"/>
    <w:rsid w:val="000E1FC8"/>
    <w:rsid w:val="000E2047"/>
    <w:rsid w:val="000E2334"/>
    <w:rsid w:val="000E4FA9"/>
    <w:rsid w:val="000E5154"/>
    <w:rsid w:val="000E5E75"/>
    <w:rsid w:val="000E6644"/>
    <w:rsid w:val="000E6AC6"/>
    <w:rsid w:val="000F0651"/>
    <w:rsid w:val="000F0C27"/>
    <w:rsid w:val="000F1132"/>
    <w:rsid w:val="000F19FA"/>
    <w:rsid w:val="000F38B0"/>
    <w:rsid w:val="000F40ED"/>
    <w:rsid w:val="000F4130"/>
    <w:rsid w:val="000F4458"/>
    <w:rsid w:val="000F4AE7"/>
    <w:rsid w:val="000F4B06"/>
    <w:rsid w:val="000F4C60"/>
    <w:rsid w:val="000F5792"/>
    <w:rsid w:val="000F58A2"/>
    <w:rsid w:val="000F5BAB"/>
    <w:rsid w:val="000F6E19"/>
    <w:rsid w:val="000F789C"/>
    <w:rsid w:val="00101AFE"/>
    <w:rsid w:val="00101BC7"/>
    <w:rsid w:val="00102532"/>
    <w:rsid w:val="001028AE"/>
    <w:rsid w:val="00102CF3"/>
    <w:rsid w:val="00102F3E"/>
    <w:rsid w:val="00103B37"/>
    <w:rsid w:val="00103EE9"/>
    <w:rsid w:val="00103FB3"/>
    <w:rsid w:val="001040F3"/>
    <w:rsid w:val="0010471D"/>
    <w:rsid w:val="0010513F"/>
    <w:rsid w:val="00106258"/>
    <w:rsid w:val="00107624"/>
    <w:rsid w:val="001102A1"/>
    <w:rsid w:val="0011034B"/>
    <w:rsid w:val="00110B7F"/>
    <w:rsid w:val="001125FA"/>
    <w:rsid w:val="001135A7"/>
    <w:rsid w:val="00113833"/>
    <w:rsid w:val="001150F4"/>
    <w:rsid w:val="001151BF"/>
    <w:rsid w:val="001169FC"/>
    <w:rsid w:val="0011701D"/>
    <w:rsid w:val="0012087E"/>
    <w:rsid w:val="00122A3B"/>
    <w:rsid w:val="00122AA0"/>
    <w:rsid w:val="00122CD9"/>
    <w:rsid w:val="00122E20"/>
    <w:rsid w:val="00126399"/>
    <w:rsid w:val="001270AD"/>
    <w:rsid w:val="00127313"/>
    <w:rsid w:val="001276F4"/>
    <w:rsid w:val="001306D9"/>
    <w:rsid w:val="00131267"/>
    <w:rsid w:val="001312DE"/>
    <w:rsid w:val="00132630"/>
    <w:rsid w:val="00135139"/>
    <w:rsid w:val="00135664"/>
    <w:rsid w:val="00135C42"/>
    <w:rsid w:val="0013640A"/>
    <w:rsid w:val="00137641"/>
    <w:rsid w:val="00137C7B"/>
    <w:rsid w:val="00137DD6"/>
    <w:rsid w:val="001406BF"/>
    <w:rsid w:val="00140937"/>
    <w:rsid w:val="00140C06"/>
    <w:rsid w:val="0014122A"/>
    <w:rsid w:val="001414FC"/>
    <w:rsid w:val="00141806"/>
    <w:rsid w:val="001443E7"/>
    <w:rsid w:val="001450DD"/>
    <w:rsid w:val="00146063"/>
    <w:rsid w:val="00146156"/>
    <w:rsid w:val="001502CF"/>
    <w:rsid w:val="00150CEE"/>
    <w:rsid w:val="00151DA9"/>
    <w:rsid w:val="00153A3B"/>
    <w:rsid w:val="00153A67"/>
    <w:rsid w:val="00153D3F"/>
    <w:rsid w:val="0015514B"/>
    <w:rsid w:val="00155B8B"/>
    <w:rsid w:val="001560B8"/>
    <w:rsid w:val="00156676"/>
    <w:rsid w:val="0015690F"/>
    <w:rsid w:val="00156C08"/>
    <w:rsid w:val="00156F76"/>
    <w:rsid w:val="00157027"/>
    <w:rsid w:val="001579DD"/>
    <w:rsid w:val="00160323"/>
    <w:rsid w:val="001608D4"/>
    <w:rsid w:val="0016158F"/>
    <w:rsid w:val="001626F4"/>
    <w:rsid w:val="00163B56"/>
    <w:rsid w:val="00163FE7"/>
    <w:rsid w:val="00165D72"/>
    <w:rsid w:val="00167827"/>
    <w:rsid w:val="00170560"/>
    <w:rsid w:val="001707CC"/>
    <w:rsid w:val="00170C6C"/>
    <w:rsid w:val="00171DE5"/>
    <w:rsid w:val="001725D0"/>
    <w:rsid w:val="0017454E"/>
    <w:rsid w:val="00174823"/>
    <w:rsid w:val="0017583D"/>
    <w:rsid w:val="00175D4C"/>
    <w:rsid w:val="001800DC"/>
    <w:rsid w:val="00182433"/>
    <w:rsid w:val="00182715"/>
    <w:rsid w:val="00183179"/>
    <w:rsid w:val="001835B6"/>
    <w:rsid w:val="00183E61"/>
    <w:rsid w:val="00184605"/>
    <w:rsid w:val="00185093"/>
    <w:rsid w:val="00185F5D"/>
    <w:rsid w:val="001877E1"/>
    <w:rsid w:val="00187B66"/>
    <w:rsid w:val="00187D71"/>
    <w:rsid w:val="001907B3"/>
    <w:rsid w:val="0019081D"/>
    <w:rsid w:val="00190B83"/>
    <w:rsid w:val="00191C6C"/>
    <w:rsid w:val="00191D00"/>
    <w:rsid w:val="00192891"/>
    <w:rsid w:val="00192C0E"/>
    <w:rsid w:val="00192CCA"/>
    <w:rsid w:val="00193D3E"/>
    <w:rsid w:val="00194920"/>
    <w:rsid w:val="00195530"/>
    <w:rsid w:val="001967E3"/>
    <w:rsid w:val="0019687E"/>
    <w:rsid w:val="0019729C"/>
    <w:rsid w:val="00197EF9"/>
    <w:rsid w:val="001A16EB"/>
    <w:rsid w:val="001A19D4"/>
    <w:rsid w:val="001A2339"/>
    <w:rsid w:val="001A4395"/>
    <w:rsid w:val="001A4713"/>
    <w:rsid w:val="001A48B7"/>
    <w:rsid w:val="001A4BE1"/>
    <w:rsid w:val="001A605C"/>
    <w:rsid w:val="001A67AC"/>
    <w:rsid w:val="001B2011"/>
    <w:rsid w:val="001B2104"/>
    <w:rsid w:val="001B2548"/>
    <w:rsid w:val="001B3387"/>
    <w:rsid w:val="001B40EA"/>
    <w:rsid w:val="001B482B"/>
    <w:rsid w:val="001B5B5A"/>
    <w:rsid w:val="001B7BBB"/>
    <w:rsid w:val="001C0051"/>
    <w:rsid w:val="001C0298"/>
    <w:rsid w:val="001C0360"/>
    <w:rsid w:val="001C088F"/>
    <w:rsid w:val="001C142A"/>
    <w:rsid w:val="001C180C"/>
    <w:rsid w:val="001C1DD4"/>
    <w:rsid w:val="001C2557"/>
    <w:rsid w:val="001C62C0"/>
    <w:rsid w:val="001C6B67"/>
    <w:rsid w:val="001C6E78"/>
    <w:rsid w:val="001D0C71"/>
    <w:rsid w:val="001D228D"/>
    <w:rsid w:val="001D32E8"/>
    <w:rsid w:val="001D37DF"/>
    <w:rsid w:val="001D4480"/>
    <w:rsid w:val="001D672E"/>
    <w:rsid w:val="001D6B79"/>
    <w:rsid w:val="001D6C8D"/>
    <w:rsid w:val="001D7BF9"/>
    <w:rsid w:val="001E0457"/>
    <w:rsid w:val="001E0CD2"/>
    <w:rsid w:val="001E0F0D"/>
    <w:rsid w:val="001E214C"/>
    <w:rsid w:val="001E2AD5"/>
    <w:rsid w:val="001E319E"/>
    <w:rsid w:val="001E34B5"/>
    <w:rsid w:val="001E5773"/>
    <w:rsid w:val="001E5C0E"/>
    <w:rsid w:val="001E6399"/>
    <w:rsid w:val="001E6B74"/>
    <w:rsid w:val="001E6FEF"/>
    <w:rsid w:val="001E7346"/>
    <w:rsid w:val="001E78DF"/>
    <w:rsid w:val="001F0516"/>
    <w:rsid w:val="001F07FE"/>
    <w:rsid w:val="001F0AA4"/>
    <w:rsid w:val="001F1321"/>
    <w:rsid w:val="001F164F"/>
    <w:rsid w:val="001F2F01"/>
    <w:rsid w:val="001F3A37"/>
    <w:rsid w:val="001F4584"/>
    <w:rsid w:val="001F4D84"/>
    <w:rsid w:val="001F5199"/>
    <w:rsid w:val="001F51D3"/>
    <w:rsid w:val="001F66DF"/>
    <w:rsid w:val="001F6826"/>
    <w:rsid w:val="00200B75"/>
    <w:rsid w:val="00200EB7"/>
    <w:rsid w:val="00201EB0"/>
    <w:rsid w:val="002039CB"/>
    <w:rsid w:val="002041B7"/>
    <w:rsid w:val="002051A8"/>
    <w:rsid w:val="002056D0"/>
    <w:rsid w:val="002101D7"/>
    <w:rsid w:val="00211012"/>
    <w:rsid w:val="0021159B"/>
    <w:rsid w:val="00212260"/>
    <w:rsid w:val="002128A7"/>
    <w:rsid w:val="0021352A"/>
    <w:rsid w:val="00213944"/>
    <w:rsid w:val="002149E6"/>
    <w:rsid w:val="00214AFB"/>
    <w:rsid w:val="00214F6A"/>
    <w:rsid w:val="00214FAF"/>
    <w:rsid w:val="002153FB"/>
    <w:rsid w:val="00216DD7"/>
    <w:rsid w:val="002200D3"/>
    <w:rsid w:val="0022314E"/>
    <w:rsid w:val="0022406E"/>
    <w:rsid w:val="002245E9"/>
    <w:rsid w:val="00224847"/>
    <w:rsid w:val="00225550"/>
    <w:rsid w:val="00225D83"/>
    <w:rsid w:val="0022617F"/>
    <w:rsid w:val="00226E19"/>
    <w:rsid w:val="0022764C"/>
    <w:rsid w:val="00227DA2"/>
    <w:rsid w:val="00230395"/>
    <w:rsid w:val="00230407"/>
    <w:rsid w:val="002313E4"/>
    <w:rsid w:val="002331AE"/>
    <w:rsid w:val="002332F5"/>
    <w:rsid w:val="00233460"/>
    <w:rsid w:val="00233EE6"/>
    <w:rsid w:val="00233F51"/>
    <w:rsid w:val="00234206"/>
    <w:rsid w:val="002358FA"/>
    <w:rsid w:val="00236A61"/>
    <w:rsid w:val="00237AF4"/>
    <w:rsid w:val="00244258"/>
    <w:rsid w:val="002455BE"/>
    <w:rsid w:val="00245607"/>
    <w:rsid w:val="00245EBB"/>
    <w:rsid w:val="0025026E"/>
    <w:rsid w:val="00250E93"/>
    <w:rsid w:val="00251186"/>
    <w:rsid w:val="0025137D"/>
    <w:rsid w:val="002525D5"/>
    <w:rsid w:val="0025315F"/>
    <w:rsid w:val="00253185"/>
    <w:rsid w:val="002539C3"/>
    <w:rsid w:val="00255132"/>
    <w:rsid w:val="0025753E"/>
    <w:rsid w:val="002579EA"/>
    <w:rsid w:val="00257FE4"/>
    <w:rsid w:val="0026095F"/>
    <w:rsid w:val="00260D56"/>
    <w:rsid w:val="0026218C"/>
    <w:rsid w:val="00263026"/>
    <w:rsid w:val="0026429C"/>
    <w:rsid w:val="00265A2F"/>
    <w:rsid w:val="00265D6E"/>
    <w:rsid w:val="002666CF"/>
    <w:rsid w:val="002668E6"/>
    <w:rsid w:val="00266CB4"/>
    <w:rsid w:val="00267789"/>
    <w:rsid w:val="00267E5F"/>
    <w:rsid w:val="002702AE"/>
    <w:rsid w:val="0027039D"/>
    <w:rsid w:val="00271B40"/>
    <w:rsid w:val="00271E8B"/>
    <w:rsid w:val="00271FB3"/>
    <w:rsid w:val="002726F4"/>
    <w:rsid w:val="00272F25"/>
    <w:rsid w:val="00273114"/>
    <w:rsid w:val="002742FD"/>
    <w:rsid w:val="00274436"/>
    <w:rsid w:val="00275501"/>
    <w:rsid w:val="0027611C"/>
    <w:rsid w:val="00276BA4"/>
    <w:rsid w:val="00277833"/>
    <w:rsid w:val="00277F92"/>
    <w:rsid w:val="002800EB"/>
    <w:rsid w:val="00280710"/>
    <w:rsid w:val="00280B95"/>
    <w:rsid w:val="00280E4B"/>
    <w:rsid w:val="00281155"/>
    <w:rsid w:val="002814DE"/>
    <w:rsid w:val="00281E7A"/>
    <w:rsid w:val="0028200E"/>
    <w:rsid w:val="00282398"/>
    <w:rsid w:val="0028308D"/>
    <w:rsid w:val="00283A24"/>
    <w:rsid w:val="00285231"/>
    <w:rsid w:val="002871B7"/>
    <w:rsid w:val="0028744B"/>
    <w:rsid w:val="00290372"/>
    <w:rsid w:val="0029047D"/>
    <w:rsid w:val="0029088B"/>
    <w:rsid w:val="00290BB4"/>
    <w:rsid w:val="00291189"/>
    <w:rsid w:val="002911C2"/>
    <w:rsid w:val="002917E2"/>
    <w:rsid w:val="0029240B"/>
    <w:rsid w:val="00292442"/>
    <w:rsid w:val="00292836"/>
    <w:rsid w:val="00292D07"/>
    <w:rsid w:val="0029474E"/>
    <w:rsid w:val="00294DE6"/>
    <w:rsid w:val="0029531D"/>
    <w:rsid w:val="002977BA"/>
    <w:rsid w:val="00297BCE"/>
    <w:rsid w:val="00297EAF"/>
    <w:rsid w:val="002A0786"/>
    <w:rsid w:val="002A17BB"/>
    <w:rsid w:val="002A1B17"/>
    <w:rsid w:val="002A20F2"/>
    <w:rsid w:val="002A5EB2"/>
    <w:rsid w:val="002A601D"/>
    <w:rsid w:val="002A603C"/>
    <w:rsid w:val="002A60D1"/>
    <w:rsid w:val="002A69B1"/>
    <w:rsid w:val="002A746C"/>
    <w:rsid w:val="002B0691"/>
    <w:rsid w:val="002B178D"/>
    <w:rsid w:val="002B17C2"/>
    <w:rsid w:val="002B260A"/>
    <w:rsid w:val="002B2DD1"/>
    <w:rsid w:val="002B2E96"/>
    <w:rsid w:val="002B42CC"/>
    <w:rsid w:val="002B43A0"/>
    <w:rsid w:val="002B4811"/>
    <w:rsid w:val="002B4D60"/>
    <w:rsid w:val="002B59D7"/>
    <w:rsid w:val="002B6478"/>
    <w:rsid w:val="002B7CBB"/>
    <w:rsid w:val="002C0DDA"/>
    <w:rsid w:val="002C2054"/>
    <w:rsid w:val="002C2D0F"/>
    <w:rsid w:val="002C2EC5"/>
    <w:rsid w:val="002C35D0"/>
    <w:rsid w:val="002C385A"/>
    <w:rsid w:val="002C3DEB"/>
    <w:rsid w:val="002C3F55"/>
    <w:rsid w:val="002C4740"/>
    <w:rsid w:val="002C56CB"/>
    <w:rsid w:val="002C5B23"/>
    <w:rsid w:val="002C5C92"/>
    <w:rsid w:val="002C6225"/>
    <w:rsid w:val="002C695D"/>
    <w:rsid w:val="002C6A14"/>
    <w:rsid w:val="002C6E61"/>
    <w:rsid w:val="002C7EC5"/>
    <w:rsid w:val="002C7EE3"/>
    <w:rsid w:val="002D0843"/>
    <w:rsid w:val="002D0AC1"/>
    <w:rsid w:val="002D0BAC"/>
    <w:rsid w:val="002D1BD2"/>
    <w:rsid w:val="002D2C70"/>
    <w:rsid w:val="002D31AA"/>
    <w:rsid w:val="002D3D8C"/>
    <w:rsid w:val="002D6833"/>
    <w:rsid w:val="002D6AA5"/>
    <w:rsid w:val="002D6BA3"/>
    <w:rsid w:val="002D714F"/>
    <w:rsid w:val="002D72DB"/>
    <w:rsid w:val="002E4A91"/>
    <w:rsid w:val="002E4BA8"/>
    <w:rsid w:val="002E671E"/>
    <w:rsid w:val="002E73E0"/>
    <w:rsid w:val="002E7AAF"/>
    <w:rsid w:val="002F0011"/>
    <w:rsid w:val="002F035B"/>
    <w:rsid w:val="002F1F3A"/>
    <w:rsid w:val="002F22DF"/>
    <w:rsid w:val="002F258B"/>
    <w:rsid w:val="002F2AFE"/>
    <w:rsid w:val="002F3198"/>
    <w:rsid w:val="002F43D6"/>
    <w:rsid w:val="002F58DF"/>
    <w:rsid w:val="002F60B6"/>
    <w:rsid w:val="002F6635"/>
    <w:rsid w:val="002F6C8C"/>
    <w:rsid w:val="002F7147"/>
    <w:rsid w:val="002F7352"/>
    <w:rsid w:val="002F7BC4"/>
    <w:rsid w:val="002F7CB2"/>
    <w:rsid w:val="003015C2"/>
    <w:rsid w:val="00301654"/>
    <w:rsid w:val="003019B2"/>
    <w:rsid w:val="00301DFC"/>
    <w:rsid w:val="00302542"/>
    <w:rsid w:val="00302BCF"/>
    <w:rsid w:val="00302C9D"/>
    <w:rsid w:val="00303B4B"/>
    <w:rsid w:val="0030437E"/>
    <w:rsid w:val="00304F66"/>
    <w:rsid w:val="00305173"/>
    <w:rsid w:val="00305520"/>
    <w:rsid w:val="00307953"/>
    <w:rsid w:val="00307C8E"/>
    <w:rsid w:val="00310759"/>
    <w:rsid w:val="003108CD"/>
    <w:rsid w:val="0031159C"/>
    <w:rsid w:val="00311604"/>
    <w:rsid w:val="003116E7"/>
    <w:rsid w:val="003123D4"/>
    <w:rsid w:val="003129B5"/>
    <w:rsid w:val="00312C69"/>
    <w:rsid w:val="00313789"/>
    <w:rsid w:val="00314A5E"/>
    <w:rsid w:val="003159C7"/>
    <w:rsid w:val="00315F8B"/>
    <w:rsid w:val="00316CD5"/>
    <w:rsid w:val="00317011"/>
    <w:rsid w:val="0031711A"/>
    <w:rsid w:val="003175CB"/>
    <w:rsid w:val="00317E83"/>
    <w:rsid w:val="00321C9C"/>
    <w:rsid w:val="00321F48"/>
    <w:rsid w:val="0032204A"/>
    <w:rsid w:val="0032208F"/>
    <w:rsid w:val="003230EB"/>
    <w:rsid w:val="003241E8"/>
    <w:rsid w:val="0032499B"/>
    <w:rsid w:val="00325049"/>
    <w:rsid w:val="003252A3"/>
    <w:rsid w:val="00325692"/>
    <w:rsid w:val="00325AB1"/>
    <w:rsid w:val="00326727"/>
    <w:rsid w:val="00326867"/>
    <w:rsid w:val="0032731B"/>
    <w:rsid w:val="00331D8C"/>
    <w:rsid w:val="00332292"/>
    <w:rsid w:val="003322CD"/>
    <w:rsid w:val="00332A93"/>
    <w:rsid w:val="00332B14"/>
    <w:rsid w:val="00332D8B"/>
    <w:rsid w:val="00333B9B"/>
    <w:rsid w:val="00333DE0"/>
    <w:rsid w:val="003347CF"/>
    <w:rsid w:val="00334FBC"/>
    <w:rsid w:val="00335270"/>
    <w:rsid w:val="003357EB"/>
    <w:rsid w:val="00340015"/>
    <w:rsid w:val="003400EE"/>
    <w:rsid w:val="003412E2"/>
    <w:rsid w:val="0034158C"/>
    <w:rsid w:val="003441C3"/>
    <w:rsid w:val="003443F4"/>
    <w:rsid w:val="003447C5"/>
    <w:rsid w:val="00345E4F"/>
    <w:rsid w:val="00346535"/>
    <w:rsid w:val="0034665F"/>
    <w:rsid w:val="00347269"/>
    <w:rsid w:val="003501A0"/>
    <w:rsid w:val="00350443"/>
    <w:rsid w:val="00350C4E"/>
    <w:rsid w:val="00352A57"/>
    <w:rsid w:val="00352E9A"/>
    <w:rsid w:val="00354289"/>
    <w:rsid w:val="00354F5A"/>
    <w:rsid w:val="00355DA5"/>
    <w:rsid w:val="00356C66"/>
    <w:rsid w:val="00356F7B"/>
    <w:rsid w:val="00357760"/>
    <w:rsid w:val="00357E08"/>
    <w:rsid w:val="00360713"/>
    <w:rsid w:val="00360E70"/>
    <w:rsid w:val="00361D19"/>
    <w:rsid w:val="003620DB"/>
    <w:rsid w:val="0036222B"/>
    <w:rsid w:val="00363373"/>
    <w:rsid w:val="003637FD"/>
    <w:rsid w:val="00365108"/>
    <w:rsid w:val="0037019B"/>
    <w:rsid w:val="003702C5"/>
    <w:rsid w:val="003709BF"/>
    <w:rsid w:val="00370DED"/>
    <w:rsid w:val="0037154C"/>
    <w:rsid w:val="003716E6"/>
    <w:rsid w:val="00372BAD"/>
    <w:rsid w:val="00372D0C"/>
    <w:rsid w:val="00373594"/>
    <w:rsid w:val="00373C09"/>
    <w:rsid w:val="0037441B"/>
    <w:rsid w:val="003800FC"/>
    <w:rsid w:val="00380219"/>
    <w:rsid w:val="0038135F"/>
    <w:rsid w:val="0038246E"/>
    <w:rsid w:val="00387944"/>
    <w:rsid w:val="00387AD4"/>
    <w:rsid w:val="00390D52"/>
    <w:rsid w:val="003912EF"/>
    <w:rsid w:val="00393B47"/>
    <w:rsid w:val="003942BE"/>
    <w:rsid w:val="0039435F"/>
    <w:rsid w:val="00394D1F"/>
    <w:rsid w:val="0039506A"/>
    <w:rsid w:val="00395420"/>
    <w:rsid w:val="00395B1B"/>
    <w:rsid w:val="00395B37"/>
    <w:rsid w:val="00397E20"/>
    <w:rsid w:val="003A2473"/>
    <w:rsid w:val="003A3D29"/>
    <w:rsid w:val="003A5E6B"/>
    <w:rsid w:val="003A7139"/>
    <w:rsid w:val="003B0356"/>
    <w:rsid w:val="003B0E36"/>
    <w:rsid w:val="003B141E"/>
    <w:rsid w:val="003B22AA"/>
    <w:rsid w:val="003B2845"/>
    <w:rsid w:val="003B2C4B"/>
    <w:rsid w:val="003B4172"/>
    <w:rsid w:val="003B57FA"/>
    <w:rsid w:val="003B5CCD"/>
    <w:rsid w:val="003B6E8D"/>
    <w:rsid w:val="003B731B"/>
    <w:rsid w:val="003B73AA"/>
    <w:rsid w:val="003B7CB4"/>
    <w:rsid w:val="003C01AD"/>
    <w:rsid w:val="003C0541"/>
    <w:rsid w:val="003C0646"/>
    <w:rsid w:val="003C08B3"/>
    <w:rsid w:val="003C0C3E"/>
    <w:rsid w:val="003C0FB3"/>
    <w:rsid w:val="003C1FA9"/>
    <w:rsid w:val="003C3ADB"/>
    <w:rsid w:val="003C4DDC"/>
    <w:rsid w:val="003C566B"/>
    <w:rsid w:val="003C76FB"/>
    <w:rsid w:val="003D09F4"/>
    <w:rsid w:val="003D0EF4"/>
    <w:rsid w:val="003D1A3E"/>
    <w:rsid w:val="003D21DF"/>
    <w:rsid w:val="003D2925"/>
    <w:rsid w:val="003D2972"/>
    <w:rsid w:val="003D5A89"/>
    <w:rsid w:val="003D5D6A"/>
    <w:rsid w:val="003D62DD"/>
    <w:rsid w:val="003D678A"/>
    <w:rsid w:val="003D717A"/>
    <w:rsid w:val="003E16DD"/>
    <w:rsid w:val="003E179A"/>
    <w:rsid w:val="003E21E0"/>
    <w:rsid w:val="003E255F"/>
    <w:rsid w:val="003E264C"/>
    <w:rsid w:val="003E2CB4"/>
    <w:rsid w:val="003E3715"/>
    <w:rsid w:val="003E45A1"/>
    <w:rsid w:val="003E64BA"/>
    <w:rsid w:val="003F0E22"/>
    <w:rsid w:val="003F1207"/>
    <w:rsid w:val="003F1393"/>
    <w:rsid w:val="003F2882"/>
    <w:rsid w:val="003F56A4"/>
    <w:rsid w:val="003F62E2"/>
    <w:rsid w:val="003F7472"/>
    <w:rsid w:val="003F7AB4"/>
    <w:rsid w:val="003F7BA2"/>
    <w:rsid w:val="00401EAC"/>
    <w:rsid w:val="00402147"/>
    <w:rsid w:val="00402A9E"/>
    <w:rsid w:val="00403759"/>
    <w:rsid w:val="0040462D"/>
    <w:rsid w:val="00404A7C"/>
    <w:rsid w:val="00405276"/>
    <w:rsid w:val="00406455"/>
    <w:rsid w:val="00406F35"/>
    <w:rsid w:val="0040745D"/>
    <w:rsid w:val="0041012E"/>
    <w:rsid w:val="00411138"/>
    <w:rsid w:val="0041161C"/>
    <w:rsid w:val="0041170A"/>
    <w:rsid w:val="004131B8"/>
    <w:rsid w:val="00416913"/>
    <w:rsid w:val="00417D5B"/>
    <w:rsid w:val="00421A54"/>
    <w:rsid w:val="00421CC5"/>
    <w:rsid w:val="004225BB"/>
    <w:rsid w:val="004229FB"/>
    <w:rsid w:val="00422E59"/>
    <w:rsid w:val="00423345"/>
    <w:rsid w:val="00423633"/>
    <w:rsid w:val="00424E9D"/>
    <w:rsid w:val="00426002"/>
    <w:rsid w:val="00426B10"/>
    <w:rsid w:val="00426E9C"/>
    <w:rsid w:val="00430662"/>
    <w:rsid w:val="004308C1"/>
    <w:rsid w:val="00431B7D"/>
    <w:rsid w:val="00432506"/>
    <w:rsid w:val="004333BB"/>
    <w:rsid w:val="00433CC9"/>
    <w:rsid w:val="00433D1C"/>
    <w:rsid w:val="004343F7"/>
    <w:rsid w:val="0043690A"/>
    <w:rsid w:val="00437305"/>
    <w:rsid w:val="004379CC"/>
    <w:rsid w:val="004402B6"/>
    <w:rsid w:val="00441705"/>
    <w:rsid w:val="00444234"/>
    <w:rsid w:val="00444303"/>
    <w:rsid w:val="00444906"/>
    <w:rsid w:val="0044577E"/>
    <w:rsid w:val="004463A0"/>
    <w:rsid w:val="00446872"/>
    <w:rsid w:val="004473CC"/>
    <w:rsid w:val="00450112"/>
    <w:rsid w:val="00451A62"/>
    <w:rsid w:val="00452253"/>
    <w:rsid w:val="004527B7"/>
    <w:rsid w:val="00452F99"/>
    <w:rsid w:val="00455448"/>
    <w:rsid w:val="0045551E"/>
    <w:rsid w:val="0046018F"/>
    <w:rsid w:val="00461AFE"/>
    <w:rsid w:val="00464B8B"/>
    <w:rsid w:val="0046576D"/>
    <w:rsid w:val="00465AF9"/>
    <w:rsid w:val="00466DC2"/>
    <w:rsid w:val="00467149"/>
    <w:rsid w:val="00467856"/>
    <w:rsid w:val="004709EC"/>
    <w:rsid w:val="0047111B"/>
    <w:rsid w:val="00471DC4"/>
    <w:rsid w:val="004739A1"/>
    <w:rsid w:val="00473A77"/>
    <w:rsid w:val="00475773"/>
    <w:rsid w:val="00476392"/>
    <w:rsid w:val="0047675D"/>
    <w:rsid w:val="00477EC8"/>
    <w:rsid w:val="0048099C"/>
    <w:rsid w:val="00481117"/>
    <w:rsid w:val="00481CC8"/>
    <w:rsid w:val="004848BB"/>
    <w:rsid w:val="00486505"/>
    <w:rsid w:val="00486DAD"/>
    <w:rsid w:val="00486E07"/>
    <w:rsid w:val="004879F9"/>
    <w:rsid w:val="00490589"/>
    <w:rsid w:val="004906A0"/>
    <w:rsid w:val="00491284"/>
    <w:rsid w:val="004918A1"/>
    <w:rsid w:val="0049261C"/>
    <w:rsid w:val="00493D42"/>
    <w:rsid w:val="00495F26"/>
    <w:rsid w:val="00496796"/>
    <w:rsid w:val="00497ABB"/>
    <w:rsid w:val="00497D45"/>
    <w:rsid w:val="004A00F3"/>
    <w:rsid w:val="004A089C"/>
    <w:rsid w:val="004A0E1A"/>
    <w:rsid w:val="004A136D"/>
    <w:rsid w:val="004A1701"/>
    <w:rsid w:val="004A1C61"/>
    <w:rsid w:val="004A1E43"/>
    <w:rsid w:val="004A22B3"/>
    <w:rsid w:val="004A2B1C"/>
    <w:rsid w:val="004A3A1D"/>
    <w:rsid w:val="004A3C2A"/>
    <w:rsid w:val="004A4746"/>
    <w:rsid w:val="004A49AE"/>
    <w:rsid w:val="004A4BEA"/>
    <w:rsid w:val="004A4C9B"/>
    <w:rsid w:val="004A4DD4"/>
    <w:rsid w:val="004B0953"/>
    <w:rsid w:val="004B41F0"/>
    <w:rsid w:val="004B4346"/>
    <w:rsid w:val="004B46AA"/>
    <w:rsid w:val="004B4E79"/>
    <w:rsid w:val="004B4F3F"/>
    <w:rsid w:val="004B64C0"/>
    <w:rsid w:val="004B699C"/>
    <w:rsid w:val="004B7130"/>
    <w:rsid w:val="004B7438"/>
    <w:rsid w:val="004B7EC6"/>
    <w:rsid w:val="004C04AB"/>
    <w:rsid w:val="004C0933"/>
    <w:rsid w:val="004C22D6"/>
    <w:rsid w:val="004C382B"/>
    <w:rsid w:val="004C3DCF"/>
    <w:rsid w:val="004C3FF7"/>
    <w:rsid w:val="004C4A85"/>
    <w:rsid w:val="004C4ABC"/>
    <w:rsid w:val="004C4C09"/>
    <w:rsid w:val="004C5A2C"/>
    <w:rsid w:val="004C5BFA"/>
    <w:rsid w:val="004C5F8D"/>
    <w:rsid w:val="004C657E"/>
    <w:rsid w:val="004D0832"/>
    <w:rsid w:val="004D116B"/>
    <w:rsid w:val="004D2054"/>
    <w:rsid w:val="004D2353"/>
    <w:rsid w:val="004D2E67"/>
    <w:rsid w:val="004D3074"/>
    <w:rsid w:val="004D3FC6"/>
    <w:rsid w:val="004D4452"/>
    <w:rsid w:val="004D6219"/>
    <w:rsid w:val="004D64F5"/>
    <w:rsid w:val="004D7C85"/>
    <w:rsid w:val="004E035E"/>
    <w:rsid w:val="004E0678"/>
    <w:rsid w:val="004E0A0A"/>
    <w:rsid w:val="004E0A7C"/>
    <w:rsid w:val="004E202A"/>
    <w:rsid w:val="004E2FCA"/>
    <w:rsid w:val="004E3545"/>
    <w:rsid w:val="004E4665"/>
    <w:rsid w:val="004E4D0D"/>
    <w:rsid w:val="004E59A8"/>
    <w:rsid w:val="004E5B49"/>
    <w:rsid w:val="004E6743"/>
    <w:rsid w:val="004E6D44"/>
    <w:rsid w:val="004F0825"/>
    <w:rsid w:val="004F09CE"/>
    <w:rsid w:val="004F0CCC"/>
    <w:rsid w:val="004F1898"/>
    <w:rsid w:val="004F2691"/>
    <w:rsid w:val="004F368B"/>
    <w:rsid w:val="004F36EF"/>
    <w:rsid w:val="004F3811"/>
    <w:rsid w:val="004F3C10"/>
    <w:rsid w:val="004F3EF1"/>
    <w:rsid w:val="004F4AAF"/>
    <w:rsid w:val="004F4D5C"/>
    <w:rsid w:val="004F50C9"/>
    <w:rsid w:val="004F5DC0"/>
    <w:rsid w:val="004F6251"/>
    <w:rsid w:val="004F6F5A"/>
    <w:rsid w:val="004F768B"/>
    <w:rsid w:val="00500306"/>
    <w:rsid w:val="00500AA5"/>
    <w:rsid w:val="00501513"/>
    <w:rsid w:val="00501940"/>
    <w:rsid w:val="005029A9"/>
    <w:rsid w:val="00502E88"/>
    <w:rsid w:val="00502EB5"/>
    <w:rsid w:val="00504E83"/>
    <w:rsid w:val="00505D57"/>
    <w:rsid w:val="00506D0D"/>
    <w:rsid w:val="00507C42"/>
    <w:rsid w:val="005109C8"/>
    <w:rsid w:val="00511E32"/>
    <w:rsid w:val="00512ED6"/>
    <w:rsid w:val="00512EF9"/>
    <w:rsid w:val="0051386F"/>
    <w:rsid w:val="00513931"/>
    <w:rsid w:val="00513A96"/>
    <w:rsid w:val="00514357"/>
    <w:rsid w:val="005148F0"/>
    <w:rsid w:val="005159F7"/>
    <w:rsid w:val="00520288"/>
    <w:rsid w:val="00522AD1"/>
    <w:rsid w:val="00523BF5"/>
    <w:rsid w:val="00524B16"/>
    <w:rsid w:val="00524B59"/>
    <w:rsid w:val="00524C6B"/>
    <w:rsid w:val="005258DE"/>
    <w:rsid w:val="005271AB"/>
    <w:rsid w:val="005275FC"/>
    <w:rsid w:val="0053001D"/>
    <w:rsid w:val="00530241"/>
    <w:rsid w:val="00530595"/>
    <w:rsid w:val="005308FD"/>
    <w:rsid w:val="00531352"/>
    <w:rsid w:val="00531FF3"/>
    <w:rsid w:val="00532AE4"/>
    <w:rsid w:val="00533606"/>
    <w:rsid w:val="00534123"/>
    <w:rsid w:val="00534A9F"/>
    <w:rsid w:val="00534AC6"/>
    <w:rsid w:val="00536AC0"/>
    <w:rsid w:val="00537C32"/>
    <w:rsid w:val="00540A08"/>
    <w:rsid w:val="00541847"/>
    <w:rsid w:val="00541D28"/>
    <w:rsid w:val="00542C94"/>
    <w:rsid w:val="00542D23"/>
    <w:rsid w:val="00545CE7"/>
    <w:rsid w:val="0054709A"/>
    <w:rsid w:val="0054756D"/>
    <w:rsid w:val="005510FC"/>
    <w:rsid w:val="005511BD"/>
    <w:rsid w:val="005511DA"/>
    <w:rsid w:val="00552275"/>
    <w:rsid w:val="00554B08"/>
    <w:rsid w:val="005579E8"/>
    <w:rsid w:val="005603BF"/>
    <w:rsid w:val="0056059F"/>
    <w:rsid w:val="0056270C"/>
    <w:rsid w:val="00562D0D"/>
    <w:rsid w:val="005633F1"/>
    <w:rsid w:val="00564511"/>
    <w:rsid w:val="005705D5"/>
    <w:rsid w:val="00570B25"/>
    <w:rsid w:val="00570C16"/>
    <w:rsid w:val="00570E8D"/>
    <w:rsid w:val="00570F47"/>
    <w:rsid w:val="005711C6"/>
    <w:rsid w:val="0057243C"/>
    <w:rsid w:val="00572B68"/>
    <w:rsid w:val="00573A45"/>
    <w:rsid w:val="00573A98"/>
    <w:rsid w:val="00573F97"/>
    <w:rsid w:val="005741F8"/>
    <w:rsid w:val="00574A63"/>
    <w:rsid w:val="005764FE"/>
    <w:rsid w:val="00577AB1"/>
    <w:rsid w:val="00577D21"/>
    <w:rsid w:val="00577ECC"/>
    <w:rsid w:val="0058060D"/>
    <w:rsid w:val="00580735"/>
    <w:rsid w:val="00581C6B"/>
    <w:rsid w:val="00582CEB"/>
    <w:rsid w:val="00583F97"/>
    <w:rsid w:val="00584B7D"/>
    <w:rsid w:val="005873F5"/>
    <w:rsid w:val="005875C6"/>
    <w:rsid w:val="00587FA7"/>
    <w:rsid w:val="00590D9D"/>
    <w:rsid w:val="0059132E"/>
    <w:rsid w:val="0059217E"/>
    <w:rsid w:val="00592B4A"/>
    <w:rsid w:val="00593338"/>
    <w:rsid w:val="0059351C"/>
    <w:rsid w:val="005935BC"/>
    <w:rsid w:val="00593B6E"/>
    <w:rsid w:val="005940D6"/>
    <w:rsid w:val="005947A7"/>
    <w:rsid w:val="005947CF"/>
    <w:rsid w:val="00594C63"/>
    <w:rsid w:val="00595983"/>
    <w:rsid w:val="00595C45"/>
    <w:rsid w:val="005963CE"/>
    <w:rsid w:val="005967F8"/>
    <w:rsid w:val="00596A5E"/>
    <w:rsid w:val="0059736B"/>
    <w:rsid w:val="005A071C"/>
    <w:rsid w:val="005A1728"/>
    <w:rsid w:val="005A19CE"/>
    <w:rsid w:val="005A3D47"/>
    <w:rsid w:val="005A5502"/>
    <w:rsid w:val="005A6BE5"/>
    <w:rsid w:val="005A791E"/>
    <w:rsid w:val="005A7C0C"/>
    <w:rsid w:val="005B0051"/>
    <w:rsid w:val="005B01DE"/>
    <w:rsid w:val="005B110A"/>
    <w:rsid w:val="005B151C"/>
    <w:rsid w:val="005B1BFE"/>
    <w:rsid w:val="005B26AB"/>
    <w:rsid w:val="005B2FC8"/>
    <w:rsid w:val="005B3C43"/>
    <w:rsid w:val="005B47BD"/>
    <w:rsid w:val="005B57DF"/>
    <w:rsid w:val="005B62B9"/>
    <w:rsid w:val="005C1F52"/>
    <w:rsid w:val="005C46D3"/>
    <w:rsid w:val="005C51D3"/>
    <w:rsid w:val="005C6654"/>
    <w:rsid w:val="005C693F"/>
    <w:rsid w:val="005C71AC"/>
    <w:rsid w:val="005D16E8"/>
    <w:rsid w:val="005D1DFC"/>
    <w:rsid w:val="005D3F00"/>
    <w:rsid w:val="005D41B6"/>
    <w:rsid w:val="005D425E"/>
    <w:rsid w:val="005D4D3D"/>
    <w:rsid w:val="005D54E6"/>
    <w:rsid w:val="005D5D48"/>
    <w:rsid w:val="005D66AB"/>
    <w:rsid w:val="005D6931"/>
    <w:rsid w:val="005D7791"/>
    <w:rsid w:val="005D7B5B"/>
    <w:rsid w:val="005D7F3C"/>
    <w:rsid w:val="005E03D8"/>
    <w:rsid w:val="005E0F70"/>
    <w:rsid w:val="005E14C0"/>
    <w:rsid w:val="005E1575"/>
    <w:rsid w:val="005E15D9"/>
    <w:rsid w:val="005E161D"/>
    <w:rsid w:val="005E1AD0"/>
    <w:rsid w:val="005E68B7"/>
    <w:rsid w:val="005E6C70"/>
    <w:rsid w:val="005E7CE3"/>
    <w:rsid w:val="005F053B"/>
    <w:rsid w:val="005F0A0D"/>
    <w:rsid w:val="005F1B5F"/>
    <w:rsid w:val="005F20B8"/>
    <w:rsid w:val="005F35B5"/>
    <w:rsid w:val="005F4255"/>
    <w:rsid w:val="005F48A0"/>
    <w:rsid w:val="005F4DFB"/>
    <w:rsid w:val="005F56B5"/>
    <w:rsid w:val="005F60EC"/>
    <w:rsid w:val="005F65F1"/>
    <w:rsid w:val="005F6795"/>
    <w:rsid w:val="005F6BD5"/>
    <w:rsid w:val="005F7B08"/>
    <w:rsid w:val="00600330"/>
    <w:rsid w:val="00600C96"/>
    <w:rsid w:val="00601998"/>
    <w:rsid w:val="00601A48"/>
    <w:rsid w:val="00601AED"/>
    <w:rsid w:val="00602D89"/>
    <w:rsid w:val="00603538"/>
    <w:rsid w:val="0060416E"/>
    <w:rsid w:val="00604400"/>
    <w:rsid w:val="00604702"/>
    <w:rsid w:val="0060484F"/>
    <w:rsid w:val="006050FE"/>
    <w:rsid w:val="006067FF"/>
    <w:rsid w:val="00606B9D"/>
    <w:rsid w:val="00607969"/>
    <w:rsid w:val="00607D02"/>
    <w:rsid w:val="00610AB9"/>
    <w:rsid w:val="00610E95"/>
    <w:rsid w:val="006111D2"/>
    <w:rsid w:val="00611BDE"/>
    <w:rsid w:val="006127C8"/>
    <w:rsid w:val="0061283D"/>
    <w:rsid w:val="00613028"/>
    <w:rsid w:val="00613DAD"/>
    <w:rsid w:val="006141FA"/>
    <w:rsid w:val="00614552"/>
    <w:rsid w:val="00615B94"/>
    <w:rsid w:val="00617808"/>
    <w:rsid w:val="006203EA"/>
    <w:rsid w:val="00621EB0"/>
    <w:rsid w:val="00621FC5"/>
    <w:rsid w:val="00622B14"/>
    <w:rsid w:val="00622EE6"/>
    <w:rsid w:val="00626689"/>
    <w:rsid w:val="00626E01"/>
    <w:rsid w:val="00630B11"/>
    <w:rsid w:val="00630D45"/>
    <w:rsid w:val="006312EE"/>
    <w:rsid w:val="0063214B"/>
    <w:rsid w:val="006324C4"/>
    <w:rsid w:val="00632E3F"/>
    <w:rsid w:val="006334B1"/>
    <w:rsid w:val="006335F4"/>
    <w:rsid w:val="00633856"/>
    <w:rsid w:val="00633F7C"/>
    <w:rsid w:val="00634093"/>
    <w:rsid w:val="006405C5"/>
    <w:rsid w:val="00641258"/>
    <w:rsid w:val="006422D9"/>
    <w:rsid w:val="00642F11"/>
    <w:rsid w:val="0064324D"/>
    <w:rsid w:val="00645C4A"/>
    <w:rsid w:val="006460A8"/>
    <w:rsid w:val="006462F3"/>
    <w:rsid w:val="0064644F"/>
    <w:rsid w:val="006473F9"/>
    <w:rsid w:val="00647992"/>
    <w:rsid w:val="00647C6E"/>
    <w:rsid w:val="00647DB2"/>
    <w:rsid w:val="00651A3A"/>
    <w:rsid w:val="00651B25"/>
    <w:rsid w:val="00651B42"/>
    <w:rsid w:val="00651CD5"/>
    <w:rsid w:val="00652687"/>
    <w:rsid w:val="006534BB"/>
    <w:rsid w:val="00653622"/>
    <w:rsid w:val="00653BD8"/>
    <w:rsid w:val="00653CCB"/>
    <w:rsid w:val="006544B6"/>
    <w:rsid w:val="00654F62"/>
    <w:rsid w:val="00655D57"/>
    <w:rsid w:val="00655F15"/>
    <w:rsid w:val="00657905"/>
    <w:rsid w:val="006579CF"/>
    <w:rsid w:val="006603C3"/>
    <w:rsid w:val="0066101C"/>
    <w:rsid w:val="0066173B"/>
    <w:rsid w:val="0066209F"/>
    <w:rsid w:val="0066394D"/>
    <w:rsid w:val="006644C3"/>
    <w:rsid w:val="00664C35"/>
    <w:rsid w:val="00665381"/>
    <w:rsid w:val="00665C0D"/>
    <w:rsid w:val="006669B9"/>
    <w:rsid w:val="006672F7"/>
    <w:rsid w:val="0066798E"/>
    <w:rsid w:val="00667ABD"/>
    <w:rsid w:val="0067037F"/>
    <w:rsid w:val="00671AFF"/>
    <w:rsid w:val="00672640"/>
    <w:rsid w:val="006741BA"/>
    <w:rsid w:val="00674205"/>
    <w:rsid w:val="00674D53"/>
    <w:rsid w:val="006752EA"/>
    <w:rsid w:val="00675C6C"/>
    <w:rsid w:val="00675FC4"/>
    <w:rsid w:val="006774CD"/>
    <w:rsid w:val="00677FB6"/>
    <w:rsid w:val="0068102D"/>
    <w:rsid w:val="00681CE3"/>
    <w:rsid w:val="00682AAC"/>
    <w:rsid w:val="00683828"/>
    <w:rsid w:val="00684DA8"/>
    <w:rsid w:val="00686D5C"/>
    <w:rsid w:val="0068723F"/>
    <w:rsid w:val="0068786F"/>
    <w:rsid w:val="006879B2"/>
    <w:rsid w:val="00691B5A"/>
    <w:rsid w:val="00692710"/>
    <w:rsid w:val="006932F9"/>
    <w:rsid w:val="00693592"/>
    <w:rsid w:val="00693AC4"/>
    <w:rsid w:val="00694023"/>
    <w:rsid w:val="00696A8C"/>
    <w:rsid w:val="0069730D"/>
    <w:rsid w:val="006A133C"/>
    <w:rsid w:val="006A166A"/>
    <w:rsid w:val="006A21AF"/>
    <w:rsid w:val="006A2758"/>
    <w:rsid w:val="006A2D77"/>
    <w:rsid w:val="006A41AF"/>
    <w:rsid w:val="006A4A58"/>
    <w:rsid w:val="006A4AF0"/>
    <w:rsid w:val="006A5861"/>
    <w:rsid w:val="006A61F8"/>
    <w:rsid w:val="006A6612"/>
    <w:rsid w:val="006A6837"/>
    <w:rsid w:val="006B031F"/>
    <w:rsid w:val="006B0FB1"/>
    <w:rsid w:val="006B2342"/>
    <w:rsid w:val="006B2649"/>
    <w:rsid w:val="006B29D8"/>
    <w:rsid w:val="006B37D4"/>
    <w:rsid w:val="006B3E51"/>
    <w:rsid w:val="006B4429"/>
    <w:rsid w:val="006B4DDF"/>
    <w:rsid w:val="006B4EC7"/>
    <w:rsid w:val="006B5542"/>
    <w:rsid w:val="006B5DB1"/>
    <w:rsid w:val="006B64CB"/>
    <w:rsid w:val="006B7038"/>
    <w:rsid w:val="006B76B5"/>
    <w:rsid w:val="006B7E3A"/>
    <w:rsid w:val="006C1CB5"/>
    <w:rsid w:val="006C2DEB"/>
    <w:rsid w:val="006C3A93"/>
    <w:rsid w:val="006C3E1D"/>
    <w:rsid w:val="006C5698"/>
    <w:rsid w:val="006C7EEE"/>
    <w:rsid w:val="006D1815"/>
    <w:rsid w:val="006D3098"/>
    <w:rsid w:val="006D4375"/>
    <w:rsid w:val="006D463F"/>
    <w:rsid w:val="006D4A00"/>
    <w:rsid w:val="006D4F90"/>
    <w:rsid w:val="006D55AC"/>
    <w:rsid w:val="006D613C"/>
    <w:rsid w:val="006D6DE9"/>
    <w:rsid w:val="006E0392"/>
    <w:rsid w:val="006E0B22"/>
    <w:rsid w:val="006E167B"/>
    <w:rsid w:val="006E208F"/>
    <w:rsid w:val="006E3C0E"/>
    <w:rsid w:val="006E3CAA"/>
    <w:rsid w:val="006E3D4B"/>
    <w:rsid w:val="006E48ED"/>
    <w:rsid w:val="006E634E"/>
    <w:rsid w:val="006E693C"/>
    <w:rsid w:val="006E7AC7"/>
    <w:rsid w:val="006F0579"/>
    <w:rsid w:val="006F0AAC"/>
    <w:rsid w:val="006F0F12"/>
    <w:rsid w:val="006F0F42"/>
    <w:rsid w:val="006F1BFD"/>
    <w:rsid w:val="006F2454"/>
    <w:rsid w:val="006F2574"/>
    <w:rsid w:val="006F5301"/>
    <w:rsid w:val="006F584B"/>
    <w:rsid w:val="006F60C3"/>
    <w:rsid w:val="006F63F7"/>
    <w:rsid w:val="006F6810"/>
    <w:rsid w:val="006F6BC6"/>
    <w:rsid w:val="006F6C3C"/>
    <w:rsid w:val="006F7CE1"/>
    <w:rsid w:val="006F7FF1"/>
    <w:rsid w:val="007026CE"/>
    <w:rsid w:val="00702C74"/>
    <w:rsid w:val="0070345E"/>
    <w:rsid w:val="007041C6"/>
    <w:rsid w:val="0070600D"/>
    <w:rsid w:val="00707396"/>
    <w:rsid w:val="007077CD"/>
    <w:rsid w:val="00707E1E"/>
    <w:rsid w:val="007116C0"/>
    <w:rsid w:val="00711DEB"/>
    <w:rsid w:val="007120F4"/>
    <w:rsid w:val="00713312"/>
    <w:rsid w:val="00714937"/>
    <w:rsid w:val="00715203"/>
    <w:rsid w:val="00715B75"/>
    <w:rsid w:val="00716472"/>
    <w:rsid w:val="00720B98"/>
    <w:rsid w:val="00722BD8"/>
    <w:rsid w:val="0072330D"/>
    <w:rsid w:val="00723CBF"/>
    <w:rsid w:val="00727370"/>
    <w:rsid w:val="0073016C"/>
    <w:rsid w:val="007312DF"/>
    <w:rsid w:val="007317B5"/>
    <w:rsid w:val="00733841"/>
    <w:rsid w:val="007345A7"/>
    <w:rsid w:val="00735063"/>
    <w:rsid w:val="00735840"/>
    <w:rsid w:val="00735A92"/>
    <w:rsid w:val="0074003A"/>
    <w:rsid w:val="00740547"/>
    <w:rsid w:val="007406D6"/>
    <w:rsid w:val="0074081E"/>
    <w:rsid w:val="00741438"/>
    <w:rsid w:val="0074397B"/>
    <w:rsid w:val="007444F1"/>
    <w:rsid w:val="00744A0B"/>
    <w:rsid w:val="00744E96"/>
    <w:rsid w:val="00745274"/>
    <w:rsid w:val="00745664"/>
    <w:rsid w:val="00746423"/>
    <w:rsid w:val="00746B6A"/>
    <w:rsid w:val="00746EDE"/>
    <w:rsid w:val="00750147"/>
    <w:rsid w:val="0075170C"/>
    <w:rsid w:val="00752691"/>
    <w:rsid w:val="00753143"/>
    <w:rsid w:val="00754DF7"/>
    <w:rsid w:val="0075569A"/>
    <w:rsid w:val="00756117"/>
    <w:rsid w:val="0075757D"/>
    <w:rsid w:val="00757D31"/>
    <w:rsid w:val="00762566"/>
    <w:rsid w:val="007646CD"/>
    <w:rsid w:val="007650AF"/>
    <w:rsid w:val="00766048"/>
    <w:rsid w:val="00766735"/>
    <w:rsid w:val="00766FCF"/>
    <w:rsid w:val="0077039B"/>
    <w:rsid w:val="00771ED3"/>
    <w:rsid w:val="00772270"/>
    <w:rsid w:val="00772298"/>
    <w:rsid w:val="007728F9"/>
    <w:rsid w:val="00773379"/>
    <w:rsid w:val="00773FC6"/>
    <w:rsid w:val="0077459C"/>
    <w:rsid w:val="00774AD6"/>
    <w:rsid w:val="00775992"/>
    <w:rsid w:val="00775B9C"/>
    <w:rsid w:val="007762F0"/>
    <w:rsid w:val="007802AD"/>
    <w:rsid w:val="00781082"/>
    <w:rsid w:val="00781B93"/>
    <w:rsid w:val="00782147"/>
    <w:rsid w:val="00782BBA"/>
    <w:rsid w:val="0078549E"/>
    <w:rsid w:val="0078559C"/>
    <w:rsid w:val="00785EB2"/>
    <w:rsid w:val="00786E43"/>
    <w:rsid w:val="00787544"/>
    <w:rsid w:val="007876CD"/>
    <w:rsid w:val="00787706"/>
    <w:rsid w:val="00790A4F"/>
    <w:rsid w:val="0079112D"/>
    <w:rsid w:val="00794725"/>
    <w:rsid w:val="00795B36"/>
    <w:rsid w:val="0079633E"/>
    <w:rsid w:val="0079636A"/>
    <w:rsid w:val="00797C45"/>
    <w:rsid w:val="007A03E1"/>
    <w:rsid w:val="007A0C8B"/>
    <w:rsid w:val="007A11A1"/>
    <w:rsid w:val="007A1571"/>
    <w:rsid w:val="007A2440"/>
    <w:rsid w:val="007A4F4D"/>
    <w:rsid w:val="007A5CC4"/>
    <w:rsid w:val="007A5F90"/>
    <w:rsid w:val="007A6071"/>
    <w:rsid w:val="007A67D4"/>
    <w:rsid w:val="007A6821"/>
    <w:rsid w:val="007A7804"/>
    <w:rsid w:val="007A7F62"/>
    <w:rsid w:val="007B0872"/>
    <w:rsid w:val="007B0900"/>
    <w:rsid w:val="007B0CB7"/>
    <w:rsid w:val="007B1673"/>
    <w:rsid w:val="007B1727"/>
    <w:rsid w:val="007B1C5D"/>
    <w:rsid w:val="007B1EAF"/>
    <w:rsid w:val="007B2728"/>
    <w:rsid w:val="007B2F93"/>
    <w:rsid w:val="007B43E6"/>
    <w:rsid w:val="007B51AD"/>
    <w:rsid w:val="007B5EC7"/>
    <w:rsid w:val="007B6BDA"/>
    <w:rsid w:val="007B7333"/>
    <w:rsid w:val="007B7F7B"/>
    <w:rsid w:val="007B7FC2"/>
    <w:rsid w:val="007C1B4D"/>
    <w:rsid w:val="007C3327"/>
    <w:rsid w:val="007C48F7"/>
    <w:rsid w:val="007C4B53"/>
    <w:rsid w:val="007C6455"/>
    <w:rsid w:val="007C7347"/>
    <w:rsid w:val="007C7E9A"/>
    <w:rsid w:val="007D0817"/>
    <w:rsid w:val="007D15CA"/>
    <w:rsid w:val="007D180C"/>
    <w:rsid w:val="007D1C03"/>
    <w:rsid w:val="007D250B"/>
    <w:rsid w:val="007D5DE2"/>
    <w:rsid w:val="007D6043"/>
    <w:rsid w:val="007D660D"/>
    <w:rsid w:val="007D67B4"/>
    <w:rsid w:val="007D6979"/>
    <w:rsid w:val="007D6F95"/>
    <w:rsid w:val="007E023A"/>
    <w:rsid w:val="007E2499"/>
    <w:rsid w:val="007E4939"/>
    <w:rsid w:val="007E539C"/>
    <w:rsid w:val="007E7237"/>
    <w:rsid w:val="007F0306"/>
    <w:rsid w:val="007F14BD"/>
    <w:rsid w:val="007F21D9"/>
    <w:rsid w:val="007F23F4"/>
    <w:rsid w:val="007F319D"/>
    <w:rsid w:val="007F3828"/>
    <w:rsid w:val="007F57B7"/>
    <w:rsid w:val="007F5BD2"/>
    <w:rsid w:val="007F6D40"/>
    <w:rsid w:val="007F749D"/>
    <w:rsid w:val="007F7EF5"/>
    <w:rsid w:val="00800840"/>
    <w:rsid w:val="00801773"/>
    <w:rsid w:val="008017EF"/>
    <w:rsid w:val="008025B9"/>
    <w:rsid w:val="0080332A"/>
    <w:rsid w:val="0080344E"/>
    <w:rsid w:val="00803A3C"/>
    <w:rsid w:val="008043C1"/>
    <w:rsid w:val="008045E3"/>
    <w:rsid w:val="00804DCD"/>
    <w:rsid w:val="0080532A"/>
    <w:rsid w:val="008058FF"/>
    <w:rsid w:val="00805A07"/>
    <w:rsid w:val="00805F48"/>
    <w:rsid w:val="00806641"/>
    <w:rsid w:val="00810521"/>
    <w:rsid w:val="008106D2"/>
    <w:rsid w:val="00810BA3"/>
    <w:rsid w:val="00812978"/>
    <w:rsid w:val="00812A63"/>
    <w:rsid w:val="00814BAB"/>
    <w:rsid w:val="00814D4D"/>
    <w:rsid w:val="0081538A"/>
    <w:rsid w:val="008158FD"/>
    <w:rsid w:val="00815AAF"/>
    <w:rsid w:val="00816A58"/>
    <w:rsid w:val="00817237"/>
    <w:rsid w:val="008176E1"/>
    <w:rsid w:val="00817C09"/>
    <w:rsid w:val="00817D0C"/>
    <w:rsid w:val="008205E4"/>
    <w:rsid w:val="008219C0"/>
    <w:rsid w:val="00821AC7"/>
    <w:rsid w:val="0082285C"/>
    <w:rsid w:val="00822F52"/>
    <w:rsid w:val="0082406D"/>
    <w:rsid w:val="00824396"/>
    <w:rsid w:val="00825094"/>
    <w:rsid w:val="008260D2"/>
    <w:rsid w:val="00827AAA"/>
    <w:rsid w:val="00830CC0"/>
    <w:rsid w:val="00831F60"/>
    <w:rsid w:val="00832F86"/>
    <w:rsid w:val="00833BDB"/>
    <w:rsid w:val="00833C41"/>
    <w:rsid w:val="00833C52"/>
    <w:rsid w:val="00833D56"/>
    <w:rsid w:val="008347E6"/>
    <w:rsid w:val="00834937"/>
    <w:rsid w:val="00834F48"/>
    <w:rsid w:val="00834FBE"/>
    <w:rsid w:val="00837CDB"/>
    <w:rsid w:val="00841682"/>
    <w:rsid w:val="008427CB"/>
    <w:rsid w:val="00842C70"/>
    <w:rsid w:val="0084376C"/>
    <w:rsid w:val="00843B22"/>
    <w:rsid w:val="00844AF7"/>
    <w:rsid w:val="00844CA2"/>
    <w:rsid w:val="00845903"/>
    <w:rsid w:val="008464DD"/>
    <w:rsid w:val="008464E5"/>
    <w:rsid w:val="00846F95"/>
    <w:rsid w:val="00847ABB"/>
    <w:rsid w:val="00847DE3"/>
    <w:rsid w:val="00847F97"/>
    <w:rsid w:val="00850127"/>
    <w:rsid w:val="008505BC"/>
    <w:rsid w:val="008505D0"/>
    <w:rsid w:val="00851782"/>
    <w:rsid w:val="00851B7A"/>
    <w:rsid w:val="008537E6"/>
    <w:rsid w:val="00853CE3"/>
    <w:rsid w:val="00854282"/>
    <w:rsid w:val="00854C55"/>
    <w:rsid w:val="0085539E"/>
    <w:rsid w:val="00855E5D"/>
    <w:rsid w:val="008576A0"/>
    <w:rsid w:val="00863344"/>
    <w:rsid w:val="00863385"/>
    <w:rsid w:val="00863AD7"/>
    <w:rsid w:val="008641F3"/>
    <w:rsid w:val="00864B0B"/>
    <w:rsid w:val="00864D1D"/>
    <w:rsid w:val="00864FB6"/>
    <w:rsid w:val="00865EA7"/>
    <w:rsid w:val="008669D1"/>
    <w:rsid w:val="00867391"/>
    <w:rsid w:val="00867BFB"/>
    <w:rsid w:val="00870A8C"/>
    <w:rsid w:val="00871C08"/>
    <w:rsid w:val="008729B5"/>
    <w:rsid w:val="0087306E"/>
    <w:rsid w:val="00874531"/>
    <w:rsid w:val="008748F3"/>
    <w:rsid w:val="00874DEE"/>
    <w:rsid w:val="00876A66"/>
    <w:rsid w:val="0088126B"/>
    <w:rsid w:val="008813BE"/>
    <w:rsid w:val="00881CF3"/>
    <w:rsid w:val="00882AFA"/>
    <w:rsid w:val="00884959"/>
    <w:rsid w:val="00886925"/>
    <w:rsid w:val="0088692A"/>
    <w:rsid w:val="008870C3"/>
    <w:rsid w:val="00890852"/>
    <w:rsid w:val="008912CA"/>
    <w:rsid w:val="00891593"/>
    <w:rsid w:val="008923B2"/>
    <w:rsid w:val="00893052"/>
    <w:rsid w:val="00893D2E"/>
    <w:rsid w:val="00895037"/>
    <w:rsid w:val="00896F5F"/>
    <w:rsid w:val="008A04E4"/>
    <w:rsid w:val="008A0B87"/>
    <w:rsid w:val="008A0F9D"/>
    <w:rsid w:val="008A1CA5"/>
    <w:rsid w:val="008A2275"/>
    <w:rsid w:val="008A35DE"/>
    <w:rsid w:val="008A3E90"/>
    <w:rsid w:val="008A496B"/>
    <w:rsid w:val="008A4C95"/>
    <w:rsid w:val="008A6212"/>
    <w:rsid w:val="008A6997"/>
    <w:rsid w:val="008A7AD7"/>
    <w:rsid w:val="008A7BE7"/>
    <w:rsid w:val="008B01B2"/>
    <w:rsid w:val="008B0F30"/>
    <w:rsid w:val="008B190E"/>
    <w:rsid w:val="008B2697"/>
    <w:rsid w:val="008B2B8D"/>
    <w:rsid w:val="008B2D2B"/>
    <w:rsid w:val="008B5F48"/>
    <w:rsid w:val="008B601E"/>
    <w:rsid w:val="008B608A"/>
    <w:rsid w:val="008B6E1A"/>
    <w:rsid w:val="008B792B"/>
    <w:rsid w:val="008C0050"/>
    <w:rsid w:val="008C060C"/>
    <w:rsid w:val="008C16DC"/>
    <w:rsid w:val="008C1B48"/>
    <w:rsid w:val="008C1C45"/>
    <w:rsid w:val="008C4189"/>
    <w:rsid w:val="008C68C1"/>
    <w:rsid w:val="008C6A12"/>
    <w:rsid w:val="008C6D4D"/>
    <w:rsid w:val="008D00A6"/>
    <w:rsid w:val="008D03DD"/>
    <w:rsid w:val="008D068D"/>
    <w:rsid w:val="008D1724"/>
    <w:rsid w:val="008D1CF5"/>
    <w:rsid w:val="008D28D9"/>
    <w:rsid w:val="008D2FD6"/>
    <w:rsid w:val="008D3645"/>
    <w:rsid w:val="008D430D"/>
    <w:rsid w:val="008D462F"/>
    <w:rsid w:val="008D6000"/>
    <w:rsid w:val="008D68F9"/>
    <w:rsid w:val="008D69C3"/>
    <w:rsid w:val="008E1020"/>
    <w:rsid w:val="008E1429"/>
    <w:rsid w:val="008E1443"/>
    <w:rsid w:val="008E1795"/>
    <w:rsid w:val="008E1D53"/>
    <w:rsid w:val="008E31FC"/>
    <w:rsid w:val="008E4E4E"/>
    <w:rsid w:val="008E4E94"/>
    <w:rsid w:val="008E5C67"/>
    <w:rsid w:val="008E67F2"/>
    <w:rsid w:val="008E70D8"/>
    <w:rsid w:val="008E7D1C"/>
    <w:rsid w:val="008F0663"/>
    <w:rsid w:val="008F293C"/>
    <w:rsid w:val="008F364E"/>
    <w:rsid w:val="008F44A3"/>
    <w:rsid w:val="008F4AE3"/>
    <w:rsid w:val="008F4DC2"/>
    <w:rsid w:val="008F55BB"/>
    <w:rsid w:val="008F7EC1"/>
    <w:rsid w:val="009014CA"/>
    <w:rsid w:val="00901D82"/>
    <w:rsid w:val="0090285E"/>
    <w:rsid w:val="00902BD5"/>
    <w:rsid w:val="00904A98"/>
    <w:rsid w:val="009101A0"/>
    <w:rsid w:val="0091120B"/>
    <w:rsid w:val="00911968"/>
    <w:rsid w:val="00911F82"/>
    <w:rsid w:val="009129D7"/>
    <w:rsid w:val="00912B15"/>
    <w:rsid w:val="00913F0D"/>
    <w:rsid w:val="00914931"/>
    <w:rsid w:val="009161F2"/>
    <w:rsid w:val="0091643F"/>
    <w:rsid w:val="00920BD8"/>
    <w:rsid w:val="00920C13"/>
    <w:rsid w:val="009214CD"/>
    <w:rsid w:val="0092337B"/>
    <w:rsid w:val="00923A22"/>
    <w:rsid w:val="00924186"/>
    <w:rsid w:val="00924BA3"/>
    <w:rsid w:val="009251E4"/>
    <w:rsid w:val="0092757F"/>
    <w:rsid w:val="00931847"/>
    <w:rsid w:val="00931EB8"/>
    <w:rsid w:val="009337CC"/>
    <w:rsid w:val="00933D4F"/>
    <w:rsid w:val="009341F5"/>
    <w:rsid w:val="00934AB0"/>
    <w:rsid w:val="00934B6A"/>
    <w:rsid w:val="0093561B"/>
    <w:rsid w:val="009372BE"/>
    <w:rsid w:val="00940780"/>
    <w:rsid w:val="0094204F"/>
    <w:rsid w:val="00942569"/>
    <w:rsid w:val="009425BA"/>
    <w:rsid w:val="00943036"/>
    <w:rsid w:val="00943477"/>
    <w:rsid w:val="0094367B"/>
    <w:rsid w:val="00943ADE"/>
    <w:rsid w:val="00944BFC"/>
    <w:rsid w:val="00944E73"/>
    <w:rsid w:val="0094501B"/>
    <w:rsid w:val="00945285"/>
    <w:rsid w:val="00950D4F"/>
    <w:rsid w:val="00952C73"/>
    <w:rsid w:val="00952F6E"/>
    <w:rsid w:val="00953CC3"/>
    <w:rsid w:val="009550D4"/>
    <w:rsid w:val="0095661A"/>
    <w:rsid w:val="009601A0"/>
    <w:rsid w:val="00961C42"/>
    <w:rsid w:val="009627BC"/>
    <w:rsid w:val="00962CB4"/>
    <w:rsid w:val="0096639A"/>
    <w:rsid w:val="00966962"/>
    <w:rsid w:val="009708F6"/>
    <w:rsid w:val="00970BFB"/>
    <w:rsid w:val="00971CAA"/>
    <w:rsid w:val="00971FFE"/>
    <w:rsid w:val="009726AD"/>
    <w:rsid w:val="00973157"/>
    <w:rsid w:val="0097393B"/>
    <w:rsid w:val="00973BC6"/>
    <w:rsid w:val="00973FBD"/>
    <w:rsid w:val="009742DB"/>
    <w:rsid w:val="009743E4"/>
    <w:rsid w:val="00974545"/>
    <w:rsid w:val="00975742"/>
    <w:rsid w:val="00975B7C"/>
    <w:rsid w:val="00976315"/>
    <w:rsid w:val="009765B7"/>
    <w:rsid w:val="009775B4"/>
    <w:rsid w:val="00977AE2"/>
    <w:rsid w:val="00977C93"/>
    <w:rsid w:val="0098167A"/>
    <w:rsid w:val="00981AB9"/>
    <w:rsid w:val="00982C03"/>
    <w:rsid w:val="009843B4"/>
    <w:rsid w:val="00984744"/>
    <w:rsid w:val="00984EBA"/>
    <w:rsid w:val="00985125"/>
    <w:rsid w:val="00985AB0"/>
    <w:rsid w:val="0098659C"/>
    <w:rsid w:val="00986C94"/>
    <w:rsid w:val="00990FA9"/>
    <w:rsid w:val="009917B1"/>
    <w:rsid w:val="00991E51"/>
    <w:rsid w:val="00993074"/>
    <w:rsid w:val="009931A8"/>
    <w:rsid w:val="00993E68"/>
    <w:rsid w:val="00994893"/>
    <w:rsid w:val="00994B4C"/>
    <w:rsid w:val="009A0583"/>
    <w:rsid w:val="009A31DE"/>
    <w:rsid w:val="009A4CA8"/>
    <w:rsid w:val="009A576D"/>
    <w:rsid w:val="009A6BAA"/>
    <w:rsid w:val="009A75A8"/>
    <w:rsid w:val="009A7D24"/>
    <w:rsid w:val="009B03B0"/>
    <w:rsid w:val="009B0926"/>
    <w:rsid w:val="009B2027"/>
    <w:rsid w:val="009B243A"/>
    <w:rsid w:val="009B25C1"/>
    <w:rsid w:val="009B2C21"/>
    <w:rsid w:val="009B3807"/>
    <w:rsid w:val="009B5E98"/>
    <w:rsid w:val="009B6427"/>
    <w:rsid w:val="009C07B3"/>
    <w:rsid w:val="009C0C81"/>
    <w:rsid w:val="009C33D0"/>
    <w:rsid w:val="009C35A3"/>
    <w:rsid w:val="009C3B76"/>
    <w:rsid w:val="009C4AEB"/>
    <w:rsid w:val="009C4D04"/>
    <w:rsid w:val="009C54AC"/>
    <w:rsid w:val="009C692E"/>
    <w:rsid w:val="009C78B8"/>
    <w:rsid w:val="009C7CEF"/>
    <w:rsid w:val="009D0DF6"/>
    <w:rsid w:val="009D129A"/>
    <w:rsid w:val="009D1479"/>
    <w:rsid w:val="009D14E6"/>
    <w:rsid w:val="009D20BC"/>
    <w:rsid w:val="009D2855"/>
    <w:rsid w:val="009D3435"/>
    <w:rsid w:val="009D3C7E"/>
    <w:rsid w:val="009D46BA"/>
    <w:rsid w:val="009D5EB0"/>
    <w:rsid w:val="009D61D3"/>
    <w:rsid w:val="009E1750"/>
    <w:rsid w:val="009E449F"/>
    <w:rsid w:val="009E4D0C"/>
    <w:rsid w:val="009E504A"/>
    <w:rsid w:val="009E60C0"/>
    <w:rsid w:val="009E66AB"/>
    <w:rsid w:val="009F01F7"/>
    <w:rsid w:val="009F0590"/>
    <w:rsid w:val="009F0652"/>
    <w:rsid w:val="009F0885"/>
    <w:rsid w:val="009F1531"/>
    <w:rsid w:val="009F1CBE"/>
    <w:rsid w:val="009F1E16"/>
    <w:rsid w:val="009F210B"/>
    <w:rsid w:val="009F22C7"/>
    <w:rsid w:val="009F23D5"/>
    <w:rsid w:val="009F2D61"/>
    <w:rsid w:val="009F4F21"/>
    <w:rsid w:val="009F5EF6"/>
    <w:rsid w:val="009F64FC"/>
    <w:rsid w:val="009F6B93"/>
    <w:rsid w:val="009F6ED5"/>
    <w:rsid w:val="009F7290"/>
    <w:rsid w:val="009F7FC0"/>
    <w:rsid w:val="00A0009C"/>
    <w:rsid w:val="00A0057D"/>
    <w:rsid w:val="00A007F6"/>
    <w:rsid w:val="00A00E89"/>
    <w:rsid w:val="00A01F30"/>
    <w:rsid w:val="00A02F9B"/>
    <w:rsid w:val="00A03134"/>
    <w:rsid w:val="00A032B9"/>
    <w:rsid w:val="00A03611"/>
    <w:rsid w:val="00A040FF"/>
    <w:rsid w:val="00A04A0C"/>
    <w:rsid w:val="00A05D22"/>
    <w:rsid w:val="00A06592"/>
    <w:rsid w:val="00A07DBE"/>
    <w:rsid w:val="00A10BDE"/>
    <w:rsid w:val="00A10CDA"/>
    <w:rsid w:val="00A11A66"/>
    <w:rsid w:val="00A12A84"/>
    <w:rsid w:val="00A14062"/>
    <w:rsid w:val="00A1439B"/>
    <w:rsid w:val="00A14D18"/>
    <w:rsid w:val="00A15BD2"/>
    <w:rsid w:val="00A164D2"/>
    <w:rsid w:val="00A166FA"/>
    <w:rsid w:val="00A20DF1"/>
    <w:rsid w:val="00A21A36"/>
    <w:rsid w:val="00A21D87"/>
    <w:rsid w:val="00A23599"/>
    <w:rsid w:val="00A246A6"/>
    <w:rsid w:val="00A24D29"/>
    <w:rsid w:val="00A256A8"/>
    <w:rsid w:val="00A25818"/>
    <w:rsid w:val="00A25F24"/>
    <w:rsid w:val="00A261E6"/>
    <w:rsid w:val="00A26570"/>
    <w:rsid w:val="00A265AD"/>
    <w:rsid w:val="00A27163"/>
    <w:rsid w:val="00A30C88"/>
    <w:rsid w:val="00A32032"/>
    <w:rsid w:val="00A3252D"/>
    <w:rsid w:val="00A32968"/>
    <w:rsid w:val="00A34145"/>
    <w:rsid w:val="00A3472D"/>
    <w:rsid w:val="00A35D6A"/>
    <w:rsid w:val="00A362F9"/>
    <w:rsid w:val="00A37243"/>
    <w:rsid w:val="00A37847"/>
    <w:rsid w:val="00A406AE"/>
    <w:rsid w:val="00A427BE"/>
    <w:rsid w:val="00A431D0"/>
    <w:rsid w:val="00A43E37"/>
    <w:rsid w:val="00A4616B"/>
    <w:rsid w:val="00A466F4"/>
    <w:rsid w:val="00A51056"/>
    <w:rsid w:val="00A53A96"/>
    <w:rsid w:val="00A560AE"/>
    <w:rsid w:val="00A56128"/>
    <w:rsid w:val="00A561B5"/>
    <w:rsid w:val="00A56C43"/>
    <w:rsid w:val="00A57813"/>
    <w:rsid w:val="00A617FD"/>
    <w:rsid w:val="00A63E87"/>
    <w:rsid w:val="00A650DA"/>
    <w:rsid w:val="00A6566B"/>
    <w:rsid w:val="00A656BF"/>
    <w:rsid w:val="00A67372"/>
    <w:rsid w:val="00A67454"/>
    <w:rsid w:val="00A70A0A"/>
    <w:rsid w:val="00A70AC4"/>
    <w:rsid w:val="00A74130"/>
    <w:rsid w:val="00A74FB4"/>
    <w:rsid w:val="00A7545B"/>
    <w:rsid w:val="00A75C12"/>
    <w:rsid w:val="00A75CFB"/>
    <w:rsid w:val="00A75D64"/>
    <w:rsid w:val="00A762CD"/>
    <w:rsid w:val="00A779D8"/>
    <w:rsid w:val="00A80898"/>
    <w:rsid w:val="00A808F8"/>
    <w:rsid w:val="00A820AC"/>
    <w:rsid w:val="00A820E1"/>
    <w:rsid w:val="00A82688"/>
    <w:rsid w:val="00A8397D"/>
    <w:rsid w:val="00A83A64"/>
    <w:rsid w:val="00A83AB7"/>
    <w:rsid w:val="00A85647"/>
    <w:rsid w:val="00A85DD0"/>
    <w:rsid w:val="00A86AFC"/>
    <w:rsid w:val="00A87C78"/>
    <w:rsid w:val="00A90987"/>
    <w:rsid w:val="00A90B89"/>
    <w:rsid w:val="00A92124"/>
    <w:rsid w:val="00A92148"/>
    <w:rsid w:val="00A92A1F"/>
    <w:rsid w:val="00A93FA4"/>
    <w:rsid w:val="00A948CD"/>
    <w:rsid w:val="00A954C7"/>
    <w:rsid w:val="00A95E7A"/>
    <w:rsid w:val="00A97790"/>
    <w:rsid w:val="00A97966"/>
    <w:rsid w:val="00A97D70"/>
    <w:rsid w:val="00AA15AA"/>
    <w:rsid w:val="00AA471C"/>
    <w:rsid w:val="00AA5861"/>
    <w:rsid w:val="00AA61CF"/>
    <w:rsid w:val="00AA6D13"/>
    <w:rsid w:val="00AB0358"/>
    <w:rsid w:val="00AB0B20"/>
    <w:rsid w:val="00AB2167"/>
    <w:rsid w:val="00AB24BB"/>
    <w:rsid w:val="00AB2553"/>
    <w:rsid w:val="00AB2F81"/>
    <w:rsid w:val="00AB4485"/>
    <w:rsid w:val="00AB5158"/>
    <w:rsid w:val="00AB56B2"/>
    <w:rsid w:val="00AB7CA9"/>
    <w:rsid w:val="00AC3704"/>
    <w:rsid w:val="00AC3B4E"/>
    <w:rsid w:val="00AC5F15"/>
    <w:rsid w:val="00AC70E2"/>
    <w:rsid w:val="00AC7E5E"/>
    <w:rsid w:val="00AD052D"/>
    <w:rsid w:val="00AD070C"/>
    <w:rsid w:val="00AD092F"/>
    <w:rsid w:val="00AD13AC"/>
    <w:rsid w:val="00AD159A"/>
    <w:rsid w:val="00AD1D30"/>
    <w:rsid w:val="00AD482C"/>
    <w:rsid w:val="00AD6195"/>
    <w:rsid w:val="00AD651B"/>
    <w:rsid w:val="00AD6B64"/>
    <w:rsid w:val="00AD74D6"/>
    <w:rsid w:val="00AD7C34"/>
    <w:rsid w:val="00AE007C"/>
    <w:rsid w:val="00AE1C6C"/>
    <w:rsid w:val="00AE3F04"/>
    <w:rsid w:val="00AE4560"/>
    <w:rsid w:val="00AE4C88"/>
    <w:rsid w:val="00AE5534"/>
    <w:rsid w:val="00AE570C"/>
    <w:rsid w:val="00AE62CA"/>
    <w:rsid w:val="00AE6A6D"/>
    <w:rsid w:val="00AE7304"/>
    <w:rsid w:val="00AE7528"/>
    <w:rsid w:val="00AF16C1"/>
    <w:rsid w:val="00AF2043"/>
    <w:rsid w:val="00AF2228"/>
    <w:rsid w:val="00AF335E"/>
    <w:rsid w:val="00AF4064"/>
    <w:rsid w:val="00AF5B0B"/>
    <w:rsid w:val="00AF60E0"/>
    <w:rsid w:val="00AF7568"/>
    <w:rsid w:val="00B01221"/>
    <w:rsid w:val="00B016EC"/>
    <w:rsid w:val="00B03872"/>
    <w:rsid w:val="00B03CA0"/>
    <w:rsid w:val="00B0476C"/>
    <w:rsid w:val="00B04EE9"/>
    <w:rsid w:val="00B05284"/>
    <w:rsid w:val="00B05D93"/>
    <w:rsid w:val="00B066B5"/>
    <w:rsid w:val="00B069F2"/>
    <w:rsid w:val="00B06C64"/>
    <w:rsid w:val="00B07643"/>
    <w:rsid w:val="00B10F1E"/>
    <w:rsid w:val="00B11A14"/>
    <w:rsid w:val="00B11D44"/>
    <w:rsid w:val="00B12EBC"/>
    <w:rsid w:val="00B13699"/>
    <w:rsid w:val="00B13865"/>
    <w:rsid w:val="00B13BF9"/>
    <w:rsid w:val="00B153AF"/>
    <w:rsid w:val="00B15A8C"/>
    <w:rsid w:val="00B1616C"/>
    <w:rsid w:val="00B17986"/>
    <w:rsid w:val="00B17E3B"/>
    <w:rsid w:val="00B2255A"/>
    <w:rsid w:val="00B2277B"/>
    <w:rsid w:val="00B22E09"/>
    <w:rsid w:val="00B237D6"/>
    <w:rsid w:val="00B238CA"/>
    <w:rsid w:val="00B25257"/>
    <w:rsid w:val="00B2542B"/>
    <w:rsid w:val="00B25986"/>
    <w:rsid w:val="00B261D6"/>
    <w:rsid w:val="00B27E85"/>
    <w:rsid w:val="00B30333"/>
    <w:rsid w:val="00B3286F"/>
    <w:rsid w:val="00B332B0"/>
    <w:rsid w:val="00B333E0"/>
    <w:rsid w:val="00B33489"/>
    <w:rsid w:val="00B33FC1"/>
    <w:rsid w:val="00B36052"/>
    <w:rsid w:val="00B360C3"/>
    <w:rsid w:val="00B36D1A"/>
    <w:rsid w:val="00B373E6"/>
    <w:rsid w:val="00B37B1F"/>
    <w:rsid w:val="00B37E66"/>
    <w:rsid w:val="00B40864"/>
    <w:rsid w:val="00B408D3"/>
    <w:rsid w:val="00B40B6C"/>
    <w:rsid w:val="00B41B7B"/>
    <w:rsid w:val="00B41D76"/>
    <w:rsid w:val="00B42C90"/>
    <w:rsid w:val="00B43409"/>
    <w:rsid w:val="00B4358C"/>
    <w:rsid w:val="00B43AC0"/>
    <w:rsid w:val="00B43E3C"/>
    <w:rsid w:val="00B44D6F"/>
    <w:rsid w:val="00B45D2A"/>
    <w:rsid w:val="00B46D45"/>
    <w:rsid w:val="00B46D54"/>
    <w:rsid w:val="00B4723C"/>
    <w:rsid w:val="00B47444"/>
    <w:rsid w:val="00B47955"/>
    <w:rsid w:val="00B51703"/>
    <w:rsid w:val="00B51905"/>
    <w:rsid w:val="00B52F86"/>
    <w:rsid w:val="00B55079"/>
    <w:rsid w:val="00B550F7"/>
    <w:rsid w:val="00B55FDB"/>
    <w:rsid w:val="00B56070"/>
    <w:rsid w:val="00B5612C"/>
    <w:rsid w:val="00B5662A"/>
    <w:rsid w:val="00B56A5D"/>
    <w:rsid w:val="00B56F06"/>
    <w:rsid w:val="00B607C7"/>
    <w:rsid w:val="00B60D01"/>
    <w:rsid w:val="00B60FCD"/>
    <w:rsid w:val="00B61F39"/>
    <w:rsid w:val="00B6229F"/>
    <w:rsid w:val="00B62716"/>
    <w:rsid w:val="00B62CAD"/>
    <w:rsid w:val="00B6698D"/>
    <w:rsid w:val="00B673B5"/>
    <w:rsid w:val="00B70CB0"/>
    <w:rsid w:val="00B71338"/>
    <w:rsid w:val="00B71587"/>
    <w:rsid w:val="00B71953"/>
    <w:rsid w:val="00B72B15"/>
    <w:rsid w:val="00B72F69"/>
    <w:rsid w:val="00B73DC0"/>
    <w:rsid w:val="00B73E53"/>
    <w:rsid w:val="00B73FCB"/>
    <w:rsid w:val="00B7455A"/>
    <w:rsid w:val="00B748B4"/>
    <w:rsid w:val="00B75B13"/>
    <w:rsid w:val="00B75C89"/>
    <w:rsid w:val="00B76446"/>
    <w:rsid w:val="00B81B56"/>
    <w:rsid w:val="00B82009"/>
    <w:rsid w:val="00B82930"/>
    <w:rsid w:val="00B82D2F"/>
    <w:rsid w:val="00B83932"/>
    <w:rsid w:val="00B83A46"/>
    <w:rsid w:val="00B83DF4"/>
    <w:rsid w:val="00B847DC"/>
    <w:rsid w:val="00B851C9"/>
    <w:rsid w:val="00B870DD"/>
    <w:rsid w:val="00B87C97"/>
    <w:rsid w:val="00B900C4"/>
    <w:rsid w:val="00B9017D"/>
    <w:rsid w:val="00B90372"/>
    <w:rsid w:val="00B91931"/>
    <w:rsid w:val="00B91F3A"/>
    <w:rsid w:val="00B92443"/>
    <w:rsid w:val="00B93337"/>
    <w:rsid w:val="00B93ACF"/>
    <w:rsid w:val="00B94DF3"/>
    <w:rsid w:val="00B95B4A"/>
    <w:rsid w:val="00B97A76"/>
    <w:rsid w:val="00BA032D"/>
    <w:rsid w:val="00BA0EC0"/>
    <w:rsid w:val="00BA1F75"/>
    <w:rsid w:val="00BA2FE6"/>
    <w:rsid w:val="00BA4A2E"/>
    <w:rsid w:val="00BA5E97"/>
    <w:rsid w:val="00BA627C"/>
    <w:rsid w:val="00BA62C6"/>
    <w:rsid w:val="00BA7CA4"/>
    <w:rsid w:val="00BB0802"/>
    <w:rsid w:val="00BB0A42"/>
    <w:rsid w:val="00BB16C1"/>
    <w:rsid w:val="00BB1EA7"/>
    <w:rsid w:val="00BB2F50"/>
    <w:rsid w:val="00BB3527"/>
    <w:rsid w:val="00BB4C89"/>
    <w:rsid w:val="00BB6998"/>
    <w:rsid w:val="00BB72F4"/>
    <w:rsid w:val="00BB73F5"/>
    <w:rsid w:val="00BC1928"/>
    <w:rsid w:val="00BC28B5"/>
    <w:rsid w:val="00BC2F52"/>
    <w:rsid w:val="00BC3266"/>
    <w:rsid w:val="00BC3AF2"/>
    <w:rsid w:val="00BC3F4A"/>
    <w:rsid w:val="00BC4387"/>
    <w:rsid w:val="00BC48BE"/>
    <w:rsid w:val="00BC4F5F"/>
    <w:rsid w:val="00BC51B7"/>
    <w:rsid w:val="00BC7B72"/>
    <w:rsid w:val="00BC7E81"/>
    <w:rsid w:val="00BD066A"/>
    <w:rsid w:val="00BD14EB"/>
    <w:rsid w:val="00BD3EE6"/>
    <w:rsid w:val="00BD430B"/>
    <w:rsid w:val="00BD4759"/>
    <w:rsid w:val="00BD493B"/>
    <w:rsid w:val="00BD4EE6"/>
    <w:rsid w:val="00BD555A"/>
    <w:rsid w:val="00BD5C83"/>
    <w:rsid w:val="00BD662B"/>
    <w:rsid w:val="00BD70C9"/>
    <w:rsid w:val="00BE0044"/>
    <w:rsid w:val="00BE23D7"/>
    <w:rsid w:val="00BE2423"/>
    <w:rsid w:val="00BE2687"/>
    <w:rsid w:val="00BE3A90"/>
    <w:rsid w:val="00BE3D80"/>
    <w:rsid w:val="00BE3EC7"/>
    <w:rsid w:val="00BE3FCB"/>
    <w:rsid w:val="00BE4AAC"/>
    <w:rsid w:val="00BE4B68"/>
    <w:rsid w:val="00BE4C04"/>
    <w:rsid w:val="00BE542E"/>
    <w:rsid w:val="00BE5506"/>
    <w:rsid w:val="00BE5F78"/>
    <w:rsid w:val="00BE60E5"/>
    <w:rsid w:val="00BE6635"/>
    <w:rsid w:val="00BE6C5E"/>
    <w:rsid w:val="00BF047B"/>
    <w:rsid w:val="00BF05A2"/>
    <w:rsid w:val="00BF1210"/>
    <w:rsid w:val="00BF15EA"/>
    <w:rsid w:val="00BF1643"/>
    <w:rsid w:val="00BF173A"/>
    <w:rsid w:val="00BF17D4"/>
    <w:rsid w:val="00BF1972"/>
    <w:rsid w:val="00BF3B20"/>
    <w:rsid w:val="00BF44E8"/>
    <w:rsid w:val="00C00487"/>
    <w:rsid w:val="00C00995"/>
    <w:rsid w:val="00C043E7"/>
    <w:rsid w:val="00C04B48"/>
    <w:rsid w:val="00C053E2"/>
    <w:rsid w:val="00C05A4E"/>
    <w:rsid w:val="00C05DD8"/>
    <w:rsid w:val="00C06D05"/>
    <w:rsid w:val="00C07C34"/>
    <w:rsid w:val="00C111E5"/>
    <w:rsid w:val="00C11F11"/>
    <w:rsid w:val="00C12BBB"/>
    <w:rsid w:val="00C160E9"/>
    <w:rsid w:val="00C16B16"/>
    <w:rsid w:val="00C1717A"/>
    <w:rsid w:val="00C179CE"/>
    <w:rsid w:val="00C207D6"/>
    <w:rsid w:val="00C208CF"/>
    <w:rsid w:val="00C22C0C"/>
    <w:rsid w:val="00C23595"/>
    <w:rsid w:val="00C23745"/>
    <w:rsid w:val="00C23CCE"/>
    <w:rsid w:val="00C23FA2"/>
    <w:rsid w:val="00C240DB"/>
    <w:rsid w:val="00C24ABC"/>
    <w:rsid w:val="00C259CF"/>
    <w:rsid w:val="00C26775"/>
    <w:rsid w:val="00C27637"/>
    <w:rsid w:val="00C3023C"/>
    <w:rsid w:val="00C31C2A"/>
    <w:rsid w:val="00C32187"/>
    <w:rsid w:val="00C3271D"/>
    <w:rsid w:val="00C32A55"/>
    <w:rsid w:val="00C32BE1"/>
    <w:rsid w:val="00C336E5"/>
    <w:rsid w:val="00C339B7"/>
    <w:rsid w:val="00C33C28"/>
    <w:rsid w:val="00C362F7"/>
    <w:rsid w:val="00C36426"/>
    <w:rsid w:val="00C36912"/>
    <w:rsid w:val="00C36E1F"/>
    <w:rsid w:val="00C37C52"/>
    <w:rsid w:val="00C401F3"/>
    <w:rsid w:val="00C405A0"/>
    <w:rsid w:val="00C413FB"/>
    <w:rsid w:val="00C42024"/>
    <w:rsid w:val="00C42354"/>
    <w:rsid w:val="00C42654"/>
    <w:rsid w:val="00C427DD"/>
    <w:rsid w:val="00C42829"/>
    <w:rsid w:val="00C4306C"/>
    <w:rsid w:val="00C4452E"/>
    <w:rsid w:val="00C44DB4"/>
    <w:rsid w:val="00C465EB"/>
    <w:rsid w:val="00C50148"/>
    <w:rsid w:val="00C50E9D"/>
    <w:rsid w:val="00C53441"/>
    <w:rsid w:val="00C53EF6"/>
    <w:rsid w:val="00C53F97"/>
    <w:rsid w:val="00C542B6"/>
    <w:rsid w:val="00C547CB"/>
    <w:rsid w:val="00C54B23"/>
    <w:rsid w:val="00C54B4A"/>
    <w:rsid w:val="00C54EEA"/>
    <w:rsid w:val="00C55195"/>
    <w:rsid w:val="00C57011"/>
    <w:rsid w:val="00C5742F"/>
    <w:rsid w:val="00C579B4"/>
    <w:rsid w:val="00C60514"/>
    <w:rsid w:val="00C616E5"/>
    <w:rsid w:val="00C61D07"/>
    <w:rsid w:val="00C62279"/>
    <w:rsid w:val="00C64541"/>
    <w:rsid w:val="00C65650"/>
    <w:rsid w:val="00C66F8A"/>
    <w:rsid w:val="00C672DD"/>
    <w:rsid w:val="00C67825"/>
    <w:rsid w:val="00C67C71"/>
    <w:rsid w:val="00C71C38"/>
    <w:rsid w:val="00C72558"/>
    <w:rsid w:val="00C72A1A"/>
    <w:rsid w:val="00C735BE"/>
    <w:rsid w:val="00C7523A"/>
    <w:rsid w:val="00C755FA"/>
    <w:rsid w:val="00C76CEB"/>
    <w:rsid w:val="00C77CDF"/>
    <w:rsid w:val="00C803A4"/>
    <w:rsid w:val="00C82324"/>
    <w:rsid w:val="00C8247C"/>
    <w:rsid w:val="00C82803"/>
    <w:rsid w:val="00C83859"/>
    <w:rsid w:val="00C869DA"/>
    <w:rsid w:val="00C86D61"/>
    <w:rsid w:val="00C87EA1"/>
    <w:rsid w:val="00C9088A"/>
    <w:rsid w:val="00C91C58"/>
    <w:rsid w:val="00C92508"/>
    <w:rsid w:val="00C9265C"/>
    <w:rsid w:val="00C93046"/>
    <w:rsid w:val="00C93697"/>
    <w:rsid w:val="00C94338"/>
    <w:rsid w:val="00C973DB"/>
    <w:rsid w:val="00C97F74"/>
    <w:rsid w:val="00CA05F2"/>
    <w:rsid w:val="00CA0846"/>
    <w:rsid w:val="00CA0C0F"/>
    <w:rsid w:val="00CA1AC5"/>
    <w:rsid w:val="00CA1C75"/>
    <w:rsid w:val="00CA24AC"/>
    <w:rsid w:val="00CA3C1C"/>
    <w:rsid w:val="00CA43C5"/>
    <w:rsid w:val="00CA4C60"/>
    <w:rsid w:val="00CA5085"/>
    <w:rsid w:val="00CA55FE"/>
    <w:rsid w:val="00CB1074"/>
    <w:rsid w:val="00CB1AEF"/>
    <w:rsid w:val="00CB2AAB"/>
    <w:rsid w:val="00CB3389"/>
    <w:rsid w:val="00CB37F2"/>
    <w:rsid w:val="00CB39B6"/>
    <w:rsid w:val="00CB4475"/>
    <w:rsid w:val="00CB563D"/>
    <w:rsid w:val="00CB5735"/>
    <w:rsid w:val="00CB62F4"/>
    <w:rsid w:val="00CB695B"/>
    <w:rsid w:val="00CB6D52"/>
    <w:rsid w:val="00CB7273"/>
    <w:rsid w:val="00CC0390"/>
    <w:rsid w:val="00CC0EA8"/>
    <w:rsid w:val="00CC19CE"/>
    <w:rsid w:val="00CC29B7"/>
    <w:rsid w:val="00CC3495"/>
    <w:rsid w:val="00CC488F"/>
    <w:rsid w:val="00CC56DA"/>
    <w:rsid w:val="00CC580B"/>
    <w:rsid w:val="00CC6849"/>
    <w:rsid w:val="00CC6FA5"/>
    <w:rsid w:val="00CC7455"/>
    <w:rsid w:val="00CC7F73"/>
    <w:rsid w:val="00CD022C"/>
    <w:rsid w:val="00CD120E"/>
    <w:rsid w:val="00CD17AE"/>
    <w:rsid w:val="00CD27B5"/>
    <w:rsid w:val="00CD2B9B"/>
    <w:rsid w:val="00CD2EAA"/>
    <w:rsid w:val="00CD5748"/>
    <w:rsid w:val="00CD62E5"/>
    <w:rsid w:val="00CD6400"/>
    <w:rsid w:val="00CD6C8B"/>
    <w:rsid w:val="00CE00C4"/>
    <w:rsid w:val="00CE0965"/>
    <w:rsid w:val="00CE1352"/>
    <w:rsid w:val="00CE216D"/>
    <w:rsid w:val="00CE22B2"/>
    <w:rsid w:val="00CE2784"/>
    <w:rsid w:val="00CE3593"/>
    <w:rsid w:val="00CE3758"/>
    <w:rsid w:val="00CE4411"/>
    <w:rsid w:val="00CE44B2"/>
    <w:rsid w:val="00CE4AA9"/>
    <w:rsid w:val="00CE5E5A"/>
    <w:rsid w:val="00CE64DB"/>
    <w:rsid w:val="00CE6C46"/>
    <w:rsid w:val="00CE7F7A"/>
    <w:rsid w:val="00CF13DF"/>
    <w:rsid w:val="00CF2982"/>
    <w:rsid w:val="00CF2C2A"/>
    <w:rsid w:val="00CF3354"/>
    <w:rsid w:val="00CF3A0A"/>
    <w:rsid w:val="00CF4136"/>
    <w:rsid w:val="00CF47E0"/>
    <w:rsid w:val="00CF4914"/>
    <w:rsid w:val="00CF4A26"/>
    <w:rsid w:val="00CF50F3"/>
    <w:rsid w:val="00D005A7"/>
    <w:rsid w:val="00D01D18"/>
    <w:rsid w:val="00D030A3"/>
    <w:rsid w:val="00D0316E"/>
    <w:rsid w:val="00D043D2"/>
    <w:rsid w:val="00D046CC"/>
    <w:rsid w:val="00D05F9D"/>
    <w:rsid w:val="00D06B2D"/>
    <w:rsid w:val="00D108A8"/>
    <w:rsid w:val="00D10E6A"/>
    <w:rsid w:val="00D11250"/>
    <w:rsid w:val="00D12458"/>
    <w:rsid w:val="00D12948"/>
    <w:rsid w:val="00D13279"/>
    <w:rsid w:val="00D13F14"/>
    <w:rsid w:val="00D1457D"/>
    <w:rsid w:val="00D15F6F"/>
    <w:rsid w:val="00D16C62"/>
    <w:rsid w:val="00D17279"/>
    <w:rsid w:val="00D17531"/>
    <w:rsid w:val="00D20BA7"/>
    <w:rsid w:val="00D21E12"/>
    <w:rsid w:val="00D22255"/>
    <w:rsid w:val="00D24F21"/>
    <w:rsid w:val="00D24FB6"/>
    <w:rsid w:val="00D276AC"/>
    <w:rsid w:val="00D30094"/>
    <w:rsid w:val="00D3124A"/>
    <w:rsid w:val="00D316B6"/>
    <w:rsid w:val="00D31CF2"/>
    <w:rsid w:val="00D31E45"/>
    <w:rsid w:val="00D3214A"/>
    <w:rsid w:val="00D32FFF"/>
    <w:rsid w:val="00D332FD"/>
    <w:rsid w:val="00D33A2B"/>
    <w:rsid w:val="00D349DB"/>
    <w:rsid w:val="00D36CC3"/>
    <w:rsid w:val="00D405C7"/>
    <w:rsid w:val="00D4197F"/>
    <w:rsid w:val="00D42291"/>
    <w:rsid w:val="00D42437"/>
    <w:rsid w:val="00D4286B"/>
    <w:rsid w:val="00D4286D"/>
    <w:rsid w:val="00D42BF6"/>
    <w:rsid w:val="00D43C86"/>
    <w:rsid w:val="00D45811"/>
    <w:rsid w:val="00D46453"/>
    <w:rsid w:val="00D46BC3"/>
    <w:rsid w:val="00D46F2D"/>
    <w:rsid w:val="00D50200"/>
    <w:rsid w:val="00D503F2"/>
    <w:rsid w:val="00D50D6C"/>
    <w:rsid w:val="00D51271"/>
    <w:rsid w:val="00D5376E"/>
    <w:rsid w:val="00D562C9"/>
    <w:rsid w:val="00D61736"/>
    <w:rsid w:val="00D61ACE"/>
    <w:rsid w:val="00D62178"/>
    <w:rsid w:val="00D627B1"/>
    <w:rsid w:val="00D62A9E"/>
    <w:rsid w:val="00D6392F"/>
    <w:rsid w:val="00D645BE"/>
    <w:rsid w:val="00D65342"/>
    <w:rsid w:val="00D65875"/>
    <w:rsid w:val="00D6667F"/>
    <w:rsid w:val="00D6682C"/>
    <w:rsid w:val="00D66CF0"/>
    <w:rsid w:val="00D66EB7"/>
    <w:rsid w:val="00D700CC"/>
    <w:rsid w:val="00D7099C"/>
    <w:rsid w:val="00D70CB6"/>
    <w:rsid w:val="00D71211"/>
    <w:rsid w:val="00D718DF"/>
    <w:rsid w:val="00D71AB2"/>
    <w:rsid w:val="00D71AD7"/>
    <w:rsid w:val="00D7299C"/>
    <w:rsid w:val="00D73E0C"/>
    <w:rsid w:val="00D73E79"/>
    <w:rsid w:val="00D744A6"/>
    <w:rsid w:val="00D7492C"/>
    <w:rsid w:val="00D75D8C"/>
    <w:rsid w:val="00D76FAF"/>
    <w:rsid w:val="00D80CCD"/>
    <w:rsid w:val="00D81609"/>
    <w:rsid w:val="00D816BE"/>
    <w:rsid w:val="00D81DAB"/>
    <w:rsid w:val="00D8266C"/>
    <w:rsid w:val="00D82BCC"/>
    <w:rsid w:val="00D839E6"/>
    <w:rsid w:val="00D83C23"/>
    <w:rsid w:val="00D83D3A"/>
    <w:rsid w:val="00D848F6"/>
    <w:rsid w:val="00D85682"/>
    <w:rsid w:val="00D86927"/>
    <w:rsid w:val="00D873A5"/>
    <w:rsid w:val="00D87A32"/>
    <w:rsid w:val="00D90CD5"/>
    <w:rsid w:val="00D91E03"/>
    <w:rsid w:val="00D9205F"/>
    <w:rsid w:val="00D920F4"/>
    <w:rsid w:val="00D95882"/>
    <w:rsid w:val="00D96185"/>
    <w:rsid w:val="00D96189"/>
    <w:rsid w:val="00D97637"/>
    <w:rsid w:val="00D97753"/>
    <w:rsid w:val="00DA076C"/>
    <w:rsid w:val="00DA0E36"/>
    <w:rsid w:val="00DA25AD"/>
    <w:rsid w:val="00DA2A88"/>
    <w:rsid w:val="00DA4DFE"/>
    <w:rsid w:val="00DA5915"/>
    <w:rsid w:val="00DA6069"/>
    <w:rsid w:val="00DA6AA3"/>
    <w:rsid w:val="00DA6B62"/>
    <w:rsid w:val="00DA6DED"/>
    <w:rsid w:val="00DA7EA4"/>
    <w:rsid w:val="00DB16BA"/>
    <w:rsid w:val="00DB2645"/>
    <w:rsid w:val="00DB40D1"/>
    <w:rsid w:val="00DB4DB7"/>
    <w:rsid w:val="00DB5233"/>
    <w:rsid w:val="00DB5AA9"/>
    <w:rsid w:val="00DB69CD"/>
    <w:rsid w:val="00DB7153"/>
    <w:rsid w:val="00DC0002"/>
    <w:rsid w:val="00DC03D0"/>
    <w:rsid w:val="00DC0BD7"/>
    <w:rsid w:val="00DC17E4"/>
    <w:rsid w:val="00DC19B6"/>
    <w:rsid w:val="00DC4F1E"/>
    <w:rsid w:val="00DC4F3E"/>
    <w:rsid w:val="00DC5721"/>
    <w:rsid w:val="00DD0296"/>
    <w:rsid w:val="00DD0464"/>
    <w:rsid w:val="00DD0A42"/>
    <w:rsid w:val="00DD2472"/>
    <w:rsid w:val="00DD32A2"/>
    <w:rsid w:val="00DD4AC2"/>
    <w:rsid w:val="00DD570A"/>
    <w:rsid w:val="00DE0156"/>
    <w:rsid w:val="00DE05DC"/>
    <w:rsid w:val="00DE0B8A"/>
    <w:rsid w:val="00DE1991"/>
    <w:rsid w:val="00DE2C72"/>
    <w:rsid w:val="00DE50A3"/>
    <w:rsid w:val="00DE5160"/>
    <w:rsid w:val="00DE5C26"/>
    <w:rsid w:val="00DE6AB8"/>
    <w:rsid w:val="00DE6EA4"/>
    <w:rsid w:val="00DF0A02"/>
    <w:rsid w:val="00DF1B50"/>
    <w:rsid w:val="00DF3E86"/>
    <w:rsid w:val="00DF4BE2"/>
    <w:rsid w:val="00DF4D7D"/>
    <w:rsid w:val="00DF59EB"/>
    <w:rsid w:val="00DF5B53"/>
    <w:rsid w:val="00DF5CE5"/>
    <w:rsid w:val="00DF6309"/>
    <w:rsid w:val="00DF7B95"/>
    <w:rsid w:val="00E014BA"/>
    <w:rsid w:val="00E01BF4"/>
    <w:rsid w:val="00E06196"/>
    <w:rsid w:val="00E07D29"/>
    <w:rsid w:val="00E1066E"/>
    <w:rsid w:val="00E10C08"/>
    <w:rsid w:val="00E12015"/>
    <w:rsid w:val="00E12544"/>
    <w:rsid w:val="00E12ABC"/>
    <w:rsid w:val="00E12C3E"/>
    <w:rsid w:val="00E12DB8"/>
    <w:rsid w:val="00E12E6A"/>
    <w:rsid w:val="00E148CE"/>
    <w:rsid w:val="00E14AB1"/>
    <w:rsid w:val="00E14C93"/>
    <w:rsid w:val="00E16038"/>
    <w:rsid w:val="00E1639D"/>
    <w:rsid w:val="00E16E95"/>
    <w:rsid w:val="00E175D1"/>
    <w:rsid w:val="00E17C38"/>
    <w:rsid w:val="00E205C4"/>
    <w:rsid w:val="00E206EF"/>
    <w:rsid w:val="00E20791"/>
    <w:rsid w:val="00E209A1"/>
    <w:rsid w:val="00E224E3"/>
    <w:rsid w:val="00E226A9"/>
    <w:rsid w:val="00E242EC"/>
    <w:rsid w:val="00E24A04"/>
    <w:rsid w:val="00E25275"/>
    <w:rsid w:val="00E25BD2"/>
    <w:rsid w:val="00E26088"/>
    <w:rsid w:val="00E26663"/>
    <w:rsid w:val="00E30D44"/>
    <w:rsid w:val="00E31B0C"/>
    <w:rsid w:val="00E31BFE"/>
    <w:rsid w:val="00E33098"/>
    <w:rsid w:val="00E33544"/>
    <w:rsid w:val="00E337DB"/>
    <w:rsid w:val="00E3443F"/>
    <w:rsid w:val="00E34F80"/>
    <w:rsid w:val="00E354EE"/>
    <w:rsid w:val="00E368B8"/>
    <w:rsid w:val="00E36A7B"/>
    <w:rsid w:val="00E36BEB"/>
    <w:rsid w:val="00E36CD1"/>
    <w:rsid w:val="00E4028F"/>
    <w:rsid w:val="00E40812"/>
    <w:rsid w:val="00E40CF1"/>
    <w:rsid w:val="00E413A0"/>
    <w:rsid w:val="00E41CA6"/>
    <w:rsid w:val="00E41CF0"/>
    <w:rsid w:val="00E42018"/>
    <w:rsid w:val="00E42E11"/>
    <w:rsid w:val="00E43A5A"/>
    <w:rsid w:val="00E44342"/>
    <w:rsid w:val="00E44C5F"/>
    <w:rsid w:val="00E4517D"/>
    <w:rsid w:val="00E4564A"/>
    <w:rsid w:val="00E46FD6"/>
    <w:rsid w:val="00E51735"/>
    <w:rsid w:val="00E5223A"/>
    <w:rsid w:val="00E54D00"/>
    <w:rsid w:val="00E54EE1"/>
    <w:rsid w:val="00E5505F"/>
    <w:rsid w:val="00E5550D"/>
    <w:rsid w:val="00E5577E"/>
    <w:rsid w:val="00E55954"/>
    <w:rsid w:val="00E5602E"/>
    <w:rsid w:val="00E5674E"/>
    <w:rsid w:val="00E567E3"/>
    <w:rsid w:val="00E57039"/>
    <w:rsid w:val="00E60193"/>
    <w:rsid w:val="00E606BE"/>
    <w:rsid w:val="00E60B56"/>
    <w:rsid w:val="00E613E2"/>
    <w:rsid w:val="00E6179E"/>
    <w:rsid w:val="00E62E12"/>
    <w:rsid w:val="00E632A0"/>
    <w:rsid w:val="00E63322"/>
    <w:rsid w:val="00E65635"/>
    <w:rsid w:val="00E661B0"/>
    <w:rsid w:val="00E6734F"/>
    <w:rsid w:val="00E67E0E"/>
    <w:rsid w:val="00E70DB0"/>
    <w:rsid w:val="00E71502"/>
    <w:rsid w:val="00E71F29"/>
    <w:rsid w:val="00E722A6"/>
    <w:rsid w:val="00E73C60"/>
    <w:rsid w:val="00E73DC0"/>
    <w:rsid w:val="00E74354"/>
    <w:rsid w:val="00E74AA8"/>
    <w:rsid w:val="00E75BE9"/>
    <w:rsid w:val="00E76F3F"/>
    <w:rsid w:val="00E76F75"/>
    <w:rsid w:val="00E771B0"/>
    <w:rsid w:val="00E80223"/>
    <w:rsid w:val="00E80BD2"/>
    <w:rsid w:val="00E81310"/>
    <w:rsid w:val="00E81369"/>
    <w:rsid w:val="00E81A71"/>
    <w:rsid w:val="00E81D29"/>
    <w:rsid w:val="00E81F50"/>
    <w:rsid w:val="00E83369"/>
    <w:rsid w:val="00E83C1E"/>
    <w:rsid w:val="00E8482B"/>
    <w:rsid w:val="00E85B43"/>
    <w:rsid w:val="00E867AF"/>
    <w:rsid w:val="00E869E8"/>
    <w:rsid w:val="00E86E80"/>
    <w:rsid w:val="00E900EA"/>
    <w:rsid w:val="00E90509"/>
    <w:rsid w:val="00E91437"/>
    <w:rsid w:val="00E95BC8"/>
    <w:rsid w:val="00E96086"/>
    <w:rsid w:val="00E96513"/>
    <w:rsid w:val="00E96B63"/>
    <w:rsid w:val="00E970D8"/>
    <w:rsid w:val="00E97537"/>
    <w:rsid w:val="00EA087F"/>
    <w:rsid w:val="00EA218E"/>
    <w:rsid w:val="00EA2B34"/>
    <w:rsid w:val="00EA32A0"/>
    <w:rsid w:val="00EA3A37"/>
    <w:rsid w:val="00EA3FB8"/>
    <w:rsid w:val="00EA4259"/>
    <w:rsid w:val="00EA4E8F"/>
    <w:rsid w:val="00EA5768"/>
    <w:rsid w:val="00EA6695"/>
    <w:rsid w:val="00EA6797"/>
    <w:rsid w:val="00EB055D"/>
    <w:rsid w:val="00EB0886"/>
    <w:rsid w:val="00EB0D4A"/>
    <w:rsid w:val="00EB1E37"/>
    <w:rsid w:val="00EB395D"/>
    <w:rsid w:val="00EB3BE0"/>
    <w:rsid w:val="00EB4AA3"/>
    <w:rsid w:val="00EB4C6E"/>
    <w:rsid w:val="00EB5276"/>
    <w:rsid w:val="00EB7CEF"/>
    <w:rsid w:val="00EB7E7E"/>
    <w:rsid w:val="00EC01AD"/>
    <w:rsid w:val="00EC072E"/>
    <w:rsid w:val="00EC07D5"/>
    <w:rsid w:val="00EC0BF4"/>
    <w:rsid w:val="00EC12C5"/>
    <w:rsid w:val="00EC2B1F"/>
    <w:rsid w:val="00EC2B26"/>
    <w:rsid w:val="00EC2D55"/>
    <w:rsid w:val="00EC2EC7"/>
    <w:rsid w:val="00EC30EF"/>
    <w:rsid w:val="00EC377F"/>
    <w:rsid w:val="00EC3A29"/>
    <w:rsid w:val="00EC3A7C"/>
    <w:rsid w:val="00EC3B2F"/>
    <w:rsid w:val="00EC3C1E"/>
    <w:rsid w:val="00EC4529"/>
    <w:rsid w:val="00EC5AF8"/>
    <w:rsid w:val="00EC6133"/>
    <w:rsid w:val="00EC64EE"/>
    <w:rsid w:val="00EC6A4B"/>
    <w:rsid w:val="00EC6B0D"/>
    <w:rsid w:val="00EC6C45"/>
    <w:rsid w:val="00EC71A4"/>
    <w:rsid w:val="00EC72C2"/>
    <w:rsid w:val="00EC7546"/>
    <w:rsid w:val="00EC75A2"/>
    <w:rsid w:val="00EC77FA"/>
    <w:rsid w:val="00ED0221"/>
    <w:rsid w:val="00ED0343"/>
    <w:rsid w:val="00ED03FC"/>
    <w:rsid w:val="00ED06B2"/>
    <w:rsid w:val="00ED0A86"/>
    <w:rsid w:val="00ED13AB"/>
    <w:rsid w:val="00ED170A"/>
    <w:rsid w:val="00ED17C5"/>
    <w:rsid w:val="00ED429F"/>
    <w:rsid w:val="00ED4A42"/>
    <w:rsid w:val="00ED4D04"/>
    <w:rsid w:val="00ED52D1"/>
    <w:rsid w:val="00ED6A84"/>
    <w:rsid w:val="00ED7C76"/>
    <w:rsid w:val="00EE0EA7"/>
    <w:rsid w:val="00EE121C"/>
    <w:rsid w:val="00EE69F9"/>
    <w:rsid w:val="00EE6A3E"/>
    <w:rsid w:val="00EE7603"/>
    <w:rsid w:val="00EE7C6A"/>
    <w:rsid w:val="00EF0742"/>
    <w:rsid w:val="00EF16A4"/>
    <w:rsid w:val="00EF23D7"/>
    <w:rsid w:val="00EF3CCA"/>
    <w:rsid w:val="00EF4BB3"/>
    <w:rsid w:val="00EF5776"/>
    <w:rsid w:val="00EF6D35"/>
    <w:rsid w:val="00F02580"/>
    <w:rsid w:val="00F02F84"/>
    <w:rsid w:val="00F03082"/>
    <w:rsid w:val="00F036A8"/>
    <w:rsid w:val="00F0490C"/>
    <w:rsid w:val="00F06243"/>
    <w:rsid w:val="00F06FEE"/>
    <w:rsid w:val="00F07AB4"/>
    <w:rsid w:val="00F10249"/>
    <w:rsid w:val="00F10B27"/>
    <w:rsid w:val="00F10F80"/>
    <w:rsid w:val="00F111A3"/>
    <w:rsid w:val="00F121C1"/>
    <w:rsid w:val="00F13905"/>
    <w:rsid w:val="00F1508E"/>
    <w:rsid w:val="00F156F4"/>
    <w:rsid w:val="00F15F93"/>
    <w:rsid w:val="00F16A67"/>
    <w:rsid w:val="00F16BC5"/>
    <w:rsid w:val="00F1707E"/>
    <w:rsid w:val="00F20320"/>
    <w:rsid w:val="00F206B1"/>
    <w:rsid w:val="00F20921"/>
    <w:rsid w:val="00F20C00"/>
    <w:rsid w:val="00F22204"/>
    <w:rsid w:val="00F233B6"/>
    <w:rsid w:val="00F24224"/>
    <w:rsid w:val="00F25077"/>
    <w:rsid w:val="00F25617"/>
    <w:rsid w:val="00F25BFA"/>
    <w:rsid w:val="00F26479"/>
    <w:rsid w:val="00F2652C"/>
    <w:rsid w:val="00F265BC"/>
    <w:rsid w:val="00F269CA"/>
    <w:rsid w:val="00F269FC"/>
    <w:rsid w:val="00F27505"/>
    <w:rsid w:val="00F27617"/>
    <w:rsid w:val="00F30208"/>
    <w:rsid w:val="00F306FF"/>
    <w:rsid w:val="00F30833"/>
    <w:rsid w:val="00F30F3D"/>
    <w:rsid w:val="00F32F9C"/>
    <w:rsid w:val="00F33BB0"/>
    <w:rsid w:val="00F33E0B"/>
    <w:rsid w:val="00F34AEB"/>
    <w:rsid w:val="00F34F86"/>
    <w:rsid w:val="00F35B9B"/>
    <w:rsid w:val="00F366F0"/>
    <w:rsid w:val="00F3716B"/>
    <w:rsid w:val="00F37753"/>
    <w:rsid w:val="00F404C5"/>
    <w:rsid w:val="00F40D4E"/>
    <w:rsid w:val="00F415B0"/>
    <w:rsid w:val="00F41895"/>
    <w:rsid w:val="00F426CC"/>
    <w:rsid w:val="00F42FCB"/>
    <w:rsid w:val="00F4344C"/>
    <w:rsid w:val="00F43B70"/>
    <w:rsid w:val="00F43BA5"/>
    <w:rsid w:val="00F43DC3"/>
    <w:rsid w:val="00F4469E"/>
    <w:rsid w:val="00F44F6C"/>
    <w:rsid w:val="00F45061"/>
    <w:rsid w:val="00F452A3"/>
    <w:rsid w:val="00F457FF"/>
    <w:rsid w:val="00F465F6"/>
    <w:rsid w:val="00F477E0"/>
    <w:rsid w:val="00F51C61"/>
    <w:rsid w:val="00F5312A"/>
    <w:rsid w:val="00F55000"/>
    <w:rsid w:val="00F5649B"/>
    <w:rsid w:val="00F57737"/>
    <w:rsid w:val="00F57D09"/>
    <w:rsid w:val="00F60119"/>
    <w:rsid w:val="00F607C4"/>
    <w:rsid w:val="00F609DB"/>
    <w:rsid w:val="00F6139E"/>
    <w:rsid w:val="00F613B3"/>
    <w:rsid w:val="00F62016"/>
    <w:rsid w:val="00F62661"/>
    <w:rsid w:val="00F62749"/>
    <w:rsid w:val="00F64EAA"/>
    <w:rsid w:val="00F64F25"/>
    <w:rsid w:val="00F651AF"/>
    <w:rsid w:val="00F6615F"/>
    <w:rsid w:val="00F6721E"/>
    <w:rsid w:val="00F67859"/>
    <w:rsid w:val="00F67AAF"/>
    <w:rsid w:val="00F726A7"/>
    <w:rsid w:val="00F727BD"/>
    <w:rsid w:val="00F72859"/>
    <w:rsid w:val="00F741FF"/>
    <w:rsid w:val="00F74261"/>
    <w:rsid w:val="00F7609A"/>
    <w:rsid w:val="00F766A2"/>
    <w:rsid w:val="00F77A52"/>
    <w:rsid w:val="00F77E29"/>
    <w:rsid w:val="00F809C9"/>
    <w:rsid w:val="00F80DEE"/>
    <w:rsid w:val="00F81757"/>
    <w:rsid w:val="00F81BCC"/>
    <w:rsid w:val="00F82A37"/>
    <w:rsid w:val="00F833DF"/>
    <w:rsid w:val="00F838F0"/>
    <w:rsid w:val="00F83B59"/>
    <w:rsid w:val="00F84AC1"/>
    <w:rsid w:val="00F87070"/>
    <w:rsid w:val="00F875BF"/>
    <w:rsid w:val="00F87625"/>
    <w:rsid w:val="00F90019"/>
    <w:rsid w:val="00F90913"/>
    <w:rsid w:val="00F91040"/>
    <w:rsid w:val="00F918FF"/>
    <w:rsid w:val="00F91F9C"/>
    <w:rsid w:val="00F922B5"/>
    <w:rsid w:val="00F9278C"/>
    <w:rsid w:val="00F935C1"/>
    <w:rsid w:val="00F93792"/>
    <w:rsid w:val="00F941BE"/>
    <w:rsid w:val="00F9498C"/>
    <w:rsid w:val="00F962F3"/>
    <w:rsid w:val="00F9641A"/>
    <w:rsid w:val="00FA03B0"/>
    <w:rsid w:val="00FA204E"/>
    <w:rsid w:val="00FA2770"/>
    <w:rsid w:val="00FA2870"/>
    <w:rsid w:val="00FA375F"/>
    <w:rsid w:val="00FA38ED"/>
    <w:rsid w:val="00FA47A2"/>
    <w:rsid w:val="00FA4F42"/>
    <w:rsid w:val="00FA5785"/>
    <w:rsid w:val="00FA5A7C"/>
    <w:rsid w:val="00FA5E52"/>
    <w:rsid w:val="00FA647D"/>
    <w:rsid w:val="00FA66CE"/>
    <w:rsid w:val="00FB08AA"/>
    <w:rsid w:val="00FB1780"/>
    <w:rsid w:val="00FB2230"/>
    <w:rsid w:val="00FB23A0"/>
    <w:rsid w:val="00FB26BF"/>
    <w:rsid w:val="00FB2712"/>
    <w:rsid w:val="00FB2D80"/>
    <w:rsid w:val="00FB379D"/>
    <w:rsid w:val="00FB486A"/>
    <w:rsid w:val="00FB4ABF"/>
    <w:rsid w:val="00FB7527"/>
    <w:rsid w:val="00FC0625"/>
    <w:rsid w:val="00FC10BA"/>
    <w:rsid w:val="00FC115D"/>
    <w:rsid w:val="00FC2256"/>
    <w:rsid w:val="00FC35CA"/>
    <w:rsid w:val="00FC466C"/>
    <w:rsid w:val="00FC5B78"/>
    <w:rsid w:val="00FC5E0C"/>
    <w:rsid w:val="00FC7CBC"/>
    <w:rsid w:val="00FD06F5"/>
    <w:rsid w:val="00FD2E6E"/>
    <w:rsid w:val="00FD46D0"/>
    <w:rsid w:val="00FD4B6C"/>
    <w:rsid w:val="00FD5DC0"/>
    <w:rsid w:val="00FD60E3"/>
    <w:rsid w:val="00FD6BC0"/>
    <w:rsid w:val="00FD739E"/>
    <w:rsid w:val="00FD7B3D"/>
    <w:rsid w:val="00FE1408"/>
    <w:rsid w:val="00FE194D"/>
    <w:rsid w:val="00FE1DF6"/>
    <w:rsid w:val="00FE3192"/>
    <w:rsid w:val="00FE3598"/>
    <w:rsid w:val="00FE52EF"/>
    <w:rsid w:val="00FE5B11"/>
    <w:rsid w:val="00FF017D"/>
    <w:rsid w:val="00FF09FA"/>
    <w:rsid w:val="00FF2DBC"/>
    <w:rsid w:val="00FF31D3"/>
    <w:rsid w:val="00FF440B"/>
    <w:rsid w:val="00FF5CA7"/>
    <w:rsid w:val="00FF621F"/>
    <w:rsid w:val="00FF6237"/>
    <w:rsid w:val="00FF6FA8"/>
    <w:rsid w:val="00FF7063"/>
    <w:rsid w:val="00FF73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8B89C"/>
  <w15:chartTrackingRefBased/>
  <w15:docId w15:val="{11B59B6E-780C-4910-BB65-04BDD456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F4"/>
    <w:rPr>
      <w:rFonts w:ascii="Times New Roman" w:hAnsi="Times New Roman" w:cs="Times New Roman"/>
      <w:sz w:val="20"/>
      <w:szCs w:val="20"/>
      <w:lang w:val="en-GB"/>
    </w:rPr>
  </w:style>
  <w:style w:type="paragraph" w:styleId="Heading1">
    <w:name w:val="heading 1"/>
    <w:basedOn w:val="Normal"/>
    <w:next w:val="Normal"/>
    <w:link w:val="Heading1Char"/>
    <w:uiPriority w:val="9"/>
    <w:qFormat/>
    <w:rsid w:val="001150F4"/>
    <w:pPr>
      <w:keepNext/>
      <w:keepLines/>
      <w:numPr>
        <w:numId w:val="1"/>
      </w:numPr>
      <w:spacing w:before="240" w:after="80"/>
      <w:outlineLvl w:val="0"/>
    </w:pPr>
    <w:rPr>
      <w:rFonts w:eastAsiaTheme="majorEastAsia" w:cstheme="majorBidi"/>
      <w:lang w:val="en-US"/>
    </w:rPr>
  </w:style>
  <w:style w:type="paragraph" w:styleId="Heading2">
    <w:name w:val="heading 2"/>
    <w:basedOn w:val="Heading1"/>
    <w:next w:val="Normal"/>
    <w:link w:val="Heading2Char"/>
    <w:uiPriority w:val="9"/>
    <w:unhideWhenUsed/>
    <w:qFormat/>
    <w:rsid w:val="007A2440"/>
    <w:pPr>
      <w:numPr>
        <w:ilvl w:val="1"/>
      </w:numPr>
      <w:tabs>
        <w:tab w:val="left" w:pos="540"/>
      </w:tabs>
      <w:outlineLvl w:val="1"/>
    </w:pPr>
  </w:style>
  <w:style w:type="paragraph" w:styleId="Heading3">
    <w:name w:val="heading 3"/>
    <w:basedOn w:val="Heading2"/>
    <w:next w:val="Normal"/>
    <w:link w:val="Heading3Char"/>
    <w:uiPriority w:val="9"/>
    <w:unhideWhenUsed/>
    <w:qFormat/>
    <w:rsid w:val="007A2440"/>
    <w:pPr>
      <w:numPr>
        <w:ilvl w:val="2"/>
      </w:numPr>
      <w:spacing w:before="120" w:line="276" w:lineRule="auto"/>
      <w:outlineLvl w:val="2"/>
    </w:pPr>
  </w:style>
  <w:style w:type="paragraph" w:styleId="Heading4">
    <w:name w:val="heading 4"/>
    <w:basedOn w:val="Heading3"/>
    <w:next w:val="Normal"/>
    <w:link w:val="Heading4Char"/>
    <w:uiPriority w:val="9"/>
    <w:unhideWhenUsed/>
    <w:qFormat/>
    <w:rsid w:val="00F43DC3"/>
    <w:pPr>
      <w:numPr>
        <w:ilvl w:val="3"/>
      </w:numPr>
      <w:outlineLvl w:val="3"/>
    </w:pPr>
  </w:style>
  <w:style w:type="paragraph" w:styleId="Heading5">
    <w:name w:val="heading 5"/>
    <w:basedOn w:val="Normal"/>
    <w:next w:val="Normal"/>
    <w:link w:val="Heading5Char"/>
    <w:uiPriority w:val="9"/>
    <w:semiHidden/>
    <w:unhideWhenUsed/>
    <w:qFormat/>
    <w:rsid w:val="00B11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F4"/>
    <w:rPr>
      <w:rFonts w:ascii="Times New Roman" w:eastAsiaTheme="majorEastAsia" w:hAnsi="Times New Roman" w:cstheme="majorBidi"/>
      <w:sz w:val="20"/>
      <w:szCs w:val="20"/>
      <w:lang w:val="en-US"/>
    </w:rPr>
  </w:style>
  <w:style w:type="character" w:customStyle="1" w:styleId="Heading2Char">
    <w:name w:val="Heading 2 Char"/>
    <w:basedOn w:val="DefaultParagraphFont"/>
    <w:link w:val="Heading2"/>
    <w:uiPriority w:val="9"/>
    <w:rsid w:val="007A2440"/>
    <w:rPr>
      <w:rFonts w:ascii="Times New Roman" w:eastAsiaTheme="majorEastAsia" w:hAnsi="Times New Roman" w:cstheme="majorBidi"/>
      <w:sz w:val="20"/>
      <w:szCs w:val="20"/>
      <w:lang w:val="en-US"/>
    </w:rPr>
  </w:style>
  <w:style w:type="character" w:customStyle="1" w:styleId="Heading3Char">
    <w:name w:val="Heading 3 Char"/>
    <w:basedOn w:val="DefaultParagraphFont"/>
    <w:link w:val="Heading3"/>
    <w:uiPriority w:val="9"/>
    <w:rsid w:val="007A2440"/>
    <w:rPr>
      <w:rFonts w:ascii="Times New Roman" w:eastAsiaTheme="majorEastAsia" w:hAnsi="Times New Roman" w:cstheme="majorBidi"/>
      <w:sz w:val="20"/>
      <w:szCs w:val="20"/>
      <w:lang w:val="en-US"/>
    </w:rPr>
  </w:style>
  <w:style w:type="character" w:customStyle="1" w:styleId="Heading4Char">
    <w:name w:val="Heading 4 Char"/>
    <w:basedOn w:val="DefaultParagraphFont"/>
    <w:link w:val="Heading4"/>
    <w:uiPriority w:val="9"/>
    <w:rsid w:val="00F43DC3"/>
    <w:rPr>
      <w:rFonts w:ascii="Times New Roman" w:eastAsiaTheme="majorEastAsia" w:hAnsi="Times New Roman" w:cstheme="majorBidi"/>
      <w:sz w:val="20"/>
      <w:szCs w:val="20"/>
      <w:lang w:val="en-US"/>
    </w:rPr>
  </w:style>
  <w:style w:type="character" w:customStyle="1" w:styleId="Heading5Char">
    <w:name w:val="Heading 5 Char"/>
    <w:basedOn w:val="DefaultParagraphFont"/>
    <w:link w:val="Heading5"/>
    <w:uiPriority w:val="9"/>
    <w:semiHidden/>
    <w:rsid w:val="00B1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14"/>
    <w:rPr>
      <w:rFonts w:eastAsiaTheme="majorEastAsia" w:cstheme="majorBidi"/>
      <w:color w:val="272727" w:themeColor="text1" w:themeTint="D8"/>
    </w:rPr>
  </w:style>
  <w:style w:type="paragraph" w:styleId="Title">
    <w:name w:val="Title"/>
    <w:basedOn w:val="Normal"/>
    <w:next w:val="Normal"/>
    <w:link w:val="TitleChar"/>
    <w:uiPriority w:val="10"/>
    <w:qFormat/>
    <w:rsid w:val="00B11A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1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14"/>
    <w:pPr>
      <w:spacing w:before="160"/>
      <w:jc w:val="center"/>
    </w:pPr>
    <w:rPr>
      <w:i/>
      <w:iCs/>
      <w:color w:val="404040" w:themeColor="text1" w:themeTint="BF"/>
    </w:rPr>
  </w:style>
  <w:style w:type="character" w:customStyle="1" w:styleId="QuoteChar">
    <w:name w:val="Quote Char"/>
    <w:basedOn w:val="DefaultParagraphFont"/>
    <w:link w:val="Quote"/>
    <w:uiPriority w:val="29"/>
    <w:rsid w:val="00B11A14"/>
    <w:rPr>
      <w:i/>
      <w:iCs/>
      <w:color w:val="404040" w:themeColor="text1" w:themeTint="BF"/>
    </w:rPr>
  </w:style>
  <w:style w:type="paragraph" w:styleId="ListParagraph">
    <w:name w:val="List Paragraph"/>
    <w:basedOn w:val="Normal"/>
    <w:link w:val="ListParagraphChar"/>
    <w:uiPriority w:val="34"/>
    <w:qFormat/>
    <w:rsid w:val="00B11A14"/>
    <w:pPr>
      <w:ind w:left="720"/>
      <w:contextualSpacing/>
    </w:pPr>
  </w:style>
  <w:style w:type="character" w:styleId="IntenseEmphasis">
    <w:name w:val="Intense Emphasis"/>
    <w:basedOn w:val="DefaultParagraphFont"/>
    <w:uiPriority w:val="21"/>
    <w:qFormat/>
    <w:rsid w:val="00B11A14"/>
    <w:rPr>
      <w:i/>
      <w:iCs/>
      <w:color w:val="0F4761" w:themeColor="accent1" w:themeShade="BF"/>
    </w:rPr>
  </w:style>
  <w:style w:type="paragraph" w:styleId="IntenseQuote">
    <w:name w:val="Intense Quote"/>
    <w:basedOn w:val="Normal"/>
    <w:next w:val="Normal"/>
    <w:link w:val="IntenseQuoteChar"/>
    <w:uiPriority w:val="30"/>
    <w:qFormat/>
    <w:rsid w:val="00B11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14"/>
    <w:rPr>
      <w:i/>
      <w:iCs/>
      <w:color w:val="0F4761" w:themeColor="accent1" w:themeShade="BF"/>
    </w:rPr>
  </w:style>
  <w:style w:type="character" w:styleId="IntenseReference">
    <w:name w:val="Intense Reference"/>
    <w:basedOn w:val="DefaultParagraphFont"/>
    <w:uiPriority w:val="32"/>
    <w:qFormat/>
    <w:rsid w:val="00B11A14"/>
    <w:rPr>
      <w:b/>
      <w:bCs/>
      <w:smallCaps/>
      <w:color w:val="0F4761" w:themeColor="accent1" w:themeShade="BF"/>
      <w:spacing w:val="5"/>
    </w:rPr>
  </w:style>
  <w:style w:type="paragraph" w:styleId="NormalWeb">
    <w:name w:val="Normal (Web)"/>
    <w:basedOn w:val="Normal"/>
    <w:uiPriority w:val="99"/>
    <w:unhideWhenUsed/>
    <w:rsid w:val="001B2011"/>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1B2011"/>
    <w:rPr>
      <w:b/>
      <w:bCs/>
    </w:rPr>
  </w:style>
  <w:style w:type="character" w:styleId="Emphasis">
    <w:name w:val="Emphasis"/>
    <w:basedOn w:val="DefaultParagraphFont"/>
    <w:uiPriority w:val="20"/>
    <w:qFormat/>
    <w:rsid w:val="004C5F8D"/>
    <w:rPr>
      <w:i/>
      <w:iCs/>
    </w:rPr>
  </w:style>
  <w:style w:type="table" w:styleId="PlainTable5">
    <w:name w:val="Plain Table 5"/>
    <w:basedOn w:val="TableNormal"/>
    <w:uiPriority w:val="45"/>
    <w:rsid w:val="004C5F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9356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545CE7"/>
    <w:rPr>
      <w:color w:val="666666"/>
    </w:rPr>
  </w:style>
  <w:style w:type="table" w:styleId="PlainTable4">
    <w:name w:val="Plain Table 4"/>
    <w:basedOn w:val="TableNormal"/>
    <w:uiPriority w:val="44"/>
    <w:rsid w:val="00990FA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3E45A1"/>
    <w:pPr>
      <w:spacing w:after="200" w:line="240" w:lineRule="auto"/>
    </w:pPr>
    <w:rPr>
      <w:i/>
      <w:iCs/>
      <w:sz w:val="18"/>
      <w:szCs w:val="18"/>
    </w:rPr>
  </w:style>
  <w:style w:type="table" w:styleId="PlainTable3">
    <w:name w:val="Plain Table 3"/>
    <w:basedOn w:val="TableNormal"/>
    <w:uiPriority w:val="43"/>
    <w:rsid w:val="005711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ullet">
    <w:name w:val="Bullet"/>
    <w:basedOn w:val="ListParagraph"/>
    <w:link w:val="BulletChar"/>
    <w:qFormat/>
    <w:rsid w:val="00A246A6"/>
    <w:pPr>
      <w:numPr>
        <w:numId w:val="2"/>
      </w:numPr>
      <w:tabs>
        <w:tab w:val="left" w:pos="180"/>
      </w:tabs>
      <w:ind w:left="0" w:firstLine="0"/>
    </w:pPr>
  </w:style>
  <w:style w:type="character" w:customStyle="1" w:styleId="ListParagraphChar">
    <w:name w:val="List Paragraph Char"/>
    <w:basedOn w:val="DefaultParagraphFont"/>
    <w:link w:val="ListParagraph"/>
    <w:uiPriority w:val="34"/>
    <w:rsid w:val="00273114"/>
    <w:rPr>
      <w:rFonts w:asciiTheme="majorHAnsi" w:hAnsiTheme="majorHAnsi"/>
      <w:sz w:val="22"/>
      <w:szCs w:val="22"/>
    </w:rPr>
  </w:style>
  <w:style w:type="character" w:customStyle="1" w:styleId="BulletChar">
    <w:name w:val="Bullet Char"/>
    <w:basedOn w:val="ListParagraphChar"/>
    <w:link w:val="Bullet"/>
    <w:rsid w:val="00A246A6"/>
    <w:rPr>
      <w:rFonts w:ascii="Times New Roman" w:hAnsi="Times New Roman" w:cs="Times New Roman"/>
      <w:sz w:val="20"/>
      <w:szCs w:val="20"/>
      <w:lang w:val="en-GB"/>
    </w:rPr>
  </w:style>
  <w:style w:type="character" w:styleId="Hyperlink">
    <w:name w:val="Hyperlink"/>
    <w:basedOn w:val="DefaultParagraphFont"/>
    <w:uiPriority w:val="99"/>
    <w:unhideWhenUsed/>
    <w:rsid w:val="00BB16C1"/>
    <w:rPr>
      <w:color w:val="467886" w:themeColor="hyperlink"/>
      <w:u w:val="single"/>
    </w:rPr>
  </w:style>
  <w:style w:type="character" w:styleId="UnresolvedMention">
    <w:name w:val="Unresolved Mention"/>
    <w:basedOn w:val="DefaultParagraphFont"/>
    <w:uiPriority w:val="99"/>
    <w:semiHidden/>
    <w:unhideWhenUsed/>
    <w:rsid w:val="005510FC"/>
    <w:rPr>
      <w:color w:val="605E5C"/>
      <w:shd w:val="clear" w:color="auto" w:fill="E1DFDD"/>
    </w:rPr>
  </w:style>
  <w:style w:type="paragraph" w:customStyle="1" w:styleId="msonormal0">
    <w:name w:val="msonormal"/>
    <w:basedOn w:val="Normal"/>
    <w:rsid w:val="005510FC"/>
    <w:pPr>
      <w:spacing w:before="100" w:beforeAutospacing="1" w:after="100" w:afterAutospacing="1" w:line="240" w:lineRule="auto"/>
    </w:pPr>
    <w:rPr>
      <w:rFonts w:eastAsia="Times New Roman"/>
      <w:kern w:val="0"/>
      <w:sz w:val="24"/>
      <w:szCs w:val="24"/>
      <w14:ligatures w14:val="none"/>
    </w:rPr>
  </w:style>
  <w:style w:type="character" w:styleId="FollowedHyperlink">
    <w:name w:val="FollowedHyperlink"/>
    <w:basedOn w:val="DefaultParagraphFont"/>
    <w:uiPriority w:val="99"/>
    <w:semiHidden/>
    <w:unhideWhenUsed/>
    <w:rsid w:val="005510FC"/>
    <w:rPr>
      <w:color w:val="800080"/>
      <w:u w:val="single"/>
    </w:rPr>
  </w:style>
  <w:style w:type="paragraph" w:styleId="TOCHeading">
    <w:name w:val="TOC Heading"/>
    <w:basedOn w:val="Heading1"/>
    <w:next w:val="Normal"/>
    <w:uiPriority w:val="39"/>
    <w:unhideWhenUsed/>
    <w:qFormat/>
    <w:rsid w:val="00502EB5"/>
    <w:pPr>
      <w:numPr>
        <w:numId w:val="0"/>
      </w:numPr>
      <w:spacing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502EB5"/>
    <w:pPr>
      <w:spacing w:after="100"/>
    </w:pPr>
  </w:style>
  <w:style w:type="paragraph" w:styleId="TOC2">
    <w:name w:val="toc 2"/>
    <w:basedOn w:val="Normal"/>
    <w:next w:val="Normal"/>
    <w:autoRedefine/>
    <w:uiPriority w:val="39"/>
    <w:unhideWhenUsed/>
    <w:rsid w:val="00502EB5"/>
    <w:pPr>
      <w:spacing w:after="100"/>
      <w:ind w:left="200"/>
    </w:pPr>
  </w:style>
  <w:style w:type="paragraph" w:styleId="TOC3">
    <w:name w:val="toc 3"/>
    <w:basedOn w:val="Normal"/>
    <w:next w:val="Normal"/>
    <w:autoRedefine/>
    <w:uiPriority w:val="39"/>
    <w:unhideWhenUsed/>
    <w:rsid w:val="00502EB5"/>
    <w:pPr>
      <w:spacing w:after="100"/>
      <w:ind w:left="400"/>
    </w:pPr>
  </w:style>
  <w:style w:type="paragraph" w:styleId="Header">
    <w:name w:val="header"/>
    <w:basedOn w:val="Normal"/>
    <w:link w:val="HeaderChar"/>
    <w:uiPriority w:val="99"/>
    <w:unhideWhenUsed/>
    <w:rsid w:val="00E25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275"/>
    <w:rPr>
      <w:rFonts w:asciiTheme="majorHAnsi" w:hAnsiTheme="majorHAnsi"/>
      <w:sz w:val="20"/>
      <w:szCs w:val="20"/>
    </w:rPr>
  </w:style>
  <w:style w:type="paragraph" w:styleId="Footer">
    <w:name w:val="footer"/>
    <w:basedOn w:val="Normal"/>
    <w:link w:val="FooterChar"/>
    <w:uiPriority w:val="99"/>
    <w:unhideWhenUsed/>
    <w:rsid w:val="00E25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275"/>
    <w:rPr>
      <w:rFonts w:asciiTheme="majorHAnsi" w:hAnsiTheme="majorHAnsi"/>
      <w:sz w:val="20"/>
      <w:szCs w:val="20"/>
    </w:rPr>
  </w:style>
  <w:style w:type="character" w:styleId="CommentReference">
    <w:name w:val="annotation reference"/>
    <w:basedOn w:val="DefaultParagraphFont"/>
    <w:uiPriority w:val="99"/>
    <w:semiHidden/>
    <w:unhideWhenUsed/>
    <w:rsid w:val="00340015"/>
    <w:rPr>
      <w:sz w:val="16"/>
      <w:szCs w:val="16"/>
    </w:rPr>
  </w:style>
  <w:style w:type="paragraph" w:styleId="CommentText">
    <w:name w:val="annotation text"/>
    <w:basedOn w:val="Normal"/>
    <w:link w:val="CommentTextChar"/>
    <w:uiPriority w:val="99"/>
    <w:unhideWhenUsed/>
    <w:rsid w:val="00340015"/>
    <w:pPr>
      <w:spacing w:line="240" w:lineRule="auto"/>
    </w:pPr>
  </w:style>
  <w:style w:type="character" w:customStyle="1" w:styleId="CommentTextChar">
    <w:name w:val="Comment Text Char"/>
    <w:basedOn w:val="DefaultParagraphFont"/>
    <w:link w:val="CommentText"/>
    <w:uiPriority w:val="99"/>
    <w:rsid w:val="00340015"/>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340015"/>
    <w:rPr>
      <w:b/>
      <w:bCs/>
    </w:rPr>
  </w:style>
  <w:style w:type="character" w:customStyle="1" w:styleId="CommentSubjectChar">
    <w:name w:val="Comment Subject Char"/>
    <w:basedOn w:val="CommentTextChar"/>
    <w:link w:val="CommentSubject"/>
    <w:uiPriority w:val="99"/>
    <w:semiHidden/>
    <w:rsid w:val="00340015"/>
    <w:rPr>
      <w:rFonts w:asciiTheme="majorHAnsi" w:hAnsiTheme="majorHAnsi"/>
      <w:b/>
      <w:bCs/>
      <w:sz w:val="20"/>
      <w:szCs w:val="20"/>
    </w:rPr>
  </w:style>
  <w:style w:type="character" w:customStyle="1" w:styleId="ms-1">
    <w:name w:val="ms-1"/>
    <w:basedOn w:val="DefaultParagraphFont"/>
    <w:rsid w:val="004B0953"/>
  </w:style>
  <w:style w:type="character" w:customStyle="1" w:styleId="max-w-15ch">
    <w:name w:val="max-w-[15ch]"/>
    <w:basedOn w:val="DefaultParagraphFont"/>
    <w:rsid w:val="004B0953"/>
  </w:style>
  <w:style w:type="character" w:customStyle="1" w:styleId="-me-1">
    <w:name w:val="-me-1"/>
    <w:basedOn w:val="DefaultParagraphFont"/>
    <w:rsid w:val="004B0953"/>
  </w:style>
  <w:style w:type="table" w:styleId="TableGrid">
    <w:name w:val="Table Grid"/>
    <w:basedOn w:val="TableNormal"/>
    <w:uiPriority w:val="39"/>
    <w:rsid w:val="002C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943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6">
      <w:marLeft w:val="640"/>
      <w:marRight w:val="0"/>
      <w:marTop w:val="0"/>
      <w:marBottom w:val="0"/>
      <w:divBdr>
        <w:top w:val="none" w:sz="0" w:space="0" w:color="auto"/>
        <w:left w:val="none" w:sz="0" w:space="0" w:color="auto"/>
        <w:bottom w:val="none" w:sz="0" w:space="0" w:color="auto"/>
        <w:right w:val="none" w:sz="0" w:space="0" w:color="auto"/>
      </w:divBdr>
    </w:div>
    <w:div w:id="354853">
      <w:marLeft w:val="640"/>
      <w:marRight w:val="0"/>
      <w:marTop w:val="0"/>
      <w:marBottom w:val="0"/>
      <w:divBdr>
        <w:top w:val="none" w:sz="0" w:space="0" w:color="auto"/>
        <w:left w:val="none" w:sz="0" w:space="0" w:color="auto"/>
        <w:bottom w:val="none" w:sz="0" w:space="0" w:color="auto"/>
        <w:right w:val="none" w:sz="0" w:space="0" w:color="auto"/>
      </w:divBdr>
    </w:div>
    <w:div w:id="936907">
      <w:marLeft w:val="640"/>
      <w:marRight w:val="0"/>
      <w:marTop w:val="0"/>
      <w:marBottom w:val="0"/>
      <w:divBdr>
        <w:top w:val="none" w:sz="0" w:space="0" w:color="auto"/>
        <w:left w:val="none" w:sz="0" w:space="0" w:color="auto"/>
        <w:bottom w:val="none" w:sz="0" w:space="0" w:color="auto"/>
        <w:right w:val="none" w:sz="0" w:space="0" w:color="auto"/>
      </w:divBdr>
    </w:div>
    <w:div w:id="1054255">
      <w:marLeft w:val="640"/>
      <w:marRight w:val="0"/>
      <w:marTop w:val="0"/>
      <w:marBottom w:val="0"/>
      <w:divBdr>
        <w:top w:val="none" w:sz="0" w:space="0" w:color="auto"/>
        <w:left w:val="none" w:sz="0" w:space="0" w:color="auto"/>
        <w:bottom w:val="none" w:sz="0" w:space="0" w:color="auto"/>
        <w:right w:val="none" w:sz="0" w:space="0" w:color="auto"/>
      </w:divBdr>
    </w:div>
    <w:div w:id="1131474">
      <w:marLeft w:val="640"/>
      <w:marRight w:val="0"/>
      <w:marTop w:val="0"/>
      <w:marBottom w:val="0"/>
      <w:divBdr>
        <w:top w:val="none" w:sz="0" w:space="0" w:color="auto"/>
        <w:left w:val="none" w:sz="0" w:space="0" w:color="auto"/>
        <w:bottom w:val="none" w:sz="0" w:space="0" w:color="auto"/>
        <w:right w:val="none" w:sz="0" w:space="0" w:color="auto"/>
      </w:divBdr>
    </w:div>
    <w:div w:id="1395854">
      <w:marLeft w:val="640"/>
      <w:marRight w:val="0"/>
      <w:marTop w:val="0"/>
      <w:marBottom w:val="0"/>
      <w:divBdr>
        <w:top w:val="none" w:sz="0" w:space="0" w:color="auto"/>
        <w:left w:val="none" w:sz="0" w:space="0" w:color="auto"/>
        <w:bottom w:val="none" w:sz="0" w:space="0" w:color="auto"/>
        <w:right w:val="none" w:sz="0" w:space="0" w:color="auto"/>
      </w:divBdr>
    </w:div>
    <w:div w:id="1663815">
      <w:marLeft w:val="640"/>
      <w:marRight w:val="0"/>
      <w:marTop w:val="0"/>
      <w:marBottom w:val="0"/>
      <w:divBdr>
        <w:top w:val="none" w:sz="0" w:space="0" w:color="auto"/>
        <w:left w:val="none" w:sz="0" w:space="0" w:color="auto"/>
        <w:bottom w:val="none" w:sz="0" w:space="0" w:color="auto"/>
        <w:right w:val="none" w:sz="0" w:space="0" w:color="auto"/>
      </w:divBdr>
    </w:div>
    <w:div w:id="1667035">
      <w:marLeft w:val="640"/>
      <w:marRight w:val="0"/>
      <w:marTop w:val="0"/>
      <w:marBottom w:val="0"/>
      <w:divBdr>
        <w:top w:val="none" w:sz="0" w:space="0" w:color="auto"/>
        <w:left w:val="none" w:sz="0" w:space="0" w:color="auto"/>
        <w:bottom w:val="none" w:sz="0" w:space="0" w:color="auto"/>
        <w:right w:val="none" w:sz="0" w:space="0" w:color="auto"/>
      </w:divBdr>
    </w:div>
    <w:div w:id="1856969">
      <w:marLeft w:val="640"/>
      <w:marRight w:val="0"/>
      <w:marTop w:val="0"/>
      <w:marBottom w:val="0"/>
      <w:divBdr>
        <w:top w:val="none" w:sz="0" w:space="0" w:color="auto"/>
        <w:left w:val="none" w:sz="0" w:space="0" w:color="auto"/>
        <w:bottom w:val="none" w:sz="0" w:space="0" w:color="auto"/>
        <w:right w:val="none" w:sz="0" w:space="0" w:color="auto"/>
      </w:divBdr>
    </w:div>
    <w:div w:id="1860012">
      <w:marLeft w:val="640"/>
      <w:marRight w:val="0"/>
      <w:marTop w:val="0"/>
      <w:marBottom w:val="0"/>
      <w:divBdr>
        <w:top w:val="none" w:sz="0" w:space="0" w:color="auto"/>
        <w:left w:val="none" w:sz="0" w:space="0" w:color="auto"/>
        <w:bottom w:val="none" w:sz="0" w:space="0" w:color="auto"/>
        <w:right w:val="none" w:sz="0" w:space="0" w:color="auto"/>
      </w:divBdr>
    </w:div>
    <w:div w:id="4214265">
      <w:marLeft w:val="640"/>
      <w:marRight w:val="0"/>
      <w:marTop w:val="0"/>
      <w:marBottom w:val="0"/>
      <w:divBdr>
        <w:top w:val="none" w:sz="0" w:space="0" w:color="auto"/>
        <w:left w:val="none" w:sz="0" w:space="0" w:color="auto"/>
        <w:bottom w:val="none" w:sz="0" w:space="0" w:color="auto"/>
        <w:right w:val="none" w:sz="0" w:space="0" w:color="auto"/>
      </w:divBdr>
    </w:div>
    <w:div w:id="4670056">
      <w:marLeft w:val="640"/>
      <w:marRight w:val="0"/>
      <w:marTop w:val="0"/>
      <w:marBottom w:val="0"/>
      <w:divBdr>
        <w:top w:val="none" w:sz="0" w:space="0" w:color="auto"/>
        <w:left w:val="none" w:sz="0" w:space="0" w:color="auto"/>
        <w:bottom w:val="none" w:sz="0" w:space="0" w:color="auto"/>
        <w:right w:val="none" w:sz="0" w:space="0" w:color="auto"/>
      </w:divBdr>
    </w:div>
    <w:div w:id="4746227">
      <w:marLeft w:val="640"/>
      <w:marRight w:val="0"/>
      <w:marTop w:val="0"/>
      <w:marBottom w:val="0"/>
      <w:divBdr>
        <w:top w:val="none" w:sz="0" w:space="0" w:color="auto"/>
        <w:left w:val="none" w:sz="0" w:space="0" w:color="auto"/>
        <w:bottom w:val="none" w:sz="0" w:space="0" w:color="auto"/>
        <w:right w:val="none" w:sz="0" w:space="0" w:color="auto"/>
      </w:divBdr>
    </w:div>
    <w:div w:id="5135151">
      <w:marLeft w:val="640"/>
      <w:marRight w:val="0"/>
      <w:marTop w:val="0"/>
      <w:marBottom w:val="0"/>
      <w:divBdr>
        <w:top w:val="none" w:sz="0" w:space="0" w:color="auto"/>
        <w:left w:val="none" w:sz="0" w:space="0" w:color="auto"/>
        <w:bottom w:val="none" w:sz="0" w:space="0" w:color="auto"/>
        <w:right w:val="none" w:sz="0" w:space="0" w:color="auto"/>
      </w:divBdr>
    </w:div>
    <w:div w:id="5178976">
      <w:marLeft w:val="640"/>
      <w:marRight w:val="0"/>
      <w:marTop w:val="0"/>
      <w:marBottom w:val="0"/>
      <w:divBdr>
        <w:top w:val="none" w:sz="0" w:space="0" w:color="auto"/>
        <w:left w:val="none" w:sz="0" w:space="0" w:color="auto"/>
        <w:bottom w:val="none" w:sz="0" w:space="0" w:color="auto"/>
        <w:right w:val="none" w:sz="0" w:space="0" w:color="auto"/>
      </w:divBdr>
    </w:div>
    <w:div w:id="5984689">
      <w:marLeft w:val="640"/>
      <w:marRight w:val="0"/>
      <w:marTop w:val="0"/>
      <w:marBottom w:val="0"/>
      <w:divBdr>
        <w:top w:val="none" w:sz="0" w:space="0" w:color="auto"/>
        <w:left w:val="none" w:sz="0" w:space="0" w:color="auto"/>
        <w:bottom w:val="none" w:sz="0" w:space="0" w:color="auto"/>
        <w:right w:val="none" w:sz="0" w:space="0" w:color="auto"/>
      </w:divBdr>
    </w:div>
    <w:div w:id="7146016">
      <w:marLeft w:val="640"/>
      <w:marRight w:val="0"/>
      <w:marTop w:val="0"/>
      <w:marBottom w:val="0"/>
      <w:divBdr>
        <w:top w:val="none" w:sz="0" w:space="0" w:color="auto"/>
        <w:left w:val="none" w:sz="0" w:space="0" w:color="auto"/>
        <w:bottom w:val="none" w:sz="0" w:space="0" w:color="auto"/>
        <w:right w:val="none" w:sz="0" w:space="0" w:color="auto"/>
      </w:divBdr>
    </w:div>
    <w:div w:id="7686343">
      <w:marLeft w:val="640"/>
      <w:marRight w:val="0"/>
      <w:marTop w:val="0"/>
      <w:marBottom w:val="0"/>
      <w:divBdr>
        <w:top w:val="none" w:sz="0" w:space="0" w:color="auto"/>
        <w:left w:val="none" w:sz="0" w:space="0" w:color="auto"/>
        <w:bottom w:val="none" w:sz="0" w:space="0" w:color="auto"/>
        <w:right w:val="none" w:sz="0" w:space="0" w:color="auto"/>
      </w:divBdr>
    </w:div>
    <w:div w:id="7873618">
      <w:marLeft w:val="640"/>
      <w:marRight w:val="0"/>
      <w:marTop w:val="0"/>
      <w:marBottom w:val="0"/>
      <w:divBdr>
        <w:top w:val="none" w:sz="0" w:space="0" w:color="auto"/>
        <w:left w:val="none" w:sz="0" w:space="0" w:color="auto"/>
        <w:bottom w:val="none" w:sz="0" w:space="0" w:color="auto"/>
        <w:right w:val="none" w:sz="0" w:space="0" w:color="auto"/>
      </w:divBdr>
    </w:div>
    <w:div w:id="8412565">
      <w:marLeft w:val="640"/>
      <w:marRight w:val="0"/>
      <w:marTop w:val="0"/>
      <w:marBottom w:val="0"/>
      <w:divBdr>
        <w:top w:val="none" w:sz="0" w:space="0" w:color="auto"/>
        <w:left w:val="none" w:sz="0" w:space="0" w:color="auto"/>
        <w:bottom w:val="none" w:sz="0" w:space="0" w:color="auto"/>
        <w:right w:val="none" w:sz="0" w:space="0" w:color="auto"/>
      </w:divBdr>
    </w:div>
    <w:div w:id="8527501">
      <w:marLeft w:val="640"/>
      <w:marRight w:val="0"/>
      <w:marTop w:val="0"/>
      <w:marBottom w:val="0"/>
      <w:divBdr>
        <w:top w:val="none" w:sz="0" w:space="0" w:color="auto"/>
        <w:left w:val="none" w:sz="0" w:space="0" w:color="auto"/>
        <w:bottom w:val="none" w:sz="0" w:space="0" w:color="auto"/>
        <w:right w:val="none" w:sz="0" w:space="0" w:color="auto"/>
      </w:divBdr>
    </w:div>
    <w:div w:id="8652849">
      <w:marLeft w:val="640"/>
      <w:marRight w:val="0"/>
      <w:marTop w:val="0"/>
      <w:marBottom w:val="0"/>
      <w:divBdr>
        <w:top w:val="none" w:sz="0" w:space="0" w:color="auto"/>
        <w:left w:val="none" w:sz="0" w:space="0" w:color="auto"/>
        <w:bottom w:val="none" w:sz="0" w:space="0" w:color="auto"/>
        <w:right w:val="none" w:sz="0" w:space="0" w:color="auto"/>
      </w:divBdr>
    </w:div>
    <w:div w:id="10034155">
      <w:marLeft w:val="640"/>
      <w:marRight w:val="0"/>
      <w:marTop w:val="0"/>
      <w:marBottom w:val="0"/>
      <w:divBdr>
        <w:top w:val="none" w:sz="0" w:space="0" w:color="auto"/>
        <w:left w:val="none" w:sz="0" w:space="0" w:color="auto"/>
        <w:bottom w:val="none" w:sz="0" w:space="0" w:color="auto"/>
        <w:right w:val="none" w:sz="0" w:space="0" w:color="auto"/>
      </w:divBdr>
    </w:div>
    <w:div w:id="10302638">
      <w:marLeft w:val="640"/>
      <w:marRight w:val="0"/>
      <w:marTop w:val="0"/>
      <w:marBottom w:val="0"/>
      <w:divBdr>
        <w:top w:val="none" w:sz="0" w:space="0" w:color="auto"/>
        <w:left w:val="none" w:sz="0" w:space="0" w:color="auto"/>
        <w:bottom w:val="none" w:sz="0" w:space="0" w:color="auto"/>
        <w:right w:val="none" w:sz="0" w:space="0" w:color="auto"/>
      </w:divBdr>
    </w:div>
    <w:div w:id="10881135">
      <w:marLeft w:val="640"/>
      <w:marRight w:val="0"/>
      <w:marTop w:val="0"/>
      <w:marBottom w:val="0"/>
      <w:divBdr>
        <w:top w:val="none" w:sz="0" w:space="0" w:color="auto"/>
        <w:left w:val="none" w:sz="0" w:space="0" w:color="auto"/>
        <w:bottom w:val="none" w:sz="0" w:space="0" w:color="auto"/>
        <w:right w:val="none" w:sz="0" w:space="0" w:color="auto"/>
      </w:divBdr>
    </w:div>
    <w:div w:id="11148549">
      <w:marLeft w:val="640"/>
      <w:marRight w:val="0"/>
      <w:marTop w:val="0"/>
      <w:marBottom w:val="0"/>
      <w:divBdr>
        <w:top w:val="none" w:sz="0" w:space="0" w:color="auto"/>
        <w:left w:val="none" w:sz="0" w:space="0" w:color="auto"/>
        <w:bottom w:val="none" w:sz="0" w:space="0" w:color="auto"/>
        <w:right w:val="none" w:sz="0" w:space="0" w:color="auto"/>
      </w:divBdr>
    </w:div>
    <w:div w:id="12846522">
      <w:marLeft w:val="640"/>
      <w:marRight w:val="0"/>
      <w:marTop w:val="0"/>
      <w:marBottom w:val="0"/>
      <w:divBdr>
        <w:top w:val="none" w:sz="0" w:space="0" w:color="auto"/>
        <w:left w:val="none" w:sz="0" w:space="0" w:color="auto"/>
        <w:bottom w:val="none" w:sz="0" w:space="0" w:color="auto"/>
        <w:right w:val="none" w:sz="0" w:space="0" w:color="auto"/>
      </w:divBdr>
    </w:div>
    <w:div w:id="13195492">
      <w:marLeft w:val="640"/>
      <w:marRight w:val="0"/>
      <w:marTop w:val="0"/>
      <w:marBottom w:val="0"/>
      <w:divBdr>
        <w:top w:val="none" w:sz="0" w:space="0" w:color="auto"/>
        <w:left w:val="none" w:sz="0" w:space="0" w:color="auto"/>
        <w:bottom w:val="none" w:sz="0" w:space="0" w:color="auto"/>
        <w:right w:val="none" w:sz="0" w:space="0" w:color="auto"/>
      </w:divBdr>
    </w:div>
    <w:div w:id="16128594">
      <w:marLeft w:val="640"/>
      <w:marRight w:val="0"/>
      <w:marTop w:val="0"/>
      <w:marBottom w:val="0"/>
      <w:divBdr>
        <w:top w:val="none" w:sz="0" w:space="0" w:color="auto"/>
        <w:left w:val="none" w:sz="0" w:space="0" w:color="auto"/>
        <w:bottom w:val="none" w:sz="0" w:space="0" w:color="auto"/>
        <w:right w:val="none" w:sz="0" w:space="0" w:color="auto"/>
      </w:divBdr>
    </w:div>
    <w:div w:id="16154384">
      <w:marLeft w:val="640"/>
      <w:marRight w:val="0"/>
      <w:marTop w:val="0"/>
      <w:marBottom w:val="0"/>
      <w:divBdr>
        <w:top w:val="none" w:sz="0" w:space="0" w:color="auto"/>
        <w:left w:val="none" w:sz="0" w:space="0" w:color="auto"/>
        <w:bottom w:val="none" w:sz="0" w:space="0" w:color="auto"/>
        <w:right w:val="none" w:sz="0" w:space="0" w:color="auto"/>
      </w:divBdr>
    </w:div>
    <w:div w:id="16350542">
      <w:marLeft w:val="640"/>
      <w:marRight w:val="0"/>
      <w:marTop w:val="0"/>
      <w:marBottom w:val="0"/>
      <w:divBdr>
        <w:top w:val="none" w:sz="0" w:space="0" w:color="auto"/>
        <w:left w:val="none" w:sz="0" w:space="0" w:color="auto"/>
        <w:bottom w:val="none" w:sz="0" w:space="0" w:color="auto"/>
        <w:right w:val="none" w:sz="0" w:space="0" w:color="auto"/>
      </w:divBdr>
    </w:div>
    <w:div w:id="16464632">
      <w:marLeft w:val="640"/>
      <w:marRight w:val="0"/>
      <w:marTop w:val="0"/>
      <w:marBottom w:val="0"/>
      <w:divBdr>
        <w:top w:val="none" w:sz="0" w:space="0" w:color="auto"/>
        <w:left w:val="none" w:sz="0" w:space="0" w:color="auto"/>
        <w:bottom w:val="none" w:sz="0" w:space="0" w:color="auto"/>
        <w:right w:val="none" w:sz="0" w:space="0" w:color="auto"/>
      </w:divBdr>
    </w:div>
    <w:div w:id="16468217">
      <w:marLeft w:val="640"/>
      <w:marRight w:val="0"/>
      <w:marTop w:val="0"/>
      <w:marBottom w:val="0"/>
      <w:divBdr>
        <w:top w:val="none" w:sz="0" w:space="0" w:color="auto"/>
        <w:left w:val="none" w:sz="0" w:space="0" w:color="auto"/>
        <w:bottom w:val="none" w:sz="0" w:space="0" w:color="auto"/>
        <w:right w:val="none" w:sz="0" w:space="0" w:color="auto"/>
      </w:divBdr>
    </w:div>
    <w:div w:id="16469191">
      <w:marLeft w:val="640"/>
      <w:marRight w:val="0"/>
      <w:marTop w:val="0"/>
      <w:marBottom w:val="0"/>
      <w:divBdr>
        <w:top w:val="none" w:sz="0" w:space="0" w:color="auto"/>
        <w:left w:val="none" w:sz="0" w:space="0" w:color="auto"/>
        <w:bottom w:val="none" w:sz="0" w:space="0" w:color="auto"/>
        <w:right w:val="none" w:sz="0" w:space="0" w:color="auto"/>
      </w:divBdr>
    </w:div>
    <w:div w:id="16666056">
      <w:marLeft w:val="640"/>
      <w:marRight w:val="0"/>
      <w:marTop w:val="0"/>
      <w:marBottom w:val="0"/>
      <w:divBdr>
        <w:top w:val="none" w:sz="0" w:space="0" w:color="auto"/>
        <w:left w:val="none" w:sz="0" w:space="0" w:color="auto"/>
        <w:bottom w:val="none" w:sz="0" w:space="0" w:color="auto"/>
        <w:right w:val="none" w:sz="0" w:space="0" w:color="auto"/>
      </w:divBdr>
    </w:div>
    <w:div w:id="17001740">
      <w:marLeft w:val="640"/>
      <w:marRight w:val="0"/>
      <w:marTop w:val="0"/>
      <w:marBottom w:val="0"/>
      <w:divBdr>
        <w:top w:val="none" w:sz="0" w:space="0" w:color="auto"/>
        <w:left w:val="none" w:sz="0" w:space="0" w:color="auto"/>
        <w:bottom w:val="none" w:sz="0" w:space="0" w:color="auto"/>
        <w:right w:val="none" w:sz="0" w:space="0" w:color="auto"/>
      </w:divBdr>
    </w:div>
    <w:div w:id="17006553">
      <w:marLeft w:val="640"/>
      <w:marRight w:val="0"/>
      <w:marTop w:val="0"/>
      <w:marBottom w:val="0"/>
      <w:divBdr>
        <w:top w:val="none" w:sz="0" w:space="0" w:color="auto"/>
        <w:left w:val="none" w:sz="0" w:space="0" w:color="auto"/>
        <w:bottom w:val="none" w:sz="0" w:space="0" w:color="auto"/>
        <w:right w:val="none" w:sz="0" w:space="0" w:color="auto"/>
      </w:divBdr>
    </w:div>
    <w:div w:id="17506925">
      <w:marLeft w:val="640"/>
      <w:marRight w:val="0"/>
      <w:marTop w:val="0"/>
      <w:marBottom w:val="0"/>
      <w:divBdr>
        <w:top w:val="none" w:sz="0" w:space="0" w:color="auto"/>
        <w:left w:val="none" w:sz="0" w:space="0" w:color="auto"/>
        <w:bottom w:val="none" w:sz="0" w:space="0" w:color="auto"/>
        <w:right w:val="none" w:sz="0" w:space="0" w:color="auto"/>
      </w:divBdr>
    </w:div>
    <w:div w:id="17703318">
      <w:marLeft w:val="640"/>
      <w:marRight w:val="0"/>
      <w:marTop w:val="0"/>
      <w:marBottom w:val="0"/>
      <w:divBdr>
        <w:top w:val="none" w:sz="0" w:space="0" w:color="auto"/>
        <w:left w:val="none" w:sz="0" w:space="0" w:color="auto"/>
        <w:bottom w:val="none" w:sz="0" w:space="0" w:color="auto"/>
        <w:right w:val="none" w:sz="0" w:space="0" w:color="auto"/>
      </w:divBdr>
    </w:div>
    <w:div w:id="17895680">
      <w:marLeft w:val="640"/>
      <w:marRight w:val="0"/>
      <w:marTop w:val="0"/>
      <w:marBottom w:val="0"/>
      <w:divBdr>
        <w:top w:val="none" w:sz="0" w:space="0" w:color="auto"/>
        <w:left w:val="none" w:sz="0" w:space="0" w:color="auto"/>
        <w:bottom w:val="none" w:sz="0" w:space="0" w:color="auto"/>
        <w:right w:val="none" w:sz="0" w:space="0" w:color="auto"/>
      </w:divBdr>
    </w:div>
    <w:div w:id="18315724">
      <w:marLeft w:val="640"/>
      <w:marRight w:val="0"/>
      <w:marTop w:val="0"/>
      <w:marBottom w:val="0"/>
      <w:divBdr>
        <w:top w:val="none" w:sz="0" w:space="0" w:color="auto"/>
        <w:left w:val="none" w:sz="0" w:space="0" w:color="auto"/>
        <w:bottom w:val="none" w:sz="0" w:space="0" w:color="auto"/>
        <w:right w:val="none" w:sz="0" w:space="0" w:color="auto"/>
      </w:divBdr>
    </w:div>
    <w:div w:id="19280897">
      <w:marLeft w:val="640"/>
      <w:marRight w:val="0"/>
      <w:marTop w:val="0"/>
      <w:marBottom w:val="0"/>
      <w:divBdr>
        <w:top w:val="none" w:sz="0" w:space="0" w:color="auto"/>
        <w:left w:val="none" w:sz="0" w:space="0" w:color="auto"/>
        <w:bottom w:val="none" w:sz="0" w:space="0" w:color="auto"/>
        <w:right w:val="none" w:sz="0" w:space="0" w:color="auto"/>
      </w:divBdr>
    </w:div>
    <w:div w:id="19285535">
      <w:marLeft w:val="640"/>
      <w:marRight w:val="0"/>
      <w:marTop w:val="0"/>
      <w:marBottom w:val="0"/>
      <w:divBdr>
        <w:top w:val="none" w:sz="0" w:space="0" w:color="auto"/>
        <w:left w:val="none" w:sz="0" w:space="0" w:color="auto"/>
        <w:bottom w:val="none" w:sz="0" w:space="0" w:color="auto"/>
        <w:right w:val="none" w:sz="0" w:space="0" w:color="auto"/>
      </w:divBdr>
    </w:div>
    <w:div w:id="19749814">
      <w:marLeft w:val="640"/>
      <w:marRight w:val="0"/>
      <w:marTop w:val="0"/>
      <w:marBottom w:val="0"/>
      <w:divBdr>
        <w:top w:val="none" w:sz="0" w:space="0" w:color="auto"/>
        <w:left w:val="none" w:sz="0" w:space="0" w:color="auto"/>
        <w:bottom w:val="none" w:sz="0" w:space="0" w:color="auto"/>
        <w:right w:val="none" w:sz="0" w:space="0" w:color="auto"/>
      </w:divBdr>
    </w:div>
    <w:div w:id="19824571">
      <w:marLeft w:val="640"/>
      <w:marRight w:val="0"/>
      <w:marTop w:val="0"/>
      <w:marBottom w:val="0"/>
      <w:divBdr>
        <w:top w:val="none" w:sz="0" w:space="0" w:color="auto"/>
        <w:left w:val="none" w:sz="0" w:space="0" w:color="auto"/>
        <w:bottom w:val="none" w:sz="0" w:space="0" w:color="auto"/>
        <w:right w:val="none" w:sz="0" w:space="0" w:color="auto"/>
      </w:divBdr>
    </w:div>
    <w:div w:id="20470993">
      <w:marLeft w:val="640"/>
      <w:marRight w:val="0"/>
      <w:marTop w:val="0"/>
      <w:marBottom w:val="0"/>
      <w:divBdr>
        <w:top w:val="none" w:sz="0" w:space="0" w:color="auto"/>
        <w:left w:val="none" w:sz="0" w:space="0" w:color="auto"/>
        <w:bottom w:val="none" w:sz="0" w:space="0" w:color="auto"/>
        <w:right w:val="none" w:sz="0" w:space="0" w:color="auto"/>
      </w:divBdr>
    </w:div>
    <w:div w:id="21364778">
      <w:marLeft w:val="640"/>
      <w:marRight w:val="0"/>
      <w:marTop w:val="0"/>
      <w:marBottom w:val="0"/>
      <w:divBdr>
        <w:top w:val="none" w:sz="0" w:space="0" w:color="auto"/>
        <w:left w:val="none" w:sz="0" w:space="0" w:color="auto"/>
        <w:bottom w:val="none" w:sz="0" w:space="0" w:color="auto"/>
        <w:right w:val="none" w:sz="0" w:space="0" w:color="auto"/>
      </w:divBdr>
    </w:div>
    <w:div w:id="21514865">
      <w:marLeft w:val="640"/>
      <w:marRight w:val="0"/>
      <w:marTop w:val="0"/>
      <w:marBottom w:val="0"/>
      <w:divBdr>
        <w:top w:val="none" w:sz="0" w:space="0" w:color="auto"/>
        <w:left w:val="none" w:sz="0" w:space="0" w:color="auto"/>
        <w:bottom w:val="none" w:sz="0" w:space="0" w:color="auto"/>
        <w:right w:val="none" w:sz="0" w:space="0" w:color="auto"/>
      </w:divBdr>
    </w:div>
    <w:div w:id="22441438">
      <w:marLeft w:val="640"/>
      <w:marRight w:val="0"/>
      <w:marTop w:val="0"/>
      <w:marBottom w:val="0"/>
      <w:divBdr>
        <w:top w:val="none" w:sz="0" w:space="0" w:color="auto"/>
        <w:left w:val="none" w:sz="0" w:space="0" w:color="auto"/>
        <w:bottom w:val="none" w:sz="0" w:space="0" w:color="auto"/>
        <w:right w:val="none" w:sz="0" w:space="0" w:color="auto"/>
      </w:divBdr>
    </w:div>
    <w:div w:id="22900155">
      <w:marLeft w:val="640"/>
      <w:marRight w:val="0"/>
      <w:marTop w:val="0"/>
      <w:marBottom w:val="0"/>
      <w:divBdr>
        <w:top w:val="none" w:sz="0" w:space="0" w:color="auto"/>
        <w:left w:val="none" w:sz="0" w:space="0" w:color="auto"/>
        <w:bottom w:val="none" w:sz="0" w:space="0" w:color="auto"/>
        <w:right w:val="none" w:sz="0" w:space="0" w:color="auto"/>
      </w:divBdr>
    </w:div>
    <w:div w:id="23215027">
      <w:marLeft w:val="640"/>
      <w:marRight w:val="0"/>
      <w:marTop w:val="0"/>
      <w:marBottom w:val="0"/>
      <w:divBdr>
        <w:top w:val="none" w:sz="0" w:space="0" w:color="auto"/>
        <w:left w:val="none" w:sz="0" w:space="0" w:color="auto"/>
        <w:bottom w:val="none" w:sz="0" w:space="0" w:color="auto"/>
        <w:right w:val="none" w:sz="0" w:space="0" w:color="auto"/>
      </w:divBdr>
    </w:div>
    <w:div w:id="23602681">
      <w:marLeft w:val="640"/>
      <w:marRight w:val="0"/>
      <w:marTop w:val="0"/>
      <w:marBottom w:val="0"/>
      <w:divBdr>
        <w:top w:val="none" w:sz="0" w:space="0" w:color="auto"/>
        <w:left w:val="none" w:sz="0" w:space="0" w:color="auto"/>
        <w:bottom w:val="none" w:sz="0" w:space="0" w:color="auto"/>
        <w:right w:val="none" w:sz="0" w:space="0" w:color="auto"/>
      </w:divBdr>
    </w:div>
    <w:div w:id="23870622">
      <w:marLeft w:val="640"/>
      <w:marRight w:val="0"/>
      <w:marTop w:val="0"/>
      <w:marBottom w:val="0"/>
      <w:divBdr>
        <w:top w:val="none" w:sz="0" w:space="0" w:color="auto"/>
        <w:left w:val="none" w:sz="0" w:space="0" w:color="auto"/>
        <w:bottom w:val="none" w:sz="0" w:space="0" w:color="auto"/>
        <w:right w:val="none" w:sz="0" w:space="0" w:color="auto"/>
      </w:divBdr>
    </w:div>
    <w:div w:id="25064584">
      <w:marLeft w:val="640"/>
      <w:marRight w:val="0"/>
      <w:marTop w:val="0"/>
      <w:marBottom w:val="0"/>
      <w:divBdr>
        <w:top w:val="none" w:sz="0" w:space="0" w:color="auto"/>
        <w:left w:val="none" w:sz="0" w:space="0" w:color="auto"/>
        <w:bottom w:val="none" w:sz="0" w:space="0" w:color="auto"/>
        <w:right w:val="none" w:sz="0" w:space="0" w:color="auto"/>
      </w:divBdr>
    </w:div>
    <w:div w:id="25375947">
      <w:marLeft w:val="640"/>
      <w:marRight w:val="0"/>
      <w:marTop w:val="0"/>
      <w:marBottom w:val="0"/>
      <w:divBdr>
        <w:top w:val="none" w:sz="0" w:space="0" w:color="auto"/>
        <w:left w:val="none" w:sz="0" w:space="0" w:color="auto"/>
        <w:bottom w:val="none" w:sz="0" w:space="0" w:color="auto"/>
        <w:right w:val="none" w:sz="0" w:space="0" w:color="auto"/>
      </w:divBdr>
    </w:div>
    <w:div w:id="26103806">
      <w:marLeft w:val="640"/>
      <w:marRight w:val="0"/>
      <w:marTop w:val="0"/>
      <w:marBottom w:val="0"/>
      <w:divBdr>
        <w:top w:val="none" w:sz="0" w:space="0" w:color="auto"/>
        <w:left w:val="none" w:sz="0" w:space="0" w:color="auto"/>
        <w:bottom w:val="none" w:sz="0" w:space="0" w:color="auto"/>
        <w:right w:val="none" w:sz="0" w:space="0" w:color="auto"/>
      </w:divBdr>
    </w:div>
    <w:div w:id="26177143">
      <w:marLeft w:val="640"/>
      <w:marRight w:val="0"/>
      <w:marTop w:val="0"/>
      <w:marBottom w:val="0"/>
      <w:divBdr>
        <w:top w:val="none" w:sz="0" w:space="0" w:color="auto"/>
        <w:left w:val="none" w:sz="0" w:space="0" w:color="auto"/>
        <w:bottom w:val="none" w:sz="0" w:space="0" w:color="auto"/>
        <w:right w:val="none" w:sz="0" w:space="0" w:color="auto"/>
      </w:divBdr>
    </w:div>
    <w:div w:id="27263728">
      <w:marLeft w:val="640"/>
      <w:marRight w:val="0"/>
      <w:marTop w:val="0"/>
      <w:marBottom w:val="0"/>
      <w:divBdr>
        <w:top w:val="none" w:sz="0" w:space="0" w:color="auto"/>
        <w:left w:val="none" w:sz="0" w:space="0" w:color="auto"/>
        <w:bottom w:val="none" w:sz="0" w:space="0" w:color="auto"/>
        <w:right w:val="none" w:sz="0" w:space="0" w:color="auto"/>
      </w:divBdr>
    </w:div>
    <w:div w:id="27531558">
      <w:marLeft w:val="640"/>
      <w:marRight w:val="0"/>
      <w:marTop w:val="0"/>
      <w:marBottom w:val="0"/>
      <w:divBdr>
        <w:top w:val="none" w:sz="0" w:space="0" w:color="auto"/>
        <w:left w:val="none" w:sz="0" w:space="0" w:color="auto"/>
        <w:bottom w:val="none" w:sz="0" w:space="0" w:color="auto"/>
        <w:right w:val="none" w:sz="0" w:space="0" w:color="auto"/>
      </w:divBdr>
    </w:div>
    <w:div w:id="27606093">
      <w:marLeft w:val="640"/>
      <w:marRight w:val="0"/>
      <w:marTop w:val="0"/>
      <w:marBottom w:val="0"/>
      <w:divBdr>
        <w:top w:val="none" w:sz="0" w:space="0" w:color="auto"/>
        <w:left w:val="none" w:sz="0" w:space="0" w:color="auto"/>
        <w:bottom w:val="none" w:sz="0" w:space="0" w:color="auto"/>
        <w:right w:val="none" w:sz="0" w:space="0" w:color="auto"/>
      </w:divBdr>
    </w:div>
    <w:div w:id="28923078">
      <w:marLeft w:val="640"/>
      <w:marRight w:val="0"/>
      <w:marTop w:val="0"/>
      <w:marBottom w:val="0"/>
      <w:divBdr>
        <w:top w:val="none" w:sz="0" w:space="0" w:color="auto"/>
        <w:left w:val="none" w:sz="0" w:space="0" w:color="auto"/>
        <w:bottom w:val="none" w:sz="0" w:space="0" w:color="auto"/>
        <w:right w:val="none" w:sz="0" w:space="0" w:color="auto"/>
      </w:divBdr>
    </w:div>
    <w:div w:id="29494189">
      <w:marLeft w:val="640"/>
      <w:marRight w:val="0"/>
      <w:marTop w:val="0"/>
      <w:marBottom w:val="0"/>
      <w:divBdr>
        <w:top w:val="none" w:sz="0" w:space="0" w:color="auto"/>
        <w:left w:val="none" w:sz="0" w:space="0" w:color="auto"/>
        <w:bottom w:val="none" w:sz="0" w:space="0" w:color="auto"/>
        <w:right w:val="none" w:sz="0" w:space="0" w:color="auto"/>
      </w:divBdr>
    </w:div>
    <w:div w:id="29570597">
      <w:marLeft w:val="640"/>
      <w:marRight w:val="0"/>
      <w:marTop w:val="0"/>
      <w:marBottom w:val="0"/>
      <w:divBdr>
        <w:top w:val="none" w:sz="0" w:space="0" w:color="auto"/>
        <w:left w:val="none" w:sz="0" w:space="0" w:color="auto"/>
        <w:bottom w:val="none" w:sz="0" w:space="0" w:color="auto"/>
        <w:right w:val="none" w:sz="0" w:space="0" w:color="auto"/>
      </w:divBdr>
    </w:div>
    <w:div w:id="29647959">
      <w:marLeft w:val="640"/>
      <w:marRight w:val="0"/>
      <w:marTop w:val="0"/>
      <w:marBottom w:val="0"/>
      <w:divBdr>
        <w:top w:val="none" w:sz="0" w:space="0" w:color="auto"/>
        <w:left w:val="none" w:sz="0" w:space="0" w:color="auto"/>
        <w:bottom w:val="none" w:sz="0" w:space="0" w:color="auto"/>
        <w:right w:val="none" w:sz="0" w:space="0" w:color="auto"/>
      </w:divBdr>
    </w:div>
    <w:div w:id="30418682">
      <w:marLeft w:val="640"/>
      <w:marRight w:val="0"/>
      <w:marTop w:val="0"/>
      <w:marBottom w:val="0"/>
      <w:divBdr>
        <w:top w:val="none" w:sz="0" w:space="0" w:color="auto"/>
        <w:left w:val="none" w:sz="0" w:space="0" w:color="auto"/>
        <w:bottom w:val="none" w:sz="0" w:space="0" w:color="auto"/>
        <w:right w:val="none" w:sz="0" w:space="0" w:color="auto"/>
      </w:divBdr>
    </w:div>
    <w:div w:id="30572198">
      <w:marLeft w:val="640"/>
      <w:marRight w:val="0"/>
      <w:marTop w:val="0"/>
      <w:marBottom w:val="0"/>
      <w:divBdr>
        <w:top w:val="none" w:sz="0" w:space="0" w:color="auto"/>
        <w:left w:val="none" w:sz="0" w:space="0" w:color="auto"/>
        <w:bottom w:val="none" w:sz="0" w:space="0" w:color="auto"/>
        <w:right w:val="none" w:sz="0" w:space="0" w:color="auto"/>
      </w:divBdr>
    </w:div>
    <w:div w:id="30958401">
      <w:marLeft w:val="640"/>
      <w:marRight w:val="0"/>
      <w:marTop w:val="0"/>
      <w:marBottom w:val="0"/>
      <w:divBdr>
        <w:top w:val="none" w:sz="0" w:space="0" w:color="auto"/>
        <w:left w:val="none" w:sz="0" w:space="0" w:color="auto"/>
        <w:bottom w:val="none" w:sz="0" w:space="0" w:color="auto"/>
        <w:right w:val="none" w:sz="0" w:space="0" w:color="auto"/>
      </w:divBdr>
    </w:div>
    <w:div w:id="31078431">
      <w:marLeft w:val="640"/>
      <w:marRight w:val="0"/>
      <w:marTop w:val="0"/>
      <w:marBottom w:val="0"/>
      <w:divBdr>
        <w:top w:val="none" w:sz="0" w:space="0" w:color="auto"/>
        <w:left w:val="none" w:sz="0" w:space="0" w:color="auto"/>
        <w:bottom w:val="none" w:sz="0" w:space="0" w:color="auto"/>
        <w:right w:val="none" w:sz="0" w:space="0" w:color="auto"/>
      </w:divBdr>
    </w:div>
    <w:div w:id="32274370">
      <w:marLeft w:val="640"/>
      <w:marRight w:val="0"/>
      <w:marTop w:val="0"/>
      <w:marBottom w:val="0"/>
      <w:divBdr>
        <w:top w:val="none" w:sz="0" w:space="0" w:color="auto"/>
        <w:left w:val="none" w:sz="0" w:space="0" w:color="auto"/>
        <w:bottom w:val="none" w:sz="0" w:space="0" w:color="auto"/>
        <w:right w:val="none" w:sz="0" w:space="0" w:color="auto"/>
      </w:divBdr>
    </w:div>
    <w:div w:id="33385227">
      <w:marLeft w:val="640"/>
      <w:marRight w:val="0"/>
      <w:marTop w:val="0"/>
      <w:marBottom w:val="0"/>
      <w:divBdr>
        <w:top w:val="none" w:sz="0" w:space="0" w:color="auto"/>
        <w:left w:val="none" w:sz="0" w:space="0" w:color="auto"/>
        <w:bottom w:val="none" w:sz="0" w:space="0" w:color="auto"/>
        <w:right w:val="none" w:sz="0" w:space="0" w:color="auto"/>
      </w:divBdr>
    </w:div>
    <w:div w:id="33502119">
      <w:marLeft w:val="640"/>
      <w:marRight w:val="0"/>
      <w:marTop w:val="0"/>
      <w:marBottom w:val="0"/>
      <w:divBdr>
        <w:top w:val="none" w:sz="0" w:space="0" w:color="auto"/>
        <w:left w:val="none" w:sz="0" w:space="0" w:color="auto"/>
        <w:bottom w:val="none" w:sz="0" w:space="0" w:color="auto"/>
        <w:right w:val="none" w:sz="0" w:space="0" w:color="auto"/>
      </w:divBdr>
    </w:div>
    <w:div w:id="34162927">
      <w:marLeft w:val="640"/>
      <w:marRight w:val="0"/>
      <w:marTop w:val="0"/>
      <w:marBottom w:val="0"/>
      <w:divBdr>
        <w:top w:val="none" w:sz="0" w:space="0" w:color="auto"/>
        <w:left w:val="none" w:sz="0" w:space="0" w:color="auto"/>
        <w:bottom w:val="none" w:sz="0" w:space="0" w:color="auto"/>
        <w:right w:val="none" w:sz="0" w:space="0" w:color="auto"/>
      </w:divBdr>
    </w:div>
    <w:div w:id="34236362">
      <w:marLeft w:val="640"/>
      <w:marRight w:val="0"/>
      <w:marTop w:val="0"/>
      <w:marBottom w:val="0"/>
      <w:divBdr>
        <w:top w:val="none" w:sz="0" w:space="0" w:color="auto"/>
        <w:left w:val="none" w:sz="0" w:space="0" w:color="auto"/>
        <w:bottom w:val="none" w:sz="0" w:space="0" w:color="auto"/>
        <w:right w:val="none" w:sz="0" w:space="0" w:color="auto"/>
      </w:divBdr>
    </w:div>
    <w:div w:id="34351034">
      <w:marLeft w:val="640"/>
      <w:marRight w:val="0"/>
      <w:marTop w:val="0"/>
      <w:marBottom w:val="0"/>
      <w:divBdr>
        <w:top w:val="none" w:sz="0" w:space="0" w:color="auto"/>
        <w:left w:val="none" w:sz="0" w:space="0" w:color="auto"/>
        <w:bottom w:val="none" w:sz="0" w:space="0" w:color="auto"/>
        <w:right w:val="none" w:sz="0" w:space="0" w:color="auto"/>
      </w:divBdr>
    </w:div>
    <w:div w:id="34698620">
      <w:marLeft w:val="640"/>
      <w:marRight w:val="0"/>
      <w:marTop w:val="0"/>
      <w:marBottom w:val="0"/>
      <w:divBdr>
        <w:top w:val="none" w:sz="0" w:space="0" w:color="auto"/>
        <w:left w:val="none" w:sz="0" w:space="0" w:color="auto"/>
        <w:bottom w:val="none" w:sz="0" w:space="0" w:color="auto"/>
        <w:right w:val="none" w:sz="0" w:space="0" w:color="auto"/>
      </w:divBdr>
    </w:div>
    <w:div w:id="34815980">
      <w:marLeft w:val="640"/>
      <w:marRight w:val="0"/>
      <w:marTop w:val="0"/>
      <w:marBottom w:val="0"/>
      <w:divBdr>
        <w:top w:val="none" w:sz="0" w:space="0" w:color="auto"/>
        <w:left w:val="none" w:sz="0" w:space="0" w:color="auto"/>
        <w:bottom w:val="none" w:sz="0" w:space="0" w:color="auto"/>
        <w:right w:val="none" w:sz="0" w:space="0" w:color="auto"/>
      </w:divBdr>
    </w:div>
    <w:div w:id="35084412">
      <w:marLeft w:val="640"/>
      <w:marRight w:val="0"/>
      <w:marTop w:val="0"/>
      <w:marBottom w:val="0"/>
      <w:divBdr>
        <w:top w:val="none" w:sz="0" w:space="0" w:color="auto"/>
        <w:left w:val="none" w:sz="0" w:space="0" w:color="auto"/>
        <w:bottom w:val="none" w:sz="0" w:space="0" w:color="auto"/>
        <w:right w:val="none" w:sz="0" w:space="0" w:color="auto"/>
      </w:divBdr>
    </w:div>
    <w:div w:id="35084675">
      <w:marLeft w:val="640"/>
      <w:marRight w:val="0"/>
      <w:marTop w:val="0"/>
      <w:marBottom w:val="0"/>
      <w:divBdr>
        <w:top w:val="none" w:sz="0" w:space="0" w:color="auto"/>
        <w:left w:val="none" w:sz="0" w:space="0" w:color="auto"/>
        <w:bottom w:val="none" w:sz="0" w:space="0" w:color="auto"/>
        <w:right w:val="none" w:sz="0" w:space="0" w:color="auto"/>
      </w:divBdr>
    </w:div>
    <w:div w:id="35159815">
      <w:marLeft w:val="640"/>
      <w:marRight w:val="0"/>
      <w:marTop w:val="0"/>
      <w:marBottom w:val="0"/>
      <w:divBdr>
        <w:top w:val="none" w:sz="0" w:space="0" w:color="auto"/>
        <w:left w:val="none" w:sz="0" w:space="0" w:color="auto"/>
        <w:bottom w:val="none" w:sz="0" w:space="0" w:color="auto"/>
        <w:right w:val="none" w:sz="0" w:space="0" w:color="auto"/>
      </w:divBdr>
    </w:div>
    <w:div w:id="36593293">
      <w:marLeft w:val="640"/>
      <w:marRight w:val="0"/>
      <w:marTop w:val="0"/>
      <w:marBottom w:val="0"/>
      <w:divBdr>
        <w:top w:val="none" w:sz="0" w:space="0" w:color="auto"/>
        <w:left w:val="none" w:sz="0" w:space="0" w:color="auto"/>
        <w:bottom w:val="none" w:sz="0" w:space="0" w:color="auto"/>
        <w:right w:val="none" w:sz="0" w:space="0" w:color="auto"/>
      </w:divBdr>
    </w:div>
    <w:div w:id="36779949">
      <w:marLeft w:val="640"/>
      <w:marRight w:val="0"/>
      <w:marTop w:val="0"/>
      <w:marBottom w:val="0"/>
      <w:divBdr>
        <w:top w:val="none" w:sz="0" w:space="0" w:color="auto"/>
        <w:left w:val="none" w:sz="0" w:space="0" w:color="auto"/>
        <w:bottom w:val="none" w:sz="0" w:space="0" w:color="auto"/>
        <w:right w:val="none" w:sz="0" w:space="0" w:color="auto"/>
      </w:divBdr>
    </w:div>
    <w:div w:id="37439563">
      <w:marLeft w:val="640"/>
      <w:marRight w:val="0"/>
      <w:marTop w:val="0"/>
      <w:marBottom w:val="0"/>
      <w:divBdr>
        <w:top w:val="none" w:sz="0" w:space="0" w:color="auto"/>
        <w:left w:val="none" w:sz="0" w:space="0" w:color="auto"/>
        <w:bottom w:val="none" w:sz="0" w:space="0" w:color="auto"/>
        <w:right w:val="none" w:sz="0" w:space="0" w:color="auto"/>
      </w:divBdr>
    </w:div>
    <w:div w:id="38014783">
      <w:marLeft w:val="640"/>
      <w:marRight w:val="0"/>
      <w:marTop w:val="0"/>
      <w:marBottom w:val="0"/>
      <w:divBdr>
        <w:top w:val="none" w:sz="0" w:space="0" w:color="auto"/>
        <w:left w:val="none" w:sz="0" w:space="0" w:color="auto"/>
        <w:bottom w:val="none" w:sz="0" w:space="0" w:color="auto"/>
        <w:right w:val="none" w:sz="0" w:space="0" w:color="auto"/>
      </w:divBdr>
    </w:div>
    <w:div w:id="38283487">
      <w:marLeft w:val="640"/>
      <w:marRight w:val="0"/>
      <w:marTop w:val="0"/>
      <w:marBottom w:val="0"/>
      <w:divBdr>
        <w:top w:val="none" w:sz="0" w:space="0" w:color="auto"/>
        <w:left w:val="none" w:sz="0" w:space="0" w:color="auto"/>
        <w:bottom w:val="none" w:sz="0" w:space="0" w:color="auto"/>
        <w:right w:val="none" w:sz="0" w:space="0" w:color="auto"/>
      </w:divBdr>
    </w:div>
    <w:div w:id="40131537">
      <w:marLeft w:val="640"/>
      <w:marRight w:val="0"/>
      <w:marTop w:val="0"/>
      <w:marBottom w:val="0"/>
      <w:divBdr>
        <w:top w:val="none" w:sz="0" w:space="0" w:color="auto"/>
        <w:left w:val="none" w:sz="0" w:space="0" w:color="auto"/>
        <w:bottom w:val="none" w:sz="0" w:space="0" w:color="auto"/>
        <w:right w:val="none" w:sz="0" w:space="0" w:color="auto"/>
      </w:divBdr>
    </w:div>
    <w:div w:id="42141812">
      <w:marLeft w:val="640"/>
      <w:marRight w:val="0"/>
      <w:marTop w:val="0"/>
      <w:marBottom w:val="0"/>
      <w:divBdr>
        <w:top w:val="none" w:sz="0" w:space="0" w:color="auto"/>
        <w:left w:val="none" w:sz="0" w:space="0" w:color="auto"/>
        <w:bottom w:val="none" w:sz="0" w:space="0" w:color="auto"/>
        <w:right w:val="none" w:sz="0" w:space="0" w:color="auto"/>
      </w:divBdr>
    </w:div>
    <w:div w:id="43604497">
      <w:marLeft w:val="640"/>
      <w:marRight w:val="0"/>
      <w:marTop w:val="0"/>
      <w:marBottom w:val="0"/>
      <w:divBdr>
        <w:top w:val="none" w:sz="0" w:space="0" w:color="auto"/>
        <w:left w:val="none" w:sz="0" w:space="0" w:color="auto"/>
        <w:bottom w:val="none" w:sz="0" w:space="0" w:color="auto"/>
        <w:right w:val="none" w:sz="0" w:space="0" w:color="auto"/>
      </w:divBdr>
    </w:div>
    <w:div w:id="43800703">
      <w:marLeft w:val="640"/>
      <w:marRight w:val="0"/>
      <w:marTop w:val="0"/>
      <w:marBottom w:val="0"/>
      <w:divBdr>
        <w:top w:val="none" w:sz="0" w:space="0" w:color="auto"/>
        <w:left w:val="none" w:sz="0" w:space="0" w:color="auto"/>
        <w:bottom w:val="none" w:sz="0" w:space="0" w:color="auto"/>
        <w:right w:val="none" w:sz="0" w:space="0" w:color="auto"/>
      </w:divBdr>
    </w:div>
    <w:div w:id="43870905">
      <w:marLeft w:val="640"/>
      <w:marRight w:val="0"/>
      <w:marTop w:val="0"/>
      <w:marBottom w:val="0"/>
      <w:divBdr>
        <w:top w:val="none" w:sz="0" w:space="0" w:color="auto"/>
        <w:left w:val="none" w:sz="0" w:space="0" w:color="auto"/>
        <w:bottom w:val="none" w:sz="0" w:space="0" w:color="auto"/>
        <w:right w:val="none" w:sz="0" w:space="0" w:color="auto"/>
      </w:divBdr>
    </w:div>
    <w:div w:id="44915434">
      <w:marLeft w:val="640"/>
      <w:marRight w:val="0"/>
      <w:marTop w:val="0"/>
      <w:marBottom w:val="0"/>
      <w:divBdr>
        <w:top w:val="none" w:sz="0" w:space="0" w:color="auto"/>
        <w:left w:val="none" w:sz="0" w:space="0" w:color="auto"/>
        <w:bottom w:val="none" w:sz="0" w:space="0" w:color="auto"/>
        <w:right w:val="none" w:sz="0" w:space="0" w:color="auto"/>
      </w:divBdr>
    </w:div>
    <w:div w:id="45034163">
      <w:marLeft w:val="640"/>
      <w:marRight w:val="0"/>
      <w:marTop w:val="0"/>
      <w:marBottom w:val="0"/>
      <w:divBdr>
        <w:top w:val="none" w:sz="0" w:space="0" w:color="auto"/>
        <w:left w:val="none" w:sz="0" w:space="0" w:color="auto"/>
        <w:bottom w:val="none" w:sz="0" w:space="0" w:color="auto"/>
        <w:right w:val="none" w:sz="0" w:space="0" w:color="auto"/>
      </w:divBdr>
    </w:div>
    <w:div w:id="45224525">
      <w:marLeft w:val="640"/>
      <w:marRight w:val="0"/>
      <w:marTop w:val="0"/>
      <w:marBottom w:val="0"/>
      <w:divBdr>
        <w:top w:val="none" w:sz="0" w:space="0" w:color="auto"/>
        <w:left w:val="none" w:sz="0" w:space="0" w:color="auto"/>
        <w:bottom w:val="none" w:sz="0" w:space="0" w:color="auto"/>
        <w:right w:val="none" w:sz="0" w:space="0" w:color="auto"/>
      </w:divBdr>
    </w:div>
    <w:div w:id="45375442">
      <w:marLeft w:val="640"/>
      <w:marRight w:val="0"/>
      <w:marTop w:val="0"/>
      <w:marBottom w:val="0"/>
      <w:divBdr>
        <w:top w:val="none" w:sz="0" w:space="0" w:color="auto"/>
        <w:left w:val="none" w:sz="0" w:space="0" w:color="auto"/>
        <w:bottom w:val="none" w:sz="0" w:space="0" w:color="auto"/>
        <w:right w:val="none" w:sz="0" w:space="0" w:color="auto"/>
      </w:divBdr>
    </w:div>
    <w:div w:id="46031324">
      <w:marLeft w:val="640"/>
      <w:marRight w:val="0"/>
      <w:marTop w:val="0"/>
      <w:marBottom w:val="0"/>
      <w:divBdr>
        <w:top w:val="none" w:sz="0" w:space="0" w:color="auto"/>
        <w:left w:val="none" w:sz="0" w:space="0" w:color="auto"/>
        <w:bottom w:val="none" w:sz="0" w:space="0" w:color="auto"/>
        <w:right w:val="none" w:sz="0" w:space="0" w:color="auto"/>
      </w:divBdr>
    </w:div>
    <w:div w:id="47151470">
      <w:marLeft w:val="640"/>
      <w:marRight w:val="0"/>
      <w:marTop w:val="0"/>
      <w:marBottom w:val="0"/>
      <w:divBdr>
        <w:top w:val="none" w:sz="0" w:space="0" w:color="auto"/>
        <w:left w:val="none" w:sz="0" w:space="0" w:color="auto"/>
        <w:bottom w:val="none" w:sz="0" w:space="0" w:color="auto"/>
        <w:right w:val="none" w:sz="0" w:space="0" w:color="auto"/>
      </w:divBdr>
    </w:div>
    <w:div w:id="47652886">
      <w:marLeft w:val="640"/>
      <w:marRight w:val="0"/>
      <w:marTop w:val="0"/>
      <w:marBottom w:val="0"/>
      <w:divBdr>
        <w:top w:val="none" w:sz="0" w:space="0" w:color="auto"/>
        <w:left w:val="none" w:sz="0" w:space="0" w:color="auto"/>
        <w:bottom w:val="none" w:sz="0" w:space="0" w:color="auto"/>
        <w:right w:val="none" w:sz="0" w:space="0" w:color="auto"/>
      </w:divBdr>
    </w:div>
    <w:div w:id="47801998">
      <w:marLeft w:val="640"/>
      <w:marRight w:val="0"/>
      <w:marTop w:val="0"/>
      <w:marBottom w:val="0"/>
      <w:divBdr>
        <w:top w:val="none" w:sz="0" w:space="0" w:color="auto"/>
        <w:left w:val="none" w:sz="0" w:space="0" w:color="auto"/>
        <w:bottom w:val="none" w:sz="0" w:space="0" w:color="auto"/>
        <w:right w:val="none" w:sz="0" w:space="0" w:color="auto"/>
      </w:divBdr>
    </w:div>
    <w:div w:id="50083657">
      <w:marLeft w:val="640"/>
      <w:marRight w:val="0"/>
      <w:marTop w:val="0"/>
      <w:marBottom w:val="0"/>
      <w:divBdr>
        <w:top w:val="none" w:sz="0" w:space="0" w:color="auto"/>
        <w:left w:val="none" w:sz="0" w:space="0" w:color="auto"/>
        <w:bottom w:val="none" w:sz="0" w:space="0" w:color="auto"/>
        <w:right w:val="none" w:sz="0" w:space="0" w:color="auto"/>
      </w:divBdr>
    </w:div>
    <w:div w:id="51657783">
      <w:marLeft w:val="640"/>
      <w:marRight w:val="0"/>
      <w:marTop w:val="0"/>
      <w:marBottom w:val="0"/>
      <w:divBdr>
        <w:top w:val="none" w:sz="0" w:space="0" w:color="auto"/>
        <w:left w:val="none" w:sz="0" w:space="0" w:color="auto"/>
        <w:bottom w:val="none" w:sz="0" w:space="0" w:color="auto"/>
        <w:right w:val="none" w:sz="0" w:space="0" w:color="auto"/>
      </w:divBdr>
    </w:div>
    <w:div w:id="52042672">
      <w:marLeft w:val="640"/>
      <w:marRight w:val="0"/>
      <w:marTop w:val="0"/>
      <w:marBottom w:val="0"/>
      <w:divBdr>
        <w:top w:val="none" w:sz="0" w:space="0" w:color="auto"/>
        <w:left w:val="none" w:sz="0" w:space="0" w:color="auto"/>
        <w:bottom w:val="none" w:sz="0" w:space="0" w:color="auto"/>
        <w:right w:val="none" w:sz="0" w:space="0" w:color="auto"/>
      </w:divBdr>
    </w:div>
    <w:div w:id="52312811">
      <w:marLeft w:val="640"/>
      <w:marRight w:val="0"/>
      <w:marTop w:val="0"/>
      <w:marBottom w:val="0"/>
      <w:divBdr>
        <w:top w:val="none" w:sz="0" w:space="0" w:color="auto"/>
        <w:left w:val="none" w:sz="0" w:space="0" w:color="auto"/>
        <w:bottom w:val="none" w:sz="0" w:space="0" w:color="auto"/>
        <w:right w:val="none" w:sz="0" w:space="0" w:color="auto"/>
      </w:divBdr>
    </w:div>
    <w:div w:id="54089658">
      <w:marLeft w:val="640"/>
      <w:marRight w:val="0"/>
      <w:marTop w:val="0"/>
      <w:marBottom w:val="0"/>
      <w:divBdr>
        <w:top w:val="none" w:sz="0" w:space="0" w:color="auto"/>
        <w:left w:val="none" w:sz="0" w:space="0" w:color="auto"/>
        <w:bottom w:val="none" w:sz="0" w:space="0" w:color="auto"/>
        <w:right w:val="none" w:sz="0" w:space="0" w:color="auto"/>
      </w:divBdr>
    </w:div>
    <w:div w:id="54135145">
      <w:marLeft w:val="640"/>
      <w:marRight w:val="0"/>
      <w:marTop w:val="0"/>
      <w:marBottom w:val="0"/>
      <w:divBdr>
        <w:top w:val="none" w:sz="0" w:space="0" w:color="auto"/>
        <w:left w:val="none" w:sz="0" w:space="0" w:color="auto"/>
        <w:bottom w:val="none" w:sz="0" w:space="0" w:color="auto"/>
        <w:right w:val="none" w:sz="0" w:space="0" w:color="auto"/>
      </w:divBdr>
    </w:div>
    <w:div w:id="54740294">
      <w:marLeft w:val="640"/>
      <w:marRight w:val="0"/>
      <w:marTop w:val="0"/>
      <w:marBottom w:val="0"/>
      <w:divBdr>
        <w:top w:val="none" w:sz="0" w:space="0" w:color="auto"/>
        <w:left w:val="none" w:sz="0" w:space="0" w:color="auto"/>
        <w:bottom w:val="none" w:sz="0" w:space="0" w:color="auto"/>
        <w:right w:val="none" w:sz="0" w:space="0" w:color="auto"/>
      </w:divBdr>
    </w:div>
    <w:div w:id="54932377">
      <w:marLeft w:val="640"/>
      <w:marRight w:val="0"/>
      <w:marTop w:val="0"/>
      <w:marBottom w:val="0"/>
      <w:divBdr>
        <w:top w:val="none" w:sz="0" w:space="0" w:color="auto"/>
        <w:left w:val="none" w:sz="0" w:space="0" w:color="auto"/>
        <w:bottom w:val="none" w:sz="0" w:space="0" w:color="auto"/>
        <w:right w:val="none" w:sz="0" w:space="0" w:color="auto"/>
      </w:divBdr>
    </w:div>
    <w:div w:id="55857640">
      <w:marLeft w:val="640"/>
      <w:marRight w:val="0"/>
      <w:marTop w:val="0"/>
      <w:marBottom w:val="0"/>
      <w:divBdr>
        <w:top w:val="none" w:sz="0" w:space="0" w:color="auto"/>
        <w:left w:val="none" w:sz="0" w:space="0" w:color="auto"/>
        <w:bottom w:val="none" w:sz="0" w:space="0" w:color="auto"/>
        <w:right w:val="none" w:sz="0" w:space="0" w:color="auto"/>
      </w:divBdr>
    </w:div>
    <w:div w:id="58016014">
      <w:marLeft w:val="640"/>
      <w:marRight w:val="0"/>
      <w:marTop w:val="0"/>
      <w:marBottom w:val="0"/>
      <w:divBdr>
        <w:top w:val="none" w:sz="0" w:space="0" w:color="auto"/>
        <w:left w:val="none" w:sz="0" w:space="0" w:color="auto"/>
        <w:bottom w:val="none" w:sz="0" w:space="0" w:color="auto"/>
        <w:right w:val="none" w:sz="0" w:space="0" w:color="auto"/>
      </w:divBdr>
    </w:div>
    <w:div w:id="58017727">
      <w:marLeft w:val="640"/>
      <w:marRight w:val="0"/>
      <w:marTop w:val="0"/>
      <w:marBottom w:val="0"/>
      <w:divBdr>
        <w:top w:val="none" w:sz="0" w:space="0" w:color="auto"/>
        <w:left w:val="none" w:sz="0" w:space="0" w:color="auto"/>
        <w:bottom w:val="none" w:sz="0" w:space="0" w:color="auto"/>
        <w:right w:val="none" w:sz="0" w:space="0" w:color="auto"/>
      </w:divBdr>
    </w:div>
    <w:div w:id="58598425">
      <w:marLeft w:val="640"/>
      <w:marRight w:val="0"/>
      <w:marTop w:val="0"/>
      <w:marBottom w:val="0"/>
      <w:divBdr>
        <w:top w:val="none" w:sz="0" w:space="0" w:color="auto"/>
        <w:left w:val="none" w:sz="0" w:space="0" w:color="auto"/>
        <w:bottom w:val="none" w:sz="0" w:space="0" w:color="auto"/>
        <w:right w:val="none" w:sz="0" w:space="0" w:color="auto"/>
      </w:divBdr>
    </w:div>
    <w:div w:id="60253752">
      <w:marLeft w:val="640"/>
      <w:marRight w:val="0"/>
      <w:marTop w:val="0"/>
      <w:marBottom w:val="0"/>
      <w:divBdr>
        <w:top w:val="none" w:sz="0" w:space="0" w:color="auto"/>
        <w:left w:val="none" w:sz="0" w:space="0" w:color="auto"/>
        <w:bottom w:val="none" w:sz="0" w:space="0" w:color="auto"/>
        <w:right w:val="none" w:sz="0" w:space="0" w:color="auto"/>
      </w:divBdr>
    </w:div>
    <w:div w:id="60368377">
      <w:marLeft w:val="640"/>
      <w:marRight w:val="0"/>
      <w:marTop w:val="0"/>
      <w:marBottom w:val="0"/>
      <w:divBdr>
        <w:top w:val="none" w:sz="0" w:space="0" w:color="auto"/>
        <w:left w:val="none" w:sz="0" w:space="0" w:color="auto"/>
        <w:bottom w:val="none" w:sz="0" w:space="0" w:color="auto"/>
        <w:right w:val="none" w:sz="0" w:space="0" w:color="auto"/>
      </w:divBdr>
    </w:div>
    <w:div w:id="60637374">
      <w:marLeft w:val="640"/>
      <w:marRight w:val="0"/>
      <w:marTop w:val="0"/>
      <w:marBottom w:val="0"/>
      <w:divBdr>
        <w:top w:val="none" w:sz="0" w:space="0" w:color="auto"/>
        <w:left w:val="none" w:sz="0" w:space="0" w:color="auto"/>
        <w:bottom w:val="none" w:sz="0" w:space="0" w:color="auto"/>
        <w:right w:val="none" w:sz="0" w:space="0" w:color="auto"/>
      </w:divBdr>
    </w:div>
    <w:div w:id="60829080">
      <w:marLeft w:val="640"/>
      <w:marRight w:val="0"/>
      <w:marTop w:val="0"/>
      <w:marBottom w:val="0"/>
      <w:divBdr>
        <w:top w:val="none" w:sz="0" w:space="0" w:color="auto"/>
        <w:left w:val="none" w:sz="0" w:space="0" w:color="auto"/>
        <w:bottom w:val="none" w:sz="0" w:space="0" w:color="auto"/>
        <w:right w:val="none" w:sz="0" w:space="0" w:color="auto"/>
      </w:divBdr>
    </w:div>
    <w:div w:id="61414808">
      <w:marLeft w:val="640"/>
      <w:marRight w:val="0"/>
      <w:marTop w:val="0"/>
      <w:marBottom w:val="0"/>
      <w:divBdr>
        <w:top w:val="none" w:sz="0" w:space="0" w:color="auto"/>
        <w:left w:val="none" w:sz="0" w:space="0" w:color="auto"/>
        <w:bottom w:val="none" w:sz="0" w:space="0" w:color="auto"/>
        <w:right w:val="none" w:sz="0" w:space="0" w:color="auto"/>
      </w:divBdr>
    </w:div>
    <w:div w:id="61607497">
      <w:marLeft w:val="640"/>
      <w:marRight w:val="0"/>
      <w:marTop w:val="0"/>
      <w:marBottom w:val="0"/>
      <w:divBdr>
        <w:top w:val="none" w:sz="0" w:space="0" w:color="auto"/>
        <w:left w:val="none" w:sz="0" w:space="0" w:color="auto"/>
        <w:bottom w:val="none" w:sz="0" w:space="0" w:color="auto"/>
        <w:right w:val="none" w:sz="0" w:space="0" w:color="auto"/>
      </w:divBdr>
    </w:div>
    <w:div w:id="61682100">
      <w:marLeft w:val="640"/>
      <w:marRight w:val="0"/>
      <w:marTop w:val="0"/>
      <w:marBottom w:val="0"/>
      <w:divBdr>
        <w:top w:val="none" w:sz="0" w:space="0" w:color="auto"/>
        <w:left w:val="none" w:sz="0" w:space="0" w:color="auto"/>
        <w:bottom w:val="none" w:sz="0" w:space="0" w:color="auto"/>
        <w:right w:val="none" w:sz="0" w:space="0" w:color="auto"/>
      </w:divBdr>
    </w:div>
    <w:div w:id="61753617">
      <w:marLeft w:val="640"/>
      <w:marRight w:val="0"/>
      <w:marTop w:val="0"/>
      <w:marBottom w:val="0"/>
      <w:divBdr>
        <w:top w:val="none" w:sz="0" w:space="0" w:color="auto"/>
        <w:left w:val="none" w:sz="0" w:space="0" w:color="auto"/>
        <w:bottom w:val="none" w:sz="0" w:space="0" w:color="auto"/>
        <w:right w:val="none" w:sz="0" w:space="0" w:color="auto"/>
      </w:divBdr>
    </w:div>
    <w:div w:id="62456928">
      <w:marLeft w:val="640"/>
      <w:marRight w:val="0"/>
      <w:marTop w:val="0"/>
      <w:marBottom w:val="0"/>
      <w:divBdr>
        <w:top w:val="none" w:sz="0" w:space="0" w:color="auto"/>
        <w:left w:val="none" w:sz="0" w:space="0" w:color="auto"/>
        <w:bottom w:val="none" w:sz="0" w:space="0" w:color="auto"/>
        <w:right w:val="none" w:sz="0" w:space="0" w:color="auto"/>
      </w:divBdr>
    </w:div>
    <w:div w:id="63188125">
      <w:marLeft w:val="640"/>
      <w:marRight w:val="0"/>
      <w:marTop w:val="0"/>
      <w:marBottom w:val="0"/>
      <w:divBdr>
        <w:top w:val="none" w:sz="0" w:space="0" w:color="auto"/>
        <w:left w:val="none" w:sz="0" w:space="0" w:color="auto"/>
        <w:bottom w:val="none" w:sz="0" w:space="0" w:color="auto"/>
        <w:right w:val="none" w:sz="0" w:space="0" w:color="auto"/>
      </w:divBdr>
    </w:div>
    <w:div w:id="63795847">
      <w:marLeft w:val="640"/>
      <w:marRight w:val="0"/>
      <w:marTop w:val="0"/>
      <w:marBottom w:val="0"/>
      <w:divBdr>
        <w:top w:val="none" w:sz="0" w:space="0" w:color="auto"/>
        <w:left w:val="none" w:sz="0" w:space="0" w:color="auto"/>
        <w:bottom w:val="none" w:sz="0" w:space="0" w:color="auto"/>
        <w:right w:val="none" w:sz="0" w:space="0" w:color="auto"/>
      </w:divBdr>
    </w:div>
    <w:div w:id="65231815">
      <w:marLeft w:val="640"/>
      <w:marRight w:val="0"/>
      <w:marTop w:val="0"/>
      <w:marBottom w:val="0"/>
      <w:divBdr>
        <w:top w:val="none" w:sz="0" w:space="0" w:color="auto"/>
        <w:left w:val="none" w:sz="0" w:space="0" w:color="auto"/>
        <w:bottom w:val="none" w:sz="0" w:space="0" w:color="auto"/>
        <w:right w:val="none" w:sz="0" w:space="0" w:color="auto"/>
      </w:divBdr>
    </w:div>
    <w:div w:id="67190528">
      <w:marLeft w:val="640"/>
      <w:marRight w:val="0"/>
      <w:marTop w:val="0"/>
      <w:marBottom w:val="0"/>
      <w:divBdr>
        <w:top w:val="none" w:sz="0" w:space="0" w:color="auto"/>
        <w:left w:val="none" w:sz="0" w:space="0" w:color="auto"/>
        <w:bottom w:val="none" w:sz="0" w:space="0" w:color="auto"/>
        <w:right w:val="none" w:sz="0" w:space="0" w:color="auto"/>
      </w:divBdr>
    </w:div>
    <w:div w:id="67652157">
      <w:marLeft w:val="640"/>
      <w:marRight w:val="0"/>
      <w:marTop w:val="0"/>
      <w:marBottom w:val="0"/>
      <w:divBdr>
        <w:top w:val="none" w:sz="0" w:space="0" w:color="auto"/>
        <w:left w:val="none" w:sz="0" w:space="0" w:color="auto"/>
        <w:bottom w:val="none" w:sz="0" w:space="0" w:color="auto"/>
        <w:right w:val="none" w:sz="0" w:space="0" w:color="auto"/>
      </w:divBdr>
    </w:div>
    <w:div w:id="68038308">
      <w:marLeft w:val="640"/>
      <w:marRight w:val="0"/>
      <w:marTop w:val="0"/>
      <w:marBottom w:val="0"/>
      <w:divBdr>
        <w:top w:val="none" w:sz="0" w:space="0" w:color="auto"/>
        <w:left w:val="none" w:sz="0" w:space="0" w:color="auto"/>
        <w:bottom w:val="none" w:sz="0" w:space="0" w:color="auto"/>
        <w:right w:val="none" w:sz="0" w:space="0" w:color="auto"/>
      </w:divBdr>
    </w:div>
    <w:div w:id="68814063">
      <w:marLeft w:val="640"/>
      <w:marRight w:val="0"/>
      <w:marTop w:val="0"/>
      <w:marBottom w:val="0"/>
      <w:divBdr>
        <w:top w:val="none" w:sz="0" w:space="0" w:color="auto"/>
        <w:left w:val="none" w:sz="0" w:space="0" w:color="auto"/>
        <w:bottom w:val="none" w:sz="0" w:space="0" w:color="auto"/>
        <w:right w:val="none" w:sz="0" w:space="0" w:color="auto"/>
      </w:divBdr>
    </w:div>
    <w:div w:id="68886959">
      <w:marLeft w:val="640"/>
      <w:marRight w:val="0"/>
      <w:marTop w:val="0"/>
      <w:marBottom w:val="0"/>
      <w:divBdr>
        <w:top w:val="none" w:sz="0" w:space="0" w:color="auto"/>
        <w:left w:val="none" w:sz="0" w:space="0" w:color="auto"/>
        <w:bottom w:val="none" w:sz="0" w:space="0" w:color="auto"/>
        <w:right w:val="none" w:sz="0" w:space="0" w:color="auto"/>
      </w:divBdr>
    </w:div>
    <w:div w:id="70468346">
      <w:marLeft w:val="640"/>
      <w:marRight w:val="0"/>
      <w:marTop w:val="0"/>
      <w:marBottom w:val="0"/>
      <w:divBdr>
        <w:top w:val="none" w:sz="0" w:space="0" w:color="auto"/>
        <w:left w:val="none" w:sz="0" w:space="0" w:color="auto"/>
        <w:bottom w:val="none" w:sz="0" w:space="0" w:color="auto"/>
        <w:right w:val="none" w:sz="0" w:space="0" w:color="auto"/>
      </w:divBdr>
    </w:div>
    <w:div w:id="70586437">
      <w:marLeft w:val="640"/>
      <w:marRight w:val="0"/>
      <w:marTop w:val="0"/>
      <w:marBottom w:val="0"/>
      <w:divBdr>
        <w:top w:val="none" w:sz="0" w:space="0" w:color="auto"/>
        <w:left w:val="none" w:sz="0" w:space="0" w:color="auto"/>
        <w:bottom w:val="none" w:sz="0" w:space="0" w:color="auto"/>
        <w:right w:val="none" w:sz="0" w:space="0" w:color="auto"/>
      </w:divBdr>
    </w:div>
    <w:div w:id="70934304">
      <w:marLeft w:val="640"/>
      <w:marRight w:val="0"/>
      <w:marTop w:val="0"/>
      <w:marBottom w:val="0"/>
      <w:divBdr>
        <w:top w:val="none" w:sz="0" w:space="0" w:color="auto"/>
        <w:left w:val="none" w:sz="0" w:space="0" w:color="auto"/>
        <w:bottom w:val="none" w:sz="0" w:space="0" w:color="auto"/>
        <w:right w:val="none" w:sz="0" w:space="0" w:color="auto"/>
      </w:divBdr>
    </w:div>
    <w:div w:id="70936059">
      <w:marLeft w:val="640"/>
      <w:marRight w:val="0"/>
      <w:marTop w:val="0"/>
      <w:marBottom w:val="0"/>
      <w:divBdr>
        <w:top w:val="none" w:sz="0" w:space="0" w:color="auto"/>
        <w:left w:val="none" w:sz="0" w:space="0" w:color="auto"/>
        <w:bottom w:val="none" w:sz="0" w:space="0" w:color="auto"/>
        <w:right w:val="none" w:sz="0" w:space="0" w:color="auto"/>
      </w:divBdr>
    </w:div>
    <w:div w:id="71703986">
      <w:marLeft w:val="640"/>
      <w:marRight w:val="0"/>
      <w:marTop w:val="0"/>
      <w:marBottom w:val="0"/>
      <w:divBdr>
        <w:top w:val="none" w:sz="0" w:space="0" w:color="auto"/>
        <w:left w:val="none" w:sz="0" w:space="0" w:color="auto"/>
        <w:bottom w:val="none" w:sz="0" w:space="0" w:color="auto"/>
        <w:right w:val="none" w:sz="0" w:space="0" w:color="auto"/>
      </w:divBdr>
    </w:div>
    <w:div w:id="73939946">
      <w:marLeft w:val="640"/>
      <w:marRight w:val="0"/>
      <w:marTop w:val="0"/>
      <w:marBottom w:val="0"/>
      <w:divBdr>
        <w:top w:val="none" w:sz="0" w:space="0" w:color="auto"/>
        <w:left w:val="none" w:sz="0" w:space="0" w:color="auto"/>
        <w:bottom w:val="none" w:sz="0" w:space="0" w:color="auto"/>
        <w:right w:val="none" w:sz="0" w:space="0" w:color="auto"/>
      </w:divBdr>
    </w:div>
    <w:div w:id="74134181">
      <w:marLeft w:val="640"/>
      <w:marRight w:val="0"/>
      <w:marTop w:val="0"/>
      <w:marBottom w:val="0"/>
      <w:divBdr>
        <w:top w:val="none" w:sz="0" w:space="0" w:color="auto"/>
        <w:left w:val="none" w:sz="0" w:space="0" w:color="auto"/>
        <w:bottom w:val="none" w:sz="0" w:space="0" w:color="auto"/>
        <w:right w:val="none" w:sz="0" w:space="0" w:color="auto"/>
      </w:divBdr>
    </w:div>
    <w:div w:id="74985471">
      <w:marLeft w:val="640"/>
      <w:marRight w:val="0"/>
      <w:marTop w:val="0"/>
      <w:marBottom w:val="0"/>
      <w:divBdr>
        <w:top w:val="none" w:sz="0" w:space="0" w:color="auto"/>
        <w:left w:val="none" w:sz="0" w:space="0" w:color="auto"/>
        <w:bottom w:val="none" w:sz="0" w:space="0" w:color="auto"/>
        <w:right w:val="none" w:sz="0" w:space="0" w:color="auto"/>
      </w:divBdr>
    </w:div>
    <w:div w:id="75369506">
      <w:marLeft w:val="640"/>
      <w:marRight w:val="0"/>
      <w:marTop w:val="0"/>
      <w:marBottom w:val="0"/>
      <w:divBdr>
        <w:top w:val="none" w:sz="0" w:space="0" w:color="auto"/>
        <w:left w:val="none" w:sz="0" w:space="0" w:color="auto"/>
        <w:bottom w:val="none" w:sz="0" w:space="0" w:color="auto"/>
        <w:right w:val="none" w:sz="0" w:space="0" w:color="auto"/>
      </w:divBdr>
    </w:div>
    <w:div w:id="75903766">
      <w:marLeft w:val="640"/>
      <w:marRight w:val="0"/>
      <w:marTop w:val="0"/>
      <w:marBottom w:val="0"/>
      <w:divBdr>
        <w:top w:val="none" w:sz="0" w:space="0" w:color="auto"/>
        <w:left w:val="none" w:sz="0" w:space="0" w:color="auto"/>
        <w:bottom w:val="none" w:sz="0" w:space="0" w:color="auto"/>
        <w:right w:val="none" w:sz="0" w:space="0" w:color="auto"/>
      </w:divBdr>
    </w:div>
    <w:div w:id="75977959">
      <w:marLeft w:val="640"/>
      <w:marRight w:val="0"/>
      <w:marTop w:val="0"/>
      <w:marBottom w:val="0"/>
      <w:divBdr>
        <w:top w:val="none" w:sz="0" w:space="0" w:color="auto"/>
        <w:left w:val="none" w:sz="0" w:space="0" w:color="auto"/>
        <w:bottom w:val="none" w:sz="0" w:space="0" w:color="auto"/>
        <w:right w:val="none" w:sz="0" w:space="0" w:color="auto"/>
      </w:divBdr>
    </w:div>
    <w:div w:id="76249660">
      <w:marLeft w:val="640"/>
      <w:marRight w:val="0"/>
      <w:marTop w:val="0"/>
      <w:marBottom w:val="0"/>
      <w:divBdr>
        <w:top w:val="none" w:sz="0" w:space="0" w:color="auto"/>
        <w:left w:val="none" w:sz="0" w:space="0" w:color="auto"/>
        <w:bottom w:val="none" w:sz="0" w:space="0" w:color="auto"/>
        <w:right w:val="none" w:sz="0" w:space="0" w:color="auto"/>
      </w:divBdr>
    </w:div>
    <w:div w:id="76562746">
      <w:marLeft w:val="640"/>
      <w:marRight w:val="0"/>
      <w:marTop w:val="0"/>
      <w:marBottom w:val="0"/>
      <w:divBdr>
        <w:top w:val="none" w:sz="0" w:space="0" w:color="auto"/>
        <w:left w:val="none" w:sz="0" w:space="0" w:color="auto"/>
        <w:bottom w:val="none" w:sz="0" w:space="0" w:color="auto"/>
        <w:right w:val="none" w:sz="0" w:space="0" w:color="auto"/>
      </w:divBdr>
    </w:div>
    <w:div w:id="78066706">
      <w:marLeft w:val="640"/>
      <w:marRight w:val="0"/>
      <w:marTop w:val="0"/>
      <w:marBottom w:val="0"/>
      <w:divBdr>
        <w:top w:val="none" w:sz="0" w:space="0" w:color="auto"/>
        <w:left w:val="none" w:sz="0" w:space="0" w:color="auto"/>
        <w:bottom w:val="none" w:sz="0" w:space="0" w:color="auto"/>
        <w:right w:val="none" w:sz="0" w:space="0" w:color="auto"/>
      </w:divBdr>
    </w:div>
    <w:div w:id="79110482">
      <w:marLeft w:val="640"/>
      <w:marRight w:val="0"/>
      <w:marTop w:val="0"/>
      <w:marBottom w:val="0"/>
      <w:divBdr>
        <w:top w:val="none" w:sz="0" w:space="0" w:color="auto"/>
        <w:left w:val="none" w:sz="0" w:space="0" w:color="auto"/>
        <w:bottom w:val="none" w:sz="0" w:space="0" w:color="auto"/>
        <w:right w:val="none" w:sz="0" w:space="0" w:color="auto"/>
      </w:divBdr>
    </w:div>
    <w:div w:id="80875555">
      <w:marLeft w:val="640"/>
      <w:marRight w:val="0"/>
      <w:marTop w:val="0"/>
      <w:marBottom w:val="0"/>
      <w:divBdr>
        <w:top w:val="none" w:sz="0" w:space="0" w:color="auto"/>
        <w:left w:val="none" w:sz="0" w:space="0" w:color="auto"/>
        <w:bottom w:val="none" w:sz="0" w:space="0" w:color="auto"/>
        <w:right w:val="none" w:sz="0" w:space="0" w:color="auto"/>
      </w:divBdr>
    </w:div>
    <w:div w:id="81033765">
      <w:marLeft w:val="640"/>
      <w:marRight w:val="0"/>
      <w:marTop w:val="0"/>
      <w:marBottom w:val="0"/>
      <w:divBdr>
        <w:top w:val="none" w:sz="0" w:space="0" w:color="auto"/>
        <w:left w:val="none" w:sz="0" w:space="0" w:color="auto"/>
        <w:bottom w:val="none" w:sz="0" w:space="0" w:color="auto"/>
        <w:right w:val="none" w:sz="0" w:space="0" w:color="auto"/>
      </w:divBdr>
    </w:div>
    <w:div w:id="81341708">
      <w:marLeft w:val="640"/>
      <w:marRight w:val="0"/>
      <w:marTop w:val="0"/>
      <w:marBottom w:val="0"/>
      <w:divBdr>
        <w:top w:val="none" w:sz="0" w:space="0" w:color="auto"/>
        <w:left w:val="none" w:sz="0" w:space="0" w:color="auto"/>
        <w:bottom w:val="none" w:sz="0" w:space="0" w:color="auto"/>
        <w:right w:val="none" w:sz="0" w:space="0" w:color="auto"/>
      </w:divBdr>
    </w:div>
    <w:div w:id="81493850">
      <w:marLeft w:val="640"/>
      <w:marRight w:val="0"/>
      <w:marTop w:val="0"/>
      <w:marBottom w:val="0"/>
      <w:divBdr>
        <w:top w:val="none" w:sz="0" w:space="0" w:color="auto"/>
        <w:left w:val="none" w:sz="0" w:space="0" w:color="auto"/>
        <w:bottom w:val="none" w:sz="0" w:space="0" w:color="auto"/>
        <w:right w:val="none" w:sz="0" w:space="0" w:color="auto"/>
      </w:divBdr>
    </w:div>
    <w:div w:id="82073855">
      <w:marLeft w:val="640"/>
      <w:marRight w:val="0"/>
      <w:marTop w:val="0"/>
      <w:marBottom w:val="0"/>
      <w:divBdr>
        <w:top w:val="none" w:sz="0" w:space="0" w:color="auto"/>
        <w:left w:val="none" w:sz="0" w:space="0" w:color="auto"/>
        <w:bottom w:val="none" w:sz="0" w:space="0" w:color="auto"/>
        <w:right w:val="none" w:sz="0" w:space="0" w:color="auto"/>
      </w:divBdr>
    </w:div>
    <w:div w:id="82380724">
      <w:marLeft w:val="640"/>
      <w:marRight w:val="0"/>
      <w:marTop w:val="0"/>
      <w:marBottom w:val="0"/>
      <w:divBdr>
        <w:top w:val="none" w:sz="0" w:space="0" w:color="auto"/>
        <w:left w:val="none" w:sz="0" w:space="0" w:color="auto"/>
        <w:bottom w:val="none" w:sz="0" w:space="0" w:color="auto"/>
        <w:right w:val="none" w:sz="0" w:space="0" w:color="auto"/>
      </w:divBdr>
    </w:div>
    <w:div w:id="82847267">
      <w:marLeft w:val="640"/>
      <w:marRight w:val="0"/>
      <w:marTop w:val="0"/>
      <w:marBottom w:val="0"/>
      <w:divBdr>
        <w:top w:val="none" w:sz="0" w:space="0" w:color="auto"/>
        <w:left w:val="none" w:sz="0" w:space="0" w:color="auto"/>
        <w:bottom w:val="none" w:sz="0" w:space="0" w:color="auto"/>
        <w:right w:val="none" w:sz="0" w:space="0" w:color="auto"/>
      </w:divBdr>
    </w:div>
    <w:div w:id="82997652">
      <w:marLeft w:val="640"/>
      <w:marRight w:val="0"/>
      <w:marTop w:val="0"/>
      <w:marBottom w:val="0"/>
      <w:divBdr>
        <w:top w:val="none" w:sz="0" w:space="0" w:color="auto"/>
        <w:left w:val="none" w:sz="0" w:space="0" w:color="auto"/>
        <w:bottom w:val="none" w:sz="0" w:space="0" w:color="auto"/>
        <w:right w:val="none" w:sz="0" w:space="0" w:color="auto"/>
      </w:divBdr>
    </w:div>
    <w:div w:id="83577257">
      <w:marLeft w:val="640"/>
      <w:marRight w:val="0"/>
      <w:marTop w:val="0"/>
      <w:marBottom w:val="0"/>
      <w:divBdr>
        <w:top w:val="none" w:sz="0" w:space="0" w:color="auto"/>
        <w:left w:val="none" w:sz="0" w:space="0" w:color="auto"/>
        <w:bottom w:val="none" w:sz="0" w:space="0" w:color="auto"/>
        <w:right w:val="none" w:sz="0" w:space="0" w:color="auto"/>
      </w:divBdr>
    </w:div>
    <w:div w:id="83962359">
      <w:marLeft w:val="640"/>
      <w:marRight w:val="0"/>
      <w:marTop w:val="0"/>
      <w:marBottom w:val="0"/>
      <w:divBdr>
        <w:top w:val="none" w:sz="0" w:space="0" w:color="auto"/>
        <w:left w:val="none" w:sz="0" w:space="0" w:color="auto"/>
        <w:bottom w:val="none" w:sz="0" w:space="0" w:color="auto"/>
        <w:right w:val="none" w:sz="0" w:space="0" w:color="auto"/>
      </w:divBdr>
    </w:div>
    <w:div w:id="84038985">
      <w:marLeft w:val="640"/>
      <w:marRight w:val="0"/>
      <w:marTop w:val="0"/>
      <w:marBottom w:val="0"/>
      <w:divBdr>
        <w:top w:val="none" w:sz="0" w:space="0" w:color="auto"/>
        <w:left w:val="none" w:sz="0" w:space="0" w:color="auto"/>
        <w:bottom w:val="none" w:sz="0" w:space="0" w:color="auto"/>
        <w:right w:val="none" w:sz="0" w:space="0" w:color="auto"/>
      </w:divBdr>
    </w:div>
    <w:div w:id="84154293">
      <w:marLeft w:val="640"/>
      <w:marRight w:val="0"/>
      <w:marTop w:val="0"/>
      <w:marBottom w:val="0"/>
      <w:divBdr>
        <w:top w:val="none" w:sz="0" w:space="0" w:color="auto"/>
        <w:left w:val="none" w:sz="0" w:space="0" w:color="auto"/>
        <w:bottom w:val="none" w:sz="0" w:space="0" w:color="auto"/>
        <w:right w:val="none" w:sz="0" w:space="0" w:color="auto"/>
      </w:divBdr>
    </w:div>
    <w:div w:id="84422995">
      <w:marLeft w:val="640"/>
      <w:marRight w:val="0"/>
      <w:marTop w:val="0"/>
      <w:marBottom w:val="0"/>
      <w:divBdr>
        <w:top w:val="none" w:sz="0" w:space="0" w:color="auto"/>
        <w:left w:val="none" w:sz="0" w:space="0" w:color="auto"/>
        <w:bottom w:val="none" w:sz="0" w:space="0" w:color="auto"/>
        <w:right w:val="none" w:sz="0" w:space="0" w:color="auto"/>
      </w:divBdr>
    </w:div>
    <w:div w:id="84694130">
      <w:marLeft w:val="640"/>
      <w:marRight w:val="0"/>
      <w:marTop w:val="0"/>
      <w:marBottom w:val="0"/>
      <w:divBdr>
        <w:top w:val="none" w:sz="0" w:space="0" w:color="auto"/>
        <w:left w:val="none" w:sz="0" w:space="0" w:color="auto"/>
        <w:bottom w:val="none" w:sz="0" w:space="0" w:color="auto"/>
        <w:right w:val="none" w:sz="0" w:space="0" w:color="auto"/>
      </w:divBdr>
    </w:div>
    <w:div w:id="84806124">
      <w:marLeft w:val="640"/>
      <w:marRight w:val="0"/>
      <w:marTop w:val="0"/>
      <w:marBottom w:val="0"/>
      <w:divBdr>
        <w:top w:val="none" w:sz="0" w:space="0" w:color="auto"/>
        <w:left w:val="none" w:sz="0" w:space="0" w:color="auto"/>
        <w:bottom w:val="none" w:sz="0" w:space="0" w:color="auto"/>
        <w:right w:val="none" w:sz="0" w:space="0" w:color="auto"/>
      </w:divBdr>
    </w:div>
    <w:div w:id="84960771">
      <w:marLeft w:val="640"/>
      <w:marRight w:val="0"/>
      <w:marTop w:val="0"/>
      <w:marBottom w:val="0"/>
      <w:divBdr>
        <w:top w:val="none" w:sz="0" w:space="0" w:color="auto"/>
        <w:left w:val="none" w:sz="0" w:space="0" w:color="auto"/>
        <w:bottom w:val="none" w:sz="0" w:space="0" w:color="auto"/>
        <w:right w:val="none" w:sz="0" w:space="0" w:color="auto"/>
      </w:divBdr>
    </w:div>
    <w:div w:id="86388469">
      <w:marLeft w:val="640"/>
      <w:marRight w:val="0"/>
      <w:marTop w:val="0"/>
      <w:marBottom w:val="0"/>
      <w:divBdr>
        <w:top w:val="none" w:sz="0" w:space="0" w:color="auto"/>
        <w:left w:val="none" w:sz="0" w:space="0" w:color="auto"/>
        <w:bottom w:val="none" w:sz="0" w:space="0" w:color="auto"/>
        <w:right w:val="none" w:sz="0" w:space="0" w:color="auto"/>
      </w:divBdr>
    </w:div>
    <w:div w:id="86460780">
      <w:marLeft w:val="640"/>
      <w:marRight w:val="0"/>
      <w:marTop w:val="0"/>
      <w:marBottom w:val="0"/>
      <w:divBdr>
        <w:top w:val="none" w:sz="0" w:space="0" w:color="auto"/>
        <w:left w:val="none" w:sz="0" w:space="0" w:color="auto"/>
        <w:bottom w:val="none" w:sz="0" w:space="0" w:color="auto"/>
        <w:right w:val="none" w:sz="0" w:space="0" w:color="auto"/>
      </w:divBdr>
    </w:div>
    <w:div w:id="86925262">
      <w:marLeft w:val="640"/>
      <w:marRight w:val="0"/>
      <w:marTop w:val="0"/>
      <w:marBottom w:val="0"/>
      <w:divBdr>
        <w:top w:val="none" w:sz="0" w:space="0" w:color="auto"/>
        <w:left w:val="none" w:sz="0" w:space="0" w:color="auto"/>
        <w:bottom w:val="none" w:sz="0" w:space="0" w:color="auto"/>
        <w:right w:val="none" w:sz="0" w:space="0" w:color="auto"/>
      </w:divBdr>
    </w:div>
    <w:div w:id="87165365">
      <w:marLeft w:val="640"/>
      <w:marRight w:val="0"/>
      <w:marTop w:val="0"/>
      <w:marBottom w:val="0"/>
      <w:divBdr>
        <w:top w:val="none" w:sz="0" w:space="0" w:color="auto"/>
        <w:left w:val="none" w:sz="0" w:space="0" w:color="auto"/>
        <w:bottom w:val="none" w:sz="0" w:space="0" w:color="auto"/>
        <w:right w:val="none" w:sz="0" w:space="0" w:color="auto"/>
      </w:divBdr>
    </w:div>
    <w:div w:id="88042443">
      <w:marLeft w:val="640"/>
      <w:marRight w:val="0"/>
      <w:marTop w:val="0"/>
      <w:marBottom w:val="0"/>
      <w:divBdr>
        <w:top w:val="none" w:sz="0" w:space="0" w:color="auto"/>
        <w:left w:val="none" w:sz="0" w:space="0" w:color="auto"/>
        <w:bottom w:val="none" w:sz="0" w:space="0" w:color="auto"/>
        <w:right w:val="none" w:sz="0" w:space="0" w:color="auto"/>
      </w:divBdr>
    </w:div>
    <w:div w:id="89668849">
      <w:marLeft w:val="640"/>
      <w:marRight w:val="0"/>
      <w:marTop w:val="0"/>
      <w:marBottom w:val="0"/>
      <w:divBdr>
        <w:top w:val="none" w:sz="0" w:space="0" w:color="auto"/>
        <w:left w:val="none" w:sz="0" w:space="0" w:color="auto"/>
        <w:bottom w:val="none" w:sz="0" w:space="0" w:color="auto"/>
        <w:right w:val="none" w:sz="0" w:space="0" w:color="auto"/>
      </w:divBdr>
    </w:div>
    <w:div w:id="89816379">
      <w:marLeft w:val="640"/>
      <w:marRight w:val="0"/>
      <w:marTop w:val="0"/>
      <w:marBottom w:val="0"/>
      <w:divBdr>
        <w:top w:val="none" w:sz="0" w:space="0" w:color="auto"/>
        <w:left w:val="none" w:sz="0" w:space="0" w:color="auto"/>
        <w:bottom w:val="none" w:sz="0" w:space="0" w:color="auto"/>
        <w:right w:val="none" w:sz="0" w:space="0" w:color="auto"/>
      </w:divBdr>
    </w:div>
    <w:div w:id="89861480">
      <w:marLeft w:val="640"/>
      <w:marRight w:val="0"/>
      <w:marTop w:val="0"/>
      <w:marBottom w:val="0"/>
      <w:divBdr>
        <w:top w:val="none" w:sz="0" w:space="0" w:color="auto"/>
        <w:left w:val="none" w:sz="0" w:space="0" w:color="auto"/>
        <w:bottom w:val="none" w:sz="0" w:space="0" w:color="auto"/>
        <w:right w:val="none" w:sz="0" w:space="0" w:color="auto"/>
      </w:divBdr>
    </w:div>
    <w:div w:id="90392148">
      <w:marLeft w:val="640"/>
      <w:marRight w:val="0"/>
      <w:marTop w:val="0"/>
      <w:marBottom w:val="0"/>
      <w:divBdr>
        <w:top w:val="none" w:sz="0" w:space="0" w:color="auto"/>
        <w:left w:val="none" w:sz="0" w:space="0" w:color="auto"/>
        <w:bottom w:val="none" w:sz="0" w:space="0" w:color="auto"/>
        <w:right w:val="none" w:sz="0" w:space="0" w:color="auto"/>
      </w:divBdr>
    </w:div>
    <w:div w:id="91626798">
      <w:marLeft w:val="640"/>
      <w:marRight w:val="0"/>
      <w:marTop w:val="0"/>
      <w:marBottom w:val="0"/>
      <w:divBdr>
        <w:top w:val="none" w:sz="0" w:space="0" w:color="auto"/>
        <w:left w:val="none" w:sz="0" w:space="0" w:color="auto"/>
        <w:bottom w:val="none" w:sz="0" w:space="0" w:color="auto"/>
        <w:right w:val="none" w:sz="0" w:space="0" w:color="auto"/>
      </w:divBdr>
    </w:div>
    <w:div w:id="91825507">
      <w:marLeft w:val="640"/>
      <w:marRight w:val="0"/>
      <w:marTop w:val="0"/>
      <w:marBottom w:val="0"/>
      <w:divBdr>
        <w:top w:val="none" w:sz="0" w:space="0" w:color="auto"/>
        <w:left w:val="none" w:sz="0" w:space="0" w:color="auto"/>
        <w:bottom w:val="none" w:sz="0" w:space="0" w:color="auto"/>
        <w:right w:val="none" w:sz="0" w:space="0" w:color="auto"/>
      </w:divBdr>
    </w:div>
    <w:div w:id="93013152">
      <w:marLeft w:val="640"/>
      <w:marRight w:val="0"/>
      <w:marTop w:val="0"/>
      <w:marBottom w:val="0"/>
      <w:divBdr>
        <w:top w:val="none" w:sz="0" w:space="0" w:color="auto"/>
        <w:left w:val="none" w:sz="0" w:space="0" w:color="auto"/>
        <w:bottom w:val="none" w:sz="0" w:space="0" w:color="auto"/>
        <w:right w:val="none" w:sz="0" w:space="0" w:color="auto"/>
      </w:divBdr>
    </w:div>
    <w:div w:id="93092098">
      <w:marLeft w:val="640"/>
      <w:marRight w:val="0"/>
      <w:marTop w:val="0"/>
      <w:marBottom w:val="0"/>
      <w:divBdr>
        <w:top w:val="none" w:sz="0" w:space="0" w:color="auto"/>
        <w:left w:val="none" w:sz="0" w:space="0" w:color="auto"/>
        <w:bottom w:val="none" w:sz="0" w:space="0" w:color="auto"/>
        <w:right w:val="none" w:sz="0" w:space="0" w:color="auto"/>
      </w:divBdr>
    </w:div>
    <w:div w:id="94592769">
      <w:marLeft w:val="640"/>
      <w:marRight w:val="0"/>
      <w:marTop w:val="0"/>
      <w:marBottom w:val="0"/>
      <w:divBdr>
        <w:top w:val="none" w:sz="0" w:space="0" w:color="auto"/>
        <w:left w:val="none" w:sz="0" w:space="0" w:color="auto"/>
        <w:bottom w:val="none" w:sz="0" w:space="0" w:color="auto"/>
        <w:right w:val="none" w:sz="0" w:space="0" w:color="auto"/>
      </w:divBdr>
    </w:div>
    <w:div w:id="95449594">
      <w:marLeft w:val="640"/>
      <w:marRight w:val="0"/>
      <w:marTop w:val="0"/>
      <w:marBottom w:val="0"/>
      <w:divBdr>
        <w:top w:val="none" w:sz="0" w:space="0" w:color="auto"/>
        <w:left w:val="none" w:sz="0" w:space="0" w:color="auto"/>
        <w:bottom w:val="none" w:sz="0" w:space="0" w:color="auto"/>
        <w:right w:val="none" w:sz="0" w:space="0" w:color="auto"/>
      </w:divBdr>
    </w:div>
    <w:div w:id="96025414">
      <w:marLeft w:val="640"/>
      <w:marRight w:val="0"/>
      <w:marTop w:val="0"/>
      <w:marBottom w:val="0"/>
      <w:divBdr>
        <w:top w:val="none" w:sz="0" w:space="0" w:color="auto"/>
        <w:left w:val="none" w:sz="0" w:space="0" w:color="auto"/>
        <w:bottom w:val="none" w:sz="0" w:space="0" w:color="auto"/>
        <w:right w:val="none" w:sz="0" w:space="0" w:color="auto"/>
      </w:divBdr>
    </w:div>
    <w:div w:id="97023955">
      <w:marLeft w:val="640"/>
      <w:marRight w:val="0"/>
      <w:marTop w:val="0"/>
      <w:marBottom w:val="0"/>
      <w:divBdr>
        <w:top w:val="none" w:sz="0" w:space="0" w:color="auto"/>
        <w:left w:val="none" w:sz="0" w:space="0" w:color="auto"/>
        <w:bottom w:val="none" w:sz="0" w:space="0" w:color="auto"/>
        <w:right w:val="none" w:sz="0" w:space="0" w:color="auto"/>
      </w:divBdr>
    </w:div>
    <w:div w:id="97139659">
      <w:marLeft w:val="640"/>
      <w:marRight w:val="0"/>
      <w:marTop w:val="0"/>
      <w:marBottom w:val="0"/>
      <w:divBdr>
        <w:top w:val="none" w:sz="0" w:space="0" w:color="auto"/>
        <w:left w:val="none" w:sz="0" w:space="0" w:color="auto"/>
        <w:bottom w:val="none" w:sz="0" w:space="0" w:color="auto"/>
        <w:right w:val="none" w:sz="0" w:space="0" w:color="auto"/>
      </w:divBdr>
    </w:div>
    <w:div w:id="97793176">
      <w:marLeft w:val="640"/>
      <w:marRight w:val="0"/>
      <w:marTop w:val="0"/>
      <w:marBottom w:val="0"/>
      <w:divBdr>
        <w:top w:val="none" w:sz="0" w:space="0" w:color="auto"/>
        <w:left w:val="none" w:sz="0" w:space="0" w:color="auto"/>
        <w:bottom w:val="none" w:sz="0" w:space="0" w:color="auto"/>
        <w:right w:val="none" w:sz="0" w:space="0" w:color="auto"/>
      </w:divBdr>
    </w:div>
    <w:div w:id="98457263">
      <w:marLeft w:val="640"/>
      <w:marRight w:val="0"/>
      <w:marTop w:val="0"/>
      <w:marBottom w:val="0"/>
      <w:divBdr>
        <w:top w:val="none" w:sz="0" w:space="0" w:color="auto"/>
        <w:left w:val="none" w:sz="0" w:space="0" w:color="auto"/>
        <w:bottom w:val="none" w:sz="0" w:space="0" w:color="auto"/>
        <w:right w:val="none" w:sz="0" w:space="0" w:color="auto"/>
      </w:divBdr>
    </w:div>
    <w:div w:id="98726449">
      <w:marLeft w:val="640"/>
      <w:marRight w:val="0"/>
      <w:marTop w:val="0"/>
      <w:marBottom w:val="0"/>
      <w:divBdr>
        <w:top w:val="none" w:sz="0" w:space="0" w:color="auto"/>
        <w:left w:val="none" w:sz="0" w:space="0" w:color="auto"/>
        <w:bottom w:val="none" w:sz="0" w:space="0" w:color="auto"/>
        <w:right w:val="none" w:sz="0" w:space="0" w:color="auto"/>
      </w:divBdr>
    </w:div>
    <w:div w:id="99766501">
      <w:marLeft w:val="640"/>
      <w:marRight w:val="0"/>
      <w:marTop w:val="0"/>
      <w:marBottom w:val="0"/>
      <w:divBdr>
        <w:top w:val="none" w:sz="0" w:space="0" w:color="auto"/>
        <w:left w:val="none" w:sz="0" w:space="0" w:color="auto"/>
        <w:bottom w:val="none" w:sz="0" w:space="0" w:color="auto"/>
        <w:right w:val="none" w:sz="0" w:space="0" w:color="auto"/>
      </w:divBdr>
    </w:div>
    <w:div w:id="100685197">
      <w:marLeft w:val="640"/>
      <w:marRight w:val="0"/>
      <w:marTop w:val="0"/>
      <w:marBottom w:val="0"/>
      <w:divBdr>
        <w:top w:val="none" w:sz="0" w:space="0" w:color="auto"/>
        <w:left w:val="none" w:sz="0" w:space="0" w:color="auto"/>
        <w:bottom w:val="none" w:sz="0" w:space="0" w:color="auto"/>
        <w:right w:val="none" w:sz="0" w:space="0" w:color="auto"/>
      </w:divBdr>
    </w:div>
    <w:div w:id="101192727">
      <w:marLeft w:val="640"/>
      <w:marRight w:val="0"/>
      <w:marTop w:val="0"/>
      <w:marBottom w:val="0"/>
      <w:divBdr>
        <w:top w:val="none" w:sz="0" w:space="0" w:color="auto"/>
        <w:left w:val="none" w:sz="0" w:space="0" w:color="auto"/>
        <w:bottom w:val="none" w:sz="0" w:space="0" w:color="auto"/>
        <w:right w:val="none" w:sz="0" w:space="0" w:color="auto"/>
      </w:divBdr>
    </w:div>
    <w:div w:id="101583284">
      <w:marLeft w:val="640"/>
      <w:marRight w:val="0"/>
      <w:marTop w:val="0"/>
      <w:marBottom w:val="0"/>
      <w:divBdr>
        <w:top w:val="none" w:sz="0" w:space="0" w:color="auto"/>
        <w:left w:val="none" w:sz="0" w:space="0" w:color="auto"/>
        <w:bottom w:val="none" w:sz="0" w:space="0" w:color="auto"/>
        <w:right w:val="none" w:sz="0" w:space="0" w:color="auto"/>
      </w:divBdr>
    </w:div>
    <w:div w:id="102268808">
      <w:marLeft w:val="640"/>
      <w:marRight w:val="0"/>
      <w:marTop w:val="0"/>
      <w:marBottom w:val="0"/>
      <w:divBdr>
        <w:top w:val="none" w:sz="0" w:space="0" w:color="auto"/>
        <w:left w:val="none" w:sz="0" w:space="0" w:color="auto"/>
        <w:bottom w:val="none" w:sz="0" w:space="0" w:color="auto"/>
        <w:right w:val="none" w:sz="0" w:space="0" w:color="auto"/>
      </w:divBdr>
    </w:div>
    <w:div w:id="102459607">
      <w:marLeft w:val="640"/>
      <w:marRight w:val="0"/>
      <w:marTop w:val="0"/>
      <w:marBottom w:val="0"/>
      <w:divBdr>
        <w:top w:val="none" w:sz="0" w:space="0" w:color="auto"/>
        <w:left w:val="none" w:sz="0" w:space="0" w:color="auto"/>
        <w:bottom w:val="none" w:sz="0" w:space="0" w:color="auto"/>
        <w:right w:val="none" w:sz="0" w:space="0" w:color="auto"/>
      </w:divBdr>
    </w:div>
    <w:div w:id="104010673">
      <w:marLeft w:val="640"/>
      <w:marRight w:val="0"/>
      <w:marTop w:val="0"/>
      <w:marBottom w:val="0"/>
      <w:divBdr>
        <w:top w:val="none" w:sz="0" w:space="0" w:color="auto"/>
        <w:left w:val="none" w:sz="0" w:space="0" w:color="auto"/>
        <w:bottom w:val="none" w:sz="0" w:space="0" w:color="auto"/>
        <w:right w:val="none" w:sz="0" w:space="0" w:color="auto"/>
      </w:divBdr>
    </w:div>
    <w:div w:id="104665343">
      <w:marLeft w:val="640"/>
      <w:marRight w:val="0"/>
      <w:marTop w:val="0"/>
      <w:marBottom w:val="0"/>
      <w:divBdr>
        <w:top w:val="none" w:sz="0" w:space="0" w:color="auto"/>
        <w:left w:val="none" w:sz="0" w:space="0" w:color="auto"/>
        <w:bottom w:val="none" w:sz="0" w:space="0" w:color="auto"/>
        <w:right w:val="none" w:sz="0" w:space="0" w:color="auto"/>
      </w:divBdr>
    </w:div>
    <w:div w:id="108285690">
      <w:marLeft w:val="640"/>
      <w:marRight w:val="0"/>
      <w:marTop w:val="0"/>
      <w:marBottom w:val="0"/>
      <w:divBdr>
        <w:top w:val="none" w:sz="0" w:space="0" w:color="auto"/>
        <w:left w:val="none" w:sz="0" w:space="0" w:color="auto"/>
        <w:bottom w:val="none" w:sz="0" w:space="0" w:color="auto"/>
        <w:right w:val="none" w:sz="0" w:space="0" w:color="auto"/>
      </w:divBdr>
    </w:div>
    <w:div w:id="109594208">
      <w:marLeft w:val="640"/>
      <w:marRight w:val="0"/>
      <w:marTop w:val="0"/>
      <w:marBottom w:val="0"/>
      <w:divBdr>
        <w:top w:val="none" w:sz="0" w:space="0" w:color="auto"/>
        <w:left w:val="none" w:sz="0" w:space="0" w:color="auto"/>
        <w:bottom w:val="none" w:sz="0" w:space="0" w:color="auto"/>
        <w:right w:val="none" w:sz="0" w:space="0" w:color="auto"/>
      </w:divBdr>
    </w:div>
    <w:div w:id="109983149">
      <w:marLeft w:val="640"/>
      <w:marRight w:val="0"/>
      <w:marTop w:val="0"/>
      <w:marBottom w:val="0"/>
      <w:divBdr>
        <w:top w:val="none" w:sz="0" w:space="0" w:color="auto"/>
        <w:left w:val="none" w:sz="0" w:space="0" w:color="auto"/>
        <w:bottom w:val="none" w:sz="0" w:space="0" w:color="auto"/>
        <w:right w:val="none" w:sz="0" w:space="0" w:color="auto"/>
      </w:divBdr>
    </w:div>
    <w:div w:id="111171347">
      <w:marLeft w:val="640"/>
      <w:marRight w:val="0"/>
      <w:marTop w:val="0"/>
      <w:marBottom w:val="0"/>
      <w:divBdr>
        <w:top w:val="none" w:sz="0" w:space="0" w:color="auto"/>
        <w:left w:val="none" w:sz="0" w:space="0" w:color="auto"/>
        <w:bottom w:val="none" w:sz="0" w:space="0" w:color="auto"/>
        <w:right w:val="none" w:sz="0" w:space="0" w:color="auto"/>
      </w:divBdr>
    </w:div>
    <w:div w:id="111705257">
      <w:marLeft w:val="640"/>
      <w:marRight w:val="0"/>
      <w:marTop w:val="0"/>
      <w:marBottom w:val="0"/>
      <w:divBdr>
        <w:top w:val="none" w:sz="0" w:space="0" w:color="auto"/>
        <w:left w:val="none" w:sz="0" w:space="0" w:color="auto"/>
        <w:bottom w:val="none" w:sz="0" w:space="0" w:color="auto"/>
        <w:right w:val="none" w:sz="0" w:space="0" w:color="auto"/>
      </w:divBdr>
    </w:div>
    <w:div w:id="112020063">
      <w:marLeft w:val="640"/>
      <w:marRight w:val="0"/>
      <w:marTop w:val="0"/>
      <w:marBottom w:val="0"/>
      <w:divBdr>
        <w:top w:val="none" w:sz="0" w:space="0" w:color="auto"/>
        <w:left w:val="none" w:sz="0" w:space="0" w:color="auto"/>
        <w:bottom w:val="none" w:sz="0" w:space="0" w:color="auto"/>
        <w:right w:val="none" w:sz="0" w:space="0" w:color="auto"/>
      </w:divBdr>
    </w:div>
    <w:div w:id="113602078">
      <w:marLeft w:val="640"/>
      <w:marRight w:val="0"/>
      <w:marTop w:val="0"/>
      <w:marBottom w:val="0"/>
      <w:divBdr>
        <w:top w:val="none" w:sz="0" w:space="0" w:color="auto"/>
        <w:left w:val="none" w:sz="0" w:space="0" w:color="auto"/>
        <w:bottom w:val="none" w:sz="0" w:space="0" w:color="auto"/>
        <w:right w:val="none" w:sz="0" w:space="0" w:color="auto"/>
      </w:divBdr>
    </w:div>
    <w:div w:id="113602403">
      <w:marLeft w:val="640"/>
      <w:marRight w:val="0"/>
      <w:marTop w:val="0"/>
      <w:marBottom w:val="0"/>
      <w:divBdr>
        <w:top w:val="none" w:sz="0" w:space="0" w:color="auto"/>
        <w:left w:val="none" w:sz="0" w:space="0" w:color="auto"/>
        <w:bottom w:val="none" w:sz="0" w:space="0" w:color="auto"/>
        <w:right w:val="none" w:sz="0" w:space="0" w:color="auto"/>
      </w:divBdr>
    </w:div>
    <w:div w:id="114298363">
      <w:marLeft w:val="640"/>
      <w:marRight w:val="0"/>
      <w:marTop w:val="0"/>
      <w:marBottom w:val="0"/>
      <w:divBdr>
        <w:top w:val="none" w:sz="0" w:space="0" w:color="auto"/>
        <w:left w:val="none" w:sz="0" w:space="0" w:color="auto"/>
        <w:bottom w:val="none" w:sz="0" w:space="0" w:color="auto"/>
        <w:right w:val="none" w:sz="0" w:space="0" w:color="auto"/>
      </w:divBdr>
    </w:div>
    <w:div w:id="114374880">
      <w:marLeft w:val="640"/>
      <w:marRight w:val="0"/>
      <w:marTop w:val="0"/>
      <w:marBottom w:val="0"/>
      <w:divBdr>
        <w:top w:val="none" w:sz="0" w:space="0" w:color="auto"/>
        <w:left w:val="none" w:sz="0" w:space="0" w:color="auto"/>
        <w:bottom w:val="none" w:sz="0" w:space="0" w:color="auto"/>
        <w:right w:val="none" w:sz="0" w:space="0" w:color="auto"/>
      </w:divBdr>
    </w:div>
    <w:div w:id="114756349">
      <w:marLeft w:val="640"/>
      <w:marRight w:val="0"/>
      <w:marTop w:val="0"/>
      <w:marBottom w:val="0"/>
      <w:divBdr>
        <w:top w:val="none" w:sz="0" w:space="0" w:color="auto"/>
        <w:left w:val="none" w:sz="0" w:space="0" w:color="auto"/>
        <w:bottom w:val="none" w:sz="0" w:space="0" w:color="auto"/>
        <w:right w:val="none" w:sz="0" w:space="0" w:color="auto"/>
      </w:divBdr>
    </w:div>
    <w:div w:id="115567703">
      <w:marLeft w:val="640"/>
      <w:marRight w:val="0"/>
      <w:marTop w:val="0"/>
      <w:marBottom w:val="0"/>
      <w:divBdr>
        <w:top w:val="none" w:sz="0" w:space="0" w:color="auto"/>
        <w:left w:val="none" w:sz="0" w:space="0" w:color="auto"/>
        <w:bottom w:val="none" w:sz="0" w:space="0" w:color="auto"/>
        <w:right w:val="none" w:sz="0" w:space="0" w:color="auto"/>
      </w:divBdr>
    </w:div>
    <w:div w:id="115874418">
      <w:marLeft w:val="640"/>
      <w:marRight w:val="0"/>
      <w:marTop w:val="0"/>
      <w:marBottom w:val="0"/>
      <w:divBdr>
        <w:top w:val="none" w:sz="0" w:space="0" w:color="auto"/>
        <w:left w:val="none" w:sz="0" w:space="0" w:color="auto"/>
        <w:bottom w:val="none" w:sz="0" w:space="0" w:color="auto"/>
        <w:right w:val="none" w:sz="0" w:space="0" w:color="auto"/>
      </w:divBdr>
    </w:div>
    <w:div w:id="115953734">
      <w:marLeft w:val="640"/>
      <w:marRight w:val="0"/>
      <w:marTop w:val="0"/>
      <w:marBottom w:val="0"/>
      <w:divBdr>
        <w:top w:val="none" w:sz="0" w:space="0" w:color="auto"/>
        <w:left w:val="none" w:sz="0" w:space="0" w:color="auto"/>
        <w:bottom w:val="none" w:sz="0" w:space="0" w:color="auto"/>
        <w:right w:val="none" w:sz="0" w:space="0" w:color="auto"/>
      </w:divBdr>
    </w:div>
    <w:div w:id="116221757">
      <w:marLeft w:val="640"/>
      <w:marRight w:val="0"/>
      <w:marTop w:val="0"/>
      <w:marBottom w:val="0"/>
      <w:divBdr>
        <w:top w:val="none" w:sz="0" w:space="0" w:color="auto"/>
        <w:left w:val="none" w:sz="0" w:space="0" w:color="auto"/>
        <w:bottom w:val="none" w:sz="0" w:space="0" w:color="auto"/>
        <w:right w:val="none" w:sz="0" w:space="0" w:color="auto"/>
      </w:divBdr>
    </w:div>
    <w:div w:id="116410316">
      <w:marLeft w:val="640"/>
      <w:marRight w:val="0"/>
      <w:marTop w:val="0"/>
      <w:marBottom w:val="0"/>
      <w:divBdr>
        <w:top w:val="none" w:sz="0" w:space="0" w:color="auto"/>
        <w:left w:val="none" w:sz="0" w:space="0" w:color="auto"/>
        <w:bottom w:val="none" w:sz="0" w:space="0" w:color="auto"/>
        <w:right w:val="none" w:sz="0" w:space="0" w:color="auto"/>
      </w:divBdr>
    </w:div>
    <w:div w:id="116878169">
      <w:marLeft w:val="640"/>
      <w:marRight w:val="0"/>
      <w:marTop w:val="0"/>
      <w:marBottom w:val="0"/>
      <w:divBdr>
        <w:top w:val="none" w:sz="0" w:space="0" w:color="auto"/>
        <w:left w:val="none" w:sz="0" w:space="0" w:color="auto"/>
        <w:bottom w:val="none" w:sz="0" w:space="0" w:color="auto"/>
        <w:right w:val="none" w:sz="0" w:space="0" w:color="auto"/>
      </w:divBdr>
    </w:div>
    <w:div w:id="117653389">
      <w:marLeft w:val="640"/>
      <w:marRight w:val="0"/>
      <w:marTop w:val="0"/>
      <w:marBottom w:val="0"/>
      <w:divBdr>
        <w:top w:val="none" w:sz="0" w:space="0" w:color="auto"/>
        <w:left w:val="none" w:sz="0" w:space="0" w:color="auto"/>
        <w:bottom w:val="none" w:sz="0" w:space="0" w:color="auto"/>
        <w:right w:val="none" w:sz="0" w:space="0" w:color="auto"/>
      </w:divBdr>
    </w:div>
    <w:div w:id="117845265">
      <w:marLeft w:val="640"/>
      <w:marRight w:val="0"/>
      <w:marTop w:val="0"/>
      <w:marBottom w:val="0"/>
      <w:divBdr>
        <w:top w:val="none" w:sz="0" w:space="0" w:color="auto"/>
        <w:left w:val="none" w:sz="0" w:space="0" w:color="auto"/>
        <w:bottom w:val="none" w:sz="0" w:space="0" w:color="auto"/>
        <w:right w:val="none" w:sz="0" w:space="0" w:color="auto"/>
      </w:divBdr>
    </w:div>
    <w:div w:id="118112996">
      <w:marLeft w:val="640"/>
      <w:marRight w:val="0"/>
      <w:marTop w:val="0"/>
      <w:marBottom w:val="0"/>
      <w:divBdr>
        <w:top w:val="none" w:sz="0" w:space="0" w:color="auto"/>
        <w:left w:val="none" w:sz="0" w:space="0" w:color="auto"/>
        <w:bottom w:val="none" w:sz="0" w:space="0" w:color="auto"/>
        <w:right w:val="none" w:sz="0" w:space="0" w:color="auto"/>
      </w:divBdr>
    </w:div>
    <w:div w:id="119884512">
      <w:marLeft w:val="640"/>
      <w:marRight w:val="0"/>
      <w:marTop w:val="0"/>
      <w:marBottom w:val="0"/>
      <w:divBdr>
        <w:top w:val="none" w:sz="0" w:space="0" w:color="auto"/>
        <w:left w:val="none" w:sz="0" w:space="0" w:color="auto"/>
        <w:bottom w:val="none" w:sz="0" w:space="0" w:color="auto"/>
        <w:right w:val="none" w:sz="0" w:space="0" w:color="auto"/>
      </w:divBdr>
    </w:div>
    <w:div w:id="120459863">
      <w:marLeft w:val="640"/>
      <w:marRight w:val="0"/>
      <w:marTop w:val="0"/>
      <w:marBottom w:val="0"/>
      <w:divBdr>
        <w:top w:val="none" w:sz="0" w:space="0" w:color="auto"/>
        <w:left w:val="none" w:sz="0" w:space="0" w:color="auto"/>
        <w:bottom w:val="none" w:sz="0" w:space="0" w:color="auto"/>
        <w:right w:val="none" w:sz="0" w:space="0" w:color="auto"/>
      </w:divBdr>
    </w:div>
    <w:div w:id="120808272">
      <w:marLeft w:val="640"/>
      <w:marRight w:val="0"/>
      <w:marTop w:val="0"/>
      <w:marBottom w:val="0"/>
      <w:divBdr>
        <w:top w:val="none" w:sz="0" w:space="0" w:color="auto"/>
        <w:left w:val="none" w:sz="0" w:space="0" w:color="auto"/>
        <w:bottom w:val="none" w:sz="0" w:space="0" w:color="auto"/>
        <w:right w:val="none" w:sz="0" w:space="0" w:color="auto"/>
      </w:divBdr>
    </w:div>
    <w:div w:id="121387349">
      <w:marLeft w:val="640"/>
      <w:marRight w:val="0"/>
      <w:marTop w:val="0"/>
      <w:marBottom w:val="0"/>
      <w:divBdr>
        <w:top w:val="none" w:sz="0" w:space="0" w:color="auto"/>
        <w:left w:val="none" w:sz="0" w:space="0" w:color="auto"/>
        <w:bottom w:val="none" w:sz="0" w:space="0" w:color="auto"/>
        <w:right w:val="none" w:sz="0" w:space="0" w:color="auto"/>
      </w:divBdr>
    </w:div>
    <w:div w:id="123499551">
      <w:marLeft w:val="640"/>
      <w:marRight w:val="0"/>
      <w:marTop w:val="0"/>
      <w:marBottom w:val="0"/>
      <w:divBdr>
        <w:top w:val="none" w:sz="0" w:space="0" w:color="auto"/>
        <w:left w:val="none" w:sz="0" w:space="0" w:color="auto"/>
        <w:bottom w:val="none" w:sz="0" w:space="0" w:color="auto"/>
        <w:right w:val="none" w:sz="0" w:space="0" w:color="auto"/>
      </w:divBdr>
    </w:div>
    <w:div w:id="124542209">
      <w:marLeft w:val="640"/>
      <w:marRight w:val="0"/>
      <w:marTop w:val="0"/>
      <w:marBottom w:val="0"/>
      <w:divBdr>
        <w:top w:val="none" w:sz="0" w:space="0" w:color="auto"/>
        <w:left w:val="none" w:sz="0" w:space="0" w:color="auto"/>
        <w:bottom w:val="none" w:sz="0" w:space="0" w:color="auto"/>
        <w:right w:val="none" w:sz="0" w:space="0" w:color="auto"/>
      </w:divBdr>
    </w:div>
    <w:div w:id="126170590">
      <w:marLeft w:val="640"/>
      <w:marRight w:val="0"/>
      <w:marTop w:val="0"/>
      <w:marBottom w:val="0"/>
      <w:divBdr>
        <w:top w:val="none" w:sz="0" w:space="0" w:color="auto"/>
        <w:left w:val="none" w:sz="0" w:space="0" w:color="auto"/>
        <w:bottom w:val="none" w:sz="0" w:space="0" w:color="auto"/>
        <w:right w:val="none" w:sz="0" w:space="0" w:color="auto"/>
      </w:divBdr>
    </w:div>
    <w:div w:id="128129794">
      <w:marLeft w:val="640"/>
      <w:marRight w:val="0"/>
      <w:marTop w:val="0"/>
      <w:marBottom w:val="0"/>
      <w:divBdr>
        <w:top w:val="none" w:sz="0" w:space="0" w:color="auto"/>
        <w:left w:val="none" w:sz="0" w:space="0" w:color="auto"/>
        <w:bottom w:val="none" w:sz="0" w:space="0" w:color="auto"/>
        <w:right w:val="none" w:sz="0" w:space="0" w:color="auto"/>
      </w:divBdr>
    </w:div>
    <w:div w:id="128518926">
      <w:marLeft w:val="640"/>
      <w:marRight w:val="0"/>
      <w:marTop w:val="0"/>
      <w:marBottom w:val="0"/>
      <w:divBdr>
        <w:top w:val="none" w:sz="0" w:space="0" w:color="auto"/>
        <w:left w:val="none" w:sz="0" w:space="0" w:color="auto"/>
        <w:bottom w:val="none" w:sz="0" w:space="0" w:color="auto"/>
        <w:right w:val="none" w:sz="0" w:space="0" w:color="auto"/>
      </w:divBdr>
    </w:div>
    <w:div w:id="129136190">
      <w:marLeft w:val="640"/>
      <w:marRight w:val="0"/>
      <w:marTop w:val="0"/>
      <w:marBottom w:val="0"/>
      <w:divBdr>
        <w:top w:val="none" w:sz="0" w:space="0" w:color="auto"/>
        <w:left w:val="none" w:sz="0" w:space="0" w:color="auto"/>
        <w:bottom w:val="none" w:sz="0" w:space="0" w:color="auto"/>
        <w:right w:val="none" w:sz="0" w:space="0" w:color="auto"/>
      </w:divBdr>
    </w:div>
    <w:div w:id="130173332">
      <w:marLeft w:val="640"/>
      <w:marRight w:val="0"/>
      <w:marTop w:val="0"/>
      <w:marBottom w:val="0"/>
      <w:divBdr>
        <w:top w:val="none" w:sz="0" w:space="0" w:color="auto"/>
        <w:left w:val="none" w:sz="0" w:space="0" w:color="auto"/>
        <w:bottom w:val="none" w:sz="0" w:space="0" w:color="auto"/>
        <w:right w:val="none" w:sz="0" w:space="0" w:color="auto"/>
      </w:divBdr>
    </w:div>
    <w:div w:id="131025134">
      <w:marLeft w:val="640"/>
      <w:marRight w:val="0"/>
      <w:marTop w:val="0"/>
      <w:marBottom w:val="0"/>
      <w:divBdr>
        <w:top w:val="none" w:sz="0" w:space="0" w:color="auto"/>
        <w:left w:val="none" w:sz="0" w:space="0" w:color="auto"/>
        <w:bottom w:val="none" w:sz="0" w:space="0" w:color="auto"/>
        <w:right w:val="none" w:sz="0" w:space="0" w:color="auto"/>
      </w:divBdr>
    </w:div>
    <w:div w:id="131480375">
      <w:marLeft w:val="640"/>
      <w:marRight w:val="0"/>
      <w:marTop w:val="0"/>
      <w:marBottom w:val="0"/>
      <w:divBdr>
        <w:top w:val="none" w:sz="0" w:space="0" w:color="auto"/>
        <w:left w:val="none" w:sz="0" w:space="0" w:color="auto"/>
        <w:bottom w:val="none" w:sz="0" w:space="0" w:color="auto"/>
        <w:right w:val="none" w:sz="0" w:space="0" w:color="auto"/>
      </w:divBdr>
    </w:div>
    <w:div w:id="133564302">
      <w:marLeft w:val="640"/>
      <w:marRight w:val="0"/>
      <w:marTop w:val="0"/>
      <w:marBottom w:val="0"/>
      <w:divBdr>
        <w:top w:val="none" w:sz="0" w:space="0" w:color="auto"/>
        <w:left w:val="none" w:sz="0" w:space="0" w:color="auto"/>
        <w:bottom w:val="none" w:sz="0" w:space="0" w:color="auto"/>
        <w:right w:val="none" w:sz="0" w:space="0" w:color="auto"/>
      </w:divBdr>
    </w:div>
    <w:div w:id="135534135">
      <w:marLeft w:val="640"/>
      <w:marRight w:val="0"/>
      <w:marTop w:val="0"/>
      <w:marBottom w:val="0"/>
      <w:divBdr>
        <w:top w:val="none" w:sz="0" w:space="0" w:color="auto"/>
        <w:left w:val="none" w:sz="0" w:space="0" w:color="auto"/>
        <w:bottom w:val="none" w:sz="0" w:space="0" w:color="auto"/>
        <w:right w:val="none" w:sz="0" w:space="0" w:color="auto"/>
      </w:divBdr>
    </w:div>
    <w:div w:id="135798669">
      <w:marLeft w:val="640"/>
      <w:marRight w:val="0"/>
      <w:marTop w:val="0"/>
      <w:marBottom w:val="0"/>
      <w:divBdr>
        <w:top w:val="none" w:sz="0" w:space="0" w:color="auto"/>
        <w:left w:val="none" w:sz="0" w:space="0" w:color="auto"/>
        <w:bottom w:val="none" w:sz="0" w:space="0" w:color="auto"/>
        <w:right w:val="none" w:sz="0" w:space="0" w:color="auto"/>
      </w:divBdr>
    </w:div>
    <w:div w:id="135805740">
      <w:marLeft w:val="640"/>
      <w:marRight w:val="0"/>
      <w:marTop w:val="0"/>
      <w:marBottom w:val="0"/>
      <w:divBdr>
        <w:top w:val="none" w:sz="0" w:space="0" w:color="auto"/>
        <w:left w:val="none" w:sz="0" w:space="0" w:color="auto"/>
        <w:bottom w:val="none" w:sz="0" w:space="0" w:color="auto"/>
        <w:right w:val="none" w:sz="0" w:space="0" w:color="auto"/>
      </w:divBdr>
    </w:div>
    <w:div w:id="136607271">
      <w:marLeft w:val="640"/>
      <w:marRight w:val="0"/>
      <w:marTop w:val="0"/>
      <w:marBottom w:val="0"/>
      <w:divBdr>
        <w:top w:val="none" w:sz="0" w:space="0" w:color="auto"/>
        <w:left w:val="none" w:sz="0" w:space="0" w:color="auto"/>
        <w:bottom w:val="none" w:sz="0" w:space="0" w:color="auto"/>
        <w:right w:val="none" w:sz="0" w:space="0" w:color="auto"/>
      </w:divBdr>
    </w:div>
    <w:div w:id="137261089">
      <w:marLeft w:val="640"/>
      <w:marRight w:val="0"/>
      <w:marTop w:val="0"/>
      <w:marBottom w:val="0"/>
      <w:divBdr>
        <w:top w:val="none" w:sz="0" w:space="0" w:color="auto"/>
        <w:left w:val="none" w:sz="0" w:space="0" w:color="auto"/>
        <w:bottom w:val="none" w:sz="0" w:space="0" w:color="auto"/>
        <w:right w:val="none" w:sz="0" w:space="0" w:color="auto"/>
      </w:divBdr>
    </w:div>
    <w:div w:id="137496321">
      <w:marLeft w:val="640"/>
      <w:marRight w:val="0"/>
      <w:marTop w:val="0"/>
      <w:marBottom w:val="0"/>
      <w:divBdr>
        <w:top w:val="none" w:sz="0" w:space="0" w:color="auto"/>
        <w:left w:val="none" w:sz="0" w:space="0" w:color="auto"/>
        <w:bottom w:val="none" w:sz="0" w:space="0" w:color="auto"/>
        <w:right w:val="none" w:sz="0" w:space="0" w:color="auto"/>
      </w:divBdr>
    </w:div>
    <w:div w:id="138352124">
      <w:marLeft w:val="640"/>
      <w:marRight w:val="0"/>
      <w:marTop w:val="0"/>
      <w:marBottom w:val="0"/>
      <w:divBdr>
        <w:top w:val="none" w:sz="0" w:space="0" w:color="auto"/>
        <w:left w:val="none" w:sz="0" w:space="0" w:color="auto"/>
        <w:bottom w:val="none" w:sz="0" w:space="0" w:color="auto"/>
        <w:right w:val="none" w:sz="0" w:space="0" w:color="auto"/>
      </w:divBdr>
    </w:div>
    <w:div w:id="138888920">
      <w:marLeft w:val="640"/>
      <w:marRight w:val="0"/>
      <w:marTop w:val="0"/>
      <w:marBottom w:val="0"/>
      <w:divBdr>
        <w:top w:val="none" w:sz="0" w:space="0" w:color="auto"/>
        <w:left w:val="none" w:sz="0" w:space="0" w:color="auto"/>
        <w:bottom w:val="none" w:sz="0" w:space="0" w:color="auto"/>
        <w:right w:val="none" w:sz="0" w:space="0" w:color="auto"/>
      </w:divBdr>
    </w:div>
    <w:div w:id="139462780">
      <w:marLeft w:val="640"/>
      <w:marRight w:val="0"/>
      <w:marTop w:val="0"/>
      <w:marBottom w:val="0"/>
      <w:divBdr>
        <w:top w:val="none" w:sz="0" w:space="0" w:color="auto"/>
        <w:left w:val="none" w:sz="0" w:space="0" w:color="auto"/>
        <w:bottom w:val="none" w:sz="0" w:space="0" w:color="auto"/>
        <w:right w:val="none" w:sz="0" w:space="0" w:color="auto"/>
      </w:divBdr>
    </w:div>
    <w:div w:id="140200149">
      <w:marLeft w:val="640"/>
      <w:marRight w:val="0"/>
      <w:marTop w:val="0"/>
      <w:marBottom w:val="0"/>
      <w:divBdr>
        <w:top w:val="none" w:sz="0" w:space="0" w:color="auto"/>
        <w:left w:val="none" w:sz="0" w:space="0" w:color="auto"/>
        <w:bottom w:val="none" w:sz="0" w:space="0" w:color="auto"/>
        <w:right w:val="none" w:sz="0" w:space="0" w:color="auto"/>
      </w:divBdr>
    </w:div>
    <w:div w:id="140271282">
      <w:marLeft w:val="640"/>
      <w:marRight w:val="0"/>
      <w:marTop w:val="0"/>
      <w:marBottom w:val="0"/>
      <w:divBdr>
        <w:top w:val="none" w:sz="0" w:space="0" w:color="auto"/>
        <w:left w:val="none" w:sz="0" w:space="0" w:color="auto"/>
        <w:bottom w:val="none" w:sz="0" w:space="0" w:color="auto"/>
        <w:right w:val="none" w:sz="0" w:space="0" w:color="auto"/>
      </w:divBdr>
    </w:div>
    <w:div w:id="140313018">
      <w:marLeft w:val="640"/>
      <w:marRight w:val="0"/>
      <w:marTop w:val="0"/>
      <w:marBottom w:val="0"/>
      <w:divBdr>
        <w:top w:val="none" w:sz="0" w:space="0" w:color="auto"/>
        <w:left w:val="none" w:sz="0" w:space="0" w:color="auto"/>
        <w:bottom w:val="none" w:sz="0" w:space="0" w:color="auto"/>
        <w:right w:val="none" w:sz="0" w:space="0" w:color="auto"/>
      </w:divBdr>
    </w:div>
    <w:div w:id="141776117">
      <w:marLeft w:val="640"/>
      <w:marRight w:val="0"/>
      <w:marTop w:val="0"/>
      <w:marBottom w:val="0"/>
      <w:divBdr>
        <w:top w:val="none" w:sz="0" w:space="0" w:color="auto"/>
        <w:left w:val="none" w:sz="0" w:space="0" w:color="auto"/>
        <w:bottom w:val="none" w:sz="0" w:space="0" w:color="auto"/>
        <w:right w:val="none" w:sz="0" w:space="0" w:color="auto"/>
      </w:divBdr>
    </w:div>
    <w:div w:id="142049161">
      <w:marLeft w:val="640"/>
      <w:marRight w:val="0"/>
      <w:marTop w:val="0"/>
      <w:marBottom w:val="0"/>
      <w:divBdr>
        <w:top w:val="none" w:sz="0" w:space="0" w:color="auto"/>
        <w:left w:val="none" w:sz="0" w:space="0" w:color="auto"/>
        <w:bottom w:val="none" w:sz="0" w:space="0" w:color="auto"/>
        <w:right w:val="none" w:sz="0" w:space="0" w:color="auto"/>
      </w:divBdr>
    </w:div>
    <w:div w:id="142089611">
      <w:marLeft w:val="640"/>
      <w:marRight w:val="0"/>
      <w:marTop w:val="0"/>
      <w:marBottom w:val="0"/>
      <w:divBdr>
        <w:top w:val="none" w:sz="0" w:space="0" w:color="auto"/>
        <w:left w:val="none" w:sz="0" w:space="0" w:color="auto"/>
        <w:bottom w:val="none" w:sz="0" w:space="0" w:color="auto"/>
        <w:right w:val="none" w:sz="0" w:space="0" w:color="auto"/>
      </w:divBdr>
    </w:div>
    <w:div w:id="144325685">
      <w:marLeft w:val="640"/>
      <w:marRight w:val="0"/>
      <w:marTop w:val="0"/>
      <w:marBottom w:val="0"/>
      <w:divBdr>
        <w:top w:val="none" w:sz="0" w:space="0" w:color="auto"/>
        <w:left w:val="none" w:sz="0" w:space="0" w:color="auto"/>
        <w:bottom w:val="none" w:sz="0" w:space="0" w:color="auto"/>
        <w:right w:val="none" w:sz="0" w:space="0" w:color="auto"/>
      </w:divBdr>
    </w:div>
    <w:div w:id="144663872">
      <w:marLeft w:val="640"/>
      <w:marRight w:val="0"/>
      <w:marTop w:val="0"/>
      <w:marBottom w:val="0"/>
      <w:divBdr>
        <w:top w:val="none" w:sz="0" w:space="0" w:color="auto"/>
        <w:left w:val="none" w:sz="0" w:space="0" w:color="auto"/>
        <w:bottom w:val="none" w:sz="0" w:space="0" w:color="auto"/>
        <w:right w:val="none" w:sz="0" w:space="0" w:color="auto"/>
      </w:divBdr>
    </w:div>
    <w:div w:id="145167455">
      <w:marLeft w:val="640"/>
      <w:marRight w:val="0"/>
      <w:marTop w:val="0"/>
      <w:marBottom w:val="0"/>
      <w:divBdr>
        <w:top w:val="none" w:sz="0" w:space="0" w:color="auto"/>
        <w:left w:val="none" w:sz="0" w:space="0" w:color="auto"/>
        <w:bottom w:val="none" w:sz="0" w:space="0" w:color="auto"/>
        <w:right w:val="none" w:sz="0" w:space="0" w:color="auto"/>
      </w:divBdr>
    </w:div>
    <w:div w:id="145318340">
      <w:marLeft w:val="640"/>
      <w:marRight w:val="0"/>
      <w:marTop w:val="0"/>
      <w:marBottom w:val="0"/>
      <w:divBdr>
        <w:top w:val="none" w:sz="0" w:space="0" w:color="auto"/>
        <w:left w:val="none" w:sz="0" w:space="0" w:color="auto"/>
        <w:bottom w:val="none" w:sz="0" w:space="0" w:color="auto"/>
        <w:right w:val="none" w:sz="0" w:space="0" w:color="auto"/>
      </w:divBdr>
    </w:div>
    <w:div w:id="146094537">
      <w:marLeft w:val="640"/>
      <w:marRight w:val="0"/>
      <w:marTop w:val="0"/>
      <w:marBottom w:val="0"/>
      <w:divBdr>
        <w:top w:val="none" w:sz="0" w:space="0" w:color="auto"/>
        <w:left w:val="none" w:sz="0" w:space="0" w:color="auto"/>
        <w:bottom w:val="none" w:sz="0" w:space="0" w:color="auto"/>
        <w:right w:val="none" w:sz="0" w:space="0" w:color="auto"/>
      </w:divBdr>
    </w:div>
    <w:div w:id="146171172">
      <w:marLeft w:val="640"/>
      <w:marRight w:val="0"/>
      <w:marTop w:val="0"/>
      <w:marBottom w:val="0"/>
      <w:divBdr>
        <w:top w:val="none" w:sz="0" w:space="0" w:color="auto"/>
        <w:left w:val="none" w:sz="0" w:space="0" w:color="auto"/>
        <w:bottom w:val="none" w:sz="0" w:space="0" w:color="auto"/>
        <w:right w:val="none" w:sz="0" w:space="0" w:color="auto"/>
      </w:divBdr>
    </w:div>
    <w:div w:id="146635736">
      <w:marLeft w:val="640"/>
      <w:marRight w:val="0"/>
      <w:marTop w:val="0"/>
      <w:marBottom w:val="0"/>
      <w:divBdr>
        <w:top w:val="none" w:sz="0" w:space="0" w:color="auto"/>
        <w:left w:val="none" w:sz="0" w:space="0" w:color="auto"/>
        <w:bottom w:val="none" w:sz="0" w:space="0" w:color="auto"/>
        <w:right w:val="none" w:sz="0" w:space="0" w:color="auto"/>
      </w:divBdr>
    </w:div>
    <w:div w:id="146944855">
      <w:marLeft w:val="640"/>
      <w:marRight w:val="0"/>
      <w:marTop w:val="0"/>
      <w:marBottom w:val="0"/>
      <w:divBdr>
        <w:top w:val="none" w:sz="0" w:space="0" w:color="auto"/>
        <w:left w:val="none" w:sz="0" w:space="0" w:color="auto"/>
        <w:bottom w:val="none" w:sz="0" w:space="0" w:color="auto"/>
        <w:right w:val="none" w:sz="0" w:space="0" w:color="auto"/>
      </w:divBdr>
    </w:div>
    <w:div w:id="148984205">
      <w:marLeft w:val="640"/>
      <w:marRight w:val="0"/>
      <w:marTop w:val="0"/>
      <w:marBottom w:val="0"/>
      <w:divBdr>
        <w:top w:val="none" w:sz="0" w:space="0" w:color="auto"/>
        <w:left w:val="none" w:sz="0" w:space="0" w:color="auto"/>
        <w:bottom w:val="none" w:sz="0" w:space="0" w:color="auto"/>
        <w:right w:val="none" w:sz="0" w:space="0" w:color="auto"/>
      </w:divBdr>
    </w:div>
    <w:div w:id="149952871">
      <w:marLeft w:val="640"/>
      <w:marRight w:val="0"/>
      <w:marTop w:val="0"/>
      <w:marBottom w:val="0"/>
      <w:divBdr>
        <w:top w:val="none" w:sz="0" w:space="0" w:color="auto"/>
        <w:left w:val="none" w:sz="0" w:space="0" w:color="auto"/>
        <w:bottom w:val="none" w:sz="0" w:space="0" w:color="auto"/>
        <w:right w:val="none" w:sz="0" w:space="0" w:color="auto"/>
      </w:divBdr>
    </w:div>
    <w:div w:id="151025557">
      <w:marLeft w:val="640"/>
      <w:marRight w:val="0"/>
      <w:marTop w:val="0"/>
      <w:marBottom w:val="0"/>
      <w:divBdr>
        <w:top w:val="none" w:sz="0" w:space="0" w:color="auto"/>
        <w:left w:val="none" w:sz="0" w:space="0" w:color="auto"/>
        <w:bottom w:val="none" w:sz="0" w:space="0" w:color="auto"/>
        <w:right w:val="none" w:sz="0" w:space="0" w:color="auto"/>
      </w:divBdr>
    </w:div>
    <w:div w:id="151527003">
      <w:marLeft w:val="640"/>
      <w:marRight w:val="0"/>
      <w:marTop w:val="0"/>
      <w:marBottom w:val="0"/>
      <w:divBdr>
        <w:top w:val="none" w:sz="0" w:space="0" w:color="auto"/>
        <w:left w:val="none" w:sz="0" w:space="0" w:color="auto"/>
        <w:bottom w:val="none" w:sz="0" w:space="0" w:color="auto"/>
        <w:right w:val="none" w:sz="0" w:space="0" w:color="auto"/>
      </w:divBdr>
    </w:div>
    <w:div w:id="151944861">
      <w:marLeft w:val="640"/>
      <w:marRight w:val="0"/>
      <w:marTop w:val="0"/>
      <w:marBottom w:val="0"/>
      <w:divBdr>
        <w:top w:val="none" w:sz="0" w:space="0" w:color="auto"/>
        <w:left w:val="none" w:sz="0" w:space="0" w:color="auto"/>
        <w:bottom w:val="none" w:sz="0" w:space="0" w:color="auto"/>
        <w:right w:val="none" w:sz="0" w:space="0" w:color="auto"/>
      </w:divBdr>
    </w:div>
    <w:div w:id="152452081">
      <w:marLeft w:val="640"/>
      <w:marRight w:val="0"/>
      <w:marTop w:val="0"/>
      <w:marBottom w:val="0"/>
      <w:divBdr>
        <w:top w:val="none" w:sz="0" w:space="0" w:color="auto"/>
        <w:left w:val="none" w:sz="0" w:space="0" w:color="auto"/>
        <w:bottom w:val="none" w:sz="0" w:space="0" w:color="auto"/>
        <w:right w:val="none" w:sz="0" w:space="0" w:color="auto"/>
      </w:divBdr>
    </w:div>
    <w:div w:id="152452758">
      <w:marLeft w:val="640"/>
      <w:marRight w:val="0"/>
      <w:marTop w:val="0"/>
      <w:marBottom w:val="0"/>
      <w:divBdr>
        <w:top w:val="none" w:sz="0" w:space="0" w:color="auto"/>
        <w:left w:val="none" w:sz="0" w:space="0" w:color="auto"/>
        <w:bottom w:val="none" w:sz="0" w:space="0" w:color="auto"/>
        <w:right w:val="none" w:sz="0" w:space="0" w:color="auto"/>
      </w:divBdr>
    </w:div>
    <w:div w:id="153033852">
      <w:marLeft w:val="640"/>
      <w:marRight w:val="0"/>
      <w:marTop w:val="0"/>
      <w:marBottom w:val="0"/>
      <w:divBdr>
        <w:top w:val="none" w:sz="0" w:space="0" w:color="auto"/>
        <w:left w:val="none" w:sz="0" w:space="0" w:color="auto"/>
        <w:bottom w:val="none" w:sz="0" w:space="0" w:color="auto"/>
        <w:right w:val="none" w:sz="0" w:space="0" w:color="auto"/>
      </w:divBdr>
    </w:div>
    <w:div w:id="153034902">
      <w:marLeft w:val="640"/>
      <w:marRight w:val="0"/>
      <w:marTop w:val="0"/>
      <w:marBottom w:val="0"/>
      <w:divBdr>
        <w:top w:val="none" w:sz="0" w:space="0" w:color="auto"/>
        <w:left w:val="none" w:sz="0" w:space="0" w:color="auto"/>
        <w:bottom w:val="none" w:sz="0" w:space="0" w:color="auto"/>
        <w:right w:val="none" w:sz="0" w:space="0" w:color="auto"/>
      </w:divBdr>
    </w:div>
    <w:div w:id="153422029">
      <w:marLeft w:val="640"/>
      <w:marRight w:val="0"/>
      <w:marTop w:val="0"/>
      <w:marBottom w:val="0"/>
      <w:divBdr>
        <w:top w:val="none" w:sz="0" w:space="0" w:color="auto"/>
        <w:left w:val="none" w:sz="0" w:space="0" w:color="auto"/>
        <w:bottom w:val="none" w:sz="0" w:space="0" w:color="auto"/>
        <w:right w:val="none" w:sz="0" w:space="0" w:color="auto"/>
      </w:divBdr>
    </w:div>
    <w:div w:id="153491011">
      <w:marLeft w:val="640"/>
      <w:marRight w:val="0"/>
      <w:marTop w:val="0"/>
      <w:marBottom w:val="0"/>
      <w:divBdr>
        <w:top w:val="none" w:sz="0" w:space="0" w:color="auto"/>
        <w:left w:val="none" w:sz="0" w:space="0" w:color="auto"/>
        <w:bottom w:val="none" w:sz="0" w:space="0" w:color="auto"/>
        <w:right w:val="none" w:sz="0" w:space="0" w:color="auto"/>
      </w:divBdr>
    </w:div>
    <w:div w:id="153691378">
      <w:marLeft w:val="640"/>
      <w:marRight w:val="0"/>
      <w:marTop w:val="0"/>
      <w:marBottom w:val="0"/>
      <w:divBdr>
        <w:top w:val="none" w:sz="0" w:space="0" w:color="auto"/>
        <w:left w:val="none" w:sz="0" w:space="0" w:color="auto"/>
        <w:bottom w:val="none" w:sz="0" w:space="0" w:color="auto"/>
        <w:right w:val="none" w:sz="0" w:space="0" w:color="auto"/>
      </w:divBdr>
    </w:div>
    <w:div w:id="153838409">
      <w:marLeft w:val="640"/>
      <w:marRight w:val="0"/>
      <w:marTop w:val="0"/>
      <w:marBottom w:val="0"/>
      <w:divBdr>
        <w:top w:val="none" w:sz="0" w:space="0" w:color="auto"/>
        <w:left w:val="none" w:sz="0" w:space="0" w:color="auto"/>
        <w:bottom w:val="none" w:sz="0" w:space="0" w:color="auto"/>
        <w:right w:val="none" w:sz="0" w:space="0" w:color="auto"/>
      </w:divBdr>
    </w:div>
    <w:div w:id="154999064">
      <w:marLeft w:val="640"/>
      <w:marRight w:val="0"/>
      <w:marTop w:val="0"/>
      <w:marBottom w:val="0"/>
      <w:divBdr>
        <w:top w:val="none" w:sz="0" w:space="0" w:color="auto"/>
        <w:left w:val="none" w:sz="0" w:space="0" w:color="auto"/>
        <w:bottom w:val="none" w:sz="0" w:space="0" w:color="auto"/>
        <w:right w:val="none" w:sz="0" w:space="0" w:color="auto"/>
      </w:divBdr>
    </w:div>
    <w:div w:id="155460265">
      <w:marLeft w:val="640"/>
      <w:marRight w:val="0"/>
      <w:marTop w:val="0"/>
      <w:marBottom w:val="0"/>
      <w:divBdr>
        <w:top w:val="none" w:sz="0" w:space="0" w:color="auto"/>
        <w:left w:val="none" w:sz="0" w:space="0" w:color="auto"/>
        <w:bottom w:val="none" w:sz="0" w:space="0" w:color="auto"/>
        <w:right w:val="none" w:sz="0" w:space="0" w:color="auto"/>
      </w:divBdr>
    </w:div>
    <w:div w:id="156117196">
      <w:marLeft w:val="640"/>
      <w:marRight w:val="0"/>
      <w:marTop w:val="0"/>
      <w:marBottom w:val="0"/>
      <w:divBdr>
        <w:top w:val="none" w:sz="0" w:space="0" w:color="auto"/>
        <w:left w:val="none" w:sz="0" w:space="0" w:color="auto"/>
        <w:bottom w:val="none" w:sz="0" w:space="0" w:color="auto"/>
        <w:right w:val="none" w:sz="0" w:space="0" w:color="auto"/>
      </w:divBdr>
    </w:div>
    <w:div w:id="156965328">
      <w:marLeft w:val="640"/>
      <w:marRight w:val="0"/>
      <w:marTop w:val="0"/>
      <w:marBottom w:val="0"/>
      <w:divBdr>
        <w:top w:val="none" w:sz="0" w:space="0" w:color="auto"/>
        <w:left w:val="none" w:sz="0" w:space="0" w:color="auto"/>
        <w:bottom w:val="none" w:sz="0" w:space="0" w:color="auto"/>
        <w:right w:val="none" w:sz="0" w:space="0" w:color="auto"/>
      </w:divBdr>
    </w:div>
    <w:div w:id="158204388">
      <w:marLeft w:val="640"/>
      <w:marRight w:val="0"/>
      <w:marTop w:val="0"/>
      <w:marBottom w:val="0"/>
      <w:divBdr>
        <w:top w:val="none" w:sz="0" w:space="0" w:color="auto"/>
        <w:left w:val="none" w:sz="0" w:space="0" w:color="auto"/>
        <w:bottom w:val="none" w:sz="0" w:space="0" w:color="auto"/>
        <w:right w:val="none" w:sz="0" w:space="0" w:color="auto"/>
      </w:divBdr>
    </w:div>
    <w:div w:id="158349781">
      <w:marLeft w:val="640"/>
      <w:marRight w:val="0"/>
      <w:marTop w:val="0"/>
      <w:marBottom w:val="0"/>
      <w:divBdr>
        <w:top w:val="none" w:sz="0" w:space="0" w:color="auto"/>
        <w:left w:val="none" w:sz="0" w:space="0" w:color="auto"/>
        <w:bottom w:val="none" w:sz="0" w:space="0" w:color="auto"/>
        <w:right w:val="none" w:sz="0" w:space="0" w:color="auto"/>
      </w:divBdr>
    </w:div>
    <w:div w:id="159004015">
      <w:marLeft w:val="640"/>
      <w:marRight w:val="0"/>
      <w:marTop w:val="0"/>
      <w:marBottom w:val="0"/>
      <w:divBdr>
        <w:top w:val="none" w:sz="0" w:space="0" w:color="auto"/>
        <w:left w:val="none" w:sz="0" w:space="0" w:color="auto"/>
        <w:bottom w:val="none" w:sz="0" w:space="0" w:color="auto"/>
        <w:right w:val="none" w:sz="0" w:space="0" w:color="auto"/>
      </w:divBdr>
    </w:div>
    <w:div w:id="159083137">
      <w:marLeft w:val="640"/>
      <w:marRight w:val="0"/>
      <w:marTop w:val="0"/>
      <w:marBottom w:val="0"/>
      <w:divBdr>
        <w:top w:val="none" w:sz="0" w:space="0" w:color="auto"/>
        <w:left w:val="none" w:sz="0" w:space="0" w:color="auto"/>
        <w:bottom w:val="none" w:sz="0" w:space="0" w:color="auto"/>
        <w:right w:val="none" w:sz="0" w:space="0" w:color="auto"/>
      </w:divBdr>
    </w:div>
    <w:div w:id="159274828">
      <w:marLeft w:val="640"/>
      <w:marRight w:val="0"/>
      <w:marTop w:val="0"/>
      <w:marBottom w:val="0"/>
      <w:divBdr>
        <w:top w:val="none" w:sz="0" w:space="0" w:color="auto"/>
        <w:left w:val="none" w:sz="0" w:space="0" w:color="auto"/>
        <w:bottom w:val="none" w:sz="0" w:space="0" w:color="auto"/>
        <w:right w:val="none" w:sz="0" w:space="0" w:color="auto"/>
      </w:divBdr>
    </w:div>
    <w:div w:id="159587566">
      <w:marLeft w:val="640"/>
      <w:marRight w:val="0"/>
      <w:marTop w:val="0"/>
      <w:marBottom w:val="0"/>
      <w:divBdr>
        <w:top w:val="none" w:sz="0" w:space="0" w:color="auto"/>
        <w:left w:val="none" w:sz="0" w:space="0" w:color="auto"/>
        <w:bottom w:val="none" w:sz="0" w:space="0" w:color="auto"/>
        <w:right w:val="none" w:sz="0" w:space="0" w:color="auto"/>
      </w:divBdr>
    </w:div>
    <w:div w:id="160660723">
      <w:marLeft w:val="640"/>
      <w:marRight w:val="0"/>
      <w:marTop w:val="0"/>
      <w:marBottom w:val="0"/>
      <w:divBdr>
        <w:top w:val="none" w:sz="0" w:space="0" w:color="auto"/>
        <w:left w:val="none" w:sz="0" w:space="0" w:color="auto"/>
        <w:bottom w:val="none" w:sz="0" w:space="0" w:color="auto"/>
        <w:right w:val="none" w:sz="0" w:space="0" w:color="auto"/>
      </w:divBdr>
    </w:div>
    <w:div w:id="161820831">
      <w:marLeft w:val="640"/>
      <w:marRight w:val="0"/>
      <w:marTop w:val="0"/>
      <w:marBottom w:val="0"/>
      <w:divBdr>
        <w:top w:val="none" w:sz="0" w:space="0" w:color="auto"/>
        <w:left w:val="none" w:sz="0" w:space="0" w:color="auto"/>
        <w:bottom w:val="none" w:sz="0" w:space="0" w:color="auto"/>
        <w:right w:val="none" w:sz="0" w:space="0" w:color="auto"/>
      </w:divBdr>
    </w:div>
    <w:div w:id="162011992">
      <w:marLeft w:val="640"/>
      <w:marRight w:val="0"/>
      <w:marTop w:val="0"/>
      <w:marBottom w:val="0"/>
      <w:divBdr>
        <w:top w:val="none" w:sz="0" w:space="0" w:color="auto"/>
        <w:left w:val="none" w:sz="0" w:space="0" w:color="auto"/>
        <w:bottom w:val="none" w:sz="0" w:space="0" w:color="auto"/>
        <w:right w:val="none" w:sz="0" w:space="0" w:color="auto"/>
      </w:divBdr>
    </w:div>
    <w:div w:id="162093509">
      <w:marLeft w:val="640"/>
      <w:marRight w:val="0"/>
      <w:marTop w:val="0"/>
      <w:marBottom w:val="0"/>
      <w:divBdr>
        <w:top w:val="none" w:sz="0" w:space="0" w:color="auto"/>
        <w:left w:val="none" w:sz="0" w:space="0" w:color="auto"/>
        <w:bottom w:val="none" w:sz="0" w:space="0" w:color="auto"/>
        <w:right w:val="none" w:sz="0" w:space="0" w:color="auto"/>
      </w:divBdr>
    </w:div>
    <w:div w:id="162207388">
      <w:marLeft w:val="640"/>
      <w:marRight w:val="0"/>
      <w:marTop w:val="0"/>
      <w:marBottom w:val="0"/>
      <w:divBdr>
        <w:top w:val="none" w:sz="0" w:space="0" w:color="auto"/>
        <w:left w:val="none" w:sz="0" w:space="0" w:color="auto"/>
        <w:bottom w:val="none" w:sz="0" w:space="0" w:color="auto"/>
        <w:right w:val="none" w:sz="0" w:space="0" w:color="auto"/>
      </w:divBdr>
    </w:div>
    <w:div w:id="162937049">
      <w:marLeft w:val="640"/>
      <w:marRight w:val="0"/>
      <w:marTop w:val="0"/>
      <w:marBottom w:val="0"/>
      <w:divBdr>
        <w:top w:val="none" w:sz="0" w:space="0" w:color="auto"/>
        <w:left w:val="none" w:sz="0" w:space="0" w:color="auto"/>
        <w:bottom w:val="none" w:sz="0" w:space="0" w:color="auto"/>
        <w:right w:val="none" w:sz="0" w:space="0" w:color="auto"/>
      </w:divBdr>
    </w:div>
    <w:div w:id="163515836">
      <w:marLeft w:val="640"/>
      <w:marRight w:val="0"/>
      <w:marTop w:val="0"/>
      <w:marBottom w:val="0"/>
      <w:divBdr>
        <w:top w:val="none" w:sz="0" w:space="0" w:color="auto"/>
        <w:left w:val="none" w:sz="0" w:space="0" w:color="auto"/>
        <w:bottom w:val="none" w:sz="0" w:space="0" w:color="auto"/>
        <w:right w:val="none" w:sz="0" w:space="0" w:color="auto"/>
      </w:divBdr>
    </w:div>
    <w:div w:id="163785301">
      <w:marLeft w:val="640"/>
      <w:marRight w:val="0"/>
      <w:marTop w:val="0"/>
      <w:marBottom w:val="0"/>
      <w:divBdr>
        <w:top w:val="none" w:sz="0" w:space="0" w:color="auto"/>
        <w:left w:val="none" w:sz="0" w:space="0" w:color="auto"/>
        <w:bottom w:val="none" w:sz="0" w:space="0" w:color="auto"/>
        <w:right w:val="none" w:sz="0" w:space="0" w:color="auto"/>
      </w:divBdr>
    </w:div>
    <w:div w:id="165097873">
      <w:marLeft w:val="640"/>
      <w:marRight w:val="0"/>
      <w:marTop w:val="0"/>
      <w:marBottom w:val="0"/>
      <w:divBdr>
        <w:top w:val="none" w:sz="0" w:space="0" w:color="auto"/>
        <w:left w:val="none" w:sz="0" w:space="0" w:color="auto"/>
        <w:bottom w:val="none" w:sz="0" w:space="0" w:color="auto"/>
        <w:right w:val="none" w:sz="0" w:space="0" w:color="auto"/>
      </w:divBdr>
    </w:div>
    <w:div w:id="165292344">
      <w:marLeft w:val="640"/>
      <w:marRight w:val="0"/>
      <w:marTop w:val="0"/>
      <w:marBottom w:val="0"/>
      <w:divBdr>
        <w:top w:val="none" w:sz="0" w:space="0" w:color="auto"/>
        <w:left w:val="none" w:sz="0" w:space="0" w:color="auto"/>
        <w:bottom w:val="none" w:sz="0" w:space="0" w:color="auto"/>
        <w:right w:val="none" w:sz="0" w:space="0" w:color="auto"/>
      </w:divBdr>
    </w:div>
    <w:div w:id="165872137">
      <w:marLeft w:val="640"/>
      <w:marRight w:val="0"/>
      <w:marTop w:val="0"/>
      <w:marBottom w:val="0"/>
      <w:divBdr>
        <w:top w:val="none" w:sz="0" w:space="0" w:color="auto"/>
        <w:left w:val="none" w:sz="0" w:space="0" w:color="auto"/>
        <w:bottom w:val="none" w:sz="0" w:space="0" w:color="auto"/>
        <w:right w:val="none" w:sz="0" w:space="0" w:color="auto"/>
      </w:divBdr>
    </w:div>
    <w:div w:id="166091979">
      <w:marLeft w:val="640"/>
      <w:marRight w:val="0"/>
      <w:marTop w:val="0"/>
      <w:marBottom w:val="0"/>
      <w:divBdr>
        <w:top w:val="none" w:sz="0" w:space="0" w:color="auto"/>
        <w:left w:val="none" w:sz="0" w:space="0" w:color="auto"/>
        <w:bottom w:val="none" w:sz="0" w:space="0" w:color="auto"/>
        <w:right w:val="none" w:sz="0" w:space="0" w:color="auto"/>
      </w:divBdr>
    </w:div>
    <w:div w:id="168376196">
      <w:marLeft w:val="640"/>
      <w:marRight w:val="0"/>
      <w:marTop w:val="0"/>
      <w:marBottom w:val="0"/>
      <w:divBdr>
        <w:top w:val="none" w:sz="0" w:space="0" w:color="auto"/>
        <w:left w:val="none" w:sz="0" w:space="0" w:color="auto"/>
        <w:bottom w:val="none" w:sz="0" w:space="0" w:color="auto"/>
        <w:right w:val="none" w:sz="0" w:space="0" w:color="auto"/>
      </w:divBdr>
    </w:div>
    <w:div w:id="168717030">
      <w:marLeft w:val="640"/>
      <w:marRight w:val="0"/>
      <w:marTop w:val="0"/>
      <w:marBottom w:val="0"/>
      <w:divBdr>
        <w:top w:val="none" w:sz="0" w:space="0" w:color="auto"/>
        <w:left w:val="none" w:sz="0" w:space="0" w:color="auto"/>
        <w:bottom w:val="none" w:sz="0" w:space="0" w:color="auto"/>
        <w:right w:val="none" w:sz="0" w:space="0" w:color="auto"/>
      </w:divBdr>
    </w:div>
    <w:div w:id="170608479">
      <w:marLeft w:val="640"/>
      <w:marRight w:val="0"/>
      <w:marTop w:val="0"/>
      <w:marBottom w:val="0"/>
      <w:divBdr>
        <w:top w:val="none" w:sz="0" w:space="0" w:color="auto"/>
        <w:left w:val="none" w:sz="0" w:space="0" w:color="auto"/>
        <w:bottom w:val="none" w:sz="0" w:space="0" w:color="auto"/>
        <w:right w:val="none" w:sz="0" w:space="0" w:color="auto"/>
      </w:divBdr>
    </w:div>
    <w:div w:id="171069577">
      <w:marLeft w:val="640"/>
      <w:marRight w:val="0"/>
      <w:marTop w:val="0"/>
      <w:marBottom w:val="0"/>
      <w:divBdr>
        <w:top w:val="none" w:sz="0" w:space="0" w:color="auto"/>
        <w:left w:val="none" w:sz="0" w:space="0" w:color="auto"/>
        <w:bottom w:val="none" w:sz="0" w:space="0" w:color="auto"/>
        <w:right w:val="none" w:sz="0" w:space="0" w:color="auto"/>
      </w:divBdr>
    </w:div>
    <w:div w:id="171645921">
      <w:marLeft w:val="640"/>
      <w:marRight w:val="0"/>
      <w:marTop w:val="0"/>
      <w:marBottom w:val="0"/>
      <w:divBdr>
        <w:top w:val="none" w:sz="0" w:space="0" w:color="auto"/>
        <w:left w:val="none" w:sz="0" w:space="0" w:color="auto"/>
        <w:bottom w:val="none" w:sz="0" w:space="0" w:color="auto"/>
        <w:right w:val="none" w:sz="0" w:space="0" w:color="auto"/>
      </w:divBdr>
    </w:div>
    <w:div w:id="171649172">
      <w:marLeft w:val="640"/>
      <w:marRight w:val="0"/>
      <w:marTop w:val="0"/>
      <w:marBottom w:val="0"/>
      <w:divBdr>
        <w:top w:val="none" w:sz="0" w:space="0" w:color="auto"/>
        <w:left w:val="none" w:sz="0" w:space="0" w:color="auto"/>
        <w:bottom w:val="none" w:sz="0" w:space="0" w:color="auto"/>
        <w:right w:val="none" w:sz="0" w:space="0" w:color="auto"/>
      </w:divBdr>
    </w:div>
    <w:div w:id="171770067">
      <w:marLeft w:val="640"/>
      <w:marRight w:val="0"/>
      <w:marTop w:val="0"/>
      <w:marBottom w:val="0"/>
      <w:divBdr>
        <w:top w:val="none" w:sz="0" w:space="0" w:color="auto"/>
        <w:left w:val="none" w:sz="0" w:space="0" w:color="auto"/>
        <w:bottom w:val="none" w:sz="0" w:space="0" w:color="auto"/>
        <w:right w:val="none" w:sz="0" w:space="0" w:color="auto"/>
      </w:divBdr>
    </w:div>
    <w:div w:id="171915011">
      <w:marLeft w:val="640"/>
      <w:marRight w:val="0"/>
      <w:marTop w:val="0"/>
      <w:marBottom w:val="0"/>
      <w:divBdr>
        <w:top w:val="none" w:sz="0" w:space="0" w:color="auto"/>
        <w:left w:val="none" w:sz="0" w:space="0" w:color="auto"/>
        <w:bottom w:val="none" w:sz="0" w:space="0" w:color="auto"/>
        <w:right w:val="none" w:sz="0" w:space="0" w:color="auto"/>
      </w:divBdr>
    </w:div>
    <w:div w:id="172187203">
      <w:marLeft w:val="640"/>
      <w:marRight w:val="0"/>
      <w:marTop w:val="0"/>
      <w:marBottom w:val="0"/>
      <w:divBdr>
        <w:top w:val="none" w:sz="0" w:space="0" w:color="auto"/>
        <w:left w:val="none" w:sz="0" w:space="0" w:color="auto"/>
        <w:bottom w:val="none" w:sz="0" w:space="0" w:color="auto"/>
        <w:right w:val="none" w:sz="0" w:space="0" w:color="auto"/>
      </w:divBdr>
    </w:div>
    <w:div w:id="173230902">
      <w:marLeft w:val="640"/>
      <w:marRight w:val="0"/>
      <w:marTop w:val="0"/>
      <w:marBottom w:val="0"/>
      <w:divBdr>
        <w:top w:val="none" w:sz="0" w:space="0" w:color="auto"/>
        <w:left w:val="none" w:sz="0" w:space="0" w:color="auto"/>
        <w:bottom w:val="none" w:sz="0" w:space="0" w:color="auto"/>
        <w:right w:val="none" w:sz="0" w:space="0" w:color="auto"/>
      </w:divBdr>
    </w:div>
    <w:div w:id="173761877">
      <w:marLeft w:val="640"/>
      <w:marRight w:val="0"/>
      <w:marTop w:val="0"/>
      <w:marBottom w:val="0"/>
      <w:divBdr>
        <w:top w:val="none" w:sz="0" w:space="0" w:color="auto"/>
        <w:left w:val="none" w:sz="0" w:space="0" w:color="auto"/>
        <w:bottom w:val="none" w:sz="0" w:space="0" w:color="auto"/>
        <w:right w:val="none" w:sz="0" w:space="0" w:color="auto"/>
      </w:divBdr>
    </w:div>
    <w:div w:id="173807458">
      <w:marLeft w:val="640"/>
      <w:marRight w:val="0"/>
      <w:marTop w:val="0"/>
      <w:marBottom w:val="0"/>
      <w:divBdr>
        <w:top w:val="none" w:sz="0" w:space="0" w:color="auto"/>
        <w:left w:val="none" w:sz="0" w:space="0" w:color="auto"/>
        <w:bottom w:val="none" w:sz="0" w:space="0" w:color="auto"/>
        <w:right w:val="none" w:sz="0" w:space="0" w:color="auto"/>
      </w:divBdr>
    </w:div>
    <w:div w:id="174004505">
      <w:marLeft w:val="640"/>
      <w:marRight w:val="0"/>
      <w:marTop w:val="0"/>
      <w:marBottom w:val="0"/>
      <w:divBdr>
        <w:top w:val="none" w:sz="0" w:space="0" w:color="auto"/>
        <w:left w:val="none" w:sz="0" w:space="0" w:color="auto"/>
        <w:bottom w:val="none" w:sz="0" w:space="0" w:color="auto"/>
        <w:right w:val="none" w:sz="0" w:space="0" w:color="auto"/>
      </w:divBdr>
    </w:div>
    <w:div w:id="174810927">
      <w:marLeft w:val="640"/>
      <w:marRight w:val="0"/>
      <w:marTop w:val="0"/>
      <w:marBottom w:val="0"/>
      <w:divBdr>
        <w:top w:val="none" w:sz="0" w:space="0" w:color="auto"/>
        <w:left w:val="none" w:sz="0" w:space="0" w:color="auto"/>
        <w:bottom w:val="none" w:sz="0" w:space="0" w:color="auto"/>
        <w:right w:val="none" w:sz="0" w:space="0" w:color="auto"/>
      </w:divBdr>
    </w:div>
    <w:div w:id="175510061">
      <w:marLeft w:val="640"/>
      <w:marRight w:val="0"/>
      <w:marTop w:val="0"/>
      <w:marBottom w:val="0"/>
      <w:divBdr>
        <w:top w:val="none" w:sz="0" w:space="0" w:color="auto"/>
        <w:left w:val="none" w:sz="0" w:space="0" w:color="auto"/>
        <w:bottom w:val="none" w:sz="0" w:space="0" w:color="auto"/>
        <w:right w:val="none" w:sz="0" w:space="0" w:color="auto"/>
      </w:divBdr>
    </w:div>
    <w:div w:id="175920501">
      <w:marLeft w:val="640"/>
      <w:marRight w:val="0"/>
      <w:marTop w:val="0"/>
      <w:marBottom w:val="0"/>
      <w:divBdr>
        <w:top w:val="none" w:sz="0" w:space="0" w:color="auto"/>
        <w:left w:val="none" w:sz="0" w:space="0" w:color="auto"/>
        <w:bottom w:val="none" w:sz="0" w:space="0" w:color="auto"/>
        <w:right w:val="none" w:sz="0" w:space="0" w:color="auto"/>
      </w:divBdr>
    </w:div>
    <w:div w:id="176820924">
      <w:marLeft w:val="640"/>
      <w:marRight w:val="0"/>
      <w:marTop w:val="0"/>
      <w:marBottom w:val="0"/>
      <w:divBdr>
        <w:top w:val="none" w:sz="0" w:space="0" w:color="auto"/>
        <w:left w:val="none" w:sz="0" w:space="0" w:color="auto"/>
        <w:bottom w:val="none" w:sz="0" w:space="0" w:color="auto"/>
        <w:right w:val="none" w:sz="0" w:space="0" w:color="auto"/>
      </w:divBdr>
    </w:div>
    <w:div w:id="176967535">
      <w:marLeft w:val="640"/>
      <w:marRight w:val="0"/>
      <w:marTop w:val="0"/>
      <w:marBottom w:val="0"/>
      <w:divBdr>
        <w:top w:val="none" w:sz="0" w:space="0" w:color="auto"/>
        <w:left w:val="none" w:sz="0" w:space="0" w:color="auto"/>
        <w:bottom w:val="none" w:sz="0" w:space="0" w:color="auto"/>
        <w:right w:val="none" w:sz="0" w:space="0" w:color="auto"/>
      </w:divBdr>
    </w:div>
    <w:div w:id="177698035">
      <w:marLeft w:val="640"/>
      <w:marRight w:val="0"/>
      <w:marTop w:val="0"/>
      <w:marBottom w:val="0"/>
      <w:divBdr>
        <w:top w:val="none" w:sz="0" w:space="0" w:color="auto"/>
        <w:left w:val="none" w:sz="0" w:space="0" w:color="auto"/>
        <w:bottom w:val="none" w:sz="0" w:space="0" w:color="auto"/>
        <w:right w:val="none" w:sz="0" w:space="0" w:color="auto"/>
      </w:divBdr>
    </w:div>
    <w:div w:id="178129661">
      <w:marLeft w:val="640"/>
      <w:marRight w:val="0"/>
      <w:marTop w:val="0"/>
      <w:marBottom w:val="0"/>
      <w:divBdr>
        <w:top w:val="none" w:sz="0" w:space="0" w:color="auto"/>
        <w:left w:val="none" w:sz="0" w:space="0" w:color="auto"/>
        <w:bottom w:val="none" w:sz="0" w:space="0" w:color="auto"/>
        <w:right w:val="none" w:sz="0" w:space="0" w:color="auto"/>
      </w:divBdr>
    </w:div>
    <w:div w:id="178400072">
      <w:marLeft w:val="640"/>
      <w:marRight w:val="0"/>
      <w:marTop w:val="0"/>
      <w:marBottom w:val="0"/>
      <w:divBdr>
        <w:top w:val="none" w:sz="0" w:space="0" w:color="auto"/>
        <w:left w:val="none" w:sz="0" w:space="0" w:color="auto"/>
        <w:bottom w:val="none" w:sz="0" w:space="0" w:color="auto"/>
        <w:right w:val="none" w:sz="0" w:space="0" w:color="auto"/>
      </w:divBdr>
    </w:div>
    <w:div w:id="178548490">
      <w:marLeft w:val="640"/>
      <w:marRight w:val="0"/>
      <w:marTop w:val="0"/>
      <w:marBottom w:val="0"/>
      <w:divBdr>
        <w:top w:val="none" w:sz="0" w:space="0" w:color="auto"/>
        <w:left w:val="none" w:sz="0" w:space="0" w:color="auto"/>
        <w:bottom w:val="none" w:sz="0" w:space="0" w:color="auto"/>
        <w:right w:val="none" w:sz="0" w:space="0" w:color="auto"/>
      </w:divBdr>
    </w:div>
    <w:div w:id="179393418">
      <w:marLeft w:val="640"/>
      <w:marRight w:val="0"/>
      <w:marTop w:val="0"/>
      <w:marBottom w:val="0"/>
      <w:divBdr>
        <w:top w:val="none" w:sz="0" w:space="0" w:color="auto"/>
        <w:left w:val="none" w:sz="0" w:space="0" w:color="auto"/>
        <w:bottom w:val="none" w:sz="0" w:space="0" w:color="auto"/>
        <w:right w:val="none" w:sz="0" w:space="0" w:color="auto"/>
      </w:divBdr>
    </w:div>
    <w:div w:id="179470267">
      <w:marLeft w:val="640"/>
      <w:marRight w:val="0"/>
      <w:marTop w:val="0"/>
      <w:marBottom w:val="0"/>
      <w:divBdr>
        <w:top w:val="none" w:sz="0" w:space="0" w:color="auto"/>
        <w:left w:val="none" w:sz="0" w:space="0" w:color="auto"/>
        <w:bottom w:val="none" w:sz="0" w:space="0" w:color="auto"/>
        <w:right w:val="none" w:sz="0" w:space="0" w:color="auto"/>
      </w:divBdr>
    </w:div>
    <w:div w:id="179592129">
      <w:marLeft w:val="640"/>
      <w:marRight w:val="0"/>
      <w:marTop w:val="0"/>
      <w:marBottom w:val="0"/>
      <w:divBdr>
        <w:top w:val="none" w:sz="0" w:space="0" w:color="auto"/>
        <w:left w:val="none" w:sz="0" w:space="0" w:color="auto"/>
        <w:bottom w:val="none" w:sz="0" w:space="0" w:color="auto"/>
        <w:right w:val="none" w:sz="0" w:space="0" w:color="auto"/>
      </w:divBdr>
    </w:div>
    <w:div w:id="180702874">
      <w:marLeft w:val="640"/>
      <w:marRight w:val="0"/>
      <w:marTop w:val="0"/>
      <w:marBottom w:val="0"/>
      <w:divBdr>
        <w:top w:val="none" w:sz="0" w:space="0" w:color="auto"/>
        <w:left w:val="none" w:sz="0" w:space="0" w:color="auto"/>
        <w:bottom w:val="none" w:sz="0" w:space="0" w:color="auto"/>
        <w:right w:val="none" w:sz="0" w:space="0" w:color="auto"/>
      </w:divBdr>
    </w:div>
    <w:div w:id="180822463">
      <w:marLeft w:val="640"/>
      <w:marRight w:val="0"/>
      <w:marTop w:val="0"/>
      <w:marBottom w:val="0"/>
      <w:divBdr>
        <w:top w:val="none" w:sz="0" w:space="0" w:color="auto"/>
        <w:left w:val="none" w:sz="0" w:space="0" w:color="auto"/>
        <w:bottom w:val="none" w:sz="0" w:space="0" w:color="auto"/>
        <w:right w:val="none" w:sz="0" w:space="0" w:color="auto"/>
      </w:divBdr>
    </w:div>
    <w:div w:id="181016365">
      <w:marLeft w:val="640"/>
      <w:marRight w:val="0"/>
      <w:marTop w:val="0"/>
      <w:marBottom w:val="0"/>
      <w:divBdr>
        <w:top w:val="none" w:sz="0" w:space="0" w:color="auto"/>
        <w:left w:val="none" w:sz="0" w:space="0" w:color="auto"/>
        <w:bottom w:val="none" w:sz="0" w:space="0" w:color="auto"/>
        <w:right w:val="none" w:sz="0" w:space="0" w:color="auto"/>
      </w:divBdr>
    </w:div>
    <w:div w:id="181287536">
      <w:marLeft w:val="640"/>
      <w:marRight w:val="0"/>
      <w:marTop w:val="0"/>
      <w:marBottom w:val="0"/>
      <w:divBdr>
        <w:top w:val="none" w:sz="0" w:space="0" w:color="auto"/>
        <w:left w:val="none" w:sz="0" w:space="0" w:color="auto"/>
        <w:bottom w:val="none" w:sz="0" w:space="0" w:color="auto"/>
        <w:right w:val="none" w:sz="0" w:space="0" w:color="auto"/>
      </w:divBdr>
    </w:div>
    <w:div w:id="181481539">
      <w:marLeft w:val="640"/>
      <w:marRight w:val="0"/>
      <w:marTop w:val="0"/>
      <w:marBottom w:val="0"/>
      <w:divBdr>
        <w:top w:val="none" w:sz="0" w:space="0" w:color="auto"/>
        <w:left w:val="none" w:sz="0" w:space="0" w:color="auto"/>
        <w:bottom w:val="none" w:sz="0" w:space="0" w:color="auto"/>
        <w:right w:val="none" w:sz="0" w:space="0" w:color="auto"/>
      </w:divBdr>
    </w:div>
    <w:div w:id="181482470">
      <w:marLeft w:val="640"/>
      <w:marRight w:val="0"/>
      <w:marTop w:val="0"/>
      <w:marBottom w:val="0"/>
      <w:divBdr>
        <w:top w:val="none" w:sz="0" w:space="0" w:color="auto"/>
        <w:left w:val="none" w:sz="0" w:space="0" w:color="auto"/>
        <w:bottom w:val="none" w:sz="0" w:space="0" w:color="auto"/>
        <w:right w:val="none" w:sz="0" w:space="0" w:color="auto"/>
      </w:divBdr>
    </w:div>
    <w:div w:id="181555123">
      <w:marLeft w:val="640"/>
      <w:marRight w:val="0"/>
      <w:marTop w:val="0"/>
      <w:marBottom w:val="0"/>
      <w:divBdr>
        <w:top w:val="none" w:sz="0" w:space="0" w:color="auto"/>
        <w:left w:val="none" w:sz="0" w:space="0" w:color="auto"/>
        <w:bottom w:val="none" w:sz="0" w:space="0" w:color="auto"/>
        <w:right w:val="none" w:sz="0" w:space="0" w:color="auto"/>
      </w:divBdr>
    </w:div>
    <w:div w:id="184174688">
      <w:marLeft w:val="640"/>
      <w:marRight w:val="0"/>
      <w:marTop w:val="0"/>
      <w:marBottom w:val="0"/>
      <w:divBdr>
        <w:top w:val="none" w:sz="0" w:space="0" w:color="auto"/>
        <w:left w:val="none" w:sz="0" w:space="0" w:color="auto"/>
        <w:bottom w:val="none" w:sz="0" w:space="0" w:color="auto"/>
        <w:right w:val="none" w:sz="0" w:space="0" w:color="auto"/>
      </w:divBdr>
    </w:div>
    <w:div w:id="184561784">
      <w:marLeft w:val="640"/>
      <w:marRight w:val="0"/>
      <w:marTop w:val="0"/>
      <w:marBottom w:val="0"/>
      <w:divBdr>
        <w:top w:val="none" w:sz="0" w:space="0" w:color="auto"/>
        <w:left w:val="none" w:sz="0" w:space="0" w:color="auto"/>
        <w:bottom w:val="none" w:sz="0" w:space="0" w:color="auto"/>
        <w:right w:val="none" w:sz="0" w:space="0" w:color="auto"/>
      </w:divBdr>
    </w:div>
    <w:div w:id="186723584">
      <w:marLeft w:val="640"/>
      <w:marRight w:val="0"/>
      <w:marTop w:val="0"/>
      <w:marBottom w:val="0"/>
      <w:divBdr>
        <w:top w:val="none" w:sz="0" w:space="0" w:color="auto"/>
        <w:left w:val="none" w:sz="0" w:space="0" w:color="auto"/>
        <w:bottom w:val="none" w:sz="0" w:space="0" w:color="auto"/>
        <w:right w:val="none" w:sz="0" w:space="0" w:color="auto"/>
      </w:divBdr>
    </w:div>
    <w:div w:id="187256958">
      <w:marLeft w:val="640"/>
      <w:marRight w:val="0"/>
      <w:marTop w:val="0"/>
      <w:marBottom w:val="0"/>
      <w:divBdr>
        <w:top w:val="none" w:sz="0" w:space="0" w:color="auto"/>
        <w:left w:val="none" w:sz="0" w:space="0" w:color="auto"/>
        <w:bottom w:val="none" w:sz="0" w:space="0" w:color="auto"/>
        <w:right w:val="none" w:sz="0" w:space="0" w:color="auto"/>
      </w:divBdr>
    </w:div>
    <w:div w:id="187646593">
      <w:marLeft w:val="640"/>
      <w:marRight w:val="0"/>
      <w:marTop w:val="0"/>
      <w:marBottom w:val="0"/>
      <w:divBdr>
        <w:top w:val="none" w:sz="0" w:space="0" w:color="auto"/>
        <w:left w:val="none" w:sz="0" w:space="0" w:color="auto"/>
        <w:bottom w:val="none" w:sz="0" w:space="0" w:color="auto"/>
        <w:right w:val="none" w:sz="0" w:space="0" w:color="auto"/>
      </w:divBdr>
    </w:div>
    <w:div w:id="187791262">
      <w:marLeft w:val="640"/>
      <w:marRight w:val="0"/>
      <w:marTop w:val="0"/>
      <w:marBottom w:val="0"/>
      <w:divBdr>
        <w:top w:val="none" w:sz="0" w:space="0" w:color="auto"/>
        <w:left w:val="none" w:sz="0" w:space="0" w:color="auto"/>
        <w:bottom w:val="none" w:sz="0" w:space="0" w:color="auto"/>
        <w:right w:val="none" w:sz="0" w:space="0" w:color="auto"/>
      </w:divBdr>
    </w:div>
    <w:div w:id="188029431">
      <w:marLeft w:val="640"/>
      <w:marRight w:val="0"/>
      <w:marTop w:val="0"/>
      <w:marBottom w:val="0"/>
      <w:divBdr>
        <w:top w:val="none" w:sz="0" w:space="0" w:color="auto"/>
        <w:left w:val="none" w:sz="0" w:space="0" w:color="auto"/>
        <w:bottom w:val="none" w:sz="0" w:space="0" w:color="auto"/>
        <w:right w:val="none" w:sz="0" w:space="0" w:color="auto"/>
      </w:divBdr>
    </w:div>
    <w:div w:id="189614068">
      <w:marLeft w:val="640"/>
      <w:marRight w:val="0"/>
      <w:marTop w:val="0"/>
      <w:marBottom w:val="0"/>
      <w:divBdr>
        <w:top w:val="none" w:sz="0" w:space="0" w:color="auto"/>
        <w:left w:val="none" w:sz="0" w:space="0" w:color="auto"/>
        <w:bottom w:val="none" w:sz="0" w:space="0" w:color="auto"/>
        <w:right w:val="none" w:sz="0" w:space="0" w:color="auto"/>
      </w:divBdr>
    </w:div>
    <w:div w:id="189615229">
      <w:marLeft w:val="640"/>
      <w:marRight w:val="0"/>
      <w:marTop w:val="0"/>
      <w:marBottom w:val="0"/>
      <w:divBdr>
        <w:top w:val="none" w:sz="0" w:space="0" w:color="auto"/>
        <w:left w:val="none" w:sz="0" w:space="0" w:color="auto"/>
        <w:bottom w:val="none" w:sz="0" w:space="0" w:color="auto"/>
        <w:right w:val="none" w:sz="0" w:space="0" w:color="auto"/>
      </w:divBdr>
    </w:div>
    <w:div w:id="189732393">
      <w:marLeft w:val="640"/>
      <w:marRight w:val="0"/>
      <w:marTop w:val="0"/>
      <w:marBottom w:val="0"/>
      <w:divBdr>
        <w:top w:val="none" w:sz="0" w:space="0" w:color="auto"/>
        <w:left w:val="none" w:sz="0" w:space="0" w:color="auto"/>
        <w:bottom w:val="none" w:sz="0" w:space="0" w:color="auto"/>
        <w:right w:val="none" w:sz="0" w:space="0" w:color="auto"/>
      </w:divBdr>
    </w:div>
    <w:div w:id="190000519">
      <w:marLeft w:val="640"/>
      <w:marRight w:val="0"/>
      <w:marTop w:val="0"/>
      <w:marBottom w:val="0"/>
      <w:divBdr>
        <w:top w:val="none" w:sz="0" w:space="0" w:color="auto"/>
        <w:left w:val="none" w:sz="0" w:space="0" w:color="auto"/>
        <w:bottom w:val="none" w:sz="0" w:space="0" w:color="auto"/>
        <w:right w:val="none" w:sz="0" w:space="0" w:color="auto"/>
      </w:divBdr>
    </w:div>
    <w:div w:id="191698266">
      <w:marLeft w:val="640"/>
      <w:marRight w:val="0"/>
      <w:marTop w:val="0"/>
      <w:marBottom w:val="0"/>
      <w:divBdr>
        <w:top w:val="none" w:sz="0" w:space="0" w:color="auto"/>
        <w:left w:val="none" w:sz="0" w:space="0" w:color="auto"/>
        <w:bottom w:val="none" w:sz="0" w:space="0" w:color="auto"/>
        <w:right w:val="none" w:sz="0" w:space="0" w:color="auto"/>
      </w:divBdr>
    </w:div>
    <w:div w:id="192041957">
      <w:marLeft w:val="640"/>
      <w:marRight w:val="0"/>
      <w:marTop w:val="0"/>
      <w:marBottom w:val="0"/>
      <w:divBdr>
        <w:top w:val="none" w:sz="0" w:space="0" w:color="auto"/>
        <w:left w:val="none" w:sz="0" w:space="0" w:color="auto"/>
        <w:bottom w:val="none" w:sz="0" w:space="0" w:color="auto"/>
        <w:right w:val="none" w:sz="0" w:space="0" w:color="auto"/>
      </w:divBdr>
    </w:div>
    <w:div w:id="192500289">
      <w:marLeft w:val="640"/>
      <w:marRight w:val="0"/>
      <w:marTop w:val="0"/>
      <w:marBottom w:val="0"/>
      <w:divBdr>
        <w:top w:val="none" w:sz="0" w:space="0" w:color="auto"/>
        <w:left w:val="none" w:sz="0" w:space="0" w:color="auto"/>
        <w:bottom w:val="none" w:sz="0" w:space="0" w:color="auto"/>
        <w:right w:val="none" w:sz="0" w:space="0" w:color="auto"/>
      </w:divBdr>
    </w:div>
    <w:div w:id="192807560">
      <w:marLeft w:val="640"/>
      <w:marRight w:val="0"/>
      <w:marTop w:val="0"/>
      <w:marBottom w:val="0"/>
      <w:divBdr>
        <w:top w:val="none" w:sz="0" w:space="0" w:color="auto"/>
        <w:left w:val="none" w:sz="0" w:space="0" w:color="auto"/>
        <w:bottom w:val="none" w:sz="0" w:space="0" w:color="auto"/>
        <w:right w:val="none" w:sz="0" w:space="0" w:color="auto"/>
      </w:divBdr>
    </w:div>
    <w:div w:id="193005859">
      <w:marLeft w:val="640"/>
      <w:marRight w:val="0"/>
      <w:marTop w:val="0"/>
      <w:marBottom w:val="0"/>
      <w:divBdr>
        <w:top w:val="none" w:sz="0" w:space="0" w:color="auto"/>
        <w:left w:val="none" w:sz="0" w:space="0" w:color="auto"/>
        <w:bottom w:val="none" w:sz="0" w:space="0" w:color="auto"/>
        <w:right w:val="none" w:sz="0" w:space="0" w:color="auto"/>
      </w:divBdr>
    </w:div>
    <w:div w:id="193230396">
      <w:marLeft w:val="640"/>
      <w:marRight w:val="0"/>
      <w:marTop w:val="0"/>
      <w:marBottom w:val="0"/>
      <w:divBdr>
        <w:top w:val="none" w:sz="0" w:space="0" w:color="auto"/>
        <w:left w:val="none" w:sz="0" w:space="0" w:color="auto"/>
        <w:bottom w:val="none" w:sz="0" w:space="0" w:color="auto"/>
        <w:right w:val="none" w:sz="0" w:space="0" w:color="auto"/>
      </w:divBdr>
    </w:div>
    <w:div w:id="193427793">
      <w:marLeft w:val="640"/>
      <w:marRight w:val="0"/>
      <w:marTop w:val="0"/>
      <w:marBottom w:val="0"/>
      <w:divBdr>
        <w:top w:val="none" w:sz="0" w:space="0" w:color="auto"/>
        <w:left w:val="none" w:sz="0" w:space="0" w:color="auto"/>
        <w:bottom w:val="none" w:sz="0" w:space="0" w:color="auto"/>
        <w:right w:val="none" w:sz="0" w:space="0" w:color="auto"/>
      </w:divBdr>
    </w:div>
    <w:div w:id="193545883">
      <w:marLeft w:val="640"/>
      <w:marRight w:val="0"/>
      <w:marTop w:val="0"/>
      <w:marBottom w:val="0"/>
      <w:divBdr>
        <w:top w:val="none" w:sz="0" w:space="0" w:color="auto"/>
        <w:left w:val="none" w:sz="0" w:space="0" w:color="auto"/>
        <w:bottom w:val="none" w:sz="0" w:space="0" w:color="auto"/>
        <w:right w:val="none" w:sz="0" w:space="0" w:color="auto"/>
      </w:divBdr>
    </w:div>
    <w:div w:id="193737483">
      <w:marLeft w:val="640"/>
      <w:marRight w:val="0"/>
      <w:marTop w:val="0"/>
      <w:marBottom w:val="0"/>
      <w:divBdr>
        <w:top w:val="none" w:sz="0" w:space="0" w:color="auto"/>
        <w:left w:val="none" w:sz="0" w:space="0" w:color="auto"/>
        <w:bottom w:val="none" w:sz="0" w:space="0" w:color="auto"/>
        <w:right w:val="none" w:sz="0" w:space="0" w:color="auto"/>
      </w:divBdr>
    </w:div>
    <w:div w:id="195000794">
      <w:marLeft w:val="640"/>
      <w:marRight w:val="0"/>
      <w:marTop w:val="0"/>
      <w:marBottom w:val="0"/>
      <w:divBdr>
        <w:top w:val="none" w:sz="0" w:space="0" w:color="auto"/>
        <w:left w:val="none" w:sz="0" w:space="0" w:color="auto"/>
        <w:bottom w:val="none" w:sz="0" w:space="0" w:color="auto"/>
        <w:right w:val="none" w:sz="0" w:space="0" w:color="auto"/>
      </w:divBdr>
    </w:div>
    <w:div w:id="195117479">
      <w:marLeft w:val="640"/>
      <w:marRight w:val="0"/>
      <w:marTop w:val="0"/>
      <w:marBottom w:val="0"/>
      <w:divBdr>
        <w:top w:val="none" w:sz="0" w:space="0" w:color="auto"/>
        <w:left w:val="none" w:sz="0" w:space="0" w:color="auto"/>
        <w:bottom w:val="none" w:sz="0" w:space="0" w:color="auto"/>
        <w:right w:val="none" w:sz="0" w:space="0" w:color="auto"/>
      </w:divBdr>
    </w:div>
    <w:div w:id="195699109">
      <w:marLeft w:val="640"/>
      <w:marRight w:val="0"/>
      <w:marTop w:val="0"/>
      <w:marBottom w:val="0"/>
      <w:divBdr>
        <w:top w:val="none" w:sz="0" w:space="0" w:color="auto"/>
        <w:left w:val="none" w:sz="0" w:space="0" w:color="auto"/>
        <w:bottom w:val="none" w:sz="0" w:space="0" w:color="auto"/>
        <w:right w:val="none" w:sz="0" w:space="0" w:color="auto"/>
      </w:divBdr>
    </w:div>
    <w:div w:id="196159160">
      <w:marLeft w:val="640"/>
      <w:marRight w:val="0"/>
      <w:marTop w:val="0"/>
      <w:marBottom w:val="0"/>
      <w:divBdr>
        <w:top w:val="none" w:sz="0" w:space="0" w:color="auto"/>
        <w:left w:val="none" w:sz="0" w:space="0" w:color="auto"/>
        <w:bottom w:val="none" w:sz="0" w:space="0" w:color="auto"/>
        <w:right w:val="none" w:sz="0" w:space="0" w:color="auto"/>
      </w:divBdr>
    </w:div>
    <w:div w:id="196890055">
      <w:marLeft w:val="640"/>
      <w:marRight w:val="0"/>
      <w:marTop w:val="0"/>
      <w:marBottom w:val="0"/>
      <w:divBdr>
        <w:top w:val="none" w:sz="0" w:space="0" w:color="auto"/>
        <w:left w:val="none" w:sz="0" w:space="0" w:color="auto"/>
        <w:bottom w:val="none" w:sz="0" w:space="0" w:color="auto"/>
        <w:right w:val="none" w:sz="0" w:space="0" w:color="auto"/>
      </w:divBdr>
    </w:div>
    <w:div w:id="198586786">
      <w:marLeft w:val="640"/>
      <w:marRight w:val="0"/>
      <w:marTop w:val="0"/>
      <w:marBottom w:val="0"/>
      <w:divBdr>
        <w:top w:val="none" w:sz="0" w:space="0" w:color="auto"/>
        <w:left w:val="none" w:sz="0" w:space="0" w:color="auto"/>
        <w:bottom w:val="none" w:sz="0" w:space="0" w:color="auto"/>
        <w:right w:val="none" w:sz="0" w:space="0" w:color="auto"/>
      </w:divBdr>
    </w:div>
    <w:div w:id="198664382">
      <w:marLeft w:val="640"/>
      <w:marRight w:val="0"/>
      <w:marTop w:val="0"/>
      <w:marBottom w:val="0"/>
      <w:divBdr>
        <w:top w:val="none" w:sz="0" w:space="0" w:color="auto"/>
        <w:left w:val="none" w:sz="0" w:space="0" w:color="auto"/>
        <w:bottom w:val="none" w:sz="0" w:space="0" w:color="auto"/>
        <w:right w:val="none" w:sz="0" w:space="0" w:color="auto"/>
      </w:divBdr>
    </w:div>
    <w:div w:id="199443975">
      <w:marLeft w:val="640"/>
      <w:marRight w:val="0"/>
      <w:marTop w:val="0"/>
      <w:marBottom w:val="0"/>
      <w:divBdr>
        <w:top w:val="none" w:sz="0" w:space="0" w:color="auto"/>
        <w:left w:val="none" w:sz="0" w:space="0" w:color="auto"/>
        <w:bottom w:val="none" w:sz="0" w:space="0" w:color="auto"/>
        <w:right w:val="none" w:sz="0" w:space="0" w:color="auto"/>
      </w:divBdr>
    </w:div>
    <w:div w:id="200167248">
      <w:marLeft w:val="640"/>
      <w:marRight w:val="0"/>
      <w:marTop w:val="0"/>
      <w:marBottom w:val="0"/>
      <w:divBdr>
        <w:top w:val="none" w:sz="0" w:space="0" w:color="auto"/>
        <w:left w:val="none" w:sz="0" w:space="0" w:color="auto"/>
        <w:bottom w:val="none" w:sz="0" w:space="0" w:color="auto"/>
        <w:right w:val="none" w:sz="0" w:space="0" w:color="auto"/>
      </w:divBdr>
    </w:div>
    <w:div w:id="200170470">
      <w:marLeft w:val="640"/>
      <w:marRight w:val="0"/>
      <w:marTop w:val="0"/>
      <w:marBottom w:val="0"/>
      <w:divBdr>
        <w:top w:val="none" w:sz="0" w:space="0" w:color="auto"/>
        <w:left w:val="none" w:sz="0" w:space="0" w:color="auto"/>
        <w:bottom w:val="none" w:sz="0" w:space="0" w:color="auto"/>
        <w:right w:val="none" w:sz="0" w:space="0" w:color="auto"/>
      </w:divBdr>
    </w:div>
    <w:div w:id="201021610">
      <w:marLeft w:val="640"/>
      <w:marRight w:val="0"/>
      <w:marTop w:val="0"/>
      <w:marBottom w:val="0"/>
      <w:divBdr>
        <w:top w:val="none" w:sz="0" w:space="0" w:color="auto"/>
        <w:left w:val="none" w:sz="0" w:space="0" w:color="auto"/>
        <w:bottom w:val="none" w:sz="0" w:space="0" w:color="auto"/>
        <w:right w:val="none" w:sz="0" w:space="0" w:color="auto"/>
      </w:divBdr>
    </w:div>
    <w:div w:id="201093304">
      <w:marLeft w:val="640"/>
      <w:marRight w:val="0"/>
      <w:marTop w:val="0"/>
      <w:marBottom w:val="0"/>
      <w:divBdr>
        <w:top w:val="none" w:sz="0" w:space="0" w:color="auto"/>
        <w:left w:val="none" w:sz="0" w:space="0" w:color="auto"/>
        <w:bottom w:val="none" w:sz="0" w:space="0" w:color="auto"/>
        <w:right w:val="none" w:sz="0" w:space="0" w:color="auto"/>
      </w:divBdr>
    </w:div>
    <w:div w:id="202599940">
      <w:marLeft w:val="640"/>
      <w:marRight w:val="0"/>
      <w:marTop w:val="0"/>
      <w:marBottom w:val="0"/>
      <w:divBdr>
        <w:top w:val="none" w:sz="0" w:space="0" w:color="auto"/>
        <w:left w:val="none" w:sz="0" w:space="0" w:color="auto"/>
        <w:bottom w:val="none" w:sz="0" w:space="0" w:color="auto"/>
        <w:right w:val="none" w:sz="0" w:space="0" w:color="auto"/>
      </w:divBdr>
    </w:div>
    <w:div w:id="202668998">
      <w:marLeft w:val="640"/>
      <w:marRight w:val="0"/>
      <w:marTop w:val="0"/>
      <w:marBottom w:val="0"/>
      <w:divBdr>
        <w:top w:val="none" w:sz="0" w:space="0" w:color="auto"/>
        <w:left w:val="none" w:sz="0" w:space="0" w:color="auto"/>
        <w:bottom w:val="none" w:sz="0" w:space="0" w:color="auto"/>
        <w:right w:val="none" w:sz="0" w:space="0" w:color="auto"/>
      </w:divBdr>
    </w:div>
    <w:div w:id="202792014">
      <w:marLeft w:val="640"/>
      <w:marRight w:val="0"/>
      <w:marTop w:val="0"/>
      <w:marBottom w:val="0"/>
      <w:divBdr>
        <w:top w:val="none" w:sz="0" w:space="0" w:color="auto"/>
        <w:left w:val="none" w:sz="0" w:space="0" w:color="auto"/>
        <w:bottom w:val="none" w:sz="0" w:space="0" w:color="auto"/>
        <w:right w:val="none" w:sz="0" w:space="0" w:color="auto"/>
      </w:divBdr>
    </w:div>
    <w:div w:id="204568701">
      <w:marLeft w:val="640"/>
      <w:marRight w:val="0"/>
      <w:marTop w:val="0"/>
      <w:marBottom w:val="0"/>
      <w:divBdr>
        <w:top w:val="none" w:sz="0" w:space="0" w:color="auto"/>
        <w:left w:val="none" w:sz="0" w:space="0" w:color="auto"/>
        <w:bottom w:val="none" w:sz="0" w:space="0" w:color="auto"/>
        <w:right w:val="none" w:sz="0" w:space="0" w:color="auto"/>
      </w:divBdr>
    </w:div>
    <w:div w:id="204634688">
      <w:marLeft w:val="640"/>
      <w:marRight w:val="0"/>
      <w:marTop w:val="0"/>
      <w:marBottom w:val="0"/>
      <w:divBdr>
        <w:top w:val="none" w:sz="0" w:space="0" w:color="auto"/>
        <w:left w:val="none" w:sz="0" w:space="0" w:color="auto"/>
        <w:bottom w:val="none" w:sz="0" w:space="0" w:color="auto"/>
        <w:right w:val="none" w:sz="0" w:space="0" w:color="auto"/>
      </w:divBdr>
    </w:div>
    <w:div w:id="205484769">
      <w:marLeft w:val="640"/>
      <w:marRight w:val="0"/>
      <w:marTop w:val="0"/>
      <w:marBottom w:val="0"/>
      <w:divBdr>
        <w:top w:val="none" w:sz="0" w:space="0" w:color="auto"/>
        <w:left w:val="none" w:sz="0" w:space="0" w:color="auto"/>
        <w:bottom w:val="none" w:sz="0" w:space="0" w:color="auto"/>
        <w:right w:val="none" w:sz="0" w:space="0" w:color="auto"/>
      </w:divBdr>
    </w:div>
    <w:div w:id="207690212">
      <w:marLeft w:val="640"/>
      <w:marRight w:val="0"/>
      <w:marTop w:val="0"/>
      <w:marBottom w:val="0"/>
      <w:divBdr>
        <w:top w:val="none" w:sz="0" w:space="0" w:color="auto"/>
        <w:left w:val="none" w:sz="0" w:space="0" w:color="auto"/>
        <w:bottom w:val="none" w:sz="0" w:space="0" w:color="auto"/>
        <w:right w:val="none" w:sz="0" w:space="0" w:color="auto"/>
      </w:divBdr>
    </w:div>
    <w:div w:id="209611704">
      <w:marLeft w:val="640"/>
      <w:marRight w:val="0"/>
      <w:marTop w:val="0"/>
      <w:marBottom w:val="0"/>
      <w:divBdr>
        <w:top w:val="none" w:sz="0" w:space="0" w:color="auto"/>
        <w:left w:val="none" w:sz="0" w:space="0" w:color="auto"/>
        <w:bottom w:val="none" w:sz="0" w:space="0" w:color="auto"/>
        <w:right w:val="none" w:sz="0" w:space="0" w:color="auto"/>
      </w:divBdr>
    </w:div>
    <w:div w:id="209923615">
      <w:marLeft w:val="640"/>
      <w:marRight w:val="0"/>
      <w:marTop w:val="0"/>
      <w:marBottom w:val="0"/>
      <w:divBdr>
        <w:top w:val="none" w:sz="0" w:space="0" w:color="auto"/>
        <w:left w:val="none" w:sz="0" w:space="0" w:color="auto"/>
        <w:bottom w:val="none" w:sz="0" w:space="0" w:color="auto"/>
        <w:right w:val="none" w:sz="0" w:space="0" w:color="auto"/>
      </w:divBdr>
    </w:div>
    <w:div w:id="210649941">
      <w:marLeft w:val="640"/>
      <w:marRight w:val="0"/>
      <w:marTop w:val="0"/>
      <w:marBottom w:val="0"/>
      <w:divBdr>
        <w:top w:val="none" w:sz="0" w:space="0" w:color="auto"/>
        <w:left w:val="none" w:sz="0" w:space="0" w:color="auto"/>
        <w:bottom w:val="none" w:sz="0" w:space="0" w:color="auto"/>
        <w:right w:val="none" w:sz="0" w:space="0" w:color="auto"/>
      </w:divBdr>
    </w:div>
    <w:div w:id="210773661">
      <w:marLeft w:val="640"/>
      <w:marRight w:val="0"/>
      <w:marTop w:val="0"/>
      <w:marBottom w:val="0"/>
      <w:divBdr>
        <w:top w:val="none" w:sz="0" w:space="0" w:color="auto"/>
        <w:left w:val="none" w:sz="0" w:space="0" w:color="auto"/>
        <w:bottom w:val="none" w:sz="0" w:space="0" w:color="auto"/>
        <w:right w:val="none" w:sz="0" w:space="0" w:color="auto"/>
      </w:divBdr>
    </w:div>
    <w:div w:id="211961994">
      <w:marLeft w:val="640"/>
      <w:marRight w:val="0"/>
      <w:marTop w:val="0"/>
      <w:marBottom w:val="0"/>
      <w:divBdr>
        <w:top w:val="none" w:sz="0" w:space="0" w:color="auto"/>
        <w:left w:val="none" w:sz="0" w:space="0" w:color="auto"/>
        <w:bottom w:val="none" w:sz="0" w:space="0" w:color="auto"/>
        <w:right w:val="none" w:sz="0" w:space="0" w:color="auto"/>
      </w:divBdr>
    </w:div>
    <w:div w:id="214321181">
      <w:marLeft w:val="640"/>
      <w:marRight w:val="0"/>
      <w:marTop w:val="0"/>
      <w:marBottom w:val="0"/>
      <w:divBdr>
        <w:top w:val="none" w:sz="0" w:space="0" w:color="auto"/>
        <w:left w:val="none" w:sz="0" w:space="0" w:color="auto"/>
        <w:bottom w:val="none" w:sz="0" w:space="0" w:color="auto"/>
        <w:right w:val="none" w:sz="0" w:space="0" w:color="auto"/>
      </w:divBdr>
    </w:div>
    <w:div w:id="215118794">
      <w:marLeft w:val="640"/>
      <w:marRight w:val="0"/>
      <w:marTop w:val="0"/>
      <w:marBottom w:val="0"/>
      <w:divBdr>
        <w:top w:val="none" w:sz="0" w:space="0" w:color="auto"/>
        <w:left w:val="none" w:sz="0" w:space="0" w:color="auto"/>
        <w:bottom w:val="none" w:sz="0" w:space="0" w:color="auto"/>
        <w:right w:val="none" w:sz="0" w:space="0" w:color="auto"/>
      </w:divBdr>
    </w:div>
    <w:div w:id="216207381">
      <w:marLeft w:val="640"/>
      <w:marRight w:val="0"/>
      <w:marTop w:val="0"/>
      <w:marBottom w:val="0"/>
      <w:divBdr>
        <w:top w:val="none" w:sz="0" w:space="0" w:color="auto"/>
        <w:left w:val="none" w:sz="0" w:space="0" w:color="auto"/>
        <w:bottom w:val="none" w:sz="0" w:space="0" w:color="auto"/>
        <w:right w:val="none" w:sz="0" w:space="0" w:color="auto"/>
      </w:divBdr>
    </w:div>
    <w:div w:id="216357884">
      <w:marLeft w:val="640"/>
      <w:marRight w:val="0"/>
      <w:marTop w:val="0"/>
      <w:marBottom w:val="0"/>
      <w:divBdr>
        <w:top w:val="none" w:sz="0" w:space="0" w:color="auto"/>
        <w:left w:val="none" w:sz="0" w:space="0" w:color="auto"/>
        <w:bottom w:val="none" w:sz="0" w:space="0" w:color="auto"/>
        <w:right w:val="none" w:sz="0" w:space="0" w:color="auto"/>
      </w:divBdr>
    </w:div>
    <w:div w:id="216624675">
      <w:marLeft w:val="640"/>
      <w:marRight w:val="0"/>
      <w:marTop w:val="0"/>
      <w:marBottom w:val="0"/>
      <w:divBdr>
        <w:top w:val="none" w:sz="0" w:space="0" w:color="auto"/>
        <w:left w:val="none" w:sz="0" w:space="0" w:color="auto"/>
        <w:bottom w:val="none" w:sz="0" w:space="0" w:color="auto"/>
        <w:right w:val="none" w:sz="0" w:space="0" w:color="auto"/>
      </w:divBdr>
    </w:div>
    <w:div w:id="219177878">
      <w:marLeft w:val="640"/>
      <w:marRight w:val="0"/>
      <w:marTop w:val="0"/>
      <w:marBottom w:val="0"/>
      <w:divBdr>
        <w:top w:val="none" w:sz="0" w:space="0" w:color="auto"/>
        <w:left w:val="none" w:sz="0" w:space="0" w:color="auto"/>
        <w:bottom w:val="none" w:sz="0" w:space="0" w:color="auto"/>
        <w:right w:val="none" w:sz="0" w:space="0" w:color="auto"/>
      </w:divBdr>
    </w:div>
    <w:div w:id="220484525">
      <w:marLeft w:val="640"/>
      <w:marRight w:val="0"/>
      <w:marTop w:val="0"/>
      <w:marBottom w:val="0"/>
      <w:divBdr>
        <w:top w:val="none" w:sz="0" w:space="0" w:color="auto"/>
        <w:left w:val="none" w:sz="0" w:space="0" w:color="auto"/>
        <w:bottom w:val="none" w:sz="0" w:space="0" w:color="auto"/>
        <w:right w:val="none" w:sz="0" w:space="0" w:color="auto"/>
      </w:divBdr>
    </w:div>
    <w:div w:id="220943733">
      <w:marLeft w:val="640"/>
      <w:marRight w:val="0"/>
      <w:marTop w:val="0"/>
      <w:marBottom w:val="0"/>
      <w:divBdr>
        <w:top w:val="none" w:sz="0" w:space="0" w:color="auto"/>
        <w:left w:val="none" w:sz="0" w:space="0" w:color="auto"/>
        <w:bottom w:val="none" w:sz="0" w:space="0" w:color="auto"/>
        <w:right w:val="none" w:sz="0" w:space="0" w:color="auto"/>
      </w:divBdr>
    </w:div>
    <w:div w:id="221066450">
      <w:marLeft w:val="640"/>
      <w:marRight w:val="0"/>
      <w:marTop w:val="0"/>
      <w:marBottom w:val="0"/>
      <w:divBdr>
        <w:top w:val="none" w:sz="0" w:space="0" w:color="auto"/>
        <w:left w:val="none" w:sz="0" w:space="0" w:color="auto"/>
        <w:bottom w:val="none" w:sz="0" w:space="0" w:color="auto"/>
        <w:right w:val="none" w:sz="0" w:space="0" w:color="auto"/>
      </w:divBdr>
    </w:div>
    <w:div w:id="221446627">
      <w:marLeft w:val="640"/>
      <w:marRight w:val="0"/>
      <w:marTop w:val="0"/>
      <w:marBottom w:val="0"/>
      <w:divBdr>
        <w:top w:val="none" w:sz="0" w:space="0" w:color="auto"/>
        <w:left w:val="none" w:sz="0" w:space="0" w:color="auto"/>
        <w:bottom w:val="none" w:sz="0" w:space="0" w:color="auto"/>
        <w:right w:val="none" w:sz="0" w:space="0" w:color="auto"/>
      </w:divBdr>
    </w:div>
    <w:div w:id="221447167">
      <w:marLeft w:val="640"/>
      <w:marRight w:val="0"/>
      <w:marTop w:val="0"/>
      <w:marBottom w:val="0"/>
      <w:divBdr>
        <w:top w:val="none" w:sz="0" w:space="0" w:color="auto"/>
        <w:left w:val="none" w:sz="0" w:space="0" w:color="auto"/>
        <w:bottom w:val="none" w:sz="0" w:space="0" w:color="auto"/>
        <w:right w:val="none" w:sz="0" w:space="0" w:color="auto"/>
      </w:divBdr>
    </w:div>
    <w:div w:id="221798393">
      <w:marLeft w:val="640"/>
      <w:marRight w:val="0"/>
      <w:marTop w:val="0"/>
      <w:marBottom w:val="0"/>
      <w:divBdr>
        <w:top w:val="none" w:sz="0" w:space="0" w:color="auto"/>
        <w:left w:val="none" w:sz="0" w:space="0" w:color="auto"/>
        <w:bottom w:val="none" w:sz="0" w:space="0" w:color="auto"/>
        <w:right w:val="none" w:sz="0" w:space="0" w:color="auto"/>
      </w:divBdr>
    </w:div>
    <w:div w:id="222064642">
      <w:marLeft w:val="640"/>
      <w:marRight w:val="0"/>
      <w:marTop w:val="0"/>
      <w:marBottom w:val="0"/>
      <w:divBdr>
        <w:top w:val="none" w:sz="0" w:space="0" w:color="auto"/>
        <w:left w:val="none" w:sz="0" w:space="0" w:color="auto"/>
        <w:bottom w:val="none" w:sz="0" w:space="0" w:color="auto"/>
        <w:right w:val="none" w:sz="0" w:space="0" w:color="auto"/>
      </w:divBdr>
    </w:div>
    <w:div w:id="222449995">
      <w:marLeft w:val="640"/>
      <w:marRight w:val="0"/>
      <w:marTop w:val="0"/>
      <w:marBottom w:val="0"/>
      <w:divBdr>
        <w:top w:val="none" w:sz="0" w:space="0" w:color="auto"/>
        <w:left w:val="none" w:sz="0" w:space="0" w:color="auto"/>
        <w:bottom w:val="none" w:sz="0" w:space="0" w:color="auto"/>
        <w:right w:val="none" w:sz="0" w:space="0" w:color="auto"/>
      </w:divBdr>
    </w:div>
    <w:div w:id="223182050">
      <w:marLeft w:val="640"/>
      <w:marRight w:val="0"/>
      <w:marTop w:val="0"/>
      <w:marBottom w:val="0"/>
      <w:divBdr>
        <w:top w:val="none" w:sz="0" w:space="0" w:color="auto"/>
        <w:left w:val="none" w:sz="0" w:space="0" w:color="auto"/>
        <w:bottom w:val="none" w:sz="0" w:space="0" w:color="auto"/>
        <w:right w:val="none" w:sz="0" w:space="0" w:color="auto"/>
      </w:divBdr>
    </w:div>
    <w:div w:id="224141934">
      <w:marLeft w:val="640"/>
      <w:marRight w:val="0"/>
      <w:marTop w:val="0"/>
      <w:marBottom w:val="0"/>
      <w:divBdr>
        <w:top w:val="none" w:sz="0" w:space="0" w:color="auto"/>
        <w:left w:val="none" w:sz="0" w:space="0" w:color="auto"/>
        <w:bottom w:val="none" w:sz="0" w:space="0" w:color="auto"/>
        <w:right w:val="none" w:sz="0" w:space="0" w:color="auto"/>
      </w:divBdr>
    </w:div>
    <w:div w:id="224924519">
      <w:marLeft w:val="640"/>
      <w:marRight w:val="0"/>
      <w:marTop w:val="0"/>
      <w:marBottom w:val="0"/>
      <w:divBdr>
        <w:top w:val="none" w:sz="0" w:space="0" w:color="auto"/>
        <w:left w:val="none" w:sz="0" w:space="0" w:color="auto"/>
        <w:bottom w:val="none" w:sz="0" w:space="0" w:color="auto"/>
        <w:right w:val="none" w:sz="0" w:space="0" w:color="auto"/>
      </w:divBdr>
    </w:div>
    <w:div w:id="225730696">
      <w:marLeft w:val="640"/>
      <w:marRight w:val="0"/>
      <w:marTop w:val="0"/>
      <w:marBottom w:val="0"/>
      <w:divBdr>
        <w:top w:val="none" w:sz="0" w:space="0" w:color="auto"/>
        <w:left w:val="none" w:sz="0" w:space="0" w:color="auto"/>
        <w:bottom w:val="none" w:sz="0" w:space="0" w:color="auto"/>
        <w:right w:val="none" w:sz="0" w:space="0" w:color="auto"/>
      </w:divBdr>
    </w:div>
    <w:div w:id="226037068">
      <w:marLeft w:val="640"/>
      <w:marRight w:val="0"/>
      <w:marTop w:val="0"/>
      <w:marBottom w:val="0"/>
      <w:divBdr>
        <w:top w:val="none" w:sz="0" w:space="0" w:color="auto"/>
        <w:left w:val="none" w:sz="0" w:space="0" w:color="auto"/>
        <w:bottom w:val="none" w:sz="0" w:space="0" w:color="auto"/>
        <w:right w:val="none" w:sz="0" w:space="0" w:color="auto"/>
      </w:divBdr>
    </w:div>
    <w:div w:id="226041416">
      <w:marLeft w:val="640"/>
      <w:marRight w:val="0"/>
      <w:marTop w:val="0"/>
      <w:marBottom w:val="0"/>
      <w:divBdr>
        <w:top w:val="none" w:sz="0" w:space="0" w:color="auto"/>
        <w:left w:val="none" w:sz="0" w:space="0" w:color="auto"/>
        <w:bottom w:val="none" w:sz="0" w:space="0" w:color="auto"/>
        <w:right w:val="none" w:sz="0" w:space="0" w:color="auto"/>
      </w:divBdr>
    </w:div>
    <w:div w:id="226578255">
      <w:marLeft w:val="640"/>
      <w:marRight w:val="0"/>
      <w:marTop w:val="0"/>
      <w:marBottom w:val="0"/>
      <w:divBdr>
        <w:top w:val="none" w:sz="0" w:space="0" w:color="auto"/>
        <w:left w:val="none" w:sz="0" w:space="0" w:color="auto"/>
        <w:bottom w:val="none" w:sz="0" w:space="0" w:color="auto"/>
        <w:right w:val="none" w:sz="0" w:space="0" w:color="auto"/>
      </w:divBdr>
    </w:div>
    <w:div w:id="227112239">
      <w:marLeft w:val="640"/>
      <w:marRight w:val="0"/>
      <w:marTop w:val="0"/>
      <w:marBottom w:val="0"/>
      <w:divBdr>
        <w:top w:val="none" w:sz="0" w:space="0" w:color="auto"/>
        <w:left w:val="none" w:sz="0" w:space="0" w:color="auto"/>
        <w:bottom w:val="none" w:sz="0" w:space="0" w:color="auto"/>
        <w:right w:val="none" w:sz="0" w:space="0" w:color="auto"/>
      </w:divBdr>
    </w:div>
    <w:div w:id="227151292">
      <w:marLeft w:val="640"/>
      <w:marRight w:val="0"/>
      <w:marTop w:val="0"/>
      <w:marBottom w:val="0"/>
      <w:divBdr>
        <w:top w:val="none" w:sz="0" w:space="0" w:color="auto"/>
        <w:left w:val="none" w:sz="0" w:space="0" w:color="auto"/>
        <w:bottom w:val="none" w:sz="0" w:space="0" w:color="auto"/>
        <w:right w:val="none" w:sz="0" w:space="0" w:color="auto"/>
      </w:divBdr>
    </w:div>
    <w:div w:id="227155235">
      <w:marLeft w:val="640"/>
      <w:marRight w:val="0"/>
      <w:marTop w:val="0"/>
      <w:marBottom w:val="0"/>
      <w:divBdr>
        <w:top w:val="none" w:sz="0" w:space="0" w:color="auto"/>
        <w:left w:val="none" w:sz="0" w:space="0" w:color="auto"/>
        <w:bottom w:val="none" w:sz="0" w:space="0" w:color="auto"/>
        <w:right w:val="none" w:sz="0" w:space="0" w:color="auto"/>
      </w:divBdr>
    </w:div>
    <w:div w:id="230233929">
      <w:marLeft w:val="640"/>
      <w:marRight w:val="0"/>
      <w:marTop w:val="0"/>
      <w:marBottom w:val="0"/>
      <w:divBdr>
        <w:top w:val="none" w:sz="0" w:space="0" w:color="auto"/>
        <w:left w:val="none" w:sz="0" w:space="0" w:color="auto"/>
        <w:bottom w:val="none" w:sz="0" w:space="0" w:color="auto"/>
        <w:right w:val="none" w:sz="0" w:space="0" w:color="auto"/>
      </w:divBdr>
    </w:div>
    <w:div w:id="230503411">
      <w:marLeft w:val="640"/>
      <w:marRight w:val="0"/>
      <w:marTop w:val="0"/>
      <w:marBottom w:val="0"/>
      <w:divBdr>
        <w:top w:val="none" w:sz="0" w:space="0" w:color="auto"/>
        <w:left w:val="none" w:sz="0" w:space="0" w:color="auto"/>
        <w:bottom w:val="none" w:sz="0" w:space="0" w:color="auto"/>
        <w:right w:val="none" w:sz="0" w:space="0" w:color="auto"/>
      </w:divBdr>
    </w:div>
    <w:div w:id="230820048">
      <w:marLeft w:val="640"/>
      <w:marRight w:val="0"/>
      <w:marTop w:val="0"/>
      <w:marBottom w:val="0"/>
      <w:divBdr>
        <w:top w:val="none" w:sz="0" w:space="0" w:color="auto"/>
        <w:left w:val="none" w:sz="0" w:space="0" w:color="auto"/>
        <w:bottom w:val="none" w:sz="0" w:space="0" w:color="auto"/>
        <w:right w:val="none" w:sz="0" w:space="0" w:color="auto"/>
      </w:divBdr>
    </w:div>
    <w:div w:id="230972507">
      <w:marLeft w:val="640"/>
      <w:marRight w:val="0"/>
      <w:marTop w:val="0"/>
      <w:marBottom w:val="0"/>
      <w:divBdr>
        <w:top w:val="none" w:sz="0" w:space="0" w:color="auto"/>
        <w:left w:val="none" w:sz="0" w:space="0" w:color="auto"/>
        <w:bottom w:val="none" w:sz="0" w:space="0" w:color="auto"/>
        <w:right w:val="none" w:sz="0" w:space="0" w:color="auto"/>
      </w:divBdr>
    </w:div>
    <w:div w:id="231544252">
      <w:marLeft w:val="640"/>
      <w:marRight w:val="0"/>
      <w:marTop w:val="0"/>
      <w:marBottom w:val="0"/>
      <w:divBdr>
        <w:top w:val="none" w:sz="0" w:space="0" w:color="auto"/>
        <w:left w:val="none" w:sz="0" w:space="0" w:color="auto"/>
        <w:bottom w:val="none" w:sz="0" w:space="0" w:color="auto"/>
        <w:right w:val="none" w:sz="0" w:space="0" w:color="auto"/>
      </w:divBdr>
    </w:div>
    <w:div w:id="231934543">
      <w:marLeft w:val="640"/>
      <w:marRight w:val="0"/>
      <w:marTop w:val="0"/>
      <w:marBottom w:val="0"/>
      <w:divBdr>
        <w:top w:val="none" w:sz="0" w:space="0" w:color="auto"/>
        <w:left w:val="none" w:sz="0" w:space="0" w:color="auto"/>
        <w:bottom w:val="none" w:sz="0" w:space="0" w:color="auto"/>
        <w:right w:val="none" w:sz="0" w:space="0" w:color="auto"/>
      </w:divBdr>
    </w:div>
    <w:div w:id="233197681">
      <w:marLeft w:val="640"/>
      <w:marRight w:val="0"/>
      <w:marTop w:val="0"/>
      <w:marBottom w:val="0"/>
      <w:divBdr>
        <w:top w:val="none" w:sz="0" w:space="0" w:color="auto"/>
        <w:left w:val="none" w:sz="0" w:space="0" w:color="auto"/>
        <w:bottom w:val="none" w:sz="0" w:space="0" w:color="auto"/>
        <w:right w:val="none" w:sz="0" w:space="0" w:color="auto"/>
      </w:divBdr>
    </w:div>
    <w:div w:id="233593264">
      <w:marLeft w:val="640"/>
      <w:marRight w:val="0"/>
      <w:marTop w:val="0"/>
      <w:marBottom w:val="0"/>
      <w:divBdr>
        <w:top w:val="none" w:sz="0" w:space="0" w:color="auto"/>
        <w:left w:val="none" w:sz="0" w:space="0" w:color="auto"/>
        <w:bottom w:val="none" w:sz="0" w:space="0" w:color="auto"/>
        <w:right w:val="none" w:sz="0" w:space="0" w:color="auto"/>
      </w:divBdr>
    </w:div>
    <w:div w:id="234096922">
      <w:marLeft w:val="640"/>
      <w:marRight w:val="0"/>
      <w:marTop w:val="0"/>
      <w:marBottom w:val="0"/>
      <w:divBdr>
        <w:top w:val="none" w:sz="0" w:space="0" w:color="auto"/>
        <w:left w:val="none" w:sz="0" w:space="0" w:color="auto"/>
        <w:bottom w:val="none" w:sz="0" w:space="0" w:color="auto"/>
        <w:right w:val="none" w:sz="0" w:space="0" w:color="auto"/>
      </w:divBdr>
    </w:div>
    <w:div w:id="234240784">
      <w:marLeft w:val="640"/>
      <w:marRight w:val="0"/>
      <w:marTop w:val="0"/>
      <w:marBottom w:val="0"/>
      <w:divBdr>
        <w:top w:val="none" w:sz="0" w:space="0" w:color="auto"/>
        <w:left w:val="none" w:sz="0" w:space="0" w:color="auto"/>
        <w:bottom w:val="none" w:sz="0" w:space="0" w:color="auto"/>
        <w:right w:val="none" w:sz="0" w:space="0" w:color="auto"/>
      </w:divBdr>
    </w:div>
    <w:div w:id="236403839">
      <w:marLeft w:val="640"/>
      <w:marRight w:val="0"/>
      <w:marTop w:val="0"/>
      <w:marBottom w:val="0"/>
      <w:divBdr>
        <w:top w:val="none" w:sz="0" w:space="0" w:color="auto"/>
        <w:left w:val="none" w:sz="0" w:space="0" w:color="auto"/>
        <w:bottom w:val="none" w:sz="0" w:space="0" w:color="auto"/>
        <w:right w:val="none" w:sz="0" w:space="0" w:color="auto"/>
      </w:divBdr>
    </w:div>
    <w:div w:id="236525061">
      <w:marLeft w:val="640"/>
      <w:marRight w:val="0"/>
      <w:marTop w:val="0"/>
      <w:marBottom w:val="0"/>
      <w:divBdr>
        <w:top w:val="none" w:sz="0" w:space="0" w:color="auto"/>
        <w:left w:val="none" w:sz="0" w:space="0" w:color="auto"/>
        <w:bottom w:val="none" w:sz="0" w:space="0" w:color="auto"/>
        <w:right w:val="none" w:sz="0" w:space="0" w:color="auto"/>
      </w:divBdr>
    </w:div>
    <w:div w:id="236719437">
      <w:marLeft w:val="640"/>
      <w:marRight w:val="0"/>
      <w:marTop w:val="0"/>
      <w:marBottom w:val="0"/>
      <w:divBdr>
        <w:top w:val="none" w:sz="0" w:space="0" w:color="auto"/>
        <w:left w:val="none" w:sz="0" w:space="0" w:color="auto"/>
        <w:bottom w:val="none" w:sz="0" w:space="0" w:color="auto"/>
        <w:right w:val="none" w:sz="0" w:space="0" w:color="auto"/>
      </w:divBdr>
    </w:div>
    <w:div w:id="236792597">
      <w:marLeft w:val="640"/>
      <w:marRight w:val="0"/>
      <w:marTop w:val="0"/>
      <w:marBottom w:val="0"/>
      <w:divBdr>
        <w:top w:val="none" w:sz="0" w:space="0" w:color="auto"/>
        <w:left w:val="none" w:sz="0" w:space="0" w:color="auto"/>
        <w:bottom w:val="none" w:sz="0" w:space="0" w:color="auto"/>
        <w:right w:val="none" w:sz="0" w:space="0" w:color="auto"/>
      </w:divBdr>
    </w:div>
    <w:div w:id="237250986">
      <w:marLeft w:val="640"/>
      <w:marRight w:val="0"/>
      <w:marTop w:val="0"/>
      <w:marBottom w:val="0"/>
      <w:divBdr>
        <w:top w:val="none" w:sz="0" w:space="0" w:color="auto"/>
        <w:left w:val="none" w:sz="0" w:space="0" w:color="auto"/>
        <w:bottom w:val="none" w:sz="0" w:space="0" w:color="auto"/>
        <w:right w:val="none" w:sz="0" w:space="0" w:color="auto"/>
      </w:divBdr>
    </w:div>
    <w:div w:id="237401041">
      <w:marLeft w:val="640"/>
      <w:marRight w:val="0"/>
      <w:marTop w:val="0"/>
      <w:marBottom w:val="0"/>
      <w:divBdr>
        <w:top w:val="none" w:sz="0" w:space="0" w:color="auto"/>
        <w:left w:val="none" w:sz="0" w:space="0" w:color="auto"/>
        <w:bottom w:val="none" w:sz="0" w:space="0" w:color="auto"/>
        <w:right w:val="none" w:sz="0" w:space="0" w:color="auto"/>
      </w:divBdr>
    </w:div>
    <w:div w:id="237443841">
      <w:marLeft w:val="640"/>
      <w:marRight w:val="0"/>
      <w:marTop w:val="0"/>
      <w:marBottom w:val="0"/>
      <w:divBdr>
        <w:top w:val="none" w:sz="0" w:space="0" w:color="auto"/>
        <w:left w:val="none" w:sz="0" w:space="0" w:color="auto"/>
        <w:bottom w:val="none" w:sz="0" w:space="0" w:color="auto"/>
        <w:right w:val="none" w:sz="0" w:space="0" w:color="auto"/>
      </w:divBdr>
    </w:div>
    <w:div w:id="237594636">
      <w:marLeft w:val="640"/>
      <w:marRight w:val="0"/>
      <w:marTop w:val="0"/>
      <w:marBottom w:val="0"/>
      <w:divBdr>
        <w:top w:val="none" w:sz="0" w:space="0" w:color="auto"/>
        <w:left w:val="none" w:sz="0" w:space="0" w:color="auto"/>
        <w:bottom w:val="none" w:sz="0" w:space="0" w:color="auto"/>
        <w:right w:val="none" w:sz="0" w:space="0" w:color="auto"/>
      </w:divBdr>
    </w:div>
    <w:div w:id="238684926">
      <w:marLeft w:val="640"/>
      <w:marRight w:val="0"/>
      <w:marTop w:val="0"/>
      <w:marBottom w:val="0"/>
      <w:divBdr>
        <w:top w:val="none" w:sz="0" w:space="0" w:color="auto"/>
        <w:left w:val="none" w:sz="0" w:space="0" w:color="auto"/>
        <w:bottom w:val="none" w:sz="0" w:space="0" w:color="auto"/>
        <w:right w:val="none" w:sz="0" w:space="0" w:color="auto"/>
      </w:divBdr>
    </w:div>
    <w:div w:id="238752025">
      <w:marLeft w:val="640"/>
      <w:marRight w:val="0"/>
      <w:marTop w:val="0"/>
      <w:marBottom w:val="0"/>
      <w:divBdr>
        <w:top w:val="none" w:sz="0" w:space="0" w:color="auto"/>
        <w:left w:val="none" w:sz="0" w:space="0" w:color="auto"/>
        <w:bottom w:val="none" w:sz="0" w:space="0" w:color="auto"/>
        <w:right w:val="none" w:sz="0" w:space="0" w:color="auto"/>
      </w:divBdr>
    </w:div>
    <w:div w:id="238905068">
      <w:marLeft w:val="640"/>
      <w:marRight w:val="0"/>
      <w:marTop w:val="0"/>
      <w:marBottom w:val="0"/>
      <w:divBdr>
        <w:top w:val="none" w:sz="0" w:space="0" w:color="auto"/>
        <w:left w:val="none" w:sz="0" w:space="0" w:color="auto"/>
        <w:bottom w:val="none" w:sz="0" w:space="0" w:color="auto"/>
        <w:right w:val="none" w:sz="0" w:space="0" w:color="auto"/>
      </w:divBdr>
    </w:div>
    <w:div w:id="238949698">
      <w:marLeft w:val="640"/>
      <w:marRight w:val="0"/>
      <w:marTop w:val="0"/>
      <w:marBottom w:val="0"/>
      <w:divBdr>
        <w:top w:val="none" w:sz="0" w:space="0" w:color="auto"/>
        <w:left w:val="none" w:sz="0" w:space="0" w:color="auto"/>
        <w:bottom w:val="none" w:sz="0" w:space="0" w:color="auto"/>
        <w:right w:val="none" w:sz="0" w:space="0" w:color="auto"/>
      </w:divBdr>
    </w:div>
    <w:div w:id="239170553">
      <w:marLeft w:val="640"/>
      <w:marRight w:val="0"/>
      <w:marTop w:val="0"/>
      <w:marBottom w:val="0"/>
      <w:divBdr>
        <w:top w:val="none" w:sz="0" w:space="0" w:color="auto"/>
        <w:left w:val="none" w:sz="0" w:space="0" w:color="auto"/>
        <w:bottom w:val="none" w:sz="0" w:space="0" w:color="auto"/>
        <w:right w:val="none" w:sz="0" w:space="0" w:color="auto"/>
      </w:divBdr>
    </w:div>
    <w:div w:id="239796745">
      <w:marLeft w:val="640"/>
      <w:marRight w:val="0"/>
      <w:marTop w:val="0"/>
      <w:marBottom w:val="0"/>
      <w:divBdr>
        <w:top w:val="none" w:sz="0" w:space="0" w:color="auto"/>
        <w:left w:val="none" w:sz="0" w:space="0" w:color="auto"/>
        <w:bottom w:val="none" w:sz="0" w:space="0" w:color="auto"/>
        <w:right w:val="none" w:sz="0" w:space="0" w:color="auto"/>
      </w:divBdr>
    </w:div>
    <w:div w:id="240062603">
      <w:marLeft w:val="640"/>
      <w:marRight w:val="0"/>
      <w:marTop w:val="0"/>
      <w:marBottom w:val="0"/>
      <w:divBdr>
        <w:top w:val="none" w:sz="0" w:space="0" w:color="auto"/>
        <w:left w:val="none" w:sz="0" w:space="0" w:color="auto"/>
        <w:bottom w:val="none" w:sz="0" w:space="0" w:color="auto"/>
        <w:right w:val="none" w:sz="0" w:space="0" w:color="auto"/>
      </w:divBdr>
    </w:div>
    <w:div w:id="240331838">
      <w:marLeft w:val="640"/>
      <w:marRight w:val="0"/>
      <w:marTop w:val="0"/>
      <w:marBottom w:val="0"/>
      <w:divBdr>
        <w:top w:val="none" w:sz="0" w:space="0" w:color="auto"/>
        <w:left w:val="none" w:sz="0" w:space="0" w:color="auto"/>
        <w:bottom w:val="none" w:sz="0" w:space="0" w:color="auto"/>
        <w:right w:val="none" w:sz="0" w:space="0" w:color="auto"/>
      </w:divBdr>
    </w:div>
    <w:div w:id="240525012">
      <w:marLeft w:val="640"/>
      <w:marRight w:val="0"/>
      <w:marTop w:val="0"/>
      <w:marBottom w:val="0"/>
      <w:divBdr>
        <w:top w:val="none" w:sz="0" w:space="0" w:color="auto"/>
        <w:left w:val="none" w:sz="0" w:space="0" w:color="auto"/>
        <w:bottom w:val="none" w:sz="0" w:space="0" w:color="auto"/>
        <w:right w:val="none" w:sz="0" w:space="0" w:color="auto"/>
      </w:divBdr>
    </w:div>
    <w:div w:id="241258326">
      <w:marLeft w:val="640"/>
      <w:marRight w:val="0"/>
      <w:marTop w:val="0"/>
      <w:marBottom w:val="0"/>
      <w:divBdr>
        <w:top w:val="none" w:sz="0" w:space="0" w:color="auto"/>
        <w:left w:val="none" w:sz="0" w:space="0" w:color="auto"/>
        <w:bottom w:val="none" w:sz="0" w:space="0" w:color="auto"/>
        <w:right w:val="none" w:sz="0" w:space="0" w:color="auto"/>
      </w:divBdr>
    </w:div>
    <w:div w:id="241526055">
      <w:marLeft w:val="640"/>
      <w:marRight w:val="0"/>
      <w:marTop w:val="0"/>
      <w:marBottom w:val="0"/>
      <w:divBdr>
        <w:top w:val="none" w:sz="0" w:space="0" w:color="auto"/>
        <w:left w:val="none" w:sz="0" w:space="0" w:color="auto"/>
        <w:bottom w:val="none" w:sz="0" w:space="0" w:color="auto"/>
        <w:right w:val="none" w:sz="0" w:space="0" w:color="auto"/>
      </w:divBdr>
    </w:div>
    <w:div w:id="242302864">
      <w:marLeft w:val="640"/>
      <w:marRight w:val="0"/>
      <w:marTop w:val="0"/>
      <w:marBottom w:val="0"/>
      <w:divBdr>
        <w:top w:val="none" w:sz="0" w:space="0" w:color="auto"/>
        <w:left w:val="none" w:sz="0" w:space="0" w:color="auto"/>
        <w:bottom w:val="none" w:sz="0" w:space="0" w:color="auto"/>
        <w:right w:val="none" w:sz="0" w:space="0" w:color="auto"/>
      </w:divBdr>
    </w:div>
    <w:div w:id="242957036">
      <w:marLeft w:val="640"/>
      <w:marRight w:val="0"/>
      <w:marTop w:val="0"/>
      <w:marBottom w:val="0"/>
      <w:divBdr>
        <w:top w:val="none" w:sz="0" w:space="0" w:color="auto"/>
        <w:left w:val="none" w:sz="0" w:space="0" w:color="auto"/>
        <w:bottom w:val="none" w:sz="0" w:space="0" w:color="auto"/>
        <w:right w:val="none" w:sz="0" w:space="0" w:color="auto"/>
      </w:divBdr>
    </w:div>
    <w:div w:id="243026598">
      <w:marLeft w:val="640"/>
      <w:marRight w:val="0"/>
      <w:marTop w:val="0"/>
      <w:marBottom w:val="0"/>
      <w:divBdr>
        <w:top w:val="none" w:sz="0" w:space="0" w:color="auto"/>
        <w:left w:val="none" w:sz="0" w:space="0" w:color="auto"/>
        <w:bottom w:val="none" w:sz="0" w:space="0" w:color="auto"/>
        <w:right w:val="none" w:sz="0" w:space="0" w:color="auto"/>
      </w:divBdr>
    </w:div>
    <w:div w:id="243075479">
      <w:marLeft w:val="640"/>
      <w:marRight w:val="0"/>
      <w:marTop w:val="0"/>
      <w:marBottom w:val="0"/>
      <w:divBdr>
        <w:top w:val="none" w:sz="0" w:space="0" w:color="auto"/>
        <w:left w:val="none" w:sz="0" w:space="0" w:color="auto"/>
        <w:bottom w:val="none" w:sz="0" w:space="0" w:color="auto"/>
        <w:right w:val="none" w:sz="0" w:space="0" w:color="auto"/>
      </w:divBdr>
    </w:div>
    <w:div w:id="243684957">
      <w:marLeft w:val="640"/>
      <w:marRight w:val="0"/>
      <w:marTop w:val="0"/>
      <w:marBottom w:val="0"/>
      <w:divBdr>
        <w:top w:val="none" w:sz="0" w:space="0" w:color="auto"/>
        <w:left w:val="none" w:sz="0" w:space="0" w:color="auto"/>
        <w:bottom w:val="none" w:sz="0" w:space="0" w:color="auto"/>
        <w:right w:val="none" w:sz="0" w:space="0" w:color="auto"/>
      </w:divBdr>
    </w:div>
    <w:div w:id="244580455">
      <w:marLeft w:val="640"/>
      <w:marRight w:val="0"/>
      <w:marTop w:val="0"/>
      <w:marBottom w:val="0"/>
      <w:divBdr>
        <w:top w:val="none" w:sz="0" w:space="0" w:color="auto"/>
        <w:left w:val="none" w:sz="0" w:space="0" w:color="auto"/>
        <w:bottom w:val="none" w:sz="0" w:space="0" w:color="auto"/>
        <w:right w:val="none" w:sz="0" w:space="0" w:color="auto"/>
      </w:divBdr>
    </w:div>
    <w:div w:id="245192751">
      <w:marLeft w:val="640"/>
      <w:marRight w:val="0"/>
      <w:marTop w:val="0"/>
      <w:marBottom w:val="0"/>
      <w:divBdr>
        <w:top w:val="none" w:sz="0" w:space="0" w:color="auto"/>
        <w:left w:val="none" w:sz="0" w:space="0" w:color="auto"/>
        <w:bottom w:val="none" w:sz="0" w:space="0" w:color="auto"/>
        <w:right w:val="none" w:sz="0" w:space="0" w:color="auto"/>
      </w:divBdr>
    </w:div>
    <w:div w:id="246037485">
      <w:marLeft w:val="640"/>
      <w:marRight w:val="0"/>
      <w:marTop w:val="0"/>
      <w:marBottom w:val="0"/>
      <w:divBdr>
        <w:top w:val="none" w:sz="0" w:space="0" w:color="auto"/>
        <w:left w:val="none" w:sz="0" w:space="0" w:color="auto"/>
        <w:bottom w:val="none" w:sz="0" w:space="0" w:color="auto"/>
        <w:right w:val="none" w:sz="0" w:space="0" w:color="auto"/>
      </w:divBdr>
    </w:div>
    <w:div w:id="246236699">
      <w:marLeft w:val="640"/>
      <w:marRight w:val="0"/>
      <w:marTop w:val="0"/>
      <w:marBottom w:val="0"/>
      <w:divBdr>
        <w:top w:val="none" w:sz="0" w:space="0" w:color="auto"/>
        <w:left w:val="none" w:sz="0" w:space="0" w:color="auto"/>
        <w:bottom w:val="none" w:sz="0" w:space="0" w:color="auto"/>
        <w:right w:val="none" w:sz="0" w:space="0" w:color="auto"/>
      </w:divBdr>
    </w:div>
    <w:div w:id="246696357">
      <w:marLeft w:val="640"/>
      <w:marRight w:val="0"/>
      <w:marTop w:val="0"/>
      <w:marBottom w:val="0"/>
      <w:divBdr>
        <w:top w:val="none" w:sz="0" w:space="0" w:color="auto"/>
        <w:left w:val="none" w:sz="0" w:space="0" w:color="auto"/>
        <w:bottom w:val="none" w:sz="0" w:space="0" w:color="auto"/>
        <w:right w:val="none" w:sz="0" w:space="0" w:color="auto"/>
      </w:divBdr>
    </w:div>
    <w:div w:id="247273581">
      <w:marLeft w:val="640"/>
      <w:marRight w:val="0"/>
      <w:marTop w:val="0"/>
      <w:marBottom w:val="0"/>
      <w:divBdr>
        <w:top w:val="none" w:sz="0" w:space="0" w:color="auto"/>
        <w:left w:val="none" w:sz="0" w:space="0" w:color="auto"/>
        <w:bottom w:val="none" w:sz="0" w:space="0" w:color="auto"/>
        <w:right w:val="none" w:sz="0" w:space="0" w:color="auto"/>
      </w:divBdr>
    </w:div>
    <w:div w:id="247351258">
      <w:marLeft w:val="640"/>
      <w:marRight w:val="0"/>
      <w:marTop w:val="0"/>
      <w:marBottom w:val="0"/>
      <w:divBdr>
        <w:top w:val="none" w:sz="0" w:space="0" w:color="auto"/>
        <w:left w:val="none" w:sz="0" w:space="0" w:color="auto"/>
        <w:bottom w:val="none" w:sz="0" w:space="0" w:color="auto"/>
        <w:right w:val="none" w:sz="0" w:space="0" w:color="auto"/>
      </w:divBdr>
    </w:div>
    <w:div w:id="247469937">
      <w:marLeft w:val="640"/>
      <w:marRight w:val="0"/>
      <w:marTop w:val="0"/>
      <w:marBottom w:val="0"/>
      <w:divBdr>
        <w:top w:val="none" w:sz="0" w:space="0" w:color="auto"/>
        <w:left w:val="none" w:sz="0" w:space="0" w:color="auto"/>
        <w:bottom w:val="none" w:sz="0" w:space="0" w:color="auto"/>
        <w:right w:val="none" w:sz="0" w:space="0" w:color="auto"/>
      </w:divBdr>
    </w:div>
    <w:div w:id="247547862">
      <w:marLeft w:val="640"/>
      <w:marRight w:val="0"/>
      <w:marTop w:val="0"/>
      <w:marBottom w:val="0"/>
      <w:divBdr>
        <w:top w:val="none" w:sz="0" w:space="0" w:color="auto"/>
        <w:left w:val="none" w:sz="0" w:space="0" w:color="auto"/>
        <w:bottom w:val="none" w:sz="0" w:space="0" w:color="auto"/>
        <w:right w:val="none" w:sz="0" w:space="0" w:color="auto"/>
      </w:divBdr>
    </w:div>
    <w:div w:id="247815011">
      <w:marLeft w:val="640"/>
      <w:marRight w:val="0"/>
      <w:marTop w:val="0"/>
      <w:marBottom w:val="0"/>
      <w:divBdr>
        <w:top w:val="none" w:sz="0" w:space="0" w:color="auto"/>
        <w:left w:val="none" w:sz="0" w:space="0" w:color="auto"/>
        <w:bottom w:val="none" w:sz="0" w:space="0" w:color="auto"/>
        <w:right w:val="none" w:sz="0" w:space="0" w:color="auto"/>
      </w:divBdr>
    </w:div>
    <w:div w:id="247886742">
      <w:marLeft w:val="640"/>
      <w:marRight w:val="0"/>
      <w:marTop w:val="0"/>
      <w:marBottom w:val="0"/>
      <w:divBdr>
        <w:top w:val="none" w:sz="0" w:space="0" w:color="auto"/>
        <w:left w:val="none" w:sz="0" w:space="0" w:color="auto"/>
        <w:bottom w:val="none" w:sz="0" w:space="0" w:color="auto"/>
        <w:right w:val="none" w:sz="0" w:space="0" w:color="auto"/>
      </w:divBdr>
    </w:div>
    <w:div w:id="248081282">
      <w:marLeft w:val="640"/>
      <w:marRight w:val="0"/>
      <w:marTop w:val="0"/>
      <w:marBottom w:val="0"/>
      <w:divBdr>
        <w:top w:val="none" w:sz="0" w:space="0" w:color="auto"/>
        <w:left w:val="none" w:sz="0" w:space="0" w:color="auto"/>
        <w:bottom w:val="none" w:sz="0" w:space="0" w:color="auto"/>
        <w:right w:val="none" w:sz="0" w:space="0" w:color="auto"/>
      </w:divBdr>
    </w:div>
    <w:div w:id="248395234">
      <w:marLeft w:val="640"/>
      <w:marRight w:val="0"/>
      <w:marTop w:val="0"/>
      <w:marBottom w:val="0"/>
      <w:divBdr>
        <w:top w:val="none" w:sz="0" w:space="0" w:color="auto"/>
        <w:left w:val="none" w:sz="0" w:space="0" w:color="auto"/>
        <w:bottom w:val="none" w:sz="0" w:space="0" w:color="auto"/>
        <w:right w:val="none" w:sz="0" w:space="0" w:color="auto"/>
      </w:divBdr>
    </w:div>
    <w:div w:id="248467640">
      <w:marLeft w:val="640"/>
      <w:marRight w:val="0"/>
      <w:marTop w:val="0"/>
      <w:marBottom w:val="0"/>
      <w:divBdr>
        <w:top w:val="none" w:sz="0" w:space="0" w:color="auto"/>
        <w:left w:val="none" w:sz="0" w:space="0" w:color="auto"/>
        <w:bottom w:val="none" w:sz="0" w:space="0" w:color="auto"/>
        <w:right w:val="none" w:sz="0" w:space="0" w:color="auto"/>
      </w:divBdr>
    </w:div>
    <w:div w:id="249119965">
      <w:marLeft w:val="640"/>
      <w:marRight w:val="0"/>
      <w:marTop w:val="0"/>
      <w:marBottom w:val="0"/>
      <w:divBdr>
        <w:top w:val="none" w:sz="0" w:space="0" w:color="auto"/>
        <w:left w:val="none" w:sz="0" w:space="0" w:color="auto"/>
        <w:bottom w:val="none" w:sz="0" w:space="0" w:color="auto"/>
        <w:right w:val="none" w:sz="0" w:space="0" w:color="auto"/>
      </w:divBdr>
    </w:div>
    <w:div w:id="250239720">
      <w:marLeft w:val="640"/>
      <w:marRight w:val="0"/>
      <w:marTop w:val="0"/>
      <w:marBottom w:val="0"/>
      <w:divBdr>
        <w:top w:val="none" w:sz="0" w:space="0" w:color="auto"/>
        <w:left w:val="none" w:sz="0" w:space="0" w:color="auto"/>
        <w:bottom w:val="none" w:sz="0" w:space="0" w:color="auto"/>
        <w:right w:val="none" w:sz="0" w:space="0" w:color="auto"/>
      </w:divBdr>
    </w:div>
    <w:div w:id="250622222">
      <w:marLeft w:val="640"/>
      <w:marRight w:val="0"/>
      <w:marTop w:val="0"/>
      <w:marBottom w:val="0"/>
      <w:divBdr>
        <w:top w:val="none" w:sz="0" w:space="0" w:color="auto"/>
        <w:left w:val="none" w:sz="0" w:space="0" w:color="auto"/>
        <w:bottom w:val="none" w:sz="0" w:space="0" w:color="auto"/>
        <w:right w:val="none" w:sz="0" w:space="0" w:color="auto"/>
      </w:divBdr>
    </w:div>
    <w:div w:id="250624376">
      <w:marLeft w:val="640"/>
      <w:marRight w:val="0"/>
      <w:marTop w:val="0"/>
      <w:marBottom w:val="0"/>
      <w:divBdr>
        <w:top w:val="none" w:sz="0" w:space="0" w:color="auto"/>
        <w:left w:val="none" w:sz="0" w:space="0" w:color="auto"/>
        <w:bottom w:val="none" w:sz="0" w:space="0" w:color="auto"/>
        <w:right w:val="none" w:sz="0" w:space="0" w:color="auto"/>
      </w:divBdr>
    </w:div>
    <w:div w:id="252054936">
      <w:marLeft w:val="640"/>
      <w:marRight w:val="0"/>
      <w:marTop w:val="0"/>
      <w:marBottom w:val="0"/>
      <w:divBdr>
        <w:top w:val="none" w:sz="0" w:space="0" w:color="auto"/>
        <w:left w:val="none" w:sz="0" w:space="0" w:color="auto"/>
        <w:bottom w:val="none" w:sz="0" w:space="0" w:color="auto"/>
        <w:right w:val="none" w:sz="0" w:space="0" w:color="auto"/>
      </w:divBdr>
    </w:div>
    <w:div w:id="252250241">
      <w:marLeft w:val="640"/>
      <w:marRight w:val="0"/>
      <w:marTop w:val="0"/>
      <w:marBottom w:val="0"/>
      <w:divBdr>
        <w:top w:val="none" w:sz="0" w:space="0" w:color="auto"/>
        <w:left w:val="none" w:sz="0" w:space="0" w:color="auto"/>
        <w:bottom w:val="none" w:sz="0" w:space="0" w:color="auto"/>
        <w:right w:val="none" w:sz="0" w:space="0" w:color="auto"/>
      </w:divBdr>
    </w:div>
    <w:div w:id="253169969">
      <w:marLeft w:val="640"/>
      <w:marRight w:val="0"/>
      <w:marTop w:val="0"/>
      <w:marBottom w:val="0"/>
      <w:divBdr>
        <w:top w:val="none" w:sz="0" w:space="0" w:color="auto"/>
        <w:left w:val="none" w:sz="0" w:space="0" w:color="auto"/>
        <w:bottom w:val="none" w:sz="0" w:space="0" w:color="auto"/>
        <w:right w:val="none" w:sz="0" w:space="0" w:color="auto"/>
      </w:divBdr>
    </w:div>
    <w:div w:id="253785201">
      <w:marLeft w:val="640"/>
      <w:marRight w:val="0"/>
      <w:marTop w:val="0"/>
      <w:marBottom w:val="0"/>
      <w:divBdr>
        <w:top w:val="none" w:sz="0" w:space="0" w:color="auto"/>
        <w:left w:val="none" w:sz="0" w:space="0" w:color="auto"/>
        <w:bottom w:val="none" w:sz="0" w:space="0" w:color="auto"/>
        <w:right w:val="none" w:sz="0" w:space="0" w:color="auto"/>
      </w:divBdr>
    </w:div>
    <w:div w:id="253829000">
      <w:marLeft w:val="640"/>
      <w:marRight w:val="0"/>
      <w:marTop w:val="0"/>
      <w:marBottom w:val="0"/>
      <w:divBdr>
        <w:top w:val="none" w:sz="0" w:space="0" w:color="auto"/>
        <w:left w:val="none" w:sz="0" w:space="0" w:color="auto"/>
        <w:bottom w:val="none" w:sz="0" w:space="0" w:color="auto"/>
        <w:right w:val="none" w:sz="0" w:space="0" w:color="auto"/>
      </w:divBdr>
    </w:div>
    <w:div w:id="254293062">
      <w:marLeft w:val="640"/>
      <w:marRight w:val="0"/>
      <w:marTop w:val="0"/>
      <w:marBottom w:val="0"/>
      <w:divBdr>
        <w:top w:val="none" w:sz="0" w:space="0" w:color="auto"/>
        <w:left w:val="none" w:sz="0" w:space="0" w:color="auto"/>
        <w:bottom w:val="none" w:sz="0" w:space="0" w:color="auto"/>
        <w:right w:val="none" w:sz="0" w:space="0" w:color="auto"/>
      </w:divBdr>
    </w:div>
    <w:div w:id="254362610">
      <w:marLeft w:val="640"/>
      <w:marRight w:val="0"/>
      <w:marTop w:val="0"/>
      <w:marBottom w:val="0"/>
      <w:divBdr>
        <w:top w:val="none" w:sz="0" w:space="0" w:color="auto"/>
        <w:left w:val="none" w:sz="0" w:space="0" w:color="auto"/>
        <w:bottom w:val="none" w:sz="0" w:space="0" w:color="auto"/>
        <w:right w:val="none" w:sz="0" w:space="0" w:color="auto"/>
      </w:divBdr>
    </w:div>
    <w:div w:id="255407507">
      <w:marLeft w:val="640"/>
      <w:marRight w:val="0"/>
      <w:marTop w:val="0"/>
      <w:marBottom w:val="0"/>
      <w:divBdr>
        <w:top w:val="none" w:sz="0" w:space="0" w:color="auto"/>
        <w:left w:val="none" w:sz="0" w:space="0" w:color="auto"/>
        <w:bottom w:val="none" w:sz="0" w:space="0" w:color="auto"/>
        <w:right w:val="none" w:sz="0" w:space="0" w:color="auto"/>
      </w:divBdr>
    </w:div>
    <w:div w:id="256330186">
      <w:marLeft w:val="640"/>
      <w:marRight w:val="0"/>
      <w:marTop w:val="0"/>
      <w:marBottom w:val="0"/>
      <w:divBdr>
        <w:top w:val="none" w:sz="0" w:space="0" w:color="auto"/>
        <w:left w:val="none" w:sz="0" w:space="0" w:color="auto"/>
        <w:bottom w:val="none" w:sz="0" w:space="0" w:color="auto"/>
        <w:right w:val="none" w:sz="0" w:space="0" w:color="auto"/>
      </w:divBdr>
    </w:div>
    <w:div w:id="256401147">
      <w:marLeft w:val="640"/>
      <w:marRight w:val="0"/>
      <w:marTop w:val="0"/>
      <w:marBottom w:val="0"/>
      <w:divBdr>
        <w:top w:val="none" w:sz="0" w:space="0" w:color="auto"/>
        <w:left w:val="none" w:sz="0" w:space="0" w:color="auto"/>
        <w:bottom w:val="none" w:sz="0" w:space="0" w:color="auto"/>
        <w:right w:val="none" w:sz="0" w:space="0" w:color="auto"/>
      </w:divBdr>
    </w:div>
    <w:div w:id="256448622">
      <w:marLeft w:val="640"/>
      <w:marRight w:val="0"/>
      <w:marTop w:val="0"/>
      <w:marBottom w:val="0"/>
      <w:divBdr>
        <w:top w:val="none" w:sz="0" w:space="0" w:color="auto"/>
        <w:left w:val="none" w:sz="0" w:space="0" w:color="auto"/>
        <w:bottom w:val="none" w:sz="0" w:space="0" w:color="auto"/>
        <w:right w:val="none" w:sz="0" w:space="0" w:color="auto"/>
      </w:divBdr>
    </w:div>
    <w:div w:id="257105484">
      <w:marLeft w:val="640"/>
      <w:marRight w:val="0"/>
      <w:marTop w:val="0"/>
      <w:marBottom w:val="0"/>
      <w:divBdr>
        <w:top w:val="none" w:sz="0" w:space="0" w:color="auto"/>
        <w:left w:val="none" w:sz="0" w:space="0" w:color="auto"/>
        <w:bottom w:val="none" w:sz="0" w:space="0" w:color="auto"/>
        <w:right w:val="none" w:sz="0" w:space="0" w:color="auto"/>
      </w:divBdr>
    </w:div>
    <w:div w:id="259266251">
      <w:marLeft w:val="640"/>
      <w:marRight w:val="0"/>
      <w:marTop w:val="0"/>
      <w:marBottom w:val="0"/>
      <w:divBdr>
        <w:top w:val="none" w:sz="0" w:space="0" w:color="auto"/>
        <w:left w:val="none" w:sz="0" w:space="0" w:color="auto"/>
        <w:bottom w:val="none" w:sz="0" w:space="0" w:color="auto"/>
        <w:right w:val="none" w:sz="0" w:space="0" w:color="auto"/>
      </w:divBdr>
    </w:div>
    <w:div w:id="260529550">
      <w:marLeft w:val="640"/>
      <w:marRight w:val="0"/>
      <w:marTop w:val="0"/>
      <w:marBottom w:val="0"/>
      <w:divBdr>
        <w:top w:val="none" w:sz="0" w:space="0" w:color="auto"/>
        <w:left w:val="none" w:sz="0" w:space="0" w:color="auto"/>
        <w:bottom w:val="none" w:sz="0" w:space="0" w:color="auto"/>
        <w:right w:val="none" w:sz="0" w:space="0" w:color="auto"/>
      </w:divBdr>
    </w:div>
    <w:div w:id="260644124">
      <w:marLeft w:val="640"/>
      <w:marRight w:val="0"/>
      <w:marTop w:val="0"/>
      <w:marBottom w:val="0"/>
      <w:divBdr>
        <w:top w:val="none" w:sz="0" w:space="0" w:color="auto"/>
        <w:left w:val="none" w:sz="0" w:space="0" w:color="auto"/>
        <w:bottom w:val="none" w:sz="0" w:space="0" w:color="auto"/>
        <w:right w:val="none" w:sz="0" w:space="0" w:color="auto"/>
      </w:divBdr>
    </w:div>
    <w:div w:id="260843352">
      <w:marLeft w:val="640"/>
      <w:marRight w:val="0"/>
      <w:marTop w:val="0"/>
      <w:marBottom w:val="0"/>
      <w:divBdr>
        <w:top w:val="none" w:sz="0" w:space="0" w:color="auto"/>
        <w:left w:val="none" w:sz="0" w:space="0" w:color="auto"/>
        <w:bottom w:val="none" w:sz="0" w:space="0" w:color="auto"/>
        <w:right w:val="none" w:sz="0" w:space="0" w:color="auto"/>
      </w:divBdr>
    </w:div>
    <w:div w:id="261764108">
      <w:marLeft w:val="640"/>
      <w:marRight w:val="0"/>
      <w:marTop w:val="0"/>
      <w:marBottom w:val="0"/>
      <w:divBdr>
        <w:top w:val="none" w:sz="0" w:space="0" w:color="auto"/>
        <w:left w:val="none" w:sz="0" w:space="0" w:color="auto"/>
        <w:bottom w:val="none" w:sz="0" w:space="0" w:color="auto"/>
        <w:right w:val="none" w:sz="0" w:space="0" w:color="auto"/>
      </w:divBdr>
    </w:div>
    <w:div w:id="262155635">
      <w:marLeft w:val="640"/>
      <w:marRight w:val="0"/>
      <w:marTop w:val="0"/>
      <w:marBottom w:val="0"/>
      <w:divBdr>
        <w:top w:val="none" w:sz="0" w:space="0" w:color="auto"/>
        <w:left w:val="none" w:sz="0" w:space="0" w:color="auto"/>
        <w:bottom w:val="none" w:sz="0" w:space="0" w:color="auto"/>
        <w:right w:val="none" w:sz="0" w:space="0" w:color="auto"/>
      </w:divBdr>
    </w:div>
    <w:div w:id="263155317">
      <w:marLeft w:val="640"/>
      <w:marRight w:val="0"/>
      <w:marTop w:val="0"/>
      <w:marBottom w:val="0"/>
      <w:divBdr>
        <w:top w:val="none" w:sz="0" w:space="0" w:color="auto"/>
        <w:left w:val="none" w:sz="0" w:space="0" w:color="auto"/>
        <w:bottom w:val="none" w:sz="0" w:space="0" w:color="auto"/>
        <w:right w:val="none" w:sz="0" w:space="0" w:color="auto"/>
      </w:divBdr>
    </w:div>
    <w:div w:id="263192641">
      <w:marLeft w:val="640"/>
      <w:marRight w:val="0"/>
      <w:marTop w:val="0"/>
      <w:marBottom w:val="0"/>
      <w:divBdr>
        <w:top w:val="none" w:sz="0" w:space="0" w:color="auto"/>
        <w:left w:val="none" w:sz="0" w:space="0" w:color="auto"/>
        <w:bottom w:val="none" w:sz="0" w:space="0" w:color="auto"/>
        <w:right w:val="none" w:sz="0" w:space="0" w:color="auto"/>
      </w:divBdr>
    </w:div>
    <w:div w:id="263418993">
      <w:marLeft w:val="640"/>
      <w:marRight w:val="0"/>
      <w:marTop w:val="0"/>
      <w:marBottom w:val="0"/>
      <w:divBdr>
        <w:top w:val="none" w:sz="0" w:space="0" w:color="auto"/>
        <w:left w:val="none" w:sz="0" w:space="0" w:color="auto"/>
        <w:bottom w:val="none" w:sz="0" w:space="0" w:color="auto"/>
        <w:right w:val="none" w:sz="0" w:space="0" w:color="auto"/>
      </w:divBdr>
    </w:div>
    <w:div w:id="263732837">
      <w:marLeft w:val="640"/>
      <w:marRight w:val="0"/>
      <w:marTop w:val="0"/>
      <w:marBottom w:val="0"/>
      <w:divBdr>
        <w:top w:val="none" w:sz="0" w:space="0" w:color="auto"/>
        <w:left w:val="none" w:sz="0" w:space="0" w:color="auto"/>
        <w:bottom w:val="none" w:sz="0" w:space="0" w:color="auto"/>
        <w:right w:val="none" w:sz="0" w:space="0" w:color="auto"/>
      </w:divBdr>
    </w:div>
    <w:div w:id="264389851">
      <w:marLeft w:val="640"/>
      <w:marRight w:val="0"/>
      <w:marTop w:val="0"/>
      <w:marBottom w:val="0"/>
      <w:divBdr>
        <w:top w:val="none" w:sz="0" w:space="0" w:color="auto"/>
        <w:left w:val="none" w:sz="0" w:space="0" w:color="auto"/>
        <w:bottom w:val="none" w:sz="0" w:space="0" w:color="auto"/>
        <w:right w:val="none" w:sz="0" w:space="0" w:color="auto"/>
      </w:divBdr>
    </w:div>
    <w:div w:id="264730869">
      <w:marLeft w:val="640"/>
      <w:marRight w:val="0"/>
      <w:marTop w:val="0"/>
      <w:marBottom w:val="0"/>
      <w:divBdr>
        <w:top w:val="none" w:sz="0" w:space="0" w:color="auto"/>
        <w:left w:val="none" w:sz="0" w:space="0" w:color="auto"/>
        <w:bottom w:val="none" w:sz="0" w:space="0" w:color="auto"/>
        <w:right w:val="none" w:sz="0" w:space="0" w:color="auto"/>
      </w:divBdr>
    </w:div>
    <w:div w:id="265041691">
      <w:marLeft w:val="640"/>
      <w:marRight w:val="0"/>
      <w:marTop w:val="0"/>
      <w:marBottom w:val="0"/>
      <w:divBdr>
        <w:top w:val="none" w:sz="0" w:space="0" w:color="auto"/>
        <w:left w:val="none" w:sz="0" w:space="0" w:color="auto"/>
        <w:bottom w:val="none" w:sz="0" w:space="0" w:color="auto"/>
        <w:right w:val="none" w:sz="0" w:space="0" w:color="auto"/>
      </w:divBdr>
    </w:div>
    <w:div w:id="265112707">
      <w:marLeft w:val="640"/>
      <w:marRight w:val="0"/>
      <w:marTop w:val="0"/>
      <w:marBottom w:val="0"/>
      <w:divBdr>
        <w:top w:val="none" w:sz="0" w:space="0" w:color="auto"/>
        <w:left w:val="none" w:sz="0" w:space="0" w:color="auto"/>
        <w:bottom w:val="none" w:sz="0" w:space="0" w:color="auto"/>
        <w:right w:val="none" w:sz="0" w:space="0" w:color="auto"/>
      </w:divBdr>
    </w:div>
    <w:div w:id="266348336">
      <w:marLeft w:val="640"/>
      <w:marRight w:val="0"/>
      <w:marTop w:val="0"/>
      <w:marBottom w:val="0"/>
      <w:divBdr>
        <w:top w:val="none" w:sz="0" w:space="0" w:color="auto"/>
        <w:left w:val="none" w:sz="0" w:space="0" w:color="auto"/>
        <w:bottom w:val="none" w:sz="0" w:space="0" w:color="auto"/>
        <w:right w:val="none" w:sz="0" w:space="0" w:color="auto"/>
      </w:divBdr>
    </w:div>
    <w:div w:id="266617376">
      <w:marLeft w:val="640"/>
      <w:marRight w:val="0"/>
      <w:marTop w:val="0"/>
      <w:marBottom w:val="0"/>
      <w:divBdr>
        <w:top w:val="none" w:sz="0" w:space="0" w:color="auto"/>
        <w:left w:val="none" w:sz="0" w:space="0" w:color="auto"/>
        <w:bottom w:val="none" w:sz="0" w:space="0" w:color="auto"/>
        <w:right w:val="none" w:sz="0" w:space="0" w:color="auto"/>
      </w:divBdr>
    </w:div>
    <w:div w:id="267081768">
      <w:marLeft w:val="640"/>
      <w:marRight w:val="0"/>
      <w:marTop w:val="0"/>
      <w:marBottom w:val="0"/>
      <w:divBdr>
        <w:top w:val="none" w:sz="0" w:space="0" w:color="auto"/>
        <w:left w:val="none" w:sz="0" w:space="0" w:color="auto"/>
        <w:bottom w:val="none" w:sz="0" w:space="0" w:color="auto"/>
        <w:right w:val="none" w:sz="0" w:space="0" w:color="auto"/>
      </w:divBdr>
    </w:div>
    <w:div w:id="267465219">
      <w:marLeft w:val="640"/>
      <w:marRight w:val="0"/>
      <w:marTop w:val="0"/>
      <w:marBottom w:val="0"/>
      <w:divBdr>
        <w:top w:val="none" w:sz="0" w:space="0" w:color="auto"/>
        <w:left w:val="none" w:sz="0" w:space="0" w:color="auto"/>
        <w:bottom w:val="none" w:sz="0" w:space="0" w:color="auto"/>
        <w:right w:val="none" w:sz="0" w:space="0" w:color="auto"/>
      </w:divBdr>
    </w:div>
    <w:div w:id="267549802">
      <w:marLeft w:val="640"/>
      <w:marRight w:val="0"/>
      <w:marTop w:val="0"/>
      <w:marBottom w:val="0"/>
      <w:divBdr>
        <w:top w:val="none" w:sz="0" w:space="0" w:color="auto"/>
        <w:left w:val="none" w:sz="0" w:space="0" w:color="auto"/>
        <w:bottom w:val="none" w:sz="0" w:space="0" w:color="auto"/>
        <w:right w:val="none" w:sz="0" w:space="0" w:color="auto"/>
      </w:divBdr>
    </w:div>
    <w:div w:id="270431917">
      <w:marLeft w:val="640"/>
      <w:marRight w:val="0"/>
      <w:marTop w:val="0"/>
      <w:marBottom w:val="0"/>
      <w:divBdr>
        <w:top w:val="none" w:sz="0" w:space="0" w:color="auto"/>
        <w:left w:val="none" w:sz="0" w:space="0" w:color="auto"/>
        <w:bottom w:val="none" w:sz="0" w:space="0" w:color="auto"/>
        <w:right w:val="none" w:sz="0" w:space="0" w:color="auto"/>
      </w:divBdr>
    </w:div>
    <w:div w:id="271012524">
      <w:marLeft w:val="640"/>
      <w:marRight w:val="0"/>
      <w:marTop w:val="0"/>
      <w:marBottom w:val="0"/>
      <w:divBdr>
        <w:top w:val="none" w:sz="0" w:space="0" w:color="auto"/>
        <w:left w:val="none" w:sz="0" w:space="0" w:color="auto"/>
        <w:bottom w:val="none" w:sz="0" w:space="0" w:color="auto"/>
        <w:right w:val="none" w:sz="0" w:space="0" w:color="auto"/>
      </w:divBdr>
    </w:div>
    <w:div w:id="271136159">
      <w:marLeft w:val="640"/>
      <w:marRight w:val="0"/>
      <w:marTop w:val="0"/>
      <w:marBottom w:val="0"/>
      <w:divBdr>
        <w:top w:val="none" w:sz="0" w:space="0" w:color="auto"/>
        <w:left w:val="none" w:sz="0" w:space="0" w:color="auto"/>
        <w:bottom w:val="none" w:sz="0" w:space="0" w:color="auto"/>
        <w:right w:val="none" w:sz="0" w:space="0" w:color="auto"/>
      </w:divBdr>
    </w:div>
    <w:div w:id="271209782">
      <w:marLeft w:val="640"/>
      <w:marRight w:val="0"/>
      <w:marTop w:val="0"/>
      <w:marBottom w:val="0"/>
      <w:divBdr>
        <w:top w:val="none" w:sz="0" w:space="0" w:color="auto"/>
        <w:left w:val="none" w:sz="0" w:space="0" w:color="auto"/>
        <w:bottom w:val="none" w:sz="0" w:space="0" w:color="auto"/>
        <w:right w:val="none" w:sz="0" w:space="0" w:color="auto"/>
      </w:divBdr>
    </w:div>
    <w:div w:id="271477339">
      <w:marLeft w:val="640"/>
      <w:marRight w:val="0"/>
      <w:marTop w:val="0"/>
      <w:marBottom w:val="0"/>
      <w:divBdr>
        <w:top w:val="none" w:sz="0" w:space="0" w:color="auto"/>
        <w:left w:val="none" w:sz="0" w:space="0" w:color="auto"/>
        <w:bottom w:val="none" w:sz="0" w:space="0" w:color="auto"/>
        <w:right w:val="none" w:sz="0" w:space="0" w:color="auto"/>
      </w:divBdr>
    </w:div>
    <w:div w:id="272132800">
      <w:marLeft w:val="640"/>
      <w:marRight w:val="0"/>
      <w:marTop w:val="0"/>
      <w:marBottom w:val="0"/>
      <w:divBdr>
        <w:top w:val="none" w:sz="0" w:space="0" w:color="auto"/>
        <w:left w:val="none" w:sz="0" w:space="0" w:color="auto"/>
        <w:bottom w:val="none" w:sz="0" w:space="0" w:color="auto"/>
        <w:right w:val="none" w:sz="0" w:space="0" w:color="auto"/>
      </w:divBdr>
    </w:div>
    <w:div w:id="272639629">
      <w:marLeft w:val="640"/>
      <w:marRight w:val="0"/>
      <w:marTop w:val="0"/>
      <w:marBottom w:val="0"/>
      <w:divBdr>
        <w:top w:val="none" w:sz="0" w:space="0" w:color="auto"/>
        <w:left w:val="none" w:sz="0" w:space="0" w:color="auto"/>
        <w:bottom w:val="none" w:sz="0" w:space="0" w:color="auto"/>
        <w:right w:val="none" w:sz="0" w:space="0" w:color="auto"/>
      </w:divBdr>
    </w:div>
    <w:div w:id="273707712">
      <w:marLeft w:val="640"/>
      <w:marRight w:val="0"/>
      <w:marTop w:val="0"/>
      <w:marBottom w:val="0"/>
      <w:divBdr>
        <w:top w:val="none" w:sz="0" w:space="0" w:color="auto"/>
        <w:left w:val="none" w:sz="0" w:space="0" w:color="auto"/>
        <w:bottom w:val="none" w:sz="0" w:space="0" w:color="auto"/>
        <w:right w:val="none" w:sz="0" w:space="0" w:color="auto"/>
      </w:divBdr>
    </w:div>
    <w:div w:id="273756647">
      <w:marLeft w:val="640"/>
      <w:marRight w:val="0"/>
      <w:marTop w:val="0"/>
      <w:marBottom w:val="0"/>
      <w:divBdr>
        <w:top w:val="none" w:sz="0" w:space="0" w:color="auto"/>
        <w:left w:val="none" w:sz="0" w:space="0" w:color="auto"/>
        <w:bottom w:val="none" w:sz="0" w:space="0" w:color="auto"/>
        <w:right w:val="none" w:sz="0" w:space="0" w:color="auto"/>
      </w:divBdr>
    </w:div>
    <w:div w:id="274019742">
      <w:marLeft w:val="640"/>
      <w:marRight w:val="0"/>
      <w:marTop w:val="0"/>
      <w:marBottom w:val="0"/>
      <w:divBdr>
        <w:top w:val="none" w:sz="0" w:space="0" w:color="auto"/>
        <w:left w:val="none" w:sz="0" w:space="0" w:color="auto"/>
        <w:bottom w:val="none" w:sz="0" w:space="0" w:color="auto"/>
        <w:right w:val="none" w:sz="0" w:space="0" w:color="auto"/>
      </w:divBdr>
    </w:div>
    <w:div w:id="274219392">
      <w:marLeft w:val="640"/>
      <w:marRight w:val="0"/>
      <w:marTop w:val="0"/>
      <w:marBottom w:val="0"/>
      <w:divBdr>
        <w:top w:val="none" w:sz="0" w:space="0" w:color="auto"/>
        <w:left w:val="none" w:sz="0" w:space="0" w:color="auto"/>
        <w:bottom w:val="none" w:sz="0" w:space="0" w:color="auto"/>
        <w:right w:val="none" w:sz="0" w:space="0" w:color="auto"/>
      </w:divBdr>
    </w:div>
    <w:div w:id="274869939">
      <w:marLeft w:val="640"/>
      <w:marRight w:val="0"/>
      <w:marTop w:val="0"/>
      <w:marBottom w:val="0"/>
      <w:divBdr>
        <w:top w:val="none" w:sz="0" w:space="0" w:color="auto"/>
        <w:left w:val="none" w:sz="0" w:space="0" w:color="auto"/>
        <w:bottom w:val="none" w:sz="0" w:space="0" w:color="auto"/>
        <w:right w:val="none" w:sz="0" w:space="0" w:color="auto"/>
      </w:divBdr>
    </w:div>
    <w:div w:id="275525862">
      <w:marLeft w:val="640"/>
      <w:marRight w:val="0"/>
      <w:marTop w:val="0"/>
      <w:marBottom w:val="0"/>
      <w:divBdr>
        <w:top w:val="none" w:sz="0" w:space="0" w:color="auto"/>
        <w:left w:val="none" w:sz="0" w:space="0" w:color="auto"/>
        <w:bottom w:val="none" w:sz="0" w:space="0" w:color="auto"/>
        <w:right w:val="none" w:sz="0" w:space="0" w:color="auto"/>
      </w:divBdr>
    </w:div>
    <w:div w:id="275528576">
      <w:marLeft w:val="640"/>
      <w:marRight w:val="0"/>
      <w:marTop w:val="0"/>
      <w:marBottom w:val="0"/>
      <w:divBdr>
        <w:top w:val="none" w:sz="0" w:space="0" w:color="auto"/>
        <w:left w:val="none" w:sz="0" w:space="0" w:color="auto"/>
        <w:bottom w:val="none" w:sz="0" w:space="0" w:color="auto"/>
        <w:right w:val="none" w:sz="0" w:space="0" w:color="auto"/>
      </w:divBdr>
    </w:div>
    <w:div w:id="275717019">
      <w:marLeft w:val="640"/>
      <w:marRight w:val="0"/>
      <w:marTop w:val="0"/>
      <w:marBottom w:val="0"/>
      <w:divBdr>
        <w:top w:val="none" w:sz="0" w:space="0" w:color="auto"/>
        <w:left w:val="none" w:sz="0" w:space="0" w:color="auto"/>
        <w:bottom w:val="none" w:sz="0" w:space="0" w:color="auto"/>
        <w:right w:val="none" w:sz="0" w:space="0" w:color="auto"/>
      </w:divBdr>
    </w:div>
    <w:div w:id="275792729">
      <w:marLeft w:val="640"/>
      <w:marRight w:val="0"/>
      <w:marTop w:val="0"/>
      <w:marBottom w:val="0"/>
      <w:divBdr>
        <w:top w:val="none" w:sz="0" w:space="0" w:color="auto"/>
        <w:left w:val="none" w:sz="0" w:space="0" w:color="auto"/>
        <w:bottom w:val="none" w:sz="0" w:space="0" w:color="auto"/>
        <w:right w:val="none" w:sz="0" w:space="0" w:color="auto"/>
      </w:divBdr>
    </w:div>
    <w:div w:id="276446880">
      <w:marLeft w:val="640"/>
      <w:marRight w:val="0"/>
      <w:marTop w:val="0"/>
      <w:marBottom w:val="0"/>
      <w:divBdr>
        <w:top w:val="none" w:sz="0" w:space="0" w:color="auto"/>
        <w:left w:val="none" w:sz="0" w:space="0" w:color="auto"/>
        <w:bottom w:val="none" w:sz="0" w:space="0" w:color="auto"/>
        <w:right w:val="none" w:sz="0" w:space="0" w:color="auto"/>
      </w:divBdr>
    </w:div>
    <w:div w:id="276564936">
      <w:marLeft w:val="640"/>
      <w:marRight w:val="0"/>
      <w:marTop w:val="0"/>
      <w:marBottom w:val="0"/>
      <w:divBdr>
        <w:top w:val="none" w:sz="0" w:space="0" w:color="auto"/>
        <w:left w:val="none" w:sz="0" w:space="0" w:color="auto"/>
        <w:bottom w:val="none" w:sz="0" w:space="0" w:color="auto"/>
        <w:right w:val="none" w:sz="0" w:space="0" w:color="auto"/>
      </w:divBdr>
    </w:div>
    <w:div w:id="276840529">
      <w:marLeft w:val="640"/>
      <w:marRight w:val="0"/>
      <w:marTop w:val="0"/>
      <w:marBottom w:val="0"/>
      <w:divBdr>
        <w:top w:val="none" w:sz="0" w:space="0" w:color="auto"/>
        <w:left w:val="none" w:sz="0" w:space="0" w:color="auto"/>
        <w:bottom w:val="none" w:sz="0" w:space="0" w:color="auto"/>
        <w:right w:val="none" w:sz="0" w:space="0" w:color="auto"/>
      </w:divBdr>
    </w:div>
    <w:div w:id="277181919">
      <w:marLeft w:val="640"/>
      <w:marRight w:val="0"/>
      <w:marTop w:val="0"/>
      <w:marBottom w:val="0"/>
      <w:divBdr>
        <w:top w:val="none" w:sz="0" w:space="0" w:color="auto"/>
        <w:left w:val="none" w:sz="0" w:space="0" w:color="auto"/>
        <w:bottom w:val="none" w:sz="0" w:space="0" w:color="auto"/>
        <w:right w:val="none" w:sz="0" w:space="0" w:color="auto"/>
      </w:divBdr>
    </w:div>
    <w:div w:id="277374284">
      <w:marLeft w:val="640"/>
      <w:marRight w:val="0"/>
      <w:marTop w:val="0"/>
      <w:marBottom w:val="0"/>
      <w:divBdr>
        <w:top w:val="none" w:sz="0" w:space="0" w:color="auto"/>
        <w:left w:val="none" w:sz="0" w:space="0" w:color="auto"/>
        <w:bottom w:val="none" w:sz="0" w:space="0" w:color="auto"/>
        <w:right w:val="none" w:sz="0" w:space="0" w:color="auto"/>
      </w:divBdr>
    </w:div>
    <w:div w:id="277490817">
      <w:marLeft w:val="640"/>
      <w:marRight w:val="0"/>
      <w:marTop w:val="0"/>
      <w:marBottom w:val="0"/>
      <w:divBdr>
        <w:top w:val="none" w:sz="0" w:space="0" w:color="auto"/>
        <w:left w:val="none" w:sz="0" w:space="0" w:color="auto"/>
        <w:bottom w:val="none" w:sz="0" w:space="0" w:color="auto"/>
        <w:right w:val="none" w:sz="0" w:space="0" w:color="auto"/>
      </w:divBdr>
    </w:div>
    <w:div w:id="278529750">
      <w:marLeft w:val="640"/>
      <w:marRight w:val="0"/>
      <w:marTop w:val="0"/>
      <w:marBottom w:val="0"/>
      <w:divBdr>
        <w:top w:val="none" w:sz="0" w:space="0" w:color="auto"/>
        <w:left w:val="none" w:sz="0" w:space="0" w:color="auto"/>
        <w:bottom w:val="none" w:sz="0" w:space="0" w:color="auto"/>
        <w:right w:val="none" w:sz="0" w:space="0" w:color="auto"/>
      </w:divBdr>
    </w:div>
    <w:div w:id="278608317">
      <w:marLeft w:val="640"/>
      <w:marRight w:val="0"/>
      <w:marTop w:val="0"/>
      <w:marBottom w:val="0"/>
      <w:divBdr>
        <w:top w:val="none" w:sz="0" w:space="0" w:color="auto"/>
        <w:left w:val="none" w:sz="0" w:space="0" w:color="auto"/>
        <w:bottom w:val="none" w:sz="0" w:space="0" w:color="auto"/>
        <w:right w:val="none" w:sz="0" w:space="0" w:color="auto"/>
      </w:divBdr>
    </w:div>
    <w:div w:id="280065832">
      <w:marLeft w:val="640"/>
      <w:marRight w:val="0"/>
      <w:marTop w:val="0"/>
      <w:marBottom w:val="0"/>
      <w:divBdr>
        <w:top w:val="none" w:sz="0" w:space="0" w:color="auto"/>
        <w:left w:val="none" w:sz="0" w:space="0" w:color="auto"/>
        <w:bottom w:val="none" w:sz="0" w:space="0" w:color="auto"/>
        <w:right w:val="none" w:sz="0" w:space="0" w:color="auto"/>
      </w:divBdr>
    </w:div>
    <w:div w:id="281304506">
      <w:marLeft w:val="640"/>
      <w:marRight w:val="0"/>
      <w:marTop w:val="0"/>
      <w:marBottom w:val="0"/>
      <w:divBdr>
        <w:top w:val="none" w:sz="0" w:space="0" w:color="auto"/>
        <w:left w:val="none" w:sz="0" w:space="0" w:color="auto"/>
        <w:bottom w:val="none" w:sz="0" w:space="0" w:color="auto"/>
        <w:right w:val="none" w:sz="0" w:space="0" w:color="auto"/>
      </w:divBdr>
    </w:div>
    <w:div w:id="281376436">
      <w:marLeft w:val="640"/>
      <w:marRight w:val="0"/>
      <w:marTop w:val="0"/>
      <w:marBottom w:val="0"/>
      <w:divBdr>
        <w:top w:val="none" w:sz="0" w:space="0" w:color="auto"/>
        <w:left w:val="none" w:sz="0" w:space="0" w:color="auto"/>
        <w:bottom w:val="none" w:sz="0" w:space="0" w:color="auto"/>
        <w:right w:val="none" w:sz="0" w:space="0" w:color="auto"/>
      </w:divBdr>
    </w:div>
    <w:div w:id="281570740">
      <w:marLeft w:val="640"/>
      <w:marRight w:val="0"/>
      <w:marTop w:val="0"/>
      <w:marBottom w:val="0"/>
      <w:divBdr>
        <w:top w:val="none" w:sz="0" w:space="0" w:color="auto"/>
        <w:left w:val="none" w:sz="0" w:space="0" w:color="auto"/>
        <w:bottom w:val="none" w:sz="0" w:space="0" w:color="auto"/>
        <w:right w:val="none" w:sz="0" w:space="0" w:color="auto"/>
      </w:divBdr>
    </w:div>
    <w:div w:id="282615507">
      <w:marLeft w:val="640"/>
      <w:marRight w:val="0"/>
      <w:marTop w:val="0"/>
      <w:marBottom w:val="0"/>
      <w:divBdr>
        <w:top w:val="none" w:sz="0" w:space="0" w:color="auto"/>
        <w:left w:val="none" w:sz="0" w:space="0" w:color="auto"/>
        <w:bottom w:val="none" w:sz="0" w:space="0" w:color="auto"/>
        <w:right w:val="none" w:sz="0" w:space="0" w:color="auto"/>
      </w:divBdr>
    </w:div>
    <w:div w:id="282660513">
      <w:marLeft w:val="640"/>
      <w:marRight w:val="0"/>
      <w:marTop w:val="0"/>
      <w:marBottom w:val="0"/>
      <w:divBdr>
        <w:top w:val="none" w:sz="0" w:space="0" w:color="auto"/>
        <w:left w:val="none" w:sz="0" w:space="0" w:color="auto"/>
        <w:bottom w:val="none" w:sz="0" w:space="0" w:color="auto"/>
        <w:right w:val="none" w:sz="0" w:space="0" w:color="auto"/>
      </w:divBdr>
    </w:div>
    <w:div w:id="283466220">
      <w:marLeft w:val="640"/>
      <w:marRight w:val="0"/>
      <w:marTop w:val="0"/>
      <w:marBottom w:val="0"/>
      <w:divBdr>
        <w:top w:val="none" w:sz="0" w:space="0" w:color="auto"/>
        <w:left w:val="none" w:sz="0" w:space="0" w:color="auto"/>
        <w:bottom w:val="none" w:sz="0" w:space="0" w:color="auto"/>
        <w:right w:val="none" w:sz="0" w:space="0" w:color="auto"/>
      </w:divBdr>
    </w:div>
    <w:div w:id="284040756">
      <w:marLeft w:val="640"/>
      <w:marRight w:val="0"/>
      <w:marTop w:val="0"/>
      <w:marBottom w:val="0"/>
      <w:divBdr>
        <w:top w:val="none" w:sz="0" w:space="0" w:color="auto"/>
        <w:left w:val="none" w:sz="0" w:space="0" w:color="auto"/>
        <w:bottom w:val="none" w:sz="0" w:space="0" w:color="auto"/>
        <w:right w:val="none" w:sz="0" w:space="0" w:color="auto"/>
      </w:divBdr>
    </w:div>
    <w:div w:id="285091212">
      <w:marLeft w:val="640"/>
      <w:marRight w:val="0"/>
      <w:marTop w:val="0"/>
      <w:marBottom w:val="0"/>
      <w:divBdr>
        <w:top w:val="none" w:sz="0" w:space="0" w:color="auto"/>
        <w:left w:val="none" w:sz="0" w:space="0" w:color="auto"/>
        <w:bottom w:val="none" w:sz="0" w:space="0" w:color="auto"/>
        <w:right w:val="none" w:sz="0" w:space="0" w:color="auto"/>
      </w:divBdr>
    </w:div>
    <w:div w:id="286157865">
      <w:marLeft w:val="640"/>
      <w:marRight w:val="0"/>
      <w:marTop w:val="0"/>
      <w:marBottom w:val="0"/>
      <w:divBdr>
        <w:top w:val="none" w:sz="0" w:space="0" w:color="auto"/>
        <w:left w:val="none" w:sz="0" w:space="0" w:color="auto"/>
        <w:bottom w:val="none" w:sz="0" w:space="0" w:color="auto"/>
        <w:right w:val="none" w:sz="0" w:space="0" w:color="auto"/>
      </w:divBdr>
    </w:div>
    <w:div w:id="286858574">
      <w:marLeft w:val="640"/>
      <w:marRight w:val="0"/>
      <w:marTop w:val="0"/>
      <w:marBottom w:val="0"/>
      <w:divBdr>
        <w:top w:val="none" w:sz="0" w:space="0" w:color="auto"/>
        <w:left w:val="none" w:sz="0" w:space="0" w:color="auto"/>
        <w:bottom w:val="none" w:sz="0" w:space="0" w:color="auto"/>
        <w:right w:val="none" w:sz="0" w:space="0" w:color="auto"/>
      </w:divBdr>
    </w:div>
    <w:div w:id="287009316">
      <w:marLeft w:val="640"/>
      <w:marRight w:val="0"/>
      <w:marTop w:val="0"/>
      <w:marBottom w:val="0"/>
      <w:divBdr>
        <w:top w:val="none" w:sz="0" w:space="0" w:color="auto"/>
        <w:left w:val="none" w:sz="0" w:space="0" w:color="auto"/>
        <w:bottom w:val="none" w:sz="0" w:space="0" w:color="auto"/>
        <w:right w:val="none" w:sz="0" w:space="0" w:color="auto"/>
      </w:divBdr>
    </w:div>
    <w:div w:id="288122503">
      <w:marLeft w:val="640"/>
      <w:marRight w:val="0"/>
      <w:marTop w:val="0"/>
      <w:marBottom w:val="0"/>
      <w:divBdr>
        <w:top w:val="none" w:sz="0" w:space="0" w:color="auto"/>
        <w:left w:val="none" w:sz="0" w:space="0" w:color="auto"/>
        <w:bottom w:val="none" w:sz="0" w:space="0" w:color="auto"/>
        <w:right w:val="none" w:sz="0" w:space="0" w:color="auto"/>
      </w:divBdr>
    </w:div>
    <w:div w:id="288557198">
      <w:marLeft w:val="640"/>
      <w:marRight w:val="0"/>
      <w:marTop w:val="0"/>
      <w:marBottom w:val="0"/>
      <w:divBdr>
        <w:top w:val="none" w:sz="0" w:space="0" w:color="auto"/>
        <w:left w:val="none" w:sz="0" w:space="0" w:color="auto"/>
        <w:bottom w:val="none" w:sz="0" w:space="0" w:color="auto"/>
        <w:right w:val="none" w:sz="0" w:space="0" w:color="auto"/>
      </w:divBdr>
    </w:div>
    <w:div w:id="288557848">
      <w:marLeft w:val="640"/>
      <w:marRight w:val="0"/>
      <w:marTop w:val="0"/>
      <w:marBottom w:val="0"/>
      <w:divBdr>
        <w:top w:val="none" w:sz="0" w:space="0" w:color="auto"/>
        <w:left w:val="none" w:sz="0" w:space="0" w:color="auto"/>
        <w:bottom w:val="none" w:sz="0" w:space="0" w:color="auto"/>
        <w:right w:val="none" w:sz="0" w:space="0" w:color="auto"/>
      </w:divBdr>
    </w:div>
    <w:div w:id="289672093">
      <w:marLeft w:val="640"/>
      <w:marRight w:val="0"/>
      <w:marTop w:val="0"/>
      <w:marBottom w:val="0"/>
      <w:divBdr>
        <w:top w:val="none" w:sz="0" w:space="0" w:color="auto"/>
        <w:left w:val="none" w:sz="0" w:space="0" w:color="auto"/>
        <w:bottom w:val="none" w:sz="0" w:space="0" w:color="auto"/>
        <w:right w:val="none" w:sz="0" w:space="0" w:color="auto"/>
      </w:divBdr>
    </w:div>
    <w:div w:id="289746702">
      <w:marLeft w:val="640"/>
      <w:marRight w:val="0"/>
      <w:marTop w:val="0"/>
      <w:marBottom w:val="0"/>
      <w:divBdr>
        <w:top w:val="none" w:sz="0" w:space="0" w:color="auto"/>
        <w:left w:val="none" w:sz="0" w:space="0" w:color="auto"/>
        <w:bottom w:val="none" w:sz="0" w:space="0" w:color="auto"/>
        <w:right w:val="none" w:sz="0" w:space="0" w:color="auto"/>
      </w:divBdr>
    </w:div>
    <w:div w:id="289747129">
      <w:marLeft w:val="640"/>
      <w:marRight w:val="0"/>
      <w:marTop w:val="0"/>
      <w:marBottom w:val="0"/>
      <w:divBdr>
        <w:top w:val="none" w:sz="0" w:space="0" w:color="auto"/>
        <w:left w:val="none" w:sz="0" w:space="0" w:color="auto"/>
        <w:bottom w:val="none" w:sz="0" w:space="0" w:color="auto"/>
        <w:right w:val="none" w:sz="0" w:space="0" w:color="auto"/>
      </w:divBdr>
    </w:div>
    <w:div w:id="292640325">
      <w:marLeft w:val="640"/>
      <w:marRight w:val="0"/>
      <w:marTop w:val="0"/>
      <w:marBottom w:val="0"/>
      <w:divBdr>
        <w:top w:val="none" w:sz="0" w:space="0" w:color="auto"/>
        <w:left w:val="none" w:sz="0" w:space="0" w:color="auto"/>
        <w:bottom w:val="none" w:sz="0" w:space="0" w:color="auto"/>
        <w:right w:val="none" w:sz="0" w:space="0" w:color="auto"/>
      </w:divBdr>
    </w:div>
    <w:div w:id="292905265">
      <w:marLeft w:val="640"/>
      <w:marRight w:val="0"/>
      <w:marTop w:val="0"/>
      <w:marBottom w:val="0"/>
      <w:divBdr>
        <w:top w:val="none" w:sz="0" w:space="0" w:color="auto"/>
        <w:left w:val="none" w:sz="0" w:space="0" w:color="auto"/>
        <w:bottom w:val="none" w:sz="0" w:space="0" w:color="auto"/>
        <w:right w:val="none" w:sz="0" w:space="0" w:color="auto"/>
      </w:divBdr>
    </w:div>
    <w:div w:id="292905967">
      <w:marLeft w:val="640"/>
      <w:marRight w:val="0"/>
      <w:marTop w:val="0"/>
      <w:marBottom w:val="0"/>
      <w:divBdr>
        <w:top w:val="none" w:sz="0" w:space="0" w:color="auto"/>
        <w:left w:val="none" w:sz="0" w:space="0" w:color="auto"/>
        <w:bottom w:val="none" w:sz="0" w:space="0" w:color="auto"/>
        <w:right w:val="none" w:sz="0" w:space="0" w:color="auto"/>
      </w:divBdr>
    </w:div>
    <w:div w:id="293103021">
      <w:marLeft w:val="640"/>
      <w:marRight w:val="0"/>
      <w:marTop w:val="0"/>
      <w:marBottom w:val="0"/>
      <w:divBdr>
        <w:top w:val="none" w:sz="0" w:space="0" w:color="auto"/>
        <w:left w:val="none" w:sz="0" w:space="0" w:color="auto"/>
        <w:bottom w:val="none" w:sz="0" w:space="0" w:color="auto"/>
        <w:right w:val="none" w:sz="0" w:space="0" w:color="auto"/>
      </w:divBdr>
    </w:div>
    <w:div w:id="293368688">
      <w:marLeft w:val="640"/>
      <w:marRight w:val="0"/>
      <w:marTop w:val="0"/>
      <w:marBottom w:val="0"/>
      <w:divBdr>
        <w:top w:val="none" w:sz="0" w:space="0" w:color="auto"/>
        <w:left w:val="none" w:sz="0" w:space="0" w:color="auto"/>
        <w:bottom w:val="none" w:sz="0" w:space="0" w:color="auto"/>
        <w:right w:val="none" w:sz="0" w:space="0" w:color="auto"/>
      </w:divBdr>
    </w:div>
    <w:div w:id="293566052">
      <w:marLeft w:val="640"/>
      <w:marRight w:val="0"/>
      <w:marTop w:val="0"/>
      <w:marBottom w:val="0"/>
      <w:divBdr>
        <w:top w:val="none" w:sz="0" w:space="0" w:color="auto"/>
        <w:left w:val="none" w:sz="0" w:space="0" w:color="auto"/>
        <w:bottom w:val="none" w:sz="0" w:space="0" w:color="auto"/>
        <w:right w:val="none" w:sz="0" w:space="0" w:color="auto"/>
      </w:divBdr>
    </w:div>
    <w:div w:id="293828940">
      <w:marLeft w:val="640"/>
      <w:marRight w:val="0"/>
      <w:marTop w:val="0"/>
      <w:marBottom w:val="0"/>
      <w:divBdr>
        <w:top w:val="none" w:sz="0" w:space="0" w:color="auto"/>
        <w:left w:val="none" w:sz="0" w:space="0" w:color="auto"/>
        <w:bottom w:val="none" w:sz="0" w:space="0" w:color="auto"/>
        <w:right w:val="none" w:sz="0" w:space="0" w:color="auto"/>
      </w:divBdr>
    </w:div>
    <w:div w:id="293953035">
      <w:marLeft w:val="640"/>
      <w:marRight w:val="0"/>
      <w:marTop w:val="0"/>
      <w:marBottom w:val="0"/>
      <w:divBdr>
        <w:top w:val="none" w:sz="0" w:space="0" w:color="auto"/>
        <w:left w:val="none" w:sz="0" w:space="0" w:color="auto"/>
        <w:bottom w:val="none" w:sz="0" w:space="0" w:color="auto"/>
        <w:right w:val="none" w:sz="0" w:space="0" w:color="auto"/>
      </w:divBdr>
    </w:div>
    <w:div w:id="295062656">
      <w:marLeft w:val="640"/>
      <w:marRight w:val="0"/>
      <w:marTop w:val="0"/>
      <w:marBottom w:val="0"/>
      <w:divBdr>
        <w:top w:val="none" w:sz="0" w:space="0" w:color="auto"/>
        <w:left w:val="none" w:sz="0" w:space="0" w:color="auto"/>
        <w:bottom w:val="none" w:sz="0" w:space="0" w:color="auto"/>
        <w:right w:val="none" w:sz="0" w:space="0" w:color="auto"/>
      </w:divBdr>
    </w:div>
    <w:div w:id="295063962">
      <w:marLeft w:val="640"/>
      <w:marRight w:val="0"/>
      <w:marTop w:val="0"/>
      <w:marBottom w:val="0"/>
      <w:divBdr>
        <w:top w:val="none" w:sz="0" w:space="0" w:color="auto"/>
        <w:left w:val="none" w:sz="0" w:space="0" w:color="auto"/>
        <w:bottom w:val="none" w:sz="0" w:space="0" w:color="auto"/>
        <w:right w:val="none" w:sz="0" w:space="0" w:color="auto"/>
      </w:divBdr>
    </w:div>
    <w:div w:id="295717084">
      <w:marLeft w:val="640"/>
      <w:marRight w:val="0"/>
      <w:marTop w:val="0"/>
      <w:marBottom w:val="0"/>
      <w:divBdr>
        <w:top w:val="none" w:sz="0" w:space="0" w:color="auto"/>
        <w:left w:val="none" w:sz="0" w:space="0" w:color="auto"/>
        <w:bottom w:val="none" w:sz="0" w:space="0" w:color="auto"/>
        <w:right w:val="none" w:sz="0" w:space="0" w:color="auto"/>
      </w:divBdr>
    </w:div>
    <w:div w:id="296571923">
      <w:marLeft w:val="640"/>
      <w:marRight w:val="0"/>
      <w:marTop w:val="0"/>
      <w:marBottom w:val="0"/>
      <w:divBdr>
        <w:top w:val="none" w:sz="0" w:space="0" w:color="auto"/>
        <w:left w:val="none" w:sz="0" w:space="0" w:color="auto"/>
        <w:bottom w:val="none" w:sz="0" w:space="0" w:color="auto"/>
        <w:right w:val="none" w:sz="0" w:space="0" w:color="auto"/>
      </w:divBdr>
    </w:div>
    <w:div w:id="297030151">
      <w:marLeft w:val="640"/>
      <w:marRight w:val="0"/>
      <w:marTop w:val="0"/>
      <w:marBottom w:val="0"/>
      <w:divBdr>
        <w:top w:val="none" w:sz="0" w:space="0" w:color="auto"/>
        <w:left w:val="none" w:sz="0" w:space="0" w:color="auto"/>
        <w:bottom w:val="none" w:sz="0" w:space="0" w:color="auto"/>
        <w:right w:val="none" w:sz="0" w:space="0" w:color="auto"/>
      </w:divBdr>
    </w:div>
    <w:div w:id="297296705">
      <w:marLeft w:val="640"/>
      <w:marRight w:val="0"/>
      <w:marTop w:val="0"/>
      <w:marBottom w:val="0"/>
      <w:divBdr>
        <w:top w:val="none" w:sz="0" w:space="0" w:color="auto"/>
        <w:left w:val="none" w:sz="0" w:space="0" w:color="auto"/>
        <w:bottom w:val="none" w:sz="0" w:space="0" w:color="auto"/>
        <w:right w:val="none" w:sz="0" w:space="0" w:color="auto"/>
      </w:divBdr>
    </w:div>
    <w:div w:id="297616141">
      <w:marLeft w:val="640"/>
      <w:marRight w:val="0"/>
      <w:marTop w:val="0"/>
      <w:marBottom w:val="0"/>
      <w:divBdr>
        <w:top w:val="none" w:sz="0" w:space="0" w:color="auto"/>
        <w:left w:val="none" w:sz="0" w:space="0" w:color="auto"/>
        <w:bottom w:val="none" w:sz="0" w:space="0" w:color="auto"/>
        <w:right w:val="none" w:sz="0" w:space="0" w:color="auto"/>
      </w:divBdr>
    </w:div>
    <w:div w:id="300231314">
      <w:marLeft w:val="640"/>
      <w:marRight w:val="0"/>
      <w:marTop w:val="0"/>
      <w:marBottom w:val="0"/>
      <w:divBdr>
        <w:top w:val="none" w:sz="0" w:space="0" w:color="auto"/>
        <w:left w:val="none" w:sz="0" w:space="0" w:color="auto"/>
        <w:bottom w:val="none" w:sz="0" w:space="0" w:color="auto"/>
        <w:right w:val="none" w:sz="0" w:space="0" w:color="auto"/>
      </w:divBdr>
    </w:div>
    <w:div w:id="300353542">
      <w:marLeft w:val="640"/>
      <w:marRight w:val="0"/>
      <w:marTop w:val="0"/>
      <w:marBottom w:val="0"/>
      <w:divBdr>
        <w:top w:val="none" w:sz="0" w:space="0" w:color="auto"/>
        <w:left w:val="none" w:sz="0" w:space="0" w:color="auto"/>
        <w:bottom w:val="none" w:sz="0" w:space="0" w:color="auto"/>
        <w:right w:val="none" w:sz="0" w:space="0" w:color="auto"/>
      </w:divBdr>
    </w:div>
    <w:div w:id="302083272">
      <w:marLeft w:val="640"/>
      <w:marRight w:val="0"/>
      <w:marTop w:val="0"/>
      <w:marBottom w:val="0"/>
      <w:divBdr>
        <w:top w:val="none" w:sz="0" w:space="0" w:color="auto"/>
        <w:left w:val="none" w:sz="0" w:space="0" w:color="auto"/>
        <w:bottom w:val="none" w:sz="0" w:space="0" w:color="auto"/>
        <w:right w:val="none" w:sz="0" w:space="0" w:color="auto"/>
      </w:divBdr>
    </w:div>
    <w:div w:id="302659822">
      <w:marLeft w:val="640"/>
      <w:marRight w:val="0"/>
      <w:marTop w:val="0"/>
      <w:marBottom w:val="0"/>
      <w:divBdr>
        <w:top w:val="none" w:sz="0" w:space="0" w:color="auto"/>
        <w:left w:val="none" w:sz="0" w:space="0" w:color="auto"/>
        <w:bottom w:val="none" w:sz="0" w:space="0" w:color="auto"/>
        <w:right w:val="none" w:sz="0" w:space="0" w:color="auto"/>
      </w:divBdr>
    </w:div>
    <w:div w:id="303775408">
      <w:marLeft w:val="640"/>
      <w:marRight w:val="0"/>
      <w:marTop w:val="0"/>
      <w:marBottom w:val="0"/>
      <w:divBdr>
        <w:top w:val="none" w:sz="0" w:space="0" w:color="auto"/>
        <w:left w:val="none" w:sz="0" w:space="0" w:color="auto"/>
        <w:bottom w:val="none" w:sz="0" w:space="0" w:color="auto"/>
        <w:right w:val="none" w:sz="0" w:space="0" w:color="auto"/>
      </w:divBdr>
    </w:div>
    <w:div w:id="305279595">
      <w:marLeft w:val="640"/>
      <w:marRight w:val="0"/>
      <w:marTop w:val="0"/>
      <w:marBottom w:val="0"/>
      <w:divBdr>
        <w:top w:val="none" w:sz="0" w:space="0" w:color="auto"/>
        <w:left w:val="none" w:sz="0" w:space="0" w:color="auto"/>
        <w:bottom w:val="none" w:sz="0" w:space="0" w:color="auto"/>
        <w:right w:val="none" w:sz="0" w:space="0" w:color="auto"/>
      </w:divBdr>
    </w:div>
    <w:div w:id="305472341">
      <w:marLeft w:val="640"/>
      <w:marRight w:val="0"/>
      <w:marTop w:val="0"/>
      <w:marBottom w:val="0"/>
      <w:divBdr>
        <w:top w:val="none" w:sz="0" w:space="0" w:color="auto"/>
        <w:left w:val="none" w:sz="0" w:space="0" w:color="auto"/>
        <w:bottom w:val="none" w:sz="0" w:space="0" w:color="auto"/>
        <w:right w:val="none" w:sz="0" w:space="0" w:color="auto"/>
      </w:divBdr>
    </w:div>
    <w:div w:id="305551294">
      <w:marLeft w:val="640"/>
      <w:marRight w:val="0"/>
      <w:marTop w:val="0"/>
      <w:marBottom w:val="0"/>
      <w:divBdr>
        <w:top w:val="none" w:sz="0" w:space="0" w:color="auto"/>
        <w:left w:val="none" w:sz="0" w:space="0" w:color="auto"/>
        <w:bottom w:val="none" w:sz="0" w:space="0" w:color="auto"/>
        <w:right w:val="none" w:sz="0" w:space="0" w:color="auto"/>
      </w:divBdr>
    </w:div>
    <w:div w:id="305625669">
      <w:marLeft w:val="640"/>
      <w:marRight w:val="0"/>
      <w:marTop w:val="0"/>
      <w:marBottom w:val="0"/>
      <w:divBdr>
        <w:top w:val="none" w:sz="0" w:space="0" w:color="auto"/>
        <w:left w:val="none" w:sz="0" w:space="0" w:color="auto"/>
        <w:bottom w:val="none" w:sz="0" w:space="0" w:color="auto"/>
        <w:right w:val="none" w:sz="0" w:space="0" w:color="auto"/>
      </w:divBdr>
    </w:div>
    <w:div w:id="305862650">
      <w:marLeft w:val="640"/>
      <w:marRight w:val="0"/>
      <w:marTop w:val="0"/>
      <w:marBottom w:val="0"/>
      <w:divBdr>
        <w:top w:val="none" w:sz="0" w:space="0" w:color="auto"/>
        <w:left w:val="none" w:sz="0" w:space="0" w:color="auto"/>
        <w:bottom w:val="none" w:sz="0" w:space="0" w:color="auto"/>
        <w:right w:val="none" w:sz="0" w:space="0" w:color="auto"/>
      </w:divBdr>
    </w:div>
    <w:div w:id="306010014">
      <w:marLeft w:val="640"/>
      <w:marRight w:val="0"/>
      <w:marTop w:val="0"/>
      <w:marBottom w:val="0"/>
      <w:divBdr>
        <w:top w:val="none" w:sz="0" w:space="0" w:color="auto"/>
        <w:left w:val="none" w:sz="0" w:space="0" w:color="auto"/>
        <w:bottom w:val="none" w:sz="0" w:space="0" w:color="auto"/>
        <w:right w:val="none" w:sz="0" w:space="0" w:color="auto"/>
      </w:divBdr>
    </w:div>
    <w:div w:id="306782917">
      <w:marLeft w:val="640"/>
      <w:marRight w:val="0"/>
      <w:marTop w:val="0"/>
      <w:marBottom w:val="0"/>
      <w:divBdr>
        <w:top w:val="none" w:sz="0" w:space="0" w:color="auto"/>
        <w:left w:val="none" w:sz="0" w:space="0" w:color="auto"/>
        <w:bottom w:val="none" w:sz="0" w:space="0" w:color="auto"/>
        <w:right w:val="none" w:sz="0" w:space="0" w:color="auto"/>
      </w:divBdr>
    </w:div>
    <w:div w:id="306974321">
      <w:marLeft w:val="640"/>
      <w:marRight w:val="0"/>
      <w:marTop w:val="0"/>
      <w:marBottom w:val="0"/>
      <w:divBdr>
        <w:top w:val="none" w:sz="0" w:space="0" w:color="auto"/>
        <w:left w:val="none" w:sz="0" w:space="0" w:color="auto"/>
        <w:bottom w:val="none" w:sz="0" w:space="0" w:color="auto"/>
        <w:right w:val="none" w:sz="0" w:space="0" w:color="auto"/>
      </w:divBdr>
    </w:div>
    <w:div w:id="307439521">
      <w:marLeft w:val="640"/>
      <w:marRight w:val="0"/>
      <w:marTop w:val="0"/>
      <w:marBottom w:val="0"/>
      <w:divBdr>
        <w:top w:val="none" w:sz="0" w:space="0" w:color="auto"/>
        <w:left w:val="none" w:sz="0" w:space="0" w:color="auto"/>
        <w:bottom w:val="none" w:sz="0" w:space="0" w:color="auto"/>
        <w:right w:val="none" w:sz="0" w:space="0" w:color="auto"/>
      </w:divBdr>
    </w:div>
    <w:div w:id="307711334">
      <w:marLeft w:val="640"/>
      <w:marRight w:val="0"/>
      <w:marTop w:val="0"/>
      <w:marBottom w:val="0"/>
      <w:divBdr>
        <w:top w:val="none" w:sz="0" w:space="0" w:color="auto"/>
        <w:left w:val="none" w:sz="0" w:space="0" w:color="auto"/>
        <w:bottom w:val="none" w:sz="0" w:space="0" w:color="auto"/>
        <w:right w:val="none" w:sz="0" w:space="0" w:color="auto"/>
      </w:divBdr>
    </w:div>
    <w:div w:id="308100328">
      <w:marLeft w:val="640"/>
      <w:marRight w:val="0"/>
      <w:marTop w:val="0"/>
      <w:marBottom w:val="0"/>
      <w:divBdr>
        <w:top w:val="none" w:sz="0" w:space="0" w:color="auto"/>
        <w:left w:val="none" w:sz="0" w:space="0" w:color="auto"/>
        <w:bottom w:val="none" w:sz="0" w:space="0" w:color="auto"/>
        <w:right w:val="none" w:sz="0" w:space="0" w:color="auto"/>
      </w:divBdr>
    </w:div>
    <w:div w:id="308172002">
      <w:marLeft w:val="640"/>
      <w:marRight w:val="0"/>
      <w:marTop w:val="0"/>
      <w:marBottom w:val="0"/>
      <w:divBdr>
        <w:top w:val="none" w:sz="0" w:space="0" w:color="auto"/>
        <w:left w:val="none" w:sz="0" w:space="0" w:color="auto"/>
        <w:bottom w:val="none" w:sz="0" w:space="0" w:color="auto"/>
        <w:right w:val="none" w:sz="0" w:space="0" w:color="auto"/>
      </w:divBdr>
    </w:div>
    <w:div w:id="309100401">
      <w:marLeft w:val="640"/>
      <w:marRight w:val="0"/>
      <w:marTop w:val="0"/>
      <w:marBottom w:val="0"/>
      <w:divBdr>
        <w:top w:val="none" w:sz="0" w:space="0" w:color="auto"/>
        <w:left w:val="none" w:sz="0" w:space="0" w:color="auto"/>
        <w:bottom w:val="none" w:sz="0" w:space="0" w:color="auto"/>
        <w:right w:val="none" w:sz="0" w:space="0" w:color="auto"/>
      </w:divBdr>
    </w:div>
    <w:div w:id="310445619">
      <w:marLeft w:val="640"/>
      <w:marRight w:val="0"/>
      <w:marTop w:val="0"/>
      <w:marBottom w:val="0"/>
      <w:divBdr>
        <w:top w:val="none" w:sz="0" w:space="0" w:color="auto"/>
        <w:left w:val="none" w:sz="0" w:space="0" w:color="auto"/>
        <w:bottom w:val="none" w:sz="0" w:space="0" w:color="auto"/>
        <w:right w:val="none" w:sz="0" w:space="0" w:color="auto"/>
      </w:divBdr>
    </w:div>
    <w:div w:id="310867556">
      <w:marLeft w:val="640"/>
      <w:marRight w:val="0"/>
      <w:marTop w:val="0"/>
      <w:marBottom w:val="0"/>
      <w:divBdr>
        <w:top w:val="none" w:sz="0" w:space="0" w:color="auto"/>
        <w:left w:val="none" w:sz="0" w:space="0" w:color="auto"/>
        <w:bottom w:val="none" w:sz="0" w:space="0" w:color="auto"/>
        <w:right w:val="none" w:sz="0" w:space="0" w:color="auto"/>
      </w:divBdr>
    </w:div>
    <w:div w:id="311180203">
      <w:marLeft w:val="640"/>
      <w:marRight w:val="0"/>
      <w:marTop w:val="0"/>
      <w:marBottom w:val="0"/>
      <w:divBdr>
        <w:top w:val="none" w:sz="0" w:space="0" w:color="auto"/>
        <w:left w:val="none" w:sz="0" w:space="0" w:color="auto"/>
        <w:bottom w:val="none" w:sz="0" w:space="0" w:color="auto"/>
        <w:right w:val="none" w:sz="0" w:space="0" w:color="auto"/>
      </w:divBdr>
    </w:div>
    <w:div w:id="311372483">
      <w:marLeft w:val="640"/>
      <w:marRight w:val="0"/>
      <w:marTop w:val="0"/>
      <w:marBottom w:val="0"/>
      <w:divBdr>
        <w:top w:val="none" w:sz="0" w:space="0" w:color="auto"/>
        <w:left w:val="none" w:sz="0" w:space="0" w:color="auto"/>
        <w:bottom w:val="none" w:sz="0" w:space="0" w:color="auto"/>
        <w:right w:val="none" w:sz="0" w:space="0" w:color="auto"/>
      </w:divBdr>
    </w:div>
    <w:div w:id="311522987">
      <w:marLeft w:val="640"/>
      <w:marRight w:val="0"/>
      <w:marTop w:val="0"/>
      <w:marBottom w:val="0"/>
      <w:divBdr>
        <w:top w:val="none" w:sz="0" w:space="0" w:color="auto"/>
        <w:left w:val="none" w:sz="0" w:space="0" w:color="auto"/>
        <w:bottom w:val="none" w:sz="0" w:space="0" w:color="auto"/>
        <w:right w:val="none" w:sz="0" w:space="0" w:color="auto"/>
      </w:divBdr>
    </w:div>
    <w:div w:id="311566385">
      <w:marLeft w:val="640"/>
      <w:marRight w:val="0"/>
      <w:marTop w:val="0"/>
      <w:marBottom w:val="0"/>
      <w:divBdr>
        <w:top w:val="none" w:sz="0" w:space="0" w:color="auto"/>
        <w:left w:val="none" w:sz="0" w:space="0" w:color="auto"/>
        <w:bottom w:val="none" w:sz="0" w:space="0" w:color="auto"/>
        <w:right w:val="none" w:sz="0" w:space="0" w:color="auto"/>
      </w:divBdr>
    </w:div>
    <w:div w:id="311719524">
      <w:marLeft w:val="640"/>
      <w:marRight w:val="0"/>
      <w:marTop w:val="0"/>
      <w:marBottom w:val="0"/>
      <w:divBdr>
        <w:top w:val="none" w:sz="0" w:space="0" w:color="auto"/>
        <w:left w:val="none" w:sz="0" w:space="0" w:color="auto"/>
        <w:bottom w:val="none" w:sz="0" w:space="0" w:color="auto"/>
        <w:right w:val="none" w:sz="0" w:space="0" w:color="auto"/>
      </w:divBdr>
    </w:div>
    <w:div w:id="312029185">
      <w:marLeft w:val="640"/>
      <w:marRight w:val="0"/>
      <w:marTop w:val="0"/>
      <w:marBottom w:val="0"/>
      <w:divBdr>
        <w:top w:val="none" w:sz="0" w:space="0" w:color="auto"/>
        <w:left w:val="none" w:sz="0" w:space="0" w:color="auto"/>
        <w:bottom w:val="none" w:sz="0" w:space="0" w:color="auto"/>
        <w:right w:val="none" w:sz="0" w:space="0" w:color="auto"/>
      </w:divBdr>
    </w:div>
    <w:div w:id="312297002">
      <w:marLeft w:val="640"/>
      <w:marRight w:val="0"/>
      <w:marTop w:val="0"/>
      <w:marBottom w:val="0"/>
      <w:divBdr>
        <w:top w:val="none" w:sz="0" w:space="0" w:color="auto"/>
        <w:left w:val="none" w:sz="0" w:space="0" w:color="auto"/>
        <w:bottom w:val="none" w:sz="0" w:space="0" w:color="auto"/>
        <w:right w:val="none" w:sz="0" w:space="0" w:color="auto"/>
      </w:divBdr>
    </w:div>
    <w:div w:id="312872293">
      <w:marLeft w:val="640"/>
      <w:marRight w:val="0"/>
      <w:marTop w:val="0"/>
      <w:marBottom w:val="0"/>
      <w:divBdr>
        <w:top w:val="none" w:sz="0" w:space="0" w:color="auto"/>
        <w:left w:val="none" w:sz="0" w:space="0" w:color="auto"/>
        <w:bottom w:val="none" w:sz="0" w:space="0" w:color="auto"/>
        <w:right w:val="none" w:sz="0" w:space="0" w:color="auto"/>
      </w:divBdr>
    </w:div>
    <w:div w:id="313722057">
      <w:marLeft w:val="640"/>
      <w:marRight w:val="0"/>
      <w:marTop w:val="0"/>
      <w:marBottom w:val="0"/>
      <w:divBdr>
        <w:top w:val="none" w:sz="0" w:space="0" w:color="auto"/>
        <w:left w:val="none" w:sz="0" w:space="0" w:color="auto"/>
        <w:bottom w:val="none" w:sz="0" w:space="0" w:color="auto"/>
        <w:right w:val="none" w:sz="0" w:space="0" w:color="auto"/>
      </w:divBdr>
    </w:div>
    <w:div w:id="314991035">
      <w:marLeft w:val="640"/>
      <w:marRight w:val="0"/>
      <w:marTop w:val="0"/>
      <w:marBottom w:val="0"/>
      <w:divBdr>
        <w:top w:val="none" w:sz="0" w:space="0" w:color="auto"/>
        <w:left w:val="none" w:sz="0" w:space="0" w:color="auto"/>
        <w:bottom w:val="none" w:sz="0" w:space="0" w:color="auto"/>
        <w:right w:val="none" w:sz="0" w:space="0" w:color="auto"/>
      </w:divBdr>
    </w:div>
    <w:div w:id="315691770">
      <w:marLeft w:val="640"/>
      <w:marRight w:val="0"/>
      <w:marTop w:val="0"/>
      <w:marBottom w:val="0"/>
      <w:divBdr>
        <w:top w:val="none" w:sz="0" w:space="0" w:color="auto"/>
        <w:left w:val="none" w:sz="0" w:space="0" w:color="auto"/>
        <w:bottom w:val="none" w:sz="0" w:space="0" w:color="auto"/>
        <w:right w:val="none" w:sz="0" w:space="0" w:color="auto"/>
      </w:divBdr>
    </w:div>
    <w:div w:id="316033034">
      <w:marLeft w:val="640"/>
      <w:marRight w:val="0"/>
      <w:marTop w:val="0"/>
      <w:marBottom w:val="0"/>
      <w:divBdr>
        <w:top w:val="none" w:sz="0" w:space="0" w:color="auto"/>
        <w:left w:val="none" w:sz="0" w:space="0" w:color="auto"/>
        <w:bottom w:val="none" w:sz="0" w:space="0" w:color="auto"/>
        <w:right w:val="none" w:sz="0" w:space="0" w:color="auto"/>
      </w:divBdr>
    </w:div>
    <w:div w:id="318198970">
      <w:marLeft w:val="640"/>
      <w:marRight w:val="0"/>
      <w:marTop w:val="0"/>
      <w:marBottom w:val="0"/>
      <w:divBdr>
        <w:top w:val="none" w:sz="0" w:space="0" w:color="auto"/>
        <w:left w:val="none" w:sz="0" w:space="0" w:color="auto"/>
        <w:bottom w:val="none" w:sz="0" w:space="0" w:color="auto"/>
        <w:right w:val="none" w:sz="0" w:space="0" w:color="auto"/>
      </w:divBdr>
    </w:div>
    <w:div w:id="318313210">
      <w:marLeft w:val="640"/>
      <w:marRight w:val="0"/>
      <w:marTop w:val="0"/>
      <w:marBottom w:val="0"/>
      <w:divBdr>
        <w:top w:val="none" w:sz="0" w:space="0" w:color="auto"/>
        <w:left w:val="none" w:sz="0" w:space="0" w:color="auto"/>
        <w:bottom w:val="none" w:sz="0" w:space="0" w:color="auto"/>
        <w:right w:val="none" w:sz="0" w:space="0" w:color="auto"/>
      </w:divBdr>
    </w:div>
    <w:div w:id="320013711">
      <w:marLeft w:val="640"/>
      <w:marRight w:val="0"/>
      <w:marTop w:val="0"/>
      <w:marBottom w:val="0"/>
      <w:divBdr>
        <w:top w:val="none" w:sz="0" w:space="0" w:color="auto"/>
        <w:left w:val="none" w:sz="0" w:space="0" w:color="auto"/>
        <w:bottom w:val="none" w:sz="0" w:space="0" w:color="auto"/>
        <w:right w:val="none" w:sz="0" w:space="0" w:color="auto"/>
      </w:divBdr>
    </w:div>
    <w:div w:id="320279015">
      <w:marLeft w:val="640"/>
      <w:marRight w:val="0"/>
      <w:marTop w:val="0"/>
      <w:marBottom w:val="0"/>
      <w:divBdr>
        <w:top w:val="none" w:sz="0" w:space="0" w:color="auto"/>
        <w:left w:val="none" w:sz="0" w:space="0" w:color="auto"/>
        <w:bottom w:val="none" w:sz="0" w:space="0" w:color="auto"/>
        <w:right w:val="none" w:sz="0" w:space="0" w:color="auto"/>
      </w:divBdr>
    </w:div>
    <w:div w:id="320307042">
      <w:marLeft w:val="640"/>
      <w:marRight w:val="0"/>
      <w:marTop w:val="0"/>
      <w:marBottom w:val="0"/>
      <w:divBdr>
        <w:top w:val="none" w:sz="0" w:space="0" w:color="auto"/>
        <w:left w:val="none" w:sz="0" w:space="0" w:color="auto"/>
        <w:bottom w:val="none" w:sz="0" w:space="0" w:color="auto"/>
        <w:right w:val="none" w:sz="0" w:space="0" w:color="auto"/>
      </w:divBdr>
    </w:div>
    <w:div w:id="320354636">
      <w:marLeft w:val="640"/>
      <w:marRight w:val="0"/>
      <w:marTop w:val="0"/>
      <w:marBottom w:val="0"/>
      <w:divBdr>
        <w:top w:val="none" w:sz="0" w:space="0" w:color="auto"/>
        <w:left w:val="none" w:sz="0" w:space="0" w:color="auto"/>
        <w:bottom w:val="none" w:sz="0" w:space="0" w:color="auto"/>
        <w:right w:val="none" w:sz="0" w:space="0" w:color="auto"/>
      </w:divBdr>
    </w:div>
    <w:div w:id="320545244">
      <w:marLeft w:val="640"/>
      <w:marRight w:val="0"/>
      <w:marTop w:val="0"/>
      <w:marBottom w:val="0"/>
      <w:divBdr>
        <w:top w:val="none" w:sz="0" w:space="0" w:color="auto"/>
        <w:left w:val="none" w:sz="0" w:space="0" w:color="auto"/>
        <w:bottom w:val="none" w:sz="0" w:space="0" w:color="auto"/>
        <w:right w:val="none" w:sz="0" w:space="0" w:color="auto"/>
      </w:divBdr>
    </w:div>
    <w:div w:id="321391079">
      <w:marLeft w:val="640"/>
      <w:marRight w:val="0"/>
      <w:marTop w:val="0"/>
      <w:marBottom w:val="0"/>
      <w:divBdr>
        <w:top w:val="none" w:sz="0" w:space="0" w:color="auto"/>
        <w:left w:val="none" w:sz="0" w:space="0" w:color="auto"/>
        <w:bottom w:val="none" w:sz="0" w:space="0" w:color="auto"/>
        <w:right w:val="none" w:sz="0" w:space="0" w:color="auto"/>
      </w:divBdr>
    </w:div>
    <w:div w:id="321541591">
      <w:marLeft w:val="640"/>
      <w:marRight w:val="0"/>
      <w:marTop w:val="0"/>
      <w:marBottom w:val="0"/>
      <w:divBdr>
        <w:top w:val="none" w:sz="0" w:space="0" w:color="auto"/>
        <w:left w:val="none" w:sz="0" w:space="0" w:color="auto"/>
        <w:bottom w:val="none" w:sz="0" w:space="0" w:color="auto"/>
        <w:right w:val="none" w:sz="0" w:space="0" w:color="auto"/>
      </w:divBdr>
    </w:div>
    <w:div w:id="321544986">
      <w:marLeft w:val="640"/>
      <w:marRight w:val="0"/>
      <w:marTop w:val="0"/>
      <w:marBottom w:val="0"/>
      <w:divBdr>
        <w:top w:val="none" w:sz="0" w:space="0" w:color="auto"/>
        <w:left w:val="none" w:sz="0" w:space="0" w:color="auto"/>
        <w:bottom w:val="none" w:sz="0" w:space="0" w:color="auto"/>
        <w:right w:val="none" w:sz="0" w:space="0" w:color="auto"/>
      </w:divBdr>
    </w:div>
    <w:div w:id="321665939">
      <w:marLeft w:val="640"/>
      <w:marRight w:val="0"/>
      <w:marTop w:val="0"/>
      <w:marBottom w:val="0"/>
      <w:divBdr>
        <w:top w:val="none" w:sz="0" w:space="0" w:color="auto"/>
        <w:left w:val="none" w:sz="0" w:space="0" w:color="auto"/>
        <w:bottom w:val="none" w:sz="0" w:space="0" w:color="auto"/>
        <w:right w:val="none" w:sz="0" w:space="0" w:color="auto"/>
      </w:divBdr>
    </w:div>
    <w:div w:id="321737359">
      <w:marLeft w:val="640"/>
      <w:marRight w:val="0"/>
      <w:marTop w:val="0"/>
      <w:marBottom w:val="0"/>
      <w:divBdr>
        <w:top w:val="none" w:sz="0" w:space="0" w:color="auto"/>
        <w:left w:val="none" w:sz="0" w:space="0" w:color="auto"/>
        <w:bottom w:val="none" w:sz="0" w:space="0" w:color="auto"/>
        <w:right w:val="none" w:sz="0" w:space="0" w:color="auto"/>
      </w:divBdr>
    </w:div>
    <w:div w:id="321740757">
      <w:marLeft w:val="640"/>
      <w:marRight w:val="0"/>
      <w:marTop w:val="0"/>
      <w:marBottom w:val="0"/>
      <w:divBdr>
        <w:top w:val="none" w:sz="0" w:space="0" w:color="auto"/>
        <w:left w:val="none" w:sz="0" w:space="0" w:color="auto"/>
        <w:bottom w:val="none" w:sz="0" w:space="0" w:color="auto"/>
        <w:right w:val="none" w:sz="0" w:space="0" w:color="auto"/>
      </w:divBdr>
    </w:div>
    <w:div w:id="323047835">
      <w:marLeft w:val="640"/>
      <w:marRight w:val="0"/>
      <w:marTop w:val="0"/>
      <w:marBottom w:val="0"/>
      <w:divBdr>
        <w:top w:val="none" w:sz="0" w:space="0" w:color="auto"/>
        <w:left w:val="none" w:sz="0" w:space="0" w:color="auto"/>
        <w:bottom w:val="none" w:sz="0" w:space="0" w:color="auto"/>
        <w:right w:val="none" w:sz="0" w:space="0" w:color="auto"/>
      </w:divBdr>
    </w:div>
    <w:div w:id="323749781">
      <w:marLeft w:val="640"/>
      <w:marRight w:val="0"/>
      <w:marTop w:val="0"/>
      <w:marBottom w:val="0"/>
      <w:divBdr>
        <w:top w:val="none" w:sz="0" w:space="0" w:color="auto"/>
        <w:left w:val="none" w:sz="0" w:space="0" w:color="auto"/>
        <w:bottom w:val="none" w:sz="0" w:space="0" w:color="auto"/>
        <w:right w:val="none" w:sz="0" w:space="0" w:color="auto"/>
      </w:divBdr>
    </w:div>
    <w:div w:id="324817671">
      <w:marLeft w:val="640"/>
      <w:marRight w:val="0"/>
      <w:marTop w:val="0"/>
      <w:marBottom w:val="0"/>
      <w:divBdr>
        <w:top w:val="none" w:sz="0" w:space="0" w:color="auto"/>
        <w:left w:val="none" w:sz="0" w:space="0" w:color="auto"/>
        <w:bottom w:val="none" w:sz="0" w:space="0" w:color="auto"/>
        <w:right w:val="none" w:sz="0" w:space="0" w:color="auto"/>
      </w:divBdr>
    </w:div>
    <w:div w:id="325482165">
      <w:marLeft w:val="640"/>
      <w:marRight w:val="0"/>
      <w:marTop w:val="0"/>
      <w:marBottom w:val="0"/>
      <w:divBdr>
        <w:top w:val="none" w:sz="0" w:space="0" w:color="auto"/>
        <w:left w:val="none" w:sz="0" w:space="0" w:color="auto"/>
        <w:bottom w:val="none" w:sz="0" w:space="0" w:color="auto"/>
        <w:right w:val="none" w:sz="0" w:space="0" w:color="auto"/>
      </w:divBdr>
    </w:div>
    <w:div w:id="325593589">
      <w:marLeft w:val="640"/>
      <w:marRight w:val="0"/>
      <w:marTop w:val="0"/>
      <w:marBottom w:val="0"/>
      <w:divBdr>
        <w:top w:val="none" w:sz="0" w:space="0" w:color="auto"/>
        <w:left w:val="none" w:sz="0" w:space="0" w:color="auto"/>
        <w:bottom w:val="none" w:sz="0" w:space="0" w:color="auto"/>
        <w:right w:val="none" w:sz="0" w:space="0" w:color="auto"/>
      </w:divBdr>
    </w:div>
    <w:div w:id="325741875">
      <w:marLeft w:val="640"/>
      <w:marRight w:val="0"/>
      <w:marTop w:val="0"/>
      <w:marBottom w:val="0"/>
      <w:divBdr>
        <w:top w:val="none" w:sz="0" w:space="0" w:color="auto"/>
        <w:left w:val="none" w:sz="0" w:space="0" w:color="auto"/>
        <w:bottom w:val="none" w:sz="0" w:space="0" w:color="auto"/>
        <w:right w:val="none" w:sz="0" w:space="0" w:color="auto"/>
      </w:divBdr>
    </w:div>
    <w:div w:id="325978805">
      <w:marLeft w:val="640"/>
      <w:marRight w:val="0"/>
      <w:marTop w:val="0"/>
      <w:marBottom w:val="0"/>
      <w:divBdr>
        <w:top w:val="none" w:sz="0" w:space="0" w:color="auto"/>
        <w:left w:val="none" w:sz="0" w:space="0" w:color="auto"/>
        <w:bottom w:val="none" w:sz="0" w:space="0" w:color="auto"/>
        <w:right w:val="none" w:sz="0" w:space="0" w:color="auto"/>
      </w:divBdr>
    </w:div>
    <w:div w:id="328102167">
      <w:marLeft w:val="640"/>
      <w:marRight w:val="0"/>
      <w:marTop w:val="0"/>
      <w:marBottom w:val="0"/>
      <w:divBdr>
        <w:top w:val="none" w:sz="0" w:space="0" w:color="auto"/>
        <w:left w:val="none" w:sz="0" w:space="0" w:color="auto"/>
        <w:bottom w:val="none" w:sz="0" w:space="0" w:color="auto"/>
        <w:right w:val="none" w:sz="0" w:space="0" w:color="auto"/>
      </w:divBdr>
    </w:div>
    <w:div w:id="328606555">
      <w:marLeft w:val="640"/>
      <w:marRight w:val="0"/>
      <w:marTop w:val="0"/>
      <w:marBottom w:val="0"/>
      <w:divBdr>
        <w:top w:val="none" w:sz="0" w:space="0" w:color="auto"/>
        <w:left w:val="none" w:sz="0" w:space="0" w:color="auto"/>
        <w:bottom w:val="none" w:sz="0" w:space="0" w:color="auto"/>
        <w:right w:val="none" w:sz="0" w:space="0" w:color="auto"/>
      </w:divBdr>
    </w:div>
    <w:div w:id="328753350">
      <w:marLeft w:val="640"/>
      <w:marRight w:val="0"/>
      <w:marTop w:val="0"/>
      <w:marBottom w:val="0"/>
      <w:divBdr>
        <w:top w:val="none" w:sz="0" w:space="0" w:color="auto"/>
        <w:left w:val="none" w:sz="0" w:space="0" w:color="auto"/>
        <w:bottom w:val="none" w:sz="0" w:space="0" w:color="auto"/>
        <w:right w:val="none" w:sz="0" w:space="0" w:color="auto"/>
      </w:divBdr>
    </w:div>
    <w:div w:id="328992137">
      <w:marLeft w:val="640"/>
      <w:marRight w:val="0"/>
      <w:marTop w:val="0"/>
      <w:marBottom w:val="0"/>
      <w:divBdr>
        <w:top w:val="none" w:sz="0" w:space="0" w:color="auto"/>
        <w:left w:val="none" w:sz="0" w:space="0" w:color="auto"/>
        <w:bottom w:val="none" w:sz="0" w:space="0" w:color="auto"/>
        <w:right w:val="none" w:sz="0" w:space="0" w:color="auto"/>
      </w:divBdr>
    </w:div>
    <w:div w:id="330135823">
      <w:marLeft w:val="640"/>
      <w:marRight w:val="0"/>
      <w:marTop w:val="0"/>
      <w:marBottom w:val="0"/>
      <w:divBdr>
        <w:top w:val="none" w:sz="0" w:space="0" w:color="auto"/>
        <w:left w:val="none" w:sz="0" w:space="0" w:color="auto"/>
        <w:bottom w:val="none" w:sz="0" w:space="0" w:color="auto"/>
        <w:right w:val="none" w:sz="0" w:space="0" w:color="auto"/>
      </w:divBdr>
    </w:div>
    <w:div w:id="330332930">
      <w:marLeft w:val="640"/>
      <w:marRight w:val="0"/>
      <w:marTop w:val="0"/>
      <w:marBottom w:val="0"/>
      <w:divBdr>
        <w:top w:val="none" w:sz="0" w:space="0" w:color="auto"/>
        <w:left w:val="none" w:sz="0" w:space="0" w:color="auto"/>
        <w:bottom w:val="none" w:sz="0" w:space="0" w:color="auto"/>
        <w:right w:val="none" w:sz="0" w:space="0" w:color="auto"/>
      </w:divBdr>
    </w:div>
    <w:div w:id="330372912">
      <w:marLeft w:val="640"/>
      <w:marRight w:val="0"/>
      <w:marTop w:val="0"/>
      <w:marBottom w:val="0"/>
      <w:divBdr>
        <w:top w:val="none" w:sz="0" w:space="0" w:color="auto"/>
        <w:left w:val="none" w:sz="0" w:space="0" w:color="auto"/>
        <w:bottom w:val="none" w:sz="0" w:space="0" w:color="auto"/>
        <w:right w:val="none" w:sz="0" w:space="0" w:color="auto"/>
      </w:divBdr>
    </w:div>
    <w:div w:id="330911858">
      <w:marLeft w:val="640"/>
      <w:marRight w:val="0"/>
      <w:marTop w:val="0"/>
      <w:marBottom w:val="0"/>
      <w:divBdr>
        <w:top w:val="none" w:sz="0" w:space="0" w:color="auto"/>
        <w:left w:val="none" w:sz="0" w:space="0" w:color="auto"/>
        <w:bottom w:val="none" w:sz="0" w:space="0" w:color="auto"/>
        <w:right w:val="none" w:sz="0" w:space="0" w:color="auto"/>
      </w:divBdr>
    </w:div>
    <w:div w:id="331185731">
      <w:marLeft w:val="640"/>
      <w:marRight w:val="0"/>
      <w:marTop w:val="0"/>
      <w:marBottom w:val="0"/>
      <w:divBdr>
        <w:top w:val="none" w:sz="0" w:space="0" w:color="auto"/>
        <w:left w:val="none" w:sz="0" w:space="0" w:color="auto"/>
        <w:bottom w:val="none" w:sz="0" w:space="0" w:color="auto"/>
        <w:right w:val="none" w:sz="0" w:space="0" w:color="auto"/>
      </w:divBdr>
    </w:div>
    <w:div w:id="332030496">
      <w:marLeft w:val="640"/>
      <w:marRight w:val="0"/>
      <w:marTop w:val="0"/>
      <w:marBottom w:val="0"/>
      <w:divBdr>
        <w:top w:val="none" w:sz="0" w:space="0" w:color="auto"/>
        <w:left w:val="none" w:sz="0" w:space="0" w:color="auto"/>
        <w:bottom w:val="none" w:sz="0" w:space="0" w:color="auto"/>
        <w:right w:val="none" w:sz="0" w:space="0" w:color="auto"/>
      </w:divBdr>
    </w:div>
    <w:div w:id="332076024">
      <w:marLeft w:val="640"/>
      <w:marRight w:val="0"/>
      <w:marTop w:val="0"/>
      <w:marBottom w:val="0"/>
      <w:divBdr>
        <w:top w:val="none" w:sz="0" w:space="0" w:color="auto"/>
        <w:left w:val="none" w:sz="0" w:space="0" w:color="auto"/>
        <w:bottom w:val="none" w:sz="0" w:space="0" w:color="auto"/>
        <w:right w:val="none" w:sz="0" w:space="0" w:color="auto"/>
      </w:divBdr>
    </w:div>
    <w:div w:id="333605741">
      <w:marLeft w:val="640"/>
      <w:marRight w:val="0"/>
      <w:marTop w:val="0"/>
      <w:marBottom w:val="0"/>
      <w:divBdr>
        <w:top w:val="none" w:sz="0" w:space="0" w:color="auto"/>
        <w:left w:val="none" w:sz="0" w:space="0" w:color="auto"/>
        <w:bottom w:val="none" w:sz="0" w:space="0" w:color="auto"/>
        <w:right w:val="none" w:sz="0" w:space="0" w:color="auto"/>
      </w:divBdr>
    </w:div>
    <w:div w:id="333650938">
      <w:marLeft w:val="640"/>
      <w:marRight w:val="0"/>
      <w:marTop w:val="0"/>
      <w:marBottom w:val="0"/>
      <w:divBdr>
        <w:top w:val="none" w:sz="0" w:space="0" w:color="auto"/>
        <w:left w:val="none" w:sz="0" w:space="0" w:color="auto"/>
        <w:bottom w:val="none" w:sz="0" w:space="0" w:color="auto"/>
        <w:right w:val="none" w:sz="0" w:space="0" w:color="auto"/>
      </w:divBdr>
    </w:div>
    <w:div w:id="333799604">
      <w:marLeft w:val="640"/>
      <w:marRight w:val="0"/>
      <w:marTop w:val="0"/>
      <w:marBottom w:val="0"/>
      <w:divBdr>
        <w:top w:val="none" w:sz="0" w:space="0" w:color="auto"/>
        <w:left w:val="none" w:sz="0" w:space="0" w:color="auto"/>
        <w:bottom w:val="none" w:sz="0" w:space="0" w:color="auto"/>
        <w:right w:val="none" w:sz="0" w:space="0" w:color="auto"/>
      </w:divBdr>
    </w:div>
    <w:div w:id="334495945">
      <w:marLeft w:val="640"/>
      <w:marRight w:val="0"/>
      <w:marTop w:val="0"/>
      <w:marBottom w:val="0"/>
      <w:divBdr>
        <w:top w:val="none" w:sz="0" w:space="0" w:color="auto"/>
        <w:left w:val="none" w:sz="0" w:space="0" w:color="auto"/>
        <w:bottom w:val="none" w:sz="0" w:space="0" w:color="auto"/>
        <w:right w:val="none" w:sz="0" w:space="0" w:color="auto"/>
      </w:divBdr>
    </w:div>
    <w:div w:id="334502639">
      <w:marLeft w:val="640"/>
      <w:marRight w:val="0"/>
      <w:marTop w:val="0"/>
      <w:marBottom w:val="0"/>
      <w:divBdr>
        <w:top w:val="none" w:sz="0" w:space="0" w:color="auto"/>
        <w:left w:val="none" w:sz="0" w:space="0" w:color="auto"/>
        <w:bottom w:val="none" w:sz="0" w:space="0" w:color="auto"/>
        <w:right w:val="none" w:sz="0" w:space="0" w:color="auto"/>
      </w:divBdr>
    </w:div>
    <w:div w:id="335353301">
      <w:marLeft w:val="640"/>
      <w:marRight w:val="0"/>
      <w:marTop w:val="0"/>
      <w:marBottom w:val="0"/>
      <w:divBdr>
        <w:top w:val="none" w:sz="0" w:space="0" w:color="auto"/>
        <w:left w:val="none" w:sz="0" w:space="0" w:color="auto"/>
        <w:bottom w:val="none" w:sz="0" w:space="0" w:color="auto"/>
        <w:right w:val="none" w:sz="0" w:space="0" w:color="auto"/>
      </w:divBdr>
    </w:div>
    <w:div w:id="335428054">
      <w:marLeft w:val="640"/>
      <w:marRight w:val="0"/>
      <w:marTop w:val="0"/>
      <w:marBottom w:val="0"/>
      <w:divBdr>
        <w:top w:val="none" w:sz="0" w:space="0" w:color="auto"/>
        <w:left w:val="none" w:sz="0" w:space="0" w:color="auto"/>
        <w:bottom w:val="none" w:sz="0" w:space="0" w:color="auto"/>
        <w:right w:val="none" w:sz="0" w:space="0" w:color="auto"/>
      </w:divBdr>
    </w:div>
    <w:div w:id="335881536">
      <w:marLeft w:val="640"/>
      <w:marRight w:val="0"/>
      <w:marTop w:val="0"/>
      <w:marBottom w:val="0"/>
      <w:divBdr>
        <w:top w:val="none" w:sz="0" w:space="0" w:color="auto"/>
        <w:left w:val="none" w:sz="0" w:space="0" w:color="auto"/>
        <w:bottom w:val="none" w:sz="0" w:space="0" w:color="auto"/>
        <w:right w:val="none" w:sz="0" w:space="0" w:color="auto"/>
      </w:divBdr>
    </w:div>
    <w:div w:id="336352353">
      <w:marLeft w:val="640"/>
      <w:marRight w:val="0"/>
      <w:marTop w:val="0"/>
      <w:marBottom w:val="0"/>
      <w:divBdr>
        <w:top w:val="none" w:sz="0" w:space="0" w:color="auto"/>
        <w:left w:val="none" w:sz="0" w:space="0" w:color="auto"/>
        <w:bottom w:val="none" w:sz="0" w:space="0" w:color="auto"/>
        <w:right w:val="none" w:sz="0" w:space="0" w:color="auto"/>
      </w:divBdr>
    </w:div>
    <w:div w:id="337118285">
      <w:marLeft w:val="640"/>
      <w:marRight w:val="0"/>
      <w:marTop w:val="0"/>
      <w:marBottom w:val="0"/>
      <w:divBdr>
        <w:top w:val="none" w:sz="0" w:space="0" w:color="auto"/>
        <w:left w:val="none" w:sz="0" w:space="0" w:color="auto"/>
        <w:bottom w:val="none" w:sz="0" w:space="0" w:color="auto"/>
        <w:right w:val="none" w:sz="0" w:space="0" w:color="auto"/>
      </w:divBdr>
    </w:div>
    <w:div w:id="337932074">
      <w:marLeft w:val="640"/>
      <w:marRight w:val="0"/>
      <w:marTop w:val="0"/>
      <w:marBottom w:val="0"/>
      <w:divBdr>
        <w:top w:val="none" w:sz="0" w:space="0" w:color="auto"/>
        <w:left w:val="none" w:sz="0" w:space="0" w:color="auto"/>
        <w:bottom w:val="none" w:sz="0" w:space="0" w:color="auto"/>
        <w:right w:val="none" w:sz="0" w:space="0" w:color="auto"/>
      </w:divBdr>
    </w:div>
    <w:div w:id="338700679">
      <w:marLeft w:val="640"/>
      <w:marRight w:val="0"/>
      <w:marTop w:val="0"/>
      <w:marBottom w:val="0"/>
      <w:divBdr>
        <w:top w:val="none" w:sz="0" w:space="0" w:color="auto"/>
        <w:left w:val="none" w:sz="0" w:space="0" w:color="auto"/>
        <w:bottom w:val="none" w:sz="0" w:space="0" w:color="auto"/>
        <w:right w:val="none" w:sz="0" w:space="0" w:color="auto"/>
      </w:divBdr>
    </w:div>
    <w:div w:id="339160528">
      <w:marLeft w:val="640"/>
      <w:marRight w:val="0"/>
      <w:marTop w:val="0"/>
      <w:marBottom w:val="0"/>
      <w:divBdr>
        <w:top w:val="none" w:sz="0" w:space="0" w:color="auto"/>
        <w:left w:val="none" w:sz="0" w:space="0" w:color="auto"/>
        <w:bottom w:val="none" w:sz="0" w:space="0" w:color="auto"/>
        <w:right w:val="none" w:sz="0" w:space="0" w:color="auto"/>
      </w:divBdr>
    </w:div>
    <w:div w:id="339507437">
      <w:marLeft w:val="640"/>
      <w:marRight w:val="0"/>
      <w:marTop w:val="0"/>
      <w:marBottom w:val="0"/>
      <w:divBdr>
        <w:top w:val="none" w:sz="0" w:space="0" w:color="auto"/>
        <w:left w:val="none" w:sz="0" w:space="0" w:color="auto"/>
        <w:bottom w:val="none" w:sz="0" w:space="0" w:color="auto"/>
        <w:right w:val="none" w:sz="0" w:space="0" w:color="auto"/>
      </w:divBdr>
    </w:div>
    <w:div w:id="339546811">
      <w:marLeft w:val="640"/>
      <w:marRight w:val="0"/>
      <w:marTop w:val="0"/>
      <w:marBottom w:val="0"/>
      <w:divBdr>
        <w:top w:val="none" w:sz="0" w:space="0" w:color="auto"/>
        <w:left w:val="none" w:sz="0" w:space="0" w:color="auto"/>
        <w:bottom w:val="none" w:sz="0" w:space="0" w:color="auto"/>
        <w:right w:val="none" w:sz="0" w:space="0" w:color="auto"/>
      </w:divBdr>
    </w:div>
    <w:div w:id="339626190">
      <w:marLeft w:val="640"/>
      <w:marRight w:val="0"/>
      <w:marTop w:val="0"/>
      <w:marBottom w:val="0"/>
      <w:divBdr>
        <w:top w:val="none" w:sz="0" w:space="0" w:color="auto"/>
        <w:left w:val="none" w:sz="0" w:space="0" w:color="auto"/>
        <w:bottom w:val="none" w:sz="0" w:space="0" w:color="auto"/>
        <w:right w:val="none" w:sz="0" w:space="0" w:color="auto"/>
      </w:divBdr>
    </w:div>
    <w:div w:id="340011445">
      <w:marLeft w:val="640"/>
      <w:marRight w:val="0"/>
      <w:marTop w:val="0"/>
      <w:marBottom w:val="0"/>
      <w:divBdr>
        <w:top w:val="none" w:sz="0" w:space="0" w:color="auto"/>
        <w:left w:val="none" w:sz="0" w:space="0" w:color="auto"/>
        <w:bottom w:val="none" w:sz="0" w:space="0" w:color="auto"/>
        <w:right w:val="none" w:sz="0" w:space="0" w:color="auto"/>
      </w:divBdr>
    </w:div>
    <w:div w:id="340399041">
      <w:marLeft w:val="640"/>
      <w:marRight w:val="0"/>
      <w:marTop w:val="0"/>
      <w:marBottom w:val="0"/>
      <w:divBdr>
        <w:top w:val="none" w:sz="0" w:space="0" w:color="auto"/>
        <w:left w:val="none" w:sz="0" w:space="0" w:color="auto"/>
        <w:bottom w:val="none" w:sz="0" w:space="0" w:color="auto"/>
        <w:right w:val="none" w:sz="0" w:space="0" w:color="auto"/>
      </w:divBdr>
    </w:div>
    <w:div w:id="341129434">
      <w:marLeft w:val="640"/>
      <w:marRight w:val="0"/>
      <w:marTop w:val="0"/>
      <w:marBottom w:val="0"/>
      <w:divBdr>
        <w:top w:val="none" w:sz="0" w:space="0" w:color="auto"/>
        <w:left w:val="none" w:sz="0" w:space="0" w:color="auto"/>
        <w:bottom w:val="none" w:sz="0" w:space="0" w:color="auto"/>
        <w:right w:val="none" w:sz="0" w:space="0" w:color="auto"/>
      </w:divBdr>
    </w:div>
    <w:div w:id="342173731">
      <w:marLeft w:val="640"/>
      <w:marRight w:val="0"/>
      <w:marTop w:val="0"/>
      <w:marBottom w:val="0"/>
      <w:divBdr>
        <w:top w:val="none" w:sz="0" w:space="0" w:color="auto"/>
        <w:left w:val="none" w:sz="0" w:space="0" w:color="auto"/>
        <w:bottom w:val="none" w:sz="0" w:space="0" w:color="auto"/>
        <w:right w:val="none" w:sz="0" w:space="0" w:color="auto"/>
      </w:divBdr>
    </w:div>
    <w:div w:id="342247555">
      <w:marLeft w:val="640"/>
      <w:marRight w:val="0"/>
      <w:marTop w:val="0"/>
      <w:marBottom w:val="0"/>
      <w:divBdr>
        <w:top w:val="none" w:sz="0" w:space="0" w:color="auto"/>
        <w:left w:val="none" w:sz="0" w:space="0" w:color="auto"/>
        <w:bottom w:val="none" w:sz="0" w:space="0" w:color="auto"/>
        <w:right w:val="none" w:sz="0" w:space="0" w:color="auto"/>
      </w:divBdr>
    </w:div>
    <w:div w:id="342323759">
      <w:marLeft w:val="640"/>
      <w:marRight w:val="0"/>
      <w:marTop w:val="0"/>
      <w:marBottom w:val="0"/>
      <w:divBdr>
        <w:top w:val="none" w:sz="0" w:space="0" w:color="auto"/>
        <w:left w:val="none" w:sz="0" w:space="0" w:color="auto"/>
        <w:bottom w:val="none" w:sz="0" w:space="0" w:color="auto"/>
        <w:right w:val="none" w:sz="0" w:space="0" w:color="auto"/>
      </w:divBdr>
    </w:div>
    <w:div w:id="342558082">
      <w:marLeft w:val="640"/>
      <w:marRight w:val="0"/>
      <w:marTop w:val="0"/>
      <w:marBottom w:val="0"/>
      <w:divBdr>
        <w:top w:val="none" w:sz="0" w:space="0" w:color="auto"/>
        <w:left w:val="none" w:sz="0" w:space="0" w:color="auto"/>
        <w:bottom w:val="none" w:sz="0" w:space="0" w:color="auto"/>
        <w:right w:val="none" w:sz="0" w:space="0" w:color="auto"/>
      </w:divBdr>
    </w:div>
    <w:div w:id="342627489">
      <w:marLeft w:val="640"/>
      <w:marRight w:val="0"/>
      <w:marTop w:val="0"/>
      <w:marBottom w:val="0"/>
      <w:divBdr>
        <w:top w:val="none" w:sz="0" w:space="0" w:color="auto"/>
        <w:left w:val="none" w:sz="0" w:space="0" w:color="auto"/>
        <w:bottom w:val="none" w:sz="0" w:space="0" w:color="auto"/>
        <w:right w:val="none" w:sz="0" w:space="0" w:color="auto"/>
      </w:divBdr>
    </w:div>
    <w:div w:id="343366419">
      <w:marLeft w:val="640"/>
      <w:marRight w:val="0"/>
      <w:marTop w:val="0"/>
      <w:marBottom w:val="0"/>
      <w:divBdr>
        <w:top w:val="none" w:sz="0" w:space="0" w:color="auto"/>
        <w:left w:val="none" w:sz="0" w:space="0" w:color="auto"/>
        <w:bottom w:val="none" w:sz="0" w:space="0" w:color="auto"/>
        <w:right w:val="none" w:sz="0" w:space="0" w:color="auto"/>
      </w:divBdr>
    </w:div>
    <w:div w:id="343675140">
      <w:marLeft w:val="640"/>
      <w:marRight w:val="0"/>
      <w:marTop w:val="0"/>
      <w:marBottom w:val="0"/>
      <w:divBdr>
        <w:top w:val="none" w:sz="0" w:space="0" w:color="auto"/>
        <w:left w:val="none" w:sz="0" w:space="0" w:color="auto"/>
        <w:bottom w:val="none" w:sz="0" w:space="0" w:color="auto"/>
        <w:right w:val="none" w:sz="0" w:space="0" w:color="auto"/>
      </w:divBdr>
    </w:div>
    <w:div w:id="346980296">
      <w:marLeft w:val="640"/>
      <w:marRight w:val="0"/>
      <w:marTop w:val="0"/>
      <w:marBottom w:val="0"/>
      <w:divBdr>
        <w:top w:val="none" w:sz="0" w:space="0" w:color="auto"/>
        <w:left w:val="none" w:sz="0" w:space="0" w:color="auto"/>
        <w:bottom w:val="none" w:sz="0" w:space="0" w:color="auto"/>
        <w:right w:val="none" w:sz="0" w:space="0" w:color="auto"/>
      </w:divBdr>
    </w:div>
    <w:div w:id="347366178">
      <w:marLeft w:val="640"/>
      <w:marRight w:val="0"/>
      <w:marTop w:val="0"/>
      <w:marBottom w:val="0"/>
      <w:divBdr>
        <w:top w:val="none" w:sz="0" w:space="0" w:color="auto"/>
        <w:left w:val="none" w:sz="0" w:space="0" w:color="auto"/>
        <w:bottom w:val="none" w:sz="0" w:space="0" w:color="auto"/>
        <w:right w:val="none" w:sz="0" w:space="0" w:color="auto"/>
      </w:divBdr>
    </w:div>
    <w:div w:id="348214250">
      <w:marLeft w:val="640"/>
      <w:marRight w:val="0"/>
      <w:marTop w:val="0"/>
      <w:marBottom w:val="0"/>
      <w:divBdr>
        <w:top w:val="none" w:sz="0" w:space="0" w:color="auto"/>
        <w:left w:val="none" w:sz="0" w:space="0" w:color="auto"/>
        <w:bottom w:val="none" w:sz="0" w:space="0" w:color="auto"/>
        <w:right w:val="none" w:sz="0" w:space="0" w:color="auto"/>
      </w:divBdr>
    </w:div>
    <w:div w:id="348916534">
      <w:marLeft w:val="640"/>
      <w:marRight w:val="0"/>
      <w:marTop w:val="0"/>
      <w:marBottom w:val="0"/>
      <w:divBdr>
        <w:top w:val="none" w:sz="0" w:space="0" w:color="auto"/>
        <w:left w:val="none" w:sz="0" w:space="0" w:color="auto"/>
        <w:bottom w:val="none" w:sz="0" w:space="0" w:color="auto"/>
        <w:right w:val="none" w:sz="0" w:space="0" w:color="auto"/>
      </w:divBdr>
    </w:div>
    <w:div w:id="348994271">
      <w:marLeft w:val="640"/>
      <w:marRight w:val="0"/>
      <w:marTop w:val="0"/>
      <w:marBottom w:val="0"/>
      <w:divBdr>
        <w:top w:val="none" w:sz="0" w:space="0" w:color="auto"/>
        <w:left w:val="none" w:sz="0" w:space="0" w:color="auto"/>
        <w:bottom w:val="none" w:sz="0" w:space="0" w:color="auto"/>
        <w:right w:val="none" w:sz="0" w:space="0" w:color="auto"/>
      </w:divBdr>
    </w:div>
    <w:div w:id="350768771">
      <w:marLeft w:val="640"/>
      <w:marRight w:val="0"/>
      <w:marTop w:val="0"/>
      <w:marBottom w:val="0"/>
      <w:divBdr>
        <w:top w:val="none" w:sz="0" w:space="0" w:color="auto"/>
        <w:left w:val="none" w:sz="0" w:space="0" w:color="auto"/>
        <w:bottom w:val="none" w:sz="0" w:space="0" w:color="auto"/>
        <w:right w:val="none" w:sz="0" w:space="0" w:color="auto"/>
      </w:divBdr>
    </w:div>
    <w:div w:id="350843507">
      <w:marLeft w:val="640"/>
      <w:marRight w:val="0"/>
      <w:marTop w:val="0"/>
      <w:marBottom w:val="0"/>
      <w:divBdr>
        <w:top w:val="none" w:sz="0" w:space="0" w:color="auto"/>
        <w:left w:val="none" w:sz="0" w:space="0" w:color="auto"/>
        <w:bottom w:val="none" w:sz="0" w:space="0" w:color="auto"/>
        <w:right w:val="none" w:sz="0" w:space="0" w:color="auto"/>
      </w:divBdr>
    </w:div>
    <w:div w:id="351229583">
      <w:marLeft w:val="640"/>
      <w:marRight w:val="0"/>
      <w:marTop w:val="0"/>
      <w:marBottom w:val="0"/>
      <w:divBdr>
        <w:top w:val="none" w:sz="0" w:space="0" w:color="auto"/>
        <w:left w:val="none" w:sz="0" w:space="0" w:color="auto"/>
        <w:bottom w:val="none" w:sz="0" w:space="0" w:color="auto"/>
        <w:right w:val="none" w:sz="0" w:space="0" w:color="auto"/>
      </w:divBdr>
    </w:div>
    <w:div w:id="351760805">
      <w:marLeft w:val="640"/>
      <w:marRight w:val="0"/>
      <w:marTop w:val="0"/>
      <w:marBottom w:val="0"/>
      <w:divBdr>
        <w:top w:val="none" w:sz="0" w:space="0" w:color="auto"/>
        <w:left w:val="none" w:sz="0" w:space="0" w:color="auto"/>
        <w:bottom w:val="none" w:sz="0" w:space="0" w:color="auto"/>
        <w:right w:val="none" w:sz="0" w:space="0" w:color="auto"/>
      </w:divBdr>
    </w:div>
    <w:div w:id="351928894">
      <w:marLeft w:val="640"/>
      <w:marRight w:val="0"/>
      <w:marTop w:val="0"/>
      <w:marBottom w:val="0"/>
      <w:divBdr>
        <w:top w:val="none" w:sz="0" w:space="0" w:color="auto"/>
        <w:left w:val="none" w:sz="0" w:space="0" w:color="auto"/>
        <w:bottom w:val="none" w:sz="0" w:space="0" w:color="auto"/>
        <w:right w:val="none" w:sz="0" w:space="0" w:color="auto"/>
      </w:divBdr>
    </w:div>
    <w:div w:id="352222397">
      <w:marLeft w:val="640"/>
      <w:marRight w:val="0"/>
      <w:marTop w:val="0"/>
      <w:marBottom w:val="0"/>
      <w:divBdr>
        <w:top w:val="none" w:sz="0" w:space="0" w:color="auto"/>
        <w:left w:val="none" w:sz="0" w:space="0" w:color="auto"/>
        <w:bottom w:val="none" w:sz="0" w:space="0" w:color="auto"/>
        <w:right w:val="none" w:sz="0" w:space="0" w:color="auto"/>
      </w:divBdr>
    </w:div>
    <w:div w:id="352389692">
      <w:marLeft w:val="640"/>
      <w:marRight w:val="0"/>
      <w:marTop w:val="0"/>
      <w:marBottom w:val="0"/>
      <w:divBdr>
        <w:top w:val="none" w:sz="0" w:space="0" w:color="auto"/>
        <w:left w:val="none" w:sz="0" w:space="0" w:color="auto"/>
        <w:bottom w:val="none" w:sz="0" w:space="0" w:color="auto"/>
        <w:right w:val="none" w:sz="0" w:space="0" w:color="auto"/>
      </w:divBdr>
    </w:div>
    <w:div w:id="352612660">
      <w:marLeft w:val="640"/>
      <w:marRight w:val="0"/>
      <w:marTop w:val="0"/>
      <w:marBottom w:val="0"/>
      <w:divBdr>
        <w:top w:val="none" w:sz="0" w:space="0" w:color="auto"/>
        <w:left w:val="none" w:sz="0" w:space="0" w:color="auto"/>
        <w:bottom w:val="none" w:sz="0" w:space="0" w:color="auto"/>
        <w:right w:val="none" w:sz="0" w:space="0" w:color="auto"/>
      </w:divBdr>
    </w:div>
    <w:div w:id="352655063">
      <w:marLeft w:val="640"/>
      <w:marRight w:val="0"/>
      <w:marTop w:val="0"/>
      <w:marBottom w:val="0"/>
      <w:divBdr>
        <w:top w:val="none" w:sz="0" w:space="0" w:color="auto"/>
        <w:left w:val="none" w:sz="0" w:space="0" w:color="auto"/>
        <w:bottom w:val="none" w:sz="0" w:space="0" w:color="auto"/>
        <w:right w:val="none" w:sz="0" w:space="0" w:color="auto"/>
      </w:divBdr>
    </w:div>
    <w:div w:id="353652717">
      <w:marLeft w:val="640"/>
      <w:marRight w:val="0"/>
      <w:marTop w:val="0"/>
      <w:marBottom w:val="0"/>
      <w:divBdr>
        <w:top w:val="none" w:sz="0" w:space="0" w:color="auto"/>
        <w:left w:val="none" w:sz="0" w:space="0" w:color="auto"/>
        <w:bottom w:val="none" w:sz="0" w:space="0" w:color="auto"/>
        <w:right w:val="none" w:sz="0" w:space="0" w:color="auto"/>
      </w:divBdr>
    </w:div>
    <w:div w:id="353919916">
      <w:marLeft w:val="640"/>
      <w:marRight w:val="0"/>
      <w:marTop w:val="0"/>
      <w:marBottom w:val="0"/>
      <w:divBdr>
        <w:top w:val="none" w:sz="0" w:space="0" w:color="auto"/>
        <w:left w:val="none" w:sz="0" w:space="0" w:color="auto"/>
        <w:bottom w:val="none" w:sz="0" w:space="0" w:color="auto"/>
        <w:right w:val="none" w:sz="0" w:space="0" w:color="auto"/>
      </w:divBdr>
    </w:div>
    <w:div w:id="354770269">
      <w:marLeft w:val="640"/>
      <w:marRight w:val="0"/>
      <w:marTop w:val="0"/>
      <w:marBottom w:val="0"/>
      <w:divBdr>
        <w:top w:val="none" w:sz="0" w:space="0" w:color="auto"/>
        <w:left w:val="none" w:sz="0" w:space="0" w:color="auto"/>
        <w:bottom w:val="none" w:sz="0" w:space="0" w:color="auto"/>
        <w:right w:val="none" w:sz="0" w:space="0" w:color="auto"/>
      </w:divBdr>
    </w:div>
    <w:div w:id="356082868">
      <w:marLeft w:val="640"/>
      <w:marRight w:val="0"/>
      <w:marTop w:val="0"/>
      <w:marBottom w:val="0"/>
      <w:divBdr>
        <w:top w:val="none" w:sz="0" w:space="0" w:color="auto"/>
        <w:left w:val="none" w:sz="0" w:space="0" w:color="auto"/>
        <w:bottom w:val="none" w:sz="0" w:space="0" w:color="auto"/>
        <w:right w:val="none" w:sz="0" w:space="0" w:color="auto"/>
      </w:divBdr>
    </w:div>
    <w:div w:id="356471773">
      <w:marLeft w:val="640"/>
      <w:marRight w:val="0"/>
      <w:marTop w:val="0"/>
      <w:marBottom w:val="0"/>
      <w:divBdr>
        <w:top w:val="none" w:sz="0" w:space="0" w:color="auto"/>
        <w:left w:val="none" w:sz="0" w:space="0" w:color="auto"/>
        <w:bottom w:val="none" w:sz="0" w:space="0" w:color="auto"/>
        <w:right w:val="none" w:sz="0" w:space="0" w:color="auto"/>
      </w:divBdr>
    </w:div>
    <w:div w:id="357632608">
      <w:marLeft w:val="640"/>
      <w:marRight w:val="0"/>
      <w:marTop w:val="0"/>
      <w:marBottom w:val="0"/>
      <w:divBdr>
        <w:top w:val="none" w:sz="0" w:space="0" w:color="auto"/>
        <w:left w:val="none" w:sz="0" w:space="0" w:color="auto"/>
        <w:bottom w:val="none" w:sz="0" w:space="0" w:color="auto"/>
        <w:right w:val="none" w:sz="0" w:space="0" w:color="auto"/>
      </w:divBdr>
      <w:divsChild>
        <w:div w:id="1703558679">
          <w:marLeft w:val="640"/>
          <w:marRight w:val="0"/>
          <w:marTop w:val="0"/>
          <w:marBottom w:val="0"/>
          <w:divBdr>
            <w:top w:val="none" w:sz="0" w:space="0" w:color="auto"/>
            <w:left w:val="none" w:sz="0" w:space="0" w:color="auto"/>
            <w:bottom w:val="none" w:sz="0" w:space="0" w:color="auto"/>
            <w:right w:val="none" w:sz="0" w:space="0" w:color="auto"/>
          </w:divBdr>
        </w:div>
        <w:div w:id="659624263">
          <w:marLeft w:val="640"/>
          <w:marRight w:val="0"/>
          <w:marTop w:val="0"/>
          <w:marBottom w:val="0"/>
          <w:divBdr>
            <w:top w:val="none" w:sz="0" w:space="0" w:color="auto"/>
            <w:left w:val="none" w:sz="0" w:space="0" w:color="auto"/>
            <w:bottom w:val="none" w:sz="0" w:space="0" w:color="auto"/>
            <w:right w:val="none" w:sz="0" w:space="0" w:color="auto"/>
          </w:divBdr>
        </w:div>
        <w:div w:id="733088278">
          <w:marLeft w:val="640"/>
          <w:marRight w:val="0"/>
          <w:marTop w:val="0"/>
          <w:marBottom w:val="0"/>
          <w:divBdr>
            <w:top w:val="none" w:sz="0" w:space="0" w:color="auto"/>
            <w:left w:val="none" w:sz="0" w:space="0" w:color="auto"/>
            <w:bottom w:val="none" w:sz="0" w:space="0" w:color="auto"/>
            <w:right w:val="none" w:sz="0" w:space="0" w:color="auto"/>
          </w:divBdr>
        </w:div>
        <w:div w:id="1418478209">
          <w:marLeft w:val="640"/>
          <w:marRight w:val="0"/>
          <w:marTop w:val="0"/>
          <w:marBottom w:val="0"/>
          <w:divBdr>
            <w:top w:val="none" w:sz="0" w:space="0" w:color="auto"/>
            <w:left w:val="none" w:sz="0" w:space="0" w:color="auto"/>
            <w:bottom w:val="none" w:sz="0" w:space="0" w:color="auto"/>
            <w:right w:val="none" w:sz="0" w:space="0" w:color="auto"/>
          </w:divBdr>
        </w:div>
        <w:div w:id="958492031">
          <w:marLeft w:val="640"/>
          <w:marRight w:val="0"/>
          <w:marTop w:val="0"/>
          <w:marBottom w:val="0"/>
          <w:divBdr>
            <w:top w:val="none" w:sz="0" w:space="0" w:color="auto"/>
            <w:left w:val="none" w:sz="0" w:space="0" w:color="auto"/>
            <w:bottom w:val="none" w:sz="0" w:space="0" w:color="auto"/>
            <w:right w:val="none" w:sz="0" w:space="0" w:color="auto"/>
          </w:divBdr>
        </w:div>
        <w:div w:id="1505625499">
          <w:marLeft w:val="640"/>
          <w:marRight w:val="0"/>
          <w:marTop w:val="0"/>
          <w:marBottom w:val="0"/>
          <w:divBdr>
            <w:top w:val="none" w:sz="0" w:space="0" w:color="auto"/>
            <w:left w:val="none" w:sz="0" w:space="0" w:color="auto"/>
            <w:bottom w:val="none" w:sz="0" w:space="0" w:color="auto"/>
            <w:right w:val="none" w:sz="0" w:space="0" w:color="auto"/>
          </w:divBdr>
        </w:div>
        <w:div w:id="1705057846">
          <w:marLeft w:val="640"/>
          <w:marRight w:val="0"/>
          <w:marTop w:val="0"/>
          <w:marBottom w:val="0"/>
          <w:divBdr>
            <w:top w:val="none" w:sz="0" w:space="0" w:color="auto"/>
            <w:left w:val="none" w:sz="0" w:space="0" w:color="auto"/>
            <w:bottom w:val="none" w:sz="0" w:space="0" w:color="auto"/>
            <w:right w:val="none" w:sz="0" w:space="0" w:color="auto"/>
          </w:divBdr>
        </w:div>
        <w:div w:id="600572646">
          <w:marLeft w:val="640"/>
          <w:marRight w:val="0"/>
          <w:marTop w:val="0"/>
          <w:marBottom w:val="0"/>
          <w:divBdr>
            <w:top w:val="none" w:sz="0" w:space="0" w:color="auto"/>
            <w:left w:val="none" w:sz="0" w:space="0" w:color="auto"/>
            <w:bottom w:val="none" w:sz="0" w:space="0" w:color="auto"/>
            <w:right w:val="none" w:sz="0" w:space="0" w:color="auto"/>
          </w:divBdr>
        </w:div>
        <w:div w:id="2010212093">
          <w:marLeft w:val="640"/>
          <w:marRight w:val="0"/>
          <w:marTop w:val="0"/>
          <w:marBottom w:val="0"/>
          <w:divBdr>
            <w:top w:val="none" w:sz="0" w:space="0" w:color="auto"/>
            <w:left w:val="none" w:sz="0" w:space="0" w:color="auto"/>
            <w:bottom w:val="none" w:sz="0" w:space="0" w:color="auto"/>
            <w:right w:val="none" w:sz="0" w:space="0" w:color="auto"/>
          </w:divBdr>
        </w:div>
        <w:div w:id="1259174614">
          <w:marLeft w:val="640"/>
          <w:marRight w:val="0"/>
          <w:marTop w:val="0"/>
          <w:marBottom w:val="0"/>
          <w:divBdr>
            <w:top w:val="none" w:sz="0" w:space="0" w:color="auto"/>
            <w:left w:val="none" w:sz="0" w:space="0" w:color="auto"/>
            <w:bottom w:val="none" w:sz="0" w:space="0" w:color="auto"/>
            <w:right w:val="none" w:sz="0" w:space="0" w:color="auto"/>
          </w:divBdr>
        </w:div>
        <w:div w:id="334965408">
          <w:marLeft w:val="640"/>
          <w:marRight w:val="0"/>
          <w:marTop w:val="0"/>
          <w:marBottom w:val="0"/>
          <w:divBdr>
            <w:top w:val="none" w:sz="0" w:space="0" w:color="auto"/>
            <w:left w:val="none" w:sz="0" w:space="0" w:color="auto"/>
            <w:bottom w:val="none" w:sz="0" w:space="0" w:color="auto"/>
            <w:right w:val="none" w:sz="0" w:space="0" w:color="auto"/>
          </w:divBdr>
        </w:div>
        <w:div w:id="865025790">
          <w:marLeft w:val="640"/>
          <w:marRight w:val="0"/>
          <w:marTop w:val="0"/>
          <w:marBottom w:val="0"/>
          <w:divBdr>
            <w:top w:val="none" w:sz="0" w:space="0" w:color="auto"/>
            <w:left w:val="none" w:sz="0" w:space="0" w:color="auto"/>
            <w:bottom w:val="none" w:sz="0" w:space="0" w:color="auto"/>
            <w:right w:val="none" w:sz="0" w:space="0" w:color="auto"/>
          </w:divBdr>
        </w:div>
        <w:div w:id="479999296">
          <w:marLeft w:val="640"/>
          <w:marRight w:val="0"/>
          <w:marTop w:val="0"/>
          <w:marBottom w:val="0"/>
          <w:divBdr>
            <w:top w:val="none" w:sz="0" w:space="0" w:color="auto"/>
            <w:left w:val="none" w:sz="0" w:space="0" w:color="auto"/>
            <w:bottom w:val="none" w:sz="0" w:space="0" w:color="auto"/>
            <w:right w:val="none" w:sz="0" w:space="0" w:color="auto"/>
          </w:divBdr>
        </w:div>
        <w:div w:id="1794518361">
          <w:marLeft w:val="640"/>
          <w:marRight w:val="0"/>
          <w:marTop w:val="0"/>
          <w:marBottom w:val="0"/>
          <w:divBdr>
            <w:top w:val="none" w:sz="0" w:space="0" w:color="auto"/>
            <w:left w:val="none" w:sz="0" w:space="0" w:color="auto"/>
            <w:bottom w:val="none" w:sz="0" w:space="0" w:color="auto"/>
            <w:right w:val="none" w:sz="0" w:space="0" w:color="auto"/>
          </w:divBdr>
        </w:div>
        <w:div w:id="1844197826">
          <w:marLeft w:val="640"/>
          <w:marRight w:val="0"/>
          <w:marTop w:val="0"/>
          <w:marBottom w:val="0"/>
          <w:divBdr>
            <w:top w:val="none" w:sz="0" w:space="0" w:color="auto"/>
            <w:left w:val="none" w:sz="0" w:space="0" w:color="auto"/>
            <w:bottom w:val="none" w:sz="0" w:space="0" w:color="auto"/>
            <w:right w:val="none" w:sz="0" w:space="0" w:color="auto"/>
          </w:divBdr>
        </w:div>
        <w:div w:id="1512975">
          <w:marLeft w:val="640"/>
          <w:marRight w:val="0"/>
          <w:marTop w:val="0"/>
          <w:marBottom w:val="0"/>
          <w:divBdr>
            <w:top w:val="none" w:sz="0" w:space="0" w:color="auto"/>
            <w:left w:val="none" w:sz="0" w:space="0" w:color="auto"/>
            <w:bottom w:val="none" w:sz="0" w:space="0" w:color="auto"/>
            <w:right w:val="none" w:sz="0" w:space="0" w:color="auto"/>
          </w:divBdr>
        </w:div>
        <w:div w:id="1102803682">
          <w:marLeft w:val="640"/>
          <w:marRight w:val="0"/>
          <w:marTop w:val="0"/>
          <w:marBottom w:val="0"/>
          <w:divBdr>
            <w:top w:val="none" w:sz="0" w:space="0" w:color="auto"/>
            <w:left w:val="none" w:sz="0" w:space="0" w:color="auto"/>
            <w:bottom w:val="none" w:sz="0" w:space="0" w:color="auto"/>
            <w:right w:val="none" w:sz="0" w:space="0" w:color="auto"/>
          </w:divBdr>
        </w:div>
        <w:div w:id="1488129189">
          <w:marLeft w:val="640"/>
          <w:marRight w:val="0"/>
          <w:marTop w:val="0"/>
          <w:marBottom w:val="0"/>
          <w:divBdr>
            <w:top w:val="none" w:sz="0" w:space="0" w:color="auto"/>
            <w:left w:val="none" w:sz="0" w:space="0" w:color="auto"/>
            <w:bottom w:val="none" w:sz="0" w:space="0" w:color="auto"/>
            <w:right w:val="none" w:sz="0" w:space="0" w:color="auto"/>
          </w:divBdr>
        </w:div>
        <w:div w:id="341468160">
          <w:marLeft w:val="640"/>
          <w:marRight w:val="0"/>
          <w:marTop w:val="0"/>
          <w:marBottom w:val="0"/>
          <w:divBdr>
            <w:top w:val="none" w:sz="0" w:space="0" w:color="auto"/>
            <w:left w:val="none" w:sz="0" w:space="0" w:color="auto"/>
            <w:bottom w:val="none" w:sz="0" w:space="0" w:color="auto"/>
            <w:right w:val="none" w:sz="0" w:space="0" w:color="auto"/>
          </w:divBdr>
        </w:div>
        <w:div w:id="1949047767">
          <w:marLeft w:val="640"/>
          <w:marRight w:val="0"/>
          <w:marTop w:val="0"/>
          <w:marBottom w:val="0"/>
          <w:divBdr>
            <w:top w:val="none" w:sz="0" w:space="0" w:color="auto"/>
            <w:left w:val="none" w:sz="0" w:space="0" w:color="auto"/>
            <w:bottom w:val="none" w:sz="0" w:space="0" w:color="auto"/>
            <w:right w:val="none" w:sz="0" w:space="0" w:color="auto"/>
          </w:divBdr>
        </w:div>
        <w:div w:id="812478678">
          <w:marLeft w:val="640"/>
          <w:marRight w:val="0"/>
          <w:marTop w:val="0"/>
          <w:marBottom w:val="0"/>
          <w:divBdr>
            <w:top w:val="none" w:sz="0" w:space="0" w:color="auto"/>
            <w:left w:val="none" w:sz="0" w:space="0" w:color="auto"/>
            <w:bottom w:val="none" w:sz="0" w:space="0" w:color="auto"/>
            <w:right w:val="none" w:sz="0" w:space="0" w:color="auto"/>
          </w:divBdr>
        </w:div>
        <w:div w:id="547300357">
          <w:marLeft w:val="640"/>
          <w:marRight w:val="0"/>
          <w:marTop w:val="0"/>
          <w:marBottom w:val="0"/>
          <w:divBdr>
            <w:top w:val="none" w:sz="0" w:space="0" w:color="auto"/>
            <w:left w:val="none" w:sz="0" w:space="0" w:color="auto"/>
            <w:bottom w:val="none" w:sz="0" w:space="0" w:color="auto"/>
            <w:right w:val="none" w:sz="0" w:space="0" w:color="auto"/>
          </w:divBdr>
        </w:div>
        <w:div w:id="1911844830">
          <w:marLeft w:val="640"/>
          <w:marRight w:val="0"/>
          <w:marTop w:val="0"/>
          <w:marBottom w:val="0"/>
          <w:divBdr>
            <w:top w:val="none" w:sz="0" w:space="0" w:color="auto"/>
            <w:left w:val="none" w:sz="0" w:space="0" w:color="auto"/>
            <w:bottom w:val="none" w:sz="0" w:space="0" w:color="auto"/>
            <w:right w:val="none" w:sz="0" w:space="0" w:color="auto"/>
          </w:divBdr>
        </w:div>
        <w:div w:id="990906881">
          <w:marLeft w:val="640"/>
          <w:marRight w:val="0"/>
          <w:marTop w:val="0"/>
          <w:marBottom w:val="0"/>
          <w:divBdr>
            <w:top w:val="none" w:sz="0" w:space="0" w:color="auto"/>
            <w:left w:val="none" w:sz="0" w:space="0" w:color="auto"/>
            <w:bottom w:val="none" w:sz="0" w:space="0" w:color="auto"/>
            <w:right w:val="none" w:sz="0" w:space="0" w:color="auto"/>
          </w:divBdr>
        </w:div>
        <w:div w:id="1314798867">
          <w:marLeft w:val="640"/>
          <w:marRight w:val="0"/>
          <w:marTop w:val="0"/>
          <w:marBottom w:val="0"/>
          <w:divBdr>
            <w:top w:val="none" w:sz="0" w:space="0" w:color="auto"/>
            <w:left w:val="none" w:sz="0" w:space="0" w:color="auto"/>
            <w:bottom w:val="none" w:sz="0" w:space="0" w:color="auto"/>
            <w:right w:val="none" w:sz="0" w:space="0" w:color="auto"/>
          </w:divBdr>
        </w:div>
        <w:div w:id="1951663040">
          <w:marLeft w:val="640"/>
          <w:marRight w:val="0"/>
          <w:marTop w:val="0"/>
          <w:marBottom w:val="0"/>
          <w:divBdr>
            <w:top w:val="none" w:sz="0" w:space="0" w:color="auto"/>
            <w:left w:val="none" w:sz="0" w:space="0" w:color="auto"/>
            <w:bottom w:val="none" w:sz="0" w:space="0" w:color="auto"/>
            <w:right w:val="none" w:sz="0" w:space="0" w:color="auto"/>
          </w:divBdr>
        </w:div>
        <w:div w:id="554976272">
          <w:marLeft w:val="640"/>
          <w:marRight w:val="0"/>
          <w:marTop w:val="0"/>
          <w:marBottom w:val="0"/>
          <w:divBdr>
            <w:top w:val="none" w:sz="0" w:space="0" w:color="auto"/>
            <w:left w:val="none" w:sz="0" w:space="0" w:color="auto"/>
            <w:bottom w:val="none" w:sz="0" w:space="0" w:color="auto"/>
            <w:right w:val="none" w:sz="0" w:space="0" w:color="auto"/>
          </w:divBdr>
        </w:div>
        <w:div w:id="89811546">
          <w:marLeft w:val="640"/>
          <w:marRight w:val="0"/>
          <w:marTop w:val="0"/>
          <w:marBottom w:val="0"/>
          <w:divBdr>
            <w:top w:val="none" w:sz="0" w:space="0" w:color="auto"/>
            <w:left w:val="none" w:sz="0" w:space="0" w:color="auto"/>
            <w:bottom w:val="none" w:sz="0" w:space="0" w:color="auto"/>
            <w:right w:val="none" w:sz="0" w:space="0" w:color="auto"/>
          </w:divBdr>
        </w:div>
        <w:div w:id="1571767093">
          <w:marLeft w:val="640"/>
          <w:marRight w:val="0"/>
          <w:marTop w:val="0"/>
          <w:marBottom w:val="0"/>
          <w:divBdr>
            <w:top w:val="none" w:sz="0" w:space="0" w:color="auto"/>
            <w:left w:val="none" w:sz="0" w:space="0" w:color="auto"/>
            <w:bottom w:val="none" w:sz="0" w:space="0" w:color="auto"/>
            <w:right w:val="none" w:sz="0" w:space="0" w:color="auto"/>
          </w:divBdr>
        </w:div>
        <w:div w:id="113840110">
          <w:marLeft w:val="640"/>
          <w:marRight w:val="0"/>
          <w:marTop w:val="0"/>
          <w:marBottom w:val="0"/>
          <w:divBdr>
            <w:top w:val="none" w:sz="0" w:space="0" w:color="auto"/>
            <w:left w:val="none" w:sz="0" w:space="0" w:color="auto"/>
            <w:bottom w:val="none" w:sz="0" w:space="0" w:color="auto"/>
            <w:right w:val="none" w:sz="0" w:space="0" w:color="auto"/>
          </w:divBdr>
        </w:div>
        <w:div w:id="2027249698">
          <w:marLeft w:val="640"/>
          <w:marRight w:val="0"/>
          <w:marTop w:val="0"/>
          <w:marBottom w:val="0"/>
          <w:divBdr>
            <w:top w:val="none" w:sz="0" w:space="0" w:color="auto"/>
            <w:left w:val="none" w:sz="0" w:space="0" w:color="auto"/>
            <w:bottom w:val="none" w:sz="0" w:space="0" w:color="auto"/>
            <w:right w:val="none" w:sz="0" w:space="0" w:color="auto"/>
          </w:divBdr>
        </w:div>
        <w:div w:id="123890947">
          <w:marLeft w:val="640"/>
          <w:marRight w:val="0"/>
          <w:marTop w:val="0"/>
          <w:marBottom w:val="0"/>
          <w:divBdr>
            <w:top w:val="none" w:sz="0" w:space="0" w:color="auto"/>
            <w:left w:val="none" w:sz="0" w:space="0" w:color="auto"/>
            <w:bottom w:val="none" w:sz="0" w:space="0" w:color="auto"/>
            <w:right w:val="none" w:sz="0" w:space="0" w:color="auto"/>
          </w:divBdr>
        </w:div>
        <w:div w:id="1730809907">
          <w:marLeft w:val="640"/>
          <w:marRight w:val="0"/>
          <w:marTop w:val="0"/>
          <w:marBottom w:val="0"/>
          <w:divBdr>
            <w:top w:val="none" w:sz="0" w:space="0" w:color="auto"/>
            <w:left w:val="none" w:sz="0" w:space="0" w:color="auto"/>
            <w:bottom w:val="none" w:sz="0" w:space="0" w:color="auto"/>
            <w:right w:val="none" w:sz="0" w:space="0" w:color="auto"/>
          </w:divBdr>
        </w:div>
        <w:div w:id="503009257">
          <w:marLeft w:val="640"/>
          <w:marRight w:val="0"/>
          <w:marTop w:val="0"/>
          <w:marBottom w:val="0"/>
          <w:divBdr>
            <w:top w:val="none" w:sz="0" w:space="0" w:color="auto"/>
            <w:left w:val="none" w:sz="0" w:space="0" w:color="auto"/>
            <w:bottom w:val="none" w:sz="0" w:space="0" w:color="auto"/>
            <w:right w:val="none" w:sz="0" w:space="0" w:color="auto"/>
          </w:divBdr>
        </w:div>
        <w:div w:id="1876306471">
          <w:marLeft w:val="640"/>
          <w:marRight w:val="0"/>
          <w:marTop w:val="0"/>
          <w:marBottom w:val="0"/>
          <w:divBdr>
            <w:top w:val="none" w:sz="0" w:space="0" w:color="auto"/>
            <w:left w:val="none" w:sz="0" w:space="0" w:color="auto"/>
            <w:bottom w:val="none" w:sz="0" w:space="0" w:color="auto"/>
            <w:right w:val="none" w:sz="0" w:space="0" w:color="auto"/>
          </w:divBdr>
        </w:div>
        <w:div w:id="1886943729">
          <w:marLeft w:val="640"/>
          <w:marRight w:val="0"/>
          <w:marTop w:val="0"/>
          <w:marBottom w:val="0"/>
          <w:divBdr>
            <w:top w:val="none" w:sz="0" w:space="0" w:color="auto"/>
            <w:left w:val="none" w:sz="0" w:space="0" w:color="auto"/>
            <w:bottom w:val="none" w:sz="0" w:space="0" w:color="auto"/>
            <w:right w:val="none" w:sz="0" w:space="0" w:color="auto"/>
          </w:divBdr>
        </w:div>
        <w:div w:id="2088721825">
          <w:marLeft w:val="640"/>
          <w:marRight w:val="0"/>
          <w:marTop w:val="0"/>
          <w:marBottom w:val="0"/>
          <w:divBdr>
            <w:top w:val="none" w:sz="0" w:space="0" w:color="auto"/>
            <w:left w:val="none" w:sz="0" w:space="0" w:color="auto"/>
            <w:bottom w:val="none" w:sz="0" w:space="0" w:color="auto"/>
            <w:right w:val="none" w:sz="0" w:space="0" w:color="auto"/>
          </w:divBdr>
        </w:div>
        <w:div w:id="720636558">
          <w:marLeft w:val="640"/>
          <w:marRight w:val="0"/>
          <w:marTop w:val="0"/>
          <w:marBottom w:val="0"/>
          <w:divBdr>
            <w:top w:val="none" w:sz="0" w:space="0" w:color="auto"/>
            <w:left w:val="none" w:sz="0" w:space="0" w:color="auto"/>
            <w:bottom w:val="none" w:sz="0" w:space="0" w:color="auto"/>
            <w:right w:val="none" w:sz="0" w:space="0" w:color="auto"/>
          </w:divBdr>
        </w:div>
        <w:div w:id="1428186611">
          <w:marLeft w:val="640"/>
          <w:marRight w:val="0"/>
          <w:marTop w:val="0"/>
          <w:marBottom w:val="0"/>
          <w:divBdr>
            <w:top w:val="none" w:sz="0" w:space="0" w:color="auto"/>
            <w:left w:val="none" w:sz="0" w:space="0" w:color="auto"/>
            <w:bottom w:val="none" w:sz="0" w:space="0" w:color="auto"/>
            <w:right w:val="none" w:sz="0" w:space="0" w:color="auto"/>
          </w:divBdr>
        </w:div>
        <w:div w:id="770511600">
          <w:marLeft w:val="640"/>
          <w:marRight w:val="0"/>
          <w:marTop w:val="0"/>
          <w:marBottom w:val="0"/>
          <w:divBdr>
            <w:top w:val="none" w:sz="0" w:space="0" w:color="auto"/>
            <w:left w:val="none" w:sz="0" w:space="0" w:color="auto"/>
            <w:bottom w:val="none" w:sz="0" w:space="0" w:color="auto"/>
            <w:right w:val="none" w:sz="0" w:space="0" w:color="auto"/>
          </w:divBdr>
        </w:div>
        <w:div w:id="1015037698">
          <w:marLeft w:val="640"/>
          <w:marRight w:val="0"/>
          <w:marTop w:val="0"/>
          <w:marBottom w:val="0"/>
          <w:divBdr>
            <w:top w:val="none" w:sz="0" w:space="0" w:color="auto"/>
            <w:left w:val="none" w:sz="0" w:space="0" w:color="auto"/>
            <w:bottom w:val="none" w:sz="0" w:space="0" w:color="auto"/>
            <w:right w:val="none" w:sz="0" w:space="0" w:color="auto"/>
          </w:divBdr>
        </w:div>
        <w:div w:id="1126200747">
          <w:marLeft w:val="640"/>
          <w:marRight w:val="0"/>
          <w:marTop w:val="0"/>
          <w:marBottom w:val="0"/>
          <w:divBdr>
            <w:top w:val="none" w:sz="0" w:space="0" w:color="auto"/>
            <w:left w:val="none" w:sz="0" w:space="0" w:color="auto"/>
            <w:bottom w:val="none" w:sz="0" w:space="0" w:color="auto"/>
            <w:right w:val="none" w:sz="0" w:space="0" w:color="auto"/>
          </w:divBdr>
        </w:div>
        <w:div w:id="226771959">
          <w:marLeft w:val="640"/>
          <w:marRight w:val="0"/>
          <w:marTop w:val="0"/>
          <w:marBottom w:val="0"/>
          <w:divBdr>
            <w:top w:val="none" w:sz="0" w:space="0" w:color="auto"/>
            <w:left w:val="none" w:sz="0" w:space="0" w:color="auto"/>
            <w:bottom w:val="none" w:sz="0" w:space="0" w:color="auto"/>
            <w:right w:val="none" w:sz="0" w:space="0" w:color="auto"/>
          </w:divBdr>
        </w:div>
        <w:div w:id="1750955789">
          <w:marLeft w:val="640"/>
          <w:marRight w:val="0"/>
          <w:marTop w:val="0"/>
          <w:marBottom w:val="0"/>
          <w:divBdr>
            <w:top w:val="none" w:sz="0" w:space="0" w:color="auto"/>
            <w:left w:val="none" w:sz="0" w:space="0" w:color="auto"/>
            <w:bottom w:val="none" w:sz="0" w:space="0" w:color="auto"/>
            <w:right w:val="none" w:sz="0" w:space="0" w:color="auto"/>
          </w:divBdr>
        </w:div>
        <w:div w:id="1758668656">
          <w:marLeft w:val="640"/>
          <w:marRight w:val="0"/>
          <w:marTop w:val="0"/>
          <w:marBottom w:val="0"/>
          <w:divBdr>
            <w:top w:val="none" w:sz="0" w:space="0" w:color="auto"/>
            <w:left w:val="none" w:sz="0" w:space="0" w:color="auto"/>
            <w:bottom w:val="none" w:sz="0" w:space="0" w:color="auto"/>
            <w:right w:val="none" w:sz="0" w:space="0" w:color="auto"/>
          </w:divBdr>
        </w:div>
        <w:div w:id="1990358580">
          <w:marLeft w:val="640"/>
          <w:marRight w:val="0"/>
          <w:marTop w:val="0"/>
          <w:marBottom w:val="0"/>
          <w:divBdr>
            <w:top w:val="none" w:sz="0" w:space="0" w:color="auto"/>
            <w:left w:val="none" w:sz="0" w:space="0" w:color="auto"/>
            <w:bottom w:val="none" w:sz="0" w:space="0" w:color="auto"/>
            <w:right w:val="none" w:sz="0" w:space="0" w:color="auto"/>
          </w:divBdr>
        </w:div>
        <w:div w:id="512767508">
          <w:marLeft w:val="640"/>
          <w:marRight w:val="0"/>
          <w:marTop w:val="0"/>
          <w:marBottom w:val="0"/>
          <w:divBdr>
            <w:top w:val="none" w:sz="0" w:space="0" w:color="auto"/>
            <w:left w:val="none" w:sz="0" w:space="0" w:color="auto"/>
            <w:bottom w:val="none" w:sz="0" w:space="0" w:color="auto"/>
            <w:right w:val="none" w:sz="0" w:space="0" w:color="auto"/>
          </w:divBdr>
        </w:div>
        <w:div w:id="372536312">
          <w:marLeft w:val="640"/>
          <w:marRight w:val="0"/>
          <w:marTop w:val="0"/>
          <w:marBottom w:val="0"/>
          <w:divBdr>
            <w:top w:val="none" w:sz="0" w:space="0" w:color="auto"/>
            <w:left w:val="none" w:sz="0" w:space="0" w:color="auto"/>
            <w:bottom w:val="none" w:sz="0" w:space="0" w:color="auto"/>
            <w:right w:val="none" w:sz="0" w:space="0" w:color="auto"/>
          </w:divBdr>
        </w:div>
        <w:div w:id="574318652">
          <w:marLeft w:val="640"/>
          <w:marRight w:val="0"/>
          <w:marTop w:val="0"/>
          <w:marBottom w:val="0"/>
          <w:divBdr>
            <w:top w:val="none" w:sz="0" w:space="0" w:color="auto"/>
            <w:left w:val="none" w:sz="0" w:space="0" w:color="auto"/>
            <w:bottom w:val="none" w:sz="0" w:space="0" w:color="auto"/>
            <w:right w:val="none" w:sz="0" w:space="0" w:color="auto"/>
          </w:divBdr>
        </w:div>
        <w:div w:id="1690525736">
          <w:marLeft w:val="640"/>
          <w:marRight w:val="0"/>
          <w:marTop w:val="0"/>
          <w:marBottom w:val="0"/>
          <w:divBdr>
            <w:top w:val="none" w:sz="0" w:space="0" w:color="auto"/>
            <w:left w:val="none" w:sz="0" w:space="0" w:color="auto"/>
            <w:bottom w:val="none" w:sz="0" w:space="0" w:color="auto"/>
            <w:right w:val="none" w:sz="0" w:space="0" w:color="auto"/>
          </w:divBdr>
        </w:div>
        <w:div w:id="1516649441">
          <w:marLeft w:val="640"/>
          <w:marRight w:val="0"/>
          <w:marTop w:val="0"/>
          <w:marBottom w:val="0"/>
          <w:divBdr>
            <w:top w:val="none" w:sz="0" w:space="0" w:color="auto"/>
            <w:left w:val="none" w:sz="0" w:space="0" w:color="auto"/>
            <w:bottom w:val="none" w:sz="0" w:space="0" w:color="auto"/>
            <w:right w:val="none" w:sz="0" w:space="0" w:color="auto"/>
          </w:divBdr>
        </w:div>
        <w:div w:id="61147380">
          <w:marLeft w:val="640"/>
          <w:marRight w:val="0"/>
          <w:marTop w:val="0"/>
          <w:marBottom w:val="0"/>
          <w:divBdr>
            <w:top w:val="none" w:sz="0" w:space="0" w:color="auto"/>
            <w:left w:val="none" w:sz="0" w:space="0" w:color="auto"/>
            <w:bottom w:val="none" w:sz="0" w:space="0" w:color="auto"/>
            <w:right w:val="none" w:sz="0" w:space="0" w:color="auto"/>
          </w:divBdr>
        </w:div>
        <w:div w:id="1408765672">
          <w:marLeft w:val="640"/>
          <w:marRight w:val="0"/>
          <w:marTop w:val="0"/>
          <w:marBottom w:val="0"/>
          <w:divBdr>
            <w:top w:val="none" w:sz="0" w:space="0" w:color="auto"/>
            <w:left w:val="none" w:sz="0" w:space="0" w:color="auto"/>
            <w:bottom w:val="none" w:sz="0" w:space="0" w:color="auto"/>
            <w:right w:val="none" w:sz="0" w:space="0" w:color="auto"/>
          </w:divBdr>
        </w:div>
        <w:div w:id="1791171461">
          <w:marLeft w:val="640"/>
          <w:marRight w:val="0"/>
          <w:marTop w:val="0"/>
          <w:marBottom w:val="0"/>
          <w:divBdr>
            <w:top w:val="none" w:sz="0" w:space="0" w:color="auto"/>
            <w:left w:val="none" w:sz="0" w:space="0" w:color="auto"/>
            <w:bottom w:val="none" w:sz="0" w:space="0" w:color="auto"/>
            <w:right w:val="none" w:sz="0" w:space="0" w:color="auto"/>
          </w:divBdr>
        </w:div>
        <w:div w:id="842160076">
          <w:marLeft w:val="640"/>
          <w:marRight w:val="0"/>
          <w:marTop w:val="0"/>
          <w:marBottom w:val="0"/>
          <w:divBdr>
            <w:top w:val="none" w:sz="0" w:space="0" w:color="auto"/>
            <w:left w:val="none" w:sz="0" w:space="0" w:color="auto"/>
            <w:bottom w:val="none" w:sz="0" w:space="0" w:color="auto"/>
            <w:right w:val="none" w:sz="0" w:space="0" w:color="auto"/>
          </w:divBdr>
        </w:div>
        <w:div w:id="1725105274">
          <w:marLeft w:val="640"/>
          <w:marRight w:val="0"/>
          <w:marTop w:val="0"/>
          <w:marBottom w:val="0"/>
          <w:divBdr>
            <w:top w:val="none" w:sz="0" w:space="0" w:color="auto"/>
            <w:left w:val="none" w:sz="0" w:space="0" w:color="auto"/>
            <w:bottom w:val="none" w:sz="0" w:space="0" w:color="auto"/>
            <w:right w:val="none" w:sz="0" w:space="0" w:color="auto"/>
          </w:divBdr>
        </w:div>
        <w:div w:id="925772529">
          <w:marLeft w:val="640"/>
          <w:marRight w:val="0"/>
          <w:marTop w:val="0"/>
          <w:marBottom w:val="0"/>
          <w:divBdr>
            <w:top w:val="none" w:sz="0" w:space="0" w:color="auto"/>
            <w:left w:val="none" w:sz="0" w:space="0" w:color="auto"/>
            <w:bottom w:val="none" w:sz="0" w:space="0" w:color="auto"/>
            <w:right w:val="none" w:sz="0" w:space="0" w:color="auto"/>
          </w:divBdr>
        </w:div>
        <w:div w:id="232618531">
          <w:marLeft w:val="640"/>
          <w:marRight w:val="0"/>
          <w:marTop w:val="0"/>
          <w:marBottom w:val="0"/>
          <w:divBdr>
            <w:top w:val="none" w:sz="0" w:space="0" w:color="auto"/>
            <w:left w:val="none" w:sz="0" w:space="0" w:color="auto"/>
            <w:bottom w:val="none" w:sz="0" w:space="0" w:color="auto"/>
            <w:right w:val="none" w:sz="0" w:space="0" w:color="auto"/>
          </w:divBdr>
        </w:div>
        <w:div w:id="101193152">
          <w:marLeft w:val="640"/>
          <w:marRight w:val="0"/>
          <w:marTop w:val="0"/>
          <w:marBottom w:val="0"/>
          <w:divBdr>
            <w:top w:val="none" w:sz="0" w:space="0" w:color="auto"/>
            <w:left w:val="none" w:sz="0" w:space="0" w:color="auto"/>
            <w:bottom w:val="none" w:sz="0" w:space="0" w:color="auto"/>
            <w:right w:val="none" w:sz="0" w:space="0" w:color="auto"/>
          </w:divBdr>
        </w:div>
        <w:div w:id="1669405463">
          <w:marLeft w:val="640"/>
          <w:marRight w:val="0"/>
          <w:marTop w:val="0"/>
          <w:marBottom w:val="0"/>
          <w:divBdr>
            <w:top w:val="none" w:sz="0" w:space="0" w:color="auto"/>
            <w:left w:val="none" w:sz="0" w:space="0" w:color="auto"/>
            <w:bottom w:val="none" w:sz="0" w:space="0" w:color="auto"/>
            <w:right w:val="none" w:sz="0" w:space="0" w:color="auto"/>
          </w:divBdr>
        </w:div>
        <w:div w:id="820266414">
          <w:marLeft w:val="640"/>
          <w:marRight w:val="0"/>
          <w:marTop w:val="0"/>
          <w:marBottom w:val="0"/>
          <w:divBdr>
            <w:top w:val="none" w:sz="0" w:space="0" w:color="auto"/>
            <w:left w:val="none" w:sz="0" w:space="0" w:color="auto"/>
            <w:bottom w:val="none" w:sz="0" w:space="0" w:color="auto"/>
            <w:right w:val="none" w:sz="0" w:space="0" w:color="auto"/>
          </w:divBdr>
        </w:div>
        <w:div w:id="612905685">
          <w:marLeft w:val="640"/>
          <w:marRight w:val="0"/>
          <w:marTop w:val="0"/>
          <w:marBottom w:val="0"/>
          <w:divBdr>
            <w:top w:val="none" w:sz="0" w:space="0" w:color="auto"/>
            <w:left w:val="none" w:sz="0" w:space="0" w:color="auto"/>
            <w:bottom w:val="none" w:sz="0" w:space="0" w:color="auto"/>
            <w:right w:val="none" w:sz="0" w:space="0" w:color="auto"/>
          </w:divBdr>
        </w:div>
        <w:div w:id="802233348">
          <w:marLeft w:val="640"/>
          <w:marRight w:val="0"/>
          <w:marTop w:val="0"/>
          <w:marBottom w:val="0"/>
          <w:divBdr>
            <w:top w:val="none" w:sz="0" w:space="0" w:color="auto"/>
            <w:left w:val="none" w:sz="0" w:space="0" w:color="auto"/>
            <w:bottom w:val="none" w:sz="0" w:space="0" w:color="auto"/>
            <w:right w:val="none" w:sz="0" w:space="0" w:color="auto"/>
          </w:divBdr>
        </w:div>
        <w:div w:id="101388270">
          <w:marLeft w:val="640"/>
          <w:marRight w:val="0"/>
          <w:marTop w:val="0"/>
          <w:marBottom w:val="0"/>
          <w:divBdr>
            <w:top w:val="none" w:sz="0" w:space="0" w:color="auto"/>
            <w:left w:val="none" w:sz="0" w:space="0" w:color="auto"/>
            <w:bottom w:val="none" w:sz="0" w:space="0" w:color="auto"/>
            <w:right w:val="none" w:sz="0" w:space="0" w:color="auto"/>
          </w:divBdr>
        </w:div>
        <w:div w:id="1424916306">
          <w:marLeft w:val="640"/>
          <w:marRight w:val="0"/>
          <w:marTop w:val="0"/>
          <w:marBottom w:val="0"/>
          <w:divBdr>
            <w:top w:val="none" w:sz="0" w:space="0" w:color="auto"/>
            <w:left w:val="none" w:sz="0" w:space="0" w:color="auto"/>
            <w:bottom w:val="none" w:sz="0" w:space="0" w:color="auto"/>
            <w:right w:val="none" w:sz="0" w:space="0" w:color="auto"/>
          </w:divBdr>
        </w:div>
        <w:div w:id="430324526">
          <w:marLeft w:val="640"/>
          <w:marRight w:val="0"/>
          <w:marTop w:val="0"/>
          <w:marBottom w:val="0"/>
          <w:divBdr>
            <w:top w:val="none" w:sz="0" w:space="0" w:color="auto"/>
            <w:left w:val="none" w:sz="0" w:space="0" w:color="auto"/>
            <w:bottom w:val="none" w:sz="0" w:space="0" w:color="auto"/>
            <w:right w:val="none" w:sz="0" w:space="0" w:color="auto"/>
          </w:divBdr>
        </w:div>
        <w:div w:id="1775400334">
          <w:marLeft w:val="640"/>
          <w:marRight w:val="0"/>
          <w:marTop w:val="0"/>
          <w:marBottom w:val="0"/>
          <w:divBdr>
            <w:top w:val="none" w:sz="0" w:space="0" w:color="auto"/>
            <w:left w:val="none" w:sz="0" w:space="0" w:color="auto"/>
            <w:bottom w:val="none" w:sz="0" w:space="0" w:color="auto"/>
            <w:right w:val="none" w:sz="0" w:space="0" w:color="auto"/>
          </w:divBdr>
        </w:div>
        <w:div w:id="1167019872">
          <w:marLeft w:val="640"/>
          <w:marRight w:val="0"/>
          <w:marTop w:val="0"/>
          <w:marBottom w:val="0"/>
          <w:divBdr>
            <w:top w:val="none" w:sz="0" w:space="0" w:color="auto"/>
            <w:left w:val="none" w:sz="0" w:space="0" w:color="auto"/>
            <w:bottom w:val="none" w:sz="0" w:space="0" w:color="auto"/>
            <w:right w:val="none" w:sz="0" w:space="0" w:color="auto"/>
          </w:divBdr>
        </w:div>
        <w:div w:id="408230829">
          <w:marLeft w:val="640"/>
          <w:marRight w:val="0"/>
          <w:marTop w:val="0"/>
          <w:marBottom w:val="0"/>
          <w:divBdr>
            <w:top w:val="none" w:sz="0" w:space="0" w:color="auto"/>
            <w:left w:val="none" w:sz="0" w:space="0" w:color="auto"/>
            <w:bottom w:val="none" w:sz="0" w:space="0" w:color="auto"/>
            <w:right w:val="none" w:sz="0" w:space="0" w:color="auto"/>
          </w:divBdr>
        </w:div>
        <w:div w:id="1954970923">
          <w:marLeft w:val="640"/>
          <w:marRight w:val="0"/>
          <w:marTop w:val="0"/>
          <w:marBottom w:val="0"/>
          <w:divBdr>
            <w:top w:val="none" w:sz="0" w:space="0" w:color="auto"/>
            <w:left w:val="none" w:sz="0" w:space="0" w:color="auto"/>
            <w:bottom w:val="none" w:sz="0" w:space="0" w:color="auto"/>
            <w:right w:val="none" w:sz="0" w:space="0" w:color="auto"/>
          </w:divBdr>
        </w:div>
        <w:div w:id="728070126">
          <w:marLeft w:val="640"/>
          <w:marRight w:val="0"/>
          <w:marTop w:val="0"/>
          <w:marBottom w:val="0"/>
          <w:divBdr>
            <w:top w:val="none" w:sz="0" w:space="0" w:color="auto"/>
            <w:left w:val="none" w:sz="0" w:space="0" w:color="auto"/>
            <w:bottom w:val="none" w:sz="0" w:space="0" w:color="auto"/>
            <w:right w:val="none" w:sz="0" w:space="0" w:color="auto"/>
          </w:divBdr>
        </w:div>
        <w:div w:id="1254127215">
          <w:marLeft w:val="640"/>
          <w:marRight w:val="0"/>
          <w:marTop w:val="0"/>
          <w:marBottom w:val="0"/>
          <w:divBdr>
            <w:top w:val="none" w:sz="0" w:space="0" w:color="auto"/>
            <w:left w:val="none" w:sz="0" w:space="0" w:color="auto"/>
            <w:bottom w:val="none" w:sz="0" w:space="0" w:color="auto"/>
            <w:right w:val="none" w:sz="0" w:space="0" w:color="auto"/>
          </w:divBdr>
        </w:div>
        <w:div w:id="217858314">
          <w:marLeft w:val="640"/>
          <w:marRight w:val="0"/>
          <w:marTop w:val="0"/>
          <w:marBottom w:val="0"/>
          <w:divBdr>
            <w:top w:val="none" w:sz="0" w:space="0" w:color="auto"/>
            <w:left w:val="none" w:sz="0" w:space="0" w:color="auto"/>
            <w:bottom w:val="none" w:sz="0" w:space="0" w:color="auto"/>
            <w:right w:val="none" w:sz="0" w:space="0" w:color="auto"/>
          </w:divBdr>
        </w:div>
        <w:div w:id="693388147">
          <w:marLeft w:val="640"/>
          <w:marRight w:val="0"/>
          <w:marTop w:val="0"/>
          <w:marBottom w:val="0"/>
          <w:divBdr>
            <w:top w:val="none" w:sz="0" w:space="0" w:color="auto"/>
            <w:left w:val="none" w:sz="0" w:space="0" w:color="auto"/>
            <w:bottom w:val="none" w:sz="0" w:space="0" w:color="auto"/>
            <w:right w:val="none" w:sz="0" w:space="0" w:color="auto"/>
          </w:divBdr>
        </w:div>
        <w:div w:id="675570411">
          <w:marLeft w:val="640"/>
          <w:marRight w:val="0"/>
          <w:marTop w:val="0"/>
          <w:marBottom w:val="0"/>
          <w:divBdr>
            <w:top w:val="none" w:sz="0" w:space="0" w:color="auto"/>
            <w:left w:val="none" w:sz="0" w:space="0" w:color="auto"/>
            <w:bottom w:val="none" w:sz="0" w:space="0" w:color="auto"/>
            <w:right w:val="none" w:sz="0" w:space="0" w:color="auto"/>
          </w:divBdr>
        </w:div>
        <w:div w:id="1021586138">
          <w:marLeft w:val="640"/>
          <w:marRight w:val="0"/>
          <w:marTop w:val="0"/>
          <w:marBottom w:val="0"/>
          <w:divBdr>
            <w:top w:val="none" w:sz="0" w:space="0" w:color="auto"/>
            <w:left w:val="none" w:sz="0" w:space="0" w:color="auto"/>
            <w:bottom w:val="none" w:sz="0" w:space="0" w:color="auto"/>
            <w:right w:val="none" w:sz="0" w:space="0" w:color="auto"/>
          </w:divBdr>
        </w:div>
        <w:div w:id="1145506228">
          <w:marLeft w:val="640"/>
          <w:marRight w:val="0"/>
          <w:marTop w:val="0"/>
          <w:marBottom w:val="0"/>
          <w:divBdr>
            <w:top w:val="none" w:sz="0" w:space="0" w:color="auto"/>
            <w:left w:val="none" w:sz="0" w:space="0" w:color="auto"/>
            <w:bottom w:val="none" w:sz="0" w:space="0" w:color="auto"/>
            <w:right w:val="none" w:sz="0" w:space="0" w:color="auto"/>
          </w:divBdr>
        </w:div>
        <w:div w:id="584194032">
          <w:marLeft w:val="640"/>
          <w:marRight w:val="0"/>
          <w:marTop w:val="0"/>
          <w:marBottom w:val="0"/>
          <w:divBdr>
            <w:top w:val="none" w:sz="0" w:space="0" w:color="auto"/>
            <w:left w:val="none" w:sz="0" w:space="0" w:color="auto"/>
            <w:bottom w:val="none" w:sz="0" w:space="0" w:color="auto"/>
            <w:right w:val="none" w:sz="0" w:space="0" w:color="auto"/>
          </w:divBdr>
        </w:div>
        <w:div w:id="214515691">
          <w:marLeft w:val="640"/>
          <w:marRight w:val="0"/>
          <w:marTop w:val="0"/>
          <w:marBottom w:val="0"/>
          <w:divBdr>
            <w:top w:val="none" w:sz="0" w:space="0" w:color="auto"/>
            <w:left w:val="none" w:sz="0" w:space="0" w:color="auto"/>
            <w:bottom w:val="none" w:sz="0" w:space="0" w:color="auto"/>
            <w:right w:val="none" w:sz="0" w:space="0" w:color="auto"/>
          </w:divBdr>
        </w:div>
        <w:div w:id="1758746837">
          <w:marLeft w:val="640"/>
          <w:marRight w:val="0"/>
          <w:marTop w:val="0"/>
          <w:marBottom w:val="0"/>
          <w:divBdr>
            <w:top w:val="none" w:sz="0" w:space="0" w:color="auto"/>
            <w:left w:val="none" w:sz="0" w:space="0" w:color="auto"/>
            <w:bottom w:val="none" w:sz="0" w:space="0" w:color="auto"/>
            <w:right w:val="none" w:sz="0" w:space="0" w:color="auto"/>
          </w:divBdr>
        </w:div>
        <w:div w:id="313460550">
          <w:marLeft w:val="640"/>
          <w:marRight w:val="0"/>
          <w:marTop w:val="0"/>
          <w:marBottom w:val="0"/>
          <w:divBdr>
            <w:top w:val="none" w:sz="0" w:space="0" w:color="auto"/>
            <w:left w:val="none" w:sz="0" w:space="0" w:color="auto"/>
            <w:bottom w:val="none" w:sz="0" w:space="0" w:color="auto"/>
            <w:right w:val="none" w:sz="0" w:space="0" w:color="auto"/>
          </w:divBdr>
        </w:div>
        <w:div w:id="151260954">
          <w:marLeft w:val="640"/>
          <w:marRight w:val="0"/>
          <w:marTop w:val="0"/>
          <w:marBottom w:val="0"/>
          <w:divBdr>
            <w:top w:val="none" w:sz="0" w:space="0" w:color="auto"/>
            <w:left w:val="none" w:sz="0" w:space="0" w:color="auto"/>
            <w:bottom w:val="none" w:sz="0" w:space="0" w:color="auto"/>
            <w:right w:val="none" w:sz="0" w:space="0" w:color="auto"/>
          </w:divBdr>
        </w:div>
        <w:div w:id="475801452">
          <w:marLeft w:val="640"/>
          <w:marRight w:val="0"/>
          <w:marTop w:val="0"/>
          <w:marBottom w:val="0"/>
          <w:divBdr>
            <w:top w:val="none" w:sz="0" w:space="0" w:color="auto"/>
            <w:left w:val="none" w:sz="0" w:space="0" w:color="auto"/>
            <w:bottom w:val="none" w:sz="0" w:space="0" w:color="auto"/>
            <w:right w:val="none" w:sz="0" w:space="0" w:color="auto"/>
          </w:divBdr>
        </w:div>
        <w:div w:id="1860506869">
          <w:marLeft w:val="640"/>
          <w:marRight w:val="0"/>
          <w:marTop w:val="0"/>
          <w:marBottom w:val="0"/>
          <w:divBdr>
            <w:top w:val="none" w:sz="0" w:space="0" w:color="auto"/>
            <w:left w:val="none" w:sz="0" w:space="0" w:color="auto"/>
            <w:bottom w:val="none" w:sz="0" w:space="0" w:color="auto"/>
            <w:right w:val="none" w:sz="0" w:space="0" w:color="auto"/>
          </w:divBdr>
        </w:div>
        <w:div w:id="202719669">
          <w:marLeft w:val="640"/>
          <w:marRight w:val="0"/>
          <w:marTop w:val="0"/>
          <w:marBottom w:val="0"/>
          <w:divBdr>
            <w:top w:val="none" w:sz="0" w:space="0" w:color="auto"/>
            <w:left w:val="none" w:sz="0" w:space="0" w:color="auto"/>
            <w:bottom w:val="none" w:sz="0" w:space="0" w:color="auto"/>
            <w:right w:val="none" w:sz="0" w:space="0" w:color="auto"/>
          </w:divBdr>
        </w:div>
        <w:div w:id="1169712313">
          <w:marLeft w:val="640"/>
          <w:marRight w:val="0"/>
          <w:marTop w:val="0"/>
          <w:marBottom w:val="0"/>
          <w:divBdr>
            <w:top w:val="none" w:sz="0" w:space="0" w:color="auto"/>
            <w:left w:val="none" w:sz="0" w:space="0" w:color="auto"/>
            <w:bottom w:val="none" w:sz="0" w:space="0" w:color="auto"/>
            <w:right w:val="none" w:sz="0" w:space="0" w:color="auto"/>
          </w:divBdr>
        </w:div>
        <w:div w:id="173039824">
          <w:marLeft w:val="640"/>
          <w:marRight w:val="0"/>
          <w:marTop w:val="0"/>
          <w:marBottom w:val="0"/>
          <w:divBdr>
            <w:top w:val="none" w:sz="0" w:space="0" w:color="auto"/>
            <w:left w:val="none" w:sz="0" w:space="0" w:color="auto"/>
            <w:bottom w:val="none" w:sz="0" w:space="0" w:color="auto"/>
            <w:right w:val="none" w:sz="0" w:space="0" w:color="auto"/>
          </w:divBdr>
        </w:div>
        <w:div w:id="1883663821">
          <w:marLeft w:val="640"/>
          <w:marRight w:val="0"/>
          <w:marTop w:val="0"/>
          <w:marBottom w:val="0"/>
          <w:divBdr>
            <w:top w:val="none" w:sz="0" w:space="0" w:color="auto"/>
            <w:left w:val="none" w:sz="0" w:space="0" w:color="auto"/>
            <w:bottom w:val="none" w:sz="0" w:space="0" w:color="auto"/>
            <w:right w:val="none" w:sz="0" w:space="0" w:color="auto"/>
          </w:divBdr>
        </w:div>
        <w:div w:id="1738015543">
          <w:marLeft w:val="640"/>
          <w:marRight w:val="0"/>
          <w:marTop w:val="0"/>
          <w:marBottom w:val="0"/>
          <w:divBdr>
            <w:top w:val="none" w:sz="0" w:space="0" w:color="auto"/>
            <w:left w:val="none" w:sz="0" w:space="0" w:color="auto"/>
            <w:bottom w:val="none" w:sz="0" w:space="0" w:color="auto"/>
            <w:right w:val="none" w:sz="0" w:space="0" w:color="auto"/>
          </w:divBdr>
        </w:div>
        <w:div w:id="952710213">
          <w:marLeft w:val="640"/>
          <w:marRight w:val="0"/>
          <w:marTop w:val="0"/>
          <w:marBottom w:val="0"/>
          <w:divBdr>
            <w:top w:val="none" w:sz="0" w:space="0" w:color="auto"/>
            <w:left w:val="none" w:sz="0" w:space="0" w:color="auto"/>
            <w:bottom w:val="none" w:sz="0" w:space="0" w:color="auto"/>
            <w:right w:val="none" w:sz="0" w:space="0" w:color="auto"/>
          </w:divBdr>
        </w:div>
        <w:div w:id="795175869">
          <w:marLeft w:val="640"/>
          <w:marRight w:val="0"/>
          <w:marTop w:val="0"/>
          <w:marBottom w:val="0"/>
          <w:divBdr>
            <w:top w:val="none" w:sz="0" w:space="0" w:color="auto"/>
            <w:left w:val="none" w:sz="0" w:space="0" w:color="auto"/>
            <w:bottom w:val="none" w:sz="0" w:space="0" w:color="auto"/>
            <w:right w:val="none" w:sz="0" w:space="0" w:color="auto"/>
          </w:divBdr>
        </w:div>
        <w:div w:id="1840268017">
          <w:marLeft w:val="640"/>
          <w:marRight w:val="0"/>
          <w:marTop w:val="0"/>
          <w:marBottom w:val="0"/>
          <w:divBdr>
            <w:top w:val="none" w:sz="0" w:space="0" w:color="auto"/>
            <w:left w:val="none" w:sz="0" w:space="0" w:color="auto"/>
            <w:bottom w:val="none" w:sz="0" w:space="0" w:color="auto"/>
            <w:right w:val="none" w:sz="0" w:space="0" w:color="auto"/>
          </w:divBdr>
        </w:div>
        <w:div w:id="1977906721">
          <w:marLeft w:val="640"/>
          <w:marRight w:val="0"/>
          <w:marTop w:val="0"/>
          <w:marBottom w:val="0"/>
          <w:divBdr>
            <w:top w:val="none" w:sz="0" w:space="0" w:color="auto"/>
            <w:left w:val="none" w:sz="0" w:space="0" w:color="auto"/>
            <w:bottom w:val="none" w:sz="0" w:space="0" w:color="auto"/>
            <w:right w:val="none" w:sz="0" w:space="0" w:color="auto"/>
          </w:divBdr>
        </w:div>
        <w:div w:id="60908767">
          <w:marLeft w:val="640"/>
          <w:marRight w:val="0"/>
          <w:marTop w:val="0"/>
          <w:marBottom w:val="0"/>
          <w:divBdr>
            <w:top w:val="none" w:sz="0" w:space="0" w:color="auto"/>
            <w:left w:val="none" w:sz="0" w:space="0" w:color="auto"/>
            <w:bottom w:val="none" w:sz="0" w:space="0" w:color="auto"/>
            <w:right w:val="none" w:sz="0" w:space="0" w:color="auto"/>
          </w:divBdr>
        </w:div>
        <w:div w:id="346323997">
          <w:marLeft w:val="640"/>
          <w:marRight w:val="0"/>
          <w:marTop w:val="0"/>
          <w:marBottom w:val="0"/>
          <w:divBdr>
            <w:top w:val="none" w:sz="0" w:space="0" w:color="auto"/>
            <w:left w:val="none" w:sz="0" w:space="0" w:color="auto"/>
            <w:bottom w:val="none" w:sz="0" w:space="0" w:color="auto"/>
            <w:right w:val="none" w:sz="0" w:space="0" w:color="auto"/>
          </w:divBdr>
        </w:div>
        <w:div w:id="125853441">
          <w:marLeft w:val="640"/>
          <w:marRight w:val="0"/>
          <w:marTop w:val="0"/>
          <w:marBottom w:val="0"/>
          <w:divBdr>
            <w:top w:val="none" w:sz="0" w:space="0" w:color="auto"/>
            <w:left w:val="none" w:sz="0" w:space="0" w:color="auto"/>
            <w:bottom w:val="none" w:sz="0" w:space="0" w:color="auto"/>
            <w:right w:val="none" w:sz="0" w:space="0" w:color="auto"/>
          </w:divBdr>
        </w:div>
        <w:div w:id="1785684473">
          <w:marLeft w:val="640"/>
          <w:marRight w:val="0"/>
          <w:marTop w:val="0"/>
          <w:marBottom w:val="0"/>
          <w:divBdr>
            <w:top w:val="none" w:sz="0" w:space="0" w:color="auto"/>
            <w:left w:val="none" w:sz="0" w:space="0" w:color="auto"/>
            <w:bottom w:val="none" w:sz="0" w:space="0" w:color="auto"/>
            <w:right w:val="none" w:sz="0" w:space="0" w:color="auto"/>
          </w:divBdr>
        </w:div>
        <w:div w:id="465241948">
          <w:marLeft w:val="640"/>
          <w:marRight w:val="0"/>
          <w:marTop w:val="0"/>
          <w:marBottom w:val="0"/>
          <w:divBdr>
            <w:top w:val="none" w:sz="0" w:space="0" w:color="auto"/>
            <w:left w:val="none" w:sz="0" w:space="0" w:color="auto"/>
            <w:bottom w:val="none" w:sz="0" w:space="0" w:color="auto"/>
            <w:right w:val="none" w:sz="0" w:space="0" w:color="auto"/>
          </w:divBdr>
        </w:div>
        <w:div w:id="407583995">
          <w:marLeft w:val="640"/>
          <w:marRight w:val="0"/>
          <w:marTop w:val="0"/>
          <w:marBottom w:val="0"/>
          <w:divBdr>
            <w:top w:val="none" w:sz="0" w:space="0" w:color="auto"/>
            <w:left w:val="none" w:sz="0" w:space="0" w:color="auto"/>
            <w:bottom w:val="none" w:sz="0" w:space="0" w:color="auto"/>
            <w:right w:val="none" w:sz="0" w:space="0" w:color="auto"/>
          </w:divBdr>
        </w:div>
        <w:div w:id="35007704">
          <w:marLeft w:val="640"/>
          <w:marRight w:val="0"/>
          <w:marTop w:val="0"/>
          <w:marBottom w:val="0"/>
          <w:divBdr>
            <w:top w:val="none" w:sz="0" w:space="0" w:color="auto"/>
            <w:left w:val="none" w:sz="0" w:space="0" w:color="auto"/>
            <w:bottom w:val="none" w:sz="0" w:space="0" w:color="auto"/>
            <w:right w:val="none" w:sz="0" w:space="0" w:color="auto"/>
          </w:divBdr>
        </w:div>
        <w:div w:id="370226585">
          <w:marLeft w:val="640"/>
          <w:marRight w:val="0"/>
          <w:marTop w:val="0"/>
          <w:marBottom w:val="0"/>
          <w:divBdr>
            <w:top w:val="none" w:sz="0" w:space="0" w:color="auto"/>
            <w:left w:val="none" w:sz="0" w:space="0" w:color="auto"/>
            <w:bottom w:val="none" w:sz="0" w:space="0" w:color="auto"/>
            <w:right w:val="none" w:sz="0" w:space="0" w:color="auto"/>
          </w:divBdr>
        </w:div>
        <w:div w:id="2140297908">
          <w:marLeft w:val="640"/>
          <w:marRight w:val="0"/>
          <w:marTop w:val="0"/>
          <w:marBottom w:val="0"/>
          <w:divBdr>
            <w:top w:val="none" w:sz="0" w:space="0" w:color="auto"/>
            <w:left w:val="none" w:sz="0" w:space="0" w:color="auto"/>
            <w:bottom w:val="none" w:sz="0" w:space="0" w:color="auto"/>
            <w:right w:val="none" w:sz="0" w:space="0" w:color="auto"/>
          </w:divBdr>
        </w:div>
        <w:div w:id="1693607146">
          <w:marLeft w:val="640"/>
          <w:marRight w:val="0"/>
          <w:marTop w:val="0"/>
          <w:marBottom w:val="0"/>
          <w:divBdr>
            <w:top w:val="none" w:sz="0" w:space="0" w:color="auto"/>
            <w:left w:val="none" w:sz="0" w:space="0" w:color="auto"/>
            <w:bottom w:val="none" w:sz="0" w:space="0" w:color="auto"/>
            <w:right w:val="none" w:sz="0" w:space="0" w:color="auto"/>
          </w:divBdr>
        </w:div>
        <w:div w:id="5251078">
          <w:marLeft w:val="640"/>
          <w:marRight w:val="0"/>
          <w:marTop w:val="0"/>
          <w:marBottom w:val="0"/>
          <w:divBdr>
            <w:top w:val="none" w:sz="0" w:space="0" w:color="auto"/>
            <w:left w:val="none" w:sz="0" w:space="0" w:color="auto"/>
            <w:bottom w:val="none" w:sz="0" w:space="0" w:color="auto"/>
            <w:right w:val="none" w:sz="0" w:space="0" w:color="auto"/>
          </w:divBdr>
        </w:div>
        <w:div w:id="1899435966">
          <w:marLeft w:val="640"/>
          <w:marRight w:val="0"/>
          <w:marTop w:val="0"/>
          <w:marBottom w:val="0"/>
          <w:divBdr>
            <w:top w:val="none" w:sz="0" w:space="0" w:color="auto"/>
            <w:left w:val="none" w:sz="0" w:space="0" w:color="auto"/>
            <w:bottom w:val="none" w:sz="0" w:space="0" w:color="auto"/>
            <w:right w:val="none" w:sz="0" w:space="0" w:color="auto"/>
          </w:divBdr>
        </w:div>
        <w:div w:id="909579364">
          <w:marLeft w:val="640"/>
          <w:marRight w:val="0"/>
          <w:marTop w:val="0"/>
          <w:marBottom w:val="0"/>
          <w:divBdr>
            <w:top w:val="none" w:sz="0" w:space="0" w:color="auto"/>
            <w:left w:val="none" w:sz="0" w:space="0" w:color="auto"/>
            <w:bottom w:val="none" w:sz="0" w:space="0" w:color="auto"/>
            <w:right w:val="none" w:sz="0" w:space="0" w:color="auto"/>
          </w:divBdr>
        </w:div>
        <w:div w:id="1271934929">
          <w:marLeft w:val="640"/>
          <w:marRight w:val="0"/>
          <w:marTop w:val="0"/>
          <w:marBottom w:val="0"/>
          <w:divBdr>
            <w:top w:val="none" w:sz="0" w:space="0" w:color="auto"/>
            <w:left w:val="none" w:sz="0" w:space="0" w:color="auto"/>
            <w:bottom w:val="none" w:sz="0" w:space="0" w:color="auto"/>
            <w:right w:val="none" w:sz="0" w:space="0" w:color="auto"/>
          </w:divBdr>
        </w:div>
        <w:div w:id="350225732">
          <w:marLeft w:val="640"/>
          <w:marRight w:val="0"/>
          <w:marTop w:val="0"/>
          <w:marBottom w:val="0"/>
          <w:divBdr>
            <w:top w:val="none" w:sz="0" w:space="0" w:color="auto"/>
            <w:left w:val="none" w:sz="0" w:space="0" w:color="auto"/>
            <w:bottom w:val="none" w:sz="0" w:space="0" w:color="auto"/>
            <w:right w:val="none" w:sz="0" w:space="0" w:color="auto"/>
          </w:divBdr>
        </w:div>
        <w:div w:id="127237585">
          <w:marLeft w:val="640"/>
          <w:marRight w:val="0"/>
          <w:marTop w:val="0"/>
          <w:marBottom w:val="0"/>
          <w:divBdr>
            <w:top w:val="none" w:sz="0" w:space="0" w:color="auto"/>
            <w:left w:val="none" w:sz="0" w:space="0" w:color="auto"/>
            <w:bottom w:val="none" w:sz="0" w:space="0" w:color="auto"/>
            <w:right w:val="none" w:sz="0" w:space="0" w:color="auto"/>
          </w:divBdr>
        </w:div>
        <w:div w:id="1866747138">
          <w:marLeft w:val="640"/>
          <w:marRight w:val="0"/>
          <w:marTop w:val="0"/>
          <w:marBottom w:val="0"/>
          <w:divBdr>
            <w:top w:val="none" w:sz="0" w:space="0" w:color="auto"/>
            <w:left w:val="none" w:sz="0" w:space="0" w:color="auto"/>
            <w:bottom w:val="none" w:sz="0" w:space="0" w:color="auto"/>
            <w:right w:val="none" w:sz="0" w:space="0" w:color="auto"/>
          </w:divBdr>
        </w:div>
        <w:div w:id="1231497140">
          <w:marLeft w:val="640"/>
          <w:marRight w:val="0"/>
          <w:marTop w:val="0"/>
          <w:marBottom w:val="0"/>
          <w:divBdr>
            <w:top w:val="none" w:sz="0" w:space="0" w:color="auto"/>
            <w:left w:val="none" w:sz="0" w:space="0" w:color="auto"/>
            <w:bottom w:val="none" w:sz="0" w:space="0" w:color="auto"/>
            <w:right w:val="none" w:sz="0" w:space="0" w:color="auto"/>
          </w:divBdr>
        </w:div>
        <w:div w:id="680164620">
          <w:marLeft w:val="640"/>
          <w:marRight w:val="0"/>
          <w:marTop w:val="0"/>
          <w:marBottom w:val="0"/>
          <w:divBdr>
            <w:top w:val="none" w:sz="0" w:space="0" w:color="auto"/>
            <w:left w:val="none" w:sz="0" w:space="0" w:color="auto"/>
            <w:bottom w:val="none" w:sz="0" w:space="0" w:color="auto"/>
            <w:right w:val="none" w:sz="0" w:space="0" w:color="auto"/>
          </w:divBdr>
        </w:div>
        <w:div w:id="956449656">
          <w:marLeft w:val="640"/>
          <w:marRight w:val="0"/>
          <w:marTop w:val="0"/>
          <w:marBottom w:val="0"/>
          <w:divBdr>
            <w:top w:val="none" w:sz="0" w:space="0" w:color="auto"/>
            <w:left w:val="none" w:sz="0" w:space="0" w:color="auto"/>
            <w:bottom w:val="none" w:sz="0" w:space="0" w:color="auto"/>
            <w:right w:val="none" w:sz="0" w:space="0" w:color="auto"/>
          </w:divBdr>
        </w:div>
        <w:div w:id="2022389910">
          <w:marLeft w:val="640"/>
          <w:marRight w:val="0"/>
          <w:marTop w:val="0"/>
          <w:marBottom w:val="0"/>
          <w:divBdr>
            <w:top w:val="none" w:sz="0" w:space="0" w:color="auto"/>
            <w:left w:val="none" w:sz="0" w:space="0" w:color="auto"/>
            <w:bottom w:val="none" w:sz="0" w:space="0" w:color="auto"/>
            <w:right w:val="none" w:sz="0" w:space="0" w:color="auto"/>
          </w:divBdr>
        </w:div>
        <w:div w:id="212079757">
          <w:marLeft w:val="640"/>
          <w:marRight w:val="0"/>
          <w:marTop w:val="0"/>
          <w:marBottom w:val="0"/>
          <w:divBdr>
            <w:top w:val="none" w:sz="0" w:space="0" w:color="auto"/>
            <w:left w:val="none" w:sz="0" w:space="0" w:color="auto"/>
            <w:bottom w:val="none" w:sz="0" w:space="0" w:color="auto"/>
            <w:right w:val="none" w:sz="0" w:space="0" w:color="auto"/>
          </w:divBdr>
        </w:div>
        <w:div w:id="993023304">
          <w:marLeft w:val="640"/>
          <w:marRight w:val="0"/>
          <w:marTop w:val="0"/>
          <w:marBottom w:val="0"/>
          <w:divBdr>
            <w:top w:val="none" w:sz="0" w:space="0" w:color="auto"/>
            <w:left w:val="none" w:sz="0" w:space="0" w:color="auto"/>
            <w:bottom w:val="none" w:sz="0" w:space="0" w:color="auto"/>
            <w:right w:val="none" w:sz="0" w:space="0" w:color="auto"/>
          </w:divBdr>
        </w:div>
        <w:div w:id="454254029">
          <w:marLeft w:val="640"/>
          <w:marRight w:val="0"/>
          <w:marTop w:val="0"/>
          <w:marBottom w:val="0"/>
          <w:divBdr>
            <w:top w:val="none" w:sz="0" w:space="0" w:color="auto"/>
            <w:left w:val="none" w:sz="0" w:space="0" w:color="auto"/>
            <w:bottom w:val="none" w:sz="0" w:space="0" w:color="auto"/>
            <w:right w:val="none" w:sz="0" w:space="0" w:color="auto"/>
          </w:divBdr>
        </w:div>
        <w:div w:id="2024352612">
          <w:marLeft w:val="640"/>
          <w:marRight w:val="0"/>
          <w:marTop w:val="0"/>
          <w:marBottom w:val="0"/>
          <w:divBdr>
            <w:top w:val="none" w:sz="0" w:space="0" w:color="auto"/>
            <w:left w:val="none" w:sz="0" w:space="0" w:color="auto"/>
            <w:bottom w:val="none" w:sz="0" w:space="0" w:color="auto"/>
            <w:right w:val="none" w:sz="0" w:space="0" w:color="auto"/>
          </w:divBdr>
        </w:div>
        <w:div w:id="971593999">
          <w:marLeft w:val="640"/>
          <w:marRight w:val="0"/>
          <w:marTop w:val="0"/>
          <w:marBottom w:val="0"/>
          <w:divBdr>
            <w:top w:val="none" w:sz="0" w:space="0" w:color="auto"/>
            <w:left w:val="none" w:sz="0" w:space="0" w:color="auto"/>
            <w:bottom w:val="none" w:sz="0" w:space="0" w:color="auto"/>
            <w:right w:val="none" w:sz="0" w:space="0" w:color="auto"/>
          </w:divBdr>
        </w:div>
        <w:div w:id="2034843183">
          <w:marLeft w:val="640"/>
          <w:marRight w:val="0"/>
          <w:marTop w:val="0"/>
          <w:marBottom w:val="0"/>
          <w:divBdr>
            <w:top w:val="none" w:sz="0" w:space="0" w:color="auto"/>
            <w:left w:val="none" w:sz="0" w:space="0" w:color="auto"/>
            <w:bottom w:val="none" w:sz="0" w:space="0" w:color="auto"/>
            <w:right w:val="none" w:sz="0" w:space="0" w:color="auto"/>
          </w:divBdr>
        </w:div>
        <w:div w:id="1233735336">
          <w:marLeft w:val="640"/>
          <w:marRight w:val="0"/>
          <w:marTop w:val="0"/>
          <w:marBottom w:val="0"/>
          <w:divBdr>
            <w:top w:val="none" w:sz="0" w:space="0" w:color="auto"/>
            <w:left w:val="none" w:sz="0" w:space="0" w:color="auto"/>
            <w:bottom w:val="none" w:sz="0" w:space="0" w:color="auto"/>
            <w:right w:val="none" w:sz="0" w:space="0" w:color="auto"/>
          </w:divBdr>
        </w:div>
        <w:div w:id="1777484903">
          <w:marLeft w:val="640"/>
          <w:marRight w:val="0"/>
          <w:marTop w:val="0"/>
          <w:marBottom w:val="0"/>
          <w:divBdr>
            <w:top w:val="none" w:sz="0" w:space="0" w:color="auto"/>
            <w:left w:val="none" w:sz="0" w:space="0" w:color="auto"/>
            <w:bottom w:val="none" w:sz="0" w:space="0" w:color="auto"/>
            <w:right w:val="none" w:sz="0" w:space="0" w:color="auto"/>
          </w:divBdr>
        </w:div>
        <w:div w:id="881092383">
          <w:marLeft w:val="640"/>
          <w:marRight w:val="0"/>
          <w:marTop w:val="0"/>
          <w:marBottom w:val="0"/>
          <w:divBdr>
            <w:top w:val="none" w:sz="0" w:space="0" w:color="auto"/>
            <w:left w:val="none" w:sz="0" w:space="0" w:color="auto"/>
            <w:bottom w:val="none" w:sz="0" w:space="0" w:color="auto"/>
            <w:right w:val="none" w:sz="0" w:space="0" w:color="auto"/>
          </w:divBdr>
        </w:div>
        <w:div w:id="1044327204">
          <w:marLeft w:val="640"/>
          <w:marRight w:val="0"/>
          <w:marTop w:val="0"/>
          <w:marBottom w:val="0"/>
          <w:divBdr>
            <w:top w:val="none" w:sz="0" w:space="0" w:color="auto"/>
            <w:left w:val="none" w:sz="0" w:space="0" w:color="auto"/>
            <w:bottom w:val="none" w:sz="0" w:space="0" w:color="auto"/>
            <w:right w:val="none" w:sz="0" w:space="0" w:color="auto"/>
          </w:divBdr>
        </w:div>
        <w:div w:id="1237402028">
          <w:marLeft w:val="640"/>
          <w:marRight w:val="0"/>
          <w:marTop w:val="0"/>
          <w:marBottom w:val="0"/>
          <w:divBdr>
            <w:top w:val="none" w:sz="0" w:space="0" w:color="auto"/>
            <w:left w:val="none" w:sz="0" w:space="0" w:color="auto"/>
            <w:bottom w:val="none" w:sz="0" w:space="0" w:color="auto"/>
            <w:right w:val="none" w:sz="0" w:space="0" w:color="auto"/>
          </w:divBdr>
        </w:div>
        <w:div w:id="2060782889">
          <w:marLeft w:val="640"/>
          <w:marRight w:val="0"/>
          <w:marTop w:val="0"/>
          <w:marBottom w:val="0"/>
          <w:divBdr>
            <w:top w:val="none" w:sz="0" w:space="0" w:color="auto"/>
            <w:left w:val="none" w:sz="0" w:space="0" w:color="auto"/>
            <w:bottom w:val="none" w:sz="0" w:space="0" w:color="auto"/>
            <w:right w:val="none" w:sz="0" w:space="0" w:color="auto"/>
          </w:divBdr>
        </w:div>
        <w:div w:id="1354185073">
          <w:marLeft w:val="640"/>
          <w:marRight w:val="0"/>
          <w:marTop w:val="0"/>
          <w:marBottom w:val="0"/>
          <w:divBdr>
            <w:top w:val="none" w:sz="0" w:space="0" w:color="auto"/>
            <w:left w:val="none" w:sz="0" w:space="0" w:color="auto"/>
            <w:bottom w:val="none" w:sz="0" w:space="0" w:color="auto"/>
            <w:right w:val="none" w:sz="0" w:space="0" w:color="auto"/>
          </w:divBdr>
        </w:div>
        <w:div w:id="1668316583">
          <w:marLeft w:val="640"/>
          <w:marRight w:val="0"/>
          <w:marTop w:val="0"/>
          <w:marBottom w:val="0"/>
          <w:divBdr>
            <w:top w:val="none" w:sz="0" w:space="0" w:color="auto"/>
            <w:left w:val="none" w:sz="0" w:space="0" w:color="auto"/>
            <w:bottom w:val="none" w:sz="0" w:space="0" w:color="auto"/>
            <w:right w:val="none" w:sz="0" w:space="0" w:color="auto"/>
          </w:divBdr>
        </w:div>
        <w:div w:id="1076516605">
          <w:marLeft w:val="640"/>
          <w:marRight w:val="0"/>
          <w:marTop w:val="0"/>
          <w:marBottom w:val="0"/>
          <w:divBdr>
            <w:top w:val="none" w:sz="0" w:space="0" w:color="auto"/>
            <w:left w:val="none" w:sz="0" w:space="0" w:color="auto"/>
            <w:bottom w:val="none" w:sz="0" w:space="0" w:color="auto"/>
            <w:right w:val="none" w:sz="0" w:space="0" w:color="auto"/>
          </w:divBdr>
        </w:div>
        <w:div w:id="1427648639">
          <w:marLeft w:val="640"/>
          <w:marRight w:val="0"/>
          <w:marTop w:val="0"/>
          <w:marBottom w:val="0"/>
          <w:divBdr>
            <w:top w:val="none" w:sz="0" w:space="0" w:color="auto"/>
            <w:left w:val="none" w:sz="0" w:space="0" w:color="auto"/>
            <w:bottom w:val="none" w:sz="0" w:space="0" w:color="auto"/>
            <w:right w:val="none" w:sz="0" w:space="0" w:color="auto"/>
          </w:divBdr>
        </w:div>
        <w:div w:id="194850199">
          <w:marLeft w:val="640"/>
          <w:marRight w:val="0"/>
          <w:marTop w:val="0"/>
          <w:marBottom w:val="0"/>
          <w:divBdr>
            <w:top w:val="none" w:sz="0" w:space="0" w:color="auto"/>
            <w:left w:val="none" w:sz="0" w:space="0" w:color="auto"/>
            <w:bottom w:val="none" w:sz="0" w:space="0" w:color="auto"/>
            <w:right w:val="none" w:sz="0" w:space="0" w:color="auto"/>
          </w:divBdr>
        </w:div>
        <w:div w:id="1496191786">
          <w:marLeft w:val="640"/>
          <w:marRight w:val="0"/>
          <w:marTop w:val="0"/>
          <w:marBottom w:val="0"/>
          <w:divBdr>
            <w:top w:val="none" w:sz="0" w:space="0" w:color="auto"/>
            <w:left w:val="none" w:sz="0" w:space="0" w:color="auto"/>
            <w:bottom w:val="none" w:sz="0" w:space="0" w:color="auto"/>
            <w:right w:val="none" w:sz="0" w:space="0" w:color="auto"/>
          </w:divBdr>
        </w:div>
        <w:div w:id="228729725">
          <w:marLeft w:val="640"/>
          <w:marRight w:val="0"/>
          <w:marTop w:val="0"/>
          <w:marBottom w:val="0"/>
          <w:divBdr>
            <w:top w:val="none" w:sz="0" w:space="0" w:color="auto"/>
            <w:left w:val="none" w:sz="0" w:space="0" w:color="auto"/>
            <w:bottom w:val="none" w:sz="0" w:space="0" w:color="auto"/>
            <w:right w:val="none" w:sz="0" w:space="0" w:color="auto"/>
          </w:divBdr>
        </w:div>
        <w:div w:id="913441386">
          <w:marLeft w:val="640"/>
          <w:marRight w:val="0"/>
          <w:marTop w:val="0"/>
          <w:marBottom w:val="0"/>
          <w:divBdr>
            <w:top w:val="none" w:sz="0" w:space="0" w:color="auto"/>
            <w:left w:val="none" w:sz="0" w:space="0" w:color="auto"/>
            <w:bottom w:val="none" w:sz="0" w:space="0" w:color="auto"/>
            <w:right w:val="none" w:sz="0" w:space="0" w:color="auto"/>
          </w:divBdr>
        </w:div>
        <w:div w:id="436953261">
          <w:marLeft w:val="640"/>
          <w:marRight w:val="0"/>
          <w:marTop w:val="0"/>
          <w:marBottom w:val="0"/>
          <w:divBdr>
            <w:top w:val="none" w:sz="0" w:space="0" w:color="auto"/>
            <w:left w:val="none" w:sz="0" w:space="0" w:color="auto"/>
            <w:bottom w:val="none" w:sz="0" w:space="0" w:color="auto"/>
            <w:right w:val="none" w:sz="0" w:space="0" w:color="auto"/>
          </w:divBdr>
        </w:div>
        <w:div w:id="390076861">
          <w:marLeft w:val="640"/>
          <w:marRight w:val="0"/>
          <w:marTop w:val="0"/>
          <w:marBottom w:val="0"/>
          <w:divBdr>
            <w:top w:val="none" w:sz="0" w:space="0" w:color="auto"/>
            <w:left w:val="none" w:sz="0" w:space="0" w:color="auto"/>
            <w:bottom w:val="none" w:sz="0" w:space="0" w:color="auto"/>
            <w:right w:val="none" w:sz="0" w:space="0" w:color="auto"/>
          </w:divBdr>
        </w:div>
        <w:div w:id="987133422">
          <w:marLeft w:val="640"/>
          <w:marRight w:val="0"/>
          <w:marTop w:val="0"/>
          <w:marBottom w:val="0"/>
          <w:divBdr>
            <w:top w:val="none" w:sz="0" w:space="0" w:color="auto"/>
            <w:left w:val="none" w:sz="0" w:space="0" w:color="auto"/>
            <w:bottom w:val="none" w:sz="0" w:space="0" w:color="auto"/>
            <w:right w:val="none" w:sz="0" w:space="0" w:color="auto"/>
          </w:divBdr>
        </w:div>
        <w:div w:id="75715997">
          <w:marLeft w:val="640"/>
          <w:marRight w:val="0"/>
          <w:marTop w:val="0"/>
          <w:marBottom w:val="0"/>
          <w:divBdr>
            <w:top w:val="none" w:sz="0" w:space="0" w:color="auto"/>
            <w:left w:val="none" w:sz="0" w:space="0" w:color="auto"/>
            <w:bottom w:val="none" w:sz="0" w:space="0" w:color="auto"/>
            <w:right w:val="none" w:sz="0" w:space="0" w:color="auto"/>
          </w:divBdr>
        </w:div>
        <w:div w:id="747196424">
          <w:marLeft w:val="640"/>
          <w:marRight w:val="0"/>
          <w:marTop w:val="0"/>
          <w:marBottom w:val="0"/>
          <w:divBdr>
            <w:top w:val="none" w:sz="0" w:space="0" w:color="auto"/>
            <w:left w:val="none" w:sz="0" w:space="0" w:color="auto"/>
            <w:bottom w:val="none" w:sz="0" w:space="0" w:color="auto"/>
            <w:right w:val="none" w:sz="0" w:space="0" w:color="auto"/>
          </w:divBdr>
        </w:div>
        <w:div w:id="556477586">
          <w:marLeft w:val="640"/>
          <w:marRight w:val="0"/>
          <w:marTop w:val="0"/>
          <w:marBottom w:val="0"/>
          <w:divBdr>
            <w:top w:val="none" w:sz="0" w:space="0" w:color="auto"/>
            <w:left w:val="none" w:sz="0" w:space="0" w:color="auto"/>
            <w:bottom w:val="none" w:sz="0" w:space="0" w:color="auto"/>
            <w:right w:val="none" w:sz="0" w:space="0" w:color="auto"/>
          </w:divBdr>
        </w:div>
        <w:div w:id="64423693">
          <w:marLeft w:val="640"/>
          <w:marRight w:val="0"/>
          <w:marTop w:val="0"/>
          <w:marBottom w:val="0"/>
          <w:divBdr>
            <w:top w:val="none" w:sz="0" w:space="0" w:color="auto"/>
            <w:left w:val="none" w:sz="0" w:space="0" w:color="auto"/>
            <w:bottom w:val="none" w:sz="0" w:space="0" w:color="auto"/>
            <w:right w:val="none" w:sz="0" w:space="0" w:color="auto"/>
          </w:divBdr>
        </w:div>
        <w:div w:id="360018102">
          <w:marLeft w:val="640"/>
          <w:marRight w:val="0"/>
          <w:marTop w:val="0"/>
          <w:marBottom w:val="0"/>
          <w:divBdr>
            <w:top w:val="none" w:sz="0" w:space="0" w:color="auto"/>
            <w:left w:val="none" w:sz="0" w:space="0" w:color="auto"/>
            <w:bottom w:val="none" w:sz="0" w:space="0" w:color="auto"/>
            <w:right w:val="none" w:sz="0" w:space="0" w:color="auto"/>
          </w:divBdr>
        </w:div>
        <w:div w:id="2133942713">
          <w:marLeft w:val="640"/>
          <w:marRight w:val="0"/>
          <w:marTop w:val="0"/>
          <w:marBottom w:val="0"/>
          <w:divBdr>
            <w:top w:val="none" w:sz="0" w:space="0" w:color="auto"/>
            <w:left w:val="none" w:sz="0" w:space="0" w:color="auto"/>
            <w:bottom w:val="none" w:sz="0" w:space="0" w:color="auto"/>
            <w:right w:val="none" w:sz="0" w:space="0" w:color="auto"/>
          </w:divBdr>
        </w:div>
        <w:div w:id="2063672846">
          <w:marLeft w:val="640"/>
          <w:marRight w:val="0"/>
          <w:marTop w:val="0"/>
          <w:marBottom w:val="0"/>
          <w:divBdr>
            <w:top w:val="none" w:sz="0" w:space="0" w:color="auto"/>
            <w:left w:val="none" w:sz="0" w:space="0" w:color="auto"/>
            <w:bottom w:val="none" w:sz="0" w:space="0" w:color="auto"/>
            <w:right w:val="none" w:sz="0" w:space="0" w:color="auto"/>
          </w:divBdr>
        </w:div>
        <w:div w:id="489489010">
          <w:marLeft w:val="640"/>
          <w:marRight w:val="0"/>
          <w:marTop w:val="0"/>
          <w:marBottom w:val="0"/>
          <w:divBdr>
            <w:top w:val="none" w:sz="0" w:space="0" w:color="auto"/>
            <w:left w:val="none" w:sz="0" w:space="0" w:color="auto"/>
            <w:bottom w:val="none" w:sz="0" w:space="0" w:color="auto"/>
            <w:right w:val="none" w:sz="0" w:space="0" w:color="auto"/>
          </w:divBdr>
        </w:div>
        <w:div w:id="2123844890">
          <w:marLeft w:val="640"/>
          <w:marRight w:val="0"/>
          <w:marTop w:val="0"/>
          <w:marBottom w:val="0"/>
          <w:divBdr>
            <w:top w:val="none" w:sz="0" w:space="0" w:color="auto"/>
            <w:left w:val="none" w:sz="0" w:space="0" w:color="auto"/>
            <w:bottom w:val="none" w:sz="0" w:space="0" w:color="auto"/>
            <w:right w:val="none" w:sz="0" w:space="0" w:color="auto"/>
          </w:divBdr>
        </w:div>
        <w:div w:id="1693649098">
          <w:marLeft w:val="640"/>
          <w:marRight w:val="0"/>
          <w:marTop w:val="0"/>
          <w:marBottom w:val="0"/>
          <w:divBdr>
            <w:top w:val="none" w:sz="0" w:space="0" w:color="auto"/>
            <w:left w:val="none" w:sz="0" w:space="0" w:color="auto"/>
            <w:bottom w:val="none" w:sz="0" w:space="0" w:color="auto"/>
            <w:right w:val="none" w:sz="0" w:space="0" w:color="auto"/>
          </w:divBdr>
        </w:div>
        <w:div w:id="52657870">
          <w:marLeft w:val="640"/>
          <w:marRight w:val="0"/>
          <w:marTop w:val="0"/>
          <w:marBottom w:val="0"/>
          <w:divBdr>
            <w:top w:val="none" w:sz="0" w:space="0" w:color="auto"/>
            <w:left w:val="none" w:sz="0" w:space="0" w:color="auto"/>
            <w:bottom w:val="none" w:sz="0" w:space="0" w:color="auto"/>
            <w:right w:val="none" w:sz="0" w:space="0" w:color="auto"/>
          </w:divBdr>
        </w:div>
        <w:div w:id="1595047533">
          <w:marLeft w:val="640"/>
          <w:marRight w:val="0"/>
          <w:marTop w:val="0"/>
          <w:marBottom w:val="0"/>
          <w:divBdr>
            <w:top w:val="none" w:sz="0" w:space="0" w:color="auto"/>
            <w:left w:val="none" w:sz="0" w:space="0" w:color="auto"/>
            <w:bottom w:val="none" w:sz="0" w:space="0" w:color="auto"/>
            <w:right w:val="none" w:sz="0" w:space="0" w:color="auto"/>
          </w:divBdr>
        </w:div>
        <w:div w:id="1650787736">
          <w:marLeft w:val="640"/>
          <w:marRight w:val="0"/>
          <w:marTop w:val="0"/>
          <w:marBottom w:val="0"/>
          <w:divBdr>
            <w:top w:val="none" w:sz="0" w:space="0" w:color="auto"/>
            <w:left w:val="none" w:sz="0" w:space="0" w:color="auto"/>
            <w:bottom w:val="none" w:sz="0" w:space="0" w:color="auto"/>
            <w:right w:val="none" w:sz="0" w:space="0" w:color="auto"/>
          </w:divBdr>
        </w:div>
        <w:div w:id="1584608224">
          <w:marLeft w:val="640"/>
          <w:marRight w:val="0"/>
          <w:marTop w:val="0"/>
          <w:marBottom w:val="0"/>
          <w:divBdr>
            <w:top w:val="none" w:sz="0" w:space="0" w:color="auto"/>
            <w:left w:val="none" w:sz="0" w:space="0" w:color="auto"/>
            <w:bottom w:val="none" w:sz="0" w:space="0" w:color="auto"/>
            <w:right w:val="none" w:sz="0" w:space="0" w:color="auto"/>
          </w:divBdr>
        </w:div>
        <w:div w:id="1702590687">
          <w:marLeft w:val="640"/>
          <w:marRight w:val="0"/>
          <w:marTop w:val="0"/>
          <w:marBottom w:val="0"/>
          <w:divBdr>
            <w:top w:val="none" w:sz="0" w:space="0" w:color="auto"/>
            <w:left w:val="none" w:sz="0" w:space="0" w:color="auto"/>
            <w:bottom w:val="none" w:sz="0" w:space="0" w:color="auto"/>
            <w:right w:val="none" w:sz="0" w:space="0" w:color="auto"/>
          </w:divBdr>
        </w:div>
        <w:div w:id="1498420035">
          <w:marLeft w:val="640"/>
          <w:marRight w:val="0"/>
          <w:marTop w:val="0"/>
          <w:marBottom w:val="0"/>
          <w:divBdr>
            <w:top w:val="none" w:sz="0" w:space="0" w:color="auto"/>
            <w:left w:val="none" w:sz="0" w:space="0" w:color="auto"/>
            <w:bottom w:val="none" w:sz="0" w:space="0" w:color="auto"/>
            <w:right w:val="none" w:sz="0" w:space="0" w:color="auto"/>
          </w:divBdr>
        </w:div>
        <w:div w:id="951478339">
          <w:marLeft w:val="640"/>
          <w:marRight w:val="0"/>
          <w:marTop w:val="0"/>
          <w:marBottom w:val="0"/>
          <w:divBdr>
            <w:top w:val="none" w:sz="0" w:space="0" w:color="auto"/>
            <w:left w:val="none" w:sz="0" w:space="0" w:color="auto"/>
            <w:bottom w:val="none" w:sz="0" w:space="0" w:color="auto"/>
            <w:right w:val="none" w:sz="0" w:space="0" w:color="auto"/>
          </w:divBdr>
        </w:div>
        <w:div w:id="537208277">
          <w:marLeft w:val="640"/>
          <w:marRight w:val="0"/>
          <w:marTop w:val="0"/>
          <w:marBottom w:val="0"/>
          <w:divBdr>
            <w:top w:val="none" w:sz="0" w:space="0" w:color="auto"/>
            <w:left w:val="none" w:sz="0" w:space="0" w:color="auto"/>
            <w:bottom w:val="none" w:sz="0" w:space="0" w:color="auto"/>
            <w:right w:val="none" w:sz="0" w:space="0" w:color="auto"/>
          </w:divBdr>
        </w:div>
        <w:div w:id="1068529170">
          <w:marLeft w:val="640"/>
          <w:marRight w:val="0"/>
          <w:marTop w:val="0"/>
          <w:marBottom w:val="0"/>
          <w:divBdr>
            <w:top w:val="none" w:sz="0" w:space="0" w:color="auto"/>
            <w:left w:val="none" w:sz="0" w:space="0" w:color="auto"/>
            <w:bottom w:val="none" w:sz="0" w:space="0" w:color="auto"/>
            <w:right w:val="none" w:sz="0" w:space="0" w:color="auto"/>
          </w:divBdr>
        </w:div>
        <w:div w:id="795678086">
          <w:marLeft w:val="640"/>
          <w:marRight w:val="0"/>
          <w:marTop w:val="0"/>
          <w:marBottom w:val="0"/>
          <w:divBdr>
            <w:top w:val="none" w:sz="0" w:space="0" w:color="auto"/>
            <w:left w:val="none" w:sz="0" w:space="0" w:color="auto"/>
            <w:bottom w:val="none" w:sz="0" w:space="0" w:color="auto"/>
            <w:right w:val="none" w:sz="0" w:space="0" w:color="auto"/>
          </w:divBdr>
        </w:div>
        <w:div w:id="1567689850">
          <w:marLeft w:val="640"/>
          <w:marRight w:val="0"/>
          <w:marTop w:val="0"/>
          <w:marBottom w:val="0"/>
          <w:divBdr>
            <w:top w:val="none" w:sz="0" w:space="0" w:color="auto"/>
            <w:left w:val="none" w:sz="0" w:space="0" w:color="auto"/>
            <w:bottom w:val="none" w:sz="0" w:space="0" w:color="auto"/>
            <w:right w:val="none" w:sz="0" w:space="0" w:color="auto"/>
          </w:divBdr>
        </w:div>
        <w:div w:id="1667392987">
          <w:marLeft w:val="640"/>
          <w:marRight w:val="0"/>
          <w:marTop w:val="0"/>
          <w:marBottom w:val="0"/>
          <w:divBdr>
            <w:top w:val="none" w:sz="0" w:space="0" w:color="auto"/>
            <w:left w:val="none" w:sz="0" w:space="0" w:color="auto"/>
            <w:bottom w:val="none" w:sz="0" w:space="0" w:color="auto"/>
            <w:right w:val="none" w:sz="0" w:space="0" w:color="auto"/>
          </w:divBdr>
        </w:div>
        <w:div w:id="633829616">
          <w:marLeft w:val="640"/>
          <w:marRight w:val="0"/>
          <w:marTop w:val="0"/>
          <w:marBottom w:val="0"/>
          <w:divBdr>
            <w:top w:val="none" w:sz="0" w:space="0" w:color="auto"/>
            <w:left w:val="none" w:sz="0" w:space="0" w:color="auto"/>
            <w:bottom w:val="none" w:sz="0" w:space="0" w:color="auto"/>
            <w:right w:val="none" w:sz="0" w:space="0" w:color="auto"/>
          </w:divBdr>
        </w:div>
        <w:div w:id="721249097">
          <w:marLeft w:val="640"/>
          <w:marRight w:val="0"/>
          <w:marTop w:val="0"/>
          <w:marBottom w:val="0"/>
          <w:divBdr>
            <w:top w:val="none" w:sz="0" w:space="0" w:color="auto"/>
            <w:left w:val="none" w:sz="0" w:space="0" w:color="auto"/>
            <w:bottom w:val="none" w:sz="0" w:space="0" w:color="auto"/>
            <w:right w:val="none" w:sz="0" w:space="0" w:color="auto"/>
          </w:divBdr>
        </w:div>
        <w:div w:id="2088070748">
          <w:marLeft w:val="640"/>
          <w:marRight w:val="0"/>
          <w:marTop w:val="0"/>
          <w:marBottom w:val="0"/>
          <w:divBdr>
            <w:top w:val="none" w:sz="0" w:space="0" w:color="auto"/>
            <w:left w:val="none" w:sz="0" w:space="0" w:color="auto"/>
            <w:bottom w:val="none" w:sz="0" w:space="0" w:color="auto"/>
            <w:right w:val="none" w:sz="0" w:space="0" w:color="auto"/>
          </w:divBdr>
        </w:div>
        <w:div w:id="70011465">
          <w:marLeft w:val="640"/>
          <w:marRight w:val="0"/>
          <w:marTop w:val="0"/>
          <w:marBottom w:val="0"/>
          <w:divBdr>
            <w:top w:val="none" w:sz="0" w:space="0" w:color="auto"/>
            <w:left w:val="none" w:sz="0" w:space="0" w:color="auto"/>
            <w:bottom w:val="none" w:sz="0" w:space="0" w:color="auto"/>
            <w:right w:val="none" w:sz="0" w:space="0" w:color="auto"/>
          </w:divBdr>
        </w:div>
        <w:div w:id="648287595">
          <w:marLeft w:val="640"/>
          <w:marRight w:val="0"/>
          <w:marTop w:val="0"/>
          <w:marBottom w:val="0"/>
          <w:divBdr>
            <w:top w:val="none" w:sz="0" w:space="0" w:color="auto"/>
            <w:left w:val="none" w:sz="0" w:space="0" w:color="auto"/>
            <w:bottom w:val="none" w:sz="0" w:space="0" w:color="auto"/>
            <w:right w:val="none" w:sz="0" w:space="0" w:color="auto"/>
          </w:divBdr>
        </w:div>
        <w:div w:id="2005084048">
          <w:marLeft w:val="640"/>
          <w:marRight w:val="0"/>
          <w:marTop w:val="0"/>
          <w:marBottom w:val="0"/>
          <w:divBdr>
            <w:top w:val="none" w:sz="0" w:space="0" w:color="auto"/>
            <w:left w:val="none" w:sz="0" w:space="0" w:color="auto"/>
            <w:bottom w:val="none" w:sz="0" w:space="0" w:color="auto"/>
            <w:right w:val="none" w:sz="0" w:space="0" w:color="auto"/>
          </w:divBdr>
        </w:div>
        <w:div w:id="1928809979">
          <w:marLeft w:val="640"/>
          <w:marRight w:val="0"/>
          <w:marTop w:val="0"/>
          <w:marBottom w:val="0"/>
          <w:divBdr>
            <w:top w:val="none" w:sz="0" w:space="0" w:color="auto"/>
            <w:left w:val="none" w:sz="0" w:space="0" w:color="auto"/>
            <w:bottom w:val="none" w:sz="0" w:space="0" w:color="auto"/>
            <w:right w:val="none" w:sz="0" w:space="0" w:color="auto"/>
          </w:divBdr>
        </w:div>
        <w:div w:id="1584148193">
          <w:marLeft w:val="640"/>
          <w:marRight w:val="0"/>
          <w:marTop w:val="0"/>
          <w:marBottom w:val="0"/>
          <w:divBdr>
            <w:top w:val="none" w:sz="0" w:space="0" w:color="auto"/>
            <w:left w:val="none" w:sz="0" w:space="0" w:color="auto"/>
            <w:bottom w:val="none" w:sz="0" w:space="0" w:color="auto"/>
            <w:right w:val="none" w:sz="0" w:space="0" w:color="auto"/>
          </w:divBdr>
        </w:div>
        <w:div w:id="688064724">
          <w:marLeft w:val="640"/>
          <w:marRight w:val="0"/>
          <w:marTop w:val="0"/>
          <w:marBottom w:val="0"/>
          <w:divBdr>
            <w:top w:val="none" w:sz="0" w:space="0" w:color="auto"/>
            <w:left w:val="none" w:sz="0" w:space="0" w:color="auto"/>
            <w:bottom w:val="none" w:sz="0" w:space="0" w:color="auto"/>
            <w:right w:val="none" w:sz="0" w:space="0" w:color="auto"/>
          </w:divBdr>
        </w:div>
        <w:div w:id="276644492">
          <w:marLeft w:val="640"/>
          <w:marRight w:val="0"/>
          <w:marTop w:val="0"/>
          <w:marBottom w:val="0"/>
          <w:divBdr>
            <w:top w:val="none" w:sz="0" w:space="0" w:color="auto"/>
            <w:left w:val="none" w:sz="0" w:space="0" w:color="auto"/>
            <w:bottom w:val="none" w:sz="0" w:space="0" w:color="auto"/>
            <w:right w:val="none" w:sz="0" w:space="0" w:color="auto"/>
          </w:divBdr>
        </w:div>
        <w:div w:id="386301132">
          <w:marLeft w:val="640"/>
          <w:marRight w:val="0"/>
          <w:marTop w:val="0"/>
          <w:marBottom w:val="0"/>
          <w:divBdr>
            <w:top w:val="none" w:sz="0" w:space="0" w:color="auto"/>
            <w:left w:val="none" w:sz="0" w:space="0" w:color="auto"/>
            <w:bottom w:val="none" w:sz="0" w:space="0" w:color="auto"/>
            <w:right w:val="none" w:sz="0" w:space="0" w:color="auto"/>
          </w:divBdr>
        </w:div>
        <w:div w:id="1109197175">
          <w:marLeft w:val="640"/>
          <w:marRight w:val="0"/>
          <w:marTop w:val="0"/>
          <w:marBottom w:val="0"/>
          <w:divBdr>
            <w:top w:val="none" w:sz="0" w:space="0" w:color="auto"/>
            <w:left w:val="none" w:sz="0" w:space="0" w:color="auto"/>
            <w:bottom w:val="none" w:sz="0" w:space="0" w:color="auto"/>
            <w:right w:val="none" w:sz="0" w:space="0" w:color="auto"/>
          </w:divBdr>
        </w:div>
        <w:div w:id="1985622440">
          <w:marLeft w:val="640"/>
          <w:marRight w:val="0"/>
          <w:marTop w:val="0"/>
          <w:marBottom w:val="0"/>
          <w:divBdr>
            <w:top w:val="none" w:sz="0" w:space="0" w:color="auto"/>
            <w:left w:val="none" w:sz="0" w:space="0" w:color="auto"/>
            <w:bottom w:val="none" w:sz="0" w:space="0" w:color="auto"/>
            <w:right w:val="none" w:sz="0" w:space="0" w:color="auto"/>
          </w:divBdr>
        </w:div>
        <w:div w:id="1058627374">
          <w:marLeft w:val="640"/>
          <w:marRight w:val="0"/>
          <w:marTop w:val="0"/>
          <w:marBottom w:val="0"/>
          <w:divBdr>
            <w:top w:val="none" w:sz="0" w:space="0" w:color="auto"/>
            <w:left w:val="none" w:sz="0" w:space="0" w:color="auto"/>
            <w:bottom w:val="none" w:sz="0" w:space="0" w:color="auto"/>
            <w:right w:val="none" w:sz="0" w:space="0" w:color="auto"/>
          </w:divBdr>
        </w:div>
        <w:div w:id="1116826380">
          <w:marLeft w:val="640"/>
          <w:marRight w:val="0"/>
          <w:marTop w:val="0"/>
          <w:marBottom w:val="0"/>
          <w:divBdr>
            <w:top w:val="none" w:sz="0" w:space="0" w:color="auto"/>
            <w:left w:val="none" w:sz="0" w:space="0" w:color="auto"/>
            <w:bottom w:val="none" w:sz="0" w:space="0" w:color="auto"/>
            <w:right w:val="none" w:sz="0" w:space="0" w:color="auto"/>
          </w:divBdr>
        </w:div>
        <w:div w:id="1198852734">
          <w:marLeft w:val="640"/>
          <w:marRight w:val="0"/>
          <w:marTop w:val="0"/>
          <w:marBottom w:val="0"/>
          <w:divBdr>
            <w:top w:val="none" w:sz="0" w:space="0" w:color="auto"/>
            <w:left w:val="none" w:sz="0" w:space="0" w:color="auto"/>
            <w:bottom w:val="none" w:sz="0" w:space="0" w:color="auto"/>
            <w:right w:val="none" w:sz="0" w:space="0" w:color="auto"/>
          </w:divBdr>
        </w:div>
        <w:div w:id="1852448264">
          <w:marLeft w:val="640"/>
          <w:marRight w:val="0"/>
          <w:marTop w:val="0"/>
          <w:marBottom w:val="0"/>
          <w:divBdr>
            <w:top w:val="none" w:sz="0" w:space="0" w:color="auto"/>
            <w:left w:val="none" w:sz="0" w:space="0" w:color="auto"/>
            <w:bottom w:val="none" w:sz="0" w:space="0" w:color="auto"/>
            <w:right w:val="none" w:sz="0" w:space="0" w:color="auto"/>
          </w:divBdr>
        </w:div>
        <w:div w:id="2050299126">
          <w:marLeft w:val="640"/>
          <w:marRight w:val="0"/>
          <w:marTop w:val="0"/>
          <w:marBottom w:val="0"/>
          <w:divBdr>
            <w:top w:val="none" w:sz="0" w:space="0" w:color="auto"/>
            <w:left w:val="none" w:sz="0" w:space="0" w:color="auto"/>
            <w:bottom w:val="none" w:sz="0" w:space="0" w:color="auto"/>
            <w:right w:val="none" w:sz="0" w:space="0" w:color="auto"/>
          </w:divBdr>
        </w:div>
        <w:div w:id="1112166699">
          <w:marLeft w:val="640"/>
          <w:marRight w:val="0"/>
          <w:marTop w:val="0"/>
          <w:marBottom w:val="0"/>
          <w:divBdr>
            <w:top w:val="none" w:sz="0" w:space="0" w:color="auto"/>
            <w:left w:val="none" w:sz="0" w:space="0" w:color="auto"/>
            <w:bottom w:val="none" w:sz="0" w:space="0" w:color="auto"/>
            <w:right w:val="none" w:sz="0" w:space="0" w:color="auto"/>
          </w:divBdr>
        </w:div>
        <w:div w:id="2097247571">
          <w:marLeft w:val="640"/>
          <w:marRight w:val="0"/>
          <w:marTop w:val="0"/>
          <w:marBottom w:val="0"/>
          <w:divBdr>
            <w:top w:val="none" w:sz="0" w:space="0" w:color="auto"/>
            <w:left w:val="none" w:sz="0" w:space="0" w:color="auto"/>
            <w:bottom w:val="none" w:sz="0" w:space="0" w:color="auto"/>
            <w:right w:val="none" w:sz="0" w:space="0" w:color="auto"/>
          </w:divBdr>
        </w:div>
        <w:div w:id="1381320710">
          <w:marLeft w:val="640"/>
          <w:marRight w:val="0"/>
          <w:marTop w:val="0"/>
          <w:marBottom w:val="0"/>
          <w:divBdr>
            <w:top w:val="none" w:sz="0" w:space="0" w:color="auto"/>
            <w:left w:val="none" w:sz="0" w:space="0" w:color="auto"/>
            <w:bottom w:val="none" w:sz="0" w:space="0" w:color="auto"/>
            <w:right w:val="none" w:sz="0" w:space="0" w:color="auto"/>
          </w:divBdr>
        </w:div>
        <w:div w:id="951866514">
          <w:marLeft w:val="640"/>
          <w:marRight w:val="0"/>
          <w:marTop w:val="0"/>
          <w:marBottom w:val="0"/>
          <w:divBdr>
            <w:top w:val="none" w:sz="0" w:space="0" w:color="auto"/>
            <w:left w:val="none" w:sz="0" w:space="0" w:color="auto"/>
            <w:bottom w:val="none" w:sz="0" w:space="0" w:color="auto"/>
            <w:right w:val="none" w:sz="0" w:space="0" w:color="auto"/>
          </w:divBdr>
        </w:div>
        <w:div w:id="696739980">
          <w:marLeft w:val="640"/>
          <w:marRight w:val="0"/>
          <w:marTop w:val="0"/>
          <w:marBottom w:val="0"/>
          <w:divBdr>
            <w:top w:val="none" w:sz="0" w:space="0" w:color="auto"/>
            <w:left w:val="none" w:sz="0" w:space="0" w:color="auto"/>
            <w:bottom w:val="none" w:sz="0" w:space="0" w:color="auto"/>
            <w:right w:val="none" w:sz="0" w:space="0" w:color="auto"/>
          </w:divBdr>
        </w:div>
        <w:div w:id="1525170726">
          <w:marLeft w:val="640"/>
          <w:marRight w:val="0"/>
          <w:marTop w:val="0"/>
          <w:marBottom w:val="0"/>
          <w:divBdr>
            <w:top w:val="none" w:sz="0" w:space="0" w:color="auto"/>
            <w:left w:val="none" w:sz="0" w:space="0" w:color="auto"/>
            <w:bottom w:val="none" w:sz="0" w:space="0" w:color="auto"/>
            <w:right w:val="none" w:sz="0" w:space="0" w:color="auto"/>
          </w:divBdr>
        </w:div>
        <w:div w:id="1560822255">
          <w:marLeft w:val="640"/>
          <w:marRight w:val="0"/>
          <w:marTop w:val="0"/>
          <w:marBottom w:val="0"/>
          <w:divBdr>
            <w:top w:val="none" w:sz="0" w:space="0" w:color="auto"/>
            <w:left w:val="none" w:sz="0" w:space="0" w:color="auto"/>
            <w:bottom w:val="none" w:sz="0" w:space="0" w:color="auto"/>
            <w:right w:val="none" w:sz="0" w:space="0" w:color="auto"/>
          </w:divBdr>
        </w:div>
        <w:div w:id="1082293764">
          <w:marLeft w:val="640"/>
          <w:marRight w:val="0"/>
          <w:marTop w:val="0"/>
          <w:marBottom w:val="0"/>
          <w:divBdr>
            <w:top w:val="none" w:sz="0" w:space="0" w:color="auto"/>
            <w:left w:val="none" w:sz="0" w:space="0" w:color="auto"/>
            <w:bottom w:val="none" w:sz="0" w:space="0" w:color="auto"/>
            <w:right w:val="none" w:sz="0" w:space="0" w:color="auto"/>
          </w:divBdr>
        </w:div>
        <w:div w:id="2094007433">
          <w:marLeft w:val="640"/>
          <w:marRight w:val="0"/>
          <w:marTop w:val="0"/>
          <w:marBottom w:val="0"/>
          <w:divBdr>
            <w:top w:val="none" w:sz="0" w:space="0" w:color="auto"/>
            <w:left w:val="none" w:sz="0" w:space="0" w:color="auto"/>
            <w:bottom w:val="none" w:sz="0" w:space="0" w:color="auto"/>
            <w:right w:val="none" w:sz="0" w:space="0" w:color="auto"/>
          </w:divBdr>
        </w:div>
        <w:div w:id="1534801891">
          <w:marLeft w:val="640"/>
          <w:marRight w:val="0"/>
          <w:marTop w:val="0"/>
          <w:marBottom w:val="0"/>
          <w:divBdr>
            <w:top w:val="none" w:sz="0" w:space="0" w:color="auto"/>
            <w:left w:val="none" w:sz="0" w:space="0" w:color="auto"/>
            <w:bottom w:val="none" w:sz="0" w:space="0" w:color="auto"/>
            <w:right w:val="none" w:sz="0" w:space="0" w:color="auto"/>
          </w:divBdr>
        </w:div>
        <w:div w:id="650795370">
          <w:marLeft w:val="640"/>
          <w:marRight w:val="0"/>
          <w:marTop w:val="0"/>
          <w:marBottom w:val="0"/>
          <w:divBdr>
            <w:top w:val="none" w:sz="0" w:space="0" w:color="auto"/>
            <w:left w:val="none" w:sz="0" w:space="0" w:color="auto"/>
            <w:bottom w:val="none" w:sz="0" w:space="0" w:color="auto"/>
            <w:right w:val="none" w:sz="0" w:space="0" w:color="auto"/>
          </w:divBdr>
        </w:div>
        <w:div w:id="1825320945">
          <w:marLeft w:val="640"/>
          <w:marRight w:val="0"/>
          <w:marTop w:val="0"/>
          <w:marBottom w:val="0"/>
          <w:divBdr>
            <w:top w:val="none" w:sz="0" w:space="0" w:color="auto"/>
            <w:left w:val="none" w:sz="0" w:space="0" w:color="auto"/>
            <w:bottom w:val="none" w:sz="0" w:space="0" w:color="auto"/>
            <w:right w:val="none" w:sz="0" w:space="0" w:color="auto"/>
          </w:divBdr>
        </w:div>
        <w:div w:id="1268466467">
          <w:marLeft w:val="640"/>
          <w:marRight w:val="0"/>
          <w:marTop w:val="0"/>
          <w:marBottom w:val="0"/>
          <w:divBdr>
            <w:top w:val="none" w:sz="0" w:space="0" w:color="auto"/>
            <w:left w:val="none" w:sz="0" w:space="0" w:color="auto"/>
            <w:bottom w:val="none" w:sz="0" w:space="0" w:color="auto"/>
            <w:right w:val="none" w:sz="0" w:space="0" w:color="auto"/>
          </w:divBdr>
        </w:div>
        <w:div w:id="300624586">
          <w:marLeft w:val="640"/>
          <w:marRight w:val="0"/>
          <w:marTop w:val="0"/>
          <w:marBottom w:val="0"/>
          <w:divBdr>
            <w:top w:val="none" w:sz="0" w:space="0" w:color="auto"/>
            <w:left w:val="none" w:sz="0" w:space="0" w:color="auto"/>
            <w:bottom w:val="none" w:sz="0" w:space="0" w:color="auto"/>
            <w:right w:val="none" w:sz="0" w:space="0" w:color="auto"/>
          </w:divBdr>
        </w:div>
        <w:div w:id="873926379">
          <w:marLeft w:val="640"/>
          <w:marRight w:val="0"/>
          <w:marTop w:val="0"/>
          <w:marBottom w:val="0"/>
          <w:divBdr>
            <w:top w:val="none" w:sz="0" w:space="0" w:color="auto"/>
            <w:left w:val="none" w:sz="0" w:space="0" w:color="auto"/>
            <w:bottom w:val="none" w:sz="0" w:space="0" w:color="auto"/>
            <w:right w:val="none" w:sz="0" w:space="0" w:color="auto"/>
          </w:divBdr>
        </w:div>
        <w:div w:id="912206836">
          <w:marLeft w:val="640"/>
          <w:marRight w:val="0"/>
          <w:marTop w:val="0"/>
          <w:marBottom w:val="0"/>
          <w:divBdr>
            <w:top w:val="none" w:sz="0" w:space="0" w:color="auto"/>
            <w:left w:val="none" w:sz="0" w:space="0" w:color="auto"/>
            <w:bottom w:val="none" w:sz="0" w:space="0" w:color="auto"/>
            <w:right w:val="none" w:sz="0" w:space="0" w:color="auto"/>
          </w:divBdr>
        </w:div>
        <w:div w:id="614095999">
          <w:marLeft w:val="640"/>
          <w:marRight w:val="0"/>
          <w:marTop w:val="0"/>
          <w:marBottom w:val="0"/>
          <w:divBdr>
            <w:top w:val="none" w:sz="0" w:space="0" w:color="auto"/>
            <w:left w:val="none" w:sz="0" w:space="0" w:color="auto"/>
            <w:bottom w:val="none" w:sz="0" w:space="0" w:color="auto"/>
            <w:right w:val="none" w:sz="0" w:space="0" w:color="auto"/>
          </w:divBdr>
        </w:div>
        <w:div w:id="716202878">
          <w:marLeft w:val="640"/>
          <w:marRight w:val="0"/>
          <w:marTop w:val="0"/>
          <w:marBottom w:val="0"/>
          <w:divBdr>
            <w:top w:val="none" w:sz="0" w:space="0" w:color="auto"/>
            <w:left w:val="none" w:sz="0" w:space="0" w:color="auto"/>
            <w:bottom w:val="none" w:sz="0" w:space="0" w:color="auto"/>
            <w:right w:val="none" w:sz="0" w:space="0" w:color="auto"/>
          </w:divBdr>
        </w:div>
        <w:div w:id="991564496">
          <w:marLeft w:val="640"/>
          <w:marRight w:val="0"/>
          <w:marTop w:val="0"/>
          <w:marBottom w:val="0"/>
          <w:divBdr>
            <w:top w:val="none" w:sz="0" w:space="0" w:color="auto"/>
            <w:left w:val="none" w:sz="0" w:space="0" w:color="auto"/>
            <w:bottom w:val="none" w:sz="0" w:space="0" w:color="auto"/>
            <w:right w:val="none" w:sz="0" w:space="0" w:color="auto"/>
          </w:divBdr>
        </w:div>
        <w:div w:id="1057431023">
          <w:marLeft w:val="640"/>
          <w:marRight w:val="0"/>
          <w:marTop w:val="0"/>
          <w:marBottom w:val="0"/>
          <w:divBdr>
            <w:top w:val="none" w:sz="0" w:space="0" w:color="auto"/>
            <w:left w:val="none" w:sz="0" w:space="0" w:color="auto"/>
            <w:bottom w:val="none" w:sz="0" w:space="0" w:color="auto"/>
            <w:right w:val="none" w:sz="0" w:space="0" w:color="auto"/>
          </w:divBdr>
        </w:div>
        <w:div w:id="2046633850">
          <w:marLeft w:val="640"/>
          <w:marRight w:val="0"/>
          <w:marTop w:val="0"/>
          <w:marBottom w:val="0"/>
          <w:divBdr>
            <w:top w:val="none" w:sz="0" w:space="0" w:color="auto"/>
            <w:left w:val="none" w:sz="0" w:space="0" w:color="auto"/>
            <w:bottom w:val="none" w:sz="0" w:space="0" w:color="auto"/>
            <w:right w:val="none" w:sz="0" w:space="0" w:color="auto"/>
          </w:divBdr>
        </w:div>
        <w:div w:id="1229077001">
          <w:marLeft w:val="640"/>
          <w:marRight w:val="0"/>
          <w:marTop w:val="0"/>
          <w:marBottom w:val="0"/>
          <w:divBdr>
            <w:top w:val="none" w:sz="0" w:space="0" w:color="auto"/>
            <w:left w:val="none" w:sz="0" w:space="0" w:color="auto"/>
            <w:bottom w:val="none" w:sz="0" w:space="0" w:color="auto"/>
            <w:right w:val="none" w:sz="0" w:space="0" w:color="auto"/>
          </w:divBdr>
        </w:div>
        <w:div w:id="1393578911">
          <w:marLeft w:val="640"/>
          <w:marRight w:val="0"/>
          <w:marTop w:val="0"/>
          <w:marBottom w:val="0"/>
          <w:divBdr>
            <w:top w:val="none" w:sz="0" w:space="0" w:color="auto"/>
            <w:left w:val="none" w:sz="0" w:space="0" w:color="auto"/>
            <w:bottom w:val="none" w:sz="0" w:space="0" w:color="auto"/>
            <w:right w:val="none" w:sz="0" w:space="0" w:color="auto"/>
          </w:divBdr>
        </w:div>
        <w:div w:id="813334491">
          <w:marLeft w:val="640"/>
          <w:marRight w:val="0"/>
          <w:marTop w:val="0"/>
          <w:marBottom w:val="0"/>
          <w:divBdr>
            <w:top w:val="none" w:sz="0" w:space="0" w:color="auto"/>
            <w:left w:val="none" w:sz="0" w:space="0" w:color="auto"/>
            <w:bottom w:val="none" w:sz="0" w:space="0" w:color="auto"/>
            <w:right w:val="none" w:sz="0" w:space="0" w:color="auto"/>
          </w:divBdr>
        </w:div>
        <w:div w:id="1483693420">
          <w:marLeft w:val="640"/>
          <w:marRight w:val="0"/>
          <w:marTop w:val="0"/>
          <w:marBottom w:val="0"/>
          <w:divBdr>
            <w:top w:val="none" w:sz="0" w:space="0" w:color="auto"/>
            <w:left w:val="none" w:sz="0" w:space="0" w:color="auto"/>
            <w:bottom w:val="none" w:sz="0" w:space="0" w:color="auto"/>
            <w:right w:val="none" w:sz="0" w:space="0" w:color="auto"/>
          </w:divBdr>
        </w:div>
        <w:div w:id="490604681">
          <w:marLeft w:val="640"/>
          <w:marRight w:val="0"/>
          <w:marTop w:val="0"/>
          <w:marBottom w:val="0"/>
          <w:divBdr>
            <w:top w:val="none" w:sz="0" w:space="0" w:color="auto"/>
            <w:left w:val="none" w:sz="0" w:space="0" w:color="auto"/>
            <w:bottom w:val="none" w:sz="0" w:space="0" w:color="auto"/>
            <w:right w:val="none" w:sz="0" w:space="0" w:color="auto"/>
          </w:divBdr>
        </w:div>
        <w:div w:id="97604375">
          <w:marLeft w:val="640"/>
          <w:marRight w:val="0"/>
          <w:marTop w:val="0"/>
          <w:marBottom w:val="0"/>
          <w:divBdr>
            <w:top w:val="none" w:sz="0" w:space="0" w:color="auto"/>
            <w:left w:val="none" w:sz="0" w:space="0" w:color="auto"/>
            <w:bottom w:val="none" w:sz="0" w:space="0" w:color="auto"/>
            <w:right w:val="none" w:sz="0" w:space="0" w:color="auto"/>
          </w:divBdr>
        </w:div>
        <w:div w:id="110979601">
          <w:marLeft w:val="640"/>
          <w:marRight w:val="0"/>
          <w:marTop w:val="0"/>
          <w:marBottom w:val="0"/>
          <w:divBdr>
            <w:top w:val="none" w:sz="0" w:space="0" w:color="auto"/>
            <w:left w:val="none" w:sz="0" w:space="0" w:color="auto"/>
            <w:bottom w:val="none" w:sz="0" w:space="0" w:color="auto"/>
            <w:right w:val="none" w:sz="0" w:space="0" w:color="auto"/>
          </w:divBdr>
        </w:div>
        <w:div w:id="959459157">
          <w:marLeft w:val="640"/>
          <w:marRight w:val="0"/>
          <w:marTop w:val="0"/>
          <w:marBottom w:val="0"/>
          <w:divBdr>
            <w:top w:val="none" w:sz="0" w:space="0" w:color="auto"/>
            <w:left w:val="none" w:sz="0" w:space="0" w:color="auto"/>
            <w:bottom w:val="none" w:sz="0" w:space="0" w:color="auto"/>
            <w:right w:val="none" w:sz="0" w:space="0" w:color="auto"/>
          </w:divBdr>
        </w:div>
        <w:div w:id="613946850">
          <w:marLeft w:val="640"/>
          <w:marRight w:val="0"/>
          <w:marTop w:val="0"/>
          <w:marBottom w:val="0"/>
          <w:divBdr>
            <w:top w:val="none" w:sz="0" w:space="0" w:color="auto"/>
            <w:left w:val="none" w:sz="0" w:space="0" w:color="auto"/>
            <w:bottom w:val="none" w:sz="0" w:space="0" w:color="auto"/>
            <w:right w:val="none" w:sz="0" w:space="0" w:color="auto"/>
          </w:divBdr>
        </w:div>
        <w:div w:id="1214922702">
          <w:marLeft w:val="640"/>
          <w:marRight w:val="0"/>
          <w:marTop w:val="0"/>
          <w:marBottom w:val="0"/>
          <w:divBdr>
            <w:top w:val="none" w:sz="0" w:space="0" w:color="auto"/>
            <w:left w:val="none" w:sz="0" w:space="0" w:color="auto"/>
            <w:bottom w:val="none" w:sz="0" w:space="0" w:color="auto"/>
            <w:right w:val="none" w:sz="0" w:space="0" w:color="auto"/>
          </w:divBdr>
        </w:div>
        <w:div w:id="2091655746">
          <w:marLeft w:val="640"/>
          <w:marRight w:val="0"/>
          <w:marTop w:val="0"/>
          <w:marBottom w:val="0"/>
          <w:divBdr>
            <w:top w:val="none" w:sz="0" w:space="0" w:color="auto"/>
            <w:left w:val="none" w:sz="0" w:space="0" w:color="auto"/>
            <w:bottom w:val="none" w:sz="0" w:space="0" w:color="auto"/>
            <w:right w:val="none" w:sz="0" w:space="0" w:color="auto"/>
          </w:divBdr>
        </w:div>
        <w:div w:id="721490139">
          <w:marLeft w:val="640"/>
          <w:marRight w:val="0"/>
          <w:marTop w:val="0"/>
          <w:marBottom w:val="0"/>
          <w:divBdr>
            <w:top w:val="none" w:sz="0" w:space="0" w:color="auto"/>
            <w:left w:val="none" w:sz="0" w:space="0" w:color="auto"/>
            <w:bottom w:val="none" w:sz="0" w:space="0" w:color="auto"/>
            <w:right w:val="none" w:sz="0" w:space="0" w:color="auto"/>
          </w:divBdr>
        </w:div>
        <w:div w:id="322585792">
          <w:marLeft w:val="640"/>
          <w:marRight w:val="0"/>
          <w:marTop w:val="0"/>
          <w:marBottom w:val="0"/>
          <w:divBdr>
            <w:top w:val="none" w:sz="0" w:space="0" w:color="auto"/>
            <w:left w:val="none" w:sz="0" w:space="0" w:color="auto"/>
            <w:bottom w:val="none" w:sz="0" w:space="0" w:color="auto"/>
            <w:right w:val="none" w:sz="0" w:space="0" w:color="auto"/>
          </w:divBdr>
        </w:div>
        <w:div w:id="1947732206">
          <w:marLeft w:val="640"/>
          <w:marRight w:val="0"/>
          <w:marTop w:val="0"/>
          <w:marBottom w:val="0"/>
          <w:divBdr>
            <w:top w:val="none" w:sz="0" w:space="0" w:color="auto"/>
            <w:left w:val="none" w:sz="0" w:space="0" w:color="auto"/>
            <w:bottom w:val="none" w:sz="0" w:space="0" w:color="auto"/>
            <w:right w:val="none" w:sz="0" w:space="0" w:color="auto"/>
          </w:divBdr>
        </w:div>
        <w:div w:id="506595668">
          <w:marLeft w:val="640"/>
          <w:marRight w:val="0"/>
          <w:marTop w:val="0"/>
          <w:marBottom w:val="0"/>
          <w:divBdr>
            <w:top w:val="none" w:sz="0" w:space="0" w:color="auto"/>
            <w:left w:val="none" w:sz="0" w:space="0" w:color="auto"/>
            <w:bottom w:val="none" w:sz="0" w:space="0" w:color="auto"/>
            <w:right w:val="none" w:sz="0" w:space="0" w:color="auto"/>
          </w:divBdr>
        </w:div>
        <w:div w:id="1376006138">
          <w:marLeft w:val="640"/>
          <w:marRight w:val="0"/>
          <w:marTop w:val="0"/>
          <w:marBottom w:val="0"/>
          <w:divBdr>
            <w:top w:val="none" w:sz="0" w:space="0" w:color="auto"/>
            <w:left w:val="none" w:sz="0" w:space="0" w:color="auto"/>
            <w:bottom w:val="none" w:sz="0" w:space="0" w:color="auto"/>
            <w:right w:val="none" w:sz="0" w:space="0" w:color="auto"/>
          </w:divBdr>
        </w:div>
        <w:div w:id="2109696019">
          <w:marLeft w:val="640"/>
          <w:marRight w:val="0"/>
          <w:marTop w:val="0"/>
          <w:marBottom w:val="0"/>
          <w:divBdr>
            <w:top w:val="none" w:sz="0" w:space="0" w:color="auto"/>
            <w:left w:val="none" w:sz="0" w:space="0" w:color="auto"/>
            <w:bottom w:val="none" w:sz="0" w:space="0" w:color="auto"/>
            <w:right w:val="none" w:sz="0" w:space="0" w:color="auto"/>
          </w:divBdr>
        </w:div>
        <w:div w:id="1331063584">
          <w:marLeft w:val="640"/>
          <w:marRight w:val="0"/>
          <w:marTop w:val="0"/>
          <w:marBottom w:val="0"/>
          <w:divBdr>
            <w:top w:val="none" w:sz="0" w:space="0" w:color="auto"/>
            <w:left w:val="none" w:sz="0" w:space="0" w:color="auto"/>
            <w:bottom w:val="none" w:sz="0" w:space="0" w:color="auto"/>
            <w:right w:val="none" w:sz="0" w:space="0" w:color="auto"/>
          </w:divBdr>
        </w:div>
        <w:div w:id="486821044">
          <w:marLeft w:val="640"/>
          <w:marRight w:val="0"/>
          <w:marTop w:val="0"/>
          <w:marBottom w:val="0"/>
          <w:divBdr>
            <w:top w:val="none" w:sz="0" w:space="0" w:color="auto"/>
            <w:left w:val="none" w:sz="0" w:space="0" w:color="auto"/>
            <w:bottom w:val="none" w:sz="0" w:space="0" w:color="auto"/>
            <w:right w:val="none" w:sz="0" w:space="0" w:color="auto"/>
          </w:divBdr>
        </w:div>
        <w:div w:id="777676190">
          <w:marLeft w:val="640"/>
          <w:marRight w:val="0"/>
          <w:marTop w:val="0"/>
          <w:marBottom w:val="0"/>
          <w:divBdr>
            <w:top w:val="none" w:sz="0" w:space="0" w:color="auto"/>
            <w:left w:val="none" w:sz="0" w:space="0" w:color="auto"/>
            <w:bottom w:val="none" w:sz="0" w:space="0" w:color="auto"/>
            <w:right w:val="none" w:sz="0" w:space="0" w:color="auto"/>
          </w:divBdr>
        </w:div>
        <w:div w:id="380717138">
          <w:marLeft w:val="640"/>
          <w:marRight w:val="0"/>
          <w:marTop w:val="0"/>
          <w:marBottom w:val="0"/>
          <w:divBdr>
            <w:top w:val="none" w:sz="0" w:space="0" w:color="auto"/>
            <w:left w:val="none" w:sz="0" w:space="0" w:color="auto"/>
            <w:bottom w:val="none" w:sz="0" w:space="0" w:color="auto"/>
            <w:right w:val="none" w:sz="0" w:space="0" w:color="auto"/>
          </w:divBdr>
        </w:div>
        <w:div w:id="1885561040">
          <w:marLeft w:val="640"/>
          <w:marRight w:val="0"/>
          <w:marTop w:val="0"/>
          <w:marBottom w:val="0"/>
          <w:divBdr>
            <w:top w:val="none" w:sz="0" w:space="0" w:color="auto"/>
            <w:left w:val="none" w:sz="0" w:space="0" w:color="auto"/>
            <w:bottom w:val="none" w:sz="0" w:space="0" w:color="auto"/>
            <w:right w:val="none" w:sz="0" w:space="0" w:color="auto"/>
          </w:divBdr>
        </w:div>
        <w:div w:id="84035306">
          <w:marLeft w:val="640"/>
          <w:marRight w:val="0"/>
          <w:marTop w:val="0"/>
          <w:marBottom w:val="0"/>
          <w:divBdr>
            <w:top w:val="none" w:sz="0" w:space="0" w:color="auto"/>
            <w:left w:val="none" w:sz="0" w:space="0" w:color="auto"/>
            <w:bottom w:val="none" w:sz="0" w:space="0" w:color="auto"/>
            <w:right w:val="none" w:sz="0" w:space="0" w:color="auto"/>
          </w:divBdr>
        </w:div>
        <w:div w:id="564267346">
          <w:marLeft w:val="640"/>
          <w:marRight w:val="0"/>
          <w:marTop w:val="0"/>
          <w:marBottom w:val="0"/>
          <w:divBdr>
            <w:top w:val="none" w:sz="0" w:space="0" w:color="auto"/>
            <w:left w:val="none" w:sz="0" w:space="0" w:color="auto"/>
            <w:bottom w:val="none" w:sz="0" w:space="0" w:color="auto"/>
            <w:right w:val="none" w:sz="0" w:space="0" w:color="auto"/>
          </w:divBdr>
        </w:div>
        <w:div w:id="5330235">
          <w:marLeft w:val="640"/>
          <w:marRight w:val="0"/>
          <w:marTop w:val="0"/>
          <w:marBottom w:val="0"/>
          <w:divBdr>
            <w:top w:val="none" w:sz="0" w:space="0" w:color="auto"/>
            <w:left w:val="none" w:sz="0" w:space="0" w:color="auto"/>
            <w:bottom w:val="none" w:sz="0" w:space="0" w:color="auto"/>
            <w:right w:val="none" w:sz="0" w:space="0" w:color="auto"/>
          </w:divBdr>
        </w:div>
        <w:div w:id="1830098905">
          <w:marLeft w:val="640"/>
          <w:marRight w:val="0"/>
          <w:marTop w:val="0"/>
          <w:marBottom w:val="0"/>
          <w:divBdr>
            <w:top w:val="none" w:sz="0" w:space="0" w:color="auto"/>
            <w:left w:val="none" w:sz="0" w:space="0" w:color="auto"/>
            <w:bottom w:val="none" w:sz="0" w:space="0" w:color="auto"/>
            <w:right w:val="none" w:sz="0" w:space="0" w:color="auto"/>
          </w:divBdr>
        </w:div>
        <w:div w:id="1134787678">
          <w:marLeft w:val="640"/>
          <w:marRight w:val="0"/>
          <w:marTop w:val="0"/>
          <w:marBottom w:val="0"/>
          <w:divBdr>
            <w:top w:val="none" w:sz="0" w:space="0" w:color="auto"/>
            <w:left w:val="none" w:sz="0" w:space="0" w:color="auto"/>
            <w:bottom w:val="none" w:sz="0" w:space="0" w:color="auto"/>
            <w:right w:val="none" w:sz="0" w:space="0" w:color="auto"/>
          </w:divBdr>
        </w:div>
        <w:div w:id="2123572392">
          <w:marLeft w:val="640"/>
          <w:marRight w:val="0"/>
          <w:marTop w:val="0"/>
          <w:marBottom w:val="0"/>
          <w:divBdr>
            <w:top w:val="none" w:sz="0" w:space="0" w:color="auto"/>
            <w:left w:val="none" w:sz="0" w:space="0" w:color="auto"/>
            <w:bottom w:val="none" w:sz="0" w:space="0" w:color="auto"/>
            <w:right w:val="none" w:sz="0" w:space="0" w:color="auto"/>
          </w:divBdr>
        </w:div>
        <w:div w:id="434443407">
          <w:marLeft w:val="640"/>
          <w:marRight w:val="0"/>
          <w:marTop w:val="0"/>
          <w:marBottom w:val="0"/>
          <w:divBdr>
            <w:top w:val="none" w:sz="0" w:space="0" w:color="auto"/>
            <w:left w:val="none" w:sz="0" w:space="0" w:color="auto"/>
            <w:bottom w:val="none" w:sz="0" w:space="0" w:color="auto"/>
            <w:right w:val="none" w:sz="0" w:space="0" w:color="auto"/>
          </w:divBdr>
        </w:div>
        <w:div w:id="330986515">
          <w:marLeft w:val="640"/>
          <w:marRight w:val="0"/>
          <w:marTop w:val="0"/>
          <w:marBottom w:val="0"/>
          <w:divBdr>
            <w:top w:val="none" w:sz="0" w:space="0" w:color="auto"/>
            <w:left w:val="none" w:sz="0" w:space="0" w:color="auto"/>
            <w:bottom w:val="none" w:sz="0" w:space="0" w:color="auto"/>
            <w:right w:val="none" w:sz="0" w:space="0" w:color="auto"/>
          </w:divBdr>
        </w:div>
        <w:div w:id="1561400506">
          <w:marLeft w:val="640"/>
          <w:marRight w:val="0"/>
          <w:marTop w:val="0"/>
          <w:marBottom w:val="0"/>
          <w:divBdr>
            <w:top w:val="none" w:sz="0" w:space="0" w:color="auto"/>
            <w:left w:val="none" w:sz="0" w:space="0" w:color="auto"/>
            <w:bottom w:val="none" w:sz="0" w:space="0" w:color="auto"/>
            <w:right w:val="none" w:sz="0" w:space="0" w:color="auto"/>
          </w:divBdr>
        </w:div>
        <w:div w:id="1606427291">
          <w:marLeft w:val="640"/>
          <w:marRight w:val="0"/>
          <w:marTop w:val="0"/>
          <w:marBottom w:val="0"/>
          <w:divBdr>
            <w:top w:val="none" w:sz="0" w:space="0" w:color="auto"/>
            <w:left w:val="none" w:sz="0" w:space="0" w:color="auto"/>
            <w:bottom w:val="none" w:sz="0" w:space="0" w:color="auto"/>
            <w:right w:val="none" w:sz="0" w:space="0" w:color="auto"/>
          </w:divBdr>
        </w:div>
        <w:div w:id="1343509104">
          <w:marLeft w:val="640"/>
          <w:marRight w:val="0"/>
          <w:marTop w:val="0"/>
          <w:marBottom w:val="0"/>
          <w:divBdr>
            <w:top w:val="none" w:sz="0" w:space="0" w:color="auto"/>
            <w:left w:val="none" w:sz="0" w:space="0" w:color="auto"/>
            <w:bottom w:val="none" w:sz="0" w:space="0" w:color="auto"/>
            <w:right w:val="none" w:sz="0" w:space="0" w:color="auto"/>
          </w:divBdr>
        </w:div>
        <w:div w:id="1219630354">
          <w:marLeft w:val="640"/>
          <w:marRight w:val="0"/>
          <w:marTop w:val="0"/>
          <w:marBottom w:val="0"/>
          <w:divBdr>
            <w:top w:val="none" w:sz="0" w:space="0" w:color="auto"/>
            <w:left w:val="none" w:sz="0" w:space="0" w:color="auto"/>
            <w:bottom w:val="none" w:sz="0" w:space="0" w:color="auto"/>
            <w:right w:val="none" w:sz="0" w:space="0" w:color="auto"/>
          </w:divBdr>
        </w:div>
        <w:div w:id="2136289133">
          <w:marLeft w:val="640"/>
          <w:marRight w:val="0"/>
          <w:marTop w:val="0"/>
          <w:marBottom w:val="0"/>
          <w:divBdr>
            <w:top w:val="none" w:sz="0" w:space="0" w:color="auto"/>
            <w:left w:val="none" w:sz="0" w:space="0" w:color="auto"/>
            <w:bottom w:val="none" w:sz="0" w:space="0" w:color="auto"/>
            <w:right w:val="none" w:sz="0" w:space="0" w:color="auto"/>
          </w:divBdr>
        </w:div>
        <w:div w:id="324167066">
          <w:marLeft w:val="640"/>
          <w:marRight w:val="0"/>
          <w:marTop w:val="0"/>
          <w:marBottom w:val="0"/>
          <w:divBdr>
            <w:top w:val="none" w:sz="0" w:space="0" w:color="auto"/>
            <w:left w:val="none" w:sz="0" w:space="0" w:color="auto"/>
            <w:bottom w:val="none" w:sz="0" w:space="0" w:color="auto"/>
            <w:right w:val="none" w:sz="0" w:space="0" w:color="auto"/>
          </w:divBdr>
        </w:div>
        <w:div w:id="738938200">
          <w:marLeft w:val="640"/>
          <w:marRight w:val="0"/>
          <w:marTop w:val="0"/>
          <w:marBottom w:val="0"/>
          <w:divBdr>
            <w:top w:val="none" w:sz="0" w:space="0" w:color="auto"/>
            <w:left w:val="none" w:sz="0" w:space="0" w:color="auto"/>
            <w:bottom w:val="none" w:sz="0" w:space="0" w:color="auto"/>
            <w:right w:val="none" w:sz="0" w:space="0" w:color="auto"/>
          </w:divBdr>
        </w:div>
        <w:div w:id="794253650">
          <w:marLeft w:val="640"/>
          <w:marRight w:val="0"/>
          <w:marTop w:val="0"/>
          <w:marBottom w:val="0"/>
          <w:divBdr>
            <w:top w:val="none" w:sz="0" w:space="0" w:color="auto"/>
            <w:left w:val="none" w:sz="0" w:space="0" w:color="auto"/>
            <w:bottom w:val="none" w:sz="0" w:space="0" w:color="auto"/>
            <w:right w:val="none" w:sz="0" w:space="0" w:color="auto"/>
          </w:divBdr>
        </w:div>
        <w:div w:id="487210809">
          <w:marLeft w:val="640"/>
          <w:marRight w:val="0"/>
          <w:marTop w:val="0"/>
          <w:marBottom w:val="0"/>
          <w:divBdr>
            <w:top w:val="none" w:sz="0" w:space="0" w:color="auto"/>
            <w:left w:val="none" w:sz="0" w:space="0" w:color="auto"/>
            <w:bottom w:val="none" w:sz="0" w:space="0" w:color="auto"/>
            <w:right w:val="none" w:sz="0" w:space="0" w:color="auto"/>
          </w:divBdr>
        </w:div>
        <w:div w:id="1810785046">
          <w:marLeft w:val="640"/>
          <w:marRight w:val="0"/>
          <w:marTop w:val="0"/>
          <w:marBottom w:val="0"/>
          <w:divBdr>
            <w:top w:val="none" w:sz="0" w:space="0" w:color="auto"/>
            <w:left w:val="none" w:sz="0" w:space="0" w:color="auto"/>
            <w:bottom w:val="none" w:sz="0" w:space="0" w:color="auto"/>
            <w:right w:val="none" w:sz="0" w:space="0" w:color="auto"/>
          </w:divBdr>
        </w:div>
        <w:div w:id="709455819">
          <w:marLeft w:val="640"/>
          <w:marRight w:val="0"/>
          <w:marTop w:val="0"/>
          <w:marBottom w:val="0"/>
          <w:divBdr>
            <w:top w:val="none" w:sz="0" w:space="0" w:color="auto"/>
            <w:left w:val="none" w:sz="0" w:space="0" w:color="auto"/>
            <w:bottom w:val="none" w:sz="0" w:space="0" w:color="auto"/>
            <w:right w:val="none" w:sz="0" w:space="0" w:color="auto"/>
          </w:divBdr>
        </w:div>
        <w:div w:id="1172647503">
          <w:marLeft w:val="640"/>
          <w:marRight w:val="0"/>
          <w:marTop w:val="0"/>
          <w:marBottom w:val="0"/>
          <w:divBdr>
            <w:top w:val="none" w:sz="0" w:space="0" w:color="auto"/>
            <w:left w:val="none" w:sz="0" w:space="0" w:color="auto"/>
            <w:bottom w:val="none" w:sz="0" w:space="0" w:color="auto"/>
            <w:right w:val="none" w:sz="0" w:space="0" w:color="auto"/>
          </w:divBdr>
        </w:div>
        <w:div w:id="850025133">
          <w:marLeft w:val="640"/>
          <w:marRight w:val="0"/>
          <w:marTop w:val="0"/>
          <w:marBottom w:val="0"/>
          <w:divBdr>
            <w:top w:val="none" w:sz="0" w:space="0" w:color="auto"/>
            <w:left w:val="none" w:sz="0" w:space="0" w:color="auto"/>
            <w:bottom w:val="none" w:sz="0" w:space="0" w:color="auto"/>
            <w:right w:val="none" w:sz="0" w:space="0" w:color="auto"/>
          </w:divBdr>
        </w:div>
        <w:div w:id="591594070">
          <w:marLeft w:val="640"/>
          <w:marRight w:val="0"/>
          <w:marTop w:val="0"/>
          <w:marBottom w:val="0"/>
          <w:divBdr>
            <w:top w:val="none" w:sz="0" w:space="0" w:color="auto"/>
            <w:left w:val="none" w:sz="0" w:space="0" w:color="auto"/>
            <w:bottom w:val="none" w:sz="0" w:space="0" w:color="auto"/>
            <w:right w:val="none" w:sz="0" w:space="0" w:color="auto"/>
          </w:divBdr>
        </w:div>
        <w:div w:id="428741859">
          <w:marLeft w:val="640"/>
          <w:marRight w:val="0"/>
          <w:marTop w:val="0"/>
          <w:marBottom w:val="0"/>
          <w:divBdr>
            <w:top w:val="none" w:sz="0" w:space="0" w:color="auto"/>
            <w:left w:val="none" w:sz="0" w:space="0" w:color="auto"/>
            <w:bottom w:val="none" w:sz="0" w:space="0" w:color="auto"/>
            <w:right w:val="none" w:sz="0" w:space="0" w:color="auto"/>
          </w:divBdr>
        </w:div>
        <w:div w:id="1934164769">
          <w:marLeft w:val="640"/>
          <w:marRight w:val="0"/>
          <w:marTop w:val="0"/>
          <w:marBottom w:val="0"/>
          <w:divBdr>
            <w:top w:val="none" w:sz="0" w:space="0" w:color="auto"/>
            <w:left w:val="none" w:sz="0" w:space="0" w:color="auto"/>
            <w:bottom w:val="none" w:sz="0" w:space="0" w:color="auto"/>
            <w:right w:val="none" w:sz="0" w:space="0" w:color="auto"/>
          </w:divBdr>
        </w:div>
        <w:div w:id="313334009">
          <w:marLeft w:val="640"/>
          <w:marRight w:val="0"/>
          <w:marTop w:val="0"/>
          <w:marBottom w:val="0"/>
          <w:divBdr>
            <w:top w:val="none" w:sz="0" w:space="0" w:color="auto"/>
            <w:left w:val="none" w:sz="0" w:space="0" w:color="auto"/>
            <w:bottom w:val="none" w:sz="0" w:space="0" w:color="auto"/>
            <w:right w:val="none" w:sz="0" w:space="0" w:color="auto"/>
          </w:divBdr>
        </w:div>
        <w:div w:id="1582786288">
          <w:marLeft w:val="640"/>
          <w:marRight w:val="0"/>
          <w:marTop w:val="0"/>
          <w:marBottom w:val="0"/>
          <w:divBdr>
            <w:top w:val="none" w:sz="0" w:space="0" w:color="auto"/>
            <w:left w:val="none" w:sz="0" w:space="0" w:color="auto"/>
            <w:bottom w:val="none" w:sz="0" w:space="0" w:color="auto"/>
            <w:right w:val="none" w:sz="0" w:space="0" w:color="auto"/>
          </w:divBdr>
        </w:div>
        <w:div w:id="2098407619">
          <w:marLeft w:val="640"/>
          <w:marRight w:val="0"/>
          <w:marTop w:val="0"/>
          <w:marBottom w:val="0"/>
          <w:divBdr>
            <w:top w:val="none" w:sz="0" w:space="0" w:color="auto"/>
            <w:left w:val="none" w:sz="0" w:space="0" w:color="auto"/>
            <w:bottom w:val="none" w:sz="0" w:space="0" w:color="auto"/>
            <w:right w:val="none" w:sz="0" w:space="0" w:color="auto"/>
          </w:divBdr>
        </w:div>
        <w:div w:id="913005898">
          <w:marLeft w:val="640"/>
          <w:marRight w:val="0"/>
          <w:marTop w:val="0"/>
          <w:marBottom w:val="0"/>
          <w:divBdr>
            <w:top w:val="none" w:sz="0" w:space="0" w:color="auto"/>
            <w:left w:val="none" w:sz="0" w:space="0" w:color="auto"/>
            <w:bottom w:val="none" w:sz="0" w:space="0" w:color="auto"/>
            <w:right w:val="none" w:sz="0" w:space="0" w:color="auto"/>
          </w:divBdr>
        </w:div>
        <w:div w:id="220796691">
          <w:marLeft w:val="640"/>
          <w:marRight w:val="0"/>
          <w:marTop w:val="0"/>
          <w:marBottom w:val="0"/>
          <w:divBdr>
            <w:top w:val="none" w:sz="0" w:space="0" w:color="auto"/>
            <w:left w:val="none" w:sz="0" w:space="0" w:color="auto"/>
            <w:bottom w:val="none" w:sz="0" w:space="0" w:color="auto"/>
            <w:right w:val="none" w:sz="0" w:space="0" w:color="auto"/>
          </w:divBdr>
        </w:div>
        <w:div w:id="1912344975">
          <w:marLeft w:val="640"/>
          <w:marRight w:val="0"/>
          <w:marTop w:val="0"/>
          <w:marBottom w:val="0"/>
          <w:divBdr>
            <w:top w:val="none" w:sz="0" w:space="0" w:color="auto"/>
            <w:left w:val="none" w:sz="0" w:space="0" w:color="auto"/>
            <w:bottom w:val="none" w:sz="0" w:space="0" w:color="auto"/>
            <w:right w:val="none" w:sz="0" w:space="0" w:color="auto"/>
          </w:divBdr>
        </w:div>
        <w:div w:id="1929578375">
          <w:marLeft w:val="640"/>
          <w:marRight w:val="0"/>
          <w:marTop w:val="0"/>
          <w:marBottom w:val="0"/>
          <w:divBdr>
            <w:top w:val="none" w:sz="0" w:space="0" w:color="auto"/>
            <w:left w:val="none" w:sz="0" w:space="0" w:color="auto"/>
            <w:bottom w:val="none" w:sz="0" w:space="0" w:color="auto"/>
            <w:right w:val="none" w:sz="0" w:space="0" w:color="auto"/>
          </w:divBdr>
        </w:div>
        <w:div w:id="1088312449">
          <w:marLeft w:val="640"/>
          <w:marRight w:val="0"/>
          <w:marTop w:val="0"/>
          <w:marBottom w:val="0"/>
          <w:divBdr>
            <w:top w:val="none" w:sz="0" w:space="0" w:color="auto"/>
            <w:left w:val="none" w:sz="0" w:space="0" w:color="auto"/>
            <w:bottom w:val="none" w:sz="0" w:space="0" w:color="auto"/>
            <w:right w:val="none" w:sz="0" w:space="0" w:color="auto"/>
          </w:divBdr>
        </w:div>
        <w:div w:id="1662390268">
          <w:marLeft w:val="640"/>
          <w:marRight w:val="0"/>
          <w:marTop w:val="0"/>
          <w:marBottom w:val="0"/>
          <w:divBdr>
            <w:top w:val="none" w:sz="0" w:space="0" w:color="auto"/>
            <w:left w:val="none" w:sz="0" w:space="0" w:color="auto"/>
            <w:bottom w:val="none" w:sz="0" w:space="0" w:color="auto"/>
            <w:right w:val="none" w:sz="0" w:space="0" w:color="auto"/>
          </w:divBdr>
        </w:div>
        <w:div w:id="1773352027">
          <w:marLeft w:val="640"/>
          <w:marRight w:val="0"/>
          <w:marTop w:val="0"/>
          <w:marBottom w:val="0"/>
          <w:divBdr>
            <w:top w:val="none" w:sz="0" w:space="0" w:color="auto"/>
            <w:left w:val="none" w:sz="0" w:space="0" w:color="auto"/>
            <w:bottom w:val="none" w:sz="0" w:space="0" w:color="auto"/>
            <w:right w:val="none" w:sz="0" w:space="0" w:color="auto"/>
          </w:divBdr>
        </w:div>
        <w:div w:id="601032548">
          <w:marLeft w:val="640"/>
          <w:marRight w:val="0"/>
          <w:marTop w:val="0"/>
          <w:marBottom w:val="0"/>
          <w:divBdr>
            <w:top w:val="none" w:sz="0" w:space="0" w:color="auto"/>
            <w:left w:val="none" w:sz="0" w:space="0" w:color="auto"/>
            <w:bottom w:val="none" w:sz="0" w:space="0" w:color="auto"/>
            <w:right w:val="none" w:sz="0" w:space="0" w:color="auto"/>
          </w:divBdr>
        </w:div>
        <w:div w:id="537089168">
          <w:marLeft w:val="640"/>
          <w:marRight w:val="0"/>
          <w:marTop w:val="0"/>
          <w:marBottom w:val="0"/>
          <w:divBdr>
            <w:top w:val="none" w:sz="0" w:space="0" w:color="auto"/>
            <w:left w:val="none" w:sz="0" w:space="0" w:color="auto"/>
            <w:bottom w:val="none" w:sz="0" w:space="0" w:color="auto"/>
            <w:right w:val="none" w:sz="0" w:space="0" w:color="auto"/>
          </w:divBdr>
        </w:div>
        <w:div w:id="1974434706">
          <w:marLeft w:val="640"/>
          <w:marRight w:val="0"/>
          <w:marTop w:val="0"/>
          <w:marBottom w:val="0"/>
          <w:divBdr>
            <w:top w:val="none" w:sz="0" w:space="0" w:color="auto"/>
            <w:left w:val="none" w:sz="0" w:space="0" w:color="auto"/>
            <w:bottom w:val="none" w:sz="0" w:space="0" w:color="auto"/>
            <w:right w:val="none" w:sz="0" w:space="0" w:color="auto"/>
          </w:divBdr>
        </w:div>
        <w:div w:id="885484328">
          <w:marLeft w:val="640"/>
          <w:marRight w:val="0"/>
          <w:marTop w:val="0"/>
          <w:marBottom w:val="0"/>
          <w:divBdr>
            <w:top w:val="none" w:sz="0" w:space="0" w:color="auto"/>
            <w:left w:val="none" w:sz="0" w:space="0" w:color="auto"/>
            <w:bottom w:val="none" w:sz="0" w:space="0" w:color="auto"/>
            <w:right w:val="none" w:sz="0" w:space="0" w:color="auto"/>
          </w:divBdr>
        </w:div>
        <w:div w:id="1719620927">
          <w:marLeft w:val="640"/>
          <w:marRight w:val="0"/>
          <w:marTop w:val="0"/>
          <w:marBottom w:val="0"/>
          <w:divBdr>
            <w:top w:val="none" w:sz="0" w:space="0" w:color="auto"/>
            <w:left w:val="none" w:sz="0" w:space="0" w:color="auto"/>
            <w:bottom w:val="none" w:sz="0" w:space="0" w:color="auto"/>
            <w:right w:val="none" w:sz="0" w:space="0" w:color="auto"/>
          </w:divBdr>
        </w:div>
        <w:div w:id="1234312149">
          <w:marLeft w:val="640"/>
          <w:marRight w:val="0"/>
          <w:marTop w:val="0"/>
          <w:marBottom w:val="0"/>
          <w:divBdr>
            <w:top w:val="none" w:sz="0" w:space="0" w:color="auto"/>
            <w:left w:val="none" w:sz="0" w:space="0" w:color="auto"/>
            <w:bottom w:val="none" w:sz="0" w:space="0" w:color="auto"/>
            <w:right w:val="none" w:sz="0" w:space="0" w:color="auto"/>
          </w:divBdr>
        </w:div>
        <w:div w:id="1758555160">
          <w:marLeft w:val="640"/>
          <w:marRight w:val="0"/>
          <w:marTop w:val="0"/>
          <w:marBottom w:val="0"/>
          <w:divBdr>
            <w:top w:val="none" w:sz="0" w:space="0" w:color="auto"/>
            <w:left w:val="none" w:sz="0" w:space="0" w:color="auto"/>
            <w:bottom w:val="none" w:sz="0" w:space="0" w:color="auto"/>
            <w:right w:val="none" w:sz="0" w:space="0" w:color="auto"/>
          </w:divBdr>
        </w:div>
        <w:div w:id="849832776">
          <w:marLeft w:val="640"/>
          <w:marRight w:val="0"/>
          <w:marTop w:val="0"/>
          <w:marBottom w:val="0"/>
          <w:divBdr>
            <w:top w:val="none" w:sz="0" w:space="0" w:color="auto"/>
            <w:left w:val="none" w:sz="0" w:space="0" w:color="auto"/>
            <w:bottom w:val="none" w:sz="0" w:space="0" w:color="auto"/>
            <w:right w:val="none" w:sz="0" w:space="0" w:color="auto"/>
          </w:divBdr>
        </w:div>
        <w:div w:id="1556620791">
          <w:marLeft w:val="640"/>
          <w:marRight w:val="0"/>
          <w:marTop w:val="0"/>
          <w:marBottom w:val="0"/>
          <w:divBdr>
            <w:top w:val="none" w:sz="0" w:space="0" w:color="auto"/>
            <w:left w:val="none" w:sz="0" w:space="0" w:color="auto"/>
            <w:bottom w:val="none" w:sz="0" w:space="0" w:color="auto"/>
            <w:right w:val="none" w:sz="0" w:space="0" w:color="auto"/>
          </w:divBdr>
        </w:div>
        <w:div w:id="1585534095">
          <w:marLeft w:val="640"/>
          <w:marRight w:val="0"/>
          <w:marTop w:val="0"/>
          <w:marBottom w:val="0"/>
          <w:divBdr>
            <w:top w:val="none" w:sz="0" w:space="0" w:color="auto"/>
            <w:left w:val="none" w:sz="0" w:space="0" w:color="auto"/>
            <w:bottom w:val="none" w:sz="0" w:space="0" w:color="auto"/>
            <w:right w:val="none" w:sz="0" w:space="0" w:color="auto"/>
          </w:divBdr>
        </w:div>
        <w:div w:id="361705972">
          <w:marLeft w:val="640"/>
          <w:marRight w:val="0"/>
          <w:marTop w:val="0"/>
          <w:marBottom w:val="0"/>
          <w:divBdr>
            <w:top w:val="none" w:sz="0" w:space="0" w:color="auto"/>
            <w:left w:val="none" w:sz="0" w:space="0" w:color="auto"/>
            <w:bottom w:val="none" w:sz="0" w:space="0" w:color="auto"/>
            <w:right w:val="none" w:sz="0" w:space="0" w:color="auto"/>
          </w:divBdr>
        </w:div>
        <w:div w:id="225579357">
          <w:marLeft w:val="640"/>
          <w:marRight w:val="0"/>
          <w:marTop w:val="0"/>
          <w:marBottom w:val="0"/>
          <w:divBdr>
            <w:top w:val="none" w:sz="0" w:space="0" w:color="auto"/>
            <w:left w:val="none" w:sz="0" w:space="0" w:color="auto"/>
            <w:bottom w:val="none" w:sz="0" w:space="0" w:color="auto"/>
            <w:right w:val="none" w:sz="0" w:space="0" w:color="auto"/>
          </w:divBdr>
        </w:div>
        <w:div w:id="1294291856">
          <w:marLeft w:val="640"/>
          <w:marRight w:val="0"/>
          <w:marTop w:val="0"/>
          <w:marBottom w:val="0"/>
          <w:divBdr>
            <w:top w:val="none" w:sz="0" w:space="0" w:color="auto"/>
            <w:left w:val="none" w:sz="0" w:space="0" w:color="auto"/>
            <w:bottom w:val="none" w:sz="0" w:space="0" w:color="auto"/>
            <w:right w:val="none" w:sz="0" w:space="0" w:color="auto"/>
          </w:divBdr>
        </w:div>
        <w:div w:id="447315024">
          <w:marLeft w:val="640"/>
          <w:marRight w:val="0"/>
          <w:marTop w:val="0"/>
          <w:marBottom w:val="0"/>
          <w:divBdr>
            <w:top w:val="none" w:sz="0" w:space="0" w:color="auto"/>
            <w:left w:val="none" w:sz="0" w:space="0" w:color="auto"/>
            <w:bottom w:val="none" w:sz="0" w:space="0" w:color="auto"/>
            <w:right w:val="none" w:sz="0" w:space="0" w:color="auto"/>
          </w:divBdr>
        </w:div>
        <w:div w:id="2130661126">
          <w:marLeft w:val="640"/>
          <w:marRight w:val="0"/>
          <w:marTop w:val="0"/>
          <w:marBottom w:val="0"/>
          <w:divBdr>
            <w:top w:val="none" w:sz="0" w:space="0" w:color="auto"/>
            <w:left w:val="none" w:sz="0" w:space="0" w:color="auto"/>
            <w:bottom w:val="none" w:sz="0" w:space="0" w:color="auto"/>
            <w:right w:val="none" w:sz="0" w:space="0" w:color="auto"/>
          </w:divBdr>
        </w:div>
        <w:div w:id="106976277">
          <w:marLeft w:val="640"/>
          <w:marRight w:val="0"/>
          <w:marTop w:val="0"/>
          <w:marBottom w:val="0"/>
          <w:divBdr>
            <w:top w:val="none" w:sz="0" w:space="0" w:color="auto"/>
            <w:left w:val="none" w:sz="0" w:space="0" w:color="auto"/>
            <w:bottom w:val="none" w:sz="0" w:space="0" w:color="auto"/>
            <w:right w:val="none" w:sz="0" w:space="0" w:color="auto"/>
          </w:divBdr>
        </w:div>
        <w:div w:id="1123573105">
          <w:marLeft w:val="640"/>
          <w:marRight w:val="0"/>
          <w:marTop w:val="0"/>
          <w:marBottom w:val="0"/>
          <w:divBdr>
            <w:top w:val="none" w:sz="0" w:space="0" w:color="auto"/>
            <w:left w:val="none" w:sz="0" w:space="0" w:color="auto"/>
            <w:bottom w:val="none" w:sz="0" w:space="0" w:color="auto"/>
            <w:right w:val="none" w:sz="0" w:space="0" w:color="auto"/>
          </w:divBdr>
        </w:div>
        <w:div w:id="1030109897">
          <w:marLeft w:val="640"/>
          <w:marRight w:val="0"/>
          <w:marTop w:val="0"/>
          <w:marBottom w:val="0"/>
          <w:divBdr>
            <w:top w:val="none" w:sz="0" w:space="0" w:color="auto"/>
            <w:left w:val="none" w:sz="0" w:space="0" w:color="auto"/>
            <w:bottom w:val="none" w:sz="0" w:space="0" w:color="auto"/>
            <w:right w:val="none" w:sz="0" w:space="0" w:color="auto"/>
          </w:divBdr>
        </w:div>
        <w:div w:id="2047171680">
          <w:marLeft w:val="640"/>
          <w:marRight w:val="0"/>
          <w:marTop w:val="0"/>
          <w:marBottom w:val="0"/>
          <w:divBdr>
            <w:top w:val="none" w:sz="0" w:space="0" w:color="auto"/>
            <w:left w:val="none" w:sz="0" w:space="0" w:color="auto"/>
            <w:bottom w:val="none" w:sz="0" w:space="0" w:color="auto"/>
            <w:right w:val="none" w:sz="0" w:space="0" w:color="auto"/>
          </w:divBdr>
        </w:div>
        <w:div w:id="1528373247">
          <w:marLeft w:val="640"/>
          <w:marRight w:val="0"/>
          <w:marTop w:val="0"/>
          <w:marBottom w:val="0"/>
          <w:divBdr>
            <w:top w:val="none" w:sz="0" w:space="0" w:color="auto"/>
            <w:left w:val="none" w:sz="0" w:space="0" w:color="auto"/>
            <w:bottom w:val="none" w:sz="0" w:space="0" w:color="auto"/>
            <w:right w:val="none" w:sz="0" w:space="0" w:color="auto"/>
          </w:divBdr>
        </w:div>
        <w:div w:id="1496796885">
          <w:marLeft w:val="640"/>
          <w:marRight w:val="0"/>
          <w:marTop w:val="0"/>
          <w:marBottom w:val="0"/>
          <w:divBdr>
            <w:top w:val="none" w:sz="0" w:space="0" w:color="auto"/>
            <w:left w:val="none" w:sz="0" w:space="0" w:color="auto"/>
            <w:bottom w:val="none" w:sz="0" w:space="0" w:color="auto"/>
            <w:right w:val="none" w:sz="0" w:space="0" w:color="auto"/>
          </w:divBdr>
        </w:div>
        <w:div w:id="81413792">
          <w:marLeft w:val="640"/>
          <w:marRight w:val="0"/>
          <w:marTop w:val="0"/>
          <w:marBottom w:val="0"/>
          <w:divBdr>
            <w:top w:val="none" w:sz="0" w:space="0" w:color="auto"/>
            <w:left w:val="none" w:sz="0" w:space="0" w:color="auto"/>
            <w:bottom w:val="none" w:sz="0" w:space="0" w:color="auto"/>
            <w:right w:val="none" w:sz="0" w:space="0" w:color="auto"/>
          </w:divBdr>
        </w:div>
        <w:div w:id="1782801810">
          <w:marLeft w:val="640"/>
          <w:marRight w:val="0"/>
          <w:marTop w:val="0"/>
          <w:marBottom w:val="0"/>
          <w:divBdr>
            <w:top w:val="none" w:sz="0" w:space="0" w:color="auto"/>
            <w:left w:val="none" w:sz="0" w:space="0" w:color="auto"/>
            <w:bottom w:val="none" w:sz="0" w:space="0" w:color="auto"/>
            <w:right w:val="none" w:sz="0" w:space="0" w:color="auto"/>
          </w:divBdr>
        </w:div>
        <w:div w:id="628436876">
          <w:marLeft w:val="640"/>
          <w:marRight w:val="0"/>
          <w:marTop w:val="0"/>
          <w:marBottom w:val="0"/>
          <w:divBdr>
            <w:top w:val="none" w:sz="0" w:space="0" w:color="auto"/>
            <w:left w:val="none" w:sz="0" w:space="0" w:color="auto"/>
            <w:bottom w:val="none" w:sz="0" w:space="0" w:color="auto"/>
            <w:right w:val="none" w:sz="0" w:space="0" w:color="auto"/>
          </w:divBdr>
        </w:div>
        <w:div w:id="282615228">
          <w:marLeft w:val="640"/>
          <w:marRight w:val="0"/>
          <w:marTop w:val="0"/>
          <w:marBottom w:val="0"/>
          <w:divBdr>
            <w:top w:val="none" w:sz="0" w:space="0" w:color="auto"/>
            <w:left w:val="none" w:sz="0" w:space="0" w:color="auto"/>
            <w:bottom w:val="none" w:sz="0" w:space="0" w:color="auto"/>
            <w:right w:val="none" w:sz="0" w:space="0" w:color="auto"/>
          </w:divBdr>
        </w:div>
        <w:div w:id="1128284378">
          <w:marLeft w:val="640"/>
          <w:marRight w:val="0"/>
          <w:marTop w:val="0"/>
          <w:marBottom w:val="0"/>
          <w:divBdr>
            <w:top w:val="none" w:sz="0" w:space="0" w:color="auto"/>
            <w:left w:val="none" w:sz="0" w:space="0" w:color="auto"/>
            <w:bottom w:val="none" w:sz="0" w:space="0" w:color="auto"/>
            <w:right w:val="none" w:sz="0" w:space="0" w:color="auto"/>
          </w:divBdr>
        </w:div>
        <w:div w:id="1550915660">
          <w:marLeft w:val="640"/>
          <w:marRight w:val="0"/>
          <w:marTop w:val="0"/>
          <w:marBottom w:val="0"/>
          <w:divBdr>
            <w:top w:val="none" w:sz="0" w:space="0" w:color="auto"/>
            <w:left w:val="none" w:sz="0" w:space="0" w:color="auto"/>
            <w:bottom w:val="none" w:sz="0" w:space="0" w:color="auto"/>
            <w:right w:val="none" w:sz="0" w:space="0" w:color="auto"/>
          </w:divBdr>
        </w:div>
        <w:div w:id="165632536">
          <w:marLeft w:val="640"/>
          <w:marRight w:val="0"/>
          <w:marTop w:val="0"/>
          <w:marBottom w:val="0"/>
          <w:divBdr>
            <w:top w:val="none" w:sz="0" w:space="0" w:color="auto"/>
            <w:left w:val="none" w:sz="0" w:space="0" w:color="auto"/>
            <w:bottom w:val="none" w:sz="0" w:space="0" w:color="auto"/>
            <w:right w:val="none" w:sz="0" w:space="0" w:color="auto"/>
          </w:divBdr>
        </w:div>
        <w:div w:id="1359163336">
          <w:marLeft w:val="640"/>
          <w:marRight w:val="0"/>
          <w:marTop w:val="0"/>
          <w:marBottom w:val="0"/>
          <w:divBdr>
            <w:top w:val="none" w:sz="0" w:space="0" w:color="auto"/>
            <w:left w:val="none" w:sz="0" w:space="0" w:color="auto"/>
            <w:bottom w:val="none" w:sz="0" w:space="0" w:color="auto"/>
            <w:right w:val="none" w:sz="0" w:space="0" w:color="auto"/>
          </w:divBdr>
        </w:div>
        <w:div w:id="1684631420">
          <w:marLeft w:val="640"/>
          <w:marRight w:val="0"/>
          <w:marTop w:val="0"/>
          <w:marBottom w:val="0"/>
          <w:divBdr>
            <w:top w:val="none" w:sz="0" w:space="0" w:color="auto"/>
            <w:left w:val="none" w:sz="0" w:space="0" w:color="auto"/>
            <w:bottom w:val="none" w:sz="0" w:space="0" w:color="auto"/>
            <w:right w:val="none" w:sz="0" w:space="0" w:color="auto"/>
          </w:divBdr>
        </w:div>
        <w:div w:id="907766536">
          <w:marLeft w:val="640"/>
          <w:marRight w:val="0"/>
          <w:marTop w:val="0"/>
          <w:marBottom w:val="0"/>
          <w:divBdr>
            <w:top w:val="none" w:sz="0" w:space="0" w:color="auto"/>
            <w:left w:val="none" w:sz="0" w:space="0" w:color="auto"/>
            <w:bottom w:val="none" w:sz="0" w:space="0" w:color="auto"/>
            <w:right w:val="none" w:sz="0" w:space="0" w:color="auto"/>
          </w:divBdr>
        </w:div>
        <w:div w:id="1216694930">
          <w:marLeft w:val="640"/>
          <w:marRight w:val="0"/>
          <w:marTop w:val="0"/>
          <w:marBottom w:val="0"/>
          <w:divBdr>
            <w:top w:val="none" w:sz="0" w:space="0" w:color="auto"/>
            <w:left w:val="none" w:sz="0" w:space="0" w:color="auto"/>
            <w:bottom w:val="none" w:sz="0" w:space="0" w:color="auto"/>
            <w:right w:val="none" w:sz="0" w:space="0" w:color="auto"/>
          </w:divBdr>
        </w:div>
        <w:div w:id="717511033">
          <w:marLeft w:val="640"/>
          <w:marRight w:val="0"/>
          <w:marTop w:val="0"/>
          <w:marBottom w:val="0"/>
          <w:divBdr>
            <w:top w:val="none" w:sz="0" w:space="0" w:color="auto"/>
            <w:left w:val="none" w:sz="0" w:space="0" w:color="auto"/>
            <w:bottom w:val="none" w:sz="0" w:space="0" w:color="auto"/>
            <w:right w:val="none" w:sz="0" w:space="0" w:color="auto"/>
          </w:divBdr>
        </w:div>
        <w:div w:id="1283420571">
          <w:marLeft w:val="640"/>
          <w:marRight w:val="0"/>
          <w:marTop w:val="0"/>
          <w:marBottom w:val="0"/>
          <w:divBdr>
            <w:top w:val="none" w:sz="0" w:space="0" w:color="auto"/>
            <w:left w:val="none" w:sz="0" w:space="0" w:color="auto"/>
            <w:bottom w:val="none" w:sz="0" w:space="0" w:color="auto"/>
            <w:right w:val="none" w:sz="0" w:space="0" w:color="auto"/>
          </w:divBdr>
        </w:div>
        <w:div w:id="1409810436">
          <w:marLeft w:val="640"/>
          <w:marRight w:val="0"/>
          <w:marTop w:val="0"/>
          <w:marBottom w:val="0"/>
          <w:divBdr>
            <w:top w:val="none" w:sz="0" w:space="0" w:color="auto"/>
            <w:left w:val="none" w:sz="0" w:space="0" w:color="auto"/>
            <w:bottom w:val="none" w:sz="0" w:space="0" w:color="auto"/>
            <w:right w:val="none" w:sz="0" w:space="0" w:color="auto"/>
          </w:divBdr>
        </w:div>
        <w:div w:id="536704242">
          <w:marLeft w:val="640"/>
          <w:marRight w:val="0"/>
          <w:marTop w:val="0"/>
          <w:marBottom w:val="0"/>
          <w:divBdr>
            <w:top w:val="none" w:sz="0" w:space="0" w:color="auto"/>
            <w:left w:val="none" w:sz="0" w:space="0" w:color="auto"/>
            <w:bottom w:val="none" w:sz="0" w:space="0" w:color="auto"/>
            <w:right w:val="none" w:sz="0" w:space="0" w:color="auto"/>
          </w:divBdr>
        </w:div>
        <w:div w:id="711224873">
          <w:marLeft w:val="640"/>
          <w:marRight w:val="0"/>
          <w:marTop w:val="0"/>
          <w:marBottom w:val="0"/>
          <w:divBdr>
            <w:top w:val="none" w:sz="0" w:space="0" w:color="auto"/>
            <w:left w:val="none" w:sz="0" w:space="0" w:color="auto"/>
            <w:bottom w:val="none" w:sz="0" w:space="0" w:color="auto"/>
            <w:right w:val="none" w:sz="0" w:space="0" w:color="auto"/>
          </w:divBdr>
        </w:div>
        <w:div w:id="276911272">
          <w:marLeft w:val="640"/>
          <w:marRight w:val="0"/>
          <w:marTop w:val="0"/>
          <w:marBottom w:val="0"/>
          <w:divBdr>
            <w:top w:val="none" w:sz="0" w:space="0" w:color="auto"/>
            <w:left w:val="none" w:sz="0" w:space="0" w:color="auto"/>
            <w:bottom w:val="none" w:sz="0" w:space="0" w:color="auto"/>
            <w:right w:val="none" w:sz="0" w:space="0" w:color="auto"/>
          </w:divBdr>
        </w:div>
        <w:div w:id="1210728367">
          <w:marLeft w:val="640"/>
          <w:marRight w:val="0"/>
          <w:marTop w:val="0"/>
          <w:marBottom w:val="0"/>
          <w:divBdr>
            <w:top w:val="none" w:sz="0" w:space="0" w:color="auto"/>
            <w:left w:val="none" w:sz="0" w:space="0" w:color="auto"/>
            <w:bottom w:val="none" w:sz="0" w:space="0" w:color="auto"/>
            <w:right w:val="none" w:sz="0" w:space="0" w:color="auto"/>
          </w:divBdr>
        </w:div>
        <w:div w:id="798231496">
          <w:marLeft w:val="640"/>
          <w:marRight w:val="0"/>
          <w:marTop w:val="0"/>
          <w:marBottom w:val="0"/>
          <w:divBdr>
            <w:top w:val="none" w:sz="0" w:space="0" w:color="auto"/>
            <w:left w:val="none" w:sz="0" w:space="0" w:color="auto"/>
            <w:bottom w:val="none" w:sz="0" w:space="0" w:color="auto"/>
            <w:right w:val="none" w:sz="0" w:space="0" w:color="auto"/>
          </w:divBdr>
        </w:div>
        <w:div w:id="1771584559">
          <w:marLeft w:val="640"/>
          <w:marRight w:val="0"/>
          <w:marTop w:val="0"/>
          <w:marBottom w:val="0"/>
          <w:divBdr>
            <w:top w:val="none" w:sz="0" w:space="0" w:color="auto"/>
            <w:left w:val="none" w:sz="0" w:space="0" w:color="auto"/>
            <w:bottom w:val="none" w:sz="0" w:space="0" w:color="auto"/>
            <w:right w:val="none" w:sz="0" w:space="0" w:color="auto"/>
          </w:divBdr>
        </w:div>
        <w:div w:id="1856535778">
          <w:marLeft w:val="640"/>
          <w:marRight w:val="0"/>
          <w:marTop w:val="0"/>
          <w:marBottom w:val="0"/>
          <w:divBdr>
            <w:top w:val="none" w:sz="0" w:space="0" w:color="auto"/>
            <w:left w:val="none" w:sz="0" w:space="0" w:color="auto"/>
            <w:bottom w:val="none" w:sz="0" w:space="0" w:color="auto"/>
            <w:right w:val="none" w:sz="0" w:space="0" w:color="auto"/>
          </w:divBdr>
        </w:div>
        <w:div w:id="2104375133">
          <w:marLeft w:val="640"/>
          <w:marRight w:val="0"/>
          <w:marTop w:val="0"/>
          <w:marBottom w:val="0"/>
          <w:divBdr>
            <w:top w:val="none" w:sz="0" w:space="0" w:color="auto"/>
            <w:left w:val="none" w:sz="0" w:space="0" w:color="auto"/>
            <w:bottom w:val="none" w:sz="0" w:space="0" w:color="auto"/>
            <w:right w:val="none" w:sz="0" w:space="0" w:color="auto"/>
          </w:divBdr>
        </w:div>
        <w:div w:id="116879172">
          <w:marLeft w:val="640"/>
          <w:marRight w:val="0"/>
          <w:marTop w:val="0"/>
          <w:marBottom w:val="0"/>
          <w:divBdr>
            <w:top w:val="none" w:sz="0" w:space="0" w:color="auto"/>
            <w:left w:val="none" w:sz="0" w:space="0" w:color="auto"/>
            <w:bottom w:val="none" w:sz="0" w:space="0" w:color="auto"/>
            <w:right w:val="none" w:sz="0" w:space="0" w:color="auto"/>
          </w:divBdr>
        </w:div>
        <w:div w:id="53705234">
          <w:marLeft w:val="640"/>
          <w:marRight w:val="0"/>
          <w:marTop w:val="0"/>
          <w:marBottom w:val="0"/>
          <w:divBdr>
            <w:top w:val="none" w:sz="0" w:space="0" w:color="auto"/>
            <w:left w:val="none" w:sz="0" w:space="0" w:color="auto"/>
            <w:bottom w:val="none" w:sz="0" w:space="0" w:color="auto"/>
            <w:right w:val="none" w:sz="0" w:space="0" w:color="auto"/>
          </w:divBdr>
        </w:div>
        <w:div w:id="1748460783">
          <w:marLeft w:val="640"/>
          <w:marRight w:val="0"/>
          <w:marTop w:val="0"/>
          <w:marBottom w:val="0"/>
          <w:divBdr>
            <w:top w:val="none" w:sz="0" w:space="0" w:color="auto"/>
            <w:left w:val="none" w:sz="0" w:space="0" w:color="auto"/>
            <w:bottom w:val="none" w:sz="0" w:space="0" w:color="auto"/>
            <w:right w:val="none" w:sz="0" w:space="0" w:color="auto"/>
          </w:divBdr>
        </w:div>
        <w:div w:id="1800760590">
          <w:marLeft w:val="640"/>
          <w:marRight w:val="0"/>
          <w:marTop w:val="0"/>
          <w:marBottom w:val="0"/>
          <w:divBdr>
            <w:top w:val="none" w:sz="0" w:space="0" w:color="auto"/>
            <w:left w:val="none" w:sz="0" w:space="0" w:color="auto"/>
            <w:bottom w:val="none" w:sz="0" w:space="0" w:color="auto"/>
            <w:right w:val="none" w:sz="0" w:space="0" w:color="auto"/>
          </w:divBdr>
        </w:div>
        <w:div w:id="1036007871">
          <w:marLeft w:val="640"/>
          <w:marRight w:val="0"/>
          <w:marTop w:val="0"/>
          <w:marBottom w:val="0"/>
          <w:divBdr>
            <w:top w:val="none" w:sz="0" w:space="0" w:color="auto"/>
            <w:left w:val="none" w:sz="0" w:space="0" w:color="auto"/>
            <w:bottom w:val="none" w:sz="0" w:space="0" w:color="auto"/>
            <w:right w:val="none" w:sz="0" w:space="0" w:color="auto"/>
          </w:divBdr>
        </w:div>
        <w:div w:id="1822845579">
          <w:marLeft w:val="640"/>
          <w:marRight w:val="0"/>
          <w:marTop w:val="0"/>
          <w:marBottom w:val="0"/>
          <w:divBdr>
            <w:top w:val="none" w:sz="0" w:space="0" w:color="auto"/>
            <w:left w:val="none" w:sz="0" w:space="0" w:color="auto"/>
            <w:bottom w:val="none" w:sz="0" w:space="0" w:color="auto"/>
            <w:right w:val="none" w:sz="0" w:space="0" w:color="auto"/>
          </w:divBdr>
        </w:div>
        <w:div w:id="1131751897">
          <w:marLeft w:val="640"/>
          <w:marRight w:val="0"/>
          <w:marTop w:val="0"/>
          <w:marBottom w:val="0"/>
          <w:divBdr>
            <w:top w:val="none" w:sz="0" w:space="0" w:color="auto"/>
            <w:left w:val="none" w:sz="0" w:space="0" w:color="auto"/>
            <w:bottom w:val="none" w:sz="0" w:space="0" w:color="auto"/>
            <w:right w:val="none" w:sz="0" w:space="0" w:color="auto"/>
          </w:divBdr>
        </w:div>
        <w:div w:id="1982151186">
          <w:marLeft w:val="640"/>
          <w:marRight w:val="0"/>
          <w:marTop w:val="0"/>
          <w:marBottom w:val="0"/>
          <w:divBdr>
            <w:top w:val="none" w:sz="0" w:space="0" w:color="auto"/>
            <w:left w:val="none" w:sz="0" w:space="0" w:color="auto"/>
            <w:bottom w:val="none" w:sz="0" w:space="0" w:color="auto"/>
            <w:right w:val="none" w:sz="0" w:space="0" w:color="auto"/>
          </w:divBdr>
        </w:div>
        <w:div w:id="1512643541">
          <w:marLeft w:val="640"/>
          <w:marRight w:val="0"/>
          <w:marTop w:val="0"/>
          <w:marBottom w:val="0"/>
          <w:divBdr>
            <w:top w:val="none" w:sz="0" w:space="0" w:color="auto"/>
            <w:left w:val="none" w:sz="0" w:space="0" w:color="auto"/>
            <w:bottom w:val="none" w:sz="0" w:space="0" w:color="auto"/>
            <w:right w:val="none" w:sz="0" w:space="0" w:color="auto"/>
          </w:divBdr>
        </w:div>
        <w:div w:id="1726835706">
          <w:marLeft w:val="640"/>
          <w:marRight w:val="0"/>
          <w:marTop w:val="0"/>
          <w:marBottom w:val="0"/>
          <w:divBdr>
            <w:top w:val="none" w:sz="0" w:space="0" w:color="auto"/>
            <w:left w:val="none" w:sz="0" w:space="0" w:color="auto"/>
            <w:bottom w:val="none" w:sz="0" w:space="0" w:color="auto"/>
            <w:right w:val="none" w:sz="0" w:space="0" w:color="auto"/>
          </w:divBdr>
        </w:div>
        <w:div w:id="798954235">
          <w:marLeft w:val="640"/>
          <w:marRight w:val="0"/>
          <w:marTop w:val="0"/>
          <w:marBottom w:val="0"/>
          <w:divBdr>
            <w:top w:val="none" w:sz="0" w:space="0" w:color="auto"/>
            <w:left w:val="none" w:sz="0" w:space="0" w:color="auto"/>
            <w:bottom w:val="none" w:sz="0" w:space="0" w:color="auto"/>
            <w:right w:val="none" w:sz="0" w:space="0" w:color="auto"/>
          </w:divBdr>
        </w:div>
        <w:div w:id="1100642019">
          <w:marLeft w:val="640"/>
          <w:marRight w:val="0"/>
          <w:marTop w:val="0"/>
          <w:marBottom w:val="0"/>
          <w:divBdr>
            <w:top w:val="none" w:sz="0" w:space="0" w:color="auto"/>
            <w:left w:val="none" w:sz="0" w:space="0" w:color="auto"/>
            <w:bottom w:val="none" w:sz="0" w:space="0" w:color="auto"/>
            <w:right w:val="none" w:sz="0" w:space="0" w:color="auto"/>
          </w:divBdr>
        </w:div>
        <w:div w:id="723680322">
          <w:marLeft w:val="640"/>
          <w:marRight w:val="0"/>
          <w:marTop w:val="0"/>
          <w:marBottom w:val="0"/>
          <w:divBdr>
            <w:top w:val="none" w:sz="0" w:space="0" w:color="auto"/>
            <w:left w:val="none" w:sz="0" w:space="0" w:color="auto"/>
            <w:bottom w:val="none" w:sz="0" w:space="0" w:color="auto"/>
            <w:right w:val="none" w:sz="0" w:space="0" w:color="auto"/>
          </w:divBdr>
        </w:div>
        <w:div w:id="1221403710">
          <w:marLeft w:val="640"/>
          <w:marRight w:val="0"/>
          <w:marTop w:val="0"/>
          <w:marBottom w:val="0"/>
          <w:divBdr>
            <w:top w:val="none" w:sz="0" w:space="0" w:color="auto"/>
            <w:left w:val="none" w:sz="0" w:space="0" w:color="auto"/>
            <w:bottom w:val="none" w:sz="0" w:space="0" w:color="auto"/>
            <w:right w:val="none" w:sz="0" w:space="0" w:color="auto"/>
          </w:divBdr>
        </w:div>
        <w:div w:id="976909214">
          <w:marLeft w:val="640"/>
          <w:marRight w:val="0"/>
          <w:marTop w:val="0"/>
          <w:marBottom w:val="0"/>
          <w:divBdr>
            <w:top w:val="none" w:sz="0" w:space="0" w:color="auto"/>
            <w:left w:val="none" w:sz="0" w:space="0" w:color="auto"/>
            <w:bottom w:val="none" w:sz="0" w:space="0" w:color="auto"/>
            <w:right w:val="none" w:sz="0" w:space="0" w:color="auto"/>
          </w:divBdr>
        </w:div>
        <w:div w:id="314989330">
          <w:marLeft w:val="640"/>
          <w:marRight w:val="0"/>
          <w:marTop w:val="0"/>
          <w:marBottom w:val="0"/>
          <w:divBdr>
            <w:top w:val="none" w:sz="0" w:space="0" w:color="auto"/>
            <w:left w:val="none" w:sz="0" w:space="0" w:color="auto"/>
            <w:bottom w:val="none" w:sz="0" w:space="0" w:color="auto"/>
            <w:right w:val="none" w:sz="0" w:space="0" w:color="auto"/>
          </w:divBdr>
        </w:div>
        <w:div w:id="1988437089">
          <w:marLeft w:val="640"/>
          <w:marRight w:val="0"/>
          <w:marTop w:val="0"/>
          <w:marBottom w:val="0"/>
          <w:divBdr>
            <w:top w:val="none" w:sz="0" w:space="0" w:color="auto"/>
            <w:left w:val="none" w:sz="0" w:space="0" w:color="auto"/>
            <w:bottom w:val="none" w:sz="0" w:space="0" w:color="auto"/>
            <w:right w:val="none" w:sz="0" w:space="0" w:color="auto"/>
          </w:divBdr>
        </w:div>
        <w:div w:id="25495548">
          <w:marLeft w:val="640"/>
          <w:marRight w:val="0"/>
          <w:marTop w:val="0"/>
          <w:marBottom w:val="0"/>
          <w:divBdr>
            <w:top w:val="none" w:sz="0" w:space="0" w:color="auto"/>
            <w:left w:val="none" w:sz="0" w:space="0" w:color="auto"/>
            <w:bottom w:val="none" w:sz="0" w:space="0" w:color="auto"/>
            <w:right w:val="none" w:sz="0" w:space="0" w:color="auto"/>
          </w:divBdr>
        </w:div>
        <w:div w:id="1545288333">
          <w:marLeft w:val="640"/>
          <w:marRight w:val="0"/>
          <w:marTop w:val="0"/>
          <w:marBottom w:val="0"/>
          <w:divBdr>
            <w:top w:val="none" w:sz="0" w:space="0" w:color="auto"/>
            <w:left w:val="none" w:sz="0" w:space="0" w:color="auto"/>
            <w:bottom w:val="none" w:sz="0" w:space="0" w:color="auto"/>
            <w:right w:val="none" w:sz="0" w:space="0" w:color="auto"/>
          </w:divBdr>
        </w:div>
        <w:div w:id="278267883">
          <w:marLeft w:val="640"/>
          <w:marRight w:val="0"/>
          <w:marTop w:val="0"/>
          <w:marBottom w:val="0"/>
          <w:divBdr>
            <w:top w:val="none" w:sz="0" w:space="0" w:color="auto"/>
            <w:left w:val="none" w:sz="0" w:space="0" w:color="auto"/>
            <w:bottom w:val="none" w:sz="0" w:space="0" w:color="auto"/>
            <w:right w:val="none" w:sz="0" w:space="0" w:color="auto"/>
          </w:divBdr>
        </w:div>
        <w:div w:id="879128115">
          <w:marLeft w:val="640"/>
          <w:marRight w:val="0"/>
          <w:marTop w:val="0"/>
          <w:marBottom w:val="0"/>
          <w:divBdr>
            <w:top w:val="none" w:sz="0" w:space="0" w:color="auto"/>
            <w:left w:val="none" w:sz="0" w:space="0" w:color="auto"/>
            <w:bottom w:val="none" w:sz="0" w:space="0" w:color="auto"/>
            <w:right w:val="none" w:sz="0" w:space="0" w:color="auto"/>
          </w:divBdr>
        </w:div>
        <w:div w:id="797913435">
          <w:marLeft w:val="640"/>
          <w:marRight w:val="0"/>
          <w:marTop w:val="0"/>
          <w:marBottom w:val="0"/>
          <w:divBdr>
            <w:top w:val="none" w:sz="0" w:space="0" w:color="auto"/>
            <w:left w:val="none" w:sz="0" w:space="0" w:color="auto"/>
            <w:bottom w:val="none" w:sz="0" w:space="0" w:color="auto"/>
            <w:right w:val="none" w:sz="0" w:space="0" w:color="auto"/>
          </w:divBdr>
        </w:div>
        <w:div w:id="117190378">
          <w:marLeft w:val="640"/>
          <w:marRight w:val="0"/>
          <w:marTop w:val="0"/>
          <w:marBottom w:val="0"/>
          <w:divBdr>
            <w:top w:val="none" w:sz="0" w:space="0" w:color="auto"/>
            <w:left w:val="none" w:sz="0" w:space="0" w:color="auto"/>
            <w:bottom w:val="none" w:sz="0" w:space="0" w:color="auto"/>
            <w:right w:val="none" w:sz="0" w:space="0" w:color="auto"/>
          </w:divBdr>
        </w:div>
        <w:div w:id="1617444638">
          <w:marLeft w:val="640"/>
          <w:marRight w:val="0"/>
          <w:marTop w:val="0"/>
          <w:marBottom w:val="0"/>
          <w:divBdr>
            <w:top w:val="none" w:sz="0" w:space="0" w:color="auto"/>
            <w:left w:val="none" w:sz="0" w:space="0" w:color="auto"/>
            <w:bottom w:val="none" w:sz="0" w:space="0" w:color="auto"/>
            <w:right w:val="none" w:sz="0" w:space="0" w:color="auto"/>
          </w:divBdr>
        </w:div>
        <w:div w:id="1108113307">
          <w:marLeft w:val="640"/>
          <w:marRight w:val="0"/>
          <w:marTop w:val="0"/>
          <w:marBottom w:val="0"/>
          <w:divBdr>
            <w:top w:val="none" w:sz="0" w:space="0" w:color="auto"/>
            <w:left w:val="none" w:sz="0" w:space="0" w:color="auto"/>
            <w:bottom w:val="none" w:sz="0" w:space="0" w:color="auto"/>
            <w:right w:val="none" w:sz="0" w:space="0" w:color="auto"/>
          </w:divBdr>
        </w:div>
        <w:div w:id="16586728">
          <w:marLeft w:val="640"/>
          <w:marRight w:val="0"/>
          <w:marTop w:val="0"/>
          <w:marBottom w:val="0"/>
          <w:divBdr>
            <w:top w:val="none" w:sz="0" w:space="0" w:color="auto"/>
            <w:left w:val="none" w:sz="0" w:space="0" w:color="auto"/>
            <w:bottom w:val="none" w:sz="0" w:space="0" w:color="auto"/>
            <w:right w:val="none" w:sz="0" w:space="0" w:color="auto"/>
          </w:divBdr>
        </w:div>
        <w:div w:id="1631282102">
          <w:marLeft w:val="640"/>
          <w:marRight w:val="0"/>
          <w:marTop w:val="0"/>
          <w:marBottom w:val="0"/>
          <w:divBdr>
            <w:top w:val="none" w:sz="0" w:space="0" w:color="auto"/>
            <w:left w:val="none" w:sz="0" w:space="0" w:color="auto"/>
            <w:bottom w:val="none" w:sz="0" w:space="0" w:color="auto"/>
            <w:right w:val="none" w:sz="0" w:space="0" w:color="auto"/>
          </w:divBdr>
        </w:div>
        <w:div w:id="561984120">
          <w:marLeft w:val="640"/>
          <w:marRight w:val="0"/>
          <w:marTop w:val="0"/>
          <w:marBottom w:val="0"/>
          <w:divBdr>
            <w:top w:val="none" w:sz="0" w:space="0" w:color="auto"/>
            <w:left w:val="none" w:sz="0" w:space="0" w:color="auto"/>
            <w:bottom w:val="none" w:sz="0" w:space="0" w:color="auto"/>
            <w:right w:val="none" w:sz="0" w:space="0" w:color="auto"/>
          </w:divBdr>
        </w:div>
        <w:div w:id="1414352938">
          <w:marLeft w:val="640"/>
          <w:marRight w:val="0"/>
          <w:marTop w:val="0"/>
          <w:marBottom w:val="0"/>
          <w:divBdr>
            <w:top w:val="none" w:sz="0" w:space="0" w:color="auto"/>
            <w:left w:val="none" w:sz="0" w:space="0" w:color="auto"/>
            <w:bottom w:val="none" w:sz="0" w:space="0" w:color="auto"/>
            <w:right w:val="none" w:sz="0" w:space="0" w:color="auto"/>
          </w:divBdr>
        </w:div>
        <w:div w:id="2091077273">
          <w:marLeft w:val="640"/>
          <w:marRight w:val="0"/>
          <w:marTop w:val="0"/>
          <w:marBottom w:val="0"/>
          <w:divBdr>
            <w:top w:val="none" w:sz="0" w:space="0" w:color="auto"/>
            <w:left w:val="none" w:sz="0" w:space="0" w:color="auto"/>
            <w:bottom w:val="none" w:sz="0" w:space="0" w:color="auto"/>
            <w:right w:val="none" w:sz="0" w:space="0" w:color="auto"/>
          </w:divBdr>
        </w:div>
        <w:div w:id="1047604743">
          <w:marLeft w:val="640"/>
          <w:marRight w:val="0"/>
          <w:marTop w:val="0"/>
          <w:marBottom w:val="0"/>
          <w:divBdr>
            <w:top w:val="none" w:sz="0" w:space="0" w:color="auto"/>
            <w:left w:val="none" w:sz="0" w:space="0" w:color="auto"/>
            <w:bottom w:val="none" w:sz="0" w:space="0" w:color="auto"/>
            <w:right w:val="none" w:sz="0" w:space="0" w:color="auto"/>
          </w:divBdr>
        </w:div>
        <w:div w:id="309021535">
          <w:marLeft w:val="640"/>
          <w:marRight w:val="0"/>
          <w:marTop w:val="0"/>
          <w:marBottom w:val="0"/>
          <w:divBdr>
            <w:top w:val="none" w:sz="0" w:space="0" w:color="auto"/>
            <w:left w:val="none" w:sz="0" w:space="0" w:color="auto"/>
            <w:bottom w:val="none" w:sz="0" w:space="0" w:color="auto"/>
            <w:right w:val="none" w:sz="0" w:space="0" w:color="auto"/>
          </w:divBdr>
        </w:div>
        <w:div w:id="2143226591">
          <w:marLeft w:val="640"/>
          <w:marRight w:val="0"/>
          <w:marTop w:val="0"/>
          <w:marBottom w:val="0"/>
          <w:divBdr>
            <w:top w:val="none" w:sz="0" w:space="0" w:color="auto"/>
            <w:left w:val="none" w:sz="0" w:space="0" w:color="auto"/>
            <w:bottom w:val="none" w:sz="0" w:space="0" w:color="auto"/>
            <w:right w:val="none" w:sz="0" w:space="0" w:color="auto"/>
          </w:divBdr>
        </w:div>
        <w:div w:id="1705793018">
          <w:marLeft w:val="640"/>
          <w:marRight w:val="0"/>
          <w:marTop w:val="0"/>
          <w:marBottom w:val="0"/>
          <w:divBdr>
            <w:top w:val="none" w:sz="0" w:space="0" w:color="auto"/>
            <w:left w:val="none" w:sz="0" w:space="0" w:color="auto"/>
            <w:bottom w:val="none" w:sz="0" w:space="0" w:color="auto"/>
            <w:right w:val="none" w:sz="0" w:space="0" w:color="auto"/>
          </w:divBdr>
        </w:div>
        <w:div w:id="1980106624">
          <w:marLeft w:val="640"/>
          <w:marRight w:val="0"/>
          <w:marTop w:val="0"/>
          <w:marBottom w:val="0"/>
          <w:divBdr>
            <w:top w:val="none" w:sz="0" w:space="0" w:color="auto"/>
            <w:left w:val="none" w:sz="0" w:space="0" w:color="auto"/>
            <w:bottom w:val="none" w:sz="0" w:space="0" w:color="auto"/>
            <w:right w:val="none" w:sz="0" w:space="0" w:color="auto"/>
          </w:divBdr>
        </w:div>
        <w:div w:id="502427892">
          <w:marLeft w:val="640"/>
          <w:marRight w:val="0"/>
          <w:marTop w:val="0"/>
          <w:marBottom w:val="0"/>
          <w:divBdr>
            <w:top w:val="none" w:sz="0" w:space="0" w:color="auto"/>
            <w:left w:val="none" w:sz="0" w:space="0" w:color="auto"/>
            <w:bottom w:val="none" w:sz="0" w:space="0" w:color="auto"/>
            <w:right w:val="none" w:sz="0" w:space="0" w:color="auto"/>
          </w:divBdr>
        </w:div>
        <w:div w:id="1094011858">
          <w:marLeft w:val="640"/>
          <w:marRight w:val="0"/>
          <w:marTop w:val="0"/>
          <w:marBottom w:val="0"/>
          <w:divBdr>
            <w:top w:val="none" w:sz="0" w:space="0" w:color="auto"/>
            <w:left w:val="none" w:sz="0" w:space="0" w:color="auto"/>
            <w:bottom w:val="none" w:sz="0" w:space="0" w:color="auto"/>
            <w:right w:val="none" w:sz="0" w:space="0" w:color="auto"/>
          </w:divBdr>
        </w:div>
        <w:div w:id="826480893">
          <w:marLeft w:val="640"/>
          <w:marRight w:val="0"/>
          <w:marTop w:val="0"/>
          <w:marBottom w:val="0"/>
          <w:divBdr>
            <w:top w:val="none" w:sz="0" w:space="0" w:color="auto"/>
            <w:left w:val="none" w:sz="0" w:space="0" w:color="auto"/>
            <w:bottom w:val="none" w:sz="0" w:space="0" w:color="auto"/>
            <w:right w:val="none" w:sz="0" w:space="0" w:color="auto"/>
          </w:divBdr>
        </w:div>
        <w:div w:id="1637250619">
          <w:marLeft w:val="640"/>
          <w:marRight w:val="0"/>
          <w:marTop w:val="0"/>
          <w:marBottom w:val="0"/>
          <w:divBdr>
            <w:top w:val="none" w:sz="0" w:space="0" w:color="auto"/>
            <w:left w:val="none" w:sz="0" w:space="0" w:color="auto"/>
            <w:bottom w:val="none" w:sz="0" w:space="0" w:color="auto"/>
            <w:right w:val="none" w:sz="0" w:space="0" w:color="auto"/>
          </w:divBdr>
        </w:div>
        <w:div w:id="541752662">
          <w:marLeft w:val="640"/>
          <w:marRight w:val="0"/>
          <w:marTop w:val="0"/>
          <w:marBottom w:val="0"/>
          <w:divBdr>
            <w:top w:val="none" w:sz="0" w:space="0" w:color="auto"/>
            <w:left w:val="none" w:sz="0" w:space="0" w:color="auto"/>
            <w:bottom w:val="none" w:sz="0" w:space="0" w:color="auto"/>
            <w:right w:val="none" w:sz="0" w:space="0" w:color="auto"/>
          </w:divBdr>
        </w:div>
        <w:div w:id="1270241902">
          <w:marLeft w:val="640"/>
          <w:marRight w:val="0"/>
          <w:marTop w:val="0"/>
          <w:marBottom w:val="0"/>
          <w:divBdr>
            <w:top w:val="none" w:sz="0" w:space="0" w:color="auto"/>
            <w:left w:val="none" w:sz="0" w:space="0" w:color="auto"/>
            <w:bottom w:val="none" w:sz="0" w:space="0" w:color="auto"/>
            <w:right w:val="none" w:sz="0" w:space="0" w:color="auto"/>
          </w:divBdr>
        </w:div>
        <w:div w:id="2018191778">
          <w:marLeft w:val="640"/>
          <w:marRight w:val="0"/>
          <w:marTop w:val="0"/>
          <w:marBottom w:val="0"/>
          <w:divBdr>
            <w:top w:val="none" w:sz="0" w:space="0" w:color="auto"/>
            <w:left w:val="none" w:sz="0" w:space="0" w:color="auto"/>
            <w:bottom w:val="none" w:sz="0" w:space="0" w:color="auto"/>
            <w:right w:val="none" w:sz="0" w:space="0" w:color="auto"/>
          </w:divBdr>
        </w:div>
        <w:div w:id="192159352">
          <w:marLeft w:val="640"/>
          <w:marRight w:val="0"/>
          <w:marTop w:val="0"/>
          <w:marBottom w:val="0"/>
          <w:divBdr>
            <w:top w:val="none" w:sz="0" w:space="0" w:color="auto"/>
            <w:left w:val="none" w:sz="0" w:space="0" w:color="auto"/>
            <w:bottom w:val="none" w:sz="0" w:space="0" w:color="auto"/>
            <w:right w:val="none" w:sz="0" w:space="0" w:color="auto"/>
          </w:divBdr>
        </w:div>
        <w:div w:id="1955820367">
          <w:marLeft w:val="640"/>
          <w:marRight w:val="0"/>
          <w:marTop w:val="0"/>
          <w:marBottom w:val="0"/>
          <w:divBdr>
            <w:top w:val="none" w:sz="0" w:space="0" w:color="auto"/>
            <w:left w:val="none" w:sz="0" w:space="0" w:color="auto"/>
            <w:bottom w:val="none" w:sz="0" w:space="0" w:color="auto"/>
            <w:right w:val="none" w:sz="0" w:space="0" w:color="auto"/>
          </w:divBdr>
        </w:div>
        <w:div w:id="1493984548">
          <w:marLeft w:val="640"/>
          <w:marRight w:val="0"/>
          <w:marTop w:val="0"/>
          <w:marBottom w:val="0"/>
          <w:divBdr>
            <w:top w:val="none" w:sz="0" w:space="0" w:color="auto"/>
            <w:left w:val="none" w:sz="0" w:space="0" w:color="auto"/>
            <w:bottom w:val="none" w:sz="0" w:space="0" w:color="auto"/>
            <w:right w:val="none" w:sz="0" w:space="0" w:color="auto"/>
          </w:divBdr>
        </w:div>
        <w:div w:id="845167573">
          <w:marLeft w:val="640"/>
          <w:marRight w:val="0"/>
          <w:marTop w:val="0"/>
          <w:marBottom w:val="0"/>
          <w:divBdr>
            <w:top w:val="none" w:sz="0" w:space="0" w:color="auto"/>
            <w:left w:val="none" w:sz="0" w:space="0" w:color="auto"/>
            <w:bottom w:val="none" w:sz="0" w:space="0" w:color="auto"/>
            <w:right w:val="none" w:sz="0" w:space="0" w:color="auto"/>
          </w:divBdr>
        </w:div>
        <w:div w:id="1664816907">
          <w:marLeft w:val="640"/>
          <w:marRight w:val="0"/>
          <w:marTop w:val="0"/>
          <w:marBottom w:val="0"/>
          <w:divBdr>
            <w:top w:val="none" w:sz="0" w:space="0" w:color="auto"/>
            <w:left w:val="none" w:sz="0" w:space="0" w:color="auto"/>
            <w:bottom w:val="none" w:sz="0" w:space="0" w:color="auto"/>
            <w:right w:val="none" w:sz="0" w:space="0" w:color="auto"/>
          </w:divBdr>
        </w:div>
        <w:div w:id="621348604">
          <w:marLeft w:val="640"/>
          <w:marRight w:val="0"/>
          <w:marTop w:val="0"/>
          <w:marBottom w:val="0"/>
          <w:divBdr>
            <w:top w:val="none" w:sz="0" w:space="0" w:color="auto"/>
            <w:left w:val="none" w:sz="0" w:space="0" w:color="auto"/>
            <w:bottom w:val="none" w:sz="0" w:space="0" w:color="auto"/>
            <w:right w:val="none" w:sz="0" w:space="0" w:color="auto"/>
          </w:divBdr>
        </w:div>
        <w:div w:id="947812415">
          <w:marLeft w:val="640"/>
          <w:marRight w:val="0"/>
          <w:marTop w:val="0"/>
          <w:marBottom w:val="0"/>
          <w:divBdr>
            <w:top w:val="none" w:sz="0" w:space="0" w:color="auto"/>
            <w:left w:val="none" w:sz="0" w:space="0" w:color="auto"/>
            <w:bottom w:val="none" w:sz="0" w:space="0" w:color="auto"/>
            <w:right w:val="none" w:sz="0" w:space="0" w:color="auto"/>
          </w:divBdr>
        </w:div>
        <w:div w:id="123887602">
          <w:marLeft w:val="640"/>
          <w:marRight w:val="0"/>
          <w:marTop w:val="0"/>
          <w:marBottom w:val="0"/>
          <w:divBdr>
            <w:top w:val="none" w:sz="0" w:space="0" w:color="auto"/>
            <w:left w:val="none" w:sz="0" w:space="0" w:color="auto"/>
            <w:bottom w:val="none" w:sz="0" w:space="0" w:color="auto"/>
            <w:right w:val="none" w:sz="0" w:space="0" w:color="auto"/>
          </w:divBdr>
        </w:div>
        <w:div w:id="1831632600">
          <w:marLeft w:val="640"/>
          <w:marRight w:val="0"/>
          <w:marTop w:val="0"/>
          <w:marBottom w:val="0"/>
          <w:divBdr>
            <w:top w:val="none" w:sz="0" w:space="0" w:color="auto"/>
            <w:left w:val="none" w:sz="0" w:space="0" w:color="auto"/>
            <w:bottom w:val="none" w:sz="0" w:space="0" w:color="auto"/>
            <w:right w:val="none" w:sz="0" w:space="0" w:color="auto"/>
          </w:divBdr>
        </w:div>
        <w:div w:id="2074228254">
          <w:marLeft w:val="640"/>
          <w:marRight w:val="0"/>
          <w:marTop w:val="0"/>
          <w:marBottom w:val="0"/>
          <w:divBdr>
            <w:top w:val="none" w:sz="0" w:space="0" w:color="auto"/>
            <w:left w:val="none" w:sz="0" w:space="0" w:color="auto"/>
            <w:bottom w:val="none" w:sz="0" w:space="0" w:color="auto"/>
            <w:right w:val="none" w:sz="0" w:space="0" w:color="auto"/>
          </w:divBdr>
        </w:div>
        <w:div w:id="1690062672">
          <w:marLeft w:val="640"/>
          <w:marRight w:val="0"/>
          <w:marTop w:val="0"/>
          <w:marBottom w:val="0"/>
          <w:divBdr>
            <w:top w:val="none" w:sz="0" w:space="0" w:color="auto"/>
            <w:left w:val="none" w:sz="0" w:space="0" w:color="auto"/>
            <w:bottom w:val="none" w:sz="0" w:space="0" w:color="auto"/>
            <w:right w:val="none" w:sz="0" w:space="0" w:color="auto"/>
          </w:divBdr>
        </w:div>
        <w:div w:id="361976278">
          <w:marLeft w:val="640"/>
          <w:marRight w:val="0"/>
          <w:marTop w:val="0"/>
          <w:marBottom w:val="0"/>
          <w:divBdr>
            <w:top w:val="none" w:sz="0" w:space="0" w:color="auto"/>
            <w:left w:val="none" w:sz="0" w:space="0" w:color="auto"/>
            <w:bottom w:val="none" w:sz="0" w:space="0" w:color="auto"/>
            <w:right w:val="none" w:sz="0" w:space="0" w:color="auto"/>
          </w:divBdr>
        </w:div>
        <w:div w:id="336808733">
          <w:marLeft w:val="640"/>
          <w:marRight w:val="0"/>
          <w:marTop w:val="0"/>
          <w:marBottom w:val="0"/>
          <w:divBdr>
            <w:top w:val="none" w:sz="0" w:space="0" w:color="auto"/>
            <w:left w:val="none" w:sz="0" w:space="0" w:color="auto"/>
            <w:bottom w:val="none" w:sz="0" w:space="0" w:color="auto"/>
            <w:right w:val="none" w:sz="0" w:space="0" w:color="auto"/>
          </w:divBdr>
        </w:div>
        <w:div w:id="1773427333">
          <w:marLeft w:val="640"/>
          <w:marRight w:val="0"/>
          <w:marTop w:val="0"/>
          <w:marBottom w:val="0"/>
          <w:divBdr>
            <w:top w:val="none" w:sz="0" w:space="0" w:color="auto"/>
            <w:left w:val="none" w:sz="0" w:space="0" w:color="auto"/>
            <w:bottom w:val="none" w:sz="0" w:space="0" w:color="auto"/>
            <w:right w:val="none" w:sz="0" w:space="0" w:color="auto"/>
          </w:divBdr>
        </w:div>
        <w:div w:id="2102799086">
          <w:marLeft w:val="640"/>
          <w:marRight w:val="0"/>
          <w:marTop w:val="0"/>
          <w:marBottom w:val="0"/>
          <w:divBdr>
            <w:top w:val="none" w:sz="0" w:space="0" w:color="auto"/>
            <w:left w:val="none" w:sz="0" w:space="0" w:color="auto"/>
            <w:bottom w:val="none" w:sz="0" w:space="0" w:color="auto"/>
            <w:right w:val="none" w:sz="0" w:space="0" w:color="auto"/>
          </w:divBdr>
        </w:div>
        <w:div w:id="203760962">
          <w:marLeft w:val="640"/>
          <w:marRight w:val="0"/>
          <w:marTop w:val="0"/>
          <w:marBottom w:val="0"/>
          <w:divBdr>
            <w:top w:val="none" w:sz="0" w:space="0" w:color="auto"/>
            <w:left w:val="none" w:sz="0" w:space="0" w:color="auto"/>
            <w:bottom w:val="none" w:sz="0" w:space="0" w:color="auto"/>
            <w:right w:val="none" w:sz="0" w:space="0" w:color="auto"/>
          </w:divBdr>
        </w:div>
        <w:div w:id="38435103">
          <w:marLeft w:val="640"/>
          <w:marRight w:val="0"/>
          <w:marTop w:val="0"/>
          <w:marBottom w:val="0"/>
          <w:divBdr>
            <w:top w:val="none" w:sz="0" w:space="0" w:color="auto"/>
            <w:left w:val="none" w:sz="0" w:space="0" w:color="auto"/>
            <w:bottom w:val="none" w:sz="0" w:space="0" w:color="auto"/>
            <w:right w:val="none" w:sz="0" w:space="0" w:color="auto"/>
          </w:divBdr>
        </w:div>
        <w:div w:id="319499881">
          <w:marLeft w:val="640"/>
          <w:marRight w:val="0"/>
          <w:marTop w:val="0"/>
          <w:marBottom w:val="0"/>
          <w:divBdr>
            <w:top w:val="none" w:sz="0" w:space="0" w:color="auto"/>
            <w:left w:val="none" w:sz="0" w:space="0" w:color="auto"/>
            <w:bottom w:val="none" w:sz="0" w:space="0" w:color="auto"/>
            <w:right w:val="none" w:sz="0" w:space="0" w:color="auto"/>
          </w:divBdr>
        </w:div>
        <w:div w:id="1256090322">
          <w:marLeft w:val="640"/>
          <w:marRight w:val="0"/>
          <w:marTop w:val="0"/>
          <w:marBottom w:val="0"/>
          <w:divBdr>
            <w:top w:val="none" w:sz="0" w:space="0" w:color="auto"/>
            <w:left w:val="none" w:sz="0" w:space="0" w:color="auto"/>
            <w:bottom w:val="none" w:sz="0" w:space="0" w:color="auto"/>
            <w:right w:val="none" w:sz="0" w:space="0" w:color="auto"/>
          </w:divBdr>
        </w:div>
        <w:div w:id="694502184">
          <w:marLeft w:val="640"/>
          <w:marRight w:val="0"/>
          <w:marTop w:val="0"/>
          <w:marBottom w:val="0"/>
          <w:divBdr>
            <w:top w:val="none" w:sz="0" w:space="0" w:color="auto"/>
            <w:left w:val="none" w:sz="0" w:space="0" w:color="auto"/>
            <w:bottom w:val="none" w:sz="0" w:space="0" w:color="auto"/>
            <w:right w:val="none" w:sz="0" w:space="0" w:color="auto"/>
          </w:divBdr>
        </w:div>
        <w:div w:id="627316810">
          <w:marLeft w:val="640"/>
          <w:marRight w:val="0"/>
          <w:marTop w:val="0"/>
          <w:marBottom w:val="0"/>
          <w:divBdr>
            <w:top w:val="none" w:sz="0" w:space="0" w:color="auto"/>
            <w:left w:val="none" w:sz="0" w:space="0" w:color="auto"/>
            <w:bottom w:val="none" w:sz="0" w:space="0" w:color="auto"/>
            <w:right w:val="none" w:sz="0" w:space="0" w:color="auto"/>
          </w:divBdr>
        </w:div>
        <w:div w:id="1100638027">
          <w:marLeft w:val="640"/>
          <w:marRight w:val="0"/>
          <w:marTop w:val="0"/>
          <w:marBottom w:val="0"/>
          <w:divBdr>
            <w:top w:val="none" w:sz="0" w:space="0" w:color="auto"/>
            <w:left w:val="none" w:sz="0" w:space="0" w:color="auto"/>
            <w:bottom w:val="none" w:sz="0" w:space="0" w:color="auto"/>
            <w:right w:val="none" w:sz="0" w:space="0" w:color="auto"/>
          </w:divBdr>
        </w:div>
        <w:div w:id="94908626">
          <w:marLeft w:val="640"/>
          <w:marRight w:val="0"/>
          <w:marTop w:val="0"/>
          <w:marBottom w:val="0"/>
          <w:divBdr>
            <w:top w:val="none" w:sz="0" w:space="0" w:color="auto"/>
            <w:left w:val="none" w:sz="0" w:space="0" w:color="auto"/>
            <w:bottom w:val="none" w:sz="0" w:space="0" w:color="auto"/>
            <w:right w:val="none" w:sz="0" w:space="0" w:color="auto"/>
          </w:divBdr>
        </w:div>
        <w:div w:id="1967394681">
          <w:marLeft w:val="640"/>
          <w:marRight w:val="0"/>
          <w:marTop w:val="0"/>
          <w:marBottom w:val="0"/>
          <w:divBdr>
            <w:top w:val="none" w:sz="0" w:space="0" w:color="auto"/>
            <w:left w:val="none" w:sz="0" w:space="0" w:color="auto"/>
            <w:bottom w:val="none" w:sz="0" w:space="0" w:color="auto"/>
            <w:right w:val="none" w:sz="0" w:space="0" w:color="auto"/>
          </w:divBdr>
        </w:div>
        <w:div w:id="2005013873">
          <w:marLeft w:val="640"/>
          <w:marRight w:val="0"/>
          <w:marTop w:val="0"/>
          <w:marBottom w:val="0"/>
          <w:divBdr>
            <w:top w:val="none" w:sz="0" w:space="0" w:color="auto"/>
            <w:left w:val="none" w:sz="0" w:space="0" w:color="auto"/>
            <w:bottom w:val="none" w:sz="0" w:space="0" w:color="auto"/>
            <w:right w:val="none" w:sz="0" w:space="0" w:color="auto"/>
          </w:divBdr>
        </w:div>
        <w:div w:id="39407438">
          <w:marLeft w:val="640"/>
          <w:marRight w:val="0"/>
          <w:marTop w:val="0"/>
          <w:marBottom w:val="0"/>
          <w:divBdr>
            <w:top w:val="none" w:sz="0" w:space="0" w:color="auto"/>
            <w:left w:val="none" w:sz="0" w:space="0" w:color="auto"/>
            <w:bottom w:val="none" w:sz="0" w:space="0" w:color="auto"/>
            <w:right w:val="none" w:sz="0" w:space="0" w:color="auto"/>
          </w:divBdr>
        </w:div>
        <w:div w:id="1910848031">
          <w:marLeft w:val="640"/>
          <w:marRight w:val="0"/>
          <w:marTop w:val="0"/>
          <w:marBottom w:val="0"/>
          <w:divBdr>
            <w:top w:val="none" w:sz="0" w:space="0" w:color="auto"/>
            <w:left w:val="none" w:sz="0" w:space="0" w:color="auto"/>
            <w:bottom w:val="none" w:sz="0" w:space="0" w:color="auto"/>
            <w:right w:val="none" w:sz="0" w:space="0" w:color="auto"/>
          </w:divBdr>
        </w:div>
        <w:div w:id="1871066399">
          <w:marLeft w:val="640"/>
          <w:marRight w:val="0"/>
          <w:marTop w:val="0"/>
          <w:marBottom w:val="0"/>
          <w:divBdr>
            <w:top w:val="none" w:sz="0" w:space="0" w:color="auto"/>
            <w:left w:val="none" w:sz="0" w:space="0" w:color="auto"/>
            <w:bottom w:val="none" w:sz="0" w:space="0" w:color="auto"/>
            <w:right w:val="none" w:sz="0" w:space="0" w:color="auto"/>
          </w:divBdr>
        </w:div>
        <w:div w:id="502279946">
          <w:marLeft w:val="640"/>
          <w:marRight w:val="0"/>
          <w:marTop w:val="0"/>
          <w:marBottom w:val="0"/>
          <w:divBdr>
            <w:top w:val="none" w:sz="0" w:space="0" w:color="auto"/>
            <w:left w:val="none" w:sz="0" w:space="0" w:color="auto"/>
            <w:bottom w:val="none" w:sz="0" w:space="0" w:color="auto"/>
            <w:right w:val="none" w:sz="0" w:space="0" w:color="auto"/>
          </w:divBdr>
        </w:div>
        <w:div w:id="1466314304">
          <w:marLeft w:val="640"/>
          <w:marRight w:val="0"/>
          <w:marTop w:val="0"/>
          <w:marBottom w:val="0"/>
          <w:divBdr>
            <w:top w:val="none" w:sz="0" w:space="0" w:color="auto"/>
            <w:left w:val="none" w:sz="0" w:space="0" w:color="auto"/>
            <w:bottom w:val="none" w:sz="0" w:space="0" w:color="auto"/>
            <w:right w:val="none" w:sz="0" w:space="0" w:color="auto"/>
          </w:divBdr>
        </w:div>
        <w:div w:id="1305505339">
          <w:marLeft w:val="640"/>
          <w:marRight w:val="0"/>
          <w:marTop w:val="0"/>
          <w:marBottom w:val="0"/>
          <w:divBdr>
            <w:top w:val="none" w:sz="0" w:space="0" w:color="auto"/>
            <w:left w:val="none" w:sz="0" w:space="0" w:color="auto"/>
            <w:bottom w:val="none" w:sz="0" w:space="0" w:color="auto"/>
            <w:right w:val="none" w:sz="0" w:space="0" w:color="auto"/>
          </w:divBdr>
        </w:div>
        <w:div w:id="737168823">
          <w:marLeft w:val="640"/>
          <w:marRight w:val="0"/>
          <w:marTop w:val="0"/>
          <w:marBottom w:val="0"/>
          <w:divBdr>
            <w:top w:val="none" w:sz="0" w:space="0" w:color="auto"/>
            <w:left w:val="none" w:sz="0" w:space="0" w:color="auto"/>
            <w:bottom w:val="none" w:sz="0" w:space="0" w:color="auto"/>
            <w:right w:val="none" w:sz="0" w:space="0" w:color="auto"/>
          </w:divBdr>
        </w:div>
        <w:div w:id="1242720447">
          <w:marLeft w:val="640"/>
          <w:marRight w:val="0"/>
          <w:marTop w:val="0"/>
          <w:marBottom w:val="0"/>
          <w:divBdr>
            <w:top w:val="none" w:sz="0" w:space="0" w:color="auto"/>
            <w:left w:val="none" w:sz="0" w:space="0" w:color="auto"/>
            <w:bottom w:val="none" w:sz="0" w:space="0" w:color="auto"/>
            <w:right w:val="none" w:sz="0" w:space="0" w:color="auto"/>
          </w:divBdr>
        </w:div>
        <w:div w:id="968365616">
          <w:marLeft w:val="640"/>
          <w:marRight w:val="0"/>
          <w:marTop w:val="0"/>
          <w:marBottom w:val="0"/>
          <w:divBdr>
            <w:top w:val="none" w:sz="0" w:space="0" w:color="auto"/>
            <w:left w:val="none" w:sz="0" w:space="0" w:color="auto"/>
            <w:bottom w:val="none" w:sz="0" w:space="0" w:color="auto"/>
            <w:right w:val="none" w:sz="0" w:space="0" w:color="auto"/>
          </w:divBdr>
        </w:div>
        <w:div w:id="550463244">
          <w:marLeft w:val="640"/>
          <w:marRight w:val="0"/>
          <w:marTop w:val="0"/>
          <w:marBottom w:val="0"/>
          <w:divBdr>
            <w:top w:val="none" w:sz="0" w:space="0" w:color="auto"/>
            <w:left w:val="none" w:sz="0" w:space="0" w:color="auto"/>
            <w:bottom w:val="none" w:sz="0" w:space="0" w:color="auto"/>
            <w:right w:val="none" w:sz="0" w:space="0" w:color="auto"/>
          </w:divBdr>
        </w:div>
        <w:div w:id="2136099610">
          <w:marLeft w:val="640"/>
          <w:marRight w:val="0"/>
          <w:marTop w:val="0"/>
          <w:marBottom w:val="0"/>
          <w:divBdr>
            <w:top w:val="none" w:sz="0" w:space="0" w:color="auto"/>
            <w:left w:val="none" w:sz="0" w:space="0" w:color="auto"/>
            <w:bottom w:val="none" w:sz="0" w:space="0" w:color="auto"/>
            <w:right w:val="none" w:sz="0" w:space="0" w:color="auto"/>
          </w:divBdr>
        </w:div>
        <w:div w:id="841550818">
          <w:marLeft w:val="640"/>
          <w:marRight w:val="0"/>
          <w:marTop w:val="0"/>
          <w:marBottom w:val="0"/>
          <w:divBdr>
            <w:top w:val="none" w:sz="0" w:space="0" w:color="auto"/>
            <w:left w:val="none" w:sz="0" w:space="0" w:color="auto"/>
            <w:bottom w:val="none" w:sz="0" w:space="0" w:color="auto"/>
            <w:right w:val="none" w:sz="0" w:space="0" w:color="auto"/>
          </w:divBdr>
        </w:div>
        <w:div w:id="1022629082">
          <w:marLeft w:val="640"/>
          <w:marRight w:val="0"/>
          <w:marTop w:val="0"/>
          <w:marBottom w:val="0"/>
          <w:divBdr>
            <w:top w:val="none" w:sz="0" w:space="0" w:color="auto"/>
            <w:left w:val="none" w:sz="0" w:space="0" w:color="auto"/>
            <w:bottom w:val="none" w:sz="0" w:space="0" w:color="auto"/>
            <w:right w:val="none" w:sz="0" w:space="0" w:color="auto"/>
          </w:divBdr>
        </w:div>
        <w:div w:id="327094620">
          <w:marLeft w:val="640"/>
          <w:marRight w:val="0"/>
          <w:marTop w:val="0"/>
          <w:marBottom w:val="0"/>
          <w:divBdr>
            <w:top w:val="none" w:sz="0" w:space="0" w:color="auto"/>
            <w:left w:val="none" w:sz="0" w:space="0" w:color="auto"/>
            <w:bottom w:val="none" w:sz="0" w:space="0" w:color="auto"/>
            <w:right w:val="none" w:sz="0" w:space="0" w:color="auto"/>
          </w:divBdr>
        </w:div>
        <w:div w:id="620113917">
          <w:marLeft w:val="640"/>
          <w:marRight w:val="0"/>
          <w:marTop w:val="0"/>
          <w:marBottom w:val="0"/>
          <w:divBdr>
            <w:top w:val="none" w:sz="0" w:space="0" w:color="auto"/>
            <w:left w:val="none" w:sz="0" w:space="0" w:color="auto"/>
            <w:bottom w:val="none" w:sz="0" w:space="0" w:color="auto"/>
            <w:right w:val="none" w:sz="0" w:space="0" w:color="auto"/>
          </w:divBdr>
        </w:div>
        <w:div w:id="524560503">
          <w:marLeft w:val="640"/>
          <w:marRight w:val="0"/>
          <w:marTop w:val="0"/>
          <w:marBottom w:val="0"/>
          <w:divBdr>
            <w:top w:val="none" w:sz="0" w:space="0" w:color="auto"/>
            <w:left w:val="none" w:sz="0" w:space="0" w:color="auto"/>
            <w:bottom w:val="none" w:sz="0" w:space="0" w:color="auto"/>
            <w:right w:val="none" w:sz="0" w:space="0" w:color="auto"/>
          </w:divBdr>
        </w:div>
        <w:div w:id="1657881258">
          <w:marLeft w:val="640"/>
          <w:marRight w:val="0"/>
          <w:marTop w:val="0"/>
          <w:marBottom w:val="0"/>
          <w:divBdr>
            <w:top w:val="none" w:sz="0" w:space="0" w:color="auto"/>
            <w:left w:val="none" w:sz="0" w:space="0" w:color="auto"/>
            <w:bottom w:val="none" w:sz="0" w:space="0" w:color="auto"/>
            <w:right w:val="none" w:sz="0" w:space="0" w:color="auto"/>
          </w:divBdr>
        </w:div>
        <w:div w:id="221215428">
          <w:marLeft w:val="640"/>
          <w:marRight w:val="0"/>
          <w:marTop w:val="0"/>
          <w:marBottom w:val="0"/>
          <w:divBdr>
            <w:top w:val="none" w:sz="0" w:space="0" w:color="auto"/>
            <w:left w:val="none" w:sz="0" w:space="0" w:color="auto"/>
            <w:bottom w:val="none" w:sz="0" w:space="0" w:color="auto"/>
            <w:right w:val="none" w:sz="0" w:space="0" w:color="auto"/>
          </w:divBdr>
        </w:div>
        <w:div w:id="1433279441">
          <w:marLeft w:val="640"/>
          <w:marRight w:val="0"/>
          <w:marTop w:val="0"/>
          <w:marBottom w:val="0"/>
          <w:divBdr>
            <w:top w:val="none" w:sz="0" w:space="0" w:color="auto"/>
            <w:left w:val="none" w:sz="0" w:space="0" w:color="auto"/>
            <w:bottom w:val="none" w:sz="0" w:space="0" w:color="auto"/>
            <w:right w:val="none" w:sz="0" w:space="0" w:color="auto"/>
          </w:divBdr>
        </w:div>
        <w:div w:id="1503279677">
          <w:marLeft w:val="640"/>
          <w:marRight w:val="0"/>
          <w:marTop w:val="0"/>
          <w:marBottom w:val="0"/>
          <w:divBdr>
            <w:top w:val="none" w:sz="0" w:space="0" w:color="auto"/>
            <w:left w:val="none" w:sz="0" w:space="0" w:color="auto"/>
            <w:bottom w:val="none" w:sz="0" w:space="0" w:color="auto"/>
            <w:right w:val="none" w:sz="0" w:space="0" w:color="auto"/>
          </w:divBdr>
        </w:div>
        <w:div w:id="1613631145">
          <w:marLeft w:val="640"/>
          <w:marRight w:val="0"/>
          <w:marTop w:val="0"/>
          <w:marBottom w:val="0"/>
          <w:divBdr>
            <w:top w:val="none" w:sz="0" w:space="0" w:color="auto"/>
            <w:left w:val="none" w:sz="0" w:space="0" w:color="auto"/>
            <w:bottom w:val="none" w:sz="0" w:space="0" w:color="auto"/>
            <w:right w:val="none" w:sz="0" w:space="0" w:color="auto"/>
          </w:divBdr>
        </w:div>
        <w:div w:id="1626161733">
          <w:marLeft w:val="640"/>
          <w:marRight w:val="0"/>
          <w:marTop w:val="0"/>
          <w:marBottom w:val="0"/>
          <w:divBdr>
            <w:top w:val="none" w:sz="0" w:space="0" w:color="auto"/>
            <w:left w:val="none" w:sz="0" w:space="0" w:color="auto"/>
            <w:bottom w:val="none" w:sz="0" w:space="0" w:color="auto"/>
            <w:right w:val="none" w:sz="0" w:space="0" w:color="auto"/>
          </w:divBdr>
        </w:div>
        <w:div w:id="265581211">
          <w:marLeft w:val="640"/>
          <w:marRight w:val="0"/>
          <w:marTop w:val="0"/>
          <w:marBottom w:val="0"/>
          <w:divBdr>
            <w:top w:val="none" w:sz="0" w:space="0" w:color="auto"/>
            <w:left w:val="none" w:sz="0" w:space="0" w:color="auto"/>
            <w:bottom w:val="none" w:sz="0" w:space="0" w:color="auto"/>
            <w:right w:val="none" w:sz="0" w:space="0" w:color="auto"/>
          </w:divBdr>
        </w:div>
        <w:div w:id="1170409742">
          <w:marLeft w:val="640"/>
          <w:marRight w:val="0"/>
          <w:marTop w:val="0"/>
          <w:marBottom w:val="0"/>
          <w:divBdr>
            <w:top w:val="none" w:sz="0" w:space="0" w:color="auto"/>
            <w:left w:val="none" w:sz="0" w:space="0" w:color="auto"/>
            <w:bottom w:val="none" w:sz="0" w:space="0" w:color="auto"/>
            <w:right w:val="none" w:sz="0" w:space="0" w:color="auto"/>
          </w:divBdr>
        </w:div>
        <w:div w:id="630553614">
          <w:marLeft w:val="640"/>
          <w:marRight w:val="0"/>
          <w:marTop w:val="0"/>
          <w:marBottom w:val="0"/>
          <w:divBdr>
            <w:top w:val="none" w:sz="0" w:space="0" w:color="auto"/>
            <w:left w:val="none" w:sz="0" w:space="0" w:color="auto"/>
            <w:bottom w:val="none" w:sz="0" w:space="0" w:color="auto"/>
            <w:right w:val="none" w:sz="0" w:space="0" w:color="auto"/>
          </w:divBdr>
        </w:div>
        <w:div w:id="1051656867">
          <w:marLeft w:val="640"/>
          <w:marRight w:val="0"/>
          <w:marTop w:val="0"/>
          <w:marBottom w:val="0"/>
          <w:divBdr>
            <w:top w:val="none" w:sz="0" w:space="0" w:color="auto"/>
            <w:left w:val="none" w:sz="0" w:space="0" w:color="auto"/>
            <w:bottom w:val="none" w:sz="0" w:space="0" w:color="auto"/>
            <w:right w:val="none" w:sz="0" w:space="0" w:color="auto"/>
          </w:divBdr>
        </w:div>
        <w:div w:id="98573596">
          <w:marLeft w:val="640"/>
          <w:marRight w:val="0"/>
          <w:marTop w:val="0"/>
          <w:marBottom w:val="0"/>
          <w:divBdr>
            <w:top w:val="none" w:sz="0" w:space="0" w:color="auto"/>
            <w:left w:val="none" w:sz="0" w:space="0" w:color="auto"/>
            <w:bottom w:val="none" w:sz="0" w:space="0" w:color="auto"/>
            <w:right w:val="none" w:sz="0" w:space="0" w:color="auto"/>
          </w:divBdr>
        </w:div>
        <w:div w:id="2097896647">
          <w:marLeft w:val="640"/>
          <w:marRight w:val="0"/>
          <w:marTop w:val="0"/>
          <w:marBottom w:val="0"/>
          <w:divBdr>
            <w:top w:val="none" w:sz="0" w:space="0" w:color="auto"/>
            <w:left w:val="none" w:sz="0" w:space="0" w:color="auto"/>
            <w:bottom w:val="none" w:sz="0" w:space="0" w:color="auto"/>
            <w:right w:val="none" w:sz="0" w:space="0" w:color="auto"/>
          </w:divBdr>
        </w:div>
        <w:div w:id="1627857710">
          <w:marLeft w:val="640"/>
          <w:marRight w:val="0"/>
          <w:marTop w:val="0"/>
          <w:marBottom w:val="0"/>
          <w:divBdr>
            <w:top w:val="none" w:sz="0" w:space="0" w:color="auto"/>
            <w:left w:val="none" w:sz="0" w:space="0" w:color="auto"/>
            <w:bottom w:val="none" w:sz="0" w:space="0" w:color="auto"/>
            <w:right w:val="none" w:sz="0" w:space="0" w:color="auto"/>
          </w:divBdr>
        </w:div>
        <w:div w:id="918370925">
          <w:marLeft w:val="640"/>
          <w:marRight w:val="0"/>
          <w:marTop w:val="0"/>
          <w:marBottom w:val="0"/>
          <w:divBdr>
            <w:top w:val="none" w:sz="0" w:space="0" w:color="auto"/>
            <w:left w:val="none" w:sz="0" w:space="0" w:color="auto"/>
            <w:bottom w:val="none" w:sz="0" w:space="0" w:color="auto"/>
            <w:right w:val="none" w:sz="0" w:space="0" w:color="auto"/>
          </w:divBdr>
        </w:div>
        <w:div w:id="211309756">
          <w:marLeft w:val="640"/>
          <w:marRight w:val="0"/>
          <w:marTop w:val="0"/>
          <w:marBottom w:val="0"/>
          <w:divBdr>
            <w:top w:val="none" w:sz="0" w:space="0" w:color="auto"/>
            <w:left w:val="none" w:sz="0" w:space="0" w:color="auto"/>
            <w:bottom w:val="none" w:sz="0" w:space="0" w:color="auto"/>
            <w:right w:val="none" w:sz="0" w:space="0" w:color="auto"/>
          </w:divBdr>
        </w:div>
        <w:div w:id="1248661018">
          <w:marLeft w:val="640"/>
          <w:marRight w:val="0"/>
          <w:marTop w:val="0"/>
          <w:marBottom w:val="0"/>
          <w:divBdr>
            <w:top w:val="none" w:sz="0" w:space="0" w:color="auto"/>
            <w:left w:val="none" w:sz="0" w:space="0" w:color="auto"/>
            <w:bottom w:val="none" w:sz="0" w:space="0" w:color="auto"/>
            <w:right w:val="none" w:sz="0" w:space="0" w:color="auto"/>
          </w:divBdr>
        </w:div>
        <w:div w:id="1373842595">
          <w:marLeft w:val="640"/>
          <w:marRight w:val="0"/>
          <w:marTop w:val="0"/>
          <w:marBottom w:val="0"/>
          <w:divBdr>
            <w:top w:val="none" w:sz="0" w:space="0" w:color="auto"/>
            <w:left w:val="none" w:sz="0" w:space="0" w:color="auto"/>
            <w:bottom w:val="none" w:sz="0" w:space="0" w:color="auto"/>
            <w:right w:val="none" w:sz="0" w:space="0" w:color="auto"/>
          </w:divBdr>
        </w:div>
        <w:div w:id="406805334">
          <w:marLeft w:val="640"/>
          <w:marRight w:val="0"/>
          <w:marTop w:val="0"/>
          <w:marBottom w:val="0"/>
          <w:divBdr>
            <w:top w:val="none" w:sz="0" w:space="0" w:color="auto"/>
            <w:left w:val="none" w:sz="0" w:space="0" w:color="auto"/>
            <w:bottom w:val="none" w:sz="0" w:space="0" w:color="auto"/>
            <w:right w:val="none" w:sz="0" w:space="0" w:color="auto"/>
          </w:divBdr>
        </w:div>
        <w:div w:id="1976794884">
          <w:marLeft w:val="640"/>
          <w:marRight w:val="0"/>
          <w:marTop w:val="0"/>
          <w:marBottom w:val="0"/>
          <w:divBdr>
            <w:top w:val="none" w:sz="0" w:space="0" w:color="auto"/>
            <w:left w:val="none" w:sz="0" w:space="0" w:color="auto"/>
            <w:bottom w:val="none" w:sz="0" w:space="0" w:color="auto"/>
            <w:right w:val="none" w:sz="0" w:space="0" w:color="auto"/>
          </w:divBdr>
        </w:div>
        <w:div w:id="477576077">
          <w:marLeft w:val="640"/>
          <w:marRight w:val="0"/>
          <w:marTop w:val="0"/>
          <w:marBottom w:val="0"/>
          <w:divBdr>
            <w:top w:val="none" w:sz="0" w:space="0" w:color="auto"/>
            <w:left w:val="none" w:sz="0" w:space="0" w:color="auto"/>
            <w:bottom w:val="none" w:sz="0" w:space="0" w:color="auto"/>
            <w:right w:val="none" w:sz="0" w:space="0" w:color="auto"/>
          </w:divBdr>
        </w:div>
        <w:div w:id="882057217">
          <w:marLeft w:val="640"/>
          <w:marRight w:val="0"/>
          <w:marTop w:val="0"/>
          <w:marBottom w:val="0"/>
          <w:divBdr>
            <w:top w:val="none" w:sz="0" w:space="0" w:color="auto"/>
            <w:left w:val="none" w:sz="0" w:space="0" w:color="auto"/>
            <w:bottom w:val="none" w:sz="0" w:space="0" w:color="auto"/>
            <w:right w:val="none" w:sz="0" w:space="0" w:color="auto"/>
          </w:divBdr>
        </w:div>
        <w:div w:id="169107444">
          <w:marLeft w:val="640"/>
          <w:marRight w:val="0"/>
          <w:marTop w:val="0"/>
          <w:marBottom w:val="0"/>
          <w:divBdr>
            <w:top w:val="none" w:sz="0" w:space="0" w:color="auto"/>
            <w:left w:val="none" w:sz="0" w:space="0" w:color="auto"/>
            <w:bottom w:val="none" w:sz="0" w:space="0" w:color="auto"/>
            <w:right w:val="none" w:sz="0" w:space="0" w:color="auto"/>
          </w:divBdr>
        </w:div>
        <w:div w:id="1037778400">
          <w:marLeft w:val="640"/>
          <w:marRight w:val="0"/>
          <w:marTop w:val="0"/>
          <w:marBottom w:val="0"/>
          <w:divBdr>
            <w:top w:val="none" w:sz="0" w:space="0" w:color="auto"/>
            <w:left w:val="none" w:sz="0" w:space="0" w:color="auto"/>
            <w:bottom w:val="none" w:sz="0" w:space="0" w:color="auto"/>
            <w:right w:val="none" w:sz="0" w:space="0" w:color="auto"/>
          </w:divBdr>
        </w:div>
        <w:div w:id="236522309">
          <w:marLeft w:val="640"/>
          <w:marRight w:val="0"/>
          <w:marTop w:val="0"/>
          <w:marBottom w:val="0"/>
          <w:divBdr>
            <w:top w:val="none" w:sz="0" w:space="0" w:color="auto"/>
            <w:left w:val="none" w:sz="0" w:space="0" w:color="auto"/>
            <w:bottom w:val="none" w:sz="0" w:space="0" w:color="auto"/>
            <w:right w:val="none" w:sz="0" w:space="0" w:color="auto"/>
          </w:divBdr>
        </w:div>
        <w:div w:id="1398284139">
          <w:marLeft w:val="640"/>
          <w:marRight w:val="0"/>
          <w:marTop w:val="0"/>
          <w:marBottom w:val="0"/>
          <w:divBdr>
            <w:top w:val="none" w:sz="0" w:space="0" w:color="auto"/>
            <w:left w:val="none" w:sz="0" w:space="0" w:color="auto"/>
            <w:bottom w:val="none" w:sz="0" w:space="0" w:color="auto"/>
            <w:right w:val="none" w:sz="0" w:space="0" w:color="auto"/>
          </w:divBdr>
        </w:div>
        <w:div w:id="664362072">
          <w:marLeft w:val="640"/>
          <w:marRight w:val="0"/>
          <w:marTop w:val="0"/>
          <w:marBottom w:val="0"/>
          <w:divBdr>
            <w:top w:val="none" w:sz="0" w:space="0" w:color="auto"/>
            <w:left w:val="none" w:sz="0" w:space="0" w:color="auto"/>
            <w:bottom w:val="none" w:sz="0" w:space="0" w:color="auto"/>
            <w:right w:val="none" w:sz="0" w:space="0" w:color="auto"/>
          </w:divBdr>
        </w:div>
        <w:div w:id="2091534982">
          <w:marLeft w:val="640"/>
          <w:marRight w:val="0"/>
          <w:marTop w:val="0"/>
          <w:marBottom w:val="0"/>
          <w:divBdr>
            <w:top w:val="none" w:sz="0" w:space="0" w:color="auto"/>
            <w:left w:val="none" w:sz="0" w:space="0" w:color="auto"/>
            <w:bottom w:val="none" w:sz="0" w:space="0" w:color="auto"/>
            <w:right w:val="none" w:sz="0" w:space="0" w:color="auto"/>
          </w:divBdr>
        </w:div>
        <w:div w:id="1042949195">
          <w:marLeft w:val="640"/>
          <w:marRight w:val="0"/>
          <w:marTop w:val="0"/>
          <w:marBottom w:val="0"/>
          <w:divBdr>
            <w:top w:val="none" w:sz="0" w:space="0" w:color="auto"/>
            <w:left w:val="none" w:sz="0" w:space="0" w:color="auto"/>
            <w:bottom w:val="none" w:sz="0" w:space="0" w:color="auto"/>
            <w:right w:val="none" w:sz="0" w:space="0" w:color="auto"/>
          </w:divBdr>
        </w:div>
        <w:div w:id="625818049">
          <w:marLeft w:val="640"/>
          <w:marRight w:val="0"/>
          <w:marTop w:val="0"/>
          <w:marBottom w:val="0"/>
          <w:divBdr>
            <w:top w:val="none" w:sz="0" w:space="0" w:color="auto"/>
            <w:left w:val="none" w:sz="0" w:space="0" w:color="auto"/>
            <w:bottom w:val="none" w:sz="0" w:space="0" w:color="auto"/>
            <w:right w:val="none" w:sz="0" w:space="0" w:color="auto"/>
          </w:divBdr>
        </w:div>
        <w:div w:id="2011251093">
          <w:marLeft w:val="640"/>
          <w:marRight w:val="0"/>
          <w:marTop w:val="0"/>
          <w:marBottom w:val="0"/>
          <w:divBdr>
            <w:top w:val="none" w:sz="0" w:space="0" w:color="auto"/>
            <w:left w:val="none" w:sz="0" w:space="0" w:color="auto"/>
            <w:bottom w:val="none" w:sz="0" w:space="0" w:color="auto"/>
            <w:right w:val="none" w:sz="0" w:space="0" w:color="auto"/>
          </w:divBdr>
        </w:div>
        <w:div w:id="600651024">
          <w:marLeft w:val="640"/>
          <w:marRight w:val="0"/>
          <w:marTop w:val="0"/>
          <w:marBottom w:val="0"/>
          <w:divBdr>
            <w:top w:val="none" w:sz="0" w:space="0" w:color="auto"/>
            <w:left w:val="none" w:sz="0" w:space="0" w:color="auto"/>
            <w:bottom w:val="none" w:sz="0" w:space="0" w:color="auto"/>
            <w:right w:val="none" w:sz="0" w:space="0" w:color="auto"/>
          </w:divBdr>
        </w:div>
        <w:div w:id="1665553084">
          <w:marLeft w:val="640"/>
          <w:marRight w:val="0"/>
          <w:marTop w:val="0"/>
          <w:marBottom w:val="0"/>
          <w:divBdr>
            <w:top w:val="none" w:sz="0" w:space="0" w:color="auto"/>
            <w:left w:val="none" w:sz="0" w:space="0" w:color="auto"/>
            <w:bottom w:val="none" w:sz="0" w:space="0" w:color="auto"/>
            <w:right w:val="none" w:sz="0" w:space="0" w:color="auto"/>
          </w:divBdr>
        </w:div>
        <w:div w:id="65419679">
          <w:marLeft w:val="640"/>
          <w:marRight w:val="0"/>
          <w:marTop w:val="0"/>
          <w:marBottom w:val="0"/>
          <w:divBdr>
            <w:top w:val="none" w:sz="0" w:space="0" w:color="auto"/>
            <w:left w:val="none" w:sz="0" w:space="0" w:color="auto"/>
            <w:bottom w:val="none" w:sz="0" w:space="0" w:color="auto"/>
            <w:right w:val="none" w:sz="0" w:space="0" w:color="auto"/>
          </w:divBdr>
        </w:div>
        <w:div w:id="1139617746">
          <w:marLeft w:val="640"/>
          <w:marRight w:val="0"/>
          <w:marTop w:val="0"/>
          <w:marBottom w:val="0"/>
          <w:divBdr>
            <w:top w:val="none" w:sz="0" w:space="0" w:color="auto"/>
            <w:left w:val="none" w:sz="0" w:space="0" w:color="auto"/>
            <w:bottom w:val="none" w:sz="0" w:space="0" w:color="auto"/>
            <w:right w:val="none" w:sz="0" w:space="0" w:color="auto"/>
          </w:divBdr>
        </w:div>
        <w:div w:id="835726059">
          <w:marLeft w:val="640"/>
          <w:marRight w:val="0"/>
          <w:marTop w:val="0"/>
          <w:marBottom w:val="0"/>
          <w:divBdr>
            <w:top w:val="none" w:sz="0" w:space="0" w:color="auto"/>
            <w:left w:val="none" w:sz="0" w:space="0" w:color="auto"/>
            <w:bottom w:val="none" w:sz="0" w:space="0" w:color="auto"/>
            <w:right w:val="none" w:sz="0" w:space="0" w:color="auto"/>
          </w:divBdr>
        </w:div>
        <w:div w:id="1109013426">
          <w:marLeft w:val="640"/>
          <w:marRight w:val="0"/>
          <w:marTop w:val="0"/>
          <w:marBottom w:val="0"/>
          <w:divBdr>
            <w:top w:val="none" w:sz="0" w:space="0" w:color="auto"/>
            <w:left w:val="none" w:sz="0" w:space="0" w:color="auto"/>
            <w:bottom w:val="none" w:sz="0" w:space="0" w:color="auto"/>
            <w:right w:val="none" w:sz="0" w:space="0" w:color="auto"/>
          </w:divBdr>
        </w:div>
        <w:div w:id="1284192531">
          <w:marLeft w:val="640"/>
          <w:marRight w:val="0"/>
          <w:marTop w:val="0"/>
          <w:marBottom w:val="0"/>
          <w:divBdr>
            <w:top w:val="none" w:sz="0" w:space="0" w:color="auto"/>
            <w:left w:val="none" w:sz="0" w:space="0" w:color="auto"/>
            <w:bottom w:val="none" w:sz="0" w:space="0" w:color="auto"/>
            <w:right w:val="none" w:sz="0" w:space="0" w:color="auto"/>
          </w:divBdr>
        </w:div>
        <w:div w:id="1872721187">
          <w:marLeft w:val="640"/>
          <w:marRight w:val="0"/>
          <w:marTop w:val="0"/>
          <w:marBottom w:val="0"/>
          <w:divBdr>
            <w:top w:val="none" w:sz="0" w:space="0" w:color="auto"/>
            <w:left w:val="none" w:sz="0" w:space="0" w:color="auto"/>
            <w:bottom w:val="none" w:sz="0" w:space="0" w:color="auto"/>
            <w:right w:val="none" w:sz="0" w:space="0" w:color="auto"/>
          </w:divBdr>
        </w:div>
        <w:div w:id="1948805913">
          <w:marLeft w:val="640"/>
          <w:marRight w:val="0"/>
          <w:marTop w:val="0"/>
          <w:marBottom w:val="0"/>
          <w:divBdr>
            <w:top w:val="none" w:sz="0" w:space="0" w:color="auto"/>
            <w:left w:val="none" w:sz="0" w:space="0" w:color="auto"/>
            <w:bottom w:val="none" w:sz="0" w:space="0" w:color="auto"/>
            <w:right w:val="none" w:sz="0" w:space="0" w:color="auto"/>
          </w:divBdr>
        </w:div>
        <w:div w:id="648362921">
          <w:marLeft w:val="640"/>
          <w:marRight w:val="0"/>
          <w:marTop w:val="0"/>
          <w:marBottom w:val="0"/>
          <w:divBdr>
            <w:top w:val="none" w:sz="0" w:space="0" w:color="auto"/>
            <w:left w:val="none" w:sz="0" w:space="0" w:color="auto"/>
            <w:bottom w:val="none" w:sz="0" w:space="0" w:color="auto"/>
            <w:right w:val="none" w:sz="0" w:space="0" w:color="auto"/>
          </w:divBdr>
        </w:div>
        <w:div w:id="1813210541">
          <w:marLeft w:val="640"/>
          <w:marRight w:val="0"/>
          <w:marTop w:val="0"/>
          <w:marBottom w:val="0"/>
          <w:divBdr>
            <w:top w:val="none" w:sz="0" w:space="0" w:color="auto"/>
            <w:left w:val="none" w:sz="0" w:space="0" w:color="auto"/>
            <w:bottom w:val="none" w:sz="0" w:space="0" w:color="auto"/>
            <w:right w:val="none" w:sz="0" w:space="0" w:color="auto"/>
          </w:divBdr>
        </w:div>
        <w:div w:id="928731892">
          <w:marLeft w:val="640"/>
          <w:marRight w:val="0"/>
          <w:marTop w:val="0"/>
          <w:marBottom w:val="0"/>
          <w:divBdr>
            <w:top w:val="none" w:sz="0" w:space="0" w:color="auto"/>
            <w:left w:val="none" w:sz="0" w:space="0" w:color="auto"/>
            <w:bottom w:val="none" w:sz="0" w:space="0" w:color="auto"/>
            <w:right w:val="none" w:sz="0" w:space="0" w:color="auto"/>
          </w:divBdr>
        </w:div>
        <w:div w:id="102501096">
          <w:marLeft w:val="640"/>
          <w:marRight w:val="0"/>
          <w:marTop w:val="0"/>
          <w:marBottom w:val="0"/>
          <w:divBdr>
            <w:top w:val="none" w:sz="0" w:space="0" w:color="auto"/>
            <w:left w:val="none" w:sz="0" w:space="0" w:color="auto"/>
            <w:bottom w:val="none" w:sz="0" w:space="0" w:color="auto"/>
            <w:right w:val="none" w:sz="0" w:space="0" w:color="auto"/>
          </w:divBdr>
        </w:div>
        <w:div w:id="310183914">
          <w:marLeft w:val="640"/>
          <w:marRight w:val="0"/>
          <w:marTop w:val="0"/>
          <w:marBottom w:val="0"/>
          <w:divBdr>
            <w:top w:val="none" w:sz="0" w:space="0" w:color="auto"/>
            <w:left w:val="none" w:sz="0" w:space="0" w:color="auto"/>
            <w:bottom w:val="none" w:sz="0" w:space="0" w:color="auto"/>
            <w:right w:val="none" w:sz="0" w:space="0" w:color="auto"/>
          </w:divBdr>
        </w:div>
        <w:div w:id="476578412">
          <w:marLeft w:val="640"/>
          <w:marRight w:val="0"/>
          <w:marTop w:val="0"/>
          <w:marBottom w:val="0"/>
          <w:divBdr>
            <w:top w:val="none" w:sz="0" w:space="0" w:color="auto"/>
            <w:left w:val="none" w:sz="0" w:space="0" w:color="auto"/>
            <w:bottom w:val="none" w:sz="0" w:space="0" w:color="auto"/>
            <w:right w:val="none" w:sz="0" w:space="0" w:color="auto"/>
          </w:divBdr>
        </w:div>
        <w:div w:id="887764468">
          <w:marLeft w:val="640"/>
          <w:marRight w:val="0"/>
          <w:marTop w:val="0"/>
          <w:marBottom w:val="0"/>
          <w:divBdr>
            <w:top w:val="none" w:sz="0" w:space="0" w:color="auto"/>
            <w:left w:val="none" w:sz="0" w:space="0" w:color="auto"/>
            <w:bottom w:val="none" w:sz="0" w:space="0" w:color="auto"/>
            <w:right w:val="none" w:sz="0" w:space="0" w:color="auto"/>
          </w:divBdr>
        </w:div>
        <w:div w:id="1918318895">
          <w:marLeft w:val="640"/>
          <w:marRight w:val="0"/>
          <w:marTop w:val="0"/>
          <w:marBottom w:val="0"/>
          <w:divBdr>
            <w:top w:val="none" w:sz="0" w:space="0" w:color="auto"/>
            <w:left w:val="none" w:sz="0" w:space="0" w:color="auto"/>
            <w:bottom w:val="none" w:sz="0" w:space="0" w:color="auto"/>
            <w:right w:val="none" w:sz="0" w:space="0" w:color="auto"/>
          </w:divBdr>
        </w:div>
        <w:div w:id="1660844931">
          <w:marLeft w:val="640"/>
          <w:marRight w:val="0"/>
          <w:marTop w:val="0"/>
          <w:marBottom w:val="0"/>
          <w:divBdr>
            <w:top w:val="none" w:sz="0" w:space="0" w:color="auto"/>
            <w:left w:val="none" w:sz="0" w:space="0" w:color="auto"/>
            <w:bottom w:val="none" w:sz="0" w:space="0" w:color="auto"/>
            <w:right w:val="none" w:sz="0" w:space="0" w:color="auto"/>
          </w:divBdr>
        </w:div>
        <w:div w:id="566956140">
          <w:marLeft w:val="640"/>
          <w:marRight w:val="0"/>
          <w:marTop w:val="0"/>
          <w:marBottom w:val="0"/>
          <w:divBdr>
            <w:top w:val="none" w:sz="0" w:space="0" w:color="auto"/>
            <w:left w:val="none" w:sz="0" w:space="0" w:color="auto"/>
            <w:bottom w:val="none" w:sz="0" w:space="0" w:color="auto"/>
            <w:right w:val="none" w:sz="0" w:space="0" w:color="auto"/>
          </w:divBdr>
        </w:div>
        <w:div w:id="122383766">
          <w:marLeft w:val="640"/>
          <w:marRight w:val="0"/>
          <w:marTop w:val="0"/>
          <w:marBottom w:val="0"/>
          <w:divBdr>
            <w:top w:val="none" w:sz="0" w:space="0" w:color="auto"/>
            <w:left w:val="none" w:sz="0" w:space="0" w:color="auto"/>
            <w:bottom w:val="none" w:sz="0" w:space="0" w:color="auto"/>
            <w:right w:val="none" w:sz="0" w:space="0" w:color="auto"/>
          </w:divBdr>
        </w:div>
        <w:div w:id="1522234331">
          <w:marLeft w:val="640"/>
          <w:marRight w:val="0"/>
          <w:marTop w:val="0"/>
          <w:marBottom w:val="0"/>
          <w:divBdr>
            <w:top w:val="none" w:sz="0" w:space="0" w:color="auto"/>
            <w:left w:val="none" w:sz="0" w:space="0" w:color="auto"/>
            <w:bottom w:val="none" w:sz="0" w:space="0" w:color="auto"/>
            <w:right w:val="none" w:sz="0" w:space="0" w:color="auto"/>
          </w:divBdr>
        </w:div>
        <w:div w:id="1918786636">
          <w:marLeft w:val="640"/>
          <w:marRight w:val="0"/>
          <w:marTop w:val="0"/>
          <w:marBottom w:val="0"/>
          <w:divBdr>
            <w:top w:val="none" w:sz="0" w:space="0" w:color="auto"/>
            <w:left w:val="none" w:sz="0" w:space="0" w:color="auto"/>
            <w:bottom w:val="none" w:sz="0" w:space="0" w:color="auto"/>
            <w:right w:val="none" w:sz="0" w:space="0" w:color="auto"/>
          </w:divBdr>
        </w:div>
        <w:div w:id="1268004047">
          <w:marLeft w:val="640"/>
          <w:marRight w:val="0"/>
          <w:marTop w:val="0"/>
          <w:marBottom w:val="0"/>
          <w:divBdr>
            <w:top w:val="none" w:sz="0" w:space="0" w:color="auto"/>
            <w:left w:val="none" w:sz="0" w:space="0" w:color="auto"/>
            <w:bottom w:val="none" w:sz="0" w:space="0" w:color="auto"/>
            <w:right w:val="none" w:sz="0" w:space="0" w:color="auto"/>
          </w:divBdr>
        </w:div>
        <w:div w:id="1944992474">
          <w:marLeft w:val="640"/>
          <w:marRight w:val="0"/>
          <w:marTop w:val="0"/>
          <w:marBottom w:val="0"/>
          <w:divBdr>
            <w:top w:val="none" w:sz="0" w:space="0" w:color="auto"/>
            <w:left w:val="none" w:sz="0" w:space="0" w:color="auto"/>
            <w:bottom w:val="none" w:sz="0" w:space="0" w:color="auto"/>
            <w:right w:val="none" w:sz="0" w:space="0" w:color="auto"/>
          </w:divBdr>
        </w:div>
        <w:div w:id="1359701545">
          <w:marLeft w:val="640"/>
          <w:marRight w:val="0"/>
          <w:marTop w:val="0"/>
          <w:marBottom w:val="0"/>
          <w:divBdr>
            <w:top w:val="none" w:sz="0" w:space="0" w:color="auto"/>
            <w:left w:val="none" w:sz="0" w:space="0" w:color="auto"/>
            <w:bottom w:val="none" w:sz="0" w:space="0" w:color="auto"/>
            <w:right w:val="none" w:sz="0" w:space="0" w:color="auto"/>
          </w:divBdr>
        </w:div>
        <w:div w:id="1102870641">
          <w:marLeft w:val="640"/>
          <w:marRight w:val="0"/>
          <w:marTop w:val="0"/>
          <w:marBottom w:val="0"/>
          <w:divBdr>
            <w:top w:val="none" w:sz="0" w:space="0" w:color="auto"/>
            <w:left w:val="none" w:sz="0" w:space="0" w:color="auto"/>
            <w:bottom w:val="none" w:sz="0" w:space="0" w:color="auto"/>
            <w:right w:val="none" w:sz="0" w:space="0" w:color="auto"/>
          </w:divBdr>
        </w:div>
        <w:div w:id="1869683747">
          <w:marLeft w:val="640"/>
          <w:marRight w:val="0"/>
          <w:marTop w:val="0"/>
          <w:marBottom w:val="0"/>
          <w:divBdr>
            <w:top w:val="none" w:sz="0" w:space="0" w:color="auto"/>
            <w:left w:val="none" w:sz="0" w:space="0" w:color="auto"/>
            <w:bottom w:val="none" w:sz="0" w:space="0" w:color="auto"/>
            <w:right w:val="none" w:sz="0" w:space="0" w:color="auto"/>
          </w:divBdr>
        </w:div>
        <w:div w:id="1488012143">
          <w:marLeft w:val="640"/>
          <w:marRight w:val="0"/>
          <w:marTop w:val="0"/>
          <w:marBottom w:val="0"/>
          <w:divBdr>
            <w:top w:val="none" w:sz="0" w:space="0" w:color="auto"/>
            <w:left w:val="none" w:sz="0" w:space="0" w:color="auto"/>
            <w:bottom w:val="none" w:sz="0" w:space="0" w:color="auto"/>
            <w:right w:val="none" w:sz="0" w:space="0" w:color="auto"/>
          </w:divBdr>
        </w:div>
        <w:div w:id="981038628">
          <w:marLeft w:val="640"/>
          <w:marRight w:val="0"/>
          <w:marTop w:val="0"/>
          <w:marBottom w:val="0"/>
          <w:divBdr>
            <w:top w:val="none" w:sz="0" w:space="0" w:color="auto"/>
            <w:left w:val="none" w:sz="0" w:space="0" w:color="auto"/>
            <w:bottom w:val="none" w:sz="0" w:space="0" w:color="auto"/>
            <w:right w:val="none" w:sz="0" w:space="0" w:color="auto"/>
          </w:divBdr>
        </w:div>
        <w:div w:id="1922596175">
          <w:marLeft w:val="640"/>
          <w:marRight w:val="0"/>
          <w:marTop w:val="0"/>
          <w:marBottom w:val="0"/>
          <w:divBdr>
            <w:top w:val="none" w:sz="0" w:space="0" w:color="auto"/>
            <w:left w:val="none" w:sz="0" w:space="0" w:color="auto"/>
            <w:bottom w:val="none" w:sz="0" w:space="0" w:color="auto"/>
            <w:right w:val="none" w:sz="0" w:space="0" w:color="auto"/>
          </w:divBdr>
        </w:div>
        <w:div w:id="112674125">
          <w:marLeft w:val="640"/>
          <w:marRight w:val="0"/>
          <w:marTop w:val="0"/>
          <w:marBottom w:val="0"/>
          <w:divBdr>
            <w:top w:val="none" w:sz="0" w:space="0" w:color="auto"/>
            <w:left w:val="none" w:sz="0" w:space="0" w:color="auto"/>
            <w:bottom w:val="none" w:sz="0" w:space="0" w:color="auto"/>
            <w:right w:val="none" w:sz="0" w:space="0" w:color="auto"/>
          </w:divBdr>
        </w:div>
        <w:div w:id="886916756">
          <w:marLeft w:val="640"/>
          <w:marRight w:val="0"/>
          <w:marTop w:val="0"/>
          <w:marBottom w:val="0"/>
          <w:divBdr>
            <w:top w:val="none" w:sz="0" w:space="0" w:color="auto"/>
            <w:left w:val="none" w:sz="0" w:space="0" w:color="auto"/>
            <w:bottom w:val="none" w:sz="0" w:space="0" w:color="auto"/>
            <w:right w:val="none" w:sz="0" w:space="0" w:color="auto"/>
          </w:divBdr>
        </w:div>
        <w:div w:id="174422165">
          <w:marLeft w:val="640"/>
          <w:marRight w:val="0"/>
          <w:marTop w:val="0"/>
          <w:marBottom w:val="0"/>
          <w:divBdr>
            <w:top w:val="none" w:sz="0" w:space="0" w:color="auto"/>
            <w:left w:val="none" w:sz="0" w:space="0" w:color="auto"/>
            <w:bottom w:val="none" w:sz="0" w:space="0" w:color="auto"/>
            <w:right w:val="none" w:sz="0" w:space="0" w:color="auto"/>
          </w:divBdr>
        </w:div>
        <w:div w:id="289628111">
          <w:marLeft w:val="640"/>
          <w:marRight w:val="0"/>
          <w:marTop w:val="0"/>
          <w:marBottom w:val="0"/>
          <w:divBdr>
            <w:top w:val="none" w:sz="0" w:space="0" w:color="auto"/>
            <w:left w:val="none" w:sz="0" w:space="0" w:color="auto"/>
            <w:bottom w:val="none" w:sz="0" w:space="0" w:color="auto"/>
            <w:right w:val="none" w:sz="0" w:space="0" w:color="auto"/>
          </w:divBdr>
        </w:div>
        <w:div w:id="1765224111">
          <w:marLeft w:val="640"/>
          <w:marRight w:val="0"/>
          <w:marTop w:val="0"/>
          <w:marBottom w:val="0"/>
          <w:divBdr>
            <w:top w:val="none" w:sz="0" w:space="0" w:color="auto"/>
            <w:left w:val="none" w:sz="0" w:space="0" w:color="auto"/>
            <w:bottom w:val="none" w:sz="0" w:space="0" w:color="auto"/>
            <w:right w:val="none" w:sz="0" w:space="0" w:color="auto"/>
          </w:divBdr>
        </w:div>
        <w:div w:id="114452614">
          <w:marLeft w:val="640"/>
          <w:marRight w:val="0"/>
          <w:marTop w:val="0"/>
          <w:marBottom w:val="0"/>
          <w:divBdr>
            <w:top w:val="none" w:sz="0" w:space="0" w:color="auto"/>
            <w:left w:val="none" w:sz="0" w:space="0" w:color="auto"/>
            <w:bottom w:val="none" w:sz="0" w:space="0" w:color="auto"/>
            <w:right w:val="none" w:sz="0" w:space="0" w:color="auto"/>
          </w:divBdr>
        </w:div>
        <w:div w:id="1594968900">
          <w:marLeft w:val="640"/>
          <w:marRight w:val="0"/>
          <w:marTop w:val="0"/>
          <w:marBottom w:val="0"/>
          <w:divBdr>
            <w:top w:val="none" w:sz="0" w:space="0" w:color="auto"/>
            <w:left w:val="none" w:sz="0" w:space="0" w:color="auto"/>
            <w:bottom w:val="none" w:sz="0" w:space="0" w:color="auto"/>
            <w:right w:val="none" w:sz="0" w:space="0" w:color="auto"/>
          </w:divBdr>
        </w:div>
        <w:div w:id="994911781">
          <w:marLeft w:val="640"/>
          <w:marRight w:val="0"/>
          <w:marTop w:val="0"/>
          <w:marBottom w:val="0"/>
          <w:divBdr>
            <w:top w:val="none" w:sz="0" w:space="0" w:color="auto"/>
            <w:left w:val="none" w:sz="0" w:space="0" w:color="auto"/>
            <w:bottom w:val="none" w:sz="0" w:space="0" w:color="auto"/>
            <w:right w:val="none" w:sz="0" w:space="0" w:color="auto"/>
          </w:divBdr>
        </w:div>
        <w:div w:id="1360928959">
          <w:marLeft w:val="640"/>
          <w:marRight w:val="0"/>
          <w:marTop w:val="0"/>
          <w:marBottom w:val="0"/>
          <w:divBdr>
            <w:top w:val="none" w:sz="0" w:space="0" w:color="auto"/>
            <w:left w:val="none" w:sz="0" w:space="0" w:color="auto"/>
            <w:bottom w:val="none" w:sz="0" w:space="0" w:color="auto"/>
            <w:right w:val="none" w:sz="0" w:space="0" w:color="auto"/>
          </w:divBdr>
        </w:div>
        <w:div w:id="1342198848">
          <w:marLeft w:val="640"/>
          <w:marRight w:val="0"/>
          <w:marTop w:val="0"/>
          <w:marBottom w:val="0"/>
          <w:divBdr>
            <w:top w:val="none" w:sz="0" w:space="0" w:color="auto"/>
            <w:left w:val="none" w:sz="0" w:space="0" w:color="auto"/>
            <w:bottom w:val="none" w:sz="0" w:space="0" w:color="auto"/>
            <w:right w:val="none" w:sz="0" w:space="0" w:color="auto"/>
          </w:divBdr>
        </w:div>
        <w:div w:id="76945297">
          <w:marLeft w:val="640"/>
          <w:marRight w:val="0"/>
          <w:marTop w:val="0"/>
          <w:marBottom w:val="0"/>
          <w:divBdr>
            <w:top w:val="none" w:sz="0" w:space="0" w:color="auto"/>
            <w:left w:val="none" w:sz="0" w:space="0" w:color="auto"/>
            <w:bottom w:val="none" w:sz="0" w:space="0" w:color="auto"/>
            <w:right w:val="none" w:sz="0" w:space="0" w:color="auto"/>
          </w:divBdr>
        </w:div>
        <w:div w:id="1090855673">
          <w:marLeft w:val="640"/>
          <w:marRight w:val="0"/>
          <w:marTop w:val="0"/>
          <w:marBottom w:val="0"/>
          <w:divBdr>
            <w:top w:val="none" w:sz="0" w:space="0" w:color="auto"/>
            <w:left w:val="none" w:sz="0" w:space="0" w:color="auto"/>
            <w:bottom w:val="none" w:sz="0" w:space="0" w:color="auto"/>
            <w:right w:val="none" w:sz="0" w:space="0" w:color="auto"/>
          </w:divBdr>
        </w:div>
        <w:div w:id="1351026899">
          <w:marLeft w:val="640"/>
          <w:marRight w:val="0"/>
          <w:marTop w:val="0"/>
          <w:marBottom w:val="0"/>
          <w:divBdr>
            <w:top w:val="none" w:sz="0" w:space="0" w:color="auto"/>
            <w:left w:val="none" w:sz="0" w:space="0" w:color="auto"/>
            <w:bottom w:val="none" w:sz="0" w:space="0" w:color="auto"/>
            <w:right w:val="none" w:sz="0" w:space="0" w:color="auto"/>
          </w:divBdr>
        </w:div>
        <w:div w:id="1117259973">
          <w:marLeft w:val="640"/>
          <w:marRight w:val="0"/>
          <w:marTop w:val="0"/>
          <w:marBottom w:val="0"/>
          <w:divBdr>
            <w:top w:val="none" w:sz="0" w:space="0" w:color="auto"/>
            <w:left w:val="none" w:sz="0" w:space="0" w:color="auto"/>
            <w:bottom w:val="none" w:sz="0" w:space="0" w:color="auto"/>
            <w:right w:val="none" w:sz="0" w:space="0" w:color="auto"/>
          </w:divBdr>
        </w:div>
        <w:div w:id="939993391">
          <w:marLeft w:val="640"/>
          <w:marRight w:val="0"/>
          <w:marTop w:val="0"/>
          <w:marBottom w:val="0"/>
          <w:divBdr>
            <w:top w:val="none" w:sz="0" w:space="0" w:color="auto"/>
            <w:left w:val="none" w:sz="0" w:space="0" w:color="auto"/>
            <w:bottom w:val="none" w:sz="0" w:space="0" w:color="auto"/>
            <w:right w:val="none" w:sz="0" w:space="0" w:color="auto"/>
          </w:divBdr>
        </w:div>
        <w:div w:id="1067846880">
          <w:marLeft w:val="640"/>
          <w:marRight w:val="0"/>
          <w:marTop w:val="0"/>
          <w:marBottom w:val="0"/>
          <w:divBdr>
            <w:top w:val="none" w:sz="0" w:space="0" w:color="auto"/>
            <w:left w:val="none" w:sz="0" w:space="0" w:color="auto"/>
            <w:bottom w:val="none" w:sz="0" w:space="0" w:color="auto"/>
            <w:right w:val="none" w:sz="0" w:space="0" w:color="auto"/>
          </w:divBdr>
        </w:div>
        <w:div w:id="198054265">
          <w:marLeft w:val="640"/>
          <w:marRight w:val="0"/>
          <w:marTop w:val="0"/>
          <w:marBottom w:val="0"/>
          <w:divBdr>
            <w:top w:val="none" w:sz="0" w:space="0" w:color="auto"/>
            <w:left w:val="none" w:sz="0" w:space="0" w:color="auto"/>
            <w:bottom w:val="none" w:sz="0" w:space="0" w:color="auto"/>
            <w:right w:val="none" w:sz="0" w:space="0" w:color="auto"/>
          </w:divBdr>
        </w:div>
        <w:div w:id="1608734280">
          <w:marLeft w:val="640"/>
          <w:marRight w:val="0"/>
          <w:marTop w:val="0"/>
          <w:marBottom w:val="0"/>
          <w:divBdr>
            <w:top w:val="none" w:sz="0" w:space="0" w:color="auto"/>
            <w:left w:val="none" w:sz="0" w:space="0" w:color="auto"/>
            <w:bottom w:val="none" w:sz="0" w:space="0" w:color="auto"/>
            <w:right w:val="none" w:sz="0" w:space="0" w:color="auto"/>
          </w:divBdr>
        </w:div>
        <w:div w:id="1255633174">
          <w:marLeft w:val="640"/>
          <w:marRight w:val="0"/>
          <w:marTop w:val="0"/>
          <w:marBottom w:val="0"/>
          <w:divBdr>
            <w:top w:val="none" w:sz="0" w:space="0" w:color="auto"/>
            <w:left w:val="none" w:sz="0" w:space="0" w:color="auto"/>
            <w:bottom w:val="none" w:sz="0" w:space="0" w:color="auto"/>
            <w:right w:val="none" w:sz="0" w:space="0" w:color="auto"/>
          </w:divBdr>
        </w:div>
        <w:div w:id="1806123142">
          <w:marLeft w:val="640"/>
          <w:marRight w:val="0"/>
          <w:marTop w:val="0"/>
          <w:marBottom w:val="0"/>
          <w:divBdr>
            <w:top w:val="none" w:sz="0" w:space="0" w:color="auto"/>
            <w:left w:val="none" w:sz="0" w:space="0" w:color="auto"/>
            <w:bottom w:val="none" w:sz="0" w:space="0" w:color="auto"/>
            <w:right w:val="none" w:sz="0" w:space="0" w:color="auto"/>
          </w:divBdr>
        </w:div>
        <w:div w:id="1800149200">
          <w:marLeft w:val="640"/>
          <w:marRight w:val="0"/>
          <w:marTop w:val="0"/>
          <w:marBottom w:val="0"/>
          <w:divBdr>
            <w:top w:val="none" w:sz="0" w:space="0" w:color="auto"/>
            <w:left w:val="none" w:sz="0" w:space="0" w:color="auto"/>
            <w:bottom w:val="none" w:sz="0" w:space="0" w:color="auto"/>
            <w:right w:val="none" w:sz="0" w:space="0" w:color="auto"/>
          </w:divBdr>
        </w:div>
        <w:div w:id="317348733">
          <w:marLeft w:val="640"/>
          <w:marRight w:val="0"/>
          <w:marTop w:val="0"/>
          <w:marBottom w:val="0"/>
          <w:divBdr>
            <w:top w:val="none" w:sz="0" w:space="0" w:color="auto"/>
            <w:left w:val="none" w:sz="0" w:space="0" w:color="auto"/>
            <w:bottom w:val="none" w:sz="0" w:space="0" w:color="auto"/>
            <w:right w:val="none" w:sz="0" w:space="0" w:color="auto"/>
          </w:divBdr>
        </w:div>
        <w:div w:id="1102453238">
          <w:marLeft w:val="640"/>
          <w:marRight w:val="0"/>
          <w:marTop w:val="0"/>
          <w:marBottom w:val="0"/>
          <w:divBdr>
            <w:top w:val="none" w:sz="0" w:space="0" w:color="auto"/>
            <w:left w:val="none" w:sz="0" w:space="0" w:color="auto"/>
            <w:bottom w:val="none" w:sz="0" w:space="0" w:color="auto"/>
            <w:right w:val="none" w:sz="0" w:space="0" w:color="auto"/>
          </w:divBdr>
        </w:div>
        <w:div w:id="1219366235">
          <w:marLeft w:val="640"/>
          <w:marRight w:val="0"/>
          <w:marTop w:val="0"/>
          <w:marBottom w:val="0"/>
          <w:divBdr>
            <w:top w:val="none" w:sz="0" w:space="0" w:color="auto"/>
            <w:left w:val="none" w:sz="0" w:space="0" w:color="auto"/>
            <w:bottom w:val="none" w:sz="0" w:space="0" w:color="auto"/>
            <w:right w:val="none" w:sz="0" w:space="0" w:color="auto"/>
          </w:divBdr>
        </w:div>
        <w:div w:id="1130241769">
          <w:marLeft w:val="640"/>
          <w:marRight w:val="0"/>
          <w:marTop w:val="0"/>
          <w:marBottom w:val="0"/>
          <w:divBdr>
            <w:top w:val="none" w:sz="0" w:space="0" w:color="auto"/>
            <w:left w:val="none" w:sz="0" w:space="0" w:color="auto"/>
            <w:bottom w:val="none" w:sz="0" w:space="0" w:color="auto"/>
            <w:right w:val="none" w:sz="0" w:space="0" w:color="auto"/>
          </w:divBdr>
        </w:div>
        <w:div w:id="125586283">
          <w:marLeft w:val="640"/>
          <w:marRight w:val="0"/>
          <w:marTop w:val="0"/>
          <w:marBottom w:val="0"/>
          <w:divBdr>
            <w:top w:val="none" w:sz="0" w:space="0" w:color="auto"/>
            <w:left w:val="none" w:sz="0" w:space="0" w:color="auto"/>
            <w:bottom w:val="none" w:sz="0" w:space="0" w:color="auto"/>
            <w:right w:val="none" w:sz="0" w:space="0" w:color="auto"/>
          </w:divBdr>
        </w:div>
        <w:div w:id="344092944">
          <w:marLeft w:val="640"/>
          <w:marRight w:val="0"/>
          <w:marTop w:val="0"/>
          <w:marBottom w:val="0"/>
          <w:divBdr>
            <w:top w:val="none" w:sz="0" w:space="0" w:color="auto"/>
            <w:left w:val="none" w:sz="0" w:space="0" w:color="auto"/>
            <w:bottom w:val="none" w:sz="0" w:space="0" w:color="auto"/>
            <w:right w:val="none" w:sz="0" w:space="0" w:color="auto"/>
          </w:divBdr>
        </w:div>
        <w:div w:id="2126998412">
          <w:marLeft w:val="640"/>
          <w:marRight w:val="0"/>
          <w:marTop w:val="0"/>
          <w:marBottom w:val="0"/>
          <w:divBdr>
            <w:top w:val="none" w:sz="0" w:space="0" w:color="auto"/>
            <w:left w:val="none" w:sz="0" w:space="0" w:color="auto"/>
            <w:bottom w:val="none" w:sz="0" w:space="0" w:color="auto"/>
            <w:right w:val="none" w:sz="0" w:space="0" w:color="auto"/>
          </w:divBdr>
        </w:div>
        <w:div w:id="1628781701">
          <w:marLeft w:val="640"/>
          <w:marRight w:val="0"/>
          <w:marTop w:val="0"/>
          <w:marBottom w:val="0"/>
          <w:divBdr>
            <w:top w:val="none" w:sz="0" w:space="0" w:color="auto"/>
            <w:left w:val="none" w:sz="0" w:space="0" w:color="auto"/>
            <w:bottom w:val="none" w:sz="0" w:space="0" w:color="auto"/>
            <w:right w:val="none" w:sz="0" w:space="0" w:color="auto"/>
          </w:divBdr>
        </w:div>
        <w:div w:id="1444424265">
          <w:marLeft w:val="640"/>
          <w:marRight w:val="0"/>
          <w:marTop w:val="0"/>
          <w:marBottom w:val="0"/>
          <w:divBdr>
            <w:top w:val="none" w:sz="0" w:space="0" w:color="auto"/>
            <w:left w:val="none" w:sz="0" w:space="0" w:color="auto"/>
            <w:bottom w:val="none" w:sz="0" w:space="0" w:color="auto"/>
            <w:right w:val="none" w:sz="0" w:space="0" w:color="auto"/>
          </w:divBdr>
        </w:div>
        <w:div w:id="910503209">
          <w:marLeft w:val="640"/>
          <w:marRight w:val="0"/>
          <w:marTop w:val="0"/>
          <w:marBottom w:val="0"/>
          <w:divBdr>
            <w:top w:val="none" w:sz="0" w:space="0" w:color="auto"/>
            <w:left w:val="none" w:sz="0" w:space="0" w:color="auto"/>
            <w:bottom w:val="none" w:sz="0" w:space="0" w:color="auto"/>
            <w:right w:val="none" w:sz="0" w:space="0" w:color="auto"/>
          </w:divBdr>
        </w:div>
        <w:div w:id="1719282443">
          <w:marLeft w:val="640"/>
          <w:marRight w:val="0"/>
          <w:marTop w:val="0"/>
          <w:marBottom w:val="0"/>
          <w:divBdr>
            <w:top w:val="none" w:sz="0" w:space="0" w:color="auto"/>
            <w:left w:val="none" w:sz="0" w:space="0" w:color="auto"/>
            <w:bottom w:val="none" w:sz="0" w:space="0" w:color="auto"/>
            <w:right w:val="none" w:sz="0" w:space="0" w:color="auto"/>
          </w:divBdr>
        </w:div>
        <w:div w:id="1945502522">
          <w:marLeft w:val="640"/>
          <w:marRight w:val="0"/>
          <w:marTop w:val="0"/>
          <w:marBottom w:val="0"/>
          <w:divBdr>
            <w:top w:val="none" w:sz="0" w:space="0" w:color="auto"/>
            <w:left w:val="none" w:sz="0" w:space="0" w:color="auto"/>
            <w:bottom w:val="none" w:sz="0" w:space="0" w:color="auto"/>
            <w:right w:val="none" w:sz="0" w:space="0" w:color="auto"/>
          </w:divBdr>
        </w:div>
        <w:div w:id="94054681">
          <w:marLeft w:val="640"/>
          <w:marRight w:val="0"/>
          <w:marTop w:val="0"/>
          <w:marBottom w:val="0"/>
          <w:divBdr>
            <w:top w:val="none" w:sz="0" w:space="0" w:color="auto"/>
            <w:left w:val="none" w:sz="0" w:space="0" w:color="auto"/>
            <w:bottom w:val="none" w:sz="0" w:space="0" w:color="auto"/>
            <w:right w:val="none" w:sz="0" w:space="0" w:color="auto"/>
          </w:divBdr>
        </w:div>
        <w:div w:id="1499537231">
          <w:marLeft w:val="640"/>
          <w:marRight w:val="0"/>
          <w:marTop w:val="0"/>
          <w:marBottom w:val="0"/>
          <w:divBdr>
            <w:top w:val="none" w:sz="0" w:space="0" w:color="auto"/>
            <w:left w:val="none" w:sz="0" w:space="0" w:color="auto"/>
            <w:bottom w:val="none" w:sz="0" w:space="0" w:color="auto"/>
            <w:right w:val="none" w:sz="0" w:space="0" w:color="auto"/>
          </w:divBdr>
        </w:div>
        <w:div w:id="404643101">
          <w:marLeft w:val="640"/>
          <w:marRight w:val="0"/>
          <w:marTop w:val="0"/>
          <w:marBottom w:val="0"/>
          <w:divBdr>
            <w:top w:val="none" w:sz="0" w:space="0" w:color="auto"/>
            <w:left w:val="none" w:sz="0" w:space="0" w:color="auto"/>
            <w:bottom w:val="none" w:sz="0" w:space="0" w:color="auto"/>
            <w:right w:val="none" w:sz="0" w:space="0" w:color="auto"/>
          </w:divBdr>
        </w:div>
        <w:div w:id="2034115060">
          <w:marLeft w:val="640"/>
          <w:marRight w:val="0"/>
          <w:marTop w:val="0"/>
          <w:marBottom w:val="0"/>
          <w:divBdr>
            <w:top w:val="none" w:sz="0" w:space="0" w:color="auto"/>
            <w:left w:val="none" w:sz="0" w:space="0" w:color="auto"/>
            <w:bottom w:val="none" w:sz="0" w:space="0" w:color="auto"/>
            <w:right w:val="none" w:sz="0" w:space="0" w:color="auto"/>
          </w:divBdr>
        </w:div>
        <w:div w:id="1182235875">
          <w:marLeft w:val="640"/>
          <w:marRight w:val="0"/>
          <w:marTop w:val="0"/>
          <w:marBottom w:val="0"/>
          <w:divBdr>
            <w:top w:val="none" w:sz="0" w:space="0" w:color="auto"/>
            <w:left w:val="none" w:sz="0" w:space="0" w:color="auto"/>
            <w:bottom w:val="none" w:sz="0" w:space="0" w:color="auto"/>
            <w:right w:val="none" w:sz="0" w:space="0" w:color="auto"/>
          </w:divBdr>
        </w:div>
        <w:div w:id="719592036">
          <w:marLeft w:val="640"/>
          <w:marRight w:val="0"/>
          <w:marTop w:val="0"/>
          <w:marBottom w:val="0"/>
          <w:divBdr>
            <w:top w:val="none" w:sz="0" w:space="0" w:color="auto"/>
            <w:left w:val="none" w:sz="0" w:space="0" w:color="auto"/>
            <w:bottom w:val="none" w:sz="0" w:space="0" w:color="auto"/>
            <w:right w:val="none" w:sz="0" w:space="0" w:color="auto"/>
          </w:divBdr>
        </w:div>
        <w:div w:id="683481803">
          <w:marLeft w:val="640"/>
          <w:marRight w:val="0"/>
          <w:marTop w:val="0"/>
          <w:marBottom w:val="0"/>
          <w:divBdr>
            <w:top w:val="none" w:sz="0" w:space="0" w:color="auto"/>
            <w:left w:val="none" w:sz="0" w:space="0" w:color="auto"/>
            <w:bottom w:val="none" w:sz="0" w:space="0" w:color="auto"/>
            <w:right w:val="none" w:sz="0" w:space="0" w:color="auto"/>
          </w:divBdr>
        </w:div>
        <w:div w:id="2108259710">
          <w:marLeft w:val="640"/>
          <w:marRight w:val="0"/>
          <w:marTop w:val="0"/>
          <w:marBottom w:val="0"/>
          <w:divBdr>
            <w:top w:val="none" w:sz="0" w:space="0" w:color="auto"/>
            <w:left w:val="none" w:sz="0" w:space="0" w:color="auto"/>
            <w:bottom w:val="none" w:sz="0" w:space="0" w:color="auto"/>
            <w:right w:val="none" w:sz="0" w:space="0" w:color="auto"/>
          </w:divBdr>
        </w:div>
        <w:div w:id="340665199">
          <w:marLeft w:val="640"/>
          <w:marRight w:val="0"/>
          <w:marTop w:val="0"/>
          <w:marBottom w:val="0"/>
          <w:divBdr>
            <w:top w:val="none" w:sz="0" w:space="0" w:color="auto"/>
            <w:left w:val="none" w:sz="0" w:space="0" w:color="auto"/>
            <w:bottom w:val="none" w:sz="0" w:space="0" w:color="auto"/>
            <w:right w:val="none" w:sz="0" w:space="0" w:color="auto"/>
          </w:divBdr>
        </w:div>
        <w:div w:id="148404419">
          <w:marLeft w:val="640"/>
          <w:marRight w:val="0"/>
          <w:marTop w:val="0"/>
          <w:marBottom w:val="0"/>
          <w:divBdr>
            <w:top w:val="none" w:sz="0" w:space="0" w:color="auto"/>
            <w:left w:val="none" w:sz="0" w:space="0" w:color="auto"/>
            <w:bottom w:val="none" w:sz="0" w:space="0" w:color="auto"/>
            <w:right w:val="none" w:sz="0" w:space="0" w:color="auto"/>
          </w:divBdr>
        </w:div>
        <w:div w:id="1488470608">
          <w:marLeft w:val="640"/>
          <w:marRight w:val="0"/>
          <w:marTop w:val="0"/>
          <w:marBottom w:val="0"/>
          <w:divBdr>
            <w:top w:val="none" w:sz="0" w:space="0" w:color="auto"/>
            <w:left w:val="none" w:sz="0" w:space="0" w:color="auto"/>
            <w:bottom w:val="none" w:sz="0" w:space="0" w:color="auto"/>
            <w:right w:val="none" w:sz="0" w:space="0" w:color="auto"/>
          </w:divBdr>
        </w:div>
        <w:div w:id="985664933">
          <w:marLeft w:val="640"/>
          <w:marRight w:val="0"/>
          <w:marTop w:val="0"/>
          <w:marBottom w:val="0"/>
          <w:divBdr>
            <w:top w:val="none" w:sz="0" w:space="0" w:color="auto"/>
            <w:left w:val="none" w:sz="0" w:space="0" w:color="auto"/>
            <w:bottom w:val="none" w:sz="0" w:space="0" w:color="auto"/>
            <w:right w:val="none" w:sz="0" w:space="0" w:color="auto"/>
          </w:divBdr>
        </w:div>
        <w:div w:id="1096290230">
          <w:marLeft w:val="640"/>
          <w:marRight w:val="0"/>
          <w:marTop w:val="0"/>
          <w:marBottom w:val="0"/>
          <w:divBdr>
            <w:top w:val="none" w:sz="0" w:space="0" w:color="auto"/>
            <w:left w:val="none" w:sz="0" w:space="0" w:color="auto"/>
            <w:bottom w:val="none" w:sz="0" w:space="0" w:color="auto"/>
            <w:right w:val="none" w:sz="0" w:space="0" w:color="auto"/>
          </w:divBdr>
        </w:div>
        <w:div w:id="1025667021">
          <w:marLeft w:val="640"/>
          <w:marRight w:val="0"/>
          <w:marTop w:val="0"/>
          <w:marBottom w:val="0"/>
          <w:divBdr>
            <w:top w:val="none" w:sz="0" w:space="0" w:color="auto"/>
            <w:left w:val="none" w:sz="0" w:space="0" w:color="auto"/>
            <w:bottom w:val="none" w:sz="0" w:space="0" w:color="auto"/>
            <w:right w:val="none" w:sz="0" w:space="0" w:color="auto"/>
          </w:divBdr>
        </w:div>
        <w:div w:id="774832780">
          <w:marLeft w:val="640"/>
          <w:marRight w:val="0"/>
          <w:marTop w:val="0"/>
          <w:marBottom w:val="0"/>
          <w:divBdr>
            <w:top w:val="none" w:sz="0" w:space="0" w:color="auto"/>
            <w:left w:val="none" w:sz="0" w:space="0" w:color="auto"/>
            <w:bottom w:val="none" w:sz="0" w:space="0" w:color="auto"/>
            <w:right w:val="none" w:sz="0" w:space="0" w:color="auto"/>
          </w:divBdr>
        </w:div>
        <w:div w:id="562832865">
          <w:marLeft w:val="640"/>
          <w:marRight w:val="0"/>
          <w:marTop w:val="0"/>
          <w:marBottom w:val="0"/>
          <w:divBdr>
            <w:top w:val="none" w:sz="0" w:space="0" w:color="auto"/>
            <w:left w:val="none" w:sz="0" w:space="0" w:color="auto"/>
            <w:bottom w:val="none" w:sz="0" w:space="0" w:color="auto"/>
            <w:right w:val="none" w:sz="0" w:space="0" w:color="auto"/>
          </w:divBdr>
        </w:div>
        <w:div w:id="96413015">
          <w:marLeft w:val="640"/>
          <w:marRight w:val="0"/>
          <w:marTop w:val="0"/>
          <w:marBottom w:val="0"/>
          <w:divBdr>
            <w:top w:val="none" w:sz="0" w:space="0" w:color="auto"/>
            <w:left w:val="none" w:sz="0" w:space="0" w:color="auto"/>
            <w:bottom w:val="none" w:sz="0" w:space="0" w:color="auto"/>
            <w:right w:val="none" w:sz="0" w:space="0" w:color="auto"/>
          </w:divBdr>
        </w:div>
        <w:div w:id="421343696">
          <w:marLeft w:val="640"/>
          <w:marRight w:val="0"/>
          <w:marTop w:val="0"/>
          <w:marBottom w:val="0"/>
          <w:divBdr>
            <w:top w:val="none" w:sz="0" w:space="0" w:color="auto"/>
            <w:left w:val="none" w:sz="0" w:space="0" w:color="auto"/>
            <w:bottom w:val="none" w:sz="0" w:space="0" w:color="auto"/>
            <w:right w:val="none" w:sz="0" w:space="0" w:color="auto"/>
          </w:divBdr>
        </w:div>
        <w:div w:id="1354576904">
          <w:marLeft w:val="640"/>
          <w:marRight w:val="0"/>
          <w:marTop w:val="0"/>
          <w:marBottom w:val="0"/>
          <w:divBdr>
            <w:top w:val="none" w:sz="0" w:space="0" w:color="auto"/>
            <w:left w:val="none" w:sz="0" w:space="0" w:color="auto"/>
            <w:bottom w:val="none" w:sz="0" w:space="0" w:color="auto"/>
            <w:right w:val="none" w:sz="0" w:space="0" w:color="auto"/>
          </w:divBdr>
        </w:div>
        <w:div w:id="453137147">
          <w:marLeft w:val="640"/>
          <w:marRight w:val="0"/>
          <w:marTop w:val="0"/>
          <w:marBottom w:val="0"/>
          <w:divBdr>
            <w:top w:val="none" w:sz="0" w:space="0" w:color="auto"/>
            <w:left w:val="none" w:sz="0" w:space="0" w:color="auto"/>
            <w:bottom w:val="none" w:sz="0" w:space="0" w:color="auto"/>
            <w:right w:val="none" w:sz="0" w:space="0" w:color="auto"/>
          </w:divBdr>
        </w:div>
        <w:div w:id="528101961">
          <w:marLeft w:val="640"/>
          <w:marRight w:val="0"/>
          <w:marTop w:val="0"/>
          <w:marBottom w:val="0"/>
          <w:divBdr>
            <w:top w:val="none" w:sz="0" w:space="0" w:color="auto"/>
            <w:left w:val="none" w:sz="0" w:space="0" w:color="auto"/>
            <w:bottom w:val="none" w:sz="0" w:space="0" w:color="auto"/>
            <w:right w:val="none" w:sz="0" w:space="0" w:color="auto"/>
          </w:divBdr>
        </w:div>
        <w:div w:id="1340155448">
          <w:marLeft w:val="640"/>
          <w:marRight w:val="0"/>
          <w:marTop w:val="0"/>
          <w:marBottom w:val="0"/>
          <w:divBdr>
            <w:top w:val="none" w:sz="0" w:space="0" w:color="auto"/>
            <w:left w:val="none" w:sz="0" w:space="0" w:color="auto"/>
            <w:bottom w:val="none" w:sz="0" w:space="0" w:color="auto"/>
            <w:right w:val="none" w:sz="0" w:space="0" w:color="auto"/>
          </w:divBdr>
        </w:div>
        <w:div w:id="384255187">
          <w:marLeft w:val="640"/>
          <w:marRight w:val="0"/>
          <w:marTop w:val="0"/>
          <w:marBottom w:val="0"/>
          <w:divBdr>
            <w:top w:val="none" w:sz="0" w:space="0" w:color="auto"/>
            <w:left w:val="none" w:sz="0" w:space="0" w:color="auto"/>
            <w:bottom w:val="none" w:sz="0" w:space="0" w:color="auto"/>
            <w:right w:val="none" w:sz="0" w:space="0" w:color="auto"/>
          </w:divBdr>
        </w:div>
        <w:div w:id="1095247655">
          <w:marLeft w:val="640"/>
          <w:marRight w:val="0"/>
          <w:marTop w:val="0"/>
          <w:marBottom w:val="0"/>
          <w:divBdr>
            <w:top w:val="none" w:sz="0" w:space="0" w:color="auto"/>
            <w:left w:val="none" w:sz="0" w:space="0" w:color="auto"/>
            <w:bottom w:val="none" w:sz="0" w:space="0" w:color="auto"/>
            <w:right w:val="none" w:sz="0" w:space="0" w:color="auto"/>
          </w:divBdr>
        </w:div>
        <w:div w:id="862397196">
          <w:marLeft w:val="640"/>
          <w:marRight w:val="0"/>
          <w:marTop w:val="0"/>
          <w:marBottom w:val="0"/>
          <w:divBdr>
            <w:top w:val="none" w:sz="0" w:space="0" w:color="auto"/>
            <w:left w:val="none" w:sz="0" w:space="0" w:color="auto"/>
            <w:bottom w:val="none" w:sz="0" w:space="0" w:color="auto"/>
            <w:right w:val="none" w:sz="0" w:space="0" w:color="auto"/>
          </w:divBdr>
        </w:div>
        <w:div w:id="730692292">
          <w:marLeft w:val="640"/>
          <w:marRight w:val="0"/>
          <w:marTop w:val="0"/>
          <w:marBottom w:val="0"/>
          <w:divBdr>
            <w:top w:val="none" w:sz="0" w:space="0" w:color="auto"/>
            <w:left w:val="none" w:sz="0" w:space="0" w:color="auto"/>
            <w:bottom w:val="none" w:sz="0" w:space="0" w:color="auto"/>
            <w:right w:val="none" w:sz="0" w:space="0" w:color="auto"/>
          </w:divBdr>
        </w:div>
        <w:div w:id="1014653504">
          <w:marLeft w:val="640"/>
          <w:marRight w:val="0"/>
          <w:marTop w:val="0"/>
          <w:marBottom w:val="0"/>
          <w:divBdr>
            <w:top w:val="none" w:sz="0" w:space="0" w:color="auto"/>
            <w:left w:val="none" w:sz="0" w:space="0" w:color="auto"/>
            <w:bottom w:val="none" w:sz="0" w:space="0" w:color="auto"/>
            <w:right w:val="none" w:sz="0" w:space="0" w:color="auto"/>
          </w:divBdr>
        </w:div>
        <w:div w:id="2140610416">
          <w:marLeft w:val="640"/>
          <w:marRight w:val="0"/>
          <w:marTop w:val="0"/>
          <w:marBottom w:val="0"/>
          <w:divBdr>
            <w:top w:val="none" w:sz="0" w:space="0" w:color="auto"/>
            <w:left w:val="none" w:sz="0" w:space="0" w:color="auto"/>
            <w:bottom w:val="none" w:sz="0" w:space="0" w:color="auto"/>
            <w:right w:val="none" w:sz="0" w:space="0" w:color="auto"/>
          </w:divBdr>
        </w:div>
        <w:div w:id="1366785654">
          <w:marLeft w:val="640"/>
          <w:marRight w:val="0"/>
          <w:marTop w:val="0"/>
          <w:marBottom w:val="0"/>
          <w:divBdr>
            <w:top w:val="none" w:sz="0" w:space="0" w:color="auto"/>
            <w:left w:val="none" w:sz="0" w:space="0" w:color="auto"/>
            <w:bottom w:val="none" w:sz="0" w:space="0" w:color="auto"/>
            <w:right w:val="none" w:sz="0" w:space="0" w:color="auto"/>
          </w:divBdr>
        </w:div>
        <w:div w:id="850950375">
          <w:marLeft w:val="640"/>
          <w:marRight w:val="0"/>
          <w:marTop w:val="0"/>
          <w:marBottom w:val="0"/>
          <w:divBdr>
            <w:top w:val="none" w:sz="0" w:space="0" w:color="auto"/>
            <w:left w:val="none" w:sz="0" w:space="0" w:color="auto"/>
            <w:bottom w:val="none" w:sz="0" w:space="0" w:color="auto"/>
            <w:right w:val="none" w:sz="0" w:space="0" w:color="auto"/>
          </w:divBdr>
        </w:div>
        <w:div w:id="934019135">
          <w:marLeft w:val="640"/>
          <w:marRight w:val="0"/>
          <w:marTop w:val="0"/>
          <w:marBottom w:val="0"/>
          <w:divBdr>
            <w:top w:val="none" w:sz="0" w:space="0" w:color="auto"/>
            <w:left w:val="none" w:sz="0" w:space="0" w:color="auto"/>
            <w:bottom w:val="none" w:sz="0" w:space="0" w:color="auto"/>
            <w:right w:val="none" w:sz="0" w:space="0" w:color="auto"/>
          </w:divBdr>
        </w:div>
        <w:div w:id="315383449">
          <w:marLeft w:val="640"/>
          <w:marRight w:val="0"/>
          <w:marTop w:val="0"/>
          <w:marBottom w:val="0"/>
          <w:divBdr>
            <w:top w:val="none" w:sz="0" w:space="0" w:color="auto"/>
            <w:left w:val="none" w:sz="0" w:space="0" w:color="auto"/>
            <w:bottom w:val="none" w:sz="0" w:space="0" w:color="auto"/>
            <w:right w:val="none" w:sz="0" w:space="0" w:color="auto"/>
          </w:divBdr>
        </w:div>
        <w:div w:id="427433219">
          <w:marLeft w:val="640"/>
          <w:marRight w:val="0"/>
          <w:marTop w:val="0"/>
          <w:marBottom w:val="0"/>
          <w:divBdr>
            <w:top w:val="none" w:sz="0" w:space="0" w:color="auto"/>
            <w:left w:val="none" w:sz="0" w:space="0" w:color="auto"/>
            <w:bottom w:val="none" w:sz="0" w:space="0" w:color="auto"/>
            <w:right w:val="none" w:sz="0" w:space="0" w:color="auto"/>
          </w:divBdr>
        </w:div>
        <w:div w:id="1109622312">
          <w:marLeft w:val="640"/>
          <w:marRight w:val="0"/>
          <w:marTop w:val="0"/>
          <w:marBottom w:val="0"/>
          <w:divBdr>
            <w:top w:val="none" w:sz="0" w:space="0" w:color="auto"/>
            <w:left w:val="none" w:sz="0" w:space="0" w:color="auto"/>
            <w:bottom w:val="none" w:sz="0" w:space="0" w:color="auto"/>
            <w:right w:val="none" w:sz="0" w:space="0" w:color="auto"/>
          </w:divBdr>
        </w:div>
        <w:div w:id="1739984253">
          <w:marLeft w:val="640"/>
          <w:marRight w:val="0"/>
          <w:marTop w:val="0"/>
          <w:marBottom w:val="0"/>
          <w:divBdr>
            <w:top w:val="none" w:sz="0" w:space="0" w:color="auto"/>
            <w:left w:val="none" w:sz="0" w:space="0" w:color="auto"/>
            <w:bottom w:val="none" w:sz="0" w:space="0" w:color="auto"/>
            <w:right w:val="none" w:sz="0" w:space="0" w:color="auto"/>
          </w:divBdr>
        </w:div>
        <w:div w:id="1506167990">
          <w:marLeft w:val="640"/>
          <w:marRight w:val="0"/>
          <w:marTop w:val="0"/>
          <w:marBottom w:val="0"/>
          <w:divBdr>
            <w:top w:val="none" w:sz="0" w:space="0" w:color="auto"/>
            <w:left w:val="none" w:sz="0" w:space="0" w:color="auto"/>
            <w:bottom w:val="none" w:sz="0" w:space="0" w:color="auto"/>
            <w:right w:val="none" w:sz="0" w:space="0" w:color="auto"/>
          </w:divBdr>
        </w:div>
        <w:div w:id="198397080">
          <w:marLeft w:val="640"/>
          <w:marRight w:val="0"/>
          <w:marTop w:val="0"/>
          <w:marBottom w:val="0"/>
          <w:divBdr>
            <w:top w:val="none" w:sz="0" w:space="0" w:color="auto"/>
            <w:left w:val="none" w:sz="0" w:space="0" w:color="auto"/>
            <w:bottom w:val="none" w:sz="0" w:space="0" w:color="auto"/>
            <w:right w:val="none" w:sz="0" w:space="0" w:color="auto"/>
          </w:divBdr>
        </w:div>
        <w:div w:id="1760253092">
          <w:marLeft w:val="640"/>
          <w:marRight w:val="0"/>
          <w:marTop w:val="0"/>
          <w:marBottom w:val="0"/>
          <w:divBdr>
            <w:top w:val="none" w:sz="0" w:space="0" w:color="auto"/>
            <w:left w:val="none" w:sz="0" w:space="0" w:color="auto"/>
            <w:bottom w:val="none" w:sz="0" w:space="0" w:color="auto"/>
            <w:right w:val="none" w:sz="0" w:space="0" w:color="auto"/>
          </w:divBdr>
        </w:div>
        <w:div w:id="466048294">
          <w:marLeft w:val="640"/>
          <w:marRight w:val="0"/>
          <w:marTop w:val="0"/>
          <w:marBottom w:val="0"/>
          <w:divBdr>
            <w:top w:val="none" w:sz="0" w:space="0" w:color="auto"/>
            <w:left w:val="none" w:sz="0" w:space="0" w:color="auto"/>
            <w:bottom w:val="none" w:sz="0" w:space="0" w:color="auto"/>
            <w:right w:val="none" w:sz="0" w:space="0" w:color="auto"/>
          </w:divBdr>
        </w:div>
        <w:div w:id="621378666">
          <w:marLeft w:val="640"/>
          <w:marRight w:val="0"/>
          <w:marTop w:val="0"/>
          <w:marBottom w:val="0"/>
          <w:divBdr>
            <w:top w:val="none" w:sz="0" w:space="0" w:color="auto"/>
            <w:left w:val="none" w:sz="0" w:space="0" w:color="auto"/>
            <w:bottom w:val="none" w:sz="0" w:space="0" w:color="auto"/>
            <w:right w:val="none" w:sz="0" w:space="0" w:color="auto"/>
          </w:divBdr>
        </w:div>
        <w:div w:id="306591830">
          <w:marLeft w:val="640"/>
          <w:marRight w:val="0"/>
          <w:marTop w:val="0"/>
          <w:marBottom w:val="0"/>
          <w:divBdr>
            <w:top w:val="none" w:sz="0" w:space="0" w:color="auto"/>
            <w:left w:val="none" w:sz="0" w:space="0" w:color="auto"/>
            <w:bottom w:val="none" w:sz="0" w:space="0" w:color="auto"/>
            <w:right w:val="none" w:sz="0" w:space="0" w:color="auto"/>
          </w:divBdr>
        </w:div>
        <w:div w:id="231821211">
          <w:marLeft w:val="640"/>
          <w:marRight w:val="0"/>
          <w:marTop w:val="0"/>
          <w:marBottom w:val="0"/>
          <w:divBdr>
            <w:top w:val="none" w:sz="0" w:space="0" w:color="auto"/>
            <w:left w:val="none" w:sz="0" w:space="0" w:color="auto"/>
            <w:bottom w:val="none" w:sz="0" w:space="0" w:color="auto"/>
            <w:right w:val="none" w:sz="0" w:space="0" w:color="auto"/>
          </w:divBdr>
        </w:div>
        <w:div w:id="634874964">
          <w:marLeft w:val="640"/>
          <w:marRight w:val="0"/>
          <w:marTop w:val="0"/>
          <w:marBottom w:val="0"/>
          <w:divBdr>
            <w:top w:val="none" w:sz="0" w:space="0" w:color="auto"/>
            <w:left w:val="none" w:sz="0" w:space="0" w:color="auto"/>
            <w:bottom w:val="none" w:sz="0" w:space="0" w:color="auto"/>
            <w:right w:val="none" w:sz="0" w:space="0" w:color="auto"/>
          </w:divBdr>
        </w:div>
        <w:div w:id="1703095039">
          <w:marLeft w:val="640"/>
          <w:marRight w:val="0"/>
          <w:marTop w:val="0"/>
          <w:marBottom w:val="0"/>
          <w:divBdr>
            <w:top w:val="none" w:sz="0" w:space="0" w:color="auto"/>
            <w:left w:val="none" w:sz="0" w:space="0" w:color="auto"/>
            <w:bottom w:val="none" w:sz="0" w:space="0" w:color="auto"/>
            <w:right w:val="none" w:sz="0" w:space="0" w:color="auto"/>
          </w:divBdr>
        </w:div>
        <w:div w:id="841504971">
          <w:marLeft w:val="640"/>
          <w:marRight w:val="0"/>
          <w:marTop w:val="0"/>
          <w:marBottom w:val="0"/>
          <w:divBdr>
            <w:top w:val="none" w:sz="0" w:space="0" w:color="auto"/>
            <w:left w:val="none" w:sz="0" w:space="0" w:color="auto"/>
            <w:bottom w:val="none" w:sz="0" w:space="0" w:color="auto"/>
            <w:right w:val="none" w:sz="0" w:space="0" w:color="auto"/>
          </w:divBdr>
        </w:div>
        <w:div w:id="1257639046">
          <w:marLeft w:val="640"/>
          <w:marRight w:val="0"/>
          <w:marTop w:val="0"/>
          <w:marBottom w:val="0"/>
          <w:divBdr>
            <w:top w:val="none" w:sz="0" w:space="0" w:color="auto"/>
            <w:left w:val="none" w:sz="0" w:space="0" w:color="auto"/>
            <w:bottom w:val="none" w:sz="0" w:space="0" w:color="auto"/>
            <w:right w:val="none" w:sz="0" w:space="0" w:color="auto"/>
          </w:divBdr>
        </w:div>
        <w:div w:id="791359929">
          <w:marLeft w:val="640"/>
          <w:marRight w:val="0"/>
          <w:marTop w:val="0"/>
          <w:marBottom w:val="0"/>
          <w:divBdr>
            <w:top w:val="none" w:sz="0" w:space="0" w:color="auto"/>
            <w:left w:val="none" w:sz="0" w:space="0" w:color="auto"/>
            <w:bottom w:val="none" w:sz="0" w:space="0" w:color="auto"/>
            <w:right w:val="none" w:sz="0" w:space="0" w:color="auto"/>
          </w:divBdr>
        </w:div>
        <w:div w:id="1854104902">
          <w:marLeft w:val="640"/>
          <w:marRight w:val="0"/>
          <w:marTop w:val="0"/>
          <w:marBottom w:val="0"/>
          <w:divBdr>
            <w:top w:val="none" w:sz="0" w:space="0" w:color="auto"/>
            <w:left w:val="none" w:sz="0" w:space="0" w:color="auto"/>
            <w:bottom w:val="none" w:sz="0" w:space="0" w:color="auto"/>
            <w:right w:val="none" w:sz="0" w:space="0" w:color="auto"/>
          </w:divBdr>
        </w:div>
        <w:div w:id="894780129">
          <w:marLeft w:val="640"/>
          <w:marRight w:val="0"/>
          <w:marTop w:val="0"/>
          <w:marBottom w:val="0"/>
          <w:divBdr>
            <w:top w:val="none" w:sz="0" w:space="0" w:color="auto"/>
            <w:left w:val="none" w:sz="0" w:space="0" w:color="auto"/>
            <w:bottom w:val="none" w:sz="0" w:space="0" w:color="auto"/>
            <w:right w:val="none" w:sz="0" w:space="0" w:color="auto"/>
          </w:divBdr>
        </w:div>
        <w:div w:id="1722630088">
          <w:marLeft w:val="640"/>
          <w:marRight w:val="0"/>
          <w:marTop w:val="0"/>
          <w:marBottom w:val="0"/>
          <w:divBdr>
            <w:top w:val="none" w:sz="0" w:space="0" w:color="auto"/>
            <w:left w:val="none" w:sz="0" w:space="0" w:color="auto"/>
            <w:bottom w:val="none" w:sz="0" w:space="0" w:color="auto"/>
            <w:right w:val="none" w:sz="0" w:space="0" w:color="auto"/>
          </w:divBdr>
        </w:div>
        <w:div w:id="342324450">
          <w:marLeft w:val="640"/>
          <w:marRight w:val="0"/>
          <w:marTop w:val="0"/>
          <w:marBottom w:val="0"/>
          <w:divBdr>
            <w:top w:val="none" w:sz="0" w:space="0" w:color="auto"/>
            <w:left w:val="none" w:sz="0" w:space="0" w:color="auto"/>
            <w:bottom w:val="none" w:sz="0" w:space="0" w:color="auto"/>
            <w:right w:val="none" w:sz="0" w:space="0" w:color="auto"/>
          </w:divBdr>
        </w:div>
        <w:div w:id="1154417383">
          <w:marLeft w:val="640"/>
          <w:marRight w:val="0"/>
          <w:marTop w:val="0"/>
          <w:marBottom w:val="0"/>
          <w:divBdr>
            <w:top w:val="none" w:sz="0" w:space="0" w:color="auto"/>
            <w:left w:val="none" w:sz="0" w:space="0" w:color="auto"/>
            <w:bottom w:val="none" w:sz="0" w:space="0" w:color="auto"/>
            <w:right w:val="none" w:sz="0" w:space="0" w:color="auto"/>
          </w:divBdr>
        </w:div>
        <w:div w:id="1124273414">
          <w:marLeft w:val="640"/>
          <w:marRight w:val="0"/>
          <w:marTop w:val="0"/>
          <w:marBottom w:val="0"/>
          <w:divBdr>
            <w:top w:val="none" w:sz="0" w:space="0" w:color="auto"/>
            <w:left w:val="none" w:sz="0" w:space="0" w:color="auto"/>
            <w:bottom w:val="none" w:sz="0" w:space="0" w:color="auto"/>
            <w:right w:val="none" w:sz="0" w:space="0" w:color="auto"/>
          </w:divBdr>
        </w:div>
        <w:div w:id="178155000">
          <w:marLeft w:val="640"/>
          <w:marRight w:val="0"/>
          <w:marTop w:val="0"/>
          <w:marBottom w:val="0"/>
          <w:divBdr>
            <w:top w:val="none" w:sz="0" w:space="0" w:color="auto"/>
            <w:left w:val="none" w:sz="0" w:space="0" w:color="auto"/>
            <w:bottom w:val="none" w:sz="0" w:space="0" w:color="auto"/>
            <w:right w:val="none" w:sz="0" w:space="0" w:color="auto"/>
          </w:divBdr>
        </w:div>
        <w:div w:id="928275500">
          <w:marLeft w:val="640"/>
          <w:marRight w:val="0"/>
          <w:marTop w:val="0"/>
          <w:marBottom w:val="0"/>
          <w:divBdr>
            <w:top w:val="none" w:sz="0" w:space="0" w:color="auto"/>
            <w:left w:val="none" w:sz="0" w:space="0" w:color="auto"/>
            <w:bottom w:val="none" w:sz="0" w:space="0" w:color="auto"/>
            <w:right w:val="none" w:sz="0" w:space="0" w:color="auto"/>
          </w:divBdr>
        </w:div>
        <w:div w:id="162287556">
          <w:marLeft w:val="640"/>
          <w:marRight w:val="0"/>
          <w:marTop w:val="0"/>
          <w:marBottom w:val="0"/>
          <w:divBdr>
            <w:top w:val="none" w:sz="0" w:space="0" w:color="auto"/>
            <w:left w:val="none" w:sz="0" w:space="0" w:color="auto"/>
            <w:bottom w:val="none" w:sz="0" w:space="0" w:color="auto"/>
            <w:right w:val="none" w:sz="0" w:space="0" w:color="auto"/>
          </w:divBdr>
        </w:div>
        <w:div w:id="1001158315">
          <w:marLeft w:val="640"/>
          <w:marRight w:val="0"/>
          <w:marTop w:val="0"/>
          <w:marBottom w:val="0"/>
          <w:divBdr>
            <w:top w:val="none" w:sz="0" w:space="0" w:color="auto"/>
            <w:left w:val="none" w:sz="0" w:space="0" w:color="auto"/>
            <w:bottom w:val="none" w:sz="0" w:space="0" w:color="auto"/>
            <w:right w:val="none" w:sz="0" w:space="0" w:color="auto"/>
          </w:divBdr>
        </w:div>
        <w:div w:id="1003970774">
          <w:marLeft w:val="640"/>
          <w:marRight w:val="0"/>
          <w:marTop w:val="0"/>
          <w:marBottom w:val="0"/>
          <w:divBdr>
            <w:top w:val="none" w:sz="0" w:space="0" w:color="auto"/>
            <w:left w:val="none" w:sz="0" w:space="0" w:color="auto"/>
            <w:bottom w:val="none" w:sz="0" w:space="0" w:color="auto"/>
            <w:right w:val="none" w:sz="0" w:space="0" w:color="auto"/>
          </w:divBdr>
        </w:div>
        <w:div w:id="1225919240">
          <w:marLeft w:val="640"/>
          <w:marRight w:val="0"/>
          <w:marTop w:val="0"/>
          <w:marBottom w:val="0"/>
          <w:divBdr>
            <w:top w:val="none" w:sz="0" w:space="0" w:color="auto"/>
            <w:left w:val="none" w:sz="0" w:space="0" w:color="auto"/>
            <w:bottom w:val="none" w:sz="0" w:space="0" w:color="auto"/>
            <w:right w:val="none" w:sz="0" w:space="0" w:color="auto"/>
          </w:divBdr>
        </w:div>
        <w:div w:id="305820732">
          <w:marLeft w:val="640"/>
          <w:marRight w:val="0"/>
          <w:marTop w:val="0"/>
          <w:marBottom w:val="0"/>
          <w:divBdr>
            <w:top w:val="none" w:sz="0" w:space="0" w:color="auto"/>
            <w:left w:val="none" w:sz="0" w:space="0" w:color="auto"/>
            <w:bottom w:val="none" w:sz="0" w:space="0" w:color="auto"/>
            <w:right w:val="none" w:sz="0" w:space="0" w:color="auto"/>
          </w:divBdr>
        </w:div>
        <w:div w:id="687020544">
          <w:marLeft w:val="640"/>
          <w:marRight w:val="0"/>
          <w:marTop w:val="0"/>
          <w:marBottom w:val="0"/>
          <w:divBdr>
            <w:top w:val="none" w:sz="0" w:space="0" w:color="auto"/>
            <w:left w:val="none" w:sz="0" w:space="0" w:color="auto"/>
            <w:bottom w:val="none" w:sz="0" w:space="0" w:color="auto"/>
            <w:right w:val="none" w:sz="0" w:space="0" w:color="auto"/>
          </w:divBdr>
        </w:div>
        <w:div w:id="1612661915">
          <w:marLeft w:val="640"/>
          <w:marRight w:val="0"/>
          <w:marTop w:val="0"/>
          <w:marBottom w:val="0"/>
          <w:divBdr>
            <w:top w:val="none" w:sz="0" w:space="0" w:color="auto"/>
            <w:left w:val="none" w:sz="0" w:space="0" w:color="auto"/>
            <w:bottom w:val="none" w:sz="0" w:space="0" w:color="auto"/>
            <w:right w:val="none" w:sz="0" w:space="0" w:color="auto"/>
          </w:divBdr>
        </w:div>
        <w:div w:id="619848272">
          <w:marLeft w:val="640"/>
          <w:marRight w:val="0"/>
          <w:marTop w:val="0"/>
          <w:marBottom w:val="0"/>
          <w:divBdr>
            <w:top w:val="none" w:sz="0" w:space="0" w:color="auto"/>
            <w:left w:val="none" w:sz="0" w:space="0" w:color="auto"/>
            <w:bottom w:val="none" w:sz="0" w:space="0" w:color="auto"/>
            <w:right w:val="none" w:sz="0" w:space="0" w:color="auto"/>
          </w:divBdr>
        </w:div>
        <w:div w:id="974484137">
          <w:marLeft w:val="640"/>
          <w:marRight w:val="0"/>
          <w:marTop w:val="0"/>
          <w:marBottom w:val="0"/>
          <w:divBdr>
            <w:top w:val="none" w:sz="0" w:space="0" w:color="auto"/>
            <w:left w:val="none" w:sz="0" w:space="0" w:color="auto"/>
            <w:bottom w:val="none" w:sz="0" w:space="0" w:color="auto"/>
            <w:right w:val="none" w:sz="0" w:space="0" w:color="auto"/>
          </w:divBdr>
        </w:div>
        <w:div w:id="1984502201">
          <w:marLeft w:val="640"/>
          <w:marRight w:val="0"/>
          <w:marTop w:val="0"/>
          <w:marBottom w:val="0"/>
          <w:divBdr>
            <w:top w:val="none" w:sz="0" w:space="0" w:color="auto"/>
            <w:left w:val="none" w:sz="0" w:space="0" w:color="auto"/>
            <w:bottom w:val="none" w:sz="0" w:space="0" w:color="auto"/>
            <w:right w:val="none" w:sz="0" w:space="0" w:color="auto"/>
          </w:divBdr>
        </w:div>
        <w:div w:id="515580287">
          <w:marLeft w:val="640"/>
          <w:marRight w:val="0"/>
          <w:marTop w:val="0"/>
          <w:marBottom w:val="0"/>
          <w:divBdr>
            <w:top w:val="none" w:sz="0" w:space="0" w:color="auto"/>
            <w:left w:val="none" w:sz="0" w:space="0" w:color="auto"/>
            <w:bottom w:val="none" w:sz="0" w:space="0" w:color="auto"/>
            <w:right w:val="none" w:sz="0" w:space="0" w:color="auto"/>
          </w:divBdr>
        </w:div>
        <w:div w:id="1420254590">
          <w:marLeft w:val="640"/>
          <w:marRight w:val="0"/>
          <w:marTop w:val="0"/>
          <w:marBottom w:val="0"/>
          <w:divBdr>
            <w:top w:val="none" w:sz="0" w:space="0" w:color="auto"/>
            <w:left w:val="none" w:sz="0" w:space="0" w:color="auto"/>
            <w:bottom w:val="none" w:sz="0" w:space="0" w:color="auto"/>
            <w:right w:val="none" w:sz="0" w:space="0" w:color="auto"/>
          </w:divBdr>
        </w:div>
        <w:div w:id="992493681">
          <w:marLeft w:val="640"/>
          <w:marRight w:val="0"/>
          <w:marTop w:val="0"/>
          <w:marBottom w:val="0"/>
          <w:divBdr>
            <w:top w:val="none" w:sz="0" w:space="0" w:color="auto"/>
            <w:left w:val="none" w:sz="0" w:space="0" w:color="auto"/>
            <w:bottom w:val="none" w:sz="0" w:space="0" w:color="auto"/>
            <w:right w:val="none" w:sz="0" w:space="0" w:color="auto"/>
          </w:divBdr>
        </w:div>
        <w:div w:id="432940732">
          <w:marLeft w:val="640"/>
          <w:marRight w:val="0"/>
          <w:marTop w:val="0"/>
          <w:marBottom w:val="0"/>
          <w:divBdr>
            <w:top w:val="none" w:sz="0" w:space="0" w:color="auto"/>
            <w:left w:val="none" w:sz="0" w:space="0" w:color="auto"/>
            <w:bottom w:val="none" w:sz="0" w:space="0" w:color="auto"/>
            <w:right w:val="none" w:sz="0" w:space="0" w:color="auto"/>
          </w:divBdr>
        </w:div>
        <w:div w:id="426536641">
          <w:marLeft w:val="640"/>
          <w:marRight w:val="0"/>
          <w:marTop w:val="0"/>
          <w:marBottom w:val="0"/>
          <w:divBdr>
            <w:top w:val="none" w:sz="0" w:space="0" w:color="auto"/>
            <w:left w:val="none" w:sz="0" w:space="0" w:color="auto"/>
            <w:bottom w:val="none" w:sz="0" w:space="0" w:color="auto"/>
            <w:right w:val="none" w:sz="0" w:space="0" w:color="auto"/>
          </w:divBdr>
        </w:div>
        <w:div w:id="880939500">
          <w:marLeft w:val="640"/>
          <w:marRight w:val="0"/>
          <w:marTop w:val="0"/>
          <w:marBottom w:val="0"/>
          <w:divBdr>
            <w:top w:val="none" w:sz="0" w:space="0" w:color="auto"/>
            <w:left w:val="none" w:sz="0" w:space="0" w:color="auto"/>
            <w:bottom w:val="none" w:sz="0" w:space="0" w:color="auto"/>
            <w:right w:val="none" w:sz="0" w:space="0" w:color="auto"/>
          </w:divBdr>
        </w:div>
        <w:div w:id="1614283185">
          <w:marLeft w:val="640"/>
          <w:marRight w:val="0"/>
          <w:marTop w:val="0"/>
          <w:marBottom w:val="0"/>
          <w:divBdr>
            <w:top w:val="none" w:sz="0" w:space="0" w:color="auto"/>
            <w:left w:val="none" w:sz="0" w:space="0" w:color="auto"/>
            <w:bottom w:val="none" w:sz="0" w:space="0" w:color="auto"/>
            <w:right w:val="none" w:sz="0" w:space="0" w:color="auto"/>
          </w:divBdr>
        </w:div>
        <w:div w:id="1432316952">
          <w:marLeft w:val="640"/>
          <w:marRight w:val="0"/>
          <w:marTop w:val="0"/>
          <w:marBottom w:val="0"/>
          <w:divBdr>
            <w:top w:val="none" w:sz="0" w:space="0" w:color="auto"/>
            <w:left w:val="none" w:sz="0" w:space="0" w:color="auto"/>
            <w:bottom w:val="none" w:sz="0" w:space="0" w:color="auto"/>
            <w:right w:val="none" w:sz="0" w:space="0" w:color="auto"/>
          </w:divBdr>
        </w:div>
        <w:div w:id="1705981313">
          <w:marLeft w:val="640"/>
          <w:marRight w:val="0"/>
          <w:marTop w:val="0"/>
          <w:marBottom w:val="0"/>
          <w:divBdr>
            <w:top w:val="none" w:sz="0" w:space="0" w:color="auto"/>
            <w:left w:val="none" w:sz="0" w:space="0" w:color="auto"/>
            <w:bottom w:val="none" w:sz="0" w:space="0" w:color="auto"/>
            <w:right w:val="none" w:sz="0" w:space="0" w:color="auto"/>
          </w:divBdr>
        </w:div>
        <w:div w:id="1183661982">
          <w:marLeft w:val="640"/>
          <w:marRight w:val="0"/>
          <w:marTop w:val="0"/>
          <w:marBottom w:val="0"/>
          <w:divBdr>
            <w:top w:val="none" w:sz="0" w:space="0" w:color="auto"/>
            <w:left w:val="none" w:sz="0" w:space="0" w:color="auto"/>
            <w:bottom w:val="none" w:sz="0" w:space="0" w:color="auto"/>
            <w:right w:val="none" w:sz="0" w:space="0" w:color="auto"/>
          </w:divBdr>
        </w:div>
        <w:div w:id="1241479268">
          <w:marLeft w:val="640"/>
          <w:marRight w:val="0"/>
          <w:marTop w:val="0"/>
          <w:marBottom w:val="0"/>
          <w:divBdr>
            <w:top w:val="none" w:sz="0" w:space="0" w:color="auto"/>
            <w:left w:val="none" w:sz="0" w:space="0" w:color="auto"/>
            <w:bottom w:val="none" w:sz="0" w:space="0" w:color="auto"/>
            <w:right w:val="none" w:sz="0" w:space="0" w:color="auto"/>
          </w:divBdr>
        </w:div>
        <w:div w:id="769355816">
          <w:marLeft w:val="640"/>
          <w:marRight w:val="0"/>
          <w:marTop w:val="0"/>
          <w:marBottom w:val="0"/>
          <w:divBdr>
            <w:top w:val="none" w:sz="0" w:space="0" w:color="auto"/>
            <w:left w:val="none" w:sz="0" w:space="0" w:color="auto"/>
            <w:bottom w:val="none" w:sz="0" w:space="0" w:color="auto"/>
            <w:right w:val="none" w:sz="0" w:space="0" w:color="auto"/>
          </w:divBdr>
        </w:div>
        <w:div w:id="518548105">
          <w:marLeft w:val="640"/>
          <w:marRight w:val="0"/>
          <w:marTop w:val="0"/>
          <w:marBottom w:val="0"/>
          <w:divBdr>
            <w:top w:val="none" w:sz="0" w:space="0" w:color="auto"/>
            <w:left w:val="none" w:sz="0" w:space="0" w:color="auto"/>
            <w:bottom w:val="none" w:sz="0" w:space="0" w:color="auto"/>
            <w:right w:val="none" w:sz="0" w:space="0" w:color="auto"/>
          </w:divBdr>
        </w:div>
        <w:div w:id="121389519">
          <w:marLeft w:val="640"/>
          <w:marRight w:val="0"/>
          <w:marTop w:val="0"/>
          <w:marBottom w:val="0"/>
          <w:divBdr>
            <w:top w:val="none" w:sz="0" w:space="0" w:color="auto"/>
            <w:left w:val="none" w:sz="0" w:space="0" w:color="auto"/>
            <w:bottom w:val="none" w:sz="0" w:space="0" w:color="auto"/>
            <w:right w:val="none" w:sz="0" w:space="0" w:color="auto"/>
          </w:divBdr>
        </w:div>
        <w:div w:id="456145101">
          <w:marLeft w:val="640"/>
          <w:marRight w:val="0"/>
          <w:marTop w:val="0"/>
          <w:marBottom w:val="0"/>
          <w:divBdr>
            <w:top w:val="none" w:sz="0" w:space="0" w:color="auto"/>
            <w:left w:val="none" w:sz="0" w:space="0" w:color="auto"/>
            <w:bottom w:val="none" w:sz="0" w:space="0" w:color="auto"/>
            <w:right w:val="none" w:sz="0" w:space="0" w:color="auto"/>
          </w:divBdr>
        </w:div>
        <w:div w:id="1990479141">
          <w:marLeft w:val="640"/>
          <w:marRight w:val="0"/>
          <w:marTop w:val="0"/>
          <w:marBottom w:val="0"/>
          <w:divBdr>
            <w:top w:val="none" w:sz="0" w:space="0" w:color="auto"/>
            <w:left w:val="none" w:sz="0" w:space="0" w:color="auto"/>
            <w:bottom w:val="none" w:sz="0" w:space="0" w:color="auto"/>
            <w:right w:val="none" w:sz="0" w:space="0" w:color="auto"/>
          </w:divBdr>
        </w:div>
        <w:div w:id="344133909">
          <w:marLeft w:val="640"/>
          <w:marRight w:val="0"/>
          <w:marTop w:val="0"/>
          <w:marBottom w:val="0"/>
          <w:divBdr>
            <w:top w:val="none" w:sz="0" w:space="0" w:color="auto"/>
            <w:left w:val="none" w:sz="0" w:space="0" w:color="auto"/>
            <w:bottom w:val="none" w:sz="0" w:space="0" w:color="auto"/>
            <w:right w:val="none" w:sz="0" w:space="0" w:color="auto"/>
          </w:divBdr>
        </w:div>
        <w:div w:id="270015627">
          <w:marLeft w:val="640"/>
          <w:marRight w:val="0"/>
          <w:marTop w:val="0"/>
          <w:marBottom w:val="0"/>
          <w:divBdr>
            <w:top w:val="none" w:sz="0" w:space="0" w:color="auto"/>
            <w:left w:val="none" w:sz="0" w:space="0" w:color="auto"/>
            <w:bottom w:val="none" w:sz="0" w:space="0" w:color="auto"/>
            <w:right w:val="none" w:sz="0" w:space="0" w:color="auto"/>
          </w:divBdr>
        </w:div>
        <w:div w:id="1258833315">
          <w:marLeft w:val="640"/>
          <w:marRight w:val="0"/>
          <w:marTop w:val="0"/>
          <w:marBottom w:val="0"/>
          <w:divBdr>
            <w:top w:val="none" w:sz="0" w:space="0" w:color="auto"/>
            <w:left w:val="none" w:sz="0" w:space="0" w:color="auto"/>
            <w:bottom w:val="none" w:sz="0" w:space="0" w:color="auto"/>
            <w:right w:val="none" w:sz="0" w:space="0" w:color="auto"/>
          </w:divBdr>
        </w:div>
        <w:div w:id="22677200">
          <w:marLeft w:val="640"/>
          <w:marRight w:val="0"/>
          <w:marTop w:val="0"/>
          <w:marBottom w:val="0"/>
          <w:divBdr>
            <w:top w:val="none" w:sz="0" w:space="0" w:color="auto"/>
            <w:left w:val="none" w:sz="0" w:space="0" w:color="auto"/>
            <w:bottom w:val="none" w:sz="0" w:space="0" w:color="auto"/>
            <w:right w:val="none" w:sz="0" w:space="0" w:color="auto"/>
          </w:divBdr>
        </w:div>
        <w:div w:id="752822559">
          <w:marLeft w:val="640"/>
          <w:marRight w:val="0"/>
          <w:marTop w:val="0"/>
          <w:marBottom w:val="0"/>
          <w:divBdr>
            <w:top w:val="none" w:sz="0" w:space="0" w:color="auto"/>
            <w:left w:val="none" w:sz="0" w:space="0" w:color="auto"/>
            <w:bottom w:val="none" w:sz="0" w:space="0" w:color="auto"/>
            <w:right w:val="none" w:sz="0" w:space="0" w:color="auto"/>
          </w:divBdr>
        </w:div>
        <w:div w:id="605775971">
          <w:marLeft w:val="640"/>
          <w:marRight w:val="0"/>
          <w:marTop w:val="0"/>
          <w:marBottom w:val="0"/>
          <w:divBdr>
            <w:top w:val="none" w:sz="0" w:space="0" w:color="auto"/>
            <w:left w:val="none" w:sz="0" w:space="0" w:color="auto"/>
            <w:bottom w:val="none" w:sz="0" w:space="0" w:color="auto"/>
            <w:right w:val="none" w:sz="0" w:space="0" w:color="auto"/>
          </w:divBdr>
        </w:div>
        <w:div w:id="1757437082">
          <w:marLeft w:val="640"/>
          <w:marRight w:val="0"/>
          <w:marTop w:val="0"/>
          <w:marBottom w:val="0"/>
          <w:divBdr>
            <w:top w:val="none" w:sz="0" w:space="0" w:color="auto"/>
            <w:left w:val="none" w:sz="0" w:space="0" w:color="auto"/>
            <w:bottom w:val="none" w:sz="0" w:space="0" w:color="auto"/>
            <w:right w:val="none" w:sz="0" w:space="0" w:color="auto"/>
          </w:divBdr>
        </w:div>
        <w:div w:id="1455710809">
          <w:marLeft w:val="640"/>
          <w:marRight w:val="0"/>
          <w:marTop w:val="0"/>
          <w:marBottom w:val="0"/>
          <w:divBdr>
            <w:top w:val="none" w:sz="0" w:space="0" w:color="auto"/>
            <w:left w:val="none" w:sz="0" w:space="0" w:color="auto"/>
            <w:bottom w:val="none" w:sz="0" w:space="0" w:color="auto"/>
            <w:right w:val="none" w:sz="0" w:space="0" w:color="auto"/>
          </w:divBdr>
        </w:div>
        <w:div w:id="1786919496">
          <w:marLeft w:val="640"/>
          <w:marRight w:val="0"/>
          <w:marTop w:val="0"/>
          <w:marBottom w:val="0"/>
          <w:divBdr>
            <w:top w:val="none" w:sz="0" w:space="0" w:color="auto"/>
            <w:left w:val="none" w:sz="0" w:space="0" w:color="auto"/>
            <w:bottom w:val="none" w:sz="0" w:space="0" w:color="auto"/>
            <w:right w:val="none" w:sz="0" w:space="0" w:color="auto"/>
          </w:divBdr>
        </w:div>
        <w:div w:id="2129931896">
          <w:marLeft w:val="640"/>
          <w:marRight w:val="0"/>
          <w:marTop w:val="0"/>
          <w:marBottom w:val="0"/>
          <w:divBdr>
            <w:top w:val="none" w:sz="0" w:space="0" w:color="auto"/>
            <w:left w:val="none" w:sz="0" w:space="0" w:color="auto"/>
            <w:bottom w:val="none" w:sz="0" w:space="0" w:color="auto"/>
            <w:right w:val="none" w:sz="0" w:space="0" w:color="auto"/>
          </w:divBdr>
        </w:div>
        <w:div w:id="72089761">
          <w:marLeft w:val="640"/>
          <w:marRight w:val="0"/>
          <w:marTop w:val="0"/>
          <w:marBottom w:val="0"/>
          <w:divBdr>
            <w:top w:val="none" w:sz="0" w:space="0" w:color="auto"/>
            <w:left w:val="none" w:sz="0" w:space="0" w:color="auto"/>
            <w:bottom w:val="none" w:sz="0" w:space="0" w:color="auto"/>
            <w:right w:val="none" w:sz="0" w:space="0" w:color="auto"/>
          </w:divBdr>
        </w:div>
        <w:div w:id="1604411675">
          <w:marLeft w:val="640"/>
          <w:marRight w:val="0"/>
          <w:marTop w:val="0"/>
          <w:marBottom w:val="0"/>
          <w:divBdr>
            <w:top w:val="none" w:sz="0" w:space="0" w:color="auto"/>
            <w:left w:val="none" w:sz="0" w:space="0" w:color="auto"/>
            <w:bottom w:val="none" w:sz="0" w:space="0" w:color="auto"/>
            <w:right w:val="none" w:sz="0" w:space="0" w:color="auto"/>
          </w:divBdr>
        </w:div>
        <w:div w:id="20208447">
          <w:marLeft w:val="640"/>
          <w:marRight w:val="0"/>
          <w:marTop w:val="0"/>
          <w:marBottom w:val="0"/>
          <w:divBdr>
            <w:top w:val="none" w:sz="0" w:space="0" w:color="auto"/>
            <w:left w:val="none" w:sz="0" w:space="0" w:color="auto"/>
            <w:bottom w:val="none" w:sz="0" w:space="0" w:color="auto"/>
            <w:right w:val="none" w:sz="0" w:space="0" w:color="auto"/>
          </w:divBdr>
        </w:div>
        <w:div w:id="458228763">
          <w:marLeft w:val="640"/>
          <w:marRight w:val="0"/>
          <w:marTop w:val="0"/>
          <w:marBottom w:val="0"/>
          <w:divBdr>
            <w:top w:val="none" w:sz="0" w:space="0" w:color="auto"/>
            <w:left w:val="none" w:sz="0" w:space="0" w:color="auto"/>
            <w:bottom w:val="none" w:sz="0" w:space="0" w:color="auto"/>
            <w:right w:val="none" w:sz="0" w:space="0" w:color="auto"/>
          </w:divBdr>
        </w:div>
        <w:div w:id="155390003">
          <w:marLeft w:val="640"/>
          <w:marRight w:val="0"/>
          <w:marTop w:val="0"/>
          <w:marBottom w:val="0"/>
          <w:divBdr>
            <w:top w:val="none" w:sz="0" w:space="0" w:color="auto"/>
            <w:left w:val="none" w:sz="0" w:space="0" w:color="auto"/>
            <w:bottom w:val="none" w:sz="0" w:space="0" w:color="auto"/>
            <w:right w:val="none" w:sz="0" w:space="0" w:color="auto"/>
          </w:divBdr>
        </w:div>
        <w:div w:id="617876199">
          <w:marLeft w:val="640"/>
          <w:marRight w:val="0"/>
          <w:marTop w:val="0"/>
          <w:marBottom w:val="0"/>
          <w:divBdr>
            <w:top w:val="none" w:sz="0" w:space="0" w:color="auto"/>
            <w:left w:val="none" w:sz="0" w:space="0" w:color="auto"/>
            <w:bottom w:val="none" w:sz="0" w:space="0" w:color="auto"/>
            <w:right w:val="none" w:sz="0" w:space="0" w:color="auto"/>
          </w:divBdr>
        </w:div>
        <w:div w:id="1883401263">
          <w:marLeft w:val="640"/>
          <w:marRight w:val="0"/>
          <w:marTop w:val="0"/>
          <w:marBottom w:val="0"/>
          <w:divBdr>
            <w:top w:val="none" w:sz="0" w:space="0" w:color="auto"/>
            <w:left w:val="none" w:sz="0" w:space="0" w:color="auto"/>
            <w:bottom w:val="none" w:sz="0" w:space="0" w:color="auto"/>
            <w:right w:val="none" w:sz="0" w:space="0" w:color="auto"/>
          </w:divBdr>
        </w:div>
        <w:div w:id="923690395">
          <w:marLeft w:val="640"/>
          <w:marRight w:val="0"/>
          <w:marTop w:val="0"/>
          <w:marBottom w:val="0"/>
          <w:divBdr>
            <w:top w:val="none" w:sz="0" w:space="0" w:color="auto"/>
            <w:left w:val="none" w:sz="0" w:space="0" w:color="auto"/>
            <w:bottom w:val="none" w:sz="0" w:space="0" w:color="auto"/>
            <w:right w:val="none" w:sz="0" w:space="0" w:color="auto"/>
          </w:divBdr>
        </w:div>
        <w:div w:id="208880786">
          <w:marLeft w:val="640"/>
          <w:marRight w:val="0"/>
          <w:marTop w:val="0"/>
          <w:marBottom w:val="0"/>
          <w:divBdr>
            <w:top w:val="none" w:sz="0" w:space="0" w:color="auto"/>
            <w:left w:val="none" w:sz="0" w:space="0" w:color="auto"/>
            <w:bottom w:val="none" w:sz="0" w:space="0" w:color="auto"/>
            <w:right w:val="none" w:sz="0" w:space="0" w:color="auto"/>
          </w:divBdr>
        </w:div>
        <w:div w:id="2116706768">
          <w:marLeft w:val="640"/>
          <w:marRight w:val="0"/>
          <w:marTop w:val="0"/>
          <w:marBottom w:val="0"/>
          <w:divBdr>
            <w:top w:val="none" w:sz="0" w:space="0" w:color="auto"/>
            <w:left w:val="none" w:sz="0" w:space="0" w:color="auto"/>
            <w:bottom w:val="none" w:sz="0" w:space="0" w:color="auto"/>
            <w:right w:val="none" w:sz="0" w:space="0" w:color="auto"/>
          </w:divBdr>
        </w:div>
        <w:div w:id="1644239807">
          <w:marLeft w:val="640"/>
          <w:marRight w:val="0"/>
          <w:marTop w:val="0"/>
          <w:marBottom w:val="0"/>
          <w:divBdr>
            <w:top w:val="none" w:sz="0" w:space="0" w:color="auto"/>
            <w:left w:val="none" w:sz="0" w:space="0" w:color="auto"/>
            <w:bottom w:val="none" w:sz="0" w:space="0" w:color="auto"/>
            <w:right w:val="none" w:sz="0" w:space="0" w:color="auto"/>
          </w:divBdr>
        </w:div>
        <w:div w:id="263848147">
          <w:marLeft w:val="640"/>
          <w:marRight w:val="0"/>
          <w:marTop w:val="0"/>
          <w:marBottom w:val="0"/>
          <w:divBdr>
            <w:top w:val="none" w:sz="0" w:space="0" w:color="auto"/>
            <w:left w:val="none" w:sz="0" w:space="0" w:color="auto"/>
            <w:bottom w:val="none" w:sz="0" w:space="0" w:color="auto"/>
            <w:right w:val="none" w:sz="0" w:space="0" w:color="auto"/>
          </w:divBdr>
        </w:div>
        <w:div w:id="626743972">
          <w:marLeft w:val="640"/>
          <w:marRight w:val="0"/>
          <w:marTop w:val="0"/>
          <w:marBottom w:val="0"/>
          <w:divBdr>
            <w:top w:val="none" w:sz="0" w:space="0" w:color="auto"/>
            <w:left w:val="none" w:sz="0" w:space="0" w:color="auto"/>
            <w:bottom w:val="none" w:sz="0" w:space="0" w:color="auto"/>
            <w:right w:val="none" w:sz="0" w:space="0" w:color="auto"/>
          </w:divBdr>
        </w:div>
        <w:div w:id="611714454">
          <w:marLeft w:val="640"/>
          <w:marRight w:val="0"/>
          <w:marTop w:val="0"/>
          <w:marBottom w:val="0"/>
          <w:divBdr>
            <w:top w:val="none" w:sz="0" w:space="0" w:color="auto"/>
            <w:left w:val="none" w:sz="0" w:space="0" w:color="auto"/>
            <w:bottom w:val="none" w:sz="0" w:space="0" w:color="auto"/>
            <w:right w:val="none" w:sz="0" w:space="0" w:color="auto"/>
          </w:divBdr>
        </w:div>
        <w:div w:id="236792089">
          <w:marLeft w:val="640"/>
          <w:marRight w:val="0"/>
          <w:marTop w:val="0"/>
          <w:marBottom w:val="0"/>
          <w:divBdr>
            <w:top w:val="none" w:sz="0" w:space="0" w:color="auto"/>
            <w:left w:val="none" w:sz="0" w:space="0" w:color="auto"/>
            <w:bottom w:val="none" w:sz="0" w:space="0" w:color="auto"/>
            <w:right w:val="none" w:sz="0" w:space="0" w:color="auto"/>
          </w:divBdr>
        </w:div>
        <w:div w:id="1547060408">
          <w:marLeft w:val="640"/>
          <w:marRight w:val="0"/>
          <w:marTop w:val="0"/>
          <w:marBottom w:val="0"/>
          <w:divBdr>
            <w:top w:val="none" w:sz="0" w:space="0" w:color="auto"/>
            <w:left w:val="none" w:sz="0" w:space="0" w:color="auto"/>
            <w:bottom w:val="none" w:sz="0" w:space="0" w:color="auto"/>
            <w:right w:val="none" w:sz="0" w:space="0" w:color="auto"/>
          </w:divBdr>
        </w:div>
        <w:div w:id="193616102">
          <w:marLeft w:val="640"/>
          <w:marRight w:val="0"/>
          <w:marTop w:val="0"/>
          <w:marBottom w:val="0"/>
          <w:divBdr>
            <w:top w:val="none" w:sz="0" w:space="0" w:color="auto"/>
            <w:left w:val="none" w:sz="0" w:space="0" w:color="auto"/>
            <w:bottom w:val="none" w:sz="0" w:space="0" w:color="auto"/>
            <w:right w:val="none" w:sz="0" w:space="0" w:color="auto"/>
          </w:divBdr>
        </w:div>
        <w:div w:id="1262762123">
          <w:marLeft w:val="640"/>
          <w:marRight w:val="0"/>
          <w:marTop w:val="0"/>
          <w:marBottom w:val="0"/>
          <w:divBdr>
            <w:top w:val="none" w:sz="0" w:space="0" w:color="auto"/>
            <w:left w:val="none" w:sz="0" w:space="0" w:color="auto"/>
            <w:bottom w:val="none" w:sz="0" w:space="0" w:color="auto"/>
            <w:right w:val="none" w:sz="0" w:space="0" w:color="auto"/>
          </w:divBdr>
        </w:div>
        <w:div w:id="1138836517">
          <w:marLeft w:val="640"/>
          <w:marRight w:val="0"/>
          <w:marTop w:val="0"/>
          <w:marBottom w:val="0"/>
          <w:divBdr>
            <w:top w:val="none" w:sz="0" w:space="0" w:color="auto"/>
            <w:left w:val="none" w:sz="0" w:space="0" w:color="auto"/>
            <w:bottom w:val="none" w:sz="0" w:space="0" w:color="auto"/>
            <w:right w:val="none" w:sz="0" w:space="0" w:color="auto"/>
          </w:divBdr>
        </w:div>
        <w:div w:id="1356954922">
          <w:marLeft w:val="640"/>
          <w:marRight w:val="0"/>
          <w:marTop w:val="0"/>
          <w:marBottom w:val="0"/>
          <w:divBdr>
            <w:top w:val="none" w:sz="0" w:space="0" w:color="auto"/>
            <w:left w:val="none" w:sz="0" w:space="0" w:color="auto"/>
            <w:bottom w:val="none" w:sz="0" w:space="0" w:color="auto"/>
            <w:right w:val="none" w:sz="0" w:space="0" w:color="auto"/>
          </w:divBdr>
        </w:div>
        <w:div w:id="981083308">
          <w:marLeft w:val="640"/>
          <w:marRight w:val="0"/>
          <w:marTop w:val="0"/>
          <w:marBottom w:val="0"/>
          <w:divBdr>
            <w:top w:val="none" w:sz="0" w:space="0" w:color="auto"/>
            <w:left w:val="none" w:sz="0" w:space="0" w:color="auto"/>
            <w:bottom w:val="none" w:sz="0" w:space="0" w:color="auto"/>
            <w:right w:val="none" w:sz="0" w:space="0" w:color="auto"/>
          </w:divBdr>
        </w:div>
        <w:div w:id="469253273">
          <w:marLeft w:val="640"/>
          <w:marRight w:val="0"/>
          <w:marTop w:val="0"/>
          <w:marBottom w:val="0"/>
          <w:divBdr>
            <w:top w:val="none" w:sz="0" w:space="0" w:color="auto"/>
            <w:left w:val="none" w:sz="0" w:space="0" w:color="auto"/>
            <w:bottom w:val="none" w:sz="0" w:space="0" w:color="auto"/>
            <w:right w:val="none" w:sz="0" w:space="0" w:color="auto"/>
          </w:divBdr>
        </w:div>
        <w:div w:id="1103454961">
          <w:marLeft w:val="640"/>
          <w:marRight w:val="0"/>
          <w:marTop w:val="0"/>
          <w:marBottom w:val="0"/>
          <w:divBdr>
            <w:top w:val="none" w:sz="0" w:space="0" w:color="auto"/>
            <w:left w:val="none" w:sz="0" w:space="0" w:color="auto"/>
            <w:bottom w:val="none" w:sz="0" w:space="0" w:color="auto"/>
            <w:right w:val="none" w:sz="0" w:space="0" w:color="auto"/>
          </w:divBdr>
        </w:div>
        <w:div w:id="478420812">
          <w:marLeft w:val="640"/>
          <w:marRight w:val="0"/>
          <w:marTop w:val="0"/>
          <w:marBottom w:val="0"/>
          <w:divBdr>
            <w:top w:val="none" w:sz="0" w:space="0" w:color="auto"/>
            <w:left w:val="none" w:sz="0" w:space="0" w:color="auto"/>
            <w:bottom w:val="none" w:sz="0" w:space="0" w:color="auto"/>
            <w:right w:val="none" w:sz="0" w:space="0" w:color="auto"/>
          </w:divBdr>
        </w:div>
        <w:div w:id="1779375897">
          <w:marLeft w:val="640"/>
          <w:marRight w:val="0"/>
          <w:marTop w:val="0"/>
          <w:marBottom w:val="0"/>
          <w:divBdr>
            <w:top w:val="none" w:sz="0" w:space="0" w:color="auto"/>
            <w:left w:val="none" w:sz="0" w:space="0" w:color="auto"/>
            <w:bottom w:val="none" w:sz="0" w:space="0" w:color="auto"/>
            <w:right w:val="none" w:sz="0" w:space="0" w:color="auto"/>
          </w:divBdr>
        </w:div>
        <w:div w:id="1868760497">
          <w:marLeft w:val="640"/>
          <w:marRight w:val="0"/>
          <w:marTop w:val="0"/>
          <w:marBottom w:val="0"/>
          <w:divBdr>
            <w:top w:val="none" w:sz="0" w:space="0" w:color="auto"/>
            <w:left w:val="none" w:sz="0" w:space="0" w:color="auto"/>
            <w:bottom w:val="none" w:sz="0" w:space="0" w:color="auto"/>
            <w:right w:val="none" w:sz="0" w:space="0" w:color="auto"/>
          </w:divBdr>
        </w:div>
        <w:div w:id="211700815">
          <w:marLeft w:val="640"/>
          <w:marRight w:val="0"/>
          <w:marTop w:val="0"/>
          <w:marBottom w:val="0"/>
          <w:divBdr>
            <w:top w:val="none" w:sz="0" w:space="0" w:color="auto"/>
            <w:left w:val="none" w:sz="0" w:space="0" w:color="auto"/>
            <w:bottom w:val="none" w:sz="0" w:space="0" w:color="auto"/>
            <w:right w:val="none" w:sz="0" w:space="0" w:color="auto"/>
          </w:divBdr>
        </w:div>
        <w:div w:id="1032268710">
          <w:marLeft w:val="640"/>
          <w:marRight w:val="0"/>
          <w:marTop w:val="0"/>
          <w:marBottom w:val="0"/>
          <w:divBdr>
            <w:top w:val="none" w:sz="0" w:space="0" w:color="auto"/>
            <w:left w:val="none" w:sz="0" w:space="0" w:color="auto"/>
            <w:bottom w:val="none" w:sz="0" w:space="0" w:color="auto"/>
            <w:right w:val="none" w:sz="0" w:space="0" w:color="auto"/>
          </w:divBdr>
        </w:div>
        <w:div w:id="436607824">
          <w:marLeft w:val="640"/>
          <w:marRight w:val="0"/>
          <w:marTop w:val="0"/>
          <w:marBottom w:val="0"/>
          <w:divBdr>
            <w:top w:val="none" w:sz="0" w:space="0" w:color="auto"/>
            <w:left w:val="none" w:sz="0" w:space="0" w:color="auto"/>
            <w:bottom w:val="none" w:sz="0" w:space="0" w:color="auto"/>
            <w:right w:val="none" w:sz="0" w:space="0" w:color="auto"/>
          </w:divBdr>
        </w:div>
        <w:div w:id="357463692">
          <w:marLeft w:val="640"/>
          <w:marRight w:val="0"/>
          <w:marTop w:val="0"/>
          <w:marBottom w:val="0"/>
          <w:divBdr>
            <w:top w:val="none" w:sz="0" w:space="0" w:color="auto"/>
            <w:left w:val="none" w:sz="0" w:space="0" w:color="auto"/>
            <w:bottom w:val="none" w:sz="0" w:space="0" w:color="auto"/>
            <w:right w:val="none" w:sz="0" w:space="0" w:color="auto"/>
          </w:divBdr>
        </w:div>
        <w:div w:id="751510447">
          <w:marLeft w:val="640"/>
          <w:marRight w:val="0"/>
          <w:marTop w:val="0"/>
          <w:marBottom w:val="0"/>
          <w:divBdr>
            <w:top w:val="none" w:sz="0" w:space="0" w:color="auto"/>
            <w:left w:val="none" w:sz="0" w:space="0" w:color="auto"/>
            <w:bottom w:val="none" w:sz="0" w:space="0" w:color="auto"/>
            <w:right w:val="none" w:sz="0" w:space="0" w:color="auto"/>
          </w:divBdr>
        </w:div>
        <w:div w:id="1878740713">
          <w:marLeft w:val="640"/>
          <w:marRight w:val="0"/>
          <w:marTop w:val="0"/>
          <w:marBottom w:val="0"/>
          <w:divBdr>
            <w:top w:val="none" w:sz="0" w:space="0" w:color="auto"/>
            <w:left w:val="none" w:sz="0" w:space="0" w:color="auto"/>
            <w:bottom w:val="none" w:sz="0" w:space="0" w:color="auto"/>
            <w:right w:val="none" w:sz="0" w:space="0" w:color="auto"/>
          </w:divBdr>
        </w:div>
        <w:div w:id="2074694940">
          <w:marLeft w:val="640"/>
          <w:marRight w:val="0"/>
          <w:marTop w:val="0"/>
          <w:marBottom w:val="0"/>
          <w:divBdr>
            <w:top w:val="none" w:sz="0" w:space="0" w:color="auto"/>
            <w:left w:val="none" w:sz="0" w:space="0" w:color="auto"/>
            <w:bottom w:val="none" w:sz="0" w:space="0" w:color="auto"/>
            <w:right w:val="none" w:sz="0" w:space="0" w:color="auto"/>
          </w:divBdr>
        </w:div>
        <w:div w:id="1500923115">
          <w:marLeft w:val="640"/>
          <w:marRight w:val="0"/>
          <w:marTop w:val="0"/>
          <w:marBottom w:val="0"/>
          <w:divBdr>
            <w:top w:val="none" w:sz="0" w:space="0" w:color="auto"/>
            <w:left w:val="none" w:sz="0" w:space="0" w:color="auto"/>
            <w:bottom w:val="none" w:sz="0" w:space="0" w:color="auto"/>
            <w:right w:val="none" w:sz="0" w:space="0" w:color="auto"/>
          </w:divBdr>
        </w:div>
        <w:div w:id="1539589149">
          <w:marLeft w:val="640"/>
          <w:marRight w:val="0"/>
          <w:marTop w:val="0"/>
          <w:marBottom w:val="0"/>
          <w:divBdr>
            <w:top w:val="none" w:sz="0" w:space="0" w:color="auto"/>
            <w:left w:val="none" w:sz="0" w:space="0" w:color="auto"/>
            <w:bottom w:val="none" w:sz="0" w:space="0" w:color="auto"/>
            <w:right w:val="none" w:sz="0" w:space="0" w:color="auto"/>
          </w:divBdr>
        </w:div>
        <w:div w:id="170066952">
          <w:marLeft w:val="640"/>
          <w:marRight w:val="0"/>
          <w:marTop w:val="0"/>
          <w:marBottom w:val="0"/>
          <w:divBdr>
            <w:top w:val="none" w:sz="0" w:space="0" w:color="auto"/>
            <w:left w:val="none" w:sz="0" w:space="0" w:color="auto"/>
            <w:bottom w:val="none" w:sz="0" w:space="0" w:color="auto"/>
            <w:right w:val="none" w:sz="0" w:space="0" w:color="auto"/>
          </w:divBdr>
        </w:div>
        <w:div w:id="389766423">
          <w:marLeft w:val="640"/>
          <w:marRight w:val="0"/>
          <w:marTop w:val="0"/>
          <w:marBottom w:val="0"/>
          <w:divBdr>
            <w:top w:val="none" w:sz="0" w:space="0" w:color="auto"/>
            <w:left w:val="none" w:sz="0" w:space="0" w:color="auto"/>
            <w:bottom w:val="none" w:sz="0" w:space="0" w:color="auto"/>
            <w:right w:val="none" w:sz="0" w:space="0" w:color="auto"/>
          </w:divBdr>
        </w:div>
        <w:div w:id="672997096">
          <w:marLeft w:val="640"/>
          <w:marRight w:val="0"/>
          <w:marTop w:val="0"/>
          <w:marBottom w:val="0"/>
          <w:divBdr>
            <w:top w:val="none" w:sz="0" w:space="0" w:color="auto"/>
            <w:left w:val="none" w:sz="0" w:space="0" w:color="auto"/>
            <w:bottom w:val="none" w:sz="0" w:space="0" w:color="auto"/>
            <w:right w:val="none" w:sz="0" w:space="0" w:color="auto"/>
          </w:divBdr>
        </w:div>
        <w:div w:id="391856855">
          <w:marLeft w:val="640"/>
          <w:marRight w:val="0"/>
          <w:marTop w:val="0"/>
          <w:marBottom w:val="0"/>
          <w:divBdr>
            <w:top w:val="none" w:sz="0" w:space="0" w:color="auto"/>
            <w:left w:val="none" w:sz="0" w:space="0" w:color="auto"/>
            <w:bottom w:val="none" w:sz="0" w:space="0" w:color="auto"/>
            <w:right w:val="none" w:sz="0" w:space="0" w:color="auto"/>
          </w:divBdr>
        </w:div>
        <w:div w:id="2050958034">
          <w:marLeft w:val="640"/>
          <w:marRight w:val="0"/>
          <w:marTop w:val="0"/>
          <w:marBottom w:val="0"/>
          <w:divBdr>
            <w:top w:val="none" w:sz="0" w:space="0" w:color="auto"/>
            <w:left w:val="none" w:sz="0" w:space="0" w:color="auto"/>
            <w:bottom w:val="none" w:sz="0" w:space="0" w:color="auto"/>
            <w:right w:val="none" w:sz="0" w:space="0" w:color="auto"/>
          </w:divBdr>
        </w:div>
        <w:div w:id="153835510">
          <w:marLeft w:val="640"/>
          <w:marRight w:val="0"/>
          <w:marTop w:val="0"/>
          <w:marBottom w:val="0"/>
          <w:divBdr>
            <w:top w:val="none" w:sz="0" w:space="0" w:color="auto"/>
            <w:left w:val="none" w:sz="0" w:space="0" w:color="auto"/>
            <w:bottom w:val="none" w:sz="0" w:space="0" w:color="auto"/>
            <w:right w:val="none" w:sz="0" w:space="0" w:color="auto"/>
          </w:divBdr>
        </w:div>
        <w:div w:id="1961371416">
          <w:marLeft w:val="640"/>
          <w:marRight w:val="0"/>
          <w:marTop w:val="0"/>
          <w:marBottom w:val="0"/>
          <w:divBdr>
            <w:top w:val="none" w:sz="0" w:space="0" w:color="auto"/>
            <w:left w:val="none" w:sz="0" w:space="0" w:color="auto"/>
            <w:bottom w:val="none" w:sz="0" w:space="0" w:color="auto"/>
            <w:right w:val="none" w:sz="0" w:space="0" w:color="auto"/>
          </w:divBdr>
        </w:div>
        <w:div w:id="12998854">
          <w:marLeft w:val="640"/>
          <w:marRight w:val="0"/>
          <w:marTop w:val="0"/>
          <w:marBottom w:val="0"/>
          <w:divBdr>
            <w:top w:val="none" w:sz="0" w:space="0" w:color="auto"/>
            <w:left w:val="none" w:sz="0" w:space="0" w:color="auto"/>
            <w:bottom w:val="none" w:sz="0" w:space="0" w:color="auto"/>
            <w:right w:val="none" w:sz="0" w:space="0" w:color="auto"/>
          </w:divBdr>
        </w:div>
        <w:div w:id="760490668">
          <w:marLeft w:val="640"/>
          <w:marRight w:val="0"/>
          <w:marTop w:val="0"/>
          <w:marBottom w:val="0"/>
          <w:divBdr>
            <w:top w:val="none" w:sz="0" w:space="0" w:color="auto"/>
            <w:left w:val="none" w:sz="0" w:space="0" w:color="auto"/>
            <w:bottom w:val="none" w:sz="0" w:space="0" w:color="auto"/>
            <w:right w:val="none" w:sz="0" w:space="0" w:color="auto"/>
          </w:divBdr>
        </w:div>
        <w:div w:id="1696147896">
          <w:marLeft w:val="640"/>
          <w:marRight w:val="0"/>
          <w:marTop w:val="0"/>
          <w:marBottom w:val="0"/>
          <w:divBdr>
            <w:top w:val="none" w:sz="0" w:space="0" w:color="auto"/>
            <w:left w:val="none" w:sz="0" w:space="0" w:color="auto"/>
            <w:bottom w:val="none" w:sz="0" w:space="0" w:color="auto"/>
            <w:right w:val="none" w:sz="0" w:space="0" w:color="auto"/>
          </w:divBdr>
        </w:div>
        <w:div w:id="743796050">
          <w:marLeft w:val="640"/>
          <w:marRight w:val="0"/>
          <w:marTop w:val="0"/>
          <w:marBottom w:val="0"/>
          <w:divBdr>
            <w:top w:val="none" w:sz="0" w:space="0" w:color="auto"/>
            <w:left w:val="none" w:sz="0" w:space="0" w:color="auto"/>
            <w:bottom w:val="none" w:sz="0" w:space="0" w:color="auto"/>
            <w:right w:val="none" w:sz="0" w:space="0" w:color="auto"/>
          </w:divBdr>
        </w:div>
        <w:div w:id="1181116509">
          <w:marLeft w:val="640"/>
          <w:marRight w:val="0"/>
          <w:marTop w:val="0"/>
          <w:marBottom w:val="0"/>
          <w:divBdr>
            <w:top w:val="none" w:sz="0" w:space="0" w:color="auto"/>
            <w:left w:val="none" w:sz="0" w:space="0" w:color="auto"/>
            <w:bottom w:val="none" w:sz="0" w:space="0" w:color="auto"/>
            <w:right w:val="none" w:sz="0" w:space="0" w:color="auto"/>
          </w:divBdr>
        </w:div>
        <w:div w:id="566914150">
          <w:marLeft w:val="640"/>
          <w:marRight w:val="0"/>
          <w:marTop w:val="0"/>
          <w:marBottom w:val="0"/>
          <w:divBdr>
            <w:top w:val="none" w:sz="0" w:space="0" w:color="auto"/>
            <w:left w:val="none" w:sz="0" w:space="0" w:color="auto"/>
            <w:bottom w:val="none" w:sz="0" w:space="0" w:color="auto"/>
            <w:right w:val="none" w:sz="0" w:space="0" w:color="auto"/>
          </w:divBdr>
        </w:div>
        <w:div w:id="1551840601">
          <w:marLeft w:val="640"/>
          <w:marRight w:val="0"/>
          <w:marTop w:val="0"/>
          <w:marBottom w:val="0"/>
          <w:divBdr>
            <w:top w:val="none" w:sz="0" w:space="0" w:color="auto"/>
            <w:left w:val="none" w:sz="0" w:space="0" w:color="auto"/>
            <w:bottom w:val="none" w:sz="0" w:space="0" w:color="auto"/>
            <w:right w:val="none" w:sz="0" w:space="0" w:color="auto"/>
          </w:divBdr>
        </w:div>
        <w:div w:id="1580407169">
          <w:marLeft w:val="640"/>
          <w:marRight w:val="0"/>
          <w:marTop w:val="0"/>
          <w:marBottom w:val="0"/>
          <w:divBdr>
            <w:top w:val="none" w:sz="0" w:space="0" w:color="auto"/>
            <w:left w:val="none" w:sz="0" w:space="0" w:color="auto"/>
            <w:bottom w:val="none" w:sz="0" w:space="0" w:color="auto"/>
            <w:right w:val="none" w:sz="0" w:space="0" w:color="auto"/>
          </w:divBdr>
        </w:div>
        <w:div w:id="2130514133">
          <w:marLeft w:val="640"/>
          <w:marRight w:val="0"/>
          <w:marTop w:val="0"/>
          <w:marBottom w:val="0"/>
          <w:divBdr>
            <w:top w:val="none" w:sz="0" w:space="0" w:color="auto"/>
            <w:left w:val="none" w:sz="0" w:space="0" w:color="auto"/>
            <w:bottom w:val="none" w:sz="0" w:space="0" w:color="auto"/>
            <w:right w:val="none" w:sz="0" w:space="0" w:color="auto"/>
          </w:divBdr>
        </w:div>
        <w:div w:id="253559892">
          <w:marLeft w:val="640"/>
          <w:marRight w:val="0"/>
          <w:marTop w:val="0"/>
          <w:marBottom w:val="0"/>
          <w:divBdr>
            <w:top w:val="none" w:sz="0" w:space="0" w:color="auto"/>
            <w:left w:val="none" w:sz="0" w:space="0" w:color="auto"/>
            <w:bottom w:val="none" w:sz="0" w:space="0" w:color="auto"/>
            <w:right w:val="none" w:sz="0" w:space="0" w:color="auto"/>
          </w:divBdr>
        </w:div>
        <w:div w:id="1949044313">
          <w:marLeft w:val="640"/>
          <w:marRight w:val="0"/>
          <w:marTop w:val="0"/>
          <w:marBottom w:val="0"/>
          <w:divBdr>
            <w:top w:val="none" w:sz="0" w:space="0" w:color="auto"/>
            <w:left w:val="none" w:sz="0" w:space="0" w:color="auto"/>
            <w:bottom w:val="none" w:sz="0" w:space="0" w:color="auto"/>
            <w:right w:val="none" w:sz="0" w:space="0" w:color="auto"/>
          </w:divBdr>
        </w:div>
        <w:div w:id="1341008874">
          <w:marLeft w:val="640"/>
          <w:marRight w:val="0"/>
          <w:marTop w:val="0"/>
          <w:marBottom w:val="0"/>
          <w:divBdr>
            <w:top w:val="none" w:sz="0" w:space="0" w:color="auto"/>
            <w:left w:val="none" w:sz="0" w:space="0" w:color="auto"/>
            <w:bottom w:val="none" w:sz="0" w:space="0" w:color="auto"/>
            <w:right w:val="none" w:sz="0" w:space="0" w:color="auto"/>
          </w:divBdr>
        </w:div>
        <w:div w:id="2092264952">
          <w:marLeft w:val="640"/>
          <w:marRight w:val="0"/>
          <w:marTop w:val="0"/>
          <w:marBottom w:val="0"/>
          <w:divBdr>
            <w:top w:val="none" w:sz="0" w:space="0" w:color="auto"/>
            <w:left w:val="none" w:sz="0" w:space="0" w:color="auto"/>
            <w:bottom w:val="none" w:sz="0" w:space="0" w:color="auto"/>
            <w:right w:val="none" w:sz="0" w:space="0" w:color="auto"/>
          </w:divBdr>
        </w:div>
        <w:div w:id="188103212">
          <w:marLeft w:val="640"/>
          <w:marRight w:val="0"/>
          <w:marTop w:val="0"/>
          <w:marBottom w:val="0"/>
          <w:divBdr>
            <w:top w:val="none" w:sz="0" w:space="0" w:color="auto"/>
            <w:left w:val="none" w:sz="0" w:space="0" w:color="auto"/>
            <w:bottom w:val="none" w:sz="0" w:space="0" w:color="auto"/>
            <w:right w:val="none" w:sz="0" w:space="0" w:color="auto"/>
          </w:divBdr>
        </w:div>
        <w:div w:id="174419509">
          <w:marLeft w:val="640"/>
          <w:marRight w:val="0"/>
          <w:marTop w:val="0"/>
          <w:marBottom w:val="0"/>
          <w:divBdr>
            <w:top w:val="none" w:sz="0" w:space="0" w:color="auto"/>
            <w:left w:val="none" w:sz="0" w:space="0" w:color="auto"/>
            <w:bottom w:val="none" w:sz="0" w:space="0" w:color="auto"/>
            <w:right w:val="none" w:sz="0" w:space="0" w:color="auto"/>
          </w:divBdr>
        </w:div>
        <w:div w:id="538396300">
          <w:marLeft w:val="640"/>
          <w:marRight w:val="0"/>
          <w:marTop w:val="0"/>
          <w:marBottom w:val="0"/>
          <w:divBdr>
            <w:top w:val="none" w:sz="0" w:space="0" w:color="auto"/>
            <w:left w:val="none" w:sz="0" w:space="0" w:color="auto"/>
            <w:bottom w:val="none" w:sz="0" w:space="0" w:color="auto"/>
            <w:right w:val="none" w:sz="0" w:space="0" w:color="auto"/>
          </w:divBdr>
        </w:div>
        <w:div w:id="175770817">
          <w:marLeft w:val="640"/>
          <w:marRight w:val="0"/>
          <w:marTop w:val="0"/>
          <w:marBottom w:val="0"/>
          <w:divBdr>
            <w:top w:val="none" w:sz="0" w:space="0" w:color="auto"/>
            <w:left w:val="none" w:sz="0" w:space="0" w:color="auto"/>
            <w:bottom w:val="none" w:sz="0" w:space="0" w:color="auto"/>
            <w:right w:val="none" w:sz="0" w:space="0" w:color="auto"/>
          </w:divBdr>
        </w:div>
        <w:div w:id="716702279">
          <w:marLeft w:val="640"/>
          <w:marRight w:val="0"/>
          <w:marTop w:val="0"/>
          <w:marBottom w:val="0"/>
          <w:divBdr>
            <w:top w:val="none" w:sz="0" w:space="0" w:color="auto"/>
            <w:left w:val="none" w:sz="0" w:space="0" w:color="auto"/>
            <w:bottom w:val="none" w:sz="0" w:space="0" w:color="auto"/>
            <w:right w:val="none" w:sz="0" w:space="0" w:color="auto"/>
          </w:divBdr>
        </w:div>
        <w:div w:id="1369643792">
          <w:marLeft w:val="640"/>
          <w:marRight w:val="0"/>
          <w:marTop w:val="0"/>
          <w:marBottom w:val="0"/>
          <w:divBdr>
            <w:top w:val="none" w:sz="0" w:space="0" w:color="auto"/>
            <w:left w:val="none" w:sz="0" w:space="0" w:color="auto"/>
            <w:bottom w:val="none" w:sz="0" w:space="0" w:color="auto"/>
            <w:right w:val="none" w:sz="0" w:space="0" w:color="auto"/>
          </w:divBdr>
        </w:div>
        <w:div w:id="1790708980">
          <w:marLeft w:val="640"/>
          <w:marRight w:val="0"/>
          <w:marTop w:val="0"/>
          <w:marBottom w:val="0"/>
          <w:divBdr>
            <w:top w:val="none" w:sz="0" w:space="0" w:color="auto"/>
            <w:left w:val="none" w:sz="0" w:space="0" w:color="auto"/>
            <w:bottom w:val="none" w:sz="0" w:space="0" w:color="auto"/>
            <w:right w:val="none" w:sz="0" w:space="0" w:color="auto"/>
          </w:divBdr>
        </w:div>
        <w:div w:id="629557496">
          <w:marLeft w:val="640"/>
          <w:marRight w:val="0"/>
          <w:marTop w:val="0"/>
          <w:marBottom w:val="0"/>
          <w:divBdr>
            <w:top w:val="none" w:sz="0" w:space="0" w:color="auto"/>
            <w:left w:val="none" w:sz="0" w:space="0" w:color="auto"/>
            <w:bottom w:val="none" w:sz="0" w:space="0" w:color="auto"/>
            <w:right w:val="none" w:sz="0" w:space="0" w:color="auto"/>
          </w:divBdr>
        </w:div>
        <w:div w:id="660471864">
          <w:marLeft w:val="640"/>
          <w:marRight w:val="0"/>
          <w:marTop w:val="0"/>
          <w:marBottom w:val="0"/>
          <w:divBdr>
            <w:top w:val="none" w:sz="0" w:space="0" w:color="auto"/>
            <w:left w:val="none" w:sz="0" w:space="0" w:color="auto"/>
            <w:bottom w:val="none" w:sz="0" w:space="0" w:color="auto"/>
            <w:right w:val="none" w:sz="0" w:space="0" w:color="auto"/>
          </w:divBdr>
        </w:div>
        <w:div w:id="1030834439">
          <w:marLeft w:val="640"/>
          <w:marRight w:val="0"/>
          <w:marTop w:val="0"/>
          <w:marBottom w:val="0"/>
          <w:divBdr>
            <w:top w:val="none" w:sz="0" w:space="0" w:color="auto"/>
            <w:left w:val="none" w:sz="0" w:space="0" w:color="auto"/>
            <w:bottom w:val="none" w:sz="0" w:space="0" w:color="auto"/>
            <w:right w:val="none" w:sz="0" w:space="0" w:color="auto"/>
          </w:divBdr>
        </w:div>
        <w:div w:id="1813136951">
          <w:marLeft w:val="640"/>
          <w:marRight w:val="0"/>
          <w:marTop w:val="0"/>
          <w:marBottom w:val="0"/>
          <w:divBdr>
            <w:top w:val="none" w:sz="0" w:space="0" w:color="auto"/>
            <w:left w:val="none" w:sz="0" w:space="0" w:color="auto"/>
            <w:bottom w:val="none" w:sz="0" w:space="0" w:color="auto"/>
            <w:right w:val="none" w:sz="0" w:space="0" w:color="auto"/>
          </w:divBdr>
        </w:div>
        <w:div w:id="1887060624">
          <w:marLeft w:val="640"/>
          <w:marRight w:val="0"/>
          <w:marTop w:val="0"/>
          <w:marBottom w:val="0"/>
          <w:divBdr>
            <w:top w:val="none" w:sz="0" w:space="0" w:color="auto"/>
            <w:left w:val="none" w:sz="0" w:space="0" w:color="auto"/>
            <w:bottom w:val="none" w:sz="0" w:space="0" w:color="auto"/>
            <w:right w:val="none" w:sz="0" w:space="0" w:color="auto"/>
          </w:divBdr>
        </w:div>
        <w:div w:id="2074303610">
          <w:marLeft w:val="640"/>
          <w:marRight w:val="0"/>
          <w:marTop w:val="0"/>
          <w:marBottom w:val="0"/>
          <w:divBdr>
            <w:top w:val="none" w:sz="0" w:space="0" w:color="auto"/>
            <w:left w:val="none" w:sz="0" w:space="0" w:color="auto"/>
            <w:bottom w:val="none" w:sz="0" w:space="0" w:color="auto"/>
            <w:right w:val="none" w:sz="0" w:space="0" w:color="auto"/>
          </w:divBdr>
        </w:div>
        <w:div w:id="114105242">
          <w:marLeft w:val="640"/>
          <w:marRight w:val="0"/>
          <w:marTop w:val="0"/>
          <w:marBottom w:val="0"/>
          <w:divBdr>
            <w:top w:val="none" w:sz="0" w:space="0" w:color="auto"/>
            <w:left w:val="none" w:sz="0" w:space="0" w:color="auto"/>
            <w:bottom w:val="none" w:sz="0" w:space="0" w:color="auto"/>
            <w:right w:val="none" w:sz="0" w:space="0" w:color="auto"/>
          </w:divBdr>
        </w:div>
        <w:div w:id="2129621258">
          <w:marLeft w:val="640"/>
          <w:marRight w:val="0"/>
          <w:marTop w:val="0"/>
          <w:marBottom w:val="0"/>
          <w:divBdr>
            <w:top w:val="none" w:sz="0" w:space="0" w:color="auto"/>
            <w:left w:val="none" w:sz="0" w:space="0" w:color="auto"/>
            <w:bottom w:val="none" w:sz="0" w:space="0" w:color="auto"/>
            <w:right w:val="none" w:sz="0" w:space="0" w:color="auto"/>
          </w:divBdr>
        </w:div>
        <w:div w:id="355011906">
          <w:marLeft w:val="640"/>
          <w:marRight w:val="0"/>
          <w:marTop w:val="0"/>
          <w:marBottom w:val="0"/>
          <w:divBdr>
            <w:top w:val="none" w:sz="0" w:space="0" w:color="auto"/>
            <w:left w:val="none" w:sz="0" w:space="0" w:color="auto"/>
            <w:bottom w:val="none" w:sz="0" w:space="0" w:color="auto"/>
            <w:right w:val="none" w:sz="0" w:space="0" w:color="auto"/>
          </w:divBdr>
        </w:div>
        <w:div w:id="370158494">
          <w:marLeft w:val="640"/>
          <w:marRight w:val="0"/>
          <w:marTop w:val="0"/>
          <w:marBottom w:val="0"/>
          <w:divBdr>
            <w:top w:val="none" w:sz="0" w:space="0" w:color="auto"/>
            <w:left w:val="none" w:sz="0" w:space="0" w:color="auto"/>
            <w:bottom w:val="none" w:sz="0" w:space="0" w:color="auto"/>
            <w:right w:val="none" w:sz="0" w:space="0" w:color="auto"/>
          </w:divBdr>
        </w:div>
        <w:div w:id="1572957978">
          <w:marLeft w:val="640"/>
          <w:marRight w:val="0"/>
          <w:marTop w:val="0"/>
          <w:marBottom w:val="0"/>
          <w:divBdr>
            <w:top w:val="none" w:sz="0" w:space="0" w:color="auto"/>
            <w:left w:val="none" w:sz="0" w:space="0" w:color="auto"/>
            <w:bottom w:val="none" w:sz="0" w:space="0" w:color="auto"/>
            <w:right w:val="none" w:sz="0" w:space="0" w:color="auto"/>
          </w:divBdr>
        </w:div>
        <w:div w:id="1794902623">
          <w:marLeft w:val="640"/>
          <w:marRight w:val="0"/>
          <w:marTop w:val="0"/>
          <w:marBottom w:val="0"/>
          <w:divBdr>
            <w:top w:val="none" w:sz="0" w:space="0" w:color="auto"/>
            <w:left w:val="none" w:sz="0" w:space="0" w:color="auto"/>
            <w:bottom w:val="none" w:sz="0" w:space="0" w:color="auto"/>
            <w:right w:val="none" w:sz="0" w:space="0" w:color="auto"/>
          </w:divBdr>
        </w:div>
        <w:div w:id="20324249">
          <w:marLeft w:val="640"/>
          <w:marRight w:val="0"/>
          <w:marTop w:val="0"/>
          <w:marBottom w:val="0"/>
          <w:divBdr>
            <w:top w:val="none" w:sz="0" w:space="0" w:color="auto"/>
            <w:left w:val="none" w:sz="0" w:space="0" w:color="auto"/>
            <w:bottom w:val="none" w:sz="0" w:space="0" w:color="auto"/>
            <w:right w:val="none" w:sz="0" w:space="0" w:color="auto"/>
          </w:divBdr>
        </w:div>
        <w:div w:id="1337880079">
          <w:marLeft w:val="640"/>
          <w:marRight w:val="0"/>
          <w:marTop w:val="0"/>
          <w:marBottom w:val="0"/>
          <w:divBdr>
            <w:top w:val="none" w:sz="0" w:space="0" w:color="auto"/>
            <w:left w:val="none" w:sz="0" w:space="0" w:color="auto"/>
            <w:bottom w:val="none" w:sz="0" w:space="0" w:color="auto"/>
            <w:right w:val="none" w:sz="0" w:space="0" w:color="auto"/>
          </w:divBdr>
        </w:div>
        <w:div w:id="1931387">
          <w:marLeft w:val="640"/>
          <w:marRight w:val="0"/>
          <w:marTop w:val="0"/>
          <w:marBottom w:val="0"/>
          <w:divBdr>
            <w:top w:val="none" w:sz="0" w:space="0" w:color="auto"/>
            <w:left w:val="none" w:sz="0" w:space="0" w:color="auto"/>
            <w:bottom w:val="none" w:sz="0" w:space="0" w:color="auto"/>
            <w:right w:val="none" w:sz="0" w:space="0" w:color="auto"/>
          </w:divBdr>
        </w:div>
        <w:div w:id="717432285">
          <w:marLeft w:val="640"/>
          <w:marRight w:val="0"/>
          <w:marTop w:val="0"/>
          <w:marBottom w:val="0"/>
          <w:divBdr>
            <w:top w:val="none" w:sz="0" w:space="0" w:color="auto"/>
            <w:left w:val="none" w:sz="0" w:space="0" w:color="auto"/>
            <w:bottom w:val="none" w:sz="0" w:space="0" w:color="auto"/>
            <w:right w:val="none" w:sz="0" w:space="0" w:color="auto"/>
          </w:divBdr>
        </w:div>
        <w:div w:id="1225681121">
          <w:marLeft w:val="640"/>
          <w:marRight w:val="0"/>
          <w:marTop w:val="0"/>
          <w:marBottom w:val="0"/>
          <w:divBdr>
            <w:top w:val="none" w:sz="0" w:space="0" w:color="auto"/>
            <w:left w:val="none" w:sz="0" w:space="0" w:color="auto"/>
            <w:bottom w:val="none" w:sz="0" w:space="0" w:color="auto"/>
            <w:right w:val="none" w:sz="0" w:space="0" w:color="auto"/>
          </w:divBdr>
        </w:div>
        <w:div w:id="221066137">
          <w:marLeft w:val="640"/>
          <w:marRight w:val="0"/>
          <w:marTop w:val="0"/>
          <w:marBottom w:val="0"/>
          <w:divBdr>
            <w:top w:val="none" w:sz="0" w:space="0" w:color="auto"/>
            <w:left w:val="none" w:sz="0" w:space="0" w:color="auto"/>
            <w:bottom w:val="none" w:sz="0" w:space="0" w:color="auto"/>
            <w:right w:val="none" w:sz="0" w:space="0" w:color="auto"/>
          </w:divBdr>
        </w:div>
        <w:div w:id="357900304">
          <w:marLeft w:val="640"/>
          <w:marRight w:val="0"/>
          <w:marTop w:val="0"/>
          <w:marBottom w:val="0"/>
          <w:divBdr>
            <w:top w:val="none" w:sz="0" w:space="0" w:color="auto"/>
            <w:left w:val="none" w:sz="0" w:space="0" w:color="auto"/>
            <w:bottom w:val="none" w:sz="0" w:space="0" w:color="auto"/>
            <w:right w:val="none" w:sz="0" w:space="0" w:color="auto"/>
          </w:divBdr>
        </w:div>
        <w:div w:id="1863476969">
          <w:marLeft w:val="640"/>
          <w:marRight w:val="0"/>
          <w:marTop w:val="0"/>
          <w:marBottom w:val="0"/>
          <w:divBdr>
            <w:top w:val="none" w:sz="0" w:space="0" w:color="auto"/>
            <w:left w:val="none" w:sz="0" w:space="0" w:color="auto"/>
            <w:bottom w:val="none" w:sz="0" w:space="0" w:color="auto"/>
            <w:right w:val="none" w:sz="0" w:space="0" w:color="auto"/>
          </w:divBdr>
        </w:div>
        <w:div w:id="1801919717">
          <w:marLeft w:val="640"/>
          <w:marRight w:val="0"/>
          <w:marTop w:val="0"/>
          <w:marBottom w:val="0"/>
          <w:divBdr>
            <w:top w:val="none" w:sz="0" w:space="0" w:color="auto"/>
            <w:left w:val="none" w:sz="0" w:space="0" w:color="auto"/>
            <w:bottom w:val="none" w:sz="0" w:space="0" w:color="auto"/>
            <w:right w:val="none" w:sz="0" w:space="0" w:color="auto"/>
          </w:divBdr>
        </w:div>
        <w:div w:id="114301995">
          <w:marLeft w:val="640"/>
          <w:marRight w:val="0"/>
          <w:marTop w:val="0"/>
          <w:marBottom w:val="0"/>
          <w:divBdr>
            <w:top w:val="none" w:sz="0" w:space="0" w:color="auto"/>
            <w:left w:val="none" w:sz="0" w:space="0" w:color="auto"/>
            <w:bottom w:val="none" w:sz="0" w:space="0" w:color="auto"/>
            <w:right w:val="none" w:sz="0" w:space="0" w:color="auto"/>
          </w:divBdr>
        </w:div>
        <w:div w:id="2045209335">
          <w:marLeft w:val="640"/>
          <w:marRight w:val="0"/>
          <w:marTop w:val="0"/>
          <w:marBottom w:val="0"/>
          <w:divBdr>
            <w:top w:val="none" w:sz="0" w:space="0" w:color="auto"/>
            <w:left w:val="none" w:sz="0" w:space="0" w:color="auto"/>
            <w:bottom w:val="none" w:sz="0" w:space="0" w:color="auto"/>
            <w:right w:val="none" w:sz="0" w:space="0" w:color="auto"/>
          </w:divBdr>
        </w:div>
        <w:div w:id="432869851">
          <w:marLeft w:val="640"/>
          <w:marRight w:val="0"/>
          <w:marTop w:val="0"/>
          <w:marBottom w:val="0"/>
          <w:divBdr>
            <w:top w:val="none" w:sz="0" w:space="0" w:color="auto"/>
            <w:left w:val="none" w:sz="0" w:space="0" w:color="auto"/>
            <w:bottom w:val="none" w:sz="0" w:space="0" w:color="auto"/>
            <w:right w:val="none" w:sz="0" w:space="0" w:color="auto"/>
          </w:divBdr>
        </w:div>
        <w:div w:id="147016436">
          <w:marLeft w:val="640"/>
          <w:marRight w:val="0"/>
          <w:marTop w:val="0"/>
          <w:marBottom w:val="0"/>
          <w:divBdr>
            <w:top w:val="none" w:sz="0" w:space="0" w:color="auto"/>
            <w:left w:val="none" w:sz="0" w:space="0" w:color="auto"/>
            <w:bottom w:val="none" w:sz="0" w:space="0" w:color="auto"/>
            <w:right w:val="none" w:sz="0" w:space="0" w:color="auto"/>
          </w:divBdr>
        </w:div>
        <w:div w:id="1565793085">
          <w:marLeft w:val="640"/>
          <w:marRight w:val="0"/>
          <w:marTop w:val="0"/>
          <w:marBottom w:val="0"/>
          <w:divBdr>
            <w:top w:val="none" w:sz="0" w:space="0" w:color="auto"/>
            <w:left w:val="none" w:sz="0" w:space="0" w:color="auto"/>
            <w:bottom w:val="none" w:sz="0" w:space="0" w:color="auto"/>
            <w:right w:val="none" w:sz="0" w:space="0" w:color="auto"/>
          </w:divBdr>
        </w:div>
        <w:div w:id="969936910">
          <w:marLeft w:val="640"/>
          <w:marRight w:val="0"/>
          <w:marTop w:val="0"/>
          <w:marBottom w:val="0"/>
          <w:divBdr>
            <w:top w:val="none" w:sz="0" w:space="0" w:color="auto"/>
            <w:left w:val="none" w:sz="0" w:space="0" w:color="auto"/>
            <w:bottom w:val="none" w:sz="0" w:space="0" w:color="auto"/>
            <w:right w:val="none" w:sz="0" w:space="0" w:color="auto"/>
          </w:divBdr>
        </w:div>
        <w:div w:id="1746797889">
          <w:marLeft w:val="640"/>
          <w:marRight w:val="0"/>
          <w:marTop w:val="0"/>
          <w:marBottom w:val="0"/>
          <w:divBdr>
            <w:top w:val="none" w:sz="0" w:space="0" w:color="auto"/>
            <w:left w:val="none" w:sz="0" w:space="0" w:color="auto"/>
            <w:bottom w:val="none" w:sz="0" w:space="0" w:color="auto"/>
            <w:right w:val="none" w:sz="0" w:space="0" w:color="auto"/>
          </w:divBdr>
        </w:div>
        <w:div w:id="119421596">
          <w:marLeft w:val="640"/>
          <w:marRight w:val="0"/>
          <w:marTop w:val="0"/>
          <w:marBottom w:val="0"/>
          <w:divBdr>
            <w:top w:val="none" w:sz="0" w:space="0" w:color="auto"/>
            <w:left w:val="none" w:sz="0" w:space="0" w:color="auto"/>
            <w:bottom w:val="none" w:sz="0" w:space="0" w:color="auto"/>
            <w:right w:val="none" w:sz="0" w:space="0" w:color="auto"/>
          </w:divBdr>
        </w:div>
        <w:div w:id="270936960">
          <w:marLeft w:val="640"/>
          <w:marRight w:val="0"/>
          <w:marTop w:val="0"/>
          <w:marBottom w:val="0"/>
          <w:divBdr>
            <w:top w:val="none" w:sz="0" w:space="0" w:color="auto"/>
            <w:left w:val="none" w:sz="0" w:space="0" w:color="auto"/>
            <w:bottom w:val="none" w:sz="0" w:space="0" w:color="auto"/>
            <w:right w:val="none" w:sz="0" w:space="0" w:color="auto"/>
          </w:divBdr>
        </w:div>
        <w:div w:id="1173304296">
          <w:marLeft w:val="640"/>
          <w:marRight w:val="0"/>
          <w:marTop w:val="0"/>
          <w:marBottom w:val="0"/>
          <w:divBdr>
            <w:top w:val="none" w:sz="0" w:space="0" w:color="auto"/>
            <w:left w:val="none" w:sz="0" w:space="0" w:color="auto"/>
            <w:bottom w:val="none" w:sz="0" w:space="0" w:color="auto"/>
            <w:right w:val="none" w:sz="0" w:space="0" w:color="auto"/>
          </w:divBdr>
        </w:div>
        <w:div w:id="1141002891">
          <w:marLeft w:val="640"/>
          <w:marRight w:val="0"/>
          <w:marTop w:val="0"/>
          <w:marBottom w:val="0"/>
          <w:divBdr>
            <w:top w:val="none" w:sz="0" w:space="0" w:color="auto"/>
            <w:left w:val="none" w:sz="0" w:space="0" w:color="auto"/>
            <w:bottom w:val="none" w:sz="0" w:space="0" w:color="auto"/>
            <w:right w:val="none" w:sz="0" w:space="0" w:color="auto"/>
          </w:divBdr>
        </w:div>
        <w:div w:id="1518150817">
          <w:marLeft w:val="640"/>
          <w:marRight w:val="0"/>
          <w:marTop w:val="0"/>
          <w:marBottom w:val="0"/>
          <w:divBdr>
            <w:top w:val="none" w:sz="0" w:space="0" w:color="auto"/>
            <w:left w:val="none" w:sz="0" w:space="0" w:color="auto"/>
            <w:bottom w:val="none" w:sz="0" w:space="0" w:color="auto"/>
            <w:right w:val="none" w:sz="0" w:space="0" w:color="auto"/>
          </w:divBdr>
        </w:div>
        <w:div w:id="2016884179">
          <w:marLeft w:val="640"/>
          <w:marRight w:val="0"/>
          <w:marTop w:val="0"/>
          <w:marBottom w:val="0"/>
          <w:divBdr>
            <w:top w:val="none" w:sz="0" w:space="0" w:color="auto"/>
            <w:left w:val="none" w:sz="0" w:space="0" w:color="auto"/>
            <w:bottom w:val="none" w:sz="0" w:space="0" w:color="auto"/>
            <w:right w:val="none" w:sz="0" w:space="0" w:color="auto"/>
          </w:divBdr>
        </w:div>
        <w:div w:id="1569612621">
          <w:marLeft w:val="640"/>
          <w:marRight w:val="0"/>
          <w:marTop w:val="0"/>
          <w:marBottom w:val="0"/>
          <w:divBdr>
            <w:top w:val="none" w:sz="0" w:space="0" w:color="auto"/>
            <w:left w:val="none" w:sz="0" w:space="0" w:color="auto"/>
            <w:bottom w:val="none" w:sz="0" w:space="0" w:color="auto"/>
            <w:right w:val="none" w:sz="0" w:space="0" w:color="auto"/>
          </w:divBdr>
        </w:div>
        <w:div w:id="542598942">
          <w:marLeft w:val="640"/>
          <w:marRight w:val="0"/>
          <w:marTop w:val="0"/>
          <w:marBottom w:val="0"/>
          <w:divBdr>
            <w:top w:val="none" w:sz="0" w:space="0" w:color="auto"/>
            <w:left w:val="none" w:sz="0" w:space="0" w:color="auto"/>
            <w:bottom w:val="none" w:sz="0" w:space="0" w:color="auto"/>
            <w:right w:val="none" w:sz="0" w:space="0" w:color="auto"/>
          </w:divBdr>
        </w:div>
        <w:div w:id="175653250">
          <w:marLeft w:val="640"/>
          <w:marRight w:val="0"/>
          <w:marTop w:val="0"/>
          <w:marBottom w:val="0"/>
          <w:divBdr>
            <w:top w:val="none" w:sz="0" w:space="0" w:color="auto"/>
            <w:left w:val="none" w:sz="0" w:space="0" w:color="auto"/>
            <w:bottom w:val="none" w:sz="0" w:space="0" w:color="auto"/>
            <w:right w:val="none" w:sz="0" w:space="0" w:color="auto"/>
          </w:divBdr>
        </w:div>
        <w:div w:id="1541475998">
          <w:marLeft w:val="640"/>
          <w:marRight w:val="0"/>
          <w:marTop w:val="0"/>
          <w:marBottom w:val="0"/>
          <w:divBdr>
            <w:top w:val="none" w:sz="0" w:space="0" w:color="auto"/>
            <w:left w:val="none" w:sz="0" w:space="0" w:color="auto"/>
            <w:bottom w:val="none" w:sz="0" w:space="0" w:color="auto"/>
            <w:right w:val="none" w:sz="0" w:space="0" w:color="auto"/>
          </w:divBdr>
        </w:div>
        <w:div w:id="903107720">
          <w:marLeft w:val="640"/>
          <w:marRight w:val="0"/>
          <w:marTop w:val="0"/>
          <w:marBottom w:val="0"/>
          <w:divBdr>
            <w:top w:val="none" w:sz="0" w:space="0" w:color="auto"/>
            <w:left w:val="none" w:sz="0" w:space="0" w:color="auto"/>
            <w:bottom w:val="none" w:sz="0" w:space="0" w:color="auto"/>
            <w:right w:val="none" w:sz="0" w:space="0" w:color="auto"/>
          </w:divBdr>
        </w:div>
        <w:div w:id="1287587342">
          <w:marLeft w:val="640"/>
          <w:marRight w:val="0"/>
          <w:marTop w:val="0"/>
          <w:marBottom w:val="0"/>
          <w:divBdr>
            <w:top w:val="none" w:sz="0" w:space="0" w:color="auto"/>
            <w:left w:val="none" w:sz="0" w:space="0" w:color="auto"/>
            <w:bottom w:val="none" w:sz="0" w:space="0" w:color="auto"/>
            <w:right w:val="none" w:sz="0" w:space="0" w:color="auto"/>
          </w:divBdr>
        </w:div>
        <w:div w:id="1918589825">
          <w:marLeft w:val="640"/>
          <w:marRight w:val="0"/>
          <w:marTop w:val="0"/>
          <w:marBottom w:val="0"/>
          <w:divBdr>
            <w:top w:val="none" w:sz="0" w:space="0" w:color="auto"/>
            <w:left w:val="none" w:sz="0" w:space="0" w:color="auto"/>
            <w:bottom w:val="none" w:sz="0" w:space="0" w:color="auto"/>
            <w:right w:val="none" w:sz="0" w:space="0" w:color="auto"/>
          </w:divBdr>
        </w:div>
        <w:div w:id="703407824">
          <w:marLeft w:val="640"/>
          <w:marRight w:val="0"/>
          <w:marTop w:val="0"/>
          <w:marBottom w:val="0"/>
          <w:divBdr>
            <w:top w:val="none" w:sz="0" w:space="0" w:color="auto"/>
            <w:left w:val="none" w:sz="0" w:space="0" w:color="auto"/>
            <w:bottom w:val="none" w:sz="0" w:space="0" w:color="auto"/>
            <w:right w:val="none" w:sz="0" w:space="0" w:color="auto"/>
          </w:divBdr>
        </w:div>
        <w:div w:id="1124692265">
          <w:marLeft w:val="640"/>
          <w:marRight w:val="0"/>
          <w:marTop w:val="0"/>
          <w:marBottom w:val="0"/>
          <w:divBdr>
            <w:top w:val="none" w:sz="0" w:space="0" w:color="auto"/>
            <w:left w:val="none" w:sz="0" w:space="0" w:color="auto"/>
            <w:bottom w:val="none" w:sz="0" w:space="0" w:color="auto"/>
            <w:right w:val="none" w:sz="0" w:space="0" w:color="auto"/>
          </w:divBdr>
        </w:div>
        <w:div w:id="599683494">
          <w:marLeft w:val="640"/>
          <w:marRight w:val="0"/>
          <w:marTop w:val="0"/>
          <w:marBottom w:val="0"/>
          <w:divBdr>
            <w:top w:val="none" w:sz="0" w:space="0" w:color="auto"/>
            <w:left w:val="none" w:sz="0" w:space="0" w:color="auto"/>
            <w:bottom w:val="none" w:sz="0" w:space="0" w:color="auto"/>
            <w:right w:val="none" w:sz="0" w:space="0" w:color="auto"/>
          </w:divBdr>
        </w:div>
        <w:div w:id="2061974390">
          <w:marLeft w:val="640"/>
          <w:marRight w:val="0"/>
          <w:marTop w:val="0"/>
          <w:marBottom w:val="0"/>
          <w:divBdr>
            <w:top w:val="none" w:sz="0" w:space="0" w:color="auto"/>
            <w:left w:val="none" w:sz="0" w:space="0" w:color="auto"/>
            <w:bottom w:val="none" w:sz="0" w:space="0" w:color="auto"/>
            <w:right w:val="none" w:sz="0" w:space="0" w:color="auto"/>
          </w:divBdr>
        </w:div>
        <w:div w:id="1444885029">
          <w:marLeft w:val="640"/>
          <w:marRight w:val="0"/>
          <w:marTop w:val="0"/>
          <w:marBottom w:val="0"/>
          <w:divBdr>
            <w:top w:val="none" w:sz="0" w:space="0" w:color="auto"/>
            <w:left w:val="none" w:sz="0" w:space="0" w:color="auto"/>
            <w:bottom w:val="none" w:sz="0" w:space="0" w:color="auto"/>
            <w:right w:val="none" w:sz="0" w:space="0" w:color="auto"/>
          </w:divBdr>
        </w:div>
        <w:div w:id="1996031088">
          <w:marLeft w:val="640"/>
          <w:marRight w:val="0"/>
          <w:marTop w:val="0"/>
          <w:marBottom w:val="0"/>
          <w:divBdr>
            <w:top w:val="none" w:sz="0" w:space="0" w:color="auto"/>
            <w:left w:val="none" w:sz="0" w:space="0" w:color="auto"/>
            <w:bottom w:val="none" w:sz="0" w:space="0" w:color="auto"/>
            <w:right w:val="none" w:sz="0" w:space="0" w:color="auto"/>
          </w:divBdr>
        </w:div>
        <w:div w:id="1263956430">
          <w:marLeft w:val="640"/>
          <w:marRight w:val="0"/>
          <w:marTop w:val="0"/>
          <w:marBottom w:val="0"/>
          <w:divBdr>
            <w:top w:val="none" w:sz="0" w:space="0" w:color="auto"/>
            <w:left w:val="none" w:sz="0" w:space="0" w:color="auto"/>
            <w:bottom w:val="none" w:sz="0" w:space="0" w:color="auto"/>
            <w:right w:val="none" w:sz="0" w:space="0" w:color="auto"/>
          </w:divBdr>
        </w:div>
        <w:div w:id="1186670355">
          <w:marLeft w:val="640"/>
          <w:marRight w:val="0"/>
          <w:marTop w:val="0"/>
          <w:marBottom w:val="0"/>
          <w:divBdr>
            <w:top w:val="none" w:sz="0" w:space="0" w:color="auto"/>
            <w:left w:val="none" w:sz="0" w:space="0" w:color="auto"/>
            <w:bottom w:val="none" w:sz="0" w:space="0" w:color="auto"/>
            <w:right w:val="none" w:sz="0" w:space="0" w:color="auto"/>
          </w:divBdr>
        </w:div>
        <w:div w:id="1908153308">
          <w:marLeft w:val="640"/>
          <w:marRight w:val="0"/>
          <w:marTop w:val="0"/>
          <w:marBottom w:val="0"/>
          <w:divBdr>
            <w:top w:val="none" w:sz="0" w:space="0" w:color="auto"/>
            <w:left w:val="none" w:sz="0" w:space="0" w:color="auto"/>
            <w:bottom w:val="none" w:sz="0" w:space="0" w:color="auto"/>
            <w:right w:val="none" w:sz="0" w:space="0" w:color="auto"/>
          </w:divBdr>
        </w:div>
        <w:div w:id="1903170379">
          <w:marLeft w:val="640"/>
          <w:marRight w:val="0"/>
          <w:marTop w:val="0"/>
          <w:marBottom w:val="0"/>
          <w:divBdr>
            <w:top w:val="none" w:sz="0" w:space="0" w:color="auto"/>
            <w:left w:val="none" w:sz="0" w:space="0" w:color="auto"/>
            <w:bottom w:val="none" w:sz="0" w:space="0" w:color="auto"/>
            <w:right w:val="none" w:sz="0" w:space="0" w:color="auto"/>
          </w:divBdr>
        </w:div>
        <w:div w:id="2004164591">
          <w:marLeft w:val="640"/>
          <w:marRight w:val="0"/>
          <w:marTop w:val="0"/>
          <w:marBottom w:val="0"/>
          <w:divBdr>
            <w:top w:val="none" w:sz="0" w:space="0" w:color="auto"/>
            <w:left w:val="none" w:sz="0" w:space="0" w:color="auto"/>
            <w:bottom w:val="none" w:sz="0" w:space="0" w:color="auto"/>
            <w:right w:val="none" w:sz="0" w:space="0" w:color="auto"/>
          </w:divBdr>
        </w:div>
        <w:div w:id="1155415993">
          <w:marLeft w:val="640"/>
          <w:marRight w:val="0"/>
          <w:marTop w:val="0"/>
          <w:marBottom w:val="0"/>
          <w:divBdr>
            <w:top w:val="none" w:sz="0" w:space="0" w:color="auto"/>
            <w:left w:val="none" w:sz="0" w:space="0" w:color="auto"/>
            <w:bottom w:val="none" w:sz="0" w:space="0" w:color="auto"/>
            <w:right w:val="none" w:sz="0" w:space="0" w:color="auto"/>
          </w:divBdr>
        </w:div>
        <w:div w:id="1348171963">
          <w:marLeft w:val="640"/>
          <w:marRight w:val="0"/>
          <w:marTop w:val="0"/>
          <w:marBottom w:val="0"/>
          <w:divBdr>
            <w:top w:val="none" w:sz="0" w:space="0" w:color="auto"/>
            <w:left w:val="none" w:sz="0" w:space="0" w:color="auto"/>
            <w:bottom w:val="none" w:sz="0" w:space="0" w:color="auto"/>
            <w:right w:val="none" w:sz="0" w:space="0" w:color="auto"/>
          </w:divBdr>
        </w:div>
        <w:div w:id="602226843">
          <w:marLeft w:val="640"/>
          <w:marRight w:val="0"/>
          <w:marTop w:val="0"/>
          <w:marBottom w:val="0"/>
          <w:divBdr>
            <w:top w:val="none" w:sz="0" w:space="0" w:color="auto"/>
            <w:left w:val="none" w:sz="0" w:space="0" w:color="auto"/>
            <w:bottom w:val="none" w:sz="0" w:space="0" w:color="auto"/>
            <w:right w:val="none" w:sz="0" w:space="0" w:color="auto"/>
          </w:divBdr>
        </w:div>
        <w:div w:id="126096472">
          <w:marLeft w:val="640"/>
          <w:marRight w:val="0"/>
          <w:marTop w:val="0"/>
          <w:marBottom w:val="0"/>
          <w:divBdr>
            <w:top w:val="none" w:sz="0" w:space="0" w:color="auto"/>
            <w:left w:val="none" w:sz="0" w:space="0" w:color="auto"/>
            <w:bottom w:val="none" w:sz="0" w:space="0" w:color="auto"/>
            <w:right w:val="none" w:sz="0" w:space="0" w:color="auto"/>
          </w:divBdr>
        </w:div>
        <w:div w:id="1105881292">
          <w:marLeft w:val="640"/>
          <w:marRight w:val="0"/>
          <w:marTop w:val="0"/>
          <w:marBottom w:val="0"/>
          <w:divBdr>
            <w:top w:val="none" w:sz="0" w:space="0" w:color="auto"/>
            <w:left w:val="none" w:sz="0" w:space="0" w:color="auto"/>
            <w:bottom w:val="none" w:sz="0" w:space="0" w:color="auto"/>
            <w:right w:val="none" w:sz="0" w:space="0" w:color="auto"/>
          </w:divBdr>
        </w:div>
        <w:div w:id="852914366">
          <w:marLeft w:val="640"/>
          <w:marRight w:val="0"/>
          <w:marTop w:val="0"/>
          <w:marBottom w:val="0"/>
          <w:divBdr>
            <w:top w:val="none" w:sz="0" w:space="0" w:color="auto"/>
            <w:left w:val="none" w:sz="0" w:space="0" w:color="auto"/>
            <w:bottom w:val="none" w:sz="0" w:space="0" w:color="auto"/>
            <w:right w:val="none" w:sz="0" w:space="0" w:color="auto"/>
          </w:divBdr>
        </w:div>
        <w:div w:id="1437403321">
          <w:marLeft w:val="640"/>
          <w:marRight w:val="0"/>
          <w:marTop w:val="0"/>
          <w:marBottom w:val="0"/>
          <w:divBdr>
            <w:top w:val="none" w:sz="0" w:space="0" w:color="auto"/>
            <w:left w:val="none" w:sz="0" w:space="0" w:color="auto"/>
            <w:bottom w:val="none" w:sz="0" w:space="0" w:color="auto"/>
            <w:right w:val="none" w:sz="0" w:space="0" w:color="auto"/>
          </w:divBdr>
        </w:div>
        <w:div w:id="141315842">
          <w:marLeft w:val="640"/>
          <w:marRight w:val="0"/>
          <w:marTop w:val="0"/>
          <w:marBottom w:val="0"/>
          <w:divBdr>
            <w:top w:val="none" w:sz="0" w:space="0" w:color="auto"/>
            <w:left w:val="none" w:sz="0" w:space="0" w:color="auto"/>
            <w:bottom w:val="none" w:sz="0" w:space="0" w:color="auto"/>
            <w:right w:val="none" w:sz="0" w:space="0" w:color="auto"/>
          </w:divBdr>
        </w:div>
        <w:div w:id="755328455">
          <w:marLeft w:val="640"/>
          <w:marRight w:val="0"/>
          <w:marTop w:val="0"/>
          <w:marBottom w:val="0"/>
          <w:divBdr>
            <w:top w:val="none" w:sz="0" w:space="0" w:color="auto"/>
            <w:left w:val="none" w:sz="0" w:space="0" w:color="auto"/>
            <w:bottom w:val="none" w:sz="0" w:space="0" w:color="auto"/>
            <w:right w:val="none" w:sz="0" w:space="0" w:color="auto"/>
          </w:divBdr>
        </w:div>
        <w:div w:id="395475719">
          <w:marLeft w:val="640"/>
          <w:marRight w:val="0"/>
          <w:marTop w:val="0"/>
          <w:marBottom w:val="0"/>
          <w:divBdr>
            <w:top w:val="none" w:sz="0" w:space="0" w:color="auto"/>
            <w:left w:val="none" w:sz="0" w:space="0" w:color="auto"/>
            <w:bottom w:val="none" w:sz="0" w:space="0" w:color="auto"/>
            <w:right w:val="none" w:sz="0" w:space="0" w:color="auto"/>
          </w:divBdr>
        </w:div>
        <w:div w:id="1276982077">
          <w:marLeft w:val="640"/>
          <w:marRight w:val="0"/>
          <w:marTop w:val="0"/>
          <w:marBottom w:val="0"/>
          <w:divBdr>
            <w:top w:val="none" w:sz="0" w:space="0" w:color="auto"/>
            <w:left w:val="none" w:sz="0" w:space="0" w:color="auto"/>
            <w:bottom w:val="none" w:sz="0" w:space="0" w:color="auto"/>
            <w:right w:val="none" w:sz="0" w:space="0" w:color="auto"/>
          </w:divBdr>
        </w:div>
        <w:div w:id="1417558460">
          <w:marLeft w:val="640"/>
          <w:marRight w:val="0"/>
          <w:marTop w:val="0"/>
          <w:marBottom w:val="0"/>
          <w:divBdr>
            <w:top w:val="none" w:sz="0" w:space="0" w:color="auto"/>
            <w:left w:val="none" w:sz="0" w:space="0" w:color="auto"/>
            <w:bottom w:val="none" w:sz="0" w:space="0" w:color="auto"/>
            <w:right w:val="none" w:sz="0" w:space="0" w:color="auto"/>
          </w:divBdr>
        </w:div>
        <w:div w:id="1239553431">
          <w:marLeft w:val="640"/>
          <w:marRight w:val="0"/>
          <w:marTop w:val="0"/>
          <w:marBottom w:val="0"/>
          <w:divBdr>
            <w:top w:val="none" w:sz="0" w:space="0" w:color="auto"/>
            <w:left w:val="none" w:sz="0" w:space="0" w:color="auto"/>
            <w:bottom w:val="none" w:sz="0" w:space="0" w:color="auto"/>
            <w:right w:val="none" w:sz="0" w:space="0" w:color="auto"/>
          </w:divBdr>
        </w:div>
        <w:div w:id="1228884039">
          <w:marLeft w:val="640"/>
          <w:marRight w:val="0"/>
          <w:marTop w:val="0"/>
          <w:marBottom w:val="0"/>
          <w:divBdr>
            <w:top w:val="none" w:sz="0" w:space="0" w:color="auto"/>
            <w:left w:val="none" w:sz="0" w:space="0" w:color="auto"/>
            <w:bottom w:val="none" w:sz="0" w:space="0" w:color="auto"/>
            <w:right w:val="none" w:sz="0" w:space="0" w:color="auto"/>
          </w:divBdr>
        </w:div>
        <w:div w:id="2020159238">
          <w:marLeft w:val="640"/>
          <w:marRight w:val="0"/>
          <w:marTop w:val="0"/>
          <w:marBottom w:val="0"/>
          <w:divBdr>
            <w:top w:val="none" w:sz="0" w:space="0" w:color="auto"/>
            <w:left w:val="none" w:sz="0" w:space="0" w:color="auto"/>
            <w:bottom w:val="none" w:sz="0" w:space="0" w:color="auto"/>
            <w:right w:val="none" w:sz="0" w:space="0" w:color="auto"/>
          </w:divBdr>
        </w:div>
        <w:div w:id="1905749147">
          <w:marLeft w:val="640"/>
          <w:marRight w:val="0"/>
          <w:marTop w:val="0"/>
          <w:marBottom w:val="0"/>
          <w:divBdr>
            <w:top w:val="none" w:sz="0" w:space="0" w:color="auto"/>
            <w:left w:val="none" w:sz="0" w:space="0" w:color="auto"/>
            <w:bottom w:val="none" w:sz="0" w:space="0" w:color="auto"/>
            <w:right w:val="none" w:sz="0" w:space="0" w:color="auto"/>
          </w:divBdr>
        </w:div>
        <w:div w:id="402216594">
          <w:marLeft w:val="640"/>
          <w:marRight w:val="0"/>
          <w:marTop w:val="0"/>
          <w:marBottom w:val="0"/>
          <w:divBdr>
            <w:top w:val="none" w:sz="0" w:space="0" w:color="auto"/>
            <w:left w:val="none" w:sz="0" w:space="0" w:color="auto"/>
            <w:bottom w:val="none" w:sz="0" w:space="0" w:color="auto"/>
            <w:right w:val="none" w:sz="0" w:space="0" w:color="auto"/>
          </w:divBdr>
        </w:div>
        <w:div w:id="790705679">
          <w:marLeft w:val="640"/>
          <w:marRight w:val="0"/>
          <w:marTop w:val="0"/>
          <w:marBottom w:val="0"/>
          <w:divBdr>
            <w:top w:val="none" w:sz="0" w:space="0" w:color="auto"/>
            <w:left w:val="none" w:sz="0" w:space="0" w:color="auto"/>
            <w:bottom w:val="none" w:sz="0" w:space="0" w:color="auto"/>
            <w:right w:val="none" w:sz="0" w:space="0" w:color="auto"/>
          </w:divBdr>
        </w:div>
        <w:div w:id="1671444407">
          <w:marLeft w:val="640"/>
          <w:marRight w:val="0"/>
          <w:marTop w:val="0"/>
          <w:marBottom w:val="0"/>
          <w:divBdr>
            <w:top w:val="none" w:sz="0" w:space="0" w:color="auto"/>
            <w:left w:val="none" w:sz="0" w:space="0" w:color="auto"/>
            <w:bottom w:val="none" w:sz="0" w:space="0" w:color="auto"/>
            <w:right w:val="none" w:sz="0" w:space="0" w:color="auto"/>
          </w:divBdr>
        </w:div>
        <w:div w:id="1152063109">
          <w:marLeft w:val="640"/>
          <w:marRight w:val="0"/>
          <w:marTop w:val="0"/>
          <w:marBottom w:val="0"/>
          <w:divBdr>
            <w:top w:val="none" w:sz="0" w:space="0" w:color="auto"/>
            <w:left w:val="none" w:sz="0" w:space="0" w:color="auto"/>
            <w:bottom w:val="none" w:sz="0" w:space="0" w:color="auto"/>
            <w:right w:val="none" w:sz="0" w:space="0" w:color="auto"/>
          </w:divBdr>
        </w:div>
        <w:div w:id="1354844800">
          <w:marLeft w:val="640"/>
          <w:marRight w:val="0"/>
          <w:marTop w:val="0"/>
          <w:marBottom w:val="0"/>
          <w:divBdr>
            <w:top w:val="none" w:sz="0" w:space="0" w:color="auto"/>
            <w:left w:val="none" w:sz="0" w:space="0" w:color="auto"/>
            <w:bottom w:val="none" w:sz="0" w:space="0" w:color="auto"/>
            <w:right w:val="none" w:sz="0" w:space="0" w:color="auto"/>
          </w:divBdr>
        </w:div>
        <w:div w:id="946810558">
          <w:marLeft w:val="640"/>
          <w:marRight w:val="0"/>
          <w:marTop w:val="0"/>
          <w:marBottom w:val="0"/>
          <w:divBdr>
            <w:top w:val="none" w:sz="0" w:space="0" w:color="auto"/>
            <w:left w:val="none" w:sz="0" w:space="0" w:color="auto"/>
            <w:bottom w:val="none" w:sz="0" w:space="0" w:color="auto"/>
            <w:right w:val="none" w:sz="0" w:space="0" w:color="auto"/>
          </w:divBdr>
        </w:div>
        <w:div w:id="1423797903">
          <w:marLeft w:val="640"/>
          <w:marRight w:val="0"/>
          <w:marTop w:val="0"/>
          <w:marBottom w:val="0"/>
          <w:divBdr>
            <w:top w:val="none" w:sz="0" w:space="0" w:color="auto"/>
            <w:left w:val="none" w:sz="0" w:space="0" w:color="auto"/>
            <w:bottom w:val="none" w:sz="0" w:space="0" w:color="auto"/>
            <w:right w:val="none" w:sz="0" w:space="0" w:color="auto"/>
          </w:divBdr>
        </w:div>
        <w:div w:id="79913923">
          <w:marLeft w:val="640"/>
          <w:marRight w:val="0"/>
          <w:marTop w:val="0"/>
          <w:marBottom w:val="0"/>
          <w:divBdr>
            <w:top w:val="none" w:sz="0" w:space="0" w:color="auto"/>
            <w:left w:val="none" w:sz="0" w:space="0" w:color="auto"/>
            <w:bottom w:val="none" w:sz="0" w:space="0" w:color="auto"/>
            <w:right w:val="none" w:sz="0" w:space="0" w:color="auto"/>
          </w:divBdr>
        </w:div>
        <w:div w:id="833035383">
          <w:marLeft w:val="640"/>
          <w:marRight w:val="0"/>
          <w:marTop w:val="0"/>
          <w:marBottom w:val="0"/>
          <w:divBdr>
            <w:top w:val="none" w:sz="0" w:space="0" w:color="auto"/>
            <w:left w:val="none" w:sz="0" w:space="0" w:color="auto"/>
            <w:bottom w:val="none" w:sz="0" w:space="0" w:color="auto"/>
            <w:right w:val="none" w:sz="0" w:space="0" w:color="auto"/>
          </w:divBdr>
        </w:div>
        <w:div w:id="384566618">
          <w:marLeft w:val="640"/>
          <w:marRight w:val="0"/>
          <w:marTop w:val="0"/>
          <w:marBottom w:val="0"/>
          <w:divBdr>
            <w:top w:val="none" w:sz="0" w:space="0" w:color="auto"/>
            <w:left w:val="none" w:sz="0" w:space="0" w:color="auto"/>
            <w:bottom w:val="none" w:sz="0" w:space="0" w:color="auto"/>
            <w:right w:val="none" w:sz="0" w:space="0" w:color="auto"/>
          </w:divBdr>
        </w:div>
        <w:div w:id="2141995054">
          <w:marLeft w:val="640"/>
          <w:marRight w:val="0"/>
          <w:marTop w:val="0"/>
          <w:marBottom w:val="0"/>
          <w:divBdr>
            <w:top w:val="none" w:sz="0" w:space="0" w:color="auto"/>
            <w:left w:val="none" w:sz="0" w:space="0" w:color="auto"/>
            <w:bottom w:val="none" w:sz="0" w:space="0" w:color="auto"/>
            <w:right w:val="none" w:sz="0" w:space="0" w:color="auto"/>
          </w:divBdr>
        </w:div>
        <w:div w:id="955140464">
          <w:marLeft w:val="640"/>
          <w:marRight w:val="0"/>
          <w:marTop w:val="0"/>
          <w:marBottom w:val="0"/>
          <w:divBdr>
            <w:top w:val="none" w:sz="0" w:space="0" w:color="auto"/>
            <w:left w:val="none" w:sz="0" w:space="0" w:color="auto"/>
            <w:bottom w:val="none" w:sz="0" w:space="0" w:color="auto"/>
            <w:right w:val="none" w:sz="0" w:space="0" w:color="auto"/>
          </w:divBdr>
        </w:div>
        <w:div w:id="1260260781">
          <w:marLeft w:val="640"/>
          <w:marRight w:val="0"/>
          <w:marTop w:val="0"/>
          <w:marBottom w:val="0"/>
          <w:divBdr>
            <w:top w:val="none" w:sz="0" w:space="0" w:color="auto"/>
            <w:left w:val="none" w:sz="0" w:space="0" w:color="auto"/>
            <w:bottom w:val="none" w:sz="0" w:space="0" w:color="auto"/>
            <w:right w:val="none" w:sz="0" w:space="0" w:color="auto"/>
          </w:divBdr>
        </w:div>
        <w:div w:id="151913850">
          <w:marLeft w:val="640"/>
          <w:marRight w:val="0"/>
          <w:marTop w:val="0"/>
          <w:marBottom w:val="0"/>
          <w:divBdr>
            <w:top w:val="none" w:sz="0" w:space="0" w:color="auto"/>
            <w:left w:val="none" w:sz="0" w:space="0" w:color="auto"/>
            <w:bottom w:val="none" w:sz="0" w:space="0" w:color="auto"/>
            <w:right w:val="none" w:sz="0" w:space="0" w:color="auto"/>
          </w:divBdr>
        </w:div>
        <w:div w:id="679160420">
          <w:marLeft w:val="640"/>
          <w:marRight w:val="0"/>
          <w:marTop w:val="0"/>
          <w:marBottom w:val="0"/>
          <w:divBdr>
            <w:top w:val="none" w:sz="0" w:space="0" w:color="auto"/>
            <w:left w:val="none" w:sz="0" w:space="0" w:color="auto"/>
            <w:bottom w:val="none" w:sz="0" w:space="0" w:color="auto"/>
            <w:right w:val="none" w:sz="0" w:space="0" w:color="auto"/>
          </w:divBdr>
        </w:div>
        <w:div w:id="750929483">
          <w:marLeft w:val="640"/>
          <w:marRight w:val="0"/>
          <w:marTop w:val="0"/>
          <w:marBottom w:val="0"/>
          <w:divBdr>
            <w:top w:val="none" w:sz="0" w:space="0" w:color="auto"/>
            <w:left w:val="none" w:sz="0" w:space="0" w:color="auto"/>
            <w:bottom w:val="none" w:sz="0" w:space="0" w:color="auto"/>
            <w:right w:val="none" w:sz="0" w:space="0" w:color="auto"/>
          </w:divBdr>
        </w:div>
        <w:div w:id="1654143921">
          <w:marLeft w:val="640"/>
          <w:marRight w:val="0"/>
          <w:marTop w:val="0"/>
          <w:marBottom w:val="0"/>
          <w:divBdr>
            <w:top w:val="none" w:sz="0" w:space="0" w:color="auto"/>
            <w:left w:val="none" w:sz="0" w:space="0" w:color="auto"/>
            <w:bottom w:val="none" w:sz="0" w:space="0" w:color="auto"/>
            <w:right w:val="none" w:sz="0" w:space="0" w:color="auto"/>
          </w:divBdr>
        </w:div>
        <w:div w:id="1816950995">
          <w:marLeft w:val="640"/>
          <w:marRight w:val="0"/>
          <w:marTop w:val="0"/>
          <w:marBottom w:val="0"/>
          <w:divBdr>
            <w:top w:val="none" w:sz="0" w:space="0" w:color="auto"/>
            <w:left w:val="none" w:sz="0" w:space="0" w:color="auto"/>
            <w:bottom w:val="none" w:sz="0" w:space="0" w:color="auto"/>
            <w:right w:val="none" w:sz="0" w:space="0" w:color="auto"/>
          </w:divBdr>
        </w:div>
        <w:div w:id="1432814915">
          <w:marLeft w:val="640"/>
          <w:marRight w:val="0"/>
          <w:marTop w:val="0"/>
          <w:marBottom w:val="0"/>
          <w:divBdr>
            <w:top w:val="none" w:sz="0" w:space="0" w:color="auto"/>
            <w:left w:val="none" w:sz="0" w:space="0" w:color="auto"/>
            <w:bottom w:val="none" w:sz="0" w:space="0" w:color="auto"/>
            <w:right w:val="none" w:sz="0" w:space="0" w:color="auto"/>
          </w:divBdr>
        </w:div>
        <w:div w:id="453839500">
          <w:marLeft w:val="640"/>
          <w:marRight w:val="0"/>
          <w:marTop w:val="0"/>
          <w:marBottom w:val="0"/>
          <w:divBdr>
            <w:top w:val="none" w:sz="0" w:space="0" w:color="auto"/>
            <w:left w:val="none" w:sz="0" w:space="0" w:color="auto"/>
            <w:bottom w:val="none" w:sz="0" w:space="0" w:color="auto"/>
            <w:right w:val="none" w:sz="0" w:space="0" w:color="auto"/>
          </w:divBdr>
        </w:div>
        <w:div w:id="2119986477">
          <w:marLeft w:val="640"/>
          <w:marRight w:val="0"/>
          <w:marTop w:val="0"/>
          <w:marBottom w:val="0"/>
          <w:divBdr>
            <w:top w:val="none" w:sz="0" w:space="0" w:color="auto"/>
            <w:left w:val="none" w:sz="0" w:space="0" w:color="auto"/>
            <w:bottom w:val="none" w:sz="0" w:space="0" w:color="auto"/>
            <w:right w:val="none" w:sz="0" w:space="0" w:color="auto"/>
          </w:divBdr>
        </w:div>
        <w:div w:id="2089224229">
          <w:marLeft w:val="640"/>
          <w:marRight w:val="0"/>
          <w:marTop w:val="0"/>
          <w:marBottom w:val="0"/>
          <w:divBdr>
            <w:top w:val="none" w:sz="0" w:space="0" w:color="auto"/>
            <w:left w:val="none" w:sz="0" w:space="0" w:color="auto"/>
            <w:bottom w:val="none" w:sz="0" w:space="0" w:color="auto"/>
            <w:right w:val="none" w:sz="0" w:space="0" w:color="auto"/>
          </w:divBdr>
        </w:div>
        <w:div w:id="1246957024">
          <w:marLeft w:val="640"/>
          <w:marRight w:val="0"/>
          <w:marTop w:val="0"/>
          <w:marBottom w:val="0"/>
          <w:divBdr>
            <w:top w:val="none" w:sz="0" w:space="0" w:color="auto"/>
            <w:left w:val="none" w:sz="0" w:space="0" w:color="auto"/>
            <w:bottom w:val="none" w:sz="0" w:space="0" w:color="auto"/>
            <w:right w:val="none" w:sz="0" w:space="0" w:color="auto"/>
          </w:divBdr>
        </w:div>
        <w:div w:id="92240888">
          <w:marLeft w:val="640"/>
          <w:marRight w:val="0"/>
          <w:marTop w:val="0"/>
          <w:marBottom w:val="0"/>
          <w:divBdr>
            <w:top w:val="none" w:sz="0" w:space="0" w:color="auto"/>
            <w:left w:val="none" w:sz="0" w:space="0" w:color="auto"/>
            <w:bottom w:val="none" w:sz="0" w:space="0" w:color="auto"/>
            <w:right w:val="none" w:sz="0" w:space="0" w:color="auto"/>
          </w:divBdr>
        </w:div>
        <w:div w:id="1428504699">
          <w:marLeft w:val="640"/>
          <w:marRight w:val="0"/>
          <w:marTop w:val="0"/>
          <w:marBottom w:val="0"/>
          <w:divBdr>
            <w:top w:val="none" w:sz="0" w:space="0" w:color="auto"/>
            <w:left w:val="none" w:sz="0" w:space="0" w:color="auto"/>
            <w:bottom w:val="none" w:sz="0" w:space="0" w:color="auto"/>
            <w:right w:val="none" w:sz="0" w:space="0" w:color="auto"/>
          </w:divBdr>
        </w:div>
        <w:div w:id="441651592">
          <w:marLeft w:val="640"/>
          <w:marRight w:val="0"/>
          <w:marTop w:val="0"/>
          <w:marBottom w:val="0"/>
          <w:divBdr>
            <w:top w:val="none" w:sz="0" w:space="0" w:color="auto"/>
            <w:left w:val="none" w:sz="0" w:space="0" w:color="auto"/>
            <w:bottom w:val="none" w:sz="0" w:space="0" w:color="auto"/>
            <w:right w:val="none" w:sz="0" w:space="0" w:color="auto"/>
          </w:divBdr>
        </w:div>
        <w:div w:id="1257518856">
          <w:marLeft w:val="640"/>
          <w:marRight w:val="0"/>
          <w:marTop w:val="0"/>
          <w:marBottom w:val="0"/>
          <w:divBdr>
            <w:top w:val="none" w:sz="0" w:space="0" w:color="auto"/>
            <w:left w:val="none" w:sz="0" w:space="0" w:color="auto"/>
            <w:bottom w:val="none" w:sz="0" w:space="0" w:color="auto"/>
            <w:right w:val="none" w:sz="0" w:space="0" w:color="auto"/>
          </w:divBdr>
        </w:div>
        <w:div w:id="529801424">
          <w:marLeft w:val="640"/>
          <w:marRight w:val="0"/>
          <w:marTop w:val="0"/>
          <w:marBottom w:val="0"/>
          <w:divBdr>
            <w:top w:val="none" w:sz="0" w:space="0" w:color="auto"/>
            <w:left w:val="none" w:sz="0" w:space="0" w:color="auto"/>
            <w:bottom w:val="none" w:sz="0" w:space="0" w:color="auto"/>
            <w:right w:val="none" w:sz="0" w:space="0" w:color="auto"/>
          </w:divBdr>
        </w:div>
        <w:div w:id="1128551064">
          <w:marLeft w:val="640"/>
          <w:marRight w:val="0"/>
          <w:marTop w:val="0"/>
          <w:marBottom w:val="0"/>
          <w:divBdr>
            <w:top w:val="none" w:sz="0" w:space="0" w:color="auto"/>
            <w:left w:val="none" w:sz="0" w:space="0" w:color="auto"/>
            <w:bottom w:val="none" w:sz="0" w:space="0" w:color="auto"/>
            <w:right w:val="none" w:sz="0" w:space="0" w:color="auto"/>
          </w:divBdr>
        </w:div>
        <w:div w:id="881943254">
          <w:marLeft w:val="640"/>
          <w:marRight w:val="0"/>
          <w:marTop w:val="0"/>
          <w:marBottom w:val="0"/>
          <w:divBdr>
            <w:top w:val="none" w:sz="0" w:space="0" w:color="auto"/>
            <w:left w:val="none" w:sz="0" w:space="0" w:color="auto"/>
            <w:bottom w:val="none" w:sz="0" w:space="0" w:color="auto"/>
            <w:right w:val="none" w:sz="0" w:space="0" w:color="auto"/>
          </w:divBdr>
        </w:div>
        <w:div w:id="2013868985">
          <w:marLeft w:val="640"/>
          <w:marRight w:val="0"/>
          <w:marTop w:val="0"/>
          <w:marBottom w:val="0"/>
          <w:divBdr>
            <w:top w:val="none" w:sz="0" w:space="0" w:color="auto"/>
            <w:left w:val="none" w:sz="0" w:space="0" w:color="auto"/>
            <w:bottom w:val="none" w:sz="0" w:space="0" w:color="auto"/>
            <w:right w:val="none" w:sz="0" w:space="0" w:color="auto"/>
          </w:divBdr>
        </w:div>
        <w:div w:id="1439330905">
          <w:marLeft w:val="640"/>
          <w:marRight w:val="0"/>
          <w:marTop w:val="0"/>
          <w:marBottom w:val="0"/>
          <w:divBdr>
            <w:top w:val="none" w:sz="0" w:space="0" w:color="auto"/>
            <w:left w:val="none" w:sz="0" w:space="0" w:color="auto"/>
            <w:bottom w:val="none" w:sz="0" w:space="0" w:color="auto"/>
            <w:right w:val="none" w:sz="0" w:space="0" w:color="auto"/>
          </w:divBdr>
        </w:div>
        <w:div w:id="202862674">
          <w:marLeft w:val="640"/>
          <w:marRight w:val="0"/>
          <w:marTop w:val="0"/>
          <w:marBottom w:val="0"/>
          <w:divBdr>
            <w:top w:val="none" w:sz="0" w:space="0" w:color="auto"/>
            <w:left w:val="none" w:sz="0" w:space="0" w:color="auto"/>
            <w:bottom w:val="none" w:sz="0" w:space="0" w:color="auto"/>
            <w:right w:val="none" w:sz="0" w:space="0" w:color="auto"/>
          </w:divBdr>
        </w:div>
        <w:div w:id="205725216">
          <w:marLeft w:val="640"/>
          <w:marRight w:val="0"/>
          <w:marTop w:val="0"/>
          <w:marBottom w:val="0"/>
          <w:divBdr>
            <w:top w:val="none" w:sz="0" w:space="0" w:color="auto"/>
            <w:left w:val="none" w:sz="0" w:space="0" w:color="auto"/>
            <w:bottom w:val="none" w:sz="0" w:space="0" w:color="auto"/>
            <w:right w:val="none" w:sz="0" w:space="0" w:color="auto"/>
          </w:divBdr>
        </w:div>
        <w:div w:id="1292205838">
          <w:marLeft w:val="640"/>
          <w:marRight w:val="0"/>
          <w:marTop w:val="0"/>
          <w:marBottom w:val="0"/>
          <w:divBdr>
            <w:top w:val="none" w:sz="0" w:space="0" w:color="auto"/>
            <w:left w:val="none" w:sz="0" w:space="0" w:color="auto"/>
            <w:bottom w:val="none" w:sz="0" w:space="0" w:color="auto"/>
            <w:right w:val="none" w:sz="0" w:space="0" w:color="auto"/>
          </w:divBdr>
        </w:div>
        <w:div w:id="73944118">
          <w:marLeft w:val="640"/>
          <w:marRight w:val="0"/>
          <w:marTop w:val="0"/>
          <w:marBottom w:val="0"/>
          <w:divBdr>
            <w:top w:val="none" w:sz="0" w:space="0" w:color="auto"/>
            <w:left w:val="none" w:sz="0" w:space="0" w:color="auto"/>
            <w:bottom w:val="none" w:sz="0" w:space="0" w:color="auto"/>
            <w:right w:val="none" w:sz="0" w:space="0" w:color="auto"/>
          </w:divBdr>
        </w:div>
        <w:div w:id="983892955">
          <w:marLeft w:val="640"/>
          <w:marRight w:val="0"/>
          <w:marTop w:val="0"/>
          <w:marBottom w:val="0"/>
          <w:divBdr>
            <w:top w:val="none" w:sz="0" w:space="0" w:color="auto"/>
            <w:left w:val="none" w:sz="0" w:space="0" w:color="auto"/>
            <w:bottom w:val="none" w:sz="0" w:space="0" w:color="auto"/>
            <w:right w:val="none" w:sz="0" w:space="0" w:color="auto"/>
          </w:divBdr>
        </w:div>
        <w:div w:id="143280580">
          <w:marLeft w:val="640"/>
          <w:marRight w:val="0"/>
          <w:marTop w:val="0"/>
          <w:marBottom w:val="0"/>
          <w:divBdr>
            <w:top w:val="none" w:sz="0" w:space="0" w:color="auto"/>
            <w:left w:val="none" w:sz="0" w:space="0" w:color="auto"/>
            <w:bottom w:val="none" w:sz="0" w:space="0" w:color="auto"/>
            <w:right w:val="none" w:sz="0" w:space="0" w:color="auto"/>
          </w:divBdr>
        </w:div>
        <w:div w:id="355085551">
          <w:marLeft w:val="640"/>
          <w:marRight w:val="0"/>
          <w:marTop w:val="0"/>
          <w:marBottom w:val="0"/>
          <w:divBdr>
            <w:top w:val="none" w:sz="0" w:space="0" w:color="auto"/>
            <w:left w:val="none" w:sz="0" w:space="0" w:color="auto"/>
            <w:bottom w:val="none" w:sz="0" w:space="0" w:color="auto"/>
            <w:right w:val="none" w:sz="0" w:space="0" w:color="auto"/>
          </w:divBdr>
        </w:div>
        <w:div w:id="728892018">
          <w:marLeft w:val="640"/>
          <w:marRight w:val="0"/>
          <w:marTop w:val="0"/>
          <w:marBottom w:val="0"/>
          <w:divBdr>
            <w:top w:val="none" w:sz="0" w:space="0" w:color="auto"/>
            <w:left w:val="none" w:sz="0" w:space="0" w:color="auto"/>
            <w:bottom w:val="none" w:sz="0" w:space="0" w:color="auto"/>
            <w:right w:val="none" w:sz="0" w:space="0" w:color="auto"/>
          </w:divBdr>
        </w:div>
        <w:div w:id="1229879553">
          <w:marLeft w:val="640"/>
          <w:marRight w:val="0"/>
          <w:marTop w:val="0"/>
          <w:marBottom w:val="0"/>
          <w:divBdr>
            <w:top w:val="none" w:sz="0" w:space="0" w:color="auto"/>
            <w:left w:val="none" w:sz="0" w:space="0" w:color="auto"/>
            <w:bottom w:val="none" w:sz="0" w:space="0" w:color="auto"/>
            <w:right w:val="none" w:sz="0" w:space="0" w:color="auto"/>
          </w:divBdr>
        </w:div>
        <w:div w:id="610939521">
          <w:marLeft w:val="640"/>
          <w:marRight w:val="0"/>
          <w:marTop w:val="0"/>
          <w:marBottom w:val="0"/>
          <w:divBdr>
            <w:top w:val="none" w:sz="0" w:space="0" w:color="auto"/>
            <w:left w:val="none" w:sz="0" w:space="0" w:color="auto"/>
            <w:bottom w:val="none" w:sz="0" w:space="0" w:color="auto"/>
            <w:right w:val="none" w:sz="0" w:space="0" w:color="auto"/>
          </w:divBdr>
        </w:div>
        <w:div w:id="1101604219">
          <w:marLeft w:val="640"/>
          <w:marRight w:val="0"/>
          <w:marTop w:val="0"/>
          <w:marBottom w:val="0"/>
          <w:divBdr>
            <w:top w:val="none" w:sz="0" w:space="0" w:color="auto"/>
            <w:left w:val="none" w:sz="0" w:space="0" w:color="auto"/>
            <w:bottom w:val="none" w:sz="0" w:space="0" w:color="auto"/>
            <w:right w:val="none" w:sz="0" w:space="0" w:color="auto"/>
          </w:divBdr>
        </w:div>
        <w:div w:id="1630284521">
          <w:marLeft w:val="640"/>
          <w:marRight w:val="0"/>
          <w:marTop w:val="0"/>
          <w:marBottom w:val="0"/>
          <w:divBdr>
            <w:top w:val="none" w:sz="0" w:space="0" w:color="auto"/>
            <w:left w:val="none" w:sz="0" w:space="0" w:color="auto"/>
            <w:bottom w:val="none" w:sz="0" w:space="0" w:color="auto"/>
            <w:right w:val="none" w:sz="0" w:space="0" w:color="auto"/>
          </w:divBdr>
        </w:div>
        <w:div w:id="1460954683">
          <w:marLeft w:val="640"/>
          <w:marRight w:val="0"/>
          <w:marTop w:val="0"/>
          <w:marBottom w:val="0"/>
          <w:divBdr>
            <w:top w:val="none" w:sz="0" w:space="0" w:color="auto"/>
            <w:left w:val="none" w:sz="0" w:space="0" w:color="auto"/>
            <w:bottom w:val="none" w:sz="0" w:space="0" w:color="auto"/>
            <w:right w:val="none" w:sz="0" w:space="0" w:color="auto"/>
          </w:divBdr>
        </w:div>
        <w:div w:id="1193692829">
          <w:marLeft w:val="640"/>
          <w:marRight w:val="0"/>
          <w:marTop w:val="0"/>
          <w:marBottom w:val="0"/>
          <w:divBdr>
            <w:top w:val="none" w:sz="0" w:space="0" w:color="auto"/>
            <w:left w:val="none" w:sz="0" w:space="0" w:color="auto"/>
            <w:bottom w:val="none" w:sz="0" w:space="0" w:color="auto"/>
            <w:right w:val="none" w:sz="0" w:space="0" w:color="auto"/>
          </w:divBdr>
        </w:div>
        <w:div w:id="153954307">
          <w:marLeft w:val="640"/>
          <w:marRight w:val="0"/>
          <w:marTop w:val="0"/>
          <w:marBottom w:val="0"/>
          <w:divBdr>
            <w:top w:val="none" w:sz="0" w:space="0" w:color="auto"/>
            <w:left w:val="none" w:sz="0" w:space="0" w:color="auto"/>
            <w:bottom w:val="none" w:sz="0" w:space="0" w:color="auto"/>
            <w:right w:val="none" w:sz="0" w:space="0" w:color="auto"/>
          </w:divBdr>
        </w:div>
        <w:div w:id="1765685599">
          <w:marLeft w:val="640"/>
          <w:marRight w:val="0"/>
          <w:marTop w:val="0"/>
          <w:marBottom w:val="0"/>
          <w:divBdr>
            <w:top w:val="none" w:sz="0" w:space="0" w:color="auto"/>
            <w:left w:val="none" w:sz="0" w:space="0" w:color="auto"/>
            <w:bottom w:val="none" w:sz="0" w:space="0" w:color="auto"/>
            <w:right w:val="none" w:sz="0" w:space="0" w:color="auto"/>
          </w:divBdr>
        </w:div>
        <w:div w:id="1268805687">
          <w:marLeft w:val="640"/>
          <w:marRight w:val="0"/>
          <w:marTop w:val="0"/>
          <w:marBottom w:val="0"/>
          <w:divBdr>
            <w:top w:val="none" w:sz="0" w:space="0" w:color="auto"/>
            <w:left w:val="none" w:sz="0" w:space="0" w:color="auto"/>
            <w:bottom w:val="none" w:sz="0" w:space="0" w:color="auto"/>
            <w:right w:val="none" w:sz="0" w:space="0" w:color="auto"/>
          </w:divBdr>
        </w:div>
        <w:div w:id="290749745">
          <w:marLeft w:val="640"/>
          <w:marRight w:val="0"/>
          <w:marTop w:val="0"/>
          <w:marBottom w:val="0"/>
          <w:divBdr>
            <w:top w:val="none" w:sz="0" w:space="0" w:color="auto"/>
            <w:left w:val="none" w:sz="0" w:space="0" w:color="auto"/>
            <w:bottom w:val="none" w:sz="0" w:space="0" w:color="auto"/>
            <w:right w:val="none" w:sz="0" w:space="0" w:color="auto"/>
          </w:divBdr>
        </w:div>
        <w:div w:id="488641648">
          <w:marLeft w:val="640"/>
          <w:marRight w:val="0"/>
          <w:marTop w:val="0"/>
          <w:marBottom w:val="0"/>
          <w:divBdr>
            <w:top w:val="none" w:sz="0" w:space="0" w:color="auto"/>
            <w:left w:val="none" w:sz="0" w:space="0" w:color="auto"/>
            <w:bottom w:val="none" w:sz="0" w:space="0" w:color="auto"/>
            <w:right w:val="none" w:sz="0" w:space="0" w:color="auto"/>
          </w:divBdr>
        </w:div>
        <w:div w:id="1325670462">
          <w:marLeft w:val="640"/>
          <w:marRight w:val="0"/>
          <w:marTop w:val="0"/>
          <w:marBottom w:val="0"/>
          <w:divBdr>
            <w:top w:val="none" w:sz="0" w:space="0" w:color="auto"/>
            <w:left w:val="none" w:sz="0" w:space="0" w:color="auto"/>
            <w:bottom w:val="none" w:sz="0" w:space="0" w:color="auto"/>
            <w:right w:val="none" w:sz="0" w:space="0" w:color="auto"/>
          </w:divBdr>
        </w:div>
        <w:div w:id="1918125081">
          <w:marLeft w:val="640"/>
          <w:marRight w:val="0"/>
          <w:marTop w:val="0"/>
          <w:marBottom w:val="0"/>
          <w:divBdr>
            <w:top w:val="none" w:sz="0" w:space="0" w:color="auto"/>
            <w:left w:val="none" w:sz="0" w:space="0" w:color="auto"/>
            <w:bottom w:val="none" w:sz="0" w:space="0" w:color="auto"/>
            <w:right w:val="none" w:sz="0" w:space="0" w:color="auto"/>
          </w:divBdr>
        </w:div>
        <w:div w:id="848106213">
          <w:marLeft w:val="640"/>
          <w:marRight w:val="0"/>
          <w:marTop w:val="0"/>
          <w:marBottom w:val="0"/>
          <w:divBdr>
            <w:top w:val="none" w:sz="0" w:space="0" w:color="auto"/>
            <w:left w:val="none" w:sz="0" w:space="0" w:color="auto"/>
            <w:bottom w:val="none" w:sz="0" w:space="0" w:color="auto"/>
            <w:right w:val="none" w:sz="0" w:space="0" w:color="auto"/>
          </w:divBdr>
        </w:div>
        <w:div w:id="451291132">
          <w:marLeft w:val="640"/>
          <w:marRight w:val="0"/>
          <w:marTop w:val="0"/>
          <w:marBottom w:val="0"/>
          <w:divBdr>
            <w:top w:val="none" w:sz="0" w:space="0" w:color="auto"/>
            <w:left w:val="none" w:sz="0" w:space="0" w:color="auto"/>
            <w:bottom w:val="none" w:sz="0" w:space="0" w:color="auto"/>
            <w:right w:val="none" w:sz="0" w:space="0" w:color="auto"/>
          </w:divBdr>
        </w:div>
        <w:div w:id="1010791910">
          <w:marLeft w:val="640"/>
          <w:marRight w:val="0"/>
          <w:marTop w:val="0"/>
          <w:marBottom w:val="0"/>
          <w:divBdr>
            <w:top w:val="none" w:sz="0" w:space="0" w:color="auto"/>
            <w:left w:val="none" w:sz="0" w:space="0" w:color="auto"/>
            <w:bottom w:val="none" w:sz="0" w:space="0" w:color="auto"/>
            <w:right w:val="none" w:sz="0" w:space="0" w:color="auto"/>
          </w:divBdr>
        </w:div>
        <w:div w:id="921259708">
          <w:marLeft w:val="640"/>
          <w:marRight w:val="0"/>
          <w:marTop w:val="0"/>
          <w:marBottom w:val="0"/>
          <w:divBdr>
            <w:top w:val="none" w:sz="0" w:space="0" w:color="auto"/>
            <w:left w:val="none" w:sz="0" w:space="0" w:color="auto"/>
            <w:bottom w:val="none" w:sz="0" w:space="0" w:color="auto"/>
            <w:right w:val="none" w:sz="0" w:space="0" w:color="auto"/>
          </w:divBdr>
        </w:div>
        <w:div w:id="2112621299">
          <w:marLeft w:val="640"/>
          <w:marRight w:val="0"/>
          <w:marTop w:val="0"/>
          <w:marBottom w:val="0"/>
          <w:divBdr>
            <w:top w:val="none" w:sz="0" w:space="0" w:color="auto"/>
            <w:left w:val="none" w:sz="0" w:space="0" w:color="auto"/>
            <w:bottom w:val="none" w:sz="0" w:space="0" w:color="auto"/>
            <w:right w:val="none" w:sz="0" w:space="0" w:color="auto"/>
          </w:divBdr>
        </w:div>
        <w:div w:id="159082731">
          <w:marLeft w:val="640"/>
          <w:marRight w:val="0"/>
          <w:marTop w:val="0"/>
          <w:marBottom w:val="0"/>
          <w:divBdr>
            <w:top w:val="none" w:sz="0" w:space="0" w:color="auto"/>
            <w:left w:val="none" w:sz="0" w:space="0" w:color="auto"/>
            <w:bottom w:val="none" w:sz="0" w:space="0" w:color="auto"/>
            <w:right w:val="none" w:sz="0" w:space="0" w:color="auto"/>
          </w:divBdr>
        </w:div>
        <w:div w:id="464933003">
          <w:marLeft w:val="640"/>
          <w:marRight w:val="0"/>
          <w:marTop w:val="0"/>
          <w:marBottom w:val="0"/>
          <w:divBdr>
            <w:top w:val="none" w:sz="0" w:space="0" w:color="auto"/>
            <w:left w:val="none" w:sz="0" w:space="0" w:color="auto"/>
            <w:bottom w:val="none" w:sz="0" w:space="0" w:color="auto"/>
            <w:right w:val="none" w:sz="0" w:space="0" w:color="auto"/>
          </w:divBdr>
        </w:div>
        <w:div w:id="1937784767">
          <w:marLeft w:val="640"/>
          <w:marRight w:val="0"/>
          <w:marTop w:val="0"/>
          <w:marBottom w:val="0"/>
          <w:divBdr>
            <w:top w:val="none" w:sz="0" w:space="0" w:color="auto"/>
            <w:left w:val="none" w:sz="0" w:space="0" w:color="auto"/>
            <w:bottom w:val="none" w:sz="0" w:space="0" w:color="auto"/>
            <w:right w:val="none" w:sz="0" w:space="0" w:color="auto"/>
          </w:divBdr>
        </w:div>
        <w:div w:id="481191512">
          <w:marLeft w:val="640"/>
          <w:marRight w:val="0"/>
          <w:marTop w:val="0"/>
          <w:marBottom w:val="0"/>
          <w:divBdr>
            <w:top w:val="none" w:sz="0" w:space="0" w:color="auto"/>
            <w:left w:val="none" w:sz="0" w:space="0" w:color="auto"/>
            <w:bottom w:val="none" w:sz="0" w:space="0" w:color="auto"/>
            <w:right w:val="none" w:sz="0" w:space="0" w:color="auto"/>
          </w:divBdr>
        </w:div>
        <w:div w:id="1622498697">
          <w:marLeft w:val="640"/>
          <w:marRight w:val="0"/>
          <w:marTop w:val="0"/>
          <w:marBottom w:val="0"/>
          <w:divBdr>
            <w:top w:val="none" w:sz="0" w:space="0" w:color="auto"/>
            <w:left w:val="none" w:sz="0" w:space="0" w:color="auto"/>
            <w:bottom w:val="none" w:sz="0" w:space="0" w:color="auto"/>
            <w:right w:val="none" w:sz="0" w:space="0" w:color="auto"/>
          </w:divBdr>
        </w:div>
        <w:div w:id="1246306167">
          <w:marLeft w:val="640"/>
          <w:marRight w:val="0"/>
          <w:marTop w:val="0"/>
          <w:marBottom w:val="0"/>
          <w:divBdr>
            <w:top w:val="none" w:sz="0" w:space="0" w:color="auto"/>
            <w:left w:val="none" w:sz="0" w:space="0" w:color="auto"/>
            <w:bottom w:val="none" w:sz="0" w:space="0" w:color="auto"/>
            <w:right w:val="none" w:sz="0" w:space="0" w:color="auto"/>
          </w:divBdr>
        </w:div>
        <w:div w:id="1595355978">
          <w:marLeft w:val="640"/>
          <w:marRight w:val="0"/>
          <w:marTop w:val="0"/>
          <w:marBottom w:val="0"/>
          <w:divBdr>
            <w:top w:val="none" w:sz="0" w:space="0" w:color="auto"/>
            <w:left w:val="none" w:sz="0" w:space="0" w:color="auto"/>
            <w:bottom w:val="none" w:sz="0" w:space="0" w:color="auto"/>
            <w:right w:val="none" w:sz="0" w:space="0" w:color="auto"/>
          </w:divBdr>
        </w:div>
        <w:div w:id="1826169174">
          <w:marLeft w:val="640"/>
          <w:marRight w:val="0"/>
          <w:marTop w:val="0"/>
          <w:marBottom w:val="0"/>
          <w:divBdr>
            <w:top w:val="none" w:sz="0" w:space="0" w:color="auto"/>
            <w:left w:val="none" w:sz="0" w:space="0" w:color="auto"/>
            <w:bottom w:val="none" w:sz="0" w:space="0" w:color="auto"/>
            <w:right w:val="none" w:sz="0" w:space="0" w:color="auto"/>
          </w:divBdr>
        </w:div>
        <w:div w:id="2128769551">
          <w:marLeft w:val="640"/>
          <w:marRight w:val="0"/>
          <w:marTop w:val="0"/>
          <w:marBottom w:val="0"/>
          <w:divBdr>
            <w:top w:val="none" w:sz="0" w:space="0" w:color="auto"/>
            <w:left w:val="none" w:sz="0" w:space="0" w:color="auto"/>
            <w:bottom w:val="none" w:sz="0" w:space="0" w:color="auto"/>
            <w:right w:val="none" w:sz="0" w:space="0" w:color="auto"/>
          </w:divBdr>
        </w:div>
        <w:div w:id="1801485717">
          <w:marLeft w:val="640"/>
          <w:marRight w:val="0"/>
          <w:marTop w:val="0"/>
          <w:marBottom w:val="0"/>
          <w:divBdr>
            <w:top w:val="none" w:sz="0" w:space="0" w:color="auto"/>
            <w:left w:val="none" w:sz="0" w:space="0" w:color="auto"/>
            <w:bottom w:val="none" w:sz="0" w:space="0" w:color="auto"/>
            <w:right w:val="none" w:sz="0" w:space="0" w:color="auto"/>
          </w:divBdr>
        </w:div>
        <w:div w:id="1965497047">
          <w:marLeft w:val="640"/>
          <w:marRight w:val="0"/>
          <w:marTop w:val="0"/>
          <w:marBottom w:val="0"/>
          <w:divBdr>
            <w:top w:val="none" w:sz="0" w:space="0" w:color="auto"/>
            <w:left w:val="none" w:sz="0" w:space="0" w:color="auto"/>
            <w:bottom w:val="none" w:sz="0" w:space="0" w:color="auto"/>
            <w:right w:val="none" w:sz="0" w:space="0" w:color="auto"/>
          </w:divBdr>
        </w:div>
        <w:div w:id="1439636860">
          <w:marLeft w:val="640"/>
          <w:marRight w:val="0"/>
          <w:marTop w:val="0"/>
          <w:marBottom w:val="0"/>
          <w:divBdr>
            <w:top w:val="none" w:sz="0" w:space="0" w:color="auto"/>
            <w:left w:val="none" w:sz="0" w:space="0" w:color="auto"/>
            <w:bottom w:val="none" w:sz="0" w:space="0" w:color="auto"/>
            <w:right w:val="none" w:sz="0" w:space="0" w:color="auto"/>
          </w:divBdr>
        </w:div>
        <w:div w:id="697586466">
          <w:marLeft w:val="640"/>
          <w:marRight w:val="0"/>
          <w:marTop w:val="0"/>
          <w:marBottom w:val="0"/>
          <w:divBdr>
            <w:top w:val="none" w:sz="0" w:space="0" w:color="auto"/>
            <w:left w:val="none" w:sz="0" w:space="0" w:color="auto"/>
            <w:bottom w:val="none" w:sz="0" w:space="0" w:color="auto"/>
            <w:right w:val="none" w:sz="0" w:space="0" w:color="auto"/>
          </w:divBdr>
        </w:div>
        <w:div w:id="3674462">
          <w:marLeft w:val="640"/>
          <w:marRight w:val="0"/>
          <w:marTop w:val="0"/>
          <w:marBottom w:val="0"/>
          <w:divBdr>
            <w:top w:val="none" w:sz="0" w:space="0" w:color="auto"/>
            <w:left w:val="none" w:sz="0" w:space="0" w:color="auto"/>
            <w:bottom w:val="none" w:sz="0" w:space="0" w:color="auto"/>
            <w:right w:val="none" w:sz="0" w:space="0" w:color="auto"/>
          </w:divBdr>
        </w:div>
        <w:div w:id="1101923595">
          <w:marLeft w:val="640"/>
          <w:marRight w:val="0"/>
          <w:marTop w:val="0"/>
          <w:marBottom w:val="0"/>
          <w:divBdr>
            <w:top w:val="none" w:sz="0" w:space="0" w:color="auto"/>
            <w:left w:val="none" w:sz="0" w:space="0" w:color="auto"/>
            <w:bottom w:val="none" w:sz="0" w:space="0" w:color="auto"/>
            <w:right w:val="none" w:sz="0" w:space="0" w:color="auto"/>
          </w:divBdr>
        </w:div>
        <w:div w:id="1901088093">
          <w:marLeft w:val="640"/>
          <w:marRight w:val="0"/>
          <w:marTop w:val="0"/>
          <w:marBottom w:val="0"/>
          <w:divBdr>
            <w:top w:val="none" w:sz="0" w:space="0" w:color="auto"/>
            <w:left w:val="none" w:sz="0" w:space="0" w:color="auto"/>
            <w:bottom w:val="none" w:sz="0" w:space="0" w:color="auto"/>
            <w:right w:val="none" w:sz="0" w:space="0" w:color="auto"/>
          </w:divBdr>
        </w:div>
        <w:div w:id="1864323290">
          <w:marLeft w:val="640"/>
          <w:marRight w:val="0"/>
          <w:marTop w:val="0"/>
          <w:marBottom w:val="0"/>
          <w:divBdr>
            <w:top w:val="none" w:sz="0" w:space="0" w:color="auto"/>
            <w:left w:val="none" w:sz="0" w:space="0" w:color="auto"/>
            <w:bottom w:val="none" w:sz="0" w:space="0" w:color="auto"/>
            <w:right w:val="none" w:sz="0" w:space="0" w:color="auto"/>
          </w:divBdr>
        </w:div>
        <w:div w:id="1271090085">
          <w:marLeft w:val="640"/>
          <w:marRight w:val="0"/>
          <w:marTop w:val="0"/>
          <w:marBottom w:val="0"/>
          <w:divBdr>
            <w:top w:val="none" w:sz="0" w:space="0" w:color="auto"/>
            <w:left w:val="none" w:sz="0" w:space="0" w:color="auto"/>
            <w:bottom w:val="none" w:sz="0" w:space="0" w:color="auto"/>
            <w:right w:val="none" w:sz="0" w:space="0" w:color="auto"/>
          </w:divBdr>
        </w:div>
        <w:div w:id="463231851">
          <w:marLeft w:val="640"/>
          <w:marRight w:val="0"/>
          <w:marTop w:val="0"/>
          <w:marBottom w:val="0"/>
          <w:divBdr>
            <w:top w:val="none" w:sz="0" w:space="0" w:color="auto"/>
            <w:left w:val="none" w:sz="0" w:space="0" w:color="auto"/>
            <w:bottom w:val="none" w:sz="0" w:space="0" w:color="auto"/>
            <w:right w:val="none" w:sz="0" w:space="0" w:color="auto"/>
          </w:divBdr>
        </w:div>
        <w:div w:id="1715471055">
          <w:marLeft w:val="640"/>
          <w:marRight w:val="0"/>
          <w:marTop w:val="0"/>
          <w:marBottom w:val="0"/>
          <w:divBdr>
            <w:top w:val="none" w:sz="0" w:space="0" w:color="auto"/>
            <w:left w:val="none" w:sz="0" w:space="0" w:color="auto"/>
            <w:bottom w:val="none" w:sz="0" w:space="0" w:color="auto"/>
            <w:right w:val="none" w:sz="0" w:space="0" w:color="auto"/>
          </w:divBdr>
        </w:div>
        <w:div w:id="1787890502">
          <w:marLeft w:val="640"/>
          <w:marRight w:val="0"/>
          <w:marTop w:val="0"/>
          <w:marBottom w:val="0"/>
          <w:divBdr>
            <w:top w:val="none" w:sz="0" w:space="0" w:color="auto"/>
            <w:left w:val="none" w:sz="0" w:space="0" w:color="auto"/>
            <w:bottom w:val="none" w:sz="0" w:space="0" w:color="auto"/>
            <w:right w:val="none" w:sz="0" w:space="0" w:color="auto"/>
          </w:divBdr>
        </w:div>
        <w:div w:id="1961566603">
          <w:marLeft w:val="640"/>
          <w:marRight w:val="0"/>
          <w:marTop w:val="0"/>
          <w:marBottom w:val="0"/>
          <w:divBdr>
            <w:top w:val="none" w:sz="0" w:space="0" w:color="auto"/>
            <w:left w:val="none" w:sz="0" w:space="0" w:color="auto"/>
            <w:bottom w:val="none" w:sz="0" w:space="0" w:color="auto"/>
            <w:right w:val="none" w:sz="0" w:space="0" w:color="auto"/>
          </w:divBdr>
        </w:div>
        <w:div w:id="1878809212">
          <w:marLeft w:val="640"/>
          <w:marRight w:val="0"/>
          <w:marTop w:val="0"/>
          <w:marBottom w:val="0"/>
          <w:divBdr>
            <w:top w:val="none" w:sz="0" w:space="0" w:color="auto"/>
            <w:left w:val="none" w:sz="0" w:space="0" w:color="auto"/>
            <w:bottom w:val="none" w:sz="0" w:space="0" w:color="auto"/>
            <w:right w:val="none" w:sz="0" w:space="0" w:color="auto"/>
          </w:divBdr>
        </w:div>
        <w:div w:id="1109280228">
          <w:marLeft w:val="640"/>
          <w:marRight w:val="0"/>
          <w:marTop w:val="0"/>
          <w:marBottom w:val="0"/>
          <w:divBdr>
            <w:top w:val="none" w:sz="0" w:space="0" w:color="auto"/>
            <w:left w:val="none" w:sz="0" w:space="0" w:color="auto"/>
            <w:bottom w:val="none" w:sz="0" w:space="0" w:color="auto"/>
            <w:right w:val="none" w:sz="0" w:space="0" w:color="auto"/>
          </w:divBdr>
        </w:div>
        <w:div w:id="1165246208">
          <w:marLeft w:val="640"/>
          <w:marRight w:val="0"/>
          <w:marTop w:val="0"/>
          <w:marBottom w:val="0"/>
          <w:divBdr>
            <w:top w:val="none" w:sz="0" w:space="0" w:color="auto"/>
            <w:left w:val="none" w:sz="0" w:space="0" w:color="auto"/>
            <w:bottom w:val="none" w:sz="0" w:space="0" w:color="auto"/>
            <w:right w:val="none" w:sz="0" w:space="0" w:color="auto"/>
          </w:divBdr>
        </w:div>
        <w:div w:id="2085296131">
          <w:marLeft w:val="640"/>
          <w:marRight w:val="0"/>
          <w:marTop w:val="0"/>
          <w:marBottom w:val="0"/>
          <w:divBdr>
            <w:top w:val="none" w:sz="0" w:space="0" w:color="auto"/>
            <w:left w:val="none" w:sz="0" w:space="0" w:color="auto"/>
            <w:bottom w:val="none" w:sz="0" w:space="0" w:color="auto"/>
            <w:right w:val="none" w:sz="0" w:space="0" w:color="auto"/>
          </w:divBdr>
        </w:div>
        <w:div w:id="1309632254">
          <w:marLeft w:val="640"/>
          <w:marRight w:val="0"/>
          <w:marTop w:val="0"/>
          <w:marBottom w:val="0"/>
          <w:divBdr>
            <w:top w:val="none" w:sz="0" w:space="0" w:color="auto"/>
            <w:left w:val="none" w:sz="0" w:space="0" w:color="auto"/>
            <w:bottom w:val="none" w:sz="0" w:space="0" w:color="auto"/>
            <w:right w:val="none" w:sz="0" w:space="0" w:color="auto"/>
          </w:divBdr>
        </w:div>
        <w:div w:id="1369375625">
          <w:marLeft w:val="640"/>
          <w:marRight w:val="0"/>
          <w:marTop w:val="0"/>
          <w:marBottom w:val="0"/>
          <w:divBdr>
            <w:top w:val="none" w:sz="0" w:space="0" w:color="auto"/>
            <w:left w:val="none" w:sz="0" w:space="0" w:color="auto"/>
            <w:bottom w:val="none" w:sz="0" w:space="0" w:color="auto"/>
            <w:right w:val="none" w:sz="0" w:space="0" w:color="auto"/>
          </w:divBdr>
        </w:div>
        <w:div w:id="31930436">
          <w:marLeft w:val="640"/>
          <w:marRight w:val="0"/>
          <w:marTop w:val="0"/>
          <w:marBottom w:val="0"/>
          <w:divBdr>
            <w:top w:val="none" w:sz="0" w:space="0" w:color="auto"/>
            <w:left w:val="none" w:sz="0" w:space="0" w:color="auto"/>
            <w:bottom w:val="none" w:sz="0" w:space="0" w:color="auto"/>
            <w:right w:val="none" w:sz="0" w:space="0" w:color="auto"/>
          </w:divBdr>
        </w:div>
        <w:div w:id="141116205">
          <w:marLeft w:val="640"/>
          <w:marRight w:val="0"/>
          <w:marTop w:val="0"/>
          <w:marBottom w:val="0"/>
          <w:divBdr>
            <w:top w:val="none" w:sz="0" w:space="0" w:color="auto"/>
            <w:left w:val="none" w:sz="0" w:space="0" w:color="auto"/>
            <w:bottom w:val="none" w:sz="0" w:space="0" w:color="auto"/>
            <w:right w:val="none" w:sz="0" w:space="0" w:color="auto"/>
          </w:divBdr>
        </w:div>
        <w:div w:id="1578636445">
          <w:marLeft w:val="640"/>
          <w:marRight w:val="0"/>
          <w:marTop w:val="0"/>
          <w:marBottom w:val="0"/>
          <w:divBdr>
            <w:top w:val="none" w:sz="0" w:space="0" w:color="auto"/>
            <w:left w:val="none" w:sz="0" w:space="0" w:color="auto"/>
            <w:bottom w:val="none" w:sz="0" w:space="0" w:color="auto"/>
            <w:right w:val="none" w:sz="0" w:space="0" w:color="auto"/>
          </w:divBdr>
        </w:div>
        <w:div w:id="1296255255">
          <w:marLeft w:val="640"/>
          <w:marRight w:val="0"/>
          <w:marTop w:val="0"/>
          <w:marBottom w:val="0"/>
          <w:divBdr>
            <w:top w:val="none" w:sz="0" w:space="0" w:color="auto"/>
            <w:left w:val="none" w:sz="0" w:space="0" w:color="auto"/>
            <w:bottom w:val="none" w:sz="0" w:space="0" w:color="auto"/>
            <w:right w:val="none" w:sz="0" w:space="0" w:color="auto"/>
          </w:divBdr>
        </w:div>
        <w:div w:id="332343332">
          <w:marLeft w:val="640"/>
          <w:marRight w:val="0"/>
          <w:marTop w:val="0"/>
          <w:marBottom w:val="0"/>
          <w:divBdr>
            <w:top w:val="none" w:sz="0" w:space="0" w:color="auto"/>
            <w:left w:val="none" w:sz="0" w:space="0" w:color="auto"/>
            <w:bottom w:val="none" w:sz="0" w:space="0" w:color="auto"/>
            <w:right w:val="none" w:sz="0" w:space="0" w:color="auto"/>
          </w:divBdr>
        </w:div>
        <w:div w:id="11346555">
          <w:marLeft w:val="640"/>
          <w:marRight w:val="0"/>
          <w:marTop w:val="0"/>
          <w:marBottom w:val="0"/>
          <w:divBdr>
            <w:top w:val="none" w:sz="0" w:space="0" w:color="auto"/>
            <w:left w:val="none" w:sz="0" w:space="0" w:color="auto"/>
            <w:bottom w:val="none" w:sz="0" w:space="0" w:color="auto"/>
            <w:right w:val="none" w:sz="0" w:space="0" w:color="auto"/>
          </w:divBdr>
        </w:div>
        <w:div w:id="834804262">
          <w:marLeft w:val="640"/>
          <w:marRight w:val="0"/>
          <w:marTop w:val="0"/>
          <w:marBottom w:val="0"/>
          <w:divBdr>
            <w:top w:val="none" w:sz="0" w:space="0" w:color="auto"/>
            <w:left w:val="none" w:sz="0" w:space="0" w:color="auto"/>
            <w:bottom w:val="none" w:sz="0" w:space="0" w:color="auto"/>
            <w:right w:val="none" w:sz="0" w:space="0" w:color="auto"/>
          </w:divBdr>
        </w:div>
        <w:div w:id="1871717423">
          <w:marLeft w:val="640"/>
          <w:marRight w:val="0"/>
          <w:marTop w:val="0"/>
          <w:marBottom w:val="0"/>
          <w:divBdr>
            <w:top w:val="none" w:sz="0" w:space="0" w:color="auto"/>
            <w:left w:val="none" w:sz="0" w:space="0" w:color="auto"/>
            <w:bottom w:val="none" w:sz="0" w:space="0" w:color="auto"/>
            <w:right w:val="none" w:sz="0" w:space="0" w:color="auto"/>
          </w:divBdr>
        </w:div>
        <w:div w:id="1944872617">
          <w:marLeft w:val="640"/>
          <w:marRight w:val="0"/>
          <w:marTop w:val="0"/>
          <w:marBottom w:val="0"/>
          <w:divBdr>
            <w:top w:val="none" w:sz="0" w:space="0" w:color="auto"/>
            <w:left w:val="none" w:sz="0" w:space="0" w:color="auto"/>
            <w:bottom w:val="none" w:sz="0" w:space="0" w:color="auto"/>
            <w:right w:val="none" w:sz="0" w:space="0" w:color="auto"/>
          </w:divBdr>
        </w:div>
        <w:div w:id="886382446">
          <w:marLeft w:val="640"/>
          <w:marRight w:val="0"/>
          <w:marTop w:val="0"/>
          <w:marBottom w:val="0"/>
          <w:divBdr>
            <w:top w:val="none" w:sz="0" w:space="0" w:color="auto"/>
            <w:left w:val="none" w:sz="0" w:space="0" w:color="auto"/>
            <w:bottom w:val="none" w:sz="0" w:space="0" w:color="auto"/>
            <w:right w:val="none" w:sz="0" w:space="0" w:color="auto"/>
          </w:divBdr>
        </w:div>
        <w:div w:id="1712993416">
          <w:marLeft w:val="640"/>
          <w:marRight w:val="0"/>
          <w:marTop w:val="0"/>
          <w:marBottom w:val="0"/>
          <w:divBdr>
            <w:top w:val="none" w:sz="0" w:space="0" w:color="auto"/>
            <w:left w:val="none" w:sz="0" w:space="0" w:color="auto"/>
            <w:bottom w:val="none" w:sz="0" w:space="0" w:color="auto"/>
            <w:right w:val="none" w:sz="0" w:space="0" w:color="auto"/>
          </w:divBdr>
        </w:div>
        <w:div w:id="1341816288">
          <w:marLeft w:val="640"/>
          <w:marRight w:val="0"/>
          <w:marTop w:val="0"/>
          <w:marBottom w:val="0"/>
          <w:divBdr>
            <w:top w:val="none" w:sz="0" w:space="0" w:color="auto"/>
            <w:left w:val="none" w:sz="0" w:space="0" w:color="auto"/>
            <w:bottom w:val="none" w:sz="0" w:space="0" w:color="auto"/>
            <w:right w:val="none" w:sz="0" w:space="0" w:color="auto"/>
          </w:divBdr>
        </w:div>
        <w:div w:id="582372729">
          <w:marLeft w:val="640"/>
          <w:marRight w:val="0"/>
          <w:marTop w:val="0"/>
          <w:marBottom w:val="0"/>
          <w:divBdr>
            <w:top w:val="none" w:sz="0" w:space="0" w:color="auto"/>
            <w:left w:val="none" w:sz="0" w:space="0" w:color="auto"/>
            <w:bottom w:val="none" w:sz="0" w:space="0" w:color="auto"/>
            <w:right w:val="none" w:sz="0" w:space="0" w:color="auto"/>
          </w:divBdr>
        </w:div>
        <w:div w:id="789399321">
          <w:marLeft w:val="640"/>
          <w:marRight w:val="0"/>
          <w:marTop w:val="0"/>
          <w:marBottom w:val="0"/>
          <w:divBdr>
            <w:top w:val="none" w:sz="0" w:space="0" w:color="auto"/>
            <w:left w:val="none" w:sz="0" w:space="0" w:color="auto"/>
            <w:bottom w:val="none" w:sz="0" w:space="0" w:color="auto"/>
            <w:right w:val="none" w:sz="0" w:space="0" w:color="auto"/>
          </w:divBdr>
        </w:div>
        <w:div w:id="1143959543">
          <w:marLeft w:val="640"/>
          <w:marRight w:val="0"/>
          <w:marTop w:val="0"/>
          <w:marBottom w:val="0"/>
          <w:divBdr>
            <w:top w:val="none" w:sz="0" w:space="0" w:color="auto"/>
            <w:left w:val="none" w:sz="0" w:space="0" w:color="auto"/>
            <w:bottom w:val="none" w:sz="0" w:space="0" w:color="auto"/>
            <w:right w:val="none" w:sz="0" w:space="0" w:color="auto"/>
          </w:divBdr>
        </w:div>
        <w:div w:id="2057316129">
          <w:marLeft w:val="640"/>
          <w:marRight w:val="0"/>
          <w:marTop w:val="0"/>
          <w:marBottom w:val="0"/>
          <w:divBdr>
            <w:top w:val="none" w:sz="0" w:space="0" w:color="auto"/>
            <w:left w:val="none" w:sz="0" w:space="0" w:color="auto"/>
            <w:bottom w:val="none" w:sz="0" w:space="0" w:color="auto"/>
            <w:right w:val="none" w:sz="0" w:space="0" w:color="auto"/>
          </w:divBdr>
        </w:div>
        <w:div w:id="1645741034">
          <w:marLeft w:val="640"/>
          <w:marRight w:val="0"/>
          <w:marTop w:val="0"/>
          <w:marBottom w:val="0"/>
          <w:divBdr>
            <w:top w:val="none" w:sz="0" w:space="0" w:color="auto"/>
            <w:left w:val="none" w:sz="0" w:space="0" w:color="auto"/>
            <w:bottom w:val="none" w:sz="0" w:space="0" w:color="auto"/>
            <w:right w:val="none" w:sz="0" w:space="0" w:color="auto"/>
          </w:divBdr>
        </w:div>
        <w:div w:id="634259908">
          <w:marLeft w:val="640"/>
          <w:marRight w:val="0"/>
          <w:marTop w:val="0"/>
          <w:marBottom w:val="0"/>
          <w:divBdr>
            <w:top w:val="none" w:sz="0" w:space="0" w:color="auto"/>
            <w:left w:val="none" w:sz="0" w:space="0" w:color="auto"/>
            <w:bottom w:val="none" w:sz="0" w:space="0" w:color="auto"/>
            <w:right w:val="none" w:sz="0" w:space="0" w:color="auto"/>
          </w:divBdr>
        </w:div>
        <w:div w:id="685013803">
          <w:marLeft w:val="640"/>
          <w:marRight w:val="0"/>
          <w:marTop w:val="0"/>
          <w:marBottom w:val="0"/>
          <w:divBdr>
            <w:top w:val="none" w:sz="0" w:space="0" w:color="auto"/>
            <w:left w:val="none" w:sz="0" w:space="0" w:color="auto"/>
            <w:bottom w:val="none" w:sz="0" w:space="0" w:color="auto"/>
            <w:right w:val="none" w:sz="0" w:space="0" w:color="auto"/>
          </w:divBdr>
        </w:div>
        <w:div w:id="100340624">
          <w:marLeft w:val="640"/>
          <w:marRight w:val="0"/>
          <w:marTop w:val="0"/>
          <w:marBottom w:val="0"/>
          <w:divBdr>
            <w:top w:val="none" w:sz="0" w:space="0" w:color="auto"/>
            <w:left w:val="none" w:sz="0" w:space="0" w:color="auto"/>
            <w:bottom w:val="none" w:sz="0" w:space="0" w:color="auto"/>
            <w:right w:val="none" w:sz="0" w:space="0" w:color="auto"/>
          </w:divBdr>
        </w:div>
        <w:div w:id="1958100960">
          <w:marLeft w:val="640"/>
          <w:marRight w:val="0"/>
          <w:marTop w:val="0"/>
          <w:marBottom w:val="0"/>
          <w:divBdr>
            <w:top w:val="none" w:sz="0" w:space="0" w:color="auto"/>
            <w:left w:val="none" w:sz="0" w:space="0" w:color="auto"/>
            <w:bottom w:val="none" w:sz="0" w:space="0" w:color="auto"/>
            <w:right w:val="none" w:sz="0" w:space="0" w:color="auto"/>
          </w:divBdr>
        </w:div>
        <w:div w:id="1526289785">
          <w:marLeft w:val="640"/>
          <w:marRight w:val="0"/>
          <w:marTop w:val="0"/>
          <w:marBottom w:val="0"/>
          <w:divBdr>
            <w:top w:val="none" w:sz="0" w:space="0" w:color="auto"/>
            <w:left w:val="none" w:sz="0" w:space="0" w:color="auto"/>
            <w:bottom w:val="none" w:sz="0" w:space="0" w:color="auto"/>
            <w:right w:val="none" w:sz="0" w:space="0" w:color="auto"/>
          </w:divBdr>
        </w:div>
        <w:div w:id="2109155677">
          <w:marLeft w:val="640"/>
          <w:marRight w:val="0"/>
          <w:marTop w:val="0"/>
          <w:marBottom w:val="0"/>
          <w:divBdr>
            <w:top w:val="none" w:sz="0" w:space="0" w:color="auto"/>
            <w:left w:val="none" w:sz="0" w:space="0" w:color="auto"/>
            <w:bottom w:val="none" w:sz="0" w:space="0" w:color="auto"/>
            <w:right w:val="none" w:sz="0" w:space="0" w:color="auto"/>
          </w:divBdr>
        </w:div>
        <w:div w:id="1396976131">
          <w:marLeft w:val="640"/>
          <w:marRight w:val="0"/>
          <w:marTop w:val="0"/>
          <w:marBottom w:val="0"/>
          <w:divBdr>
            <w:top w:val="none" w:sz="0" w:space="0" w:color="auto"/>
            <w:left w:val="none" w:sz="0" w:space="0" w:color="auto"/>
            <w:bottom w:val="none" w:sz="0" w:space="0" w:color="auto"/>
            <w:right w:val="none" w:sz="0" w:space="0" w:color="auto"/>
          </w:divBdr>
        </w:div>
        <w:div w:id="713886817">
          <w:marLeft w:val="640"/>
          <w:marRight w:val="0"/>
          <w:marTop w:val="0"/>
          <w:marBottom w:val="0"/>
          <w:divBdr>
            <w:top w:val="none" w:sz="0" w:space="0" w:color="auto"/>
            <w:left w:val="none" w:sz="0" w:space="0" w:color="auto"/>
            <w:bottom w:val="none" w:sz="0" w:space="0" w:color="auto"/>
            <w:right w:val="none" w:sz="0" w:space="0" w:color="auto"/>
          </w:divBdr>
        </w:div>
        <w:div w:id="656760372">
          <w:marLeft w:val="640"/>
          <w:marRight w:val="0"/>
          <w:marTop w:val="0"/>
          <w:marBottom w:val="0"/>
          <w:divBdr>
            <w:top w:val="none" w:sz="0" w:space="0" w:color="auto"/>
            <w:left w:val="none" w:sz="0" w:space="0" w:color="auto"/>
            <w:bottom w:val="none" w:sz="0" w:space="0" w:color="auto"/>
            <w:right w:val="none" w:sz="0" w:space="0" w:color="auto"/>
          </w:divBdr>
        </w:div>
        <w:div w:id="263736199">
          <w:marLeft w:val="640"/>
          <w:marRight w:val="0"/>
          <w:marTop w:val="0"/>
          <w:marBottom w:val="0"/>
          <w:divBdr>
            <w:top w:val="none" w:sz="0" w:space="0" w:color="auto"/>
            <w:left w:val="none" w:sz="0" w:space="0" w:color="auto"/>
            <w:bottom w:val="none" w:sz="0" w:space="0" w:color="auto"/>
            <w:right w:val="none" w:sz="0" w:space="0" w:color="auto"/>
          </w:divBdr>
        </w:div>
        <w:div w:id="12997175">
          <w:marLeft w:val="640"/>
          <w:marRight w:val="0"/>
          <w:marTop w:val="0"/>
          <w:marBottom w:val="0"/>
          <w:divBdr>
            <w:top w:val="none" w:sz="0" w:space="0" w:color="auto"/>
            <w:left w:val="none" w:sz="0" w:space="0" w:color="auto"/>
            <w:bottom w:val="none" w:sz="0" w:space="0" w:color="auto"/>
            <w:right w:val="none" w:sz="0" w:space="0" w:color="auto"/>
          </w:divBdr>
        </w:div>
        <w:div w:id="747191923">
          <w:marLeft w:val="640"/>
          <w:marRight w:val="0"/>
          <w:marTop w:val="0"/>
          <w:marBottom w:val="0"/>
          <w:divBdr>
            <w:top w:val="none" w:sz="0" w:space="0" w:color="auto"/>
            <w:left w:val="none" w:sz="0" w:space="0" w:color="auto"/>
            <w:bottom w:val="none" w:sz="0" w:space="0" w:color="auto"/>
            <w:right w:val="none" w:sz="0" w:space="0" w:color="auto"/>
          </w:divBdr>
        </w:div>
        <w:div w:id="790779342">
          <w:marLeft w:val="640"/>
          <w:marRight w:val="0"/>
          <w:marTop w:val="0"/>
          <w:marBottom w:val="0"/>
          <w:divBdr>
            <w:top w:val="none" w:sz="0" w:space="0" w:color="auto"/>
            <w:left w:val="none" w:sz="0" w:space="0" w:color="auto"/>
            <w:bottom w:val="none" w:sz="0" w:space="0" w:color="auto"/>
            <w:right w:val="none" w:sz="0" w:space="0" w:color="auto"/>
          </w:divBdr>
        </w:div>
        <w:div w:id="298996547">
          <w:marLeft w:val="640"/>
          <w:marRight w:val="0"/>
          <w:marTop w:val="0"/>
          <w:marBottom w:val="0"/>
          <w:divBdr>
            <w:top w:val="none" w:sz="0" w:space="0" w:color="auto"/>
            <w:left w:val="none" w:sz="0" w:space="0" w:color="auto"/>
            <w:bottom w:val="none" w:sz="0" w:space="0" w:color="auto"/>
            <w:right w:val="none" w:sz="0" w:space="0" w:color="auto"/>
          </w:divBdr>
        </w:div>
        <w:div w:id="504827941">
          <w:marLeft w:val="640"/>
          <w:marRight w:val="0"/>
          <w:marTop w:val="0"/>
          <w:marBottom w:val="0"/>
          <w:divBdr>
            <w:top w:val="none" w:sz="0" w:space="0" w:color="auto"/>
            <w:left w:val="none" w:sz="0" w:space="0" w:color="auto"/>
            <w:bottom w:val="none" w:sz="0" w:space="0" w:color="auto"/>
            <w:right w:val="none" w:sz="0" w:space="0" w:color="auto"/>
          </w:divBdr>
        </w:div>
        <w:div w:id="54936566">
          <w:marLeft w:val="640"/>
          <w:marRight w:val="0"/>
          <w:marTop w:val="0"/>
          <w:marBottom w:val="0"/>
          <w:divBdr>
            <w:top w:val="none" w:sz="0" w:space="0" w:color="auto"/>
            <w:left w:val="none" w:sz="0" w:space="0" w:color="auto"/>
            <w:bottom w:val="none" w:sz="0" w:space="0" w:color="auto"/>
            <w:right w:val="none" w:sz="0" w:space="0" w:color="auto"/>
          </w:divBdr>
        </w:div>
        <w:div w:id="1876112582">
          <w:marLeft w:val="640"/>
          <w:marRight w:val="0"/>
          <w:marTop w:val="0"/>
          <w:marBottom w:val="0"/>
          <w:divBdr>
            <w:top w:val="none" w:sz="0" w:space="0" w:color="auto"/>
            <w:left w:val="none" w:sz="0" w:space="0" w:color="auto"/>
            <w:bottom w:val="none" w:sz="0" w:space="0" w:color="auto"/>
            <w:right w:val="none" w:sz="0" w:space="0" w:color="auto"/>
          </w:divBdr>
        </w:div>
        <w:div w:id="1990396441">
          <w:marLeft w:val="640"/>
          <w:marRight w:val="0"/>
          <w:marTop w:val="0"/>
          <w:marBottom w:val="0"/>
          <w:divBdr>
            <w:top w:val="none" w:sz="0" w:space="0" w:color="auto"/>
            <w:left w:val="none" w:sz="0" w:space="0" w:color="auto"/>
            <w:bottom w:val="none" w:sz="0" w:space="0" w:color="auto"/>
            <w:right w:val="none" w:sz="0" w:space="0" w:color="auto"/>
          </w:divBdr>
        </w:div>
        <w:div w:id="951857799">
          <w:marLeft w:val="640"/>
          <w:marRight w:val="0"/>
          <w:marTop w:val="0"/>
          <w:marBottom w:val="0"/>
          <w:divBdr>
            <w:top w:val="none" w:sz="0" w:space="0" w:color="auto"/>
            <w:left w:val="none" w:sz="0" w:space="0" w:color="auto"/>
            <w:bottom w:val="none" w:sz="0" w:space="0" w:color="auto"/>
            <w:right w:val="none" w:sz="0" w:space="0" w:color="auto"/>
          </w:divBdr>
        </w:div>
        <w:div w:id="1843469442">
          <w:marLeft w:val="640"/>
          <w:marRight w:val="0"/>
          <w:marTop w:val="0"/>
          <w:marBottom w:val="0"/>
          <w:divBdr>
            <w:top w:val="none" w:sz="0" w:space="0" w:color="auto"/>
            <w:left w:val="none" w:sz="0" w:space="0" w:color="auto"/>
            <w:bottom w:val="none" w:sz="0" w:space="0" w:color="auto"/>
            <w:right w:val="none" w:sz="0" w:space="0" w:color="auto"/>
          </w:divBdr>
        </w:div>
        <w:div w:id="1443039504">
          <w:marLeft w:val="640"/>
          <w:marRight w:val="0"/>
          <w:marTop w:val="0"/>
          <w:marBottom w:val="0"/>
          <w:divBdr>
            <w:top w:val="none" w:sz="0" w:space="0" w:color="auto"/>
            <w:left w:val="none" w:sz="0" w:space="0" w:color="auto"/>
            <w:bottom w:val="none" w:sz="0" w:space="0" w:color="auto"/>
            <w:right w:val="none" w:sz="0" w:space="0" w:color="auto"/>
          </w:divBdr>
        </w:div>
        <w:div w:id="893005204">
          <w:marLeft w:val="640"/>
          <w:marRight w:val="0"/>
          <w:marTop w:val="0"/>
          <w:marBottom w:val="0"/>
          <w:divBdr>
            <w:top w:val="none" w:sz="0" w:space="0" w:color="auto"/>
            <w:left w:val="none" w:sz="0" w:space="0" w:color="auto"/>
            <w:bottom w:val="none" w:sz="0" w:space="0" w:color="auto"/>
            <w:right w:val="none" w:sz="0" w:space="0" w:color="auto"/>
          </w:divBdr>
        </w:div>
        <w:div w:id="1148210567">
          <w:marLeft w:val="640"/>
          <w:marRight w:val="0"/>
          <w:marTop w:val="0"/>
          <w:marBottom w:val="0"/>
          <w:divBdr>
            <w:top w:val="none" w:sz="0" w:space="0" w:color="auto"/>
            <w:left w:val="none" w:sz="0" w:space="0" w:color="auto"/>
            <w:bottom w:val="none" w:sz="0" w:space="0" w:color="auto"/>
            <w:right w:val="none" w:sz="0" w:space="0" w:color="auto"/>
          </w:divBdr>
        </w:div>
        <w:div w:id="468011673">
          <w:marLeft w:val="640"/>
          <w:marRight w:val="0"/>
          <w:marTop w:val="0"/>
          <w:marBottom w:val="0"/>
          <w:divBdr>
            <w:top w:val="none" w:sz="0" w:space="0" w:color="auto"/>
            <w:left w:val="none" w:sz="0" w:space="0" w:color="auto"/>
            <w:bottom w:val="none" w:sz="0" w:space="0" w:color="auto"/>
            <w:right w:val="none" w:sz="0" w:space="0" w:color="auto"/>
          </w:divBdr>
        </w:div>
        <w:div w:id="1536500884">
          <w:marLeft w:val="640"/>
          <w:marRight w:val="0"/>
          <w:marTop w:val="0"/>
          <w:marBottom w:val="0"/>
          <w:divBdr>
            <w:top w:val="none" w:sz="0" w:space="0" w:color="auto"/>
            <w:left w:val="none" w:sz="0" w:space="0" w:color="auto"/>
            <w:bottom w:val="none" w:sz="0" w:space="0" w:color="auto"/>
            <w:right w:val="none" w:sz="0" w:space="0" w:color="auto"/>
          </w:divBdr>
        </w:div>
        <w:div w:id="1668704326">
          <w:marLeft w:val="640"/>
          <w:marRight w:val="0"/>
          <w:marTop w:val="0"/>
          <w:marBottom w:val="0"/>
          <w:divBdr>
            <w:top w:val="none" w:sz="0" w:space="0" w:color="auto"/>
            <w:left w:val="none" w:sz="0" w:space="0" w:color="auto"/>
            <w:bottom w:val="none" w:sz="0" w:space="0" w:color="auto"/>
            <w:right w:val="none" w:sz="0" w:space="0" w:color="auto"/>
          </w:divBdr>
        </w:div>
        <w:div w:id="1981694327">
          <w:marLeft w:val="640"/>
          <w:marRight w:val="0"/>
          <w:marTop w:val="0"/>
          <w:marBottom w:val="0"/>
          <w:divBdr>
            <w:top w:val="none" w:sz="0" w:space="0" w:color="auto"/>
            <w:left w:val="none" w:sz="0" w:space="0" w:color="auto"/>
            <w:bottom w:val="none" w:sz="0" w:space="0" w:color="auto"/>
            <w:right w:val="none" w:sz="0" w:space="0" w:color="auto"/>
          </w:divBdr>
        </w:div>
        <w:div w:id="1532835517">
          <w:marLeft w:val="640"/>
          <w:marRight w:val="0"/>
          <w:marTop w:val="0"/>
          <w:marBottom w:val="0"/>
          <w:divBdr>
            <w:top w:val="none" w:sz="0" w:space="0" w:color="auto"/>
            <w:left w:val="none" w:sz="0" w:space="0" w:color="auto"/>
            <w:bottom w:val="none" w:sz="0" w:space="0" w:color="auto"/>
            <w:right w:val="none" w:sz="0" w:space="0" w:color="auto"/>
          </w:divBdr>
        </w:div>
        <w:div w:id="1429622839">
          <w:marLeft w:val="640"/>
          <w:marRight w:val="0"/>
          <w:marTop w:val="0"/>
          <w:marBottom w:val="0"/>
          <w:divBdr>
            <w:top w:val="none" w:sz="0" w:space="0" w:color="auto"/>
            <w:left w:val="none" w:sz="0" w:space="0" w:color="auto"/>
            <w:bottom w:val="none" w:sz="0" w:space="0" w:color="auto"/>
            <w:right w:val="none" w:sz="0" w:space="0" w:color="auto"/>
          </w:divBdr>
        </w:div>
        <w:div w:id="1764111904">
          <w:marLeft w:val="640"/>
          <w:marRight w:val="0"/>
          <w:marTop w:val="0"/>
          <w:marBottom w:val="0"/>
          <w:divBdr>
            <w:top w:val="none" w:sz="0" w:space="0" w:color="auto"/>
            <w:left w:val="none" w:sz="0" w:space="0" w:color="auto"/>
            <w:bottom w:val="none" w:sz="0" w:space="0" w:color="auto"/>
            <w:right w:val="none" w:sz="0" w:space="0" w:color="auto"/>
          </w:divBdr>
        </w:div>
        <w:div w:id="1083839390">
          <w:marLeft w:val="640"/>
          <w:marRight w:val="0"/>
          <w:marTop w:val="0"/>
          <w:marBottom w:val="0"/>
          <w:divBdr>
            <w:top w:val="none" w:sz="0" w:space="0" w:color="auto"/>
            <w:left w:val="none" w:sz="0" w:space="0" w:color="auto"/>
            <w:bottom w:val="none" w:sz="0" w:space="0" w:color="auto"/>
            <w:right w:val="none" w:sz="0" w:space="0" w:color="auto"/>
          </w:divBdr>
        </w:div>
        <w:div w:id="1829393544">
          <w:marLeft w:val="640"/>
          <w:marRight w:val="0"/>
          <w:marTop w:val="0"/>
          <w:marBottom w:val="0"/>
          <w:divBdr>
            <w:top w:val="none" w:sz="0" w:space="0" w:color="auto"/>
            <w:left w:val="none" w:sz="0" w:space="0" w:color="auto"/>
            <w:bottom w:val="none" w:sz="0" w:space="0" w:color="auto"/>
            <w:right w:val="none" w:sz="0" w:space="0" w:color="auto"/>
          </w:divBdr>
        </w:div>
        <w:div w:id="772629811">
          <w:marLeft w:val="640"/>
          <w:marRight w:val="0"/>
          <w:marTop w:val="0"/>
          <w:marBottom w:val="0"/>
          <w:divBdr>
            <w:top w:val="none" w:sz="0" w:space="0" w:color="auto"/>
            <w:left w:val="none" w:sz="0" w:space="0" w:color="auto"/>
            <w:bottom w:val="none" w:sz="0" w:space="0" w:color="auto"/>
            <w:right w:val="none" w:sz="0" w:space="0" w:color="auto"/>
          </w:divBdr>
        </w:div>
        <w:div w:id="1013528269">
          <w:marLeft w:val="640"/>
          <w:marRight w:val="0"/>
          <w:marTop w:val="0"/>
          <w:marBottom w:val="0"/>
          <w:divBdr>
            <w:top w:val="none" w:sz="0" w:space="0" w:color="auto"/>
            <w:left w:val="none" w:sz="0" w:space="0" w:color="auto"/>
            <w:bottom w:val="none" w:sz="0" w:space="0" w:color="auto"/>
            <w:right w:val="none" w:sz="0" w:space="0" w:color="auto"/>
          </w:divBdr>
        </w:div>
        <w:div w:id="1993441033">
          <w:marLeft w:val="640"/>
          <w:marRight w:val="0"/>
          <w:marTop w:val="0"/>
          <w:marBottom w:val="0"/>
          <w:divBdr>
            <w:top w:val="none" w:sz="0" w:space="0" w:color="auto"/>
            <w:left w:val="none" w:sz="0" w:space="0" w:color="auto"/>
            <w:bottom w:val="none" w:sz="0" w:space="0" w:color="auto"/>
            <w:right w:val="none" w:sz="0" w:space="0" w:color="auto"/>
          </w:divBdr>
        </w:div>
        <w:div w:id="1148134506">
          <w:marLeft w:val="640"/>
          <w:marRight w:val="0"/>
          <w:marTop w:val="0"/>
          <w:marBottom w:val="0"/>
          <w:divBdr>
            <w:top w:val="none" w:sz="0" w:space="0" w:color="auto"/>
            <w:left w:val="none" w:sz="0" w:space="0" w:color="auto"/>
            <w:bottom w:val="none" w:sz="0" w:space="0" w:color="auto"/>
            <w:right w:val="none" w:sz="0" w:space="0" w:color="auto"/>
          </w:divBdr>
        </w:div>
        <w:div w:id="2057044707">
          <w:marLeft w:val="640"/>
          <w:marRight w:val="0"/>
          <w:marTop w:val="0"/>
          <w:marBottom w:val="0"/>
          <w:divBdr>
            <w:top w:val="none" w:sz="0" w:space="0" w:color="auto"/>
            <w:left w:val="none" w:sz="0" w:space="0" w:color="auto"/>
            <w:bottom w:val="none" w:sz="0" w:space="0" w:color="auto"/>
            <w:right w:val="none" w:sz="0" w:space="0" w:color="auto"/>
          </w:divBdr>
        </w:div>
        <w:div w:id="978801753">
          <w:marLeft w:val="640"/>
          <w:marRight w:val="0"/>
          <w:marTop w:val="0"/>
          <w:marBottom w:val="0"/>
          <w:divBdr>
            <w:top w:val="none" w:sz="0" w:space="0" w:color="auto"/>
            <w:left w:val="none" w:sz="0" w:space="0" w:color="auto"/>
            <w:bottom w:val="none" w:sz="0" w:space="0" w:color="auto"/>
            <w:right w:val="none" w:sz="0" w:space="0" w:color="auto"/>
          </w:divBdr>
        </w:div>
        <w:div w:id="2005275170">
          <w:marLeft w:val="640"/>
          <w:marRight w:val="0"/>
          <w:marTop w:val="0"/>
          <w:marBottom w:val="0"/>
          <w:divBdr>
            <w:top w:val="none" w:sz="0" w:space="0" w:color="auto"/>
            <w:left w:val="none" w:sz="0" w:space="0" w:color="auto"/>
            <w:bottom w:val="none" w:sz="0" w:space="0" w:color="auto"/>
            <w:right w:val="none" w:sz="0" w:space="0" w:color="auto"/>
          </w:divBdr>
        </w:div>
        <w:div w:id="37630540">
          <w:marLeft w:val="640"/>
          <w:marRight w:val="0"/>
          <w:marTop w:val="0"/>
          <w:marBottom w:val="0"/>
          <w:divBdr>
            <w:top w:val="none" w:sz="0" w:space="0" w:color="auto"/>
            <w:left w:val="none" w:sz="0" w:space="0" w:color="auto"/>
            <w:bottom w:val="none" w:sz="0" w:space="0" w:color="auto"/>
            <w:right w:val="none" w:sz="0" w:space="0" w:color="auto"/>
          </w:divBdr>
        </w:div>
        <w:div w:id="1550259708">
          <w:marLeft w:val="640"/>
          <w:marRight w:val="0"/>
          <w:marTop w:val="0"/>
          <w:marBottom w:val="0"/>
          <w:divBdr>
            <w:top w:val="none" w:sz="0" w:space="0" w:color="auto"/>
            <w:left w:val="none" w:sz="0" w:space="0" w:color="auto"/>
            <w:bottom w:val="none" w:sz="0" w:space="0" w:color="auto"/>
            <w:right w:val="none" w:sz="0" w:space="0" w:color="auto"/>
          </w:divBdr>
        </w:div>
        <w:div w:id="8995766">
          <w:marLeft w:val="640"/>
          <w:marRight w:val="0"/>
          <w:marTop w:val="0"/>
          <w:marBottom w:val="0"/>
          <w:divBdr>
            <w:top w:val="none" w:sz="0" w:space="0" w:color="auto"/>
            <w:left w:val="none" w:sz="0" w:space="0" w:color="auto"/>
            <w:bottom w:val="none" w:sz="0" w:space="0" w:color="auto"/>
            <w:right w:val="none" w:sz="0" w:space="0" w:color="auto"/>
          </w:divBdr>
        </w:div>
        <w:div w:id="41441727">
          <w:marLeft w:val="640"/>
          <w:marRight w:val="0"/>
          <w:marTop w:val="0"/>
          <w:marBottom w:val="0"/>
          <w:divBdr>
            <w:top w:val="none" w:sz="0" w:space="0" w:color="auto"/>
            <w:left w:val="none" w:sz="0" w:space="0" w:color="auto"/>
            <w:bottom w:val="none" w:sz="0" w:space="0" w:color="auto"/>
            <w:right w:val="none" w:sz="0" w:space="0" w:color="auto"/>
          </w:divBdr>
        </w:div>
        <w:div w:id="117189420">
          <w:marLeft w:val="640"/>
          <w:marRight w:val="0"/>
          <w:marTop w:val="0"/>
          <w:marBottom w:val="0"/>
          <w:divBdr>
            <w:top w:val="none" w:sz="0" w:space="0" w:color="auto"/>
            <w:left w:val="none" w:sz="0" w:space="0" w:color="auto"/>
            <w:bottom w:val="none" w:sz="0" w:space="0" w:color="auto"/>
            <w:right w:val="none" w:sz="0" w:space="0" w:color="auto"/>
          </w:divBdr>
        </w:div>
        <w:div w:id="825626735">
          <w:marLeft w:val="640"/>
          <w:marRight w:val="0"/>
          <w:marTop w:val="0"/>
          <w:marBottom w:val="0"/>
          <w:divBdr>
            <w:top w:val="none" w:sz="0" w:space="0" w:color="auto"/>
            <w:left w:val="none" w:sz="0" w:space="0" w:color="auto"/>
            <w:bottom w:val="none" w:sz="0" w:space="0" w:color="auto"/>
            <w:right w:val="none" w:sz="0" w:space="0" w:color="auto"/>
          </w:divBdr>
        </w:div>
        <w:div w:id="636954061">
          <w:marLeft w:val="640"/>
          <w:marRight w:val="0"/>
          <w:marTop w:val="0"/>
          <w:marBottom w:val="0"/>
          <w:divBdr>
            <w:top w:val="none" w:sz="0" w:space="0" w:color="auto"/>
            <w:left w:val="none" w:sz="0" w:space="0" w:color="auto"/>
            <w:bottom w:val="none" w:sz="0" w:space="0" w:color="auto"/>
            <w:right w:val="none" w:sz="0" w:space="0" w:color="auto"/>
          </w:divBdr>
        </w:div>
        <w:div w:id="329717741">
          <w:marLeft w:val="640"/>
          <w:marRight w:val="0"/>
          <w:marTop w:val="0"/>
          <w:marBottom w:val="0"/>
          <w:divBdr>
            <w:top w:val="none" w:sz="0" w:space="0" w:color="auto"/>
            <w:left w:val="none" w:sz="0" w:space="0" w:color="auto"/>
            <w:bottom w:val="none" w:sz="0" w:space="0" w:color="auto"/>
            <w:right w:val="none" w:sz="0" w:space="0" w:color="auto"/>
          </w:divBdr>
        </w:div>
        <w:div w:id="242110691">
          <w:marLeft w:val="640"/>
          <w:marRight w:val="0"/>
          <w:marTop w:val="0"/>
          <w:marBottom w:val="0"/>
          <w:divBdr>
            <w:top w:val="none" w:sz="0" w:space="0" w:color="auto"/>
            <w:left w:val="none" w:sz="0" w:space="0" w:color="auto"/>
            <w:bottom w:val="none" w:sz="0" w:space="0" w:color="auto"/>
            <w:right w:val="none" w:sz="0" w:space="0" w:color="auto"/>
          </w:divBdr>
        </w:div>
        <w:div w:id="2017733665">
          <w:marLeft w:val="640"/>
          <w:marRight w:val="0"/>
          <w:marTop w:val="0"/>
          <w:marBottom w:val="0"/>
          <w:divBdr>
            <w:top w:val="none" w:sz="0" w:space="0" w:color="auto"/>
            <w:left w:val="none" w:sz="0" w:space="0" w:color="auto"/>
            <w:bottom w:val="none" w:sz="0" w:space="0" w:color="auto"/>
            <w:right w:val="none" w:sz="0" w:space="0" w:color="auto"/>
          </w:divBdr>
        </w:div>
        <w:div w:id="172915605">
          <w:marLeft w:val="640"/>
          <w:marRight w:val="0"/>
          <w:marTop w:val="0"/>
          <w:marBottom w:val="0"/>
          <w:divBdr>
            <w:top w:val="none" w:sz="0" w:space="0" w:color="auto"/>
            <w:left w:val="none" w:sz="0" w:space="0" w:color="auto"/>
            <w:bottom w:val="none" w:sz="0" w:space="0" w:color="auto"/>
            <w:right w:val="none" w:sz="0" w:space="0" w:color="auto"/>
          </w:divBdr>
        </w:div>
        <w:div w:id="1597666932">
          <w:marLeft w:val="640"/>
          <w:marRight w:val="0"/>
          <w:marTop w:val="0"/>
          <w:marBottom w:val="0"/>
          <w:divBdr>
            <w:top w:val="none" w:sz="0" w:space="0" w:color="auto"/>
            <w:left w:val="none" w:sz="0" w:space="0" w:color="auto"/>
            <w:bottom w:val="none" w:sz="0" w:space="0" w:color="auto"/>
            <w:right w:val="none" w:sz="0" w:space="0" w:color="auto"/>
          </w:divBdr>
        </w:div>
        <w:div w:id="501895931">
          <w:marLeft w:val="640"/>
          <w:marRight w:val="0"/>
          <w:marTop w:val="0"/>
          <w:marBottom w:val="0"/>
          <w:divBdr>
            <w:top w:val="none" w:sz="0" w:space="0" w:color="auto"/>
            <w:left w:val="none" w:sz="0" w:space="0" w:color="auto"/>
            <w:bottom w:val="none" w:sz="0" w:space="0" w:color="auto"/>
            <w:right w:val="none" w:sz="0" w:space="0" w:color="auto"/>
          </w:divBdr>
        </w:div>
        <w:div w:id="772243155">
          <w:marLeft w:val="640"/>
          <w:marRight w:val="0"/>
          <w:marTop w:val="0"/>
          <w:marBottom w:val="0"/>
          <w:divBdr>
            <w:top w:val="none" w:sz="0" w:space="0" w:color="auto"/>
            <w:left w:val="none" w:sz="0" w:space="0" w:color="auto"/>
            <w:bottom w:val="none" w:sz="0" w:space="0" w:color="auto"/>
            <w:right w:val="none" w:sz="0" w:space="0" w:color="auto"/>
          </w:divBdr>
        </w:div>
        <w:div w:id="2133357958">
          <w:marLeft w:val="640"/>
          <w:marRight w:val="0"/>
          <w:marTop w:val="0"/>
          <w:marBottom w:val="0"/>
          <w:divBdr>
            <w:top w:val="none" w:sz="0" w:space="0" w:color="auto"/>
            <w:left w:val="none" w:sz="0" w:space="0" w:color="auto"/>
            <w:bottom w:val="none" w:sz="0" w:space="0" w:color="auto"/>
            <w:right w:val="none" w:sz="0" w:space="0" w:color="auto"/>
          </w:divBdr>
        </w:div>
        <w:div w:id="937837370">
          <w:marLeft w:val="640"/>
          <w:marRight w:val="0"/>
          <w:marTop w:val="0"/>
          <w:marBottom w:val="0"/>
          <w:divBdr>
            <w:top w:val="none" w:sz="0" w:space="0" w:color="auto"/>
            <w:left w:val="none" w:sz="0" w:space="0" w:color="auto"/>
            <w:bottom w:val="none" w:sz="0" w:space="0" w:color="auto"/>
            <w:right w:val="none" w:sz="0" w:space="0" w:color="auto"/>
          </w:divBdr>
        </w:div>
        <w:div w:id="905408831">
          <w:marLeft w:val="640"/>
          <w:marRight w:val="0"/>
          <w:marTop w:val="0"/>
          <w:marBottom w:val="0"/>
          <w:divBdr>
            <w:top w:val="none" w:sz="0" w:space="0" w:color="auto"/>
            <w:left w:val="none" w:sz="0" w:space="0" w:color="auto"/>
            <w:bottom w:val="none" w:sz="0" w:space="0" w:color="auto"/>
            <w:right w:val="none" w:sz="0" w:space="0" w:color="auto"/>
          </w:divBdr>
        </w:div>
        <w:div w:id="558058471">
          <w:marLeft w:val="640"/>
          <w:marRight w:val="0"/>
          <w:marTop w:val="0"/>
          <w:marBottom w:val="0"/>
          <w:divBdr>
            <w:top w:val="none" w:sz="0" w:space="0" w:color="auto"/>
            <w:left w:val="none" w:sz="0" w:space="0" w:color="auto"/>
            <w:bottom w:val="none" w:sz="0" w:space="0" w:color="auto"/>
            <w:right w:val="none" w:sz="0" w:space="0" w:color="auto"/>
          </w:divBdr>
        </w:div>
        <w:div w:id="462966070">
          <w:marLeft w:val="640"/>
          <w:marRight w:val="0"/>
          <w:marTop w:val="0"/>
          <w:marBottom w:val="0"/>
          <w:divBdr>
            <w:top w:val="none" w:sz="0" w:space="0" w:color="auto"/>
            <w:left w:val="none" w:sz="0" w:space="0" w:color="auto"/>
            <w:bottom w:val="none" w:sz="0" w:space="0" w:color="auto"/>
            <w:right w:val="none" w:sz="0" w:space="0" w:color="auto"/>
          </w:divBdr>
        </w:div>
        <w:div w:id="1426533135">
          <w:marLeft w:val="640"/>
          <w:marRight w:val="0"/>
          <w:marTop w:val="0"/>
          <w:marBottom w:val="0"/>
          <w:divBdr>
            <w:top w:val="none" w:sz="0" w:space="0" w:color="auto"/>
            <w:left w:val="none" w:sz="0" w:space="0" w:color="auto"/>
            <w:bottom w:val="none" w:sz="0" w:space="0" w:color="auto"/>
            <w:right w:val="none" w:sz="0" w:space="0" w:color="auto"/>
          </w:divBdr>
        </w:div>
        <w:div w:id="1033000828">
          <w:marLeft w:val="640"/>
          <w:marRight w:val="0"/>
          <w:marTop w:val="0"/>
          <w:marBottom w:val="0"/>
          <w:divBdr>
            <w:top w:val="none" w:sz="0" w:space="0" w:color="auto"/>
            <w:left w:val="none" w:sz="0" w:space="0" w:color="auto"/>
            <w:bottom w:val="none" w:sz="0" w:space="0" w:color="auto"/>
            <w:right w:val="none" w:sz="0" w:space="0" w:color="auto"/>
          </w:divBdr>
        </w:div>
        <w:div w:id="1780293286">
          <w:marLeft w:val="640"/>
          <w:marRight w:val="0"/>
          <w:marTop w:val="0"/>
          <w:marBottom w:val="0"/>
          <w:divBdr>
            <w:top w:val="none" w:sz="0" w:space="0" w:color="auto"/>
            <w:left w:val="none" w:sz="0" w:space="0" w:color="auto"/>
            <w:bottom w:val="none" w:sz="0" w:space="0" w:color="auto"/>
            <w:right w:val="none" w:sz="0" w:space="0" w:color="auto"/>
          </w:divBdr>
        </w:div>
        <w:div w:id="890075202">
          <w:marLeft w:val="640"/>
          <w:marRight w:val="0"/>
          <w:marTop w:val="0"/>
          <w:marBottom w:val="0"/>
          <w:divBdr>
            <w:top w:val="none" w:sz="0" w:space="0" w:color="auto"/>
            <w:left w:val="none" w:sz="0" w:space="0" w:color="auto"/>
            <w:bottom w:val="none" w:sz="0" w:space="0" w:color="auto"/>
            <w:right w:val="none" w:sz="0" w:space="0" w:color="auto"/>
          </w:divBdr>
        </w:div>
        <w:div w:id="773941577">
          <w:marLeft w:val="640"/>
          <w:marRight w:val="0"/>
          <w:marTop w:val="0"/>
          <w:marBottom w:val="0"/>
          <w:divBdr>
            <w:top w:val="none" w:sz="0" w:space="0" w:color="auto"/>
            <w:left w:val="none" w:sz="0" w:space="0" w:color="auto"/>
            <w:bottom w:val="none" w:sz="0" w:space="0" w:color="auto"/>
            <w:right w:val="none" w:sz="0" w:space="0" w:color="auto"/>
          </w:divBdr>
        </w:div>
        <w:div w:id="1172989446">
          <w:marLeft w:val="640"/>
          <w:marRight w:val="0"/>
          <w:marTop w:val="0"/>
          <w:marBottom w:val="0"/>
          <w:divBdr>
            <w:top w:val="none" w:sz="0" w:space="0" w:color="auto"/>
            <w:left w:val="none" w:sz="0" w:space="0" w:color="auto"/>
            <w:bottom w:val="none" w:sz="0" w:space="0" w:color="auto"/>
            <w:right w:val="none" w:sz="0" w:space="0" w:color="auto"/>
          </w:divBdr>
        </w:div>
        <w:div w:id="1202010285">
          <w:marLeft w:val="640"/>
          <w:marRight w:val="0"/>
          <w:marTop w:val="0"/>
          <w:marBottom w:val="0"/>
          <w:divBdr>
            <w:top w:val="none" w:sz="0" w:space="0" w:color="auto"/>
            <w:left w:val="none" w:sz="0" w:space="0" w:color="auto"/>
            <w:bottom w:val="none" w:sz="0" w:space="0" w:color="auto"/>
            <w:right w:val="none" w:sz="0" w:space="0" w:color="auto"/>
          </w:divBdr>
        </w:div>
        <w:div w:id="1489177179">
          <w:marLeft w:val="640"/>
          <w:marRight w:val="0"/>
          <w:marTop w:val="0"/>
          <w:marBottom w:val="0"/>
          <w:divBdr>
            <w:top w:val="none" w:sz="0" w:space="0" w:color="auto"/>
            <w:left w:val="none" w:sz="0" w:space="0" w:color="auto"/>
            <w:bottom w:val="none" w:sz="0" w:space="0" w:color="auto"/>
            <w:right w:val="none" w:sz="0" w:space="0" w:color="auto"/>
          </w:divBdr>
        </w:div>
        <w:div w:id="619073845">
          <w:marLeft w:val="640"/>
          <w:marRight w:val="0"/>
          <w:marTop w:val="0"/>
          <w:marBottom w:val="0"/>
          <w:divBdr>
            <w:top w:val="none" w:sz="0" w:space="0" w:color="auto"/>
            <w:left w:val="none" w:sz="0" w:space="0" w:color="auto"/>
            <w:bottom w:val="none" w:sz="0" w:space="0" w:color="auto"/>
            <w:right w:val="none" w:sz="0" w:space="0" w:color="auto"/>
          </w:divBdr>
        </w:div>
        <w:div w:id="805438253">
          <w:marLeft w:val="640"/>
          <w:marRight w:val="0"/>
          <w:marTop w:val="0"/>
          <w:marBottom w:val="0"/>
          <w:divBdr>
            <w:top w:val="none" w:sz="0" w:space="0" w:color="auto"/>
            <w:left w:val="none" w:sz="0" w:space="0" w:color="auto"/>
            <w:bottom w:val="none" w:sz="0" w:space="0" w:color="auto"/>
            <w:right w:val="none" w:sz="0" w:space="0" w:color="auto"/>
          </w:divBdr>
        </w:div>
        <w:div w:id="381292118">
          <w:marLeft w:val="640"/>
          <w:marRight w:val="0"/>
          <w:marTop w:val="0"/>
          <w:marBottom w:val="0"/>
          <w:divBdr>
            <w:top w:val="none" w:sz="0" w:space="0" w:color="auto"/>
            <w:left w:val="none" w:sz="0" w:space="0" w:color="auto"/>
            <w:bottom w:val="none" w:sz="0" w:space="0" w:color="auto"/>
            <w:right w:val="none" w:sz="0" w:space="0" w:color="auto"/>
          </w:divBdr>
        </w:div>
        <w:div w:id="2141531620">
          <w:marLeft w:val="640"/>
          <w:marRight w:val="0"/>
          <w:marTop w:val="0"/>
          <w:marBottom w:val="0"/>
          <w:divBdr>
            <w:top w:val="none" w:sz="0" w:space="0" w:color="auto"/>
            <w:left w:val="none" w:sz="0" w:space="0" w:color="auto"/>
            <w:bottom w:val="none" w:sz="0" w:space="0" w:color="auto"/>
            <w:right w:val="none" w:sz="0" w:space="0" w:color="auto"/>
          </w:divBdr>
        </w:div>
        <w:div w:id="1219973678">
          <w:marLeft w:val="640"/>
          <w:marRight w:val="0"/>
          <w:marTop w:val="0"/>
          <w:marBottom w:val="0"/>
          <w:divBdr>
            <w:top w:val="none" w:sz="0" w:space="0" w:color="auto"/>
            <w:left w:val="none" w:sz="0" w:space="0" w:color="auto"/>
            <w:bottom w:val="none" w:sz="0" w:space="0" w:color="auto"/>
            <w:right w:val="none" w:sz="0" w:space="0" w:color="auto"/>
          </w:divBdr>
        </w:div>
        <w:div w:id="1547371367">
          <w:marLeft w:val="640"/>
          <w:marRight w:val="0"/>
          <w:marTop w:val="0"/>
          <w:marBottom w:val="0"/>
          <w:divBdr>
            <w:top w:val="none" w:sz="0" w:space="0" w:color="auto"/>
            <w:left w:val="none" w:sz="0" w:space="0" w:color="auto"/>
            <w:bottom w:val="none" w:sz="0" w:space="0" w:color="auto"/>
            <w:right w:val="none" w:sz="0" w:space="0" w:color="auto"/>
          </w:divBdr>
        </w:div>
        <w:div w:id="24253703">
          <w:marLeft w:val="640"/>
          <w:marRight w:val="0"/>
          <w:marTop w:val="0"/>
          <w:marBottom w:val="0"/>
          <w:divBdr>
            <w:top w:val="none" w:sz="0" w:space="0" w:color="auto"/>
            <w:left w:val="none" w:sz="0" w:space="0" w:color="auto"/>
            <w:bottom w:val="none" w:sz="0" w:space="0" w:color="auto"/>
            <w:right w:val="none" w:sz="0" w:space="0" w:color="auto"/>
          </w:divBdr>
        </w:div>
        <w:div w:id="1209683071">
          <w:marLeft w:val="640"/>
          <w:marRight w:val="0"/>
          <w:marTop w:val="0"/>
          <w:marBottom w:val="0"/>
          <w:divBdr>
            <w:top w:val="none" w:sz="0" w:space="0" w:color="auto"/>
            <w:left w:val="none" w:sz="0" w:space="0" w:color="auto"/>
            <w:bottom w:val="none" w:sz="0" w:space="0" w:color="auto"/>
            <w:right w:val="none" w:sz="0" w:space="0" w:color="auto"/>
          </w:divBdr>
        </w:div>
        <w:div w:id="1775860695">
          <w:marLeft w:val="640"/>
          <w:marRight w:val="0"/>
          <w:marTop w:val="0"/>
          <w:marBottom w:val="0"/>
          <w:divBdr>
            <w:top w:val="none" w:sz="0" w:space="0" w:color="auto"/>
            <w:left w:val="none" w:sz="0" w:space="0" w:color="auto"/>
            <w:bottom w:val="none" w:sz="0" w:space="0" w:color="auto"/>
            <w:right w:val="none" w:sz="0" w:space="0" w:color="auto"/>
          </w:divBdr>
        </w:div>
        <w:div w:id="35278369">
          <w:marLeft w:val="640"/>
          <w:marRight w:val="0"/>
          <w:marTop w:val="0"/>
          <w:marBottom w:val="0"/>
          <w:divBdr>
            <w:top w:val="none" w:sz="0" w:space="0" w:color="auto"/>
            <w:left w:val="none" w:sz="0" w:space="0" w:color="auto"/>
            <w:bottom w:val="none" w:sz="0" w:space="0" w:color="auto"/>
            <w:right w:val="none" w:sz="0" w:space="0" w:color="auto"/>
          </w:divBdr>
        </w:div>
        <w:div w:id="1893887909">
          <w:marLeft w:val="640"/>
          <w:marRight w:val="0"/>
          <w:marTop w:val="0"/>
          <w:marBottom w:val="0"/>
          <w:divBdr>
            <w:top w:val="none" w:sz="0" w:space="0" w:color="auto"/>
            <w:left w:val="none" w:sz="0" w:space="0" w:color="auto"/>
            <w:bottom w:val="none" w:sz="0" w:space="0" w:color="auto"/>
            <w:right w:val="none" w:sz="0" w:space="0" w:color="auto"/>
          </w:divBdr>
        </w:div>
        <w:div w:id="1241526504">
          <w:marLeft w:val="640"/>
          <w:marRight w:val="0"/>
          <w:marTop w:val="0"/>
          <w:marBottom w:val="0"/>
          <w:divBdr>
            <w:top w:val="none" w:sz="0" w:space="0" w:color="auto"/>
            <w:left w:val="none" w:sz="0" w:space="0" w:color="auto"/>
            <w:bottom w:val="none" w:sz="0" w:space="0" w:color="auto"/>
            <w:right w:val="none" w:sz="0" w:space="0" w:color="auto"/>
          </w:divBdr>
        </w:div>
        <w:div w:id="1797679555">
          <w:marLeft w:val="640"/>
          <w:marRight w:val="0"/>
          <w:marTop w:val="0"/>
          <w:marBottom w:val="0"/>
          <w:divBdr>
            <w:top w:val="none" w:sz="0" w:space="0" w:color="auto"/>
            <w:left w:val="none" w:sz="0" w:space="0" w:color="auto"/>
            <w:bottom w:val="none" w:sz="0" w:space="0" w:color="auto"/>
            <w:right w:val="none" w:sz="0" w:space="0" w:color="auto"/>
          </w:divBdr>
        </w:div>
        <w:div w:id="1455253215">
          <w:marLeft w:val="640"/>
          <w:marRight w:val="0"/>
          <w:marTop w:val="0"/>
          <w:marBottom w:val="0"/>
          <w:divBdr>
            <w:top w:val="none" w:sz="0" w:space="0" w:color="auto"/>
            <w:left w:val="none" w:sz="0" w:space="0" w:color="auto"/>
            <w:bottom w:val="none" w:sz="0" w:space="0" w:color="auto"/>
            <w:right w:val="none" w:sz="0" w:space="0" w:color="auto"/>
          </w:divBdr>
        </w:div>
        <w:div w:id="1266419342">
          <w:marLeft w:val="640"/>
          <w:marRight w:val="0"/>
          <w:marTop w:val="0"/>
          <w:marBottom w:val="0"/>
          <w:divBdr>
            <w:top w:val="none" w:sz="0" w:space="0" w:color="auto"/>
            <w:left w:val="none" w:sz="0" w:space="0" w:color="auto"/>
            <w:bottom w:val="none" w:sz="0" w:space="0" w:color="auto"/>
            <w:right w:val="none" w:sz="0" w:space="0" w:color="auto"/>
          </w:divBdr>
        </w:div>
        <w:div w:id="352658980">
          <w:marLeft w:val="640"/>
          <w:marRight w:val="0"/>
          <w:marTop w:val="0"/>
          <w:marBottom w:val="0"/>
          <w:divBdr>
            <w:top w:val="none" w:sz="0" w:space="0" w:color="auto"/>
            <w:left w:val="none" w:sz="0" w:space="0" w:color="auto"/>
            <w:bottom w:val="none" w:sz="0" w:space="0" w:color="auto"/>
            <w:right w:val="none" w:sz="0" w:space="0" w:color="auto"/>
          </w:divBdr>
        </w:div>
        <w:div w:id="1922595709">
          <w:marLeft w:val="640"/>
          <w:marRight w:val="0"/>
          <w:marTop w:val="0"/>
          <w:marBottom w:val="0"/>
          <w:divBdr>
            <w:top w:val="none" w:sz="0" w:space="0" w:color="auto"/>
            <w:left w:val="none" w:sz="0" w:space="0" w:color="auto"/>
            <w:bottom w:val="none" w:sz="0" w:space="0" w:color="auto"/>
            <w:right w:val="none" w:sz="0" w:space="0" w:color="auto"/>
          </w:divBdr>
        </w:div>
        <w:div w:id="1410611289">
          <w:marLeft w:val="640"/>
          <w:marRight w:val="0"/>
          <w:marTop w:val="0"/>
          <w:marBottom w:val="0"/>
          <w:divBdr>
            <w:top w:val="none" w:sz="0" w:space="0" w:color="auto"/>
            <w:left w:val="none" w:sz="0" w:space="0" w:color="auto"/>
            <w:bottom w:val="none" w:sz="0" w:space="0" w:color="auto"/>
            <w:right w:val="none" w:sz="0" w:space="0" w:color="auto"/>
          </w:divBdr>
        </w:div>
        <w:div w:id="451675041">
          <w:marLeft w:val="640"/>
          <w:marRight w:val="0"/>
          <w:marTop w:val="0"/>
          <w:marBottom w:val="0"/>
          <w:divBdr>
            <w:top w:val="none" w:sz="0" w:space="0" w:color="auto"/>
            <w:left w:val="none" w:sz="0" w:space="0" w:color="auto"/>
            <w:bottom w:val="none" w:sz="0" w:space="0" w:color="auto"/>
            <w:right w:val="none" w:sz="0" w:space="0" w:color="auto"/>
          </w:divBdr>
        </w:div>
        <w:div w:id="24017367">
          <w:marLeft w:val="640"/>
          <w:marRight w:val="0"/>
          <w:marTop w:val="0"/>
          <w:marBottom w:val="0"/>
          <w:divBdr>
            <w:top w:val="none" w:sz="0" w:space="0" w:color="auto"/>
            <w:left w:val="none" w:sz="0" w:space="0" w:color="auto"/>
            <w:bottom w:val="none" w:sz="0" w:space="0" w:color="auto"/>
            <w:right w:val="none" w:sz="0" w:space="0" w:color="auto"/>
          </w:divBdr>
        </w:div>
        <w:div w:id="1759673696">
          <w:marLeft w:val="640"/>
          <w:marRight w:val="0"/>
          <w:marTop w:val="0"/>
          <w:marBottom w:val="0"/>
          <w:divBdr>
            <w:top w:val="none" w:sz="0" w:space="0" w:color="auto"/>
            <w:left w:val="none" w:sz="0" w:space="0" w:color="auto"/>
            <w:bottom w:val="none" w:sz="0" w:space="0" w:color="auto"/>
            <w:right w:val="none" w:sz="0" w:space="0" w:color="auto"/>
          </w:divBdr>
        </w:div>
        <w:div w:id="284426530">
          <w:marLeft w:val="640"/>
          <w:marRight w:val="0"/>
          <w:marTop w:val="0"/>
          <w:marBottom w:val="0"/>
          <w:divBdr>
            <w:top w:val="none" w:sz="0" w:space="0" w:color="auto"/>
            <w:left w:val="none" w:sz="0" w:space="0" w:color="auto"/>
            <w:bottom w:val="none" w:sz="0" w:space="0" w:color="auto"/>
            <w:right w:val="none" w:sz="0" w:space="0" w:color="auto"/>
          </w:divBdr>
        </w:div>
        <w:div w:id="892545529">
          <w:marLeft w:val="640"/>
          <w:marRight w:val="0"/>
          <w:marTop w:val="0"/>
          <w:marBottom w:val="0"/>
          <w:divBdr>
            <w:top w:val="none" w:sz="0" w:space="0" w:color="auto"/>
            <w:left w:val="none" w:sz="0" w:space="0" w:color="auto"/>
            <w:bottom w:val="none" w:sz="0" w:space="0" w:color="auto"/>
            <w:right w:val="none" w:sz="0" w:space="0" w:color="auto"/>
          </w:divBdr>
        </w:div>
        <w:div w:id="754397911">
          <w:marLeft w:val="640"/>
          <w:marRight w:val="0"/>
          <w:marTop w:val="0"/>
          <w:marBottom w:val="0"/>
          <w:divBdr>
            <w:top w:val="none" w:sz="0" w:space="0" w:color="auto"/>
            <w:left w:val="none" w:sz="0" w:space="0" w:color="auto"/>
            <w:bottom w:val="none" w:sz="0" w:space="0" w:color="auto"/>
            <w:right w:val="none" w:sz="0" w:space="0" w:color="auto"/>
          </w:divBdr>
        </w:div>
        <w:div w:id="432361167">
          <w:marLeft w:val="640"/>
          <w:marRight w:val="0"/>
          <w:marTop w:val="0"/>
          <w:marBottom w:val="0"/>
          <w:divBdr>
            <w:top w:val="none" w:sz="0" w:space="0" w:color="auto"/>
            <w:left w:val="none" w:sz="0" w:space="0" w:color="auto"/>
            <w:bottom w:val="none" w:sz="0" w:space="0" w:color="auto"/>
            <w:right w:val="none" w:sz="0" w:space="0" w:color="auto"/>
          </w:divBdr>
        </w:div>
        <w:div w:id="2054307688">
          <w:marLeft w:val="640"/>
          <w:marRight w:val="0"/>
          <w:marTop w:val="0"/>
          <w:marBottom w:val="0"/>
          <w:divBdr>
            <w:top w:val="none" w:sz="0" w:space="0" w:color="auto"/>
            <w:left w:val="none" w:sz="0" w:space="0" w:color="auto"/>
            <w:bottom w:val="none" w:sz="0" w:space="0" w:color="auto"/>
            <w:right w:val="none" w:sz="0" w:space="0" w:color="auto"/>
          </w:divBdr>
        </w:div>
        <w:div w:id="962885088">
          <w:marLeft w:val="640"/>
          <w:marRight w:val="0"/>
          <w:marTop w:val="0"/>
          <w:marBottom w:val="0"/>
          <w:divBdr>
            <w:top w:val="none" w:sz="0" w:space="0" w:color="auto"/>
            <w:left w:val="none" w:sz="0" w:space="0" w:color="auto"/>
            <w:bottom w:val="none" w:sz="0" w:space="0" w:color="auto"/>
            <w:right w:val="none" w:sz="0" w:space="0" w:color="auto"/>
          </w:divBdr>
        </w:div>
        <w:div w:id="681666295">
          <w:marLeft w:val="640"/>
          <w:marRight w:val="0"/>
          <w:marTop w:val="0"/>
          <w:marBottom w:val="0"/>
          <w:divBdr>
            <w:top w:val="none" w:sz="0" w:space="0" w:color="auto"/>
            <w:left w:val="none" w:sz="0" w:space="0" w:color="auto"/>
            <w:bottom w:val="none" w:sz="0" w:space="0" w:color="auto"/>
            <w:right w:val="none" w:sz="0" w:space="0" w:color="auto"/>
          </w:divBdr>
        </w:div>
        <w:div w:id="44646208">
          <w:marLeft w:val="640"/>
          <w:marRight w:val="0"/>
          <w:marTop w:val="0"/>
          <w:marBottom w:val="0"/>
          <w:divBdr>
            <w:top w:val="none" w:sz="0" w:space="0" w:color="auto"/>
            <w:left w:val="none" w:sz="0" w:space="0" w:color="auto"/>
            <w:bottom w:val="none" w:sz="0" w:space="0" w:color="auto"/>
            <w:right w:val="none" w:sz="0" w:space="0" w:color="auto"/>
          </w:divBdr>
        </w:div>
        <w:div w:id="504976008">
          <w:marLeft w:val="640"/>
          <w:marRight w:val="0"/>
          <w:marTop w:val="0"/>
          <w:marBottom w:val="0"/>
          <w:divBdr>
            <w:top w:val="none" w:sz="0" w:space="0" w:color="auto"/>
            <w:left w:val="none" w:sz="0" w:space="0" w:color="auto"/>
            <w:bottom w:val="none" w:sz="0" w:space="0" w:color="auto"/>
            <w:right w:val="none" w:sz="0" w:space="0" w:color="auto"/>
          </w:divBdr>
        </w:div>
        <w:div w:id="1818691220">
          <w:marLeft w:val="640"/>
          <w:marRight w:val="0"/>
          <w:marTop w:val="0"/>
          <w:marBottom w:val="0"/>
          <w:divBdr>
            <w:top w:val="none" w:sz="0" w:space="0" w:color="auto"/>
            <w:left w:val="none" w:sz="0" w:space="0" w:color="auto"/>
            <w:bottom w:val="none" w:sz="0" w:space="0" w:color="auto"/>
            <w:right w:val="none" w:sz="0" w:space="0" w:color="auto"/>
          </w:divBdr>
        </w:div>
        <w:div w:id="117188966">
          <w:marLeft w:val="640"/>
          <w:marRight w:val="0"/>
          <w:marTop w:val="0"/>
          <w:marBottom w:val="0"/>
          <w:divBdr>
            <w:top w:val="none" w:sz="0" w:space="0" w:color="auto"/>
            <w:left w:val="none" w:sz="0" w:space="0" w:color="auto"/>
            <w:bottom w:val="none" w:sz="0" w:space="0" w:color="auto"/>
            <w:right w:val="none" w:sz="0" w:space="0" w:color="auto"/>
          </w:divBdr>
        </w:div>
        <w:div w:id="78017819">
          <w:marLeft w:val="640"/>
          <w:marRight w:val="0"/>
          <w:marTop w:val="0"/>
          <w:marBottom w:val="0"/>
          <w:divBdr>
            <w:top w:val="none" w:sz="0" w:space="0" w:color="auto"/>
            <w:left w:val="none" w:sz="0" w:space="0" w:color="auto"/>
            <w:bottom w:val="none" w:sz="0" w:space="0" w:color="auto"/>
            <w:right w:val="none" w:sz="0" w:space="0" w:color="auto"/>
          </w:divBdr>
        </w:div>
        <w:div w:id="1273052466">
          <w:marLeft w:val="640"/>
          <w:marRight w:val="0"/>
          <w:marTop w:val="0"/>
          <w:marBottom w:val="0"/>
          <w:divBdr>
            <w:top w:val="none" w:sz="0" w:space="0" w:color="auto"/>
            <w:left w:val="none" w:sz="0" w:space="0" w:color="auto"/>
            <w:bottom w:val="none" w:sz="0" w:space="0" w:color="auto"/>
            <w:right w:val="none" w:sz="0" w:space="0" w:color="auto"/>
          </w:divBdr>
        </w:div>
        <w:div w:id="337466715">
          <w:marLeft w:val="640"/>
          <w:marRight w:val="0"/>
          <w:marTop w:val="0"/>
          <w:marBottom w:val="0"/>
          <w:divBdr>
            <w:top w:val="none" w:sz="0" w:space="0" w:color="auto"/>
            <w:left w:val="none" w:sz="0" w:space="0" w:color="auto"/>
            <w:bottom w:val="none" w:sz="0" w:space="0" w:color="auto"/>
            <w:right w:val="none" w:sz="0" w:space="0" w:color="auto"/>
          </w:divBdr>
        </w:div>
        <w:div w:id="326130665">
          <w:marLeft w:val="640"/>
          <w:marRight w:val="0"/>
          <w:marTop w:val="0"/>
          <w:marBottom w:val="0"/>
          <w:divBdr>
            <w:top w:val="none" w:sz="0" w:space="0" w:color="auto"/>
            <w:left w:val="none" w:sz="0" w:space="0" w:color="auto"/>
            <w:bottom w:val="none" w:sz="0" w:space="0" w:color="auto"/>
            <w:right w:val="none" w:sz="0" w:space="0" w:color="auto"/>
          </w:divBdr>
        </w:div>
        <w:div w:id="339743161">
          <w:marLeft w:val="640"/>
          <w:marRight w:val="0"/>
          <w:marTop w:val="0"/>
          <w:marBottom w:val="0"/>
          <w:divBdr>
            <w:top w:val="none" w:sz="0" w:space="0" w:color="auto"/>
            <w:left w:val="none" w:sz="0" w:space="0" w:color="auto"/>
            <w:bottom w:val="none" w:sz="0" w:space="0" w:color="auto"/>
            <w:right w:val="none" w:sz="0" w:space="0" w:color="auto"/>
          </w:divBdr>
        </w:div>
        <w:div w:id="663360726">
          <w:marLeft w:val="640"/>
          <w:marRight w:val="0"/>
          <w:marTop w:val="0"/>
          <w:marBottom w:val="0"/>
          <w:divBdr>
            <w:top w:val="none" w:sz="0" w:space="0" w:color="auto"/>
            <w:left w:val="none" w:sz="0" w:space="0" w:color="auto"/>
            <w:bottom w:val="none" w:sz="0" w:space="0" w:color="auto"/>
            <w:right w:val="none" w:sz="0" w:space="0" w:color="auto"/>
          </w:divBdr>
        </w:div>
        <w:div w:id="2045329457">
          <w:marLeft w:val="640"/>
          <w:marRight w:val="0"/>
          <w:marTop w:val="0"/>
          <w:marBottom w:val="0"/>
          <w:divBdr>
            <w:top w:val="none" w:sz="0" w:space="0" w:color="auto"/>
            <w:left w:val="none" w:sz="0" w:space="0" w:color="auto"/>
            <w:bottom w:val="none" w:sz="0" w:space="0" w:color="auto"/>
            <w:right w:val="none" w:sz="0" w:space="0" w:color="auto"/>
          </w:divBdr>
        </w:div>
        <w:div w:id="705377777">
          <w:marLeft w:val="640"/>
          <w:marRight w:val="0"/>
          <w:marTop w:val="0"/>
          <w:marBottom w:val="0"/>
          <w:divBdr>
            <w:top w:val="none" w:sz="0" w:space="0" w:color="auto"/>
            <w:left w:val="none" w:sz="0" w:space="0" w:color="auto"/>
            <w:bottom w:val="none" w:sz="0" w:space="0" w:color="auto"/>
            <w:right w:val="none" w:sz="0" w:space="0" w:color="auto"/>
          </w:divBdr>
        </w:div>
        <w:div w:id="197855890">
          <w:marLeft w:val="640"/>
          <w:marRight w:val="0"/>
          <w:marTop w:val="0"/>
          <w:marBottom w:val="0"/>
          <w:divBdr>
            <w:top w:val="none" w:sz="0" w:space="0" w:color="auto"/>
            <w:left w:val="none" w:sz="0" w:space="0" w:color="auto"/>
            <w:bottom w:val="none" w:sz="0" w:space="0" w:color="auto"/>
            <w:right w:val="none" w:sz="0" w:space="0" w:color="auto"/>
          </w:divBdr>
        </w:div>
        <w:div w:id="776294981">
          <w:marLeft w:val="640"/>
          <w:marRight w:val="0"/>
          <w:marTop w:val="0"/>
          <w:marBottom w:val="0"/>
          <w:divBdr>
            <w:top w:val="none" w:sz="0" w:space="0" w:color="auto"/>
            <w:left w:val="none" w:sz="0" w:space="0" w:color="auto"/>
            <w:bottom w:val="none" w:sz="0" w:space="0" w:color="auto"/>
            <w:right w:val="none" w:sz="0" w:space="0" w:color="auto"/>
          </w:divBdr>
        </w:div>
        <w:div w:id="631980331">
          <w:marLeft w:val="640"/>
          <w:marRight w:val="0"/>
          <w:marTop w:val="0"/>
          <w:marBottom w:val="0"/>
          <w:divBdr>
            <w:top w:val="none" w:sz="0" w:space="0" w:color="auto"/>
            <w:left w:val="none" w:sz="0" w:space="0" w:color="auto"/>
            <w:bottom w:val="none" w:sz="0" w:space="0" w:color="auto"/>
            <w:right w:val="none" w:sz="0" w:space="0" w:color="auto"/>
          </w:divBdr>
        </w:div>
        <w:div w:id="2081513922">
          <w:marLeft w:val="640"/>
          <w:marRight w:val="0"/>
          <w:marTop w:val="0"/>
          <w:marBottom w:val="0"/>
          <w:divBdr>
            <w:top w:val="none" w:sz="0" w:space="0" w:color="auto"/>
            <w:left w:val="none" w:sz="0" w:space="0" w:color="auto"/>
            <w:bottom w:val="none" w:sz="0" w:space="0" w:color="auto"/>
            <w:right w:val="none" w:sz="0" w:space="0" w:color="auto"/>
          </w:divBdr>
        </w:div>
        <w:div w:id="688071399">
          <w:marLeft w:val="640"/>
          <w:marRight w:val="0"/>
          <w:marTop w:val="0"/>
          <w:marBottom w:val="0"/>
          <w:divBdr>
            <w:top w:val="none" w:sz="0" w:space="0" w:color="auto"/>
            <w:left w:val="none" w:sz="0" w:space="0" w:color="auto"/>
            <w:bottom w:val="none" w:sz="0" w:space="0" w:color="auto"/>
            <w:right w:val="none" w:sz="0" w:space="0" w:color="auto"/>
          </w:divBdr>
        </w:div>
        <w:div w:id="24330165">
          <w:marLeft w:val="640"/>
          <w:marRight w:val="0"/>
          <w:marTop w:val="0"/>
          <w:marBottom w:val="0"/>
          <w:divBdr>
            <w:top w:val="none" w:sz="0" w:space="0" w:color="auto"/>
            <w:left w:val="none" w:sz="0" w:space="0" w:color="auto"/>
            <w:bottom w:val="none" w:sz="0" w:space="0" w:color="auto"/>
            <w:right w:val="none" w:sz="0" w:space="0" w:color="auto"/>
          </w:divBdr>
        </w:div>
        <w:div w:id="787118637">
          <w:marLeft w:val="640"/>
          <w:marRight w:val="0"/>
          <w:marTop w:val="0"/>
          <w:marBottom w:val="0"/>
          <w:divBdr>
            <w:top w:val="none" w:sz="0" w:space="0" w:color="auto"/>
            <w:left w:val="none" w:sz="0" w:space="0" w:color="auto"/>
            <w:bottom w:val="none" w:sz="0" w:space="0" w:color="auto"/>
            <w:right w:val="none" w:sz="0" w:space="0" w:color="auto"/>
          </w:divBdr>
        </w:div>
        <w:div w:id="1628461916">
          <w:marLeft w:val="640"/>
          <w:marRight w:val="0"/>
          <w:marTop w:val="0"/>
          <w:marBottom w:val="0"/>
          <w:divBdr>
            <w:top w:val="none" w:sz="0" w:space="0" w:color="auto"/>
            <w:left w:val="none" w:sz="0" w:space="0" w:color="auto"/>
            <w:bottom w:val="none" w:sz="0" w:space="0" w:color="auto"/>
            <w:right w:val="none" w:sz="0" w:space="0" w:color="auto"/>
          </w:divBdr>
        </w:div>
        <w:div w:id="629554293">
          <w:marLeft w:val="640"/>
          <w:marRight w:val="0"/>
          <w:marTop w:val="0"/>
          <w:marBottom w:val="0"/>
          <w:divBdr>
            <w:top w:val="none" w:sz="0" w:space="0" w:color="auto"/>
            <w:left w:val="none" w:sz="0" w:space="0" w:color="auto"/>
            <w:bottom w:val="none" w:sz="0" w:space="0" w:color="auto"/>
            <w:right w:val="none" w:sz="0" w:space="0" w:color="auto"/>
          </w:divBdr>
        </w:div>
        <w:div w:id="1712731311">
          <w:marLeft w:val="640"/>
          <w:marRight w:val="0"/>
          <w:marTop w:val="0"/>
          <w:marBottom w:val="0"/>
          <w:divBdr>
            <w:top w:val="none" w:sz="0" w:space="0" w:color="auto"/>
            <w:left w:val="none" w:sz="0" w:space="0" w:color="auto"/>
            <w:bottom w:val="none" w:sz="0" w:space="0" w:color="auto"/>
            <w:right w:val="none" w:sz="0" w:space="0" w:color="auto"/>
          </w:divBdr>
        </w:div>
        <w:div w:id="1476222951">
          <w:marLeft w:val="640"/>
          <w:marRight w:val="0"/>
          <w:marTop w:val="0"/>
          <w:marBottom w:val="0"/>
          <w:divBdr>
            <w:top w:val="none" w:sz="0" w:space="0" w:color="auto"/>
            <w:left w:val="none" w:sz="0" w:space="0" w:color="auto"/>
            <w:bottom w:val="none" w:sz="0" w:space="0" w:color="auto"/>
            <w:right w:val="none" w:sz="0" w:space="0" w:color="auto"/>
          </w:divBdr>
        </w:div>
        <w:div w:id="1754467146">
          <w:marLeft w:val="640"/>
          <w:marRight w:val="0"/>
          <w:marTop w:val="0"/>
          <w:marBottom w:val="0"/>
          <w:divBdr>
            <w:top w:val="none" w:sz="0" w:space="0" w:color="auto"/>
            <w:left w:val="none" w:sz="0" w:space="0" w:color="auto"/>
            <w:bottom w:val="none" w:sz="0" w:space="0" w:color="auto"/>
            <w:right w:val="none" w:sz="0" w:space="0" w:color="auto"/>
          </w:divBdr>
        </w:div>
        <w:div w:id="753356456">
          <w:marLeft w:val="640"/>
          <w:marRight w:val="0"/>
          <w:marTop w:val="0"/>
          <w:marBottom w:val="0"/>
          <w:divBdr>
            <w:top w:val="none" w:sz="0" w:space="0" w:color="auto"/>
            <w:left w:val="none" w:sz="0" w:space="0" w:color="auto"/>
            <w:bottom w:val="none" w:sz="0" w:space="0" w:color="auto"/>
            <w:right w:val="none" w:sz="0" w:space="0" w:color="auto"/>
          </w:divBdr>
        </w:div>
        <w:div w:id="1235700195">
          <w:marLeft w:val="640"/>
          <w:marRight w:val="0"/>
          <w:marTop w:val="0"/>
          <w:marBottom w:val="0"/>
          <w:divBdr>
            <w:top w:val="none" w:sz="0" w:space="0" w:color="auto"/>
            <w:left w:val="none" w:sz="0" w:space="0" w:color="auto"/>
            <w:bottom w:val="none" w:sz="0" w:space="0" w:color="auto"/>
            <w:right w:val="none" w:sz="0" w:space="0" w:color="auto"/>
          </w:divBdr>
        </w:div>
        <w:div w:id="216477131">
          <w:marLeft w:val="640"/>
          <w:marRight w:val="0"/>
          <w:marTop w:val="0"/>
          <w:marBottom w:val="0"/>
          <w:divBdr>
            <w:top w:val="none" w:sz="0" w:space="0" w:color="auto"/>
            <w:left w:val="none" w:sz="0" w:space="0" w:color="auto"/>
            <w:bottom w:val="none" w:sz="0" w:space="0" w:color="auto"/>
            <w:right w:val="none" w:sz="0" w:space="0" w:color="auto"/>
          </w:divBdr>
        </w:div>
        <w:div w:id="2082023423">
          <w:marLeft w:val="640"/>
          <w:marRight w:val="0"/>
          <w:marTop w:val="0"/>
          <w:marBottom w:val="0"/>
          <w:divBdr>
            <w:top w:val="none" w:sz="0" w:space="0" w:color="auto"/>
            <w:left w:val="none" w:sz="0" w:space="0" w:color="auto"/>
            <w:bottom w:val="none" w:sz="0" w:space="0" w:color="auto"/>
            <w:right w:val="none" w:sz="0" w:space="0" w:color="auto"/>
          </w:divBdr>
        </w:div>
        <w:div w:id="212234600">
          <w:marLeft w:val="640"/>
          <w:marRight w:val="0"/>
          <w:marTop w:val="0"/>
          <w:marBottom w:val="0"/>
          <w:divBdr>
            <w:top w:val="none" w:sz="0" w:space="0" w:color="auto"/>
            <w:left w:val="none" w:sz="0" w:space="0" w:color="auto"/>
            <w:bottom w:val="none" w:sz="0" w:space="0" w:color="auto"/>
            <w:right w:val="none" w:sz="0" w:space="0" w:color="auto"/>
          </w:divBdr>
        </w:div>
        <w:div w:id="1174540227">
          <w:marLeft w:val="640"/>
          <w:marRight w:val="0"/>
          <w:marTop w:val="0"/>
          <w:marBottom w:val="0"/>
          <w:divBdr>
            <w:top w:val="none" w:sz="0" w:space="0" w:color="auto"/>
            <w:left w:val="none" w:sz="0" w:space="0" w:color="auto"/>
            <w:bottom w:val="none" w:sz="0" w:space="0" w:color="auto"/>
            <w:right w:val="none" w:sz="0" w:space="0" w:color="auto"/>
          </w:divBdr>
        </w:div>
        <w:div w:id="926309535">
          <w:marLeft w:val="640"/>
          <w:marRight w:val="0"/>
          <w:marTop w:val="0"/>
          <w:marBottom w:val="0"/>
          <w:divBdr>
            <w:top w:val="none" w:sz="0" w:space="0" w:color="auto"/>
            <w:left w:val="none" w:sz="0" w:space="0" w:color="auto"/>
            <w:bottom w:val="none" w:sz="0" w:space="0" w:color="auto"/>
            <w:right w:val="none" w:sz="0" w:space="0" w:color="auto"/>
          </w:divBdr>
        </w:div>
        <w:div w:id="1346979605">
          <w:marLeft w:val="640"/>
          <w:marRight w:val="0"/>
          <w:marTop w:val="0"/>
          <w:marBottom w:val="0"/>
          <w:divBdr>
            <w:top w:val="none" w:sz="0" w:space="0" w:color="auto"/>
            <w:left w:val="none" w:sz="0" w:space="0" w:color="auto"/>
            <w:bottom w:val="none" w:sz="0" w:space="0" w:color="auto"/>
            <w:right w:val="none" w:sz="0" w:space="0" w:color="auto"/>
          </w:divBdr>
        </w:div>
        <w:div w:id="1160776790">
          <w:marLeft w:val="640"/>
          <w:marRight w:val="0"/>
          <w:marTop w:val="0"/>
          <w:marBottom w:val="0"/>
          <w:divBdr>
            <w:top w:val="none" w:sz="0" w:space="0" w:color="auto"/>
            <w:left w:val="none" w:sz="0" w:space="0" w:color="auto"/>
            <w:bottom w:val="none" w:sz="0" w:space="0" w:color="auto"/>
            <w:right w:val="none" w:sz="0" w:space="0" w:color="auto"/>
          </w:divBdr>
        </w:div>
        <w:div w:id="217475021">
          <w:marLeft w:val="640"/>
          <w:marRight w:val="0"/>
          <w:marTop w:val="0"/>
          <w:marBottom w:val="0"/>
          <w:divBdr>
            <w:top w:val="none" w:sz="0" w:space="0" w:color="auto"/>
            <w:left w:val="none" w:sz="0" w:space="0" w:color="auto"/>
            <w:bottom w:val="none" w:sz="0" w:space="0" w:color="auto"/>
            <w:right w:val="none" w:sz="0" w:space="0" w:color="auto"/>
          </w:divBdr>
        </w:div>
        <w:div w:id="111093445">
          <w:marLeft w:val="640"/>
          <w:marRight w:val="0"/>
          <w:marTop w:val="0"/>
          <w:marBottom w:val="0"/>
          <w:divBdr>
            <w:top w:val="none" w:sz="0" w:space="0" w:color="auto"/>
            <w:left w:val="none" w:sz="0" w:space="0" w:color="auto"/>
            <w:bottom w:val="none" w:sz="0" w:space="0" w:color="auto"/>
            <w:right w:val="none" w:sz="0" w:space="0" w:color="auto"/>
          </w:divBdr>
        </w:div>
        <w:div w:id="1740444052">
          <w:marLeft w:val="640"/>
          <w:marRight w:val="0"/>
          <w:marTop w:val="0"/>
          <w:marBottom w:val="0"/>
          <w:divBdr>
            <w:top w:val="none" w:sz="0" w:space="0" w:color="auto"/>
            <w:left w:val="none" w:sz="0" w:space="0" w:color="auto"/>
            <w:bottom w:val="none" w:sz="0" w:space="0" w:color="auto"/>
            <w:right w:val="none" w:sz="0" w:space="0" w:color="auto"/>
          </w:divBdr>
        </w:div>
        <w:div w:id="307979527">
          <w:marLeft w:val="640"/>
          <w:marRight w:val="0"/>
          <w:marTop w:val="0"/>
          <w:marBottom w:val="0"/>
          <w:divBdr>
            <w:top w:val="none" w:sz="0" w:space="0" w:color="auto"/>
            <w:left w:val="none" w:sz="0" w:space="0" w:color="auto"/>
            <w:bottom w:val="none" w:sz="0" w:space="0" w:color="auto"/>
            <w:right w:val="none" w:sz="0" w:space="0" w:color="auto"/>
          </w:divBdr>
        </w:div>
        <w:div w:id="85197522">
          <w:marLeft w:val="640"/>
          <w:marRight w:val="0"/>
          <w:marTop w:val="0"/>
          <w:marBottom w:val="0"/>
          <w:divBdr>
            <w:top w:val="none" w:sz="0" w:space="0" w:color="auto"/>
            <w:left w:val="none" w:sz="0" w:space="0" w:color="auto"/>
            <w:bottom w:val="none" w:sz="0" w:space="0" w:color="auto"/>
            <w:right w:val="none" w:sz="0" w:space="0" w:color="auto"/>
          </w:divBdr>
        </w:div>
        <w:div w:id="159389030">
          <w:marLeft w:val="640"/>
          <w:marRight w:val="0"/>
          <w:marTop w:val="0"/>
          <w:marBottom w:val="0"/>
          <w:divBdr>
            <w:top w:val="none" w:sz="0" w:space="0" w:color="auto"/>
            <w:left w:val="none" w:sz="0" w:space="0" w:color="auto"/>
            <w:bottom w:val="none" w:sz="0" w:space="0" w:color="auto"/>
            <w:right w:val="none" w:sz="0" w:space="0" w:color="auto"/>
          </w:divBdr>
        </w:div>
        <w:div w:id="649134661">
          <w:marLeft w:val="640"/>
          <w:marRight w:val="0"/>
          <w:marTop w:val="0"/>
          <w:marBottom w:val="0"/>
          <w:divBdr>
            <w:top w:val="none" w:sz="0" w:space="0" w:color="auto"/>
            <w:left w:val="none" w:sz="0" w:space="0" w:color="auto"/>
            <w:bottom w:val="none" w:sz="0" w:space="0" w:color="auto"/>
            <w:right w:val="none" w:sz="0" w:space="0" w:color="auto"/>
          </w:divBdr>
        </w:div>
        <w:div w:id="2091460475">
          <w:marLeft w:val="640"/>
          <w:marRight w:val="0"/>
          <w:marTop w:val="0"/>
          <w:marBottom w:val="0"/>
          <w:divBdr>
            <w:top w:val="none" w:sz="0" w:space="0" w:color="auto"/>
            <w:left w:val="none" w:sz="0" w:space="0" w:color="auto"/>
            <w:bottom w:val="none" w:sz="0" w:space="0" w:color="auto"/>
            <w:right w:val="none" w:sz="0" w:space="0" w:color="auto"/>
          </w:divBdr>
        </w:div>
        <w:div w:id="863830460">
          <w:marLeft w:val="640"/>
          <w:marRight w:val="0"/>
          <w:marTop w:val="0"/>
          <w:marBottom w:val="0"/>
          <w:divBdr>
            <w:top w:val="none" w:sz="0" w:space="0" w:color="auto"/>
            <w:left w:val="none" w:sz="0" w:space="0" w:color="auto"/>
            <w:bottom w:val="none" w:sz="0" w:space="0" w:color="auto"/>
            <w:right w:val="none" w:sz="0" w:space="0" w:color="auto"/>
          </w:divBdr>
        </w:div>
        <w:div w:id="2136556542">
          <w:marLeft w:val="640"/>
          <w:marRight w:val="0"/>
          <w:marTop w:val="0"/>
          <w:marBottom w:val="0"/>
          <w:divBdr>
            <w:top w:val="none" w:sz="0" w:space="0" w:color="auto"/>
            <w:left w:val="none" w:sz="0" w:space="0" w:color="auto"/>
            <w:bottom w:val="none" w:sz="0" w:space="0" w:color="auto"/>
            <w:right w:val="none" w:sz="0" w:space="0" w:color="auto"/>
          </w:divBdr>
        </w:div>
        <w:div w:id="282350">
          <w:marLeft w:val="640"/>
          <w:marRight w:val="0"/>
          <w:marTop w:val="0"/>
          <w:marBottom w:val="0"/>
          <w:divBdr>
            <w:top w:val="none" w:sz="0" w:space="0" w:color="auto"/>
            <w:left w:val="none" w:sz="0" w:space="0" w:color="auto"/>
            <w:bottom w:val="none" w:sz="0" w:space="0" w:color="auto"/>
            <w:right w:val="none" w:sz="0" w:space="0" w:color="auto"/>
          </w:divBdr>
        </w:div>
        <w:div w:id="194200171">
          <w:marLeft w:val="640"/>
          <w:marRight w:val="0"/>
          <w:marTop w:val="0"/>
          <w:marBottom w:val="0"/>
          <w:divBdr>
            <w:top w:val="none" w:sz="0" w:space="0" w:color="auto"/>
            <w:left w:val="none" w:sz="0" w:space="0" w:color="auto"/>
            <w:bottom w:val="none" w:sz="0" w:space="0" w:color="auto"/>
            <w:right w:val="none" w:sz="0" w:space="0" w:color="auto"/>
          </w:divBdr>
        </w:div>
        <w:div w:id="1084455549">
          <w:marLeft w:val="640"/>
          <w:marRight w:val="0"/>
          <w:marTop w:val="0"/>
          <w:marBottom w:val="0"/>
          <w:divBdr>
            <w:top w:val="none" w:sz="0" w:space="0" w:color="auto"/>
            <w:left w:val="none" w:sz="0" w:space="0" w:color="auto"/>
            <w:bottom w:val="none" w:sz="0" w:space="0" w:color="auto"/>
            <w:right w:val="none" w:sz="0" w:space="0" w:color="auto"/>
          </w:divBdr>
        </w:div>
        <w:div w:id="774446996">
          <w:marLeft w:val="640"/>
          <w:marRight w:val="0"/>
          <w:marTop w:val="0"/>
          <w:marBottom w:val="0"/>
          <w:divBdr>
            <w:top w:val="none" w:sz="0" w:space="0" w:color="auto"/>
            <w:left w:val="none" w:sz="0" w:space="0" w:color="auto"/>
            <w:bottom w:val="none" w:sz="0" w:space="0" w:color="auto"/>
            <w:right w:val="none" w:sz="0" w:space="0" w:color="auto"/>
          </w:divBdr>
        </w:div>
        <w:div w:id="1180851155">
          <w:marLeft w:val="640"/>
          <w:marRight w:val="0"/>
          <w:marTop w:val="0"/>
          <w:marBottom w:val="0"/>
          <w:divBdr>
            <w:top w:val="none" w:sz="0" w:space="0" w:color="auto"/>
            <w:left w:val="none" w:sz="0" w:space="0" w:color="auto"/>
            <w:bottom w:val="none" w:sz="0" w:space="0" w:color="auto"/>
            <w:right w:val="none" w:sz="0" w:space="0" w:color="auto"/>
          </w:divBdr>
        </w:div>
        <w:div w:id="409695654">
          <w:marLeft w:val="640"/>
          <w:marRight w:val="0"/>
          <w:marTop w:val="0"/>
          <w:marBottom w:val="0"/>
          <w:divBdr>
            <w:top w:val="none" w:sz="0" w:space="0" w:color="auto"/>
            <w:left w:val="none" w:sz="0" w:space="0" w:color="auto"/>
            <w:bottom w:val="none" w:sz="0" w:space="0" w:color="auto"/>
            <w:right w:val="none" w:sz="0" w:space="0" w:color="auto"/>
          </w:divBdr>
        </w:div>
        <w:div w:id="1771855208">
          <w:marLeft w:val="640"/>
          <w:marRight w:val="0"/>
          <w:marTop w:val="0"/>
          <w:marBottom w:val="0"/>
          <w:divBdr>
            <w:top w:val="none" w:sz="0" w:space="0" w:color="auto"/>
            <w:left w:val="none" w:sz="0" w:space="0" w:color="auto"/>
            <w:bottom w:val="none" w:sz="0" w:space="0" w:color="auto"/>
            <w:right w:val="none" w:sz="0" w:space="0" w:color="auto"/>
          </w:divBdr>
        </w:div>
        <w:div w:id="189687479">
          <w:marLeft w:val="640"/>
          <w:marRight w:val="0"/>
          <w:marTop w:val="0"/>
          <w:marBottom w:val="0"/>
          <w:divBdr>
            <w:top w:val="none" w:sz="0" w:space="0" w:color="auto"/>
            <w:left w:val="none" w:sz="0" w:space="0" w:color="auto"/>
            <w:bottom w:val="none" w:sz="0" w:space="0" w:color="auto"/>
            <w:right w:val="none" w:sz="0" w:space="0" w:color="auto"/>
          </w:divBdr>
        </w:div>
        <w:div w:id="1962419442">
          <w:marLeft w:val="640"/>
          <w:marRight w:val="0"/>
          <w:marTop w:val="0"/>
          <w:marBottom w:val="0"/>
          <w:divBdr>
            <w:top w:val="none" w:sz="0" w:space="0" w:color="auto"/>
            <w:left w:val="none" w:sz="0" w:space="0" w:color="auto"/>
            <w:bottom w:val="none" w:sz="0" w:space="0" w:color="auto"/>
            <w:right w:val="none" w:sz="0" w:space="0" w:color="auto"/>
          </w:divBdr>
        </w:div>
        <w:div w:id="1619022792">
          <w:marLeft w:val="640"/>
          <w:marRight w:val="0"/>
          <w:marTop w:val="0"/>
          <w:marBottom w:val="0"/>
          <w:divBdr>
            <w:top w:val="none" w:sz="0" w:space="0" w:color="auto"/>
            <w:left w:val="none" w:sz="0" w:space="0" w:color="auto"/>
            <w:bottom w:val="none" w:sz="0" w:space="0" w:color="auto"/>
            <w:right w:val="none" w:sz="0" w:space="0" w:color="auto"/>
          </w:divBdr>
        </w:div>
        <w:div w:id="469978521">
          <w:marLeft w:val="640"/>
          <w:marRight w:val="0"/>
          <w:marTop w:val="0"/>
          <w:marBottom w:val="0"/>
          <w:divBdr>
            <w:top w:val="none" w:sz="0" w:space="0" w:color="auto"/>
            <w:left w:val="none" w:sz="0" w:space="0" w:color="auto"/>
            <w:bottom w:val="none" w:sz="0" w:space="0" w:color="auto"/>
            <w:right w:val="none" w:sz="0" w:space="0" w:color="auto"/>
          </w:divBdr>
        </w:div>
        <w:div w:id="1339818231">
          <w:marLeft w:val="640"/>
          <w:marRight w:val="0"/>
          <w:marTop w:val="0"/>
          <w:marBottom w:val="0"/>
          <w:divBdr>
            <w:top w:val="none" w:sz="0" w:space="0" w:color="auto"/>
            <w:left w:val="none" w:sz="0" w:space="0" w:color="auto"/>
            <w:bottom w:val="none" w:sz="0" w:space="0" w:color="auto"/>
            <w:right w:val="none" w:sz="0" w:space="0" w:color="auto"/>
          </w:divBdr>
        </w:div>
        <w:div w:id="246885658">
          <w:marLeft w:val="640"/>
          <w:marRight w:val="0"/>
          <w:marTop w:val="0"/>
          <w:marBottom w:val="0"/>
          <w:divBdr>
            <w:top w:val="none" w:sz="0" w:space="0" w:color="auto"/>
            <w:left w:val="none" w:sz="0" w:space="0" w:color="auto"/>
            <w:bottom w:val="none" w:sz="0" w:space="0" w:color="auto"/>
            <w:right w:val="none" w:sz="0" w:space="0" w:color="auto"/>
          </w:divBdr>
        </w:div>
        <w:div w:id="116803385">
          <w:marLeft w:val="640"/>
          <w:marRight w:val="0"/>
          <w:marTop w:val="0"/>
          <w:marBottom w:val="0"/>
          <w:divBdr>
            <w:top w:val="none" w:sz="0" w:space="0" w:color="auto"/>
            <w:left w:val="none" w:sz="0" w:space="0" w:color="auto"/>
            <w:bottom w:val="none" w:sz="0" w:space="0" w:color="auto"/>
            <w:right w:val="none" w:sz="0" w:space="0" w:color="auto"/>
          </w:divBdr>
        </w:div>
        <w:div w:id="1158419420">
          <w:marLeft w:val="640"/>
          <w:marRight w:val="0"/>
          <w:marTop w:val="0"/>
          <w:marBottom w:val="0"/>
          <w:divBdr>
            <w:top w:val="none" w:sz="0" w:space="0" w:color="auto"/>
            <w:left w:val="none" w:sz="0" w:space="0" w:color="auto"/>
            <w:bottom w:val="none" w:sz="0" w:space="0" w:color="auto"/>
            <w:right w:val="none" w:sz="0" w:space="0" w:color="auto"/>
          </w:divBdr>
        </w:div>
        <w:div w:id="671223299">
          <w:marLeft w:val="640"/>
          <w:marRight w:val="0"/>
          <w:marTop w:val="0"/>
          <w:marBottom w:val="0"/>
          <w:divBdr>
            <w:top w:val="none" w:sz="0" w:space="0" w:color="auto"/>
            <w:left w:val="none" w:sz="0" w:space="0" w:color="auto"/>
            <w:bottom w:val="none" w:sz="0" w:space="0" w:color="auto"/>
            <w:right w:val="none" w:sz="0" w:space="0" w:color="auto"/>
          </w:divBdr>
        </w:div>
        <w:div w:id="366296015">
          <w:marLeft w:val="640"/>
          <w:marRight w:val="0"/>
          <w:marTop w:val="0"/>
          <w:marBottom w:val="0"/>
          <w:divBdr>
            <w:top w:val="none" w:sz="0" w:space="0" w:color="auto"/>
            <w:left w:val="none" w:sz="0" w:space="0" w:color="auto"/>
            <w:bottom w:val="none" w:sz="0" w:space="0" w:color="auto"/>
            <w:right w:val="none" w:sz="0" w:space="0" w:color="auto"/>
          </w:divBdr>
        </w:div>
        <w:div w:id="1033923129">
          <w:marLeft w:val="640"/>
          <w:marRight w:val="0"/>
          <w:marTop w:val="0"/>
          <w:marBottom w:val="0"/>
          <w:divBdr>
            <w:top w:val="none" w:sz="0" w:space="0" w:color="auto"/>
            <w:left w:val="none" w:sz="0" w:space="0" w:color="auto"/>
            <w:bottom w:val="none" w:sz="0" w:space="0" w:color="auto"/>
            <w:right w:val="none" w:sz="0" w:space="0" w:color="auto"/>
          </w:divBdr>
        </w:div>
        <w:div w:id="1288972430">
          <w:marLeft w:val="640"/>
          <w:marRight w:val="0"/>
          <w:marTop w:val="0"/>
          <w:marBottom w:val="0"/>
          <w:divBdr>
            <w:top w:val="none" w:sz="0" w:space="0" w:color="auto"/>
            <w:left w:val="none" w:sz="0" w:space="0" w:color="auto"/>
            <w:bottom w:val="none" w:sz="0" w:space="0" w:color="auto"/>
            <w:right w:val="none" w:sz="0" w:space="0" w:color="auto"/>
          </w:divBdr>
        </w:div>
        <w:div w:id="1150053060">
          <w:marLeft w:val="640"/>
          <w:marRight w:val="0"/>
          <w:marTop w:val="0"/>
          <w:marBottom w:val="0"/>
          <w:divBdr>
            <w:top w:val="none" w:sz="0" w:space="0" w:color="auto"/>
            <w:left w:val="none" w:sz="0" w:space="0" w:color="auto"/>
            <w:bottom w:val="none" w:sz="0" w:space="0" w:color="auto"/>
            <w:right w:val="none" w:sz="0" w:space="0" w:color="auto"/>
          </w:divBdr>
        </w:div>
        <w:div w:id="1457946167">
          <w:marLeft w:val="640"/>
          <w:marRight w:val="0"/>
          <w:marTop w:val="0"/>
          <w:marBottom w:val="0"/>
          <w:divBdr>
            <w:top w:val="none" w:sz="0" w:space="0" w:color="auto"/>
            <w:left w:val="none" w:sz="0" w:space="0" w:color="auto"/>
            <w:bottom w:val="none" w:sz="0" w:space="0" w:color="auto"/>
            <w:right w:val="none" w:sz="0" w:space="0" w:color="auto"/>
          </w:divBdr>
        </w:div>
        <w:div w:id="870261847">
          <w:marLeft w:val="640"/>
          <w:marRight w:val="0"/>
          <w:marTop w:val="0"/>
          <w:marBottom w:val="0"/>
          <w:divBdr>
            <w:top w:val="none" w:sz="0" w:space="0" w:color="auto"/>
            <w:left w:val="none" w:sz="0" w:space="0" w:color="auto"/>
            <w:bottom w:val="none" w:sz="0" w:space="0" w:color="auto"/>
            <w:right w:val="none" w:sz="0" w:space="0" w:color="auto"/>
          </w:divBdr>
        </w:div>
        <w:div w:id="767390108">
          <w:marLeft w:val="640"/>
          <w:marRight w:val="0"/>
          <w:marTop w:val="0"/>
          <w:marBottom w:val="0"/>
          <w:divBdr>
            <w:top w:val="none" w:sz="0" w:space="0" w:color="auto"/>
            <w:left w:val="none" w:sz="0" w:space="0" w:color="auto"/>
            <w:bottom w:val="none" w:sz="0" w:space="0" w:color="auto"/>
            <w:right w:val="none" w:sz="0" w:space="0" w:color="auto"/>
          </w:divBdr>
        </w:div>
        <w:div w:id="968164454">
          <w:marLeft w:val="640"/>
          <w:marRight w:val="0"/>
          <w:marTop w:val="0"/>
          <w:marBottom w:val="0"/>
          <w:divBdr>
            <w:top w:val="none" w:sz="0" w:space="0" w:color="auto"/>
            <w:left w:val="none" w:sz="0" w:space="0" w:color="auto"/>
            <w:bottom w:val="none" w:sz="0" w:space="0" w:color="auto"/>
            <w:right w:val="none" w:sz="0" w:space="0" w:color="auto"/>
          </w:divBdr>
        </w:div>
        <w:div w:id="1219585467">
          <w:marLeft w:val="640"/>
          <w:marRight w:val="0"/>
          <w:marTop w:val="0"/>
          <w:marBottom w:val="0"/>
          <w:divBdr>
            <w:top w:val="none" w:sz="0" w:space="0" w:color="auto"/>
            <w:left w:val="none" w:sz="0" w:space="0" w:color="auto"/>
            <w:bottom w:val="none" w:sz="0" w:space="0" w:color="auto"/>
            <w:right w:val="none" w:sz="0" w:space="0" w:color="auto"/>
          </w:divBdr>
        </w:div>
        <w:div w:id="403141032">
          <w:marLeft w:val="640"/>
          <w:marRight w:val="0"/>
          <w:marTop w:val="0"/>
          <w:marBottom w:val="0"/>
          <w:divBdr>
            <w:top w:val="none" w:sz="0" w:space="0" w:color="auto"/>
            <w:left w:val="none" w:sz="0" w:space="0" w:color="auto"/>
            <w:bottom w:val="none" w:sz="0" w:space="0" w:color="auto"/>
            <w:right w:val="none" w:sz="0" w:space="0" w:color="auto"/>
          </w:divBdr>
        </w:div>
        <w:div w:id="926617520">
          <w:marLeft w:val="640"/>
          <w:marRight w:val="0"/>
          <w:marTop w:val="0"/>
          <w:marBottom w:val="0"/>
          <w:divBdr>
            <w:top w:val="none" w:sz="0" w:space="0" w:color="auto"/>
            <w:left w:val="none" w:sz="0" w:space="0" w:color="auto"/>
            <w:bottom w:val="none" w:sz="0" w:space="0" w:color="auto"/>
            <w:right w:val="none" w:sz="0" w:space="0" w:color="auto"/>
          </w:divBdr>
        </w:div>
        <w:div w:id="1663509921">
          <w:marLeft w:val="640"/>
          <w:marRight w:val="0"/>
          <w:marTop w:val="0"/>
          <w:marBottom w:val="0"/>
          <w:divBdr>
            <w:top w:val="none" w:sz="0" w:space="0" w:color="auto"/>
            <w:left w:val="none" w:sz="0" w:space="0" w:color="auto"/>
            <w:bottom w:val="none" w:sz="0" w:space="0" w:color="auto"/>
            <w:right w:val="none" w:sz="0" w:space="0" w:color="auto"/>
          </w:divBdr>
        </w:div>
        <w:div w:id="1745490595">
          <w:marLeft w:val="640"/>
          <w:marRight w:val="0"/>
          <w:marTop w:val="0"/>
          <w:marBottom w:val="0"/>
          <w:divBdr>
            <w:top w:val="none" w:sz="0" w:space="0" w:color="auto"/>
            <w:left w:val="none" w:sz="0" w:space="0" w:color="auto"/>
            <w:bottom w:val="none" w:sz="0" w:space="0" w:color="auto"/>
            <w:right w:val="none" w:sz="0" w:space="0" w:color="auto"/>
          </w:divBdr>
        </w:div>
        <w:div w:id="1344013074">
          <w:marLeft w:val="640"/>
          <w:marRight w:val="0"/>
          <w:marTop w:val="0"/>
          <w:marBottom w:val="0"/>
          <w:divBdr>
            <w:top w:val="none" w:sz="0" w:space="0" w:color="auto"/>
            <w:left w:val="none" w:sz="0" w:space="0" w:color="auto"/>
            <w:bottom w:val="none" w:sz="0" w:space="0" w:color="auto"/>
            <w:right w:val="none" w:sz="0" w:space="0" w:color="auto"/>
          </w:divBdr>
        </w:div>
        <w:div w:id="2005278932">
          <w:marLeft w:val="640"/>
          <w:marRight w:val="0"/>
          <w:marTop w:val="0"/>
          <w:marBottom w:val="0"/>
          <w:divBdr>
            <w:top w:val="none" w:sz="0" w:space="0" w:color="auto"/>
            <w:left w:val="none" w:sz="0" w:space="0" w:color="auto"/>
            <w:bottom w:val="none" w:sz="0" w:space="0" w:color="auto"/>
            <w:right w:val="none" w:sz="0" w:space="0" w:color="auto"/>
          </w:divBdr>
        </w:div>
        <w:div w:id="2073575118">
          <w:marLeft w:val="640"/>
          <w:marRight w:val="0"/>
          <w:marTop w:val="0"/>
          <w:marBottom w:val="0"/>
          <w:divBdr>
            <w:top w:val="none" w:sz="0" w:space="0" w:color="auto"/>
            <w:left w:val="none" w:sz="0" w:space="0" w:color="auto"/>
            <w:bottom w:val="none" w:sz="0" w:space="0" w:color="auto"/>
            <w:right w:val="none" w:sz="0" w:space="0" w:color="auto"/>
          </w:divBdr>
        </w:div>
        <w:div w:id="832793608">
          <w:marLeft w:val="640"/>
          <w:marRight w:val="0"/>
          <w:marTop w:val="0"/>
          <w:marBottom w:val="0"/>
          <w:divBdr>
            <w:top w:val="none" w:sz="0" w:space="0" w:color="auto"/>
            <w:left w:val="none" w:sz="0" w:space="0" w:color="auto"/>
            <w:bottom w:val="none" w:sz="0" w:space="0" w:color="auto"/>
            <w:right w:val="none" w:sz="0" w:space="0" w:color="auto"/>
          </w:divBdr>
        </w:div>
        <w:div w:id="492378108">
          <w:marLeft w:val="640"/>
          <w:marRight w:val="0"/>
          <w:marTop w:val="0"/>
          <w:marBottom w:val="0"/>
          <w:divBdr>
            <w:top w:val="none" w:sz="0" w:space="0" w:color="auto"/>
            <w:left w:val="none" w:sz="0" w:space="0" w:color="auto"/>
            <w:bottom w:val="none" w:sz="0" w:space="0" w:color="auto"/>
            <w:right w:val="none" w:sz="0" w:space="0" w:color="auto"/>
          </w:divBdr>
        </w:div>
        <w:div w:id="684289499">
          <w:marLeft w:val="640"/>
          <w:marRight w:val="0"/>
          <w:marTop w:val="0"/>
          <w:marBottom w:val="0"/>
          <w:divBdr>
            <w:top w:val="none" w:sz="0" w:space="0" w:color="auto"/>
            <w:left w:val="none" w:sz="0" w:space="0" w:color="auto"/>
            <w:bottom w:val="none" w:sz="0" w:space="0" w:color="auto"/>
            <w:right w:val="none" w:sz="0" w:space="0" w:color="auto"/>
          </w:divBdr>
        </w:div>
        <w:div w:id="709115493">
          <w:marLeft w:val="640"/>
          <w:marRight w:val="0"/>
          <w:marTop w:val="0"/>
          <w:marBottom w:val="0"/>
          <w:divBdr>
            <w:top w:val="none" w:sz="0" w:space="0" w:color="auto"/>
            <w:left w:val="none" w:sz="0" w:space="0" w:color="auto"/>
            <w:bottom w:val="none" w:sz="0" w:space="0" w:color="auto"/>
            <w:right w:val="none" w:sz="0" w:space="0" w:color="auto"/>
          </w:divBdr>
        </w:div>
        <w:div w:id="1679307763">
          <w:marLeft w:val="640"/>
          <w:marRight w:val="0"/>
          <w:marTop w:val="0"/>
          <w:marBottom w:val="0"/>
          <w:divBdr>
            <w:top w:val="none" w:sz="0" w:space="0" w:color="auto"/>
            <w:left w:val="none" w:sz="0" w:space="0" w:color="auto"/>
            <w:bottom w:val="none" w:sz="0" w:space="0" w:color="auto"/>
            <w:right w:val="none" w:sz="0" w:space="0" w:color="auto"/>
          </w:divBdr>
        </w:div>
        <w:div w:id="2034761917">
          <w:marLeft w:val="640"/>
          <w:marRight w:val="0"/>
          <w:marTop w:val="0"/>
          <w:marBottom w:val="0"/>
          <w:divBdr>
            <w:top w:val="none" w:sz="0" w:space="0" w:color="auto"/>
            <w:left w:val="none" w:sz="0" w:space="0" w:color="auto"/>
            <w:bottom w:val="none" w:sz="0" w:space="0" w:color="auto"/>
            <w:right w:val="none" w:sz="0" w:space="0" w:color="auto"/>
          </w:divBdr>
        </w:div>
        <w:div w:id="2109885627">
          <w:marLeft w:val="640"/>
          <w:marRight w:val="0"/>
          <w:marTop w:val="0"/>
          <w:marBottom w:val="0"/>
          <w:divBdr>
            <w:top w:val="none" w:sz="0" w:space="0" w:color="auto"/>
            <w:left w:val="none" w:sz="0" w:space="0" w:color="auto"/>
            <w:bottom w:val="none" w:sz="0" w:space="0" w:color="auto"/>
            <w:right w:val="none" w:sz="0" w:space="0" w:color="auto"/>
          </w:divBdr>
        </w:div>
        <w:div w:id="885486870">
          <w:marLeft w:val="640"/>
          <w:marRight w:val="0"/>
          <w:marTop w:val="0"/>
          <w:marBottom w:val="0"/>
          <w:divBdr>
            <w:top w:val="none" w:sz="0" w:space="0" w:color="auto"/>
            <w:left w:val="none" w:sz="0" w:space="0" w:color="auto"/>
            <w:bottom w:val="none" w:sz="0" w:space="0" w:color="auto"/>
            <w:right w:val="none" w:sz="0" w:space="0" w:color="auto"/>
          </w:divBdr>
        </w:div>
        <w:div w:id="1401636468">
          <w:marLeft w:val="640"/>
          <w:marRight w:val="0"/>
          <w:marTop w:val="0"/>
          <w:marBottom w:val="0"/>
          <w:divBdr>
            <w:top w:val="none" w:sz="0" w:space="0" w:color="auto"/>
            <w:left w:val="none" w:sz="0" w:space="0" w:color="auto"/>
            <w:bottom w:val="none" w:sz="0" w:space="0" w:color="auto"/>
            <w:right w:val="none" w:sz="0" w:space="0" w:color="auto"/>
          </w:divBdr>
        </w:div>
        <w:div w:id="1619291962">
          <w:marLeft w:val="640"/>
          <w:marRight w:val="0"/>
          <w:marTop w:val="0"/>
          <w:marBottom w:val="0"/>
          <w:divBdr>
            <w:top w:val="none" w:sz="0" w:space="0" w:color="auto"/>
            <w:left w:val="none" w:sz="0" w:space="0" w:color="auto"/>
            <w:bottom w:val="none" w:sz="0" w:space="0" w:color="auto"/>
            <w:right w:val="none" w:sz="0" w:space="0" w:color="auto"/>
          </w:divBdr>
        </w:div>
        <w:div w:id="1812750123">
          <w:marLeft w:val="640"/>
          <w:marRight w:val="0"/>
          <w:marTop w:val="0"/>
          <w:marBottom w:val="0"/>
          <w:divBdr>
            <w:top w:val="none" w:sz="0" w:space="0" w:color="auto"/>
            <w:left w:val="none" w:sz="0" w:space="0" w:color="auto"/>
            <w:bottom w:val="none" w:sz="0" w:space="0" w:color="auto"/>
            <w:right w:val="none" w:sz="0" w:space="0" w:color="auto"/>
          </w:divBdr>
        </w:div>
        <w:div w:id="1172377876">
          <w:marLeft w:val="640"/>
          <w:marRight w:val="0"/>
          <w:marTop w:val="0"/>
          <w:marBottom w:val="0"/>
          <w:divBdr>
            <w:top w:val="none" w:sz="0" w:space="0" w:color="auto"/>
            <w:left w:val="none" w:sz="0" w:space="0" w:color="auto"/>
            <w:bottom w:val="none" w:sz="0" w:space="0" w:color="auto"/>
            <w:right w:val="none" w:sz="0" w:space="0" w:color="auto"/>
          </w:divBdr>
        </w:div>
        <w:div w:id="642274268">
          <w:marLeft w:val="640"/>
          <w:marRight w:val="0"/>
          <w:marTop w:val="0"/>
          <w:marBottom w:val="0"/>
          <w:divBdr>
            <w:top w:val="none" w:sz="0" w:space="0" w:color="auto"/>
            <w:left w:val="none" w:sz="0" w:space="0" w:color="auto"/>
            <w:bottom w:val="none" w:sz="0" w:space="0" w:color="auto"/>
            <w:right w:val="none" w:sz="0" w:space="0" w:color="auto"/>
          </w:divBdr>
        </w:div>
        <w:div w:id="1579291994">
          <w:marLeft w:val="640"/>
          <w:marRight w:val="0"/>
          <w:marTop w:val="0"/>
          <w:marBottom w:val="0"/>
          <w:divBdr>
            <w:top w:val="none" w:sz="0" w:space="0" w:color="auto"/>
            <w:left w:val="none" w:sz="0" w:space="0" w:color="auto"/>
            <w:bottom w:val="none" w:sz="0" w:space="0" w:color="auto"/>
            <w:right w:val="none" w:sz="0" w:space="0" w:color="auto"/>
          </w:divBdr>
        </w:div>
        <w:div w:id="870845617">
          <w:marLeft w:val="640"/>
          <w:marRight w:val="0"/>
          <w:marTop w:val="0"/>
          <w:marBottom w:val="0"/>
          <w:divBdr>
            <w:top w:val="none" w:sz="0" w:space="0" w:color="auto"/>
            <w:left w:val="none" w:sz="0" w:space="0" w:color="auto"/>
            <w:bottom w:val="none" w:sz="0" w:space="0" w:color="auto"/>
            <w:right w:val="none" w:sz="0" w:space="0" w:color="auto"/>
          </w:divBdr>
        </w:div>
        <w:div w:id="1731920546">
          <w:marLeft w:val="640"/>
          <w:marRight w:val="0"/>
          <w:marTop w:val="0"/>
          <w:marBottom w:val="0"/>
          <w:divBdr>
            <w:top w:val="none" w:sz="0" w:space="0" w:color="auto"/>
            <w:left w:val="none" w:sz="0" w:space="0" w:color="auto"/>
            <w:bottom w:val="none" w:sz="0" w:space="0" w:color="auto"/>
            <w:right w:val="none" w:sz="0" w:space="0" w:color="auto"/>
          </w:divBdr>
        </w:div>
        <w:div w:id="690497187">
          <w:marLeft w:val="640"/>
          <w:marRight w:val="0"/>
          <w:marTop w:val="0"/>
          <w:marBottom w:val="0"/>
          <w:divBdr>
            <w:top w:val="none" w:sz="0" w:space="0" w:color="auto"/>
            <w:left w:val="none" w:sz="0" w:space="0" w:color="auto"/>
            <w:bottom w:val="none" w:sz="0" w:space="0" w:color="auto"/>
            <w:right w:val="none" w:sz="0" w:space="0" w:color="auto"/>
          </w:divBdr>
        </w:div>
        <w:div w:id="1004287360">
          <w:marLeft w:val="640"/>
          <w:marRight w:val="0"/>
          <w:marTop w:val="0"/>
          <w:marBottom w:val="0"/>
          <w:divBdr>
            <w:top w:val="none" w:sz="0" w:space="0" w:color="auto"/>
            <w:left w:val="none" w:sz="0" w:space="0" w:color="auto"/>
            <w:bottom w:val="none" w:sz="0" w:space="0" w:color="auto"/>
            <w:right w:val="none" w:sz="0" w:space="0" w:color="auto"/>
          </w:divBdr>
        </w:div>
        <w:div w:id="322969906">
          <w:marLeft w:val="640"/>
          <w:marRight w:val="0"/>
          <w:marTop w:val="0"/>
          <w:marBottom w:val="0"/>
          <w:divBdr>
            <w:top w:val="none" w:sz="0" w:space="0" w:color="auto"/>
            <w:left w:val="none" w:sz="0" w:space="0" w:color="auto"/>
            <w:bottom w:val="none" w:sz="0" w:space="0" w:color="auto"/>
            <w:right w:val="none" w:sz="0" w:space="0" w:color="auto"/>
          </w:divBdr>
        </w:div>
        <w:div w:id="1193958743">
          <w:marLeft w:val="640"/>
          <w:marRight w:val="0"/>
          <w:marTop w:val="0"/>
          <w:marBottom w:val="0"/>
          <w:divBdr>
            <w:top w:val="none" w:sz="0" w:space="0" w:color="auto"/>
            <w:left w:val="none" w:sz="0" w:space="0" w:color="auto"/>
            <w:bottom w:val="none" w:sz="0" w:space="0" w:color="auto"/>
            <w:right w:val="none" w:sz="0" w:space="0" w:color="auto"/>
          </w:divBdr>
        </w:div>
        <w:div w:id="498693281">
          <w:marLeft w:val="640"/>
          <w:marRight w:val="0"/>
          <w:marTop w:val="0"/>
          <w:marBottom w:val="0"/>
          <w:divBdr>
            <w:top w:val="none" w:sz="0" w:space="0" w:color="auto"/>
            <w:left w:val="none" w:sz="0" w:space="0" w:color="auto"/>
            <w:bottom w:val="none" w:sz="0" w:space="0" w:color="auto"/>
            <w:right w:val="none" w:sz="0" w:space="0" w:color="auto"/>
          </w:divBdr>
        </w:div>
        <w:div w:id="1799639004">
          <w:marLeft w:val="640"/>
          <w:marRight w:val="0"/>
          <w:marTop w:val="0"/>
          <w:marBottom w:val="0"/>
          <w:divBdr>
            <w:top w:val="none" w:sz="0" w:space="0" w:color="auto"/>
            <w:left w:val="none" w:sz="0" w:space="0" w:color="auto"/>
            <w:bottom w:val="none" w:sz="0" w:space="0" w:color="auto"/>
            <w:right w:val="none" w:sz="0" w:space="0" w:color="auto"/>
          </w:divBdr>
        </w:div>
        <w:div w:id="855971487">
          <w:marLeft w:val="640"/>
          <w:marRight w:val="0"/>
          <w:marTop w:val="0"/>
          <w:marBottom w:val="0"/>
          <w:divBdr>
            <w:top w:val="none" w:sz="0" w:space="0" w:color="auto"/>
            <w:left w:val="none" w:sz="0" w:space="0" w:color="auto"/>
            <w:bottom w:val="none" w:sz="0" w:space="0" w:color="auto"/>
            <w:right w:val="none" w:sz="0" w:space="0" w:color="auto"/>
          </w:divBdr>
        </w:div>
        <w:div w:id="777600339">
          <w:marLeft w:val="640"/>
          <w:marRight w:val="0"/>
          <w:marTop w:val="0"/>
          <w:marBottom w:val="0"/>
          <w:divBdr>
            <w:top w:val="none" w:sz="0" w:space="0" w:color="auto"/>
            <w:left w:val="none" w:sz="0" w:space="0" w:color="auto"/>
            <w:bottom w:val="none" w:sz="0" w:space="0" w:color="auto"/>
            <w:right w:val="none" w:sz="0" w:space="0" w:color="auto"/>
          </w:divBdr>
        </w:div>
        <w:div w:id="1502771327">
          <w:marLeft w:val="640"/>
          <w:marRight w:val="0"/>
          <w:marTop w:val="0"/>
          <w:marBottom w:val="0"/>
          <w:divBdr>
            <w:top w:val="none" w:sz="0" w:space="0" w:color="auto"/>
            <w:left w:val="none" w:sz="0" w:space="0" w:color="auto"/>
            <w:bottom w:val="none" w:sz="0" w:space="0" w:color="auto"/>
            <w:right w:val="none" w:sz="0" w:space="0" w:color="auto"/>
          </w:divBdr>
        </w:div>
        <w:div w:id="1602762246">
          <w:marLeft w:val="640"/>
          <w:marRight w:val="0"/>
          <w:marTop w:val="0"/>
          <w:marBottom w:val="0"/>
          <w:divBdr>
            <w:top w:val="none" w:sz="0" w:space="0" w:color="auto"/>
            <w:left w:val="none" w:sz="0" w:space="0" w:color="auto"/>
            <w:bottom w:val="none" w:sz="0" w:space="0" w:color="auto"/>
            <w:right w:val="none" w:sz="0" w:space="0" w:color="auto"/>
          </w:divBdr>
        </w:div>
        <w:div w:id="275872746">
          <w:marLeft w:val="640"/>
          <w:marRight w:val="0"/>
          <w:marTop w:val="0"/>
          <w:marBottom w:val="0"/>
          <w:divBdr>
            <w:top w:val="none" w:sz="0" w:space="0" w:color="auto"/>
            <w:left w:val="none" w:sz="0" w:space="0" w:color="auto"/>
            <w:bottom w:val="none" w:sz="0" w:space="0" w:color="auto"/>
            <w:right w:val="none" w:sz="0" w:space="0" w:color="auto"/>
          </w:divBdr>
        </w:div>
        <w:div w:id="2002344159">
          <w:marLeft w:val="640"/>
          <w:marRight w:val="0"/>
          <w:marTop w:val="0"/>
          <w:marBottom w:val="0"/>
          <w:divBdr>
            <w:top w:val="none" w:sz="0" w:space="0" w:color="auto"/>
            <w:left w:val="none" w:sz="0" w:space="0" w:color="auto"/>
            <w:bottom w:val="none" w:sz="0" w:space="0" w:color="auto"/>
            <w:right w:val="none" w:sz="0" w:space="0" w:color="auto"/>
          </w:divBdr>
        </w:div>
        <w:div w:id="864899892">
          <w:marLeft w:val="640"/>
          <w:marRight w:val="0"/>
          <w:marTop w:val="0"/>
          <w:marBottom w:val="0"/>
          <w:divBdr>
            <w:top w:val="none" w:sz="0" w:space="0" w:color="auto"/>
            <w:left w:val="none" w:sz="0" w:space="0" w:color="auto"/>
            <w:bottom w:val="none" w:sz="0" w:space="0" w:color="auto"/>
            <w:right w:val="none" w:sz="0" w:space="0" w:color="auto"/>
          </w:divBdr>
        </w:div>
        <w:div w:id="1183671670">
          <w:marLeft w:val="640"/>
          <w:marRight w:val="0"/>
          <w:marTop w:val="0"/>
          <w:marBottom w:val="0"/>
          <w:divBdr>
            <w:top w:val="none" w:sz="0" w:space="0" w:color="auto"/>
            <w:left w:val="none" w:sz="0" w:space="0" w:color="auto"/>
            <w:bottom w:val="none" w:sz="0" w:space="0" w:color="auto"/>
            <w:right w:val="none" w:sz="0" w:space="0" w:color="auto"/>
          </w:divBdr>
        </w:div>
        <w:div w:id="1589774981">
          <w:marLeft w:val="640"/>
          <w:marRight w:val="0"/>
          <w:marTop w:val="0"/>
          <w:marBottom w:val="0"/>
          <w:divBdr>
            <w:top w:val="none" w:sz="0" w:space="0" w:color="auto"/>
            <w:left w:val="none" w:sz="0" w:space="0" w:color="auto"/>
            <w:bottom w:val="none" w:sz="0" w:space="0" w:color="auto"/>
            <w:right w:val="none" w:sz="0" w:space="0" w:color="auto"/>
          </w:divBdr>
        </w:div>
        <w:div w:id="1978103717">
          <w:marLeft w:val="640"/>
          <w:marRight w:val="0"/>
          <w:marTop w:val="0"/>
          <w:marBottom w:val="0"/>
          <w:divBdr>
            <w:top w:val="none" w:sz="0" w:space="0" w:color="auto"/>
            <w:left w:val="none" w:sz="0" w:space="0" w:color="auto"/>
            <w:bottom w:val="none" w:sz="0" w:space="0" w:color="auto"/>
            <w:right w:val="none" w:sz="0" w:space="0" w:color="auto"/>
          </w:divBdr>
        </w:div>
        <w:div w:id="2139057590">
          <w:marLeft w:val="640"/>
          <w:marRight w:val="0"/>
          <w:marTop w:val="0"/>
          <w:marBottom w:val="0"/>
          <w:divBdr>
            <w:top w:val="none" w:sz="0" w:space="0" w:color="auto"/>
            <w:left w:val="none" w:sz="0" w:space="0" w:color="auto"/>
            <w:bottom w:val="none" w:sz="0" w:space="0" w:color="auto"/>
            <w:right w:val="none" w:sz="0" w:space="0" w:color="auto"/>
          </w:divBdr>
        </w:div>
        <w:div w:id="1905331514">
          <w:marLeft w:val="640"/>
          <w:marRight w:val="0"/>
          <w:marTop w:val="0"/>
          <w:marBottom w:val="0"/>
          <w:divBdr>
            <w:top w:val="none" w:sz="0" w:space="0" w:color="auto"/>
            <w:left w:val="none" w:sz="0" w:space="0" w:color="auto"/>
            <w:bottom w:val="none" w:sz="0" w:space="0" w:color="auto"/>
            <w:right w:val="none" w:sz="0" w:space="0" w:color="auto"/>
          </w:divBdr>
        </w:div>
        <w:div w:id="1991981792">
          <w:marLeft w:val="640"/>
          <w:marRight w:val="0"/>
          <w:marTop w:val="0"/>
          <w:marBottom w:val="0"/>
          <w:divBdr>
            <w:top w:val="none" w:sz="0" w:space="0" w:color="auto"/>
            <w:left w:val="none" w:sz="0" w:space="0" w:color="auto"/>
            <w:bottom w:val="none" w:sz="0" w:space="0" w:color="auto"/>
            <w:right w:val="none" w:sz="0" w:space="0" w:color="auto"/>
          </w:divBdr>
        </w:div>
        <w:div w:id="620722503">
          <w:marLeft w:val="640"/>
          <w:marRight w:val="0"/>
          <w:marTop w:val="0"/>
          <w:marBottom w:val="0"/>
          <w:divBdr>
            <w:top w:val="none" w:sz="0" w:space="0" w:color="auto"/>
            <w:left w:val="none" w:sz="0" w:space="0" w:color="auto"/>
            <w:bottom w:val="none" w:sz="0" w:space="0" w:color="auto"/>
            <w:right w:val="none" w:sz="0" w:space="0" w:color="auto"/>
          </w:divBdr>
        </w:div>
        <w:div w:id="1039282033">
          <w:marLeft w:val="640"/>
          <w:marRight w:val="0"/>
          <w:marTop w:val="0"/>
          <w:marBottom w:val="0"/>
          <w:divBdr>
            <w:top w:val="none" w:sz="0" w:space="0" w:color="auto"/>
            <w:left w:val="none" w:sz="0" w:space="0" w:color="auto"/>
            <w:bottom w:val="none" w:sz="0" w:space="0" w:color="auto"/>
            <w:right w:val="none" w:sz="0" w:space="0" w:color="auto"/>
          </w:divBdr>
        </w:div>
        <w:div w:id="1082097387">
          <w:marLeft w:val="640"/>
          <w:marRight w:val="0"/>
          <w:marTop w:val="0"/>
          <w:marBottom w:val="0"/>
          <w:divBdr>
            <w:top w:val="none" w:sz="0" w:space="0" w:color="auto"/>
            <w:left w:val="none" w:sz="0" w:space="0" w:color="auto"/>
            <w:bottom w:val="none" w:sz="0" w:space="0" w:color="auto"/>
            <w:right w:val="none" w:sz="0" w:space="0" w:color="auto"/>
          </w:divBdr>
        </w:div>
        <w:div w:id="314726663">
          <w:marLeft w:val="640"/>
          <w:marRight w:val="0"/>
          <w:marTop w:val="0"/>
          <w:marBottom w:val="0"/>
          <w:divBdr>
            <w:top w:val="none" w:sz="0" w:space="0" w:color="auto"/>
            <w:left w:val="none" w:sz="0" w:space="0" w:color="auto"/>
            <w:bottom w:val="none" w:sz="0" w:space="0" w:color="auto"/>
            <w:right w:val="none" w:sz="0" w:space="0" w:color="auto"/>
          </w:divBdr>
        </w:div>
        <w:div w:id="2064137477">
          <w:marLeft w:val="640"/>
          <w:marRight w:val="0"/>
          <w:marTop w:val="0"/>
          <w:marBottom w:val="0"/>
          <w:divBdr>
            <w:top w:val="none" w:sz="0" w:space="0" w:color="auto"/>
            <w:left w:val="none" w:sz="0" w:space="0" w:color="auto"/>
            <w:bottom w:val="none" w:sz="0" w:space="0" w:color="auto"/>
            <w:right w:val="none" w:sz="0" w:space="0" w:color="auto"/>
          </w:divBdr>
        </w:div>
        <w:div w:id="1507746949">
          <w:marLeft w:val="640"/>
          <w:marRight w:val="0"/>
          <w:marTop w:val="0"/>
          <w:marBottom w:val="0"/>
          <w:divBdr>
            <w:top w:val="none" w:sz="0" w:space="0" w:color="auto"/>
            <w:left w:val="none" w:sz="0" w:space="0" w:color="auto"/>
            <w:bottom w:val="none" w:sz="0" w:space="0" w:color="auto"/>
            <w:right w:val="none" w:sz="0" w:space="0" w:color="auto"/>
          </w:divBdr>
        </w:div>
        <w:div w:id="1914242655">
          <w:marLeft w:val="640"/>
          <w:marRight w:val="0"/>
          <w:marTop w:val="0"/>
          <w:marBottom w:val="0"/>
          <w:divBdr>
            <w:top w:val="none" w:sz="0" w:space="0" w:color="auto"/>
            <w:left w:val="none" w:sz="0" w:space="0" w:color="auto"/>
            <w:bottom w:val="none" w:sz="0" w:space="0" w:color="auto"/>
            <w:right w:val="none" w:sz="0" w:space="0" w:color="auto"/>
          </w:divBdr>
        </w:div>
        <w:div w:id="729885739">
          <w:marLeft w:val="640"/>
          <w:marRight w:val="0"/>
          <w:marTop w:val="0"/>
          <w:marBottom w:val="0"/>
          <w:divBdr>
            <w:top w:val="none" w:sz="0" w:space="0" w:color="auto"/>
            <w:left w:val="none" w:sz="0" w:space="0" w:color="auto"/>
            <w:bottom w:val="none" w:sz="0" w:space="0" w:color="auto"/>
            <w:right w:val="none" w:sz="0" w:space="0" w:color="auto"/>
          </w:divBdr>
        </w:div>
        <w:div w:id="543755122">
          <w:marLeft w:val="640"/>
          <w:marRight w:val="0"/>
          <w:marTop w:val="0"/>
          <w:marBottom w:val="0"/>
          <w:divBdr>
            <w:top w:val="none" w:sz="0" w:space="0" w:color="auto"/>
            <w:left w:val="none" w:sz="0" w:space="0" w:color="auto"/>
            <w:bottom w:val="none" w:sz="0" w:space="0" w:color="auto"/>
            <w:right w:val="none" w:sz="0" w:space="0" w:color="auto"/>
          </w:divBdr>
        </w:div>
        <w:div w:id="1919317314">
          <w:marLeft w:val="640"/>
          <w:marRight w:val="0"/>
          <w:marTop w:val="0"/>
          <w:marBottom w:val="0"/>
          <w:divBdr>
            <w:top w:val="none" w:sz="0" w:space="0" w:color="auto"/>
            <w:left w:val="none" w:sz="0" w:space="0" w:color="auto"/>
            <w:bottom w:val="none" w:sz="0" w:space="0" w:color="auto"/>
            <w:right w:val="none" w:sz="0" w:space="0" w:color="auto"/>
          </w:divBdr>
        </w:div>
        <w:div w:id="515463166">
          <w:marLeft w:val="640"/>
          <w:marRight w:val="0"/>
          <w:marTop w:val="0"/>
          <w:marBottom w:val="0"/>
          <w:divBdr>
            <w:top w:val="none" w:sz="0" w:space="0" w:color="auto"/>
            <w:left w:val="none" w:sz="0" w:space="0" w:color="auto"/>
            <w:bottom w:val="none" w:sz="0" w:space="0" w:color="auto"/>
            <w:right w:val="none" w:sz="0" w:space="0" w:color="auto"/>
          </w:divBdr>
        </w:div>
        <w:div w:id="1064454119">
          <w:marLeft w:val="640"/>
          <w:marRight w:val="0"/>
          <w:marTop w:val="0"/>
          <w:marBottom w:val="0"/>
          <w:divBdr>
            <w:top w:val="none" w:sz="0" w:space="0" w:color="auto"/>
            <w:left w:val="none" w:sz="0" w:space="0" w:color="auto"/>
            <w:bottom w:val="none" w:sz="0" w:space="0" w:color="auto"/>
            <w:right w:val="none" w:sz="0" w:space="0" w:color="auto"/>
          </w:divBdr>
        </w:div>
        <w:div w:id="1358195794">
          <w:marLeft w:val="640"/>
          <w:marRight w:val="0"/>
          <w:marTop w:val="0"/>
          <w:marBottom w:val="0"/>
          <w:divBdr>
            <w:top w:val="none" w:sz="0" w:space="0" w:color="auto"/>
            <w:left w:val="none" w:sz="0" w:space="0" w:color="auto"/>
            <w:bottom w:val="none" w:sz="0" w:space="0" w:color="auto"/>
            <w:right w:val="none" w:sz="0" w:space="0" w:color="auto"/>
          </w:divBdr>
        </w:div>
        <w:div w:id="1326973635">
          <w:marLeft w:val="640"/>
          <w:marRight w:val="0"/>
          <w:marTop w:val="0"/>
          <w:marBottom w:val="0"/>
          <w:divBdr>
            <w:top w:val="none" w:sz="0" w:space="0" w:color="auto"/>
            <w:left w:val="none" w:sz="0" w:space="0" w:color="auto"/>
            <w:bottom w:val="none" w:sz="0" w:space="0" w:color="auto"/>
            <w:right w:val="none" w:sz="0" w:space="0" w:color="auto"/>
          </w:divBdr>
        </w:div>
        <w:div w:id="63993858">
          <w:marLeft w:val="640"/>
          <w:marRight w:val="0"/>
          <w:marTop w:val="0"/>
          <w:marBottom w:val="0"/>
          <w:divBdr>
            <w:top w:val="none" w:sz="0" w:space="0" w:color="auto"/>
            <w:left w:val="none" w:sz="0" w:space="0" w:color="auto"/>
            <w:bottom w:val="none" w:sz="0" w:space="0" w:color="auto"/>
            <w:right w:val="none" w:sz="0" w:space="0" w:color="auto"/>
          </w:divBdr>
        </w:div>
        <w:div w:id="247663164">
          <w:marLeft w:val="640"/>
          <w:marRight w:val="0"/>
          <w:marTop w:val="0"/>
          <w:marBottom w:val="0"/>
          <w:divBdr>
            <w:top w:val="none" w:sz="0" w:space="0" w:color="auto"/>
            <w:left w:val="none" w:sz="0" w:space="0" w:color="auto"/>
            <w:bottom w:val="none" w:sz="0" w:space="0" w:color="auto"/>
            <w:right w:val="none" w:sz="0" w:space="0" w:color="auto"/>
          </w:divBdr>
        </w:div>
        <w:div w:id="1083138089">
          <w:marLeft w:val="640"/>
          <w:marRight w:val="0"/>
          <w:marTop w:val="0"/>
          <w:marBottom w:val="0"/>
          <w:divBdr>
            <w:top w:val="none" w:sz="0" w:space="0" w:color="auto"/>
            <w:left w:val="none" w:sz="0" w:space="0" w:color="auto"/>
            <w:bottom w:val="none" w:sz="0" w:space="0" w:color="auto"/>
            <w:right w:val="none" w:sz="0" w:space="0" w:color="auto"/>
          </w:divBdr>
        </w:div>
        <w:div w:id="1128936419">
          <w:marLeft w:val="640"/>
          <w:marRight w:val="0"/>
          <w:marTop w:val="0"/>
          <w:marBottom w:val="0"/>
          <w:divBdr>
            <w:top w:val="none" w:sz="0" w:space="0" w:color="auto"/>
            <w:left w:val="none" w:sz="0" w:space="0" w:color="auto"/>
            <w:bottom w:val="none" w:sz="0" w:space="0" w:color="auto"/>
            <w:right w:val="none" w:sz="0" w:space="0" w:color="auto"/>
          </w:divBdr>
        </w:div>
        <w:div w:id="1201825260">
          <w:marLeft w:val="640"/>
          <w:marRight w:val="0"/>
          <w:marTop w:val="0"/>
          <w:marBottom w:val="0"/>
          <w:divBdr>
            <w:top w:val="none" w:sz="0" w:space="0" w:color="auto"/>
            <w:left w:val="none" w:sz="0" w:space="0" w:color="auto"/>
            <w:bottom w:val="none" w:sz="0" w:space="0" w:color="auto"/>
            <w:right w:val="none" w:sz="0" w:space="0" w:color="auto"/>
          </w:divBdr>
        </w:div>
        <w:div w:id="582419359">
          <w:marLeft w:val="640"/>
          <w:marRight w:val="0"/>
          <w:marTop w:val="0"/>
          <w:marBottom w:val="0"/>
          <w:divBdr>
            <w:top w:val="none" w:sz="0" w:space="0" w:color="auto"/>
            <w:left w:val="none" w:sz="0" w:space="0" w:color="auto"/>
            <w:bottom w:val="none" w:sz="0" w:space="0" w:color="auto"/>
            <w:right w:val="none" w:sz="0" w:space="0" w:color="auto"/>
          </w:divBdr>
        </w:div>
        <w:div w:id="400563595">
          <w:marLeft w:val="640"/>
          <w:marRight w:val="0"/>
          <w:marTop w:val="0"/>
          <w:marBottom w:val="0"/>
          <w:divBdr>
            <w:top w:val="none" w:sz="0" w:space="0" w:color="auto"/>
            <w:left w:val="none" w:sz="0" w:space="0" w:color="auto"/>
            <w:bottom w:val="none" w:sz="0" w:space="0" w:color="auto"/>
            <w:right w:val="none" w:sz="0" w:space="0" w:color="auto"/>
          </w:divBdr>
        </w:div>
        <w:div w:id="515077608">
          <w:marLeft w:val="640"/>
          <w:marRight w:val="0"/>
          <w:marTop w:val="0"/>
          <w:marBottom w:val="0"/>
          <w:divBdr>
            <w:top w:val="none" w:sz="0" w:space="0" w:color="auto"/>
            <w:left w:val="none" w:sz="0" w:space="0" w:color="auto"/>
            <w:bottom w:val="none" w:sz="0" w:space="0" w:color="auto"/>
            <w:right w:val="none" w:sz="0" w:space="0" w:color="auto"/>
          </w:divBdr>
        </w:div>
        <w:div w:id="543180807">
          <w:marLeft w:val="640"/>
          <w:marRight w:val="0"/>
          <w:marTop w:val="0"/>
          <w:marBottom w:val="0"/>
          <w:divBdr>
            <w:top w:val="none" w:sz="0" w:space="0" w:color="auto"/>
            <w:left w:val="none" w:sz="0" w:space="0" w:color="auto"/>
            <w:bottom w:val="none" w:sz="0" w:space="0" w:color="auto"/>
            <w:right w:val="none" w:sz="0" w:space="0" w:color="auto"/>
          </w:divBdr>
        </w:div>
        <w:div w:id="1312448231">
          <w:marLeft w:val="640"/>
          <w:marRight w:val="0"/>
          <w:marTop w:val="0"/>
          <w:marBottom w:val="0"/>
          <w:divBdr>
            <w:top w:val="none" w:sz="0" w:space="0" w:color="auto"/>
            <w:left w:val="none" w:sz="0" w:space="0" w:color="auto"/>
            <w:bottom w:val="none" w:sz="0" w:space="0" w:color="auto"/>
            <w:right w:val="none" w:sz="0" w:space="0" w:color="auto"/>
          </w:divBdr>
        </w:div>
        <w:div w:id="1086918776">
          <w:marLeft w:val="640"/>
          <w:marRight w:val="0"/>
          <w:marTop w:val="0"/>
          <w:marBottom w:val="0"/>
          <w:divBdr>
            <w:top w:val="none" w:sz="0" w:space="0" w:color="auto"/>
            <w:left w:val="none" w:sz="0" w:space="0" w:color="auto"/>
            <w:bottom w:val="none" w:sz="0" w:space="0" w:color="auto"/>
            <w:right w:val="none" w:sz="0" w:space="0" w:color="auto"/>
          </w:divBdr>
        </w:div>
        <w:div w:id="1507282407">
          <w:marLeft w:val="640"/>
          <w:marRight w:val="0"/>
          <w:marTop w:val="0"/>
          <w:marBottom w:val="0"/>
          <w:divBdr>
            <w:top w:val="none" w:sz="0" w:space="0" w:color="auto"/>
            <w:left w:val="none" w:sz="0" w:space="0" w:color="auto"/>
            <w:bottom w:val="none" w:sz="0" w:space="0" w:color="auto"/>
            <w:right w:val="none" w:sz="0" w:space="0" w:color="auto"/>
          </w:divBdr>
        </w:div>
        <w:div w:id="1893886114">
          <w:marLeft w:val="640"/>
          <w:marRight w:val="0"/>
          <w:marTop w:val="0"/>
          <w:marBottom w:val="0"/>
          <w:divBdr>
            <w:top w:val="none" w:sz="0" w:space="0" w:color="auto"/>
            <w:left w:val="none" w:sz="0" w:space="0" w:color="auto"/>
            <w:bottom w:val="none" w:sz="0" w:space="0" w:color="auto"/>
            <w:right w:val="none" w:sz="0" w:space="0" w:color="auto"/>
          </w:divBdr>
        </w:div>
        <w:div w:id="496968148">
          <w:marLeft w:val="640"/>
          <w:marRight w:val="0"/>
          <w:marTop w:val="0"/>
          <w:marBottom w:val="0"/>
          <w:divBdr>
            <w:top w:val="none" w:sz="0" w:space="0" w:color="auto"/>
            <w:left w:val="none" w:sz="0" w:space="0" w:color="auto"/>
            <w:bottom w:val="none" w:sz="0" w:space="0" w:color="auto"/>
            <w:right w:val="none" w:sz="0" w:space="0" w:color="auto"/>
          </w:divBdr>
        </w:div>
        <w:div w:id="922879930">
          <w:marLeft w:val="640"/>
          <w:marRight w:val="0"/>
          <w:marTop w:val="0"/>
          <w:marBottom w:val="0"/>
          <w:divBdr>
            <w:top w:val="none" w:sz="0" w:space="0" w:color="auto"/>
            <w:left w:val="none" w:sz="0" w:space="0" w:color="auto"/>
            <w:bottom w:val="none" w:sz="0" w:space="0" w:color="auto"/>
            <w:right w:val="none" w:sz="0" w:space="0" w:color="auto"/>
          </w:divBdr>
        </w:div>
        <w:div w:id="820777171">
          <w:marLeft w:val="640"/>
          <w:marRight w:val="0"/>
          <w:marTop w:val="0"/>
          <w:marBottom w:val="0"/>
          <w:divBdr>
            <w:top w:val="none" w:sz="0" w:space="0" w:color="auto"/>
            <w:left w:val="none" w:sz="0" w:space="0" w:color="auto"/>
            <w:bottom w:val="none" w:sz="0" w:space="0" w:color="auto"/>
            <w:right w:val="none" w:sz="0" w:space="0" w:color="auto"/>
          </w:divBdr>
        </w:div>
        <w:div w:id="1284113096">
          <w:marLeft w:val="640"/>
          <w:marRight w:val="0"/>
          <w:marTop w:val="0"/>
          <w:marBottom w:val="0"/>
          <w:divBdr>
            <w:top w:val="none" w:sz="0" w:space="0" w:color="auto"/>
            <w:left w:val="none" w:sz="0" w:space="0" w:color="auto"/>
            <w:bottom w:val="none" w:sz="0" w:space="0" w:color="auto"/>
            <w:right w:val="none" w:sz="0" w:space="0" w:color="auto"/>
          </w:divBdr>
        </w:div>
        <w:div w:id="1778284378">
          <w:marLeft w:val="640"/>
          <w:marRight w:val="0"/>
          <w:marTop w:val="0"/>
          <w:marBottom w:val="0"/>
          <w:divBdr>
            <w:top w:val="none" w:sz="0" w:space="0" w:color="auto"/>
            <w:left w:val="none" w:sz="0" w:space="0" w:color="auto"/>
            <w:bottom w:val="none" w:sz="0" w:space="0" w:color="auto"/>
            <w:right w:val="none" w:sz="0" w:space="0" w:color="auto"/>
          </w:divBdr>
        </w:div>
        <w:div w:id="1838035939">
          <w:marLeft w:val="640"/>
          <w:marRight w:val="0"/>
          <w:marTop w:val="0"/>
          <w:marBottom w:val="0"/>
          <w:divBdr>
            <w:top w:val="none" w:sz="0" w:space="0" w:color="auto"/>
            <w:left w:val="none" w:sz="0" w:space="0" w:color="auto"/>
            <w:bottom w:val="none" w:sz="0" w:space="0" w:color="auto"/>
            <w:right w:val="none" w:sz="0" w:space="0" w:color="auto"/>
          </w:divBdr>
        </w:div>
        <w:div w:id="266229742">
          <w:marLeft w:val="640"/>
          <w:marRight w:val="0"/>
          <w:marTop w:val="0"/>
          <w:marBottom w:val="0"/>
          <w:divBdr>
            <w:top w:val="none" w:sz="0" w:space="0" w:color="auto"/>
            <w:left w:val="none" w:sz="0" w:space="0" w:color="auto"/>
            <w:bottom w:val="none" w:sz="0" w:space="0" w:color="auto"/>
            <w:right w:val="none" w:sz="0" w:space="0" w:color="auto"/>
          </w:divBdr>
        </w:div>
        <w:div w:id="1457017921">
          <w:marLeft w:val="640"/>
          <w:marRight w:val="0"/>
          <w:marTop w:val="0"/>
          <w:marBottom w:val="0"/>
          <w:divBdr>
            <w:top w:val="none" w:sz="0" w:space="0" w:color="auto"/>
            <w:left w:val="none" w:sz="0" w:space="0" w:color="auto"/>
            <w:bottom w:val="none" w:sz="0" w:space="0" w:color="auto"/>
            <w:right w:val="none" w:sz="0" w:space="0" w:color="auto"/>
          </w:divBdr>
        </w:div>
        <w:div w:id="239490552">
          <w:marLeft w:val="640"/>
          <w:marRight w:val="0"/>
          <w:marTop w:val="0"/>
          <w:marBottom w:val="0"/>
          <w:divBdr>
            <w:top w:val="none" w:sz="0" w:space="0" w:color="auto"/>
            <w:left w:val="none" w:sz="0" w:space="0" w:color="auto"/>
            <w:bottom w:val="none" w:sz="0" w:space="0" w:color="auto"/>
            <w:right w:val="none" w:sz="0" w:space="0" w:color="auto"/>
          </w:divBdr>
        </w:div>
        <w:div w:id="1172601522">
          <w:marLeft w:val="640"/>
          <w:marRight w:val="0"/>
          <w:marTop w:val="0"/>
          <w:marBottom w:val="0"/>
          <w:divBdr>
            <w:top w:val="none" w:sz="0" w:space="0" w:color="auto"/>
            <w:left w:val="none" w:sz="0" w:space="0" w:color="auto"/>
            <w:bottom w:val="none" w:sz="0" w:space="0" w:color="auto"/>
            <w:right w:val="none" w:sz="0" w:space="0" w:color="auto"/>
          </w:divBdr>
        </w:div>
        <w:div w:id="230701229">
          <w:marLeft w:val="640"/>
          <w:marRight w:val="0"/>
          <w:marTop w:val="0"/>
          <w:marBottom w:val="0"/>
          <w:divBdr>
            <w:top w:val="none" w:sz="0" w:space="0" w:color="auto"/>
            <w:left w:val="none" w:sz="0" w:space="0" w:color="auto"/>
            <w:bottom w:val="none" w:sz="0" w:space="0" w:color="auto"/>
            <w:right w:val="none" w:sz="0" w:space="0" w:color="auto"/>
          </w:divBdr>
        </w:div>
        <w:div w:id="1058937526">
          <w:marLeft w:val="640"/>
          <w:marRight w:val="0"/>
          <w:marTop w:val="0"/>
          <w:marBottom w:val="0"/>
          <w:divBdr>
            <w:top w:val="none" w:sz="0" w:space="0" w:color="auto"/>
            <w:left w:val="none" w:sz="0" w:space="0" w:color="auto"/>
            <w:bottom w:val="none" w:sz="0" w:space="0" w:color="auto"/>
            <w:right w:val="none" w:sz="0" w:space="0" w:color="auto"/>
          </w:divBdr>
        </w:div>
        <w:div w:id="1248147373">
          <w:marLeft w:val="640"/>
          <w:marRight w:val="0"/>
          <w:marTop w:val="0"/>
          <w:marBottom w:val="0"/>
          <w:divBdr>
            <w:top w:val="none" w:sz="0" w:space="0" w:color="auto"/>
            <w:left w:val="none" w:sz="0" w:space="0" w:color="auto"/>
            <w:bottom w:val="none" w:sz="0" w:space="0" w:color="auto"/>
            <w:right w:val="none" w:sz="0" w:space="0" w:color="auto"/>
          </w:divBdr>
        </w:div>
        <w:div w:id="2002151273">
          <w:marLeft w:val="640"/>
          <w:marRight w:val="0"/>
          <w:marTop w:val="0"/>
          <w:marBottom w:val="0"/>
          <w:divBdr>
            <w:top w:val="none" w:sz="0" w:space="0" w:color="auto"/>
            <w:left w:val="none" w:sz="0" w:space="0" w:color="auto"/>
            <w:bottom w:val="none" w:sz="0" w:space="0" w:color="auto"/>
            <w:right w:val="none" w:sz="0" w:space="0" w:color="auto"/>
          </w:divBdr>
        </w:div>
        <w:div w:id="1915313759">
          <w:marLeft w:val="640"/>
          <w:marRight w:val="0"/>
          <w:marTop w:val="0"/>
          <w:marBottom w:val="0"/>
          <w:divBdr>
            <w:top w:val="none" w:sz="0" w:space="0" w:color="auto"/>
            <w:left w:val="none" w:sz="0" w:space="0" w:color="auto"/>
            <w:bottom w:val="none" w:sz="0" w:space="0" w:color="auto"/>
            <w:right w:val="none" w:sz="0" w:space="0" w:color="auto"/>
          </w:divBdr>
        </w:div>
        <w:div w:id="237712784">
          <w:marLeft w:val="640"/>
          <w:marRight w:val="0"/>
          <w:marTop w:val="0"/>
          <w:marBottom w:val="0"/>
          <w:divBdr>
            <w:top w:val="none" w:sz="0" w:space="0" w:color="auto"/>
            <w:left w:val="none" w:sz="0" w:space="0" w:color="auto"/>
            <w:bottom w:val="none" w:sz="0" w:space="0" w:color="auto"/>
            <w:right w:val="none" w:sz="0" w:space="0" w:color="auto"/>
          </w:divBdr>
        </w:div>
        <w:div w:id="750852860">
          <w:marLeft w:val="640"/>
          <w:marRight w:val="0"/>
          <w:marTop w:val="0"/>
          <w:marBottom w:val="0"/>
          <w:divBdr>
            <w:top w:val="none" w:sz="0" w:space="0" w:color="auto"/>
            <w:left w:val="none" w:sz="0" w:space="0" w:color="auto"/>
            <w:bottom w:val="none" w:sz="0" w:space="0" w:color="auto"/>
            <w:right w:val="none" w:sz="0" w:space="0" w:color="auto"/>
          </w:divBdr>
        </w:div>
        <w:div w:id="2055035388">
          <w:marLeft w:val="640"/>
          <w:marRight w:val="0"/>
          <w:marTop w:val="0"/>
          <w:marBottom w:val="0"/>
          <w:divBdr>
            <w:top w:val="none" w:sz="0" w:space="0" w:color="auto"/>
            <w:left w:val="none" w:sz="0" w:space="0" w:color="auto"/>
            <w:bottom w:val="none" w:sz="0" w:space="0" w:color="auto"/>
            <w:right w:val="none" w:sz="0" w:space="0" w:color="auto"/>
          </w:divBdr>
        </w:div>
        <w:div w:id="830561008">
          <w:marLeft w:val="640"/>
          <w:marRight w:val="0"/>
          <w:marTop w:val="0"/>
          <w:marBottom w:val="0"/>
          <w:divBdr>
            <w:top w:val="none" w:sz="0" w:space="0" w:color="auto"/>
            <w:left w:val="none" w:sz="0" w:space="0" w:color="auto"/>
            <w:bottom w:val="none" w:sz="0" w:space="0" w:color="auto"/>
            <w:right w:val="none" w:sz="0" w:space="0" w:color="auto"/>
          </w:divBdr>
        </w:div>
        <w:div w:id="259992500">
          <w:marLeft w:val="640"/>
          <w:marRight w:val="0"/>
          <w:marTop w:val="0"/>
          <w:marBottom w:val="0"/>
          <w:divBdr>
            <w:top w:val="none" w:sz="0" w:space="0" w:color="auto"/>
            <w:left w:val="none" w:sz="0" w:space="0" w:color="auto"/>
            <w:bottom w:val="none" w:sz="0" w:space="0" w:color="auto"/>
            <w:right w:val="none" w:sz="0" w:space="0" w:color="auto"/>
          </w:divBdr>
        </w:div>
        <w:div w:id="191575310">
          <w:marLeft w:val="640"/>
          <w:marRight w:val="0"/>
          <w:marTop w:val="0"/>
          <w:marBottom w:val="0"/>
          <w:divBdr>
            <w:top w:val="none" w:sz="0" w:space="0" w:color="auto"/>
            <w:left w:val="none" w:sz="0" w:space="0" w:color="auto"/>
            <w:bottom w:val="none" w:sz="0" w:space="0" w:color="auto"/>
            <w:right w:val="none" w:sz="0" w:space="0" w:color="auto"/>
          </w:divBdr>
        </w:div>
        <w:div w:id="1545829792">
          <w:marLeft w:val="640"/>
          <w:marRight w:val="0"/>
          <w:marTop w:val="0"/>
          <w:marBottom w:val="0"/>
          <w:divBdr>
            <w:top w:val="none" w:sz="0" w:space="0" w:color="auto"/>
            <w:left w:val="none" w:sz="0" w:space="0" w:color="auto"/>
            <w:bottom w:val="none" w:sz="0" w:space="0" w:color="auto"/>
            <w:right w:val="none" w:sz="0" w:space="0" w:color="auto"/>
          </w:divBdr>
        </w:div>
        <w:div w:id="1381705338">
          <w:marLeft w:val="640"/>
          <w:marRight w:val="0"/>
          <w:marTop w:val="0"/>
          <w:marBottom w:val="0"/>
          <w:divBdr>
            <w:top w:val="none" w:sz="0" w:space="0" w:color="auto"/>
            <w:left w:val="none" w:sz="0" w:space="0" w:color="auto"/>
            <w:bottom w:val="none" w:sz="0" w:space="0" w:color="auto"/>
            <w:right w:val="none" w:sz="0" w:space="0" w:color="auto"/>
          </w:divBdr>
        </w:div>
        <w:div w:id="1128469005">
          <w:marLeft w:val="640"/>
          <w:marRight w:val="0"/>
          <w:marTop w:val="0"/>
          <w:marBottom w:val="0"/>
          <w:divBdr>
            <w:top w:val="none" w:sz="0" w:space="0" w:color="auto"/>
            <w:left w:val="none" w:sz="0" w:space="0" w:color="auto"/>
            <w:bottom w:val="none" w:sz="0" w:space="0" w:color="auto"/>
            <w:right w:val="none" w:sz="0" w:space="0" w:color="auto"/>
          </w:divBdr>
        </w:div>
        <w:div w:id="1224873640">
          <w:marLeft w:val="640"/>
          <w:marRight w:val="0"/>
          <w:marTop w:val="0"/>
          <w:marBottom w:val="0"/>
          <w:divBdr>
            <w:top w:val="none" w:sz="0" w:space="0" w:color="auto"/>
            <w:left w:val="none" w:sz="0" w:space="0" w:color="auto"/>
            <w:bottom w:val="none" w:sz="0" w:space="0" w:color="auto"/>
            <w:right w:val="none" w:sz="0" w:space="0" w:color="auto"/>
          </w:divBdr>
        </w:div>
        <w:div w:id="1587880773">
          <w:marLeft w:val="640"/>
          <w:marRight w:val="0"/>
          <w:marTop w:val="0"/>
          <w:marBottom w:val="0"/>
          <w:divBdr>
            <w:top w:val="none" w:sz="0" w:space="0" w:color="auto"/>
            <w:left w:val="none" w:sz="0" w:space="0" w:color="auto"/>
            <w:bottom w:val="none" w:sz="0" w:space="0" w:color="auto"/>
            <w:right w:val="none" w:sz="0" w:space="0" w:color="auto"/>
          </w:divBdr>
        </w:div>
        <w:div w:id="1961571078">
          <w:marLeft w:val="640"/>
          <w:marRight w:val="0"/>
          <w:marTop w:val="0"/>
          <w:marBottom w:val="0"/>
          <w:divBdr>
            <w:top w:val="none" w:sz="0" w:space="0" w:color="auto"/>
            <w:left w:val="none" w:sz="0" w:space="0" w:color="auto"/>
            <w:bottom w:val="none" w:sz="0" w:space="0" w:color="auto"/>
            <w:right w:val="none" w:sz="0" w:space="0" w:color="auto"/>
          </w:divBdr>
        </w:div>
        <w:div w:id="1240214249">
          <w:marLeft w:val="640"/>
          <w:marRight w:val="0"/>
          <w:marTop w:val="0"/>
          <w:marBottom w:val="0"/>
          <w:divBdr>
            <w:top w:val="none" w:sz="0" w:space="0" w:color="auto"/>
            <w:left w:val="none" w:sz="0" w:space="0" w:color="auto"/>
            <w:bottom w:val="none" w:sz="0" w:space="0" w:color="auto"/>
            <w:right w:val="none" w:sz="0" w:space="0" w:color="auto"/>
          </w:divBdr>
        </w:div>
        <w:div w:id="297033980">
          <w:marLeft w:val="640"/>
          <w:marRight w:val="0"/>
          <w:marTop w:val="0"/>
          <w:marBottom w:val="0"/>
          <w:divBdr>
            <w:top w:val="none" w:sz="0" w:space="0" w:color="auto"/>
            <w:left w:val="none" w:sz="0" w:space="0" w:color="auto"/>
            <w:bottom w:val="none" w:sz="0" w:space="0" w:color="auto"/>
            <w:right w:val="none" w:sz="0" w:space="0" w:color="auto"/>
          </w:divBdr>
        </w:div>
        <w:div w:id="1426464561">
          <w:marLeft w:val="640"/>
          <w:marRight w:val="0"/>
          <w:marTop w:val="0"/>
          <w:marBottom w:val="0"/>
          <w:divBdr>
            <w:top w:val="none" w:sz="0" w:space="0" w:color="auto"/>
            <w:left w:val="none" w:sz="0" w:space="0" w:color="auto"/>
            <w:bottom w:val="none" w:sz="0" w:space="0" w:color="auto"/>
            <w:right w:val="none" w:sz="0" w:space="0" w:color="auto"/>
          </w:divBdr>
        </w:div>
        <w:div w:id="1122966048">
          <w:marLeft w:val="640"/>
          <w:marRight w:val="0"/>
          <w:marTop w:val="0"/>
          <w:marBottom w:val="0"/>
          <w:divBdr>
            <w:top w:val="none" w:sz="0" w:space="0" w:color="auto"/>
            <w:left w:val="none" w:sz="0" w:space="0" w:color="auto"/>
            <w:bottom w:val="none" w:sz="0" w:space="0" w:color="auto"/>
            <w:right w:val="none" w:sz="0" w:space="0" w:color="auto"/>
          </w:divBdr>
        </w:div>
        <w:div w:id="1752776740">
          <w:marLeft w:val="640"/>
          <w:marRight w:val="0"/>
          <w:marTop w:val="0"/>
          <w:marBottom w:val="0"/>
          <w:divBdr>
            <w:top w:val="none" w:sz="0" w:space="0" w:color="auto"/>
            <w:left w:val="none" w:sz="0" w:space="0" w:color="auto"/>
            <w:bottom w:val="none" w:sz="0" w:space="0" w:color="auto"/>
            <w:right w:val="none" w:sz="0" w:space="0" w:color="auto"/>
          </w:divBdr>
        </w:div>
        <w:div w:id="577132124">
          <w:marLeft w:val="640"/>
          <w:marRight w:val="0"/>
          <w:marTop w:val="0"/>
          <w:marBottom w:val="0"/>
          <w:divBdr>
            <w:top w:val="none" w:sz="0" w:space="0" w:color="auto"/>
            <w:left w:val="none" w:sz="0" w:space="0" w:color="auto"/>
            <w:bottom w:val="none" w:sz="0" w:space="0" w:color="auto"/>
            <w:right w:val="none" w:sz="0" w:space="0" w:color="auto"/>
          </w:divBdr>
        </w:div>
        <w:div w:id="1331131714">
          <w:marLeft w:val="640"/>
          <w:marRight w:val="0"/>
          <w:marTop w:val="0"/>
          <w:marBottom w:val="0"/>
          <w:divBdr>
            <w:top w:val="none" w:sz="0" w:space="0" w:color="auto"/>
            <w:left w:val="none" w:sz="0" w:space="0" w:color="auto"/>
            <w:bottom w:val="none" w:sz="0" w:space="0" w:color="auto"/>
            <w:right w:val="none" w:sz="0" w:space="0" w:color="auto"/>
          </w:divBdr>
        </w:div>
        <w:div w:id="1522861833">
          <w:marLeft w:val="640"/>
          <w:marRight w:val="0"/>
          <w:marTop w:val="0"/>
          <w:marBottom w:val="0"/>
          <w:divBdr>
            <w:top w:val="none" w:sz="0" w:space="0" w:color="auto"/>
            <w:left w:val="none" w:sz="0" w:space="0" w:color="auto"/>
            <w:bottom w:val="none" w:sz="0" w:space="0" w:color="auto"/>
            <w:right w:val="none" w:sz="0" w:space="0" w:color="auto"/>
          </w:divBdr>
        </w:div>
        <w:div w:id="50814905">
          <w:marLeft w:val="640"/>
          <w:marRight w:val="0"/>
          <w:marTop w:val="0"/>
          <w:marBottom w:val="0"/>
          <w:divBdr>
            <w:top w:val="none" w:sz="0" w:space="0" w:color="auto"/>
            <w:left w:val="none" w:sz="0" w:space="0" w:color="auto"/>
            <w:bottom w:val="none" w:sz="0" w:space="0" w:color="auto"/>
            <w:right w:val="none" w:sz="0" w:space="0" w:color="auto"/>
          </w:divBdr>
        </w:div>
        <w:div w:id="127555504">
          <w:marLeft w:val="640"/>
          <w:marRight w:val="0"/>
          <w:marTop w:val="0"/>
          <w:marBottom w:val="0"/>
          <w:divBdr>
            <w:top w:val="none" w:sz="0" w:space="0" w:color="auto"/>
            <w:left w:val="none" w:sz="0" w:space="0" w:color="auto"/>
            <w:bottom w:val="none" w:sz="0" w:space="0" w:color="auto"/>
            <w:right w:val="none" w:sz="0" w:space="0" w:color="auto"/>
          </w:divBdr>
        </w:div>
        <w:div w:id="723262072">
          <w:marLeft w:val="640"/>
          <w:marRight w:val="0"/>
          <w:marTop w:val="0"/>
          <w:marBottom w:val="0"/>
          <w:divBdr>
            <w:top w:val="none" w:sz="0" w:space="0" w:color="auto"/>
            <w:left w:val="none" w:sz="0" w:space="0" w:color="auto"/>
            <w:bottom w:val="none" w:sz="0" w:space="0" w:color="auto"/>
            <w:right w:val="none" w:sz="0" w:space="0" w:color="auto"/>
          </w:divBdr>
        </w:div>
        <w:div w:id="867987554">
          <w:marLeft w:val="640"/>
          <w:marRight w:val="0"/>
          <w:marTop w:val="0"/>
          <w:marBottom w:val="0"/>
          <w:divBdr>
            <w:top w:val="none" w:sz="0" w:space="0" w:color="auto"/>
            <w:left w:val="none" w:sz="0" w:space="0" w:color="auto"/>
            <w:bottom w:val="none" w:sz="0" w:space="0" w:color="auto"/>
            <w:right w:val="none" w:sz="0" w:space="0" w:color="auto"/>
          </w:divBdr>
        </w:div>
        <w:div w:id="767700336">
          <w:marLeft w:val="640"/>
          <w:marRight w:val="0"/>
          <w:marTop w:val="0"/>
          <w:marBottom w:val="0"/>
          <w:divBdr>
            <w:top w:val="none" w:sz="0" w:space="0" w:color="auto"/>
            <w:left w:val="none" w:sz="0" w:space="0" w:color="auto"/>
            <w:bottom w:val="none" w:sz="0" w:space="0" w:color="auto"/>
            <w:right w:val="none" w:sz="0" w:space="0" w:color="auto"/>
          </w:divBdr>
        </w:div>
        <w:div w:id="1425687315">
          <w:marLeft w:val="640"/>
          <w:marRight w:val="0"/>
          <w:marTop w:val="0"/>
          <w:marBottom w:val="0"/>
          <w:divBdr>
            <w:top w:val="none" w:sz="0" w:space="0" w:color="auto"/>
            <w:left w:val="none" w:sz="0" w:space="0" w:color="auto"/>
            <w:bottom w:val="none" w:sz="0" w:space="0" w:color="auto"/>
            <w:right w:val="none" w:sz="0" w:space="0" w:color="auto"/>
          </w:divBdr>
        </w:div>
        <w:div w:id="2037391240">
          <w:marLeft w:val="640"/>
          <w:marRight w:val="0"/>
          <w:marTop w:val="0"/>
          <w:marBottom w:val="0"/>
          <w:divBdr>
            <w:top w:val="none" w:sz="0" w:space="0" w:color="auto"/>
            <w:left w:val="none" w:sz="0" w:space="0" w:color="auto"/>
            <w:bottom w:val="none" w:sz="0" w:space="0" w:color="auto"/>
            <w:right w:val="none" w:sz="0" w:space="0" w:color="auto"/>
          </w:divBdr>
        </w:div>
        <w:div w:id="547180566">
          <w:marLeft w:val="640"/>
          <w:marRight w:val="0"/>
          <w:marTop w:val="0"/>
          <w:marBottom w:val="0"/>
          <w:divBdr>
            <w:top w:val="none" w:sz="0" w:space="0" w:color="auto"/>
            <w:left w:val="none" w:sz="0" w:space="0" w:color="auto"/>
            <w:bottom w:val="none" w:sz="0" w:space="0" w:color="auto"/>
            <w:right w:val="none" w:sz="0" w:space="0" w:color="auto"/>
          </w:divBdr>
        </w:div>
        <w:div w:id="908685554">
          <w:marLeft w:val="640"/>
          <w:marRight w:val="0"/>
          <w:marTop w:val="0"/>
          <w:marBottom w:val="0"/>
          <w:divBdr>
            <w:top w:val="none" w:sz="0" w:space="0" w:color="auto"/>
            <w:left w:val="none" w:sz="0" w:space="0" w:color="auto"/>
            <w:bottom w:val="none" w:sz="0" w:space="0" w:color="auto"/>
            <w:right w:val="none" w:sz="0" w:space="0" w:color="auto"/>
          </w:divBdr>
        </w:div>
        <w:div w:id="221135941">
          <w:marLeft w:val="640"/>
          <w:marRight w:val="0"/>
          <w:marTop w:val="0"/>
          <w:marBottom w:val="0"/>
          <w:divBdr>
            <w:top w:val="none" w:sz="0" w:space="0" w:color="auto"/>
            <w:left w:val="none" w:sz="0" w:space="0" w:color="auto"/>
            <w:bottom w:val="none" w:sz="0" w:space="0" w:color="auto"/>
            <w:right w:val="none" w:sz="0" w:space="0" w:color="auto"/>
          </w:divBdr>
        </w:div>
        <w:div w:id="1359696257">
          <w:marLeft w:val="640"/>
          <w:marRight w:val="0"/>
          <w:marTop w:val="0"/>
          <w:marBottom w:val="0"/>
          <w:divBdr>
            <w:top w:val="none" w:sz="0" w:space="0" w:color="auto"/>
            <w:left w:val="none" w:sz="0" w:space="0" w:color="auto"/>
            <w:bottom w:val="none" w:sz="0" w:space="0" w:color="auto"/>
            <w:right w:val="none" w:sz="0" w:space="0" w:color="auto"/>
          </w:divBdr>
        </w:div>
        <w:div w:id="956181733">
          <w:marLeft w:val="640"/>
          <w:marRight w:val="0"/>
          <w:marTop w:val="0"/>
          <w:marBottom w:val="0"/>
          <w:divBdr>
            <w:top w:val="none" w:sz="0" w:space="0" w:color="auto"/>
            <w:left w:val="none" w:sz="0" w:space="0" w:color="auto"/>
            <w:bottom w:val="none" w:sz="0" w:space="0" w:color="auto"/>
            <w:right w:val="none" w:sz="0" w:space="0" w:color="auto"/>
          </w:divBdr>
        </w:div>
        <w:div w:id="60643066">
          <w:marLeft w:val="640"/>
          <w:marRight w:val="0"/>
          <w:marTop w:val="0"/>
          <w:marBottom w:val="0"/>
          <w:divBdr>
            <w:top w:val="none" w:sz="0" w:space="0" w:color="auto"/>
            <w:left w:val="none" w:sz="0" w:space="0" w:color="auto"/>
            <w:bottom w:val="none" w:sz="0" w:space="0" w:color="auto"/>
            <w:right w:val="none" w:sz="0" w:space="0" w:color="auto"/>
          </w:divBdr>
        </w:div>
        <w:div w:id="44452540">
          <w:marLeft w:val="640"/>
          <w:marRight w:val="0"/>
          <w:marTop w:val="0"/>
          <w:marBottom w:val="0"/>
          <w:divBdr>
            <w:top w:val="none" w:sz="0" w:space="0" w:color="auto"/>
            <w:left w:val="none" w:sz="0" w:space="0" w:color="auto"/>
            <w:bottom w:val="none" w:sz="0" w:space="0" w:color="auto"/>
            <w:right w:val="none" w:sz="0" w:space="0" w:color="auto"/>
          </w:divBdr>
        </w:div>
        <w:div w:id="1155489173">
          <w:marLeft w:val="640"/>
          <w:marRight w:val="0"/>
          <w:marTop w:val="0"/>
          <w:marBottom w:val="0"/>
          <w:divBdr>
            <w:top w:val="none" w:sz="0" w:space="0" w:color="auto"/>
            <w:left w:val="none" w:sz="0" w:space="0" w:color="auto"/>
            <w:bottom w:val="none" w:sz="0" w:space="0" w:color="auto"/>
            <w:right w:val="none" w:sz="0" w:space="0" w:color="auto"/>
          </w:divBdr>
        </w:div>
        <w:div w:id="112092338">
          <w:marLeft w:val="640"/>
          <w:marRight w:val="0"/>
          <w:marTop w:val="0"/>
          <w:marBottom w:val="0"/>
          <w:divBdr>
            <w:top w:val="none" w:sz="0" w:space="0" w:color="auto"/>
            <w:left w:val="none" w:sz="0" w:space="0" w:color="auto"/>
            <w:bottom w:val="none" w:sz="0" w:space="0" w:color="auto"/>
            <w:right w:val="none" w:sz="0" w:space="0" w:color="auto"/>
          </w:divBdr>
        </w:div>
        <w:div w:id="1247570094">
          <w:marLeft w:val="640"/>
          <w:marRight w:val="0"/>
          <w:marTop w:val="0"/>
          <w:marBottom w:val="0"/>
          <w:divBdr>
            <w:top w:val="none" w:sz="0" w:space="0" w:color="auto"/>
            <w:left w:val="none" w:sz="0" w:space="0" w:color="auto"/>
            <w:bottom w:val="none" w:sz="0" w:space="0" w:color="auto"/>
            <w:right w:val="none" w:sz="0" w:space="0" w:color="auto"/>
          </w:divBdr>
        </w:div>
        <w:div w:id="1336154748">
          <w:marLeft w:val="640"/>
          <w:marRight w:val="0"/>
          <w:marTop w:val="0"/>
          <w:marBottom w:val="0"/>
          <w:divBdr>
            <w:top w:val="none" w:sz="0" w:space="0" w:color="auto"/>
            <w:left w:val="none" w:sz="0" w:space="0" w:color="auto"/>
            <w:bottom w:val="none" w:sz="0" w:space="0" w:color="auto"/>
            <w:right w:val="none" w:sz="0" w:space="0" w:color="auto"/>
          </w:divBdr>
        </w:div>
        <w:div w:id="1136875336">
          <w:marLeft w:val="640"/>
          <w:marRight w:val="0"/>
          <w:marTop w:val="0"/>
          <w:marBottom w:val="0"/>
          <w:divBdr>
            <w:top w:val="none" w:sz="0" w:space="0" w:color="auto"/>
            <w:left w:val="none" w:sz="0" w:space="0" w:color="auto"/>
            <w:bottom w:val="none" w:sz="0" w:space="0" w:color="auto"/>
            <w:right w:val="none" w:sz="0" w:space="0" w:color="auto"/>
          </w:divBdr>
        </w:div>
        <w:div w:id="104010052">
          <w:marLeft w:val="640"/>
          <w:marRight w:val="0"/>
          <w:marTop w:val="0"/>
          <w:marBottom w:val="0"/>
          <w:divBdr>
            <w:top w:val="none" w:sz="0" w:space="0" w:color="auto"/>
            <w:left w:val="none" w:sz="0" w:space="0" w:color="auto"/>
            <w:bottom w:val="none" w:sz="0" w:space="0" w:color="auto"/>
            <w:right w:val="none" w:sz="0" w:space="0" w:color="auto"/>
          </w:divBdr>
        </w:div>
        <w:div w:id="1809205677">
          <w:marLeft w:val="640"/>
          <w:marRight w:val="0"/>
          <w:marTop w:val="0"/>
          <w:marBottom w:val="0"/>
          <w:divBdr>
            <w:top w:val="none" w:sz="0" w:space="0" w:color="auto"/>
            <w:left w:val="none" w:sz="0" w:space="0" w:color="auto"/>
            <w:bottom w:val="none" w:sz="0" w:space="0" w:color="auto"/>
            <w:right w:val="none" w:sz="0" w:space="0" w:color="auto"/>
          </w:divBdr>
        </w:div>
        <w:div w:id="2074693425">
          <w:marLeft w:val="640"/>
          <w:marRight w:val="0"/>
          <w:marTop w:val="0"/>
          <w:marBottom w:val="0"/>
          <w:divBdr>
            <w:top w:val="none" w:sz="0" w:space="0" w:color="auto"/>
            <w:left w:val="none" w:sz="0" w:space="0" w:color="auto"/>
            <w:bottom w:val="none" w:sz="0" w:space="0" w:color="auto"/>
            <w:right w:val="none" w:sz="0" w:space="0" w:color="auto"/>
          </w:divBdr>
        </w:div>
        <w:div w:id="80220558">
          <w:marLeft w:val="640"/>
          <w:marRight w:val="0"/>
          <w:marTop w:val="0"/>
          <w:marBottom w:val="0"/>
          <w:divBdr>
            <w:top w:val="none" w:sz="0" w:space="0" w:color="auto"/>
            <w:left w:val="none" w:sz="0" w:space="0" w:color="auto"/>
            <w:bottom w:val="none" w:sz="0" w:space="0" w:color="auto"/>
            <w:right w:val="none" w:sz="0" w:space="0" w:color="auto"/>
          </w:divBdr>
        </w:div>
        <w:div w:id="1214390938">
          <w:marLeft w:val="640"/>
          <w:marRight w:val="0"/>
          <w:marTop w:val="0"/>
          <w:marBottom w:val="0"/>
          <w:divBdr>
            <w:top w:val="none" w:sz="0" w:space="0" w:color="auto"/>
            <w:left w:val="none" w:sz="0" w:space="0" w:color="auto"/>
            <w:bottom w:val="none" w:sz="0" w:space="0" w:color="auto"/>
            <w:right w:val="none" w:sz="0" w:space="0" w:color="auto"/>
          </w:divBdr>
        </w:div>
        <w:div w:id="458885453">
          <w:marLeft w:val="640"/>
          <w:marRight w:val="0"/>
          <w:marTop w:val="0"/>
          <w:marBottom w:val="0"/>
          <w:divBdr>
            <w:top w:val="none" w:sz="0" w:space="0" w:color="auto"/>
            <w:left w:val="none" w:sz="0" w:space="0" w:color="auto"/>
            <w:bottom w:val="none" w:sz="0" w:space="0" w:color="auto"/>
            <w:right w:val="none" w:sz="0" w:space="0" w:color="auto"/>
          </w:divBdr>
        </w:div>
        <w:div w:id="599679903">
          <w:marLeft w:val="640"/>
          <w:marRight w:val="0"/>
          <w:marTop w:val="0"/>
          <w:marBottom w:val="0"/>
          <w:divBdr>
            <w:top w:val="none" w:sz="0" w:space="0" w:color="auto"/>
            <w:left w:val="none" w:sz="0" w:space="0" w:color="auto"/>
            <w:bottom w:val="none" w:sz="0" w:space="0" w:color="auto"/>
            <w:right w:val="none" w:sz="0" w:space="0" w:color="auto"/>
          </w:divBdr>
        </w:div>
        <w:div w:id="1489321369">
          <w:marLeft w:val="640"/>
          <w:marRight w:val="0"/>
          <w:marTop w:val="0"/>
          <w:marBottom w:val="0"/>
          <w:divBdr>
            <w:top w:val="none" w:sz="0" w:space="0" w:color="auto"/>
            <w:left w:val="none" w:sz="0" w:space="0" w:color="auto"/>
            <w:bottom w:val="none" w:sz="0" w:space="0" w:color="auto"/>
            <w:right w:val="none" w:sz="0" w:space="0" w:color="auto"/>
          </w:divBdr>
        </w:div>
        <w:div w:id="1046879613">
          <w:marLeft w:val="640"/>
          <w:marRight w:val="0"/>
          <w:marTop w:val="0"/>
          <w:marBottom w:val="0"/>
          <w:divBdr>
            <w:top w:val="none" w:sz="0" w:space="0" w:color="auto"/>
            <w:left w:val="none" w:sz="0" w:space="0" w:color="auto"/>
            <w:bottom w:val="none" w:sz="0" w:space="0" w:color="auto"/>
            <w:right w:val="none" w:sz="0" w:space="0" w:color="auto"/>
          </w:divBdr>
        </w:div>
        <w:div w:id="1443304436">
          <w:marLeft w:val="640"/>
          <w:marRight w:val="0"/>
          <w:marTop w:val="0"/>
          <w:marBottom w:val="0"/>
          <w:divBdr>
            <w:top w:val="none" w:sz="0" w:space="0" w:color="auto"/>
            <w:left w:val="none" w:sz="0" w:space="0" w:color="auto"/>
            <w:bottom w:val="none" w:sz="0" w:space="0" w:color="auto"/>
            <w:right w:val="none" w:sz="0" w:space="0" w:color="auto"/>
          </w:divBdr>
        </w:div>
        <w:div w:id="1547137496">
          <w:marLeft w:val="640"/>
          <w:marRight w:val="0"/>
          <w:marTop w:val="0"/>
          <w:marBottom w:val="0"/>
          <w:divBdr>
            <w:top w:val="none" w:sz="0" w:space="0" w:color="auto"/>
            <w:left w:val="none" w:sz="0" w:space="0" w:color="auto"/>
            <w:bottom w:val="none" w:sz="0" w:space="0" w:color="auto"/>
            <w:right w:val="none" w:sz="0" w:space="0" w:color="auto"/>
          </w:divBdr>
        </w:div>
        <w:div w:id="1959094944">
          <w:marLeft w:val="640"/>
          <w:marRight w:val="0"/>
          <w:marTop w:val="0"/>
          <w:marBottom w:val="0"/>
          <w:divBdr>
            <w:top w:val="none" w:sz="0" w:space="0" w:color="auto"/>
            <w:left w:val="none" w:sz="0" w:space="0" w:color="auto"/>
            <w:bottom w:val="none" w:sz="0" w:space="0" w:color="auto"/>
            <w:right w:val="none" w:sz="0" w:space="0" w:color="auto"/>
          </w:divBdr>
        </w:div>
        <w:div w:id="895049031">
          <w:marLeft w:val="640"/>
          <w:marRight w:val="0"/>
          <w:marTop w:val="0"/>
          <w:marBottom w:val="0"/>
          <w:divBdr>
            <w:top w:val="none" w:sz="0" w:space="0" w:color="auto"/>
            <w:left w:val="none" w:sz="0" w:space="0" w:color="auto"/>
            <w:bottom w:val="none" w:sz="0" w:space="0" w:color="auto"/>
            <w:right w:val="none" w:sz="0" w:space="0" w:color="auto"/>
          </w:divBdr>
        </w:div>
        <w:div w:id="1320185905">
          <w:marLeft w:val="640"/>
          <w:marRight w:val="0"/>
          <w:marTop w:val="0"/>
          <w:marBottom w:val="0"/>
          <w:divBdr>
            <w:top w:val="none" w:sz="0" w:space="0" w:color="auto"/>
            <w:left w:val="none" w:sz="0" w:space="0" w:color="auto"/>
            <w:bottom w:val="none" w:sz="0" w:space="0" w:color="auto"/>
            <w:right w:val="none" w:sz="0" w:space="0" w:color="auto"/>
          </w:divBdr>
        </w:div>
        <w:div w:id="1553537456">
          <w:marLeft w:val="640"/>
          <w:marRight w:val="0"/>
          <w:marTop w:val="0"/>
          <w:marBottom w:val="0"/>
          <w:divBdr>
            <w:top w:val="none" w:sz="0" w:space="0" w:color="auto"/>
            <w:left w:val="none" w:sz="0" w:space="0" w:color="auto"/>
            <w:bottom w:val="none" w:sz="0" w:space="0" w:color="auto"/>
            <w:right w:val="none" w:sz="0" w:space="0" w:color="auto"/>
          </w:divBdr>
        </w:div>
        <w:div w:id="1666123450">
          <w:marLeft w:val="640"/>
          <w:marRight w:val="0"/>
          <w:marTop w:val="0"/>
          <w:marBottom w:val="0"/>
          <w:divBdr>
            <w:top w:val="none" w:sz="0" w:space="0" w:color="auto"/>
            <w:left w:val="none" w:sz="0" w:space="0" w:color="auto"/>
            <w:bottom w:val="none" w:sz="0" w:space="0" w:color="auto"/>
            <w:right w:val="none" w:sz="0" w:space="0" w:color="auto"/>
          </w:divBdr>
        </w:div>
        <w:div w:id="227765808">
          <w:marLeft w:val="640"/>
          <w:marRight w:val="0"/>
          <w:marTop w:val="0"/>
          <w:marBottom w:val="0"/>
          <w:divBdr>
            <w:top w:val="none" w:sz="0" w:space="0" w:color="auto"/>
            <w:left w:val="none" w:sz="0" w:space="0" w:color="auto"/>
            <w:bottom w:val="none" w:sz="0" w:space="0" w:color="auto"/>
            <w:right w:val="none" w:sz="0" w:space="0" w:color="auto"/>
          </w:divBdr>
        </w:div>
        <w:div w:id="1573782578">
          <w:marLeft w:val="640"/>
          <w:marRight w:val="0"/>
          <w:marTop w:val="0"/>
          <w:marBottom w:val="0"/>
          <w:divBdr>
            <w:top w:val="none" w:sz="0" w:space="0" w:color="auto"/>
            <w:left w:val="none" w:sz="0" w:space="0" w:color="auto"/>
            <w:bottom w:val="none" w:sz="0" w:space="0" w:color="auto"/>
            <w:right w:val="none" w:sz="0" w:space="0" w:color="auto"/>
          </w:divBdr>
        </w:div>
        <w:div w:id="772747903">
          <w:marLeft w:val="640"/>
          <w:marRight w:val="0"/>
          <w:marTop w:val="0"/>
          <w:marBottom w:val="0"/>
          <w:divBdr>
            <w:top w:val="none" w:sz="0" w:space="0" w:color="auto"/>
            <w:left w:val="none" w:sz="0" w:space="0" w:color="auto"/>
            <w:bottom w:val="none" w:sz="0" w:space="0" w:color="auto"/>
            <w:right w:val="none" w:sz="0" w:space="0" w:color="auto"/>
          </w:divBdr>
        </w:div>
        <w:div w:id="363754704">
          <w:marLeft w:val="640"/>
          <w:marRight w:val="0"/>
          <w:marTop w:val="0"/>
          <w:marBottom w:val="0"/>
          <w:divBdr>
            <w:top w:val="none" w:sz="0" w:space="0" w:color="auto"/>
            <w:left w:val="none" w:sz="0" w:space="0" w:color="auto"/>
            <w:bottom w:val="none" w:sz="0" w:space="0" w:color="auto"/>
            <w:right w:val="none" w:sz="0" w:space="0" w:color="auto"/>
          </w:divBdr>
        </w:div>
        <w:div w:id="1295140474">
          <w:marLeft w:val="640"/>
          <w:marRight w:val="0"/>
          <w:marTop w:val="0"/>
          <w:marBottom w:val="0"/>
          <w:divBdr>
            <w:top w:val="none" w:sz="0" w:space="0" w:color="auto"/>
            <w:left w:val="none" w:sz="0" w:space="0" w:color="auto"/>
            <w:bottom w:val="none" w:sz="0" w:space="0" w:color="auto"/>
            <w:right w:val="none" w:sz="0" w:space="0" w:color="auto"/>
          </w:divBdr>
        </w:div>
        <w:div w:id="1368947345">
          <w:marLeft w:val="640"/>
          <w:marRight w:val="0"/>
          <w:marTop w:val="0"/>
          <w:marBottom w:val="0"/>
          <w:divBdr>
            <w:top w:val="none" w:sz="0" w:space="0" w:color="auto"/>
            <w:left w:val="none" w:sz="0" w:space="0" w:color="auto"/>
            <w:bottom w:val="none" w:sz="0" w:space="0" w:color="auto"/>
            <w:right w:val="none" w:sz="0" w:space="0" w:color="auto"/>
          </w:divBdr>
        </w:div>
        <w:div w:id="1644770448">
          <w:marLeft w:val="640"/>
          <w:marRight w:val="0"/>
          <w:marTop w:val="0"/>
          <w:marBottom w:val="0"/>
          <w:divBdr>
            <w:top w:val="none" w:sz="0" w:space="0" w:color="auto"/>
            <w:left w:val="none" w:sz="0" w:space="0" w:color="auto"/>
            <w:bottom w:val="none" w:sz="0" w:space="0" w:color="auto"/>
            <w:right w:val="none" w:sz="0" w:space="0" w:color="auto"/>
          </w:divBdr>
        </w:div>
        <w:div w:id="1067844839">
          <w:marLeft w:val="640"/>
          <w:marRight w:val="0"/>
          <w:marTop w:val="0"/>
          <w:marBottom w:val="0"/>
          <w:divBdr>
            <w:top w:val="none" w:sz="0" w:space="0" w:color="auto"/>
            <w:left w:val="none" w:sz="0" w:space="0" w:color="auto"/>
            <w:bottom w:val="none" w:sz="0" w:space="0" w:color="auto"/>
            <w:right w:val="none" w:sz="0" w:space="0" w:color="auto"/>
          </w:divBdr>
        </w:div>
        <w:div w:id="2025351754">
          <w:marLeft w:val="640"/>
          <w:marRight w:val="0"/>
          <w:marTop w:val="0"/>
          <w:marBottom w:val="0"/>
          <w:divBdr>
            <w:top w:val="none" w:sz="0" w:space="0" w:color="auto"/>
            <w:left w:val="none" w:sz="0" w:space="0" w:color="auto"/>
            <w:bottom w:val="none" w:sz="0" w:space="0" w:color="auto"/>
            <w:right w:val="none" w:sz="0" w:space="0" w:color="auto"/>
          </w:divBdr>
        </w:div>
        <w:div w:id="1846935553">
          <w:marLeft w:val="640"/>
          <w:marRight w:val="0"/>
          <w:marTop w:val="0"/>
          <w:marBottom w:val="0"/>
          <w:divBdr>
            <w:top w:val="none" w:sz="0" w:space="0" w:color="auto"/>
            <w:left w:val="none" w:sz="0" w:space="0" w:color="auto"/>
            <w:bottom w:val="none" w:sz="0" w:space="0" w:color="auto"/>
            <w:right w:val="none" w:sz="0" w:space="0" w:color="auto"/>
          </w:divBdr>
        </w:div>
        <w:div w:id="943391020">
          <w:marLeft w:val="640"/>
          <w:marRight w:val="0"/>
          <w:marTop w:val="0"/>
          <w:marBottom w:val="0"/>
          <w:divBdr>
            <w:top w:val="none" w:sz="0" w:space="0" w:color="auto"/>
            <w:left w:val="none" w:sz="0" w:space="0" w:color="auto"/>
            <w:bottom w:val="none" w:sz="0" w:space="0" w:color="auto"/>
            <w:right w:val="none" w:sz="0" w:space="0" w:color="auto"/>
          </w:divBdr>
        </w:div>
        <w:div w:id="1500652292">
          <w:marLeft w:val="640"/>
          <w:marRight w:val="0"/>
          <w:marTop w:val="0"/>
          <w:marBottom w:val="0"/>
          <w:divBdr>
            <w:top w:val="none" w:sz="0" w:space="0" w:color="auto"/>
            <w:left w:val="none" w:sz="0" w:space="0" w:color="auto"/>
            <w:bottom w:val="none" w:sz="0" w:space="0" w:color="auto"/>
            <w:right w:val="none" w:sz="0" w:space="0" w:color="auto"/>
          </w:divBdr>
        </w:div>
        <w:div w:id="820578853">
          <w:marLeft w:val="640"/>
          <w:marRight w:val="0"/>
          <w:marTop w:val="0"/>
          <w:marBottom w:val="0"/>
          <w:divBdr>
            <w:top w:val="none" w:sz="0" w:space="0" w:color="auto"/>
            <w:left w:val="none" w:sz="0" w:space="0" w:color="auto"/>
            <w:bottom w:val="none" w:sz="0" w:space="0" w:color="auto"/>
            <w:right w:val="none" w:sz="0" w:space="0" w:color="auto"/>
          </w:divBdr>
        </w:div>
        <w:div w:id="1953976704">
          <w:marLeft w:val="640"/>
          <w:marRight w:val="0"/>
          <w:marTop w:val="0"/>
          <w:marBottom w:val="0"/>
          <w:divBdr>
            <w:top w:val="none" w:sz="0" w:space="0" w:color="auto"/>
            <w:left w:val="none" w:sz="0" w:space="0" w:color="auto"/>
            <w:bottom w:val="none" w:sz="0" w:space="0" w:color="auto"/>
            <w:right w:val="none" w:sz="0" w:space="0" w:color="auto"/>
          </w:divBdr>
        </w:div>
        <w:div w:id="1835533669">
          <w:marLeft w:val="640"/>
          <w:marRight w:val="0"/>
          <w:marTop w:val="0"/>
          <w:marBottom w:val="0"/>
          <w:divBdr>
            <w:top w:val="none" w:sz="0" w:space="0" w:color="auto"/>
            <w:left w:val="none" w:sz="0" w:space="0" w:color="auto"/>
            <w:bottom w:val="none" w:sz="0" w:space="0" w:color="auto"/>
            <w:right w:val="none" w:sz="0" w:space="0" w:color="auto"/>
          </w:divBdr>
        </w:div>
        <w:div w:id="755907402">
          <w:marLeft w:val="640"/>
          <w:marRight w:val="0"/>
          <w:marTop w:val="0"/>
          <w:marBottom w:val="0"/>
          <w:divBdr>
            <w:top w:val="none" w:sz="0" w:space="0" w:color="auto"/>
            <w:left w:val="none" w:sz="0" w:space="0" w:color="auto"/>
            <w:bottom w:val="none" w:sz="0" w:space="0" w:color="auto"/>
            <w:right w:val="none" w:sz="0" w:space="0" w:color="auto"/>
          </w:divBdr>
        </w:div>
        <w:div w:id="1644312032">
          <w:marLeft w:val="640"/>
          <w:marRight w:val="0"/>
          <w:marTop w:val="0"/>
          <w:marBottom w:val="0"/>
          <w:divBdr>
            <w:top w:val="none" w:sz="0" w:space="0" w:color="auto"/>
            <w:left w:val="none" w:sz="0" w:space="0" w:color="auto"/>
            <w:bottom w:val="none" w:sz="0" w:space="0" w:color="auto"/>
            <w:right w:val="none" w:sz="0" w:space="0" w:color="auto"/>
          </w:divBdr>
        </w:div>
        <w:div w:id="1181972821">
          <w:marLeft w:val="640"/>
          <w:marRight w:val="0"/>
          <w:marTop w:val="0"/>
          <w:marBottom w:val="0"/>
          <w:divBdr>
            <w:top w:val="none" w:sz="0" w:space="0" w:color="auto"/>
            <w:left w:val="none" w:sz="0" w:space="0" w:color="auto"/>
            <w:bottom w:val="none" w:sz="0" w:space="0" w:color="auto"/>
            <w:right w:val="none" w:sz="0" w:space="0" w:color="auto"/>
          </w:divBdr>
        </w:div>
        <w:div w:id="1926644061">
          <w:marLeft w:val="640"/>
          <w:marRight w:val="0"/>
          <w:marTop w:val="0"/>
          <w:marBottom w:val="0"/>
          <w:divBdr>
            <w:top w:val="none" w:sz="0" w:space="0" w:color="auto"/>
            <w:left w:val="none" w:sz="0" w:space="0" w:color="auto"/>
            <w:bottom w:val="none" w:sz="0" w:space="0" w:color="auto"/>
            <w:right w:val="none" w:sz="0" w:space="0" w:color="auto"/>
          </w:divBdr>
        </w:div>
        <w:div w:id="18627218">
          <w:marLeft w:val="640"/>
          <w:marRight w:val="0"/>
          <w:marTop w:val="0"/>
          <w:marBottom w:val="0"/>
          <w:divBdr>
            <w:top w:val="none" w:sz="0" w:space="0" w:color="auto"/>
            <w:left w:val="none" w:sz="0" w:space="0" w:color="auto"/>
            <w:bottom w:val="none" w:sz="0" w:space="0" w:color="auto"/>
            <w:right w:val="none" w:sz="0" w:space="0" w:color="auto"/>
          </w:divBdr>
        </w:div>
        <w:div w:id="1997996320">
          <w:marLeft w:val="640"/>
          <w:marRight w:val="0"/>
          <w:marTop w:val="0"/>
          <w:marBottom w:val="0"/>
          <w:divBdr>
            <w:top w:val="none" w:sz="0" w:space="0" w:color="auto"/>
            <w:left w:val="none" w:sz="0" w:space="0" w:color="auto"/>
            <w:bottom w:val="none" w:sz="0" w:space="0" w:color="auto"/>
            <w:right w:val="none" w:sz="0" w:space="0" w:color="auto"/>
          </w:divBdr>
        </w:div>
        <w:div w:id="947202541">
          <w:marLeft w:val="640"/>
          <w:marRight w:val="0"/>
          <w:marTop w:val="0"/>
          <w:marBottom w:val="0"/>
          <w:divBdr>
            <w:top w:val="none" w:sz="0" w:space="0" w:color="auto"/>
            <w:left w:val="none" w:sz="0" w:space="0" w:color="auto"/>
            <w:bottom w:val="none" w:sz="0" w:space="0" w:color="auto"/>
            <w:right w:val="none" w:sz="0" w:space="0" w:color="auto"/>
          </w:divBdr>
        </w:div>
        <w:div w:id="1270161739">
          <w:marLeft w:val="640"/>
          <w:marRight w:val="0"/>
          <w:marTop w:val="0"/>
          <w:marBottom w:val="0"/>
          <w:divBdr>
            <w:top w:val="none" w:sz="0" w:space="0" w:color="auto"/>
            <w:left w:val="none" w:sz="0" w:space="0" w:color="auto"/>
            <w:bottom w:val="none" w:sz="0" w:space="0" w:color="auto"/>
            <w:right w:val="none" w:sz="0" w:space="0" w:color="auto"/>
          </w:divBdr>
        </w:div>
        <w:div w:id="985937388">
          <w:marLeft w:val="640"/>
          <w:marRight w:val="0"/>
          <w:marTop w:val="0"/>
          <w:marBottom w:val="0"/>
          <w:divBdr>
            <w:top w:val="none" w:sz="0" w:space="0" w:color="auto"/>
            <w:left w:val="none" w:sz="0" w:space="0" w:color="auto"/>
            <w:bottom w:val="none" w:sz="0" w:space="0" w:color="auto"/>
            <w:right w:val="none" w:sz="0" w:space="0" w:color="auto"/>
          </w:divBdr>
        </w:div>
        <w:div w:id="951479539">
          <w:marLeft w:val="640"/>
          <w:marRight w:val="0"/>
          <w:marTop w:val="0"/>
          <w:marBottom w:val="0"/>
          <w:divBdr>
            <w:top w:val="none" w:sz="0" w:space="0" w:color="auto"/>
            <w:left w:val="none" w:sz="0" w:space="0" w:color="auto"/>
            <w:bottom w:val="none" w:sz="0" w:space="0" w:color="auto"/>
            <w:right w:val="none" w:sz="0" w:space="0" w:color="auto"/>
          </w:divBdr>
        </w:div>
        <w:div w:id="1573660608">
          <w:marLeft w:val="640"/>
          <w:marRight w:val="0"/>
          <w:marTop w:val="0"/>
          <w:marBottom w:val="0"/>
          <w:divBdr>
            <w:top w:val="none" w:sz="0" w:space="0" w:color="auto"/>
            <w:left w:val="none" w:sz="0" w:space="0" w:color="auto"/>
            <w:bottom w:val="none" w:sz="0" w:space="0" w:color="auto"/>
            <w:right w:val="none" w:sz="0" w:space="0" w:color="auto"/>
          </w:divBdr>
        </w:div>
        <w:div w:id="1878925657">
          <w:marLeft w:val="640"/>
          <w:marRight w:val="0"/>
          <w:marTop w:val="0"/>
          <w:marBottom w:val="0"/>
          <w:divBdr>
            <w:top w:val="none" w:sz="0" w:space="0" w:color="auto"/>
            <w:left w:val="none" w:sz="0" w:space="0" w:color="auto"/>
            <w:bottom w:val="none" w:sz="0" w:space="0" w:color="auto"/>
            <w:right w:val="none" w:sz="0" w:space="0" w:color="auto"/>
          </w:divBdr>
        </w:div>
        <w:div w:id="2036421925">
          <w:marLeft w:val="640"/>
          <w:marRight w:val="0"/>
          <w:marTop w:val="0"/>
          <w:marBottom w:val="0"/>
          <w:divBdr>
            <w:top w:val="none" w:sz="0" w:space="0" w:color="auto"/>
            <w:left w:val="none" w:sz="0" w:space="0" w:color="auto"/>
            <w:bottom w:val="none" w:sz="0" w:space="0" w:color="auto"/>
            <w:right w:val="none" w:sz="0" w:space="0" w:color="auto"/>
          </w:divBdr>
        </w:div>
        <w:div w:id="95751567">
          <w:marLeft w:val="640"/>
          <w:marRight w:val="0"/>
          <w:marTop w:val="0"/>
          <w:marBottom w:val="0"/>
          <w:divBdr>
            <w:top w:val="none" w:sz="0" w:space="0" w:color="auto"/>
            <w:left w:val="none" w:sz="0" w:space="0" w:color="auto"/>
            <w:bottom w:val="none" w:sz="0" w:space="0" w:color="auto"/>
            <w:right w:val="none" w:sz="0" w:space="0" w:color="auto"/>
          </w:divBdr>
        </w:div>
        <w:div w:id="1675063607">
          <w:marLeft w:val="640"/>
          <w:marRight w:val="0"/>
          <w:marTop w:val="0"/>
          <w:marBottom w:val="0"/>
          <w:divBdr>
            <w:top w:val="none" w:sz="0" w:space="0" w:color="auto"/>
            <w:left w:val="none" w:sz="0" w:space="0" w:color="auto"/>
            <w:bottom w:val="none" w:sz="0" w:space="0" w:color="auto"/>
            <w:right w:val="none" w:sz="0" w:space="0" w:color="auto"/>
          </w:divBdr>
        </w:div>
        <w:div w:id="1348099593">
          <w:marLeft w:val="640"/>
          <w:marRight w:val="0"/>
          <w:marTop w:val="0"/>
          <w:marBottom w:val="0"/>
          <w:divBdr>
            <w:top w:val="none" w:sz="0" w:space="0" w:color="auto"/>
            <w:left w:val="none" w:sz="0" w:space="0" w:color="auto"/>
            <w:bottom w:val="none" w:sz="0" w:space="0" w:color="auto"/>
            <w:right w:val="none" w:sz="0" w:space="0" w:color="auto"/>
          </w:divBdr>
        </w:div>
        <w:div w:id="742720318">
          <w:marLeft w:val="640"/>
          <w:marRight w:val="0"/>
          <w:marTop w:val="0"/>
          <w:marBottom w:val="0"/>
          <w:divBdr>
            <w:top w:val="none" w:sz="0" w:space="0" w:color="auto"/>
            <w:left w:val="none" w:sz="0" w:space="0" w:color="auto"/>
            <w:bottom w:val="none" w:sz="0" w:space="0" w:color="auto"/>
            <w:right w:val="none" w:sz="0" w:space="0" w:color="auto"/>
          </w:divBdr>
        </w:div>
        <w:div w:id="2042364349">
          <w:marLeft w:val="640"/>
          <w:marRight w:val="0"/>
          <w:marTop w:val="0"/>
          <w:marBottom w:val="0"/>
          <w:divBdr>
            <w:top w:val="none" w:sz="0" w:space="0" w:color="auto"/>
            <w:left w:val="none" w:sz="0" w:space="0" w:color="auto"/>
            <w:bottom w:val="none" w:sz="0" w:space="0" w:color="auto"/>
            <w:right w:val="none" w:sz="0" w:space="0" w:color="auto"/>
          </w:divBdr>
        </w:div>
        <w:div w:id="1784375075">
          <w:marLeft w:val="640"/>
          <w:marRight w:val="0"/>
          <w:marTop w:val="0"/>
          <w:marBottom w:val="0"/>
          <w:divBdr>
            <w:top w:val="none" w:sz="0" w:space="0" w:color="auto"/>
            <w:left w:val="none" w:sz="0" w:space="0" w:color="auto"/>
            <w:bottom w:val="none" w:sz="0" w:space="0" w:color="auto"/>
            <w:right w:val="none" w:sz="0" w:space="0" w:color="auto"/>
          </w:divBdr>
        </w:div>
        <w:div w:id="642924989">
          <w:marLeft w:val="640"/>
          <w:marRight w:val="0"/>
          <w:marTop w:val="0"/>
          <w:marBottom w:val="0"/>
          <w:divBdr>
            <w:top w:val="none" w:sz="0" w:space="0" w:color="auto"/>
            <w:left w:val="none" w:sz="0" w:space="0" w:color="auto"/>
            <w:bottom w:val="none" w:sz="0" w:space="0" w:color="auto"/>
            <w:right w:val="none" w:sz="0" w:space="0" w:color="auto"/>
          </w:divBdr>
        </w:div>
        <w:div w:id="567425959">
          <w:marLeft w:val="640"/>
          <w:marRight w:val="0"/>
          <w:marTop w:val="0"/>
          <w:marBottom w:val="0"/>
          <w:divBdr>
            <w:top w:val="none" w:sz="0" w:space="0" w:color="auto"/>
            <w:left w:val="none" w:sz="0" w:space="0" w:color="auto"/>
            <w:bottom w:val="none" w:sz="0" w:space="0" w:color="auto"/>
            <w:right w:val="none" w:sz="0" w:space="0" w:color="auto"/>
          </w:divBdr>
        </w:div>
        <w:div w:id="1166434802">
          <w:marLeft w:val="640"/>
          <w:marRight w:val="0"/>
          <w:marTop w:val="0"/>
          <w:marBottom w:val="0"/>
          <w:divBdr>
            <w:top w:val="none" w:sz="0" w:space="0" w:color="auto"/>
            <w:left w:val="none" w:sz="0" w:space="0" w:color="auto"/>
            <w:bottom w:val="none" w:sz="0" w:space="0" w:color="auto"/>
            <w:right w:val="none" w:sz="0" w:space="0" w:color="auto"/>
          </w:divBdr>
        </w:div>
        <w:div w:id="2086490063">
          <w:marLeft w:val="640"/>
          <w:marRight w:val="0"/>
          <w:marTop w:val="0"/>
          <w:marBottom w:val="0"/>
          <w:divBdr>
            <w:top w:val="none" w:sz="0" w:space="0" w:color="auto"/>
            <w:left w:val="none" w:sz="0" w:space="0" w:color="auto"/>
            <w:bottom w:val="none" w:sz="0" w:space="0" w:color="auto"/>
            <w:right w:val="none" w:sz="0" w:space="0" w:color="auto"/>
          </w:divBdr>
        </w:div>
        <w:div w:id="2060274352">
          <w:marLeft w:val="640"/>
          <w:marRight w:val="0"/>
          <w:marTop w:val="0"/>
          <w:marBottom w:val="0"/>
          <w:divBdr>
            <w:top w:val="none" w:sz="0" w:space="0" w:color="auto"/>
            <w:left w:val="none" w:sz="0" w:space="0" w:color="auto"/>
            <w:bottom w:val="none" w:sz="0" w:space="0" w:color="auto"/>
            <w:right w:val="none" w:sz="0" w:space="0" w:color="auto"/>
          </w:divBdr>
        </w:div>
        <w:div w:id="1729109957">
          <w:marLeft w:val="640"/>
          <w:marRight w:val="0"/>
          <w:marTop w:val="0"/>
          <w:marBottom w:val="0"/>
          <w:divBdr>
            <w:top w:val="none" w:sz="0" w:space="0" w:color="auto"/>
            <w:left w:val="none" w:sz="0" w:space="0" w:color="auto"/>
            <w:bottom w:val="none" w:sz="0" w:space="0" w:color="auto"/>
            <w:right w:val="none" w:sz="0" w:space="0" w:color="auto"/>
          </w:divBdr>
        </w:div>
        <w:div w:id="161549151">
          <w:marLeft w:val="640"/>
          <w:marRight w:val="0"/>
          <w:marTop w:val="0"/>
          <w:marBottom w:val="0"/>
          <w:divBdr>
            <w:top w:val="none" w:sz="0" w:space="0" w:color="auto"/>
            <w:left w:val="none" w:sz="0" w:space="0" w:color="auto"/>
            <w:bottom w:val="none" w:sz="0" w:space="0" w:color="auto"/>
            <w:right w:val="none" w:sz="0" w:space="0" w:color="auto"/>
          </w:divBdr>
        </w:div>
        <w:div w:id="182668801">
          <w:marLeft w:val="640"/>
          <w:marRight w:val="0"/>
          <w:marTop w:val="0"/>
          <w:marBottom w:val="0"/>
          <w:divBdr>
            <w:top w:val="none" w:sz="0" w:space="0" w:color="auto"/>
            <w:left w:val="none" w:sz="0" w:space="0" w:color="auto"/>
            <w:bottom w:val="none" w:sz="0" w:space="0" w:color="auto"/>
            <w:right w:val="none" w:sz="0" w:space="0" w:color="auto"/>
          </w:divBdr>
        </w:div>
        <w:div w:id="664014397">
          <w:marLeft w:val="640"/>
          <w:marRight w:val="0"/>
          <w:marTop w:val="0"/>
          <w:marBottom w:val="0"/>
          <w:divBdr>
            <w:top w:val="none" w:sz="0" w:space="0" w:color="auto"/>
            <w:left w:val="none" w:sz="0" w:space="0" w:color="auto"/>
            <w:bottom w:val="none" w:sz="0" w:space="0" w:color="auto"/>
            <w:right w:val="none" w:sz="0" w:space="0" w:color="auto"/>
          </w:divBdr>
        </w:div>
        <w:div w:id="194124417">
          <w:marLeft w:val="640"/>
          <w:marRight w:val="0"/>
          <w:marTop w:val="0"/>
          <w:marBottom w:val="0"/>
          <w:divBdr>
            <w:top w:val="none" w:sz="0" w:space="0" w:color="auto"/>
            <w:left w:val="none" w:sz="0" w:space="0" w:color="auto"/>
            <w:bottom w:val="none" w:sz="0" w:space="0" w:color="auto"/>
            <w:right w:val="none" w:sz="0" w:space="0" w:color="auto"/>
          </w:divBdr>
        </w:div>
        <w:div w:id="1802112763">
          <w:marLeft w:val="640"/>
          <w:marRight w:val="0"/>
          <w:marTop w:val="0"/>
          <w:marBottom w:val="0"/>
          <w:divBdr>
            <w:top w:val="none" w:sz="0" w:space="0" w:color="auto"/>
            <w:left w:val="none" w:sz="0" w:space="0" w:color="auto"/>
            <w:bottom w:val="none" w:sz="0" w:space="0" w:color="auto"/>
            <w:right w:val="none" w:sz="0" w:space="0" w:color="auto"/>
          </w:divBdr>
        </w:div>
        <w:div w:id="301468227">
          <w:marLeft w:val="640"/>
          <w:marRight w:val="0"/>
          <w:marTop w:val="0"/>
          <w:marBottom w:val="0"/>
          <w:divBdr>
            <w:top w:val="none" w:sz="0" w:space="0" w:color="auto"/>
            <w:left w:val="none" w:sz="0" w:space="0" w:color="auto"/>
            <w:bottom w:val="none" w:sz="0" w:space="0" w:color="auto"/>
            <w:right w:val="none" w:sz="0" w:space="0" w:color="auto"/>
          </w:divBdr>
        </w:div>
        <w:div w:id="1045442791">
          <w:marLeft w:val="640"/>
          <w:marRight w:val="0"/>
          <w:marTop w:val="0"/>
          <w:marBottom w:val="0"/>
          <w:divBdr>
            <w:top w:val="none" w:sz="0" w:space="0" w:color="auto"/>
            <w:left w:val="none" w:sz="0" w:space="0" w:color="auto"/>
            <w:bottom w:val="none" w:sz="0" w:space="0" w:color="auto"/>
            <w:right w:val="none" w:sz="0" w:space="0" w:color="auto"/>
          </w:divBdr>
        </w:div>
        <w:div w:id="1185942167">
          <w:marLeft w:val="640"/>
          <w:marRight w:val="0"/>
          <w:marTop w:val="0"/>
          <w:marBottom w:val="0"/>
          <w:divBdr>
            <w:top w:val="none" w:sz="0" w:space="0" w:color="auto"/>
            <w:left w:val="none" w:sz="0" w:space="0" w:color="auto"/>
            <w:bottom w:val="none" w:sz="0" w:space="0" w:color="auto"/>
            <w:right w:val="none" w:sz="0" w:space="0" w:color="auto"/>
          </w:divBdr>
        </w:div>
        <w:div w:id="1710912479">
          <w:marLeft w:val="640"/>
          <w:marRight w:val="0"/>
          <w:marTop w:val="0"/>
          <w:marBottom w:val="0"/>
          <w:divBdr>
            <w:top w:val="none" w:sz="0" w:space="0" w:color="auto"/>
            <w:left w:val="none" w:sz="0" w:space="0" w:color="auto"/>
            <w:bottom w:val="none" w:sz="0" w:space="0" w:color="auto"/>
            <w:right w:val="none" w:sz="0" w:space="0" w:color="auto"/>
          </w:divBdr>
        </w:div>
        <w:div w:id="2105760807">
          <w:marLeft w:val="640"/>
          <w:marRight w:val="0"/>
          <w:marTop w:val="0"/>
          <w:marBottom w:val="0"/>
          <w:divBdr>
            <w:top w:val="none" w:sz="0" w:space="0" w:color="auto"/>
            <w:left w:val="none" w:sz="0" w:space="0" w:color="auto"/>
            <w:bottom w:val="none" w:sz="0" w:space="0" w:color="auto"/>
            <w:right w:val="none" w:sz="0" w:space="0" w:color="auto"/>
          </w:divBdr>
        </w:div>
        <w:div w:id="1949696994">
          <w:marLeft w:val="640"/>
          <w:marRight w:val="0"/>
          <w:marTop w:val="0"/>
          <w:marBottom w:val="0"/>
          <w:divBdr>
            <w:top w:val="none" w:sz="0" w:space="0" w:color="auto"/>
            <w:left w:val="none" w:sz="0" w:space="0" w:color="auto"/>
            <w:bottom w:val="none" w:sz="0" w:space="0" w:color="auto"/>
            <w:right w:val="none" w:sz="0" w:space="0" w:color="auto"/>
          </w:divBdr>
        </w:div>
        <w:div w:id="1615868431">
          <w:marLeft w:val="640"/>
          <w:marRight w:val="0"/>
          <w:marTop w:val="0"/>
          <w:marBottom w:val="0"/>
          <w:divBdr>
            <w:top w:val="none" w:sz="0" w:space="0" w:color="auto"/>
            <w:left w:val="none" w:sz="0" w:space="0" w:color="auto"/>
            <w:bottom w:val="none" w:sz="0" w:space="0" w:color="auto"/>
            <w:right w:val="none" w:sz="0" w:space="0" w:color="auto"/>
          </w:divBdr>
        </w:div>
        <w:div w:id="330790282">
          <w:marLeft w:val="640"/>
          <w:marRight w:val="0"/>
          <w:marTop w:val="0"/>
          <w:marBottom w:val="0"/>
          <w:divBdr>
            <w:top w:val="none" w:sz="0" w:space="0" w:color="auto"/>
            <w:left w:val="none" w:sz="0" w:space="0" w:color="auto"/>
            <w:bottom w:val="none" w:sz="0" w:space="0" w:color="auto"/>
            <w:right w:val="none" w:sz="0" w:space="0" w:color="auto"/>
          </w:divBdr>
        </w:div>
        <w:div w:id="483470442">
          <w:marLeft w:val="640"/>
          <w:marRight w:val="0"/>
          <w:marTop w:val="0"/>
          <w:marBottom w:val="0"/>
          <w:divBdr>
            <w:top w:val="none" w:sz="0" w:space="0" w:color="auto"/>
            <w:left w:val="none" w:sz="0" w:space="0" w:color="auto"/>
            <w:bottom w:val="none" w:sz="0" w:space="0" w:color="auto"/>
            <w:right w:val="none" w:sz="0" w:space="0" w:color="auto"/>
          </w:divBdr>
        </w:div>
        <w:div w:id="1183125118">
          <w:marLeft w:val="640"/>
          <w:marRight w:val="0"/>
          <w:marTop w:val="0"/>
          <w:marBottom w:val="0"/>
          <w:divBdr>
            <w:top w:val="none" w:sz="0" w:space="0" w:color="auto"/>
            <w:left w:val="none" w:sz="0" w:space="0" w:color="auto"/>
            <w:bottom w:val="none" w:sz="0" w:space="0" w:color="auto"/>
            <w:right w:val="none" w:sz="0" w:space="0" w:color="auto"/>
          </w:divBdr>
        </w:div>
        <w:div w:id="1574385898">
          <w:marLeft w:val="640"/>
          <w:marRight w:val="0"/>
          <w:marTop w:val="0"/>
          <w:marBottom w:val="0"/>
          <w:divBdr>
            <w:top w:val="none" w:sz="0" w:space="0" w:color="auto"/>
            <w:left w:val="none" w:sz="0" w:space="0" w:color="auto"/>
            <w:bottom w:val="none" w:sz="0" w:space="0" w:color="auto"/>
            <w:right w:val="none" w:sz="0" w:space="0" w:color="auto"/>
          </w:divBdr>
        </w:div>
        <w:div w:id="1338458208">
          <w:marLeft w:val="640"/>
          <w:marRight w:val="0"/>
          <w:marTop w:val="0"/>
          <w:marBottom w:val="0"/>
          <w:divBdr>
            <w:top w:val="none" w:sz="0" w:space="0" w:color="auto"/>
            <w:left w:val="none" w:sz="0" w:space="0" w:color="auto"/>
            <w:bottom w:val="none" w:sz="0" w:space="0" w:color="auto"/>
            <w:right w:val="none" w:sz="0" w:space="0" w:color="auto"/>
          </w:divBdr>
        </w:div>
        <w:div w:id="1057167536">
          <w:marLeft w:val="640"/>
          <w:marRight w:val="0"/>
          <w:marTop w:val="0"/>
          <w:marBottom w:val="0"/>
          <w:divBdr>
            <w:top w:val="none" w:sz="0" w:space="0" w:color="auto"/>
            <w:left w:val="none" w:sz="0" w:space="0" w:color="auto"/>
            <w:bottom w:val="none" w:sz="0" w:space="0" w:color="auto"/>
            <w:right w:val="none" w:sz="0" w:space="0" w:color="auto"/>
          </w:divBdr>
        </w:div>
        <w:div w:id="161748785">
          <w:marLeft w:val="640"/>
          <w:marRight w:val="0"/>
          <w:marTop w:val="0"/>
          <w:marBottom w:val="0"/>
          <w:divBdr>
            <w:top w:val="none" w:sz="0" w:space="0" w:color="auto"/>
            <w:left w:val="none" w:sz="0" w:space="0" w:color="auto"/>
            <w:bottom w:val="none" w:sz="0" w:space="0" w:color="auto"/>
            <w:right w:val="none" w:sz="0" w:space="0" w:color="auto"/>
          </w:divBdr>
        </w:div>
        <w:div w:id="940408683">
          <w:marLeft w:val="640"/>
          <w:marRight w:val="0"/>
          <w:marTop w:val="0"/>
          <w:marBottom w:val="0"/>
          <w:divBdr>
            <w:top w:val="none" w:sz="0" w:space="0" w:color="auto"/>
            <w:left w:val="none" w:sz="0" w:space="0" w:color="auto"/>
            <w:bottom w:val="none" w:sz="0" w:space="0" w:color="auto"/>
            <w:right w:val="none" w:sz="0" w:space="0" w:color="auto"/>
          </w:divBdr>
        </w:div>
        <w:div w:id="1914199563">
          <w:marLeft w:val="640"/>
          <w:marRight w:val="0"/>
          <w:marTop w:val="0"/>
          <w:marBottom w:val="0"/>
          <w:divBdr>
            <w:top w:val="none" w:sz="0" w:space="0" w:color="auto"/>
            <w:left w:val="none" w:sz="0" w:space="0" w:color="auto"/>
            <w:bottom w:val="none" w:sz="0" w:space="0" w:color="auto"/>
            <w:right w:val="none" w:sz="0" w:space="0" w:color="auto"/>
          </w:divBdr>
        </w:div>
        <w:div w:id="216820228">
          <w:marLeft w:val="640"/>
          <w:marRight w:val="0"/>
          <w:marTop w:val="0"/>
          <w:marBottom w:val="0"/>
          <w:divBdr>
            <w:top w:val="none" w:sz="0" w:space="0" w:color="auto"/>
            <w:left w:val="none" w:sz="0" w:space="0" w:color="auto"/>
            <w:bottom w:val="none" w:sz="0" w:space="0" w:color="auto"/>
            <w:right w:val="none" w:sz="0" w:space="0" w:color="auto"/>
          </w:divBdr>
        </w:div>
        <w:div w:id="1401168960">
          <w:marLeft w:val="640"/>
          <w:marRight w:val="0"/>
          <w:marTop w:val="0"/>
          <w:marBottom w:val="0"/>
          <w:divBdr>
            <w:top w:val="none" w:sz="0" w:space="0" w:color="auto"/>
            <w:left w:val="none" w:sz="0" w:space="0" w:color="auto"/>
            <w:bottom w:val="none" w:sz="0" w:space="0" w:color="auto"/>
            <w:right w:val="none" w:sz="0" w:space="0" w:color="auto"/>
          </w:divBdr>
        </w:div>
        <w:div w:id="274989334">
          <w:marLeft w:val="640"/>
          <w:marRight w:val="0"/>
          <w:marTop w:val="0"/>
          <w:marBottom w:val="0"/>
          <w:divBdr>
            <w:top w:val="none" w:sz="0" w:space="0" w:color="auto"/>
            <w:left w:val="none" w:sz="0" w:space="0" w:color="auto"/>
            <w:bottom w:val="none" w:sz="0" w:space="0" w:color="auto"/>
            <w:right w:val="none" w:sz="0" w:space="0" w:color="auto"/>
          </w:divBdr>
        </w:div>
        <w:div w:id="670179275">
          <w:marLeft w:val="640"/>
          <w:marRight w:val="0"/>
          <w:marTop w:val="0"/>
          <w:marBottom w:val="0"/>
          <w:divBdr>
            <w:top w:val="none" w:sz="0" w:space="0" w:color="auto"/>
            <w:left w:val="none" w:sz="0" w:space="0" w:color="auto"/>
            <w:bottom w:val="none" w:sz="0" w:space="0" w:color="auto"/>
            <w:right w:val="none" w:sz="0" w:space="0" w:color="auto"/>
          </w:divBdr>
        </w:div>
        <w:div w:id="109328280">
          <w:marLeft w:val="640"/>
          <w:marRight w:val="0"/>
          <w:marTop w:val="0"/>
          <w:marBottom w:val="0"/>
          <w:divBdr>
            <w:top w:val="none" w:sz="0" w:space="0" w:color="auto"/>
            <w:left w:val="none" w:sz="0" w:space="0" w:color="auto"/>
            <w:bottom w:val="none" w:sz="0" w:space="0" w:color="auto"/>
            <w:right w:val="none" w:sz="0" w:space="0" w:color="auto"/>
          </w:divBdr>
        </w:div>
        <w:div w:id="568197226">
          <w:marLeft w:val="640"/>
          <w:marRight w:val="0"/>
          <w:marTop w:val="0"/>
          <w:marBottom w:val="0"/>
          <w:divBdr>
            <w:top w:val="none" w:sz="0" w:space="0" w:color="auto"/>
            <w:left w:val="none" w:sz="0" w:space="0" w:color="auto"/>
            <w:bottom w:val="none" w:sz="0" w:space="0" w:color="auto"/>
            <w:right w:val="none" w:sz="0" w:space="0" w:color="auto"/>
          </w:divBdr>
        </w:div>
        <w:div w:id="36784729">
          <w:marLeft w:val="640"/>
          <w:marRight w:val="0"/>
          <w:marTop w:val="0"/>
          <w:marBottom w:val="0"/>
          <w:divBdr>
            <w:top w:val="none" w:sz="0" w:space="0" w:color="auto"/>
            <w:left w:val="none" w:sz="0" w:space="0" w:color="auto"/>
            <w:bottom w:val="none" w:sz="0" w:space="0" w:color="auto"/>
            <w:right w:val="none" w:sz="0" w:space="0" w:color="auto"/>
          </w:divBdr>
        </w:div>
        <w:div w:id="1722823228">
          <w:marLeft w:val="640"/>
          <w:marRight w:val="0"/>
          <w:marTop w:val="0"/>
          <w:marBottom w:val="0"/>
          <w:divBdr>
            <w:top w:val="none" w:sz="0" w:space="0" w:color="auto"/>
            <w:left w:val="none" w:sz="0" w:space="0" w:color="auto"/>
            <w:bottom w:val="none" w:sz="0" w:space="0" w:color="auto"/>
            <w:right w:val="none" w:sz="0" w:space="0" w:color="auto"/>
          </w:divBdr>
        </w:div>
        <w:div w:id="450051286">
          <w:marLeft w:val="640"/>
          <w:marRight w:val="0"/>
          <w:marTop w:val="0"/>
          <w:marBottom w:val="0"/>
          <w:divBdr>
            <w:top w:val="none" w:sz="0" w:space="0" w:color="auto"/>
            <w:left w:val="none" w:sz="0" w:space="0" w:color="auto"/>
            <w:bottom w:val="none" w:sz="0" w:space="0" w:color="auto"/>
            <w:right w:val="none" w:sz="0" w:space="0" w:color="auto"/>
          </w:divBdr>
        </w:div>
        <w:div w:id="310138121">
          <w:marLeft w:val="640"/>
          <w:marRight w:val="0"/>
          <w:marTop w:val="0"/>
          <w:marBottom w:val="0"/>
          <w:divBdr>
            <w:top w:val="none" w:sz="0" w:space="0" w:color="auto"/>
            <w:left w:val="none" w:sz="0" w:space="0" w:color="auto"/>
            <w:bottom w:val="none" w:sz="0" w:space="0" w:color="auto"/>
            <w:right w:val="none" w:sz="0" w:space="0" w:color="auto"/>
          </w:divBdr>
        </w:div>
        <w:div w:id="1529416455">
          <w:marLeft w:val="640"/>
          <w:marRight w:val="0"/>
          <w:marTop w:val="0"/>
          <w:marBottom w:val="0"/>
          <w:divBdr>
            <w:top w:val="none" w:sz="0" w:space="0" w:color="auto"/>
            <w:left w:val="none" w:sz="0" w:space="0" w:color="auto"/>
            <w:bottom w:val="none" w:sz="0" w:space="0" w:color="auto"/>
            <w:right w:val="none" w:sz="0" w:space="0" w:color="auto"/>
          </w:divBdr>
        </w:div>
        <w:div w:id="231737659">
          <w:marLeft w:val="640"/>
          <w:marRight w:val="0"/>
          <w:marTop w:val="0"/>
          <w:marBottom w:val="0"/>
          <w:divBdr>
            <w:top w:val="none" w:sz="0" w:space="0" w:color="auto"/>
            <w:left w:val="none" w:sz="0" w:space="0" w:color="auto"/>
            <w:bottom w:val="none" w:sz="0" w:space="0" w:color="auto"/>
            <w:right w:val="none" w:sz="0" w:space="0" w:color="auto"/>
          </w:divBdr>
        </w:div>
        <w:div w:id="227691348">
          <w:marLeft w:val="640"/>
          <w:marRight w:val="0"/>
          <w:marTop w:val="0"/>
          <w:marBottom w:val="0"/>
          <w:divBdr>
            <w:top w:val="none" w:sz="0" w:space="0" w:color="auto"/>
            <w:left w:val="none" w:sz="0" w:space="0" w:color="auto"/>
            <w:bottom w:val="none" w:sz="0" w:space="0" w:color="auto"/>
            <w:right w:val="none" w:sz="0" w:space="0" w:color="auto"/>
          </w:divBdr>
        </w:div>
        <w:div w:id="571696475">
          <w:marLeft w:val="640"/>
          <w:marRight w:val="0"/>
          <w:marTop w:val="0"/>
          <w:marBottom w:val="0"/>
          <w:divBdr>
            <w:top w:val="none" w:sz="0" w:space="0" w:color="auto"/>
            <w:left w:val="none" w:sz="0" w:space="0" w:color="auto"/>
            <w:bottom w:val="none" w:sz="0" w:space="0" w:color="auto"/>
            <w:right w:val="none" w:sz="0" w:space="0" w:color="auto"/>
          </w:divBdr>
        </w:div>
        <w:div w:id="935749967">
          <w:marLeft w:val="640"/>
          <w:marRight w:val="0"/>
          <w:marTop w:val="0"/>
          <w:marBottom w:val="0"/>
          <w:divBdr>
            <w:top w:val="none" w:sz="0" w:space="0" w:color="auto"/>
            <w:left w:val="none" w:sz="0" w:space="0" w:color="auto"/>
            <w:bottom w:val="none" w:sz="0" w:space="0" w:color="auto"/>
            <w:right w:val="none" w:sz="0" w:space="0" w:color="auto"/>
          </w:divBdr>
        </w:div>
        <w:div w:id="1036658675">
          <w:marLeft w:val="640"/>
          <w:marRight w:val="0"/>
          <w:marTop w:val="0"/>
          <w:marBottom w:val="0"/>
          <w:divBdr>
            <w:top w:val="none" w:sz="0" w:space="0" w:color="auto"/>
            <w:left w:val="none" w:sz="0" w:space="0" w:color="auto"/>
            <w:bottom w:val="none" w:sz="0" w:space="0" w:color="auto"/>
            <w:right w:val="none" w:sz="0" w:space="0" w:color="auto"/>
          </w:divBdr>
        </w:div>
        <w:div w:id="2121029735">
          <w:marLeft w:val="640"/>
          <w:marRight w:val="0"/>
          <w:marTop w:val="0"/>
          <w:marBottom w:val="0"/>
          <w:divBdr>
            <w:top w:val="none" w:sz="0" w:space="0" w:color="auto"/>
            <w:left w:val="none" w:sz="0" w:space="0" w:color="auto"/>
            <w:bottom w:val="none" w:sz="0" w:space="0" w:color="auto"/>
            <w:right w:val="none" w:sz="0" w:space="0" w:color="auto"/>
          </w:divBdr>
        </w:div>
        <w:div w:id="417605285">
          <w:marLeft w:val="640"/>
          <w:marRight w:val="0"/>
          <w:marTop w:val="0"/>
          <w:marBottom w:val="0"/>
          <w:divBdr>
            <w:top w:val="none" w:sz="0" w:space="0" w:color="auto"/>
            <w:left w:val="none" w:sz="0" w:space="0" w:color="auto"/>
            <w:bottom w:val="none" w:sz="0" w:space="0" w:color="auto"/>
            <w:right w:val="none" w:sz="0" w:space="0" w:color="auto"/>
          </w:divBdr>
        </w:div>
        <w:div w:id="1985423198">
          <w:marLeft w:val="640"/>
          <w:marRight w:val="0"/>
          <w:marTop w:val="0"/>
          <w:marBottom w:val="0"/>
          <w:divBdr>
            <w:top w:val="none" w:sz="0" w:space="0" w:color="auto"/>
            <w:left w:val="none" w:sz="0" w:space="0" w:color="auto"/>
            <w:bottom w:val="none" w:sz="0" w:space="0" w:color="auto"/>
            <w:right w:val="none" w:sz="0" w:space="0" w:color="auto"/>
          </w:divBdr>
        </w:div>
        <w:div w:id="1388991134">
          <w:marLeft w:val="640"/>
          <w:marRight w:val="0"/>
          <w:marTop w:val="0"/>
          <w:marBottom w:val="0"/>
          <w:divBdr>
            <w:top w:val="none" w:sz="0" w:space="0" w:color="auto"/>
            <w:left w:val="none" w:sz="0" w:space="0" w:color="auto"/>
            <w:bottom w:val="none" w:sz="0" w:space="0" w:color="auto"/>
            <w:right w:val="none" w:sz="0" w:space="0" w:color="auto"/>
          </w:divBdr>
        </w:div>
        <w:div w:id="356467855">
          <w:marLeft w:val="640"/>
          <w:marRight w:val="0"/>
          <w:marTop w:val="0"/>
          <w:marBottom w:val="0"/>
          <w:divBdr>
            <w:top w:val="none" w:sz="0" w:space="0" w:color="auto"/>
            <w:left w:val="none" w:sz="0" w:space="0" w:color="auto"/>
            <w:bottom w:val="none" w:sz="0" w:space="0" w:color="auto"/>
            <w:right w:val="none" w:sz="0" w:space="0" w:color="auto"/>
          </w:divBdr>
        </w:div>
        <w:div w:id="134953384">
          <w:marLeft w:val="640"/>
          <w:marRight w:val="0"/>
          <w:marTop w:val="0"/>
          <w:marBottom w:val="0"/>
          <w:divBdr>
            <w:top w:val="none" w:sz="0" w:space="0" w:color="auto"/>
            <w:left w:val="none" w:sz="0" w:space="0" w:color="auto"/>
            <w:bottom w:val="none" w:sz="0" w:space="0" w:color="auto"/>
            <w:right w:val="none" w:sz="0" w:space="0" w:color="auto"/>
          </w:divBdr>
        </w:div>
        <w:div w:id="177080832">
          <w:marLeft w:val="640"/>
          <w:marRight w:val="0"/>
          <w:marTop w:val="0"/>
          <w:marBottom w:val="0"/>
          <w:divBdr>
            <w:top w:val="none" w:sz="0" w:space="0" w:color="auto"/>
            <w:left w:val="none" w:sz="0" w:space="0" w:color="auto"/>
            <w:bottom w:val="none" w:sz="0" w:space="0" w:color="auto"/>
            <w:right w:val="none" w:sz="0" w:space="0" w:color="auto"/>
          </w:divBdr>
        </w:div>
        <w:div w:id="147750442">
          <w:marLeft w:val="640"/>
          <w:marRight w:val="0"/>
          <w:marTop w:val="0"/>
          <w:marBottom w:val="0"/>
          <w:divBdr>
            <w:top w:val="none" w:sz="0" w:space="0" w:color="auto"/>
            <w:left w:val="none" w:sz="0" w:space="0" w:color="auto"/>
            <w:bottom w:val="none" w:sz="0" w:space="0" w:color="auto"/>
            <w:right w:val="none" w:sz="0" w:space="0" w:color="auto"/>
          </w:divBdr>
        </w:div>
        <w:div w:id="242299000">
          <w:marLeft w:val="640"/>
          <w:marRight w:val="0"/>
          <w:marTop w:val="0"/>
          <w:marBottom w:val="0"/>
          <w:divBdr>
            <w:top w:val="none" w:sz="0" w:space="0" w:color="auto"/>
            <w:left w:val="none" w:sz="0" w:space="0" w:color="auto"/>
            <w:bottom w:val="none" w:sz="0" w:space="0" w:color="auto"/>
            <w:right w:val="none" w:sz="0" w:space="0" w:color="auto"/>
          </w:divBdr>
        </w:div>
        <w:div w:id="378669864">
          <w:marLeft w:val="640"/>
          <w:marRight w:val="0"/>
          <w:marTop w:val="0"/>
          <w:marBottom w:val="0"/>
          <w:divBdr>
            <w:top w:val="none" w:sz="0" w:space="0" w:color="auto"/>
            <w:left w:val="none" w:sz="0" w:space="0" w:color="auto"/>
            <w:bottom w:val="none" w:sz="0" w:space="0" w:color="auto"/>
            <w:right w:val="none" w:sz="0" w:space="0" w:color="auto"/>
          </w:divBdr>
        </w:div>
        <w:div w:id="1727140094">
          <w:marLeft w:val="640"/>
          <w:marRight w:val="0"/>
          <w:marTop w:val="0"/>
          <w:marBottom w:val="0"/>
          <w:divBdr>
            <w:top w:val="none" w:sz="0" w:space="0" w:color="auto"/>
            <w:left w:val="none" w:sz="0" w:space="0" w:color="auto"/>
            <w:bottom w:val="none" w:sz="0" w:space="0" w:color="auto"/>
            <w:right w:val="none" w:sz="0" w:space="0" w:color="auto"/>
          </w:divBdr>
        </w:div>
        <w:div w:id="429203055">
          <w:marLeft w:val="640"/>
          <w:marRight w:val="0"/>
          <w:marTop w:val="0"/>
          <w:marBottom w:val="0"/>
          <w:divBdr>
            <w:top w:val="none" w:sz="0" w:space="0" w:color="auto"/>
            <w:left w:val="none" w:sz="0" w:space="0" w:color="auto"/>
            <w:bottom w:val="none" w:sz="0" w:space="0" w:color="auto"/>
            <w:right w:val="none" w:sz="0" w:space="0" w:color="auto"/>
          </w:divBdr>
        </w:div>
        <w:div w:id="779229772">
          <w:marLeft w:val="640"/>
          <w:marRight w:val="0"/>
          <w:marTop w:val="0"/>
          <w:marBottom w:val="0"/>
          <w:divBdr>
            <w:top w:val="none" w:sz="0" w:space="0" w:color="auto"/>
            <w:left w:val="none" w:sz="0" w:space="0" w:color="auto"/>
            <w:bottom w:val="none" w:sz="0" w:space="0" w:color="auto"/>
            <w:right w:val="none" w:sz="0" w:space="0" w:color="auto"/>
          </w:divBdr>
        </w:div>
        <w:div w:id="1520120833">
          <w:marLeft w:val="640"/>
          <w:marRight w:val="0"/>
          <w:marTop w:val="0"/>
          <w:marBottom w:val="0"/>
          <w:divBdr>
            <w:top w:val="none" w:sz="0" w:space="0" w:color="auto"/>
            <w:left w:val="none" w:sz="0" w:space="0" w:color="auto"/>
            <w:bottom w:val="none" w:sz="0" w:space="0" w:color="auto"/>
            <w:right w:val="none" w:sz="0" w:space="0" w:color="auto"/>
          </w:divBdr>
        </w:div>
        <w:div w:id="1134786762">
          <w:marLeft w:val="640"/>
          <w:marRight w:val="0"/>
          <w:marTop w:val="0"/>
          <w:marBottom w:val="0"/>
          <w:divBdr>
            <w:top w:val="none" w:sz="0" w:space="0" w:color="auto"/>
            <w:left w:val="none" w:sz="0" w:space="0" w:color="auto"/>
            <w:bottom w:val="none" w:sz="0" w:space="0" w:color="auto"/>
            <w:right w:val="none" w:sz="0" w:space="0" w:color="auto"/>
          </w:divBdr>
        </w:div>
        <w:div w:id="633871445">
          <w:marLeft w:val="640"/>
          <w:marRight w:val="0"/>
          <w:marTop w:val="0"/>
          <w:marBottom w:val="0"/>
          <w:divBdr>
            <w:top w:val="none" w:sz="0" w:space="0" w:color="auto"/>
            <w:left w:val="none" w:sz="0" w:space="0" w:color="auto"/>
            <w:bottom w:val="none" w:sz="0" w:space="0" w:color="auto"/>
            <w:right w:val="none" w:sz="0" w:space="0" w:color="auto"/>
          </w:divBdr>
        </w:div>
        <w:div w:id="643435793">
          <w:marLeft w:val="640"/>
          <w:marRight w:val="0"/>
          <w:marTop w:val="0"/>
          <w:marBottom w:val="0"/>
          <w:divBdr>
            <w:top w:val="none" w:sz="0" w:space="0" w:color="auto"/>
            <w:left w:val="none" w:sz="0" w:space="0" w:color="auto"/>
            <w:bottom w:val="none" w:sz="0" w:space="0" w:color="auto"/>
            <w:right w:val="none" w:sz="0" w:space="0" w:color="auto"/>
          </w:divBdr>
        </w:div>
        <w:div w:id="1172990326">
          <w:marLeft w:val="640"/>
          <w:marRight w:val="0"/>
          <w:marTop w:val="0"/>
          <w:marBottom w:val="0"/>
          <w:divBdr>
            <w:top w:val="none" w:sz="0" w:space="0" w:color="auto"/>
            <w:left w:val="none" w:sz="0" w:space="0" w:color="auto"/>
            <w:bottom w:val="none" w:sz="0" w:space="0" w:color="auto"/>
            <w:right w:val="none" w:sz="0" w:space="0" w:color="auto"/>
          </w:divBdr>
        </w:div>
        <w:div w:id="743913561">
          <w:marLeft w:val="640"/>
          <w:marRight w:val="0"/>
          <w:marTop w:val="0"/>
          <w:marBottom w:val="0"/>
          <w:divBdr>
            <w:top w:val="none" w:sz="0" w:space="0" w:color="auto"/>
            <w:left w:val="none" w:sz="0" w:space="0" w:color="auto"/>
            <w:bottom w:val="none" w:sz="0" w:space="0" w:color="auto"/>
            <w:right w:val="none" w:sz="0" w:space="0" w:color="auto"/>
          </w:divBdr>
        </w:div>
        <w:div w:id="52822908">
          <w:marLeft w:val="640"/>
          <w:marRight w:val="0"/>
          <w:marTop w:val="0"/>
          <w:marBottom w:val="0"/>
          <w:divBdr>
            <w:top w:val="none" w:sz="0" w:space="0" w:color="auto"/>
            <w:left w:val="none" w:sz="0" w:space="0" w:color="auto"/>
            <w:bottom w:val="none" w:sz="0" w:space="0" w:color="auto"/>
            <w:right w:val="none" w:sz="0" w:space="0" w:color="auto"/>
          </w:divBdr>
        </w:div>
        <w:div w:id="1535190938">
          <w:marLeft w:val="640"/>
          <w:marRight w:val="0"/>
          <w:marTop w:val="0"/>
          <w:marBottom w:val="0"/>
          <w:divBdr>
            <w:top w:val="none" w:sz="0" w:space="0" w:color="auto"/>
            <w:left w:val="none" w:sz="0" w:space="0" w:color="auto"/>
            <w:bottom w:val="none" w:sz="0" w:space="0" w:color="auto"/>
            <w:right w:val="none" w:sz="0" w:space="0" w:color="auto"/>
          </w:divBdr>
        </w:div>
        <w:div w:id="1922173468">
          <w:marLeft w:val="640"/>
          <w:marRight w:val="0"/>
          <w:marTop w:val="0"/>
          <w:marBottom w:val="0"/>
          <w:divBdr>
            <w:top w:val="none" w:sz="0" w:space="0" w:color="auto"/>
            <w:left w:val="none" w:sz="0" w:space="0" w:color="auto"/>
            <w:bottom w:val="none" w:sz="0" w:space="0" w:color="auto"/>
            <w:right w:val="none" w:sz="0" w:space="0" w:color="auto"/>
          </w:divBdr>
        </w:div>
        <w:div w:id="1106803552">
          <w:marLeft w:val="640"/>
          <w:marRight w:val="0"/>
          <w:marTop w:val="0"/>
          <w:marBottom w:val="0"/>
          <w:divBdr>
            <w:top w:val="none" w:sz="0" w:space="0" w:color="auto"/>
            <w:left w:val="none" w:sz="0" w:space="0" w:color="auto"/>
            <w:bottom w:val="none" w:sz="0" w:space="0" w:color="auto"/>
            <w:right w:val="none" w:sz="0" w:space="0" w:color="auto"/>
          </w:divBdr>
        </w:div>
        <w:div w:id="1789812200">
          <w:marLeft w:val="640"/>
          <w:marRight w:val="0"/>
          <w:marTop w:val="0"/>
          <w:marBottom w:val="0"/>
          <w:divBdr>
            <w:top w:val="none" w:sz="0" w:space="0" w:color="auto"/>
            <w:left w:val="none" w:sz="0" w:space="0" w:color="auto"/>
            <w:bottom w:val="none" w:sz="0" w:space="0" w:color="auto"/>
            <w:right w:val="none" w:sz="0" w:space="0" w:color="auto"/>
          </w:divBdr>
        </w:div>
        <w:div w:id="1094285503">
          <w:marLeft w:val="640"/>
          <w:marRight w:val="0"/>
          <w:marTop w:val="0"/>
          <w:marBottom w:val="0"/>
          <w:divBdr>
            <w:top w:val="none" w:sz="0" w:space="0" w:color="auto"/>
            <w:left w:val="none" w:sz="0" w:space="0" w:color="auto"/>
            <w:bottom w:val="none" w:sz="0" w:space="0" w:color="auto"/>
            <w:right w:val="none" w:sz="0" w:space="0" w:color="auto"/>
          </w:divBdr>
        </w:div>
        <w:div w:id="2079787674">
          <w:marLeft w:val="640"/>
          <w:marRight w:val="0"/>
          <w:marTop w:val="0"/>
          <w:marBottom w:val="0"/>
          <w:divBdr>
            <w:top w:val="none" w:sz="0" w:space="0" w:color="auto"/>
            <w:left w:val="none" w:sz="0" w:space="0" w:color="auto"/>
            <w:bottom w:val="none" w:sz="0" w:space="0" w:color="auto"/>
            <w:right w:val="none" w:sz="0" w:space="0" w:color="auto"/>
          </w:divBdr>
        </w:div>
        <w:div w:id="1702974659">
          <w:marLeft w:val="640"/>
          <w:marRight w:val="0"/>
          <w:marTop w:val="0"/>
          <w:marBottom w:val="0"/>
          <w:divBdr>
            <w:top w:val="none" w:sz="0" w:space="0" w:color="auto"/>
            <w:left w:val="none" w:sz="0" w:space="0" w:color="auto"/>
            <w:bottom w:val="none" w:sz="0" w:space="0" w:color="auto"/>
            <w:right w:val="none" w:sz="0" w:space="0" w:color="auto"/>
          </w:divBdr>
        </w:div>
        <w:div w:id="680817150">
          <w:marLeft w:val="640"/>
          <w:marRight w:val="0"/>
          <w:marTop w:val="0"/>
          <w:marBottom w:val="0"/>
          <w:divBdr>
            <w:top w:val="none" w:sz="0" w:space="0" w:color="auto"/>
            <w:left w:val="none" w:sz="0" w:space="0" w:color="auto"/>
            <w:bottom w:val="none" w:sz="0" w:space="0" w:color="auto"/>
            <w:right w:val="none" w:sz="0" w:space="0" w:color="auto"/>
          </w:divBdr>
        </w:div>
        <w:div w:id="882792814">
          <w:marLeft w:val="640"/>
          <w:marRight w:val="0"/>
          <w:marTop w:val="0"/>
          <w:marBottom w:val="0"/>
          <w:divBdr>
            <w:top w:val="none" w:sz="0" w:space="0" w:color="auto"/>
            <w:left w:val="none" w:sz="0" w:space="0" w:color="auto"/>
            <w:bottom w:val="none" w:sz="0" w:space="0" w:color="auto"/>
            <w:right w:val="none" w:sz="0" w:space="0" w:color="auto"/>
          </w:divBdr>
        </w:div>
        <w:div w:id="1659965068">
          <w:marLeft w:val="640"/>
          <w:marRight w:val="0"/>
          <w:marTop w:val="0"/>
          <w:marBottom w:val="0"/>
          <w:divBdr>
            <w:top w:val="none" w:sz="0" w:space="0" w:color="auto"/>
            <w:left w:val="none" w:sz="0" w:space="0" w:color="auto"/>
            <w:bottom w:val="none" w:sz="0" w:space="0" w:color="auto"/>
            <w:right w:val="none" w:sz="0" w:space="0" w:color="auto"/>
          </w:divBdr>
        </w:div>
        <w:div w:id="1250698491">
          <w:marLeft w:val="640"/>
          <w:marRight w:val="0"/>
          <w:marTop w:val="0"/>
          <w:marBottom w:val="0"/>
          <w:divBdr>
            <w:top w:val="none" w:sz="0" w:space="0" w:color="auto"/>
            <w:left w:val="none" w:sz="0" w:space="0" w:color="auto"/>
            <w:bottom w:val="none" w:sz="0" w:space="0" w:color="auto"/>
            <w:right w:val="none" w:sz="0" w:space="0" w:color="auto"/>
          </w:divBdr>
        </w:div>
        <w:div w:id="1426029417">
          <w:marLeft w:val="640"/>
          <w:marRight w:val="0"/>
          <w:marTop w:val="0"/>
          <w:marBottom w:val="0"/>
          <w:divBdr>
            <w:top w:val="none" w:sz="0" w:space="0" w:color="auto"/>
            <w:left w:val="none" w:sz="0" w:space="0" w:color="auto"/>
            <w:bottom w:val="none" w:sz="0" w:space="0" w:color="auto"/>
            <w:right w:val="none" w:sz="0" w:space="0" w:color="auto"/>
          </w:divBdr>
        </w:div>
        <w:div w:id="1515683121">
          <w:marLeft w:val="640"/>
          <w:marRight w:val="0"/>
          <w:marTop w:val="0"/>
          <w:marBottom w:val="0"/>
          <w:divBdr>
            <w:top w:val="none" w:sz="0" w:space="0" w:color="auto"/>
            <w:left w:val="none" w:sz="0" w:space="0" w:color="auto"/>
            <w:bottom w:val="none" w:sz="0" w:space="0" w:color="auto"/>
            <w:right w:val="none" w:sz="0" w:space="0" w:color="auto"/>
          </w:divBdr>
        </w:div>
        <w:div w:id="175458608">
          <w:marLeft w:val="640"/>
          <w:marRight w:val="0"/>
          <w:marTop w:val="0"/>
          <w:marBottom w:val="0"/>
          <w:divBdr>
            <w:top w:val="none" w:sz="0" w:space="0" w:color="auto"/>
            <w:left w:val="none" w:sz="0" w:space="0" w:color="auto"/>
            <w:bottom w:val="none" w:sz="0" w:space="0" w:color="auto"/>
            <w:right w:val="none" w:sz="0" w:space="0" w:color="auto"/>
          </w:divBdr>
        </w:div>
        <w:div w:id="704985785">
          <w:marLeft w:val="640"/>
          <w:marRight w:val="0"/>
          <w:marTop w:val="0"/>
          <w:marBottom w:val="0"/>
          <w:divBdr>
            <w:top w:val="none" w:sz="0" w:space="0" w:color="auto"/>
            <w:left w:val="none" w:sz="0" w:space="0" w:color="auto"/>
            <w:bottom w:val="none" w:sz="0" w:space="0" w:color="auto"/>
            <w:right w:val="none" w:sz="0" w:space="0" w:color="auto"/>
          </w:divBdr>
        </w:div>
        <w:div w:id="890192726">
          <w:marLeft w:val="640"/>
          <w:marRight w:val="0"/>
          <w:marTop w:val="0"/>
          <w:marBottom w:val="0"/>
          <w:divBdr>
            <w:top w:val="none" w:sz="0" w:space="0" w:color="auto"/>
            <w:left w:val="none" w:sz="0" w:space="0" w:color="auto"/>
            <w:bottom w:val="none" w:sz="0" w:space="0" w:color="auto"/>
            <w:right w:val="none" w:sz="0" w:space="0" w:color="auto"/>
          </w:divBdr>
        </w:div>
        <w:div w:id="1052271227">
          <w:marLeft w:val="640"/>
          <w:marRight w:val="0"/>
          <w:marTop w:val="0"/>
          <w:marBottom w:val="0"/>
          <w:divBdr>
            <w:top w:val="none" w:sz="0" w:space="0" w:color="auto"/>
            <w:left w:val="none" w:sz="0" w:space="0" w:color="auto"/>
            <w:bottom w:val="none" w:sz="0" w:space="0" w:color="auto"/>
            <w:right w:val="none" w:sz="0" w:space="0" w:color="auto"/>
          </w:divBdr>
        </w:div>
        <w:div w:id="1817721663">
          <w:marLeft w:val="640"/>
          <w:marRight w:val="0"/>
          <w:marTop w:val="0"/>
          <w:marBottom w:val="0"/>
          <w:divBdr>
            <w:top w:val="none" w:sz="0" w:space="0" w:color="auto"/>
            <w:left w:val="none" w:sz="0" w:space="0" w:color="auto"/>
            <w:bottom w:val="none" w:sz="0" w:space="0" w:color="auto"/>
            <w:right w:val="none" w:sz="0" w:space="0" w:color="auto"/>
          </w:divBdr>
        </w:div>
        <w:div w:id="1079982648">
          <w:marLeft w:val="640"/>
          <w:marRight w:val="0"/>
          <w:marTop w:val="0"/>
          <w:marBottom w:val="0"/>
          <w:divBdr>
            <w:top w:val="none" w:sz="0" w:space="0" w:color="auto"/>
            <w:left w:val="none" w:sz="0" w:space="0" w:color="auto"/>
            <w:bottom w:val="none" w:sz="0" w:space="0" w:color="auto"/>
            <w:right w:val="none" w:sz="0" w:space="0" w:color="auto"/>
          </w:divBdr>
        </w:div>
        <w:div w:id="1363363398">
          <w:marLeft w:val="640"/>
          <w:marRight w:val="0"/>
          <w:marTop w:val="0"/>
          <w:marBottom w:val="0"/>
          <w:divBdr>
            <w:top w:val="none" w:sz="0" w:space="0" w:color="auto"/>
            <w:left w:val="none" w:sz="0" w:space="0" w:color="auto"/>
            <w:bottom w:val="none" w:sz="0" w:space="0" w:color="auto"/>
            <w:right w:val="none" w:sz="0" w:space="0" w:color="auto"/>
          </w:divBdr>
        </w:div>
        <w:div w:id="107704955">
          <w:marLeft w:val="640"/>
          <w:marRight w:val="0"/>
          <w:marTop w:val="0"/>
          <w:marBottom w:val="0"/>
          <w:divBdr>
            <w:top w:val="none" w:sz="0" w:space="0" w:color="auto"/>
            <w:left w:val="none" w:sz="0" w:space="0" w:color="auto"/>
            <w:bottom w:val="none" w:sz="0" w:space="0" w:color="auto"/>
            <w:right w:val="none" w:sz="0" w:space="0" w:color="auto"/>
          </w:divBdr>
        </w:div>
        <w:div w:id="455413259">
          <w:marLeft w:val="640"/>
          <w:marRight w:val="0"/>
          <w:marTop w:val="0"/>
          <w:marBottom w:val="0"/>
          <w:divBdr>
            <w:top w:val="none" w:sz="0" w:space="0" w:color="auto"/>
            <w:left w:val="none" w:sz="0" w:space="0" w:color="auto"/>
            <w:bottom w:val="none" w:sz="0" w:space="0" w:color="auto"/>
            <w:right w:val="none" w:sz="0" w:space="0" w:color="auto"/>
          </w:divBdr>
        </w:div>
        <w:div w:id="1730112063">
          <w:marLeft w:val="640"/>
          <w:marRight w:val="0"/>
          <w:marTop w:val="0"/>
          <w:marBottom w:val="0"/>
          <w:divBdr>
            <w:top w:val="none" w:sz="0" w:space="0" w:color="auto"/>
            <w:left w:val="none" w:sz="0" w:space="0" w:color="auto"/>
            <w:bottom w:val="none" w:sz="0" w:space="0" w:color="auto"/>
            <w:right w:val="none" w:sz="0" w:space="0" w:color="auto"/>
          </w:divBdr>
        </w:div>
        <w:div w:id="1945526904">
          <w:marLeft w:val="640"/>
          <w:marRight w:val="0"/>
          <w:marTop w:val="0"/>
          <w:marBottom w:val="0"/>
          <w:divBdr>
            <w:top w:val="none" w:sz="0" w:space="0" w:color="auto"/>
            <w:left w:val="none" w:sz="0" w:space="0" w:color="auto"/>
            <w:bottom w:val="none" w:sz="0" w:space="0" w:color="auto"/>
            <w:right w:val="none" w:sz="0" w:space="0" w:color="auto"/>
          </w:divBdr>
        </w:div>
        <w:div w:id="1163664827">
          <w:marLeft w:val="640"/>
          <w:marRight w:val="0"/>
          <w:marTop w:val="0"/>
          <w:marBottom w:val="0"/>
          <w:divBdr>
            <w:top w:val="none" w:sz="0" w:space="0" w:color="auto"/>
            <w:left w:val="none" w:sz="0" w:space="0" w:color="auto"/>
            <w:bottom w:val="none" w:sz="0" w:space="0" w:color="auto"/>
            <w:right w:val="none" w:sz="0" w:space="0" w:color="auto"/>
          </w:divBdr>
        </w:div>
        <w:div w:id="1932856594">
          <w:marLeft w:val="640"/>
          <w:marRight w:val="0"/>
          <w:marTop w:val="0"/>
          <w:marBottom w:val="0"/>
          <w:divBdr>
            <w:top w:val="none" w:sz="0" w:space="0" w:color="auto"/>
            <w:left w:val="none" w:sz="0" w:space="0" w:color="auto"/>
            <w:bottom w:val="none" w:sz="0" w:space="0" w:color="auto"/>
            <w:right w:val="none" w:sz="0" w:space="0" w:color="auto"/>
          </w:divBdr>
        </w:div>
        <w:div w:id="14893124">
          <w:marLeft w:val="640"/>
          <w:marRight w:val="0"/>
          <w:marTop w:val="0"/>
          <w:marBottom w:val="0"/>
          <w:divBdr>
            <w:top w:val="none" w:sz="0" w:space="0" w:color="auto"/>
            <w:left w:val="none" w:sz="0" w:space="0" w:color="auto"/>
            <w:bottom w:val="none" w:sz="0" w:space="0" w:color="auto"/>
            <w:right w:val="none" w:sz="0" w:space="0" w:color="auto"/>
          </w:divBdr>
        </w:div>
        <w:div w:id="1777090999">
          <w:marLeft w:val="640"/>
          <w:marRight w:val="0"/>
          <w:marTop w:val="0"/>
          <w:marBottom w:val="0"/>
          <w:divBdr>
            <w:top w:val="none" w:sz="0" w:space="0" w:color="auto"/>
            <w:left w:val="none" w:sz="0" w:space="0" w:color="auto"/>
            <w:bottom w:val="none" w:sz="0" w:space="0" w:color="auto"/>
            <w:right w:val="none" w:sz="0" w:space="0" w:color="auto"/>
          </w:divBdr>
        </w:div>
        <w:div w:id="1802919313">
          <w:marLeft w:val="640"/>
          <w:marRight w:val="0"/>
          <w:marTop w:val="0"/>
          <w:marBottom w:val="0"/>
          <w:divBdr>
            <w:top w:val="none" w:sz="0" w:space="0" w:color="auto"/>
            <w:left w:val="none" w:sz="0" w:space="0" w:color="auto"/>
            <w:bottom w:val="none" w:sz="0" w:space="0" w:color="auto"/>
            <w:right w:val="none" w:sz="0" w:space="0" w:color="auto"/>
          </w:divBdr>
        </w:div>
        <w:div w:id="1440491422">
          <w:marLeft w:val="640"/>
          <w:marRight w:val="0"/>
          <w:marTop w:val="0"/>
          <w:marBottom w:val="0"/>
          <w:divBdr>
            <w:top w:val="none" w:sz="0" w:space="0" w:color="auto"/>
            <w:left w:val="none" w:sz="0" w:space="0" w:color="auto"/>
            <w:bottom w:val="none" w:sz="0" w:space="0" w:color="auto"/>
            <w:right w:val="none" w:sz="0" w:space="0" w:color="auto"/>
          </w:divBdr>
        </w:div>
        <w:div w:id="75447235">
          <w:marLeft w:val="640"/>
          <w:marRight w:val="0"/>
          <w:marTop w:val="0"/>
          <w:marBottom w:val="0"/>
          <w:divBdr>
            <w:top w:val="none" w:sz="0" w:space="0" w:color="auto"/>
            <w:left w:val="none" w:sz="0" w:space="0" w:color="auto"/>
            <w:bottom w:val="none" w:sz="0" w:space="0" w:color="auto"/>
            <w:right w:val="none" w:sz="0" w:space="0" w:color="auto"/>
          </w:divBdr>
        </w:div>
        <w:div w:id="1554268685">
          <w:marLeft w:val="640"/>
          <w:marRight w:val="0"/>
          <w:marTop w:val="0"/>
          <w:marBottom w:val="0"/>
          <w:divBdr>
            <w:top w:val="none" w:sz="0" w:space="0" w:color="auto"/>
            <w:left w:val="none" w:sz="0" w:space="0" w:color="auto"/>
            <w:bottom w:val="none" w:sz="0" w:space="0" w:color="auto"/>
            <w:right w:val="none" w:sz="0" w:space="0" w:color="auto"/>
          </w:divBdr>
        </w:div>
        <w:div w:id="2060132559">
          <w:marLeft w:val="640"/>
          <w:marRight w:val="0"/>
          <w:marTop w:val="0"/>
          <w:marBottom w:val="0"/>
          <w:divBdr>
            <w:top w:val="none" w:sz="0" w:space="0" w:color="auto"/>
            <w:left w:val="none" w:sz="0" w:space="0" w:color="auto"/>
            <w:bottom w:val="none" w:sz="0" w:space="0" w:color="auto"/>
            <w:right w:val="none" w:sz="0" w:space="0" w:color="auto"/>
          </w:divBdr>
        </w:div>
        <w:div w:id="672609179">
          <w:marLeft w:val="640"/>
          <w:marRight w:val="0"/>
          <w:marTop w:val="0"/>
          <w:marBottom w:val="0"/>
          <w:divBdr>
            <w:top w:val="none" w:sz="0" w:space="0" w:color="auto"/>
            <w:left w:val="none" w:sz="0" w:space="0" w:color="auto"/>
            <w:bottom w:val="none" w:sz="0" w:space="0" w:color="auto"/>
            <w:right w:val="none" w:sz="0" w:space="0" w:color="auto"/>
          </w:divBdr>
        </w:div>
        <w:div w:id="943145466">
          <w:marLeft w:val="640"/>
          <w:marRight w:val="0"/>
          <w:marTop w:val="0"/>
          <w:marBottom w:val="0"/>
          <w:divBdr>
            <w:top w:val="none" w:sz="0" w:space="0" w:color="auto"/>
            <w:left w:val="none" w:sz="0" w:space="0" w:color="auto"/>
            <w:bottom w:val="none" w:sz="0" w:space="0" w:color="auto"/>
            <w:right w:val="none" w:sz="0" w:space="0" w:color="auto"/>
          </w:divBdr>
        </w:div>
        <w:div w:id="302734479">
          <w:marLeft w:val="640"/>
          <w:marRight w:val="0"/>
          <w:marTop w:val="0"/>
          <w:marBottom w:val="0"/>
          <w:divBdr>
            <w:top w:val="none" w:sz="0" w:space="0" w:color="auto"/>
            <w:left w:val="none" w:sz="0" w:space="0" w:color="auto"/>
            <w:bottom w:val="none" w:sz="0" w:space="0" w:color="auto"/>
            <w:right w:val="none" w:sz="0" w:space="0" w:color="auto"/>
          </w:divBdr>
        </w:div>
        <w:div w:id="676885903">
          <w:marLeft w:val="640"/>
          <w:marRight w:val="0"/>
          <w:marTop w:val="0"/>
          <w:marBottom w:val="0"/>
          <w:divBdr>
            <w:top w:val="none" w:sz="0" w:space="0" w:color="auto"/>
            <w:left w:val="none" w:sz="0" w:space="0" w:color="auto"/>
            <w:bottom w:val="none" w:sz="0" w:space="0" w:color="auto"/>
            <w:right w:val="none" w:sz="0" w:space="0" w:color="auto"/>
          </w:divBdr>
        </w:div>
        <w:div w:id="957682074">
          <w:marLeft w:val="640"/>
          <w:marRight w:val="0"/>
          <w:marTop w:val="0"/>
          <w:marBottom w:val="0"/>
          <w:divBdr>
            <w:top w:val="none" w:sz="0" w:space="0" w:color="auto"/>
            <w:left w:val="none" w:sz="0" w:space="0" w:color="auto"/>
            <w:bottom w:val="none" w:sz="0" w:space="0" w:color="auto"/>
            <w:right w:val="none" w:sz="0" w:space="0" w:color="auto"/>
          </w:divBdr>
        </w:div>
        <w:div w:id="1447698028">
          <w:marLeft w:val="640"/>
          <w:marRight w:val="0"/>
          <w:marTop w:val="0"/>
          <w:marBottom w:val="0"/>
          <w:divBdr>
            <w:top w:val="none" w:sz="0" w:space="0" w:color="auto"/>
            <w:left w:val="none" w:sz="0" w:space="0" w:color="auto"/>
            <w:bottom w:val="none" w:sz="0" w:space="0" w:color="auto"/>
            <w:right w:val="none" w:sz="0" w:space="0" w:color="auto"/>
          </w:divBdr>
        </w:div>
        <w:div w:id="363138936">
          <w:marLeft w:val="640"/>
          <w:marRight w:val="0"/>
          <w:marTop w:val="0"/>
          <w:marBottom w:val="0"/>
          <w:divBdr>
            <w:top w:val="none" w:sz="0" w:space="0" w:color="auto"/>
            <w:left w:val="none" w:sz="0" w:space="0" w:color="auto"/>
            <w:bottom w:val="none" w:sz="0" w:space="0" w:color="auto"/>
            <w:right w:val="none" w:sz="0" w:space="0" w:color="auto"/>
          </w:divBdr>
        </w:div>
        <w:div w:id="2105606780">
          <w:marLeft w:val="640"/>
          <w:marRight w:val="0"/>
          <w:marTop w:val="0"/>
          <w:marBottom w:val="0"/>
          <w:divBdr>
            <w:top w:val="none" w:sz="0" w:space="0" w:color="auto"/>
            <w:left w:val="none" w:sz="0" w:space="0" w:color="auto"/>
            <w:bottom w:val="none" w:sz="0" w:space="0" w:color="auto"/>
            <w:right w:val="none" w:sz="0" w:space="0" w:color="auto"/>
          </w:divBdr>
        </w:div>
        <w:div w:id="1158152289">
          <w:marLeft w:val="640"/>
          <w:marRight w:val="0"/>
          <w:marTop w:val="0"/>
          <w:marBottom w:val="0"/>
          <w:divBdr>
            <w:top w:val="none" w:sz="0" w:space="0" w:color="auto"/>
            <w:left w:val="none" w:sz="0" w:space="0" w:color="auto"/>
            <w:bottom w:val="none" w:sz="0" w:space="0" w:color="auto"/>
            <w:right w:val="none" w:sz="0" w:space="0" w:color="auto"/>
          </w:divBdr>
        </w:div>
        <w:div w:id="591595124">
          <w:marLeft w:val="640"/>
          <w:marRight w:val="0"/>
          <w:marTop w:val="0"/>
          <w:marBottom w:val="0"/>
          <w:divBdr>
            <w:top w:val="none" w:sz="0" w:space="0" w:color="auto"/>
            <w:left w:val="none" w:sz="0" w:space="0" w:color="auto"/>
            <w:bottom w:val="none" w:sz="0" w:space="0" w:color="auto"/>
            <w:right w:val="none" w:sz="0" w:space="0" w:color="auto"/>
          </w:divBdr>
        </w:div>
        <w:div w:id="560140187">
          <w:marLeft w:val="640"/>
          <w:marRight w:val="0"/>
          <w:marTop w:val="0"/>
          <w:marBottom w:val="0"/>
          <w:divBdr>
            <w:top w:val="none" w:sz="0" w:space="0" w:color="auto"/>
            <w:left w:val="none" w:sz="0" w:space="0" w:color="auto"/>
            <w:bottom w:val="none" w:sz="0" w:space="0" w:color="auto"/>
            <w:right w:val="none" w:sz="0" w:space="0" w:color="auto"/>
          </w:divBdr>
        </w:div>
        <w:div w:id="956179839">
          <w:marLeft w:val="640"/>
          <w:marRight w:val="0"/>
          <w:marTop w:val="0"/>
          <w:marBottom w:val="0"/>
          <w:divBdr>
            <w:top w:val="none" w:sz="0" w:space="0" w:color="auto"/>
            <w:left w:val="none" w:sz="0" w:space="0" w:color="auto"/>
            <w:bottom w:val="none" w:sz="0" w:space="0" w:color="auto"/>
            <w:right w:val="none" w:sz="0" w:space="0" w:color="auto"/>
          </w:divBdr>
        </w:div>
        <w:div w:id="9069524">
          <w:marLeft w:val="640"/>
          <w:marRight w:val="0"/>
          <w:marTop w:val="0"/>
          <w:marBottom w:val="0"/>
          <w:divBdr>
            <w:top w:val="none" w:sz="0" w:space="0" w:color="auto"/>
            <w:left w:val="none" w:sz="0" w:space="0" w:color="auto"/>
            <w:bottom w:val="none" w:sz="0" w:space="0" w:color="auto"/>
            <w:right w:val="none" w:sz="0" w:space="0" w:color="auto"/>
          </w:divBdr>
        </w:div>
        <w:div w:id="2086799138">
          <w:marLeft w:val="640"/>
          <w:marRight w:val="0"/>
          <w:marTop w:val="0"/>
          <w:marBottom w:val="0"/>
          <w:divBdr>
            <w:top w:val="none" w:sz="0" w:space="0" w:color="auto"/>
            <w:left w:val="none" w:sz="0" w:space="0" w:color="auto"/>
            <w:bottom w:val="none" w:sz="0" w:space="0" w:color="auto"/>
            <w:right w:val="none" w:sz="0" w:space="0" w:color="auto"/>
          </w:divBdr>
        </w:div>
        <w:div w:id="452331619">
          <w:marLeft w:val="640"/>
          <w:marRight w:val="0"/>
          <w:marTop w:val="0"/>
          <w:marBottom w:val="0"/>
          <w:divBdr>
            <w:top w:val="none" w:sz="0" w:space="0" w:color="auto"/>
            <w:left w:val="none" w:sz="0" w:space="0" w:color="auto"/>
            <w:bottom w:val="none" w:sz="0" w:space="0" w:color="auto"/>
            <w:right w:val="none" w:sz="0" w:space="0" w:color="auto"/>
          </w:divBdr>
        </w:div>
        <w:div w:id="326516893">
          <w:marLeft w:val="640"/>
          <w:marRight w:val="0"/>
          <w:marTop w:val="0"/>
          <w:marBottom w:val="0"/>
          <w:divBdr>
            <w:top w:val="none" w:sz="0" w:space="0" w:color="auto"/>
            <w:left w:val="none" w:sz="0" w:space="0" w:color="auto"/>
            <w:bottom w:val="none" w:sz="0" w:space="0" w:color="auto"/>
            <w:right w:val="none" w:sz="0" w:space="0" w:color="auto"/>
          </w:divBdr>
        </w:div>
        <w:div w:id="1287934598">
          <w:marLeft w:val="640"/>
          <w:marRight w:val="0"/>
          <w:marTop w:val="0"/>
          <w:marBottom w:val="0"/>
          <w:divBdr>
            <w:top w:val="none" w:sz="0" w:space="0" w:color="auto"/>
            <w:left w:val="none" w:sz="0" w:space="0" w:color="auto"/>
            <w:bottom w:val="none" w:sz="0" w:space="0" w:color="auto"/>
            <w:right w:val="none" w:sz="0" w:space="0" w:color="auto"/>
          </w:divBdr>
        </w:div>
        <w:div w:id="1997605589">
          <w:marLeft w:val="640"/>
          <w:marRight w:val="0"/>
          <w:marTop w:val="0"/>
          <w:marBottom w:val="0"/>
          <w:divBdr>
            <w:top w:val="none" w:sz="0" w:space="0" w:color="auto"/>
            <w:left w:val="none" w:sz="0" w:space="0" w:color="auto"/>
            <w:bottom w:val="none" w:sz="0" w:space="0" w:color="auto"/>
            <w:right w:val="none" w:sz="0" w:space="0" w:color="auto"/>
          </w:divBdr>
        </w:div>
        <w:div w:id="55512980">
          <w:marLeft w:val="640"/>
          <w:marRight w:val="0"/>
          <w:marTop w:val="0"/>
          <w:marBottom w:val="0"/>
          <w:divBdr>
            <w:top w:val="none" w:sz="0" w:space="0" w:color="auto"/>
            <w:left w:val="none" w:sz="0" w:space="0" w:color="auto"/>
            <w:bottom w:val="none" w:sz="0" w:space="0" w:color="auto"/>
            <w:right w:val="none" w:sz="0" w:space="0" w:color="auto"/>
          </w:divBdr>
        </w:div>
        <w:div w:id="215091637">
          <w:marLeft w:val="640"/>
          <w:marRight w:val="0"/>
          <w:marTop w:val="0"/>
          <w:marBottom w:val="0"/>
          <w:divBdr>
            <w:top w:val="none" w:sz="0" w:space="0" w:color="auto"/>
            <w:left w:val="none" w:sz="0" w:space="0" w:color="auto"/>
            <w:bottom w:val="none" w:sz="0" w:space="0" w:color="auto"/>
            <w:right w:val="none" w:sz="0" w:space="0" w:color="auto"/>
          </w:divBdr>
        </w:div>
        <w:div w:id="1310788637">
          <w:marLeft w:val="640"/>
          <w:marRight w:val="0"/>
          <w:marTop w:val="0"/>
          <w:marBottom w:val="0"/>
          <w:divBdr>
            <w:top w:val="none" w:sz="0" w:space="0" w:color="auto"/>
            <w:left w:val="none" w:sz="0" w:space="0" w:color="auto"/>
            <w:bottom w:val="none" w:sz="0" w:space="0" w:color="auto"/>
            <w:right w:val="none" w:sz="0" w:space="0" w:color="auto"/>
          </w:divBdr>
        </w:div>
        <w:div w:id="1729257381">
          <w:marLeft w:val="640"/>
          <w:marRight w:val="0"/>
          <w:marTop w:val="0"/>
          <w:marBottom w:val="0"/>
          <w:divBdr>
            <w:top w:val="none" w:sz="0" w:space="0" w:color="auto"/>
            <w:left w:val="none" w:sz="0" w:space="0" w:color="auto"/>
            <w:bottom w:val="none" w:sz="0" w:space="0" w:color="auto"/>
            <w:right w:val="none" w:sz="0" w:space="0" w:color="auto"/>
          </w:divBdr>
        </w:div>
        <w:div w:id="1722746918">
          <w:marLeft w:val="640"/>
          <w:marRight w:val="0"/>
          <w:marTop w:val="0"/>
          <w:marBottom w:val="0"/>
          <w:divBdr>
            <w:top w:val="none" w:sz="0" w:space="0" w:color="auto"/>
            <w:left w:val="none" w:sz="0" w:space="0" w:color="auto"/>
            <w:bottom w:val="none" w:sz="0" w:space="0" w:color="auto"/>
            <w:right w:val="none" w:sz="0" w:space="0" w:color="auto"/>
          </w:divBdr>
        </w:div>
        <w:div w:id="630328992">
          <w:marLeft w:val="640"/>
          <w:marRight w:val="0"/>
          <w:marTop w:val="0"/>
          <w:marBottom w:val="0"/>
          <w:divBdr>
            <w:top w:val="none" w:sz="0" w:space="0" w:color="auto"/>
            <w:left w:val="none" w:sz="0" w:space="0" w:color="auto"/>
            <w:bottom w:val="none" w:sz="0" w:space="0" w:color="auto"/>
            <w:right w:val="none" w:sz="0" w:space="0" w:color="auto"/>
          </w:divBdr>
        </w:div>
        <w:div w:id="1556044934">
          <w:marLeft w:val="640"/>
          <w:marRight w:val="0"/>
          <w:marTop w:val="0"/>
          <w:marBottom w:val="0"/>
          <w:divBdr>
            <w:top w:val="none" w:sz="0" w:space="0" w:color="auto"/>
            <w:left w:val="none" w:sz="0" w:space="0" w:color="auto"/>
            <w:bottom w:val="none" w:sz="0" w:space="0" w:color="auto"/>
            <w:right w:val="none" w:sz="0" w:space="0" w:color="auto"/>
          </w:divBdr>
        </w:div>
        <w:div w:id="1518957125">
          <w:marLeft w:val="640"/>
          <w:marRight w:val="0"/>
          <w:marTop w:val="0"/>
          <w:marBottom w:val="0"/>
          <w:divBdr>
            <w:top w:val="none" w:sz="0" w:space="0" w:color="auto"/>
            <w:left w:val="none" w:sz="0" w:space="0" w:color="auto"/>
            <w:bottom w:val="none" w:sz="0" w:space="0" w:color="auto"/>
            <w:right w:val="none" w:sz="0" w:space="0" w:color="auto"/>
          </w:divBdr>
        </w:div>
        <w:div w:id="826172267">
          <w:marLeft w:val="640"/>
          <w:marRight w:val="0"/>
          <w:marTop w:val="0"/>
          <w:marBottom w:val="0"/>
          <w:divBdr>
            <w:top w:val="none" w:sz="0" w:space="0" w:color="auto"/>
            <w:left w:val="none" w:sz="0" w:space="0" w:color="auto"/>
            <w:bottom w:val="none" w:sz="0" w:space="0" w:color="auto"/>
            <w:right w:val="none" w:sz="0" w:space="0" w:color="auto"/>
          </w:divBdr>
        </w:div>
        <w:div w:id="993484803">
          <w:marLeft w:val="640"/>
          <w:marRight w:val="0"/>
          <w:marTop w:val="0"/>
          <w:marBottom w:val="0"/>
          <w:divBdr>
            <w:top w:val="none" w:sz="0" w:space="0" w:color="auto"/>
            <w:left w:val="none" w:sz="0" w:space="0" w:color="auto"/>
            <w:bottom w:val="none" w:sz="0" w:space="0" w:color="auto"/>
            <w:right w:val="none" w:sz="0" w:space="0" w:color="auto"/>
          </w:divBdr>
        </w:div>
        <w:div w:id="1136527159">
          <w:marLeft w:val="640"/>
          <w:marRight w:val="0"/>
          <w:marTop w:val="0"/>
          <w:marBottom w:val="0"/>
          <w:divBdr>
            <w:top w:val="none" w:sz="0" w:space="0" w:color="auto"/>
            <w:left w:val="none" w:sz="0" w:space="0" w:color="auto"/>
            <w:bottom w:val="none" w:sz="0" w:space="0" w:color="auto"/>
            <w:right w:val="none" w:sz="0" w:space="0" w:color="auto"/>
          </w:divBdr>
        </w:div>
        <w:div w:id="2123913537">
          <w:marLeft w:val="640"/>
          <w:marRight w:val="0"/>
          <w:marTop w:val="0"/>
          <w:marBottom w:val="0"/>
          <w:divBdr>
            <w:top w:val="none" w:sz="0" w:space="0" w:color="auto"/>
            <w:left w:val="none" w:sz="0" w:space="0" w:color="auto"/>
            <w:bottom w:val="none" w:sz="0" w:space="0" w:color="auto"/>
            <w:right w:val="none" w:sz="0" w:space="0" w:color="auto"/>
          </w:divBdr>
        </w:div>
        <w:div w:id="1841774619">
          <w:marLeft w:val="640"/>
          <w:marRight w:val="0"/>
          <w:marTop w:val="0"/>
          <w:marBottom w:val="0"/>
          <w:divBdr>
            <w:top w:val="none" w:sz="0" w:space="0" w:color="auto"/>
            <w:left w:val="none" w:sz="0" w:space="0" w:color="auto"/>
            <w:bottom w:val="none" w:sz="0" w:space="0" w:color="auto"/>
            <w:right w:val="none" w:sz="0" w:space="0" w:color="auto"/>
          </w:divBdr>
        </w:div>
        <w:div w:id="1613049069">
          <w:marLeft w:val="640"/>
          <w:marRight w:val="0"/>
          <w:marTop w:val="0"/>
          <w:marBottom w:val="0"/>
          <w:divBdr>
            <w:top w:val="none" w:sz="0" w:space="0" w:color="auto"/>
            <w:left w:val="none" w:sz="0" w:space="0" w:color="auto"/>
            <w:bottom w:val="none" w:sz="0" w:space="0" w:color="auto"/>
            <w:right w:val="none" w:sz="0" w:space="0" w:color="auto"/>
          </w:divBdr>
        </w:div>
        <w:div w:id="817765803">
          <w:marLeft w:val="640"/>
          <w:marRight w:val="0"/>
          <w:marTop w:val="0"/>
          <w:marBottom w:val="0"/>
          <w:divBdr>
            <w:top w:val="none" w:sz="0" w:space="0" w:color="auto"/>
            <w:left w:val="none" w:sz="0" w:space="0" w:color="auto"/>
            <w:bottom w:val="none" w:sz="0" w:space="0" w:color="auto"/>
            <w:right w:val="none" w:sz="0" w:space="0" w:color="auto"/>
          </w:divBdr>
        </w:div>
        <w:div w:id="729961548">
          <w:marLeft w:val="640"/>
          <w:marRight w:val="0"/>
          <w:marTop w:val="0"/>
          <w:marBottom w:val="0"/>
          <w:divBdr>
            <w:top w:val="none" w:sz="0" w:space="0" w:color="auto"/>
            <w:left w:val="none" w:sz="0" w:space="0" w:color="auto"/>
            <w:bottom w:val="none" w:sz="0" w:space="0" w:color="auto"/>
            <w:right w:val="none" w:sz="0" w:space="0" w:color="auto"/>
          </w:divBdr>
        </w:div>
        <w:div w:id="677271966">
          <w:marLeft w:val="640"/>
          <w:marRight w:val="0"/>
          <w:marTop w:val="0"/>
          <w:marBottom w:val="0"/>
          <w:divBdr>
            <w:top w:val="none" w:sz="0" w:space="0" w:color="auto"/>
            <w:left w:val="none" w:sz="0" w:space="0" w:color="auto"/>
            <w:bottom w:val="none" w:sz="0" w:space="0" w:color="auto"/>
            <w:right w:val="none" w:sz="0" w:space="0" w:color="auto"/>
          </w:divBdr>
        </w:div>
        <w:div w:id="1865823173">
          <w:marLeft w:val="640"/>
          <w:marRight w:val="0"/>
          <w:marTop w:val="0"/>
          <w:marBottom w:val="0"/>
          <w:divBdr>
            <w:top w:val="none" w:sz="0" w:space="0" w:color="auto"/>
            <w:left w:val="none" w:sz="0" w:space="0" w:color="auto"/>
            <w:bottom w:val="none" w:sz="0" w:space="0" w:color="auto"/>
            <w:right w:val="none" w:sz="0" w:space="0" w:color="auto"/>
          </w:divBdr>
        </w:div>
        <w:div w:id="780689974">
          <w:marLeft w:val="640"/>
          <w:marRight w:val="0"/>
          <w:marTop w:val="0"/>
          <w:marBottom w:val="0"/>
          <w:divBdr>
            <w:top w:val="none" w:sz="0" w:space="0" w:color="auto"/>
            <w:left w:val="none" w:sz="0" w:space="0" w:color="auto"/>
            <w:bottom w:val="none" w:sz="0" w:space="0" w:color="auto"/>
            <w:right w:val="none" w:sz="0" w:space="0" w:color="auto"/>
          </w:divBdr>
        </w:div>
        <w:div w:id="1837767352">
          <w:marLeft w:val="640"/>
          <w:marRight w:val="0"/>
          <w:marTop w:val="0"/>
          <w:marBottom w:val="0"/>
          <w:divBdr>
            <w:top w:val="none" w:sz="0" w:space="0" w:color="auto"/>
            <w:left w:val="none" w:sz="0" w:space="0" w:color="auto"/>
            <w:bottom w:val="none" w:sz="0" w:space="0" w:color="auto"/>
            <w:right w:val="none" w:sz="0" w:space="0" w:color="auto"/>
          </w:divBdr>
        </w:div>
        <w:div w:id="155146914">
          <w:marLeft w:val="640"/>
          <w:marRight w:val="0"/>
          <w:marTop w:val="0"/>
          <w:marBottom w:val="0"/>
          <w:divBdr>
            <w:top w:val="none" w:sz="0" w:space="0" w:color="auto"/>
            <w:left w:val="none" w:sz="0" w:space="0" w:color="auto"/>
            <w:bottom w:val="none" w:sz="0" w:space="0" w:color="auto"/>
            <w:right w:val="none" w:sz="0" w:space="0" w:color="auto"/>
          </w:divBdr>
        </w:div>
        <w:div w:id="1877960580">
          <w:marLeft w:val="640"/>
          <w:marRight w:val="0"/>
          <w:marTop w:val="0"/>
          <w:marBottom w:val="0"/>
          <w:divBdr>
            <w:top w:val="none" w:sz="0" w:space="0" w:color="auto"/>
            <w:left w:val="none" w:sz="0" w:space="0" w:color="auto"/>
            <w:bottom w:val="none" w:sz="0" w:space="0" w:color="auto"/>
            <w:right w:val="none" w:sz="0" w:space="0" w:color="auto"/>
          </w:divBdr>
        </w:div>
        <w:div w:id="2041004533">
          <w:marLeft w:val="640"/>
          <w:marRight w:val="0"/>
          <w:marTop w:val="0"/>
          <w:marBottom w:val="0"/>
          <w:divBdr>
            <w:top w:val="none" w:sz="0" w:space="0" w:color="auto"/>
            <w:left w:val="none" w:sz="0" w:space="0" w:color="auto"/>
            <w:bottom w:val="none" w:sz="0" w:space="0" w:color="auto"/>
            <w:right w:val="none" w:sz="0" w:space="0" w:color="auto"/>
          </w:divBdr>
        </w:div>
        <w:div w:id="557782897">
          <w:marLeft w:val="640"/>
          <w:marRight w:val="0"/>
          <w:marTop w:val="0"/>
          <w:marBottom w:val="0"/>
          <w:divBdr>
            <w:top w:val="none" w:sz="0" w:space="0" w:color="auto"/>
            <w:left w:val="none" w:sz="0" w:space="0" w:color="auto"/>
            <w:bottom w:val="none" w:sz="0" w:space="0" w:color="auto"/>
            <w:right w:val="none" w:sz="0" w:space="0" w:color="auto"/>
          </w:divBdr>
        </w:div>
        <w:div w:id="1446459246">
          <w:marLeft w:val="640"/>
          <w:marRight w:val="0"/>
          <w:marTop w:val="0"/>
          <w:marBottom w:val="0"/>
          <w:divBdr>
            <w:top w:val="none" w:sz="0" w:space="0" w:color="auto"/>
            <w:left w:val="none" w:sz="0" w:space="0" w:color="auto"/>
            <w:bottom w:val="none" w:sz="0" w:space="0" w:color="auto"/>
            <w:right w:val="none" w:sz="0" w:space="0" w:color="auto"/>
          </w:divBdr>
        </w:div>
        <w:div w:id="1257058934">
          <w:marLeft w:val="640"/>
          <w:marRight w:val="0"/>
          <w:marTop w:val="0"/>
          <w:marBottom w:val="0"/>
          <w:divBdr>
            <w:top w:val="none" w:sz="0" w:space="0" w:color="auto"/>
            <w:left w:val="none" w:sz="0" w:space="0" w:color="auto"/>
            <w:bottom w:val="none" w:sz="0" w:space="0" w:color="auto"/>
            <w:right w:val="none" w:sz="0" w:space="0" w:color="auto"/>
          </w:divBdr>
        </w:div>
        <w:div w:id="1664039739">
          <w:marLeft w:val="640"/>
          <w:marRight w:val="0"/>
          <w:marTop w:val="0"/>
          <w:marBottom w:val="0"/>
          <w:divBdr>
            <w:top w:val="none" w:sz="0" w:space="0" w:color="auto"/>
            <w:left w:val="none" w:sz="0" w:space="0" w:color="auto"/>
            <w:bottom w:val="none" w:sz="0" w:space="0" w:color="auto"/>
            <w:right w:val="none" w:sz="0" w:space="0" w:color="auto"/>
          </w:divBdr>
        </w:div>
        <w:div w:id="1941525540">
          <w:marLeft w:val="640"/>
          <w:marRight w:val="0"/>
          <w:marTop w:val="0"/>
          <w:marBottom w:val="0"/>
          <w:divBdr>
            <w:top w:val="none" w:sz="0" w:space="0" w:color="auto"/>
            <w:left w:val="none" w:sz="0" w:space="0" w:color="auto"/>
            <w:bottom w:val="none" w:sz="0" w:space="0" w:color="auto"/>
            <w:right w:val="none" w:sz="0" w:space="0" w:color="auto"/>
          </w:divBdr>
        </w:div>
        <w:div w:id="481506738">
          <w:marLeft w:val="640"/>
          <w:marRight w:val="0"/>
          <w:marTop w:val="0"/>
          <w:marBottom w:val="0"/>
          <w:divBdr>
            <w:top w:val="none" w:sz="0" w:space="0" w:color="auto"/>
            <w:left w:val="none" w:sz="0" w:space="0" w:color="auto"/>
            <w:bottom w:val="none" w:sz="0" w:space="0" w:color="auto"/>
            <w:right w:val="none" w:sz="0" w:space="0" w:color="auto"/>
          </w:divBdr>
        </w:div>
        <w:div w:id="2089500943">
          <w:marLeft w:val="640"/>
          <w:marRight w:val="0"/>
          <w:marTop w:val="0"/>
          <w:marBottom w:val="0"/>
          <w:divBdr>
            <w:top w:val="none" w:sz="0" w:space="0" w:color="auto"/>
            <w:left w:val="none" w:sz="0" w:space="0" w:color="auto"/>
            <w:bottom w:val="none" w:sz="0" w:space="0" w:color="auto"/>
            <w:right w:val="none" w:sz="0" w:space="0" w:color="auto"/>
          </w:divBdr>
        </w:div>
        <w:div w:id="1068920062">
          <w:marLeft w:val="640"/>
          <w:marRight w:val="0"/>
          <w:marTop w:val="0"/>
          <w:marBottom w:val="0"/>
          <w:divBdr>
            <w:top w:val="none" w:sz="0" w:space="0" w:color="auto"/>
            <w:left w:val="none" w:sz="0" w:space="0" w:color="auto"/>
            <w:bottom w:val="none" w:sz="0" w:space="0" w:color="auto"/>
            <w:right w:val="none" w:sz="0" w:space="0" w:color="auto"/>
          </w:divBdr>
        </w:div>
        <w:div w:id="1264189674">
          <w:marLeft w:val="640"/>
          <w:marRight w:val="0"/>
          <w:marTop w:val="0"/>
          <w:marBottom w:val="0"/>
          <w:divBdr>
            <w:top w:val="none" w:sz="0" w:space="0" w:color="auto"/>
            <w:left w:val="none" w:sz="0" w:space="0" w:color="auto"/>
            <w:bottom w:val="none" w:sz="0" w:space="0" w:color="auto"/>
            <w:right w:val="none" w:sz="0" w:space="0" w:color="auto"/>
          </w:divBdr>
        </w:div>
        <w:div w:id="931860633">
          <w:marLeft w:val="640"/>
          <w:marRight w:val="0"/>
          <w:marTop w:val="0"/>
          <w:marBottom w:val="0"/>
          <w:divBdr>
            <w:top w:val="none" w:sz="0" w:space="0" w:color="auto"/>
            <w:left w:val="none" w:sz="0" w:space="0" w:color="auto"/>
            <w:bottom w:val="none" w:sz="0" w:space="0" w:color="auto"/>
            <w:right w:val="none" w:sz="0" w:space="0" w:color="auto"/>
          </w:divBdr>
        </w:div>
        <w:div w:id="1276524466">
          <w:marLeft w:val="640"/>
          <w:marRight w:val="0"/>
          <w:marTop w:val="0"/>
          <w:marBottom w:val="0"/>
          <w:divBdr>
            <w:top w:val="none" w:sz="0" w:space="0" w:color="auto"/>
            <w:left w:val="none" w:sz="0" w:space="0" w:color="auto"/>
            <w:bottom w:val="none" w:sz="0" w:space="0" w:color="auto"/>
            <w:right w:val="none" w:sz="0" w:space="0" w:color="auto"/>
          </w:divBdr>
        </w:div>
        <w:div w:id="1003624380">
          <w:marLeft w:val="640"/>
          <w:marRight w:val="0"/>
          <w:marTop w:val="0"/>
          <w:marBottom w:val="0"/>
          <w:divBdr>
            <w:top w:val="none" w:sz="0" w:space="0" w:color="auto"/>
            <w:left w:val="none" w:sz="0" w:space="0" w:color="auto"/>
            <w:bottom w:val="none" w:sz="0" w:space="0" w:color="auto"/>
            <w:right w:val="none" w:sz="0" w:space="0" w:color="auto"/>
          </w:divBdr>
        </w:div>
        <w:div w:id="1423144553">
          <w:marLeft w:val="640"/>
          <w:marRight w:val="0"/>
          <w:marTop w:val="0"/>
          <w:marBottom w:val="0"/>
          <w:divBdr>
            <w:top w:val="none" w:sz="0" w:space="0" w:color="auto"/>
            <w:left w:val="none" w:sz="0" w:space="0" w:color="auto"/>
            <w:bottom w:val="none" w:sz="0" w:space="0" w:color="auto"/>
            <w:right w:val="none" w:sz="0" w:space="0" w:color="auto"/>
          </w:divBdr>
        </w:div>
        <w:div w:id="1139616191">
          <w:marLeft w:val="640"/>
          <w:marRight w:val="0"/>
          <w:marTop w:val="0"/>
          <w:marBottom w:val="0"/>
          <w:divBdr>
            <w:top w:val="none" w:sz="0" w:space="0" w:color="auto"/>
            <w:left w:val="none" w:sz="0" w:space="0" w:color="auto"/>
            <w:bottom w:val="none" w:sz="0" w:space="0" w:color="auto"/>
            <w:right w:val="none" w:sz="0" w:space="0" w:color="auto"/>
          </w:divBdr>
        </w:div>
        <w:div w:id="1812091398">
          <w:marLeft w:val="640"/>
          <w:marRight w:val="0"/>
          <w:marTop w:val="0"/>
          <w:marBottom w:val="0"/>
          <w:divBdr>
            <w:top w:val="none" w:sz="0" w:space="0" w:color="auto"/>
            <w:left w:val="none" w:sz="0" w:space="0" w:color="auto"/>
            <w:bottom w:val="none" w:sz="0" w:space="0" w:color="auto"/>
            <w:right w:val="none" w:sz="0" w:space="0" w:color="auto"/>
          </w:divBdr>
        </w:div>
        <w:div w:id="983967411">
          <w:marLeft w:val="640"/>
          <w:marRight w:val="0"/>
          <w:marTop w:val="0"/>
          <w:marBottom w:val="0"/>
          <w:divBdr>
            <w:top w:val="none" w:sz="0" w:space="0" w:color="auto"/>
            <w:left w:val="none" w:sz="0" w:space="0" w:color="auto"/>
            <w:bottom w:val="none" w:sz="0" w:space="0" w:color="auto"/>
            <w:right w:val="none" w:sz="0" w:space="0" w:color="auto"/>
          </w:divBdr>
        </w:div>
        <w:div w:id="588000689">
          <w:marLeft w:val="640"/>
          <w:marRight w:val="0"/>
          <w:marTop w:val="0"/>
          <w:marBottom w:val="0"/>
          <w:divBdr>
            <w:top w:val="none" w:sz="0" w:space="0" w:color="auto"/>
            <w:left w:val="none" w:sz="0" w:space="0" w:color="auto"/>
            <w:bottom w:val="none" w:sz="0" w:space="0" w:color="auto"/>
            <w:right w:val="none" w:sz="0" w:space="0" w:color="auto"/>
          </w:divBdr>
        </w:div>
        <w:div w:id="1694191583">
          <w:marLeft w:val="640"/>
          <w:marRight w:val="0"/>
          <w:marTop w:val="0"/>
          <w:marBottom w:val="0"/>
          <w:divBdr>
            <w:top w:val="none" w:sz="0" w:space="0" w:color="auto"/>
            <w:left w:val="none" w:sz="0" w:space="0" w:color="auto"/>
            <w:bottom w:val="none" w:sz="0" w:space="0" w:color="auto"/>
            <w:right w:val="none" w:sz="0" w:space="0" w:color="auto"/>
          </w:divBdr>
        </w:div>
        <w:div w:id="1856530676">
          <w:marLeft w:val="640"/>
          <w:marRight w:val="0"/>
          <w:marTop w:val="0"/>
          <w:marBottom w:val="0"/>
          <w:divBdr>
            <w:top w:val="none" w:sz="0" w:space="0" w:color="auto"/>
            <w:left w:val="none" w:sz="0" w:space="0" w:color="auto"/>
            <w:bottom w:val="none" w:sz="0" w:space="0" w:color="auto"/>
            <w:right w:val="none" w:sz="0" w:space="0" w:color="auto"/>
          </w:divBdr>
        </w:div>
        <w:div w:id="891621412">
          <w:marLeft w:val="640"/>
          <w:marRight w:val="0"/>
          <w:marTop w:val="0"/>
          <w:marBottom w:val="0"/>
          <w:divBdr>
            <w:top w:val="none" w:sz="0" w:space="0" w:color="auto"/>
            <w:left w:val="none" w:sz="0" w:space="0" w:color="auto"/>
            <w:bottom w:val="none" w:sz="0" w:space="0" w:color="auto"/>
            <w:right w:val="none" w:sz="0" w:space="0" w:color="auto"/>
          </w:divBdr>
        </w:div>
        <w:div w:id="1535540364">
          <w:marLeft w:val="640"/>
          <w:marRight w:val="0"/>
          <w:marTop w:val="0"/>
          <w:marBottom w:val="0"/>
          <w:divBdr>
            <w:top w:val="none" w:sz="0" w:space="0" w:color="auto"/>
            <w:left w:val="none" w:sz="0" w:space="0" w:color="auto"/>
            <w:bottom w:val="none" w:sz="0" w:space="0" w:color="auto"/>
            <w:right w:val="none" w:sz="0" w:space="0" w:color="auto"/>
          </w:divBdr>
        </w:div>
        <w:div w:id="1314945562">
          <w:marLeft w:val="640"/>
          <w:marRight w:val="0"/>
          <w:marTop w:val="0"/>
          <w:marBottom w:val="0"/>
          <w:divBdr>
            <w:top w:val="none" w:sz="0" w:space="0" w:color="auto"/>
            <w:left w:val="none" w:sz="0" w:space="0" w:color="auto"/>
            <w:bottom w:val="none" w:sz="0" w:space="0" w:color="auto"/>
            <w:right w:val="none" w:sz="0" w:space="0" w:color="auto"/>
          </w:divBdr>
        </w:div>
        <w:div w:id="2086030674">
          <w:marLeft w:val="640"/>
          <w:marRight w:val="0"/>
          <w:marTop w:val="0"/>
          <w:marBottom w:val="0"/>
          <w:divBdr>
            <w:top w:val="none" w:sz="0" w:space="0" w:color="auto"/>
            <w:left w:val="none" w:sz="0" w:space="0" w:color="auto"/>
            <w:bottom w:val="none" w:sz="0" w:space="0" w:color="auto"/>
            <w:right w:val="none" w:sz="0" w:space="0" w:color="auto"/>
          </w:divBdr>
        </w:div>
        <w:div w:id="1653437600">
          <w:marLeft w:val="640"/>
          <w:marRight w:val="0"/>
          <w:marTop w:val="0"/>
          <w:marBottom w:val="0"/>
          <w:divBdr>
            <w:top w:val="none" w:sz="0" w:space="0" w:color="auto"/>
            <w:left w:val="none" w:sz="0" w:space="0" w:color="auto"/>
            <w:bottom w:val="none" w:sz="0" w:space="0" w:color="auto"/>
            <w:right w:val="none" w:sz="0" w:space="0" w:color="auto"/>
          </w:divBdr>
        </w:div>
        <w:div w:id="540829416">
          <w:marLeft w:val="640"/>
          <w:marRight w:val="0"/>
          <w:marTop w:val="0"/>
          <w:marBottom w:val="0"/>
          <w:divBdr>
            <w:top w:val="none" w:sz="0" w:space="0" w:color="auto"/>
            <w:left w:val="none" w:sz="0" w:space="0" w:color="auto"/>
            <w:bottom w:val="none" w:sz="0" w:space="0" w:color="auto"/>
            <w:right w:val="none" w:sz="0" w:space="0" w:color="auto"/>
          </w:divBdr>
        </w:div>
        <w:div w:id="1685475412">
          <w:marLeft w:val="640"/>
          <w:marRight w:val="0"/>
          <w:marTop w:val="0"/>
          <w:marBottom w:val="0"/>
          <w:divBdr>
            <w:top w:val="none" w:sz="0" w:space="0" w:color="auto"/>
            <w:left w:val="none" w:sz="0" w:space="0" w:color="auto"/>
            <w:bottom w:val="none" w:sz="0" w:space="0" w:color="auto"/>
            <w:right w:val="none" w:sz="0" w:space="0" w:color="auto"/>
          </w:divBdr>
        </w:div>
        <w:div w:id="1144855494">
          <w:marLeft w:val="640"/>
          <w:marRight w:val="0"/>
          <w:marTop w:val="0"/>
          <w:marBottom w:val="0"/>
          <w:divBdr>
            <w:top w:val="none" w:sz="0" w:space="0" w:color="auto"/>
            <w:left w:val="none" w:sz="0" w:space="0" w:color="auto"/>
            <w:bottom w:val="none" w:sz="0" w:space="0" w:color="auto"/>
            <w:right w:val="none" w:sz="0" w:space="0" w:color="auto"/>
          </w:divBdr>
        </w:div>
        <w:div w:id="2078236130">
          <w:marLeft w:val="640"/>
          <w:marRight w:val="0"/>
          <w:marTop w:val="0"/>
          <w:marBottom w:val="0"/>
          <w:divBdr>
            <w:top w:val="none" w:sz="0" w:space="0" w:color="auto"/>
            <w:left w:val="none" w:sz="0" w:space="0" w:color="auto"/>
            <w:bottom w:val="none" w:sz="0" w:space="0" w:color="auto"/>
            <w:right w:val="none" w:sz="0" w:space="0" w:color="auto"/>
          </w:divBdr>
        </w:div>
        <w:div w:id="1433935080">
          <w:marLeft w:val="640"/>
          <w:marRight w:val="0"/>
          <w:marTop w:val="0"/>
          <w:marBottom w:val="0"/>
          <w:divBdr>
            <w:top w:val="none" w:sz="0" w:space="0" w:color="auto"/>
            <w:left w:val="none" w:sz="0" w:space="0" w:color="auto"/>
            <w:bottom w:val="none" w:sz="0" w:space="0" w:color="auto"/>
            <w:right w:val="none" w:sz="0" w:space="0" w:color="auto"/>
          </w:divBdr>
        </w:div>
        <w:div w:id="980306564">
          <w:marLeft w:val="640"/>
          <w:marRight w:val="0"/>
          <w:marTop w:val="0"/>
          <w:marBottom w:val="0"/>
          <w:divBdr>
            <w:top w:val="none" w:sz="0" w:space="0" w:color="auto"/>
            <w:left w:val="none" w:sz="0" w:space="0" w:color="auto"/>
            <w:bottom w:val="none" w:sz="0" w:space="0" w:color="auto"/>
            <w:right w:val="none" w:sz="0" w:space="0" w:color="auto"/>
          </w:divBdr>
        </w:div>
        <w:div w:id="522549935">
          <w:marLeft w:val="640"/>
          <w:marRight w:val="0"/>
          <w:marTop w:val="0"/>
          <w:marBottom w:val="0"/>
          <w:divBdr>
            <w:top w:val="none" w:sz="0" w:space="0" w:color="auto"/>
            <w:left w:val="none" w:sz="0" w:space="0" w:color="auto"/>
            <w:bottom w:val="none" w:sz="0" w:space="0" w:color="auto"/>
            <w:right w:val="none" w:sz="0" w:space="0" w:color="auto"/>
          </w:divBdr>
        </w:div>
        <w:div w:id="2005085255">
          <w:marLeft w:val="640"/>
          <w:marRight w:val="0"/>
          <w:marTop w:val="0"/>
          <w:marBottom w:val="0"/>
          <w:divBdr>
            <w:top w:val="none" w:sz="0" w:space="0" w:color="auto"/>
            <w:left w:val="none" w:sz="0" w:space="0" w:color="auto"/>
            <w:bottom w:val="none" w:sz="0" w:space="0" w:color="auto"/>
            <w:right w:val="none" w:sz="0" w:space="0" w:color="auto"/>
          </w:divBdr>
        </w:div>
        <w:div w:id="168450169">
          <w:marLeft w:val="640"/>
          <w:marRight w:val="0"/>
          <w:marTop w:val="0"/>
          <w:marBottom w:val="0"/>
          <w:divBdr>
            <w:top w:val="none" w:sz="0" w:space="0" w:color="auto"/>
            <w:left w:val="none" w:sz="0" w:space="0" w:color="auto"/>
            <w:bottom w:val="none" w:sz="0" w:space="0" w:color="auto"/>
            <w:right w:val="none" w:sz="0" w:space="0" w:color="auto"/>
          </w:divBdr>
        </w:div>
        <w:div w:id="967053777">
          <w:marLeft w:val="640"/>
          <w:marRight w:val="0"/>
          <w:marTop w:val="0"/>
          <w:marBottom w:val="0"/>
          <w:divBdr>
            <w:top w:val="none" w:sz="0" w:space="0" w:color="auto"/>
            <w:left w:val="none" w:sz="0" w:space="0" w:color="auto"/>
            <w:bottom w:val="none" w:sz="0" w:space="0" w:color="auto"/>
            <w:right w:val="none" w:sz="0" w:space="0" w:color="auto"/>
          </w:divBdr>
        </w:div>
        <w:div w:id="1325427538">
          <w:marLeft w:val="640"/>
          <w:marRight w:val="0"/>
          <w:marTop w:val="0"/>
          <w:marBottom w:val="0"/>
          <w:divBdr>
            <w:top w:val="none" w:sz="0" w:space="0" w:color="auto"/>
            <w:left w:val="none" w:sz="0" w:space="0" w:color="auto"/>
            <w:bottom w:val="none" w:sz="0" w:space="0" w:color="auto"/>
            <w:right w:val="none" w:sz="0" w:space="0" w:color="auto"/>
          </w:divBdr>
        </w:div>
        <w:div w:id="557084801">
          <w:marLeft w:val="640"/>
          <w:marRight w:val="0"/>
          <w:marTop w:val="0"/>
          <w:marBottom w:val="0"/>
          <w:divBdr>
            <w:top w:val="none" w:sz="0" w:space="0" w:color="auto"/>
            <w:left w:val="none" w:sz="0" w:space="0" w:color="auto"/>
            <w:bottom w:val="none" w:sz="0" w:space="0" w:color="auto"/>
            <w:right w:val="none" w:sz="0" w:space="0" w:color="auto"/>
          </w:divBdr>
        </w:div>
        <w:div w:id="1570308832">
          <w:marLeft w:val="640"/>
          <w:marRight w:val="0"/>
          <w:marTop w:val="0"/>
          <w:marBottom w:val="0"/>
          <w:divBdr>
            <w:top w:val="none" w:sz="0" w:space="0" w:color="auto"/>
            <w:left w:val="none" w:sz="0" w:space="0" w:color="auto"/>
            <w:bottom w:val="none" w:sz="0" w:space="0" w:color="auto"/>
            <w:right w:val="none" w:sz="0" w:space="0" w:color="auto"/>
          </w:divBdr>
        </w:div>
        <w:div w:id="253056813">
          <w:marLeft w:val="640"/>
          <w:marRight w:val="0"/>
          <w:marTop w:val="0"/>
          <w:marBottom w:val="0"/>
          <w:divBdr>
            <w:top w:val="none" w:sz="0" w:space="0" w:color="auto"/>
            <w:left w:val="none" w:sz="0" w:space="0" w:color="auto"/>
            <w:bottom w:val="none" w:sz="0" w:space="0" w:color="auto"/>
            <w:right w:val="none" w:sz="0" w:space="0" w:color="auto"/>
          </w:divBdr>
        </w:div>
        <w:div w:id="1837502301">
          <w:marLeft w:val="640"/>
          <w:marRight w:val="0"/>
          <w:marTop w:val="0"/>
          <w:marBottom w:val="0"/>
          <w:divBdr>
            <w:top w:val="none" w:sz="0" w:space="0" w:color="auto"/>
            <w:left w:val="none" w:sz="0" w:space="0" w:color="auto"/>
            <w:bottom w:val="none" w:sz="0" w:space="0" w:color="auto"/>
            <w:right w:val="none" w:sz="0" w:space="0" w:color="auto"/>
          </w:divBdr>
        </w:div>
        <w:div w:id="27923685">
          <w:marLeft w:val="640"/>
          <w:marRight w:val="0"/>
          <w:marTop w:val="0"/>
          <w:marBottom w:val="0"/>
          <w:divBdr>
            <w:top w:val="none" w:sz="0" w:space="0" w:color="auto"/>
            <w:left w:val="none" w:sz="0" w:space="0" w:color="auto"/>
            <w:bottom w:val="none" w:sz="0" w:space="0" w:color="auto"/>
            <w:right w:val="none" w:sz="0" w:space="0" w:color="auto"/>
          </w:divBdr>
        </w:div>
        <w:div w:id="2030599412">
          <w:marLeft w:val="640"/>
          <w:marRight w:val="0"/>
          <w:marTop w:val="0"/>
          <w:marBottom w:val="0"/>
          <w:divBdr>
            <w:top w:val="none" w:sz="0" w:space="0" w:color="auto"/>
            <w:left w:val="none" w:sz="0" w:space="0" w:color="auto"/>
            <w:bottom w:val="none" w:sz="0" w:space="0" w:color="auto"/>
            <w:right w:val="none" w:sz="0" w:space="0" w:color="auto"/>
          </w:divBdr>
        </w:div>
        <w:div w:id="1444350825">
          <w:marLeft w:val="640"/>
          <w:marRight w:val="0"/>
          <w:marTop w:val="0"/>
          <w:marBottom w:val="0"/>
          <w:divBdr>
            <w:top w:val="none" w:sz="0" w:space="0" w:color="auto"/>
            <w:left w:val="none" w:sz="0" w:space="0" w:color="auto"/>
            <w:bottom w:val="none" w:sz="0" w:space="0" w:color="auto"/>
            <w:right w:val="none" w:sz="0" w:space="0" w:color="auto"/>
          </w:divBdr>
        </w:div>
        <w:div w:id="693652820">
          <w:marLeft w:val="640"/>
          <w:marRight w:val="0"/>
          <w:marTop w:val="0"/>
          <w:marBottom w:val="0"/>
          <w:divBdr>
            <w:top w:val="none" w:sz="0" w:space="0" w:color="auto"/>
            <w:left w:val="none" w:sz="0" w:space="0" w:color="auto"/>
            <w:bottom w:val="none" w:sz="0" w:space="0" w:color="auto"/>
            <w:right w:val="none" w:sz="0" w:space="0" w:color="auto"/>
          </w:divBdr>
        </w:div>
        <w:div w:id="1746147811">
          <w:marLeft w:val="640"/>
          <w:marRight w:val="0"/>
          <w:marTop w:val="0"/>
          <w:marBottom w:val="0"/>
          <w:divBdr>
            <w:top w:val="none" w:sz="0" w:space="0" w:color="auto"/>
            <w:left w:val="none" w:sz="0" w:space="0" w:color="auto"/>
            <w:bottom w:val="none" w:sz="0" w:space="0" w:color="auto"/>
            <w:right w:val="none" w:sz="0" w:space="0" w:color="auto"/>
          </w:divBdr>
        </w:div>
        <w:div w:id="1740596982">
          <w:marLeft w:val="640"/>
          <w:marRight w:val="0"/>
          <w:marTop w:val="0"/>
          <w:marBottom w:val="0"/>
          <w:divBdr>
            <w:top w:val="none" w:sz="0" w:space="0" w:color="auto"/>
            <w:left w:val="none" w:sz="0" w:space="0" w:color="auto"/>
            <w:bottom w:val="none" w:sz="0" w:space="0" w:color="auto"/>
            <w:right w:val="none" w:sz="0" w:space="0" w:color="auto"/>
          </w:divBdr>
        </w:div>
        <w:div w:id="1055542295">
          <w:marLeft w:val="640"/>
          <w:marRight w:val="0"/>
          <w:marTop w:val="0"/>
          <w:marBottom w:val="0"/>
          <w:divBdr>
            <w:top w:val="none" w:sz="0" w:space="0" w:color="auto"/>
            <w:left w:val="none" w:sz="0" w:space="0" w:color="auto"/>
            <w:bottom w:val="none" w:sz="0" w:space="0" w:color="auto"/>
            <w:right w:val="none" w:sz="0" w:space="0" w:color="auto"/>
          </w:divBdr>
        </w:div>
        <w:div w:id="661667768">
          <w:marLeft w:val="640"/>
          <w:marRight w:val="0"/>
          <w:marTop w:val="0"/>
          <w:marBottom w:val="0"/>
          <w:divBdr>
            <w:top w:val="none" w:sz="0" w:space="0" w:color="auto"/>
            <w:left w:val="none" w:sz="0" w:space="0" w:color="auto"/>
            <w:bottom w:val="none" w:sz="0" w:space="0" w:color="auto"/>
            <w:right w:val="none" w:sz="0" w:space="0" w:color="auto"/>
          </w:divBdr>
        </w:div>
        <w:div w:id="406342557">
          <w:marLeft w:val="640"/>
          <w:marRight w:val="0"/>
          <w:marTop w:val="0"/>
          <w:marBottom w:val="0"/>
          <w:divBdr>
            <w:top w:val="none" w:sz="0" w:space="0" w:color="auto"/>
            <w:left w:val="none" w:sz="0" w:space="0" w:color="auto"/>
            <w:bottom w:val="none" w:sz="0" w:space="0" w:color="auto"/>
            <w:right w:val="none" w:sz="0" w:space="0" w:color="auto"/>
          </w:divBdr>
        </w:div>
        <w:div w:id="1743481803">
          <w:marLeft w:val="640"/>
          <w:marRight w:val="0"/>
          <w:marTop w:val="0"/>
          <w:marBottom w:val="0"/>
          <w:divBdr>
            <w:top w:val="none" w:sz="0" w:space="0" w:color="auto"/>
            <w:left w:val="none" w:sz="0" w:space="0" w:color="auto"/>
            <w:bottom w:val="none" w:sz="0" w:space="0" w:color="auto"/>
            <w:right w:val="none" w:sz="0" w:space="0" w:color="auto"/>
          </w:divBdr>
        </w:div>
        <w:div w:id="1097022591">
          <w:marLeft w:val="640"/>
          <w:marRight w:val="0"/>
          <w:marTop w:val="0"/>
          <w:marBottom w:val="0"/>
          <w:divBdr>
            <w:top w:val="none" w:sz="0" w:space="0" w:color="auto"/>
            <w:left w:val="none" w:sz="0" w:space="0" w:color="auto"/>
            <w:bottom w:val="none" w:sz="0" w:space="0" w:color="auto"/>
            <w:right w:val="none" w:sz="0" w:space="0" w:color="auto"/>
          </w:divBdr>
        </w:div>
        <w:div w:id="1036857937">
          <w:marLeft w:val="640"/>
          <w:marRight w:val="0"/>
          <w:marTop w:val="0"/>
          <w:marBottom w:val="0"/>
          <w:divBdr>
            <w:top w:val="none" w:sz="0" w:space="0" w:color="auto"/>
            <w:left w:val="none" w:sz="0" w:space="0" w:color="auto"/>
            <w:bottom w:val="none" w:sz="0" w:space="0" w:color="auto"/>
            <w:right w:val="none" w:sz="0" w:space="0" w:color="auto"/>
          </w:divBdr>
        </w:div>
        <w:div w:id="823350647">
          <w:marLeft w:val="640"/>
          <w:marRight w:val="0"/>
          <w:marTop w:val="0"/>
          <w:marBottom w:val="0"/>
          <w:divBdr>
            <w:top w:val="none" w:sz="0" w:space="0" w:color="auto"/>
            <w:left w:val="none" w:sz="0" w:space="0" w:color="auto"/>
            <w:bottom w:val="none" w:sz="0" w:space="0" w:color="auto"/>
            <w:right w:val="none" w:sz="0" w:space="0" w:color="auto"/>
          </w:divBdr>
        </w:div>
        <w:div w:id="2052611818">
          <w:marLeft w:val="640"/>
          <w:marRight w:val="0"/>
          <w:marTop w:val="0"/>
          <w:marBottom w:val="0"/>
          <w:divBdr>
            <w:top w:val="none" w:sz="0" w:space="0" w:color="auto"/>
            <w:left w:val="none" w:sz="0" w:space="0" w:color="auto"/>
            <w:bottom w:val="none" w:sz="0" w:space="0" w:color="auto"/>
            <w:right w:val="none" w:sz="0" w:space="0" w:color="auto"/>
          </w:divBdr>
        </w:div>
        <w:div w:id="1467553029">
          <w:marLeft w:val="640"/>
          <w:marRight w:val="0"/>
          <w:marTop w:val="0"/>
          <w:marBottom w:val="0"/>
          <w:divBdr>
            <w:top w:val="none" w:sz="0" w:space="0" w:color="auto"/>
            <w:left w:val="none" w:sz="0" w:space="0" w:color="auto"/>
            <w:bottom w:val="none" w:sz="0" w:space="0" w:color="auto"/>
            <w:right w:val="none" w:sz="0" w:space="0" w:color="auto"/>
          </w:divBdr>
        </w:div>
        <w:div w:id="796292433">
          <w:marLeft w:val="640"/>
          <w:marRight w:val="0"/>
          <w:marTop w:val="0"/>
          <w:marBottom w:val="0"/>
          <w:divBdr>
            <w:top w:val="none" w:sz="0" w:space="0" w:color="auto"/>
            <w:left w:val="none" w:sz="0" w:space="0" w:color="auto"/>
            <w:bottom w:val="none" w:sz="0" w:space="0" w:color="auto"/>
            <w:right w:val="none" w:sz="0" w:space="0" w:color="auto"/>
          </w:divBdr>
        </w:div>
        <w:div w:id="710500408">
          <w:marLeft w:val="640"/>
          <w:marRight w:val="0"/>
          <w:marTop w:val="0"/>
          <w:marBottom w:val="0"/>
          <w:divBdr>
            <w:top w:val="none" w:sz="0" w:space="0" w:color="auto"/>
            <w:left w:val="none" w:sz="0" w:space="0" w:color="auto"/>
            <w:bottom w:val="none" w:sz="0" w:space="0" w:color="auto"/>
            <w:right w:val="none" w:sz="0" w:space="0" w:color="auto"/>
          </w:divBdr>
        </w:div>
        <w:div w:id="809860749">
          <w:marLeft w:val="640"/>
          <w:marRight w:val="0"/>
          <w:marTop w:val="0"/>
          <w:marBottom w:val="0"/>
          <w:divBdr>
            <w:top w:val="none" w:sz="0" w:space="0" w:color="auto"/>
            <w:left w:val="none" w:sz="0" w:space="0" w:color="auto"/>
            <w:bottom w:val="none" w:sz="0" w:space="0" w:color="auto"/>
            <w:right w:val="none" w:sz="0" w:space="0" w:color="auto"/>
          </w:divBdr>
        </w:div>
        <w:div w:id="1992558794">
          <w:marLeft w:val="640"/>
          <w:marRight w:val="0"/>
          <w:marTop w:val="0"/>
          <w:marBottom w:val="0"/>
          <w:divBdr>
            <w:top w:val="none" w:sz="0" w:space="0" w:color="auto"/>
            <w:left w:val="none" w:sz="0" w:space="0" w:color="auto"/>
            <w:bottom w:val="none" w:sz="0" w:space="0" w:color="auto"/>
            <w:right w:val="none" w:sz="0" w:space="0" w:color="auto"/>
          </w:divBdr>
        </w:div>
        <w:div w:id="409665616">
          <w:marLeft w:val="640"/>
          <w:marRight w:val="0"/>
          <w:marTop w:val="0"/>
          <w:marBottom w:val="0"/>
          <w:divBdr>
            <w:top w:val="none" w:sz="0" w:space="0" w:color="auto"/>
            <w:left w:val="none" w:sz="0" w:space="0" w:color="auto"/>
            <w:bottom w:val="none" w:sz="0" w:space="0" w:color="auto"/>
            <w:right w:val="none" w:sz="0" w:space="0" w:color="auto"/>
          </w:divBdr>
        </w:div>
        <w:div w:id="1410886957">
          <w:marLeft w:val="640"/>
          <w:marRight w:val="0"/>
          <w:marTop w:val="0"/>
          <w:marBottom w:val="0"/>
          <w:divBdr>
            <w:top w:val="none" w:sz="0" w:space="0" w:color="auto"/>
            <w:left w:val="none" w:sz="0" w:space="0" w:color="auto"/>
            <w:bottom w:val="none" w:sz="0" w:space="0" w:color="auto"/>
            <w:right w:val="none" w:sz="0" w:space="0" w:color="auto"/>
          </w:divBdr>
        </w:div>
        <w:div w:id="607544950">
          <w:marLeft w:val="640"/>
          <w:marRight w:val="0"/>
          <w:marTop w:val="0"/>
          <w:marBottom w:val="0"/>
          <w:divBdr>
            <w:top w:val="none" w:sz="0" w:space="0" w:color="auto"/>
            <w:left w:val="none" w:sz="0" w:space="0" w:color="auto"/>
            <w:bottom w:val="none" w:sz="0" w:space="0" w:color="auto"/>
            <w:right w:val="none" w:sz="0" w:space="0" w:color="auto"/>
          </w:divBdr>
        </w:div>
        <w:div w:id="1175219231">
          <w:marLeft w:val="640"/>
          <w:marRight w:val="0"/>
          <w:marTop w:val="0"/>
          <w:marBottom w:val="0"/>
          <w:divBdr>
            <w:top w:val="none" w:sz="0" w:space="0" w:color="auto"/>
            <w:left w:val="none" w:sz="0" w:space="0" w:color="auto"/>
            <w:bottom w:val="none" w:sz="0" w:space="0" w:color="auto"/>
            <w:right w:val="none" w:sz="0" w:space="0" w:color="auto"/>
          </w:divBdr>
        </w:div>
        <w:div w:id="1642005053">
          <w:marLeft w:val="640"/>
          <w:marRight w:val="0"/>
          <w:marTop w:val="0"/>
          <w:marBottom w:val="0"/>
          <w:divBdr>
            <w:top w:val="none" w:sz="0" w:space="0" w:color="auto"/>
            <w:left w:val="none" w:sz="0" w:space="0" w:color="auto"/>
            <w:bottom w:val="none" w:sz="0" w:space="0" w:color="auto"/>
            <w:right w:val="none" w:sz="0" w:space="0" w:color="auto"/>
          </w:divBdr>
        </w:div>
        <w:div w:id="210308487">
          <w:marLeft w:val="640"/>
          <w:marRight w:val="0"/>
          <w:marTop w:val="0"/>
          <w:marBottom w:val="0"/>
          <w:divBdr>
            <w:top w:val="none" w:sz="0" w:space="0" w:color="auto"/>
            <w:left w:val="none" w:sz="0" w:space="0" w:color="auto"/>
            <w:bottom w:val="none" w:sz="0" w:space="0" w:color="auto"/>
            <w:right w:val="none" w:sz="0" w:space="0" w:color="auto"/>
          </w:divBdr>
        </w:div>
        <w:div w:id="216361403">
          <w:marLeft w:val="640"/>
          <w:marRight w:val="0"/>
          <w:marTop w:val="0"/>
          <w:marBottom w:val="0"/>
          <w:divBdr>
            <w:top w:val="none" w:sz="0" w:space="0" w:color="auto"/>
            <w:left w:val="none" w:sz="0" w:space="0" w:color="auto"/>
            <w:bottom w:val="none" w:sz="0" w:space="0" w:color="auto"/>
            <w:right w:val="none" w:sz="0" w:space="0" w:color="auto"/>
          </w:divBdr>
        </w:div>
        <w:div w:id="1397702399">
          <w:marLeft w:val="640"/>
          <w:marRight w:val="0"/>
          <w:marTop w:val="0"/>
          <w:marBottom w:val="0"/>
          <w:divBdr>
            <w:top w:val="none" w:sz="0" w:space="0" w:color="auto"/>
            <w:left w:val="none" w:sz="0" w:space="0" w:color="auto"/>
            <w:bottom w:val="none" w:sz="0" w:space="0" w:color="auto"/>
            <w:right w:val="none" w:sz="0" w:space="0" w:color="auto"/>
          </w:divBdr>
        </w:div>
        <w:div w:id="1852990675">
          <w:marLeft w:val="640"/>
          <w:marRight w:val="0"/>
          <w:marTop w:val="0"/>
          <w:marBottom w:val="0"/>
          <w:divBdr>
            <w:top w:val="none" w:sz="0" w:space="0" w:color="auto"/>
            <w:left w:val="none" w:sz="0" w:space="0" w:color="auto"/>
            <w:bottom w:val="none" w:sz="0" w:space="0" w:color="auto"/>
            <w:right w:val="none" w:sz="0" w:space="0" w:color="auto"/>
          </w:divBdr>
        </w:div>
        <w:div w:id="1107772149">
          <w:marLeft w:val="640"/>
          <w:marRight w:val="0"/>
          <w:marTop w:val="0"/>
          <w:marBottom w:val="0"/>
          <w:divBdr>
            <w:top w:val="none" w:sz="0" w:space="0" w:color="auto"/>
            <w:left w:val="none" w:sz="0" w:space="0" w:color="auto"/>
            <w:bottom w:val="none" w:sz="0" w:space="0" w:color="auto"/>
            <w:right w:val="none" w:sz="0" w:space="0" w:color="auto"/>
          </w:divBdr>
        </w:div>
        <w:div w:id="4138233">
          <w:marLeft w:val="640"/>
          <w:marRight w:val="0"/>
          <w:marTop w:val="0"/>
          <w:marBottom w:val="0"/>
          <w:divBdr>
            <w:top w:val="none" w:sz="0" w:space="0" w:color="auto"/>
            <w:left w:val="none" w:sz="0" w:space="0" w:color="auto"/>
            <w:bottom w:val="none" w:sz="0" w:space="0" w:color="auto"/>
            <w:right w:val="none" w:sz="0" w:space="0" w:color="auto"/>
          </w:divBdr>
        </w:div>
        <w:div w:id="2071151376">
          <w:marLeft w:val="640"/>
          <w:marRight w:val="0"/>
          <w:marTop w:val="0"/>
          <w:marBottom w:val="0"/>
          <w:divBdr>
            <w:top w:val="none" w:sz="0" w:space="0" w:color="auto"/>
            <w:left w:val="none" w:sz="0" w:space="0" w:color="auto"/>
            <w:bottom w:val="none" w:sz="0" w:space="0" w:color="auto"/>
            <w:right w:val="none" w:sz="0" w:space="0" w:color="auto"/>
          </w:divBdr>
        </w:div>
        <w:div w:id="1083915703">
          <w:marLeft w:val="640"/>
          <w:marRight w:val="0"/>
          <w:marTop w:val="0"/>
          <w:marBottom w:val="0"/>
          <w:divBdr>
            <w:top w:val="none" w:sz="0" w:space="0" w:color="auto"/>
            <w:left w:val="none" w:sz="0" w:space="0" w:color="auto"/>
            <w:bottom w:val="none" w:sz="0" w:space="0" w:color="auto"/>
            <w:right w:val="none" w:sz="0" w:space="0" w:color="auto"/>
          </w:divBdr>
        </w:div>
        <w:div w:id="421951560">
          <w:marLeft w:val="640"/>
          <w:marRight w:val="0"/>
          <w:marTop w:val="0"/>
          <w:marBottom w:val="0"/>
          <w:divBdr>
            <w:top w:val="none" w:sz="0" w:space="0" w:color="auto"/>
            <w:left w:val="none" w:sz="0" w:space="0" w:color="auto"/>
            <w:bottom w:val="none" w:sz="0" w:space="0" w:color="auto"/>
            <w:right w:val="none" w:sz="0" w:space="0" w:color="auto"/>
          </w:divBdr>
        </w:div>
        <w:div w:id="976685414">
          <w:marLeft w:val="640"/>
          <w:marRight w:val="0"/>
          <w:marTop w:val="0"/>
          <w:marBottom w:val="0"/>
          <w:divBdr>
            <w:top w:val="none" w:sz="0" w:space="0" w:color="auto"/>
            <w:left w:val="none" w:sz="0" w:space="0" w:color="auto"/>
            <w:bottom w:val="none" w:sz="0" w:space="0" w:color="auto"/>
            <w:right w:val="none" w:sz="0" w:space="0" w:color="auto"/>
          </w:divBdr>
        </w:div>
        <w:div w:id="1095712838">
          <w:marLeft w:val="640"/>
          <w:marRight w:val="0"/>
          <w:marTop w:val="0"/>
          <w:marBottom w:val="0"/>
          <w:divBdr>
            <w:top w:val="none" w:sz="0" w:space="0" w:color="auto"/>
            <w:left w:val="none" w:sz="0" w:space="0" w:color="auto"/>
            <w:bottom w:val="none" w:sz="0" w:space="0" w:color="auto"/>
            <w:right w:val="none" w:sz="0" w:space="0" w:color="auto"/>
          </w:divBdr>
        </w:div>
        <w:div w:id="359551418">
          <w:marLeft w:val="640"/>
          <w:marRight w:val="0"/>
          <w:marTop w:val="0"/>
          <w:marBottom w:val="0"/>
          <w:divBdr>
            <w:top w:val="none" w:sz="0" w:space="0" w:color="auto"/>
            <w:left w:val="none" w:sz="0" w:space="0" w:color="auto"/>
            <w:bottom w:val="none" w:sz="0" w:space="0" w:color="auto"/>
            <w:right w:val="none" w:sz="0" w:space="0" w:color="auto"/>
          </w:divBdr>
        </w:div>
        <w:div w:id="2063140952">
          <w:marLeft w:val="640"/>
          <w:marRight w:val="0"/>
          <w:marTop w:val="0"/>
          <w:marBottom w:val="0"/>
          <w:divBdr>
            <w:top w:val="none" w:sz="0" w:space="0" w:color="auto"/>
            <w:left w:val="none" w:sz="0" w:space="0" w:color="auto"/>
            <w:bottom w:val="none" w:sz="0" w:space="0" w:color="auto"/>
            <w:right w:val="none" w:sz="0" w:space="0" w:color="auto"/>
          </w:divBdr>
        </w:div>
        <w:div w:id="1755709614">
          <w:marLeft w:val="640"/>
          <w:marRight w:val="0"/>
          <w:marTop w:val="0"/>
          <w:marBottom w:val="0"/>
          <w:divBdr>
            <w:top w:val="none" w:sz="0" w:space="0" w:color="auto"/>
            <w:left w:val="none" w:sz="0" w:space="0" w:color="auto"/>
            <w:bottom w:val="none" w:sz="0" w:space="0" w:color="auto"/>
            <w:right w:val="none" w:sz="0" w:space="0" w:color="auto"/>
          </w:divBdr>
        </w:div>
        <w:div w:id="183322960">
          <w:marLeft w:val="640"/>
          <w:marRight w:val="0"/>
          <w:marTop w:val="0"/>
          <w:marBottom w:val="0"/>
          <w:divBdr>
            <w:top w:val="none" w:sz="0" w:space="0" w:color="auto"/>
            <w:left w:val="none" w:sz="0" w:space="0" w:color="auto"/>
            <w:bottom w:val="none" w:sz="0" w:space="0" w:color="auto"/>
            <w:right w:val="none" w:sz="0" w:space="0" w:color="auto"/>
          </w:divBdr>
        </w:div>
        <w:div w:id="2099474143">
          <w:marLeft w:val="640"/>
          <w:marRight w:val="0"/>
          <w:marTop w:val="0"/>
          <w:marBottom w:val="0"/>
          <w:divBdr>
            <w:top w:val="none" w:sz="0" w:space="0" w:color="auto"/>
            <w:left w:val="none" w:sz="0" w:space="0" w:color="auto"/>
            <w:bottom w:val="none" w:sz="0" w:space="0" w:color="auto"/>
            <w:right w:val="none" w:sz="0" w:space="0" w:color="auto"/>
          </w:divBdr>
        </w:div>
        <w:div w:id="608583090">
          <w:marLeft w:val="640"/>
          <w:marRight w:val="0"/>
          <w:marTop w:val="0"/>
          <w:marBottom w:val="0"/>
          <w:divBdr>
            <w:top w:val="none" w:sz="0" w:space="0" w:color="auto"/>
            <w:left w:val="none" w:sz="0" w:space="0" w:color="auto"/>
            <w:bottom w:val="none" w:sz="0" w:space="0" w:color="auto"/>
            <w:right w:val="none" w:sz="0" w:space="0" w:color="auto"/>
          </w:divBdr>
        </w:div>
        <w:div w:id="1412854517">
          <w:marLeft w:val="640"/>
          <w:marRight w:val="0"/>
          <w:marTop w:val="0"/>
          <w:marBottom w:val="0"/>
          <w:divBdr>
            <w:top w:val="none" w:sz="0" w:space="0" w:color="auto"/>
            <w:left w:val="none" w:sz="0" w:space="0" w:color="auto"/>
            <w:bottom w:val="none" w:sz="0" w:space="0" w:color="auto"/>
            <w:right w:val="none" w:sz="0" w:space="0" w:color="auto"/>
          </w:divBdr>
        </w:div>
        <w:div w:id="1831288303">
          <w:marLeft w:val="640"/>
          <w:marRight w:val="0"/>
          <w:marTop w:val="0"/>
          <w:marBottom w:val="0"/>
          <w:divBdr>
            <w:top w:val="none" w:sz="0" w:space="0" w:color="auto"/>
            <w:left w:val="none" w:sz="0" w:space="0" w:color="auto"/>
            <w:bottom w:val="none" w:sz="0" w:space="0" w:color="auto"/>
            <w:right w:val="none" w:sz="0" w:space="0" w:color="auto"/>
          </w:divBdr>
        </w:div>
        <w:div w:id="698627353">
          <w:marLeft w:val="640"/>
          <w:marRight w:val="0"/>
          <w:marTop w:val="0"/>
          <w:marBottom w:val="0"/>
          <w:divBdr>
            <w:top w:val="none" w:sz="0" w:space="0" w:color="auto"/>
            <w:left w:val="none" w:sz="0" w:space="0" w:color="auto"/>
            <w:bottom w:val="none" w:sz="0" w:space="0" w:color="auto"/>
            <w:right w:val="none" w:sz="0" w:space="0" w:color="auto"/>
          </w:divBdr>
        </w:div>
        <w:div w:id="6298920">
          <w:marLeft w:val="640"/>
          <w:marRight w:val="0"/>
          <w:marTop w:val="0"/>
          <w:marBottom w:val="0"/>
          <w:divBdr>
            <w:top w:val="none" w:sz="0" w:space="0" w:color="auto"/>
            <w:left w:val="none" w:sz="0" w:space="0" w:color="auto"/>
            <w:bottom w:val="none" w:sz="0" w:space="0" w:color="auto"/>
            <w:right w:val="none" w:sz="0" w:space="0" w:color="auto"/>
          </w:divBdr>
        </w:div>
        <w:div w:id="58527901">
          <w:marLeft w:val="640"/>
          <w:marRight w:val="0"/>
          <w:marTop w:val="0"/>
          <w:marBottom w:val="0"/>
          <w:divBdr>
            <w:top w:val="none" w:sz="0" w:space="0" w:color="auto"/>
            <w:left w:val="none" w:sz="0" w:space="0" w:color="auto"/>
            <w:bottom w:val="none" w:sz="0" w:space="0" w:color="auto"/>
            <w:right w:val="none" w:sz="0" w:space="0" w:color="auto"/>
          </w:divBdr>
        </w:div>
        <w:div w:id="206529820">
          <w:marLeft w:val="640"/>
          <w:marRight w:val="0"/>
          <w:marTop w:val="0"/>
          <w:marBottom w:val="0"/>
          <w:divBdr>
            <w:top w:val="none" w:sz="0" w:space="0" w:color="auto"/>
            <w:left w:val="none" w:sz="0" w:space="0" w:color="auto"/>
            <w:bottom w:val="none" w:sz="0" w:space="0" w:color="auto"/>
            <w:right w:val="none" w:sz="0" w:space="0" w:color="auto"/>
          </w:divBdr>
        </w:div>
        <w:div w:id="1417246122">
          <w:marLeft w:val="640"/>
          <w:marRight w:val="0"/>
          <w:marTop w:val="0"/>
          <w:marBottom w:val="0"/>
          <w:divBdr>
            <w:top w:val="none" w:sz="0" w:space="0" w:color="auto"/>
            <w:left w:val="none" w:sz="0" w:space="0" w:color="auto"/>
            <w:bottom w:val="none" w:sz="0" w:space="0" w:color="auto"/>
            <w:right w:val="none" w:sz="0" w:space="0" w:color="auto"/>
          </w:divBdr>
        </w:div>
        <w:div w:id="129249900">
          <w:marLeft w:val="640"/>
          <w:marRight w:val="0"/>
          <w:marTop w:val="0"/>
          <w:marBottom w:val="0"/>
          <w:divBdr>
            <w:top w:val="none" w:sz="0" w:space="0" w:color="auto"/>
            <w:left w:val="none" w:sz="0" w:space="0" w:color="auto"/>
            <w:bottom w:val="none" w:sz="0" w:space="0" w:color="auto"/>
            <w:right w:val="none" w:sz="0" w:space="0" w:color="auto"/>
          </w:divBdr>
        </w:div>
        <w:div w:id="1033767660">
          <w:marLeft w:val="640"/>
          <w:marRight w:val="0"/>
          <w:marTop w:val="0"/>
          <w:marBottom w:val="0"/>
          <w:divBdr>
            <w:top w:val="none" w:sz="0" w:space="0" w:color="auto"/>
            <w:left w:val="none" w:sz="0" w:space="0" w:color="auto"/>
            <w:bottom w:val="none" w:sz="0" w:space="0" w:color="auto"/>
            <w:right w:val="none" w:sz="0" w:space="0" w:color="auto"/>
          </w:divBdr>
        </w:div>
        <w:div w:id="916284865">
          <w:marLeft w:val="640"/>
          <w:marRight w:val="0"/>
          <w:marTop w:val="0"/>
          <w:marBottom w:val="0"/>
          <w:divBdr>
            <w:top w:val="none" w:sz="0" w:space="0" w:color="auto"/>
            <w:left w:val="none" w:sz="0" w:space="0" w:color="auto"/>
            <w:bottom w:val="none" w:sz="0" w:space="0" w:color="auto"/>
            <w:right w:val="none" w:sz="0" w:space="0" w:color="auto"/>
          </w:divBdr>
        </w:div>
        <w:div w:id="1968848046">
          <w:marLeft w:val="640"/>
          <w:marRight w:val="0"/>
          <w:marTop w:val="0"/>
          <w:marBottom w:val="0"/>
          <w:divBdr>
            <w:top w:val="none" w:sz="0" w:space="0" w:color="auto"/>
            <w:left w:val="none" w:sz="0" w:space="0" w:color="auto"/>
            <w:bottom w:val="none" w:sz="0" w:space="0" w:color="auto"/>
            <w:right w:val="none" w:sz="0" w:space="0" w:color="auto"/>
          </w:divBdr>
        </w:div>
        <w:div w:id="899561571">
          <w:marLeft w:val="640"/>
          <w:marRight w:val="0"/>
          <w:marTop w:val="0"/>
          <w:marBottom w:val="0"/>
          <w:divBdr>
            <w:top w:val="none" w:sz="0" w:space="0" w:color="auto"/>
            <w:left w:val="none" w:sz="0" w:space="0" w:color="auto"/>
            <w:bottom w:val="none" w:sz="0" w:space="0" w:color="auto"/>
            <w:right w:val="none" w:sz="0" w:space="0" w:color="auto"/>
          </w:divBdr>
        </w:div>
        <w:div w:id="837501677">
          <w:marLeft w:val="640"/>
          <w:marRight w:val="0"/>
          <w:marTop w:val="0"/>
          <w:marBottom w:val="0"/>
          <w:divBdr>
            <w:top w:val="none" w:sz="0" w:space="0" w:color="auto"/>
            <w:left w:val="none" w:sz="0" w:space="0" w:color="auto"/>
            <w:bottom w:val="none" w:sz="0" w:space="0" w:color="auto"/>
            <w:right w:val="none" w:sz="0" w:space="0" w:color="auto"/>
          </w:divBdr>
        </w:div>
        <w:div w:id="1266620939">
          <w:marLeft w:val="640"/>
          <w:marRight w:val="0"/>
          <w:marTop w:val="0"/>
          <w:marBottom w:val="0"/>
          <w:divBdr>
            <w:top w:val="none" w:sz="0" w:space="0" w:color="auto"/>
            <w:left w:val="none" w:sz="0" w:space="0" w:color="auto"/>
            <w:bottom w:val="none" w:sz="0" w:space="0" w:color="auto"/>
            <w:right w:val="none" w:sz="0" w:space="0" w:color="auto"/>
          </w:divBdr>
        </w:div>
        <w:div w:id="514659025">
          <w:marLeft w:val="640"/>
          <w:marRight w:val="0"/>
          <w:marTop w:val="0"/>
          <w:marBottom w:val="0"/>
          <w:divBdr>
            <w:top w:val="none" w:sz="0" w:space="0" w:color="auto"/>
            <w:left w:val="none" w:sz="0" w:space="0" w:color="auto"/>
            <w:bottom w:val="none" w:sz="0" w:space="0" w:color="auto"/>
            <w:right w:val="none" w:sz="0" w:space="0" w:color="auto"/>
          </w:divBdr>
        </w:div>
        <w:div w:id="1046218445">
          <w:marLeft w:val="640"/>
          <w:marRight w:val="0"/>
          <w:marTop w:val="0"/>
          <w:marBottom w:val="0"/>
          <w:divBdr>
            <w:top w:val="none" w:sz="0" w:space="0" w:color="auto"/>
            <w:left w:val="none" w:sz="0" w:space="0" w:color="auto"/>
            <w:bottom w:val="none" w:sz="0" w:space="0" w:color="auto"/>
            <w:right w:val="none" w:sz="0" w:space="0" w:color="auto"/>
          </w:divBdr>
        </w:div>
        <w:div w:id="245921363">
          <w:marLeft w:val="640"/>
          <w:marRight w:val="0"/>
          <w:marTop w:val="0"/>
          <w:marBottom w:val="0"/>
          <w:divBdr>
            <w:top w:val="none" w:sz="0" w:space="0" w:color="auto"/>
            <w:left w:val="none" w:sz="0" w:space="0" w:color="auto"/>
            <w:bottom w:val="none" w:sz="0" w:space="0" w:color="auto"/>
            <w:right w:val="none" w:sz="0" w:space="0" w:color="auto"/>
          </w:divBdr>
        </w:div>
        <w:div w:id="1337153670">
          <w:marLeft w:val="640"/>
          <w:marRight w:val="0"/>
          <w:marTop w:val="0"/>
          <w:marBottom w:val="0"/>
          <w:divBdr>
            <w:top w:val="none" w:sz="0" w:space="0" w:color="auto"/>
            <w:left w:val="none" w:sz="0" w:space="0" w:color="auto"/>
            <w:bottom w:val="none" w:sz="0" w:space="0" w:color="auto"/>
            <w:right w:val="none" w:sz="0" w:space="0" w:color="auto"/>
          </w:divBdr>
        </w:div>
        <w:div w:id="1346053558">
          <w:marLeft w:val="640"/>
          <w:marRight w:val="0"/>
          <w:marTop w:val="0"/>
          <w:marBottom w:val="0"/>
          <w:divBdr>
            <w:top w:val="none" w:sz="0" w:space="0" w:color="auto"/>
            <w:left w:val="none" w:sz="0" w:space="0" w:color="auto"/>
            <w:bottom w:val="none" w:sz="0" w:space="0" w:color="auto"/>
            <w:right w:val="none" w:sz="0" w:space="0" w:color="auto"/>
          </w:divBdr>
        </w:div>
        <w:div w:id="156770771">
          <w:marLeft w:val="640"/>
          <w:marRight w:val="0"/>
          <w:marTop w:val="0"/>
          <w:marBottom w:val="0"/>
          <w:divBdr>
            <w:top w:val="none" w:sz="0" w:space="0" w:color="auto"/>
            <w:left w:val="none" w:sz="0" w:space="0" w:color="auto"/>
            <w:bottom w:val="none" w:sz="0" w:space="0" w:color="auto"/>
            <w:right w:val="none" w:sz="0" w:space="0" w:color="auto"/>
          </w:divBdr>
        </w:div>
        <w:div w:id="2141915689">
          <w:marLeft w:val="640"/>
          <w:marRight w:val="0"/>
          <w:marTop w:val="0"/>
          <w:marBottom w:val="0"/>
          <w:divBdr>
            <w:top w:val="none" w:sz="0" w:space="0" w:color="auto"/>
            <w:left w:val="none" w:sz="0" w:space="0" w:color="auto"/>
            <w:bottom w:val="none" w:sz="0" w:space="0" w:color="auto"/>
            <w:right w:val="none" w:sz="0" w:space="0" w:color="auto"/>
          </w:divBdr>
        </w:div>
        <w:div w:id="1302004557">
          <w:marLeft w:val="640"/>
          <w:marRight w:val="0"/>
          <w:marTop w:val="0"/>
          <w:marBottom w:val="0"/>
          <w:divBdr>
            <w:top w:val="none" w:sz="0" w:space="0" w:color="auto"/>
            <w:left w:val="none" w:sz="0" w:space="0" w:color="auto"/>
            <w:bottom w:val="none" w:sz="0" w:space="0" w:color="auto"/>
            <w:right w:val="none" w:sz="0" w:space="0" w:color="auto"/>
          </w:divBdr>
        </w:div>
        <w:div w:id="557404674">
          <w:marLeft w:val="640"/>
          <w:marRight w:val="0"/>
          <w:marTop w:val="0"/>
          <w:marBottom w:val="0"/>
          <w:divBdr>
            <w:top w:val="none" w:sz="0" w:space="0" w:color="auto"/>
            <w:left w:val="none" w:sz="0" w:space="0" w:color="auto"/>
            <w:bottom w:val="none" w:sz="0" w:space="0" w:color="auto"/>
            <w:right w:val="none" w:sz="0" w:space="0" w:color="auto"/>
          </w:divBdr>
        </w:div>
        <w:div w:id="1471289981">
          <w:marLeft w:val="640"/>
          <w:marRight w:val="0"/>
          <w:marTop w:val="0"/>
          <w:marBottom w:val="0"/>
          <w:divBdr>
            <w:top w:val="none" w:sz="0" w:space="0" w:color="auto"/>
            <w:left w:val="none" w:sz="0" w:space="0" w:color="auto"/>
            <w:bottom w:val="none" w:sz="0" w:space="0" w:color="auto"/>
            <w:right w:val="none" w:sz="0" w:space="0" w:color="auto"/>
          </w:divBdr>
        </w:div>
        <w:div w:id="1082413520">
          <w:marLeft w:val="640"/>
          <w:marRight w:val="0"/>
          <w:marTop w:val="0"/>
          <w:marBottom w:val="0"/>
          <w:divBdr>
            <w:top w:val="none" w:sz="0" w:space="0" w:color="auto"/>
            <w:left w:val="none" w:sz="0" w:space="0" w:color="auto"/>
            <w:bottom w:val="none" w:sz="0" w:space="0" w:color="auto"/>
            <w:right w:val="none" w:sz="0" w:space="0" w:color="auto"/>
          </w:divBdr>
        </w:div>
        <w:div w:id="707795766">
          <w:marLeft w:val="640"/>
          <w:marRight w:val="0"/>
          <w:marTop w:val="0"/>
          <w:marBottom w:val="0"/>
          <w:divBdr>
            <w:top w:val="none" w:sz="0" w:space="0" w:color="auto"/>
            <w:left w:val="none" w:sz="0" w:space="0" w:color="auto"/>
            <w:bottom w:val="none" w:sz="0" w:space="0" w:color="auto"/>
            <w:right w:val="none" w:sz="0" w:space="0" w:color="auto"/>
          </w:divBdr>
        </w:div>
        <w:div w:id="1550725586">
          <w:marLeft w:val="640"/>
          <w:marRight w:val="0"/>
          <w:marTop w:val="0"/>
          <w:marBottom w:val="0"/>
          <w:divBdr>
            <w:top w:val="none" w:sz="0" w:space="0" w:color="auto"/>
            <w:left w:val="none" w:sz="0" w:space="0" w:color="auto"/>
            <w:bottom w:val="none" w:sz="0" w:space="0" w:color="auto"/>
            <w:right w:val="none" w:sz="0" w:space="0" w:color="auto"/>
          </w:divBdr>
        </w:div>
        <w:div w:id="648099229">
          <w:marLeft w:val="640"/>
          <w:marRight w:val="0"/>
          <w:marTop w:val="0"/>
          <w:marBottom w:val="0"/>
          <w:divBdr>
            <w:top w:val="none" w:sz="0" w:space="0" w:color="auto"/>
            <w:left w:val="none" w:sz="0" w:space="0" w:color="auto"/>
            <w:bottom w:val="none" w:sz="0" w:space="0" w:color="auto"/>
            <w:right w:val="none" w:sz="0" w:space="0" w:color="auto"/>
          </w:divBdr>
        </w:div>
        <w:div w:id="1935161647">
          <w:marLeft w:val="640"/>
          <w:marRight w:val="0"/>
          <w:marTop w:val="0"/>
          <w:marBottom w:val="0"/>
          <w:divBdr>
            <w:top w:val="none" w:sz="0" w:space="0" w:color="auto"/>
            <w:left w:val="none" w:sz="0" w:space="0" w:color="auto"/>
            <w:bottom w:val="none" w:sz="0" w:space="0" w:color="auto"/>
            <w:right w:val="none" w:sz="0" w:space="0" w:color="auto"/>
          </w:divBdr>
        </w:div>
        <w:div w:id="1314943201">
          <w:marLeft w:val="640"/>
          <w:marRight w:val="0"/>
          <w:marTop w:val="0"/>
          <w:marBottom w:val="0"/>
          <w:divBdr>
            <w:top w:val="none" w:sz="0" w:space="0" w:color="auto"/>
            <w:left w:val="none" w:sz="0" w:space="0" w:color="auto"/>
            <w:bottom w:val="none" w:sz="0" w:space="0" w:color="auto"/>
            <w:right w:val="none" w:sz="0" w:space="0" w:color="auto"/>
          </w:divBdr>
        </w:div>
        <w:div w:id="519046520">
          <w:marLeft w:val="640"/>
          <w:marRight w:val="0"/>
          <w:marTop w:val="0"/>
          <w:marBottom w:val="0"/>
          <w:divBdr>
            <w:top w:val="none" w:sz="0" w:space="0" w:color="auto"/>
            <w:left w:val="none" w:sz="0" w:space="0" w:color="auto"/>
            <w:bottom w:val="none" w:sz="0" w:space="0" w:color="auto"/>
            <w:right w:val="none" w:sz="0" w:space="0" w:color="auto"/>
          </w:divBdr>
        </w:div>
        <w:div w:id="130296593">
          <w:marLeft w:val="640"/>
          <w:marRight w:val="0"/>
          <w:marTop w:val="0"/>
          <w:marBottom w:val="0"/>
          <w:divBdr>
            <w:top w:val="none" w:sz="0" w:space="0" w:color="auto"/>
            <w:left w:val="none" w:sz="0" w:space="0" w:color="auto"/>
            <w:bottom w:val="none" w:sz="0" w:space="0" w:color="auto"/>
            <w:right w:val="none" w:sz="0" w:space="0" w:color="auto"/>
          </w:divBdr>
        </w:div>
        <w:div w:id="2099209924">
          <w:marLeft w:val="640"/>
          <w:marRight w:val="0"/>
          <w:marTop w:val="0"/>
          <w:marBottom w:val="0"/>
          <w:divBdr>
            <w:top w:val="none" w:sz="0" w:space="0" w:color="auto"/>
            <w:left w:val="none" w:sz="0" w:space="0" w:color="auto"/>
            <w:bottom w:val="none" w:sz="0" w:space="0" w:color="auto"/>
            <w:right w:val="none" w:sz="0" w:space="0" w:color="auto"/>
          </w:divBdr>
        </w:div>
        <w:div w:id="1019282881">
          <w:marLeft w:val="640"/>
          <w:marRight w:val="0"/>
          <w:marTop w:val="0"/>
          <w:marBottom w:val="0"/>
          <w:divBdr>
            <w:top w:val="none" w:sz="0" w:space="0" w:color="auto"/>
            <w:left w:val="none" w:sz="0" w:space="0" w:color="auto"/>
            <w:bottom w:val="none" w:sz="0" w:space="0" w:color="auto"/>
            <w:right w:val="none" w:sz="0" w:space="0" w:color="auto"/>
          </w:divBdr>
        </w:div>
        <w:div w:id="412046591">
          <w:marLeft w:val="640"/>
          <w:marRight w:val="0"/>
          <w:marTop w:val="0"/>
          <w:marBottom w:val="0"/>
          <w:divBdr>
            <w:top w:val="none" w:sz="0" w:space="0" w:color="auto"/>
            <w:left w:val="none" w:sz="0" w:space="0" w:color="auto"/>
            <w:bottom w:val="none" w:sz="0" w:space="0" w:color="auto"/>
            <w:right w:val="none" w:sz="0" w:space="0" w:color="auto"/>
          </w:divBdr>
        </w:div>
        <w:div w:id="1284114557">
          <w:marLeft w:val="640"/>
          <w:marRight w:val="0"/>
          <w:marTop w:val="0"/>
          <w:marBottom w:val="0"/>
          <w:divBdr>
            <w:top w:val="none" w:sz="0" w:space="0" w:color="auto"/>
            <w:left w:val="none" w:sz="0" w:space="0" w:color="auto"/>
            <w:bottom w:val="none" w:sz="0" w:space="0" w:color="auto"/>
            <w:right w:val="none" w:sz="0" w:space="0" w:color="auto"/>
          </w:divBdr>
        </w:div>
        <w:div w:id="938366067">
          <w:marLeft w:val="640"/>
          <w:marRight w:val="0"/>
          <w:marTop w:val="0"/>
          <w:marBottom w:val="0"/>
          <w:divBdr>
            <w:top w:val="none" w:sz="0" w:space="0" w:color="auto"/>
            <w:left w:val="none" w:sz="0" w:space="0" w:color="auto"/>
            <w:bottom w:val="none" w:sz="0" w:space="0" w:color="auto"/>
            <w:right w:val="none" w:sz="0" w:space="0" w:color="auto"/>
          </w:divBdr>
        </w:div>
        <w:div w:id="513955552">
          <w:marLeft w:val="640"/>
          <w:marRight w:val="0"/>
          <w:marTop w:val="0"/>
          <w:marBottom w:val="0"/>
          <w:divBdr>
            <w:top w:val="none" w:sz="0" w:space="0" w:color="auto"/>
            <w:left w:val="none" w:sz="0" w:space="0" w:color="auto"/>
            <w:bottom w:val="none" w:sz="0" w:space="0" w:color="auto"/>
            <w:right w:val="none" w:sz="0" w:space="0" w:color="auto"/>
          </w:divBdr>
        </w:div>
        <w:div w:id="459570698">
          <w:marLeft w:val="640"/>
          <w:marRight w:val="0"/>
          <w:marTop w:val="0"/>
          <w:marBottom w:val="0"/>
          <w:divBdr>
            <w:top w:val="none" w:sz="0" w:space="0" w:color="auto"/>
            <w:left w:val="none" w:sz="0" w:space="0" w:color="auto"/>
            <w:bottom w:val="none" w:sz="0" w:space="0" w:color="auto"/>
            <w:right w:val="none" w:sz="0" w:space="0" w:color="auto"/>
          </w:divBdr>
        </w:div>
        <w:div w:id="733502458">
          <w:marLeft w:val="640"/>
          <w:marRight w:val="0"/>
          <w:marTop w:val="0"/>
          <w:marBottom w:val="0"/>
          <w:divBdr>
            <w:top w:val="none" w:sz="0" w:space="0" w:color="auto"/>
            <w:left w:val="none" w:sz="0" w:space="0" w:color="auto"/>
            <w:bottom w:val="none" w:sz="0" w:space="0" w:color="auto"/>
            <w:right w:val="none" w:sz="0" w:space="0" w:color="auto"/>
          </w:divBdr>
        </w:div>
        <w:div w:id="750782375">
          <w:marLeft w:val="640"/>
          <w:marRight w:val="0"/>
          <w:marTop w:val="0"/>
          <w:marBottom w:val="0"/>
          <w:divBdr>
            <w:top w:val="none" w:sz="0" w:space="0" w:color="auto"/>
            <w:left w:val="none" w:sz="0" w:space="0" w:color="auto"/>
            <w:bottom w:val="none" w:sz="0" w:space="0" w:color="auto"/>
            <w:right w:val="none" w:sz="0" w:space="0" w:color="auto"/>
          </w:divBdr>
        </w:div>
        <w:div w:id="1084259023">
          <w:marLeft w:val="640"/>
          <w:marRight w:val="0"/>
          <w:marTop w:val="0"/>
          <w:marBottom w:val="0"/>
          <w:divBdr>
            <w:top w:val="none" w:sz="0" w:space="0" w:color="auto"/>
            <w:left w:val="none" w:sz="0" w:space="0" w:color="auto"/>
            <w:bottom w:val="none" w:sz="0" w:space="0" w:color="auto"/>
            <w:right w:val="none" w:sz="0" w:space="0" w:color="auto"/>
          </w:divBdr>
        </w:div>
        <w:div w:id="697438015">
          <w:marLeft w:val="640"/>
          <w:marRight w:val="0"/>
          <w:marTop w:val="0"/>
          <w:marBottom w:val="0"/>
          <w:divBdr>
            <w:top w:val="none" w:sz="0" w:space="0" w:color="auto"/>
            <w:left w:val="none" w:sz="0" w:space="0" w:color="auto"/>
            <w:bottom w:val="none" w:sz="0" w:space="0" w:color="auto"/>
            <w:right w:val="none" w:sz="0" w:space="0" w:color="auto"/>
          </w:divBdr>
        </w:div>
        <w:div w:id="1776241615">
          <w:marLeft w:val="640"/>
          <w:marRight w:val="0"/>
          <w:marTop w:val="0"/>
          <w:marBottom w:val="0"/>
          <w:divBdr>
            <w:top w:val="none" w:sz="0" w:space="0" w:color="auto"/>
            <w:left w:val="none" w:sz="0" w:space="0" w:color="auto"/>
            <w:bottom w:val="none" w:sz="0" w:space="0" w:color="auto"/>
            <w:right w:val="none" w:sz="0" w:space="0" w:color="auto"/>
          </w:divBdr>
        </w:div>
        <w:div w:id="1367292596">
          <w:marLeft w:val="640"/>
          <w:marRight w:val="0"/>
          <w:marTop w:val="0"/>
          <w:marBottom w:val="0"/>
          <w:divBdr>
            <w:top w:val="none" w:sz="0" w:space="0" w:color="auto"/>
            <w:left w:val="none" w:sz="0" w:space="0" w:color="auto"/>
            <w:bottom w:val="none" w:sz="0" w:space="0" w:color="auto"/>
            <w:right w:val="none" w:sz="0" w:space="0" w:color="auto"/>
          </w:divBdr>
        </w:div>
        <w:div w:id="1915317704">
          <w:marLeft w:val="640"/>
          <w:marRight w:val="0"/>
          <w:marTop w:val="0"/>
          <w:marBottom w:val="0"/>
          <w:divBdr>
            <w:top w:val="none" w:sz="0" w:space="0" w:color="auto"/>
            <w:left w:val="none" w:sz="0" w:space="0" w:color="auto"/>
            <w:bottom w:val="none" w:sz="0" w:space="0" w:color="auto"/>
            <w:right w:val="none" w:sz="0" w:space="0" w:color="auto"/>
          </w:divBdr>
        </w:div>
        <w:div w:id="547881408">
          <w:marLeft w:val="640"/>
          <w:marRight w:val="0"/>
          <w:marTop w:val="0"/>
          <w:marBottom w:val="0"/>
          <w:divBdr>
            <w:top w:val="none" w:sz="0" w:space="0" w:color="auto"/>
            <w:left w:val="none" w:sz="0" w:space="0" w:color="auto"/>
            <w:bottom w:val="none" w:sz="0" w:space="0" w:color="auto"/>
            <w:right w:val="none" w:sz="0" w:space="0" w:color="auto"/>
          </w:divBdr>
        </w:div>
        <w:div w:id="2135980200">
          <w:marLeft w:val="640"/>
          <w:marRight w:val="0"/>
          <w:marTop w:val="0"/>
          <w:marBottom w:val="0"/>
          <w:divBdr>
            <w:top w:val="none" w:sz="0" w:space="0" w:color="auto"/>
            <w:left w:val="none" w:sz="0" w:space="0" w:color="auto"/>
            <w:bottom w:val="none" w:sz="0" w:space="0" w:color="auto"/>
            <w:right w:val="none" w:sz="0" w:space="0" w:color="auto"/>
          </w:divBdr>
        </w:div>
        <w:div w:id="2141874245">
          <w:marLeft w:val="640"/>
          <w:marRight w:val="0"/>
          <w:marTop w:val="0"/>
          <w:marBottom w:val="0"/>
          <w:divBdr>
            <w:top w:val="none" w:sz="0" w:space="0" w:color="auto"/>
            <w:left w:val="none" w:sz="0" w:space="0" w:color="auto"/>
            <w:bottom w:val="none" w:sz="0" w:space="0" w:color="auto"/>
            <w:right w:val="none" w:sz="0" w:space="0" w:color="auto"/>
          </w:divBdr>
        </w:div>
        <w:div w:id="832793872">
          <w:marLeft w:val="640"/>
          <w:marRight w:val="0"/>
          <w:marTop w:val="0"/>
          <w:marBottom w:val="0"/>
          <w:divBdr>
            <w:top w:val="none" w:sz="0" w:space="0" w:color="auto"/>
            <w:left w:val="none" w:sz="0" w:space="0" w:color="auto"/>
            <w:bottom w:val="none" w:sz="0" w:space="0" w:color="auto"/>
            <w:right w:val="none" w:sz="0" w:space="0" w:color="auto"/>
          </w:divBdr>
        </w:div>
        <w:div w:id="417142402">
          <w:marLeft w:val="640"/>
          <w:marRight w:val="0"/>
          <w:marTop w:val="0"/>
          <w:marBottom w:val="0"/>
          <w:divBdr>
            <w:top w:val="none" w:sz="0" w:space="0" w:color="auto"/>
            <w:left w:val="none" w:sz="0" w:space="0" w:color="auto"/>
            <w:bottom w:val="none" w:sz="0" w:space="0" w:color="auto"/>
            <w:right w:val="none" w:sz="0" w:space="0" w:color="auto"/>
          </w:divBdr>
        </w:div>
        <w:div w:id="955214834">
          <w:marLeft w:val="640"/>
          <w:marRight w:val="0"/>
          <w:marTop w:val="0"/>
          <w:marBottom w:val="0"/>
          <w:divBdr>
            <w:top w:val="none" w:sz="0" w:space="0" w:color="auto"/>
            <w:left w:val="none" w:sz="0" w:space="0" w:color="auto"/>
            <w:bottom w:val="none" w:sz="0" w:space="0" w:color="auto"/>
            <w:right w:val="none" w:sz="0" w:space="0" w:color="auto"/>
          </w:divBdr>
        </w:div>
        <w:div w:id="948049477">
          <w:marLeft w:val="640"/>
          <w:marRight w:val="0"/>
          <w:marTop w:val="0"/>
          <w:marBottom w:val="0"/>
          <w:divBdr>
            <w:top w:val="none" w:sz="0" w:space="0" w:color="auto"/>
            <w:left w:val="none" w:sz="0" w:space="0" w:color="auto"/>
            <w:bottom w:val="none" w:sz="0" w:space="0" w:color="auto"/>
            <w:right w:val="none" w:sz="0" w:space="0" w:color="auto"/>
          </w:divBdr>
        </w:div>
        <w:div w:id="759914855">
          <w:marLeft w:val="640"/>
          <w:marRight w:val="0"/>
          <w:marTop w:val="0"/>
          <w:marBottom w:val="0"/>
          <w:divBdr>
            <w:top w:val="none" w:sz="0" w:space="0" w:color="auto"/>
            <w:left w:val="none" w:sz="0" w:space="0" w:color="auto"/>
            <w:bottom w:val="none" w:sz="0" w:space="0" w:color="auto"/>
            <w:right w:val="none" w:sz="0" w:space="0" w:color="auto"/>
          </w:divBdr>
        </w:div>
        <w:div w:id="739131911">
          <w:marLeft w:val="640"/>
          <w:marRight w:val="0"/>
          <w:marTop w:val="0"/>
          <w:marBottom w:val="0"/>
          <w:divBdr>
            <w:top w:val="none" w:sz="0" w:space="0" w:color="auto"/>
            <w:left w:val="none" w:sz="0" w:space="0" w:color="auto"/>
            <w:bottom w:val="none" w:sz="0" w:space="0" w:color="auto"/>
            <w:right w:val="none" w:sz="0" w:space="0" w:color="auto"/>
          </w:divBdr>
        </w:div>
        <w:div w:id="1970432207">
          <w:marLeft w:val="640"/>
          <w:marRight w:val="0"/>
          <w:marTop w:val="0"/>
          <w:marBottom w:val="0"/>
          <w:divBdr>
            <w:top w:val="none" w:sz="0" w:space="0" w:color="auto"/>
            <w:left w:val="none" w:sz="0" w:space="0" w:color="auto"/>
            <w:bottom w:val="none" w:sz="0" w:space="0" w:color="auto"/>
            <w:right w:val="none" w:sz="0" w:space="0" w:color="auto"/>
          </w:divBdr>
        </w:div>
        <w:div w:id="1922064790">
          <w:marLeft w:val="640"/>
          <w:marRight w:val="0"/>
          <w:marTop w:val="0"/>
          <w:marBottom w:val="0"/>
          <w:divBdr>
            <w:top w:val="none" w:sz="0" w:space="0" w:color="auto"/>
            <w:left w:val="none" w:sz="0" w:space="0" w:color="auto"/>
            <w:bottom w:val="none" w:sz="0" w:space="0" w:color="auto"/>
            <w:right w:val="none" w:sz="0" w:space="0" w:color="auto"/>
          </w:divBdr>
        </w:div>
        <w:div w:id="1902979785">
          <w:marLeft w:val="640"/>
          <w:marRight w:val="0"/>
          <w:marTop w:val="0"/>
          <w:marBottom w:val="0"/>
          <w:divBdr>
            <w:top w:val="none" w:sz="0" w:space="0" w:color="auto"/>
            <w:left w:val="none" w:sz="0" w:space="0" w:color="auto"/>
            <w:bottom w:val="none" w:sz="0" w:space="0" w:color="auto"/>
            <w:right w:val="none" w:sz="0" w:space="0" w:color="auto"/>
          </w:divBdr>
        </w:div>
        <w:div w:id="1701205739">
          <w:marLeft w:val="640"/>
          <w:marRight w:val="0"/>
          <w:marTop w:val="0"/>
          <w:marBottom w:val="0"/>
          <w:divBdr>
            <w:top w:val="none" w:sz="0" w:space="0" w:color="auto"/>
            <w:left w:val="none" w:sz="0" w:space="0" w:color="auto"/>
            <w:bottom w:val="none" w:sz="0" w:space="0" w:color="auto"/>
            <w:right w:val="none" w:sz="0" w:space="0" w:color="auto"/>
          </w:divBdr>
        </w:div>
        <w:div w:id="54548124">
          <w:marLeft w:val="640"/>
          <w:marRight w:val="0"/>
          <w:marTop w:val="0"/>
          <w:marBottom w:val="0"/>
          <w:divBdr>
            <w:top w:val="none" w:sz="0" w:space="0" w:color="auto"/>
            <w:left w:val="none" w:sz="0" w:space="0" w:color="auto"/>
            <w:bottom w:val="none" w:sz="0" w:space="0" w:color="auto"/>
            <w:right w:val="none" w:sz="0" w:space="0" w:color="auto"/>
          </w:divBdr>
        </w:div>
        <w:div w:id="1277057171">
          <w:marLeft w:val="640"/>
          <w:marRight w:val="0"/>
          <w:marTop w:val="0"/>
          <w:marBottom w:val="0"/>
          <w:divBdr>
            <w:top w:val="none" w:sz="0" w:space="0" w:color="auto"/>
            <w:left w:val="none" w:sz="0" w:space="0" w:color="auto"/>
            <w:bottom w:val="none" w:sz="0" w:space="0" w:color="auto"/>
            <w:right w:val="none" w:sz="0" w:space="0" w:color="auto"/>
          </w:divBdr>
        </w:div>
        <w:div w:id="328683259">
          <w:marLeft w:val="640"/>
          <w:marRight w:val="0"/>
          <w:marTop w:val="0"/>
          <w:marBottom w:val="0"/>
          <w:divBdr>
            <w:top w:val="none" w:sz="0" w:space="0" w:color="auto"/>
            <w:left w:val="none" w:sz="0" w:space="0" w:color="auto"/>
            <w:bottom w:val="none" w:sz="0" w:space="0" w:color="auto"/>
            <w:right w:val="none" w:sz="0" w:space="0" w:color="auto"/>
          </w:divBdr>
        </w:div>
        <w:div w:id="328603835">
          <w:marLeft w:val="640"/>
          <w:marRight w:val="0"/>
          <w:marTop w:val="0"/>
          <w:marBottom w:val="0"/>
          <w:divBdr>
            <w:top w:val="none" w:sz="0" w:space="0" w:color="auto"/>
            <w:left w:val="none" w:sz="0" w:space="0" w:color="auto"/>
            <w:bottom w:val="none" w:sz="0" w:space="0" w:color="auto"/>
            <w:right w:val="none" w:sz="0" w:space="0" w:color="auto"/>
          </w:divBdr>
        </w:div>
        <w:div w:id="311446944">
          <w:marLeft w:val="640"/>
          <w:marRight w:val="0"/>
          <w:marTop w:val="0"/>
          <w:marBottom w:val="0"/>
          <w:divBdr>
            <w:top w:val="none" w:sz="0" w:space="0" w:color="auto"/>
            <w:left w:val="none" w:sz="0" w:space="0" w:color="auto"/>
            <w:bottom w:val="none" w:sz="0" w:space="0" w:color="auto"/>
            <w:right w:val="none" w:sz="0" w:space="0" w:color="auto"/>
          </w:divBdr>
        </w:div>
        <w:div w:id="1411542867">
          <w:marLeft w:val="640"/>
          <w:marRight w:val="0"/>
          <w:marTop w:val="0"/>
          <w:marBottom w:val="0"/>
          <w:divBdr>
            <w:top w:val="none" w:sz="0" w:space="0" w:color="auto"/>
            <w:left w:val="none" w:sz="0" w:space="0" w:color="auto"/>
            <w:bottom w:val="none" w:sz="0" w:space="0" w:color="auto"/>
            <w:right w:val="none" w:sz="0" w:space="0" w:color="auto"/>
          </w:divBdr>
        </w:div>
        <w:div w:id="663051579">
          <w:marLeft w:val="640"/>
          <w:marRight w:val="0"/>
          <w:marTop w:val="0"/>
          <w:marBottom w:val="0"/>
          <w:divBdr>
            <w:top w:val="none" w:sz="0" w:space="0" w:color="auto"/>
            <w:left w:val="none" w:sz="0" w:space="0" w:color="auto"/>
            <w:bottom w:val="none" w:sz="0" w:space="0" w:color="auto"/>
            <w:right w:val="none" w:sz="0" w:space="0" w:color="auto"/>
          </w:divBdr>
        </w:div>
        <w:div w:id="342054293">
          <w:marLeft w:val="640"/>
          <w:marRight w:val="0"/>
          <w:marTop w:val="0"/>
          <w:marBottom w:val="0"/>
          <w:divBdr>
            <w:top w:val="none" w:sz="0" w:space="0" w:color="auto"/>
            <w:left w:val="none" w:sz="0" w:space="0" w:color="auto"/>
            <w:bottom w:val="none" w:sz="0" w:space="0" w:color="auto"/>
            <w:right w:val="none" w:sz="0" w:space="0" w:color="auto"/>
          </w:divBdr>
        </w:div>
        <w:div w:id="2063862855">
          <w:marLeft w:val="640"/>
          <w:marRight w:val="0"/>
          <w:marTop w:val="0"/>
          <w:marBottom w:val="0"/>
          <w:divBdr>
            <w:top w:val="none" w:sz="0" w:space="0" w:color="auto"/>
            <w:left w:val="none" w:sz="0" w:space="0" w:color="auto"/>
            <w:bottom w:val="none" w:sz="0" w:space="0" w:color="auto"/>
            <w:right w:val="none" w:sz="0" w:space="0" w:color="auto"/>
          </w:divBdr>
        </w:div>
        <w:div w:id="1530297779">
          <w:marLeft w:val="640"/>
          <w:marRight w:val="0"/>
          <w:marTop w:val="0"/>
          <w:marBottom w:val="0"/>
          <w:divBdr>
            <w:top w:val="none" w:sz="0" w:space="0" w:color="auto"/>
            <w:left w:val="none" w:sz="0" w:space="0" w:color="auto"/>
            <w:bottom w:val="none" w:sz="0" w:space="0" w:color="auto"/>
            <w:right w:val="none" w:sz="0" w:space="0" w:color="auto"/>
          </w:divBdr>
        </w:div>
        <w:div w:id="1510829388">
          <w:marLeft w:val="640"/>
          <w:marRight w:val="0"/>
          <w:marTop w:val="0"/>
          <w:marBottom w:val="0"/>
          <w:divBdr>
            <w:top w:val="none" w:sz="0" w:space="0" w:color="auto"/>
            <w:left w:val="none" w:sz="0" w:space="0" w:color="auto"/>
            <w:bottom w:val="none" w:sz="0" w:space="0" w:color="auto"/>
            <w:right w:val="none" w:sz="0" w:space="0" w:color="auto"/>
          </w:divBdr>
        </w:div>
        <w:div w:id="697466723">
          <w:marLeft w:val="640"/>
          <w:marRight w:val="0"/>
          <w:marTop w:val="0"/>
          <w:marBottom w:val="0"/>
          <w:divBdr>
            <w:top w:val="none" w:sz="0" w:space="0" w:color="auto"/>
            <w:left w:val="none" w:sz="0" w:space="0" w:color="auto"/>
            <w:bottom w:val="none" w:sz="0" w:space="0" w:color="auto"/>
            <w:right w:val="none" w:sz="0" w:space="0" w:color="auto"/>
          </w:divBdr>
        </w:div>
        <w:div w:id="845755063">
          <w:marLeft w:val="640"/>
          <w:marRight w:val="0"/>
          <w:marTop w:val="0"/>
          <w:marBottom w:val="0"/>
          <w:divBdr>
            <w:top w:val="none" w:sz="0" w:space="0" w:color="auto"/>
            <w:left w:val="none" w:sz="0" w:space="0" w:color="auto"/>
            <w:bottom w:val="none" w:sz="0" w:space="0" w:color="auto"/>
            <w:right w:val="none" w:sz="0" w:space="0" w:color="auto"/>
          </w:divBdr>
        </w:div>
        <w:div w:id="1761751966">
          <w:marLeft w:val="640"/>
          <w:marRight w:val="0"/>
          <w:marTop w:val="0"/>
          <w:marBottom w:val="0"/>
          <w:divBdr>
            <w:top w:val="none" w:sz="0" w:space="0" w:color="auto"/>
            <w:left w:val="none" w:sz="0" w:space="0" w:color="auto"/>
            <w:bottom w:val="none" w:sz="0" w:space="0" w:color="auto"/>
            <w:right w:val="none" w:sz="0" w:space="0" w:color="auto"/>
          </w:divBdr>
        </w:div>
        <w:div w:id="1497257582">
          <w:marLeft w:val="640"/>
          <w:marRight w:val="0"/>
          <w:marTop w:val="0"/>
          <w:marBottom w:val="0"/>
          <w:divBdr>
            <w:top w:val="none" w:sz="0" w:space="0" w:color="auto"/>
            <w:left w:val="none" w:sz="0" w:space="0" w:color="auto"/>
            <w:bottom w:val="none" w:sz="0" w:space="0" w:color="auto"/>
            <w:right w:val="none" w:sz="0" w:space="0" w:color="auto"/>
          </w:divBdr>
        </w:div>
        <w:div w:id="182744728">
          <w:marLeft w:val="640"/>
          <w:marRight w:val="0"/>
          <w:marTop w:val="0"/>
          <w:marBottom w:val="0"/>
          <w:divBdr>
            <w:top w:val="none" w:sz="0" w:space="0" w:color="auto"/>
            <w:left w:val="none" w:sz="0" w:space="0" w:color="auto"/>
            <w:bottom w:val="none" w:sz="0" w:space="0" w:color="auto"/>
            <w:right w:val="none" w:sz="0" w:space="0" w:color="auto"/>
          </w:divBdr>
        </w:div>
        <w:div w:id="276134721">
          <w:marLeft w:val="640"/>
          <w:marRight w:val="0"/>
          <w:marTop w:val="0"/>
          <w:marBottom w:val="0"/>
          <w:divBdr>
            <w:top w:val="none" w:sz="0" w:space="0" w:color="auto"/>
            <w:left w:val="none" w:sz="0" w:space="0" w:color="auto"/>
            <w:bottom w:val="none" w:sz="0" w:space="0" w:color="auto"/>
            <w:right w:val="none" w:sz="0" w:space="0" w:color="auto"/>
          </w:divBdr>
        </w:div>
        <w:div w:id="1821726803">
          <w:marLeft w:val="640"/>
          <w:marRight w:val="0"/>
          <w:marTop w:val="0"/>
          <w:marBottom w:val="0"/>
          <w:divBdr>
            <w:top w:val="none" w:sz="0" w:space="0" w:color="auto"/>
            <w:left w:val="none" w:sz="0" w:space="0" w:color="auto"/>
            <w:bottom w:val="none" w:sz="0" w:space="0" w:color="auto"/>
            <w:right w:val="none" w:sz="0" w:space="0" w:color="auto"/>
          </w:divBdr>
        </w:div>
        <w:div w:id="818570257">
          <w:marLeft w:val="640"/>
          <w:marRight w:val="0"/>
          <w:marTop w:val="0"/>
          <w:marBottom w:val="0"/>
          <w:divBdr>
            <w:top w:val="none" w:sz="0" w:space="0" w:color="auto"/>
            <w:left w:val="none" w:sz="0" w:space="0" w:color="auto"/>
            <w:bottom w:val="none" w:sz="0" w:space="0" w:color="auto"/>
            <w:right w:val="none" w:sz="0" w:space="0" w:color="auto"/>
          </w:divBdr>
        </w:div>
        <w:div w:id="2006936026">
          <w:marLeft w:val="640"/>
          <w:marRight w:val="0"/>
          <w:marTop w:val="0"/>
          <w:marBottom w:val="0"/>
          <w:divBdr>
            <w:top w:val="none" w:sz="0" w:space="0" w:color="auto"/>
            <w:left w:val="none" w:sz="0" w:space="0" w:color="auto"/>
            <w:bottom w:val="none" w:sz="0" w:space="0" w:color="auto"/>
            <w:right w:val="none" w:sz="0" w:space="0" w:color="auto"/>
          </w:divBdr>
        </w:div>
        <w:div w:id="1347558319">
          <w:marLeft w:val="640"/>
          <w:marRight w:val="0"/>
          <w:marTop w:val="0"/>
          <w:marBottom w:val="0"/>
          <w:divBdr>
            <w:top w:val="none" w:sz="0" w:space="0" w:color="auto"/>
            <w:left w:val="none" w:sz="0" w:space="0" w:color="auto"/>
            <w:bottom w:val="none" w:sz="0" w:space="0" w:color="auto"/>
            <w:right w:val="none" w:sz="0" w:space="0" w:color="auto"/>
          </w:divBdr>
        </w:div>
        <w:div w:id="1157308187">
          <w:marLeft w:val="640"/>
          <w:marRight w:val="0"/>
          <w:marTop w:val="0"/>
          <w:marBottom w:val="0"/>
          <w:divBdr>
            <w:top w:val="none" w:sz="0" w:space="0" w:color="auto"/>
            <w:left w:val="none" w:sz="0" w:space="0" w:color="auto"/>
            <w:bottom w:val="none" w:sz="0" w:space="0" w:color="auto"/>
            <w:right w:val="none" w:sz="0" w:space="0" w:color="auto"/>
          </w:divBdr>
        </w:div>
        <w:div w:id="1852181356">
          <w:marLeft w:val="640"/>
          <w:marRight w:val="0"/>
          <w:marTop w:val="0"/>
          <w:marBottom w:val="0"/>
          <w:divBdr>
            <w:top w:val="none" w:sz="0" w:space="0" w:color="auto"/>
            <w:left w:val="none" w:sz="0" w:space="0" w:color="auto"/>
            <w:bottom w:val="none" w:sz="0" w:space="0" w:color="auto"/>
            <w:right w:val="none" w:sz="0" w:space="0" w:color="auto"/>
          </w:divBdr>
        </w:div>
        <w:div w:id="2144418298">
          <w:marLeft w:val="640"/>
          <w:marRight w:val="0"/>
          <w:marTop w:val="0"/>
          <w:marBottom w:val="0"/>
          <w:divBdr>
            <w:top w:val="none" w:sz="0" w:space="0" w:color="auto"/>
            <w:left w:val="none" w:sz="0" w:space="0" w:color="auto"/>
            <w:bottom w:val="none" w:sz="0" w:space="0" w:color="auto"/>
            <w:right w:val="none" w:sz="0" w:space="0" w:color="auto"/>
          </w:divBdr>
        </w:div>
        <w:div w:id="1960407888">
          <w:marLeft w:val="640"/>
          <w:marRight w:val="0"/>
          <w:marTop w:val="0"/>
          <w:marBottom w:val="0"/>
          <w:divBdr>
            <w:top w:val="none" w:sz="0" w:space="0" w:color="auto"/>
            <w:left w:val="none" w:sz="0" w:space="0" w:color="auto"/>
            <w:bottom w:val="none" w:sz="0" w:space="0" w:color="auto"/>
            <w:right w:val="none" w:sz="0" w:space="0" w:color="auto"/>
          </w:divBdr>
        </w:div>
        <w:div w:id="781875559">
          <w:marLeft w:val="640"/>
          <w:marRight w:val="0"/>
          <w:marTop w:val="0"/>
          <w:marBottom w:val="0"/>
          <w:divBdr>
            <w:top w:val="none" w:sz="0" w:space="0" w:color="auto"/>
            <w:left w:val="none" w:sz="0" w:space="0" w:color="auto"/>
            <w:bottom w:val="none" w:sz="0" w:space="0" w:color="auto"/>
            <w:right w:val="none" w:sz="0" w:space="0" w:color="auto"/>
          </w:divBdr>
        </w:div>
        <w:div w:id="852256744">
          <w:marLeft w:val="640"/>
          <w:marRight w:val="0"/>
          <w:marTop w:val="0"/>
          <w:marBottom w:val="0"/>
          <w:divBdr>
            <w:top w:val="none" w:sz="0" w:space="0" w:color="auto"/>
            <w:left w:val="none" w:sz="0" w:space="0" w:color="auto"/>
            <w:bottom w:val="none" w:sz="0" w:space="0" w:color="auto"/>
            <w:right w:val="none" w:sz="0" w:space="0" w:color="auto"/>
          </w:divBdr>
        </w:div>
        <w:div w:id="1808938992">
          <w:marLeft w:val="640"/>
          <w:marRight w:val="0"/>
          <w:marTop w:val="0"/>
          <w:marBottom w:val="0"/>
          <w:divBdr>
            <w:top w:val="none" w:sz="0" w:space="0" w:color="auto"/>
            <w:left w:val="none" w:sz="0" w:space="0" w:color="auto"/>
            <w:bottom w:val="none" w:sz="0" w:space="0" w:color="auto"/>
            <w:right w:val="none" w:sz="0" w:space="0" w:color="auto"/>
          </w:divBdr>
        </w:div>
        <w:div w:id="1435057676">
          <w:marLeft w:val="640"/>
          <w:marRight w:val="0"/>
          <w:marTop w:val="0"/>
          <w:marBottom w:val="0"/>
          <w:divBdr>
            <w:top w:val="none" w:sz="0" w:space="0" w:color="auto"/>
            <w:left w:val="none" w:sz="0" w:space="0" w:color="auto"/>
            <w:bottom w:val="none" w:sz="0" w:space="0" w:color="auto"/>
            <w:right w:val="none" w:sz="0" w:space="0" w:color="auto"/>
          </w:divBdr>
        </w:div>
        <w:div w:id="1321347305">
          <w:marLeft w:val="640"/>
          <w:marRight w:val="0"/>
          <w:marTop w:val="0"/>
          <w:marBottom w:val="0"/>
          <w:divBdr>
            <w:top w:val="none" w:sz="0" w:space="0" w:color="auto"/>
            <w:left w:val="none" w:sz="0" w:space="0" w:color="auto"/>
            <w:bottom w:val="none" w:sz="0" w:space="0" w:color="auto"/>
            <w:right w:val="none" w:sz="0" w:space="0" w:color="auto"/>
          </w:divBdr>
        </w:div>
        <w:div w:id="69891908">
          <w:marLeft w:val="640"/>
          <w:marRight w:val="0"/>
          <w:marTop w:val="0"/>
          <w:marBottom w:val="0"/>
          <w:divBdr>
            <w:top w:val="none" w:sz="0" w:space="0" w:color="auto"/>
            <w:left w:val="none" w:sz="0" w:space="0" w:color="auto"/>
            <w:bottom w:val="none" w:sz="0" w:space="0" w:color="auto"/>
            <w:right w:val="none" w:sz="0" w:space="0" w:color="auto"/>
          </w:divBdr>
        </w:div>
        <w:div w:id="1782995164">
          <w:marLeft w:val="640"/>
          <w:marRight w:val="0"/>
          <w:marTop w:val="0"/>
          <w:marBottom w:val="0"/>
          <w:divBdr>
            <w:top w:val="none" w:sz="0" w:space="0" w:color="auto"/>
            <w:left w:val="none" w:sz="0" w:space="0" w:color="auto"/>
            <w:bottom w:val="none" w:sz="0" w:space="0" w:color="auto"/>
            <w:right w:val="none" w:sz="0" w:space="0" w:color="auto"/>
          </w:divBdr>
        </w:div>
        <w:div w:id="497501028">
          <w:marLeft w:val="640"/>
          <w:marRight w:val="0"/>
          <w:marTop w:val="0"/>
          <w:marBottom w:val="0"/>
          <w:divBdr>
            <w:top w:val="none" w:sz="0" w:space="0" w:color="auto"/>
            <w:left w:val="none" w:sz="0" w:space="0" w:color="auto"/>
            <w:bottom w:val="none" w:sz="0" w:space="0" w:color="auto"/>
            <w:right w:val="none" w:sz="0" w:space="0" w:color="auto"/>
          </w:divBdr>
        </w:div>
        <w:div w:id="786198440">
          <w:marLeft w:val="640"/>
          <w:marRight w:val="0"/>
          <w:marTop w:val="0"/>
          <w:marBottom w:val="0"/>
          <w:divBdr>
            <w:top w:val="none" w:sz="0" w:space="0" w:color="auto"/>
            <w:left w:val="none" w:sz="0" w:space="0" w:color="auto"/>
            <w:bottom w:val="none" w:sz="0" w:space="0" w:color="auto"/>
            <w:right w:val="none" w:sz="0" w:space="0" w:color="auto"/>
          </w:divBdr>
        </w:div>
        <w:div w:id="380131157">
          <w:marLeft w:val="640"/>
          <w:marRight w:val="0"/>
          <w:marTop w:val="0"/>
          <w:marBottom w:val="0"/>
          <w:divBdr>
            <w:top w:val="none" w:sz="0" w:space="0" w:color="auto"/>
            <w:left w:val="none" w:sz="0" w:space="0" w:color="auto"/>
            <w:bottom w:val="none" w:sz="0" w:space="0" w:color="auto"/>
            <w:right w:val="none" w:sz="0" w:space="0" w:color="auto"/>
          </w:divBdr>
        </w:div>
        <w:div w:id="2042780729">
          <w:marLeft w:val="640"/>
          <w:marRight w:val="0"/>
          <w:marTop w:val="0"/>
          <w:marBottom w:val="0"/>
          <w:divBdr>
            <w:top w:val="none" w:sz="0" w:space="0" w:color="auto"/>
            <w:left w:val="none" w:sz="0" w:space="0" w:color="auto"/>
            <w:bottom w:val="none" w:sz="0" w:space="0" w:color="auto"/>
            <w:right w:val="none" w:sz="0" w:space="0" w:color="auto"/>
          </w:divBdr>
        </w:div>
        <w:div w:id="467865769">
          <w:marLeft w:val="640"/>
          <w:marRight w:val="0"/>
          <w:marTop w:val="0"/>
          <w:marBottom w:val="0"/>
          <w:divBdr>
            <w:top w:val="none" w:sz="0" w:space="0" w:color="auto"/>
            <w:left w:val="none" w:sz="0" w:space="0" w:color="auto"/>
            <w:bottom w:val="none" w:sz="0" w:space="0" w:color="auto"/>
            <w:right w:val="none" w:sz="0" w:space="0" w:color="auto"/>
          </w:divBdr>
        </w:div>
        <w:div w:id="1420523213">
          <w:marLeft w:val="640"/>
          <w:marRight w:val="0"/>
          <w:marTop w:val="0"/>
          <w:marBottom w:val="0"/>
          <w:divBdr>
            <w:top w:val="none" w:sz="0" w:space="0" w:color="auto"/>
            <w:left w:val="none" w:sz="0" w:space="0" w:color="auto"/>
            <w:bottom w:val="none" w:sz="0" w:space="0" w:color="auto"/>
            <w:right w:val="none" w:sz="0" w:space="0" w:color="auto"/>
          </w:divBdr>
        </w:div>
        <w:div w:id="424306353">
          <w:marLeft w:val="640"/>
          <w:marRight w:val="0"/>
          <w:marTop w:val="0"/>
          <w:marBottom w:val="0"/>
          <w:divBdr>
            <w:top w:val="none" w:sz="0" w:space="0" w:color="auto"/>
            <w:left w:val="none" w:sz="0" w:space="0" w:color="auto"/>
            <w:bottom w:val="none" w:sz="0" w:space="0" w:color="auto"/>
            <w:right w:val="none" w:sz="0" w:space="0" w:color="auto"/>
          </w:divBdr>
        </w:div>
        <w:div w:id="304898112">
          <w:marLeft w:val="640"/>
          <w:marRight w:val="0"/>
          <w:marTop w:val="0"/>
          <w:marBottom w:val="0"/>
          <w:divBdr>
            <w:top w:val="none" w:sz="0" w:space="0" w:color="auto"/>
            <w:left w:val="none" w:sz="0" w:space="0" w:color="auto"/>
            <w:bottom w:val="none" w:sz="0" w:space="0" w:color="auto"/>
            <w:right w:val="none" w:sz="0" w:space="0" w:color="auto"/>
          </w:divBdr>
        </w:div>
        <w:div w:id="864442443">
          <w:marLeft w:val="640"/>
          <w:marRight w:val="0"/>
          <w:marTop w:val="0"/>
          <w:marBottom w:val="0"/>
          <w:divBdr>
            <w:top w:val="none" w:sz="0" w:space="0" w:color="auto"/>
            <w:left w:val="none" w:sz="0" w:space="0" w:color="auto"/>
            <w:bottom w:val="none" w:sz="0" w:space="0" w:color="auto"/>
            <w:right w:val="none" w:sz="0" w:space="0" w:color="auto"/>
          </w:divBdr>
        </w:div>
        <w:div w:id="1029531813">
          <w:marLeft w:val="640"/>
          <w:marRight w:val="0"/>
          <w:marTop w:val="0"/>
          <w:marBottom w:val="0"/>
          <w:divBdr>
            <w:top w:val="none" w:sz="0" w:space="0" w:color="auto"/>
            <w:left w:val="none" w:sz="0" w:space="0" w:color="auto"/>
            <w:bottom w:val="none" w:sz="0" w:space="0" w:color="auto"/>
            <w:right w:val="none" w:sz="0" w:space="0" w:color="auto"/>
          </w:divBdr>
        </w:div>
        <w:div w:id="1749644335">
          <w:marLeft w:val="640"/>
          <w:marRight w:val="0"/>
          <w:marTop w:val="0"/>
          <w:marBottom w:val="0"/>
          <w:divBdr>
            <w:top w:val="none" w:sz="0" w:space="0" w:color="auto"/>
            <w:left w:val="none" w:sz="0" w:space="0" w:color="auto"/>
            <w:bottom w:val="none" w:sz="0" w:space="0" w:color="auto"/>
            <w:right w:val="none" w:sz="0" w:space="0" w:color="auto"/>
          </w:divBdr>
        </w:div>
        <w:div w:id="838737635">
          <w:marLeft w:val="640"/>
          <w:marRight w:val="0"/>
          <w:marTop w:val="0"/>
          <w:marBottom w:val="0"/>
          <w:divBdr>
            <w:top w:val="none" w:sz="0" w:space="0" w:color="auto"/>
            <w:left w:val="none" w:sz="0" w:space="0" w:color="auto"/>
            <w:bottom w:val="none" w:sz="0" w:space="0" w:color="auto"/>
            <w:right w:val="none" w:sz="0" w:space="0" w:color="auto"/>
          </w:divBdr>
        </w:div>
        <w:div w:id="280110728">
          <w:marLeft w:val="640"/>
          <w:marRight w:val="0"/>
          <w:marTop w:val="0"/>
          <w:marBottom w:val="0"/>
          <w:divBdr>
            <w:top w:val="none" w:sz="0" w:space="0" w:color="auto"/>
            <w:left w:val="none" w:sz="0" w:space="0" w:color="auto"/>
            <w:bottom w:val="none" w:sz="0" w:space="0" w:color="auto"/>
            <w:right w:val="none" w:sz="0" w:space="0" w:color="auto"/>
          </w:divBdr>
        </w:div>
        <w:div w:id="2100440785">
          <w:marLeft w:val="640"/>
          <w:marRight w:val="0"/>
          <w:marTop w:val="0"/>
          <w:marBottom w:val="0"/>
          <w:divBdr>
            <w:top w:val="none" w:sz="0" w:space="0" w:color="auto"/>
            <w:left w:val="none" w:sz="0" w:space="0" w:color="auto"/>
            <w:bottom w:val="none" w:sz="0" w:space="0" w:color="auto"/>
            <w:right w:val="none" w:sz="0" w:space="0" w:color="auto"/>
          </w:divBdr>
        </w:div>
        <w:div w:id="1556117663">
          <w:marLeft w:val="640"/>
          <w:marRight w:val="0"/>
          <w:marTop w:val="0"/>
          <w:marBottom w:val="0"/>
          <w:divBdr>
            <w:top w:val="none" w:sz="0" w:space="0" w:color="auto"/>
            <w:left w:val="none" w:sz="0" w:space="0" w:color="auto"/>
            <w:bottom w:val="none" w:sz="0" w:space="0" w:color="auto"/>
            <w:right w:val="none" w:sz="0" w:space="0" w:color="auto"/>
          </w:divBdr>
        </w:div>
        <w:div w:id="1270628861">
          <w:marLeft w:val="640"/>
          <w:marRight w:val="0"/>
          <w:marTop w:val="0"/>
          <w:marBottom w:val="0"/>
          <w:divBdr>
            <w:top w:val="none" w:sz="0" w:space="0" w:color="auto"/>
            <w:left w:val="none" w:sz="0" w:space="0" w:color="auto"/>
            <w:bottom w:val="none" w:sz="0" w:space="0" w:color="auto"/>
            <w:right w:val="none" w:sz="0" w:space="0" w:color="auto"/>
          </w:divBdr>
        </w:div>
        <w:div w:id="2091729747">
          <w:marLeft w:val="640"/>
          <w:marRight w:val="0"/>
          <w:marTop w:val="0"/>
          <w:marBottom w:val="0"/>
          <w:divBdr>
            <w:top w:val="none" w:sz="0" w:space="0" w:color="auto"/>
            <w:left w:val="none" w:sz="0" w:space="0" w:color="auto"/>
            <w:bottom w:val="none" w:sz="0" w:space="0" w:color="auto"/>
            <w:right w:val="none" w:sz="0" w:space="0" w:color="auto"/>
          </w:divBdr>
        </w:div>
        <w:div w:id="1243679670">
          <w:marLeft w:val="640"/>
          <w:marRight w:val="0"/>
          <w:marTop w:val="0"/>
          <w:marBottom w:val="0"/>
          <w:divBdr>
            <w:top w:val="none" w:sz="0" w:space="0" w:color="auto"/>
            <w:left w:val="none" w:sz="0" w:space="0" w:color="auto"/>
            <w:bottom w:val="none" w:sz="0" w:space="0" w:color="auto"/>
            <w:right w:val="none" w:sz="0" w:space="0" w:color="auto"/>
          </w:divBdr>
        </w:div>
        <w:div w:id="38281717">
          <w:marLeft w:val="640"/>
          <w:marRight w:val="0"/>
          <w:marTop w:val="0"/>
          <w:marBottom w:val="0"/>
          <w:divBdr>
            <w:top w:val="none" w:sz="0" w:space="0" w:color="auto"/>
            <w:left w:val="none" w:sz="0" w:space="0" w:color="auto"/>
            <w:bottom w:val="none" w:sz="0" w:space="0" w:color="auto"/>
            <w:right w:val="none" w:sz="0" w:space="0" w:color="auto"/>
          </w:divBdr>
        </w:div>
        <w:div w:id="695086378">
          <w:marLeft w:val="640"/>
          <w:marRight w:val="0"/>
          <w:marTop w:val="0"/>
          <w:marBottom w:val="0"/>
          <w:divBdr>
            <w:top w:val="none" w:sz="0" w:space="0" w:color="auto"/>
            <w:left w:val="none" w:sz="0" w:space="0" w:color="auto"/>
            <w:bottom w:val="none" w:sz="0" w:space="0" w:color="auto"/>
            <w:right w:val="none" w:sz="0" w:space="0" w:color="auto"/>
          </w:divBdr>
        </w:div>
        <w:div w:id="1568950635">
          <w:marLeft w:val="640"/>
          <w:marRight w:val="0"/>
          <w:marTop w:val="0"/>
          <w:marBottom w:val="0"/>
          <w:divBdr>
            <w:top w:val="none" w:sz="0" w:space="0" w:color="auto"/>
            <w:left w:val="none" w:sz="0" w:space="0" w:color="auto"/>
            <w:bottom w:val="none" w:sz="0" w:space="0" w:color="auto"/>
            <w:right w:val="none" w:sz="0" w:space="0" w:color="auto"/>
          </w:divBdr>
        </w:div>
        <w:div w:id="1972859734">
          <w:marLeft w:val="640"/>
          <w:marRight w:val="0"/>
          <w:marTop w:val="0"/>
          <w:marBottom w:val="0"/>
          <w:divBdr>
            <w:top w:val="none" w:sz="0" w:space="0" w:color="auto"/>
            <w:left w:val="none" w:sz="0" w:space="0" w:color="auto"/>
            <w:bottom w:val="none" w:sz="0" w:space="0" w:color="auto"/>
            <w:right w:val="none" w:sz="0" w:space="0" w:color="auto"/>
          </w:divBdr>
        </w:div>
        <w:div w:id="1108045233">
          <w:marLeft w:val="640"/>
          <w:marRight w:val="0"/>
          <w:marTop w:val="0"/>
          <w:marBottom w:val="0"/>
          <w:divBdr>
            <w:top w:val="none" w:sz="0" w:space="0" w:color="auto"/>
            <w:left w:val="none" w:sz="0" w:space="0" w:color="auto"/>
            <w:bottom w:val="none" w:sz="0" w:space="0" w:color="auto"/>
            <w:right w:val="none" w:sz="0" w:space="0" w:color="auto"/>
          </w:divBdr>
        </w:div>
        <w:div w:id="403338789">
          <w:marLeft w:val="640"/>
          <w:marRight w:val="0"/>
          <w:marTop w:val="0"/>
          <w:marBottom w:val="0"/>
          <w:divBdr>
            <w:top w:val="none" w:sz="0" w:space="0" w:color="auto"/>
            <w:left w:val="none" w:sz="0" w:space="0" w:color="auto"/>
            <w:bottom w:val="none" w:sz="0" w:space="0" w:color="auto"/>
            <w:right w:val="none" w:sz="0" w:space="0" w:color="auto"/>
          </w:divBdr>
        </w:div>
        <w:div w:id="1166821192">
          <w:marLeft w:val="640"/>
          <w:marRight w:val="0"/>
          <w:marTop w:val="0"/>
          <w:marBottom w:val="0"/>
          <w:divBdr>
            <w:top w:val="none" w:sz="0" w:space="0" w:color="auto"/>
            <w:left w:val="none" w:sz="0" w:space="0" w:color="auto"/>
            <w:bottom w:val="none" w:sz="0" w:space="0" w:color="auto"/>
            <w:right w:val="none" w:sz="0" w:space="0" w:color="auto"/>
          </w:divBdr>
        </w:div>
        <w:div w:id="1815488748">
          <w:marLeft w:val="640"/>
          <w:marRight w:val="0"/>
          <w:marTop w:val="0"/>
          <w:marBottom w:val="0"/>
          <w:divBdr>
            <w:top w:val="none" w:sz="0" w:space="0" w:color="auto"/>
            <w:left w:val="none" w:sz="0" w:space="0" w:color="auto"/>
            <w:bottom w:val="none" w:sz="0" w:space="0" w:color="auto"/>
            <w:right w:val="none" w:sz="0" w:space="0" w:color="auto"/>
          </w:divBdr>
        </w:div>
        <w:div w:id="554588465">
          <w:marLeft w:val="640"/>
          <w:marRight w:val="0"/>
          <w:marTop w:val="0"/>
          <w:marBottom w:val="0"/>
          <w:divBdr>
            <w:top w:val="none" w:sz="0" w:space="0" w:color="auto"/>
            <w:left w:val="none" w:sz="0" w:space="0" w:color="auto"/>
            <w:bottom w:val="none" w:sz="0" w:space="0" w:color="auto"/>
            <w:right w:val="none" w:sz="0" w:space="0" w:color="auto"/>
          </w:divBdr>
        </w:div>
        <w:div w:id="1557937194">
          <w:marLeft w:val="640"/>
          <w:marRight w:val="0"/>
          <w:marTop w:val="0"/>
          <w:marBottom w:val="0"/>
          <w:divBdr>
            <w:top w:val="none" w:sz="0" w:space="0" w:color="auto"/>
            <w:left w:val="none" w:sz="0" w:space="0" w:color="auto"/>
            <w:bottom w:val="none" w:sz="0" w:space="0" w:color="auto"/>
            <w:right w:val="none" w:sz="0" w:space="0" w:color="auto"/>
          </w:divBdr>
        </w:div>
        <w:div w:id="2095974774">
          <w:marLeft w:val="640"/>
          <w:marRight w:val="0"/>
          <w:marTop w:val="0"/>
          <w:marBottom w:val="0"/>
          <w:divBdr>
            <w:top w:val="none" w:sz="0" w:space="0" w:color="auto"/>
            <w:left w:val="none" w:sz="0" w:space="0" w:color="auto"/>
            <w:bottom w:val="none" w:sz="0" w:space="0" w:color="auto"/>
            <w:right w:val="none" w:sz="0" w:space="0" w:color="auto"/>
          </w:divBdr>
        </w:div>
        <w:div w:id="1099058726">
          <w:marLeft w:val="640"/>
          <w:marRight w:val="0"/>
          <w:marTop w:val="0"/>
          <w:marBottom w:val="0"/>
          <w:divBdr>
            <w:top w:val="none" w:sz="0" w:space="0" w:color="auto"/>
            <w:left w:val="none" w:sz="0" w:space="0" w:color="auto"/>
            <w:bottom w:val="none" w:sz="0" w:space="0" w:color="auto"/>
            <w:right w:val="none" w:sz="0" w:space="0" w:color="auto"/>
          </w:divBdr>
        </w:div>
        <w:div w:id="769155265">
          <w:marLeft w:val="640"/>
          <w:marRight w:val="0"/>
          <w:marTop w:val="0"/>
          <w:marBottom w:val="0"/>
          <w:divBdr>
            <w:top w:val="none" w:sz="0" w:space="0" w:color="auto"/>
            <w:left w:val="none" w:sz="0" w:space="0" w:color="auto"/>
            <w:bottom w:val="none" w:sz="0" w:space="0" w:color="auto"/>
            <w:right w:val="none" w:sz="0" w:space="0" w:color="auto"/>
          </w:divBdr>
        </w:div>
        <w:div w:id="1373338641">
          <w:marLeft w:val="640"/>
          <w:marRight w:val="0"/>
          <w:marTop w:val="0"/>
          <w:marBottom w:val="0"/>
          <w:divBdr>
            <w:top w:val="none" w:sz="0" w:space="0" w:color="auto"/>
            <w:left w:val="none" w:sz="0" w:space="0" w:color="auto"/>
            <w:bottom w:val="none" w:sz="0" w:space="0" w:color="auto"/>
            <w:right w:val="none" w:sz="0" w:space="0" w:color="auto"/>
          </w:divBdr>
        </w:div>
        <w:div w:id="1634869701">
          <w:marLeft w:val="640"/>
          <w:marRight w:val="0"/>
          <w:marTop w:val="0"/>
          <w:marBottom w:val="0"/>
          <w:divBdr>
            <w:top w:val="none" w:sz="0" w:space="0" w:color="auto"/>
            <w:left w:val="none" w:sz="0" w:space="0" w:color="auto"/>
            <w:bottom w:val="none" w:sz="0" w:space="0" w:color="auto"/>
            <w:right w:val="none" w:sz="0" w:space="0" w:color="auto"/>
          </w:divBdr>
        </w:div>
        <w:div w:id="135343110">
          <w:marLeft w:val="640"/>
          <w:marRight w:val="0"/>
          <w:marTop w:val="0"/>
          <w:marBottom w:val="0"/>
          <w:divBdr>
            <w:top w:val="none" w:sz="0" w:space="0" w:color="auto"/>
            <w:left w:val="none" w:sz="0" w:space="0" w:color="auto"/>
            <w:bottom w:val="none" w:sz="0" w:space="0" w:color="auto"/>
            <w:right w:val="none" w:sz="0" w:space="0" w:color="auto"/>
          </w:divBdr>
        </w:div>
        <w:div w:id="19746918">
          <w:marLeft w:val="640"/>
          <w:marRight w:val="0"/>
          <w:marTop w:val="0"/>
          <w:marBottom w:val="0"/>
          <w:divBdr>
            <w:top w:val="none" w:sz="0" w:space="0" w:color="auto"/>
            <w:left w:val="none" w:sz="0" w:space="0" w:color="auto"/>
            <w:bottom w:val="none" w:sz="0" w:space="0" w:color="auto"/>
            <w:right w:val="none" w:sz="0" w:space="0" w:color="auto"/>
          </w:divBdr>
        </w:div>
        <w:div w:id="642781906">
          <w:marLeft w:val="640"/>
          <w:marRight w:val="0"/>
          <w:marTop w:val="0"/>
          <w:marBottom w:val="0"/>
          <w:divBdr>
            <w:top w:val="none" w:sz="0" w:space="0" w:color="auto"/>
            <w:left w:val="none" w:sz="0" w:space="0" w:color="auto"/>
            <w:bottom w:val="none" w:sz="0" w:space="0" w:color="auto"/>
            <w:right w:val="none" w:sz="0" w:space="0" w:color="auto"/>
          </w:divBdr>
        </w:div>
        <w:div w:id="777795565">
          <w:marLeft w:val="640"/>
          <w:marRight w:val="0"/>
          <w:marTop w:val="0"/>
          <w:marBottom w:val="0"/>
          <w:divBdr>
            <w:top w:val="none" w:sz="0" w:space="0" w:color="auto"/>
            <w:left w:val="none" w:sz="0" w:space="0" w:color="auto"/>
            <w:bottom w:val="none" w:sz="0" w:space="0" w:color="auto"/>
            <w:right w:val="none" w:sz="0" w:space="0" w:color="auto"/>
          </w:divBdr>
        </w:div>
        <w:div w:id="1102653336">
          <w:marLeft w:val="640"/>
          <w:marRight w:val="0"/>
          <w:marTop w:val="0"/>
          <w:marBottom w:val="0"/>
          <w:divBdr>
            <w:top w:val="none" w:sz="0" w:space="0" w:color="auto"/>
            <w:left w:val="none" w:sz="0" w:space="0" w:color="auto"/>
            <w:bottom w:val="none" w:sz="0" w:space="0" w:color="auto"/>
            <w:right w:val="none" w:sz="0" w:space="0" w:color="auto"/>
          </w:divBdr>
        </w:div>
        <w:div w:id="1801193206">
          <w:marLeft w:val="640"/>
          <w:marRight w:val="0"/>
          <w:marTop w:val="0"/>
          <w:marBottom w:val="0"/>
          <w:divBdr>
            <w:top w:val="none" w:sz="0" w:space="0" w:color="auto"/>
            <w:left w:val="none" w:sz="0" w:space="0" w:color="auto"/>
            <w:bottom w:val="none" w:sz="0" w:space="0" w:color="auto"/>
            <w:right w:val="none" w:sz="0" w:space="0" w:color="auto"/>
          </w:divBdr>
        </w:div>
        <w:div w:id="1867014421">
          <w:marLeft w:val="640"/>
          <w:marRight w:val="0"/>
          <w:marTop w:val="0"/>
          <w:marBottom w:val="0"/>
          <w:divBdr>
            <w:top w:val="none" w:sz="0" w:space="0" w:color="auto"/>
            <w:left w:val="none" w:sz="0" w:space="0" w:color="auto"/>
            <w:bottom w:val="none" w:sz="0" w:space="0" w:color="auto"/>
            <w:right w:val="none" w:sz="0" w:space="0" w:color="auto"/>
          </w:divBdr>
        </w:div>
        <w:div w:id="134301812">
          <w:marLeft w:val="640"/>
          <w:marRight w:val="0"/>
          <w:marTop w:val="0"/>
          <w:marBottom w:val="0"/>
          <w:divBdr>
            <w:top w:val="none" w:sz="0" w:space="0" w:color="auto"/>
            <w:left w:val="none" w:sz="0" w:space="0" w:color="auto"/>
            <w:bottom w:val="none" w:sz="0" w:space="0" w:color="auto"/>
            <w:right w:val="none" w:sz="0" w:space="0" w:color="auto"/>
          </w:divBdr>
        </w:div>
        <w:div w:id="1128208532">
          <w:marLeft w:val="640"/>
          <w:marRight w:val="0"/>
          <w:marTop w:val="0"/>
          <w:marBottom w:val="0"/>
          <w:divBdr>
            <w:top w:val="none" w:sz="0" w:space="0" w:color="auto"/>
            <w:left w:val="none" w:sz="0" w:space="0" w:color="auto"/>
            <w:bottom w:val="none" w:sz="0" w:space="0" w:color="auto"/>
            <w:right w:val="none" w:sz="0" w:space="0" w:color="auto"/>
          </w:divBdr>
        </w:div>
        <w:div w:id="46027592">
          <w:marLeft w:val="640"/>
          <w:marRight w:val="0"/>
          <w:marTop w:val="0"/>
          <w:marBottom w:val="0"/>
          <w:divBdr>
            <w:top w:val="none" w:sz="0" w:space="0" w:color="auto"/>
            <w:left w:val="none" w:sz="0" w:space="0" w:color="auto"/>
            <w:bottom w:val="none" w:sz="0" w:space="0" w:color="auto"/>
            <w:right w:val="none" w:sz="0" w:space="0" w:color="auto"/>
          </w:divBdr>
        </w:div>
        <w:div w:id="1151292668">
          <w:marLeft w:val="640"/>
          <w:marRight w:val="0"/>
          <w:marTop w:val="0"/>
          <w:marBottom w:val="0"/>
          <w:divBdr>
            <w:top w:val="none" w:sz="0" w:space="0" w:color="auto"/>
            <w:left w:val="none" w:sz="0" w:space="0" w:color="auto"/>
            <w:bottom w:val="none" w:sz="0" w:space="0" w:color="auto"/>
            <w:right w:val="none" w:sz="0" w:space="0" w:color="auto"/>
          </w:divBdr>
        </w:div>
        <w:div w:id="1917592118">
          <w:marLeft w:val="640"/>
          <w:marRight w:val="0"/>
          <w:marTop w:val="0"/>
          <w:marBottom w:val="0"/>
          <w:divBdr>
            <w:top w:val="none" w:sz="0" w:space="0" w:color="auto"/>
            <w:left w:val="none" w:sz="0" w:space="0" w:color="auto"/>
            <w:bottom w:val="none" w:sz="0" w:space="0" w:color="auto"/>
            <w:right w:val="none" w:sz="0" w:space="0" w:color="auto"/>
          </w:divBdr>
        </w:div>
        <w:div w:id="2040231376">
          <w:marLeft w:val="640"/>
          <w:marRight w:val="0"/>
          <w:marTop w:val="0"/>
          <w:marBottom w:val="0"/>
          <w:divBdr>
            <w:top w:val="none" w:sz="0" w:space="0" w:color="auto"/>
            <w:left w:val="none" w:sz="0" w:space="0" w:color="auto"/>
            <w:bottom w:val="none" w:sz="0" w:space="0" w:color="auto"/>
            <w:right w:val="none" w:sz="0" w:space="0" w:color="auto"/>
          </w:divBdr>
        </w:div>
        <w:div w:id="574705156">
          <w:marLeft w:val="640"/>
          <w:marRight w:val="0"/>
          <w:marTop w:val="0"/>
          <w:marBottom w:val="0"/>
          <w:divBdr>
            <w:top w:val="none" w:sz="0" w:space="0" w:color="auto"/>
            <w:left w:val="none" w:sz="0" w:space="0" w:color="auto"/>
            <w:bottom w:val="none" w:sz="0" w:space="0" w:color="auto"/>
            <w:right w:val="none" w:sz="0" w:space="0" w:color="auto"/>
          </w:divBdr>
        </w:div>
        <w:div w:id="255865720">
          <w:marLeft w:val="640"/>
          <w:marRight w:val="0"/>
          <w:marTop w:val="0"/>
          <w:marBottom w:val="0"/>
          <w:divBdr>
            <w:top w:val="none" w:sz="0" w:space="0" w:color="auto"/>
            <w:left w:val="none" w:sz="0" w:space="0" w:color="auto"/>
            <w:bottom w:val="none" w:sz="0" w:space="0" w:color="auto"/>
            <w:right w:val="none" w:sz="0" w:space="0" w:color="auto"/>
          </w:divBdr>
        </w:div>
        <w:div w:id="1320424497">
          <w:marLeft w:val="640"/>
          <w:marRight w:val="0"/>
          <w:marTop w:val="0"/>
          <w:marBottom w:val="0"/>
          <w:divBdr>
            <w:top w:val="none" w:sz="0" w:space="0" w:color="auto"/>
            <w:left w:val="none" w:sz="0" w:space="0" w:color="auto"/>
            <w:bottom w:val="none" w:sz="0" w:space="0" w:color="auto"/>
            <w:right w:val="none" w:sz="0" w:space="0" w:color="auto"/>
          </w:divBdr>
        </w:div>
        <w:div w:id="541864011">
          <w:marLeft w:val="640"/>
          <w:marRight w:val="0"/>
          <w:marTop w:val="0"/>
          <w:marBottom w:val="0"/>
          <w:divBdr>
            <w:top w:val="none" w:sz="0" w:space="0" w:color="auto"/>
            <w:left w:val="none" w:sz="0" w:space="0" w:color="auto"/>
            <w:bottom w:val="none" w:sz="0" w:space="0" w:color="auto"/>
            <w:right w:val="none" w:sz="0" w:space="0" w:color="auto"/>
          </w:divBdr>
        </w:div>
        <w:div w:id="1526023234">
          <w:marLeft w:val="640"/>
          <w:marRight w:val="0"/>
          <w:marTop w:val="0"/>
          <w:marBottom w:val="0"/>
          <w:divBdr>
            <w:top w:val="none" w:sz="0" w:space="0" w:color="auto"/>
            <w:left w:val="none" w:sz="0" w:space="0" w:color="auto"/>
            <w:bottom w:val="none" w:sz="0" w:space="0" w:color="auto"/>
            <w:right w:val="none" w:sz="0" w:space="0" w:color="auto"/>
          </w:divBdr>
        </w:div>
        <w:div w:id="773600370">
          <w:marLeft w:val="640"/>
          <w:marRight w:val="0"/>
          <w:marTop w:val="0"/>
          <w:marBottom w:val="0"/>
          <w:divBdr>
            <w:top w:val="none" w:sz="0" w:space="0" w:color="auto"/>
            <w:left w:val="none" w:sz="0" w:space="0" w:color="auto"/>
            <w:bottom w:val="none" w:sz="0" w:space="0" w:color="auto"/>
            <w:right w:val="none" w:sz="0" w:space="0" w:color="auto"/>
          </w:divBdr>
        </w:div>
        <w:div w:id="2109108690">
          <w:marLeft w:val="640"/>
          <w:marRight w:val="0"/>
          <w:marTop w:val="0"/>
          <w:marBottom w:val="0"/>
          <w:divBdr>
            <w:top w:val="none" w:sz="0" w:space="0" w:color="auto"/>
            <w:left w:val="none" w:sz="0" w:space="0" w:color="auto"/>
            <w:bottom w:val="none" w:sz="0" w:space="0" w:color="auto"/>
            <w:right w:val="none" w:sz="0" w:space="0" w:color="auto"/>
          </w:divBdr>
        </w:div>
        <w:div w:id="619651231">
          <w:marLeft w:val="640"/>
          <w:marRight w:val="0"/>
          <w:marTop w:val="0"/>
          <w:marBottom w:val="0"/>
          <w:divBdr>
            <w:top w:val="none" w:sz="0" w:space="0" w:color="auto"/>
            <w:left w:val="none" w:sz="0" w:space="0" w:color="auto"/>
            <w:bottom w:val="none" w:sz="0" w:space="0" w:color="auto"/>
            <w:right w:val="none" w:sz="0" w:space="0" w:color="auto"/>
          </w:divBdr>
        </w:div>
        <w:div w:id="1636377177">
          <w:marLeft w:val="640"/>
          <w:marRight w:val="0"/>
          <w:marTop w:val="0"/>
          <w:marBottom w:val="0"/>
          <w:divBdr>
            <w:top w:val="none" w:sz="0" w:space="0" w:color="auto"/>
            <w:left w:val="none" w:sz="0" w:space="0" w:color="auto"/>
            <w:bottom w:val="none" w:sz="0" w:space="0" w:color="auto"/>
            <w:right w:val="none" w:sz="0" w:space="0" w:color="auto"/>
          </w:divBdr>
        </w:div>
        <w:div w:id="673261986">
          <w:marLeft w:val="640"/>
          <w:marRight w:val="0"/>
          <w:marTop w:val="0"/>
          <w:marBottom w:val="0"/>
          <w:divBdr>
            <w:top w:val="none" w:sz="0" w:space="0" w:color="auto"/>
            <w:left w:val="none" w:sz="0" w:space="0" w:color="auto"/>
            <w:bottom w:val="none" w:sz="0" w:space="0" w:color="auto"/>
            <w:right w:val="none" w:sz="0" w:space="0" w:color="auto"/>
          </w:divBdr>
        </w:div>
        <w:div w:id="1104115105">
          <w:marLeft w:val="640"/>
          <w:marRight w:val="0"/>
          <w:marTop w:val="0"/>
          <w:marBottom w:val="0"/>
          <w:divBdr>
            <w:top w:val="none" w:sz="0" w:space="0" w:color="auto"/>
            <w:left w:val="none" w:sz="0" w:space="0" w:color="auto"/>
            <w:bottom w:val="none" w:sz="0" w:space="0" w:color="auto"/>
            <w:right w:val="none" w:sz="0" w:space="0" w:color="auto"/>
          </w:divBdr>
        </w:div>
        <w:div w:id="1979728516">
          <w:marLeft w:val="640"/>
          <w:marRight w:val="0"/>
          <w:marTop w:val="0"/>
          <w:marBottom w:val="0"/>
          <w:divBdr>
            <w:top w:val="none" w:sz="0" w:space="0" w:color="auto"/>
            <w:left w:val="none" w:sz="0" w:space="0" w:color="auto"/>
            <w:bottom w:val="none" w:sz="0" w:space="0" w:color="auto"/>
            <w:right w:val="none" w:sz="0" w:space="0" w:color="auto"/>
          </w:divBdr>
        </w:div>
        <w:div w:id="1539316901">
          <w:marLeft w:val="640"/>
          <w:marRight w:val="0"/>
          <w:marTop w:val="0"/>
          <w:marBottom w:val="0"/>
          <w:divBdr>
            <w:top w:val="none" w:sz="0" w:space="0" w:color="auto"/>
            <w:left w:val="none" w:sz="0" w:space="0" w:color="auto"/>
            <w:bottom w:val="none" w:sz="0" w:space="0" w:color="auto"/>
            <w:right w:val="none" w:sz="0" w:space="0" w:color="auto"/>
          </w:divBdr>
        </w:div>
        <w:div w:id="1022632449">
          <w:marLeft w:val="640"/>
          <w:marRight w:val="0"/>
          <w:marTop w:val="0"/>
          <w:marBottom w:val="0"/>
          <w:divBdr>
            <w:top w:val="none" w:sz="0" w:space="0" w:color="auto"/>
            <w:left w:val="none" w:sz="0" w:space="0" w:color="auto"/>
            <w:bottom w:val="none" w:sz="0" w:space="0" w:color="auto"/>
            <w:right w:val="none" w:sz="0" w:space="0" w:color="auto"/>
          </w:divBdr>
        </w:div>
        <w:div w:id="703795264">
          <w:marLeft w:val="640"/>
          <w:marRight w:val="0"/>
          <w:marTop w:val="0"/>
          <w:marBottom w:val="0"/>
          <w:divBdr>
            <w:top w:val="none" w:sz="0" w:space="0" w:color="auto"/>
            <w:left w:val="none" w:sz="0" w:space="0" w:color="auto"/>
            <w:bottom w:val="none" w:sz="0" w:space="0" w:color="auto"/>
            <w:right w:val="none" w:sz="0" w:space="0" w:color="auto"/>
          </w:divBdr>
        </w:div>
        <w:div w:id="1610165659">
          <w:marLeft w:val="640"/>
          <w:marRight w:val="0"/>
          <w:marTop w:val="0"/>
          <w:marBottom w:val="0"/>
          <w:divBdr>
            <w:top w:val="none" w:sz="0" w:space="0" w:color="auto"/>
            <w:left w:val="none" w:sz="0" w:space="0" w:color="auto"/>
            <w:bottom w:val="none" w:sz="0" w:space="0" w:color="auto"/>
            <w:right w:val="none" w:sz="0" w:space="0" w:color="auto"/>
          </w:divBdr>
        </w:div>
        <w:div w:id="649674804">
          <w:marLeft w:val="640"/>
          <w:marRight w:val="0"/>
          <w:marTop w:val="0"/>
          <w:marBottom w:val="0"/>
          <w:divBdr>
            <w:top w:val="none" w:sz="0" w:space="0" w:color="auto"/>
            <w:left w:val="none" w:sz="0" w:space="0" w:color="auto"/>
            <w:bottom w:val="none" w:sz="0" w:space="0" w:color="auto"/>
            <w:right w:val="none" w:sz="0" w:space="0" w:color="auto"/>
          </w:divBdr>
        </w:div>
        <w:div w:id="545065767">
          <w:marLeft w:val="640"/>
          <w:marRight w:val="0"/>
          <w:marTop w:val="0"/>
          <w:marBottom w:val="0"/>
          <w:divBdr>
            <w:top w:val="none" w:sz="0" w:space="0" w:color="auto"/>
            <w:left w:val="none" w:sz="0" w:space="0" w:color="auto"/>
            <w:bottom w:val="none" w:sz="0" w:space="0" w:color="auto"/>
            <w:right w:val="none" w:sz="0" w:space="0" w:color="auto"/>
          </w:divBdr>
        </w:div>
        <w:div w:id="716439684">
          <w:marLeft w:val="640"/>
          <w:marRight w:val="0"/>
          <w:marTop w:val="0"/>
          <w:marBottom w:val="0"/>
          <w:divBdr>
            <w:top w:val="none" w:sz="0" w:space="0" w:color="auto"/>
            <w:left w:val="none" w:sz="0" w:space="0" w:color="auto"/>
            <w:bottom w:val="none" w:sz="0" w:space="0" w:color="auto"/>
            <w:right w:val="none" w:sz="0" w:space="0" w:color="auto"/>
          </w:divBdr>
        </w:div>
        <w:div w:id="855458817">
          <w:marLeft w:val="640"/>
          <w:marRight w:val="0"/>
          <w:marTop w:val="0"/>
          <w:marBottom w:val="0"/>
          <w:divBdr>
            <w:top w:val="none" w:sz="0" w:space="0" w:color="auto"/>
            <w:left w:val="none" w:sz="0" w:space="0" w:color="auto"/>
            <w:bottom w:val="none" w:sz="0" w:space="0" w:color="auto"/>
            <w:right w:val="none" w:sz="0" w:space="0" w:color="auto"/>
          </w:divBdr>
        </w:div>
        <w:div w:id="1470854811">
          <w:marLeft w:val="640"/>
          <w:marRight w:val="0"/>
          <w:marTop w:val="0"/>
          <w:marBottom w:val="0"/>
          <w:divBdr>
            <w:top w:val="none" w:sz="0" w:space="0" w:color="auto"/>
            <w:left w:val="none" w:sz="0" w:space="0" w:color="auto"/>
            <w:bottom w:val="none" w:sz="0" w:space="0" w:color="auto"/>
            <w:right w:val="none" w:sz="0" w:space="0" w:color="auto"/>
          </w:divBdr>
        </w:div>
        <w:div w:id="1932161128">
          <w:marLeft w:val="640"/>
          <w:marRight w:val="0"/>
          <w:marTop w:val="0"/>
          <w:marBottom w:val="0"/>
          <w:divBdr>
            <w:top w:val="none" w:sz="0" w:space="0" w:color="auto"/>
            <w:left w:val="none" w:sz="0" w:space="0" w:color="auto"/>
            <w:bottom w:val="none" w:sz="0" w:space="0" w:color="auto"/>
            <w:right w:val="none" w:sz="0" w:space="0" w:color="auto"/>
          </w:divBdr>
        </w:div>
        <w:div w:id="2121298755">
          <w:marLeft w:val="640"/>
          <w:marRight w:val="0"/>
          <w:marTop w:val="0"/>
          <w:marBottom w:val="0"/>
          <w:divBdr>
            <w:top w:val="none" w:sz="0" w:space="0" w:color="auto"/>
            <w:left w:val="none" w:sz="0" w:space="0" w:color="auto"/>
            <w:bottom w:val="none" w:sz="0" w:space="0" w:color="auto"/>
            <w:right w:val="none" w:sz="0" w:space="0" w:color="auto"/>
          </w:divBdr>
        </w:div>
        <w:div w:id="441921283">
          <w:marLeft w:val="640"/>
          <w:marRight w:val="0"/>
          <w:marTop w:val="0"/>
          <w:marBottom w:val="0"/>
          <w:divBdr>
            <w:top w:val="none" w:sz="0" w:space="0" w:color="auto"/>
            <w:left w:val="none" w:sz="0" w:space="0" w:color="auto"/>
            <w:bottom w:val="none" w:sz="0" w:space="0" w:color="auto"/>
            <w:right w:val="none" w:sz="0" w:space="0" w:color="auto"/>
          </w:divBdr>
        </w:div>
        <w:div w:id="1695769183">
          <w:marLeft w:val="640"/>
          <w:marRight w:val="0"/>
          <w:marTop w:val="0"/>
          <w:marBottom w:val="0"/>
          <w:divBdr>
            <w:top w:val="none" w:sz="0" w:space="0" w:color="auto"/>
            <w:left w:val="none" w:sz="0" w:space="0" w:color="auto"/>
            <w:bottom w:val="none" w:sz="0" w:space="0" w:color="auto"/>
            <w:right w:val="none" w:sz="0" w:space="0" w:color="auto"/>
          </w:divBdr>
        </w:div>
        <w:div w:id="1416901481">
          <w:marLeft w:val="640"/>
          <w:marRight w:val="0"/>
          <w:marTop w:val="0"/>
          <w:marBottom w:val="0"/>
          <w:divBdr>
            <w:top w:val="none" w:sz="0" w:space="0" w:color="auto"/>
            <w:left w:val="none" w:sz="0" w:space="0" w:color="auto"/>
            <w:bottom w:val="none" w:sz="0" w:space="0" w:color="auto"/>
            <w:right w:val="none" w:sz="0" w:space="0" w:color="auto"/>
          </w:divBdr>
        </w:div>
        <w:div w:id="1418676199">
          <w:marLeft w:val="640"/>
          <w:marRight w:val="0"/>
          <w:marTop w:val="0"/>
          <w:marBottom w:val="0"/>
          <w:divBdr>
            <w:top w:val="none" w:sz="0" w:space="0" w:color="auto"/>
            <w:left w:val="none" w:sz="0" w:space="0" w:color="auto"/>
            <w:bottom w:val="none" w:sz="0" w:space="0" w:color="auto"/>
            <w:right w:val="none" w:sz="0" w:space="0" w:color="auto"/>
          </w:divBdr>
        </w:div>
        <w:div w:id="1181625080">
          <w:marLeft w:val="640"/>
          <w:marRight w:val="0"/>
          <w:marTop w:val="0"/>
          <w:marBottom w:val="0"/>
          <w:divBdr>
            <w:top w:val="none" w:sz="0" w:space="0" w:color="auto"/>
            <w:left w:val="none" w:sz="0" w:space="0" w:color="auto"/>
            <w:bottom w:val="none" w:sz="0" w:space="0" w:color="auto"/>
            <w:right w:val="none" w:sz="0" w:space="0" w:color="auto"/>
          </w:divBdr>
        </w:div>
        <w:div w:id="1537767152">
          <w:marLeft w:val="640"/>
          <w:marRight w:val="0"/>
          <w:marTop w:val="0"/>
          <w:marBottom w:val="0"/>
          <w:divBdr>
            <w:top w:val="none" w:sz="0" w:space="0" w:color="auto"/>
            <w:left w:val="none" w:sz="0" w:space="0" w:color="auto"/>
            <w:bottom w:val="none" w:sz="0" w:space="0" w:color="auto"/>
            <w:right w:val="none" w:sz="0" w:space="0" w:color="auto"/>
          </w:divBdr>
        </w:div>
        <w:div w:id="1045829880">
          <w:marLeft w:val="640"/>
          <w:marRight w:val="0"/>
          <w:marTop w:val="0"/>
          <w:marBottom w:val="0"/>
          <w:divBdr>
            <w:top w:val="none" w:sz="0" w:space="0" w:color="auto"/>
            <w:left w:val="none" w:sz="0" w:space="0" w:color="auto"/>
            <w:bottom w:val="none" w:sz="0" w:space="0" w:color="auto"/>
            <w:right w:val="none" w:sz="0" w:space="0" w:color="auto"/>
          </w:divBdr>
        </w:div>
        <w:div w:id="623120478">
          <w:marLeft w:val="640"/>
          <w:marRight w:val="0"/>
          <w:marTop w:val="0"/>
          <w:marBottom w:val="0"/>
          <w:divBdr>
            <w:top w:val="none" w:sz="0" w:space="0" w:color="auto"/>
            <w:left w:val="none" w:sz="0" w:space="0" w:color="auto"/>
            <w:bottom w:val="none" w:sz="0" w:space="0" w:color="auto"/>
            <w:right w:val="none" w:sz="0" w:space="0" w:color="auto"/>
          </w:divBdr>
        </w:div>
        <w:div w:id="2090232722">
          <w:marLeft w:val="640"/>
          <w:marRight w:val="0"/>
          <w:marTop w:val="0"/>
          <w:marBottom w:val="0"/>
          <w:divBdr>
            <w:top w:val="none" w:sz="0" w:space="0" w:color="auto"/>
            <w:left w:val="none" w:sz="0" w:space="0" w:color="auto"/>
            <w:bottom w:val="none" w:sz="0" w:space="0" w:color="auto"/>
            <w:right w:val="none" w:sz="0" w:space="0" w:color="auto"/>
          </w:divBdr>
        </w:div>
        <w:div w:id="1450009282">
          <w:marLeft w:val="640"/>
          <w:marRight w:val="0"/>
          <w:marTop w:val="0"/>
          <w:marBottom w:val="0"/>
          <w:divBdr>
            <w:top w:val="none" w:sz="0" w:space="0" w:color="auto"/>
            <w:left w:val="none" w:sz="0" w:space="0" w:color="auto"/>
            <w:bottom w:val="none" w:sz="0" w:space="0" w:color="auto"/>
            <w:right w:val="none" w:sz="0" w:space="0" w:color="auto"/>
          </w:divBdr>
        </w:div>
        <w:div w:id="985596253">
          <w:marLeft w:val="640"/>
          <w:marRight w:val="0"/>
          <w:marTop w:val="0"/>
          <w:marBottom w:val="0"/>
          <w:divBdr>
            <w:top w:val="none" w:sz="0" w:space="0" w:color="auto"/>
            <w:left w:val="none" w:sz="0" w:space="0" w:color="auto"/>
            <w:bottom w:val="none" w:sz="0" w:space="0" w:color="auto"/>
            <w:right w:val="none" w:sz="0" w:space="0" w:color="auto"/>
          </w:divBdr>
        </w:div>
        <w:div w:id="905606243">
          <w:marLeft w:val="640"/>
          <w:marRight w:val="0"/>
          <w:marTop w:val="0"/>
          <w:marBottom w:val="0"/>
          <w:divBdr>
            <w:top w:val="none" w:sz="0" w:space="0" w:color="auto"/>
            <w:left w:val="none" w:sz="0" w:space="0" w:color="auto"/>
            <w:bottom w:val="none" w:sz="0" w:space="0" w:color="auto"/>
            <w:right w:val="none" w:sz="0" w:space="0" w:color="auto"/>
          </w:divBdr>
        </w:div>
        <w:div w:id="130906032">
          <w:marLeft w:val="640"/>
          <w:marRight w:val="0"/>
          <w:marTop w:val="0"/>
          <w:marBottom w:val="0"/>
          <w:divBdr>
            <w:top w:val="none" w:sz="0" w:space="0" w:color="auto"/>
            <w:left w:val="none" w:sz="0" w:space="0" w:color="auto"/>
            <w:bottom w:val="none" w:sz="0" w:space="0" w:color="auto"/>
            <w:right w:val="none" w:sz="0" w:space="0" w:color="auto"/>
          </w:divBdr>
        </w:div>
        <w:div w:id="689142999">
          <w:marLeft w:val="640"/>
          <w:marRight w:val="0"/>
          <w:marTop w:val="0"/>
          <w:marBottom w:val="0"/>
          <w:divBdr>
            <w:top w:val="none" w:sz="0" w:space="0" w:color="auto"/>
            <w:left w:val="none" w:sz="0" w:space="0" w:color="auto"/>
            <w:bottom w:val="none" w:sz="0" w:space="0" w:color="auto"/>
            <w:right w:val="none" w:sz="0" w:space="0" w:color="auto"/>
          </w:divBdr>
        </w:div>
        <w:div w:id="2077511705">
          <w:marLeft w:val="640"/>
          <w:marRight w:val="0"/>
          <w:marTop w:val="0"/>
          <w:marBottom w:val="0"/>
          <w:divBdr>
            <w:top w:val="none" w:sz="0" w:space="0" w:color="auto"/>
            <w:left w:val="none" w:sz="0" w:space="0" w:color="auto"/>
            <w:bottom w:val="none" w:sz="0" w:space="0" w:color="auto"/>
            <w:right w:val="none" w:sz="0" w:space="0" w:color="auto"/>
          </w:divBdr>
        </w:div>
        <w:div w:id="1010179033">
          <w:marLeft w:val="640"/>
          <w:marRight w:val="0"/>
          <w:marTop w:val="0"/>
          <w:marBottom w:val="0"/>
          <w:divBdr>
            <w:top w:val="none" w:sz="0" w:space="0" w:color="auto"/>
            <w:left w:val="none" w:sz="0" w:space="0" w:color="auto"/>
            <w:bottom w:val="none" w:sz="0" w:space="0" w:color="auto"/>
            <w:right w:val="none" w:sz="0" w:space="0" w:color="auto"/>
          </w:divBdr>
        </w:div>
        <w:div w:id="564216945">
          <w:marLeft w:val="640"/>
          <w:marRight w:val="0"/>
          <w:marTop w:val="0"/>
          <w:marBottom w:val="0"/>
          <w:divBdr>
            <w:top w:val="none" w:sz="0" w:space="0" w:color="auto"/>
            <w:left w:val="none" w:sz="0" w:space="0" w:color="auto"/>
            <w:bottom w:val="none" w:sz="0" w:space="0" w:color="auto"/>
            <w:right w:val="none" w:sz="0" w:space="0" w:color="auto"/>
          </w:divBdr>
        </w:div>
        <w:div w:id="916355419">
          <w:marLeft w:val="640"/>
          <w:marRight w:val="0"/>
          <w:marTop w:val="0"/>
          <w:marBottom w:val="0"/>
          <w:divBdr>
            <w:top w:val="none" w:sz="0" w:space="0" w:color="auto"/>
            <w:left w:val="none" w:sz="0" w:space="0" w:color="auto"/>
            <w:bottom w:val="none" w:sz="0" w:space="0" w:color="auto"/>
            <w:right w:val="none" w:sz="0" w:space="0" w:color="auto"/>
          </w:divBdr>
        </w:div>
        <w:div w:id="313486842">
          <w:marLeft w:val="640"/>
          <w:marRight w:val="0"/>
          <w:marTop w:val="0"/>
          <w:marBottom w:val="0"/>
          <w:divBdr>
            <w:top w:val="none" w:sz="0" w:space="0" w:color="auto"/>
            <w:left w:val="none" w:sz="0" w:space="0" w:color="auto"/>
            <w:bottom w:val="none" w:sz="0" w:space="0" w:color="auto"/>
            <w:right w:val="none" w:sz="0" w:space="0" w:color="auto"/>
          </w:divBdr>
        </w:div>
        <w:div w:id="1700275673">
          <w:marLeft w:val="640"/>
          <w:marRight w:val="0"/>
          <w:marTop w:val="0"/>
          <w:marBottom w:val="0"/>
          <w:divBdr>
            <w:top w:val="none" w:sz="0" w:space="0" w:color="auto"/>
            <w:left w:val="none" w:sz="0" w:space="0" w:color="auto"/>
            <w:bottom w:val="none" w:sz="0" w:space="0" w:color="auto"/>
            <w:right w:val="none" w:sz="0" w:space="0" w:color="auto"/>
          </w:divBdr>
        </w:div>
        <w:div w:id="1208105188">
          <w:marLeft w:val="640"/>
          <w:marRight w:val="0"/>
          <w:marTop w:val="0"/>
          <w:marBottom w:val="0"/>
          <w:divBdr>
            <w:top w:val="none" w:sz="0" w:space="0" w:color="auto"/>
            <w:left w:val="none" w:sz="0" w:space="0" w:color="auto"/>
            <w:bottom w:val="none" w:sz="0" w:space="0" w:color="auto"/>
            <w:right w:val="none" w:sz="0" w:space="0" w:color="auto"/>
          </w:divBdr>
        </w:div>
        <w:div w:id="547454444">
          <w:marLeft w:val="640"/>
          <w:marRight w:val="0"/>
          <w:marTop w:val="0"/>
          <w:marBottom w:val="0"/>
          <w:divBdr>
            <w:top w:val="none" w:sz="0" w:space="0" w:color="auto"/>
            <w:left w:val="none" w:sz="0" w:space="0" w:color="auto"/>
            <w:bottom w:val="none" w:sz="0" w:space="0" w:color="auto"/>
            <w:right w:val="none" w:sz="0" w:space="0" w:color="auto"/>
          </w:divBdr>
        </w:div>
        <w:div w:id="622154664">
          <w:marLeft w:val="640"/>
          <w:marRight w:val="0"/>
          <w:marTop w:val="0"/>
          <w:marBottom w:val="0"/>
          <w:divBdr>
            <w:top w:val="none" w:sz="0" w:space="0" w:color="auto"/>
            <w:left w:val="none" w:sz="0" w:space="0" w:color="auto"/>
            <w:bottom w:val="none" w:sz="0" w:space="0" w:color="auto"/>
            <w:right w:val="none" w:sz="0" w:space="0" w:color="auto"/>
          </w:divBdr>
        </w:div>
        <w:div w:id="1071467409">
          <w:marLeft w:val="640"/>
          <w:marRight w:val="0"/>
          <w:marTop w:val="0"/>
          <w:marBottom w:val="0"/>
          <w:divBdr>
            <w:top w:val="none" w:sz="0" w:space="0" w:color="auto"/>
            <w:left w:val="none" w:sz="0" w:space="0" w:color="auto"/>
            <w:bottom w:val="none" w:sz="0" w:space="0" w:color="auto"/>
            <w:right w:val="none" w:sz="0" w:space="0" w:color="auto"/>
          </w:divBdr>
        </w:div>
        <w:div w:id="1543177083">
          <w:marLeft w:val="640"/>
          <w:marRight w:val="0"/>
          <w:marTop w:val="0"/>
          <w:marBottom w:val="0"/>
          <w:divBdr>
            <w:top w:val="none" w:sz="0" w:space="0" w:color="auto"/>
            <w:left w:val="none" w:sz="0" w:space="0" w:color="auto"/>
            <w:bottom w:val="none" w:sz="0" w:space="0" w:color="auto"/>
            <w:right w:val="none" w:sz="0" w:space="0" w:color="auto"/>
          </w:divBdr>
        </w:div>
        <w:div w:id="2087073650">
          <w:marLeft w:val="640"/>
          <w:marRight w:val="0"/>
          <w:marTop w:val="0"/>
          <w:marBottom w:val="0"/>
          <w:divBdr>
            <w:top w:val="none" w:sz="0" w:space="0" w:color="auto"/>
            <w:left w:val="none" w:sz="0" w:space="0" w:color="auto"/>
            <w:bottom w:val="none" w:sz="0" w:space="0" w:color="auto"/>
            <w:right w:val="none" w:sz="0" w:space="0" w:color="auto"/>
          </w:divBdr>
        </w:div>
        <w:div w:id="2117166473">
          <w:marLeft w:val="640"/>
          <w:marRight w:val="0"/>
          <w:marTop w:val="0"/>
          <w:marBottom w:val="0"/>
          <w:divBdr>
            <w:top w:val="none" w:sz="0" w:space="0" w:color="auto"/>
            <w:left w:val="none" w:sz="0" w:space="0" w:color="auto"/>
            <w:bottom w:val="none" w:sz="0" w:space="0" w:color="auto"/>
            <w:right w:val="none" w:sz="0" w:space="0" w:color="auto"/>
          </w:divBdr>
        </w:div>
        <w:div w:id="924725985">
          <w:marLeft w:val="640"/>
          <w:marRight w:val="0"/>
          <w:marTop w:val="0"/>
          <w:marBottom w:val="0"/>
          <w:divBdr>
            <w:top w:val="none" w:sz="0" w:space="0" w:color="auto"/>
            <w:left w:val="none" w:sz="0" w:space="0" w:color="auto"/>
            <w:bottom w:val="none" w:sz="0" w:space="0" w:color="auto"/>
            <w:right w:val="none" w:sz="0" w:space="0" w:color="auto"/>
          </w:divBdr>
        </w:div>
        <w:div w:id="1473594423">
          <w:marLeft w:val="640"/>
          <w:marRight w:val="0"/>
          <w:marTop w:val="0"/>
          <w:marBottom w:val="0"/>
          <w:divBdr>
            <w:top w:val="none" w:sz="0" w:space="0" w:color="auto"/>
            <w:left w:val="none" w:sz="0" w:space="0" w:color="auto"/>
            <w:bottom w:val="none" w:sz="0" w:space="0" w:color="auto"/>
            <w:right w:val="none" w:sz="0" w:space="0" w:color="auto"/>
          </w:divBdr>
        </w:div>
        <w:div w:id="226889896">
          <w:marLeft w:val="640"/>
          <w:marRight w:val="0"/>
          <w:marTop w:val="0"/>
          <w:marBottom w:val="0"/>
          <w:divBdr>
            <w:top w:val="none" w:sz="0" w:space="0" w:color="auto"/>
            <w:left w:val="none" w:sz="0" w:space="0" w:color="auto"/>
            <w:bottom w:val="none" w:sz="0" w:space="0" w:color="auto"/>
            <w:right w:val="none" w:sz="0" w:space="0" w:color="auto"/>
          </w:divBdr>
        </w:div>
        <w:div w:id="819881256">
          <w:marLeft w:val="640"/>
          <w:marRight w:val="0"/>
          <w:marTop w:val="0"/>
          <w:marBottom w:val="0"/>
          <w:divBdr>
            <w:top w:val="none" w:sz="0" w:space="0" w:color="auto"/>
            <w:left w:val="none" w:sz="0" w:space="0" w:color="auto"/>
            <w:bottom w:val="none" w:sz="0" w:space="0" w:color="auto"/>
            <w:right w:val="none" w:sz="0" w:space="0" w:color="auto"/>
          </w:divBdr>
        </w:div>
        <w:div w:id="2146502106">
          <w:marLeft w:val="640"/>
          <w:marRight w:val="0"/>
          <w:marTop w:val="0"/>
          <w:marBottom w:val="0"/>
          <w:divBdr>
            <w:top w:val="none" w:sz="0" w:space="0" w:color="auto"/>
            <w:left w:val="none" w:sz="0" w:space="0" w:color="auto"/>
            <w:bottom w:val="none" w:sz="0" w:space="0" w:color="auto"/>
            <w:right w:val="none" w:sz="0" w:space="0" w:color="auto"/>
          </w:divBdr>
        </w:div>
        <w:div w:id="1482428947">
          <w:marLeft w:val="640"/>
          <w:marRight w:val="0"/>
          <w:marTop w:val="0"/>
          <w:marBottom w:val="0"/>
          <w:divBdr>
            <w:top w:val="none" w:sz="0" w:space="0" w:color="auto"/>
            <w:left w:val="none" w:sz="0" w:space="0" w:color="auto"/>
            <w:bottom w:val="none" w:sz="0" w:space="0" w:color="auto"/>
            <w:right w:val="none" w:sz="0" w:space="0" w:color="auto"/>
          </w:divBdr>
        </w:div>
        <w:div w:id="220795525">
          <w:marLeft w:val="640"/>
          <w:marRight w:val="0"/>
          <w:marTop w:val="0"/>
          <w:marBottom w:val="0"/>
          <w:divBdr>
            <w:top w:val="none" w:sz="0" w:space="0" w:color="auto"/>
            <w:left w:val="none" w:sz="0" w:space="0" w:color="auto"/>
            <w:bottom w:val="none" w:sz="0" w:space="0" w:color="auto"/>
            <w:right w:val="none" w:sz="0" w:space="0" w:color="auto"/>
          </w:divBdr>
        </w:div>
        <w:div w:id="172308381">
          <w:marLeft w:val="640"/>
          <w:marRight w:val="0"/>
          <w:marTop w:val="0"/>
          <w:marBottom w:val="0"/>
          <w:divBdr>
            <w:top w:val="none" w:sz="0" w:space="0" w:color="auto"/>
            <w:left w:val="none" w:sz="0" w:space="0" w:color="auto"/>
            <w:bottom w:val="none" w:sz="0" w:space="0" w:color="auto"/>
            <w:right w:val="none" w:sz="0" w:space="0" w:color="auto"/>
          </w:divBdr>
        </w:div>
        <w:div w:id="63335887">
          <w:marLeft w:val="640"/>
          <w:marRight w:val="0"/>
          <w:marTop w:val="0"/>
          <w:marBottom w:val="0"/>
          <w:divBdr>
            <w:top w:val="none" w:sz="0" w:space="0" w:color="auto"/>
            <w:left w:val="none" w:sz="0" w:space="0" w:color="auto"/>
            <w:bottom w:val="none" w:sz="0" w:space="0" w:color="auto"/>
            <w:right w:val="none" w:sz="0" w:space="0" w:color="auto"/>
          </w:divBdr>
        </w:div>
        <w:div w:id="1445921325">
          <w:marLeft w:val="640"/>
          <w:marRight w:val="0"/>
          <w:marTop w:val="0"/>
          <w:marBottom w:val="0"/>
          <w:divBdr>
            <w:top w:val="none" w:sz="0" w:space="0" w:color="auto"/>
            <w:left w:val="none" w:sz="0" w:space="0" w:color="auto"/>
            <w:bottom w:val="none" w:sz="0" w:space="0" w:color="auto"/>
            <w:right w:val="none" w:sz="0" w:space="0" w:color="auto"/>
          </w:divBdr>
        </w:div>
        <w:div w:id="1693218238">
          <w:marLeft w:val="640"/>
          <w:marRight w:val="0"/>
          <w:marTop w:val="0"/>
          <w:marBottom w:val="0"/>
          <w:divBdr>
            <w:top w:val="none" w:sz="0" w:space="0" w:color="auto"/>
            <w:left w:val="none" w:sz="0" w:space="0" w:color="auto"/>
            <w:bottom w:val="none" w:sz="0" w:space="0" w:color="auto"/>
            <w:right w:val="none" w:sz="0" w:space="0" w:color="auto"/>
          </w:divBdr>
        </w:div>
        <w:div w:id="208609815">
          <w:marLeft w:val="640"/>
          <w:marRight w:val="0"/>
          <w:marTop w:val="0"/>
          <w:marBottom w:val="0"/>
          <w:divBdr>
            <w:top w:val="none" w:sz="0" w:space="0" w:color="auto"/>
            <w:left w:val="none" w:sz="0" w:space="0" w:color="auto"/>
            <w:bottom w:val="none" w:sz="0" w:space="0" w:color="auto"/>
            <w:right w:val="none" w:sz="0" w:space="0" w:color="auto"/>
          </w:divBdr>
        </w:div>
        <w:div w:id="929432221">
          <w:marLeft w:val="640"/>
          <w:marRight w:val="0"/>
          <w:marTop w:val="0"/>
          <w:marBottom w:val="0"/>
          <w:divBdr>
            <w:top w:val="none" w:sz="0" w:space="0" w:color="auto"/>
            <w:left w:val="none" w:sz="0" w:space="0" w:color="auto"/>
            <w:bottom w:val="none" w:sz="0" w:space="0" w:color="auto"/>
            <w:right w:val="none" w:sz="0" w:space="0" w:color="auto"/>
          </w:divBdr>
        </w:div>
        <w:div w:id="1755011815">
          <w:marLeft w:val="640"/>
          <w:marRight w:val="0"/>
          <w:marTop w:val="0"/>
          <w:marBottom w:val="0"/>
          <w:divBdr>
            <w:top w:val="none" w:sz="0" w:space="0" w:color="auto"/>
            <w:left w:val="none" w:sz="0" w:space="0" w:color="auto"/>
            <w:bottom w:val="none" w:sz="0" w:space="0" w:color="auto"/>
            <w:right w:val="none" w:sz="0" w:space="0" w:color="auto"/>
          </w:divBdr>
        </w:div>
        <w:div w:id="1396971053">
          <w:marLeft w:val="640"/>
          <w:marRight w:val="0"/>
          <w:marTop w:val="0"/>
          <w:marBottom w:val="0"/>
          <w:divBdr>
            <w:top w:val="none" w:sz="0" w:space="0" w:color="auto"/>
            <w:left w:val="none" w:sz="0" w:space="0" w:color="auto"/>
            <w:bottom w:val="none" w:sz="0" w:space="0" w:color="auto"/>
            <w:right w:val="none" w:sz="0" w:space="0" w:color="auto"/>
          </w:divBdr>
        </w:div>
        <w:div w:id="657878447">
          <w:marLeft w:val="640"/>
          <w:marRight w:val="0"/>
          <w:marTop w:val="0"/>
          <w:marBottom w:val="0"/>
          <w:divBdr>
            <w:top w:val="none" w:sz="0" w:space="0" w:color="auto"/>
            <w:left w:val="none" w:sz="0" w:space="0" w:color="auto"/>
            <w:bottom w:val="none" w:sz="0" w:space="0" w:color="auto"/>
            <w:right w:val="none" w:sz="0" w:space="0" w:color="auto"/>
          </w:divBdr>
        </w:div>
        <w:div w:id="1508209002">
          <w:marLeft w:val="640"/>
          <w:marRight w:val="0"/>
          <w:marTop w:val="0"/>
          <w:marBottom w:val="0"/>
          <w:divBdr>
            <w:top w:val="none" w:sz="0" w:space="0" w:color="auto"/>
            <w:left w:val="none" w:sz="0" w:space="0" w:color="auto"/>
            <w:bottom w:val="none" w:sz="0" w:space="0" w:color="auto"/>
            <w:right w:val="none" w:sz="0" w:space="0" w:color="auto"/>
          </w:divBdr>
        </w:div>
        <w:div w:id="422917446">
          <w:marLeft w:val="640"/>
          <w:marRight w:val="0"/>
          <w:marTop w:val="0"/>
          <w:marBottom w:val="0"/>
          <w:divBdr>
            <w:top w:val="none" w:sz="0" w:space="0" w:color="auto"/>
            <w:left w:val="none" w:sz="0" w:space="0" w:color="auto"/>
            <w:bottom w:val="none" w:sz="0" w:space="0" w:color="auto"/>
            <w:right w:val="none" w:sz="0" w:space="0" w:color="auto"/>
          </w:divBdr>
        </w:div>
        <w:div w:id="332798928">
          <w:marLeft w:val="640"/>
          <w:marRight w:val="0"/>
          <w:marTop w:val="0"/>
          <w:marBottom w:val="0"/>
          <w:divBdr>
            <w:top w:val="none" w:sz="0" w:space="0" w:color="auto"/>
            <w:left w:val="none" w:sz="0" w:space="0" w:color="auto"/>
            <w:bottom w:val="none" w:sz="0" w:space="0" w:color="auto"/>
            <w:right w:val="none" w:sz="0" w:space="0" w:color="auto"/>
          </w:divBdr>
        </w:div>
        <w:div w:id="43188650">
          <w:marLeft w:val="640"/>
          <w:marRight w:val="0"/>
          <w:marTop w:val="0"/>
          <w:marBottom w:val="0"/>
          <w:divBdr>
            <w:top w:val="none" w:sz="0" w:space="0" w:color="auto"/>
            <w:left w:val="none" w:sz="0" w:space="0" w:color="auto"/>
            <w:bottom w:val="none" w:sz="0" w:space="0" w:color="auto"/>
            <w:right w:val="none" w:sz="0" w:space="0" w:color="auto"/>
          </w:divBdr>
        </w:div>
        <w:div w:id="398018168">
          <w:marLeft w:val="640"/>
          <w:marRight w:val="0"/>
          <w:marTop w:val="0"/>
          <w:marBottom w:val="0"/>
          <w:divBdr>
            <w:top w:val="none" w:sz="0" w:space="0" w:color="auto"/>
            <w:left w:val="none" w:sz="0" w:space="0" w:color="auto"/>
            <w:bottom w:val="none" w:sz="0" w:space="0" w:color="auto"/>
            <w:right w:val="none" w:sz="0" w:space="0" w:color="auto"/>
          </w:divBdr>
        </w:div>
        <w:div w:id="1594512302">
          <w:marLeft w:val="640"/>
          <w:marRight w:val="0"/>
          <w:marTop w:val="0"/>
          <w:marBottom w:val="0"/>
          <w:divBdr>
            <w:top w:val="none" w:sz="0" w:space="0" w:color="auto"/>
            <w:left w:val="none" w:sz="0" w:space="0" w:color="auto"/>
            <w:bottom w:val="none" w:sz="0" w:space="0" w:color="auto"/>
            <w:right w:val="none" w:sz="0" w:space="0" w:color="auto"/>
          </w:divBdr>
        </w:div>
        <w:div w:id="1503083996">
          <w:marLeft w:val="640"/>
          <w:marRight w:val="0"/>
          <w:marTop w:val="0"/>
          <w:marBottom w:val="0"/>
          <w:divBdr>
            <w:top w:val="none" w:sz="0" w:space="0" w:color="auto"/>
            <w:left w:val="none" w:sz="0" w:space="0" w:color="auto"/>
            <w:bottom w:val="none" w:sz="0" w:space="0" w:color="auto"/>
            <w:right w:val="none" w:sz="0" w:space="0" w:color="auto"/>
          </w:divBdr>
        </w:div>
        <w:div w:id="873808800">
          <w:marLeft w:val="640"/>
          <w:marRight w:val="0"/>
          <w:marTop w:val="0"/>
          <w:marBottom w:val="0"/>
          <w:divBdr>
            <w:top w:val="none" w:sz="0" w:space="0" w:color="auto"/>
            <w:left w:val="none" w:sz="0" w:space="0" w:color="auto"/>
            <w:bottom w:val="none" w:sz="0" w:space="0" w:color="auto"/>
            <w:right w:val="none" w:sz="0" w:space="0" w:color="auto"/>
          </w:divBdr>
        </w:div>
        <w:div w:id="35279683">
          <w:marLeft w:val="640"/>
          <w:marRight w:val="0"/>
          <w:marTop w:val="0"/>
          <w:marBottom w:val="0"/>
          <w:divBdr>
            <w:top w:val="none" w:sz="0" w:space="0" w:color="auto"/>
            <w:left w:val="none" w:sz="0" w:space="0" w:color="auto"/>
            <w:bottom w:val="none" w:sz="0" w:space="0" w:color="auto"/>
            <w:right w:val="none" w:sz="0" w:space="0" w:color="auto"/>
          </w:divBdr>
        </w:div>
        <w:div w:id="1169103035">
          <w:marLeft w:val="640"/>
          <w:marRight w:val="0"/>
          <w:marTop w:val="0"/>
          <w:marBottom w:val="0"/>
          <w:divBdr>
            <w:top w:val="none" w:sz="0" w:space="0" w:color="auto"/>
            <w:left w:val="none" w:sz="0" w:space="0" w:color="auto"/>
            <w:bottom w:val="none" w:sz="0" w:space="0" w:color="auto"/>
            <w:right w:val="none" w:sz="0" w:space="0" w:color="auto"/>
          </w:divBdr>
        </w:div>
        <w:div w:id="1371151193">
          <w:marLeft w:val="640"/>
          <w:marRight w:val="0"/>
          <w:marTop w:val="0"/>
          <w:marBottom w:val="0"/>
          <w:divBdr>
            <w:top w:val="none" w:sz="0" w:space="0" w:color="auto"/>
            <w:left w:val="none" w:sz="0" w:space="0" w:color="auto"/>
            <w:bottom w:val="none" w:sz="0" w:space="0" w:color="auto"/>
            <w:right w:val="none" w:sz="0" w:space="0" w:color="auto"/>
          </w:divBdr>
        </w:div>
        <w:div w:id="1978948278">
          <w:marLeft w:val="640"/>
          <w:marRight w:val="0"/>
          <w:marTop w:val="0"/>
          <w:marBottom w:val="0"/>
          <w:divBdr>
            <w:top w:val="none" w:sz="0" w:space="0" w:color="auto"/>
            <w:left w:val="none" w:sz="0" w:space="0" w:color="auto"/>
            <w:bottom w:val="none" w:sz="0" w:space="0" w:color="auto"/>
            <w:right w:val="none" w:sz="0" w:space="0" w:color="auto"/>
          </w:divBdr>
        </w:div>
        <w:div w:id="1311977878">
          <w:marLeft w:val="640"/>
          <w:marRight w:val="0"/>
          <w:marTop w:val="0"/>
          <w:marBottom w:val="0"/>
          <w:divBdr>
            <w:top w:val="none" w:sz="0" w:space="0" w:color="auto"/>
            <w:left w:val="none" w:sz="0" w:space="0" w:color="auto"/>
            <w:bottom w:val="none" w:sz="0" w:space="0" w:color="auto"/>
            <w:right w:val="none" w:sz="0" w:space="0" w:color="auto"/>
          </w:divBdr>
        </w:div>
        <w:div w:id="1716654557">
          <w:marLeft w:val="640"/>
          <w:marRight w:val="0"/>
          <w:marTop w:val="0"/>
          <w:marBottom w:val="0"/>
          <w:divBdr>
            <w:top w:val="none" w:sz="0" w:space="0" w:color="auto"/>
            <w:left w:val="none" w:sz="0" w:space="0" w:color="auto"/>
            <w:bottom w:val="none" w:sz="0" w:space="0" w:color="auto"/>
            <w:right w:val="none" w:sz="0" w:space="0" w:color="auto"/>
          </w:divBdr>
        </w:div>
        <w:div w:id="529730386">
          <w:marLeft w:val="640"/>
          <w:marRight w:val="0"/>
          <w:marTop w:val="0"/>
          <w:marBottom w:val="0"/>
          <w:divBdr>
            <w:top w:val="none" w:sz="0" w:space="0" w:color="auto"/>
            <w:left w:val="none" w:sz="0" w:space="0" w:color="auto"/>
            <w:bottom w:val="none" w:sz="0" w:space="0" w:color="auto"/>
            <w:right w:val="none" w:sz="0" w:space="0" w:color="auto"/>
          </w:divBdr>
        </w:div>
        <w:div w:id="317660434">
          <w:marLeft w:val="640"/>
          <w:marRight w:val="0"/>
          <w:marTop w:val="0"/>
          <w:marBottom w:val="0"/>
          <w:divBdr>
            <w:top w:val="none" w:sz="0" w:space="0" w:color="auto"/>
            <w:left w:val="none" w:sz="0" w:space="0" w:color="auto"/>
            <w:bottom w:val="none" w:sz="0" w:space="0" w:color="auto"/>
            <w:right w:val="none" w:sz="0" w:space="0" w:color="auto"/>
          </w:divBdr>
        </w:div>
        <w:div w:id="358166900">
          <w:marLeft w:val="640"/>
          <w:marRight w:val="0"/>
          <w:marTop w:val="0"/>
          <w:marBottom w:val="0"/>
          <w:divBdr>
            <w:top w:val="none" w:sz="0" w:space="0" w:color="auto"/>
            <w:left w:val="none" w:sz="0" w:space="0" w:color="auto"/>
            <w:bottom w:val="none" w:sz="0" w:space="0" w:color="auto"/>
            <w:right w:val="none" w:sz="0" w:space="0" w:color="auto"/>
          </w:divBdr>
        </w:div>
        <w:div w:id="1138114155">
          <w:marLeft w:val="640"/>
          <w:marRight w:val="0"/>
          <w:marTop w:val="0"/>
          <w:marBottom w:val="0"/>
          <w:divBdr>
            <w:top w:val="none" w:sz="0" w:space="0" w:color="auto"/>
            <w:left w:val="none" w:sz="0" w:space="0" w:color="auto"/>
            <w:bottom w:val="none" w:sz="0" w:space="0" w:color="auto"/>
            <w:right w:val="none" w:sz="0" w:space="0" w:color="auto"/>
          </w:divBdr>
        </w:div>
        <w:div w:id="959721791">
          <w:marLeft w:val="640"/>
          <w:marRight w:val="0"/>
          <w:marTop w:val="0"/>
          <w:marBottom w:val="0"/>
          <w:divBdr>
            <w:top w:val="none" w:sz="0" w:space="0" w:color="auto"/>
            <w:left w:val="none" w:sz="0" w:space="0" w:color="auto"/>
            <w:bottom w:val="none" w:sz="0" w:space="0" w:color="auto"/>
            <w:right w:val="none" w:sz="0" w:space="0" w:color="auto"/>
          </w:divBdr>
        </w:div>
        <w:div w:id="176040524">
          <w:marLeft w:val="640"/>
          <w:marRight w:val="0"/>
          <w:marTop w:val="0"/>
          <w:marBottom w:val="0"/>
          <w:divBdr>
            <w:top w:val="none" w:sz="0" w:space="0" w:color="auto"/>
            <w:left w:val="none" w:sz="0" w:space="0" w:color="auto"/>
            <w:bottom w:val="none" w:sz="0" w:space="0" w:color="auto"/>
            <w:right w:val="none" w:sz="0" w:space="0" w:color="auto"/>
          </w:divBdr>
        </w:div>
        <w:div w:id="1072779475">
          <w:marLeft w:val="640"/>
          <w:marRight w:val="0"/>
          <w:marTop w:val="0"/>
          <w:marBottom w:val="0"/>
          <w:divBdr>
            <w:top w:val="none" w:sz="0" w:space="0" w:color="auto"/>
            <w:left w:val="none" w:sz="0" w:space="0" w:color="auto"/>
            <w:bottom w:val="none" w:sz="0" w:space="0" w:color="auto"/>
            <w:right w:val="none" w:sz="0" w:space="0" w:color="auto"/>
          </w:divBdr>
        </w:div>
        <w:div w:id="1918711254">
          <w:marLeft w:val="640"/>
          <w:marRight w:val="0"/>
          <w:marTop w:val="0"/>
          <w:marBottom w:val="0"/>
          <w:divBdr>
            <w:top w:val="none" w:sz="0" w:space="0" w:color="auto"/>
            <w:left w:val="none" w:sz="0" w:space="0" w:color="auto"/>
            <w:bottom w:val="none" w:sz="0" w:space="0" w:color="auto"/>
            <w:right w:val="none" w:sz="0" w:space="0" w:color="auto"/>
          </w:divBdr>
        </w:div>
        <w:div w:id="782262693">
          <w:marLeft w:val="640"/>
          <w:marRight w:val="0"/>
          <w:marTop w:val="0"/>
          <w:marBottom w:val="0"/>
          <w:divBdr>
            <w:top w:val="none" w:sz="0" w:space="0" w:color="auto"/>
            <w:left w:val="none" w:sz="0" w:space="0" w:color="auto"/>
            <w:bottom w:val="none" w:sz="0" w:space="0" w:color="auto"/>
            <w:right w:val="none" w:sz="0" w:space="0" w:color="auto"/>
          </w:divBdr>
        </w:div>
        <w:div w:id="884100404">
          <w:marLeft w:val="640"/>
          <w:marRight w:val="0"/>
          <w:marTop w:val="0"/>
          <w:marBottom w:val="0"/>
          <w:divBdr>
            <w:top w:val="none" w:sz="0" w:space="0" w:color="auto"/>
            <w:left w:val="none" w:sz="0" w:space="0" w:color="auto"/>
            <w:bottom w:val="none" w:sz="0" w:space="0" w:color="auto"/>
            <w:right w:val="none" w:sz="0" w:space="0" w:color="auto"/>
          </w:divBdr>
        </w:div>
        <w:div w:id="441655479">
          <w:marLeft w:val="640"/>
          <w:marRight w:val="0"/>
          <w:marTop w:val="0"/>
          <w:marBottom w:val="0"/>
          <w:divBdr>
            <w:top w:val="none" w:sz="0" w:space="0" w:color="auto"/>
            <w:left w:val="none" w:sz="0" w:space="0" w:color="auto"/>
            <w:bottom w:val="none" w:sz="0" w:space="0" w:color="auto"/>
            <w:right w:val="none" w:sz="0" w:space="0" w:color="auto"/>
          </w:divBdr>
        </w:div>
        <w:div w:id="418722035">
          <w:marLeft w:val="640"/>
          <w:marRight w:val="0"/>
          <w:marTop w:val="0"/>
          <w:marBottom w:val="0"/>
          <w:divBdr>
            <w:top w:val="none" w:sz="0" w:space="0" w:color="auto"/>
            <w:left w:val="none" w:sz="0" w:space="0" w:color="auto"/>
            <w:bottom w:val="none" w:sz="0" w:space="0" w:color="auto"/>
            <w:right w:val="none" w:sz="0" w:space="0" w:color="auto"/>
          </w:divBdr>
        </w:div>
        <w:div w:id="1510370494">
          <w:marLeft w:val="640"/>
          <w:marRight w:val="0"/>
          <w:marTop w:val="0"/>
          <w:marBottom w:val="0"/>
          <w:divBdr>
            <w:top w:val="none" w:sz="0" w:space="0" w:color="auto"/>
            <w:left w:val="none" w:sz="0" w:space="0" w:color="auto"/>
            <w:bottom w:val="none" w:sz="0" w:space="0" w:color="auto"/>
            <w:right w:val="none" w:sz="0" w:space="0" w:color="auto"/>
          </w:divBdr>
        </w:div>
        <w:div w:id="1395465224">
          <w:marLeft w:val="640"/>
          <w:marRight w:val="0"/>
          <w:marTop w:val="0"/>
          <w:marBottom w:val="0"/>
          <w:divBdr>
            <w:top w:val="none" w:sz="0" w:space="0" w:color="auto"/>
            <w:left w:val="none" w:sz="0" w:space="0" w:color="auto"/>
            <w:bottom w:val="none" w:sz="0" w:space="0" w:color="auto"/>
            <w:right w:val="none" w:sz="0" w:space="0" w:color="auto"/>
          </w:divBdr>
        </w:div>
        <w:div w:id="2130736121">
          <w:marLeft w:val="640"/>
          <w:marRight w:val="0"/>
          <w:marTop w:val="0"/>
          <w:marBottom w:val="0"/>
          <w:divBdr>
            <w:top w:val="none" w:sz="0" w:space="0" w:color="auto"/>
            <w:left w:val="none" w:sz="0" w:space="0" w:color="auto"/>
            <w:bottom w:val="none" w:sz="0" w:space="0" w:color="auto"/>
            <w:right w:val="none" w:sz="0" w:space="0" w:color="auto"/>
          </w:divBdr>
        </w:div>
        <w:div w:id="1200892322">
          <w:marLeft w:val="640"/>
          <w:marRight w:val="0"/>
          <w:marTop w:val="0"/>
          <w:marBottom w:val="0"/>
          <w:divBdr>
            <w:top w:val="none" w:sz="0" w:space="0" w:color="auto"/>
            <w:left w:val="none" w:sz="0" w:space="0" w:color="auto"/>
            <w:bottom w:val="none" w:sz="0" w:space="0" w:color="auto"/>
            <w:right w:val="none" w:sz="0" w:space="0" w:color="auto"/>
          </w:divBdr>
        </w:div>
        <w:div w:id="917057304">
          <w:marLeft w:val="640"/>
          <w:marRight w:val="0"/>
          <w:marTop w:val="0"/>
          <w:marBottom w:val="0"/>
          <w:divBdr>
            <w:top w:val="none" w:sz="0" w:space="0" w:color="auto"/>
            <w:left w:val="none" w:sz="0" w:space="0" w:color="auto"/>
            <w:bottom w:val="none" w:sz="0" w:space="0" w:color="auto"/>
            <w:right w:val="none" w:sz="0" w:space="0" w:color="auto"/>
          </w:divBdr>
        </w:div>
        <w:div w:id="1245653455">
          <w:marLeft w:val="640"/>
          <w:marRight w:val="0"/>
          <w:marTop w:val="0"/>
          <w:marBottom w:val="0"/>
          <w:divBdr>
            <w:top w:val="none" w:sz="0" w:space="0" w:color="auto"/>
            <w:left w:val="none" w:sz="0" w:space="0" w:color="auto"/>
            <w:bottom w:val="none" w:sz="0" w:space="0" w:color="auto"/>
            <w:right w:val="none" w:sz="0" w:space="0" w:color="auto"/>
          </w:divBdr>
        </w:div>
        <w:div w:id="212735345">
          <w:marLeft w:val="640"/>
          <w:marRight w:val="0"/>
          <w:marTop w:val="0"/>
          <w:marBottom w:val="0"/>
          <w:divBdr>
            <w:top w:val="none" w:sz="0" w:space="0" w:color="auto"/>
            <w:left w:val="none" w:sz="0" w:space="0" w:color="auto"/>
            <w:bottom w:val="none" w:sz="0" w:space="0" w:color="auto"/>
            <w:right w:val="none" w:sz="0" w:space="0" w:color="auto"/>
          </w:divBdr>
        </w:div>
        <w:div w:id="1601184400">
          <w:marLeft w:val="640"/>
          <w:marRight w:val="0"/>
          <w:marTop w:val="0"/>
          <w:marBottom w:val="0"/>
          <w:divBdr>
            <w:top w:val="none" w:sz="0" w:space="0" w:color="auto"/>
            <w:left w:val="none" w:sz="0" w:space="0" w:color="auto"/>
            <w:bottom w:val="none" w:sz="0" w:space="0" w:color="auto"/>
            <w:right w:val="none" w:sz="0" w:space="0" w:color="auto"/>
          </w:divBdr>
        </w:div>
        <w:div w:id="1083643296">
          <w:marLeft w:val="640"/>
          <w:marRight w:val="0"/>
          <w:marTop w:val="0"/>
          <w:marBottom w:val="0"/>
          <w:divBdr>
            <w:top w:val="none" w:sz="0" w:space="0" w:color="auto"/>
            <w:left w:val="none" w:sz="0" w:space="0" w:color="auto"/>
            <w:bottom w:val="none" w:sz="0" w:space="0" w:color="auto"/>
            <w:right w:val="none" w:sz="0" w:space="0" w:color="auto"/>
          </w:divBdr>
        </w:div>
        <w:div w:id="649405501">
          <w:marLeft w:val="640"/>
          <w:marRight w:val="0"/>
          <w:marTop w:val="0"/>
          <w:marBottom w:val="0"/>
          <w:divBdr>
            <w:top w:val="none" w:sz="0" w:space="0" w:color="auto"/>
            <w:left w:val="none" w:sz="0" w:space="0" w:color="auto"/>
            <w:bottom w:val="none" w:sz="0" w:space="0" w:color="auto"/>
            <w:right w:val="none" w:sz="0" w:space="0" w:color="auto"/>
          </w:divBdr>
        </w:div>
        <w:div w:id="540944563">
          <w:marLeft w:val="640"/>
          <w:marRight w:val="0"/>
          <w:marTop w:val="0"/>
          <w:marBottom w:val="0"/>
          <w:divBdr>
            <w:top w:val="none" w:sz="0" w:space="0" w:color="auto"/>
            <w:left w:val="none" w:sz="0" w:space="0" w:color="auto"/>
            <w:bottom w:val="none" w:sz="0" w:space="0" w:color="auto"/>
            <w:right w:val="none" w:sz="0" w:space="0" w:color="auto"/>
          </w:divBdr>
        </w:div>
        <w:div w:id="364715670">
          <w:marLeft w:val="640"/>
          <w:marRight w:val="0"/>
          <w:marTop w:val="0"/>
          <w:marBottom w:val="0"/>
          <w:divBdr>
            <w:top w:val="none" w:sz="0" w:space="0" w:color="auto"/>
            <w:left w:val="none" w:sz="0" w:space="0" w:color="auto"/>
            <w:bottom w:val="none" w:sz="0" w:space="0" w:color="auto"/>
            <w:right w:val="none" w:sz="0" w:space="0" w:color="auto"/>
          </w:divBdr>
        </w:div>
        <w:div w:id="1347708685">
          <w:marLeft w:val="640"/>
          <w:marRight w:val="0"/>
          <w:marTop w:val="0"/>
          <w:marBottom w:val="0"/>
          <w:divBdr>
            <w:top w:val="none" w:sz="0" w:space="0" w:color="auto"/>
            <w:left w:val="none" w:sz="0" w:space="0" w:color="auto"/>
            <w:bottom w:val="none" w:sz="0" w:space="0" w:color="auto"/>
            <w:right w:val="none" w:sz="0" w:space="0" w:color="auto"/>
          </w:divBdr>
        </w:div>
        <w:div w:id="552500186">
          <w:marLeft w:val="640"/>
          <w:marRight w:val="0"/>
          <w:marTop w:val="0"/>
          <w:marBottom w:val="0"/>
          <w:divBdr>
            <w:top w:val="none" w:sz="0" w:space="0" w:color="auto"/>
            <w:left w:val="none" w:sz="0" w:space="0" w:color="auto"/>
            <w:bottom w:val="none" w:sz="0" w:space="0" w:color="auto"/>
            <w:right w:val="none" w:sz="0" w:space="0" w:color="auto"/>
          </w:divBdr>
        </w:div>
        <w:div w:id="68503225">
          <w:marLeft w:val="640"/>
          <w:marRight w:val="0"/>
          <w:marTop w:val="0"/>
          <w:marBottom w:val="0"/>
          <w:divBdr>
            <w:top w:val="none" w:sz="0" w:space="0" w:color="auto"/>
            <w:left w:val="none" w:sz="0" w:space="0" w:color="auto"/>
            <w:bottom w:val="none" w:sz="0" w:space="0" w:color="auto"/>
            <w:right w:val="none" w:sz="0" w:space="0" w:color="auto"/>
          </w:divBdr>
        </w:div>
        <w:div w:id="1556773904">
          <w:marLeft w:val="640"/>
          <w:marRight w:val="0"/>
          <w:marTop w:val="0"/>
          <w:marBottom w:val="0"/>
          <w:divBdr>
            <w:top w:val="none" w:sz="0" w:space="0" w:color="auto"/>
            <w:left w:val="none" w:sz="0" w:space="0" w:color="auto"/>
            <w:bottom w:val="none" w:sz="0" w:space="0" w:color="auto"/>
            <w:right w:val="none" w:sz="0" w:space="0" w:color="auto"/>
          </w:divBdr>
        </w:div>
        <w:div w:id="1074008600">
          <w:marLeft w:val="640"/>
          <w:marRight w:val="0"/>
          <w:marTop w:val="0"/>
          <w:marBottom w:val="0"/>
          <w:divBdr>
            <w:top w:val="none" w:sz="0" w:space="0" w:color="auto"/>
            <w:left w:val="none" w:sz="0" w:space="0" w:color="auto"/>
            <w:bottom w:val="none" w:sz="0" w:space="0" w:color="auto"/>
            <w:right w:val="none" w:sz="0" w:space="0" w:color="auto"/>
          </w:divBdr>
        </w:div>
        <w:div w:id="737244662">
          <w:marLeft w:val="640"/>
          <w:marRight w:val="0"/>
          <w:marTop w:val="0"/>
          <w:marBottom w:val="0"/>
          <w:divBdr>
            <w:top w:val="none" w:sz="0" w:space="0" w:color="auto"/>
            <w:left w:val="none" w:sz="0" w:space="0" w:color="auto"/>
            <w:bottom w:val="none" w:sz="0" w:space="0" w:color="auto"/>
            <w:right w:val="none" w:sz="0" w:space="0" w:color="auto"/>
          </w:divBdr>
        </w:div>
        <w:div w:id="521167319">
          <w:marLeft w:val="640"/>
          <w:marRight w:val="0"/>
          <w:marTop w:val="0"/>
          <w:marBottom w:val="0"/>
          <w:divBdr>
            <w:top w:val="none" w:sz="0" w:space="0" w:color="auto"/>
            <w:left w:val="none" w:sz="0" w:space="0" w:color="auto"/>
            <w:bottom w:val="none" w:sz="0" w:space="0" w:color="auto"/>
            <w:right w:val="none" w:sz="0" w:space="0" w:color="auto"/>
          </w:divBdr>
        </w:div>
        <w:div w:id="1446272821">
          <w:marLeft w:val="640"/>
          <w:marRight w:val="0"/>
          <w:marTop w:val="0"/>
          <w:marBottom w:val="0"/>
          <w:divBdr>
            <w:top w:val="none" w:sz="0" w:space="0" w:color="auto"/>
            <w:left w:val="none" w:sz="0" w:space="0" w:color="auto"/>
            <w:bottom w:val="none" w:sz="0" w:space="0" w:color="auto"/>
            <w:right w:val="none" w:sz="0" w:space="0" w:color="auto"/>
          </w:divBdr>
        </w:div>
        <w:div w:id="672297225">
          <w:marLeft w:val="640"/>
          <w:marRight w:val="0"/>
          <w:marTop w:val="0"/>
          <w:marBottom w:val="0"/>
          <w:divBdr>
            <w:top w:val="none" w:sz="0" w:space="0" w:color="auto"/>
            <w:left w:val="none" w:sz="0" w:space="0" w:color="auto"/>
            <w:bottom w:val="none" w:sz="0" w:space="0" w:color="auto"/>
            <w:right w:val="none" w:sz="0" w:space="0" w:color="auto"/>
          </w:divBdr>
        </w:div>
        <w:div w:id="1044596035">
          <w:marLeft w:val="640"/>
          <w:marRight w:val="0"/>
          <w:marTop w:val="0"/>
          <w:marBottom w:val="0"/>
          <w:divBdr>
            <w:top w:val="none" w:sz="0" w:space="0" w:color="auto"/>
            <w:left w:val="none" w:sz="0" w:space="0" w:color="auto"/>
            <w:bottom w:val="none" w:sz="0" w:space="0" w:color="auto"/>
            <w:right w:val="none" w:sz="0" w:space="0" w:color="auto"/>
          </w:divBdr>
        </w:div>
        <w:div w:id="1559828482">
          <w:marLeft w:val="640"/>
          <w:marRight w:val="0"/>
          <w:marTop w:val="0"/>
          <w:marBottom w:val="0"/>
          <w:divBdr>
            <w:top w:val="none" w:sz="0" w:space="0" w:color="auto"/>
            <w:left w:val="none" w:sz="0" w:space="0" w:color="auto"/>
            <w:bottom w:val="none" w:sz="0" w:space="0" w:color="auto"/>
            <w:right w:val="none" w:sz="0" w:space="0" w:color="auto"/>
          </w:divBdr>
        </w:div>
        <w:div w:id="850222770">
          <w:marLeft w:val="640"/>
          <w:marRight w:val="0"/>
          <w:marTop w:val="0"/>
          <w:marBottom w:val="0"/>
          <w:divBdr>
            <w:top w:val="none" w:sz="0" w:space="0" w:color="auto"/>
            <w:left w:val="none" w:sz="0" w:space="0" w:color="auto"/>
            <w:bottom w:val="none" w:sz="0" w:space="0" w:color="auto"/>
            <w:right w:val="none" w:sz="0" w:space="0" w:color="auto"/>
          </w:divBdr>
        </w:div>
        <w:div w:id="639962907">
          <w:marLeft w:val="640"/>
          <w:marRight w:val="0"/>
          <w:marTop w:val="0"/>
          <w:marBottom w:val="0"/>
          <w:divBdr>
            <w:top w:val="none" w:sz="0" w:space="0" w:color="auto"/>
            <w:left w:val="none" w:sz="0" w:space="0" w:color="auto"/>
            <w:bottom w:val="none" w:sz="0" w:space="0" w:color="auto"/>
            <w:right w:val="none" w:sz="0" w:space="0" w:color="auto"/>
          </w:divBdr>
        </w:div>
        <w:div w:id="982200109">
          <w:marLeft w:val="640"/>
          <w:marRight w:val="0"/>
          <w:marTop w:val="0"/>
          <w:marBottom w:val="0"/>
          <w:divBdr>
            <w:top w:val="none" w:sz="0" w:space="0" w:color="auto"/>
            <w:left w:val="none" w:sz="0" w:space="0" w:color="auto"/>
            <w:bottom w:val="none" w:sz="0" w:space="0" w:color="auto"/>
            <w:right w:val="none" w:sz="0" w:space="0" w:color="auto"/>
          </w:divBdr>
        </w:div>
        <w:div w:id="1384792031">
          <w:marLeft w:val="640"/>
          <w:marRight w:val="0"/>
          <w:marTop w:val="0"/>
          <w:marBottom w:val="0"/>
          <w:divBdr>
            <w:top w:val="none" w:sz="0" w:space="0" w:color="auto"/>
            <w:left w:val="none" w:sz="0" w:space="0" w:color="auto"/>
            <w:bottom w:val="none" w:sz="0" w:space="0" w:color="auto"/>
            <w:right w:val="none" w:sz="0" w:space="0" w:color="auto"/>
          </w:divBdr>
        </w:div>
        <w:div w:id="1174951234">
          <w:marLeft w:val="640"/>
          <w:marRight w:val="0"/>
          <w:marTop w:val="0"/>
          <w:marBottom w:val="0"/>
          <w:divBdr>
            <w:top w:val="none" w:sz="0" w:space="0" w:color="auto"/>
            <w:left w:val="none" w:sz="0" w:space="0" w:color="auto"/>
            <w:bottom w:val="none" w:sz="0" w:space="0" w:color="auto"/>
            <w:right w:val="none" w:sz="0" w:space="0" w:color="auto"/>
          </w:divBdr>
        </w:div>
        <w:div w:id="586039151">
          <w:marLeft w:val="640"/>
          <w:marRight w:val="0"/>
          <w:marTop w:val="0"/>
          <w:marBottom w:val="0"/>
          <w:divBdr>
            <w:top w:val="none" w:sz="0" w:space="0" w:color="auto"/>
            <w:left w:val="none" w:sz="0" w:space="0" w:color="auto"/>
            <w:bottom w:val="none" w:sz="0" w:space="0" w:color="auto"/>
            <w:right w:val="none" w:sz="0" w:space="0" w:color="auto"/>
          </w:divBdr>
        </w:div>
        <w:div w:id="388306785">
          <w:marLeft w:val="640"/>
          <w:marRight w:val="0"/>
          <w:marTop w:val="0"/>
          <w:marBottom w:val="0"/>
          <w:divBdr>
            <w:top w:val="none" w:sz="0" w:space="0" w:color="auto"/>
            <w:left w:val="none" w:sz="0" w:space="0" w:color="auto"/>
            <w:bottom w:val="none" w:sz="0" w:space="0" w:color="auto"/>
            <w:right w:val="none" w:sz="0" w:space="0" w:color="auto"/>
          </w:divBdr>
        </w:div>
        <w:div w:id="1217202048">
          <w:marLeft w:val="640"/>
          <w:marRight w:val="0"/>
          <w:marTop w:val="0"/>
          <w:marBottom w:val="0"/>
          <w:divBdr>
            <w:top w:val="none" w:sz="0" w:space="0" w:color="auto"/>
            <w:left w:val="none" w:sz="0" w:space="0" w:color="auto"/>
            <w:bottom w:val="none" w:sz="0" w:space="0" w:color="auto"/>
            <w:right w:val="none" w:sz="0" w:space="0" w:color="auto"/>
          </w:divBdr>
        </w:div>
        <w:div w:id="363412540">
          <w:marLeft w:val="640"/>
          <w:marRight w:val="0"/>
          <w:marTop w:val="0"/>
          <w:marBottom w:val="0"/>
          <w:divBdr>
            <w:top w:val="none" w:sz="0" w:space="0" w:color="auto"/>
            <w:left w:val="none" w:sz="0" w:space="0" w:color="auto"/>
            <w:bottom w:val="none" w:sz="0" w:space="0" w:color="auto"/>
            <w:right w:val="none" w:sz="0" w:space="0" w:color="auto"/>
          </w:divBdr>
        </w:div>
        <w:div w:id="108857179">
          <w:marLeft w:val="640"/>
          <w:marRight w:val="0"/>
          <w:marTop w:val="0"/>
          <w:marBottom w:val="0"/>
          <w:divBdr>
            <w:top w:val="none" w:sz="0" w:space="0" w:color="auto"/>
            <w:left w:val="none" w:sz="0" w:space="0" w:color="auto"/>
            <w:bottom w:val="none" w:sz="0" w:space="0" w:color="auto"/>
            <w:right w:val="none" w:sz="0" w:space="0" w:color="auto"/>
          </w:divBdr>
        </w:div>
        <w:div w:id="1009790423">
          <w:marLeft w:val="640"/>
          <w:marRight w:val="0"/>
          <w:marTop w:val="0"/>
          <w:marBottom w:val="0"/>
          <w:divBdr>
            <w:top w:val="none" w:sz="0" w:space="0" w:color="auto"/>
            <w:left w:val="none" w:sz="0" w:space="0" w:color="auto"/>
            <w:bottom w:val="none" w:sz="0" w:space="0" w:color="auto"/>
            <w:right w:val="none" w:sz="0" w:space="0" w:color="auto"/>
          </w:divBdr>
        </w:div>
        <w:div w:id="1278374024">
          <w:marLeft w:val="640"/>
          <w:marRight w:val="0"/>
          <w:marTop w:val="0"/>
          <w:marBottom w:val="0"/>
          <w:divBdr>
            <w:top w:val="none" w:sz="0" w:space="0" w:color="auto"/>
            <w:left w:val="none" w:sz="0" w:space="0" w:color="auto"/>
            <w:bottom w:val="none" w:sz="0" w:space="0" w:color="auto"/>
            <w:right w:val="none" w:sz="0" w:space="0" w:color="auto"/>
          </w:divBdr>
        </w:div>
        <w:div w:id="925382987">
          <w:marLeft w:val="640"/>
          <w:marRight w:val="0"/>
          <w:marTop w:val="0"/>
          <w:marBottom w:val="0"/>
          <w:divBdr>
            <w:top w:val="none" w:sz="0" w:space="0" w:color="auto"/>
            <w:left w:val="none" w:sz="0" w:space="0" w:color="auto"/>
            <w:bottom w:val="none" w:sz="0" w:space="0" w:color="auto"/>
            <w:right w:val="none" w:sz="0" w:space="0" w:color="auto"/>
          </w:divBdr>
        </w:div>
        <w:div w:id="1899514061">
          <w:marLeft w:val="640"/>
          <w:marRight w:val="0"/>
          <w:marTop w:val="0"/>
          <w:marBottom w:val="0"/>
          <w:divBdr>
            <w:top w:val="none" w:sz="0" w:space="0" w:color="auto"/>
            <w:left w:val="none" w:sz="0" w:space="0" w:color="auto"/>
            <w:bottom w:val="none" w:sz="0" w:space="0" w:color="auto"/>
            <w:right w:val="none" w:sz="0" w:space="0" w:color="auto"/>
          </w:divBdr>
        </w:div>
        <w:div w:id="757756592">
          <w:marLeft w:val="640"/>
          <w:marRight w:val="0"/>
          <w:marTop w:val="0"/>
          <w:marBottom w:val="0"/>
          <w:divBdr>
            <w:top w:val="none" w:sz="0" w:space="0" w:color="auto"/>
            <w:left w:val="none" w:sz="0" w:space="0" w:color="auto"/>
            <w:bottom w:val="none" w:sz="0" w:space="0" w:color="auto"/>
            <w:right w:val="none" w:sz="0" w:space="0" w:color="auto"/>
          </w:divBdr>
        </w:div>
        <w:div w:id="1651835162">
          <w:marLeft w:val="640"/>
          <w:marRight w:val="0"/>
          <w:marTop w:val="0"/>
          <w:marBottom w:val="0"/>
          <w:divBdr>
            <w:top w:val="none" w:sz="0" w:space="0" w:color="auto"/>
            <w:left w:val="none" w:sz="0" w:space="0" w:color="auto"/>
            <w:bottom w:val="none" w:sz="0" w:space="0" w:color="auto"/>
            <w:right w:val="none" w:sz="0" w:space="0" w:color="auto"/>
          </w:divBdr>
        </w:div>
        <w:div w:id="1903522656">
          <w:marLeft w:val="640"/>
          <w:marRight w:val="0"/>
          <w:marTop w:val="0"/>
          <w:marBottom w:val="0"/>
          <w:divBdr>
            <w:top w:val="none" w:sz="0" w:space="0" w:color="auto"/>
            <w:left w:val="none" w:sz="0" w:space="0" w:color="auto"/>
            <w:bottom w:val="none" w:sz="0" w:space="0" w:color="auto"/>
            <w:right w:val="none" w:sz="0" w:space="0" w:color="auto"/>
          </w:divBdr>
        </w:div>
        <w:div w:id="1406148253">
          <w:marLeft w:val="640"/>
          <w:marRight w:val="0"/>
          <w:marTop w:val="0"/>
          <w:marBottom w:val="0"/>
          <w:divBdr>
            <w:top w:val="none" w:sz="0" w:space="0" w:color="auto"/>
            <w:left w:val="none" w:sz="0" w:space="0" w:color="auto"/>
            <w:bottom w:val="none" w:sz="0" w:space="0" w:color="auto"/>
            <w:right w:val="none" w:sz="0" w:space="0" w:color="auto"/>
          </w:divBdr>
        </w:div>
        <w:div w:id="1912420815">
          <w:marLeft w:val="640"/>
          <w:marRight w:val="0"/>
          <w:marTop w:val="0"/>
          <w:marBottom w:val="0"/>
          <w:divBdr>
            <w:top w:val="none" w:sz="0" w:space="0" w:color="auto"/>
            <w:left w:val="none" w:sz="0" w:space="0" w:color="auto"/>
            <w:bottom w:val="none" w:sz="0" w:space="0" w:color="auto"/>
            <w:right w:val="none" w:sz="0" w:space="0" w:color="auto"/>
          </w:divBdr>
        </w:div>
        <w:div w:id="963079434">
          <w:marLeft w:val="640"/>
          <w:marRight w:val="0"/>
          <w:marTop w:val="0"/>
          <w:marBottom w:val="0"/>
          <w:divBdr>
            <w:top w:val="none" w:sz="0" w:space="0" w:color="auto"/>
            <w:left w:val="none" w:sz="0" w:space="0" w:color="auto"/>
            <w:bottom w:val="none" w:sz="0" w:space="0" w:color="auto"/>
            <w:right w:val="none" w:sz="0" w:space="0" w:color="auto"/>
          </w:divBdr>
        </w:div>
        <w:div w:id="1042825619">
          <w:marLeft w:val="640"/>
          <w:marRight w:val="0"/>
          <w:marTop w:val="0"/>
          <w:marBottom w:val="0"/>
          <w:divBdr>
            <w:top w:val="none" w:sz="0" w:space="0" w:color="auto"/>
            <w:left w:val="none" w:sz="0" w:space="0" w:color="auto"/>
            <w:bottom w:val="none" w:sz="0" w:space="0" w:color="auto"/>
            <w:right w:val="none" w:sz="0" w:space="0" w:color="auto"/>
          </w:divBdr>
        </w:div>
        <w:div w:id="1027176753">
          <w:marLeft w:val="640"/>
          <w:marRight w:val="0"/>
          <w:marTop w:val="0"/>
          <w:marBottom w:val="0"/>
          <w:divBdr>
            <w:top w:val="none" w:sz="0" w:space="0" w:color="auto"/>
            <w:left w:val="none" w:sz="0" w:space="0" w:color="auto"/>
            <w:bottom w:val="none" w:sz="0" w:space="0" w:color="auto"/>
            <w:right w:val="none" w:sz="0" w:space="0" w:color="auto"/>
          </w:divBdr>
        </w:div>
        <w:div w:id="983195479">
          <w:marLeft w:val="640"/>
          <w:marRight w:val="0"/>
          <w:marTop w:val="0"/>
          <w:marBottom w:val="0"/>
          <w:divBdr>
            <w:top w:val="none" w:sz="0" w:space="0" w:color="auto"/>
            <w:left w:val="none" w:sz="0" w:space="0" w:color="auto"/>
            <w:bottom w:val="none" w:sz="0" w:space="0" w:color="auto"/>
            <w:right w:val="none" w:sz="0" w:space="0" w:color="auto"/>
          </w:divBdr>
        </w:div>
        <w:div w:id="80034786">
          <w:marLeft w:val="640"/>
          <w:marRight w:val="0"/>
          <w:marTop w:val="0"/>
          <w:marBottom w:val="0"/>
          <w:divBdr>
            <w:top w:val="none" w:sz="0" w:space="0" w:color="auto"/>
            <w:left w:val="none" w:sz="0" w:space="0" w:color="auto"/>
            <w:bottom w:val="none" w:sz="0" w:space="0" w:color="auto"/>
            <w:right w:val="none" w:sz="0" w:space="0" w:color="auto"/>
          </w:divBdr>
        </w:div>
        <w:div w:id="1190072088">
          <w:marLeft w:val="640"/>
          <w:marRight w:val="0"/>
          <w:marTop w:val="0"/>
          <w:marBottom w:val="0"/>
          <w:divBdr>
            <w:top w:val="none" w:sz="0" w:space="0" w:color="auto"/>
            <w:left w:val="none" w:sz="0" w:space="0" w:color="auto"/>
            <w:bottom w:val="none" w:sz="0" w:space="0" w:color="auto"/>
            <w:right w:val="none" w:sz="0" w:space="0" w:color="auto"/>
          </w:divBdr>
        </w:div>
        <w:div w:id="626013437">
          <w:marLeft w:val="640"/>
          <w:marRight w:val="0"/>
          <w:marTop w:val="0"/>
          <w:marBottom w:val="0"/>
          <w:divBdr>
            <w:top w:val="none" w:sz="0" w:space="0" w:color="auto"/>
            <w:left w:val="none" w:sz="0" w:space="0" w:color="auto"/>
            <w:bottom w:val="none" w:sz="0" w:space="0" w:color="auto"/>
            <w:right w:val="none" w:sz="0" w:space="0" w:color="auto"/>
          </w:divBdr>
        </w:div>
        <w:div w:id="1994530898">
          <w:marLeft w:val="640"/>
          <w:marRight w:val="0"/>
          <w:marTop w:val="0"/>
          <w:marBottom w:val="0"/>
          <w:divBdr>
            <w:top w:val="none" w:sz="0" w:space="0" w:color="auto"/>
            <w:left w:val="none" w:sz="0" w:space="0" w:color="auto"/>
            <w:bottom w:val="none" w:sz="0" w:space="0" w:color="auto"/>
            <w:right w:val="none" w:sz="0" w:space="0" w:color="auto"/>
          </w:divBdr>
        </w:div>
        <w:div w:id="2081975030">
          <w:marLeft w:val="640"/>
          <w:marRight w:val="0"/>
          <w:marTop w:val="0"/>
          <w:marBottom w:val="0"/>
          <w:divBdr>
            <w:top w:val="none" w:sz="0" w:space="0" w:color="auto"/>
            <w:left w:val="none" w:sz="0" w:space="0" w:color="auto"/>
            <w:bottom w:val="none" w:sz="0" w:space="0" w:color="auto"/>
            <w:right w:val="none" w:sz="0" w:space="0" w:color="auto"/>
          </w:divBdr>
        </w:div>
        <w:div w:id="1091514443">
          <w:marLeft w:val="640"/>
          <w:marRight w:val="0"/>
          <w:marTop w:val="0"/>
          <w:marBottom w:val="0"/>
          <w:divBdr>
            <w:top w:val="none" w:sz="0" w:space="0" w:color="auto"/>
            <w:left w:val="none" w:sz="0" w:space="0" w:color="auto"/>
            <w:bottom w:val="none" w:sz="0" w:space="0" w:color="auto"/>
            <w:right w:val="none" w:sz="0" w:space="0" w:color="auto"/>
          </w:divBdr>
        </w:div>
        <w:div w:id="1243828790">
          <w:marLeft w:val="640"/>
          <w:marRight w:val="0"/>
          <w:marTop w:val="0"/>
          <w:marBottom w:val="0"/>
          <w:divBdr>
            <w:top w:val="none" w:sz="0" w:space="0" w:color="auto"/>
            <w:left w:val="none" w:sz="0" w:space="0" w:color="auto"/>
            <w:bottom w:val="none" w:sz="0" w:space="0" w:color="auto"/>
            <w:right w:val="none" w:sz="0" w:space="0" w:color="auto"/>
          </w:divBdr>
        </w:div>
        <w:div w:id="395861031">
          <w:marLeft w:val="640"/>
          <w:marRight w:val="0"/>
          <w:marTop w:val="0"/>
          <w:marBottom w:val="0"/>
          <w:divBdr>
            <w:top w:val="none" w:sz="0" w:space="0" w:color="auto"/>
            <w:left w:val="none" w:sz="0" w:space="0" w:color="auto"/>
            <w:bottom w:val="none" w:sz="0" w:space="0" w:color="auto"/>
            <w:right w:val="none" w:sz="0" w:space="0" w:color="auto"/>
          </w:divBdr>
        </w:div>
        <w:div w:id="1749964596">
          <w:marLeft w:val="640"/>
          <w:marRight w:val="0"/>
          <w:marTop w:val="0"/>
          <w:marBottom w:val="0"/>
          <w:divBdr>
            <w:top w:val="none" w:sz="0" w:space="0" w:color="auto"/>
            <w:left w:val="none" w:sz="0" w:space="0" w:color="auto"/>
            <w:bottom w:val="none" w:sz="0" w:space="0" w:color="auto"/>
            <w:right w:val="none" w:sz="0" w:space="0" w:color="auto"/>
          </w:divBdr>
        </w:div>
        <w:div w:id="699627739">
          <w:marLeft w:val="640"/>
          <w:marRight w:val="0"/>
          <w:marTop w:val="0"/>
          <w:marBottom w:val="0"/>
          <w:divBdr>
            <w:top w:val="none" w:sz="0" w:space="0" w:color="auto"/>
            <w:left w:val="none" w:sz="0" w:space="0" w:color="auto"/>
            <w:bottom w:val="none" w:sz="0" w:space="0" w:color="auto"/>
            <w:right w:val="none" w:sz="0" w:space="0" w:color="auto"/>
          </w:divBdr>
        </w:div>
        <w:div w:id="332034168">
          <w:marLeft w:val="640"/>
          <w:marRight w:val="0"/>
          <w:marTop w:val="0"/>
          <w:marBottom w:val="0"/>
          <w:divBdr>
            <w:top w:val="none" w:sz="0" w:space="0" w:color="auto"/>
            <w:left w:val="none" w:sz="0" w:space="0" w:color="auto"/>
            <w:bottom w:val="none" w:sz="0" w:space="0" w:color="auto"/>
            <w:right w:val="none" w:sz="0" w:space="0" w:color="auto"/>
          </w:divBdr>
        </w:div>
        <w:div w:id="1918592229">
          <w:marLeft w:val="640"/>
          <w:marRight w:val="0"/>
          <w:marTop w:val="0"/>
          <w:marBottom w:val="0"/>
          <w:divBdr>
            <w:top w:val="none" w:sz="0" w:space="0" w:color="auto"/>
            <w:left w:val="none" w:sz="0" w:space="0" w:color="auto"/>
            <w:bottom w:val="none" w:sz="0" w:space="0" w:color="auto"/>
            <w:right w:val="none" w:sz="0" w:space="0" w:color="auto"/>
          </w:divBdr>
        </w:div>
        <w:div w:id="801112656">
          <w:marLeft w:val="640"/>
          <w:marRight w:val="0"/>
          <w:marTop w:val="0"/>
          <w:marBottom w:val="0"/>
          <w:divBdr>
            <w:top w:val="none" w:sz="0" w:space="0" w:color="auto"/>
            <w:left w:val="none" w:sz="0" w:space="0" w:color="auto"/>
            <w:bottom w:val="none" w:sz="0" w:space="0" w:color="auto"/>
            <w:right w:val="none" w:sz="0" w:space="0" w:color="auto"/>
          </w:divBdr>
        </w:div>
        <w:div w:id="2053191402">
          <w:marLeft w:val="640"/>
          <w:marRight w:val="0"/>
          <w:marTop w:val="0"/>
          <w:marBottom w:val="0"/>
          <w:divBdr>
            <w:top w:val="none" w:sz="0" w:space="0" w:color="auto"/>
            <w:left w:val="none" w:sz="0" w:space="0" w:color="auto"/>
            <w:bottom w:val="none" w:sz="0" w:space="0" w:color="auto"/>
            <w:right w:val="none" w:sz="0" w:space="0" w:color="auto"/>
          </w:divBdr>
        </w:div>
        <w:div w:id="1152914020">
          <w:marLeft w:val="640"/>
          <w:marRight w:val="0"/>
          <w:marTop w:val="0"/>
          <w:marBottom w:val="0"/>
          <w:divBdr>
            <w:top w:val="none" w:sz="0" w:space="0" w:color="auto"/>
            <w:left w:val="none" w:sz="0" w:space="0" w:color="auto"/>
            <w:bottom w:val="none" w:sz="0" w:space="0" w:color="auto"/>
            <w:right w:val="none" w:sz="0" w:space="0" w:color="auto"/>
          </w:divBdr>
        </w:div>
        <w:div w:id="43871800">
          <w:marLeft w:val="640"/>
          <w:marRight w:val="0"/>
          <w:marTop w:val="0"/>
          <w:marBottom w:val="0"/>
          <w:divBdr>
            <w:top w:val="none" w:sz="0" w:space="0" w:color="auto"/>
            <w:left w:val="none" w:sz="0" w:space="0" w:color="auto"/>
            <w:bottom w:val="none" w:sz="0" w:space="0" w:color="auto"/>
            <w:right w:val="none" w:sz="0" w:space="0" w:color="auto"/>
          </w:divBdr>
        </w:div>
        <w:div w:id="921792873">
          <w:marLeft w:val="640"/>
          <w:marRight w:val="0"/>
          <w:marTop w:val="0"/>
          <w:marBottom w:val="0"/>
          <w:divBdr>
            <w:top w:val="none" w:sz="0" w:space="0" w:color="auto"/>
            <w:left w:val="none" w:sz="0" w:space="0" w:color="auto"/>
            <w:bottom w:val="none" w:sz="0" w:space="0" w:color="auto"/>
            <w:right w:val="none" w:sz="0" w:space="0" w:color="auto"/>
          </w:divBdr>
        </w:div>
        <w:div w:id="1386947799">
          <w:marLeft w:val="640"/>
          <w:marRight w:val="0"/>
          <w:marTop w:val="0"/>
          <w:marBottom w:val="0"/>
          <w:divBdr>
            <w:top w:val="none" w:sz="0" w:space="0" w:color="auto"/>
            <w:left w:val="none" w:sz="0" w:space="0" w:color="auto"/>
            <w:bottom w:val="none" w:sz="0" w:space="0" w:color="auto"/>
            <w:right w:val="none" w:sz="0" w:space="0" w:color="auto"/>
          </w:divBdr>
        </w:div>
        <w:div w:id="1964193670">
          <w:marLeft w:val="640"/>
          <w:marRight w:val="0"/>
          <w:marTop w:val="0"/>
          <w:marBottom w:val="0"/>
          <w:divBdr>
            <w:top w:val="none" w:sz="0" w:space="0" w:color="auto"/>
            <w:left w:val="none" w:sz="0" w:space="0" w:color="auto"/>
            <w:bottom w:val="none" w:sz="0" w:space="0" w:color="auto"/>
            <w:right w:val="none" w:sz="0" w:space="0" w:color="auto"/>
          </w:divBdr>
        </w:div>
        <w:div w:id="253169915">
          <w:marLeft w:val="640"/>
          <w:marRight w:val="0"/>
          <w:marTop w:val="0"/>
          <w:marBottom w:val="0"/>
          <w:divBdr>
            <w:top w:val="none" w:sz="0" w:space="0" w:color="auto"/>
            <w:left w:val="none" w:sz="0" w:space="0" w:color="auto"/>
            <w:bottom w:val="none" w:sz="0" w:space="0" w:color="auto"/>
            <w:right w:val="none" w:sz="0" w:space="0" w:color="auto"/>
          </w:divBdr>
        </w:div>
        <w:div w:id="1022513584">
          <w:marLeft w:val="640"/>
          <w:marRight w:val="0"/>
          <w:marTop w:val="0"/>
          <w:marBottom w:val="0"/>
          <w:divBdr>
            <w:top w:val="none" w:sz="0" w:space="0" w:color="auto"/>
            <w:left w:val="none" w:sz="0" w:space="0" w:color="auto"/>
            <w:bottom w:val="none" w:sz="0" w:space="0" w:color="auto"/>
            <w:right w:val="none" w:sz="0" w:space="0" w:color="auto"/>
          </w:divBdr>
        </w:div>
        <w:div w:id="882600343">
          <w:marLeft w:val="640"/>
          <w:marRight w:val="0"/>
          <w:marTop w:val="0"/>
          <w:marBottom w:val="0"/>
          <w:divBdr>
            <w:top w:val="none" w:sz="0" w:space="0" w:color="auto"/>
            <w:left w:val="none" w:sz="0" w:space="0" w:color="auto"/>
            <w:bottom w:val="none" w:sz="0" w:space="0" w:color="auto"/>
            <w:right w:val="none" w:sz="0" w:space="0" w:color="auto"/>
          </w:divBdr>
        </w:div>
        <w:div w:id="2057119781">
          <w:marLeft w:val="640"/>
          <w:marRight w:val="0"/>
          <w:marTop w:val="0"/>
          <w:marBottom w:val="0"/>
          <w:divBdr>
            <w:top w:val="none" w:sz="0" w:space="0" w:color="auto"/>
            <w:left w:val="none" w:sz="0" w:space="0" w:color="auto"/>
            <w:bottom w:val="none" w:sz="0" w:space="0" w:color="auto"/>
            <w:right w:val="none" w:sz="0" w:space="0" w:color="auto"/>
          </w:divBdr>
        </w:div>
        <w:div w:id="479270825">
          <w:marLeft w:val="640"/>
          <w:marRight w:val="0"/>
          <w:marTop w:val="0"/>
          <w:marBottom w:val="0"/>
          <w:divBdr>
            <w:top w:val="none" w:sz="0" w:space="0" w:color="auto"/>
            <w:left w:val="none" w:sz="0" w:space="0" w:color="auto"/>
            <w:bottom w:val="none" w:sz="0" w:space="0" w:color="auto"/>
            <w:right w:val="none" w:sz="0" w:space="0" w:color="auto"/>
          </w:divBdr>
        </w:div>
        <w:div w:id="429857895">
          <w:marLeft w:val="640"/>
          <w:marRight w:val="0"/>
          <w:marTop w:val="0"/>
          <w:marBottom w:val="0"/>
          <w:divBdr>
            <w:top w:val="none" w:sz="0" w:space="0" w:color="auto"/>
            <w:left w:val="none" w:sz="0" w:space="0" w:color="auto"/>
            <w:bottom w:val="none" w:sz="0" w:space="0" w:color="auto"/>
            <w:right w:val="none" w:sz="0" w:space="0" w:color="auto"/>
          </w:divBdr>
        </w:div>
        <w:div w:id="606886899">
          <w:marLeft w:val="640"/>
          <w:marRight w:val="0"/>
          <w:marTop w:val="0"/>
          <w:marBottom w:val="0"/>
          <w:divBdr>
            <w:top w:val="none" w:sz="0" w:space="0" w:color="auto"/>
            <w:left w:val="none" w:sz="0" w:space="0" w:color="auto"/>
            <w:bottom w:val="none" w:sz="0" w:space="0" w:color="auto"/>
            <w:right w:val="none" w:sz="0" w:space="0" w:color="auto"/>
          </w:divBdr>
        </w:div>
        <w:div w:id="1574927871">
          <w:marLeft w:val="640"/>
          <w:marRight w:val="0"/>
          <w:marTop w:val="0"/>
          <w:marBottom w:val="0"/>
          <w:divBdr>
            <w:top w:val="none" w:sz="0" w:space="0" w:color="auto"/>
            <w:left w:val="none" w:sz="0" w:space="0" w:color="auto"/>
            <w:bottom w:val="none" w:sz="0" w:space="0" w:color="auto"/>
            <w:right w:val="none" w:sz="0" w:space="0" w:color="auto"/>
          </w:divBdr>
        </w:div>
        <w:div w:id="1168208627">
          <w:marLeft w:val="640"/>
          <w:marRight w:val="0"/>
          <w:marTop w:val="0"/>
          <w:marBottom w:val="0"/>
          <w:divBdr>
            <w:top w:val="none" w:sz="0" w:space="0" w:color="auto"/>
            <w:left w:val="none" w:sz="0" w:space="0" w:color="auto"/>
            <w:bottom w:val="none" w:sz="0" w:space="0" w:color="auto"/>
            <w:right w:val="none" w:sz="0" w:space="0" w:color="auto"/>
          </w:divBdr>
        </w:div>
        <w:div w:id="2028405128">
          <w:marLeft w:val="640"/>
          <w:marRight w:val="0"/>
          <w:marTop w:val="0"/>
          <w:marBottom w:val="0"/>
          <w:divBdr>
            <w:top w:val="none" w:sz="0" w:space="0" w:color="auto"/>
            <w:left w:val="none" w:sz="0" w:space="0" w:color="auto"/>
            <w:bottom w:val="none" w:sz="0" w:space="0" w:color="auto"/>
            <w:right w:val="none" w:sz="0" w:space="0" w:color="auto"/>
          </w:divBdr>
        </w:div>
        <w:div w:id="1553931463">
          <w:marLeft w:val="640"/>
          <w:marRight w:val="0"/>
          <w:marTop w:val="0"/>
          <w:marBottom w:val="0"/>
          <w:divBdr>
            <w:top w:val="none" w:sz="0" w:space="0" w:color="auto"/>
            <w:left w:val="none" w:sz="0" w:space="0" w:color="auto"/>
            <w:bottom w:val="none" w:sz="0" w:space="0" w:color="auto"/>
            <w:right w:val="none" w:sz="0" w:space="0" w:color="auto"/>
          </w:divBdr>
        </w:div>
        <w:div w:id="2131625545">
          <w:marLeft w:val="640"/>
          <w:marRight w:val="0"/>
          <w:marTop w:val="0"/>
          <w:marBottom w:val="0"/>
          <w:divBdr>
            <w:top w:val="none" w:sz="0" w:space="0" w:color="auto"/>
            <w:left w:val="none" w:sz="0" w:space="0" w:color="auto"/>
            <w:bottom w:val="none" w:sz="0" w:space="0" w:color="auto"/>
            <w:right w:val="none" w:sz="0" w:space="0" w:color="auto"/>
          </w:divBdr>
        </w:div>
        <w:div w:id="1706830688">
          <w:marLeft w:val="640"/>
          <w:marRight w:val="0"/>
          <w:marTop w:val="0"/>
          <w:marBottom w:val="0"/>
          <w:divBdr>
            <w:top w:val="none" w:sz="0" w:space="0" w:color="auto"/>
            <w:left w:val="none" w:sz="0" w:space="0" w:color="auto"/>
            <w:bottom w:val="none" w:sz="0" w:space="0" w:color="auto"/>
            <w:right w:val="none" w:sz="0" w:space="0" w:color="auto"/>
          </w:divBdr>
        </w:div>
        <w:div w:id="1824663383">
          <w:marLeft w:val="640"/>
          <w:marRight w:val="0"/>
          <w:marTop w:val="0"/>
          <w:marBottom w:val="0"/>
          <w:divBdr>
            <w:top w:val="none" w:sz="0" w:space="0" w:color="auto"/>
            <w:left w:val="none" w:sz="0" w:space="0" w:color="auto"/>
            <w:bottom w:val="none" w:sz="0" w:space="0" w:color="auto"/>
            <w:right w:val="none" w:sz="0" w:space="0" w:color="auto"/>
          </w:divBdr>
        </w:div>
        <w:div w:id="181476668">
          <w:marLeft w:val="640"/>
          <w:marRight w:val="0"/>
          <w:marTop w:val="0"/>
          <w:marBottom w:val="0"/>
          <w:divBdr>
            <w:top w:val="none" w:sz="0" w:space="0" w:color="auto"/>
            <w:left w:val="none" w:sz="0" w:space="0" w:color="auto"/>
            <w:bottom w:val="none" w:sz="0" w:space="0" w:color="auto"/>
            <w:right w:val="none" w:sz="0" w:space="0" w:color="auto"/>
          </w:divBdr>
        </w:div>
        <w:div w:id="854660386">
          <w:marLeft w:val="640"/>
          <w:marRight w:val="0"/>
          <w:marTop w:val="0"/>
          <w:marBottom w:val="0"/>
          <w:divBdr>
            <w:top w:val="none" w:sz="0" w:space="0" w:color="auto"/>
            <w:left w:val="none" w:sz="0" w:space="0" w:color="auto"/>
            <w:bottom w:val="none" w:sz="0" w:space="0" w:color="auto"/>
            <w:right w:val="none" w:sz="0" w:space="0" w:color="auto"/>
          </w:divBdr>
        </w:div>
        <w:div w:id="163134991">
          <w:marLeft w:val="640"/>
          <w:marRight w:val="0"/>
          <w:marTop w:val="0"/>
          <w:marBottom w:val="0"/>
          <w:divBdr>
            <w:top w:val="none" w:sz="0" w:space="0" w:color="auto"/>
            <w:left w:val="none" w:sz="0" w:space="0" w:color="auto"/>
            <w:bottom w:val="none" w:sz="0" w:space="0" w:color="auto"/>
            <w:right w:val="none" w:sz="0" w:space="0" w:color="auto"/>
          </w:divBdr>
        </w:div>
        <w:div w:id="2127767576">
          <w:marLeft w:val="640"/>
          <w:marRight w:val="0"/>
          <w:marTop w:val="0"/>
          <w:marBottom w:val="0"/>
          <w:divBdr>
            <w:top w:val="none" w:sz="0" w:space="0" w:color="auto"/>
            <w:left w:val="none" w:sz="0" w:space="0" w:color="auto"/>
            <w:bottom w:val="none" w:sz="0" w:space="0" w:color="auto"/>
            <w:right w:val="none" w:sz="0" w:space="0" w:color="auto"/>
          </w:divBdr>
        </w:div>
        <w:div w:id="1746298654">
          <w:marLeft w:val="640"/>
          <w:marRight w:val="0"/>
          <w:marTop w:val="0"/>
          <w:marBottom w:val="0"/>
          <w:divBdr>
            <w:top w:val="none" w:sz="0" w:space="0" w:color="auto"/>
            <w:left w:val="none" w:sz="0" w:space="0" w:color="auto"/>
            <w:bottom w:val="none" w:sz="0" w:space="0" w:color="auto"/>
            <w:right w:val="none" w:sz="0" w:space="0" w:color="auto"/>
          </w:divBdr>
        </w:div>
        <w:div w:id="535310618">
          <w:marLeft w:val="640"/>
          <w:marRight w:val="0"/>
          <w:marTop w:val="0"/>
          <w:marBottom w:val="0"/>
          <w:divBdr>
            <w:top w:val="none" w:sz="0" w:space="0" w:color="auto"/>
            <w:left w:val="none" w:sz="0" w:space="0" w:color="auto"/>
            <w:bottom w:val="none" w:sz="0" w:space="0" w:color="auto"/>
            <w:right w:val="none" w:sz="0" w:space="0" w:color="auto"/>
          </w:divBdr>
        </w:div>
        <w:div w:id="1191605283">
          <w:marLeft w:val="640"/>
          <w:marRight w:val="0"/>
          <w:marTop w:val="0"/>
          <w:marBottom w:val="0"/>
          <w:divBdr>
            <w:top w:val="none" w:sz="0" w:space="0" w:color="auto"/>
            <w:left w:val="none" w:sz="0" w:space="0" w:color="auto"/>
            <w:bottom w:val="none" w:sz="0" w:space="0" w:color="auto"/>
            <w:right w:val="none" w:sz="0" w:space="0" w:color="auto"/>
          </w:divBdr>
        </w:div>
        <w:div w:id="1881239855">
          <w:marLeft w:val="640"/>
          <w:marRight w:val="0"/>
          <w:marTop w:val="0"/>
          <w:marBottom w:val="0"/>
          <w:divBdr>
            <w:top w:val="none" w:sz="0" w:space="0" w:color="auto"/>
            <w:left w:val="none" w:sz="0" w:space="0" w:color="auto"/>
            <w:bottom w:val="none" w:sz="0" w:space="0" w:color="auto"/>
            <w:right w:val="none" w:sz="0" w:space="0" w:color="auto"/>
          </w:divBdr>
        </w:div>
        <w:div w:id="73087719">
          <w:marLeft w:val="640"/>
          <w:marRight w:val="0"/>
          <w:marTop w:val="0"/>
          <w:marBottom w:val="0"/>
          <w:divBdr>
            <w:top w:val="none" w:sz="0" w:space="0" w:color="auto"/>
            <w:left w:val="none" w:sz="0" w:space="0" w:color="auto"/>
            <w:bottom w:val="none" w:sz="0" w:space="0" w:color="auto"/>
            <w:right w:val="none" w:sz="0" w:space="0" w:color="auto"/>
          </w:divBdr>
        </w:div>
        <w:div w:id="611210516">
          <w:marLeft w:val="640"/>
          <w:marRight w:val="0"/>
          <w:marTop w:val="0"/>
          <w:marBottom w:val="0"/>
          <w:divBdr>
            <w:top w:val="none" w:sz="0" w:space="0" w:color="auto"/>
            <w:left w:val="none" w:sz="0" w:space="0" w:color="auto"/>
            <w:bottom w:val="none" w:sz="0" w:space="0" w:color="auto"/>
            <w:right w:val="none" w:sz="0" w:space="0" w:color="auto"/>
          </w:divBdr>
        </w:div>
        <w:div w:id="946228507">
          <w:marLeft w:val="640"/>
          <w:marRight w:val="0"/>
          <w:marTop w:val="0"/>
          <w:marBottom w:val="0"/>
          <w:divBdr>
            <w:top w:val="none" w:sz="0" w:space="0" w:color="auto"/>
            <w:left w:val="none" w:sz="0" w:space="0" w:color="auto"/>
            <w:bottom w:val="none" w:sz="0" w:space="0" w:color="auto"/>
            <w:right w:val="none" w:sz="0" w:space="0" w:color="auto"/>
          </w:divBdr>
        </w:div>
        <w:div w:id="1570388137">
          <w:marLeft w:val="640"/>
          <w:marRight w:val="0"/>
          <w:marTop w:val="0"/>
          <w:marBottom w:val="0"/>
          <w:divBdr>
            <w:top w:val="none" w:sz="0" w:space="0" w:color="auto"/>
            <w:left w:val="none" w:sz="0" w:space="0" w:color="auto"/>
            <w:bottom w:val="none" w:sz="0" w:space="0" w:color="auto"/>
            <w:right w:val="none" w:sz="0" w:space="0" w:color="auto"/>
          </w:divBdr>
        </w:div>
        <w:div w:id="1955205813">
          <w:marLeft w:val="640"/>
          <w:marRight w:val="0"/>
          <w:marTop w:val="0"/>
          <w:marBottom w:val="0"/>
          <w:divBdr>
            <w:top w:val="none" w:sz="0" w:space="0" w:color="auto"/>
            <w:left w:val="none" w:sz="0" w:space="0" w:color="auto"/>
            <w:bottom w:val="none" w:sz="0" w:space="0" w:color="auto"/>
            <w:right w:val="none" w:sz="0" w:space="0" w:color="auto"/>
          </w:divBdr>
        </w:div>
        <w:div w:id="749815951">
          <w:marLeft w:val="640"/>
          <w:marRight w:val="0"/>
          <w:marTop w:val="0"/>
          <w:marBottom w:val="0"/>
          <w:divBdr>
            <w:top w:val="none" w:sz="0" w:space="0" w:color="auto"/>
            <w:left w:val="none" w:sz="0" w:space="0" w:color="auto"/>
            <w:bottom w:val="none" w:sz="0" w:space="0" w:color="auto"/>
            <w:right w:val="none" w:sz="0" w:space="0" w:color="auto"/>
          </w:divBdr>
        </w:div>
        <w:div w:id="653027515">
          <w:marLeft w:val="640"/>
          <w:marRight w:val="0"/>
          <w:marTop w:val="0"/>
          <w:marBottom w:val="0"/>
          <w:divBdr>
            <w:top w:val="none" w:sz="0" w:space="0" w:color="auto"/>
            <w:left w:val="none" w:sz="0" w:space="0" w:color="auto"/>
            <w:bottom w:val="none" w:sz="0" w:space="0" w:color="auto"/>
            <w:right w:val="none" w:sz="0" w:space="0" w:color="auto"/>
          </w:divBdr>
        </w:div>
        <w:div w:id="623199854">
          <w:marLeft w:val="640"/>
          <w:marRight w:val="0"/>
          <w:marTop w:val="0"/>
          <w:marBottom w:val="0"/>
          <w:divBdr>
            <w:top w:val="none" w:sz="0" w:space="0" w:color="auto"/>
            <w:left w:val="none" w:sz="0" w:space="0" w:color="auto"/>
            <w:bottom w:val="none" w:sz="0" w:space="0" w:color="auto"/>
            <w:right w:val="none" w:sz="0" w:space="0" w:color="auto"/>
          </w:divBdr>
        </w:div>
        <w:div w:id="2035812143">
          <w:marLeft w:val="640"/>
          <w:marRight w:val="0"/>
          <w:marTop w:val="0"/>
          <w:marBottom w:val="0"/>
          <w:divBdr>
            <w:top w:val="none" w:sz="0" w:space="0" w:color="auto"/>
            <w:left w:val="none" w:sz="0" w:space="0" w:color="auto"/>
            <w:bottom w:val="none" w:sz="0" w:space="0" w:color="auto"/>
            <w:right w:val="none" w:sz="0" w:space="0" w:color="auto"/>
          </w:divBdr>
        </w:div>
        <w:div w:id="402262295">
          <w:marLeft w:val="640"/>
          <w:marRight w:val="0"/>
          <w:marTop w:val="0"/>
          <w:marBottom w:val="0"/>
          <w:divBdr>
            <w:top w:val="none" w:sz="0" w:space="0" w:color="auto"/>
            <w:left w:val="none" w:sz="0" w:space="0" w:color="auto"/>
            <w:bottom w:val="none" w:sz="0" w:space="0" w:color="auto"/>
            <w:right w:val="none" w:sz="0" w:space="0" w:color="auto"/>
          </w:divBdr>
        </w:div>
        <w:div w:id="1988049991">
          <w:marLeft w:val="640"/>
          <w:marRight w:val="0"/>
          <w:marTop w:val="0"/>
          <w:marBottom w:val="0"/>
          <w:divBdr>
            <w:top w:val="none" w:sz="0" w:space="0" w:color="auto"/>
            <w:left w:val="none" w:sz="0" w:space="0" w:color="auto"/>
            <w:bottom w:val="none" w:sz="0" w:space="0" w:color="auto"/>
            <w:right w:val="none" w:sz="0" w:space="0" w:color="auto"/>
          </w:divBdr>
        </w:div>
        <w:div w:id="363791983">
          <w:marLeft w:val="640"/>
          <w:marRight w:val="0"/>
          <w:marTop w:val="0"/>
          <w:marBottom w:val="0"/>
          <w:divBdr>
            <w:top w:val="none" w:sz="0" w:space="0" w:color="auto"/>
            <w:left w:val="none" w:sz="0" w:space="0" w:color="auto"/>
            <w:bottom w:val="none" w:sz="0" w:space="0" w:color="auto"/>
            <w:right w:val="none" w:sz="0" w:space="0" w:color="auto"/>
          </w:divBdr>
        </w:div>
        <w:div w:id="2063745069">
          <w:marLeft w:val="640"/>
          <w:marRight w:val="0"/>
          <w:marTop w:val="0"/>
          <w:marBottom w:val="0"/>
          <w:divBdr>
            <w:top w:val="none" w:sz="0" w:space="0" w:color="auto"/>
            <w:left w:val="none" w:sz="0" w:space="0" w:color="auto"/>
            <w:bottom w:val="none" w:sz="0" w:space="0" w:color="auto"/>
            <w:right w:val="none" w:sz="0" w:space="0" w:color="auto"/>
          </w:divBdr>
        </w:div>
        <w:div w:id="1734087028">
          <w:marLeft w:val="640"/>
          <w:marRight w:val="0"/>
          <w:marTop w:val="0"/>
          <w:marBottom w:val="0"/>
          <w:divBdr>
            <w:top w:val="none" w:sz="0" w:space="0" w:color="auto"/>
            <w:left w:val="none" w:sz="0" w:space="0" w:color="auto"/>
            <w:bottom w:val="none" w:sz="0" w:space="0" w:color="auto"/>
            <w:right w:val="none" w:sz="0" w:space="0" w:color="auto"/>
          </w:divBdr>
        </w:div>
        <w:div w:id="1729456844">
          <w:marLeft w:val="640"/>
          <w:marRight w:val="0"/>
          <w:marTop w:val="0"/>
          <w:marBottom w:val="0"/>
          <w:divBdr>
            <w:top w:val="none" w:sz="0" w:space="0" w:color="auto"/>
            <w:left w:val="none" w:sz="0" w:space="0" w:color="auto"/>
            <w:bottom w:val="none" w:sz="0" w:space="0" w:color="auto"/>
            <w:right w:val="none" w:sz="0" w:space="0" w:color="auto"/>
          </w:divBdr>
        </w:div>
        <w:div w:id="1988777203">
          <w:marLeft w:val="640"/>
          <w:marRight w:val="0"/>
          <w:marTop w:val="0"/>
          <w:marBottom w:val="0"/>
          <w:divBdr>
            <w:top w:val="none" w:sz="0" w:space="0" w:color="auto"/>
            <w:left w:val="none" w:sz="0" w:space="0" w:color="auto"/>
            <w:bottom w:val="none" w:sz="0" w:space="0" w:color="auto"/>
            <w:right w:val="none" w:sz="0" w:space="0" w:color="auto"/>
          </w:divBdr>
        </w:div>
        <w:div w:id="1200436344">
          <w:marLeft w:val="640"/>
          <w:marRight w:val="0"/>
          <w:marTop w:val="0"/>
          <w:marBottom w:val="0"/>
          <w:divBdr>
            <w:top w:val="none" w:sz="0" w:space="0" w:color="auto"/>
            <w:left w:val="none" w:sz="0" w:space="0" w:color="auto"/>
            <w:bottom w:val="none" w:sz="0" w:space="0" w:color="auto"/>
            <w:right w:val="none" w:sz="0" w:space="0" w:color="auto"/>
          </w:divBdr>
        </w:div>
        <w:div w:id="350036405">
          <w:marLeft w:val="640"/>
          <w:marRight w:val="0"/>
          <w:marTop w:val="0"/>
          <w:marBottom w:val="0"/>
          <w:divBdr>
            <w:top w:val="none" w:sz="0" w:space="0" w:color="auto"/>
            <w:left w:val="none" w:sz="0" w:space="0" w:color="auto"/>
            <w:bottom w:val="none" w:sz="0" w:space="0" w:color="auto"/>
            <w:right w:val="none" w:sz="0" w:space="0" w:color="auto"/>
          </w:divBdr>
        </w:div>
        <w:div w:id="354044916">
          <w:marLeft w:val="640"/>
          <w:marRight w:val="0"/>
          <w:marTop w:val="0"/>
          <w:marBottom w:val="0"/>
          <w:divBdr>
            <w:top w:val="none" w:sz="0" w:space="0" w:color="auto"/>
            <w:left w:val="none" w:sz="0" w:space="0" w:color="auto"/>
            <w:bottom w:val="none" w:sz="0" w:space="0" w:color="auto"/>
            <w:right w:val="none" w:sz="0" w:space="0" w:color="auto"/>
          </w:divBdr>
        </w:div>
        <w:div w:id="2049450315">
          <w:marLeft w:val="640"/>
          <w:marRight w:val="0"/>
          <w:marTop w:val="0"/>
          <w:marBottom w:val="0"/>
          <w:divBdr>
            <w:top w:val="none" w:sz="0" w:space="0" w:color="auto"/>
            <w:left w:val="none" w:sz="0" w:space="0" w:color="auto"/>
            <w:bottom w:val="none" w:sz="0" w:space="0" w:color="auto"/>
            <w:right w:val="none" w:sz="0" w:space="0" w:color="auto"/>
          </w:divBdr>
        </w:div>
        <w:div w:id="1376470364">
          <w:marLeft w:val="640"/>
          <w:marRight w:val="0"/>
          <w:marTop w:val="0"/>
          <w:marBottom w:val="0"/>
          <w:divBdr>
            <w:top w:val="none" w:sz="0" w:space="0" w:color="auto"/>
            <w:left w:val="none" w:sz="0" w:space="0" w:color="auto"/>
            <w:bottom w:val="none" w:sz="0" w:space="0" w:color="auto"/>
            <w:right w:val="none" w:sz="0" w:space="0" w:color="auto"/>
          </w:divBdr>
        </w:div>
        <w:div w:id="1551841357">
          <w:marLeft w:val="640"/>
          <w:marRight w:val="0"/>
          <w:marTop w:val="0"/>
          <w:marBottom w:val="0"/>
          <w:divBdr>
            <w:top w:val="none" w:sz="0" w:space="0" w:color="auto"/>
            <w:left w:val="none" w:sz="0" w:space="0" w:color="auto"/>
            <w:bottom w:val="none" w:sz="0" w:space="0" w:color="auto"/>
            <w:right w:val="none" w:sz="0" w:space="0" w:color="auto"/>
          </w:divBdr>
        </w:div>
        <w:div w:id="1084956170">
          <w:marLeft w:val="640"/>
          <w:marRight w:val="0"/>
          <w:marTop w:val="0"/>
          <w:marBottom w:val="0"/>
          <w:divBdr>
            <w:top w:val="none" w:sz="0" w:space="0" w:color="auto"/>
            <w:left w:val="none" w:sz="0" w:space="0" w:color="auto"/>
            <w:bottom w:val="none" w:sz="0" w:space="0" w:color="auto"/>
            <w:right w:val="none" w:sz="0" w:space="0" w:color="auto"/>
          </w:divBdr>
        </w:div>
        <w:div w:id="2042701788">
          <w:marLeft w:val="640"/>
          <w:marRight w:val="0"/>
          <w:marTop w:val="0"/>
          <w:marBottom w:val="0"/>
          <w:divBdr>
            <w:top w:val="none" w:sz="0" w:space="0" w:color="auto"/>
            <w:left w:val="none" w:sz="0" w:space="0" w:color="auto"/>
            <w:bottom w:val="none" w:sz="0" w:space="0" w:color="auto"/>
            <w:right w:val="none" w:sz="0" w:space="0" w:color="auto"/>
          </w:divBdr>
        </w:div>
        <w:div w:id="1215777763">
          <w:marLeft w:val="640"/>
          <w:marRight w:val="0"/>
          <w:marTop w:val="0"/>
          <w:marBottom w:val="0"/>
          <w:divBdr>
            <w:top w:val="none" w:sz="0" w:space="0" w:color="auto"/>
            <w:left w:val="none" w:sz="0" w:space="0" w:color="auto"/>
            <w:bottom w:val="none" w:sz="0" w:space="0" w:color="auto"/>
            <w:right w:val="none" w:sz="0" w:space="0" w:color="auto"/>
          </w:divBdr>
        </w:div>
        <w:div w:id="1703018716">
          <w:marLeft w:val="640"/>
          <w:marRight w:val="0"/>
          <w:marTop w:val="0"/>
          <w:marBottom w:val="0"/>
          <w:divBdr>
            <w:top w:val="none" w:sz="0" w:space="0" w:color="auto"/>
            <w:left w:val="none" w:sz="0" w:space="0" w:color="auto"/>
            <w:bottom w:val="none" w:sz="0" w:space="0" w:color="auto"/>
            <w:right w:val="none" w:sz="0" w:space="0" w:color="auto"/>
          </w:divBdr>
        </w:div>
        <w:div w:id="765080749">
          <w:marLeft w:val="640"/>
          <w:marRight w:val="0"/>
          <w:marTop w:val="0"/>
          <w:marBottom w:val="0"/>
          <w:divBdr>
            <w:top w:val="none" w:sz="0" w:space="0" w:color="auto"/>
            <w:left w:val="none" w:sz="0" w:space="0" w:color="auto"/>
            <w:bottom w:val="none" w:sz="0" w:space="0" w:color="auto"/>
            <w:right w:val="none" w:sz="0" w:space="0" w:color="auto"/>
          </w:divBdr>
        </w:div>
        <w:div w:id="1760642531">
          <w:marLeft w:val="640"/>
          <w:marRight w:val="0"/>
          <w:marTop w:val="0"/>
          <w:marBottom w:val="0"/>
          <w:divBdr>
            <w:top w:val="none" w:sz="0" w:space="0" w:color="auto"/>
            <w:left w:val="none" w:sz="0" w:space="0" w:color="auto"/>
            <w:bottom w:val="none" w:sz="0" w:space="0" w:color="auto"/>
            <w:right w:val="none" w:sz="0" w:space="0" w:color="auto"/>
          </w:divBdr>
        </w:div>
        <w:div w:id="1516966861">
          <w:marLeft w:val="640"/>
          <w:marRight w:val="0"/>
          <w:marTop w:val="0"/>
          <w:marBottom w:val="0"/>
          <w:divBdr>
            <w:top w:val="none" w:sz="0" w:space="0" w:color="auto"/>
            <w:left w:val="none" w:sz="0" w:space="0" w:color="auto"/>
            <w:bottom w:val="none" w:sz="0" w:space="0" w:color="auto"/>
            <w:right w:val="none" w:sz="0" w:space="0" w:color="auto"/>
          </w:divBdr>
        </w:div>
        <w:div w:id="1148283749">
          <w:marLeft w:val="640"/>
          <w:marRight w:val="0"/>
          <w:marTop w:val="0"/>
          <w:marBottom w:val="0"/>
          <w:divBdr>
            <w:top w:val="none" w:sz="0" w:space="0" w:color="auto"/>
            <w:left w:val="none" w:sz="0" w:space="0" w:color="auto"/>
            <w:bottom w:val="none" w:sz="0" w:space="0" w:color="auto"/>
            <w:right w:val="none" w:sz="0" w:space="0" w:color="auto"/>
          </w:divBdr>
        </w:div>
        <w:div w:id="2066178466">
          <w:marLeft w:val="640"/>
          <w:marRight w:val="0"/>
          <w:marTop w:val="0"/>
          <w:marBottom w:val="0"/>
          <w:divBdr>
            <w:top w:val="none" w:sz="0" w:space="0" w:color="auto"/>
            <w:left w:val="none" w:sz="0" w:space="0" w:color="auto"/>
            <w:bottom w:val="none" w:sz="0" w:space="0" w:color="auto"/>
            <w:right w:val="none" w:sz="0" w:space="0" w:color="auto"/>
          </w:divBdr>
        </w:div>
        <w:div w:id="2074741364">
          <w:marLeft w:val="640"/>
          <w:marRight w:val="0"/>
          <w:marTop w:val="0"/>
          <w:marBottom w:val="0"/>
          <w:divBdr>
            <w:top w:val="none" w:sz="0" w:space="0" w:color="auto"/>
            <w:left w:val="none" w:sz="0" w:space="0" w:color="auto"/>
            <w:bottom w:val="none" w:sz="0" w:space="0" w:color="auto"/>
            <w:right w:val="none" w:sz="0" w:space="0" w:color="auto"/>
          </w:divBdr>
        </w:div>
        <w:div w:id="1042292360">
          <w:marLeft w:val="640"/>
          <w:marRight w:val="0"/>
          <w:marTop w:val="0"/>
          <w:marBottom w:val="0"/>
          <w:divBdr>
            <w:top w:val="none" w:sz="0" w:space="0" w:color="auto"/>
            <w:left w:val="none" w:sz="0" w:space="0" w:color="auto"/>
            <w:bottom w:val="none" w:sz="0" w:space="0" w:color="auto"/>
            <w:right w:val="none" w:sz="0" w:space="0" w:color="auto"/>
          </w:divBdr>
        </w:div>
        <w:div w:id="1356811254">
          <w:marLeft w:val="640"/>
          <w:marRight w:val="0"/>
          <w:marTop w:val="0"/>
          <w:marBottom w:val="0"/>
          <w:divBdr>
            <w:top w:val="none" w:sz="0" w:space="0" w:color="auto"/>
            <w:left w:val="none" w:sz="0" w:space="0" w:color="auto"/>
            <w:bottom w:val="none" w:sz="0" w:space="0" w:color="auto"/>
            <w:right w:val="none" w:sz="0" w:space="0" w:color="auto"/>
          </w:divBdr>
        </w:div>
        <w:div w:id="1669558340">
          <w:marLeft w:val="640"/>
          <w:marRight w:val="0"/>
          <w:marTop w:val="0"/>
          <w:marBottom w:val="0"/>
          <w:divBdr>
            <w:top w:val="none" w:sz="0" w:space="0" w:color="auto"/>
            <w:left w:val="none" w:sz="0" w:space="0" w:color="auto"/>
            <w:bottom w:val="none" w:sz="0" w:space="0" w:color="auto"/>
            <w:right w:val="none" w:sz="0" w:space="0" w:color="auto"/>
          </w:divBdr>
        </w:div>
        <w:div w:id="825165432">
          <w:marLeft w:val="640"/>
          <w:marRight w:val="0"/>
          <w:marTop w:val="0"/>
          <w:marBottom w:val="0"/>
          <w:divBdr>
            <w:top w:val="none" w:sz="0" w:space="0" w:color="auto"/>
            <w:left w:val="none" w:sz="0" w:space="0" w:color="auto"/>
            <w:bottom w:val="none" w:sz="0" w:space="0" w:color="auto"/>
            <w:right w:val="none" w:sz="0" w:space="0" w:color="auto"/>
          </w:divBdr>
        </w:div>
        <w:div w:id="561596261">
          <w:marLeft w:val="640"/>
          <w:marRight w:val="0"/>
          <w:marTop w:val="0"/>
          <w:marBottom w:val="0"/>
          <w:divBdr>
            <w:top w:val="none" w:sz="0" w:space="0" w:color="auto"/>
            <w:left w:val="none" w:sz="0" w:space="0" w:color="auto"/>
            <w:bottom w:val="none" w:sz="0" w:space="0" w:color="auto"/>
            <w:right w:val="none" w:sz="0" w:space="0" w:color="auto"/>
          </w:divBdr>
        </w:div>
        <w:div w:id="658734647">
          <w:marLeft w:val="640"/>
          <w:marRight w:val="0"/>
          <w:marTop w:val="0"/>
          <w:marBottom w:val="0"/>
          <w:divBdr>
            <w:top w:val="none" w:sz="0" w:space="0" w:color="auto"/>
            <w:left w:val="none" w:sz="0" w:space="0" w:color="auto"/>
            <w:bottom w:val="none" w:sz="0" w:space="0" w:color="auto"/>
            <w:right w:val="none" w:sz="0" w:space="0" w:color="auto"/>
          </w:divBdr>
        </w:div>
        <w:div w:id="83692462">
          <w:marLeft w:val="640"/>
          <w:marRight w:val="0"/>
          <w:marTop w:val="0"/>
          <w:marBottom w:val="0"/>
          <w:divBdr>
            <w:top w:val="none" w:sz="0" w:space="0" w:color="auto"/>
            <w:left w:val="none" w:sz="0" w:space="0" w:color="auto"/>
            <w:bottom w:val="none" w:sz="0" w:space="0" w:color="auto"/>
            <w:right w:val="none" w:sz="0" w:space="0" w:color="auto"/>
          </w:divBdr>
        </w:div>
        <w:div w:id="2146385859">
          <w:marLeft w:val="640"/>
          <w:marRight w:val="0"/>
          <w:marTop w:val="0"/>
          <w:marBottom w:val="0"/>
          <w:divBdr>
            <w:top w:val="none" w:sz="0" w:space="0" w:color="auto"/>
            <w:left w:val="none" w:sz="0" w:space="0" w:color="auto"/>
            <w:bottom w:val="none" w:sz="0" w:space="0" w:color="auto"/>
            <w:right w:val="none" w:sz="0" w:space="0" w:color="auto"/>
          </w:divBdr>
        </w:div>
        <w:div w:id="402795421">
          <w:marLeft w:val="640"/>
          <w:marRight w:val="0"/>
          <w:marTop w:val="0"/>
          <w:marBottom w:val="0"/>
          <w:divBdr>
            <w:top w:val="none" w:sz="0" w:space="0" w:color="auto"/>
            <w:left w:val="none" w:sz="0" w:space="0" w:color="auto"/>
            <w:bottom w:val="none" w:sz="0" w:space="0" w:color="auto"/>
            <w:right w:val="none" w:sz="0" w:space="0" w:color="auto"/>
          </w:divBdr>
        </w:div>
        <w:div w:id="753822140">
          <w:marLeft w:val="640"/>
          <w:marRight w:val="0"/>
          <w:marTop w:val="0"/>
          <w:marBottom w:val="0"/>
          <w:divBdr>
            <w:top w:val="none" w:sz="0" w:space="0" w:color="auto"/>
            <w:left w:val="none" w:sz="0" w:space="0" w:color="auto"/>
            <w:bottom w:val="none" w:sz="0" w:space="0" w:color="auto"/>
            <w:right w:val="none" w:sz="0" w:space="0" w:color="auto"/>
          </w:divBdr>
        </w:div>
        <w:div w:id="1727752240">
          <w:marLeft w:val="640"/>
          <w:marRight w:val="0"/>
          <w:marTop w:val="0"/>
          <w:marBottom w:val="0"/>
          <w:divBdr>
            <w:top w:val="none" w:sz="0" w:space="0" w:color="auto"/>
            <w:left w:val="none" w:sz="0" w:space="0" w:color="auto"/>
            <w:bottom w:val="none" w:sz="0" w:space="0" w:color="auto"/>
            <w:right w:val="none" w:sz="0" w:space="0" w:color="auto"/>
          </w:divBdr>
        </w:div>
        <w:div w:id="749696851">
          <w:marLeft w:val="640"/>
          <w:marRight w:val="0"/>
          <w:marTop w:val="0"/>
          <w:marBottom w:val="0"/>
          <w:divBdr>
            <w:top w:val="none" w:sz="0" w:space="0" w:color="auto"/>
            <w:left w:val="none" w:sz="0" w:space="0" w:color="auto"/>
            <w:bottom w:val="none" w:sz="0" w:space="0" w:color="auto"/>
            <w:right w:val="none" w:sz="0" w:space="0" w:color="auto"/>
          </w:divBdr>
        </w:div>
        <w:div w:id="783039066">
          <w:marLeft w:val="640"/>
          <w:marRight w:val="0"/>
          <w:marTop w:val="0"/>
          <w:marBottom w:val="0"/>
          <w:divBdr>
            <w:top w:val="none" w:sz="0" w:space="0" w:color="auto"/>
            <w:left w:val="none" w:sz="0" w:space="0" w:color="auto"/>
            <w:bottom w:val="none" w:sz="0" w:space="0" w:color="auto"/>
            <w:right w:val="none" w:sz="0" w:space="0" w:color="auto"/>
          </w:divBdr>
        </w:div>
        <w:div w:id="1439133431">
          <w:marLeft w:val="640"/>
          <w:marRight w:val="0"/>
          <w:marTop w:val="0"/>
          <w:marBottom w:val="0"/>
          <w:divBdr>
            <w:top w:val="none" w:sz="0" w:space="0" w:color="auto"/>
            <w:left w:val="none" w:sz="0" w:space="0" w:color="auto"/>
            <w:bottom w:val="none" w:sz="0" w:space="0" w:color="auto"/>
            <w:right w:val="none" w:sz="0" w:space="0" w:color="auto"/>
          </w:divBdr>
        </w:div>
        <w:div w:id="385615790">
          <w:marLeft w:val="640"/>
          <w:marRight w:val="0"/>
          <w:marTop w:val="0"/>
          <w:marBottom w:val="0"/>
          <w:divBdr>
            <w:top w:val="none" w:sz="0" w:space="0" w:color="auto"/>
            <w:left w:val="none" w:sz="0" w:space="0" w:color="auto"/>
            <w:bottom w:val="none" w:sz="0" w:space="0" w:color="auto"/>
            <w:right w:val="none" w:sz="0" w:space="0" w:color="auto"/>
          </w:divBdr>
        </w:div>
        <w:div w:id="972322104">
          <w:marLeft w:val="640"/>
          <w:marRight w:val="0"/>
          <w:marTop w:val="0"/>
          <w:marBottom w:val="0"/>
          <w:divBdr>
            <w:top w:val="none" w:sz="0" w:space="0" w:color="auto"/>
            <w:left w:val="none" w:sz="0" w:space="0" w:color="auto"/>
            <w:bottom w:val="none" w:sz="0" w:space="0" w:color="auto"/>
            <w:right w:val="none" w:sz="0" w:space="0" w:color="auto"/>
          </w:divBdr>
        </w:div>
        <w:div w:id="1522207871">
          <w:marLeft w:val="640"/>
          <w:marRight w:val="0"/>
          <w:marTop w:val="0"/>
          <w:marBottom w:val="0"/>
          <w:divBdr>
            <w:top w:val="none" w:sz="0" w:space="0" w:color="auto"/>
            <w:left w:val="none" w:sz="0" w:space="0" w:color="auto"/>
            <w:bottom w:val="none" w:sz="0" w:space="0" w:color="auto"/>
            <w:right w:val="none" w:sz="0" w:space="0" w:color="auto"/>
          </w:divBdr>
        </w:div>
        <w:div w:id="456685325">
          <w:marLeft w:val="640"/>
          <w:marRight w:val="0"/>
          <w:marTop w:val="0"/>
          <w:marBottom w:val="0"/>
          <w:divBdr>
            <w:top w:val="none" w:sz="0" w:space="0" w:color="auto"/>
            <w:left w:val="none" w:sz="0" w:space="0" w:color="auto"/>
            <w:bottom w:val="none" w:sz="0" w:space="0" w:color="auto"/>
            <w:right w:val="none" w:sz="0" w:space="0" w:color="auto"/>
          </w:divBdr>
        </w:div>
        <w:div w:id="1235429074">
          <w:marLeft w:val="640"/>
          <w:marRight w:val="0"/>
          <w:marTop w:val="0"/>
          <w:marBottom w:val="0"/>
          <w:divBdr>
            <w:top w:val="none" w:sz="0" w:space="0" w:color="auto"/>
            <w:left w:val="none" w:sz="0" w:space="0" w:color="auto"/>
            <w:bottom w:val="none" w:sz="0" w:space="0" w:color="auto"/>
            <w:right w:val="none" w:sz="0" w:space="0" w:color="auto"/>
          </w:divBdr>
        </w:div>
        <w:div w:id="1003779403">
          <w:marLeft w:val="640"/>
          <w:marRight w:val="0"/>
          <w:marTop w:val="0"/>
          <w:marBottom w:val="0"/>
          <w:divBdr>
            <w:top w:val="none" w:sz="0" w:space="0" w:color="auto"/>
            <w:left w:val="none" w:sz="0" w:space="0" w:color="auto"/>
            <w:bottom w:val="none" w:sz="0" w:space="0" w:color="auto"/>
            <w:right w:val="none" w:sz="0" w:space="0" w:color="auto"/>
          </w:divBdr>
        </w:div>
        <w:div w:id="1327511220">
          <w:marLeft w:val="640"/>
          <w:marRight w:val="0"/>
          <w:marTop w:val="0"/>
          <w:marBottom w:val="0"/>
          <w:divBdr>
            <w:top w:val="none" w:sz="0" w:space="0" w:color="auto"/>
            <w:left w:val="none" w:sz="0" w:space="0" w:color="auto"/>
            <w:bottom w:val="none" w:sz="0" w:space="0" w:color="auto"/>
            <w:right w:val="none" w:sz="0" w:space="0" w:color="auto"/>
          </w:divBdr>
        </w:div>
        <w:div w:id="1261377596">
          <w:marLeft w:val="640"/>
          <w:marRight w:val="0"/>
          <w:marTop w:val="0"/>
          <w:marBottom w:val="0"/>
          <w:divBdr>
            <w:top w:val="none" w:sz="0" w:space="0" w:color="auto"/>
            <w:left w:val="none" w:sz="0" w:space="0" w:color="auto"/>
            <w:bottom w:val="none" w:sz="0" w:space="0" w:color="auto"/>
            <w:right w:val="none" w:sz="0" w:space="0" w:color="auto"/>
          </w:divBdr>
        </w:div>
        <w:div w:id="213661557">
          <w:marLeft w:val="640"/>
          <w:marRight w:val="0"/>
          <w:marTop w:val="0"/>
          <w:marBottom w:val="0"/>
          <w:divBdr>
            <w:top w:val="none" w:sz="0" w:space="0" w:color="auto"/>
            <w:left w:val="none" w:sz="0" w:space="0" w:color="auto"/>
            <w:bottom w:val="none" w:sz="0" w:space="0" w:color="auto"/>
            <w:right w:val="none" w:sz="0" w:space="0" w:color="auto"/>
          </w:divBdr>
        </w:div>
        <w:div w:id="464205475">
          <w:marLeft w:val="640"/>
          <w:marRight w:val="0"/>
          <w:marTop w:val="0"/>
          <w:marBottom w:val="0"/>
          <w:divBdr>
            <w:top w:val="none" w:sz="0" w:space="0" w:color="auto"/>
            <w:left w:val="none" w:sz="0" w:space="0" w:color="auto"/>
            <w:bottom w:val="none" w:sz="0" w:space="0" w:color="auto"/>
            <w:right w:val="none" w:sz="0" w:space="0" w:color="auto"/>
          </w:divBdr>
        </w:div>
        <w:div w:id="1025908493">
          <w:marLeft w:val="640"/>
          <w:marRight w:val="0"/>
          <w:marTop w:val="0"/>
          <w:marBottom w:val="0"/>
          <w:divBdr>
            <w:top w:val="none" w:sz="0" w:space="0" w:color="auto"/>
            <w:left w:val="none" w:sz="0" w:space="0" w:color="auto"/>
            <w:bottom w:val="none" w:sz="0" w:space="0" w:color="auto"/>
            <w:right w:val="none" w:sz="0" w:space="0" w:color="auto"/>
          </w:divBdr>
        </w:div>
        <w:div w:id="655113786">
          <w:marLeft w:val="640"/>
          <w:marRight w:val="0"/>
          <w:marTop w:val="0"/>
          <w:marBottom w:val="0"/>
          <w:divBdr>
            <w:top w:val="none" w:sz="0" w:space="0" w:color="auto"/>
            <w:left w:val="none" w:sz="0" w:space="0" w:color="auto"/>
            <w:bottom w:val="none" w:sz="0" w:space="0" w:color="auto"/>
            <w:right w:val="none" w:sz="0" w:space="0" w:color="auto"/>
          </w:divBdr>
        </w:div>
        <w:div w:id="1912422016">
          <w:marLeft w:val="640"/>
          <w:marRight w:val="0"/>
          <w:marTop w:val="0"/>
          <w:marBottom w:val="0"/>
          <w:divBdr>
            <w:top w:val="none" w:sz="0" w:space="0" w:color="auto"/>
            <w:left w:val="none" w:sz="0" w:space="0" w:color="auto"/>
            <w:bottom w:val="none" w:sz="0" w:space="0" w:color="auto"/>
            <w:right w:val="none" w:sz="0" w:space="0" w:color="auto"/>
          </w:divBdr>
        </w:div>
        <w:div w:id="1835297481">
          <w:marLeft w:val="640"/>
          <w:marRight w:val="0"/>
          <w:marTop w:val="0"/>
          <w:marBottom w:val="0"/>
          <w:divBdr>
            <w:top w:val="none" w:sz="0" w:space="0" w:color="auto"/>
            <w:left w:val="none" w:sz="0" w:space="0" w:color="auto"/>
            <w:bottom w:val="none" w:sz="0" w:space="0" w:color="auto"/>
            <w:right w:val="none" w:sz="0" w:space="0" w:color="auto"/>
          </w:divBdr>
        </w:div>
        <w:div w:id="481117206">
          <w:marLeft w:val="640"/>
          <w:marRight w:val="0"/>
          <w:marTop w:val="0"/>
          <w:marBottom w:val="0"/>
          <w:divBdr>
            <w:top w:val="none" w:sz="0" w:space="0" w:color="auto"/>
            <w:left w:val="none" w:sz="0" w:space="0" w:color="auto"/>
            <w:bottom w:val="none" w:sz="0" w:space="0" w:color="auto"/>
            <w:right w:val="none" w:sz="0" w:space="0" w:color="auto"/>
          </w:divBdr>
        </w:div>
        <w:div w:id="495265644">
          <w:marLeft w:val="640"/>
          <w:marRight w:val="0"/>
          <w:marTop w:val="0"/>
          <w:marBottom w:val="0"/>
          <w:divBdr>
            <w:top w:val="none" w:sz="0" w:space="0" w:color="auto"/>
            <w:left w:val="none" w:sz="0" w:space="0" w:color="auto"/>
            <w:bottom w:val="none" w:sz="0" w:space="0" w:color="auto"/>
            <w:right w:val="none" w:sz="0" w:space="0" w:color="auto"/>
          </w:divBdr>
        </w:div>
        <w:div w:id="1804231273">
          <w:marLeft w:val="640"/>
          <w:marRight w:val="0"/>
          <w:marTop w:val="0"/>
          <w:marBottom w:val="0"/>
          <w:divBdr>
            <w:top w:val="none" w:sz="0" w:space="0" w:color="auto"/>
            <w:left w:val="none" w:sz="0" w:space="0" w:color="auto"/>
            <w:bottom w:val="none" w:sz="0" w:space="0" w:color="auto"/>
            <w:right w:val="none" w:sz="0" w:space="0" w:color="auto"/>
          </w:divBdr>
        </w:div>
        <w:div w:id="201748026">
          <w:marLeft w:val="640"/>
          <w:marRight w:val="0"/>
          <w:marTop w:val="0"/>
          <w:marBottom w:val="0"/>
          <w:divBdr>
            <w:top w:val="none" w:sz="0" w:space="0" w:color="auto"/>
            <w:left w:val="none" w:sz="0" w:space="0" w:color="auto"/>
            <w:bottom w:val="none" w:sz="0" w:space="0" w:color="auto"/>
            <w:right w:val="none" w:sz="0" w:space="0" w:color="auto"/>
          </w:divBdr>
        </w:div>
        <w:div w:id="1450125436">
          <w:marLeft w:val="640"/>
          <w:marRight w:val="0"/>
          <w:marTop w:val="0"/>
          <w:marBottom w:val="0"/>
          <w:divBdr>
            <w:top w:val="none" w:sz="0" w:space="0" w:color="auto"/>
            <w:left w:val="none" w:sz="0" w:space="0" w:color="auto"/>
            <w:bottom w:val="none" w:sz="0" w:space="0" w:color="auto"/>
            <w:right w:val="none" w:sz="0" w:space="0" w:color="auto"/>
          </w:divBdr>
        </w:div>
        <w:div w:id="1140002669">
          <w:marLeft w:val="640"/>
          <w:marRight w:val="0"/>
          <w:marTop w:val="0"/>
          <w:marBottom w:val="0"/>
          <w:divBdr>
            <w:top w:val="none" w:sz="0" w:space="0" w:color="auto"/>
            <w:left w:val="none" w:sz="0" w:space="0" w:color="auto"/>
            <w:bottom w:val="none" w:sz="0" w:space="0" w:color="auto"/>
            <w:right w:val="none" w:sz="0" w:space="0" w:color="auto"/>
          </w:divBdr>
        </w:div>
        <w:div w:id="931931274">
          <w:marLeft w:val="640"/>
          <w:marRight w:val="0"/>
          <w:marTop w:val="0"/>
          <w:marBottom w:val="0"/>
          <w:divBdr>
            <w:top w:val="none" w:sz="0" w:space="0" w:color="auto"/>
            <w:left w:val="none" w:sz="0" w:space="0" w:color="auto"/>
            <w:bottom w:val="none" w:sz="0" w:space="0" w:color="auto"/>
            <w:right w:val="none" w:sz="0" w:space="0" w:color="auto"/>
          </w:divBdr>
        </w:div>
        <w:div w:id="618728353">
          <w:marLeft w:val="640"/>
          <w:marRight w:val="0"/>
          <w:marTop w:val="0"/>
          <w:marBottom w:val="0"/>
          <w:divBdr>
            <w:top w:val="none" w:sz="0" w:space="0" w:color="auto"/>
            <w:left w:val="none" w:sz="0" w:space="0" w:color="auto"/>
            <w:bottom w:val="none" w:sz="0" w:space="0" w:color="auto"/>
            <w:right w:val="none" w:sz="0" w:space="0" w:color="auto"/>
          </w:divBdr>
        </w:div>
        <w:div w:id="2146971197">
          <w:marLeft w:val="640"/>
          <w:marRight w:val="0"/>
          <w:marTop w:val="0"/>
          <w:marBottom w:val="0"/>
          <w:divBdr>
            <w:top w:val="none" w:sz="0" w:space="0" w:color="auto"/>
            <w:left w:val="none" w:sz="0" w:space="0" w:color="auto"/>
            <w:bottom w:val="none" w:sz="0" w:space="0" w:color="auto"/>
            <w:right w:val="none" w:sz="0" w:space="0" w:color="auto"/>
          </w:divBdr>
        </w:div>
        <w:div w:id="95710913">
          <w:marLeft w:val="640"/>
          <w:marRight w:val="0"/>
          <w:marTop w:val="0"/>
          <w:marBottom w:val="0"/>
          <w:divBdr>
            <w:top w:val="none" w:sz="0" w:space="0" w:color="auto"/>
            <w:left w:val="none" w:sz="0" w:space="0" w:color="auto"/>
            <w:bottom w:val="none" w:sz="0" w:space="0" w:color="auto"/>
            <w:right w:val="none" w:sz="0" w:space="0" w:color="auto"/>
          </w:divBdr>
        </w:div>
        <w:div w:id="1092051513">
          <w:marLeft w:val="640"/>
          <w:marRight w:val="0"/>
          <w:marTop w:val="0"/>
          <w:marBottom w:val="0"/>
          <w:divBdr>
            <w:top w:val="none" w:sz="0" w:space="0" w:color="auto"/>
            <w:left w:val="none" w:sz="0" w:space="0" w:color="auto"/>
            <w:bottom w:val="none" w:sz="0" w:space="0" w:color="auto"/>
            <w:right w:val="none" w:sz="0" w:space="0" w:color="auto"/>
          </w:divBdr>
        </w:div>
        <w:div w:id="1235703140">
          <w:marLeft w:val="640"/>
          <w:marRight w:val="0"/>
          <w:marTop w:val="0"/>
          <w:marBottom w:val="0"/>
          <w:divBdr>
            <w:top w:val="none" w:sz="0" w:space="0" w:color="auto"/>
            <w:left w:val="none" w:sz="0" w:space="0" w:color="auto"/>
            <w:bottom w:val="none" w:sz="0" w:space="0" w:color="auto"/>
            <w:right w:val="none" w:sz="0" w:space="0" w:color="auto"/>
          </w:divBdr>
        </w:div>
        <w:div w:id="1242567288">
          <w:marLeft w:val="640"/>
          <w:marRight w:val="0"/>
          <w:marTop w:val="0"/>
          <w:marBottom w:val="0"/>
          <w:divBdr>
            <w:top w:val="none" w:sz="0" w:space="0" w:color="auto"/>
            <w:left w:val="none" w:sz="0" w:space="0" w:color="auto"/>
            <w:bottom w:val="none" w:sz="0" w:space="0" w:color="auto"/>
            <w:right w:val="none" w:sz="0" w:space="0" w:color="auto"/>
          </w:divBdr>
        </w:div>
        <w:div w:id="1636332113">
          <w:marLeft w:val="640"/>
          <w:marRight w:val="0"/>
          <w:marTop w:val="0"/>
          <w:marBottom w:val="0"/>
          <w:divBdr>
            <w:top w:val="none" w:sz="0" w:space="0" w:color="auto"/>
            <w:left w:val="none" w:sz="0" w:space="0" w:color="auto"/>
            <w:bottom w:val="none" w:sz="0" w:space="0" w:color="auto"/>
            <w:right w:val="none" w:sz="0" w:space="0" w:color="auto"/>
          </w:divBdr>
        </w:div>
        <w:div w:id="540821582">
          <w:marLeft w:val="640"/>
          <w:marRight w:val="0"/>
          <w:marTop w:val="0"/>
          <w:marBottom w:val="0"/>
          <w:divBdr>
            <w:top w:val="none" w:sz="0" w:space="0" w:color="auto"/>
            <w:left w:val="none" w:sz="0" w:space="0" w:color="auto"/>
            <w:bottom w:val="none" w:sz="0" w:space="0" w:color="auto"/>
            <w:right w:val="none" w:sz="0" w:space="0" w:color="auto"/>
          </w:divBdr>
        </w:div>
        <w:div w:id="1097600623">
          <w:marLeft w:val="640"/>
          <w:marRight w:val="0"/>
          <w:marTop w:val="0"/>
          <w:marBottom w:val="0"/>
          <w:divBdr>
            <w:top w:val="none" w:sz="0" w:space="0" w:color="auto"/>
            <w:left w:val="none" w:sz="0" w:space="0" w:color="auto"/>
            <w:bottom w:val="none" w:sz="0" w:space="0" w:color="auto"/>
            <w:right w:val="none" w:sz="0" w:space="0" w:color="auto"/>
          </w:divBdr>
        </w:div>
        <w:div w:id="1201554358">
          <w:marLeft w:val="640"/>
          <w:marRight w:val="0"/>
          <w:marTop w:val="0"/>
          <w:marBottom w:val="0"/>
          <w:divBdr>
            <w:top w:val="none" w:sz="0" w:space="0" w:color="auto"/>
            <w:left w:val="none" w:sz="0" w:space="0" w:color="auto"/>
            <w:bottom w:val="none" w:sz="0" w:space="0" w:color="auto"/>
            <w:right w:val="none" w:sz="0" w:space="0" w:color="auto"/>
          </w:divBdr>
        </w:div>
        <w:div w:id="1898782550">
          <w:marLeft w:val="640"/>
          <w:marRight w:val="0"/>
          <w:marTop w:val="0"/>
          <w:marBottom w:val="0"/>
          <w:divBdr>
            <w:top w:val="none" w:sz="0" w:space="0" w:color="auto"/>
            <w:left w:val="none" w:sz="0" w:space="0" w:color="auto"/>
            <w:bottom w:val="none" w:sz="0" w:space="0" w:color="auto"/>
            <w:right w:val="none" w:sz="0" w:space="0" w:color="auto"/>
          </w:divBdr>
        </w:div>
        <w:div w:id="274944215">
          <w:marLeft w:val="640"/>
          <w:marRight w:val="0"/>
          <w:marTop w:val="0"/>
          <w:marBottom w:val="0"/>
          <w:divBdr>
            <w:top w:val="none" w:sz="0" w:space="0" w:color="auto"/>
            <w:left w:val="none" w:sz="0" w:space="0" w:color="auto"/>
            <w:bottom w:val="none" w:sz="0" w:space="0" w:color="auto"/>
            <w:right w:val="none" w:sz="0" w:space="0" w:color="auto"/>
          </w:divBdr>
        </w:div>
        <w:div w:id="2132162171">
          <w:marLeft w:val="640"/>
          <w:marRight w:val="0"/>
          <w:marTop w:val="0"/>
          <w:marBottom w:val="0"/>
          <w:divBdr>
            <w:top w:val="none" w:sz="0" w:space="0" w:color="auto"/>
            <w:left w:val="none" w:sz="0" w:space="0" w:color="auto"/>
            <w:bottom w:val="none" w:sz="0" w:space="0" w:color="auto"/>
            <w:right w:val="none" w:sz="0" w:space="0" w:color="auto"/>
          </w:divBdr>
        </w:div>
        <w:div w:id="836001849">
          <w:marLeft w:val="640"/>
          <w:marRight w:val="0"/>
          <w:marTop w:val="0"/>
          <w:marBottom w:val="0"/>
          <w:divBdr>
            <w:top w:val="none" w:sz="0" w:space="0" w:color="auto"/>
            <w:left w:val="none" w:sz="0" w:space="0" w:color="auto"/>
            <w:bottom w:val="none" w:sz="0" w:space="0" w:color="auto"/>
            <w:right w:val="none" w:sz="0" w:space="0" w:color="auto"/>
          </w:divBdr>
        </w:div>
        <w:div w:id="2006131323">
          <w:marLeft w:val="640"/>
          <w:marRight w:val="0"/>
          <w:marTop w:val="0"/>
          <w:marBottom w:val="0"/>
          <w:divBdr>
            <w:top w:val="none" w:sz="0" w:space="0" w:color="auto"/>
            <w:left w:val="none" w:sz="0" w:space="0" w:color="auto"/>
            <w:bottom w:val="none" w:sz="0" w:space="0" w:color="auto"/>
            <w:right w:val="none" w:sz="0" w:space="0" w:color="auto"/>
          </w:divBdr>
        </w:div>
        <w:div w:id="484201318">
          <w:marLeft w:val="640"/>
          <w:marRight w:val="0"/>
          <w:marTop w:val="0"/>
          <w:marBottom w:val="0"/>
          <w:divBdr>
            <w:top w:val="none" w:sz="0" w:space="0" w:color="auto"/>
            <w:left w:val="none" w:sz="0" w:space="0" w:color="auto"/>
            <w:bottom w:val="none" w:sz="0" w:space="0" w:color="auto"/>
            <w:right w:val="none" w:sz="0" w:space="0" w:color="auto"/>
          </w:divBdr>
        </w:div>
        <w:div w:id="185607656">
          <w:marLeft w:val="640"/>
          <w:marRight w:val="0"/>
          <w:marTop w:val="0"/>
          <w:marBottom w:val="0"/>
          <w:divBdr>
            <w:top w:val="none" w:sz="0" w:space="0" w:color="auto"/>
            <w:left w:val="none" w:sz="0" w:space="0" w:color="auto"/>
            <w:bottom w:val="none" w:sz="0" w:space="0" w:color="auto"/>
            <w:right w:val="none" w:sz="0" w:space="0" w:color="auto"/>
          </w:divBdr>
        </w:div>
        <w:div w:id="1469006109">
          <w:marLeft w:val="640"/>
          <w:marRight w:val="0"/>
          <w:marTop w:val="0"/>
          <w:marBottom w:val="0"/>
          <w:divBdr>
            <w:top w:val="none" w:sz="0" w:space="0" w:color="auto"/>
            <w:left w:val="none" w:sz="0" w:space="0" w:color="auto"/>
            <w:bottom w:val="none" w:sz="0" w:space="0" w:color="auto"/>
            <w:right w:val="none" w:sz="0" w:space="0" w:color="auto"/>
          </w:divBdr>
        </w:div>
        <w:div w:id="481312198">
          <w:marLeft w:val="640"/>
          <w:marRight w:val="0"/>
          <w:marTop w:val="0"/>
          <w:marBottom w:val="0"/>
          <w:divBdr>
            <w:top w:val="none" w:sz="0" w:space="0" w:color="auto"/>
            <w:left w:val="none" w:sz="0" w:space="0" w:color="auto"/>
            <w:bottom w:val="none" w:sz="0" w:space="0" w:color="auto"/>
            <w:right w:val="none" w:sz="0" w:space="0" w:color="auto"/>
          </w:divBdr>
        </w:div>
        <w:div w:id="793525635">
          <w:marLeft w:val="640"/>
          <w:marRight w:val="0"/>
          <w:marTop w:val="0"/>
          <w:marBottom w:val="0"/>
          <w:divBdr>
            <w:top w:val="none" w:sz="0" w:space="0" w:color="auto"/>
            <w:left w:val="none" w:sz="0" w:space="0" w:color="auto"/>
            <w:bottom w:val="none" w:sz="0" w:space="0" w:color="auto"/>
            <w:right w:val="none" w:sz="0" w:space="0" w:color="auto"/>
          </w:divBdr>
        </w:div>
        <w:div w:id="2071271238">
          <w:marLeft w:val="640"/>
          <w:marRight w:val="0"/>
          <w:marTop w:val="0"/>
          <w:marBottom w:val="0"/>
          <w:divBdr>
            <w:top w:val="none" w:sz="0" w:space="0" w:color="auto"/>
            <w:left w:val="none" w:sz="0" w:space="0" w:color="auto"/>
            <w:bottom w:val="none" w:sz="0" w:space="0" w:color="auto"/>
            <w:right w:val="none" w:sz="0" w:space="0" w:color="auto"/>
          </w:divBdr>
        </w:div>
        <w:div w:id="334846418">
          <w:marLeft w:val="640"/>
          <w:marRight w:val="0"/>
          <w:marTop w:val="0"/>
          <w:marBottom w:val="0"/>
          <w:divBdr>
            <w:top w:val="none" w:sz="0" w:space="0" w:color="auto"/>
            <w:left w:val="none" w:sz="0" w:space="0" w:color="auto"/>
            <w:bottom w:val="none" w:sz="0" w:space="0" w:color="auto"/>
            <w:right w:val="none" w:sz="0" w:space="0" w:color="auto"/>
          </w:divBdr>
        </w:div>
        <w:div w:id="488912066">
          <w:marLeft w:val="640"/>
          <w:marRight w:val="0"/>
          <w:marTop w:val="0"/>
          <w:marBottom w:val="0"/>
          <w:divBdr>
            <w:top w:val="none" w:sz="0" w:space="0" w:color="auto"/>
            <w:left w:val="none" w:sz="0" w:space="0" w:color="auto"/>
            <w:bottom w:val="none" w:sz="0" w:space="0" w:color="auto"/>
            <w:right w:val="none" w:sz="0" w:space="0" w:color="auto"/>
          </w:divBdr>
        </w:div>
        <w:div w:id="228809015">
          <w:marLeft w:val="640"/>
          <w:marRight w:val="0"/>
          <w:marTop w:val="0"/>
          <w:marBottom w:val="0"/>
          <w:divBdr>
            <w:top w:val="none" w:sz="0" w:space="0" w:color="auto"/>
            <w:left w:val="none" w:sz="0" w:space="0" w:color="auto"/>
            <w:bottom w:val="none" w:sz="0" w:space="0" w:color="auto"/>
            <w:right w:val="none" w:sz="0" w:space="0" w:color="auto"/>
          </w:divBdr>
        </w:div>
        <w:div w:id="531236595">
          <w:marLeft w:val="640"/>
          <w:marRight w:val="0"/>
          <w:marTop w:val="0"/>
          <w:marBottom w:val="0"/>
          <w:divBdr>
            <w:top w:val="none" w:sz="0" w:space="0" w:color="auto"/>
            <w:left w:val="none" w:sz="0" w:space="0" w:color="auto"/>
            <w:bottom w:val="none" w:sz="0" w:space="0" w:color="auto"/>
            <w:right w:val="none" w:sz="0" w:space="0" w:color="auto"/>
          </w:divBdr>
        </w:div>
        <w:div w:id="2096051258">
          <w:marLeft w:val="640"/>
          <w:marRight w:val="0"/>
          <w:marTop w:val="0"/>
          <w:marBottom w:val="0"/>
          <w:divBdr>
            <w:top w:val="none" w:sz="0" w:space="0" w:color="auto"/>
            <w:left w:val="none" w:sz="0" w:space="0" w:color="auto"/>
            <w:bottom w:val="none" w:sz="0" w:space="0" w:color="auto"/>
            <w:right w:val="none" w:sz="0" w:space="0" w:color="auto"/>
          </w:divBdr>
        </w:div>
        <w:div w:id="1951232213">
          <w:marLeft w:val="640"/>
          <w:marRight w:val="0"/>
          <w:marTop w:val="0"/>
          <w:marBottom w:val="0"/>
          <w:divBdr>
            <w:top w:val="none" w:sz="0" w:space="0" w:color="auto"/>
            <w:left w:val="none" w:sz="0" w:space="0" w:color="auto"/>
            <w:bottom w:val="none" w:sz="0" w:space="0" w:color="auto"/>
            <w:right w:val="none" w:sz="0" w:space="0" w:color="auto"/>
          </w:divBdr>
        </w:div>
        <w:div w:id="1014725439">
          <w:marLeft w:val="640"/>
          <w:marRight w:val="0"/>
          <w:marTop w:val="0"/>
          <w:marBottom w:val="0"/>
          <w:divBdr>
            <w:top w:val="none" w:sz="0" w:space="0" w:color="auto"/>
            <w:left w:val="none" w:sz="0" w:space="0" w:color="auto"/>
            <w:bottom w:val="none" w:sz="0" w:space="0" w:color="auto"/>
            <w:right w:val="none" w:sz="0" w:space="0" w:color="auto"/>
          </w:divBdr>
        </w:div>
        <w:div w:id="1820919145">
          <w:marLeft w:val="640"/>
          <w:marRight w:val="0"/>
          <w:marTop w:val="0"/>
          <w:marBottom w:val="0"/>
          <w:divBdr>
            <w:top w:val="none" w:sz="0" w:space="0" w:color="auto"/>
            <w:left w:val="none" w:sz="0" w:space="0" w:color="auto"/>
            <w:bottom w:val="none" w:sz="0" w:space="0" w:color="auto"/>
            <w:right w:val="none" w:sz="0" w:space="0" w:color="auto"/>
          </w:divBdr>
        </w:div>
        <w:div w:id="1858426278">
          <w:marLeft w:val="640"/>
          <w:marRight w:val="0"/>
          <w:marTop w:val="0"/>
          <w:marBottom w:val="0"/>
          <w:divBdr>
            <w:top w:val="none" w:sz="0" w:space="0" w:color="auto"/>
            <w:left w:val="none" w:sz="0" w:space="0" w:color="auto"/>
            <w:bottom w:val="none" w:sz="0" w:space="0" w:color="auto"/>
            <w:right w:val="none" w:sz="0" w:space="0" w:color="auto"/>
          </w:divBdr>
        </w:div>
        <w:div w:id="1368094339">
          <w:marLeft w:val="640"/>
          <w:marRight w:val="0"/>
          <w:marTop w:val="0"/>
          <w:marBottom w:val="0"/>
          <w:divBdr>
            <w:top w:val="none" w:sz="0" w:space="0" w:color="auto"/>
            <w:left w:val="none" w:sz="0" w:space="0" w:color="auto"/>
            <w:bottom w:val="none" w:sz="0" w:space="0" w:color="auto"/>
            <w:right w:val="none" w:sz="0" w:space="0" w:color="auto"/>
          </w:divBdr>
        </w:div>
        <w:div w:id="989749890">
          <w:marLeft w:val="640"/>
          <w:marRight w:val="0"/>
          <w:marTop w:val="0"/>
          <w:marBottom w:val="0"/>
          <w:divBdr>
            <w:top w:val="none" w:sz="0" w:space="0" w:color="auto"/>
            <w:left w:val="none" w:sz="0" w:space="0" w:color="auto"/>
            <w:bottom w:val="none" w:sz="0" w:space="0" w:color="auto"/>
            <w:right w:val="none" w:sz="0" w:space="0" w:color="auto"/>
          </w:divBdr>
        </w:div>
        <w:div w:id="1669554473">
          <w:marLeft w:val="640"/>
          <w:marRight w:val="0"/>
          <w:marTop w:val="0"/>
          <w:marBottom w:val="0"/>
          <w:divBdr>
            <w:top w:val="none" w:sz="0" w:space="0" w:color="auto"/>
            <w:left w:val="none" w:sz="0" w:space="0" w:color="auto"/>
            <w:bottom w:val="none" w:sz="0" w:space="0" w:color="auto"/>
            <w:right w:val="none" w:sz="0" w:space="0" w:color="auto"/>
          </w:divBdr>
        </w:div>
        <w:div w:id="1860384665">
          <w:marLeft w:val="640"/>
          <w:marRight w:val="0"/>
          <w:marTop w:val="0"/>
          <w:marBottom w:val="0"/>
          <w:divBdr>
            <w:top w:val="none" w:sz="0" w:space="0" w:color="auto"/>
            <w:left w:val="none" w:sz="0" w:space="0" w:color="auto"/>
            <w:bottom w:val="none" w:sz="0" w:space="0" w:color="auto"/>
            <w:right w:val="none" w:sz="0" w:space="0" w:color="auto"/>
          </w:divBdr>
        </w:div>
        <w:div w:id="1363019524">
          <w:marLeft w:val="640"/>
          <w:marRight w:val="0"/>
          <w:marTop w:val="0"/>
          <w:marBottom w:val="0"/>
          <w:divBdr>
            <w:top w:val="none" w:sz="0" w:space="0" w:color="auto"/>
            <w:left w:val="none" w:sz="0" w:space="0" w:color="auto"/>
            <w:bottom w:val="none" w:sz="0" w:space="0" w:color="auto"/>
            <w:right w:val="none" w:sz="0" w:space="0" w:color="auto"/>
          </w:divBdr>
        </w:div>
        <w:div w:id="637032375">
          <w:marLeft w:val="640"/>
          <w:marRight w:val="0"/>
          <w:marTop w:val="0"/>
          <w:marBottom w:val="0"/>
          <w:divBdr>
            <w:top w:val="none" w:sz="0" w:space="0" w:color="auto"/>
            <w:left w:val="none" w:sz="0" w:space="0" w:color="auto"/>
            <w:bottom w:val="none" w:sz="0" w:space="0" w:color="auto"/>
            <w:right w:val="none" w:sz="0" w:space="0" w:color="auto"/>
          </w:divBdr>
        </w:div>
        <w:div w:id="677849624">
          <w:marLeft w:val="640"/>
          <w:marRight w:val="0"/>
          <w:marTop w:val="0"/>
          <w:marBottom w:val="0"/>
          <w:divBdr>
            <w:top w:val="none" w:sz="0" w:space="0" w:color="auto"/>
            <w:left w:val="none" w:sz="0" w:space="0" w:color="auto"/>
            <w:bottom w:val="none" w:sz="0" w:space="0" w:color="auto"/>
            <w:right w:val="none" w:sz="0" w:space="0" w:color="auto"/>
          </w:divBdr>
        </w:div>
        <w:div w:id="1551455196">
          <w:marLeft w:val="640"/>
          <w:marRight w:val="0"/>
          <w:marTop w:val="0"/>
          <w:marBottom w:val="0"/>
          <w:divBdr>
            <w:top w:val="none" w:sz="0" w:space="0" w:color="auto"/>
            <w:left w:val="none" w:sz="0" w:space="0" w:color="auto"/>
            <w:bottom w:val="none" w:sz="0" w:space="0" w:color="auto"/>
            <w:right w:val="none" w:sz="0" w:space="0" w:color="auto"/>
          </w:divBdr>
        </w:div>
        <w:div w:id="1230075739">
          <w:marLeft w:val="640"/>
          <w:marRight w:val="0"/>
          <w:marTop w:val="0"/>
          <w:marBottom w:val="0"/>
          <w:divBdr>
            <w:top w:val="none" w:sz="0" w:space="0" w:color="auto"/>
            <w:left w:val="none" w:sz="0" w:space="0" w:color="auto"/>
            <w:bottom w:val="none" w:sz="0" w:space="0" w:color="auto"/>
            <w:right w:val="none" w:sz="0" w:space="0" w:color="auto"/>
          </w:divBdr>
        </w:div>
        <w:div w:id="423192607">
          <w:marLeft w:val="640"/>
          <w:marRight w:val="0"/>
          <w:marTop w:val="0"/>
          <w:marBottom w:val="0"/>
          <w:divBdr>
            <w:top w:val="none" w:sz="0" w:space="0" w:color="auto"/>
            <w:left w:val="none" w:sz="0" w:space="0" w:color="auto"/>
            <w:bottom w:val="none" w:sz="0" w:space="0" w:color="auto"/>
            <w:right w:val="none" w:sz="0" w:space="0" w:color="auto"/>
          </w:divBdr>
        </w:div>
        <w:div w:id="76825865">
          <w:marLeft w:val="640"/>
          <w:marRight w:val="0"/>
          <w:marTop w:val="0"/>
          <w:marBottom w:val="0"/>
          <w:divBdr>
            <w:top w:val="none" w:sz="0" w:space="0" w:color="auto"/>
            <w:left w:val="none" w:sz="0" w:space="0" w:color="auto"/>
            <w:bottom w:val="none" w:sz="0" w:space="0" w:color="auto"/>
            <w:right w:val="none" w:sz="0" w:space="0" w:color="auto"/>
          </w:divBdr>
        </w:div>
        <w:div w:id="813063304">
          <w:marLeft w:val="640"/>
          <w:marRight w:val="0"/>
          <w:marTop w:val="0"/>
          <w:marBottom w:val="0"/>
          <w:divBdr>
            <w:top w:val="none" w:sz="0" w:space="0" w:color="auto"/>
            <w:left w:val="none" w:sz="0" w:space="0" w:color="auto"/>
            <w:bottom w:val="none" w:sz="0" w:space="0" w:color="auto"/>
            <w:right w:val="none" w:sz="0" w:space="0" w:color="auto"/>
          </w:divBdr>
        </w:div>
        <w:div w:id="1228955985">
          <w:marLeft w:val="640"/>
          <w:marRight w:val="0"/>
          <w:marTop w:val="0"/>
          <w:marBottom w:val="0"/>
          <w:divBdr>
            <w:top w:val="none" w:sz="0" w:space="0" w:color="auto"/>
            <w:left w:val="none" w:sz="0" w:space="0" w:color="auto"/>
            <w:bottom w:val="none" w:sz="0" w:space="0" w:color="auto"/>
            <w:right w:val="none" w:sz="0" w:space="0" w:color="auto"/>
          </w:divBdr>
        </w:div>
        <w:div w:id="950748045">
          <w:marLeft w:val="640"/>
          <w:marRight w:val="0"/>
          <w:marTop w:val="0"/>
          <w:marBottom w:val="0"/>
          <w:divBdr>
            <w:top w:val="none" w:sz="0" w:space="0" w:color="auto"/>
            <w:left w:val="none" w:sz="0" w:space="0" w:color="auto"/>
            <w:bottom w:val="none" w:sz="0" w:space="0" w:color="auto"/>
            <w:right w:val="none" w:sz="0" w:space="0" w:color="auto"/>
          </w:divBdr>
        </w:div>
        <w:div w:id="1211652826">
          <w:marLeft w:val="640"/>
          <w:marRight w:val="0"/>
          <w:marTop w:val="0"/>
          <w:marBottom w:val="0"/>
          <w:divBdr>
            <w:top w:val="none" w:sz="0" w:space="0" w:color="auto"/>
            <w:left w:val="none" w:sz="0" w:space="0" w:color="auto"/>
            <w:bottom w:val="none" w:sz="0" w:space="0" w:color="auto"/>
            <w:right w:val="none" w:sz="0" w:space="0" w:color="auto"/>
          </w:divBdr>
        </w:div>
        <w:div w:id="901910379">
          <w:marLeft w:val="640"/>
          <w:marRight w:val="0"/>
          <w:marTop w:val="0"/>
          <w:marBottom w:val="0"/>
          <w:divBdr>
            <w:top w:val="none" w:sz="0" w:space="0" w:color="auto"/>
            <w:left w:val="none" w:sz="0" w:space="0" w:color="auto"/>
            <w:bottom w:val="none" w:sz="0" w:space="0" w:color="auto"/>
            <w:right w:val="none" w:sz="0" w:space="0" w:color="auto"/>
          </w:divBdr>
        </w:div>
        <w:div w:id="521893265">
          <w:marLeft w:val="640"/>
          <w:marRight w:val="0"/>
          <w:marTop w:val="0"/>
          <w:marBottom w:val="0"/>
          <w:divBdr>
            <w:top w:val="none" w:sz="0" w:space="0" w:color="auto"/>
            <w:left w:val="none" w:sz="0" w:space="0" w:color="auto"/>
            <w:bottom w:val="none" w:sz="0" w:space="0" w:color="auto"/>
            <w:right w:val="none" w:sz="0" w:space="0" w:color="auto"/>
          </w:divBdr>
        </w:div>
        <w:div w:id="456990887">
          <w:marLeft w:val="640"/>
          <w:marRight w:val="0"/>
          <w:marTop w:val="0"/>
          <w:marBottom w:val="0"/>
          <w:divBdr>
            <w:top w:val="none" w:sz="0" w:space="0" w:color="auto"/>
            <w:left w:val="none" w:sz="0" w:space="0" w:color="auto"/>
            <w:bottom w:val="none" w:sz="0" w:space="0" w:color="auto"/>
            <w:right w:val="none" w:sz="0" w:space="0" w:color="auto"/>
          </w:divBdr>
        </w:div>
        <w:div w:id="1937900012">
          <w:marLeft w:val="640"/>
          <w:marRight w:val="0"/>
          <w:marTop w:val="0"/>
          <w:marBottom w:val="0"/>
          <w:divBdr>
            <w:top w:val="none" w:sz="0" w:space="0" w:color="auto"/>
            <w:left w:val="none" w:sz="0" w:space="0" w:color="auto"/>
            <w:bottom w:val="none" w:sz="0" w:space="0" w:color="auto"/>
            <w:right w:val="none" w:sz="0" w:space="0" w:color="auto"/>
          </w:divBdr>
        </w:div>
        <w:div w:id="530727651">
          <w:marLeft w:val="640"/>
          <w:marRight w:val="0"/>
          <w:marTop w:val="0"/>
          <w:marBottom w:val="0"/>
          <w:divBdr>
            <w:top w:val="none" w:sz="0" w:space="0" w:color="auto"/>
            <w:left w:val="none" w:sz="0" w:space="0" w:color="auto"/>
            <w:bottom w:val="none" w:sz="0" w:space="0" w:color="auto"/>
            <w:right w:val="none" w:sz="0" w:space="0" w:color="auto"/>
          </w:divBdr>
        </w:div>
        <w:div w:id="1986663686">
          <w:marLeft w:val="640"/>
          <w:marRight w:val="0"/>
          <w:marTop w:val="0"/>
          <w:marBottom w:val="0"/>
          <w:divBdr>
            <w:top w:val="none" w:sz="0" w:space="0" w:color="auto"/>
            <w:left w:val="none" w:sz="0" w:space="0" w:color="auto"/>
            <w:bottom w:val="none" w:sz="0" w:space="0" w:color="auto"/>
            <w:right w:val="none" w:sz="0" w:space="0" w:color="auto"/>
          </w:divBdr>
        </w:div>
        <w:div w:id="526992309">
          <w:marLeft w:val="640"/>
          <w:marRight w:val="0"/>
          <w:marTop w:val="0"/>
          <w:marBottom w:val="0"/>
          <w:divBdr>
            <w:top w:val="none" w:sz="0" w:space="0" w:color="auto"/>
            <w:left w:val="none" w:sz="0" w:space="0" w:color="auto"/>
            <w:bottom w:val="none" w:sz="0" w:space="0" w:color="auto"/>
            <w:right w:val="none" w:sz="0" w:space="0" w:color="auto"/>
          </w:divBdr>
        </w:div>
        <w:div w:id="2018649160">
          <w:marLeft w:val="640"/>
          <w:marRight w:val="0"/>
          <w:marTop w:val="0"/>
          <w:marBottom w:val="0"/>
          <w:divBdr>
            <w:top w:val="none" w:sz="0" w:space="0" w:color="auto"/>
            <w:left w:val="none" w:sz="0" w:space="0" w:color="auto"/>
            <w:bottom w:val="none" w:sz="0" w:space="0" w:color="auto"/>
            <w:right w:val="none" w:sz="0" w:space="0" w:color="auto"/>
          </w:divBdr>
        </w:div>
        <w:div w:id="677123658">
          <w:marLeft w:val="640"/>
          <w:marRight w:val="0"/>
          <w:marTop w:val="0"/>
          <w:marBottom w:val="0"/>
          <w:divBdr>
            <w:top w:val="none" w:sz="0" w:space="0" w:color="auto"/>
            <w:left w:val="none" w:sz="0" w:space="0" w:color="auto"/>
            <w:bottom w:val="none" w:sz="0" w:space="0" w:color="auto"/>
            <w:right w:val="none" w:sz="0" w:space="0" w:color="auto"/>
          </w:divBdr>
        </w:div>
        <w:div w:id="1633755758">
          <w:marLeft w:val="640"/>
          <w:marRight w:val="0"/>
          <w:marTop w:val="0"/>
          <w:marBottom w:val="0"/>
          <w:divBdr>
            <w:top w:val="none" w:sz="0" w:space="0" w:color="auto"/>
            <w:left w:val="none" w:sz="0" w:space="0" w:color="auto"/>
            <w:bottom w:val="none" w:sz="0" w:space="0" w:color="auto"/>
            <w:right w:val="none" w:sz="0" w:space="0" w:color="auto"/>
          </w:divBdr>
        </w:div>
        <w:div w:id="1454247868">
          <w:marLeft w:val="640"/>
          <w:marRight w:val="0"/>
          <w:marTop w:val="0"/>
          <w:marBottom w:val="0"/>
          <w:divBdr>
            <w:top w:val="none" w:sz="0" w:space="0" w:color="auto"/>
            <w:left w:val="none" w:sz="0" w:space="0" w:color="auto"/>
            <w:bottom w:val="none" w:sz="0" w:space="0" w:color="auto"/>
            <w:right w:val="none" w:sz="0" w:space="0" w:color="auto"/>
          </w:divBdr>
        </w:div>
        <w:div w:id="536357636">
          <w:marLeft w:val="640"/>
          <w:marRight w:val="0"/>
          <w:marTop w:val="0"/>
          <w:marBottom w:val="0"/>
          <w:divBdr>
            <w:top w:val="none" w:sz="0" w:space="0" w:color="auto"/>
            <w:left w:val="none" w:sz="0" w:space="0" w:color="auto"/>
            <w:bottom w:val="none" w:sz="0" w:space="0" w:color="auto"/>
            <w:right w:val="none" w:sz="0" w:space="0" w:color="auto"/>
          </w:divBdr>
        </w:div>
        <w:div w:id="911234804">
          <w:marLeft w:val="640"/>
          <w:marRight w:val="0"/>
          <w:marTop w:val="0"/>
          <w:marBottom w:val="0"/>
          <w:divBdr>
            <w:top w:val="none" w:sz="0" w:space="0" w:color="auto"/>
            <w:left w:val="none" w:sz="0" w:space="0" w:color="auto"/>
            <w:bottom w:val="none" w:sz="0" w:space="0" w:color="auto"/>
            <w:right w:val="none" w:sz="0" w:space="0" w:color="auto"/>
          </w:divBdr>
        </w:div>
        <w:div w:id="405953767">
          <w:marLeft w:val="640"/>
          <w:marRight w:val="0"/>
          <w:marTop w:val="0"/>
          <w:marBottom w:val="0"/>
          <w:divBdr>
            <w:top w:val="none" w:sz="0" w:space="0" w:color="auto"/>
            <w:left w:val="none" w:sz="0" w:space="0" w:color="auto"/>
            <w:bottom w:val="none" w:sz="0" w:space="0" w:color="auto"/>
            <w:right w:val="none" w:sz="0" w:space="0" w:color="auto"/>
          </w:divBdr>
        </w:div>
        <w:div w:id="771046885">
          <w:marLeft w:val="640"/>
          <w:marRight w:val="0"/>
          <w:marTop w:val="0"/>
          <w:marBottom w:val="0"/>
          <w:divBdr>
            <w:top w:val="none" w:sz="0" w:space="0" w:color="auto"/>
            <w:left w:val="none" w:sz="0" w:space="0" w:color="auto"/>
            <w:bottom w:val="none" w:sz="0" w:space="0" w:color="auto"/>
            <w:right w:val="none" w:sz="0" w:space="0" w:color="auto"/>
          </w:divBdr>
        </w:div>
        <w:div w:id="1699157088">
          <w:marLeft w:val="640"/>
          <w:marRight w:val="0"/>
          <w:marTop w:val="0"/>
          <w:marBottom w:val="0"/>
          <w:divBdr>
            <w:top w:val="none" w:sz="0" w:space="0" w:color="auto"/>
            <w:left w:val="none" w:sz="0" w:space="0" w:color="auto"/>
            <w:bottom w:val="none" w:sz="0" w:space="0" w:color="auto"/>
            <w:right w:val="none" w:sz="0" w:space="0" w:color="auto"/>
          </w:divBdr>
        </w:div>
        <w:div w:id="847402031">
          <w:marLeft w:val="640"/>
          <w:marRight w:val="0"/>
          <w:marTop w:val="0"/>
          <w:marBottom w:val="0"/>
          <w:divBdr>
            <w:top w:val="none" w:sz="0" w:space="0" w:color="auto"/>
            <w:left w:val="none" w:sz="0" w:space="0" w:color="auto"/>
            <w:bottom w:val="none" w:sz="0" w:space="0" w:color="auto"/>
            <w:right w:val="none" w:sz="0" w:space="0" w:color="auto"/>
          </w:divBdr>
        </w:div>
        <w:div w:id="1533617395">
          <w:marLeft w:val="640"/>
          <w:marRight w:val="0"/>
          <w:marTop w:val="0"/>
          <w:marBottom w:val="0"/>
          <w:divBdr>
            <w:top w:val="none" w:sz="0" w:space="0" w:color="auto"/>
            <w:left w:val="none" w:sz="0" w:space="0" w:color="auto"/>
            <w:bottom w:val="none" w:sz="0" w:space="0" w:color="auto"/>
            <w:right w:val="none" w:sz="0" w:space="0" w:color="auto"/>
          </w:divBdr>
        </w:div>
        <w:div w:id="1877767381">
          <w:marLeft w:val="640"/>
          <w:marRight w:val="0"/>
          <w:marTop w:val="0"/>
          <w:marBottom w:val="0"/>
          <w:divBdr>
            <w:top w:val="none" w:sz="0" w:space="0" w:color="auto"/>
            <w:left w:val="none" w:sz="0" w:space="0" w:color="auto"/>
            <w:bottom w:val="none" w:sz="0" w:space="0" w:color="auto"/>
            <w:right w:val="none" w:sz="0" w:space="0" w:color="auto"/>
          </w:divBdr>
        </w:div>
        <w:div w:id="1210263760">
          <w:marLeft w:val="640"/>
          <w:marRight w:val="0"/>
          <w:marTop w:val="0"/>
          <w:marBottom w:val="0"/>
          <w:divBdr>
            <w:top w:val="none" w:sz="0" w:space="0" w:color="auto"/>
            <w:left w:val="none" w:sz="0" w:space="0" w:color="auto"/>
            <w:bottom w:val="none" w:sz="0" w:space="0" w:color="auto"/>
            <w:right w:val="none" w:sz="0" w:space="0" w:color="auto"/>
          </w:divBdr>
        </w:div>
        <w:div w:id="1262302204">
          <w:marLeft w:val="640"/>
          <w:marRight w:val="0"/>
          <w:marTop w:val="0"/>
          <w:marBottom w:val="0"/>
          <w:divBdr>
            <w:top w:val="none" w:sz="0" w:space="0" w:color="auto"/>
            <w:left w:val="none" w:sz="0" w:space="0" w:color="auto"/>
            <w:bottom w:val="none" w:sz="0" w:space="0" w:color="auto"/>
            <w:right w:val="none" w:sz="0" w:space="0" w:color="auto"/>
          </w:divBdr>
        </w:div>
        <w:div w:id="1635451870">
          <w:marLeft w:val="640"/>
          <w:marRight w:val="0"/>
          <w:marTop w:val="0"/>
          <w:marBottom w:val="0"/>
          <w:divBdr>
            <w:top w:val="none" w:sz="0" w:space="0" w:color="auto"/>
            <w:left w:val="none" w:sz="0" w:space="0" w:color="auto"/>
            <w:bottom w:val="none" w:sz="0" w:space="0" w:color="auto"/>
            <w:right w:val="none" w:sz="0" w:space="0" w:color="auto"/>
          </w:divBdr>
        </w:div>
        <w:div w:id="366876971">
          <w:marLeft w:val="640"/>
          <w:marRight w:val="0"/>
          <w:marTop w:val="0"/>
          <w:marBottom w:val="0"/>
          <w:divBdr>
            <w:top w:val="none" w:sz="0" w:space="0" w:color="auto"/>
            <w:left w:val="none" w:sz="0" w:space="0" w:color="auto"/>
            <w:bottom w:val="none" w:sz="0" w:space="0" w:color="auto"/>
            <w:right w:val="none" w:sz="0" w:space="0" w:color="auto"/>
          </w:divBdr>
        </w:div>
        <w:div w:id="198395230">
          <w:marLeft w:val="640"/>
          <w:marRight w:val="0"/>
          <w:marTop w:val="0"/>
          <w:marBottom w:val="0"/>
          <w:divBdr>
            <w:top w:val="none" w:sz="0" w:space="0" w:color="auto"/>
            <w:left w:val="none" w:sz="0" w:space="0" w:color="auto"/>
            <w:bottom w:val="none" w:sz="0" w:space="0" w:color="auto"/>
            <w:right w:val="none" w:sz="0" w:space="0" w:color="auto"/>
          </w:divBdr>
        </w:div>
        <w:div w:id="303853788">
          <w:marLeft w:val="640"/>
          <w:marRight w:val="0"/>
          <w:marTop w:val="0"/>
          <w:marBottom w:val="0"/>
          <w:divBdr>
            <w:top w:val="none" w:sz="0" w:space="0" w:color="auto"/>
            <w:left w:val="none" w:sz="0" w:space="0" w:color="auto"/>
            <w:bottom w:val="none" w:sz="0" w:space="0" w:color="auto"/>
            <w:right w:val="none" w:sz="0" w:space="0" w:color="auto"/>
          </w:divBdr>
        </w:div>
        <w:div w:id="1303542128">
          <w:marLeft w:val="640"/>
          <w:marRight w:val="0"/>
          <w:marTop w:val="0"/>
          <w:marBottom w:val="0"/>
          <w:divBdr>
            <w:top w:val="none" w:sz="0" w:space="0" w:color="auto"/>
            <w:left w:val="none" w:sz="0" w:space="0" w:color="auto"/>
            <w:bottom w:val="none" w:sz="0" w:space="0" w:color="auto"/>
            <w:right w:val="none" w:sz="0" w:space="0" w:color="auto"/>
          </w:divBdr>
        </w:div>
        <w:div w:id="897668185">
          <w:marLeft w:val="640"/>
          <w:marRight w:val="0"/>
          <w:marTop w:val="0"/>
          <w:marBottom w:val="0"/>
          <w:divBdr>
            <w:top w:val="none" w:sz="0" w:space="0" w:color="auto"/>
            <w:left w:val="none" w:sz="0" w:space="0" w:color="auto"/>
            <w:bottom w:val="none" w:sz="0" w:space="0" w:color="auto"/>
            <w:right w:val="none" w:sz="0" w:space="0" w:color="auto"/>
          </w:divBdr>
        </w:div>
        <w:div w:id="1302886485">
          <w:marLeft w:val="640"/>
          <w:marRight w:val="0"/>
          <w:marTop w:val="0"/>
          <w:marBottom w:val="0"/>
          <w:divBdr>
            <w:top w:val="none" w:sz="0" w:space="0" w:color="auto"/>
            <w:left w:val="none" w:sz="0" w:space="0" w:color="auto"/>
            <w:bottom w:val="none" w:sz="0" w:space="0" w:color="auto"/>
            <w:right w:val="none" w:sz="0" w:space="0" w:color="auto"/>
          </w:divBdr>
        </w:div>
        <w:div w:id="1851135392">
          <w:marLeft w:val="640"/>
          <w:marRight w:val="0"/>
          <w:marTop w:val="0"/>
          <w:marBottom w:val="0"/>
          <w:divBdr>
            <w:top w:val="none" w:sz="0" w:space="0" w:color="auto"/>
            <w:left w:val="none" w:sz="0" w:space="0" w:color="auto"/>
            <w:bottom w:val="none" w:sz="0" w:space="0" w:color="auto"/>
            <w:right w:val="none" w:sz="0" w:space="0" w:color="auto"/>
          </w:divBdr>
        </w:div>
        <w:div w:id="842546332">
          <w:marLeft w:val="640"/>
          <w:marRight w:val="0"/>
          <w:marTop w:val="0"/>
          <w:marBottom w:val="0"/>
          <w:divBdr>
            <w:top w:val="none" w:sz="0" w:space="0" w:color="auto"/>
            <w:left w:val="none" w:sz="0" w:space="0" w:color="auto"/>
            <w:bottom w:val="none" w:sz="0" w:space="0" w:color="auto"/>
            <w:right w:val="none" w:sz="0" w:space="0" w:color="auto"/>
          </w:divBdr>
        </w:div>
        <w:div w:id="1633169389">
          <w:marLeft w:val="640"/>
          <w:marRight w:val="0"/>
          <w:marTop w:val="0"/>
          <w:marBottom w:val="0"/>
          <w:divBdr>
            <w:top w:val="none" w:sz="0" w:space="0" w:color="auto"/>
            <w:left w:val="none" w:sz="0" w:space="0" w:color="auto"/>
            <w:bottom w:val="none" w:sz="0" w:space="0" w:color="auto"/>
            <w:right w:val="none" w:sz="0" w:space="0" w:color="auto"/>
          </w:divBdr>
        </w:div>
        <w:div w:id="1334068940">
          <w:marLeft w:val="640"/>
          <w:marRight w:val="0"/>
          <w:marTop w:val="0"/>
          <w:marBottom w:val="0"/>
          <w:divBdr>
            <w:top w:val="none" w:sz="0" w:space="0" w:color="auto"/>
            <w:left w:val="none" w:sz="0" w:space="0" w:color="auto"/>
            <w:bottom w:val="none" w:sz="0" w:space="0" w:color="auto"/>
            <w:right w:val="none" w:sz="0" w:space="0" w:color="auto"/>
          </w:divBdr>
        </w:div>
        <w:div w:id="252133920">
          <w:marLeft w:val="640"/>
          <w:marRight w:val="0"/>
          <w:marTop w:val="0"/>
          <w:marBottom w:val="0"/>
          <w:divBdr>
            <w:top w:val="none" w:sz="0" w:space="0" w:color="auto"/>
            <w:left w:val="none" w:sz="0" w:space="0" w:color="auto"/>
            <w:bottom w:val="none" w:sz="0" w:space="0" w:color="auto"/>
            <w:right w:val="none" w:sz="0" w:space="0" w:color="auto"/>
          </w:divBdr>
        </w:div>
        <w:div w:id="848713293">
          <w:marLeft w:val="640"/>
          <w:marRight w:val="0"/>
          <w:marTop w:val="0"/>
          <w:marBottom w:val="0"/>
          <w:divBdr>
            <w:top w:val="none" w:sz="0" w:space="0" w:color="auto"/>
            <w:left w:val="none" w:sz="0" w:space="0" w:color="auto"/>
            <w:bottom w:val="none" w:sz="0" w:space="0" w:color="auto"/>
            <w:right w:val="none" w:sz="0" w:space="0" w:color="auto"/>
          </w:divBdr>
        </w:div>
        <w:div w:id="1028718866">
          <w:marLeft w:val="640"/>
          <w:marRight w:val="0"/>
          <w:marTop w:val="0"/>
          <w:marBottom w:val="0"/>
          <w:divBdr>
            <w:top w:val="none" w:sz="0" w:space="0" w:color="auto"/>
            <w:left w:val="none" w:sz="0" w:space="0" w:color="auto"/>
            <w:bottom w:val="none" w:sz="0" w:space="0" w:color="auto"/>
            <w:right w:val="none" w:sz="0" w:space="0" w:color="auto"/>
          </w:divBdr>
        </w:div>
        <w:div w:id="1386105083">
          <w:marLeft w:val="640"/>
          <w:marRight w:val="0"/>
          <w:marTop w:val="0"/>
          <w:marBottom w:val="0"/>
          <w:divBdr>
            <w:top w:val="none" w:sz="0" w:space="0" w:color="auto"/>
            <w:left w:val="none" w:sz="0" w:space="0" w:color="auto"/>
            <w:bottom w:val="none" w:sz="0" w:space="0" w:color="auto"/>
            <w:right w:val="none" w:sz="0" w:space="0" w:color="auto"/>
          </w:divBdr>
        </w:div>
        <w:div w:id="927225996">
          <w:marLeft w:val="640"/>
          <w:marRight w:val="0"/>
          <w:marTop w:val="0"/>
          <w:marBottom w:val="0"/>
          <w:divBdr>
            <w:top w:val="none" w:sz="0" w:space="0" w:color="auto"/>
            <w:left w:val="none" w:sz="0" w:space="0" w:color="auto"/>
            <w:bottom w:val="none" w:sz="0" w:space="0" w:color="auto"/>
            <w:right w:val="none" w:sz="0" w:space="0" w:color="auto"/>
          </w:divBdr>
        </w:div>
        <w:div w:id="458762273">
          <w:marLeft w:val="640"/>
          <w:marRight w:val="0"/>
          <w:marTop w:val="0"/>
          <w:marBottom w:val="0"/>
          <w:divBdr>
            <w:top w:val="none" w:sz="0" w:space="0" w:color="auto"/>
            <w:left w:val="none" w:sz="0" w:space="0" w:color="auto"/>
            <w:bottom w:val="none" w:sz="0" w:space="0" w:color="auto"/>
            <w:right w:val="none" w:sz="0" w:space="0" w:color="auto"/>
          </w:divBdr>
        </w:div>
        <w:div w:id="35660503">
          <w:marLeft w:val="640"/>
          <w:marRight w:val="0"/>
          <w:marTop w:val="0"/>
          <w:marBottom w:val="0"/>
          <w:divBdr>
            <w:top w:val="none" w:sz="0" w:space="0" w:color="auto"/>
            <w:left w:val="none" w:sz="0" w:space="0" w:color="auto"/>
            <w:bottom w:val="none" w:sz="0" w:space="0" w:color="auto"/>
            <w:right w:val="none" w:sz="0" w:space="0" w:color="auto"/>
          </w:divBdr>
        </w:div>
        <w:div w:id="64960604">
          <w:marLeft w:val="640"/>
          <w:marRight w:val="0"/>
          <w:marTop w:val="0"/>
          <w:marBottom w:val="0"/>
          <w:divBdr>
            <w:top w:val="none" w:sz="0" w:space="0" w:color="auto"/>
            <w:left w:val="none" w:sz="0" w:space="0" w:color="auto"/>
            <w:bottom w:val="none" w:sz="0" w:space="0" w:color="auto"/>
            <w:right w:val="none" w:sz="0" w:space="0" w:color="auto"/>
          </w:divBdr>
        </w:div>
        <w:div w:id="1881819891">
          <w:marLeft w:val="640"/>
          <w:marRight w:val="0"/>
          <w:marTop w:val="0"/>
          <w:marBottom w:val="0"/>
          <w:divBdr>
            <w:top w:val="none" w:sz="0" w:space="0" w:color="auto"/>
            <w:left w:val="none" w:sz="0" w:space="0" w:color="auto"/>
            <w:bottom w:val="none" w:sz="0" w:space="0" w:color="auto"/>
            <w:right w:val="none" w:sz="0" w:space="0" w:color="auto"/>
          </w:divBdr>
        </w:div>
        <w:div w:id="236744600">
          <w:marLeft w:val="640"/>
          <w:marRight w:val="0"/>
          <w:marTop w:val="0"/>
          <w:marBottom w:val="0"/>
          <w:divBdr>
            <w:top w:val="none" w:sz="0" w:space="0" w:color="auto"/>
            <w:left w:val="none" w:sz="0" w:space="0" w:color="auto"/>
            <w:bottom w:val="none" w:sz="0" w:space="0" w:color="auto"/>
            <w:right w:val="none" w:sz="0" w:space="0" w:color="auto"/>
          </w:divBdr>
        </w:div>
        <w:div w:id="1942639673">
          <w:marLeft w:val="640"/>
          <w:marRight w:val="0"/>
          <w:marTop w:val="0"/>
          <w:marBottom w:val="0"/>
          <w:divBdr>
            <w:top w:val="none" w:sz="0" w:space="0" w:color="auto"/>
            <w:left w:val="none" w:sz="0" w:space="0" w:color="auto"/>
            <w:bottom w:val="none" w:sz="0" w:space="0" w:color="auto"/>
            <w:right w:val="none" w:sz="0" w:space="0" w:color="auto"/>
          </w:divBdr>
        </w:div>
        <w:div w:id="432669739">
          <w:marLeft w:val="640"/>
          <w:marRight w:val="0"/>
          <w:marTop w:val="0"/>
          <w:marBottom w:val="0"/>
          <w:divBdr>
            <w:top w:val="none" w:sz="0" w:space="0" w:color="auto"/>
            <w:left w:val="none" w:sz="0" w:space="0" w:color="auto"/>
            <w:bottom w:val="none" w:sz="0" w:space="0" w:color="auto"/>
            <w:right w:val="none" w:sz="0" w:space="0" w:color="auto"/>
          </w:divBdr>
        </w:div>
        <w:div w:id="846864271">
          <w:marLeft w:val="640"/>
          <w:marRight w:val="0"/>
          <w:marTop w:val="0"/>
          <w:marBottom w:val="0"/>
          <w:divBdr>
            <w:top w:val="none" w:sz="0" w:space="0" w:color="auto"/>
            <w:left w:val="none" w:sz="0" w:space="0" w:color="auto"/>
            <w:bottom w:val="none" w:sz="0" w:space="0" w:color="auto"/>
            <w:right w:val="none" w:sz="0" w:space="0" w:color="auto"/>
          </w:divBdr>
        </w:div>
        <w:div w:id="1911766886">
          <w:marLeft w:val="640"/>
          <w:marRight w:val="0"/>
          <w:marTop w:val="0"/>
          <w:marBottom w:val="0"/>
          <w:divBdr>
            <w:top w:val="none" w:sz="0" w:space="0" w:color="auto"/>
            <w:left w:val="none" w:sz="0" w:space="0" w:color="auto"/>
            <w:bottom w:val="none" w:sz="0" w:space="0" w:color="auto"/>
            <w:right w:val="none" w:sz="0" w:space="0" w:color="auto"/>
          </w:divBdr>
        </w:div>
        <w:div w:id="2014450145">
          <w:marLeft w:val="640"/>
          <w:marRight w:val="0"/>
          <w:marTop w:val="0"/>
          <w:marBottom w:val="0"/>
          <w:divBdr>
            <w:top w:val="none" w:sz="0" w:space="0" w:color="auto"/>
            <w:left w:val="none" w:sz="0" w:space="0" w:color="auto"/>
            <w:bottom w:val="none" w:sz="0" w:space="0" w:color="auto"/>
            <w:right w:val="none" w:sz="0" w:space="0" w:color="auto"/>
          </w:divBdr>
        </w:div>
        <w:div w:id="1184392676">
          <w:marLeft w:val="640"/>
          <w:marRight w:val="0"/>
          <w:marTop w:val="0"/>
          <w:marBottom w:val="0"/>
          <w:divBdr>
            <w:top w:val="none" w:sz="0" w:space="0" w:color="auto"/>
            <w:left w:val="none" w:sz="0" w:space="0" w:color="auto"/>
            <w:bottom w:val="none" w:sz="0" w:space="0" w:color="auto"/>
            <w:right w:val="none" w:sz="0" w:space="0" w:color="auto"/>
          </w:divBdr>
        </w:div>
        <w:div w:id="1816094899">
          <w:marLeft w:val="640"/>
          <w:marRight w:val="0"/>
          <w:marTop w:val="0"/>
          <w:marBottom w:val="0"/>
          <w:divBdr>
            <w:top w:val="none" w:sz="0" w:space="0" w:color="auto"/>
            <w:left w:val="none" w:sz="0" w:space="0" w:color="auto"/>
            <w:bottom w:val="none" w:sz="0" w:space="0" w:color="auto"/>
            <w:right w:val="none" w:sz="0" w:space="0" w:color="auto"/>
          </w:divBdr>
        </w:div>
        <w:div w:id="1384527014">
          <w:marLeft w:val="640"/>
          <w:marRight w:val="0"/>
          <w:marTop w:val="0"/>
          <w:marBottom w:val="0"/>
          <w:divBdr>
            <w:top w:val="none" w:sz="0" w:space="0" w:color="auto"/>
            <w:left w:val="none" w:sz="0" w:space="0" w:color="auto"/>
            <w:bottom w:val="none" w:sz="0" w:space="0" w:color="auto"/>
            <w:right w:val="none" w:sz="0" w:space="0" w:color="auto"/>
          </w:divBdr>
        </w:div>
        <w:div w:id="778109610">
          <w:marLeft w:val="640"/>
          <w:marRight w:val="0"/>
          <w:marTop w:val="0"/>
          <w:marBottom w:val="0"/>
          <w:divBdr>
            <w:top w:val="none" w:sz="0" w:space="0" w:color="auto"/>
            <w:left w:val="none" w:sz="0" w:space="0" w:color="auto"/>
            <w:bottom w:val="none" w:sz="0" w:space="0" w:color="auto"/>
            <w:right w:val="none" w:sz="0" w:space="0" w:color="auto"/>
          </w:divBdr>
        </w:div>
        <w:div w:id="1040474434">
          <w:marLeft w:val="640"/>
          <w:marRight w:val="0"/>
          <w:marTop w:val="0"/>
          <w:marBottom w:val="0"/>
          <w:divBdr>
            <w:top w:val="none" w:sz="0" w:space="0" w:color="auto"/>
            <w:left w:val="none" w:sz="0" w:space="0" w:color="auto"/>
            <w:bottom w:val="none" w:sz="0" w:space="0" w:color="auto"/>
            <w:right w:val="none" w:sz="0" w:space="0" w:color="auto"/>
          </w:divBdr>
        </w:div>
        <w:div w:id="922377165">
          <w:marLeft w:val="640"/>
          <w:marRight w:val="0"/>
          <w:marTop w:val="0"/>
          <w:marBottom w:val="0"/>
          <w:divBdr>
            <w:top w:val="none" w:sz="0" w:space="0" w:color="auto"/>
            <w:left w:val="none" w:sz="0" w:space="0" w:color="auto"/>
            <w:bottom w:val="none" w:sz="0" w:space="0" w:color="auto"/>
            <w:right w:val="none" w:sz="0" w:space="0" w:color="auto"/>
          </w:divBdr>
        </w:div>
        <w:div w:id="55322220">
          <w:marLeft w:val="640"/>
          <w:marRight w:val="0"/>
          <w:marTop w:val="0"/>
          <w:marBottom w:val="0"/>
          <w:divBdr>
            <w:top w:val="none" w:sz="0" w:space="0" w:color="auto"/>
            <w:left w:val="none" w:sz="0" w:space="0" w:color="auto"/>
            <w:bottom w:val="none" w:sz="0" w:space="0" w:color="auto"/>
            <w:right w:val="none" w:sz="0" w:space="0" w:color="auto"/>
          </w:divBdr>
        </w:div>
        <w:div w:id="2055349337">
          <w:marLeft w:val="640"/>
          <w:marRight w:val="0"/>
          <w:marTop w:val="0"/>
          <w:marBottom w:val="0"/>
          <w:divBdr>
            <w:top w:val="none" w:sz="0" w:space="0" w:color="auto"/>
            <w:left w:val="none" w:sz="0" w:space="0" w:color="auto"/>
            <w:bottom w:val="none" w:sz="0" w:space="0" w:color="auto"/>
            <w:right w:val="none" w:sz="0" w:space="0" w:color="auto"/>
          </w:divBdr>
        </w:div>
        <w:div w:id="427698603">
          <w:marLeft w:val="640"/>
          <w:marRight w:val="0"/>
          <w:marTop w:val="0"/>
          <w:marBottom w:val="0"/>
          <w:divBdr>
            <w:top w:val="none" w:sz="0" w:space="0" w:color="auto"/>
            <w:left w:val="none" w:sz="0" w:space="0" w:color="auto"/>
            <w:bottom w:val="none" w:sz="0" w:space="0" w:color="auto"/>
            <w:right w:val="none" w:sz="0" w:space="0" w:color="auto"/>
          </w:divBdr>
        </w:div>
        <w:div w:id="709569279">
          <w:marLeft w:val="640"/>
          <w:marRight w:val="0"/>
          <w:marTop w:val="0"/>
          <w:marBottom w:val="0"/>
          <w:divBdr>
            <w:top w:val="none" w:sz="0" w:space="0" w:color="auto"/>
            <w:left w:val="none" w:sz="0" w:space="0" w:color="auto"/>
            <w:bottom w:val="none" w:sz="0" w:space="0" w:color="auto"/>
            <w:right w:val="none" w:sz="0" w:space="0" w:color="auto"/>
          </w:divBdr>
        </w:div>
        <w:div w:id="1449819006">
          <w:marLeft w:val="640"/>
          <w:marRight w:val="0"/>
          <w:marTop w:val="0"/>
          <w:marBottom w:val="0"/>
          <w:divBdr>
            <w:top w:val="none" w:sz="0" w:space="0" w:color="auto"/>
            <w:left w:val="none" w:sz="0" w:space="0" w:color="auto"/>
            <w:bottom w:val="none" w:sz="0" w:space="0" w:color="auto"/>
            <w:right w:val="none" w:sz="0" w:space="0" w:color="auto"/>
          </w:divBdr>
        </w:div>
        <w:div w:id="928464883">
          <w:marLeft w:val="640"/>
          <w:marRight w:val="0"/>
          <w:marTop w:val="0"/>
          <w:marBottom w:val="0"/>
          <w:divBdr>
            <w:top w:val="none" w:sz="0" w:space="0" w:color="auto"/>
            <w:left w:val="none" w:sz="0" w:space="0" w:color="auto"/>
            <w:bottom w:val="none" w:sz="0" w:space="0" w:color="auto"/>
            <w:right w:val="none" w:sz="0" w:space="0" w:color="auto"/>
          </w:divBdr>
        </w:div>
        <w:div w:id="401172877">
          <w:marLeft w:val="640"/>
          <w:marRight w:val="0"/>
          <w:marTop w:val="0"/>
          <w:marBottom w:val="0"/>
          <w:divBdr>
            <w:top w:val="none" w:sz="0" w:space="0" w:color="auto"/>
            <w:left w:val="none" w:sz="0" w:space="0" w:color="auto"/>
            <w:bottom w:val="none" w:sz="0" w:space="0" w:color="auto"/>
            <w:right w:val="none" w:sz="0" w:space="0" w:color="auto"/>
          </w:divBdr>
        </w:div>
        <w:div w:id="1956446757">
          <w:marLeft w:val="640"/>
          <w:marRight w:val="0"/>
          <w:marTop w:val="0"/>
          <w:marBottom w:val="0"/>
          <w:divBdr>
            <w:top w:val="none" w:sz="0" w:space="0" w:color="auto"/>
            <w:left w:val="none" w:sz="0" w:space="0" w:color="auto"/>
            <w:bottom w:val="none" w:sz="0" w:space="0" w:color="auto"/>
            <w:right w:val="none" w:sz="0" w:space="0" w:color="auto"/>
          </w:divBdr>
        </w:div>
        <w:div w:id="1070077464">
          <w:marLeft w:val="640"/>
          <w:marRight w:val="0"/>
          <w:marTop w:val="0"/>
          <w:marBottom w:val="0"/>
          <w:divBdr>
            <w:top w:val="none" w:sz="0" w:space="0" w:color="auto"/>
            <w:left w:val="none" w:sz="0" w:space="0" w:color="auto"/>
            <w:bottom w:val="none" w:sz="0" w:space="0" w:color="auto"/>
            <w:right w:val="none" w:sz="0" w:space="0" w:color="auto"/>
          </w:divBdr>
        </w:div>
        <w:div w:id="166868538">
          <w:marLeft w:val="640"/>
          <w:marRight w:val="0"/>
          <w:marTop w:val="0"/>
          <w:marBottom w:val="0"/>
          <w:divBdr>
            <w:top w:val="none" w:sz="0" w:space="0" w:color="auto"/>
            <w:left w:val="none" w:sz="0" w:space="0" w:color="auto"/>
            <w:bottom w:val="none" w:sz="0" w:space="0" w:color="auto"/>
            <w:right w:val="none" w:sz="0" w:space="0" w:color="auto"/>
          </w:divBdr>
        </w:div>
        <w:div w:id="1866019742">
          <w:marLeft w:val="640"/>
          <w:marRight w:val="0"/>
          <w:marTop w:val="0"/>
          <w:marBottom w:val="0"/>
          <w:divBdr>
            <w:top w:val="none" w:sz="0" w:space="0" w:color="auto"/>
            <w:left w:val="none" w:sz="0" w:space="0" w:color="auto"/>
            <w:bottom w:val="none" w:sz="0" w:space="0" w:color="auto"/>
            <w:right w:val="none" w:sz="0" w:space="0" w:color="auto"/>
          </w:divBdr>
        </w:div>
        <w:div w:id="1882789557">
          <w:marLeft w:val="640"/>
          <w:marRight w:val="0"/>
          <w:marTop w:val="0"/>
          <w:marBottom w:val="0"/>
          <w:divBdr>
            <w:top w:val="none" w:sz="0" w:space="0" w:color="auto"/>
            <w:left w:val="none" w:sz="0" w:space="0" w:color="auto"/>
            <w:bottom w:val="none" w:sz="0" w:space="0" w:color="auto"/>
            <w:right w:val="none" w:sz="0" w:space="0" w:color="auto"/>
          </w:divBdr>
        </w:div>
        <w:div w:id="1796286957">
          <w:marLeft w:val="640"/>
          <w:marRight w:val="0"/>
          <w:marTop w:val="0"/>
          <w:marBottom w:val="0"/>
          <w:divBdr>
            <w:top w:val="none" w:sz="0" w:space="0" w:color="auto"/>
            <w:left w:val="none" w:sz="0" w:space="0" w:color="auto"/>
            <w:bottom w:val="none" w:sz="0" w:space="0" w:color="auto"/>
            <w:right w:val="none" w:sz="0" w:space="0" w:color="auto"/>
          </w:divBdr>
        </w:div>
        <w:div w:id="521893742">
          <w:marLeft w:val="640"/>
          <w:marRight w:val="0"/>
          <w:marTop w:val="0"/>
          <w:marBottom w:val="0"/>
          <w:divBdr>
            <w:top w:val="none" w:sz="0" w:space="0" w:color="auto"/>
            <w:left w:val="none" w:sz="0" w:space="0" w:color="auto"/>
            <w:bottom w:val="none" w:sz="0" w:space="0" w:color="auto"/>
            <w:right w:val="none" w:sz="0" w:space="0" w:color="auto"/>
          </w:divBdr>
        </w:div>
        <w:div w:id="1913932791">
          <w:marLeft w:val="640"/>
          <w:marRight w:val="0"/>
          <w:marTop w:val="0"/>
          <w:marBottom w:val="0"/>
          <w:divBdr>
            <w:top w:val="none" w:sz="0" w:space="0" w:color="auto"/>
            <w:left w:val="none" w:sz="0" w:space="0" w:color="auto"/>
            <w:bottom w:val="none" w:sz="0" w:space="0" w:color="auto"/>
            <w:right w:val="none" w:sz="0" w:space="0" w:color="auto"/>
          </w:divBdr>
        </w:div>
        <w:div w:id="823476113">
          <w:marLeft w:val="640"/>
          <w:marRight w:val="0"/>
          <w:marTop w:val="0"/>
          <w:marBottom w:val="0"/>
          <w:divBdr>
            <w:top w:val="none" w:sz="0" w:space="0" w:color="auto"/>
            <w:left w:val="none" w:sz="0" w:space="0" w:color="auto"/>
            <w:bottom w:val="none" w:sz="0" w:space="0" w:color="auto"/>
            <w:right w:val="none" w:sz="0" w:space="0" w:color="auto"/>
          </w:divBdr>
        </w:div>
        <w:div w:id="406390620">
          <w:marLeft w:val="640"/>
          <w:marRight w:val="0"/>
          <w:marTop w:val="0"/>
          <w:marBottom w:val="0"/>
          <w:divBdr>
            <w:top w:val="none" w:sz="0" w:space="0" w:color="auto"/>
            <w:left w:val="none" w:sz="0" w:space="0" w:color="auto"/>
            <w:bottom w:val="none" w:sz="0" w:space="0" w:color="auto"/>
            <w:right w:val="none" w:sz="0" w:space="0" w:color="auto"/>
          </w:divBdr>
        </w:div>
        <w:div w:id="1081829461">
          <w:marLeft w:val="640"/>
          <w:marRight w:val="0"/>
          <w:marTop w:val="0"/>
          <w:marBottom w:val="0"/>
          <w:divBdr>
            <w:top w:val="none" w:sz="0" w:space="0" w:color="auto"/>
            <w:left w:val="none" w:sz="0" w:space="0" w:color="auto"/>
            <w:bottom w:val="none" w:sz="0" w:space="0" w:color="auto"/>
            <w:right w:val="none" w:sz="0" w:space="0" w:color="auto"/>
          </w:divBdr>
        </w:div>
        <w:div w:id="1645086684">
          <w:marLeft w:val="640"/>
          <w:marRight w:val="0"/>
          <w:marTop w:val="0"/>
          <w:marBottom w:val="0"/>
          <w:divBdr>
            <w:top w:val="none" w:sz="0" w:space="0" w:color="auto"/>
            <w:left w:val="none" w:sz="0" w:space="0" w:color="auto"/>
            <w:bottom w:val="none" w:sz="0" w:space="0" w:color="auto"/>
            <w:right w:val="none" w:sz="0" w:space="0" w:color="auto"/>
          </w:divBdr>
        </w:div>
        <w:div w:id="1047409352">
          <w:marLeft w:val="640"/>
          <w:marRight w:val="0"/>
          <w:marTop w:val="0"/>
          <w:marBottom w:val="0"/>
          <w:divBdr>
            <w:top w:val="none" w:sz="0" w:space="0" w:color="auto"/>
            <w:left w:val="none" w:sz="0" w:space="0" w:color="auto"/>
            <w:bottom w:val="none" w:sz="0" w:space="0" w:color="auto"/>
            <w:right w:val="none" w:sz="0" w:space="0" w:color="auto"/>
          </w:divBdr>
        </w:div>
        <w:div w:id="100683890">
          <w:marLeft w:val="640"/>
          <w:marRight w:val="0"/>
          <w:marTop w:val="0"/>
          <w:marBottom w:val="0"/>
          <w:divBdr>
            <w:top w:val="none" w:sz="0" w:space="0" w:color="auto"/>
            <w:left w:val="none" w:sz="0" w:space="0" w:color="auto"/>
            <w:bottom w:val="none" w:sz="0" w:space="0" w:color="auto"/>
            <w:right w:val="none" w:sz="0" w:space="0" w:color="auto"/>
          </w:divBdr>
        </w:div>
        <w:div w:id="366567293">
          <w:marLeft w:val="640"/>
          <w:marRight w:val="0"/>
          <w:marTop w:val="0"/>
          <w:marBottom w:val="0"/>
          <w:divBdr>
            <w:top w:val="none" w:sz="0" w:space="0" w:color="auto"/>
            <w:left w:val="none" w:sz="0" w:space="0" w:color="auto"/>
            <w:bottom w:val="none" w:sz="0" w:space="0" w:color="auto"/>
            <w:right w:val="none" w:sz="0" w:space="0" w:color="auto"/>
          </w:divBdr>
        </w:div>
        <w:div w:id="620262918">
          <w:marLeft w:val="640"/>
          <w:marRight w:val="0"/>
          <w:marTop w:val="0"/>
          <w:marBottom w:val="0"/>
          <w:divBdr>
            <w:top w:val="none" w:sz="0" w:space="0" w:color="auto"/>
            <w:left w:val="none" w:sz="0" w:space="0" w:color="auto"/>
            <w:bottom w:val="none" w:sz="0" w:space="0" w:color="auto"/>
            <w:right w:val="none" w:sz="0" w:space="0" w:color="auto"/>
          </w:divBdr>
        </w:div>
        <w:div w:id="52386626">
          <w:marLeft w:val="640"/>
          <w:marRight w:val="0"/>
          <w:marTop w:val="0"/>
          <w:marBottom w:val="0"/>
          <w:divBdr>
            <w:top w:val="none" w:sz="0" w:space="0" w:color="auto"/>
            <w:left w:val="none" w:sz="0" w:space="0" w:color="auto"/>
            <w:bottom w:val="none" w:sz="0" w:space="0" w:color="auto"/>
            <w:right w:val="none" w:sz="0" w:space="0" w:color="auto"/>
          </w:divBdr>
        </w:div>
        <w:div w:id="710804857">
          <w:marLeft w:val="640"/>
          <w:marRight w:val="0"/>
          <w:marTop w:val="0"/>
          <w:marBottom w:val="0"/>
          <w:divBdr>
            <w:top w:val="none" w:sz="0" w:space="0" w:color="auto"/>
            <w:left w:val="none" w:sz="0" w:space="0" w:color="auto"/>
            <w:bottom w:val="none" w:sz="0" w:space="0" w:color="auto"/>
            <w:right w:val="none" w:sz="0" w:space="0" w:color="auto"/>
          </w:divBdr>
        </w:div>
        <w:div w:id="3363039">
          <w:marLeft w:val="640"/>
          <w:marRight w:val="0"/>
          <w:marTop w:val="0"/>
          <w:marBottom w:val="0"/>
          <w:divBdr>
            <w:top w:val="none" w:sz="0" w:space="0" w:color="auto"/>
            <w:left w:val="none" w:sz="0" w:space="0" w:color="auto"/>
            <w:bottom w:val="none" w:sz="0" w:space="0" w:color="auto"/>
            <w:right w:val="none" w:sz="0" w:space="0" w:color="auto"/>
          </w:divBdr>
        </w:div>
        <w:div w:id="1044911337">
          <w:marLeft w:val="640"/>
          <w:marRight w:val="0"/>
          <w:marTop w:val="0"/>
          <w:marBottom w:val="0"/>
          <w:divBdr>
            <w:top w:val="none" w:sz="0" w:space="0" w:color="auto"/>
            <w:left w:val="none" w:sz="0" w:space="0" w:color="auto"/>
            <w:bottom w:val="none" w:sz="0" w:space="0" w:color="auto"/>
            <w:right w:val="none" w:sz="0" w:space="0" w:color="auto"/>
          </w:divBdr>
        </w:div>
        <w:div w:id="125780950">
          <w:marLeft w:val="640"/>
          <w:marRight w:val="0"/>
          <w:marTop w:val="0"/>
          <w:marBottom w:val="0"/>
          <w:divBdr>
            <w:top w:val="none" w:sz="0" w:space="0" w:color="auto"/>
            <w:left w:val="none" w:sz="0" w:space="0" w:color="auto"/>
            <w:bottom w:val="none" w:sz="0" w:space="0" w:color="auto"/>
            <w:right w:val="none" w:sz="0" w:space="0" w:color="auto"/>
          </w:divBdr>
        </w:div>
        <w:div w:id="875580094">
          <w:marLeft w:val="640"/>
          <w:marRight w:val="0"/>
          <w:marTop w:val="0"/>
          <w:marBottom w:val="0"/>
          <w:divBdr>
            <w:top w:val="none" w:sz="0" w:space="0" w:color="auto"/>
            <w:left w:val="none" w:sz="0" w:space="0" w:color="auto"/>
            <w:bottom w:val="none" w:sz="0" w:space="0" w:color="auto"/>
            <w:right w:val="none" w:sz="0" w:space="0" w:color="auto"/>
          </w:divBdr>
        </w:div>
        <w:div w:id="19550518">
          <w:marLeft w:val="640"/>
          <w:marRight w:val="0"/>
          <w:marTop w:val="0"/>
          <w:marBottom w:val="0"/>
          <w:divBdr>
            <w:top w:val="none" w:sz="0" w:space="0" w:color="auto"/>
            <w:left w:val="none" w:sz="0" w:space="0" w:color="auto"/>
            <w:bottom w:val="none" w:sz="0" w:space="0" w:color="auto"/>
            <w:right w:val="none" w:sz="0" w:space="0" w:color="auto"/>
          </w:divBdr>
        </w:div>
        <w:div w:id="765805476">
          <w:marLeft w:val="640"/>
          <w:marRight w:val="0"/>
          <w:marTop w:val="0"/>
          <w:marBottom w:val="0"/>
          <w:divBdr>
            <w:top w:val="none" w:sz="0" w:space="0" w:color="auto"/>
            <w:left w:val="none" w:sz="0" w:space="0" w:color="auto"/>
            <w:bottom w:val="none" w:sz="0" w:space="0" w:color="auto"/>
            <w:right w:val="none" w:sz="0" w:space="0" w:color="auto"/>
          </w:divBdr>
        </w:div>
        <w:div w:id="1085150434">
          <w:marLeft w:val="640"/>
          <w:marRight w:val="0"/>
          <w:marTop w:val="0"/>
          <w:marBottom w:val="0"/>
          <w:divBdr>
            <w:top w:val="none" w:sz="0" w:space="0" w:color="auto"/>
            <w:left w:val="none" w:sz="0" w:space="0" w:color="auto"/>
            <w:bottom w:val="none" w:sz="0" w:space="0" w:color="auto"/>
            <w:right w:val="none" w:sz="0" w:space="0" w:color="auto"/>
          </w:divBdr>
        </w:div>
        <w:div w:id="1198003245">
          <w:marLeft w:val="640"/>
          <w:marRight w:val="0"/>
          <w:marTop w:val="0"/>
          <w:marBottom w:val="0"/>
          <w:divBdr>
            <w:top w:val="none" w:sz="0" w:space="0" w:color="auto"/>
            <w:left w:val="none" w:sz="0" w:space="0" w:color="auto"/>
            <w:bottom w:val="none" w:sz="0" w:space="0" w:color="auto"/>
            <w:right w:val="none" w:sz="0" w:space="0" w:color="auto"/>
          </w:divBdr>
        </w:div>
        <w:div w:id="377320732">
          <w:marLeft w:val="640"/>
          <w:marRight w:val="0"/>
          <w:marTop w:val="0"/>
          <w:marBottom w:val="0"/>
          <w:divBdr>
            <w:top w:val="none" w:sz="0" w:space="0" w:color="auto"/>
            <w:left w:val="none" w:sz="0" w:space="0" w:color="auto"/>
            <w:bottom w:val="none" w:sz="0" w:space="0" w:color="auto"/>
            <w:right w:val="none" w:sz="0" w:space="0" w:color="auto"/>
          </w:divBdr>
        </w:div>
        <w:div w:id="714505851">
          <w:marLeft w:val="640"/>
          <w:marRight w:val="0"/>
          <w:marTop w:val="0"/>
          <w:marBottom w:val="0"/>
          <w:divBdr>
            <w:top w:val="none" w:sz="0" w:space="0" w:color="auto"/>
            <w:left w:val="none" w:sz="0" w:space="0" w:color="auto"/>
            <w:bottom w:val="none" w:sz="0" w:space="0" w:color="auto"/>
            <w:right w:val="none" w:sz="0" w:space="0" w:color="auto"/>
          </w:divBdr>
        </w:div>
        <w:div w:id="1048646832">
          <w:marLeft w:val="640"/>
          <w:marRight w:val="0"/>
          <w:marTop w:val="0"/>
          <w:marBottom w:val="0"/>
          <w:divBdr>
            <w:top w:val="none" w:sz="0" w:space="0" w:color="auto"/>
            <w:left w:val="none" w:sz="0" w:space="0" w:color="auto"/>
            <w:bottom w:val="none" w:sz="0" w:space="0" w:color="auto"/>
            <w:right w:val="none" w:sz="0" w:space="0" w:color="auto"/>
          </w:divBdr>
        </w:div>
        <w:div w:id="140007129">
          <w:marLeft w:val="640"/>
          <w:marRight w:val="0"/>
          <w:marTop w:val="0"/>
          <w:marBottom w:val="0"/>
          <w:divBdr>
            <w:top w:val="none" w:sz="0" w:space="0" w:color="auto"/>
            <w:left w:val="none" w:sz="0" w:space="0" w:color="auto"/>
            <w:bottom w:val="none" w:sz="0" w:space="0" w:color="auto"/>
            <w:right w:val="none" w:sz="0" w:space="0" w:color="auto"/>
          </w:divBdr>
        </w:div>
        <w:div w:id="292179465">
          <w:marLeft w:val="640"/>
          <w:marRight w:val="0"/>
          <w:marTop w:val="0"/>
          <w:marBottom w:val="0"/>
          <w:divBdr>
            <w:top w:val="none" w:sz="0" w:space="0" w:color="auto"/>
            <w:left w:val="none" w:sz="0" w:space="0" w:color="auto"/>
            <w:bottom w:val="none" w:sz="0" w:space="0" w:color="auto"/>
            <w:right w:val="none" w:sz="0" w:space="0" w:color="auto"/>
          </w:divBdr>
        </w:div>
        <w:div w:id="623117543">
          <w:marLeft w:val="640"/>
          <w:marRight w:val="0"/>
          <w:marTop w:val="0"/>
          <w:marBottom w:val="0"/>
          <w:divBdr>
            <w:top w:val="none" w:sz="0" w:space="0" w:color="auto"/>
            <w:left w:val="none" w:sz="0" w:space="0" w:color="auto"/>
            <w:bottom w:val="none" w:sz="0" w:space="0" w:color="auto"/>
            <w:right w:val="none" w:sz="0" w:space="0" w:color="auto"/>
          </w:divBdr>
        </w:div>
        <w:div w:id="1667249057">
          <w:marLeft w:val="640"/>
          <w:marRight w:val="0"/>
          <w:marTop w:val="0"/>
          <w:marBottom w:val="0"/>
          <w:divBdr>
            <w:top w:val="none" w:sz="0" w:space="0" w:color="auto"/>
            <w:left w:val="none" w:sz="0" w:space="0" w:color="auto"/>
            <w:bottom w:val="none" w:sz="0" w:space="0" w:color="auto"/>
            <w:right w:val="none" w:sz="0" w:space="0" w:color="auto"/>
          </w:divBdr>
        </w:div>
        <w:div w:id="1466778109">
          <w:marLeft w:val="640"/>
          <w:marRight w:val="0"/>
          <w:marTop w:val="0"/>
          <w:marBottom w:val="0"/>
          <w:divBdr>
            <w:top w:val="none" w:sz="0" w:space="0" w:color="auto"/>
            <w:left w:val="none" w:sz="0" w:space="0" w:color="auto"/>
            <w:bottom w:val="none" w:sz="0" w:space="0" w:color="auto"/>
            <w:right w:val="none" w:sz="0" w:space="0" w:color="auto"/>
          </w:divBdr>
        </w:div>
        <w:div w:id="685864105">
          <w:marLeft w:val="640"/>
          <w:marRight w:val="0"/>
          <w:marTop w:val="0"/>
          <w:marBottom w:val="0"/>
          <w:divBdr>
            <w:top w:val="none" w:sz="0" w:space="0" w:color="auto"/>
            <w:left w:val="none" w:sz="0" w:space="0" w:color="auto"/>
            <w:bottom w:val="none" w:sz="0" w:space="0" w:color="auto"/>
            <w:right w:val="none" w:sz="0" w:space="0" w:color="auto"/>
          </w:divBdr>
        </w:div>
        <w:div w:id="963778157">
          <w:marLeft w:val="640"/>
          <w:marRight w:val="0"/>
          <w:marTop w:val="0"/>
          <w:marBottom w:val="0"/>
          <w:divBdr>
            <w:top w:val="none" w:sz="0" w:space="0" w:color="auto"/>
            <w:left w:val="none" w:sz="0" w:space="0" w:color="auto"/>
            <w:bottom w:val="none" w:sz="0" w:space="0" w:color="auto"/>
            <w:right w:val="none" w:sz="0" w:space="0" w:color="auto"/>
          </w:divBdr>
        </w:div>
        <w:div w:id="1166818433">
          <w:marLeft w:val="640"/>
          <w:marRight w:val="0"/>
          <w:marTop w:val="0"/>
          <w:marBottom w:val="0"/>
          <w:divBdr>
            <w:top w:val="none" w:sz="0" w:space="0" w:color="auto"/>
            <w:left w:val="none" w:sz="0" w:space="0" w:color="auto"/>
            <w:bottom w:val="none" w:sz="0" w:space="0" w:color="auto"/>
            <w:right w:val="none" w:sz="0" w:space="0" w:color="auto"/>
          </w:divBdr>
        </w:div>
        <w:div w:id="78605570">
          <w:marLeft w:val="640"/>
          <w:marRight w:val="0"/>
          <w:marTop w:val="0"/>
          <w:marBottom w:val="0"/>
          <w:divBdr>
            <w:top w:val="none" w:sz="0" w:space="0" w:color="auto"/>
            <w:left w:val="none" w:sz="0" w:space="0" w:color="auto"/>
            <w:bottom w:val="none" w:sz="0" w:space="0" w:color="auto"/>
            <w:right w:val="none" w:sz="0" w:space="0" w:color="auto"/>
          </w:divBdr>
        </w:div>
        <w:div w:id="1880120638">
          <w:marLeft w:val="640"/>
          <w:marRight w:val="0"/>
          <w:marTop w:val="0"/>
          <w:marBottom w:val="0"/>
          <w:divBdr>
            <w:top w:val="none" w:sz="0" w:space="0" w:color="auto"/>
            <w:left w:val="none" w:sz="0" w:space="0" w:color="auto"/>
            <w:bottom w:val="none" w:sz="0" w:space="0" w:color="auto"/>
            <w:right w:val="none" w:sz="0" w:space="0" w:color="auto"/>
          </w:divBdr>
        </w:div>
        <w:div w:id="499581882">
          <w:marLeft w:val="640"/>
          <w:marRight w:val="0"/>
          <w:marTop w:val="0"/>
          <w:marBottom w:val="0"/>
          <w:divBdr>
            <w:top w:val="none" w:sz="0" w:space="0" w:color="auto"/>
            <w:left w:val="none" w:sz="0" w:space="0" w:color="auto"/>
            <w:bottom w:val="none" w:sz="0" w:space="0" w:color="auto"/>
            <w:right w:val="none" w:sz="0" w:space="0" w:color="auto"/>
          </w:divBdr>
        </w:div>
        <w:div w:id="435365864">
          <w:marLeft w:val="640"/>
          <w:marRight w:val="0"/>
          <w:marTop w:val="0"/>
          <w:marBottom w:val="0"/>
          <w:divBdr>
            <w:top w:val="none" w:sz="0" w:space="0" w:color="auto"/>
            <w:left w:val="none" w:sz="0" w:space="0" w:color="auto"/>
            <w:bottom w:val="none" w:sz="0" w:space="0" w:color="auto"/>
            <w:right w:val="none" w:sz="0" w:space="0" w:color="auto"/>
          </w:divBdr>
        </w:div>
        <w:div w:id="574971509">
          <w:marLeft w:val="640"/>
          <w:marRight w:val="0"/>
          <w:marTop w:val="0"/>
          <w:marBottom w:val="0"/>
          <w:divBdr>
            <w:top w:val="none" w:sz="0" w:space="0" w:color="auto"/>
            <w:left w:val="none" w:sz="0" w:space="0" w:color="auto"/>
            <w:bottom w:val="none" w:sz="0" w:space="0" w:color="auto"/>
            <w:right w:val="none" w:sz="0" w:space="0" w:color="auto"/>
          </w:divBdr>
        </w:div>
        <w:div w:id="472219576">
          <w:marLeft w:val="640"/>
          <w:marRight w:val="0"/>
          <w:marTop w:val="0"/>
          <w:marBottom w:val="0"/>
          <w:divBdr>
            <w:top w:val="none" w:sz="0" w:space="0" w:color="auto"/>
            <w:left w:val="none" w:sz="0" w:space="0" w:color="auto"/>
            <w:bottom w:val="none" w:sz="0" w:space="0" w:color="auto"/>
            <w:right w:val="none" w:sz="0" w:space="0" w:color="auto"/>
          </w:divBdr>
        </w:div>
        <w:div w:id="47388144">
          <w:marLeft w:val="640"/>
          <w:marRight w:val="0"/>
          <w:marTop w:val="0"/>
          <w:marBottom w:val="0"/>
          <w:divBdr>
            <w:top w:val="none" w:sz="0" w:space="0" w:color="auto"/>
            <w:left w:val="none" w:sz="0" w:space="0" w:color="auto"/>
            <w:bottom w:val="none" w:sz="0" w:space="0" w:color="auto"/>
            <w:right w:val="none" w:sz="0" w:space="0" w:color="auto"/>
          </w:divBdr>
        </w:div>
        <w:div w:id="729768337">
          <w:marLeft w:val="640"/>
          <w:marRight w:val="0"/>
          <w:marTop w:val="0"/>
          <w:marBottom w:val="0"/>
          <w:divBdr>
            <w:top w:val="none" w:sz="0" w:space="0" w:color="auto"/>
            <w:left w:val="none" w:sz="0" w:space="0" w:color="auto"/>
            <w:bottom w:val="none" w:sz="0" w:space="0" w:color="auto"/>
            <w:right w:val="none" w:sz="0" w:space="0" w:color="auto"/>
          </w:divBdr>
        </w:div>
        <w:div w:id="1817840288">
          <w:marLeft w:val="640"/>
          <w:marRight w:val="0"/>
          <w:marTop w:val="0"/>
          <w:marBottom w:val="0"/>
          <w:divBdr>
            <w:top w:val="none" w:sz="0" w:space="0" w:color="auto"/>
            <w:left w:val="none" w:sz="0" w:space="0" w:color="auto"/>
            <w:bottom w:val="none" w:sz="0" w:space="0" w:color="auto"/>
            <w:right w:val="none" w:sz="0" w:space="0" w:color="auto"/>
          </w:divBdr>
        </w:div>
        <w:div w:id="409424432">
          <w:marLeft w:val="640"/>
          <w:marRight w:val="0"/>
          <w:marTop w:val="0"/>
          <w:marBottom w:val="0"/>
          <w:divBdr>
            <w:top w:val="none" w:sz="0" w:space="0" w:color="auto"/>
            <w:left w:val="none" w:sz="0" w:space="0" w:color="auto"/>
            <w:bottom w:val="none" w:sz="0" w:space="0" w:color="auto"/>
            <w:right w:val="none" w:sz="0" w:space="0" w:color="auto"/>
          </w:divBdr>
        </w:div>
        <w:div w:id="1214928510">
          <w:marLeft w:val="640"/>
          <w:marRight w:val="0"/>
          <w:marTop w:val="0"/>
          <w:marBottom w:val="0"/>
          <w:divBdr>
            <w:top w:val="none" w:sz="0" w:space="0" w:color="auto"/>
            <w:left w:val="none" w:sz="0" w:space="0" w:color="auto"/>
            <w:bottom w:val="none" w:sz="0" w:space="0" w:color="auto"/>
            <w:right w:val="none" w:sz="0" w:space="0" w:color="auto"/>
          </w:divBdr>
        </w:div>
        <w:div w:id="1673024949">
          <w:marLeft w:val="640"/>
          <w:marRight w:val="0"/>
          <w:marTop w:val="0"/>
          <w:marBottom w:val="0"/>
          <w:divBdr>
            <w:top w:val="none" w:sz="0" w:space="0" w:color="auto"/>
            <w:left w:val="none" w:sz="0" w:space="0" w:color="auto"/>
            <w:bottom w:val="none" w:sz="0" w:space="0" w:color="auto"/>
            <w:right w:val="none" w:sz="0" w:space="0" w:color="auto"/>
          </w:divBdr>
        </w:div>
        <w:div w:id="1244339386">
          <w:marLeft w:val="640"/>
          <w:marRight w:val="0"/>
          <w:marTop w:val="0"/>
          <w:marBottom w:val="0"/>
          <w:divBdr>
            <w:top w:val="none" w:sz="0" w:space="0" w:color="auto"/>
            <w:left w:val="none" w:sz="0" w:space="0" w:color="auto"/>
            <w:bottom w:val="none" w:sz="0" w:space="0" w:color="auto"/>
            <w:right w:val="none" w:sz="0" w:space="0" w:color="auto"/>
          </w:divBdr>
        </w:div>
        <w:div w:id="326398253">
          <w:marLeft w:val="640"/>
          <w:marRight w:val="0"/>
          <w:marTop w:val="0"/>
          <w:marBottom w:val="0"/>
          <w:divBdr>
            <w:top w:val="none" w:sz="0" w:space="0" w:color="auto"/>
            <w:left w:val="none" w:sz="0" w:space="0" w:color="auto"/>
            <w:bottom w:val="none" w:sz="0" w:space="0" w:color="auto"/>
            <w:right w:val="none" w:sz="0" w:space="0" w:color="auto"/>
          </w:divBdr>
        </w:div>
        <w:div w:id="112023104">
          <w:marLeft w:val="640"/>
          <w:marRight w:val="0"/>
          <w:marTop w:val="0"/>
          <w:marBottom w:val="0"/>
          <w:divBdr>
            <w:top w:val="none" w:sz="0" w:space="0" w:color="auto"/>
            <w:left w:val="none" w:sz="0" w:space="0" w:color="auto"/>
            <w:bottom w:val="none" w:sz="0" w:space="0" w:color="auto"/>
            <w:right w:val="none" w:sz="0" w:space="0" w:color="auto"/>
          </w:divBdr>
        </w:div>
        <w:div w:id="1858422646">
          <w:marLeft w:val="640"/>
          <w:marRight w:val="0"/>
          <w:marTop w:val="0"/>
          <w:marBottom w:val="0"/>
          <w:divBdr>
            <w:top w:val="none" w:sz="0" w:space="0" w:color="auto"/>
            <w:left w:val="none" w:sz="0" w:space="0" w:color="auto"/>
            <w:bottom w:val="none" w:sz="0" w:space="0" w:color="auto"/>
            <w:right w:val="none" w:sz="0" w:space="0" w:color="auto"/>
          </w:divBdr>
        </w:div>
        <w:div w:id="1216312492">
          <w:marLeft w:val="640"/>
          <w:marRight w:val="0"/>
          <w:marTop w:val="0"/>
          <w:marBottom w:val="0"/>
          <w:divBdr>
            <w:top w:val="none" w:sz="0" w:space="0" w:color="auto"/>
            <w:left w:val="none" w:sz="0" w:space="0" w:color="auto"/>
            <w:bottom w:val="none" w:sz="0" w:space="0" w:color="auto"/>
            <w:right w:val="none" w:sz="0" w:space="0" w:color="auto"/>
          </w:divBdr>
        </w:div>
        <w:div w:id="644430249">
          <w:marLeft w:val="640"/>
          <w:marRight w:val="0"/>
          <w:marTop w:val="0"/>
          <w:marBottom w:val="0"/>
          <w:divBdr>
            <w:top w:val="none" w:sz="0" w:space="0" w:color="auto"/>
            <w:left w:val="none" w:sz="0" w:space="0" w:color="auto"/>
            <w:bottom w:val="none" w:sz="0" w:space="0" w:color="auto"/>
            <w:right w:val="none" w:sz="0" w:space="0" w:color="auto"/>
          </w:divBdr>
        </w:div>
        <w:div w:id="1565486167">
          <w:marLeft w:val="640"/>
          <w:marRight w:val="0"/>
          <w:marTop w:val="0"/>
          <w:marBottom w:val="0"/>
          <w:divBdr>
            <w:top w:val="none" w:sz="0" w:space="0" w:color="auto"/>
            <w:left w:val="none" w:sz="0" w:space="0" w:color="auto"/>
            <w:bottom w:val="none" w:sz="0" w:space="0" w:color="auto"/>
            <w:right w:val="none" w:sz="0" w:space="0" w:color="auto"/>
          </w:divBdr>
        </w:div>
        <w:div w:id="1340624886">
          <w:marLeft w:val="640"/>
          <w:marRight w:val="0"/>
          <w:marTop w:val="0"/>
          <w:marBottom w:val="0"/>
          <w:divBdr>
            <w:top w:val="none" w:sz="0" w:space="0" w:color="auto"/>
            <w:left w:val="none" w:sz="0" w:space="0" w:color="auto"/>
            <w:bottom w:val="none" w:sz="0" w:space="0" w:color="auto"/>
            <w:right w:val="none" w:sz="0" w:space="0" w:color="auto"/>
          </w:divBdr>
        </w:div>
        <w:div w:id="860047181">
          <w:marLeft w:val="640"/>
          <w:marRight w:val="0"/>
          <w:marTop w:val="0"/>
          <w:marBottom w:val="0"/>
          <w:divBdr>
            <w:top w:val="none" w:sz="0" w:space="0" w:color="auto"/>
            <w:left w:val="none" w:sz="0" w:space="0" w:color="auto"/>
            <w:bottom w:val="none" w:sz="0" w:space="0" w:color="auto"/>
            <w:right w:val="none" w:sz="0" w:space="0" w:color="auto"/>
          </w:divBdr>
        </w:div>
        <w:div w:id="457450481">
          <w:marLeft w:val="640"/>
          <w:marRight w:val="0"/>
          <w:marTop w:val="0"/>
          <w:marBottom w:val="0"/>
          <w:divBdr>
            <w:top w:val="none" w:sz="0" w:space="0" w:color="auto"/>
            <w:left w:val="none" w:sz="0" w:space="0" w:color="auto"/>
            <w:bottom w:val="none" w:sz="0" w:space="0" w:color="auto"/>
            <w:right w:val="none" w:sz="0" w:space="0" w:color="auto"/>
          </w:divBdr>
        </w:div>
        <w:div w:id="1257401497">
          <w:marLeft w:val="640"/>
          <w:marRight w:val="0"/>
          <w:marTop w:val="0"/>
          <w:marBottom w:val="0"/>
          <w:divBdr>
            <w:top w:val="none" w:sz="0" w:space="0" w:color="auto"/>
            <w:left w:val="none" w:sz="0" w:space="0" w:color="auto"/>
            <w:bottom w:val="none" w:sz="0" w:space="0" w:color="auto"/>
            <w:right w:val="none" w:sz="0" w:space="0" w:color="auto"/>
          </w:divBdr>
        </w:div>
        <w:div w:id="1612124544">
          <w:marLeft w:val="640"/>
          <w:marRight w:val="0"/>
          <w:marTop w:val="0"/>
          <w:marBottom w:val="0"/>
          <w:divBdr>
            <w:top w:val="none" w:sz="0" w:space="0" w:color="auto"/>
            <w:left w:val="none" w:sz="0" w:space="0" w:color="auto"/>
            <w:bottom w:val="none" w:sz="0" w:space="0" w:color="auto"/>
            <w:right w:val="none" w:sz="0" w:space="0" w:color="auto"/>
          </w:divBdr>
        </w:div>
        <w:div w:id="678043581">
          <w:marLeft w:val="640"/>
          <w:marRight w:val="0"/>
          <w:marTop w:val="0"/>
          <w:marBottom w:val="0"/>
          <w:divBdr>
            <w:top w:val="none" w:sz="0" w:space="0" w:color="auto"/>
            <w:left w:val="none" w:sz="0" w:space="0" w:color="auto"/>
            <w:bottom w:val="none" w:sz="0" w:space="0" w:color="auto"/>
            <w:right w:val="none" w:sz="0" w:space="0" w:color="auto"/>
          </w:divBdr>
        </w:div>
        <w:div w:id="439571279">
          <w:marLeft w:val="640"/>
          <w:marRight w:val="0"/>
          <w:marTop w:val="0"/>
          <w:marBottom w:val="0"/>
          <w:divBdr>
            <w:top w:val="none" w:sz="0" w:space="0" w:color="auto"/>
            <w:left w:val="none" w:sz="0" w:space="0" w:color="auto"/>
            <w:bottom w:val="none" w:sz="0" w:space="0" w:color="auto"/>
            <w:right w:val="none" w:sz="0" w:space="0" w:color="auto"/>
          </w:divBdr>
        </w:div>
        <w:div w:id="467669675">
          <w:marLeft w:val="640"/>
          <w:marRight w:val="0"/>
          <w:marTop w:val="0"/>
          <w:marBottom w:val="0"/>
          <w:divBdr>
            <w:top w:val="none" w:sz="0" w:space="0" w:color="auto"/>
            <w:left w:val="none" w:sz="0" w:space="0" w:color="auto"/>
            <w:bottom w:val="none" w:sz="0" w:space="0" w:color="auto"/>
            <w:right w:val="none" w:sz="0" w:space="0" w:color="auto"/>
          </w:divBdr>
        </w:div>
        <w:div w:id="1723093035">
          <w:marLeft w:val="640"/>
          <w:marRight w:val="0"/>
          <w:marTop w:val="0"/>
          <w:marBottom w:val="0"/>
          <w:divBdr>
            <w:top w:val="none" w:sz="0" w:space="0" w:color="auto"/>
            <w:left w:val="none" w:sz="0" w:space="0" w:color="auto"/>
            <w:bottom w:val="none" w:sz="0" w:space="0" w:color="auto"/>
            <w:right w:val="none" w:sz="0" w:space="0" w:color="auto"/>
          </w:divBdr>
        </w:div>
        <w:div w:id="1981836537">
          <w:marLeft w:val="640"/>
          <w:marRight w:val="0"/>
          <w:marTop w:val="0"/>
          <w:marBottom w:val="0"/>
          <w:divBdr>
            <w:top w:val="none" w:sz="0" w:space="0" w:color="auto"/>
            <w:left w:val="none" w:sz="0" w:space="0" w:color="auto"/>
            <w:bottom w:val="none" w:sz="0" w:space="0" w:color="auto"/>
            <w:right w:val="none" w:sz="0" w:space="0" w:color="auto"/>
          </w:divBdr>
        </w:div>
        <w:div w:id="899512438">
          <w:marLeft w:val="640"/>
          <w:marRight w:val="0"/>
          <w:marTop w:val="0"/>
          <w:marBottom w:val="0"/>
          <w:divBdr>
            <w:top w:val="none" w:sz="0" w:space="0" w:color="auto"/>
            <w:left w:val="none" w:sz="0" w:space="0" w:color="auto"/>
            <w:bottom w:val="none" w:sz="0" w:space="0" w:color="auto"/>
            <w:right w:val="none" w:sz="0" w:space="0" w:color="auto"/>
          </w:divBdr>
        </w:div>
        <w:div w:id="1589121649">
          <w:marLeft w:val="640"/>
          <w:marRight w:val="0"/>
          <w:marTop w:val="0"/>
          <w:marBottom w:val="0"/>
          <w:divBdr>
            <w:top w:val="none" w:sz="0" w:space="0" w:color="auto"/>
            <w:left w:val="none" w:sz="0" w:space="0" w:color="auto"/>
            <w:bottom w:val="none" w:sz="0" w:space="0" w:color="auto"/>
            <w:right w:val="none" w:sz="0" w:space="0" w:color="auto"/>
          </w:divBdr>
        </w:div>
        <w:div w:id="465246161">
          <w:marLeft w:val="640"/>
          <w:marRight w:val="0"/>
          <w:marTop w:val="0"/>
          <w:marBottom w:val="0"/>
          <w:divBdr>
            <w:top w:val="none" w:sz="0" w:space="0" w:color="auto"/>
            <w:left w:val="none" w:sz="0" w:space="0" w:color="auto"/>
            <w:bottom w:val="none" w:sz="0" w:space="0" w:color="auto"/>
            <w:right w:val="none" w:sz="0" w:space="0" w:color="auto"/>
          </w:divBdr>
        </w:div>
        <w:div w:id="1424061656">
          <w:marLeft w:val="640"/>
          <w:marRight w:val="0"/>
          <w:marTop w:val="0"/>
          <w:marBottom w:val="0"/>
          <w:divBdr>
            <w:top w:val="none" w:sz="0" w:space="0" w:color="auto"/>
            <w:left w:val="none" w:sz="0" w:space="0" w:color="auto"/>
            <w:bottom w:val="none" w:sz="0" w:space="0" w:color="auto"/>
            <w:right w:val="none" w:sz="0" w:space="0" w:color="auto"/>
          </w:divBdr>
        </w:div>
        <w:div w:id="1532761201">
          <w:marLeft w:val="640"/>
          <w:marRight w:val="0"/>
          <w:marTop w:val="0"/>
          <w:marBottom w:val="0"/>
          <w:divBdr>
            <w:top w:val="none" w:sz="0" w:space="0" w:color="auto"/>
            <w:left w:val="none" w:sz="0" w:space="0" w:color="auto"/>
            <w:bottom w:val="none" w:sz="0" w:space="0" w:color="auto"/>
            <w:right w:val="none" w:sz="0" w:space="0" w:color="auto"/>
          </w:divBdr>
        </w:div>
        <w:div w:id="645402930">
          <w:marLeft w:val="640"/>
          <w:marRight w:val="0"/>
          <w:marTop w:val="0"/>
          <w:marBottom w:val="0"/>
          <w:divBdr>
            <w:top w:val="none" w:sz="0" w:space="0" w:color="auto"/>
            <w:left w:val="none" w:sz="0" w:space="0" w:color="auto"/>
            <w:bottom w:val="none" w:sz="0" w:space="0" w:color="auto"/>
            <w:right w:val="none" w:sz="0" w:space="0" w:color="auto"/>
          </w:divBdr>
        </w:div>
        <w:div w:id="573857797">
          <w:marLeft w:val="640"/>
          <w:marRight w:val="0"/>
          <w:marTop w:val="0"/>
          <w:marBottom w:val="0"/>
          <w:divBdr>
            <w:top w:val="none" w:sz="0" w:space="0" w:color="auto"/>
            <w:left w:val="none" w:sz="0" w:space="0" w:color="auto"/>
            <w:bottom w:val="none" w:sz="0" w:space="0" w:color="auto"/>
            <w:right w:val="none" w:sz="0" w:space="0" w:color="auto"/>
          </w:divBdr>
        </w:div>
        <w:div w:id="2144930304">
          <w:marLeft w:val="640"/>
          <w:marRight w:val="0"/>
          <w:marTop w:val="0"/>
          <w:marBottom w:val="0"/>
          <w:divBdr>
            <w:top w:val="none" w:sz="0" w:space="0" w:color="auto"/>
            <w:left w:val="none" w:sz="0" w:space="0" w:color="auto"/>
            <w:bottom w:val="none" w:sz="0" w:space="0" w:color="auto"/>
            <w:right w:val="none" w:sz="0" w:space="0" w:color="auto"/>
          </w:divBdr>
        </w:div>
        <w:div w:id="1224096742">
          <w:marLeft w:val="640"/>
          <w:marRight w:val="0"/>
          <w:marTop w:val="0"/>
          <w:marBottom w:val="0"/>
          <w:divBdr>
            <w:top w:val="none" w:sz="0" w:space="0" w:color="auto"/>
            <w:left w:val="none" w:sz="0" w:space="0" w:color="auto"/>
            <w:bottom w:val="none" w:sz="0" w:space="0" w:color="auto"/>
            <w:right w:val="none" w:sz="0" w:space="0" w:color="auto"/>
          </w:divBdr>
        </w:div>
        <w:div w:id="1964143843">
          <w:marLeft w:val="640"/>
          <w:marRight w:val="0"/>
          <w:marTop w:val="0"/>
          <w:marBottom w:val="0"/>
          <w:divBdr>
            <w:top w:val="none" w:sz="0" w:space="0" w:color="auto"/>
            <w:left w:val="none" w:sz="0" w:space="0" w:color="auto"/>
            <w:bottom w:val="none" w:sz="0" w:space="0" w:color="auto"/>
            <w:right w:val="none" w:sz="0" w:space="0" w:color="auto"/>
          </w:divBdr>
        </w:div>
        <w:div w:id="1132017441">
          <w:marLeft w:val="640"/>
          <w:marRight w:val="0"/>
          <w:marTop w:val="0"/>
          <w:marBottom w:val="0"/>
          <w:divBdr>
            <w:top w:val="none" w:sz="0" w:space="0" w:color="auto"/>
            <w:left w:val="none" w:sz="0" w:space="0" w:color="auto"/>
            <w:bottom w:val="none" w:sz="0" w:space="0" w:color="auto"/>
            <w:right w:val="none" w:sz="0" w:space="0" w:color="auto"/>
          </w:divBdr>
        </w:div>
        <w:div w:id="1984769029">
          <w:marLeft w:val="640"/>
          <w:marRight w:val="0"/>
          <w:marTop w:val="0"/>
          <w:marBottom w:val="0"/>
          <w:divBdr>
            <w:top w:val="none" w:sz="0" w:space="0" w:color="auto"/>
            <w:left w:val="none" w:sz="0" w:space="0" w:color="auto"/>
            <w:bottom w:val="none" w:sz="0" w:space="0" w:color="auto"/>
            <w:right w:val="none" w:sz="0" w:space="0" w:color="auto"/>
          </w:divBdr>
        </w:div>
        <w:div w:id="503014185">
          <w:marLeft w:val="640"/>
          <w:marRight w:val="0"/>
          <w:marTop w:val="0"/>
          <w:marBottom w:val="0"/>
          <w:divBdr>
            <w:top w:val="none" w:sz="0" w:space="0" w:color="auto"/>
            <w:left w:val="none" w:sz="0" w:space="0" w:color="auto"/>
            <w:bottom w:val="none" w:sz="0" w:space="0" w:color="auto"/>
            <w:right w:val="none" w:sz="0" w:space="0" w:color="auto"/>
          </w:divBdr>
        </w:div>
        <w:div w:id="1413164604">
          <w:marLeft w:val="640"/>
          <w:marRight w:val="0"/>
          <w:marTop w:val="0"/>
          <w:marBottom w:val="0"/>
          <w:divBdr>
            <w:top w:val="none" w:sz="0" w:space="0" w:color="auto"/>
            <w:left w:val="none" w:sz="0" w:space="0" w:color="auto"/>
            <w:bottom w:val="none" w:sz="0" w:space="0" w:color="auto"/>
            <w:right w:val="none" w:sz="0" w:space="0" w:color="auto"/>
          </w:divBdr>
        </w:div>
        <w:div w:id="1690641517">
          <w:marLeft w:val="640"/>
          <w:marRight w:val="0"/>
          <w:marTop w:val="0"/>
          <w:marBottom w:val="0"/>
          <w:divBdr>
            <w:top w:val="none" w:sz="0" w:space="0" w:color="auto"/>
            <w:left w:val="none" w:sz="0" w:space="0" w:color="auto"/>
            <w:bottom w:val="none" w:sz="0" w:space="0" w:color="auto"/>
            <w:right w:val="none" w:sz="0" w:space="0" w:color="auto"/>
          </w:divBdr>
        </w:div>
        <w:div w:id="501628647">
          <w:marLeft w:val="640"/>
          <w:marRight w:val="0"/>
          <w:marTop w:val="0"/>
          <w:marBottom w:val="0"/>
          <w:divBdr>
            <w:top w:val="none" w:sz="0" w:space="0" w:color="auto"/>
            <w:left w:val="none" w:sz="0" w:space="0" w:color="auto"/>
            <w:bottom w:val="none" w:sz="0" w:space="0" w:color="auto"/>
            <w:right w:val="none" w:sz="0" w:space="0" w:color="auto"/>
          </w:divBdr>
        </w:div>
        <w:div w:id="2019767441">
          <w:marLeft w:val="640"/>
          <w:marRight w:val="0"/>
          <w:marTop w:val="0"/>
          <w:marBottom w:val="0"/>
          <w:divBdr>
            <w:top w:val="none" w:sz="0" w:space="0" w:color="auto"/>
            <w:left w:val="none" w:sz="0" w:space="0" w:color="auto"/>
            <w:bottom w:val="none" w:sz="0" w:space="0" w:color="auto"/>
            <w:right w:val="none" w:sz="0" w:space="0" w:color="auto"/>
          </w:divBdr>
        </w:div>
        <w:div w:id="694162167">
          <w:marLeft w:val="640"/>
          <w:marRight w:val="0"/>
          <w:marTop w:val="0"/>
          <w:marBottom w:val="0"/>
          <w:divBdr>
            <w:top w:val="none" w:sz="0" w:space="0" w:color="auto"/>
            <w:left w:val="none" w:sz="0" w:space="0" w:color="auto"/>
            <w:bottom w:val="none" w:sz="0" w:space="0" w:color="auto"/>
            <w:right w:val="none" w:sz="0" w:space="0" w:color="auto"/>
          </w:divBdr>
        </w:div>
        <w:div w:id="730229324">
          <w:marLeft w:val="640"/>
          <w:marRight w:val="0"/>
          <w:marTop w:val="0"/>
          <w:marBottom w:val="0"/>
          <w:divBdr>
            <w:top w:val="none" w:sz="0" w:space="0" w:color="auto"/>
            <w:left w:val="none" w:sz="0" w:space="0" w:color="auto"/>
            <w:bottom w:val="none" w:sz="0" w:space="0" w:color="auto"/>
            <w:right w:val="none" w:sz="0" w:space="0" w:color="auto"/>
          </w:divBdr>
        </w:div>
        <w:div w:id="87778429">
          <w:marLeft w:val="640"/>
          <w:marRight w:val="0"/>
          <w:marTop w:val="0"/>
          <w:marBottom w:val="0"/>
          <w:divBdr>
            <w:top w:val="none" w:sz="0" w:space="0" w:color="auto"/>
            <w:left w:val="none" w:sz="0" w:space="0" w:color="auto"/>
            <w:bottom w:val="none" w:sz="0" w:space="0" w:color="auto"/>
            <w:right w:val="none" w:sz="0" w:space="0" w:color="auto"/>
          </w:divBdr>
        </w:div>
        <w:div w:id="1002125781">
          <w:marLeft w:val="640"/>
          <w:marRight w:val="0"/>
          <w:marTop w:val="0"/>
          <w:marBottom w:val="0"/>
          <w:divBdr>
            <w:top w:val="none" w:sz="0" w:space="0" w:color="auto"/>
            <w:left w:val="none" w:sz="0" w:space="0" w:color="auto"/>
            <w:bottom w:val="none" w:sz="0" w:space="0" w:color="auto"/>
            <w:right w:val="none" w:sz="0" w:space="0" w:color="auto"/>
          </w:divBdr>
        </w:div>
        <w:div w:id="462508229">
          <w:marLeft w:val="640"/>
          <w:marRight w:val="0"/>
          <w:marTop w:val="0"/>
          <w:marBottom w:val="0"/>
          <w:divBdr>
            <w:top w:val="none" w:sz="0" w:space="0" w:color="auto"/>
            <w:left w:val="none" w:sz="0" w:space="0" w:color="auto"/>
            <w:bottom w:val="none" w:sz="0" w:space="0" w:color="auto"/>
            <w:right w:val="none" w:sz="0" w:space="0" w:color="auto"/>
          </w:divBdr>
        </w:div>
        <w:div w:id="273440984">
          <w:marLeft w:val="640"/>
          <w:marRight w:val="0"/>
          <w:marTop w:val="0"/>
          <w:marBottom w:val="0"/>
          <w:divBdr>
            <w:top w:val="none" w:sz="0" w:space="0" w:color="auto"/>
            <w:left w:val="none" w:sz="0" w:space="0" w:color="auto"/>
            <w:bottom w:val="none" w:sz="0" w:space="0" w:color="auto"/>
            <w:right w:val="none" w:sz="0" w:space="0" w:color="auto"/>
          </w:divBdr>
        </w:div>
        <w:div w:id="1488593229">
          <w:marLeft w:val="640"/>
          <w:marRight w:val="0"/>
          <w:marTop w:val="0"/>
          <w:marBottom w:val="0"/>
          <w:divBdr>
            <w:top w:val="none" w:sz="0" w:space="0" w:color="auto"/>
            <w:left w:val="none" w:sz="0" w:space="0" w:color="auto"/>
            <w:bottom w:val="none" w:sz="0" w:space="0" w:color="auto"/>
            <w:right w:val="none" w:sz="0" w:space="0" w:color="auto"/>
          </w:divBdr>
        </w:div>
        <w:div w:id="750929026">
          <w:marLeft w:val="640"/>
          <w:marRight w:val="0"/>
          <w:marTop w:val="0"/>
          <w:marBottom w:val="0"/>
          <w:divBdr>
            <w:top w:val="none" w:sz="0" w:space="0" w:color="auto"/>
            <w:left w:val="none" w:sz="0" w:space="0" w:color="auto"/>
            <w:bottom w:val="none" w:sz="0" w:space="0" w:color="auto"/>
            <w:right w:val="none" w:sz="0" w:space="0" w:color="auto"/>
          </w:divBdr>
        </w:div>
        <w:div w:id="1100490278">
          <w:marLeft w:val="640"/>
          <w:marRight w:val="0"/>
          <w:marTop w:val="0"/>
          <w:marBottom w:val="0"/>
          <w:divBdr>
            <w:top w:val="none" w:sz="0" w:space="0" w:color="auto"/>
            <w:left w:val="none" w:sz="0" w:space="0" w:color="auto"/>
            <w:bottom w:val="none" w:sz="0" w:space="0" w:color="auto"/>
            <w:right w:val="none" w:sz="0" w:space="0" w:color="auto"/>
          </w:divBdr>
        </w:div>
        <w:div w:id="72512514">
          <w:marLeft w:val="640"/>
          <w:marRight w:val="0"/>
          <w:marTop w:val="0"/>
          <w:marBottom w:val="0"/>
          <w:divBdr>
            <w:top w:val="none" w:sz="0" w:space="0" w:color="auto"/>
            <w:left w:val="none" w:sz="0" w:space="0" w:color="auto"/>
            <w:bottom w:val="none" w:sz="0" w:space="0" w:color="auto"/>
            <w:right w:val="none" w:sz="0" w:space="0" w:color="auto"/>
          </w:divBdr>
        </w:div>
        <w:div w:id="1972517429">
          <w:marLeft w:val="640"/>
          <w:marRight w:val="0"/>
          <w:marTop w:val="0"/>
          <w:marBottom w:val="0"/>
          <w:divBdr>
            <w:top w:val="none" w:sz="0" w:space="0" w:color="auto"/>
            <w:left w:val="none" w:sz="0" w:space="0" w:color="auto"/>
            <w:bottom w:val="none" w:sz="0" w:space="0" w:color="auto"/>
            <w:right w:val="none" w:sz="0" w:space="0" w:color="auto"/>
          </w:divBdr>
        </w:div>
        <w:div w:id="349795782">
          <w:marLeft w:val="640"/>
          <w:marRight w:val="0"/>
          <w:marTop w:val="0"/>
          <w:marBottom w:val="0"/>
          <w:divBdr>
            <w:top w:val="none" w:sz="0" w:space="0" w:color="auto"/>
            <w:left w:val="none" w:sz="0" w:space="0" w:color="auto"/>
            <w:bottom w:val="none" w:sz="0" w:space="0" w:color="auto"/>
            <w:right w:val="none" w:sz="0" w:space="0" w:color="auto"/>
          </w:divBdr>
        </w:div>
        <w:div w:id="470485110">
          <w:marLeft w:val="640"/>
          <w:marRight w:val="0"/>
          <w:marTop w:val="0"/>
          <w:marBottom w:val="0"/>
          <w:divBdr>
            <w:top w:val="none" w:sz="0" w:space="0" w:color="auto"/>
            <w:left w:val="none" w:sz="0" w:space="0" w:color="auto"/>
            <w:bottom w:val="none" w:sz="0" w:space="0" w:color="auto"/>
            <w:right w:val="none" w:sz="0" w:space="0" w:color="auto"/>
          </w:divBdr>
        </w:div>
        <w:div w:id="124658907">
          <w:marLeft w:val="640"/>
          <w:marRight w:val="0"/>
          <w:marTop w:val="0"/>
          <w:marBottom w:val="0"/>
          <w:divBdr>
            <w:top w:val="none" w:sz="0" w:space="0" w:color="auto"/>
            <w:left w:val="none" w:sz="0" w:space="0" w:color="auto"/>
            <w:bottom w:val="none" w:sz="0" w:space="0" w:color="auto"/>
            <w:right w:val="none" w:sz="0" w:space="0" w:color="auto"/>
          </w:divBdr>
        </w:div>
        <w:div w:id="2079012166">
          <w:marLeft w:val="640"/>
          <w:marRight w:val="0"/>
          <w:marTop w:val="0"/>
          <w:marBottom w:val="0"/>
          <w:divBdr>
            <w:top w:val="none" w:sz="0" w:space="0" w:color="auto"/>
            <w:left w:val="none" w:sz="0" w:space="0" w:color="auto"/>
            <w:bottom w:val="none" w:sz="0" w:space="0" w:color="auto"/>
            <w:right w:val="none" w:sz="0" w:space="0" w:color="auto"/>
          </w:divBdr>
        </w:div>
        <w:div w:id="1625233644">
          <w:marLeft w:val="640"/>
          <w:marRight w:val="0"/>
          <w:marTop w:val="0"/>
          <w:marBottom w:val="0"/>
          <w:divBdr>
            <w:top w:val="none" w:sz="0" w:space="0" w:color="auto"/>
            <w:left w:val="none" w:sz="0" w:space="0" w:color="auto"/>
            <w:bottom w:val="none" w:sz="0" w:space="0" w:color="auto"/>
            <w:right w:val="none" w:sz="0" w:space="0" w:color="auto"/>
          </w:divBdr>
        </w:div>
        <w:div w:id="1404718826">
          <w:marLeft w:val="640"/>
          <w:marRight w:val="0"/>
          <w:marTop w:val="0"/>
          <w:marBottom w:val="0"/>
          <w:divBdr>
            <w:top w:val="none" w:sz="0" w:space="0" w:color="auto"/>
            <w:left w:val="none" w:sz="0" w:space="0" w:color="auto"/>
            <w:bottom w:val="none" w:sz="0" w:space="0" w:color="auto"/>
            <w:right w:val="none" w:sz="0" w:space="0" w:color="auto"/>
          </w:divBdr>
        </w:div>
        <w:div w:id="1962573305">
          <w:marLeft w:val="640"/>
          <w:marRight w:val="0"/>
          <w:marTop w:val="0"/>
          <w:marBottom w:val="0"/>
          <w:divBdr>
            <w:top w:val="none" w:sz="0" w:space="0" w:color="auto"/>
            <w:left w:val="none" w:sz="0" w:space="0" w:color="auto"/>
            <w:bottom w:val="none" w:sz="0" w:space="0" w:color="auto"/>
            <w:right w:val="none" w:sz="0" w:space="0" w:color="auto"/>
          </w:divBdr>
        </w:div>
        <w:div w:id="883637133">
          <w:marLeft w:val="640"/>
          <w:marRight w:val="0"/>
          <w:marTop w:val="0"/>
          <w:marBottom w:val="0"/>
          <w:divBdr>
            <w:top w:val="none" w:sz="0" w:space="0" w:color="auto"/>
            <w:left w:val="none" w:sz="0" w:space="0" w:color="auto"/>
            <w:bottom w:val="none" w:sz="0" w:space="0" w:color="auto"/>
            <w:right w:val="none" w:sz="0" w:space="0" w:color="auto"/>
          </w:divBdr>
        </w:div>
        <w:div w:id="1975911201">
          <w:marLeft w:val="640"/>
          <w:marRight w:val="0"/>
          <w:marTop w:val="0"/>
          <w:marBottom w:val="0"/>
          <w:divBdr>
            <w:top w:val="none" w:sz="0" w:space="0" w:color="auto"/>
            <w:left w:val="none" w:sz="0" w:space="0" w:color="auto"/>
            <w:bottom w:val="none" w:sz="0" w:space="0" w:color="auto"/>
            <w:right w:val="none" w:sz="0" w:space="0" w:color="auto"/>
          </w:divBdr>
        </w:div>
        <w:div w:id="2131970143">
          <w:marLeft w:val="640"/>
          <w:marRight w:val="0"/>
          <w:marTop w:val="0"/>
          <w:marBottom w:val="0"/>
          <w:divBdr>
            <w:top w:val="none" w:sz="0" w:space="0" w:color="auto"/>
            <w:left w:val="none" w:sz="0" w:space="0" w:color="auto"/>
            <w:bottom w:val="none" w:sz="0" w:space="0" w:color="auto"/>
            <w:right w:val="none" w:sz="0" w:space="0" w:color="auto"/>
          </w:divBdr>
        </w:div>
        <w:div w:id="1240480275">
          <w:marLeft w:val="640"/>
          <w:marRight w:val="0"/>
          <w:marTop w:val="0"/>
          <w:marBottom w:val="0"/>
          <w:divBdr>
            <w:top w:val="none" w:sz="0" w:space="0" w:color="auto"/>
            <w:left w:val="none" w:sz="0" w:space="0" w:color="auto"/>
            <w:bottom w:val="none" w:sz="0" w:space="0" w:color="auto"/>
            <w:right w:val="none" w:sz="0" w:space="0" w:color="auto"/>
          </w:divBdr>
        </w:div>
        <w:div w:id="1970283874">
          <w:marLeft w:val="640"/>
          <w:marRight w:val="0"/>
          <w:marTop w:val="0"/>
          <w:marBottom w:val="0"/>
          <w:divBdr>
            <w:top w:val="none" w:sz="0" w:space="0" w:color="auto"/>
            <w:left w:val="none" w:sz="0" w:space="0" w:color="auto"/>
            <w:bottom w:val="none" w:sz="0" w:space="0" w:color="auto"/>
            <w:right w:val="none" w:sz="0" w:space="0" w:color="auto"/>
          </w:divBdr>
        </w:div>
        <w:div w:id="1879049348">
          <w:marLeft w:val="640"/>
          <w:marRight w:val="0"/>
          <w:marTop w:val="0"/>
          <w:marBottom w:val="0"/>
          <w:divBdr>
            <w:top w:val="none" w:sz="0" w:space="0" w:color="auto"/>
            <w:left w:val="none" w:sz="0" w:space="0" w:color="auto"/>
            <w:bottom w:val="none" w:sz="0" w:space="0" w:color="auto"/>
            <w:right w:val="none" w:sz="0" w:space="0" w:color="auto"/>
          </w:divBdr>
        </w:div>
        <w:div w:id="711656204">
          <w:marLeft w:val="640"/>
          <w:marRight w:val="0"/>
          <w:marTop w:val="0"/>
          <w:marBottom w:val="0"/>
          <w:divBdr>
            <w:top w:val="none" w:sz="0" w:space="0" w:color="auto"/>
            <w:left w:val="none" w:sz="0" w:space="0" w:color="auto"/>
            <w:bottom w:val="none" w:sz="0" w:space="0" w:color="auto"/>
            <w:right w:val="none" w:sz="0" w:space="0" w:color="auto"/>
          </w:divBdr>
        </w:div>
        <w:div w:id="2019304924">
          <w:marLeft w:val="640"/>
          <w:marRight w:val="0"/>
          <w:marTop w:val="0"/>
          <w:marBottom w:val="0"/>
          <w:divBdr>
            <w:top w:val="none" w:sz="0" w:space="0" w:color="auto"/>
            <w:left w:val="none" w:sz="0" w:space="0" w:color="auto"/>
            <w:bottom w:val="none" w:sz="0" w:space="0" w:color="auto"/>
            <w:right w:val="none" w:sz="0" w:space="0" w:color="auto"/>
          </w:divBdr>
        </w:div>
        <w:div w:id="2028360966">
          <w:marLeft w:val="640"/>
          <w:marRight w:val="0"/>
          <w:marTop w:val="0"/>
          <w:marBottom w:val="0"/>
          <w:divBdr>
            <w:top w:val="none" w:sz="0" w:space="0" w:color="auto"/>
            <w:left w:val="none" w:sz="0" w:space="0" w:color="auto"/>
            <w:bottom w:val="none" w:sz="0" w:space="0" w:color="auto"/>
            <w:right w:val="none" w:sz="0" w:space="0" w:color="auto"/>
          </w:divBdr>
        </w:div>
        <w:div w:id="143669989">
          <w:marLeft w:val="640"/>
          <w:marRight w:val="0"/>
          <w:marTop w:val="0"/>
          <w:marBottom w:val="0"/>
          <w:divBdr>
            <w:top w:val="none" w:sz="0" w:space="0" w:color="auto"/>
            <w:left w:val="none" w:sz="0" w:space="0" w:color="auto"/>
            <w:bottom w:val="none" w:sz="0" w:space="0" w:color="auto"/>
            <w:right w:val="none" w:sz="0" w:space="0" w:color="auto"/>
          </w:divBdr>
        </w:div>
        <w:div w:id="1063335459">
          <w:marLeft w:val="640"/>
          <w:marRight w:val="0"/>
          <w:marTop w:val="0"/>
          <w:marBottom w:val="0"/>
          <w:divBdr>
            <w:top w:val="none" w:sz="0" w:space="0" w:color="auto"/>
            <w:left w:val="none" w:sz="0" w:space="0" w:color="auto"/>
            <w:bottom w:val="none" w:sz="0" w:space="0" w:color="auto"/>
            <w:right w:val="none" w:sz="0" w:space="0" w:color="auto"/>
          </w:divBdr>
        </w:div>
        <w:div w:id="509373981">
          <w:marLeft w:val="640"/>
          <w:marRight w:val="0"/>
          <w:marTop w:val="0"/>
          <w:marBottom w:val="0"/>
          <w:divBdr>
            <w:top w:val="none" w:sz="0" w:space="0" w:color="auto"/>
            <w:left w:val="none" w:sz="0" w:space="0" w:color="auto"/>
            <w:bottom w:val="none" w:sz="0" w:space="0" w:color="auto"/>
            <w:right w:val="none" w:sz="0" w:space="0" w:color="auto"/>
          </w:divBdr>
        </w:div>
        <w:div w:id="902255246">
          <w:marLeft w:val="640"/>
          <w:marRight w:val="0"/>
          <w:marTop w:val="0"/>
          <w:marBottom w:val="0"/>
          <w:divBdr>
            <w:top w:val="none" w:sz="0" w:space="0" w:color="auto"/>
            <w:left w:val="none" w:sz="0" w:space="0" w:color="auto"/>
            <w:bottom w:val="none" w:sz="0" w:space="0" w:color="auto"/>
            <w:right w:val="none" w:sz="0" w:space="0" w:color="auto"/>
          </w:divBdr>
        </w:div>
        <w:div w:id="1459951509">
          <w:marLeft w:val="640"/>
          <w:marRight w:val="0"/>
          <w:marTop w:val="0"/>
          <w:marBottom w:val="0"/>
          <w:divBdr>
            <w:top w:val="none" w:sz="0" w:space="0" w:color="auto"/>
            <w:left w:val="none" w:sz="0" w:space="0" w:color="auto"/>
            <w:bottom w:val="none" w:sz="0" w:space="0" w:color="auto"/>
            <w:right w:val="none" w:sz="0" w:space="0" w:color="auto"/>
          </w:divBdr>
        </w:div>
        <w:div w:id="1347252953">
          <w:marLeft w:val="640"/>
          <w:marRight w:val="0"/>
          <w:marTop w:val="0"/>
          <w:marBottom w:val="0"/>
          <w:divBdr>
            <w:top w:val="none" w:sz="0" w:space="0" w:color="auto"/>
            <w:left w:val="none" w:sz="0" w:space="0" w:color="auto"/>
            <w:bottom w:val="none" w:sz="0" w:space="0" w:color="auto"/>
            <w:right w:val="none" w:sz="0" w:space="0" w:color="auto"/>
          </w:divBdr>
        </w:div>
        <w:div w:id="824053663">
          <w:marLeft w:val="640"/>
          <w:marRight w:val="0"/>
          <w:marTop w:val="0"/>
          <w:marBottom w:val="0"/>
          <w:divBdr>
            <w:top w:val="none" w:sz="0" w:space="0" w:color="auto"/>
            <w:left w:val="none" w:sz="0" w:space="0" w:color="auto"/>
            <w:bottom w:val="none" w:sz="0" w:space="0" w:color="auto"/>
            <w:right w:val="none" w:sz="0" w:space="0" w:color="auto"/>
          </w:divBdr>
        </w:div>
        <w:div w:id="1980918219">
          <w:marLeft w:val="640"/>
          <w:marRight w:val="0"/>
          <w:marTop w:val="0"/>
          <w:marBottom w:val="0"/>
          <w:divBdr>
            <w:top w:val="none" w:sz="0" w:space="0" w:color="auto"/>
            <w:left w:val="none" w:sz="0" w:space="0" w:color="auto"/>
            <w:bottom w:val="none" w:sz="0" w:space="0" w:color="auto"/>
            <w:right w:val="none" w:sz="0" w:space="0" w:color="auto"/>
          </w:divBdr>
        </w:div>
        <w:div w:id="51537341">
          <w:marLeft w:val="640"/>
          <w:marRight w:val="0"/>
          <w:marTop w:val="0"/>
          <w:marBottom w:val="0"/>
          <w:divBdr>
            <w:top w:val="none" w:sz="0" w:space="0" w:color="auto"/>
            <w:left w:val="none" w:sz="0" w:space="0" w:color="auto"/>
            <w:bottom w:val="none" w:sz="0" w:space="0" w:color="auto"/>
            <w:right w:val="none" w:sz="0" w:space="0" w:color="auto"/>
          </w:divBdr>
        </w:div>
        <w:div w:id="2000648978">
          <w:marLeft w:val="640"/>
          <w:marRight w:val="0"/>
          <w:marTop w:val="0"/>
          <w:marBottom w:val="0"/>
          <w:divBdr>
            <w:top w:val="none" w:sz="0" w:space="0" w:color="auto"/>
            <w:left w:val="none" w:sz="0" w:space="0" w:color="auto"/>
            <w:bottom w:val="none" w:sz="0" w:space="0" w:color="auto"/>
            <w:right w:val="none" w:sz="0" w:space="0" w:color="auto"/>
          </w:divBdr>
        </w:div>
        <w:div w:id="1278639649">
          <w:marLeft w:val="640"/>
          <w:marRight w:val="0"/>
          <w:marTop w:val="0"/>
          <w:marBottom w:val="0"/>
          <w:divBdr>
            <w:top w:val="none" w:sz="0" w:space="0" w:color="auto"/>
            <w:left w:val="none" w:sz="0" w:space="0" w:color="auto"/>
            <w:bottom w:val="none" w:sz="0" w:space="0" w:color="auto"/>
            <w:right w:val="none" w:sz="0" w:space="0" w:color="auto"/>
          </w:divBdr>
        </w:div>
        <w:div w:id="2136673736">
          <w:marLeft w:val="640"/>
          <w:marRight w:val="0"/>
          <w:marTop w:val="0"/>
          <w:marBottom w:val="0"/>
          <w:divBdr>
            <w:top w:val="none" w:sz="0" w:space="0" w:color="auto"/>
            <w:left w:val="none" w:sz="0" w:space="0" w:color="auto"/>
            <w:bottom w:val="none" w:sz="0" w:space="0" w:color="auto"/>
            <w:right w:val="none" w:sz="0" w:space="0" w:color="auto"/>
          </w:divBdr>
        </w:div>
        <w:div w:id="1162697148">
          <w:marLeft w:val="640"/>
          <w:marRight w:val="0"/>
          <w:marTop w:val="0"/>
          <w:marBottom w:val="0"/>
          <w:divBdr>
            <w:top w:val="none" w:sz="0" w:space="0" w:color="auto"/>
            <w:left w:val="none" w:sz="0" w:space="0" w:color="auto"/>
            <w:bottom w:val="none" w:sz="0" w:space="0" w:color="auto"/>
            <w:right w:val="none" w:sz="0" w:space="0" w:color="auto"/>
          </w:divBdr>
        </w:div>
        <w:div w:id="959727592">
          <w:marLeft w:val="640"/>
          <w:marRight w:val="0"/>
          <w:marTop w:val="0"/>
          <w:marBottom w:val="0"/>
          <w:divBdr>
            <w:top w:val="none" w:sz="0" w:space="0" w:color="auto"/>
            <w:left w:val="none" w:sz="0" w:space="0" w:color="auto"/>
            <w:bottom w:val="none" w:sz="0" w:space="0" w:color="auto"/>
            <w:right w:val="none" w:sz="0" w:space="0" w:color="auto"/>
          </w:divBdr>
        </w:div>
        <w:div w:id="804617838">
          <w:marLeft w:val="640"/>
          <w:marRight w:val="0"/>
          <w:marTop w:val="0"/>
          <w:marBottom w:val="0"/>
          <w:divBdr>
            <w:top w:val="none" w:sz="0" w:space="0" w:color="auto"/>
            <w:left w:val="none" w:sz="0" w:space="0" w:color="auto"/>
            <w:bottom w:val="none" w:sz="0" w:space="0" w:color="auto"/>
            <w:right w:val="none" w:sz="0" w:space="0" w:color="auto"/>
          </w:divBdr>
        </w:div>
        <w:div w:id="1639914621">
          <w:marLeft w:val="640"/>
          <w:marRight w:val="0"/>
          <w:marTop w:val="0"/>
          <w:marBottom w:val="0"/>
          <w:divBdr>
            <w:top w:val="none" w:sz="0" w:space="0" w:color="auto"/>
            <w:left w:val="none" w:sz="0" w:space="0" w:color="auto"/>
            <w:bottom w:val="none" w:sz="0" w:space="0" w:color="auto"/>
            <w:right w:val="none" w:sz="0" w:space="0" w:color="auto"/>
          </w:divBdr>
        </w:div>
        <w:div w:id="1668241946">
          <w:marLeft w:val="640"/>
          <w:marRight w:val="0"/>
          <w:marTop w:val="0"/>
          <w:marBottom w:val="0"/>
          <w:divBdr>
            <w:top w:val="none" w:sz="0" w:space="0" w:color="auto"/>
            <w:left w:val="none" w:sz="0" w:space="0" w:color="auto"/>
            <w:bottom w:val="none" w:sz="0" w:space="0" w:color="auto"/>
            <w:right w:val="none" w:sz="0" w:space="0" w:color="auto"/>
          </w:divBdr>
        </w:div>
        <w:div w:id="174416913">
          <w:marLeft w:val="640"/>
          <w:marRight w:val="0"/>
          <w:marTop w:val="0"/>
          <w:marBottom w:val="0"/>
          <w:divBdr>
            <w:top w:val="none" w:sz="0" w:space="0" w:color="auto"/>
            <w:left w:val="none" w:sz="0" w:space="0" w:color="auto"/>
            <w:bottom w:val="none" w:sz="0" w:space="0" w:color="auto"/>
            <w:right w:val="none" w:sz="0" w:space="0" w:color="auto"/>
          </w:divBdr>
        </w:div>
        <w:div w:id="542640783">
          <w:marLeft w:val="640"/>
          <w:marRight w:val="0"/>
          <w:marTop w:val="0"/>
          <w:marBottom w:val="0"/>
          <w:divBdr>
            <w:top w:val="none" w:sz="0" w:space="0" w:color="auto"/>
            <w:left w:val="none" w:sz="0" w:space="0" w:color="auto"/>
            <w:bottom w:val="none" w:sz="0" w:space="0" w:color="auto"/>
            <w:right w:val="none" w:sz="0" w:space="0" w:color="auto"/>
          </w:divBdr>
        </w:div>
        <w:div w:id="208810547">
          <w:marLeft w:val="640"/>
          <w:marRight w:val="0"/>
          <w:marTop w:val="0"/>
          <w:marBottom w:val="0"/>
          <w:divBdr>
            <w:top w:val="none" w:sz="0" w:space="0" w:color="auto"/>
            <w:left w:val="none" w:sz="0" w:space="0" w:color="auto"/>
            <w:bottom w:val="none" w:sz="0" w:space="0" w:color="auto"/>
            <w:right w:val="none" w:sz="0" w:space="0" w:color="auto"/>
          </w:divBdr>
        </w:div>
        <w:div w:id="363558756">
          <w:marLeft w:val="640"/>
          <w:marRight w:val="0"/>
          <w:marTop w:val="0"/>
          <w:marBottom w:val="0"/>
          <w:divBdr>
            <w:top w:val="none" w:sz="0" w:space="0" w:color="auto"/>
            <w:left w:val="none" w:sz="0" w:space="0" w:color="auto"/>
            <w:bottom w:val="none" w:sz="0" w:space="0" w:color="auto"/>
            <w:right w:val="none" w:sz="0" w:space="0" w:color="auto"/>
          </w:divBdr>
        </w:div>
        <w:div w:id="1355768857">
          <w:marLeft w:val="640"/>
          <w:marRight w:val="0"/>
          <w:marTop w:val="0"/>
          <w:marBottom w:val="0"/>
          <w:divBdr>
            <w:top w:val="none" w:sz="0" w:space="0" w:color="auto"/>
            <w:left w:val="none" w:sz="0" w:space="0" w:color="auto"/>
            <w:bottom w:val="none" w:sz="0" w:space="0" w:color="auto"/>
            <w:right w:val="none" w:sz="0" w:space="0" w:color="auto"/>
          </w:divBdr>
        </w:div>
        <w:div w:id="1007513699">
          <w:marLeft w:val="640"/>
          <w:marRight w:val="0"/>
          <w:marTop w:val="0"/>
          <w:marBottom w:val="0"/>
          <w:divBdr>
            <w:top w:val="none" w:sz="0" w:space="0" w:color="auto"/>
            <w:left w:val="none" w:sz="0" w:space="0" w:color="auto"/>
            <w:bottom w:val="none" w:sz="0" w:space="0" w:color="auto"/>
            <w:right w:val="none" w:sz="0" w:space="0" w:color="auto"/>
          </w:divBdr>
        </w:div>
        <w:div w:id="278491643">
          <w:marLeft w:val="640"/>
          <w:marRight w:val="0"/>
          <w:marTop w:val="0"/>
          <w:marBottom w:val="0"/>
          <w:divBdr>
            <w:top w:val="none" w:sz="0" w:space="0" w:color="auto"/>
            <w:left w:val="none" w:sz="0" w:space="0" w:color="auto"/>
            <w:bottom w:val="none" w:sz="0" w:space="0" w:color="auto"/>
            <w:right w:val="none" w:sz="0" w:space="0" w:color="auto"/>
          </w:divBdr>
        </w:div>
        <w:div w:id="629164542">
          <w:marLeft w:val="640"/>
          <w:marRight w:val="0"/>
          <w:marTop w:val="0"/>
          <w:marBottom w:val="0"/>
          <w:divBdr>
            <w:top w:val="none" w:sz="0" w:space="0" w:color="auto"/>
            <w:left w:val="none" w:sz="0" w:space="0" w:color="auto"/>
            <w:bottom w:val="none" w:sz="0" w:space="0" w:color="auto"/>
            <w:right w:val="none" w:sz="0" w:space="0" w:color="auto"/>
          </w:divBdr>
        </w:div>
        <w:div w:id="1405686301">
          <w:marLeft w:val="640"/>
          <w:marRight w:val="0"/>
          <w:marTop w:val="0"/>
          <w:marBottom w:val="0"/>
          <w:divBdr>
            <w:top w:val="none" w:sz="0" w:space="0" w:color="auto"/>
            <w:left w:val="none" w:sz="0" w:space="0" w:color="auto"/>
            <w:bottom w:val="none" w:sz="0" w:space="0" w:color="auto"/>
            <w:right w:val="none" w:sz="0" w:space="0" w:color="auto"/>
          </w:divBdr>
        </w:div>
        <w:div w:id="1334333121">
          <w:marLeft w:val="640"/>
          <w:marRight w:val="0"/>
          <w:marTop w:val="0"/>
          <w:marBottom w:val="0"/>
          <w:divBdr>
            <w:top w:val="none" w:sz="0" w:space="0" w:color="auto"/>
            <w:left w:val="none" w:sz="0" w:space="0" w:color="auto"/>
            <w:bottom w:val="none" w:sz="0" w:space="0" w:color="auto"/>
            <w:right w:val="none" w:sz="0" w:space="0" w:color="auto"/>
          </w:divBdr>
        </w:div>
        <w:div w:id="1279874903">
          <w:marLeft w:val="640"/>
          <w:marRight w:val="0"/>
          <w:marTop w:val="0"/>
          <w:marBottom w:val="0"/>
          <w:divBdr>
            <w:top w:val="none" w:sz="0" w:space="0" w:color="auto"/>
            <w:left w:val="none" w:sz="0" w:space="0" w:color="auto"/>
            <w:bottom w:val="none" w:sz="0" w:space="0" w:color="auto"/>
            <w:right w:val="none" w:sz="0" w:space="0" w:color="auto"/>
          </w:divBdr>
        </w:div>
        <w:div w:id="1818375467">
          <w:marLeft w:val="640"/>
          <w:marRight w:val="0"/>
          <w:marTop w:val="0"/>
          <w:marBottom w:val="0"/>
          <w:divBdr>
            <w:top w:val="none" w:sz="0" w:space="0" w:color="auto"/>
            <w:left w:val="none" w:sz="0" w:space="0" w:color="auto"/>
            <w:bottom w:val="none" w:sz="0" w:space="0" w:color="auto"/>
            <w:right w:val="none" w:sz="0" w:space="0" w:color="auto"/>
          </w:divBdr>
        </w:div>
        <w:div w:id="647325199">
          <w:marLeft w:val="640"/>
          <w:marRight w:val="0"/>
          <w:marTop w:val="0"/>
          <w:marBottom w:val="0"/>
          <w:divBdr>
            <w:top w:val="none" w:sz="0" w:space="0" w:color="auto"/>
            <w:left w:val="none" w:sz="0" w:space="0" w:color="auto"/>
            <w:bottom w:val="none" w:sz="0" w:space="0" w:color="auto"/>
            <w:right w:val="none" w:sz="0" w:space="0" w:color="auto"/>
          </w:divBdr>
        </w:div>
        <w:div w:id="1047874086">
          <w:marLeft w:val="640"/>
          <w:marRight w:val="0"/>
          <w:marTop w:val="0"/>
          <w:marBottom w:val="0"/>
          <w:divBdr>
            <w:top w:val="none" w:sz="0" w:space="0" w:color="auto"/>
            <w:left w:val="none" w:sz="0" w:space="0" w:color="auto"/>
            <w:bottom w:val="none" w:sz="0" w:space="0" w:color="auto"/>
            <w:right w:val="none" w:sz="0" w:space="0" w:color="auto"/>
          </w:divBdr>
        </w:div>
        <w:div w:id="1774280525">
          <w:marLeft w:val="640"/>
          <w:marRight w:val="0"/>
          <w:marTop w:val="0"/>
          <w:marBottom w:val="0"/>
          <w:divBdr>
            <w:top w:val="none" w:sz="0" w:space="0" w:color="auto"/>
            <w:left w:val="none" w:sz="0" w:space="0" w:color="auto"/>
            <w:bottom w:val="none" w:sz="0" w:space="0" w:color="auto"/>
            <w:right w:val="none" w:sz="0" w:space="0" w:color="auto"/>
          </w:divBdr>
        </w:div>
        <w:div w:id="489174041">
          <w:marLeft w:val="640"/>
          <w:marRight w:val="0"/>
          <w:marTop w:val="0"/>
          <w:marBottom w:val="0"/>
          <w:divBdr>
            <w:top w:val="none" w:sz="0" w:space="0" w:color="auto"/>
            <w:left w:val="none" w:sz="0" w:space="0" w:color="auto"/>
            <w:bottom w:val="none" w:sz="0" w:space="0" w:color="auto"/>
            <w:right w:val="none" w:sz="0" w:space="0" w:color="auto"/>
          </w:divBdr>
        </w:div>
        <w:div w:id="1687561393">
          <w:marLeft w:val="640"/>
          <w:marRight w:val="0"/>
          <w:marTop w:val="0"/>
          <w:marBottom w:val="0"/>
          <w:divBdr>
            <w:top w:val="none" w:sz="0" w:space="0" w:color="auto"/>
            <w:left w:val="none" w:sz="0" w:space="0" w:color="auto"/>
            <w:bottom w:val="none" w:sz="0" w:space="0" w:color="auto"/>
            <w:right w:val="none" w:sz="0" w:space="0" w:color="auto"/>
          </w:divBdr>
        </w:div>
        <w:div w:id="1060784542">
          <w:marLeft w:val="640"/>
          <w:marRight w:val="0"/>
          <w:marTop w:val="0"/>
          <w:marBottom w:val="0"/>
          <w:divBdr>
            <w:top w:val="none" w:sz="0" w:space="0" w:color="auto"/>
            <w:left w:val="none" w:sz="0" w:space="0" w:color="auto"/>
            <w:bottom w:val="none" w:sz="0" w:space="0" w:color="auto"/>
            <w:right w:val="none" w:sz="0" w:space="0" w:color="auto"/>
          </w:divBdr>
        </w:div>
        <w:div w:id="539439077">
          <w:marLeft w:val="640"/>
          <w:marRight w:val="0"/>
          <w:marTop w:val="0"/>
          <w:marBottom w:val="0"/>
          <w:divBdr>
            <w:top w:val="none" w:sz="0" w:space="0" w:color="auto"/>
            <w:left w:val="none" w:sz="0" w:space="0" w:color="auto"/>
            <w:bottom w:val="none" w:sz="0" w:space="0" w:color="auto"/>
            <w:right w:val="none" w:sz="0" w:space="0" w:color="auto"/>
          </w:divBdr>
        </w:div>
        <w:div w:id="1076971612">
          <w:marLeft w:val="640"/>
          <w:marRight w:val="0"/>
          <w:marTop w:val="0"/>
          <w:marBottom w:val="0"/>
          <w:divBdr>
            <w:top w:val="none" w:sz="0" w:space="0" w:color="auto"/>
            <w:left w:val="none" w:sz="0" w:space="0" w:color="auto"/>
            <w:bottom w:val="none" w:sz="0" w:space="0" w:color="auto"/>
            <w:right w:val="none" w:sz="0" w:space="0" w:color="auto"/>
          </w:divBdr>
        </w:div>
        <w:div w:id="1840347788">
          <w:marLeft w:val="640"/>
          <w:marRight w:val="0"/>
          <w:marTop w:val="0"/>
          <w:marBottom w:val="0"/>
          <w:divBdr>
            <w:top w:val="none" w:sz="0" w:space="0" w:color="auto"/>
            <w:left w:val="none" w:sz="0" w:space="0" w:color="auto"/>
            <w:bottom w:val="none" w:sz="0" w:space="0" w:color="auto"/>
            <w:right w:val="none" w:sz="0" w:space="0" w:color="auto"/>
          </w:divBdr>
        </w:div>
        <w:div w:id="693926187">
          <w:marLeft w:val="640"/>
          <w:marRight w:val="0"/>
          <w:marTop w:val="0"/>
          <w:marBottom w:val="0"/>
          <w:divBdr>
            <w:top w:val="none" w:sz="0" w:space="0" w:color="auto"/>
            <w:left w:val="none" w:sz="0" w:space="0" w:color="auto"/>
            <w:bottom w:val="none" w:sz="0" w:space="0" w:color="auto"/>
            <w:right w:val="none" w:sz="0" w:space="0" w:color="auto"/>
          </w:divBdr>
        </w:div>
        <w:div w:id="2137260351">
          <w:marLeft w:val="640"/>
          <w:marRight w:val="0"/>
          <w:marTop w:val="0"/>
          <w:marBottom w:val="0"/>
          <w:divBdr>
            <w:top w:val="none" w:sz="0" w:space="0" w:color="auto"/>
            <w:left w:val="none" w:sz="0" w:space="0" w:color="auto"/>
            <w:bottom w:val="none" w:sz="0" w:space="0" w:color="auto"/>
            <w:right w:val="none" w:sz="0" w:space="0" w:color="auto"/>
          </w:divBdr>
        </w:div>
        <w:div w:id="549656108">
          <w:marLeft w:val="640"/>
          <w:marRight w:val="0"/>
          <w:marTop w:val="0"/>
          <w:marBottom w:val="0"/>
          <w:divBdr>
            <w:top w:val="none" w:sz="0" w:space="0" w:color="auto"/>
            <w:left w:val="none" w:sz="0" w:space="0" w:color="auto"/>
            <w:bottom w:val="none" w:sz="0" w:space="0" w:color="auto"/>
            <w:right w:val="none" w:sz="0" w:space="0" w:color="auto"/>
          </w:divBdr>
        </w:div>
        <w:div w:id="1731923919">
          <w:marLeft w:val="640"/>
          <w:marRight w:val="0"/>
          <w:marTop w:val="0"/>
          <w:marBottom w:val="0"/>
          <w:divBdr>
            <w:top w:val="none" w:sz="0" w:space="0" w:color="auto"/>
            <w:left w:val="none" w:sz="0" w:space="0" w:color="auto"/>
            <w:bottom w:val="none" w:sz="0" w:space="0" w:color="auto"/>
            <w:right w:val="none" w:sz="0" w:space="0" w:color="auto"/>
          </w:divBdr>
        </w:div>
        <w:div w:id="1051661187">
          <w:marLeft w:val="640"/>
          <w:marRight w:val="0"/>
          <w:marTop w:val="0"/>
          <w:marBottom w:val="0"/>
          <w:divBdr>
            <w:top w:val="none" w:sz="0" w:space="0" w:color="auto"/>
            <w:left w:val="none" w:sz="0" w:space="0" w:color="auto"/>
            <w:bottom w:val="none" w:sz="0" w:space="0" w:color="auto"/>
            <w:right w:val="none" w:sz="0" w:space="0" w:color="auto"/>
          </w:divBdr>
        </w:div>
        <w:div w:id="1058238669">
          <w:marLeft w:val="640"/>
          <w:marRight w:val="0"/>
          <w:marTop w:val="0"/>
          <w:marBottom w:val="0"/>
          <w:divBdr>
            <w:top w:val="none" w:sz="0" w:space="0" w:color="auto"/>
            <w:left w:val="none" w:sz="0" w:space="0" w:color="auto"/>
            <w:bottom w:val="none" w:sz="0" w:space="0" w:color="auto"/>
            <w:right w:val="none" w:sz="0" w:space="0" w:color="auto"/>
          </w:divBdr>
        </w:div>
        <w:div w:id="457146076">
          <w:marLeft w:val="640"/>
          <w:marRight w:val="0"/>
          <w:marTop w:val="0"/>
          <w:marBottom w:val="0"/>
          <w:divBdr>
            <w:top w:val="none" w:sz="0" w:space="0" w:color="auto"/>
            <w:left w:val="none" w:sz="0" w:space="0" w:color="auto"/>
            <w:bottom w:val="none" w:sz="0" w:space="0" w:color="auto"/>
            <w:right w:val="none" w:sz="0" w:space="0" w:color="auto"/>
          </w:divBdr>
        </w:div>
        <w:div w:id="473106783">
          <w:marLeft w:val="640"/>
          <w:marRight w:val="0"/>
          <w:marTop w:val="0"/>
          <w:marBottom w:val="0"/>
          <w:divBdr>
            <w:top w:val="none" w:sz="0" w:space="0" w:color="auto"/>
            <w:left w:val="none" w:sz="0" w:space="0" w:color="auto"/>
            <w:bottom w:val="none" w:sz="0" w:space="0" w:color="auto"/>
            <w:right w:val="none" w:sz="0" w:space="0" w:color="auto"/>
          </w:divBdr>
        </w:div>
        <w:div w:id="1610434637">
          <w:marLeft w:val="640"/>
          <w:marRight w:val="0"/>
          <w:marTop w:val="0"/>
          <w:marBottom w:val="0"/>
          <w:divBdr>
            <w:top w:val="none" w:sz="0" w:space="0" w:color="auto"/>
            <w:left w:val="none" w:sz="0" w:space="0" w:color="auto"/>
            <w:bottom w:val="none" w:sz="0" w:space="0" w:color="auto"/>
            <w:right w:val="none" w:sz="0" w:space="0" w:color="auto"/>
          </w:divBdr>
        </w:div>
        <w:div w:id="1195775752">
          <w:marLeft w:val="640"/>
          <w:marRight w:val="0"/>
          <w:marTop w:val="0"/>
          <w:marBottom w:val="0"/>
          <w:divBdr>
            <w:top w:val="none" w:sz="0" w:space="0" w:color="auto"/>
            <w:left w:val="none" w:sz="0" w:space="0" w:color="auto"/>
            <w:bottom w:val="none" w:sz="0" w:space="0" w:color="auto"/>
            <w:right w:val="none" w:sz="0" w:space="0" w:color="auto"/>
          </w:divBdr>
        </w:div>
        <w:div w:id="670523826">
          <w:marLeft w:val="640"/>
          <w:marRight w:val="0"/>
          <w:marTop w:val="0"/>
          <w:marBottom w:val="0"/>
          <w:divBdr>
            <w:top w:val="none" w:sz="0" w:space="0" w:color="auto"/>
            <w:left w:val="none" w:sz="0" w:space="0" w:color="auto"/>
            <w:bottom w:val="none" w:sz="0" w:space="0" w:color="auto"/>
            <w:right w:val="none" w:sz="0" w:space="0" w:color="auto"/>
          </w:divBdr>
        </w:div>
        <w:div w:id="231896212">
          <w:marLeft w:val="640"/>
          <w:marRight w:val="0"/>
          <w:marTop w:val="0"/>
          <w:marBottom w:val="0"/>
          <w:divBdr>
            <w:top w:val="none" w:sz="0" w:space="0" w:color="auto"/>
            <w:left w:val="none" w:sz="0" w:space="0" w:color="auto"/>
            <w:bottom w:val="none" w:sz="0" w:space="0" w:color="auto"/>
            <w:right w:val="none" w:sz="0" w:space="0" w:color="auto"/>
          </w:divBdr>
        </w:div>
        <w:div w:id="62261845">
          <w:marLeft w:val="640"/>
          <w:marRight w:val="0"/>
          <w:marTop w:val="0"/>
          <w:marBottom w:val="0"/>
          <w:divBdr>
            <w:top w:val="none" w:sz="0" w:space="0" w:color="auto"/>
            <w:left w:val="none" w:sz="0" w:space="0" w:color="auto"/>
            <w:bottom w:val="none" w:sz="0" w:space="0" w:color="auto"/>
            <w:right w:val="none" w:sz="0" w:space="0" w:color="auto"/>
          </w:divBdr>
        </w:div>
        <w:div w:id="1388918939">
          <w:marLeft w:val="640"/>
          <w:marRight w:val="0"/>
          <w:marTop w:val="0"/>
          <w:marBottom w:val="0"/>
          <w:divBdr>
            <w:top w:val="none" w:sz="0" w:space="0" w:color="auto"/>
            <w:left w:val="none" w:sz="0" w:space="0" w:color="auto"/>
            <w:bottom w:val="none" w:sz="0" w:space="0" w:color="auto"/>
            <w:right w:val="none" w:sz="0" w:space="0" w:color="auto"/>
          </w:divBdr>
        </w:div>
        <w:div w:id="60563564">
          <w:marLeft w:val="640"/>
          <w:marRight w:val="0"/>
          <w:marTop w:val="0"/>
          <w:marBottom w:val="0"/>
          <w:divBdr>
            <w:top w:val="none" w:sz="0" w:space="0" w:color="auto"/>
            <w:left w:val="none" w:sz="0" w:space="0" w:color="auto"/>
            <w:bottom w:val="none" w:sz="0" w:space="0" w:color="auto"/>
            <w:right w:val="none" w:sz="0" w:space="0" w:color="auto"/>
          </w:divBdr>
        </w:div>
        <w:div w:id="657081085">
          <w:marLeft w:val="640"/>
          <w:marRight w:val="0"/>
          <w:marTop w:val="0"/>
          <w:marBottom w:val="0"/>
          <w:divBdr>
            <w:top w:val="none" w:sz="0" w:space="0" w:color="auto"/>
            <w:left w:val="none" w:sz="0" w:space="0" w:color="auto"/>
            <w:bottom w:val="none" w:sz="0" w:space="0" w:color="auto"/>
            <w:right w:val="none" w:sz="0" w:space="0" w:color="auto"/>
          </w:divBdr>
        </w:div>
        <w:div w:id="507407787">
          <w:marLeft w:val="640"/>
          <w:marRight w:val="0"/>
          <w:marTop w:val="0"/>
          <w:marBottom w:val="0"/>
          <w:divBdr>
            <w:top w:val="none" w:sz="0" w:space="0" w:color="auto"/>
            <w:left w:val="none" w:sz="0" w:space="0" w:color="auto"/>
            <w:bottom w:val="none" w:sz="0" w:space="0" w:color="auto"/>
            <w:right w:val="none" w:sz="0" w:space="0" w:color="auto"/>
          </w:divBdr>
        </w:div>
        <w:div w:id="860319909">
          <w:marLeft w:val="640"/>
          <w:marRight w:val="0"/>
          <w:marTop w:val="0"/>
          <w:marBottom w:val="0"/>
          <w:divBdr>
            <w:top w:val="none" w:sz="0" w:space="0" w:color="auto"/>
            <w:left w:val="none" w:sz="0" w:space="0" w:color="auto"/>
            <w:bottom w:val="none" w:sz="0" w:space="0" w:color="auto"/>
            <w:right w:val="none" w:sz="0" w:space="0" w:color="auto"/>
          </w:divBdr>
        </w:div>
        <w:div w:id="52317797">
          <w:marLeft w:val="640"/>
          <w:marRight w:val="0"/>
          <w:marTop w:val="0"/>
          <w:marBottom w:val="0"/>
          <w:divBdr>
            <w:top w:val="none" w:sz="0" w:space="0" w:color="auto"/>
            <w:left w:val="none" w:sz="0" w:space="0" w:color="auto"/>
            <w:bottom w:val="none" w:sz="0" w:space="0" w:color="auto"/>
            <w:right w:val="none" w:sz="0" w:space="0" w:color="auto"/>
          </w:divBdr>
        </w:div>
        <w:div w:id="1014111751">
          <w:marLeft w:val="640"/>
          <w:marRight w:val="0"/>
          <w:marTop w:val="0"/>
          <w:marBottom w:val="0"/>
          <w:divBdr>
            <w:top w:val="none" w:sz="0" w:space="0" w:color="auto"/>
            <w:left w:val="none" w:sz="0" w:space="0" w:color="auto"/>
            <w:bottom w:val="none" w:sz="0" w:space="0" w:color="auto"/>
            <w:right w:val="none" w:sz="0" w:space="0" w:color="auto"/>
          </w:divBdr>
        </w:div>
        <w:div w:id="298153374">
          <w:marLeft w:val="640"/>
          <w:marRight w:val="0"/>
          <w:marTop w:val="0"/>
          <w:marBottom w:val="0"/>
          <w:divBdr>
            <w:top w:val="none" w:sz="0" w:space="0" w:color="auto"/>
            <w:left w:val="none" w:sz="0" w:space="0" w:color="auto"/>
            <w:bottom w:val="none" w:sz="0" w:space="0" w:color="auto"/>
            <w:right w:val="none" w:sz="0" w:space="0" w:color="auto"/>
          </w:divBdr>
        </w:div>
        <w:div w:id="1462385933">
          <w:marLeft w:val="640"/>
          <w:marRight w:val="0"/>
          <w:marTop w:val="0"/>
          <w:marBottom w:val="0"/>
          <w:divBdr>
            <w:top w:val="none" w:sz="0" w:space="0" w:color="auto"/>
            <w:left w:val="none" w:sz="0" w:space="0" w:color="auto"/>
            <w:bottom w:val="none" w:sz="0" w:space="0" w:color="auto"/>
            <w:right w:val="none" w:sz="0" w:space="0" w:color="auto"/>
          </w:divBdr>
        </w:div>
        <w:div w:id="1062873289">
          <w:marLeft w:val="640"/>
          <w:marRight w:val="0"/>
          <w:marTop w:val="0"/>
          <w:marBottom w:val="0"/>
          <w:divBdr>
            <w:top w:val="none" w:sz="0" w:space="0" w:color="auto"/>
            <w:left w:val="none" w:sz="0" w:space="0" w:color="auto"/>
            <w:bottom w:val="none" w:sz="0" w:space="0" w:color="auto"/>
            <w:right w:val="none" w:sz="0" w:space="0" w:color="auto"/>
          </w:divBdr>
        </w:div>
        <w:div w:id="290400430">
          <w:marLeft w:val="640"/>
          <w:marRight w:val="0"/>
          <w:marTop w:val="0"/>
          <w:marBottom w:val="0"/>
          <w:divBdr>
            <w:top w:val="none" w:sz="0" w:space="0" w:color="auto"/>
            <w:left w:val="none" w:sz="0" w:space="0" w:color="auto"/>
            <w:bottom w:val="none" w:sz="0" w:space="0" w:color="auto"/>
            <w:right w:val="none" w:sz="0" w:space="0" w:color="auto"/>
          </w:divBdr>
        </w:div>
        <w:div w:id="417210572">
          <w:marLeft w:val="640"/>
          <w:marRight w:val="0"/>
          <w:marTop w:val="0"/>
          <w:marBottom w:val="0"/>
          <w:divBdr>
            <w:top w:val="none" w:sz="0" w:space="0" w:color="auto"/>
            <w:left w:val="none" w:sz="0" w:space="0" w:color="auto"/>
            <w:bottom w:val="none" w:sz="0" w:space="0" w:color="auto"/>
            <w:right w:val="none" w:sz="0" w:space="0" w:color="auto"/>
          </w:divBdr>
        </w:div>
        <w:div w:id="1008488496">
          <w:marLeft w:val="640"/>
          <w:marRight w:val="0"/>
          <w:marTop w:val="0"/>
          <w:marBottom w:val="0"/>
          <w:divBdr>
            <w:top w:val="none" w:sz="0" w:space="0" w:color="auto"/>
            <w:left w:val="none" w:sz="0" w:space="0" w:color="auto"/>
            <w:bottom w:val="none" w:sz="0" w:space="0" w:color="auto"/>
            <w:right w:val="none" w:sz="0" w:space="0" w:color="auto"/>
          </w:divBdr>
        </w:div>
        <w:div w:id="1962682965">
          <w:marLeft w:val="640"/>
          <w:marRight w:val="0"/>
          <w:marTop w:val="0"/>
          <w:marBottom w:val="0"/>
          <w:divBdr>
            <w:top w:val="none" w:sz="0" w:space="0" w:color="auto"/>
            <w:left w:val="none" w:sz="0" w:space="0" w:color="auto"/>
            <w:bottom w:val="none" w:sz="0" w:space="0" w:color="auto"/>
            <w:right w:val="none" w:sz="0" w:space="0" w:color="auto"/>
          </w:divBdr>
        </w:div>
        <w:div w:id="561602623">
          <w:marLeft w:val="640"/>
          <w:marRight w:val="0"/>
          <w:marTop w:val="0"/>
          <w:marBottom w:val="0"/>
          <w:divBdr>
            <w:top w:val="none" w:sz="0" w:space="0" w:color="auto"/>
            <w:left w:val="none" w:sz="0" w:space="0" w:color="auto"/>
            <w:bottom w:val="none" w:sz="0" w:space="0" w:color="auto"/>
            <w:right w:val="none" w:sz="0" w:space="0" w:color="auto"/>
          </w:divBdr>
        </w:div>
        <w:div w:id="152110275">
          <w:marLeft w:val="640"/>
          <w:marRight w:val="0"/>
          <w:marTop w:val="0"/>
          <w:marBottom w:val="0"/>
          <w:divBdr>
            <w:top w:val="none" w:sz="0" w:space="0" w:color="auto"/>
            <w:left w:val="none" w:sz="0" w:space="0" w:color="auto"/>
            <w:bottom w:val="none" w:sz="0" w:space="0" w:color="auto"/>
            <w:right w:val="none" w:sz="0" w:space="0" w:color="auto"/>
          </w:divBdr>
        </w:div>
        <w:div w:id="631059126">
          <w:marLeft w:val="640"/>
          <w:marRight w:val="0"/>
          <w:marTop w:val="0"/>
          <w:marBottom w:val="0"/>
          <w:divBdr>
            <w:top w:val="none" w:sz="0" w:space="0" w:color="auto"/>
            <w:left w:val="none" w:sz="0" w:space="0" w:color="auto"/>
            <w:bottom w:val="none" w:sz="0" w:space="0" w:color="auto"/>
            <w:right w:val="none" w:sz="0" w:space="0" w:color="auto"/>
          </w:divBdr>
        </w:div>
        <w:div w:id="196502588">
          <w:marLeft w:val="640"/>
          <w:marRight w:val="0"/>
          <w:marTop w:val="0"/>
          <w:marBottom w:val="0"/>
          <w:divBdr>
            <w:top w:val="none" w:sz="0" w:space="0" w:color="auto"/>
            <w:left w:val="none" w:sz="0" w:space="0" w:color="auto"/>
            <w:bottom w:val="none" w:sz="0" w:space="0" w:color="auto"/>
            <w:right w:val="none" w:sz="0" w:space="0" w:color="auto"/>
          </w:divBdr>
        </w:div>
        <w:div w:id="1088117514">
          <w:marLeft w:val="640"/>
          <w:marRight w:val="0"/>
          <w:marTop w:val="0"/>
          <w:marBottom w:val="0"/>
          <w:divBdr>
            <w:top w:val="none" w:sz="0" w:space="0" w:color="auto"/>
            <w:left w:val="none" w:sz="0" w:space="0" w:color="auto"/>
            <w:bottom w:val="none" w:sz="0" w:space="0" w:color="auto"/>
            <w:right w:val="none" w:sz="0" w:space="0" w:color="auto"/>
          </w:divBdr>
        </w:div>
        <w:div w:id="490407612">
          <w:marLeft w:val="640"/>
          <w:marRight w:val="0"/>
          <w:marTop w:val="0"/>
          <w:marBottom w:val="0"/>
          <w:divBdr>
            <w:top w:val="none" w:sz="0" w:space="0" w:color="auto"/>
            <w:left w:val="none" w:sz="0" w:space="0" w:color="auto"/>
            <w:bottom w:val="none" w:sz="0" w:space="0" w:color="auto"/>
            <w:right w:val="none" w:sz="0" w:space="0" w:color="auto"/>
          </w:divBdr>
        </w:div>
        <w:div w:id="28264588">
          <w:marLeft w:val="640"/>
          <w:marRight w:val="0"/>
          <w:marTop w:val="0"/>
          <w:marBottom w:val="0"/>
          <w:divBdr>
            <w:top w:val="none" w:sz="0" w:space="0" w:color="auto"/>
            <w:left w:val="none" w:sz="0" w:space="0" w:color="auto"/>
            <w:bottom w:val="none" w:sz="0" w:space="0" w:color="auto"/>
            <w:right w:val="none" w:sz="0" w:space="0" w:color="auto"/>
          </w:divBdr>
        </w:div>
        <w:div w:id="92556300">
          <w:marLeft w:val="640"/>
          <w:marRight w:val="0"/>
          <w:marTop w:val="0"/>
          <w:marBottom w:val="0"/>
          <w:divBdr>
            <w:top w:val="none" w:sz="0" w:space="0" w:color="auto"/>
            <w:left w:val="none" w:sz="0" w:space="0" w:color="auto"/>
            <w:bottom w:val="none" w:sz="0" w:space="0" w:color="auto"/>
            <w:right w:val="none" w:sz="0" w:space="0" w:color="auto"/>
          </w:divBdr>
        </w:div>
        <w:div w:id="1369723623">
          <w:marLeft w:val="640"/>
          <w:marRight w:val="0"/>
          <w:marTop w:val="0"/>
          <w:marBottom w:val="0"/>
          <w:divBdr>
            <w:top w:val="none" w:sz="0" w:space="0" w:color="auto"/>
            <w:left w:val="none" w:sz="0" w:space="0" w:color="auto"/>
            <w:bottom w:val="none" w:sz="0" w:space="0" w:color="auto"/>
            <w:right w:val="none" w:sz="0" w:space="0" w:color="auto"/>
          </w:divBdr>
        </w:div>
        <w:div w:id="785388146">
          <w:marLeft w:val="640"/>
          <w:marRight w:val="0"/>
          <w:marTop w:val="0"/>
          <w:marBottom w:val="0"/>
          <w:divBdr>
            <w:top w:val="none" w:sz="0" w:space="0" w:color="auto"/>
            <w:left w:val="none" w:sz="0" w:space="0" w:color="auto"/>
            <w:bottom w:val="none" w:sz="0" w:space="0" w:color="auto"/>
            <w:right w:val="none" w:sz="0" w:space="0" w:color="auto"/>
          </w:divBdr>
        </w:div>
        <w:div w:id="454837075">
          <w:marLeft w:val="640"/>
          <w:marRight w:val="0"/>
          <w:marTop w:val="0"/>
          <w:marBottom w:val="0"/>
          <w:divBdr>
            <w:top w:val="none" w:sz="0" w:space="0" w:color="auto"/>
            <w:left w:val="none" w:sz="0" w:space="0" w:color="auto"/>
            <w:bottom w:val="none" w:sz="0" w:space="0" w:color="auto"/>
            <w:right w:val="none" w:sz="0" w:space="0" w:color="auto"/>
          </w:divBdr>
        </w:div>
        <w:div w:id="1081755283">
          <w:marLeft w:val="640"/>
          <w:marRight w:val="0"/>
          <w:marTop w:val="0"/>
          <w:marBottom w:val="0"/>
          <w:divBdr>
            <w:top w:val="none" w:sz="0" w:space="0" w:color="auto"/>
            <w:left w:val="none" w:sz="0" w:space="0" w:color="auto"/>
            <w:bottom w:val="none" w:sz="0" w:space="0" w:color="auto"/>
            <w:right w:val="none" w:sz="0" w:space="0" w:color="auto"/>
          </w:divBdr>
        </w:div>
        <w:div w:id="1285774382">
          <w:marLeft w:val="640"/>
          <w:marRight w:val="0"/>
          <w:marTop w:val="0"/>
          <w:marBottom w:val="0"/>
          <w:divBdr>
            <w:top w:val="none" w:sz="0" w:space="0" w:color="auto"/>
            <w:left w:val="none" w:sz="0" w:space="0" w:color="auto"/>
            <w:bottom w:val="none" w:sz="0" w:space="0" w:color="auto"/>
            <w:right w:val="none" w:sz="0" w:space="0" w:color="auto"/>
          </w:divBdr>
        </w:div>
        <w:div w:id="1455951904">
          <w:marLeft w:val="640"/>
          <w:marRight w:val="0"/>
          <w:marTop w:val="0"/>
          <w:marBottom w:val="0"/>
          <w:divBdr>
            <w:top w:val="none" w:sz="0" w:space="0" w:color="auto"/>
            <w:left w:val="none" w:sz="0" w:space="0" w:color="auto"/>
            <w:bottom w:val="none" w:sz="0" w:space="0" w:color="auto"/>
            <w:right w:val="none" w:sz="0" w:space="0" w:color="auto"/>
          </w:divBdr>
        </w:div>
        <w:div w:id="430855519">
          <w:marLeft w:val="640"/>
          <w:marRight w:val="0"/>
          <w:marTop w:val="0"/>
          <w:marBottom w:val="0"/>
          <w:divBdr>
            <w:top w:val="none" w:sz="0" w:space="0" w:color="auto"/>
            <w:left w:val="none" w:sz="0" w:space="0" w:color="auto"/>
            <w:bottom w:val="none" w:sz="0" w:space="0" w:color="auto"/>
            <w:right w:val="none" w:sz="0" w:space="0" w:color="auto"/>
          </w:divBdr>
        </w:div>
        <w:div w:id="432089124">
          <w:marLeft w:val="640"/>
          <w:marRight w:val="0"/>
          <w:marTop w:val="0"/>
          <w:marBottom w:val="0"/>
          <w:divBdr>
            <w:top w:val="none" w:sz="0" w:space="0" w:color="auto"/>
            <w:left w:val="none" w:sz="0" w:space="0" w:color="auto"/>
            <w:bottom w:val="none" w:sz="0" w:space="0" w:color="auto"/>
            <w:right w:val="none" w:sz="0" w:space="0" w:color="auto"/>
          </w:divBdr>
        </w:div>
        <w:div w:id="119302133">
          <w:marLeft w:val="640"/>
          <w:marRight w:val="0"/>
          <w:marTop w:val="0"/>
          <w:marBottom w:val="0"/>
          <w:divBdr>
            <w:top w:val="none" w:sz="0" w:space="0" w:color="auto"/>
            <w:left w:val="none" w:sz="0" w:space="0" w:color="auto"/>
            <w:bottom w:val="none" w:sz="0" w:space="0" w:color="auto"/>
            <w:right w:val="none" w:sz="0" w:space="0" w:color="auto"/>
          </w:divBdr>
        </w:div>
        <w:div w:id="1501429934">
          <w:marLeft w:val="640"/>
          <w:marRight w:val="0"/>
          <w:marTop w:val="0"/>
          <w:marBottom w:val="0"/>
          <w:divBdr>
            <w:top w:val="none" w:sz="0" w:space="0" w:color="auto"/>
            <w:left w:val="none" w:sz="0" w:space="0" w:color="auto"/>
            <w:bottom w:val="none" w:sz="0" w:space="0" w:color="auto"/>
            <w:right w:val="none" w:sz="0" w:space="0" w:color="auto"/>
          </w:divBdr>
        </w:div>
        <w:div w:id="1747453997">
          <w:marLeft w:val="640"/>
          <w:marRight w:val="0"/>
          <w:marTop w:val="0"/>
          <w:marBottom w:val="0"/>
          <w:divBdr>
            <w:top w:val="none" w:sz="0" w:space="0" w:color="auto"/>
            <w:left w:val="none" w:sz="0" w:space="0" w:color="auto"/>
            <w:bottom w:val="none" w:sz="0" w:space="0" w:color="auto"/>
            <w:right w:val="none" w:sz="0" w:space="0" w:color="auto"/>
          </w:divBdr>
        </w:div>
        <w:div w:id="6912360">
          <w:marLeft w:val="640"/>
          <w:marRight w:val="0"/>
          <w:marTop w:val="0"/>
          <w:marBottom w:val="0"/>
          <w:divBdr>
            <w:top w:val="none" w:sz="0" w:space="0" w:color="auto"/>
            <w:left w:val="none" w:sz="0" w:space="0" w:color="auto"/>
            <w:bottom w:val="none" w:sz="0" w:space="0" w:color="auto"/>
            <w:right w:val="none" w:sz="0" w:space="0" w:color="auto"/>
          </w:divBdr>
        </w:div>
        <w:div w:id="923534396">
          <w:marLeft w:val="640"/>
          <w:marRight w:val="0"/>
          <w:marTop w:val="0"/>
          <w:marBottom w:val="0"/>
          <w:divBdr>
            <w:top w:val="none" w:sz="0" w:space="0" w:color="auto"/>
            <w:left w:val="none" w:sz="0" w:space="0" w:color="auto"/>
            <w:bottom w:val="none" w:sz="0" w:space="0" w:color="auto"/>
            <w:right w:val="none" w:sz="0" w:space="0" w:color="auto"/>
          </w:divBdr>
        </w:div>
        <w:div w:id="405613476">
          <w:marLeft w:val="640"/>
          <w:marRight w:val="0"/>
          <w:marTop w:val="0"/>
          <w:marBottom w:val="0"/>
          <w:divBdr>
            <w:top w:val="none" w:sz="0" w:space="0" w:color="auto"/>
            <w:left w:val="none" w:sz="0" w:space="0" w:color="auto"/>
            <w:bottom w:val="none" w:sz="0" w:space="0" w:color="auto"/>
            <w:right w:val="none" w:sz="0" w:space="0" w:color="auto"/>
          </w:divBdr>
        </w:div>
        <w:div w:id="2073698275">
          <w:marLeft w:val="640"/>
          <w:marRight w:val="0"/>
          <w:marTop w:val="0"/>
          <w:marBottom w:val="0"/>
          <w:divBdr>
            <w:top w:val="none" w:sz="0" w:space="0" w:color="auto"/>
            <w:left w:val="none" w:sz="0" w:space="0" w:color="auto"/>
            <w:bottom w:val="none" w:sz="0" w:space="0" w:color="auto"/>
            <w:right w:val="none" w:sz="0" w:space="0" w:color="auto"/>
          </w:divBdr>
        </w:div>
        <w:div w:id="1202745301">
          <w:marLeft w:val="640"/>
          <w:marRight w:val="0"/>
          <w:marTop w:val="0"/>
          <w:marBottom w:val="0"/>
          <w:divBdr>
            <w:top w:val="none" w:sz="0" w:space="0" w:color="auto"/>
            <w:left w:val="none" w:sz="0" w:space="0" w:color="auto"/>
            <w:bottom w:val="none" w:sz="0" w:space="0" w:color="auto"/>
            <w:right w:val="none" w:sz="0" w:space="0" w:color="auto"/>
          </w:divBdr>
        </w:div>
        <w:div w:id="614993174">
          <w:marLeft w:val="640"/>
          <w:marRight w:val="0"/>
          <w:marTop w:val="0"/>
          <w:marBottom w:val="0"/>
          <w:divBdr>
            <w:top w:val="none" w:sz="0" w:space="0" w:color="auto"/>
            <w:left w:val="none" w:sz="0" w:space="0" w:color="auto"/>
            <w:bottom w:val="none" w:sz="0" w:space="0" w:color="auto"/>
            <w:right w:val="none" w:sz="0" w:space="0" w:color="auto"/>
          </w:divBdr>
        </w:div>
        <w:div w:id="1718048419">
          <w:marLeft w:val="640"/>
          <w:marRight w:val="0"/>
          <w:marTop w:val="0"/>
          <w:marBottom w:val="0"/>
          <w:divBdr>
            <w:top w:val="none" w:sz="0" w:space="0" w:color="auto"/>
            <w:left w:val="none" w:sz="0" w:space="0" w:color="auto"/>
            <w:bottom w:val="none" w:sz="0" w:space="0" w:color="auto"/>
            <w:right w:val="none" w:sz="0" w:space="0" w:color="auto"/>
          </w:divBdr>
        </w:div>
        <w:div w:id="2065761562">
          <w:marLeft w:val="640"/>
          <w:marRight w:val="0"/>
          <w:marTop w:val="0"/>
          <w:marBottom w:val="0"/>
          <w:divBdr>
            <w:top w:val="none" w:sz="0" w:space="0" w:color="auto"/>
            <w:left w:val="none" w:sz="0" w:space="0" w:color="auto"/>
            <w:bottom w:val="none" w:sz="0" w:space="0" w:color="auto"/>
            <w:right w:val="none" w:sz="0" w:space="0" w:color="auto"/>
          </w:divBdr>
        </w:div>
        <w:div w:id="1878352839">
          <w:marLeft w:val="640"/>
          <w:marRight w:val="0"/>
          <w:marTop w:val="0"/>
          <w:marBottom w:val="0"/>
          <w:divBdr>
            <w:top w:val="none" w:sz="0" w:space="0" w:color="auto"/>
            <w:left w:val="none" w:sz="0" w:space="0" w:color="auto"/>
            <w:bottom w:val="none" w:sz="0" w:space="0" w:color="auto"/>
            <w:right w:val="none" w:sz="0" w:space="0" w:color="auto"/>
          </w:divBdr>
        </w:div>
        <w:div w:id="60061041">
          <w:marLeft w:val="640"/>
          <w:marRight w:val="0"/>
          <w:marTop w:val="0"/>
          <w:marBottom w:val="0"/>
          <w:divBdr>
            <w:top w:val="none" w:sz="0" w:space="0" w:color="auto"/>
            <w:left w:val="none" w:sz="0" w:space="0" w:color="auto"/>
            <w:bottom w:val="none" w:sz="0" w:space="0" w:color="auto"/>
            <w:right w:val="none" w:sz="0" w:space="0" w:color="auto"/>
          </w:divBdr>
        </w:div>
        <w:div w:id="260454331">
          <w:marLeft w:val="640"/>
          <w:marRight w:val="0"/>
          <w:marTop w:val="0"/>
          <w:marBottom w:val="0"/>
          <w:divBdr>
            <w:top w:val="none" w:sz="0" w:space="0" w:color="auto"/>
            <w:left w:val="none" w:sz="0" w:space="0" w:color="auto"/>
            <w:bottom w:val="none" w:sz="0" w:space="0" w:color="auto"/>
            <w:right w:val="none" w:sz="0" w:space="0" w:color="auto"/>
          </w:divBdr>
        </w:div>
        <w:div w:id="1777754317">
          <w:marLeft w:val="640"/>
          <w:marRight w:val="0"/>
          <w:marTop w:val="0"/>
          <w:marBottom w:val="0"/>
          <w:divBdr>
            <w:top w:val="none" w:sz="0" w:space="0" w:color="auto"/>
            <w:left w:val="none" w:sz="0" w:space="0" w:color="auto"/>
            <w:bottom w:val="none" w:sz="0" w:space="0" w:color="auto"/>
            <w:right w:val="none" w:sz="0" w:space="0" w:color="auto"/>
          </w:divBdr>
        </w:div>
        <w:div w:id="128712980">
          <w:marLeft w:val="640"/>
          <w:marRight w:val="0"/>
          <w:marTop w:val="0"/>
          <w:marBottom w:val="0"/>
          <w:divBdr>
            <w:top w:val="none" w:sz="0" w:space="0" w:color="auto"/>
            <w:left w:val="none" w:sz="0" w:space="0" w:color="auto"/>
            <w:bottom w:val="none" w:sz="0" w:space="0" w:color="auto"/>
            <w:right w:val="none" w:sz="0" w:space="0" w:color="auto"/>
          </w:divBdr>
        </w:div>
        <w:div w:id="2059930272">
          <w:marLeft w:val="640"/>
          <w:marRight w:val="0"/>
          <w:marTop w:val="0"/>
          <w:marBottom w:val="0"/>
          <w:divBdr>
            <w:top w:val="none" w:sz="0" w:space="0" w:color="auto"/>
            <w:left w:val="none" w:sz="0" w:space="0" w:color="auto"/>
            <w:bottom w:val="none" w:sz="0" w:space="0" w:color="auto"/>
            <w:right w:val="none" w:sz="0" w:space="0" w:color="auto"/>
          </w:divBdr>
        </w:div>
        <w:div w:id="1713770791">
          <w:marLeft w:val="640"/>
          <w:marRight w:val="0"/>
          <w:marTop w:val="0"/>
          <w:marBottom w:val="0"/>
          <w:divBdr>
            <w:top w:val="none" w:sz="0" w:space="0" w:color="auto"/>
            <w:left w:val="none" w:sz="0" w:space="0" w:color="auto"/>
            <w:bottom w:val="none" w:sz="0" w:space="0" w:color="auto"/>
            <w:right w:val="none" w:sz="0" w:space="0" w:color="auto"/>
          </w:divBdr>
        </w:div>
        <w:div w:id="1051684702">
          <w:marLeft w:val="640"/>
          <w:marRight w:val="0"/>
          <w:marTop w:val="0"/>
          <w:marBottom w:val="0"/>
          <w:divBdr>
            <w:top w:val="none" w:sz="0" w:space="0" w:color="auto"/>
            <w:left w:val="none" w:sz="0" w:space="0" w:color="auto"/>
            <w:bottom w:val="none" w:sz="0" w:space="0" w:color="auto"/>
            <w:right w:val="none" w:sz="0" w:space="0" w:color="auto"/>
          </w:divBdr>
        </w:div>
        <w:div w:id="305286028">
          <w:marLeft w:val="640"/>
          <w:marRight w:val="0"/>
          <w:marTop w:val="0"/>
          <w:marBottom w:val="0"/>
          <w:divBdr>
            <w:top w:val="none" w:sz="0" w:space="0" w:color="auto"/>
            <w:left w:val="none" w:sz="0" w:space="0" w:color="auto"/>
            <w:bottom w:val="none" w:sz="0" w:space="0" w:color="auto"/>
            <w:right w:val="none" w:sz="0" w:space="0" w:color="auto"/>
          </w:divBdr>
        </w:div>
        <w:div w:id="349912257">
          <w:marLeft w:val="640"/>
          <w:marRight w:val="0"/>
          <w:marTop w:val="0"/>
          <w:marBottom w:val="0"/>
          <w:divBdr>
            <w:top w:val="none" w:sz="0" w:space="0" w:color="auto"/>
            <w:left w:val="none" w:sz="0" w:space="0" w:color="auto"/>
            <w:bottom w:val="none" w:sz="0" w:space="0" w:color="auto"/>
            <w:right w:val="none" w:sz="0" w:space="0" w:color="auto"/>
          </w:divBdr>
        </w:div>
        <w:div w:id="850492865">
          <w:marLeft w:val="640"/>
          <w:marRight w:val="0"/>
          <w:marTop w:val="0"/>
          <w:marBottom w:val="0"/>
          <w:divBdr>
            <w:top w:val="none" w:sz="0" w:space="0" w:color="auto"/>
            <w:left w:val="none" w:sz="0" w:space="0" w:color="auto"/>
            <w:bottom w:val="none" w:sz="0" w:space="0" w:color="auto"/>
            <w:right w:val="none" w:sz="0" w:space="0" w:color="auto"/>
          </w:divBdr>
        </w:div>
        <w:div w:id="947085756">
          <w:marLeft w:val="640"/>
          <w:marRight w:val="0"/>
          <w:marTop w:val="0"/>
          <w:marBottom w:val="0"/>
          <w:divBdr>
            <w:top w:val="none" w:sz="0" w:space="0" w:color="auto"/>
            <w:left w:val="none" w:sz="0" w:space="0" w:color="auto"/>
            <w:bottom w:val="none" w:sz="0" w:space="0" w:color="auto"/>
            <w:right w:val="none" w:sz="0" w:space="0" w:color="auto"/>
          </w:divBdr>
        </w:div>
        <w:div w:id="1311865108">
          <w:marLeft w:val="640"/>
          <w:marRight w:val="0"/>
          <w:marTop w:val="0"/>
          <w:marBottom w:val="0"/>
          <w:divBdr>
            <w:top w:val="none" w:sz="0" w:space="0" w:color="auto"/>
            <w:left w:val="none" w:sz="0" w:space="0" w:color="auto"/>
            <w:bottom w:val="none" w:sz="0" w:space="0" w:color="auto"/>
            <w:right w:val="none" w:sz="0" w:space="0" w:color="auto"/>
          </w:divBdr>
        </w:div>
        <w:div w:id="396898348">
          <w:marLeft w:val="640"/>
          <w:marRight w:val="0"/>
          <w:marTop w:val="0"/>
          <w:marBottom w:val="0"/>
          <w:divBdr>
            <w:top w:val="none" w:sz="0" w:space="0" w:color="auto"/>
            <w:left w:val="none" w:sz="0" w:space="0" w:color="auto"/>
            <w:bottom w:val="none" w:sz="0" w:space="0" w:color="auto"/>
            <w:right w:val="none" w:sz="0" w:space="0" w:color="auto"/>
          </w:divBdr>
        </w:div>
        <w:div w:id="1432121890">
          <w:marLeft w:val="640"/>
          <w:marRight w:val="0"/>
          <w:marTop w:val="0"/>
          <w:marBottom w:val="0"/>
          <w:divBdr>
            <w:top w:val="none" w:sz="0" w:space="0" w:color="auto"/>
            <w:left w:val="none" w:sz="0" w:space="0" w:color="auto"/>
            <w:bottom w:val="none" w:sz="0" w:space="0" w:color="auto"/>
            <w:right w:val="none" w:sz="0" w:space="0" w:color="auto"/>
          </w:divBdr>
        </w:div>
        <w:div w:id="316809434">
          <w:marLeft w:val="640"/>
          <w:marRight w:val="0"/>
          <w:marTop w:val="0"/>
          <w:marBottom w:val="0"/>
          <w:divBdr>
            <w:top w:val="none" w:sz="0" w:space="0" w:color="auto"/>
            <w:left w:val="none" w:sz="0" w:space="0" w:color="auto"/>
            <w:bottom w:val="none" w:sz="0" w:space="0" w:color="auto"/>
            <w:right w:val="none" w:sz="0" w:space="0" w:color="auto"/>
          </w:divBdr>
        </w:div>
        <w:div w:id="233516733">
          <w:marLeft w:val="640"/>
          <w:marRight w:val="0"/>
          <w:marTop w:val="0"/>
          <w:marBottom w:val="0"/>
          <w:divBdr>
            <w:top w:val="none" w:sz="0" w:space="0" w:color="auto"/>
            <w:left w:val="none" w:sz="0" w:space="0" w:color="auto"/>
            <w:bottom w:val="none" w:sz="0" w:space="0" w:color="auto"/>
            <w:right w:val="none" w:sz="0" w:space="0" w:color="auto"/>
          </w:divBdr>
        </w:div>
        <w:div w:id="889999200">
          <w:marLeft w:val="640"/>
          <w:marRight w:val="0"/>
          <w:marTop w:val="0"/>
          <w:marBottom w:val="0"/>
          <w:divBdr>
            <w:top w:val="none" w:sz="0" w:space="0" w:color="auto"/>
            <w:left w:val="none" w:sz="0" w:space="0" w:color="auto"/>
            <w:bottom w:val="none" w:sz="0" w:space="0" w:color="auto"/>
            <w:right w:val="none" w:sz="0" w:space="0" w:color="auto"/>
          </w:divBdr>
        </w:div>
        <w:div w:id="1021200883">
          <w:marLeft w:val="640"/>
          <w:marRight w:val="0"/>
          <w:marTop w:val="0"/>
          <w:marBottom w:val="0"/>
          <w:divBdr>
            <w:top w:val="none" w:sz="0" w:space="0" w:color="auto"/>
            <w:left w:val="none" w:sz="0" w:space="0" w:color="auto"/>
            <w:bottom w:val="none" w:sz="0" w:space="0" w:color="auto"/>
            <w:right w:val="none" w:sz="0" w:space="0" w:color="auto"/>
          </w:divBdr>
        </w:div>
        <w:div w:id="1447893669">
          <w:marLeft w:val="640"/>
          <w:marRight w:val="0"/>
          <w:marTop w:val="0"/>
          <w:marBottom w:val="0"/>
          <w:divBdr>
            <w:top w:val="none" w:sz="0" w:space="0" w:color="auto"/>
            <w:left w:val="none" w:sz="0" w:space="0" w:color="auto"/>
            <w:bottom w:val="none" w:sz="0" w:space="0" w:color="auto"/>
            <w:right w:val="none" w:sz="0" w:space="0" w:color="auto"/>
          </w:divBdr>
        </w:div>
        <w:div w:id="2042587349">
          <w:marLeft w:val="640"/>
          <w:marRight w:val="0"/>
          <w:marTop w:val="0"/>
          <w:marBottom w:val="0"/>
          <w:divBdr>
            <w:top w:val="none" w:sz="0" w:space="0" w:color="auto"/>
            <w:left w:val="none" w:sz="0" w:space="0" w:color="auto"/>
            <w:bottom w:val="none" w:sz="0" w:space="0" w:color="auto"/>
            <w:right w:val="none" w:sz="0" w:space="0" w:color="auto"/>
          </w:divBdr>
        </w:div>
        <w:div w:id="161701389">
          <w:marLeft w:val="640"/>
          <w:marRight w:val="0"/>
          <w:marTop w:val="0"/>
          <w:marBottom w:val="0"/>
          <w:divBdr>
            <w:top w:val="none" w:sz="0" w:space="0" w:color="auto"/>
            <w:left w:val="none" w:sz="0" w:space="0" w:color="auto"/>
            <w:bottom w:val="none" w:sz="0" w:space="0" w:color="auto"/>
            <w:right w:val="none" w:sz="0" w:space="0" w:color="auto"/>
          </w:divBdr>
        </w:div>
        <w:div w:id="942998898">
          <w:marLeft w:val="640"/>
          <w:marRight w:val="0"/>
          <w:marTop w:val="0"/>
          <w:marBottom w:val="0"/>
          <w:divBdr>
            <w:top w:val="none" w:sz="0" w:space="0" w:color="auto"/>
            <w:left w:val="none" w:sz="0" w:space="0" w:color="auto"/>
            <w:bottom w:val="none" w:sz="0" w:space="0" w:color="auto"/>
            <w:right w:val="none" w:sz="0" w:space="0" w:color="auto"/>
          </w:divBdr>
        </w:div>
        <w:div w:id="1336569679">
          <w:marLeft w:val="640"/>
          <w:marRight w:val="0"/>
          <w:marTop w:val="0"/>
          <w:marBottom w:val="0"/>
          <w:divBdr>
            <w:top w:val="none" w:sz="0" w:space="0" w:color="auto"/>
            <w:left w:val="none" w:sz="0" w:space="0" w:color="auto"/>
            <w:bottom w:val="none" w:sz="0" w:space="0" w:color="auto"/>
            <w:right w:val="none" w:sz="0" w:space="0" w:color="auto"/>
          </w:divBdr>
        </w:div>
        <w:div w:id="713626585">
          <w:marLeft w:val="640"/>
          <w:marRight w:val="0"/>
          <w:marTop w:val="0"/>
          <w:marBottom w:val="0"/>
          <w:divBdr>
            <w:top w:val="none" w:sz="0" w:space="0" w:color="auto"/>
            <w:left w:val="none" w:sz="0" w:space="0" w:color="auto"/>
            <w:bottom w:val="none" w:sz="0" w:space="0" w:color="auto"/>
            <w:right w:val="none" w:sz="0" w:space="0" w:color="auto"/>
          </w:divBdr>
        </w:div>
        <w:div w:id="1052192404">
          <w:marLeft w:val="640"/>
          <w:marRight w:val="0"/>
          <w:marTop w:val="0"/>
          <w:marBottom w:val="0"/>
          <w:divBdr>
            <w:top w:val="none" w:sz="0" w:space="0" w:color="auto"/>
            <w:left w:val="none" w:sz="0" w:space="0" w:color="auto"/>
            <w:bottom w:val="none" w:sz="0" w:space="0" w:color="auto"/>
            <w:right w:val="none" w:sz="0" w:space="0" w:color="auto"/>
          </w:divBdr>
        </w:div>
        <w:div w:id="1520391306">
          <w:marLeft w:val="640"/>
          <w:marRight w:val="0"/>
          <w:marTop w:val="0"/>
          <w:marBottom w:val="0"/>
          <w:divBdr>
            <w:top w:val="none" w:sz="0" w:space="0" w:color="auto"/>
            <w:left w:val="none" w:sz="0" w:space="0" w:color="auto"/>
            <w:bottom w:val="none" w:sz="0" w:space="0" w:color="auto"/>
            <w:right w:val="none" w:sz="0" w:space="0" w:color="auto"/>
          </w:divBdr>
        </w:div>
        <w:div w:id="1617979689">
          <w:marLeft w:val="640"/>
          <w:marRight w:val="0"/>
          <w:marTop w:val="0"/>
          <w:marBottom w:val="0"/>
          <w:divBdr>
            <w:top w:val="none" w:sz="0" w:space="0" w:color="auto"/>
            <w:left w:val="none" w:sz="0" w:space="0" w:color="auto"/>
            <w:bottom w:val="none" w:sz="0" w:space="0" w:color="auto"/>
            <w:right w:val="none" w:sz="0" w:space="0" w:color="auto"/>
          </w:divBdr>
        </w:div>
        <w:div w:id="105581083">
          <w:marLeft w:val="640"/>
          <w:marRight w:val="0"/>
          <w:marTop w:val="0"/>
          <w:marBottom w:val="0"/>
          <w:divBdr>
            <w:top w:val="none" w:sz="0" w:space="0" w:color="auto"/>
            <w:left w:val="none" w:sz="0" w:space="0" w:color="auto"/>
            <w:bottom w:val="none" w:sz="0" w:space="0" w:color="auto"/>
            <w:right w:val="none" w:sz="0" w:space="0" w:color="auto"/>
          </w:divBdr>
        </w:div>
        <w:div w:id="426198282">
          <w:marLeft w:val="640"/>
          <w:marRight w:val="0"/>
          <w:marTop w:val="0"/>
          <w:marBottom w:val="0"/>
          <w:divBdr>
            <w:top w:val="none" w:sz="0" w:space="0" w:color="auto"/>
            <w:left w:val="none" w:sz="0" w:space="0" w:color="auto"/>
            <w:bottom w:val="none" w:sz="0" w:space="0" w:color="auto"/>
            <w:right w:val="none" w:sz="0" w:space="0" w:color="auto"/>
          </w:divBdr>
        </w:div>
        <w:div w:id="1003508620">
          <w:marLeft w:val="640"/>
          <w:marRight w:val="0"/>
          <w:marTop w:val="0"/>
          <w:marBottom w:val="0"/>
          <w:divBdr>
            <w:top w:val="none" w:sz="0" w:space="0" w:color="auto"/>
            <w:left w:val="none" w:sz="0" w:space="0" w:color="auto"/>
            <w:bottom w:val="none" w:sz="0" w:space="0" w:color="auto"/>
            <w:right w:val="none" w:sz="0" w:space="0" w:color="auto"/>
          </w:divBdr>
        </w:div>
        <w:div w:id="1077674334">
          <w:marLeft w:val="640"/>
          <w:marRight w:val="0"/>
          <w:marTop w:val="0"/>
          <w:marBottom w:val="0"/>
          <w:divBdr>
            <w:top w:val="none" w:sz="0" w:space="0" w:color="auto"/>
            <w:left w:val="none" w:sz="0" w:space="0" w:color="auto"/>
            <w:bottom w:val="none" w:sz="0" w:space="0" w:color="auto"/>
            <w:right w:val="none" w:sz="0" w:space="0" w:color="auto"/>
          </w:divBdr>
        </w:div>
        <w:div w:id="806628574">
          <w:marLeft w:val="640"/>
          <w:marRight w:val="0"/>
          <w:marTop w:val="0"/>
          <w:marBottom w:val="0"/>
          <w:divBdr>
            <w:top w:val="none" w:sz="0" w:space="0" w:color="auto"/>
            <w:left w:val="none" w:sz="0" w:space="0" w:color="auto"/>
            <w:bottom w:val="none" w:sz="0" w:space="0" w:color="auto"/>
            <w:right w:val="none" w:sz="0" w:space="0" w:color="auto"/>
          </w:divBdr>
        </w:div>
        <w:div w:id="1625428774">
          <w:marLeft w:val="640"/>
          <w:marRight w:val="0"/>
          <w:marTop w:val="0"/>
          <w:marBottom w:val="0"/>
          <w:divBdr>
            <w:top w:val="none" w:sz="0" w:space="0" w:color="auto"/>
            <w:left w:val="none" w:sz="0" w:space="0" w:color="auto"/>
            <w:bottom w:val="none" w:sz="0" w:space="0" w:color="auto"/>
            <w:right w:val="none" w:sz="0" w:space="0" w:color="auto"/>
          </w:divBdr>
        </w:div>
        <w:div w:id="556937999">
          <w:marLeft w:val="640"/>
          <w:marRight w:val="0"/>
          <w:marTop w:val="0"/>
          <w:marBottom w:val="0"/>
          <w:divBdr>
            <w:top w:val="none" w:sz="0" w:space="0" w:color="auto"/>
            <w:left w:val="none" w:sz="0" w:space="0" w:color="auto"/>
            <w:bottom w:val="none" w:sz="0" w:space="0" w:color="auto"/>
            <w:right w:val="none" w:sz="0" w:space="0" w:color="auto"/>
          </w:divBdr>
        </w:div>
        <w:div w:id="1550680029">
          <w:marLeft w:val="640"/>
          <w:marRight w:val="0"/>
          <w:marTop w:val="0"/>
          <w:marBottom w:val="0"/>
          <w:divBdr>
            <w:top w:val="none" w:sz="0" w:space="0" w:color="auto"/>
            <w:left w:val="none" w:sz="0" w:space="0" w:color="auto"/>
            <w:bottom w:val="none" w:sz="0" w:space="0" w:color="auto"/>
            <w:right w:val="none" w:sz="0" w:space="0" w:color="auto"/>
          </w:divBdr>
        </w:div>
        <w:div w:id="1410619841">
          <w:marLeft w:val="640"/>
          <w:marRight w:val="0"/>
          <w:marTop w:val="0"/>
          <w:marBottom w:val="0"/>
          <w:divBdr>
            <w:top w:val="none" w:sz="0" w:space="0" w:color="auto"/>
            <w:left w:val="none" w:sz="0" w:space="0" w:color="auto"/>
            <w:bottom w:val="none" w:sz="0" w:space="0" w:color="auto"/>
            <w:right w:val="none" w:sz="0" w:space="0" w:color="auto"/>
          </w:divBdr>
        </w:div>
        <w:div w:id="1905874189">
          <w:marLeft w:val="640"/>
          <w:marRight w:val="0"/>
          <w:marTop w:val="0"/>
          <w:marBottom w:val="0"/>
          <w:divBdr>
            <w:top w:val="none" w:sz="0" w:space="0" w:color="auto"/>
            <w:left w:val="none" w:sz="0" w:space="0" w:color="auto"/>
            <w:bottom w:val="none" w:sz="0" w:space="0" w:color="auto"/>
            <w:right w:val="none" w:sz="0" w:space="0" w:color="auto"/>
          </w:divBdr>
        </w:div>
        <w:div w:id="1951038004">
          <w:marLeft w:val="640"/>
          <w:marRight w:val="0"/>
          <w:marTop w:val="0"/>
          <w:marBottom w:val="0"/>
          <w:divBdr>
            <w:top w:val="none" w:sz="0" w:space="0" w:color="auto"/>
            <w:left w:val="none" w:sz="0" w:space="0" w:color="auto"/>
            <w:bottom w:val="none" w:sz="0" w:space="0" w:color="auto"/>
            <w:right w:val="none" w:sz="0" w:space="0" w:color="auto"/>
          </w:divBdr>
        </w:div>
        <w:div w:id="98259297">
          <w:marLeft w:val="640"/>
          <w:marRight w:val="0"/>
          <w:marTop w:val="0"/>
          <w:marBottom w:val="0"/>
          <w:divBdr>
            <w:top w:val="none" w:sz="0" w:space="0" w:color="auto"/>
            <w:left w:val="none" w:sz="0" w:space="0" w:color="auto"/>
            <w:bottom w:val="none" w:sz="0" w:space="0" w:color="auto"/>
            <w:right w:val="none" w:sz="0" w:space="0" w:color="auto"/>
          </w:divBdr>
        </w:div>
        <w:div w:id="1317687451">
          <w:marLeft w:val="640"/>
          <w:marRight w:val="0"/>
          <w:marTop w:val="0"/>
          <w:marBottom w:val="0"/>
          <w:divBdr>
            <w:top w:val="none" w:sz="0" w:space="0" w:color="auto"/>
            <w:left w:val="none" w:sz="0" w:space="0" w:color="auto"/>
            <w:bottom w:val="none" w:sz="0" w:space="0" w:color="auto"/>
            <w:right w:val="none" w:sz="0" w:space="0" w:color="auto"/>
          </w:divBdr>
        </w:div>
        <w:div w:id="292058278">
          <w:marLeft w:val="640"/>
          <w:marRight w:val="0"/>
          <w:marTop w:val="0"/>
          <w:marBottom w:val="0"/>
          <w:divBdr>
            <w:top w:val="none" w:sz="0" w:space="0" w:color="auto"/>
            <w:left w:val="none" w:sz="0" w:space="0" w:color="auto"/>
            <w:bottom w:val="none" w:sz="0" w:space="0" w:color="auto"/>
            <w:right w:val="none" w:sz="0" w:space="0" w:color="auto"/>
          </w:divBdr>
        </w:div>
        <w:div w:id="341277463">
          <w:marLeft w:val="640"/>
          <w:marRight w:val="0"/>
          <w:marTop w:val="0"/>
          <w:marBottom w:val="0"/>
          <w:divBdr>
            <w:top w:val="none" w:sz="0" w:space="0" w:color="auto"/>
            <w:left w:val="none" w:sz="0" w:space="0" w:color="auto"/>
            <w:bottom w:val="none" w:sz="0" w:space="0" w:color="auto"/>
            <w:right w:val="none" w:sz="0" w:space="0" w:color="auto"/>
          </w:divBdr>
        </w:div>
        <w:div w:id="1721902744">
          <w:marLeft w:val="640"/>
          <w:marRight w:val="0"/>
          <w:marTop w:val="0"/>
          <w:marBottom w:val="0"/>
          <w:divBdr>
            <w:top w:val="none" w:sz="0" w:space="0" w:color="auto"/>
            <w:left w:val="none" w:sz="0" w:space="0" w:color="auto"/>
            <w:bottom w:val="none" w:sz="0" w:space="0" w:color="auto"/>
            <w:right w:val="none" w:sz="0" w:space="0" w:color="auto"/>
          </w:divBdr>
        </w:div>
        <w:div w:id="1092437468">
          <w:marLeft w:val="640"/>
          <w:marRight w:val="0"/>
          <w:marTop w:val="0"/>
          <w:marBottom w:val="0"/>
          <w:divBdr>
            <w:top w:val="none" w:sz="0" w:space="0" w:color="auto"/>
            <w:left w:val="none" w:sz="0" w:space="0" w:color="auto"/>
            <w:bottom w:val="none" w:sz="0" w:space="0" w:color="auto"/>
            <w:right w:val="none" w:sz="0" w:space="0" w:color="auto"/>
          </w:divBdr>
        </w:div>
        <w:div w:id="1436752121">
          <w:marLeft w:val="640"/>
          <w:marRight w:val="0"/>
          <w:marTop w:val="0"/>
          <w:marBottom w:val="0"/>
          <w:divBdr>
            <w:top w:val="none" w:sz="0" w:space="0" w:color="auto"/>
            <w:left w:val="none" w:sz="0" w:space="0" w:color="auto"/>
            <w:bottom w:val="none" w:sz="0" w:space="0" w:color="auto"/>
            <w:right w:val="none" w:sz="0" w:space="0" w:color="auto"/>
          </w:divBdr>
        </w:div>
        <w:div w:id="980423886">
          <w:marLeft w:val="640"/>
          <w:marRight w:val="0"/>
          <w:marTop w:val="0"/>
          <w:marBottom w:val="0"/>
          <w:divBdr>
            <w:top w:val="none" w:sz="0" w:space="0" w:color="auto"/>
            <w:left w:val="none" w:sz="0" w:space="0" w:color="auto"/>
            <w:bottom w:val="none" w:sz="0" w:space="0" w:color="auto"/>
            <w:right w:val="none" w:sz="0" w:space="0" w:color="auto"/>
          </w:divBdr>
        </w:div>
        <w:div w:id="855189448">
          <w:marLeft w:val="640"/>
          <w:marRight w:val="0"/>
          <w:marTop w:val="0"/>
          <w:marBottom w:val="0"/>
          <w:divBdr>
            <w:top w:val="none" w:sz="0" w:space="0" w:color="auto"/>
            <w:left w:val="none" w:sz="0" w:space="0" w:color="auto"/>
            <w:bottom w:val="none" w:sz="0" w:space="0" w:color="auto"/>
            <w:right w:val="none" w:sz="0" w:space="0" w:color="auto"/>
          </w:divBdr>
        </w:div>
        <w:div w:id="1272082099">
          <w:marLeft w:val="640"/>
          <w:marRight w:val="0"/>
          <w:marTop w:val="0"/>
          <w:marBottom w:val="0"/>
          <w:divBdr>
            <w:top w:val="none" w:sz="0" w:space="0" w:color="auto"/>
            <w:left w:val="none" w:sz="0" w:space="0" w:color="auto"/>
            <w:bottom w:val="none" w:sz="0" w:space="0" w:color="auto"/>
            <w:right w:val="none" w:sz="0" w:space="0" w:color="auto"/>
          </w:divBdr>
        </w:div>
        <w:div w:id="1276911501">
          <w:marLeft w:val="640"/>
          <w:marRight w:val="0"/>
          <w:marTop w:val="0"/>
          <w:marBottom w:val="0"/>
          <w:divBdr>
            <w:top w:val="none" w:sz="0" w:space="0" w:color="auto"/>
            <w:left w:val="none" w:sz="0" w:space="0" w:color="auto"/>
            <w:bottom w:val="none" w:sz="0" w:space="0" w:color="auto"/>
            <w:right w:val="none" w:sz="0" w:space="0" w:color="auto"/>
          </w:divBdr>
        </w:div>
        <w:div w:id="1721369002">
          <w:marLeft w:val="640"/>
          <w:marRight w:val="0"/>
          <w:marTop w:val="0"/>
          <w:marBottom w:val="0"/>
          <w:divBdr>
            <w:top w:val="none" w:sz="0" w:space="0" w:color="auto"/>
            <w:left w:val="none" w:sz="0" w:space="0" w:color="auto"/>
            <w:bottom w:val="none" w:sz="0" w:space="0" w:color="auto"/>
            <w:right w:val="none" w:sz="0" w:space="0" w:color="auto"/>
          </w:divBdr>
        </w:div>
        <w:div w:id="123741695">
          <w:marLeft w:val="640"/>
          <w:marRight w:val="0"/>
          <w:marTop w:val="0"/>
          <w:marBottom w:val="0"/>
          <w:divBdr>
            <w:top w:val="none" w:sz="0" w:space="0" w:color="auto"/>
            <w:left w:val="none" w:sz="0" w:space="0" w:color="auto"/>
            <w:bottom w:val="none" w:sz="0" w:space="0" w:color="auto"/>
            <w:right w:val="none" w:sz="0" w:space="0" w:color="auto"/>
          </w:divBdr>
        </w:div>
        <w:div w:id="1055667203">
          <w:marLeft w:val="640"/>
          <w:marRight w:val="0"/>
          <w:marTop w:val="0"/>
          <w:marBottom w:val="0"/>
          <w:divBdr>
            <w:top w:val="none" w:sz="0" w:space="0" w:color="auto"/>
            <w:left w:val="none" w:sz="0" w:space="0" w:color="auto"/>
            <w:bottom w:val="none" w:sz="0" w:space="0" w:color="auto"/>
            <w:right w:val="none" w:sz="0" w:space="0" w:color="auto"/>
          </w:divBdr>
        </w:div>
        <w:div w:id="1308629468">
          <w:marLeft w:val="640"/>
          <w:marRight w:val="0"/>
          <w:marTop w:val="0"/>
          <w:marBottom w:val="0"/>
          <w:divBdr>
            <w:top w:val="none" w:sz="0" w:space="0" w:color="auto"/>
            <w:left w:val="none" w:sz="0" w:space="0" w:color="auto"/>
            <w:bottom w:val="none" w:sz="0" w:space="0" w:color="auto"/>
            <w:right w:val="none" w:sz="0" w:space="0" w:color="auto"/>
          </w:divBdr>
        </w:div>
        <w:div w:id="1971128981">
          <w:marLeft w:val="640"/>
          <w:marRight w:val="0"/>
          <w:marTop w:val="0"/>
          <w:marBottom w:val="0"/>
          <w:divBdr>
            <w:top w:val="none" w:sz="0" w:space="0" w:color="auto"/>
            <w:left w:val="none" w:sz="0" w:space="0" w:color="auto"/>
            <w:bottom w:val="none" w:sz="0" w:space="0" w:color="auto"/>
            <w:right w:val="none" w:sz="0" w:space="0" w:color="auto"/>
          </w:divBdr>
        </w:div>
        <w:div w:id="252664522">
          <w:marLeft w:val="640"/>
          <w:marRight w:val="0"/>
          <w:marTop w:val="0"/>
          <w:marBottom w:val="0"/>
          <w:divBdr>
            <w:top w:val="none" w:sz="0" w:space="0" w:color="auto"/>
            <w:left w:val="none" w:sz="0" w:space="0" w:color="auto"/>
            <w:bottom w:val="none" w:sz="0" w:space="0" w:color="auto"/>
            <w:right w:val="none" w:sz="0" w:space="0" w:color="auto"/>
          </w:divBdr>
        </w:div>
        <w:div w:id="1233731070">
          <w:marLeft w:val="640"/>
          <w:marRight w:val="0"/>
          <w:marTop w:val="0"/>
          <w:marBottom w:val="0"/>
          <w:divBdr>
            <w:top w:val="none" w:sz="0" w:space="0" w:color="auto"/>
            <w:left w:val="none" w:sz="0" w:space="0" w:color="auto"/>
            <w:bottom w:val="none" w:sz="0" w:space="0" w:color="auto"/>
            <w:right w:val="none" w:sz="0" w:space="0" w:color="auto"/>
          </w:divBdr>
        </w:div>
        <w:div w:id="822551612">
          <w:marLeft w:val="640"/>
          <w:marRight w:val="0"/>
          <w:marTop w:val="0"/>
          <w:marBottom w:val="0"/>
          <w:divBdr>
            <w:top w:val="none" w:sz="0" w:space="0" w:color="auto"/>
            <w:left w:val="none" w:sz="0" w:space="0" w:color="auto"/>
            <w:bottom w:val="none" w:sz="0" w:space="0" w:color="auto"/>
            <w:right w:val="none" w:sz="0" w:space="0" w:color="auto"/>
          </w:divBdr>
        </w:div>
        <w:div w:id="797528055">
          <w:marLeft w:val="640"/>
          <w:marRight w:val="0"/>
          <w:marTop w:val="0"/>
          <w:marBottom w:val="0"/>
          <w:divBdr>
            <w:top w:val="none" w:sz="0" w:space="0" w:color="auto"/>
            <w:left w:val="none" w:sz="0" w:space="0" w:color="auto"/>
            <w:bottom w:val="none" w:sz="0" w:space="0" w:color="auto"/>
            <w:right w:val="none" w:sz="0" w:space="0" w:color="auto"/>
          </w:divBdr>
        </w:div>
        <w:div w:id="422264788">
          <w:marLeft w:val="640"/>
          <w:marRight w:val="0"/>
          <w:marTop w:val="0"/>
          <w:marBottom w:val="0"/>
          <w:divBdr>
            <w:top w:val="none" w:sz="0" w:space="0" w:color="auto"/>
            <w:left w:val="none" w:sz="0" w:space="0" w:color="auto"/>
            <w:bottom w:val="none" w:sz="0" w:space="0" w:color="auto"/>
            <w:right w:val="none" w:sz="0" w:space="0" w:color="auto"/>
          </w:divBdr>
        </w:div>
        <w:div w:id="274485324">
          <w:marLeft w:val="640"/>
          <w:marRight w:val="0"/>
          <w:marTop w:val="0"/>
          <w:marBottom w:val="0"/>
          <w:divBdr>
            <w:top w:val="none" w:sz="0" w:space="0" w:color="auto"/>
            <w:left w:val="none" w:sz="0" w:space="0" w:color="auto"/>
            <w:bottom w:val="none" w:sz="0" w:space="0" w:color="auto"/>
            <w:right w:val="none" w:sz="0" w:space="0" w:color="auto"/>
          </w:divBdr>
        </w:div>
        <w:div w:id="80419072">
          <w:marLeft w:val="640"/>
          <w:marRight w:val="0"/>
          <w:marTop w:val="0"/>
          <w:marBottom w:val="0"/>
          <w:divBdr>
            <w:top w:val="none" w:sz="0" w:space="0" w:color="auto"/>
            <w:left w:val="none" w:sz="0" w:space="0" w:color="auto"/>
            <w:bottom w:val="none" w:sz="0" w:space="0" w:color="auto"/>
            <w:right w:val="none" w:sz="0" w:space="0" w:color="auto"/>
          </w:divBdr>
        </w:div>
        <w:div w:id="791170911">
          <w:marLeft w:val="640"/>
          <w:marRight w:val="0"/>
          <w:marTop w:val="0"/>
          <w:marBottom w:val="0"/>
          <w:divBdr>
            <w:top w:val="none" w:sz="0" w:space="0" w:color="auto"/>
            <w:left w:val="none" w:sz="0" w:space="0" w:color="auto"/>
            <w:bottom w:val="none" w:sz="0" w:space="0" w:color="auto"/>
            <w:right w:val="none" w:sz="0" w:space="0" w:color="auto"/>
          </w:divBdr>
        </w:div>
        <w:div w:id="1410731092">
          <w:marLeft w:val="640"/>
          <w:marRight w:val="0"/>
          <w:marTop w:val="0"/>
          <w:marBottom w:val="0"/>
          <w:divBdr>
            <w:top w:val="none" w:sz="0" w:space="0" w:color="auto"/>
            <w:left w:val="none" w:sz="0" w:space="0" w:color="auto"/>
            <w:bottom w:val="none" w:sz="0" w:space="0" w:color="auto"/>
            <w:right w:val="none" w:sz="0" w:space="0" w:color="auto"/>
          </w:divBdr>
        </w:div>
        <w:div w:id="250240563">
          <w:marLeft w:val="640"/>
          <w:marRight w:val="0"/>
          <w:marTop w:val="0"/>
          <w:marBottom w:val="0"/>
          <w:divBdr>
            <w:top w:val="none" w:sz="0" w:space="0" w:color="auto"/>
            <w:left w:val="none" w:sz="0" w:space="0" w:color="auto"/>
            <w:bottom w:val="none" w:sz="0" w:space="0" w:color="auto"/>
            <w:right w:val="none" w:sz="0" w:space="0" w:color="auto"/>
          </w:divBdr>
        </w:div>
        <w:div w:id="1537156870">
          <w:marLeft w:val="640"/>
          <w:marRight w:val="0"/>
          <w:marTop w:val="0"/>
          <w:marBottom w:val="0"/>
          <w:divBdr>
            <w:top w:val="none" w:sz="0" w:space="0" w:color="auto"/>
            <w:left w:val="none" w:sz="0" w:space="0" w:color="auto"/>
            <w:bottom w:val="none" w:sz="0" w:space="0" w:color="auto"/>
            <w:right w:val="none" w:sz="0" w:space="0" w:color="auto"/>
          </w:divBdr>
        </w:div>
        <w:div w:id="2134053732">
          <w:marLeft w:val="640"/>
          <w:marRight w:val="0"/>
          <w:marTop w:val="0"/>
          <w:marBottom w:val="0"/>
          <w:divBdr>
            <w:top w:val="none" w:sz="0" w:space="0" w:color="auto"/>
            <w:left w:val="none" w:sz="0" w:space="0" w:color="auto"/>
            <w:bottom w:val="none" w:sz="0" w:space="0" w:color="auto"/>
            <w:right w:val="none" w:sz="0" w:space="0" w:color="auto"/>
          </w:divBdr>
        </w:div>
        <w:div w:id="1886065710">
          <w:marLeft w:val="640"/>
          <w:marRight w:val="0"/>
          <w:marTop w:val="0"/>
          <w:marBottom w:val="0"/>
          <w:divBdr>
            <w:top w:val="none" w:sz="0" w:space="0" w:color="auto"/>
            <w:left w:val="none" w:sz="0" w:space="0" w:color="auto"/>
            <w:bottom w:val="none" w:sz="0" w:space="0" w:color="auto"/>
            <w:right w:val="none" w:sz="0" w:space="0" w:color="auto"/>
          </w:divBdr>
        </w:div>
        <w:div w:id="1082027005">
          <w:marLeft w:val="640"/>
          <w:marRight w:val="0"/>
          <w:marTop w:val="0"/>
          <w:marBottom w:val="0"/>
          <w:divBdr>
            <w:top w:val="none" w:sz="0" w:space="0" w:color="auto"/>
            <w:left w:val="none" w:sz="0" w:space="0" w:color="auto"/>
            <w:bottom w:val="none" w:sz="0" w:space="0" w:color="auto"/>
            <w:right w:val="none" w:sz="0" w:space="0" w:color="auto"/>
          </w:divBdr>
        </w:div>
        <w:div w:id="1644120493">
          <w:marLeft w:val="640"/>
          <w:marRight w:val="0"/>
          <w:marTop w:val="0"/>
          <w:marBottom w:val="0"/>
          <w:divBdr>
            <w:top w:val="none" w:sz="0" w:space="0" w:color="auto"/>
            <w:left w:val="none" w:sz="0" w:space="0" w:color="auto"/>
            <w:bottom w:val="none" w:sz="0" w:space="0" w:color="auto"/>
            <w:right w:val="none" w:sz="0" w:space="0" w:color="auto"/>
          </w:divBdr>
        </w:div>
        <w:div w:id="786462437">
          <w:marLeft w:val="640"/>
          <w:marRight w:val="0"/>
          <w:marTop w:val="0"/>
          <w:marBottom w:val="0"/>
          <w:divBdr>
            <w:top w:val="none" w:sz="0" w:space="0" w:color="auto"/>
            <w:left w:val="none" w:sz="0" w:space="0" w:color="auto"/>
            <w:bottom w:val="none" w:sz="0" w:space="0" w:color="auto"/>
            <w:right w:val="none" w:sz="0" w:space="0" w:color="auto"/>
          </w:divBdr>
        </w:div>
        <w:div w:id="1760102171">
          <w:marLeft w:val="640"/>
          <w:marRight w:val="0"/>
          <w:marTop w:val="0"/>
          <w:marBottom w:val="0"/>
          <w:divBdr>
            <w:top w:val="none" w:sz="0" w:space="0" w:color="auto"/>
            <w:left w:val="none" w:sz="0" w:space="0" w:color="auto"/>
            <w:bottom w:val="none" w:sz="0" w:space="0" w:color="auto"/>
            <w:right w:val="none" w:sz="0" w:space="0" w:color="auto"/>
          </w:divBdr>
        </w:div>
        <w:div w:id="1712683711">
          <w:marLeft w:val="640"/>
          <w:marRight w:val="0"/>
          <w:marTop w:val="0"/>
          <w:marBottom w:val="0"/>
          <w:divBdr>
            <w:top w:val="none" w:sz="0" w:space="0" w:color="auto"/>
            <w:left w:val="none" w:sz="0" w:space="0" w:color="auto"/>
            <w:bottom w:val="none" w:sz="0" w:space="0" w:color="auto"/>
            <w:right w:val="none" w:sz="0" w:space="0" w:color="auto"/>
          </w:divBdr>
        </w:div>
        <w:div w:id="1441606469">
          <w:marLeft w:val="640"/>
          <w:marRight w:val="0"/>
          <w:marTop w:val="0"/>
          <w:marBottom w:val="0"/>
          <w:divBdr>
            <w:top w:val="none" w:sz="0" w:space="0" w:color="auto"/>
            <w:left w:val="none" w:sz="0" w:space="0" w:color="auto"/>
            <w:bottom w:val="none" w:sz="0" w:space="0" w:color="auto"/>
            <w:right w:val="none" w:sz="0" w:space="0" w:color="auto"/>
          </w:divBdr>
        </w:div>
        <w:div w:id="1799496242">
          <w:marLeft w:val="640"/>
          <w:marRight w:val="0"/>
          <w:marTop w:val="0"/>
          <w:marBottom w:val="0"/>
          <w:divBdr>
            <w:top w:val="none" w:sz="0" w:space="0" w:color="auto"/>
            <w:left w:val="none" w:sz="0" w:space="0" w:color="auto"/>
            <w:bottom w:val="none" w:sz="0" w:space="0" w:color="auto"/>
            <w:right w:val="none" w:sz="0" w:space="0" w:color="auto"/>
          </w:divBdr>
        </w:div>
        <w:div w:id="1689519959">
          <w:marLeft w:val="640"/>
          <w:marRight w:val="0"/>
          <w:marTop w:val="0"/>
          <w:marBottom w:val="0"/>
          <w:divBdr>
            <w:top w:val="none" w:sz="0" w:space="0" w:color="auto"/>
            <w:left w:val="none" w:sz="0" w:space="0" w:color="auto"/>
            <w:bottom w:val="none" w:sz="0" w:space="0" w:color="auto"/>
            <w:right w:val="none" w:sz="0" w:space="0" w:color="auto"/>
          </w:divBdr>
        </w:div>
        <w:div w:id="1740177619">
          <w:marLeft w:val="640"/>
          <w:marRight w:val="0"/>
          <w:marTop w:val="0"/>
          <w:marBottom w:val="0"/>
          <w:divBdr>
            <w:top w:val="none" w:sz="0" w:space="0" w:color="auto"/>
            <w:left w:val="none" w:sz="0" w:space="0" w:color="auto"/>
            <w:bottom w:val="none" w:sz="0" w:space="0" w:color="auto"/>
            <w:right w:val="none" w:sz="0" w:space="0" w:color="auto"/>
          </w:divBdr>
        </w:div>
        <w:div w:id="807630864">
          <w:marLeft w:val="640"/>
          <w:marRight w:val="0"/>
          <w:marTop w:val="0"/>
          <w:marBottom w:val="0"/>
          <w:divBdr>
            <w:top w:val="none" w:sz="0" w:space="0" w:color="auto"/>
            <w:left w:val="none" w:sz="0" w:space="0" w:color="auto"/>
            <w:bottom w:val="none" w:sz="0" w:space="0" w:color="auto"/>
            <w:right w:val="none" w:sz="0" w:space="0" w:color="auto"/>
          </w:divBdr>
        </w:div>
        <w:div w:id="1858497675">
          <w:marLeft w:val="640"/>
          <w:marRight w:val="0"/>
          <w:marTop w:val="0"/>
          <w:marBottom w:val="0"/>
          <w:divBdr>
            <w:top w:val="none" w:sz="0" w:space="0" w:color="auto"/>
            <w:left w:val="none" w:sz="0" w:space="0" w:color="auto"/>
            <w:bottom w:val="none" w:sz="0" w:space="0" w:color="auto"/>
            <w:right w:val="none" w:sz="0" w:space="0" w:color="auto"/>
          </w:divBdr>
        </w:div>
        <w:div w:id="821582336">
          <w:marLeft w:val="640"/>
          <w:marRight w:val="0"/>
          <w:marTop w:val="0"/>
          <w:marBottom w:val="0"/>
          <w:divBdr>
            <w:top w:val="none" w:sz="0" w:space="0" w:color="auto"/>
            <w:left w:val="none" w:sz="0" w:space="0" w:color="auto"/>
            <w:bottom w:val="none" w:sz="0" w:space="0" w:color="auto"/>
            <w:right w:val="none" w:sz="0" w:space="0" w:color="auto"/>
          </w:divBdr>
        </w:div>
        <w:div w:id="509029602">
          <w:marLeft w:val="640"/>
          <w:marRight w:val="0"/>
          <w:marTop w:val="0"/>
          <w:marBottom w:val="0"/>
          <w:divBdr>
            <w:top w:val="none" w:sz="0" w:space="0" w:color="auto"/>
            <w:left w:val="none" w:sz="0" w:space="0" w:color="auto"/>
            <w:bottom w:val="none" w:sz="0" w:space="0" w:color="auto"/>
            <w:right w:val="none" w:sz="0" w:space="0" w:color="auto"/>
          </w:divBdr>
        </w:div>
        <w:div w:id="34670391">
          <w:marLeft w:val="640"/>
          <w:marRight w:val="0"/>
          <w:marTop w:val="0"/>
          <w:marBottom w:val="0"/>
          <w:divBdr>
            <w:top w:val="none" w:sz="0" w:space="0" w:color="auto"/>
            <w:left w:val="none" w:sz="0" w:space="0" w:color="auto"/>
            <w:bottom w:val="none" w:sz="0" w:space="0" w:color="auto"/>
            <w:right w:val="none" w:sz="0" w:space="0" w:color="auto"/>
          </w:divBdr>
        </w:div>
        <w:div w:id="2042976426">
          <w:marLeft w:val="640"/>
          <w:marRight w:val="0"/>
          <w:marTop w:val="0"/>
          <w:marBottom w:val="0"/>
          <w:divBdr>
            <w:top w:val="none" w:sz="0" w:space="0" w:color="auto"/>
            <w:left w:val="none" w:sz="0" w:space="0" w:color="auto"/>
            <w:bottom w:val="none" w:sz="0" w:space="0" w:color="auto"/>
            <w:right w:val="none" w:sz="0" w:space="0" w:color="auto"/>
          </w:divBdr>
        </w:div>
        <w:div w:id="199510727">
          <w:marLeft w:val="640"/>
          <w:marRight w:val="0"/>
          <w:marTop w:val="0"/>
          <w:marBottom w:val="0"/>
          <w:divBdr>
            <w:top w:val="none" w:sz="0" w:space="0" w:color="auto"/>
            <w:left w:val="none" w:sz="0" w:space="0" w:color="auto"/>
            <w:bottom w:val="none" w:sz="0" w:space="0" w:color="auto"/>
            <w:right w:val="none" w:sz="0" w:space="0" w:color="auto"/>
          </w:divBdr>
        </w:div>
        <w:div w:id="580019791">
          <w:marLeft w:val="640"/>
          <w:marRight w:val="0"/>
          <w:marTop w:val="0"/>
          <w:marBottom w:val="0"/>
          <w:divBdr>
            <w:top w:val="none" w:sz="0" w:space="0" w:color="auto"/>
            <w:left w:val="none" w:sz="0" w:space="0" w:color="auto"/>
            <w:bottom w:val="none" w:sz="0" w:space="0" w:color="auto"/>
            <w:right w:val="none" w:sz="0" w:space="0" w:color="auto"/>
          </w:divBdr>
        </w:div>
        <w:div w:id="83184611">
          <w:marLeft w:val="640"/>
          <w:marRight w:val="0"/>
          <w:marTop w:val="0"/>
          <w:marBottom w:val="0"/>
          <w:divBdr>
            <w:top w:val="none" w:sz="0" w:space="0" w:color="auto"/>
            <w:left w:val="none" w:sz="0" w:space="0" w:color="auto"/>
            <w:bottom w:val="none" w:sz="0" w:space="0" w:color="auto"/>
            <w:right w:val="none" w:sz="0" w:space="0" w:color="auto"/>
          </w:divBdr>
        </w:div>
        <w:div w:id="798691935">
          <w:marLeft w:val="640"/>
          <w:marRight w:val="0"/>
          <w:marTop w:val="0"/>
          <w:marBottom w:val="0"/>
          <w:divBdr>
            <w:top w:val="none" w:sz="0" w:space="0" w:color="auto"/>
            <w:left w:val="none" w:sz="0" w:space="0" w:color="auto"/>
            <w:bottom w:val="none" w:sz="0" w:space="0" w:color="auto"/>
            <w:right w:val="none" w:sz="0" w:space="0" w:color="auto"/>
          </w:divBdr>
        </w:div>
        <w:div w:id="1696690257">
          <w:marLeft w:val="640"/>
          <w:marRight w:val="0"/>
          <w:marTop w:val="0"/>
          <w:marBottom w:val="0"/>
          <w:divBdr>
            <w:top w:val="none" w:sz="0" w:space="0" w:color="auto"/>
            <w:left w:val="none" w:sz="0" w:space="0" w:color="auto"/>
            <w:bottom w:val="none" w:sz="0" w:space="0" w:color="auto"/>
            <w:right w:val="none" w:sz="0" w:space="0" w:color="auto"/>
          </w:divBdr>
        </w:div>
        <w:div w:id="55932519">
          <w:marLeft w:val="640"/>
          <w:marRight w:val="0"/>
          <w:marTop w:val="0"/>
          <w:marBottom w:val="0"/>
          <w:divBdr>
            <w:top w:val="none" w:sz="0" w:space="0" w:color="auto"/>
            <w:left w:val="none" w:sz="0" w:space="0" w:color="auto"/>
            <w:bottom w:val="none" w:sz="0" w:space="0" w:color="auto"/>
            <w:right w:val="none" w:sz="0" w:space="0" w:color="auto"/>
          </w:divBdr>
        </w:div>
        <w:div w:id="159388129">
          <w:marLeft w:val="640"/>
          <w:marRight w:val="0"/>
          <w:marTop w:val="0"/>
          <w:marBottom w:val="0"/>
          <w:divBdr>
            <w:top w:val="none" w:sz="0" w:space="0" w:color="auto"/>
            <w:left w:val="none" w:sz="0" w:space="0" w:color="auto"/>
            <w:bottom w:val="none" w:sz="0" w:space="0" w:color="auto"/>
            <w:right w:val="none" w:sz="0" w:space="0" w:color="auto"/>
          </w:divBdr>
        </w:div>
        <w:div w:id="247472353">
          <w:marLeft w:val="640"/>
          <w:marRight w:val="0"/>
          <w:marTop w:val="0"/>
          <w:marBottom w:val="0"/>
          <w:divBdr>
            <w:top w:val="none" w:sz="0" w:space="0" w:color="auto"/>
            <w:left w:val="none" w:sz="0" w:space="0" w:color="auto"/>
            <w:bottom w:val="none" w:sz="0" w:space="0" w:color="auto"/>
            <w:right w:val="none" w:sz="0" w:space="0" w:color="auto"/>
          </w:divBdr>
        </w:div>
        <w:div w:id="1806003729">
          <w:marLeft w:val="640"/>
          <w:marRight w:val="0"/>
          <w:marTop w:val="0"/>
          <w:marBottom w:val="0"/>
          <w:divBdr>
            <w:top w:val="none" w:sz="0" w:space="0" w:color="auto"/>
            <w:left w:val="none" w:sz="0" w:space="0" w:color="auto"/>
            <w:bottom w:val="none" w:sz="0" w:space="0" w:color="auto"/>
            <w:right w:val="none" w:sz="0" w:space="0" w:color="auto"/>
          </w:divBdr>
        </w:div>
        <w:div w:id="459223103">
          <w:marLeft w:val="640"/>
          <w:marRight w:val="0"/>
          <w:marTop w:val="0"/>
          <w:marBottom w:val="0"/>
          <w:divBdr>
            <w:top w:val="none" w:sz="0" w:space="0" w:color="auto"/>
            <w:left w:val="none" w:sz="0" w:space="0" w:color="auto"/>
            <w:bottom w:val="none" w:sz="0" w:space="0" w:color="auto"/>
            <w:right w:val="none" w:sz="0" w:space="0" w:color="auto"/>
          </w:divBdr>
        </w:div>
        <w:div w:id="454951911">
          <w:marLeft w:val="640"/>
          <w:marRight w:val="0"/>
          <w:marTop w:val="0"/>
          <w:marBottom w:val="0"/>
          <w:divBdr>
            <w:top w:val="none" w:sz="0" w:space="0" w:color="auto"/>
            <w:left w:val="none" w:sz="0" w:space="0" w:color="auto"/>
            <w:bottom w:val="none" w:sz="0" w:space="0" w:color="auto"/>
            <w:right w:val="none" w:sz="0" w:space="0" w:color="auto"/>
          </w:divBdr>
        </w:div>
        <w:div w:id="1876237251">
          <w:marLeft w:val="640"/>
          <w:marRight w:val="0"/>
          <w:marTop w:val="0"/>
          <w:marBottom w:val="0"/>
          <w:divBdr>
            <w:top w:val="none" w:sz="0" w:space="0" w:color="auto"/>
            <w:left w:val="none" w:sz="0" w:space="0" w:color="auto"/>
            <w:bottom w:val="none" w:sz="0" w:space="0" w:color="auto"/>
            <w:right w:val="none" w:sz="0" w:space="0" w:color="auto"/>
          </w:divBdr>
        </w:div>
        <w:div w:id="1608779295">
          <w:marLeft w:val="640"/>
          <w:marRight w:val="0"/>
          <w:marTop w:val="0"/>
          <w:marBottom w:val="0"/>
          <w:divBdr>
            <w:top w:val="none" w:sz="0" w:space="0" w:color="auto"/>
            <w:left w:val="none" w:sz="0" w:space="0" w:color="auto"/>
            <w:bottom w:val="none" w:sz="0" w:space="0" w:color="auto"/>
            <w:right w:val="none" w:sz="0" w:space="0" w:color="auto"/>
          </w:divBdr>
        </w:div>
        <w:div w:id="181166320">
          <w:marLeft w:val="640"/>
          <w:marRight w:val="0"/>
          <w:marTop w:val="0"/>
          <w:marBottom w:val="0"/>
          <w:divBdr>
            <w:top w:val="none" w:sz="0" w:space="0" w:color="auto"/>
            <w:left w:val="none" w:sz="0" w:space="0" w:color="auto"/>
            <w:bottom w:val="none" w:sz="0" w:space="0" w:color="auto"/>
            <w:right w:val="none" w:sz="0" w:space="0" w:color="auto"/>
          </w:divBdr>
        </w:div>
        <w:div w:id="1595631312">
          <w:marLeft w:val="640"/>
          <w:marRight w:val="0"/>
          <w:marTop w:val="0"/>
          <w:marBottom w:val="0"/>
          <w:divBdr>
            <w:top w:val="none" w:sz="0" w:space="0" w:color="auto"/>
            <w:left w:val="none" w:sz="0" w:space="0" w:color="auto"/>
            <w:bottom w:val="none" w:sz="0" w:space="0" w:color="auto"/>
            <w:right w:val="none" w:sz="0" w:space="0" w:color="auto"/>
          </w:divBdr>
        </w:div>
        <w:div w:id="980304293">
          <w:marLeft w:val="640"/>
          <w:marRight w:val="0"/>
          <w:marTop w:val="0"/>
          <w:marBottom w:val="0"/>
          <w:divBdr>
            <w:top w:val="none" w:sz="0" w:space="0" w:color="auto"/>
            <w:left w:val="none" w:sz="0" w:space="0" w:color="auto"/>
            <w:bottom w:val="none" w:sz="0" w:space="0" w:color="auto"/>
            <w:right w:val="none" w:sz="0" w:space="0" w:color="auto"/>
          </w:divBdr>
        </w:div>
        <w:div w:id="1123500108">
          <w:marLeft w:val="640"/>
          <w:marRight w:val="0"/>
          <w:marTop w:val="0"/>
          <w:marBottom w:val="0"/>
          <w:divBdr>
            <w:top w:val="none" w:sz="0" w:space="0" w:color="auto"/>
            <w:left w:val="none" w:sz="0" w:space="0" w:color="auto"/>
            <w:bottom w:val="none" w:sz="0" w:space="0" w:color="auto"/>
            <w:right w:val="none" w:sz="0" w:space="0" w:color="auto"/>
          </w:divBdr>
        </w:div>
        <w:div w:id="1091045613">
          <w:marLeft w:val="640"/>
          <w:marRight w:val="0"/>
          <w:marTop w:val="0"/>
          <w:marBottom w:val="0"/>
          <w:divBdr>
            <w:top w:val="none" w:sz="0" w:space="0" w:color="auto"/>
            <w:left w:val="none" w:sz="0" w:space="0" w:color="auto"/>
            <w:bottom w:val="none" w:sz="0" w:space="0" w:color="auto"/>
            <w:right w:val="none" w:sz="0" w:space="0" w:color="auto"/>
          </w:divBdr>
        </w:div>
        <w:div w:id="1618827435">
          <w:marLeft w:val="640"/>
          <w:marRight w:val="0"/>
          <w:marTop w:val="0"/>
          <w:marBottom w:val="0"/>
          <w:divBdr>
            <w:top w:val="none" w:sz="0" w:space="0" w:color="auto"/>
            <w:left w:val="none" w:sz="0" w:space="0" w:color="auto"/>
            <w:bottom w:val="none" w:sz="0" w:space="0" w:color="auto"/>
            <w:right w:val="none" w:sz="0" w:space="0" w:color="auto"/>
          </w:divBdr>
        </w:div>
        <w:div w:id="1377853397">
          <w:marLeft w:val="640"/>
          <w:marRight w:val="0"/>
          <w:marTop w:val="0"/>
          <w:marBottom w:val="0"/>
          <w:divBdr>
            <w:top w:val="none" w:sz="0" w:space="0" w:color="auto"/>
            <w:left w:val="none" w:sz="0" w:space="0" w:color="auto"/>
            <w:bottom w:val="none" w:sz="0" w:space="0" w:color="auto"/>
            <w:right w:val="none" w:sz="0" w:space="0" w:color="auto"/>
          </w:divBdr>
        </w:div>
        <w:div w:id="612977311">
          <w:marLeft w:val="640"/>
          <w:marRight w:val="0"/>
          <w:marTop w:val="0"/>
          <w:marBottom w:val="0"/>
          <w:divBdr>
            <w:top w:val="none" w:sz="0" w:space="0" w:color="auto"/>
            <w:left w:val="none" w:sz="0" w:space="0" w:color="auto"/>
            <w:bottom w:val="none" w:sz="0" w:space="0" w:color="auto"/>
            <w:right w:val="none" w:sz="0" w:space="0" w:color="auto"/>
          </w:divBdr>
        </w:div>
        <w:div w:id="845707232">
          <w:marLeft w:val="640"/>
          <w:marRight w:val="0"/>
          <w:marTop w:val="0"/>
          <w:marBottom w:val="0"/>
          <w:divBdr>
            <w:top w:val="none" w:sz="0" w:space="0" w:color="auto"/>
            <w:left w:val="none" w:sz="0" w:space="0" w:color="auto"/>
            <w:bottom w:val="none" w:sz="0" w:space="0" w:color="auto"/>
            <w:right w:val="none" w:sz="0" w:space="0" w:color="auto"/>
          </w:divBdr>
        </w:div>
        <w:div w:id="975526497">
          <w:marLeft w:val="640"/>
          <w:marRight w:val="0"/>
          <w:marTop w:val="0"/>
          <w:marBottom w:val="0"/>
          <w:divBdr>
            <w:top w:val="none" w:sz="0" w:space="0" w:color="auto"/>
            <w:left w:val="none" w:sz="0" w:space="0" w:color="auto"/>
            <w:bottom w:val="none" w:sz="0" w:space="0" w:color="auto"/>
            <w:right w:val="none" w:sz="0" w:space="0" w:color="auto"/>
          </w:divBdr>
        </w:div>
        <w:div w:id="1877499463">
          <w:marLeft w:val="640"/>
          <w:marRight w:val="0"/>
          <w:marTop w:val="0"/>
          <w:marBottom w:val="0"/>
          <w:divBdr>
            <w:top w:val="none" w:sz="0" w:space="0" w:color="auto"/>
            <w:left w:val="none" w:sz="0" w:space="0" w:color="auto"/>
            <w:bottom w:val="none" w:sz="0" w:space="0" w:color="auto"/>
            <w:right w:val="none" w:sz="0" w:space="0" w:color="auto"/>
          </w:divBdr>
        </w:div>
        <w:div w:id="1153259000">
          <w:marLeft w:val="640"/>
          <w:marRight w:val="0"/>
          <w:marTop w:val="0"/>
          <w:marBottom w:val="0"/>
          <w:divBdr>
            <w:top w:val="none" w:sz="0" w:space="0" w:color="auto"/>
            <w:left w:val="none" w:sz="0" w:space="0" w:color="auto"/>
            <w:bottom w:val="none" w:sz="0" w:space="0" w:color="auto"/>
            <w:right w:val="none" w:sz="0" w:space="0" w:color="auto"/>
          </w:divBdr>
        </w:div>
        <w:div w:id="99959066">
          <w:marLeft w:val="640"/>
          <w:marRight w:val="0"/>
          <w:marTop w:val="0"/>
          <w:marBottom w:val="0"/>
          <w:divBdr>
            <w:top w:val="none" w:sz="0" w:space="0" w:color="auto"/>
            <w:left w:val="none" w:sz="0" w:space="0" w:color="auto"/>
            <w:bottom w:val="none" w:sz="0" w:space="0" w:color="auto"/>
            <w:right w:val="none" w:sz="0" w:space="0" w:color="auto"/>
          </w:divBdr>
        </w:div>
        <w:div w:id="1133522676">
          <w:marLeft w:val="640"/>
          <w:marRight w:val="0"/>
          <w:marTop w:val="0"/>
          <w:marBottom w:val="0"/>
          <w:divBdr>
            <w:top w:val="none" w:sz="0" w:space="0" w:color="auto"/>
            <w:left w:val="none" w:sz="0" w:space="0" w:color="auto"/>
            <w:bottom w:val="none" w:sz="0" w:space="0" w:color="auto"/>
            <w:right w:val="none" w:sz="0" w:space="0" w:color="auto"/>
          </w:divBdr>
        </w:div>
        <w:div w:id="709107808">
          <w:marLeft w:val="640"/>
          <w:marRight w:val="0"/>
          <w:marTop w:val="0"/>
          <w:marBottom w:val="0"/>
          <w:divBdr>
            <w:top w:val="none" w:sz="0" w:space="0" w:color="auto"/>
            <w:left w:val="none" w:sz="0" w:space="0" w:color="auto"/>
            <w:bottom w:val="none" w:sz="0" w:space="0" w:color="auto"/>
            <w:right w:val="none" w:sz="0" w:space="0" w:color="auto"/>
          </w:divBdr>
        </w:div>
        <w:div w:id="344291343">
          <w:marLeft w:val="640"/>
          <w:marRight w:val="0"/>
          <w:marTop w:val="0"/>
          <w:marBottom w:val="0"/>
          <w:divBdr>
            <w:top w:val="none" w:sz="0" w:space="0" w:color="auto"/>
            <w:left w:val="none" w:sz="0" w:space="0" w:color="auto"/>
            <w:bottom w:val="none" w:sz="0" w:space="0" w:color="auto"/>
            <w:right w:val="none" w:sz="0" w:space="0" w:color="auto"/>
          </w:divBdr>
        </w:div>
        <w:div w:id="1499881465">
          <w:marLeft w:val="640"/>
          <w:marRight w:val="0"/>
          <w:marTop w:val="0"/>
          <w:marBottom w:val="0"/>
          <w:divBdr>
            <w:top w:val="none" w:sz="0" w:space="0" w:color="auto"/>
            <w:left w:val="none" w:sz="0" w:space="0" w:color="auto"/>
            <w:bottom w:val="none" w:sz="0" w:space="0" w:color="auto"/>
            <w:right w:val="none" w:sz="0" w:space="0" w:color="auto"/>
          </w:divBdr>
        </w:div>
        <w:div w:id="169637597">
          <w:marLeft w:val="640"/>
          <w:marRight w:val="0"/>
          <w:marTop w:val="0"/>
          <w:marBottom w:val="0"/>
          <w:divBdr>
            <w:top w:val="none" w:sz="0" w:space="0" w:color="auto"/>
            <w:left w:val="none" w:sz="0" w:space="0" w:color="auto"/>
            <w:bottom w:val="none" w:sz="0" w:space="0" w:color="auto"/>
            <w:right w:val="none" w:sz="0" w:space="0" w:color="auto"/>
          </w:divBdr>
        </w:div>
        <w:div w:id="1514420931">
          <w:marLeft w:val="640"/>
          <w:marRight w:val="0"/>
          <w:marTop w:val="0"/>
          <w:marBottom w:val="0"/>
          <w:divBdr>
            <w:top w:val="none" w:sz="0" w:space="0" w:color="auto"/>
            <w:left w:val="none" w:sz="0" w:space="0" w:color="auto"/>
            <w:bottom w:val="none" w:sz="0" w:space="0" w:color="auto"/>
            <w:right w:val="none" w:sz="0" w:space="0" w:color="auto"/>
          </w:divBdr>
        </w:div>
        <w:div w:id="1625501213">
          <w:marLeft w:val="640"/>
          <w:marRight w:val="0"/>
          <w:marTop w:val="0"/>
          <w:marBottom w:val="0"/>
          <w:divBdr>
            <w:top w:val="none" w:sz="0" w:space="0" w:color="auto"/>
            <w:left w:val="none" w:sz="0" w:space="0" w:color="auto"/>
            <w:bottom w:val="none" w:sz="0" w:space="0" w:color="auto"/>
            <w:right w:val="none" w:sz="0" w:space="0" w:color="auto"/>
          </w:divBdr>
        </w:div>
        <w:div w:id="538275068">
          <w:marLeft w:val="640"/>
          <w:marRight w:val="0"/>
          <w:marTop w:val="0"/>
          <w:marBottom w:val="0"/>
          <w:divBdr>
            <w:top w:val="none" w:sz="0" w:space="0" w:color="auto"/>
            <w:left w:val="none" w:sz="0" w:space="0" w:color="auto"/>
            <w:bottom w:val="none" w:sz="0" w:space="0" w:color="auto"/>
            <w:right w:val="none" w:sz="0" w:space="0" w:color="auto"/>
          </w:divBdr>
        </w:div>
        <w:div w:id="546452515">
          <w:marLeft w:val="640"/>
          <w:marRight w:val="0"/>
          <w:marTop w:val="0"/>
          <w:marBottom w:val="0"/>
          <w:divBdr>
            <w:top w:val="none" w:sz="0" w:space="0" w:color="auto"/>
            <w:left w:val="none" w:sz="0" w:space="0" w:color="auto"/>
            <w:bottom w:val="none" w:sz="0" w:space="0" w:color="auto"/>
            <w:right w:val="none" w:sz="0" w:space="0" w:color="auto"/>
          </w:divBdr>
        </w:div>
        <w:div w:id="660155956">
          <w:marLeft w:val="640"/>
          <w:marRight w:val="0"/>
          <w:marTop w:val="0"/>
          <w:marBottom w:val="0"/>
          <w:divBdr>
            <w:top w:val="none" w:sz="0" w:space="0" w:color="auto"/>
            <w:left w:val="none" w:sz="0" w:space="0" w:color="auto"/>
            <w:bottom w:val="none" w:sz="0" w:space="0" w:color="auto"/>
            <w:right w:val="none" w:sz="0" w:space="0" w:color="auto"/>
          </w:divBdr>
        </w:div>
        <w:div w:id="1524243542">
          <w:marLeft w:val="480"/>
          <w:marRight w:val="0"/>
          <w:marTop w:val="0"/>
          <w:marBottom w:val="0"/>
          <w:divBdr>
            <w:top w:val="none" w:sz="0" w:space="0" w:color="auto"/>
            <w:left w:val="none" w:sz="0" w:space="0" w:color="auto"/>
            <w:bottom w:val="none" w:sz="0" w:space="0" w:color="auto"/>
            <w:right w:val="none" w:sz="0" w:space="0" w:color="auto"/>
          </w:divBdr>
        </w:div>
        <w:div w:id="1930235621">
          <w:marLeft w:val="480"/>
          <w:marRight w:val="0"/>
          <w:marTop w:val="0"/>
          <w:marBottom w:val="0"/>
          <w:divBdr>
            <w:top w:val="none" w:sz="0" w:space="0" w:color="auto"/>
            <w:left w:val="none" w:sz="0" w:space="0" w:color="auto"/>
            <w:bottom w:val="none" w:sz="0" w:space="0" w:color="auto"/>
            <w:right w:val="none" w:sz="0" w:space="0" w:color="auto"/>
          </w:divBdr>
        </w:div>
        <w:div w:id="1330139108">
          <w:marLeft w:val="480"/>
          <w:marRight w:val="0"/>
          <w:marTop w:val="0"/>
          <w:marBottom w:val="0"/>
          <w:divBdr>
            <w:top w:val="none" w:sz="0" w:space="0" w:color="auto"/>
            <w:left w:val="none" w:sz="0" w:space="0" w:color="auto"/>
            <w:bottom w:val="none" w:sz="0" w:space="0" w:color="auto"/>
            <w:right w:val="none" w:sz="0" w:space="0" w:color="auto"/>
          </w:divBdr>
        </w:div>
        <w:div w:id="1995138701">
          <w:marLeft w:val="480"/>
          <w:marRight w:val="0"/>
          <w:marTop w:val="0"/>
          <w:marBottom w:val="0"/>
          <w:divBdr>
            <w:top w:val="none" w:sz="0" w:space="0" w:color="auto"/>
            <w:left w:val="none" w:sz="0" w:space="0" w:color="auto"/>
            <w:bottom w:val="none" w:sz="0" w:space="0" w:color="auto"/>
            <w:right w:val="none" w:sz="0" w:space="0" w:color="auto"/>
          </w:divBdr>
        </w:div>
        <w:div w:id="1240141493">
          <w:marLeft w:val="480"/>
          <w:marRight w:val="0"/>
          <w:marTop w:val="0"/>
          <w:marBottom w:val="0"/>
          <w:divBdr>
            <w:top w:val="none" w:sz="0" w:space="0" w:color="auto"/>
            <w:left w:val="none" w:sz="0" w:space="0" w:color="auto"/>
            <w:bottom w:val="none" w:sz="0" w:space="0" w:color="auto"/>
            <w:right w:val="none" w:sz="0" w:space="0" w:color="auto"/>
          </w:divBdr>
        </w:div>
        <w:div w:id="1762068182">
          <w:marLeft w:val="480"/>
          <w:marRight w:val="0"/>
          <w:marTop w:val="0"/>
          <w:marBottom w:val="0"/>
          <w:divBdr>
            <w:top w:val="none" w:sz="0" w:space="0" w:color="auto"/>
            <w:left w:val="none" w:sz="0" w:space="0" w:color="auto"/>
            <w:bottom w:val="none" w:sz="0" w:space="0" w:color="auto"/>
            <w:right w:val="none" w:sz="0" w:space="0" w:color="auto"/>
          </w:divBdr>
        </w:div>
        <w:div w:id="659887274">
          <w:marLeft w:val="480"/>
          <w:marRight w:val="0"/>
          <w:marTop w:val="0"/>
          <w:marBottom w:val="0"/>
          <w:divBdr>
            <w:top w:val="none" w:sz="0" w:space="0" w:color="auto"/>
            <w:left w:val="none" w:sz="0" w:space="0" w:color="auto"/>
            <w:bottom w:val="none" w:sz="0" w:space="0" w:color="auto"/>
            <w:right w:val="none" w:sz="0" w:space="0" w:color="auto"/>
          </w:divBdr>
        </w:div>
        <w:div w:id="2121290644">
          <w:marLeft w:val="480"/>
          <w:marRight w:val="0"/>
          <w:marTop w:val="0"/>
          <w:marBottom w:val="0"/>
          <w:divBdr>
            <w:top w:val="none" w:sz="0" w:space="0" w:color="auto"/>
            <w:left w:val="none" w:sz="0" w:space="0" w:color="auto"/>
            <w:bottom w:val="none" w:sz="0" w:space="0" w:color="auto"/>
            <w:right w:val="none" w:sz="0" w:space="0" w:color="auto"/>
          </w:divBdr>
        </w:div>
        <w:div w:id="673191573">
          <w:marLeft w:val="480"/>
          <w:marRight w:val="0"/>
          <w:marTop w:val="0"/>
          <w:marBottom w:val="0"/>
          <w:divBdr>
            <w:top w:val="none" w:sz="0" w:space="0" w:color="auto"/>
            <w:left w:val="none" w:sz="0" w:space="0" w:color="auto"/>
            <w:bottom w:val="none" w:sz="0" w:space="0" w:color="auto"/>
            <w:right w:val="none" w:sz="0" w:space="0" w:color="auto"/>
          </w:divBdr>
        </w:div>
        <w:div w:id="537622387">
          <w:marLeft w:val="480"/>
          <w:marRight w:val="0"/>
          <w:marTop w:val="0"/>
          <w:marBottom w:val="0"/>
          <w:divBdr>
            <w:top w:val="none" w:sz="0" w:space="0" w:color="auto"/>
            <w:left w:val="none" w:sz="0" w:space="0" w:color="auto"/>
            <w:bottom w:val="none" w:sz="0" w:space="0" w:color="auto"/>
            <w:right w:val="none" w:sz="0" w:space="0" w:color="auto"/>
          </w:divBdr>
        </w:div>
        <w:div w:id="153883594">
          <w:marLeft w:val="480"/>
          <w:marRight w:val="0"/>
          <w:marTop w:val="0"/>
          <w:marBottom w:val="0"/>
          <w:divBdr>
            <w:top w:val="none" w:sz="0" w:space="0" w:color="auto"/>
            <w:left w:val="none" w:sz="0" w:space="0" w:color="auto"/>
            <w:bottom w:val="none" w:sz="0" w:space="0" w:color="auto"/>
            <w:right w:val="none" w:sz="0" w:space="0" w:color="auto"/>
          </w:divBdr>
        </w:div>
        <w:div w:id="824316843">
          <w:marLeft w:val="480"/>
          <w:marRight w:val="0"/>
          <w:marTop w:val="0"/>
          <w:marBottom w:val="0"/>
          <w:divBdr>
            <w:top w:val="none" w:sz="0" w:space="0" w:color="auto"/>
            <w:left w:val="none" w:sz="0" w:space="0" w:color="auto"/>
            <w:bottom w:val="none" w:sz="0" w:space="0" w:color="auto"/>
            <w:right w:val="none" w:sz="0" w:space="0" w:color="auto"/>
          </w:divBdr>
        </w:div>
        <w:div w:id="2017536988">
          <w:marLeft w:val="480"/>
          <w:marRight w:val="0"/>
          <w:marTop w:val="0"/>
          <w:marBottom w:val="0"/>
          <w:divBdr>
            <w:top w:val="none" w:sz="0" w:space="0" w:color="auto"/>
            <w:left w:val="none" w:sz="0" w:space="0" w:color="auto"/>
            <w:bottom w:val="none" w:sz="0" w:space="0" w:color="auto"/>
            <w:right w:val="none" w:sz="0" w:space="0" w:color="auto"/>
          </w:divBdr>
        </w:div>
        <w:div w:id="1441490030">
          <w:marLeft w:val="480"/>
          <w:marRight w:val="0"/>
          <w:marTop w:val="0"/>
          <w:marBottom w:val="0"/>
          <w:divBdr>
            <w:top w:val="none" w:sz="0" w:space="0" w:color="auto"/>
            <w:left w:val="none" w:sz="0" w:space="0" w:color="auto"/>
            <w:bottom w:val="none" w:sz="0" w:space="0" w:color="auto"/>
            <w:right w:val="none" w:sz="0" w:space="0" w:color="auto"/>
          </w:divBdr>
        </w:div>
        <w:div w:id="65304401">
          <w:marLeft w:val="480"/>
          <w:marRight w:val="0"/>
          <w:marTop w:val="0"/>
          <w:marBottom w:val="0"/>
          <w:divBdr>
            <w:top w:val="none" w:sz="0" w:space="0" w:color="auto"/>
            <w:left w:val="none" w:sz="0" w:space="0" w:color="auto"/>
            <w:bottom w:val="none" w:sz="0" w:space="0" w:color="auto"/>
            <w:right w:val="none" w:sz="0" w:space="0" w:color="auto"/>
          </w:divBdr>
        </w:div>
        <w:div w:id="752896951">
          <w:marLeft w:val="480"/>
          <w:marRight w:val="0"/>
          <w:marTop w:val="0"/>
          <w:marBottom w:val="0"/>
          <w:divBdr>
            <w:top w:val="none" w:sz="0" w:space="0" w:color="auto"/>
            <w:left w:val="none" w:sz="0" w:space="0" w:color="auto"/>
            <w:bottom w:val="none" w:sz="0" w:space="0" w:color="auto"/>
            <w:right w:val="none" w:sz="0" w:space="0" w:color="auto"/>
          </w:divBdr>
        </w:div>
        <w:div w:id="2082368192">
          <w:marLeft w:val="480"/>
          <w:marRight w:val="0"/>
          <w:marTop w:val="0"/>
          <w:marBottom w:val="0"/>
          <w:divBdr>
            <w:top w:val="none" w:sz="0" w:space="0" w:color="auto"/>
            <w:left w:val="none" w:sz="0" w:space="0" w:color="auto"/>
            <w:bottom w:val="none" w:sz="0" w:space="0" w:color="auto"/>
            <w:right w:val="none" w:sz="0" w:space="0" w:color="auto"/>
          </w:divBdr>
        </w:div>
        <w:div w:id="1225607490">
          <w:marLeft w:val="480"/>
          <w:marRight w:val="0"/>
          <w:marTop w:val="0"/>
          <w:marBottom w:val="0"/>
          <w:divBdr>
            <w:top w:val="none" w:sz="0" w:space="0" w:color="auto"/>
            <w:left w:val="none" w:sz="0" w:space="0" w:color="auto"/>
            <w:bottom w:val="none" w:sz="0" w:space="0" w:color="auto"/>
            <w:right w:val="none" w:sz="0" w:space="0" w:color="auto"/>
          </w:divBdr>
        </w:div>
        <w:div w:id="220287662">
          <w:marLeft w:val="480"/>
          <w:marRight w:val="0"/>
          <w:marTop w:val="0"/>
          <w:marBottom w:val="0"/>
          <w:divBdr>
            <w:top w:val="none" w:sz="0" w:space="0" w:color="auto"/>
            <w:left w:val="none" w:sz="0" w:space="0" w:color="auto"/>
            <w:bottom w:val="none" w:sz="0" w:space="0" w:color="auto"/>
            <w:right w:val="none" w:sz="0" w:space="0" w:color="auto"/>
          </w:divBdr>
        </w:div>
        <w:div w:id="1678389724">
          <w:marLeft w:val="480"/>
          <w:marRight w:val="0"/>
          <w:marTop w:val="0"/>
          <w:marBottom w:val="0"/>
          <w:divBdr>
            <w:top w:val="none" w:sz="0" w:space="0" w:color="auto"/>
            <w:left w:val="none" w:sz="0" w:space="0" w:color="auto"/>
            <w:bottom w:val="none" w:sz="0" w:space="0" w:color="auto"/>
            <w:right w:val="none" w:sz="0" w:space="0" w:color="auto"/>
          </w:divBdr>
        </w:div>
        <w:div w:id="350254904">
          <w:marLeft w:val="480"/>
          <w:marRight w:val="0"/>
          <w:marTop w:val="0"/>
          <w:marBottom w:val="0"/>
          <w:divBdr>
            <w:top w:val="none" w:sz="0" w:space="0" w:color="auto"/>
            <w:left w:val="none" w:sz="0" w:space="0" w:color="auto"/>
            <w:bottom w:val="none" w:sz="0" w:space="0" w:color="auto"/>
            <w:right w:val="none" w:sz="0" w:space="0" w:color="auto"/>
          </w:divBdr>
        </w:div>
        <w:div w:id="1286547077">
          <w:marLeft w:val="480"/>
          <w:marRight w:val="0"/>
          <w:marTop w:val="0"/>
          <w:marBottom w:val="0"/>
          <w:divBdr>
            <w:top w:val="none" w:sz="0" w:space="0" w:color="auto"/>
            <w:left w:val="none" w:sz="0" w:space="0" w:color="auto"/>
            <w:bottom w:val="none" w:sz="0" w:space="0" w:color="auto"/>
            <w:right w:val="none" w:sz="0" w:space="0" w:color="auto"/>
          </w:divBdr>
        </w:div>
        <w:div w:id="676154063">
          <w:marLeft w:val="480"/>
          <w:marRight w:val="0"/>
          <w:marTop w:val="0"/>
          <w:marBottom w:val="0"/>
          <w:divBdr>
            <w:top w:val="none" w:sz="0" w:space="0" w:color="auto"/>
            <w:left w:val="none" w:sz="0" w:space="0" w:color="auto"/>
            <w:bottom w:val="none" w:sz="0" w:space="0" w:color="auto"/>
            <w:right w:val="none" w:sz="0" w:space="0" w:color="auto"/>
          </w:divBdr>
        </w:div>
        <w:div w:id="279535790">
          <w:marLeft w:val="480"/>
          <w:marRight w:val="0"/>
          <w:marTop w:val="0"/>
          <w:marBottom w:val="0"/>
          <w:divBdr>
            <w:top w:val="none" w:sz="0" w:space="0" w:color="auto"/>
            <w:left w:val="none" w:sz="0" w:space="0" w:color="auto"/>
            <w:bottom w:val="none" w:sz="0" w:space="0" w:color="auto"/>
            <w:right w:val="none" w:sz="0" w:space="0" w:color="auto"/>
          </w:divBdr>
        </w:div>
        <w:div w:id="1215656270">
          <w:marLeft w:val="480"/>
          <w:marRight w:val="0"/>
          <w:marTop w:val="0"/>
          <w:marBottom w:val="0"/>
          <w:divBdr>
            <w:top w:val="none" w:sz="0" w:space="0" w:color="auto"/>
            <w:left w:val="none" w:sz="0" w:space="0" w:color="auto"/>
            <w:bottom w:val="none" w:sz="0" w:space="0" w:color="auto"/>
            <w:right w:val="none" w:sz="0" w:space="0" w:color="auto"/>
          </w:divBdr>
        </w:div>
        <w:div w:id="864055892">
          <w:marLeft w:val="480"/>
          <w:marRight w:val="0"/>
          <w:marTop w:val="0"/>
          <w:marBottom w:val="0"/>
          <w:divBdr>
            <w:top w:val="none" w:sz="0" w:space="0" w:color="auto"/>
            <w:left w:val="none" w:sz="0" w:space="0" w:color="auto"/>
            <w:bottom w:val="none" w:sz="0" w:space="0" w:color="auto"/>
            <w:right w:val="none" w:sz="0" w:space="0" w:color="auto"/>
          </w:divBdr>
        </w:div>
        <w:div w:id="912667123">
          <w:marLeft w:val="480"/>
          <w:marRight w:val="0"/>
          <w:marTop w:val="0"/>
          <w:marBottom w:val="0"/>
          <w:divBdr>
            <w:top w:val="none" w:sz="0" w:space="0" w:color="auto"/>
            <w:left w:val="none" w:sz="0" w:space="0" w:color="auto"/>
            <w:bottom w:val="none" w:sz="0" w:space="0" w:color="auto"/>
            <w:right w:val="none" w:sz="0" w:space="0" w:color="auto"/>
          </w:divBdr>
        </w:div>
        <w:div w:id="1602297887">
          <w:marLeft w:val="480"/>
          <w:marRight w:val="0"/>
          <w:marTop w:val="0"/>
          <w:marBottom w:val="0"/>
          <w:divBdr>
            <w:top w:val="none" w:sz="0" w:space="0" w:color="auto"/>
            <w:left w:val="none" w:sz="0" w:space="0" w:color="auto"/>
            <w:bottom w:val="none" w:sz="0" w:space="0" w:color="auto"/>
            <w:right w:val="none" w:sz="0" w:space="0" w:color="auto"/>
          </w:divBdr>
        </w:div>
        <w:div w:id="820658302">
          <w:marLeft w:val="480"/>
          <w:marRight w:val="0"/>
          <w:marTop w:val="0"/>
          <w:marBottom w:val="0"/>
          <w:divBdr>
            <w:top w:val="none" w:sz="0" w:space="0" w:color="auto"/>
            <w:left w:val="none" w:sz="0" w:space="0" w:color="auto"/>
            <w:bottom w:val="none" w:sz="0" w:space="0" w:color="auto"/>
            <w:right w:val="none" w:sz="0" w:space="0" w:color="auto"/>
          </w:divBdr>
        </w:div>
        <w:div w:id="10911273">
          <w:marLeft w:val="480"/>
          <w:marRight w:val="0"/>
          <w:marTop w:val="0"/>
          <w:marBottom w:val="0"/>
          <w:divBdr>
            <w:top w:val="none" w:sz="0" w:space="0" w:color="auto"/>
            <w:left w:val="none" w:sz="0" w:space="0" w:color="auto"/>
            <w:bottom w:val="none" w:sz="0" w:space="0" w:color="auto"/>
            <w:right w:val="none" w:sz="0" w:space="0" w:color="auto"/>
          </w:divBdr>
        </w:div>
        <w:div w:id="2025132784">
          <w:marLeft w:val="480"/>
          <w:marRight w:val="0"/>
          <w:marTop w:val="0"/>
          <w:marBottom w:val="0"/>
          <w:divBdr>
            <w:top w:val="none" w:sz="0" w:space="0" w:color="auto"/>
            <w:left w:val="none" w:sz="0" w:space="0" w:color="auto"/>
            <w:bottom w:val="none" w:sz="0" w:space="0" w:color="auto"/>
            <w:right w:val="none" w:sz="0" w:space="0" w:color="auto"/>
          </w:divBdr>
        </w:div>
        <w:div w:id="259141657">
          <w:marLeft w:val="480"/>
          <w:marRight w:val="0"/>
          <w:marTop w:val="0"/>
          <w:marBottom w:val="0"/>
          <w:divBdr>
            <w:top w:val="none" w:sz="0" w:space="0" w:color="auto"/>
            <w:left w:val="none" w:sz="0" w:space="0" w:color="auto"/>
            <w:bottom w:val="none" w:sz="0" w:space="0" w:color="auto"/>
            <w:right w:val="none" w:sz="0" w:space="0" w:color="auto"/>
          </w:divBdr>
        </w:div>
        <w:div w:id="1166360990">
          <w:marLeft w:val="480"/>
          <w:marRight w:val="0"/>
          <w:marTop w:val="0"/>
          <w:marBottom w:val="0"/>
          <w:divBdr>
            <w:top w:val="none" w:sz="0" w:space="0" w:color="auto"/>
            <w:left w:val="none" w:sz="0" w:space="0" w:color="auto"/>
            <w:bottom w:val="none" w:sz="0" w:space="0" w:color="auto"/>
            <w:right w:val="none" w:sz="0" w:space="0" w:color="auto"/>
          </w:divBdr>
        </w:div>
        <w:div w:id="295766457">
          <w:marLeft w:val="480"/>
          <w:marRight w:val="0"/>
          <w:marTop w:val="0"/>
          <w:marBottom w:val="0"/>
          <w:divBdr>
            <w:top w:val="none" w:sz="0" w:space="0" w:color="auto"/>
            <w:left w:val="none" w:sz="0" w:space="0" w:color="auto"/>
            <w:bottom w:val="none" w:sz="0" w:space="0" w:color="auto"/>
            <w:right w:val="none" w:sz="0" w:space="0" w:color="auto"/>
          </w:divBdr>
        </w:div>
        <w:div w:id="341124096">
          <w:marLeft w:val="480"/>
          <w:marRight w:val="0"/>
          <w:marTop w:val="0"/>
          <w:marBottom w:val="0"/>
          <w:divBdr>
            <w:top w:val="none" w:sz="0" w:space="0" w:color="auto"/>
            <w:left w:val="none" w:sz="0" w:space="0" w:color="auto"/>
            <w:bottom w:val="none" w:sz="0" w:space="0" w:color="auto"/>
            <w:right w:val="none" w:sz="0" w:space="0" w:color="auto"/>
          </w:divBdr>
        </w:div>
        <w:div w:id="990602132">
          <w:marLeft w:val="480"/>
          <w:marRight w:val="0"/>
          <w:marTop w:val="0"/>
          <w:marBottom w:val="0"/>
          <w:divBdr>
            <w:top w:val="none" w:sz="0" w:space="0" w:color="auto"/>
            <w:left w:val="none" w:sz="0" w:space="0" w:color="auto"/>
            <w:bottom w:val="none" w:sz="0" w:space="0" w:color="auto"/>
            <w:right w:val="none" w:sz="0" w:space="0" w:color="auto"/>
          </w:divBdr>
        </w:div>
        <w:div w:id="638457266">
          <w:marLeft w:val="480"/>
          <w:marRight w:val="0"/>
          <w:marTop w:val="0"/>
          <w:marBottom w:val="0"/>
          <w:divBdr>
            <w:top w:val="none" w:sz="0" w:space="0" w:color="auto"/>
            <w:left w:val="none" w:sz="0" w:space="0" w:color="auto"/>
            <w:bottom w:val="none" w:sz="0" w:space="0" w:color="auto"/>
            <w:right w:val="none" w:sz="0" w:space="0" w:color="auto"/>
          </w:divBdr>
        </w:div>
        <w:div w:id="639383161">
          <w:marLeft w:val="480"/>
          <w:marRight w:val="0"/>
          <w:marTop w:val="0"/>
          <w:marBottom w:val="0"/>
          <w:divBdr>
            <w:top w:val="none" w:sz="0" w:space="0" w:color="auto"/>
            <w:left w:val="none" w:sz="0" w:space="0" w:color="auto"/>
            <w:bottom w:val="none" w:sz="0" w:space="0" w:color="auto"/>
            <w:right w:val="none" w:sz="0" w:space="0" w:color="auto"/>
          </w:divBdr>
        </w:div>
        <w:div w:id="1343320150">
          <w:marLeft w:val="480"/>
          <w:marRight w:val="0"/>
          <w:marTop w:val="0"/>
          <w:marBottom w:val="0"/>
          <w:divBdr>
            <w:top w:val="none" w:sz="0" w:space="0" w:color="auto"/>
            <w:left w:val="none" w:sz="0" w:space="0" w:color="auto"/>
            <w:bottom w:val="none" w:sz="0" w:space="0" w:color="auto"/>
            <w:right w:val="none" w:sz="0" w:space="0" w:color="auto"/>
          </w:divBdr>
        </w:div>
        <w:div w:id="1953633915">
          <w:marLeft w:val="480"/>
          <w:marRight w:val="0"/>
          <w:marTop w:val="0"/>
          <w:marBottom w:val="0"/>
          <w:divBdr>
            <w:top w:val="none" w:sz="0" w:space="0" w:color="auto"/>
            <w:left w:val="none" w:sz="0" w:space="0" w:color="auto"/>
            <w:bottom w:val="none" w:sz="0" w:space="0" w:color="auto"/>
            <w:right w:val="none" w:sz="0" w:space="0" w:color="auto"/>
          </w:divBdr>
        </w:div>
        <w:div w:id="312031056">
          <w:marLeft w:val="480"/>
          <w:marRight w:val="0"/>
          <w:marTop w:val="0"/>
          <w:marBottom w:val="0"/>
          <w:divBdr>
            <w:top w:val="none" w:sz="0" w:space="0" w:color="auto"/>
            <w:left w:val="none" w:sz="0" w:space="0" w:color="auto"/>
            <w:bottom w:val="none" w:sz="0" w:space="0" w:color="auto"/>
            <w:right w:val="none" w:sz="0" w:space="0" w:color="auto"/>
          </w:divBdr>
        </w:div>
        <w:div w:id="662393849">
          <w:marLeft w:val="480"/>
          <w:marRight w:val="0"/>
          <w:marTop w:val="0"/>
          <w:marBottom w:val="0"/>
          <w:divBdr>
            <w:top w:val="none" w:sz="0" w:space="0" w:color="auto"/>
            <w:left w:val="none" w:sz="0" w:space="0" w:color="auto"/>
            <w:bottom w:val="none" w:sz="0" w:space="0" w:color="auto"/>
            <w:right w:val="none" w:sz="0" w:space="0" w:color="auto"/>
          </w:divBdr>
        </w:div>
        <w:div w:id="1471819940">
          <w:marLeft w:val="480"/>
          <w:marRight w:val="0"/>
          <w:marTop w:val="0"/>
          <w:marBottom w:val="0"/>
          <w:divBdr>
            <w:top w:val="none" w:sz="0" w:space="0" w:color="auto"/>
            <w:left w:val="none" w:sz="0" w:space="0" w:color="auto"/>
            <w:bottom w:val="none" w:sz="0" w:space="0" w:color="auto"/>
            <w:right w:val="none" w:sz="0" w:space="0" w:color="auto"/>
          </w:divBdr>
        </w:div>
        <w:div w:id="422995170">
          <w:marLeft w:val="480"/>
          <w:marRight w:val="0"/>
          <w:marTop w:val="0"/>
          <w:marBottom w:val="0"/>
          <w:divBdr>
            <w:top w:val="none" w:sz="0" w:space="0" w:color="auto"/>
            <w:left w:val="none" w:sz="0" w:space="0" w:color="auto"/>
            <w:bottom w:val="none" w:sz="0" w:space="0" w:color="auto"/>
            <w:right w:val="none" w:sz="0" w:space="0" w:color="auto"/>
          </w:divBdr>
        </w:div>
        <w:div w:id="891384235">
          <w:marLeft w:val="480"/>
          <w:marRight w:val="0"/>
          <w:marTop w:val="0"/>
          <w:marBottom w:val="0"/>
          <w:divBdr>
            <w:top w:val="none" w:sz="0" w:space="0" w:color="auto"/>
            <w:left w:val="none" w:sz="0" w:space="0" w:color="auto"/>
            <w:bottom w:val="none" w:sz="0" w:space="0" w:color="auto"/>
            <w:right w:val="none" w:sz="0" w:space="0" w:color="auto"/>
          </w:divBdr>
        </w:div>
        <w:div w:id="144669628">
          <w:marLeft w:val="480"/>
          <w:marRight w:val="0"/>
          <w:marTop w:val="0"/>
          <w:marBottom w:val="0"/>
          <w:divBdr>
            <w:top w:val="none" w:sz="0" w:space="0" w:color="auto"/>
            <w:left w:val="none" w:sz="0" w:space="0" w:color="auto"/>
            <w:bottom w:val="none" w:sz="0" w:space="0" w:color="auto"/>
            <w:right w:val="none" w:sz="0" w:space="0" w:color="auto"/>
          </w:divBdr>
        </w:div>
        <w:div w:id="947616039">
          <w:marLeft w:val="480"/>
          <w:marRight w:val="0"/>
          <w:marTop w:val="0"/>
          <w:marBottom w:val="0"/>
          <w:divBdr>
            <w:top w:val="none" w:sz="0" w:space="0" w:color="auto"/>
            <w:left w:val="none" w:sz="0" w:space="0" w:color="auto"/>
            <w:bottom w:val="none" w:sz="0" w:space="0" w:color="auto"/>
            <w:right w:val="none" w:sz="0" w:space="0" w:color="auto"/>
          </w:divBdr>
        </w:div>
        <w:div w:id="2125492541">
          <w:marLeft w:val="480"/>
          <w:marRight w:val="0"/>
          <w:marTop w:val="0"/>
          <w:marBottom w:val="0"/>
          <w:divBdr>
            <w:top w:val="none" w:sz="0" w:space="0" w:color="auto"/>
            <w:left w:val="none" w:sz="0" w:space="0" w:color="auto"/>
            <w:bottom w:val="none" w:sz="0" w:space="0" w:color="auto"/>
            <w:right w:val="none" w:sz="0" w:space="0" w:color="auto"/>
          </w:divBdr>
        </w:div>
        <w:div w:id="382212535">
          <w:marLeft w:val="480"/>
          <w:marRight w:val="0"/>
          <w:marTop w:val="0"/>
          <w:marBottom w:val="0"/>
          <w:divBdr>
            <w:top w:val="none" w:sz="0" w:space="0" w:color="auto"/>
            <w:left w:val="none" w:sz="0" w:space="0" w:color="auto"/>
            <w:bottom w:val="none" w:sz="0" w:space="0" w:color="auto"/>
            <w:right w:val="none" w:sz="0" w:space="0" w:color="auto"/>
          </w:divBdr>
        </w:div>
        <w:div w:id="1588491080">
          <w:marLeft w:val="480"/>
          <w:marRight w:val="0"/>
          <w:marTop w:val="0"/>
          <w:marBottom w:val="0"/>
          <w:divBdr>
            <w:top w:val="none" w:sz="0" w:space="0" w:color="auto"/>
            <w:left w:val="none" w:sz="0" w:space="0" w:color="auto"/>
            <w:bottom w:val="none" w:sz="0" w:space="0" w:color="auto"/>
            <w:right w:val="none" w:sz="0" w:space="0" w:color="auto"/>
          </w:divBdr>
        </w:div>
        <w:div w:id="754401731">
          <w:marLeft w:val="480"/>
          <w:marRight w:val="0"/>
          <w:marTop w:val="0"/>
          <w:marBottom w:val="0"/>
          <w:divBdr>
            <w:top w:val="none" w:sz="0" w:space="0" w:color="auto"/>
            <w:left w:val="none" w:sz="0" w:space="0" w:color="auto"/>
            <w:bottom w:val="none" w:sz="0" w:space="0" w:color="auto"/>
            <w:right w:val="none" w:sz="0" w:space="0" w:color="auto"/>
          </w:divBdr>
        </w:div>
        <w:div w:id="1540587325">
          <w:marLeft w:val="480"/>
          <w:marRight w:val="0"/>
          <w:marTop w:val="0"/>
          <w:marBottom w:val="0"/>
          <w:divBdr>
            <w:top w:val="none" w:sz="0" w:space="0" w:color="auto"/>
            <w:left w:val="none" w:sz="0" w:space="0" w:color="auto"/>
            <w:bottom w:val="none" w:sz="0" w:space="0" w:color="auto"/>
            <w:right w:val="none" w:sz="0" w:space="0" w:color="auto"/>
          </w:divBdr>
        </w:div>
        <w:div w:id="256257818">
          <w:marLeft w:val="480"/>
          <w:marRight w:val="0"/>
          <w:marTop w:val="0"/>
          <w:marBottom w:val="0"/>
          <w:divBdr>
            <w:top w:val="none" w:sz="0" w:space="0" w:color="auto"/>
            <w:left w:val="none" w:sz="0" w:space="0" w:color="auto"/>
            <w:bottom w:val="none" w:sz="0" w:space="0" w:color="auto"/>
            <w:right w:val="none" w:sz="0" w:space="0" w:color="auto"/>
          </w:divBdr>
        </w:div>
        <w:div w:id="1577787032">
          <w:marLeft w:val="480"/>
          <w:marRight w:val="0"/>
          <w:marTop w:val="0"/>
          <w:marBottom w:val="0"/>
          <w:divBdr>
            <w:top w:val="none" w:sz="0" w:space="0" w:color="auto"/>
            <w:left w:val="none" w:sz="0" w:space="0" w:color="auto"/>
            <w:bottom w:val="none" w:sz="0" w:space="0" w:color="auto"/>
            <w:right w:val="none" w:sz="0" w:space="0" w:color="auto"/>
          </w:divBdr>
        </w:div>
        <w:div w:id="1029259203">
          <w:marLeft w:val="480"/>
          <w:marRight w:val="0"/>
          <w:marTop w:val="0"/>
          <w:marBottom w:val="0"/>
          <w:divBdr>
            <w:top w:val="none" w:sz="0" w:space="0" w:color="auto"/>
            <w:left w:val="none" w:sz="0" w:space="0" w:color="auto"/>
            <w:bottom w:val="none" w:sz="0" w:space="0" w:color="auto"/>
            <w:right w:val="none" w:sz="0" w:space="0" w:color="auto"/>
          </w:divBdr>
        </w:div>
        <w:div w:id="1273896846">
          <w:marLeft w:val="480"/>
          <w:marRight w:val="0"/>
          <w:marTop w:val="0"/>
          <w:marBottom w:val="0"/>
          <w:divBdr>
            <w:top w:val="none" w:sz="0" w:space="0" w:color="auto"/>
            <w:left w:val="none" w:sz="0" w:space="0" w:color="auto"/>
            <w:bottom w:val="none" w:sz="0" w:space="0" w:color="auto"/>
            <w:right w:val="none" w:sz="0" w:space="0" w:color="auto"/>
          </w:divBdr>
        </w:div>
        <w:div w:id="813912604">
          <w:marLeft w:val="480"/>
          <w:marRight w:val="0"/>
          <w:marTop w:val="0"/>
          <w:marBottom w:val="0"/>
          <w:divBdr>
            <w:top w:val="none" w:sz="0" w:space="0" w:color="auto"/>
            <w:left w:val="none" w:sz="0" w:space="0" w:color="auto"/>
            <w:bottom w:val="none" w:sz="0" w:space="0" w:color="auto"/>
            <w:right w:val="none" w:sz="0" w:space="0" w:color="auto"/>
          </w:divBdr>
        </w:div>
        <w:div w:id="1118909872">
          <w:marLeft w:val="480"/>
          <w:marRight w:val="0"/>
          <w:marTop w:val="0"/>
          <w:marBottom w:val="0"/>
          <w:divBdr>
            <w:top w:val="none" w:sz="0" w:space="0" w:color="auto"/>
            <w:left w:val="none" w:sz="0" w:space="0" w:color="auto"/>
            <w:bottom w:val="none" w:sz="0" w:space="0" w:color="auto"/>
            <w:right w:val="none" w:sz="0" w:space="0" w:color="auto"/>
          </w:divBdr>
        </w:div>
        <w:div w:id="61373584">
          <w:marLeft w:val="480"/>
          <w:marRight w:val="0"/>
          <w:marTop w:val="0"/>
          <w:marBottom w:val="0"/>
          <w:divBdr>
            <w:top w:val="none" w:sz="0" w:space="0" w:color="auto"/>
            <w:left w:val="none" w:sz="0" w:space="0" w:color="auto"/>
            <w:bottom w:val="none" w:sz="0" w:space="0" w:color="auto"/>
            <w:right w:val="none" w:sz="0" w:space="0" w:color="auto"/>
          </w:divBdr>
        </w:div>
        <w:div w:id="477304643">
          <w:marLeft w:val="480"/>
          <w:marRight w:val="0"/>
          <w:marTop w:val="0"/>
          <w:marBottom w:val="0"/>
          <w:divBdr>
            <w:top w:val="none" w:sz="0" w:space="0" w:color="auto"/>
            <w:left w:val="none" w:sz="0" w:space="0" w:color="auto"/>
            <w:bottom w:val="none" w:sz="0" w:space="0" w:color="auto"/>
            <w:right w:val="none" w:sz="0" w:space="0" w:color="auto"/>
          </w:divBdr>
        </w:div>
        <w:div w:id="1855612599">
          <w:marLeft w:val="480"/>
          <w:marRight w:val="0"/>
          <w:marTop w:val="0"/>
          <w:marBottom w:val="0"/>
          <w:divBdr>
            <w:top w:val="none" w:sz="0" w:space="0" w:color="auto"/>
            <w:left w:val="none" w:sz="0" w:space="0" w:color="auto"/>
            <w:bottom w:val="none" w:sz="0" w:space="0" w:color="auto"/>
            <w:right w:val="none" w:sz="0" w:space="0" w:color="auto"/>
          </w:divBdr>
        </w:div>
        <w:div w:id="1479229586">
          <w:marLeft w:val="480"/>
          <w:marRight w:val="0"/>
          <w:marTop w:val="0"/>
          <w:marBottom w:val="0"/>
          <w:divBdr>
            <w:top w:val="none" w:sz="0" w:space="0" w:color="auto"/>
            <w:left w:val="none" w:sz="0" w:space="0" w:color="auto"/>
            <w:bottom w:val="none" w:sz="0" w:space="0" w:color="auto"/>
            <w:right w:val="none" w:sz="0" w:space="0" w:color="auto"/>
          </w:divBdr>
        </w:div>
        <w:div w:id="2096051996">
          <w:marLeft w:val="480"/>
          <w:marRight w:val="0"/>
          <w:marTop w:val="0"/>
          <w:marBottom w:val="0"/>
          <w:divBdr>
            <w:top w:val="none" w:sz="0" w:space="0" w:color="auto"/>
            <w:left w:val="none" w:sz="0" w:space="0" w:color="auto"/>
            <w:bottom w:val="none" w:sz="0" w:space="0" w:color="auto"/>
            <w:right w:val="none" w:sz="0" w:space="0" w:color="auto"/>
          </w:divBdr>
        </w:div>
        <w:div w:id="98910335">
          <w:marLeft w:val="480"/>
          <w:marRight w:val="0"/>
          <w:marTop w:val="0"/>
          <w:marBottom w:val="0"/>
          <w:divBdr>
            <w:top w:val="none" w:sz="0" w:space="0" w:color="auto"/>
            <w:left w:val="none" w:sz="0" w:space="0" w:color="auto"/>
            <w:bottom w:val="none" w:sz="0" w:space="0" w:color="auto"/>
            <w:right w:val="none" w:sz="0" w:space="0" w:color="auto"/>
          </w:divBdr>
        </w:div>
        <w:div w:id="1316109157">
          <w:marLeft w:val="480"/>
          <w:marRight w:val="0"/>
          <w:marTop w:val="0"/>
          <w:marBottom w:val="0"/>
          <w:divBdr>
            <w:top w:val="none" w:sz="0" w:space="0" w:color="auto"/>
            <w:left w:val="none" w:sz="0" w:space="0" w:color="auto"/>
            <w:bottom w:val="none" w:sz="0" w:space="0" w:color="auto"/>
            <w:right w:val="none" w:sz="0" w:space="0" w:color="auto"/>
          </w:divBdr>
        </w:div>
        <w:div w:id="1316640990">
          <w:marLeft w:val="480"/>
          <w:marRight w:val="0"/>
          <w:marTop w:val="0"/>
          <w:marBottom w:val="0"/>
          <w:divBdr>
            <w:top w:val="none" w:sz="0" w:space="0" w:color="auto"/>
            <w:left w:val="none" w:sz="0" w:space="0" w:color="auto"/>
            <w:bottom w:val="none" w:sz="0" w:space="0" w:color="auto"/>
            <w:right w:val="none" w:sz="0" w:space="0" w:color="auto"/>
          </w:divBdr>
        </w:div>
        <w:div w:id="1002581873">
          <w:marLeft w:val="480"/>
          <w:marRight w:val="0"/>
          <w:marTop w:val="0"/>
          <w:marBottom w:val="0"/>
          <w:divBdr>
            <w:top w:val="none" w:sz="0" w:space="0" w:color="auto"/>
            <w:left w:val="none" w:sz="0" w:space="0" w:color="auto"/>
            <w:bottom w:val="none" w:sz="0" w:space="0" w:color="auto"/>
            <w:right w:val="none" w:sz="0" w:space="0" w:color="auto"/>
          </w:divBdr>
        </w:div>
        <w:div w:id="918366862">
          <w:marLeft w:val="480"/>
          <w:marRight w:val="0"/>
          <w:marTop w:val="0"/>
          <w:marBottom w:val="0"/>
          <w:divBdr>
            <w:top w:val="none" w:sz="0" w:space="0" w:color="auto"/>
            <w:left w:val="none" w:sz="0" w:space="0" w:color="auto"/>
            <w:bottom w:val="none" w:sz="0" w:space="0" w:color="auto"/>
            <w:right w:val="none" w:sz="0" w:space="0" w:color="auto"/>
          </w:divBdr>
        </w:div>
        <w:div w:id="771166668">
          <w:marLeft w:val="480"/>
          <w:marRight w:val="0"/>
          <w:marTop w:val="0"/>
          <w:marBottom w:val="0"/>
          <w:divBdr>
            <w:top w:val="none" w:sz="0" w:space="0" w:color="auto"/>
            <w:left w:val="none" w:sz="0" w:space="0" w:color="auto"/>
            <w:bottom w:val="none" w:sz="0" w:space="0" w:color="auto"/>
            <w:right w:val="none" w:sz="0" w:space="0" w:color="auto"/>
          </w:divBdr>
        </w:div>
        <w:div w:id="1363746495">
          <w:marLeft w:val="480"/>
          <w:marRight w:val="0"/>
          <w:marTop w:val="0"/>
          <w:marBottom w:val="0"/>
          <w:divBdr>
            <w:top w:val="none" w:sz="0" w:space="0" w:color="auto"/>
            <w:left w:val="none" w:sz="0" w:space="0" w:color="auto"/>
            <w:bottom w:val="none" w:sz="0" w:space="0" w:color="auto"/>
            <w:right w:val="none" w:sz="0" w:space="0" w:color="auto"/>
          </w:divBdr>
        </w:div>
        <w:div w:id="1248878968">
          <w:marLeft w:val="480"/>
          <w:marRight w:val="0"/>
          <w:marTop w:val="0"/>
          <w:marBottom w:val="0"/>
          <w:divBdr>
            <w:top w:val="none" w:sz="0" w:space="0" w:color="auto"/>
            <w:left w:val="none" w:sz="0" w:space="0" w:color="auto"/>
            <w:bottom w:val="none" w:sz="0" w:space="0" w:color="auto"/>
            <w:right w:val="none" w:sz="0" w:space="0" w:color="auto"/>
          </w:divBdr>
        </w:div>
        <w:div w:id="1607813560">
          <w:marLeft w:val="480"/>
          <w:marRight w:val="0"/>
          <w:marTop w:val="0"/>
          <w:marBottom w:val="0"/>
          <w:divBdr>
            <w:top w:val="none" w:sz="0" w:space="0" w:color="auto"/>
            <w:left w:val="none" w:sz="0" w:space="0" w:color="auto"/>
            <w:bottom w:val="none" w:sz="0" w:space="0" w:color="auto"/>
            <w:right w:val="none" w:sz="0" w:space="0" w:color="auto"/>
          </w:divBdr>
        </w:div>
        <w:div w:id="2144082160">
          <w:marLeft w:val="480"/>
          <w:marRight w:val="0"/>
          <w:marTop w:val="0"/>
          <w:marBottom w:val="0"/>
          <w:divBdr>
            <w:top w:val="none" w:sz="0" w:space="0" w:color="auto"/>
            <w:left w:val="none" w:sz="0" w:space="0" w:color="auto"/>
            <w:bottom w:val="none" w:sz="0" w:space="0" w:color="auto"/>
            <w:right w:val="none" w:sz="0" w:space="0" w:color="auto"/>
          </w:divBdr>
        </w:div>
        <w:div w:id="1196117181">
          <w:marLeft w:val="480"/>
          <w:marRight w:val="0"/>
          <w:marTop w:val="0"/>
          <w:marBottom w:val="0"/>
          <w:divBdr>
            <w:top w:val="none" w:sz="0" w:space="0" w:color="auto"/>
            <w:left w:val="none" w:sz="0" w:space="0" w:color="auto"/>
            <w:bottom w:val="none" w:sz="0" w:space="0" w:color="auto"/>
            <w:right w:val="none" w:sz="0" w:space="0" w:color="auto"/>
          </w:divBdr>
        </w:div>
        <w:div w:id="147063860">
          <w:marLeft w:val="480"/>
          <w:marRight w:val="0"/>
          <w:marTop w:val="0"/>
          <w:marBottom w:val="0"/>
          <w:divBdr>
            <w:top w:val="none" w:sz="0" w:space="0" w:color="auto"/>
            <w:left w:val="none" w:sz="0" w:space="0" w:color="auto"/>
            <w:bottom w:val="none" w:sz="0" w:space="0" w:color="auto"/>
            <w:right w:val="none" w:sz="0" w:space="0" w:color="auto"/>
          </w:divBdr>
        </w:div>
        <w:div w:id="65611222">
          <w:marLeft w:val="480"/>
          <w:marRight w:val="0"/>
          <w:marTop w:val="0"/>
          <w:marBottom w:val="0"/>
          <w:divBdr>
            <w:top w:val="none" w:sz="0" w:space="0" w:color="auto"/>
            <w:left w:val="none" w:sz="0" w:space="0" w:color="auto"/>
            <w:bottom w:val="none" w:sz="0" w:space="0" w:color="auto"/>
            <w:right w:val="none" w:sz="0" w:space="0" w:color="auto"/>
          </w:divBdr>
        </w:div>
        <w:div w:id="1112895828">
          <w:marLeft w:val="480"/>
          <w:marRight w:val="0"/>
          <w:marTop w:val="0"/>
          <w:marBottom w:val="0"/>
          <w:divBdr>
            <w:top w:val="none" w:sz="0" w:space="0" w:color="auto"/>
            <w:left w:val="none" w:sz="0" w:space="0" w:color="auto"/>
            <w:bottom w:val="none" w:sz="0" w:space="0" w:color="auto"/>
            <w:right w:val="none" w:sz="0" w:space="0" w:color="auto"/>
          </w:divBdr>
        </w:div>
        <w:div w:id="251622771">
          <w:marLeft w:val="480"/>
          <w:marRight w:val="0"/>
          <w:marTop w:val="0"/>
          <w:marBottom w:val="0"/>
          <w:divBdr>
            <w:top w:val="none" w:sz="0" w:space="0" w:color="auto"/>
            <w:left w:val="none" w:sz="0" w:space="0" w:color="auto"/>
            <w:bottom w:val="none" w:sz="0" w:space="0" w:color="auto"/>
            <w:right w:val="none" w:sz="0" w:space="0" w:color="auto"/>
          </w:divBdr>
        </w:div>
        <w:div w:id="1685550917">
          <w:marLeft w:val="480"/>
          <w:marRight w:val="0"/>
          <w:marTop w:val="0"/>
          <w:marBottom w:val="0"/>
          <w:divBdr>
            <w:top w:val="none" w:sz="0" w:space="0" w:color="auto"/>
            <w:left w:val="none" w:sz="0" w:space="0" w:color="auto"/>
            <w:bottom w:val="none" w:sz="0" w:space="0" w:color="auto"/>
            <w:right w:val="none" w:sz="0" w:space="0" w:color="auto"/>
          </w:divBdr>
        </w:div>
        <w:div w:id="2038236804">
          <w:marLeft w:val="480"/>
          <w:marRight w:val="0"/>
          <w:marTop w:val="0"/>
          <w:marBottom w:val="0"/>
          <w:divBdr>
            <w:top w:val="none" w:sz="0" w:space="0" w:color="auto"/>
            <w:left w:val="none" w:sz="0" w:space="0" w:color="auto"/>
            <w:bottom w:val="none" w:sz="0" w:space="0" w:color="auto"/>
            <w:right w:val="none" w:sz="0" w:space="0" w:color="auto"/>
          </w:divBdr>
        </w:div>
        <w:div w:id="438768332">
          <w:marLeft w:val="480"/>
          <w:marRight w:val="0"/>
          <w:marTop w:val="0"/>
          <w:marBottom w:val="0"/>
          <w:divBdr>
            <w:top w:val="none" w:sz="0" w:space="0" w:color="auto"/>
            <w:left w:val="none" w:sz="0" w:space="0" w:color="auto"/>
            <w:bottom w:val="none" w:sz="0" w:space="0" w:color="auto"/>
            <w:right w:val="none" w:sz="0" w:space="0" w:color="auto"/>
          </w:divBdr>
        </w:div>
        <w:div w:id="751126306">
          <w:marLeft w:val="480"/>
          <w:marRight w:val="0"/>
          <w:marTop w:val="0"/>
          <w:marBottom w:val="0"/>
          <w:divBdr>
            <w:top w:val="none" w:sz="0" w:space="0" w:color="auto"/>
            <w:left w:val="none" w:sz="0" w:space="0" w:color="auto"/>
            <w:bottom w:val="none" w:sz="0" w:space="0" w:color="auto"/>
            <w:right w:val="none" w:sz="0" w:space="0" w:color="auto"/>
          </w:divBdr>
        </w:div>
        <w:div w:id="1479304200">
          <w:marLeft w:val="480"/>
          <w:marRight w:val="0"/>
          <w:marTop w:val="0"/>
          <w:marBottom w:val="0"/>
          <w:divBdr>
            <w:top w:val="none" w:sz="0" w:space="0" w:color="auto"/>
            <w:left w:val="none" w:sz="0" w:space="0" w:color="auto"/>
            <w:bottom w:val="none" w:sz="0" w:space="0" w:color="auto"/>
            <w:right w:val="none" w:sz="0" w:space="0" w:color="auto"/>
          </w:divBdr>
        </w:div>
        <w:div w:id="1180464870">
          <w:marLeft w:val="480"/>
          <w:marRight w:val="0"/>
          <w:marTop w:val="0"/>
          <w:marBottom w:val="0"/>
          <w:divBdr>
            <w:top w:val="none" w:sz="0" w:space="0" w:color="auto"/>
            <w:left w:val="none" w:sz="0" w:space="0" w:color="auto"/>
            <w:bottom w:val="none" w:sz="0" w:space="0" w:color="auto"/>
            <w:right w:val="none" w:sz="0" w:space="0" w:color="auto"/>
          </w:divBdr>
        </w:div>
        <w:div w:id="1284653238">
          <w:marLeft w:val="480"/>
          <w:marRight w:val="0"/>
          <w:marTop w:val="0"/>
          <w:marBottom w:val="0"/>
          <w:divBdr>
            <w:top w:val="none" w:sz="0" w:space="0" w:color="auto"/>
            <w:left w:val="none" w:sz="0" w:space="0" w:color="auto"/>
            <w:bottom w:val="none" w:sz="0" w:space="0" w:color="auto"/>
            <w:right w:val="none" w:sz="0" w:space="0" w:color="auto"/>
          </w:divBdr>
        </w:div>
        <w:div w:id="808666197">
          <w:marLeft w:val="480"/>
          <w:marRight w:val="0"/>
          <w:marTop w:val="0"/>
          <w:marBottom w:val="0"/>
          <w:divBdr>
            <w:top w:val="none" w:sz="0" w:space="0" w:color="auto"/>
            <w:left w:val="none" w:sz="0" w:space="0" w:color="auto"/>
            <w:bottom w:val="none" w:sz="0" w:space="0" w:color="auto"/>
            <w:right w:val="none" w:sz="0" w:space="0" w:color="auto"/>
          </w:divBdr>
        </w:div>
        <w:div w:id="1758792314">
          <w:marLeft w:val="480"/>
          <w:marRight w:val="0"/>
          <w:marTop w:val="0"/>
          <w:marBottom w:val="0"/>
          <w:divBdr>
            <w:top w:val="none" w:sz="0" w:space="0" w:color="auto"/>
            <w:left w:val="none" w:sz="0" w:space="0" w:color="auto"/>
            <w:bottom w:val="none" w:sz="0" w:space="0" w:color="auto"/>
            <w:right w:val="none" w:sz="0" w:space="0" w:color="auto"/>
          </w:divBdr>
        </w:div>
        <w:div w:id="1487042484">
          <w:marLeft w:val="480"/>
          <w:marRight w:val="0"/>
          <w:marTop w:val="0"/>
          <w:marBottom w:val="0"/>
          <w:divBdr>
            <w:top w:val="none" w:sz="0" w:space="0" w:color="auto"/>
            <w:left w:val="none" w:sz="0" w:space="0" w:color="auto"/>
            <w:bottom w:val="none" w:sz="0" w:space="0" w:color="auto"/>
            <w:right w:val="none" w:sz="0" w:space="0" w:color="auto"/>
          </w:divBdr>
        </w:div>
        <w:div w:id="58018432">
          <w:marLeft w:val="480"/>
          <w:marRight w:val="0"/>
          <w:marTop w:val="0"/>
          <w:marBottom w:val="0"/>
          <w:divBdr>
            <w:top w:val="none" w:sz="0" w:space="0" w:color="auto"/>
            <w:left w:val="none" w:sz="0" w:space="0" w:color="auto"/>
            <w:bottom w:val="none" w:sz="0" w:space="0" w:color="auto"/>
            <w:right w:val="none" w:sz="0" w:space="0" w:color="auto"/>
          </w:divBdr>
        </w:div>
        <w:div w:id="1848709357">
          <w:marLeft w:val="480"/>
          <w:marRight w:val="0"/>
          <w:marTop w:val="0"/>
          <w:marBottom w:val="0"/>
          <w:divBdr>
            <w:top w:val="none" w:sz="0" w:space="0" w:color="auto"/>
            <w:left w:val="none" w:sz="0" w:space="0" w:color="auto"/>
            <w:bottom w:val="none" w:sz="0" w:space="0" w:color="auto"/>
            <w:right w:val="none" w:sz="0" w:space="0" w:color="auto"/>
          </w:divBdr>
        </w:div>
        <w:div w:id="195849275">
          <w:marLeft w:val="480"/>
          <w:marRight w:val="0"/>
          <w:marTop w:val="0"/>
          <w:marBottom w:val="0"/>
          <w:divBdr>
            <w:top w:val="none" w:sz="0" w:space="0" w:color="auto"/>
            <w:left w:val="none" w:sz="0" w:space="0" w:color="auto"/>
            <w:bottom w:val="none" w:sz="0" w:space="0" w:color="auto"/>
            <w:right w:val="none" w:sz="0" w:space="0" w:color="auto"/>
          </w:divBdr>
        </w:div>
        <w:div w:id="1375080984">
          <w:marLeft w:val="480"/>
          <w:marRight w:val="0"/>
          <w:marTop w:val="0"/>
          <w:marBottom w:val="0"/>
          <w:divBdr>
            <w:top w:val="none" w:sz="0" w:space="0" w:color="auto"/>
            <w:left w:val="none" w:sz="0" w:space="0" w:color="auto"/>
            <w:bottom w:val="none" w:sz="0" w:space="0" w:color="auto"/>
            <w:right w:val="none" w:sz="0" w:space="0" w:color="auto"/>
          </w:divBdr>
        </w:div>
        <w:div w:id="1027609555">
          <w:marLeft w:val="480"/>
          <w:marRight w:val="0"/>
          <w:marTop w:val="0"/>
          <w:marBottom w:val="0"/>
          <w:divBdr>
            <w:top w:val="none" w:sz="0" w:space="0" w:color="auto"/>
            <w:left w:val="none" w:sz="0" w:space="0" w:color="auto"/>
            <w:bottom w:val="none" w:sz="0" w:space="0" w:color="auto"/>
            <w:right w:val="none" w:sz="0" w:space="0" w:color="auto"/>
          </w:divBdr>
        </w:div>
        <w:div w:id="1173565739">
          <w:marLeft w:val="480"/>
          <w:marRight w:val="0"/>
          <w:marTop w:val="0"/>
          <w:marBottom w:val="0"/>
          <w:divBdr>
            <w:top w:val="none" w:sz="0" w:space="0" w:color="auto"/>
            <w:left w:val="none" w:sz="0" w:space="0" w:color="auto"/>
            <w:bottom w:val="none" w:sz="0" w:space="0" w:color="auto"/>
            <w:right w:val="none" w:sz="0" w:space="0" w:color="auto"/>
          </w:divBdr>
        </w:div>
        <w:div w:id="2006784873">
          <w:marLeft w:val="480"/>
          <w:marRight w:val="0"/>
          <w:marTop w:val="0"/>
          <w:marBottom w:val="0"/>
          <w:divBdr>
            <w:top w:val="none" w:sz="0" w:space="0" w:color="auto"/>
            <w:left w:val="none" w:sz="0" w:space="0" w:color="auto"/>
            <w:bottom w:val="none" w:sz="0" w:space="0" w:color="auto"/>
            <w:right w:val="none" w:sz="0" w:space="0" w:color="auto"/>
          </w:divBdr>
        </w:div>
        <w:div w:id="594825503">
          <w:marLeft w:val="480"/>
          <w:marRight w:val="0"/>
          <w:marTop w:val="0"/>
          <w:marBottom w:val="0"/>
          <w:divBdr>
            <w:top w:val="none" w:sz="0" w:space="0" w:color="auto"/>
            <w:left w:val="none" w:sz="0" w:space="0" w:color="auto"/>
            <w:bottom w:val="none" w:sz="0" w:space="0" w:color="auto"/>
            <w:right w:val="none" w:sz="0" w:space="0" w:color="auto"/>
          </w:divBdr>
        </w:div>
        <w:div w:id="792214402">
          <w:marLeft w:val="480"/>
          <w:marRight w:val="0"/>
          <w:marTop w:val="0"/>
          <w:marBottom w:val="0"/>
          <w:divBdr>
            <w:top w:val="none" w:sz="0" w:space="0" w:color="auto"/>
            <w:left w:val="none" w:sz="0" w:space="0" w:color="auto"/>
            <w:bottom w:val="none" w:sz="0" w:space="0" w:color="auto"/>
            <w:right w:val="none" w:sz="0" w:space="0" w:color="auto"/>
          </w:divBdr>
        </w:div>
        <w:div w:id="1589457292">
          <w:marLeft w:val="480"/>
          <w:marRight w:val="0"/>
          <w:marTop w:val="0"/>
          <w:marBottom w:val="0"/>
          <w:divBdr>
            <w:top w:val="none" w:sz="0" w:space="0" w:color="auto"/>
            <w:left w:val="none" w:sz="0" w:space="0" w:color="auto"/>
            <w:bottom w:val="none" w:sz="0" w:space="0" w:color="auto"/>
            <w:right w:val="none" w:sz="0" w:space="0" w:color="auto"/>
          </w:divBdr>
        </w:div>
        <w:div w:id="871116344">
          <w:marLeft w:val="480"/>
          <w:marRight w:val="0"/>
          <w:marTop w:val="0"/>
          <w:marBottom w:val="0"/>
          <w:divBdr>
            <w:top w:val="none" w:sz="0" w:space="0" w:color="auto"/>
            <w:left w:val="none" w:sz="0" w:space="0" w:color="auto"/>
            <w:bottom w:val="none" w:sz="0" w:space="0" w:color="auto"/>
            <w:right w:val="none" w:sz="0" w:space="0" w:color="auto"/>
          </w:divBdr>
        </w:div>
        <w:div w:id="102460254">
          <w:marLeft w:val="480"/>
          <w:marRight w:val="0"/>
          <w:marTop w:val="0"/>
          <w:marBottom w:val="0"/>
          <w:divBdr>
            <w:top w:val="none" w:sz="0" w:space="0" w:color="auto"/>
            <w:left w:val="none" w:sz="0" w:space="0" w:color="auto"/>
            <w:bottom w:val="none" w:sz="0" w:space="0" w:color="auto"/>
            <w:right w:val="none" w:sz="0" w:space="0" w:color="auto"/>
          </w:divBdr>
        </w:div>
        <w:div w:id="1856654990">
          <w:marLeft w:val="480"/>
          <w:marRight w:val="0"/>
          <w:marTop w:val="0"/>
          <w:marBottom w:val="0"/>
          <w:divBdr>
            <w:top w:val="none" w:sz="0" w:space="0" w:color="auto"/>
            <w:left w:val="none" w:sz="0" w:space="0" w:color="auto"/>
            <w:bottom w:val="none" w:sz="0" w:space="0" w:color="auto"/>
            <w:right w:val="none" w:sz="0" w:space="0" w:color="auto"/>
          </w:divBdr>
        </w:div>
        <w:div w:id="1731883900">
          <w:marLeft w:val="480"/>
          <w:marRight w:val="0"/>
          <w:marTop w:val="0"/>
          <w:marBottom w:val="0"/>
          <w:divBdr>
            <w:top w:val="none" w:sz="0" w:space="0" w:color="auto"/>
            <w:left w:val="none" w:sz="0" w:space="0" w:color="auto"/>
            <w:bottom w:val="none" w:sz="0" w:space="0" w:color="auto"/>
            <w:right w:val="none" w:sz="0" w:space="0" w:color="auto"/>
          </w:divBdr>
        </w:div>
        <w:div w:id="338506756">
          <w:marLeft w:val="480"/>
          <w:marRight w:val="0"/>
          <w:marTop w:val="0"/>
          <w:marBottom w:val="0"/>
          <w:divBdr>
            <w:top w:val="none" w:sz="0" w:space="0" w:color="auto"/>
            <w:left w:val="none" w:sz="0" w:space="0" w:color="auto"/>
            <w:bottom w:val="none" w:sz="0" w:space="0" w:color="auto"/>
            <w:right w:val="none" w:sz="0" w:space="0" w:color="auto"/>
          </w:divBdr>
        </w:div>
        <w:div w:id="916331772">
          <w:marLeft w:val="480"/>
          <w:marRight w:val="0"/>
          <w:marTop w:val="0"/>
          <w:marBottom w:val="0"/>
          <w:divBdr>
            <w:top w:val="none" w:sz="0" w:space="0" w:color="auto"/>
            <w:left w:val="none" w:sz="0" w:space="0" w:color="auto"/>
            <w:bottom w:val="none" w:sz="0" w:space="0" w:color="auto"/>
            <w:right w:val="none" w:sz="0" w:space="0" w:color="auto"/>
          </w:divBdr>
        </w:div>
        <w:div w:id="170144482">
          <w:marLeft w:val="480"/>
          <w:marRight w:val="0"/>
          <w:marTop w:val="0"/>
          <w:marBottom w:val="0"/>
          <w:divBdr>
            <w:top w:val="none" w:sz="0" w:space="0" w:color="auto"/>
            <w:left w:val="none" w:sz="0" w:space="0" w:color="auto"/>
            <w:bottom w:val="none" w:sz="0" w:space="0" w:color="auto"/>
            <w:right w:val="none" w:sz="0" w:space="0" w:color="auto"/>
          </w:divBdr>
        </w:div>
        <w:div w:id="226654426">
          <w:marLeft w:val="480"/>
          <w:marRight w:val="0"/>
          <w:marTop w:val="0"/>
          <w:marBottom w:val="0"/>
          <w:divBdr>
            <w:top w:val="none" w:sz="0" w:space="0" w:color="auto"/>
            <w:left w:val="none" w:sz="0" w:space="0" w:color="auto"/>
            <w:bottom w:val="none" w:sz="0" w:space="0" w:color="auto"/>
            <w:right w:val="none" w:sz="0" w:space="0" w:color="auto"/>
          </w:divBdr>
        </w:div>
        <w:div w:id="1144270803">
          <w:marLeft w:val="480"/>
          <w:marRight w:val="0"/>
          <w:marTop w:val="0"/>
          <w:marBottom w:val="0"/>
          <w:divBdr>
            <w:top w:val="none" w:sz="0" w:space="0" w:color="auto"/>
            <w:left w:val="none" w:sz="0" w:space="0" w:color="auto"/>
            <w:bottom w:val="none" w:sz="0" w:space="0" w:color="auto"/>
            <w:right w:val="none" w:sz="0" w:space="0" w:color="auto"/>
          </w:divBdr>
        </w:div>
        <w:div w:id="1905220406">
          <w:marLeft w:val="480"/>
          <w:marRight w:val="0"/>
          <w:marTop w:val="0"/>
          <w:marBottom w:val="0"/>
          <w:divBdr>
            <w:top w:val="none" w:sz="0" w:space="0" w:color="auto"/>
            <w:left w:val="none" w:sz="0" w:space="0" w:color="auto"/>
            <w:bottom w:val="none" w:sz="0" w:space="0" w:color="auto"/>
            <w:right w:val="none" w:sz="0" w:space="0" w:color="auto"/>
          </w:divBdr>
        </w:div>
        <w:div w:id="1529752141">
          <w:marLeft w:val="480"/>
          <w:marRight w:val="0"/>
          <w:marTop w:val="0"/>
          <w:marBottom w:val="0"/>
          <w:divBdr>
            <w:top w:val="none" w:sz="0" w:space="0" w:color="auto"/>
            <w:left w:val="none" w:sz="0" w:space="0" w:color="auto"/>
            <w:bottom w:val="none" w:sz="0" w:space="0" w:color="auto"/>
            <w:right w:val="none" w:sz="0" w:space="0" w:color="auto"/>
          </w:divBdr>
        </w:div>
        <w:div w:id="835192953">
          <w:marLeft w:val="480"/>
          <w:marRight w:val="0"/>
          <w:marTop w:val="0"/>
          <w:marBottom w:val="0"/>
          <w:divBdr>
            <w:top w:val="none" w:sz="0" w:space="0" w:color="auto"/>
            <w:left w:val="none" w:sz="0" w:space="0" w:color="auto"/>
            <w:bottom w:val="none" w:sz="0" w:space="0" w:color="auto"/>
            <w:right w:val="none" w:sz="0" w:space="0" w:color="auto"/>
          </w:divBdr>
        </w:div>
        <w:div w:id="1321038736">
          <w:marLeft w:val="480"/>
          <w:marRight w:val="0"/>
          <w:marTop w:val="0"/>
          <w:marBottom w:val="0"/>
          <w:divBdr>
            <w:top w:val="none" w:sz="0" w:space="0" w:color="auto"/>
            <w:left w:val="none" w:sz="0" w:space="0" w:color="auto"/>
            <w:bottom w:val="none" w:sz="0" w:space="0" w:color="auto"/>
            <w:right w:val="none" w:sz="0" w:space="0" w:color="auto"/>
          </w:divBdr>
        </w:div>
        <w:div w:id="279149147">
          <w:marLeft w:val="480"/>
          <w:marRight w:val="0"/>
          <w:marTop w:val="0"/>
          <w:marBottom w:val="0"/>
          <w:divBdr>
            <w:top w:val="none" w:sz="0" w:space="0" w:color="auto"/>
            <w:left w:val="none" w:sz="0" w:space="0" w:color="auto"/>
            <w:bottom w:val="none" w:sz="0" w:space="0" w:color="auto"/>
            <w:right w:val="none" w:sz="0" w:space="0" w:color="auto"/>
          </w:divBdr>
        </w:div>
        <w:div w:id="438110038">
          <w:marLeft w:val="480"/>
          <w:marRight w:val="0"/>
          <w:marTop w:val="0"/>
          <w:marBottom w:val="0"/>
          <w:divBdr>
            <w:top w:val="none" w:sz="0" w:space="0" w:color="auto"/>
            <w:left w:val="none" w:sz="0" w:space="0" w:color="auto"/>
            <w:bottom w:val="none" w:sz="0" w:space="0" w:color="auto"/>
            <w:right w:val="none" w:sz="0" w:space="0" w:color="auto"/>
          </w:divBdr>
        </w:div>
        <w:div w:id="949241676">
          <w:marLeft w:val="480"/>
          <w:marRight w:val="0"/>
          <w:marTop w:val="0"/>
          <w:marBottom w:val="0"/>
          <w:divBdr>
            <w:top w:val="none" w:sz="0" w:space="0" w:color="auto"/>
            <w:left w:val="none" w:sz="0" w:space="0" w:color="auto"/>
            <w:bottom w:val="none" w:sz="0" w:space="0" w:color="auto"/>
            <w:right w:val="none" w:sz="0" w:space="0" w:color="auto"/>
          </w:divBdr>
        </w:div>
        <w:div w:id="983045332">
          <w:marLeft w:val="480"/>
          <w:marRight w:val="0"/>
          <w:marTop w:val="0"/>
          <w:marBottom w:val="0"/>
          <w:divBdr>
            <w:top w:val="none" w:sz="0" w:space="0" w:color="auto"/>
            <w:left w:val="none" w:sz="0" w:space="0" w:color="auto"/>
            <w:bottom w:val="none" w:sz="0" w:space="0" w:color="auto"/>
            <w:right w:val="none" w:sz="0" w:space="0" w:color="auto"/>
          </w:divBdr>
        </w:div>
        <w:div w:id="1611087565">
          <w:marLeft w:val="480"/>
          <w:marRight w:val="0"/>
          <w:marTop w:val="0"/>
          <w:marBottom w:val="0"/>
          <w:divBdr>
            <w:top w:val="none" w:sz="0" w:space="0" w:color="auto"/>
            <w:left w:val="none" w:sz="0" w:space="0" w:color="auto"/>
            <w:bottom w:val="none" w:sz="0" w:space="0" w:color="auto"/>
            <w:right w:val="none" w:sz="0" w:space="0" w:color="auto"/>
          </w:divBdr>
        </w:div>
        <w:div w:id="1384602309">
          <w:marLeft w:val="480"/>
          <w:marRight w:val="0"/>
          <w:marTop w:val="0"/>
          <w:marBottom w:val="0"/>
          <w:divBdr>
            <w:top w:val="none" w:sz="0" w:space="0" w:color="auto"/>
            <w:left w:val="none" w:sz="0" w:space="0" w:color="auto"/>
            <w:bottom w:val="none" w:sz="0" w:space="0" w:color="auto"/>
            <w:right w:val="none" w:sz="0" w:space="0" w:color="auto"/>
          </w:divBdr>
        </w:div>
        <w:div w:id="1866552359">
          <w:marLeft w:val="480"/>
          <w:marRight w:val="0"/>
          <w:marTop w:val="0"/>
          <w:marBottom w:val="0"/>
          <w:divBdr>
            <w:top w:val="none" w:sz="0" w:space="0" w:color="auto"/>
            <w:left w:val="none" w:sz="0" w:space="0" w:color="auto"/>
            <w:bottom w:val="none" w:sz="0" w:space="0" w:color="auto"/>
            <w:right w:val="none" w:sz="0" w:space="0" w:color="auto"/>
          </w:divBdr>
        </w:div>
        <w:div w:id="1940523566">
          <w:marLeft w:val="480"/>
          <w:marRight w:val="0"/>
          <w:marTop w:val="0"/>
          <w:marBottom w:val="0"/>
          <w:divBdr>
            <w:top w:val="none" w:sz="0" w:space="0" w:color="auto"/>
            <w:left w:val="none" w:sz="0" w:space="0" w:color="auto"/>
            <w:bottom w:val="none" w:sz="0" w:space="0" w:color="auto"/>
            <w:right w:val="none" w:sz="0" w:space="0" w:color="auto"/>
          </w:divBdr>
        </w:div>
        <w:div w:id="1729304031">
          <w:marLeft w:val="480"/>
          <w:marRight w:val="0"/>
          <w:marTop w:val="0"/>
          <w:marBottom w:val="0"/>
          <w:divBdr>
            <w:top w:val="none" w:sz="0" w:space="0" w:color="auto"/>
            <w:left w:val="none" w:sz="0" w:space="0" w:color="auto"/>
            <w:bottom w:val="none" w:sz="0" w:space="0" w:color="auto"/>
            <w:right w:val="none" w:sz="0" w:space="0" w:color="auto"/>
          </w:divBdr>
        </w:div>
        <w:div w:id="1453742285">
          <w:marLeft w:val="480"/>
          <w:marRight w:val="0"/>
          <w:marTop w:val="0"/>
          <w:marBottom w:val="0"/>
          <w:divBdr>
            <w:top w:val="none" w:sz="0" w:space="0" w:color="auto"/>
            <w:left w:val="none" w:sz="0" w:space="0" w:color="auto"/>
            <w:bottom w:val="none" w:sz="0" w:space="0" w:color="auto"/>
            <w:right w:val="none" w:sz="0" w:space="0" w:color="auto"/>
          </w:divBdr>
        </w:div>
        <w:div w:id="614485934">
          <w:marLeft w:val="480"/>
          <w:marRight w:val="0"/>
          <w:marTop w:val="0"/>
          <w:marBottom w:val="0"/>
          <w:divBdr>
            <w:top w:val="none" w:sz="0" w:space="0" w:color="auto"/>
            <w:left w:val="none" w:sz="0" w:space="0" w:color="auto"/>
            <w:bottom w:val="none" w:sz="0" w:space="0" w:color="auto"/>
            <w:right w:val="none" w:sz="0" w:space="0" w:color="auto"/>
          </w:divBdr>
        </w:div>
        <w:div w:id="1963144414">
          <w:marLeft w:val="480"/>
          <w:marRight w:val="0"/>
          <w:marTop w:val="0"/>
          <w:marBottom w:val="0"/>
          <w:divBdr>
            <w:top w:val="none" w:sz="0" w:space="0" w:color="auto"/>
            <w:left w:val="none" w:sz="0" w:space="0" w:color="auto"/>
            <w:bottom w:val="none" w:sz="0" w:space="0" w:color="auto"/>
            <w:right w:val="none" w:sz="0" w:space="0" w:color="auto"/>
          </w:divBdr>
        </w:div>
        <w:div w:id="997268292">
          <w:marLeft w:val="480"/>
          <w:marRight w:val="0"/>
          <w:marTop w:val="0"/>
          <w:marBottom w:val="0"/>
          <w:divBdr>
            <w:top w:val="none" w:sz="0" w:space="0" w:color="auto"/>
            <w:left w:val="none" w:sz="0" w:space="0" w:color="auto"/>
            <w:bottom w:val="none" w:sz="0" w:space="0" w:color="auto"/>
            <w:right w:val="none" w:sz="0" w:space="0" w:color="auto"/>
          </w:divBdr>
        </w:div>
        <w:div w:id="1311131422">
          <w:marLeft w:val="480"/>
          <w:marRight w:val="0"/>
          <w:marTop w:val="0"/>
          <w:marBottom w:val="0"/>
          <w:divBdr>
            <w:top w:val="none" w:sz="0" w:space="0" w:color="auto"/>
            <w:left w:val="none" w:sz="0" w:space="0" w:color="auto"/>
            <w:bottom w:val="none" w:sz="0" w:space="0" w:color="auto"/>
            <w:right w:val="none" w:sz="0" w:space="0" w:color="auto"/>
          </w:divBdr>
        </w:div>
        <w:div w:id="2000187073">
          <w:marLeft w:val="480"/>
          <w:marRight w:val="0"/>
          <w:marTop w:val="0"/>
          <w:marBottom w:val="0"/>
          <w:divBdr>
            <w:top w:val="none" w:sz="0" w:space="0" w:color="auto"/>
            <w:left w:val="none" w:sz="0" w:space="0" w:color="auto"/>
            <w:bottom w:val="none" w:sz="0" w:space="0" w:color="auto"/>
            <w:right w:val="none" w:sz="0" w:space="0" w:color="auto"/>
          </w:divBdr>
        </w:div>
        <w:div w:id="690957827">
          <w:marLeft w:val="480"/>
          <w:marRight w:val="0"/>
          <w:marTop w:val="0"/>
          <w:marBottom w:val="0"/>
          <w:divBdr>
            <w:top w:val="none" w:sz="0" w:space="0" w:color="auto"/>
            <w:left w:val="none" w:sz="0" w:space="0" w:color="auto"/>
            <w:bottom w:val="none" w:sz="0" w:space="0" w:color="auto"/>
            <w:right w:val="none" w:sz="0" w:space="0" w:color="auto"/>
          </w:divBdr>
        </w:div>
        <w:div w:id="2081444451">
          <w:marLeft w:val="480"/>
          <w:marRight w:val="0"/>
          <w:marTop w:val="0"/>
          <w:marBottom w:val="0"/>
          <w:divBdr>
            <w:top w:val="none" w:sz="0" w:space="0" w:color="auto"/>
            <w:left w:val="none" w:sz="0" w:space="0" w:color="auto"/>
            <w:bottom w:val="none" w:sz="0" w:space="0" w:color="auto"/>
            <w:right w:val="none" w:sz="0" w:space="0" w:color="auto"/>
          </w:divBdr>
        </w:div>
        <w:div w:id="474489785">
          <w:marLeft w:val="480"/>
          <w:marRight w:val="0"/>
          <w:marTop w:val="0"/>
          <w:marBottom w:val="0"/>
          <w:divBdr>
            <w:top w:val="none" w:sz="0" w:space="0" w:color="auto"/>
            <w:left w:val="none" w:sz="0" w:space="0" w:color="auto"/>
            <w:bottom w:val="none" w:sz="0" w:space="0" w:color="auto"/>
            <w:right w:val="none" w:sz="0" w:space="0" w:color="auto"/>
          </w:divBdr>
        </w:div>
        <w:div w:id="2111703975">
          <w:marLeft w:val="480"/>
          <w:marRight w:val="0"/>
          <w:marTop w:val="0"/>
          <w:marBottom w:val="0"/>
          <w:divBdr>
            <w:top w:val="none" w:sz="0" w:space="0" w:color="auto"/>
            <w:left w:val="none" w:sz="0" w:space="0" w:color="auto"/>
            <w:bottom w:val="none" w:sz="0" w:space="0" w:color="auto"/>
            <w:right w:val="none" w:sz="0" w:space="0" w:color="auto"/>
          </w:divBdr>
        </w:div>
        <w:div w:id="1273515340">
          <w:marLeft w:val="480"/>
          <w:marRight w:val="0"/>
          <w:marTop w:val="0"/>
          <w:marBottom w:val="0"/>
          <w:divBdr>
            <w:top w:val="none" w:sz="0" w:space="0" w:color="auto"/>
            <w:left w:val="none" w:sz="0" w:space="0" w:color="auto"/>
            <w:bottom w:val="none" w:sz="0" w:space="0" w:color="auto"/>
            <w:right w:val="none" w:sz="0" w:space="0" w:color="auto"/>
          </w:divBdr>
        </w:div>
        <w:div w:id="1329941413">
          <w:marLeft w:val="480"/>
          <w:marRight w:val="0"/>
          <w:marTop w:val="0"/>
          <w:marBottom w:val="0"/>
          <w:divBdr>
            <w:top w:val="none" w:sz="0" w:space="0" w:color="auto"/>
            <w:left w:val="none" w:sz="0" w:space="0" w:color="auto"/>
            <w:bottom w:val="none" w:sz="0" w:space="0" w:color="auto"/>
            <w:right w:val="none" w:sz="0" w:space="0" w:color="auto"/>
          </w:divBdr>
        </w:div>
        <w:div w:id="567423680">
          <w:marLeft w:val="480"/>
          <w:marRight w:val="0"/>
          <w:marTop w:val="0"/>
          <w:marBottom w:val="0"/>
          <w:divBdr>
            <w:top w:val="none" w:sz="0" w:space="0" w:color="auto"/>
            <w:left w:val="none" w:sz="0" w:space="0" w:color="auto"/>
            <w:bottom w:val="none" w:sz="0" w:space="0" w:color="auto"/>
            <w:right w:val="none" w:sz="0" w:space="0" w:color="auto"/>
          </w:divBdr>
        </w:div>
        <w:div w:id="1896894659">
          <w:marLeft w:val="480"/>
          <w:marRight w:val="0"/>
          <w:marTop w:val="0"/>
          <w:marBottom w:val="0"/>
          <w:divBdr>
            <w:top w:val="none" w:sz="0" w:space="0" w:color="auto"/>
            <w:left w:val="none" w:sz="0" w:space="0" w:color="auto"/>
            <w:bottom w:val="none" w:sz="0" w:space="0" w:color="auto"/>
            <w:right w:val="none" w:sz="0" w:space="0" w:color="auto"/>
          </w:divBdr>
        </w:div>
        <w:div w:id="2050641227">
          <w:marLeft w:val="480"/>
          <w:marRight w:val="0"/>
          <w:marTop w:val="0"/>
          <w:marBottom w:val="0"/>
          <w:divBdr>
            <w:top w:val="none" w:sz="0" w:space="0" w:color="auto"/>
            <w:left w:val="none" w:sz="0" w:space="0" w:color="auto"/>
            <w:bottom w:val="none" w:sz="0" w:space="0" w:color="auto"/>
            <w:right w:val="none" w:sz="0" w:space="0" w:color="auto"/>
          </w:divBdr>
        </w:div>
        <w:div w:id="1649819917">
          <w:marLeft w:val="480"/>
          <w:marRight w:val="0"/>
          <w:marTop w:val="0"/>
          <w:marBottom w:val="0"/>
          <w:divBdr>
            <w:top w:val="none" w:sz="0" w:space="0" w:color="auto"/>
            <w:left w:val="none" w:sz="0" w:space="0" w:color="auto"/>
            <w:bottom w:val="none" w:sz="0" w:space="0" w:color="auto"/>
            <w:right w:val="none" w:sz="0" w:space="0" w:color="auto"/>
          </w:divBdr>
        </w:div>
        <w:div w:id="692847248">
          <w:marLeft w:val="480"/>
          <w:marRight w:val="0"/>
          <w:marTop w:val="0"/>
          <w:marBottom w:val="0"/>
          <w:divBdr>
            <w:top w:val="none" w:sz="0" w:space="0" w:color="auto"/>
            <w:left w:val="none" w:sz="0" w:space="0" w:color="auto"/>
            <w:bottom w:val="none" w:sz="0" w:space="0" w:color="auto"/>
            <w:right w:val="none" w:sz="0" w:space="0" w:color="auto"/>
          </w:divBdr>
        </w:div>
        <w:div w:id="229390643">
          <w:marLeft w:val="480"/>
          <w:marRight w:val="0"/>
          <w:marTop w:val="0"/>
          <w:marBottom w:val="0"/>
          <w:divBdr>
            <w:top w:val="none" w:sz="0" w:space="0" w:color="auto"/>
            <w:left w:val="none" w:sz="0" w:space="0" w:color="auto"/>
            <w:bottom w:val="none" w:sz="0" w:space="0" w:color="auto"/>
            <w:right w:val="none" w:sz="0" w:space="0" w:color="auto"/>
          </w:divBdr>
        </w:div>
        <w:div w:id="2130657430">
          <w:marLeft w:val="480"/>
          <w:marRight w:val="0"/>
          <w:marTop w:val="0"/>
          <w:marBottom w:val="0"/>
          <w:divBdr>
            <w:top w:val="none" w:sz="0" w:space="0" w:color="auto"/>
            <w:left w:val="none" w:sz="0" w:space="0" w:color="auto"/>
            <w:bottom w:val="none" w:sz="0" w:space="0" w:color="auto"/>
            <w:right w:val="none" w:sz="0" w:space="0" w:color="auto"/>
          </w:divBdr>
        </w:div>
        <w:div w:id="33771802">
          <w:marLeft w:val="480"/>
          <w:marRight w:val="0"/>
          <w:marTop w:val="0"/>
          <w:marBottom w:val="0"/>
          <w:divBdr>
            <w:top w:val="none" w:sz="0" w:space="0" w:color="auto"/>
            <w:left w:val="none" w:sz="0" w:space="0" w:color="auto"/>
            <w:bottom w:val="none" w:sz="0" w:space="0" w:color="auto"/>
            <w:right w:val="none" w:sz="0" w:space="0" w:color="auto"/>
          </w:divBdr>
        </w:div>
        <w:div w:id="2115132764">
          <w:marLeft w:val="480"/>
          <w:marRight w:val="0"/>
          <w:marTop w:val="0"/>
          <w:marBottom w:val="0"/>
          <w:divBdr>
            <w:top w:val="none" w:sz="0" w:space="0" w:color="auto"/>
            <w:left w:val="none" w:sz="0" w:space="0" w:color="auto"/>
            <w:bottom w:val="none" w:sz="0" w:space="0" w:color="auto"/>
            <w:right w:val="none" w:sz="0" w:space="0" w:color="auto"/>
          </w:divBdr>
        </w:div>
        <w:div w:id="1463576104">
          <w:marLeft w:val="480"/>
          <w:marRight w:val="0"/>
          <w:marTop w:val="0"/>
          <w:marBottom w:val="0"/>
          <w:divBdr>
            <w:top w:val="none" w:sz="0" w:space="0" w:color="auto"/>
            <w:left w:val="none" w:sz="0" w:space="0" w:color="auto"/>
            <w:bottom w:val="none" w:sz="0" w:space="0" w:color="auto"/>
            <w:right w:val="none" w:sz="0" w:space="0" w:color="auto"/>
          </w:divBdr>
        </w:div>
        <w:div w:id="1235165920">
          <w:marLeft w:val="480"/>
          <w:marRight w:val="0"/>
          <w:marTop w:val="0"/>
          <w:marBottom w:val="0"/>
          <w:divBdr>
            <w:top w:val="none" w:sz="0" w:space="0" w:color="auto"/>
            <w:left w:val="none" w:sz="0" w:space="0" w:color="auto"/>
            <w:bottom w:val="none" w:sz="0" w:space="0" w:color="auto"/>
            <w:right w:val="none" w:sz="0" w:space="0" w:color="auto"/>
          </w:divBdr>
        </w:div>
        <w:div w:id="1729112579">
          <w:marLeft w:val="480"/>
          <w:marRight w:val="0"/>
          <w:marTop w:val="0"/>
          <w:marBottom w:val="0"/>
          <w:divBdr>
            <w:top w:val="none" w:sz="0" w:space="0" w:color="auto"/>
            <w:left w:val="none" w:sz="0" w:space="0" w:color="auto"/>
            <w:bottom w:val="none" w:sz="0" w:space="0" w:color="auto"/>
            <w:right w:val="none" w:sz="0" w:space="0" w:color="auto"/>
          </w:divBdr>
        </w:div>
        <w:div w:id="30880341">
          <w:marLeft w:val="480"/>
          <w:marRight w:val="0"/>
          <w:marTop w:val="0"/>
          <w:marBottom w:val="0"/>
          <w:divBdr>
            <w:top w:val="none" w:sz="0" w:space="0" w:color="auto"/>
            <w:left w:val="none" w:sz="0" w:space="0" w:color="auto"/>
            <w:bottom w:val="none" w:sz="0" w:space="0" w:color="auto"/>
            <w:right w:val="none" w:sz="0" w:space="0" w:color="auto"/>
          </w:divBdr>
        </w:div>
        <w:div w:id="182597505">
          <w:marLeft w:val="480"/>
          <w:marRight w:val="0"/>
          <w:marTop w:val="0"/>
          <w:marBottom w:val="0"/>
          <w:divBdr>
            <w:top w:val="none" w:sz="0" w:space="0" w:color="auto"/>
            <w:left w:val="none" w:sz="0" w:space="0" w:color="auto"/>
            <w:bottom w:val="none" w:sz="0" w:space="0" w:color="auto"/>
            <w:right w:val="none" w:sz="0" w:space="0" w:color="auto"/>
          </w:divBdr>
        </w:div>
        <w:div w:id="1361589590">
          <w:marLeft w:val="480"/>
          <w:marRight w:val="0"/>
          <w:marTop w:val="0"/>
          <w:marBottom w:val="0"/>
          <w:divBdr>
            <w:top w:val="none" w:sz="0" w:space="0" w:color="auto"/>
            <w:left w:val="none" w:sz="0" w:space="0" w:color="auto"/>
            <w:bottom w:val="none" w:sz="0" w:space="0" w:color="auto"/>
            <w:right w:val="none" w:sz="0" w:space="0" w:color="auto"/>
          </w:divBdr>
        </w:div>
        <w:div w:id="920798542">
          <w:marLeft w:val="480"/>
          <w:marRight w:val="0"/>
          <w:marTop w:val="0"/>
          <w:marBottom w:val="0"/>
          <w:divBdr>
            <w:top w:val="none" w:sz="0" w:space="0" w:color="auto"/>
            <w:left w:val="none" w:sz="0" w:space="0" w:color="auto"/>
            <w:bottom w:val="none" w:sz="0" w:space="0" w:color="auto"/>
            <w:right w:val="none" w:sz="0" w:space="0" w:color="auto"/>
          </w:divBdr>
        </w:div>
        <w:div w:id="389766256">
          <w:marLeft w:val="480"/>
          <w:marRight w:val="0"/>
          <w:marTop w:val="0"/>
          <w:marBottom w:val="0"/>
          <w:divBdr>
            <w:top w:val="none" w:sz="0" w:space="0" w:color="auto"/>
            <w:left w:val="none" w:sz="0" w:space="0" w:color="auto"/>
            <w:bottom w:val="none" w:sz="0" w:space="0" w:color="auto"/>
            <w:right w:val="none" w:sz="0" w:space="0" w:color="auto"/>
          </w:divBdr>
        </w:div>
        <w:div w:id="2106337326">
          <w:marLeft w:val="480"/>
          <w:marRight w:val="0"/>
          <w:marTop w:val="0"/>
          <w:marBottom w:val="0"/>
          <w:divBdr>
            <w:top w:val="none" w:sz="0" w:space="0" w:color="auto"/>
            <w:left w:val="none" w:sz="0" w:space="0" w:color="auto"/>
            <w:bottom w:val="none" w:sz="0" w:space="0" w:color="auto"/>
            <w:right w:val="none" w:sz="0" w:space="0" w:color="auto"/>
          </w:divBdr>
        </w:div>
        <w:div w:id="699941232">
          <w:marLeft w:val="480"/>
          <w:marRight w:val="0"/>
          <w:marTop w:val="0"/>
          <w:marBottom w:val="0"/>
          <w:divBdr>
            <w:top w:val="none" w:sz="0" w:space="0" w:color="auto"/>
            <w:left w:val="none" w:sz="0" w:space="0" w:color="auto"/>
            <w:bottom w:val="none" w:sz="0" w:space="0" w:color="auto"/>
            <w:right w:val="none" w:sz="0" w:space="0" w:color="auto"/>
          </w:divBdr>
        </w:div>
        <w:div w:id="1717583461">
          <w:marLeft w:val="480"/>
          <w:marRight w:val="0"/>
          <w:marTop w:val="0"/>
          <w:marBottom w:val="0"/>
          <w:divBdr>
            <w:top w:val="none" w:sz="0" w:space="0" w:color="auto"/>
            <w:left w:val="none" w:sz="0" w:space="0" w:color="auto"/>
            <w:bottom w:val="none" w:sz="0" w:space="0" w:color="auto"/>
            <w:right w:val="none" w:sz="0" w:space="0" w:color="auto"/>
          </w:divBdr>
        </w:div>
        <w:div w:id="1229655059">
          <w:marLeft w:val="480"/>
          <w:marRight w:val="0"/>
          <w:marTop w:val="0"/>
          <w:marBottom w:val="0"/>
          <w:divBdr>
            <w:top w:val="none" w:sz="0" w:space="0" w:color="auto"/>
            <w:left w:val="none" w:sz="0" w:space="0" w:color="auto"/>
            <w:bottom w:val="none" w:sz="0" w:space="0" w:color="auto"/>
            <w:right w:val="none" w:sz="0" w:space="0" w:color="auto"/>
          </w:divBdr>
        </w:div>
        <w:div w:id="718668748">
          <w:marLeft w:val="480"/>
          <w:marRight w:val="0"/>
          <w:marTop w:val="0"/>
          <w:marBottom w:val="0"/>
          <w:divBdr>
            <w:top w:val="none" w:sz="0" w:space="0" w:color="auto"/>
            <w:left w:val="none" w:sz="0" w:space="0" w:color="auto"/>
            <w:bottom w:val="none" w:sz="0" w:space="0" w:color="auto"/>
            <w:right w:val="none" w:sz="0" w:space="0" w:color="auto"/>
          </w:divBdr>
        </w:div>
        <w:div w:id="61100967">
          <w:marLeft w:val="480"/>
          <w:marRight w:val="0"/>
          <w:marTop w:val="0"/>
          <w:marBottom w:val="0"/>
          <w:divBdr>
            <w:top w:val="none" w:sz="0" w:space="0" w:color="auto"/>
            <w:left w:val="none" w:sz="0" w:space="0" w:color="auto"/>
            <w:bottom w:val="none" w:sz="0" w:space="0" w:color="auto"/>
            <w:right w:val="none" w:sz="0" w:space="0" w:color="auto"/>
          </w:divBdr>
        </w:div>
        <w:div w:id="2094475954">
          <w:marLeft w:val="480"/>
          <w:marRight w:val="0"/>
          <w:marTop w:val="0"/>
          <w:marBottom w:val="0"/>
          <w:divBdr>
            <w:top w:val="none" w:sz="0" w:space="0" w:color="auto"/>
            <w:left w:val="none" w:sz="0" w:space="0" w:color="auto"/>
            <w:bottom w:val="none" w:sz="0" w:space="0" w:color="auto"/>
            <w:right w:val="none" w:sz="0" w:space="0" w:color="auto"/>
          </w:divBdr>
        </w:div>
        <w:div w:id="887455408">
          <w:marLeft w:val="480"/>
          <w:marRight w:val="0"/>
          <w:marTop w:val="0"/>
          <w:marBottom w:val="0"/>
          <w:divBdr>
            <w:top w:val="none" w:sz="0" w:space="0" w:color="auto"/>
            <w:left w:val="none" w:sz="0" w:space="0" w:color="auto"/>
            <w:bottom w:val="none" w:sz="0" w:space="0" w:color="auto"/>
            <w:right w:val="none" w:sz="0" w:space="0" w:color="auto"/>
          </w:divBdr>
        </w:div>
        <w:div w:id="1914704953">
          <w:marLeft w:val="480"/>
          <w:marRight w:val="0"/>
          <w:marTop w:val="0"/>
          <w:marBottom w:val="0"/>
          <w:divBdr>
            <w:top w:val="none" w:sz="0" w:space="0" w:color="auto"/>
            <w:left w:val="none" w:sz="0" w:space="0" w:color="auto"/>
            <w:bottom w:val="none" w:sz="0" w:space="0" w:color="auto"/>
            <w:right w:val="none" w:sz="0" w:space="0" w:color="auto"/>
          </w:divBdr>
        </w:div>
        <w:div w:id="1761556874">
          <w:marLeft w:val="480"/>
          <w:marRight w:val="0"/>
          <w:marTop w:val="0"/>
          <w:marBottom w:val="0"/>
          <w:divBdr>
            <w:top w:val="none" w:sz="0" w:space="0" w:color="auto"/>
            <w:left w:val="none" w:sz="0" w:space="0" w:color="auto"/>
            <w:bottom w:val="none" w:sz="0" w:space="0" w:color="auto"/>
            <w:right w:val="none" w:sz="0" w:space="0" w:color="auto"/>
          </w:divBdr>
        </w:div>
        <w:div w:id="68429432">
          <w:marLeft w:val="480"/>
          <w:marRight w:val="0"/>
          <w:marTop w:val="0"/>
          <w:marBottom w:val="0"/>
          <w:divBdr>
            <w:top w:val="none" w:sz="0" w:space="0" w:color="auto"/>
            <w:left w:val="none" w:sz="0" w:space="0" w:color="auto"/>
            <w:bottom w:val="none" w:sz="0" w:space="0" w:color="auto"/>
            <w:right w:val="none" w:sz="0" w:space="0" w:color="auto"/>
          </w:divBdr>
        </w:div>
        <w:div w:id="233049195">
          <w:marLeft w:val="480"/>
          <w:marRight w:val="0"/>
          <w:marTop w:val="0"/>
          <w:marBottom w:val="0"/>
          <w:divBdr>
            <w:top w:val="none" w:sz="0" w:space="0" w:color="auto"/>
            <w:left w:val="none" w:sz="0" w:space="0" w:color="auto"/>
            <w:bottom w:val="none" w:sz="0" w:space="0" w:color="auto"/>
            <w:right w:val="none" w:sz="0" w:space="0" w:color="auto"/>
          </w:divBdr>
        </w:div>
        <w:div w:id="1701737680">
          <w:marLeft w:val="480"/>
          <w:marRight w:val="0"/>
          <w:marTop w:val="0"/>
          <w:marBottom w:val="0"/>
          <w:divBdr>
            <w:top w:val="none" w:sz="0" w:space="0" w:color="auto"/>
            <w:left w:val="none" w:sz="0" w:space="0" w:color="auto"/>
            <w:bottom w:val="none" w:sz="0" w:space="0" w:color="auto"/>
            <w:right w:val="none" w:sz="0" w:space="0" w:color="auto"/>
          </w:divBdr>
        </w:div>
        <w:div w:id="1834907049">
          <w:marLeft w:val="480"/>
          <w:marRight w:val="0"/>
          <w:marTop w:val="0"/>
          <w:marBottom w:val="0"/>
          <w:divBdr>
            <w:top w:val="none" w:sz="0" w:space="0" w:color="auto"/>
            <w:left w:val="none" w:sz="0" w:space="0" w:color="auto"/>
            <w:bottom w:val="none" w:sz="0" w:space="0" w:color="auto"/>
            <w:right w:val="none" w:sz="0" w:space="0" w:color="auto"/>
          </w:divBdr>
        </w:div>
        <w:div w:id="425661435">
          <w:marLeft w:val="480"/>
          <w:marRight w:val="0"/>
          <w:marTop w:val="0"/>
          <w:marBottom w:val="0"/>
          <w:divBdr>
            <w:top w:val="none" w:sz="0" w:space="0" w:color="auto"/>
            <w:left w:val="none" w:sz="0" w:space="0" w:color="auto"/>
            <w:bottom w:val="none" w:sz="0" w:space="0" w:color="auto"/>
            <w:right w:val="none" w:sz="0" w:space="0" w:color="auto"/>
          </w:divBdr>
        </w:div>
        <w:div w:id="743064060">
          <w:marLeft w:val="480"/>
          <w:marRight w:val="0"/>
          <w:marTop w:val="0"/>
          <w:marBottom w:val="0"/>
          <w:divBdr>
            <w:top w:val="none" w:sz="0" w:space="0" w:color="auto"/>
            <w:left w:val="none" w:sz="0" w:space="0" w:color="auto"/>
            <w:bottom w:val="none" w:sz="0" w:space="0" w:color="auto"/>
            <w:right w:val="none" w:sz="0" w:space="0" w:color="auto"/>
          </w:divBdr>
        </w:div>
        <w:div w:id="773793392">
          <w:marLeft w:val="480"/>
          <w:marRight w:val="0"/>
          <w:marTop w:val="0"/>
          <w:marBottom w:val="0"/>
          <w:divBdr>
            <w:top w:val="none" w:sz="0" w:space="0" w:color="auto"/>
            <w:left w:val="none" w:sz="0" w:space="0" w:color="auto"/>
            <w:bottom w:val="none" w:sz="0" w:space="0" w:color="auto"/>
            <w:right w:val="none" w:sz="0" w:space="0" w:color="auto"/>
          </w:divBdr>
        </w:div>
        <w:div w:id="1499343751">
          <w:marLeft w:val="480"/>
          <w:marRight w:val="0"/>
          <w:marTop w:val="0"/>
          <w:marBottom w:val="0"/>
          <w:divBdr>
            <w:top w:val="none" w:sz="0" w:space="0" w:color="auto"/>
            <w:left w:val="none" w:sz="0" w:space="0" w:color="auto"/>
            <w:bottom w:val="none" w:sz="0" w:space="0" w:color="auto"/>
            <w:right w:val="none" w:sz="0" w:space="0" w:color="auto"/>
          </w:divBdr>
        </w:div>
        <w:div w:id="684525080">
          <w:marLeft w:val="480"/>
          <w:marRight w:val="0"/>
          <w:marTop w:val="0"/>
          <w:marBottom w:val="0"/>
          <w:divBdr>
            <w:top w:val="none" w:sz="0" w:space="0" w:color="auto"/>
            <w:left w:val="none" w:sz="0" w:space="0" w:color="auto"/>
            <w:bottom w:val="none" w:sz="0" w:space="0" w:color="auto"/>
            <w:right w:val="none" w:sz="0" w:space="0" w:color="auto"/>
          </w:divBdr>
        </w:div>
        <w:div w:id="1637098669">
          <w:marLeft w:val="480"/>
          <w:marRight w:val="0"/>
          <w:marTop w:val="0"/>
          <w:marBottom w:val="0"/>
          <w:divBdr>
            <w:top w:val="none" w:sz="0" w:space="0" w:color="auto"/>
            <w:left w:val="none" w:sz="0" w:space="0" w:color="auto"/>
            <w:bottom w:val="none" w:sz="0" w:space="0" w:color="auto"/>
            <w:right w:val="none" w:sz="0" w:space="0" w:color="auto"/>
          </w:divBdr>
        </w:div>
        <w:div w:id="1307393621">
          <w:marLeft w:val="480"/>
          <w:marRight w:val="0"/>
          <w:marTop w:val="0"/>
          <w:marBottom w:val="0"/>
          <w:divBdr>
            <w:top w:val="none" w:sz="0" w:space="0" w:color="auto"/>
            <w:left w:val="none" w:sz="0" w:space="0" w:color="auto"/>
            <w:bottom w:val="none" w:sz="0" w:space="0" w:color="auto"/>
            <w:right w:val="none" w:sz="0" w:space="0" w:color="auto"/>
          </w:divBdr>
        </w:div>
        <w:div w:id="750585151">
          <w:marLeft w:val="480"/>
          <w:marRight w:val="0"/>
          <w:marTop w:val="0"/>
          <w:marBottom w:val="0"/>
          <w:divBdr>
            <w:top w:val="none" w:sz="0" w:space="0" w:color="auto"/>
            <w:left w:val="none" w:sz="0" w:space="0" w:color="auto"/>
            <w:bottom w:val="none" w:sz="0" w:space="0" w:color="auto"/>
            <w:right w:val="none" w:sz="0" w:space="0" w:color="auto"/>
          </w:divBdr>
        </w:div>
        <w:div w:id="1897162092">
          <w:marLeft w:val="480"/>
          <w:marRight w:val="0"/>
          <w:marTop w:val="0"/>
          <w:marBottom w:val="0"/>
          <w:divBdr>
            <w:top w:val="none" w:sz="0" w:space="0" w:color="auto"/>
            <w:left w:val="none" w:sz="0" w:space="0" w:color="auto"/>
            <w:bottom w:val="none" w:sz="0" w:space="0" w:color="auto"/>
            <w:right w:val="none" w:sz="0" w:space="0" w:color="auto"/>
          </w:divBdr>
        </w:div>
        <w:div w:id="1401827371">
          <w:marLeft w:val="480"/>
          <w:marRight w:val="0"/>
          <w:marTop w:val="0"/>
          <w:marBottom w:val="0"/>
          <w:divBdr>
            <w:top w:val="none" w:sz="0" w:space="0" w:color="auto"/>
            <w:left w:val="none" w:sz="0" w:space="0" w:color="auto"/>
            <w:bottom w:val="none" w:sz="0" w:space="0" w:color="auto"/>
            <w:right w:val="none" w:sz="0" w:space="0" w:color="auto"/>
          </w:divBdr>
        </w:div>
        <w:div w:id="1865635537">
          <w:marLeft w:val="480"/>
          <w:marRight w:val="0"/>
          <w:marTop w:val="0"/>
          <w:marBottom w:val="0"/>
          <w:divBdr>
            <w:top w:val="none" w:sz="0" w:space="0" w:color="auto"/>
            <w:left w:val="none" w:sz="0" w:space="0" w:color="auto"/>
            <w:bottom w:val="none" w:sz="0" w:space="0" w:color="auto"/>
            <w:right w:val="none" w:sz="0" w:space="0" w:color="auto"/>
          </w:divBdr>
        </w:div>
        <w:div w:id="736511829">
          <w:marLeft w:val="480"/>
          <w:marRight w:val="0"/>
          <w:marTop w:val="0"/>
          <w:marBottom w:val="0"/>
          <w:divBdr>
            <w:top w:val="none" w:sz="0" w:space="0" w:color="auto"/>
            <w:left w:val="none" w:sz="0" w:space="0" w:color="auto"/>
            <w:bottom w:val="none" w:sz="0" w:space="0" w:color="auto"/>
            <w:right w:val="none" w:sz="0" w:space="0" w:color="auto"/>
          </w:divBdr>
        </w:div>
        <w:div w:id="623074450">
          <w:marLeft w:val="480"/>
          <w:marRight w:val="0"/>
          <w:marTop w:val="0"/>
          <w:marBottom w:val="0"/>
          <w:divBdr>
            <w:top w:val="none" w:sz="0" w:space="0" w:color="auto"/>
            <w:left w:val="none" w:sz="0" w:space="0" w:color="auto"/>
            <w:bottom w:val="none" w:sz="0" w:space="0" w:color="auto"/>
            <w:right w:val="none" w:sz="0" w:space="0" w:color="auto"/>
          </w:divBdr>
        </w:div>
        <w:div w:id="1765227822">
          <w:marLeft w:val="480"/>
          <w:marRight w:val="0"/>
          <w:marTop w:val="0"/>
          <w:marBottom w:val="0"/>
          <w:divBdr>
            <w:top w:val="none" w:sz="0" w:space="0" w:color="auto"/>
            <w:left w:val="none" w:sz="0" w:space="0" w:color="auto"/>
            <w:bottom w:val="none" w:sz="0" w:space="0" w:color="auto"/>
            <w:right w:val="none" w:sz="0" w:space="0" w:color="auto"/>
          </w:divBdr>
        </w:div>
        <w:div w:id="737944130">
          <w:marLeft w:val="480"/>
          <w:marRight w:val="0"/>
          <w:marTop w:val="0"/>
          <w:marBottom w:val="0"/>
          <w:divBdr>
            <w:top w:val="none" w:sz="0" w:space="0" w:color="auto"/>
            <w:left w:val="none" w:sz="0" w:space="0" w:color="auto"/>
            <w:bottom w:val="none" w:sz="0" w:space="0" w:color="auto"/>
            <w:right w:val="none" w:sz="0" w:space="0" w:color="auto"/>
          </w:divBdr>
        </w:div>
        <w:div w:id="149905505">
          <w:marLeft w:val="480"/>
          <w:marRight w:val="0"/>
          <w:marTop w:val="0"/>
          <w:marBottom w:val="0"/>
          <w:divBdr>
            <w:top w:val="none" w:sz="0" w:space="0" w:color="auto"/>
            <w:left w:val="none" w:sz="0" w:space="0" w:color="auto"/>
            <w:bottom w:val="none" w:sz="0" w:space="0" w:color="auto"/>
            <w:right w:val="none" w:sz="0" w:space="0" w:color="auto"/>
          </w:divBdr>
        </w:div>
        <w:div w:id="303855929">
          <w:marLeft w:val="480"/>
          <w:marRight w:val="0"/>
          <w:marTop w:val="0"/>
          <w:marBottom w:val="0"/>
          <w:divBdr>
            <w:top w:val="none" w:sz="0" w:space="0" w:color="auto"/>
            <w:left w:val="none" w:sz="0" w:space="0" w:color="auto"/>
            <w:bottom w:val="none" w:sz="0" w:space="0" w:color="auto"/>
            <w:right w:val="none" w:sz="0" w:space="0" w:color="auto"/>
          </w:divBdr>
        </w:div>
        <w:div w:id="603222207">
          <w:marLeft w:val="480"/>
          <w:marRight w:val="0"/>
          <w:marTop w:val="0"/>
          <w:marBottom w:val="0"/>
          <w:divBdr>
            <w:top w:val="none" w:sz="0" w:space="0" w:color="auto"/>
            <w:left w:val="none" w:sz="0" w:space="0" w:color="auto"/>
            <w:bottom w:val="none" w:sz="0" w:space="0" w:color="auto"/>
            <w:right w:val="none" w:sz="0" w:space="0" w:color="auto"/>
          </w:divBdr>
        </w:div>
        <w:div w:id="2979985">
          <w:marLeft w:val="480"/>
          <w:marRight w:val="0"/>
          <w:marTop w:val="0"/>
          <w:marBottom w:val="0"/>
          <w:divBdr>
            <w:top w:val="none" w:sz="0" w:space="0" w:color="auto"/>
            <w:left w:val="none" w:sz="0" w:space="0" w:color="auto"/>
            <w:bottom w:val="none" w:sz="0" w:space="0" w:color="auto"/>
            <w:right w:val="none" w:sz="0" w:space="0" w:color="auto"/>
          </w:divBdr>
        </w:div>
        <w:div w:id="1200705746">
          <w:marLeft w:val="480"/>
          <w:marRight w:val="0"/>
          <w:marTop w:val="0"/>
          <w:marBottom w:val="0"/>
          <w:divBdr>
            <w:top w:val="none" w:sz="0" w:space="0" w:color="auto"/>
            <w:left w:val="none" w:sz="0" w:space="0" w:color="auto"/>
            <w:bottom w:val="none" w:sz="0" w:space="0" w:color="auto"/>
            <w:right w:val="none" w:sz="0" w:space="0" w:color="auto"/>
          </w:divBdr>
        </w:div>
        <w:div w:id="660084370">
          <w:marLeft w:val="480"/>
          <w:marRight w:val="0"/>
          <w:marTop w:val="0"/>
          <w:marBottom w:val="0"/>
          <w:divBdr>
            <w:top w:val="none" w:sz="0" w:space="0" w:color="auto"/>
            <w:left w:val="none" w:sz="0" w:space="0" w:color="auto"/>
            <w:bottom w:val="none" w:sz="0" w:space="0" w:color="auto"/>
            <w:right w:val="none" w:sz="0" w:space="0" w:color="auto"/>
          </w:divBdr>
        </w:div>
        <w:div w:id="95755946">
          <w:marLeft w:val="480"/>
          <w:marRight w:val="0"/>
          <w:marTop w:val="0"/>
          <w:marBottom w:val="0"/>
          <w:divBdr>
            <w:top w:val="none" w:sz="0" w:space="0" w:color="auto"/>
            <w:left w:val="none" w:sz="0" w:space="0" w:color="auto"/>
            <w:bottom w:val="none" w:sz="0" w:space="0" w:color="auto"/>
            <w:right w:val="none" w:sz="0" w:space="0" w:color="auto"/>
          </w:divBdr>
        </w:div>
        <w:div w:id="1459832320">
          <w:marLeft w:val="480"/>
          <w:marRight w:val="0"/>
          <w:marTop w:val="0"/>
          <w:marBottom w:val="0"/>
          <w:divBdr>
            <w:top w:val="none" w:sz="0" w:space="0" w:color="auto"/>
            <w:left w:val="none" w:sz="0" w:space="0" w:color="auto"/>
            <w:bottom w:val="none" w:sz="0" w:space="0" w:color="auto"/>
            <w:right w:val="none" w:sz="0" w:space="0" w:color="auto"/>
          </w:divBdr>
        </w:div>
        <w:div w:id="1809854429">
          <w:marLeft w:val="480"/>
          <w:marRight w:val="0"/>
          <w:marTop w:val="0"/>
          <w:marBottom w:val="0"/>
          <w:divBdr>
            <w:top w:val="none" w:sz="0" w:space="0" w:color="auto"/>
            <w:left w:val="none" w:sz="0" w:space="0" w:color="auto"/>
            <w:bottom w:val="none" w:sz="0" w:space="0" w:color="auto"/>
            <w:right w:val="none" w:sz="0" w:space="0" w:color="auto"/>
          </w:divBdr>
        </w:div>
        <w:div w:id="1439064240">
          <w:marLeft w:val="480"/>
          <w:marRight w:val="0"/>
          <w:marTop w:val="0"/>
          <w:marBottom w:val="0"/>
          <w:divBdr>
            <w:top w:val="none" w:sz="0" w:space="0" w:color="auto"/>
            <w:left w:val="none" w:sz="0" w:space="0" w:color="auto"/>
            <w:bottom w:val="none" w:sz="0" w:space="0" w:color="auto"/>
            <w:right w:val="none" w:sz="0" w:space="0" w:color="auto"/>
          </w:divBdr>
        </w:div>
        <w:div w:id="212885846">
          <w:marLeft w:val="480"/>
          <w:marRight w:val="0"/>
          <w:marTop w:val="0"/>
          <w:marBottom w:val="0"/>
          <w:divBdr>
            <w:top w:val="none" w:sz="0" w:space="0" w:color="auto"/>
            <w:left w:val="none" w:sz="0" w:space="0" w:color="auto"/>
            <w:bottom w:val="none" w:sz="0" w:space="0" w:color="auto"/>
            <w:right w:val="none" w:sz="0" w:space="0" w:color="auto"/>
          </w:divBdr>
        </w:div>
        <w:div w:id="1955476619">
          <w:marLeft w:val="480"/>
          <w:marRight w:val="0"/>
          <w:marTop w:val="0"/>
          <w:marBottom w:val="0"/>
          <w:divBdr>
            <w:top w:val="none" w:sz="0" w:space="0" w:color="auto"/>
            <w:left w:val="none" w:sz="0" w:space="0" w:color="auto"/>
            <w:bottom w:val="none" w:sz="0" w:space="0" w:color="auto"/>
            <w:right w:val="none" w:sz="0" w:space="0" w:color="auto"/>
          </w:divBdr>
        </w:div>
        <w:div w:id="184026469">
          <w:marLeft w:val="480"/>
          <w:marRight w:val="0"/>
          <w:marTop w:val="0"/>
          <w:marBottom w:val="0"/>
          <w:divBdr>
            <w:top w:val="none" w:sz="0" w:space="0" w:color="auto"/>
            <w:left w:val="none" w:sz="0" w:space="0" w:color="auto"/>
            <w:bottom w:val="none" w:sz="0" w:space="0" w:color="auto"/>
            <w:right w:val="none" w:sz="0" w:space="0" w:color="auto"/>
          </w:divBdr>
        </w:div>
        <w:div w:id="616377605">
          <w:marLeft w:val="480"/>
          <w:marRight w:val="0"/>
          <w:marTop w:val="0"/>
          <w:marBottom w:val="0"/>
          <w:divBdr>
            <w:top w:val="none" w:sz="0" w:space="0" w:color="auto"/>
            <w:left w:val="none" w:sz="0" w:space="0" w:color="auto"/>
            <w:bottom w:val="none" w:sz="0" w:space="0" w:color="auto"/>
            <w:right w:val="none" w:sz="0" w:space="0" w:color="auto"/>
          </w:divBdr>
        </w:div>
        <w:div w:id="270935163">
          <w:marLeft w:val="480"/>
          <w:marRight w:val="0"/>
          <w:marTop w:val="0"/>
          <w:marBottom w:val="0"/>
          <w:divBdr>
            <w:top w:val="none" w:sz="0" w:space="0" w:color="auto"/>
            <w:left w:val="none" w:sz="0" w:space="0" w:color="auto"/>
            <w:bottom w:val="none" w:sz="0" w:space="0" w:color="auto"/>
            <w:right w:val="none" w:sz="0" w:space="0" w:color="auto"/>
          </w:divBdr>
        </w:div>
        <w:div w:id="2089304651">
          <w:marLeft w:val="480"/>
          <w:marRight w:val="0"/>
          <w:marTop w:val="0"/>
          <w:marBottom w:val="0"/>
          <w:divBdr>
            <w:top w:val="none" w:sz="0" w:space="0" w:color="auto"/>
            <w:left w:val="none" w:sz="0" w:space="0" w:color="auto"/>
            <w:bottom w:val="none" w:sz="0" w:space="0" w:color="auto"/>
            <w:right w:val="none" w:sz="0" w:space="0" w:color="auto"/>
          </w:divBdr>
        </w:div>
        <w:div w:id="1439253187">
          <w:marLeft w:val="480"/>
          <w:marRight w:val="0"/>
          <w:marTop w:val="0"/>
          <w:marBottom w:val="0"/>
          <w:divBdr>
            <w:top w:val="none" w:sz="0" w:space="0" w:color="auto"/>
            <w:left w:val="none" w:sz="0" w:space="0" w:color="auto"/>
            <w:bottom w:val="none" w:sz="0" w:space="0" w:color="auto"/>
            <w:right w:val="none" w:sz="0" w:space="0" w:color="auto"/>
          </w:divBdr>
        </w:div>
        <w:div w:id="1155298055">
          <w:marLeft w:val="480"/>
          <w:marRight w:val="0"/>
          <w:marTop w:val="0"/>
          <w:marBottom w:val="0"/>
          <w:divBdr>
            <w:top w:val="none" w:sz="0" w:space="0" w:color="auto"/>
            <w:left w:val="none" w:sz="0" w:space="0" w:color="auto"/>
            <w:bottom w:val="none" w:sz="0" w:space="0" w:color="auto"/>
            <w:right w:val="none" w:sz="0" w:space="0" w:color="auto"/>
          </w:divBdr>
        </w:div>
        <w:div w:id="229850518">
          <w:marLeft w:val="480"/>
          <w:marRight w:val="0"/>
          <w:marTop w:val="0"/>
          <w:marBottom w:val="0"/>
          <w:divBdr>
            <w:top w:val="none" w:sz="0" w:space="0" w:color="auto"/>
            <w:left w:val="none" w:sz="0" w:space="0" w:color="auto"/>
            <w:bottom w:val="none" w:sz="0" w:space="0" w:color="auto"/>
            <w:right w:val="none" w:sz="0" w:space="0" w:color="auto"/>
          </w:divBdr>
        </w:div>
        <w:div w:id="922295669">
          <w:marLeft w:val="480"/>
          <w:marRight w:val="0"/>
          <w:marTop w:val="0"/>
          <w:marBottom w:val="0"/>
          <w:divBdr>
            <w:top w:val="none" w:sz="0" w:space="0" w:color="auto"/>
            <w:left w:val="none" w:sz="0" w:space="0" w:color="auto"/>
            <w:bottom w:val="none" w:sz="0" w:space="0" w:color="auto"/>
            <w:right w:val="none" w:sz="0" w:space="0" w:color="auto"/>
          </w:divBdr>
        </w:div>
        <w:div w:id="967708256">
          <w:marLeft w:val="480"/>
          <w:marRight w:val="0"/>
          <w:marTop w:val="0"/>
          <w:marBottom w:val="0"/>
          <w:divBdr>
            <w:top w:val="none" w:sz="0" w:space="0" w:color="auto"/>
            <w:left w:val="none" w:sz="0" w:space="0" w:color="auto"/>
            <w:bottom w:val="none" w:sz="0" w:space="0" w:color="auto"/>
            <w:right w:val="none" w:sz="0" w:space="0" w:color="auto"/>
          </w:divBdr>
        </w:div>
        <w:div w:id="1325888946">
          <w:marLeft w:val="480"/>
          <w:marRight w:val="0"/>
          <w:marTop w:val="0"/>
          <w:marBottom w:val="0"/>
          <w:divBdr>
            <w:top w:val="none" w:sz="0" w:space="0" w:color="auto"/>
            <w:left w:val="none" w:sz="0" w:space="0" w:color="auto"/>
            <w:bottom w:val="none" w:sz="0" w:space="0" w:color="auto"/>
            <w:right w:val="none" w:sz="0" w:space="0" w:color="auto"/>
          </w:divBdr>
        </w:div>
        <w:div w:id="2111195392">
          <w:marLeft w:val="480"/>
          <w:marRight w:val="0"/>
          <w:marTop w:val="0"/>
          <w:marBottom w:val="0"/>
          <w:divBdr>
            <w:top w:val="none" w:sz="0" w:space="0" w:color="auto"/>
            <w:left w:val="none" w:sz="0" w:space="0" w:color="auto"/>
            <w:bottom w:val="none" w:sz="0" w:space="0" w:color="auto"/>
            <w:right w:val="none" w:sz="0" w:space="0" w:color="auto"/>
          </w:divBdr>
        </w:div>
        <w:div w:id="1821924116">
          <w:marLeft w:val="480"/>
          <w:marRight w:val="0"/>
          <w:marTop w:val="0"/>
          <w:marBottom w:val="0"/>
          <w:divBdr>
            <w:top w:val="none" w:sz="0" w:space="0" w:color="auto"/>
            <w:left w:val="none" w:sz="0" w:space="0" w:color="auto"/>
            <w:bottom w:val="none" w:sz="0" w:space="0" w:color="auto"/>
            <w:right w:val="none" w:sz="0" w:space="0" w:color="auto"/>
          </w:divBdr>
        </w:div>
        <w:div w:id="1981183019">
          <w:marLeft w:val="480"/>
          <w:marRight w:val="0"/>
          <w:marTop w:val="0"/>
          <w:marBottom w:val="0"/>
          <w:divBdr>
            <w:top w:val="none" w:sz="0" w:space="0" w:color="auto"/>
            <w:left w:val="none" w:sz="0" w:space="0" w:color="auto"/>
            <w:bottom w:val="none" w:sz="0" w:space="0" w:color="auto"/>
            <w:right w:val="none" w:sz="0" w:space="0" w:color="auto"/>
          </w:divBdr>
        </w:div>
        <w:div w:id="724910402">
          <w:marLeft w:val="480"/>
          <w:marRight w:val="0"/>
          <w:marTop w:val="0"/>
          <w:marBottom w:val="0"/>
          <w:divBdr>
            <w:top w:val="none" w:sz="0" w:space="0" w:color="auto"/>
            <w:left w:val="none" w:sz="0" w:space="0" w:color="auto"/>
            <w:bottom w:val="none" w:sz="0" w:space="0" w:color="auto"/>
            <w:right w:val="none" w:sz="0" w:space="0" w:color="auto"/>
          </w:divBdr>
        </w:div>
        <w:div w:id="1654261540">
          <w:marLeft w:val="480"/>
          <w:marRight w:val="0"/>
          <w:marTop w:val="0"/>
          <w:marBottom w:val="0"/>
          <w:divBdr>
            <w:top w:val="none" w:sz="0" w:space="0" w:color="auto"/>
            <w:left w:val="none" w:sz="0" w:space="0" w:color="auto"/>
            <w:bottom w:val="none" w:sz="0" w:space="0" w:color="auto"/>
            <w:right w:val="none" w:sz="0" w:space="0" w:color="auto"/>
          </w:divBdr>
        </w:div>
        <w:div w:id="1419861723">
          <w:marLeft w:val="480"/>
          <w:marRight w:val="0"/>
          <w:marTop w:val="0"/>
          <w:marBottom w:val="0"/>
          <w:divBdr>
            <w:top w:val="none" w:sz="0" w:space="0" w:color="auto"/>
            <w:left w:val="none" w:sz="0" w:space="0" w:color="auto"/>
            <w:bottom w:val="none" w:sz="0" w:space="0" w:color="auto"/>
            <w:right w:val="none" w:sz="0" w:space="0" w:color="auto"/>
          </w:divBdr>
        </w:div>
        <w:div w:id="1203202925">
          <w:marLeft w:val="480"/>
          <w:marRight w:val="0"/>
          <w:marTop w:val="0"/>
          <w:marBottom w:val="0"/>
          <w:divBdr>
            <w:top w:val="none" w:sz="0" w:space="0" w:color="auto"/>
            <w:left w:val="none" w:sz="0" w:space="0" w:color="auto"/>
            <w:bottom w:val="none" w:sz="0" w:space="0" w:color="auto"/>
            <w:right w:val="none" w:sz="0" w:space="0" w:color="auto"/>
          </w:divBdr>
        </w:div>
        <w:div w:id="1677684696">
          <w:marLeft w:val="480"/>
          <w:marRight w:val="0"/>
          <w:marTop w:val="0"/>
          <w:marBottom w:val="0"/>
          <w:divBdr>
            <w:top w:val="none" w:sz="0" w:space="0" w:color="auto"/>
            <w:left w:val="none" w:sz="0" w:space="0" w:color="auto"/>
            <w:bottom w:val="none" w:sz="0" w:space="0" w:color="auto"/>
            <w:right w:val="none" w:sz="0" w:space="0" w:color="auto"/>
          </w:divBdr>
        </w:div>
        <w:div w:id="636760179">
          <w:marLeft w:val="480"/>
          <w:marRight w:val="0"/>
          <w:marTop w:val="0"/>
          <w:marBottom w:val="0"/>
          <w:divBdr>
            <w:top w:val="none" w:sz="0" w:space="0" w:color="auto"/>
            <w:left w:val="none" w:sz="0" w:space="0" w:color="auto"/>
            <w:bottom w:val="none" w:sz="0" w:space="0" w:color="auto"/>
            <w:right w:val="none" w:sz="0" w:space="0" w:color="auto"/>
          </w:divBdr>
        </w:div>
        <w:div w:id="72241755">
          <w:marLeft w:val="480"/>
          <w:marRight w:val="0"/>
          <w:marTop w:val="0"/>
          <w:marBottom w:val="0"/>
          <w:divBdr>
            <w:top w:val="none" w:sz="0" w:space="0" w:color="auto"/>
            <w:left w:val="none" w:sz="0" w:space="0" w:color="auto"/>
            <w:bottom w:val="none" w:sz="0" w:space="0" w:color="auto"/>
            <w:right w:val="none" w:sz="0" w:space="0" w:color="auto"/>
          </w:divBdr>
        </w:div>
        <w:div w:id="1588541541">
          <w:marLeft w:val="480"/>
          <w:marRight w:val="0"/>
          <w:marTop w:val="0"/>
          <w:marBottom w:val="0"/>
          <w:divBdr>
            <w:top w:val="none" w:sz="0" w:space="0" w:color="auto"/>
            <w:left w:val="none" w:sz="0" w:space="0" w:color="auto"/>
            <w:bottom w:val="none" w:sz="0" w:space="0" w:color="auto"/>
            <w:right w:val="none" w:sz="0" w:space="0" w:color="auto"/>
          </w:divBdr>
        </w:div>
        <w:div w:id="838926456">
          <w:marLeft w:val="480"/>
          <w:marRight w:val="0"/>
          <w:marTop w:val="0"/>
          <w:marBottom w:val="0"/>
          <w:divBdr>
            <w:top w:val="none" w:sz="0" w:space="0" w:color="auto"/>
            <w:left w:val="none" w:sz="0" w:space="0" w:color="auto"/>
            <w:bottom w:val="none" w:sz="0" w:space="0" w:color="auto"/>
            <w:right w:val="none" w:sz="0" w:space="0" w:color="auto"/>
          </w:divBdr>
        </w:div>
        <w:div w:id="1519585723">
          <w:marLeft w:val="480"/>
          <w:marRight w:val="0"/>
          <w:marTop w:val="0"/>
          <w:marBottom w:val="0"/>
          <w:divBdr>
            <w:top w:val="none" w:sz="0" w:space="0" w:color="auto"/>
            <w:left w:val="none" w:sz="0" w:space="0" w:color="auto"/>
            <w:bottom w:val="none" w:sz="0" w:space="0" w:color="auto"/>
            <w:right w:val="none" w:sz="0" w:space="0" w:color="auto"/>
          </w:divBdr>
        </w:div>
        <w:div w:id="512183823">
          <w:marLeft w:val="480"/>
          <w:marRight w:val="0"/>
          <w:marTop w:val="0"/>
          <w:marBottom w:val="0"/>
          <w:divBdr>
            <w:top w:val="none" w:sz="0" w:space="0" w:color="auto"/>
            <w:left w:val="none" w:sz="0" w:space="0" w:color="auto"/>
            <w:bottom w:val="none" w:sz="0" w:space="0" w:color="auto"/>
            <w:right w:val="none" w:sz="0" w:space="0" w:color="auto"/>
          </w:divBdr>
        </w:div>
        <w:div w:id="1377239412">
          <w:marLeft w:val="480"/>
          <w:marRight w:val="0"/>
          <w:marTop w:val="0"/>
          <w:marBottom w:val="0"/>
          <w:divBdr>
            <w:top w:val="none" w:sz="0" w:space="0" w:color="auto"/>
            <w:left w:val="none" w:sz="0" w:space="0" w:color="auto"/>
            <w:bottom w:val="none" w:sz="0" w:space="0" w:color="auto"/>
            <w:right w:val="none" w:sz="0" w:space="0" w:color="auto"/>
          </w:divBdr>
        </w:div>
        <w:div w:id="1593666937">
          <w:marLeft w:val="480"/>
          <w:marRight w:val="0"/>
          <w:marTop w:val="0"/>
          <w:marBottom w:val="0"/>
          <w:divBdr>
            <w:top w:val="none" w:sz="0" w:space="0" w:color="auto"/>
            <w:left w:val="none" w:sz="0" w:space="0" w:color="auto"/>
            <w:bottom w:val="none" w:sz="0" w:space="0" w:color="auto"/>
            <w:right w:val="none" w:sz="0" w:space="0" w:color="auto"/>
          </w:divBdr>
        </w:div>
        <w:div w:id="824736581">
          <w:marLeft w:val="480"/>
          <w:marRight w:val="0"/>
          <w:marTop w:val="0"/>
          <w:marBottom w:val="0"/>
          <w:divBdr>
            <w:top w:val="none" w:sz="0" w:space="0" w:color="auto"/>
            <w:left w:val="none" w:sz="0" w:space="0" w:color="auto"/>
            <w:bottom w:val="none" w:sz="0" w:space="0" w:color="auto"/>
            <w:right w:val="none" w:sz="0" w:space="0" w:color="auto"/>
          </w:divBdr>
        </w:div>
        <w:div w:id="1714689092">
          <w:marLeft w:val="480"/>
          <w:marRight w:val="0"/>
          <w:marTop w:val="0"/>
          <w:marBottom w:val="0"/>
          <w:divBdr>
            <w:top w:val="none" w:sz="0" w:space="0" w:color="auto"/>
            <w:left w:val="none" w:sz="0" w:space="0" w:color="auto"/>
            <w:bottom w:val="none" w:sz="0" w:space="0" w:color="auto"/>
            <w:right w:val="none" w:sz="0" w:space="0" w:color="auto"/>
          </w:divBdr>
        </w:div>
        <w:div w:id="436414430">
          <w:marLeft w:val="480"/>
          <w:marRight w:val="0"/>
          <w:marTop w:val="0"/>
          <w:marBottom w:val="0"/>
          <w:divBdr>
            <w:top w:val="none" w:sz="0" w:space="0" w:color="auto"/>
            <w:left w:val="none" w:sz="0" w:space="0" w:color="auto"/>
            <w:bottom w:val="none" w:sz="0" w:space="0" w:color="auto"/>
            <w:right w:val="none" w:sz="0" w:space="0" w:color="auto"/>
          </w:divBdr>
        </w:div>
        <w:div w:id="1439761457">
          <w:marLeft w:val="480"/>
          <w:marRight w:val="0"/>
          <w:marTop w:val="0"/>
          <w:marBottom w:val="0"/>
          <w:divBdr>
            <w:top w:val="none" w:sz="0" w:space="0" w:color="auto"/>
            <w:left w:val="none" w:sz="0" w:space="0" w:color="auto"/>
            <w:bottom w:val="none" w:sz="0" w:space="0" w:color="auto"/>
            <w:right w:val="none" w:sz="0" w:space="0" w:color="auto"/>
          </w:divBdr>
        </w:div>
        <w:div w:id="630087969">
          <w:marLeft w:val="480"/>
          <w:marRight w:val="0"/>
          <w:marTop w:val="0"/>
          <w:marBottom w:val="0"/>
          <w:divBdr>
            <w:top w:val="none" w:sz="0" w:space="0" w:color="auto"/>
            <w:left w:val="none" w:sz="0" w:space="0" w:color="auto"/>
            <w:bottom w:val="none" w:sz="0" w:space="0" w:color="auto"/>
            <w:right w:val="none" w:sz="0" w:space="0" w:color="auto"/>
          </w:divBdr>
        </w:div>
        <w:div w:id="1189491408">
          <w:marLeft w:val="480"/>
          <w:marRight w:val="0"/>
          <w:marTop w:val="0"/>
          <w:marBottom w:val="0"/>
          <w:divBdr>
            <w:top w:val="none" w:sz="0" w:space="0" w:color="auto"/>
            <w:left w:val="none" w:sz="0" w:space="0" w:color="auto"/>
            <w:bottom w:val="none" w:sz="0" w:space="0" w:color="auto"/>
            <w:right w:val="none" w:sz="0" w:space="0" w:color="auto"/>
          </w:divBdr>
        </w:div>
        <w:div w:id="2000190072">
          <w:marLeft w:val="480"/>
          <w:marRight w:val="0"/>
          <w:marTop w:val="0"/>
          <w:marBottom w:val="0"/>
          <w:divBdr>
            <w:top w:val="none" w:sz="0" w:space="0" w:color="auto"/>
            <w:left w:val="none" w:sz="0" w:space="0" w:color="auto"/>
            <w:bottom w:val="none" w:sz="0" w:space="0" w:color="auto"/>
            <w:right w:val="none" w:sz="0" w:space="0" w:color="auto"/>
          </w:divBdr>
        </w:div>
        <w:div w:id="1514150787">
          <w:marLeft w:val="480"/>
          <w:marRight w:val="0"/>
          <w:marTop w:val="0"/>
          <w:marBottom w:val="0"/>
          <w:divBdr>
            <w:top w:val="none" w:sz="0" w:space="0" w:color="auto"/>
            <w:left w:val="none" w:sz="0" w:space="0" w:color="auto"/>
            <w:bottom w:val="none" w:sz="0" w:space="0" w:color="auto"/>
            <w:right w:val="none" w:sz="0" w:space="0" w:color="auto"/>
          </w:divBdr>
        </w:div>
        <w:div w:id="750391186">
          <w:marLeft w:val="480"/>
          <w:marRight w:val="0"/>
          <w:marTop w:val="0"/>
          <w:marBottom w:val="0"/>
          <w:divBdr>
            <w:top w:val="none" w:sz="0" w:space="0" w:color="auto"/>
            <w:left w:val="none" w:sz="0" w:space="0" w:color="auto"/>
            <w:bottom w:val="none" w:sz="0" w:space="0" w:color="auto"/>
            <w:right w:val="none" w:sz="0" w:space="0" w:color="auto"/>
          </w:divBdr>
        </w:div>
        <w:div w:id="69743260">
          <w:marLeft w:val="480"/>
          <w:marRight w:val="0"/>
          <w:marTop w:val="0"/>
          <w:marBottom w:val="0"/>
          <w:divBdr>
            <w:top w:val="none" w:sz="0" w:space="0" w:color="auto"/>
            <w:left w:val="none" w:sz="0" w:space="0" w:color="auto"/>
            <w:bottom w:val="none" w:sz="0" w:space="0" w:color="auto"/>
            <w:right w:val="none" w:sz="0" w:space="0" w:color="auto"/>
          </w:divBdr>
        </w:div>
        <w:div w:id="1340427279">
          <w:marLeft w:val="480"/>
          <w:marRight w:val="0"/>
          <w:marTop w:val="0"/>
          <w:marBottom w:val="0"/>
          <w:divBdr>
            <w:top w:val="none" w:sz="0" w:space="0" w:color="auto"/>
            <w:left w:val="none" w:sz="0" w:space="0" w:color="auto"/>
            <w:bottom w:val="none" w:sz="0" w:space="0" w:color="auto"/>
            <w:right w:val="none" w:sz="0" w:space="0" w:color="auto"/>
          </w:divBdr>
        </w:div>
        <w:div w:id="2023890776">
          <w:marLeft w:val="480"/>
          <w:marRight w:val="0"/>
          <w:marTop w:val="0"/>
          <w:marBottom w:val="0"/>
          <w:divBdr>
            <w:top w:val="none" w:sz="0" w:space="0" w:color="auto"/>
            <w:left w:val="none" w:sz="0" w:space="0" w:color="auto"/>
            <w:bottom w:val="none" w:sz="0" w:space="0" w:color="auto"/>
            <w:right w:val="none" w:sz="0" w:space="0" w:color="auto"/>
          </w:divBdr>
        </w:div>
        <w:div w:id="1960526035">
          <w:marLeft w:val="480"/>
          <w:marRight w:val="0"/>
          <w:marTop w:val="0"/>
          <w:marBottom w:val="0"/>
          <w:divBdr>
            <w:top w:val="none" w:sz="0" w:space="0" w:color="auto"/>
            <w:left w:val="none" w:sz="0" w:space="0" w:color="auto"/>
            <w:bottom w:val="none" w:sz="0" w:space="0" w:color="auto"/>
            <w:right w:val="none" w:sz="0" w:space="0" w:color="auto"/>
          </w:divBdr>
        </w:div>
        <w:div w:id="42993360">
          <w:marLeft w:val="480"/>
          <w:marRight w:val="0"/>
          <w:marTop w:val="0"/>
          <w:marBottom w:val="0"/>
          <w:divBdr>
            <w:top w:val="none" w:sz="0" w:space="0" w:color="auto"/>
            <w:left w:val="none" w:sz="0" w:space="0" w:color="auto"/>
            <w:bottom w:val="none" w:sz="0" w:space="0" w:color="auto"/>
            <w:right w:val="none" w:sz="0" w:space="0" w:color="auto"/>
          </w:divBdr>
        </w:div>
        <w:div w:id="1543323435">
          <w:marLeft w:val="480"/>
          <w:marRight w:val="0"/>
          <w:marTop w:val="0"/>
          <w:marBottom w:val="0"/>
          <w:divBdr>
            <w:top w:val="none" w:sz="0" w:space="0" w:color="auto"/>
            <w:left w:val="none" w:sz="0" w:space="0" w:color="auto"/>
            <w:bottom w:val="none" w:sz="0" w:space="0" w:color="auto"/>
            <w:right w:val="none" w:sz="0" w:space="0" w:color="auto"/>
          </w:divBdr>
        </w:div>
        <w:div w:id="1629779030">
          <w:marLeft w:val="480"/>
          <w:marRight w:val="0"/>
          <w:marTop w:val="0"/>
          <w:marBottom w:val="0"/>
          <w:divBdr>
            <w:top w:val="none" w:sz="0" w:space="0" w:color="auto"/>
            <w:left w:val="none" w:sz="0" w:space="0" w:color="auto"/>
            <w:bottom w:val="none" w:sz="0" w:space="0" w:color="auto"/>
            <w:right w:val="none" w:sz="0" w:space="0" w:color="auto"/>
          </w:divBdr>
        </w:div>
        <w:div w:id="926426575">
          <w:marLeft w:val="480"/>
          <w:marRight w:val="0"/>
          <w:marTop w:val="0"/>
          <w:marBottom w:val="0"/>
          <w:divBdr>
            <w:top w:val="none" w:sz="0" w:space="0" w:color="auto"/>
            <w:left w:val="none" w:sz="0" w:space="0" w:color="auto"/>
            <w:bottom w:val="none" w:sz="0" w:space="0" w:color="auto"/>
            <w:right w:val="none" w:sz="0" w:space="0" w:color="auto"/>
          </w:divBdr>
        </w:div>
        <w:div w:id="766195942">
          <w:marLeft w:val="480"/>
          <w:marRight w:val="0"/>
          <w:marTop w:val="0"/>
          <w:marBottom w:val="0"/>
          <w:divBdr>
            <w:top w:val="none" w:sz="0" w:space="0" w:color="auto"/>
            <w:left w:val="none" w:sz="0" w:space="0" w:color="auto"/>
            <w:bottom w:val="none" w:sz="0" w:space="0" w:color="auto"/>
            <w:right w:val="none" w:sz="0" w:space="0" w:color="auto"/>
          </w:divBdr>
        </w:div>
        <w:div w:id="1184200540">
          <w:marLeft w:val="480"/>
          <w:marRight w:val="0"/>
          <w:marTop w:val="0"/>
          <w:marBottom w:val="0"/>
          <w:divBdr>
            <w:top w:val="none" w:sz="0" w:space="0" w:color="auto"/>
            <w:left w:val="none" w:sz="0" w:space="0" w:color="auto"/>
            <w:bottom w:val="none" w:sz="0" w:space="0" w:color="auto"/>
            <w:right w:val="none" w:sz="0" w:space="0" w:color="auto"/>
          </w:divBdr>
        </w:div>
        <w:div w:id="792986832">
          <w:marLeft w:val="480"/>
          <w:marRight w:val="0"/>
          <w:marTop w:val="0"/>
          <w:marBottom w:val="0"/>
          <w:divBdr>
            <w:top w:val="none" w:sz="0" w:space="0" w:color="auto"/>
            <w:left w:val="none" w:sz="0" w:space="0" w:color="auto"/>
            <w:bottom w:val="none" w:sz="0" w:space="0" w:color="auto"/>
            <w:right w:val="none" w:sz="0" w:space="0" w:color="auto"/>
          </w:divBdr>
        </w:div>
        <w:div w:id="1658458835">
          <w:marLeft w:val="480"/>
          <w:marRight w:val="0"/>
          <w:marTop w:val="0"/>
          <w:marBottom w:val="0"/>
          <w:divBdr>
            <w:top w:val="none" w:sz="0" w:space="0" w:color="auto"/>
            <w:left w:val="none" w:sz="0" w:space="0" w:color="auto"/>
            <w:bottom w:val="none" w:sz="0" w:space="0" w:color="auto"/>
            <w:right w:val="none" w:sz="0" w:space="0" w:color="auto"/>
          </w:divBdr>
        </w:div>
        <w:div w:id="835533936">
          <w:marLeft w:val="480"/>
          <w:marRight w:val="0"/>
          <w:marTop w:val="0"/>
          <w:marBottom w:val="0"/>
          <w:divBdr>
            <w:top w:val="none" w:sz="0" w:space="0" w:color="auto"/>
            <w:left w:val="none" w:sz="0" w:space="0" w:color="auto"/>
            <w:bottom w:val="none" w:sz="0" w:space="0" w:color="auto"/>
            <w:right w:val="none" w:sz="0" w:space="0" w:color="auto"/>
          </w:divBdr>
        </w:div>
        <w:div w:id="1750879675">
          <w:marLeft w:val="480"/>
          <w:marRight w:val="0"/>
          <w:marTop w:val="0"/>
          <w:marBottom w:val="0"/>
          <w:divBdr>
            <w:top w:val="none" w:sz="0" w:space="0" w:color="auto"/>
            <w:left w:val="none" w:sz="0" w:space="0" w:color="auto"/>
            <w:bottom w:val="none" w:sz="0" w:space="0" w:color="auto"/>
            <w:right w:val="none" w:sz="0" w:space="0" w:color="auto"/>
          </w:divBdr>
        </w:div>
        <w:div w:id="2134052427">
          <w:marLeft w:val="480"/>
          <w:marRight w:val="0"/>
          <w:marTop w:val="0"/>
          <w:marBottom w:val="0"/>
          <w:divBdr>
            <w:top w:val="none" w:sz="0" w:space="0" w:color="auto"/>
            <w:left w:val="none" w:sz="0" w:space="0" w:color="auto"/>
            <w:bottom w:val="none" w:sz="0" w:space="0" w:color="auto"/>
            <w:right w:val="none" w:sz="0" w:space="0" w:color="auto"/>
          </w:divBdr>
        </w:div>
        <w:div w:id="408160460">
          <w:marLeft w:val="480"/>
          <w:marRight w:val="0"/>
          <w:marTop w:val="0"/>
          <w:marBottom w:val="0"/>
          <w:divBdr>
            <w:top w:val="none" w:sz="0" w:space="0" w:color="auto"/>
            <w:left w:val="none" w:sz="0" w:space="0" w:color="auto"/>
            <w:bottom w:val="none" w:sz="0" w:space="0" w:color="auto"/>
            <w:right w:val="none" w:sz="0" w:space="0" w:color="auto"/>
          </w:divBdr>
        </w:div>
        <w:div w:id="1256014526">
          <w:marLeft w:val="480"/>
          <w:marRight w:val="0"/>
          <w:marTop w:val="0"/>
          <w:marBottom w:val="0"/>
          <w:divBdr>
            <w:top w:val="none" w:sz="0" w:space="0" w:color="auto"/>
            <w:left w:val="none" w:sz="0" w:space="0" w:color="auto"/>
            <w:bottom w:val="none" w:sz="0" w:space="0" w:color="auto"/>
            <w:right w:val="none" w:sz="0" w:space="0" w:color="auto"/>
          </w:divBdr>
        </w:div>
        <w:div w:id="1062951198">
          <w:marLeft w:val="480"/>
          <w:marRight w:val="0"/>
          <w:marTop w:val="0"/>
          <w:marBottom w:val="0"/>
          <w:divBdr>
            <w:top w:val="none" w:sz="0" w:space="0" w:color="auto"/>
            <w:left w:val="none" w:sz="0" w:space="0" w:color="auto"/>
            <w:bottom w:val="none" w:sz="0" w:space="0" w:color="auto"/>
            <w:right w:val="none" w:sz="0" w:space="0" w:color="auto"/>
          </w:divBdr>
        </w:div>
        <w:div w:id="1618831774">
          <w:marLeft w:val="480"/>
          <w:marRight w:val="0"/>
          <w:marTop w:val="0"/>
          <w:marBottom w:val="0"/>
          <w:divBdr>
            <w:top w:val="none" w:sz="0" w:space="0" w:color="auto"/>
            <w:left w:val="none" w:sz="0" w:space="0" w:color="auto"/>
            <w:bottom w:val="none" w:sz="0" w:space="0" w:color="auto"/>
            <w:right w:val="none" w:sz="0" w:space="0" w:color="auto"/>
          </w:divBdr>
        </w:div>
        <w:div w:id="59912221">
          <w:marLeft w:val="480"/>
          <w:marRight w:val="0"/>
          <w:marTop w:val="0"/>
          <w:marBottom w:val="0"/>
          <w:divBdr>
            <w:top w:val="none" w:sz="0" w:space="0" w:color="auto"/>
            <w:left w:val="none" w:sz="0" w:space="0" w:color="auto"/>
            <w:bottom w:val="none" w:sz="0" w:space="0" w:color="auto"/>
            <w:right w:val="none" w:sz="0" w:space="0" w:color="auto"/>
          </w:divBdr>
        </w:div>
        <w:div w:id="1994681168">
          <w:marLeft w:val="480"/>
          <w:marRight w:val="0"/>
          <w:marTop w:val="0"/>
          <w:marBottom w:val="0"/>
          <w:divBdr>
            <w:top w:val="none" w:sz="0" w:space="0" w:color="auto"/>
            <w:left w:val="none" w:sz="0" w:space="0" w:color="auto"/>
            <w:bottom w:val="none" w:sz="0" w:space="0" w:color="auto"/>
            <w:right w:val="none" w:sz="0" w:space="0" w:color="auto"/>
          </w:divBdr>
        </w:div>
        <w:div w:id="183372355">
          <w:marLeft w:val="480"/>
          <w:marRight w:val="0"/>
          <w:marTop w:val="0"/>
          <w:marBottom w:val="0"/>
          <w:divBdr>
            <w:top w:val="none" w:sz="0" w:space="0" w:color="auto"/>
            <w:left w:val="none" w:sz="0" w:space="0" w:color="auto"/>
            <w:bottom w:val="none" w:sz="0" w:space="0" w:color="auto"/>
            <w:right w:val="none" w:sz="0" w:space="0" w:color="auto"/>
          </w:divBdr>
        </w:div>
        <w:div w:id="216667634">
          <w:marLeft w:val="480"/>
          <w:marRight w:val="0"/>
          <w:marTop w:val="0"/>
          <w:marBottom w:val="0"/>
          <w:divBdr>
            <w:top w:val="none" w:sz="0" w:space="0" w:color="auto"/>
            <w:left w:val="none" w:sz="0" w:space="0" w:color="auto"/>
            <w:bottom w:val="none" w:sz="0" w:space="0" w:color="auto"/>
            <w:right w:val="none" w:sz="0" w:space="0" w:color="auto"/>
          </w:divBdr>
        </w:div>
        <w:div w:id="1917545058">
          <w:marLeft w:val="480"/>
          <w:marRight w:val="0"/>
          <w:marTop w:val="0"/>
          <w:marBottom w:val="0"/>
          <w:divBdr>
            <w:top w:val="none" w:sz="0" w:space="0" w:color="auto"/>
            <w:left w:val="none" w:sz="0" w:space="0" w:color="auto"/>
            <w:bottom w:val="none" w:sz="0" w:space="0" w:color="auto"/>
            <w:right w:val="none" w:sz="0" w:space="0" w:color="auto"/>
          </w:divBdr>
        </w:div>
        <w:div w:id="2139640922">
          <w:marLeft w:val="480"/>
          <w:marRight w:val="0"/>
          <w:marTop w:val="0"/>
          <w:marBottom w:val="0"/>
          <w:divBdr>
            <w:top w:val="none" w:sz="0" w:space="0" w:color="auto"/>
            <w:left w:val="none" w:sz="0" w:space="0" w:color="auto"/>
            <w:bottom w:val="none" w:sz="0" w:space="0" w:color="auto"/>
            <w:right w:val="none" w:sz="0" w:space="0" w:color="auto"/>
          </w:divBdr>
        </w:div>
        <w:div w:id="425468061">
          <w:marLeft w:val="480"/>
          <w:marRight w:val="0"/>
          <w:marTop w:val="0"/>
          <w:marBottom w:val="0"/>
          <w:divBdr>
            <w:top w:val="none" w:sz="0" w:space="0" w:color="auto"/>
            <w:left w:val="none" w:sz="0" w:space="0" w:color="auto"/>
            <w:bottom w:val="none" w:sz="0" w:space="0" w:color="auto"/>
            <w:right w:val="none" w:sz="0" w:space="0" w:color="auto"/>
          </w:divBdr>
        </w:div>
        <w:div w:id="1426456667">
          <w:marLeft w:val="480"/>
          <w:marRight w:val="0"/>
          <w:marTop w:val="0"/>
          <w:marBottom w:val="0"/>
          <w:divBdr>
            <w:top w:val="none" w:sz="0" w:space="0" w:color="auto"/>
            <w:left w:val="none" w:sz="0" w:space="0" w:color="auto"/>
            <w:bottom w:val="none" w:sz="0" w:space="0" w:color="auto"/>
            <w:right w:val="none" w:sz="0" w:space="0" w:color="auto"/>
          </w:divBdr>
        </w:div>
        <w:div w:id="1519006097">
          <w:marLeft w:val="480"/>
          <w:marRight w:val="0"/>
          <w:marTop w:val="0"/>
          <w:marBottom w:val="0"/>
          <w:divBdr>
            <w:top w:val="none" w:sz="0" w:space="0" w:color="auto"/>
            <w:left w:val="none" w:sz="0" w:space="0" w:color="auto"/>
            <w:bottom w:val="none" w:sz="0" w:space="0" w:color="auto"/>
            <w:right w:val="none" w:sz="0" w:space="0" w:color="auto"/>
          </w:divBdr>
        </w:div>
        <w:div w:id="279262050">
          <w:marLeft w:val="480"/>
          <w:marRight w:val="0"/>
          <w:marTop w:val="0"/>
          <w:marBottom w:val="0"/>
          <w:divBdr>
            <w:top w:val="none" w:sz="0" w:space="0" w:color="auto"/>
            <w:left w:val="none" w:sz="0" w:space="0" w:color="auto"/>
            <w:bottom w:val="none" w:sz="0" w:space="0" w:color="auto"/>
            <w:right w:val="none" w:sz="0" w:space="0" w:color="auto"/>
          </w:divBdr>
        </w:div>
        <w:div w:id="1624922866">
          <w:marLeft w:val="480"/>
          <w:marRight w:val="0"/>
          <w:marTop w:val="0"/>
          <w:marBottom w:val="0"/>
          <w:divBdr>
            <w:top w:val="none" w:sz="0" w:space="0" w:color="auto"/>
            <w:left w:val="none" w:sz="0" w:space="0" w:color="auto"/>
            <w:bottom w:val="none" w:sz="0" w:space="0" w:color="auto"/>
            <w:right w:val="none" w:sz="0" w:space="0" w:color="auto"/>
          </w:divBdr>
        </w:div>
        <w:div w:id="2899838">
          <w:marLeft w:val="480"/>
          <w:marRight w:val="0"/>
          <w:marTop w:val="0"/>
          <w:marBottom w:val="0"/>
          <w:divBdr>
            <w:top w:val="none" w:sz="0" w:space="0" w:color="auto"/>
            <w:left w:val="none" w:sz="0" w:space="0" w:color="auto"/>
            <w:bottom w:val="none" w:sz="0" w:space="0" w:color="auto"/>
            <w:right w:val="none" w:sz="0" w:space="0" w:color="auto"/>
          </w:divBdr>
        </w:div>
        <w:div w:id="479884659">
          <w:marLeft w:val="480"/>
          <w:marRight w:val="0"/>
          <w:marTop w:val="0"/>
          <w:marBottom w:val="0"/>
          <w:divBdr>
            <w:top w:val="none" w:sz="0" w:space="0" w:color="auto"/>
            <w:left w:val="none" w:sz="0" w:space="0" w:color="auto"/>
            <w:bottom w:val="none" w:sz="0" w:space="0" w:color="auto"/>
            <w:right w:val="none" w:sz="0" w:space="0" w:color="auto"/>
          </w:divBdr>
        </w:div>
        <w:div w:id="2039692470">
          <w:marLeft w:val="480"/>
          <w:marRight w:val="0"/>
          <w:marTop w:val="0"/>
          <w:marBottom w:val="0"/>
          <w:divBdr>
            <w:top w:val="none" w:sz="0" w:space="0" w:color="auto"/>
            <w:left w:val="none" w:sz="0" w:space="0" w:color="auto"/>
            <w:bottom w:val="none" w:sz="0" w:space="0" w:color="auto"/>
            <w:right w:val="none" w:sz="0" w:space="0" w:color="auto"/>
          </w:divBdr>
        </w:div>
        <w:div w:id="978266487">
          <w:marLeft w:val="480"/>
          <w:marRight w:val="0"/>
          <w:marTop w:val="0"/>
          <w:marBottom w:val="0"/>
          <w:divBdr>
            <w:top w:val="none" w:sz="0" w:space="0" w:color="auto"/>
            <w:left w:val="none" w:sz="0" w:space="0" w:color="auto"/>
            <w:bottom w:val="none" w:sz="0" w:space="0" w:color="auto"/>
            <w:right w:val="none" w:sz="0" w:space="0" w:color="auto"/>
          </w:divBdr>
        </w:div>
        <w:div w:id="1537501738">
          <w:marLeft w:val="480"/>
          <w:marRight w:val="0"/>
          <w:marTop w:val="0"/>
          <w:marBottom w:val="0"/>
          <w:divBdr>
            <w:top w:val="none" w:sz="0" w:space="0" w:color="auto"/>
            <w:left w:val="none" w:sz="0" w:space="0" w:color="auto"/>
            <w:bottom w:val="none" w:sz="0" w:space="0" w:color="auto"/>
            <w:right w:val="none" w:sz="0" w:space="0" w:color="auto"/>
          </w:divBdr>
        </w:div>
        <w:div w:id="1185556008">
          <w:marLeft w:val="480"/>
          <w:marRight w:val="0"/>
          <w:marTop w:val="0"/>
          <w:marBottom w:val="0"/>
          <w:divBdr>
            <w:top w:val="none" w:sz="0" w:space="0" w:color="auto"/>
            <w:left w:val="none" w:sz="0" w:space="0" w:color="auto"/>
            <w:bottom w:val="none" w:sz="0" w:space="0" w:color="auto"/>
            <w:right w:val="none" w:sz="0" w:space="0" w:color="auto"/>
          </w:divBdr>
        </w:div>
        <w:div w:id="1554996957">
          <w:marLeft w:val="480"/>
          <w:marRight w:val="0"/>
          <w:marTop w:val="0"/>
          <w:marBottom w:val="0"/>
          <w:divBdr>
            <w:top w:val="none" w:sz="0" w:space="0" w:color="auto"/>
            <w:left w:val="none" w:sz="0" w:space="0" w:color="auto"/>
            <w:bottom w:val="none" w:sz="0" w:space="0" w:color="auto"/>
            <w:right w:val="none" w:sz="0" w:space="0" w:color="auto"/>
          </w:divBdr>
        </w:div>
        <w:div w:id="998576359">
          <w:marLeft w:val="480"/>
          <w:marRight w:val="0"/>
          <w:marTop w:val="0"/>
          <w:marBottom w:val="0"/>
          <w:divBdr>
            <w:top w:val="none" w:sz="0" w:space="0" w:color="auto"/>
            <w:left w:val="none" w:sz="0" w:space="0" w:color="auto"/>
            <w:bottom w:val="none" w:sz="0" w:space="0" w:color="auto"/>
            <w:right w:val="none" w:sz="0" w:space="0" w:color="auto"/>
          </w:divBdr>
        </w:div>
        <w:div w:id="1888640537">
          <w:marLeft w:val="480"/>
          <w:marRight w:val="0"/>
          <w:marTop w:val="0"/>
          <w:marBottom w:val="0"/>
          <w:divBdr>
            <w:top w:val="none" w:sz="0" w:space="0" w:color="auto"/>
            <w:left w:val="none" w:sz="0" w:space="0" w:color="auto"/>
            <w:bottom w:val="none" w:sz="0" w:space="0" w:color="auto"/>
            <w:right w:val="none" w:sz="0" w:space="0" w:color="auto"/>
          </w:divBdr>
        </w:div>
        <w:div w:id="1436822703">
          <w:marLeft w:val="480"/>
          <w:marRight w:val="0"/>
          <w:marTop w:val="0"/>
          <w:marBottom w:val="0"/>
          <w:divBdr>
            <w:top w:val="none" w:sz="0" w:space="0" w:color="auto"/>
            <w:left w:val="none" w:sz="0" w:space="0" w:color="auto"/>
            <w:bottom w:val="none" w:sz="0" w:space="0" w:color="auto"/>
            <w:right w:val="none" w:sz="0" w:space="0" w:color="auto"/>
          </w:divBdr>
        </w:div>
        <w:div w:id="1415323505">
          <w:marLeft w:val="480"/>
          <w:marRight w:val="0"/>
          <w:marTop w:val="0"/>
          <w:marBottom w:val="0"/>
          <w:divBdr>
            <w:top w:val="none" w:sz="0" w:space="0" w:color="auto"/>
            <w:left w:val="none" w:sz="0" w:space="0" w:color="auto"/>
            <w:bottom w:val="none" w:sz="0" w:space="0" w:color="auto"/>
            <w:right w:val="none" w:sz="0" w:space="0" w:color="auto"/>
          </w:divBdr>
        </w:div>
        <w:div w:id="898857337">
          <w:marLeft w:val="480"/>
          <w:marRight w:val="0"/>
          <w:marTop w:val="0"/>
          <w:marBottom w:val="0"/>
          <w:divBdr>
            <w:top w:val="none" w:sz="0" w:space="0" w:color="auto"/>
            <w:left w:val="none" w:sz="0" w:space="0" w:color="auto"/>
            <w:bottom w:val="none" w:sz="0" w:space="0" w:color="auto"/>
            <w:right w:val="none" w:sz="0" w:space="0" w:color="auto"/>
          </w:divBdr>
        </w:div>
        <w:div w:id="314066388">
          <w:marLeft w:val="480"/>
          <w:marRight w:val="0"/>
          <w:marTop w:val="0"/>
          <w:marBottom w:val="0"/>
          <w:divBdr>
            <w:top w:val="none" w:sz="0" w:space="0" w:color="auto"/>
            <w:left w:val="none" w:sz="0" w:space="0" w:color="auto"/>
            <w:bottom w:val="none" w:sz="0" w:space="0" w:color="auto"/>
            <w:right w:val="none" w:sz="0" w:space="0" w:color="auto"/>
          </w:divBdr>
        </w:div>
        <w:div w:id="2115972467">
          <w:marLeft w:val="480"/>
          <w:marRight w:val="0"/>
          <w:marTop w:val="0"/>
          <w:marBottom w:val="0"/>
          <w:divBdr>
            <w:top w:val="none" w:sz="0" w:space="0" w:color="auto"/>
            <w:left w:val="none" w:sz="0" w:space="0" w:color="auto"/>
            <w:bottom w:val="none" w:sz="0" w:space="0" w:color="auto"/>
            <w:right w:val="none" w:sz="0" w:space="0" w:color="auto"/>
          </w:divBdr>
        </w:div>
        <w:div w:id="128979819">
          <w:marLeft w:val="480"/>
          <w:marRight w:val="0"/>
          <w:marTop w:val="0"/>
          <w:marBottom w:val="0"/>
          <w:divBdr>
            <w:top w:val="none" w:sz="0" w:space="0" w:color="auto"/>
            <w:left w:val="none" w:sz="0" w:space="0" w:color="auto"/>
            <w:bottom w:val="none" w:sz="0" w:space="0" w:color="auto"/>
            <w:right w:val="none" w:sz="0" w:space="0" w:color="auto"/>
          </w:divBdr>
        </w:div>
        <w:div w:id="926227480">
          <w:marLeft w:val="480"/>
          <w:marRight w:val="0"/>
          <w:marTop w:val="0"/>
          <w:marBottom w:val="0"/>
          <w:divBdr>
            <w:top w:val="none" w:sz="0" w:space="0" w:color="auto"/>
            <w:left w:val="none" w:sz="0" w:space="0" w:color="auto"/>
            <w:bottom w:val="none" w:sz="0" w:space="0" w:color="auto"/>
            <w:right w:val="none" w:sz="0" w:space="0" w:color="auto"/>
          </w:divBdr>
        </w:div>
        <w:div w:id="757754895">
          <w:marLeft w:val="480"/>
          <w:marRight w:val="0"/>
          <w:marTop w:val="0"/>
          <w:marBottom w:val="0"/>
          <w:divBdr>
            <w:top w:val="none" w:sz="0" w:space="0" w:color="auto"/>
            <w:left w:val="none" w:sz="0" w:space="0" w:color="auto"/>
            <w:bottom w:val="none" w:sz="0" w:space="0" w:color="auto"/>
            <w:right w:val="none" w:sz="0" w:space="0" w:color="auto"/>
          </w:divBdr>
        </w:div>
        <w:div w:id="1218400344">
          <w:marLeft w:val="480"/>
          <w:marRight w:val="0"/>
          <w:marTop w:val="0"/>
          <w:marBottom w:val="0"/>
          <w:divBdr>
            <w:top w:val="none" w:sz="0" w:space="0" w:color="auto"/>
            <w:left w:val="none" w:sz="0" w:space="0" w:color="auto"/>
            <w:bottom w:val="none" w:sz="0" w:space="0" w:color="auto"/>
            <w:right w:val="none" w:sz="0" w:space="0" w:color="auto"/>
          </w:divBdr>
        </w:div>
        <w:div w:id="239679744">
          <w:marLeft w:val="480"/>
          <w:marRight w:val="0"/>
          <w:marTop w:val="0"/>
          <w:marBottom w:val="0"/>
          <w:divBdr>
            <w:top w:val="none" w:sz="0" w:space="0" w:color="auto"/>
            <w:left w:val="none" w:sz="0" w:space="0" w:color="auto"/>
            <w:bottom w:val="none" w:sz="0" w:space="0" w:color="auto"/>
            <w:right w:val="none" w:sz="0" w:space="0" w:color="auto"/>
          </w:divBdr>
        </w:div>
        <w:div w:id="1148978360">
          <w:marLeft w:val="480"/>
          <w:marRight w:val="0"/>
          <w:marTop w:val="0"/>
          <w:marBottom w:val="0"/>
          <w:divBdr>
            <w:top w:val="none" w:sz="0" w:space="0" w:color="auto"/>
            <w:left w:val="none" w:sz="0" w:space="0" w:color="auto"/>
            <w:bottom w:val="none" w:sz="0" w:space="0" w:color="auto"/>
            <w:right w:val="none" w:sz="0" w:space="0" w:color="auto"/>
          </w:divBdr>
        </w:div>
        <w:div w:id="1595244343">
          <w:marLeft w:val="480"/>
          <w:marRight w:val="0"/>
          <w:marTop w:val="0"/>
          <w:marBottom w:val="0"/>
          <w:divBdr>
            <w:top w:val="none" w:sz="0" w:space="0" w:color="auto"/>
            <w:left w:val="none" w:sz="0" w:space="0" w:color="auto"/>
            <w:bottom w:val="none" w:sz="0" w:space="0" w:color="auto"/>
            <w:right w:val="none" w:sz="0" w:space="0" w:color="auto"/>
          </w:divBdr>
        </w:div>
        <w:div w:id="680666315">
          <w:marLeft w:val="480"/>
          <w:marRight w:val="0"/>
          <w:marTop w:val="0"/>
          <w:marBottom w:val="0"/>
          <w:divBdr>
            <w:top w:val="none" w:sz="0" w:space="0" w:color="auto"/>
            <w:left w:val="none" w:sz="0" w:space="0" w:color="auto"/>
            <w:bottom w:val="none" w:sz="0" w:space="0" w:color="auto"/>
            <w:right w:val="none" w:sz="0" w:space="0" w:color="auto"/>
          </w:divBdr>
        </w:div>
        <w:div w:id="1939825006">
          <w:marLeft w:val="480"/>
          <w:marRight w:val="0"/>
          <w:marTop w:val="0"/>
          <w:marBottom w:val="0"/>
          <w:divBdr>
            <w:top w:val="none" w:sz="0" w:space="0" w:color="auto"/>
            <w:left w:val="none" w:sz="0" w:space="0" w:color="auto"/>
            <w:bottom w:val="none" w:sz="0" w:space="0" w:color="auto"/>
            <w:right w:val="none" w:sz="0" w:space="0" w:color="auto"/>
          </w:divBdr>
        </w:div>
        <w:div w:id="768737389">
          <w:marLeft w:val="480"/>
          <w:marRight w:val="0"/>
          <w:marTop w:val="0"/>
          <w:marBottom w:val="0"/>
          <w:divBdr>
            <w:top w:val="none" w:sz="0" w:space="0" w:color="auto"/>
            <w:left w:val="none" w:sz="0" w:space="0" w:color="auto"/>
            <w:bottom w:val="none" w:sz="0" w:space="0" w:color="auto"/>
            <w:right w:val="none" w:sz="0" w:space="0" w:color="auto"/>
          </w:divBdr>
        </w:div>
        <w:div w:id="367951219">
          <w:marLeft w:val="480"/>
          <w:marRight w:val="0"/>
          <w:marTop w:val="0"/>
          <w:marBottom w:val="0"/>
          <w:divBdr>
            <w:top w:val="none" w:sz="0" w:space="0" w:color="auto"/>
            <w:left w:val="none" w:sz="0" w:space="0" w:color="auto"/>
            <w:bottom w:val="none" w:sz="0" w:space="0" w:color="auto"/>
            <w:right w:val="none" w:sz="0" w:space="0" w:color="auto"/>
          </w:divBdr>
        </w:div>
        <w:div w:id="754089756">
          <w:marLeft w:val="480"/>
          <w:marRight w:val="0"/>
          <w:marTop w:val="0"/>
          <w:marBottom w:val="0"/>
          <w:divBdr>
            <w:top w:val="none" w:sz="0" w:space="0" w:color="auto"/>
            <w:left w:val="none" w:sz="0" w:space="0" w:color="auto"/>
            <w:bottom w:val="none" w:sz="0" w:space="0" w:color="auto"/>
            <w:right w:val="none" w:sz="0" w:space="0" w:color="auto"/>
          </w:divBdr>
        </w:div>
        <w:div w:id="639387669">
          <w:marLeft w:val="480"/>
          <w:marRight w:val="0"/>
          <w:marTop w:val="0"/>
          <w:marBottom w:val="0"/>
          <w:divBdr>
            <w:top w:val="none" w:sz="0" w:space="0" w:color="auto"/>
            <w:left w:val="none" w:sz="0" w:space="0" w:color="auto"/>
            <w:bottom w:val="none" w:sz="0" w:space="0" w:color="auto"/>
            <w:right w:val="none" w:sz="0" w:space="0" w:color="auto"/>
          </w:divBdr>
        </w:div>
        <w:div w:id="1452435685">
          <w:marLeft w:val="480"/>
          <w:marRight w:val="0"/>
          <w:marTop w:val="0"/>
          <w:marBottom w:val="0"/>
          <w:divBdr>
            <w:top w:val="none" w:sz="0" w:space="0" w:color="auto"/>
            <w:left w:val="none" w:sz="0" w:space="0" w:color="auto"/>
            <w:bottom w:val="none" w:sz="0" w:space="0" w:color="auto"/>
            <w:right w:val="none" w:sz="0" w:space="0" w:color="auto"/>
          </w:divBdr>
        </w:div>
        <w:div w:id="661741864">
          <w:marLeft w:val="480"/>
          <w:marRight w:val="0"/>
          <w:marTop w:val="0"/>
          <w:marBottom w:val="0"/>
          <w:divBdr>
            <w:top w:val="none" w:sz="0" w:space="0" w:color="auto"/>
            <w:left w:val="none" w:sz="0" w:space="0" w:color="auto"/>
            <w:bottom w:val="none" w:sz="0" w:space="0" w:color="auto"/>
            <w:right w:val="none" w:sz="0" w:space="0" w:color="auto"/>
          </w:divBdr>
        </w:div>
        <w:div w:id="1892233777">
          <w:marLeft w:val="480"/>
          <w:marRight w:val="0"/>
          <w:marTop w:val="0"/>
          <w:marBottom w:val="0"/>
          <w:divBdr>
            <w:top w:val="none" w:sz="0" w:space="0" w:color="auto"/>
            <w:left w:val="none" w:sz="0" w:space="0" w:color="auto"/>
            <w:bottom w:val="none" w:sz="0" w:space="0" w:color="auto"/>
            <w:right w:val="none" w:sz="0" w:space="0" w:color="auto"/>
          </w:divBdr>
        </w:div>
        <w:div w:id="454754757">
          <w:marLeft w:val="480"/>
          <w:marRight w:val="0"/>
          <w:marTop w:val="0"/>
          <w:marBottom w:val="0"/>
          <w:divBdr>
            <w:top w:val="none" w:sz="0" w:space="0" w:color="auto"/>
            <w:left w:val="none" w:sz="0" w:space="0" w:color="auto"/>
            <w:bottom w:val="none" w:sz="0" w:space="0" w:color="auto"/>
            <w:right w:val="none" w:sz="0" w:space="0" w:color="auto"/>
          </w:divBdr>
        </w:div>
        <w:div w:id="786703697">
          <w:marLeft w:val="480"/>
          <w:marRight w:val="0"/>
          <w:marTop w:val="0"/>
          <w:marBottom w:val="0"/>
          <w:divBdr>
            <w:top w:val="none" w:sz="0" w:space="0" w:color="auto"/>
            <w:left w:val="none" w:sz="0" w:space="0" w:color="auto"/>
            <w:bottom w:val="none" w:sz="0" w:space="0" w:color="auto"/>
            <w:right w:val="none" w:sz="0" w:space="0" w:color="auto"/>
          </w:divBdr>
        </w:div>
        <w:div w:id="1327367321">
          <w:marLeft w:val="480"/>
          <w:marRight w:val="0"/>
          <w:marTop w:val="0"/>
          <w:marBottom w:val="0"/>
          <w:divBdr>
            <w:top w:val="none" w:sz="0" w:space="0" w:color="auto"/>
            <w:left w:val="none" w:sz="0" w:space="0" w:color="auto"/>
            <w:bottom w:val="none" w:sz="0" w:space="0" w:color="auto"/>
            <w:right w:val="none" w:sz="0" w:space="0" w:color="auto"/>
          </w:divBdr>
        </w:div>
        <w:div w:id="1716807547">
          <w:marLeft w:val="480"/>
          <w:marRight w:val="0"/>
          <w:marTop w:val="0"/>
          <w:marBottom w:val="0"/>
          <w:divBdr>
            <w:top w:val="none" w:sz="0" w:space="0" w:color="auto"/>
            <w:left w:val="none" w:sz="0" w:space="0" w:color="auto"/>
            <w:bottom w:val="none" w:sz="0" w:space="0" w:color="auto"/>
            <w:right w:val="none" w:sz="0" w:space="0" w:color="auto"/>
          </w:divBdr>
        </w:div>
        <w:div w:id="730810307">
          <w:marLeft w:val="480"/>
          <w:marRight w:val="0"/>
          <w:marTop w:val="0"/>
          <w:marBottom w:val="0"/>
          <w:divBdr>
            <w:top w:val="none" w:sz="0" w:space="0" w:color="auto"/>
            <w:left w:val="none" w:sz="0" w:space="0" w:color="auto"/>
            <w:bottom w:val="none" w:sz="0" w:space="0" w:color="auto"/>
            <w:right w:val="none" w:sz="0" w:space="0" w:color="auto"/>
          </w:divBdr>
        </w:div>
        <w:div w:id="358432149">
          <w:marLeft w:val="480"/>
          <w:marRight w:val="0"/>
          <w:marTop w:val="0"/>
          <w:marBottom w:val="0"/>
          <w:divBdr>
            <w:top w:val="none" w:sz="0" w:space="0" w:color="auto"/>
            <w:left w:val="none" w:sz="0" w:space="0" w:color="auto"/>
            <w:bottom w:val="none" w:sz="0" w:space="0" w:color="auto"/>
            <w:right w:val="none" w:sz="0" w:space="0" w:color="auto"/>
          </w:divBdr>
        </w:div>
        <w:div w:id="1220870543">
          <w:marLeft w:val="480"/>
          <w:marRight w:val="0"/>
          <w:marTop w:val="0"/>
          <w:marBottom w:val="0"/>
          <w:divBdr>
            <w:top w:val="none" w:sz="0" w:space="0" w:color="auto"/>
            <w:left w:val="none" w:sz="0" w:space="0" w:color="auto"/>
            <w:bottom w:val="none" w:sz="0" w:space="0" w:color="auto"/>
            <w:right w:val="none" w:sz="0" w:space="0" w:color="auto"/>
          </w:divBdr>
        </w:div>
        <w:div w:id="452797287">
          <w:marLeft w:val="480"/>
          <w:marRight w:val="0"/>
          <w:marTop w:val="0"/>
          <w:marBottom w:val="0"/>
          <w:divBdr>
            <w:top w:val="none" w:sz="0" w:space="0" w:color="auto"/>
            <w:left w:val="none" w:sz="0" w:space="0" w:color="auto"/>
            <w:bottom w:val="none" w:sz="0" w:space="0" w:color="auto"/>
            <w:right w:val="none" w:sz="0" w:space="0" w:color="auto"/>
          </w:divBdr>
        </w:div>
        <w:div w:id="1760443876">
          <w:marLeft w:val="480"/>
          <w:marRight w:val="0"/>
          <w:marTop w:val="0"/>
          <w:marBottom w:val="0"/>
          <w:divBdr>
            <w:top w:val="none" w:sz="0" w:space="0" w:color="auto"/>
            <w:left w:val="none" w:sz="0" w:space="0" w:color="auto"/>
            <w:bottom w:val="none" w:sz="0" w:space="0" w:color="auto"/>
            <w:right w:val="none" w:sz="0" w:space="0" w:color="auto"/>
          </w:divBdr>
        </w:div>
        <w:div w:id="352611197">
          <w:marLeft w:val="480"/>
          <w:marRight w:val="0"/>
          <w:marTop w:val="0"/>
          <w:marBottom w:val="0"/>
          <w:divBdr>
            <w:top w:val="none" w:sz="0" w:space="0" w:color="auto"/>
            <w:left w:val="none" w:sz="0" w:space="0" w:color="auto"/>
            <w:bottom w:val="none" w:sz="0" w:space="0" w:color="auto"/>
            <w:right w:val="none" w:sz="0" w:space="0" w:color="auto"/>
          </w:divBdr>
        </w:div>
        <w:div w:id="705179709">
          <w:marLeft w:val="480"/>
          <w:marRight w:val="0"/>
          <w:marTop w:val="0"/>
          <w:marBottom w:val="0"/>
          <w:divBdr>
            <w:top w:val="none" w:sz="0" w:space="0" w:color="auto"/>
            <w:left w:val="none" w:sz="0" w:space="0" w:color="auto"/>
            <w:bottom w:val="none" w:sz="0" w:space="0" w:color="auto"/>
            <w:right w:val="none" w:sz="0" w:space="0" w:color="auto"/>
          </w:divBdr>
        </w:div>
        <w:div w:id="1382096059">
          <w:marLeft w:val="480"/>
          <w:marRight w:val="0"/>
          <w:marTop w:val="0"/>
          <w:marBottom w:val="0"/>
          <w:divBdr>
            <w:top w:val="none" w:sz="0" w:space="0" w:color="auto"/>
            <w:left w:val="none" w:sz="0" w:space="0" w:color="auto"/>
            <w:bottom w:val="none" w:sz="0" w:space="0" w:color="auto"/>
            <w:right w:val="none" w:sz="0" w:space="0" w:color="auto"/>
          </w:divBdr>
        </w:div>
        <w:div w:id="2116360856">
          <w:marLeft w:val="480"/>
          <w:marRight w:val="0"/>
          <w:marTop w:val="0"/>
          <w:marBottom w:val="0"/>
          <w:divBdr>
            <w:top w:val="none" w:sz="0" w:space="0" w:color="auto"/>
            <w:left w:val="none" w:sz="0" w:space="0" w:color="auto"/>
            <w:bottom w:val="none" w:sz="0" w:space="0" w:color="auto"/>
            <w:right w:val="none" w:sz="0" w:space="0" w:color="auto"/>
          </w:divBdr>
        </w:div>
        <w:div w:id="1955598477">
          <w:marLeft w:val="480"/>
          <w:marRight w:val="0"/>
          <w:marTop w:val="0"/>
          <w:marBottom w:val="0"/>
          <w:divBdr>
            <w:top w:val="none" w:sz="0" w:space="0" w:color="auto"/>
            <w:left w:val="none" w:sz="0" w:space="0" w:color="auto"/>
            <w:bottom w:val="none" w:sz="0" w:space="0" w:color="auto"/>
            <w:right w:val="none" w:sz="0" w:space="0" w:color="auto"/>
          </w:divBdr>
        </w:div>
        <w:div w:id="2047287170">
          <w:marLeft w:val="480"/>
          <w:marRight w:val="0"/>
          <w:marTop w:val="0"/>
          <w:marBottom w:val="0"/>
          <w:divBdr>
            <w:top w:val="none" w:sz="0" w:space="0" w:color="auto"/>
            <w:left w:val="none" w:sz="0" w:space="0" w:color="auto"/>
            <w:bottom w:val="none" w:sz="0" w:space="0" w:color="auto"/>
            <w:right w:val="none" w:sz="0" w:space="0" w:color="auto"/>
          </w:divBdr>
        </w:div>
        <w:div w:id="1463501796">
          <w:marLeft w:val="480"/>
          <w:marRight w:val="0"/>
          <w:marTop w:val="0"/>
          <w:marBottom w:val="0"/>
          <w:divBdr>
            <w:top w:val="none" w:sz="0" w:space="0" w:color="auto"/>
            <w:left w:val="none" w:sz="0" w:space="0" w:color="auto"/>
            <w:bottom w:val="none" w:sz="0" w:space="0" w:color="auto"/>
            <w:right w:val="none" w:sz="0" w:space="0" w:color="auto"/>
          </w:divBdr>
        </w:div>
        <w:div w:id="867791552">
          <w:marLeft w:val="480"/>
          <w:marRight w:val="0"/>
          <w:marTop w:val="0"/>
          <w:marBottom w:val="0"/>
          <w:divBdr>
            <w:top w:val="none" w:sz="0" w:space="0" w:color="auto"/>
            <w:left w:val="none" w:sz="0" w:space="0" w:color="auto"/>
            <w:bottom w:val="none" w:sz="0" w:space="0" w:color="auto"/>
            <w:right w:val="none" w:sz="0" w:space="0" w:color="auto"/>
          </w:divBdr>
        </w:div>
        <w:div w:id="289945443">
          <w:marLeft w:val="480"/>
          <w:marRight w:val="0"/>
          <w:marTop w:val="0"/>
          <w:marBottom w:val="0"/>
          <w:divBdr>
            <w:top w:val="none" w:sz="0" w:space="0" w:color="auto"/>
            <w:left w:val="none" w:sz="0" w:space="0" w:color="auto"/>
            <w:bottom w:val="none" w:sz="0" w:space="0" w:color="auto"/>
            <w:right w:val="none" w:sz="0" w:space="0" w:color="auto"/>
          </w:divBdr>
        </w:div>
        <w:div w:id="2076926583">
          <w:marLeft w:val="480"/>
          <w:marRight w:val="0"/>
          <w:marTop w:val="0"/>
          <w:marBottom w:val="0"/>
          <w:divBdr>
            <w:top w:val="none" w:sz="0" w:space="0" w:color="auto"/>
            <w:left w:val="none" w:sz="0" w:space="0" w:color="auto"/>
            <w:bottom w:val="none" w:sz="0" w:space="0" w:color="auto"/>
            <w:right w:val="none" w:sz="0" w:space="0" w:color="auto"/>
          </w:divBdr>
        </w:div>
        <w:div w:id="1784954243">
          <w:marLeft w:val="480"/>
          <w:marRight w:val="0"/>
          <w:marTop w:val="0"/>
          <w:marBottom w:val="0"/>
          <w:divBdr>
            <w:top w:val="none" w:sz="0" w:space="0" w:color="auto"/>
            <w:left w:val="none" w:sz="0" w:space="0" w:color="auto"/>
            <w:bottom w:val="none" w:sz="0" w:space="0" w:color="auto"/>
            <w:right w:val="none" w:sz="0" w:space="0" w:color="auto"/>
          </w:divBdr>
        </w:div>
        <w:div w:id="2101751637">
          <w:marLeft w:val="480"/>
          <w:marRight w:val="0"/>
          <w:marTop w:val="0"/>
          <w:marBottom w:val="0"/>
          <w:divBdr>
            <w:top w:val="none" w:sz="0" w:space="0" w:color="auto"/>
            <w:left w:val="none" w:sz="0" w:space="0" w:color="auto"/>
            <w:bottom w:val="none" w:sz="0" w:space="0" w:color="auto"/>
            <w:right w:val="none" w:sz="0" w:space="0" w:color="auto"/>
          </w:divBdr>
        </w:div>
        <w:div w:id="46033453">
          <w:marLeft w:val="480"/>
          <w:marRight w:val="0"/>
          <w:marTop w:val="0"/>
          <w:marBottom w:val="0"/>
          <w:divBdr>
            <w:top w:val="none" w:sz="0" w:space="0" w:color="auto"/>
            <w:left w:val="none" w:sz="0" w:space="0" w:color="auto"/>
            <w:bottom w:val="none" w:sz="0" w:space="0" w:color="auto"/>
            <w:right w:val="none" w:sz="0" w:space="0" w:color="auto"/>
          </w:divBdr>
        </w:div>
        <w:div w:id="1597864629">
          <w:marLeft w:val="480"/>
          <w:marRight w:val="0"/>
          <w:marTop w:val="0"/>
          <w:marBottom w:val="0"/>
          <w:divBdr>
            <w:top w:val="none" w:sz="0" w:space="0" w:color="auto"/>
            <w:left w:val="none" w:sz="0" w:space="0" w:color="auto"/>
            <w:bottom w:val="none" w:sz="0" w:space="0" w:color="auto"/>
            <w:right w:val="none" w:sz="0" w:space="0" w:color="auto"/>
          </w:divBdr>
        </w:div>
        <w:div w:id="1958294859">
          <w:marLeft w:val="480"/>
          <w:marRight w:val="0"/>
          <w:marTop w:val="0"/>
          <w:marBottom w:val="0"/>
          <w:divBdr>
            <w:top w:val="none" w:sz="0" w:space="0" w:color="auto"/>
            <w:left w:val="none" w:sz="0" w:space="0" w:color="auto"/>
            <w:bottom w:val="none" w:sz="0" w:space="0" w:color="auto"/>
            <w:right w:val="none" w:sz="0" w:space="0" w:color="auto"/>
          </w:divBdr>
        </w:div>
        <w:div w:id="999886861">
          <w:marLeft w:val="480"/>
          <w:marRight w:val="0"/>
          <w:marTop w:val="0"/>
          <w:marBottom w:val="0"/>
          <w:divBdr>
            <w:top w:val="none" w:sz="0" w:space="0" w:color="auto"/>
            <w:left w:val="none" w:sz="0" w:space="0" w:color="auto"/>
            <w:bottom w:val="none" w:sz="0" w:space="0" w:color="auto"/>
            <w:right w:val="none" w:sz="0" w:space="0" w:color="auto"/>
          </w:divBdr>
        </w:div>
        <w:div w:id="338391767">
          <w:marLeft w:val="480"/>
          <w:marRight w:val="0"/>
          <w:marTop w:val="0"/>
          <w:marBottom w:val="0"/>
          <w:divBdr>
            <w:top w:val="none" w:sz="0" w:space="0" w:color="auto"/>
            <w:left w:val="none" w:sz="0" w:space="0" w:color="auto"/>
            <w:bottom w:val="none" w:sz="0" w:space="0" w:color="auto"/>
            <w:right w:val="none" w:sz="0" w:space="0" w:color="auto"/>
          </w:divBdr>
        </w:div>
        <w:div w:id="1620136867">
          <w:marLeft w:val="480"/>
          <w:marRight w:val="0"/>
          <w:marTop w:val="0"/>
          <w:marBottom w:val="0"/>
          <w:divBdr>
            <w:top w:val="none" w:sz="0" w:space="0" w:color="auto"/>
            <w:left w:val="none" w:sz="0" w:space="0" w:color="auto"/>
            <w:bottom w:val="none" w:sz="0" w:space="0" w:color="auto"/>
            <w:right w:val="none" w:sz="0" w:space="0" w:color="auto"/>
          </w:divBdr>
        </w:div>
        <w:div w:id="31737347">
          <w:marLeft w:val="480"/>
          <w:marRight w:val="0"/>
          <w:marTop w:val="0"/>
          <w:marBottom w:val="0"/>
          <w:divBdr>
            <w:top w:val="none" w:sz="0" w:space="0" w:color="auto"/>
            <w:left w:val="none" w:sz="0" w:space="0" w:color="auto"/>
            <w:bottom w:val="none" w:sz="0" w:space="0" w:color="auto"/>
            <w:right w:val="none" w:sz="0" w:space="0" w:color="auto"/>
          </w:divBdr>
        </w:div>
        <w:div w:id="757167929">
          <w:marLeft w:val="480"/>
          <w:marRight w:val="0"/>
          <w:marTop w:val="0"/>
          <w:marBottom w:val="0"/>
          <w:divBdr>
            <w:top w:val="none" w:sz="0" w:space="0" w:color="auto"/>
            <w:left w:val="none" w:sz="0" w:space="0" w:color="auto"/>
            <w:bottom w:val="none" w:sz="0" w:space="0" w:color="auto"/>
            <w:right w:val="none" w:sz="0" w:space="0" w:color="auto"/>
          </w:divBdr>
        </w:div>
        <w:div w:id="1861043172">
          <w:marLeft w:val="480"/>
          <w:marRight w:val="0"/>
          <w:marTop w:val="0"/>
          <w:marBottom w:val="0"/>
          <w:divBdr>
            <w:top w:val="none" w:sz="0" w:space="0" w:color="auto"/>
            <w:left w:val="none" w:sz="0" w:space="0" w:color="auto"/>
            <w:bottom w:val="none" w:sz="0" w:space="0" w:color="auto"/>
            <w:right w:val="none" w:sz="0" w:space="0" w:color="auto"/>
          </w:divBdr>
        </w:div>
        <w:div w:id="2030371263">
          <w:marLeft w:val="480"/>
          <w:marRight w:val="0"/>
          <w:marTop w:val="0"/>
          <w:marBottom w:val="0"/>
          <w:divBdr>
            <w:top w:val="none" w:sz="0" w:space="0" w:color="auto"/>
            <w:left w:val="none" w:sz="0" w:space="0" w:color="auto"/>
            <w:bottom w:val="none" w:sz="0" w:space="0" w:color="auto"/>
            <w:right w:val="none" w:sz="0" w:space="0" w:color="auto"/>
          </w:divBdr>
        </w:div>
        <w:div w:id="1879127081">
          <w:marLeft w:val="480"/>
          <w:marRight w:val="0"/>
          <w:marTop w:val="0"/>
          <w:marBottom w:val="0"/>
          <w:divBdr>
            <w:top w:val="none" w:sz="0" w:space="0" w:color="auto"/>
            <w:left w:val="none" w:sz="0" w:space="0" w:color="auto"/>
            <w:bottom w:val="none" w:sz="0" w:space="0" w:color="auto"/>
            <w:right w:val="none" w:sz="0" w:space="0" w:color="auto"/>
          </w:divBdr>
        </w:div>
        <w:div w:id="900097109">
          <w:marLeft w:val="480"/>
          <w:marRight w:val="0"/>
          <w:marTop w:val="0"/>
          <w:marBottom w:val="0"/>
          <w:divBdr>
            <w:top w:val="none" w:sz="0" w:space="0" w:color="auto"/>
            <w:left w:val="none" w:sz="0" w:space="0" w:color="auto"/>
            <w:bottom w:val="none" w:sz="0" w:space="0" w:color="auto"/>
            <w:right w:val="none" w:sz="0" w:space="0" w:color="auto"/>
          </w:divBdr>
        </w:div>
        <w:div w:id="1539128421">
          <w:marLeft w:val="480"/>
          <w:marRight w:val="0"/>
          <w:marTop w:val="0"/>
          <w:marBottom w:val="0"/>
          <w:divBdr>
            <w:top w:val="none" w:sz="0" w:space="0" w:color="auto"/>
            <w:left w:val="none" w:sz="0" w:space="0" w:color="auto"/>
            <w:bottom w:val="none" w:sz="0" w:space="0" w:color="auto"/>
            <w:right w:val="none" w:sz="0" w:space="0" w:color="auto"/>
          </w:divBdr>
        </w:div>
        <w:div w:id="403795311">
          <w:marLeft w:val="480"/>
          <w:marRight w:val="0"/>
          <w:marTop w:val="0"/>
          <w:marBottom w:val="0"/>
          <w:divBdr>
            <w:top w:val="none" w:sz="0" w:space="0" w:color="auto"/>
            <w:left w:val="none" w:sz="0" w:space="0" w:color="auto"/>
            <w:bottom w:val="none" w:sz="0" w:space="0" w:color="auto"/>
            <w:right w:val="none" w:sz="0" w:space="0" w:color="auto"/>
          </w:divBdr>
        </w:div>
        <w:div w:id="1697727174">
          <w:marLeft w:val="480"/>
          <w:marRight w:val="0"/>
          <w:marTop w:val="0"/>
          <w:marBottom w:val="0"/>
          <w:divBdr>
            <w:top w:val="none" w:sz="0" w:space="0" w:color="auto"/>
            <w:left w:val="none" w:sz="0" w:space="0" w:color="auto"/>
            <w:bottom w:val="none" w:sz="0" w:space="0" w:color="auto"/>
            <w:right w:val="none" w:sz="0" w:space="0" w:color="auto"/>
          </w:divBdr>
        </w:div>
        <w:div w:id="325935638">
          <w:marLeft w:val="480"/>
          <w:marRight w:val="0"/>
          <w:marTop w:val="0"/>
          <w:marBottom w:val="0"/>
          <w:divBdr>
            <w:top w:val="none" w:sz="0" w:space="0" w:color="auto"/>
            <w:left w:val="none" w:sz="0" w:space="0" w:color="auto"/>
            <w:bottom w:val="none" w:sz="0" w:space="0" w:color="auto"/>
            <w:right w:val="none" w:sz="0" w:space="0" w:color="auto"/>
          </w:divBdr>
        </w:div>
        <w:div w:id="785394193">
          <w:marLeft w:val="480"/>
          <w:marRight w:val="0"/>
          <w:marTop w:val="0"/>
          <w:marBottom w:val="0"/>
          <w:divBdr>
            <w:top w:val="none" w:sz="0" w:space="0" w:color="auto"/>
            <w:left w:val="none" w:sz="0" w:space="0" w:color="auto"/>
            <w:bottom w:val="none" w:sz="0" w:space="0" w:color="auto"/>
            <w:right w:val="none" w:sz="0" w:space="0" w:color="auto"/>
          </w:divBdr>
        </w:div>
        <w:div w:id="1480343948">
          <w:marLeft w:val="480"/>
          <w:marRight w:val="0"/>
          <w:marTop w:val="0"/>
          <w:marBottom w:val="0"/>
          <w:divBdr>
            <w:top w:val="none" w:sz="0" w:space="0" w:color="auto"/>
            <w:left w:val="none" w:sz="0" w:space="0" w:color="auto"/>
            <w:bottom w:val="none" w:sz="0" w:space="0" w:color="auto"/>
            <w:right w:val="none" w:sz="0" w:space="0" w:color="auto"/>
          </w:divBdr>
        </w:div>
        <w:div w:id="692997376">
          <w:marLeft w:val="480"/>
          <w:marRight w:val="0"/>
          <w:marTop w:val="0"/>
          <w:marBottom w:val="0"/>
          <w:divBdr>
            <w:top w:val="none" w:sz="0" w:space="0" w:color="auto"/>
            <w:left w:val="none" w:sz="0" w:space="0" w:color="auto"/>
            <w:bottom w:val="none" w:sz="0" w:space="0" w:color="auto"/>
            <w:right w:val="none" w:sz="0" w:space="0" w:color="auto"/>
          </w:divBdr>
        </w:div>
        <w:div w:id="810095125">
          <w:marLeft w:val="480"/>
          <w:marRight w:val="0"/>
          <w:marTop w:val="0"/>
          <w:marBottom w:val="0"/>
          <w:divBdr>
            <w:top w:val="none" w:sz="0" w:space="0" w:color="auto"/>
            <w:left w:val="none" w:sz="0" w:space="0" w:color="auto"/>
            <w:bottom w:val="none" w:sz="0" w:space="0" w:color="auto"/>
            <w:right w:val="none" w:sz="0" w:space="0" w:color="auto"/>
          </w:divBdr>
        </w:div>
        <w:div w:id="857036548">
          <w:marLeft w:val="480"/>
          <w:marRight w:val="0"/>
          <w:marTop w:val="0"/>
          <w:marBottom w:val="0"/>
          <w:divBdr>
            <w:top w:val="none" w:sz="0" w:space="0" w:color="auto"/>
            <w:left w:val="none" w:sz="0" w:space="0" w:color="auto"/>
            <w:bottom w:val="none" w:sz="0" w:space="0" w:color="auto"/>
            <w:right w:val="none" w:sz="0" w:space="0" w:color="auto"/>
          </w:divBdr>
        </w:div>
        <w:div w:id="1587493044">
          <w:marLeft w:val="480"/>
          <w:marRight w:val="0"/>
          <w:marTop w:val="0"/>
          <w:marBottom w:val="0"/>
          <w:divBdr>
            <w:top w:val="none" w:sz="0" w:space="0" w:color="auto"/>
            <w:left w:val="none" w:sz="0" w:space="0" w:color="auto"/>
            <w:bottom w:val="none" w:sz="0" w:space="0" w:color="auto"/>
            <w:right w:val="none" w:sz="0" w:space="0" w:color="auto"/>
          </w:divBdr>
        </w:div>
        <w:div w:id="1486240868">
          <w:marLeft w:val="480"/>
          <w:marRight w:val="0"/>
          <w:marTop w:val="0"/>
          <w:marBottom w:val="0"/>
          <w:divBdr>
            <w:top w:val="none" w:sz="0" w:space="0" w:color="auto"/>
            <w:left w:val="none" w:sz="0" w:space="0" w:color="auto"/>
            <w:bottom w:val="none" w:sz="0" w:space="0" w:color="auto"/>
            <w:right w:val="none" w:sz="0" w:space="0" w:color="auto"/>
          </w:divBdr>
        </w:div>
        <w:div w:id="1655524939">
          <w:marLeft w:val="480"/>
          <w:marRight w:val="0"/>
          <w:marTop w:val="0"/>
          <w:marBottom w:val="0"/>
          <w:divBdr>
            <w:top w:val="none" w:sz="0" w:space="0" w:color="auto"/>
            <w:left w:val="none" w:sz="0" w:space="0" w:color="auto"/>
            <w:bottom w:val="none" w:sz="0" w:space="0" w:color="auto"/>
            <w:right w:val="none" w:sz="0" w:space="0" w:color="auto"/>
          </w:divBdr>
        </w:div>
        <w:div w:id="497500513">
          <w:marLeft w:val="480"/>
          <w:marRight w:val="0"/>
          <w:marTop w:val="0"/>
          <w:marBottom w:val="0"/>
          <w:divBdr>
            <w:top w:val="none" w:sz="0" w:space="0" w:color="auto"/>
            <w:left w:val="none" w:sz="0" w:space="0" w:color="auto"/>
            <w:bottom w:val="none" w:sz="0" w:space="0" w:color="auto"/>
            <w:right w:val="none" w:sz="0" w:space="0" w:color="auto"/>
          </w:divBdr>
        </w:div>
        <w:div w:id="1248611906">
          <w:marLeft w:val="480"/>
          <w:marRight w:val="0"/>
          <w:marTop w:val="0"/>
          <w:marBottom w:val="0"/>
          <w:divBdr>
            <w:top w:val="none" w:sz="0" w:space="0" w:color="auto"/>
            <w:left w:val="none" w:sz="0" w:space="0" w:color="auto"/>
            <w:bottom w:val="none" w:sz="0" w:space="0" w:color="auto"/>
            <w:right w:val="none" w:sz="0" w:space="0" w:color="auto"/>
          </w:divBdr>
        </w:div>
        <w:div w:id="968317326">
          <w:marLeft w:val="480"/>
          <w:marRight w:val="0"/>
          <w:marTop w:val="0"/>
          <w:marBottom w:val="0"/>
          <w:divBdr>
            <w:top w:val="none" w:sz="0" w:space="0" w:color="auto"/>
            <w:left w:val="none" w:sz="0" w:space="0" w:color="auto"/>
            <w:bottom w:val="none" w:sz="0" w:space="0" w:color="auto"/>
            <w:right w:val="none" w:sz="0" w:space="0" w:color="auto"/>
          </w:divBdr>
        </w:div>
        <w:div w:id="1336762864">
          <w:marLeft w:val="480"/>
          <w:marRight w:val="0"/>
          <w:marTop w:val="0"/>
          <w:marBottom w:val="0"/>
          <w:divBdr>
            <w:top w:val="none" w:sz="0" w:space="0" w:color="auto"/>
            <w:left w:val="none" w:sz="0" w:space="0" w:color="auto"/>
            <w:bottom w:val="none" w:sz="0" w:space="0" w:color="auto"/>
            <w:right w:val="none" w:sz="0" w:space="0" w:color="auto"/>
          </w:divBdr>
        </w:div>
        <w:div w:id="1765690658">
          <w:marLeft w:val="480"/>
          <w:marRight w:val="0"/>
          <w:marTop w:val="0"/>
          <w:marBottom w:val="0"/>
          <w:divBdr>
            <w:top w:val="none" w:sz="0" w:space="0" w:color="auto"/>
            <w:left w:val="none" w:sz="0" w:space="0" w:color="auto"/>
            <w:bottom w:val="none" w:sz="0" w:space="0" w:color="auto"/>
            <w:right w:val="none" w:sz="0" w:space="0" w:color="auto"/>
          </w:divBdr>
        </w:div>
        <w:div w:id="1148938319">
          <w:marLeft w:val="480"/>
          <w:marRight w:val="0"/>
          <w:marTop w:val="0"/>
          <w:marBottom w:val="0"/>
          <w:divBdr>
            <w:top w:val="none" w:sz="0" w:space="0" w:color="auto"/>
            <w:left w:val="none" w:sz="0" w:space="0" w:color="auto"/>
            <w:bottom w:val="none" w:sz="0" w:space="0" w:color="auto"/>
            <w:right w:val="none" w:sz="0" w:space="0" w:color="auto"/>
          </w:divBdr>
        </w:div>
        <w:div w:id="348876967">
          <w:marLeft w:val="480"/>
          <w:marRight w:val="0"/>
          <w:marTop w:val="0"/>
          <w:marBottom w:val="0"/>
          <w:divBdr>
            <w:top w:val="none" w:sz="0" w:space="0" w:color="auto"/>
            <w:left w:val="none" w:sz="0" w:space="0" w:color="auto"/>
            <w:bottom w:val="none" w:sz="0" w:space="0" w:color="auto"/>
            <w:right w:val="none" w:sz="0" w:space="0" w:color="auto"/>
          </w:divBdr>
        </w:div>
        <w:div w:id="1359576455">
          <w:marLeft w:val="480"/>
          <w:marRight w:val="0"/>
          <w:marTop w:val="0"/>
          <w:marBottom w:val="0"/>
          <w:divBdr>
            <w:top w:val="none" w:sz="0" w:space="0" w:color="auto"/>
            <w:left w:val="none" w:sz="0" w:space="0" w:color="auto"/>
            <w:bottom w:val="none" w:sz="0" w:space="0" w:color="auto"/>
            <w:right w:val="none" w:sz="0" w:space="0" w:color="auto"/>
          </w:divBdr>
        </w:div>
        <w:div w:id="212622247">
          <w:marLeft w:val="480"/>
          <w:marRight w:val="0"/>
          <w:marTop w:val="0"/>
          <w:marBottom w:val="0"/>
          <w:divBdr>
            <w:top w:val="none" w:sz="0" w:space="0" w:color="auto"/>
            <w:left w:val="none" w:sz="0" w:space="0" w:color="auto"/>
            <w:bottom w:val="none" w:sz="0" w:space="0" w:color="auto"/>
            <w:right w:val="none" w:sz="0" w:space="0" w:color="auto"/>
          </w:divBdr>
        </w:div>
        <w:div w:id="601031486">
          <w:marLeft w:val="480"/>
          <w:marRight w:val="0"/>
          <w:marTop w:val="0"/>
          <w:marBottom w:val="0"/>
          <w:divBdr>
            <w:top w:val="none" w:sz="0" w:space="0" w:color="auto"/>
            <w:left w:val="none" w:sz="0" w:space="0" w:color="auto"/>
            <w:bottom w:val="none" w:sz="0" w:space="0" w:color="auto"/>
            <w:right w:val="none" w:sz="0" w:space="0" w:color="auto"/>
          </w:divBdr>
        </w:div>
        <w:div w:id="1876695693">
          <w:marLeft w:val="480"/>
          <w:marRight w:val="0"/>
          <w:marTop w:val="0"/>
          <w:marBottom w:val="0"/>
          <w:divBdr>
            <w:top w:val="none" w:sz="0" w:space="0" w:color="auto"/>
            <w:left w:val="none" w:sz="0" w:space="0" w:color="auto"/>
            <w:bottom w:val="none" w:sz="0" w:space="0" w:color="auto"/>
            <w:right w:val="none" w:sz="0" w:space="0" w:color="auto"/>
          </w:divBdr>
        </w:div>
        <w:div w:id="592594031">
          <w:marLeft w:val="480"/>
          <w:marRight w:val="0"/>
          <w:marTop w:val="0"/>
          <w:marBottom w:val="0"/>
          <w:divBdr>
            <w:top w:val="none" w:sz="0" w:space="0" w:color="auto"/>
            <w:left w:val="none" w:sz="0" w:space="0" w:color="auto"/>
            <w:bottom w:val="none" w:sz="0" w:space="0" w:color="auto"/>
            <w:right w:val="none" w:sz="0" w:space="0" w:color="auto"/>
          </w:divBdr>
        </w:div>
        <w:div w:id="1156609236">
          <w:marLeft w:val="480"/>
          <w:marRight w:val="0"/>
          <w:marTop w:val="0"/>
          <w:marBottom w:val="0"/>
          <w:divBdr>
            <w:top w:val="none" w:sz="0" w:space="0" w:color="auto"/>
            <w:left w:val="none" w:sz="0" w:space="0" w:color="auto"/>
            <w:bottom w:val="none" w:sz="0" w:space="0" w:color="auto"/>
            <w:right w:val="none" w:sz="0" w:space="0" w:color="auto"/>
          </w:divBdr>
        </w:div>
        <w:div w:id="1769234750">
          <w:marLeft w:val="480"/>
          <w:marRight w:val="0"/>
          <w:marTop w:val="0"/>
          <w:marBottom w:val="0"/>
          <w:divBdr>
            <w:top w:val="none" w:sz="0" w:space="0" w:color="auto"/>
            <w:left w:val="none" w:sz="0" w:space="0" w:color="auto"/>
            <w:bottom w:val="none" w:sz="0" w:space="0" w:color="auto"/>
            <w:right w:val="none" w:sz="0" w:space="0" w:color="auto"/>
          </w:divBdr>
        </w:div>
        <w:div w:id="2086299758">
          <w:marLeft w:val="480"/>
          <w:marRight w:val="0"/>
          <w:marTop w:val="0"/>
          <w:marBottom w:val="0"/>
          <w:divBdr>
            <w:top w:val="none" w:sz="0" w:space="0" w:color="auto"/>
            <w:left w:val="none" w:sz="0" w:space="0" w:color="auto"/>
            <w:bottom w:val="none" w:sz="0" w:space="0" w:color="auto"/>
            <w:right w:val="none" w:sz="0" w:space="0" w:color="auto"/>
          </w:divBdr>
        </w:div>
        <w:div w:id="1337223306">
          <w:marLeft w:val="480"/>
          <w:marRight w:val="0"/>
          <w:marTop w:val="0"/>
          <w:marBottom w:val="0"/>
          <w:divBdr>
            <w:top w:val="none" w:sz="0" w:space="0" w:color="auto"/>
            <w:left w:val="none" w:sz="0" w:space="0" w:color="auto"/>
            <w:bottom w:val="none" w:sz="0" w:space="0" w:color="auto"/>
            <w:right w:val="none" w:sz="0" w:space="0" w:color="auto"/>
          </w:divBdr>
        </w:div>
        <w:div w:id="2824564">
          <w:marLeft w:val="480"/>
          <w:marRight w:val="0"/>
          <w:marTop w:val="0"/>
          <w:marBottom w:val="0"/>
          <w:divBdr>
            <w:top w:val="none" w:sz="0" w:space="0" w:color="auto"/>
            <w:left w:val="none" w:sz="0" w:space="0" w:color="auto"/>
            <w:bottom w:val="none" w:sz="0" w:space="0" w:color="auto"/>
            <w:right w:val="none" w:sz="0" w:space="0" w:color="auto"/>
          </w:divBdr>
        </w:div>
        <w:div w:id="80183199">
          <w:marLeft w:val="480"/>
          <w:marRight w:val="0"/>
          <w:marTop w:val="0"/>
          <w:marBottom w:val="0"/>
          <w:divBdr>
            <w:top w:val="none" w:sz="0" w:space="0" w:color="auto"/>
            <w:left w:val="none" w:sz="0" w:space="0" w:color="auto"/>
            <w:bottom w:val="none" w:sz="0" w:space="0" w:color="auto"/>
            <w:right w:val="none" w:sz="0" w:space="0" w:color="auto"/>
          </w:divBdr>
        </w:div>
        <w:div w:id="1702318564">
          <w:marLeft w:val="480"/>
          <w:marRight w:val="0"/>
          <w:marTop w:val="0"/>
          <w:marBottom w:val="0"/>
          <w:divBdr>
            <w:top w:val="none" w:sz="0" w:space="0" w:color="auto"/>
            <w:left w:val="none" w:sz="0" w:space="0" w:color="auto"/>
            <w:bottom w:val="none" w:sz="0" w:space="0" w:color="auto"/>
            <w:right w:val="none" w:sz="0" w:space="0" w:color="auto"/>
          </w:divBdr>
        </w:div>
        <w:div w:id="1384252580">
          <w:marLeft w:val="480"/>
          <w:marRight w:val="0"/>
          <w:marTop w:val="0"/>
          <w:marBottom w:val="0"/>
          <w:divBdr>
            <w:top w:val="none" w:sz="0" w:space="0" w:color="auto"/>
            <w:left w:val="none" w:sz="0" w:space="0" w:color="auto"/>
            <w:bottom w:val="none" w:sz="0" w:space="0" w:color="auto"/>
            <w:right w:val="none" w:sz="0" w:space="0" w:color="auto"/>
          </w:divBdr>
        </w:div>
        <w:div w:id="2044594803">
          <w:marLeft w:val="480"/>
          <w:marRight w:val="0"/>
          <w:marTop w:val="0"/>
          <w:marBottom w:val="0"/>
          <w:divBdr>
            <w:top w:val="none" w:sz="0" w:space="0" w:color="auto"/>
            <w:left w:val="none" w:sz="0" w:space="0" w:color="auto"/>
            <w:bottom w:val="none" w:sz="0" w:space="0" w:color="auto"/>
            <w:right w:val="none" w:sz="0" w:space="0" w:color="auto"/>
          </w:divBdr>
        </w:div>
        <w:div w:id="2071532390">
          <w:marLeft w:val="480"/>
          <w:marRight w:val="0"/>
          <w:marTop w:val="0"/>
          <w:marBottom w:val="0"/>
          <w:divBdr>
            <w:top w:val="none" w:sz="0" w:space="0" w:color="auto"/>
            <w:left w:val="none" w:sz="0" w:space="0" w:color="auto"/>
            <w:bottom w:val="none" w:sz="0" w:space="0" w:color="auto"/>
            <w:right w:val="none" w:sz="0" w:space="0" w:color="auto"/>
          </w:divBdr>
        </w:div>
        <w:div w:id="914122166">
          <w:marLeft w:val="480"/>
          <w:marRight w:val="0"/>
          <w:marTop w:val="0"/>
          <w:marBottom w:val="0"/>
          <w:divBdr>
            <w:top w:val="none" w:sz="0" w:space="0" w:color="auto"/>
            <w:left w:val="none" w:sz="0" w:space="0" w:color="auto"/>
            <w:bottom w:val="none" w:sz="0" w:space="0" w:color="auto"/>
            <w:right w:val="none" w:sz="0" w:space="0" w:color="auto"/>
          </w:divBdr>
        </w:div>
        <w:div w:id="1562446078">
          <w:marLeft w:val="480"/>
          <w:marRight w:val="0"/>
          <w:marTop w:val="0"/>
          <w:marBottom w:val="0"/>
          <w:divBdr>
            <w:top w:val="none" w:sz="0" w:space="0" w:color="auto"/>
            <w:left w:val="none" w:sz="0" w:space="0" w:color="auto"/>
            <w:bottom w:val="none" w:sz="0" w:space="0" w:color="auto"/>
            <w:right w:val="none" w:sz="0" w:space="0" w:color="auto"/>
          </w:divBdr>
        </w:div>
        <w:div w:id="497424729">
          <w:marLeft w:val="480"/>
          <w:marRight w:val="0"/>
          <w:marTop w:val="0"/>
          <w:marBottom w:val="0"/>
          <w:divBdr>
            <w:top w:val="none" w:sz="0" w:space="0" w:color="auto"/>
            <w:left w:val="none" w:sz="0" w:space="0" w:color="auto"/>
            <w:bottom w:val="none" w:sz="0" w:space="0" w:color="auto"/>
            <w:right w:val="none" w:sz="0" w:space="0" w:color="auto"/>
          </w:divBdr>
        </w:div>
        <w:div w:id="391004016">
          <w:marLeft w:val="480"/>
          <w:marRight w:val="0"/>
          <w:marTop w:val="0"/>
          <w:marBottom w:val="0"/>
          <w:divBdr>
            <w:top w:val="none" w:sz="0" w:space="0" w:color="auto"/>
            <w:left w:val="none" w:sz="0" w:space="0" w:color="auto"/>
            <w:bottom w:val="none" w:sz="0" w:space="0" w:color="auto"/>
            <w:right w:val="none" w:sz="0" w:space="0" w:color="auto"/>
          </w:divBdr>
        </w:div>
        <w:div w:id="147215307">
          <w:marLeft w:val="480"/>
          <w:marRight w:val="0"/>
          <w:marTop w:val="0"/>
          <w:marBottom w:val="0"/>
          <w:divBdr>
            <w:top w:val="none" w:sz="0" w:space="0" w:color="auto"/>
            <w:left w:val="none" w:sz="0" w:space="0" w:color="auto"/>
            <w:bottom w:val="none" w:sz="0" w:space="0" w:color="auto"/>
            <w:right w:val="none" w:sz="0" w:space="0" w:color="auto"/>
          </w:divBdr>
        </w:div>
        <w:div w:id="2048488831">
          <w:marLeft w:val="480"/>
          <w:marRight w:val="0"/>
          <w:marTop w:val="0"/>
          <w:marBottom w:val="0"/>
          <w:divBdr>
            <w:top w:val="none" w:sz="0" w:space="0" w:color="auto"/>
            <w:left w:val="none" w:sz="0" w:space="0" w:color="auto"/>
            <w:bottom w:val="none" w:sz="0" w:space="0" w:color="auto"/>
            <w:right w:val="none" w:sz="0" w:space="0" w:color="auto"/>
          </w:divBdr>
        </w:div>
        <w:div w:id="710148241">
          <w:marLeft w:val="480"/>
          <w:marRight w:val="0"/>
          <w:marTop w:val="0"/>
          <w:marBottom w:val="0"/>
          <w:divBdr>
            <w:top w:val="none" w:sz="0" w:space="0" w:color="auto"/>
            <w:left w:val="none" w:sz="0" w:space="0" w:color="auto"/>
            <w:bottom w:val="none" w:sz="0" w:space="0" w:color="auto"/>
            <w:right w:val="none" w:sz="0" w:space="0" w:color="auto"/>
          </w:divBdr>
        </w:div>
        <w:div w:id="1429736072">
          <w:marLeft w:val="480"/>
          <w:marRight w:val="0"/>
          <w:marTop w:val="0"/>
          <w:marBottom w:val="0"/>
          <w:divBdr>
            <w:top w:val="none" w:sz="0" w:space="0" w:color="auto"/>
            <w:left w:val="none" w:sz="0" w:space="0" w:color="auto"/>
            <w:bottom w:val="none" w:sz="0" w:space="0" w:color="auto"/>
            <w:right w:val="none" w:sz="0" w:space="0" w:color="auto"/>
          </w:divBdr>
        </w:div>
        <w:div w:id="2075546451">
          <w:marLeft w:val="480"/>
          <w:marRight w:val="0"/>
          <w:marTop w:val="0"/>
          <w:marBottom w:val="0"/>
          <w:divBdr>
            <w:top w:val="none" w:sz="0" w:space="0" w:color="auto"/>
            <w:left w:val="none" w:sz="0" w:space="0" w:color="auto"/>
            <w:bottom w:val="none" w:sz="0" w:space="0" w:color="auto"/>
            <w:right w:val="none" w:sz="0" w:space="0" w:color="auto"/>
          </w:divBdr>
        </w:div>
        <w:div w:id="889728047">
          <w:marLeft w:val="480"/>
          <w:marRight w:val="0"/>
          <w:marTop w:val="0"/>
          <w:marBottom w:val="0"/>
          <w:divBdr>
            <w:top w:val="none" w:sz="0" w:space="0" w:color="auto"/>
            <w:left w:val="none" w:sz="0" w:space="0" w:color="auto"/>
            <w:bottom w:val="none" w:sz="0" w:space="0" w:color="auto"/>
            <w:right w:val="none" w:sz="0" w:space="0" w:color="auto"/>
          </w:divBdr>
        </w:div>
        <w:div w:id="619147089">
          <w:marLeft w:val="480"/>
          <w:marRight w:val="0"/>
          <w:marTop w:val="0"/>
          <w:marBottom w:val="0"/>
          <w:divBdr>
            <w:top w:val="none" w:sz="0" w:space="0" w:color="auto"/>
            <w:left w:val="none" w:sz="0" w:space="0" w:color="auto"/>
            <w:bottom w:val="none" w:sz="0" w:space="0" w:color="auto"/>
            <w:right w:val="none" w:sz="0" w:space="0" w:color="auto"/>
          </w:divBdr>
        </w:div>
        <w:div w:id="1964462993">
          <w:marLeft w:val="480"/>
          <w:marRight w:val="0"/>
          <w:marTop w:val="0"/>
          <w:marBottom w:val="0"/>
          <w:divBdr>
            <w:top w:val="none" w:sz="0" w:space="0" w:color="auto"/>
            <w:left w:val="none" w:sz="0" w:space="0" w:color="auto"/>
            <w:bottom w:val="none" w:sz="0" w:space="0" w:color="auto"/>
            <w:right w:val="none" w:sz="0" w:space="0" w:color="auto"/>
          </w:divBdr>
        </w:div>
        <w:div w:id="2133553018">
          <w:marLeft w:val="480"/>
          <w:marRight w:val="0"/>
          <w:marTop w:val="0"/>
          <w:marBottom w:val="0"/>
          <w:divBdr>
            <w:top w:val="none" w:sz="0" w:space="0" w:color="auto"/>
            <w:left w:val="none" w:sz="0" w:space="0" w:color="auto"/>
            <w:bottom w:val="none" w:sz="0" w:space="0" w:color="auto"/>
            <w:right w:val="none" w:sz="0" w:space="0" w:color="auto"/>
          </w:divBdr>
        </w:div>
        <w:div w:id="1967269389">
          <w:marLeft w:val="480"/>
          <w:marRight w:val="0"/>
          <w:marTop w:val="0"/>
          <w:marBottom w:val="0"/>
          <w:divBdr>
            <w:top w:val="none" w:sz="0" w:space="0" w:color="auto"/>
            <w:left w:val="none" w:sz="0" w:space="0" w:color="auto"/>
            <w:bottom w:val="none" w:sz="0" w:space="0" w:color="auto"/>
            <w:right w:val="none" w:sz="0" w:space="0" w:color="auto"/>
          </w:divBdr>
        </w:div>
        <w:div w:id="1056855443">
          <w:marLeft w:val="480"/>
          <w:marRight w:val="0"/>
          <w:marTop w:val="0"/>
          <w:marBottom w:val="0"/>
          <w:divBdr>
            <w:top w:val="none" w:sz="0" w:space="0" w:color="auto"/>
            <w:left w:val="none" w:sz="0" w:space="0" w:color="auto"/>
            <w:bottom w:val="none" w:sz="0" w:space="0" w:color="auto"/>
            <w:right w:val="none" w:sz="0" w:space="0" w:color="auto"/>
          </w:divBdr>
        </w:div>
        <w:div w:id="1655796343">
          <w:marLeft w:val="480"/>
          <w:marRight w:val="0"/>
          <w:marTop w:val="0"/>
          <w:marBottom w:val="0"/>
          <w:divBdr>
            <w:top w:val="none" w:sz="0" w:space="0" w:color="auto"/>
            <w:left w:val="none" w:sz="0" w:space="0" w:color="auto"/>
            <w:bottom w:val="none" w:sz="0" w:space="0" w:color="auto"/>
            <w:right w:val="none" w:sz="0" w:space="0" w:color="auto"/>
          </w:divBdr>
        </w:div>
        <w:div w:id="1745375667">
          <w:marLeft w:val="480"/>
          <w:marRight w:val="0"/>
          <w:marTop w:val="0"/>
          <w:marBottom w:val="0"/>
          <w:divBdr>
            <w:top w:val="none" w:sz="0" w:space="0" w:color="auto"/>
            <w:left w:val="none" w:sz="0" w:space="0" w:color="auto"/>
            <w:bottom w:val="none" w:sz="0" w:space="0" w:color="auto"/>
            <w:right w:val="none" w:sz="0" w:space="0" w:color="auto"/>
          </w:divBdr>
        </w:div>
        <w:div w:id="1367290754">
          <w:marLeft w:val="480"/>
          <w:marRight w:val="0"/>
          <w:marTop w:val="0"/>
          <w:marBottom w:val="0"/>
          <w:divBdr>
            <w:top w:val="none" w:sz="0" w:space="0" w:color="auto"/>
            <w:left w:val="none" w:sz="0" w:space="0" w:color="auto"/>
            <w:bottom w:val="none" w:sz="0" w:space="0" w:color="auto"/>
            <w:right w:val="none" w:sz="0" w:space="0" w:color="auto"/>
          </w:divBdr>
        </w:div>
        <w:div w:id="1273364662">
          <w:marLeft w:val="480"/>
          <w:marRight w:val="0"/>
          <w:marTop w:val="0"/>
          <w:marBottom w:val="0"/>
          <w:divBdr>
            <w:top w:val="none" w:sz="0" w:space="0" w:color="auto"/>
            <w:left w:val="none" w:sz="0" w:space="0" w:color="auto"/>
            <w:bottom w:val="none" w:sz="0" w:space="0" w:color="auto"/>
            <w:right w:val="none" w:sz="0" w:space="0" w:color="auto"/>
          </w:divBdr>
        </w:div>
        <w:div w:id="1050113183">
          <w:marLeft w:val="480"/>
          <w:marRight w:val="0"/>
          <w:marTop w:val="0"/>
          <w:marBottom w:val="0"/>
          <w:divBdr>
            <w:top w:val="none" w:sz="0" w:space="0" w:color="auto"/>
            <w:left w:val="none" w:sz="0" w:space="0" w:color="auto"/>
            <w:bottom w:val="none" w:sz="0" w:space="0" w:color="auto"/>
            <w:right w:val="none" w:sz="0" w:space="0" w:color="auto"/>
          </w:divBdr>
        </w:div>
        <w:div w:id="1274941951">
          <w:marLeft w:val="480"/>
          <w:marRight w:val="0"/>
          <w:marTop w:val="0"/>
          <w:marBottom w:val="0"/>
          <w:divBdr>
            <w:top w:val="none" w:sz="0" w:space="0" w:color="auto"/>
            <w:left w:val="none" w:sz="0" w:space="0" w:color="auto"/>
            <w:bottom w:val="none" w:sz="0" w:space="0" w:color="auto"/>
            <w:right w:val="none" w:sz="0" w:space="0" w:color="auto"/>
          </w:divBdr>
        </w:div>
        <w:div w:id="1309895220">
          <w:marLeft w:val="480"/>
          <w:marRight w:val="0"/>
          <w:marTop w:val="0"/>
          <w:marBottom w:val="0"/>
          <w:divBdr>
            <w:top w:val="none" w:sz="0" w:space="0" w:color="auto"/>
            <w:left w:val="none" w:sz="0" w:space="0" w:color="auto"/>
            <w:bottom w:val="none" w:sz="0" w:space="0" w:color="auto"/>
            <w:right w:val="none" w:sz="0" w:space="0" w:color="auto"/>
          </w:divBdr>
        </w:div>
        <w:div w:id="2050295835">
          <w:marLeft w:val="480"/>
          <w:marRight w:val="0"/>
          <w:marTop w:val="0"/>
          <w:marBottom w:val="0"/>
          <w:divBdr>
            <w:top w:val="none" w:sz="0" w:space="0" w:color="auto"/>
            <w:left w:val="none" w:sz="0" w:space="0" w:color="auto"/>
            <w:bottom w:val="none" w:sz="0" w:space="0" w:color="auto"/>
            <w:right w:val="none" w:sz="0" w:space="0" w:color="auto"/>
          </w:divBdr>
        </w:div>
        <w:div w:id="2000697160">
          <w:marLeft w:val="480"/>
          <w:marRight w:val="0"/>
          <w:marTop w:val="0"/>
          <w:marBottom w:val="0"/>
          <w:divBdr>
            <w:top w:val="none" w:sz="0" w:space="0" w:color="auto"/>
            <w:left w:val="none" w:sz="0" w:space="0" w:color="auto"/>
            <w:bottom w:val="none" w:sz="0" w:space="0" w:color="auto"/>
            <w:right w:val="none" w:sz="0" w:space="0" w:color="auto"/>
          </w:divBdr>
        </w:div>
        <w:div w:id="467404337">
          <w:marLeft w:val="480"/>
          <w:marRight w:val="0"/>
          <w:marTop w:val="0"/>
          <w:marBottom w:val="0"/>
          <w:divBdr>
            <w:top w:val="none" w:sz="0" w:space="0" w:color="auto"/>
            <w:left w:val="none" w:sz="0" w:space="0" w:color="auto"/>
            <w:bottom w:val="none" w:sz="0" w:space="0" w:color="auto"/>
            <w:right w:val="none" w:sz="0" w:space="0" w:color="auto"/>
          </w:divBdr>
        </w:div>
        <w:div w:id="537474362">
          <w:marLeft w:val="480"/>
          <w:marRight w:val="0"/>
          <w:marTop w:val="0"/>
          <w:marBottom w:val="0"/>
          <w:divBdr>
            <w:top w:val="none" w:sz="0" w:space="0" w:color="auto"/>
            <w:left w:val="none" w:sz="0" w:space="0" w:color="auto"/>
            <w:bottom w:val="none" w:sz="0" w:space="0" w:color="auto"/>
            <w:right w:val="none" w:sz="0" w:space="0" w:color="auto"/>
          </w:divBdr>
        </w:div>
        <w:div w:id="1572160427">
          <w:marLeft w:val="480"/>
          <w:marRight w:val="0"/>
          <w:marTop w:val="0"/>
          <w:marBottom w:val="0"/>
          <w:divBdr>
            <w:top w:val="none" w:sz="0" w:space="0" w:color="auto"/>
            <w:left w:val="none" w:sz="0" w:space="0" w:color="auto"/>
            <w:bottom w:val="none" w:sz="0" w:space="0" w:color="auto"/>
            <w:right w:val="none" w:sz="0" w:space="0" w:color="auto"/>
          </w:divBdr>
        </w:div>
        <w:div w:id="818503339">
          <w:marLeft w:val="480"/>
          <w:marRight w:val="0"/>
          <w:marTop w:val="0"/>
          <w:marBottom w:val="0"/>
          <w:divBdr>
            <w:top w:val="none" w:sz="0" w:space="0" w:color="auto"/>
            <w:left w:val="none" w:sz="0" w:space="0" w:color="auto"/>
            <w:bottom w:val="none" w:sz="0" w:space="0" w:color="auto"/>
            <w:right w:val="none" w:sz="0" w:space="0" w:color="auto"/>
          </w:divBdr>
        </w:div>
        <w:div w:id="594901585">
          <w:marLeft w:val="480"/>
          <w:marRight w:val="0"/>
          <w:marTop w:val="0"/>
          <w:marBottom w:val="0"/>
          <w:divBdr>
            <w:top w:val="none" w:sz="0" w:space="0" w:color="auto"/>
            <w:left w:val="none" w:sz="0" w:space="0" w:color="auto"/>
            <w:bottom w:val="none" w:sz="0" w:space="0" w:color="auto"/>
            <w:right w:val="none" w:sz="0" w:space="0" w:color="auto"/>
          </w:divBdr>
        </w:div>
        <w:div w:id="1368021810">
          <w:marLeft w:val="480"/>
          <w:marRight w:val="0"/>
          <w:marTop w:val="0"/>
          <w:marBottom w:val="0"/>
          <w:divBdr>
            <w:top w:val="none" w:sz="0" w:space="0" w:color="auto"/>
            <w:left w:val="none" w:sz="0" w:space="0" w:color="auto"/>
            <w:bottom w:val="none" w:sz="0" w:space="0" w:color="auto"/>
            <w:right w:val="none" w:sz="0" w:space="0" w:color="auto"/>
          </w:divBdr>
        </w:div>
        <w:div w:id="1012339546">
          <w:marLeft w:val="480"/>
          <w:marRight w:val="0"/>
          <w:marTop w:val="0"/>
          <w:marBottom w:val="0"/>
          <w:divBdr>
            <w:top w:val="none" w:sz="0" w:space="0" w:color="auto"/>
            <w:left w:val="none" w:sz="0" w:space="0" w:color="auto"/>
            <w:bottom w:val="none" w:sz="0" w:space="0" w:color="auto"/>
            <w:right w:val="none" w:sz="0" w:space="0" w:color="auto"/>
          </w:divBdr>
        </w:div>
        <w:div w:id="1997997042">
          <w:marLeft w:val="480"/>
          <w:marRight w:val="0"/>
          <w:marTop w:val="0"/>
          <w:marBottom w:val="0"/>
          <w:divBdr>
            <w:top w:val="none" w:sz="0" w:space="0" w:color="auto"/>
            <w:left w:val="none" w:sz="0" w:space="0" w:color="auto"/>
            <w:bottom w:val="none" w:sz="0" w:space="0" w:color="auto"/>
            <w:right w:val="none" w:sz="0" w:space="0" w:color="auto"/>
          </w:divBdr>
        </w:div>
        <w:div w:id="1855459804">
          <w:marLeft w:val="480"/>
          <w:marRight w:val="0"/>
          <w:marTop w:val="0"/>
          <w:marBottom w:val="0"/>
          <w:divBdr>
            <w:top w:val="none" w:sz="0" w:space="0" w:color="auto"/>
            <w:left w:val="none" w:sz="0" w:space="0" w:color="auto"/>
            <w:bottom w:val="none" w:sz="0" w:space="0" w:color="auto"/>
            <w:right w:val="none" w:sz="0" w:space="0" w:color="auto"/>
          </w:divBdr>
        </w:div>
        <w:div w:id="1591812257">
          <w:marLeft w:val="480"/>
          <w:marRight w:val="0"/>
          <w:marTop w:val="0"/>
          <w:marBottom w:val="0"/>
          <w:divBdr>
            <w:top w:val="none" w:sz="0" w:space="0" w:color="auto"/>
            <w:left w:val="none" w:sz="0" w:space="0" w:color="auto"/>
            <w:bottom w:val="none" w:sz="0" w:space="0" w:color="auto"/>
            <w:right w:val="none" w:sz="0" w:space="0" w:color="auto"/>
          </w:divBdr>
        </w:div>
        <w:div w:id="1443111986">
          <w:marLeft w:val="480"/>
          <w:marRight w:val="0"/>
          <w:marTop w:val="0"/>
          <w:marBottom w:val="0"/>
          <w:divBdr>
            <w:top w:val="none" w:sz="0" w:space="0" w:color="auto"/>
            <w:left w:val="none" w:sz="0" w:space="0" w:color="auto"/>
            <w:bottom w:val="none" w:sz="0" w:space="0" w:color="auto"/>
            <w:right w:val="none" w:sz="0" w:space="0" w:color="auto"/>
          </w:divBdr>
        </w:div>
        <w:div w:id="2008164414">
          <w:marLeft w:val="480"/>
          <w:marRight w:val="0"/>
          <w:marTop w:val="0"/>
          <w:marBottom w:val="0"/>
          <w:divBdr>
            <w:top w:val="none" w:sz="0" w:space="0" w:color="auto"/>
            <w:left w:val="none" w:sz="0" w:space="0" w:color="auto"/>
            <w:bottom w:val="none" w:sz="0" w:space="0" w:color="auto"/>
            <w:right w:val="none" w:sz="0" w:space="0" w:color="auto"/>
          </w:divBdr>
        </w:div>
        <w:div w:id="1179082485">
          <w:marLeft w:val="480"/>
          <w:marRight w:val="0"/>
          <w:marTop w:val="0"/>
          <w:marBottom w:val="0"/>
          <w:divBdr>
            <w:top w:val="none" w:sz="0" w:space="0" w:color="auto"/>
            <w:left w:val="none" w:sz="0" w:space="0" w:color="auto"/>
            <w:bottom w:val="none" w:sz="0" w:space="0" w:color="auto"/>
            <w:right w:val="none" w:sz="0" w:space="0" w:color="auto"/>
          </w:divBdr>
        </w:div>
        <w:div w:id="1036194355">
          <w:marLeft w:val="480"/>
          <w:marRight w:val="0"/>
          <w:marTop w:val="0"/>
          <w:marBottom w:val="0"/>
          <w:divBdr>
            <w:top w:val="none" w:sz="0" w:space="0" w:color="auto"/>
            <w:left w:val="none" w:sz="0" w:space="0" w:color="auto"/>
            <w:bottom w:val="none" w:sz="0" w:space="0" w:color="auto"/>
            <w:right w:val="none" w:sz="0" w:space="0" w:color="auto"/>
          </w:divBdr>
        </w:div>
        <w:div w:id="1815246447">
          <w:marLeft w:val="480"/>
          <w:marRight w:val="0"/>
          <w:marTop w:val="0"/>
          <w:marBottom w:val="0"/>
          <w:divBdr>
            <w:top w:val="none" w:sz="0" w:space="0" w:color="auto"/>
            <w:left w:val="none" w:sz="0" w:space="0" w:color="auto"/>
            <w:bottom w:val="none" w:sz="0" w:space="0" w:color="auto"/>
            <w:right w:val="none" w:sz="0" w:space="0" w:color="auto"/>
          </w:divBdr>
        </w:div>
        <w:div w:id="423380503">
          <w:marLeft w:val="480"/>
          <w:marRight w:val="0"/>
          <w:marTop w:val="0"/>
          <w:marBottom w:val="0"/>
          <w:divBdr>
            <w:top w:val="none" w:sz="0" w:space="0" w:color="auto"/>
            <w:left w:val="none" w:sz="0" w:space="0" w:color="auto"/>
            <w:bottom w:val="none" w:sz="0" w:space="0" w:color="auto"/>
            <w:right w:val="none" w:sz="0" w:space="0" w:color="auto"/>
          </w:divBdr>
        </w:div>
        <w:div w:id="651105899">
          <w:marLeft w:val="480"/>
          <w:marRight w:val="0"/>
          <w:marTop w:val="0"/>
          <w:marBottom w:val="0"/>
          <w:divBdr>
            <w:top w:val="none" w:sz="0" w:space="0" w:color="auto"/>
            <w:left w:val="none" w:sz="0" w:space="0" w:color="auto"/>
            <w:bottom w:val="none" w:sz="0" w:space="0" w:color="auto"/>
            <w:right w:val="none" w:sz="0" w:space="0" w:color="auto"/>
          </w:divBdr>
        </w:div>
        <w:div w:id="338318667">
          <w:marLeft w:val="480"/>
          <w:marRight w:val="0"/>
          <w:marTop w:val="0"/>
          <w:marBottom w:val="0"/>
          <w:divBdr>
            <w:top w:val="none" w:sz="0" w:space="0" w:color="auto"/>
            <w:left w:val="none" w:sz="0" w:space="0" w:color="auto"/>
            <w:bottom w:val="none" w:sz="0" w:space="0" w:color="auto"/>
            <w:right w:val="none" w:sz="0" w:space="0" w:color="auto"/>
          </w:divBdr>
        </w:div>
        <w:div w:id="1732843287">
          <w:marLeft w:val="480"/>
          <w:marRight w:val="0"/>
          <w:marTop w:val="0"/>
          <w:marBottom w:val="0"/>
          <w:divBdr>
            <w:top w:val="none" w:sz="0" w:space="0" w:color="auto"/>
            <w:left w:val="none" w:sz="0" w:space="0" w:color="auto"/>
            <w:bottom w:val="none" w:sz="0" w:space="0" w:color="auto"/>
            <w:right w:val="none" w:sz="0" w:space="0" w:color="auto"/>
          </w:divBdr>
        </w:div>
        <w:div w:id="960764629">
          <w:marLeft w:val="480"/>
          <w:marRight w:val="0"/>
          <w:marTop w:val="0"/>
          <w:marBottom w:val="0"/>
          <w:divBdr>
            <w:top w:val="none" w:sz="0" w:space="0" w:color="auto"/>
            <w:left w:val="none" w:sz="0" w:space="0" w:color="auto"/>
            <w:bottom w:val="none" w:sz="0" w:space="0" w:color="auto"/>
            <w:right w:val="none" w:sz="0" w:space="0" w:color="auto"/>
          </w:divBdr>
        </w:div>
        <w:div w:id="237372830">
          <w:marLeft w:val="480"/>
          <w:marRight w:val="0"/>
          <w:marTop w:val="0"/>
          <w:marBottom w:val="0"/>
          <w:divBdr>
            <w:top w:val="none" w:sz="0" w:space="0" w:color="auto"/>
            <w:left w:val="none" w:sz="0" w:space="0" w:color="auto"/>
            <w:bottom w:val="none" w:sz="0" w:space="0" w:color="auto"/>
            <w:right w:val="none" w:sz="0" w:space="0" w:color="auto"/>
          </w:divBdr>
        </w:div>
        <w:div w:id="1685474107">
          <w:marLeft w:val="480"/>
          <w:marRight w:val="0"/>
          <w:marTop w:val="0"/>
          <w:marBottom w:val="0"/>
          <w:divBdr>
            <w:top w:val="none" w:sz="0" w:space="0" w:color="auto"/>
            <w:left w:val="none" w:sz="0" w:space="0" w:color="auto"/>
            <w:bottom w:val="none" w:sz="0" w:space="0" w:color="auto"/>
            <w:right w:val="none" w:sz="0" w:space="0" w:color="auto"/>
          </w:divBdr>
        </w:div>
        <w:div w:id="1157577493">
          <w:marLeft w:val="480"/>
          <w:marRight w:val="0"/>
          <w:marTop w:val="0"/>
          <w:marBottom w:val="0"/>
          <w:divBdr>
            <w:top w:val="none" w:sz="0" w:space="0" w:color="auto"/>
            <w:left w:val="none" w:sz="0" w:space="0" w:color="auto"/>
            <w:bottom w:val="none" w:sz="0" w:space="0" w:color="auto"/>
            <w:right w:val="none" w:sz="0" w:space="0" w:color="auto"/>
          </w:divBdr>
        </w:div>
        <w:div w:id="407308879">
          <w:marLeft w:val="480"/>
          <w:marRight w:val="0"/>
          <w:marTop w:val="0"/>
          <w:marBottom w:val="0"/>
          <w:divBdr>
            <w:top w:val="none" w:sz="0" w:space="0" w:color="auto"/>
            <w:left w:val="none" w:sz="0" w:space="0" w:color="auto"/>
            <w:bottom w:val="none" w:sz="0" w:space="0" w:color="auto"/>
            <w:right w:val="none" w:sz="0" w:space="0" w:color="auto"/>
          </w:divBdr>
        </w:div>
        <w:div w:id="2122872985">
          <w:marLeft w:val="480"/>
          <w:marRight w:val="0"/>
          <w:marTop w:val="0"/>
          <w:marBottom w:val="0"/>
          <w:divBdr>
            <w:top w:val="none" w:sz="0" w:space="0" w:color="auto"/>
            <w:left w:val="none" w:sz="0" w:space="0" w:color="auto"/>
            <w:bottom w:val="none" w:sz="0" w:space="0" w:color="auto"/>
            <w:right w:val="none" w:sz="0" w:space="0" w:color="auto"/>
          </w:divBdr>
        </w:div>
        <w:div w:id="926110130">
          <w:marLeft w:val="480"/>
          <w:marRight w:val="0"/>
          <w:marTop w:val="0"/>
          <w:marBottom w:val="0"/>
          <w:divBdr>
            <w:top w:val="none" w:sz="0" w:space="0" w:color="auto"/>
            <w:left w:val="none" w:sz="0" w:space="0" w:color="auto"/>
            <w:bottom w:val="none" w:sz="0" w:space="0" w:color="auto"/>
            <w:right w:val="none" w:sz="0" w:space="0" w:color="auto"/>
          </w:divBdr>
        </w:div>
        <w:div w:id="1480998867">
          <w:marLeft w:val="480"/>
          <w:marRight w:val="0"/>
          <w:marTop w:val="0"/>
          <w:marBottom w:val="0"/>
          <w:divBdr>
            <w:top w:val="none" w:sz="0" w:space="0" w:color="auto"/>
            <w:left w:val="none" w:sz="0" w:space="0" w:color="auto"/>
            <w:bottom w:val="none" w:sz="0" w:space="0" w:color="auto"/>
            <w:right w:val="none" w:sz="0" w:space="0" w:color="auto"/>
          </w:divBdr>
        </w:div>
        <w:div w:id="470363592">
          <w:marLeft w:val="480"/>
          <w:marRight w:val="0"/>
          <w:marTop w:val="0"/>
          <w:marBottom w:val="0"/>
          <w:divBdr>
            <w:top w:val="none" w:sz="0" w:space="0" w:color="auto"/>
            <w:left w:val="none" w:sz="0" w:space="0" w:color="auto"/>
            <w:bottom w:val="none" w:sz="0" w:space="0" w:color="auto"/>
            <w:right w:val="none" w:sz="0" w:space="0" w:color="auto"/>
          </w:divBdr>
        </w:div>
        <w:div w:id="895239742">
          <w:marLeft w:val="480"/>
          <w:marRight w:val="0"/>
          <w:marTop w:val="0"/>
          <w:marBottom w:val="0"/>
          <w:divBdr>
            <w:top w:val="none" w:sz="0" w:space="0" w:color="auto"/>
            <w:left w:val="none" w:sz="0" w:space="0" w:color="auto"/>
            <w:bottom w:val="none" w:sz="0" w:space="0" w:color="auto"/>
            <w:right w:val="none" w:sz="0" w:space="0" w:color="auto"/>
          </w:divBdr>
        </w:div>
        <w:div w:id="1670865048">
          <w:marLeft w:val="480"/>
          <w:marRight w:val="0"/>
          <w:marTop w:val="0"/>
          <w:marBottom w:val="0"/>
          <w:divBdr>
            <w:top w:val="none" w:sz="0" w:space="0" w:color="auto"/>
            <w:left w:val="none" w:sz="0" w:space="0" w:color="auto"/>
            <w:bottom w:val="none" w:sz="0" w:space="0" w:color="auto"/>
            <w:right w:val="none" w:sz="0" w:space="0" w:color="auto"/>
          </w:divBdr>
        </w:div>
        <w:div w:id="1368603770">
          <w:marLeft w:val="480"/>
          <w:marRight w:val="0"/>
          <w:marTop w:val="0"/>
          <w:marBottom w:val="0"/>
          <w:divBdr>
            <w:top w:val="none" w:sz="0" w:space="0" w:color="auto"/>
            <w:left w:val="none" w:sz="0" w:space="0" w:color="auto"/>
            <w:bottom w:val="none" w:sz="0" w:space="0" w:color="auto"/>
            <w:right w:val="none" w:sz="0" w:space="0" w:color="auto"/>
          </w:divBdr>
        </w:div>
        <w:div w:id="1843080700">
          <w:marLeft w:val="480"/>
          <w:marRight w:val="0"/>
          <w:marTop w:val="0"/>
          <w:marBottom w:val="0"/>
          <w:divBdr>
            <w:top w:val="none" w:sz="0" w:space="0" w:color="auto"/>
            <w:left w:val="none" w:sz="0" w:space="0" w:color="auto"/>
            <w:bottom w:val="none" w:sz="0" w:space="0" w:color="auto"/>
            <w:right w:val="none" w:sz="0" w:space="0" w:color="auto"/>
          </w:divBdr>
        </w:div>
        <w:div w:id="429542482">
          <w:marLeft w:val="480"/>
          <w:marRight w:val="0"/>
          <w:marTop w:val="0"/>
          <w:marBottom w:val="0"/>
          <w:divBdr>
            <w:top w:val="none" w:sz="0" w:space="0" w:color="auto"/>
            <w:left w:val="none" w:sz="0" w:space="0" w:color="auto"/>
            <w:bottom w:val="none" w:sz="0" w:space="0" w:color="auto"/>
            <w:right w:val="none" w:sz="0" w:space="0" w:color="auto"/>
          </w:divBdr>
        </w:div>
        <w:div w:id="1137649175">
          <w:marLeft w:val="480"/>
          <w:marRight w:val="0"/>
          <w:marTop w:val="0"/>
          <w:marBottom w:val="0"/>
          <w:divBdr>
            <w:top w:val="none" w:sz="0" w:space="0" w:color="auto"/>
            <w:left w:val="none" w:sz="0" w:space="0" w:color="auto"/>
            <w:bottom w:val="none" w:sz="0" w:space="0" w:color="auto"/>
            <w:right w:val="none" w:sz="0" w:space="0" w:color="auto"/>
          </w:divBdr>
        </w:div>
        <w:div w:id="466628316">
          <w:marLeft w:val="480"/>
          <w:marRight w:val="0"/>
          <w:marTop w:val="0"/>
          <w:marBottom w:val="0"/>
          <w:divBdr>
            <w:top w:val="none" w:sz="0" w:space="0" w:color="auto"/>
            <w:left w:val="none" w:sz="0" w:space="0" w:color="auto"/>
            <w:bottom w:val="none" w:sz="0" w:space="0" w:color="auto"/>
            <w:right w:val="none" w:sz="0" w:space="0" w:color="auto"/>
          </w:divBdr>
        </w:div>
        <w:div w:id="146285867">
          <w:marLeft w:val="480"/>
          <w:marRight w:val="0"/>
          <w:marTop w:val="0"/>
          <w:marBottom w:val="0"/>
          <w:divBdr>
            <w:top w:val="none" w:sz="0" w:space="0" w:color="auto"/>
            <w:left w:val="none" w:sz="0" w:space="0" w:color="auto"/>
            <w:bottom w:val="none" w:sz="0" w:space="0" w:color="auto"/>
            <w:right w:val="none" w:sz="0" w:space="0" w:color="auto"/>
          </w:divBdr>
        </w:div>
        <w:div w:id="430902771">
          <w:marLeft w:val="480"/>
          <w:marRight w:val="0"/>
          <w:marTop w:val="0"/>
          <w:marBottom w:val="0"/>
          <w:divBdr>
            <w:top w:val="none" w:sz="0" w:space="0" w:color="auto"/>
            <w:left w:val="none" w:sz="0" w:space="0" w:color="auto"/>
            <w:bottom w:val="none" w:sz="0" w:space="0" w:color="auto"/>
            <w:right w:val="none" w:sz="0" w:space="0" w:color="auto"/>
          </w:divBdr>
        </w:div>
        <w:div w:id="102388045">
          <w:marLeft w:val="480"/>
          <w:marRight w:val="0"/>
          <w:marTop w:val="0"/>
          <w:marBottom w:val="0"/>
          <w:divBdr>
            <w:top w:val="none" w:sz="0" w:space="0" w:color="auto"/>
            <w:left w:val="none" w:sz="0" w:space="0" w:color="auto"/>
            <w:bottom w:val="none" w:sz="0" w:space="0" w:color="auto"/>
            <w:right w:val="none" w:sz="0" w:space="0" w:color="auto"/>
          </w:divBdr>
        </w:div>
        <w:div w:id="1185750545">
          <w:marLeft w:val="480"/>
          <w:marRight w:val="0"/>
          <w:marTop w:val="0"/>
          <w:marBottom w:val="0"/>
          <w:divBdr>
            <w:top w:val="none" w:sz="0" w:space="0" w:color="auto"/>
            <w:left w:val="none" w:sz="0" w:space="0" w:color="auto"/>
            <w:bottom w:val="none" w:sz="0" w:space="0" w:color="auto"/>
            <w:right w:val="none" w:sz="0" w:space="0" w:color="auto"/>
          </w:divBdr>
        </w:div>
        <w:div w:id="424110933">
          <w:marLeft w:val="480"/>
          <w:marRight w:val="0"/>
          <w:marTop w:val="0"/>
          <w:marBottom w:val="0"/>
          <w:divBdr>
            <w:top w:val="none" w:sz="0" w:space="0" w:color="auto"/>
            <w:left w:val="none" w:sz="0" w:space="0" w:color="auto"/>
            <w:bottom w:val="none" w:sz="0" w:space="0" w:color="auto"/>
            <w:right w:val="none" w:sz="0" w:space="0" w:color="auto"/>
          </w:divBdr>
        </w:div>
        <w:div w:id="2071922578">
          <w:marLeft w:val="480"/>
          <w:marRight w:val="0"/>
          <w:marTop w:val="0"/>
          <w:marBottom w:val="0"/>
          <w:divBdr>
            <w:top w:val="none" w:sz="0" w:space="0" w:color="auto"/>
            <w:left w:val="none" w:sz="0" w:space="0" w:color="auto"/>
            <w:bottom w:val="none" w:sz="0" w:space="0" w:color="auto"/>
            <w:right w:val="none" w:sz="0" w:space="0" w:color="auto"/>
          </w:divBdr>
        </w:div>
        <w:div w:id="1400517976">
          <w:marLeft w:val="480"/>
          <w:marRight w:val="0"/>
          <w:marTop w:val="0"/>
          <w:marBottom w:val="0"/>
          <w:divBdr>
            <w:top w:val="none" w:sz="0" w:space="0" w:color="auto"/>
            <w:left w:val="none" w:sz="0" w:space="0" w:color="auto"/>
            <w:bottom w:val="none" w:sz="0" w:space="0" w:color="auto"/>
            <w:right w:val="none" w:sz="0" w:space="0" w:color="auto"/>
          </w:divBdr>
        </w:div>
        <w:div w:id="1387223559">
          <w:marLeft w:val="480"/>
          <w:marRight w:val="0"/>
          <w:marTop w:val="0"/>
          <w:marBottom w:val="0"/>
          <w:divBdr>
            <w:top w:val="none" w:sz="0" w:space="0" w:color="auto"/>
            <w:left w:val="none" w:sz="0" w:space="0" w:color="auto"/>
            <w:bottom w:val="none" w:sz="0" w:space="0" w:color="auto"/>
            <w:right w:val="none" w:sz="0" w:space="0" w:color="auto"/>
          </w:divBdr>
        </w:div>
        <w:div w:id="1460412117">
          <w:marLeft w:val="480"/>
          <w:marRight w:val="0"/>
          <w:marTop w:val="0"/>
          <w:marBottom w:val="0"/>
          <w:divBdr>
            <w:top w:val="none" w:sz="0" w:space="0" w:color="auto"/>
            <w:left w:val="none" w:sz="0" w:space="0" w:color="auto"/>
            <w:bottom w:val="none" w:sz="0" w:space="0" w:color="auto"/>
            <w:right w:val="none" w:sz="0" w:space="0" w:color="auto"/>
          </w:divBdr>
        </w:div>
        <w:div w:id="1208032604">
          <w:marLeft w:val="480"/>
          <w:marRight w:val="0"/>
          <w:marTop w:val="0"/>
          <w:marBottom w:val="0"/>
          <w:divBdr>
            <w:top w:val="none" w:sz="0" w:space="0" w:color="auto"/>
            <w:left w:val="none" w:sz="0" w:space="0" w:color="auto"/>
            <w:bottom w:val="none" w:sz="0" w:space="0" w:color="auto"/>
            <w:right w:val="none" w:sz="0" w:space="0" w:color="auto"/>
          </w:divBdr>
        </w:div>
        <w:div w:id="2041079089">
          <w:marLeft w:val="480"/>
          <w:marRight w:val="0"/>
          <w:marTop w:val="0"/>
          <w:marBottom w:val="0"/>
          <w:divBdr>
            <w:top w:val="none" w:sz="0" w:space="0" w:color="auto"/>
            <w:left w:val="none" w:sz="0" w:space="0" w:color="auto"/>
            <w:bottom w:val="none" w:sz="0" w:space="0" w:color="auto"/>
            <w:right w:val="none" w:sz="0" w:space="0" w:color="auto"/>
          </w:divBdr>
        </w:div>
        <w:div w:id="478109689">
          <w:marLeft w:val="480"/>
          <w:marRight w:val="0"/>
          <w:marTop w:val="0"/>
          <w:marBottom w:val="0"/>
          <w:divBdr>
            <w:top w:val="none" w:sz="0" w:space="0" w:color="auto"/>
            <w:left w:val="none" w:sz="0" w:space="0" w:color="auto"/>
            <w:bottom w:val="none" w:sz="0" w:space="0" w:color="auto"/>
            <w:right w:val="none" w:sz="0" w:space="0" w:color="auto"/>
          </w:divBdr>
        </w:div>
        <w:div w:id="346716781">
          <w:marLeft w:val="480"/>
          <w:marRight w:val="0"/>
          <w:marTop w:val="0"/>
          <w:marBottom w:val="0"/>
          <w:divBdr>
            <w:top w:val="none" w:sz="0" w:space="0" w:color="auto"/>
            <w:left w:val="none" w:sz="0" w:space="0" w:color="auto"/>
            <w:bottom w:val="none" w:sz="0" w:space="0" w:color="auto"/>
            <w:right w:val="none" w:sz="0" w:space="0" w:color="auto"/>
          </w:divBdr>
        </w:div>
        <w:div w:id="938027337">
          <w:marLeft w:val="480"/>
          <w:marRight w:val="0"/>
          <w:marTop w:val="0"/>
          <w:marBottom w:val="0"/>
          <w:divBdr>
            <w:top w:val="none" w:sz="0" w:space="0" w:color="auto"/>
            <w:left w:val="none" w:sz="0" w:space="0" w:color="auto"/>
            <w:bottom w:val="none" w:sz="0" w:space="0" w:color="auto"/>
            <w:right w:val="none" w:sz="0" w:space="0" w:color="auto"/>
          </w:divBdr>
        </w:div>
        <w:div w:id="1204250384">
          <w:marLeft w:val="480"/>
          <w:marRight w:val="0"/>
          <w:marTop w:val="0"/>
          <w:marBottom w:val="0"/>
          <w:divBdr>
            <w:top w:val="none" w:sz="0" w:space="0" w:color="auto"/>
            <w:left w:val="none" w:sz="0" w:space="0" w:color="auto"/>
            <w:bottom w:val="none" w:sz="0" w:space="0" w:color="auto"/>
            <w:right w:val="none" w:sz="0" w:space="0" w:color="auto"/>
          </w:divBdr>
        </w:div>
        <w:div w:id="404113975">
          <w:marLeft w:val="480"/>
          <w:marRight w:val="0"/>
          <w:marTop w:val="0"/>
          <w:marBottom w:val="0"/>
          <w:divBdr>
            <w:top w:val="none" w:sz="0" w:space="0" w:color="auto"/>
            <w:left w:val="none" w:sz="0" w:space="0" w:color="auto"/>
            <w:bottom w:val="none" w:sz="0" w:space="0" w:color="auto"/>
            <w:right w:val="none" w:sz="0" w:space="0" w:color="auto"/>
          </w:divBdr>
        </w:div>
        <w:div w:id="1238323326">
          <w:marLeft w:val="480"/>
          <w:marRight w:val="0"/>
          <w:marTop w:val="0"/>
          <w:marBottom w:val="0"/>
          <w:divBdr>
            <w:top w:val="none" w:sz="0" w:space="0" w:color="auto"/>
            <w:left w:val="none" w:sz="0" w:space="0" w:color="auto"/>
            <w:bottom w:val="none" w:sz="0" w:space="0" w:color="auto"/>
            <w:right w:val="none" w:sz="0" w:space="0" w:color="auto"/>
          </w:divBdr>
        </w:div>
        <w:div w:id="353461780">
          <w:marLeft w:val="480"/>
          <w:marRight w:val="0"/>
          <w:marTop w:val="0"/>
          <w:marBottom w:val="0"/>
          <w:divBdr>
            <w:top w:val="none" w:sz="0" w:space="0" w:color="auto"/>
            <w:left w:val="none" w:sz="0" w:space="0" w:color="auto"/>
            <w:bottom w:val="none" w:sz="0" w:space="0" w:color="auto"/>
            <w:right w:val="none" w:sz="0" w:space="0" w:color="auto"/>
          </w:divBdr>
        </w:div>
        <w:div w:id="1278411871">
          <w:marLeft w:val="480"/>
          <w:marRight w:val="0"/>
          <w:marTop w:val="0"/>
          <w:marBottom w:val="0"/>
          <w:divBdr>
            <w:top w:val="none" w:sz="0" w:space="0" w:color="auto"/>
            <w:left w:val="none" w:sz="0" w:space="0" w:color="auto"/>
            <w:bottom w:val="none" w:sz="0" w:space="0" w:color="auto"/>
            <w:right w:val="none" w:sz="0" w:space="0" w:color="auto"/>
          </w:divBdr>
        </w:div>
        <w:div w:id="432018061">
          <w:marLeft w:val="480"/>
          <w:marRight w:val="0"/>
          <w:marTop w:val="0"/>
          <w:marBottom w:val="0"/>
          <w:divBdr>
            <w:top w:val="none" w:sz="0" w:space="0" w:color="auto"/>
            <w:left w:val="none" w:sz="0" w:space="0" w:color="auto"/>
            <w:bottom w:val="none" w:sz="0" w:space="0" w:color="auto"/>
            <w:right w:val="none" w:sz="0" w:space="0" w:color="auto"/>
          </w:divBdr>
        </w:div>
        <w:div w:id="1203132732">
          <w:marLeft w:val="480"/>
          <w:marRight w:val="0"/>
          <w:marTop w:val="0"/>
          <w:marBottom w:val="0"/>
          <w:divBdr>
            <w:top w:val="none" w:sz="0" w:space="0" w:color="auto"/>
            <w:left w:val="none" w:sz="0" w:space="0" w:color="auto"/>
            <w:bottom w:val="none" w:sz="0" w:space="0" w:color="auto"/>
            <w:right w:val="none" w:sz="0" w:space="0" w:color="auto"/>
          </w:divBdr>
        </w:div>
        <w:div w:id="1228803945">
          <w:marLeft w:val="480"/>
          <w:marRight w:val="0"/>
          <w:marTop w:val="0"/>
          <w:marBottom w:val="0"/>
          <w:divBdr>
            <w:top w:val="none" w:sz="0" w:space="0" w:color="auto"/>
            <w:left w:val="none" w:sz="0" w:space="0" w:color="auto"/>
            <w:bottom w:val="none" w:sz="0" w:space="0" w:color="auto"/>
            <w:right w:val="none" w:sz="0" w:space="0" w:color="auto"/>
          </w:divBdr>
        </w:div>
        <w:div w:id="1063676307">
          <w:marLeft w:val="480"/>
          <w:marRight w:val="0"/>
          <w:marTop w:val="0"/>
          <w:marBottom w:val="0"/>
          <w:divBdr>
            <w:top w:val="none" w:sz="0" w:space="0" w:color="auto"/>
            <w:left w:val="none" w:sz="0" w:space="0" w:color="auto"/>
            <w:bottom w:val="none" w:sz="0" w:space="0" w:color="auto"/>
            <w:right w:val="none" w:sz="0" w:space="0" w:color="auto"/>
          </w:divBdr>
        </w:div>
        <w:div w:id="370375331">
          <w:marLeft w:val="480"/>
          <w:marRight w:val="0"/>
          <w:marTop w:val="0"/>
          <w:marBottom w:val="0"/>
          <w:divBdr>
            <w:top w:val="none" w:sz="0" w:space="0" w:color="auto"/>
            <w:left w:val="none" w:sz="0" w:space="0" w:color="auto"/>
            <w:bottom w:val="none" w:sz="0" w:space="0" w:color="auto"/>
            <w:right w:val="none" w:sz="0" w:space="0" w:color="auto"/>
          </w:divBdr>
        </w:div>
        <w:div w:id="271285917">
          <w:marLeft w:val="480"/>
          <w:marRight w:val="0"/>
          <w:marTop w:val="0"/>
          <w:marBottom w:val="0"/>
          <w:divBdr>
            <w:top w:val="none" w:sz="0" w:space="0" w:color="auto"/>
            <w:left w:val="none" w:sz="0" w:space="0" w:color="auto"/>
            <w:bottom w:val="none" w:sz="0" w:space="0" w:color="auto"/>
            <w:right w:val="none" w:sz="0" w:space="0" w:color="auto"/>
          </w:divBdr>
        </w:div>
        <w:div w:id="254167509">
          <w:marLeft w:val="480"/>
          <w:marRight w:val="0"/>
          <w:marTop w:val="0"/>
          <w:marBottom w:val="0"/>
          <w:divBdr>
            <w:top w:val="none" w:sz="0" w:space="0" w:color="auto"/>
            <w:left w:val="none" w:sz="0" w:space="0" w:color="auto"/>
            <w:bottom w:val="none" w:sz="0" w:space="0" w:color="auto"/>
            <w:right w:val="none" w:sz="0" w:space="0" w:color="auto"/>
          </w:divBdr>
        </w:div>
        <w:div w:id="1348752658">
          <w:marLeft w:val="480"/>
          <w:marRight w:val="0"/>
          <w:marTop w:val="0"/>
          <w:marBottom w:val="0"/>
          <w:divBdr>
            <w:top w:val="none" w:sz="0" w:space="0" w:color="auto"/>
            <w:left w:val="none" w:sz="0" w:space="0" w:color="auto"/>
            <w:bottom w:val="none" w:sz="0" w:space="0" w:color="auto"/>
            <w:right w:val="none" w:sz="0" w:space="0" w:color="auto"/>
          </w:divBdr>
        </w:div>
        <w:div w:id="306711029">
          <w:marLeft w:val="480"/>
          <w:marRight w:val="0"/>
          <w:marTop w:val="0"/>
          <w:marBottom w:val="0"/>
          <w:divBdr>
            <w:top w:val="none" w:sz="0" w:space="0" w:color="auto"/>
            <w:left w:val="none" w:sz="0" w:space="0" w:color="auto"/>
            <w:bottom w:val="none" w:sz="0" w:space="0" w:color="auto"/>
            <w:right w:val="none" w:sz="0" w:space="0" w:color="auto"/>
          </w:divBdr>
        </w:div>
        <w:div w:id="1262447683">
          <w:marLeft w:val="480"/>
          <w:marRight w:val="0"/>
          <w:marTop w:val="0"/>
          <w:marBottom w:val="0"/>
          <w:divBdr>
            <w:top w:val="none" w:sz="0" w:space="0" w:color="auto"/>
            <w:left w:val="none" w:sz="0" w:space="0" w:color="auto"/>
            <w:bottom w:val="none" w:sz="0" w:space="0" w:color="auto"/>
            <w:right w:val="none" w:sz="0" w:space="0" w:color="auto"/>
          </w:divBdr>
        </w:div>
        <w:div w:id="577523245">
          <w:marLeft w:val="480"/>
          <w:marRight w:val="0"/>
          <w:marTop w:val="0"/>
          <w:marBottom w:val="0"/>
          <w:divBdr>
            <w:top w:val="none" w:sz="0" w:space="0" w:color="auto"/>
            <w:left w:val="none" w:sz="0" w:space="0" w:color="auto"/>
            <w:bottom w:val="none" w:sz="0" w:space="0" w:color="auto"/>
            <w:right w:val="none" w:sz="0" w:space="0" w:color="auto"/>
          </w:divBdr>
        </w:div>
        <w:div w:id="2022704605">
          <w:marLeft w:val="480"/>
          <w:marRight w:val="0"/>
          <w:marTop w:val="0"/>
          <w:marBottom w:val="0"/>
          <w:divBdr>
            <w:top w:val="none" w:sz="0" w:space="0" w:color="auto"/>
            <w:left w:val="none" w:sz="0" w:space="0" w:color="auto"/>
            <w:bottom w:val="none" w:sz="0" w:space="0" w:color="auto"/>
            <w:right w:val="none" w:sz="0" w:space="0" w:color="auto"/>
          </w:divBdr>
        </w:div>
        <w:div w:id="136649404">
          <w:marLeft w:val="480"/>
          <w:marRight w:val="0"/>
          <w:marTop w:val="0"/>
          <w:marBottom w:val="0"/>
          <w:divBdr>
            <w:top w:val="none" w:sz="0" w:space="0" w:color="auto"/>
            <w:left w:val="none" w:sz="0" w:space="0" w:color="auto"/>
            <w:bottom w:val="none" w:sz="0" w:space="0" w:color="auto"/>
            <w:right w:val="none" w:sz="0" w:space="0" w:color="auto"/>
          </w:divBdr>
        </w:div>
        <w:div w:id="833180298">
          <w:marLeft w:val="480"/>
          <w:marRight w:val="0"/>
          <w:marTop w:val="0"/>
          <w:marBottom w:val="0"/>
          <w:divBdr>
            <w:top w:val="none" w:sz="0" w:space="0" w:color="auto"/>
            <w:left w:val="none" w:sz="0" w:space="0" w:color="auto"/>
            <w:bottom w:val="none" w:sz="0" w:space="0" w:color="auto"/>
            <w:right w:val="none" w:sz="0" w:space="0" w:color="auto"/>
          </w:divBdr>
        </w:div>
        <w:div w:id="628780948">
          <w:marLeft w:val="480"/>
          <w:marRight w:val="0"/>
          <w:marTop w:val="0"/>
          <w:marBottom w:val="0"/>
          <w:divBdr>
            <w:top w:val="none" w:sz="0" w:space="0" w:color="auto"/>
            <w:left w:val="none" w:sz="0" w:space="0" w:color="auto"/>
            <w:bottom w:val="none" w:sz="0" w:space="0" w:color="auto"/>
            <w:right w:val="none" w:sz="0" w:space="0" w:color="auto"/>
          </w:divBdr>
        </w:div>
        <w:div w:id="23403413">
          <w:marLeft w:val="480"/>
          <w:marRight w:val="0"/>
          <w:marTop w:val="0"/>
          <w:marBottom w:val="0"/>
          <w:divBdr>
            <w:top w:val="none" w:sz="0" w:space="0" w:color="auto"/>
            <w:left w:val="none" w:sz="0" w:space="0" w:color="auto"/>
            <w:bottom w:val="none" w:sz="0" w:space="0" w:color="auto"/>
            <w:right w:val="none" w:sz="0" w:space="0" w:color="auto"/>
          </w:divBdr>
        </w:div>
        <w:div w:id="822045768">
          <w:marLeft w:val="480"/>
          <w:marRight w:val="0"/>
          <w:marTop w:val="0"/>
          <w:marBottom w:val="0"/>
          <w:divBdr>
            <w:top w:val="none" w:sz="0" w:space="0" w:color="auto"/>
            <w:left w:val="none" w:sz="0" w:space="0" w:color="auto"/>
            <w:bottom w:val="none" w:sz="0" w:space="0" w:color="auto"/>
            <w:right w:val="none" w:sz="0" w:space="0" w:color="auto"/>
          </w:divBdr>
        </w:div>
        <w:div w:id="1408764482">
          <w:marLeft w:val="480"/>
          <w:marRight w:val="0"/>
          <w:marTop w:val="0"/>
          <w:marBottom w:val="0"/>
          <w:divBdr>
            <w:top w:val="none" w:sz="0" w:space="0" w:color="auto"/>
            <w:left w:val="none" w:sz="0" w:space="0" w:color="auto"/>
            <w:bottom w:val="none" w:sz="0" w:space="0" w:color="auto"/>
            <w:right w:val="none" w:sz="0" w:space="0" w:color="auto"/>
          </w:divBdr>
        </w:div>
        <w:div w:id="1106191773">
          <w:marLeft w:val="480"/>
          <w:marRight w:val="0"/>
          <w:marTop w:val="0"/>
          <w:marBottom w:val="0"/>
          <w:divBdr>
            <w:top w:val="none" w:sz="0" w:space="0" w:color="auto"/>
            <w:left w:val="none" w:sz="0" w:space="0" w:color="auto"/>
            <w:bottom w:val="none" w:sz="0" w:space="0" w:color="auto"/>
            <w:right w:val="none" w:sz="0" w:space="0" w:color="auto"/>
          </w:divBdr>
        </w:div>
        <w:div w:id="240918517">
          <w:marLeft w:val="480"/>
          <w:marRight w:val="0"/>
          <w:marTop w:val="0"/>
          <w:marBottom w:val="0"/>
          <w:divBdr>
            <w:top w:val="none" w:sz="0" w:space="0" w:color="auto"/>
            <w:left w:val="none" w:sz="0" w:space="0" w:color="auto"/>
            <w:bottom w:val="none" w:sz="0" w:space="0" w:color="auto"/>
            <w:right w:val="none" w:sz="0" w:space="0" w:color="auto"/>
          </w:divBdr>
        </w:div>
        <w:div w:id="1493522898">
          <w:marLeft w:val="480"/>
          <w:marRight w:val="0"/>
          <w:marTop w:val="0"/>
          <w:marBottom w:val="0"/>
          <w:divBdr>
            <w:top w:val="none" w:sz="0" w:space="0" w:color="auto"/>
            <w:left w:val="none" w:sz="0" w:space="0" w:color="auto"/>
            <w:bottom w:val="none" w:sz="0" w:space="0" w:color="auto"/>
            <w:right w:val="none" w:sz="0" w:space="0" w:color="auto"/>
          </w:divBdr>
        </w:div>
        <w:div w:id="1021052703">
          <w:marLeft w:val="480"/>
          <w:marRight w:val="0"/>
          <w:marTop w:val="0"/>
          <w:marBottom w:val="0"/>
          <w:divBdr>
            <w:top w:val="none" w:sz="0" w:space="0" w:color="auto"/>
            <w:left w:val="none" w:sz="0" w:space="0" w:color="auto"/>
            <w:bottom w:val="none" w:sz="0" w:space="0" w:color="auto"/>
            <w:right w:val="none" w:sz="0" w:space="0" w:color="auto"/>
          </w:divBdr>
        </w:div>
        <w:div w:id="414284496">
          <w:marLeft w:val="480"/>
          <w:marRight w:val="0"/>
          <w:marTop w:val="0"/>
          <w:marBottom w:val="0"/>
          <w:divBdr>
            <w:top w:val="none" w:sz="0" w:space="0" w:color="auto"/>
            <w:left w:val="none" w:sz="0" w:space="0" w:color="auto"/>
            <w:bottom w:val="none" w:sz="0" w:space="0" w:color="auto"/>
            <w:right w:val="none" w:sz="0" w:space="0" w:color="auto"/>
          </w:divBdr>
        </w:div>
        <w:div w:id="1002011101">
          <w:marLeft w:val="480"/>
          <w:marRight w:val="0"/>
          <w:marTop w:val="0"/>
          <w:marBottom w:val="0"/>
          <w:divBdr>
            <w:top w:val="none" w:sz="0" w:space="0" w:color="auto"/>
            <w:left w:val="none" w:sz="0" w:space="0" w:color="auto"/>
            <w:bottom w:val="none" w:sz="0" w:space="0" w:color="auto"/>
            <w:right w:val="none" w:sz="0" w:space="0" w:color="auto"/>
          </w:divBdr>
        </w:div>
        <w:div w:id="1293945700">
          <w:marLeft w:val="480"/>
          <w:marRight w:val="0"/>
          <w:marTop w:val="0"/>
          <w:marBottom w:val="0"/>
          <w:divBdr>
            <w:top w:val="none" w:sz="0" w:space="0" w:color="auto"/>
            <w:left w:val="none" w:sz="0" w:space="0" w:color="auto"/>
            <w:bottom w:val="none" w:sz="0" w:space="0" w:color="auto"/>
            <w:right w:val="none" w:sz="0" w:space="0" w:color="auto"/>
          </w:divBdr>
        </w:div>
        <w:div w:id="758671803">
          <w:marLeft w:val="480"/>
          <w:marRight w:val="0"/>
          <w:marTop w:val="0"/>
          <w:marBottom w:val="0"/>
          <w:divBdr>
            <w:top w:val="none" w:sz="0" w:space="0" w:color="auto"/>
            <w:left w:val="none" w:sz="0" w:space="0" w:color="auto"/>
            <w:bottom w:val="none" w:sz="0" w:space="0" w:color="auto"/>
            <w:right w:val="none" w:sz="0" w:space="0" w:color="auto"/>
          </w:divBdr>
        </w:div>
        <w:div w:id="63769508">
          <w:marLeft w:val="480"/>
          <w:marRight w:val="0"/>
          <w:marTop w:val="0"/>
          <w:marBottom w:val="0"/>
          <w:divBdr>
            <w:top w:val="none" w:sz="0" w:space="0" w:color="auto"/>
            <w:left w:val="none" w:sz="0" w:space="0" w:color="auto"/>
            <w:bottom w:val="none" w:sz="0" w:space="0" w:color="auto"/>
            <w:right w:val="none" w:sz="0" w:space="0" w:color="auto"/>
          </w:divBdr>
        </w:div>
        <w:div w:id="440422961">
          <w:marLeft w:val="480"/>
          <w:marRight w:val="0"/>
          <w:marTop w:val="0"/>
          <w:marBottom w:val="0"/>
          <w:divBdr>
            <w:top w:val="none" w:sz="0" w:space="0" w:color="auto"/>
            <w:left w:val="none" w:sz="0" w:space="0" w:color="auto"/>
            <w:bottom w:val="none" w:sz="0" w:space="0" w:color="auto"/>
            <w:right w:val="none" w:sz="0" w:space="0" w:color="auto"/>
          </w:divBdr>
        </w:div>
        <w:div w:id="905989255">
          <w:marLeft w:val="480"/>
          <w:marRight w:val="0"/>
          <w:marTop w:val="0"/>
          <w:marBottom w:val="0"/>
          <w:divBdr>
            <w:top w:val="none" w:sz="0" w:space="0" w:color="auto"/>
            <w:left w:val="none" w:sz="0" w:space="0" w:color="auto"/>
            <w:bottom w:val="none" w:sz="0" w:space="0" w:color="auto"/>
            <w:right w:val="none" w:sz="0" w:space="0" w:color="auto"/>
          </w:divBdr>
        </w:div>
        <w:div w:id="1792163281">
          <w:marLeft w:val="480"/>
          <w:marRight w:val="0"/>
          <w:marTop w:val="0"/>
          <w:marBottom w:val="0"/>
          <w:divBdr>
            <w:top w:val="none" w:sz="0" w:space="0" w:color="auto"/>
            <w:left w:val="none" w:sz="0" w:space="0" w:color="auto"/>
            <w:bottom w:val="none" w:sz="0" w:space="0" w:color="auto"/>
            <w:right w:val="none" w:sz="0" w:space="0" w:color="auto"/>
          </w:divBdr>
        </w:div>
        <w:div w:id="1673601269">
          <w:marLeft w:val="480"/>
          <w:marRight w:val="0"/>
          <w:marTop w:val="0"/>
          <w:marBottom w:val="0"/>
          <w:divBdr>
            <w:top w:val="none" w:sz="0" w:space="0" w:color="auto"/>
            <w:left w:val="none" w:sz="0" w:space="0" w:color="auto"/>
            <w:bottom w:val="none" w:sz="0" w:space="0" w:color="auto"/>
            <w:right w:val="none" w:sz="0" w:space="0" w:color="auto"/>
          </w:divBdr>
        </w:div>
        <w:div w:id="86125458">
          <w:marLeft w:val="480"/>
          <w:marRight w:val="0"/>
          <w:marTop w:val="0"/>
          <w:marBottom w:val="0"/>
          <w:divBdr>
            <w:top w:val="none" w:sz="0" w:space="0" w:color="auto"/>
            <w:left w:val="none" w:sz="0" w:space="0" w:color="auto"/>
            <w:bottom w:val="none" w:sz="0" w:space="0" w:color="auto"/>
            <w:right w:val="none" w:sz="0" w:space="0" w:color="auto"/>
          </w:divBdr>
        </w:div>
        <w:div w:id="1032994801">
          <w:marLeft w:val="480"/>
          <w:marRight w:val="0"/>
          <w:marTop w:val="0"/>
          <w:marBottom w:val="0"/>
          <w:divBdr>
            <w:top w:val="none" w:sz="0" w:space="0" w:color="auto"/>
            <w:left w:val="none" w:sz="0" w:space="0" w:color="auto"/>
            <w:bottom w:val="none" w:sz="0" w:space="0" w:color="auto"/>
            <w:right w:val="none" w:sz="0" w:space="0" w:color="auto"/>
          </w:divBdr>
        </w:div>
        <w:div w:id="2068911285">
          <w:marLeft w:val="480"/>
          <w:marRight w:val="0"/>
          <w:marTop w:val="0"/>
          <w:marBottom w:val="0"/>
          <w:divBdr>
            <w:top w:val="none" w:sz="0" w:space="0" w:color="auto"/>
            <w:left w:val="none" w:sz="0" w:space="0" w:color="auto"/>
            <w:bottom w:val="none" w:sz="0" w:space="0" w:color="auto"/>
            <w:right w:val="none" w:sz="0" w:space="0" w:color="auto"/>
          </w:divBdr>
        </w:div>
        <w:div w:id="36048998">
          <w:marLeft w:val="480"/>
          <w:marRight w:val="0"/>
          <w:marTop w:val="0"/>
          <w:marBottom w:val="0"/>
          <w:divBdr>
            <w:top w:val="none" w:sz="0" w:space="0" w:color="auto"/>
            <w:left w:val="none" w:sz="0" w:space="0" w:color="auto"/>
            <w:bottom w:val="none" w:sz="0" w:space="0" w:color="auto"/>
            <w:right w:val="none" w:sz="0" w:space="0" w:color="auto"/>
          </w:divBdr>
        </w:div>
        <w:div w:id="1180579676">
          <w:marLeft w:val="480"/>
          <w:marRight w:val="0"/>
          <w:marTop w:val="0"/>
          <w:marBottom w:val="0"/>
          <w:divBdr>
            <w:top w:val="none" w:sz="0" w:space="0" w:color="auto"/>
            <w:left w:val="none" w:sz="0" w:space="0" w:color="auto"/>
            <w:bottom w:val="none" w:sz="0" w:space="0" w:color="auto"/>
            <w:right w:val="none" w:sz="0" w:space="0" w:color="auto"/>
          </w:divBdr>
        </w:div>
        <w:div w:id="129128140">
          <w:marLeft w:val="480"/>
          <w:marRight w:val="0"/>
          <w:marTop w:val="0"/>
          <w:marBottom w:val="0"/>
          <w:divBdr>
            <w:top w:val="none" w:sz="0" w:space="0" w:color="auto"/>
            <w:left w:val="none" w:sz="0" w:space="0" w:color="auto"/>
            <w:bottom w:val="none" w:sz="0" w:space="0" w:color="auto"/>
            <w:right w:val="none" w:sz="0" w:space="0" w:color="auto"/>
          </w:divBdr>
        </w:div>
        <w:div w:id="1656950507">
          <w:marLeft w:val="480"/>
          <w:marRight w:val="0"/>
          <w:marTop w:val="0"/>
          <w:marBottom w:val="0"/>
          <w:divBdr>
            <w:top w:val="none" w:sz="0" w:space="0" w:color="auto"/>
            <w:left w:val="none" w:sz="0" w:space="0" w:color="auto"/>
            <w:bottom w:val="none" w:sz="0" w:space="0" w:color="auto"/>
            <w:right w:val="none" w:sz="0" w:space="0" w:color="auto"/>
          </w:divBdr>
        </w:div>
        <w:div w:id="318849229">
          <w:marLeft w:val="480"/>
          <w:marRight w:val="0"/>
          <w:marTop w:val="0"/>
          <w:marBottom w:val="0"/>
          <w:divBdr>
            <w:top w:val="none" w:sz="0" w:space="0" w:color="auto"/>
            <w:left w:val="none" w:sz="0" w:space="0" w:color="auto"/>
            <w:bottom w:val="none" w:sz="0" w:space="0" w:color="auto"/>
            <w:right w:val="none" w:sz="0" w:space="0" w:color="auto"/>
          </w:divBdr>
        </w:div>
        <w:div w:id="2058894694">
          <w:marLeft w:val="480"/>
          <w:marRight w:val="0"/>
          <w:marTop w:val="0"/>
          <w:marBottom w:val="0"/>
          <w:divBdr>
            <w:top w:val="none" w:sz="0" w:space="0" w:color="auto"/>
            <w:left w:val="none" w:sz="0" w:space="0" w:color="auto"/>
            <w:bottom w:val="none" w:sz="0" w:space="0" w:color="auto"/>
            <w:right w:val="none" w:sz="0" w:space="0" w:color="auto"/>
          </w:divBdr>
        </w:div>
        <w:div w:id="911156393">
          <w:marLeft w:val="480"/>
          <w:marRight w:val="0"/>
          <w:marTop w:val="0"/>
          <w:marBottom w:val="0"/>
          <w:divBdr>
            <w:top w:val="none" w:sz="0" w:space="0" w:color="auto"/>
            <w:left w:val="none" w:sz="0" w:space="0" w:color="auto"/>
            <w:bottom w:val="none" w:sz="0" w:space="0" w:color="auto"/>
            <w:right w:val="none" w:sz="0" w:space="0" w:color="auto"/>
          </w:divBdr>
        </w:div>
        <w:div w:id="1598833314">
          <w:marLeft w:val="480"/>
          <w:marRight w:val="0"/>
          <w:marTop w:val="0"/>
          <w:marBottom w:val="0"/>
          <w:divBdr>
            <w:top w:val="none" w:sz="0" w:space="0" w:color="auto"/>
            <w:left w:val="none" w:sz="0" w:space="0" w:color="auto"/>
            <w:bottom w:val="none" w:sz="0" w:space="0" w:color="auto"/>
            <w:right w:val="none" w:sz="0" w:space="0" w:color="auto"/>
          </w:divBdr>
        </w:div>
        <w:div w:id="1876506502">
          <w:marLeft w:val="480"/>
          <w:marRight w:val="0"/>
          <w:marTop w:val="0"/>
          <w:marBottom w:val="0"/>
          <w:divBdr>
            <w:top w:val="none" w:sz="0" w:space="0" w:color="auto"/>
            <w:left w:val="none" w:sz="0" w:space="0" w:color="auto"/>
            <w:bottom w:val="none" w:sz="0" w:space="0" w:color="auto"/>
            <w:right w:val="none" w:sz="0" w:space="0" w:color="auto"/>
          </w:divBdr>
        </w:div>
        <w:div w:id="1086995272">
          <w:marLeft w:val="480"/>
          <w:marRight w:val="0"/>
          <w:marTop w:val="0"/>
          <w:marBottom w:val="0"/>
          <w:divBdr>
            <w:top w:val="none" w:sz="0" w:space="0" w:color="auto"/>
            <w:left w:val="none" w:sz="0" w:space="0" w:color="auto"/>
            <w:bottom w:val="none" w:sz="0" w:space="0" w:color="auto"/>
            <w:right w:val="none" w:sz="0" w:space="0" w:color="auto"/>
          </w:divBdr>
        </w:div>
        <w:div w:id="714083991">
          <w:marLeft w:val="480"/>
          <w:marRight w:val="0"/>
          <w:marTop w:val="0"/>
          <w:marBottom w:val="0"/>
          <w:divBdr>
            <w:top w:val="none" w:sz="0" w:space="0" w:color="auto"/>
            <w:left w:val="none" w:sz="0" w:space="0" w:color="auto"/>
            <w:bottom w:val="none" w:sz="0" w:space="0" w:color="auto"/>
            <w:right w:val="none" w:sz="0" w:space="0" w:color="auto"/>
          </w:divBdr>
        </w:div>
        <w:div w:id="1979802559">
          <w:marLeft w:val="480"/>
          <w:marRight w:val="0"/>
          <w:marTop w:val="0"/>
          <w:marBottom w:val="0"/>
          <w:divBdr>
            <w:top w:val="none" w:sz="0" w:space="0" w:color="auto"/>
            <w:left w:val="none" w:sz="0" w:space="0" w:color="auto"/>
            <w:bottom w:val="none" w:sz="0" w:space="0" w:color="auto"/>
            <w:right w:val="none" w:sz="0" w:space="0" w:color="auto"/>
          </w:divBdr>
        </w:div>
        <w:div w:id="1724601458">
          <w:marLeft w:val="480"/>
          <w:marRight w:val="0"/>
          <w:marTop w:val="0"/>
          <w:marBottom w:val="0"/>
          <w:divBdr>
            <w:top w:val="none" w:sz="0" w:space="0" w:color="auto"/>
            <w:left w:val="none" w:sz="0" w:space="0" w:color="auto"/>
            <w:bottom w:val="none" w:sz="0" w:space="0" w:color="auto"/>
            <w:right w:val="none" w:sz="0" w:space="0" w:color="auto"/>
          </w:divBdr>
        </w:div>
        <w:div w:id="1984699094">
          <w:marLeft w:val="480"/>
          <w:marRight w:val="0"/>
          <w:marTop w:val="0"/>
          <w:marBottom w:val="0"/>
          <w:divBdr>
            <w:top w:val="none" w:sz="0" w:space="0" w:color="auto"/>
            <w:left w:val="none" w:sz="0" w:space="0" w:color="auto"/>
            <w:bottom w:val="none" w:sz="0" w:space="0" w:color="auto"/>
            <w:right w:val="none" w:sz="0" w:space="0" w:color="auto"/>
          </w:divBdr>
        </w:div>
        <w:div w:id="264075493">
          <w:marLeft w:val="480"/>
          <w:marRight w:val="0"/>
          <w:marTop w:val="0"/>
          <w:marBottom w:val="0"/>
          <w:divBdr>
            <w:top w:val="none" w:sz="0" w:space="0" w:color="auto"/>
            <w:left w:val="none" w:sz="0" w:space="0" w:color="auto"/>
            <w:bottom w:val="none" w:sz="0" w:space="0" w:color="auto"/>
            <w:right w:val="none" w:sz="0" w:space="0" w:color="auto"/>
          </w:divBdr>
        </w:div>
        <w:div w:id="2019580715">
          <w:marLeft w:val="480"/>
          <w:marRight w:val="0"/>
          <w:marTop w:val="0"/>
          <w:marBottom w:val="0"/>
          <w:divBdr>
            <w:top w:val="none" w:sz="0" w:space="0" w:color="auto"/>
            <w:left w:val="none" w:sz="0" w:space="0" w:color="auto"/>
            <w:bottom w:val="none" w:sz="0" w:space="0" w:color="auto"/>
            <w:right w:val="none" w:sz="0" w:space="0" w:color="auto"/>
          </w:divBdr>
        </w:div>
        <w:div w:id="1159811830">
          <w:marLeft w:val="480"/>
          <w:marRight w:val="0"/>
          <w:marTop w:val="0"/>
          <w:marBottom w:val="0"/>
          <w:divBdr>
            <w:top w:val="none" w:sz="0" w:space="0" w:color="auto"/>
            <w:left w:val="none" w:sz="0" w:space="0" w:color="auto"/>
            <w:bottom w:val="none" w:sz="0" w:space="0" w:color="auto"/>
            <w:right w:val="none" w:sz="0" w:space="0" w:color="auto"/>
          </w:divBdr>
        </w:div>
        <w:div w:id="958144063">
          <w:marLeft w:val="480"/>
          <w:marRight w:val="0"/>
          <w:marTop w:val="0"/>
          <w:marBottom w:val="0"/>
          <w:divBdr>
            <w:top w:val="none" w:sz="0" w:space="0" w:color="auto"/>
            <w:left w:val="none" w:sz="0" w:space="0" w:color="auto"/>
            <w:bottom w:val="none" w:sz="0" w:space="0" w:color="auto"/>
            <w:right w:val="none" w:sz="0" w:space="0" w:color="auto"/>
          </w:divBdr>
        </w:div>
        <w:div w:id="1082948675">
          <w:marLeft w:val="480"/>
          <w:marRight w:val="0"/>
          <w:marTop w:val="0"/>
          <w:marBottom w:val="0"/>
          <w:divBdr>
            <w:top w:val="none" w:sz="0" w:space="0" w:color="auto"/>
            <w:left w:val="none" w:sz="0" w:space="0" w:color="auto"/>
            <w:bottom w:val="none" w:sz="0" w:space="0" w:color="auto"/>
            <w:right w:val="none" w:sz="0" w:space="0" w:color="auto"/>
          </w:divBdr>
        </w:div>
        <w:div w:id="574899901">
          <w:marLeft w:val="480"/>
          <w:marRight w:val="0"/>
          <w:marTop w:val="0"/>
          <w:marBottom w:val="0"/>
          <w:divBdr>
            <w:top w:val="none" w:sz="0" w:space="0" w:color="auto"/>
            <w:left w:val="none" w:sz="0" w:space="0" w:color="auto"/>
            <w:bottom w:val="none" w:sz="0" w:space="0" w:color="auto"/>
            <w:right w:val="none" w:sz="0" w:space="0" w:color="auto"/>
          </w:divBdr>
        </w:div>
        <w:div w:id="1254437663">
          <w:marLeft w:val="480"/>
          <w:marRight w:val="0"/>
          <w:marTop w:val="0"/>
          <w:marBottom w:val="0"/>
          <w:divBdr>
            <w:top w:val="none" w:sz="0" w:space="0" w:color="auto"/>
            <w:left w:val="none" w:sz="0" w:space="0" w:color="auto"/>
            <w:bottom w:val="none" w:sz="0" w:space="0" w:color="auto"/>
            <w:right w:val="none" w:sz="0" w:space="0" w:color="auto"/>
          </w:divBdr>
        </w:div>
        <w:div w:id="379595615">
          <w:marLeft w:val="480"/>
          <w:marRight w:val="0"/>
          <w:marTop w:val="0"/>
          <w:marBottom w:val="0"/>
          <w:divBdr>
            <w:top w:val="none" w:sz="0" w:space="0" w:color="auto"/>
            <w:left w:val="none" w:sz="0" w:space="0" w:color="auto"/>
            <w:bottom w:val="none" w:sz="0" w:space="0" w:color="auto"/>
            <w:right w:val="none" w:sz="0" w:space="0" w:color="auto"/>
          </w:divBdr>
        </w:div>
        <w:div w:id="952593517">
          <w:marLeft w:val="480"/>
          <w:marRight w:val="0"/>
          <w:marTop w:val="0"/>
          <w:marBottom w:val="0"/>
          <w:divBdr>
            <w:top w:val="none" w:sz="0" w:space="0" w:color="auto"/>
            <w:left w:val="none" w:sz="0" w:space="0" w:color="auto"/>
            <w:bottom w:val="none" w:sz="0" w:space="0" w:color="auto"/>
            <w:right w:val="none" w:sz="0" w:space="0" w:color="auto"/>
          </w:divBdr>
        </w:div>
        <w:div w:id="1346522159">
          <w:marLeft w:val="480"/>
          <w:marRight w:val="0"/>
          <w:marTop w:val="0"/>
          <w:marBottom w:val="0"/>
          <w:divBdr>
            <w:top w:val="none" w:sz="0" w:space="0" w:color="auto"/>
            <w:left w:val="none" w:sz="0" w:space="0" w:color="auto"/>
            <w:bottom w:val="none" w:sz="0" w:space="0" w:color="auto"/>
            <w:right w:val="none" w:sz="0" w:space="0" w:color="auto"/>
          </w:divBdr>
        </w:div>
        <w:div w:id="942541929">
          <w:marLeft w:val="480"/>
          <w:marRight w:val="0"/>
          <w:marTop w:val="0"/>
          <w:marBottom w:val="0"/>
          <w:divBdr>
            <w:top w:val="none" w:sz="0" w:space="0" w:color="auto"/>
            <w:left w:val="none" w:sz="0" w:space="0" w:color="auto"/>
            <w:bottom w:val="none" w:sz="0" w:space="0" w:color="auto"/>
            <w:right w:val="none" w:sz="0" w:space="0" w:color="auto"/>
          </w:divBdr>
        </w:div>
        <w:div w:id="2077045931">
          <w:marLeft w:val="480"/>
          <w:marRight w:val="0"/>
          <w:marTop w:val="0"/>
          <w:marBottom w:val="0"/>
          <w:divBdr>
            <w:top w:val="none" w:sz="0" w:space="0" w:color="auto"/>
            <w:left w:val="none" w:sz="0" w:space="0" w:color="auto"/>
            <w:bottom w:val="none" w:sz="0" w:space="0" w:color="auto"/>
            <w:right w:val="none" w:sz="0" w:space="0" w:color="auto"/>
          </w:divBdr>
        </w:div>
        <w:div w:id="324743035">
          <w:marLeft w:val="480"/>
          <w:marRight w:val="0"/>
          <w:marTop w:val="0"/>
          <w:marBottom w:val="0"/>
          <w:divBdr>
            <w:top w:val="none" w:sz="0" w:space="0" w:color="auto"/>
            <w:left w:val="none" w:sz="0" w:space="0" w:color="auto"/>
            <w:bottom w:val="none" w:sz="0" w:space="0" w:color="auto"/>
            <w:right w:val="none" w:sz="0" w:space="0" w:color="auto"/>
          </w:divBdr>
        </w:div>
        <w:div w:id="773786425">
          <w:marLeft w:val="480"/>
          <w:marRight w:val="0"/>
          <w:marTop w:val="0"/>
          <w:marBottom w:val="0"/>
          <w:divBdr>
            <w:top w:val="none" w:sz="0" w:space="0" w:color="auto"/>
            <w:left w:val="none" w:sz="0" w:space="0" w:color="auto"/>
            <w:bottom w:val="none" w:sz="0" w:space="0" w:color="auto"/>
            <w:right w:val="none" w:sz="0" w:space="0" w:color="auto"/>
          </w:divBdr>
        </w:div>
        <w:div w:id="169875842">
          <w:marLeft w:val="480"/>
          <w:marRight w:val="0"/>
          <w:marTop w:val="0"/>
          <w:marBottom w:val="0"/>
          <w:divBdr>
            <w:top w:val="none" w:sz="0" w:space="0" w:color="auto"/>
            <w:left w:val="none" w:sz="0" w:space="0" w:color="auto"/>
            <w:bottom w:val="none" w:sz="0" w:space="0" w:color="auto"/>
            <w:right w:val="none" w:sz="0" w:space="0" w:color="auto"/>
          </w:divBdr>
        </w:div>
        <w:div w:id="1870099590">
          <w:marLeft w:val="480"/>
          <w:marRight w:val="0"/>
          <w:marTop w:val="0"/>
          <w:marBottom w:val="0"/>
          <w:divBdr>
            <w:top w:val="none" w:sz="0" w:space="0" w:color="auto"/>
            <w:left w:val="none" w:sz="0" w:space="0" w:color="auto"/>
            <w:bottom w:val="none" w:sz="0" w:space="0" w:color="auto"/>
            <w:right w:val="none" w:sz="0" w:space="0" w:color="auto"/>
          </w:divBdr>
        </w:div>
        <w:div w:id="1612275007">
          <w:marLeft w:val="480"/>
          <w:marRight w:val="0"/>
          <w:marTop w:val="0"/>
          <w:marBottom w:val="0"/>
          <w:divBdr>
            <w:top w:val="none" w:sz="0" w:space="0" w:color="auto"/>
            <w:left w:val="none" w:sz="0" w:space="0" w:color="auto"/>
            <w:bottom w:val="none" w:sz="0" w:space="0" w:color="auto"/>
            <w:right w:val="none" w:sz="0" w:space="0" w:color="auto"/>
          </w:divBdr>
        </w:div>
        <w:div w:id="93284224">
          <w:marLeft w:val="480"/>
          <w:marRight w:val="0"/>
          <w:marTop w:val="0"/>
          <w:marBottom w:val="0"/>
          <w:divBdr>
            <w:top w:val="none" w:sz="0" w:space="0" w:color="auto"/>
            <w:left w:val="none" w:sz="0" w:space="0" w:color="auto"/>
            <w:bottom w:val="none" w:sz="0" w:space="0" w:color="auto"/>
            <w:right w:val="none" w:sz="0" w:space="0" w:color="auto"/>
          </w:divBdr>
        </w:div>
        <w:div w:id="365181272">
          <w:marLeft w:val="480"/>
          <w:marRight w:val="0"/>
          <w:marTop w:val="0"/>
          <w:marBottom w:val="0"/>
          <w:divBdr>
            <w:top w:val="none" w:sz="0" w:space="0" w:color="auto"/>
            <w:left w:val="none" w:sz="0" w:space="0" w:color="auto"/>
            <w:bottom w:val="none" w:sz="0" w:space="0" w:color="auto"/>
            <w:right w:val="none" w:sz="0" w:space="0" w:color="auto"/>
          </w:divBdr>
        </w:div>
        <w:div w:id="1692410604">
          <w:marLeft w:val="480"/>
          <w:marRight w:val="0"/>
          <w:marTop w:val="0"/>
          <w:marBottom w:val="0"/>
          <w:divBdr>
            <w:top w:val="none" w:sz="0" w:space="0" w:color="auto"/>
            <w:left w:val="none" w:sz="0" w:space="0" w:color="auto"/>
            <w:bottom w:val="none" w:sz="0" w:space="0" w:color="auto"/>
            <w:right w:val="none" w:sz="0" w:space="0" w:color="auto"/>
          </w:divBdr>
        </w:div>
        <w:div w:id="1523518616">
          <w:marLeft w:val="480"/>
          <w:marRight w:val="0"/>
          <w:marTop w:val="0"/>
          <w:marBottom w:val="0"/>
          <w:divBdr>
            <w:top w:val="none" w:sz="0" w:space="0" w:color="auto"/>
            <w:left w:val="none" w:sz="0" w:space="0" w:color="auto"/>
            <w:bottom w:val="none" w:sz="0" w:space="0" w:color="auto"/>
            <w:right w:val="none" w:sz="0" w:space="0" w:color="auto"/>
          </w:divBdr>
        </w:div>
        <w:div w:id="1863586403">
          <w:marLeft w:val="480"/>
          <w:marRight w:val="0"/>
          <w:marTop w:val="0"/>
          <w:marBottom w:val="0"/>
          <w:divBdr>
            <w:top w:val="none" w:sz="0" w:space="0" w:color="auto"/>
            <w:left w:val="none" w:sz="0" w:space="0" w:color="auto"/>
            <w:bottom w:val="none" w:sz="0" w:space="0" w:color="auto"/>
            <w:right w:val="none" w:sz="0" w:space="0" w:color="auto"/>
          </w:divBdr>
        </w:div>
        <w:div w:id="1438330143">
          <w:marLeft w:val="480"/>
          <w:marRight w:val="0"/>
          <w:marTop w:val="0"/>
          <w:marBottom w:val="0"/>
          <w:divBdr>
            <w:top w:val="none" w:sz="0" w:space="0" w:color="auto"/>
            <w:left w:val="none" w:sz="0" w:space="0" w:color="auto"/>
            <w:bottom w:val="none" w:sz="0" w:space="0" w:color="auto"/>
            <w:right w:val="none" w:sz="0" w:space="0" w:color="auto"/>
          </w:divBdr>
        </w:div>
        <w:div w:id="534580177">
          <w:marLeft w:val="480"/>
          <w:marRight w:val="0"/>
          <w:marTop w:val="0"/>
          <w:marBottom w:val="0"/>
          <w:divBdr>
            <w:top w:val="none" w:sz="0" w:space="0" w:color="auto"/>
            <w:left w:val="none" w:sz="0" w:space="0" w:color="auto"/>
            <w:bottom w:val="none" w:sz="0" w:space="0" w:color="auto"/>
            <w:right w:val="none" w:sz="0" w:space="0" w:color="auto"/>
          </w:divBdr>
        </w:div>
        <w:div w:id="1741488799">
          <w:marLeft w:val="480"/>
          <w:marRight w:val="0"/>
          <w:marTop w:val="0"/>
          <w:marBottom w:val="0"/>
          <w:divBdr>
            <w:top w:val="none" w:sz="0" w:space="0" w:color="auto"/>
            <w:left w:val="none" w:sz="0" w:space="0" w:color="auto"/>
            <w:bottom w:val="none" w:sz="0" w:space="0" w:color="auto"/>
            <w:right w:val="none" w:sz="0" w:space="0" w:color="auto"/>
          </w:divBdr>
        </w:div>
        <w:div w:id="681474065">
          <w:marLeft w:val="480"/>
          <w:marRight w:val="0"/>
          <w:marTop w:val="0"/>
          <w:marBottom w:val="0"/>
          <w:divBdr>
            <w:top w:val="none" w:sz="0" w:space="0" w:color="auto"/>
            <w:left w:val="none" w:sz="0" w:space="0" w:color="auto"/>
            <w:bottom w:val="none" w:sz="0" w:space="0" w:color="auto"/>
            <w:right w:val="none" w:sz="0" w:space="0" w:color="auto"/>
          </w:divBdr>
        </w:div>
        <w:div w:id="1089276908">
          <w:marLeft w:val="480"/>
          <w:marRight w:val="0"/>
          <w:marTop w:val="0"/>
          <w:marBottom w:val="0"/>
          <w:divBdr>
            <w:top w:val="none" w:sz="0" w:space="0" w:color="auto"/>
            <w:left w:val="none" w:sz="0" w:space="0" w:color="auto"/>
            <w:bottom w:val="none" w:sz="0" w:space="0" w:color="auto"/>
            <w:right w:val="none" w:sz="0" w:space="0" w:color="auto"/>
          </w:divBdr>
        </w:div>
        <w:div w:id="341399979">
          <w:marLeft w:val="480"/>
          <w:marRight w:val="0"/>
          <w:marTop w:val="0"/>
          <w:marBottom w:val="0"/>
          <w:divBdr>
            <w:top w:val="none" w:sz="0" w:space="0" w:color="auto"/>
            <w:left w:val="none" w:sz="0" w:space="0" w:color="auto"/>
            <w:bottom w:val="none" w:sz="0" w:space="0" w:color="auto"/>
            <w:right w:val="none" w:sz="0" w:space="0" w:color="auto"/>
          </w:divBdr>
        </w:div>
        <w:div w:id="168329187">
          <w:marLeft w:val="480"/>
          <w:marRight w:val="0"/>
          <w:marTop w:val="0"/>
          <w:marBottom w:val="0"/>
          <w:divBdr>
            <w:top w:val="none" w:sz="0" w:space="0" w:color="auto"/>
            <w:left w:val="none" w:sz="0" w:space="0" w:color="auto"/>
            <w:bottom w:val="none" w:sz="0" w:space="0" w:color="auto"/>
            <w:right w:val="none" w:sz="0" w:space="0" w:color="auto"/>
          </w:divBdr>
        </w:div>
        <w:div w:id="547573151">
          <w:marLeft w:val="480"/>
          <w:marRight w:val="0"/>
          <w:marTop w:val="0"/>
          <w:marBottom w:val="0"/>
          <w:divBdr>
            <w:top w:val="none" w:sz="0" w:space="0" w:color="auto"/>
            <w:left w:val="none" w:sz="0" w:space="0" w:color="auto"/>
            <w:bottom w:val="none" w:sz="0" w:space="0" w:color="auto"/>
            <w:right w:val="none" w:sz="0" w:space="0" w:color="auto"/>
          </w:divBdr>
        </w:div>
        <w:div w:id="233203573">
          <w:marLeft w:val="480"/>
          <w:marRight w:val="0"/>
          <w:marTop w:val="0"/>
          <w:marBottom w:val="0"/>
          <w:divBdr>
            <w:top w:val="none" w:sz="0" w:space="0" w:color="auto"/>
            <w:left w:val="none" w:sz="0" w:space="0" w:color="auto"/>
            <w:bottom w:val="none" w:sz="0" w:space="0" w:color="auto"/>
            <w:right w:val="none" w:sz="0" w:space="0" w:color="auto"/>
          </w:divBdr>
        </w:div>
        <w:div w:id="612442825">
          <w:marLeft w:val="480"/>
          <w:marRight w:val="0"/>
          <w:marTop w:val="0"/>
          <w:marBottom w:val="0"/>
          <w:divBdr>
            <w:top w:val="none" w:sz="0" w:space="0" w:color="auto"/>
            <w:left w:val="none" w:sz="0" w:space="0" w:color="auto"/>
            <w:bottom w:val="none" w:sz="0" w:space="0" w:color="auto"/>
            <w:right w:val="none" w:sz="0" w:space="0" w:color="auto"/>
          </w:divBdr>
        </w:div>
        <w:div w:id="579097391">
          <w:marLeft w:val="480"/>
          <w:marRight w:val="0"/>
          <w:marTop w:val="0"/>
          <w:marBottom w:val="0"/>
          <w:divBdr>
            <w:top w:val="none" w:sz="0" w:space="0" w:color="auto"/>
            <w:left w:val="none" w:sz="0" w:space="0" w:color="auto"/>
            <w:bottom w:val="none" w:sz="0" w:space="0" w:color="auto"/>
            <w:right w:val="none" w:sz="0" w:space="0" w:color="auto"/>
          </w:divBdr>
        </w:div>
        <w:div w:id="497580618">
          <w:marLeft w:val="480"/>
          <w:marRight w:val="0"/>
          <w:marTop w:val="0"/>
          <w:marBottom w:val="0"/>
          <w:divBdr>
            <w:top w:val="none" w:sz="0" w:space="0" w:color="auto"/>
            <w:left w:val="none" w:sz="0" w:space="0" w:color="auto"/>
            <w:bottom w:val="none" w:sz="0" w:space="0" w:color="auto"/>
            <w:right w:val="none" w:sz="0" w:space="0" w:color="auto"/>
          </w:divBdr>
        </w:div>
        <w:div w:id="371811730">
          <w:marLeft w:val="480"/>
          <w:marRight w:val="0"/>
          <w:marTop w:val="0"/>
          <w:marBottom w:val="0"/>
          <w:divBdr>
            <w:top w:val="none" w:sz="0" w:space="0" w:color="auto"/>
            <w:left w:val="none" w:sz="0" w:space="0" w:color="auto"/>
            <w:bottom w:val="none" w:sz="0" w:space="0" w:color="auto"/>
            <w:right w:val="none" w:sz="0" w:space="0" w:color="auto"/>
          </w:divBdr>
        </w:div>
        <w:div w:id="827477200">
          <w:marLeft w:val="480"/>
          <w:marRight w:val="0"/>
          <w:marTop w:val="0"/>
          <w:marBottom w:val="0"/>
          <w:divBdr>
            <w:top w:val="none" w:sz="0" w:space="0" w:color="auto"/>
            <w:left w:val="none" w:sz="0" w:space="0" w:color="auto"/>
            <w:bottom w:val="none" w:sz="0" w:space="0" w:color="auto"/>
            <w:right w:val="none" w:sz="0" w:space="0" w:color="auto"/>
          </w:divBdr>
        </w:div>
        <w:div w:id="1343050332">
          <w:marLeft w:val="480"/>
          <w:marRight w:val="0"/>
          <w:marTop w:val="0"/>
          <w:marBottom w:val="0"/>
          <w:divBdr>
            <w:top w:val="none" w:sz="0" w:space="0" w:color="auto"/>
            <w:left w:val="none" w:sz="0" w:space="0" w:color="auto"/>
            <w:bottom w:val="none" w:sz="0" w:space="0" w:color="auto"/>
            <w:right w:val="none" w:sz="0" w:space="0" w:color="auto"/>
          </w:divBdr>
        </w:div>
        <w:div w:id="1660306220">
          <w:marLeft w:val="480"/>
          <w:marRight w:val="0"/>
          <w:marTop w:val="0"/>
          <w:marBottom w:val="0"/>
          <w:divBdr>
            <w:top w:val="none" w:sz="0" w:space="0" w:color="auto"/>
            <w:left w:val="none" w:sz="0" w:space="0" w:color="auto"/>
            <w:bottom w:val="none" w:sz="0" w:space="0" w:color="auto"/>
            <w:right w:val="none" w:sz="0" w:space="0" w:color="auto"/>
          </w:divBdr>
        </w:div>
        <w:div w:id="121728657">
          <w:marLeft w:val="480"/>
          <w:marRight w:val="0"/>
          <w:marTop w:val="0"/>
          <w:marBottom w:val="0"/>
          <w:divBdr>
            <w:top w:val="none" w:sz="0" w:space="0" w:color="auto"/>
            <w:left w:val="none" w:sz="0" w:space="0" w:color="auto"/>
            <w:bottom w:val="none" w:sz="0" w:space="0" w:color="auto"/>
            <w:right w:val="none" w:sz="0" w:space="0" w:color="auto"/>
          </w:divBdr>
        </w:div>
        <w:div w:id="299850564">
          <w:marLeft w:val="480"/>
          <w:marRight w:val="0"/>
          <w:marTop w:val="0"/>
          <w:marBottom w:val="0"/>
          <w:divBdr>
            <w:top w:val="none" w:sz="0" w:space="0" w:color="auto"/>
            <w:left w:val="none" w:sz="0" w:space="0" w:color="auto"/>
            <w:bottom w:val="none" w:sz="0" w:space="0" w:color="auto"/>
            <w:right w:val="none" w:sz="0" w:space="0" w:color="auto"/>
          </w:divBdr>
        </w:div>
        <w:div w:id="572931022">
          <w:marLeft w:val="480"/>
          <w:marRight w:val="0"/>
          <w:marTop w:val="0"/>
          <w:marBottom w:val="0"/>
          <w:divBdr>
            <w:top w:val="none" w:sz="0" w:space="0" w:color="auto"/>
            <w:left w:val="none" w:sz="0" w:space="0" w:color="auto"/>
            <w:bottom w:val="none" w:sz="0" w:space="0" w:color="auto"/>
            <w:right w:val="none" w:sz="0" w:space="0" w:color="auto"/>
          </w:divBdr>
        </w:div>
        <w:div w:id="1565942786">
          <w:marLeft w:val="480"/>
          <w:marRight w:val="0"/>
          <w:marTop w:val="0"/>
          <w:marBottom w:val="0"/>
          <w:divBdr>
            <w:top w:val="none" w:sz="0" w:space="0" w:color="auto"/>
            <w:left w:val="none" w:sz="0" w:space="0" w:color="auto"/>
            <w:bottom w:val="none" w:sz="0" w:space="0" w:color="auto"/>
            <w:right w:val="none" w:sz="0" w:space="0" w:color="auto"/>
          </w:divBdr>
        </w:div>
        <w:div w:id="836382313">
          <w:marLeft w:val="480"/>
          <w:marRight w:val="0"/>
          <w:marTop w:val="0"/>
          <w:marBottom w:val="0"/>
          <w:divBdr>
            <w:top w:val="none" w:sz="0" w:space="0" w:color="auto"/>
            <w:left w:val="none" w:sz="0" w:space="0" w:color="auto"/>
            <w:bottom w:val="none" w:sz="0" w:space="0" w:color="auto"/>
            <w:right w:val="none" w:sz="0" w:space="0" w:color="auto"/>
          </w:divBdr>
        </w:div>
        <w:div w:id="81731112">
          <w:marLeft w:val="480"/>
          <w:marRight w:val="0"/>
          <w:marTop w:val="0"/>
          <w:marBottom w:val="0"/>
          <w:divBdr>
            <w:top w:val="none" w:sz="0" w:space="0" w:color="auto"/>
            <w:left w:val="none" w:sz="0" w:space="0" w:color="auto"/>
            <w:bottom w:val="none" w:sz="0" w:space="0" w:color="auto"/>
            <w:right w:val="none" w:sz="0" w:space="0" w:color="auto"/>
          </w:divBdr>
        </w:div>
        <w:div w:id="1063286377">
          <w:marLeft w:val="480"/>
          <w:marRight w:val="0"/>
          <w:marTop w:val="0"/>
          <w:marBottom w:val="0"/>
          <w:divBdr>
            <w:top w:val="none" w:sz="0" w:space="0" w:color="auto"/>
            <w:left w:val="none" w:sz="0" w:space="0" w:color="auto"/>
            <w:bottom w:val="none" w:sz="0" w:space="0" w:color="auto"/>
            <w:right w:val="none" w:sz="0" w:space="0" w:color="auto"/>
          </w:divBdr>
        </w:div>
        <w:div w:id="1900044786">
          <w:marLeft w:val="480"/>
          <w:marRight w:val="0"/>
          <w:marTop w:val="0"/>
          <w:marBottom w:val="0"/>
          <w:divBdr>
            <w:top w:val="none" w:sz="0" w:space="0" w:color="auto"/>
            <w:left w:val="none" w:sz="0" w:space="0" w:color="auto"/>
            <w:bottom w:val="none" w:sz="0" w:space="0" w:color="auto"/>
            <w:right w:val="none" w:sz="0" w:space="0" w:color="auto"/>
          </w:divBdr>
        </w:div>
        <w:div w:id="1647394103">
          <w:marLeft w:val="480"/>
          <w:marRight w:val="0"/>
          <w:marTop w:val="0"/>
          <w:marBottom w:val="0"/>
          <w:divBdr>
            <w:top w:val="none" w:sz="0" w:space="0" w:color="auto"/>
            <w:left w:val="none" w:sz="0" w:space="0" w:color="auto"/>
            <w:bottom w:val="none" w:sz="0" w:space="0" w:color="auto"/>
            <w:right w:val="none" w:sz="0" w:space="0" w:color="auto"/>
          </w:divBdr>
        </w:div>
        <w:div w:id="1704556093">
          <w:marLeft w:val="480"/>
          <w:marRight w:val="0"/>
          <w:marTop w:val="0"/>
          <w:marBottom w:val="0"/>
          <w:divBdr>
            <w:top w:val="none" w:sz="0" w:space="0" w:color="auto"/>
            <w:left w:val="none" w:sz="0" w:space="0" w:color="auto"/>
            <w:bottom w:val="none" w:sz="0" w:space="0" w:color="auto"/>
            <w:right w:val="none" w:sz="0" w:space="0" w:color="auto"/>
          </w:divBdr>
        </w:div>
        <w:div w:id="550383113">
          <w:marLeft w:val="480"/>
          <w:marRight w:val="0"/>
          <w:marTop w:val="0"/>
          <w:marBottom w:val="0"/>
          <w:divBdr>
            <w:top w:val="none" w:sz="0" w:space="0" w:color="auto"/>
            <w:left w:val="none" w:sz="0" w:space="0" w:color="auto"/>
            <w:bottom w:val="none" w:sz="0" w:space="0" w:color="auto"/>
            <w:right w:val="none" w:sz="0" w:space="0" w:color="auto"/>
          </w:divBdr>
        </w:div>
        <w:div w:id="743843141">
          <w:marLeft w:val="480"/>
          <w:marRight w:val="0"/>
          <w:marTop w:val="0"/>
          <w:marBottom w:val="0"/>
          <w:divBdr>
            <w:top w:val="none" w:sz="0" w:space="0" w:color="auto"/>
            <w:left w:val="none" w:sz="0" w:space="0" w:color="auto"/>
            <w:bottom w:val="none" w:sz="0" w:space="0" w:color="auto"/>
            <w:right w:val="none" w:sz="0" w:space="0" w:color="auto"/>
          </w:divBdr>
        </w:div>
        <w:div w:id="260529162">
          <w:marLeft w:val="480"/>
          <w:marRight w:val="0"/>
          <w:marTop w:val="0"/>
          <w:marBottom w:val="0"/>
          <w:divBdr>
            <w:top w:val="none" w:sz="0" w:space="0" w:color="auto"/>
            <w:left w:val="none" w:sz="0" w:space="0" w:color="auto"/>
            <w:bottom w:val="none" w:sz="0" w:space="0" w:color="auto"/>
            <w:right w:val="none" w:sz="0" w:space="0" w:color="auto"/>
          </w:divBdr>
        </w:div>
        <w:div w:id="1266116307">
          <w:marLeft w:val="480"/>
          <w:marRight w:val="0"/>
          <w:marTop w:val="0"/>
          <w:marBottom w:val="0"/>
          <w:divBdr>
            <w:top w:val="none" w:sz="0" w:space="0" w:color="auto"/>
            <w:left w:val="none" w:sz="0" w:space="0" w:color="auto"/>
            <w:bottom w:val="none" w:sz="0" w:space="0" w:color="auto"/>
            <w:right w:val="none" w:sz="0" w:space="0" w:color="auto"/>
          </w:divBdr>
        </w:div>
        <w:div w:id="1949972407">
          <w:marLeft w:val="480"/>
          <w:marRight w:val="0"/>
          <w:marTop w:val="0"/>
          <w:marBottom w:val="0"/>
          <w:divBdr>
            <w:top w:val="none" w:sz="0" w:space="0" w:color="auto"/>
            <w:left w:val="none" w:sz="0" w:space="0" w:color="auto"/>
            <w:bottom w:val="none" w:sz="0" w:space="0" w:color="auto"/>
            <w:right w:val="none" w:sz="0" w:space="0" w:color="auto"/>
          </w:divBdr>
        </w:div>
        <w:div w:id="113064108">
          <w:marLeft w:val="480"/>
          <w:marRight w:val="0"/>
          <w:marTop w:val="0"/>
          <w:marBottom w:val="0"/>
          <w:divBdr>
            <w:top w:val="none" w:sz="0" w:space="0" w:color="auto"/>
            <w:left w:val="none" w:sz="0" w:space="0" w:color="auto"/>
            <w:bottom w:val="none" w:sz="0" w:space="0" w:color="auto"/>
            <w:right w:val="none" w:sz="0" w:space="0" w:color="auto"/>
          </w:divBdr>
        </w:div>
        <w:div w:id="1350720560">
          <w:marLeft w:val="480"/>
          <w:marRight w:val="0"/>
          <w:marTop w:val="0"/>
          <w:marBottom w:val="0"/>
          <w:divBdr>
            <w:top w:val="none" w:sz="0" w:space="0" w:color="auto"/>
            <w:left w:val="none" w:sz="0" w:space="0" w:color="auto"/>
            <w:bottom w:val="none" w:sz="0" w:space="0" w:color="auto"/>
            <w:right w:val="none" w:sz="0" w:space="0" w:color="auto"/>
          </w:divBdr>
        </w:div>
        <w:div w:id="1285691423">
          <w:marLeft w:val="480"/>
          <w:marRight w:val="0"/>
          <w:marTop w:val="0"/>
          <w:marBottom w:val="0"/>
          <w:divBdr>
            <w:top w:val="none" w:sz="0" w:space="0" w:color="auto"/>
            <w:left w:val="none" w:sz="0" w:space="0" w:color="auto"/>
            <w:bottom w:val="none" w:sz="0" w:space="0" w:color="auto"/>
            <w:right w:val="none" w:sz="0" w:space="0" w:color="auto"/>
          </w:divBdr>
        </w:div>
        <w:div w:id="1214930166">
          <w:marLeft w:val="480"/>
          <w:marRight w:val="0"/>
          <w:marTop w:val="0"/>
          <w:marBottom w:val="0"/>
          <w:divBdr>
            <w:top w:val="none" w:sz="0" w:space="0" w:color="auto"/>
            <w:left w:val="none" w:sz="0" w:space="0" w:color="auto"/>
            <w:bottom w:val="none" w:sz="0" w:space="0" w:color="auto"/>
            <w:right w:val="none" w:sz="0" w:space="0" w:color="auto"/>
          </w:divBdr>
        </w:div>
        <w:div w:id="2043506956">
          <w:marLeft w:val="480"/>
          <w:marRight w:val="0"/>
          <w:marTop w:val="0"/>
          <w:marBottom w:val="0"/>
          <w:divBdr>
            <w:top w:val="none" w:sz="0" w:space="0" w:color="auto"/>
            <w:left w:val="none" w:sz="0" w:space="0" w:color="auto"/>
            <w:bottom w:val="none" w:sz="0" w:space="0" w:color="auto"/>
            <w:right w:val="none" w:sz="0" w:space="0" w:color="auto"/>
          </w:divBdr>
        </w:div>
        <w:div w:id="692923139">
          <w:marLeft w:val="480"/>
          <w:marRight w:val="0"/>
          <w:marTop w:val="0"/>
          <w:marBottom w:val="0"/>
          <w:divBdr>
            <w:top w:val="none" w:sz="0" w:space="0" w:color="auto"/>
            <w:left w:val="none" w:sz="0" w:space="0" w:color="auto"/>
            <w:bottom w:val="none" w:sz="0" w:space="0" w:color="auto"/>
            <w:right w:val="none" w:sz="0" w:space="0" w:color="auto"/>
          </w:divBdr>
        </w:div>
        <w:div w:id="930742974">
          <w:marLeft w:val="480"/>
          <w:marRight w:val="0"/>
          <w:marTop w:val="0"/>
          <w:marBottom w:val="0"/>
          <w:divBdr>
            <w:top w:val="none" w:sz="0" w:space="0" w:color="auto"/>
            <w:left w:val="none" w:sz="0" w:space="0" w:color="auto"/>
            <w:bottom w:val="none" w:sz="0" w:space="0" w:color="auto"/>
            <w:right w:val="none" w:sz="0" w:space="0" w:color="auto"/>
          </w:divBdr>
        </w:div>
        <w:div w:id="1110856876">
          <w:marLeft w:val="480"/>
          <w:marRight w:val="0"/>
          <w:marTop w:val="0"/>
          <w:marBottom w:val="0"/>
          <w:divBdr>
            <w:top w:val="none" w:sz="0" w:space="0" w:color="auto"/>
            <w:left w:val="none" w:sz="0" w:space="0" w:color="auto"/>
            <w:bottom w:val="none" w:sz="0" w:space="0" w:color="auto"/>
            <w:right w:val="none" w:sz="0" w:space="0" w:color="auto"/>
          </w:divBdr>
        </w:div>
        <w:div w:id="714156437">
          <w:marLeft w:val="480"/>
          <w:marRight w:val="0"/>
          <w:marTop w:val="0"/>
          <w:marBottom w:val="0"/>
          <w:divBdr>
            <w:top w:val="none" w:sz="0" w:space="0" w:color="auto"/>
            <w:left w:val="none" w:sz="0" w:space="0" w:color="auto"/>
            <w:bottom w:val="none" w:sz="0" w:space="0" w:color="auto"/>
            <w:right w:val="none" w:sz="0" w:space="0" w:color="auto"/>
          </w:divBdr>
        </w:div>
        <w:div w:id="1557276384">
          <w:marLeft w:val="640"/>
          <w:marRight w:val="0"/>
          <w:marTop w:val="0"/>
          <w:marBottom w:val="0"/>
          <w:divBdr>
            <w:top w:val="none" w:sz="0" w:space="0" w:color="auto"/>
            <w:left w:val="none" w:sz="0" w:space="0" w:color="auto"/>
            <w:bottom w:val="none" w:sz="0" w:space="0" w:color="auto"/>
            <w:right w:val="none" w:sz="0" w:space="0" w:color="auto"/>
          </w:divBdr>
        </w:div>
        <w:div w:id="1445148016">
          <w:marLeft w:val="640"/>
          <w:marRight w:val="0"/>
          <w:marTop w:val="0"/>
          <w:marBottom w:val="0"/>
          <w:divBdr>
            <w:top w:val="none" w:sz="0" w:space="0" w:color="auto"/>
            <w:left w:val="none" w:sz="0" w:space="0" w:color="auto"/>
            <w:bottom w:val="none" w:sz="0" w:space="0" w:color="auto"/>
            <w:right w:val="none" w:sz="0" w:space="0" w:color="auto"/>
          </w:divBdr>
        </w:div>
        <w:div w:id="64497882">
          <w:marLeft w:val="640"/>
          <w:marRight w:val="0"/>
          <w:marTop w:val="0"/>
          <w:marBottom w:val="0"/>
          <w:divBdr>
            <w:top w:val="none" w:sz="0" w:space="0" w:color="auto"/>
            <w:left w:val="none" w:sz="0" w:space="0" w:color="auto"/>
            <w:bottom w:val="none" w:sz="0" w:space="0" w:color="auto"/>
            <w:right w:val="none" w:sz="0" w:space="0" w:color="auto"/>
          </w:divBdr>
        </w:div>
        <w:div w:id="1158418757">
          <w:marLeft w:val="640"/>
          <w:marRight w:val="0"/>
          <w:marTop w:val="0"/>
          <w:marBottom w:val="0"/>
          <w:divBdr>
            <w:top w:val="none" w:sz="0" w:space="0" w:color="auto"/>
            <w:left w:val="none" w:sz="0" w:space="0" w:color="auto"/>
            <w:bottom w:val="none" w:sz="0" w:space="0" w:color="auto"/>
            <w:right w:val="none" w:sz="0" w:space="0" w:color="auto"/>
          </w:divBdr>
        </w:div>
        <w:div w:id="1636910630">
          <w:marLeft w:val="640"/>
          <w:marRight w:val="0"/>
          <w:marTop w:val="0"/>
          <w:marBottom w:val="0"/>
          <w:divBdr>
            <w:top w:val="none" w:sz="0" w:space="0" w:color="auto"/>
            <w:left w:val="none" w:sz="0" w:space="0" w:color="auto"/>
            <w:bottom w:val="none" w:sz="0" w:space="0" w:color="auto"/>
            <w:right w:val="none" w:sz="0" w:space="0" w:color="auto"/>
          </w:divBdr>
        </w:div>
        <w:div w:id="1187907436">
          <w:marLeft w:val="640"/>
          <w:marRight w:val="0"/>
          <w:marTop w:val="0"/>
          <w:marBottom w:val="0"/>
          <w:divBdr>
            <w:top w:val="none" w:sz="0" w:space="0" w:color="auto"/>
            <w:left w:val="none" w:sz="0" w:space="0" w:color="auto"/>
            <w:bottom w:val="none" w:sz="0" w:space="0" w:color="auto"/>
            <w:right w:val="none" w:sz="0" w:space="0" w:color="auto"/>
          </w:divBdr>
        </w:div>
        <w:div w:id="1406099704">
          <w:marLeft w:val="640"/>
          <w:marRight w:val="0"/>
          <w:marTop w:val="0"/>
          <w:marBottom w:val="0"/>
          <w:divBdr>
            <w:top w:val="none" w:sz="0" w:space="0" w:color="auto"/>
            <w:left w:val="none" w:sz="0" w:space="0" w:color="auto"/>
            <w:bottom w:val="none" w:sz="0" w:space="0" w:color="auto"/>
            <w:right w:val="none" w:sz="0" w:space="0" w:color="auto"/>
          </w:divBdr>
        </w:div>
        <w:div w:id="728915679">
          <w:marLeft w:val="640"/>
          <w:marRight w:val="0"/>
          <w:marTop w:val="0"/>
          <w:marBottom w:val="0"/>
          <w:divBdr>
            <w:top w:val="none" w:sz="0" w:space="0" w:color="auto"/>
            <w:left w:val="none" w:sz="0" w:space="0" w:color="auto"/>
            <w:bottom w:val="none" w:sz="0" w:space="0" w:color="auto"/>
            <w:right w:val="none" w:sz="0" w:space="0" w:color="auto"/>
          </w:divBdr>
        </w:div>
        <w:div w:id="1642685682">
          <w:marLeft w:val="640"/>
          <w:marRight w:val="0"/>
          <w:marTop w:val="0"/>
          <w:marBottom w:val="0"/>
          <w:divBdr>
            <w:top w:val="none" w:sz="0" w:space="0" w:color="auto"/>
            <w:left w:val="none" w:sz="0" w:space="0" w:color="auto"/>
            <w:bottom w:val="none" w:sz="0" w:space="0" w:color="auto"/>
            <w:right w:val="none" w:sz="0" w:space="0" w:color="auto"/>
          </w:divBdr>
        </w:div>
        <w:div w:id="334262688">
          <w:marLeft w:val="640"/>
          <w:marRight w:val="0"/>
          <w:marTop w:val="0"/>
          <w:marBottom w:val="0"/>
          <w:divBdr>
            <w:top w:val="none" w:sz="0" w:space="0" w:color="auto"/>
            <w:left w:val="none" w:sz="0" w:space="0" w:color="auto"/>
            <w:bottom w:val="none" w:sz="0" w:space="0" w:color="auto"/>
            <w:right w:val="none" w:sz="0" w:space="0" w:color="auto"/>
          </w:divBdr>
        </w:div>
        <w:div w:id="1490095579">
          <w:marLeft w:val="640"/>
          <w:marRight w:val="0"/>
          <w:marTop w:val="0"/>
          <w:marBottom w:val="0"/>
          <w:divBdr>
            <w:top w:val="none" w:sz="0" w:space="0" w:color="auto"/>
            <w:left w:val="none" w:sz="0" w:space="0" w:color="auto"/>
            <w:bottom w:val="none" w:sz="0" w:space="0" w:color="auto"/>
            <w:right w:val="none" w:sz="0" w:space="0" w:color="auto"/>
          </w:divBdr>
        </w:div>
        <w:div w:id="1382560075">
          <w:marLeft w:val="640"/>
          <w:marRight w:val="0"/>
          <w:marTop w:val="0"/>
          <w:marBottom w:val="0"/>
          <w:divBdr>
            <w:top w:val="none" w:sz="0" w:space="0" w:color="auto"/>
            <w:left w:val="none" w:sz="0" w:space="0" w:color="auto"/>
            <w:bottom w:val="none" w:sz="0" w:space="0" w:color="auto"/>
            <w:right w:val="none" w:sz="0" w:space="0" w:color="auto"/>
          </w:divBdr>
        </w:div>
        <w:div w:id="1944531965">
          <w:marLeft w:val="640"/>
          <w:marRight w:val="0"/>
          <w:marTop w:val="0"/>
          <w:marBottom w:val="0"/>
          <w:divBdr>
            <w:top w:val="none" w:sz="0" w:space="0" w:color="auto"/>
            <w:left w:val="none" w:sz="0" w:space="0" w:color="auto"/>
            <w:bottom w:val="none" w:sz="0" w:space="0" w:color="auto"/>
            <w:right w:val="none" w:sz="0" w:space="0" w:color="auto"/>
          </w:divBdr>
        </w:div>
        <w:div w:id="908343208">
          <w:marLeft w:val="640"/>
          <w:marRight w:val="0"/>
          <w:marTop w:val="0"/>
          <w:marBottom w:val="0"/>
          <w:divBdr>
            <w:top w:val="none" w:sz="0" w:space="0" w:color="auto"/>
            <w:left w:val="none" w:sz="0" w:space="0" w:color="auto"/>
            <w:bottom w:val="none" w:sz="0" w:space="0" w:color="auto"/>
            <w:right w:val="none" w:sz="0" w:space="0" w:color="auto"/>
          </w:divBdr>
        </w:div>
        <w:div w:id="966468394">
          <w:marLeft w:val="640"/>
          <w:marRight w:val="0"/>
          <w:marTop w:val="0"/>
          <w:marBottom w:val="0"/>
          <w:divBdr>
            <w:top w:val="none" w:sz="0" w:space="0" w:color="auto"/>
            <w:left w:val="none" w:sz="0" w:space="0" w:color="auto"/>
            <w:bottom w:val="none" w:sz="0" w:space="0" w:color="auto"/>
            <w:right w:val="none" w:sz="0" w:space="0" w:color="auto"/>
          </w:divBdr>
        </w:div>
        <w:div w:id="1328241256">
          <w:marLeft w:val="640"/>
          <w:marRight w:val="0"/>
          <w:marTop w:val="0"/>
          <w:marBottom w:val="0"/>
          <w:divBdr>
            <w:top w:val="none" w:sz="0" w:space="0" w:color="auto"/>
            <w:left w:val="none" w:sz="0" w:space="0" w:color="auto"/>
            <w:bottom w:val="none" w:sz="0" w:space="0" w:color="auto"/>
            <w:right w:val="none" w:sz="0" w:space="0" w:color="auto"/>
          </w:divBdr>
        </w:div>
        <w:div w:id="1862738087">
          <w:marLeft w:val="640"/>
          <w:marRight w:val="0"/>
          <w:marTop w:val="0"/>
          <w:marBottom w:val="0"/>
          <w:divBdr>
            <w:top w:val="none" w:sz="0" w:space="0" w:color="auto"/>
            <w:left w:val="none" w:sz="0" w:space="0" w:color="auto"/>
            <w:bottom w:val="none" w:sz="0" w:space="0" w:color="auto"/>
            <w:right w:val="none" w:sz="0" w:space="0" w:color="auto"/>
          </w:divBdr>
        </w:div>
        <w:div w:id="1215507506">
          <w:marLeft w:val="640"/>
          <w:marRight w:val="0"/>
          <w:marTop w:val="0"/>
          <w:marBottom w:val="0"/>
          <w:divBdr>
            <w:top w:val="none" w:sz="0" w:space="0" w:color="auto"/>
            <w:left w:val="none" w:sz="0" w:space="0" w:color="auto"/>
            <w:bottom w:val="none" w:sz="0" w:space="0" w:color="auto"/>
            <w:right w:val="none" w:sz="0" w:space="0" w:color="auto"/>
          </w:divBdr>
        </w:div>
        <w:div w:id="2001304610">
          <w:marLeft w:val="640"/>
          <w:marRight w:val="0"/>
          <w:marTop w:val="0"/>
          <w:marBottom w:val="0"/>
          <w:divBdr>
            <w:top w:val="none" w:sz="0" w:space="0" w:color="auto"/>
            <w:left w:val="none" w:sz="0" w:space="0" w:color="auto"/>
            <w:bottom w:val="none" w:sz="0" w:space="0" w:color="auto"/>
            <w:right w:val="none" w:sz="0" w:space="0" w:color="auto"/>
          </w:divBdr>
        </w:div>
        <w:div w:id="352464306">
          <w:marLeft w:val="640"/>
          <w:marRight w:val="0"/>
          <w:marTop w:val="0"/>
          <w:marBottom w:val="0"/>
          <w:divBdr>
            <w:top w:val="none" w:sz="0" w:space="0" w:color="auto"/>
            <w:left w:val="none" w:sz="0" w:space="0" w:color="auto"/>
            <w:bottom w:val="none" w:sz="0" w:space="0" w:color="auto"/>
            <w:right w:val="none" w:sz="0" w:space="0" w:color="auto"/>
          </w:divBdr>
        </w:div>
        <w:div w:id="728573845">
          <w:marLeft w:val="640"/>
          <w:marRight w:val="0"/>
          <w:marTop w:val="0"/>
          <w:marBottom w:val="0"/>
          <w:divBdr>
            <w:top w:val="none" w:sz="0" w:space="0" w:color="auto"/>
            <w:left w:val="none" w:sz="0" w:space="0" w:color="auto"/>
            <w:bottom w:val="none" w:sz="0" w:space="0" w:color="auto"/>
            <w:right w:val="none" w:sz="0" w:space="0" w:color="auto"/>
          </w:divBdr>
        </w:div>
        <w:div w:id="993677619">
          <w:marLeft w:val="640"/>
          <w:marRight w:val="0"/>
          <w:marTop w:val="0"/>
          <w:marBottom w:val="0"/>
          <w:divBdr>
            <w:top w:val="none" w:sz="0" w:space="0" w:color="auto"/>
            <w:left w:val="none" w:sz="0" w:space="0" w:color="auto"/>
            <w:bottom w:val="none" w:sz="0" w:space="0" w:color="auto"/>
            <w:right w:val="none" w:sz="0" w:space="0" w:color="auto"/>
          </w:divBdr>
        </w:div>
        <w:div w:id="1432504222">
          <w:marLeft w:val="640"/>
          <w:marRight w:val="0"/>
          <w:marTop w:val="0"/>
          <w:marBottom w:val="0"/>
          <w:divBdr>
            <w:top w:val="none" w:sz="0" w:space="0" w:color="auto"/>
            <w:left w:val="none" w:sz="0" w:space="0" w:color="auto"/>
            <w:bottom w:val="none" w:sz="0" w:space="0" w:color="auto"/>
            <w:right w:val="none" w:sz="0" w:space="0" w:color="auto"/>
          </w:divBdr>
        </w:div>
        <w:div w:id="1790591044">
          <w:marLeft w:val="640"/>
          <w:marRight w:val="0"/>
          <w:marTop w:val="0"/>
          <w:marBottom w:val="0"/>
          <w:divBdr>
            <w:top w:val="none" w:sz="0" w:space="0" w:color="auto"/>
            <w:left w:val="none" w:sz="0" w:space="0" w:color="auto"/>
            <w:bottom w:val="none" w:sz="0" w:space="0" w:color="auto"/>
            <w:right w:val="none" w:sz="0" w:space="0" w:color="auto"/>
          </w:divBdr>
        </w:div>
        <w:div w:id="1467233211">
          <w:marLeft w:val="640"/>
          <w:marRight w:val="0"/>
          <w:marTop w:val="0"/>
          <w:marBottom w:val="0"/>
          <w:divBdr>
            <w:top w:val="none" w:sz="0" w:space="0" w:color="auto"/>
            <w:left w:val="none" w:sz="0" w:space="0" w:color="auto"/>
            <w:bottom w:val="none" w:sz="0" w:space="0" w:color="auto"/>
            <w:right w:val="none" w:sz="0" w:space="0" w:color="auto"/>
          </w:divBdr>
        </w:div>
        <w:div w:id="702677289">
          <w:marLeft w:val="640"/>
          <w:marRight w:val="0"/>
          <w:marTop w:val="0"/>
          <w:marBottom w:val="0"/>
          <w:divBdr>
            <w:top w:val="none" w:sz="0" w:space="0" w:color="auto"/>
            <w:left w:val="none" w:sz="0" w:space="0" w:color="auto"/>
            <w:bottom w:val="none" w:sz="0" w:space="0" w:color="auto"/>
            <w:right w:val="none" w:sz="0" w:space="0" w:color="auto"/>
          </w:divBdr>
        </w:div>
        <w:div w:id="765149911">
          <w:marLeft w:val="640"/>
          <w:marRight w:val="0"/>
          <w:marTop w:val="0"/>
          <w:marBottom w:val="0"/>
          <w:divBdr>
            <w:top w:val="none" w:sz="0" w:space="0" w:color="auto"/>
            <w:left w:val="none" w:sz="0" w:space="0" w:color="auto"/>
            <w:bottom w:val="none" w:sz="0" w:space="0" w:color="auto"/>
            <w:right w:val="none" w:sz="0" w:space="0" w:color="auto"/>
          </w:divBdr>
        </w:div>
        <w:div w:id="1565752867">
          <w:marLeft w:val="640"/>
          <w:marRight w:val="0"/>
          <w:marTop w:val="0"/>
          <w:marBottom w:val="0"/>
          <w:divBdr>
            <w:top w:val="none" w:sz="0" w:space="0" w:color="auto"/>
            <w:left w:val="none" w:sz="0" w:space="0" w:color="auto"/>
            <w:bottom w:val="none" w:sz="0" w:space="0" w:color="auto"/>
            <w:right w:val="none" w:sz="0" w:space="0" w:color="auto"/>
          </w:divBdr>
        </w:div>
        <w:div w:id="687367423">
          <w:marLeft w:val="640"/>
          <w:marRight w:val="0"/>
          <w:marTop w:val="0"/>
          <w:marBottom w:val="0"/>
          <w:divBdr>
            <w:top w:val="none" w:sz="0" w:space="0" w:color="auto"/>
            <w:left w:val="none" w:sz="0" w:space="0" w:color="auto"/>
            <w:bottom w:val="none" w:sz="0" w:space="0" w:color="auto"/>
            <w:right w:val="none" w:sz="0" w:space="0" w:color="auto"/>
          </w:divBdr>
        </w:div>
        <w:div w:id="777796526">
          <w:marLeft w:val="640"/>
          <w:marRight w:val="0"/>
          <w:marTop w:val="0"/>
          <w:marBottom w:val="0"/>
          <w:divBdr>
            <w:top w:val="none" w:sz="0" w:space="0" w:color="auto"/>
            <w:left w:val="none" w:sz="0" w:space="0" w:color="auto"/>
            <w:bottom w:val="none" w:sz="0" w:space="0" w:color="auto"/>
            <w:right w:val="none" w:sz="0" w:space="0" w:color="auto"/>
          </w:divBdr>
        </w:div>
        <w:div w:id="1627854287">
          <w:marLeft w:val="640"/>
          <w:marRight w:val="0"/>
          <w:marTop w:val="0"/>
          <w:marBottom w:val="0"/>
          <w:divBdr>
            <w:top w:val="none" w:sz="0" w:space="0" w:color="auto"/>
            <w:left w:val="none" w:sz="0" w:space="0" w:color="auto"/>
            <w:bottom w:val="none" w:sz="0" w:space="0" w:color="auto"/>
            <w:right w:val="none" w:sz="0" w:space="0" w:color="auto"/>
          </w:divBdr>
        </w:div>
        <w:div w:id="1266110608">
          <w:marLeft w:val="640"/>
          <w:marRight w:val="0"/>
          <w:marTop w:val="0"/>
          <w:marBottom w:val="0"/>
          <w:divBdr>
            <w:top w:val="none" w:sz="0" w:space="0" w:color="auto"/>
            <w:left w:val="none" w:sz="0" w:space="0" w:color="auto"/>
            <w:bottom w:val="none" w:sz="0" w:space="0" w:color="auto"/>
            <w:right w:val="none" w:sz="0" w:space="0" w:color="auto"/>
          </w:divBdr>
        </w:div>
        <w:div w:id="980580571">
          <w:marLeft w:val="640"/>
          <w:marRight w:val="0"/>
          <w:marTop w:val="0"/>
          <w:marBottom w:val="0"/>
          <w:divBdr>
            <w:top w:val="none" w:sz="0" w:space="0" w:color="auto"/>
            <w:left w:val="none" w:sz="0" w:space="0" w:color="auto"/>
            <w:bottom w:val="none" w:sz="0" w:space="0" w:color="auto"/>
            <w:right w:val="none" w:sz="0" w:space="0" w:color="auto"/>
          </w:divBdr>
        </w:div>
        <w:div w:id="545720486">
          <w:marLeft w:val="640"/>
          <w:marRight w:val="0"/>
          <w:marTop w:val="0"/>
          <w:marBottom w:val="0"/>
          <w:divBdr>
            <w:top w:val="none" w:sz="0" w:space="0" w:color="auto"/>
            <w:left w:val="none" w:sz="0" w:space="0" w:color="auto"/>
            <w:bottom w:val="none" w:sz="0" w:space="0" w:color="auto"/>
            <w:right w:val="none" w:sz="0" w:space="0" w:color="auto"/>
          </w:divBdr>
        </w:div>
        <w:div w:id="815146630">
          <w:marLeft w:val="640"/>
          <w:marRight w:val="0"/>
          <w:marTop w:val="0"/>
          <w:marBottom w:val="0"/>
          <w:divBdr>
            <w:top w:val="none" w:sz="0" w:space="0" w:color="auto"/>
            <w:left w:val="none" w:sz="0" w:space="0" w:color="auto"/>
            <w:bottom w:val="none" w:sz="0" w:space="0" w:color="auto"/>
            <w:right w:val="none" w:sz="0" w:space="0" w:color="auto"/>
          </w:divBdr>
        </w:div>
        <w:div w:id="1228958875">
          <w:marLeft w:val="640"/>
          <w:marRight w:val="0"/>
          <w:marTop w:val="0"/>
          <w:marBottom w:val="0"/>
          <w:divBdr>
            <w:top w:val="none" w:sz="0" w:space="0" w:color="auto"/>
            <w:left w:val="none" w:sz="0" w:space="0" w:color="auto"/>
            <w:bottom w:val="none" w:sz="0" w:space="0" w:color="auto"/>
            <w:right w:val="none" w:sz="0" w:space="0" w:color="auto"/>
          </w:divBdr>
        </w:div>
        <w:div w:id="1315841951">
          <w:marLeft w:val="640"/>
          <w:marRight w:val="0"/>
          <w:marTop w:val="0"/>
          <w:marBottom w:val="0"/>
          <w:divBdr>
            <w:top w:val="none" w:sz="0" w:space="0" w:color="auto"/>
            <w:left w:val="none" w:sz="0" w:space="0" w:color="auto"/>
            <w:bottom w:val="none" w:sz="0" w:space="0" w:color="auto"/>
            <w:right w:val="none" w:sz="0" w:space="0" w:color="auto"/>
          </w:divBdr>
        </w:div>
        <w:div w:id="1875802100">
          <w:marLeft w:val="640"/>
          <w:marRight w:val="0"/>
          <w:marTop w:val="0"/>
          <w:marBottom w:val="0"/>
          <w:divBdr>
            <w:top w:val="none" w:sz="0" w:space="0" w:color="auto"/>
            <w:left w:val="none" w:sz="0" w:space="0" w:color="auto"/>
            <w:bottom w:val="none" w:sz="0" w:space="0" w:color="auto"/>
            <w:right w:val="none" w:sz="0" w:space="0" w:color="auto"/>
          </w:divBdr>
        </w:div>
        <w:div w:id="141242185">
          <w:marLeft w:val="640"/>
          <w:marRight w:val="0"/>
          <w:marTop w:val="0"/>
          <w:marBottom w:val="0"/>
          <w:divBdr>
            <w:top w:val="none" w:sz="0" w:space="0" w:color="auto"/>
            <w:left w:val="none" w:sz="0" w:space="0" w:color="auto"/>
            <w:bottom w:val="none" w:sz="0" w:space="0" w:color="auto"/>
            <w:right w:val="none" w:sz="0" w:space="0" w:color="auto"/>
          </w:divBdr>
        </w:div>
        <w:div w:id="1053845709">
          <w:marLeft w:val="640"/>
          <w:marRight w:val="0"/>
          <w:marTop w:val="0"/>
          <w:marBottom w:val="0"/>
          <w:divBdr>
            <w:top w:val="none" w:sz="0" w:space="0" w:color="auto"/>
            <w:left w:val="none" w:sz="0" w:space="0" w:color="auto"/>
            <w:bottom w:val="none" w:sz="0" w:space="0" w:color="auto"/>
            <w:right w:val="none" w:sz="0" w:space="0" w:color="auto"/>
          </w:divBdr>
        </w:div>
        <w:div w:id="1414819049">
          <w:marLeft w:val="640"/>
          <w:marRight w:val="0"/>
          <w:marTop w:val="0"/>
          <w:marBottom w:val="0"/>
          <w:divBdr>
            <w:top w:val="none" w:sz="0" w:space="0" w:color="auto"/>
            <w:left w:val="none" w:sz="0" w:space="0" w:color="auto"/>
            <w:bottom w:val="none" w:sz="0" w:space="0" w:color="auto"/>
            <w:right w:val="none" w:sz="0" w:space="0" w:color="auto"/>
          </w:divBdr>
        </w:div>
        <w:div w:id="1379276645">
          <w:marLeft w:val="640"/>
          <w:marRight w:val="0"/>
          <w:marTop w:val="0"/>
          <w:marBottom w:val="0"/>
          <w:divBdr>
            <w:top w:val="none" w:sz="0" w:space="0" w:color="auto"/>
            <w:left w:val="none" w:sz="0" w:space="0" w:color="auto"/>
            <w:bottom w:val="none" w:sz="0" w:space="0" w:color="auto"/>
            <w:right w:val="none" w:sz="0" w:space="0" w:color="auto"/>
          </w:divBdr>
        </w:div>
        <w:div w:id="1736272122">
          <w:marLeft w:val="640"/>
          <w:marRight w:val="0"/>
          <w:marTop w:val="0"/>
          <w:marBottom w:val="0"/>
          <w:divBdr>
            <w:top w:val="none" w:sz="0" w:space="0" w:color="auto"/>
            <w:left w:val="none" w:sz="0" w:space="0" w:color="auto"/>
            <w:bottom w:val="none" w:sz="0" w:space="0" w:color="auto"/>
            <w:right w:val="none" w:sz="0" w:space="0" w:color="auto"/>
          </w:divBdr>
        </w:div>
        <w:div w:id="1788499886">
          <w:marLeft w:val="640"/>
          <w:marRight w:val="0"/>
          <w:marTop w:val="0"/>
          <w:marBottom w:val="0"/>
          <w:divBdr>
            <w:top w:val="none" w:sz="0" w:space="0" w:color="auto"/>
            <w:left w:val="none" w:sz="0" w:space="0" w:color="auto"/>
            <w:bottom w:val="none" w:sz="0" w:space="0" w:color="auto"/>
            <w:right w:val="none" w:sz="0" w:space="0" w:color="auto"/>
          </w:divBdr>
        </w:div>
        <w:div w:id="489948151">
          <w:marLeft w:val="640"/>
          <w:marRight w:val="0"/>
          <w:marTop w:val="0"/>
          <w:marBottom w:val="0"/>
          <w:divBdr>
            <w:top w:val="none" w:sz="0" w:space="0" w:color="auto"/>
            <w:left w:val="none" w:sz="0" w:space="0" w:color="auto"/>
            <w:bottom w:val="none" w:sz="0" w:space="0" w:color="auto"/>
            <w:right w:val="none" w:sz="0" w:space="0" w:color="auto"/>
          </w:divBdr>
        </w:div>
        <w:div w:id="366413641">
          <w:marLeft w:val="640"/>
          <w:marRight w:val="0"/>
          <w:marTop w:val="0"/>
          <w:marBottom w:val="0"/>
          <w:divBdr>
            <w:top w:val="none" w:sz="0" w:space="0" w:color="auto"/>
            <w:left w:val="none" w:sz="0" w:space="0" w:color="auto"/>
            <w:bottom w:val="none" w:sz="0" w:space="0" w:color="auto"/>
            <w:right w:val="none" w:sz="0" w:space="0" w:color="auto"/>
          </w:divBdr>
        </w:div>
        <w:div w:id="518199299">
          <w:marLeft w:val="640"/>
          <w:marRight w:val="0"/>
          <w:marTop w:val="0"/>
          <w:marBottom w:val="0"/>
          <w:divBdr>
            <w:top w:val="none" w:sz="0" w:space="0" w:color="auto"/>
            <w:left w:val="none" w:sz="0" w:space="0" w:color="auto"/>
            <w:bottom w:val="none" w:sz="0" w:space="0" w:color="auto"/>
            <w:right w:val="none" w:sz="0" w:space="0" w:color="auto"/>
          </w:divBdr>
        </w:div>
        <w:div w:id="39476359">
          <w:marLeft w:val="640"/>
          <w:marRight w:val="0"/>
          <w:marTop w:val="0"/>
          <w:marBottom w:val="0"/>
          <w:divBdr>
            <w:top w:val="none" w:sz="0" w:space="0" w:color="auto"/>
            <w:left w:val="none" w:sz="0" w:space="0" w:color="auto"/>
            <w:bottom w:val="none" w:sz="0" w:space="0" w:color="auto"/>
            <w:right w:val="none" w:sz="0" w:space="0" w:color="auto"/>
          </w:divBdr>
        </w:div>
        <w:div w:id="2055039740">
          <w:marLeft w:val="640"/>
          <w:marRight w:val="0"/>
          <w:marTop w:val="0"/>
          <w:marBottom w:val="0"/>
          <w:divBdr>
            <w:top w:val="none" w:sz="0" w:space="0" w:color="auto"/>
            <w:left w:val="none" w:sz="0" w:space="0" w:color="auto"/>
            <w:bottom w:val="none" w:sz="0" w:space="0" w:color="auto"/>
            <w:right w:val="none" w:sz="0" w:space="0" w:color="auto"/>
          </w:divBdr>
        </w:div>
        <w:div w:id="1062220797">
          <w:marLeft w:val="640"/>
          <w:marRight w:val="0"/>
          <w:marTop w:val="0"/>
          <w:marBottom w:val="0"/>
          <w:divBdr>
            <w:top w:val="none" w:sz="0" w:space="0" w:color="auto"/>
            <w:left w:val="none" w:sz="0" w:space="0" w:color="auto"/>
            <w:bottom w:val="none" w:sz="0" w:space="0" w:color="auto"/>
            <w:right w:val="none" w:sz="0" w:space="0" w:color="auto"/>
          </w:divBdr>
        </w:div>
        <w:div w:id="170994350">
          <w:marLeft w:val="640"/>
          <w:marRight w:val="0"/>
          <w:marTop w:val="0"/>
          <w:marBottom w:val="0"/>
          <w:divBdr>
            <w:top w:val="none" w:sz="0" w:space="0" w:color="auto"/>
            <w:left w:val="none" w:sz="0" w:space="0" w:color="auto"/>
            <w:bottom w:val="none" w:sz="0" w:space="0" w:color="auto"/>
            <w:right w:val="none" w:sz="0" w:space="0" w:color="auto"/>
          </w:divBdr>
        </w:div>
        <w:div w:id="1447000050">
          <w:marLeft w:val="640"/>
          <w:marRight w:val="0"/>
          <w:marTop w:val="0"/>
          <w:marBottom w:val="0"/>
          <w:divBdr>
            <w:top w:val="none" w:sz="0" w:space="0" w:color="auto"/>
            <w:left w:val="none" w:sz="0" w:space="0" w:color="auto"/>
            <w:bottom w:val="none" w:sz="0" w:space="0" w:color="auto"/>
            <w:right w:val="none" w:sz="0" w:space="0" w:color="auto"/>
          </w:divBdr>
        </w:div>
        <w:div w:id="245264500">
          <w:marLeft w:val="640"/>
          <w:marRight w:val="0"/>
          <w:marTop w:val="0"/>
          <w:marBottom w:val="0"/>
          <w:divBdr>
            <w:top w:val="none" w:sz="0" w:space="0" w:color="auto"/>
            <w:left w:val="none" w:sz="0" w:space="0" w:color="auto"/>
            <w:bottom w:val="none" w:sz="0" w:space="0" w:color="auto"/>
            <w:right w:val="none" w:sz="0" w:space="0" w:color="auto"/>
          </w:divBdr>
        </w:div>
        <w:div w:id="1464232893">
          <w:marLeft w:val="640"/>
          <w:marRight w:val="0"/>
          <w:marTop w:val="0"/>
          <w:marBottom w:val="0"/>
          <w:divBdr>
            <w:top w:val="none" w:sz="0" w:space="0" w:color="auto"/>
            <w:left w:val="none" w:sz="0" w:space="0" w:color="auto"/>
            <w:bottom w:val="none" w:sz="0" w:space="0" w:color="auto"/>
            <w:right w:val="none" w:sz="0" w:space="0" w:color="auto"/>
          </w:divBdr>
        </w:div>
        <w:div w:id="1639412979">
          <w:marLeft w:val="640"/>
          <w:marRight w:val="0"/>
          <w:marTop w:val="0"/>
          <w:marBottom w:val="0"/>
          <w:divBdr>
            <w:top w:val="none" w:sz="0" w:space="0" w:color="auto"/>
            <w:left w:val="none" w:sz="0" w:space="0" w:color="auto"/>
            <w:bottom w:val="none" w:sz="0" w:space="0" w:color="auto"/>
            <w:right w:val="none" w:sz="0" w:space="0" w:color="auto"/>
          </w:divBdr>
        </w:div>
        <w:div w:id="894006885">
          <w:marLeft w:val="640"/>
          <w:marRight w:val="0"/>
          <w:marTop w:val="0"/>
          <w:marBottom w:val="0"/>
          <w:divBdr>
            <w:top w:val="none" w:sz="0" w:space="0" w:color="auto"/>
            <w:left w:val="none" w:sz="0" w:space="0" w:color="auto"/>
            <w:bottom w:val="none" w:sz="0" w:space="0" w:color="auto"/>
            <w:right w:val="none" w:sz="0" w:space="0" w:color="auto"/>
          </w:divBdr>
        </w:div>
        <w:div w:id="274488485">
          <w:marLeft w:val="640"/>
          <w:marRight w:val="0"/>
          <w:marTop w:val="0"/>
          <w:marBottom w:val="0"/>
          <w:divBdr>
            <w:top w:val="none" w:sz="0" w:space="0" w:color="auto"/>
            <w:left w:val="none" w:sz="0" w:space="0" w:color="auto"/>
            <w:bottom w:val="none" w:sz="0" w:space="0" w:color="auto"/>
            <w:right w:val="none" w:sz="0" w:space="0" w:color="auto"/>
          </w:divBdr>
        </w:div>
        <w:div w:id="627779032">
          <w:marLeft w:val="640"/>
          <w:marRight w:val="0"/>
          <w:marTop w:val="0"/>
          <w:marBottom w:val="0"/>
          <w:divBdr>
            <w:top w:val="none" w:sz="0" w:space="0" w:color="auto"/>
            <w:left w:val="none" w:sz="0" w:space="0" w:color="auto"/>
            <w:bottom w:val="none" w:sz="0" w:space="0" w:color="auto"/>
            <w:right w:val="none" w:sz="0" w:space="0" w:color="auto"/>
          </w:divBdr>
        </w:div>
        <w:div w:id="90588640">
          <w:marLeft w:val="640"/>
          <w:marRight w:val="0"/>
          <w:marTop w:val="0"/>
          <w:marBottom w:val="0"/>
          <w:divBdr>
            <w:top w:val="none" w:sz="0" w:space="0" w:color="auto"/>
            <w:left w:val="none" w:sz="0" w:space="0" w:color="auto"/>
            <w:bottom w:val="none" w:sz="0" w:space="0" w:color="auto"/>
            <w:right w:val="none" w:sz="0" w:space="0" w:color="auto"/>
          </w:divBdr>
        </w:div>
        <w:div w:id="1062602846">
          <w:marLeft w:val="640"/>
          <w:marRight w:val="0"/>
          <w:marTop w:val="0"/>
          <w:marBottom w:val="0"/>
          <w:divBdr>
            <w:top w:val="none" w:sz="0" w:space="0" w:color="auto"/>
            <w:left w:val="none" w:sz="0" w:space="0" w:color="auto"/>
            <w:bottom w:val="none" w:sz="0" w:space="0" w:color="auto"/>
            <w:right w:val="none" w:sz="0" w:space="0" w:color="auto"/>
          </w:divBdr>
        </w:div>
        <w:div w:id="122164645">
          <w:marLeft w:val="640"/>
          <w:marRight w:val="0"/>
          <w:marTop w:val="0"/>
          <w:marBottom w:val="0"/>
          <w:divBdr>
            <w:top w:val="none" w:sz="0" w:space="0" w:color="auto"/>
            <w:left w:val="none" w:sz="0" w:space="0" w:color="auto"/>
            <w:bottom w:val="none" w:sz="0" w:space="0" w:color="auto"/>
            <w:right w:val="none" w:sz="0" w:space="0" w:color="auto"/>
          </w:divBdr>
        </w:div>
        <w:div w:id="2015568971">
          <w:marLeft w:val="640"/>
          <w:marRight w:val="0"/>
          <w:marTop w:val="0"/>
          <w:marBottom w:val="0"/>
          <w:divBdr>
            <w:top w:val="none" w:sz="0" w:space="0" w:color="auto"/>
            <w:left w:val="none" w:sz="0" w:space="0" w:color="auto"/>
            <w:bottom w:val="none" w:sz="0" w:space="0" w:color="auto"/>
            <w:right w:val="none" w:sz="0" w:space="0" w:color="auto"/>
          </w:divBdr>
        </w:div>
        <w:div w:id="1781796162">
          <w:marLeft w:val="640"/>
          <w:marRight w:val="0"/>
          <w:marTop w:val="0"/>
          <w:marBottom w:val="0"/>
          <w:divBdr>
            <w:top w:val="none" w:sz="0" w:space="0" w:color="auto"/>
            <w:left w:val="none" w:sz="0" w:space="0" w:color="auto"/>
            <w:bottom w:val="none" w:sz="0" w:space="0" w:color="auto"/>
            <w:right w:val="none" w:sz="0" w:space="0" w:color="auto"/>
          </w:divBdr>
        </w:div>
        <w:div w:id="862479605">
          <w:marLeft w:val="640"/>
          <w:marRight w:val="0"/>
          <w:marTop w:val="0"/>
          <w:marBottom w:val="0"/>
          <w:divBdr>
            <w:top w:val="none" w:sz="0" w:space="0" w:color="auto"/>
            <w:left w:val="none" w:sz="0" w:space="0" w:color="auto"/>
            <w:bottom w:val="none" w:sz="0" w:space="0" w:color="auto"/>
            <w:right w:val="none" w:sz="0" w:space="0" w:color="auto"/>
          </w:divBdr>
        </w:div>
        <w:div w:id="23141862">
          <w:marLeft w:val="640"/>
          <w:marRight w:val="0"/>
          <w:marTop w:val="0"/>
          <w:marBottom w:val="0"/>
          <w:divBdr>
            <w:top w:val="none" w:sz="0" w:space="0" w:color="auto"/>
            <w:left w:val="none" w:sz="0" w:space="0" w:color="auto"/>
            <w:bottom w:val="none" w:sz="0" w:space="0" w:color="auto"/>
            <w:right w:val="none" w:sz="0" w:space="0" w:color="auto"/>
          </w:divBdr>
        </w:div>
        <w:div w:id="1323002629">
          <w:marLeft w:val="640"/>
          <w:marRight w:val="0"/>
          <w:marTop w:val="0"/>
          <w:marBottom w:val="0"/>
          <w:divBdr>
            <w:top w:val="none" w:sz="0" w:space="0" w:color="auto"/>
            <w:left w:val="none" w:sz="0" w:space="0" w:color="auto"/>
            <w:bottom w:val="none" w:sz="0" w:space="0" w:color="auto"/>
            <w:right w:val="none" w:sz="0" w:space="0" w:color="auto"/>
          </w:divBdr>
        </w:div>
        <w:div w:id="536048073">
          <w:marLeft w:val="640"/>
          <w:marRight w:val="0"/>
          <w:marTop w:val="0"/>
          <w:marBottom w:val="0"/>
          <w:divBdr>
            <w:top w:val="none" w:sz="0" w:space="0" w:color="auto"/>
            <w:left w:val="none" w:sz="0" w:space="0" w:color="auto"/>
            <w:bottom w:val="none" w:sz="0" w:space="0" w:color="auto"/>
            <w:right w:val="none" w:sz="0" w:space="0" w:color="auto"/>
          </w:divBdr>
        </w:div>
        <w:div w:id="119543256">
          <w:marLeft w:val="640"/>
          <w:marRight w:val="0"/>
          <w:marTop w:val="0"/>
          <w:marBottom w:val="0"/>
          <w:divBdr>
            <w:top w:val="none" w:sz="0" w:space="0" w:color="auto"/>
            <w:left w:val="none" w:sz="0" w:space="0" w:color="auto"/>
            <w:bottom w:val="none" w:sz="0" w:space="0" w:color="auto"/>
            <w:right w:val="none" w:sz="0" w:space="0" w:color="auto"/>
          </w:divBdr>
        </w:div>
        <w:div w:id="2010399776">
          <w:marLeft w:val="640"/>
          <w:marRight w:val="0"/>
          <w:marTop w:val="0"/>
          <w:marBottom w:val="0"/>
          <w:divBdr>
            <w:top w:val="none" w:sz="0" w:space="0" w:color="auto"/>
            <w:left w:val="none" w:sz="0" w:space="0" w:color="auto"/>
            <w:bottom w:val="none" w:sz="0" w:space="0" w:color="auto"/>
            <w:right w:val="none" w:sz="0" w:space="0" w:color="auto"/>
          </w:divBdr>
        </w:div>
        <w:div w:id="756900332">
          <w:marLeft w:val="640"/>
          <w:marRight w:val="0"/>
          <w:marTop w:val="0"/>
          <w:marBottom w:val="0"/>
          <w:divBdr>
            <w:top w:val="none" w:sz="0" w:space="0" w:color="auto"/>
            <w:left w:val="none" w:sz="0" w:space="0" w:color="auto"/>
            <w:bottom w:val="none" w:sz="0" w:space="0" w:color="auto"/>
            <w:right w:val="none" w:sz="0" w:space="0" w:color="auto"/>
          </w:divBdr>
        </w:div>
        <w:div w:id="1071121123">
          <w:marLeft w:val="640"/>
          <w:marRight w:val="0"/>
          <w:marTop w:val="0"/>
          <w:marBottom w:val="0"/>
          <w:divBdr>
            <w:top w:val="none" w:sz="0" w:space="0" w:color="auto"/>
            <w:left w:val="none" w:sz="0" w:space="0" w:color="auto"/>
            <w:bottom w:val="none" w:sz="0" w:space="0" w:color="auto"/>
            <w:right w:val="none" w:sz="0" w:space="0" w:color="auto"/>
          </w:divBdr>
        </w:div>
        <w:div w:id="1598909040">
          <w:marLeft w:val="640"/>
          <w:marRight w:val="0"/>
          <w:marTop w:val="0"/>
          <w:marBottom w:val="0"/>
          <w:divBdr>
            <w:top w:val="none" w:sz="0" w:space="0" w:color="auto"/>
            <w:left w:val="none" w:sz="0" w:space="0" w:color="auto"/>
            <w:bottom w:val="none" w:sz="0" w:space="0" w:color="auto"/>
            <w:right w:val="none" w:sz="0" w:space="0" w:color="auto"/>
          </w:divBdr>
        </w:div>
        <w:div w:id="1515849204">
          <w:marLeft w:val="640"/>
          <w:marRight w:val="0"/>
          <w:marTop w:val="0"/>
          <w:marBottom w:val="0"/>
          <w:divBdr>
            <w:top w:val="none" w:sz="0" w:space="0" w:color="auto"/>
            <w:left w:val="none" w:sz="0" w:space="0" w:color="auto"/>
            <w:bottom w:val="none" w:sz="0" w:space="0" w:color="auto"/>
            <w:right w:val="none" w:sz="0" w:space="0" w:color="auto"/>
          </w:divBdr>
        </w:div>
        <w:div w:id="374696376">
          <w:marLeft w:val="640"/>
          <w:marRight w:val="0"/>
          <w:marTop w:val="0"/>
          <w:marBottom w:val="0"/>
          <w:divBdr>
            <w:top w:val="none" w:sz="0" w:space="0" w:color="auto"/>
            <w:left w:val="none" w:sz="0" w:space="0" w:color="auto"/>
            <w:bottom w:val="none" w:sz="0" w:space="0" w:color="auto"/>
            <w:right w:val="none" w:sz="0" w:space="0" w:color="auto"/>
          </w:divBdr>
        </w:div>
        <w:div w:id="1362702082">
          <w:marLeft w:val="640"/>
          <w:marRight w:val="0"/>
          <w:marTop w:val="0"/>
          <w:marBottom w:val="0"/>
          <w:divBdr>
            <w:top w:val="none" w:sz="0" w:space="0" w:color="auto"/>
            <w:left w:val="none" w:sz="0" w:space="0" w:color="auto"/>
            <w:bottom w:val="none" w:sz="0" w:space="0" w:color="auto"/>
            <w:right w:val="none" w:sz="0" w:space="0" w:color="auto"/>
          </w:divBdr>
        </w:div>
        <w:div w:id="496653273">
          <w:marLeft w:val="640"/>
          <w:marRight w:val="0"/>
          <w:marTop w:val="0"/>
          <w:marBottom w:val="0"/>
          <w:divBdr>
            <w:top w:val="none" w:sz="0" w:space="0" w:color="auto"/>
            <w:left w:val="none" w:sz="0" w:space="0" w:color="auto"/>
            <w:bottom w:val="none" w:sz="0" w:space="0" w:color="auto"/>
            <w:right w:val="none" w:sz="0" w:space="0" w:color="auto"/>
          </w:divBdr>
        </w:div>
        <w:div w:id="822694744">
          <w:marLeft w:val="640"/>
          <w:marRight w:val="0"/>
          <w:marTop w:val="0"/>
          <w:marBottom w:val="0"/>
          <w:divBdr>
            <w:top w:val="none" w:sz="0" w:space="0" w:color="auto"/>
            <w:left w:val="none" w:sz="0" w:space="0" w:color="auto"/>
            <w:bottom w:val="none" w:sz="0" w:space="0" w:color="auto"/>
            <w:right w:val="none" w:sz="0" w:space="0" w:color="auto"/>
          </w:divBdr>
        </w:div>
        <w:div w:id="916741568">
          <w:marLeft w:val="640"/>
          <w:marRight w:val="0"/>
          <w:marTop w:val="0"/>
          <w:marBottom w:val="0"/>
          <w:divBdr>
            <w:top w:val="none" w:sz="0" w:space="0" w:color="auto"/>
            <w:left w:val="none" w:sz="0" w:space="0" w:color="auto"/>
            <w:bottom w:val="none" w:sz="0" w:space="0" w:color="auto"/>
            <w:right w:val="none" w:sz="0" w:space="0" w:color="auto"/>
          </w:divBdr>
        </w:div>
        <w:div w:id="688340184">
          <w:marLeft w:val="640"/>
          <w:marRight w:val="0"/>
          <w:marTop w:val="0"/>
          <w:marBottom w:val="0"/>
          <w:divBdr>
            <w:top w:val="none" w:sz="0" w:space="0" w:color="auto"/>
            <w:left w:val="none" w:sz="0" w:space="0" w:color="auto"/>
            <w:bottom w:val="none" w:sz="0" w:space="0" w:color="auto"/>
            <w:right w:val="none" w:sz="0" w:space="0" w:color="auto"/>
          </w:divBdr>
        </w:div>
        <w:div w:id="866793261">
          <w:marLeft w:val="640"/>
          <w:marRight w:val="0"/>
          <w:marTop w:val="0"/>
          <w:marBottom w:val="0"/>
          <w:divBdr>
            <w:top w:val="none" w:sz="0" w:space="0" w:color="auto"/>
            <w:left w:val="none" w:sz="0" w:space="0" w:color="auto"/>
            <w:bottom w:val="none" w:sz="0" w:space="0" w:color="auto"/>
            <w:right w:val="none" w:sz="0" w:space="0" w:color="auto"/>
          </w:divBdr>
        </w:div>
        <w:div w:id="1061058955">
          <w:marLeft w:val="640"/>
          <w:marRight w:val="0"/>
          <w:marTop w:val="0"/>
          <w:marBottom w:val="0"/>
          <w:divBdr>
            <w:top w:val="none" w:sz="0" w:space="0" w:color="auto"/>
            <w:left w:val="none" w:sz="0" w:space="0" w:color="auto"/>
            <w:bottom w:val="none" w:sz="0" w:space="0" w:color="auto"/>
            <w:right w:val="none" w:sz="0" w:space="0" w:color="auto"/>
          </w:divBdr>
        </w:div>
        <w:div w:id="519469430">
          <w:marLeft w:val="640"/>
          <w:marRight w:val="0"/>
          <w:marTop w:val="0"/>
          <w:marBottom w:val="0"/>
          <w:divBdr>
            <w:top w:val="none" w:sz="0" w:space="0" w:color="auto"/>
            <w:left w:val="none" w:sz="0" w:space="0" w:color="auto"/>
            <w:bottom w:val="none" w:sz="0" w:space="0" w:color="auto"/>
            <w:right w:val="none" w:sz="0" w:space="0" w:color="auto"/>
          </w:divBdr>
        </w:div>
        <w:div w:id="2120641473">
          <w:marLeft w:val="640"/>
          <w:marRight w:val="0"/>
          <w:marTop w:val="0"/>
          <w:marBottom w:val="0"/>
          <w:divBdr>
            <w:top w:val="none" w:sz="0" w:space="0" w:color="auto"/>
            <w:left w:val="none" w:sz="0" w:space="0" w:color="auto"/>
            <w:bottom w:val="none" w:sz="0" w:space="0" w:color="auto"/>
            <w:right w:val="none" w:sz="0" w:space="0" w:color="auto"/>
          </w:divBdr>
        </w:div>
        <w:div w:id="887381692">
          <w:marLeft w:val="640"/>
          <w:marRight w:val="0"/>
          <w:marTop w:val="0"/>
          <w:marBottom w:val="0"/>
          <w:divBdr>
            <w:top w:val="none" w:sz="0" w:space="0" w:color="auto"/>
            <w:left w:val="none" w:sz="0" w:space="0" w:color="auto"/>
            <w:bottom w:val="none" w:sz="0" w:space="0" w:color="auto"/>
            <w:right w:val="none" w:sz="0" w:space="0" w:color="auto"/>
          </w:divBdr>
        </w:div>
        <w:div w:id="224220851">
          <w:marLeft w:val="640"/>
          <w:marRight w:val="0"/>
          <w:marTop w:val="0"/>
          <w:marBottom w:val="0"/>
          <w:divBdr>
            <w:top w:val="none" w:sz="0" w:space="0" w:color="auto"/>
            <w:left w:val="none" w:sz="0" w:space="0" w:color="auto"/>
            <w:bottom w:val="none" w:sz="0" w:space="0" w:color="auto"/>
            <w:right w:val="none" w:sz="0" w:space="0" w:color="auto"/>
          </w:divBdr>
        </w:div>
        <w:div w:id="211624954">
          <w:marLeft w:val="640"/>
          <w:marRight w:val="0"/>
          <w:marTop w:val="0"/>
          <w:marBottom w:val="0"/>
          <w:divBdr>
            <w:top w:val="none" w:sz="0" w:space="0" w:color="auto"/>
            <w:left w:val="none" w:sz="0" w:space="0" w:color="auto"/>
            <w:bottom w:val="none" w:sz="0" w:space="0" w:color="auto"/>
            <w:right w:val="none" w:sz="0" w:space="0" w:color="auto"/>
          </w:divBdr>
        </w:div>
        <w:div w:id="223491731">
          <w:marLeft w:val="640"/>
          <w:marRight w:val="0"/>
          <w:marTop w:val="0"/>
          <w:marBottom w:val="0"/>
          <w:divBdr>
            <w:top w:val="none" w:sz="0" w:space="0" w:color="auto"/>
            <w:left w:val="none" w:sz="0" w:space="0" w:color="auto"/>
            <w:bottom w:val="none" w:sz="0" w:space="0" w:color="auto"/>
            <w:right w:val="none" w:sz="0" w:space="0" w:color="auto"/>
          </w:divBdr>
        </w:div>
        <w:div w:id="157160571">
          <w:marLeft w:val="640"/>
          <w:marRight w:val="0"/>
          <w:marTop w:val="0"/>
          <w:marBottom w:val="0"/>
          <w:divBdr>
            <w:top w:val="none" w:sz="0" w:space="0" w:color="auto"/>
            <w:left w:val="none" w:sz="0" w:space="0" w:color="auto"/>
            <w:bottom w:val="none" w:sz="0" w:space="0" w:color="auto"/>
            <w:right w:val="none" w:sz="0" w:space="0" w:color="auto"/>
          </w:divBdr>
        </w:div>
        <w:div w:id="2037534482">
          <w:marLeft w:val="640"/>
          <w:marRight w:val="0"/>
          <w:marTop w:val="0"/>
          <w:marBottom w:val="0"/>
          <w:divBdr>
            <w:top w:val="none" w:sz="0" w:space="0" w:color="auto"/>
            <w:left w:val="none" w:sz="0" w:space="0" w:color="auto"/>
            <w:bottom w:val="none" w:sz="0" w:space="0" w:color="auto"/>
            <w:right w:val="none" w:sz="0" w:space="0" w:color="auto"/>
          </w:divBdr>
        </w:div>
        <w:div w:id="449318846">
          <w:marLeft w:val="640"/>
          <w:marRight w:val="0"/>
          <w:marTop w:val="0"/>
          <w:marBottom w:val="0"/>
          <w:divBdr>
            <w:top w:val="none" w:sz="0" w:space="0" w:color="auto"/>
            <w:left w:val="none" w:sz="0" w:space="0" w:color="auto"/>
            <w:bottom w:val="none" w:sz="0" w:space="0" w:color="auto"/>
            <w:right w:val="none" w:sz="0" w:space="0" w:color="auto"/>
          </w:divBdr>
        </w:div>
        <w:div w:id="1650134742">
          <w:marLeft w:val="640"/>
          <w:marRight w:val="0"/>
          <w:marTop w:val="0"/>
          <w:marBottom w:val="0"/>
          <w:divBdr>
            <w:top w:val="none" w:sz="0" w:space="0" w:color="auto"/>
            <w:left w:val="none" w:sz="0" w:space="0" w:color="auto"/>
            <w:bottom w:val="none" w:sz="0" w:space="0" w:color="auto"/>
            <w:right w:val="none" w:sz="0" w:space="0" w:color="auto"/>
          </w:divBdr>
        </w:div>
        <w:div w:id="2085831692">
          <w:marLeft w:val="640"/>
          <w:marRight w:val="0"/>
          <w:marTop w:val="0"/>
          <w:marBottom w:val="0"/>
          <w:divBdr>
            <w:top w:val="none" w:sz="0" w:space="0" w:color="auto"/>
            <w:left w:val="none" w:sz="0" w:space="0" w:color="auto"/>
            <w:bottom w:val="none" w:sz="0" w:space="0" w:color="auto"/>
            <w:right w:val="none" w:sz="0" w:space="0" w:color="auto"/>
          </w:divBdr>
        </w:div>
        <w:div w:id="96218328">
          <w:marLeft w:val="640"/>
          <w:marRight w:val="0"/>
          <w:marTop w:val="0"/>
          <w:marBottom w:val="0"/>
          <w:divBdr>
            <w:top w:val="none" w:sz="0" w:space="0" w:color="auto"/>
            <w:left w:val="none" w:sz="0" w:space="0" w:color="auto"/>
            <w:bottom w:val="none" w:sz="0" w:space="0" w:color="auto"/>
            <w:right w:val="none" w:sz="0" w:space="0" w:color="auto"/>
          </w:divBdr>
        </w:div>
        <w:div w:id="751008375">
          <w:marLeft w:val="640"/>
          <w:marRight w:val="0"/>
          <w:marTop w:val="0"/>
          <w:marBottom w:val="0"/>
          <w:divBdr>
            <w:top w:val="none" w:sz="0" w:space="0" w:color="auto"/>
            <w:left w:val="none" w:sz="0" w:space="0" w:color="auto"/>
            <w:bottom w:val="none" w:sz="0" w:space="0" w:color="auto"/>
            <w:right w:val="none" w:sz="0" w:space="0" w:color="auto"/>
          </w:divBdr>
        </w:div>
        <w:div w:id="1570312504">
          <w:marLeft w:val="640"/>
          <w:marRight w:val="0"/>
          <w:marTop w:val="0"/>
          <w:marBottom w:val="0"/>
          <w:divBdr>
            <w:top w:val="none" w:sz="0" w:space="0" w:color="auto"/>
            <w:left w:val="none" w:sz="0" w:space="0" w:color="auto"/>
            <w:bottom w:val="none" w:sz="0" w:space="0" w:color="auto"/>
            <w:right w:val="none" w:sz="0" w:space="0" w:color="auto"/>
          </w:divBdr>
        </w:div>
        <w:div w:id="875698037">
          <w:marLeft w:val="640"/>
          <w:marRight w:val="0"/>
          <w:marTop w:val="0"/>
          <w:marBottom w:val="0"/>
          <w:divBdr>
            <w:top w:val="none" w:sz="0" w:space="0" w:color="auto"/>
            <w:left w:val="none" w:sz="0" w:space="0" w:color="auto"/>
            <w:bottom w:val="none" w:sz="0" w:space="0" w:color="auto"/>
            <w:right w:val="none" w:sz="0" w:space="0" w:color="auto"/>
          </w:divBdr>
        </w:div>
        <w:div w:id="1759789974">
          <w:marLeft w:val="640"/>
          <w:marRight w:val="0"/>
          <w:marTop w:val="0"/>
          <w:marBottom w:val="0"/>
          <w:divBdr>
            <w:top w:val="none" w:sz="0" w:space="0" w:color="auto"/>
            <w:left w:val="none" w:sz="0" w:space="0" w:color="auto"/>
            <w:bottom w:val="none" w:sz="0" w:space="0" w:color="auto"/>
            <w:right w:val="none" w:sz="0" w:space="0" w:color="auto"/>
          </w:divBdr>
        </w:div>
        <w:div w:id="2011831028">
          <w:marLeft w:val="640"/>
          <w:marRight w:val="0"/>
          <w:marTop w:val="0"/>
          <w:marBottom w:val="0"/>
          <w:divBdr>
            <w:top w:val="none" w:sz="0" w:space="0" w:color="auto"/>
            <w:left w:val="none" w:sz="0" w:space="0" w:color="auto"/>
            <w:bottom w:val="none" w:sz="0" w:space="0" w:color="auto"/>
            <w:right w:val="none" w:sz="0" w:space="0" w:color="auto"/>
          </w:divBdr>
        </w:div>
        <w:div w:id="2035418322">
          <w:marLeft w:val="640"/>
          <w:marRight w:val="0"/>
          <w:marTop w:val="0"/>
          <w:marBottom w:val="0"/>
          <w:divBdr>
            <w:top w:val="none" w:sz="0" w:space="0" w:color="auto"/>
            <w:left w:val="none" w:sz="0" w:space="0" w:color="auto"/>
            <w:bottom w:val="none" w:sz="0" w:space="0" w:color="auto"/>
            <w:right w:val="none" w:sz="0" w:space="0" w:color="auto"/>
          </w:divBdr>
        </w:div>
        <w:div w:id="286551682">
          <w:marLeft w:val="640"/>
          <w:marRight w:val="0"/>
          <w:marTop w:val="0"/>
          <w:marBottom w:val="0"/>
          <w:divBdr>
            <w:top w:val="none" w:sz="0" w:space="0" w:color="auto"/>
            <w:left w:val="none" w:sz="0" w:space="0" w:color="auto"/>
            <w:bottom w:val="none" w:sz="0" w:space="0" w:color="auto"/>
            <w:right w:val="none" w:sz="0" w:space="0" w:color="auto"/>
          </w:divBdr>
        </w:div>
        <w:div w:id="1056120857">
          <w:marLeft w:val="640"/>
          <w:marRight w:val="0"/>
          <w:marTop w:val="0"/>
          <w:marBottom w:val="0"/>
          <w:divBdr>
            <w:top w:val="none" w:sz="0" w:space="0" w:color="auto"/>
            <w:left w:val="none" w:sz="0" w:space="0" w:color="auto"/>
            <w:bottom w:val="none" w:sz="0" w:space="0" w:color="auto"/>
            <w:right w:val="none" w:sz="0" w:space="0" w:color="auto"/>
          </w:divBdr>
        </w:div>
        <w:div w:id="1924412991">
          <w:marLeft w:val="640"/>
          <w:marRight w:val="0"/>
          <w:marTop w:val="0"/>
          <w:marBottom w:val="0"/>
          <w:divBdr>
            <w:top w:val="none" w:sz="0" w:space="0" w:color="auto"/>
            <w:left w:val="none" w:sz="0" w:space="0" w:color="auto"/>
            <w:bottom w:val="none" w:sz="0" w:space="0" w:color="auto"/>
            <w:right w:val="none" w:sz="0" w:space="0" w:color="auto"/>
          </w:divBdr>
        </w:div>
        <w:div w:id="230972684">
          <w:marLeft w:val="640"/>
          <w:marRight w:val="0"/>
          <w:marTop w:val="0"/>
          <w:marBottom w:val="0"/>
          <w:divBdr>
            <w:top w:val="none" w:sz="0" w:space="0" w:color="auto"/>
            <w:left w:val="none" w:sz="0" w:space="0" w:color="auto"/>
            <w:bottom w:val="none" w:sz="0" w:space="0" w:color="auto"/>
            <w:right w:val="none" w:sz="0" w:space="0" w:color="auto"/>
          </w:divBdr>
        </w:div>
        <w:div w:id="1825078724">
          <w:marLeft w:val="640"/>
          <w:marRight w:val="0"/>
          <w:marTop w:val="0"/>
          <w:marBottom w:val="0"/>
          <w:divBdr>
            <w:top w:val="none" w:sz="0" w:space="0" w:color="auto"/>
            <w:left w:val="none" w:sz="0" w:space="0" w:color="auto"/>
            <w:bottom w:val="none" w:sz="0" w:space="0" w:color="auto"/>
            <w:right w:val="none" w:sz="0" w:space="0" w:color="auto"/>
          </w:divBdr>
        </w:div>
        <w:div w:id="1710911939">
          <w:marLeft w:val="640"/>
          <w:marRight w:val="0"/>
          <w:marTop w:val="0"/>
          <w:marBottom w:val="0"/>
          <w:divBdr>
            <w:top w:val="none" w:sz="0" w:space="0" w:color="auto"/>
            <w:left w:val="none" w:sz="0" w:space="0" w:color="auto"/>
            <w:bottom w:val="none" w:sz="0" w:space="0" w:color="auto"/>
            <w:right w:val="none" w:sz="0" w:space="0" w:color="auto"/>
          </w:divBdr>
        </w:div>
        <w:div w:id="881479181">
          <w:marLeft w:val="640"/>
          <w:marRight w:val="0"/>
          <w:marTop w:val="0"/>
          <w:marBottom w:val="0"/>
          <w:divBdr>
            <w:top w:val="none" w:sz="0" w:space="0" w:color="auto"/>
            <w:left w:val="none" w:sz="0" w:space="0" w:color="auto"/>
            <w:bottom w:val="none" w:sz="0" w:space="0" w:color="auto"/>
            <w:right w:val="none" w:sz="0" w:space="0" w:color="auto"/>
          </w:divBdr>
        </w:div>
        <w:div w:id="547765378">
          <w:marLeft w:val="640"/>
          <w:marRight w:val="0"/>
          <w:marTop w:val="0"/>
          <w:marBottom w:val="0"/>
          <w:divBdr>
            <w:top w:val="none" w:sz="0" w:space="0" w:color="auto"/>
            <w:left w:val="none" w:sz="0" w:space="0" w:color="auto"/>
            <w:bottom w:val="none" w:sz="0" w:space="0" w:color="auto"/>
            <w:right w:val="none" w:sz="0" w:space="0" w:color="auto"/>
          </w:divBdr>
        </w:div>
        <w:div w:id="161240145">
          <w:marLeft w:val="640"/>
          <w:marRight w:val="0"/>
          <w:marTop w:val="0"/>
          <w:marBottom w:val="0"/>
          <w:divBdr>
            <w:top w:val="none" w:sz="0" w:space="0" w:color="auto"/>
            <w:left w:val="none" w:sz="0" w:space="0" w:color="auto"/>
            <w:bottom w:val="none" w:sz="0" w:space="0" w:color="auto"/>
            <w:right w:val="none" w:sz="0" w:space="0" w:color="auto"/>
          </w:divBdr>
        </w:div>
        <w:div w:id="652564019">
          <w:marLeft w:val="640"/>
          <w:marRight w:val="0"/>
          <w:marTop w:val="0"/>
          <w:marBottom w:val="0"/>
          <w:divBdr>
            <w:top w:val="none" w:sz="0" w:space="0" w:color="auto"/>
            <w:left w:val="none" w:sz="0" w:space="0" w:color="auto"/>
            <w:bottom w:val="none" w:sz="0" w:space="0" w:color="auto"/>
            <w:right w:val="none" w:sz="0" w:space="0" w:color="auto"/>
          </w:divBdr>
        </w:div>
        <w:div w:id="1577980407">
          <w:marLeft w:val="640"/>
          <w:marRight w:val="0"/>
          <w:marTop w:val="0"/>
          <w:marBottom w:val="0"/>
          <w:divBdr>
            <w:top w:val="none" w:sz="0" w:space="0" w:color="auto"/>
            <w:left w:val="none" w:sz="0" w:space="0" w:color="auto"/>
            <w:bottom w:val="none" w:sz="0" w:space="0" w:color="auto"/>
            <w:right w:val="none" w:sz="0" w:space="0" w:color="auto"/>
          </w:divBdr>
        </w:div>
        <w:div w:id="1651519999">
          <w:marLeft w:val="640"/>
          <w:marRight w:val="0"/>
          <w:marTop w:val="0"/>
          <w:marBottom w:val="0"/>
          <w:divBdr>
            <w:top w:val="none" w:sz="0" w:space="0" w:color="auto"/>
            <w:left w:val="none" w:sz="0" w:space="0" w:color="auto"/>
            <w:bottom w:val="none" w:sz="0" w:space="0" w:color="auto"/>
            <w:right w:val="none" w:sz="0" w:space="0" w:color="auto"/>
          </w:divBdr>
        </w:div>
        <w:div w:id="937059324">
          <w:marLeft w:val="640"/>
          <w:marRight w:val="0"/>
          <w:marTop w:val="0"/>
          <w:marBottom w:val="0"/>
          <w:divBdr>
            <w:top w:val="none" w:sz="0" w:space="0" w:color="auto"/>
            <w:left w:val="none" w:sz="0" w:space="0" w:color="auto"/>
            <w:bottom w:val="none" w:sz="0" w:space="0" w:color="auto"/>
            <w:right w:val="none" w:sz="0" w:space="0" w:color="auto"/>
          </w:divBdr>
        </w:div>
        <w:div w:id="329869700">
          <w:marLeft w:val="640"/>
          <w:marRight w:val="0"/>
          <w:marTop w:val="0"/>
          <w:marBottom w:val="0"/>
          <w:divBdr>
            <w:top w:val="none" w:sz="0" w:space="0" w:color="auto"/>
            <w:left w:val="none" w:sz="0" w:space="0" w:color="auto"/>
            <w:bottom w:val="none" w:sz="0" w:space="0" w:color="auto"/>
            <w:right w:val="none" w:sz="0" w:space="0" w:color="auto"/>
          </w:divBdr>
        </w:div>
        <w:div w:id="795876796">
          <w:marLeft w:val="640"/>
          <w:marRight w:val="0"/>
          <w:marTop w:val="0"/>
          <w:marBottom w:val="0"/>
          <w:divBdr>
            <w:top w:val="none" w:sz="0" w:space="0" w:color="auto"/>
            <w:left w:val="none" w:sz="0" w:space="0" w:color="auto"/>
            <w:bottom w:val="none" w:sz="0" w:space="0" w:color="auto"/>
            <w:right w:val="none" w:sz="0" w:space="0" w:color="auto"/>
          </w:divBdr>
        </w:div>
        <w:div w:id="8801658">
          <w:marLeft w:val="640"/>
          <w:marRight w:val="0"/>
          <w:marTop w:val="0"/>
          <w:marBottom w:val="0"/>
          <w:divBdr>
            <w:top w:val="none" w:sz="0" w:space="0" w:color="auto"/>
            <w:left w:val="none" w:sz="0" w:space="0" w:color="auto"/>
            <w:bottom w:val="none" w:sz="0" w:space="0" w:color="auto"/>
            <w:right w:val="none" w:sz="0" w:space="0" w:color="auto"/>
          </w:divBdr>
        </w:div>
        <w:div w:id="1377973250">
          <w:marLeft w:val="640"/>
          <w:marRight w:val="0"/>
          <w:marTop w:val="0"/>
          <w:marBottom w:val="0"/>
          <w:divBdr>
            <w:top w:val="none" w:sz="0" w:space="0" w:color="auto"/>
            <w:left w:val="none" w:sz="0" w:space="0" w:color="auto"/>
            <w:bottom w:val="none" w:sz="0" w:space="0" w:color="auto"/>
            <w:right w:val="none" w:sz="0" w:space="0" w:color="auto"/>
          </w:divBdr>
        </w:div>
        <w:div w:id="1474954855">
          <w:marLeft w:val="640"/>
          <w:marRight w:val="0"/>
          <w:marTop w:val="0"/>
          <w:marBottom w:val="0"/>
          <w:divBdr>
            <w:top w:val="none" w:sz="0" w:space="0" w:color="auto"/>
            <w:left w:val="none" w:sz="0" w:space="0" w:color="auto"/>
            <w:bottom w:val="none" w:sz="0" w:space="0" w:color="auto"/>
            <w:right w:val="none" w:sz="0" w:space="0" w:color="auto"/>
          </w:divBdr>
        </w:div>
        <w:div w:id="1527333012">
          <w:marLeft w:val="640"/>
          <w:marRight w:val="0"/>
          <w:marTop w:val="0"/>
          <w:marBottom w:val="0"/>
          <w:divBdr>
            <w:top w:val="none" w:sz="0" w:space="0" w:color="auto"/>
            <w:left w:val="none" w:sz="0" w:space="0" w:color="auto"/>
            <w:bottom w:val="none" w:sz="0" w:space="0" w:color="auto"/>
            <w:right w:val="none" w:sz="0" w:space="0" w:color="auto"/>
          </w:divBdr>
        </w:div>
        <w:div w:id="1610233858">
          <w:marLeft w:val="640"/>
          <w:marRight w:val="0"/>
          <w:marTop w:val="0"/>
          <w:marBottom w:val="0"/>
          <w:divBdr>
            <w:top w:val="none" w:sz="0" w:space="0" w:color="auto"/>
            <w:left w:val="none" w:sz="0" w:space="0" w:color="auto"/>
            <w:bottom w:val="none" w:sz="0" w:space="0" w:color="auto"/>
            <w:right w:val="none" w:sz="0" w:space="0" w:color="auto"/>
          </w:divBdr>
        </w:div>
        <w:div w:id="2081245469">
          <w:marLeft w:val="640"/>
          <w:marRight w:val="0"/>
          <w:marTop w:val="0"/>
          <w:marBottom w:val="0"/>
          <w:divBdr>
            <w:top w:val="none" w:sz="0" w:space="0" w:color="auto"/>
            <w:left w:val="none" w:sz="0" w:space="0" w:color="auto"/>
            <w:bottom w:val="none" w:sz="0" w:space="0" w:color="auto"/>
            <w:right w:val="none" w:sz="0" w:space="0" w:color="auto"/>
          </w:divBdr>
        </w:div>
        <w:div w:id="1031342722">
          <w:marLeft w:val="640"/>
          <w:marRight w:val="0"/>
          <w:marTop w:val="0"/>
          <w:marBottom w:val="0"/>
          <w:divBdr>
            <w:top w:val="none" w:sz="0" w:space="0" w:color="auto"/>
            <w:left w:val="none" w:sz="0" w:space="0" w:color="auto"/>
            <w:bottom w:val="none" w:sz="0" w:space="0" w:color="auto"/>
            <w:right w:val="none" w:sz="0" w:space="0" w:color="auto"/>
          </w:divBdr>
        </w:div>
        <w:div w:id="861472951">
          <w:marLeft w:val="640"/>
          <w:marRight w:val="0"/>
          <w:marTop w:val="0"/>
          <w:marBottom w:val="0"/>
          <w:divBdr>
            <w:top w:val="none" w:sz="0" w:space="0" w:color="auto"/>
            <w:left w:val="none" w:sz="0" w:space="0" w:color="auto"/>
            <w:bottom w:val="none" w:sz="0" w:space="0" w:color="auto"/>
            <w:right w:val="none" w:sz="0" w:space="0" w:color="auto"/>
          </w:divBdr>
        </w:div>
        <w:div w:id="667101214">
          <w:marLeft w:val="640"/>
          <w:marRight w:val="0"/>
          <w:marTop w:val="0"/>
          <w:marBottom w:val="0"/>
          <w:divBdr>
            <w:top w:val="none" w:sz="0" w:space="0" w:color="auto"/>
            <w:left w:val="none" w:sz="0" w:space="0" w:color="auto"/>
            <w:bottom w:val="none" w:sz="0" w:space="0" w:color="auto"/>
            <w:right w:val="none" w:sz="0" w:space="0" w:color="auto"/>
          </w:divBdr>
        </w:div>
        <w:div w:id="901868884">
          <w:marLeft w:val="640"/>
          <w:marRight w:val="0"/>
          <w:marTop w:val="0"/>
          <w:marBottom w:val="0"/>
          <w:divBdr>
            <w:top w:val="none" w:sz="0" w:space="0" w:color="auto"/>
            <w:left w:val="none" w:sz="0" w:space="0" w:color="auto"/>
            <w:bottom w:val="none" w:sz="0" w:space="0" w:color="auto"/>
            <w:right w:val="none" w:sz="0" w:space="0" w:color="auto"/>
          </w:divBdr>
        </w:div>
        <w:div w:id="1061514829">
          <w:marLeft w:val="640"/>
          <w:marRight w:val="0"/>
          <w:marTop w:val="0"/>
          <w:marBottom w:val="0"/>
          <w:divBdr>
            <w:top w:val="none" w:sz="0" w:space="0" w:color="auto"/>
            <w:left w:val="none" w:sz="0" w:space="0" w:color="auto"/>
            <w:bottom w:val="none" w:sz="0" w:space="0" w:color="auto"/>
            <w:right w:val="none" w:sz="0" w:space="0" w:color="auto"/>
          </w:divBdr>
        </w:div>
        <w:div w:id="933828722">
          <w:marLeft w:val="640"/>
          <w:marRight w:val="0"/>
          <w:marTop w:val="0"/>
          <w:marBottom w:val="0"/>
          <w:divBdr>
            <w:top w:val="none" w:sz="0" w:space="0" w:color="auto"/>
            <w:left w:val="none" w:sz="0" w:space="0" w:color="auto"/>
            <w:bottom w:val="none" w:sz="0" w:space="0" w:color="auto"/>
            <w:right w:val="none" w:sz="0" w:space="0" w:color="auto"/>
          </w:divBdr>
        </w:div>
        <w:div w:id="976304878">
          <w:marLeft w:val="640"/>
          <w:marRight w:val="0"/>
          <w:marTop w:val="0"/>
          <w:marBottom w:val="0"/>
          <w:divBdr>
            <w:top w:val="none" w:sz="0" w:space="0" w:color="auto"/>
            <w:left w:val="none" w:sz="0" w:space="0" w:color="auto"/>
            <w:bottom w:val="none" w:sz="0" w:space="0" w:color="auto"/>
            <w:right w:val="none" w:sz="0" w:space="0" w:color="auto"/>
          </w:divBdr>
        </w:div>
        <w:div w:id="1557013515">
          <w:marLeft w:val="640"/>
          <w:marRight w:val="0"/>
          <w:marTop w:val="0"/>
          <w:marBottom w:val="0"/>
          <w:divBdr>
            <w:top w:val="none" w:sz="0" w:space="0" w:color="auto"/>
            <w:left w:val="none" w:sz="0" w:space="0" w:color="auto"/>
            <w:bottom w:val="none" w:sz="0" w:space="0" w:color="auto"/>
            <w:right w:val="none" w:sz="0" w:space="0" w:color="auto"/>
          </w:divBdr>
        </w:div>
        <w:div w:id="1131361490">
          <w:marLeft w:val="640"/>
          <w:marRight w:val="0"/>
          <w:marTop w:val="0"/>
          <w:marBottom w:val="0"/>
          <w:divBdr>
            <w:top w:val="none" w:sz="0" w:space="0" w:color="auto"/>
            <w:left w:val="none" w:sz="0" w:space="0" w:color="auto"/>
            <w:bottom w:val="none" w:sz="0" w:space="0" w:color="auto"/>
            <w:right w:val="none" w:sz="0" w:space="0" w:color="auto"/>
          </w:divBdr>
        </w:div>
        <w:div w:id="1282616216">
          <w:marLeft w:val="640"/>
          <w:marRight w:val="0"/>
          <w:marTop w:val="0"/>
          <w:marBottom w:val="0"/>
          <w:divBdr>
            <w:top w:val="none" w:sz="0" w:space="0" w:color="auto"/>
            <w:left w:val="none" w:sz="0" w:space="0" w:color="auto"/>
            <w:bottom w:val="none" w:sz="0" w:space="0" w:color="auto"/>
            <w:right w:val="none" w:sz="0" w:space="0" w:color="auto"/>
          </w:divBdr>
        </w:div>
        <w:div w:id="454493004">
          <w:marLeft w:val="640"/>
          <w:marRight w:val="0"/>
          <w:marTop w:val="0"/>
          <w:marBottom w:val="0"/>
          <w:divBdr>
            <w:top w:val="none" w:sz="0" w:space="0" w:color="auto"/>
            <w:left w:val="none" w:sz="0" w:space="0" w:color="auto"/>
            <w:bottom w:val="none" w:sz="0" w:space="0" w:color="auto"/>
            <w:right w:val="none" w:sz="0" w:space="0" w:color="auto"/>
          </w:divBdr>
        </w:div>
        <w:div w:id="52044009">
          <w:marLeft w:val="640"/>
          <w:marRight w:val="0"/>
          <w:marTop w:val="0"/>
          <w:marBottom w:val="0"/>
          <w:divBdr>
            <w:top w:val="none" w:sz="0" w:space="0" w:color="auto"/>
            <w:left w:val="none" w:sz="0" w:space="0" w:color="auto"/>
            <w:bottom w:val="none" w:sz="0" w:space="0" w:color="auto"/>
            <w:right w:val="none" w:sz="0" w:space="0" w:color="auto"/>
          </w:divBdr>
        </w:div>
        <w:div w:id="1853956111">
          <w:marLeft w:val="640"/>
          <w:marRight w:val="0"/>
          <w:marTop w:val="0"/>
          <w:marBottom w:val="0"/>
          <w:divBdr>
            <w:top w:val="none" w:sz="0" w:space="0" w:color="auto"/>
            <w:left w:val="none" w:sz="0" w:space="0" w:color="auto"/>
            <w:bottom w:val="none" w:sz="0" w:space="0" w:color="auto"/>
            <w:right w:val="none" w:sz="0" w:space="0" w:color="auto"/>
          </w:divBdr>
        </w:div>
        <w:div w:id="325591673">
          <w:marLeft w:val="640"/>
          <w:marRight w:val="0"/>
          <w:marTop w:val="0"/>
          <w:marBottom w:val="0"/>
          <w:divBdr>
            <w:top w:val="none" w:sz="0" w:space="0" w:color="auto"/>
            <w:left w:val="none" w:sz="0" w:space="0" w:color="auto"/>
            <w:bottom w:val="none" w:sz="0" w:space="0" w:color="auto"/>
            <w:right w:val="none" w:sz="0" w:space="0" w:color="auto"/>
          </w:divBdr>
        </w:div>
        <w:div w:id="1523668031">
          <w:marLeft w:val="640"/>
          <w:marRight w:val="0"/>
          <w:marTop w:val="0"/>
          <w:marBottom w:val="0"/>
          <w:divBdr>
            <w:top w:val="none" w:sz="0" w:space="0" w:color="auto"/>
            <w:left w:val="none" w:sz="0" w:space="0" w:color="auto"/>
            <w:bottom w:val="none" w:sz="0" w:space="0" w:color="auto"/>
            <w:right w:val="none" w:sz="0" w:space="0" w:color="auto"/>
          </w:divBdr>
        </w:div>
        <w:div w:id="779253380">
          <w:marLeft w:val="640"/>
          <w:marRight w:val="0"/>
          <w:marTop w:val="0"/>
          <w:marBottom w:val="0"/>
          <w:divBdr>
            <w:top w:val="none" w:sz="0" w:space="0" w:color="auto"/>
            <w:left w:val="none" w:sz="0" w:space="0" w:color="auto"/>
            <w:bottom w:val="none" w:sz="0" w:space="0" w:color="auto"/>
            <w:right w:val="none" w:sz="0" w:space="0" w:color="auto"/>
          </w:divBdr>
        </w:div>
        <w:div w:id="1217619512">
          <w:marLeft w:val="640"/>
          <w:marRight w:val="0"/>
          <w:marTop w:val="0"/>
          <w:marBottom w:val="0"/>
          <w:divBdr>
            <w:top w:val="none" w:sz="0" w:space="0" w:color="auto"/>
            <w:left w:val="none" w:sz="0" w:space="0" w:color="auto"/>
            <w:bottom w:val="none" w:sz="0" w:space="0" w:color="auto"/>
            <w:right w:val="none" w:sz="0" w:space="0" w:color="auto"/>
          </w:divBdr>
        </w:div>
        <w:div w:id="1475637537">
          <w:marLeft w:val="640"/>
          <w:marRight w:val="0"/>
          <w:marTop w:val="0"/>
          <w:marBottom w:val="0"/>
          <w:divBdr>
            <w:top w:val="none" w:sz="0" w:space="0" w:color="auto"/>
            <w:left w:val="none" w:sz="0" w:space="0" w:color="auto"/>
            <w:bottom w:val="none" w:sz="0" w:space="0" w:color="auto"/>
            <w:right w:val="none" w:sz="0" w:space="0" w:color="auto"/>
          </w:divBdr>
        </w:div>
        <w:div w:id="1236622965">
          <w:marLeft w:val="640"/>
          <w:marRight w:val="0"/>
          <w:marTop w:val="0"/>
          <w:marBottom w:val="0"/>
          <w:divBdr>
            <w:top w:val="none" w:sz="0" w:space="0" w:color="auto"/>
            <w:left w:val="none" w:sz="0" w:space="0" w:color="auto"/>
            <w:bottom w:val="none" w:sz="0" w:space="0" w:color="auto"/>
            <w:right w:val="none" w:sz="0" w:space="0" w:color="auto"/>
          </w:divBdr>
        </w:div>
        <w:div w:id="1836993017">
          <w:marLeft w:val="640"/>
          <w:marRight w:val="0"/>
          <w:marTop w:val="0"/>
          <w:marBottom w:val="0"/>
          <w:divBdr>
            <w:top w:val="none" w:sz="0" w:space="0" w:color="auto"/>
            <w:left w:val="none" w:sz="0" w:space="0" w:color="auto"/>
            <w:bottom w:val="none" w:sz="0" w:space="0" w:color="auto"/>
            <w:right w:val="none" w:sz="0" w:space="0" w:color="auto"/>
          </w:divBdr>
        </w:div>
        <w:div w:id="300577511">
          <w:marLeft w:val="640"/>
          <w:marRight w:val="0"/>
          <w:marTop w:val="0"/>
          <w:marBottom w:val="0"/>
          <w:divBdr>
            <w:top w:val="none" w:sz="0" w:space="0" w:color="auto"/>
            <w:left w:val="none" w:sz="0" w:space="0" w:color="auto"/>
            <w:bottom w:val="none" w:sz="0" w:space="0" w:color="auto"/>
            <w:right w:val="none" w:sz="0" w:space="0" w:color="auto"/>
          </w:divBdr>
        </w:div>
        <w:div w:id="2126924873">
          <w:marLeft w:val="640"/>
          <w:marRight w:val="0"/>
          <w:marTop w:val="0"/>
          <w:marBottom w:val="0"/>
          <w:divBdr>
            <w:top w:val="none" w:sz="0" w:space="0" w:color="auto"/>
            <w:left w:val="none" w:sz="0" w:space="0" w:color="auto"/>
            <w:bottom w:val="none" w:sz="0" w:space="0" w:color="auto"/>
            <w:right w:val="none" w:sz="0" w:space="0" w:color="auto"/>
          </w:divBdr>
        </w:div>
        <w:div w:id="609819300">
          <w:marLeft w:val="640"/>
          <w:marRight w:val="0"/>
          <w:marTop w:val="0"/>
          <w:marBottom w:val="0"/>
          <w:divBdr>
            <w:top w:val="none" w:sz="0" w:space="0" w:color="auto"/>
            <w:left w:val="none" w:sz="0" w:space="0" w:color="auto"/>
            <w:bottom w:val="none" w:sz="0" w:space="0" w:color="auto"/>
            <w:right w:val="none" w:sz="0" w:space="0" w:color="auto"/>
          </w:divBdr>
        </w:div>
        <w:div w:id="1119572491">
          <w:marLeft w:val="640"/>
          <w:marRight w:val="0"/>
          <w:marTop w:val="0"/>
          <w:marBottom w:val="0"/>
          <w:divBdr>
            <w:top w:val="none" w:sz="0" w:space="0" w:color="auto"/>
            <w:left w:val="none" w:sz="0" w:space="0" w:color="auto"/>
            <w:bottom w:val="none" w:sz="0" w:space="0" w:color="auto"/>
            <w:right w:val="none" w:sz="0" w:space="0" w:color="auto"/>
          </w:divBdr>
        </w:div>
        <w:div w:id="1348367101">
          <w:marLeft w:val="640"/>
          <w:marRight w:val="0"/>
          <w:marTop w:val="0"/>
          <w:marBottom w:val="0"/>
          <w:divBdr>
            <w:top w:val="none" w:sz="0" w:space="0" w:color="auto"/>
            <w:left w:val="none" w:sz="0" w:space="0" w:color="auto"/>
            <w:bottom w:val="none" w:sz="0" w:space="0" w:color="auto"/>
            <w:right w:val="none" w:sz="0" w:space="0" w:color="auto"/>
          </w:divBdr>
        </w:div>
        <w:div w:id="1950238768">
          <w:marLeft w:val="640"/>
          <w:marRight w:val="0"/>
          <w:marTop w:val="0"/>
          <w:marBottom w:val="0"/>
          <w:divBdr>
            <w:top w:val="none" w:sz="0" w:space="0" w:color="auto"/>
            <w:left w:val="none" w:sz="0" w:space="0" w:color="auto"/>
            <w:bottom w:val="none" w:sz="0" w:space="0" w:color="auto"/>
            <w:right w:val="none" w:sz="0" w:space="0" w:color="auto"/>
          </w:divBdr>
        </w:div>
        <w:div w:id="315687108">
          <w:marLeft w:val="640"/>
          <w:marRight w:val="0"/>
          <w:marTop w:val="0"/>
          <w:marBottom w:val="0"/>
          <w:divBdr>
            <w:top w:val="none" w:sz="0" w:space="0" w:color="auto"/>
            <w:left w:val="none" w:sz="0" w:space="0" w:color="auto"/>
            <w:bottom w:val="none" w:sz="0" w:space="0" w:color="auto"/>
            <w:right w:val="none" w:sz="0" w:space="0" w:color="auto"/>
          </w:divBdr>
        </w:div>
        <w:div w:id="273102931">
          <w:marLeft w:val="640"/>
          <w:marRight w:val="0"/>
          <w:marTop w:val="0"/>
          <w:marBottom w:val="0"/>
          <w:divBdr>
            <w:top w:val="none" w:sz="0" w:space="0" w:color="auto"/>
            <w:left w:val="none" w:sz="0" w:space="0" w:color="auto"/>
            <w:bottom w:val="none" w:sz="0" w:space="0" w:color="auto"/>
            <w:right w:val="none" w:sz="0" w:space="0" w:color="auto"/>
          </w:divBdr>
        </w:div>
        <w:div w:id="1133403966">
          <w:marLeft w:val="640"/>
          <w:marRight w:val="0"/>
          <w:marTop w:val="0"/>
          <w:marBottom w:val="0"/>
          <w:divBdr>
            <w:top w:val="none" w:sz="0" w:space="0" w:color="auto"/>
            <w:left w:val="none" w:sz="0" w:space="0" w:color="auto"/>
            <w:bottom w:val="none" w:sz="0" w:space="0" w:color="auto"/>
            <w:right w:val="none" w:sz="0" w:space="0" w:color="auto"/>
          </w:divBdr>
        </w:div>
        <w:div w:id="1597787464">
          <w:marLeft w:val="640"/>
          <w:marRight w:val="0"/>
          <w:marTop w:val="0"/>
          <w:marBottom w:val="0"/>
          <w:divBdr>
            <w:top w:val="none" w:sz="0" w:space="0" w:color="auto"/>
            <w:left w:val="none" w:sz="0" w:space="0" w:color="auto"/>
            <w:bottom w:val="none" w:sz="0" w:space="0" w:color="auto"/>
            <w:right w:val="none" w:sz="0" w:space="0" w:color="auto"/>
          </w:divBdr>
        </w:div>
        <w:div w:id="279650412">
          <w:marLeft w:val="640"/>
          <w:marRight w:val="0"/>
          <w:marTop w:val="0"/>
          <w:marBottom w:val="0"/>
          <w:divBdr>
            <w:top w:val="none" w:sz="0" w:space="0" w:color="auto"/>
            <w:left w:val="none" w:sz="0" w:space="0" w:color="auto"/>
            <w:bottom w:val="none" w:sz="0" w:space="0" w:color="auto"/>
            <w:right w:val="none" w:sz="0" w:space="0" w:color="auto"/>
          </w:divBdr>
        </w:div>
        <w:div w:id="318770460">
          <w:marLeft w:val="640"/>
          <w:marRight w:val="0"/>
          <w:marTop w:val="0"/>
          <w:marBottom w:val="0"/>
          <w:divBdr>
            <w:top w:val="none" w:sz="0" w:space="0" w:color="auto"/>
            <w:left w:val="none" w:sz="0" w:space="0" w:color="auto"/>
            <w:bottom w:val="none" w:sz="0" w:space="0" w:color="auto"/>
            <w:right w:val="none" w:sz="0" w:space="0" w:color="auto"/>
          </w:divBdr>
        </w:div>
        <w:div w:id="286788316">
          <w:marLeft w:val="640"/>
          <w:marRight w:val="0"/>
          <w:marTop w:val="0"/>
          <w:marBottom w:val="0"/>
          <w:divBdr>
            <w:top w:val="none" w:sz="0" w:space="0" w:color="auto"/>
            <w:left w:val="none" w:sz="0" w:space="0" w:color="auto"/>
            <w:bottom w:val="none" w:sz="0" w:space="0" w:color="auto"/>
            <w:right w:val="none" w:sz="0" w:space="0" w:color="auto"/>
          </w:divBdr>
        </w:div>
        <w:div w:id="1757745503">
          <w:marLeft w:val="640"/>
          <w:marRight w:val="0"/>
          <w:marTop w:val="0"/>
          <w:marBottom w:val="0"/>
          <w:divBdr>
            <w:top w:val="none" w:sz="0" w:space="0" w:color="auto"/>
            <w:left w:val="none" w:sz="0" w:space="0" w:color="auto"/>
            <w:bottom w:val="none" w:sz="0" w:space="0" w:color="auto"/>
            <w:right w:val="none" w:sz="0" w:space="0" w:color="auto"/>
          </w:divBdr>
        </w:div>
        <w:div w:id="2086219202">
          <w:marLeft w:val="640"/>
          <w:marRight w:val="0"/>
          <w:marTop w:val="0"/>
          <w:marBottom w:val="0"/>
          <w:divBdr>
            <w:top w:val="none" w:sz="0" w:space="0" w:color="auto"/>
            <w:left w:val="none" w:sz="0" w:space="0" w:color="auto"/>
            <w:bottom w:val="none" w:sz="0" w:space="0" w:color="auto"/>
            <w:right w:val="none" w:sz="0" w:space="0" w:color="auto"/>
          </w:divBdr>
        </w:div>
        <w:div w:id="1570339144">
          <w:marLeft w:val="640"/>
          <w:marRight w:val="0"/>
          <w:marTop w:val="0"/>
          <w:marBottom w:val="0"/>
          <w:divBdr>
            <w:top w:val="none" w:sz="0" w:space="0" w:color="auto"/>
            <w:left w:val="none" w:sz="0" w:space="0" w:color="auto"/>
            <w:bottom w:val="none" w:sz="0" w:space="0" w:color="auto"/>
            <w:right w:val="none" w:sz="0" w:space="0" w:color="auto"/>
          </w:divBdr>
        </w:div>
        <w:div w:id="1132402883">
          <w:marLeft w:val="640"/>
          <w:marRight w:val="0"/>
          <w:marTop w:val="0"/>
          <w:marBottom w:val="0"/>
          <w:divBdr>
            <w:top w:val="none" w:sz="0" w:space="0" w:color="auto"/>
            <w:left w:val="none" w:sz="0" w:space="0" w:color="auto"/>
            <w:bottom w:val="none" w:sz="0" w:space="0" w:color="auto"/>
            <w:right w:val="none" w:sz="0" w:space="0" w:color="auto"/>
          </w:divBdr>
        </w:div>
        <w:div w:id="1525292734">
          <w:marLeft w:val="640"/>
          <w:marRight w:val="0"/>
          <w:marTop w:val="0"/>
          <w:marBottom w:val="0"/>
          <w:divBdr>
            <w:top w:val="none" w:sz="0" w:space="0" w:color="auto"/>
            <w:left w:val="none" w:sz="0" w:space="0" w:color="auto"/>
            <w:bottom w:val="none" w:sz="0" w:space="0" w:color="auto"/>
            <w:right w:val="none" w:sz="0" w:space="0" w:color="auto"/>
          </w:divBdr>
        </w:div>
        <w:div w:id="714887663">
          <w:marLeft w:val="640"/>
          <w:marRight w:val="0"/>
          <w:marTop w:val="0"/>
          <w:marBottom w:val="0"/>
          <w:divBdr>
            <w:top w:val="none" w:sz="0" w:space="0" w:color="auto"/>
            <w:left w:val="none" w:sz="0" w:space="0" w:color="auto"/>
            <w:bottom w:val="none" w:sz="0" w:space="0" w:color="auto"/>
            <w:right w:val="none" w:sz="0" w:space="0" w:color="auto"/>
          </w:divBdr>
        </w:div>
        <w:div w:id="1205674733">
          <w:marLeft w:val="640"/>
          <w:marRight w:val="0"/>
          <w:marTop w:val="0"/>
          <w:marBottom w:val="0"/>
          <w:divBdr>
            <w:top w:val="none" w:sz="0" w:space="0" w:color="auto"/>
            <w:left w:val="none" w:sz="0" w:space="0" w:color="auto"/>
            <w:bottom w:val="none" w:sz="0" w:space="0" w:color="auto"/>
            <w:right w:val="none" w:sz="0" w:space="0" w:color="auto"/>
          </w:divBdr>
        </w:div>
        <w:div w:id="1936786546">
          <w:marLeft w:val="640"/>
          <w:marRight w:val="0"/>
          <w:marTop w:val="0"/>
          <w:marBottom w:val="0"/>
          <w:divBdr>
            <w:top w:val="none" w:sz="0" w:space="0" w:color="auto"/>
            <w:left w:val="none" w:sz="0" w:space="0" w:color="auto"/>
            <w:bottom w:val="none" w:sz="0" w:space="0" w:color="auto"/>
            <w:right w:val="none" w:sz="0" w:space="0" w:color="auto"/>
          </w:divBdr>
        </w:div>
        <w:div w:id="790704014">
          <w:marLeft w:val="640"/>
          <w:marRight w:val="0"/>
          <w:marTop w:val="0"/>
          <w:marBottom w:val="0"/>
          <w:divBdr>
            <w:top w:val="none" w:sz="0" w:space="0" w:color="auto"/>
            <w:left w:val="none" w:sz="0" w:space="0" w:color="auto"/>
            <w:bottom w:val="none" w:sz="0" w:space="0" w:color="auto"/>
            <w:right w:val="none" w:sz="0" w:space="0" w:color="auto"/>
          </w:divBdr>
        </w:div>
        <w:div w:id="761340846">
          <w:marLeft w:val="640"/>
          <w:marRight w:val="0"/>
          <w:marTop w:val="0"/>
          <w:marBottom w:val="0"/>
          <w:divBdr>
            <w:top w:val="none" w:sz="0" w:space="0" w:color="auto"/>
            <w:left w:val="none" w:sz="0" w:space="0" w:color="auto"/>
            <w:bottom w:val="none" w:sz="0" w:space="0" w:color="auto"/>
            <w:right w:val="none" w:sz="0" w:space="0" w:color="auto"/>
          </w:divBdr>
        </w:div>
        <w:div w:id="1178883913">
          <w:marLeft w:val="640"/>
          <w:marRight w:val="0"/>
          <w:marTop w:val="0"/>
          <w:marBottom w:val="0"/>
          <w:divBdr>
            <w:top w:val="none" w:sz="0" w:space="0" w:color="auto"/>
            <w:left w:val="none" w:sz="0" w:space="0" w:color="auto"/>
            <w:bottom w:val="none" w:sz="0" w:space="0" w:color="auto"/>
            <w:right w:val="none" w:sz="0" w:space="0" w:color="auto"/>
          </w:divBdr>
        </w:div>
        <w:div w:id="1635867779">
          <w:marLeft w:val="640"/>
          <w:marRight w:val="0"/>
          <w:marTop w:val="0"/>
          <w:marBottom w:val="0"/>
          <w:divBdr>
            <w:top w:val="none" w:sz="0" w:space="0" w:color="auto"/>
            <w:left w:val="none" w:sz="0" w:space="0" w:color="auto"/>
            <w:bottom w:val="none" w:sz="0" w:space="0" w:color="auto"/>
            <w:right w:val="none" w:sz="0" w:space="0" w:color="auto"/>
          </w:divBdr>
        </w:div>
        <w:div w:id="1683816975">
          <w:marLeft w:val="640"/>
          <w:marRight w:val="0"/>
          <w:marTop w:val="0"/>
          <w:marBottom w:val="0"/>
          <w:divBdr>
            <w:top w:val="none" w:sz="0" w:space="0" w:color="auto"/>
            <w:left w:val="none" w:sz="0" w:space="0" w:color="auto"/>
            <w:bottom w:val="none" w:sz="0" w:space="0" w:color="auto"/>
            <w:right w:val="none" w:sz="0" w:space="0" w:color="auto"/>
          </w:divBdr>
        </w:div>
        <w:div w:id="540173790">
          <w:marLeft w:val="640"/>
          <w:marRight w:val="0"/>
          <w:marTop w:val="0"/>
          <w:marBottom w:val="0"/>
          <w:divBdr>
            <w:top w:val="none" w:sz="0" w:space="0" w:color="auto"/>
            <w:left w:val="none" w:sz="0" w:space="0" w:color="auto"/>
            <w:bottom w:val="none" w:sz="0" w:space="0" w:color="auto"/>
            <w:right w:val="none" w:sz="0" w:space="0" w:color="auto"/>
          </w:divBdr>
        </w:div>
        <w:div w:id="1559244338">
          <w:marLeft w:val="640"/>
          <w:marRight w:val="0"/>
          <w:marTop w:val="0"/>
          <w:marBottom w:val="0"/>
          <w:divBdr>
            <w:top w:val="none" w:sz="0" w:space="0" w:color="auto"/>
            <w:left w:val="none" w:sz="0" w:space="0" w:color="auto"/>
            <w:bottom w:val="none" w:sz="0" w:space="0" w:color="auto"/>
            <w:right w:val="none" w:sz="0" w:space="0" w:color="auto"/>
          </w:divBdr>
        </w:div>
        <w:div w:id="962661171">
          <w:marLeft w:val="640"/>
          <w:marRight w:val="0"/>
          <w:marTop w:val="0"/>
          <w:marBottom w:val="0"/>
          <w:divBdr>
            <w:top w:val="none" w:sz="0" w:space="0" w:color="auto"/>
            <w:left w:val="none" w:sz="0" w:space="0" w:color="auto"/>
            <w:bottom w:val="none" w:sz="0" w:space="0" w:color="auto"/>
            <w:right w:val="none" w:sz="0" w:space="0" w:color="auto"/>
          </w:divBdr>
        </w:div>
        <w:div w:id="559901774">
          <w:marLeft w:val="640"/>
          <w:marRight w:val="0"/>
          <w:marTop w:val="0"/>
          <w:marBottom w:val="0"/>
          <w:divBdr>
            <w:top w:val="none" w:sz="0" w:space="0" w:color="auto"/>
            <w:left w:val="none" w:sz="0" w:space="0" w:color="auto"/>
            <w:bottom w:val="none" w:sz="0" w:space="0" w:color="auto"/>
            <w:right w:val="none" w:sz="0" w:space="0" w:color="auto"/>
          </w:divBdr>
        </w:div>
        <w:div w:id="1350372909">
          <w:marLeft w:val="640"/>
          <w:marRight w:val="0"/>
          <w:marTop w:val="0"/>
          <w:marBottom w:val="0"/>
          <w:divBdr>
            <w:top w:val="none" w:sz="0" w:space="0" w:color="auto"/>
            <w:left w:val="none" w:sz="0" w:space="0" w:color="auto"/>
            <w:bottom w:val="none" w:sz="0" w:space="0" w:color="auto"/>
            <w:right w:val="none" w:sz="0" w:space="0" w:color="auto"/>
          </w:divBdr>
        </w:div>
        <w:div w:id="792292522">
          <w:marLeft w:val="640"/>
          <w:marRight w:val="0"/>
          <w:marTop w:val="0"/>
          <w:marBottom w:val="0"/>
          <w:divBdr>
            <w:top w:val="none" w:sz="0" w:space="0" w:color="auto"/>
            <w:left w:val="none" w:sz="0" w:space="0" w:color="auto"/>
            <w:bottom w:val="none" w:sz="0" w:space="0" w:color="auto"/>
            <w:right w:val="none" w:sz="0" w:space="0" w:color="auto"/>
          </w:divBdr>
        </w:div>
        <w:div w:id="562062188">
          <w:marLeft w:val="640"/>
          <w:marRight w:val="0"/>
          <w:marTop w:val="0"/>
          <w:marBottom w:val="0"/>
          <w:divBdr>
            <w:top w:val="none" w:sz="0" w:space="0" w:color="auto"/>
            <w:left w:val="none" w:sz="0" w:space="0" w:color="auto"/>
            <w:bottom w:val="none" w:sz="0" w:space="0" w:color="auto"/>
            <w:right w:val="none" w:sz="0" w:space="0" w:color="auto"/>
          </w:divBdr>
        </w:div>
        <w:div w:id="116728232">
          <w:marLeft w:val="640"/>
          <w:marRight w:val="0"/>
          <w:marTop w:val="0"/>
          <w:marBottom w:val="0"/>
          <w:divBdr>
            <w:top w:val="none" w:sz="0" w:space="0" w:color="auto"/>
            <w:left w:val="none" w:sz="0" w:space="0" w:color="auto"/>
            <w:bottom w:val="none" w:sz="0" w:space="0" w:color="auto"/>
            <w:right w:val="none" w:sz="0" w:space="0" w:color="auto"/>
          </w:divBdr>
        </w:div>
        <w:div w:id="1638292087">
          <w:marLeft w:val="640"/>
          <w:marRight w:val="0"/>
          <w:marTop w:val="0"/>
          <w:marBottom w:val="0"/>
          <w:divBdr>
            <w:top w:val="none" w:sz="0" w:space="0" w:color="auto"/>
            <w:left w:val="none" w:sz="0" w:space="0" w:color="auto"/>
            <w:bottom w:val="none" w:sz="0" w:space="0" w:color="auto"/>
            <w:right w:val="none" w:sz="0" w:space="0" w:color="auto"/>
          </w:divBdr>
        </w:div>
        <w:div w:id="1071465863">
          <w:marLeft w:val="640"/>
          <w:marRight w:val="0"/>
          <w:marTop w:val="0"/>
          <w:marBottom w:val="0"/>
          <w:divBdr>
            <w:top w:val="none" w:sz="0" w:space="0" w:color="auto"/>
            <w:left w:val="none" w:sz="0" w:space="0" w:color="auto"/>
            <w:bottom w:val="none" w:sz="0" w:space="0" w:color="auto"/>
            <w:right w:val="none" w:sz="0" w:space="0" w:color="auto"/>
          </w:divBdr>
        </w:div>
        <w:div w:id="360056956">
          <w:marLeft w:val="640"/>
          <w:marRight w:val="0"/>
          <w:marTop w:val="0"/>
          <w:marBottom w:val="0"/>
          <w:divBdr>
            <w:top w:val="none" w:sz="0" w:space="0" w:color="auto"/>
            <w:left w:val="none" w:sz="0" w:space="0" w:color="auto"/>
            <w:bottom w:val="none" w:sz="0" w:space="0" w:color="auto"/>
            <w:right w:val="none" w:sz="0" w:space="0" w:color="auto"/>
          </w:divBdr>
        </w:div>
        <w:div w:id="1443954836">
          <w:marLeft w:val="640"/>
          <w:marRight w:val="0"/>
          <w:marTop w:val="0"/>
          <w:marBottom w:val="0"/>
          <w:divBdr>
            <w:top w:val="none" w:sz="0" w:space="0" w:color="auto"/>
            <w:left w:val="none" w:sz="0" w:space="0" w:color="auto"/>
            <w:bottom w:val="none" w:sz="0" w:space="0" w:color="auto"/>
            <w:right w:val="none" w:sz="0" w:space="0" w:color="auto"/>
          </w:divBdr>
        </w:div>
        <w:div w:id="1931816627">
          <w:marLeft w:val="640"/>
          <w:marRight w:val="0"/>
          <w:marTop w:val="0"/>
          <w:marBottom w:val="0"/>
          <w:divBdr>
            <w:top w:val="none" w:sz="0" w:space="0" w:color="auto"/>
            <w:left w:val="none" w:sz="0" w:space="0" w:color="auto"/>
            <w:bottom w:val="none" w:sz="0" w:space="0" w:color="auto"/>
            <w:right w:val="none" w:sz="0" w:space="0" w:color="auto"/>
          </w:divBdr>
        </w:div>
        <w:div w:id="1369838759">
          <w:marLeft w:val="640"/>
          <w:marRight w:val="0"/>
          <w:marTop w:val="0"/>
          <w:marBottom w:val="0"/>
          <w:divBdr>
            <w:top w:val="none" w:sz="0" w:space="0" w:color="auto"/>
            <w:left w:val="none" w:sz="0" w:space="0" w:color="auto"/>
            <w:bottom w:val="none" w:sz="0" w:space="0" w:color="auto"/>
            <w:right w:val="none" w:sz="0" w:space="0" w:color="auto"/>
          </w:divBdr>
        </w:div>
        <w:div w:id="992414921">
          <w:marLeft w:val="640"/>
          <w:marRight w:val="0"/>
          <w:marTop w:val="0"/>
          <w:marBottom w:val="0"/>
          <w:divBdr>
            <w:top w:val="none" w:sz="0" w:space="0" w:color="auto"/>
            <w:left w:val="none" w:sz="0" w:space="0" w:color="auto"/>
            <w:bottom w:val="none" w:sz="0" w:space="0" w:color="auto"/>
            <w:right w:val="none" w:sz="0" w:space="0" w:color="auto"/>
          </w:divBdr>
        </w:div>
        <w:div w:id="1296062555">
          <w:marLeft w:val="640"/>
          <w:marRight w:val="0"/>
          <w:marTop w:val="0"/>
          <w:marBottom w:val="0"/>
          <w:divBdr>
            <w:top w:val="none" w:sz="0" w:space="0" w:color="auto"/>
            <w:left w:val="none" w:sz="0" w:space="0" w:color="auto"/>
            <w:bottom w:val="none" w:sz="0" w:space="0" w:color="auto"/>
            <w:right w:val="none" w:sz="0" w:space="0" w:color="auto"/>
          </w:divBdr>
        </w:div>
        <w:div w:id="1431315325">
          <w:marLeft w:val="640"/>
          <w:marRight w:val="0"/>
          <w:marTop w:val="0"/>
          <w:marBottom w:val="0"/>
          <w:divBdr>
            <w:top w:val="none" w:sz="0" w:space="0" w:color="auto"/>
            <w:left w:val="none" w:sz="0" w:space="0" w:color="auto"/>
            <w:bottom w:val="none" w:sz="0" w:space="0" w:color="auto"/>
            <w:right w:val="none" w:sz="0" w:space="0" w:color="auto"/>
          </w:divBdr>
        </w:div>
        <w:div w:id="772558536">
          <w:marLeft w:val="640"/>
          <w:marRight w:val="0"/>
          <w:marTop w:val="0"/>
          <w:marBottom w:val="0"/>
          <w:divBdr>
            <w:top w:val="none" w:sz="0" w:space="0" w:color="auto"/>
            <w:left w:val="none" w:sz="0" w:space="0" w:color="auto"/>
            <w:bottom w:val="none" w:sz="0" w:space="0" w:color="auto"/>
            <w:right w:val="none" w:sz="0" w:space="0" w:color="auto"/>
          </w:divBdr>
        </w:div>
        <w:div w:id="357897541">
          <w:marLeft w:val="640"/>
          <w:marRight w:val="0"/>
          <w:marTop w:val="0"/>
          <w:marBottom w:val="0"/>
          <w:divBdr>
            <w:top w:val="none" w:sz="0" w:space="0" w:color="auto"/>
            <w:left w:val="none" w:sz="0" w:space="0" w:color="auto"/>
            <w:bottom w:val="none" w:sz="0" w:space="0" w:color="auto"/>
            <w:right w:val="none" w:sz="0" w:space="0" w:color="auto"/>
          </w:divBdr>
        </w:div>
        <w:div w:id="704644801">
          <w:marLeft w:val="640"/>
          <w:marRight w:val="0"/>
          <w:marTop w:val="0"/>
          <w:marBottom w:val="0"/>
          <w:divBdr>
            <w:top w:val="none" w:sz="0" w:space="0" w:color="auto"/>
            <w:left w:val="none" w:sz="0" w:space="0" w:color="auto"/>
            <w:bottom w:val="none" w:sz="0" w:space="0" w:color="auto"/>
            <w:right w:val="none" w:sz="0" w:space="0" w:color="auto"/>
          </w:divBdr>
        </w:div>
        <w:div w:id="1623462661">
          <w:marLeft w:val="640"/>
          <w:marRight w:val="0"/>
          <w:marTop w:val="0"/>
          <w:marBottom w:val="0"/>
          <w:divBdr>
            <w:top w:val="none" w:sz="0" w:space="0" w:color="auto"/>
            <w:left w:val="none" w:sz="0" w:space="0" w:color="auto"/>
            <w:bottom w:val="none" w:sz="0" w:space="0" w:color="auto"/>
            <w:right w:val="none" w:sz="0" w:space="0" w:color="auto"/>
          </w:divBdr>
        </w:div>
        <w:div w:id="848175039">
          <w:marLeft w:val="640"/>
          <w:marRight w:val="0"/>
          <w:marTop w:val="0"/>
          <w:marBottom w:val="0"/>
          <w:divBdr>
            <w:top w:val="none" w:sz="0" w:space="0" w:color="auto"/>
            <w:left w:val="none" w:sz="0" w:space="0" w:color="auto"/>
            <w:bottom w:val="none" w:sz="0" w:space="0" w:color="auto"/>
            <w:right w:val="none" w:sz="0" w:space="0" w:color="auto"/>
          </w:divBdr>
        </w:div>
        <w:div w:id="1418745041">
          <w:marLeft w:val="640"/>
          <w:marRight w:val="0"/>
          <w:marTop w:val="0"/>
          <w:marBottom w:val="0"/>
          <w:divBdr>
            <w:top w:val="none" w:sz="0" w:space="0" w:color="auto"/>
            <w:left w:val="none" w:sz="0" w:space="0" w:color="auto"/>
            <w:bottom w:val="none" w:sz="0" w:space="0" w:color="auto"/>
            <w:right w:val="none" w:sz="0" w:space="0" w:color="auto"/>
          </w:divBdr>
        </w:div>
        <w:div w:id="1240410339">
          <w:marLeft w:val="640"/>
          <w:marRight w:val="0"/>
          <w:marTop w:val="0"/>
          <w:marBottom w:val="0"/>
          <w:divBdr>
            <w:top w:val="none" w:sz="0" w:space="0" w:color="auto"/>
            <w:left w:val="none" w:sz="0" w:space="0" w:color="auto"/>
            <w:bottom w:val="none" w:sz="0" w:space="0" w:color="auto"/>
            <w:right w:val="none" w:sz="0" w:space="0" w:color="auto"/>
          </w:divBdr>
        </w:div>
        <w:div w:id="2085955278">
          <w:marLeft w:val="640"/>
          <w:marRight w:val="0"/>
          <w:marTop w:val="0"/>
          <w:marBottom w:val="0"/>
          <w:divBdr>
            <w:top w:val="none" w:sz="0" w:space="0" w:color="auto"/>
            <w:left w:val="none" w:sz="0" w:space="0" w:color="auto"/>
            <w:bottom w:val="none" w:sz="0" w:space="0" w:color="auto"/>
            <w:right w:val="none" w:sz="0" w:space="0" w:color="auto"/>
          </w:divBdr>
        </w:div>
        <w:div w:id="676034820">
          <w:marLeft w:val="640"/>
          <w:marRight w:val="0"/>
          <w:marTop w:val="0"/>
          <w:marBottom w:val="0"/>
          <w:divBdr>
            <w:top w:val="none" w:sz="0" w:space="0" w:color="auto"/>
            <w:left w:val="none" w:sz="0" w:space="0" w:color="auto"/>
            <w:bottom w:val="none" w:sz="0" w:space="0" w:color="auto"/>
            <w:right w:val="none" w:sz="0" w:space="0" w:color="auto"/>
          </w:divBdr>
        </w:div>
        <w:div w:id="345789368">
          <w:marLeft w:val="640"/>
          <w:marRight w:val="0"/>
          <w:marTop w:val="0"/>
          <w:marBottom w:val="0"/>
          <w:divBdr>
            <w:top w:val="none" w:sz="0" w:space="0" w:color="auto"/>
            <w:left w:val="none" w:sz="0" w:space="0" w:color="auto"/>
            <w:bottom w:val="none" w:sz="0" w:space="0" w:color="auto"/>
            <w:right w:val="none" w:sz="0" w:space="0" w:color="auto"/>
          </w:divBdr>
        </w:div>
        <w:div w:id="1023097382">
          <w:marLeft w:val="640"/>
          <w:marRight w:val="0"/>
          <w:marTop w:val="0"/>
          <w:marBottom w:val="0"/>
          <w:divBdr>
            <w:top w:val="none" w:sz="0" w:space="0" w:color="auto"/>
            <w:left w:val="none" w:sz="0" w:space="0" w:color="auto"/>
            <w:bottom w:val="none" w:sz="0" w:space="0" w:color="auto"/>
            <w:right w:val="none" w:sz="0" w:space="0" w:color="auto"/>
          </w:divBdr>
        </w:div>
        <w:div w:id="1040788738">
          <w:marLeft w:val="640"/>
          <w:marRight w:val="0"/>
          <w:marTop w:val="0"/>
          <w:marBottom w:val="0"/>
          <w:divBdr>
            <w:top w:val="none" w:sz="0" w:space="0" w:color="auto"/>
            <w:left w:val="none" w:sz="0" w:space="0" w:color="auto"/>
            <w:bottom w:val="none" w:sz="0" w:space="0" w:color="auto"/>
            <w:right w:val="none" w:sz="0" w:space="0" w:color="auto"/>
          </w:divBdr>
        </w:div>
        <w:div w:id="1925187141">
          <w:marLeft w:val="640"/>
          <w:marRight w:val="0"/>
          <w:marTop w:val="0"/>
          <w:marBottom w:val="0"/>
          <w:divBdr>
            <w:top w:val="none" w:sz="0" w:space="0" w:color="auto"/>
            <w:left w:val="none" w:sz="0" w:space="0" w:color="auto"/>
            <w:bottom w:val="none" w:sz="0" w:space="0" w:color="auto"/>
            <w:right w:val="none" w:sz="0" w:space="0" w:color="auto"/>
          </w:divBdr>
        </w:div>
        <w:div w:id="1920214664">
          <w:marLeft w:val="640"/>
          <w:marRight w:val="0"/>
          <w:marTop w:val="0"/>
          <w:marBottom w:val="0"/>
          <w:divBdr>
            <w:top w:val="none" w:sz="0" w:space="0" w:color="auto"/>
            <w:left w:val="none" w:sz="0" w:space="0" w:color="auto"/>
            <w:bottom w:val="none" w:sz="0" w:space="0" w:color="auto"/>
            <w:right w:val="none" w:sz="0" w:space="0" w:color="auto"/>
          </w:divBdr>
        </w:div>
        <w:div w:id="1928607913">
          <w:marLeft w:val="640"/>
          <w:marRight w:val="0"/>
          <w:marTop w:val="0"/>
          <w:marBottom w:val="0"/>
          <w:divBdr>
            <w:top w:val="none" w:sz="0" w:space="0" w:color="auto"/>
            <w:left w:val="none" w:sz="0" w:space="0" w:color="auto"/>
            <w:bottom w:val="none" w:sz="0" w:space="0" w:color="auto"/>
            <w:right w:val="none" w:sz="0" w:space="0" w:color="auto"/>
          </w:divBdr>
        </w:div>
        <w:div w:id="1447458695">
          <w:marLeft w:val="640"/>
          <w:marRight w:val="0"/>
          <w:marTop w:val="0"/>
          <w:marBottom w:val="0"/>
          <w:divBdr>
            <w:top w:val="none" w:sz="0" w:space="0" w:color="auto"/>
            <w:left w:val="none" w:sz="0" w:space="0" w:color="auto"/>
            <w:bottom w:val="none" w:sz="0" w:space="0" w:color="auto"/>
            <w:right w:val="none" w:sz="0" w:space="0" w:color="auto"/>
          </w:divBdr>
        </w:div>
        <w:div w:id="966854585">
          <w:marLeft w:val="640"/>
          <w:marRight w:val="0"/>
          <w:marTop w:val="0"/>
          <w:marBottom w:val="0"/>
          <w:divBdr>
            <w:top w:val="none" w:sz="0" w:space="0" w:color="auto"/>
            <w:left w:val="none" w:sz="0" w:space="0" w:color="auto"/>
            <w:bottom w:val="none" w:sz="0" w:space="0" w:color="auto"/>
            <w:right w:val="none" w:sz="0" w:space="0" w:color="auto"/>
          </w:divBdr>
        </w:div>
        <w:div w:id="921454549">
          <w:marLeft w:val="640"/>
          <w:marRight w:val="0"/>
          <w:marTop w:val="0"/>
          <w:marBottom w:val="0"/>
          <w:divBdr>
            <w:top w:val="none" w:sz="0" w:space="0" w:color="auto"/>
            <w:left w:val="none" w:sz="0" w:space="0" w:color="auto"/>
            <w:bottom w:val="none" w:sz="0" w:space="0" w:color="auto"/>
            <w:right w:val="none" w:sz="0" w:space="0" w:color="auto"/>
          </w:divBdr>
        </w:div>
        <w:div w:id="155070072">
          <w:marLeft w:val="640"/>
          <w:marRight w:val="0"/>
          <w:marTop w:val="0"/>
          <w:marBottom w:val="0"/>
          <w:divBdr>
            <w:top w:val="none" w:sz="0" w:space="0" w:color="auto"/>
            <w:left w:val="none" w:sz="0" w:space="0" w:color="auto"/>
            <w:bottom w:val="none" w:sz="0" w:space="0" w:color="auto"/>
            <w:right w:val="none" w:sz="0" w:space="0" w:color="auto"/>
          </w:divBdr>
        </w:div>
        <w:div w:id="787818821">
          <w:marLeft w:val="640"/>
          <w:marRight w:val="0"/>
          <w:marTop w:val="0"/>
          <w:marBottom w:val="0"/>
          <w:divBdr>
            <w:top w:val="none" w:sz="0" w:space="0" w:color="auto"/>
            <w:left w:val="none" w:sz="0" w:space="0" w:color="auto"/>
            <w:bottom w:val="none" w:sz="0" w:space="0" w:color="auto"/>
            <w:right w:val="none" w:sz="0" w:space="0" w:color="auto"/>
          </w:divBdr>
        </w:div>
        <w:div w:id="1973248891">
          <w:marLeft w:val="640"/>
          <w:marRight w:val="0"/>
          <w:marTop w:val="0"/>
          <w:marBottom w:val="0"/>
          <w:divBdr>
            <w:top w:val="none" w:sz="0" w:space="0" w:color="auto"/>
            <w:left w:val="none" w:sz="0" w:space="0" w:color="auto"/>
            <w:bottom w:val="none" w:sz="0" w:space="0" w:color="auto"/>
            <w:right w:val="none" w:sz="0" w:space="0" w:color="auto"/>
          </w:divBdr>
        </w:div>
        <w:div w:id="1171338991">
          <w:marLeft w:val="640"/>
          <w:marRight w:val="0"/>
          <w:marTop w:val="0"/>
          <w:marBottom w:val="0"/>
          <w:divBdr>
            <w:top w:val="none" w:sz="0" w:space="0" w:color="auto"/>
            <w:left w:val="none" w:sz="0" w:space="0" w:color="auto"/>
            <w:bottom w:val="none" w:sz="0" w:space="0" w:color="auto"/>
            <w:right w:val="none" w:sz="0" w:space="0" w:color="auto"/>
          </w:divBdr>
        </w:div>
        <w:div w:id="1049458222">
          <w:marLeft w:val="640"/>
          <w:marRight w:val="0"/>
          <w:marTop w:val="0"/>
          <w:marBottom w:val="0"/>
          <w:divBdr>
            <w:top w:val="none" w:sz="0" w:space="0" w:color="auto"/>
            <w:left w:val="none" w:sz="0" w:space="0" w:color="auto"/>
            <w:bottom w:val="none" w:sz="0" w:space="0" w:color="auto"/>
            <w:right w:val="none" w:sz="0" w:space="0" w:color="auto"/>
          </w:divBdr>
        </w:div>
        <w:div w:id="306278260">
          <w:marLeft w:val="640"/>
          <w:marRight w:val="0"/>
          <w:marTop w:val="0"/>
          <w:marBottom w:val="0"/>
          <w:divBdr>
            <w:top w:val="none" w:sz="0" w:space="0" w:color="auto"/>
            <w:left w:val="none" w:sz="0" w:space="0" w:color="auto"/>
            <w:bottom w:val="none" w:sz="0" w:space="0" w:color="auto"/>
            <w:right w:val="none" w:sz="0" w:space="0" w:color="auto"/>
          </w:divBdr>
        </w:div>
        <w:div w:id="868494986">
          <w:marLeft w:val="640"/>
          <w:marRight w:val="0"/>
          <w:marTop w:val="0"/>
          <w:marBottom w:val="0"/>
          <w:divBdr>
            <w:top w:val="none" w:sz="0" w:space="0" w:color="auto"/>
            <w:left w:val="none" w:sz="0" w:space="0" w:color="auto"/>
            <w:bottom w:val="none" w:sz="0" w:space="0" w:color="auto"/>
            <w:right w:val="none" w:sz="0" w:space="0" w:color="auto"/>
          </w:divBdr>
        </w:div>
        <w:div w:id="1932813003">
          <w:marLeft w:val="640"/>
          <w:marRight w:val="0"/>
          <w:marTop w:val="0"/>
          <w:marBottom w:val="0"/>
          <w:divBdr>
            <w:top w:val="none" w:sz="0" w:space="0" w:color="auto"/>
            <w:left w:val="none" w:sz="0" w:space="0" w:color="auto"/>
            <w:bottom w:val="none" w:sz="0" w:space="0" w:color="auto"/>
            <w:right w:val="none" w:sz="0" w:space="0" w:color="auto"/>
          </w:divBdr>
        </w:div>
        <w:div w:id="1674071664">
          <w:marLeft w:val="640"/>
          <w:marRight w:val="0"/>
          <w:marTop w:val="0"/>
          <w:marBottom w:val="0"/>
          <w:divBdr>
            <w:top w:val="none" w:sz="0" w:space="0" w:color="auto"/>
            <w:left w:val="none" w:sz="0" w:space="0" w:color="auto"/>
            <w:bottom w:val="none" w:sz="0" w:space="0" w:color="auto"/>
            <w:right w:val="none" w:sz="0" w:space="0" w:color="auto"/>
          </w:divBdr>
        </w:div>
        <w:div w:id="1593973802">
          <w:marLeft w:val="640"/>
          <w:marRight w:val="0"/>
          <w:marTop w:val="0"/>
          <w:marBottom w:val="0"/>
          <w:divBdr>
            <w:top w:val="none" w:sz="0" w:space="0" w:color="auto"/>
            <w:left w:val="none" w:sz="0" w:space="0" w:color="auto"/>
            <w:bottom w:val="none" w:sz="0" w:space="0" w:color="auto"/>
            <w:right w:val="none" w:sz="0" w:space="0" w:color="auto"/>
          </w:divBdr>
        </w:div>
        <w:div w:id="1389035616">
          <w:marLeft w:val="640"/>
          <w:marRight w:val="0"/>
          <w:marTop w:val="0"/>
          <w:marBottom w:val="0"/>
          <w:divBdr>
            <w:top w:val="none" w:sz="0" w:space="0" w:color="auto"/>
            <w:left w:val="none" w:sz="0" w:space="0" w:color="auto"/>
            <w:bottom w:val="none" w:sz="0" w:space="0" w:color="auto"/>
            <w:right w:val="none" w:sz="0" w:space="0" w:color="auto"/>
          </w:divBdr>
        </w:div>
        <w:div w:id="1960603169">
          <w:marLeft w:val="640"/>
          <w:marRight w:val="0"/>
          <w:marTop w:val="0"/>
          <w:marBottom w:val="0"/>
          <w:divBdr>
            <w:top w:val="none" w:sz="0" w:space="0" w:color="auto"/>
            <w:left w:val="none" w:sz="0" w:space="0" w:color="auto"/>
            <w:bottom w:val="none" w:sz="0" w:space="0" w:color="auto"/>
            <w:right w:val="none" w:sz="0" w:space="0" w:color="auto"/>
          </w:divBdr>
        </w:div>
        <w:div w:id="1917281195">
          <w:marLeft w:val="640"/>
          <w:marRight w:val="0"/>
          <w:marTop w:val="0"/>
          <w:marBottom w:val="0"/>
          <w:divBdr>
            <w:top w:val="none" w:sz="0" w:space="0" w:color="auto"/>
            <w:left w:val="none" w:sz="0" w:space="0" w:color="auto"/>
            <w:bottom w:val="none" w:sz="0" w:space="0" w:color="auto"/>
            <w:right w:val="none" w:sz="0" w:space="0" w:color="auto"/>
          </w:divBdr>
        </w:div>
        <w:div w:id="1599101354">
          <w:marLeft w:val="640"/>
          <w:marRight w:val="0"/>
          <w:marTop w:val="0"/>
          <w:marBottom w:val="0"/>
          <w:divBdr>
            <w:top w:val="none" w:sz="0" w:space="0" w:color="auto"/>
            <w:left w:val="none" w:sz="0" w:space="0" w:color="auto"/>
            <w:bottom w:val="none" w:sz="0" w:space="0" w:color="auto"/>
            <w:right w:val="none" w:sz="0" w:space="0" w:color="auto"/>
          </w:divBdr>
        </w:div>
        <w:div w:id="1605918709">
          <w:marLeft w:val="640"/>
          <w:marRight w:val="0"/>
          <w:marTop w:val="0"/>
          <w:marBottom w:val="0"/>
          <w:divBdr>
            <w:top w:val="none" w:sz="0" w:space="0" w:color="auto"/>
            <w:left w:val="none" w:sz="0" w:space="0" w:color="auto"/>
            <w:bottom w:val="none" w:sz="0" w:space="0" w:color="auto"/>
            <w:right w:val="none" w:sz="0" w:space="0" w:color="auto"/>
          </w:divBdr>
        </w:div>
        <w:div w:id="472724096">
          <w:marLeft w:val="640"/>
          <w:marRight w:val="0"/>
          <w:marTop w:val="0"/>
          <w:marBottom w:val="0"/>
          <w:divBdr>
            <w:top w:val="none" w:sz="0" w:space="0" w:color="auto"/>
            <w:left w:val="none" w:sz="0" w:space="0" w:color="auto"/>
            <w:bottom w:val="none" w:sz="0" w:space="0" w:color="auto"/>
            <w:right w:val="none" w:sz="0" w:space="0" w:color="auto"/>
          </w:divBdr>
        </w:div>
        <w:div w:id="57242209">
          <w:marLeft w:val="640"/>
          <w:marRight w:val="0"/>
          <w:marTop w:val="0"/>
          <w:marBottom w:val="0"/>
          <w:divBdr>
            <w:top w:val="none" w:sz="0" w:space="0" w:color="auto"/>
            <w:left w:val="none" w:sz="0" w:space="0" w:color="auto"/>
            <w:bottom w:val="none" w:sz="0" w:space="0" w:color="auto"/>
            <w:right w:val="none" w:sz="0" w:space="0" w:color="auto"/>
          </w:divBdr>
        </w:div>
        <w:div w:id="1018845636">
          <w:marLeft w:val="640"/>
          <w:marRight w:val="0"/>
          <w:marTop w:val="0"/>
          <w:marBottom w:val="0"/>
          <w:divBdr>
            <w:top w:val="none" w:sz="0" w:space="0" w:color="auto"/>
            <w:left w:val="none" w:sz="0" w:space="0" w:color="auto"/>
            <w:bottom w:val="none" w:sz="0" w:space="0" w:color="auto"/>
            <w:right w:val="none" w:sz="0" w:space="0" w:color="auto"/>
          </w:divBdr>
        </w:div>
        <w:div w:id="451706720">
          <w:marLeft w:val="640"/>
          <w:marRight w:val="0"/>
          <w:marTop w:val="0"/>
          <w:marBottom w:val="0"/>
          <w:divBdr>
            <w:top w:val="none" w:sz="0" w:space="0" w:color="auto"/>
            <w:left w:val="none" w:sz="0" w:space="0" w:color="auto"/>
            <w:bottom w:val="none" w:sz="0" w:space="0" w:color="auto"/>
            <w:right w:val="none" w:sz="0" w:space="0" w:color="auto"/>
          </w:divBdr>
        </w:div>
        <w:div w:id="1114246613">
          <w:marLeft w:val="640"/>
          <w:marRight w:val="0"/>
          <w:marTop w:val="0"/>
          <w:marBottom w:val="0"/>
          <w:divBdr>
            <w:top w:val="none" w:sz="0" w:space="0" w:color="auto"/>
            <w:left w:val="none" w:sz="0" w:space="0" w:color="auto"/>
            <w:bottom w:val="none" w:sz="0" w:space="0" w:color="auto"/>
            <w:right w:val="none" w:sz="0" w:space="0" w:color="auto"/>
          </w:divBdr>
        </w:div>
        <w:div w:id="1734423960">
          <w:marLeft w:val="640"/>
          <w:marRight w:val="0"/>
          <w:marTop w:val="0"/>
          <w:marBottom w:val="0"/>
          <w:divBdr>
            <w:top w:val="none" w:sz="0" w:space="0" w:color="auto"/>
            <w:left w:val="none" w:sz="0" w:space="0" w:color="auto"/>
            <w:bottom w:val="none" w:sz="0" w:space="0" w:color="auto"/>
            <w:right w:val="none" w:sz="0" w:space="0" w:color="auto"/>
          </w:divBdr>
        </w:div>
        <w:div w:id="83571501">
          <w:marLeft w:val="640"/>
          <w:marRight w:val="0"/>
          <w:marTop w:val="0"/>
          <w:marBottom w:val="0"/>
          <w:divBdr>
            <w:top w:val="none" w:sz="0" w:space="0" w:color="auto"/>
            <w:left w:val="none" w:sz="0" w:space="0" w:color="auto"/>
            <w:bottom w:val="none" w:sz="0" w:space="0" w:color="auto"/>
            <w:right w:val="none" w:sz="0" w:space="0" w:color="auto"/>
          </w:divBdr>
        </w:div>
        <w:div w:id="1303736358">
          <w:marLeft w:val="640"/>
          <w:marRight w:val="0"/>
          <w:marTop w:val="0"/>
          <w:marBottom w:val="0"/>
          <w:divBdr>
            <w:top w:val="none" w:sz="0" w:space="0" w:color="auto"/>
            <w:left w:val="none" w:sz="0" w:space="0" w:color="auto"/>
            <w:bottom w:val="none" w:sz="0" w:space="0" w:color="auto"/>
            <w:right w:val="none" w:sz="0" w:space="0" w:color="auto"/>
          </w:divBdr>
        </w:div>
        <w:div w:id="109471003">
          <w:marLeft w:val="640"/>
          <w:marRight w:val="0"/>
          <w:marTop w:val="0"/>
          <w:marBottom w:val="0"/>
          <w:divBdr>
            <w:top w:val="none" w:sz="0" w:space="0" w:color="auto"/>
            <w:left w:val="none" w:sz="0" w:space="0" w:color="auto"/>
            <w:bottom w:val="none" w:sz="0" w:space="0" w:color="auto"/>
            <w:right w:val="none" w:sz="0" w:space="0" w:color="auto"/>
          </w:divBdr>
        </w:div>
        <w:div w:id="1368719688">
          <w:marLeft w:val="640"/>
          <w:marRight w:val="0"/>
          <w:marTop w:val="0"/>
          <w:marBottom w:val="0"/>
          <w:divBdr>
            <w:top w:val="none" w:sz="0" w:space="0" w:color="auto"/>
            <w:left w:val="none" w:sz="0" w:space="0" w:color="auto"/>
            <w:bottom w:val="none" w:sz="0" w:space="0" w:color="auto"/>
            <w:right w:val="none" w:sz="0" w:space="0" w:color="auto"/>
          </w:divBdr>
        </w:div>
        <w:div w:id="1257985300">
          <w:marLeft w:val="640"/>
          <w:marRight w:val="0"/>
          <w:marTop w:val="0"/>
          <w:marBottom w:val="0"/>
          <w:divBdr>
            <w:top w:val="none" w:sz="0" w:space="0" w:color="auto"/>
            <w:left w:val="none" w:sz="0" w:space="0" w:color="auto"/>
            <w:bottom w:val="none" w:sz="0" w:space="0" w:color="auto"/>
            <w:right w:val="none" w:sz="0" w:space="0" w:color="auto"/>
          </w:divBdr>
        </w:div>
        <w:div w:id="988368109">
          <w:marLeft w:val="640"/>
          <w:marRight w:val="0"/>
          <w:marTop w:val="0"/>
          <w:marBottom w:val="0"/>
          <w:divBdr>
            <w:top w:val="none" w:sz="0" w:space="0" w:color="auto"/>
            <w:left w:val="none" w:sz="0" w:space="0" w:color="auto"/>
            <w:bottom w:val="none" w:sz="0" w:space="0" w:color="auto"/>
            <w:right w:val="none" w:sz="0" w:space="0" w:color="auto"/>
          </w:divBdr>
        </w:div>
        <w:div w:id="1181050162">
          <w:marLeft w:val="640"/>
          <w:marRight w:val="0"/>
          <w:marTop w:val="0"/>
          <w:marBottom w:val="0"/>
          <w:divBdr>
            <w:top w:val="none" w:sz="0" w:space="0" w:color="auto"/>
            <w:left w:val="none" w:sz="0" w:space="0" w:color="auto"/>
            <w:bottom w:val="none" w:sz="0" w:space="0" w:color="auto"/>
            <w:right w:val="none" w:sz="0" w:space="0" w:color="auto"/>
          </w:divBdr>
        </w:div>
        <w:div w:id="332882072">
          <w:marLeft w:val="640"/>
          <w:marRight w:val="0"/>
          <w:marTop w:val="0"/>
          <w:marBottom w:val="0"/>
          <w:divBdr>
            <w:top w:val="none" w:sz="0" w:space="0" w:color="auto"/>
            <w:left w:val="none" w:sz="0" w:space="0" w:color="auto"/>
            <w:bottom w:val="none" w:sz="0" w:space="0" w:color="auto"/>
            <w:right w:val="none" w:sz="0" w:space="0" w:color="auto"/>
          </w:divBdr>
        </w:div>
        <w:div w:id="1932812832">
          <w:marLeft w:val="640"/>
          <w:marRight w:val="0"/>
          <w:marTop w:val="0"/>
          <w:marBottom w:val="0"/>
          <w:divBdr>
            <w:top w:val="none" w:sz="0" w:space="0" w:color="auto"/>
            <w:left w:val="none" w:sz="0" w:space="0" w:color="auto"/>
            <w:bottom w:val="none" w:sz="0" w:space="0" w:color="auto"/>
            <w:right w:val="none" w:sz="0" w:space="0" w:color="auto"/>
          </w:divBdr>
        </w:div>
        <w:div w:id="2027633085">
          <w:marLeft w:val="640"/>
          <w:marRight w:val="0"/>
          <w:marTop w:val="0"/>
          <w:marBottom w:val="0"/>
          <w:divBdr>
            <w:top w:val="none" w:sz="0" w:space="0" w:color="auto"/>
            <w:left w:val="none" w:sz="0" w:space="0" w:color="auto"/>
            <w:bottom w:val="none" w:sz="0" w:space="0" w:color="auto"/>
            <w:right w:val="none" w:sz="0" w:space="0" w:color="auto"/>
          </w:divBdr>
        </w:div>
        <w:div w:id="565380000">
          <w:marLeft w:val="640"/>
          <w:marRight w:val="0"/>
          <w:marTop w:val="0"/>
          <w:marBottom w:val="0"/>
          <w:divBdr>
            <w:top w:val="none" w:sz="0" w:space="0" w:color="auto"/>
            <w:left w:val="none" w:sz="0" w:space="0" w:color="auto"/>
            <w:bottom w:val="none" w:sz="0" w:space="0" w:color="auto"/>
            <w:right w:val="none" w:sz="0" w:space="0" w:color="auto"/>
          </w:divBdr>
        </w:div>
        <w:div w:id="1077092132">
          <w:marLeft w:val="640"/>
          <w:marRight w:val="0"/>
          <w:marTop w:val="0"/>
          <w:marBottom w:val="0"/>
          <w:divBdr>
            <w:top w:val="none" w:sz="0" w:space="0" w:color="auto"/>
            <w:left w:val="none" w:sz="0" w:space="0" w:color="auto"/>
            <w:bottom w:val="none" w:sz="0" w:space="0" w:color="auto"/>
            <w:right w:val="none" w:sz="0" w:space="0" w:color="auto"/>
          </w:divBdr>
        </w:div>
        <w:div w:id="1343780383">
          <w:marLeft w:val="640"/>
          <w:marRight w:val="0"/>
          <w:marTop w:val="0"/>
          <w:marBottom w:val="0"/>
          <w:divBdr>
            <w:top w:val="none" w:sz="0" w:space="0" w:color="auto"/>
            <w:left w:val="none" w:sz="0" w:space="0" w:color="auto"/>
            <w:bottom w:val="none" w:sz="0" w:space="0" w:color="auto"/>
            <w:right w:val="none" w:sz="0" w:space="0" w:color="auto"/>
          </w:divBdr>
        </w:div>
        <w:div w:id="1685478797">
          <w:marLeft w:val="640"/>
          <w:marRight w:val="0"/>
          <w:marTop w:val="0"/>
          <w:marBottom w:val="0"/>
          <w:divBdr>
            <w:top w:val="none" w:sz="0" w:space="0" w:color="auto"/>
            <w:left w:val="none" w:sz="0" w:space="0" w:color="auto"/>
            <w:bottom w:val="none" w:sz="0" w:space="0" w:color="auto"/>
            <w:right w:val="none" w:sz="0" w:space="0" w:color="auto"/>
          </w:divBdr>
        </w:div>
        <w:div w:id="1261832676">
          <w:marLeft w:val="640"/>
          <w:marRight w:val="0"/>
          <w:marTop w:val="0"/>
          <w:marBottom w:val="0"/>
          <w:divBdr>
            <w:top w:val="none" w:sz="0" w:space="0" w:color="auto"/>
            <w:left w:val="none" w:sz="0" w:space="0" w:color="auto"/>
            <w:bottom w:val="none" w:sz="0" w:space="0" w:color="auto"/>
            <w:right w:val="none" w:sz="0" w:space="0" w:color="auto"/>
          </w:divBdr>
        </w:div>
        <w:div w:id="1277907851">
          <w:marLeft w:val="640"/>
          <w:marRight w:val="0"/>
          <w:marTop w:val="0"/>
          <w:marBottom w:val="0"/>
          <w:divBdr>
            <w:top w:val="none" w:sz="0" w:space="0" w:color="auto"/>
            <w:left w:val="none" w:sz="0" w:space="0" w:color="auto"/>
            <w:bottom w:val="none" w:sz="0" w:space="0" w:color="auto"/>
            <w:right w:val="none" w:sz="0" w:space="0" w:color="auto"/>
          </w:divBdr>
        </w:div>
        <w:div w:id="1107583369">
          <w:marLeft w:val="640"/>
          <w:marRight w:val="0"/>
          <w:marTop w:val="0"/>
          <w:marBottom w:val="0"/>
          <w:divBdr>
            <w:top w:val="none" w:sz="0" w:space="0" w:color="auto"/>
            <w:left w:val="none" w:sz="0" w:space="0" w:color="auto"/>
            <w:bottom w:val="none" w:sz="0" w:space="0" w:color="auto"/>
            <w:right w:val="none" w:sz="0" w:space="0" w:color="auto"/>
          </w:divBdr>
        </w:div>
        <w:div w:id="1455057506">
          <w:marLeft w:val="640"/>
          <w:marRight w:val="0"/>
          <w:marTop w:val="0"/>
          <w:marBottom w:val="0"/>
          <w:divBdr>
            <w:top w:val="none" w:sz="0" w:space="0" w:color="auto"/>
            <w:left w:val="none" w:sz="0" w:space="0" w:color="auto"/>
            <w:bottom w:val="none" w:sz="0" w:space="0" w:color="auto"/>
            <w:right w:val="none" w:sz="0" w:space="0" w:color="auto"/>
          </w:divBdr>
        </w:div>
        <w:div w:id="1511211983">
          <w:marLeft w:val="640"/>
          <w:marRight w:val="0"/>
          <w:marTop w:val="0"/>
          <w:marBottom w:val="0"/>
          <w:divBdr>
            <w:top w:val="none" w:sz="0" w:space="0" w:color="auto"/>
            <w:left w:val="none" w:sz="0" w:space="0" w:color="auto"/>
            <w:bottom w:val="none" w:sz="0" w:space="0" w:color="auto"/>
            <w:right w:val="none" w:sz="0" w:space="0" w:color="auto"/>
          </w:divBdr>
        </w:div>
        <w:div w:id="1735348191">
          <w:marLeft w:val="640"/>
          <w:marRight w:val="0"/>
          <w:marTop w:val="0"/>
          <w:marBottom w:val="0"/>
          <w:divBdr>
            <w:top w:val="none" w:sz="0" w:space="0" w:color="auto"/>
            <w:left w:val="none" w:sz="0" w:space="0" w:color="auto"/>
            <w:bottom w:val="none" w:sz="0" w:space="0" w:color="auto"/>
            <w:right w:val="none" w:sz="0" w:space="0" w:color="auto"/>
          </w:divBdr>
        </w:div>
        <w:div w:id="553395320">
          <w:marLeft w:val="640"/>
          <w:marRight w:val="0"/>
          <w:marTop w:val="0"/>
          <w:marBottom w:val="0"/>
          <w:divBdr>
            <w:top w:val="none" w:sz="0" w:space="0" w:color="auto"/>
            <w:left w:val="none" w:sz="0" w:space="0" w:color="auto"/>
            <w:bottom w:val="none" w:sz="0" w:space="0" w:color="auto"/>
            <w:right w:val="none" w:sz="0" w:space="0" w:color="auto"/>
          </w:divBdr>
        </w:div>
        <w:div w:id="791560349">
          <w:marLeft w:val="640"/>
          <w:marRight w:val="0"/>
          <w:marTop w:val="0"/>
          <w:marBottom w:val="0"/>
          <w:divBdr>
            <w:top w:val="none" w:sz="0" w:space="0" w:color="auto"/>
            <w:left w:val="none" w:sz="0" w:space="0" w:color="auto"/>
            <w:bottom w:val="none" w:sz="0" w:space="0" w:color="auto"/>
            <w:right w:val="none" w:sz="0" w:space="0" w:color="auto"/>
          </w:divBdr>
        </w:div>
        <w:div w:id="1159879316">
          <w:marLeft w:val="640"/>
          <w:marRight w:val="0"/>
          <w:marTop w:val="0"/>
          <w:marBottom w:val="0"/>
          <w:divBdr>
            <w:top w:val="none" w:sz="0" w:space="0" w:color="auto"/>
            <w:left w:val="none" w:sz="0" w:space="0" w:color="auto"/>
            <w:bottom w:val="none" w:sz="0" w:space="0" w:color="auto"/>
            <w:right w:val="none" w:sz="0" w:space="0" w:color="auto"/>
          </w:divBdr>
        </w:div>
        <w:div w:id="1089043151">
          <w:marLeft w:val="640"/>
          <w:marRight w:val="0"/>
          <w:marTop w:val="0"/>
          <w:marBottom w:val="0"/>
          <w:divBdr>
            <w:top w:val="none" w:sz="0" w:space="0" w:color="auto"/>
            <w:left w:val="none" w:sz="0" w:space="0" w:color="auto"/>
            <w:bottom w:val="none" w:sz="0" w:space="0" w:color="auto"/>
            <w:right w:val="none" w:sz="0" w:space="0" w:color="auto"/>
          </w:divBdr>
        </w:div>
        <w:div w:id="123237544">
          <w:marLeft w:val="640"/>
          <w:marRight w:val="0"/>
          <w:marTop w:val="0"/>
          <w:marBottom w:val="0"/>
          <w:divBdr>
            <w:top w:val="none" w:sz="0" w:space="0" w:color="auto"/>
            <w:left w:val="none" w:sz="0" w:space="0" w:color="auto"/>
            <w:bottom w:val="none" w:sz="0" w:space="0" w:color="auto"/>
            <w:right w:val="none" w:sz="0" w:space="0" w:color="auto"/>
          </w:divBdr>
        </w:div>
        <w:div w:id="917321573">
          <w:marLeft w:val="640"/>
          <w:marRight w:val="0"/>
          <w:marTop w:val="0"/>
          <w:marBottom w:val="0"/>
          <w:divBdr>
            <w:top w:val="none" w:sz="0" w:space="0" w:color="auto"/>
            <w:left w:val="none" w:sz="0" w:space="0" w:color="auto"/>
            <w:bottom w:val="none" w:sz="0" w:space="0" w:color="auto"/>
            <w:right w:val="none" w:sz="0" w:space="0" w:color="auto"/>
          </w:divBdr>
        </w:div>
        <w:div w:id="36591036">
          <w:marLeft w:val="640"/>
          <w:marRight w:val="0"/>
          <w:marTop w:val="0"/>
          <w:marBottom w:val="0"/>
          <w:divBdr>
            <w:top w:val="none" w:sz="0" w:space="0" w:color="auto"/>
            <w:left w:val="none" w:sz="0" w:space="0" w:color="auto"/>
            <w:bottom w:val="none" w:sz="0" w:space="0" w:color="auto"/>
            <w:right w:val="none" w:sz="0" w:space="0" w:color="auto"/>
          </w:divBdr>
        </w:div>
        <w:div w:id="217790012">
          <w:marLeft w:val="640"/>
          <w:marRight w:val="0"/>
          <w:marTop w:val="0"/>
          <w:marBottom w:val="0"/>
          <w:divBdr>
            <w:top w:val="none" w:sz="0" w:space="0" w:color="auto"/>
            <w:left w:val="none" w:sz="0" w:space="0" w:color="auto"/>
            <w:bottom w:val="none" w:sz="0" w:space="0" w:color="auto"/>
            <w:right w:val="none" w:sz="0" w:space="0" w:color="auto"/>
          </w:divBdr>
        </w:div>
        <w:div w:id="756483250">
          <w:marLeft w:val="640"/>
          <w:marRight w:val="0"/>
          <w:marTop w:val="0"/>
          <w:marBottom w:val="0"/>
          <w:divBdr>
            <w:top w:val="none" w:sz="0" w:space="0" w:color="auto"/>
            <w:left w:val="none" w:sz="0" w:space="0" w:color="auto"/>
            <w:bottom w:val="none" w:sz="0" w:space="0" w:color="auto"/>
            <w:right w:val="none" w:sz="0" w:space="0" w:color="auto"/>
          </w:divBdr>
        </w:div>
        <w:div w:id="1031036113">
          <w:marLeft w:val="640"/>
          <w:marRight w:val="0"/>
          <w:marTop w:val="0"/>
          <w:marBottom w:val="0"/>
          <w:divBdr>
            <w:top w:val="none" w:sz="0" w:space="0" w:color="auto"/>
            <w:left w:val="none" w:sz="0" w:space="0" w:color="auto"/>
            <w:bottom w:val="none" w:sz="0" w:space="0" w:color="auto"/>
            <w:right w:val="none" w:sz="0" w:space="0" w:color="auto"/>
          </w:divBdr>
        </w:div>
        <w:div w:id="858660500">
          <w:marLeft w:val="640"/>
          <w:marRight w:val="0"/>
          <w:marTop w:val="0"/>
          <w:marBottom w:val="0"/>
          <w:divBdr>
            <w:top w:val="none" w:sz="0" w:space="0" w:color="auto"/>
            <w:left w:val="none" w:sz="0" w:space="0" w:color="auto"/>
            <w:bottom w:val="none" w:sz="0" w:space="0" w:color="auto"/>
            <w:right w:val="none" w:sz="0" w:space="0" w:color="auto"/>
          </w:divBdr>
        </w:div>
        <w:div w:id="1236742503">
          <w:marLeft w:val="640"/>
          <w:marRight w:val="0"/>
          <w:marTop w:val="0"/>
          <w:marBottom w:val="0"/>
          <w:divBdr>
            <w:top w:val="none" w:sz="0" w:space="0" w:color="auto"/>
            <w:left w:val="none" w:sz="0" w:space="0" w:color="auto"/>
            <w:bottom w:val="none" w:sz="0" w:space="0" w:color="auto"/>
            <w:right w:val="none" w:sz="0" w:space="0" w:color="auto"/>
          </w:divBdr>
        </w:div>
        <w:div w:id="998995687">
          <w:marLeft w:val="640"/>
          <w:marRight w:val="0"/>
          <w:marTop w:val="0"/>
          <w:marBottom w:val="0"/>
          <w:divBdr>
            <w:top w:val="none" w:sz="0" w:space="0" w:color="auto"/>
            <w:left w:val="none" w:sz="0" w:space="0" w:color="auto"/>
            <w:bottom w:val="none" w:sz="0" w:space="0" w:color="auto"/>
            <w:right w:val="none" w:sz="0" w:space="0" w:color="auto"/>
          </w:divBdr>
        </w:div>
        <w:div w:id="228346559">
          <w:marLeft w:val="640"/>
          <w:marRight w:val="0"/>
          <w:marTop w:val="0"/>
          <w:marBottom w:val="0"/>
          <w:divBdr>
            <w:top w:val="none" w:sz="0" w:space="0" w:color="auto"/>
            <w:left w:val="none" w:sz="0" w:space="0" w:color="auto"/>
            <w:bottom w:val="none" w:sz="0" w:space="0" w:color="auto"/>
            <w:right w:val="none" w:sz="0" w:space="0" w:color="auto"/>
          </w:divBdr>
        </w:div>
        <w:div w:id="487138993">
          <w:marLeft w:val="640"/>
          <w:marRight w:val="0"/>
          <w:marTop w:val="0"/>
          <w:marBottom w:val="0"/>
          <w:divBdr>
            <w:top w:val="none" w:sz="0" w:space="0" w:color="auto"/>
            <w:left w:val="none" w:sz="0" w:space="0" w:color="auto"/>
            <w:bottom w:val="none" w:sz="0" w:space="0" w:color="auto"/>
            <w:right w:val="none" w:sz="0" w:space="0" w:color="auto"/>
          </w:divBdr>
        </w:div>
        <w:div w:id="542252772">
          <w:marLeft w:val="640"/>
          <w:marRight w:val="0"/>
          <w:marTop w:val="0"/>
          <w:marBottom w:val="0"/>
          <w:divBdr>
            <w:top w:val="none" w:sz="0" w:space="0" w:color="auto"/>
            <w:left w:val="none" w:sz="0" w:space="0" w:color="auto"/>
            <w:bottom w:val="none" w:sz="0" w:space="0" w:color="auto"/>
            <w:right w:val="none" w:sz="0" w:space="0" w:color="auto"/>
          </w:divBdr>
        </w:div>
        <w:div w:id="1233000541">
          <w:marLeft w:val="640"/>
          <w:marRight w:val="0"/>
          <w:marTop w:val="0"/>
          <w:marBottom w:val="0"/>
          <w:divBdr>
            <w:top w:val="none" w:sz="0" w:space="0" w:color="auto"/>
            <w:left w:val="none" w:sz="0" w:space="0" w:color="auto"/>
            <w:bottom w:val="none" w:sz="0" w:space="0" w:color="auto"/>
            <w:right w:val="none" w:sz="0" w:space="0" w:color="auto"/>
          </w:divBdr>
        </w:div>
        <w:div w:id="1118524760">
          <w:marLeft w:val="640"/>
          <w:marRight w:val="0"/>
          <w:marTop w:val="0"/>
          <w:marBottom w:val="0"/>
          <w:divBdr>
            <w:top w:val="none" w:sz="0" w:space="0" w:color="auto"/>
            <w:left w:val="none" w:sz="0" w:space="0" w:color="auto"/>
            <w:bottom w:val="none" w:sz="0" w:space="0" w:color="auto"/>
            <w:right w:val="none" w:sz="0" w:space="0" w:color="auto"/>
          </w:divBdr>
        </w:div>
        <w:div w:id="295570170">
          <w:marLeft w:val="640"/>
          <w:marRight w:val="0"/>
          <w:marTop w:val="0"/>
          <w:marBottom w:val="0"/>
          <w:divBdr>
            <w:top w:val="none" w:sz="0" w:space="0" w:color="auto"/>
            <w:left w:val="none" w:sz="0" w:space="0" w:color="auto"/>
            <w:bottom w:val="none" w:sz="0" w:space="0" w:color="auto"/>
            <w:right w:val="none" w:sz="0" w:space="0" w:color="auto"/>
          </w:divBdr>
        </w:div>
        <w:div w:id="565411367">
          <w:marLeft w:val="640"/>
          <w:marRight w:val="0"/>
          <w:marTop w:val="0"/>
          <w:marBottom w:val="0"/>
          <w:divBdr>
            <w:top w:val="none" w:sz="0" w:space="0" w:color="auto"/>
            <w:left w:val="none" w:sz="0" w:space="0" w:color="auto"/>
            <w:bottom w:val="none" w:sz="0" w:space="0" w:color="auto"/>
            <w:right w:val="none" w:sz="0" w:space="0" w:color="auto"/>
          </w:divBdr>
        </w:div>
        <w:div w:id="1181312793">
          <w:marLeft w:val="640"/>
          <w:marRight w:val="0"/>
          <w:marTop w:val="0"/>
          <w:marBottom w:val="0"/>
          <w:divBdr>
            <w:top w:val="none" w:sz="0" w:space="0" w:color="auto"/>
            <w:left w:val="none" w:sz="0" w:space="0" w:color="auto"/>
            <w:bottom w:val="none" w:sz="0" w:space="0" w:color="auto"/>
            <w:right w:val="none" w:sz="0" w:space="0" w:color="auto"/>
          </w:divBdr>
        </w:div>
        <w:div w:id="1033845068">
          <w:marLeft w:val="640"/>
          <w:marRight w:val="0"/>
          <w:marTop w:val="0"/>
          <w:marBottom w:val="0"/>
          <w:divBdr>
            <w:top w:val="none" w:sz="0" w:space="0" w:color="auto"/>
            <w:left w:val="none" w:sz="0" w:space="0" w:color="auto"/>
            <w:bottom w:val="none" w:sz="0" w:space="0" w:color="auto"/>
            <w:right w:val="none" w:sz="0" w:space="0" w:color="auto"/>
          </w:divBdr>
        </w:div>
        <w:div w:id="1246111232">
          <w:marLeft w:val="640"/>
          <w:marRight w:val="0"/>
          <w:marTop w:val="0"/>
          <w:marBottom w:val="0"/>
          <w:divBdr>
            <w:top w:val="none" w:sz="0" w:space="0" w:color="auto"/>
            <w:left w:val="none" w:sz="0" w:space="0" w:color="auto"/>
            <w:bottom w:val="none" w:sz="0" w:space="0" w:color="auto"/>
            <w:right w:val="none" w:sz="0" w:space="0" w:color="auto"/>
          </w:divBdr>
        </w:div>
        <w:div w:id="686323725">
          <w:marLeft w:val="640"/>
          <w:marRight w:val="0"/>
          <w:marTop w:val="0"/>
          <w:marBottom w:val="0"/>
          <w:divBdr>
            <w:top w:val="none" w:sz="0" w:space="0" w:color="auto"/>
            <w:left w:val="none" w:sz="0" w:space="0" w:color="auto"/>
            <w:bottom w:val="none" w:sz="0" w:space="0" w:color="auto"/>
            <w:right w:val="none" w:sz="0" w:space="0" w:color="auto"/>
          </w:divBdr>
        </w:div>
        <w:div w:id="1377239825">
          <w:marLeft w:val="640"/>
          <w:marRight w:val="0"/>
          <w:marTop w:val="0"/>
          <w:marBottom w:val="0"/>
          <w:divBdr>
            <w:top w:val="none" w:sz="0" w:space="0" w:color="auto"/>
            <w:left w:val="none" w:sz="0" w:space="0" w:color="auto"/>
            <w:bottom w:val="none" w:sz="0" w:space="0" w:color="auto"/>
            <w:right w:val="none" w:sz="0" w:space="0" w:color="auto"/>
          </w:divBdr>
        </w:div>
        <w:div w:id="2048479923">
          <w:marLeft w:val="640"/>
          <w:marRight w:val="0"/>
          <w:marTop w:val="0"/>
          <w:marBottom w:val="0"/>
          <w:divBdr>
            <w:top w:val="none" w:sz="0" w:space="0" w:color="auto"/>
            <w:left w:val="none" w:sz="0" w:space="0" w:color="auto"/>
            <w:bottom w:val="none" w:sz="0" w:space="0" w:color="auto"/>
            <w:right w:val="none" w:sz="0" w:space="0" w:color="auto"/>
          </w:divBdr>
        </w:div>
        <w:div w:id="1945333955">
          <w:marLeft w:val="640"/>
          <w:marRight w:val="0"/>
          <w:marTop w:val="0"/>
          <w:marBottom w:val="0"/>
          <w:divBdr>
            <w:top w:val="none" w:sz="0" w:space="0" w:color="auto"/>
            <w:left w:val="none" w:sz="0" w:space="0" w:color="auto"/>
            <w:bottom w:val="none" w:sz="0" w:space="0" w:color="auto"/>
            <w:right w:val="none" w:sz="0" w:space="0" w:color="auto"/>
          </w:divBdr>
        </w:div>
        <w:div w:id="79373237">
          <w:marLeft w:val="640"/>
          <w:marRight w:val="0"/>
          <w:marTop w:val="0"/>
          <w:marBottom w:val="0"/>
          <w:divBdr>
            <w:top w:val="none" w:sz="0" w:space="0" w:color="auto"/>
            <w:left w:val="none" w:sz="0" w:space="0" w:color="auto"/>
            <w:bottom w:val="none" w:sz="0" w:space="0" w:color="auto"/>
            <w:right w:val="none" w:sz="0" w:space="0" w:color="auto"/>
          </w:divBdr>
        </w:div>
        <w:div w:id="78061674">
          <w:marLeft w:val="640"/>
          <w:marRight w:val="0"/>
          <w:marTop w:val="0"/>
          <w:marBottom w:val="0"/>
          <w:divBdr>
            <w:top w:val="none" w:sz="0" w:space="0" w:color="auto"/>
            <w:left w:val="none" w:sz="0" w:space="0" w:color="auto"/>
            <w:bottom w:val="none" w:sz="0" w:space="0" w:color="auto"/>
            <w:right w:val="none" w:sz="0" w:space="0" w:color="auto"/>
          </w:divBdr>
        </w:div>
        <w:div w:id="392698594">
          <w:marLeft w:val="640"/>
          <w:marRight w:val="0"/>
          <w:marTop w:val="0"/>
          <w:marBottom w:val="0"/>
          <w:divBdr>
            <w:top w:val="none" w:sz="0" w:space="0" w:color="auto"/>
            <w:left w:val="none" w:sz="0" w:space="0" w:color="auto"/>
            <w:bottom w:val="none" w:sz="0" w:space="0" w:color="auto"/>
            <w:right w:val="none" w:sz="0" w:space="0" w:color="auto"/>
          </w:divBdr>
        </w:div>
        <w:div w:id="1558324321">
          <w:marLeft w:val="640"/>
          <w:marRight w:val="0"/>
          <w:marTop w:val="0"/>
          <w:marBottom w:val="0"/>
          <w:divBdr>
            <w:top w:val="none" w:sz="0" w:space="0" w:color="auto"/>
            <w:left w:val="none" w:sz="0" w:space="0" w:color="auto"/>
            <w:bottom w:val="none" w:sz="0" w:space="0" w:color="auto"/>
            <w:right w:val="none" w:sz="0" w:space="0" w:color="auto"/>
          </w:divBdr>
        </w:div>
        <w:div w:id="835850349">
          <w:marLeft w:val="640"/>
          <w:marRight w:val="0"/>
          <w:marTop w:val="0"/>
          <w:marBottom w:val="0"/>
          <w:divBdr>
            <w:top w:val="none" w:sz="0" w:space="0" w:color="auto"/>
            <w:left w:val="none" w:sz="0" w:space="0" w:color="auto"/>
            <w:bottom w:val="none" w:sz="0" w:space="0" w:color="auto"/>
            <w:right w:val="none" w:sz="0" w:space="0" w:color="auto"/>
          </w:divBdr>
        </w:div>
        <w:div w:id="1953978721">
          <w:marLeft w:val="640"/>
          <w:marRight w:val="0"/>
          <w:marTop w:val="0"/>
          <w:marBottom w:val="0"/>
          <w:divBdr>
            <w:top w:val="none" w:sz="0" w:space="0" w:color="auto"/>
            <w:left w:val="none" w:sz="0" w:space="0" w:color="auto"/>
            <w:bottom w:val="none" w:sz="0" w:space="0" w:color="auto"/>
            <w:right w:val="none" w:sz="0" w:space="0" w:color="auto"/>
          </w:divBdr>
        </w:div>
        <w:div w:id="640306206">
          <w:marLeft w:val="640"/>
          <w:marRight w:val="0"/>
          <w:marTop w:val="0"/>
          <w:marBottom w:val="0"/>
          <w:divBdr>
            <w:top w:val="none" w:sz="0" w:space="0" w:color="auto"/>
            <w:left w:val="none" w:sz="0" w:space="0" w:color="auto"/>
            <w:bottom w:val="none" w:sz="0" w:space="0" w:color="auto"/>
            <w:right w:val="none" w:sz="0" w:space="0" w:color="auto"/>
          </w:divBdr>
        </w:div>
        <w:div w:id="1252810733">
          <w:marLeft w:val="640"/>
          <w:marRight w:val="0"/>
          <w:marTop w:val="0"/>
          <w:marBottom w:val="0"/>
          <w:divBdr>
            <w:top w:val="none" w:sz="0" w:space="0" w:color="auto"/>
            <w:left w:val="none" w:sz="0" w:space="0" w:color="auto"/>
            <w:bottom w:val="none" w:sz="0" w:space="0" w:color="auto"/>
            <w:right w:val="none" w:sz="0" w:space="0" w:color="auto"/>
          </w:divBdr>
        </w:div>
        <w:div w:id="2016300247">
          <w:marLeft w:val="640"/>
          <w:marRight w:val="0"/>
          <w:marTop w:val="0"/>
          <w:marBottom w:val="0"/>
          <w:divBdr>
            <w:top w:val="none" w:sz="0" w:space="0" w:color="auto"/>
            <w:left w:val="none" w:sz="0" w:space="0" w:color="auto"/>
            <w:bottom w:val="none" w:sz="0" w:space="0" w:color="auto"/>
            <w:right w:val="none" w:sz="0" w:space="0" w:color="auto"/>
          </w:divBdr>
        </w:div>
        <w:div w:id="1241478601">
          <w:marLeft w:val="640"/>
          <w:marRight w:val="0"/>
          <w:marTop w:val="0"/>
          <w:marBottom w:val="0"/>
          <w:divBdr>
            <w:top w:val="none" w:sz="0" w:space="0" w:color="auto"/>
            <w:left w:val="none" w:sz="0" w:space="0" w:color="auto"/>
            <w:bottom w:val="none" w:sz="0" w:space="0" w:color="auto"/>
            <w:right w:val="none" w:sz="0" w:space="0" w:color="auto"/>
          </w:divBdr>
        </w:div>
        <w:div w:id="1751656679">
          <w:marLeft w:val="640"/>
          <w:marRight w:val="0"/>
          <w:marTop w:val="0"/>
          <w:marBottom w:val="0"/>
          <w:divBdr>
            <w:top w:val="none" w:sz="0" w:space="0" w:color="auto"/>
            <w:left w:val="none" w:sz="0" w:space="0" w:color="auto"/>
            <w:bottom w:val="none" w:sz="0" w:space="0" w:color="auto"/>
            <w:right w:val="none" w:sz="0" w:space="0" w:color="auto"/>
          </w:divBdr>
        </w:div>
        <w:div w:id="2059741964">
          <w:marLeft w:val="640"/>
          <w:marRight w:val="0"/>
          <w:marTop w:val="0"/>
          <w:marBottom w:val="0"/>
          <w:divBdr>
            <w:top w:val="none" w:sz="0" w:space="0" w:color="auto"/>
            <w:left w:val="none" w:sz="0" w:space="0" w:color="auto"/>
            <w:bottom w:val="none" w:sz="0" w:space="0" w:color="auto"/>
            <w:right w:val="none" w:sz="0" w:space="0" w:color="auto"/>
          </w:divBdr>
        </w:div>
        <w:div w:id="895093698">
          <w:marLeft w:val="640"/>
          <w:marRight w:val="0"/>
          <w:marTop w:val="0"/>
          <w:marBottom w:val="0"/>
          <w:divBdr>
            <w:top w:val="none" w:sz="0" w:space="0" w:color="auto"/>
            <w:left w:val="none" w:sz="0" w:space="0" w:color="auto"/>
            <w:bottom w:val="none" w:sz="0" w:space="0" w:color="auto"/>
            <w:right w:val="none" w:sz="0" w:space="0" w:color="auto"/>
          </w:divBdr>
        </w:div>
        <w:div w:id="1044522394">
          <w:marLeft w:val="640"/>
          <w:marRight w:val="0"/>
          <w:marTop w:val="0"/>
          <w:marBottom w:val="0"/>
          <w:divBdr>
            <w:top w:val="none" w:sz="0" w:space="0" w:color="auto"/>
            <w:left w:val="none" w:sz="0" w:space="0" w:color="auto"/>
            <w:bottom w:val="none" w:sz="0" w:space="0" w:color="auto"/>
            <w:right w:val="none" w:sz="0" w:space="0" w:color="auto"/>
          </w:divBdr>
        </w:div>
        <w:div w:id="70978533">
          <w:marLeft w:val="640"/>
          <w:marRight w:val="0"/>
          <w:marTop w:val="0"/>
          <w:marBottom w:val="0"/>
          <w:divBdr>
            <w:top w:val="none" w:sz="0" w:space="0" w:color="auto"/>
            <w:left w:val="none" w:sz="0" w:space="0" w:color="auto"/>
            <w:bottom w:val="none" w:sz="0" w:space="0" w:color="auto"/>
            <w:right w:val="none" w:sz="0" w:space="0" w:color="auto"/>
          </w:divBdr>
        </w:div>
        <w:div w:id="776485426">
          <w:marLeft w:val="640"/>
          <w:marRight w:val="0"/>
          <w:marTop w:val="0"/>
          <w:marBottom w:val="0"/>
          <w:divBdr>
            <w:top w:val="none" w:sz="0" w:space="0" w:color="auto"/>
            <w:left w:val="none" w:sz="0" w:space="0" w:color="auto"/>
            <w:bottom w:val="none" w:sz="0" w:space="0" w:color="auto"/>
            <w:right w:val="none" w:sz="0" w:space="0" w:color="auto"/>
          </w:divBdr>
        </w:div>
        <w:div w:id="408692244">
          <w:marLeft w:val="640"/>
          <w:marRight w:val="0"/>
          <w:marTop w:val="0"/>
          <w:marBottom w:val="0"/>
          <w:divBdr>
            <w:top w:val="none" w:sz="0" w:space="0" w:color="auto"/>
            <w:left w:val="none" w:sz="0" w:space="0" w:color="auto"/>
            <w:bottom w:val="none" w:sz="0" w:space="0" w:color="auto"/>
            <w:right w:val="none" w:sz="0" w:space="0" w:color="auto"/>
          </w:divBdr>
        </w:div>
        <w:div w:id="2146697595">
          <w:marLeft w:val="640"/>
          <w:marRight w:val="0"/>
          <w:marTop w:val="0"/>
          <w:marBottom w:val="0"/>
          <w:divBdr>
            <w:top w:val="none" w:sz="0" w:space="0" w:color="auto"/>
            <w:left w:val="none" w:sz="0" w:space="0" w:color="auto"/>
            <w:bottom w:val="none" w:sz="0" w:space="0" w:color="auto"/>
            <w:right w:val="none" w:sz="0" w:space="0" w:color="auto"/>
          </w:divBdr>
        </w:div>
        <w:div w:id="2098362478">
          <w:marLeft w:val="640"/>
          <w:marRight w:val="0"/>
          <w:marTop w:val="0"/>
          <w:marBottom w:val="0"/>
          <w:divBdr>
            <w:top w:val="none" w:sz="0" w:space="0" w:color="auto"/>
            <w:left w:val="none" w:sz="0" w:space="0" w:color="auto"/>
            <w:bottom w:val="none" w:sz="0" w:space="0" w:color="auto"/>
            <w:right w:val="none" w:sz="0" w:space="0" w:color="auto"/>
          </w:divBdr>
        </w:div>
        <w:div w:id="1835560499">
          <w:marLeft w:val="640"/>
          <w:marRight w:val="0"/>
          <w:marTop w:val="0"/>
          <w:marBottom w:val="0"/>
          <w:divBdr>
            <w:top w:val="none" w:sz="0" w:space="0" w:color="auto"/>
            <w:left w:val="none" w:sz="0" w:space="0" w:color="auto"/>
            <w:bottom w:val="none" w:sz="0" w:space="0" w:color="auto"/>
            <w:right w:val="none" w:sz="0" w:space="0" w:color="auto"/>
          </w:divBdr>
        </w:div>
        <w:div w:id="118568760">
          <w:marLeft w:val="640"/>
          <w:marRight w:val="0"/>
          <w:marTop w:val="0"/>
          <w:marBottom w:val="0"/>
          <w:divBdr>
            <w:top w:val="none" w:sz="0" w:space="0" w:color="auto"/>
            <w:left w:val="none" w:sz="0" w:space="0" w:color="auto"/>
            <w:bottom w:val="none" w:sz="0" w:space="0" w:color="auto"/>
            <w:right w:val="none" w:sz="0" w:space="0" w:color="auto"/>
          </w:divBdr>
        </w:div>
        <w:div w:id="1045905078">
          <w:marLeft w:val="640"/>
          <w:marRight w:val="0"/>
          <w:marTop w:val="0"/>
          <w:marBottom w:val="0"/>
          <w:divBdr>
            <w:top w:val="none" w:sz="0" w:space="0" w:color="auto"/>
            <w:left w:val="none" w:sz="0" w:space="0" w:color="auto"/>
            <w:bottom w:val="none" w:sz="0" w:space="0" w:color="auto"/>
            <w:right w:val="none" w:sz="0" w:space="0" w:color="auto"/>
          </w:divBdr>
        </w:div>
        <w:div w:id="1221945289">
          <w:marLeft w:val="640"/>
          <w:marRight w:val="0"/>
          <w:marTop w:val="0"/>
          <w:marBottom w:val="0"/>
          <w:divBdr>
            <w:top w:val="none" w:sz="0" w:space="0" w:color="auto"/>
            <w:left w:val="none" w:sz="0" w:space="0" w:color="auto"/>
            <w:bottom w:val="none" w:sz="0" w:space="0" w:color="auto"/>
            <w:right w:val="none" w:sz="0" w:space="0" w:color="auto"/>
          </w:divBdr>
        </w:div>
        <w:div w:id="309795694">
          <w:marLeft w:val="640"/>
          <w:marRight w:val="0"/>
          <w:marTop w:val="0"/>
          <w:marBottom w:val="0"/>
          <w:divBdr>
            <w:top w:val="none" w:sz="0" w:space="0" w:color="auto"/>
            <w:left w:val="none" w:sz="0" w:space="0" w:color="auto"/>
            <w:bottom w:val="none" w:sz="0" w:space="0" w:color="auto"/>
            <w:right w:val="none" w:sz="0" w:space="0" w:color="auto"/>
          </w:divBdr>
        </w:div>
        <w:div w:id="926042308">
          <w:marLeft w:val="640"/>
          <w:marRight w:val="0"/>
          <w:marTop w:val="0"/>
          <w:marBottom w:val="0"/>
          <w:divBdr>
            <w:top w:val="none" w:sz="0" w:space="0" w:color="auto"/>
            <w:left w:val="none" w:sz="0" w:space="0" w:color="auto"/>
            <w:bottom w:val="none" w:sz="0" w:space="0" w:color="auto"/>
            <w:right w:val="none" w:sz="0" w:space="0" w:color="auto"/>
          </w:divBdr>
        </w:div>
        <w:div w:id="359428775">
          <w:marLeft w:val="640"/>
          <w:marRight w:val="0"/>
          <w:marTop w:val="0"/>
          <w:marBottom w:val="0"/>
          <w:divBdr>
            <w:top w:val="none" w:sz="0" w:space="0" w:color="auto"/>
            <w:left w:val="none" w:sz="0" w:space="0" w:color="auto"/>
            <w:bottom w:val="none" w:sz="0" w:space="0" w:color="auto"/>
            <w:right w:val="none" w:sz="0" w:space="0" w:color="auto"/>
          </w:divBdr>
        </w:div>
        <w:div w:id="31855048">
          <w:marLeft w:val="640"/>
          <w:marRight w:val="0"/>
          <w:marTop w:val="0"/>
          <w:marBottom w:val="0"/>
          <w:divBdr>
            <w:top w:val="none" w:sz="0" w:space="0" w:color="auto"/>
            <w:left w:val="none" w:sz="0" w:space="0" w:color="auto"/>
            <w:bottom w:val="none" w:sz="0" w:space="0" w:color="auto"/>
            <w:right w:val="none" w:sz="0" w:space="0" w:color="auto"/>
          </w:divBdr>
        </w:div>
        <w:div w:id="98375480">
          <w:marLeft w:val="640"/>
          <w:marRight w:val="0"/>
          <w:marTop w:val="0"/>
          <w:marBottom w:val="0"/>
          <w:divBdr>
            <w:top w:val="none" w:sz="0" w:space="0" w:color="auto"/>
            <w:left w:val="none" w:sz="0" w:space="0" w:color="auto"/>
            <w:bottom w:val="none" w:sz="0" w:space="0" w:color="auto"/>
            <w:right w:val="none" w:sz="0" w:space="0" w:color="auto"/>
          </w:divBdr>
        </w:div>
        <w:div w:id="106702215">
          <w:marLeft w:val="640"/>
          <w:marRight w:val="0"/>
          <w:marTop w:val="0"/>
          <w:marBottom w:val="0"/>
          <w:divBdr>
            <w:top w:val="none" w:sz="0" w:space="0" w:color="auto"/>
            <w:left w:val="none" w:sz="0" w:space="0" w:color="auto"/>
            <w:bottom w:val="none" w:sz="0" w:space="0" w:color="auto"/>
            <w:right w:val="none" w:sz="0" w:space="0" w:color="auto"/>
          </w:divBdr>
        </w:div>
        <w:div w:id="844201413">
          <w:marLeft w:val="640"/>
          <w:marRight w:val="0"/>
          <w:marTop w:val="0"/>
          <w:marBottom w:val="0"/>
          <w:divBdr>
            <w:top w:val="none" w:sz="0" w:space="0" w:color="auto"/>
            <w:left w:val="none" w:sz="0" w:space="0" w:color="auto"/>
            <w:bottom w:val="none" w:sz="0" w:space="0" w:color="auto"/>
            <w:right w:val="none" w:sz="0" w:space="0" w:color="auto"/>
          </w:divBdr>
        </w:div>
        <w:div w:id="169032407">
          <w:marLeft w:val="640"/>
          <w:marRight w:val="0"/>
          <w:marTop w:val="0"/>
          <w:marBottom w:val="0"/>
          <w:divBdr>
            <w:top w:val="none" w:sz="0" w:space="0" w:color="auto"/>
            <w:left w:val="none" w:sz="0" w:space="0" w:color="auto"/>
            <w:bottom w:val="none" w:sz="0" w:space="0" w:color="auto"/>
            <w:right w:val="none" w:sz="0" w:space="0" w:color="auto"/>
          </w:divBdr>
        </w:div>
        <w:div w:id="1840387078">
          <w:marLeft w:val="640"/>
          <w:marRight w:val="0"/>
          <w:marTop w:val="0"/>
          <w:marBottom w:val="0"/>
          <w:divBdr>
            <w:top w:val="none" w:sz="0" w:space="0" w:color="auto"/>
            <w:left w:val="none" w:sz="0" w:space="0" w:color="auto"/>
            <w:bottom w:val="none" w:sz="0" w:space="0" w:color="auto"/>
            <w:right w:val="none" w:sz="0" w:space="0" w:color="auto"/>
          </w:divBdr>
        </w:div>
        <w:div w:id="876507364">
          <w:marLeft w:val="640"/>
          <w:marRight w:val="0"/>
          <w:marTop w:val="0"/>
          <w:marBottom w:val="0"/>
          <w:divBdr>
            <w:top w:val="none" w:sz="0" w:space="0" w:color="auto"/>
            <w:left w:val="none" w:sz="0" w:space="0" w:color="auto"/>
            <w:bottom w:val="none" w:sz="0" w:space="0" w:color="auto"/>
            <w:right w:val="none" w:sz="0" w:space="0" w:color="auto"/>
          </w:divBdr>
        </w:div>
        <w:div w:id="8795108">
          <w:marLeft w:val="640"/>
          <w:marRight w:val="0"/>
          <w:marTop w:val="0"/>
          <w:marBottom w:val="0"/>
          <w:divBdr>
            <w:top w:val="none" w:sz="0" w:space="0" w:color="auto"/>
            <w:left w:val="none" w:sz="0" w:space="0" w:color="auto"/>
            <w:bottom w:val="none" w:sz="0" w:space="0" w:color="auto"/>
            <w:right w:val="none" w:sz="0" w:space="0" w:color="auto"/>
          </w:divBdr>
        </w:div>
        <w:div w:id="635330818">
          <w:marLeft w:val="640"/>
          <w:marRight w:val="0"/>
          <w:marTop w:val="0"/>
          <w:marBottom w:val="0"/>
          <w:divBdr>
            <w:top w:val="none" w:sz="0" w:space="0" w:color="auto"/>
            <w:left w:val="none" w:sz="0" w:space="0" w:color="auto"/>
            <w:bottom w:val="none" w:sz="0" w:space="0" w:color="auto"/>
            <w:right w:val="none" w:sz="0" w:space="0" w:color="auto"/>
          </w:divBdr>
        </w:div>
        <w:div w:id="1595363591">
          <w:marLeft w:val="640"/>
          <w:marRight w:val="0"/>
          <w:marTop w:val="0"/>
          <w:marBottom w:val="0"/>
          <w:divBdr>
            <w:top w:val="none" w:sz="0" w:space="0" w:color="auto"/>
            <w:left w:val="none" w:sz="0" w:space="0" w:color="auto"/>
            <w:bottom w:val="none" w:sz="0" w:space="0" w:color="auto"/>
            <w:right w:val="none" w:sz="0" w:space="0" w:color="auto"/>
          </w:divBdr>
        </w:div>
        <w:div w:id="760107854">
          <w:marLeft w:val="640"/>
          <w:marRight w:val="0"/>
          <w:marTop w:val="0"/>
          <w:marBottom w:val="0"/>
          <w:divBdr>
            <w:top w:val="none" w:sz="0" w:space="0" w:color="auto"/>
            <w:left w:val="none" w:sz="0" w:space="0" w:color="auto"/>
            <w:bottom w:val="none" w:sz="0" w:space="0" w:color="auto"/>
            <w:right w:val="none" w:sz="0" w:space="0" w:color="auto"/>
          </w:divBdr>
        </w:div>
        <w:div w:id="1217156798">
          <w:marLeft w:val="640"/>
          <w:marRight w:val="0"/>
          <w:marTop w:val="0"/>
          <w:marBottom w:val="0"/>
          <w:divBdr>
            <w:top w:val="none" w:sz="0" w:space="0" w:color="auto"/>
            <w:left w:val="none" w:sz="0" w:space="0" w:color="auto"/>
            <w:bottom w:val="none" w:sz="0" w:space="0" w:color="auto"/>
            <w:right w:val="none" w:sz="0" w:space="0" w:color="auto"/>
          </w:divBdr>
        </w:div>
        <w:div w:id="502399544">
          <w:marLeft w:val="640"/>
          <w:marRight w:val="0"/>
          <w:marTop w:val="0"/>
          <w:marBottom w:val="0"/>
          <w:divBdr>
            <w:top w:val="none" w:sz="0" w:space="0" w:color="auto"/>
            <w:left w:val="none" w:sz="0" w:space="0" w:color="auto"/>
            <w:bottom w:val="none" w:sz="0" w:space="0" w:color="auto"/>
            <w:right w:val="none" w:sz="0" w:space="0" w:color="auto"/>
          </w:divBdr>
        </w:div>
        <w:div w:id="1862087600">
          <w:marLeft w:val="640"/>
          <w:marRight w:val="0"/>
          <w:marTop w:val="0"/>
          <w:marBottom w:val="0"/>
          <w:divBdr>
            <w:top w:val="none" w:sz="0" w:space="0" w:color="auto"/>
            <w:left w:val="none" w:sz="0" w:space="0" w:color="auto"/>
            <w:bottom w:val="none" w:sz="0" w:space="0" w:color="auto"/>
            <w:right w:val="none" w:sz="0" w:space="0" w:color="auto"/>
          </w:divBdr>
        </w:div>
        <w:div w:id="1919091138">
          <w:marLeft w:val="640"/>
          <w:marRight w:val="0"/>
          <w:marTop w:val="0"/>
          <w:marBottom w:val="0"/>
          <w:divBdr>
            <w:top w:val="none" w:sz="0" w:space="0" w:color="auto"/>
            <w:left w:val="none" w:sz="0" w:space="0" w:color="auto"/>
            <w:bottom w:val="none" w:sz="0" w:space="0" w:color="auto"/>
            <w:right w:val="none" w:sz="0" w:space="0" w:color="auto"/>
          </w:divBdr>
        </w:div>
        <w:div w:id="528227559">
          <w:marLeft w:val="640"/>
          <w:marRight w:val="0"/>
          <w:marTop w:val="0"/>
          <w:marBottom w:val="0"/>
          <w:divBdr>
            <w:top w:val="none" w:sz="0" w:space="0" w:color="auto"/>
            <w:left w:val="none" w:sz="0" w:space="0" w:color="auto"/>
            <w:bottom w:val="none" w:sz="0" w:space="0" w:color="auto"/>
            <w:right w:val="none" w:sz="0" w:space="0" w:color="auto"/>
          </w:divBdr>
        </w:div>
        <w:div w:id="1486969914">
          <w:marLeft w:val="640"/>
          <w:marRight w:val="0"/>
          <w:marTop w:val="0"/>
          <w:marBottom w:val="0"/>
          <w:divBdr>
            <w:top w:val="none" w:sz="0" w:space="0" w:color="auto"/>
            <w:left w:val="none" w:sz="0" w:space="0" w:color="auto"/>
            <w:bottom w:val="none" w:sz="0" w:space="0" w:color="auto"/>
            <w:right w:val="none" w:sz="0" w:space="0" w:color="auto"/>
          </w:divBdr>
        </w:div>
        <w:div w:id="1723207747">
          <w:marLeft w:val="640"/>
          <w:marRight w:val="0"/>
          <w:marTop w:val="0"/>
          <w:marBottom w:val="0"/>
          <w:divBdr>
            <w:top w:val="none" w:sz="0" w:space="0" w:color="auto"/>
            <w:left w:val="none" w:sz="0" w:space="0" w:color="auto"/>
            <w:bottom w:val="none" w:sz="0" w:space="0" w:color="auto"/>
            <w:right w:val="none" w:sz="0" w:space="0" w:color="auto"/>
          </w:divBdr>
        </w:div>
        <w:div w:id="477653050">
          <w:marLeft w:val="640"/>
          <w:marRight w:val="0"/>
          <w:marTop w:val="0"/>
          <w:marBottom w:val="0"/>
          <w:divBdr>
            <w:top w:val="none" w:sz="0" w:space="0" w:color="auto"/>
            <w:left w:val="none" w:sz="0" w:space="0" w:color="auto"/>
            <w:bottom w:val="none" w:sz="0" w:space="0" w:color="auto"/>
            <w:right w:val="none" w:sz="0" w:space="0" w:color="auto"/>
          </w:divBdr>
        </w:div>
        <w:div w:id="1807887940">
          <w:marLeft w:val="640"/>
          <w:marRight w:val="0"/>
          <w:marTop w:val="0"/>
          <w:marBottom w:val="0"/>
          <w:divBdr>
            <w:top w:val="none" w:sz="0" w:space="0" w:color="auto"/>
            <w:left w:val="none" w:sz="0" w:space="0" w:color="auto"/>
            <w:bottom w:val="none" w:sz="0" w:space="0" w:color="auto"/>
            <w:right w:val="none" w:sz="0" w:space="0" w:color="auto"/>
          </w:divBdr>
        </w:div>
        <w:div w:id="1898782854">
          <w:marLeft w:val="640"/>
          <w:marRight w:val="0"/>
          <w:marTop w:val="0"/>
          <w:marBottom w:val="0"/>
          <w:divBdr>
            <w:top w:val="none" w:sz="0" w:space="0" w:color="auto"/>
            <w:left w:val="none" w:sz="0" w:space="0" w:color="auto"/>
            <w:bottom w:val="none" w:sz="0" w:space="0" w:color="auto"/>
            <w:right w:val="none" w:sz="0" w:space="0" w:color="auto"/>
          </w:divBdr>
        </w:div>
        <w:div w:id="1292327019">
          <w:marLeft w:val="640"/>
          <w:marRight w:val="0"/>
          <w:marTop w:val="0"/>
          <w:marBottom w:val="0"/>
          <w:divBdr>
            <w:top w:val="none" w:sz="0" w:space="0" w:color="auto"/>
            <w:left w:val="none" w:sz="0" w:space="0" w:color="auto"/>
            <w:bottom w:val="none" w:sz="0" w:space="0" w:color="auto"/>
            <w:right w:val="none" w:sz="0" w:space="0" w:color="auto"/>
          </w:divBdr>
        </w:div>
        <w:div w:id="1150442889">
          <w:marLeft w:val="640"/>
          <w:marRight w:val="0"/>
          <w:marTop w:val="0"/>
          <w:marBottom w:val="0"/>
          <w:divBdr>
            <w:top w:val="none" w:sz="0" w:space="0" w:color="auto"/>
            <w:left w:val="none" w:sz="0" w:space="0" w:color="auto"/>
            <w:bottom w:val="none" w:sz="0" w:space="0" w:color="auto"/>
            <w:right w:val="none" w:sz="0" w:space="0" w:color="auto"/>
          </w:divBdr>
        </w:div>
        <w:div w:id="123348433">
          <w:marLeft w:val="640"/>
          <w:marRight w:val="0"/>
          <w:marTop w:val="0"/>
          <w:marBottom w:val="0"/>
          <w:divBdr>
            <w:top w:val="none" w:sz="0" w:space="0" w:color="auto"/>
            <w:left w:val="none" w:sz="0" w:space="0" w:color="auto"/>
            <w:bottom w:val="none" w:sz="0" w:space="0" w:color="auto"/>
            <w:right w:val="none" w:sz="0" w:space="0" w:color="auto"/>
          </w:divBdr>
        </w:div>
        <w:div w:id="596330893">
          <w:marLeft w:val="640"/>
          <w:marRight w:val="0"/>
          <w:marTop w:val="0"/>
          <w:marBottom w:val="0"/>
          <w:divBdr>
            <w:top w:val="none" w:sz="0" w:space="0" w:color="auto"/>
            <w:left w:val="none" w:sz="0" w:space="0" w:color="auto"/>
            <w:bottom w:val="none" w:sz="0" w:space="0" w:color="auto"/>
            <w:right w:val="none" w:sz="0" w:space="0" w:color="auto"/>
          </w:divBdr>
        </w:div>
        <w:div w:id="1244296889">
          <w:marLeft w:val="640"/>
          <w:marRight w:val="0"/>
          <w:marTop w:val="0"/>
          <w:marBottom w:val="0"/>
          <w:divBdr>
            <w:top w:val="none" w:sz="0" w:space="0" w:color="auto"/>
            <w:left w:val="none" w:sz="0" w:space="0" w:color="auto"/>
            <w:bottom w:val="none" w:sz="0" w:space="0" w:color="auto"/>
            <w:right w:val="none" w:sz="0" w:space="0" w:color="auto"/>
          </w:divBdr>
        </w:div>
        <w:div w:id="748036338">
          <w:marLeft w:val="640"/>
          <w:marRight w:val="0"/>
          <w:marTop w:val="0"/>
          <w:marBottom w:val="0"/>
          <w:divBdr>
            <w:top w:val="none" w:sz="0" w:space="0" w:color="auto"/>
            <w:left w:val="none" w:sz="0" w:space="0" w:color="auto"/>
            <w:bottom w:val="none" w:sz="0" w:space="0" w:color="auto"/>
            <w:right w:val="none" w:sz="0" w:space="0" w:color="auto"/>
          </w:divBdr>
        </w:div>
        <w:div w:id="1454709726">
          <w:marLeft w:val="640"/>
          <w:marRight w:val="0"/>
          <w:marTop w:val="0"/>
          <w:marBottom w:val="0"/>
          <w:divBdr>
            <w:top w:val="none" w:sz="0" w:space="0" w:color="auto"/>
            <w:left w:val="none" w:sz="0" w:space="0" w:color="auto"/>
            <w:bottom w:val="none" w:sz="0" w:space="0" w:color="auto"/>
            <w:right w:val="none" w:sz="0" w:space="0" w:color="auto"/>
          </w:divBdr>
        </w:div>
        <w:div w:id="291714699">
          <w:marLeft w:val="640"/>
          <w:marRight w:val="0"/>
          <w:marTop w:val="0"/>
          <w:marBottom w:val="0"/>
          <w:divBdr>
            <w:top w:val="none" w:sz="0" w:space="0" w:color="auto"/>
            <w:left w:val="none" w:sz="0" w:space="0" w:color="auto"/>
            <w:bottom w:val="none" w:sz="0" w:space="0" w:color="auto"/>
            <w:right w:val="none" w:sz="0" w:space="0" w:color="auto"/>
          </w:divBdr>
        </w:div>
        <w:div w:id="240914385">
          <w:marLeft w:val="640"/>
          <w:marRight w:val="0"/>
          <w:marTop w:val="0"/>
          <w:marBottom w:val="0"/>
          <w:divBdr>
            <w:top w:val="none" w:sz="0" w:space="0" w:color="auto"/>
            <w:left w:val="none" w:sz="0" w:space="0" w:color="auto"/>
            <w:bottom w:val="none" w:sz="0" w:space="0" w:color="auto"/>
            <w:right w:val="none" w:sz="0" w:space="0" w:color="auto"/>
          </w:divBdr>
        </w:div>
        <w:div w:id="819079752">
          <w:marLeft w:val="640"/>
          <w:marRight w:val="0"/>
          <w:marTop w:val="0"/>
          <w:marBottom w:val="0"/>
          <w:divBdr>
            <w:top w:val="none" w:sz="0" w:space="0" w:color="auto"/>
            <w:left w:val="none" w:sz="0" w:space="0" w:color="auto"/>
            <w:bottom w:val="none" w:sz="0" w:space="0" w:color="auto"/>
            <w:right w:val="none" w:sz="0" w:space="0" w:color="auto"/>
          </w:divBdr>
        </w:div>
        <w:div w:id="2052226806">
          <w:marLeft w:val="640"/>
          <w:marRight w:val="0"/>
          <w:marTop w:val="0"/>
          <w:marBottom w:val="0"/>
          <w:divBdr>
            <w:top w:val="none" w:sz="0" w:space="0" w:color="auto"/>
            <w:left w:val="none" w:sz="0" w:space="0" w:color="auto"/>
            <w:bottom w:val="none" w:sz="0" w:space="0" w:color="auto"/>
            <w:right w:val="none" w:sz="0" w:space="0" w:color="auto"/>
          </w:divBdr>
        </w:div>
        <w:div w:id="1397119375">
          <w:marLeft w:val="640"/>
          <w:marRight w:val="0"/>
          <w:marTop w:val="0"/>
          <w:marBottom w:val="0"/>
          <w:divBdr>
            <w:top w:val="none" w:sz="0" w:space="0" w:color="auto"/>
            <w:left w:val="none" w:sz="0" w:space="0" w:color="auto"/>
            <w:bottom w:val="none" w:sz="0" w:space="0" w:color="auto"/>
            <w:right w:val="none" w:sz="0" w:space="0" w:color="auto"/>
          </w:divBdr>
        </w:div>
        <w:div w:id="440035991">
          <w:marLeft w:val="640"/>
          <w:marRight w:val="0"/>
          <w:marTop w:val="0"/>
          <w:marBottom w:val="0"/>
          <w:divBdr>
            <w:top w:val="none" w:sz="0" w:space="0" w:color="auto"/>
            <w:left w:val="none" w:sz="0" w:space="0" w:color="auto"/>
            <w:bottom w:val="none" w:sz="0" w:space="0" w:color="auto"/>
            <w:right w:val="none" w:sz="0" w:space="0" w:color="auto"/>
          </w:divBdr>
        </w:div>
        <w:div w:id="1154377166">
          <w:marLeft w:val="640"/>
          <w:marRight w:val="0"/>
          <w:marTop w:val="0"/>
          <w:marBottom w:val="0"/>
          <w:divBdr>
            <w:top w:val="none" w:sz="0" w:space="0" w:color="auto"/>
            <w:left w:val="none" w:sz="0" w:space="0" w:color="auto"/>
            <w:bottom w:val="none" w:sz="0" w:space="0" w:color="auto"/>
            <w:right w:val="none" w:sz="0" w:space="0" w:color="auto"/>
          </w:divBdr>
        </w:div>
        <w:div w:id="596211104">
          <w:marLeft w:val="640"/>
          <w:marRight w:val="0"/>
          <w:marTop w:val="0"/>
          <w:marBottom w:val="0"/>
          <w:divBdr>
            <w:top w:val="none" w:sz="0" w:space="0" w:color="auto"/>
            <w:left w:val="none" w:sz="0" w:space="0" w:color="auto"/>
            <w:bottom w:val="none" w:sz="0" w:space="0" w:color="auto"/>
            <w:right w:val="none" w:sz="0" w:space="0" w:color="auto"/>
          </w:divBdr>
        </w:div>
        <w:div w:id="991102118">
          <w:marLeft w:val="640"/>
          <w:marRight w:val="0"/>
          <w:marTop w:val="0"/>
          <w:marBottom w:val="0"/>
          <w:divBdr>
            <w:top w:val="none" w:sz="0" w:space="0" w:color="auto"/>
            <w:left w:val="none" w:sz="0" w:space="0" w:color="auto"/>
            <w:bottom w:val="none" w:sz="0" w:space="0" w:color="auto"/>
            <w:right w:val="none" w:sz="0" w:space="0" w:color="auto"/>
          </w:divBdr>
        </w:div>
        <w:div w:id="1404377763">
          <w:marLeft w:val="640"/>
          <w:marRight w:val="0"/>
          <w:marTop w:val="0"/>
          <w:marBottom w:val="0"/>
          <w:divBdr>
            <w:top w:val="none" w:sz="0" w:space="0" w:color="auto"/>
            <w:left w:val="none" w:sz="0" w:space="0" w:color="auto"/>
            <w:bottom w:val="none" w:sz="0" w:space="0" w:color="auto"/>
            <w:right w:val="none" w:sz="0" w:space="0" w:color="auto"/>
          </w:divBdr>
        </w:div>
        <w:div w:id="561985259">
          <w:marLeft w:val="640"/>
          <w:marRight w:val="0"/>
          <w:marTop w:val="0"/>
          <w:marBottom w:val="0"/>
          <w:divBdr>
            <w:top w:val="none" w:sz="0" w:space="0" w:color="auto"/>
            <w:left w:val="none" w:sz="0" w:space="0" w:color="auto"/>
            <w:bottom w:val="none" w:sz="0" w:space="0" w:color="auto"/>
            <w:right w:val="none" w:sz="0" w:space="0" w:color="auto"/>
          </w:divBdr>
        </w:div>
        <w:div w:id="1069574548">
          <w:marLeft w:val="640"/>
          <w:marRight w:val="0"/>
          <w:marTop w:val="0"/>
          <w:marBottom w:val="0"/>
          <w:divBdr>
            <w:top w:val="none" w:sz="0" w:space="0" w:color="auto"/>
            <w:left w:val="none" w:sz="0" w:space="0" w:color="auto"/>
            <w:bottom w:val="none" w:sz="0" w:space="0" w:color="auto"/>
            <w:right w:val="none" w:sz="0" w:space="0" w:color="auto"/>
          </w:divBdr>
        </w:div>
        <w:div w:id="1583686344">
          <w:marLeft w:val="640"/>
          <w:marRight w:val="0"/>
          <w:marTop w:val="0"/>
          <w:marBottom w:val="0"/>
          <w:divBdr>
            <w:top w:val="none" w:sz="0" w:space="0" w:color="auto"/>
            <w:left w:val="none" w:sz="0" w:space="0" w:color="auto"/>
            <w:bottom w:val="none" w:sz="0" w:space="0" w:color="auto"/>
            <w:right w:val="none" w:sz="0" w:space="0" w:color="auto"/>
          </w:divBdr>
        </w:div>
        <w:div w:id="1222789161">
          <w:marLeft w:val="640"/>
          <w:marRight w:val="0"/>
          <w:marTop w:val="0"/>
          <w:marBottom w:val="0"/>
          <w:divBdr>
            <w:top w:val="none" w:sz="0" w:space="0" w:color="auto"/>
            <w:left w:val="none" w:sz="0" w:space="0" w:color="auto"/>
            <w:bottom w:val="none" w:sz="0" w:space="0" w:color="auto"/>
            <w:right w:val="none" w:sz="0" w:space="0" w:color="auto"/>
          </w:divBdr>
        </w:div>
        <w:div w:id="835875276">
          <w:marLeft w:val="640"/>
          <w:marRight w:val="0"/>
          <w:marTop w:val="0"/>
          <w:marBottom w:val="0"/>
          <w:divBdr>
            <w:top w:val="none" w:sz="0" w:space="0" w:color="auto"/>
            <w:left w:val="none" w:sz="0" w:space="0" w:color="auto"/>
            <w:bottom w:val="none" w:sz="0" w:space="0" w:color="auto"/>
            <w:right w:val="none" w:sz="0" w:space="0" w:color="auto"/>
          </w:divBdr>
        </w:div>
        <w:div w:id="28797503">
          <w:marLeft w:val="640"/>
          <w:marRight w:val="0"/>
          <w:marTop w:val="0"/>
          <w:marBottom w:val="0"/>
          <w:divBdr>
            <w:top w:val="none" w:sz="0" w:space="0" w:color="auto"/>
            <w:left w:val="none" w:sz="0" w:space="0" w:color="auto"/>
            <w:bottom w:val="none" w:sz="0" w:space="0" w:color="auto"/>
            <w:right w:val="none" w:sz="0" w:space="0" w:color="auto"/>
          </w:divBdr>
        </w:div>
        <w:div w:id="125896309">
          <w:marLeft w:val="640"/>
          <w:marRight w:val="0"/>
          <w:marTop w:val="0"/>
          <w:marBottom w:val="0"/>
          <w:divBdr>
            <w:top w:val="none" w:sz="0" w:space="0" w:color="auto"/>
            <w:left w:val="none" w:sz="0" w:space="0" w:color="auto"/>
            <w:bottom w:val="none" w:sz="0" w:space="0" w:color="auto"/>
            <w:right w:val="none" w:sz="0" w:space="0" w:color="auto"/>
          </w:divBdr>
        </w:div>
        <w:div w:id="738329217">
          <w:marLeft w:val="640"/>
          <w:marRight w:val="0"/>
          <w:marTop w:val="0"/>
          <w:marBottom w:val="0"/>
          <w:divBdr>
            <w:top w:val="none" w:sz="0" w:space="0" w:color="auto"/>
            <w:left w:val="none" w:sz="0" w:space="0" w:color="auto"/>
            <w:bottom w:val="none" w:sz="0" w:space="0" w:color="auto"/>
            <w:right w:val="none" w:sz="0" w:space="0" w:color="auto"/>
          </w:divBdr>
        </w:div>
        <w:div w:id="1997561778">
          <w:marLeft w:val="640"/>
          <w:marRight w:val="0"/>
          <w:marTop w:val="0"/>
          <w:marBottom w:val="0"/>
          <w:divBdr>
            <w:top w:val="none" w:sz="0" w:space="0" w:color="auto"/>
            <w:left w:val="none" w:sz="0" w:space="0" w:color="auto"/>
            <w:bottom w:val="none" w:sz="0" w:space="0" w:color="auto"/>
            <w:right w:val="none" w:sz="0" w:space="0" w:color="auto"/>
          </w:divBdr>
        </w:div>
        <w:div w:id="1654480796">
          <w:marLeft w:val="640"/>
          <w:marRight w:val="0"/>
          <w:marTop w:val="0"/>
          <w:marBottom w:val="0"/>
          <w:divBdr>
            <w:top w:val="none" w:sz="0" w:space="0" w:color="auto"/>
            <w:left w:val="none" w:sz="0" w:space="0" w:color="auto"/>
            <w:bottom w:val="none" w:sz="0" w:space="0" w:color="auto"/>
            <w:right w:val="none" w:sz="0" w:space="0" w:color="auto"/>
          </w:divBdr>
        </w:div>
        <w:div w:id="519003292">
          <w:marLeft w:val="640"/>
          <w:marRight w:val="0"/>
          <w:marTop w:val="0"/>
          <w:marBottom w:val="0"/>
          <w:divBdr>
            <w:top w:val="none" w:sz="0" w:space="0" w:color="auto"/>
            <w:left w:val="none" w:sz="0" w:space="0" w:color="auto"/>
            <w:bottom w:val="none" w:sz="0" w:space="0" w:color="auto"/>
            <w:right w:val="none" w:sz="0" w:space="0" w:color="auto"/>
          </w:divBdr>
        </w:div>
        <w:div w:id="1633553664">
          <w:marLeft w:val="640"/>
          <w:marRight w:val="0"/>
          <w:marTop w:val="0"/>
          <w:marBottom w:val="0"/>
          <w:divBdr>
            <w:top w:val="none" w:sz="0" w:space="0" w:color="auto"/>
            <w:left w:val="none" w:sz="0" w:space="0" w:color="auto"/>
            <w:bottom w:val="none" w:sz="0" w:space="0" w:color="auto"/>
            <w:right w:val="none" w:sz="0" w:space="0" w:color="auto"/>
          </w:divBdr>
        </w:div>
        <w:div w:id="1572736242">
          <w:marLeft w:val="640"/>
          <w:marRight w:val="0"/>
          <w:marTop w:val="0"/>
          <w:marBottom w:val="0"/>
          <w:divBdr>
            <w:top w:val="none" w:sz="0" w:space="0" w:color="auto"/>
            <w:left w:val="none" w:sz="0" w:space="0" w:color="auto"/>
            <w:bottom w:val="none" w:sz="0" w:space="0" w:color="auto"/>
            <w:right w:val="none" w:sz="0" w:space="0" w:color="auto"/>
          </w:divBdr>
        </w:div>
        <w:div w:id="803305171">
          <w:marLeft w:val="640"/>
          <w:marRight w:val="0"/>
          <w:marTop w:val="0"/>
          <w:marBottom w:val="0"/>
          <w:divBdr>
            <w:top w:val="none" w:sz="0" w:space="0" w:color="auto"/>
            <w:left w:val="none" w:sz="0" w:space="0" w:color="auto"/>
            <w:bottom w:val="none" w:sz="0" w:space="0" w:color="auto"/>
            <w:right w:val="none" w:sz="0" w:space="0" w:color="auto"/>
          </w:divBdr>
        </w:div>
        <w:div w:id="1203208114">
          <w:marLeft w:val="640"/>
          <w:marRight w:val="0"/>
          <w:marTop w:val="0"/>
          <w:marBottom w:val="0"/>
          <w:divBdr>
            <w:top w:val="none" w:sz="0" w:space="0" w:color="auto"/>
            <w:left w:val="none" w:sz="0" w:space="0" w:color="auto"/>
            <w:bottom w:val="none" w:sz="0" w:space="0" w:color="auto"/>
            <w:right w:val="none" w:sz="0" w:space="0" w:color="auto"/>
          </w:divBdr>
        </w:div>
        <w:div w:id="1146095098">
          <w:marLeft w:val="640"/>
          <w:marRight w:val="0"/>
          <w:marTop w:val="0"/>
          <w:marBottom w:val="0"/>
          <w:divBdr>
            <w:top w:val="none" w:sz="0" w:space="0" w:color="auto"/>
            <w:left w:val="none" w:sz="0" w:space="0" w:color="auto"/>
            <w:bottom w:val="none" w:sz="0" w:space="0" w:color="auto"/>
            <w:right w:val="none" w:sz="0" w:space="0" w:color="auto"/>
          </w:divBdr>
        </w:div>
        <w:div w:id="1184054669">
          <w:marLeft w:val="640"/>
          <w:marRight w:val="0"/>
          <w:marTop w:val="0"/>
          <w:marBottom w:val="0"/>
          <w:divBdr>
            <w:top w:val="none" w:sz="0" w:space="0" w:color="auto"/>
            <w:left w:val="none" w:sz="0" w:space="0" w:color="auto"/>
            <w:bottom w:val="none" w:sz="0" w:space="0" w:color="auto"/>
            <w:right w:val="none" w:sz="0" w:space="0" w:color="auto"/>
          </w:divBdr>
        </w:div>
        <w:div w:id="311105891">
          <w:marLeft w:val="640"/>
          <w:marRight w:val="0"/>
          <w:marTop w:val="0"/>
          <w:marBottom w:val="0"/>
          <w:divBdr>
            <w:top w:val="none" w:sz="0" w:space="0" w:color="auto"/>
            <w:left w:val="none" w:sz="0" w:space="0" w:color="auto"/>
            <w:bottom w:val="none" w:sz="0" w:space="0" w:color="auto"/>
            <w:right w:val="none" w:sz="0" w:space="0" w:color="auto"/>
          </w:divBdr>
        </w:div>
        <w:div w:id="1432093857">
          <w:marLeft w:val="640"/>
          <w:marRight w:val="0"/>
          <w:marTop w:val="0"/>
          <w:marBottom w:val="0"/>
          <w:divBdr>
            <w:top w:val="none" w:sz="0" w:space="0" w:color="auto"/>
            <w:left w:val="none" w:sz="0" w:space="0" w:color="auto"/>
            <w:bottom w:val="none" w:sz="0" w:space="0" w:color="auto"/>
            <w:right w:val="none" w:sz="0" w:space="0" w:color="auto"/>
          </w:divBdr>
        </w:div>
        <w:div w:id="1344699921">
          <w:marLeft w:val="640"/>
          <w:marRight w:val="0"/>
          <w:marTop w:val="0"/>
          <w:marBottom w:val="0"/>
          <w:divBdr>
            <w:top w:val="none" w:sz="0" w:space="0" w:color="auto"/>
            <w:left w:val="none" w:sz="0" w:space="0" w:color="auto"/>
            <w:bottom w:val="none" w:sz="0" w:space="0" w:color="auto"/>
            <w:right w:val="none" w:sz="0" w:space="0" w:color="auto"/>
          </w:divBdr>
        </w:div>
        <w:div w:id="1531263753">
          <w:marLeft w:val="640"/>
          <w:marRight w:val="0"/>
          <w:marTop w:val="0"/>
          <w:marBottom w:val="0"/>
          <w:divBdr>
            <w:top w:val="none" w:sz="0" w:space="0" w:color="auto"/>
            <w:left w:val="none" w:sz="0" w:space="0" w:color="auto"/>
            <w:bottom w:val="none" w:sz="0" w:space="0" w:color="auto"/>
            <w:right w:val="none" w:sz="0" w:space="0" w:color="auto"/>
          </w:divBdr>
        </w:div>
        <w:div w:id="1418937021">
          <w:marLeft w:val="640"/>
          <w:marRight w:val="0"/>
          <w:marTop w:val="0"/>
          <w:marBottom w:val="0"/>
          <w:divBdr>
            <w:top w:val="none" w:sz="0" w:space="0" w:color="auto"/>
            <w:left w:val="none" w:sz="0" w:space="0" w:color="auto"/>
            <w:bottom w:val="none" w:sz="0" w:space="0" w:color="auto"/>
            <w:right w:val="none" w:sz="0" w:space="0" w:color="auto"/>
          </w:divBdr>
        </w:div>
        <w:div w:id="545872913">
          <w:marLeft w:val="640"/>
          <w:marRight w:val="0"/>
          <w:marTop w:val="0"/>
          <w:marBottom w:val="0"/>
          <w:divBdr>
            <w:top w:val="none" w:sz="0" w:space="0" w:color="auto"/>
            <w:left w:val="none" w:sz="0" w:space="0" w:color="auto"/>
            <w:bottom w:val="none" w:sz="0" w:space="0" w:color="auto"/>
            <w:right w:val="none" w:sz="0" w:space="0" w:color="auto"/>
          </w:divBdr>
        </w:div>
        <w:div w:id="50420240">
          <w:marLeft w:val="640"/>
          <w:marRight w:val="0"/>
          <w:marTop w:val="0"/>
          <w:marBottom w:val="0"/>
          <w:divBdr>
            <w:top w:val="none" w:sz="0" w:space="0" w:color="auto"/>
            <w:left w:val="none" w:sz="0" w:space="0" w:color="auto"/>
            <w:bottom w:val="none" w:sz="0" w:space="0" w:color="auto"/>
            <w:right w:val="none" w:sz="0" w:space="0" w:color="auto"/>
          </w:divBdr>
        </w:div>
        <w:div w:id="2115128916">
          <w:marLeft w:val="640"/>
          <w:marRight w:val="0"/>
          <w:marTop w:val="0"/>
          <w:marBottom w:val="0"/>
          <w:divBdr>
            <w:top w:val="none" w:sz="0" w:space="0" w:color="auto"/>
            <w:left w:val="none" w:sz="0" w:space="0" w:color="auto"/>
            <w:bottom w:val="none" w:sz="0" w:space="0" w:color="auto"/>
            <w:right w:val="none" w:sz="0" w:space="0" w:color="auto"/>
          </w:divBdr>
        </w:div>
        <w:div w:id="67849842">
          <w:marLeft w:val="640"/>
          <w:marRight w:val="0"/>
          <w:marTop w:val="0"/>
          <w:marBottom w:val="0"/>
          <w:divBdr>
            <w:top w:val="none" w:sz="0" w:space="0" w:color="auto"/>
            <w:left w:val="none" w:sz="0" w:space="0" w:color="auto"/>
            <w:bottom w:val="none" w:sz="0" w:space="0" w:color="auto"/>
            <w:right w:val="none" w:sz="0" w:space="0" w:color="auto"/>
          </w:divBdr>
        </w:div>
        <w:div w:id="573976407">
          <w:marLeft w:val="640"/>
          <w:marRight w:val="0"/>
          <w:marTop w:val="0"/>
          <w:marBottom w:val="0"/>
          <w:divBdr>
            <w:top w:val="none" w:sz="0" w:space="0" w:color="auto"/>
            <w:left w:val="none" w:sz="0" w:space="0" w:color="auto"/>
            <w:bottom w:val="none" w:sz="0" w:space="0" w:color="auto"/>
            <w:right w:val="none" w:sz="0" w:space="0" w:color="auto"/>
          </w:divBdr>
        </w:div>
        <w:div w:id="260380630">
          <w:marLeft w:val="640"/>
          <w:marRight w:val="0"/>
          <w:marTop w:val="0"/>
          <w:marBottom w:val="0"/>
          <w:divBdr>
            <w:top w:val="none" w:sz="0" w:space="0" w:color="auto"/>
            <w:left w:val="none" w:sz="0" w:space="0" w:color="auto"/>
            <w:bottom w:val="none" w:sz="0" w:space="0" w:color="auto"/>
            <w:right w:val="none" w:sz="0" w:space="0" w:color="auto"/>
          </w:divBdr>
        </w:div>
        <w:div w:id="1156920136">
          <w:marLeft w:val="640"/>
          <w:marRight w:val="0"/>
          <w:marTop w:val="0"/>
          <w:marBottom w:val="0"/>
          <w:divBdr>
            <w:top w:val="none" w:sz="0" w:space="0" w:color="auto"/>
            <w:left w:val="none" w:sz="0" w:space="0" w:color="auto"/>
            <w:bottom w:val="none" w:sz="0" w:space="0" w:color="auto"/>
            <w:right w:val="none" w:sz="0" w:space="0" w:color="auto"/>
          </w:divBdr>
        </w:div>
        <w:div w:id="1970358639">
          <w:marLeft w:val="640"/>
          <w:marRight w:val="0"/>
          <w:marTop w:val="0"/>
          <w:marBottom w:val="0"/>
          <w:divBdr>
            <w:top w:val="none" w:sz="0" w:space="0" w:color="auto"/>
            <w:left w:val="none" w:sz="0" w:space="0" w:color="auto"/>
            <w:bottom w:val="none" w:sz="0" w:space="0" w:color="auto"/>
            <w:right w:val="none" w:sz="0" w:space="0" w:color="auto"/>
          </w:divBdr>
        </w:div>
        <w:div w:id="792359267">
          <w:marLeft w:val="640"/>
          <w:marRight w:val="0"/>
          <w:marTop w:val="0"/>
          <w:marBottom w:val="0"/>
          <w:divBdr>
            <w:top w:val="none" w:sz="0" w:space="0" w:color="auto"/>
            <w:left w:val="none" w:sz="0" w:space="0" w:color="auto"/>
            <w:bottom w:val="none" w:sz="0" w:space="0" w:color="auto"/>
            <w:right w:val="none" w:sz="0" w:space="0" w:color="auto"/>
          </w:divBdr>
        </w:div>
        <w:div w:id="1953976636">
          <w:marLeft w:val="640"/>
          <w:marRight w:val="0"/>
          <w:marTop w:val="0"/>
          <w:marBottom w:val="0"/>
          <w:divBdr>
            <w:top w:val="none" w:sz="0" w:space="0" w:color="auto"/>
            <w:left w:val="none" w:sz="0" w:space="0" w:color="auto"/>
            <w:bottom w:val="none" w:sz="0" w:space="0" w:color="auto"/>
            <w:right w:val="none" w:sz="0" w:space="0" w:color="auto"/>
          </w:divBdr>
        </w:div>
        <w:div w:id="914508834">
          <w:marLeft w:val="640"/>
          <w:marRight w:val="0"/>
          <w:marTop w:val="0"/>
          <w:marBottom w:val="0"/>
          <w:divBdr>
            <w:top w:val="none" w:sz="0" w:space="0" w:color="auto"/>
            <w:left w:val="none" w:sz="0" w:space="0" w:color="auto"/>
            <w:bottom w:val="none" w:sz="0" w:space="0" w:color="auto"/>
            <w:right w:val="none" w:sz="0" w:space="0" w:color="auto"/>
          </w:divBdr>
        </w:div>
        <w:div w:id="1211503273">
          <w:marLeft w:val="640"/>
          <w:marRight w:val="0"/>
          <w:marTop w:val="0"/>
          <w:marBottom w:val="0"/>
          <w:divBdr>
            <w:top w:val="none" w:sz="0" w:space="0" w:color="auto"/>
            <w:left w:val="none" w:sz="0" w:space="0" w:color="auto"/>
            <w:bottom w:val="none" w:sz="0" w:space="0" w:color="auto"/>
            <w:right w:val="none" w:sz="0" w:space="0" w:color="auto"/>
          </w:divBdr>
        </w:div>
        <w:div w:id="1563640990">
          <w:marLeft w:val="640"/>
          <w:marRight w:val="0"/>
          <w:marTop w:val="0"/>
          <w:marBottom w:val="0"/>
          <w:divBdr>
            <w:top w:val="none" w:sz="0" w:space="0" w:color="auto"/>
            <w:left w:val="none" w:sz="0" w:space="0" w:color="auto"/>
            <w:bottom w:val="none" w:sz="0" w:space="0" w:color="auto"/>
            <w:right w:val="none" w:sz="0" w:space="0" w:color="auto"/>
          </w:divBdr>
        </w:div>
        <w:div w:id="2115788204">
          <w:marLeft w:val="640"/>
          <w:marRight w:val="0"/>
          <w:marTop w:val="0"/>
          <w:marBottom w:val="0"/>
          <w:divBdr>
            <w:top w:val="none" w:sz="0" w:space="0" w:color="auto"/>
            <w:left w:val="none" w:sz="0" w:space="0" w:color="auto"/>
            <w:bottom w:val="none" w:sz="0" w:space="0" w:color="auto"/>
            <w:right w:val="none" w:sz="0" w:space="0" w:color="auto"/>
          </w:divBdr>
        </w:div>
        <w:div w:id="1871145455">
          <w:marLeft w:val="640"/>
          <w:marRight w:val="0"/>
          <w:marTop w:val="0"/>
          <w:marBottom w:val="0"/>
          <w:divBdr>
            <w:top w:val="none" w:sz="0" w:space="0" w:color="auto"/>
            <w:left w:val="none" w:sz="0" w:space="0" w:color="auto"/>
            <w:bottom w:val="none" w:sz="0" w:space="0" w:color="auto"/>
            <w:right w:val="none" w:sz="0" w:space="0" w:color="auto"/>
          </w:divBdr>
        </w:div>
        <w:div w:id="1306087667">
          <w:marLeft w:val="640"/>
          <w:marRight w:val="0"/>
          <w:marTop w:val="0"/>
          <w:marBottom w:val="0"/>
          <w:divBdr>
            <w:top w:val="none" w:sz="0" w:space="0" w:color="auto"/>
            <w:left w:val="none" w:sz="0" w:space="0" w:color="auto"/>
            <w:bottom w:val="none" w:sz="0" w:space="0" w:color="auto"/>
            <w:right w:val="none" w:sz="0" w:space="0" w:color="auto"/>
          </w:divBdr>
        </w:div>
        <w:div w:id="1170490944">
          <w:marLeft w:val="640"/>
          <w:marRight w:val="0"/>
          <w:marTop w:val="0"/>
          <w:marBottom w:val="0"/>
          <w:divBdr>
            <w:top w:val="none" w:sz="0" w:space="0" w:color="auto"/>
            <w:left w:val="none" w:sz="0" w:space="0" w:color="auto"/>
            <w:bottom w:val="none" w:sz="0" w:space="0" w:color="auto"/>
            <w:right w:val="none" w:sz="0" w:space="0" w:color="auto"/>
          </w:divBdr>
        </w:div>
        <w:div w:id="1427533919">
          <w:marLeft w:val="640"/>
          <w:marRight w:val="0"/>
          <w:marTop w:val="0"/>
          <w:marBottom w:val="0"/>
          <w:divBdr>
            <w:top w:val="none" w:sz="0" w:space="0" w:color="auto"/>
            <w:left w:val="none" w:sz="0" w:space="0" w:color="auto"/>
            <w:bottom w:val="none" w:sz="0" w:space="0" w:color="auto"/>
            <w:right w:val="none" w:sz="0" w:space="0" w:color="auto"/>
          </w:divBdr>
        </w:div>
        <w:div w:id="2034375169">
          <w:marLeft w:val="640"/>
          <w:marRight w:val="0"/>
          <w:marTop w:val="0"/>
          <w:marBottom w:val="0"/>
          <w:divBdr>
            <w:top w:val="none" w:sz="0" w:space="0" w:color="auto"/>
            <w:left w:val="none" w:sz="0" w:space="0" w:color="auto"/>
            <w:bottom w:val="none" w:sz="0" w:space="0" w:color="auto"/>
            <w:right w:val="none" w:sz="0" w:space="0" w:color="auto"/>
          </w:divBdr>
        </w:div>
        <w:div w:id="657423249">
          <w:marLeft w:val="640"/>
          <w:marRight w:val="0"/>
          <w:marTop w:val="0"/>
          <w:marBottom w:val="0"/>
          <w:divBdr>
            <w:top w:val="none" w:sz="0" w:space="0" w:color="auto"/>
            <w:left w:val="none" w:sz="0" w:space="0" w:color="auto"/>
            <w:bottom w:val="none" w:sz="0" w:space="0" w:color="auto"/>
            <w:right w:val="none" w:sz="0" w:space="0" w:color="auto"/>
          </w:divBdr>
        </w:div>
        <w:div w:id="1205677583">
          <w:marLeft w:val="640"/>
          <w:marRight w:val="0"/>
          <w:marTop w:val="0"/>
          <w:marBottom w:val="0"/>
          <w:divBdr>
            <w:top w:val="none" w:sz="0" w:space="0" w:color="auto"/>
            <w:left w:val="none" w:sz="0" w:space="0" w:color="auto"/>
            <w:bottom w:val="none" w:sz="0" w:space="0" w:color="auto"/>
            <w:right w:val="none" w:sz="0" w:space="0" w:color="auto"/>
          </w:divBdr>
        </w:div>
        <w:div w:id="1874800799">
          <w:marLeft w:val="640"/>
          <w:marRight w:val="0"/>
          <w:marTop w:val="0"/>
          <w:marBottom w:val="0"/>
          <w:divBdr>
            <w:top w:val="none" w:sz="0" w:space="0" w:color="auto"/>
            <w:left w:val="none" w:sz="0" w:space="0" w:color="auto"/>
            <w:bottom w:val="none" w:sz="0" w:space="0" w:color="auto"/>
            <w:right w:val="none" w:sz="0" w:space="0" w:color="auto"/>
          </w:divBdr>
        </w:div>
        <w:div w:id="713622467">
          <w:marLeft w:val="640"/>
          <w:marRight w:val="0"/>
          <w:marTop w:val="0"/>
          <w:marBottom w:val="0"/>
          <w:divBdr>
            <w:top w:val="none" w:sz="0" w:space="0" w:color="auto"/>
            <w:left w:val="none" w:sz="0" w:space="0" w:color="auto"/>
            <w:bottom w:val="none" w:sz="0" w:space="0" w:color="auto"/>
            <w:right w:val="none" w:sz="0" w:space="0" w:color="auto"/>
          </w:divBdr>
        </w:div>
        <w:div w:id="228351497">
          <w:marLeft w:val="640"/>
          <w:marRight w:val="0"/>
          <w:marTop w:val="0"/>
          <w:marBottom w:val="0"/>
          <w:divBdr>
            <w:top w:val="none" w:sz="0" w:space="0" w:color="auto"/>
            <w:left w:val="none" w:sz="0" w:space="0" w:color="auto"/>
            <w:bottom w:val="none" w:sz="0" w:space="0" w:color="auto"/>
            <w:right w:val="none" w:sz="0" w:space="0" w:color="auto"/>
          </w:divBdr>
        </w:div>
        <w:div w:id="1775860359">
          <w:marLeft w:val="640"/>
          <w:marRight w:val="0"/>
          <w:marTop w:val="0"/>
          <w:marBottom w:val="0"/>
          <w:divBdr>
            <w:top w:val="none" w:sz="0" w:space="0" w:color="auto"/>
            <w:left w:val="none" w:sz="0" w:space="0" w:color="auto"/>
            <w:bottom w:val="none" w:sz="0" w:space="0" w:color="auto"/>
            <w:right w:val="none" w:sz="0" w:space="0" w:color="auto"/>
          </w:divBdr>
        </w:div>
        <w:div w:id="1611235068">
          <w:marLeft w:val="640"/>
          <w:marRight w:val="0"/>
          <w:marTop w:val="0"/>
          <w:marBottom w:val="0"/>
          <w:divBdr>
            <w:top w:val="none" w:sz="0" w:space="0" w:color="auto"/>
            <w:left w:val="none" w:sz="0" w:space="0" w:color="auto"/>
            <w:bottom w:val="none" w:sz="0" w:space="0" w:color="auto"/>
            <w:right w:val="none" w:sz="0" w:space="0" w:color="auto"/>
          </w:divBdr>
        </w:div>
        <w:div w:id="535243234">
          <w:marLeft w:val="640"/>
          <w:marRight w:val="0"/>
          <w:marTop w:val="0"/>
          <w:marBottom w:val="0"/>
          <w:divBdr>
            <w:top w:val="none" w:sz="0" w:space="0" w:color="auto"/>
            <w:left w:val="none" w:sz="0" w:space="0" w:color="auto"/>
            <w:bottom w:val="none" w:sz="0" w:space="0" w:color="auto"/>
            <w:right w:val="none" w:sz="0" w:space="0" w:color="auto"/>
          </w:divBdr>
        </w:div>
        <w:div w:id="1580212463">
          <w:marLeft w:val="640"/>
          <w:marRight w:val="0"/>
          <w:marTop w:val="0"/>
          <w:marBottom w:val="0"/>
          <w:divBdr>
            <w:top w:val="none" w:sz="0" w:space="0" w:color="auto"/>
            <w:left w:val="none" w:sz="0" w:space="0" w:color="auto"/>
            <w:bottom w:val="none" w:sz="0" w:space="0" w:color="auto"/>
            <w:right w:val="none" w:sz="0" w:space="0" w:color="auto"/>
          </w:divBdr>
        </w:div>
        <w:div w:id="1602906466">
          <w:marLeft w:val="640"/>
          <w:marRight w:val="0"/>
          <w:marTop w:val="0"/>
          <w:marBottom w:val="0"/>
          <w:divBdr>
            <w:top w:val="none" w:sz="0" w:space="0" w:color="auto"/>
            <w:left w:val="none" w:sz="0" w:space="0" w:color="auto"/>
            <w:bottom w:val="none" w:sz="0" w:space="0" w:color="auto"/>
            <w:right w:val="none" w:sz="0" w:space="0" w:color="auto"/>
          </w:divBdr>
        </w:div>
        <w:div w:id="893203304">
          <w:marLeft w:val="640"/>
          <w:marRight w:val="0"/>
          <w:marTop w:val="0"/>
          <w:marBottom w:val="0"/>
          <w:divBdr>
            <w:top w:val="none" w:sz="0" w:space="0" w:color="auto"/>
            <w:left w:val="none" w:sz="0" w:space="0" w:color="auto"/>
            <w:bottom w:val="none" w:sz="0" w:space="0" w:color="auto"/>
            <w:right w:val="none" w:sz="0" w:space="0" w:color="auto"/>
          </w:divBdr>
        </w:div>
        <w:div w:id="1745684503">
          <w:marLeft w:val="640"/>
          <w:marRight w:val="0"/>
          <w:marTop w:val="0"/>
          <w:marBottom w:val="0"/>
          <w:divBdr>
            <w:top w:val="none" w:sz="0" w:space="0" w:color="auto"/>
            <w:left w:val="none" w:sz="0" w:space="0" w:color="auto"/>
            <w:bottom w:val="none" w:sz="0" w:space="0" w:color="auto"/>
            <w:right w:val="none" w:sz="0" w:space="0" w:color="auto"/>
          </w:divBdr>
        </w:div>
        <w:div w:id="2075933431">
          <w:marLeft w:val="640"/>
          <w:marRight w:val="0"/>
          <w:marTop w:val="0"/>
          <w:marBottom w:val="0"/>
          <w:divBdr>
            <w:top w:val="none" w:sz="0" w:space="0" w:color="auto"/>
            <w:left w:val="none" w:sz="0" w:space="0" w:color="auto"/>
            <w:bottom w:val="none" w:sz="0" w:space="0" w:color="auto"/>
            <w:right w:val="none" w:sz="0" w:space="0" w:color="auto"/>
          </w:divBdr>
        </w:div>
        <w:div w:id="1329402543">
          <w:marLeft w:val="640"/>
          <w:marRight w:val="0"/>
          <w:marTop w:val="0"/>
          <w:marBottom w:val="0"/>
          <w:divBdr>
            <w:top w:val="none" w:sz="0" w:space="0" w:color="auto"/>
            <w:left w:val="none" w:sz="0" w:space="0" w:color="auto"/>
            <w:bottom w:val="none" w:sz="0" w:space="0" w:color="auto"/>
            <w:right w:val="none" w:sz="0" w:space="0" w:color="auto"/>
          </w:divBdr>
        </w:div>
        <w:div w:id="383720111">
          <w:marLeft w:val="640"/>
          <w:marRight w:val="0"/>
          <w:marTop w:val="0"/>
          <w:marBottom w:val="0"/>
          <w:divBdr>
            <w:top w:val="none" w:sz="0" w:space="0" w:color="auto"/>
            <w:left w:val="none" w:sz="0" w:space="0" w:color="auto"/>
            <w:bottom w:val="none" w:sz="0" w:space="0" w:color="auto"/>
            <w:right w:val="none" w:sz="0" w:space="0" w:color="auto"/>
          </w:divBdr>
        </w:div>
        <w:div w:id="1389962249">
          <w:marLeft w:val="640"/>
          <w:marRight w:val="0"/>
          <w:marTop w:val="0"/>
          <w:marBottom w:val="0"/>
          <w:divBdr>
            <w:top w:val="none" w:sz="0" w:space="0" w:color="auto"/>
            <w:left w:val="none" w:sz="0" w:space="0" w:color="auto"/>
            <w:bottom w:val="none" w:sz="0" w:space="0" w:color="auto"/>
            <w:right w:val="none" w:sz="0" w:space="0" w:color="auto"/>
          </w:divBdr>
        </w:div>
        <w:div w:id="1618296259">
          <w:marLeft w:val="640"/>
          <w:marRight w:val="0"/>
          <w:marTop w:val="0"/>
          <w:marBottom w:val="0"/>
          <w:divBdr>
            <w:top w:val="none" w:sz="0" w:space="0" w:color="auto"/>
            <w:left w:val="none" w:sz="0" w:space="0" w:color="auto"/>
            <w:bottom w:val="none" w:sz="0" w:space="0" w:color="auto"/>
            <w:right w:val="none" w:sz="0" w:space="0" w:color="auto"/>
          </w:divBdr>
        </w:div>
        <w:div w:id="245195386">
          <w:marLeft w:val="640"/>
          <w:marRight w:val="0"/>
          <w:marTop w:val="0"/>
          <w:marBottom w:val="0"/>
          <w:divBdr>
            <w:top w:val="none" w:sz="0" w:space="0" w:color="auto"/>
            <w:left w:val="none" w:sz="0" w:space="0" w:color="auto"/>
            <w:bottom w:val="none" w:sz="0" w:space="0" w:color="auto"/>
            <w:right w:val="none" w:sz="0" w:space="0" w:color="auto"/>
          </w:divBdr>
        </w:div>
        <w:div w:id="1788230843">
          <w:marLeft w:val="640"/>
          <w:marRight w:val="0"/>
          <w:marTop w:val="0"/>
          <w:marBottom w:val="0"/>
          <w:divBdr>
            <w:top w:val="none" w:sz="0" w:space="0" w:color="auto"/>
            <w:left w:val="none" w:sz="0" w:space="0" w:color="auto"/>
            <w:bottom w:val="none" w:sz="0" w:space="0" w:color="auto"/>
            <w:right w:val="none" w:sz="0" w:space="0" w:color="auto"/>
          </w:divBdr>
        </w:div>
        <w:div w:id="1940678807">
          <w:marLeft w:val="640"/>
          <w:marRight w:val="0"/>
          <w:marTop w:val="0"/>
          <w:marBottom w:val="0"/>
          <w:divBdr>
            <w:top w:val="none" w:sz="0" w:space="0" w:color="auto"/>
            <w:left w:val="none" w:sz="0" w:space="0" w:color="auto"/>
            <w:bottom w:val="none" w:sz="0" w:space="0" w:color="auto"/>
            <w:right w:val="none" w:sz="0" w:space="0" w:color="auto"/>
          </w:divBdr>
        </w:div>
        <w:div w:id="668479835">
          <w:marLeft w:val="640"/>
          <w:marRight w:val="0"/>
          <w:marTop w:val="0"/>
          <w:marBottom w:val="0"/>
          <w:divBdr>
            <w:top w:val="none" w:sz="0" w:space="0" w:color="auto"/>
            <w:left w:val="none" w:sz="0" w:space="0" w:color="auto"/>
            <w:bottom w:val="none" w:sz="0" w:space="0" w:color="auto"/>
            <w:right w:val="none" w:sz="0" w:space="0" w:color="auto"/>
          </w:divBdr>
        </w:div>
        <w:div w:id="1026173954">
          <w:marLeft w:val="640"/>
          <w:marRight w:val="0"/>
          <w:marTop w:val="0"/>
          <w:marBottom w:val="0"/>
          <w:divBdr>
            <w:top w:val="none" w:sz="0" w:space="0" w:color="auto"/>
            <w:left w:val="none" w:sz="0" w:space="0" w:color="auto"/>
            <w:bottom w:val="none" w:sz="0" w:space="0" w:color="auto"/>
            <w:right w:val="none" w:sz="0" w:space="0" w:color="auto"/>
          </w:divBdr>
        </w:div>
        <w:div w:id="1257589579">
          <w:marLeft w:val="640"/>
          <w:marRight w:val="0"/>
          <w:marTop w:val="0"/>
          <w:marBottom w:val="0"/>
          <w:divBdr>
            <w:top w:val="none" w:sz="0" w:space="0" w:color="auto"/>
            <w:left w:val="none" w:sz="0" w:space="0" w:color="auto"/>
            <w:bottom w:val="none" w:sz="0" w:space="0" w:color="auto"/>
            <w:right w:val="none" w:sz="0" w:space="0" w:color="auto"/>
          </w:divBdr>
        </w:div>
        <w:div w:id="1308243000">
          <w:marLeft w:val="640"/>
          <w:marRight w:val="0"/>
          <w:marTop w:val="0"/>
          <w:marBottom w:val="0"/>
          <w:divBdr>
            <w:top w:val="none" w:sz="0" w:space="0" w:color="auto"/>
            <w:left w:val="none" w:sz="0" w:space="0" w:color="auto"/>
            <w:bottom w:val="none" w:sz="0" w:space="0" w:color="auto"/>
            <w:right w:val="none" w:sz="0" w:space="0" w:color="auto"/>
          </w:divBdr>
        </w:div>
        <w:div w:id="1534882602">
          <w:marLeft w:val="640"/>
          <w:marRight w:val="0"/>
          <w:marTop w:val="0"/>
          <w:marBottom w:val="0"/>
          <w:divBdr>
            <w:top w:val="none" w:sz="0" w:space="0" w:color="auto"/>
            <w:left w:val="none" w:sz="0" w:space="0" w:color="auto"/>
            <w:bottom w:val="none" w:sz="0" w:space="0" w:color="auto"/>
            <w:right w:val="none" w:sz="0" w:space="0" w:color="auto"/>
          </w:divBdr>
        </w:div>
        <w:div w:id="1821574123">
          <w:marLeft w:val="640"/>
          <w:marRight w:val="0"/>
          <w:marTop w:val="0"/>
          <w:marBottom w:val="0"/>
          <w:divBdr>
            <w:top w:val="none" w:sz="0" w:space="0" w:color="auto"/>
            <w:left w:val="none" w:sz="0" w:space="0" w:color="auto"/>
            <w:bottom w:val="none" w:sz="0" w:space="0" w:color="auto"/>
            <w:right w:val="none" w:sz="0" w:space="0" w:color="auto"/>
          </w:divBdr>
        </w:div>
        <w:div w:id="61369050">
          <w:marLeft w:val="640"/>
          <w:marRight w:val="0"/>
          <w:marTop w:val="0"/>
          <w:marBottom w:val="0"/>
          <w:divBdr>
            <w:top w:val="none" w:sz="0" w:space="0" w:color="auto"/>
            <w:left w:val="none" w:sz="0" w:space="0" w:color="auto"/>
            <w:bottom w:val="none" w:sz="0" w:space="0" w:color="auto"/>
            <w:right w:val="none" w:sz="0" w:space="0" w:color="auto"/>
          </w:divBdr>
        </w:div>
        <w:div w:id="1002664273">
          <w:marLeft w:val="640"/>
          <w:marRight w:val="0"/>
          <w:marTop w:val="0"/>
          <w:marBottom w:val="0"/>
          <w:divBdr>
            <w:top w:val="none" w:sz="0" w:space="0" w:color="auto"/>
            <w:left w:val="none" w:sz="0" w:space="0" w:color="auto"/>
            <w:bottom w:val="none" w:sz="0" w:space="0" w:color="auto"/>
            <w:right w:val="none" w:sz="0" w:space="0" w:color="auto"/>
          </w:divBdr>
        </w:div>
        <w:div w:id="1139346174">
          <w:marLeft w:val="640"/>
          <w:marRight w:val="0"/>
          <w:marTop w:val="0"/>
          <w:marBottom w:val="0"/>
          <w:divBdr>
            <w:top w:val="none" w:sz="0" w:space="0" w:color="auto"/>
            <w:left w:val="none" w:sz="0" w:space="0" w:color="auto"/>
            <w:bottom w:val="none" w:sz="0" w:space="0" w:color="auto"/>
            <w:right w:val="none" w:sz="0" w:space="0" w:color="auto"/>
          </w:divBdr>
        </w:div>
        <w:div w:id="611938247">
          <w:marLeft w:val="640"/>
          <w:marRight w:val="0"/>
          <w:marTop w:val="0"/>
          <w:marBottom w:val="0"/>
          <w:divBdr>
            <w:top w:val="none" w:sz="0" w:space="0" w:color="auto"/>
            <w:left w:val="none" w:sz="0" w:space="0" w:color="auto"/>
            <w:bottom w:val="none" w:sz="0" w:space="0" w:color="auto"/>
            <w:right w:val="none" w:sz="0" w:space="0" w:color="auto"/>
          </w:divBdr>
        </w:div>
        <w:div w:id="310719921">
          <w:marLeft w:val="640"/>
          <w:marRight w:val="0"/>
          <w:marTop w:val="0"/>
          <w:marBottom w:val="0"/>
          <w:divBdr>
            <w:top w:val="none" w:sz="0" w:space="0" w:color="auto"/>
            <w:left w:val="none" w:sz="0" w:space="0" w:color="auto"/>
            <w:bottom w:val="none" w:sz="0" w:space="0" w:color="auto"/>
            <w:right w:val="none" w:sz="0" w:space="0" w:color="auto"/>
          </w:divBdr>
        </w:div>
        <w:div w:id="1343244522">
          <w:marLeft w:val="640"/>
          <w:marRight w:val="0"/>
          <w:marTop w:val="0"/>
          <w:marBottom w:val="0"/>
          <w:divBdr>
            <w:top w:val="none" w:sz="0" w:space="0" w:color="auto"/>
            <w:left w:val="none" w:sz="0" w:space="0" w:color="auto"/>
            <w:bottom w:val="none" w:sz="0" w:space="0" w:color="auto"/>
            <w:right w:val="none" w:sz="0" w:space="0" w:color="auto"/>
          </w:divBdr>
        </w:div>
        <w:div w:id="1820918898">
          <w:marLeft w:val="640"/>
          <w:marRight w:val="0"/>
          <w:marTop w:val="0"/>
          <w:marBottom w:val="0"/>
          <w:divBdr>
            <w:top w:val="none" w:sz="0" w:space="0" w:color="auto"/>
            <w:left w:val="none" w:sz="0" w:space="0" w:color="auto"/>
            <w:bottom w:val="none" w:sz="0" w:space="0" w:color="auto"/>
            <w:right w:val="none" w:sz="0" w:space="0" w:color="auto"/>
          </w:divBdr>
        </w:div>
        <w:div w:id="525487695">
          <w:marLeft w:val="640"/>
          <w:marRight w:val="0"/>
          <w:marTop w:val="0"/>
          <w:marBottom w:val="0"/>
          <w:divBdr>
            <w:top w:val="none" w:sz="0" w:space="0" w:color="auto"/>
            <w:left w:val="none" w:sz="0" w:space="0" w:color="auto"/>
            <w:bottom w:val="none" w:sz="0" w:space="0" w:color="auto"/>
            <w:right w:val="none" w:sz="0" w:space="0" w:color="auto"/>
          </w:divBdr>
        </w:div>
        <w:div w:id="965162343">
          <w:marLeft w:val="640"/>
          <w:marRight w:val="0"/>
          <w:marTop w:val="0"/>
          <w:marBottom w:val="0"/>
          <w:divBdr>
            <w:top w:val="none" w:sz="0" w:space="0" w:color="auto"/>
            <w:left w:val="none" w:sz="0" w:space="0" w:color="auto"/>
            <w:bottom w:val="none" w:sz="0" w:space="0" w:color="auto"/>
            <w:right w:val="none" w:sz="0" w:space="0" w:color="auto"/>
          </w:divBdr>
        </w:div>
        <w:div w:id="175969446">
          <w:marLeft w:val="640"/>
          <w:marRight w:val="0"/>
          <w:marTop w:val="0"/>
          <w:marBottom w:val="0"/>
          <w:divBdr>
            <w:top w:val="none" w:sz="0" w:space="0" w:color="auto"/>
            <w:left w:val="none" w:sz="0" w:space="0" w:color="auto"/>
            <w:bottom w:val="none" w:sz="0" w:space="0" w:color="auto"/>
            <w:right w:val="none" w:sz="0" w:space="0" w:color="auto"/>
          </w:divBdr>
        </w:div>
        <w:div w:id="2032997217">
          <w:marLeft w:val="640"/>
          <w:marRight w:val="0"/>
          <w:marTop w:val="0"/>
          <w:marBottom w:val="0"/>
          <w:divBdr>
            <w:top w:val="none" w:sz="0" w:space="0" w:color="auto"/>
            <w:left w:val="none" w:sz="0" w:space="0" w:color="auto"/>
            <w:bottom w:val="none" w:sz="0" w:space="0" w:color="auto"/>
            <w:right w:val="none" w:sz="0" w:space="0" w:color="auto"/>
          </w:divBdr>
        </w:div>
        <w:div w:id="1333989370">
          <w:marLeft w:val="640"/>
          <w:marRight w:val="0"/>
          <w:marTop w:val="0"/>
          <w:marBottom w:val="0"/>
          <w:divBdr>
            <w:top w:val="none" w:sz="0" w:space="0" w:color="auto"/>
            <w:left w:val="none" w:sz="0" w:space="0" w:color="auto"/>
            <w:bottom w:val="none" w:sz="0" w:space="0" w:color="auto"/>
            <w:right w:val="none" w:sz="0" w:space="0" w:color="auto"/>
          </w:divBdr>
        </w:div>
        <w:div w:id="1557550628">
          <w:marLeft w:val="640"/>
          <w:marRight w:val="0"/>
          <w:marTop w:val="0"/>
          <w:marBottom w:val="0"/>
          <w:divBdr>
            <w:top w:val="none" w:sz="0" w:space="0" w:color="auto"/>
            <w:left w:val="none" w:sz="0" w:space="0" w:color="auto"/>
            <w:bottom w:val="none" w:sz="0" w:space="0" w:color="auto"/>
            <w:right w:val="none" w:sz="0" w:space="0" w:color="auto"/>
          </w:divBdr>
        </w:div>
        <w:div w:id="1014117596">
          <w:marLeft w:val="640"/>
          <w:marRight w:val="0"/>
          <w:marTop w:val="0"/>
          <w:marBottom w:val="0"/>
          <w:divBdr>
            <w:top w:val="none" w:sz="0" w:space="0" w:color="auto"/>
            <w:left w:val="none" w:sz="0" w:space="0" w:color="auto"/>
            <w:bottom w:val="none" w:sz="0" w:space="0" w:color="auto"/>
            <w:right w:val="none" w:sz="0" w:space="0" w:color="auto"/>
          </w:divBdr>
        </w:div>
        <w:div w:id="1623998209">
          <w:marLeft w:val="640"/>
          <w:marRight w:val="0"/>
          <w:marTop w:val="0"/>
          <w:marBottom w:val="0"/>
          <w:divBdr>
            <w:top w:val="none" w:sz="0" w:space="0" w:color="auto"/>
            <w:left w:val="none" w:sz="0" w:space="0" w:color="auto"/>
            <w:bottom w:val="none" w:sz="0" w:space="0" w:color="auto"/>
            <w:right w:val="none" w:sz="0" w:space="0" w:color="auto"/>
          </w:divBdr>
        </w:div>
        <w:div w:id="610363516">
          <w:marLeft w:val="640"/>
          <w:marRight w:val="0"/>
          <w:marTop w:val="0"/>
          <w:marBottom w:val="0"/>
          <w:divBdr>
            <w:top w:val="none" w:sz="0" w:space="0" w:color="auto"/>
            <w:left w:val="none" w:sz="0" w:space="0" w:color="auto"/>
            <w:bottom w:val="none" w:sz="0" w:space="0" w:color="auto"/>
            <w:right w:val="none" w:sz="0" w:space="0" w:color="auto"/>
          </w:divBdr>
        </w:div>
        <w:div w:id="699938556">
          <w:marLeft w:val="640"/>
          <w:marRight w:val="0"/>
          <w:marTop w:val="0"/>
          <w:marBottom w:val="0"/>
          <w:divBdr>
            <w:top w:val="none" w:sz="0" w:space="0" w:color="auto"/>
            <w:left w:val="none" w:sz="0" w:space="0" w:color="auto"/>
            <w:bottom w:val="none" w:sz="0" w:space="0" w:color="auto"/>
            <w:right w:val="none" w:sz="0" w:space="0" w:color="auto"/>
          </w:divBdr>
        </w:div>
        <w:div w:id="1754399331">
          <w:marLeft w:val="640"/>
          <w:marRight w:val="0"/>
          <w:marTop w:val="0"/>
          <w:marBottom w:val="0"/>
          <w:divBdr>
            <w:top w:val="none" w:sz="0" w:space="0" w:color="auto"/>
            <w:left w:val="none" w:sz="0" w:space="0" w:color="auto"/>
            <w:bottom w:val="none" w:sz="0" w:space="0" w:color="auto"/>
            <w:right w:val="none" w:sz="0" w:space="0" w:color="auto"/>
          </w:divBdr>
        </w:div>
        <w:div w:id="415248577">
          <w:marLeft w:val="640"/>
          <w:marRight w:val="0"/>
          <w:marTop w:val="0"/>
          <w:marBottom w:val="0"/>
          <w:divBdr>
            <w:top w:val="none" w:sz="0" w:space="0" w:color="auto"/>
            <w:left w:val="none" w:sz="0" w:space="0" w:color="auto"/>
            <w:bottom w:val="none" w:sz="0" w:space="0" w:color="auto"/>
            <w:right w:val="none" w:sz="0" w:space="0" w:color="auto"/>
          </w:divBdr>
        </w:div>
        <w:div w:id="324748847">
          <w:marLeft w:val="640"/>
          <w:marRight w:val="0"/>
          <w:marTop w:val="0"/>
          <w:marBottom w:val="0"/>
          <w:divBdr>
            <w:top w:val="none" w:sz="0" w:space="0" w:color="auto"/>
            <w:left w:val="none" w:sz="0" w:space="0" w:color="auto"/>
            <w:bottom w:val="none" w:sz="0" w:space="0" w:color="auto"/>
            <w:right w:val="none" w:sz="0" w:space="0" w:color="auto"/>
          </w:divBdr>
        </w:div>
        <w:div w:id="661742360">
          <w:marLeft w:val="640"/>
          <w:marRight w:val="0"/>
          <w:marTop w:val="0"/>
          <w:marBottom w:val="0"/>
          <w:divBdr>
            <w:top w:val="none" w:sz="0" w:space="0" w:color="auto"/>
            <w:left w:val="none" w:sz="0" w:space="0" w:color="auto"/>
            <w:bottom w:val="none" w:sz="0" w:space="0" w:color="auto"/>
            <w:right w:val="none" w:sz="0" w:space="0" w:color="auto"/>
          </w:divBdr>
        </w:div>
        <w:div w:id="1825731754">
          <w:marLeft w:val="640"/>
          <w:marRight w:val="0"/>
          <w:marTop w:val="0"/>
          <w:marBottom w:val="0"/>
          <w:divBdr>
            <w:top w:val="none" w:sz="0" w:space="0" w:color="auto"/>
            <w:left w:val="none" w:sz="0" w:space="0" w:color="auto"/>
            <w:bottom w:val="none" w:sz="0" w:space="0" w:color="auto"/>
            <w:right w:val="none" w:sz="0" w:space="0" w:color="auto"/>
          </w:divBdr>
        </w:div>
        <w:div w:id="657803796">
          <w:marLeft w:val="640"/>
          <w:marRight w:val="0"/>
          <w:marTop w:val="0"/>
          <w:marBottom w:val="0"/>
          <w:divBdr>
            <w:top w:val="none" w:sz="0" w:space="0" w:color="auto"/>
            <w:left w:val="none" w:sz="0" w:space="0" w:color="auto"/>
            <w:bottom w:val="none" w:sz="0" w:space="0" w:color="auto"/>
            <w:right w:val="none" w:sz="0" w:space="0" w:color="auto"/>
          </w:divBdr>
        </w:div>
        <w:div w:id="280379304">
          <w:marLeft w:val="640"/>
          <w:marRight w:val="0"/>
          <w:marTop w:val="0"/>
          <w:marBottom w:val="0"/>
          <w:divBdr>
            <w:top w:val="none" w:sz="0" w:space="0" w:color="auto"/>
            <w:left w:val="none" w:sz="0" w:space="0" w:color="auto"/>
            <w:bottom w:val="none" w:sz="0" w:space="0" w:color="auto"/>
            <w:right w:val="none" w:sz="0" w:space="0" w:color="auto"/>
          </w:divBdr>
        </w:div>
        <w:div w:id="1485001982">
          <w:marLeft w:val="640"/>
          <w:marRight w:val="0"/>
          <w:marTop w:val="0"/>
          <w:marBottom w:val="0"/>
          <w:divBdr>
            <w:top w:val="none" w:sz="0" w:space="0" w:color="auto"/>
            <w:left w:val="none" w:sz="0" w:space="0" w:color="auto"/>
            <w:bottom w:val="none" w:sz="0" w:space="0" w:color="auto"/>
            <w:right w:val="none" w:sz="0" w:space="0" w:color="auto"/>
          </w:divBdr>
        </w:div>
        <w:div w:id="1404061268">
          <w:marLeft w:val="640"/>
          <w:marRight w:val="0"/>
          <w:marTop w:val="0"/>
          <w:marBottom w:val="0"/>
          <w:divBdr>
            <w:top w:val="none" w:sz="0" w:space="0" w:color="auto"/>
            <w:left w:val="none" w:sz="0" w:space="0" w:color="auto"/>
            <w:bottom w:val="none" w:sz="0" w:space="0" w:color="auto"/>
            <w:right w:val="none" w:sz="0" w:space="0" w:color="auto"/>
          </w:divBdr>
        </w:div>
        <w:div w:id="532546220">
          <w:marLeft w:val="640"/>
          <w:marRight w:val="0"/>
          <w:marTop w:val="0"/>
          <w:marBottom w:val="0"/>
          <w:divBdr>
            <w:top w:val="none" w:sz="0" w:space="0" w:color="auto"/>
            <w:left w:val="none" w:sz="0" w:space="0" w:color="auto"/>
            <w:bottom w:val="none" w:sz="0" w:space="0" w:color="auto"/>
            <w:right w:val="none" w:sz="0" w:space="0" w:color="auto"/>
          </w:divBdr>
        </w:div>
        <w:div w:id="647900700">
          <w:marLeft w:val="640"/>
          <w:marRight w:val="0"/>
          <w:marTop w:val="0"/>
          <w:marBottom w:val="0"/>
          <w:divBdr>
            <w:top w:val="none" w:sz="0" w:space="0" w:color="auto"/>
            <w:left w:val="none" w:sz="0" w:space="0" w:color="auto"/>
            <w:bottom w:val="none" w:sz="0" w:space="0" w:color="auto"/>
            <w:right w:val="none" w:sz="0" w:space="0" w:color="auto"/>
          </w:divBdr>
        </w:div>
        <w:div w:id="102649374">
          <w:marLeft w:val="640"/>
          <w:marRight w:val="0"/>
          <w:marTop w:val="0"/>
          <w:marBottom w:val="0"/>
          <w:divBdr>
            <w:top w:val="none" w:sz="0" w:space="0" w:color="auto"/>
            <w:left w:val="none" w:sz="0" w:space="0" w:color="auto"/>
            <w:bottom w:val="none" w:sz="0" w:space="0" w:color="auto"/>
            <w:right w:val="none" w:sz="0" w:space="0" w:color="auto"/>
          </w:divBdr>
        </w:div>
        <w:div w:id="1013726635">
          <w:marLeft w:val="640"/>
          <w:marRight w:val="0"/>
          <w:marTop w:val="0"/>
          <w:marBottom w:val="0"/>
          <w:divBdr>
            <w:top w:val="none" w:sz="0" w:space="0" w:color="auto"/>
            <w:left w:val="none" w:sz="0" w:space="0" w:color="auto"/>
            <w:bottom w:val="none" w:sz="0" w:space="0" w:color="auto"/>
            <w:right w:val="none" w:sz="0" w:space="0" w:color="auto"/>
          </w:divBdr>
        </w:div>
        <w:div w:id="1182356001">
          <w:marLeft w:val="640"/>
          <w:marRight w:val="0"/>
          <w:marTop w:val="0"/>
          <w:marBottom w:val="0"/>
          <w:divBdr>
            <w:top w:val="none" w:sz="0" w:space="0" w:color="auto"/>
            <w:left w:val="none" w:sz="0" w:space="0" w:color="auto"/>
            <w:bottom w:val="none" w:sz="0" w:space="0" w:color="auto"/>
            <w:right w:val="none" w:sz="0" w:space="0" w:color="auto"/>
          </w:divBdr>
        </w:div>
        <w:div w:id="1235509958">
          <w:marLeft w:val="640"/>
          <w:marRight w:val="0"/>
          <w:marTop w:val="0"/>
          <w:marBottom w:val="0"/>
          <w:divBdr>
            <w:top w:val="none" w:sz="0" w:space="0" w:color="auto"/>
            <w:left w:val="none" w:sz="0" w:space="0" w:color="auto"/>
            <w:bottom w:val="none" w:sz="0" w:space="0" w:color="auto"/>
            <w:right w:val="none" w:sz="0" w:space="0" w:color="auto"/>
          </w:divBdr>
        </w:div>
        <w:div w:id="1262684371">
          <w:marLeft w:val="640"/>
          <w:marRight w:val="0"/>
          <w:marTop w:val="0"/>
          <w:marBottom w:val="0"/>
          <w:divBdr>
            <w:top w:val="none" w:sz="0" w:space="0" w:color="auto"/>
            <w:left w:val="none" w:sz="0" w:space="0" w:color="auto"/>
            <w:bottom w:val="none" w:sz="0" w:space="0" w:color="auto"/>
            <w:right w:val="none" w:sz="0" w:space="0" w:color="auto"/>
          </w:divBdr>
        </w:div>
        <w:div w:id="1126236521">
          <w:marLeft w:val="640"/>
          <w:marRight w:val="0"/>
          <w:marTop w:val="0"/>
          <w:marBottom w:val="0"/>
          <w:divBdr>
            <w:top w:val="none" w:sz="0" w:space="0" w:color="auto"/>
            <w:left w:val="none" w:sz="0" w:space="0" w:color="auto"/>
            <w:bottom w:val="none" w:sz="0" w:space="0" w:color="auto"/>
            <w:right w:val="none" w:sz="0" w:space="0" w:color="auto"/>
          </w:divBdr>
        </w:div>
        <w:div w:id="2015185316">
          <w:marLeft w:val="640"/>
          <w:marRight w:val="0"/>
          <w:marTop w:val="0"/>
          <w:marBottom w:val="0"/>
          <w:divBdr>
            <w:top w:val="none" w:sz="0" w:space="0" w:color="auto"/>
            <w:left w:val="none" w:sz="0" w:space="0" w:color="auto"/>
            <w:bottom w:val="none" w:sz="0" w:space="0" w:color="auto"/>
            <w:right w:val="none" w:sz="0" w:space="0" w:color="auto"/>
          </w:divBdr>
        </w:div>
        <w:div w:id="300042970">
          <w:marLeft w:val="640"/>
          <w:marRight w:val="0"/>
          <w:marTop w:val="0"/>
          <w:marBottom w:val="0"/>
          <w:divBdr>
            <w:top w:val="none" w:sz="0" w:space="0" w:color="auto"/>
            <w:left w:val="none" w:sz="0" w:space="0" w:color="auto"/>
            <w:bottom w:val="none" w:sz="0" w:space="0" w:color="auto"/>
            <w:right w:val="none" w:sz="0" w:space="0" w:color="auto"/>
          </w:divBdr>
        </w:div>
        <w:div w:id="1795908970">
          <w:marLeft w:val="640"/>
          <w:marRight w:val="0"/>
          <w:marTop w:val="0"/>
          <w:marBottom w:val="0"/>
          <w:divBdr>
            <w:top w:val="none" w:sz="0" w:space="0" w:color="auto"/>
            <w:left w:val="none" w:sz="0" w:space="0" w:color="auto"/>
            <w:bottom w:val="none" w:sz="0" w:space="0" w:color="auto"/>
            <w:right w:val="none" w:sz="0" w:space="0" w:color="auto"/>
          </w:divBdr>
        </w:div>
        <w:div w:id="1693796099">
          <w:marLeft w:val="640"/>
          <w:marRight w:val="0"/>
          <w:marTop w:val="0"/>
          <w:marBottom w:val="0"/>
          <w:divBdr>
            <w:top w:val="none" w:sz="0" w:space="0" w:color="auto"/>
            <w:left w:val="none" w:sz="0" w:space="0" w:color="auto"/>
            <w:bottom w:val="none" w:sz="0" w:space="0" w:color="auto"/>
            <w:right w:val="none" w:sz="0" w:space="0" w:color="auto"/>
          </w:divBdr>
        </w:div>
        <w:div w:id="402723985">
          <w:marLeft w:val="640"/>
          <w:marRight w:val="0"/>
          <w:marTop w:val="0"/>
          <w:marBottom w:val="0"/>
          <w:divBdr>
            <w:top w:val="none" w:sz="0" w:space="0" w:color="auto"/>
            <w:left w:val="none" w:sz="0" w:space="0" w:color="auto"/>
            <w:bottom w:val="none" w:sz="0" w:space="0" w:color="auto"/>
            <w:right w:val="none" w:sz="0" w:space="0" w:color="auto"/>
          </w:divBdr>
        </w:div>
        <w:div w:id="60493112">
          <w:marLeft w:val="640"/>
          <w:marRight w:val="0"/>
          <w:marTop w:val="0"/>
          <w:marBottom w:val="0"/>
          <w:divBdr>
            <w:top w:val="none" w:sz="0" w:space="0" w:color="auto"/>
            <w:left w:val="none" w:sz="0" w:space="0" w:color="auto"/>
            <w:bottom w:val="none" w:sz="0" w:space="0" w:color="auto"/>
            <w:right w:val="none" w:sz="0" w:space="0" w:color="auto"/>
          </w:divBdr>
        </w:div>
        <w:div w:id="1184588586">
          <w:marLeft w:val="640"/>
          <w:marRight w:val="0"/>
          <w:marTop w:val="0"/>
          <w:marBottom w:val="0"/>
          <w:divBdr>
            <w:top w:val="none" w:sz="0" w:space="0" w:color="auto"/>
            <w:left w:val="none" w:sz="0" w:space="0" w:color="auto"/>
            <w:bottom w:val="none" w:sz="0" w:space="0" w:color="auto"/>
            <w:right w:val="none" w:sz="0" w:space="0" w:color="auto"/>
          </w:divBdr>
        </w:div>
        <w:div w:id="1622957467">
          <w:marLeft w:val="640"/>
          <w:marRight w:val="0"/>
          <w:marTop w:val="0"/>
          <w:marBottom w:val="0"/>
          <w:divBdr>
            <w:top w:val="none" w:sz="0" w:space="0" w:color="auto"/>
            <w:left w:val="none" w:sz="0" w:space="0" w:color="auto"/>
            <w:bottom w:val="none" w:sz="0" w:space="0" w:color="auto"/>
            <w:right w:val="none" w:sz="0" w:space="0" w:color="auto"/>
          </w:divBdr>
        </w:div>
        <w:div w:id="321276671">
          <w:marLeft w:val="640"/>
          <w:marRight w:val="0"/>
          <w:marTop w:val="0"/>
          <w:marBottom w:val="0"/>
          <w:divBdr>
            <w:top w:val="none" w:sz="0" w:space="0" w:color="auto"/>
            <w:left w:val="none" w:sz="0" w:space="0" w:color="auto"/>
            <w:bottom w:val="none" w:sz="0" w:space="0" w:color="auto"/>
            <w:right w:val="none" w:sz="0" w:space="0" w:color="auto"/>
          </w:divBdr>
        </w:div>
        <w:div w:id="1505389303">
          <w:marLeft w:val="640"/>
          <w:marRight w:val="0"/>
          <w:marTop w:val="0"/>
          <w:marBottom w:val="0"/>
          <w:divBdr>
            <w:top w:val="none" w:sz="0" w:space="0" w:color="auto"/>
            <w:left w:val="none" w:sz="0" w:space="0" w:color="auto"/>
            <w:bottom w:val="none" w:sz="0" w:space="0" w:color="auto"/>
            <w:right w:val="none" w:sz="0" w:space="0" w:color="auto"/>
          </w:divBdr>
        </w:div>
        <w:div w:id="765728777">
          <w:marLeft w:val="640"/>
          <w:marRight w:val="0"/>
          <w:marTop w:val="0"/>
          <w:marBottom w:val="0"/>
          <w:divBdr>
            <w:top w:val="none" w:sz="0" w:space="0" w:color="auto"/>
            <w:left w:val="none" w:sz="0" w:space="0" w:color="auto"/>
            <w:bottom w:val="none" w:sz="0" w:space="0" w:color="auto"/>
            <w:right w:val="none" w:sz="0" w:space="0" w:color="auto"/>
          </w:divBdr>
        </w:div>
        <w:div w:id="1604336520">
          <w:marLeft w:val="640"/>
          <w:marRight w:val="0"/>
          <w:marTop w:val="0"/>
          <w:marBottom w:val="0"/>
          <w:divBdr>
            <w:top w:val="none" w:sz="0" w:space="0" w:color="auto"/>
            <w:left w:val="none" w:sz="0" w:space="0" w:color="auto"/>
            <w:bottom w:val="none" w:sz="0" w:space="0" w:color="auto"/>
            <w:right w:val="none" w:sz="0" w:space="0" w:color="auto"/>
          </w:divBdr>
        </w:div>
        <w:div w:id="1456408852">
          <w:marLeft w:val="640"/>
          <w:marRight w:val="0"/>
          <w:marTop w:val="0"/>
          <w:marBottom w:val="0"/>
          <w:divBdr>
            <w:top w:val="none" w:sz="0" w:space="0" w:color="auto"/>
            <w:left w:val="none" w:sz="0" w:space="0" w:color="auto"/>
            <w:bottom w:val="none" w:sz="0" w:space="0" w:color="auto"/>
            <w:right w:val="none" w:sz="0" w:space="0" w:color="auto"/>
          </w:divBdr>
        </w:div>
        <w:div w:id="959142676">
          <w:marLeft w:val="640"/>
          <w:marRight w:val="0"/>
          <w:marTop w:val="0"/>
          <w:marBottom w:val="0"/>
          <w:divBdr>
            <w:top w:val="none" w:sz="0" w:space="0" w:color="auto"/>
            <w:left w:val="none" w:sz="0" w:space="0" w:color="auto"/>
            <w:bottom w:val="none" w:sz="0" w:space="0" w:color="auto"/>
            <w:right w:val="none" w:sz="0" w:space="0" w:color="auto"/>
          </w:divBdr>
        </w:div>
        <w:div w:id="1803186514">
          <w:marLeft w:val="640"/>
          <w:marRight w:val="0"/>
          <w:marTop w:val="0"/>
          <w:marBottom w:val="0"/>
          <w:divBdr>
            <w:top w:val="none" w:sz="0" w:space="0" w:color="auto"/>
            <w:left w:val="none" w:sz="0" w:space="0" w:color="auto"/>
            <w:bottom w:val="none" w:sz="0" w:space="0" w:color="auto"/>
            <w:right w:val="none" w:sz="0" w:space="0" w:color="auto"/>
          </w:divBdr>
        </w:div>
        <w:div w:id="1841310040">
          <w:marLeft w:val="640"/>
          <w:marRight w:val="0"/>
          <w:marTop w:val="0"/>
          <w:marBottom w:val="0"/>
          <w:divBdr>
            <w:top w:val="none" w:sz="0" w:space="0" w:color="auto"/>
            <w:left w:val="none" w:sz="0" w:space="0" w:color="auto"/>
            <w:bottom w:val="none" w:sz="0" w:space="0" w:color="auto"/>
            <w:right w:val="none" w:sz="0" w:space="0" w:color="auto"/>
          </w:divBdr>
        </w:div>
        <w:div w:id="1913585912">
          <w:marLeft w:val="640"/>
          <w:marRight w:val="0"/>
          <w:marTop w:val="0"/>
          <w:marBottom w:val="0"/>
          <w:divBdr>
            <w:top w:val="none" w:sz="0" w:space="0" w:color="auto"/>
            <w:left w:val="none" w:sz="0" w:space="0" w:color="auto"/>
            <w:bottom w:val="none" w:sz="0" w:space="0" w:color="auto"/>
            <w:right w:val="none" w:sz="0" w:space="0" w:color="auto"/>
          </w:divBdr>
        </w:div>
        <w:div w:id="2045519511">
          <w:marLeft w:val="640"/>
          <w:marRight w:val="0"/>
          <w:marTop w:val="0"/>
          <w:marBottom w:val="0"/>
          <w:divBdr>
            <w:top w:val="none" w:sz="0" w:space="0" w:color="auto"/>
            <w:left w:val="none" w:sz="0" w:space="0" w:color="auto"/>
            <w:bottom w:val="none" w:sz="0" w:space="0" w:color="auto"/>
            <w:right w:val="none" w:sz="0" w:space="0" w:color="auto"/>
          </w:divBdr>
        </w:div>
        <w:div w:id="48186770">
          <w:marLeft w:val="640"/>
          <w:marRight w:val="0"/>
          <w:marTop w:val="0"/>
          <w:marBottom w:val="0"/>
          <w:divBdr>
            <w:top w:val="none" w:sz="0" w:space="0" w:color="auto"/>
            <w:left w:val="none" w:sz="0" w:space="0" w:color="auto"/>
            <w:bottom w:val="none" w:sz="0" w:space="0" w:color="auto"/>
            <w:right w:val="none" w:sz="0" w:space="0" w:color="auto"/>
          </w:divBdr>
        </w:div>
        <w:div w:id="1839231166">
          <w:marLeft w:val="640"/>
          <w:marRight w:val="0"/>
          <w:marTop w:val="0"/>
          <w:marBottom w:val="0"/>
          <w:divBdr>
            <w:top w:val="none" w:sz="0" w:space="0" w:color="auto"/>
            <w:left w:val="none" w:sz="0" w:space="0" w:color="auto"/>
            <w:bottom w:val="none" w:sz="0" w:space="0" w:color="auto"/>
            <w:right w:val="none" w:sz="0" w:space="0" w:color="auto"/>
          </w:divBdr>
        </w:div>
        <w:div w:id="530412228">
          <w:marLeft w:val="640"/>
          <w:marRight w:val="0"/>
          <w:marTop w:val="0"/>
          <w:marBottom w:val="0"/>
          <w:divBdr>
            <w:top w:val="none" w:sz="0" w:space="0" w:color="auto"/>
            <w:left w:val="none" w:sz="0" w:space="0" w:color="auto"/>
            <w:bottom w:val="none" w:sz="0" w:space="0" w:color="auto"/>
            <w:right w:val="none" w:sz="0" w:space="0" w:color="auto"/>
          </w:divBdr>
        </w:div>
        <w:div w:id="1935017974">
          <w:marLeft w:val="640"/>
          <w:marRight w:val="0"/>
          <w:marTop w:val="0"/>
          <w:marBottom w:val="0"/>
          <w:divBdr>
            <w:top w:val="none" w:sz="0" w:space="0" w:color="auto"/>
            <w:left w:val="none" w:sz="0" w:space="0" w:color="auto"/>
            <w:bottom w:val="none" w:sz="0" w:space="0" w:color="auto"/>
            <w:right w:val="none" w:sz="0" w:space="0" w:color="auto"/>
          </w:divBdr>
        </w:div>
        <w:div w:id="111049461">
          <w:marLeft w:val="640"/>
          <w:marRight w:val="0"/>
          <w:marTop w:val="0"/>
          <w:marBottom w:val="0"/>
          <w:divBdr>
            <w:top w:val="none" w:sz="0" w:space="0" w:color="auto"/>
            <w:left w:val="none" w:sz="0" w:space="0" w:color="auto"/>
            <w:bottom w:val="none" w:sz="0" w:space="0" w:color="auto"/>
            <w:right w:val="none" w:sz="0" w:space="0" w:color="auto"/>
          </w:divBdr>
        </w:div>
        <w:div w:id="190842715">
          <w:marLeft w:val="640"/>
          <w:marRight w:val="0"/>
          <w:marTop w:val="0"/>
          <w:marBottom w:val="0"/>
          <w:divBdr>
            <w:top w:val="none" w:sz="0" w:space="0" w:color="auto"/>
            <w:left w:val="none" w:sz="0" w:space="0" w:color="auto"/>
            <w:bottom w:val="none" w:sz="0" w:space="0" w:color="auto"/>
            <w:right w:val="none" w:sz="0" w:space="0" w:color="auto"/>
          </w:divBdr>
        </w:div>
        <w:div w:id="890312657">
          <w:marLeft w:val="640"/>
          <w:marRight w:val="0"/>
          <w:marTop w:val="0"/>
          <w:marBottom w:val="0"/>
          <w:divBdr>
            <w:top w:val="none" w:sz="0" w:space="0" w:color="auto"/>
            <w:left w:val="none" w:sz="0" w:space="0" w:color="auto"/>
            <w:bottom w:val="none" w:sz="0" w:space="0" w:color="auto"/>
            <w:right w:val="none" w:sz="0" w:space="0" w:color="auto"/>
          </w:divBdr>
        </w:div>
        <w:div w:id="913319955">
          <w:marLeft w:val="640"/>
          <w:marRight w:val="0"/>
          <w:marTop w:val="0"/>
          <w:marBottom w:val="0"/>
          <w:divBdr>
            <w:top w:val="none" w:sz="0" w:space="0" w:color="auto"/>
            <w:left w:val="none" w:sz="0" w:space="0" w:color="auto"/>
            <w:bottom w:val="none" w:sz="0" w:space="0" w:color="auto"/>
            <w:right w:val="none" w:sz="0" w:space="0" w:color="auto"/>
          </w:divBdr>
        </w:div>
        <w:div w:id="91900602">
          <w:marLeft w:val="640"/>
          <w:marRight w:val="0"/>
          <w:marTop w:val="0"/>
          <w:marBottom w:val="0"/>
          <w:divBdr>
            <w:top w:val="none" w:sz="0" w:space="0" w:color="auto"/>
            <w:left w:val="none" w:sz="0" w:space="0" w:color="auto"/>
            <w:bottom w:val="none" w:sz="0" w:space="0" w:color="auto"/>
            <w:right w:val="none" w:sz="0" w:space="0" w:color="auto"/>
          </w:divBdr>
        </w:div>
        <w:div w:id="863787515">
          <w:marLeft w:val="640"/>
          <w:marRight w:val="0"/>
          <w:marTop w:val="0"/>
          <w:marBottom w:val="0"/>
          <w:divBdr>
            <w:top w:val="none" w:sz="0" w:space="0" w:color="auto"/>
            <w:left w:val="none" w:sz="0" w:space="0" w:color="auto"/>
            <w:bottom w:val="none" w:sz="0" w:space="0" w:color="auto"/>
            <w:right w:val="none" w:sz="0" w:space="0" w:color="auto"/>
          </w:divBdr>
        </w:div>
        <w:div w:id="168720525">
          <w:marLeft w:val="640"/>
          <w:marRight w:val="0"/>
          <w:marTop w:val="0"/>
          <w:marBottom w:val="0"/>
          <w:divBdr>
            <w:top w:val="none" w:sz="0" w:space="0" w:color="auto"/>
            <w:left w:val="none" w:sz="0" w:space="0" w:color="auto"/>
            <w:bottom w:val="none" w:sz="0" w:space="0" w:color="auto"/>
            <w:right w:val="none" w:sz="0" w:space="0" w:color="auto"/>
          </w:divBdr>
        </w:div>
        <w:div w:id="1604530451">
          <w:marLeft w:val="640"/>
          <w:marRight w:val="0"/>
          <w:marTop w:val="0"/>
          <w:marBottom w:val="0"/>
          <w:divBdr>
            <w:top w:val="none" w:sz="0" w:space="0" w:color="auto"/>
            <w:left w:val="none" w:sz="0" w:space="0" w:color="auto"/>
            <w:bottom w:val="none" w:sz="0" w:space="0" w:color="auto"/>
            <w:right w:val="none" w:sz="0" w:space="0" w:color="auto"/>
          </w:divBdr>
        </w:div>
        <w:div w:id="1439177357">
          <w:marLeft w:val="640"/>
          <w:marRight w:val="0"/>
          <w:marTop w:val="0"/>
          <w:marBottom w:val="0"/>
          <w:divBdr>
            <w:top w:val="none" w:sz="0" w:space="0" w:color="auto"/>
            <w:left w:val="none" w:sz="0" w:space="0" w:color="auto"/>
            <w:bottom w:val="none" w:sz="0" w:space="0" w:color="auto"/>
            <w:right w:val="none" w:sz="0" w:space="0" w:color="auto"/>
          </w:divBdr>
        </w:div>
        <w:div w:id="1933779980">
          <w:marLeft w:val="640"/>
          <w:marRight w:val="0"/>
          <w:marTop w:val="0"/>
          <w:marBottom w:val="0"/>
          <w:divBdr>
            <w:top w:val="none" w:sz="0" w:space="0" w:color="auto"/>
            <w:left w:val="none" w:sz="0" w:space="0" w:color="auto"/>
            <w:bottom w:val="none" w:sz="0" w:space="0" w:color="auto"/>
            <w:right w:val="none" w:sz="0" w:space="0" w:color="auto"/>
          </w:divBdr>
        </w:div>
        <w:div w:id="848562214">
          <w:marLeft w:val="640"/>
          <w:marRight w:val="0"/>
          <w:marTop w:val="0"/>
          <w:marBottom w:val="0"/>
          <w:divBdr>
            <w:top w:val="none" w:sz="0" w:space="0" w:color="auto"/>
            <w:left w:val="none" w:sz="0" w:space="0" w:color="auto"/>
            <w:bottom w:val="none" w:sz="0" w:space="0" w:color="auto"/>
            <w:right w:val="none" w:sz="0" w:space="0" w:color="auto"/>
          </w:divBdr>
        </w:div>
        <w:div w:id="34740896">
          <w:marLeft w:val="640"/>
          <w:marRight w:val="0"/>
          <w:marTop w:val="0"/>
          <w:marBottom w:val="0"/>
          <w:divBdr>
            <w:top w:val="none" w:sz="0" w:space="0" w:color="auto"/>
            <w:left w:val="none" w:sz="0" w:space="0" w:color="auto"/>
            <w:bottom w:val="none" w:sz="0" w:space="0" w:color="auto"/>
            <w:right w:val="none" w:sz="0" w:space="0" w:color="auto"/>
          </w:divBdr>
        </w:div>
        <w:div w:id="12734355">
          <w:marLeft w:val="640"/>
          <w:marRight w:val="0"/>
          <w:marTop w:val="0"/>
          <w:marBottom w:val="0"/>
          <w:divBdr>
            <w:top w:val="none" w:sz="0" w:space="0" w:color="auto"/>
            <w:left w:val="none" w:sz="0" w:space="0" w:color="auto"/>
            <w:bottom w:val="none" w:sz="0" w:space="0" w:color="auto"/>
            <w:right w:val="none" w:sz="0" w:space="0" w:color="auto"/>
          </w:divBdr>
        </w:div>
        <w:div w:id="913932063">
          <w:marLeft w:val="640"/>
          <w:marRight w:val="0"/>
          <w:marTop w:val="0"/>
          <w:marBottom w:val="0"/>
          <w:divBdr>
            <w:top w:val="none" w:sz="0" w:space="0" w:color="auto"/>
            <w:left w:val="none" w:sz="0" w:space="0" w:color="auto"/>
            <w:bottom w:val="none" w:sz="0" w:space="0" w:color="auto"/>
            <w:right w:val="none" w:sz="0" w:space="0" w:color="auto"/>
          </w:divBdr>
        </w:div>
        <w:div w:id="838277854">
          <w:marLeft w:val="640"/>
          <w:marRight w:val="0"/>
          <w:marTop w:val="0"/>
          <w:marBottom w:val="0"/>
          <w:divBdr>
            <w:top w:val="none" w:sz="0" w:space="0" w:color="auto"/>
            <w:left w:val="none" w:sz="0" w:space="0" w:color="auto"/>
            <w:bottom w:val="none" w:sz="0" w:space="0" w:color="auto"/>
            <w:right w:val="none" w:sz="0" w:space="0" w:color="auto"/>
          </w:divBdr>
        </w:div>
        <w:div w:id="394859642">
          <w:marLeft w:val="640"/>
          <w:marRight w:val="0"/>
          <w:marTop w:val="0"/>
          <w:marBottom w:val="0"/>
          <w:divBdr>
            <w:top w:val="none" w:sz="0" w:space="0" w:color="auto"/>
            <w:left w:val="none" w:sz="0" w:space="0" w:color="auto"/>
            <w:bottom w:val="none" w:sz="0" w:space="0" w:color="auto"/>
            <w:right w:val="none" w:sz="0" w:space="0" w:color="auto"/>
          </w:divBdr>
        </w:div>
        <w:div w:id="98644691">
          <w:marLeft w:val="640"/>
          <w:marRight w:val="0"/>
          <w:marTop w:val="0"/>
          <w:marBottom w:val="0"/>
          <w:divBdr>
            <w:top w:val="none" w:sz="0" w:space="0" w:color="auto"/>
            <w:left w:val="none" w:sz="0" w:space="0" w:color="auto"/>
            <w:bottom w:val="none" w:sz="0" w:space="0" w:color="auto"/>
            <w:right w:val="none" w:sz="0" w:space="0" w:color="auto"/>
          </w:divBdr>
        </w:div>
        <w:div w:id="226960893">
          <w:marLeft w:val="640"/>
          <w:marRight w:val="0"/>
          <w:marTop w:val="0"/>
          <w:marBottom w:val="0"/>
          <w:divBdr>
            <w:top w:val="none" w:sz="0" w:space="0" w:color="auto"/>
            <w:left w:val="none" w:sz="0" w:space="0" w:color="auto"/>
            <w:bottom w:val="none" w:sz="0" w:space="0" w:color="auto"/>
            <w:right w:val="none" w:sz="0" w:space="0" w:color="auto"/>
          </w:divBdr>
        </w:div>
        <w:div w:id="1307779479">
          <w:marLeft w:val="640"/>
          <w:marRight w:val="0"/>
          <w:marTop w:val="0"/>
          <w:marBottom w:val="0"/>
          <w:divBdr>
            <w:top w:val="none" w:sz="0" w:space="0" w:color="auto"/>
            <w:left w:val="none" w:sz="0" w:space="0" w:color="auto"/>
            <w:bottom w:val="none" w:sz="0" w:space="0" w:color="auto"/>
            <w:right w:val="none" w:sz="0" w:space="0" w:color="auto"/>
          </w:divBdr>
        </w:div>
        <w:div w:id="1752581302">
          <w:marLeft w:val="640"/>
          <w:marRight w:val="0"/>
          <w:marTop w:val="0"/>
          <w:marBottom w:val="0"/>
          <w:divBdr>
            <w:top w:val="none" w:sz="0" w:space="0" w:color="auto"/>
            <w:left w:val="none" w:sz="0" w:space="0" w:color="auto"/>
            <w:bottom w:val="none" w:sz="0" w:space="0" w:color="auto"/>
            <w:right w:val="none" w:sz="0" w:space="0" w:color="auto"/>
          </w:divBdr>
        </w:div>
        <w:div w:id="1075593406">
          <w:marLeft w:val="640"/>
          <w:marRight w:val="0"/>
          <w:marTop w:val="0"/>
          <w:marBottom w:val="0"/>
          <w:divBdr>
            <w:top w:val="none" w:sz="0" w:space="0" w:color="auto"/>
            <w:left w:val="none" w:sz="0" w:space="0" w:color="auto"/>
            <w:bottom w:val="none" w:sz="0" w:space="0" w:color="auto"/>
            <w:right w:val="none" w:sz="0" w:space="0" w:color="auto"/>
          </w:divBdr>
        </w:div>
        <w:div w:id="525020814">
          <w:marLeft w:val="640"/>
          <w:marRight w:val="0"/>
          <w:marTop w:val="0"/>
          <w:marBottom w:val="0"/>
          <w:divBdr>
            <w:top w:val="none" w:sz="0" w:space="0" w:color="auto"/>
            <w:left w:val="none" w:sz="0" w:space="0" w:color="auto"/>
            <w:bottom w:val="none" w:sz="0" w:space="0" w:color="auto"/>
            <w:right w:val="none" w:sz="0" w:space="0" w:color="auto"/>
          </w:divBdr>
        </w:div>
        <w:div w:id="928545015">
          <w:marLeft w:val="640"/>
          <w:marRight w:val="0"/>
          <w:marTop w:val="0"/>
          <w:marBottom w:val="0"/>
          <w:divBdr>
            <w:top w:val="none" w:sz="0" w:space="0" w:color="auto"/>
            <w:left w:val="none" w:sz="0" w:space="0" w:color="auto"/>
            <w:bottom w:val="none" w:sz="0" w:space="0" w:color="auto"/>
            <w:right w:val="none" w:sz="0" w:space="0" w:color="auto"/>
          </w:divBdr>
        </w:div>
        <w:div w:id="293870831">
          <w:marLeft w:val="640"/>
          <w:marRight w:val="0"/>
          <w:marTop w:val="0"/>
          <w:marBottom w:val="0"/>
          <w:divBdr>
            <w:top w:val="none" w:sz="0" w:space="0" w:color="auto"/>
            <w:left w:val="none" w:sz="0" w:space="0" w:color="auto"/>
            <w:bottom w:val="none" w:sz="0" w:space="0" w:color="auto"/>
            <w:right w:val="none" w:sz="0" w:space="0" w:color="auto"/>
          </w:divBdr>
        </w:div>
        <w:div w:id="137384801">
          <w:marLeft w:val="640"/>
          <w:marRight w:val="0"/>
          <w:marTop w:val="0"/>
          <w:marBottom w:val="0"/>
          <w:divBdr>
            <w:top w:val="none" w:sz="0" w:space="0" w:color="auto"/>
            <w:left w:val="none" w:sz="0" w:space="0" w:color="auto"/>
            <w:bottom w:val="none" w:sz="0" w:space="0" w:color="auto"/>
            <w:right w:val="none" w:sz="0" w:space="0" w:color="auto"/>
          </w:divBdr>
        </w:div>
        <w:div w:id="354118991">
          <w:marLeft w:val="640"/>
          <w:marRight w:val="0"/>
          <w:marTop w:val="0"/>
          <w:marBottom w:val="0"/>
          <w:divBdr>
            <w:top w:val="none" w:sz="0" w:space="0" w:color="auto"/>
            <w:left w:val="none" w:sz="0" w:space="0" w:color="auto"/>
            <w:bottom w:val="none" w:sz="0" w:space="0" w:color="auto"/>
            <w:right w:val="none" w:sz="0" w:space="0" w:color="auto"/>
          </w:divBdr>
        </w:div>
        <w:div w:id="1899823651">
          <w:marLeft w:val="640"/>
          <w:marRight w:val="0"/>
          <w:marTop w:val="0"/>
          <w:marBottom w:val="0"/>
          <w:divBdr>
            <w:top w:val="none" w:sz="0" w:space="0" w:color="auto"/>
            <w:left w:val="none" w:sz="0" w:space="0" w:color="auto"/>
            <w:bottom w:val="none" w:sz="0" w:space="0" w:color="auto"/>
            <w:right w:val="none" w:sz="0" w:space="0" w:color="auto"/>
          </w:divBdr>
        </w:div>
        <w:div w:id="1041629629">
          <w:marLeft w:val="640"/>
          <w:marRight w:val="0"/>
          <w:marTop w:val="0"/>
          <w:marBottom w:val="0"/>
          <w:divBdr>
            <w:top w:val="none" w:sz="0" w:space="0" w:color="auto"/>
            <w:left w:val="none" w:sz="0" w:space="0" w:color="auto"/>
            <w:bottom w:val="none" w:sz="0" w:space="0" w:color="auto"/>
            <w:right w:val="none" w:sz="0" w:space="0" w:color="auto"/>
          </w:divBdr>
        </w:div>
        <w:div w:id="170528735">
          <w:marLeft w:val="640"/>
          <w:marRight w:val="0"/>
          <w:marTop w:val="0"/>
          <w:marBottom w:val="0"/>
          <w:divBdr>
            <w:top w:val="none" w:sz="0" w:space="0" w:color="auto"/>
            <w:left w:val="none" w:sz="0" w:space="0" w:color="auto"/>
            <w:bottom w:val="none" w:sz="0" w:space="0" w:color="auto"/>
            <w:right w:val="none" w:sz="0" w:space="0" w:color="auto"/>
          </w:divBdr>
        </w:div>
        <w:div w:id="87702523">
          <w:marLeft w:val="640"/>
          <w:marRight w:val="0"/>
          <w:marTop w:val="0"/>
          <w:marBottom w:val="0"/>
          <w:divBdr>
            <w:top w:val="none" w:sz="0" w:space="0" w:color="auto"/>
            <w:left w:val="none" w:sz="0" w:space="0" w:color="auto"/>
            <w:bottom w:val="none" w:sz="0" w:space="0" w:color="auto"/>
            <w:right w:val="none" w:sz="0" w:space="0" w:color="auto"/>
          </w:divBdr>
        </w:div>
        <w:div w:id="1880042524">
          <w:marLeft w:val="640"/>
          <w:marRight w:val="0"/>
          <w:marTop w:val="0"/>
          <w:marBottom w:val="0"/>
          <w:divBdr>
            <w:top w:val="none" w:sz="0" w:space="0" w:color="auto"/>
            <w:left w:val="none" w:sz="0" w:space="0" w:color="auto"/>
            <w:bottom w:val="none" w:sz="0" w:space="0" w:color="auto"/>
            <w:right w:val="none" w:sz="0" w:space="0" w:color="auto"/>
          </w:divBdr>
        </w:div>
        <w:div w:id="875656045">
          <w:marLeft w:val="640"/>
          <w:marRight w:val="0"/>
          <w:marTop w:val="0"/>
          <w:marBottom w:val="0"/>
          <w:divBdr>
            <w:top w:val="none" w:sz="0" w:space="0" w:color="auto"/>
            <w:left w:val="none" w:sz="0" w:space="0" w:color="auto"/>
            <w:bottom w:val="none" w:sz="0" w:space="0" w:color="auto"/>
            <w:right w:val="none" w:sz="0" w:space="0" w:color="auto"/>
          </w:divBdr>
        </w:div>
        <w:div w:id="1592659255">
          <w:marLeft w:val="640"/>
          <w:marRight w:val="0"/>
          <w:marTop w:val="0"/>
          <w:marBottom w:val="0"/>
          <w:divBdr>
            <w:top w:val="none" w:sz="0" w:space="0" w:color="auto"/>
            <w:left w:val="none" w:sz="0" w:space="0" w:color="auto"/>
            <w:bottom w:val="none" w:sz="0" w:space="0" w:color="auto"/>
            <w:right w:val="none" w:sz="0" w:space="0" w:color="auto"/>
          </w:divBdr>
        </w:div>
        <w:div w:id="265843541">
          <w:marLeft w:val="640"/>
          <w:marRight w:val="0"/>
          <w:marTop w:val="0"/>
          <w:marBottom w:val="0"/>
          <w:divBdr>
            <w:top w:val="none" w:sz="0" w:space="0" w:color="auto"/>
            <w:left w:val="none" w:sz="0" w:space="0" w:color="auto"/>
            <w:bottom w:val="none" w:sz="0" w:space="0" w:color="auto"/>
            <w:right w:val="none" w:sz="0" w:space="0" w:color="auto"/>
          </w:divBdr>
        </w:div>
        <w:div w:id="1377198049">
          <w:marLeft w:val="640"/>
          <w:marRight w:val="0"/>
          <w:marTop w:val="0"/>
          <w:marBottom w:val="0"/>
          <w:divBdr>
            <w:top w:val="none" w:sz="0" w:space="0" w:color="auto"/>
            <w:left w:val="none" w:sz="0" w:space="0" w:color="auto"/>
            <w:bottom w:val="none" w:sz="0" w:space="0" w:color="auto"/>
            <w:right w:val="none" w:sz="0" w:space="0" w:color="auto"/>
          </w:divBdr>
        </w:div>
        <w:div w:id="1598251720">
          <w:marLeft w:val="640"/>
          <w:marRight w:val="0"/>
          <w:marTop w:val="0"/>
          <w:marBottom w:val="0"/>
          <w:divBdr>
            <w:top w:val="none" w:sz="0" w:space="0" w:color="auto"/>
            <w:left w:val="none" w:sz="0" w:space="0" w:color="auto"/>
            <w:bottom w:val="none" w:sz="0" w:space="0" w:color="auto"/>
            <w:right w:val="none" w:sz="0" w:space="0" w:color="auto"/>
          </w:divBdr>
        </w:div>
        <w:div w:id="1807619499">
          <w:marLeft w:val="640"/>
          <w:marRight w:val="0"/>
          <w:marTop w:val="0"/>
          <w:marBottom w:val="0"/>
          <w:divBdr>
            <w:top w:val="none" w:sz="0" w:space="0" w:color="auto"/>
            <w:left w:val="none" w:sz="0" w:space="0" w:color="auto"/>
            <w:bottom w:val="none" w:sz="0" w:space="0" w:color="auto"/>
            <w:right w:val="none" w:sz="0" w:space="0" w:color="auto"/>
          </w:divBdr>
        </w:div>
        <w:div w:id="219632281">
          <w:marLeft w:val="640"/>
          <w:marRight w:val="0"/>
          <w:marTop w:val="0"/>
          <w:marBottom w:val="0"/>
          <w:divBdr>
            <w:top w:val="none" w:sz="0" w:space="0" w:color="auto"/>
            <w:left w:val="none" w:sz="0" w:space="0" w:color="auto"/>
            <w:bottom w:val="none" w:sz="0" w:space="0" w:color="auto"/>
            <w:right w:val="none" w:sz="0" w:space="0" w:color="auto"/>
          </w:divBdr>
        </w:div>
        <w:div w:id="1200775319">
          <w:marLeft w:val="640"/>
          <w:marRight w:val="0"/>
          <w:marTop w:val="0"/>
          <w:marBottom w:val="0"/>
          <w:divBdr>
            <w:top w:val="none" w:sz="0" w:space="0" w:color="auto"/>
            <w:left w:val="none" w:sz="0" w:space="0" w:color="auto"/>
            <w:bottom w:val="none" w:sz="0" w:space="0" w:color="auto"/>
            <w:right w:val="none" w:sz="0" w:space="0" w:color="auto"/>
          </w:divBdr>
        </w:div>
        <w:div w:id="943802074">
          <w:marLeft w:val="640"/>
          <w:marRight w:val="0"/>
          <w:marTop w:val="0"/>
          <w:marBottom w:val="0"/>
          <w:divBdr>
            <w:top w:val="none" w:sz="0" w:space="0" w:color="auto"/>
            <w:left w:val="none" w:sz="0" w:space="0" w:color="auto"/>
            <w:bottom w:val="none" w:sz="0" w:space="0" w:color="auto"/>
            <w:right w:val="none" w:sz="0" w:space="0" w:color="auto"/>
          </w:divBdr>
        </w:div>
        <w:div w:id="1609582552">
          <w:marLeft w:val="640"/>
          <w:marRight w:val="0"/>
          <w:marTop w:val="0"/>
          <w:marBottom w:val="0"/>
          <w:divBdr>
            <w:top w:val="none" w:sz="0" w:space="0" w:color="auto"/>
            <w:left w:val="none" w:sz="0" w:space="0" w:color="auto"/>
            <w:bottom w:val="none" w:sz="0" w:space="0" w:color="auto"/>
            <w:right w:val="none" w:sz="0" w:space="0" w:color="auto"/>
          </w:divBdr>
        </w:div>
        <w:div w:id="925966425">
          <w:marLeft w:val="640"/>
          <w:marRight w:val="0"/>
          <w:marTop w:val="0"/>
          <w:marBottom w:val="0"/>
          <w:divBdr>
            <w:top w:val="none" w:sz="0" w:space="0" w:color="auto"/>
            <w:left w:val="none" w:sz="0" w:space="0" w:color="auto"/>
            <w:bottom w:val="none" w:sz="0" w:space="0" w:color="auto"/>
            <w:right w:val="none" w:sz="0" w:space="0" w:color="auto"/>
          </w:divBdr>
        </w:div>
        <w:div w:id="1861505219">
          <w:marLeft w:val="640"/>
          <w:marRight w:val="0"/>
          <w:marTop w:val="0"/>
          <w:marBottom w:val="0"/>
          <w:divBdr>
            <w:top w:val="none" w:sz="0" w:space="0" w:color="auto"/>
            <w:left w:val="none" w:sz="0" w:space="0" w:color="auto"/>
            <w:bottom w:val="none" w:sz="0" w:space="0" w:color="auto"/>
            <w:right w:val="none" w:sz="0" w:space="0" w:color="auto"/>
          </w:divBdr>
        </w:div>
        <w:div w:id="210532700">
          <w:marLeft w:val="640"/>
          <w:marRight w:val="0"/>
          <w:marTop w:val="0"/>
          <w:marBottom w:val="0"/>
          <w:divBdr>
            <w:top w:val="none" w:sz="0" w:space="0" w:color="auto"/>
            <w:left w:val="none" w:sz="0" w:space="0" w:color="auto"/>
            <w:bottom w:val="none" w:sz="0" w:space="0" w:color="auto"/>
            <w:right w:val="none" w:sz="0" w:space="0" w:color="auto"/>
          </w:divBdr>
        </w:div>
        <w:div w:id="1698847427">
          <w:marLeft w:val="640"/>
          <w:marRight w:val="0"/>
          <w:marTop w:val="0"/>
          <w:marBottom w:val="0"/>
          <w:divBdr>
            <w:top w:val="none" w:sz="0" w:space="0" w:color="auto"/>
            <w:left w:val="none" w:sz="0" w:space="0" w:color="auto"/>
            <w:bottom w:val="none" w:sz="0" w:space="0" w:color="auto"/>
            <w:right w:val="none" w:sz="0" w:space="0" w:color="auto"/>
          </w:divBdr>
        </w:div>
        <w:div w:id="1710714910">
          <w:marLeft w:val="640"/>
          <w:marRight w:val="0"/>
          <w:marTop w:val="0"/>
          <w:marBottom w:val="0"/>
          <w:divBdr>
            <w:top w:val="none" w:sz="0" w:space="0" w:color="auto"/>
            <w:left w:val="none" w:sz="0" w:space="0" w:color="auto"/>
            <w:bottom w:val="none" w:sz="0" w:space="0" w:color="auto"/>
            <w:right w:val="none" w:sz="0" w:space="0" w:color="auto"/>
          </w:divBdr>
        </w:div>
        <w:div w:id="310407403">
          <w:marLeft w:val="640"/>
          <w:marRight w:val="0"/>
          <w:marTop w:val="0"/>
          <w:marBottom w:val="0"/>
          <w:divBdr>
            <w:top w:val="none" w:sz="0" w:space="0" w:color="auto"/>
            <w:left w:val="none" w:sz="0" w:space="0" w:color="auto"/>
            <w:bottom w:val="none" w:sz="0" w:space="0" w:color="auto"/>
            <w:right w:val="none" w:sz="0" w:space="0" w:color="auto"/>
          </w:divBdr>
        </w:div>
        <w:div w:id="576329438">
          <w:marLeft w:val="640"/>
          <w:marRight w:val="0"/>
          <w:marTop w:val="0"/>
          <w:marBottom w:val="0"/>
          <w:divBdr>
            <w:top w:val="none" w:sz="0" w:space="0" w:color="auto"/>
            <w:left w:val="none" w:sz="0" w:space="0" w:color="auto"/>
            <w:bottom w:val="none" w:sz="0" w:space="0" w:color="auto"/>
            <w:right w:val="none" w:sz="0" w:space="0" w:color="auto"/>
          </w:divBdr>
        </w:div>
        <w:div w:id="1316495887">
          <w:marLeft w:val="640"/>
          <w:marRight w:val="0"/>
          <w:marTop w:val="0"/>
          <w:marBottom w:val="0"/>
          <w:divBdr>
            <w:top w:val="none" w:sz="0" w:space="0" w:color="auto"/>
            <w:left w:val="none" w:sz="0" w:space="0" w:color="auto"/>
            <w:bottom w:val="none" w:sz="0" w:space="0" w:color="auto"/>
            <w:right w:val="none" w:sz="0" w:space="0" w:color="auto"/>
          </w:divBdr>
        </w:div>
        <w:div w:id="869607645">
          <w:marLeft w:val="640"/>
          <w:marRight w:val="0"/>
          <w:marTop w:val="0"/>
          <w:marBottom w:val="0"/>
          <w:divBdr>
            <w:top w:val="none" w:sz="0" w:space="0" w:color="auto"/>
            <w:left w:val="none" w:sz="0" w:space="0" w:color="auto"/>
            <w:bottom w:val="none" w:sz="0" w:space="0" w:color="auto"/>
            <w:right w:val="none" w:sz="0" w:space="0" w:color="auto"/>
          </w:divBdr>
        </w:div>
        <w:div w:id="1809085933">
          <w:marLeft w:val="640"/>
          <w:marRight w:val="0"/>
          <w:marTop w:val="0"/>
          <w:marBottom w:val="0"/>
          <w:divBdr>
            <w:top w:val="none" w:sz="0" w:space="0" w:color="auto"/>
            <w:left w:val="none" w:sz="0" w:space="0" w:color="auto"/>
            <w:bottom w:val="none" w:sz="0" w:space="0" w:color="auto"/>
            <w:right w:val="none" w:sz="0" w:space="0" w:color="auto"/>
          </w:divBdr>
        </w:div>
        <w:div w:id="2004120902">
          <w:marLeft w:val="640"/>
          <w:marRight w:val="0"/>
          <w:marTop w:val="0"/>
          <w:marBottom w:val="0"/>
          <w:divBdr>
            <w:top w:val="none" w:sz="0" w:space="0" w:color="auto"/>
            <w:left w:val="none" w:sz="0" w:space="0" w:color="auto"/>
            <w:bottom w:val="none" w:sz="0" w:space="0" w:color="auto"/>
            <w:right w:val="none" w:sz="0" w:space="0" w:color="auto"/>
          </w:divBdr>
        </w:div>
        <w:div w:id="1543206393">
          <w:marLeft w:val="640"/>
          <w:marRight w:val="0"/>
          <w:marTop w:val="0"/>
          <w:marBottom w:val="0"/>
          <w:divBdr>
            <w:top w:val="none" w:sz="0" w:space="0" w:color="auto"/>
            <w:left w:val="none" w:sz="0" w:space="0" w:color="auto"/>
            <w:bottom w:val="none" w:sz="0" w:space="0" w:color="auto"/>
            <w:right w:val="none" w:sz="0" w:space="0" w:color="auto"/>
          </w:divBdr>
        </w:div>
        <w:div w:id="566915042">
          <w:marLeft w:val="640"/>
          <w:marRight w:val="0"/>
          <w:marTop w:val="0"/>
          <w:marBottom w:val="0"/>
          <w:divBdr>
            <w:top w:val="none" w:sz="0" w:space="0" w:color="auto"/>
            <w:left w:val="none" w:sz="0" w:space="0" w:color="auto"/>
            <w:bottom w:val="none" w:sz="0" w:space="0" w:color="auto"/>
            <w:right w:val="none" w:sz="0" w:space="0" w:color="auto"/>
          </w:divBdr>
        </w:div>
        <w:div w:id="1931961046">
          <w:marLeft w:val="640"/>
          <w:marRight w:val="0"/>
          <w:marTop w:val="0"/>
          <w:marBottom w:val="0"/>
          <w:divBdr>
            <w:top w:val="none" w:sz="0" w:space="0" w:color="auto"/>
            <w:left w:val="none" w:sz="0" w:space="0" w:color="auto"/>
            <w:bottom w:val="none" w:sz="0" w:space="0" w:color="auto"/>
            <w:right w:val="none" w:sz="0" w:space="0" w:color="auto"/>
          </w:divBdr>
        </w:div>
        <w:div w:id="227111172">
          <w:marLeft w:val="640"/>
          <w:marRight w:val="0"/>
          <w:marTop w:val="0"/>
          <w:marBottom w:val="0"/>
          <w:divBdr>
            <w:top w:val="none" w:sz="0" w:space="0" w:color="auto"/>
            <w:left w:val="none" w:sz="0" w:space="0" w:color="auto"/>
            <w:bottom w:val="none" w:sz="0" w:space="0" w:color="auto"/>
            <w:right w:val="none" w:sz="0" w:space="0" w:color="auto"/>
          </w:divBdr>
        </w:div>
        <w:div w:id="1509641727">
          <w:marLeft w:val="640"/>
          <w:marRight w:val="0"/>
          <w:marTop w:val="0"/>
          <w:marBottom w:val="0"/>
          <w:divBdr>
            <w:top w:val="none" w:sz="0" w:space="0" w:color="auto"/>
            <w:left w:val="none" w:sz="0" w:space="0" w:color="auto"/>
            <w:bottom w:val="none" w:sz="0" w:space="0" w:color="auto"/>
            <w:right w:val="none" w:sz="0" w:space="0" w:color="auto"/>
          </w:divBdr>
        </w:div>
        <w:div w:id="2053461522">
          <w:marLeft w:val="640"/>
          <w:marRight w:val="0"/>
          <w:marTop w:val="0"/>
          <w:marBottom w:val="0"/>
          <w:divBdr>
            <w:top w:val="none" w:sz="0" w:space="0" w:color="auto"/>
            <w:left w:val="none" w:sz="0" w:space="0" w:color="auto"/>
            <w:bottom w:val="none" w:sz="0" w:space="0" w:color="auto"/>
            <w:right w:val="none" w:sz="0" w:space="0" w:color="auto"/>
          </w:divBdr>
        </w:div>
        <w:div w:id="1501194568">
          <w:marLeft w:val="640"/>
          <w:marRight w:val="0"/>
          <w:marTop w:val="0"/>
          <w:marBottom w:val="0"/>
          <w:divBdr>
            <w:top w:val="none" w:sz="0" w:space="0" w:color="auto"/>
            <w:left w:val="none" w:sz="0" w:space="0" w:color="auto"/>
            <w:bottom w:val="none" w:sz="0" w:space="0" w:color="auto"/>
            <w:right w:val="none" w:sz="0" w:space="0" w:color="auto"/>
          </w:divBdr>
        </w:div>
        <w:div w:id="1794859917">
          <w:marLeft w:val="640"/>
          <w:marRight w:val="0"/>
          <w:marTop w:val="0"/>
          <w:marBottom w:val="0"/>
          <w:divBdr>
            <w:top w:val="none" w:sz="0" w:space="0" w:color="auto"/>
            <w:left w:val="none" w:sz="0" w:space="0" w:color="auto"/>
            <w:bottom w:val="none" w:sz="0" w:space="0" w:color="auto"/>
            <w:right w:val="none" w:sz="0" w:space="0" w:color="auto"/>
          </w:divBdr>
        </w:div>
        <w:div w:id="1502888392">
          <w:marLeft w:val="640"/>
          <w:marRight w:val="0"/>
          <w:marTop w:val="0"/>
          <w:marBottom w:val="0"/>
          <w:divBdr>
            <w:top w:val="none" w:sz="0" w:space="0" w:color="auto"/>
            <w:left w:val="none" w:sz="0" w:space="0" w:color="auto"/>
            <w:bottom w:val="none" w:sz="0" w:space="0" w:color="auto"/>
            <w:right w:val="none" w:sz="0" w:space="0" w:color="auto"/>
          </w:divBdr>
        </w:div>
        <w:div w:id="864486021">
          <w:marLeft w:val="640"/>
          <w:marRight w:val="0"/>
          <w:marTop w:val="0"/>
          <w:marBottom w:val="0"/>
          <w:divBdr>
            <w:top w:val="none" w:sz="0" w:space="0" w:color="auto"/>
            <w:left w:val="none" w:sz="0" w:space="0" w:color="auto"/>
            <w:bottom w:val="none" w:sz="0" w:space="0" w:color="auto"/>
            <w:right w:val="none" w:sz="0" w:space="0" w:color="auto"/>
          </w:divBdr>
        </w:div>
        <w:div w:id="421687556">
          <w:marLeft w:val="640"/>
          <w:marRight w:val="0"/>
          <w:marTop w:val="0"/>
          <w:marBottom w:val="0"/>
          <w:divBdr>
            <w:top w:val="none" w:sz="0" w:space="0" w:color="auto"/>
            <w:left w:val="none" w:sz="0" w:space="0" w:color="auto"/>
            <w:bottom w:val="none" w:sz="0" w:space="0" w:color="auto"/>
            <w:right w:val="none" w:sz="0" w:space="0" w:color="auto"/>
          </w:divBdr>
        </w:div>
        <w:div w:id="1244222112">
          <w:marLeft w:val="640"/>
          <w:marRight w:val="0"/>
          <w:marTop w:val="0"/>
          <w:marBottom w:val="0"/>
          <w:divBdr>
            <w:top w:val="none" w:sz="0" w:space="0" w:color="auto"/>
            <w:left w:val="none" w:sz="0" w:space="0" w:color="auto"/>
            <w:bottom w:val="none" w:sz="0" w:space="0" w:color="auto"/>
            <w:right w:val="none" w:sz="0" w:space="0" w:color="auto"/>
          </w:divBdr>
        </w:div>
        <w:div w:id="156457214">
          <w:marLeft w:val="640"/>
          <w:marRight w:val="0"/>
          <w:marTop w:val="0"/>
          <w:marBottom w:val="0"/>
          <w:divBdr>
            <w:top w:val="none" w:sz="0" w:space="0" w:color="auto"/>
            <w:left w:val="none" w:sz="0" w:space="0" w:color="auto"/>
            <w:bottom w:val="none" w:sz="0" w:space="0" w:color="auto"/>
            <w:right w:val="none" w:sz="0" w:space="0" w:color="auto"/>
          </w:divBdr>
        </w:div>
        <w:div w:id="1922908833">
          <w:marLeft w:val="640"/>
          <w:marRight w:val="0"/>
          <w:marTop w:val="0"/>
          <w:marBottom w:val="0"/>
          <w:divBdr>
            <w:top w:val="none" w:sz="0" w:space="0" w:color="auto"/>
            <w:left w:val="none" w:sz="0" w:space="0" w:color="auto"/>
            <w:bottom w:val="none" w:sz="0" w:space="0" w:color="auto"/>
            <w:right w:val="none" w:sz="0" w:space="0" w:color="auto"/>
          </w:divBdr>
        </w:div>
        <w:div w:id="661349440">
          <w:marLeft w:val="640"/>
          <w:marRight w:val="0"/>
          <w:marTop w:val="0"/>
          <w:marBottom w:val="0"/>
          <w:divBdr>
            <w:top w:val="none" w:sz="0" w:space="0" w:color="auto"/>
            <w:left w:val="none" w:sz="0" w:space="0" w:color="auto"/>
            <w:bottom w:val="none" w:sz="0" w:space="0" w:color="auto"/>
            <w:right w:val="none" w:sz="0" w:space="0" w:color="auto"/>
          </w:divBdr>
        </w:div>
        <w:div w:id="440951665">
          <w:marLeft w:val="640"/>
          <w:marRight w:val="0"/>
          <w:marTop w:val="0"/>
          <w:marBottom w:val="0"/>
          <w:divBdr>
            <w:top w:val="none" w:sz="0" w:space="0" w:color="auto"/>
            <w:left w:val="none" w:sz="0" w:space="0" w:color="auto"/>
            <w:bottom w:val="none" w:sz="0" w:space="0" w:color="auto"/>
            <w:right w:val="none" w:sz="0" w:space="0" w:color="auto"/>
          </w:divBdr>
        </w:div>
        <w:div w:id="565724114">
          <w:marLeft w:val="640"/>
          <w:marRight w:val="0"/>
          <w:marTop w:val="0"/>
          <w:marBottom w:val="0"/>
          <w:divBdr>
            <w:top w:val="none" w:sz="0" w:space="0" w:color="auto"/>
            <w:left w:val="none" w:sz="0" w:space="0" w:color="auto"/>
            <w:bottom w:val="none" w:sz="0" w:space="0" w:color="auto"/>
            <w:right w:val="none" w:sz="0" w:space="0" w:color="auto"/>
          </w:divBdr>
        </w:div>
        <w:div w:id="850991495">
          <w:marLeft w:val="640"/>
          <w:marRight w:val="0"/>
          <w:marTop w:val="0"/>
          <w:marBottom w:val="0"/>
          <w:divBdr>
            <w:top w:val="none" w:sz="0" w:space="0" w:color="auto"/>
            <w:left w:val="none" w:sz="0" w:space="0" w:color="auto"/>
            <w:bottom w:val="none" w:sz="0" w:space="0" w:color="auto"/>
            <w:right w:val="none" w:sz="0" w:space="0" w:color="auto"/>
          </w:divBdr>
        </w:div>
        <w:div w:id="666829142">
          <w:marLeft w:val="640"/>
          <w:marRight w:val="0"/>
          <w:marTop w:val="0"/>
          <w:marBottom w:val="0"/>
          <w:divBdr>
            <w:top w:val="none" w:sz="0" w:space="0" w:color="auto"/>
            <w:left w:val="none" w:sz="0" w:space="0" w:color="auto"/>
            <w:bottom w:val="none" w:sz="0" w:space="0" w:color="auto"/>
            <w:right w:val="none" w:sz="0" w:space="0" w:color="auto"/>
          </w:divBdr>
        </w:div>
        <w:div w:id="1910382980">
          <w:marLeft w:val="640"/>
          <w:marRight w:val="0"/>
          <w:marTop w:val="0"/>
          <w:marBottom w:val="0"/>
          <w:divBdr>
            <w:top w:val="none" w:sz="0" w:space="0" w:color="auto"/>
            <w:left w:val="none" w:sz="0" w:space="0" w:color="auto"/>
            <w:bottom w:val="none" w:sz="0" w:space="0" w:color="auto"/>
            <w:right w:val="none" w:sz="0" w:space="0" w:color="auto"/>
          </w:divBdr>
        </w:div>
        <w:div w:id="1561747317">
          <w:marLeft w:val="640"/>
          <w:marRight w:val="0"/>
          <w:marTop w:val="0"/>
          <w:marBottom w:val="0"/>
          <w:divBdr>
            <w:top w:val="none" w:sz="0" w:space="0" w:color="auto"/>
            <w:left w:val="none" w:sz="0" w:space="0" w:color="auto"/>
            <w:bottom w:val="none" w:sz="0" w:space="0" w:color="auto"/>
            <w:right w:val="none" w:sz="0" w:space="0" w:color="auto"/>
          </w:divBdr>
        </w:div>
        <w:div w:id="196046325">
          <w:marLeft w:val="640"/>
          <w:marRight w:val="0"/>
          <w:marTop w:val="0"/>
          <w:marBottom w:val="0"/>
          <w:divBdr>
            <w:top w:val="none" w:sz="0" w:space="0" w:color="auto"/>
            <w:left w:val="none" w:sz="0" w:space="0" w:color="auto"/>
            <w:bottom w:val="none" w:sz="0" w:space="0" w:color="auto"/>
            <w:right w:val="none" w:sz="0" w:space="0" w:color="auto"/>
          </w:divBdr>
        </w:div>
        <w:div w:id="1642416449">
          <w:marLeft w:val="640"/>
          <w:marRight w:val="0"/>
          <w:marTop w:val="0"/>
          <w:marBottom w:val="0"/>
          <w:divBdr>
            <w:top w:val="none" w:sz="0" w:space="0" w:color="auto"/>
            <w:left w:val="none" w:sz="0" w:space="0" w:color="auto"/>
            <w:bottom w:val="none" w:sz="0" w:space="0" w:color="auto"/>
            <w:right w:val="none" w:sz="0" w:space="0" w:color="auto"/>
          </w:divBdr>
        </w:div>
        <w:div w:id="2014454476">
          <w:marLeft w:val="640"/>
          <w:marRight w:val="0"/>
          <w:marTop w:val="0"/>
          <w:marBottom w:val="0"/>
          <w:divBdr>
            <w:top w:val="none" w:sz="0" w:space="0" w:color="auto"/>
            <w:left w:val="none" w:sz="0" w:space="0" w:color="auto"/>
            <w:bottom w:val="none" w:sz="0" w:space="0" w:color="auto"/>
            <w:right w:val="none" w:sz="0" w:space="0" w:color="auto"/>
          </w:divBdr>
        </w:div>
        <w:div w:id="1148667892">
          <w:marLeft w:val="640"/>
          <w:marRight w:val="0"/>
          <w:marTop w:val="0"/>
          <w:marBottom w:val="0"/>
          <w:divBdr>
            <w:top w:val="none" w:sz="0" w:space="0" w:color="auto"/>
            <w:left w:val="none" w:sz="0" w:space="0" w:color="auto"/>
            <w:bottom w:val="none" w:sz="0" w:space="0" w:color="auto"/>
            <w:right w:val="none" w:sz="0" w:space="0" w:color="auto"/>
          </w:divBdr>
        </w:div>
        <w:div w:id="280109360">
          <w:marLeft w:val="640"/>
          <w:marRight w:val="0"/>
          <w:marTop w:val="0"/>
          <w:marBottom w:val="0"/>
          <w:divBdr>
            <w:top w:val="none" w:sz="0" w:space="0" w:color="auto"/>
            <w:left w:val="none" w:sz="0" w:space="0" w:color="auto"/>
            <w:bottom w:val="none" w:sz="0" w:space="0" w:color="auto"/>
            <w:right w:val="none" w:sz="0" w:space="0" w:color="auto"/>
          </w:divBdr>
        </w:div>
        <w:div w:id="1754164853">
          <w:marLeft w:val="640"/>
          <w:marRight w:val="0"/>
          <w:marTop w:val="0"/>
          <w:marBottom w:val="0"/>
          <w:divBdr>
            <w:top w:val="none" w:sz="0" w:space="0" w:color="auto"/>
            <w:left w:val="none" w:sz="0" w:space="0" w:color="auto"/>
            <w:bottom w:val="none" w:sz="0" w:space="0" w:color="auto"/>
            <w:right w:val="none" w:sz="0" w:space="0" w:color="auto"/>
          </w:divBdr>
        </w:div>
        <w:div w:id="1730422278">
          <w:marLeft w:val="640"/>
          <w:marRight w:val="0"/>
          <w:marTop w:val="0"/>
          <w:marBottom w:val="0"/>
          <w:divBdr>
            <w:top w:val="none" w:sz="0" w:space="0" w:color="auto"/>
            <w:left w:val="none" w:sz="0" w:space="0" w:color="auto"/>
            <w:bottom w:val="none" w:sz="0" w:space="0" w:color="auto"/>
            <w:right w:val="none" w:sz="0" w:space="0" w:color="auto"/>
          </w:divBdr>
        </w:div>
        <w:div w:id="1215387011">
          <w:marLeft w:val="640"/>
          <w:marRight w:val="0"/>
          <w:marTop w:val="0"/>
          <w:marBottom w:val="0"/>
          <w:divBdr>
            <w:top w:val="none" w:sz="0" w:space="0" w:color="auto"/>
            <w:left w:val="none" w:sz="0" w:space="0" w:color="auto"/>
            <w:bottom w:val="none" w:sz="0" w:space="0" w:color="auto"/>
            <w:right w:val="none" w:sz="0" w:space="0" w:color="auto"/>
          </w:divBdr>
        </w:div>
        <w:div w:id="1440686117">
          <w:marLeft w:val="640"/>
          <w:marRight w:val="0"/>
          <w:marTop w:val="0"/>
          <w:marBottom w:val="0"/>
          <w:divBdr>
            <w:top w:val="none" w:sz="0" w:space="0" w:color="auto"/>
            <w:left w:val="none" w:sz="0" w:space="0" w:color="auto"/>
            <w:bottom w:val="none" w:sz="0" w:space="0" w:color="auto"/>
            <w:right w:val="none" w:sz="0" w:space="0" w:color="auto"/>
          </w:divBdr>
        </w:div>
        <w:div w:id="1216698800">
          <w:marLeft w:val="640"/>
          <w:marRight w:val="0"/>
          <w:marTop w:val="0"/>
          <w:marBottom w:val="0"/>
          <w:divBdr>
            <w:top w:val="none" w:sz="0" w:space="0" w:color="auto"/>
            <w:left w:val="none" w:sz="0" w:space="0" w:color="auto"/>
            <w:bottom w:val="none" w:sz="0" w:space="0" w:color="auto"/>
            <w:right w:val="none" w:sz="0" w:space="0" w:color="auto"/>
          </w:divBdr>
        </w:div>
        <w:div w:id="1668896571">
          <w:marLeft w:val="640"/>
          <w:marRight w:val="0"/>
          <w:marTop w:val="0"/>
          <w:marBottom w:val="0"/>
          <w:divBdr>
            <w:top w:val="none" w:sz="0" w:space="0" w:color="auto"/>
            <w:left w:val="none" w:sz="0" w:space="0" w:color="auto"/>
            <w:bottom w:val="none" w:sz="0" w:space="0" w:color="auto"/>
            <w:right w:val="none" w:sz="0" w:space="0" w:color="auto"/>
          </w:divBdr>
        </w:div>
        <w:div w:id="446780872">
          <w:marLeft w:val="640"/>
          <w:marRight w:val="0"/>
          <w:marTop w:val="0"/>
          <w:marBottom w:val="0"/>
          <w:divBdr>
            <w:top w:val="none" w:sz="0" w:space="0" w:color="auto"/>
            <w:left w:val="none" w:sz="0" w:space="0" w:color="auto"/>
            <w:bottom w:val="none" w:sz="0" w:space="0" w:color="auto"/>
            <w:right w:val="none" w:sz="0" w:space="0" w:color="auto"/>
          </w:divBdr>
        </w:div>
        <w:div w:id="255097510">
          <w:marLeft w:val="640"/>
          <w:marRight w:val="0"/>
          <w:marTop w:val="0"/>
          <w:marBottom w:val="0"/>
          <w:divBdr>
            <w:top w:val="none" w:sz="0" w:space="0" w:color="auto"/>
            <w:left w:val="none" w:sz="0" w:space="0" w:color="auto"/>
            <w:bottom w:val="none" w:sz="0" w:space="0" w:color="auto"/>
            <w:right w:val="none" w:sz="0" w:space="0" w:color="auto"/>
          </w:divBdr>
        </w:div>
        <w:div w:id="1708800162">
          <w:marLeft w:val="640"/>
          <w:marRight w:val="0"/>
          <w:marTop w:val="0"/>
          <w:marBottom w:val="0"/>
          <w:divBdr>
            <w:top w:val="none" w:sz="0" w:space="0" w:color="auto"/>
            <w:left w:val="none" w:sz="0" w:space="0" w:color="auto"/>
            <w:bottom w:val="none" w:sz="0" w:space="0" w:color="auto"/>
            <w:right w:val="none" w:sz="0" w:space="0" w:color="auto"/>
          </w:divBdr>
        </w:div>
        <w:div w:id="1633513281">
          <w:marLeft w:val="640"/>
          <w:marRight w:val="0"/>
          <w:marTop w:val="0"/>
          <w:marBottom w:val="0"/>
          <w:divBdr>
            <w:top w:val="none" w:sz="0" w:space="0" w:color="auto"/>
            <w:left w:val="none" w:sz="0" w:space="0" w:color="auto"/>
            <w:bottom w:val="none" w:sz="0" w:space="0" w:color="auto"/>
            <w:right w:val="none" w:sz="0" w:space="0" w:color="auto"/>
          </w:divBdr>
        </w:div>
        <w:div w:id="1341618071">
          <w:marLeft w:val="640"/>
          <w:marRight w:val="0"/>
          <w:marTop w:val="0"/>
          <w:marBottom w:val="0"/>
          <w:divBdr>
            <w:top w:val="none" w:sz="0" w:space="0" w:color="auto"/>
            <w:left w:val="none" w:sz="0" w:space="0" w:color="auto"/>
            <w:bottom w:val="none" w:sz="0" w:space="0" w:color="auto"/>
            <w:right w:val="none" w:sz="0" w:space="0" w:color="auto"/>
          </w:divBdr>
        </w:div>
        <w:div w:id="207453221">
          <w:marLeft w:val="640"/>
          <w:marRight w:val="0"/>
          <w:marTop w:val="0"/>
          <w:marBottom w:val="0"/>
          <w:divBdr>
            <w:top w:val="none" w:sz="0" w:space="0" w:color="auto"/>
            <w:left w:val="none" w:sz="0" w:space="0" w:color="auto"/>
            <w:bottom w:val="none" w:sz="0" w:space="0" w:color="auto"/>
            <w:right w:val="none" w:sz="0" w:space="0" w:color="auto"/>
          </w:divBdr>
        </w:div>
        <w:div w:id="449514584">
          <w:marLeft w:val="640"/>
          <w:marRight w:val="0"/>
          <w:marTop w:val="0"/>
          <w:marBottom w:val="0"/>
          <w:divBdr>
            <w:top w:val="none" w:sz="0" w:space="0" w:color="auto"/>
            <w:left w:val="none" w:sz="0" w:space="0" w:color="auto"/>
            <w:bottom w:val="none" w:sz="0" w:space="0" w:color="auto"/>
            <w:right w:val="none" w:sz="0" w:space="0" w:color="auto"/>
          </w:divBdr>
        </w:div>
        <w:div w:id="767769744">
          <w:marLeft w:val="640"/>
          <w:marRight w:val="0"/>
          <w:marTop w:val="0"/>
          <w:marBottom w:val="0"/>
          <w:divBdr>
            <w:top w:val="none" w:sz="0" w:space="0" w:color="auto"/>
            <w:left w:val="none" w:sz="0" w:space="0" w:color="auto"/>
            <w:bottom w:val="none" w:sz="0" w:space="0" w:color="auto"/>
            <w:right w:val="none" w:sz="0" w:space="0" w:color="auto"/>
          </w:divBdr>
        </w:div>
        <w:div w:id="124395377">
          <w:marLeft w:val="640"/>
          <w:marRight w:val="0"/>
          <w:marTop w:val="0"/>
          <w:marBottom w:val="0"/>
          <w:divBdr>
            <w:top w:val="none" w:sz="0" w:space="0" w:color="auto"/>
            <w:left w:val="none" w:sz="0" w:space="0" w:color="auto"/>
            <w:bottom w:val="none" w:sz="0" w:space="0" w:color="auto"/>
            <w:right w:val="none" w:sz="0" w:space="0" w:color="auto"/>
          </w:divBdr>
        </w:div>
        <w:div w:id="1608343918">
          <w:marLeft w:val="640"/>
          <w:marRight w:val="0"/>
          <w:marTop w:val="0"/>
          <w:marBottom w:val="0"/>
          <w:divBdr>
            <w:top w:val="none" w:sz="0" w:space="0" w:color="auto"/>
            <w:left w:val="none" w:sz="0" w:space="0" w:color="auto"/>
            <w:bottom w:val="none" w:sz="0" w:space="0" w:color="auto"/>
            <w:right w:val="none" w:sz="0" w:space="0" w:color="auto"/>
          </w:divBdr>
        </w:div>
        <w:div w:id="1160343569">
          <w:marLeft w:val="640"/>
          <w:marRight w:val="0"/>
          <w:marTop w:val="0"/>
          <w:marBottom w:val="0"/>
          <w:divBdr>
            <w:top w:val="none" w:sz="0" w:space="0" w:color="auto"/>
            <w:left w:val="none" w:sz="0" w:space="0" w:color="auto"/>
            <w:bottom w:val="none" w:sz="0" w:space="0" w:color="auto"/>
            <w:right w:val="none" w:sz="0" w:space="0" w:color="auto"/>
          </w:divBdr>
        </w:div>
        <w:div w:id="618024693">
          <w:marLeft w:val="640"/>
          <w:marRight w:val="0"/>
          <w:marTop w:val="0"/>
          <w:marBottom w:val="0"/>
          <w:divBdr>
            <w:top w:val="none" w:sz="0" w:space="0" w:color="auto"/>
            <w:left w:val="none" w:sz="0" w:space="0" w:color="auto"/>
            <w:bottom w:val="none" w:sz="0" w:space="0" w:color="auto"/>
            <w:right w:val="none" w:sz="0" w:space="0" w:color="auto"/>
          </w:divBdr>
        </w:div>
        <w:div w:id="302347951">
          <w:marLeft w:val="640"/>
          <w:marRight w:val="0"/>
          <w:marTop w:val="0"/>
          <w:marBottom w:val="0"/>
          <w:divBdr>
            <w:top w:val="none" w:sz="0" w:space="0" w:color="auto"/>
            <w:left w:val="none" w:sz="0" w:space="0" w:color="auto"/>
            <w:bottom w:val="none" w:sz="0" w:space="0" w:color="auto"/>
            <w:right w:val="none" w:sz="0" w:space="0" w:color="auto"/>
          </w:divBdr>
        </w:div>
        <w:div w:id="840199691">
          <w:marLeft w:val="640"/>
          <w:marRight w:val="0"/>
          <w:marTop w:val="0"/>
          <w:marBottom w:val="0"/>
          <w:divBdr>
            <w:top w:val="none" w:sz="0" w:space="0" w:color="auto"/>
            <w:left w:val="none" w:sz="0" w:space="0" w:color="auto"/>
            <w:bottom w:val="none" w:sz="0" w:space="0" w:color="auto"/>
            <w:right w:val="none" w:sz="0" w:space="0" w:color="auto"/>
          </w:divBdr>
        </w:div>
        <w:div w:id="1339120584">
          <w:marLeft w:val="640"/>
          <w:marRight w:val="0"/>
          <w:marTop w:val="0"/>
          <w:marBottom w:val="0"/>
          <w:divBdr>
            <w:top w:val="none" w:sz="0" w:space="0" w:color="auto"/>
            <w:left w:val="none" w:sz="0" w:space="0" w:color="auto"/>
            <w:bottom w:val="none" w:sz="0" w:space="0" w:color="auto"/>
            <w:right w:val="none" w:sz="0" w:space="0" w:color="auto"/>
          </w:divBdr>
        </w:div>
        <w:div w:id="2116440885">
          <w:marLeft w:val="640"/>
          <w:marRight w:val="0"/>
          <w:marTop w:val="0"/>
          <w:marBottom w:val="0"/>
          <w:divBdr>
            <w:top w:val="none" w:sz="0" w:space="0" w:color="auto"/>
            <w:left w:val="none" w:sz="0" w:space="0" w:color="auto"/>
            <w:bottom w:val="none" w:sz="0" w:space="0" w:color="auto"/>
            <w:right w:val="none" w:sz="0" w:space="0" w:color="auto"/>
          </w:divBdr>
        </w:div>
        <w:div w:id="1457605923">
          <w:marLeft w:val="640"/>
          <w:marRight w:val="0"/>
          <w:marTop w:val="0"/>
          <w:marBottom w:val="0"/>
          <w:divBdr>
            <w:top w:val="none" w:sz="0" w:space="0" w:color="auto"/>
            <w:left w:val="none" w:sz="0" w:space="0" w:color="auto"/>
            <w:bottom w:val="none" w:sz="0" w:space="0" w:color="auto"/>
            <w:right w:val="none" w:sz="0" w:space="0" w:color="auto"/>
          </w:divBdr>
        </w:div>
        <w:div w:id="2024085715">
          <w:marLeft w:val="640"/>
          <w:marRight w:val="0"/>
          <w:marTop w:val="0"/>
          <w:marBottom w:val="0"/>
          <w:divBdr>
            <w:top w:val="none" w:sz="0" w:space="0" w:color="auto"/>
            <w:left w:val="none" w:sz="0" w:space="0" w:color="auto"/>
            <w:bottom w:val="none" w:sz="0" w:space="0" w:color="auto"/>
            <w:right w:val="none" w:sz="0" w:space="0" w:color="auto"/>
          </w:divBdr>
        </w:div>
        <w:div w:id="1896967869">
          <w:marLeft w:val="640"/>
          <w:marRight w:val="0"/>
          <w:marTop w:val="0"/>
          <w:marBottom w:val="0"/>
          <w:divBdr>
            <w:top w:val="none" w:sz="0" w:space="0" w:color="auto"/>
            <w:left w:val="none" w:sz="0" w:space="0" w:color="auto"/>
            <w:bottom w:val="none" w:sz="0" w:space="0" w:color="auto"/>
            <w:right w:val="none" w:sz="0" w:space="0" w:color="auto"/>
          </w:divBdr>
        </w:div>
        <w:div w:id="672759134">
          <w:marLeft w:val="640"/>
          <w:marRight w:val="0"/>
          <w:marTop w:val="0"/>
          <w:marBottom w:val="0"/>
          <w:divBdr>
            <w:top w:val="none" w:sz="0" w:space="0" w:color="auto"/>
            <w:left w:val="none" w:sz="0" w:space="0" w:color="auto"/>
            <w:bottom w:val="none" w:sz="0" w:space="0" w:color="auto"/>
            <w:right w:val="none" w:sz="0" w:space="0" w:color="auto"/>
          </w:divBdr>
        </w:div>
        <w:div w:id="1575583530">
          <w:marLeft w:val="640"/>
          <w:marRight w:val="0"/>
          <w:marTop w:val="0"/>
          <w:marBottom w:val="0"/>
          <w:divBdr>
            <w:top w:val="none" w:sz="0" w:space="0" w:color="auto"/>
            <w:left w:val="none" w:sz="0" w:space="0" w:color="auto"/>
            <w:bottom w:val="none" w:sz="0" w:space="0" w:color="auto"/>
            <w:right w:val="none" w:sz="0" w:space="0" w:color="auto"/>
          </w:divBdr>
        </w:div>
        <w:div w:id="1362901572">
          <w:marLeft w:val="640"/>
          <w:marRight w:val="0"/>
          <w:marTop w:val="0"/>
          <w:marBottom w:val="0"/>
          <w:divBdr>
            <w:top w:val="none" w:sz="0" w:space="0" w:color="auto"/>
            <w:left w:val="none" w:sz="0" w:space="0" w:color="auto"/>
            <w:bottom w:val="none" w:sz="0" w:space="0" w:color="auto"/>
            <w:right w:val="none" w:sz="0" w:space="0" w:color="auto"/>
          </w:divBdr>
        </w:div>
        <w:div w:id="642272122">
          <w:marLeft w:val="640"/>
          <w:marRight w:val="0"/>
          <w:marTop w:val="0"/>
          <w:marBottom w:val="0"/>
          <w:divBdr>
            <w:top w:val="none" w:sz="0" w:space="0" w:color="auto"/>
            <w:left w:val="none" w:sz="0" w:space="0" w:color="auto"/>
            <w:bottom w:val="none" w:sz="0" w:space="0" w:color="auto"/>
            <w:right w:val="none" w:sz="0" w:space="0" w:color="auto"/>
          </w:divBdr>
        </w:div>
        <w:div w:id="1381436914">
          <w:marLeft w:val="640"/>
          <w:marRight w:val="0"/>
          <w:marTop w:val="0"/>
          <w:marBottom w:val="0"/>
          <w:divBdr>
            <w:top w:val="none" w:sz="0" w:space="0" w:color="auto"/>
            <w:left w:val="none" w:sz="0" w:space="0" w:color="auto"/>
            <w:bottom w:val="none" w:sz="0" w:space="0" w:color="auto"/>
            <w:right w:val="none" w:sz="0" w:space="0" w:color="auto"/>
          </w:divBdr>
        </w:div>
        <w:div w:id="1127968417">
          <w:marLeft w:val="640"/>
          <w:marRight w:val="0"/>
          <w:marTop w:val="0"/>
          <w:marBottom w:val="0"/>
          <w:divBdr>
            <w:top w:val="none" w:sz="0" w:space="0" w:color="auto"/>
            <w:left w:val="none" w:sz="0" w:space="0" w:color="auto"/>
            <w:bottom w:val="none" w:sz="0" w:space="0" w:color="auto"/>
            <w:right w:val="none" w:sz="0" w:space="0" w:color="auto"/>
          </w:divBdr>
        </w:div>
        <w:div w:id="32193798">
          <w:marLeft w:val="640"/>
          <w:marRight w:val="0"/>
          <w:marTop w:val="0"/>
          <w:marBottom w:val="0"/>
          <w:divBdr>
            <w:top w:val="none" w:sz="0" w:space="0" w:color="auto"/>
            <w:left w:val="none" w:sz="0" w:space="0" w:color="auto"/>
            <w:bottom w:val="none" w:sz="0" w:space="0" w:color="auto"/>
            <w:right w:val="none" w:sz="0" w:space="0" w:color="auto"/>
          </w:divBdr>
        </w:div>
        <w:div w:id="2007974082">
          <w:marLeft w:val="640"/>
          <w:marRight w:val="0"/>
          <w:marTop w:val="0"/>
          <w:marBottom w:val="0"/>
          <w:divBdr>
            <w:top w:val="none" w:sz="0" w:space="0" w:color="auto"/>
            <w:left w:val="none" w:sz="0" w:space="0" w:color="auto"/>
            <w:bottom w:val="none" w:sz="0" w:space="0" w:color="auto"/>
            <w:right w:val="none" w:sz="0" w:space="0" w:color="auto"/>
          </w:divBdr>
        </w:div>
        <w:div w:id="1283001401">
          <w:marLeft w:val="640"/>
          <w:marRight w:val="0"/>
          <w:marTop w:val="0"/>
          <w:marBottom w:val="0"/>
          <w:divBdr>
            <w:top w:val="none" w:sz="0" w:space="0" w:color="auto"/>
            <w:left w:val="none" w:sz="0" w:space="0" w:color="auto"/>
            <w:bottom w:val="none" w:sz="0" w:space="0" w:color="auto"/>
            <w:right w:val="none" w:sz="0" w:space="0" w:color="auto"/>
          </w:divBdr>
        </w:div>
        <w:div w:id="96294501">
          <w:marLeft w:val="640"/>
          <w:marRight w:val="0"/>
          <w:marTop w:val="0"/>
          <w:marBottom w:val="0"/>
          <w:divBdr>
            <w:top w:val="none" w:sz="0" w:space="0" w:color="auto"/>
            <w:left w:val="none" w:sz="0" w:space="0" w:color="auto"/>
            <w:bottom w:val="none" w:sz="0" w:space="0" w:color="auto"/>
            <w:right w:val="none" w:sz="0" w:space="0" w:color="auto"/>
          </w:divBdr>
        </w:div>
        <w:div w:id="304553708">
          <w:marLeft w:val="640"/>
          <w:marRight w:val="0"/>
          <w:marTop w:val="0"/>
          <w:marBottom w:val="0"/>
          <w:divBdr>
            <w:top w:val="none" w:sz="0" w:space="0" w:color="auto"/>
            <w:left w:val="none" w:sz="0" w:space="0" w:color="auto"/>
            <w:bottom w:val="none" w:sz="0" w:space="0" w:color="auto"/>
            <w:right w:val="none" w:sz="0" w:space="0" w:color="auto"/>
          </w:divBdr>
        </w:div>
        <w:div w:id="297298304">
          <w:marLeft w:val="640"/>
          <w:marRight w:val="0"/>
          <w:marTop w:val="0"/>
          <w:marBottom w:val="0"/>
          <w:divBdr>
            <w:top w:val="none" w:sz="0" w:space="0" w:color="auto"/>
            <w:left w:val="none" w:sz="0" w:space="0" w:color="auto"/>
            <w:bottom w:val="none" w:sz="0" w:space="0" w:color="auto"/>
            <w:right w:val="none" w:sz="0" w:space="0" w:color="auto"/>
          </w:divBdr>
        </w:div>
        <w:div w:id="2120100082">
          <w:marLeft w:val="640"/>
          <w:marRight w:val="0"/>
          <w:marTop w:val="0"/>
          <w:marBottom w:val="0"/>
          <w:divBdr>
            <w:top w:val="none" w:sz="0" w:space="0" w:color="auto"/>
            <w:left w:val="none" w:sz="0" w:space="0" w:color="auto"/>
            <w:bottom w:val="none" w:sz="0" w:space="0" w:color="auto"/>
            <w:right w:val="none" w:sz="0" w:space="0" w:color="auto"/>
          </w:divBdr>
        </w:div>
        <w:div w:id="898904569">
          <w:marLeft w:val="640"/>
          <w:marRight w:val="0"/>
          <w:marTop w:val="0"/>
          <w:marBottom w:val="0"/>
          <w:divBdr>
            <w:top w:val="none" w:sz="0" w:space="0" w:color="auto"/>
            <w:left w:val="none" w:sz="0" w:space="0" w:color="auto"/>
            <w:bottom w:val="none" w:sz="0" w:space="0" w:color="auto"/>
            <w:right w:val="none" w:sz="0" w:space="0" w:color="auto"/>
          </w:divBdr>
        </w:div>
        <w:div w:id="1018777095">
          <w:marLeft w:val="640"/>
          <w:marRight w:val="0"/>
          <w:marTop w:val="0"/>
          <w:marBottom w:val="0"/>
          <w:divBdr>
            <w:top w:val="none" w:sz="0" w:space="0" w:color="auto"/>
            <w:left w:val="none" w:sz="0" w:space="0" w:color="auto"/>
            <w:bottom w:val="none" w:sz="0" w:space="0" w:color="auto"/>
            <w:right w:val="none" w:sz="0" w:space="0" w:color="auto"/>
          </w:divBdr>
        </w:div>
        <w:div w:id="1537809531">
          <w:marLeft w:val="640"/>
          <w:marRight w:val="0"/>
          <w:marTop w:val="0"/>
          <w:marBottom w:val="0"/>
          <w:divBdr>
            <w:top w:val="none" w:sz="0" w:space="0" w:color="auto"/>
            <w:left w:val="none" w:sz="0" w:space="0" w:color="auto"/>
            <w:bottom w:val="none" w:sz="0" w:space="0" w:color="auto"/>
            <w:right w:val="none" w:sz="0" w:space="0" w:color="auto"/>
          </w:divBdr>
        </w:div>
        <w:div w:id="1691682276">
          <w:marLeft w:val="640"/>
          <w:marRight w:val="0"/>
          <w:marTop w:val="0"/>
          <w:marBottom w:val="0"/>
          <w:divBdr>
            <w:top w:val="none" w:sz="0" w:space="0" w:color="auto"/>
            <w:left w:val="none" w:sz="0" w:space="0" w:color="auto"/>
            <w:bottom w:val="none" w:sz="0" w:space="0" w:color="auto"/>
            <w:right w:val="none" w:sz="0" w:space="0" w:color="auto"/>
          </w:divBdr>
        </w:div>
        <w:div w:id="155270730">
          <w:marLeft w:val="640"/>
          <w:marRight w:val="0"/>
          <w:marTop w:val="0"/>
          <w:marBottom w:val="0"/>
          <w:divBdr>
            <w:top w:val="none" w:sz="0" w:space="0" w:color="auto"/>
            <w:left w:val="none" w:sz="0" w:space="0" w:color="auto"/>
            <w:bottom w:val="none" w:sz="0" w:space="0" w:color="auto"/>
            <w:right w:val="none" w:sz="0" w:space="0" w:color="auto"/>
          </w:divBdr>
        </w:div>
        <w:div w:id="1717272411">
          <w:marLeft w:val="640"/>
          <w:marRight w:val="0"/>
          <w:marTop w:val="0"/>
          <w:marBottom w:val="0"/>
          <w:divBdr>
            <w:top w:val="none" w:sz="0" w:space="0" w:color="auto"/>
            <w:left w:val="none" w:sz="0" w:space="0" w:color="auto"/>
            <w:bottom w:val="none" w:sz="0" w:space="0" w:color="auto"/>
            <w:right w:val="none" w:sz="0" w:space="0" w:color="auto"/>
          </w:divBdr>
        </w:div>
        <w:div w:id="2122340083">
          <w:marLeft w:val="640"/>
          <w:marRight w:val="0"/>
          <w:marTop w:val="0"/>
          <w:marBottom w:val="0"/>
          <w:divBdr>
            <w:top w:val="none" w:sz="0" w:space="0" w:color="auto"/>
            <w:left w:val="none" w:sz="0" w:space="0" w:color="auto"/>
            <w:bottom w:val="none" w:sz="0" w:space="0" w:color="auto"/>
            <w:right w:val="none" w:sz="0" w:space="0" w:color="auto"/>
          </w:divBdr>
        </w:div>
        <w:div w:id="1415008618">
          <w:marLeft w:val="640"/>
          <w:marRight w:val="0"/>
          <w:marTop w:val="0"/>
          <w:marBottom w:val="0"/>
          <w:divBdr>
            <w:top w:val="none" w:sz="0" w:space="0" w:color="auto"/>
            <w:left w:val="none" w:sz="0" w:space="0" w:color="auto"/>
            <w:bottom w:val="none" w:sz="0" w:space="0" w:color="auto"/>
            <w:right w:val="none" w:sz="0" w:space="0" w:color="auto"/>
          </w:divBdr>
        </w:div>
        <w:div w:id="2144275084">
          <w:marLeft w:val="640"/>
          <w:marRight w:val="0"/>
          <w:marTop w:val="0"/>
          <w:marBottom w:val="0"/>
          <w:divBdr>
            <w:top w:val="none" w:sz="0" w:space="0" w:color="auto"/>
            <w:left w:val="none" w:sz="0" w:space="0" w:color="auto"/>
            <w:bottom w:val="none" w:sz="0" w:space="0" w:color="auto"/>
            <w:right w:val="none" w:sz="0" w:space="0" w:color="auto"/>
          </w:divBdr>
        </w:div>
        <w:div w:id="1892039173">
          <w:marLeft w:val="640"/>
          <w:marRight w:val="0"/>
          <w:marTop w:val="0"/>
          <w:marBottom w:val="0"/>
          <w:divBdr>
            <w:top w:val="none" w:sz="0" w:space="0" w:color="auto"/>
            <w:left w:val="none" w:sz="0" w:space="0" w:color="auto"/>
            <w:bottom w:val="none" w:sz="0" w:space="0" w:color="auto"/>
            <w:right w:val="none" w:sz="0" w:space="0" w:color="auto"/>
          </w:divBdr>
        </w:div>
        <w:div w:id="254561136">
          <w:marLeft w:val="640"/>
          <w:marRight w:val="0"/>
          <w:marTop w:val="0"/>
          <w:marBottom w:val="0"/>
          <w:divBdr>
            <w:top w:val="none" w:sz="0" w:space="0" w:color="auto"/>
            <w:left w:val="none" w:sz="0" w:space="0" w:color="auto"/>
            <w:bottom w:val="none" w:sz="0" w:space="0" w:color="auto"/>
            <w:right w:val="none" w:sz="0" w:space="0" w:color="auto"/>
          </w:divBdr>
        </w:div>
        <w:div w:id="259533839">
          <w:marLeft w:val="640"/>
          <w:marRight w:val="0"/>
          <w:marTop w:val="0"/>
          <w:marBottom w:val="0"/>
          <w:divBdr>
            <w:top w:val="none" w:sz="0" w:space="0" w:color="auto"/>
            <w:left w:val="none" w:sz="0" w:space="0" w:color="auto"/>
            <w:bottom w:val="none" w:sz="0" w:space="0" w:color="auto"/>
            <w:right w:val="none" w:sz="0" w:space="0" w:color="auto"/>
          </w:divBdr>
        </w:div>
        <w:div w:id="1659730914">
          <w:marLeft w:val="640"/>
          <w:marRight w:val="0"/>
          <w:marTop w:val="0"/>
          <w:marBottom w:val="0"/>
          <w:divBdr>
            <w:top w:val="none" w:sz="0" w:space="0" w:color="auto"/>
            <w:left w:val="none" w:sz="0" w:space="0" w:color="auto"/>
            <w:bottom w:val="none" w:sz="0" w:space="0" w:color="auto"/>
            <w:right w:val="none" w:sz="0" w:space="0" w:color="auto"/>
          </w:divBdr>
        </w:div>
        <w:div w:id="1222054309">
          <w:marLeft w:val="640"/>
          <w:marRight w:val="0"/>
          <w:marTop w:val="0"/>
          <w:marBottom w:val="0"/>
          <w:divBdr>
            <w:top w:val="none" w:sz="0" w:space="0" w:color="auto"/>
            <w:left w:val="none" w:sz="0" w:space="0" w:color="auto"/>
            <w:bottom w:val="none" w:sz="0" w:space="0" w:color="auto"/>
            <w:right w:val="none" w:sz="0" w:space="0" w:color="auto"/>
          </w:divBdr>
        </w:div>
        <w:div w:id="559436830">
          <w:marLeft w:val="640"/>
          <w:marRight w:val="0"/>
          <w:marTop w:val="0"/>
          <w:marBottom w:val="0"/>
          <w:divBdr>
            <w:top w:val="none" w:sz="0" w:space="0" w:color="auto"/>
            <w:left w:val="none" w:sz="0" w:space="0" w:color="auto"/>
            <w:bottom w:val="none" w:sz="0" w:space="0" w:color="auto"/>
            <w:right w:val="none" w:sz="0" w:space="0" w:color="auto"/>
          </w:divBdr>
        </w:div>
        <w:div w:id="1178042195">
          <w:marLeft w:val="640"/>
          <w:marRight w:val="0"/>
          <w:marTop w:val="0"/>
          <w:marBottom w:val="0"/>
          <w:divBdr>
            <w:top w:val="none" w:sz="0" w:space="0" w:color="auto"/>
            <w:left w:val="none" w:sz="0" w:space="0" w:color="auto"/>
            <w:bottom w:val="none" w:sz="0" w:space="0" w:color="auto"/>
            <w:right w:val="none" w:sz="0" w:space="0" w:color="auto"/>
          </w:divBdr>
        </w:div>
        <w:div w:id="178592096">
          <w:marLeft w:val="640"/>
          <w:marRight w:val="0"/>
          <w:marTop w:val="0"/>
          <w:marBottom w:val="0"/>
          <w:divBdr>
            <w:top w:val="none" w:sz="0" w:space="0" w:color="auto"/>
            <w:left w:val="none" w:sz="0" w:space="0" w:color="auto"/>
            <w:bottom w:val="none" w:sz="0" w:space="0" w:color="auto"/>
            <w:right w:val="none" w:sz="0" w:space="0" w:color="auto"/>
          </w:divBdr>
        </w:div>
        <w:div w:id="641883339">
          <w:marLeft w:val="640"/>
          <w:marRight w:val="0"/>
          <w:marTop w:val="0"/>
          <w:marBottom w:val="0"/>
          <w:divBdr>
            <w:top w:val="none" w:sz="0" w:space="0" w:color="auto"/>
            <w:left w:val="none" w:sz="0" w:space="0" w:color="auto"/>
            <w:bottom w:val="none" w:sz="0" w:space="0" w:color="auto"/>
            <w:right w:val="none" w:sz="0" w:space="0" w:color="auto"/>
          </w:divBdr>
        </w:div>
        <w:div w:id="409933320">
          <w:marLeft w:val="640"/>
          <w:marRight w:val="0"/>
          <w:marTop w:val="0"/>
          <w:marBottom w:val="0"/>
          <w:divBdr>
            <w:top w:val="none" w:sz="0" w:space="0" w:color="auto"/>
            <w:left w:val="none" w:sz="0" w:space="0" w:color="auto"/>
            <w:bottom w:val="none" w:sz="0" w:space="0" w:color="auto"/>
            <w:right w:val="none" w:sz="0" w:space="0" w:color="auto"/>
          </w:divBdr>
        </w:div>
        <w:div w:id="1102531424">
          <w:marLeft w:val="640"/>
          <w:marRight w:val="0"/>
          <w:marTop w:val="0"/>
          <w:marBottom w:val="0"/>
          <w:divBdr>
            <w:top w:val="none" w:sz="0" w:space="0" w:color="auto"/>
            <w:left w:val="none" w:sz="0" w:space="0" w:color="auto"/>
            <w:bottom w:val="none" w:sz="0" w:space="0" w:color="auto"/>
            <w:right w:val="none" w:sz="0" w:space="0" w:color="auto"/>
          </w:divBdr>
        </w:div>
        <w:div w:id="944724729">
          <w:marLeft w:val="640"/>
          <w:marRight w:val="0"/>
          <w:marTop w:val="0"/>
          <w:marBottom w:val="0"/>
          <w:divBdr>
            <w:top w:val="none" w:sz="0" w:space="0" w:color="auto"/>
            <w:left w:val="none" w:sz="0" w:space="0" w:color="auto"/>
            <w:bottom w:val="none" w:sz="0" w:space="0" w:color="auto"/>
            <w:right w:val="none" w:sz="0" w:space="0" w:color="auto"/>
          </w:divBdr>
        </w:div>
        <w:div w:id="545219462">
          <w:marLeft w:val="640"/>
          <w:marRight w:val="0"/>
          <w:marTop w:val="0"/>
          <w:marBottom w:val="0"/>
          <w:divBdr>
            <w:top w:val="none" w:sz="0" w:space="0" w:color="auto"/>
            <w:left w:val="none" w:sz="0" w:space="0" w:color="auto"/>
            <w:bottom w:val="none" w:sz="0" w:space="0" w:color="auto"/>
            <w:right w:val="none" w:sz="0" w:space="0" w:color="auto"/>
          </w:divBdr>
        </w:div>
        <w:div w:id="801734296">
          <w:marLeft w:val="640"/>
          <w:marRight w:val="0"/>
          <w:marTop w:val="0"/>
          <w:marBottom w:val="0"/>
          <w:divBdr>
            <w:top w:val="none" w:sz="0" w:space="0" w:color="auto"/>
            <w:left w:val="none" w:sz="0" w:space="0" w:color="auto"/>
            <w:bottom w:val="none" w:sz="0" w:space="0" w:color="auto"/>
            <w:right w:val="none" w:sz="0" w:space="0" w:color="auto"/>
          </w:divBdr>
        </w:div>
        <w:div w:id="173419258">
          <w:marLeft w:val="640"/>
          <w:marRight w:val="0"/>
          <w:marTop w:val="0"/>
          <w:marBottom w:val="0"/>
          <w:divBdr>
            <w:top w:val="none" w:sz="0" w:space="0" w:color="auto"/>
            <w:left w:val="none" w:sz="0" w:space="0" w:color="auto"/>
            <w:bottom w:val="none" w:sz="0" w:space="0" w:color="auto"/>
            <w:right w:val="none" w:sz="0" w:space="0" w:color="auto"/>
          </w:divBdr>
        </w:div>
        <w:div w:id="1562448643">
          <w:marLeft w:val="640"/>
          <w:marRight w:val="0"/>
          <w:marTop w:val="0"/>
          <w:marBottom w:val="0"/>
          <w:divBdr>
            <w:top w:val="none" w:sz="0" w:space="0" w:color="auto"/>
            <w:left w:val="none" w:sz="0" w:space="0" w:color="auto"/>
            <w:bottom w:val="none" w:sz="0" w:space="0" w:color="auto"/>
            <w:right w:val="none" w:sz="0" w:space="0" w:color="auto"/>
          </w:divBdr>
        </w:div>
        <w:div w:id="62262620">
          <w:marLeft w:val="640"/>
          <w:marRight w:val="0"/>
          <w:marTop w:val="0"/>
          <w:marBottom w:val="0"/>
          <w:divBdr>
            <w:top w:val="none" w:sz="0" w:space="0" w:color="auto"/>
            <w:left w:val="none" w:sz="0" w:space="0" w:color="auto"/>
            <w:bottom w:val="none" w:sz="0" w:space="0" w:color="auto"/>
            <w:right w:val="none" w:sz="0" w:space="0" w:color="auto"/>
          </w:divBdr>
        </w:div>
        <w:div w:id="869687785">
          <w:marLeft w:val="640"/>
          <w:marRight w:val="0"/>
          <w:marTop w:val="0"/>
          <w:marBottom w:val="0"/>
          <w:divBdr>
            <w:top w:val="none" w:sz="0" w:space="0" w:color="auto"/>
            <w:left w:val="none" w:sz="0" w:space="0" w:color="auto"/>
            <w:bottom w:val="none" w:sz="0" w:space="0" w:color="auto"/>
            <w:right w:val="none" w:sz="0" w:space="0" w:color="auto"/>
          </w:divBdr>
        </w:div>
        <w:div w:id="1472744807">
          <w:marLeft w:val="640"/>
          <w:marRight w:val="0"/>
          <w:marTop w:val="0"/>
          <w:marBottom w:val="0"/>
          <w:divBdr>
            <w:top w:val="none" w:sz="0" w:space="0" w:color="auto"/>
            <w:left w:val="none" w:sz="0" w:space="0" w:color="auto"/>
            <w:bottom w:val="none" w:sz="0" w:space="0" w:color="auto"/>
            <w:right w:val="none" w:sz="0" w:space="0" w:color="auto"/>
          </w:divBdr>
        </w:div>
        <w:div w:id="1572737447">
          <w:marLeft w:val="640"/>
          <w:marRight w:val="0"/>
          <w:marTop w:val="0"/>
          <w:marBottom w:val="0"/>
          <w:divBdr>
            <w:top w:val="none" w:sz="0" w:space="0" w:color="auto"/>
            <w:left w:val="none" w:sz="0" w:space="0" w:color="auto"/>
            <w:bottom w:val="none" w:sz="0" w:space="0" w:color="auto"/>
            <w:right w:val="none" w:sz="0" w:space="0" w:color="auto"/>
          </w:divBdr>
        </w:div>
        <w:div w:id="864296832">
          <w:marLeft w:val="640"/>
          <w:marRight w:val="0"/>
          <w:marTop w:val="0"/>
          <w:marBottom w:val="0"/>
          <w:divBdr>
            <w:top w:val="none" w:sz="0" w:space="0" w:color="auto"/>
            <w:left w:val="none" w:sz="0" w:space="0" w:color="auto"/>
            <w:bottom w:val="none" w:sz="0" w:space="0" w:color="auto"/>
            <w:right w:val="none" w:sz="0" w:space="0" w:color="auto"/>
          </w:divBdr>
        </w:div>
        <w:div w:id="27419862">
          <w:marLeft w:val="640"/>
          <w:marRight w:val="0"/>
          <w:marTop w:val="0"/>
          <w:marBottom w:val="0"/>
          <w:divBdr>
            <w:top w:val="none" w:sz="0" w:space="0" w:color="auto"/>
            <w:left w:val="none" w:sz="0" w:space="0" w:color="auto"/>
            <w:bottom w:val="none" w:sz="0" w:space="0" w:color="auto"/>
            <w:right w:val="none" w:sz="0" w:space="0" w:color="auto"/>
          </w:divBdr>
        </w:div>
        <w:div w:id="1761640431">
          <w:marLeft w:val="640"/>
          <w:marRight w:val="0"/>
          <w:marTop w:val="0"/>
          <w:marBottom w:val="0"/>
          <w:divBdr>
            <w:top w:val="none" w:sz="0" w:space="0" w:color="auto"/>
            <w:left w:val="none" w:sz="0" w:space="0" w:color="auto"/>
            <w:bottom w:val="none" w:sz="0" w:space="0" w:color="auto"/>
            <w:right w:val="none" w:sz="0" w:space="0" w:color="auto"/>
          </w:divBdr>
        </w:div>
        <w:div w:id="680398202">
          <w:marLeft w:val="640"/>
          <w:marRight w:val="0"/>
          <w:marTop w:val="0"/>
          <w:marBottom w:val="0"/>
          <w:divBdr>
            <w:top w:val="none" w:sz="0" w:space="0" w:color="auto"/>
            <w:left w:val="none" w:sz="0" w:space="0" w:color="auto"/>
            <w:bottom w:val="none" w:sz="0" w:space="0" w:color="auto"/>
            <w:right w:val="none" w:sz="0" w:space="0" w:color="auto"/>
          </w:divBdr>
        </w:div>
        <w:div w:id="1666979019">
          <w:marLeft w:val="640"/>
          <w:marRight w:val="0"/>
          <w:marTop w:val="0"/>
          <w:marBottom w:val="0"/>
          <w:divBdr>
            <w:top w:val="none" w:sz="0" w:space="0" w:color="auto"/>
            <w:left w:val="none" w:sz="0" w:space="0" w:color="auto"/>
            <w:bottom w:val="none" w:sz="0" w:space="0" w:color="auto"/>
            <w:right w:val="none" w:sz="0" w:space="0" w:color="auto"/>
          </w:divBdr>
        </w:div>
        <w:div w:id="1600481849">
          <w:marLeft w:val="640"/>
          <w:marRight w:val="0"/>
          <w:marTop w:val="0"/>
          <w:marBottom w:val="0"/>
          <w:divBdr>
            <w:top w:val="none" w:sz="0" w:space="0" w:color="auto"/>
            <w:left w:val="none" w:sz="0" w:space="0" w:color="auto"/>
            <w:bottom w:val="none" w:sz="0" w:space="0" w:color="auto"/>
            <w:right w:val="none" w:sz="0" w:space="0" w:color="auto"/>
          </w:divBdr>
        </w:div>
        <w:div w:id="840269561">
          <w:marLeft w:val="640"/>
          <w:marRight w:val="0"/>
          <w:marTop w:val="0"/>
          <w:marBottom w:val="0"/>
          <w:divBdr>
            <w:top w:val="none" w:sz="0" w:space="0" w:color="auto"/>
            <w:left w:val="none" w:sz="0" w:space="0" w:color="auto"/>
            <w:bottom w:val="none" w:sz="0" w:space="0" w:color="auto"/>
            <w:right w:val="none" w:sz="0" w:space="0" w:color="auto"/>
          </w:divBdr>
        </w:div>
        <w:div w:id="1546524241">
          <w:marLeft w:val="640"/>
          <w:marRight w:val="0"/>
          <w:marTop w:val="0"/>
          <w:marBottom w:val="0"/>
          <w:divBdr>
            <w:top w:val="none" w:sz="0" w:space="0" w:color="auto"/>
            <w:left w:val="none" w:sz="0" w:space="0" w:color="auto"/>
            <w:bottom w:val="none" w:sz="0" w:space="0" w:color="auto"/>
            <w:right w:val="none" w:sz="0" w:space="0" w:color="auto"/>
          </w:divBdr>
        </w:div>
        <w:div w:id="298152302">
          <w:marLeft w:val="640"/>
          <w:marRight w:val="0"/>
          <w:marTop w:val="0"/>
          <w:marBottom w:val="0"/>
          <w:divBdr>
            <w:top w:val="none" w:sz="0" w:space="0" w:color="auto"/>
            <w:left w:val="none" w:sz="0" w:space="0" w:color="auto"/>
            <w:bottom w:val="none" w:sz="0" w:space="0" w:color="auto"/>
            <w:right w:val="none" w:sz="0" w:space="0" w:color="auto"/>
          </w:divBdr>
        </w:div>
        <w:div w:id="1904097663">
          <w:marLeft w:val="640"/>
          <w:marRight w:val="0"/>
          <w:marTop w:val="0"/>
          <w:marBottom w:val="0"/>
          <w:divBdr>
            <w:top w:val="none" w:sz="0" w:space="0" w:color="auto"/>
            <w:left w:val="none" w:sz="0" w:space="0" w:color="auto"/>
            <w:bottom w:val="none" w:sz="0" w:space="0" w:color="auto"/>
            <w:right w:val="none" w:sz="0" w:space="0" w:color="auto"/>
          </w:divBdr>
        </w:div>
        <w:div w:id="320037646">
          <w:marLeft w:val="640"/>
          <w:marRight w:val="0"/>
          <w:marTop w:val="0"/>
          <w:marBottom w:val="0"/>
          <w:divBdr>
            <w:top w:val="none" w:sz="0" w:space="0" w:color="auto"/>
            <w:left w:val="none" w:sz="0" w:space="0" w:color="auto"/>
            <w:bottom w:val="none" w:sz="0" w:space="0" w:color="auto"/>
            <w:right w:val="none" w:sz="0" w:space="0" w:color="auto"/>
          </w:divBdr>
        </w:div>
        <w:div w:id="1739281799">
          <w:marLeft w:val="640"/>
          <w:marRight w:val="0"/>
          <w:marTop w:val="0"/>
          <w:marBottom w:val="0"/>
          <w:divBdr>
            <w:top w:val="none" w:sz="0" w:space="0" w:color="auto"/>
            <w:left w:val="none" w:sz="0" w:space="0" w:color="auto"/>
            <w:bottom w:val="none" w:sz="0" w:space="0" w:color="auto"/>
            <w:right w:val="none" w:sz="0" w:space="0" w:color="auto"/>
          </w:divBdr>
        </w:div>
        <w:div w:id="1847667270">
          <w:marLeft w:val="640"/>
          <w:marRight w:val="0"/>
          <w:marTop w:val="0"/>
          <w:marBottom w:val="0"/>
          <w:divBdr>
            <w:top w:val="none" w:sz="0" w:space="0" w:color="auto"/>
            <w:left w:val="none" w:sz="0" w:space="0" w:color="auto"/>
            <w:bottom w:val="none" w:sz="0" w:space="0" w:color="auto"/>
            <w:right w:val="none" w:sz="0" w:space="0" w:color="auto"/>
          </w:divBdr>
        </w:div>
        <w:div w:id="1697460922">
          <w:marLeft w:val="640"/>
          <w:marRight w:val="0"/>
          <w:marTop w:val="0"/>
          <w:marBottom w:val="0"/>
          <w:divBdr>
            <w:top w:val="none" w:sz="0" w:space="0" w:color="auto"/>
            <w:left w:val="none" w:sz="0" w:space="0" w:color="auto"/>
            <w:bottom w:val="none" w:sz="0" w:space="0" w:color="auto"/>
            <w:right w:val="none" w:sz="0" w:space="0" w:color="auto"/>
          </w:divBdr>
        </w:div>
        <w:div w:id="1656646142">
          <w:marLeft w:val="640"/>
          <w:marRight w:val="0"/>
          <w:marTop w:val="0"/>
          <w:marBottom w:val="0"/>
          <w:divBdr>
            <w:top w:val="none" w:sz="0" w:space="0" w:color="auto"/>
            <w:left w:val="none" w:sz="0" w:space="0" w:color="auto"/>
            <w:bottom w:val="none" w:sz="0" w:space="0" w:color="auto"/>
            <w:right w:val="none" w:sz="0" w:space="0" w:color="auto"/>
          </w:divBdr>
        </w:div>
        <w:div w:id="1648512498">
          <w:marLeft w:val="640"/>
          <w:marRight w:val="0"/>
          <w:marTop w:val="0"/>
          <w:marBottom w:val="0"/>
          <w:divBdr>
            <w:top w:val="none" w:sz="0" w:space="0" w:color="auto"/>
            <w:left w:val="none" w:sz="0" w:space="0" w:color="auto"/>
            <w:bottom w:val="none" w:sz="0" w:space="0" w:color="auto"/>
            <w:right w:val="none" w:sz="0" w:space="0" w:color="auto"/>
          </w:divBdr>
        </w:div>
        <w:div w:id="124393440">
          <w:marLeft w:val="640"/>
          <w:marRight w:val="0"/>
          <w:marTop w:val="0"/>
          <w:marBottom w:val="0"/>
          <w:divBdr>
            <w:top w:val="none" w:sz="0" w:space="0" w:color="auto"/>
            <w:left w:val="none" w:sz="0" w:space="0" w:color="auto"/>
            <w:bottom w:val="none" w:sz="0" w:space="0" w:color="auto"/>
            <w:right w:val="none" w:sz="0" w:space="0" w:color="auto"/>
          </w:divBdr>
        </w:div>
        <w:div w:id="336884489">
          <w:marLeft w:val="640"/>
          <w:marRight w:val="0"/>
          <w:marTop w:val="0"/>
          <w:marBottom w:val="0"/>
          <w:divBdr>
            <w:top w:val="none" w:sz="0" w:space="0" w:color="auto"/>
            <w:left w:val="none" w:sz="0" w:space="0" w:color="auto"/>
            <w:bottom w:val="none" w:sz="0" w:space="0" w:color="auto"/>
            <w:right w:val="none" w:sz="0" w:space="0" w:color="auto"/>
          </w:divBdr>
        </w:div>
        <w:div w:id="2081096479">
          <w:marLeft w:val="640"/>
          <w:marRight w:val="0"/>
          <w:marTop w:val="0"/>
          <w:marBottom w:val="0"/>
          <w:divBdr>
            <w:top w:val="none" w:sz="0" w:space="0" w:color="auto"/>
            <w:left w:val="none" w:sz="0" w:space="0" w:color="auto"/>
            <w:bottom w:val="none" w:sz="0" w:space="0" w:color="auto"/>
            <w:right w:val="none" w:sz="0" w:space="0" w:color="auto"/>
          </w:divBdr>
        </w:div>
        <w:div w:id="301077498">
          <w:marLeft w:val="640"/>
          <w:marRight w:val="0"/>
          <w:marTop w:val="0"/>
          <w:marBottom w:val="0"/>
          <w:divBdr>
            <w:top w:val="none" w:sz="0" w:space="0" w:color="auto"/>
            <w:left w:val="none" w:sz="0" w:space="0" w:color="auto"/>
            <w:bottom w:val="none" w:sz="0" w:space="0" w:color="auto"/>
            <w:right w:val="none" w:sz="0" w:space="0" w:color="auto"/>
          </w:divBdr>
        </w:div>
        <w:div w:id="1052003478">
          <w:marLeft w:val="640"/>
          <w:marRight w:val="0"/>
          <w:marTop w:val="0"/>
          <w:marBottom w:val="0"/>
          <w:divBdr>
            <w:top w:val="none" w:sz="0" w:space="0" w:color="auto"/>
            <w:left w:val="none" w:sz="0" w:space="0" w:color="auto"/>
            <w:bottom w:val="none" w:sz="0" w:space="0" w:color="auto"/>
            <w:right w:val="none" w:sz="0" w:space="0" w:color="auto"/>
          </w:divBdr>
        </w:div>
        <w:div w:id="978848185">
          <w:marLeft w:val="640"/>
          <w:marRight w:val="0"/>
          <w:marTop w:val="0"/>
          <w:marBottom w:val="0"/>
          <w:divBdr>
            <w:top w:val="none" w:sz="0" w:space="0" w:color="auto"/>
            <w:left w:val="none" w:sz="0" w:space="0" w:color="auto"/>
            <w:bottom w:val="none" w:sz="0" w:space="0" w:color="auto"/>
            <w:right w:val="none" w:sz="0" w:space="0" w:color="auto"/>
          </w:divBdr>
        </w:div>
        <w:div w:id="510993494">
          <w:marLeft w:val="640"/>
          <w:marRight w:val="0"/>
          <w:marTop w:val="0"/>
          <w:marBottom w:val="0"/>
          <w:divBdr>
            <w:top w:val="none" w:sz="0" w:space="0" w:color="auto"/>
            <w:left w:val="none" w:sz="0" w:space="0" w:color="auto"/>
            <w:bottom w:val="none" w:sz="0" w:space="0" w:color="auto"/>
            <w:right w:val="none" w:sz="0" w:space="0" w:color="auto"/>
          </w:divBdr>
        </w:div>
        <w:div w:id="1953437948">
          <w:marLeft w:val="640"/>
          <w:marRight w:val="0"/>
          <w:marTop w:val="0"/>
          <w:marBottom w:val="0"/>
          <w:divBdr>
            <w:top w:val="none" w:sz="0" w:space="0" w:color="auto"/>
            <w:left w:val="none" w:sz="0" w:space="0" w:color="auto"/>
            <w:bottom w:val="none" w:sz="0" w:space="0" w:color="auto"/>
            <w:right w:val="none" w:sz="0" w:space="0" w:color="auto"/>
          </w:divBdr>
        </w:div>
        <w:div w:id="81492970">
          <w:marLeft w:val="640"/>
          <w:marRight w:val="0"/>
          <w:marTop w:val="0"/>
          <w:marBottom w:val="0"/>
          <w:divBdr>
            <w:top w:val="none" w:sz="0" w:space="0" w:color="auto"/>
            <w:left w:val="none" w:sz="0" w:space="0" w:color="auto"/>
            <w:bottom w:val="none" w:sz="0" w:space="0" w:color="auto"/>
            <w:right w:val="none" w:sz="0" w:space="0" w:color="auto"/>
          </w:divBdr>
        </w:div>
        <w:div w:id="444345937">
          <w:marLeft w:val="640"/>
          <w:marRight w:val="0"/>
          <w:marTop w:val="0"/>
          <w:marBottom w:val="0"/>
          <w:divBdr>
            <w:top w:val="none" w:sz="0" w:space="0" w:color="auto"/>
            <w:left w:val="none" w:sz="0" w:space="0" w:color="auto"/>
            <w:bottom w:val="none" w:sz="0" w:space="0" w:color="auto"/>
            <w:right w:val="none" w:sz="0" w:space="0" w:color="auto"/>
          </w:divBdr>
        </w:div>
        <w:div w:id="2134980944">
          <w:marLeft w:val="640"/>
          <w:marRight w:val="0"/>
          <w:marTop w:val="0"/>
          <w:marBottom w:val="0"/>
          <w:divBdr>
            <w:top w:val="none" w:sz="0" w:space="0" w:color="auto"/>
            <w:left w:val="none" w:sz="0" w:space="0" w:color="auto"/>
            <w:bottom w:val="none" w:sz="0" w:space="0" w:color="auto"/>
            <w:right w:val="none" w:sz="0" w:space="0" w:color="auto"/>
          </w:divBdr>
        </w:div>
        <w:div w:id="1319113212">
          <w:marLeft w:val="640"/>
          <w:marRight w:val="0"/>
          <w:marTop w:val="0"/>
          <w:marBottom w:val="0"/>
          <w:divBdr>
            <w:top w:val="none" w:sz="0" w:space="0" w:color="auto"/>
            <w:left w:val="none" w:sz="0" w:space="0" w:color="auto"/>
            <w:bottom w:val="none" w:sz="0" w:space="0" w:color="auto"/>
            <w:right w:val="none" w:sz="0" w:space="0" w:color="auto"/>
          </w:divBdr>
        </w:div>
        <w:div w:id="1318801955">
          <w:marLeft w:val="640"/>
          <w:marRight w:val="0"/>
          <w:marTop w:val="0"/>
          <w:marBottom w:val="0"/>
          <w:divBdr>
            <w:top w:val="none" w:sz="0" w:space="0" w:color="auto"/>
            <w:left w:val="none" w:sz="0" w:space="0" w:color="auto"/>
            <w:bottom w:val="none" w:sz="0" w:space="0" w:color="auto"/>
            <w:right w:val="none" w:sz="0" w:space="0" w:color="auto"/>
          </w:divBdr>
        </w:div>
        <w:div w:id="1877350602">
          <w:marLeft w:val="640"/>
          <w:marRight w:val="0"/>
          <w:marTop w:val="0"/>
          <w:marBottom w:val="0"/>
          <w:divBdr>
            <w:top w:val="none" w:sz="0" w:space="0" w:color="auto"/>
            <w:left w:val="none" w:sz="0" w:space="0" w:color="auto"/>
            <w:bottom w:val="none" w:sz="0" w:space="0" w:color="auto"/>
            <w:right w:val="none" w:sz="0" w:space="0" w:color="auto"/>
          </w:divBdr>
        </w:div>
        <w:div w:id="1362437484">
          <w:marLeft w:val="640"/>
          <w:marRight w:val="0"/>
          <w:marTop w:val="0"/>
          <w:marBottom w:val="0"/>
          <w:divBdr>
            <w:top w:val="none" w:sz="0" w:space="0" w:color="auto"/>
            <w:left w:val="none" w:sz="0" w:space="0" w:color="auto"/>
            <w:bottom w:val="none" w:sz="0" w:space="0" w:color="auto"/>
            <w:right w:val="none" w:sz="0" w:space="0" w:color="auto"/>
          </w:divBdr>
        </w:div>
        <w:div w:id="820655507">
          <w:marLeft w:val="640"/>
          <w:marRight w:val="0"/>
          <w:marTop w:val="0"/>
          <w:marBottom w:val="0"/>
          <w:divBdr>
            <w:top w:val="none" w:sz="0" w:space="0" w:color="auto"/>
            <w:left w:val="none" w:sz="0" w:space="0" w:color="auto"/>
            <w:bottom w:val="none" w:sz="0" w:space="0" w:color="auto"/>
            <w:right w:val="none" w:sz="0" w:space="0" w:color="auto"/>
          </w:divBdr>
        </w:div>
        <w:div w:id="661734394">
          <w:marLeft w:val="640"/>
          <w:marRight w:val="0"/>
          <w:marTop w:val="0"/>
          <w:marBottom w:val="0"/>
          <w:divBdr>
            <w:top w:val="none" w:sz="0" w:space="0" w:color="auto"/>
            <w:left w:val="none" w:sz="0" w:space="0" w:color="auto"/>
            <w:bottom w:val="none" w:sz="0" w:space="0" w:color="auto"/>
            <w:right w:val="none" w:sz="0" w:space="0" w:color="auto"/>
          </w:divBdr>
        </w:div>
        <w:div w:id="1990284704">
          <w:marLeft w:val="640"/>
          <w:marRight w:val="0"/>
          <w:marTop w:val="0"/>
          <w:marBottom w:val="0"/>
          <w:divBdr>
            <w:top w:val="none" w:sz="0" w:space="0" w:color="auto"/>
            <w:left w:val="none" w:sz="0" w:space="0" w:color="auto"/>
            <w:bottom w:val="none" w:sz="0" w:space="0" w:color="auto"/>
            <w:right w:val="none" w:sz="0" w:space="0" w:color="auto"/>
          </w:divBdr>
        </w:div>
        <w:div w:id="615717866">
          <w:marLeft w:val="640"/>
          <w:marRight w:val="0"/>
          <w:marTop w:val="0"/>
          <w:marBottom w:val="0"/>
          <w:divBdr>
            <w:top w:val="none" w:sz="0" w:space="0" w:color="auto"/>
            <w:left w:val="none" w:sz="0" w:space="0" w:color="auto"/>
            <w:bottom w:val="none" w:sz="0" w:space="0" w:color="auto"/>
            <w:right w:val="none" w:sz="0" w:space="0" w:color="auto"/>
          </w:divBdr>
        </w:div>
        <w:div w:id="1120490801">
          <w:marLeft w:val="640"/>
          <w:marRight w:val="0"/>
          <w:marTop w:val="0"/>
          <w:marBottom w:val="0"/>
          <w:divBdr>
            <w:top w:val="none" w:sz="0" w:space="0" w:color="auto"/>
            <w:left w:val="none" w:sz="0" w:space="0" w:color="auto"/>
            <w:bottom w:val="none" w:sz="0" w:space="0" w:color="auto"/>
            <w:right w:val="none" w:sz="0" w:space="0" w:color="auto"/>
          </w:divBdr>
        </w:div>
        <w:div w:id="694886693">
          <w:marLeft w:val="640"/>
          <w:marRight w:val="0"/>
          <w:marTop w:val="0"/>
          <w:marBottom w:val="0"/>
          <w:divBdr>
            <w:top w:val="none" w:sz="0" w:space="0" w:color="auto"/>
            <w:left w:val="none" w:sz="0" w:space="0" w:color="auto"/>
            <w:bottom w:val="none" w:sz="0" w:space="0" w:color="auto"/>
            <w:right w:val="none" w:sz="0" w:space="0" w:color="auto"/>
          </w:divBdr>
        </w:div>
        <w:div w:id="1166632515">
          <w:marLeft w:val="640"/>
          <w:marRight w:val="0"/>
          <w:marTop w:val="0"/>
          <w:marBottom w:val="0"/>
          <w:divBdr>
            <w:top w:val="none" w:sz="0" w:space="0" w:color="auto"/>
            <w:left w:val="none" w:sz="0" w:space="0" w:color="auto"/>
            <w:bottom w:val="none" w:sz="0" w:space="0" w:color="auto"/>
            <w:right w:val="none" w:sz="0" w:space="0" w:color="auto"/>
          </w:divBdr>
        </w:div>
        <w:div w:id="403838752">
          <w:marLeft w:val="640"/>
          <w:marRight w:val="0"/>
          <w:marTop w:val="0"/>
          <w:marBottom w:val="0"/>
          <w:divBdr>
            <w:top w:val="none" w:sz="0" w:space="0" w:color="auto"/>
            <w:left w:val="none" w:sz="0" w:space="0" w:color="auto"/>
            <w:bottom w:val="none" w:sz="0" w:space="0" w:color="auto"/>
            <w:right w:val="none" w:sz="0" w:space="0" w:color="auto"/>
          </w:divBdr>
        </w:div>
        <w:div w:id="1757555242">
          <w:marLeft w:val="640"/>
          <w:marRight w:val="0"/>
          <w:marTop w:val="0"/>
          <w:marBottom w:val="0"/>
          <w:divBdr>
            <w:top w:val="none" w:sz="0" w:space="0" w:color="auto"/>
            <w:left w:val="none" w:sz="0" w:space="0" w:color="auto"/>
            <w:bottom w:val="none" w:sz="0" w:space="0" w:color="auto"/>
            <w:right w:val="none" w:sz="0" w:space="0" w:color="auto"/>
          </w:divBdr>
        </w:div>
        <w:div w:id="1146820646">
          <w:marLeft w:val="640"/>
          <w:marRight w:val="0"/>
          <w:marTop w:val="0"/>
          <w:marBottom w:val="0"/>
          <w:divBdr>
            <w:top w:val="none" w:sz="0" w:space="0" w:color="auto"/>
            <w:left w:val="none" w:sz="0" w:space="0" w:color="auto"/>
            <w:bottom w:val="none" w:sz="0" w:space="0" w:color="auto"/>
            <w:right w:val="none" w:sz="0" w:space="0" w:color="auto"/>
          </w:divBdr>
        </w:div>
        <w:div w:id="738407818">
          <w:marLeft w:val="640"/>
          <w:marRight w:val="0"/>
          <w:marTop w:val="0"/>
          <w:marBottom w:val="0"/>
          <w:divBdr>
            <w:top w:val="none" w:sz="0" w:space="0" w:color="auto"/>
            <w:left w:val="none" w:sz="0" w:space="0" w:color="auto"/>
            <w:bottom w:val="none" w:sz="0" w:space="0" w:color="auto"/>
            <w:right w:val="none" w:sz="0" w:space="0" w:color="auto"/>
          </w:divBdr>
        </w:div>
        <w:div w:id="1439058235">
          <w:marLeft w:val="640"/>
          <w:marRight w:val="0"/>
          <w:marTop w:val="0"/>
          <w:marBottom w:val="0"/>
          <w:divBdr>
            <w:top w:val="none" w:sz="0" w:space="0" w:color="auto"/>
            <w:left w:val="none" w:sz="0" w:space="0" w:color="auto"/>
            <w:bottom w:val="none" w:sz="0" w:space="0" w:color="auto"/>
            <w:right w:val="none" w:sz="0" w:space="0" w:color="auto"/>
          </w:divBdr>
        </w:div>
        <w:div w:id="124469151">
          <w:marLeft w:val="640"/>
          <w:marRight w:val="0"/>
          <w:marTop w:val="0"/>
          <w:marBottom w:val="0"/>
          <w:divBdr>
            <w:top w:val="none" w:sz="0" w:space="0" w:color="auto"/>
            <w:left w:val="none" w:sz="0" w:space="0" w:color="auto"/>
            <w:bottom w:val="none" w:sz="0" w:space="0" w:color="auto"/>
            <w:right w:val="none" w:sz="0" w:space="0" w:color="auto"/>
          </w:divBdr>
        </w:div>
        <w:div w:id="784033331">
          <w:marLeft w:val="640"/>
          <w:marRight w:val="0"/>
          <w:marTop w:val="0"/>
          <w:marBottom w:val="0"/>
          <w:divBdr>
            <w:top w:val="none" w:sz="0" w:space="0" w:color="auto"/>
            <w:left w:val="none" w:sz="0" w:space="0" w:color="auto"/>
            <w:bottom w:val="none" w:sz="0" w:space="0" w:color="auto"/>
            <w:right w:val="none" w:sz="0" w:space="0" w:color="auto"/>
          </w:divBdr>
        </w:div>
        <w:div w:id="1518156185">
          <w:marLeft w:val="640"/>
          <w:marRight w:val="0"/>
          <w:marTop w:val="0"/>
          <w:marBottom w:val="0"/>
          <w:divBdr>
            <w:top w:val="none" w:sz="0" w:space="0" w:color="auto"/>
            <w:left w:val="none" w:sz="0" w:space="0" w:color="auto"/>
            <w:bottom w:val="none" w:sz="0" w:space="0" w:color="auto"/>
            <w:right w:val="none" w:sz="0" w:space="0" w:color="auto"/>
          </w:divBdr>
        </w:div>
        <w:div w:id="1580747487">
          <w:marLeft w:val="640"/>
          <w:marRight w:val="0"/>
          <w:marTop w:val="0"/>
          <w:marBottom w:val="0"/>
          <w:divBdr>
            <w:top w:val="none" w:sz="0" w:space="0" w:color="auto"/>
            <w:left w:val="none" w:sz="0" w:space="0" w:color="auto"/>
            <w:bottom w:val="none" w:sz="0" w:space="0" w:color="auto"/>
            <w:right w:val="none" w:sz="0" w:space="0" w:color="auto"/>
          </w:divBdr>
        </w:div>
        <w:div w:id="682324584">
          <w:marLeft w:val="640"/>
          <w:marRight w:val="0"/>
          <w:marTop w:val="0"/>
          <w:marBottom w:val="0"/>
          <w:divBdr>
            <w:top w:val="none" w:sz="0" w:space="0" w:color="auto"/>
            <w:left w:val="none" w:sz="0" w:space="0" w:color="auto"/>
            <w:bottom w:val="none" w:sz="0" w:space="0" w:color="auto"/>
            <w:right w:val="none" w:sz="0" w:space="0" w:color="auto"/>
          </w:divBdr>
        </w:div>
        <w:div w:id="1861890716">
          <w:marLeft w:val="640"/>
          <w:marRight w:val="0"/>
          <w:marTop w:val="0"/>
          <w:marBottom w:val="0"/>
          <w:divBdr>
            <w:top w:val="none" w:sz="0" w:space="0" w:color="auto"/>
            <w:left w:val="none" w:sz="0" w:space="0" w:color="auto"/>
            <w:bottom w:val="none" w:sz="0" w:space="0" w:color="auto"/>
            <w:right w:val="none" w:sz="0" w:space="0" w:color="auto"/>
          </w:divBdr>
        </w:div>
        <w:div w:id="4329673">
          <w:marLeft w:val="640"/>
          <w:marRight w:val="0"/>
          <w:marTop w:val="0"/>
          <w:marBottom w:val="0"/>
          <w:divBdr>
            <w:top w:val="none" w:sz="0" w:space="0" w:color="auto"/>
            <w:left w:val="none" w:sz="0" w:space="0" w:color="auto"/>
            <w:bottom w:val="none" w:sz="0" w:space="0" w:color="auto"/>
            <w:right w:val="none" w:sz="0" w:space="0" w:color="auto"/>
          </w:divBdr>
        </w:div>
        <w:div w:id="2081437112">
          <w:marLeft w:val="640"/>
          <w:marRight w:val="0"/>
          <w:marTop w:val="0"/>
          <w:marBottom w:val="0"/>
          <w:divBdr>
            <w:top w:val="none" w:sz="0" w:space="0" w:color="auto"/>
            <w:left w:val="none" w:sz="0" w:space="0" w:color="auto"/>
            <w:bottom w:val="none" w:sz="0" w:space="0" w:color="auto"/>
            <w:right w:val="none" w:sz="0" w:space="0" w:color="auto"/>
          </w:divBdr>
        </w:div>
        <w:div w:id="1598519079">
          <w:marLeft w:val="640"/>
          <w:marRight w:val="0"/>
          <w:marTop w:val="0"/>
          <w:marBottom w:val="0"/>
          <w:divBdr>
            <w:top w:val="none" w:sz="0" w:space="0" w:color="auto"/>
            <w:left w:val="none" w:sz="0" w:space="0" w:color="auto"/>
            <w:bottom w:val="none" w:sz="0" w:space="0" w:color="auto"/>
            <w:right w:val="none" w:sz="0" w:space="0" w:color="auto"/>
          </w:divBdr>
        </w:div>
        <w:div w:id="582181707">
          <w:marLeft w:val="640"/>
          <w:marRight w:val="0"/>
          <w:marTop w:val="0"/>
          <w:marBottom w:val="0"/>
          <w:divBdr>
            <w:top w:val="none" w:sz="0" w:space="0" w:color="auto"/>
            <w:left w:val="none" w:sz="0" w:space="0" w:color="auto"/>
            <w:bottom w:val="none" w:sz="0" w:space="0" w:color="auto"/>
            <w:right w:val="none" w:sz="0" w:space="0" w:color="auto"/>
          </w:divBdr>
        </w:div>
        <w:div w:id="571307932">
          <w:marLeft w:val="640"/>
          <w:marRight w:val="0"/>
          <w:marTop w:val="0"/>
          <w:marBottom w:val="0"/>
          <w:divBdr>
            <w:top w:val="none" w:sz="0" w:space="0" w:color="auto"/>
            <w:left w:val="none" w:sz="0" w:space="0" w:color="auto"/>
            <w:bottom w:val="none" w:sz="0" w:space="0" w:color="auto"/>
            <w:right w:val="none" w:sz="0" w:space="0" w:color="auto"/>
          </w:divBdr>
        </w:div>
        <w:div w:id="1219169632">
          <w:marLeft w:val="640"/>
          <w:marRight w:val="0"/>
          <w:marTop w:val="0"/>
          <w:marBottom w:val="0"/>
          <w:divBdr>
            <w:top w:val="none" w:sz="0" w:space="0" w:color="auto"/>
            <w:left w:val="none" w:sz="0" w:space="0" w:color="auto"/>
            <w:bottom w:val="none" w:sz="0" w:space="0" w:color="auto"/>
            <w:right w:val="none" w:sz="0" w:space="0" w:color="auto"/>
          </w:divBdr>
        </w:div>
        <w:div w:id="434135458">
          <w:marLeft w:val="640"/>
          <w:marRight w:val="0"/>
          <w:marTop w:val="0"/>
          <w:marBottom w:val="0"/>
          <w:divBdr>
            <w:top w:val="none" w:sz="0" w:space="0" w:color="auto"/>
            <w:left w:val="none" w:sz="0" w:space="0" w:color="auto"/>
            <w:bottom w:val="none" w:sz="0" w:space="0" w:color="auto"/>
            <w:right w:val="none" w:sz="0" w:space="0" w:color="auto"/>
          </w:divBdr>
        </w:div>
        <w:div w:id="304161043">
          <w:marLeft w:val="640"/>
          <w:marRight w:val="0"/>
          <w:marTop w:val="0"/>
          <w:marBottom w:val="0"/>
          <w:divBdr>
            <w:top w:val="none" w:sz="0" w:space="0" w:color="auto"/>
            <w:left w:val="none" w:sz="0" w:space="0" w:color="auto"/>
            <w:bottom w:val="none" w:sz="0" w:space="0" w:color="auto"/>
            <w:right w:val="none" w:sz="0" w:space="0" w:color="auto"/>
          </w:divBdr>
        </w:div>
        <w:div w:id="987705251">
          <w:marLeft w:val="640"/>
          <w:marRight w:val="0"/>
          <w:marTop w:val="0"/>
          <w:marBottom w:val="0"/>
          <w:divBdr>
            <w:top w:val="none" w:sz="0" w:space="0" w:color="auto"/>
            <w:left w:val="none" w:sz="0" w:space="0" w:color="auto"/>
            <w:bottom w:val="none" w:sz="0" w:space="0" w:color="auto"/>
            <w:right w:val="none" w:sz="0" w:space="0" w:color="auto"/>
          </w:divBdr>
        </w:div>
        <w:div w:id="499781133">
          <w:marLeft w:val="640"/>
          <w:marRight w:val="0"/>
          <w:marTop w:val="0"/>
          <w:marBottom w:val="0"/>
          <w:divBdr>
            <w:top w:val="none" w:sz="0" w:space="0" w:color="auto"/>
            <w:left w:val="none" w:sz="0" w:space="0" w:color="auto"/>
            <w:bottom w:val="none" w:sz="0" w:space="0" w:color="auto"/>
            <w:right w:val="none" w:sz="0" w:space="0" w:color="auto"/>
          </w:divBdr>
        </w:div>
        <w:div w:id="163013532">
          <w:marLeft w:val="640"/>
          <w:marRight w:val="0"/>
          <w:marTop w:val="0"/>
          <w:marBottom w:val="0"/>
          <w:divBdr>
            <w:top w:val="none" w:sz="0" w:space="0" w:color="auto"/>
            <w:left w:val="none" w:sz="0" w:space="0" w:color="auto"/>
            <w:bottom w:val="none" w:sz="0" w:space="0" w:color="auto"/>
            <w:right w:val="none" w:sz="0" w:space="0" w:color="auto"/>
          </w:divBdr>
        </w:div>
        <w:div w:id="1361856241">
          <w:marLeft w:val="640"/>
          <w:marRight w:val="0"/>
          <w:marTop w:val="0"/>
          <w:marBottom w:val="0"/>
          <w:divBdr>
            <w:top w:val="none" w:sz="0" w:space="0" w:color="auto"/>
            <w:left w:val="none" w:sz="0" w:space="0" w:color="auto"/>
            <w:bottom w:val="none" w:sz="0" w:space="0" w:color="auto"/>
            <w:right w:val="none" w:sz="0" w:space="0" w:color="auto"/>
          </w:divBdr>
        </w:div>
        <w:div w:id="1307247313">
          <w:marLeft w:val="640"/>
          <w:marRight w:val="0"/>
          <w:marTop w:val="0"/>
          <w:marBottom w:val="0"/>
          <w:divBdr>
            <w:top w:val="none" w:sz="0" w:space="0" w:color="auto"/>
            <w:left w:val="none" w:sz="0" w:space="0" w:color="auto"/>
            <w:bottom w:val="none" w:sz="0" w:space="0" w:color="auto"/>
            <w:right w:val="none" w:sz="0" w:space="0" w:color="auto"/>
          </w:divBdr>
        </w:div>
        <w:div w:id="1798177263">
          <w:marLeft w:val="640"/>
          <w:marRight w:val="0"/>
          <w:marTop w:val="0"/>
          <w:marBottom w:val="0"/>
          <w:divBdr>
            <w:top w:val="none" w:sz="0" w:space="0" w:color="auto"/>
            <w:left w:val="none" w:sz="0" w:space="0" w:color="auto"/>
            <w:bottom w:val="none" w:sz="0" w:space="0" w:color="auto"/>
            <w:right w:val="none" w:sz="0" w:space="0" w:color="auto"/>
          </w:divBdr>
        </w:div>
        <w:div w:id="1353609609">
          <w:marLeft w:val="640"/>
          <w:marRight w:val="0"/>
          <w:marTop w:val="0"/>
          <w:marBottom w:val="0"/>
          <w:divBdr>
            <w:top w:val="none" w:sz="0" w:space="0" w:color="auto"/>
            <w:left w:val="none" w:sz="0" w:space="0" w:color="auto"/>
            <w:bottom w:val="none" w:sz="0" w:space="0" w:color="auto"/>
            <w:right w:val="none" w:sz="0" w:space="0" w:color="auto"/>
          </w:divBdr>
        </w:div>
        <w:div w:id="344090795">
          <w:marLeft w:val="640"/>
          <w:marRight w:val="0"/>
          <w:marTop w:val="0"/>
          <w:marBottom w:val="0"/>
          <w:divBdr>
            <w:top w:val="none" w:sz="0" w:space="0" w:color="auto"/>
            <w:left w:val="none" w:sz="0" w:space="0" w:color="auto"/>
            <w:bottom w:val="none" w:sz="0" w:space="0" w:color="auto"/>
            <w:right w:val="none" w:sz="0" w:space="0" w:color="auto"/>
          </w:divBdr>
        </w:div>
        <w:div w:id="537739726">
          <w:marLeft w:val="640"/>
          <w:marRight w:val="0"/>
          <w:marTop w:val="0"/>
          <w:marBottom w:val="0"/>
          <w:divBdr>
            <w:top w:val="none" w:sz="0" w:space="0" w:color="auto"/>
            <w:left w:val="none" w:sz="0" w:space="0" w:color="auto"/>
            <w:bottom w:val="none" w:sz="0" w:space="0" w:color="auto"/>
            <w:right w:val="none" w:sz="0" w:space="0" w:color="auto"/>
          </w:divBdr>
        </w:div>
        <w:div w:id="810294732">
          <w:marLeft w:val="640"/>
          <w:marRight w:val="0"/>
          <w:marTop w:val="0"/>
          <w:marBottom w:val="0"/>
          <w:divBdr>
            <w:top w:val="none" w:sz="0" w:space="0" w:color="auto"/>
            <w:left w:val="none" w:sz="0" w:space="0" w:color="auto"/>
            <w:bottom w:val="none" w:sz="0" w:space="0" w:color="auto"/>
            <w:right w:val="none" w:sz="0" w:space="0" w:color="auto"/>
          </w:divBdr>
        </w:div>
        <w:div w:id="699204200">
          <w:marLeft w:val="640"/>
          <w:marRight w:val="0"/>
          <w:marTop w:val="0"/>
          <w:marBottom w:val="0"/>
          <w:divBdr>
            <w:top w:val="none" w:sz="0" w:space="0" w:color="auto"/>
            <w:left w:val="none" w:sz="0" w:space="0" w:color="auto"/>
            <w:bottom w:val="none" w:sz="0" w:space="0" w:color="auto"/>
            <w:right w:val="none" w:sz="0" w:space="0" w:color="auto"/>
          </w:divBdr>
        </w:div>
        <w:div w:id="657609443">
          <w:marLeft w:val="640"/>
          <w:marRight w:val="0"/>
          <w:marTop w:val="0"/>
          <w:marBottom w:val="0"/>
          <w:divBdr>
            <w:top w:val="none" w:sz="0" w:space="0" w:color="auto"/>
            <w:left w:val="none" w:sz="0" w:space="0" w:color="auto"/>
            <w:bottom w:val="none" w:sz="0" w:space="0" w:color="auto"/>
            <w:right w:val="none" w:sz="0" w:space="0" w:color="auto"/>
          </w:divBdr>
        </w:div>
        <w:div w:id="1827163217">
          <w:marLeft w:val="640"/>
          <w:marRight w:val="0"/>
          <w:marTop w:val="0"/>
          <w:marBottom w:val="0"/>
          <w:divBdr>
            <w:top w:val="none" w:sz="0" w:space="0" w:color="auto"/>
            <w:left w:val="none" w:sz="0" w:space="0" w:color="auto"/>
            <w:bottom w:val="none" w:sz="0" w:space="0" w:color="auto"/>
            <w:right w:val="none" w:sz="0" w:space="0" w:color="auto"/>
          </w:divBdr>
        </w:div>
        <w:div w:id="482964844">
          <w:marLeft w:val="640"/>
          <w:marRight w:val="0"/>
          <w:marTop w:val="0"/>
          <w:marBottom w:val="0"/>
          <w:divBdr>
            <w:top w:val="none" w:sz="0" w:space="0" w:color="auto"/>
            <w:left w:val="none" w:sz="0" w:space="0" w:color="auto"/>
            <w:bottom w:val="none" w:sz="0" w:space="0" w:color="auto"/>
            <w:right w:val="none" w:sz="0" w:space="0" w:color="auto"/>
          </w:divBdr>
        </w:div>
        <w:div w:id="182673727">
          <w:marLeft w:val="640"/>
          <w:marRight w:val="0"/>
          <w:marTop w:val="0"/>
          <w:marBottom w:val="0"/>
          <w:divBdr>
            <w:top w:val="none" w:sz="0" w:space="0" w:color="auto"/>
            <w:left w:val="none" w:sz="0" w:space="0" w:color="auto"/>
            <w:bottom w:val="none" w:sz="0" w:space="0" w:color="auto"/>
            <w:right w:val="none" w:sz="0" w:space="0" w:color="auto"/>
          </w:divBdr>
        </w:div>
        <w:div w:id="1847282706">
          <w:marLeft w:val="640"/>
          <w:marRight w:val="0"/>
          <w:marTop w:val="0"/>
          <w:marBottom w:val="0"/>
          <w:divBdr>
            <w:top w:val="none" w:sz="0" w:space="0" w:color="auto"/>
            <w:left w:val="none" w:sz="0" w:space="0" w:color="auto"/>
            <w:bottom w:val="none" w:sz="0" w:space="0" w:color="auto"/>
            <w:right w:val="none" w:sz="0" w:space="0" w:color="auto"/>
          </w:divBdr>
        </w:div>
        <w:div w:id="2007048351">
          <w:marLeft w:val="640"/>
          <w:marRight w:val="0"/>
          <w:marTop w:val="0"/>
          <w:marBottom w:val="0"/>
          <w:divBdr>
            <w:top w:val="none" w:sz="0" w:space="0" w:color="auto"/>
            <w:left w:val="none" w:sz="0" w:space="0" w:color="auto"/>
            <w:bottom w:val="none" w:sz="0" w:space="0" w:color="auto"/>
            <w:right w:val="none" w:sz="0" w:space="0" w:color="auto"/>
          </w:divBdr>
        </w:div>
        <w:div w:id="350030224">
          <w:marLeft w:val="640"/>
          <w:marRight w:val="0"/>
          <w:marTop w:val="0"/>
          <w:marBottom w:val="0"/>
          <w:divBdr>
            <w:top w:val="none" w:sz="0" w:space="0" w:color="auto"/>
            <w:left w:val="none" w:sz="0" w:space="0" w:color="auto"/>
            <w:bottom w:val="none" w:sz="0" w:space="0" w:color="auto"/>
            <w:right w:val="none" w:sz="0" w:space="0" w:color="auto"/>
          </w:divBdr>
        </w:div>
        <w:div w:id="823081682">
          <w:marLeft w:val="640"/>
          <w:marRight w:val="0"/>
          <w:marTop w:val="0"/>
          <w:marBottom w:val="0"/>
          <w:divBdr>
            <w:top w:val="none" w:sz="0" w:space="0" w:color="auto"/>
            <w:left w:val="none" w:sz="0" w:space="0" w:color="auto"/>
            <w:bottom w:val="none" w:sz="0" w:space="0" w:color="auto"/>
            <w:right w:val="none" w:sz="0" w:space="0" w:color="auto"/>
          </w:divBdr>
        </w:div>
        <w:div w:id="1126778539">
          <w:marLeft w:val="640"/>
          <w:marRight w:val="0"/>
          <w:marTop w:val="0"/>
          <w:marBottom w:val="0"/>
          <w:divBdr>
            <w:top w:val="none" w:sz="0" w:space="0" w:color="auto"/>
            <w:left w:val="none" w:sz="0" w:space="0" w:color="auto"/>
            <w:bottom w:val="none" w:sz="0" w:space="0" w:color="auto"/>
            <w:right w:val="none" w:sz="0" w:space="0" w:color="auto"/>
          </w:divBdr>
        </w:div>
        <w:div w:id="811407172">
          <w:marLeft w:val="640"/>
          <w:marRight w:val="0"/>
          <w:marTop w:val="0"/>
          <w:marBottom w:val="0"/>
          <w:divBdr>
            <w:top w:val="none" w:sz="0" w:space="0" w:color="auto"/>
            <w:left w:val="none" w:sz="0" w:space="0" w:color="auto"/>
            <w:bottom w:val="none" w:sz="0" w:space="0" w:color="auto"/>
            <w:right w:val="none" w:sz="0" w:space="0" w:color="auto"/>
          </w:divBdr>
        </w:div>
        <w:div w:id="1154881110">
          <w:marLeft w:val="640"/>
          <w:marRight w:val="0"/>
          <w:marTop w:val="0"/>
          <w:marBottom w:val="0"/>
          <w:divBdr>
            <w:top w:val="none" w:sz="0" w:space="0" w:color="auto"/>
            <w:left w:val="none" w:sz="0" w:space="0" w:color="auto"/>
            <w:bottom w:val="none" w:sz="0" w:space="0" w:color="auto"/>
            <w:right w:val="none" w:sz="0" w:space="0" w:color="auto"/>
          </w:divBdr>
        </w:div>
        <w:div w:id="840125789">
          <w:marLeft w:val="640"/>
          <w:marRight w:val="0"/>
          <w:marTop w:val="0"/>
          <w:marBottom w:val="0"/>
          <w:divBdr>
            <w:top w:val="none" w:sz="0" w:space="0" w:color="auto"/>
            <w:left w:val="none" w:sz="0" w:space="0" w:color="auto"/>
            <w:bottom w:val="none" w:sz="0" w:space="0" w:color="auto"/>
            <w:right w:val="none" w:sz="0" w:space="0" w:color="auto"/>
          </w:divBdr>
        </w:div>
        <w:div w:id="501746000">
          <w:marLeft w:val="640"/>
          <w:marRight w:val="0"/>
          <w:marTop w:val="0"/>
          <w:marBottom w:val="0"/>
          <w:divBdr>
            <w:top w:val="none" w:sz="0" w:space="0" w:color="auto"/>
            <w:left w:val="none" w:sz="0" w:space="0" w:color="auto"/>
            <w:bottom w:val="none" w:sz="0" w:space="0" w:color="auto"/>
            <w:right w:val="none" w:sz="0" w:space="0" w:color="auto"/>
          </w:divBdr>
        </w:div>
        <w:div w:id="1161238432">
          <w:marLeft w:val="640"/>
          <w:marRight w:val="0"/>
          <w:marTop w:val="0"/>
          <w:marBottom w:val="0"/>
          <w:divBdr>
            <w:top w:val="none" w:sz="0" w:space="0" w:color="auto"/>
            <w:left w:val="none" w:sz="0" w:space="0" w:color="auto"/>
            <w:bottom w:val="none" w:sz="0" w:space="0" w:color="auto"/>
            <w:right w:val="none" w:sz="0" w:space="0" w:color="auto"/>
          </w:divBdr>
        </w:div>
        <w:div w:id="589432483">
          <w:marLeft w:val="640"/>
          <w:marRight w:val="0"/>
          <w:marTop w:val="0"/>
          <w:marBottom w:val="0"/>
          <w:divBdr>
            <w:top w:val="none" w:sz="0" w:space="0" w:color="auto"/>
            <w:left w:val="none" w:sz="0" w:space="0" w:color="auto"/>
            <w:bottom w:val="none" w:sz="0" w:space="0" w:color="auto"/>
            <w:right w:val="none" w:sz="0" w:space="0" w:color="auto"/>
          </w:divBdr>
        </w:div>
        <w:div w:id="945388643">
          <w:marLeft w:val="640"/>
          <w:marRight w:val="0"/>
          <w:marTop w:val="0"/>
          <w:marBottom w:val="0"/>
          <w:divBdr>
            <w:top w:val="none" w:sz="0" w:space="0" w:color="auto"/>
            <w:left w:val="none" w:sz="0" w:space="0" w:color="auto"/>
            <w:bottom w:val="none" w:sz="0" w:space="0" w:color="auto"/>
            <w:right w:val="none" w:sz="0" w:space="0" w:color="auto"/>
          </w:divBdr>
        </w:div>
        <w:div w:id="1369405663">
          <w:marLeft w:val="640"/>
          <w:marRight w:val="0"/>
          <w:marTop w:val="0"/>
          <w:marBottom w:val="0"/>
          <w:divBdr>
            <w:top w:val="none" w:sz="0" w:space="0" w:color="auto"/>
            <w:left w:val="none" w:sz="0" w:space="0" w:color="auto"/>
            <w:bottom w:val="none" w:sz="0" w:space="0" w:color="auto"/>
            <w:right w:val="none" w:sz="0" w:space="0" w:color="auto"/>
          </w:divBdr>
        </w:div>
        <w:div w:id="720248818">
          <w:marLeft w:val="640"/>
          <w:marRight w:val="0"/>
          <w:marTop w:val="0"/>
          <w:marBottom w:val="0"/>
          <w:divBdr>
            <w:top w:val="none" w:sz="0" w:space="0" w:color="auto"/>
            <w:left w:val="none" w:sz="0" w:space="0" w:color="auto"/>
            <w:bottom w:val="none" w:sz="0" w:space="0" w:color="auto"/>
            <w:right w:val="none" w:sz="0" w:space="0" w:color="auto"/>
          </w:divBdr>
        </w:div>
        <w:div w:id="513612466">
          <w:marLeft w:val="640"/>
          <w:marRight w:val="0"/>
          <w:marTop w:val="0"/>
          <w:marBottom w:val="0"/>
          <w:divBdr>
            <w:top w:val="none" w:sz="0" w:space="0" w:color="auto"/>
            <w:left w:val="none" w:sz="0" w:space="0" w:color="auto"/>
            <w:bottom w:val="none" w:sz="0" w:space="0" w:color="auto"/>
            <w:right w:val="none" w:sz="0" w:space="0" w:color="auto"/>
          </w:divBdr>
        </w:div>
        <w:div w:id="1991984194">
          <w:marLeft w:val="640"/>
          <w:marRight w:val="0"/>
          <w:marTop w:val="0"/>
          <w:marBottom w:val="0"/>
          <w:divBdr>
            <w:top w:val="none" w:sz="0" w:space="0" w:color="auto"/>
            <w:left w:val="none" w:sz="0" w:space="0" w:color="auto"/>
            <w:bottom w:val="none" w:sz="0" w:space="0" w:color="auto"/>
            <w:right w:val="none" w:sz="0" w:space="0" w:color="auto"/>
          </w:divBdr>
        </w:div>
        <w:div w:id="187644431">
          <w:marLeft w:val="640"/>
          <w:marRight w:val="0"/>
          <w:marTop w:val="0"/>
          <w:marBottom w:val="0"/>
          <w:divBdr>
            <w:top w:val="none" w:sz="0" w:space="0" w:color="auto"/>
            <w:left w:val="none" w:sz="0" w:space="0" w:color="auto"/>
            <w:bottom w:val="none" w:sz="0" w:space="0" w:color="auto"/>
            <w:right w:val="none" w:sz="0" w:space="0" w:color="auto"/>
          </w:divBdr>
        </w:div>
        <w:div w:id="388963865">
          <w:marLeft w:val="640"/>
          <w:marRight w:val="0"/>
          <w:marTop w:val="0"/>
          <w:marBottom w:val="0"/>
          <w:divBdr>
            <w:top w:val="none" w:sz="0" w:space="0" w:color="auto"/>
            <w:left w:val="none" w:sz="0" w:space="0" w:color="auto"/>
            <w:bottom w:val="none" w:sz="0" w:space="0" w:color="auto"/>
            <w:right w:val="none" w:sz="0" w:space="0" w:color="auto"/>
          </w:divBdr>
        </w:div>
        <w:div w:id="1077169256">
          <w:marLeft w:val="640"/>
          <w:marRight w:val="0"/>
          <w:marTop w:val="0"/>
          <w:marBottom w:val="0"/>
          <w:divBdr>
            <w:top w:val="none" w:sz="0" w:space="0" w:color="auto"/>
            <w:left w:val="none" w:sz="0" w:space="0" w:color="auto"/>
            <w:bottom w:val="none" w:sz="0" w:space="0" w:color="auto"/>
            <w:right w:val="none" w:sz="0" w:space="0" w:color="auto"/>
          </w:divBdr>
        </w:div>
        <w:div w:id="1869903186">
          <w:marLeft w:val="640"/>
          <w:marRight w:val="0"/>
          <w:marTop w:val="0"/>
          <w:marBottom w:val="0"/>
          <w:divBdr>
            <w:top w:val="none" w:sz="0" w:space="0" w:color="auto"/>
            <w:left w:val="none" w:sz="0" w:space="0" w:color="auto"/>
            <w:bottom w:val="none" w:sz="0" w:space="0" w:color="auto"/>
            <w:right w:val="none" w:sz="0" w:space="0" w:color="auto"/>
          </w:divBdr>
        </w:div>
        <w:div w:id="438112373">
          <w:marLeft w:val="640"/>
          <w:marRight w:val="0"/>
          <w:marTop w:val="0"/>
          <w:marBottom w:val="0"/>
          <w:divBdr>
            <w:top w:val="none" w:sz="0" w:space="0" w:color="auto"/>
            <w:left w:val="none" w:sz="0" w:space="0" w:color="auto"/>
            <w:bottom w:val="none" w:sz="0" w:space="0" w:color="auto"/>
            <w:right w:val="none" w:sz="0" w:space="0" w:color="auto"/>
          </w:divBdr>
        </w:div>
        <w:div w:id="1545676301">
          <w:marLeft w:val="640"/>
          <w:marRight w:val="0"/>
          <w:marTop w:val="0"/>
          <w:marBottom w:val="0"/>
          <w:divBdr>
            <w:top w:val="none" w:sz="0" w:space="0" w:color="auto"/>
            <w:left w:val="none" w:sz="0" w:space="0" w:color="auto"/>
            <w:bottom w:val="none" w:sz="0" w:space="0" w:color="auto"/>
            <w:right w:val="none" w:sz="0" w:space="0" w:color="auto"/>
          </w:divBdr>
        </w:div>
        <w:div w:id="693462760">
          <w:marLeft w:val="640"/>
          <w:marRight w:val="0"/>
          <w:marTop w:val="0"/>
          <w:marBottom w:val="0"/>
          <w:divBdr>
            <w:top w:val="none" w:sz="0" w:space="0" w:color="auto"/>
            <w:left w:val="none" w:sz="0" w:space="0" w:color="auto"/>
            <w:bottom w:val="none" w:sz="0" w:space="0" w:color="auto"/>
            <w:right w:val="none" w:sz="0" w:space="0" w:color="auto"/>
          </w:divBdr>
        </w:div>
        <w:div w:id="2114545034">
          <w:marLeft w:val="640"/>
          <w:marRight w:val="0"/>
          <w:marTop w:val="0"/>
          <w:marBottom w:val="0"/>
          <w:divBdr>
            <w:top w:val="none" w:sz="0" w:space="0" w:color="auto"/>
            <w:left w:val="none" w:sz="0" w:space="0" w:color="auto"/>
            <w:bottom w:val="none" w:sz="0" w:space="0" w:color="auto"/>
            <w:right w:val="none" w:sz="0" w:space="0" w:color="auto"/>
          </w:divBdr>
        </w:div>
        <w:div w:id="462697248">
          <w:marLeft w:val="640"/>
          <w:marRight w:val="0"/>
          <w:marTop w:val="0"/>
          <w:marBottom w:val="0"/>
          <w:divBdr>
            <w:top w:val="none" w:sz="0" w:space="0" w:color="auto"/>
            <w:left w:val="none" w:sz="0" w:space="0" w:color="auto"/>
            <w:bottom w:val="none" w:sz="0" w:space="0" w:color="auto"/>
            <w:right w:val="none" w:sz="0" w:space="0" w:color="auto"/>
          </w:divBdr>
        </w:div>
        <w:div w:id="591202097">
          <w:marLeft w:val="640"/>
          <w:marRight w:val="0"/>
          <w:marTop w:val="0"/>
          <w:marBottom w:val="0"/>
          <w:divBdr>
            <w:top w:val="none" w:sz="0" w:space="0" w:color="auto"/>
            <w:left w:val="none" w:sz="0" w:space="0" w:color="auto"/>
            <w:bottom w:val="none" w:sz="0" w:space="0" w:color="auto"/>
            <w:right w:val="none" w:sz="0" w:space="0" w:color="auto"/>
          </w:divBdr>
        </w:div>
        <w:div w:id="22875262">
          <w:marLeft w:val="640"/>
          <w:marRight w:val="0"/>
          <w:marTop w:val="0"/>
          <w:marBottom w:val="0"/>
          <w:divBdr>
            <w:top w:val="none" w:sz="0" w:space="0" w:color="auto"/>
            <w:left w:val="none" w:sz="0" w:space="0" w:color="auto"/>
            <w:bottom w:val="none" w:sz="0" w:space="0" w:color="auto"/>
            <w:right w:val="none" w:sz="0" w:space="0" w:color="auto"/>
          </w:divBdr>
        </w:div>
        <w:div w:id="1820726536">
          <w:marLeft w:val="640"/>
          <w:marRight w:val="0"/>
          <w:marTop w:val="0"/>
          <w:marBottom w:val="0"/>
          <w:divBdr>
            <w:top w:val="none" w:sz="0" w:space="0" w:color="auto"/>
            <w:left w:val="none" w:sz="0" w:space="0" w:color="auto"/>
            <w:bottom w:val="none" w:sz="0" w:space="0" w:color="auto"/>
            <w:right w:val="none" w:sz="0" w:space="0" w:color="auto"/>
          </w:divBdr>
        </w:div>
        <w:div w:id="925190603">
          <w:marLeft w:val="640"/>
          <w:marRight w:val="0"/>
          <w:marTop w:val="0"/>
          <w:marBottom w:val="0"/>
          <w:divBdr>
            <w:top w:val="none" w:sz="0" w:space="0" w:color="auto"/>
            <w:left w:val="none" w:sz="0" w:space="0" w:color="auto"/>
            <w:bottom w:val="none" w:sz="0" w:space="0" w:color="auto"/>
            <w:right w:val="none" w:sz="0" w:space="0" w:color="auto"/>
          </w:divBdr>
        </w:div>
        <w:div w:id="1251813054">
          <w:marLeft w:val="640"/>
          <w:marRight w:val="0"/>
          <w:marTop w:val="0"/>
          <w:marBottom w:val="0"/>
          <w:divBdr>
            <w:top w:val="none" w:sz="0" w:space="0" w:color="auto"/>
            <w:left w:val="none" w:sz="0" w:space="0" w:color="auto"/>
            <w:bottom w:val="none" w:sz="0" w:space="0" w:color="auto"/>
            <w:right w:val="none" w:sz="0" w:space="0" w:color="auto"/>
          </w:divBdr>
        </w:div>
        <w:div w:id="1875531806">
          <w:marLeft w:val="640"/>
          <w:marRight w:val="0"/>
          <w:marTop w:val="0"/>
          <w:marBottom w:val="0"/>
          <w:divBdr>
            <w:top w:val="none" w:sz="0" w:space="0" w:color="auto"/>
            <w:left w:val="none" w:sz="0" w:space="0" w:color="auto"/>
            <w:bottom w:val="none" w:sz="0" w:space="0" w:color="auto"/>
            <w:right w:val="none" w:sz="0" w:space="0" w:color="auto"/>
          </w:divBdr>
        </w:div>
        <w:div w:id="863860691">
          <w:marLeft w:val="640"/>
          <w:marRight w:val="0"/>
          <w:marTop w:val="0"/>
          <w:marBottom w:val="0"/>
          <w:divBdr>
            <w:top w:val="none" w:sz="0" w:space="0" w:color="auto"/>
            <w:left w:val="none" w:sz="0" w:space="0" w:color="auto"/>
            <w:bottom w:val="none" w:sz="0" w:space="0" w:color="auto"/>
            <w:right w:val="none" w:sz="0" w:space="0" w:color="auto"/>
          </w:divBdr>
        </w:div>
        <w:div w:id="1839422606">
          <w:marLeft w:val="640"/>
          <w:marRight w:val="0"/>
          <w:marTop w:val="0"/>
          <w:marBottom w:val="0"/>
          <w:divBdr>
            <w:top w:val="none" w:sz="0" w:space="0" w:color="auto"/>
            <w:left w:val="none" w:sz="0" w:space="0" w:color="auto"/>
            <w:bottom w:val="none" w:sz="0" w:space="0" w:color="auto"/>
            <w:right w:val="none" w:sz="0" w:space="0" w:color="auto"/>
          </w:divBdr>
        </w:div>
        <w:div w:id="2073499328">
          <w:marLeft w:val="640"/>
          <w:marRight w:val="0"/>
          <w:marTop w:val="0"/>
          <w:marBottom w:val="0"/>
          <w:divBdr>
            <w:top w:val="none" w:sz="0" w:space="0" w:color="auto"/>
            <w:left w:val="none" w:sz="0" w:space="0" w:color="auto"/>
            <w:bottom w:val="none" w:sz="0" w:space="0" w:color="auto"/>
            <w:right w:val="none" w:sz="0" w:space="0" w:color="auto"/>
          </w:divBdr>
        </w:div>
        <w:div w:id="1169059209">
          <w:marLeft w:val="640"/>
          <w:marRight w:val="0"/>
          <w:marTop w:val="0"/>
          <w:marBottom w:val="0"/>
          <w:divBdr>
            <w:top w:val="none" w:sz="0" w:space="0" w:color="auto"/>
            <w:left w:val="none" w:sz="0" w:space="0" w:color="auto"/>
            <w:bottom w:val="none" w:sz="0" w:space="0" w:color="auto"/>
            <w:right w:val="none" w:sz="0" w:space="0" w:color="auto"/>
          </w:divBdr>
        </w:div>
        <w:div w:id="1803690842">
          <w:marLeft w:val="640"/>
          <w:marRight w:val="0"/>
          <w:marTop w:val="0"/>
          <w:marBottom w:val="0"/>
          <w:divBdr>
            <w:top w:val="none" w:sz="0" w:space="0" w:color="auto"/>
            <w:left w:val="none" w:sz="0" w:space="0" w:color="auto"/>
            <w:bottom w:val="none" w:sz="0" w:space="0" w:color="auto"/>
            <w:right w:val="none" w:sz="0" w:space="0" w:color="auto"/>
          </w:divBdr>
        </w:div>
        <w:div w:id="1065834614">
          <w:marLeft w:val="640"/>
          <w:marRight w:val="0"/>
          <w:marTop w:val="0"/>
          <w:marBottom w:val="0"/>
          <w:divBdr>
            <w:top w:val="none" w:sz="0" w:space="0" w:color="auto"/>
            <w:left w:val="none" w:sz="0" w:space="0" w:color="auto"/>
            <w:bottom w:val="none" w:sz="0" w:space="0" w:color="auto"/>
            <w:right w:val="none" w:sz="0" w:space="0" w:color="auto"/>
          </w:divBdr>
        </w:div>
        <w:div w:id="1159036142">
          <w:marLeft w:val="640"/>
          <w:marRight w:val="0"/>
          <w:marTop w:val="0"/>
          <w:marBottom w:val="0"/>
          <w:divBdr>
            <w:top w:val="none" w:sz="0" w:space="0" w:color="auto"/>
            <w:left w:val="none" w:sz="0" w:space="0" w:color="auto"/>
            <w:bottom w:val="none" w:sz="0" w:space="0" w:color="auto"/>
            <w:right w:val="none" w:sz="0" w:space="0" w:color="auto"/>
          </w:divBdr>
        </w:div>
        <w:div w:id="1764185375">
          <w:marLeft w:val="640"/>
          <w:marRight w:val="0"/>
          <w:marTop w:val="0"/>
          <w:marBottom w:val="0"/>
          <w:divBdr>
            <w:top w:val="none" w:sz="0" w:space="0" w:color="auto"/>
            <w:left w:val="none" w:sz="0" w:space="0" w:color="auto"/>
            <w:bottom w:val="none" w:sz="0" w:space="0" w:color="auto"/>
            <w:right w:val="none" w:sz="0" w:space="0" w:color="auto"/>
          </w:divBdr>
        </w:div>
        <w:div w:id="1169562055">
          <w:marLeft w:val="640"/>
          <w:marRight w:val="0"/>
          <w:marTop w:val="0"/>
          <w:marBottom w:val="0"/>
          <w:divBdr>
            <w:top w:val="none" w:sz="0" w:space="0" w:color="auto"/>
            <w:left w:val="none" w:sz="0" w:space="0" w:color="auto"/>
            <w:bottom w:val="none" w:sz="0" w:space="0" w:color="auto"/>
            <w:right w:val="none" w:sz="0" w:space="0" w:color="auto"/>
          </w:divBdr>
        </w:div>
        <w:div w:id="828711851">
          <w:marLeft w:val="640"/>
          <w:marRight w:val="0"/>
          <w:marTop w:val="0"/>
          <w:marBottom w:val="0"/>
          <w:divBdr>
            <w:top w:val="none" w:sz="0" w:space="0" w:color="auto"/>
            <w:left w:val="none" w:sz="0" w:space="0" w:color="auto"/>
            <w:bottom w:val="none" w:sz="0" w:space="0" w:color="auto"/>
            <w:right w:val="none" w:sz="0" w:space="0" w:color="auto"/>
          </w:divBdr>
        </w:div>
        <w:div w:id="575676891">
          <w:marLeft w:val="640"/>
          <w:marRight w:val="0"/>
          <w:marTop w:val="0"/>
          <w:marBottom w:val="0"/>
          <w:divBdr>
            <w:top w:val="none" w:sz="0" w:space="0" w:color="auto"/>
            <w:left w:val="none" w:sz="0" w:space="0" w:color="auto"/>
            <w:bottom w:val="none" w:sz="0" w:space="0" w:color="auto"/>
            <w:right w:val="none" w:sz="0" w:space="0" w:color="auto"/>
          </w:divBdr>
        </w:div>
        <w:div w:id="875434159">
          <w:marLeft w:val="640"/>
          <w:marRight w:val="0"/>
          <w:marTop w:val="0"/>
          <w:marBottom w:val="0"/>
          <w:divBdr>
            <w:top w:val="none" w:sz="0" w:space="0" w:color="auto"/>
            <w:left w:val="none" w:sz="0" w:space="0" w:color="auto"/>
            <w:bottom w:val="none" w:sz="0" w:space="0" w:color="auto"/>
            <w:right w:val="none" w:sz="0" w:space="0" w:color="auto"/>
          </w:divBdr>
        </w:div>
        <w:div w:id="1217275708">
          <w:marLeft w:val="640"/>
          <w:marRight w:val="0"/>
          <w:marTop w:val="0"/>
          <w:marBottom w:val="0"/>
          <w:divBdr>
            <w:top w:val="none" w:sz="0" w:space="0" w:color="auto"/>
            <w:left w:val="none" w:sz="0" w:space="0" w:color="auto"/>
            <w:bottom w:val="none" w:sz="0" w:space="0" w:color="auto"/>
            <w:right w:val="none" w:sz="0" w:space="0" w:color="auto"/>
          </w:divBdr>
        </w:div>
        <w:div w:id="392626508">
          <w:marLeft w:val="640"/>
          <w:marRight w:val="0"/>
          <w:marTop w:val="0"/>
          <w:marBottom w:val="0"/>
          <w:divBdr>
            <w:top w:val="none" w:sz="0" w:space="0" w:color="auto"/>
            <w:left w:val="none" w:sz="0" w:space="0" w:color="auto"/>
            <w:bottom w:val="none" w:sz="0" w:space="0" w:color="auto"/>
            <w:right w:val="none" w:sz="0" w:space="0" w:color="auto"/>
          </w:divBdr>
        </w:div>
        <w:div w:id="1275676880">
          <w:marLeft w:val="640"/>
          <w:marRight w:val="0"/>
          <w:marTop w:val="0"/>
          <w:marBottom w:val="0"/>
          <w:divBdr>
            <w:top w:val="none" w:sz="0" w:space="0" w:color="auto"/>
            <w:left w:val="none" w:sz="0" w:space="0" w:color="auto"/>
            <w:bottom w:val="none" w:sz="0" w:space="0" w:color="auto"/>
            <w:right w:val="none" w:sz="0" w:space="0" w:color="auto"/>
          </w:divBdr>
        </w:div>
        <w:div w:id="1497186310">
          <w:marLeft w:val="640"/>
          <w:marRight w:val="0"/>
          <w:marTop w:val="0"/>
          <w:marBottom w:val="0"/>
          <w:divBdr>
            <w:top w:val="none" w:sz="0" w:space="0" w:color="auto"/>
            <w:left w:val="none" w:sz="0" w:space="0" w:color="auto"/>
            <w:bottom w:val="none" w:sz="0" w:space="0" w:color="auto"/>
            <w:right w:val="none" w:sz="0" w:space="0" w:color="auto"/>
          </w:divBdr>
        </w:div>
        <w:div w:id="1343824705">
          <w:marLeft w:val="640"/>
          <w:marRight w:val="0"/>
          <w:marTop w:val="0"/>
          <w:marBottom w:val="0"/>
          <w:divBdr>
            <w:top w:val="none" w:sz="0" w:space="0" w:color="auto"/>
            <w:left w:val="none" w:sz="0" w:space="0" w:color="auto"/>
            <w:bottom w:val="none" w:sz="0" w:space="0" w:color="auto"/>
            <w:right w:val="none" w:sz="0" w:space="0" w:color="auto"/>
          </w:divBdr>
        </w:div>
        <w:div w:id="263540167">
          <w:marLeft w:val="640"/>
          <w:marRight w:val="0"/>
          <w:marTop w:val="0"/>
          <w:marBottom w:val="0"/>
          <w:divBdr>
            <w:top w:val="none" w:sz="0" w:space="0" w:color="auto"/>
            <w:left w:val="none" w:sz="0" w:space="0" w:color="auto"/>
            <w:bottom w:val="none" w:sz="0" w:space="0" w:color="auto"/>
            <w:right w:val="none" w:sz="0" w:space="0" w:color="auto"/>
          </w:divBdr>
        </w:div>
        <w:div w:id="1209536720">
          <w:marLeft w:val="640"/>
          <w:marRight w:val="0"/>
          <w:marTop w:val="0"/>
          <w:marBottom w:val="0"/>
          <w:divBdr>
            <w:top w:val="none" w:sz="0" w:space="0" w:color="auto"/>
            <w:left w:val="none" w:sz="0" w:space="0" w:color="auto"/>
            <w:bottom w:val="none" w:sz="0" w:space="0" w:color="auto"/>
            <w:right w:val="none" w:sz="0" w:space="0" w:color="auto"/>
          </w:divBdr>
        </w:div>
        <w:div w:id="1389646780">
          <w:marLeft w:val="640"/>
          <w:marRight w:val="0"/>
          <w:marTop w:val="0"/>
          <w:marBottom w:val="0"/>
          <w:divBdr>
            <w:top w:val="none" w:sz="0" w:space="0" w:color="auto"/>
            <w:left w:val="none" w:sz="0" w:space="0" w:color="auto"/>
            <w:bottom w:val="none" w:sz="0" w:space="0" w:color="auto"/>
            <w:right w:val="none" w:sz="0" w:space="0" w:color="auto"/>
          </w:divBdr>
        </w:div>
        <w:div w:id="1624919280">
          <w:marLeft w:val="640"/>
          <w:marRight w:val="0"/>
          <w:marTop w:val="0"/>
          <w:marBottom w:val="0"/>
          <w:divBdr>
            <w:top w:val="none" w:sz="0" w:space="0" w:color="auto"/>
            <w:left w:val="none" w:sz="0" w:space="0" w:color="auto"/>
            <w:bottom w:val="none" w:sz="0" w:space="0" w:color="auto"/>
            <w:right w:val="none" w:sz="0" w:space="0" w:color="auto"/>
          </w:divBdr>
        </w:div>
        <w:div w:id="1137992849">
          <w:marLeft w:val="640"/>
          <w:marRight w:val="0"/>
          <w:marTop w:val="0"/>
          <w:marBottom w:val="0"/>
          <w:divBdr>
            <w:top w:val="none" w:sz="0" w:space="0" w:color="auto"/>
            <w:left w:val="none" w:sz="0" w:space="0" w:color="auto"/>
            <w:bottom w:val="none" w:sz="0" w:space="0" w:color="auto"/>
            <w:right w:val="none" w:sz="0" w:space="0" w:color="auto"/>
          </w:divBdr>
        </w:div>
        <w:div w:id="1740904390">
          <w:marLeft w:val="640"/>
          <w:marRight w:val="0"/>
          <w:marTop w:val="0"/>
          <w:marBottom w:val="0"/>
          <w:divBdr>
            <w:top w:val="none" w:sz="0" w:space="0" w:color="auto"/>
            <w:left w:val="none" w:sz="0" w:space="0" w:color="auto"/>
            <w:bottom w:val="none" w:sz="0" w:space="0" w:color="auto"/>
            <w:right w:val="none" w:sz="0" w:space="0" w:color="auto"/>
          </w:divBdr>
        </w:div>
        <w:div w:id="314382350">
          <w:marLeft w:val="640"/>
          <w:marRight w:val="0"/>
          <w:marTop w:val="0"/>
          <w:marBottom w:val="0"/>
          <w:divBdr>
            <w:top w:val="none" w:sz="0" w:space="0" w:color="auto"/>
            <w:left w:val="none" w:sz="0" w:space="0" w:color="auto"/>
            <w:bottom w:val="none" w:sz="0" w:space="0" w:color="auto"/>
            <w:right w:val="none" w:sz="0" w:space="0" w:color="auto"/>
          </w:divBdr>
        </w:div>
        <w:div w:id="219170939">
          <w:marLeft w:val="640"/>
          <w:marRight w:val="0"/>
          <w:marTop w:val="0"/>
          <w:marBottom w:val="0"/>
          <w:divBdr>
            <w:top w:val="none" w:sz="0" w:space="0" w:color="auto"/>
            <w:left w:val="none" w:sz="0" w:space="0" w:color="auto"/>
            <w:bottom w:val="none" w:sz="0" w:space="0" w:color="auto"/>
            <w:right w:val="none" w:sz="0" w:space="0" w:color="auto"/>
          </w:divBdr>
        </w:div>
        <w:div w:id="1081220360">
          <w:marLeft w:val="640"/>
          <w:marRight w:val="0"/>
          <w:marTop w:val="0"/>
          <w:marBottom w:val="0"/>
          <w:divBdr>
            <w:top w:val="none" w:sz="0" w:space="0" w:color="auto"/>
            <w:left w:val="none" w:sz="0" w:space="0" w:color="auto"/>
            <w:bottom w:val="none" w:sz="0" w:space="0" w:color="auto"/>
            <w:right w:val="none" w:sz="0" w:space="0" w:color="auto"/>
          </w:divBdr>
        </w:div>
        <w:div w:id="777408599">
          <w:marLeft w:val="640"/>
          <w:marRight w:val="0"/>
          <w:marTop w:val="0"/>
          <w:marBottom w:val="0"/>
          <w:divBdr>
            <w:top w:val="none" w:sz="0" w:space="0" w:color="auto"/>
            <w:left w:val="none" w:sz="0" w:space="0" w:color="auto"/>
            <w:bottom w:val="none" w:sz="0" w:space="0" w:color="auto"/>
            <w:right w:val="none" w:sz="0" w:space="0" w:color="auto"/>
          </w:divBdr>
        </w:div>
        <w:div w:id="1809122813">
          <w:marLeft w:val="640"/>
          <w:marRight w:val="0"/>
          <w:marTop w:val="0"/>
          <w:marBottom w:val="0"/>
          <w:divBdr>
            <w:top w:val="none" w:sz="0" w:space="0" w:color="auto"/>
            <w:left w:val="none" w:sz="0" w:space="0" w:color="auto"/>
            <w:bottom w:val="none" w:sz="0" w:space="0" w:color="auto"/>
            <w:right w:val="none" w:sz="0" w:space="0" w:color="auto"/>
          </w:divBdr>
        </w:div>
        <w:div w:id="1504782956">
          <w:marLeft w:val="640"/>
          <w:marRight w:val="0"/>
          <w:marTop w:val="0"/>
          <w:marBottom w:val="0"/>
          <w:divBdr>
            <w:top w:val="none" w:sz="0" w:space="0" w:color="auto"/>
            <w:left w:val="none" w:sz="0" w:space="0" w:color="auto"/>
            <w:bottom w:val="none" w:sz="0" w:space="0" w:color="auto"/>
            <w:right w:val="none" w:sz="0" w:space="0" w:color="auto"/>
          </w:divBdr>
        </w:div>
        <w:div w:id="1327173886">
          <w:marLeft w:val="640"/>
          <w:marRight w:val="0"/>
          <w:marTop w:val="0"/>
          <w:marBottom w:val="0"/>
          <w:divBdr>
            <w:top w:val="none" w:sz="0" w:space="0" w:color="auto"/>
            <w:left w:val="none" w:sz="0" w:space="0" w:color="auto"/>
            <w:bottom w:val="none" w:sz="0" w:space="0" w:color="auto"/>
            <w:right w:val="none" w:sz="0" w:space="0" w:color="auto"/>
          </w:divBdr>
        </w:div>
        <w:div w:id="706565724">
          <w:marLeft w:val="640"/>
          <w:marRight w:val="0"/>
          <w:marTop w:val="0"/>
          <w:marBottom w:val="0"/>
          <w:divBdr>
            <w:top w:val="none" w:sz="0" w:space="0" w:color="auto"/>
            <w:left w:val="none" w:sz="0" w:space="0" w:color="auto"/>
            <w:bottom w:val="none" w:sz="0" w:space="0" w:color="auto"/>
            <w:right w:val="none" w:sz="0" w:space="0" w:color="auto"/>
          </w:divBdr>
        </w:div>
        <w:div w:id="1456563568">
          <w:marLeft w:val="640"/>
          <w:marRight w:val="0"/>
          <w:marTop w:val="0"/>
          <w:marBottom w:val="0"/>
          <w:divBdr>
            <w:top w:val="none" w:sz="0" w:space="0" w:color="auto"/>
            <w:left w:val="none" w:sz="0" w:space="0" w:color="auto"/>
            <w:bottom w:val="none" w:sz="0" w:space="0" w:color="auto"/>
            <w:right w:val="none" w:sz="0" w:space="0" w:color="auto"/>
          </w:divBdr>
        </w:div>
        <w:div w:id="1835486788">
          <w:marLeft w:val="640"/>
          <w:marRight w:val="0"/>
          <w:marTop w:val="0"/>
          <w:marBottom w:val="0"/>
          <w:divBdr>
            <w:top w:val="none" w:sz="0" w:space="0" w:color="auto"/>
            <w:left w:val="none" w:sz="0" w:space="0" w:color="auto"/>
            <w:bottom w:val="none" w:sz="0" w:space="0" w:color="auto"/>
            <w:right w:val="none" w:sz="0" w:space="0" w:color="auto"/>
          </w:divBdr>
        </w:div>
        <w:div w:id="1098406468">
          <w:marLeft w:val="640"/>
          <w:marRight w:val="0"/>
          <w:marTop w:val="0"/>
          <w:marBottom w:val="0"/>
          <w:divBdr>
            <w:top w:val="none" w:sz="0" w:space="0" w:color="auto"/>
            <w:left w:val="none" w:sz="0" w:space="0" w:color="auto"/>
            <w:bottom w:val="none" w:sz="0" w:space="0" w:color="auto"/>
            <w:right w:val="none" w:sz="0" w:space="0" w:color="auto"/>
          </w:divBdr>
        </w:div>
        <w:div w:id="1408917799">
          <w:marLeft w:val="640"/>
          <w:marRight w:val="0"/>
          <w:marTop w:val="0"/>
          <w:marBottom w:val="0"/>
          <w:divBdr>
            <w:top w:val="none" w:sz="0" w:space="0" w:color="auto"/>
            <w:left w:val="none" w:sz="0" w:space="0" w:color="auto"/>
            <w:bottom w:val="none" w:sz="0" w:space="0" w:color="auto"/>
            <w:right w:val="none" w:sz="0" w:space="0" w:color="auto"/>
          </w:divBdr>
        </w:div>
        <w:div w:id="745497325">
          <w:marLeft w:val="640"/>
          <w:marRight w:val="0"/>
          <w:marTop w:val="0"/>
          <w:marBottom w:val="0"/>
          <w:divBdr>
            <w:top w:val="none" w:sz="0" w:space="0" w:color="auto"/>
            <w:left w:val="none" w:sz="0" w:space="0" w:color="auto"/>
            <w:bottom w:val="none" w:sz="0" w:space="0" w:color="auto"/>
            <w:right w:val="none" w:sz="0" w:space="0" w:color="auto"/>
          </w:divBdr>
        </w:div>
        <w:div w:id="189145182">
          <w:marLeft w:val="640"/>
          <w:marRight w:val="0"/>
          <w:marTop w:val="0"/>
          <w:marBottom w:val="0"/>
          <w:divBdr>
            <w:top w:val="none" w:sz="0" w:space="0" w:color="auto"/>
            <w:left w:val="none" w:sz="0" w:space="0" w:color="auto"/>
            <w:bottom w:val="none" w:sz="0" w:space="0" w:color="auto"/>
            <w:right w:val="none" w:sz="0" w:space="0" w:color="auto"/>
          </w:divBdr>
        </w:div>
        <w:div w:id="2013795396">
          <w:marLeft w:val="640"/>
          <w:marRight w:val="0"/>
          <w:marTop w:val="0"/>
          <w:marBottom w:val="0"/>
          <w:divBdr>
            <w:top w:val="none" w:sz="0" w:space="0" w:color="auto"/>
            <w:left w:val="none" w:sz="0" w:space="0" w:color="auto"/>
            <w:bottom w:val="none" w:sz="0" w:space="0" w:color="auto"/>
            <w:right w:val="none" w:sz="0" w:space="0" w:color="auto"/>
          </w:divBdr>
        </w:div>
        <w:div w:id="1803647026">
          <w:marLeft w:val="640"/>
          <w:marRight w:val="0"/>
          <w:marTop w:val="0"/>
          <w:marBottom w:val="0"/>
          <w:divBdr>
            <w:top w:val="none" w:sz="0" w:space="0" w:color="auto"/>
            <w:left w:val="none" w:sz="0" w:space="0" w:color="auto"/>
            <w:bottom w:val="none" w:sz="0" w:space="0" w:color="auto"/>
            <w:right w:val="none" w:sz="0" w:space="0" w:color="auto"/>
          </w:divBdr>
        </w:div>
        <w:div w:id="1597518473">
          <w:marLeft w:val="640"/>
          <w:marRight w:val="0"/>
          <w:marTop w:val="0"/>
          <w:marBottom w:val="0"/>
          <w:divBdr>
            <w:top w:val="none" w:sz="0" w:space="0" w:color="auto"/>
            <w:left w:val="none" w:sz="0" w:space="0" w:color="auto"/>
            <w:bottom w:val="none" w:sz="0" w:space="0" w:color="auto"/>
            <w:right w:val="none" w:sz="0" w:space="0" w:color="auto"/>
          </w:divBdr>
        </w:div>
        <w:div w:id="1223516344">
          <w:marLeft w:val="640"/>
          <w:marRight w:val="0"/>
          <w:marTop w:val="0"/>
          <w:marBottom w:val="0"/>
          <w:divBdr>
            <w:top w:val="none" w:sz="0" w:space="0" w:color="auto"/>
            <w:left w:val="none" w:sz="0" w:space="0" w:color="auto"/>
            <w:bottom w:val="none" w:sz="0" w:space="0" w:color="auto"/>
            <w:right w:val="none" w:sz="0" w:space="0" w:color="auto"/>
          </w:divBdr>
        </w:div>
        <w:div w:id="1154371425">
          <w:marLeft w:val="640"/>
          <w:marRight w:val="0"/>
          <w:marTop w:val="0"/>
          <w:marBottom w:val="0"/>
          <w:divBdr>
            <w:top w:val="none" w:sz="0" w:space="0" w:color="auto"/>
            <w:left w:val="none" w:sz="0" w:space="0" w:color="auto"/>
            <w:bottom w:val="none" w:sz="0" w:space="0" w:color="auto"/>
            <w:right w:val="none" w:sz="0" w:space="0" w:color="auto"/>
          </w:divBdr>
        </w:div>
        <w:div w:id="780955292">
          <w:marLeft w:val="640"/>
          <w:marRight w:val="0"/>
          <w:marTop w:val="0"/>
          <w:marBottom w:val="0"/>
          <w:divBdr>
            <w:top w:val="none" w:sz="0" w:space="0" w:color="auto"/>
            <w:left w:val="none" w:sz="0" w:space="0" w:color="auto"/>
            <w:bottom w:val="none" w:sz="0" w:space="0" w:color="auto"/>
            <w:right w:val="none" w:sz="0" w:space="0" w:color="auto"/>
          </w:divBdr>
        </w:div>
        <w:div w:id="696081450">
          <w:marLeft w:val="640"/>
          <w:marRight w:val="0"/>
          <w:marTop w:val="0"/>
          <w:marBottom w:val="0"/>
          <w:divBdr>
            <w:top w:val="none" w:sz="0" w:space="0" w:color="auto"/>
            <w:left w:val="none" w:sz="0" w:space="0" w:color="auto"/>
            <w:bottom w:val="none" w:sz="0" w:space="0" w:color="auto"/>
            <w:right w:val="none" w:sz="0" w:space="0" w:color="auto"/>
          </w:divBdr>
        </w:div>
        <w:div w:id="532966162">
          <w:marLeft w:val="640"/>
          <w:marRight w:val="0"/>
          <w:marTop w:val="0"/>
          <w:marBottom w:val="0"/>
          <w:divBdr>
            <w:top w:val="none" w:sz="0" w:space="0" w:color="auto"/>
            <w:left w:val="none" w:sz="0" w:space="0" w:color="auto"/>
            <w:bottom w:val="none" w:sz="0" w:space="0" w:color="auto"/>
            <w:right w:val="none" w:sz="0" w:space="0" w:color="auto"/>
          </w:divBdr>
        </w:div>
        <w:div w:id="657733124">
          <w:marLeft w:val="640"/>
          <w:marRight w:val="0"/>
          <w:marTop w:val="0"/>
          <w:marBottom w:val="0"/>
          <w:divBdr>
            <w:top w:val="none" w:sz="0" w:space="0" w:color="auto"/>
            <w:left w:val="none" w:sz="0" w:space="0" w:color="auto"/>
            <w:bottom w:val="none" w:sz="0" w:space="0" w:color="auto"/>
            <w:right w:val="none" w:sz="0" w:space="0" w:color="auto"/>
          </w:divBdr>
        </w:div>
        <w:div w:id="95174783">
          <w:marLeft w:val="640"/>
          <w:marRight w:val="0"/>
          <w:marTop w:val="0"/>
          <w:marBottom w:val="0"/>
          <w:divBdr>
            <w:top w:val="none" w:sz="0" w:space="0" w:color="auto"/>
            <w:left w:val="none" w:sz="0" w:space="0" w:color="auto"/>
            <w:bottom w:val="none" w:sz="0" w:space="0" w:color="auto"/>
            <w:right w:val="none" w:sz="0" w:space="0" w:color="auto"/>
          </w:divBdr>
        </w:div>
        <w:div w:id="988637277">
          <w:marLeft w:val="640"/>
          <w:marRight w:val="0"/>
          <w:marTop w:val="0"/>
          <w:marBottom w:val="0"/>
          <w:divBdr>
            <w:top w:val="none" w:sz="0" w:space="0" w:color="auto"/>
            <w:left w:val="none" w:sz="0" w:space="0" w:color="auto"/>
            <w:bottom w:val="none" w:sz="0" w:space="0" w:color="auto"/>
            <w:right w:val="none" w:sz="0" w:space="0" w:color="auto"/>
          </w:divBdr>
        </w:div>
        <w:div w:id="360283433">
          <w:marLeft w:val="640"/>
          <w:marRight w:val="0"/>
          <w:marTop w:val="0"/>
          <w:marBottom w:val="0"/>
          <w:divBdr>
            <w:top w:val="none" w:sz="0" w:space="0" w:color="auto"/>
            <w:left w:val="none" w:sz="0" w:space="0" w:color="auto"/>
            <w:bottom w:val="none" w:sz="0" w:space="0" w:color="auto"/>
            <w:right w:val="none" w:sz="0" w:space="0" w:color="auto"/>
          </w:divBdr>
        </w:div>
        <w:div w:id="1160344858">
          <w:marLeft w:val="640"/>
          <w:marRight w:val="0"/>
          <w:marTop w:val="0"/>
          <w:marBottom w:val="0"/>
          <w:divBdr>
            <w:top w:val="none" w:sz="0" w:space="0" w:color="auto"/>
            <w:left w:val="none" w:sz="0" w:space="0" w:color="auto"/>
            <w:bottom w:val="none" w:sz="0" w:space="0" w:color="auto"/>
            <w:right w:val="none" w:sz="0" w:space="0" w:color="auto"/>
          </w:divBdr>
        </w:div>
        <w:div w:id="876701081">
          <w:marLeft w:val="640"/>
          <w:marRight w:val="0"/>
          <w:marTop w:val="0"/>
          <w:marBottom w:val="0"/>
          <w:divBdr>
            <w:top w:val="none" w:sz="0" w:space="0" w:color="auto"/>
            <w:left w:val="none" w:sz="0" w:space="0" w:color="auto"/>
            <w:bottom w:val="none" w:sz="0" w:space="0" w:color="auto"/>
            <w:right w:val="none" w:sz="0" w:space="0" w:color="auto"/>
          </w:divBdr>
        </w:div>
        <w:div w:id="331837899">
          <w:marLeft w:val="640"/>
          <w:marRight w:val="0"/>
          <w:marTop w:val="0"/>
          <w:marBottom w:val="0"/>
          <w:divBdr>
            <w:top w:val="none" w:sz="0" w:space="0" w:color="auto"/>
            <w:left w:val="none" w:sz="0" w:space="0" w:color="auto"/>
            <w:bottom w:val="none" w:sz="0" w:space="0" w:color="auto"/>
            <w:right w:val="none" w:sz="0" w:space="0" w:color="auto"/>
          </w:divBdr>
        </w:div>
        <w:div w:id="1776901388">
          <w:marLeft w:val="640"/>
          <w:marRight w:val="0"/>
          <w:marTop w:val="0"/>
          <w:marBottom w:val="0"/>
          <w:divBdr>
            <w:top w:val="none" w:sz="0" w:space="0" w:color="auto"/>
            <w:left w:val="none" w:sz="0" w:space="0" w:color="auto"/>
            <w:bottom w:val="none" w:sz="0" w:space="0" w:color="auto"/>
            <w:right w:val="none" w:sz="0" w:space="0" w:color="auto"/>
          </w:divBdr>
        </w:div>
        <w:div w:id="1225095222">
          <w:marLeft w:val="640"/>
          <w:marRight w:val="0"/>
          <w:marTop w:val="0"/>
          <w:marBottom w:val="0"/>
          <w:divBdr>
            <w:top w:val="none" w:sz="0" w:space="0" w:color="auto"/>
            <w:left w:val="none" w:sz="0" w:space="0" w:color="auto"/>
            <w:bottom w:val="none" w:sz="0" w:space="0" w:color="auto"/>
            <w:right w:val="none" w:sz="0" w:space="0" w:color="auto"/>
          </w:divBdr>
        </w:div>
        <w:div w:id="779303983">
          <w:marLeft w:val="640"/>
          <w:marRight w:val="0"/>
          <w:marTop w:val="0"/>
          <w:marBottom w:val="0"/>
          <w:divBdr>
            <w:top w:val="none" w:sz="0" w:space="0" w:color="auto"/>
            <w:left w:val="none" w:sz="0" w:space="0" w:color="auto"/>
            <w:bottom w:val="none" w:sz="0" w:space="0" w:color="auto"/>
            <w:right w:val="none" w:sz="0" w:space="0" w:color="auto"/>
          </w:divBdr>
        </w:div>
        <w:div w:id="449976359">
          <w:marLeft w:val="640"/>
          <w:marRight w:val="0"/>
          <w:marTop w:val="0"/>
          <w:marBottom w:val="0"/>
          <w:divBdr>
            <w:top w:val="none" w:sz="0" w:space="0" w:color="auto"/>
            <w:left w:val="none" w:sz="0" w:space="0" w:color="auto"/>
            <w:bottom w:val="none" w:sz="0" w:space="0" w:color="auto"/>
            <w:right w:val="none" w:sz="0" w:space="0" w:color="auto"/>
          </w:divBdr>
        </w:div>
        <w:div w:id="288635505">
          <w:marLeft w:val="640"/>
          <w:marRight w:val="0"/>
          <w:marTop w:val="0"/>
          <w:marBottom w:val="0"/>
          <w:divBdr>
            <w:top w:val="none" w:sz="0" w:space="0" w:color="auto"/>
            <w:left w:val="none" w:sz="0" w:space="0" w:color="auto"/>
            <w:bottom w:val="none" w:sz="0" w:space="0" w:color="auto"/>
            <w:right w:val="none" w:sz="0" w:space="0" w:color="auto"/>
          </w:divBdr>
        </w:div>
        <w:div w:id="1220550497">
          <w:marLeft w:val="640"/>
          <w:marRight w:val="0"/>
          <w:marTop w:val="0"/>
          <w:marBottom w:val="0"/>
          <w:divBdr>
            <w:top w:val="none" w:sz="0" w:space="0" w:color="auto"/>
            <w:left w:val="none" w:sz="0" w:space="0" w:color="auto"/>
            <w:bottom w:val="none" w:sz="0" w:space="0" w:color="auto"/>
            <w:right w:val="none" w:sz="0" w:space="0" w:color="auto"/>
          </w:divBdr>
        </w:div>
        <w:div w:id="1886061725">
          <w:marLeft w:val="640"/>
          <w:marRight w:val="0"/>
          <w:marTop w:val="0"/>
          <w:marBottom w:val="0"/>
          <w:divBdr>
            <w:top w:val="none" w:sz="0" w:space="0" w:color="auto"/>
            <w:left w:val="none" w:sz="0" w:space="0" w:color="auto"/>
            <w:bottom w:val="none" w:sz="0" w:space="0" w:color="auto"/>
            <w:right w:val="none" w:sz="0" w:space="0" w:color="auto"/>
          </w:divBdr>
        </w:div>
        <w:div w:id="133260138">
          <w:marLeft w:val="640"/>
          <w:marRight w:val="0"/>
          <w:marTop w:val="0"/>
          <w:marBottom w:val="0"/>
          <w:divBdr>
            <w:top w:val="none" w:sz="0" w:space="0" w:color="auto"/>
            <w:left w:val="none" w:sz="0" w:space="0" w:color="auto"/>
            <w:bottom w:val="none" w:sz="0" w:space="0" w:color="auto"/>
            <w:right w:val="none" w:sz="0" w:space="0" w:color="auto"/>
          </w:divBdr>
        </w:div>
        <w:div w:id="77988411">
          <w:marLeft w:val="640"/>
          <w:marRight w:val="0"/>
          <w:marTop w:val="0"/>
          <w:marBottom w:val="0"/>
          <w:divBdr>
            <w:top w:val="none" w:sz="0" w:space="0" w:color="auto"/>
            <w:left w:val="none" w:sz="0" w:space="0" w:color="auto"/>
            <w:bottom w:val="none" w:sz="0" w:space="0" w:color="auto"/>
            <w:right w:val="none" w:sz="0" w:space="0" w:color="auto"/>
          </w:divBdr>
        </w:div>
        <w:div w:id="782503477">
          <w:marLeft w:val="640"/>
          <w:marRight w:val="0"/>
          <w:marTop w:val="0"/>
          <w:marBottom w:val="0"/>
          <w:divBdr>
            <w:top w:val="none" w:sz="0" w:space="0" w:color="auto"/>
            <w:left w:val="none" w:sz="0" w:space="0" w:color="auto"/>
            <w:bottom w:val="none" w:sz="0" w:space="0" w:color="auto"/>
            <w:right w:val="none" w:sz="0" w:space="0" w:color="auto"/>
          </w:divBdr>
        </w:div>
        <w:div w:id="1477841080">
          <w:marLeft w:val="640"/>
          <w:marRight w:val="0"/>
          <w:marTop w:val="0"/>
          <w:marBottom w:val="0"/>
          <w:divBdr>
            <w:top w:val="none" w:sz="0" w:space="0" w:color="auto"/>
            <w:left w:val="none" w:sz="0" w:space="0" w:color="auto"/>
            <w:bottom w:val="none" w:sz="0" w:space="0" w:color="auto"/>
            <w:right w:val="none" w:sz="0" w:space="0" w:color="auto"/>
          </w:divBdr>
        </w:div>
        <w:div w:id="1811828024">
          <w:marLeft w:val="640"/>
          <w:marRight w:val="0"/>
          <w:marTop w:val="0"/>
          <w:marBottom w:val="0"/>
          <w:divBdr>
            <w:top w:val="none" w:sz="0" w:space="0" w:color="auto"/>
            <w:left w:val="none" w:sz="0" w:space="0" w:color="auto"/>
            <w:bottom w:val="none" w:sz="0" w:space="0" w:color="auto"/>
            <w:right w:val="none" w:sz="0" w:space="0" w:color="auto"/>
          </w:divBdr>
        </w:div>
        <w:div w:id="2115317053">
          <w:marLeft w:val="640"/>
          <w:marRight w:val="0"/>
          <w:marTop w:val="0"/>
          <w:marBottom w:val="0"/>
          <w:divBdr>
            <w:top w:val="none" w:sz="0" w:space="0" w:color="auto"/>
            <w:left w:val="none" w:sz="0" w:space="0" w:color="auto"/>
            <w:bottom w:val="none" w:sz="0" w:space="0" w:color="auto"/>
            <w:right w:val="none" w:sz="0" w:space="0" w:color="auto"/>
          </w:divBdr>
        </w:div>
        <w:div w:id="405687993">
          <w:marLeft w:val="640"/>
          <w:marRight w:val="0"/>
          <w:marTop w:val="0"/>
          <w:marBottom w:val="0"/>
          <w:divBdr>
            <w:top w:val="none" w:sz="0" w:space="0" w:color="auto"/>
            <w:left w:val="none" w:sz="0" w:space="0" w:color="auto"/>
            <w:bottom w:val="none" w:sz="0" w:space="0" w:color="auto"/>
            <w:right w:val="none" w:sz="0" w:space="0" w:color="auto"/>
          </w:divBdr>
        </w:div>
        <w:div w:id="254557615">
          <w:marLeft w:val="640"/>
          <w:marRight w:val="0"/>
          <w:marTop w:val="0"/>
          <w:marBottom w:val="0"/>
          <w:divBdr>
            <w:top w:val="none" w:sz="0" w:space="0" w:color="auto"/>
            <w:left w:val="none" w:sz="0" w:space="0" w:color="auto"/>
            <w:bottom w:val="none" w:sz="0" w:space="0" w:color="auto"/>
            <w:right w:val="none" w:sz="0" w:space="0" w:color="auto"/>
          </w:divBdr>
        </w:div>
        <w:div w:id="1519347142">
          <w:marLeft w:val="640"/>
          <w:marRight w:val="0"/>
          <w:marTop w:val="0"/>
          <w:marBottom w:val="0"/>
          <w:divBdr>
            <w:top w:val="none" w:sz="0" w:space="0" w:color="auto"/>
            <w:left w:val="none" w:sz="0" w:space="0" w:color="auto"/>
            <w:bottom w:val="none" w:sz="0" w:space="0" w:color="auto"/>
            <w:right w:val="none" w:sz="0" w:space="0" w:color="auto"/>
          </w:divBdr>
        </w:div>
        <w:div w:id="1123769197">
          <w:marLeft w:val="640"/>
          <w:marRight w:val="0"/>
          <w:marTop w:val="0"/>
          <w:marBottom w:val="0"/>
          <w:divBdr>
            <w:top w:val="none" w:sz="0" w:space="0" w:color="auto"/>
            <w:left w:val="none" w:sz="0" w:space="0" w:color="auto"/>
            <w:bottom w:val="none" w:sz="0" w:space="0" w:color="auto"/>
            <w:right w:val="none" w:sz="0" w:space="0" w:color="auto"/>
          </w:divBdr>
        </w:div>
        <w:div w:id="2113088503">
          <w:marLeft w:val="640"/>
          <w:marRight w:val="0"/>
          <w:marTop w:val="0"/>
          <w:marBottom w:val="0"/>
          <w:divBdr>
            <w:top w:val="none" w:sz="0" w:space="0" w:color="auto"/>
            <w:left w:val="none" w:sz="0" w:space="0" w:color="auto"/>
            <w:bottom w:val="none" w:sz="0" w:space="0" w:color="auto"/>
            <w:right w:val="none" w:sz="0" w:space="0" w:color="auto"/>
          </w:divBdr>
        </w:div>
        <w:div w:id="1184512019">
          <w:marLeft w:val="640"/>
          <w:marRight w:val="0"/>
          <w:marTop w:val="0"/>
          <w:marBottom w:val="0"/>
          <w:divBdr>
            <w:top w:val="none" w:sz="0" w:space="0" w:color="auto"/>
            <w:left w:val="none" w:sz="0" w:space="0" w:color="auto"/>
            <w:bottom w:val="none" w:sz="0" w:space="0" w:color="auto"/>
            <w:right w:val="none" w:sz="0" w:space="0" w:color="auto"/>
          </w:divBdr>
        </w:div>
        <w:div w:id="1050567408">
          <w:marLeft w:val="640"/>
          <w:marRight w:val="0"/>
          <w:marTop w:val="0"/>
          <w:marBottom w:val="0"/>
          <w:divBdr>
            <w:top w:val="none" w:sz="0" w:space="0" w:color="auto"/>
            <w:left w:val="none" w:sz="0" w:space="0" w:color="auto"/>
            <w:bottom w:val="none" w:sz="0" w:space="0" w:color="auto"/>
            <w:right w:val="none" w:sz="0" w:space="0" w:color="auto"/>
          </w:divBdr>
        </w:div>
        <w:div w:id="920069739">
          <w:marLeft w:val="640"/>
          <w:marRight w:val="0"/>
          <w:marTop w:val="0"/>
          <w:marBottom w:val="0"/>
          <w:divBdr>
            <w:top w:val="none" w:sz="0" w:space="0" w:color="auto"/>
            <w:left w:val="none" w:sz="0" w:space="0" w:color="auto"/>
            <w:bottom w:val="none" w:sz="0" w:space="0" w:color="auto"/>
            <w:right w:val="none" w:sz="0" w:space="0" w:color="auto"/>
          </w:divBdr>
        </w:div>
        <w:div w:id="1420250157">
          <w:marLeft w:val="640"/>
          <w:marRight w:val="0"/>
          <w:marTop w:val="0"/>
          <w:marBottom w:val="0"/>
          <w:divBdr>
            <w:top w:val="none" w:sz="0" w:space="0" w:color="auto"/>
            <w:left w:val="none" w:sz="0" w:space="0" w:color="auto"/>
            <w:bottom w:val="none" w:sz="0" w:space="0" w:color="auto"/>
            <w:right w:val="none" w:sz="0" w:space="0" w:color="auto"/>
          </w:divBdr>
        </w:div>
        <w:div w:id="1593127959">
          <w:marLeft w:val="640"/>
          <w:marRight w:val="0"/>
          <w:marTop w:val="0"/>
          <w:marBottom w:val="0"/>
          <w:divBdr>
            <w:top w:val="none" w:sz="0" w:space="0" w:color="auto"/>
            <w:left w:val="none" w:sz="0" w:space="0" w:color="auto"/>
            <w:bottom w:val="none" w:sz="0" w:space="0" w:color="auto"/>
            <w:right w:val="none" w:sz="0" w:space="0" w:color="auto"/>
          </w:divBdr>
        </w:div>
        <w:div w:id="792284874">
          <w:marLeft w:val="640"/>
          <w:marRight w:val="0"/>
          <w:marTop w:val="0"/>
          <w:marBottom w:val="0"/>
          <w:divBdr>
            <w:top w:val="none" w:sz="0" w:space="0" w:color="auto"/>
            <w:left w:val="none" w:sz="0" w:space="0" w:color="auto"/>
            <w:bottom w:val="none" w:sz="0" w:space="0" w:color="auto"/>
            <w:right w:val="none" w:sz="0" w:space="0" w:color="auto"/>
          </w:divBdr>
        </w:div>
        <w:div w:id="757168534">
          <w:marLeft w:val="640"/>
          <w:marRight w:val="0"/>
          <w:marTop w:val="0"/>
          <w:marBottom w:val="0"/>
          <w:divBdr>
            <w:top w:val="none" w:sz="0" w:space="0" w:color="auto"/>
            <w:left w:val="none" w:sz="0" w:space="0" w:color="auto"/>
            <w:bottom w:val="none" w:sz="0" w:space="0" w:color="auto"/>
            <w:right w:val="none" w:sz="0" w:space="0" w:color="auto"/>
          </w:divBdr>
        </w:div>
        <w:div w:id="222451066">
          <w:marLeft w:val="640"/>
          <w:marRight w:val="0"/>
          <w:marTop w:val="0"/>
          <w:marBottom w:val="0"/>
          <w:divBdr>
            <w:top w:val="none" w:sz="0" w:space="0" w:color="auto"/>
            <w:left w:val="none" w:sz="0" w:space="0" w:color="auto"/>
            <w:bottom w:val="none" w:sz="0" w:space="0" w:color="auto"/>
            <w:right w:val="none" w:sz="0" w:space="0" w:color="auto"/>
          </w:divBdr>
        </w:div>
        <w:div w:id="530581204">
          <w:marLeft w:val="640"/>
          <w:marRight w:val="0"/>
          <w:marTop w:val="0"/>
          <w:marBottom w:val="0"/>
          <w:divBdr>
            <w:top w:val="none" w:sz="0" w:space="0" w:color="auto"/>
            <w:left w:val="none" w:sz="0" w:space="0" w:color="auto"/>
            <w:bottom w:val="none" w:sz="0" w:space="0" w:color="auto"/>
            <w:right w:val="none" w:sz="0" w:space="0" w:color="auto"/>
          </w:divBdr>
        </w:div>
        <w:div w:id="1055272688">
          <w:marLeft w:val="640"/>
          <w:marRight w:val="0"/>
          <w:marTop w:val="0"/>
          <w:marBottom w:val="0"/>
          <w:divBdr>
            <w:top w:val="none" w:sz="0" w:space="0" w:color="auto"/>
            <w:left w:val="none" w:sz="0" w:space="0" w:color="auto"/>
            <w:bottom w:val="none" w:sz="0" w:space="0" w:color="auto"/>
            <w:right w:val="none" w:sz="0" w:space="0" w:color="auto"/>
          </w:divBdr>
        </w:div>
        <w:div w:id="1181968557">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1521122549">
          <w:marLeft w:val="640"/>
          <w:marRight w:val="0"/>
          <w:marTop w:val="0"/>
          <w:marBottom w:val="0"/>
          <w:divBdr>
            <w:top w:val="none" w:sz="0" w:space="0" w:color="auto"/>
            <w:left w:val="none" w:sz="0" w:space="0" w:color="auto"/>
            <w:bottom w:val="none" w:sz="0" w:space="0" w:color="auto"/>
            <w:right w:val="none" w:sz="0" w:space="0" w:color="auto"/>
          </w:divBdr>
        </w:div>
        <w:div w:id="1848328300">
          <w:marLeft w:val="640"/>
          <w:marRight w:val="0"/>
          <w:marTop w:val="0"/>
          <w:marBottom w:val="0"/>
          <w:divBdr>
            <w:top w:val="none" w:sz="0" w:space="0" w:color="auto"/>
            <w:left w:val="none" w:sz="0" w:space="0" w:color="auto"/>
            <w:bottom w:val="none" w:sz="0" w:space="0" w:color="auto"/>
            <w:right w:val="none" w:sz="0" w:space="0" w:color="auto"/>
          </w:divBdr>
        </w:div>
        <w:div w:id="246351217">
          <w:marLeft w:val="640"/>
          <w:marRight w:val="0"/>
          <w:marTop w:val="0"/>
          <w:marBottom w:val="0"/>
          <w:divBdr>
            <w:top w:val="none" w:sz="0" w:space="0" w:color="auto"/>
            <w:left w:val="none" w:sz="0" w:space="0" w:color="auto"/>
            <w:bottom w:val="none" w:sz="0" w:space="0" w:color="auto"/>
            <w:right w:val="none" w:sz="0" w:space="0" w:color="auto"/>
          </w:divBdr>
        </w:div>
        <w:div w:id="595744924">
          <w:marLeft w:val="640"/>
          <w:marRight w:val="0"/>
          <w:marTop w:val="0"/>
          <w:marBottom w:val="0"/>
          <w:divBdr>
            <w:top w:val="none" w:sz="0" w:space="0" w:color="auto"/>
            <w:left w:val="none" w:sz="0" w:space="0" w:color="auto"/>
            <w:bottom w:val="none" w:sz="0" w:space="0" w:color="auto"/>
            <w:right w:val="none" w:sz="0" w:space="0" w:color="auto"/>
          </w:divBdr>
        </w:div>
        <w:div w:id="1213886328">
          <w:marLeft w:val="640"/>
          <w:marRight w:val="0"/>
          <w:marTop w:val="0"/>
          <w:marBottom w:val="0"/>
          <w:divBdr>
            <w:top w:val="none" w:sz="0" w:space="0" w:color="auto"/>
            <w:left w:val="none" w:sz="0" w:space="0" w:color="auto"/>
            <w:bottom w:val="none" w:sz="0" w:space="0" w:color="auto"/>
            <w:right w:val="none" w:sz="0" w:space="0" w:color="auto"/>
          </w:divBdr>
        </w:div>
        <w:div w:id="132721127">
          <w:marLeft w:val="640"/>
          <w:marRight w:val="0"/>
          <w:marTop w:val="0"/>
          <w:marBottom w:val="0"/>
          <w:divBdr>
            <w:top w:val="none" w:sz="0" w:space="0" w:color="auto"/>
            <w:left w:val="none" w:sz="0" w:space="0" w:color="auto"/>
            <w:bottom w:val="none" w:sz="0" w:space="0" w:color="auto"/>
            <w:right w:val="none" w:sz="0" w:space="0" w:color="auto"/>
          </w:divBdr>
        </w:div>
        <w:div w:id="605623827">
          <w:marLeft w:val="640"/>
          <w:marRight w:val="0"/>
          <w:marTop w:val="0"/>
          <w:marBottom w:val="0"/>
          <w:divBdr>
            <w:top w:val="none" w:sz="0" w:space="0" w:color="auto"/>
            <w:left w:val="none" w:sz="0" w:space="0" w:color="auto"/>
            <w:bottom w:val="none" w:sz="0" w:space="0" w:color="auto"/>
            <w:right w:val="none" w:sz="0" w:space="0" w:color="auto"/>
          </w:divBdr>
        </w:div>
        <w:div w:id="1133408204">
          <w:marLeft w:val="640"/>
          <w:marRight w:val="0"/>
          <w:marTop w:val="0"/>
          <w:marBottom w:val="0"/>
          <w:divBdr>
            <w:top w:val="none" w:sz="0" w:space="0" w:color="auto"/>
            <w:left w:val="none" w:sz="0" w:space="0" w:color="auto"/>
            <w:bottom w:val="none" w:sz="0" w:space="0" w:color="auto"/>
            <w:right w:val="none" w:sz="0" w:space="0" w:color="auto"/>
          </w:divBdr>
        </w:div>
        <w:div w:id="496959801">
          <w:marLeft w:val="640"/>
          <w:marRight w:val="0"/>
          <w:marTop w:val="0"/>
          <w:marBottom w:val="0"/>
          <w:divBdr>
            <w:top w:val="none" w:sz="0" w:space="0" w:color="auto"/>
            <w:left w:val="none" w:sz="0" w:space="0" w:color="auto"/>
            <w:bottom w:val="none" w:sz="0" w:space="0" w:color="auto"/>
            <w:right w:val="none" w:sz="0" w:space="0" w:color="auto"/>
          </w:divBdr>
        </w:div>
        <w:div w:id="1696885053">
          <w:marLeft w:val="640"/>
          <w:marRight w:val="0"/>
          <w:marTop w:val="0"/>
          <w:marBottom w:val="0"/>
          <w:divBdr>
            <w:top w:val="none" w:sz="0" w:space="0" w:color="auto"/>
            <w:left w:val="none" w:sz="0" w:space="0" w:color="auto"/>
            <w:bottom w:val="none" w:sz="0" w:space="0" w:color="auto"/>
            <w:right w:val="none" w:sz="0" w:space="0" w:color="auto"/>
          </w:divBdr>
        </w:div>
        <w:div w:id="2019691345">
          <w:marLeft w:val="640"/>
          <w:marRight w:val="0"/>
          <w:marTop w:val="0"/>
          <w:marBottom w:val="0"/>
          <w:divBdr>
            <w:top w:val="none" w:sz="0" w:space="0" w:color="auto"/>
            <w:left w:val="none" w:sz="0" w:space="0" w:color="auto"/>
            <w:bottom w:val="none" w:sz="0" w:space="0" w:color="auto"/>
            <w:right w:val="none" w:sz="0" w:space="0" w:color="auto"/>
          </w:divBdr>
        </w:div>
        <w:div w:id="1613710285">
          <w:marLeft w:val="640"/>
          <w:marRight w:val="0"/>
          <w:marTop w:val="0"/>
          <w:marBottom w:val="0"/>
          <w:divBdr>
            <w:top w:val="none" w:sz="0" w:space="0" w:color="auto"/>
            <w:left w:val="none" w:sz="0" w:space="0" w:color="auto"/>
            <w:bottom w:val="none" w:sz="0" w:space="0" w:color="auto"/>
            <w:right w:val="none" w:sz="0" w:space="0" w:color="auto"/>
          </w:divBdr>
        </w:div>
        <w:div w:id="1981880747">
          <w:marLeft w:val="640"/>
          <w:marRight w:val="0"/>
          <w:marTop w:val="0"/>
          <w:marBottom w:val="0"/>
          <w:divBdr>
            <w:top w:val="none" w:sz="0" w:space="0" w:color="auto"/>
            <w:left w:val="none" w:sz="0" w:space="0" w:color="auto"/>
            <w:bottom w:val="none" w:sz="0" w:space="0" w:color="auto"/>
            <w:right w:val="none" w:sz="0" w:space="0" w:color="auto"/>
          </w:divBdr>
        </w:div>
        <w:div w:id="840586142">
          <w:marLeft w:val="640"/>
          <w:marRight w:val="0"/>
          <w:marTop w:val="0"/>
          <w:marBottom w:val="0"/>
          <w:divBdr>
            <w:top w:val="none" w:sz="0" w:space="0" w:color="auto"/>
            <w:left w:val="none" w:sz="0" w:space="0" w:color="auto"/>
            <w:bottom w:val="none" w:sz="0" w:space="0" w:color="auto"/>
            <w:right w:val="none" w:sz="0" w:space="0" w:color="auto"/>
          </w:divBdr>
        </w:div>
        <w:div w:id="1978873325">
          <w:marLeft w:val="640"/>
          <w:marRight w:val="0"/>
          <w:marTop w:val="0"/>
          <w:marBottom w:val="0"/>
          <w:divBdr>
            <w:top w:val="none" w:sz="0" w:space="0" w:color="auto"/>
            <w:left w:val="none" w:sz="0" w:space="0" w:color="auto"/>
            <w:bottom w:val="none" w:sz="0" w:space="0" w:color="auto"/>
            <w:right w:val="none" w:sz="0" w:space="0" w:color="auto"/>
          </w:divBdr>
        </w:div>
        <w:div w:id="271978238">
          <w:marLeft w:val="640"/>
          <w:marRight w:val="0"/>
          <w:marTop w:val="0"/>
          <w:marBottom w:val="0"/>
          <w:divBdr>
            <w:top w:val="none" w:sz="0" w:space="0" w:color="auto"/>
            <w:left w:val="none" w:sz="0" w:space="0" w:color="auto"/>
            <w:bottom w:val="none" w:sz="0" w:space="0" w:color="auto"/>
            <w:right w:val="none" w:sz="0" w:space="0" w:color="auto"/>
          </w:divBdr>
        </w:div>
        <w:div w:id="1504929436">
          <w:marLeft w:val="640"/>
          <w:marRight w:val="0"/>
          <w:marTop w:val="0"/>
          <w:marBottom w:val="0"/>
          <w:divBdr>
            <w:top w:val="none" w:sz="0" w:space="0" w:color="auto"/>
            <w:left w:val="none" w:sz="0" w:space="0" w:color="auto"/>
            <w:bottom w:val="none" w:sz="0" w:space="0" w:color="auto"/>
            <w:right w:val="none" w:sz="0" w:space="0" w:color="auto"/>
          </w:divBdr>
        </w:div>
        <w:div w:id="1856113749">
          <w:marLeft w:val="640"/>
          <w:marRight w:val="0"/>
          <w:marTop w:val="0"/>
          <w:marBottom w:val="0"/>
          <w:divBdr>
            <w:top w:val="none" w:sz="0" w:space="0" w:color="auto"/>
            <w:left w:val="none" w:sz="0" w:space="0" w:color="auto"/>
            <w:bottom w:val="none" w:sz="0" w:space="0" w:color="auto"/>
            <w:right w:val="none" w:sz="0" w:space="0" w:color="auto"/>
          </w:divBdr>
        </w:div>
        <w:div w:id="884874126">
          <w:marLeft w:val="640"/>
          <w:marRight w:val="0"/>
          <w:marTop w:val="0"/>
          <w:marBottom w:val="0"/>
          <w:divBdr>
            <w:top w:val="none" w:sz="0" w:space="0" w:color="auto"/>
            <w:left w:val="none" w:sz="0" w:space="0" w:color="auto"/>
            <w:bottom w:val="none" w:sz="0" w:space="0" w:color="auto"/>
            <w:right w:val="none" w:sz="0" w:space="0" w:color="auto"/>
          </w:divBdr>
        </w:div>
        <w:div w:id="2089227917">
          <w:marLeft w:val="640"/>
          <w:marRight w:val="0"/>
          <w:marTop w:val="0"/>
          <w:marBottom w:val="0"/>
          <w:divBdr>
            <w:top w:val="none" w:sz="0" w:space="0" w:color="auto"/>
            <w:left w:val="none" w:sz="0" w:space="0" w:color="auto"/>
            <w:bottom w:val="none" w:sz="0" w:space="0" w:color="auto"/>
            <w:right w:val="none" w:sz="0" w:space="0" w:color="auto"/>
          </w:divBdr>
        </w:div>
        <w:div w:id="1305739614">
          <w:marLeft w:val="640"/>
          <w:marRight w:val="0"/>
          <w:marTop w:val="0"/>
          <w:marBottom w:val="0"/>
          <w:divBdr>
            <w:top w:val="none" w:sz="0" w:space="0" w:color="auto"/>
            <w:left w:val="none" w:sz="0" w:space="0" w:color="auto"/>
            <w:bottom w:val="none" w:sz="0" w:space="0" w:color="auto"/>
            <w:right w:val="none" w:sz="0" w:space="0" w:color="auto"/>
          </w:divBdr>
        </w:div>
        <w:div w:id="473528535">
          <w:marLeft w:val="640"/>
          <w:marRight w:val="0"/>
          <w:marTop w:val="0"/>
          <w:marBottom w:val="0"/>
          <w:divBdr>
            <w:top w:val="none" w:sz="0" w:space="0" w:color="auto"/>
            <w:left w:val="none" w:sz="0" w:space="0" w:color="auto"/>
            <w:bottom w:val="none" w:sz="0" w:space="0" w:color="auto"/>
            <w:right w:val="none" w:sz="0" w:space="0" w:color="auto"/>
          </w:divBdr>
        </w:div>
        <w:div w:id="387729684">
          <w:marLeft w:val="640"/>
          <w:marRight w:val="0"/>
          <w:marTop w:val="0"/>
          <w:marBottom w:val="0"/>
          <w:divBdr>
            <w:top w:val="none" w:sz="0" w:space="0" w:color="auto"/>
            <w:left w:val="none" w:sz="0" w:space="0" w:color="auto"/>
            <w:bottom w:val="none" w:sz="0" w:space="0" w:color="auto"/>
            <w:right w:val="none" w:sz="0" w:space="0" w:color="auto"/>
          </w:divBdr>
        </w:div>
        <w:div w:id="2110812155">
          <w:marLeft w:val="640"/>
          <w:marRight w:val="0"/>
          <w:marTop w:val="0"/>
          <w:marBottom w:val="0"/>
          <w:divBdr>
            <w:top w:val="none" w:sz="0" w:space="0" w:color="auto"/>
            <w:left w:val="none" w:sz="0" w:space="0" w:color="auto"/>
            <w:bottom w:val="none" w:sz="0" w:space="0" w:color="auto"/>
            <w:right w:val="none" w:sz="0" w:space="0" w:color="auto"/>
          </w:divBdr>
        </w:div>
        <w:div w:id="1322320058">
          <w:marLeft w:val="640"/>
          <w:marRight w:val="0"/>
          <w:marTop w:val="0"/>
          <w:marBottom w:val="0"/>
          <w:divBdr>
            <w:top w:val="none" w:sz="0" w:space="0" w:color="auto"/>
            <w:left w:val="none" w:sz="0" w:space="0" w:color="auto"/>
            <w:bottom w:val="none" w:sz="0" w:space="0" w:color="auto"/>
            <w:right w:val="none" w:sz="0" w:space="0" w:color="auto"/>
          </w:divBdr>
        </w:div>
        <w:div w:id="1918516014">
          <w:marLeft w:val="640"/>
          <w:marRight w:val="0"/>
          <w:marTop w:val="0"/>
          <w:marBottom w:val="0"/>
          <w:divBdr>
            <w:top w:val="none" w:sz="0" w:space="0" w:color="auto"/>
            <w:left w:val="none" w:sz="0" w:space="0" w:color="auto"/>
            <w:bottom w:val="none" w:sz="0" w:space="0" w:color="auto"/>
            <w:right w:val="none" w:sz="0" w:space="0" w:color="auto"/>
          </w:divBdr>
        </w:div>
        <w:div w:id="74476390">
          <w:marLeft w:val="640"/>
          <w:marRight w:val="0"/>
          <w:marTop w:val="0"/>
          <w:marBottom w:val="0"/>
          <w:divBdr>
            <w:top w:val="none" w:sz="0" w:space="0" w:color="auto"/>
            <w:left w:val="none" w:sz="0" w:space="0" w:color="auto"/>
            <w:bottom w:val="none" w:sz="0" w:space="0" w:color="auto"/>
            <w:right w:val="none" w:sz="0" w:space="0" w:color="auto"/>
          </w:divBdr>
        </w:div>
        <w:div w:id="1912736443">
          <w:marLeft w:val="640"/>
          <w:marRight w:val="0"/>
          <w:marTop w:val="0"/>
          <w:marBottom w:val="0"/>
          <w:divBdr>
            <w:top w:val="none" w:sz="0" w:space="0" w:color="auto"/>
            <w:left w:val="none" w:sz="0" w:space="0" w:color="auto"/>
            <w:bottom w:val="none" w:sz="0" w:space="0" w:color="auto"/>
            <w:right w:val="none" w:sz="0" w:space="0" w:color="auto"/>
          </w:divBdr>
        </w:div>
        <w:div w:id="1272323525">
          <w:marLeft w:val="640"/>
          <w:marRight w:val="0"/>
          <w:marTop w:val="0"/>
          <w:marBottom w:val="0"/>
          <w:divBdr>
            <w:top w:val="none" w:sz="0" w:space="0" w:color="auto"/>
            <w:left w:val="none" w:sz="0" w:space="0" w:color="auto"/>
            <w:bottom w:val="none" w:sz="0" w:space="0" w:color="auto"/>
            <w:right w:val="none" w:sz="0" w:space="0" w:color="auto"/>
          </w:divBdr>
        </w:div>
        <w:div w:id="1204752093">
          <w:marLeft w:val="640"/>
          <w:marRight w:val="0"/>
          <w:marTop w:val="0"/>
          <w:marBottom w:val="0"/>
          <w:divBdr>
            <w:top w:val="none" w:sz="0" w:space="0" w:color="auto"/>
            <w:left w:val="none" w:sz="0" w:space="0" w:color="auto"/>
            <w:bottom w:val="none" w:sz="0" w:space="0" w:color="auto"/>
            <w:right w:val="none" w:sz="0" w:space="0" w:color="auto"/>
          </w:divBdr>
        </w:div>
        <w:div w:id="1118645165">
          <w:marLeft w:val="640"/>
          <w:marRight w:val="0"/>
          <w:marTop w:val="0"/>
          <w:marBottom w:val="0"/>
          <w:divBdr>
            <w:top w:val="none" w:sz="0" w:space="0" w:color="auto"/>
            <w:left w:val="none" w:sz="0" w:space="0" w:color="auto"/>
            <w:bottom w:val="none" w:sz="0" w:space="0" w:color="auto"/>
            <w:right w:val="none" w:sz="0" w:space="0" w:color="auto"/>
          </w:divBdr>
        </w:div>
        <w:div w:id="1446579827">
          <w:marLeft w:val="640"/>
          <w:marRight w:val="0"/>
          <w:marTop w:val="0"/>
          <w:marBottom w:val="0"/>
          <w:divBdr>
            <w:top w:val="none" w:sz="0" w:space="0" w:color="auto"/>
            <w:left w:val="none" w:sz="0" w:space="0" w:color="auto"/>
            <w:bottom w:val="none" w:sz="0" w:space="0" w:color="auto"/>
            <w:right w:val="none" w:sz="0" w:space="0" w:color="auto"/>
          </w:divBdr>
        </w:div>
        <w:div w:id="1895703335">
          <w:marLeft w:val="640"/>
          <w:marRight w:val="0"/>
          <w:marTop w:val="0"/>
          <w:marBottom w:val="0"/>
          <w:divBdr>
            <w:top w:val="none" w:sz="0" w:space="0" w:color="auto"/>
            <w:left w:val="none" w:sz="0" w:space="0" w:color="auto"/>
            <w:bottom w:val="none" w:sz="0" w:space="0" w:color="auto"/>
            <w:right w:val="none" w:sz="0" w:space="0" w:color="auto"/>
          </w:divBdr>
        </w:div>
        <w:div w:id="379329376">
          <w:marLeft w:val="640"/>
          <w:marRight w:val="0"/>
          <w:marTop w:val="0"/>
          <w:marBottom w:val="0"/>
          <w:divBdr>
            <w:top w:val="none" w:sz="0" w:space="0" w:color="auto"/>
            <w:left w:val="none" w:sz="0" w:space="0" w:color="auto"/>
            <w:bottom w:val="none" w:sz="0" w:space="0" w:color="auto"/>
            <w:right w:val="none" w:sz="0" w:space="0" w:color="auto"/>
          </w:divBdr>
        </w:div>
        <w:div w:id="1996832393">
          <w:marLeft w:val="640"/>
          <w:marRight w:val="0"/>
          <w:marTop w:val="0"/>
          <w:marBottom w:val="0"/>
          <w:divBdr>
            <w:top w:val="none" w:sz="0" w:space="0" w:color="auto"/>
            <w:left w:val="none" w:sz="0" w:space="0" w:color="auto"/>
            <w:bottom w:val="none" w:sz="0" w:space="0" w:color="auto"/>
            <w:right w:val="none" w:sz="0" w:space="0" w:color="auto"/>
          </w:divBdr>
        </w:div>
        <w:div w:id="774863177">
          <w:marLeft w:val="640"/>
          <w:marRight w:val="0"/>
          <w:marTop w:val="0"/>
          <w:marBottom w:val="0"/>
          <w:divBdr>
            <w:top w:val="none" w:sz="0" w:space="0" w:color="auto"/>
            <w:left w:val="none" w:sz="0" w:space="0" w:color="auto"/>
            <w:bottom w:val="none" w:sz="0" w:space="0" w:color="auto"/>
            <w:right w:val="none" w:sz="0" w:space="0" w:color="auto"/>
          </w:divBdr>
        </w:div>
        <w:div w:id="1944335346">
          <w:marLeft w:val="640"/>
          <w:marRight w:val="0"/>
          <w:marTop w:val="0"/>
          <w:marBottom w:val="0"/>
          <w:divBdr>
            <w:top w:val="none" w:sz="0" w:space="0" w:color="auto"/>
            <w:left w:val="none" w:sz="0" w:space="0" w:color="auto"/>
            <w:bottom w:val="none" w:sz="0" w:space="0" w:color="auto"/>
            <w:right w:val="none" w:sz="0" w:space="0" w:color="auto"/>
          </w:divBdr>
        </w:div>
        <w:div w:id="2114007880">
          <w:marLeft w:val="640"/>
          <w:marRight w:val="0"/>
          <w:marTop w:val="0"/>
          <w:marBottom w:val="0"/>
          <w:divBdr>
            <w:top w:val="none" w:sz="0" w:space="0" w:color="auto"/>
            <w:left w:val="none" w:sz="0" w:space="0" w:color="auto"/>
            <w:bottom w:val="none" w:sz="0" w:space="0" w:color="auto"/>
            <w:right w:val="none" w:sz="0" w:space="0" w:color="auto"/>
          </w:divBdr>
        </w:div>
        <w:div w:id="635649743">
          <w:marLeft w:val="640"/>
          <w:marRight w:val="0"/>
          <w:marTop w:val="0"/>
          <w:marBottom w:val="0"/>
          <w:divBdr>
            <w:top w:val="none" w:sz="0" w:space="0" w:color="auto"/>
            <w:left w:val="none" w:sz="0" w:space="0" w:color="auto"/>
            <w:bottom w:val="none" w:sz="0" w:space="0" w:color="auto"/>
            <w:right w:val="none" w:sz="0" w:space="0" w:color="auto"/>
          </w:divBdr>
        </w:div>
        <w:div w:id="1110513974">
          <w:marLeft w:val="640"/>
          <w:marRight w:val="0"/>
          <w:marTop w:val="0"/>
          <w:marBottom w:val="0"/>
          <w:divBdr>
            <w:top w:val="none" w:sz="0" w:space="0" w:color="auto"/>
            <w:left w:val="none" w:sz="0" w:space="0" w:color="auto"/>
            <w:bottom w:val="none" w:sz="0" w:space="0" w:color="auto"/>
            <w:right w:val="none" w:sz="0" w:space="0" w:color="auto"/>
          </w:divBdr>
        </w:div>
        <w:div w:id="376588367">
          <w:marLeft w:val="640"/>
          <w:marRight w:val="0"/>
          <w:marTop w:val="0"/>
          <w:marBottom w:val="0"/>
          <w:divBdr>
            <w:top w:val="none" w:sz="0" w:space="0" w:color="auto"/>
            <w:left w:val="none" w:sz="0" w:space="0" w:color="auto"/>
            <w:bottom w:val="none" w:sz="0" w:space="0" w:color="auto"/>
            <w:right w:val="none" w:sz="0" w:space="0" w:color="auto"/>
          </w:divBdr>
        </w:div>
        <w:div w:id="690490330">
          <w:marLeft w:val="640"/>
          <w:marRight w:val="0"/>
          <w:marTop w:val="0"/>
          <w:marBottom w:val="0"/>
          <w:divBdr>
            <w:top w:val="none" w:sz="0" w:space="0" w:color="auto"/>
            <w:left w:val="none" w:sz="0" w:space="0" w:color="auto"/>
            <w:bottom w:val="none" w:sz="0" w:space="0" w:color="auto"/>
            <w:right w:val="none" w:sz="0" w:space="0" w:color="auto"/>
          </w:divBdr>
        </w:div>
        <w:div w:id="1773738588">
          <w:marLeft w:val="640"/>
          <w:marRight w:val="0"/>
          <w:marTop w:val="0"/>
          <w:marBottom w:val="0"/>
          <w:divBdr>
            <w:top w:val="none" w:sz="0" w:space="0" w:color="auto"/>
            <w:left w:val="none" w:sz="0" w:space="0" w:color="auto"/>
            <w:bottom w:val="none" w:sz="0" w:space="0" w:color="auto"/>
            <w:right w:val="none" w:sz="0" w:space="0" w:color="auto"/>
          </w:divBdr>
        </w:div>
        <w:div w:id="1880363183">
          <w:marLeft w:val="640"/>
          <w:marRight w:val="0"/>
          <w:marTop w:val="0"/>
          <w:marBottom w:val="0"/>
          <w:divBdr>
            <w:top w:val="none" w:sz="0" w:space="0" w:color="auto"/>
            <w:left w:val="none" w:sz="0" w:space="0" w:color="auto"/>
            <w:bottom w:val="none" w:sz="0" w:space="0" w:color="auto"/>
            <w:right w:val="none" w:sz="0" w:space="0" w:color="auto"/>
          </w:divBdr>
        </w:div>
        <w:div w:id="1297565674">
          <w:marLeft w:val="640"/>
          <w:marRight w:val="0"/>
          <w:marTop w:val="0"/>
          <w:marBottom w:val="0"/>
          <w:divBdr>
            <w:top w:val="none" w:sz="0" w:space="0" w:color="auto"/>
            <w:left w:val="none" w:sz="0" w:space="0" w:color="auto"/>
            <w:bottom w:val="none" w:sz="0" w:space="0" w:color="auto"/>
            <w:right w:val="none" w:sz="0" w:space="0" w:color="auto"/>
          </w:divBdr>
        </w:div>
        <w:div w:id="1399476412">
          <w:marLeft w:val="640"/>
          <w:marRight w:val="0"/>
          <w:marTop w:val="0"/>
          <w:marBottom w:val="0"/>
          <w:divBdr>
            <w:top w:val="none" w:sz="0" w:space="0" w:color="auto"/>
            <w:left w:val="none" w:sz="0" w:space="0" w:color="auto"/>
            <w:bottom w:val="none" w:sz="0" w:space="0" w:color="auto"/>
            <w:right w:val="none" w:sz="0" w:space="0" w:color="auto"/>
          </w:divBdr>
        </w:div>
        <w:div w:id="620234447">
          <w:marLeft w:val="640"/>
          <w:marRight w:val="0"/>
          <w:marTop w:val="0"/>
          <w:marBottom w:val="0"/>
          <w:divBdr>
            <w:top w:val="none" w:sz="0" w:space="0" w:color="auto"/>
            <w:left w:val="none" w:sz="0" w:space="0" w:color="auto"/>
            <w:bottom w:val="none" w:sz="0" w:space="0" w:color="auto"/>
            <w:right w:val="none" w:sz="0" w:space="0" w:color="auto"/>
          </w:divBdr>
        </w:div>
        <w:div w:id="577904376">
          <w:marLeft w:val="640"/>
          <w:marRight w:val="0"/>
          <w:marTop w:val="0"/>
          <w:marBottom w:val="0"/>
          <w:divBdr>
            <w:top w:val="none" w:sz="0" w:space="0" w:color="auto"/>
            <w:left w:val="none" w:sz="0" w:space="0" w:color="auto"/>
            <w:bottom w:val="none" w:sz="0" w:space="0" w:color="auto"/>
            <w:right w:val="none" w:sz="0" w:space="0" w:color="auto"/>
          </w:divBdr>
        </w:div>
        <w:div w:id="761219335">
          <w:marLeft w:val="640"/>
          <w:marRight w:val="0"/>
          <w:marTop w:val="0"/>
          <w:marBottom w:val="0"/>
          <w:divBdr>
            <w:top w:val="none" w:sz="0" w:space="0" w:color="auto"/>
            <w:left w:val="none" w:sz="0" w:space="0" w:color="auto"/>
            <w:bottom w:val="none" w:sz="0" w:space="0" w:color="auto"/>
            <w:right w:val="none" w:sz="0" w:space="0" w:color="auto"/>
          </w:divBdr>
        </w:div>
        <w:div w:id="1755055242">
          <w:marLeft w:val="640"/>
          <w:marRight w:val="0"/>
          <w:marTop w:val="0"/>
          <w:marBottom w:val="0"/>
          <w:divBdr>
            <w:top w:val="none" w:sz="0" w:space="0" w:color="auto"/>
            <w:left w:val="none" w:sz="0" w:space="0" w:color="auto"/>
            <w:bottom w:val="none" w:sz="0" w:space="0" w:color="auto"/>
            <w:right w:val="none" w:sz="0" w:space="0" w:color="auto"/>
          </w:divBdr>
        </w:div>
        <w:div w:id="1081442106">
          <w:marLeft w:val="640"/>
          <w:marRight w:val="0"/>
          <w:marTop w:val="0"/>
          <w:marBottom w:val="0"/>
          <w:divBdr>
            <w:top w:val="none" w:sz="0" w:space="0" w:color="auto"/>
            <w:left w:val="none" w:sz="0" w:space="0" w:color="auto"/>
            <w:bottom w:val="none" w:sz="0" w:space="0" w:color="auto"/>
            <w:right w:val="none" w:sz="0" w:space="0" w:color="auto"/>
          </w:divBdr>
        </w:div>
        <w:div w:id="653068231">
          <w:marLeft w:val="640"/>
          <w:marRight w:val="0"/>
          <w:marTop w:val="0"/>
          <w:marBottom w:val="0"/>
          <w:divBdr>
            <w:top w:val="none" w:sz="0" w:space="0" w:color="auto"/>
            <w:left w:val="none" w:sz="0" w:space="0" w:color="auto"/>
            <w:bottom w:val="none" w:sz="0" w:space="0" w:color="auto"/>
            <w:right w:val="none" w:sz="0" w:space="0" w:color="auto"/>
          </w:divBdr>
        </w:div>
        <w:div w:id="789319604">
          <w:marLeft w:val="640"/>
          <w:marRight w:val="0"/>
          <w:marTop w:val="0"/>
          <w:marBottom w:val="0"/>
          <w:divBdr>
            <w:top w:val="none" w:sz="0" w:space="0" w:color="auto"/>
            <w:left w:val="none" w:sz="0" w:space="0" w:color="auto"/>
            <w:bottom w:val="none" w:sz="0" w:space="0" w:color="auto"/>
            <w:right w:val="none" w:sz="0" w:space="0" w:color="auto"/>
          </w:divBdr>
        </w:div>
        <w:div w:id="828209758">
          <w:marLeft w:val="640"/>
          <w:marRight w:val="0"/>
          <w:marTop w:val="0"/>
          <w:marBottom w:val="0"/>
          <w:divBdr>
            <w:top w:val="none" w:sz="0" w:space="0" w:color="auto"/>
            <w:left w:val="none" w:sz="0" w:space="0" w:color="auto"/>
            <w:bottom w:val="none" w:sz="0" w:space="0" w:color="auto"/>
            <w:right w:val="none" w:sz="0" w:space="0" w:color="auto"/>
          </w:divBdr>
        </w:div>
        <w:div w:id="89670562">
          <w:marLeft w:val="640"/>
          <w:marRight w:val="0"/>
          <w:marTop w:val="0"/>
          <w:marBottom w:val="0"/>
          <w:divBdr>
            <w:top w:val="none" w:sz="0" w:space="0" w:color="auto"/>
            <w:left w:val="none" w:sz="0" w:space="0" w:color="auto"/>
            <w:bottom w:val="none" w:sz="0" w:space="0" w:color="auto"/>
            <w:right w:val="none" w:sz="0" w:space="0" w:color="auto"/>
          </w:divBdr>
        </w:div>
        <w:div w:id="1681657069">
          <w:marLeft w:val="640"/>
          <w:marRight w:val="0"/>
          <w:marTop w:val="0"/>
          <w:marBottom w:val="0"/>
          <w:divBdr>
            <w:top w:val="none" w:sz="0" w:space="0" w:color="auto"/>
            <w:left w:val="none" w:sz="0" w:space="0" w:color="auto"/>
            <w:bottom w:val="none" w:sz="0" w:space="0" w:color="auto"/>
            <w:right w:val="none" w:sz="0" w:space="0" w:color="auto"/>
          </w:divBdr>
        </w:div>
        <w:div w:id="91365466">
          <w:marLeft w:val="640"/>
          <w:marRight w:val="0"/>
          <w:marTop w:val="0"/>
          <w:marBottom w:val="0"/>
          <w:divBdr>
            <w:top w:val="none" w:sz="0" w:space="0" w:color="auto"/>
            <w:left w:val="none" w:sz="0" w:space="0" w:color="auto"/>
            <w:bottom w:val="none" w:sz="0" w:space="0" w:color="auto"/>
            <w:right w:val="none" w:sz="0" w:space="0" w:color="auto"/>
          </w:divBdr>
        </w:div>
        <w:div w:id="189152670">
          <w:marLeft w:val="640"/>
          <w:marRight w:val="0"/>
          <w:marTop w:val="0"/>
          <w:marBottom w:val="0"/>
          <w:divBdr>
            <w:top w:val="none" w:sz="0" w:space="0" w:color="auto"/>
            <w:left w:val="none" w:sz="0" w:space="0" w:color="auto"/>
            <w:bottom w:val="none" w:sz="0" w:space="0" w:color="auto"/>
            <w:right w:val="none" w:sz="0" w:space="0" w:color="auto"/>
          </w:divBdr>
        </w:div>
        <w:div w:id="271597167">
          <w:marLeft w:val="640"/>
          <w:marRight w:val="0"/>
          <w:marTop w:val="0"/>
          <w:marBottom w:val="0"/>
          <w:divBdr>
            <w:top w:val="none" w:sz="0" w:space="0" w:color="auto"/>
            <w:left w:val="none" w:sz="0" w:space="0" w:color="auto"/>
            <w:bottom w:val="none" w:sz="0" w:space="0" w:color="auto"/>
            <w:right w:val="none" w:sz="0" w:space="0" w:color="auto"/>
          </w:divBdr>
        </w:div>
        <w:div w:id="1184324032">
          <w:marLeft w:val="640"/>
          <w:marRight w:val="0"/>
          <w:marTop w:val="0"/>
          <w:marBottom w:val="0"/>
          <w:divBdr>
            <w:top w:val="none" w:sz="0" w:space="0" w:color="auto"/>
            <w:left w:val="none" w:sz="0" w:space="0" w:color="auto"/>
            <w:bottom w:val="none" w:sz="0" w:space="0" w:color="auto"/>
            <w:right w:val="none" w:sz="0" w:space="0" w:color="auto"/>
          </w:divBdr>
        </w:div>
        <w:div w:id="1842312528">
          <w:marLeft w:val="640"/>
          <w:marRight w:val="0"/>
          <w:marTop w:val="0"/>
          <w:marBottom w:val="0"/>
          <w:divBdr>
            <w:top w:val="none" w:sz="0" w:space="0" w:color="auto"/>
            <w:left w:val="none" w:sz="0" w:space="0" w:color="auto"/>
            <w:bottom w:val="none" w:sz="0" w:space="0" w:color="auto"/>
            <w:right w:val="none" w:sz="0" w:space="0" w:color="auto"/>
          </w:divBdr>
        </w:div>
        <w:div w:id="536115618">
          <w:marLeft w:val="640"/>
          <w:marRight w:val="0"/>
          <w:marTop w:val="0"/>
          <w:marBottom w:val="0"/>
          <w:divBdr>
            <w:top w:val="none" w:sz="0" w:space="0" w:color="auto"/>
            <w:left w:val="none" w:sz="0" w:space="0" w:color="auto"/>
            <w:bottom w:val="none" w:sz="0" w:space="0" w:color="auto"/>
            <w:right w:val="none" w:sz="0" w:space="0" w:color="auto"/>
          </w:divBdr>
        </w:div>
        <w:div w:id="1311863229">
          <w:marLeft w:val="640"/>
          <w:marRight w:val="0"/>
          <w:marTop w:val="0"/>
          <w:marBottom w:val="0"/>
          <w:divBdr>
            <w:top w:val="none" w:sz="0" w:space="0" w:color="auto"/>
            <w:left w:val="none" w:sz="0" w:space="0" w:color="auto"/>
            <w:bottom w:val="none" w:sz="0" w:space="0" w:color="auto"/>
            <w:right w:val="none" w:sz="0" w:space="0" w:color="auto"/>
          </w:divBdr>
        </w:div>
        <w:div w:id="1844975000">
          <w:marLeft w:val="640"/>
          <w:marRight w:val="0"/>
          <w:marTop w:val="0"/>
          <w:marBottom w:val="0"/>
          <w:divBdr>
            <w:top w:val="none" w:sz="0" w:space="0" w:color="auto"/>
            <w:left w:val="none" w:sz="0" w:space="0" w:color="auto"/>
            <w:bottom w:val="none" w:sz="0" w:space="0" w:color="auto"/>
            <w:right w:val="none" w:sz="0" w:space="0" w:color="auto"/>
          </w:divBdr>
        </w:div>
        <w:div w:id="498539956">
          <w:marLeft w:val="640"/>
          <w:marRight w:val="0"/>
          <w:marTop w:val="0"/>
          <w:marBottom w:val="0"/>
          <w:divBdr>
            <w:top w:val="none" w:sz="0" w:space="0" w:color="auto"/>
            <w:left w:val="none" w:sz="0" w:space="0" w:color="auto"/>
            <w:bottom w:val="none" w:sz="0" w:space="0" w:color="auto"/>
            <w:right w:val="none" w:sz="0" w:space="0" w:color="auto"/>
          </w:divBdr>
        </w:div>
        <w:div w:id="1554386753">
          <w:marLeft w:val="640"/>
          <w:marRight w:val="0"/>
          <w:marTop w:val="0"/>
          <w:marBottom w:val="0"/>
          <w:divBdr>
            <w:top w:val="none" w:sz="0" w:space="0" w:color="auto"/>
            <w:left w:val="none" w:sz="0" w:space="0" w:color="auto"/>
            <w:bottom w:val="none" w:sz="0" w:space="0" w:color="auto"/>
            <w:right w:val="none" w:sz="0" w:space="0" w:color="auto"/>
          </w:divBdr>
        </w:div>
        <w:div w:id="680009816">
          <w:marLeft w:val="640"/>
          <w:marRight w:val="0"/>
          <w:marTop w:val="0"/>
          <w:marBottom w:val="0"/>
          <w:divBdr>
            <w:top w:val="none" w:sz="0" w:space="0" w:color="auto"/>
            <w:left w:val="none" w:sz="0" w:space="0" w:color="auto"/>
            <w:bottom w:val="none" w:sz="0" w:space="0" w:color="auto"/>
            <w:right w:val="none" w:sz="0" w:space="0" w:color="auto"/>
          </w:divBdr>
        </w:div>
        <w:div w:id="986470177">
          <w:marLeft w:val="640"/>
          <w:marRight w:val="0"/>
          <w:marTop w:val="0"/>
          <w:marBottom w:val="0"/>
          <w:divBdr>
            <w:top w:val="none" w:sz="0" w:space="0" w:color="auto"/>
            <w:left w:val="none" w:sz="0" w:space="0" w:color="auto"/>
            <w:bottom w:val="none" w:sz="0" w:space="0" w:color="auto"/>
            <w:right w:val="none" w:sz="0" w:space="0" w:color="auto"/>
          </w:divBdr>
        </w:div>
        <w:div w:id="886650397">
          <w:marLeft w:val="640"/>
          <w:marRight w:val="0"/>
          <w:marTop w:val="0"/>
          <w:marBottom w:val="0"/>
          <w:divBdr>
            <w:top w:val="none" w:sz="0" w:space="0" w:color="auto"/>
            <w:left w:val="none" w:sz="0" w:space="0" w:color="auto"/>
            <w:bottom w:val="none" w:sz="0" w:space="0" w:color="auto"/>
            <w:right w:val="none" w:sz="0" w:space="0" w:color="auto"/>
          </w:divBdr>
        </w:div>
        <w:div w:id="820199080">
          <w:marLeft w:val="640"/>
          <w:marRight w:val="0"/>
          <w:marTop w:val="0"/>
          <w:marBottom w:val="0"/>
          <w:divBdr>
            <w:top w:val="none" w:sz="0" w:space="0" w:color="auto"/>
            <w:left w:val="none" w:sz="0" w:space="0" w:color="auto"/>
            <w:bottom w:val="none" w:sz="0" w:space="0" w:color="auto"/>
            <w:right w:val="none" w:sz="0" w:space="0" w:color="auto"/>
          </w:divBdr>
        </w:div>
        <w:div w:id="1740514206">
          <w:marLeft w:val="640"/>
          <w:marRight w:val="0"/>
          <w:marTop w:val="0"/>
          <w:marBottom w:val="0"/>
          <w:divBdr>
            <w:top w:val="none" w:sz="0" w:space="0" w:color="auto"/>
            <w:left w:val="none" w:sz="0" w:space="0" w:color="auto"/>
            <w:bottom w:val="none" w:sz="0" w:space="0" w:color="auto"/>
            <w:right w:val="none" w:sz="0" w:space="0" w:color="auto"/>
          </w:divBdr>
        </w:div>
        <w:div w:id="1576159860">
          <w:marLeft w:val="640"/>
          <w:marRight w:val="0"/>
          <w:marTop w:val="0"/>
          <w:marBottom w:val="0"/>
          <w:divBdr>
            <w:top w:val="none" w:sz="0" w:space="0" w:color="auto"/>
            <w:left w:val="none" w:sz="0" w:space="0" w:color="auto"/>
            <w:bottom w:val="none" w:sz="0" w:space="0" w:color="auto"/>
            <w:right w:val="none" w:sz="0" w:space="0" w:color="auto"/>
          </w:divBdr>
        </w:div>
        <w:div w:id="160127547">
          <w:marLeft w:val="640"/>
          <w:marRight w:val="0"/>
          <w:marTop w:val="0"/>
          <w:marBottom w:val="0"/>
          <w:divBdr>
            <w:top w:val="none" w:sz="0" w:space="0" w:color="auto"/>
            <w:left w:val="none" w:sz="0" w:space="0" w:color="auto"/>
            <w:bottom w:val="none" w:sz="0" w:space="0" w:color="auto"/>
            <w:right w:val="none" w:sz="0" w:space="0" w:color="auto"/>
          </w:divBdr>
        </w:div>
        <w:div w:id="875508540">
          <w:marLeft w:val="640"/>
          <w:marRight w:val="0"/>
          <w:marTop w:val="0"/>
          <w:marBottom w:val="0"/>
          <w:divBdr>
            <w:top w:val="none" w:sz="0" w:space="0" w:color="auto"/>
            <w:left w:val="none" w:sz="0" w:space="0" w:color="auto"/>
            <w:bottom w:val="none" w:sz="0" w:space="0" w:color="auto"/>
            <w:right w:val="none" w:sz="0" w:space="0" w:color="auto"/>
          </w:divBdr>
        </w:div>
        <w:div w:id="73624860">
          <w:marLeft w:val="640"/>
          <w:marRight w:val="0"/>
          <w:marTop w:val="0"/>
          <w:marBottom w:val="0"/>
          <w:divBdr>
            <w:top w:val="none" w:sz="0" w:space="0" w:color="auto"/>
            <w:left w:val="none" w:sz="0" w:space="0" w:color="auto"/>
            <w:bottom w:val="none" w:sz="0" w:space="0" w:color="auto"/>
            <w:right w:val="none" w:sz="0" w:space="0" w:color="auto"/>
          </w:divBdr>
        </w:div>
        <w:div w:id="1836921571">
          <w:marLeft w:val="640"/>
          <w:marRight w:val="0"/>
          <w:marTop w:val="0"/>
          <w:marBottom w:val="0"/>
          <w:divBdr>
            <w:top w:val="none" w:sz="0" w:space="0" w:color="auto"/>
            <w:left w:val="none" w:sz="0" w:space="0" w:color="auto"/>
            <w:bottom w:val="none" w:sz="0" w:space="0" w:color="auto"/>
            <w:right w:val="none" w:sz="0" w:space="0" w:color="auto"/>
          </w:divBdr>
        </w:div>
        <w:div w:id="1740325936">
          <w:marLeft w:val="640"/>
          <w:marRight w:val="0"/>
          <w:marTop w:val="0"/>
          <w:marBottom w:val="0"/>
          <w:divBdr>
            <w:top w:val="none" w:sz="0" w:space="0" w:color="auto"/>
            <w:left w:val="none" w:sz="0" w:space="0" w:color="auto"/>
            <w:bottom w:val="none" w:sz="0" w:space="0" w:color="auto"/>
            <w:right w:val="none" w:sz="0" w:space="0" w:color="auto"/>
          </w:divBdr>
        </w:div>
        <w:div w:id="1385522732">
          <w:marLeft w:val="640"/>
          <w:marRight w:val="0"/>
          <w:marTop w:val="0"/>
          <w:marBottom w:val="0"/>
          <w:divBdr>
            <w:top w:val="none" w:sz="0" w:space="0" w:color="auto"/>
            <w:left w:val="none" w:sz="0" w:space="0" w:color="auto"/>
            <w:bottom w:val="none" w:sz="0" w:space="0" w:color="auto"/>
            <w:right w:val="none" w:sz="0" w:space="0" w:color="auto"/>
          </w:divBdr>
        </w:div>
        <w:div w:id="1026711883">
          <w:marLeft w:val="640"/>
          <w:marRight w:val="0"/>
          <w:marTop w:val="0"/>
          <w:marBottom w:val="0"/>
          <w:divBdr>
            <w:top w:val="none" w:sz="0" w:space="0" w:color="auto"/>
            <w:left w:val="none" w:sz="0" w:space="0" w:color="auto"/>
            <w:bottom w:val="none" w:sz="0" w:space="0" w:color="auto"/>
            <w:right w:val="none" w:sz="0" w:space="0" w:color="auto"/>
          </w:divBdr>
        </w:div>
        <w:div w:id="387338509">
          <w:marLeft w:val="640"/>
          <w:marRight w:val="0"/>
          <w:marTop w:val="0"/>
          <w:marBottom w:val="0"/>
          <w:divBdr>
            <w:top w:val="none" w:sz="0" w:space="0" w:color="auto"/>
            <w:left w:val="none" w:sz="0" w:space="0" w:color="auto"/>
            <w:bottom w:val="none" w:sz="0" w:space="0" w:color="auto"/>
            <w:right w:val="none" w:sz="0" w:space="0" w:color="auto"/>
          </w:divBdr>
        </w:div>
        <w:div w:id="1054427928">
          <w:marLeft w:val="640"/>
          <w:marRight w:val="0"/>
          <w:marTop w:val="0"/>
          <w:marBottom w:val="0"/>
          <w:divBdr>
            <w:top w:val="none" w:sz="0" w:space="0" w:color="auto"/>
            <w:left w:val="none" w:sz="0" w:space="0" w:color="auto"/>
            <w:bottom w:val="none" w:sz="0" w:space="0" w:color="auto"/>
            <w:right w:val="none" w:sz="0" w:space="0" w:color="auto"/>
          </w:divBdr>
        </w:div>
        <w:div w:id="1987659618">
          <w:marLeft w:val="640"/>
          <w:marRight w:val="0"/>
          <w:marTop w:val="0"/>
          <w:marBottom w:val="0"/>
          <w:divBdr>
            <w:top w:val="none" w:sz="0" w:space="0" w:color="auto"/>
            <w:left w:val="none" w:sz="0" w:space="0" w:color="auto"/>
            <w:bottom w:val="none" w:sz="0" w:space="0" w:color="auto"/>
            <w:right w:val="none" w:sz="0" w:space="0" w:color="auto"/>
          </w:divBdr>
        </w:div>
        <w:div w:id="815145664">
          <w:marLeft w:val="640"/>
          <w:marRight w:val="0"/>
          <w:marTop w:val="0"/>
          <w:marBottom w:val="0"/>
          <w:divBdr>
            <w:top w:val="none" w:sz="0" w:space="0" w:color="auto"/>
            <w:left w:val="none" w:sz="0" w:space="0" w:color="auto"/>
            <w:bottom w:val="none" w:sz="0" w:space="0" w:color="auto"/>
            <w:right w:val="none" w:sz="0" w:space="0" w:color="auto"/>
          </w:divBdr>
        </w:div>
        <w:div w:id="1318535541">
          <w:marLeft w:val="640"/>
          <w:marRight w:val="0"/>
          <w:marTop w:val="0"/>
          <w:marBottom w:val="0"/>
          <w:divBdr>
            <w:top w:val="none" w:sz="0" w:space="0" w:color="auto"/>
            <w:left w:val="none" w:sz="0" w:space="0" w:color="auto"/>
            <w:bottom w:val="none" w:sz="0" w:space="0" w:color="auto"/>
            <w:right w:val="none" w:sz="0" w:space="0" w:color="auto"/>
          </w:divBdr>
        </w:div>
        <w:div w:id="742332020">
          <w:marLeft w:val="640"/>
          <w:marRight w:val="0"/>
          <w:marTop w:val="0"/>
          <w:marBottom w:val="0"/>
          <w:divBdr>
            <w:top w:val="none" w:sz="0" w:space="0" w:color="auto"/>
            <w:left w:val="none" w:sz="0" w:space="0" w:color="auto"/>
            <w:bottom w:val="none" w:sz="0" w:space="0" w:color="auto"/>
            <w:right w:val="none" w:sz="0" w:space="0" w:color="auto"/>
          </w:divBdr>
        </w:div>
        <w:div w:id="849181645">
          <w:marLeft w:val="640"/>
          <w:marRight w:val="0"/>
          <w:marTop w:val="0"/>
          <w:marBottom w:val="0"/>
          <w:divBdr>
            <w:top w:val="none" w:sz="0" w:space="0" w:color="auto"/>
            <w:left w:val="none" w:sz="0" w:space="0" w:color="auto"/>
            <w:bottom w:val="none" w:sz="0" w:space="0" w:color="auto"/>
            <w:right w:val="none" w:sz="0" w:space="0" w:color="auto"/>
          </w:divBdr>
        </w:div>
        <w:div w:id="1710377392">
          <w:marLeft w:val="640"/>
          <w:marRight w:val="0"/>
          <w:marTop w:val="0"/>
          <w:marBottom w:val="0"/>
          <w:divBdr>
            <w:top w:val="none" w:sz="0" w:space="0" w:color="auto"/>
            <w:left w:val="none" w:sz="0" w:space="0" w:color="auto"/>
            <w:bottom w:val="none" w:sz="0" w:space="0" w:color="auto"/>
            <w:right w:val="none" w:sz="0" w:space="0" w:color="auto"/>
          </w:divBdr>
        </w:div>
        <w:div w:id="722024529">
          <w:marLeft w:val="640"/>
          <w:marRight w:val="0"/>
          <w:marTop w:val="0"/>
          <w:marBottom w:val="0"/>
          <w:divBdr>
            <w:top w:val="none" w:sz="0" w:space="0" w:color="auto"/>
            <w:left w:val="none" w:sz="0" w:space="0" w:color="auto"/>
            <w:bottom w:val="none" w:sz="0" w:space="0" w:color="auto"/>
            <w:right w:val="none" w:sz="0" w:space="0" w:color="auto"/>
          </w:divBdr>
        </w:div>
        <w:div w:id="1028524219">
          <w:marLeft w:val="640"/>
          <w:marRight w:val="0"/>
          <w:marTop w:val="0"/>
          <w:marBottom w:val="0"/>
          <w:divBdr>
            <w:top w:val="none" w:sz="0" w:space="0" w:color="auto"/>
            <w:left w:val="none" w:sz="0" w:space="0" w:color="auto"/>
            <w:bottom w:val="none" w:sz="0" w:space="0" w:color="auto"/>
            <w:right w:val="none" w:sz="0" w:space="0" w:color="auto"/>
          </w:divBdr>
        </w:div>
        <w:div w:id="2017726369">
          <w:marLeft w:val="640"/>
          <w:marRight w:val="0"/>
          <w:marTop w:val="0"/>
          <w:marBottom w:val="0"/>
          <w:divBdr>
            <w:top w:val="none" w:sz="0" w:space="0" w:color="auto"/>
            <w:left w:val="none" w:sz="0" w:space="0" w:color="auto"/>
            <w:bottom w:val="none" w:sz="0" w:space="0" w:color="auto"/>
            <w:right w:val="none" w:sz="0" w:space="0" w:color="auto"/>
          </w:divBdr>
        </w:div>
        <w:div w:id="240919662">
          <w:marLeft w:val="640"/>
          <w:marRight w:val="0"/>
          <w:marTop w:val="0"/>
          <w:marBottom w:val="0"/>
          <w:divBdr>
            <w:top w:val="none" w:sz="0" w:space="0" w:color="auto"/>
            <w:left w:val="none" w:sz="0" w:space="0" w:color="auto"/>
            <w:bottom w:val="none" w:sz="0" w:space="0" w:color="auto"/>
            <w:right w:val="none" w:sz="0" w:space="0" w:color="auto"/>
          </w:divBdr>
        </w:div>
        <w:div w:id="370149178">
          <w:marLeft w:val="640"/>
          <w:marRight w:val="0"/>
          <w:marTop w:val="0"/>
          <w:marBottom w:val="0"/>
          <w:divBdr>
            <w:top w:val="none" w:sz="0" w:space="0" w:color="auto"/>
            <w:left w:val="none" w:sz="0" w:space="0" w:color="auto"/>
            <w:bottom w:val="none" w:sz="0" w:space="0" w:color="auto"/>
            <w:right w:val="none" w:sz="0" w:space="0" w:color="auto"/>
          </w:divBdr>
        </w:div>
        <w:div w:id="1278634322">
          <w:marLeft w:val="640"/>
          <w:marRight w:val="0"/>
          <w:marTop w:val="0"/>
          <w:marBottom w:val="0"/>
          <w:divBdr>
            <w:top w:val="none" w:sz="0" w:space="0" w:color="auto"/>
            <w:left w:val="none" w:sz="0" w:space="0" w:color="auto"/>
            <w:bottom w:val="none" w:sz="0" w:space="0" w:color="auto"/>
            <w:right w:val="none" w:sz="0" w:space="0" w:color="auto"/>
          </w:divBdr>
        </w:div>
        <w:div w:id="810828196">
          <w:marLeft w:val="640"/>
          <w:marRight w:val="0"/>
          <w:marTop w:val="0"/>
          <w:marBottom w:val="0"/>
          <w:divBdr>
            <w:top w:val="none" w:sz="0" w:space="0" w:color="auto"/>
            <w:left w:val="none" w:sz="0" w:space="0" w:color="auto"/>
            <w:bottom w:val="none" w:sz="0" w:space="0" w:color="auto"/>
            <w:right w:val="none" w:sz="0" w:space="0" w:color="auto"/>
          </w:divBdr>
        </w:div>
        <w:div w:id="1295673557">
          <w:marLeft w:val="640"/>
          <w:marRight w:val="0"/>
          <w:marTop w:val="0"/>
          <w:marBottom w:val="0"/>
          <w:divBdr>
            <w:top w:val="none" w:sz="0" w:space="0" w:color="auto"/>
            <w:left w:val="none" w:sz="0" w:space="0" w:color="auto"/>
            <w:bottom w:val="none" w:sz="0" w:space="0" w:color="auto"/>
            <w:right w:val="none" w:sz="0" w:space="0" w:color="auto"/>
          </w:divBdr>
        </w:div>
        <w:div w:id="1357972429">
          <w:marLeft w:val="640"/>
          <w:marRight w:val="0"/>
          <w:marTop w:val="0"/>
          <w:marBottom w:val="0"/>
          <w:divBdr>
            <w:top w:val="none" w:sz="0" w:space="0" w:color="auto"/>
            <w:left w:val="none" w:sz="0" w:space="0" w:color="auto"/>
            <w:bottom w:val="none" w:sz="0" w:space="0" w:color="auto"/>
            <w:right w:val="none" w:sz="0" w:space="0" w:color="auto"/>
          </w:divBdr>
        </w:div>
        <w:div w:id="934483572">
          <w:marLeft w:val="640"/>
          <w:marRight w:val="0"/>
          <w:marTop w:val="0"/>
          <w:marBottom w:val="0"/>
          <w:divBdr>
            <w:top w:val="none" w:sz="0" w:space="0" w:color="auto"/>
            <w:left w:val="none" w:sz="0" w:space="0" w:color="auto"/>
            <w:bottom w:val="none" w:sz="0" w:space="0" w:color="auto"/>
            <w:right w:val="none" w:sz="0" w:space="0" w:color="auto"/>
          </w:divBdr>
        </w:div>
        <w:div w:id="619646430">
          <w:marLeft w:val="640"/>
          <w:marRight w:val="0"/>
          <w:marTop w:val="0"/>
          <w:marBottom w:val="0"/>
          <w:divBdr>
            <w:top w:val="none" w:sz="0" w:space="0" w:color="auto"/>
            <w:left w:val="none" w:sz="0" w:space="0" w:color="auto"/>
            <w:bottom w:val="none" w:sz="0" w:space="0" w:color="auto"/>
            <w:right w:val="none" w:sz="0" w:space="0" w:color="auto"/>
          </w:divBdr>
        </w:div>
        <w:div w:id="1803763620">
          <w:marLeft w:val="640"/>
          <w:marRight w:val="0"/>
          <w:marTop w:val="0"/>
          <w:marBottom w:val="0"/>
          <w:divBdr>
            <w:top w:val="none" w:sz="0" w:space="0" w:color="auto"/>
            <w:left w:val="none" w:sz="0" w:space="0" w:color="auto"/>
            <w:bottom w:val="none" w:sz="0" w:space="0" w:color="auto"/>
            <w:right w:val="none" w:sz="0" w:space="0" w:color="auto"/>
          </w:divBdr>
        </w:div>
        <w:div w:id="1930195779">
          <w:marLeft w:val="640"/>
          <w:marRight w:val="0"/>
          <w:marTop w:val="0"/>
          <w:marBottom w:val="0"/>
          <w:divBdr>
            <w:top w:val="none" w:sz="0" w:space="0" w:color="auto"/>
            <w:left w:val="none" w:sz="0" w:space="0" w:color="auto"/>
            <w:bottom w:val="none" w:sz="0" w:space="0" w:color="auto"/>
            <w:right w:val="none" w:sz="0" w:space="0" w:color="auto"/>
          </w:divBdr>
        </w:div>
        <w:div w:id="837578200">
          <w:marLeft w:val="640"/>
          <w:marRight w:val="0"/>
          <w:marTop w:val="0"/>
          <w:marBottom w:val="0"/>
          <w:divBdr>
            <w:top w:val="none" w:sz="0" w:space="0" w:color="auto"/>
            <w:left w:val="none" w:sz="0" w:space="0" w:color="auto"/>
            <w:bottom w:val="none" w:sz="0" w:space="0" w:color="auto"/>
            <w:right w:val="none" w:sz="0" w:space="0" w:color="auto"/>
          </w:divBdr>
        </w:div>
        <w:div w:id="46995590">
          <w:marLeft w:val="640"/>
          <w:marRight w:val="0"/>
          <w:marTop w:val="0"/>
          <w:marBottom w:val="0"/>
          <w:divBdr>
            <w:top w:val="none" w:sz="0" w:space="0" w:color="auto"/>
            <w:left w:val="none" w:sz="0" w:space="0" w:color="auto"/>
            <w:bottom w:val="none" w:sz="0" w:space="0" w:color="auto"/>
            <w:right w:val="none" w:sz="0" w:space="0" w:color="auto"/>
          </w:divBdr>
        </w:div>
        <w:div w:id="207450975">
          <w:marLeft w:val="640"/>
          <w:marRight w:val="0"/>
          <w:marTop w:val="0"/>
          <w:marBottom w:val="0"/>
          <w:divBdr>
            <w:top w:val="none" w:sz="0" w:space="0" w:color="auto"/>
            <w:left w:val="none" w:sz="0" w:space="0" w:color="auto"/>
            <w:bottom w:val="none" w:sz="0" w:space="0" w:color="auto"/>
            <w:right w:val="none" w:sz="0" w:space="0" w:color="auto"/>
          </w:divBdr>
        </w:div>
        <w:div w:id="1694526448">
          <w:marLeft w:val="640"/>
          <w:marRight w:val="0"/>
          <w:marTop w:val="0"/>
          <w:marBottom w:val="0"/>
          <w:divBdr>
            <w:top w:val="none" w:sz="0" w:space="0" w:color="auto"/>
            <w:left w:val="none" w:sz="0" w:space="0" w:color="auto"/>
            <w:bottom w:val="none" w:sz="0" w:space="0" w:color="auto"/>
            <w:right w:val="none" w:sz="0" w:space="0" w:color="auto"/>
          </w:divBdr>
        </w:div>
        <w:div w:id="308871572">
          <w:marLeft w:val="640"/>
          <w:marRight w:val="0"/>
          <w:marTop w:val="0"/>
          <w:marBottom w:val="0"/>
          <w:divBdr>
            <w:top w:val="none" w:sz="0" w:space="0" w:color="auto"/>
            <w:left w:val="none" w:sz="0" w:space="0" w:color="auto"/>
            <w:bottom w:val="none" w:sz="0" w:space="0" w:color="auto"/>
            <w:right w:val="none" w:sz="0" w:space="0" w:color="auto"/>
          </w:divBdr>
        </w:div>
        <w:div w:id="510873862">
          <w:marLeft w:val="640"/>
          <w:marRight w:val="0"/>
          <w:marTop w:val="0"/>
          <w:marBottom w:val="0"/>
          <w:divBdr>
            <w:top w:val="none" w:sz="0" w:space="0" w:color="auto"/>
            <w:left w:val="none" w:sz="0" w:space="0" w:color="auto"/>
            <w:bottom w:val="none" w:sz="0" w:space="0" w:color="auto"/>
            <w:right w:val="none" w:sz="0" w:space="0" w:color="auto"/>
          </w:divBdr>
        </w:div>
        <w:div w:id="500194920">
          <w:marLeft w:val="640"/>
          <w:marRight w:val="0"/>
          <w:marTop w:val="0"/>
          <w:marBottom w:val="0"/>
          <w:divBdr>
            <w:top w:val="none" w:sz="0" w:space="0" w:color="auto"/>
            <w:left w:val="none" w:sz="0" w:space="0" w:color="auto"/>
            <w:bottom w:val="none" w:sz="0" w:space="0" w:color="auto"/>
            <w:right w:val="none" w:sz="0" w:space="0" w:color="auto"/>
          </w:divBdr>
        </w:div>
        <w:div w:id="1325628963">
          <w:marLeft w:val="640"/>
          <w:marRight w:val="0"/>
          <w:marTop w:val="0"/>
          <w:marBottom w:val="0"/>
          <w:divBdr>
            <w:top w:val="none" w:sz="0" w:space="0" w:color="auto"/>
            <w:left w:val="none" w:sz="0" w:space="0" w:color="auto"/>
            <w:bottom w:val="none" w:sz="0" w:space="0" w:color="auto"/>
            <w:right w:val="none" w:sz="0" w:space="0" w:color="auto"/>
          </w:divBdr>
        </w:div>
        <w:div w:id="1252545821">
          <w:marLeft w:val="640"/>
          <w:marRight w:val="0"/>
          <w:marTop w:val="0"/>
          <w:marBottom w:val="0"/>
          <w:divBdr>
            <w:top w:val="none" w:sz="0" w:space="0" w:color="auto"/>
            <w:left w:val="none" w:sz="0" w:space="0" w:color="auto"/>
            <w:bottom w:val="none" w:sz="0" w:space="0" w:color="auto"/>
            <w:right w:val="none" w:sz="0" w:space="0" w:color="auto"/>
          </w:divBdr>
        </w:div>
        <w:div w:id="1910922459">
          <w:marLeft w:val="640"/>
          <w:marRight w:val="0"/>
          <w:marTop w:val="0"/>
          <w:marBottom w:val="0"/>
          <w:divBdr>
            <w:top w:val="none" w:sz="0" w:space="0" w:color="auto"/>
            <w:left w:val="none" w:sz="0" w:space="0" w:color="auto"/>
            <w:bottom w:val="none" w:sz="0" w:space="0" w:color="auto"/>
            <w:right w:val="none" w:sz="0" w:space="0" w:color="auto"/>
          </w:divBdr>
        </w:div>
        <w:div w:id="1500388315">
          <w:marLeft w:val="640"/>
          <w:marRight w:val="0"/>
          <w:marTop w:val="0"/>
          <w:marBottom w:val="0"/>
          <w:divBdr>
            <w:top w:val="none" w:sz="0" w:space="0" w:color="auto"/>
            <w:left w:val="none" w:sz="0" w:space="0" w:color="auto"/>
            <w:bottom w:val="none" w:sz="0" w:space="0" w:color="auto"/>
            <w:right w:val="none" w:sz="0" w:space="0" w:color="auto"/>
          </w:divBdr>
        </w:div>
        <w:div w:id="15082575">
          <w:marLeft w:val="640"/>
          <w:marRight w:val="0"/>
          <w:marTop w:val="0"/>
          <w:marBottom w:val="0"/>
          <w:divBdr>
            <w:top w:val="none" w:sz="0" w:space="0" w:color="auto"/>
            <w:left w:val="none" w:sz="0" w:space="0" w:color="auto"/>
            <w:bottom w:val="none" w:sz="0" w:space="0" w:color="auto"/>
            <w:right w:val="none" w:sz="0" w:space="0" w:color="auto"/>
          </w:divBdr>
        </w:div>
        <w:div w:id="1647588982">
          <w:marLeft w:val="640"/>
          <w:marRight w:val="0"/>
          <w:marTop w:val="0"/>
          <w:marBottom w:val="0"/>
          <w:divBdr>
            <w:top w:val="none" w:sz="0" w:space="0" w:color="auto"/>
            <w:left w:val="none" w:sz="0" w:space="0" w:color="auto"/>
            <w:bottom w:val="none" w:sz="0" w:space="0" w:color="auto"/>
            <w:right w:val="none" w:sz="0" w:space="0" w:color="auto"/>
          </w:divBdr>
        </w:div>
        <w:div w:id="191457088">
          <w:marLeft w:val="640"/>
          <w:marRight w:val="0"/>
          <w:marTop w:val="0"/>
          <w:marBottom w:val="0"/>
          <w:divBdr>
            <w:top w:val="none" w:sz="0" w:space="0" w:color="auto"/>
            <w:left w:val="none" w:sz="0" w:space="0" w:color="auto"/>
            <w:bottom w:val="none" w:sz="0" w:space="0" w:color="auto"/>
            <w:right w:val="none" w:sz="0" w:space="0" w:color="auto"/>
          </w:divBdr>
        </w:div>
        <w:div w:id="961304303">
          <w:marLeft w:val="640"/>
          <w:marRight w:val="0"/>
          <w:marTop w:val="0"/>
          <w:marBottom w:val="0"/>
          <w:divBdr>
            <w:top w:val="none" w:sz="0" w:space="0" w:color="auto"/>
            <w:left w:val="none" w:sz="0" w:space="0" w:color="auto"/>
            <w:bottom w:val="none" w:sz="0" w:space="0" w:color="auto"/>
            <w:right w:val="none" w:sz="0" w:space="0" w:color="auto"/>
          </w:divBdr>
        </w:div>
        <w:div w:id="1509365579">
          <w:marLeft w:val="640"/>
          <w:marRight w:val="0"/>
          <w:marTop w:val="0"/>
          <w:marBottom w:val="0"/>
          <w:divBdr>
            <w:top w:val="none" w:sz="0" w:space="0" w:color="auto"/>
            <w:left w:val="none" w:sz="0" w:space="0" w:color="auto"/>
            <w:bottom w:val="none" w:sz="0" w:space="0" w:color="auto"/>
            <w:right w:val="none" w:sz="0" w:space="0" w:color="auto"/>
          </w:divBdr>
        </w:div>
        <w:div w:id="2060398476">
          <w:marLeft w:val="640"/>
          <w:marRight w:val="0"/>
          <w:marTop w:val="0"/>
          <w:marBottom w:val="0"/>
          <w:divBdr>
            <w:top w:val="none" w:sz="0" w:space="0" w:color="auto"/>
            <w:left w:val="none" w:sz="0" w:space="0" w:color="auto"/>
            <w:bottom w:val="none" w:sz="0" w:space="0" w:color="auto"/>
            <w:right w:val="none" w:sz="0" w:space="0" w:color="auto"/>
          </w:divBdr>
        </w:div>
        <w:div w:id="1520125744">
          <w:marLeft w:val="640"/>
          <w:marRight w:val="0"/>
          <w:marTop w:val="0"/>
          <w:marBottom w:val="0"/>
          <w:divBdr>
            <w:top w:val="none" w:sz="0" w:space="0" w:color="auto"/>
            <w:left w:val="none" w:sz="0" w:space="0" w:color="auto"/>
            <w:bottom w:val="none" w:sz="0" w:space="0" w:color="auto"/>
            <w:right w:val="none" w:sz="0" w:space="0" w:color="auto"/>
          </w:divBdr>
        </w:div>
        <w:div w:id="447160767">
          <w:marLeft w:val="640"/>
          <w:marRight w:val="0"/>
          <w:marTop w:val="0"/>
          <w:marBottom w:val="0"/>
          <w:divBdr>
            <w:top w:val="none" w:sz="0" w:space="0" w:color="auto"/>
            <w:left w:val="none" w:sz="0" w:space="0" w:color="auto"/>
            <w:bottom w:val="none" w:sz="0" w:space="0" w:color="auto"/>
            <w:right w:val="none" w:sz="0" w:space="0" w:color="auto"/>
          </w:divBdr>
        </w:div>
        <w:div w:id="1814903541">
          <w:marLeft w:val="640"/>
          <w:marRight w:val="0"/>
          <w:marTop w:val="0"/>
          <w:marBottom w:val="0"/>
          <w:divBdr>
            <w:top w:val="none" w:sz="0" w:space="0" w:color="auto"/>
            <w:left w:val="none" w:sz="0" w:space="0" w:color="auto"/>
            <w:bottom w:val="none" w:sz="0" w:space="0" w:color="auto"/>
            <w:right w:val="none" w:sz="0" w:space="0" w:color="auto"/>
          </w:divBdr>
        </w:div>
        <w:div w:id="541677353">
          <w:marLeft w:val="640"/>
          <w:marRight w:val="0"/>
          <w:marTop w:val="0"/>
          <w:marBottom w:val="0"/>
          <w:divBdr>
            <w:top w:val="none" w:sz="0" w:space="0" w:color="auto"/>
            <w:left w:val="none" w:sz="0" w:space="0" w:color="auto"/>
            <w:bottom w:val="none" w:sz="0" w:space="0" w:color="auto"/>
            <w:right w:val="none" w:sz="0" w:space="0" w:color="auto"/>
          </w:divBdr>
        </w:div>
        <w:div w:id="894661984">
          <w:marLeft w:val="640"/>
          <w:marRight w:val="0"/>
          <w:marTop w:val="0"/>
          <w:marBottom w:val="0"/>
          <w:divBdr>
            <w:top w:val="none" w:sz="0" w:space="0" w:color="auto"/>
            <w:left w:val="none" w:sz="0" w:space="0" w:color="auto"/>
            <w:bottom w:val="none" w:sz="0" w:space="0" w:color="auto"/>
            <w:right w:val="none" w:sz="0" w:space="0" w:color="auto"/>
          </w:divBdr>
        </w:div>
        <w:div w:id="670832577">
          <w:marLeft w:val="640"/>
          <w:marRight w:val="0"/>
          <w:marTop w:val="0"/>
          <w:marBottom w:val="0"/>
          <w:divBdr>
            <w:top w:val="none" w:sz="0" w:space="0" w:color="auto"/>
            <w:left w:val="none" w:sz="0" w:space="0" w:color="auto"/>
            <w:bottom w:val="none" w:sz="0" w:space="0" w:color="auto"/>
            <w:right w:val="none" w:sz="0" w:space="0" w:color="auto"/>
          </w:divBdr>
        </w:div>
        <w:div w:id="497617439">
          <w:marLeft w:val="640"/>
          <w:marRight w:val="0"/>
          <w:marTop w:val="0"/>
          <w:marBottom w:val="0"/>
          <w:divBdr>
            <w:top w:val="none" w:sz="0" w:space="0" w:color="auto"/>
            <w:left w:val="none" w:sz="0" w:space="0" w:color="auto"/>
            <w:bottom w:val="none" w:sz="0" w:space="0" w:color="auto"/>
            <w:right w:val="none" w:sz="0" w:space="0" w:color="auto"/>
          </w:divBdr>
        </w:div>
        <w:div w:id="1026834869">
          <w:marLeft w:val="640"/>
          <w:marRight w:val="0"/>
          <w:marTop w:val="0"/>
          <w:marBottom w:val="0"/>
          <w:divBdr>
            <w:top w:val="none" w:sz="0" w:space="0" w:color="auto"/>
            <w:left w:val="none" w:sz="0" w:space="0" w:color="auto"/>
            <w:bottom w:val="none" w:sz="0" w:space="0" w:color="auto"/>
            <w:right w:val="none" w:sz="0" w:space="0" w:color="auto"/>
          </w:divBdr>
        </w:div>
        <w:div w:id="976179438">
          <w:marLeft w:val="640"/>
          <w:marRight w:val="0"/>
          <w:marTop w:val="0"/>
          <w:marBottom w:val="0"/>
          <w:divBdr>
            <w:top w:val="none" w:sz="0" w:space="0" w:color="auto"/>
            <w:left w:val="none" w:sz="0" w:space="0" w:color="auto"/>
            <w:bottom w:val="none" w:sz="0" w:space="0" w:color="auto"/>
            <w:right w:val="none" w:sz="0" w:space="0" w:color="auto"/>
          </w:divBdr>
        </w:div>
        <w:div w:id="2013096547">
          <w:marLeft w:val="640"/>
          <w:marRight w:val="0"/>
          <w:marTop w:val="0"/>
          <w:marBottom w:val="0"/>
          <w:divBdr>
            <w:top w:val="none" w:sz="0" w:space="0" w:color="auto"/>
            <w:left w:val="none" w:sz="0" w:space="0" w:color="auto"/>
            <w:bottom w:val="none" w:sz="0" w:space="0" w:color="auto"/>
            <w:right w:val="none" w:sz="0" w:space="0" w:color="auto"/>
          </w:divBdr>
        </w:div>
        <w:div w:id="2076933536">
          <w:marLeft w:val="640"/>
          <w:marRight w:val="0"/>
          <w:marTop w:val="0"/>
          <w:marBottom w:val="0"/>
          <w:divBdr>
            <w:top w:val="none" w:sz="0" w:space="0" w:color="auto"/>
            <w:left w:val="none" w:sz="0" w:space="0" w:color="auto"/>
            <w:bottom w:val="none" w:sz="0" w:space="0" w:color="auto"/>
            <w:right w:val="none" w:sz="0" w:space="0" w:color="auto"/>
          </w:divBdr>
        </w:div>
        <w:div w:id="1467814674">
          <w:marLeft w:val="640"/>
          <w:marRight w:val="0"/>
          <w:marTop w:val="0"/>
          <w:marBottom w:val="0"/>
          <w:divBdr>
            <w:top w:val="none" w:sz="0" w:space="0" w:color="auto"/>
            <w:left w:val="none" w:sz="0" w:space="0" w:color="auto"/>
            <w:bottom w:val="none" w:sz="0" w:space="0" w:color="auto"/>
            <w:right w:val="none" w:sz="0" w:space="0" w:color="auto"/>
          </w:divBdr>
        </w:div>
        <w:div w:id="1347554752">
          <w:marLeft w:val="640"/>
          <w:marRight w:val="0"/>
          <w:marTop w:val="0"/>
          <w:marBottom w:val="0"/>
          <w:divBdr>
            <w:top w:val="none" w:sz="0" w:space="0" w:color="auto"/>
            <w:left w:val="none" w:sz="0" w:space="0" w:color="auto"/>
            <w:bottom w:val="none" w:sz="0" w:space="0" w:color="auto"/>
            <w:right w:val="none" w:sz="0" w:space="0" w:color="auto"/>
          </w:divBdr>
        </w:div>
        <w:div w:id="1899199126">
          <w:marLeft w:val="640"/>
          <w:marRight w:val="0"/>
          <w:marTop w:val="0"/>
          <w:marBottom w:val="0"/>
          <w:divBdr>
            <w:top w:val="none" w:sz="0" w:space="0" w:color="auto"/>
            <w:left w:val="none" w:sz="0" w:space="0" w:color="auto"/>
            <w:bottom w:val="none" w:sz="0" w:space="0" w:color="auto"/>
            <w:right w:val="none" w:sz="0" w:space="0" w:color="auto"/>
          </w:divBdr>
        </w:div>
        <w:div w:id="1401446196">
          <w:marLeft w:val="640"/>
          <w:marRight w:val="0"/>
          <w:marTop w:val="0"/>
          <w:marBottom w:val="0"/>
          <w:divBdr>
            <w:top w:val="none" w:sz="0" w:space="0" w:color="auto"/>
            <w:left w:val="none" w:sz="0" w:space="0" w:color="auto"/>
            <w:bottom w:val="none" w:sz="0" w:space="0" w:color="auto"/>
            <w:right w:val="none" w:sz="0" w:space="0" w:color="auto"/>
          </w:divBdr>
        </w:div>
        <w:div w:id="904488043">
          <w:marLeft w:val="640"/>
          <w:marRight w:val="0"/>
          <w:marTop w:val="0"/>
          <w:marBottom w:val="0"/>
          <w:divBdr>
            <w:top w:val="none" w:sz="0" w:space="0" w:color="auto"/>
            <w:left w:val="none" w:sz="0" w:space="0" w:color="auto"/>
            <w:bottom w:val="none" w:sz="0" w:space="0" w:color="auto"/>
            <w:right w:val="none" w:sz="0" w:space="0" w:color="auto"/>
          </w:divBdr>
        </w:div>
        <w:div w:id="1835106050">
          <w:marLeft w:val="640"/>
          <w:marRight w:val="0"/>
          <w:marTop w:val="0"/>
          <w:marBottom w:val="0"/>
          <w:divBdr>
            <w:top w:val="none" w:sz="0" w:space="0" w:color="auto"/>
            <w:left w:val="none" w:sz="0" w:space="0" w:color="auto"/>
            <w:bottom w:val="none" w:sz="0" w:space="0" w:color="auto"/>
            <w:right w:val="none" w:sz="0" w:space="0" w:color="auto"/>
          </w:divBdr>
        </w:div>
        <w:div w:id="694961590">
          <w:marLeft w:val="640"/>
          <w:marRight w:val="0"/>
          <w:marTop w:val="0"/>
          <w:marBottom w:val="0"/>
          <w:divBdr>
            <w:top w:val="none" w:sz="0" w:space="0" w:color="auto"/>
            <w:left w:val="none" w:sz="0" w:space="0" w:color="auto"/>
            <w:bottom w:val="none" w:sz="0" w:space="0" w:color="auto"/>
            <w:right w:val="none" w:sz="0" w:space="0" w:color="auto"/>
          </w:divBdr>
        </w:div>
        <w:div w:id="512036611">
          <w:marLeft w:val="640"/>
          <w:marRight w:val="0"/>
          <w:marTop w:val="0"/>
          <w:marBottom w:val="0"/>
          <w:divBdr>
            <w:top w:val="none" w:sz="0" w:space="0" w:color="auto"/>
            <w:left w:val="none" w:sz="0" w:space="0" w:color="auto"/>
            <w:bottom w:val="none" w:sz="0" w:space="0" w:color="auto"/>
            <w:right w:val="none" w:sz="0" w:space="0" w:color="auto"/>
          </w:divBdr>
        </w:div>
        <w:div w:id="1857646112">
          <w:marLeft w:val="640"/>
          <w:marRight w:val="0"/>
          <w:marTop w:val="0"/>
          <w:marBottom w:val="0"/>
          <w:divBdr>
            <w:top w:val="none" w:sz="0" w:space="0" w:color="auto"/>
            <w:left w:val="none" w:sz="0" w:space="0" w:color="auto"/>
            <w:bottom w:val="none" w:sz="0" w:space="0" w:color="auto"/>
            <w:right w:val="none" w:sz="0" w:space="0" w:color="auto"/>
          </w:divBdr>
        </w:div>
        <w:div w:id="442847880">
          <w:marLeft w:val="640"/>
          <w:marRight w:val="0"/>
          <w:marTop w:val="0"/>
          <w:marBottom w:val="0"/>
          <w:divBdr>
            <w:top w:val="none" w:sz="0" w:space="0" w:color="auto"/>
            <w:left w:val="none" w:sz="0" w:space="0" w:color="auto"/>
            <w:bottom w:val="none" w:sz="0" w:space="0" w:color="auto"/>
            <w:right w:val="none" w:sz="0" w:space="0" w:color="auto"/>
          </w:divBdr>
        </w:div>
        <w:div w:id="128325623">
          <w:marLeft w:val="640"/>
          <w:marRight w:val="0"/>
          <w:marTop w:val="0"/>
          <w:marBottom w:val="0"/>
          <w:divBdr>
            <w:top w:val="none" w:sz="0" w:space="0" w:color="auto"/>
            <w:left w:val="none" w:sz="0" w:space="0" w:color="auto"/>
            <w:bottom w:val="none" w:sz="0" w:space="0" w:color="auto"/>
            <w:right w:val="none" w:sz="0" w:space="0" w:color="auto"/>
          </w:divBdr>
        </w:div>
        <w:div w:id="609703101">
          <w:marLeft w:val="640"/>
          <w:marRight w:val="0"/>
          <w:marTop w:val="0"/>
          <w:marBottom w:val="0"/>
          <w:divBdr>
            <w:top w:val="none" w:sz="0" w:space="0" w:color="auto"/>
            <w:left w:val="none" w:sz="0" w:space="0" w:color="auto"/>
            <w:bottom w:val="none" w:sz="0" w:space="0" w:color="auto"/>
            <w:right w:val="none" w:sz="0" w:space="0" w:color="auto"/>
          </w:divBdr>
        </w:div>
        <w:div w:id="351611688">
          <w:marLeft w:val="640"/>
          <w:marRight w:val="0"/>
          <w:marTop w:val="0"/>
          <w:marBottom w:val="0"/>
          <w:divBdr>
            <w:top w:val="none" w:sz="0" w:space="0" w:color="auto"/>
            <w:left w:val="none" w:sz="0" w:space="0" w:color="auto"/>
            <w:bottom w:val="none" w:sz="0" w:space="0" w:color="auto"/>
            <w:right w:val="none" w:sz="0" w:space="0" w:color="auto"/>
          </w:divBdr>
        </w:div>
        <w:div w:id="1251311286">
          <w:marLeft w:val="640"/>
          <w:marRight w:val="0"/>
          <w:marTop w:val="0"/>
          <w:marBottom w:val="0"/>
          <w:divBdr>
            <w:top w:val="none" w:sz="0" w:space="0" w:color="auto"/>
            <w:left w:val="none" w:sz="0" w:space="0" w:color="auto"/>
            <w:bottom w:val="none" w:sz="0" w:space="0" w:color="auto"/>
            <w:right w:val="none" w:sz="0" w:space="0" w:color="auto"/>
          </w:divBdr>
        </w:div>
        <w:div w:id="1975863345">
          <w:marLeft w:val="640"/>
          <w:marRight w:val="0"/>
          <w:marTop w:val="0"/>
          <w:marBottom w:val="0"/>
          <w:divBdr>
            <w:top w:val="none" w:sz="0" w:space="0" w:color="auto"/>
            <w:left w:val="none" w:sz="0" w:space="0" w:color="auto"/>
            <w:bottom w:val="none" w:sz="0" w:space="0" w:color="auto"/>
            <w:right w:val="none" w:sz="0" w:space="0" w:color="auto"/>
          </w:divBdr>
        </w:div>
        <w:div w:id="1197548070">
          <w:marLeft w:val="640"/>
          <w:marRight w:val="0"/>
          <w:marTop w:val="0"/>
          <w:marBottom w:val="0"/>
          <w:divBdr>
            <w:top w:val="none" w:sz="0" w:space="0" w:color="auto"/>
            <w:left w:val="none" w:sz="0" w:space="0" w:color="auto"/>
            <w:bottom w:val="none" w:sz="0" w:space="0" w:color="auto"/>
            <w:right w:val="none" w:sz="0" w:space="0" w:color="auto"/>
          </w:divBdr>
        </w:div>
        <w:div w:id="1875070956">
          <w:marLeft w:val="640"/>
          <w:marRight w:val="0"/>
          <w:marTop w:val="0"/>
          <w:marBottom w:val="0"/>
          <w:divBdr>
            <w:top w:val="none" w:sz="0" w:space="0" w:color="auto"/>
            <w:left w:val="none" w:sz="0" w:space="0" w:color="auto"/>
            <w:bottom w:val="none" w:sz="0" w:space="0" w:color="auto"/>
            <w:right w:val="none" w:sz="0" w:space="0" w:color="auto"/>
          </w:divBdr>
        </w:div>
        <w:div w:id="1099565203">
          <w:marLeft w:val="640"/>
          <w:marRight w:val="0"/>
          <w:marTop w:val="0"/>
          <w:marBottom w:val="0"/>
          <w:divBdr>
            <w:top w:val="none" w:sz="0" w:space="0" w:color="auto"/>
            <w:left w:val="none" w:sz="0" w:space="0" w:color="auto"/>
            <w:bottom w:val="none" w:sz="0" w:space="0" w:color="auto"/>
            <w:right w:val="none" w:sz="0" w:space="0" w:color="auto"/>
          </w:divBdr>
        </w:div>
        <w:div w:id="906840749">
          <w:marLeft w:val="640"/>
          <w:marRight w:val="0"/>
          <w:marTop w:val="0"/>
          <w:marBottom w:val="0"/>
          <w:divBdr>
            <w:top w:val="none" w:sz="0" w:space="0" w:color="auto"/>
            <w:left w:val="none" w:sz="0" w:space="0" w:color="auto"/>
            <w:bottom w:val="none" w:sz="0" w:space="0" w:color="auto"/>
            <w:right w:val="none" w:sz="0" w:space="0" w:color="auto"/>
          </w:divBdr>
        </w:div>
        <w:div w:id="764347669">
          <w:marLeft w:val="640"/>
          <w:marRight w:val="0"/>
          <w:marTop w:val="0"/>
          <w:marBottom w:val="0"/>
          <w:divBdr>
            <w:top w:val="none" w:sz="0" w:space="0" w:color="auto"/>
            <w:left w:val="none" w:sz="0" w:space="0" w:color="auto"/>
            <w:bottom w:val="none" w:sz="0" w:space="0" w:color="auto"/>
            <w:right w:val="none" w:sz="0" w:space="0" w:color="auto"/>
          </w:divBdr>
        </w:div>
        <w:div w:id="495729048">
          <w:marLeft w:val="640"/>
          <w:marRight w:val="0"/>
          <w:marTop w:val="0"/>
          <w:marBottom w:val="0"/>
          <w:divBdr>
            <w:top w:val="none" w:sz="0" w:space="0" w:color="auto"/>
            <w:left w:val="none" w:sz="0" w:space="0" w:color="auto"/>
            <w:bottom w:val="none" w:sz="0" w:space="0" w:color="auto"/>
            <w:right w:val="none" w:sz="0" w:space="0" w:color="auto"/>
          </w:divBdr>
        </w:div>
        <w:div w:id="1129470928">
          <w:marLeft w:val="640"/>
          <w:marRight w:val="0"/>
          <w:marTop w:val="0"/>
          <w:marBottom w:val="0"/>
          <w:divBdr>
            <w:top w:val="none" w:sz="0" w:space="0" w:color="auto"/>
            <w:left w:val="none" w:sz="0" w:space="0" w:color="auto"/>
            <w:bottom w:val="none" w:sz="0" w:space="0" w:color="auto"/>
            <w:right w:val="none" w:sz="0" w:space="0" w:color="auto"/>
          </w:divBdr>
        </w:div>
        <w:div w:id="920287723">
          <w:marLeft w:val="640"/>
          <w:marRight w:val="0"/>
          <w:marTop w:val="0"/>
          <w:marBottom w:val="0"/>
          <w:divBdr>
            <w:top w:val="none" w:sz="0" w:space="0" w:color="auto"/>
            <w:left w:val="none" w:sz="0" w:space="0" w:color="auto"/>
            <w:bottom w:val="none" w:sz="0" w:space="0" w:color="auto"/>
            <w:right w:val="none" w:sz="0" w:space="0" w:color="auto"/>
          </w:divBdr>
        </w:div>
        <w:div w:id="354111481">
          <w:marLeft w:val="640"/>
          <w:marRight w:val="0"/>
          <w:marTop w:val="0"/>
          <w:marBottom w:val="0"/>
          <w:divBdr>
            <w:top w:val="none" w:sz="0" w:space="0" w:color="auto"/>
            <w:left w:val="none" w:sz="0" w:space="0" w:color="auto"/>
            <w:bottom w:val="none" w:sz="0" w:space="0" w:color="auto"/>
            <w:right w:val="none" w:sz="0" w:space="0" w:color="auto"/>
          </w:divBdr>
        </w:div>
        <w:div w:id="1098867915">
          <w:marLeft w:val="640"/>
          <w:marRight w:val="0"/>
          <w:marTop w:val="0"/>
          <w:marBottom w:val="0"/>
          <w:divBdr>
            <w:top w:val="none" w:sz="0" w:space="0" w:color="auto"/>
            <w:left w:val="none" w:sz="0" w:space="0" w:color="auto"/>
            <w:bottom w:val="none" w:sz="0" w:space="0" w:color="auto"/>
            <w:right w:val="none" w:sz="0" w:space="0" w:color="auto"/>
          </w:divBdr>
        </w:div>
        <w:div w:id="1302541626">
          <w:marLeft w:val="640"/>
          <w:marRight w:val="0"/>
          <w:marTop w:val="0"/>
          <w:marBottom w:val="0"/>
          <w:divBdr>
            <w:top w:val="none" w:sz="0" w:space="0" w:color="auto"/>
            <w:left w:val="none" w:sz="0" w:space="0" w:color="auto"/>
            <w:bottom w:val="none" w:sz="0" w:space="0" w:color="auto"/>
            <w:right w:val="none" w:sz="0" w:space="0" w:color="auto"/>
          </w:divBdr>
        </w:div>
        <w:div w:id="2016957562">
          <w:marLeft w:val="640"/>
          <w:marRight w:val="0"/>
          <w:marTop w:val="0"/>
          <w:marBottom w:val="0"/>
          <w:divBdr>
            <w:top w:val="none" w:sz="0" w:space="0" w:color="auto"/>
            <w:left w:val="none" w:sz="0" w:space="0" w:color="auto"/>
            <w:bottom w:val="none" w:sz="0" w:space="0" w:color="auto"/>
            <w:right w:val="none" w:sz="0" w:space="0" w:color="auto"/>
          </w:divBdr>
        </w:div>
        <w:div w:id="1262030473">
          <w:marLeft w:val="640"/>
          <w:marRight w:val="0"/>
          <w:marTop w:val="0"/>
          <w:marBottom w:val="0"/>
          <w:divBdr>
            <w:top w:val="none" w:sz="0" w:space="0" w:color="auto"/>
            <w:left w:val="none" w:sz="0" w:space="0" w:color="auto"/>
            <w:bottom w:val="none" w:sz="0" w:space="0" w:color="auto"/>
            <w:right w:val="none" w:sz="0" w:space="0" w:color="auto"/>
          </w:divBdr>
        </w:div>
        <w:div w:id="828133749">
          <w:marLeft w:val="640"/>
          <w:marRight w:val="0"/>
          <w:marTop w:val="0"/>
          <w:marBottom w:val="0"/>
          <w:divBdr>
            <w:top w:val="none" w:sz="0" w:space="0" w:color="auto"/>
            <w:left w:val="none" w:sz="0" w:space="0" w:color="auto"/>
            <w:bottom w:val="none" w:sz="0" w:space="0" w:color="auto"/>
            <w:right w:val="none" w:sz="0" w:space="0" w:color="auto"/>
          </w:divBdr>
        </w:div>
        <w:div w:id="1840347953">
          <w:marLeft w:val="640"/>
          <w:marRight w:val="0"/>
          <w:marTop w:val="0"/>
          <w:marBottom w:val="0"/>
          <w:divBdr>
            <w:top w:val="none" w:sz="0" w:space="0" w:color="auto"/>
            <w:left w:val="none" w:sz="0" w:space="0" w:color="auto"/>
            <w:bottom w:val="none" w:sz="0" w:space="0" w:color="auto"/>
            <w:right w:val="none" w:sz="0" w:space="0" w:color="auto"/>
          </w:divBdr>
        </w:div>
        <w:div w:id="1192452192">
          <w:marLeft w:val="640"/>
          <w:marRight w:val="0"/>
          <w:marTop w:val="0"/>
          <w:marBottom w:val="0"/>
          <w:divBdr>
            <w:top w:val="none" w:sz="0" w:space="0" w:color="auto"/>
            <w:left w:val="none" w:sz="0" w:space="0" w:color="auto"/>
            <w:bottom w:val="none" w:sz="0" w:space="0" w:color="auto"/>
            <w:right w:val="none" w:sz="0" w:space="0" w:color="auto"/>
          </w:divBdr>
        </w:div>
        <w:div w:id="593130672">
          <w:marLeft w:val="640"/>
          <w:marRight w:val="0"/>
          <w:marTop w:val="0"/>
          <w:marBottom w:val="0"/>
          <w:divBdr>
            <w:top w:val="none" w:sz="0" w:space="0" w:color="auto"/>
            <w:left w:val="none" w:sz="0" w:space="0" w:color="auto"/>
            <w:bottom w:val="none" w:sz="0" w:space="0" w:color="auto"/>
            <w:right w:val="none" w:sz="0" w:space="0" w:color="auto"/>
          </w:divBdr>
        </w:div>
        <w:div w:id="1995525830">
          <w:marLeft w:val="640"/>
          <w:marRight w:val="0"/>
          <w:marTop w:val="0"/>
          <w:marBottom w:val="0"/>
          <w:divBdr>
            <w:top w:val="none" w:sz="0" w:space="0" w:color="auto"/>
            <w:left w:val="none" w:sz="0" w:space="0" w:color="auto"/>
            <w:bottom w:val="none" w:sz="0" w:space="0" w:color="auto"/>
            <w:right w:val="none" w:sz="0" w:space="0" w:color="auto"/>
          </w:divBdr>
        </w:div>
        <w:div w:id="142477289">
          <w:marLeft w:val="640"/>
          <w:marRight w:val="0"/>
          <w:marTop w:val="0"/>
          <w:marBottom w:val="0"/>
          <w:divBdr>
            <w:top w:val="none" w:sz="0" w:space="0" w:color="auto"/>
            <w:left w:val="none" w:sz="0" w:space="0" w:color="auto"/>
            <w:bottom w:val="none" w:sz="0" w:space="0" w:color="auto"/>
            <w:right w:val="none" w:sz="0" w:space="0" w:color="auto"/>
          </w:divBdr>
        </w:div>
        <w:div w:id="413823397">
          <w:marLeft w:val="640"/>
          <w:marRight w:val="0"/>
          <w:marTop w:val="0"/>
          <w:marBottom w:val="0"/>
          <w:divBdr>
            <w:top w:val="none" w:sz="0" w:space="0" w:color="auto"/>
            <w:left w:val="none" w:sz="0" w:space="0" w:color="auto"/>
            <w:bottom w:val="none" w:sz="0" w:space="0" w:color="auto"/>
            <w:right w:val="none" w:sz="0" w:space="0" w:color="auto"/>
          </w:divBdr>
        </w:div>
        <w:div w:id="1816485234">
          <w:marLeft w:val="640"/>
          <w:marRight w:val="0"/>
          <w:marTop w:val="0"/>
          <w:marBottom w:val="0"/>
          <w:divBdr>
            <w:top w:val="none" w:sz="0" w:space="0" w:color="auto"/>
            <w:left w:val="none" w:sz="0" w:space="0" w:color="auto"/>
            <w:bottom w:val="none" w:sz="0" w:space="0" w:color="auto"/>
            <w:right w:val="none" w:sz="0" w:space="0" w:color="auto"/>
          </w:divBdr>
        </w:div>
        <w:div w:id="1248346853">
          <w:marLeft w:val="640"/>
          <w:marRight w:val="0"/>
          <w:marTop w:val="0"/>
          <w:marBottom w:val="0"/>
          <w:divBdr>
            <w:top w:val="none" w:sz="0" w:space="0" w:color="auto"/>
            <w:left w:val="none" w:sz="0" w:space="0" w:color="auto"/>
            <w:bottom w:val="none" w:sz="0" w:space="0" w:color="auto"/>
            <w:right w:val="none" w:sz="0" w:space="0" w:color="auto"/>
          </w:divBdr>
        </w:div>
        <w:div w:id="1016540059">
          <w:marLeft w:val="640"/>
          <w:marRight w:val="0"/>
          <w:marTop w:val="0"/>
          <w:marBottom w:val="0"/>
          <w:divBdr>
            <w:top w:val="none" w:sz="0" w:space="0" w:color="auto"/>
            <w:left w:val="none" w:sz="0" w:space="0" w:color="auto"/>
            <w:bottom w:val="none" w:sz="0" w:space="0" w:color="auto"/>
            <w:right w:val="none" w:sz="0" w:space="0" w:color="auto"/>
          </w:divBdr>
        </w:div>
        <w:div w:id="855536424">
          <w:marLeft w:val="640"/>
          <w:marRight w:val="0"/>
          <w:marTop w:val="0"/>
          <w:marBottom w:val="0"/>
          <w:divBdr>
            <w:top w:val="none" w:sz="0" w:space="0" w:color="auto"/>
            <w:left w:val="none" w:sz="0" w:space="0" w:color="auto"/>
            <w:bottom w:val="none" w:sz="0" w:space="0" w:color="auto"/>
            <w:right w:val="none" w:sz="0" w:space="0" w:color="auto"/>
          </w:divBdr>
        </w:div>
        <w:div w:id="910850252">
          <w:marLeft w:val="640"/>
          <w:marRight w:val="0"/>
          <w:marTop w:val="0"/>
          <w:marBottom w:val="0"/>
          <w:divBdr>
            <w:top w:val="none" w:sz="0" w:space="0" w:color="auto"/>
            <w:left w:val="none" w:sz="0" w:space="0" w:color="auto"/>
            <w:bottom w:val="none" w:sz="0" w:space="0" w:color="auto"/>
            <w:right w:val="none" w:sz="0" w:space="0" w:color="auto"/>
          </w:divBdr>
        </w:div>
        <w:div w:id="920916453">
          <w:marLeft w:val="640"/>
          <w:marRight w:val="0"/>
          <w:marTop w:val="0"/>
          <w:marBottom w:val="0"/>
          <w:divBdr>
            <w:top w:val="none" w:sz="0" w:space="0" w:color="auto"/>
            <w:left w:val="none" w:sz="0" w:space="0" w:color="auto"/>
            <w:bottom w:val="none" w:sz="0" w:space="0" w:color="auto"/>
            <w:right w:val="none" w:sz="0" w:space="0" w:color="auto"/>
          </w:divBdr>
        </w:div>
        <w:div w:id="247812546">
          <w:marLeft w:val="640"/>
          <w:marRight w:val="0"/>
          <w:marTop w:val="0"/>
          <w:marBottom w:val="0"/>
          <w:divBdr>
            <w:top w:val="none" w:sz="0" w:space="0" w:color="auto"/>
            <w:left w:val="none" w:sz="0" w:space="0" w:color="auto"/>
            <w:bottom w:val="none" w:sz="0" w:space="0" w:color="auto"/>
            <w:right w:val="none" w:sz="0" w:space="0" w:color="auto"/>
          </w:divBdr>
        </w:div>
        <w:div w:id="807666969">
          <w:marLeft w:val="640"/>
          <w:marRight w:val="0"/>
          <w:marTop w:val="0"/>
          <w:marBottom w:val="0"/>
          <w:divBdr>
            <w:top w:val="none" w:sz="0" w:space="0" w:color="auto"/>
            <w:left w:val="none" w:sz="0" w:space="0" w:color="auto"/>
            <w:bottom w:val="none" w:sz="0" w:space="0" w:color="auto"/>
            <w:right w:val="none" w:sz="0" w:space="0" w:color="auto"/>
          </w:divBdr>
        </w:div>
        <w:div w:id="822160253">
          <w:marLeft w:val="640"/>
          <w:marRight w:val="0"/>
          <w:marTop w:val="0"/>
          <w:marBottom w:val="0"/>
          <w:divBdr>
            <w:top w:val="none" w:sz="0" w:space="0" w:color="auto"/>
            <w:left w:val="none" w:sz="0" w:space="0" w:color="auto"/>
            <w:bottom w:val="none" w:sz="0" w:space="0" w:color="auto"/>
            <w:right w:val="none" w:sz="0" w:space="0" w:color="auto"/>
          </w:divBdr>
        </w:div>
        <w:div w:id="1354921356">
          <w:marLeft w:val="640"/>
          <w:marRight w:val="0"/>
          <w:marTop w:val="0"/>
          <w:marBottom w:val="0"/>
          <w:divBdr>
            <w:top w:val="none" w:sz="0" w:space="0" w:color="auto"/>
            <w:left w:val="none" w:sz="0" w:space="0" w:color="auto"/>
            <w:bottom w:val="none" w:sz="0" w:space="0" w:color="auto"/>
            <w:right w:val="none" w:sz="0" w:space="0" w:color="auto"/>
          </w:divBdr>
        </w:div>
        <w:div w:id="955866700">
          <w:marLeft w:val="640"/>
          <w:marRight w:val="0"/>
          <w:marTop w:val="0"/>
          <w:marBottom w:val="0"/>
          <w:divBdr>
            <w:top w:val="none" w:sz="0" w:space="0" w:color="auto"/>
            <w:left w:val="none" w:sz="0" w:space="0" w:color="auto"/>
            <w:bottom w:val="none" w:sz="0" w:space="0" w:color="auto"/>
            <w:right w:val="none" w:sz="0" w:space="0" w:color="auto"/>
          </w:divBdr>
        </w:div>
        <w:div w:id="1252659642">
          <w:marLeft w:val="640"/>
          <w:marRight w:val="0"/>
          <w:marTop w:val="0"/>
          <w:marBottom w:val="0"/>
          <w:divBdr>
            <w:top w:val="none" w:sz="0" w:space="0" w:color="auto"/>
            <w:left w:val="none" w:sz="0" w:space="0" w:color="auto"/>
            <w:bottom w:val="none" w:sz="0" w:space="0" w:color="auto"/>
            <w:right w:val="none" w:sz="0" w:space="0" w:color="auto"/>
          </w:divBdr>
        </w:div>
        <w:div w:id="265238025">
          <w:marLeft w:val="640"/>
          <w:marRight w:val="0"/>
          <w:marTop w:val="0"/>
          <w:marBottom w:val="0"/>
          <w:divBdr>
            <w:top w:val="none" w:sz="0" w:space="0" w:color="auto"/>
            <w:left w:val="none" w:sz="0" w:space="0" w:color="auto"/>
            <w:bottom w:val="none" w:sz="0" w:space="0" w:color="auto"/>
            <w:right w:val="none" w:sz="0" w:space="0" w:color="auto"/>
          </w:divBdr>
        </w:div>
        <w:div w:id="825627103">
          <w:marLeft w:val="640"/>
          <w:marRight w:val="0"/>
          <w:marTop w:val="0"/>
          <w:marBottom w:val="0"/>
          <w:divBdr>
            <w:top w:val="none" w:sz="0" w:space="0" w:color="auto"/>
            <w:left w:val="none" w:sz="0" w:space="0" w:color="auto"/>
            <w:bottom w:val="none" w:sz="0" w:space="0" w:color="auto"/>
            <w:right w:val="none" w:sz="0" w:space="0" w:color="auto"/>
          </w:divBdr>
        </w:div>
        <w:div w:id="947548064">
          <w:marLeft w:val="640"/>
          <w:marRight w:val="0"/>
          <w:marTop w:val="0"/>
          <w:marBottom w:val="0"/>
          <w:divBdr>
            <w:top w:val="none" w:sz="0" w:space="0" w:color="auto"/>
            <w:left w:val="none" w:sz="0" w:space="0" w:color="auto"/>
            <w:bottom w:val="none" w:sz="0" w:space="0" w:color="auto"/>
            <w:right w:val="none" w:sz="0" w:space="0" w:color="auto"/>
          </w:divBdr>
        </w:div>
        <w:div w:id="158620027">
          <w:marLeft w:val="640"/>
          <w:marRight w:val="0"/>
          <w:marTop w:val="0"/>
          <w:marBottom w:val="0"/>
          <w:divBdr>
            <w:top w:val="none" w:sz="0" w:space="0" w:color="auto"/>
            <w:left w:val="none" w:sz="0" w:space="0" w:color="auto"/>
            <w:bottom w:val="none" w:sz="0" w:space="0" w:color="auto"/>
            <w:right w:val="none" w:sz="0" w:space="0" w:color="auto"/>
          </w:divBdr>
        </w:div>
        <w:div w:id="383215663">
          <w:marLeft w:val="640"/>
          <w:marRight w:val="0"/>
          <w:marTop w:val="0"/>
          <w:marBottom w:val="0"/>
          <w:divBdr>
            <w:top w:val="none" w:sz="0" w:space="0" w:color="auto"/>
            <w:left w:val="none" w:sz="0" w:space="0" w:color="auto"/>
            <w:bottom w:val="none" w:sz="0" w:space="0" w:color="auto"/>
            <w:right w:val="none" w:sz="0" w:space="0" w:color="auto"/>
          </w:divBdr>
        </w:div>
        <w:div w:id="2123256903">
          <w:marLeft w:val="640"/>
          <w:marRight w:val="0"/>
          <w:marTop w:val="0"/>
          <w:marBottom w:val="0"/>
          <w:divBdr>
            <w:top w:val="none" w:sz="0" w:space="0" w:color="auto"/>
            <w:left w:val="none" w:sz="0" w:space="0" w:color="auto"/>
            <w:bottom w:val="none" w:sz="0" w:space="0" w:color="auto"/>
            <w:right w:val="none" w:sz="0" w:space="0" w:color="auto"/>
          </w:divBdr>
        </w:div>
        <w:div w:id="682710451">
          <w:marLeft w:val="640"/>
          <w:marRight w:val="0"/>
          <w:marTop w:val="0"/>
          <w:marBottom w:val="0"/>
          <w:divBdr>
            <w:top w:val="none" w:sz="0" w:space="0" w:color="auto"/>
            <w:left w:val="none" w:sz="0" w:space="0" w:color="auto"/>
            <w:bottom w:val="none" w:sz="0" w:space="0" w:color="auto"/>
            <w:right w:val="none" w:sz="0" w:space="0" w:color="auto"/>
          </w:divBdr>
        </w:div>
        <w:div w:id="1810198187">
          <w:marLeft w:val="640"/>
          <w:marRight w:val="0"/>
          <w:marTop w:val="0"/>
          <w:marBottom w:val="0"/>
          <w:divBdr>
            <w:top w:val="none" w:sz="0" w:space="0" w:color="auto"/>
            <w:left w:val="none" w:sz="0" w:space="0" w:color="auto"/>
            <w:bottom w:val="none" w:sz="0" w:space="0" w:color="auto"/>
            <w:right w:val="none" w:sz="0" w:space="0" w:color="auto"/>
          </w:divBdr>
        </w:div>
        <w:div w:id="1426224098">
          <w:marLeft w:val="640"/>
          <w:marRight w:val="0"/>
          <w:marTop w:val="0"/>
          <w:marBottom w:val="0"/>
          <w:divBdr>
            <w:top w:val="none" w:sz="0" w:space="0" w:color="auto"/>
            <w:left w:val="none" w:sz="0" w:space="0" w:color="auto"/>
            <w:bottom w:val="none" w:sz="0" w:space="0" w:color="auto"/>
            <w:right w:val="none" w:sz="0" w:space="0" w:color="auto"/>
          </w:divBdr>
        </w:div>
        <w:div w:id="430056263">
          <w:marLeft w:val="640"/>
          <w:marRight w:val="0"/>
          <w:marTop w:val="0"/>
          <w:marBottom w:val="0"/>
          <w:divBdr>
            <w:top w:val="none" w:sz="0" w:space="0" w:color="auto"/>
            <w:left w:val="none" w:sz="0" w:space="0" w:color="auto"/>
            <w:bottom w:val="none" w:sz="0" w:space="0" w:color="auto"/>
            <w:right w:val="none" w:sz="0" w:space="0" w:color="auto"/>
          </w:divBdr>
        </w:div>
        <w:div w:id="1200050979">
          <w:marLeft w:val="640"/>
          <w:marRight w:val="0"/>
          <w:marTop w:val="0"/>
          <w:marBottom w:val="0"/>
          <w:divBdr>
            <w:top w:val="none" w:sz="0" w:space="0" w:color="auto"/>
            <w:left w:val="none" w:sz="0" w:space="0" w:color="auto"/>
            <w:bottom w:val="none" w:sz="0" w:space="0" w:color="auto"/>
            <w:right w:val="none" w:sz="0" w:space="0" w:color="auto"/>
          </w:divBdr>
        </w:div>
        <w:div w:id="1310817793">
          <w:marLeft w:val="640"/>
          <w:marRight w:val="0"/>
          <w:marTop w:val="0"/>
          <w:marBottom w:val="0"/>
          <w:divBdr>
            <w:top w:val="none" w:sz="0" w:space="0" w:color="auto"/>
            <w:left w:val="none" w:sz="0" w:space="0" w:color="auto"/>
            <w:bottom w:val="none" w:sz="0" w:space="0" w:color="auto"/>
            <w:right w:val="none" w:sz="0" w:space="0" w:color="auto"/>
          </w:divBdr>
        </w:div>
        <w:div w:id="431173812">
          <w:marLeft w:val="640"/>
          <w:marRight w:val="0"/>
          <w:marTop w:val="0"/>
          <w:marBottom w:val="0"/>
          <w:divBdr>
            <w:top w:val="none" w:sz="0" w:space="0" w:color="auto"/>
            <w:left w:val="none" w:sz="0" w:space="0" w:color="auto"/>
            <w:bottom w:val="none" w:sz="0" w:space="0" w:color="auto"/>
            <w:right w:val="none" w:sz="0" w:space="0" w:color="auto"/>
          </w:divBdr>
        </w:div>
        <w:div w:id="2089106176">
          <w:marLeft w:val="640"/>
          <w:marRight w:val="0"/>
          <w:marTop w:val="0"/>
          <w:marBottom w:val="0"/>
          <w:divBdr>
            <w:top w:val="none" w:sz="0" w:space="0" w:color="auto"/>
            <w:left w:val="none" w:sz="0" w:space="0" w:color="auto"/>
            <w:bottom w:val="none" w:sz="0" w:space="0" w:color="auto"/>
            <w:right w:val="none" w:sz="0" w:space="0" w:color="auto"/>
          </w:divBdr>
        </w:div>
        <w:div w:id="337199526">
          <w:marLeft w:val="640"/>
          <w:marRight w:val="0"/>
          <w:marTop w:val="0"/>
          <w:marBottom w:val="0"/>
          <w:divBdr>
            <w:top w:val="none" w:sz="0" w:space="0" w:color="auto"/>
            <w:left w:val="none" w:sz="0" w:space="0" w:color="auto"/>
            <w:bottom w:val="none" w:sz="0" w:space="0" w:color="auto"/>
            <w:right w:val="none" w:sz="0" w:space="0" w:color="auto"/>
          </w:divBdr>
        </w:div>
        <w:div w:id="1646932627">
          <w:marLeft w:val="640"/>
          <w:marRight w:val="0"/>
          <w:marTop w:val="0"/>
          <w:marBottom w:val="0"/>
          <w:divBdr>
            <w:top w:val="none" w:sz="0" w:space="0" w:color="auto"/>
            <w:left w:val="none" w:sz="0" w:space="0" w:color="auto"/>
            <w:bottom w:val="none" w:sz="0" w:space="0" w:color="auto"/>
            <w:right w:val="none" w:sz="0" w:space="0" w:color="auto"/>
          </w:divBdr>
        </w:div>
        <w:div w:id="106388443">
          <w:marLeft w:val="640"/>
          <w:marRight w:val="0"/>
          <w:marTop w:val="0"/>
          <w:marBottom w:val="0"/>
          <w:divBdr>
            <w:top w:val="none" w:sz="0" w:space="0" w:color="auto"/>
            <w:left w:val="none" w:sz="0" w:space="0" w:color="auto"/>
            <w:bottom w:val="none" w:sz="0" w:space="0" w:color="auto"/>
            <w:right w:val="none" w:sz="0" w:space="0" w:color="auto"/>
          </w:divBdr>
        </w:div>
        <w:div w:id="534075919">
          <w:marLeft w:val="640"/>
          <w:marRight w:val="0"/>
          <w:marTop w:val="0"/>
          <w:marBottom w:val="0"/>
          <w:divBdr>
            <w:top w:val="none" w:sz="0" w:space="0" w:color="auto"/>
            <w:left w:val="none" w:sz="0" w:space="0" w:color="auto"/>
            <w:bottom w:val="none" w:sz="0" w:space="0" w:color="auto"/>
            <w:right w:val="none" w:sz="0" w:space="0" w:color="auto"/>
          </w:divBdr>
        </w:div>
        <w:div w:id="2099054251">
          <w:marLeft w:val="640"/>
          <w:marRight w:val="0"/>
          <w:marTop w:val="0"/>
          <w:marBottom w:val="0"/>
          <w:divBdr>
            <w:top w:val="none" w:sz="0" w:space="0" w:color="auto"/>
            <w:left w:val="none" w:sz="0" w:space="0" w:color="auto"/>
            <w:bottom w:val="none" w:sz="0" w:space="0" w:color="auto"/>
            <w:right w:val="none" w:sz="0" w:space="0" w:color="auto"/>
          </w:divBdr>
        </w:div>
        <w:div w:id="1420055990">
          <w:marLeft w:val="640"/>
          <w:marRight w:val="0"/>
          <w:marTop w:val="0"/>
          <w:marBottom w:val="0"/>
          <w:divBdr>
            <w:top w:val="none" w:sz="0" w:space="0" w:color="auto"/>
            <w:left w:val="none" w:sz="0" w:space="0" w:color="auto"/>
            <w:bottom w:val="none" w:sz="0" w:space="0" w:color="auto"/>
            <w:right w:val="none" w:sz="0" w:space="0" w:color="auto"/>
          </w:divBdr>
        </w:div>
        <w:div w:id="68617191">
          <w:marLeft w:val="640"/>
          <w:marRight w:val="0"/>
          <w:marTop w:val="0"/>
          <w:marBottom w:val="0"/>
          <w:divBdr>
            <w:top w:val="none" w:sz="0" w:space="0" w:color="auto"/>
            <w:left w:val="none" w:sz="0" w:space="0" w:color="auto"/>
            <w:bottom w:val="none" w:sz="0" w:space="0" w:color="auto"/>
            <w:right w:val="none" w:sz="0" w:space="0" w:color="auto"/>
          </w:divBdr>
        </w:div>
        <w:div w:id="2075808341">
          <w:marLeft w:val="640"/>
          <w:marRight w:val="0"/>
          <w:marTop w:val="0"/>
          <w:marBottom w:val="0"/>
          <w:divBdr>
            <w:top w:val="none" w:sz="0" w:space="0" w:color="auto"/>
            <w:left w:val="none" w:sz="0" w:space="0" w:color="auto"/>
            <w:bottom w:val="none" w:sz="0" w:space="0" w:color="auto"/>
            <w:right w:val="none" w:sz="0" w:space="0" w:color="auto"/>
          </w:divBdr>
        </w:div>
        <w:div w:id="76832335">
          <w:marLeft w:val="640"/>
          <w:marRight w:val="0"/>
          <w:marTop w:val="0"/>
          <w:marBottom w:val="0"/>
          <w:divBdr>
            <w:top w:val="none" w:sz="0" w:space="0" w:color="auto"/>
            <w:left w:val="none" w:sz="0" w:space="0" w:color="auto"/>
            <w:bottom w:val="none" w:sz="0" w:space="0" w:color="auto"/>
            <w:right w:val="none" w:sz="0" w:space="0" w:color="auto"/>
          </w:divBdr>
        </w:div>
        <w:div w:id="845629628">
          <w:marLeft w:val="640"/>
          <w:marRight w:val="0"/>
          <w:marTop w:val="0"/>
          <w:marBottom w:val="0"/>
          <w:divBdr>
            <w:top w:val="none" w:sz="0" w:space="0" w:color="auto"/>
            <w:left w:val="none" w:sz="0" w:space="0" w:color="auto"/>
            <w:bottom w:val="none" w:sz="0" w:space="0" w:color="auto"/>
            <w:right w:val="none" w:sz="0" w:space="0" w:color="auto"/>
          </w:divBdr>
        </w:div>
        <w:div w:id="1272664838">
          <w:marLeft w:val="640"/>
          <w:marRight w:val="0"/>
          <w:marTop w:val="0"/>
          <w:marBottom w:val="0"/>
          <w:divBdr>
            <w:top w:val="none" w:sz="0" w:space="0" w:color="auto"/>
            <w:left w:val="none" w:sz="0" w:space="0" w:color="auto"/>
            <w:bottom w:val="none" w:sz="0" w:space="0" w:color="auto"/>
            <w:right w:val="none" w:sz="0" w:space="0" w:color="auto"/>
          </w:divBdr>
        </w:div>
        <w:div w:id="857354937">
          <w:marLeft w:val="640"/>
          <w:marRight w:val="0"/>
          <w:marTop w:val="0"/>
          <w:marBottom w:val="0"/>
          <w:divBdr>
            <w:top w:val="none" w:sz="0" w:space="0" w:color="auto"/>
            <w:left w:val="none" w:sz="0" w:space="0" w:color="auto"/>
            <w:bottom w:val="none" w:sz="0" w:space="0" w:color="auto"/>
            <w:right w:val="none" w:sz="0" w:space="0" w:color="auto"/>
          </w:divBdr>
        </w:div>
        <w:div w:id="1462577981">
          <w:marLeft w:val="640"/>
          <w:marRight w:val="0"/>
          <w:marTop w:val="0"/>
          <w:marBottom w:val="0"/>
          <w:divBdr>
            <w:top w:val="none" w:sz="0" w:space="0" w:color="auto"/>
            <w:left w:val="none" w:sz="0" w:space="0" w:color="auto"/>
            <w:bottom w:val="none" w:sz="0" w:space="0" w:color="auto"/>
            <w:right w:val="none" w:sz="0" w:space="0" w:color="auto"/>
          </w:divBdr>
        </w:div>
        <w:div w:id="1131557169">
          <w:marLeft w:val="640"/>
          <w:marRight w:val="0"/>
          <w:marTop w:val="0"/>
          <w:marBottom w:val="0"/>
          <w:divBdr>
            <w:top w:val="none" w:sz="0" w:space="0" w:color="auto"/>
            <w:left w:val="none" w:sz="0" w:space="0" w:color="auto"/>
            <w:bottom w:val="none" w:sz="0" w:space="0" w:color="auto"/>
            <w:right w:val="none" w:sz="0" w:space="0" w:color="auto"/>
          </w:divBdr>
        </w:div>
        <w:div w:id="1722443431">
          <w:marLeft w:val="640"/>
          <w:marRight w:val="0"/>
          <w:marTop w:val="0"/>
          <w:marBottom w:val="0"/>
          <w:divBdr>
            <w:top w:val="none" w:sz="0" w:space="0" w:color="auto"/>
            <w:left w:val="none" w:sz="0" w:space="0" w:color="auto"/>
            <w:bottom w:val="none" w:sz="0" w:space="0" w:color="auto"/>
            <w:right w:val="none" w:sz="0" w:space="0" w:color="auto"/>
          </w:divBdr>
        </w:div>
        <w:div w:id="1582567434">
          <w:marLeft w:val="640"/>
          <w:marRight w:val="0"/>
          <w:marTop w:val="0"/>
          <w:marBottom w:val="0"/>
          <w:divBdr>
            <w:top w:val="none" w:sz="0" w:space="0" w:color="auto"/>
            <w:left w:val="none" w:sz="0" w:space="0" w:color="auto"/>
            <w:bottom w:val="none" w:sz="0" w:space="0" w:color="auto"/>
            <w:right w:val="none" w:sz="0" w:space="0" w:color="auto"/>
          </w:divBdr>
        </w:div>
        <w:div w:id="1333218872">
          <w:marLeft w:val="640"/>
          <w:marRight w:val="0"/>
          <w:marTop w:val="0"/>
          <w:marBottom w:val="0"/>
          <w:divBdr>
            <w:top w:val="none" w:sz="0" w:space="0" w:color="auto"/>
            <w:left w:val="none" w:sz="0" w:space="0" w:color="auto"/>
            <w:bottom w:val="none" w:sz="0" w:space="0" w:color="auto"/>
            <w:right w:val="none" w:sz="0" w:space="0" w:color="auto"/>
          </w:divBdr>
        </w:div>
        <w:div w:id="2117678997">
          <w:marLeft w:val="640"/>
          <w:marRight w:val="0"/>
          <w:marTop w:val="0"/>
          <w:marBottom w:val="0"/>
          <w:divBdr>
            <w:top w:val="none" w:sz="0" w:space="0" w:color="auto"/>
            <w:left w:val="none" w:sz="0" w:space="0" w:color="auto"/>
            <w:bottom w:val="none" w:sz="0" w:space="0" w:color="auto"/>
            <w:right w:val="none" w:sz="0" w:space="0" w:color="auto"/>
          </w:divBdr>
        </w:div>
        <w:div w:id="1039933526">
          <w:marLeft w:val="640"/>
          <w:marRight w:val="0"/>
          <w:marTop w:val="0"/>
          <w:marBottom w:val="0"/>
          <w:divBdr>
            <w:top w:val="none" w:sz="0" w:space="0" w:color="auto"/>
            <w:left w:val="none" w:sz="0" w:space="0" w:color="auto"/>
            <w:bottom w:val="none" w:sz="0" w:space="0" w:color="auto"/>
            <w:right w:val="none" w:sz="0" w:space="0" w:color="auto"/>
          </w:divBdr>
        </w:div>
        <w:div w:id="1921594831">
          <w:marLeft w:val="640"/>
          <w:marRight w:val="0"/>
          <w:marTop w:val="0"/>
          <w:marBottom w:val="0"/>
          <w:divBdr>
            <w:top w:val="none" w:sz="0" w:space="0" w:color="auto"/>
            <w:left w:val="none" w:sz="0" w:space="0" w:color="auto"/>
            <w:bottom w:val="none" w:sz="0" w:space="0" w:color="auto"/>
            <w:right w:val="none" w:sz="0" w:space="0" w:color="auto"/>
          </w:divBdr>
        </w:div>
        <w:div w:id="1504734242">
          <w:marLeft w:val="640"/>
          <w:marRight w:val="0"/>
          <w:marTop w:val="0"/>
          <w:marBottom w:val="0"/>
          <w:divBdr>
            <w:top w:val="none" w:sz="0" w:space="0" w:color="auto"/>
            <w:left w:val="none" w:sz="0" w:space="0" w:color="auto"/>
            <w:bottom w:val="none" w:sz="0" w:space="0" w:color="auto"/>
            <w:right w:val="none" w:sz="0" w:space="0" w:color="auto"/>
          </w:divBdr>
        </w:div>
        <w:div w:id="267204988">
          <w:marLeft w:val="640"/>
          <w:marRight w:val="0"/>
          <w:marTop w:val="0"/>
          <w:marBottom w:val="0"/>
          <w:divBdr>
            <w:top w:val="none" w:sz="0" w:space="0" w:color="auto"/>
            <w:left w:val="none" w:sz="0" w:space="0" w:color="auto"/>
            <w:bottom w:val="none" w:sz="0" w:space="0" w:color="auto"/>
            <w:right w:val="none" w:sz="0" w:space="0" w:color="auto"/>
          </w:divBdr>
        </w:div>
        <w:div w:id="352538825">
          <w:marLeft w:val="640"/>
          <w:marRight w:val="0"/>
          <w:marTop w:val="0"/>
          <w:marBottom w:val="0"/>
          <w:divBdr>
            <w:top w:val="none" w:sz="0" w:space="0" w:color="auto"/>
            <w:left w:val="none" w:sz="0" w:space="0" w:color="auto"/>
            <w:bottom w:val="none" w:sz="0" w:space="0" w:color="auto"/>
            <w:right w:val="none" w:sz="0" w:space="0" w:color="auto"/>
          </w:divBdr>
        </w:div>
        <w:div w:id="1810979572">
          <w:marLeft w:val="640"/>
          <w:marRight w:val="0"/>
          <w:marTop w:val="0"/>
          <w:marBottom w:val="0"/>
          <w:divBdr>
            <w:top w:val="none" w:sz="0" w:space="0" w:color="auto"/>
            <w:left w:val="none" w:sz="0" w:space="0" w:color="auto"/>
            <w:bottom w:val="none" w:sz="0" w:space="0" w:color="auto"/>
            <w:right w:val="none" w:sz="0" w:space="0" w:color="auto"/>
          </w:divBdr>
        </w:div>
        <w:div w:id="611129448">
          <w:marLeft w:val="640"/>
          <w:marRight w:val="0"/>
          <w:marTop w:val="0"/>
          <w:marBottom w:val="0"/>
          <w:divBdr>
            <w:top w:val="none" w:sz="0" w:space="0" w:color="auto"/>
            <w:left w:val="none" w:sz="0" w:space="0" w:color="auto"/>
            <w:bottom w:val="none" w:sz="0" w:space="0" w:color="auto"/>
            <w:right w:val="none" w:sz="0" w:space="0" w:color="auto"/>
          </w:divBdr>
        </w:div>
        <w:div w:id="209613018">
          <w:marLeft w:val="640"/>
          <w:marRight w:val="0"/>
          <w:marTop w:val="0"/>
          <w:marBottom w:val="0"/>
          <w:divBdr>
            <w:top w:val="none" w:sz="0" w:space="0" w:color="auto"/>
            <w:left w:val="none" w:sz="0" w:space="0" w:color="auto"/>
            <w:bottom w:val="none" w:sz="0" w:space="0" w:color="auto"/>
            <w:right w:val="none" w:sz="0" w:space="0" w:color="auto"/>
          </w:divBdr>
        </w:div>
        <w:div w:id="1534224353">
          <w:marLeft w:val="640"/>
          <w:marRight w:val="0"/>
          <w:marTop w:val="0"/>
          <w:marBottom w:val="0"/>
          <w:divBdr>
            <w:top w:val="none" w:sz="0" w:space="0" w:color="auto"/>
            <w:left w:val="none" w:sz="0" w:space="0" w:color="auto"/>
            <w:bottom w:val="none" w:sz="0" w:space="0" w:color="auto"/>
            <w:right w:val="none" w:sz="0" w:space="0" w:color="auto"/>
          </w:divBdr>
        </w:div>
        <w:div w:id="465464749">
          <w:marLeft w:val="640"/>
          <w:marRight w:val="0"/>
          <w:marTop w:val="0"/>
          <w:marBottom w:val="0"/>
          <w:divBdr>
            <w:top w:val="none" w:sz="0" w:space="0" w:color="auto"/>
            <w:left w:val="none" w:sz="0" w:space="0" w:color="auto"/>
            <w:bottom w:val="none" w:sz="0" w:space="0" w:color="auto"/>
            <w:right w:val="none" w:sz="0" w:space="0" w:color="auto"/>
          </w:divBdr>
        </w:div>
        <w:div w:id="364644634">
          <w:marLeft w:val="640"/>
          <w:marRight w:val="0"/>
          <w:marTop w:val="0"/>
          <w:marBottom w:val="0"/>
          <w:divBdr>
            <w:top w:val="none" w:sz="0" w:space="0" w:color="auto"/>
            <w:left w:val="none" w:sz="0" w:space="0" w:color="auto"/>
            <w:bottom w:val="none" w:sz="0" w:space="0" w:color="auto"/>
            <w:right w:val="none" w:sz="0" w:space="0" w:color="auto"/>
          </w:divBdr>
        </w:div>
        <w:div w:id="1126003287">
          <w:marLeft w:val="640"/>
          <w:marRight w:val="0"/>
          <w:marTop w:val="0"/>
          <w:marBottom w:val="0"/>
          <w:divBdr>
            <w:top w:val="none" w:sz="0" w:space="0" w:color="auto"/>
            <w:left w:val="none" w:sz="0" w:space="0" w:color="auto"/>
            <w:bottom w:val="none" w:sz="0" w:space="0" w:color="auto"/>
            <w:right w:val="none" w:sz="0" w:space="0" w:color="auto"/>
          </w:divBdr>
        </w:div>
        <w:div w:id="162478053">
          <w:marLeft w:val="640"/>
          <w:marRight w:val="0"/>
          <w:marTop w:val="0"/>
          <w:marBottom w:val="0"/>
          <w:divBdr>
            <w:top w:val="none" w:sz="0" w:space="0" w:color="auto"/>
            <w:left w:val="none" w:sz="0" w:space="0" w:color="auto"/>
            <w:bottom w:val="none" w:sz="0" w:space="0" w:color="auto"/>
            <w:right w:val="none" w:sz="0" w:space="0" w:color="auto"/>
          </w:divBdr>
        </w:div>
        <w:div w:id="1426802344">
          <w:marLeft w:val="640"/>
          <w:marRight w:val="0"/>
          <w:marTop w:val="0"/>
          <w:marBottom w:val="0"/>
          <w:divBdr>
            <w:top w:val="none" w:sz="0" w:space="0" w:color="auto"/>
            <w:left w:val="none" w:sz="0" w:space="0" w:color="auto"/>
            <w:bottom w:val="none" w:sz="0" w:space="0" w:color="auto"/>
            <w:right w:val="none" w:sz="0" w:space="0" w:color="auto"/>
          </w:divBdr>
        </w:div>
        <w:div w:id="1746101609">
          <w:marLeft w:val="640"/>
          <w:marRight w:val="0"/>
          <w:marTop w:val="0"/>
          <w:marBottom w:val="0"/>
          <w:divBdr>
            <w:top w:val="none" w:sz="0" w:space="0" w:color="auto"/>
            <w:left w:val="none" w:sz="0" w:space="0" w:color="auto"/>
            <w:bottom w:val="none" w:sz="0" w:space="0" w:color="auto"/>
            <w:right w:val="none" w:sz="0" w:space="0" w:color="auto"/>
          </w:divBdr>
        </w:div>
        <w:div w:id="602807131">
          <w:marLeft w:val="640"/>
          <w:marRight w:val="0"/>
          <w:marTop w:val="0"/>
          <w:marBottom w:val="0"/>
          <w:divBdr>
            <w:top w:val="none" w:sz="0" w:space="0" w:color="auto"/>
            <w:left w:val="none" w:sz="0" w:space="0" w:color="auto"/>
            <w:bottom w:val="none" w:sz="0" w:space="0" w:color="auto"/>
            <w:right w:val="none" w:sz="0" w:space="0" w:color="auto"/>
          </w:divBdr>
        </w:div>
        <w:div w:id="1641494693">
          <w:marLeft w:val="640"/>
          <w:marRight w:val="0"/>
          <w:marTop w:val="0"/>
          <w:marBottom w:val="0"/>
          <w:divBdr>
            <w:top w:val="none" w:sz="0" w:space="0" w:color="auto"/>
            <w:left w:val="none" w:sz="0" w:space="0" w:color="auto"/>
            <w:bottom w:val="none" w:sz="0" w:space="0" w:color="auto"/>
            <w:right w:val="none" w:sz="0" w:space="0" w:color="auto"/>
          </w:divBdr>
        </w:div>
        <w:div w:id="2053336482">
          <w:marLeft w:val="640"/>
          <w:marRight w:val="0"/>
          <w:marTop w:val="0"/>
          <w:marBottom w:val="0"/>
          <w:divBdr>
            <w:top w:val="none" w:sz="0" w:space="0" w:color="auto"/>
            <w:left w:val="none" w:sz="0" w:space="0" w:color="auto"/>
            <w:bottom w:val="none" w:sz="0" w:space="0" w:color="auto"/>
            <w:right w:val="none" w:sz="0" w:space="0" w:color="auto"/>
          </w:divBdr>
        </w:div>
        <w:div w:id="995915364">
          <w:marLeft w:val="640"/>
          <w:marRight w:val="0"/>
          <w:marTop w:val="0"/>
          <w:marBottom w:val="0"/>
          <w:divBdr>
            <w:top w:val="none" w:sz="0" w:space="0" w:color="auto"/>
            <w:left w:val="none" w:sz="0" w:space="0" w:color="auto"/>
            <w:bottom w:val="none" w:sz="0" w:space="0" w:color="auto"/>
            <w:right w:val="none" w:sz="0" w:space="0" w:color="auto"/>
          </w:divBdr>
        </w:div>
        <w:div w:id="708139800">
          <w:marLeft w:val="640"/>
          <w:marRight w:val="0"/>
          <w:marTop w:val="0"/>
          <w:marBottom w:val="0"/>
          <w:divBdr>
            <w:top w:val="none" w:sz="0" w:space="0" w:color="auto"/>
            <w:left w:val="none" w:sz="0" w:space="0" w:color="auto"/>
            <w:bottom w:val="none" w:sz="0" w:space="0" w:color="auto"/>
            <w:right w:val="none" w:sz="0" w:space="0" w:color="auto"/>
          </w:divBdr>
        </w:div>
        <w:div w:id="795292867">
          <w:marLeft w:val="640"/>
          <w:marRight w:val="0"/>
          <w:marTop w:val="0"/>
          <w:marBottom w:val="0"/>
          <w:divBdr>
            <w:top w:val="none" w:sz="0" w:space="0" w:color="auto"/>
            <w:left w:val="none" w:sz="0" w:space="0" w:color="auto"/>
            <w:bottom w:val="none" w:sz="0" w:space="0" w:color="auto"/>
            <w:right w:val="none" w:sz="0" w:space="0" w:color="auto"/>
          </w:divBdr>
        </w:div>
        <w:div w:id="1509176262">
          <w:marLeft w:val="640"/>
          <w:marRight w:val="0"/>
          <w:marTop w:val="0"/>
          <w:marBottom w:val="0"/>
          <w:divBdr>
            <w:top w:val="none" w:sz="0" w:space="0" w:color="auto"/>
            <w:left w:val="none" w:sz="0" w:space="0" w:color="auto"/>
            <w:bottom w:val="none" w:sz="0" w:space="0" w:color="auto"/>
            <w:right w:val="none" w:sz="0" w:space="0" w:color="auto"/>
          </w:divBdr>
        </w:div>
        <w:div w:id="224143408">
          <w:marLeft w:val="640"/>
          <w:marRight w:val="0"/>
          <w:marTop w:val="0"/>
          <w:marBottom w:val="0"/>
          <w:divBdr>
            <w:top w:val="none" w:sz="0" w:space="0" w:color="auto"/>
            <w:left w:val="none" w:sz="0" w:space="0" w:color="auto"/>
            <w:bottom w:val="none" w:sz="0" w:space="0" w:color="auto"/>
            <w:right w:val="none" w:sz="0" w:space="0" w:color="auto"/>
          </w:divBdr>
        </w:div>
        <w:div w:id="1412236993">
          <w:marLeft w:val="640"/>
          <w:marRight w:val="0"/>
          <w:marTop w:val="0"/>
          <w:marBottom w:val="0"/>
          <w:divBdr>
            <w:top w:val="none" w:sz="0" w:space="0" w:color="auto"/>
            <w:left w:val="none" w:sz="0" w:space="0" w:color="auto"/>
            <w:bottom w:val="none" w:sz="0" w:space="0" w:color="auto"/>
            <w:right w:val="none" w:sz="0" w:space="0" w:color="auto"/>
          </w:divBdr>
        </w:div>
        <w:div w:id="436020038">
          <w:marLeft w:val="640"/>
          <w:marRight w:val="0"/>
          <w:marTop w:val="0"/>
          <w:marBottom w:val="0"/>
          <w:divBdr>
            <w:top w:val="none" w:sz="0" w:space="0" w:color="auto"/>
            <w:left w:val="none" w:sz="0" w:space="0" w:color="auto"/>
            <w:bottom w:val="none" w:sz="0" w:space="0" w:color="auto"/>
            <w:right w:val="none" w:sz="0" w:space="0" w:color="auto"/>
          </w:divBdr>
        </w:div>
        <w:div w:id="1415130623">
          <w:marLeft w:val="640"/>
          <w:marRight w:val="0"/>
          <w:marTop w:val="0"/>
          <w:marBottom w:val="0"/>
          <w:divBdr>
            <w:top w:val="none" w:sz="0" w:space="0" w:color="auto"/>
            <w:left w:val="none" w:sz="0" w:space="0" w:color="auto"/>
            <w:bottom w:val="none" w:sz="0" w:space="0" w:color="auto"/>
            <w:right w:val="none" w:sz="0" w:space="0" w:color="auto"/>
          </w:divBdr>
        </w:div>
        <w:div w:id="3480934">
          <w:marLeft w:val="640"/>
          <w:marRight w:val="0"/>
          <w:marTop w:val="0"/>
          <w:marBottom w:val="0"/>
          <w:divBdr>
            <w:top w:val="none" w:sz="0" w:space="0" w:color="auto"/>
            <w:left w:val="none" w:sz="0" w:space="0" w:color="auto"/>
            <w:bottom w:val="none" w:sz="0" w:space="0" w:color="auto"/>
            <w:right w:val="none" w:sz="0" w:space="0" w:color="auto"/>
          </w:divBdr>
        </w:div>
        <w:div w:id="1390032433">
          <w:marLeft w:val="640"/>
          <w:marRight w:val="0"/>
          <w:marTop w:val="0"/>
          <w:marBottom w:val="0"/>
          <w:divBdr>
            <w:top w:val="none" w:sz="0" w:space="0" w:color="auto"/>
            <w:left w:val="none" w:sz="0" w:space="0" w:color="auto"/>
            <w:bottom w:val="none" w:sz="0" w:space="0" w:color="auto"/>
            <w:right w:val="none" w:sz="0" w:space="0" w:color="auto"/>
          </w:divBdr>
        </w:div>
        <w:div w:id="29964695">
          <w:marLeft w:val="640"/>
          <w:marRight w:val="0"/>
          <w:marTop w:val="0"/>
          <w:marBottom w:val="0"/>
          <w:divBdr>
            <w:top w:val="none" w:sz="0" w:space="0" w:color="auto"/>
            <w:left w:val="none" w:sz="0" w:space="0" w:color="auto"/>
            <w:bottom w:val="none" w:sz="0" w:space="0" w:color="auto"/>
            <w:right w:val="none" w:sz="0" w:space="0" w:color="auto"/>
          </w:divBdr>
        </w:div>
        <w:div w:id="1566724965">
          <w:marLeft w:val="640"/>
          <w:marRight w:val="0"/>
          <w:marTop w:val="0"/>
          <w:marBottom w:val="0"/>
          <w:divBdr>
            <w:top w:val="none" w:sz="0" w:space="0" w:color="auto"/>
            <w:left w:val="none" w:sz="0" w:space="0" w:color="auto"/>
            <w:bottom w:val="none" w:sz="0" w:space="0" w:color="auto"/>
            <w:right w:val="none" w:sz="0" w:space="0" w:color="auto"/>
          </w:divBdr>
        </w:div>
        <w:div w:id="193615421">
          <w:marLeft w:val="640"/>
          <w:marRight w:val="0"/>
          <w:marTop w:val="0"/>
          <w:marBottom w:val="0"/>
          <w:divBdr>
            <w:top w:val="none" w:sz="0" w:space="0" w:color="auto"/>
            <w:left w:val="none" w:sz="0" w:space="0" w:color="auto"/>
            <w:bottom w:val="none" w:sz="0" w:space="0" w:color="auto"/>
            <w:right w:val="none" w:sz="0" w:space="0" w:color="auto"/>
          </w:divBdr>
        </w:div>
        <w:div w:id="738787846">
          <w:marLeft w:val="640"/>
          <w:marRight w:val="0"/>
          <w:marTop w:val="0"/>
          <w:marBottom w:val="0"/>
          <w:divBdr>
            <w:top w:val="none" w:sz="0" w:space="0" w:color="auto"/>
            <w:left w:val="none" w:sz="0" w:space="0" w:color="auto"/>
            <w:bottom w:val="none" w:sz="0" w:space="0" w:color="auto"/>
            <w:right w:val="none" w:sz="0" w:space="0" w:color="auto"/>
          </w:divBdr>
        </w:div>
        <w:div w:id="590889267">
          <w:marLeft w:val="640"/>
          <w:marRight w:val="0"/>
          <w:marTop w:val="0"/>
          <w:marBottom w:val="0"/>
          <w:divBdr>
            <w:top w:val="none" w:sz="0" w:space="0" w:color="auto"/>
            <w:left w:val="none" w:sz="0" w:space="0" w:color="auto"/>
            <w:bottom w:val="none" w:sz="0" w:space="0" w:color="auto"/>
            <w:right w:val="none" w:sz="0" w:space="0" w:color="auto"/>
          </w:divBdr>
        </w:div>
        <w:div w:id="263808415">
          <w:marLeft w:val="640"/>
          <w:marRight w:val="0"/>
          <w:marTop w:val="0"/>
          <w:marBottom w:val="0"/>
          <w:divBdr>
            <w:top w:val="none" w:sz="0" w:space="0" w:color="auto"/>
            <w:left w:val="none" w:sz="0" w:space="0" w:color="auto"/>
            <w:bottom w:val="none" w:sz="0" w:space="0" w:color="auto"/>
            <w:right w:val="none" w:sz="0" w:space="0" w:color="auto"/>
          </w:divBdr>
        </w:div>
        <w:div w:id="1105229257">
          <w:marLeft w:val="640"/>
          <w:marRight w:val="0"/>
          <w:marTop w:val="0"/>
          <w:marBottom w:val="0"/>
          <w:divBdr>
            <w:top w:val="none" w:sz="0" w:space="0" w:color="auto"/>
            <w:left w:val="none" w:sz="0" w:space="0" w:color="auto"/>
            <w:bottom w:val="none" w:sz="0" w:space="0" w:color="auto"/>
            <w:right w:val="none" w:sz="0" w:space="0" w:color="auto"/>
          </w:divBdr>
        </w:div>
        <w:div w:id="263928779">
          <w:marLeft w:val="640"/>
          <w:marRight w:val="0"/>
          <w:marTop w:val="0"/>
          <w:marBottom w:val="0"/>
          <w:divBdr>
            <w:top w:val="none" w:sz="0" w:space="0" w:color="auto"/>
            <w:left w:val="none" w:sz="0" w:space="0" w:color="auto"/>
            <w:bottom w:val="none" w:sz="0" w:space="0" w:color="auto"/>
            <w:right w:val="none" w:sz="0" w:space="0" w:color="auto"/>
          </w:divBdr>
        </w:div>
        <w:div w:id="1403717996">
          <w:marLeft w:val="640"/>
          <w:marRight w:val="0"/>
          <w:marTop w:val="0"/>
          <w:marBottom w:val="0"/>
          <w:divBdr>
            <w:top w:val="none" w:sz="0" w:space="0" w:color="auto"/>
            <w:left w:val="none" w:sz="0" w:space="0" w:color="auto"/>
            <w:bottom w:val="none" w:sz="0" w:space="0" w:color="auto"/>
            <w:right w:val="none" w:sz="0" w:space="0" w:color="auto"/>
          </w:divBdr>
        </w:div>
        <w:div w:id="2007633758">
          <w:marLeft w:val="640"/>
          <w:marRight w:val="0"/>
          <w:marTop w:val="0"/>
          <w:marBottom w:val="0"/>
          <w:divBdr>
            <w:top w:val="none" w:sz="0" w:space="0" w:color="auto"/>
            <w:left w:val="none" w:sz="0" w:space="0" w:color="auto"/>
            <w:bottom w:val="none" w:sz="0" w:space="0" w:color="auto"/>
            <w:right w:val="none" w:sz="0" w:space="0" w:color="auto"/>
          </w:divBdr>
        </w:div>
        <w:div w:id="688750516">
          <w:marLeft w:val="640"/>
          <w:marRight w:val="0"/>
          <w:marTop w:val="0"/>
          <w:marBottom w:val="0"/>
          <w:divBdr>
            <w:top w:val="none" w:sz="0" w:space="0" w:color="auto"/>
            <w:left w:val="none" w:sz="0" w:space="0" w:color="auto"/>
            <w:bottom w:val="none" w:sz="0" w:space="0" w:color="auto"/>
            <w:right w:val="none" w:sz="0" w:space="0" w:color="auto"/>
          </w:divBdr>
        </w:div>
        <w:div w:id="811871489">
          <w:marLeft w:val="640"/>
          <w:marRight w:val="0"/>
          <w:marTop w:val="0"/>
          <w:marBottom w:val="0"/>
          <w:divBdr>
            <w:top w:val="none" w:sz="0" w:space="0" w:color="auto"/>
            <w:left w:val="none" w:sz="0" w:space="0" w:color="auto"/>
            <w:bottom w:val="none" w:sz="0" w:space="0" w:color="auto"/>
            <w:right w:val="none" w:sz="0" w:space="0" w:color="auto"/>
          </w:divBdr>
        </w:div>
        <w:div w:id="968049368">
          <w:marLeft w:val="640"/>
          <w:marRight w:val="0"/>
          <w:marTop w:val="0"/>
          <w:marBottom w:val="0"/>
          <w:divBdr>
            <w:top w:val="none" w:sz="0" w:space="0" w:color="auto"/>
            <w:left w:val="none" w:sz="0" w:space="0" w:color="auto"/>
            <w:bottom w:val="none" w:sz="0" w:space="0" w:color="auto"/>
            <w:right w:val="none" w:sz="0" w:space="0" w:color="auto"/>
          </w:divBdr>
        </w:div>
        <w:div w:id="1727029164">
          <w:marLeft w:val="640"/>
          <w:marRight w:val="0"/>
          <w:marTop w:val="0"/>
          <w:marBottom w:val="0"/>
          <w:divBdr>
            <w:top w:val="none" w:sz="0" w:space="0" w:color="auto"/>
            <w:left w:val="none" w:sz="0" w:space="0" w:color="auto"/>
            <w:bottom w:val="none" w:sz="0" w:space="0" w:color="auto"/>
            <w:right w:val="none" w:sz="0" w:space="0" w:color="auto"/>
          </w:divBdr>
        </w:div>
        <w:div w:id="1312445936">
          <w:marLeft w:val="640"/>
          <w:marRight w:val="0"/>
          <w:marTop w:val="0"/>
          <w:marBottom w:val="0"/>
          <w:divBdr>
            <w:top w:val="none" w:sz="0" w:space="0" w:color="auto"/>
            <w:left w:val="none" w:sz="0" w:space="0" w:color="auto"/>
            <w:bottom w:val="none" w:sz="0" w:space="0" w:color="auto"/>
            <w:right w:val="none" w:sz="0" w:space="0" w:color="auto"/>
          </w:divBdr>
        </w:div>
        <w:div w:id="662271254">
          <w:marLeft w:val="640"/>
          <w:marRight w:val="0"/>
          <w:marTop w:val="0"/>
          <w:marBottom w:val="0"/>
          <w:divBdr>
            <w:top w:val="none" w:sz="0" w:space="0" w:color="auto"/>
            <w:left w:val="none" w:sz="0" w:space="0" w:color="auto"/>
            <w:bottom w:val="none" w:sz="0" w:space="0" w:color="auto"/>
            <w:right w:val="none" w:sz="0" w:space="0" w:color="auto"/>
          </w:divBdr>
        </w:div>
        <w:div w:id="2141072038">
          <w:marLeft w:val="640"/>
          <w:marRight w:val="0"/>
          <w:marTop w:val="0"/>
          <w:marBottom w:val="0"/>
          <w:divBdr>
            <w:top w:val="none" w:sz="0" w:space="0" w:color="auto"/>
            <w:left w:val="none" w:sz="0" w:space="0" w:color="auto"/>
            <w:bottom w:val="none" w:sz="0" w:space="0" w:color="auto"/>
            <w:right w:val="none" w:sz="0" w:space="0" w:color="auto"/>
          </w:divBdr>
        </w:div>
        <w:div w:id="1343970168">
          <w:marLeft w:val="640"/>
          <w:marRight w:val="0"/>
          <w:marTop w:val="0"/>
          <w:marBottom w:val="0"/>
          <w:divBdr>
            <w:top w:val="none" w:sz="0" w:space="0" w:color="auto"/>
            <w:left w:val="none" w:sz="0" w:space="0" w:color="auto"/>
            <w:bottom w:val="none" w:sz="0" w:space="0" w:color="auto"/>
            <w:right w:val="none" w:sz="0" w:space="0" w:color="auto"/>
          </w:divBdr>
        </w:div>
        <w:div w:id="45028857">
          <w:marLeft w:val="640"/>
          <w:marRight w:val="0"/>
          <w:marTop w:val="0"/>
          <w:marBottom w:val="0"/>
          <w:divBdr>
            <w:top w:val="none" w:sz="0" w:space="0" w:color="auto"/>
            <w:left w:val="none" w:sz="0" w:space="0" w:color="auto"/>
            <w:bottom w:val="none" w:sz="0" w:space="0" w:color="auto"/>
            <w:right w:val="none" w:sz="0" w:space="0" w:color="auto"/>
          </w:divBdr>
        </w:div>
        <w:div w:id="1528181982">
          <w:marLeft w:val="640"/>
          <w:marRight w:val="0"/>
          <w:marTop w:val="0"/>
          <w:marBottom w:val="0"/>
          <w:divBdr>
            <w:top w:val="none" w:sz="0" w:space="0" w:color="auto"/>
            <w:left w:val="none" w:sz="0" w:space="0" w:color="auto"/>
            <w:bottom w:val="none" w:sz="0" w:space="0" w:color="auto"/>
            <w:right w:val="none" w:sz="0" w:space="0" w:color="auto"/>
          </w:divBdr>
        </w:div>
        <w:div w:id="1575701704">
          <w:marLeft w:val="640"/>
          <w:marRight w:val="0"/>
          <w:marTop w:val="0"/>
          <w:marBottom w:val="0"/>
          <w:divBdr>
            <w:top w:val="none" w:sz="0" w:space="0" w:color="auto"/>
            <w:left w:val="none" w:sz="0" w:space="0" w:color="auto"/>
            <w:bottom w:val="none" w:sz="0" w:space="0" w:color="auto"/>
            <w:right w:val="none" w:sz="0" w:space="0" w:color="auto"/>
          </w:divBdr>
        </w:div>
        <w:div w:id="304896355">
          <w:marLeft w:val="640"/>
          <w:marRight w:val="0"/>
          <w:marTop w:val="0"/>
          <w:marBottom w:val="0"/>
          <w:divBdr>
            <w:top w:val="none" w:sz="0" w:space="0" w:color="auto"/>
            <w:left w:val="none" w:sz="0" w:space="0" w:color="auto"/>
            <w:bottom w:val="none" w:sz="0" w:space="0" w:color="auto"/>
            <w:right w:val="none" w:sz="0" w:space="0" w:color="auto"/>
          </w:divBdr>
        </w:div>
        <w:div w:id="1662928692">
          <w:marLeft w:val="640"/>
          <w:marRight w:val="0"/>
          <w:marTop w:val="0"/>
          <w:marBottom w:val="0"/>
          <w:divBdr>
            <w:top w:val="none" w:sz="0" w:space="0" w:color="auto"/>
            <w:left w:val="none" w:sz="0" w:space="0" w:color="auto"/>
            <w:bottom w:val="none" w:sz="0" w:space="0" w:color="auto"/>
            <w:right w:val="none" w:sz="0" w:space="0" w:color="auto"/>
          </w:divBdr>
        </w:div>
        <w:div w:id="1934781191">
          <w:marLeft w:val="640"/>
          <w:marRight w:val="0"/>
          <w:marTop w:val="0"/>
          <w:marBottom w:val="0"/>
          <w:divBdr>
            <w:top w:val="none" w:sz="0" w:space="0" w:color="auto"/>
            <w:left w:val="none" w:sz="0" w:space="0" w:color="auto"/>
            <w:bottom w:val="none" w:sz="0" w:space="0" w:color="auto"/>
            <w:right w:val="none" w:sz="0" w:space="0" w:color="auto"/>
          </w:divBdr>
        </w:div>
        <w:div w:id="2144342650">
          <w:marLeft w:val="640"/>
          <w:marRight w:val="0"/>
          <w:marTop w:val="0"/>
          <w:marBottom w:val="0"/>
          <w:divBdr>
            <w:top w:val="none" w:sz="0" w:space="0" w:color="auto"/>
            <w:left w:val="none" w:sz="0" w:space="0" w:color="auto"/>
            <w:bottom w:val="none" w:sz="0" w:space="0" w:color="auto"/>
            <w:right w:val="none" w:sz="0" w:space="0" w:color="auto"/>
          </w:divBdr>
        </w:div>
        <w:div w:id="2052536306">
          <w:marLeft w:val="640"/>
          <w:marRight w:val="0"/>
          <w:marTop w:val="0"/>
          <w:marBottom w:val="0"/>
          <w:divBdr>
            <w:top w:val="none" w:sz="0" w:space="0" w:color="auto"/>
            <w:left w:val="none" w:sz="0" w:space="0" w:color="auto"/>
            <w:bottom w:val="none" w:sz="0" w:space="0" w:color="auto"/>
            <w:right w:val="none" w:sz="0" w:space="0" w:color="auto"/>
          </w:divBdr>
        </w:div>
        <w:div w:id="2019041746">
          <w:marLeft w:val="640"/>
          <w:marRight w:val="0"/>
          <w:marTop w:val="0"/>
          <w:marBottom w:val="0"/>
          <w:divBdr>
            <w:top w:val="none" w:sz="0" w:space="0" w:color="auto"/>
            <w:left w:val="none" w:sz="0" w:space="0" w:color="auto"/>
            <w:bottom w:val="none" w:sz="0" w:space="0" w:color="auto"/>
            <w:right w:val="none" w:sz="0" w:space="0" w:color="auto"/>
          </w:divBdr>
        </w:div>
        <w:div w:id="1411580705">
          <w:marLeft w:val="640"/>
          <w:marRight w:val="0"/>
          <w:marTop w:val="0"/>
          <w:marBottom w:val="0"/>
          <w:divBdr>
            <w:top w:val="none" w:sz="0" w:space="0" w:color="auto"/>
            <w:left w:val="none" w:sz="0" w:space="0" w:color="auto"/>
            <w:bottom w:val="none" w:sz="0" w:space="0" w:color="auto"/>
            <w:right w:val="none" w:sz="0" w:space="0" w:color="auto"/>
          </w:divBdr>
        </w:div>
        <w:div w:id="1626279219">
          <w:marLeft w:val="640"/>
          <w:marRight w:val="0"/>
          <w:marTop w:val="0"/>
          <w:marBottom w:val="0"/>
          <w:divBdr>
            <w:top w:val="none" w:sz="0" w:space="0" w:color="auto"/>
            <w:left w:val="none" w:sz="0" w:space="0" w:color="auto"/>
            <w:bottom w:val="none" w:sz="0" w:space="0" w:color="auto"/>
            <w:right w:val="none" w:sz="0" w:space="0" w:color="auto"/>
          </w:divBdr>
        </w:div>
        <w:div w:id="883761450">
          <w:marLeft w:val="640"/>
          <w:marRight w:val="0"/>
          <w:marTop w:val="0"/>
          <w:marBottom w:val="0"/>
          <w:divBdr>
            <w:top w:val="none" w:sz="0" w:space="0" w:color="auto"/>
            <w:left w:val="none" w:sz="0" w:space="0" w:color="auto"/>
            <w:bottom w:val="none" w:sz="0" w:space="0" w:color="auto"/>
            <w:right w:val="none" w:sz="0" w:space="0" w:color="auto"/>
          </w:divBdr>
        </w:div>
        <w:div w:id="487481690">
          <w:marLeft w:val="640"/>
          <w:marRight w:val="0"/>
          <w:marTop w:val="0"/>
          <w:marBottom w:val="0"/>
          <w:divBdr>
            <w:top w:val="none" w:sz="0" w:space="0" w:color="auto"/>
            <w:left w:val="none" w:sz="0" w:space="0" w:color="auto"/>
            <w:bottom w:val="none" w:sz="0" w:space="0" w:color="auto"/>
            <w:right w:val="none" w:sz="0" w:space="0" w:color="auto"/>
          </w:divBdr>
        </w:div>
        <w:div w:id="150489836">
          <w:marLeft w:val="640"/>
          <w:marRight w:val="0"/>
          <w:marTop w:val="0"/>
          <w:marBottom w:val="0"/>
          <w:divBdr>
            <w:top w:val="none" w:sz="0" w:space="0" w:color="auto"/>
            <w:left w:val="none" w:sz="0" w:space="0" w:color="auto"/>
            <w:bottom w:val="none" w:sz="0" w:space="0" w:color="auto"/>
            <w:right w:val="none" w:sz="0" w:space="0" w:color="auto"/>
          </w:divBdr>
        </w:div>
        <w:div w:id="1767799786">
          <w:marLeft w:val="640"/>
          <w:marRight w:val="0"/>
          <w:marTop w:val="0"/>
          <w:marBottom w:val="0"/>
          <w:divBdr>
            <w:top w:val="none" w:sz="0" w:space="0" w:color="auto"/>
            <w:left w:val="none" w:sz="0" w:space="0" w:color="auto"/>
            <w:bottom w:val="none" w:sz="0" w:space="0" w:color="auto"/>
            <w:right w:val="none" w:sz="0" w:space="0" w:color="auto"/>
          </w:divBdr>
        </w:div>
        <w:div w:id="246159894">
          <w:marLeft w:val="640"/>
          <w:marRight w:val="0"/>
          <w:marTop w:val="0"/>
          <w:marBottom w:val="0"/>
          <w:divBdr>
            <w:top w:val="none" w:sz="0" w:space="0" w:color="auto"/>
            <w:left w:val="none" w:sz="0" w:space="0" w:color="auto"/>
            <w:bottom w:val="none" w:sz="0" w:space="0" w:color="auto"/>
            <w:right w:val="none" w:sz="0" w:space="0" w:color="auto"/>
          </w:divBdr>
        </w:div>
        <w:div w:id="1759060621">
          <w:marLeft w:val="640"/>
          <w:marRight w:val="0"/>
          <w:marTop w:val="0"/>
          <w:marBottom w:val="0"/>
          <w:divBdr>
            <w:top w:val="none" w:sz="0" w:space="0" w:color="auto"/>
            <w:left w:val="none" w:sz="0" w:space="0" w:color="auto"/>
            <w:bottom w:val="none" w:sz="0" w:space="0" w:color="auto"/>
            <w:right w:val="none" w:sz="0" w:space="0" w:color="auto"/>
          </w:divBdr>
        </w:div>
        <w:div w:id="252472147">
          <w:marLeft w:val="640"/>
          <w:marRight w:val="0"/>
          <w:marTop w:val="0"/>
          <w:marBottom w:val="0"/>
          <w:divBdr>
            <w:top w:val="none" w:sz="0" w:space="0" w:color="auto"/>
            <w:left w:val="none" w:sz="0" w:space="0" w:color="auto"/>
            <w:bottom w:val="none" w:sz="0" w:space="0" w:color="auto"/>
            <w:right w:val="none" w:sz="0" w:space="0" w:color="auto"/>
          </w:divBdr>
        </w:div>
        <w:div w:id="282884154">
          <w:marLeft w:val="640"/>
          <w:marRight w:val="0"/>
          <w:marTop w:val="0"/>
          <w:marBottom w:val="0"/>
          <w:divBdr>
            <w:top w:val="none" w:sz="0" w:space="0" w:color="auto"/>
            <w:left w:val="none" w:sz="0" w:space="0" w:color="auto"/>
            <w:bottom w:val="none" w:sz="0" w:space="0" w:color="auto"/>
            <w:right w:val="none" w:sz="0" w:space="0" w:color="auto"/>
          </w:divBdr>
        </w:div>
        <w:div w:id="869152161">
          <w:marLeft w:val="640"/>
          <w:marRight w:val="0"/>
          <w:marTop w:val="0"/>
          <w:marBottom w:val="0"/>
          <w:divBdr>
            <w:top w:val="none" w:sz="0" w:space="0" w:color="auto"/>
            <w:left w:val="none" w:sz="0" w:space="0" w:color="auto"/>
            <w:bottom w:val="none" w:sz="0" w:space="0" w:color="auto"/>
            <w:right w:val="none" w:sz="0" w:space="0" w:color="auto"/>
          </w:divBdr>
        </w:div>
        <w:div w:id="1512719184">
          <w:marLeft w:val="640"/>
          <w:marRight w:val="0"/>
          <w:marTop w:val="0"/>
          <w:marBottom w:val="0"/>
          <w:divBdr>
            <w:top w:val="none" w:sz="0" w:space="0" w:color="auto"/>
            <w:left w:val="none" w:sz="0" w:space="0" w:color="auto"/>
            <w:bottom w:val="none" w:sz="0" w:space="0" w:color="auto"/>
            <w:right w:val="none" w:sz="0" w:space="0" w:color="auto"/>
          </w:divBdr>
        </w:div>
        <w:div w:id="1381006327">
          <w:marLeft w:val="640"/>
          <w:marRight w:val="0"/>
          <w:marTop w:val="0"/>
          <w:marBottom w:val="0"/>
          <w:divBdr>
            <w:top w:val="none" w:sz="0" w:space="0" w:color="auto"/>
            <w:left w:val="none" w:sz="0" w:space="0" w:color="auto"/>
            <w:bottom w:val="none" w:sz="0" w:space="0" w:color="auto"/>
            <w:right w:val="none" w:sz="0" w:space="0" w:color="auto"/>
          </w:divBdr>
        </w:div>
        <w:div w:id="923343940">
          <w:marLeft w:val="640"/>
          <w:marRight w:val="0"/>
          <w:marTop w:val="0"/>
          <w:marBottom w:val="0"/>
          <w:divBdr>
            <w:top w:val="none" w:sz="0" w:space="0" w:color="auto"/>
            <w:left w:val="none" w:sz="0" w:space="0" w:color="auto"/>
            <w:bottom w:val="none" w:sz="0" w:space="0" w:color="auto"/>
            <w:right w:val="none" w:sz="0" w:space="0" w:color="auto"/>
          </w:divBdr>
        </w:div>
        <w:div w:id="889535499">
          <w:marLeft w:val="640"/>
          <w:marRight w:val="0"/>
          <w:marTop w:val="0"/>
          <w:marBottom w:val="0"/>
          <w:divBdr>
            <w:top w:val="none" w:sz="0" w:space="0" w:color="auto"/>
            <w:left w:val="none" w:sz="0" w:space="0" w:color="auto"/>
            <w:bottom w:val="none" w:sz="0" w:space="0" w:color="auto"/>
            <w:right w:val="none" w:sz="0" w:space="0" w:color="auto"/>
          </w:divBdr>
        </w:div>
        <w:div w:id="2021082164">
          <w:marLeft w:val="640"/>
          <w:marRight w:val="0"/>
          <w:marTop w:val="0"/>
          <w:marBottom w:val="0"/>
          <w:divBdr>
            <w:top w:val="none" w:sz="0" w:space="0" w:color="auto"/>
            <w:left w:val="none" w:sz="0" w:space="0" w:color="auto"/>
            <w:bottom w:val="none" w:sz="0" w:space="0" w:color="auto"/>
            <w:right w:val="none" w:sz="0" w:space="0" w:color="auto"/>
          </w:divBdr>
        </w:div>
        <w:div w:id="1629359766">
          <w:marLeft w:val="640"/>
          <w:marRight w:val="0"/>
          <w:marTop w:val="0"/>
          <w:marBottom w:val="0"/>
          <w:divBdr>
            <w:top w:val="none" w:sz="0" w:space="0" w:color="auto"/>
            <w:left w:val="none" w:sz="0" w:space="0" w:color="auto"/>
            <w:bottom w:val="none" w:sz="0" w:space="0" w:color="auto"/>
            <w:right w:val="none" w:sz="0" w:space="0" w:color="auto"/>
          </w:divBdr>
        </w:div>
        <w:div w:id="402022961">
          <w:marLeft w:val="640"/>
          <w:marRight w:val="0"/>
          <w:marTop w:val="0"/>
          <w:marBottom w:val="0"/>
          <w:divBdr>
            <w:top w:val="none" w:sz="0" w:space="0" w:color="auto"/>
            <w:left w:val="none" w:sz="0" w:space="0" w:color="auto"/>
            <w:bottom w:val="none" w:sz="0" w:space="0" w:color="auto"/>
            <w:right w:val="none" w:sz="0" w:space="0" w:color="auto"/>
          </w:divBdr>
        </w:div>
        <w:div w:id="617949828">
          <w:marLeft w:val="640"/>
          <w:marRight w:val="0"/>
          <w:marTop w:val="0"/>
          <w:marBottom w:val="0"/>
          <w:divBdr>
            <w:top w:val="none" w:sz="0" w:space="0" w:color="auto"/>
            <w:left w:val="none" w:sz="0" w:space="0" w:color="auto"/>
            <w:bottom w:val="none" w:sz="0" w:space="0" w:color="auto"/>
            <w:right w:val="none" w:sz="0" w:space="0" w:color="auto"/>
          </w:divBdr>
        </w:div>
        <w:div w:id="574437500">
          <w:marLeft w:val="640"/>
          <w:marRight w:val="0"/>
          <w:marTop w:val="0"/>
          <w:marBottom w:val="0"/>
          <w:divBdr>
            <w:top w:val="none" w:sz="0" w:space="0" w:color="auto"/>
            <w:left w:val="none" w:sz="0" w:space="0" w:color="auto"/>
            <w:bottom w:val="none" w:sz="0" w:space="0" w:color="auto"/>
            <w:right w:val="none" w:sz="0" w:space="0" w:color="auto"/>
          </w:divBdr>
        </w:div>
        <w:div w:id="914321808">
          <w:marLeft w:val="640"/>
          <w:marRight w:val="0"/>
          <w:marTop w:val="0"/>
          <w:marBottom w:val="0"/>
          <w:divBdr>
            <w:top w:val="none" w:sz="0" w:space="0" w:color="auto"/>
            <w:left w:val="none" w:sz="0" w:space="0" w:color="auto"/>
            <w:bottom w:val="none" w:sz="0" w:space="0" w:color="auto"/>
            <w:right w:val="none" w:sz="0" w:space="0" w:color="auto"/>
          </w:divBdr>
        </w:div>
        <w:div w:id="340544025">
          <w:marLeft w:val="640"/>
          <w:marRight w:val="0"/>
          <w:marTop w:val="0"/>
          <w:marBottom w:val="0"/>
          <w:divBdr>
            <w:top w:val="none" w:sz="0" w:space="0" w:color="auto"/>
            <w:left w:val="none" w:sz="0" w:space="0" w:color="auto"/>
            <w:bottom w:val="none" w:sz="0" w:space="0" w:color="auto"/>
            <w:right w:val="none" w:sz="0" w:space="0" w:color="auto"/>
          </w:divBdr>
        </w:div>
        <w:div w:id="1164589425">
          <w:marLeft w:val="640"/>
          <w:marRight w:val="0"/>
          <w:marTop w:val="0"/>
          <w:marBottom w:val="0"/>
          <w:divBdr>
            <w:top w:val="none" w:sz="0" w:space="0" w:color="auto"/>
            <w:left w:val="none" w:sz="0" w:space="0" w:color="auto"/>
            <w:bottom w:val="none" w:sz="0" w:space="0" w:color="auto"/>
            <w:right w:val="none" w:sz="0" w:space="0" w:color="auto"/>
          </w:divBdr>
        </w:div>
        <w:div w:id="300693629">
          <w:marLeft w:val="640"/>
          <w:marRight w:val="0"/>
          <w:marTop w:val="0"/>
          <w:marBottom w:val="0"/>
          <w:divBdr>
            <w:top w:val="none" w:sz="0" w:space="0" w:color="auto"/>
            <w:left w:val="none" w:sz="0" w:space="0" w:color="auto"/>
            <w:bottom w:val="none" w:sz="0" w:space="0" w:color="auto"/>
            <w:right w:val="none" w:sz="0" w:space="0" w:color="auto"/>
          </w:divBdr>
        </w:div>
        <w:div w:id="389153254">
          <w:marLeft w:val="640"/>
          <w:marRight w:val="0"/>
          <w:marTop w:val="0"/>
          <w:marBottom w:val="0"/>
          <w:divBdr>
            <w:top w:val="none" w:sz="0" w:space="0" w:color="auto"/>
            <w:left w:val="none" w:sz="0" w:space="0" w:color="auto"/>
            <w:bottom w:val="none" w:sz="0" w:space="0" w:color="auto"/>
            <w:right w:val="none" w:sz="0" w:space="0" w:color="auto"/>
          </w:divBdr>
        </w:div>
        <w:div w:id="1979338067">
          <w:marLeft w:val="640"/>
          <w:marRight w:val="0"/>
          <w:marTop w:val="0"/>
          <w:marBottom w:val="0"/>
          <w:divBdr>
            <w:top w:val="none" w:sz="0" w:space="0" w:color="auto"/>
            <w:left w:val="none" w:sz="0" w:space="0" w:color="auto"/>
            <w:bottom w:val="none" w:sz="0" w:space="0" w:color="auto"/>
            <w:right w:val="none" w:sz="0" w:space="0" w:color="auto"/>
          </w:divBdr>
        </w:div>
        <w:div w:id="1900750964">
          <w:marLeft w:val="640"/>
          <w:marRight w:val="0"/>
          <w:marTop w:val="0"/>
          <w:marBottom w:val="0"/>
          <w:divBdr>
            <w:top w:val="none" w:sz="0" w:space="0" w:color="auto"/>
            <w:left w:val="none" w:sz="0" w:space="0" w:color="auto"/>
            <w:bottom w:val="none" w:sz="0" w:space="0" w:color="auto"/>
            <w:right w:val="none" w:sz="0" w:space="0" w:color="auto"/>
          </w:divBdr>
        </w:div>
        <w:div w:id="288777899">
          <w:marLeft w:val="640"/>
          <w:marRight w:val="0"/>
          <w:marTop w:val="0"/>
          <w:marBottom w:val="0"/>
          <w:divBdr>
            <w:top w:val="none" w:sz="0" w:space="0" w:color="auto"/>
            <w:left w:val="none" w:sz="0" w:space="0" w:color="auto"/>
            <w:bottom w:val="none" w:sz="0" w:space="0" w:color="auto"/>
            <w:right w:val="none" w:sz="0" w:space="0" w:color="auto"/>
          </w:divBdr>
        </w:div>
        <w:div w:id="1576696553">
          <w:marLeft w:val="640"/>
          <w:marRight w:val="0"/>
          <w:marTop w:val="0"/>
          <w:marBottom w:val="0"/>
          <w:divBdr>
            <w:top w:val="none" w:sz="0" w:space="0" w:color="auto"/>
            <w:left w:val="none" w:sz="0" w:space="0" w:color="auto"/>
            <w:bottom w:val="none" w:sz="0" w:space="0" w:color="auto"/>
            <w:right w:val="none" w:sz="0" w:space="0" w:color="auto"/>
          </w:divBdr>
        </w:div>
        <w:div w:id="1261833930">
          <w:marLeft w:val="640"/>
          <w:marRight w:val="0"/>
          <w:marTop w:val="0"/>
          <w:marBottom w:val="0"/>
          <w:divBdr>
            <w:top w:val="none" w:sz="0" w:space="0" w:color="auto"/>
            <w:left w:val="none" w:sz="0" w:space="0" w:color="auto"/>
            <w:bottom w:val="none" w:sz="0" w:space="0" w:color="auto"/>
            <w:right w:val="none" w:sz="0" w:space="0" w:color="auto"/>
          </w:divBdr>
        </w:div>
        <w:div w:id="451830866">
          <w:marLeft w:val="640"/>
          <w:marRight w:val="0"/>
          <w:marTop w:val="0"/>
          <w:marBottom w:val="0"/>
          <w:divBdr>
            <w:top w:val="none" w:sz="0" w:space="0" w:color="auto"/>
            <w:left w:val="none" w:sz="0" w:space="0" w:color="auto"/>
            <w:bottom w:val="none" w:sz="0" w:space="0" w:color="auto"/>
            <w:right w:val="none" w:sz="0" w:space="0" w:color="auto"/>
          </w:divBdr>
        </w:div>
        <w:div w:id="523905632">
          <w:marLeft w:val="640"/>
          <w:marRight w:val="0"/>
          <w:marTop w:val="0"/>
          <w:marBottom w:val="0"/>
          <w:divBdr>
            <w:top w:val="none" w:sz="0" w:space="0" w:color="auto"/>
            <w:left w:val="none" w:sz="0" w:space="0" w:color="auto"/>
            <w:bottom w:val="none" w:sz="0" w:space="0" w:color="auto"/>
            <w:right w:val="none" w:sz="0" w:space="0" w:color="auto"/>
          </w:divBdr>
        </w:div>
        <w:div w:id="1257178004">
          <w:marLeft w:val="640"/>
          <w:marRight w:val="0"/>
          <w:marTop w:val="0"/>
          <w:marBottom w:val="0"/>
          <w:divBdr>
            <w:top w:val="none" w:sz="0" w:space="0" w:color="auto"/>
            <w:left w:val="none" w:sz="0" w:space="0" w:color="auto"/>
            <w:bottom w:val="none" w:sz="0" w:space="0" w:color="auto"/>
            <w:right w:val="none" w:sz="0" w:space="0" w:color="auto"/>
          </w:divBdr>
        </w:div>
        <w:div w:id="1629314197">
          <w:marLeft w:val="640"/>
          <w:marRight w:val="0"/>
          <w:marTop w:val="0"/>
          <w:marBottom w:val="0"/>
          <w:divBdr>
            <w:top w:val="none" w:sz="0" w:space="0" w:color="auto"/>
            <w:left w:val="none" w:sz="0" w:space="0" w:color="auto"/>
            <w:bottom w:val="none" w:sz="0" w:space="0" w:color="auto"/>
            <w:right w:val="none" w:sz="0" w:space="0" w:color="auto"/>
          </w:divBdr>
        </w:div>
        <w:div w:id="1623800377">
          <w:marLeft w:val="640"/>
          <w:marRight w:val="0"/>
          <w:marTop w:val="0"/>
          <w:marBottom w:val="0"/>
          <w:divBdr>
            <w:top w:val="none" w:sz="0" w:space="0" w:color="auto"/>
            <w:left w:val="none" w:sz="0" w:space="0" w:color="auto"/>
            <w:bottom w:val="none" w:sz="0" w:space="0" w:color="auto"/>
            <w:right w:val="none" w:sz="0" w:space="0" w:color="auto"/>
          </w:divBdr>
        </w:div>
        <w:div w:id="1897231267">
          <w:marLeft w:val="640"/>
          <w:marRight w:val="0"/>
          <w:marTop w:val="0"/>
          <w:marBottom w:val="0"/>
          <w:divBdr>
            <w:top w:val="none" w:sz="0" w:space="0" w:color="auto"/>
            <w:left w:val="none" w:sz="0" w:space="0" w:color="auto"/>
            <w:bottom w:val="none" w:sz="0" w:space="0" w:color="auto"/>
            <w:right w:val="none" w:sz="0" w:space="0" w:color="auto"/>
          </w:divBdr>
        </w:div>
        <w:div w:id="187569839">
          <w:marLeft w:val="640"/>
          <w:marRight w:val="0"/>
          <w:marTop w:val="0"/>
          <w:marBottom w:val="0"/>
          <w:divBdr>
            <w:top w:val="none" w:sz="0" w:space="0" w:color="auto"/>
            <w:left w:val="none" w:sz="0" w:space="0" w:color="auto"/>
            <w:bottom w:val="none" w:sz="0" w:space="0" w:color="auto"/>
            <w:right w:val="none" w:sz="0" w:space="0" w:color="auto"/>
          </w:divBdr>
        </w:div>
        <w:div w:id="1099062203">
          <w:marLeft w:val="640"/>
          <w:marRight w:val="0"/>
          <w:marTop w:val="0"/>
          <w:marBottom w:val="0"/>
          <w:divBdr>
            <w:top w:val="none" w:sz="0" w:space="0" w:color="auto"/>
            <w:left w:val="none" w:sz="0" w:space="0" w:color="auto"/>
            <w:bottom w:val="none" w:sz="0" w:space="0" w:color="auto"/>
            <w:right w:val="none" w:sz="0" w:space="0" w:color="auto"/>
          </w:divBdr>
        </w:div>
        <w:div w:id="238833465">
          <w:marLeft w:val="640"/>
          <w:marRight w:val="0"/>
          <w:marTop w:val="0"/>
          <w:marBottom w:val="0"/>
          <w:divBdr>
            <w:top w:val="none" w:sz="0" w:space="0" w:color="auto"/>
            <w:left w:val="none" w:sz="0" w:space="0" w:color="auto"/>
            <w:bottom w:val="none" w:sz="0" w:space="0" w:color="auto"/>
            <w:right w:val="none" w:sz="0" w:space="0" w:color="auto"/>
          </w:divBdr>
        </w:div>
        <w:div w:id="1751468797">
          <w:marLeft w:val="640"/>
          <w:marRight w:val="0"/>
          <w:marTop w:val="0"/>
          <w:marBottom w:val="0"/>
          <w:divBdr>
            <w:top w:val="none" w:sz="0" w:space="0" w:color="auto"/>
            <w:left w:val="none" w:sz="0" w:space="0" w:color="auto"/>
            <w:bottom w:val="none" w:sz="0" w:space="0" w:color="auto"/>
            <w:right w:val="none" w:sz="0" w:space="0" w:color="auto"/>
          </w:divBdr>
        </w:div>
        <w:div w:id="1036542881">
          <w:marLeft w:val="640"/>
          <w:marRight w:val="0"/>
          <w:marTop w:val="0"/>
          <w:marBottom w:val="0"/>
          <w:divBdr>
            <w:top w:val="none" w:sz="0" w:space="0" w:color="auto"/>
            <w:left w:val="none" w:sz="0" w:space="0" w:color="auto"/>
            <w:bottom w:val="none" w:sz="0" w:space="0" w:color="auto"/>
            <w:right w:val="none" w:sz="0" w:space="0" w:color="auto"/>
          </w:divBdr>
        </w:div>
        <w:div w:id="772286979">
          <w:marLeft w:val="640"/>
          <w:marRight w:val="0"/>
          <w:marTop w:val="0"/>
          <w:marBottom w:val="0"/>
          <w:divBdr>
            <w:top w:val="none" w:sz="0" w:space="0" w:color="auto"/>
            <w:left w:val="none" w:sz="0" w:space="0" w:color="auto"/>
            <w:bottom w:val="none" w:sz="0" w:space="0" w:color="auto"/>
            <w:right w:val="none" w:sz="0" w:space="0" w:color="auto"/>
          </w:divBdr>
        </w:div>
        <w:div w:id="2131362298">
          <w:marLeft w:val="640"/>
          <w:marRight w:val="0"/>
          <w:marTop w:val="0"/>
          <w:marBottom w:val="0"/>
          <w:divBdr>
            <w:top w:val="none" w:sz="0" w:space="0" w:color="auto"/>
            <w:left w:val="none" w:sz="0" w:space="0" w:color="auto"/>
            <w:bottom w:val="none" w:sz="0" w:space="0" w:color="auto"/>
            <w:right w:val="none" w:sz="0" w:space="0" w:color="auto"/>
          </w:divBdr>
        </w:div>
        <w:div w:id="1997149772">
          <w:marLeft w:val="640"/>
          <w:marRight w:val="0"/>
          <w:marTop w:val="0"/>
          <w:marBottom w:val="0"/>
          <w:divBdr>
            <w:top w:val="none" w:sz="0" w:space="0" w:color="auto"/>
            <w:left w:val="none" w:sz="0" w:space="0" w:color="auto"/>
            <w:bottom w:val="none" w:sz="0" w:space="0" w:color="auto"/>
            <w:right w:val="none" w:sz="0" w:space="0" w:color="auto"/>
          </w:divBdr>
        </w:div>
        <w:div w:id="1936592253">
          <w:marLeft w:val="640"/>
          <w:marRight w:val="0"/>
          <w:marTop w:val="0"/>
          <w:marBottom w:val="0"/>
          <w:divBdr>
            <w:top w:val="none" w:sz="0" w:space="0" w:color="auto"/>
            <w:left w:val="none" w:sz="0" w:space="0" w:color="auto"/>
            <w:bottom w:val="none" w:sz="0" w:space="0" w:color="auto"/>
            <w:right w:val="none" w:sz="0" w:space="0" w:color="auto"/>
          </w:divBdr>
        </w:div>
        <w:div w:id="2039892089">
          <w:marLeft w:val="640"/>
          <w:marRight w:val="0"/>
          <w:marTop w:val="0"/>
          <w:marBottom w:val="0"/>
          <w:divBdr>
            <w:top w:val="none" w:sz="0" w:space="0" w:color="auto"/>
            <w:left w:val="none" w:sz="0" w:space="0" w:color="auto"/>
            <w:bottom w:val="none" w:sz="0" w:space="0" w:color="auto"/>
            <w:right w:val="none" w:sz="0" w:space="0" w:color="auto"/>
          </w:divBdr>
        </w:div>
        <w:div w:id="1178734391">
          <w:marLeft w:val="640"/>
          <w:marRight w:val="0"/>
          <w:marTop w:val="0"/>
          <w:marBottom w:val="0"/>
          <w:divBdr>
            <w:top w:val="none" w:sz="0" w:space="0" w:color="auto"/>
            <w:left w:val="none" w:sz="0" w:space="0" w:color="auto"/>
            <w:bottom w:val="none" w:sz="0" w:space="0" w:color="auto"/>
            <w:right w:val="none" w:sz="0" w:space="0" w:color="auto"/>
          </w:divBdr>
        </w:div>
        <w:div w:id="596014320">
          <w:marLeft w:val="640"/>
          <w:marRight w:val="0"/>
          <w:marTop w:val="0"/>
          <w:marBottom w:val="0"/>
          <w:divBdr>
            <w:top w:val="none" w:sz="0" w:space="0" w:color="auto"/>
            <w:left w:val="none" w:sz="0" w:space="0" w:color="auto"/>
            <w:bottom w:val="none" w:sz="0" w:space="0" w:color="auto"/>
            <w:right w:val="none" w:sz="0" w:space="0" w:color="auto"/>
          </w:divBdr>
        </w:div>
        <w:div w:id="839856976">
          <w:marLeft w:val="640"/>
          <w:marRight w:val="0"/>
          <w:marTop w:val="0"/>
          <w:marBottom w:val="0"/>
          <w:divBdr>
            <w:top w:val="none" w:sz="0" w:space="0" w:color="auto"/>
            <w:left w:val="none" w:sz="0" w:space="0" w:color="auto"/>
            <w:bottom w:val="none" w:sz="0" w:space="0" w:color="auto"/>
            <w:right w:val="none" w:sz="0" w:space="0" w:color="auto"/>
          </w:divBdr>
        </w:div>
        <w:div w:id="602422263">
          <w:marLeft w:val="640"/>
          <w:marRight w:val="0"/>
          <w:marTop w:val="0"/>
          <w:marBottom w:val="0"/>
          <w:divBdr>
            <w:top w:val="none" w:sz="0" w:space="0" w:color="auto"/>
            <w:left w:val="none" w:sz="0" w:space="0" w:color="auto"/>
            <w:bottom w:val="none" w:sz="0" w:space="0" w:color="auto"/>
            <w:right w:val="none" w:sz="0" w:space="0" w:color="auto"/>
          </w:divBdr>
        </w:div>
        <w:div w:id="504714618">
          <w:marLeft w:val="640"/>
          <w:marRight w:val="0"/>
          <w:marTop w:val="0"/>
          <w:marBottom w:val="0"/>
          <w:divBdr>
            <w:top w:val="none" w:sz="0" w:space="0" w:color="auto"/>
            <w:left w:val="none" w:sz="0" w:space="0" w:color="auto"/>
            <w:bottom w:val="none" w:sz="0" w:space="0" w:color="auto"/>
            <w:right w:val="none" w:sz="0" w:space="0" w:color="auto"/>
          </w:divBdr>
        </w:div>
        <w:div w:id="453250327">
          <w:marLeft w:val="640"/>
          <w:marRight w:val="0"/>
          <w:marTop w:val="0"/>
          <w:marBottom w:val="0"/>
          <w:divBdr>
            <w:top w:val="none" w:sz="0" w:space="0" w:color="auto"/>
            <w:left w:val="none" w:sz="0" w:space="0" w:color="auto"/>
            <w:bottom w:val="none" w:sz="0" w:space="0" w:color="auto"/>
            <w:right w:val="none" w:sz="0" w:space="0" w:color="auto"/>
          </w:divBdr>
        </w:div>
        <w:div w:id="1869752219">
          <w:marLeft w:val="640"/>
          <w:marRight w:val="0"/>
          <w:marTop w:val="0"/>
          <w:marBottom w:val="0"/>
          <w:divBdr>
            <w:top w:val="none" w:sz="0" w:space="0" w:color="auto"/>
            <w:left w:val="none" w:sz="0" w:space="0" w:color="auto"/>
            <w:bottom w:val="none" w:sz="0" w:space="0" w:color="auto"/>
            <w:right w:val="none" w:sz="0" w:space="0" w:color="auto"/>
          </w:divBdr>
        </w:div>
        <w:div w:id="1953977150">
          <w:marLeft w:val="640"/>
          <w:marRight w:val="0"/>
          <w:marTop w:val="0"/>
          <w:marBottom w:val="0"/>
          <w:divBdr>
            <w:top w:val="none" w:sz="0" w:space="0" w:color="auto"/>
            <w:left w:val="none" w:sz="0" w:space="0" w:color="auto"/>
            <w:bottom w:val="none" w:sz="0" w:space="0" w:color="auto"/>
            <w:right w:val="none" w:sz="0" w:space="0" w:color="auto"/>
          </w:divBdr>
        </w:div>
        <w:div w:id="1300957432">
          <w:marLeft w:val="640"/>
          <w:marRight w:val="0"/>
          <w:marTop w:val="0"/>
          <w:marBottom w:val="0"/>
          <w:divBdr>
            <w:top w:val="none" w:sz="0" w:space="0" w:color="auto"/>
            <w:left w:val="none" w:sz="0" w:space="0" w:color="auto"/>
            <w:bottom w:val="none" w:sz="0" w:space="0" w:color="auto"/>
            <w:right w:val="none" w:sz="0" w:space="0" w:color="auto"/>
          </w:divBdr>
        </w:div>
        <w:div w:id="2132627965">
          <w:marLeft w:val="640"/>
          <w:marRight w:val="0"/>
          <w:marTop w:val="0"/>
          <w:marBottom w:val="0"/>
          <w:divBdr>
            <w:top w:val="none" w:sz="0" w:space="0" w:color="auto"/>
            <w:left w:val="none" w:sz="0" w:space="0" w:color="auto"/>
            <w:bottom w:val="none" w:sz="0" w:space="0" w:color="auto"/>
            <w:right w:val="none" w:sz="0" w:space="0" w:color="auto"/>
          </w:divBdr>
        </w:div>
        <w:div w:id="1691100196">
          <w:marLeft w:val="640"/>
          <w:marRight w:val="0"/>
          <w:marTop w:val="0"/>
          <w:marBottom w:val="0"/>
          <w:divBdr>
            <w:top w:val="none" w:sz="0" w:space="0" w:color="auto"/>
            <w:left w:val="none" w:sz="0" w:space="0" w:color="auto"/>
            <w:bottom w:val="none" w:sz="0" w:space="0" w:color="auto"/>
            <w:right w:val="none" w:sz="0" w:space="0" w:color="auto"/>
          </w:divBdr>
        </w:div>
        <w:div w:id="125856917">
          <w:marLeft w:val="640"/>
          <w:marRight w:val="0"/>
          <w:marTop w:val="0"/>
          <w:marBottom w:val="0"/>
          <w:divBdr>
            <w:top w:val="none" w:sz="0" w:space="0" w:color="auto"/>
            <w:left w:val="none" w:sz="0" w:space="0" w:color="auto"/>
            <w:bottom w:val="none" w:sz="0" w:space="0" w:color="auto"/>
            <w:right w:val="none" w:sz="0" w:space="0" w:color="auto"/>
          </w:divBdr>
        </w:div>
        <w:div w:id="1047921466">
          <w:marLeft w:val="640"/>
          <w:marRight w:val="0"/>
          <w:marTop w:val="0"/>
          <w:marBottom w:val="0"/>
          <w:divBdr>
            <w:top w:val="none" w:sz="0" w:space="0" w:color="auto"/>
            <w:left w:val="none" w:sz="0" w:space="0" w:color="auto"/>
            <w:bottom w:val="none" w:sz="0" w:space="0" w:color="auto"/>
            <w:right w:val="none" w:sz="0" w:space="0" w:color="auto"/>
          </w:divBdr>
        </w:div>
        <w:div w:id="1893808242">
          <w:marLeft w:val="640"/>
          <w:marRight w:val="0"/>
          <w:marTop w:val="0"/>
          <w:marBottom w:val="0"/>
          <w:divBdr>
            <w:top w:val="none" w:sz="0" w:space="0" w:color="auto"/>
            <w:left w:val="none" w:sz="0" w:space="0" w:color="auto"/>
            <w:bottom w:val="none" w:sz="0" w:space="0" w:color="auto"/>
            <w:right w:val="none" w:sz="0" w:space="0" w:color="auto"/>
          </w:divBdr>
        </w:div>
        <w:div w:id="1161850814">
          <w:marLeft w:val="640"/>
          <w:marRight w:val="0"/>
          <w:marTop w:val="0"/>
          <w:marBottom w:val="0"/>
          <w:divBdr>
            <w:top w:val="none" w:sz="0" w:space="0" w:color="auto"/>
            <w:left w:val="none" w:sz="0" w:space="0" w:color="auto"/>
            <w:bottom w:val="none" w:sz="0" w:space="0" w:color="auto"/>
            <w:right w:val="none" w:sz="0" w:space="0" w:color="auto"/>
          </w:divBdr>
        </w:div>
        <w:div w:id="588541577">
          <w:marLeft w:val="640"/>
          <w:marRight w:val="0"/>
          <w:marTop w:val="0"/>
          <w:marBottom w:val="0"/>
          <w:divBdr>
            <w:top w:val="none" w:sz="0" w:space="0" w:color="auto"/>
            <w:left w:val="none" w:sz="0" w:space="0" w:color="auto"/>
            <w:bottom w:val="none" w:sz="0" w:space="0" w:color="auto"/>
            <w:right w:val="none" w:sz="0" w:space="0" w:color="auto"/>
          </w:divBdr>
        </w:div>
        <w:div w:id="1089034834">
          <w:marLeft w:val="640"/>
          <w:marRight w:val="0"/>
          <w:marTop w:val="0"/>
          <w:marBottom w:val="0"/>
          <w:divBdr>
            <w:top w:val="none" w:sz="0" w:space="0" w:color="auto"/>
            <w:left w:val="none" w:sz="0" w:space="0" w:color="auto"/>
            <w:bottom w:val="none" w:sz="0" w:space="0" w:color="auto"/>
            <w:right w:val="none" w:sz="0" w:space="0" w:color="auto"/>
          </w:divBdr>
        </w:div>
        <w:div w:id="1251961286">
          <w:marLeft w:val="640"/>
          <w:marRight w:val="0"/>
          <w:marTop w:val="0"/>
          <w:marBottom w:val="0"/>
          <w:divBdr>
            <w:top w:val="none" w:sz="0" w:space="0" w:color="auto"/>
            <w:left w:val="none" w:sz="0" w:space="0" w:color="auto"/>
            <w:bottom w:val="none" w:sz="0" w:space="0" w:color="auto"/>
            <w:right w:val="none" w:sz="0" w:space="0" w:color="auto"/>
          </w:divBdr>
        </w:div>
        <w:div w:id="174273341">
          <w:marLeft w:val="640"/>
          <w:marRight w:val="0"/>
          <w:marTop w:val="0"/>
          <w:marBottom w:val="0"/>
          <w:divBdr>
            <w:top w:val="none" w:sz="0" w:space="0" w:color="auto"/>
            <w:left w:val="none" w:sz="0" w:space="0" w:color="auto"/>
            <w:bottom w:val="none" w:sz="0" w:space="0" w:color="auto"/>
            <w:right w:val="none" w:sz="0" w:space="0" w:color="auto"/>
          </w:divBdr>
        </w:div>
        <w:div w:id="1155222519">
          <w:marLeft w:val="640"/>
          <w:marRight w:val="0"/>
          <w:marTop w:val="0"/>
          <w:marBottom w:val="0"/>
          <w:divBdr>
            <w:top w:val="none" w:sz="0" w:space="0" w:color="auto"/>
            <w:left w:val="none" w:sz="0" w:space="0" w:color="auto"/>
            <w:bottom w:val="none" w:sz="0" w:space="0" w:color="auto"/>
            <w:right w:val="none" w:sz="0" w:space="0" w:color="auto"/>
          </w:divBdr>
        </w:div>
        <w:div w:id="1252397516">
          <w:marLeft w:val="640"/>
          <w:marRight w:val="0"/>
          <w:marTop w:val="0"/>
          <w:marBottom w:val="0"/>
          <w:divBdr>
            <w:top w:val="none" w:sz="0" w:space="0" w:color="auto"/>
            <w:left w:val="none" w:sz="0" w:space="0" w:color="auto"/>
            <w:bottom w:val="none" w:sz="0" w:space="0" w:color="auto"/>
            <w:right w:val="none" w:sz="0" w:space="0" w:color="auto"/>
          </w:divBdr>
        </w:div>
        <w:div w:id="1805266739">
          <w:marLeft w:val="640"/>
          <w:marRight w:val="0"/>
          <w:marTop w:val="0"/>
          <w:marBottom w:val="0"/>
          <w:divBdr>
            <w:top w:val="none" w:sz="0" w:space="0" w:color="auto"/>
            <w:left w:val="none" w:sz="0" w:space="0" w:color="auto"/>
            <w:bottom w:val="none" w:sz="0" w:space="0" w:color="auto"/>
            <w:right w:val="none" w:sz="0" w:space="0" w:color="auto"/>
          </w:divBdr>
        </w:div>
        <w:div w:id="301081752">
          <w:marLeft w:val="640"/>
          <w:marRight w:val="0"/>
          <w:marTop w:val="0"/>
          <w:marBottom w:val="0"/>
          <w:divBdr>
            <w:top w:val="none" w:sz="0" w:space="0" w:color="auto"/>
            <w:left w:val="none" w:sz="0" w:space="0" w:color="auto"/>
            <w:bottom w:val="none" w:sz="0" w:space="0" w:color="auto"/>
            <w:right w:val="none" w:sz="0" w:space="0" w:color="auto"/>
          </w:divBdr>
        </w:div>
        <w:div w:id="2000884433">
          <w:marLeft w:val="640"/>
          <w:marRight w:val="0"/>
          <w:marTop w:val="0"/>
          <w:marBottom w:val="0"/>
          <w:divBdr>
            <w:top w:val="none" w:sz="0" w:space="0" w:color="auto"/>
            <w:left w:val="none" w:sz="0" w:space="0" w:color="auto"/>
            <w:bottom w:val="none" w:sz="0" w:space="0" w:color="auto"/>
            <w:right w:val="none" w:sz="0" w:space="0" w:color="auto"/>
          </w:divBdr>
        </w:div>
        <w:div w:id="1260020706">
          <w:marLeft w:val="640"/>
          <w:marRight w:val="0"/>
          <w:marTop w:val="0"/>
          <w:marBottom w:val="0"/>
          <w:divBdr>
            <w:top w:val="none" w:sz="0" w:space="0" w:color="auto"/>
            <w:left w:val="none" w:sz="0" w:space="0" w:color="auto"/>
            <w:bottom w:val="none" w:sz="0" w:space="0" w:color="auto"/>
            <w:right w:val="none" w:sz="0" w:space="0" w:color="auto"/>
          </w:divBdr>
        </w:div>
        <w:div w:id="1957171100">
          <w:marLeft w:val="640"/>
          <w:marRight w:val="0"/>
          <w:marTop w:val="0"/>
          <w:marBottom w:val="0"/>
          <w:divBdr>
            <w:top w:val="none" w:sz="0" w:space="0" w:color="auto"/>
            <w:left w:val="none" w:sz="0" w:space="0" w:color="auto"/>
            <w:bottom w:val="none" w:sz="0" w:space="0" w:color="auto"/>
            <w:right w:val="none" w:sz="0" w:space="0" w:color="auto"/>
          </w:divBdr>
        </w:div>
        <w:div w:id="281615714">
          <w:marLeft w:val="640"/>
          <w:marRight w:val="0"/>
          <w:marTop w:val="0"/>
          <w:marBottom w:val="0"/>
          <w:divBdr>
            <w:top w:val="none" w:sz="0" w:space="0" w:color="auto"/>
            <w:left w:val="none" w:sz="0" w:space="0" w:color="auto"/>
            <w:bottom w:val="none" w:sz="0" w:space="0" w:color="auto"/>
            <w:right w:val="none" w:sz="0" w:space="0" w:color="auto"/>
          </w:divBdr>
        </w:div>
        <w:div w:id="2116559838">
          <w:marLeft w:val="640"/>
          <w:marRight w:val="0"/>
          <w:marTop w:val="0"/>
          <w:marBottom w:val="0"/>
          <w:divBdr>
            <w:top w:val="none" w:sz="0" w:space="0" w:color="auto"/>
            <w:left w:val="none" w:sz="0" w:space="0" w:color="auto"/>
            <w:bottom w:val="none" w:sz="0" w:space="0" w:color="auto"/>
            <w:right w:val="none" w:sz="0" w:space="0" w:color="auto"/>
          </w:divBdr>
        </w:div>
        <w:div w:id="441807273">
          <w:marLeft w:val="640"/>
          <w:marRight w:val="0"/>
          <w:marTop w:val="0"/>
          <w:marBottom w:val="0"/>
          <w:divBdr>
            <w:top w:val="none" w:sz="0" w:space="0" w:color="auto"/>
            <w:left w:val="none" w:sz="0" w:space="0" w:color="auto"/>
            <w:bottom w:val="none" w:sz="0" w:space="0" w:color="auto"/>
            <w:right w:val="none" w:sz="0" w:space="0" w:color="auto"/>
          </w:divBdr>
        </w:div>
        <w:div w:id="1820225982">
          <w:marLeft w:val="640"/>
          <w:marRight w:val="0"/>
          <w:marTop w:val="0"/>
          <w:marBottom w:val="0"/>
          <w:divBdr>
            <w:top w:val="none" w:sz="0" w:space="0" w:color="auto"/>
            <w:left w:val="none" w:sz="0" w:space="0" w:color="auto"/>
            <w:bottom w:val="none" w:sz="0" w:space="0" w:color="auto"/>
            <w:right w:val="none" w:sz="0" w:space="0" w:color="auto"/>
          </w:divBdr>
        </w:div>
        <w:div w:id="874125874">
          <w:marLeft w:val="640"/>
          <w:marRight w:val="0"/>
          <w:marTop w:val="0"/>
          <w:marBottom w:val="0"/>
          <w:divBdr>
            <w:top w:val="none" w:sz="0" w:space="0" w:color="auto"/>
            <w:left w:val="none" w:sz="0" w:space="0" w:color="auto"/>
            <w:bottom w:val="none" w:sz="0" w:space="0" w:color="auto"/>
            <w:right w:val="none" w:sz="0" w:space="0" w:color="auto"/>
          </w:divBdr>
        </w:div>
        <w:div w:id="2029257607">
          <w:marLeft w:val="640"/>
          <w:marRight w:val="0"/>
          <w:marTop w:val="0"/>
          <w:marBottom w:val="0"/>
          <w:divBdr>
            <w:top w:val="none" w:sz="0" w:space="0" w:color="auto"/>
            <w:left w:val="none" w:sz="0" w:space="0" w:color="auto"/>
            <w:bottom w:val="none" w:sz="0" w:space="0" w:color="auto"/>
            <w:right w:val="none" w:sz="0" w:space="0" w:color="auto"/>
          </w:divBdr>
        </w:div>
        <w:div w:id="1957444508">
          <w:marLeft w:val="640"/>
          <w:marRight w:val="0"/>
          <w:marTop w:val="0"/>
          <w:marBottom w:val="0"/>
          <w:divBdr>
            <w:top w:val="none" w:sz="0" w:space="0" w:color="auto"/>
            <w:left w:val="none" w:sz="0" w:space="0" w:color="auto"/>
            <w:bottom w:val="none" w:sz="0" w:space="0" w:color="auto"/>
            <w:right w:val="none" w:sz="0" w:space="0" w:color="auto"/>
          </w:divBdr>
        </w:div>
        <w:div w:id="1005591320">
          <w:marLeft w:val="640"/>
          <w:marRight w:val="0"/>
          <w:marTop w:val="0"/>
          <w:marBottom w:val="0"/>
          <w:divBdr>
            <w:top w:val="none" w:sz="0" w:space="0" w:color="auto"/>
            <w:left w:val="none" w:sz="0" w:space="0" w:color="auto"/>
            <w:bottom w:val="none" w:sz="0" w:space="0" w:color="auto"/>
            <w:right w:val="none" w:sz="0" w:space="0" w:color="auto"/>
          </w:divBdr>
        </w:div>
        <w:div w:id="826092985">
          <w:marLeft w:val="640"/>
          <w:marRight w:val="0"/>
          <w:marTop w:val="0"/>
          <w:marBottom w:val="0"/>
          <w:divBdr>
            <w:top w:val="none" w:sz="0" w:space="0" w:color="auto"/>
            <w:left w:val="none" w:sz="0" w:space="0" w:color="auto"/>
            <w:bottom w:val="none" w:sz="0" w:space="0" w:color="auto"/>
            <w:right w:val="none" w:sz="0" w:space="0" w:color="auto"/>
          </w:divBdr>
        </w:div>
        <w:div w:id="2050372747">
          <w:marLeft w:val="640"/>
          <w:marRight w:val="0"/>
          <w:marTop w:val="0"/>
          <w:marBottom w:val="0"/>
          <w:divBdr>
            <w:top w:val="none" w:sz="0" w:space="0" w:color="auto"/>
            <w:left w:val="none" w:sz="0" w:space="0" w:color="auto"/>
            <w:bottom w:val="none" w:sz="0" w:space="0" w:color="auto"/>
            <w:right w:val="none" w:sz="0" w:space="0" w:color="auto"/>
          </w:divBdr>
        </w:div>
        <w:div w:id="1129981537">
          <w:marLeft w:val="640"/>
          <w:marRight w:val="0"/>
          <w:marTop w:val="0"/>
          <w:marBottom w:val="0"/>
          <w:divBdr>
            <w:top w:val="none" w:sz="0" w:space="0" w:color="auto"/>
            <w:left w:val="none" w:sz="0" w:space="0" w:color="auto"/>
            <w:bottom w:val="none" w:sz="0" w:space="0" w:color="auto"/>
            <w:right w:val="none" w:sz="0" w:space="0" w:color="auto"/>
          </w:divBdr>
        </w:div>
        <w:div w:id="870217724">
          <w:marLeft w:val="640"/>
          <w:marRight w:val="0"/>
          <w:marTop w:val="0"/>
          <w:marBottom w:val="0"/>
          <w:divBdr>
            <w:top w:val="none" w:sz="0" w:space="0" w:color="auto"/>
            <w:left w:val="none" w:sz="0" w:space="0" w:color="auto"/>
            <w:bottom w:val="none" w:sz="0" w:space="0" w:color="auto"/>
            <w:right w:val="none" w:sz="0" w:space="0" w:color="auto"/>
          </w:divBdr>
        </w:div>
        <w:div w:id="1152716329">
          <w:marLeft w:val="640"/>
          <w:marRight w:val="0"/>
          <w:marTop w:val="0"/>
          <w:marBottom w:val="0"/>
          <w:divBdr>
            <w:top w:val="none" w:sz="0" w:space="0" w:color="auto"/>
            <w:left w:val="none" w:sz="0" w:space="0" w:color="auto"/>
            <w:bottom w:val="none" w:sz="0" w:space="0" w:color="auto"/>
            <w:right w:val="none" w:sz="0" w:space="0" w:color="auto"/>
          </w:divBdr>
        </w:div>
        <w:div w:id="729227542">
          <w:marLeft w:val="640"/>
          <w:marRight w:val="0"/>
          <w:marTop w:val="0"/>
          <w:marBottom w:val="0"/>
          <w:divBdr>
            <w:top w:val="none" w:sz="0" w:space="0" w:color="auto"/>
            <w:left w:val="none" w:sz="0" w:space="0" w:color="auto"/>
            <w:bottom w:val="none" w:sz="0" w:space="0" w:color="auto"/>
            <w:right w:val="none" w:sz="0" w:space="0" w:color="auto"/>
          </w:divBdr>
        </w:div>
        <w:div w:id="1640186373">
          <w:marLeft w:val="640"/>
          <w:marRight w:val="0"/>
          <w:marTop w:val="0"/>
          <w:marBottom w:val="0"/>
          <w:divBdr>
            <w:top w:val="none" w:sz="0" w:space="0" w:color="auto"/>
            <w:left w:val="none" w:sz="0" w:space="0" w:color="auto"/>
            <w:bottom w:val="none" w:sz="0" w:space="0" w:color="auto"/>
            <w:right w:val="none" w:sz="0" w:space="0" w:color="auto"/>
          </w:divBdr>
        </w:div>
        <w:div w:id="1734347086">
          <w:marLeft w:val="640"/>
          <w:marRight w:val="0"/>
          <w:marTop w:val="0"/>
          <w:marBottom w:val="0"/>
          <w:divBdr>
            <w:top w:val="none" w:sz="0" w:space="0" w:color="auto"/>
            <w:left w:val="none" w:sz="0" w:space="0" w:color="auto"/>
            <w:bottom w:val="none" w:sz="0" w:space="0" w:color="auto"/>
            <w:right w:val="none" w:sz="0" w:space="0" w:color="auto"/>
          </w:divBdr>
        </w:div>
        <w:div w:id="1006789336">
          <w:marLeft w:val="640"/>
          <w:marRight w:val="0"/>
          <w:marTop w:val="0"/>
          <w:marBottom w:val="0"/>
          <w:divBdr>
            <w:top w:val="none" w:sz="0" w:space="0" w:color="auto"/>
            <w:left w:val="none" w:sz="0" w:space="0" w:color="auto"/>
            <w:bottom w:val="none" w:sz="0" w:space="0" w:color="auto"/>
            <w:right w:val="none" w:sz="0" w:space="0" w:color="auto"/>
          </w:divBdr>
        </w:div>
        <w:div w:id="557205722">
          <w:marLeft w:val="640"/>
          <w:marRight w:val="0"/>
          <w:marTop w:val="0"/>
          <w:marBottom w:val="0"/>
          <w:divBdr>
            <w:top w:val="none" w:sz="0" w:space="0" w:color="auto"/>
            <w:left w:val="none" w:sz="0" w:space="0" w:color="auto"/>
            <w:bottom w:val="none" w:sz="0" w:space="0" w:color="auto"/>
            <w:right w:val="none" w:sz="0" w:space="0" w:color="auto"/>
          </w:divBdr>
        </w:div>
        <w:div w:id="1623654912">
          <w:marLeft w:val="640"/>
          <w:marRight w:val="0"/>
          <w:marTop w:val="0"/>
          <w:marBottom w:val="0"/>
          <w:divBdr>
            <w:top w:val="none" w:sz="0" w:space="0" w:color="auto"/>
            <w:left w:val="none" w:sz="0" w:space="0" w:color="auto"/>
            <w:bottom w:val="none" w:sz="0" w:space="0" w:color="auto"/>
            <w:right w:val="none" w:sz="0" w:space="0" w:color="auto"/>
          </w:divBdr>
        </w:div>
        <w:div w:id="1108427756">
          <w:marLeft w:val="640"/>
          <w:marRight w:val="0"/>
          <w:marTop w:val="0"/>
          <w:marBottom w:val="0"/>
          <w:divBdr>
            <w:top w:val="none" w:sz="0" w:space="0" w:color="auto"/>
            <w:left w:val="none" w:sz="0" w:space="0" w:color="auto"/>
            <w:bottom w:val="none" w:sz="0" w:space="0" w:color="auto"/>
            <w:right w:val="none" w:sz="0" w:space="0" w:color="auto"/>
          </w:divBdr>
        </w:div>
        <w:div w:id="1401371636">
          <w:marLeft w:val="640"/>
          <w:marRight w:val="0"/>
          <w:marTop w:val="0"/>
          <w:marBottom w:val="0"/>
          <w:divBdr>
            <w:top w:val="none" w:sz="0" w:space="0" w:color="auto"/>
            <w:left w:val="none" w:sz="0" w:space="0" w:color="auto"/>
            <w:bottom w:val="none" w:sz="0" w:space="0" w:color="auto"/>
            <w:right w:val="none" w:sz="0" w:space="0" w:color="auto"/>
          </w:divBdr>
        </w:div>
        <w:div w:id="1665277086">
          <w:marLeft w:val="640"/>
          <w:marRight w:val="0"/>
          <w:marTop w:val="0"/>
          <w:marBottom w:val="0"/>
          <w:divBdr>
            <w:top w:val="none" w:sz="0" w:space="0" w:color="auto"/>
            <w:left w:val="none" w:sz="0" w:space="0" w:color="auto"/>
            <w:bottom w:val="none" w:sz="0" w:space="0" w:color="auto"/>
            <w:right w:val="none" w:sz="0" w:space="0" w:color="auto"/>
          </w:divBdr>
        </w:div>
        <w:div w:id="2126654981">
          <w:marLeft w:val="640"/>
          <w:marRight w:val="0"/>
          <w:marTop w:val="0"/>
          <w:marBottom w:val="0"/>
          <w:divBdr>
            <w:top w:val="none" w:sz="0" w:space="0" w:color="auto"/>
            <w:left w:val="none" w:sz="0" w:space="0" w:color="auto"/>
            <w:bottom w:val="none" w:sz="0" w:space="0" w:color="auto"/>
            <w:right w:val="none" w:sz="0" w:space="0" w:color="auto"/>
          </w:divBdr>
        </w:div>
        <w:div w:id="861939440">
          <w:marLeft w:val="640"/>
          <w:marRight w:val="0"/>
          <w:marTop w:val="0"/>
          <w:marBottom w:val="0"/>
          <w:divBdr>
            <w:top w:val="none" w:sz="0" w:space="0" w:color="auto"/>
            <w:left w:val="none" w:sz="0" w:space="0" w:color="auto"/>
            <w:bottom w:val="none" w:sz="0" w:space="0" w:color="auto"/>
            <w:right w:val="none" w:sz="0" w:space="0" w:color="auto"/>
          </w:divBdr>
        </w:div>
        <w:div w:id="354813319">
          <w:marLeft w:val="640"/>
          <w:marRight w:val="0"/>
          <w:marTop w:val="0"/>
          <w:marBottom w:val="0"/>
          <w:divBdr>
            <w:top w:val="none" w:sz="0" w:space="0" w:color="auto"/>
            <w:left w:val="none" w:sz="0" w:space="0" w:color="auto"/>
            <w:bottom w:val="none" w:sz="0" w:space="0" w:color="auto"/>
            <w:right w:val="none" w:sz="0" w:space="0" w:color="auto"/>
          </w:divBdr>
        </w:div>
        <w:div w:id="1068646334">
          <w:marLeft w:val="640"/>
          <w:marRight w:val="0"/>
          <w:marTop w:val="0"/>
          <w:marBottom w:val="0"/>
          <w:divBdr>
            <w:top w:val="none" w:sz="0" w:space="0" w:color="auto"/>
            <w:left w:val="none" w:sz="0" w:space="0" w:color="auto"/>
            <w:bottom w:val="none" w:sz="0" w:space="0" w:color="auto"/>
            <w:right w:val="none" w:sz="0" w:space="0" w:color="auto"/>
          </w:divBdr>
        </w:div>
        <w:div w:id="1552882690">
          <w:marLeft w:val="640"/>
          <w:marRight w:val="0"/>
          <w:marTop w:val="0"/>
          <w:marBottom w:val="0"/>
          <w:divBdr>
            <w:top w:val="none" w:sz="0" w:space="0" w:color="auto"/>
            <w:left w:val="none" w:sz="0" w:space="0" w:color="auto"/>
            <w:bottom w:val="none" w:sz="0" w:space="0" w:color="auto"/>
            <w:right w:val="none" w:sz="0" w:space="0" w:color="auto"/>
          </w:divBdr>
        </w:div>
        <w:div w:id="987323952">
          <w:marLeft w:val="640"/>
          <w:marRight w:val="0"/>
          <w:marTop w:val="0"/>
          <w:marBottom w:val="0"/>
          <w:divBdr>
            <w:top w:val="none" w:sz="0" w:space="0" w:color="auto"/>
            <w:left w:val="none" w:sz="0" w:space="0" w:color="auto"/>
            <w:bottom w:val="none" w:sz="0" w:space="0" w:color="auto"/>
            <w:right w:val="none" w:sz="0" w:space="0" w:color="auto"/>
          </w:divBdr>
        </w:div>
        <w:div w:id="453672408">
          <w:marLeft w:val="640"/>
          <w:marRight w:val="0"/>
          <w:marTop w:val="0"/>
          <w:marBottom w:val="0"/>
          <w:divBdr>
            <w:top w:val="none" w:sz="0" w:space="0" w:color="auto"/>
            <w:left w:val="none" w:sz="0" w:space="0" w:color="auto"/>
            <w:bottom w:val="none" w:sz="0" w:space="0" w:color="auto"/>
            <w:right w:val="none" w:sz="0" w:space="0" w:color="auto"/>
          </w:divBdr>
        </w:div>
        <w:div w:id="2104111521">
          <w:marLeft w:val="640"/>
          <w:marRight w:val="0"/>
          <w:marTop w:val="0"/>
          <w:marBottom w:val="0"/>
          <w:divBdr>
            <w:top w:val="none" w:sz="0" w:space="0" w:color="auto"/>
            <w:left w:val="none" w:sz="0" w:space="0" w:color="auto"/>
            <w:bottom w:val="none" w:sz="0" w:space="0" w:color="auto"/>
            <w:right w:val="none" w:sz="0" w:space="0" w:color="auto"/>
          </w:divBdr>
        </w:div>
        <w:div w:id="613440111">
          <w:marLeft w:val="640"/>
          <w:marRight w:val="0"/>
          <w:marTop w:val="0"/>
          <w:marBottom w:val="0"/>
          <w:divBdr>
            <w:top w:val="none" w:sz="0" w:space="0" w:color="auto"/>
            <w:left w:val="none" w:sz="0" w:space="0" w:color="auto"/>
            <w:bottom w:val="none" w:sz="0" w:space="0" w:color="auto"/>
            <w:right w:val="none" w:sz="0" w:space="0" w:color="auto"/>
          </w:divBdr>
        </w:div>
        <w:div w:id="160463533">
          <w:marLeft w:val="640"/>
          <w:marRight w:val="0"/>
          <w:marTop w:val="0"/>
          <w:marBottom w:val="0"/>
          <w:divBdr>
            <w:top w:val="none" w:sz="0" w:space="0" w:color="auto"/>
            <w:left w:val="none" w:sz="0" w:space="0" w:color="auto"/>
            <w:bottom w:val="none" w:sz="0" w:space="0" w:color="auto"/>
            <w:right w:val="none" w:sz="0" w:space="0" w:color="auto"/>
          </w:divBdr>
        </w:div>
        <w:div w:id="2108034100">
          <w:marLeft w:val="640"/>
          <w:marRight w:val="0"/>
          <w:marTop w:val="0"/>
          <w:marBottom w:val="0"/>
          <w:divBdr>
            <w:top w:val="none" w:sz="0" w:space="0" w:color="auto"/>
            <w:left w:val="none" w:sz="0" w:space="0" w:color="auto"/>
            <w:bottom w:val="none" w:sz="0" w:space="0" w:color="auto"/>
            <w:right w:val="none" w:sz="0" w:space="0" w:color="auto"/>
          </w:divBdr>
        </w:div>
        <w:div w:id="1003971903">
          <w:marLeft w:val="640"/>
          <w:marRight w:val="0"/>
          <w:marTop w:val="0"/>
          <w:marBottom w:val="0"/>
          <w:divBdr>
            <w:top w:val="none" w:sz="0" w:space="0" w:color="auto"/>
            <w:left w:val="none" w:sz="0" w:space="0" w:color="auto"/>
            <w:bottom w:val="none" w:sz="0" w:space="0" w:color="auto"/>
            <w:right w:val="none" w:sz="0" w:space="0" w:color="auto"/>
          </w:divBdr>
        </w:div>
        <w:div w:id="394862968">
          <w:marLeft w:val="640"/>
          <w:marRight w:val="0"/>
          <w:marTop w:val="0"/>
          <w:marBottom w:val="0"/>
          <w:divBdr>
            <w:top w:val="none" w:sz="0" w:space="0" w:color="auto"/>
            <w:left w:val="none" w:sz="0" w:space="0" w:color="auto"/>
            <w:bottom w:val="none" w:sz="0" w:space="0" w:color="auto"/>
            <w:right w:val="none" w:sz="0" w:space="0" w:color="auto"/>
          </w:divBdr>
        </w:div>
        <w:div w:id="1176572719">
          <w:marLeft w:val="640"/>
          <w:marRight w:val="0"/>
          <w:marTop w:val="0"/>
          <w:marBottom w:val="0"/>
          <w:divBdr>
            <w:top w:val="none" w:sz="0" w:space="0" w:color="auto"/>
            <w:left w:val="none" w:sz="0" w:space="0" w:color="auto"/>
            <w:bottom w:val="none" w:sz="0" w:space="0" w:color="auto"/>
            <w:right w:val="none" w:sz="0" w:space="0" w:color="auto"/>
          </w:divBdr>
        </w:div>
        <w:div w:id="1298412878">
          <w:marLeft w:val="640"/>
          <w:marRight w:val="0"/>
          <w:marTop w:val="0"/>
          <w:marBottom w:val="0"/>
          <w:divBdr>
            <w:top w:val="none" w:sz="0" w:space="0" w:color="auto"/>
            <w:left w:val="none" w:sz="0" w:space="0" w:color="auto"/>
            <w:bottom w:val="none" w:sz="0" w:space="0" w:color="auto"/>
            <w:right w:val="none" w:sz="0" w:space="0" w:color="auto"/>
          </w:divBdr>
        </w:div>
        <w:div w:id="85227058">
          <w:marLeft w:val="640"/>
          <w:marRight w:val="0"/>
          <w:marTop w:val="0"/>
          <w:marBottom w:val="0"/>
          <w:divBdr>
            <w:top w:val="none" w:sz="0" w:space="0" w:color="auto"/>
            <w:left w:val="none" w:sz="0" w:space="0" w:color="auto"/>
            <w:bottom w:val="none" w:sz="0" w:space="0" w:color="auto"/>
            <w:right w:val="none" w:sz="0" w:space="0" w:color="auto"/>
          </w:divBdr>
        </w:div>
        <w:div w:id="2068331573">
          <w:marLeft w:val="640"/>
          <w:marRight w:val="0"/>
          <w:marTop w:val="0"/>
          <w:marBottom w:val="0"/>
          <w:divBdr>
            <w:top w:val="none" w:sz="0" w:space="0" w:color="auto"/>
            <w:left w:val="none" w:sz="0" w:space="0" w:color="auto"/>
            <w:bottom w:val="none" w:sz="0" w:space="0" w:color="auto"/>
            <w:right w:val="none" w:sz="0" w:space="0" w:color="auto"/>
          </w:divBdr>
        </w:div>
        <w:div w:id="1783573403">
          <w:marLeft w:val="640"/>
          <w:marRight w:val="0"/>
          <w:marTop w:val="0"/>
          <w:marBottom w:val="0"/>
          <w:divBdr>
            <w:top w:val="none" w:sz="0" w:space="0" w:color="auto"/>
            <w:left w:val="none" w:sz="0" w:space="0" w:color="auto"/>
            <w:bottom w:val="none" w:sz="0" w:space="0" w:color="auto"/>
            <w:right w:val="none" w:sz="0" w:space="0" w:color="auto"/>
          </w:divBdr>
        </w:div>
        <w:div w:id="1385985237">
          <w:marLeft w:val="640"/>
          <w:marRight w:val="0"/>
          <w:marTop w:val="0"/>
          <w:marBottom w:val="0"/>
          <w:divBdr>
            <w:top w:val="none" w:sz="0" w:space="0" w:color="auto"/>
            <w:left w:val="none" w:sz="0" w:space="0" w:color="auto"/>
            <w:bottom w:val="none" w:sz="0" w:space="0" w:color="auto"/>
            <w:right w:val="none" w:sz="0" w:space="0" w:color="auto"/>
          </w:divBdr>
        </w:div>
        <w:div w:id="155145459">
          <w:marLeft w:val="640"/>
          <w:marRight w:val="0"/>
          <w:marTop w:val="0"/>
          <w:marBottom w:val="0"/>
          <w:divBdr>
            <w:top w:val="none" w:sz="0" w:space="0" w:color="auto"/>
            <w:left w:val="none" w:sz="0" w:space="0" w:color="auto"/>
            <w:bottom w:val="none" w:sz="0" w:space="0" w:color="auto"/>
            <w:right w:val="none" w:sz="0" w:space="0" w:color="auto"/>
          </w:divBdr>
        </w:div>
        <w:div w:id="1839419364">
          <w:marLeft w:val="640"/>
          <w:marRight w:val="0"/>
          <w:marTop w:val="0"/>
          <w:marBottom w:val="0"/>
          <w:divBdr>
            <w:top w:val="none" w:sz="0" w:space="0" w:color="auto"/>
            <w:left w:val="none" w:sz="0" w:space="0" w:color="auto"/>
            <w:bottom w:val="none" w:sz="0" w:space="0" w:color="auto"/>
            <w:right w:val="none" w:sz="0" w:space="0" w:color="auto"/>
          </w:divBdr>
        </w:div>
        <w:div w:id="1962570326">
          <w:marLeft w:val="640"/>
          <w:marRight w:val="0"/>
          <w:marTop w:val="0"/>
          <w:marBottom w:val="0"/>
          <w:divBdr>
            <w:top w:val="none" w:sz="0" w:space="0" w:color="auto"/>
            <w:left w:val="none" w:sz="0" w:space="0" w:color="auto"/>
            <w:bottom w:val="none" w:sz="0" w:space="0" w:color="auto"/>
            <w:right w:val="none" w:sz="0" w:space="0" w:color="auto"/>
          </w:divBdr>
        </w:div>
        <w:div w:id="1214343008">
          <w:marLeft w:val="640"/>
          <w:marRight w:val="0"/>
          <w:marTop w:val="0"/>
          <w:marBottom w:val="0"/>
          <w:divBdr>
            <w:top w:val="none" w:sz="0" w:space="0" w:color="auto"/>
            <w:left w:val="none" w:sz="0" w:space="0" w:color="auto"/>
            <w:bottom w:val="none" w:sz="0" w:space="0" w:color="auto"/>
            <w:right w:val="none" w:sz="0" w:space="0" w:color="auto"/>
          </w:divBdr>
        </w:div>
        <w:div w:id="1076515794">
          <w:marLeft w:val="640"/>
          <w:marRight w:val="0"/>
          <w:marTop w:val="0"/>
          <w:marBottom w:val="0"/>
          <w:divBdr>
            <w:top w:val="none" w:sz="0" w:space="0" w:color="auto"/>
            <w:left w:val="none" w:sz="0" w:space="0" w:color="auto"/>
            <w:bottom w:val="none" w:sz="0" w:space="0" w:color="auto"/>
            <w:right w:val="none" w:sz="0" w:space="0" w:color="auto"/>
          </w:divBdr>
        </w:div>
        <w:div w:id="2054770876">
          <w:marLeft w:val="640"/>
          <w:marRight w:val="0"/>
          <w:marTop w:val="0"/>
          <w:marBottom w:val="0"/>
          <w:divBdr>
            <w:top w:val="none" w:sz="0" w:space="0" w:color="auto"/>
            <w:left w:val="none" w:sz="0" w:space="0" w:color="auto"/>
            <w:bottom w:val="none" w:sz="0" w:space="0" w:color="auto"/>
            <w:right w:val="none" w:sz="0" w:space="0" w:color="auto"/>
          </w:divBdr>
        </w:div>
        <w:div w:id="1299720859">
          <w:marLeft w:val="640"/>
          <w:marRight w:val="0"/>
          <w:marTop w:val="0"/>
          <w:marBottom w:val="0"/>
          <w:divBdr>
            <w:top w:val="none" w:sz="0" w:space="0" w:color="auto"/>
            <w:left w:val="none" w:sz="0" w:space="0" w:color="auto"/>
            <w:bottom w:val="none" w:sz="0" w:space="0" w:color="auto"/>
            <w:right w:val="none" w:sz="0" w:space="0" w:color="auto"/>
          </w:divBdr>
        </w:div>
        <w:div w:id="548542104">
          <w:marLeft w:val="640"/>
          <w:marRight w:val="0"/>
          <w:marTop w:val="0"/>
          <w:marBottom w:val="0"/>
          <w:divBdr>
            <w:top w:val="none" w:sz="0" w:space="0" w:color="auto"/>
            <w:left w:val="none" w:sz="0" w:space="0" w:color="auto"/>
            <w:bottom w:val="none" w:sz="0" w:space="0" w:color="auto"/>
            <w:right w:val="none" w:sz="0" w:space="0" w:color="auto"/>
          </w:divBdr>
        </w:div>
        <w:div w:id="1754427941">
          <w:marLeft w:val="640"/>
          <w:marRight w:val="0"/>
          <w:marTop w:val="0"/>
          <w:marBottom w:val="0"/>
          <w:divBdr>
            <w:top w:val="none" w:sz="0" w:space="0" w:color="auto"/>
            <w:left w:val="none" w:sz="0" w:space="0" w:color="auto"/>
            <w:bottom w:val="none" w:sz="0" w:space="0" w:color="auto"/>
            <w:right w:val="none" w:sz="0" w:space="0" w:color="auto"/>
          </w:divBdr>
        </w:div>
        <w:div w:id="1057361176">
          <w:marLeft w:val="640"/>
          <w:marRight w:val="0"/>
          <w:marTop w:val="0"/>
          <w:marBottom w:val="0"/>
          <w:divBdr>
            <w:top w:val="none" w:sz="0" w:space="0" w:color="auto"/>
            <w:left w:val="none" w:sz="0" w:space="0" w:color="auto"/>
            <w:bottom w:val="none" w:sz="0" w:space="0" w:color="auto"/>
            <w:right w:val="none" w:sz="0" w:space="0" w:color="auto"/>
          </w:divBdr>
        </w:div>
        <w:div w:id="263539488">
          <w:marLeft w:val="640"/>
          <w:marRight w:val="0"/>
          <w:marTop w:val="0"/>
          <w:marBottom w:val="0"/>
          <w:divBdr>
            <w:top w:val="none" w:sz="0" w:space="0" w:color="auto"/>
            <w:left w:val="none" w:sz="0" w:space="0" w:color="auto"/>
            <w:bottom w:val="none" w:sz="0" w:space="0" w:color="auto"/>
            <w:right w:val="none" w:sz="0" w:space="0" w:color="auto"/>
          </w:divBdr>
        </w:div>
        <w:div w:id="922959208">
          <w:marLeft w:val="640"/>
          <w:marRight w:val="0"/>
          <w:marTop w:val="0"/>
          <w:marBottom w:val="0"/>
          <w:divBdr>
            <w:top w:val="none" w:sz="0" w:space="0" w:color="auto"/>
            <w:left w:val="none" w:sz="0" w:space="0" w:color="auto"/>
            <w:bottom w:val="none" w:sz="0" w:space="0" w:color="auto"/>
            <w:right w:val="none" w:sz="0" w:space="0" w:color="auto"/>
          </w:divBdr>
        </w:div>
        <w:div w:id="559049709">
          <w:marLeft w:val="640"/>
          <w:marRight w:val="0"/>
          <w:marTop w:val="0"/>
          <w:marBottom w:val="0"/>
          <w:divBdr>
            <w:top w:val="none" w:sz="0" w:space="0" w:color="auto"/>
            <w:left w:val="none" w:sz="0" w:space="0" w:color="auto"/>
            <w:bottom w:val="none" w:sz="0" w:space="0" w:color="auto"/>
            <w:right w:val="none" w:sz="0" w:space="0" w:color="auto"/>
          </w:divBdr>
        </w:div>
        <w:div w:id="1580361791">
          <w:marLeft w:val="640"/>
          <w:marRight w:val="0"/>
          <w:marTop w:val="0"/>
          <w:marBottom w:val="0"/>
          <w:divBdr>
            <w:top w:val="none" w:sz="0" w:space="0" w:color="auto"/>
            <w:left w:val="none" w:sz="0" w:space="0" w:color="auto"/>
            <w:bottom w:val="none" w:sz="0" w:space="0" w:color="auto"/>
            <w:right w:val="none" w:sz="0" w:space="0" w:color="auto"/>
          </w:divBdr>
        </w:div>
        <w:div w:id="1977680437">
          <w:marLeft w:val="640"/>
          <w:marRight w:val="0"/>
          <w:marTop w:val="0"/>
          <w:marBottom w:val="0"/>
          <w:divBdr>
            <w:top w:val="none" w:sz="0" w:space="0" w:color="auto"/>
            <w:left w:val="none" w:sz="0" w:space="0" w:color="auto"/>
            <w:bottom w:val="none" w:sz="0" w:space="0" w:color="auto"/>
            <w:right w:val="none" w:sz="0" w:space="0" w:color="auto"/>
          </w:divBdr>
        </w:div>
        <w:div w:id="47648407">
          <w:marLeft w:val="640"/>
          <w:marRight w:val="0"/>
          <w:marTop w:val="0"/>
          <w:marBottom w:val="0"/>
          <w:divBdr>
            <w:top w:val="none" w:sz="0" w:space="0" w:color="auto"/>
            <w:left w:val="none" w:sz="0" w:space="0" w:color="auto"/>
            <w:bottom w:val="none" w:sz="0" w:space="0" w:color="auto"/>
            <w:right w:val="none" w:sz="0" w:space="0" w:color="auto"/>
          </w:divBdr>
        </w:div>
        <w:div w:id="1164123741">
          <w:marLeft w:val="640"/>
          <w:marRight w:val="0"/>
          <w:marTop w:val="0"/>
          <w:marBottom w:val="0"/>
          <w:divBdr>
            <w:top w:val="none" w:sz="0" w:space="0" w:color="auto"/>
            <w:left w:val="none" w:sz="0" w:space="0" w:color="auto"/>
            <w:bottom w:val="none" w:sz="0" w:space="0" w:color="auto"/>
            <w:right w:val="none" w:sz="0" w:space="0" w:color="auto"/>
          </w:divBdr>
        </w:div>
        <w:div w:id="1749574374">
          <w:marLeft w:val="640"/>
          <w:marRight w:val="0"/>
          <w:marTop w:val="0"/>
          <w:marBottom w:val="0"/>
          <w:divBdr>
            <w:top w:val="none" w:sz="0" w:space="0" w:color="auto"/>
            <w:left w:val="none" w:sz="0" w:space="0" w:color="auto"/>
            <w:bottom w:val="none" w:sz="0" w:space="0" w:color="auto"/>
            <w:right w:val="none" w:sz="0" w:space="0" w:color="auto"/>
          </w:divBdr>
        </w:div>
        <w:div w:id="1576279009">
          <w:marLeft w:val="640"/>
          <w:marRight w:val="0"/>
          <w:marTop w:val="0"/>
          <w:marBottom w:val="0"/>
          <w:divBdr>
            <w:top w:val="none" w:sz="0" w:space="0" w:color="auto"/>
            <w:left w:val="none" w:sz="0" w:space="0" w:color="auto"/>
            <w:bottom w:val="none" w:sz="0" w:space="0" w:color="auto"/>
            <w:right w:val="none" w:sz="0" w:space="0" w:color="auto"/>
          </w:divBdr>
        </w:div>
        <w:div w:id="744763079">
          <w:marLeft w:val="640"/>
          <w:marRight w:val="0"/>
          <w:marTop w:val="0"/>
          <w:marBottom w:val="0"/>
          <w:divBdr>
            <w:top w:val="none" w:sz="0" w:space="0" w:color="auto"/>
            <w:left w:val="none" w:sz="0" w:space="0" w:color="auto"/>
            <w:bottom w:val="none" w:sz="0" w:space="0" w:color="auto"/>
            <w:right w:val="none" w:sz="0" w:space="0" w:color="auto"/>
          </w:divBdr>
        </w:div>
        <w:div w:id="1317029421">
          <w:marLeft w:val="640"/>
          <w:marRight w:val="0"/>
          <w:marTop w:val="0"/>
          <w:marBottom w:val="0"/>
          <w:divBdr>
            <w:top w:val="none" w:sz="0" w:space="0" w:color="auto"/>
            <w:left w:val="none" w:sz="0" w:space="0" w:color="auto"/>
            <w:bottom w:val="none" w:sz="0" w:space="0" w:color="auto"/>
            <w:right w:val="none" w:sz="0" w:space="0" w:color="auto"/>
          </w:divBdr>
        </w:div>
        <w:div w:id="951087755">
          <w:marLeft w:val="640"/>
          <w:marRight w:val="0"/>
          <w:marTop w:val="0"/>
          <w:marBottom w:val="0"/>
          <w:divBdr>
            <w:top w:val="none" w:sz="0" w:space="0" w:color="auto"/>
            <w:left w:val="none" w:sz="0" w:space="0" w:color="auto"/>
            <w:bottom w:val="none" w:sz="0" w:space="0" w:color="auto"/>
            <w:right w:val="none" w:sz="0" w:space="0" w:color="auto"/>
          </w:divBdr>
        </w:div>
        <w:div w:id="1506435524">
          <w:marLeft w:val="640"/>
          <w:marRight w:val="0"/>
          <w:marTop w:val="0"/>
          <w:marBottom w:val="0"/>
          <w:divBdr>
            <w:top w:val="none" w:sz="0" w:space="0" w:color="auto"/>
            <w:left w:val="none" w:sz="0" w:space="0" w:color="auto"/>
            <w:bottom w:val="none" w:sz="0" w:space="0" w:color="auto"/>
            <w:right w:val="none" w:sz="0" w:space="0" w:color="auto"/>
          </w:divBdr>
        </w:div>
        <w:div w:id="196429651">
          <w:marLeft w:val="640"/>
          <w:marRight w:val="0"/>
          <w:marTop w:val="0"/>
          <w:marBottom w:val="0"/>
          <w:divBdr>
            <w:top w:val="none" w:sz="0" w:space="0" w:color="auto"/>
            <w:left w:val="none" w:sz="0" w:space="0" w:color="auto"/>
            <w:bottom w:val="none" w:sz="0" w:space="0" w:color="auto"/>
            <w:right w:val="none" w:sz="0" w:space="0" w:color="auto"/>
          </w:divBdr>
        </w:div>
        <w:div w:id="1400401977">
          <w:marLeft w:val="640"/>
          <w:marRight w:val="0"/>
          <w:marTop w:val="0"/>
          <w:marBottom w:val="0"/>
          <w:divBdr>
            <w:top w:val="none" w:sz="0" w:space="0" w:color="auto"/>
            <w:left w:val="none" w:sz="0" w:space="0" w:color="auto"/>
            <w:bottom w:val="none" w:sz="0" w:space="0" w:color="auto"/>
            <w:right w:val="none" w:sz="0" w:space="0" w:color="auto"/>
          </w:divBdr>
        </w:div>
        <w:div w:id="1496651863">
          <w:marLeft w:val="640"/>
          <w:marRight w:val="0"/>
          <w:marTop w:val="0"/>
          <w:marBottom w:val="0"/>
          <w:divBdr>
            <w:top w:val="none" w:sz="0" w:space="0" w:color="auto"/>
            <w:left w:val="none" w:sz="0" w:space="0" w:color="auto"/>
            <w:bottom w:val="none" w:sz="0" w:space="0" w:color="auto"/>
            <w:right w:val="none" w:sz="0" w:space="0" w:color="auto"/>
          </w:divBdr>
        </w:div>
        <w:div w:id="362826666">
          <w:marLeft w:val="640"/>
          <w:marRight w:val="0"/>
          <w:marTop w:val="0"/>
          <w:marBottom w:val="0"/>
          <w:divBdr>
            <w:top w:val="none" w:sz="0" w:space="0" w:color="auto"/>
            <w:left w:val="none" w:sz="0" w:space="0" w:color="auto"/>
            <w:bottom w:val="none" w:sz="0" w:space="0" w:color="auto"/>
            <w:right w:val="none" w:sz="0" w:space="0" w:color="auto"/>
          </w:divBdr>
        </w:div>
        <w:div w:id="1629701673">
          <w:marLeft w:val="640"/>
          <w:marRight w:val="0"/>
          <w:marTop w:val="0"/>
          <w:marBottom w:val="0"/>
          <w:divBdr>
            <w:top w:val="none" w:sz="0" w:space="0" w:color="auto"/>
            <w:left w:val="none" w:sz="0" w:space="0" w:color="auto"/>
            <w:bottom w:val="none" w:sz="0" w:space="0" w:color="auto"/>
            <w:right w:val="none" w:sz="0" w:space="0" w:color="auto"/>
          </w:divBdr>
        </w:div>
        <w:div w:id="1999189260">
          <w:marLeft w:val="640"/>
          <w:marRight w:val="0"/>
          <w:marTop w:val="0"/>
          <w:marBottom w:val="0"/>
          <w:divBdr>
            <w:top w:val="none" w:sz="0" w:space="0" w:color="auto"/>
            <w:left w:val="none" w:sz="0" w:space="0" w:color="auto"/>
            <w:bottom w:val="none" w:sz="0" w:space="0" w:color="auto"/>
            <w:right w:val="none" w:sz="0" w:space="0" w:color="auto"/>
          </w:divBdr>
        </w:div>
        <w:div w:id="2001695654">
          <w:marLeft w:val="640"/>
          <w:marRight w:val="0"/>
          <w:marTop w:val="0"/>
          <w:marBottom w:val="0"/>
          <w:divBdr>
            <w:top w:val="none" w:sz="0" w:space="0" w:color="auto"/>
            <w:left w:val="none" w:sz="0" w:space="0" w:color="auto"/>
            <w:bottom w:val="none" w:sz="0" w:space="0" w:color="auto"/>
            <w:right w:val="none" w:sz="0" w:space="0" w:color="auto"/>
          </w:divBdr>
        </w:div>
        <w:div w:id="830564637">
          <w:marLeft w:val="640"/>
          <w:marRight w:val="0"/>
          <w:marTop w:val="0"/>
          <w:marBottom w:val="0"/>
          <w:divBdr>
            <w:top w:val="none" w:sz="0" w:space="0" w:color="auto"/>
            <w:left w:val="none" w:sz="0" w:space="0" w:color="auto"/>
            <w:bottom w:val="none" w:sz="0" w:space="0" w:color="auto"/>
            <w:right w:val="none" w:sz="0" w:space="0" w:color="auto"/>
          </w:divBdr>
        </w:div>
        <w:div w:id="1647851389">
          <w:marLeft w:val="640"/>
          <w:marRight w:val="0"/>
          <w:marTop w:val="0"/>
          <w:marBottom w:val="0"/>
          <w:divBdr>
            <w:top w:val="none" w:sz="0" w:space="0" w:color="auto"/>
            <w:left w:val="none" w:sz="0" w:space="0" w:color="auto"/>
            <w:bottom w:val="none" w:sz="0" w:space="0" w:color="auto"/>
            <w:right w:val="none" w:sz="0" w:space="0" w:color="auto"/>
          </w:divBdr>
        </w:div>
        <w:div w:id="740640336">
          <w:marLeft w:val="640"/>
          <w:marRight w:val="0"/>
          <w:marTop w:val="0"/>
          <w:marBottom w:val="0"/>
          <w:divBdr>
            <w:top w:val="none" w:sz="0" w:space="0" w:color="auto"/>
            <w:left w:val="none" w:sz="0" w:space="0" w:color="auto"/>
            <w:bottom w:val="none" w:sz="0" w:space="0" w:color="auto"/>
            <w:right w:val="none" w:sz="0" w:space="0" w:color="auto"/>
          </w:divBdr>
        </w:div>
        <w:div w:id="628318814">
          <w:marLeft w:val="640"/>
          <w:marRight w:val="0"/>
          <w:marTop w:val="0"/>
          <w:marBottom w:val="0"/>
          <w:divBdr>
            <w:top w:val="none" w:sz="0" w:space="0" w:color="auto"/>
            <w:left w:val="none" w:sz="0" w:space="0" w:color="auto"/>
            <w:bottom w:val="none" w:sz="0" w:space="0" w:color="auto"/>
            <w:right w:val="none" w:sz="0" w:space="0" w:color="auto"/>
          </w:divBdr>
        </w:div>
        <w:div w:id="29258882">
          <w:marLeft w:val="640"/>
          <w:marRight w:val="0"/>
          <w:marTop w:val="0"/>
          <w:marBottom w:val="0"/>
          <w:divBdr>
            <w:top w:val="none" w:sz="0" w:space="0" w:color="auto"/>
            <w:left w:val="none" w:sz="0" w:space="0" w:color="auto"/>
            <w:bottom w:val="none" w:sz="0" w:space="0" w:color="auto"/>
            <w:right w:val="none" w:sz="0" w:space="0" w:color="auto"/>
          </w:divBdr>
        </w:div>
        <w:div w:id="916286029">
          <w:marLeft w:val="640"/>
          <w:marRight w:val="0"/>
          <w:marTop w:val="0"/>
          <w:marBottom w:val="0"/>
          <w:divBdr>
            <w:top w:val="none" w:sz="0" w:space="0" w:color="auto"/>
            <w:left w:val="none" w:sz="0" w:space="0" w:color="auto"/>
            <w:bottom w:val="none" w:sz="0" w:space="0" w:color="auto"/>
            <w:right w:val="none" w:sz="0" w:space="0" w:color="auto"/>
          </w:divBdr>
        </w:div>
        <w:div w:id="1682050868">
          <w:marLeft w:val="640"/>
          <w:marRight w:val="0"/>
          <w:marTop w:val="0"/>
          <w:marBottom w:val="0"/>
          <w:divBdr>
            <w:top w:val="none" w:sz="0" w:space="0" w:color="auto"/>
            <w:left w:val="none" w:sz="0" w:space="0" w:color="auto"/>
            <w:bottom w:val="none" w:sz="0" w:space="0" w:color="auto"/>
            <w:right w:val="none" w:sz="0" w:space="0" w:color="auto"/>
          </w:divBdr>
        </w:div>
        <w:div w:id="1808817622">
          <w:marLeft w:val="640"/>
          <w:marRight w:val="0"/>
          <w:marTop w:val="0"/>
          <w:marBottom w:val="0"/>
          <w:divBdr>
            <w:top w:val="none" w:sz="0" w:space="0" w:color="auto"/>
            <w:left w:val="none" w:sz="0" w:space="0" w:color="auto"/>
            <w:bottom w:val="none" w:sz="0" w:space="0" w:color="auto"/>
            <w:right w:val="none" w:sz="0" w:space="0" w:color="auto"/>
          </w:divBdr>
        </w:div>
        <w:div w:id="173610850">
          <w:marLeft w:val="640"/>
          <w:marRight w:val="0"/>
          <w:marTop w:val="0"/>
          <w:marBottom w:val="0"/>
          <w:divBdr>
            <w:top w:val="none" w:sz="0" w:space="0" w:color="auto"/>
            <w:left w:val="none" w:sz="0" w:space="0" w:color="auto"/>
            <w:bottom w:val="none" w:sz="0" w:space="0" w:color="auto"/>
            <w:right w:val="none" w:sz="0" w:space="0" w:color="auto"/>
          </w:divBdr>
        </w:div>
        <w:div w:id="225410856">
          <w:marLeft w:val="640"/>
          <w:marRight w:val="0"/>
          <w:marTop w:val="0"/>
          <w:marBottom w:val="0"/>
          <w:divBdr>
            <w:top w:val="none" w:sz="0" w:space="0" w:color="auto"/>
            <w:left w:val="none" w:sz="0" w:space="0" w:color="auto"/>
            <w:bottom w:val="none" w:sz="0" w:space="0" w:color="auto"/>
            <w:right w:val="none" w:sz="0" w:space="0" w:color="auto"/>
          </w:divBdr>
        </w:div>
        <w:div w:id="52166864">
          <w:marLeft w:val="640"/>
          <w:marRight w:val="0"/>
          <w:marTop w:val="0"/>
          <w:marBottom w:val="0"/>
          <w:divBdr>
            <w:top w:val="none" w:sz="0" w:space="0" w:color="auto"/>
            <w:left w:val="none" w:sz="0" w:space="0" w:color="auto"/>
            <w:bottom w:val="none" w:sz="0" w:space="0" w:color="auto"/>
            <w:right w:val="none" w:sz="0" w:space="0" w:color="auto"/>
          </w:divBdr>
        </w:div>
        <w:div w:id="1254439140">
          <w:marLeft w:val="640"/>
          <w:marRight w:val="0"/>
          <w:marTop w:val="0"/>
          <w:marBottom w:val="0"/>
          <w:divBdr>
            <w:top w:val="none" w:sz="0" w:space="0" w:color="auto"/>
            <w:left w:val="none" w:sz="0" w:space="0" w:color="auto"/>
            <w:bottom w:val="none" w:sz="0" w:space="0" w:color="auto"/>
            <w:right w:val="none" w:sz="0" w:space="0" w:color="auto"/>
          </w:divBdr>
        </w:div>
        <w:div w:id="808673760">
          <w:marLeft w:val="640"/>
          <w:marRight w:val="0"/>
          <w:marTop w:val="0"/>
          <w:marBottom w:val="0"/>
          <w:divBdr>
            <w:top w:val="none" w:sz="0" w:space="0" w:color="auto"/>
            <w:left w:val="none" w:sz="0" w:space="0" w:color="auto"/>
            <w:bottom w:val="none" w:sz="0" w:space="0" w:color="auto"/>
            <w:right w:val="none" w:sz="0" w:space="0" w:color="auto"/>
          </w:divBdr>
        </w:div>
        <w:div w:id="275453769">
          <w:marLeft w:val="640"/>
          <w:marRight w:val="0"/>
          <w:marTop w:val="0"/>
          <w:marBottom w:val="0"/>
          <w:divBdr>
            <w:top w:val="none" w:sz="0" w:space="0" w:color="auto"/>
            <w:left w:val="none" w:sz="0" w:space="0" w:color="auto"/>
            <w:bottom w:val="none" w:sz="0" w:space="0" w:color="auto"/>
            <w:right w:val="none" w:sz="0" w:space="0" w:color="auto"/>
          </w:divBdr>
        </w:div>
        <w:div w:id="627247505">
          <w:marLeft w:val="640"/>
          <w:marRight w:val="0"/>
          <w:marTop w:val="0"/>
          <w:marBottom w:val="0"/>
          <w:divBdr>
            <w:top w:val="none" w:sz="0" w:space="0" w:color="auto"/>
            <w:left w:val="none" w:sz="0" w:space="0" w:color="auto"/>
            <w:bottom w:val="none" w:sz="0" w:space="0" w:color="auto"/>
            <w:right w:val="none" w:sz="0" w:space="0" w:color="auto"/>
          </w:divBdr>
        </w:div>
        <w:div w:id="1813325926">
          <w:marLeft w:val="640"/>
          <w:marRight w:val="0"/>
          <w:marTop w:val="0"/>
          <w:marBottom w:val="0"/>
          <w:divBdr>
            <w:top w:val="none" w:sz="0" w:space="0" w:color="auto"/>
            <w:left w:val="none" w:sz="0" w:space="0" w:color="auto"/>
            <w:bottom w:val="none" w:sz="0" w:space="0" w:color="auto"/>
            <w:right w:val="none" w:sz="0" w:space="0" w:color="auto"/>
          </w:divBdr>
        </w:div>
        <w:div w:id="538708399">
          <w:marLeft w:val="640"/>
          <w:marRight w:val="0"/>
          <w:marTop w:val="0"/>
          <w:marBottom w:val="0"/>
          <w:divBdr>
            <w:top w:val="none" w:sz="0" w:space="0" w:color="auto"/>
            <w:left w:val="none" w:sz="0" w:space="0" w:color="auto"/>
            <w:bottom w:val="none" w:sz="0" w:space="0" w:color="auto"/>
            <w:right w:val="none" w:sz="0" w:space="0" w:color="auto"/>
          </w:divBdr>
        </w:div>
        <w:div w:id="418992383">
          <w:marLeft w:val="640"/>
          <w:marRight w:val="0"/>
          <w:marTop w:val="0"/>
          <w:marBottom w:val="0"/>
          <w:divBdr>
            <w:top w:val="none" w:sz="0" w:space="0" w:color="auto"/>
            <w:left w:val="none" w:sz="0" w:space="0" w:color="auto"/>
            <w:bottom w:val="none" w:sz="0" w:space="0" w:color="auto"/>
            <w:right w:val="none" w:sz="0" w:space="0" w:color="auto"/>
          </w:divBdr>
        </w:div>
        <w:div w:id="657538364">
          <w:marLeft w:val="640"/>
          <w:marRight w:val="0"/>
          <w:marTop w:val="0"/>
          <w:marBottom w:val="0"/>
          <w:divBdr>
            <w:top w:val="none" w:sz="0" w:space="0" w:color="auto"/>
            <w:left w:val="none" w:sz="0" w:space="0" w:color="auto"/>
            <w:bottom w:val="none" w:sz="0" w:space="0" w:color="auto"/>
            <w:right w:val="none" w:sz="0" w:space="0" w:color="auto"/>
          </w:divBdr>
        </w:div>
        <w:div w:id="885262575">
          <w:marLeft w:val="640"/>
          <w:marRight w:val="0"/>
          <w:marTop w:val="0"/>
          <w:marBottom w:val="0"/>
          <w:divBdr>
            <w:top w:val="none" w:sz="0" w:space="0" w:color="auto"/>
            <w:left w:val="none" w:sz="0" w:space="0" w:color="auto"/>
            <w:bottom w:val="none" w:sz="0" w:space="0" w:color="auto"/>
            <w:right w:val="none" w:sz="0" w:space="0" w:color="auto"/>
          </w:divBdr>
        </w:div>
        <w:div w:id="1963418212">
          <w:marLeft w:val="640"/>
          <w:marRight w:val="0"/>
          <w:marTop w:val="0"/>
          <w:marBottom w:val="0"/>
          <w:divBdr>
            <w:top w:val="none" w:sz="0" w:space="0" w:color="auto"/>
            <w:left w:val="none" w:sz="0" w:space="0" w:color="auto"/>
            <w:bottom w:val="none" w:sz="0" w:space="0" w:color="auto"/>
            <w:right w:val="none" w:sz="0" w:space="0" w:color="auto"/>
          </w:divBdr>
        </w:div>
        <w:div w:id="641934539">
          <w:marLeft w:val="640"/>
          <w:marRight w:val="0"/>
          <w:marTop w:val="0"/>
          <w:marBottom w:val="0"/>
          <w:divBdr>
            <w:top w:val="none" w:sz="0" w:space="0" w:color="auto"/>
            <w:left w:val="none" w:sz="0" w:space="0" w:color="auto"/>
            <w:bottom w:val="none" w:sz="0" w:space="0" w:color="auto"/>
            <w:right w:val="none" w:sz="0" w:space="0" w:color="auto"/>
          </w:divBdr>
        </w:div>
        <w:div w:id="721252384">
          <w:marLeft w:val="640"/>
          <w:marRight w:val="0"/>
          <w:marTop w:val="0"/>
          <w:marBottom w:val="0"/>
          <w:divBdr>
            <w:top w:val="none" w:sz="0" w:space="0" w:color="auto"/>
            <w:left w:val="none" w:sz="0" w:space="0" w:color="auto"/>
            <w:bottom w:val="none" w:sz="0" w:space="0" w:color="auto"/>
            <w:right w:val="none" w:sz="0" w:space="0" w:color="auto"/>
          </w:divBdr>
        </w:div>
        <w:div w:id="249775884">
          <w:marLeft w:val="640"/>
          <w:marRight w:val="0"/>
          <w:marTop w:val="0"/>
          <w:marBottom w:val="0"/>
          <w:divBdr>
            <w:top w:val="none" w:sz="0" w:space="0" w:color="auto"/>
            <w:left w:val="none" w:sz="0" w:space="0" w:color="auto"/>
            <w:bottom w:val="none" w:sz="0" w:space="0" w:color="auto"/>
            <w:right w:val="none" w:sz="0" w:space="0" w:color="auto"/>
          </w:divBdr>
        </w:div>
        <w:div w:id="1229918515">
          <w:marLeft w:val="640"/>
          <w:marRight w:val="0"/>
          <w:marTop w:val="0"/>
          <w:marBottom w:val="0"/>
          <w:divBdr>
            <w:top w:val="none" w:sz="0" w:space="0" w:color="auto"/>
            <w:left w:val="none" w:sz="0" w:space="0" w:color="auto"/>
            <w:bottom w:val="none" w:sz="0" w:space="0" w:color="auto"/>
            <w:right w:val="none" w:sz="0" w:space="0" w:color="auto"/>
          </w:divBdr>
        </w:div>
        <w:div w:id="1830292991">
          <w:marLeft w:val="640"/>
          <w:marRight w:val="0"/>
          <w:marTop w:val="0"/>
          <w:marBottom w:val="0"/>
          <w:divBdr>
            <w:top w:val="none" w:sz="0" w:space="0" w:color="auto"/>
            <w:left w:val="none" w:sz="0" w:space="0" w:color="auto"/>
            <w:bottom w:val="none" w:sz="0" w:space="0" w:color="auto"/>
            <w:right w:val="none" w:sz="0" w:space="0" w:color="auto"/>
          </w:divBdr>
        </w:div>
        <w:div w:id="1379207775">
          <w:marLeft w:val="640"/>
          <w:marRight w:val="0"/>
          <w:marTop w:val="0"/>
          <w:marBottom w:val="0"/>
          <w:divBdr>
            <w:top w:val="none" w:sz="0" w:space="0" w:color="auto"/>
            <w:left w:val="none" w:sz="0" w:space="0" w:color="auto"/>
            <w:bottom w:val="none" w:sz="0" w:space="0" w:color="auto"/>
            <w:right w:val="none" w:sz="0" w:space="0" w:color="auto"/>
          </w:divBdr>
        </w:div>
        <w:div w:id="1991210036">
          <w:marLeft w:val="640"/>
          <w:marRight w:val="0"/>
          <w:marTop w:val="0"/>
          <w:marBottom w:val="0"/>
          <w:divBdr>
            <w:top w:val="none" w:sz="0" w:space="0" w:color="auto"/>
            <w:left w:val="none" w:sz="0" w:space="0" w:color="auto"/>
            <w:bottom w:val="none" w:sz="0" w:space="0" w:color="auto"/>
            <w:right w:val="none" w:sz="0" w:space="0" w:color="auto"/>
          </w:divBdr>
        </w:div>
        <w:div w:id="1043409115">
          <w:marLeft w:val="640"/>
          <w:marRight w:val="0"/>
          <w:marTop w:val="0"/>
          <w:marBottom w:val="0"/>
          <w:divBdr>
            <w:top w:val="none" w:sz="0" w:space="0" w:color="auto"/>
            <w:left w:val="none" w:sz="0" w:space="0" w:color="auto"/>
            <w:bottom w:val="none" w:sz="0" w:space="0" w:color="auto"/>
            <w:right w:val="none" w:sz="0" w:space="0" w:color="auto"/>
          </w:divBdr>
        </w:div>
        <w:div w:id="773746933">
          <w:marLeft w:val="640"/>
          <w:marRight w:val="0"/>
          <w:marTop w:val="0"/>
          <w:marBottom w:val="0"/>
          <w:divBdr>
            <w:top w:val="none" w:sz="0" w:space="0" w:color="auto"/>
            <w:left w:val="none" w:sz="0" w:space="0" w:color="auto"/>
            <w:bottom w:val="none" w:sz="0" w:space="0" w:color="auto"/>
            <w:right w:val="none" w:sz="0" w:space="0" w:color="auto"/>
          </w:divBdr>
        </w:div>
        <w:div w:id="1504933296">
          <w:marLeft w:val="640"/>
          <w:marRight w:val="0"/>
          <w:marTop w:val="0"/>
          <w:marBottom w:val="0"/>
          <w:divBdr>
            <w:top w:val="none" w:sz="0" w:space="0" w:color="auto"/>
            <w:left w:val="none" w:sz="0" w:space="0" w:color="auto"/>
            <w:bottom w:val="none" w:sz="0" w:space="0" w:color="auto"/>
            <w:right w:val="none" w:sz="0" w:space="0" w:color="auto"/>
          </w:divBdr>
        </w:div>
        <w:div w:id="1823306735">
          <w:marLeft w:val="640"/>
          <w:marRight w:val="0"/>
          <w:marTop w:val="0"/>
          <w:marBottom w:val="0"/>
          <w:divBdr>
            <w:top w:val="none" w:sz="0" w:space="0" w:color="auto"/>
            <w:left w:val="none" w:sz="0" w:space="0" w:color="auto"/>
            <w:bottom w:val="none" w:sz="0" w:space="0" w:color="auto"/>
            <w:right w:val="none" w:sz="0" w:space="0" w:color="auto"/>
          </w:divBdr>
        </w:div>
        <w:div w:id="1823350481">
          <w:marLeft w:val="640"/>
          <w:marRight w:val="0"/>
          <w:marTop w:val="0"/>
          <w:marBottom w:val="0"/>
          <w:divBdr>
            <w:top w:val="none" w:sz="0" w:space="0" w:color="auto"/>
            <w:left w:val="none" w:sz="0" w:space="0" w:color="auto"/>
            <w:bottom w:val="none" w:sz="0" w:space="0" w:color="auto"/>
            <w:right w:val="none" w:sz="0" w:space="0" w:color="auto"/>
          </w:divBdr>
        </w:div>
        <w:div w:id="1005549428">
          <w:marLeft w:val="640"/>
          <w:marRight w:val="0"/>
          <w:marTop w:val="0"/>
          <w:marBottom w:val="0"/>
          <w:divBdr>
            <w:top w:val="none" w:sz="0" w:space="0" w:color="auto"/>
            <w:left w:val="none" w:sz="0" w:space="0" w:color="auto"/>
            <w:bottom w:val="none" w:sz="0" w:space="0" w:color="auto"/>
            <w:right w:val="none" w:sz="0" w:space="0" w:color="auto"/>
          </w:divBdr>
        </w:div>
        <w:div w:id="1510172177">
          <w:marLeft w:val="640"/>
          <w:marRight w:val="0"/>
          <w:marTop w:val="0"/>
          <w:marBottom w:val="0"/>
          <w:divBdr>
            <w:top w:val="none" w:sz="0" w:space="0" w:color="auto"/>
            <w:left w:val="none" w:sz="0" w:space="0" w:color="auto"/>
            <w:bottom w:val="none" w:sz="0" w:space="0" w:color="auto"/>
            <w:right w:val="none" w:sz="0" w:space="0" w:color="auto"/>
          </w:divBdr>
        </w:div>
        <w:div w:id="1360275993">
          <w:marLeft w:val="640"/>
          <w:marRight w:val="0"/>
          <w:marTop w:val="0"/>
          <w:marBottom w:val="0"/>
          <w:divBdr>
            <w:top w:val="none" w:sz="0" w:space="0" w:color="auto"/>
            <w:left w:val="none" w:sz="0" w:space="0" w:color="auto"/>
            <w:bottom w:val="none" w:sz="0" w:space="0" w:color="auto"/>
            <w:right w:val="none" w:sz="0" w:space="0" w:color="auto"/>
          </w:divBdr>
        </w:div>
        <w:div w:id="2001955982">
          <w:marLeft w:val="640"/>
          <w:marRight w:val="0"/>
          <w:marTop w:val="0"/>
          <w:marBottom w:val="0"/>
          <w:divBdr>
            <w:top w:val="none" w:sz="0" w:space="0" w:color="auto"/>
            <w:left w:val="none" w:sz="0" w:space="0" w:color="auto"/>
            <w:bottom w:val="none" w:sz="0" w:space="0" w:color="auto"/>
            <w:right w:val="none" w:sz="0" w:space="0" w:color="auto"/>
          </w:divBdr>
        </w:div>
        <w:div w:id="1709257630">
          <w:marLeft w:val="640"/>
          <w:marRight w:val="0"/>
          <w:marTop w:val="0"/>
          <w:marBottom w:val="0"/>
          <w:divBdr>
            <w:top w:val="none" w:sz="0" w:space="0" w:color="auto"/>
            <w:left w:val="none" w:sz="0" w:space="0" w:color="auto"/>
            <w:bottom w:val="none" w:sz="0" w:space="0" w:color="auto"/>
            <w:right w:val="none" w:sz="0" w:space="0" w:color="auto"/>
          </w:divBdr>
        </w:div>
        <w:div w:id="2021395041">
          <w:marLeft w:val="640"/>
          <w:marRight w:val="0"/>
          <w:marTop w:val="0"/>
          <w:marBottom w:val="0"/>
          <w:divBdr>
            <w:top w:val="none" w:sz="0" w:space="0" w:color="auto"/>
            <w:left w:val="none" w:sz="0" w:space="0" w:color="auto"/>
            <w:bottom w:val="none" w:sz="0" w:space="0" w:color="auto"/>
            <w:right w:val="none" w:sz="0" w:space="0" w:color="auto"/>
          </w:divBdr>
        </w:div>
        <w:div w:id="2105765238">
          <w:marLeft w:val="640"/>
          <w:marRight w:val="0"/>
          <w:marTop w:val="0"/>
          <w:marBottom w:val="0"/>
          <w:divBdr>
            <w:top w:val="none" w:sz="0" w:space="0" w:color="auto"/>
            <w:left w:val="none" w:sz="0" w:space="0" w:color="auto"/>
            <w:bottom w:val="none" w:sz="0" w:space="0" w:color="auto"/>
            <w:right w:val="none" w:sz="0" w:space="0" w:color="auto"/>
          </w:divBdr>
        </w:div>
        <w:div w:id="2010329981">
          <w:marLeft w:val="640"/>
          <w:marRight w:val="0"/>
          <w:marTop w:val="0"/>
          <w:marBottom w:val="0"/>
          <w:divBdr>
            <w:top w:val="none" w:sz="0" w:space="0" w:color="auto"/>
            <w:left w:val="none" w:sz="0" w:space="0" w:color="auto"/>
            <w:bottom w:val="none" w:sz="0" w:space="0" w:color="auto"/>
            <w:right w:val="none" w:sz="0" w:space="0" w:color="auto"/>
          </w:divBdr>
        </w:div>
        <w:div w:id="790972776">
          <w:marLeft w:val="640"/>
          <w:marRight w:val="0"/>
          <w:marTop w:val="0"/>
          <w:marBottom w:val="0"/>
          <w:divBdr>
            <w:top w:val="none" w:sz="0" w:space="0" w:color="auto"/>
            <w:left w:val="none" w:sz="0" w:space="0" w:color="auto"/>
            <w:bottom w:val="none" w:sz="0" w:space="0" w:color="auto"/>
            <w:right w:val="none" w:sz="0" w:space="0" w:color="auto"/>
          </w:divBdr>
        </w:div>
        <w:div w:id="1559512492">
          <w:marLeft w:val="640"/>
          <w:marRight w:val="0"/>
          <w:marTop w:val="0"/>
          <w:marBottom w:val="0"/>
          <w:divBdr>
            <w:top w:val="none" w:sz="0" w:space="0" w:color="auto"/>
            <w:left w:val="none" w:sz="0" w:space="0" w:color="auto"/>
            <w:bottom w:val="none" w:sz="0" w:space="0" w:color="auto"/>
            <w:right w:val="none" w:sz="0" w:space="0" w:color="auto"/>
          </w:divBdr>
        </w:div>
        <w:div w:id="2143426095">
          <w:marLeft w:val="640"/>
          <w:marRight w:val="0"/>
          <w:marTop w:val="0"/>
          <w:marBottom w:val="0"/>
          <w:divBdr>
            <w:top w:val="none" w:sz="0" w:space="0" w:color="auto"/>
            <w:left w:val="none" w:sz="0" w:space="0" w:color="auto"/>
            <w:bottom w:val="none" w:sz="0" w:space="0" w:color="auto"/>
            <w:right w:val="none" w:sz="0" w:space="0" w:color="auto"/>
          </w:divBdr>
        </w:div>
        <w:div w:id="28069880">
          <w:marLeft w:val="640"/>
          <w:marRight w:val="0"/>
          <w:marTop w:val="0"/>
          <w:marBottom w:val="0"/>
          <w:divBdr>
            <w:top w:val="none" w:sz="0" w:space="0" w:color="auto"/>
            <w:left w:val="none" w:sz="0" w:space="0" w:color="auto"/>
            <w:bottom w:val="none" w:sz="0" w:space="0" w:color="auto"/>
            <w:right w:val="none" w:sz="0" w:space="0" w:color="auto"/>
          </w:divBdr>
        </w:div>
        <w:div w:id="1573388781">
          <w:marLeft w:val="640"/>
          <w:marRight w:val="0"/>
          <w:marTop w:val="0"/>
          <w:marBottom w:val="0"/>
          <w:divBdr>
            <w:top w:val="none" w:sz="0" w:space="0" w:color="auto"/>
            <w:left w:val="none" w:sz="0" w:space="0" w:color="auto"/>
            <w:bottom w:val="none" w:sz="0" w:space="0" w:color="auto"/>
            <w:right w:val="none" w:sz="0" w:space="0" w:color="auto"/>
          </w:divBdr>
        </w:div>
        <w:div w:id="11421575">
          <w:marLeft w:val="640"/>
          <w:marRight w:val="0"/>
          <w:marTop w:val="0"/>
          <w:marBottom w:val="0"/>
          <w:divBdr>
            <w:top w:val="none" w:sz="0" w:space="0" w:color="auto"/>
            <w:left w:val="none" w:sz="0" w:space="0" w:color="auto"/>
            <w:bottom w:val="none" w:sz="0" w:space="0" w:color="auto"/>
            <w:right w:val="none" w:sz="0" w:space="0" w:color="auto"/>
          </w:divBdr>
        </w:div>
        <w:div w:id="328485153">
          <w:marLeft w:val="640"/>
          <w:marRight w:val="0"/>
          <w:marTop w:val="0"/>
          <w:marBottom w:val="0"/>
          <w:divBdr>
            <w:top w:val="none" w:sz="0" w:space="0" w:color="auto"/>
            <w:left w:val="none" w:sz="0" w:space="0" w:color="auto"/>
            <w:bottom w:val="none" w:sz="0" w:space="0" w:color="auto"/>
            <w:right w:val="none" w:sz="0" w:space="0" w:color="auto"/>
          </w:divBdr>
        </w:div>
        <w:div w:id="453400731">
          <w:marLeft w:val="640"/>
          <w:marRight w:val="0"/>
          <w:marTop w:val="0"/>
          <w:marBottom w:val="0"/>
          <w:divBdr>
            <w:top w:val="none" w:sz="0" w:space="0" w:color="auto"/>
            <w:left w:val="none" w:sz="0" w:space="0" w:color="auto"/>
            <w:bottom w:val="none" w:sz="0" w:space="0" w:color="auto"/>
            <w:right w:val="none" w:sz="0" w:space="0" w:color="auto"/>
          </w:divBdr>
        </w:div>
        <w:div w:id="372585573">
          <w:marLeft w:val="640"/>
          <w:marRight w:val="0"/>
          <w:marTop w:val="0"/>
          <w:marBottom w:val="0"/>
          <w:divBdr>
            <w:top w:val="none" w:sz="0" w:space="0" w:color="auto"/>
            <w:left w:val="none" w:sz="0" w:space="0" w:color="auto"/>
            <w:bottom w:val="none" w:sz="0" w:space="0" w:color="auto"/>
            <w:right w:val="none" w:sz="0" w:space="0" w:color="auto"/>
          </w:divBdr>
        </w:div>
        <w:div w:id="1364360819">
          <w:marLeft w:val="640"/>
          <w:marRight w:val="0"/>
          <w:marTop w:val="0"/>
          <w:marBottom w:val="0"/>
          <w:divBdr>
            <w:top w:val="none" w:sz="0" w:space="0" w:color="auto"/>
            <w:left w:val="none" w:sz="0" w:space="0" w:color="auto"/>
            <w:bottom w:val="none" w:sz="0" w:space="0" w:color="auto"/>
            <w:right w:val="none" w:sz="0" w:space="0" w:color="auto"/>
          </w:divBdr>
        </w:div>
        <w:div w:id="104085106">
          <w:marLeft w:val="640"/>
          <w:marRight w:val="0"/>
          <w:marTop w:val="0"/>
          <w:marBottom w:val="0"/>
          <w:divBdr>
            <w:top w:val="none" w:sz="0" w:space="0" w:color="auto"/>
            <w:left w:val="none" w:sz="0" w:space="0" w:color="auto"/>
            <w:bottom w:val="none" w:sz="0" w:space="0" w:color="auto"/>
            <w:right w:val="none" w:sz="0" w:space="0" w:color="auto"/>
          </w:divBdr>
        </w:div>
        <w:div w:id="1867714671">
          <w:marLeft w:val="640"/>
          <w:marRight w:val="0"/>
          <w:marTop w:val="0"/>
          <w:marBottom w:val="0"/>
          <w:divBdr>
            <w:top w:val="none" w:sz="0" w:space="0" w:color="auto"/>
            <w:left w:val="none" w:sz="0" w:space="0" w:color="auto"/>
            <w:bottom w:val="none" w:sz="0" w:space="0" w:color="auto"/>
            <w:right w:val="none" w:sz="0" w:space="0" w:color="auto"/>
          </w:divBdr>
        </w:div>
        <w:div w:id="782042808">
          <w:marLeft w:val="640"/>
          <w:marRight w:val="0"/>
          <w:marTop w:val="0"/>
          <w:marBottom w:val="0"/>
          <w:divBdr>
            <w:top w:val="none" w:sz="0" w:space="0" w:color="auto"/>
            <w:left w:val="none" w:sz="0" w:space="0" w:color="auto"/>
            <w:bottom w:val="none" w:sz="0" w:space="0" w:color="auto"/>
            <w:right w:val="none" w:sz="0" w:space="0" w:color="auto"/>
          </w:divBdr>
        </w:div>
        <w:div w:id="1665276818">
          <w:marLeft w:val="640"/>
          <w:marRight w:val="0"/>
          <w:marTop w:val="0"/>
          <w:marBottom w:val="0"/>
          <w:divBdr>
            <w:top w:val="none" w:sz="0" w:space="0" w:color="auto"/>
            <w:left w:val="none" w:sz="0" w:space="0" w:color="auto"/>
            <w:bottom w:val="none" w:sz="0" w:space="0" w:color="auto"/>
            <w:right w:val="none" w:sz="0" w:space="0" w:color="auto"/>
          </w:divBdr>
        </w:div>
        <w:div w:id="309754847">
          <w:marLeft w:val="640"/>
          <w:marRight w:val="0"/>
          <w:marTop w:val="0"/>
          <w:marBottom w:val="0"/>
          <w:divBdr>
            <w:top w:val="none" w:sz="0" w:space="0" w:color="auto"/>
            <w:left w:val="none" w:sz="0" w:space="0" w:color="auto"/>
            <w:bottom w:val="none" w:sz="0" w:space="0" w:color="auto"/>
            <w:right w:val="none" w:sz="0" w:space="0" w:color="auto"/>
          </w:divBdr>
        </w:div>
        <w:div w:id="1887717960">
          <w:marLeft w:val="640"/>
          <w:marRight w:val="0"/>
          <w:marTop w:val="0"/>
          <w:marBottom w:val="0"/>
          <w:divBdr>
            <w:top w:val="none" w:sz="0" w:space="0" w:color="auto"/>
            <w:left w:val="none" w:sz="0" w:space="0" w:color="auto"/>
            <w:bottom w:val="none" w:sz="0" w:space="0" w:color="auto"/>
            <w:right w:val="none" w:sz="0" w:space="0" w:color="auto"/>
          </w:divBdr>
        </w:div>
        <w:div w:id="650987783">
          <w:marLeft w:val="640"/>
          <w:marRight w:val="0"/>
          <w:marTop w:val="0"/>
          <w:marBottom w:val="0"/>
          <w:divBdr>
            <w:top w:val="none" w:sz="0" w:space="0" w:color="auto"/>
            <w:left w:val="none" w:sz="0" w:space="0" w:color="auto"/>
            <w:bottom w:val="none" w:sz="0" w:space="0" w:color="auto"/>
            <w:right w:val="none" w:sz="0" w:space="0" w:color="auto"/>
          </w:divBdr>
        </w:div>
        <w:div w:id="1012105172">
          <w:marLeft w:val="640"/>
          <w:marRight w:val="0"/>
          <w:marTop w:val="0"/>
          <w:marBottom w:val="0"/>
          <w:divBdr>
            <w:top w:val="none" w:sz="0" w:space="0" w:color="auto"/>
            <w:left w:val="none" w:sz="0" w:space="0" w:color="auto"/>
            <w:bottom w:val="none" w:sz="0" w:space="0" w:color="auto"/>
            <w:right w:val="none" w:sz="0" w:space="0" w:color="auto"/>
          </w:divBdr>
        </w:div>
        <w:div w:id="2141607734">
          <w:marLeft w:val="640"/>
          <w:marRight w:val="0"/>
          <w:marTop w:val="0"/>
          <w:marBottom w:val="0"/>
          <w:divBdr>
            <w:top w:val="none" w:sz="0" w:space="0" w:color="auto"/>
            <w:left w:val="none" w:sz="0" w:space="0" w:color="auto"/>
            <w:bottom w:val="none" w:sz="0" w:space="0" w:color="auto"/>
            <w:right w:val="none" w:sz="0" w:space="0" w:color="auto"/>
          </w:divBdr>
        </w:div>
        <w:div w:id="1786072637">
          <w:marLeft w:val="640"/>
          <w:marRight w:val="0"/>
          <w:marTop w:val="0"/>
          <w:marBottom w:val="0"/>
          <w:divBdr>
            <w:top w:val="none" w:sz="0" w:space="0" w:color="auto"/>
            <w:left w:val="none" w:sz="0" w:space="0" w:color="auto"/>
            <w:bottom w:val="none" w:sz="0" w:space="0" w:color="auto"/>
            <w:right w:val="none" w:sz="0" w:space="0" w:color="auto"/>
          </w:divBdr>
        </w:div>
        <w:div w:id="1688940856">
          <w:marLeft w:val="640"/>
          <w:marRight w:val="0"/>
          <w:marTop w:val="0"/>
          <w:marBottom w:val="0"/>
          <w:divBdr>
            <w:top w:val="none" w:sz="0" w:space="0" w:color="auto"/>
            <w:left w:val="none" w:sz="0" w:space="0" w:color="auto"/>
            <w:bottom w:val="none" w:sz="0" w:space="0" w:color="auto"/>
            <w:right w:val="none" w:sz="0" w:space="0" w:color="auto"/>
          </w:divBdr>
        </w:div>
        <w:div w:id="351420778">
          <w:marLeft w:val="640"/>
          <w:marRight w:val="0"/>
          <w:marTop w:val="0"/>
          <w:marBottom w:val="0"/>
          <w:divBdr>
            <w:top w:val="none" w:sz="0" w:space="0" w:color="auto"/>
            <w:left w:val="none" w:sz="0" w:space="0" w:color="auto"/>
            <w:bottom w:val="none" w:sz="0" w:space="0" w:color="auto"/>
            <w:right w:val="none" w:sz="0" w:space="0" w:color="auto"/>
          </w:divBdr>
        </w:div>
        <w:div w:id="458912495">
          <w:marLeft w:val="640"/>
          <w:marRight w:val="0"/>
          <w:marTop w:val="0"/>
          <w:marBottom w:val="0"/>
          <w:divBdr>
            <w:top w:val="none" w:sz="0" w:space="0" w:color="auto"/>
            <w:left w:val="none" w:sz="0" w:space="0" w:color="auto"/>
            <w:bottom w:val="none" w:sz="0" w:space="0" w:color="auto"/>
            <w:right w:val="none" w:sz="0" w:space="0" w:color="auto"/>
          </w:divBdr>
        </w:div>
        <w:div w:id="1088817415">
          <w:marLeft w:val="640"/>
          <w:marRight w:val="0"/>
          <w:marTop w:val="0"/>
          <w:marBottom w:val="0"/>
          <w:divBdr>
            <w:top w:val="none" w:sz="0" w:space="0" w:color="auto"/>
            <w:left w:val="none" w:sz="0" w:space="0" w:color="auto"/>
            <w:bottom w:val="none" w:sz="0" w:space="0" w:color="auto"/>
            <w:right w:val="none" w:sz="0" w:space="0" w:color="auto"/>
          </w:divBdr>
        </w:div>
        <w:div w:id="873419177">
          <w:marLeft w:val="640"/>
          <w:marRight w:val="0"/>
          <w:marTop w:val="0"/>
          <w:marBottom w:val="0"/>
          <w:divBdr>
            <w:top w:val="none" w:sz="0" w:space="0" w:color="auto"/>
            <w:left w:val="none" w:sz="0" w:space="0" w:color="auto"/>
            <w:bottom w:val="none" w:sz="0" w:space="0" w:color="auto"/>
            <w:right w:val="none" w:sz="0" w:space="0" w:color="auto"/>
          </w:divBdr>
        </w:div>
        <w:div w:id="1331254158">
          <w:marLeft w:val="640"/>
          <w:marRight w:val="0"/>
          <w:marTop w:val="0"/>
          <w:marBottom w:val="0"/>
          <w:divBdr>
            <w:top w:val="none" w:sz="0" w:space="0" w:color="auto"/>
            <w:left w:val="none" w:sz="0" w:space="0" w:color="auto"/>
            <w:bottom w:val="none" w:sz="0" w:space="0" w:color="auto"/>
            <w:right w:val="none" w:sz="0" w:space="0" w:color="auto"/>
          </w:divBdr>
        </w:div>
        <w:div w:id="1113327373">
          <w:marLeft w:val="640"/>
          <w:marRight w:val="0"/>
          <w:marTop w:val="0"/>
          <w:marBottom w:val="0"/>
          <w:divBdr>
            <w:top w:val="none" w:sz="0" w:space="0" w:color="auto"/>
            <w:left w:val="none" w:sz="0" w:space="0" w:color="auto"/>
            <w:bottom w:val="none" w:sz="0" w:space="0" w:color="auto"/>
            <w:right w:val="none" w:sz="0" w:space="0" w:color="auto"/>
          </w:divBdr>
        </w:div>
        <w:div w:id="328678747">
          <w:marLeft w:val="640"/>
          <w:marRight w:val="0"/>
          <w:marTop w:val="0"/>
          <w:marBottom w:val="0"/>
          <w:divBdr>
            <w:top w:val="none" w:sz="0" w:space="0" w:color="auto"/>
            <w:left w:val="none" w:sz="0" w:space="0" w:color="auto"/>
            <w:bottom w:val="none" w:sz="0" w:space="0" w:color="auto"/>
            <w:right w:val="none" w:sz="0" w:space="0" w:color="auto"/>
          </w:divBdr>
        </w:div>
        <w:div w:id="128088790">
          <w:marLeft w:val="640"/>
          <w:marRight w:val="0"/>
          <w:marTop w:val="0"/>
          <w:marBottom w:val="0"/>
          <w:divBdr>
            <w:top w:val="none" w:sz="0" w:space="0" w:color="auto"/>
            <w:left w:val="none" w:sz="0" w:space="0" w:color="auto"/>
            <w:bottom w:val="none" w:sz="0" w:space="0" w:color="auto"/>
            <w:right w:val="none" w:sz="0" w:space="0" w:color="auto"/>
          </w:divBdr>
        </w:div>
        <w:div w:id="1920016397">
          <w:marLeft w:val="640"/>
          <w:marRight w:val="0"/>
          <w:marTop w:val="0"/>
          <w:marBottom w:val="0"/>
          <w:divBdr>
            <w:top w:val="none" w:sz="0" w:space="0" w:color="auto"/>
            <w:left w:val="none" w:sz="0" w:space="0" w:color="auto"/>
            <w:bottom w:val="none" w:sz="0" w:space="0" w:color="auto"/>
            <w:right w:val="none" w:sz="0" w:space="0" w:color="auto"/>
          </w:divBdr>
        </w:div>
        <w:div w:id="2032801700">
          <w:marLeft w:val="640"/>
          <w:marRight w:val="0"/>
          <w:marTop w:val="0"/>
          <w:marBottom w:val="0"/>
          <w:divBdr>
            <w:top w:val="none" w:sz="0" w:space="0" w:color="auto"/>
            <w:left w:val="none" w:sz="0" w:space="0" w:color="auto"/>
            <w:bottom w:val="none" w:sz="0" w:space="0" w:color="auto"/>
            <w:right w:val="none" w:sz="0" w:space="0" w:color="auto"/>
          </w:divBdr>
        </w:div>
        <w:div w:id="1329751457">
          <w:marLeft w:val="640"/>
          <w:marRight w:val="0"/>
          <w:marTop w:val="0"/>
          <w:marBottom w:val="0"/>
          <w:divBdr>
            <w:top w:val="none" w:sz="0" w:space="0" w:color="auto"/>
            <w:left w:val="none" w:sz="0" w:space="0" w:color="auto"/>
            <w:bottom w:val="none" w:sz="0" w:space="0" w:color="auto"/>
            <w:right w:val="none" w:sz="0" w:space="0" w:color="auto"/>
          </w:divBdr>
        </w:div>
        <w:div w:id="500782793">
          <w:marLeft w:val="640"/>
          <w:marRight w:val="0"/>
          <w:marTop w:val="0"/>
          <w:marBottom w:val="0"/>
          <w:divBdr>
            <w:top w:val="none" w:sz="0" w:space="0" w:color="auto"/>
            <w:left w:val="none" w:sz="0" w:space="0" w:color="auto"/>
            <w:bottom w:val="none" w:sz="0" w:space="0" w:color="auto"/>
            <w:right w:val="none" w:sz="0" w:space="0" w:color="auto"/>
          </w:divBdr>
        </w:div>
        <w:div w:id="162742984">
          <w:marLeft w:val="640"/>
          <w:marRight w:val="0"/>
          <w:marTop w:val="0"/>
          <w:marBottom w:val="0"/>
          <w:divBdr>
            <w:top w:val="none" w:sz="0" w:space="0" w:color="auto"/>
            <w:left w:val="none" w:sz="0" w:space="0" w:color="auto"/>
            <w:bottom w:val="none" w:sz="0" w:space="0" w:color="auto"/>
            <w:right w:val="none" w:sz="0" w:space="0" w:color="auto"/>
          </w:divBdr>
        </w:div>
        <w:div w:id="1588885045">
          <w:marLeft w:val="640"/>
          <w:marRight w:val="0"/>
          <w:marTop w:val="0"/>
          <w:marBottom w:val="0"/>
          <w:divBdr>
            <w:top w:val="none" w:sz="0" w:space="0" w:color="auto"/>
            <w:left w:val="none" w:sz="0" w:space="0" w:color="auto"/>
            <w:bottom w:val="none" w:sz="0" w:space="0" w:color="auto"/>
            <w:right w:val="none" w:sz="0" w:space="0" w:color="auto"/>
          </w:divBdr>
        </w:div>
        <w:div w:id="1815754971">
          <w:marLeft w:val="640"/>
          <w:marRight w:val="0"/>
          <w:marTop w:val="0"/>
          <w:marBottom w:val="0"/>
          <w:divBdr>
            <w:top w:val="none" w:sz="0" w:space="0" w:color="auto"/>
            <w:left w:val="none" w:sz="0" w:space="0" w:color="auto"/>
            <w:bottom w:val="none" w:sz="0" w:space="0" w:color="auto"/>
            <w:right w:val="none" w:sz="0" w:space="0" w:color="auto"/>
          </w:divBdr>
        </w:div>
        <w:div w:id="1655720548">
          <w:marLeft w:val="640"/>
          <w:marRight w:val="0"/>
          <w:marTop w:val="0"/>
          <w:marBottom w:val="0"/>
          <w:divBdr>
            <w:top w:val="none" w:sz="0" w:space="0" w:color="auto"/>
            <w:left w:val="none" w:sz="0" w:space="0" w:color="auto"/>
            <w:bottom w:val="none" w:sz="0" w:space="0" w:color="auto"/>
            <w:right w:val="none" w:sz="0" w:space="0" w:color="auto"/>
          </w:divBdr>
        </w:div>
        <w:div w:id="1686058289">
          <w:marLeft w:val="640"/>
          <w:marRight w:val="0"/>
          <w:marTop w:val="0"/>
          <w:marBottom w:val="0"/>
          <w:divBdr>
            <w:top w:val="none" w:sz="0" w:space="0" w:color="auto"/>
            <w:left w:val="none" w:sz="0" w:space="0" w:color="auto"/>
            <w:bottom w:val="none" w:sz="0" w:space="0" w:color="auto"/>
            <w:right w:val="none" w:sz="0" w:space="0" w:color="auto"/>
          </w:divBdr>
        </w:div>
        <w:div w:id="1285044026">
          <w:marLeft w:val="640"/>
          <w:marRight w:val="0"/>
          <w:marTop w:val="0"/>
          <w:marBottom w:val="0"/>
          <w:divBdr>
            <w:top w:val="none" w:sz="0" w:space="0" w:color="auto"/>
            <w:left w:val="none" w:sz="0" w:space="0" w:color="auto"/>
            <w:bottom w:val="none" w:sz="0" w:space="0" w:color="auto"/>
            <w:right w:val="none" w:sz="0" w:space="0" w:color="auto"/>
          </w:divBdr>
        </w:div>
        <w:div w:id="893807326">
          <w:marLeft w:val="640"/>
          <w:marRight w:val="0"/>
          <w:marTop w:val="0"/>
          <w:marBottom w:val="0"/>
          <w:divBdr>
            <w:top w:val="none" w:sz="0" w:space="0" w:color="auto"/>
            <w:left w:val="none" w:sz="0" w:space="0" w:color="auto"/>
            <w:bottom w:val="none" w:sz="0" w:space="0" w:color="auto"/>
            <w:right w:val="none" w:sz="0" w:space="0" w:color="auto"/>
          </w:divBdr>
        </w:div>
        <w:div w:id="704595162">
          <w:marLeft w:val="640"/>
          <w:marRight w:val="0"/>
          <w:marTop w:val="0"/>
          <w:marBottom w:val="0"/>
          <w:divBdr>
            <w:top w:val="none" w:sz="0" w:space="0" w:color="auto"/>
            <w:left w:val="none" w:sz="0" w:space="0" w:color="auto"/>
            <w:bottom w:val="none" w:sz="0" w:space="0" w:color="auto"/>
            <w:right w:val="none" w:sz="0" w:space="0" w:color="auto"/>
          </w:divBdr>
        </w:div>
        <w:div w:id="1616718696">
          <w:marLeft w:val="640"/>
          <w:marRight w:val="0"/>
          <w:marTop w:val="0"/>
          <w:marBottom w:val="0"/>
          <w:divBdr>
            <w:top w:val="none" w:sz="0" w:space="0" w:color="auto"/>
            <w:left w:val="none" w:sz="0" w:space="0" w:color="auto"/>
            <w:bottom w:val="none" w:sz="0" w:space="0" w:color="auto"/>
            <w:right w:val="none" w:sz="0" w:space="0" w:color="auto"/>
          </w:divBdr>
        </w:div>
        <w:div w:id="214657784">
          <w:marLeft w:val="640"/>
          <w:marRight w:val="0"/>
          <w:marTop w:val="0"/>
          <w:marBottom w:val="0"/>
          <w:divBdr>
            <w:top w:val="none" w:sz="0" w:space="0" w:color="auto"/>
            <w:left w:val="none" w:sz="0" w:space="0" w:color="auto"/>
            <w:bottom w:val="none" w:sz="0" w:space="0" w:color="auto"/>
            <w:right w:val="none" w:sz="0" w:space="0" w:color="auto"/>
          </w:divBdr>
        </w:div>
        <w:div w:id="447697144">
          <w:marLeft w:val="640"/>
          <w:marRight w:val="0"/>
          <w:marTop w:val="0"/>
          <w:marBottom w:val="0"/>
          <w:divBdr>
            <w:top w:val="none" w:sz="0" w:space="0" w:color="auto"/>
            <w:left w:val="none" w:sz="0" w:space="0" w:color="auto"/>
            <w:bottom w:val="none" w:sz="0" w:space="0" w:color="auto"/>
            <w:right w:val="none" w:sz="0" w:space="0" w:color="auto"/>
          </w:divBdr>
        </w:div>
        <w:div w:id="830681529">
          <w:marLeft w:val="640"/>
          <w:marRight w:val="0"/>
          <w:marTop w:val="0"/>
          <w:marBottom w:val="0"/>
          <w:divBdr>
            <w:top w:val="none" w:sz="0" w:space="0" w:color="auto"/>
            <w:left w:val="none" w:sz="0" w:space="0" w:color="auto"/>
            <w:bottom w:val="none" w:sz="0" w:space="0" w:color="auto"/>
            <w:right w:val="none" w:sz="0" w:space="0" w:color="auto"/>
          </w:divBdr>
        </w:div>
        <w:div w:id="1527407733">
          <w:marLeft w:val="640"/>
          <w:marRight w:val="0"/>
          <w:marTop w:val="0"/>
          <w:marBottom w:val="0"/>
          <w:divBdr>
            <w:top w:val="none" w:sz="0" w:space="0" w:color="auto"/>
            <w:left w:val="none" w:sz="0" w:space="0" w:color="auto"/>
            <w:bottom w:val="none" w:sz="0" w:space="0" w:color="auto"/>
            <w:right w:val="none" w:sz="0" w:space="0" w:color="auto"/>
          </w:divBdr>
        </w:div>
        <w:div w:id="1631470178">
          <w:marLeft w:val="640"/>
          <w:marRight w:val="0"/>
          <w:marTop w:val="0"/>
          <w:marBottom w:val="0"/>
          <w:divBdr>
            <w:top w:val="none" w:sz="0" w:space="0" w:color="auto"/>
            <w:left w:val="none" w:sz="0" w:space="0" w:color="auto"/>
            <w:bottom w:val="none" w:sz="0" w:space="0" w:color="auto"/>
            <w:right w:val="none" w:sz="0" w:space="0" w:color="auto"/>
          </w:divBdr>
        </w:div>
        <w:div w:id="321398478">
          <w:marLeft w:val="640"/>
          <w:marRight w:val="0"/>
          <w:marTop w:val="0"/>
          <w:marBottom w:val="0"/>
          <w:divBdr>
            <w:top w:val="none" w:sz="0" w:space="0" w:color="auto"/>
            <w:left w:val="none" w:sz="0" w:space="0" w:color="auto"/>
            <w:bottom w:val="none" w:sz="0" w:space="0" w:color="auto"/>
            <w:right w:val="none" w:sz="0" w:space="0" w:color="auto"/>
          </w:divBdr>
        </w:div>
        <w:div w:id="553738966">
          <w:marLeft w:val="640"/>
          <w:marRight w:val="0"/>
          <w:marTop w:val="0"/>
          <w:marBottom w:val="0"/>
          <w:divBdr>
            <w:top w:val="none" w:sz="0" w:space="0" w:color="auto"/>
            <w:left w:val="none" w:sz="0" w:space="0" w:color="auto"/>
            <w:bottom w:val="none" w:sz="0" w:space="0" w:color="auto"/>
            <w:right w:val="none" w:sz="0" w:space="0" w:color="auto"/>
          </w:divBdr>
        </w:div>
        <w:div w:id="1163617760">
          <w:marLeft w:val="640"/>
          <w:marRight w:val="0"/>
          <w:marTop w:val="0"/>
          <w:marBottom w:val="0"/>
          <w:divBdr>
            <w:top w:val="none" w:sz="0" w:space="0" w:color="auto"/>
            <w:left w:val="none" w:sz="0" w:space="0" w:color="auto"/>
            <w:bottom w:val="none" w:sz="0" w:space="0" w:color="auto"/>
            <w:right w:val="none" w:sz="0" w:space="0" w:color="auto"/>
          </w:divBdr>
        </w:div>
        <w:div w:id="90513376">
          <w:marLeft w:val="640"/>
          <w:marRight w:val="0"/>
          <w:marTop w:val="0"/>
          <w:marBottom w:val="0"/>
          <w:divBdr>
            <w:top w:val="none" w:sz="0" w:space="0" w:color="auto"/>
            <w:left w:val="none" w:sz="0" w:space="0" w:color="auto"/>
            <w:bottom w:val="none" w:sz="0" w:space="0" w:color="auto"/>
            <w:right w:val="none" w:sz="0" w:space="0" w:color="auto"/>
          </w:divBdr>
        </w:div>
        <w:div w:id="1167474414">
          <w:marLeft w:val="640"/>
          <w:marRight w:val="0"/>
          <w:marTop w:val="0"/>
          <w:marBottom w:val="0"/>
          <w:divBdr>
            <w:top w:val="none" w:sz="0" w:space="0" w:color="auto"/>
            <w:left w:val="none" w:sz="0" w:space="0" w:color="auto"/>
            <w:bottom w:val="none" w:sz="0" w:space="0" w:color="auto"/>
            <w:right w:val="none" w:sz="0" w:space="0" w:color="auto"/>
          </w:divBdr>
        </w:div>
        <w:div w:id="338699098">
          <w:marLeft w:val="640"/>
          <w:marRight w:val="0"/>
          <w:marTop w:val="0"/>
          <w:marBottom w:val="0"/>
          <w:divBdr>
            <w:top w:val="none" w:sz="0" w:space="0" w:color="auto"/>
            <w:left w:val="none" w:sz="0" w:space="0" w:color="auto"/>
            <w:bottom w:val="none" w:sz="0" w:space="0" w:color="auto"/>
            <w:right w:val="none" w:sz="0" w:space="0" w:color="auto"/>
          </w:divBdr>
        </w:div>
        <w:div w:id="1070344253">
          <w:marLeft w:val="640"/>
          <w:marRight w:val="0"/>
          <w:marTop w:val="0"/>
          <w:marBottom w:val="0"/>
          <w:divBdr>
            <w:top w:val="none" w:sz="0" w:space="0" w:color="auto"/>
            <w:left w:val="none" w:sz="0" w:space="0" w:color="auto"/>
            <w:bottom w:val="none" w:sz="0" w:space="0" w:color="auto"/>
            <w:right w:val="none" w:sz="0" w:space="0" w:color="auto"/>
          </w:divBdr>
        </w:div>
        <w:div w:id="771121625">
          <w:marLeft w:val="640"/>
          <w:marRight w:val="0"/>
          <w:marTop w:val="0"/>
          <w:marBottom w:val="0"/>
          <w:divBdr>
            <w:top w:val="none" w:sz="0" w:space="0" w:color="auto"/>
            <w:left w:val="none" w:sz="0" w:space="0" w:color="auto"/>
            <w:bottom w:val="none" w:sz="0" w:space="0" w:color="auto"/>
            <w:right w:val="none" w:sz="0" w:space="0" w:color="auto"/>
          </w:divBdr>
        </w:div>
        <w:div w:id="1154375869">
          <w:marLeft w:val="640"/>
          <w:marRight w:val="0"/>
          <w:marTop w:val="0"/>
          <w:marBottom w:val="0"/>
          <w:divBdr>
            <w:top w:val="none" w:sz="0" w:space="0" w:color="auto"/>
            <w:left w:val="none" w:sz="0" w:space="0" w:color="auto"/>
            <w:bottom w:val="none" w:sz="0" w:space="0" w:color="auto"/>
            <w:right w:val="none" w:sz="0" w:space="0" w:color="auto"/>
          </w:divBdr>
        </w:div>
        <w:div w:id="2112119531">
          <w:marLeft w:val="640"/>
          <w:marRight w:val="0"/>
          <w:marTop w:val="0"/>
          <w:marBottom w:val="0"/>
          <w:divBdr>
            <w:top w:val="none" w:sz="0" w:space="0" w:color="auto"/>
            <w:left w:val="none" w:sz="0" w:space="0" w:color="auto"/>
            <w:bottom w:val="none" w:sz="0" w:space="0" w:color="auto"/>
            <w:right w:val="none" w:sz="0" w:space="0" w:color="auto"/>
          </w:divBdr>
        </w:div>
        <w:div w:id="105078910">
          <w:marLeft w:val="640"/>
          <w:marRight w:val="0"/>
          <w:marTop w:val="0"/>
          <w:marBottom w:val="0"/>
          <w:divBdr>
            <w:top w:val="none" w:sz="0" w:space="0" w:color="auto"/>
            <w:left w:val="none" w:sz="0" w:space="0" w:color="auto"/>
            <w:bottom w:val="none" w:sz="0" w:space="0" w:color="auto"/>
            <w:right w:val="none" w:sz="0" w:space="0" w:color="auto"/>
          </w:divBdr>
        </w:div>
        <w:div w:id="322009641">
          <w:marLeft w:val="640"/>
          <w:marRight w:val="0"/>
          <w:marTop w:val="0"/>
          <w:marBottom w:val="0"/>
          <w:divBdr>
            <w:top w:val="none" w:sz="0" w:space="0" w:color="auto"/>
            <w:left w:val="none" w:sz="0" w:space="0" w:color="auto"/>
            <w:bottom w:val="none" w:sz="0" w:space="0" w:color="auto"/>
            <w:right w:val="none" w:sz="0" w:space="0" w:color="auto"/>
          </w:divBdr>
        </w:div>
        <w:div w:id="340398619">
          <w:marLeft w:val="640"/>
          <w:marRight w:val="0"/>
          <w:marTop w:val="0"/>
          <w:marBottom w:val="0"/>
          <w:divBdr>
            <w:top w:val="none" w:sz="0" w:space="0" w:color="auto"/>
            <w:left w:val="none" w:sz="0" w:space="0" w:color="auto"/>
            <w:bottom w:val="none" w:sz="0" w:space="0" w:color="auto"/>
            <w:right w:val="none" w:sz="0" w:space="0" w:color="auto"/>
          </w:divBdr>
        </w:div>
        <w:div w:id="1363894266">
          <w:marLeft w:val="640"/>
          <w:marRight w:val="0"/>
          <w:marTop w:val="0"/>
          <w:marBottom w:val="0"/>
          <w:divBdr>
            <w:top w:val="none" w:sz="0" w:space="0" w:color="auto"/>
            <w:left w:val="none" w:sz="0" w:space="0" w:color="auto"/>
            <w:bottom w:val="none" w:sz="0" w:space="0" w:color="auto"/>
            <w:right w:val="none" w:sz="0" w:space="0" w:color="auto"/>
          </w:divBdr>
        </w:div>
        <w:div w:id="438793447">
          <w:marLeft w:val="640"/>
          <w:marRight w:val="0"/>
          <w:marTop w:val="0"/>
          <w:marBottom w:val="0"/>
          <w:divBdr>
            <w:top w:val="none" w:sz="0" w:space="0" w:color="auto"/>
            <w:left w:val="none" w:sz="0" w:space="0" w:color="auto"/>
            <w:bottom w:val="none" w:sz="0" w:space="0" w:color="auto"/>
            <w:right w:val="none" w:sz="0" w:space="0" w:color="auto"/>
          </w:divBdr>
        </w:div>
        <w:div w:id="1631008063">
          <w:marLeft w:val="640"/>
          <w:marRight w:val="0"/>
          <w:marTop w:val="0"/>
          <w:marBottom w:val="0"/>
          <w:divBdr>
            <w:top w:val="none" w:sz="0" w:space="0" w:color="auto"/>
            <w:left w:val="none" w:sz="0" w:space="0" w:color="auto"/>
            <w:bottom w:val="none" w:sz="0" w:space="0" w:color="auto"/>
            <w:right w:val="none" w:sz="0" w:space="0" w:color="auto"/>
          </w:divBdr>
        </w:div>
        <w:div w:id="1703509287">
          <w:marLeft w:val="640"/>
          <w:marRight w:val="0"/>
          <w:marTop w:val="0"/>
          <w:marBottom w:val="0"/>
          <w:divBdr>
            <w:top w:val="none" w:sz="0" w:space="0" w:color="auto"/>
            <w:left w:val="none" w:sz="0" w:space="0" w:color="auto"/>
            <w:bottom w:val="none" w:sz="0" w:space="0" w:color="auto"/>
            <w:right w:val="none" w:sz="0" w:space="0" w:color="auto"/>
          </w:divBdr>
        </w:div>
        <w:div w:id="1455636839">
          <w:marLeft w:val="640"/>
          <w:marRight w:val="0"/>
          <w:marTop w:val="0"/>
          <w:marBottom w:val="0"/>
          <w:divBdr>
            <w:top w:val="none" w:sz="0" w:space="0" w:color="auto"/>
            <w:left w:val="none" w:sz="0" w:space="0" w:color="auto"/>
            <w:bottom w:val="none" w:sz="0" w:space="0" w:color="auto"/>
            <w:right w:val="none" w:sz="0" w:space="0" w:color="auto"/>
          </w:divBdr>
        </w:div>
        <w:div w:id="411317790">
          <w:marLeft w:val="640"/>
          <w:marRight w:val="0"/>
          <w:marTop w:val="0"/>
          <w:marBottom w:val="0"/>
          <w:divBdr>
            <w:top w:val="none" w:sz="0" w:space="0" w:color="auto"/>
            <w:left w:val="none" w:sz="0" w:space="0" w:color="auto"/>
            <w:bottom w:val="none" w:sz="0" w:space="0" w:color="auto"/>
            <w:right w:val="none" w:sz="0" w:space="0" w:color="auto"/>
          </w:divBdr>
        </w:div>
        <w:div w:id="272249026">
          <w:marLeft w:val="640"/>
          <w:marRight w:val="0"/>
          <w:marTop w:val="0"/>
          <w:marBottom w:val="0"/>
          <w:divBdr>
            <w:top w:val="none" w:sz="0" w:space="0" w:color="auto"/>
            <w:left w:val="none" w:sz="0" w:space="0" w:color="auto"/>
            <w:bottom w:val="none" w:sz="0" w:space="0" w:color="auto"/>
            <w:right w:val="none" w:sz="0" w:space="0" w:color="auto"/>
          </w:divBdr>
        </w:div>
        <w:div w:id="1237714230">
          <w:marLeft w:val="640"/>
          <w:marRight w:val="0"/>
          <w:marTop w:val="0"/>
          <w:marBottom w:val="0"/>
          <w:divBdr>
            <w:top w:val="none" w:sz="0" w:space="0" w:color="auto"/>
            <w:left w:val="none" w:sz="0" w:space="0" w:color="auto"/>
            <w:bottom w:val="none" w:sz="0" w:space="0" w:color="auto"/>
            <w:right w:val="none" w:sz="0" w:space="0" w:color="auto"/>
          </w:divBdr>
        </w:div>
        <w:div w:id="675419758">
          <w:marLeft w:val="640"/>
          <w:marRight w:val="0"/>
          <w:marTop w:val="0"/>
          <w:marBottom w:val="0"/>
          <w:divBdr>
            <w:top w:val="none" w:sz="0" w:space="0" w:color="auto"/>
            <w:left w:val="none" w:sz="0" w:space="0" w:color="auto"/>
            <w:bottom w:val="none" w:sz="0" w:space="0" w:color="auto"/>
            <w:right w:val="none" w:sz="0" w:space="0" w:color="auto"/>
          </w:divBdr>
        </w:div>
        <w:div w:id="99765639">
          <w:marLeft w:val="640"/>
          <w:marRight w:val="0"/>
          <w:marTop w:val="0"/>
          <w:marBottom w:val="0"/>
          <w:divBdr>
            <w:top w:val="none" w:sz="0" w:space="0" w:color="auto"/>
            <w:left w:val="none" w:sz="0" w:space="0" w:color="auto"/>
            <w:bottom w:val="none" w:sz="0" w:space="0" w:color="auto"/>
            <w:right w:val="none" w:sz="0" w:space="0" w:color="auto"/>
          </w:divBdr>
        </w:div>
        <w:div w:id="964776701">
          <w:marLeft w:val="640"/>
          <w:marRight w:val="0"/>
          <w:marTop w:val="0"/>
          <w:marBottom w:val="0"/>
          <w:divBdr>
            <w:top w:val="none" w:sz="0" w:space="0" w:color="auto"/>
            <w:left w:val="none" w:sz="0" w:space="0" w:color="auto"/>
            <w:bottom w:val="none" w:sz="0" w:space="0" w:color="auto"/>
            <w:right w:val="none" w:sz="0" w:space="0" w:color="auto"/>
          </w:divBdr>
        </w:div>
        <w:div w:id="1625233024">
          <w:marLeft w:val="640"/>
          <w:marRight w:val="0"/>
          <w:marTop w:val="0"/>
          <w:marBottom w:val="0"/>
          <w:divBdr>
            <w:top w:val="none" w:sz="0" w:space="0" w:color="auto"/>
            <w:left w:val="none" w:sz="0" w:space="0" w:color="auto"/>
            <w:bottom w:val="none" w:sz="0" w:space="0" w:color="auto"/>
            <w:right w:val="none" w:sz="0" w:space="0" w:color="auto"/>
          </w:divBdr>
        </w:div>
        <w:div w:id="146436015">
          <w:marLeft w:val="640"/>
          <w:marRight w:val="0"/>
          <w:marTop w:val="0"/>
          <w:marBottom w:val="0"/>
          <w:divBdr>
            <w:top w:val="none" w:sz="0" w:space="0" w:color="auto"/>
            <w:left w:val="none" w:sz="0" w:space="0" w:color="auto"/>
            <w:bottom w:val="none" w:sz="0" w:space="0" w:color="auto"/>
            <w:right w:val="none" w:sz="0" w:space="0" w:color="auto"/>
          </w:divBdr>
        </w:div>
        <w:div w:id="610744011">
          <w:marLeft w:val="640"/>
          <w:marRight w:val="0"/>
          <w:marTop w:val="0"/>
          <w:marBottom w:val="0"/>
          <w:divBdr>
            <w:top w:val="none" w:sz="0" w:space="0" w:color="auto"/>
            <w:left w:val="none" w:sz="0" w:space="0" w:color="auto"/>
            <w:bottom w:val="none" w:sz="0" w:space="0" w:color="auto"/>
            <w:right w:val="none" w:sz="0" w:space="0" w:color="auto"/>
          </w:divBdr>
        </w:div>
        <w:div w:id="2110856432">
          <w:marLeft w:val="640"/>
          <w:marRight w:val="0"/>
          <w:marTop w:val="0"/>
          <w:marBottom w:val="0"/>
          <w:divBdr>
            <w:top w:val="none" w:sz="0" w:space="0" w:color="auto"/>
            <w:left w:val="none" w:sz="0" w:space="0" w:color="auto"/>
            <w:bottom w:val="none" w:sz="0" w:space="0" w:color="auto"/>
            <w:right w:val="none" w:sz="0" w:space="0" w:color="auto"/>
          </w:divBdr>
        </w:div>
        <w:div w:id="1242251470">
          <w:marLeft w:val="640"/>
          <w:marRight w:val="0"/>
          <w:marTop w:val="0"/>
          <w:marBottom w:val="0"/>
          <w:divBdr>
            <w:top w:val="none" w:sz="0" w:space="0" w:color="auto"/>
            <w:left w:val="none" w:sz="0" w:space="0" w:color="auto"/>
            <w:bottom w:val="none" w:sz="0" w:space="0" w:color="auto"/>
            <w:right w:val="none" w:sz="0" w:space="0" w:color="auto"/>
          </w:divBdr>
        </w:div>
        <w:div w:id="334574867">
          <w:marLeft w:val="640"/>
          <w:marRight w:val="0"/>
          <w:marTop w:val="0"/>
          <w:marBottom w:val="0"/>
          <w:divBdr>
            <w:top w:val="none" w:sz="0" w:space="0" w:color="auto"/>
            <w:left w:val="none" w:sz="0" w:space="0" w:color="auto"/>
            <w:bottom w:val="none" w:sz="0" w:space="0" w:color="auto"/>
            <w:right w:val="none" w:sz="0" w:space="0" w:color="auto"/>
          </w:divBdr>
        </w:div>
        <w:div w:id="103157445">
          <w:marLeft w:val="640"/>
          <w:marRight w:val="0"/>
          <w:marTop w:val="0"/>
          <w:marBottom w:val="0"/>
          <w:divBdr>
            <w:top w:val="none" w:sz="0" w:space="0" w:color="auto"/>
            <w:left w:val="none" w:sz="0" w:space="0" w:color="auto"/>
            <w:bottom w:val="none" w:sz="0" w:space="0" w:color="auto"/>
            <w:right w:val="none" w:sz="0" w:space="0" w:color="auto"/>
          </w:divBdr>
        </w:div>
        <w:div w:id="2028020635">
          <w:marLeft w:val="640"/>
          <w:marRight w:val="0"/>
          <w:marTop w:val="0"/>
          <w:marBottom w:val="0"/>
          <w:divBdr>
            <w:top w:val="none" w:sz="0" w:space="0" w:color="auto"/>
            <w:left w:val="none" w:sz="0" w:space="0" w:color="auto"/>
            <w:bottom w:val="none" w:sz="0" w:space="0" w:color="auto"/>
            <w:right w:val="none" w:sz="0" w:space="0" w:color="auto"/>
          </w:divBdr>
        </w:div>
        <w:div w:id="1674406340">
          <w:marLeft w:val="640"/>
          <w:marRight w:val="0"/>
          <w:marTop w:val="0"/>
          <w:marBottom w:val="0"/>
          <w:divBdr>
            <w:top w:val="none" w:sz="0" w:space="0" w:color="auto"/>
            <w:left w:val="none" w:sz="0" w:space="0" w:color="auto"/>
            <w:bottom w:val="none" w:sz="0" w:space="0" w:color="auto"/>
            <w:right w:val="none" w:sz="0" w:space="0" w:color="auto"/>
          </w:divBdr>
        </w:div>
        <w:div w:id="384065152">
          <w:marLeft w:val="640"/>
          <w:marRight w:val="0"/>
          <w:marTop w:val="0"/>
          <w:marBottom w:val="0"/>
          <w:divBdr>
            <w:top w:val="none" w:sz="0" w:space="0" w:color="auto"/>
            <w:left w:val="none" w:sz="0" w:space="0" w:color="auto"/>
            <w:bottom w:val="none" w:sz="0" w:space="0" w:color="auto"/>
            <w:right w:val="none" w:sz="0" w:space="0" w:color="auto"/>
          </w:divBdr>
        </w:div>
        <w:div w:id="1452550603">
          <w:marLeft w:val="640"/>
          <w:marRight w:val="0"/>
          <w:marTop w:val="0"/>
          <w:marBottom w:val="0"/>
          <w:divBdr>
            <w:top w:val="none" w:sz="0" w:space="0" w:color="auto"/>
            <w:left w:val="none" w:sz="0" w:space="0" w:color="auto"/>
            <w:bottom w:val="none" w:sz="0" w:space="0" w:color="auto"/>
            <w:right w:val="none" w:sz="0" w:space="0" w:color="auto"/>
          </w:divBdr>
        </w:div>
        <w:div w:id="1250507545">
          <w:marLeft w:val="640"/>
          <w:marRight w:val="0"/>
          <w:marTop w:val="0"/>
          <w:marBottom w:val="0"/>
          <w:divBdr>
            <w:top w:val="none" w:sz="0" w:space="0" w:color="auto"/>
            <w:left w:val="none" w:sz="0" w:space="0" w:color="auto"/>
            <w:bottom w:val="none" w:sz="0" w:space="0" w:color="auto"/>
            <w:right w:val="none" w:sz="0" w:space="0" w:color="auto"/>
          </w:divBdr>
        </w:div>
        <w:div w:id="1351180926">
          <w:marLeft w:val="640"/>
          <w:marRight w:val="0"/>
          <w:marTop w:val="0"/>
          <w:marBottom w:val="0"/>
          <w:divBdr>
            <w:top w:val="none" w:sz="0" w:space="0" w:color="auto"/>
            <w:left w:val="none" w:sz="0" w:space="0" w:color="auto"/>
            <w:bottom w:val="none" w:sz="0" w:space="0" w:color="auto"/>
            <w:right w:val="none" w:sz="0" w:space="0" w:color="auto"/>
          </w:divBdr>
        </w:div>
        <w:div w:id="816579653">
          <w:marLeft w:val="640"/>
          <w:marRight w:val="0"/>
          <w:marTop w:val="0"/>
          <w:marBottom w:val="0"/>
          <w:divBdr>
            <w:top w:val="none" w:sz="0" w:space="0" w:color="auto"/>
            <w:left w:val="none" w:sz="0" w:space="0" w:color="auto"/>
            <w:bottom w:val="none" w:sz="0" w:space="0" w:color="auto"/>
            <w:right w:val="none" w:sz="0" w:space="0" w:color="auto"/>
          </w:divBdr>
        </w:div>
        <w:div w:id="123934769">
          <w:marLeft w:val="640"/>
          <w:marRight w:val="0"/>
          <w:marTop w:val="0"/>
          <w:marBottom w:val="0"/>
          <w:divBdr>
            <w:top w:val="none" w:sz="0" w:space="0" w:color="auto"/>
            <w:left w:val="none" w:sz="0" w:space="0" w:color="auto"/>
            <w:bottom w:val="none" w:sz="0" w:space="0" w:color="auto"/>
            <w:right w:val="none" w:sz="0" w:space="0" w:color="auto"/>
          </w:divBdr>
        </w:div>
        <w:div w:id="686831490">
          <w:marLeft w:val="640"/>
          <w:marRight w:val="0"/>
          <w:marTop w:val="0"/>
          <w:marBottom w:val="0"/>
          <w:divBdr>
            <w:top w:val="none" w:sz="0" w:space="0" w:color="auto"/>
            <w:left w:val="none" w:sz="0" w:space="0" w:color="auto"/>
            <w:bottom w:val="none" w:sz="0" w:space="0" w:color="auto"/>
            <w:right w:val="none" w:sz="0" w:space="0" w:color="auto"/>
          </w:divBdr>
        </w:div>
        <w:div w:id="1609046432">
          <w:marLeft w:val="640"/>
          <w:marRight w:val="0"/>
          <w:marTop w:val="0"/>
          <w:marBottom w:val="0"/>
          <w:divBdr>
            <w:top w:val="none" w:sz="0" w:space="0" w:color="auto"/>
            <w:left w:val="none" w:sz="0" w:space="0" w:color="auto"/>
            <w:bottom w:val="none" w:sz="0" w:space="0" w:color="auto"/>
            <w:right w:val="none" w:sz="0" w:space="0" w:color="auto"/>
          </w:divBdr>
        </w:div>
        <w:div w:id="835534890">
          <w:marLeft w:val="640"/>
          <w:marRight w:val="0"/>
          <w:marTop w:val="0"/>
          <w:marBottom w:val="0"/>
          <w:divBdr>
            <w:top w:val="none" w:sz="0" w:space="0" w:color="auto"/>
            <w:left w:val="none" w:sz="0" w:space="0" w:color="auto"/>
            <w:bottom w:val="none" w:sz="0" w:space="0" w:color="auto"/>
            <w:right w:val="none" w:sz="0" w:space="0" w:color="auto"/>
          </w:divBdr>
        </w:div>
        <w:div w:id="418865857">
          <w:marLeft w:val="640"/>
          <w:marRight w:val="0"/>
          <w:marTop w:val="0"/>
          <w:marBottom w:val="0"/>
          <w:divBdr>
            <w:top w:val="none" w:sz="0" w:space="0" w:color="auto"/>
            <w:left w:val="none" w:sz="0" w:space="0" w:color="auto"/>
            <w:bottom w:val="none" w:sz="0" w:space="0" w:color="auto"/>
            <w:right w:val="none" w:sz="0" w:space="0" w:color="auto"/>
          </w:divBdr>
        </w:div>
        <w:div w:id="1170757535">
          <w:marLeft w:val="640"/>
          <w:marRight w:val="0"/>
          <w:marTop w:val="0"/>
          <w:marBottom w:val="0"/>
          <w:divBdr>
            <w:top w:val="none" w:sz="0" w:space="0" w:color="auto"/>
            <w:left w:val="none" w:sz="0" w:space="0" w:color="auto"/>
            <w:bottom w:val="none" w:sz="0" w:space="0" w:color="auto"/>
            <w:right w:val="none" w:sz="0" w:space="0" w:color="auto"/>
          </w:divBdr>
        </w:div>
        <w:div w:id="1993441074">
          <w:marLeft w:val="640"/>
          <w:marRight w:val="0"/>
          <w:marTop w:val="0"/>
          <w:marBottom w:val="0"/>
          <w:divBdr>
            <w:top w:val="none" w:sz="0" w:space="0" w:color="auto"/>
            <w:left w:val="none" w:sz="0" w:space="0" w:color="auto"/>
            <w:bottom w:val="none" w:sz="0" w:space="0" w:color="auto"/>
            <w:right w:val="none" w:sz="0" w:space="0" w:color="auto"/>
          </w:divBdr>
        </w:div>
        <w:div w:id="1705444547">
          <w:marLeft w:val="640"/>
          <w:marRight w:val="0"/>
          <w:marTop w:val="0"/>
          <w:marBottom w:val="0"/>
          <w:divBdr>
            <w:top w:val="none" w:sz="0" w:space="0" w:color="auto"/>
            <w:left w:val="none" w:sz="0" w:space="0" w:color="auto"/>
            <w:bottom w:val="none" w:sz="0" w:space="0" w:color="auto"/>
            <w:right w:val="none" w:sz="0" w:space="0" w:color="auto"/>
          </w:divBdr>
        </w:div>
        <w:div w:id="2087453362">
          <w:marLeft w:val="640"/>
          <w:marRight w:val="0"/>
          <w:marTop w:val="0"/>
          <w:marBottom w:val="0"/>
          <w:divBdr>
            <w:top w:val="none" w:sz="0" w:space="0" w:color="auto"/>
            <w:left w:val="none" w:sz="0" w:space="0" w:color="auto"/>
            <w:bottom w:val="none" w:sz="0" w:space="0" w:color="auto"/>
            <w:right w:val="none" w:sz="0" w:space="0" w:color="auto"/>
          </w:divBdr>
        </w:div>
        <w:div w:id="20209055">
          <w:marLeft w:val="640"/>
          <w:marRight w:val="0"/>
          <w:marTop w:val="0"/>
          <w:marBottom w:val="0"/>
          <w:divBdr>
            <w:top w:val="none" w:sz="0" w:space="0" w:color="auto"/>
            <w:left w:val="none" w:sz="0" w:space="0" w:color="auto"/>
            <w:bottom w:val="none" w:sz="0" w:space="0" w:color="auto"/>
            <w:right w:val="none" w:sz="0" w:space="0" w:color="auto"/>
          </w:divBdr>
        </w:div>
        <w:div w:id="1447189653">
          <w:marLeft w:val="640"/>
          <w:marRight w:val="0"/>
          <w:marTop w:val="0"/>
          <w:marBottom w:val="0"/>
          <w:divBdr>
            <w:top w:val="none" w:sz="0" w:space="0" w:color="auto"/>
            <w:left w:val="none" w:sz="0" w:space="0" w:color="auto"/>
            <w:bottom w:val="none" w:sz="0" w:space="0" w:color="auto"/>
            <w:right w:val="none" w:sz="0" w:space="0" w:color="auto"/>
          </w:divBdr>
        </w:div>
        <w:div w:id="1709648812">
          <w:marLeft w:val="640"/>
          <w:marRight w:val="0"/>
          <w:marTop w:val="0"/>
          <w:marBottom w:val="0"/>
          <w:divBdr>
            <w:top w:val="none" w:sz="0" w:space="0" w:color="auto"/>
            <w:left w:val="none" w:sz="0" w:space="0" w:color="auto"/>
            <w:bottom w:val="none" w:sz="0" w:space="0" w:color="auto"/>
            <w:right w:val="none" w:sz="0" w:space="0" w:color="auto"/>
          </w:divBdr>
        </w:div>
        <w:div w:id="1345401684">
          <w:marLeft w:val="640"/>
          <w:marRight w:val="0"/>
          <w:marTop w:val="0"/>
          <w:marBottom w:val="0"/>
          <w:divBdr>
            <w:top w:val="none" w:sz="0" w:space="0" w:color="auto"/>
            <w:left w:val="none" w:sz="0" w:space="0" w:color="auto"/>
            <w:bottom w:val="none" w:sz="0" w:space="0" w:color="auto"/>
            <w:right w:val="none" w:sz="0" w:space="0" w:color="auto"/>
          </w:divBdr>
        </w:div>
        <w:div w:id="969936794">
          <w:marLeft w:val="640"/>
          <w:marRight w:val="0"/>
          <w:marTop w:val="0"/>
          <w:marBottom w:val="0"/>
          <w:divBdr>
            <w:top w:val="none" w:sz="0" w:space="0" w:color="auto"/>
            <w:left w:val="none" w:sz="0" w:space="0" w:color="auto"/>
            <w:bottom w:val="none" w:sz="0" w:space="0" w:color="auto"/>
            <w:right w:val="none" w:sz="0" w:space="0" w:color="auto"/>
          </w:divBdr>
        </w:div>
        <w:div w:id="482160779">
          <w:marLeft w:val="640"/>
          <w:marRight w:val="0"/>
          <w:marTop w:val="0"/>
          <w:marBottom w:val="0"/>
          <w:divBdr>
            <w:top w:val="none" w:sz="0" w:space="0" w:color="auto"/>
            <w:left w:val="none" w:sz="0" w:space="0" w:color="auto"/>
            <w:bottom w:val="none" w:sz="0" w:space="0" w:color="auto"/>
            <w:right w:val="none" w:sz="0" w:space="0" w:color="auto"/>
          </w:divBdr>
        </w:div>
        <w:div w:id="329069394">
          <w:marLeft w:val="640"/>
          <w:marRight w:val="0"/>
          <w:marTop w:val="0"/>
          <w:marBottom w:val="0"/>
          <w:divBdr>
            <w:top w:val="none" w:sz="0" w:space="0" w:color="auto"/>
            <w:left w:val="none" w:sz="0" w:space="0" w:color="auto"/>
            <w:bottom w:val="none" w:sz="0" w:space="0" w:color="auto"/>
            <w:right w:val="none" w:sz="0" w:space="0" w:color="auto"/>
          </w:divBdr>
        </w:div>
        <w:div w:id="1950315644">
          <w:marLeft w:val="640"/>
          <w:marRight w:val="0"/>
          <w:marTop w:val="0"/>
          <w:marBottom w:val="0"/>
          <w:divBdr>
            <w:top w:val="none" w:sz="0" w:space="0" w:color="auto"/>
            <w:left w:val="none" w:sz="0" w:space="0" w:color="auto"/>
            <w:bottom w:val="none" w:sz="0" w:space="0" w:color="auto"/>
            <w:right w:val="none" w:sz="0" w:space="0" w:color="auto"/>
          </w:divBdr>
        </w:div>
        <w:div w:id="893468950">
          <w:marLeft w:val="640"/>
          <w:marRight w:val="0"/>
          <w:marTop w:val="0"/>
          <w:marBottom w:val="0"/>
          <w:divBdr>
            <w:top w:val="none" w:sz="0" w:space="0" w:color="auto"/>
            <w:left w:val="none" w:sz="0" w:space="0" w:color="auto"/>
            <w:bottom w:val="none" w:sz="0" w:space="0" w:color="auto"/>
            <w:right w:val="none" w:sz="0" w:space="0" w:color="auto"/>
          </w:divBdr>
        </w:div>
        <w:div w:id="1617366210">
          <w:marLeft w:val="640"/>
          <w:marRight w:val="0"/>
          <w:marTop w:val="0"/>
          <w:marBottom w:val="0"/>
          <w:divBdr>
            <w:top w:val="none" w:sz="0" w:space="0" w:color="auto"/>
            <w:left w:val="none" w:sz="0" w:space="0" w:color="auto"/>
            <w:bottom w:val="none" w:sz="0" w:space="0" w:color="auto"/>
            <w:right w:val="none" w:sz="0" w:space="0" w:color="auto"/>
          </w:divBdr>
        </w:div>
        <w:div w:id="1259101840">
          <w:marLeft w:val="640"/>
          <w:marRight w:val="0"/>
          <w:marTop w:val="0"/>
          <w:marBottom w:val="0"/>
          <w:divBdr>
            <w:top w:val="none" w:sz="0" w:space="0" w:color="auto"/>
            <w:left w:val="none" w:sz="0" w:space="0" w:color="auto"/>
            <w:bottom w:val="none" w:sz="0" w:space="0" w:color="auto"/>
            <w:right w:val="none" w:sz="0" w:space="0" w:color="auto"/>
          </w:divBdr>
        </w:div>
        <w:div w:id="1611737835">
          <w:marLeft w:val="640"/>
          <w:marRight w:val="0"/>
          <w:marTop w:val="0"/>
          <w:marBottom w:val="0"/>
          <w:divBdr>
            <w:top w:val="none" w:sz="0" w:space="0" w:color="auto"/>
            <w:left w:val="none" w:sz="0" w:space="0" w:color="auto"/>
            <w:bottom w:val="none" w:sz="0" w:space="0" w:color="auto"/>
            <w:right w:val="none" w:sz="0" w:space="0" w:color="auto"/>
          </w:divBdr>
        </w:div>
        <w:div w:id="672493719">
          <w:marLeft w:val="640"/>
          <w:marRight w:val="0"/>
          <w:marTop w:val="0"/>
          <w:marBottom w:val="0"/>
          <w:divBdr>
            <w:top w:val="none" w:sz="0" w:space="0" w:color="auto"/>
            <w:left w:val="none" w:sz="0" w:space="0" w:color="auto"/>
            <w:bottom w:val="none" w:sz="0" w:space="0" w:color="auto"/>
            <w:right w:val="none" w:sz="0" w:space="0" w:color="auto"/>
          </w:divBdr>
        </w:div>
        <w:div w:id="460733018">
          <w:marLeft w:val="640"/>
          <w:marRight w:val="0"/>
          <w:marTop w:val="0"/>
          <w:marBottom w:val="0"/>
          <w:divBdr>
            <w:top w:val="none" w:sz="0" w:space="0" w:color="auto"/>
            <w:left w:val="none" w:sz="0" w:space="0" w:color="auto"/>
            <w:bottom w:val="none" w:sz="0" w:space="0" w:color="auto"/>
            <w:right w:val="none" w:sz="0" w:space="0" w:color="auto"/>
          </w:divBdr>
        </w:div>
        <w:div w:id="219949362">
          <w:marLeft w:val="640"/>
          <w:marRight w:val="0"/>
          <w:marTop w:val="0"/>
          <w:marBottom w:val="0"/>
          <w:divBdr>
            <w:top w:val="none" w:sz="0" w:space="0" w:color="auto"/>
            <w:left w:val="none" w:sz="0" w:space="0" w:color="auto"/>
            <w:bottom w:val="none" w:sz="0" w:space="0" w:color="auto"/>
            <w:right w:val="none" w:sz="0" w:space="0" w:color="auto"/>
          </w:divBdr>
        </w:div>
        <w:div w:id="1994405371">
          <w:marLeft w:val="640"/>
          <w:marRight w:val="0"/>
          <w:marTop w:val="0"/>
          <w:marBottom w:val="0"/>
          <w:divBdr>
            <w:top w:val="none" w:sz="0" w:space="0" w:color="auto"/>
            <w:left w:val="none" w:sz="0" w:space="0" w:color="auto"/>
            <w:bottom w:val="none" w:sz="0" w:space="0" w:color="auto"/>
            <w:right w:val="none" w:sz="0" w:space="0" w:color="auto"/>
          </w:divBdr>
        </w:div>
        <w:div w:id="828979799">
          <w:marLeft w:val="640"/>
          <w:marRight w:val="0"/>
          <w:marTop w:val="0"/>
          <w:marBottom w:val="0"/>
          <w:divBdr>
            <w:top w:val="none" w:sz="0" w:space="0" w:color="auto"/>
            <w:left w:val="none" w:sz="0" w:space="0" w:color="auto"/>
            <w:bottom w:val="none" w:sz="0" w:space="0" w:color="auto"/>
            <w:right w:val="none" w:sz="0" w:space="0" w:color="auto"/>
          </w:divBdr>
        </w:div>
        <w:div w:id="9262132">
          <w:marLeft w:val="640"/>
          <w:marRight w:val="0"/>
          <w:marTop w:val="0"/>
          <w:marBottom w:val="0"/>
          <w:divBdr>
            <w:top w:val="none" w:sz="0" w:space="0" w:color="auto"/>
            <w:left w:val="none" w:sz="0" w:space="0" w:color="auto"/>
            <w:bottom w:val="none" w:sz="0" w:space="0" w:color="auto"/>
            <w:right w:val="none" w:sz="0" w:space="0" w:color="auto"/>
          </w:divBdr>
        </w:div>
        <w:div w:id="1128009030">
          <w:marLeft w:val="640"/>
          <w:marRight w:val="0"/>
          <w:marTop w:val="0"/>
          <w:marBottom w:val="0"/>
          <w:divBdr>
            <w:top w:val="none" w:sz="0" w:space="0" w:color="auto"/>
            <w:left w:val="none" w:sz="0" w:space="0" w:color="auto"/>
            <w:bottom w:val="none" w:sz="0" w:space="0" w:color="auto"/>
            <w:right w:val="none" w:sz="0" w:space="0" w:color="auto"/>
          </w:divBdr>
        </w:div>
        <w:div w:id="1526676960">
          <w:marLeft w:val="640"/>
          <w:marRight w:val="0"/>
          <w:marTop w:val="0"/>
          <w:marBottom w:val="0"/>
          <w:divBdr>
            <w:top w:val="none" w:sz="0" w:space="0" w:color="auto"/>
            <w:left w:val="none" w:sz="0" w:space="0" w:color="auto"/>
            <w:bottom w:val="none" w:sz="0" w:space="0" w:color="auto"/>
            <w:right w:val="none" w:sz="0" w:space="0" w:color="auto"/>
          </w:divBdr>
        </w:div>
        <w:div w:id="223177038">
          <w:marLeft w:val="640"/>
          <w:marRight w:val="0"/>
          <w:marTop w:val="0"/>
          <w:marBottom w:val="0"/>
          <w:divBdr>
            <w:top w:val="none" w:sz="0" w:space="0" w:color="auto"/>
            <w:left w:val="none" w:sz="0" w:space="0" w:color="auto"/>
            <w:bottom w:val="none" w:sz="0" w:space="0" w:color="auto"/>
            <w:right w:val="none" w:sz="0" w:space="0" w:color="auto"/>
          </w:divBdr>
        </w:div>
        <w:div w:id="119308110">
          <w:marLeft w:val="640"/>
          <w:marRight w:val="0"/>
          <w:marTop w:val="0"/>
          <w:marBottom w:val="0"/>
          <w:divBdr>
            <w:top w:val="none" w:sz="0" w:space="0" w:color="auto"/>
            <w:left w:val="none" w:sz="0" w:space="0" w:color="auto"/>
            <w:bottom w:val="none" w:sz="0" w:space="0" w:color="auto"/>
            <w:right w:val="none" w:sz="0" w:space="0" w:color="auto"/>
          </w:divBdr>
        </w:div>
        <w:div w:id="593637653">
          <w:marLeft w:val="640"/>
          <w:marRight w:val="0"/>
          <w:marTop w:val="0"/>
          <w:marBottom w:val="0"/>
          <w:divBdr>
            <w:top w:val="none" w:sz="0" w:space="0" w:color="auto"/>
            <w:left w:val="none" w:sz="0" w:space="0" w:color="auto"/>
            <w:bottom w:val="none" w:sz="0" w:space="0" w:color="auto"/>
            <w:right w:val="none" w:sz="0" w:space="0" w:color="auto"/>
          </w:divBdr>
        </w:div>
        <w:div w:id="526330518">
          <w:marLeft w:val="640"/>
          <w:marRight w:val="0"/>
          <w:marTop w:val="0"/>
          <w:marBottom w:val="0"/>
          <w:divBdr>
            <w:top w:val="none" w:sz="0" w:space="0" w:color="auto"/>
            <w:left w:val="none" w:sz="0" w:space="0" w:color="auto"/>
            <w:bottom w:val="none" w:sz="0" w:space="0" w:color="auto"/>
            <w:right w:val="none" w:sz="0" w:space="0" w:color="auto"/>
          </w:divBdr>
        </w:div>
        <w:div w:id="1617254475">
          <w:marLeft w:val="640"/>
          <w:marRight w:val="0"/>
          <w:marTop w:val="0"/>
          <w:marBottom w:val="0"/>
          <w:divBdr>
            <w:top w:val="none" w:sz="0" w:space="0" w:color="auto"/>
            <w:left w:val="none" w:sz="0" w:space="0" w:color="auto"/>
            <w:bottom w:val="none" w:sz="0" w:space="0" w:color="auto"/>
            <w:right w:val="none" w:sz="0" w:space="0" w:color="auto"/>
          </w:divBdr>
        </w:div>
        <w:div w:id="1328443310">
          <w:marLeft w:val="640"/>
          <w:marRight w:val="0"/>
          <w:marTop w:val="0"/>
          <w:marBottom w:val="0"/>
          <w:divBdr>
            <w:top w:val="none" w:sz="0" w:space="0" w:color="auto"/>
            <w:left w:val="none" w:sz="0" w:space="0" w:color="auto"/>
            <w:bottom w:val="none" w:sz="0" w:space="0" w:color="auto"/>
            <w:right w:val="none" w:sz="0" w:space="0" w:color="auto"/>
          </w:divBdr>
        </w:div>
        <w:div w:id="1665160856">
          <w:marLeft w:val="640"/>
          <w:marRight w:val="0"/>
          <w:marTop w:val="0"/>
          <w:marBottom w:val="0"/>
          <w:divBdr>
            <w:top w:val="none" w:sz="0" w:space="0" w:color="auto"/>
            <w:left w:val="none" w:sz="0" w:space="0" w:color="auto"/>
            <w:bottom w:val="none" w:sz="0" w:space="0" w:color="auto"/>
            <w:right w:val="none" w:sz="0" w:space="0" w:color="auto"/>
          </w:divBdr>
        </w:div>
        <w:div w:id="1843398830">
          <w:marLeft w:val="640"/>
          <w:marRight w:val="0"/>
          <w:marTop w:val="0"/>
          <w:marBottom w:val="0"/>
          <w:divBdr>
            <w:top w:val="none" w:sz="0" w:space="0" w:color="auto"/>
            <w:left w:val="none" w:sz="0" w:space="0" w:color="auto"/>
            <w:bottom w:val="none" w:sz="0" w:space="0" w:color="auto"/>
            <w:right w:val="none" w:sz="0" w:space="0" w:color="auto"/>
          </w:divBdr>
        </w:div>
        <w:div w:id="1233155178">
          <w:marLeft w:val="640"/>
          <w:marRight w:val="0"/>
          <w:marTop w:val="0"/>
          <w:marBottom w:val="0"/>
          <w:divBdr>
            <w:top w:val="none" w:sz="0" w:space="0" w:color="auto"/>
            <w:left w:val="none" w:sz="0" w:space="0" w:color="auto"/>
            <w:bottom w:val="none" w:sz="0" w:space="0" w:color="auto"/>
            <w:right w:val="none" w:sz="0" w:space="0" w:color="auto"/>
          </w:divBdr>
        </w:div>
        <w:div w:id="413212884">
          <w:marLeft w:val="640"/>
          <w:marRight w:val="0"/>
          <w:marTop w:val="0"/>
          <w:marBottom w:val="0"/>
          <w:divBdr>
            <w:top w:val="none" w:sz="0" w:space="0" w:color="auto"/>
            <w:left w:val="none" w:sz="0" w:space="0" w:color="auto"/>
            <w:bottom w:val="none" w:sz="0" w:space="0" w:color="auto"/>
            <w:right w:val="none" w:sz="0" w:space="0" w:color="auto"/>
          </w:divBdr>
        </w:div>
        <w:div w:id="2016498293">
          <w:marLeft w:val="640"/>
          <w:marRight w:val="0"/>
          <w:marTop w:val="0"/>
          <w:marBottom w:val="0"/>
          <w:divBdr>
            <w:top w:val="none" w:sz="0" w:space="0" w:color="auto"/>
            <w:left w:val="none" w:sz="0" w:space="0" w:color="auto"/>
            <w:bottom w:val="none" w:sz="0" w:space="0" w:color="auto"/>
            <w:right w:val="none" w:sz="0" w:space="0" w:color="auto"/>
          </w:divBdr>
        </w:div>
        <w:div w:id="677267091">
          <w:marLeft w:val="640"/>
          <w:marRight w:val="0"/>
          <w:marTop w:val="0"/>
          <w:marBottom w:val="0"/>
          <w:divBdr>
            <w:top w:val="none" w:sz="0" w:space="0" w:color="auto"/>
            <w:left w:val="none" w:sz="0" w:space="0" w:color="auto"/>
            <w:bottom w:val="none" w:sz="0" w:space="0" w:color="auto"/>
            <w:right w:val="none" w:sz="0" w:space="0" w:color="auto"/>
          </w:divBdr>
        </w:div>
        <w:div w:id="2114350986">
          <w:marLeft w:val="640"/>
          <w:marRight w:val="0"/>
          <w:marTop w:val="0"/>
          <w:marBottom w:val="0"/>
          <w:divBdr>
            <w:top w:val="none" w:sz="0" w:space="0" w:color="auto"/>
            <w:left w:val="none" w:sz="0" w:space="0" w:color="auto"/>
            <w:bottom w:val="none" w:sz="0" w:space="0" w:color="auto"/>
            <w:right w:val="none" w:sz="0" w:space="0" w:color="auto"/>
          </w:divBdr>
        </w:div>
        <w:div w:id="522018892">
          <w:marLeft w:val="640"/>
          <w:marRight w:val="0"/>
          <w:marTop w:val="0"/>
          <w:marBottom w:val="0"/>
          <w:divBdr>
            <w:top w:val="none" w:sz="0" w:space="0" w:color="auto"/>
            <w:left w:val="none" w:sz="0" w:space="0" w:color="auto"/>
            <w:bottom w:val="none" w:sz="0" w:space="0" w:color="auto"/>
            <w:right w:val="none" w:sz="0" w:space="0" w:color="auto"/>
          </w:divBdr>
        </w:div>
        <w:div w:id="874544880">
          <w:marLeft w:val="640"/>
          <w:marRight w:val="0"/>
          <w:marTop w:val="0"/>
          <w:marBottom w:val="0"/>
          <w:divBdr>
            <w:top w:val="none" w:sz="0" w:space="0" w:color="auto"/>
            <w:left w:val="none" w:sz="0" w:space="0" w:color="auto"/>
            <w:bottom w:val="none" w:sz="0" w:space="0" w:color="auto"/>
            <w:right w:val="none" w:sz="0" w:space="0" w:color="auto"/>
          </w:divBdr>
        </w:div>
        <w:div w:id="1662731266">
          <w:marLeft w:val="640"/>
          <w:marRight w:val="0"/>
          <w:marTop w:val="0"/>
          <w:marBottom w:val="0"/>
          <w:divBdr>
            <w:top w:val="none" w:sz="0" w:space="0" w:color="auto"/>
            <w:left w:val="none" w:sz="0" w:space="0" w:color="auto"/>
            <w:bottom w:val="none" w:sz="0" w:space="0" w:color="auto"/>
            <w:right w:val="none" w:sz="0" w:space="0" w:color="auto"/>
          </w:divBdr>
        </w:div>
        <w:div w:id="1806199456">
          <w:marLeft w:val="640"/>
          <w:marRight w:val="0"/>
          <w:marTop w:val="0"/>
          <w:marBottom w:val="0"/>
          <w:divBdr>
            <w:top w:val="none" w:sz="0" w:space="0" w:color="auto"/>
            <w:left w:val="none" w:sz="0" w:space="0" w:color="auto"/>
            <w:bottom w:val="none" w:sz="0" w:space="0" w:color="auto"/>
            <w:right w:val="none" w:sz="0" w:space="0" w:color="auto"/>
          </w:divBdr>
        </w:div>
        <w:div w:id="396050962">
          <w:marLeft w:val="640"/>
          <w:marRight w:val="0"/>
          <w:marTop w:val="0"/>
          <w:marBottom w:val="0"/>
          <w:divBdr>
            <w:top w:val="none" w:sz="0" w:space="0" w:color="auto"/>
            <w:left w:val="none" w:sz="0" w:space="0" w:color="auto"/>
            <w:bottom w:val="none" w:sz="0" w:space="0" w:color="auto"/>
            <w:right w:val="none" w:sz="0" w:space="0" w:color="auto"/>
          </w:divBdr>
        </w:div>
        <w:div w:id="650212398">
          <w:marLeft w:val="640"/>
          <w:marRight w:val="0"/>
          <w:marTop w:val="0"/>
          <w:marBottom w:val="0"/>
          <w:divBdr>
            <w:top w:val="none" w:sz="0" w:space="0" w:color="auto"/>
            <w:left w:val="none" w:sz="0" w:space="0" w:color="auto"/>
            <w:bottom w:val="none" w:sz="0" w:space="0" w:color="auto"/>
            <w:right w:val="none" w:sz="0" w:space="0" w:color="auto"/>
          </w:divBdr>
        </w:div>
        <w:div w:id="88891496">
          <w:marLeft w:val="640"/>
          <w:marRight w:val="0"/>
          <w:marTop w:val="0"/>
          <w:marBottom w:val="0"/>
          <w:divBdr>
            <w:top w:val="none" w:sz="0" w:space="0" w:color="auto"/>
            <w:left w:val="none" w:sz="0" w:space="0" w:color="auto"/>
            <w:bottom w:val="none" w:sz="0" w:space="0" w:color="auto"/>
            <w:right w:val="none" w:sz="0" w:space="0" w:color="auto"/>
          </w:divBdr>
        </w:div>
        <w:div w:id="2139061632">
          <w:marLeft w:val="640"/>
          <w:marRight w:val="0"/>
          <w:marTop w:val="0"/>
          <w:marBottom w:val="0"/>
          <w:divBdr>
            <w:top w:val="none" w:sz="0" w:space="0" w:color="auto"/>
            <w:left w:val="none" w:sz="0" w:space="0" w:color="auto"/>
            <w:bottom w:val="none" w:sz="0" w:space="0" w:color="auto"/>
            <w:right w:val="none" w:sz="0" w:space="0" w:color="auto"/>
          </w:divBdr>
        </w:div>
        <w:div w:id="1860703825">
          <w:marLeft w:val="640"/>
          <w:marRight w:val="0"/>
          <w:marTop w:val="0"/>
          <w:marBottom w:val="0"/>
          <w:divBdr>
            <w:top w:val="none" w:sz="0" w:space="0" w:color="auto"/>
            <w:left w:val="none" w:sz="0" w:space="0" w:color="auto"/>
            <w:bottom w:val="none" w:sz="0" w:space="0" w:color="auto"/>
            <w:right w:val="none" w:sz="0" w:space="0" w:color="auto"/>
          </w:divBdr>
        </w:div>
        <w:div w:id="1636908558">
          <w:marLeft w:val="640"/>
          <w:marRight w:val="0"/>
          <w:marTop w:val="0"/>
          <w:marBottom w:val="0"/>
          <w:divBdr>
            <w:top w:val="none" w:sz="0" w:space="0" w:color="auto"/>
            <w:left w:val="none" w:sz="0" w:space="0" w:color="auto"/>
            <w:bottom w:val="none" w:sz="0" w:space="0" w:color="auto"/>
            <w:right w:val="none" w:sz="0" w:space="0" w:color="auto"/>
          </w:divBdr>
        </w:div>
        <w:div w:id="1924997141">
          <w:marLeft w:val="640"/>
          <w:marRight w:val="0"/>
          <w:marTop w:val="0"/>
          <w:marBottom w:val="0"/>
          <w:divBdr>
            <w:top w:val="none" w:sz="0" w:space="0" w:color="auto"/>
            <w:left w:val="none" w:sz="0" w:space="0" w:color="auto"/>
            <w:bottom w:val="none" w:sz="0" w:space="0" w:color="auto"/>
            <w:right w:val="none" w:sz="0" w:space="0" w:color="auto"/>
          </w:divBdr>
        </w:div>
        <w:div w:id="1647012467">
          <w:marLeft w:val="640"/>
          <w:marRight w:val="0"/>
          <w:marTop w:val="0"/>
          <w:marBottom w:val="0"/>
          <w:divBdr>
            <w:top w:val="none" w:sz="0" w:space="0" w:color="auto"/>
            <w:left w:val="none" w:sz="0" w:space="0" w:color="auto"/>
            <w:bottom w:val="none" w:sz="0" w:space="0" w:color="auto"/>
            <w:right w:val="none" w:sz="0" w:space="0" w:color="auto"/>
          </w:divBdr>
        </w:div>
        <w:div w:id="472407634">
          <w:marLeft w:val="640"/>
          <w:marRight w:val="0"/>
          <w:marTop w:val="0"/>
          <w:marBottom w:val="0"/>
          <w:divBdr>
            <w:top w:val="none" w:sz="0" w:space="0" w:color="auto"/>
            <w:left w:val="none" w:sz="0" w:space="0" w:color="auto"/>
            <w:bottom w:val="none" w:sz="0" w:space="0" w:color="auto"/>
            <w:right w:val="none" w:sz="0" w:space="0" w:color="auto"/>
          </w:divBdr>
        </w:div>
        <w:div w:id="736778551">
          <w:marLeft w:val="640"/>
          <w:marRight w:val="0"/>
          <w:marTop w:val="0"/>
          <w:marBottom w:val="0"/>
          <w:divBdr>
            <w:top w:val="none" w:sz="0" w:space="0" w:color="auto"/>
            <w:left w:val="none" w:sz="0" w:space="0" w:color="auto"/>
            <w:bottom w:val="none" w:sz="0" w:space="0" w:color="auto"/>
            <w:right w:val="none" w:sz="0" w:space="0" w:color="auto"/>
          </w:divBdr>
        </w:div>
        <w:div w:id="1808888558">
          <w:marLeft w:val="640"/>
          <w:marRight w:val="0"/>
          <w:marTop w:val="0"/>
          <w:marBottom w:val="0"/>
          <w:divBdr>
            <w:top w:val="none" w:sz="0" w:space="0" w:color="auto"/>
            <w:left w:val="none" w:sz="0" w:space="0" w:color="auto"/>
            <w:bottom w:val="none" w:sz="0" w:space="0" w:color="auto"/>
            <w:right w:val="none" w:sz="0" w:space="0" w:color="auto"/>
          </w:divBdr>
        </w:div>
        <w:div w:id="880091254">
          <w:marLeft w:val="640"/>
          <w:marRight w:val="0"/>
          <w:marTop w:val="0"/>
          <w:marBottom w:val="0"/>
          <w:divBdr>
            <w:top w:val="none" w:sz="0" w:space="0" w:color="auto"/>
            <w:left w:val="none" w:sz="0" w:space="0" w:color="auto"/>
            <w:bottom w:val="none" w:sz="0" w:space="0" w:color="auto"/>
            <w:right w:val="none" w:sz="0" w:space="0" w:color="auto"/>
          </w:divBdr>
        </w:div>
        <w:div w:id="746808090">
          <w:marLeft w:val="640"/>
          <w:marRight w:val="0"/>
          <w:marTop w:val="0"/>
          <w:marBottom w:val="0"/>
          <w:divBdr>
            <w:top w:val="none" w:sz="0" w:space="0" w:color="auto"/>
            <w:left w:val="none" w:sz="0" w:space="0" w:color="auto"/>
            <w:bottom w:val="none" w:sz="0" w:space="0" w:color="auto"/>
            <w:right w:val="none" w:sz="0" w:space="0" w:color="auto"/>
          </w:divBdr>
        </w:div>
        <w:div w:id="13507259">
          <w:marLeft w:val="640"/>
          <w:marRight w:val="0"/>
          <w:marTop w:val="0"/>
          <w:marBottom w:val="0"/>
          <w:divBdr>
            <w:top w:val="none" w:sz="0" w:space="0" w:color="auto"/>
            <w:left w:val="none" w:sz="0" w:space="0" w:color="auto"/>
            <w:bottom w:val="none" w:sz="0" w:space="0" w:color="auto"/>
            <w:right w:val="none" w:sz="0" w:space="0" w:color="auto"/>
          </w:divBdr>
        </w:div>
        <w:div w:id="1658537370">
          <w:marLeft w:val="640"/>
          <w:marRight w:val="0"/>
          <w:marTop w:val="0"/>
          <w:marBottom w:val="0"/>
          <w:divBdr>
            <w:top w:val="none" w:sz="0" w:space="0" w:color="auto"/>
            <w:left w:val="none" w:sz="0" w:space="0" w:color="auto"/>
            <w:bottom w:val="none" w:sz="0" w:space="0" w:color="auto"/>
            <w:right w:val="none" w:sz="0" w:space="0" w:color="auto"/>
          </w:divBdr>
        </w:div>
        <w:div w:id="1528250253">
          <w:marLeft w:val="640"/>
          <w:marRight w:val="0"/>
          <w:marTop w:val="0"/>
          <w:marBottom w:val="0"/>
          <w:divBdr>
            <w:top w:val="none" w:sz="0" w:space="0" w:color="auto"/>
            <w:left w:val="none" w:sz="0" w:space="0" w:color="auto"/>
            <w:bottom w:val="none" w:sz="0" w:space="0" w:color="auto"/>
            <w:right w:val="none" w:sz="0" w:space="0" w:color="auto"/>
          </w:divBdr>
        </w:div>
        <w:div w:id="1713798585">
          <w:marLeft w:val="640"/>
          <w:marRight w:val="0"/>
          <w:marTop w:val="0"/>
          <w:marBottom w:val="0"/>
          <w:divBdr>
            <w:top w:val="none" w:sz="0" w:space="0" w:color="auto"/>
            <w:left w:val="none" w:sz="0" w:space="0" w:color="auto"/>
            <w:bottom w:val="none" w:sz="0" w:space="0" w:color="auto"/>
            <w:right w:val="none" w:sz="0" w:space="0" w:color="auto"/>
          </w:divBdr>
        </w:div>
        <w:div w:id="579677049">
          <w:marLeft w:val="640"/>
          <w:marRight w:val="0"/>
          <w:marTop w:val="0"/>
          <w:marBottom w:val="0"/>
          <w:divBdr>
            <w:top w:val="none" w:sz="0" w:space="0" w:color="auto"/>
            <w:left w:val="none" w:sz="0" w:space="0" w:color="auto"/>
            <w:bottom w:val="none" w:sz="0" w:space="0" w:color="auto"/>
            <w:right w:val="none" w:sz="0" w:space="0" w:color="auto"/>
          </w:divBdr>
        </w:div>
        <w:div w:id="1221672110">
          <w:marLeft w:val="640"/>
          <w:marRight w:val="0"/>
          <w:marTop w:val="0"/>
          <w:marBottom w:val="0"/>
          <w:divBdr>
            <w:top w:val="none" w:sz="0" w:space="0" w:color="auto"/>
            <w:left w:val="none" w:sz="0" w:space="0" w:color="auto"/>
            <w:bottom w:val="none" w:sz="0" w:space="0" w:color="auto"/>
            <w:right w:val="none" w:sz="0" w:space="0" w:color="auto"/>
          </w:divBdr>
        </w:div>
        <w:div w:id="1357120869">
          <w:marLeft w:val="640"/>
          <w:marRight w:val="0"/>
          <w:marTop w:val="0"/>
          <w:marBottom w:val="0"/>
          <w:divBdr>
            <w:top w:val="none" w:sz="0" w:space="0" w:color="auto"/>
            <w:left w:val="none" w:sz="0" w:space="0" w:color="auto"/>
            <w:bottom w:val="none" w:sz="0" w:space="0" w:color="auto"/>
            <w:right w:val="none" w:sz="0" w:space="0" w:color="auto"/>
          </w:divBdr>
        </w:div>
        <w:div w:id="395980525">
          <w:marLeft w:val="640"/>
          <w:marRight w:val="0"/>
          <w:marTop w:val="0"/>
          <w:marBottom w:val="0"/>
          <w:divBdr>
            <w:top w:val="none" w:sz="0" w:space="0" w:color="auto"/>
            <w:left w:val="none" w:sz="0" w:space="0" w:color="auto"/>
            <w:bottom w:val="none" w:sz="0" w:space="0" w:color="auto"/>
            <w:right w:val="none" w:sz="0" w:space="0" w:color="auto"/>
          </w:divBdr>
        </w:div>
        <w:div w:id="2132359788">
          <w:marLeft w:val="640"/>
          <w:marRight w:val="0"/>
          <w:marTop w:val="0"/>
          <w:marBottom w:val="0"/>
          <w:divBdr>
            <w:top w:val="none" w:sz="0" w:space="0" w:color="auto"/>
            <w:left w:val="none" w:sz="0" w:space="0" w:color="auto"/>
            <w:bottom w:val="none" w:sz="0" w:space="0" w:color="auto"/>
            <w:right w:val="none" w:sz="0" w:space="0" w:color="auto"/>
          </w:divBdr>
        </w:div>
        <w:div w:id="300813892">
          <w:marLeft w:val="640"/>
          <w:marRight w:val="0"/>
          <w:marTop w:val="0"/>
          <w:marBottom w:val="0"/>
          <w:divBdr>
            <w:top w:val="none" w:sz="0" w:space="0" w:color="auto"/>
            <w:left w:val="none" w:sz="0" w:space="0" w:color="auto"/>
            <w:bottom w:val="none" w:sz="0" w:space="0" w:color="auto"/>
            <w:right w:val="none" w:sz="0" w:space="0" w:color="auto"/>
          </w:divBdr>
        </w:div>
        <w:div w:id="1205144515">
          <w:marLeft w:val="640"/>
          <w:marRight w:val="0"/>
          <w:marTop w:val="0"/>
          <w:marBottom w:val="0"/>
          <w:divBdr>
            <w:top w:val="none" w:sz="0" w:space="0" w:color="auto"/>
            <w:left w:val="none" w:sz="0" w:space="0" w:color="auto"/>
            <w:bottom w:val="none" w:sz="0" w:space="0" w:color="auto"/>
            <w:right w:val="none" w:sz="0" w:space="0" w:color="auto"/>
          </w:divBdr>
        </w:div>
        <w:div w:id="1978367414">
          <w:marLeft w:val="640"/>
          <w:marRight w:val="0"/>
          <w:marTop w:val="0"/>
          <w:marBottom w:val="0"/>
          <w:divBdr>
            <w:top w:val="none" w:sz="0" w:space="0" w:color="auto"/>
            <w:left w:val="none" w:sz="0" w:space="0" w:color="auto"/>
            <w:bottom w:val="none" w:sz="0" w:space="0" w:color="auto"/>
            <w:right w:val="none" w:sz="0" w:space="0" w:color="auto"/>
          </w:divBdr>
        </w:div>
        <w:div w:id="778262322">
          <w:marLeft w:val="640"/>
          <w:marRight w:val="0"/>
          <w:marTop w:val="0"/>
          <w:marBottom w:val="0"/>
          <w:divBdr>
            <w:top w:val="none" w:sz="0" w:space="0" w:color="auto"/>
            <w:left w:val="none" w:sz="0" w:space="0" w:color="auto"/>
            <w:bottom w:val="none" w:sz="0" w:space="0" w:color="auto"/>
            <w:right w:val="none" w:sz="0" w:space="0" w:color="auto"/>
          </w:divBdr>
        </w:div>
        <w:div w:id="1147354793">
          <w:marLeft w:val="640"/>
          <w:marRight w:val="0"/>
          <w:marTop w:val="0"/>
          <w:marBottom w:val="0"/>
          <w:divBdr>
            <w:top w:val="none" w:sz="0" w:space="0" w:color="auto"/>
            <w:left w:val="none" w:sz="0" w:space="0" w:color="auto"/>
            <w:bottom w:val="none" w:sz="0" w:space="0" w:color="auto"/>
            <w:right w:val="none" w:sz="0" w:space="0" w:color="auto"/>
          </w:divBdr>
        </w:div>
        <w:div w:id="1084184391">
          <w:marLeft w:val="640"/>
          <w:marRight w:val="0"/>
          <w:marTop w:val="0"/>
          <w:marBottom w:val="0"/>
          <w:divBdr>
            <w:top w:val="none" w:sz="0" w:space="0" w:color="auto"/>
            <w:left w:val="none" w:sz="0" w:space="0" w:color="auto"/>
            <w:bottom w:val="none" w:sz="0" w:space="0" w:color="auto"/>
            <w:right w:val="none" w:sz="0" w:space="0" w:color="auto"/>
          </w:divBdr>
        </w:div>
        <w:div w:id="38288475">
          <w:marLeft w:val="640"/>
          <w:marRight w:val="0"/>
          <w:marTop w:val="0"/>
          <w:marBottom w:val="0"/>
          <w:divBdr>
            <w:top w:val="none" w:sz="0" w:space="0" w:color="auto"/>
            <w:left w:val="none" w:sz="0" w:space="0" w:color="auto"/>
            <w:bottom w:val="none" w:sz="0" w:space="0" w:color="auto"/>
            <w:right w:val="none" w:sz="0" w:space="0" w:color="auto"/>
          </w:divBdr>
        </w:div>
        <w:div w:id="38748008">
          <w:marLeft w:val="640"/>
          <w:marRight w:val="0"/>
          <w:marTop w:val="0"/>
          <w:marBottom w:val="0"/>
          <w:divBdr>
            <w:top w:val="none" w:sz="0" w:space="0" w:color="auto"/>
            <w:left w:val="none" w:sz="0" w:space="0" w:color="auto"/>
            <w:bottom w:val="none" w:sz="0" w:space="0" w:color="auto"/>
            <w:right w:val="none" w:sz="0" w:space="0" w:color="auto"/>
          </w:divBdr>
        </w:div>
        <w:div w:id="2100517184">
          <w:marLeft w:val="640"/>
          <w:marRight w:val="0"/>
          <w:marTop w:val="0"/>
          <w:marBottom w:val="0"/>
          <w:divBdr>
            <w:top w:val="none" w:sz="0" w:space="0" w:color="auto"/>
            <w:left w:val="none" w:sz="0" w:space="0" w:color="auto"/>
            <w:bottom w:val="none" w:sz="0" w:space="0" w:color="auto"/>
            <w:right w:val="none" w:sz="0" w:space="0" w:color="auto"/>
          </w:divBdr>
        </w:div>
        <w:div w:id="2051690200">
          <w:marLeft w:val="640"/>
          <w:marRight w:val="0"/>
          <w:marTop w:val="0"/>
          <w:marBottom w:val="0"/>
          <w:divBdr>
            <w:top w:val="none" w:sz="0" w:space="0" w:color="auto"/>
            <w:left w:val="none" w:sz="0" w:space="0" w:color="auto"/>
            <w:bottom w:val="none" w:sz="0" w:space="0" w:color="auto"/>
            <w:right w:val="none" w:sz="0" w:space="0" w:color="auto"/>
          </w:divBdr>
        </w:div>
        <w:div w:id="1274746968">
          <w:marLeft w:val="640"/>
          <w:marRight w:val="0"/>
          <w:marTop w:val="0"/>
          <w:marBottom w:val="0"/>
          <w:divBdr>
            <w:top w:val="none" w:sz="0" w:space="0" w:color="auto"/>
            <w:left w:val="none" w:sz="0" w:space="0" w:color="auto"/>
            <w:bottom w:val="none" w:sz="0" w:space="0" w:color="auto"/>
            <w:right w:val="none" w:sz="0" w:space="0" w:color="auto"/>
          </w:divBdr>
        </w:div>
        <w:div w:id="2102335620">
          <w:marLeft w:val="640"/>
          <w:marRight w:val="0"/>
          <w:marTop w:val="0"/>
          <w:marBottom w:val="0"/>
          <w:divBdr>
            <w:top w:val="none" w:sz="0" w:space="0" w:color="auto"/>
            <w:left w:val="none" w:sz="0" w:space="0" w:color="auto"/>
            <w:bottom w:val="none" w:sz="0" w:space="0" w:color="auto"/>
            <w:right w:val="none" w:sz="0" w:space="0" w:color="auto"/>
          </w:divBdr>
        </w:div>
        <w:div w:id="1042249542">
          <w:marLeft w:val="640"/>
          <w:marRight w:val="0"/>
          <w:marTop w:val="0"/>
          <w:marBottom w:val="0"/>
          <w:divBdr>
            <w:top w:val="none" w:sz="0" w:space="0" w:color="auto"/>
            <w:left w:val="none" w:sz="0" w:space="0" w:color="auto"/>
            <w:bottom w:val="none" w:sz="0" w:space="0" w:color="auto"/>
            <w:right w:val="none" w:sz="0" w:space="0" w:color="auto"/>
          </w:divBdr>
        </w:div>
        <w:div w:id="1768963959">
          <w:marLeft w:val="640"/>
          <w:marRight w:val="0"/>
          <w:marTop w:val="0"/>
          <w:marBottom w:val="0"/>
          <w:divBdr>
            <w:top w:val="none" w:sz="0" w:space="0" w:color="auto"/>
            <w:left w:val="none" w:sz="0" w:space="0" w:color="auto"/>
            <w:bottom w:val="none" w:sz="0" w:space="0" w:color="auto"/>
            <w:right w:val="none" w:sz="0" w:space="0" w:color="auto"/>
          </w:divBdr>
        </w:div>
        <w:div w:id="1746954978">
          <w:marLeft w:val="640"/>
          <w:marRight w:val="0"/>
          <w:marTop w:val="0"/>
          <w:marBottom w:val="0"/>
          <w:divBdr>
            <w:top w:val="none" w:sz="0" w:space="0" w:color="auto"/>
            <w:left w:val="none" w:sz="0" w:space="0" w:color="auto"/>
            <w:bottom w:val="none" w:sz="0" w:space="0" w:color="auto"/>
            <w:right w:val="none" w:sz="0" w:space="0" w:color="auto"/>
          </w:divBdr>
        </w:div>
        <w:div w:id="877163536">
          <w:marLeft w:val="640"/>
          <w:marRight w:val="0"/>
          <w:marTop w:val="0"/>
          <w:marBottom w:val="0"/>
          <w:divBdr>
            <w:top w:val="none" w:sz="0" w:space="0" w:color="auto"/>
            <w:left w:val="none" w:sz="0" w:space="0" w:color="auto"/>
            <w:bottom w:val="none" w:sz="0" w:space="0" w:color="auto"/>
            <w:right w:val="none" w:sz="0" w:space="0" w:color="auto"/>
          </w:divBdr>
        </w:div>
        <w:div w:id="431122963">
          <w:marLeft w:val="640"/>
          <w:marRight w:val="0"/>
          <w:marTop w:val="0"/>
          <w:marBottom w:val="0"/>
          <w:divBdr>
            <w:top w:val="none" w:sz="0" w:space="0" w:color="auto"/>
            <w:left w:val="none" w:sz="0" w:space="0" w:color="auto"/>
            <w:bottom w:val="none" w:sz="0" w:space="0" w:color="auto"/>
            <w:right w:val="none" w:sz="0" w:space="0" w:color="auto"/>
          </w:divBdr>
        </w:div>
        <w:div w:id="963847489">
          <w:marLeft w:val="640"/>
          <w:marRight w:val="0"/>
          <w:marTop w:val="0"/>
          <w:marBottom w:val="0"/>
          <w:divBdr>
            <w:top w:val="none" w:sz="0" w:space="0" w:color="auto"/>
            <w:left w:val="none" w:sz="0" w:space="0" w:color="auto"/>
            <w:bottom w:val="none" w:sz="0" w:space="0" w:color="auto"/>
            <w:right w:val="none" w:sz="0" w:space="0" w:color="auto"/>
          </w:divBdr>
        </w:div>
        <w:div w:id="1940288396">
          <w:marLeft w:val="640"/>
          <w:marRight w:val="0"/>
          <w:marTop w:val="0"/>
          <w:marBottom w:val="0"/>
          <w:divBdr>
            <w:top w:val="none" w:sz="0" w:space="0" w:color="auto"/>
            <w:left w:val="none" w:sz="0" w:space="0" w:color="auto"/>
            <w:bottom w:val="none" w:sz="0" w:space="0" w:color="auto"/>
            <w:right w:val="none" w:sz="0" w:space="0" w:color="auto"/>
          </w:divBdr>
        </w:div>
        <w:div w:id="405104231">
          <w:marLeft w:val="640"/>
          <w:marRight w:val="0"/>
          <w:marTop w:val="0"/>
          <w:marBottom w:val="0"/>
          <w:divBdr>
            <w:top w:val="none" w:sz="0" w:space="0" w:color="auto"/>
            <w:left w:val="none" w:sz="0" w:space="0" w:color="auto"/>
            <w:bottom w:val="none" w:sz="0" w:space="0" w:color="auto"/>
            <w:right w:val="none" w:sz="0" w:space="0" w:color="auto"/>
          </w:divBdr>
        </w:div>
        <w:div w:id="940575203">
          <w:marLeft w:val="640"/>
          <w:marRight w:val="0"/>
          <w:marTop w:val="0"/>
          <w:marBottom w:val="0"/>
          <w:divBdr>
            <w:top w:val="none" w:sz="0" w:space="0" w:color="auto"/>
            <w:left w:val="none" w:sz="0" w:space="0" w:color="auto"/>
            <w:bottom w:val="none" w:sz="0" w:space="0" w:color="auto"/>
            <w:right w:val="none" w:sz="0" w:space="0" w:color="auto"/>
          </w:divBdr>
        </w:div>
        <w:div w:id="170219756">
          <w:marLeft w:val="640"/>
          <w:marRight w:val="0"/>
          <w:marTop w:val="0"/>
          <w:marBottom w:val="0"/>
          <w:divBdr>
            <w:top w:val="none" w:sz="0" w:space="0" w:color="auto"/>
            <w:left w:val="none" w:sz="0" w:space="0" w:color="auto"/>
            <w:bottom w:val="none" w:sz="0" w:space="0" w:color="auto"/>
            <w:right w:val="none" w:sz="0" w:space="0" w:color="auto"/>
          </w:divBdr>
        </w:div>
        <w:div w:id="2145614402">
          <w:marLeft w:val="640"/>
          <w:marRight w:val="0"/>
          <w:marTop w:val="0"/>
          <w:marBottom w:val="0"/>
          <w:divBdr>
            <w:top w:val="none" w:sz="0" w:space="0" w:color="auto"/>
            <w:left w:val="none" w:sz="0" w:space="0" w:color="auto"/>
            <w:bottom w:val="none" w:sz="0" w:space="0" w:color="auto"/>
            <w:right w:val="none" w:sz="0" w:space="0" w:color="auto"/>
          </w:divBdr>
        </w:div>
        <w:div w:id="1982616668">
          <w:marLeft w:val="640"/>
          <w:marRight w:val="0"/>
          <w:marTop w:val="0"/>
          <w:marBottom w:val="0"/>
          <w:divBdr>
            <w:top w:val="none" w:sz="0" w:space="0" w:color="auto"/>
            <w:left w:val="none" w:sz="0" w:space="0" w:color="auto"/>
            <w:bottom w:val="none" w:sz="0" w:space="0" w:color="auto"/>
            <w:right w:val="none" w:sz="0" w:space="0" w:color="auto"/>
          </w:divBdr>
        </w:div>
        <w:div w:id="457915559">
          <w:marLeft w:val="640"/>
          <w:marRight w:val="0"/>
          <w:marTop w:val="0"/>
          <w:marBottom w:val="0"/>
          <w:divBdr>
            <w:top w:val="none" w:sz="0" w:space="0" w:color="auto"/>
            <w:left w:val="none" w:sz="0" w:space="0" w:color="auto"/>
            <w:bottom w:val="none" w:sz="0" w:space="0" w:color="auto"/>
            <w:right w:val="none" w:sz="0" w:space="0" w:color="auto"/>
          </w:divBdr>
        </w:div>
        <w:div w:id="569080740">
          <w:marLeft w:val="640"/>
          <w:marRight w:val="0"/>
          <w:marTop w:val="0"/>
          <w:marBottom w:val="0"/>
          <w:divBdr>
            <w:top w:val="none" w:sz="0" w:space="0" w:color="auto"/>
            <w:left w:val="none" w:sz="0" w:space="0" w:color="auto"/>
            <w:bottom w:val="none" w:sz="0" w:space="0" w:color="auto"/>
            <w:right w:val="none" w:sz="0" w:space="0" w:color="auto"/>
          </w:divBdr>
        </w:div>
        <w:div w:id="979728571">
          <w:marLeft w:val="640"/>
          <w:marRight w:val="0"/>
          <w:marTop w:val="0"/>
          <w:marBottom w:val="0"/>
          <w:divBdr>
            <w:top w:val="none" w:sz="0" w:space="0" w:color="auto"/>
            <w:left w:val="none" w:sz="0" w:space="0" w:color="auto"/>
            <w:bottom w:val="none" w:sz="0" w:space="0" w:color="auto"/>
            <w:right w:val="none" w:sz="0" w:space="0" w:color="auto"/>
          </w:divBdr>
        </w:div>
        <w:div w:id="181282843">
          <w:marLeft w:val="640"/>
          <w:marRight w:val="0"/>
          <w:marTop w:val="0"/>
          <w:marBottom w:val="0"/>
          <w:divBdr>
            <w:top w:val="none" w:sz="0" w:space="0" w:color="auto"/>
            <w:left w:val="none" w:sz="0" w:space="0" w:color="auto"/>
            <w:bottom w:val="none" w:sz="0" w:space="0" w:color="auto"/>
            <w:right w:val="none" w:sz="0" w:space="0" w:color="auto"/>
          </w:divBdr>
        </w:div>
        <w:div w:id="1749424812">
          <w:marLeft w:val="640"/>
          <w:marRight w:val="0"/>
          <w:marTop w:val="0"/>
          <w:marBottom w:val="0"/>
          <w:divBdr>
            <w:top w:val="none" w:sz="0" w:space="0" w:color="auto"/>
            <w:left w:val="none" w:sz="0" w:space="0" w:color="auto"/>
            <w:bottom w:val="none" w:sz="0" w:space="0" w:color="auto"/>
            <w:right w:val="none" w:sz="0" w:space="0" w:color="auto"/>
          </w:divBdr>
        </w:div>
        <w:div w:id="710113109">
          <w:marLeft w:val="640"/>
          <w:marRight w:val="0"/>
          <w:marTop w:val="0"/>
          <w:marBottom w:val="0"/>
          <w:divBdr>
            <w:top w:val="none" w:sz="0" w:space="0" w:color="auto"/>
            <w:left w:val="none" w:sz="0" w:space="0" w:color="auto"/>
            <w:bottom w:val="none" w:sz="0" w:space="0" w:color="auto"/>
            <w:right w:val="none" w:sz="0" w:space="0" w:color="auto"/>
          </w:divBdr>
        </w:div>
        <w:div w:id="1441416995">
          <w:marLeft w:val="640"/>
          <w:marRight w:val="0"/>
          <w:marTop w:val="0"/>
          <w:marBottom w:val="0"/>
          <w:divBdr>
            <w:top w:val="none" w:sz="0" w:space="0" w:color="auto"/>
            <w:left w:val="none" w:sz="0" w:space="0" w:color="auto"/>
            <w:bottom w:val="none" w:sz="0" w:space="0" w:color="auto"/>
            <w:right w:val="none" w:sz="0" w:space="0" w:color="auto"/>
          </w:divBdr>
        </w:div>
        <w:div w:id="481389690">
          <w:marLeft w:val="640"/>
          <w:marRight w:val="0"/>
          <w:marTop w:val="0"/>
          <w:marBottom w:val="0"/>
          <w:divBdr>
            <w:top w:val="none" w:sz="0" w:space="0" w:color="auto"/>
            <w:left w:val="none" w:sz="0" w:space="0" w:color="auto"/>
            <w:bottom w:val="none" w:sz="0" w:space="0" w:color="auto"/>
            <w:right w:val="none" w:sz="0" w:space="0" w:color="auto"/>
          </w:divBdr>
        </w:div>
        <w:div w:id="721250306">
          <w:marLeft w:val="640"/>
          <w:marRight w:val="0"/>
          <w:marTop w:val="0"/>
          <w:marBottom w:val="0"/>
          <w:divBdr>
            <w:top w:val="none" w:sz="0" w:space="0" w:color="auto"/>
            <w:left w:val="none" w:sz="0" w:space="0" w:color="auto"/>
            <w:bottom w:val="none" w:sz="0" w:space="0" w:color="auto"/>
            <w:right w:val="none" w:sz="0" w:space="0" w:color="auto"/>
          </w:divBdr>
        </w:div>
        <w:div w:id="130513939">
          <w:marLeft w:val="640"/>
          <w:marRight w:val="0"/>
          <w:marTop w:val="0"/>
          <w:marBottom w:val="0"/>
          <w:divBdr>
            <w:top w:val="none" w:sz="0" w:space="0" w:color="auto"/>
            <w:left w:val="none" w:sz="0" w:space="0" w:color="auto"/>
            <w:bottom w:val="none" w:sz="0" w:space="0" w:color="auto"/>
            <w:right w:val="none" w:sz="0" w:space="0" w:color="auto"/>
          </w:divBdr>
        </w:div>
        <w:div w:id="926421047">
          <w:marLeft w:val="640"/>
          <w:marRight w:val="0"/>
          <w:marTop w:val="0"/>
          <w:marBottom w:val="0"/>
          <w:divBdr>
            <w:top w:val="none" w:sz="0" w:space="0" w:color="auto"/>
            <w:left w:val="none" w:sz="0" w:space="0" w:color="auto"/>
            <w:bottom w:val="none" w:sz="0" w:space="0" w:color="auto"/>
            <w:right w:val="none" w:sz="0" w:space="0" w:color="auto"/>
          </w:divBdr>
        </w:div>
        <w:div w:id="776412367">
          <w:marLeft w:val="640"/>
          <w:marRight w:val="0"/>
          <w:marTop w:val="0"/>
          <w:marBottom w:val="0"/>
          <w:divBdr>
            <w:top w:val="none" w:sz="0" w:space="0" w:color="auto"/>
            <w:left w:val="none" w:sz="0" w:space="0" w:color="auto"/>
            <w:bottom w:val="none" w:sz="0" w:space="0" w:color="auto"/>
            <w:right w:val="none" w:sz="0" w:space="0" w:color="auto"/>
          </w:divBdr>
        </w:div>
        <w:div w:id="1583487754">
          <w:marLeft w:val="640"/>
          <w:marRight w:val="0"/>
          <w:marTop w:val="0"/>
          <w:marBottom w:val="0"/>
          <w:divBdr>
            <w:top w:val="none" w:sz="0" w:space="0" w:color="auto"/>
            <w:left w:val="none" w:sz="0" w:space="0" w:color="auto"/>
            <w:bottom w:val="none" w:sz="0" w:space="0" w:color="auto"/>
            <w:right w:val="none" w:sz="0" w:space="0" w:color="auto"/>
          </w:divBdr>
        </w:div>
        <w:div w:id="2037273737">
          <w:marLeft w:val="640"/>
          <w:marRight w:val="0"/>
          <w:marTop w:val="0"/>
          <w:marBottom w:val="0"/>
          <w:divBdr>
            <w:top w:val="none" w:sz="0" w:space="0" w:color="auto"/>
            <w:left w:val="none" w:sz="0" w:space="0" w:color="auto"/>
            <w:bottom w:val="none" w:sz="0" w:space="0" w:color="auto"/>
            <w:right w:val="none" w:sz="0" w:space="0" w:color="auto"/>
          </w:divBdr>
        </w:div>
        <w:div w:id="1636569872">
          <w:marLeft w:val="640"/>
          <w:marRight w:val="0"/>
          <w:marTop w:val="0"/>
          <w:marBottom w:val="0"/>
          <w:divBdr>
            <w:top w:val="none" w:sz="0" w:space="0" w:color="auto"/>
            <w:left w:val="none" w:sz="0" w:space="0" w:color="auto"/>
            <w:bottom w:val="none" w:sz="0" w:space="0" w:color="auto"/>
            <w:right w:val="none" w:sz="0" w:space="0" w:color="auto"/>
          </w:divBdr>
        </w:div>
        <w:div w:id="1745758544">
          <w:marLeft w:val="640"/>
          <w:marRight w:val="0"/>
          <w:marTop w:val="0"/>
          <w:marBottom w:val="0"/>
          <w:divBdr>
            <w:top w:val="none" w:sz="0" w:space="0" w:color="auto"/>
            <w:left w:val="none" w:sz="0" w:space="0" w:color="auto"/>
            <w:bottom w:val="none" w:sz="0" w:space="0" w:color="auto"/>
            <w:right w:val="none" w:sz="0" w:space="0" w:color="auto"/>
          </w:divBdr>
        </w:div>
        <w:div w:id="41099032">
          <w:marLeft w:val="640"/>
          <w:marRight w:val="0"/>
          <w:marTop w:val="0"/>
          <w:marBottom w:val="0"/>
          <w:divBdr>
            <w:top w:val="none" w:sz="0" w:space="0" w:color="auto"/>
            <w:left w:val="none" w:sz="0" w:space="0" w:color="auto"/>
            <w:bottom w:val="none" w:sz="0" w:space="0" w:color="auto"/>
            <w:right w:val="none" w:sz="0" w:space="0" w:color="auto"/>
          </w:divBdr>
        </w:div>
        <w:div w:id="1547257621">
          <w:marLeft w:val="640"/>
          <w:marRight w:val="0"/>
          <w:marTop w:val="0"/>
          <w:marBottom w:val="0"/>
          <w:divBdr>
            <w:top w:val="none" w:sz="0" w:space="0" w:color="auto"/>
            <w:left w:val="none" w:sz="0" w:space="0" w:color="auto"/>
            <w:bottom w:val="none" w:sz="0" w:space="0" w:color="auto"/>
            <w:right w:val="none" w:sz="0" w:space="0" w:color="auto"/>
          </w:divBdr>
        </w:div>
        <w:div w:id="1684554516">
          <w:marLeft w:val="640"/>
          <w:marRight w:val="0"/>
          <w:marTop w:val="0"/>
          <w:marBottom w:val="0"/>
          <w:divBdr>
            <w:top w:val="none" w:sz="0" w:space="0" w:color="auto"/>
            <w:left w:val="none" w:sz="0" w:space="0" w:color="auto"/>
            <w:bottom w:val="none" w:sz="0" w:space="0" w:color="auto"/>
            <w:right w:val="none" w:sz="0" w:space="0" w:color="auto"/>
          </w:divBdr>
        </w:div>
        <w:div w:id="1205561494">
          <w:marLeft w:val="640"/>
          <w:marRight w:val="0"/>
          <w:marTop w:val="0"/>
          <w:marBottom w:val="0"/>
          <w:divBdr>
            <w:top w:val="none" w:sz="0" w:space="0" w:color="auto"/>
            <w:left w:val="none" w:sz="0" w:space="0" w:color="auto"/>
            <w:bottom w:val="none" w:sz="0" w:space="0" w:color="auto"/>
            <w:right w:val="none" w:sz="0" w:space="0" w:color="auto"/>
          </w:divBdr>
        </w:div>
        <w:div w:id="1360932104">
          <w:marLeft w:val="640"/>
          <w:marRight w:val="0"/>
          <w:marTop w:val="0"/>
          <w:marBottom w:val="0"/>
          <w:divBdr>
            <w:top w:val="none" w:sz="0" w:space="0" w:color="auto"/>
            <w:left w:val="none" w:sz="0" w:space="0" w:color="auto"/>
            <w:bottom w:val="none" w:sz="0" w:space="0" w:color="auto"/>
            <w:right w:val="none" w:sz="0" w:space="0" w:color="auto"/>
          </w:divBdr>
        </w:div>
        <w:div w:id="1456145649">
          <w:marLeft w:val="640"/>
          <w:marRight w:val="0"/>
          <w:marTop w:val="0"/>
          <w:marBottom w:val="0"/>
          <w:divBdr>
            <w:top w:val="none" w:sz="0" w:space="0" w:color="auto"/>
            <w:left w:val="none" w:sz="0" w:space="0" w:color="auto"/>
            <w:bottom w:val="none" w:sz="0" w:space="0" w:color="auto"/>
            <w:right w:val="none" w:sz="0" w:space="0" w:color="auto"/>
          </w:divBdr>
        </w:div>
        <w:div w:id="1193306024">
          <w:marLeft w:val="640"/>
          <w:marRight w:val="0"/>
          <w:marTop w:val="0"/>
          <w:marBottom w:val="0"/>
          <w:divBdr>
            <w:top w:val="none" w:sz="0" w:space="0" w:color="auto"/>
            <w:left w:val="none" w:sz="0" w:space="0" w:color="auto"/>
            <w:bottom w:val="none" w:sz="0" w:space="0" w:color="auto"/>
            <w:right w:val="none" w:sz="0" w:space="0" w:color="auto"/>
          </w:divBdr>
        </w:div>
        <w:div w:id="549801836">
          <w:marLeft w:val="640"/>
          <w:marRight w:val="0"/>
          <w:marTop w:val="0"/>
          <w:marBottom w:val="0"/>
          <w:divBdr>
            <w:top w:val="none" w:sz="0" w:space="0" w:color="auto"/>
            <w:left w:val="none" w:sz="0" w:space="0" w:color="auto"/>
            <w:bottom w:val="none" w:sz="0" w:space="0" w:color="auto"/>
            <w:right w:val="none" w:sz="0" w:space="0" w:color="auto"/>
          </w:divBdr>
        </w:div>
        <w:div w:id="265692571">
          <w:marLeft w:val="640"/>
          <w:marRight w:val="0"/>
          <w:marTop w:val="0"/>
          <w:marBottom w:val="0"/>
          <w:divBdr>
            <w:top w:val="none" w:sz="0" w:space="0" w:color="auto"/>
            <w:left w:val="none" w:sz="0" w:space="0" w:color="auto"/>
            <w:bottom w:val="none" w:sz="0" w:space="0" w:color="auto"/>
            <w:right w:val="none" w:sz="0" w:space="0" w:color="auto"/>
          </w:divBdr>
        </w:div>
        <w:div w:id="831411390">
          <w:marLeft w:val="640"/>
          <w:marRight w:val="0"/>
          <w:marTop w:val="0"/>
          <w:marBottom w:val="0"/>
          <w:divBdr>
            <w:top w:val="none" w:sz="0" w:space="0" w:color="auto"/>
            <w:left w:val="none" w:sz="0" w:space="0" w:color="auto"/>
            <w:bottom w:val="none" w:sz="0" w:space="0" w:color="auto"/>
            <w:right w:val="none" w:sz="0" w:space="0" w:color="auto"/>
          </w:divBdr>
        </w:div>
        <w:div w:id="1735081142">
          <w:marLeft w:val="640"/>
          <w:marRight w:val="0"/>
          <w:marTop w:val="0"/>
          <w:marBottom w:val="0"/>
          <w:divBdr>
            <w:top w:val="none" w:sz="0" w:space="0" w:color="auto"/>
            <w:left w:val="none" w:sz="0" w:space="0" w:color="auto"/>
            <w:bottom w:val="none" w:sz="0" w:space="0" w:color="auto"/>
            <w:right w:val="none" w:sz="0" w:space="0" w:color="auto"/>
          </w:divBdr>
        </w:div>
        <w:div w:id="1550410202">
          <w:marLeft w:val="640"/>
          <w:marRight w:val="0"/>
          <w:marTop w:val="0"/>
          <w:marBottom w:val="0"/>
          <w:divBdr>
            <w:top w:val="none" w:sz="0" w:space="0" w:color="auto"/>
            <w:left w:val="none" w:sz="0" w:space="0" w:color="auto"/>
            <w:bottom w:val="none" w:sz="0" w:space="0" w:color="auto"/>
            <w:right w:val="none" w:sz="0" w:space="0" w:color="auto"/>
          </w:divBdr>
        </w:div>
        <w:div w:id="1862161135">
          <w:marLeft w:val="640"/>
          <w:marRight w:val="0"/>
          <w:marTop w:val="0"/>
          <w:marBottom w:val="0"/>
          <w:divBdr>
            <w:top w:val="none" w:sz="0" w:space="0" w:color="auto"/>
            <w:left w:val="none" w:sz="0" w:space="0" w:color="auto"/>
            <w:bottom w:val="none" w:sz="0" w:space="0" w:color="auto"/>
            <w:right w:val="none" w:sz="0" w:space="0" w:color="auto"/>
          </w:divBdr>
        </w:div>
        <w:div w:id="161507709">
          <w:marLeft w:val="640"/>
          <w:marRight w:val="0"/>
          <w:marTop w:val="0"/>
          <w:marBottom w:val="0"/>
          <w:divBdr>
            <w:top w:val="none" w:sz="0" w:space="0" w:color="auto"/>
            <w:left w:val="none" w:sz="0" w:space="0" w:color="auto"/>
            <w:bottom w:val="none" w:sz="0" w:space="0" w:color="auto"/>
            <w:right w:val="none" w:sz="0" w:space="0" w:color="auto"/>
          </w:divBdr>
        </w:div>
        <w:div w:id="1832600012">
          <w:marLeft w:val="640"/>
          <w:marRight w:val="0"/>
          <w:marTop w:val="0"/>
          <w:marBottom w:val="0"/>
          <w:divBdr>
            <w:top w:val="none" w:sz="0" w:space="0" w:color="auto"/>
            <w:left w:val="none" w:sz="0" w:space="0" w:color="auto"/>
            <w:bottom w:val="none" w:sz="0" w:space="0" w:color="auto"/>
            <w:right w:val="none" w:sz="0" w:space="0" w:color="auto"/>
          </w:divBdr>
        </w:div>
        <w:div w:id="2118400583">
          <w:marLeft w:val="640"/>
          <w:marRight w:val="0"/>
          <w:marTop w:val="0"/>
          <w:marBottom w:val="0"/>
          <w:divBdr>
            <w:top w:val="none" w:sz="0" w:space="0" w:color="auto"/>
            <w:left w:val="none" w:sz="0" w:space="0" w:color="auto"/>
            <w:bottom w:val="none" w:sz="0" w:space="0" w:color="auto"/>
            <w:right w:val="none" w:sz="0" w:space="0" w:color="auto"/>
          </w:divBdr>
        </w:div>
        <w:div w:id="1433670807">
          <w:marLeft w:val="640"/>
          <w:marRight w:val="0"/>
          <w:marTop w:val="0"/>
          <w:marBottom w:val="0"/>
          <w:divBdr>
            <w:top w:val="none" w:sz="0" w:space="0" w:color="auto"/>
            <w:left w:val="none" w:sz="0" w:space="0" w:color="auto"/>
            <w:bottom w:val="none" w:sz="0" w:space="0" w:color="auto"/>
            <w:right w:val="none" w:sz="0" w:space="0" w:color="auto"/>
          </w:divBdr>
        </w:div>
        <w:div w:id="1398362894">
          <w:marLeft w:val="640"/>
          <w:marRight w:val="0"/>
          <w:marTop w:val="0"/>
          <w:marBottom w:val="0"/>
          <w:divBdr>
            <w:top w:val="none" w:sz="0" w:space="0" w:color="auto"/>
            <w:left w:val="none" w:sz="0" w:space="0" w:color="auto"/>
            <w:bottom w:val="none" w:sz="0" w:space="0" w:color="auto"/>
            <w:right w:val="none" w:sz="0" w:space="0" w:color="auto"/>
          </w:divBdr>
        </w:div>
        <w:div w:id="665673078">
          <w:marLeft w:val="640"/>
          <w:marRight w:val="0"/>
          <w:marTop w:val="0"/>
          <w:marBottom w:val="0"/>
          <w:divBdr>
            <w:top w:val="none" w:sz="0" w:space="0" w:color="auto"/>
            <w:left w:val="none" w:sz="0" w:space="0" w:color="auto"/>
            <w:bottom w:val="none" w:sz="0" w:space="0" w:color="auto"/>
            <w:right w:val="none" w:sz="0" w:space="0" w:color="auto"/>
          </w:divBdr>
        </w:div>
        <w:div w:id="682434895">
          <w:marLeft w:val="640"/>
          <w:marRight w:val="0"/>
          <w:marTop w:val="0"/>
          <w:marBottom w:val="0"/>
          <w:divBdr>
            <w:top w:val="none" w:sz="0" w:space="0" w:color="auto"/>
            <w:left w:val="none" w:sz="0" w:space="0" w:color="auto"/>
            <w:bottom w:val="none" w:sz="0" w:space="0" w:color="auto"/>
            <w:right w:val="none" w:sz="0" w:space="0" w:color="auto"/>
          </w:divBdr>
        </w:div>
        <w:div w:id="137260188">
          <w:marLeft w:val="640"/>
          <w:marRight w:val="0"/>
          <w:marTop w:val="0"/>
          <w:marBottom w:val="0"/>
          <w:divBdr>
            <w:top w:val="none" w:sz="0" w:space="0" w:color="auto"/>
            <w:left w:val="none" w:sz="0" w:space="0" w:color="auto"/>
            <w:bottom w:val="none" w:sz="0" w:space="0" w:color="auto"/>
            <w:right w:val="none" w:sz="0" w:space="0" w:color="auto"/>
          </w:divBdr>
        </w:div>
        <w:div w:id="1285041603">
          <w:marLeft w:val="640"/>
          <w:marRight w:val="0"/>
          <w:marTop w:val="0"/>
          <w:marBottom w:val="0"/>
          <w:divBdr>
            <w:top w:val="none" w:sz="0" w:space="0" w:color="auto"/>
            <w:left w:val="none" w:sz="0" w:space="0" w:color="auto"/>
            <w:bottom w:val="none" w:sz="0" w:space="0" w:color="auto"/>
            <w:right w:val="none" w:sz="0" w:space="0" w:color="auto"/>
          </w:divBdr>
        </w:div>
        <w:div w:id="1506551483">
          <w:marLeft w:val="640"/>
          <w:marRight w:val="0"/>
          <w:marTop w:val="0"/>
          <w:marBottom w:val="0"/>
          <w:divBdr>
            <w:top w:val="none" w:sz="0" w:space="0" w:color="auto"/>
            <w:left w:val="none" w:sz="0" w:space="0" w:color="auto"/>
            <w:bottom w:val="none" w:sz="0" w:space="0" w:color="auto"/>
            <w:right w:val="none" w:sz="0" w:space="0" w:color="auto"/>
          </w:divBdr>
        </w:div>
        <w:div w:id="870192918">
          <w:marLeft w:val="640"/>
          <w:marRight w:val="0"/>
          <w:marTop w:val="0"/>
          <w:marBottom w:val="0"/>
          <w:divBdr>
            <w:top w:val="none" w:sz="0" w:space="0" w:color="auto"/>
            <w:left w:val="none" w:sz="0" w:space="0" w:color="auto"/>
            <w:bottom w:val="none" w:sz="0" w:space="0" w:color="auto"/>
            <w:right w:val="none" w:sz="0" w:space="0" w:color="auto"/>
          </w:divBdr>
        </w:div>
        <w:div w:id="340473140">
          <w:marLeft w:val="640"/>
          <w:marRight w:val="0"/>
          <w:marTop w:val="0"/>
          <w:marBottom w:val="0"/>
          <w:divBdr>
            <w:top w:val="none" w:sz="0" w:space="0" w:color="auto"/>
            <w:left w:val="none" w:sz="0" w:space="0" w:color="auto"/>
            <w:bottom w:val="none" w:sz="0" w:space="0" w:color="auto"/>
            <w:right w:val="none" w:sz="0" w:space="0" w:color="auto"/>
          </w:divBdr>
        </w:div>
        <w:div w:id="1499886547">
          <w:marLeft w:val="640"/>
          <w:marRight w:val="0"/>
          <w:marTop w:val="0"/>
          <w:marBottom w:val="0"/>
          <w:divBdr>
            <w:top w:val="none" w:sz="0" w:space="0" w:color="auto"/>
            <w:left w:val="none" w:sz="0" w:space="0" w:color="auto"/>
            <w:bottom w:val="none" w:sz="0" w:space="0" w:color="auto"/>
            <w:right w:val="none" w:sz="0" w:space="0" w:color="auto"/>
          </w:divBdr>
        </w:div>
        <w:div w:id="623122201">
          <w:marLeft w:val="640"/>
          <w:marRight w:val="0"/>
          <w:marTop w:val="0"/>
          <w:marBottom w:val="0"/>
          <w:divBdr>
            <w:top w:val="none" w:sz="0" w:space="0" w:color="auto"/>
            <w:left w:val="none" w:sz="0" w:space="0" w:color="auto"/>
            <w:bottom w:val="none" w:sz="0" w:space="0" w:color="auto"/>
            <w:right w:val="none" w:sz="0" w:space="0" w:color="auto"/>
          </w:divBdr>
        </w:div>
        <w:div w:id="2112358414">
          <w:marLeft w:val="640"/>
          <w:marRight w:val="0"/>
          <w:marTop w:val="0"/>
          <w:marBottom w:val="0"/>
          <w:divBdr>
            <w:top w:val="none" w:sz="0" w:space="0" w:color="auto"/>
            <w:left w:val="none" w:sz="0" w:space="0" w:color="auto"/>
            <w:bottom w:val="none" w:sz="0" w:space="0" w:color="auto"/>
            <w:right w:val="none" w:sz="0" w:space="0" w:color="auto"/>
          </w:divBdr>
        </w:div>
        <w:div w:id="1708796292">
          <w:marLeft w:val="640"/>
          <w:marRight w:val="0"/>
          <w:marTop w:val="0"/>
          <w:marBottom w:val="0"/>
          <w:divBdr>
            <w:top w:val="none" w:sz="0" w:space="0" w:color="auto"/>
            <w:left w:val="none" w:sz="0" w:space="0" w:color="auto"/>
            <w:bottom w:val="none" w:sz="0" w:space="0" w:color="auto"/>
            <w:right w:val="none" w:sz="0" w:space="0" w:color="auto"/>
          </w:divBdr>
        </w:div>
        <w:div w:id="1555114703">
          <w:marLeft w:val="640"/>
          <w:marRight w:val="0"/>
          <w:marTop w:val="0"/>
          <w:marBottom w:val="0"/>
          <w:divBdr>
            <w:top w:val="none" w:sz="0" w:space="0" w:color="auto"/>
            <w:left w:val="none" w:sz="0" w:space="0" w:color="auto"/>
            <w:bottom w:val="none" w:sz="0" w:space="0" w:color="auto"/>
            <w:right w:val="none" w:sz="0" w:space="0" w:color="auto"/>
          </w:divBdr>
        </w:div>
        <w:div w:id="704449980">
          <w:marLeft w:val="640"/>
          <w:marRight w:val="0"/>
          <w:marTop w:val="0"/>
          <w:marBottom w:val="0"/>
          <w:divBdr>
            <w:top w:val="none" w:sz="0" w:space="0" w:color="auto"/>
            <w:left w:val="none" w:sz="0" w:space="0" w:color="auto"/>
            <w:bottom w:val="none" w:sz="0" w:space="0" w:color="auto"/>
            <w:right w:val="none" w:sz="0" w:space="0" w:color="auto"/>
          </w:divBdr>
        </w:div>
        <w:div w:id="187724104">
          <w:marLeft w:val="640"/>
          <w:marRight w:val="0"/>
          <w:marTop w:val="0"/>
          <w:marBottom w:val="0"/>
          <w:divBdr>
            <w:top w:val="none" w:sz="0" w:space="0" w:color="auto"/>
            <w:left w:val="none" w:sz="0" w:space="0" w:color="auto"/>
            <w:bottom w:val="none" w:sz="0" w:space="0" w:color="auto"/>
            <w:right w:val="none" w:sz="0" w:space="0" w:color="auto"/>
          </w:divBdr>
        </w:div>
        <w:div w:id="1376391095">
          <w:marLeft w:val="640"/>
          <w:marRight w:val="0"/>
          <w:marTop w:val="0"/>
          <w:marBottom w:val="0"/>
          <w:divBdr>
            <w:top w:val="none" w:sz="0" w:space="0" w:color="auto"/>
            <w:left w:val="none" w:sz="0" w:space="0" w:color="auto"/>
            <w:bottom w:val="none" w:sz="0" w:space="0" w:color="auto"/>
            <w:right w:val="none" w:sz="0" w:space="0" w:color="auto"/>
          </w:divBdr>
        </w:div>
        <w:div w:id="309749295">
          <w:marLeft w:val="640"/>
          <w:marRight w:val="0"/>
          <w:marTop w:val="0"/>
          <w:marBottom w:val="0"/>
          <w:divBdr>
            <w:top w:val="none" w:sz="0" w:space="0" w:color="auto"/>
            <w:left w:val="none" w:sz="0" w:space="0" w:color="auto"/>
            <w:bottom w:val="none" w:sz="0" w:space="0" w:color="auto"/>
            <w:right w:val="none" w:sz="0" w:space="0" w:color="auto"/>
          </w:divBdr>
        </w:div>
        <w:div w:id="1937134751">
          <w:marLeft w:val="640"/>
          <w:marRight w:val="0"/>
          <w:marTop w:val="0"/>
          <w:marBottom w:val="0"/>
          <w:divBdr>
            <w:top w:val="none" w:sz="0" w:space="0" w:color="auto"/>
            <w:left w:val="none" w:sz="0" w:space="0" w:color="auto"/>
            <w:bottom w:val="none" w:sz="0" w:space="0" w:color="auto"/>
            <w:right w:val="none" w:sz="0" w:space="0" w:color="auto"/>
          </w:divBdr>
        </w:div>
        <w:div w:id="1286542930">
          <w:marLeft w:val="640"/>
          <w:marRight w:val="0"/>
          <w:marTop w:val="0"/>
          <w:marBottom w:val="0"/>
          <w:divBdr>
            <w:top w:val="none" w:sz="0" w:space="0" w:color="auto"/>
            <w:left w:val="none" w:sz="0" w:space="0" w:color="auto"/>
            <w:bottom w:val="none" w:sz="0" w:space="0" w:color="auto"/>
            <w:right w:val="none" w:sz="0" w:space="0" w:color="auto"/>
          </w:divBdr>
        </w:div>
        <w:div w:id="1534657435">
          <w:marLeft w:val="640"/>
          <w:marRight w:val="0"/>
          <w:marTop w:val="0"/>
          <w:marBottom w:val="0"/>
          <w:divBdr>
            <w:top w:val="none" w:sz="0" w:space="0" w:color="auto"/>
            <w:left w:val="none" w:sz="0" w:space="0" w:color="auto"/>
            <w:bottom w:val="none" w:sz="0" w:space="0" w:color="auto"/>
            <w:right w:val="none" w:sz="0" w:space="0" w:color="auto"/>
          </w:divBdr>
        </w:div>
        <w:div w:id="1873372673">
          <w:marLeft w:val="640"/>
          <w:marRight w:val="0"/>
          <w:marTop w:val="0"/>
          <w:marBottom w:val="0"/>
          <w:divBdr>
            <w:top w:val="none" w:sz="0" w:space="0" w:color="auto"/>
            <w:left w:val="none" w:sz="0" w:space="0" w:color="auto"/>
            <w:bottom w:val="none" w:sz="0" w:space="0" w:color="auto"/>
            <w:right w:val="none" w:sz="0" w:space="0" w:color="auto"/>
          </w:divBdr>
        </w:div>
        <w:div w:id="1411852064">
          <w:marLeft w:val="640"/>
          <w:marRight w:val="0"/>
          <w:marTop w:val="0"/>
          <w:marBottom w:val="0"/>
          <w:divBdr>
            <w:top w:val="none" w:sz="0" w:space="0" w:color="auto"/>
            <w:left w:val="none" w:sz="0" w:space="0" w:color="auto"/>
            <w:bottom w:val="none" w:sz="0" w:space="0" w:color="auto"/>
            <w:right w:val="none" w:sz="0" w:space="0" w:color="auto"/>
          </w:divBdr>
        </w:div>
        <w:div w:id="1473446265">
          <w:marLeft w:val="640"/>
          <w:marRight w:val="0"/>
          <w:marTop w:val="0"/>
          <w:marBottom w:val="0"/>
          <w:divBdr>
            <w:top w:val="none" w:sz="0" w:space="0" w:color="auto"/>
            <w:left w:val="none" w:sz="0" w:space="0" w:color="auto"/>
            <w:bottom w:val="none" w:sz="0" w:space="0" w:color="auto"/>
            <w:right w:val="none" w:sz="0" w:space="0" w:color="auto"/>
          </w:divBdr>
        </w:div>
        <w:div w:id="1556428119">
          <w:marLeft w:val="640"/>
          <w:marRight w:val="0"/>
          <w:marTop w:val="0"/>
          <w:marBottom w:val="0"/>
          <w:divBdr>
            <w:top w:val="none" w:sz="0" w:space="0" w:color="auto"/>
            <w:left w:val="none" w:sz="0" w:space="0" w:color="auto"/>
            <w:bottom w:val="none" w:sz="0" w:space="0" w:color="auto"/>
            <w:right w:val="none" w:sz="0" w:space="0" w:color="auto"/>
          </w:divBdr>
        </w:div>
        <w:div w:id="1717966292">
          <w:marLeft w:val="640"/>
          <w:marRight w:val="0"/>
          <w:marTop w:val="0"/>
          <w:marBottom w:val="0"/>
          <w:divBdr>
            <w:top w:val="none" w:sz="0" w:space="0" w:color="auto"/>
            <w:left w:val="none" w:sz="0" w:space="0" w:color="auto"/>
            <w:bottom w:val="none" w:sz="0" w:space="0" w:color="auto"/>
            <w:right w:val="none" w:sz="0" w:space="0" w:color="auto"/>
          </w:divBdr>
        </w:div>
        <w:div w:id="513805136">
          <w:marLeft w:val="640"/>
          <w:marRight w:val="0"/>
          <w:marTop w:val="0"/>
          <w:marBottom w:val="0"/>
          <w:divBdr>
            <w:top w:val="none" w:sz="0" w:space="0" w:color="auto"/>
            <w:left w:val="none" w:sz="0" w:space="0" w:color="auto"/>
            <w:bottom w:val="none" w:sz="0" w:space="0" w:color="auto"/>
            <w:right w:val="none" w:sz="0" w:space="0" w:color="auto"/>
          </w:divBdr>
        </w:div>
        <w:div w:id="1985314320">
          <w:marLeft w:val="640"/>
          <w:marRight w:val="0"/>
          <w:marTop w:val="0"/>
          <w:marBottom w:val="0"/>
          <w:divBdr>
            <w:top w:val="none" w:sz="0" w:space="0" w:color="auto"/>
            <w:left w:val="none" w:sz="0" w:space="0" w:color="auto"/>
            <w:bottom w:val="none" w:sz="0" w:space="0" w:color="auto"/>
            <w:right w:val="none" w:sz="0" w:space="0" w:color="auto"/>
          </w:divBdr>
        </w:div>
        <w:div w:id="1374844570">
          <w:marLeft w:val="640"/>
          <w:marRight w:val="0"/>
          <w:marTop w:val="0"/>
          <w:marBottom w:val="0"/>
          <w:divBdr>
            <w:top w:val="none" w:sz="0" w:space="0" w:color="auto"/>
            <w:left w:val="none" w:sz="0" w:space="0" w:color="auto"/>
            <w:bottom w:val="none" w:sz="0" w:space="0" w:color="auto"/>
            <w:right w:val="none" w:sz="0" w:space="0" w:color="auto"/>
          </w:divBdr>
        </w:div>
        <w:div w:id="2004353541">
          <w:marLeft w:val="640"/>
          <w:marRight w:val="0"/>
          <w:marTop w:val="0"/>
          <w:marBottom w:val="0"/>
          <w:divBdr>
            <w:top w:val="none" w:sz="0" w:space="0" w:color="auto"/>
            <w:left w:val="none" w:sz="0" w:space="0" w:color="auto"/>
            <w:bottom w:val="none" w:sz="0" w:space="0" w:color="auto"/>
            <w:right w:val="none" w:sz="0" w:space="0" w:color="auto"/>
          </w:divBdr>
        </w:div>
        <w:div w:id="1580745370">
          <w:marLeft w:val="640"/>
          <w:marRight w:val="0"/>
          <w:marTop w:val="0"/>
          <w:marBottom w:val="0"/>
          <w:divBdr>
            <w:top w:val="none" w:sz="0" w:space="0" w:color="auto"/>
            <w:left w:val="none" w:sz="0" w:space="0" w:color="auto"/>
            <w:bottom w:val="none" w:sz="0" w:space="0" w:color="auto"/>
            <w:right w:val="none" w:sz="0" w:space="0" w:color="auto"/>
          </w:divBdr>
        </w:div>
        <w:div w:id="383604910">
          <w:marLeft w:val="640"/>
          <w:marRight w:val="0"/>
          <w:marTop w:val="0"/>
          <w:marBottom w:val="0"/>
          <w:divBdr>
            <w:top w:val="none" w:sz="0" w:space="0" w:color="auto"/>
            <w:left w:val="none" w:sz="0" w:space="0" w:color="auto"/>
            <w:bottom w:val="none" w:sz="0" w:space="0" w:color="auto"/>
            <w:right w:val="none" w:sz="0" w:space="0" w:color="auto"/>
          </w:divBdr>
        </w:div>
        <w:div w:id="71006158">
          <w:marLeft w:val="640"/>
          <w:marRight w:val="0"/>
          <w:marTop w:val="0"/>
          <w:marBottom w:val="0"/>
          <w:divBdr>
            <w:top w:val="none" w:sz="0" w:space="0" w:color="auto"/>
            <w:left w:val="none" w:sz="0" w:space="0" w:color="auto"/>
            <w:bottom w:val="none" w:sz="0" w:space="0" w:color="auto"/>
            <w:right w:val="none" w:sz="0" w:space="0" w:color="auto"/>
          </w:divBdr>
        </w:div>
        <w:div w:id="609288848">
          <w:marLeft w:val="640"/>
          <w:marRight w:val="0"/>
          <w:marTop w:val="0"/>
          <w:marBottom w:val="0"/>
          <w:divBdr>
            <w:top w:val="none" w:sz="0" w:space="0" w:color="auto"/>
            <w:left w:val="none" w:sz="0" w:space="0" w:color="auto"/>
            <w:bottom w:val="none" w:sz="0" w:space="0" w:color="auto"/>
            <w:right w:val="none" w:sz="0" w:space="0" w:color="auto"/>
          </w:divBdr>
        </w:div>
        <w:div w:id="159547180">
          <w:marLeft w:val="640"/>
          <w:marRight w:val="0"/>
          <w:marTop w:val="0"/>
          <w:marBottom w:val="0"/>
          <w:divBdr>
            <w:top w:val="none" w:sz="0" w:space="0" w:color="auto"/>
            <w:left w:val="none" w:sz="0" w:space="0" w:color="auto"/>
            <w:bottom w:val="none" w:sz="0" w:space="0" w:color="auto"/>
            <w:right w:val="none" w:sz="0" w:space="0" w:color="auto"/>
          </w:divBdr>
        </w:div>
        <w:div w:id="1953828360">
          <w:marLeft w:val="640"/>
          <w:marRight w:val="0"/>
          <w:marTop w:val="0"/>
          <w:marBottom w:val="0"/>
          <w:divBdr>
            <w:top w:val="none" w:sz="0" w:space="0" w:color="auto"/>
            <w:left w:val="none" w:sz="0" w:space="0" w:color="auto"/>
            <w:bottom w:val="none" w:sz="0" w:space="0" w:color="auto"/>
            <w:right w:val="none" w:sz="0" w:space="0" w:color="auto"/>
          </w:divBdr>
        </w:div>
        <w:div w:id="2115202574">
          <w:marLeft w:val="640"/>
          <w:marRight w:val="0"/>
          <w:marTop w:val="0"/>
          <w:marBottom w:val="0"/>
          <w:divBdr>
            <w:top w:val="none" w:sz="0" w:space="0" w:color="auto"/>
            <w:left w:val="none" w:sz="0" w:space="0" w:color="auto"/>
            <w:bottom w:val="none" w:sz="0" w:space="0" w:color="auto"/>
            <w:right w:val="none" w:sz="0" w:space="0" w:color="auto"/>
          </w:divBdr>
        </w:div>
        <w:div w:id="439682964">
          <w:marLeft w:val="640"/>
          <w:marRight w:val="0"/>
          <w:marTop w:val="0"/>
          <w:marBottom w:val="0"/>
          <w:divBdr>
            <w:top w:val="none" w:sz="0" w:space="0" w:color="auto"/>
            <w:left w:val="none" w:sz="0" w:space="0" w:color="auto"/>
            <w:bottom w:val="none" w:sz="0" w:space="0" w:color="auto"/>
            <w:right w:val="none" w:sz="0" w:space="0" w:color="auto"/>
          </w:divBdr>
        </w:div>
        <w:div w:id="1652101253">
          <w:marLeft w:val="640"/>
          <w:marRight w:val="0"/>
          <w:marTop w:val="0"/>
          <w:marBottom w:val="0"/>
          <w:divBdr>
            <w:top w:val="none" w:sz="0" w:space="0" w:color="auto"/>
            <w:left w:val="none" w:sz="0" w:space="0" w:color="auto"/>
            <w:bottom w:val="none" w:sz="0" w:space="0" w:color="auto"/>
            <w:right w:val="none" w:sz="0" w:space="0" w:color="auto"/>
          </w:divBdr>
        </w:div>
        <w:div w:id="179396595">
          <w:marLeft w:val="640"/>
          <w:marRight w:val="0"/>
          <w:marTop w:val="0"/>
          <w:marBottom w:val="0"/>
          <w:divBdr>
            <w:top w:val="none" w:sz="0" w:space="0" w:color="auto"/>
            <w:left w:val="none" w:sz="0" w:space="0" w:color="auto"/>
            <w:bottom w:val="none" w:sz="0" w:space="0" w:color="auto"/>
            <w:right w:val="none" w:sz="0" w:space="0" w:color="auto"/>
          </w:divBdr>
        </w:div>
        <w:div w:id="865369432">
          <w:marLeft w:val="640"/>
          <w:marRight w:val="0"/>
          <w:marTop w:val="0"/>
          <w:marBottom w:val="0"/>
          <w:divBdr>
            <w:top w:val="none" w:sz="0" w:space="0" w:color="auto"/>
            <w:left w:val="none" w:sz="0" w:space="0" w:color="auto"/>
            <w:bottom w:val="none" w:sz="0" w:space="0" w:color="auto"/>
            <w:right w:val="none" w:sz="0" w:space="0" w:color="auto"/>
          </w:divBdr>
        </w:div>
        <w:div w:id="1542861921">
          <w:marLeft w:val="640"/>
          <w:marRight w:val="0"/>
          <w:marTop w:val="0"/>
          <w:marBottom w:val="0"/>
          <w:divBdr>
            <w:top w:val="none" w:sz="0" w:space="0" w:color="auto"/>
            <w:left w:val="none" w:sz="0" w:space="0" w:color="auto"/>
            <w:bottom w:val="none" w:sz="0" w:space="0" w:color="auto"/>
            <w:right w:val="none" w:sz="0" w:space="0" w:color="auto"/>
          </w:divBdr>
        </w:div>
        <w:div w:id="2016417222">
          <w:marLeft w:val="640"/>
          <w:marRight w:val="0"/>
          <w:marTop w:val="0"/>
          <w:marBottom w:val="0"/>
          <w:divBdr>
            <w:top w:val="none" w:sz="0" w:space="0" w:color="auto"/>
            <w:left w:val="none" w:sz="0" w:space="0" w:color="auto"/>
            <w:bottom w:val="none" w:sz="0" w:space="0" w:color="auto"/>
            <w:right w:val="none" w:sz="0" w:space="0" w:color="auto"/>
          </w:divBdr>
        </w:div>
        <w:div w:id="281425620">
          <w:marLeft w:val="640"/>
          <w:marRight w:val="0"/>
          <w:marTop w:val="0"/>
          <w:marBottom w:val="0"/>
          <w:divBdr>
            <w:top w:val="none" w:sz="0" w:space="0" w:color="auto"/>
            <w:left w:val="none" w:sz="0" w:space="0" w:color="auto"/>
            <w:bottom w:val="none" w:sz="0" w:space="0" w:color="auto"/>
            <w:right w:val="none" w:sz="0" w:space="0" w:color="auto"/>
          </w:divBdr>
        </w:div>
        <w:div w:id="731539998">
          <w:marLeft w:val="640"/>
          <w:marRight w:val="0"/>
          <w:marTop w:val="0"/>
          <w:marBottom w:val="0"/>
          <w:divBdr>
            <w:top w:val="none" w:sz="0" w:space="0" w:color="auto"/>
            <w:left w:val="none" w:sz="0" w:space="0" w:color="auto"/>
            <w:bottom w:val="none" w:sz="0" w:space="0" w:color="auto"/>
            <w:right w:val="none" w:sz="0" w:space="0" w:color="auto"/>
          </w:divBdr>
        </w:div>
        <w:div w:id="304969844">
          <w:marLeft w:val="640"/>
          <w:marRight w:val="0"/>
          <w:marTop w:val="0"/>
          <w:marBottom w:val="0"/>
          <w:divBdr>
            <w:top w:val="none" w:sz="0" w:space="0" w:color="auto"/>
            <w:left w:val="none" w:sz="0" w:space="0" w:color="auto"/>
            <w:bottom w:val="none" w:sz="0" w:space="0" w:color="auto"/>
            <w:right w:val="none" w:sz="0" w:space="0" w:color="auto"/>
          </w:divBdr>
        </w:div>
        <w:div w:id="1011879513">
          <w:marLeft w:val="640"/>
          <w:marRight w:val="0"/>
          <w:marTop w:val="0"/>
          <w:marBottom w:val="0"/>
          <w:divBdr>
            <w:top w:val="none" w:sz="0" w:space="0" w:color="auto"/>
            <w:left w:val="none" w:sz="0" w:space="0" w:color="auto"/>
            <w:bottom w:val="none" w:sz="0" w:space="0" w:color="auto"/>
            <w:right w:val="none" w:sz="0" w:space="0" w:color="auto"/>
          </w:divBdr>
        </w:div>
        <w:div w:id="1550410466">
          <w:marLeft w:val="640"/>
          <w:marRight w:val="0"/>
          <w:marTop w:val="0"/>
          <w:marBottom w:val="0"/>
          <w:divBdr>
            <w:top w:val="none" w:sz="0" w:space="0" w:color="auto"/>
            <w:left w:val="none" w:sz="0" w:space="0" w:color="auto"/>
            <w:bottom w:val="none" w:sz="0" w:space="0" w:color="auto"/>
            <w:right w:val="none" w:sz="0" w:space="0" w:color="auto"/>
          </w:divBdr>
        </w:div>
        <w:div w:id="1747991920">
          <w:marLeft w:val="640"/>
          <w:marRight w:val="0"/>
          <w:marTop w:val="0"/>
          <w:marBottom w:val="0"/>
          <w:divBdr>
            <w:top w:val="none" w:sz="0" w:space="0" w:color="auto"/>
            <w:left w:val="none" w:sz="0" w:space="0" w:color="auto"/>
            <w:bottom w:val="none" w:sz="0" w:space="0" w:color="auto"/>
            <w:right w:val="none" w:sz="0" w:space="0" w:color="auto"/>
          </w:divBdr>
        </w:div>
        <w:div w:id="1784954358">
          <w:marLeft w:val="640"/>
          <w:marRight w:val="0"/>
          <w:marTop w:val="0"/>
          <w:marBottom w:val="0"/>
          <w:divBdr>
            <w:top w:val="none" w:sz="0" w:space="0" w:color="auto"/>
            <w:left w:val="none" w:sz="0" w:space="0" w:color="auto"/>
            <w:bottom w:val="none" w:sz="0" w:space="0" w:color="auto"/>
            <w:right w:val="none" w:sz="0" w:space="0" w:color="auto"/>
          </w:divBdr>
        </w:div>
        <w:div w:id="6831822">
          <w:marLeft w:val="640"/>
          <w:marRight w:val="0"/>
          <w:marTop w:val="0"/>
          <w:marBottom w:val="0"/>
          <w:divBdr>
            <w:top w:val="none" w:sz="0" w:space="0" w:color="auto"/>
            <w:left w:val="none" w:sz="0" w:space="0" w:color="auto"/>
            <w:bottom w:val="none" w:sz="0" w:space="0" w:color="auto"/>
            <w:right w:val="none" w:sz="0" w:space="0" w:color="auto"/>
          </w:divBdr>
        </w:div>
        <w:div w:id="1285497896">
          <w:marLeft w:val="640"/>
          <w:marRight w:val="0"/>
          <w:marTop w:val="0"/>
          <w:marBottom w:val="0"/>
          <w:divBdr>
            <w:top w:val="none" w:sz="0" w:space="0" w:color="auto"/>
            <w:left w:val="none" w:sz="0" w:space="0" w:color="auto"/>
            <w:bottom w:val="none" w:sz="0" w:space="0" w:color="auto"/>
            <w:right w:val="none" w:sz="0" w:space="0" w:color="auto"/>
          </w:divBdr>
        </w:div>
        <w:div w:id="1227495827">
          <w:marLeft w:val="640"/>
          <w:marRight w:val="0"/>
          <w:marTop w:val="0"/>
          <w:marBottom w:val="0"/>
          <w:divBdr>
            <w:top w:val="none" w:sz="0" w:space="0" w:color="auto"/>
            <w:left w:val="none" w:sz="0" w:space="0" w:color="auto"/>
            <w:bottom w:val="none" w:sz="0" w:space="0" w:color="auto"/>
            <w:right w:val="none" w:sz="0" w:space="0" w:color="auto"/>
          </w:divBdr>
        </w:div>
        <w:div w:id="72747878">
          <w:marLeft w:val="640"/>
          <w:marRight w:val="0"/>
          <w:marTop w:val="0"/>
          <w:marBottom w:val="0"/>
          <w:divBdr>
            <w:top w:val="none" w:sz="0" w:space="0" w:color="auto"/>
            <w:left w:val="none" w:sz="0" w:space="0" w:color="auto"/>
            <w:bottom w:val="none" w:sz="0" w:space="0" w:color="auto"/>
            <w:right w:val="none" w:sz="0" w:space="0" w:color="auto"/>
          </w:divBdr>
        </w:div>
        <w:div w:id="1781143964">
          <w:marLeft w:val="640"/>
          <w:marRight w:val="0"/>
          <w:marTop w:val="0"/>
          <w:marBottom w:val="0"/>
          <w:divBdr>
            <w:top w:val="none" w:sz="0" w:space="0" w:color="auto"/>
            <w:left w:val="none" w:sz="0" w:space="0" w:color="auto"/>
            <w:bottom w:val="none" w:sz="0" w:space="0" w:color="auto"/>
            <w:right w:val="none" w:sz="0" w:space="0" w:color="auto"/>
          </w:divBdr>
        </w:div>
        <w:div w:id="35005434">
          <w:marLeft w:val="640"/>
          <w:marRight w:val="0"/>
          <w:marTop w:val="0"/>
          <w:marBottom w:val="0"/>
          <w:divBdr>
            <w:top w:val="none" w:sz="0" w:space="0" w:color="auto"/>
            <w:left w:val="none" w:sz="0" w:space="0" w:color="auto"/>
            <w:bottom w:val="none" w:sz="0" w:space="0" w:color="auto"/>
            <w:right w:val="none" w:sz="0" w:space="0" w:color="auto"/>
          </w:divBdr>
        </w:div>
        <w:div w:id="1488324228">
          <w:marLeft w:val="640"/>
          <w:marRight w:val="0"/>
          <w:marTop w:val="0"/>
          <w:marBottom w:val="0"/>
          <w:divBdr>
            <w:top w:val="none" w:sz="0" w:space="0" w:color="auto"/>
            <w:left w:val="none" w:sz="0" w:space="0" w:color="auto"/>
            <w:bottom w:val="none" w:sz="0" w:space="0" w:color="auto"/>
            <w:right w:val="none" w:sz="0" w:space="0" w:color="auto"/>
          </w:divBdr>
        </w:div>
        <w:div w:id="2000034293">
          <w:marLeft w:val="640"/>
          <w:marRight w:val="0"/>
          <w:marTop w:val="0"/>
          <w:marBottom w:val="0"/>
          <w:divBdr>
            <w:top w:val="none" w:sz="0" w:space="0" w:color="auto"/>
            <w:left w:val="none" w:sz="0" w:space="0" w:color="auto"/>
            <w:bottom w:val="none" w:sz="0" w:space="0" w:color="auto"/>
            <w:right w:val="none" w:sz="0" w:space="0" w:color="auto"/>
          </w:divBdr>
        </w:div>
        <w:div w:id="826091621">
          <w:marLeft w:val="640"/>
          <w:marRight w:val="0"/>
          <w:marTop w:val="0"/>
          <w:marBottom w:val="0"/>
          <w:divBdr>
            <w:top w:val="none" w:sz="0" w:space="0" w:color="auto"/>
            <w:left w:val="none" w:sz="0" w:space="0" w:color="auto"/>
            <w:bottom w:val="none" w:sz="0" w:space="0" w:color="auto"/>
            <w:right w:val="none" w:sz="0" w:space="0" w:color="auto"/>
          </w:divBdr>
        </w:div>
        <w:div w:id="211118851">
          <w:marLeft w:val="640"/>
          <w:marRight w:val="0"/>
          <w:marTop w:val="0"/>
          <w:marBottom w:val="0"/>
          <w:divBdr>
            <w:top w:val="none" w:sz="0" w:space="0" w:color="auto"/>
            <w:left w:val="none" w:sz="0" w:space="0" w:color="auto"/>
            <w:bottom w:val="none" w:sz="0" w:space="0" w:color="auto"/>
            <w:right w:val="none" w:sz="0" w:space="0" w:color="auto"/>
          </w:divBdr>
        </w:div>
        <w:div w:id="778062374">
          <w:marLeft w:val="640"/>
          <w:marRight w:val="0"/>
          <w:marTop w:val="0"/>
          <w:marBottom w:val="0"/>
          <w:divBdr>
            <w:top w:val="none" w:sz="0" w:space="0" w:color="auto"/>
            <w:left w:val="none" w:sz="0" w:space="0" w:color="auto"/>
            <w:bottom w:val="none" w:sz="0" w:space="0" w:color="auto"/>
            <w:right w:val="none" w:sz="0" w:space="0" w:color="auto"/>
          </w:divBdr>
        </w:div>
        <w:div w:id="1957906583">
          <w:marLeft w:val="640"/>
          <w:marRight w:val="0"/>
          <w:marTop w:val="0"/>
          <w:marBottom w:val="0"/>
          <w:divBdr>
            <w:top w:val="none" w:sz="0" w:space="0" w:color="auto"/>
            <w:left w:val="none" w:sz="0" w:space="0" w:color="auto"/>
            <w:bottom w:val="none" w:sz="0" w:space="0" w:color="auto"/>
            <w:right w:val="none" w:sz="0" w:space="0" w:color="auto"/>
          </w:divBdr>
        </w:div>
        <w:div w:id="1056197995">
          <w:marLeft w:val="640"/>
          <w:marRight w:val="0"/>
          <w:marTop w:val="0"/>
          <w:marBottom w:val="0"/>
          <w:divBdr>
            <w:top w:val="none" w:sz="0" w:space="0" w:color="auto"/>
            <w:left w:val="none" w:sz="0" w:space="0" w:color="auto"/>
            <w:bottom w:val="none" w:sz="0" w:space="0" w:color="auto"/>
            <w:right w:val="none" w:sz="0" w:space="0" w:color="auto"/>
          </w:divBdr>
        </w:div>
        <w:div w:id="1877887670">
          <w:marLeft w:val="640"/>
          <w:marRight w:val="0"/>
          <w:marTop w:val="0"/>
          <w:marBottom w:val="0"/>
          <w:divBdr>
            <w:top w:val="none" w:sz="0" w:space="0" w:color="auto"/>
            <w:left w:val="none" w:sz="0" w:space="0" w:color="auto"/>
            <w:bottom w:val="none" w:sz="0" w:space="0" w:color="auto"/>
            <w:right w:val="none" w:sz="0" w:space="0" w:color="auto"/>
          </w:divBdr>
        </w:div>
        <w:div w:id="403644925">
          <w:marLeft w:val="640"/>
          <w:marRight w:val="0"/>
          <w:marTop w:val="0"/>
          <w:marBottom w:val="0"/>
          <w:divBdr>
            <w:top w:val="none" w:sz="0" w:space="0" w:color="auto"/>
            <w:left w:val="none" w:sz="0" w:space="0" w:color="auto"/>
            <w:bottom w:val="none" w:sz="0" w:space="0" w:color="auto"/>
            <w:right w:val="none" w:sz="0" w:space="0" w:color="auto"/>
          </w:divBdr>
        </w:div>
        <w:div w:id="2030568720">
          <w:marLeft w:val="640"/>
          <w:marRight w:val="0"/>
          <w:marTop w:val="0"/>
          <w:marBottom w:val="0"/>
          <w:divBdr>
            <w:top w:val="none" w:sz="0" w:space="0" w:color="auto"/>
            <w:left w:val="none" w:sz="0" w:space="0" w:color="auto"/>
            <w:bottom w:val="none" w:sz="0" w:space="0" w:color="auto"/>
            <w:right w:val="none" w:sz="0" w:space="0" w:color="auto"/>
          </w:divBdr>
        </w:div>
        <w:div w:id="1338732063">
          <w:marLeft w:val="640"/>
          <w:marRight w:val="0"/>
          <w:marTop w:val="0"/>
          <w:marBottom w:val="0"/>
          <w:divBdr>
            <w:top w:val="none" w:sz="0" w:space="0" w:color="auto"/>
            <w:left w:val="none" w:sz="0" w:space="0" w:color="auto"/>
            <w:bottom w:val="none" w:sz="0" w:space="0" w:color="auto"/>
            <w:right w:val="none" w:sz="0" w:space="0" w:color="auto"/>
          </w:divBdr>
        </w:div>
        <w:div w:id="781992303">
          <w:marLeft w:val="640"/>
          <w:marRight w:val="0"/>
          <w:marTop w:val="0"/>
          <w:marBottom w:val="0"/>
          <w:divBdr>
            <w:top w:val="none" w:sz="0" w:space="0" w:color="auto"/>
            <w:left w:val="none" w:sz="0" w:space="0" w:color="auto"/>
            <w:bottom w:val="none" w:sz="0" w:space="0" w:color="auto"/>
            <w:right w:val="none" w:sz="0" w:space="0" w:color="auto"/>
          </w:divBdr>
        </w:div>
        <w:div w:id="455218142">
          <w:marLeft w:val="640"/>
          <w:marRight w:val="0"/>
          <w:marTop w:val="0"/>
          <w:marBottom w:val="0"/>
          <w:divBdr>
            <w:top w:val="none" w:sz="0" w:space="0" w:color="auto"/>
            <w:left w:val="none" w:sz="0" w:space="0" w:color="auto"/>
            <w:bottom w:val="none" w:sz="0" w:space="0" w:color="auto"/>
            <w:right w:val="none" w:sz="0" w:space="0" w:color="auto"/>
          </w:divBdr>
        </w:div>
        <w:div w:id="1777410121">
          <w:marLeft w:val="640"/>
          <w:marRight w:val="0"/>
          <w:marTop w:val="0"/>
          <w:marBottom w:val="0"/>
          <w:divBdr>
            <w:top w:val="none" w:sz="0" w:space="0" w:color="auto"/>
            <w:left w:val="none" w:sz="0" w:space="0" w:color="auto"/>
            <w:bottom w:val="none" w:sz="0" w:space="0" w:color="auto"/>
            <w:right w:val="none" w:sz="0" w:space="0" w:color="auto"/>
          </w:divBdr>
        </w:div>
        <w:div w:id="1688603890">
          <w:marLeft w:val="640"/>
          <w:marRight w:val="0"/>
          <w:marTop w:val="0"/>
          <w:marBottom w:val="0"/>
          <w:divBdr>
            <w:top w:val="none" w:sz="0" w:space="0" w:color="auto"/>
            <w:left w:val="none" w:sz="0" w:space="0" w:color="auto"/>
            <w:bottom w:val="none" w:sz="0" w:space="0" w:color="auto"/>
            <w:right w:val="none" w:sz="0" w:space="0" w:color="auto"/>
          </w:divBdr>
        </w:div>
        <w:div w:id="1770615945">
          <w:marLeft w:val="640"/>
          <w:marRight w:val="0"/>
          <w:marTop w:val="0"/>
          <w:marBottom w:val="0"/>
          <w:divBdr>
            <w:top w:val="none" w:sz="0" w:space="0" w:color="auto"/>
            <w:left w:val="none" w:sz="0" w:space="0" w:color="auto"/>
            <w:bottom w:val="none" w:sz="0" w:space="0" w:color="auto"/>
            <w:right w:val="none" w:sz="0" w:space="0" w:color="auto"/>
          </w:divBdr>
        </w:div>
        <w:div w:id="925462223">
          <w:marLeft w:val="640"/>
          <w:marRight w:val="0"/>
          <w:marTop w:val="0"/>
          <w:marBottom w:val="0"/>
          <w:divBdr>
            <w:top w:val="none" w:sz="0" w:space="0" w:color="auto"/>
            <w:left w:val="none" w:sz="0" w:space="0" w:color="auto"/>
            <w:bottom w:val="none" w:sz="0" w:space="0" w:color="auto"/>
            <w:right w:val="none" w:sz="0" w:space="0" w:color="auto"/>
          </w:divBdr>
        </w:div>
        <w:div w:id="2140344620">
          <w:marLeft w:val="640"/>
          <w:marRight w:val="0"/>
          <w:marTop w:val="0"/>
          <w:marBottom w:val="0"/>
          <w:divBdr>
            <w:top w:val="none" w:sz="0" w:space="0" w:color="auto"/>
            <w:left w:val="none" w:sz="0" w:space="0" w:color="auto"/>
            <w:bottom w:val="none" w:sz="0" w:space="0" w:color="auto"/>
            <w:right w:val="none" w:sz="0" w:space="0" w:color="auto"/>
          </w:divBdr>
        </w:div>
        <w:div w:id="404688720">
          <w:marLeft w:val="640"/>
          <w:marRight w:val="0"/>
          <w:marTop w:val="0"/>
          <w:marBottom w:val="0"/>
          <w:divBdr>
            <w:top w:val="none" w:sz="0" w:space="0" w:color="auto"/>
            <w:left w:val="none" w:sz="0" w:space="0" w:color="auto"/>
            <w:bottom w:val="none" w:sz="0" w:space="0" w:color="auto"/>
            <w:right w:val="none" w:sz="0" w:space="0" w:color="auto"/>
          </w:divBdr>
        </w:div>
        <w:div w:id="864490160">
          <w:marLeft w:val="640"/>
          <w:marRight w:val="0"/>
          <w:marTop w:val="0"/>
          <w:marBottom w:val="0"/>
          <w:divBdr>
            <w:top w:val="none" w:sz="0" w:space="0" w:color="auto"/>
            <w:left w:val="none" w:sz="0" w:space="0" w:color="auto"/>
            <w:bottom w:val="none" w:sz="0" w:space="0" w:color="auto"/>
            <w:right w:val="none" w:sz="0" w:space="0" w:color="auto"/>
          </w:divBdr>
        </w:div>
        <w:div w:id="497159002">
          <w:marLeft w:val="640"/>
          <w:marRight w:val="0"/>
          <w:marTop w:val="0"/>
          <w:marBottom w:val="0"/>
          <w:divBdr>
            <w:top w:val="none" w:sz="0" w:space="0" w:color="auto"/>
            <w:left w:val="none" w:sz="0" w:space="0" w:color="auto"/>
            <w:bottom w:val="none" w:sz="0" w:space="0" w:color="auto"/>
            <w:right w:val="none" w:sz="0" w:space="0" w:color="auto"/>
          </w:divBdr>
        </w:div>
        <w:div w:id="899905572">
          <w:marLeft w:val="640"/>
          <w:marRight w:val="0"/>
          <w:marTop w:val="0"/>
          <w:marBottom w:val="0"/>
          <w:divBdr>
            <w:top w:val="none" w:sz="0" w:space="0" w:color="auto"/>
            <w:left w:val="none" w:sz="0" w:space="0" w:color="auto"/>
            <w:bottom w:val="none" w:sz="0" w:space="0" w:color="auto"/>
            <w:right w:val="none" w:sz="0" w:space="0" w:color="auto"/>
          </w:divBdr>
        </w:div>
        <w:div w:id="990062527">
          <w:marLeft w:val="640"/>
          <w:marRight w:val="0"/>
          <w:marTop w:val="0"/>
          <w:marBottom w:val="0"/>
          <w:divBdr>
            <w:top w:val="none" w:sz="0" w:space="0" w:color="auto"/>
            <w:left w:val="none" w:sz="0" w:space="0" w:color="auto"/>
            <w:bottom w:val="none" w:sz="0" w:space="0" w:color="auto"/>
            <w:right w:val="none" w:sz="0" w:space="0" w:color="auto"/>
          </w:divBdr>
        </w:div>
        <w:div w:id="1835604216">
          <w:marLeft w:val="640"/>
          <w:marRight w:val="0"/>
          <w:marTop w:val="0"/>
          <w:marBottom w:val="0"/>
          <w:divBdr>
            <w:top w:val="none" w:sz="0" w:space="0" w:color="auto"/>
            <w:left w:val="none" w:sz="0" w:space="0" w:color="auto"/>
            <w:bottom w:val="none" w:sz="0" w:space="0" w:color="auto"/>
            <w:right w:val="none" w:sz="0" w:space="0" w:color="auto"/>
          </w:divBdr>
        </w:div>
        <w:div w:id="1063256974">
          <w:marLeft w:val="640"/>
          <w:marRight w:val="0"/>
          <w:marTop w:val="0"/>
          <w:marBottom w:val="0"/>
          <w:divBdr>
            <w:top w:val="none" w:sz="0" w:space="0" w:color="auto"/>
            <w:left w:val="none" w:sz="0" w:space="0" w:color="auto"/>
            <w:bottom w:val="none" w:sz="0" w:space="0" w:color="auto"/>
            <w:right w:val="none" w:sz="0" w:space="0" w:color="auto"/>
          </w:divBdr>
        </w:div>
        <w:div w:id="1412238303">
          <w:marLeft w:val="640"/>
          <w:marRight w:val="0"/>
          <w:marTop w:val="0"/>
          <w:marBottom w:val="0"/>
          <w:divBdr>
            <w:top w:val="none" w:sz="0" w:space="0" w:color="auto"/>
            <w:left w:val="none" w:sz="0" w:space="0" w:color="auto"/>
            <w:bottom w:val="none" w:sz="0" w:space="0" w:color="auto"/>
            <w:right w:val="none" w:sz="0" w:space="0" w:color="auto"/>
          </w:divBdr>
        </w:div>
        <w:div w:id="111560691">
          <w:marLeft w:val="640"/>
          <w:marRight w:val="0"/>
          <w:marTop w:val="0"/>
          <w:marBottom w:val="0"/>
          <w:divBdr>
            <w:top w:val="none" w:sz="0" w:space="0" w:color="auto"/>
            <w:left w:val="none" w:sz="0" w:space="0" w:color="auto"/>
            <w:bottom w:val="none" w:sz="0" w:space="0" w:color="auto"/>
            <w:right w:val="none" w:sz="0" w:space="0" w:color="auto"/>
          </w:divBdr>
        </w:div>
        <w:div w:id="1257787978">
          <w:marLeft w:val="640"/>
          <w:marRight w:val="0"/>
          <w:marTop w:val="0"/>
          <w:marBottom w:val="0"/>
          <w:divBdr>
            <w:top w:val="none" w:sz="0" w:space="0" w:color="auto"/>
            <w:left w:val="none" w:sz="0" w:space="0" w:color="auto"/>
            <w:bottom w:val="none" w:sz="0" w:space="0" w:color="auto"/>
            <w:right w:val="none" w:sz="0" w:space="0" w:color="auto"/>
          </w:divBdr>
        </w:div>
        <w:div w:id="1022439546">
          <w:marLeft w:val="640"/>
          <w:marRight w:val="0"/>
          <w:marTop w:val="0"/>
          <w:marBottom w:val="0"/>
          <w:divBdr>
            <w:top w:val="none" w:sz="0" w:space="0" w:color="auto"/>
            <w:left w:val="none" w:sz="0" w:space="0" w:color="auto"/>
            <w:bottom w:val="none" w:sz="0" w:space="0" w:color="auto"/>
            <w:right w:val="none" w:sz="0" w:space="0" w:color="auto"/>
          </w:divBdr>
        </w:div>
        <w:div w:id="571625873">
          <w:marLeft w:val="640"/>
          <w:marRight w:val="0"/>
          <w:marTop w:val="0"/>
          <w:marBottom w:val="0"/>
          <w:divBdr>
            <w:top w:val="none" w:sz="0" w:space="0" w:color="auto"/>
            <w:left w:val="none" w:sz="0" w:space="0" w:color="auto"/>
            <w:bottom w:val="none" w:sz="0" w:space="0" w:color="auto"/>
            <w:right w:val="none" w:sz="0" w:space="0" w:color="auto"/>
          </w:divBdr>
        </w:div>
        <w:div w:id="545525242">
          <w:marLeft w:val="640"/>
          <w:marRight w:val="0"/>
          <w:marTop w:val="0"/>
          <w:marBottom w:val="0"/>
          <w:divBdr>
            <w:top w:val="none" w:sz="0" w:space="0" w:color="auto"/>
            <w:left w:val="none" w:sz="0" w:space="0" w:color="auto"/>
            <w:bottom w:val="none" w:sz="0" w:space="0" w:color="auto"/>
            <w:right w:val="none" w:sz="0" w:space="0" w:color="auto"/>
          </w:divBdr>
        </w:div>
        <w:div w:id="826822579">
          <w:marLeft w:val="640"/>
          <w:marRight w:val="0"/>
          <w:marTop w:val="0"/>
          <w:marBottom w:val="0"/>
          <w:divBdr>
            <w:top w:val="none" w:sz="0" w:space="0" w:color="auto"/>
            <w:left w:val="none" w:sz="0" w:space="0" w:color="auto"/>
            <w:bottom w:val="none" w:sz="0" w:space="0" w:color="auto"/>
            <w:right w:val="none" w:sz="0" w:space="0" w:color="auto"/>
          </w:divBdr>
        </w:div>
        <w:div w:id="1542591752">
          <w:marLeft w:val="640"/>
          <w:marRight w:val="0"/>
          <w:marTop w:val="0"/>
          <w:marBottom w:val="0"/>
          <w:divBdr>
            <w:top w:val="none" w:sz="0" w:space="0" w:color="auto"/>
            <w:left w:val="none" w:sz="0" w:space="0" w:color="auto"/>
            <w:bottom w:val="none" w:sz="0" w:space="0" w:color="auto"/>
            <w:right w:val="none" w:sz="0" w:space="0" w:color="auto"/>
          </w:divBdr>
        </w:div>
        <w:div w:id="1735087032">
          <w:marLeft w:val="640"/>
          <w:marRight w:val="0"/>
          <w:marTop w:val="0"/>
          <w:marBottom w:val="0"/>
          <w:divBdr>
            <w:top w:val="none" w:sz="0" w:space="0" w:color="auto"/>
            <w:left w:val="none" w:sz="0" w:space="0" w:color="auto"/>
            <w:bottom w:val="none" w:sz="0" w:space="0" w:color="auto"/>
            <w:right w:val="none" w:sz="0" w:space="0" w:color="auto"/>
          </w:divBdr>
        </w:div>
        <w:div w:id="308560028">
          <w:marLeft w:val="640"/>
          <w:marRight w:val="0"/>
          <w:marTop w:val="0"/>
          <w:marBottom w:val="0"/>
          <w:divBdr>
            <w:top w:val="none" w:sz="0" w:space="0" w:color="auto"/>
            <w:left w:val="none" w:sz="0" w:space="0" w:color="auto"/>
            <w:bottom w:val="none" w:sz="0" w:space="0" w:color="auto"/>
            <w:right w:val="none" w:sz="0" w:space="0" w:color="auto"/>
          </w:divBdr>
        </w:div>
        <w:div w:id="1369718465">
          <w:marLeft w:val="640"/>
          <w:marRight w:val="0"/>
          <w:marTop w:val="0"/>
          <w:marBottom w:val="0"/>
          <w:divBdr>
            <w:top w:val="none" w:sz="0" w:space="0" w:color="auto"/>
            <w:left w:val="none" w:sz="0" w:space="0" w:color="auto"/>
            <w:bottom w:val="none" w:sz="0" w:space="0" w:color="auto"/>
            <w:right w:val="none" w:sz="0" w:space="0" w:color="auto"/>
          </w:divBdr>
        </w:div>
        <w:div w:id="1386953838">
          <w:marLeft w:val="640"/>
          <w:marRight w:val="0"/>
          <w:marTop w:val="0"/>
          <w:marBottom w:val="0"/>
          <w:divBdr>
            <w:top w:val="none" w:sz="0" w:space="0" w:color="auto"/>
            <w:left w:val="none" w:sz="0" w:space="0" w:color="auto"/>
            <w:bottom w:val="none" w:sz="0" w:space="0" w:color="auto"/>
            <w:right w:val="none" w:sz="0" w:space="0" w:color="auto"/>
          </w:divBdr>
        </w:div>
        <w:div w:id="20057285">
          <w:marLeft w:val="640"/>
          <w:marRight w:val="0"/>
          <w:marTop w:val="0"/>
          <w:marBottom w:val="0"/>
          <w:divBdr>
            <w:top w:val="none" w:sz="0" w:space="0" w:color="auto"/>
            <w:left w:val="none" w:sz="0" w:space="0" w:color="auto"/>
            <w:bottom w:val="none" w:sz="0" w:space="0" w:color="auto"/>
            <w:right w:val="none" w:sz="0" w:space="0" w:color="auto"/>
          </w:divBdr>
        </w:div>
        <w:div w:id="1475483513">
          <w:marLeft w:val="640"/>
          <w:marRight w:val="0"/>
          <w:marTop w:val="0"/>
          <w:marBottom w:val="0"/>
          <w:divBdr>
            <w:top w:val="none" w:sz="0" w:space="0" w:color="auto"/>
            <w:left w:val="none" w:sz="0" w:space="0" w:color="auto"/>
            <w:bottom w:val="none" w:sz="0" w:space="0" w:color="auto"/>
            <w:right w:val="none" w:sz="0" w:space="0" w:color="auto"/>
          </w:divBdr>
        </w:div>
        <w:div w:id="1450124235">
          <w:marLeft w:val="640"/>
          <w:marRight w:val="0"/>
          <w:marTop w:val="0"/>
          <w:marBottom w:val="0"/>
          <w:divBdr>
            <w:top w:val="none" w:sz="0" w:space="0" w:color="auto"/>
            <w:left w:val="none" w:sz="0" w:space="0" w:color="auto"/>
            <w:bottom w:val="none" w:sz="0" w:space="0" w:color="auto"/>
            <w:right w:val="none" w:sz="0" w:space="0" w:color="auto"/>
          </w:divBdr>
        </w:div>
        <w:div w:id="52167846">
          <w:marLeft w:val="640"/>
          <w:marRight w:val="0"/>
          <w:marTop w:val="0"/>
          <w:marBottom w:val="0"/>
          <w:divBdr>
            <w:top w:val="none" w:sz="0" w:space="0" w:color="auto"/>
            <w:left w:val="none" w:sz="0" w:space="0" w:color="auto"/>
            <w:bottom w:val="none" w:sz="0" w:space="0" w:color="auto"/>
            <w:right w:val="none" w:sz="0" w:space="0" w:color="auto"/>
          </w:divBdr>
        </w:div>
        <w:div w:id="689332615">
          <w:marLeft w:val="640"/>
          <w:marRight w:val="0"/>
          <w:marTop w:val="0"/>
          <w:marBottom w:val="0"/>
          <w:divBdr>
            <w:top w:val="none" w:sz="0" w:space="0" w:color="auto"/>
            <w:left w:val="none" w:sz="0" w:space="0" w:color="auto"/>
            <w:bottom w:val="none" w:sz="0" w:space="0" w:color="auto"/>
            <w:right w:val="none" w:sz="0" w:space="0" w:color="auto"/>
          </w:divBdr>
        </w:div>
        <w:div w:id="5518294">
          <w:marLeft w:val="640"/>
          <w:marRight w:val="0"/>
          <w:marTop w:val="0"/>
          <w:marBottom w:val="0"/>
          <w:divBdr>
            <w:top w:val="none" w:sz="0" w:space="0" w:color="auto"/>
            <w:left w:val="none" w:sz="0" w:space="0" w:color="auto"/>
            <w:bottom w:val="none" w:sz="0" w:space="0" w:color="auto"/>
            <w:right w:val="none" w:sz="0" w:space="0" w:color="auto"/>
          </w:divBdr>
        </w:div>
        <w:div w:id="66925685">
          <w:marLeft w:val="640"/>
          <w:marRight w:val="0"/>
          <w:marTop w:val="0"/>
          <w:marBottom w:val="0"/>
          <w:divBdr>
            <w:top w:val="none" w:sz="0" w:space="0" w:color="auto"/>
            <w:left w:val="none" w:sz="0" w:space="0" w:color="auto"/>
            <w:bottom w:val="none" w:sz="0" w:space="0" w:color="auto"/>
            <w:right w:val="none" w:sz="0" w:space="0" w:color="auto"/>
          </w:divBdr>
        </w:div>
        <w:div w:id="475344121">
          <w:marLeft w:val="640"/>
          <w:marRight w:val="0"/>
          <w:marTop w:val="0"/>
          <w:marBottom w:val="0"/>
          <w:divBdr>
            <w:top w:val="none" w:sz="0" w:space="0" w:color="auto"/>
            <w:left w:val="none" w:sz="0" w:space="0" w:color="auto"/>
            <w:bottom w:val="none" w:sz="0" w:space="0" w:color="auto"/>
            <w:right w:val="none" w:sz="0" w:space="0" w:color="auto"/>
          </w:divBdr>
        </w:div>
        <w:div w:id="372119330">
          <w:marLeft w:val="640"/>
          <w:marRight w:val="0"/>
          <w:marTop w:val="0"/>
          <w:marBottom w:val="0"/>
          <w:divBdr>
            <w:top w:val="none" w:sz="0" w:space="0" w:color="auto"/>
            <w:left w:val="none" w:sz="0" w:space="0" w:color="auto"/>
            <w:bottom w:val="none" w:sz="0" w:space="0" w:color="auto"/>
            <w:right w:val="none" w:sz="0" w:space="0" w:color="auto"/>
          </w:divBdr>
        </w:div>
        <w:div w:id="569736283">
          <w:marLeft w:val="640"/>
          <w:marRight w:val="0"/>
          <w:marTop w:val="0"/>
          <w:marBottom w:val="0"/>
          <w:divBdr>
            <w:top w:val="none" w:sz="0" w:space="0" w:color="auto"/>
            <w:left w:val="none" w:sz="0" w:space="0" w:color="auto"/>
            <w:bottom w:val="none" w:sz="0" w:space="0" w:color="auto"/>
            <w:right w:val="none" w:sz="0" w:space="0" w:color="auto"/>
          </w:divBdr>
        </w:div>
        <w:div w:id="77211464">
          <w:marLeft w:val="640"/>
          <w:marRight w:val="0"/>
          <w:marTop w:val="0"/>
          <w:marBottom w:val="0"/>
          <w:divBdr>
            <w:top w:val="none" w:sz="0" w:space="0" w:color="auto"/>
            <w:left w:val="none" w:sz="0" w:space="0" w:color="auto"/>
            <w:bottom w:val="none" w:sz="0" w:space="0" w:color="auto"/>
            <w:right w:val="none" w:sz="0" w:space="0" w:color="auto"/>
          </w:divBdr>
        </w:div>
        <w:div w:id="1008799804">
          <w:marLeft w:val="640"/>
          <w:marRight w:val="0"/>
          <w:marTop w:val="0"/>
          <w:marBottom w:val="0"/>
          <w:divBdr>
            <w:top w:val="none" w:sz="0" w:space="0" w:color="auto"/>
            <w:left w:val="none" w:sz="0" w:space="0" w:color="auto"/>
            <w:bottom w:val="none" w:sz="0" w:space="0" w:color="auto"/>
            <w:right w:val="none" w:sz="0" w:space="0" w:color="auto"/>
          </w:divBdr>
        </w:div>
        <w:div w:id="930695627">
          <w:marLeft w:val="640"/>
          <w:marRight w:val="0"/>
          <w:marTop w:val="0"/>
          <w:marBottom w:val="0"/>
          <w:divBdr>
            <w:top w:val="none" w:sz="0" w:space="0" w:color="auto"/>
            <w:left w:val="none" w:sz="0" w:space="0" w:color="auto"/>
            <w:bottom w:val="none" w:sz="0" w:space="0" w:color="auto"/>
            <w:right w:val="none" w:sz="0" w:space="0" w:color="auto"/>
          </w:divBdr>
        </w:div>
        <w:div w:id="164326249">
          <w:marLeft w:val="640"/>
          <w:marRight w:val="0"/>
          <w:marTop w:val="0"/>
          <w:marBottom w:val="0"/>
          <w:divBdr>
            <w:top w:val="none" w:sz="0" w:space="0" w:color="auto"/>
            <w:left w:val="none" w:sz="0" w:space="0" w:color="auto"/>
            <w:bottom w:val="none" w:sz="0" w:space="0" w:color="auto"/>
            <w:right w:val="none" w:sz="0" w:space="0" w:color="auto"/>
          </w:divBdr>
        </w:div>
        <w:div w:id="2133398376">
          <w:marLeft w:val="640"/>
          <w:marRight w:val="0"/>
          <w:marTop w:val="0"/>
          <w:marBottom w:val="0"/>
          <w:divBdr>
            <w:top w:val="none" w:sz="0" w:space="0" w:color="auto"/>
            <w:left w:val="none" w:sz="0" w:space="0" w:color="auto"/>
            <w:bottom w:val="none" w:sz="0" w:space="0" w:color="auto"/>
            <w:right w:val="none" w:sz="0" w:space="0" w:color="auto"/>
          </w:divBdr>
        </w:div>
        <w:div w:id="181477647">
          <w:marLeft w:val="640"/>
          <w:marRight w:val="0"/>
          <w:marTop w:val="0"/>
          <w:marBottom w:val="0"/>
          <w:divBdr>
            <w:top w:val="none" w:sz="0" w:space="0" w:color="auto"/>
            <w:left w:val="none" w:sz="0" w:space="0" w:color="auto"/>
            <w:bottom w:val="none" w:sz="0" w:space="0" w:color="auto"/>
            <w:right w:val="none" w:sz="0" w:space="0" w:color="auto"/>
          </w:divBdr>
        </w:div>
        <w:div w:id="473763090">
          <w:marLeft w:val="640"/>
          <w:marRight w:val="0"/>
          <w:marTop w:val="0"/>
          <w:marBottom w:val="0"/>
          <w:divBdr>
            <w:top w:val="none" w:sz="0" w:space="0" w:color="auto"/>
            <w:left w:val="none" w:sz="0" w:space="0" w:color="auto"/>
            <w:bottom w:val="none" w:sz="0" w:space="0" w:color="auto"/>
            <w:right w:val="none" w:sz="0" w:space="0" w:color="auto"/>
          </w:divBdr>
        </w:div>
        <w:div w:id="1503013819">
          <w:marLeft w:val="640"/>
          <w:marRight w:val="0"/>
          <w:marTop w:val="0"/>
          <w:marBottom w:val="0"/>
          <w:divBdr>
            <w:top w:val="none" w:sz="0" w:space="0" w:color="auto"/>
            <w:left w:val="none" w:sz="0" w:space="0" w:color="auto"/>
            <w:bottom w:val="none" w:sz="0" w:space="0" w:color="auto"/>
            <w:right w:val="none" w:sz="0" w:space="0" w:color="auto"/>
          </w:divBdr>
        </w:div>
        <w:div w:id="1978148170">
          <w:marLeft w:val="640"/>
          <w:marRight w:val="0"/>
          <w:marTop w:val="0"/>
          <w:marBottom w:val="0"/>
          <w:divBdr>
            <w:top w:val="none" w:sz="0" w:space="0" w:color="auto"/>
            <w:left w:val="none" w:sz="0" w:space="0" w:color="auto"/>
            <w:bottom w:val="none" w:sz="0" w:space="0" w:color="auto"/>
            <w:right w:val="none" w:sz="0" w:space="0" w:color="auto"/>
          </w:divBdr>
        </w:div>
        <w:div w:id="91125888">
          <w:marLeft w:val="640"/>
          <w:marRight w:val="0"/>
          <w:marTop w:val="0"/>
          <w:marBottom w:val="0"/>
          <w:divBdr>
            <w:top w:val="none" w:sz="0" w:space="0" w:color="auto"/>
            <w:left w:val="none" w:sz="0" w:space="0" w:color="auto"/>
            <w:bottom w:val="none" w:sz="0" w:space="0" w:color="auto"/>
            <w:right w:val="none" w:sz="0" w:space="0" w:color="auto"/>
          </w:divBdr>
        </w:div>
        <w:div w:id="1262447278">
          <w:marLeft w:val="640"/>
          <w:marRight w:val="0"/>
          <w:marTop w:val="0"/>
          <w:marBottom w:val="0"/>
          <w:divBdr>
            <w:top w:val="none" w:sz="0" w:space="0" w:color="auto"/>
            <w:left w:val="none" w:sz="0" w:space="0" w:color="auto"/>
            <w:bottom w:val="none" w:sz="0" w:space="0" w:color="auto"/>
            <w:right w:val="none" w:sz="0" w:space="0" w:color="auto"/>
          </w:divBdr>
        </w:div>
        <w:div w:id="1342003446">
          <w:marLeft w:val="640"/>
          <w:marRight w:val="0"/>
          <w:marTop w:val="0"/>
          <w:marBottom w:val="0"/>
          <w:divBdr>
            <w:top w:val="none" w:sz="0" w:space="0" w:color="auto"/>
            <w:left w:val="none" w:sz="0" w:space="0" w:color="auto"/>
            <w:bottom w:val="none" w:sz="0" w:space="0" w:color="auto"/>
            <w:right w:val="none" w:sz="0" w:space="0" w:color="auto"/>
          </w:divBdr>
        </w:div>
        <w:div w:id="1677878790">
          <w:marLeft w:val="640"/>
          <w:marRight w:val="0"/>
          <w:marTop w:val="0"/>
          <w:marBottom w:val="0"/>
          <w:divBdr>
            <w:top w:val="none" w:sz="0" w:space="0" w:color="auto"/>
            <w:left w:val="none" w:sz="0" w:space="0" w:color="auto"/>
            <w:bottom w:val="none" w:sz="0" w:space="0" w:color="auto"/>
            <w:right w:val="none" w:sz="0" w:space="0" w:color="auto"/>
          </w:divBdr>
        </w:div>
        <w:div w:id="109669728">
          <w:marLeft w:val="640"/>
          <w:marRight w:val="0"/>
          <w:marTop w:val="0"/>
          <w:marBottom w:val="0"/>
          <w:divBdr>
            <w:top w:val="none" w:sz="0" w:space="0" w:color="auto"/>
            <w:left w:val="none" w:sz="0" w:space="0" w:color="auto"/>
            <w:bottom w:val="none" w:sz="0" w:space="0" w:color="auto"/>
            <w:right w:val="none" w:sz="0" w:space="0" w:color="auto"/>
          </w:divBdr>
        </w:div>
        <w:div w:id="2042969554">
          <w:marLeft w:val="640"/>
          <w:marRight w:val="0"/>
          <w:marTop w:val="0"/>
          <w:marBottom w:val="0"/>
          <w:divBdr>
            <w:top w:val="none" w:sz="0" w:space="0" w:color="auto"/>
            <w:left w:val="none" w:sz="0" w:space="0" w:color="auto"/>
            <w:bottom w:val="none" w:sz="0" w:space="0" w:color="auto"/>
            <w:right w:val="none" w:sz="0" w:space="0" w:color="auto"/>
          </w:divBdr>
        </w:div>
        <w:div w:id="1991522385">
          <w:marLeft w:val="640"/>
          <w:marRight w:val="0"/>
          <w:marTop w:val="0"/>
          <w:marBottom w:val="0"/>
          <w:divBdr>
            <w:top w:val="none" w:sz="0" w:space="0" w:color="auto"/>
            <w:left w:val="none" w:sz="0" w:space="0" w:color="auto"/>
            <w:bottom w:val="none" w:sz="0" w:space="0" w:color="auto"/>
            <w:right w:val="none" w:sz="0" w:space="0" w:color="auto"/>
          </w:divBdr>
        </w:div>
        <w:div w:id="1869171673">
          <w:marLeft w:val="640"/>
          <w:marRight w:val="0"/>
          <w:marTop w:val="0"/>
          <w:marBottom w:val="0"/>
          <w:divBdr>
            <w:top w:val="none" w:sz="0" w:space="0" w:color="auto"/>
            <w:left w:val="none" w:sz="0" w:space="0" w:color="auto"/>
            <w:bottom w:val="none" w:sz="0" w:space="0" w:color="auto"/>
            <w:right w:val="none" w:sz="0" w:space="0" w:color="auto"/>
          </w:divBdr>
        </w:div>
        <w:div w:id="278688829">
          <w:marLeft w:val="640"/>
          <w:marRight w:val="0"/>
          <w:marTop w:val="0"/>
          <w:marBottom w:val="0"/>
          <w:divBdr>
            <w:top w:val="none" w:sz="0" w:space="0" w:color="auto"/>
            <w:left w:val="none" w:sz="0" w:space="0" w:color="auto"/>
            <w:bottom w:val="none" w:sz="0" w:space="0" w:color="auto"/>
            <w:right w:val="none" w:sz="0" w:space="0" w:color="auto"/>
          </w:divBdr>
        </w:div>
        <w:div w:id="1638411891">
          <w:marLeft w:val="640"/>
          <w:marRight w:val="0"/>
          <w:marTop w:val="0"/>
          <w:marBottom w:val="0"/>
          <w:divBdr>
            <w:top w:val="none" w:sz="0" w:space="0" w:color="auto"/>
            <w:left w:val="none" w:sz="0" w:space="0" w:color="auto"/>
            <w:bottom w:val="none" w:sz="0" w:space="0" w:color="auto"/>
            <w:right w:val="none" w:sz="0" w:space="0" w:color="auto"/>
          </w:divBdr>
        </w:div>
        <w:div w:id="2126922987">
          <w:marLeft w:val="640"/>
          <w:marRight w:val="0"/>
          <w:marTop w:val="0"/>
          <w:marBottom w:val="0"/>
          <w:divBdr>
            <w:top w:val="none" w:sz="0" w:space="0" w:color="auto"/>
            <w:left w:val="none" w:sz="0" w:space="0" w:color="auto"/>
            <w:bottom w:val="none" w:sz="0" w:space="0" w:color="auto"/>
            <w:right w:val="none" w:sz="0" w:space="0" w:color="auto"/>
          </w:divBdr>
        </w:div>
        <w:div w:id="1335062167">
          <w:marLeft w:val="640"/>
          <w:marRight w:val="0"/>
          <w:marTop w:val="0"/>
          <w:marBottom w:val="0"/>
          <w:divBdr>
            <w:top w:val="none" w:sz="0" w:space="0" w:color="auto"/>
            <w:left w:val="none" w:sz="0" w:space="0" w:color="auto"/>
            <w:bottom w:val="none" w:sz="0" w:space="0" w:color="auto"/>
            <w:right w:val="none" w:sz="0" w:space="0" w:color="auto"/>
          </w:divBdr>
        </w:div>
        <w:div w:id="546648254">
          <w:marLeft w:val="640"/>
          <w:marRight w:val="0"/>
          <w:marTop w:val="0"/>
          <w:marBottom w:val="0"/>
          <w:divBdr>
            <w:top w:val="none" w:sz="0" w:space="0" w:color="auto"/>
            <w:left w:val="none" w:sz="0" w:space="0" w:color="auto"/>
            <w:bottom w:val="none" w:sz="0" w:space="0" w:color="auto"/>
            <w:right w:val="none" w:sz="0" w:space="0" w:color="auto"/>
          </w:divBdr>
        </w:div>
        <w:div w:id="1892233063">
          <w:marLeft w:val="640"/>
          <w:marRight w:val="0"/>
          <w:marTop w:val="0"/>
          <w:marBottom w:val="0"/>
          <w:divBdr>
            <w:top w:val="none" w:sz="0" w:space="0" w:color="auto"/>
            <w:left w:val="none" w:sz="0" w:space="0" w:color="auto"/>
            <w:bottom w:val="none" w:sz="0" w:space="0" w:color="auto"/>
            <w:right w:val="none" w:sz="0" w:space="0" w:color="auto"/>
          </w:divBdr>
        </w:div>
        <w:div w:id="1443912687">
          <w:marLeft w:val="640"/>
          <w:marRight w:val="0"/>
          <w:marTop w:val="0"/>
          <w:marBottom w:val="0"/>
          <w:divBdr>
            <w:top w:val="none" w:sz="0" w:space="0" w:color="auto"/>
            <w:left w:val="none" w:sz="0" w:space="0" w:color="auto"/>
            <w:bottom w:val="none" w:sz="0" w:space="0" w:color="auto"/>
            <w:right w:val="none" w:sz="0" w:space="0" w:color="auto"/>
          </w:divBdr>
        </w:div>
        <w:div w:id="1679648359">
          <w:marLeft w:val="640"/>
          <w:marRight w:val="0"/>
          <w:marTop w:val="0"/>
          <w:marBottom w:val="0"/>
          <w:divBdr>
            <w:top w:val="none" w:sz="0" w:space="0" w:color="auto"/>
            <w:left w:val="none" w:sz="0" w:space="0" w:color="auto"/>
            <w:bottom w:val="none" w:sz="0" w:space="0" w:color="auto"/>
            <w:right w:val="none" w:sz="0" w:space="0" w:color="auto"/>
          </w:divBdr>
        </w:div>
        <w:div w:id="254944269">
          <w:marLeft w:val="640"/>
          <w:marRight w:val="0"/>
          <w:marTop w:val="0"/>
          <w:marBottom w:val="0"/>
          <w:divBdr>
            <w:top w:val="none" w:sz="0" w:space="0" w:color="auto"/>
            <w:left w:val="none" w:sz="0" w:space="0" w:color="auto"/>
            <w:bottom w:val="none" w:sz="0" w:space="0" w:color="auto"/>
            <w:right w:val="none" w:sz="0" w:space="0" w:color="auto"/>
          </w:divBdr>
        </w:div>
        <w:div w:id="850223134">
          <w:marLeft w:val="640"/>
          <w:marRight w:val="0"/>
          <w:marTop w:val="0"/>
          <w:marBottom w:val="0"/>
          <w:divBdr>
            <w:top w:val="none" w:sz="0" w:space="0" w:color="auto"/>
            <w:left w:val="none" w:sz="0" w:space="0" w:color="auto"/>
            <w:bottom w:val="none" w:sz="0" w:space="0" w:color="auto"/>
            <w:right w:val="none" w:sz="0" w:space="0" w:color="auto"/>
          </w:divBdr>
        </w:div>
        <w:div w:id="256523877">
          <w:marLeft w:val="640"/>
          <w:marRight w:val="0"/>
          <w:marTop w:val="0"/>
          <w:marBottom w:val="0"/>
          <w:divBdr>
            <w:top w:val="none" w:sz="0" w:space="0" w:color="auto"/>
            <w:left w:val="none" w:sz="0" w:space="0" w:color="auto"/>
            <w:bottom w:val="none" w:sz="0" w:space="0" w:color="auto"/>
            <w:right w:val="none" w:sz="0" w:space="0" w:color="auto"/>
          </w:divBdr>
        </w:div>
        <w:div w:id="483592399">
          <w:marLeft w:val="640"/>
          <w:marRight w:val="0"/>
          <w:marTop w:val="0"/>
          <w:marBottom w:val="0"/>
          <w:divBdr>
            <w:top w:val="none" w:sz="0" w:space="0" w:color="auto"/>
            <w:left w:val="none" w:sz="0" w:space="0" w:color="auto"/>
            <w:bottom w:val="none" w:sz="0" w:space="0" w:color="auto"/>
            <w:right w:val="none" w:sz="0" w:space="0" w:color="auto"/>
          </w:divBdr>
        </w:div>
        <w:div w:id="1041056340">
          <w:marLeft w:val="640"/>
          <w:marRight w:val="0"/>
          <w:marTop w:val="0"/>
          <w:marBottom w:val="0"/>
          <w:divBdr>
            <w:top w:val="none" w:sz="0" w:space="0" w:color="auto"/>
            <w:left w:val="none" w:sz="0" w:space="0" w:color="auto"/>
            <w:bottom w:val="none" w:sz="0" w:space="0" w:color="auto"/>
            <w:right w:val="none" w:sz="0" w:space="0" w:color="auto"/>
          </w:divBdr>
        </w:div>
        <w:div w:id="620692834">
          <w:marLeft w:val="640"/>
          <w:marRight w:val="0"/>
          <w:marTop w:val="0"/>
          <w:marBottom w:val="0"/>
          <w:divBdr>
            <w:top w:val="none" w:sz="0" w:space="0" w:color="auto"/>
            <w:left w:val="none" w:sz="0" w:space="0" w:color="auto"/>
            <w:bottom w:val="none" w:sz="0" w:space="0" w:color="auto"/>
            <w:right w:val="none" w:sz="0" w:space="0" w:color="auto"/>
          </w:divBdr>
        </w:div>
        <w:div w:id="929854470">
          <w:marLeft w:val="640"/>
          <w:marRight w:val="0"/>
          <w:marTop w:val="0"/>
          <w:marBottom w:val="0"/>
          <w:divBdr>
            <w:top w:val="none" w:sz="0" w:space="0" w:color="auto"/>
            <w:left w:val="none" w:sz="0" w:space="0" w:color="auto"/>
            <w:bottom w:val="none" w:sz="0" w:space="0" w:color="auto"/>
            <w:right w:val="none" w:sz="0" w:space="0" w:color="auto"/>
          </w:divBdr>
        </w:div>
        <w:div w:id="1757897525">
          <w:marLeft w:val="640"/>
          <w:marRight w:val="0"/>
          <w:marTop w:val="0"/>
          <w:marBottom w:val="0"/>
          <w:divBdr>
            <w:top w:val="none" w:sz="0" w:space="0" w:color="auto"/>
            <w:left w:val="none" w:sz="0" w:space="0" w:color="auto"/>
            <w:bottom w:val="none" w:sz="0" w:space="0" w:color="auto"/>
            <w:right w:val="none" w:sz="0" w:space="0" w:color="auto"/>
          </w:divBdr>
        </w:div>
        <w:div w:id="1870414743">
          <w:marLeft w:val="640"/>
          <w:marRight w:val="0"/>
          <w:marTop w:val="0"/>
          <w:marBottom w:val="0"/>
          <w:divBdr>
            <w:top w:val="none" w:sz="0" w:space="0" w:color="auto"/>
            <w:left w:val="none" w:sz="0" w:space="0" w:color="auto"/>
            <w:bottom w:val="none" w:sz="0" w:space="0" w:color="auto"/>
            <w:right w:val="none" w:sz="0" w:space="0" w:color="auto"/>
          </w:divBdr>
        </w:div>
        <w:div w:id="1120104698">
          <w:marLeft w:val="640"/>
          <w:marRight w:val="0"/>
          <w:marTop w:val="0"/>
          <w:marBottom w:val="0"/>
          <w:divBdr>
            <w:top w:val="none" w:sz="0" w:space="0" w:color="auto"/>
            <w:left w:val="none" w:sz="0" w:space="0" w:color="auto"/>
            <w:bottom w:val="none" w:sz="0" w:space="0" w:color="auto"/>
            <w:right w:val="none" w:sz="0" w:space="0" w:color="auto"/>
          </w:divBdr>
        </w:div>
        <w:div w:id="1051608866">
          <w:marLeft w:val="640"/>
          <w:marRight w:val="0"/>
          <w:marTop w:val="0"/>
          <w:marBottom w:val="0"/>
          <w:divBdr>
            <w:top w:val="none" w:sz="0" w:space="0" w:color="auto"/>
            <w:left w:val="none" w:sz="0" w:space="0" w:color="auto"/>
            <w:bottom w:val="none" w:sz="0" w:space="0" w:color="auto"/>
            <w:right w:val="none" w:sz="0" w:space="0" w:color="auto"/>
          </w:divBdr>
        </w:div>
        <w:div w:id="1028070374">
          <w:marLeft w:val="640"/>
          <w:marRight w:val="0"/>
          <w:marTop w:val="0"/>
          <w:marBottom w:val="0"/>
          <w:divBdr>
            <w:top w:val="none" w:sz="0" w:space="0" w:color="auto"/>
            <w:left w:val="none" w:sz="0" w:space="0" w:color="auto"/>
            <w:bottom w:val="none" w:sz="0" w:space="0" w:color="auto"/>
            <w:right w:val="none" w:sz="0" w:space="0" w:color="auto"/>
          </w:divBdr>
        </w:div>
        <w:div w:id="32581424">
          <w:marLeft w:val="640"/>
          <w:marRight w:val="0"/>
          <w:marTop w:val="0"/>
          <w:marBottom w:val="0"/>
          <w:divBdr>
            <w:top w:val="none" w:sz="0" w:space="0" w:color="auto"/>
            <w:left w:val="none" w:sz="0" w:space="0" w:color="auto"/>
            <w:bottom w:val="none" w:sz="0" w:space="0" w:color="auto"/>
            <w:right w:val="none" w:sz="0" w:space="0" w:color="auto"/>
          </w:divBdr>
        </w:div>
        <w:div w:id="633364838">
          <w:marLeft w:val="640"/>
          <w:marRight w:val="0"/>
          <w:marTop w:val="0"/>
          <w:marBottom w:val="0"/>
          <w:divBdr>
            <w:top w:val="none" w:sz="0" w:space="0" w:color="auto"/>
            <w:left w:val="none" w:sz="0" w:space="0" w:color="auto"/>
            <w:bottom w:val="none" w:sz="0" w:space="0" w:color="auto"/>
            <w:right w:val="none" w:sz="0" w:space="0" w:color="auto"/>
          </w:divBdr>
        </w:div>
        <w:div w:id="203906521">
          <w:marLeft w:val="640"/>
          <w:marRight w:val="0"/>
          <w:marTop w:val="0"/>
          <w:marBottom w:val="0"/>
          <w:divBdr>
            <w:top w:val="none" w:sz="0" w:space="0" w:color="auto"/>
            <w:left w:val="none" w:sz="0" w:space="0" w:color="auto"/>
            <w:bottom w:val="none" w:sz="0" w:space="0" w:color="auto"/>
            <w:right w:val="none" w:sz="0" w:space="0" w:color="auto"/>
          </w:divBdr>
        </w:div>
        <w:div w:id="1893613144">
          <w:marLeft w:val="640"/>
          <w:marRight w:val="0"/>
          <w:marTop w:val="0"/>
          <w:marBottom w:val="0"/>
          <w:divBdr>
            <w:top w:val="none" w:sz="0" w:space="0" w:color="auto"/>
            <w:left w:val="none" w:sz="0" w:space="0" w:color="auto"/>
            <w:bottom w:val="none" w:sz="0" w:space="0" w:color="auto"/>
            <w:right w:val="none" w:sz="0" w:space="0" w:color="auto"/>
          </w:divBdr>
        </w:div>
        <w:div w:id="1348143121">
          <w:marLeft w:val="640"/>
          <w:marRight w:val="0"/>
          <w:marTop w:val="0"/>
          <w:marBottom w:val="0"/>
          <w:divBdr>
            <w:top w:val="none" w:sz="0" w:space="0" w:color="auto"/>
            <w:left w:val="none" w:sz="0" w:space="0" w:color="auto"/>
            <w:bottom w:val="none" w:sz="0" w:space="0" w:color="auto"/>
            <w:right w:val="none" w:sz="0" w:space="0" w:color="auto"/>
          </w:divBdr>
        </w:div>
        <w:div w:id="1479374200">
          <w:marLeft w:val="640"/>
          <w:marRight w:val="0"/>
          <w:marTop w:val="0"/>
          <w:marBottom w:val="0"/>
          <w:divBdr>
            <w:top w:val="none" w:sz="0" w:space="0" w:color="auto"/>
            <w:left w:val="none" w:sz="0" w:space="0" w:color="auto"/>
            <w:bottom w:val="none" w:sz="0" w:space="0" w:color="auto"/>
            <w:right w:val="none" w:sz="0" w:space="0" w:color="auto"/>
          </w:divBdr>
        </w:div>
        <w:div w:id="1450735777">
          <w:marLeft w:val="640"/>
          <w:marRight w:val="0"/>
          <w:marTop w:val="0"/>
          <w:marBottom w:val="0"/>
          <w:divBdr>
            <w:top w:val="none" w:sz="0" w:space="0" w:color="auto"/>
            <w:left w:val="none" w:sz="0" w:space="0" w:color="auto"/>
            <w:bottom w:val="none" w:sz="0" w:space="0" w:color="auto"/>
            <w:right w:val="none" w:sz="0" w:space="0" w:color="auto"/>
          </w:divBdr>
        </w:div>
        <w:div w:id="2100633429">
          <w:marLeft w:val="640"/>
          <w:marRight w:val="0"/>
          <w:marTop w:val="0"/>
          <w:marBottom w:val="0"/>
          <w:divBdr>
            <w:top w:val="none" w:sz="0" w:space="0" w:color="auto"/>
            <w:left w:val="none" w:sz="0" w:space="0" w:color="auto"/>
            <w:bottom w:val="none" w:sz="0" w:space="0" w:color="auto"/>
            <w:right w:val="none" w:sz="0" w:space="0" w:color="auto"/>
          </w:divBdr>
        </w:div>
        <w:div w:id="236402558">
          <w:marLeft w:val="640"/>
          <w:marRight w:val="0"/>
          <w:marTop w:val="0"/>
          <w:marBottom w:val="0"/>
          <w:divBdr>
            <w:top w:val="none" w:sz="0" w:space="0" w:color="auto"/>
            <w:left w:val="none" w:sz="0" w:space="0" w:color="auto"/>
            <w:bottom w:val="none" w:sz="0" w:space="0" w:color="auto"/>
            <w:right w:val="none" w:sz="0" w:space="0" w:color="auto"/>
          </w:divBdr>
        </w:div>
        <w:div w:id="1344555647">
          <w:marLeft w:val="640"/>
          <w:marRight w:val="0"/>
          <w:marTop w:val="0"/>
          <w:marBottom w:val="0"/>
          <w:divBdr>
            <w:top w:val="none" w:sz="0" w:space="0" w:color="auto"/>
            <w:left w:val="none" w:sz="0" w:space="0" w:color="auto"/>
            <w:bottom w:val="none" w:sz="0" w:space="0" w:color="auto"/>
            <w:right w:val="none" w:sz="0" w:space="0" w:color="auto"/>
          </w:divBdr>
        </w:div>
        <w:div w:id="735588037">
          <w:marLeft w:val="640"/>
          <w:marRight w:val="0"/>
          <w:marTop w:val="0"/>
          <w:marBottom w:val="0"/>
          <w:divBdr>
            <w:top w:val="none" w:sz="0" w:space="0" w:color="auto"/>
            <w:left w:val="none" w:sz="0" w:space="0" w:color="auto"/>
            <w:bottom w:val="none" w:sz="0" w:space="0" w:color="auto"/>
            <w:right w:val="none" w:sz="0" w:space="0" w:color="auto"/>
          </w:divBdr>
        </w:div>
        <w:div w:id="542719495">
          <w:marLeft w:val="640"/>
          <w:marRight w:val="0"/>
          <w:marTop w:val="0"/>
          <w:marBottom w:val="0"/>
          <w:divBdr>
            <w:top w:val="none" w:sz="0" w:space="0" w:color="auto"/>
            <w:left w:val="none" w:sz="0" w:space="0" w:color="auto"/>
            <w:bottom w:val="none" w:sz="0" w:space="0" w:color="auto"/>
            <w:right w:val="none" w:sz="0" w:space="0" w:color="auto"/>
          </w:divBdr>
        </w:div>
        <w:div w:id="2039617906">
          <w:marLeft w:val="640"/>
          <w:marRight w:val="0"/>
          <w:marTop w:val="0"/>
          <w:marBottom w:val="0"/>
          <w:divBdr>
            <w:top w:val="none" w:sz="0" w:space="0" w:color="auto"/>
            <w:left w:val="none" w:sz="0" w:space="0" w:color="auto"/>
            <w:bottom w:val="none" w:sz="0" w:space="0" w:color="auto"/>
            <w:right w:val="none" w:sz="0" w:space="0" w:color="auto"/>
          </w:divBdr>
        </w:div>
        <w:div w:id="34503149">
          <w:marLeft w:val="640"/>
          <w:marRight w:val="0"/>
          <w:marTop w:val="0"/>
          <w:marBottom w:val="0"/>
          <w:divBdr>
            <w:top w:val="none" w:sz="0" w:space="0" w:color="auto"/>
            <w:left w:val="none" w:sz="0" w:space="0" w:color="auto"/>
            <w:bottom w:val="none" w:sz="0" w:space="0" w:color="auto"/>
            <w:right w:val="none" w:sz="0" w:space="0" w:color="auto"/>
          </w:divBdr>
        </w:div>
        <w:div w:id="1058359773">
          <w:marLeft w:val="640"/>
          <w:marRight w:val="0"/>
          <w:marTop w:val="0"/>
          <w:marBottom w:val="0"/>
          <w:divBdr>
            <w:top w:val="none" w:sz="0" w:space="0" w:color="auto"/>
            <w:left w:val="none" w:sz="0" w:space="0" w:color="auto"/>
            <w:bottom w:val="none" w:sz="0" w:space="0" w:color="auto"/>
            <w:right w:val="none" w:sz="0" w:space="0" w:color="auto"/>
          </w:divBdr>
        </w:div>
        <w:div w:id="632910608">
          <w:marLeft w:val="640"/>
          <w:marRight w:val="0"/>
          <w:marTop w:val="0"/>
          <w:marBottom w:val="0"/>
          <w:divBdr>
            <w:top w:val="none" w:sz="0" w:space="0" w:color="auto"/>
            <w:left w:val="none" w:sz="0" w:space="0" w:color="auto"/>
            <w:bottom w:val="none" w:sz="0" w:space="0" w:color="auto"/>
            <w:right w:val="none" w:sz="0" w:space="0" w:color="auto"/>
          </w:divBdr>
        </w:div>
        <w:div w:id="183444940">
          <w:marLeft w:val="640"/>
          <w:marRight w:val="0"/>
          <w:marTop w:val="0"/>
          <w:marBottom w:val="0"/>
          <w:divBdr>
            <w:top w:val="none" w:sz="0" w:space="0" w:color="auto"/>
            <w:left w:val="none" w:sz="0" w:space="0" w:color="auto"/>
            <w:bottom w:val="none" w:sz="0" w:space="0" w:color="auto"/>
            <w:right w:val="none" w:sz="0" w:space="0" w:color="auto"/>
          </w:divBdr>
        </w:div>
        <w:div w:id="1793162468">
          <w:marLeft w:val="640"/>
          <w:marRight w:val="0"/>
          <w:marTop w:val="0"/>
          <w:marBottom w:val="0"/>
          <w:divBdr>
            <w:top w:val="none" w:sz="0" w:space="0" w:color="auto"/>
            <w:left w:val="none" w:sz="0" w:space="0" w:color="auto"/>
            <w:bottom w:val="none" w:sz="0" w:space="0" w:color="auto"/>
            <w:right w:val="none" w:sz="0" w:space="0" w:color="auto"/>
          </w:divBdr>
        </w:div>
        <w:div w:id="1476221575">
          <w:marLeft w:val="640"/>
          <w:marRight w:val="0"/>
          <w:marTop w:val="0"/>
          <w:marBottom w:val="0"/>
          <w:divBdr>
            <w:top w:val="none" w:sz="0" w:space="0" w:color="auto"/>
            <w:left w:val="none" w:sz="0" w:space="0" w:color="auto"/>
            <w:bottom w:val="none" w:sz="0" w:space="0" w:color="auto"/>
            <w:right w:val="none" w:sz="0" w:space="0" w:color="auto"/>
          </w:divBdr>
        </w:div>
        <w:div w:id="1025212228">
          <w:marLeft w:val="640"/>
          <w:marRight w:val="0"/>
          <w:marTop w:val="0"/>
          <w:marBottom w:val="0"/>
          <w:divBdr>
            <w:top w:val="none" w:sz="0" w:space="0" w:color="auto"/>
            <w:left w:val="none" w:sz="0" w:space="0" w:color="auto"/>
            <w:bottom w:val="none" w:sz="0" w:space="0" w:color="auto"/>
            <w:right w:val="none" w:sz="0" w:space="0" w:color="auto"/>
          </w:divBdr>
        </w:div>
        <w:div w:id="730930903">
          <w:marLeft w:val="640"/>
          <w:marRight w:val="0"/>
          <w:marTop w:val="0"/>
          <w:marBottom w:val="0"/>
          <w:divBdr>
            <w:top w:val="none" w:sz="0" w:space="0" w:color="auto"/>
            <w:left w:val="none" w:sz="0" w:space="0" w:color="auto"/>
            <w:bottom w:val="none" w:sz="0" w:space="0" w:color="auto"/>
            <w:right w:val="none" w:sz="0" w:space="0" w:color="auto"/>
          </w:divBdr>
        </w:div>
        <w:div w:id="1110272783">
          <w:marLeft w:val="640"/>
          <w:marRight w:val="0"/>
          <w:marTop w:val="0"/>
          <w:marBottom w:val="0"/>
          <w:divBdr>
            <w:top w:val="none" w:sz="0" w:space="0" w:color="auto"/>
            <w:left w:val="none" w:sz="0" w:space="0" w:color="auto"/>
            <w:bottom w:val="none" w:sz="0" w:space="0" w:color="auto"/>
            <w:right w:val="none" w:sz="0" w:space="0" w:color="auto"/>
          </w:divBdr>
        </w:div>
        <w:div w:id="1244988778">
          <w:marLeft w:val="640"/>
          <w:marRight w:val="0"/>
          <w:marTop w:val="0"/>
          <w:marBottom w:val="0"/>
          <w:divBdr>
            <w:top w:val="none" w:sz="0" w:space="0" w:color="auto"/>
            <w:left w:val="none" w:sz="0" w:space="0" w:color="auto"/>
            <w:bottom w:val="none" w:sz="0" w:space="0" w:color="auto"/>
            <w:right w:val="none" w:sz="0" w:space="0" w:color="auto"/>
          </w:divBdr>
        </w:div>
        <w:div w:id="248272035">
          <w:marLeft w:val="640"/>
          <w:marRight w:val="0"/>
          <w:marTop w:val="0"/>
          <w:marBottom w:val="0"/>
          <w:divBdr>
            <w:top w:val="none" w:sz="0" w:space="0" w:color="auto"/>
            <w:left w:val="none" w:sz="0" w:space="0" w:color="auto"/>
            <w:bottom w:val="none" w:sz="0" w:space="0" w:color="auto"/>
            <w:right w:val="none" w:sz="0" w:space="0" w:color="auto"/>
          </w:divBdr>
        </w:div>
        <w:div w:id="830683680">
          <w:marLeft w:val="640"/>
          <w:marRight w:val="0"/>
          <w:marTop w:val="0"/>
          <w:marBottom w:val="0"/>
          <w:divBdr>
            <w:top w:val="none" w:sz="0" w:space="0" w:color="auto"/>
            <w:left w:val="none" w:sz="0" w:space="0" w:color="auto"/>
            <w:bottom w:val="none" w:sz="0" w:space="0" w:color="auto"/>
            <w:right w:val="none" w:sz="0" w:space="0" w:color="auto"/>
          </w:divBdr>
        </w:div>
        <w:div w:id="1791506773">
          <w:marLeft w:val="640"/>
          <w:marRight w:val="0"/>
          <w:marTop w:val="0"/>
          <w:marBottom w:val="0"/>
          <w:divBdr>
            <w:top w:val="none" w:sz="0" w:space="0" w:color="auto"/>
            <w:left w:val="none" w:sz="0" w:space="0" w:color="auto"/>
            <w:bottom w:val="none" w:sz="0" w:space="0" w:color="auto"/>
            <w:right w:val="none" w:sz="0" w:space="0" w:color="auto"/>
          </w:divBdr>
        </w:div>
        <w:div w:id="2130472475">
          <w:marLeft w:val="640"/>
          <w:marRight w:val="0"/>
          <w:marTop w:val="0"/>
          <w:marBottom w:val="0"/>
          <w:divBdr>
            <w:top w:val="none" w:sz="0" w:space="0" w:color="auto"/>
            <w:left w:val="none" w:sz="0" w:space="0" w:color="auto"/>
            <w:bottom w:val="none" w:sz="0" w:space="0" w:color="auto"/>
            <w:right w:val="none" w:sz="0" w:space="0" w:color="auto"/>
          </w:divBdr>
        </w:div>
        <w:div w:id="1818110965">
          <w:marLeft w:val="640"/>
          <w:marRight w:val="0"/>
          <w:marTop w:val="0"/>
          <w:marBottom w:val="0"/>
          <w:divBdr>
            <w:top w:val="none" w:sz="0" w:space="0" w:color="auto"/>
            <w:left w:val="none" w:sz="0" w:space="0" w:color="auto"/>
            <w:bottom w:val="none" w:sz="0" w:space="0" w:color="auto"/>
            <w:right w:val="none" w:sz="0" w:space="0" w:color="auto"/>
          </w:divBdr>
        </w:div>
        <w:div w:id="262106361">
          <w:marLeft w:val="640"/>
          <w:marRight w:val="0"/>
          <w:marTop w:val="0"/>
          <w:marBottom w:val="0"/>
          <w:divBdr>
            <w:top w:val="none" w:sz="0" w:space="0" w:color="auto"/>
            <w:left w:val="none" w:sz="0" w:space="0" w:color="auto"/>
            <w:bottom w:val="none" w:sz="0" w:space="0" w:color="auto"/>
            <w:right w:val="none" w:sz="0" w:space="0" w:color="auto"/>
          </w:divBdr>
        </w:div>
        <w:div w:id="1992363491">
          <w:marLeft w:val="640"/>
          <w:marRight w:val="0"/>
          <w:marTop w:val="0"/>
          <w:marBottom w:val="0"/>
          <w:divBdr>
            <w:top w:val="none" w:sz="0" w:space="0" w:color="auto"/>
            <w:left w:val="none" w:sz="0" w:space="0" w:color="auto"/>
            <w:bottom w:val="none" w:sz="0" w:space="0" w:color="auto"/>
            <w:right w:val="none" w:sz="0" w:space="0" w:color="auto"/>
          </w:divBdr>
        </w:div>
        <w:div w:id="761798560">
          <w:marLeft w:val="640"/>
          <w:marRight w:val="0"/>
          <w:marTop w:val="0"/>
          <w:marBottom w:val="0"/>
          <w:divBdr>
            <w:top w:val="none" w:sz="0" w:space="0" w:color="auto"/>
            <w:left w:val="none" w:sz="0" w:space="0" w:color="auto"/>
            <w:bottom w:val="none" w:sz="0" w:space="0" w:color="auto"/>
            <w:right w:val="none" w:sz="0" w:space="0" w:color="auto"/>
          </w:divBdr>
        </w:div>
        <w:div w:id="561872769">
          <w:marLeft w:val="640"/>
          <w:marRight w:val="0"/>
          <w:marTop w:val="0"/>
          <w:marBottom w:val="0"/>
          <w:divBdr>
            <w:top w:val="none" w:sz="0" w:space="0" w:color="auto"/>
            <w:left w:val="none" w:sz="0" w:space="0" w:color="auto"/>
            <w:bottom w:val="none" w:sz="0" w:space="0" w:color="auto"/>
            <w:right w:val="none" w:sz="0" w:space="0" w:color="auto"/>
          </w:divBdr>
        </w:div>
        <w:div w:id="1687713423">
          <w:marLeft w:val="640"/>
          <w:marRight w:val="0"/>
          <w:marTop w:val="0"/>
          <w:marBottom w:val="0"/>
          <w:divBdr>
            <w:top w:val="none" w:sz="0" w:space="0" w:color="auto"/>
            <w:left w:val="none" w:sz="0" w:space="0" w:color="auto"/>
            <w:bottom w:val="none" w:sz="0" w:space="0" w:color="auto"/>
            <w:right w:val="none" w:sz="0" w:space="0" w:color="auto"/>
          </w:divBdr>
        </w:div>
        <w:div w:id="116875384">
          <w:marLeft w:val="640"/>
          <w:marRight w:val="0"/>
          <w:marTop w:val="0"/>
          <w:marBottom w:val="0"/>
          <w:divBdr>
            <w:top w:val="none" w:sz="0" w:space="0" w:color="auto"/>
            <w:left w:val="none" w:sz="0" w:space="0" w:color="auto"/>
            <w:bottom w:val="none" w:sz="0" w:space="0" w:color="auto"/>
            <w:right w:val="none" w:sz="0" w:space="0" w:color="auto"/>
          </w:divBdr>
        </w:div>
        <w:div w:id="432020007">
          <w:marLeft w:val="640"/>
          <w:marRight w:val="0"/>
          <w:marTop w:val="0"/>
          <w:marBottom w:val="0"/>
          <w:divBdr>
            <w:top w:val="none" w:sz="0" w:space="0" w:color="auto"/>
            <w:left w:val="none" w:sz="0" w:space="0" w:color="auto"/>
            <w:bottom w:val="none" w:sz="0" w:space="0" w:color="auto"/>
            <w:right w:val="none" w:sz="0" w:space="0" w:color="auto"/>
          </w:divBdr>
        </w:div>
        <w:div w:id="1931624935">
          <w:marLeft w:val="640"/>
          <w:marRight w:val="0"/>
          <w:marTop w:val="0"/>
          <w:marBottom w:val="0"/>
          <w:divBdr>
            <w:top w:val="none" w:sz="0" w:space="0" w:color="auto"/>
            <w:left w:val="none" w:sz="0" w:space="0" w:color="auto"/>
            <w:bottom w:val="none" w:sz="0" w:space="0" w:color="auto"/>
            <w:right w:val="none" w:sz="0" w:space="0" w:color="auto"/>
          </w:divBdr>
        </w:div>
        <w:div w:id="408238198">
          <w:marLeft w:val="640"/>
          <w:marRight w:val="0"/>
          <w:marTop w:val="0"/>
          <w:marBottom w:val="0"/>
          <w:divBdr>
            <w:top w:val="none" w:sz="0" w:space="0" w:color="auto"/>
            <w:left w:val="none" w:sz="0" w:space="0" w:color="auto"/>
            <w:bottom w:val="none" w:sz="0" w:space="0" w:color="auto"/>
            <w:right w:val="none" w:sz="0" w:space="0" w:color="auto"/>
          </w:divBdr>
        </w:div>
        <w:div w:id="796221366">
          <w:marLeft w:val="640"/>
          <w:marRight w:val="0"/>
          <w:marTop w:val="0"/>
          <w:marBottom w:val="0"/>
          <w:divBdr>
            <w:top w:val="none" w:sz="0" w:space="0" w:color="auto"/>
            <w:left w:val="none" w:sz="0" w:space="0" w:color="auto"/>
            <w:bottom w:val="none" w:sz="0" w:space="0" w:color="auto"/>
            <w:right w:val="none" w:sz="0" w:space="0" w:color="auto"/>
          </w:divBdr>
        </w:div>
        <w:div w:id="1094663816">
          <w:marLeft w:val="640"/>
          <w:marRight w:val="0"/>
          <w:marTop w:val="0"/>
          <w:marBottom w:val="0"/>
          <w:divBdr>
            <w:top w:val="none" w:sz="0" w:space="0" w:color="auto"/>
            <w:left w:val="none" w:sz="0" w:space="0" w:color="auto"/>
            <w:bottom w:val="none" w:sz="0" w:space="0" w:color="auto"/>
            <w:right w:val="none" w:sz="0" w:space="0" w:color="auto"/>
          </w:divBdr>
        </w:div>
        <w:div w:id="1685279388">
          <w:marLeft w:val="640"/>
          <w:marRight w:val="0"/>
          <w:marTop w:val="0"/>
          <w:marBottom w:val="0"/>
          <w:divBdr>
            <w:top w:val="none" w:sz="0" w:space="0" w:color="auto"/>
            <w:left w:val="none" w:sz="0" w:space="0" w:color="auto"/>
            <w:bottom w:val="none" w:sz="0" w:space="0" w:color="auto"/>
            <w:right w:val="none" w:sz="0" w:space="0" w:color="auto"/>
          </w:divBdr>
        </w:div>
        <w:div w:id="1221939044">
          <w:marLeft w:val="640"/>
          <w:marRight w:val="0"/>
          <w:marTop w:val="0"/>
          <w:marBottom w:val="0"/>
          <w:divBdr>
            <w:top w:val="none" w:sz="0" w:space="0" w:color="auto"/>
            <w:left w:val="none" w:sz="0" w:space="0" w:color="auto"/>
            <w:bottom w:val="none" w:sz="0" w:space="0" w:color="auto"/>
            <w:right w:val="none" w:sz="0" w:space="0" w:color="auto"/>
          </w:divBdr>
        </w:div>
        <w:div w:id="1327898388">
          <w:marLeft w:val="640"/>
          <w:marRight w:val="0"/>
          <w:marTop w:val="0"/>
          <w:marBottom w:val="0"/>
          <w:divBdr>
            <w:top w:val="none" w:sz="0" w:space="0" w:color="auto"/>
            <w:left w:val="none" w:sz="0" w:space="0" w:color="auto"/>
            <w:bottom w:val="none" w:sz="0" w:space="0" w:color="auto"/>
            <w:right w:val="none" w:sz="0" w:space="0" w:color="auto"/>
          </w:divBdr>
        </w:div>
        <w:div w:id="1107384484">
          <w:marLeft w:val="640"/>
          <w:marRight w:val="0"/>
          <w:marTop w:val="0"/>
          <w:marBottom w:val="0"/>
          <w:divBdr>
            <w:top w:val="none" w:sz="0" w:space="0" w:color="auto"/>
            <w:left w:val="none" w:sz="0" w:space="0" w:color="auto"/>
            <w:bottom w:val="none" w:sz="0" w:space="0" w:color="auto"/>
            <w:right w:val="none" w:sz="0" w:space="0" w:color="auto"/>
          </w:divBdr>
        </w:div>
        <w:div w:id="1109010137">
          <w:marLeft w:val="640"/>
          <w:marRight w:val="0"/>
          <w:marTop w:val="0"/>
          <w:marBottom w:val="0"/>
          <w:divBdr>
            <w:top w:val="none" w:sz="0" w:space="0" w:color="auto"/>
            <w:left w:val="none" w:sz="0" w:space="0" w:color="auto"/>
            <w:bottom w:val="none" w:sz="0" w:space="0" w:color="auto"/>
            <w:right w:val="none" w:sz="0" w:space="0" w:color="auto"/>
          </w:divBdr>
        </w:div>
        <w:div w:id="1720082203">
          <w:marLeft w:val="640"/>
          <w:marRight w:val="0"/>
          <w:marTop w:val="0"/>
          <w:marBottom w:val="0"/>
          <w:divBdr>
            <w:top w:val="none" w:sz="0" w:space="0" w:color="auto"/>
            <w:left w:val="none" w:sz="0" w:space="0" w:color="auto"/>
            <w:bottom w:val="none" w:sz="0" w:space="0" w:color="auto"/>
            <w:right w:val="none" w:sz="0" w:space="0" w:color="auto"/>
          </w:divBdr>
        </w:div>
        <w:div w:id="1443840914">
          <w:marLeft w:val="640"/>
          <w:marRight w:val="0"/>
          <w:marTop w:val="0"/>
          <w:marBottom w:val="0"/>
          <w:divBdr>
            <w:top w:val="none" w:sz="0" w:space="0" w:color="auto"/>
            <w:left w:val="none" w:sz="0" w:space="0" w:color="auto"/>
            <w:bottom w:val="none" w:sz="0" w:space="0" w:color="auto"/>
            <w:right w:val="none" w:sz="0" w:space="0" w:color="auto"/>
          </w:divBdr>
        </w:div>
        <w:div w:id="1204056623">
          <w:marLeft w:val="640"/>
          <w:marRight w:val="0"/>
          <w:marTop w:val="0"/>
          <w:marBottom w:val="0"/>
          <w:divBdr>
            <w:top w:val="none" w:sz="0" w:space="0" w:color="auto"/>
            <w:left w:val="none" w:sz="0" w:space="0" w:color="auto"/>
            <w:bottom w:val="none" w:sz="0" w:space="0" w:color="auto"/>
            <w:right w:val="none" w:sz="0" w:space="0" w:color="auto"/>
          </w:divBdr>
        </w:div>
        <w:div w:id="1188176551">
          <w:marLeft w:val="640"/>
          <w:marRight w:val="0"/>
          <w:marTop w:val="0"/>
          <w:marBottom w:val="0"/>
          <w:divBdr>
            <w:top w:val="none" w:sz="0" w:space="0" w:color="auto"/>
            <w:left w:val="none" w:sz="0" w:space="0" w:color="auto"/>
            <w:bottom w:val="none" w:sz="0" w:space="0" w:color="auto"/>
            <w:right w:val="none" w:sz="0" w:space="0" w:color="auto"/>
          </w:divBdr>
        </w:div>
        <w:div w:id="2007903937">
          <w:marLeft w:val="640"/>
          <w:marRight w:val="0"/>
          <w:marTop w:val="0"/>
          <w:marBottom w:val="0"/>
          <w:divBdr>
            <w:top w:val="none" w:sz="0" w:space="0" w:color="auto"/>
            <w:left w:val="none" w:sz="0" w:space="0" w:color="auto"/>
            <w:bottom w:val="none" w:sz="0" w:space="0" w:color="auto"/>
            <w:right w:val="none" w:sz="0" w:space="0" w:color="auto"/>
          </w:divBdr>
        </w:div>
        <w:div w:id="867451778">
          <w:marLeft w:val="640"/>
          <w:marRight w:val="0"/>
          <w:marTop w:val="0"/>
          <w:marBottom w:val="0"/>
          <w:divBdr>
            <w:top w:val="none" w:sz="0" w:space="0" w:color="auto"/>
            <w:left w:val="none" w:sz="0" w:space="0" w:color="auto"/>
            <w:bottom w:val="none" w:sz="0" w:space="0" w:color="auto"/>
            <w:right w:val="none" w:sz="0" w:space="0" w:color="auto"/>
          </w:divBdr>
        </w:div>
        <w:div w:id="833033267">
          <w:marLeft w:val="640"/>
          <w:marRight w:val="0"/>
          <w:marTop w:val="0"/>
          <w:marBottom w:val="0"/>
          <w:divBdr>
            <w:top w:val="none" w:sz="0" w:space="0" w:color="auto"/>
            <w:left w:val="none" w:sz="0" w:space="0" w:color="auto"/>
            <w:bottom w:val="none" w:sz="0" w:space="0" w:color="auto"/>
            <w:right w:val="none" w:sz="0" w:space="0" w:color="auto"/>
          </w:divBdr>
        </w:div>
        <w:div w:id="1477335022">
          <w:marLeft w:val="640"/>
          <w:marRight w:val="0"/>
          <w:marTop w:val="0"/>
          <w:marBottom w:val="0"/>
          <w:divBdr>
            <w:top w:val="none" w:sz="0" w:space="0" w:color="auto"/>
            <w:left w:val="none" w:sz="0" w:space="0" w:color="auto"/>
            <w:bottom w:val="none" w:sz="0" w:space="0" w:color="auto"/>
            <w:right w:val="none" w:sz="0" w:space="0" w:color="auto"/>
          </w:divBdr>
        </w:div>
        <w:div w:id="2133280951">
          <w:marLeft w:val="640"/>
          <w:marRight w:val="0"/>
          <w:marTop w:val="0"/>
          <w:marBottom w:val="0"/>
          <w:divBdr>
            <w:top w:val="none" w:sz="0" w:space="0" w:color="auto"/>
            <w:left w:val="none" w:sz="0" w:space="0" w:color="auto"/>
            <w:bottom w:val="none" w:sz="0" w:space="0" w:color="auto"/>
            <w:right w:val="none" w:sz="0" w:space="0" w:color="auto"/>
          </w:divBdr>
        </w:div>
        <w:div w:id="898826577">
          <w:marLeft w:val="640"/>
          <w:marRight w:val="0"/>
          <w:marTop w:val="0"/>
          <w:marBottom w:val="0"/>
          <w:divBdr>
            <w:top w:val="none" w:sz="0" w:space="0" w:color="auto"/>
            <w:left w:val="none" w:sz="0" w:space="0" w:color="auto"/>
            <w:bottom w:val="none" w:sz="0" w:space="0" w:color="auto"/>
            <w:right w:val="none" w:sz="0" w:space="0" w:color="auto"/>
          </w:divBdr>
        </w:div>
        <w:div w:id="1817913558">
          <w:marLeft w:val="640"/>
          <w:marRight w:val="0"/>
          <w:marTop w:val="0"/>
          <w:marBottom w:val="0"/>
          <w:divBdr>
            <w:top w:val="none" w:sz="0" w:space="0" w:color="auto"/>
            <w:left w:val="none" w:sz="0" w:space="0" w:color="auto"/>
            <w:bottom w:val="none" w:sz="0" w:space="0" w:color="auto"/>
            <w:right w:val="none" w:sz="0" w:space="0" w:color="auto"/>
          </w:divBdr>
        </w:div>
        <w:div w:id="1590578808">
          <w:marLeft w:val="640"/>
          <w:marRight w:val="0"/>
          <w:marTop w:val="0"/>
          <w:marBottom w:val="0"/>
          <w:divBdr>
            <w:top w:val="none" w:sz="0" w:space="0" w:color="auto"/>
            <w:left w:val="none" w:sz="0" w:space="0" w:color="auto"/>
            <w:bottom w:val="none" w:sz="0" w:space="0" w:color="auto"/>
            <w:right w:val="none" w:sz="0" w:space="0" w:color="auto"/>
          </w:divBdr>
        </w:div>
        <w:div w:id="1155142868">
          <w:marLeft w:val="640"/>
          <w:marRight w:val="0"/>
          <w:marTop w:val="0"/>
          <w:marBottom w:val="0"/>
          <w:divBdr>
            <w:top w:val="none" w:sz="0" w:space="0" w:color="auto"/>
            <w:left w:val="none" w:sz="0" w:space="0" w:color="auto"/>
            <w:bottom w:val="none" w:sz="0" w:space="0" w:color="auto"/>
            <w:right w:val="none" w:sz="0" w:space="0" w:color="auto"/>
          </w:divBdr>
        </w:div>
        <w:div w:id="1003508824">
          <w:marLeft w:val="640"/>
          <w:marRight w:val="0"/>
          <w:marTop w:val="0"/>
          <w:marBottom w:val="0"/>
          <w:divBdr>
            <w:top w:val="none" w:sz="0" w:space="0" w:color="auto"/>
            <w:left w:val="none" w:sz="0" w:space="0" w:color="auto"/>
            <w:bottom w:val="none" w:sz="0" w:space="0" w:color="auto"/>
            <w:right w:val="none" w:sz="0" w:space="0" w:color="auto"/>
          </w:divBdr>
        </w:div>
        <w:div w:id="1930842446">
          <w:marLeft w:val="640"/>
          <w:marRight w:val="0"/>
          <w:marTop w:val="0"/>
          <w:marBottom w:val="0"/>
          <w:divBdr>
            <w:top w:val="none" w:sz="0" w:space="0" w:color="auto"/>
            <w:left w:val="none" w:sz="0" w:space="0" w:color="auto"/>
            <w:bottom w:val="none" w:sz="0" w:space="0" w:color="auto"/>
            <w:right w:val="none" w:sz="0" w:space="0" w:color="auto"/>
          </w:divBdr>
        </w:div>
        <w:div w:id="1295672570">
          <w:marLeft w:val="640"/>
          <w:marRight w:val="0"/>
          <w:marTop w:val="0"/>
          <w:marBottom w:val="0"/>
          <w:divBdr>
            <w:top w:val="none" w:sz="0" w:space="0" w:color="auto"/>
            <w:left w:val="none" w:sz="0" w:space="0" w:color="auto"/>
            <w:bottom w:val="none" w:sz="0" w:space="0" w:color="auto"/>
            <w:right w:val="none" w:sz="0" w:space="0" w:color="auto"/>
          </w:divBdr>
        </w:div>
        <w:div w:id="1306860518">
          <w:marLeft w:val="640"/>
          <w:marRight w:val="0"/>
          <w:marTop w:val="0"/>
          <w:marBottom w:val="0"/>
          <w:divBdr>
            <w:top w:val="none" w:sz="0" w:space="0" w:color="auto"/>
            <w:left w:val="none" w:sz="0" w:space="0" w:color="auto"/>
            <w:bottom w:val="none" w:sz="0" w:space="0" w:color="auto"/>
            <w:right w:val="none" w:sz="0" w:space="0" w:color="auto"/>
          </w:divBdr>
        </w:div>
        <w:div w:id="1779250822">
          <w:marLeft w:val="640"/>
          <w:marRight w:val="0"/>
          <w:marTop w:val="0"/>
          <w:marBottom w:val="0"/>
          <w:divBdr>
            <w:top w:val="none" w:sz="0" w:space="0" w:color="auto"/>
            <w:left w:val="none" w:sz="0" w:space="0" w:color="auto"/>
            <w:bottom w:val="none" w:sz="0" w:space="0" w:color="auto"/>
            <w:right w:val="none" w:sz="0" w:space="0" w:color="auto"/>
          </w:divBdr>
        </w:div>
        <w:div w:id="1663196095">
          <w:marLeft w:val="640"/>
          <w:marRight w:val="0"/>
          <w:marTop w:val="0"/>
          <w:marBottom w:val="0"/>
          <w:divBdr>
            <w:top w:val="none" w:sz="0" w:space="0" w:color="auto"/>
            <w:left w:val="none" w:sz="0" w:space="0" w:color="auto"/>
            <w:bottom w:val="none" w:sz="0" w:space="0" w:color="auto"/>
            <w:right w:val="none" w:sz="0" w:space="0" w:color="auto"/>
          </w:divBdr>
        </w:div>
        <w:div w:id="833257147">
          <w:marLeft w:val="640"/>
          <w:marRight w:val="0"/>
          <w:marTop w:val="0"/>
          <w:marBottom w:val="0"/>
          <w:divBdr>
            <w:top w:val="none" w:sz="0" w:space="0" w:color="auto"/>
            <w:left w:val="none" w:sz="0" w:space="0" w:color="auto"/>
            <w:bottom w:val="none" w:sz="0" w:space="0" w:color="auto"/>
            <w:right w:val="none" w:sz="0" w:space="0" w:color="auto"/>
          </w:divBdr>
        </w:div>
        <w:div w:id="1147745308">
          <w:marLeft w:val="640"/>
          <w:marRight w:val="0"/>
          <w:marTop w:val="0"/>
          <w:marBottom w:val="0"/>
          <w:divBdr>
            <w:top w:val="none" w:sz="0" w:space="0" w:color="auto"/>
            <w:left w:val="none" w:sz="0" w:space="0" w:color="auto"/>
            <w:bottom w:val="none" w:sz="0" w:space="0" w:color="auto"/>
            <w:right w:val="none" w:sz="0" w:space="0" w:color="auto"/>
          </w:divBdr>
        </w:div>
        <w:div w:id="1954439190">
          <w:marLeft w:val="640"/>
          <w:marRight w:val="0"/>
          <w:marTop w:val="0"/>
          <w:marBottom w:val="0"/>
          <w:divBdr>
            <w:top w:val="none" w:sz="0" w:space="0" w:color="auto"/>
            <w:left w:val="none" w:sz="0" w:space="0" w:color="auto"/>
            <w:bottom w:val="none" w:sz="0" w:space="0" w:color="auto"/>
            <w:right w:val="none" w:sz="0" w:space="0" w:color="auto"/>
          </w:divBdr>
        </w:div>
        <w:div w:id="778648238">
          <w:marLeft w:val="640"/>
          <w:marRight w:val="0"/>
          <w:marTop w:val="0"/>
          <w:marBottom w:val="0"/>
          <w:divBdr>
            <w:top w:val="none" w:sz="0" w:space="0" w:color="auto"/>
            <w:left w:val="none" w:sz="0" w:space="0" w:color="auto"/>
            <w:bottom w:val="none" w:sz="0" w:space="0" w:color="auto"/>
            <w:right w:val="none" w:sz="0" w:space="0" w:color="auto"/>
          </w:divBdr>
        </w:div>
        <w:div w:id="31999993">
          <w:marLeft w:val="640"/>
          <w:marRight w:val="0"/>
          <w:marTop w:val="0"/>
          <w:marBottom w:val="0"/>
          <w:divBdr>
            <w:top w:val="none" w:sz="0" w:space="0" w:color="auto"/>
            <w:left w:val="none" w:sz="0" w:space="0" w:color="auto"/>
            <w:bottom w:val="none" w:sz="0" w:space="0" w:color="auto"/>
            <w:right w:val="none" w:sz="0" w:space="0" w:color="auto"/>
          </w:divBdr>
        </w:div>
        <w:div w:id="104926499">
          <w:marLeft w:val="640"/>
          <w:marRight w:val="0"/>
          <w:marTop w:val="0"/>
          <w:marBottom w:val="0"/>
          <w:divBdr>
            <w:top w:val="none" w:sz="0" w:space="0" w:color="auto"/>
            <w:left w:val="none" w:sz="0" w:space="0" w:color="auto"/>
            <w:bottom w:val="none" w:sz="0" w:space="0" w:color="auto"/>
            <w:right w:val="none" w:sz="0" w:space="0" w:color="auto"/>
          </w:divBdr>
        </w:div>
        <w:div w:id="1621839293">
          <w:marLeft w:val="640"/>
          <w:marRight w:val="0"/>
          <w:marTop w:val="0"/>
          <w:marBottom w:val="0"/>
          <w:divBdr>
            <w:top w:val="none" w:sz="0" w:space="0" w:color="auto"/>
            <w:left w:val="none" w:sz="0" w:space="0" w:color="auto"/>
            <w:bottom w:val="none" w:sz="0" w:space="0" w:color="auto"/>
            <w:right w:val="none" w:sz="0" w:space="0" w:color="auto"/>
          </w:divBdr>
        </w:div>
        <w:div w:id="1287008927">
          <w:marLeft w:val="640"/>
          <w:marRight w:val="0"/>
          <w:marTop w:val="0"/>
          <w:marBottom w:val="0"/>
          <w:divBdr>
            <w:top w:val="none" w:sz="0" w:space="0" w:color="auto"/>
            <w:left w:val="none" w:sz="0" w:space="0" w:color="auto"/>
            <w:bottom w:val="none" w:sz="0" w:space="0" w:color="auto"/>
            <w:right w:val="none" w:sz="0" w:space="0" w:color="auto"/>
          </w:divBdr>
        </w:div>
        <w:div w:id="1408260332">
          <w:marLeft w:val="640"/>
          <w:marRight w:val="0"/>
          <w:marTop w:val="0"/>
          <w:marBottom w:val="0"/>
          <w:divBdr>
            <w:top w:val="none" w:sz="0" w:space="0" w:color="auto"/>
            <w:left w:val="none" w:sz="0" w:space="0" w:color="auto"/>
            <w:bottom w:val="none" w:sz="0" w:space="0" w:color="auto"/>
            <w:right w:val="none" w:sz="0" w:space="0" w:color="auto"/>
          </w:divBdr>
        </w:div>
        <w:div w:id="1692871593">
          <w:marLeft w:val="640"/>
          <w:marRight w:val="0"/>
          <w:marTop w:val="0"/>
          <w:marBottom w:val="0"/>
          <w:divBdr>
            <w:top w:val="none" w:sz="0" w:space="0" w:color="auto"/>
            <w:left w:val="none" w:sz="0" w:space="0" w:color="auto"/>
            <w:bottom w:val="none" w:sz="0" w:space="0" w:color="auto"/>
            <w:right w:val="none" w:sz="0" w:space="0" w:color="auto"/>
          </w:divBdr>
        </w:div>
        <w:div w:id="1118791913">
          <w:marLeft w:val="640"/>
          <w:marRight w:val="0"/>
          <w:marTop w:val="0"/>
          <w:marBottom w:val="0"/>
          <w:divBdr>
            <w:top w:val="none" w:sz="0" w:space="0" w:color="auto"/>
            <w:left w:val="none" w:sz="0" w:space="0" w:color="auto"/>
            <w:bottom w:val="none" w:sz="0" w:space="0" w:color="auto"/>
            <w:right w:val="none" w:sz="0" w:space="0" w:color="auto"/>
          </w:divBdr>
        </w:div>
        <w:div w:id="561525178">
          <w:marLeft w:val="640"/>
          <w:marRight w:val="0"/>
          <w:marTop w:val="0"/>
          <w:marBottom w:val="0"/>
          <w:divBdr>
            <w:top w:val="none" w:sz="0" w:space="0" w:color="auto"/>
            <w:left w:val="none" w:sz="0" w:space="0" w:color="auto"/>
            <w:bottom w:val="none" w:sz="0" w:space="0" w:color="auto"/>
            <w:right w:val="none" w:sz="0" w:space="0" w:color="auto"/>
          </w:divBdr>
        </w:div>
        <w:div w:id="558515075">
          <w:marLeft w:val="640"/>
          <w:marRight w:val="0"/>
          <w:marTop w:val="0"/>
          <w:marBottom w:val="0"/>
          <w:divBdr>
            <w:top w:val="none" w:sz="0" w:space="0" w:color="auto"/>
            <w:left w:val="none" w:sz="0" w:space="0" w:color="auto"/>
            <w:bottom w:val="none" w:sz="0" w:space="0" w:color="auto"/>
            <w:right w:val="none" w:sz="0" w:space="0" w:color="auto"/>
          </w:divBdr>
        </w:div>
        <w:div w:id="1480001386">
          <w:marLeft w:val="640"/>
          <w:marRight w:val="0"/>
          <w:marTop w:val="0"/>
          <w:marBottom w:val="0"/>
          <w:divBdr>
            <w:top w:val="none" w:sz="0" w:space="0" w:color="auto"/>
            <w:left w:val="none" w:sz="0" w:space="0" w:color="auto"/>
            <w:bottom w:val="none" w:sz="0" w:space="0" w:color="auto"/>
            <w:right w:val="none" w:sz="0" w:space="0" w:color="auto"/>
          </w:divBdr>
        </w:div>
        <w:div w:id="785197314">
          <w:marLeft w:val="640"/>
          <w:marRight w:val="0"/>
          <w:marTop w:val="0"/>
          <w:marBottom w:val="0"/>
          <w:divBdr>
            <w:top w:val="none" w:sz="0" w:space="0" w:color="auto"/>
            <w:left w:val="none" w:sz="0" w:space="0" w:color="auto"/>
            <w:bottom w:val="none" w:sz="0" w:space="0" w:color="auto"/>
            <w:right w:val="none" w:sz="0" w:space="0" w:color="auto"/>
          </w:divBdr>
        </w:div>
        <w:div w:id="337078367">
          <w:marLeft w:val="640"/>
          <w:marRight w:val="0"/>
          <w:marTop w:val="0"/>
          <w:marBottom w:val="0"/>
          <w:divBdr>
            <w:top w:val="none" w:sz="0" w:space="0" w:color="auto"/>
            <w:left w:val="none" w:sz="0" w:space="0" w:color="auto"/>
            <w:bottom w:val="none" w:sz="0" w:space="0" w:color="auto"/>
            <w:right w:val="none" w:sz="0" w:space="0" w:color="auto"/>
          </w:divBdr>
        </w:div>
        <w:div w:id="1311793143">
          <w:marLeft w:val="640"/>
          <w:marRight w:val="0"/>
          <w:marTop w:val="0"/>
          <w:marBottom w:val="0"/>
          <w:divBdr>
            <w:top w:val="none" w:sz="0" w:space="0" w:color="auto"/>
            <w:left w:val="none" w:sz="0" w:space="0" w:color="auto"/>
            <w:bottom w:val="none" w:sz="0" w:space="0" w:color="auto"/>
            <w:right w:val="none" w:sz="0" w:space="0" w:color="auto"/>
          </w:divBdr>
        </w:div>
        <w:div w:id="1070618890">
          <w:marLeft w:val="640"/>
          <w:marRight w:val="0"/>
          <w:marTop w:val="0"/>
          <w:marBottom w:val="0"/>
          <w:divBdr>
            <w:top w:val="none" w:sz="0" w:space="0" w:color="auto"/>
            <w:left w:val="none" w:sz="0" w:space="0" w:color="auto"/>
            <w:bottom w:val="none" w:sz="0" w:space="0" w:color="auto"/>
            <w:right w:val="none" w:sz="0" w:space="0" w:color="auto"/>
          </w:divBdr>
        </w:div>
        <w:div w:id="714306413">
          <w:marLeft w:val="640"/>
          <w:marRight w:val="0"/>
          <w:marTop w:val="0"/>
          <w:marBottom w:val="0"/>
          <w:divBdr>
            <w:top w:val="none" w:sz="0" w:space="0" w:color="auto"/>
            <w:left w:val="none" w:sz="0" w:space="0" w:color="auto"/>
            <w:bottom w:val="none" w:sz="0" w:space="0" w:color="auto"/>
            <w:right w:val="none" w:sz="0" w:space="0" w:color="auto"/>
          </w:divBdr>
        </w:div>
        <w:div w:id="364645233">
          <w:marLeft w:val="640"/>
          <w:marRight w:val="0"/>
          <w:marTop w:val="0"/>
          <w:marBottom w:val="0"/>
          <w:divBdr>
            <w:top w:val="none" w:sz="0" w:space="0" w:color="auto"/>
            <w:left w:val="none" w:sz="0" w:space="0" w:color="auto"/>
            <w:bottom w:val="none" w:sz="0" w:space="0" w:color="auto"/>
            <w:right w:val="none" w:sz="0" w:space="0" w:color="auto"/>
          </w:divBdr>
        </w:div>
        <w:div w:id="1709329844">
          <w:marLeft w:val="640"/>
          <w:marRight w:val="0"/>
          <w:marTop w:val="0"/>
          <w:marBottom w:val="0"/>
          <w:divBdr>
            <w:top w:val="none" w:sz="0" w:space="0" w:color="auto"/>
            <w:left w:val="none" w:sz="0" w:space="0" w:color="auto"/>
            <w:bottom w:val="none" w:sz="0" w:space="0" w:color="auto"/>
            <w:right w:val="none" w:sz="0" w:space="0" w:color="auto"/>
          </w:divBdr>
        </w:div>
        <w:div w:id="1500384649">
          <w:marLeft w:val="640"/>
          <w:marRight w:val="0"/>
          <w:marTop w:val="0"/>
          <w:marBottom w:val="0"/>
          <w:divBdr>
            <w:top w:val="none" w:sz="0" w:space="0" w:color="auto"/>
            <w:left w:val="none" w:sz="0" w:space="0" w:color="auto"/>
            <w:bottom w:val="none" w:sz="0" w:space="0" w:color="auto"/>
            <w:right w:val="none" w:sz="0" w:space="0" w:color="auto"/>
          </w:divBdr>
        </w:div>
        <w:div w:id="1201818616">
          <w:marLeft w:val="640"/>
          <w:marRight w:val="0"/>
          <w:marTop w:val="0"/>
          <w:marBottom w:val="0"/>
          <w:divBdr>
            <w:top w:val="none" w:sz="0" w:space="0" w:color="auto"/>
            <w:left w:val="none" w:sz="0" w:space="0" w:color="auto"/>
            <w:bottom w:val="none" w:sz="0" w:space="0" w:color="auto"/>
            <w:right w:val="none" w:sz="0" w:space="0" w:color="auto"/>
          </w:divBdr>
        </w:div>
        <w:div w:id="117915567">
          <w:marLeft w:val="640"/>
          <w:marRight w:val="0"/>
          <w:marTop w:val="0"/>
          <w:marBottom w:val="0"/>
          <w:divBdr>
            <w:top w:val="none" w:sz="0" w:space="0" w:color="auto"/>
            <w:left w:val="none" w:sz="0" w:space="0" w:color="auto"/>
            <w:bottom w:val="none" w:sz="0" w:space="0" w:color="auto"/>
            <w:right w:val="none" w:sz="0" w:space="0" w:color="auto"/>
          </w:divBdr>
        </w:div>
        <w:div w:id="947348908">
          <w:marLeft w:val="640"/>
          <w:marRight w:val="0"/>
          <w:marTop w:val="0"/>
          <w:marBottom w:val="0"/>
          <w:divBdr>
            <w:top w:val="none" w:sz="0" w:space="0" w:color="auto"/>
            <w:left w:val="none" w:sz="0" w:space="0" w:color="auto"/>
            <w:bottom w:val="none" w:sz="0" w:space="0" w:color="auto"/>
            <w:right w:val="none" w:sz="0" w:space="0" w:color="auto"/>
          </w:divBdr>
        </w:div>
        <w:div w:id="1538657268">
          <w:marLeft w:val="640"/>
          <w:marRight w:val="0"/>
          <w:marTop w:val="0"/>
          <w:marBottom w:val="0"/>
          <w:divBdr>
            <w:top w:val="none" w:sz="0" w:space="0" w:color="auto"/>
            <w:left w:val="none" w:sz="0" w:space="0" w:color="auto"/>
            <w:bottom w:val="none" w:sz="0" w:space="0" w:color="auto"/>
            <w:right w:val="none" w:sz="0" w:space="0" w:color="auto"/>
          </w:divBdr>
        </w:div>
        <w:div w:id="1205947580">
          <w:marLeft w:val="640"/>
          <w:marRight w:val="0"/>
          <w:marTop w:val="0"/>
          <w:marBottom w:val="0"/>
          <w:divBdr>
            <w:top w:val="none" w:sz="0" w:space="0" w:color="auto"/>
            <w:left w:val="none" w:sz="0" w:space="0" w:color="auto"/>
            <w:bottom w:val="none" w:sz="0" w:space="0" w:color="auto"/>
            <w:right w:val="none" w:sz="0" w:space="0" w:color="auto"/>
          </w:divBdr>
        </w:div>
        <w:div w:id="1303773924">
          <w:marLeft w:val="640"/>
          <w:marRight w:val="0"/>
          <w:marTop w:val="0"/>
          <w:marBottom w:val="0"/>
          <w:divBdr>
            <w:top w:val="none" w:sz="0" w:space="0" w:color="auto"/>
            <w:left w:val="none" w:sz="0" w:space="0" w:color="auto"/>
            <w:bottom w:val="none" w:sz="0" w:space="0" w:color="auto"/>
            <w:right w:val="none" w:sz="0" w:space="0" w:color="auto"/>
          </w:divBdr>
        </w:div>
        <w:div w:id="9576808">
          <w:marLeft w:val="640"/>
          <w:marRight w:val="0"/>
          <w:marTop w:val="0"/>
          <w:marBottom w:val="0"/>
          <w:divBdr>
            <w:top w:val="none" w:sz="0" w:space="0" w:color="auto"/>
            <w:left w:val="none" w:sz="0" w:space="0" w:color="auto"/>
            <w:bottom w:val="none" w:sz="0" w:space="0" w:color="auto"/>
            <w:right w:val="none" w:sz="0" w:space="0" w:color="auto"/>
          </w:divBdr>
        </w:div>
        <w:div w:id="438768179">
          <w:marLeft w:val="640"/>
          <w:marRight w:val="0"/>
          <w:marTop w:val="0"/>
          <w:marBottom w:val="0"/>
          <w:divBdr>
            <w:top w:val="none" w:sz="0" w:space="0" w:color="auto"/>
            <w:left w:val="none" w:sz="0" w:space="0" w:color="auto"/>
            <w:bottom w:val="none" w:sz="0" w:space="0" w:color="auto"/>
            <w:right w:val="none" w:sz="0" w:space="0" w:color="auto"/>
          </w:divBdr>
        </w:div>
        <w:div w:id="1089084425">
          <w:marLeft w:val="640"/>
          <w:marRight w:val="0"/>
          <w:marTop w:val="0"/>
          <w:marBottom w:val="0"/>
          <w:divBdr>
            <w:top w:val="none" w:sz="0" w:space="0" w:color="auto"/>
            <w:left w:val="none" w:sz="0" w:space="0" w:color="auto"/>
            <w:bottom w:val="none" w:sz="0" w:space="0" w:color="auto"/>
            <w:right w:val="none" w:sz="0" w:space="0" w:color="auto"/>
          </w:divBdr>
        </w:div>
        <w:div w:id="1598907409">
          <w:marLeft w:val="640"/>
          <w:marRight w:val="0"/>
          <w:marTop w:val="0"/>
          <w:marBottom w:val="0"/>
          <w:divBdr>
            <w:top w:val="none" w:sz="0" w:space="0" w:color="auto"/>
            <w:left w:val="none" w:sz="0" w:space="0" w:color="auto"/>
            <w:bottom w:val="none" w:sz="0" w:space="0" w:color="auto"/>
            <w:right w:val="none" w:sz="0" w:space="0" w:color="auto"/>
          </w:divBdr>
        </w:div>
        <w:div w:id="319768676">
          <w:marLeft w:val="640"/>
          <w:marRight w:val="0"/>
          <w:marTop w:val="0"/>
          <w:marBottom w:val="0"/>
          <w:divBdr>
            <w:top w:val="none" w:sz="0" w:space="0" w:color="auto"/>
            <w:left w:val="none" w:sz="0" w:space="0" w:color="auto"/>
            <w:bottom w:val="none" w:sz="0" w:space="0" w:color="auto"/>
            <w:right w:val="none" w:sz="0" w:space="0" w:color="auto"/>
          </w:divBdr>
        </w:div>
        <w:div w:id="1183400954">
          <w:marLeft w:val="640"/>
          <w:marRight w:val="0"/>
          <w:marTop w:val="0"/>
          <w:marBottom w:val="0"/>
          <w:divBdr>
            <w:top w:val="none" w:sz="0" w:space="0" w:color="auto"/>
            <w:left w:val="none" w:sz="0" w:space="0" w:color="auto"/>
            <w:bottom w:val="none" w:sz="0" w:space="0" w:color="auto"/>
            <w:right w:val="none" w:sz="0" w:space="0" w:color="auto"/>
          </w:divBdr>
        </w:div>
        <w:div w:id="1525435676">
          <w:marLeft w:val="640"/>
          <w:marRight w:val="0"/>
          <w:marTop w:val="0"/>
          <w:marBottom w:val="0"/>
          <w:divBdr>
            <w:top w:val="none" w:sz="0" w:space="0" w:color="auto"/>
            <w:left w:val="none" w:sz="0" w:space="0" w:color="auto"/>
            <w:bottom w:val="none" w:sz="0" w:space="0" w:color="auto"/>
            <w:right w:val="none" w:sz="0" w:space="0" w:color="auto"/>
          </w:divBdr>
        </w:div>
        <w:div w:id="1711108781">
          <w:marLeft w:val="640"/>
          <w:marRight w:val="0"/>
          <w:marTop w:val="0"/>
          <w:marBottom w:val="0"/>
          <w:divBdr>
            <w:top w:val="none" w:sz="0" w:space="0" w:color="auto"/>
            <w:left w:val="none" w:sz="0" w:space="0" w:color="auto"/>
            <w:bottom w:val="none" w:sz="0" w:space="0" w:color="auto"/>
            <w:right w:val="none" w:sz="0" w:space="0" w:color="auto"/>
          </w:divBdr>
        </w:div>
        <w:div w:id="783184863">
          <w:marLeft w:val="640"/>
          <w:marRight w:val="0"/>
          <w:marTop w:val="0"/>
          <w:marBottom w:val="0"/>
          <w:divBdr>
            <w:top w:val="none" w:sz="0" w:space="0" w:color="auto"/>
            <w:left w:val="none" w:sz="0" w:space="0" w:color="auto"/>
            <w:bottom w:val="none" w:sz="0" w:space="0" w:color="auto"/>
            <w:right w:val="none" w:sz="0" w:space="0" w:color="auto"/>
          </w:divBdr>
        </w:div>
        <w:div w:id="412242237">
          <w:marLeft w:val="640"/>
          <w:marRight w:val="0"/>
          <w:marTop w:val="0"/>
          <w:marBottom w:val="0"/>
          <w:divBdr>
            <w:top w:val="none" w:sz="0" w:space="0" w:color="auto"/>
            <w:left w:val="none" w:sz="0" w:space="0" w:color="auto"/>
            <w:bottom w:val="none" w:sz="0" w:space="0" w:color="auto"/>
            <w:right w:val="none" w:sz="0" w:space="0" w:color="auto"/>
          </w:divBdr>
        </w:div>
        <w:div w:id="720862724">
          <w:marLeft w:val="640"/>
          <w:marRight w:val="0"/>
          <w:marTop w:val="0"/>
          <w:marBottom w:val="0"/>
          <w:divBdr>
            <w:top w:val="none" w:sz="0" w:space="0" w:color="auto"/>
            <w:left w:val="none" w:sz="0" w:space="0" w:color="auto"/>
            <w:bottom w:val="none" w:sz="0" w:space="0" w:color="auto"/>
            <w:right w:val="none" w:sz="0" w:space="0" w:color="auto"/>
          </w:divBdr>
        </w:div>
        <w:div w:id="157381904">
          <w:marLeft w:val="640"/>
          <w:marRight w:val="0"/>
          <w:marTop w:val="0"/>
          <w:marBottom w:val="0"/>
          <w:divBdr>
            <w:top w:val="none" w:sz="0" w:space="0" w:color="auto"/>
            <w:left w:val="none" w:sz="0" w:space="0" w:color="auto"/>
            <w:bottom w:val="none" w:sz="0" w:space="0" w:color="auto"/>
            <w:right w:val="none" w:sz="0" w:space="0" w:color="auto"/>
          </w:divBdr>
        </w:div>
        <w:div w:id="2010131740">
          <w:marLeft w:val="640"/>
          <w:marRight w:val="0"/>
          <w:marTop w:val="0"/>
          <w:marBottom w:val="0"/>
          <w:divBdr>
            <w:top w:val="none" w:sz="0" w:space="0" w:color="auto"/>
            <w:left w:val="none" w:sz="0" w:space="0" w:color="auto"/>
            <w:bottom w:val="none" w:sz="0" w:space="0" w:color="auto"/>
            <w:right w:val="none" w:sz="0" w:space="0" w:color="auto"/>
          </w:divBdr>
        </w:div>
        <w:div w:id="1490250491">
          <w:marLeft w:val="640"/>
          <w:marRight w:val="0"/>
          <w:marTop w:val="0"/>
          <w:marBottom w:val="0"/>
          <w:divBdr>
            <w:top w:val="none" w:sz="0" w:space="0" w:color="auto"/>
            <w:left w:val="none" w:sz="0" w:space="0" w:color="auto"/>
            <w:bottom w:val="none" w:sz="0" w:space="0" w:color="auto"/>
            <w:right w:val="none" w:sz="0" w:space="0" w:color="auto"/>
          </w:divBdr>
        </w:div>
        <w:div w:id="1987320097">
          <w:marLeft w:val="640"/>
          <w:marRight w:val="0"/>
          <w:marTop w:val="0"/>
          <w:marBottom w:val="0"/>
          <w:divBdr>
            <w:top w:val="none" w:sz="0" w:space="0" w:color="auto"/>
            <w:left w:val="none" w:sz="0" w:space="0" w:color="auto"/>
            <w:bottom w:val="none" w:sz="0" w:space="0" w:color="auto"/>
            <w:right w:val="none" w:sz="0" w:space="0" w:color="auto"/>
          </w:divBdr>
        </w:div>
        <w:div w:id="1875385768">
          <w:marLeft w:val="640"/>
          <w:marRight w:val="0"/>
          <w:marTop w:val="0"/>
          <w:marBottom w:val="0"/>
          <w:divBdr>
            <w:top w:val="none" w:sz="0" w:space="0" w:color="auto"/>
            <w:left w:val="none" w:sz="0" w:space="0" w:color="auto"/>
            <w:bottom w:val="none" w:sz="0" w:space="0" w:color="auto"/>
            <w:right w:val="none" w:sz="0" w:space="0" w:color="auto"/>
          </w:divBdr>
        </w:div>
        <w:div w:id="833108951">
          <w:marLeft w:val="640"/>
          <w:marRight w:val="0"/>
          <w:marTop w:val="0"/>
          <w:marBottom w:val="0"/>
          <w:divBdr>
            <w:top w:val="none" w:sz="0" w:space="0" w:color="auto"/>
            <w:left w:val="none" w:sz="0" w:space="0" w:color="auto"/>
            <w:bottom w:val="none" w:sz="0" w:space="0" w:color="auto"/>
            <w:right w:val="none" w:sz="0" w:space="0" w:color="auto"/>
          </w:divBdr>
        </w:div>
        <w:div w:id="325061520">
          <w:marLeft w:val="640"/>
          <w:marRight w:val="0"/>
          <w:marTop w:val="0"/>
          <w:marBottom w:val="0"/>
          <w:divBdr>
            <w:top w:val="none" w:sz="0" w:space="0" w:color="auto"/>
            <w:left w:val="none" w:sz="0" w:space="0" w:color="auto"/>
            <w:bottom w:val="none" w:sz="0" w:space="0" w:color="auto"/>
            <w:right w:val="none" w:sz="0" w:space="0" w:color="auto"/>
          </w:divBdr>
        </w:div>
        <w:div w:id="1937710536">
          <w:marLeft w:val="640"/>
          <w:marRight w:val="0"/>
          <w:marTop w:val="0"/>
          <w:marBottom w:val="0"/>
          <w:divBdr>
            <w:top w:val="none" w:sz="0" w:space="0" w:color="auto"/>
            <w:left w:val="none" w:sz="0" w:space="0" w:color="auto"/>
            <w:bottom w:val="none" w:sz="0" w:space="0" w:color="auto"/>
            <w:right w:val="none" w:sz="0" w:space="0" w:color="auto"/>
          </w:divBdr>
        </w:div>
        <w:div w:id="1193418437">
          <w:marLeft w:val="640"/>
          <w:marRight w:val="0"/>
          <w:marTop w:val="0"/>
          <w:marBottom w:val="0"/>
          <w:divBdr>
            <w:top w:val="none" w:sz="0" w:space="0" w:color="auto"/>
            <w:left w:val="none" w:sz="0" w:space="0" w:color="auto"/>
            <w:bottom w:val="none" w:sz="0" w:space="0" w:color="auto"/>
            <w:right w:val="none" w:sz="0" w:space="0" w:color="auto"/>
          </w:divBdr>
        </w:div>
        <w:div w:id="1735393344">
          <w:marLeft w:val="640"/>
          <w:marRight w:val="0"/>
          <w:marTop w:val="0"/>
          <w:marBottom w:val="0"/>
          <w:divBdr>
            <w:top w:val="none" w:sz="0" w:space="0" w:color="auto"/>
            <w:left w:val="none" w:sz="0" w:space="0" w:color="auto"/>
            <w:bottom w:val="none" w:sz="0" w:space="0" w:color="auto"/>
            <w:right w:val="none" w:sz="0" w:space="0" w:color="auto"/>
          </w:divBdr>
        </w:div>
        <w:div w:id="739595213">
          <w:marLeft w:val="640"/>
          <w:marRight w:val="0"/>
          <w:marTop w:val="0"/>
          <w:marBottom w:val="0"/>
          <w:divBdr>
            <w:top w:val="none" w:sz="0" w:space="0" w:color="auto"/>
            <w:left w:val="none" w:sz="0" w:space="0" w:color="auto"/>
            <w:bottom w:val="none" w:sz="0" w:space="0" w:color="auto"/>
            <w:right w:val="none" w:sz="0" w:space="0" w:color="auto"/>
          </w:divBdr>
        </w:div>
        <w:div w:id="812718720">
          <w:marLeft w:val="640"/>
          <w:marRight w:val="0"/>
          <w:marTop w:val="0"/>
          <w:marBottom w:val="0"/>
          <w:divBdr>
            <w:top w:val="none" w:sz="0" w:space="0" w:color="auto"/>
            <w:left w:val="none" w:sz="0" w:space="0" w:color="auto"/>
            <w:bottom w:val="none" w:sz="0" w:space="0" w:color="auto"/>
            <w:right w:val="none" w:sz="0" w:space="0" w:color="auto"/>
          </w:divBdr>
        </w:div>
        <w:div w:id="98842536">
          <w:marLeft w:val="640"/>
          <w:marRight w:val="0"/>
          <w:marTop w:val="0"/>
          <w:marBottom w:val="0"/>
          <w:divBdr>
            <w:top w:val="none" w:sz="0" w:space="0" w:color="auto"/>
            <w:left w:val="none" w:sz="0" w:space="0" w:color="auto"/>
            <w:bottom w:val="none" w:sz="0" w:space="0" w:color="auto"/>
            <w:right w:val="none" w:sz="0" w:space="0" w:color="auto"/>
          </w:divBdr>
        </w:div>
        <w:div w:id="1441530029">
          <w:marLeft w:val="640"/>
          <w:marRight w:val="0"/>
          <w:marTop w:val="0"/>
          <w:marBottom w:val="0"/>
          <w:divBdr>
            <w:top w:val="none" w:sz="0" w:space="0" w:color="auto"/>
            <w:left w:val="none" w:sz="0" w:space="0" w:color="auto"/>
            <w:bottom w:val="none" w:sz="0" w:space="0" w:color="auto"/>
            <w:right w:val="none" w:sz="0" w:space="0" w:color="auto"/>
          </w:divBdr>
        </w:div>
        <w:div w:id="1148859730">
          <w:marLeft w:val="640"/>
          <w:marRight w:val="0"/>
          <w:marTop w:val="0"/>
          <w:marBottom w:val="0"/>
          <w:divBdr>
            <w:top w:val="none" w:sz="0" w:space="0" w:color="auto"/>
            <w:left w:val="none" w:sz="0" w:space="0" w:color="auto"/>
            <w:bottom w:val="none" w:sz="0" w:space="0" w:color="auto"/>
            <w:right w:val="none" w:sz="0" w:space="0" w:color="auto"/>
          </w:divBdr>
        </w:div>
        <w:div w:id="850795731">
          <w:marLeft w:val="640"/>
          <w:marRight w:val="0"/>
          <w:marTop w:val="0"/>
          <w:marBottom w:val="0"/>
          <w:divBdr>
            <w:top w:val="none" w:sz="0" w:space="0" w:color="auto"/>
            <w:left w:val="none" w:sz="0" w:space="0" w:color="auto"/>
            <w:bottom w:val="none" w:sz="0" w:space="0" w:color="auto"/>
            <w:right w:val="none" w:sz="0" w:space="0" w:color="auto"/>
          </w:divBdr>
        </w:div>
        <w:div w:id="453524423">
          <w:marLeft w:val="640"/>
          <w:marRight w:val="0"/>
          <w:marTop w:val="0"/>
          <w:marBottom w:val="0"/>
          <w:divBdr>
            <w:top w:val="none" w:sz="0" w:space="0" w:color="auto"/>
            <w:left w:val="none" w:sz="0" w:space="0" w:color="auto"/>
            <w:bottom w:val="none" w:sz="0" w:space="0" w:color="auto"/>
            <w:right w:val="none" w:sz="0" w:space="0" w:color="auto"/>
          </w:divBdr>
        </w:div>
        <w:div w:id="1176651434">
          <w:marLeft w:val="640"/>
          <w:marRight w:val="0"/>
          <w:marTop w:val="0"/>
          <w:marBottom w:val="0"/>
          <w:divBdr>
            <w:top w:val="none" w:sz="0" w:space="0" w:color="auto"/>
            <w:left w:val="none" w:sz="0" w:space="0" w:color="auto"/>
            <w:bottom w:val="none" w:sz="0" w:space="0" w:color="auto"/>
            <w:right w:val="none" w:sz="0" w:space="0" w:color="auto"/>
          </w:divBdr>
        </w:div>
        <w:div w:id="553010818">
          <w:marLeft w:val="640"/>
          <w:marRight w:val="0"/>
          <w:marTop w:val="0"/>
          <w:marBottom w:val="0"/>
          <w:divBdr>
            <w:top w:val="none" w:sz="0" w:space="0" w:color="auto"/>
            <w:left w:val="none" w:sz="0" w:space="0" w:color="auto"/>
            <w:bottom w:val="none" w:sz="0" w:space="0" w:color="auto"/>
            <w:right w:val="none" w:sz="0" w:space="0" w:color="auto"/>
          </w:divBdr>
        </w:div>
        <w:div w:id="91708993">
          <w:marLeft w:val="640"/>
          <w:marRight w:val="0"/>
          <w:marTop w:val="0"/>
          <w:marBottom w:val="0"/>
          <w:divBdr>
            <w:top w:val="none" w:sz="0" w:space="0" w:color="auto"/>
            <w:left w:val="none" w:sz="0" w:space="0" w:color="auto"/>
            <w:bottom w:val="none" w:sz="0" w:space="0" w:color="auto"/>
            <w:right w:val="none" w:sz="0" w:space="0" w:color="auto"/>
          </w:divBdr>
        </w:div>
        <w:div w:id="1522664364">
          <w:marLeft w:val="640"/>
          <w:marRight w:val="0"/>
          <w:marTop w:val="0"/>
          <w:marBottom w:val="0"/>
          <w:divBdr>
            <w:top w:val="none" w:sz="0" w:space="0" w:color="auto"/>
            <w:left w:val="none" w:sz="0" w:space="0" w:color="auto"/>
            <w:bottom w:val="none" w:sz="0" w:space="0" w:color="auto"/>
            <w:right w:val="none" w:sz="0" w:space="0" w:color="auto"/>
          </w:divBdr>
        </w:div>
        <w:div w:id="617954622">
          <w:marLeft w:val="640"/>
          <w:marRight w:val="0"/>
          <w:marTop w:val="0"/>
          <w:marBottom w:val="0"/>
          <w:divBdr>
            <w:top w:val="none" w:sz="0" w:space="0" w:color="auto"/>
            <w:left w:val="none" w:sz="0" w:space="0" w:color="auto"/>
            <w:bottom w:val="none" w:sz="0" w:space="0" w:color="auto"/>
            <w:right w:val="none" w:sz="0" w:space="0" w:color="auto"/>
          </w:divBdr>
        </w:div>
        <w:div w:id="1281910792">
          <w:marLeft w:val="640"/>
          <w:marRight w:val="0"/>
          <w:marTop w:val="0"/>
          <w:marBottom w:val="0"/>
          <w:divBdr>
            <w:top w:val="none" w:sz="0" w:space="0" w:color="auto"/>
            <w:left w:val="none" w:sz="0" w:space="0" w:color="auto"/>
            <w:bottom w:val="none" w:sz="0" w:space="0" w:color="auto"/>
            <w:right w:val="none" w:sz="0" w:space="0" w:color="auto"/>
          </w:divBdr>
        </w:div>
        <w:div w:id="2056344252">
          <w:marLeft w:val="640"/>
          <w:marRight w:val="0"/>
          <w:marTop w:val="0"/>
          <w:marBottom w:val="0"/>
          <w:divBdr>
            <w:top w:val="none" w:sz="0" w:space="0" w:color="auto"/>
            <w:left w:val="none" w:sz="0" w:space="0" w:color="auto"/>
            <w:bottom w:val="none" w:sz="0" w:space="0" w:color="auto"/>
            <w:right w:val="none" w:sz="0" w:space="0" w:color="auto"/>
          </w:divBdr>
        </w:div>
        <w:div w:id="48846869">
          <w:marLeft w:val="640"/>
          <w:marRight w:val="0"/>
          <w:marTop w:val="0"/>
          <w:marBottom w:val="0"/>
          <w:divBdr>
            <w:top w:val="none" w:sz="0" w:space="0" w:color="auto"/>
            <w:left w:val="none" w:sz="0" w:space="0" w:color="auto"/>
            <w:bottom w:val="none" w:sz="0" w:space="0" w:color="auto"/>
            <w:right w:val="none" w:sz="0" w:space="0" w:color="auto"/>
          </w:divBdr>
        </w:div>
        <w:div w:id="212735733">
          <w:marLeft w:val="640"/>
          <w:marRight w:val="0"/>
          <w:marTop w:val="0"/>
          <w:marBottom w:val="0"/>
          <w:divBdr>
            <w:top w:val="none" w:sz="0" w:space="0" w:color="auto"/>
            <w:left w:val="none" w:sz="0" w:space="0" w:color="auto"/>
            <w:bottom w:val="none" w:sz="0" w:space="0" w:color="auto"/>
            <w:right w:val="none" w:sz="0" w:space="0" w:color="auto"/>
          </w:divBdr>
        </w:div>
        <w:div w:id="630794925">
          <w:marLeft w:val="640"/>
          <w:marRight w:val="0"/>
          <w:marTop w:val="0"/>
          <w:marBottom w:val="0"/>
          <w:divBdr>
            <w:top w:val="none" w:sz="0" w:space="0" w:color="auto"/>
            <w:left w:val="none" w:sz="0" w:space="0" w:color="auto"/>
            <w:bottom w:val="none" w:sz="0" w:space="0" w:color="auto"/>
            <w:right w:val="none" w:sz="0" w:space="0" w:color="auto"/>
          </w:divBdr>
        </w:div>
        <w:div w:id="745954405">
          <w:marLeft w:val="640"/>
          <w:marRight w:val="0"/>
          <w:marTop w:val="0"/>
          <w:marBottom w:val="0"/>
          <w:divBdr>
            <w:top w:val="none" w:sz="0" w:space="0" w:color="auto"/>
            <w:left w:val="none" w:sz="0" w:space="0" w:color="auto"/>
            <w:bottom w:val="none" w:sz="0" w:space="0" w:color="auto"/>
            <w:right w:val="none" w:sz="0" w:space="0" w:color="auto"/>
          </w:divBdr>
        </w:div>
        <w:div w:id="1821464565">
          <w:marLeft w:val="640"/>
          <w:marRight w:val="0"/>
          <w:marTop w:val="0"/>
          <w:marBottom w:val="0"/>
          <w:divBdr>
            <w:top w:val="none" w:sz="0" w:space="0" w:color="auto"/>
            <w:left w:val="none" w:sz="0" w:space="0" w:color="auto"/>
            <w:bottom w:val="none" w:sz="0" w:space="0" w:color="auto"/>
            <w:right w:val="none" w:sz="0" w:space="0" w:color="auto"/>
          </w:divBdr>
        </w:div>
        <w:div w:id="21051339">
          <w:marLeft w:val="640"/>
          <w:marRight w:val="0"/>
          <w:marTop w:val="0"/>
          <w:marBottom w:val="0"/>
          <w:divBdr>
            <w:top w:val="none" w:sz="0" w:space="0" w:color="auto"/>
            <w:left w:val="none" w:sz="0" w:space="0" w:color="auto"/>
            <w:bottom w:val="none" w:sz="0" w:space="0" w:color="auto"/>
            <w:right w:val="none" w:sz="0" w:space="0" w:color="auto"/>
          </w:divBdr>
        </w:div>
        <w:div w:id="566233641">
          <w:marLeft w:val="640"/>
          <w:marRight w:val="0"/>
          <w:marTop w:val="0"/>
          <w:marBottom w:val="0"/>
          <w:divBdr>
            <w:top w:val="none" w:sz="0" w:space="0" w:color="auto"/>
            <w:left w:val="none" w:sz="0" w:space="0" w:color="auto"/>
            <w:bottom w:val="none" w:sz="0" w:space="0" w:color="auto"/>
            <w:right w:val="none" w:sz="0" w:space="0" w:color="auto"/>
          </w:divBdr>
        </w:div>
        <w:div w:id="1722359149">
          <w:marLeft w:val="640"/>
          <w:marRight w:val="0"/>
          <w:marTop w:val="0"/>
          <w:marBottom w:val="0"/>
          <w:divBdr>
            <w:top w:val="none" w:sz="0" w:space="0" w:color="auto"/>
            <w:left w:val="none" w:sz="0" w:space="0" w:color="auto"/>
            <w:bottom w:val="none" w:sz="0" w:space="0" w:color="auto"/>
            <w:right w:val="none" w:sz="0" w:space="0" w:color="auto"/>
          </w:divBdr>
        </w:div>
        <w:div w:id="649216575">
          <w:marLeft w:val="640"/>
          <w:marRight w:val="0"/>
          <w:marTop w:val="0"/>
          <w:marBottom w:val="0"/>
          <w:divBdr>
            <w:top w:val="none" w:sz="0" w:space="0" w:color="auto"/>
            <w:left w:val="none" w:sz="0" w:space="0" w:color="auto"/>
            <w:bottom w:val="none" w:sz="0" w:space="0" w:color="auto"/>
            <w:right w:val="none" w:sz="0" w:space="0" w:color="auto"/>
          </w:divBdr>
        </w:div>
        <w:div w:id="273027491">
          <w:marLeft w:val="640"/>
          <w:marRight w:val="0"/>
          <w:marTop w:val="0"/>
          <w:marBottom w:val="0"/>
          <w:divBdr>
            <w:top w:val="none" w:sz="0" w:space="0" w:color="auto"/>
            <w:left w:val="none" w:sz="0" w:space="0" w:color="auto"/>
            <w:bottom w:val="none" w:sz="0" w:space="0" w:color="auto"/>
            <w:right w:val="none" w:sz="0" w:space="0" w:color="auto"/>
          </w:divBdr>
        </w:div>
        <w:div w:id="1195121459">
          <w:marLeft w:val="640"/>
          <w:marRight w:val="0"/>
          <w:marTop w:val="0"/>
          <w:marBottom w:val="0"/>
          <w:divBdr>
            <w:top w:val="none" w:sz="0" w:space="0" w:color="auto"/>
            <w:left w:val="none" w:sz="0" w:space="0" w:color="auto"/>
            <w:bottom w:val="none" w:sz="0" w:space="0" w:color="auto"/>
            <w:right w:val="none" w:sz="0" w:space="0" w:color="auto"/>
          </w:divBdr>
        </w:div>
        <w:div w:id="1456409845">
          <w:marLeft w:val="640"/>
          <w:marRight w:val="0"/>
          <w:marTop w:val="0"/>
          <w:marBottom w:val="0"/>
          <w:divBdr>
            <w:top w:val="none" w:sz="0" w:space="0" w:color="auto"/>
            <w:left w:val="none" w:sz="0" w:space="0" w:color="auto"/>
            <w:bottom w:val="none" w:sz="0" w:space="0" w:color="auto"/>
            <w:right w:val="none" w:sz="0" w:space="0" w:color="auto"/>
          </w:divBdr>
        </w:div>
        <w:div w:id="1440494578">
          <w:marLeft w:val="640"/>
          <w:marRight w:val="0"/>
          <w:marTop w:val="0"/>
          <w:marBottom w:val="0"/>
          <w:divBdr>
            <w:top w:val="none" w:sz="0" w:space="0" w:color="auto"/>
            <w:left w:val="none" w:sz="0" w:space="0" w:color="auto"/>
            <w:bottom w:val="none" w:sz="0" w:space="0" w:color="auto"/>
            <w:right w:val="none" w:sz="0" w:space="0" w:color="auto"/>
          </w:divBdr>
        </w:div>
        <w:div w:id="1143740383">
          <w:marLeft w:val="640"/>
          <w:marRight w:val="0"/>
          <w:marTop w:val="0"/>
          <w:marBottom w:val="0"/>
          <w:divBdr>
            <w:top w:val="none" w:sz="0" w:space="0" w:color="auto"/>
            <w:left w:val="none" w:sz="0" w:space="0" w:color="auto"/>
            <w:bottom w:val="none" w:sz="0" w:space="0" w:color="auto"/>
            <w:right w:val="none" w:sz="0" w:space="0" w:color="auto"/>
          </w:divBdr>
        </w:div>
        <w:div w:id="1274707638">
          <w:marLeft w:val="640"/>
          <w:marRight w:val="0"/>
          <w:marTop w:val="0"/>
          <w:marBottom w:val="0"/>
          <w:divBdr>
            <w:top w:val="none" w:sz="0" w:space="0" w:color="auto"/>
            <w:left w:val="none" w:sz="0" w:space="0" w:color="auto"/>
            <w:bottom w:val="none" w:sz="0" w:space="0" w:color="auto"/>
            <w:right w:val="none" w:sz="0" w:space="0" w:color="auto"/>
          </w:divBdr>
        </w:div>
        <w:div w:id="1887713875">
          <w:marLeft w:val="640"/>
          <w:marRight w:val="0"/>
          <w:marTop w:val="0"/>
          <w:marBottom w:val="0"/>
          <w:divBdr>
            <w:top w:val="none" w:sz="0" w:space="0" w:color="auto"/>
            <w:left w:val="none" w:sz="0" w:space="0" w:color="auto"/>
            <w:bottom w:val="none" w:sz="0" w:space="0" w:color="auto"/>
            <w:right w:val="none" w:sz="0" w:space="0" w:color="auto"/>
          </w:divBdr>
        </w:div>
        <w:div w:id="1787388407">
          <w:marLeft w:val="640"/>
          <w:marRight w:val="0"/>
          <w:marTop w:val="0"/>
          <w:marBottom w:val="0"/>
          <w:divBdr>
            <w:top w:val="none" w:sz="0" w:space="0" w:color="auto"/>
            <w:left w:val="none" w:sz="0" w:space="0" w:color="auto"/>
            <w:bottom w:val="none" w:sz="0" w:space="0" w:color="auto"/>
            <w:right w:val="none" w:sz="0" w:space="0" w:color="auto"/>
          </w:divBdr>
        </w:div>
        <w:div w:id="994181327">
          <w:marLeft w:val="640"/>
          <w:marRight w:val="0"/>
          <w:marTop w:val="0"/>
          <w:marBottom w:val="0"/>
          <w:divBdr>
            <w:top w:val="none" w:sz="0" w:space="0" w:color="auto"/>
            <w:left w:val="none" w:sz="0" w:space="0" w:color="auto"/>
            <w:bottom w:val="none" w:sz="0" w:space="0" w:color="auto"/>
            <w:right w:val="none" w:sz="0" w:space="0" w:color="auto"/>
          </w:divBdr>
        </w:div>
        <w:div w:id="1393968197">
          <w:marLeft w:val="640"/>
          <w:marRight w:val="0"/>
          <w:marTop w:val="0"/>
          <w:marBottom w:val="0"/>
          <w:divBdr>
            <w:top w:val="none" w:sz="0" w:space="0" w:color="auto"/>
            <w:left w:val="none" w:sz="0" w:space="0" w:color="auto"/>
            <w:bottom w:val="none" w:sz="0" w:space="0" w:color="auto"/>
            <w:right w:val="none" w:sz="0" w:space="0" w:color="auto"/>
          </w:divBdr>
        </w:div>
        <w:div w:id="1529948057">
          <w:marLeft w:val="640"/>
          <w:marRight w:val="0"/>
          <w:marTop w:val="0"/>
          <w:marBottom w:val="0"/>
          <w:divBdr>
            <w:top w:val="none" w:sz="0" w:space="0" w:color="auto"/>
            <w:left w:val="none" w:sz="0" w:space="0" w:color="auto"/>
            <w:bottom w:val="none" w:sz="0" w:space="0" w:color="auto"/>
            <w:right w:val="none" w:sz="0" w:space="0" w:color="auto"/>
          </w:divBdr>
        </w:div>
        <w:div w:id="2041666429">
          <w:marLeft w:val="640"/>
          <w:marRight w:val="0"/>
          <w:marTop w:val="0"/>
          <w:marBottom w:val="0"/>
          <w:divBdr>
            <w:top w:val="none" w:sz="0" w:space="0" w:color="auto"/>
            <w:left w:val="none" w:sz="0" w:space="0" w:color="auto"/>
            <w:bottom w:val="none" w:sz="0" w:space="0" w:color="auto"/>
            <w:right w:val="none" w:sz="0" w:space="0" w:color="auto"/>
          </w:divBdr>
        </w:div>
        <w:div w:id="1587957191">
          <w:marLeft w:val="640"/>
          <w:marRight w:val="0"/>
          <w:marTop w:val="0"/>
          <w:marBottom w:val="0"/>
          <w:divBdr>
            <w:top w:val="none" w:sz="0" w:space="0" w:color="auto"/>
            <w:left w:val="none" w:sz="0" w:space="0" w:color="auto"/>
            <w:bottom w:val="none" w:sz="0" w:space="0" w:color="auto"/>
            <w:right w:val="none" w:sz="0" w:space="0" w:color="auto"/>
          </w:divBdr>
        </w:div>
        <w:div w:id="664865747">
          <w:marLeft w:val="640"/>
          <w:marRight w:val="0"/>
          <w:marTop w:val="0"/>
          <w:marBottom w:val="0"/>
          <w:divBdr>
            <w:top w:val="none" w:sz="0" w:space="0" w:color="auto"/>
            <w:left w:val="none" w:sz="0" w:space="0" w:color="auto"/>
            <w:bottom w:val="none" w:sz="0" w:space="0" w:color="auto"/>
            <w:right w:val="none" w:sz="0" w:space="0" w:color="auto"/>
          </w:divBdr>
        </w:div>
        <w:div w:id="635183491">
          <w:marLeft w:val="640"/>
          <w:marRight w:val="0"/>
          <w:marTop w:val="0"/>
          <w:marBottom w:val="0"/>
          <w:divBdr>
            <w:top w:val="none" w:sz="0" w:space="0" w:color="auto"/>
            <w:left w:val="none" w:sz="0" w:space="0" w:color="auto"/>
            <w:bottom w:val="none" w:sz="0" w:space="0" w:color="auto"/>
            <w:right w:val="none" w:sz="0" w:space="0" w:color="auto"/>
          </w:divBdr>
        </w:div>
        <w:div w:id="1651518780">
          <w:marLeft w:val="640"/>
          <w:marRight w:val="0"/>
          <w:marTop w:val="0"/>
          <w:marBottom w:val="0"/>
          <w:divBdr>
            <w:top w:val="none" w:sz="0" w:space="0" w:color="auto"/>
            <w:left w:val="none" w:sz="0" w:space="0" w:color="auto"/>
            <w:bottom w:val="none" w:sz="0" w:space="0" w:color="auto"/>
            <w:right w:val="none" w:sz="0" w:space="0" w:color="auto"/>
          </w:divBdr>
        </w:div>
        <w:div w:id="304894394">
          <w:marLeft w:val="640"/>
          <w:marRight w:val="0"/>
          <w:marTop w:val="0"/>
          <w:marBottom w:val="0"/>
          <w:divBdr>
            <w:top w:val="none" w:sz="0" w:space="0" w:color="auto"/>
            <w:left w:val="none" w:sz="0" w:space="0" w:color="auto"/>
            <w:bottom w:val="none" w:sz="0" w:space="0" w:color="auto"/>
            <w:right w:val="none" w:sz="0" w:space="0" w:color="auto"/>
          </w:divBdr>
        </w:div>
        <w:div w:id="1993637559">
          <w:marLeft w:val="640"/>
          <w:marRight w:val="0"/>
          <w:marTop w:val="0"/>
          <w:marBottom w:val="0"/>
          <w:divBdr>
            <w:top w:val="none" w:sz="0" w:space="0" w:color="auto"/>
            <w:left w:val="none" w:sz="0" w:space="0" w:color="auto"/>
            <w:bottom w:val="none" w:sz="0" w:space="0" w:color="auto"/>
            <w:right w:val="none" w:sz="0" w:space="0" w:color="auto"/>
          </w:divBdr>
        </w:div>
        <w:div w:id="714625990">
          <w:marLeft w:val="640"/>
          <w:marRight w:val="0"/>
          <w:marTop w:val="0"/>
          <w:marBottom w:val="0"/>
          <w:divBdr>
            <w:top w:val="none" w:sz="0" w:space="0" w:color="auto"/>
            <w:left w:val="none" w:sz="0" w:space="0" w:color="auto"/>
            <w:bottom w:val="none" w:sz="0" w:space="0" w:color="auto"/>
            <w:right w:val="none" w:sz="0" w:space="0" w:color="auto"/>
          </w:divBdr>
        </w:div>
        <w:div w:id="2094424785">
          <w:marLeft w:val="640"/>
          <w:marRight w:val="0"/>
          <w:marTop w:val="0"/>
          <w:marBottom w:val="0"/>
          <w:divBdr>
            <w:top w:val="none" w:sz="0" w:space="0" w:color="auto"/>
            <w:left w:val="none" w:sz="0" w:space="0" w:color="auto"/>
            <w:bottom w:val="none" w:sz="0" w:space="0" w:color="auto"/>
            <w:right w:val="none" w:sz="0" w:space="0" w:color="auto"/>
          </w:divBdr>
        </w:div>
        <w:div w:id="1122074385">
          <w:marLeft w:val="640"/>
          <w:marRight w:val="0"/>
          <w:marTop w:val="0"/>
          <w:marBottom w:val="0"/>
          <w:divBdr>
            <w:top w:val="none" w:sz="0" w:space="0" w:color="auto"/>
            <w:left w:val="none" w:sz="0" w:space="0" w:color="auto"/>
            <w:bottom w:val="none" w:sz="0" w:space="0" w:color="auto"/>
            <w:right w:val="none" w:sz="0" w:space="0" w:color="auto"/>
          </w:divBdr>
        </w:div>
        <w:div w:id="1357804306">
          <w:marLeft w:val="640"/>
          <w:marRight w:val="0"/>
          <w:marTop w:val="0"/>
          <w:marBottom w:val="0"/>
          <w:divBdr>
            <w:top w:val="none" w:sz="0" w:space="0" w:color="auto"/>
            <w:left w:val="none" w:sz="0" w:space="0" w:color="auto"/>
            <w:bottom w:val="none" w:sz="0" w:space="0" w:color="auto"/>
            <w:right w:val="none" w:sz="0" w:space="0" w:color="auto"/>
          </w:divBdr>
        </w:div>
        <w:div w:id="769663493">
          <w:marLeft w:val="640"/>
          <w:marRight w:val="0"/>
          <w:marTop w:val="0"/>
          <w:marBottom w:val="0"/>
          <w:divBdr>
            <w:top w:val="none" w:sz="0" w:space="0" w:color="auto"/>
            <w:left w:val="none" w:sz="0" w:space="0" w:color="auto"/>
            <w:bottom w:val="none" w:sz="0" w:space="0" w:color="auto"/>
            <w:right w:val="none" w:sz="0" w:space="0" w:color="auto"/>
          </w:divBdr>
        </w:div>
        <w:div w:id="338510748">
          <w:marLeft w:val="640"/>
          <w:marRight w:val="0"/>
          <w:marTop w:val="0"/>
          <w:marBottom w:val="0"/>
          <w:divBdr>
            <w:top w:val="none" w:sz="0" w:space="0" w:color="auto"/>
            <w:left w:val="none" w:sz="0" w:space="0" w:color="auto"/>
            <w:bottom w:val="none" w:sz="0" w:space="0" w:color="auto"/>
            <w:right w:val="none" w:sz="0" w:space="0" w:color="auto"/>
          </w:divBdr>
        </w:div>
        <w:div w:id="381558835">
          <w:marLeft w:val="640"/>
          <w:marRight w:val="0"/>
          <w:marTop w:val="0"/>
          <w:marBottom w:val="0"/>
          <w:divBdr>
            <w:top w:val="none" w:sz="0" w:space="0" w:color="auto"/>
            <w:left w:val="none" w:sz="0" w:space="0" w:color="auto"/>
            <w:bottom w:val="none" w:sz="0" w:space="0" w:color="auto"/>
            <w:right w:val="none" w:sz="0" w:space="0" w:color="auto"/>
          </w:divBdr>
        </w:div>
        <w:div w:id="793210805">
          <w:marLeft w:val="640"/>
          <w:marRight w:val="0"/>
          <w:marTop w:val="0"/>
          <w:marBottom w:val="0"/>
          <w:divBdr>
            <w:top w:val="none" w:sz="0" w:space="0" w:color="auto"/>
            <w:left w:val="none" w:sz="0" w:space="0" w:color="auto"/>
            <w:bottom w:val="none" w:sz="0" w:space="0" w:color="auto"/>
            <w:right w:val="none" w:sz="0" w:space="0" w:color="auto"/>
          </w:divBdr>
        </w:div>
        <w:div w:id="1924292060">
          <w:marLeft w:val="640"/>
          <w:marRight w:val="0"/>
          <w:marTop w:val="0"/>
          <w:marBottom w:val="0"/>
          <w:divBdr>
            <w:top w:val="none" w:sz="0" w:space="0" w:color="auto"/>
            <w:left w:val="none" w:sz="0" w:space="0" w:color="auto"/>
            <w:bottom w:val="none" w:sz="0" w:space="0" w:color="auto"/>
            <w:right w:val="none" w:sz="0" w:space="0" w:color="auto"/>
          </w:divBdr>
        </w:div>
        <w:div w:id="128671202">
          <w:marLeft w:val="640"/>
          <w:marRight w:val="0"/>
          <w:marTop w:val="0"/>
          <w:marBottom w:val="0"/>
          <w:divBdr>
            <w:top w:val="none" w:sz="0" w:space="0" w:color="auto"/>
            <w:left w:val="none" w:sz="0" w:space="0" w:color="auto"/>
            <w:bottom w:val="none" w:sz="0" w:space="0" w:color="auto"/>
            <w:right w:val="none" w:sz="0" w:space="0" w:color="auto"/>
          </w:divBdr>
        </w:div>
        <w:div w:id="1480926457">
          <w:marLeft w:val="640"/>
          <w:marRight w:val="0"/>
          <w:marTop w:val="0"/>
          <w:marBottom w:val="0"/>
          <w:divBdr>
            <w:top w:val="none" w:sz="0" w:space="0" w:color="auto"/>
            <w:left w:val="none" w:sz="0" w:space="0" w:color="auto"/>
            <w:bottom w:val="none" w:sz="0" w:space="0" w:color="auto"/>
            <w:right w:val="none" w:sz="0" w:space="0" w:color="auto"/>
          </w:divBdr>
        </w:div>
        <w:div w:id="742683022">
          <w:marLeft w:val="640"/>
          <w:marRight w:val="0"/>
          <w:marTop w:val="0"/>
          <w:marBottom w:val="0"/>
          <w:divBdr>
            <w:top w:val="none" w:sz="0" w:space="0" w:color="auto"/>
            <w:left w:val="none" w:sz="0" w:space="0" w:color="auto"/>
            <w:bottom w:val="none" w:sz="0" w:space="0" w:color="auto"/>
            <w:right w:val="none" w:sz="0" w:space="0" w:color="auto"/>
          </w:divBdr>
        </w:div>
        <w:div w:id="868031182">
          <w:marLeft w:val="640"/>
          <w:marRight w:val="0"/>
          <w:marTop w:val="0"/>
          <w:marBottom w:val="0"/>
          <w:divBdr>
            <w:top w:val="none" w:sz="0" w:space="0" w:color="auto"/>
            <w:left w:val="none" w:sz="0" w:space="0" w:color="auto"/>
            <w:bottom w:val="none" w:sz="0" w:space="0" w:color="auto"/>
            <w:right w:val="none" w:sz="0" w:space="0" w:color="auto"/>
          </w:divBdr>
        </w:div>
        <w:div w:id="740560377">
          <w:marLeft w:val="640"/>
          <w:marRight w:val="0"/>
          <w:marTop w:val="0"/>
          <w:marBottom w:val="0"/>
          <w:divBdr>
            <w:top w:val="none" w:sz="0" w:space="0" w:color="auto"/>
            <w:left w:val="none" w:sz="0" w:space="0" w:color="auto"/>
            <w:bottom w:val="none" w:sz="0" w:space="0" w:color="auto"/>
            <w:right w:val="none" w:sz="0" w:space="0" w:color="auto"/>
          </w:divBdr>
        </w:div>
        <w:div w:id="82264086">
          <w:marLeft w:val="640"/>
          <w:marRight w:val="0"/>
          <w:marTop w:val="0"/>
          <w:marBottom w:val="0"/>
          <w:divBdr>
            <w:top w:val="none" w:sz="0" w:space="0" w:color="auto"/>
            <w:left w:val="none" w:sz="0" w:space="0" w:color="auto"/>
            <w:bottom w:val="none" w:sz="0" w:space="0" w:color="auto"/>
            <w:right w:val="none" w:sz="0" w:space="0" w:color="auto"/>
          </w:divBdr>
        </w:div>
        <w:div w:id="1689016067">
          <w:marLeft w:val="640"/>
          <w:marRight w:val="0"/>
          <w:marTop w:val="0"/>
          <w:marBottom w:val="0"/>
          <w:divBdr>
            <w:top w:val="none" w:sz="0" w:space="0" w:color="auto"/>
            <w:left w:val="none" w:sz="0" w:space="0" w:color="auto"/>
            <w:bottom w:val="none" w:sz="0" w:space="0" w:color="auto"/>
            <w:right w:val="none" w:sz="0" w:space="0" w:color="auto"/>
          </w:divBdr>
        </w:div>
        <w:div w:id="493179711">
          <w:marLeft w:val="640"/>
          <w:marRight w:val="0"/>
          <w:marTop w:val="0"/>
          <w:marBottom w:val="0"/>
          <w:divBdr>
            <w:top w:val="none" w:sz="0" w:space="0" w:color="auto"/>
            <w:left w:val="none" w:sz="0" w:space="0" w:color="auto"/>
            <w:bottom w:val="none" w:sz="0" w:space="0" w:color="auto"/>
            <w:right w:val="none" w:sz="0" w:space="0" w:color="auto"/>
          </w:divBdr>
        </w:div>
        <w:div w:id="524057440">
          <w:marLeft w:val="640"/>
          <w:marRight w:val="0"/>
          <w:marTop w:val="0"/>
          <w:marBottom w:val="0"/>
          <w:divBdr>
            <w:top w:val="none" w:sz="0" w:space="0" w:color="auto"/>
            <w:left w:val="none" w:sz="0" w:space="0" w:color="auto"/>
            <w:bottom w:val="none" w:sz="0" w:space="0" w:color="auto"/>
            <w:right w:val="none" w:sz="0" w:space="0" w:color="auto"/>
          </w:divBdr>
        </w:div>
        <w:div w:id="648167463">
          <w:marLeft w:val="640"/>
          <w:marRight w:val="0"/>
          <w:marTop w:val="0"/>
          <w:marBottom w:val="0"/>
          <w:divBdr>
            <w:top w:val="none" w:sz="0" w:space="0" w:color="auto"/>
            <w:left w:val="none" w:sz="0" w:space="0" w:color="auto"/>
            <w:bottom w:val="none" w:sz="0" w:space="0" w:color="auto"/>
            <w:right w:val="none" w:sz="0" w:space="0" w:color="auto"/>
          </w:divBdr>
        </w:div>
        <w:div w:id="773944108">
          <w:marLeft w:val="640"/>
          <w:marRight w:val="0"/>
          <w:marTop w:val="0"/>
          <w:marBottom w:val="0"/>
          <w:divBdr>
            <w:top w:val="none" w:sz="0" w:space="0" w:color="auto"/>
            <w:left w:val="none" w:sz="0" w:space="0" w:color="auto"/>
            <w:bottom w:val="none" w:sz="0" w:space="0" w:color="auto"/>
            <w:right w:val="none" w:sz="0" w:space="0" w:color="auto"/>
          </w:divBdr>
        </w:div>
        <w:div w:id="492526626">
          <w:marLeft w:val="640"/>
          <w:marRight w:val="0"/>
          <w:marTop w:val="0"/>
          <w:marBottom w:val="0"/>
          <w:divBdr>
            <w:top w:val="none" w:sz="0" w:space="0" w:color="auto"/>
            <w:left w:val="none" w:sz="0" w:space="0" w:color="auto"/>
            <w:bottom w:val="none" w:sz="0" w:space="0" w:color="auto"/>
            <w:right w:val="none" w:sz="0" w:space="0" w:color="auto"/>
          </w:divBdr>
        </w:div>
        <w:div w:id="250941339">
          <w:marLeft w:val="640"/>
          <w:marRight w:val="0"/>
          <w:marTop w:val="0"/>
          <w:marBottom w:val="0"/>
          <w:divBdr>
            <w:top w:val="none" w:sz="0" w:space="0" w:color="auto"/>
            <w:left w:val="none" w:sz="0" w:space="0" w:color="auto"/>
            <w:bottom w:val="none" w:sz="0" w:space="0" w:color="auto"/>
            <w:right w:val="none" w:sz="0" w:space="0" w:color="auto"/>
          </w:divBdr>
        </w:div>
        <w:div w:id="896669401">
          <w:marLeft w:val="640"/>
          <w:marRight w:val="0"/>
          <w:marTop w:val="0"/>
          <w:marBottom w:val="0"/>
          <w:divBdr>
            <w:top w:val="none" w:sz="0" w:space="0" w:color="auto"/>
            <w:left w:val="none" w:sz="0" w:space="0" w:color="auto"/>
            <w:bottom w:val="none" w:sz="0" w:space="0" w:color="auto"/>
            <w:right w:val="none" w:sz="0" w:space="0" w:color="auto"/>
          </w:divBdr>
        </w:div>
        <w:div w:id="1198816057">
          <w:marLeft w:val="640"/>
          <w:marRight w:val="0"/>
          <w:marTop w:val="0"/>
          <w:marBottom w:val="0"/>
          <w:divBdr>
            <w:top w:val="none" w:sz="0" w:space="0" w:color="auto"/>
            <w:left w:val="none" w:sz="0" w:space="0" w:color="auto"/>
            <w:bottom w:val="none" w:sz="0" w:space="0" w:color="auto"/>
            <w:right w:val="none" w:sz="0" w:space="0" w:color="auto"/>
          </w:divBdr>
        </w:div>
        <w:div w:id="747919070">
          <w:marLeft w:val="640"/>
          <w:marRight w:val="0"/>
          <w:marTop w:val="0"/>
          <w:marBottom w:val="0"/>
          <w:divBdr>
            <w:top w:val="none" w:sz="0" w:space="0" w:color="auto"/>
            <w:left w:val="none" w:sz="0" w:space="0" w:color="auto"/>
            <w:bottom w:val="none" w:sz="0" w:space="0" w:color="auto"/>
            <w:right w:val="none" w:sz="0" w:space="0" w:color="auto"/>
          </w:divBdr>
        </w:div>
        <w:div w:id="1237472672">
          <w:marLeft w:val="640"/>
          <w:marRight w:val="0"/>
          <w:marTop w:val="0"/>
          <w:marBottom w:val="0"/>
          <w:divBdr>
            <w:top w:val="none" w:sz="0" w:space="0" w:color="auto"/>
            <w:left w:val="none" w:sz="0" w:space="0" w:color="auto"/>
            <w:bottom w:val="none" w:sz="0" w:space="0" w:color="auto"/>
            <w:right w:val="none" w:sz="0" w:space="0" w:color="auto"/>
          </w:divBdr>
        </w:div>
        <w:div w:id="1469057420">
          <w:marLeft w:val="640"/>
          <w:marRight w:val="0"/>
          <w:marTop w:val="0"/>
          <w:marBottom w:val="0"/>
          <w:divBdr>
            <w:top w:val="none" w:sz="0" w:space="0" w:color="auto"/>
            <w:left w:val="none" w:sz="0" w:space="0" w:color="auto"/>
            <w:bottom w:val="none" w:sz="0" w:space="0" w:color="auto"/>
            <w:right w:val="none" w:sz="0" w:space="0" w:color="auto"/>
          </w:divBdr>
        </w:div>
        <w:div w:id="510414460">
          <w:marLeft w:val="640"/>
          <w:marRight w:val="0"/>
          <w:marTop w:val="0"/>
          <w:marBottom w:val="0"/>
          <w:divBdr>
            <w:top w:val="none" w:sz="0" w:space="0" w:color="auto"/>
            <w:left w:val="none" w:sz="0" w:space="0" w:color="auto"/>
            <w:bottom w:val="none" w:sz="0" w:space="0" w:color="auto"/>
            <w:right w:val="none" w:sz="0" w:space="0" w:color="auto"/>
          </w:divBdr>
        </w:div>
        <w:div w:id="1066025199">
          <w:marLeft w:val="640"/>
          <w:marRight w:val="0"/>
          <w:marTop w:val="0"/>
          <w:marBottom w:val="0"/>
          <w:divBdr>
            <w:top w:val="none" w:sz="0" w:space="0" w:color="auto"/>
            <w:left w:val="none" w:sz="0" w:space="0" w:color="auto"/>
            <w:bottom w:val="none" w:sz="0" w:space="0" w:color="auto"/>
            <w:right w:val="none" w:sz="0" w:space="0" w:color="auto"/>
          </w:divBdr>
        </w:div>
        <w:div w:id="809714465">
          <w:marLeft w:val="640"/>
          <w:marRight w:val="0"/>
          <w:marTop w:val="0"/>
          <w:marBottom w:val="0"/>
          <w:divBdr>
            <w:top w:val="none" w:sz="0" w:space="0" w:color="auto"/>
            <w:left w:val="none" w:sz="0" w:space="0" w:color="auto"/>
            <w:bottom w:val="none" w:sz="0" w:space="0" w:color="auto"/>
            <w:right w:val="none" w:sz="0" w:space="0" w:color="auto"/>
          </w:divBdr>
        </w:div>
        <w:div w:id="993289980">
          <w:marLeft w:val="640"/>
          <w:marRight w:val="0"/>
          <w:marTop w:val="0"/>
          <w:marBottom w:val="0"/>
          <w:divBdr>
            <w:top w:val="none" w:sz="0" w:space="0" w:color="auto"/>
            <w:left w:val="none" w:sz="0" w:space="0" w:color="auto"/>
            <w:bottom w:val="none" w:sz="0" w:space="0" w:color="auto"/>
            <w:right w:val="none" w:sz="0" w:space="0" w:color="auto"/>
          </w:divBdr>
        </w:div>
        <w:div w:id="607127379">
          <w:marLeft w:val="640"/>
          <w:marRight w:val="0"/>
          <w:marTop w:val="0"/>
          <w:marBottom w:val="0"/>
          <w:divBdr>
            <w:top w:val="none" w:sz="0" w:space="0" w:color="auto"/>
            <w:left w:val="none" w:sz="0" w:space="0" w:color="auto"/>
            <w:bottom w:val="none" w:sz="0" w:space="0" w:color="auto"/>
            <w:right w:val="none" w:sz="0" w:space="0" w:color="auto"/>
          </w:divBdr>
        </w:div>
        <w:div w:id="1802573724">
          <w:marLeft w:val="640"/>
          <w:marRight w:val="0"/>
          <w:marTop w:val="0"/>
          <w:marBottom w:val="0"/>
          <w:divBdr>
            <w:top w:val="none" w:sz="0" w:space="0" w:color="auto"/>
            <w:left w:val="none" w:sz="0" w:space="0" w:color="auto"/>
            <w:bottom w:val="none" w:sz="0" w:space="0" w:color="auto"/>
            <w:right w:val="none" w:sz="0" w:space="0" w:color="auto"/>
          </w:divBdr>
        </w:div>
        <w:div w:id="766464591">
          <w:marLeft w:val="640"/>
          <w:marRight w:val="0"/>
          <w:marTop w:val="0"/>
          <w:marBottom w:val="0"/>
          <w:divBdr>
            <w:top w:val="none" w:sz="0" w:space="0" w:color="auto"/>
            <w:left w:val="none" w:sz="0" w:space="0" w:color="auto"/>
            <w:bottom w:val="none" w:sz="0" w:space="0" w:color="auto"/>
            <w:right w:val="none" w:sz="0" w:space="0" w:color="auto"/>
          </w:divBdr>
        </w:div>
        <w:div w:id="2019653605">
          <w:marLeft w:val="640"/>
          <w:marRight w:val="0"/>
          <w:marTop w:val="0"/>
          <w:marBottom w:val="0"/>
          <w:divBdr>
            <w:top w:val="none" w:sz="0" w:space="0" w:color="auto"/>
            <w:left w:val="none" w:sz="0" w:space="0" w:color="auto"/>
            <w:bottom w:val="none" w:sz="0" w:space="0" w:color="auto"/>
            <w:right w:val="none" w:sz="0" w:space="0" w:color="auto"/>
          </w:divBdr>
        </w:div>
        <w:div w:id="1925605537">
          <w:marLeft w:val="640"/>
          <w:marRight w:val="0"/>
          <w:marTop w:val="0"/>
          <w:marBottom w:val="0"/>
          <w:divBdr>
            <w:top w:val="none" w:sz="0" w:space="0" w:color="auto"/>
            <w:left w:val="none" w:sz="0" w:space="0" w:color="auto"/>
            <w:bottom w:val="none" w:sz="0" w:space="0" w:color="auto"/>
            <w:right w:val="none" w:sz="0" w:space="0" w:color="auto"/>
          </w:divBdr>
        </w:div>
        <w:div w:id="1853840790">
          <w:marLeft w:val="640"/>
          <w:marRight w:val="0"/>
          <w:marTop w:val="0"/>
          <w:marBottom w:val="0"/>
          <w:divBdr>
            <w:top w:val="none" w:sz="0" w:space="0" w:color="auto"/>
            <w:left w:val="none" w:sz="0" w:space="0" w:color="auto"/>
            <w:bottom w:val="none" w:sz="0" w:space="0" w:color="auto"/>
            <w:right w:val="none" w:sz="0" w:space="0" w:color="auto"/>
          </w:divBdr>
        </w:div>
        <w:div w:id="1466704042">
          <w:marLeft w:val="640"/>
          <w:marRight w:val="0"/>
          <w:marTop w:val="0"/>
          <w:marBottom w:val="0"/>
          <w:divBdr>
            <w:top w:val="none" w:sz="0" w:space="0" w:color="auto"/>
            <w:left w:val="none" w:sz="0" w:space="0" w:color="auto"/>
            <w:bottom w:val="none" w:sz="0" w:space="0" w:color="auto"/>
            <w:right w:val="none" w:sz="0" w:space="0" w:color="auto"/>
          </w:divBdr>
        </w:div>
        <w:div w:id="168369768">
          <w:marLeft w:val="640"/>
          <w:marRight w:val="0"/>
          <w:marTop w:val="0"/>
          <w:marBottom w:val="0"/>
          <w:divBdr>
            <w:top w:val="none" w:sz="0" w:space="0" w:color="auto"/>
            <w:left w:val="none" w:sz="0" w:space="0" w:color="auto"/>
            <w:bottom w:val="none" w:sz="0" w:space="0" w:color="auto"/>
            <w:right w:val="none" w:sz="0" w:space="0" w:color="auto"/>
          </w:divBdr>
        </w:div>
        <w:div w:id="109857424">
          <w:marLeft w:val="640"/>
          <w:marRight w:val="0"/>
          <w:marTop w:val="0"/>
          <w:marBottom w:val="0"/>
          <w:divBdr>
            <w:top w:val="none" w:sz="0" w:space="0" w:color="auto"/>
            <w:left w:val="none" w:sz="0" w:space="0" w:color="auto"/>
            <w:bottom w:val="none" w:sz="0" w:space="0" w:color="auto"/>
            <w:right w:val="none" w:sz="0" w:space="0" w:color="auto"/>
          </w:divBdr>
        </w:div>
        <w:div w:id="2140031925">
          <w:marLeft w:val="640"/>
          <w:marRight w:val="0"/>
          <w:marTop w:val="0"/>
          <w:marBottom w:val="0"/>
          <w:divBdr>
            <w:top w:val="none" w:sz="0" w:space="0" w:color="auto"/>
            <w:left w:val="none" w:sz="0" w:space="0" w:color="auto"/>
            <w:bottom w:val="none" w:sz="0" w:space="0" w:color="auto"/>
            <w:right w:val="none" w:sz="0" w:space="0" w:color="auto"/>
          </w:divBdr>
        </w:div>
        <w:div w:id="936211816">
          <w:marLeft w:val="640"/>
          <w:marRight w:val="0"/>
          <w:marTop w:val="0"/>
          <w:marBottom w:val="0"/>
          <w:divBdr>
            <w:top w:val="none" w:sz="0" w:space="0" w:color="auto"/>
            <w:left w:val="none" w:sz="0" w:space="0" w:color="auto"/>
            <w:bottom w:val="none" w:sz="0" w:space="0" w:color="auto"/>
            <w:right w:val="none" w:sz="0" w:space="0" w:color="auto"/>
          </w:divBdr>
        </w:div>
        <w:div w:id="196358006">
          <w:marLeft w:val="640"/>
          <w:marRight w:val="0"/>
          <w:marTop w:val="0"/>
          <w:marBottom w:val="0"/>
          <w:divBdr>
            <w:top w:val="none" w:sz="0" w:space="0" w:color="auto"/>
            <w:left w:val="none" w:sz="0" w:space="0" w:color="auto"/>
            <w:bottom w:val="none" w:sz="0" w:space="0" w:color="auto"/>
            <w:right w:val="none" w:sz="0" w:space="0" w:color="auto"/>
          </w:divBdr>
        </w:div>
        <w:div w:id="568198131">
          <w:marLeft w:val="640"/>
          <w:marRight w:val="0"/>
          <w:marTop w:val="0"/>
          <w:marBottom w:val="0"/>
          <w:divBdr>
            <w:top w:val="none" w:sz="0" w:space="0" w:color="auto"/>
            <w:left w:val="none" w:sz="0" w:space="0" w:color="auto"/>
            <w:bottom w:val="none" w:sz="0" w:space="0" w:color="auto"/>
            <w:right w:val="none" w:sz="0" w:space="0" w:color="auto"/>
          </w:divBdr>
        </w:div>
        <w:div w:id="1489176362">
          <w:marLeft w:val="640"/>
          <w:marRight w:val="0"/>
          <w:marTop w:val="0"/>
          <w:marBottom w:val="0"/>
          <w:divBdr>
            <w:top w:val="none" w:sz="0" w:space="0" w:color="auto"/>
            <w:left w:val="none" w:sz="0" w:space="0" w:color="auto"/>
            <w:bottom w:val="none" w:sz="0" w:space="0" w:color="auto"/>
            <w:right w:val="none" w:sz="0" w:space="0" w:color="auto"/>
          </w:divBdr>
        </w:div>
        <w:div w:id="1012142782">
          <w:marLeft w:val="640"/>
          <w:marRight w:val="0"/>
          <w:marTop w:val="0"/>
          <w:marBottom w:val="0"/>
          <w:divBdr>
            <w:top w:val="none" w:sz="0" w:space="0" w:color="auto"/>
            <w:left w:val="none" w:sz="0" w:space="0" w:color="auto"/>
            <w:bottom w:val="none" w:sz="0" w:space="0" w:color="auto"/>
            <w:right w:val="none" w:sz="0" w:space="0" w:color="auto"/>
          </w:divBdr>
        </w:div>
        <w:div w:id="1826050865">
          <w:marLeft w:val="640"/>
          <w:marRight w:val="0"/>
          <w:marTop w:val="0"/>
          <w:marBottom w:val="0"/>
          <w:divBdr>
            <w:top w:val="none" w:sz="0" w:space="0" w:color="auto"/>
            <w:left w:val="none" w:sz="0" w:space="0" w:color="auto"/>
            <w:bottom w:val="none" w:sz="0" w:space="0" w:color="auto"/>
            <w:right w:val="none" w:sz="0" w:space="0" w:color="auto"/>
          </w:divBdr>
        </w:div>
        <w:div w:id="2025671970">
          <w:marLeft w:val="640"/>
          <w:marRight w:val="0"/>
          <w:marTop w:val="0"/>
          <w:marBottom w:val="0"/>
          <w:divBdr>
            <w:top w:val="none" w:sz="0" w:space="0" w:color="auto"/>
            <w:left w:val="none" w:sz="0" w:space="0" w:color="auto"/>
            <w:bottom w:val="none" w:sz="0" w:space="0" w:color="auto"/>
            <w:right w:val="none" w:sz="0" w:space="0" w:color="auto"/>
          </w:divBdr>
        </w:div>
        <w:div w:id="1480536657">
          <w:marLeft w:val="640"/>
          <w:marRight w:val="0"/>
          <w:marTop w:val="0"/>
          <w:marBottom w:val="0"/>
          <w:divBdr>
            <w:top w:val="none" w:sz="0" w:space="0" w:color="auto"/>
            <w:left w:val="none" w:sz="0" w:space="0" w:color="auto"/>
            <w:bottom w:val="none" w:sz="0" w:space="0" w:color="auto"/>
            <w:right w:val="none" w:sz="0" w:space="0" w:color="auto"/>
          </w:divBdr>
        </w:div>
        <w:div w:id="946430391">
          <w:marLeft w:val="640"/>
          <w:marRight w:val="0"/>
          <w:marTop w:val="0"/>
          <w:marBottom w:val="0"/>
          <w:divBdr>
            <w:top w:val="none" w:sz="0" w:space="0" w:color="auto"/>
            <w:left w:val="none" w:sz="0" w:space="0" w:color="auto"/>
            <w:bottom w:val="none" w:sz="0" w:space="0" w:color="auto"/>
            <w:right w:val="none" w:sz="0" w:space="0" w:color="auto"/>
          </w:divBdr>
        </w:div>
        <w:div w:id="456333703">
          <w:marLeft w:val="640"/>
          <w:marRight w:val="0"/>
          <w:marTop w:val="0"/>
          <w:marBottom w:val="0"/>
          <w:divBdr>
            <w:top w:val="none" w:sz="0" w:space="0" w:color="auto"/>
            <w:left w:val="none" w:sz="0" w:space="0" w:color="auto"/>
            <w:bottom w:val="none" w:sz="0" w:space="0" w:color="auto"/>
            <w:right w:val="none" w:sz="0" w:space="0" w:color="auto"/>
          </w:divBdr>
        </w:div>
        <w:div w:id="27414559">
          <w:marLeft w:val="640"/>
          <w:marRight w:val="0"/>
          <w:marTop w:val="0"/>
          <w:marBottom w:val="0"/>
          <w:divBdr>
            <w:top w:val="none" w:sz="0" w:space="0" w:color="auto"/>
            <w:left w:val="none" w:sz="0" w:space="0" w:color="auto"/>
            <w:bottom w:val="none" w:sz="0" w:space="0" w:color="auto"/>
            <w:right w:val="none" w:sz="0" w:space="0" w:color="auto"/>
          </w:divBdr>
        </w:div>
        <w:div w:id="397017284">
          <w:marLeft w:val="640"/>
          <w:marRight w:val="0"/>
          <w:marTop w:val="0"/>
          <w:marBottom w:val="0"/>
          <w:divBdr>
            <w:top w:val="none" w:sz="0" w:space="0" w:color="auto"/>
            <w:left w:val="none" w:sz="0" w:space="0" w:color="auto"/>
            <w:bottom w:val="none" w:sz="0" w:space="0" w:color="auto"/>
            <w:right w:val="none" w:sz="0" w:space="0" w:color="auto"/>
          </w:divBdr>
        </w:div>
        <w:div w:id="850921983">
          <w:marLeft w:val="640"/>
          <w:marRight w:val="0"/>
          <w:marTop w:val="0"/>
          <w:marBottom w:val="0"/>
          <w:divBdr>
            <w:top w:val="none" w:sz="0" w:space="0" w:color="auto"/>
            <w:left w:val="none" w:sz="0" w:space="0" w:color="auto"/>
            <w:bottom w:val="none" w:sz="0" w:space="0" w:color="auto"/>
            <w:right w:val="none" w:sz="0" w:space="0" w:color="auto"/>
          </w:divBdr>
        </w:div>
        <w:div w:id="1515149396">
          <w:marLeft w:val="640"/>
          <w:marRight w:val="0"/>
          <w:marTop w:val="0"/>
          <w:marBottom w:val="0"/>
          <w:divBdr>
            <w:top w:val="none" w:sz="0" w:space="0" w:color="auto"/>
            <w:left w:val="none" w:sz="0" w:space="0" w:color="auto"/>
            <w:bottom w:val="none" w:sz="0" w:space="0" w:color="auto"/>
            <w:right w:val="none" w:sz="0" w:space="0" w:color="auto"/>
          </w:divBdr>
        </w:div>
        <w:div w:id="907879121">
          <w:marLeft w:val="640"/>
          <w:marRight w:val="0"/>
          <w:marTop w:val="0"/>
          <w:marBottom w:val="0"/>
          <w:divBdr>
            <w:top w:val="none" w:sz="0" w:space="0" w:color="auto"/>
            <w:left w:val="none" w:sz="0" w:space="0" w:color="auto"/>
            <w:bottom w:val="none" w:sz="0" w:space="0" w:color="auto"/>
            <w:right w:val="none" w:sz="0" w:space="0" w:color="auto"/>
          </w:divBdr>
        </w:div>
        <w:div w:id="970860061">
          <w:marLeft w:val="640"/>
          <w:marRight w:val="0"/>
          <w:marTop w:val="0"/>
          <w:marBottom w:val="0"/>
          <w:divBdr>
            <w:top w:val="none" w:sz="0" w:space="0" w:color="auto"/>
            <w:left w:val="none" w:sz="0" w:space="0" w:color="auto"/>
            <w:bottom w:val="none" w:sz="0" w:space="0" w:color="auto"/>
            <w:right w:val="none" w:sz="0" w:space="0" w:color="auto"/>
          </w:divBdr>
        </w:div>
        <w:div w:id="264652256">
          <w:marLeft w:val="640"/>
          <w:marRight w:val="0"/>
          <w:marTop w:val="0"/>
          <w:marBottom w:val="0"/>
          <w:divBdr>
            <w:top w:val="none" w:sz="0" w:space="0" w:color="auto"/>
            <w:left w:val="none" w:sz="0" w:space="0" w:color="auto"/>
            <w:bottom w:val="none" w:sz="0" w:space="0" w:color="auto"/>
            <w:right w:val="none" w:sz="0" w:space="0" w:color="auto"/>
          </w:divBdr>
        </w:div>
        <w:div w:id="1210847350">
          <w:marLeft w:val="640"/>
          <w:marRight w:val="0"/>
          <w:marTop w:val="0"/>
          <w:marBottom w:val="0"/>
          <w:divBdr>
            <w:top w:val="none" w:sz="0" w:space="0" w:color="auto"/>
            <w:left w:val="none" w:sz="0" w:space="0" w:color="auto"/>
            <w:bottom w:val="none" w:sz="0" w:space="0" w:color="auto"/>
            <w:right w:val="none" w:sz="0" w:space="0" w:color="auto"/>
          </w:divBdr>
        </w:div>
        <w:div w:id="1936597929">
          <w:marLeft w:val="640"/>
          <w:marRight w:val="0"/>
          <w:marTop w:val="0"/>
          <w:marBottom w:val="0"/>
          <w:divBdr>
            <w:top w:val="none" w:sz="0" w:space="0" w:color="auto"/>
            <w:left w:val="none" w:sz="0" w:space="0" w:color="auto"/>
            <w:bottom w:val="none" w:sz="0" w:space="0" w:color="auto"/>
            <w:right w:val="none" w:sz="0" w:space="0" w:color="auto"/>
          </w:divBdr>
        </w:div>
        <w:div w:id="2135126840">
          <w:marLeft w:val="640"/>
          <w:marRight w:val="0"/>
          <w:marTop w:val="0"/>
          <w:marBottom w:val="0"/>
          <w:divBdr>
            <w:top w:val="none" w:sz="0" w:space="0" w:color="auto"/>
            <w:left w:val="none" w:sz="0" w:space="0" w:color="auto"/>
            <w:bottom w:val="none" w:sz="0" w:space="0" w:color="auto"/>
            <w:right w:val="none" w:sz="0" w:space="0" w:color="auto"/>
          </w:divBdr>
        </w:div>
        <w:div w:id="817459802">
          <w:marLeft w:val="640"/>
          <w:marRight w:val="0"/>
          <w:marTop w:val="0"/>
          <w:marBottom w:val="0"/>
          <w:divBdr>
            <w:top w:val="none" w:sz="0" w:space="0" w:color="auto"/>
            <w:left w:val="none" w:sz="0" w:space="0" w:color="auto"/>
            <w:bottom w:val="none" w:sz="0" w:space="0" w:color="auto"/>
            <w:right w:val="none" w:sz="0" w:space="0" w:color="auto"/>
          </w:divBdr>
        </w:div>
        <w:div w:id="296301211">
          <w:marLeft w:val="640"/>
          <w:marRight w:val="0"/>
          <w:marTop w:val="0"/>
          <w:marBottom w:val="0"/>
          <w:divBdr>
            <w:top w:val="none" w:sz="0" w:space="0" w:color="auto"/>
            <w:left w:val="none" w:sz="0" w:space="0" w:color="auto"/>
            <w:bottom w:val="none" w:sz="0" w:space="0" w:color="auto"/>
            <w:right w:val="none" w:sz="0" w:space="0" w:color="auto"/>
          </w:divBdr>
        </w:div>
        <w:div w:id="675809355">
          <w:marLeft w:val="640"/>
          <w:marRight w:val="0"/>
          <w:marTop w:val="0"/>
          <w:marBottom w:val="0"/>
          <w:divBdr>
            <w:top w:val="none" w:sz="0" w:space="0" w:color="auto"/>
            <w:left w:val="none" w:sz="0" w:space="0" w:color="auto"/>
            <w:bottom w:val="none" w:sz="0" w:space="0" w:color="auto"/>
            <w:right w:val="none" w:sz="0" w:space="0" w:color="auto"/>
          </w:divBdr>
        </w:div>
        <w:div w:id="70085146">
          <w:marLeft w:val="640"/>
          <w:marRight w:val="0"/>
          <w:marTop w:val="0"/>
          <w:marBottom w:val="0"/>
          <w:divBdr>
            <w:top w:val="none" w:sz="0" w:space="0" w:color="auto"/>
            <w:left w:val="none" w:sz="0" w:space="0" w:color="auto"/>
            <w:bottom w:val="none" w:sz="0" w:space="0" w:color="auto"/>
            <w:right w:val="none" w:sz="0" w:space="0" w:color="auto"/>
          </w:divBdr>
        </w:div>
        <w:div w:id="450132961">
          <w:marLeft w:val="640"/>
          <w:marRight w:val="0"/>
          <w:marTop w:val="0"/>
          <w:marBottom w:val="0"/>
          <w:divBdr>
            <w:top w:val="none" w:sz="0" w:space="0" w:color="auto"/>
            <w:left w:val="none" w:sz="0" w:space="0" w:color="auto"/>
            <w:bottom w:val="none" w:sz="0" w:space="0" w:color="auto"/>
            <w:right w:val="none" w:sz="0" w:space="0" w:color="auto"/>
          </w:divBdr>
        </w:div>
        <w:div w:id="1523278859">
          <w:marLeft w:val="640"/>
          <w:marRight w:val="0"/>
          <w:marTop w:val="0"/>
          <w:marBottom w:val="0"/>
          <w:divBdr>
            <w:top w:val="none" w:sz="0" w:space="0" w:color="auto"/>
            <w:left w:val="none" w:sz="0" w:space="0" w:color="auto"/>
            <w:bottom w:val="none" w:sz="0" w:space="0" w:color="auto"/>
            <w:right w:val="none" w:sz="0" w:space="0" w:color="auto"/>
          </w:divBdr>
        </w:div>
        <w:div w:id="1564215146">
          <w:marLeft w:val="640"/>
          <w:marRight w:val="0"/>
          <w:marTop w:val="0"/>
          <w:marBottom w:val="0"/>
          <w:divBdr>
            <w:top w:val="none" w:sz="0" w:space="0" w:color="auto"/>
            <w:left w:val="none" w:sz="0" w:space="0" w:color="auto"/>
            <w:bottom w:val="none" w:sz="0" w:space="0" w:color="auto"/>
            <w:right w:val="none" w:sz="0" w:space="0" w:color="auto"/>
          </w:divBdr>
        </w:div>
        <w:div w:id="815681623">
          <w:marLeft w:val="640"/>
          <w:marRight w:val="0"/>
          <w:marTop w:val="0"/>
          <w:marBottom w:val="0"/>
          <w:divBdr>
            <w:top w:val="none" w:sz="0" w:space="0" w:color="auto"/>
            <w:left w:val="none" w:sz="0" w:space="0" w:color="auto"/>
            <w:bottom w:val="none" w:sz="0" w:space="0" w:color="auto"/>
            <w:right w:val="none" w:sz="0" w:space="0" w:color="auto"/>
          </w:divBdr>
        </w:div>
        <w:div w:id="246774590">
          <w:marLeft w:val="640"/>
          <w:marRight w:val="0"/>
          <w:marTop w:val="0"/>
          <w:marBottom w:val="0"/>
          <w:divBdr>
            <w:top w:val="none" w:sz="0" w:space="0" w:color="auto"/>
            <w:left w:val="none" w:sz="0" w:space="0" w:color="auto"/>
            <w:bottom w:val="none" w:sz="0" w:space="0" w:color="auto"/>
            <w:right w:val="none" w:sz="0" w:space="0" w:color="auto"/>
          </w:divBdr>
        </w:div>
        <w:div w:id="485635392">
          <w:marLeft w:val="640"/>
          <w:marRight w:val="0"/>
          <w:marTop w:val="0"/>
          <w:marBottom w:val="0"/>
          <w:divBdr>
            <w:top w:val="none" w:sz="0" w:space="0" w:color="auto"/>
            <w:left w:val="none" w:sz="0" w:space="0" w:color="auto"/>
            <w:bottom w:val="none" w:sz="0" w:space="0" w:color="auto"/>
            <w:right w:val="none" w:sz="0" w:space="0" w:color="auto"/>
          </w:divBdr>
        </w:div>
        <w:div w:id="1548105922">
          <w:marLeft w:val="640"/>
          <w:marRight w:val="0"/>
          <w:marTop w:val="0"/>
          <w:marBottom w:val="0"/>
          <w:divBdr>
            <w:top w:val="none" w:sz="0" w:space="0" w:color="auto"/>
            <w:left w:val="none" w:sz="0" w:space="0" w:color="auto"/>
            <w:bottom w:val="none" w:sz="0" w:space="0" w:color="auto"/>
            <w:right w:val="none" w:sz="0" w:space="0" w:color="auto"/>
          </w:divBdr>
        </w:div>
        <w:div w:id="847407986">
          <w:marLeft w:val="640"/>
          <w:marRight w:val="0"/>
          <w:marTop w:val="0"/>
          <w:marBottom w:val="0"/>
          <w:divBdr>
            <w:top w:val="none" w:sz="0" w:space="0" w:color="auto"/>
            <w:left w:val="none" w:sz="0" w:space="0" w:color="auto"/>
            <w:bottom w:val="none" w:sz="0" w:space="0" w:color="auto"/>
            <w:right w:val="none" w:sz="0" w:space="0" w:color="auto"/>
          </w:divBdr>
        </w:div>
        <w:div w:id="312297774">
          <w:marLeft w:val="640"/>
          <w:marRight w:val="0"/>
          <w:marTop w:val="0"/>
          <w:marBottom w:val="0"/>
          <w:divBdr>
            <w:top w:val="none" w:sz="0" w:space="0" w:color="auto"/>
            <w:left w:val="none" w:sz="0" w:space="0" w:color="auto"/>
            <w:bottom w:val="none" w:sz="0" w:space="0" w:color="auto"/>
            <w:right w:val="none" w:sz="0" w:space="0" w:color="auto"/>
          </w:divBdr>
        </w:div>
        <w:div w:id="1246453529">
          <w:marLeft w:val="640"/>
          <w:marRight w:val="0"/>
          <w:marTop w:val="0"/>
          <w:marBottom w:val="0"/>
          <w:divBdr>
            <w:top w:val="none" w:sz="0" w:space="0" w:color="auto"/>
            <w:left w:val="none" w:sz="0" w:space="0" w:color="auto"/>
            <w:bottom w:val="none" w:sz="0" w:space="0" w:color="auto"/>
            <w:right w:val="none" w:sz="0" w:space="0" w:color="auto"/>
          </w:divBdr>
        </w:div>
        <w:div w:id="727461048">
          <w:marLeft w:val="640"/>
          <w:marRight w:val="0"/>
          <w:marTop w:val="0"/>
          <w:marBottom w:val="0"/>
          <w:divBdr>
            <w:top w:val="none" w:sz="0" w:space="0" w:color="auto"/>
            <w:left w:val="none" w:sz="0" w:space="0" w:color="auto"/>
            <w:bottom w:val="none" w:sz="0" w:space="0" w:color="auto"/>
            <w:right w:val="none" w:sz="0" w:space="0" w:color="auto"/>
          </w:divBdr>
        </w:div>
        <w:div w:id="232934918">
          <w:marLeft w:val="640"/>
          <w:marRight w:val="0"/>
          <w:marTop w:val="0"/>
          <w:marBottom w:val="0"/>
          <w:divBdr>
            <w:top w:val="none" w:sz="0" w:space="0" w:color="auto"/>
            <w:left w:val="none" w:sz="0" w:space="0" w:color="auto"/>
            <w:bottom w:val="none" w:sz="0" w:space="0" w:color="auto"/>
            <w:right w:val="none" w:sz="0" w:space="0" w:color="auto"/>
          </w:divBdr>
        </w:div>
        <w:div w:id="451168184">
          <w:marLeft w:val="640"/>
          <w:marRight w:val="0"/>
          <w:marTop w:val="0"/>
          <w:marBottom w:val="0"/>
          <w:divBdr>
            <w:top w:val="none" w:sz="0" w:space="0" w:color="auto"/>
            <w:left w:val="none" w:sz="0" w:space="0" w:color="auto"/>
            <w:bottom w:val="none" w:sz="0" w:space="0" w:color="auto"/>
            <w:right w:val="none" w:sz="0" w:space="0" w:color="auto"/>
          </w:divBdr>
        </w:div>
        <w:div w:id="660545210">
          <w:marLeft w:val="640"/>
          <w:marRight w:val="0"/>
          <w:marTop w:val="0"/>
          <w:marBottom w:val="0"/>
          <w:divBdr>
            <w:top w:val="none" w:sz="0" w:space="0" w:color="auto"/>
            <w:left w:val="none" w:sz="0" w:space="0" w:color="auto"/>
            <w:bottom w:val="none" w:sz="0" w:space="0" w:color="auto"/>
            <w:right w:val="none" w:sz="0" w:space="0" w:color="auto"/>
          </w:divBdr>
        </w:div>
        <w:div w:id="891650047">
          <w:marLeft w:val="640"/>
          <w:marRight w:val="0"/>
          <w:marTop w:val="0"/>
          <w:marBottom w:val="0"/>
          <w:divBdr>
            <w:top w:val="none" w:sz="0" w:space="0" w:color="auto"/>
            <w:left w:val="none" w:sz="0" w:space="0" w:color="auto"/>
            <w:bottom w:val="none" w:sz="0" w:space="0" w:color="auto"/>
            <w:right w:val="none" w:sz="0" w:space="0" w:color="auto"/>
          </w:divBdr>
        </w:div>
        <w:div w:id="954484972">
          <w:marLeft w:val="640"/>
          <w:marRight w:val="0"/>
          <w:marTop w:val="0"/>
          <w:marBottom w:val="0"/>
          <w:divBdr>
            <w:top w:val="none" w:sz="0" w:space="0" w:color="auto"/>
            <w:left w:val="none" w:sz="0" w:space="0" w:color="auto"/>
            <w:bottom w:val="none" w:sz="0" w:space="0" w:color="auto"/>
            <w:right w:val="none" w:sz="0" w:space="0" w:color="auto"/>
          </w:divBdr>
        </w:div>
        <w:div w:id="465317813">
          <w:marLeft w:val="640"/>
          <w:marRight w:val="0"/>
          <w:marTop w:val="0"/>
          <w:marBottom w:val="0"/>
          <w:divBdr>
            <w:top w:val="none" w:sz="0" w:space="0" w:color="auto"/>
            <w:left w:val="none" w:sz="0" w:space="0" w:color="auto"/>
            <w:bottom w:val="none" w:sz="0" w:space="0" w:color="auto"/>
            <w:right w:val="none" w:sz="0" w:space="0" w:color="auto"/>
          </w:divBdr>
        </w:div>
        <w:div w:id="2112965056">
          <w:marLeft w:val="640"/>
          <w:marRight w:val="0"/>
          <w:marTop w:val="0"/>
          <w:marBottom w:val="0"/>
          <w:divBdr>
            <w:top w:val="none" w:sz="0" w:space="0" w:color="auto"/>
            <w:left w:val="none" w:sz="0" w:space="0" w:color="auto"/>
            <w:bottom w:val="none" w:sz="0" w:space="0" w:color="auto"/>
            <w:right w:val="none" w:sz="0" w:space="0" w:color="auto"/>
          </w:divBdr>
        </w:div>
        <w:div w:id="865099410">
          <w:marLeft w:val="640"/>
          <w:marRight w:val="0"/>
          <w:marTop w:val="0"/>
          <w:marBottom w:val="0"/>
          <w:divBdr>
            <w:top w:val="none" w:sz="0" w:space="0" w:color="auto"/>
            <w:left w:val="none" w:sz="0" w:space="0" w:color="auto"/>
            <w:bottom w:val="none" w:sz="0" w:space="0" w:color="auto"/>
            <w:right w:val="none" w:sz="0" w:space="0" w:color="auto"/>
          </w:divBdr>
        </w:div>
        <w:div w:id="341393275">
          <w:marLeft w:val="640"/>
          <w:marRight w:val="0"/>
          <w:marTop w:val="0"/>
          <w:marBottom w:val="0"/>
          <w:divBdr>
            <w:top w:val="none" w:sz="0" w:space="0" w:color="auto"/>
            <w:left w:val="none" w:sz="0" w:space="0" w:color="auto"/>
            <w:bottom w:val="none" w:sz="0" w:space="0" w:color="auto"/>
            <w:right w:val="none" w:sz="0" w:space="0" w:color="auto"/>
          </w:divBdr>
        </w:div>
        <w:div w:id="1244608322">
          <w:marLeft w:val="640"/>
          <w:marRight w:val="0"/>
          <w:marTop w:val="0"/>
          <w:marBottom w:val="0"/>
          <w:divBdr>
            <w:top w:val="none" w:sz="0" w:space="0" w:color="auto"/>
            <w:left w:val="none" w:sz="0" w:space="0" w:color="auto"/>
            <w:bottom w:val="none" w:sz="0" w:space="0" w:color="auto"/>
            <w:right w:val="none" w:sz="0" w:space="0" w:color="auto"/>
          </w:divBdr>
        </w:div>
        <w:div w:id="303003022">
          <w:marLeft w:val="640"/>
          <w:marRight w:val="0"/>
          <w:marTop w:val="0"/>
          <w:marBottom w:val="0"/>
          <w:divBdr>
            <w:top w:val="none" w:sz="0" w:space="0" w:color="auto"/>
            <w:left w:val="none" w:sz="0" w:space="0" w:color="auto"/>
            <w:bottom w:val="none" w:sz="0" w:space="0" w:color="auto"/>
            <w:right w:val="none" w:sz="0" w:space="0" w:color="auto"/>
          </w:divBdr>
        </w:div>
        <w:div w:id="946932065">
          <w:marLeft w:val="640"/>
          <w:marRight w:val="0"/>
          <w:marTop w:val="0"/>
          <w:marBottom w:val="0"/>
          <w:divBdr>
            <w:top w:val="none" w:sz="0" w:space="0" w:color="auto"/>
            <w:left w:val="none" w:sz="0" w:space="0" w:color="auto"/>
            <w:bottom w:val="none" w:sz="0" w:space="0" w:color="auto"/>
            <w:right w:val="none" w:sz="0" w:space="0" w:color="auto"/>
          </w:divBdr>
        </w:div>
        <w:div w:id="1934900343">
          <w:marLeft w:val="640"/>
          <w:marRight w:val="0"/>
          <w:marTop w:val="0"/>
          <w:marBottom w:val="0"/>
          <w:divBdr>
            <w:top w:val="none" w:sz="0" w:space="0" w:color="auto"/>
            <w:left w:val="none" w:sz="0" w:space="0" w:color="auto"/>
            <w:bottom w:val="none" w:sz="0" w:space="0" w:color="auto"/>
            <w:right w:val="none" w:sz="0" w:space="0" w:color="auto"/>
          </w:divBdr>
        </w:div>
        <w:div w:id="582296041">
          <w:marLeft w:val="640"/>
          <w:marRight w:val="0"/>
          <w:marTop w:val="0"/>
          <w:marBottom w:val="0"/>
          <w:divBdr>
            <w:top w:val="none" w:sz="0" w:space="0" w:color="auto"/>
            <w:left w:val="none" w:sz="0" w:space="0" w:color="auto"/>
            <w:bottom w:val="none" w:sz="0" w:space="0" w:color="auto"/>
            <w:right w:val="none" w:sz="0" w:space="0" w:color="auto"/>
          </w:divBdr>
        </w:div>
        <w:div w:id="1707876099">
          <w:marLeft w:val="640"/>
          <w:marRight w:val="0"/>
          <w:marTop w:val="0"/>
          <w:marBottom w:val="0"/>
          <w:divBdr>
            <w:top w:val="none" w:sz="0" w:space="0" w:color="auto"/>
            <w:left w:val="none" w:sz="0" w:space="0" w:color="auto"/>
            <w:bottom w:val="none" w:sz="0" w:space="0" w:color="auto"/>
            <w:right w:val="none" w:sz="0" w:space="0" w:color="auto"/>
          </w:divBdr>
        </w:div>
        <w:div w:id="1445615810">
          <w:marLeft w:val="640"/>
          <w:marRight w:val="0"/>
          <w:marTop w:val="0"/>
          <w:marBottom w:val="0"/>
          <w:divBdr>
            <w:top w:val="none" w:sz="0" w:space="0" w:color="auto"/>
            <w:left w:val="none" w:sz="0" w:space="0" w:color="auto"/>
            <w:bottom w:val="none" w:sz="0" w:space="0" w:color="auto"/>
            <w:right w:val="none" w:sz="0" w:space="0" w:color="auto"/>
          </w:divBdr>
        </w:div>
        <w:div w:id="1494567649">
          <w:marLeft w:val="640"/>
          <w:marRight w:val="0"/>
          <w:marTop w:val="0"/>
          <w:marBottom w:val="0"/>
          <w:divBdr>
            <w:top w:val="none" w:sz="0" w:space="0" w:color="auto"/>
            <w:left w:val="none" w:sz="0" w:space="0" w:color="auto"/>
            <w:bottom w:val="none" w:sz="0" w:space="0" w:color="auto"/>
            <w:right w:val="none" w:sz="0" w:space="0" w:color="auto"/>
          </w:divBdr>
        </w:div>
        <w:div w:id="1632055684">
          <w:marLeft w:val="640"/>
          <w:marRight w:val="0"/>
          <w:marTop w:val="0"/>
          <w:marBottom w:val="0"/>
          <w:divBdr>
            <w:top w:val="none" w:sz="0" w:space="0" w:color="auto"/>
            <w:left w:val="none" w:sz="0" w:space="0" w:color="auto"/>
            <w:bottom w:val="none" w:sz="0" w:space="0" w:color="auto"/>
            <w:right w:val="none" w:sz="0" w:space="0" w:color="auto"/>
          </w:divBdr>
        </w:div>
        <w:div w:id="1959989674">
          <w:marLeft w:val="640"/>
          <w:marRight w:val="0"/>
          <w:marTop w:val="0"/>
          <w:marBottom w:val="0"/>
          <w:divBdr>
            <w:top w:val="none" w:sz="0" w:space="0" w:color="auto"/>
            <w:left w:val="none" w:sz="0" w:space="0" w:color="auto"/>
            <w:bottom w:val="none" w:sz="0" w:space="0" w:color="auto"/>
            <w:right w:val="none" w:sz="0" w:space="0" w:color="auto"/>
          </w:divBdr>
        </w:div>
        <w:div w:id="679820102">
          <w:marLeft w:val="640"/>
          <w:marRight w:val="0"/>
          <w:marTop w:val="0"/>
          <w:marBottom w:val="0"/>
          <w:divBdr>
            <w:top w:val="none" w:sz="0" w:space="0" w:color="auto"/>
            <w:left w:val="none" w:sz="0" w:space="0" w:color="auto"/>
            <w:bottom w:val="none" w:sz="0" w:space="0" w:color="auto"/>
            <w:right w:val="none" w:sz="0" w:space="0" w:color="auto"/>
          </w:divBdr>
        </w:div>
        <w:div w:id="758333287">
          <w:marLeft w:val="640"/>
          <w:marRight w:val="0"/>
          <w:marTop w:val="0"/>
          <w:marBottom w:val="0"/>
          <w:divBdr>
            <w:top w:val="none" w:sz="0" w:space="0" w:color="auto"/>
            <w:left w:val="none" w:sz="0" w:space="0" w:color="auto"/>
            <w:bottom w:val="none" w:sz="0" w:space="0" w:color="auto"/>
            <w:right w:val="none" w:sz="0" w:space="0" w:color="auto"/>
          </w:divBdr>
        </w:div>
        <w:div w:id="1837182517">
          <w:marLeft w:val="640"/>
          <w:marRight w:val="0"/>
          <w:marTop w:val="0"/>
          <w:marBottom w:val="0"/>
          <w:divBdr>
            <w:top w:val="none" w:sz="0" w:space="0" w:color="auto"/>
            <w:left w:val="none" w:sz="0" w:space="0" w:color="auto"/>
            <w:bottom w:val="none" w:sz="0" w:space="0" w:color="auto"/>
            <w:right w:val="none" w:sz="0" w:space="0" w:color="auto"/>
          </w:divBdr>
        </w:div>
        <w:div w:id="495535337">
          <w:marLeft w:val="640"/>
          <w:marRight w:val="0"/>
          <w:marTop w:val="0"/>
          <w:marBottom w:val="0"/>
          <w:divBdr>
            <w:top w:val="none" w:sz="0" w:space="0" w:color="auto"/>
            <w:left w:val="none" w:sz="0" w:space="0" w:color="auto"/>
            <w:bottom w:val="none" w:sz="0" w:space="0" w:color="auto"/>
            <w:right w:val="none" w:sz="0" w:space="0" w:color="auto"/>
          </w:divBdr>
        </w:div>
        <w:div w:id="301157197">
          <w:marLeft w:val="640"/>
          <w:marRight w:val="0"/>
          <w:marTop w:val="0"/>
          <w:marBottom w:val="0"/>
          <w:divBdr>
            <w:top w:val="none" w:sz="0" w:space="0" w:color="auto"/>
            <w:left w:val="none" w:sz="0" w:space="0" w:color="auto"/>
            <w:bottom w:val="none" w:sz="0" w:space="0" w:color="auto"/>
            <w:right w:val="none" w:sz="0" w:space="0" w:color="auto"/>
          </w:divBdr>
        </w:div>
        <w:div w:id="1530993092">
          <w:marLeft w:val="640"/>
          <w:marRight w:val="0"/>
          <w:marTop w:val="0"/>
          <w:marBottom w:val="0"/>
          <w:divBdr>
            <w:top w:val="none" w:sz="0" w:space="0" w:color="auto"/>
            <w:left w:val="none" w:sz="0" w:space="0" w:color="auto"/>
            <w:bottom w:val="none" w:sz="0" w:space="0" w:color="auto"/>
            <w:right w:val="none" w:sz="0" w:space="0" w:color="auto"/>
          </w:divBdr>
        </w:div>
        <w:div w:id="304286533">
          <w:marLeft w:val="640"/>
          <w:marRight w:val="0"/>
          <w:marTop w:val="0"/>
          <w:marBottom w:val="0"/>
          <w:divBdr>
            <w:top w:val="none" w:sz="0" w:space="0" w:color="auto"/>
            <w:left w:val="none" w:sz="0" w:space="0" w:color="auto"/>
            <w:bottom w:val="none" w:sz="0" w:space="0" w:color="auto"/>
            <w:right w:val="none" w:sz="0" w:space="0" w:color="auto"/>
          </w:divBdr>
        </w:div>
        <w:div w:id="619460477">
          <w:marLeft w:val="640"/>
          <w:marRight w:val="0"/>
          <w:marTop w:val="0"/>
          <w:marBottom w:val="0"/>
          <w:divBdr>
            <w:top w:val="none" w:sz="0" w:space="0" w:color="auto"/>
            <w:left w:val="none" w:sz="0" w:space="0" w:color="auto"/>
            <w:bottom w:val="none" w:sz="0" w:space="0" w:color="auto"/>
            <w:right w:val="none" w:sz="0" w:space="0" w:color="auto"/>
          </w:divBdr>
        </w:div>
        <w:div w:id="480537708">
          <w:marLeft w:val="640"/>
          <w:marRight w:val="0"/>
          <w:marTop w:val="0"/>
          <w:marBottom w:val="0"/>
          <w:divBdr>
            <w:top w:val="none" w:sz="0" w:space="0" w:color="auto"/>
            <w:left w:val="none" w:sz="0" w:space="0" w:color="auto"/>
            <w:bottom w:val="none" w:sz="0" w:space="0" w:color="auto"/>
            <w:right w:val="none" w:sz="0" w:space="0" w:color="auto"/>
          </w:divBdr>
        </w:div>
        <w:div w:id="1625307091">
          <w:marLeft w:val="640"/>
          <w:marRight w:val="0"/>
          <w:marTop w:val="0"/>
          <w:marBottom w:val="0"/>
          <w:divBdr>
            <w:top w:val="none" w:sz="0" w:space="0" w:color="auto"/>
            <w:left w:val="none" w:sz="0" w:space="0" w:color="auto"/>
            <w:bottom w:val="none" w:sz="0" w:space="0" w:color="auto"/>
            <w:right w:val="none" w:sz="0" w:space="0" w:color="auto"/>
          </w:divBdr>
        </w:div>
        <w:div w:id="331416230">
          <w:marLeft w:val="640"/>
          <w:marRight w:val="0"/>
          <w:marTop w:val="0"/>
          <w:marBottom w:val="0"/>
          <w:divBdr>
            <w:top w:val="none" w:sz="0" w:space="0" w:color="auto"/>
            <w:left w:val="none" w:sz="0" w:space="0" w:color="auto"/>
            <w:bottom w:val="none" w:sz="0" w:space="0" w:color="auto"/>
            <w:right w:val="none" w:sz="0" w:space="0" w:color="auto"/>
          </w:divBdr>
        </w:div>
        <w:div w:id="1878618777">
          <w:marLeft w:val="640"/>
          <w:marRight w:val="0"/>
          <w:marTop w:val="0"/>
          <w:marBottom w:val="0"/>
          <w:divBdr>
            <w:top w:val="none" w:sz="0" w:space="0" w:color="auto"/>
            <w:left w:val="none" w:sz="0" w:space="0" w:color="auto"/>
            <w:bottom w:val="none" w:sz="0" w:space="0" w:color="auto"/>
            <w:right w:val="none" w:sz="0" w:space="0" w:color="auto"/>
          </w:divBdr>
        </w:div>
        <w:div w:id="1848863963">
          <w:marLeft w:val="640"/>
          <w:marRight w:val="0"/>
          <w:marTop w:val="0"/>
          <w:marBottom w:val="0"/>
          <w:divBdr>
            <w:top w:val="none" w:sz="0" w:space="0" w:color="auto"/>
            <w:left w:val="none" w:sz="0" w:space="0" w:color="auto"/>
            <w:bottom w:val="none" w:sz="0" w:space="0" w:color="auto"/>
            <w:right w:val="none" w:sz="0" w:space="0" w:color="auto"/>
          </w:divBdr>
        </w:div>
        <w:div w:id="294336731">
          <w:marLeft w:val="640"/>
          <w:marRight w:val="0"/>
          <w:marTop w:val="0"/>
          <w:marBottom w:val="0"/>
          <w:divBdr>
            <w:top w:val="none" w:sz="0" w:space="0" w:color="auto"/>
            <w:left w:val="none" w:sz="0" w:space="0" w:color="auto"/>
            <w:bottom w:val="none" w:sz="0" w:space="0" w:color="auto"/>
            <w:right w:val="none" w:sz="0" w:space="0" w:color="auto"/>
          </w:divBdr>
        </w:div>
        <w:div w:id="1954287646">
          <w:marLeft w:val="640"/>
          <w:marRight w:val="0"/>
          <w:marTop w:val="0"/>
          <w:marBottom w:val="0"/>
          <w:divBdr>
            <w:top w:val="none" w:sz="0" w:space="0" w:color="auto"/>
            <w:left w:val="none" w:sz="0" w:space="0" w:color="auto"/>
            <w:bottom w:val="none" w:sz="0" w:space="0" w:color="auto"/>
            <w:right w:val="none" w:sz="0" w:space="0" w:color="auto"/>
          </w:divBdr>
        </w:div>
        <w:div w:id="597102407">
          <w:marLeft w:val="640"/>
          <w:marRight w:val="0"/>
          <w:marTop w:val="0"/>
          <w:marBottom w:val="0"/>
          <w:divBdr>
            <w:top w:val="none" w:sz="0" w:space="0" w:color="auto"/>
            <w:left w:val="none" w:sz="0" w:space="0" w:color="auto"/>
            <w:bottom w:val="none" w:sz="0" w:space="0" w:color="auto"/>
            <w:right w:val="none" w:sz="0" w:space="0" w:color="auto"/>
          </w:divBdr>
        </w:div>
        <w:div w:id="616257091">
          <w:marLeft w:val="640"/>
          <w:marRight w:val="0"/>
          <w:marTop w:val="0"/>
          <w:marBottom w:val="0"/>
          <w:divBdr>
            <w:top w:val="none" w:sz="0" w:space="0" w:color="auto"/>
            <w:left w:val="none" w:sz="0" w:space="0" w:color="auto"/>
            <w:bottom w:val="none" w:sz="0" w:space="0" w:color="auto"/>
            <w:right w:val="none" w:sz="0" w:space="0" w:color="auto"/>
          </w:divBdr>
        </w:div>
        <w:div w:id="630526292">
          <w:marLeft w:val="640"/>
          <w:marRight w:val="0"/>
          <w:marTop w:val="0"/>
          <w:marBottom w:val="0"/>
          <w:divBdr>
            <w:top w:val="none" w:sz="0" w:space="0" w:color="auto"/>
            <w:left w:val="none" w:sz="0" w:space="0" w:color="auto"/>
            <w:bottom w:val="none" w:sz="0" w:space="0" w:color="auto"/>
            <w:right w:val="none" w:sz="0" w:space="0" w:color="auto"/>
          </w:divBdr>
        </w:div>
        <w:div w:id="150800682">
          <w:marLeft w:val="640"/>
          <w:marRight w:val="0"/>
          <w:marTop w:val="0"/>
          <w:marBottom w:val="0"/>
          <w:divBdr>
            <w:top w:val="none" w:sz="0" w:space="0" w:color="auto"/>
            <w:left w:val="none" w:sz="0" w:space="0" w:color="auto"/>
            <w:bottom w:val="none" w:sz="0" w:space="0" w:color="auto"/>
            <w:right w:val="none" w:sz="0" w:space="0" w:color="auto"/>
          </w:divBdr>
        </w:div>
        <w:div w:id="1499613918">
          <w:marLeft w:val="640"/>
          <w:marRight w:val="0"/>
          <w:marTop w:val="0"/>
          <w:marBottom w:val="0"/>
          <w:divBdr>
            <w:top w:val="none" w:sz="0" w:space="0" w:color="auto"/>
            <w:left w:val="none" w:sz="0" w:space="0" w:color="auto"/>
            <w:bottom w:val="none" w:sz="0" w:space="0" w:color="auto"/>
            <w:right w:val="none" w:sz="0" w:space="0" w:color="auto"/>
          </w:divBdr>
        </w:div>
        <w:div w:id="30696328">
          <w:marLeft w:val="640"/>
          <w:marRight w:val="0"/>
          <w:marTop w:val="0"/>
          <w:marBottom w:val="0"/>
          <w:divBdr>
            <w:top w:val="none" w:sz="0" w:space="0" w:color="auto"/>
            <w:left w:val="none" w:sz="0" w:space="0" w:color="auto"/>
            <w:bottom w:val="none" w:sz="0" w:space="0" w:color="auto"/>
            <w:right w:val="none" w:sz="0" w:space="0" w:color="auto"/>
          </w:divBdr>
        </w:div>
        <w:div w:id="1807504222">
          <w:marLeft w:val="640"/>
          <w:marRight w:val="0"/>
          <w:marTop w:val="0"/>
          <w:marBottom w:val="0"/>
          <w:divBdr>
            <w:top w:val="none" w:sz="0" w:space="0" w:color="auto"/>
            <w:left w:val="none" w:sz="0" w:space="0" w:color="auto"/>
            <w:bottom w:val="none" w:sz="0" w:space="0" w:color="auto"/>
            <w:right w:val="none" w:sz="0" w:space="0" w:color="auto"/>
          </w:divBdr>
        </w:div>
        <w:div w:id="1043290949">
          <w:marLeft w:val="640"/>
          <w:marRight w:val="0"/>
          <w:marTop w:val="0"/>
          <w:marBottom w:val="0"/>
          <w:divBdr>
            <w:top w:val="none" w:sz="0" w:space="0" w:color="auto"/>
            <w:left w:val="none" w:sz="0" w:space="0" w:color="auto"/>
            <w:bottom w:val="none" w:sz="0" w:space="0" w:color="auto"/>
            <w:right w:val="none" w:sz="0" w:space="0" w:color="auto"/>
          </w:divBdr>
        </w:div>
        <w:div w:id="654143298">
          <w:marLeft w:val="640"/>
          <w:marRight w:val="0"/>
          <w:marTop w:val="0"/>
          <w:marBottom w:val="0"/>
          <w:divBdr>
            <w:top w:val="none" w:sz="0" w:space="0" w:color="auto"/>
            <w:left w:val="none" w:sz="0" w:space="0" w:color="auto"/>
            <w:bottom w:val="none" w:sz="0" w:space="0" w:color="auto"/>
            <w:right w:val="none" w:sz="0" w:space="0" w:color="auto"/>
          </w:divBdr>
        </w:div>
        <w:div w:id="511993494">
          <w:marLeft w:val="640"/>
          <w:marRight w:val="0"/>
          <w:marTop w:val="0"/>
          <w:marBottom w:val="0"/>
          <w:divBdr>
            <w:top w:val="none" w:sz="0" w:space="0" w:color="auto"/>
            <w:left w:val="none" w:sz="0" w:space="0" w:color="auto"/>
            <w:bottom w:val="none" w:sz="0" w:space="0" w:color="auto"/>
            <w:right w:val="none" w:sz="0" w:space="0" w:color="auto"/>
          </w:divBdr>
        </w:div>
        <w:div w:id="533928601">
          <w:marLeft w:val="640"/>
          <w:marRight w:val="0"/>
          <w:marTop w:val="0"/>
          <w:marBottom w:val="0"/>
          <w:divBdr>
            <w:top w:val="none" w:sz="0" w:space="0" w:color="auto"/>
            <w:left w:val="none" w:sz="0" w:space="0" w:color="auto"/>
            <w:bottom w:val="none" w:sz="0" w:space="0" w:color="auto"/>
            <w:right w:val="none" w:sz="0" w:space="0" w:color="auto"/>
          </w:divBdr>
        </w:div>
        <w:div w:id="683938192">
          <w:marLeft w:val="640"/>
          <w:marRight w:val="0"/>
          <w:marTop w:val="0"/>
          <w:marBottom w:val="0"/>
          <w:divBdr>
            <w:top w:val="none" w:sz="0" w:space="0" w:color="auto"/>
            <w:left w:val="none" w:sz="0" w:space="0" w:color="auto"/>
            <w:bottom w:val="none" w:sz="0" w:space="0" w:color="auto"/>
            <w:right w:val="none" w:sz="0" w:space="0" w:color="auto"/>
          </w:divBdr>
        </w:div>
        <w:div w:id="1796169218">
          <w:marLeft w:val="640"/>
          <w:marRight w:val="0"/>
          <w:marTop w:val="0"/>
          <w:marBottom w:val="0"/>
          <w:divBdr>
            <w:top w:val="none" w:sz="0" w:space="0" w:color="auto"/>
            <w:left w:val="none" w:sz="0" w:space="0" w:color="auto"/>
            <w:bottom w:val="none" w:sz="0" w:space="0" w:color="auto"/>
            <w:right w:val="none" w:sz="0" w:space="0" w:color="auto"/>
          </w:divBdr>
        </w:div>
        <w:div w:id="1200582978">
          <w:marLeft w:val="640"/>
          <w:marRight w:val="0"/>
          <w:marTop w:val="0"/>
          <w:marBottom w:val="0"/>
          <w:divBdr>
            <w:top w:val="none" w:sz="0" w:space="0" w:color="auto"/>
            <w:left w:val="none" w:sz="0" w:space="0" w:color="auto"/>
            <w:bottom w:val="none" w:sz="0" w:space="0" w:color="auto"/>
            <w:right w:val="none" w:sz="0" w:space="0" w:color="auto"/>
          </w:divBdr>
        </w:div>
        <w:div w:id="1714620119">
          <w:marLeft w:val="640"/>
          <w:marRight w:val="0"/>
          <w:marTop w:val="0"/>
          <w:marBottom w:val="0"/>
          <w:divBdr>
            <w:top w:val="none" w:sz="0" w:space="0" w:color="auto"/>
            <w:left w:val="none" w:sz="0" w:space="0" w:color="auto"/>
            <w:bottom w:val="none" w:sz="0" w:space="0" w:color="auto"/>
            <w:right w:val="none" w:sz="0" w:space="0" w:color="auto"/>
          </w:divBdr>
        </w:div>
        <w:div w:id="1637489971">
          <w:marLeft w:val="640"/>
          <w:marRight w:val="0"/>
          <w:marTop w:val="0"/>
          <w:marBottom w:val="0"/>
          <w:divBdr>
            <w:top w:val="none" w:sz="0" w:space="0" w:color="auto"/>
            <w:left w:val="none" w:sz="0" w:space="0" w:color="auto"/>
            <w:bottom w:val="none" w:sz="0" w:space="0" w:color="auto"/>
            <w:right w:val="none" w:sz="0" w:space="0" w:color="auto"/>
          </w:divBdr>
        </w:div>
        <w:div w:id="1910727436">
          <w:marLeft w:val="640"/>
          <w:marRight w:val="0"/>
          <w:marTop w:val="0"/>
          <w:marBottom w:val="0"/>
          <w:divBdr>
            <w:top w:val="none" w:sz="0" w:space="0" w:color="auto"/>
            <w:left w:val="none" w:sz="0" w:space="0" w:color="auto"/>
            <w:bottom w:val="none" w:sz="0" w:space="0" w:color="auto"/>
            <w:right w:val="none" w:sz="0" w:space="0" w:color="auto"/>
          </w:divBdr>
        </w:div>
        <w:div w:id="1445687093">
          <w:marLeft w:val="640"/>
          <w:marRight w:val="0"/>
          <w:marTop w:val="0"/>
          <w:marBottom w:val="0"/>
          <w:divBdr>
            <w:top w:val="none" w:sz="0" w:space="0" w:color="auto"/>
            <w:left w:val="none" w:sz="0" w:space="0" w:color="auto"/>
            <w:bottom w:val="none" w:sz="0" w:space="0" w:color="auto"/>
            <w:right w:val="none" w:sz="0" w:space="0" w:color="auto"/>
          </w:divBdr>
        </w:div>
        <w:div w:id="36466168">
          <w:marLeft w:val="640"/>
          <w:marRight w:val="0"/>
          <w:marTop w:val="0"/>
          <w:marBottom w:val="0"/>
          <w:divBdr>
            <w:top w:val="none" w:sz="0" w:space="0" w:color="auto"/>
            <w:left w:val="none" w:sz="0" w:space="0" w:color="auto"/>
            <w:bottom w:val="none" w:sz="0" w:space="0" w:color="auto"/>
            <w:right w:val="none" w:sz="0" w:space="0" w:color="auto"/>
          </w:divBdr>
        </w:div>
        <w:div w:id="1392073366">
          <w:marLeft w:val="640"/>
          <w:marRight w:val="0"/>
          <w:marTop w:val="0"/>
          <w:marBottom w:val="0"/>
          <w:divBdr>
            <w:top w:val="none" w:sz="0" w:space="0" w:color="auto"/>
            <w:left w:val="none" w:sz="0" w:space="0" w:color="auto"/>
            <w:bottom w:val="none" w:sz="0" w:space="0" w:color="auto"/>
            <w:right w:val="none" w:sz="0" w:space="0" w:color="auto"/>
          </w:divBdr>
        </w:div>
        <w:div w:id="806356625">
          <w:marLeft w:val="640"/>
          <w:marRight w:val="0"/>
          <w:marTop w:val="0"/>
          <w:marBottom w:val="0"/>
          <w:divBdr>
            <w:top w:val="none" w:sz="0" w:space="0" w:color="auto"/>
            <w:left w:val="none" w:sz="0" w:space="0" w:color="auto"/>
            <w:bottom w:val="none" w:sz="0" w:space="0" w:color="auto"/>
            <w:right w:val="none" w:sz="0" w:space="0" w:color="auto"/>
          </w:divBdr>
        </w:div>
        <w:div w:id="2123986689">
          <w:marLeft w:val="640"/>
          <w:marRight w:val="0"/>
          <w:marTop w:val="0"/>
          <w:marBottom w:val="0"/>
          <w:divBdr>
            <w:top w:val="none" w:sz="0" w:space="0" w:color="auto"/>
            <w:left w:val="none" w:sz="0" w:space="0" w:color="auto"/>
            <w:bottom w:val="none" w:sz="0" w:space="0" w:color="auto"/>
            <w:right w:val="none" w:sz="0" w:space="0" w:color="auto"/>
          </w:divBdr>
        </w:div>
        <w:div w:id="2074771247">
          <w:marLeft w:val="640"/>
          <w:marRight w:val="0"/>
          <w:marTop w:val="0"/>
          <w:marBottom w:val="0"/>
          <w:divBdr>
            <w:top w:val="none" w:sz="0" w:space="0" w:color="auto"/>
            <w:left w:val="none" w:sz="0" w:space="0" w:color="auto"/>
            <w:bottom w:val="none" w:sz="0" w:space="0" w:color="auto"/>
            <w:right w:val="none" w:sz="0" w:space="0" w:color="auto"/>
          </w:divBdr>
        </w:div>
        <w:div w:id="48309258">
          <w:marLeft w:val="640"/>
          <w:marRight w:val="0"/>
          <w:marTop w:val="0"/>
          <w:marBottom w:val="0"/>
          <w:divBdr>
            <w:top w:val="none" w:sz="0" w:space="0" w:color="auto"/>
            <w:left w:val="none" w:sz="0" w:space="0" w:color="auto"/>
            <w:bottom w:val="none" w:sz="0" w:space="0" w:color="auto"/>
            <w:right w:val="none" w:sz="0" w:space="0" w:color="auto"/>
          </w:divBdr>
        </w:div>
        <w:div w:id="244389266">
          <w:marLeft w:val="640"/>
          <w:marRight w:val="0"/>
          <w:marTop w:val="0"/>
          <w:marBottom w:val="0"/>
          <w:divBdr>
            <w:top w:val="none" w:sz="0" w:space="0" w:color="auto"/>
            <w:left w:val="none" w:sz="0" w:space="0" w:color="auto"/>
            <w:bottom w:val="none" w:sz="0" w:space="0" w:color="auto"/>
            <w:right w:val="none" w:sz="0" w:space="0" w:color="auto"/>
          </w:divBdr>
        </w:div>
        <w:div w:id="1127502828">
          <w:marLeft w:val="640"/>
          <w:marRight w:val="0"/>
          <w:marTop w:val="0"/>
          <w:marBottom w:val="0"/>
          <w:divBdr>
            <w:top w:val="none" w:sz="0" w:space="0" w:color="auto"/>
            <w:left w:val="none" w:sz="0" w:space="0" w:color="auto"/>
            <w:bottom w:val="none" w:sz="0" w:space="0" w:color="auto"/>
            <w:right w:val="none" w:sz="0" w:space="0" w:color="auto"/>
          </w:divBdr>
        </w:div>
        <w:div w:id="1278676705">
          <w:marLeft w:val="640"/>
          <w:marRight w:val="0"/>
          <w:marTop w:val="0"/>
          <w:marBottom w:val="0"/>
          <w:divBdr>
            <w:top w:val="none" w:sz="0" w:space="0" w:color="auto"/>
            <w:left w:val="none" w:sz="0" w:space="0" w:color="auto"/>
            <w:bottom w:val="none" w:sz="0" w:space="0" w:color="auto"/>
            <w:right w:val="none" w:sz="0" w:space="0" w:color="auto"/>
          </w:divBdr>
        </w:div>
        <w:div w:id="1270577621">
          <w:marLeft w:val="640"/>
          <w:marRight w:val="0"/>
          <w:marTop w:val="0"/>
          <w:marBottom w:val="0"/>
          <w:divBdr>
            <w:top w:val="none" w:sz="0" w:space="0" w:color="auto"/>
            <w:left w:val="none" w:sz="0" w:space="0" w:color="auto"/>
            <w:bottom w:val="none" w:sz="0" w:space="0" w:color="auto"/>
            <w:right w:val="none" w:sz="0" w:space="0" w:color="auto"/>
          </w:divBdr>
        </w:div>
        <w:div w:id="2117091324">
          <w:marLeft w:val="640"/>
          <w:marRight w:val="0"/>
          <w:marTop w:val="0"/>
          <w:marBottom w:val="0"/>
          <w:divBdr>
            <w:top w:val="none" w:sz="0" w:space="0" w:color="auto"/>
            <w:left w:val="none" w:sz="0" w:space="0" w:color="auto"/>
            <w:bottom w:val="none" w:sz="0" w:space="0" w:color="auto"/>
            <w:right w:val="none" w:sz="0" w:space="0" w:color="auto"/>
          </w:divBdr>
        </w:div>
        <w:div w:id="471676255">
          <w:marLeft w:val="640"/>
          <w:marRight w:val="0"/>
          <w:marTop w:val="0"/>
          <w:marBottom w:val="0"/>
          <w:divBdr>
            <w:top w:val="none" w:sz="0" w:space="0" w:color="auto"/>
            <w:left w:val="none" w:sz="0" w:space="0" w:color="auto"/>
            <w:bottom w:val="none" w:sz="0" w:space="0" w:color="auto"/>
            <w:right w:val="none" w:sz="0" w:space="0" w:color="auto"/>
          </w:divBdr>
        </w:div>
        <w:div w:id="1675255361">
          <w:marLeft w:val="640"/>
          <w:marRight w:val="0"/>
          <w:marTop w:val="0"/>
          <w:marBottom w:val="0"/>
          <w:divBdr>
            <w:top w:val="none" w:sz="0" w:space="0" w:color="auto"/>
            <w:left w:val="none" w:sz="0" w:space="0" w:color="auto"/>
            <w:bottom w:val="none" w:sz="0" w:space="0" w:color="auto"/>
            <w:right w:val="none" w:sz="0" w:space="0" w:color="auto"/>
          </w:divBdr>
        </w:div>
        <w:div w:id="877937355">
          <w:marLeft w:val="640"/>
          <w:marRight w:val="0"/>
          <w:marTop w:val="0"/>
          <w:marBottom w:val="0"/>
          <w:divBdr>
            <w:top w:val="none" w:sz="0" w:space="0" w:color="auto"/>
            <w:left w:val="none" w:sz="0" w:space="0" w:color="auto"/>
            <w:bottom w:val="none" w:sz="0" w:space="0" w:color="auto"/>
            <w:right w:val="none" w:sz="0" w:space="0" w:color="auto"/>
          </w:divBdr>
        </w:div>
        <w:div w:id="956989066">
          <w:marLeft w:val="640"/>
          <w:marRight w:val="0"/>
          <w:marTop w:val="0"/>
          <w:marBottom w:val="0"/>
          <w:divBdr>
            <w:top w:val="none" w:sz="0" w:space="0" w:color="auto"/>
            <w:left w:val="none" w:sz="0" w:space="0" w:color="auto"/>
            <w:bottom w:val="none" w:sz="0" w:space="0" w:color="auto"/>
            <w:right w:val="none" w:sz="0" w:space="0" w:color="auto"/>
          </w:divBdr>
        </w:div>
        <w:div w:id="323316691">
          <w:marLeft w:val="640"/>
          <w:marRight w:val="0"/>
          <w:marTop w:val="0"/>
          <w:marBottom w:val="0"/>
          <w:divBdr>
            <w:top w:val="none" w:sz="0" w:space="0" w:color="auto"/>
            <w:left w:val="none" w:sz="0" w:space="0" w:color="auto"/>
            <w:bottom w:val="none" w:sz="0" w:space="0" w:color="auto"/>
            <w:right w:val="none" w:sz="0" w:space="0" w:color="auto"/>
          </w:divBdr>
        </w:div>
        <w:div w:id="1528828680">
          <w:marLeft w:val="640"/>
          <w:marRight w:val="0"/>
          <w:marTop w:val="0"/>
          <w:marBottom w:val="0"/>
          <w:divBdr>
            <w:top w:val="none" w:sz="0" w:space="0" w:color="auto"/>
            <w:left w:val="none" w:sz="0" w:space="0" w:color="auto"/>
            <w:bottom w:val="none" w:sz="0" w:space="0" w:color="auto"/>
            <w:right w:val="none" w:sz="0" w:space="0" w:color="auto"/>
          </w:divBdr>
        </w:div>
        <w:div w:id="1229221353">
          <w:marLeft w:val="640"/>
          <w:marRight w:val="0"/>
          <w:marTop w:val="0"/>
          <w:marBottom w:val="0"/>
          <w:divBdr>
            <w:top w:val="none" w:sz="0" w:space="0" w:color="auto"/>
            <w:left w:val="none" w:sz="0" w:space="0" w:color="auto"/>
            <w:bottom w:val="none" w:sz="0" w:space="0" w:color="auto"/>
            <w:right w:val="none" w:sz="0" w:space="0" w:color="auto"/>
          </w:divBdr>
        </w:div>
        <w:div w:id="2117434481">
          <w:marLeft w:val="640"/>
          <w:marRight w:val="0"/>
          <w:marTop w:val="0"/>
          <w:marBottom w:val="0"/>
          <w:divBdr>
            <w:top w:val="none" w:sz="0" w:space="0" w:color="auto"/>
            <w:left w:val="none" w:sz="0" w:space="0" w:color="auto"/>
            <w:bottom w:val="none" w:sz="0" w:space="0" w:color="auto"/>
            <w:right w:val="none" w:sz="0" w:space="0" w:color="auto"/>
          </w:divBdr>
        </w:div>
        <w:div w:id="730424545">
          <w:marLeft w:val="640"/>
          <w:marRight w:val="0"/>
          <w:marTop w:val="0"/>
          <w:marBottom w:val="0"/>
          <w:divBdr>
            <w:top w:val="none" w:sz="0" w:space="0" w:color="auto"/>
            <w:left w:val="none" w:sz="0" w:space="0" w:color="auto"/>
            <w:bottom w:val="none" w:sz="0" w:space="0" w:color="auto"/>
            <w:right w:val="none" w:sz="0" w:space="0" w:color="auto"/>
          </w:divBdr>
        </w:div>
        <w:div w:id="544876635">
          <w:marLeft w:val="640"/>
          <w:marRight w:val="0"/>
          <w:marTop w:val="0"/>
          <w:marBottom w:val="0"/>
          <w:divBdr>
            <w:top w:val="none" w:sz="0" w:space="0" w:color="auto"/>
            <w:left w:val="none" w:sz="0" w:space="0" w:color="auto"/>
            <w:bottom w:val="none" w:sz="0" w:space="0" w:color="auto"/>
            <w:right w:val="none" w:sz="0" w:space="0" w:color="auto"/>
          </w:divBdr>
        </w:div>
        <w:div w:id="1068261700">
          <w:marLeft w:val="640"/>
          <w:marRight w:val="0"/>
          <w:marTop w:val="0"/>
          <w:marBottom w:val="0"/>
          <w:divBdr>
            <w:top w:val="none" w:sz="0" w:space="0" w:color="auto"/>
            <w:left w:val="none" w:sz="0" w:space="0" w:color="auto"/>
            <w:bottom w:val="none" w:sz="0" w:space="0" w:color="auto"/>
            <w:right w:val="none" w:sz="0" w:space="0" w:color="auto"/>
          </w:divBdr>
        </w:div>
        <w:div w:id="793712467">
          <w:marLeft w:val="640"/>
          <w:marRight w:val="0"/>
          <w:marTop w:val="0"/>
          <w:marBottom w:val="0"/>
          <w:divBdr>
            <w:top w:val="none" w:sz="0" w:space="0" w:color="auto"/>
            <w:left w:val="none" w:sz="0" w:space="0" w:color="auto"/>
            <w:bottom w:val="none" w:sz="0" w:space="0" w:color="auto"/>
            <w:right w:val="none" w:sz="0" w:space="0" w:color="auto"/>
          </w:divBdr>
        </w:div>
        <w:div w:id="316616615">
          <w:marLeft w:val="640"/>
          <w:marRight w:val="0"/>
          <w:marTop w:val="0"/>
          <w:marBottom w:val="0"/>
          <w:divBdr>
            <w:top w:val="none" w:sz="0" w:space="0" w:color="auto"/>
            <w:left w:val="none" w:sz="0" w:space="0" w:color="auto"/>
            <w:bottom w:val="none" w:sz="0" w:space="0" w:color="auto"/>
            <w:right w:val="none" w:sz="0" w:space="0" w:color="auto"/>
          </w:divBdr>
        </w:div>
        <w:div w:id="1013991672">
          <w:marLeft w:val="640"/>
          <w:marRight w:val="0"/>
          <w:marTop w:val="0"/>
          <w:marBottom w:val="0"/>
          <w:divBdr>
            <w:top w:val="none" w:sz="0" w:space="0" w:color="auto"/>
            <w:left w:val="none" w:sz="0" w:space="0" w:color="auto"/>
            <w:bottom w:val="none" w:sz="0" w:space="0" w:color="auto"/>
            <w:right w:val="none" w:sz="0" w:space="0" w:color="auto"/>
          </w:divBdr>
        </w:div>
        <w:div w:id="1696422570">
          <w:marLeft w:val="640"/>
          <w:marRight w:val="0"/>
          <w:marTop w:val="0"/>
          <w:marBottom w:val="0"/>
          <w:divBdr>
            <w:top w:val="none" w:sz="0" w:space="0" w:color="auto"/>
            <w:left w:val="none" w:sz="0" w:space="0" w:color="auto"/>
            <w:bottom w:val="none" w:sz="0" w:space="0" w:color="auto"/>
            <w:right w:val="none" w:sz="0" w:space="0" w:color="auto"/>
          </w:divBdr>
        </w:div>
        <w:div w:id="1368024571">
          <w:marLeft w:val="640"/>
          <w:marRight w:val="0"/>
          <w:marTop w:val="0"/>
          <w:marBottom w:val="0"/>
          <w:divBdr>
            <w:top w:val="none" w:sz="0" w:space="0" w:color="auto"/>
            <w:left w:val="none" w:sz="0" w:space="0" w:color="auto"/>
            <w:bottom w:val="none" w:sz="0" w:space="0" w:color="auto"/>
            <w:right w:val="none" w:sz="0" w:space="0" w:color="auto"/>
          </w:divBdr>
        </w:div>
        <w:div w:id="449588590">
          <w:marLeft w:val="640"/>
          <w:marRight w:val="0"/>
          <w:marTop w:val="0"/>
          <w:marBottom w:val="0"/>
          <w:divBdr>
            <w:top w:val="none" w:sz="0" w:space="0" w:color="auto"/>
            <w:left w:val="none" w:sz="0" w:space="0" w:color="auto"/>
            <w:bottom w:val="none" w:sz="0" w:space="0" w:color="auto"/>
            <w:right w:val="none" w:sz="0" w:space="0" w:color="auto"/>
          </w:divBdr>
        </w:div>
        <w:div w:id="1391224048">
          <w:marLeft w:val="640"/>
          <w:marRight w:val="0"/>
          <w:marTop w:val="0"/>
          <w:marBottom w:val="0"/>
          <w:divBdr>
            <w:top w:val="none" w:sz="0" w:space="0" w:color="auto"/>
            <w:left w:val="none" w:sz="0" w:space="0" w:color="auto"/>
            <w:bottom w:val="none" w:sz="0" w:space="0" w:color="auto"/>
            <w:right w:val="none" w:sz="0" w:space="0" w:color="auto"/>
          </w:divBdr>
        </w:div>
        <w:div w:id="559829408">
          <w:marLeft w:val="640"/>
          <w:marRight w:val="0"/>
          <w:marTop w:val="0"/>
          <w:marBottom w:val="0"/>
          <w:divBdr>
            <w:top w:val="none" w:sz="0" w:space="0" w:color="auto"/>
            <w:left w:val="none" w:sz="0" w:space="0" w:color="auto"/>
            <w:bottom w:val="none" w:sz="0" w:space="0" w:color="auto"/>
            <w:right w:val="none" w:sz="0" w:space="0" w:color="auto"/>
          </w:divBdr>
        </w:div>
        <w:div w:id="1849785962">
          <w:marLeft w:val="640"/>
          <w:marRight w:val="0"/>
          <w:marTop w:val="0"/>
          <w:marBottom w:val="0"/>
          <w:divBdr>
            <w:top w:val="none" w:sz="0" w:space="0" w:color="auto"/>
            <w:left w:val="none" w:sz="0" w:space="0" w:color="auto"/>
            <w:bottom w:val="none" w:sz="0" w:space="0" w:color="auto"/>
            <w:right w:val="none" w:sz="0" w:space="0" w:color="auto"/>
          </w:divBdr>
        </w:div>
        <w:div w:id="1350987121">
          <w:marLeft w:val="640"/>
          <w:marRight w:val="0"/>
          <w:marTop w:val="0"/>
          <w:marBottom w:val="0"/>
          <w:divBdr>
            <w:top w:val="none" w:sz="0" w:space="0" w:color="auto"/>
            <w:left w:val="none" w:sz="0" w:space="0" w:color="auto"/>
            <w:bottom w:val="none" w:sz="0" w:space="0" w:color="auto"/>
            <w:right w:val="none" w:sz="0" w:space="0" w:color="auto"/>
          </w:divBdr>
        </w:div>
        <w:div w:id="731732104">
          <w:marLeft w:val="640"/>
          <w:marRight w:val="0"/>
          <w:marTop w:val="0"/>
          <w:marBottom w:val="0"/>
          <w:divBdr>
            <w:top w:val="none" w:sz="0" w:space="0" w:color="auto"/>
            <w:left w:val="none" w:sz="0" w:space="0" w:color="auto"/>
            <w:bottom w:val="none" w:sz="0" w:space="0" w:color="auto"/>
            <w:right w:val="none" w:sz="0" w:space="0" w:color="auto"/>
          </w:divBdr>
        </w:div>
        <w:div w:id="145320082">
          <w:marLeft w:val="640"/>
          <w:marRight w:val="0"/>
          <w:marTop w:val="0"/>
          <w:marBottom w:val="0"/>
          <w:divBdr>
            <w:top w:val="none" w:sz="0" w:space="0" w:color="auto"/>
            <w:left w:val="none" w:sz="0" w:space="0" w:color="auto"/>
            <w:bottom w:val="none" w:sz="0" w:space="0" w:color="auto"/>
            <w:right w:val="none" w:sz="0" w:space="0" w:color="auto"/>
          </w:divBdr>
        </w:div>
        <w:div w:id="1853179175">
          <w:marLeft w:val="640"/>
          <w:marRight w:val="0"/>
          <w:marTop w:val="0"/>
          <w:marBottom w:val="0"/>
          <w:divBdr>
            <w:top w:val="none" w:sz="0" w:space="0" w:color="auto"/>
            <w:left w:val="none" w:sz="0" w:space="0" w:color="auto"/>
            <w:bottom w:val="none" w:sz="0" w:space="0" w:color="auto"/>
            <w:right w:val="none" w:sz="0" w:space="0" w:color="auto"/>
          </w:divBdr>
        </w:div>
        <w:div w:id="680551974">
          <w:marLeft w:val="640"/>
          <w:marRight w:val="0"/>
          <w:marTop w:val="0"/>
          <w:marBottom w:val="0"/>
          <w:divBdr>
            <w:top w:val="none" w:sz="0" w:space="0" w:color="auto"/>
            <w:left w:val="none" w:sz="0" w:space="0" w:color="auto"/>
            <w:bottom w:val="none" w:sz="0" w:space="0" w:color="auto"/>
            <w:right w:val="none" w:sz="0" w:space="0" w:color="auto"/>
          </w:divBdr>
        </w:div>
        <w:div w:id="607278343">
          <w:marLeft w:val="640"/>
          <w:marRight w:val="0"/>
          <w:marTop w:val="0"/>
          <w:marBottom w:val="0"/>
          <w:divBdr>
            <w:top w:val="none" w:sz="0" w:space="0" w:color="auto"/>
            <w:left w:val="none" w:sz="0" w:space="0" w:color="auto"/>
            <w:bottom w:val="none" w:sz="0" w:space="0" w:color="auto"/>
            <w:right w:val="none" w:sz="0" w:space="0" w:color="auto"/>
          </w:divBdr>
        </w:div>
        <w:div w:id="1573656410">
          <w:marLeft w:val="640"/>
          <w:marRight w:val="0"/>
          <w:marTop w:val="0"/>
          <w:marBottom w:val="0"/>
          <w:divBdr>
            <w:top w:val="none" w:sz="0" w:space="0" w:color="auto"/>
            <w:left w:val="none" w:sz="0" w:space="0" w:color="auto"/>
            <w:bottom w:val="none" w:sz="0" w:space="0" w:color="auto"/>
            <w:right w:val="none" w:sz="0" w:space="0" w:color="auto"/>
          </w:divBdr>
        </w:div>
        <w:div w:id="666058233">
          <w:marLeft w:val="640"/>
          <w:marRight w:val="0"/>
          <w:marTop w:val="0"/>
          <w:marBottom w:val="0"/>
          <w:divBdr>
            <w:top w:val="none" w:sz="0" w:space="0" w:color="auto"/>
            <w:left w:val="none" w:sz="0" w:space="0" w:color="auto"/>
            <w:bottom w:val="none" w:sz="0" w:space="0" w:color="auto"/>
            <w:right w:val="none" w:sz="0" w:space="0" w:color="auto"/>
          </w:divBdr>
        </w:div>
        <w:div w:id="1406105222">
          <w:marLeft w:val="640"/>
          <w:marRight w:val="0"/>
          <w:marTop w:val="0"/>
          <w:marBottom w:val="0"/>
          <w:divBdr>
            <w:top w:val="none" w:sz="0" w:space="0" w:color="auto"/>
            <w:left w:val="none" w:sz="0" w:space="0" w:color="auto"/>
            <w:bottom w:val="none" w:sz="0" w:space="0" w:color="auto"/>
            <w:right w:val="none" w:sz="0" w:space="0" w:color="auto"/>
          </w:divBdr>
        </w:div>
        <w:div w:id="629163748">
          <w:marLeft w:val="640"/>
          <w:marRight w:val="0"/>
          <w:marTop w:val="0"/>
          <w:marBottom w:val="0"/>
          <w:divBdr>
            <w:top w:val="none" w:sz="0" w:space="0" w:color="auto"/>
            <w:left w:val="none" w:sz="0" w:space="0" w:color="auto"/>
            <w:bottom w:val="none" w:sz="0" w:space="0" w:color="auto"/>
            <w:right w:val="none" w:sz="0" w:space="0" w:color="auto"/>
          </w:divBdr>
        </w:div>
        <w:div w:id="1387683992">
          <w:marLeft w:val="640"/>
          <w:marRight w:val="0"/>
          <w:marTop w:val="0"/>
          <w:marBottom w:val="0"/>
          <w:divBdr>
            <w:top w:val="none" w:sz="0" w:space="0" w:color="auto"/>
            <w:left w:val="none" w:sz="0" w:space="0" w:color="auto"/>
            <w:bottom w:val="none" w:sz="0" w:space="0" w:color="auto"/>
            <w:right w:val="none" w:sz="0" w:space="0" w:color="auto"/>
          </w:divBdr>
        </w:div>
        <w:div w:id="508179310">
          <w:marLeft w:val="640"/>
          <w:marRight w:val="0"/>
          <w:marTop w:val="0"/>
          <w:marBottom w:val="0"/>
          <w:divBdr>
            <w:top w:val="none" w:sz="0" w:space="0" w:color="auto"/>
            <w:left w:val="none" w:sz="0" w:space="0" w:color="auto"/>
            <w:bottom w:val="none" w:sz="0" w:space="0" w:color="auto"/>
            <w:right w:val="none" w:sz="0" w:space="0" w:color="auto"/>
          </w:divBdr>
        </w:div>
        <w:div w:id="1912426338">
          <w:marLeft w:val="640"/>
          <w:marRight w:val="0"/>
          <w:marTop w:val="0"/>
          <w:marBottom w:val="0"/>
          <w:divBdr>
            <w:top w:val="none" w:sz="0" w:space="0" w:color="auto"/>
            <w:left w:val="none" w:sz="0" w:space="0" w:color="auto"/>
            <w:bottom w:val="none" w:sz="0" w:space="0" w:color="auto"/>
            <w:right w:val="none" w:sz="0" w:space="0" w:color="auto"/>
          </w:divBdr>
        </w:div>
        <w:div w:id="1414669401">
          <w:marLeft w:val="640"/>
          <w:marRight w:val="0"/>
          <w:marTop w:val="0"/>
          <w:marBottom w:val="0"/>
          <w:divBdr>
            <w:top w:val="none" w:sz="0" w:space="0" w:color="auto"/>
            <w:left w:val="none" w:sz="0" w:space="0" w:color="auto"/>
            <w:bottom w:val="none" w:sz="0" w:space="0" w:color="auto"/>
            <w:right w:val="none" w:sz="0" w:space="0" w:color="auto"/>
          </w:divBdr>
        </w:div>
        <w:div w:id="2031910186">
          <w:marLeft w:val="640"/>
          <w:marRight w:val="0"/>
          <w:marTop w:val="0"/>
          <w:marBottom w:val="0"/>
          <w:divBdr>
            <w:top w:val="none" w:sz="0" w:space="0" w:color="auto"/>
            <w:left w:val="none" w:sz="0" w:space="0" w:color="auto"/>
            <w:bottom w:val="none" w:sz="0" w:space="0" w:color="auto"/>
            <w:right w:val="none" w:sz="0" w:space="0" w:color="auto"/>
          </w:divBdr>
        </w:div>
        <w:div w:id="1828936580">
          <w:marLeft w:val="640"/>
          <w:marRight w:val="0"/>
          <w:marTop w:val="0"/>
          <w:marBottom w:val="0"/>
          <w:divBdr>
            <w:top w:val="none" w:sz="0" w:space="0" w:color="auto"/>
            <w:left w:val="none" w:sz="0" w:space="0" w:color="auto"/>
            <w:bottom w:val="none" w:sz="0" w:space="0" w:color="auto"/>
            <w:right w:val="none" w:sz="0" w:space="0" w:color="auto"/>
          </w:divBdr>
        </w:div>
        <w:div w:id="1814102521">
          <w:marLeft w:val="640"/>
          <w:marRight w:val="0"/>
          <w:marTop w:val="0"/>
          <w:marBottom w:val="0"/>
          <w:divBdr>
            <w:top w:val="none" w:sz="0" w:space="0" w:color="auto"/>
            <w:left w:val="none" w:sz="0" w:space="0" w:color="auto"/>
            <w:bottom w:val="none" w:sz="0" w:space="0" w:color="auto"/>
            <w:right w:val="none" w:sz="0" w:space="0" w:color="auto"/>
          </w:divBdr>
        </w:div>
        <w:div w:id="691612526">
          <w:marLeft w:val="640"/>
          <w:marRight w:val="0"/>
          <w:marTop w:val="0"/>
          <w:marBottom w:val="0"/>
          <w:divBdr>
            <w:top w:val="none" w:sz="0" w:space="0" w:color="auto"/>
            <w:left w:val="none" w:sz="0" w:space="0" w:color="auto"/>
            <w:bottom w:val="none" w:sz="0" w:space="0" w:color="auto"/>
            <w:right w:val="none" w:sz="0" w:space="0" w:color="auto"/>
          </w:divBdr>
        </w:div>
        <w:div w:id="1592621435">
          <w:marLeft w:val="640"/>
          <w:marRight w:val="0"/>
          <w:marTop w:val="0"/>
          <w:marBottom w:val="0"/>
          <w:divBdr>
            <w:top w:val="none" w:sz="0" w:space="0" w:color="auto"/>
            <w:left w:val="none" w:sz="0" w:space="0" w:color="auto"/>
            <w:bottom w:val="none" w:sz="0" w:space="0" w:color="auto"/>
            <w:right w:val="none" w:sz="0" w:space="0" w:color="auto"/>
          </w:divBdr>
        </w:div>
        <w:div w:id="1608390485">
          <w:marLeft w:val="640"/>
          <w:marRight w:val="0"/>
          <w:marTop w:val="0"/>
          <w:marBottom w:val="0"/>
          <w:divBdr>
            <w:top w:val="none" w:sz="0" w:space="0" w:color="auto"/>
            <w:left w:val="none" w:sz="0" w:space="0" w:color="auto"/>
            <w:bottom w:val="none" w:sz="0" w:space="0" w:color="auto"/>
            <w:right w:val="none" w:sz="0" w:space="0" w:color="auto"/>
          </w:divBdr>
        </w:div>
        <w:div w:id="1953516092">
          <w:marLeft w:val="640"/>
          <w:marRight w:val="0"/>
          <w:marTop w:val="0"/>
          <w:marBottom w:val="0"/>
          <w:divBdr>
            <w:top w:val="none" w:sz="0" w:space="0" w:color="auto"/>
            <w:left w:val="none" w:sz="0" w:space="0" w:color="auto"/>
            <w:bottom w:val="none" w:sz="0" w:space="0" w:color="auto"/>
            <w:right w:val="none" w:sz="0" w:space="0" w:color="auto"/>
          </w:divBdr>
        </w:div>
        <w:div w:id="1323696870">
          <w:marLeft w:val="640"/>
          <w:marRight w:val="0"/>
          <w:marTop w:val="0"/>
          <w:marBottom w:val="0"/>
          <w:divBdr>
            <w:top w:val="none" w:sz="0" w:space="0" w:color="auto"/>
            <w:left w:val="none" w:sz="0" w:space="0" w:color="auto"/>
            <w:bottom w:val="none" w:sz="0" w:space="0" w:color="auto"/>
            <w:right w:val="none" w:sz="0" w:space="0" w:color="auto"/>
          </w:divBdr>
        </w:div>
        <w:div w:id="936979582">
          <w:marLeft w:val="640"/>
          <w:marRight w:val="0"/>
          <w:marTop w:val="0"/>
          <w:marBottom w:val="0"/>
          <w:divBdr>
            <w:top w:val="none" w:sz="0" w:space="0" w:color="auto"/>
            <w:left w:val="none" w:sz="0" w:space="0" w:color="auto"/>
            <w:bottom w:val="none" w:sz="0" w:space="0" w:color="auto"/>
            <w:right w:val="none" w:sz="0" w:space="0" w:color="auto"/>
          </w:divBdr>
        </w:div>
        <w:div w:id="492573870">
          <w:marLeft w:val="640"/>
          <w:marRight w:val="0"/>
          <w:marTop w:val="0"/>
          <w:marBottom w:val="0"/>
          <w:divBdr>
            <w:top w:val="none" w:sz="0" w:space="0" w:color="auto"/>
            <w:left w:val="none" w:sz="0" w:space="0" w:color="auto"/>
            <w:bottom w:val="none" w:sz="0" w:space="0" w:color="auto"/>
            <w:right w:val="none" w:sz="0" w:space="0" w:color="auto"/>
          </w:divBdr>
        </w:div>
        <w:div w:id="1024744122">
          <w:marLeft w:val="640"/>
          <w:marRight w:val="0"/>
          <w:marTop w:val="0"/>
          <w:marBottom w:val="0"/>
          <w:divBdr>
            <w:top w:val="none" w:sz="0" w:space="0" w:color="auto"/>
            <w:left w:val="none" w:sz="0" w:space="0" w:color="auto"/>
            <w:bottom w:val="none" w:sz="0" w:space="0" w:color="auto"/>
            <w:right w:val="none" w:sz="0" w:space="0" w:color="auto"/>
          </w:divBdr>
        </w:div>
        <w:div w:id="1883790024">
          <w:marLeft w:val="640"/>
          <w:marRight w:val="0"/>
          <w:marTop w:val="0"/>
          <w:marBottom w:val="0"/>
          <w:divBdr>
            <w:top w:val="none" w:sz="0" w:space="0" w:color="auto"/>
            <w:left w:val="none" w:sz="0" w:space="0" w:color="auto"/>
            <w:bottom w:val="none" w:sz="0" w:space="0" w:color="auto"/>
            <w:right w:val="none" w:sz="0" w:space="0" w:color="auto"/>
          </w:divBdr>
        </w:div>
        <w:div w:id="842360642">
          <w:marLeft w:val="640"/>
          <w:marRight w:val="0"/>
          <w:marTop w:val="0"/>
          <w:marBottom w:val="0"/>
          <w:divBdr>
            <w:top w:val="none" w:sz="0" w:space="0" w:color="auto"/>
            <w:left w:val="none" w:sz="0" w:space="0" w:color="auto"/>
            <w:bottom w:val="none" w:sz="0" w:space="0" w:color="auto"/>
            <w:right w:val="none" w:sz="0" w:space="0" w:color="auto"/>
          </w:divBdr>
        </w:div>
        <w:div w:id="1799179057">
          <w:marLeft w:val="640"/>
          <w:marRight w:val="0"/>
          <w:marTop w:val="0"/>
          <w:marBottom w:val="0"/>
          <w:divBdr>
            <w:top w:val="none" w:sz="0" w:space="0" w:color="auto"/>
            <w:left w:val="none" w:sz="0" w:space="0" w:color="auto"/>
            <w:bottom w:val="none" w:sz="0" w:space="0" w:color="auto"/>
            <w:right w:val="none" w:sz="0" w:space="0" w:color="auto"/>
          </w:divBdr>
        </w:div>
        <w:div w:id="1470395258">
          <w:marLeft w:val="640"/>
          <w:marRight w:val="0"/>
          <w:marTop w:val="0"/>
          <w:marBottom w:val="0"/>
          <w:divBdr>
            <w:top w:val="none" w:sz="0" w:space="0" w:color="auto"/>
            <w:left w:val="none" w:sz="0" w:space="0" w:color="auto"/>
            <w:bottom w:val="none" w:sz="0" w:space="0" w:color="auto"/>
            <w:right w:val="none" w:sz="0" w:space="0" w:color="auto"/>
          </w:divBdr>
        </w:div>
        <w:div w:id="65425166">
          <w:marLeft w:val="640"/>
          <w:marRight w:val="0"/>
          <w:marTop w:val="0"/>
          <w:marBottom w:val="0"/>
          <w:divBdr>
            <w:top w:val="none" w:sz="0" w:space="0" w:color="auto"/>
            <w:left w:val="none" w:sz="0" w:space="0" w:color="auto"/>
            <w:bottom w:val="none" w:sz="0" w:space="0" w:color="auto"/>
            <w:right w:val="none" w:sz="0" w:space="0" w:color="auto"/>
          </w:divBdr>
        </w:div>
        <w:div w:id="1944534017">
          <w:marLeft w:val="640"/>
          <w:marRight w:val="0"/>
          <w:marTop w:val="0"/>
          <w:marBottom w:val="0"/>
          <w:divBdr>
            <w:top w:val="none" w:sz="0" w:space="0" w:color="auto"/>
            <w:left w:val="none" w:sz="0" w:space="0" w:color="auto"/>
            <w:bottom w:val="none" w:sz="0" w:space="0" w:color="auto"/>
            <w:right w:val="none" w:sz="0" w:space="0" w:color="auto"/>
          </w:divBdr>
        </w:div>
        <w:div w:id="903218988">
          <w:marLeft w:val="640"/>
          <w:marRight w:val="0"/>
          <w:marTop w:val="0"/>
          <w:marBottom w:val="0"/>
          <w:divBdr>
            <w:top w:val="none" w:sz="0" w:space="0" w:color="auto"/>
            <w:left w:val="none" w:sz="0" w:space="0" w:color="auto"/>
            <w:bottom w:val="none" w:sz="0" w:space="0" w:color="auto"/>
            <w:right w:val="none" w:sz="0" w:space="0" w:color="auto"/>
          </w:divBdr>
        </w:div>
        <w:div w:id="973682149">
          <w:marLeft w:val="640"/>
          <w:marRight w:val="0"/>
          <w:marTop w:val="0"/>
          <w:marBottom w:val="0"/>
          <w:divBdr>
            <w:top w:val="none" w:sz="0" w:space="0" w:color="auto"/>
            <w:left w:val="none" w:sz="0" w:space="0" w:color="auto"/>
            <w:bottom w:val="none" w:sz="0" w:space="0" w:color="auto"/>
            <w:right w:val="none" w:sz="0" w:space="0" w:color="auto"/>
          </w:divBdr>
        </w:div>
        <w:div w:id="288822539">
          <w:marLeft w:val="640"/>
          <w:marRight w:val="0"/>
          <w:marTop w:val="0"/>
          <w:marBottom w:val="0"/>
          <w:divBdr>
            <w:top w:val="none" w:sz="0" w:space="0" w:color="auto"/>
            <w:left w:val="none" w:sz="0" w:space="0" w:color="auto"/>
            <w:bottom w:val="none" w:sz="0" w:space="0" w:color="auto"/>
            <w:right w:val="none" w:sz="0" w:space="0" w:color="auto"/>
          </w:divBdr>
        </w:div>
        <w:div w:id="427701581">
          <w:marLeft w:val="640"/>
          <w:marRight w:val="0"/>
          <w:marTop w:val="0"/>
          <w:marBottom w:val="0"/>
          <w:divBdr>
            <w:top w:val="none" w:sz="0" w:space="0" w:color="auto"/>
            <w:left w:val="none" w:sz="0" w:space="0" w:color="auto"/>
            <w:bottom w:val="none" w:sz="0" w:space="0" w:color="auto"/>
            <w:right w:val="none" w:sz="0" w:space="0" w:color="auto"/>
          </w:divBdr>
        </w:div>
        <w:div w:id="1798063773">
          <w:marLeft w:val="640"/>
          <w:marRight w:val="0"/>
          <w:marTop w:val="0"/>
          <w:marBottom w:val="0"/>
          <w:divBdr>
            <w:top w:val="none" w:sz="0" w:space="0" w:color="auto"/>
            <w:left w:val="none" w:sz="0" w:space="0" w:color="auto"/>
            <w:bottom w:val="none" w:sz="0" w:space="0" w:color="auto"/>
            <w:right w:val="none" w:sz="0" w:space="0" w:color="auto"/>
          </w:divBdr>
        </w:div>
        <w:div w:id="1066682202">
          <w:marLeft w:val="640"/>
          <w:marRight w:val="0"/>
          <w:marTop w:val="0"/>
          <w:marBottom w:val="0"/>
          <w:divBdr>
            <w:top w:val="none" w:sz="0" w:space="0" w:color="auto"/>
            <w:left w:val="none" w:sz="0" w:space="0" w:color="auto"/>
            <w:bottom w:val="none" w:sz="0" w:space="0" w:color="auto"/>
            <w:right w:val="none" w:sz="0" w:space="0" w:color="auto"/>
          </w:divBdr>
        </w:div>
        <w:div w:id="2031105579">
          <w:marLeft w:val="640"/>
          <w:marRight w:val="0"/>
          <w:marTop w:val="0"/>
          <w:marBottom w:val="0"/>
          <w:divBdr>
            <w:top w:val="none" w:sz="0" w:space="0" w:color="auto"/>
            <w:left w:val="none" w:sz="0" w:space="0" w:color="auto"/>
            <w:bottom w:val="none" w:sz="0" w:space="0" w:color="auto"/>
            <w:right w:val="none" w:sz="0" w:space="0" w:color="auto"/>
          </w:divBdr>
        </w:div>
        <w:div w:id="818041168">
          <w:marLeft w:val="640"/>
          <w:marRight w:val="0"/>
          <w:marTop w:val="0"/>
          <w:marBottom w:val="0"/>
          <w:divBdr>
            <w:top w:val="none" w:sz="0" w:space="0" w:color="auto"/>
            <w:left w:val="none" w:sz="0" w:space="0" w:color="auto"/>
            <w:bottom w:val="none" w:sz="0" w:space="0" w:color="auto"/>
            <w:right w:val="none" w:sz="0" w:space="0" w:color="auto"/>
          </w:divBdr>
        </w:div>
        <w:div w:id="1328824154">
          <w:marLeft w:val="640"/>
          <w:marRight w:val="0"/>
          <w:marTop w:val="0"/>
          <w:marBottom w:val="0"/>
          <w:divBdr>
            <w:top w:val="none" w:sz="0" w:space="0" w:color="auto"/>
            <w:left w:val="none" w:sz="0" w:space="0" w:color="auto"/>
            <w:bottom w:val="none" w:sz="0" w:space="0" w:color="auto"/>
            <w:right w:val="none" w:sz="0" w:space="0" w:color="auto"/>
          </w:divBdr>
        </w:div>
        <w:div w:id="110515285">
          <w:marLeft w:val="640"/>
          <w:marRight w:val="0"/>
          <w:marTop w:val="0"/>
          <w:marBottom w:val="0"/>
          <w:divBdr>
            <w:top w:val="none" w:sz="0" w:space="0" w:color="auto"/>
            <w:left w:val="none" w:sz="0" w:space="0" w:color="auto"/>
            <w:bottom w:val="none" w:sz="0" w:space="0" w:color="auto"/>
            <w:right w:val="none" w:sz="0" w:space="0" w:color="auto"/>
          </w:divBdr>
        </w:div>
        <w:div w:id="736972278">
          <w:marLeft w:val="640"/>
          <w:marRight w:val="0"/>
          <w:marTop w:val="0"/>
          <w:marBottom w:val="0"/>
          <w:divBdr>
            <w:top w:val="none" w:sz="0" w:space="0" w:color="auto"/>
            <w:left w:val="none" w:sz="0" w:space="0" w:color="auto"/>
            <w:bottom w:val="none" w:sz="0" w:space="0" w:color="auto"/>
            <w:right w:val="none" w:sz="0" w:space="0" w:color="auto"/>
          </w:divBdr>
        </w:div>
        <w:div w:id="412699848">
          <w:marLeft w:val="640"/>
          <w:marRight w:val="0"/>
          <w:marTop w:val="0"/>
          <w:marBottom w:val="0"/>
          <w:divBdr>
            <w:top w:val="none" w:sz="0" w:space="0" w:color="auto"/>
            <w:left w:val="none" w:sz="0" w:space="0" w:color="auto"/>
            <w:bottom w:val="none" w:sz="0" w:space="0" w:color="auto"/>
            <w:right w:val="none" w:sz="0" w:space="0" w:color="auto"/>
          </w:divBdr>
        </w:div>
        <w:div w:id="479005612">
          <w:marLeft w:val="640"/>
          <w:marRight w:val="0"/>
          <w:marTop w:val="0"/>
          <w:marBottom w:val="0"/>
          <w:divBdr>
            <w:top w:val="none" w:sz="0" w:space="0" w:color="auto"/>
            <w:left w:val="none" w:sz="0" w:space="0" w:color="auto"/>
            <w:bottom w:val="none" w:sz="0" w:space="0" w:color="auto"/>
            <w:right w:val="none" w:sz="0" w:space="0" w:color="auto"/>
          </w:divBdr>
        </w:div>
        <w:div w:id="1660763839">
          <w:marLeft w:val="640"/>
          <w:marRight w:val="0"/>
          <w:marTop w:val="0"/>
          <w:marBottom w:val="0"/>
          <w:divBdr>
            <w:top w:val="none" w:sz="0" w:space="0" w:color="auto"/>
            <w:left w:val="none" w:sz="0" w:space="0" w:color="auto"/>
            <w:bottom w:val="none" w:sz="0" w:space="0" w:color="auto"/>
            <w:right w:val="none" w:sz="0" w:space="0" w:color="auto"/>
          </w:divBdr>
        </w:div>
        <w:div w:id="551382012">
          <w:marLeft w:val="640"/>
          <w:marRight w:val="0"/>
          <w:marTop w:val="0"/>
          <w:marBottom w:val="0"/>
          <w:divBdr>
            <w:top w:val="none" w:sz="0" w:space="0" w:color="auto"/>
            <w:left w:val="none" w:sz="0" w:space="0" w:color="auto"/>
            <w:bottom w:val="none" w:sz="0" w:space="0" w:color="auto"/>
            <w:right w:val="none" w:sz="0" w:space="0" w:color="auto"/>
          </w:divBdr>
        </w:div>
        <w:div w:id="1312951551">
          <w:marLeft w:val="640"/>
          <w:marRight w:val="0"/>
          <w:marTop w:val="0"/>
          <w:marBottom w:val="0"/>
          <w:divBdr>
            <w:top w:val="none" w:sz="0" w:space="0" w:color="auto"/>
            <w:left w:val="none" w:sz="0" w:space="0" w:color="auto"/>
            <w:bottom w:val="none" w:sz="0" w:space="0" w:color="auto"/>
            <w:right w:val="none" w:sz="0" w:space="0" w:color="auto"/>
          </w:divBdr>
        </w:div>
        <w:div w:id="1585141594">
          <w:marLeft w:val="640"/>
          <w:marRight w:val="0"/>
          <w:marTop w:val="0"/>
          <w:marBottom w:val="0"/>
          <w:divBdr>
            <w:top w:val="none" w:sz="0" w:space="0" w:color="auto"/>
            <w:left w:val="none" w:sz="0" w:space="0" w:color="auto"/>
            <w:bottom w:val="none" w:sz="0" w:space="0" w:color="auto"/>
            <w:right w:val="none" w:sz="0" w:space="0" w:color="auto"/>
          </w:divBdr>
        </w:div>
        <w:div w:id="75785065">
          <w:marLeft w:val="640"/>
          <w:marRight w:val="0"/>
          <w:marTop w:val="0"/>
          <w:marBottom w:val="0"/>
          <w:divBdr>
            <w:top w:val="none" w:sz="0" w:space="0" w:color="auto"/>
            <w:left w:val="none" w:sz="0" w:space="0" w:color="auto"/>
            <w:bottom w:val="none" w:sz="0" w:space="0" w:color="auto"/>
            <w:right w:val="none" w:sz="0" w:space="0" w:color="auto"/>
          </w:divBdr>
        </w:div>
        <w:div w:id="182090724">
          <w:marLeft w:val="640"/>
          <w:marRight w:val="0"/>
          <w:marTop w:val="0"/>
          <w:marBottom w:val="0"/>
          <w:divBdr>
            <w:top w:val="none" w:sz="0" w:space="0" w:color="auto"/>
            <w:left w:val="none" w:sz="0" w:space="0" w:color="auto"/>
            <w:bottom w:val="none" w:sz="0" w:space="0" w:color="auto"/>
            <w:right w:val="none" w:sz="0" w:space="0" w:color="auto"/>
          </w:divBdr>
        </w:div>
        <w:div w:id="747070669">
          <w:marLeft w:val="640"/>
          <w:marRight w:val="0"/>
          <w:marTop w:val="0"/>
          <w:marBottom w:val="0"/>
          <w:divBdr>
            <w:top w:val="none" w:sz="0" w:space="0" w:color="auto"/>
            <w:left w:val="none" w:sz="0" w:space="0" w:color="auto"/>
            <w:bottom w:val="none" w:sz="0" w:space="0" w:color="auto"/>
            <w:right w:val="none" w:sz="0" w:space="0" w:color="auto"/>
          </w:divBdr>
        </w:div>
        <w:div w:id="1085147508">
          <w:marLeft w:val="640"/>
          <w:marRight w:val="0"/>
          <w:marTop w:val="0"/>
          <w:marBottom w:val="0"/>
          <w:divBdr>
            <w:top w:val="none" w:sz="0" w:space="0" w:color="auto"/>
            <w:left w:val="none" w:sz="0" w:space="0" w:color="auto"/>
            <w:bottom w:val="none" w:sz="0" w:space="0" w:color="auto"/>
            <w:right w:val="none" w:sz="0" w:space="0" w:color="auto"/>
          </w:divBdr>
        </w:div>
        <w:div w:id="1612591415">
          <w:marLeft w:val="640"/>
          <w:marRight w:val="0"/>
          <w:marTop w:val="0"/>
          <w:marBottom w:val="0"/>
          <w:divBdr>
            <w:top w:val="none" w:sz="0" w:space="0" w:color="auto"/>
            <w:left w:val="none" w:sz="0" w:space="0" w:color="auto"/>
            <w:bottom w:val="none" w:sz="0" w:space="0" w:color="auto"/>
            <w:right w:val="none" w:sz="0" w:space="0" w:color="auto"/>
          </w:divBdr>
        </w:div>
        <w:div w:id="971329074">
          <w:marLeft w:val="640"/>
          <w:marRight w:val="0"/>
          <w:marTop w:val="0"/>
          <w:marBottom w:val="0"/>
          <w:divBdr>
            <w:top w:val="none" w:sz="0" w:space="0" w:color="auto"/>
            <w:left w:val="none" w:sz="0" w:space="0" w:color="auto"/>
            <w:bottom w:val="none" w:sz="0" w:space="0" w:color="auto"/>
            <w:right w:val="none" w:sz="0" w:space="0" w:color="auto"/>
          </w:divBdr>
        </w:div>
        <w:div w:id="61762039">
          <w:marLeft w:val="640"/>
          <w:marRight w:val="0"/>
          <w:marTop w:val="0"/>
          <w:marBottom w:val="0"/>
          <w:divBdr>
            <w:top w:val="none" w:sz="0" w:space="0" w:color="auto"/>
            <w:left w:val="none" w:sz="0" w:space="0" w:color="auto"/>
            <w:bottom w:val="none" w:sz="0" w:space="0" w:color="auto"/>
            <w:right w:val="none" w:sz="0" w:space="0" w:color="auto"/>
          </w:divBdr>
        </w:div>
        <w:div w:id="264001972">
          <w:marLeft w:val="640"/>
          <w:marRight w:val="0"/>
          <w:marTop w:val="0"/>
          <w:marBottom w:val="0"/>
          <w:divBdr>
            <w:top w:val="none" w:sz="0" w:space="0" w:color="auto"/>
            <w:left w:val="none" w:sz="0" w:space="0" w:color="auto"/>
            <w:bottom w:val="none" w:sz="0" w:space="0" w:color="auto"/>
            <w:right w:val="none" w:sz="0" w:space="0" w:color="auto"/>
          </w:divBdr>
        </w:div>
        <w:div w:id="1248033025">
          <w:marLeft w:val="640"/>
          <w:marRight w:val="0"/>
          <w:marTop w:val="0"/>
          <w:marBottom w:val="0"/>
          <w:divBdr>
            <w:top w:val="none" w:sz="0" w:space="0" w:color="auto"/>
            <w:left w:val="none" w:sz="0" w:space="0" w:color="auto"/>
            <w:bottom w:val="none" w:sz="0" w:space="0" w:color="auto"/>
            <w:right w:val="none" w:sz="0" w:space="0" w:color="auto"/>
          </w:divBdr>
        </w:div>
        <w:div w:id="1925724182">
          <w:marLeft w:val="640"/>
          <w:marRight w:val="0"/>
          <w:marTop w:val="0"/>
          <w:marBottom w:val="0"/>
          <w:divBdr>
            <w:top w:val="none" w:sz="0" w:space="0" w:color="auto"/>
            <w:left w:val="none" w:sz="0" w:space="0" w:color="auto"/>
            <w:bottom w:val="none" w:sz="0" w:space="0" w:color="auto"/>
            <w:right w:val="none" w:sz="0" w:space="0" w:color="auto"/>
          </w:divBdr>
        </w:div>
        <w:div w:id="1980262825">
          <w:marLeft w:val="640"/>
          <w:marRight w:val="0"/>
          <w:marTop w:val="0"/>
          <w:marBottom w:val="0"/>
          <w:divBdr>
            <w:top w:val="none" w:sz="0" w:space="0" w:color="auto"/>
            <w:left w:val="none" w:sz="0" w:space="0" w:color="auto"/>
            <w:bottom w:val="none" w:sz="0" w:space="0" w:color="auto"/>
            <w:right w:val="none" w:sz="0" w:space="0" w:color="auto"/>
          </w:divBdr>
        </w:div>
        <w:div w:id="309556728">
          <w:marLeft w:val="640"/>
          <w:marRight w:val="0"/>
          <w:marTop w:val="0"/>
          <w:marBottom w:val="0"/>
          <w:divBdr>
            <w:top w:val="none" w:sz="0" w:space="0" w:color="auto"/>
            <w:left w:val="none" w:sz="0" w:space="0" w:color="auto"/>
            <w:bottom w:val="none" w:sz="0" w:space="0" w:color="auto"/>
            <w:right w:val="none" w:sz="0" w:space="0" w:color="auto"/>
          </w:divBdr>
        </w:div>
        <w:div w:id="1460030026">
          <w:marLeft w:val="640"/>
          <w:marRight w:val="0"/>
          <w:marTop w:val="0"/>
          <w:marBottom w:val="0"/>
          <w:divBdr>
            <w:top w:val="none" w:sz="0" w:space="0" w:color="auto"/>
            <w:left w:val="none" w:sz="0" w:space="0" w:color="auto"/>
            <w:bottom w:val="none" w:sz="0" w:space="0" w:color="auto"/>
            <w:right w:val="none" w:sz="0" w:space="0" w:color="auto"/>
          </w:divBdr>
        </w:div>
        <w:div w:id="1485269898">
          <w:marLeft w:val="640"/>
          <w:marRight w:val="0"/>
          <w:marTop w:val="0"/>
          <w:marBottom w:val="0"/>
          <w:divBdr>
            <w:top w:val="none" w:sz="0" w:space="0" w:color="auto"/>
            <w:left w:val="none" w:sz="0" w:space="0" w:color="auto"/>
            <w:bottom w:val="none" w:sz="0" w:space="0" w:color="auto"/>
            <w:right w:val="none" w:sz="0" w:space="0" w:color="auto"/>
          </w:divBdr>
        </w:div>
        <w:div w:id="1656449663">
          <w:marLeft w:val="640"/>
          <w:marRight w:val="0"/>
          <w:marTop w:val="0"/>
          <w:marBottom w:val="0"/>
          <w:divBdr>
            <w:top w:val="none" w:sz="0" w:space="0" w:color="auto"/>
            <w:left w:val="none" w:sz="0" w:space="0" w:color="auto"/>
            <w:bottom w:val="none" w:sz="0" w:space="0" w:color="auto"/>
            <w:right w:val="none" w:sz="0" w:space="0" w:color="auto"/>
          </w:divBdr>
        </w:div>
        <w:div w:id="842400357">
          <w:marLeft w:val="640"/>
          <w:marRight w:val="0"/>
          <w:marTop w:val="0"/>
          <w:marBottom w:val="0"/>
          <w:divBdr>
            <w:top w:val="none" w:sz="0" w:space="0" w:color="auto"/>
            <w:left w:val="none" w:sz="0" w:space="0" w:color="auto"/>
            <w:bottom w:val="none" w:sz="0" w:space="0" w:color="auto"/>
            <w:right w:val="none" w:sz="0" w:space="0" w:color="auto"/>
          </w:divBdr>
        </w:div>
        <w:div w:id="1696736176">
          <w:marLeft w:val="640"/>
          <w:marRight w:val="0"/>
          <w:marTop w:val="0"/>
          <w:marBottom w:val="0"/>
          <w:divBdr>
            <w:top w:val="none" w:sz="0" w:space="0" w:color="auto"/>
            <w:left w:val="none" w:sz="0" w:space="0" w:color="auto"/>
            <w:bottom w:val="none" w:sz="0" w:space="0" w:color="auto"/>
            <w:right w:val="none" w:sz="0" w:space="0" w:color="auto"/>
          </w:divBdr>
        </w:div>
        <w:div w:id="2090036501">
          <w:marLeft w:val="640"/>
          <w:marRight w:val="0"/>
          <w:marTop w:val="0"/>
          <w:marBottom w:val="0"/>
          <w:divBdr>
            <w:top w:val="none" w:sz="0" w:space="0" w:color="auto"/>
            <w:left w:val="none" w:sz="0" w:space="0" w:color="auto"/>
            <w:bottom w:val="none" w:sz="0" w:space="0" w:color="auto"/>
            <w:right w:val="none" w:sz="0" w:space="0" w:color="auto"/>
          </w:divBdr>
        </w:div>
        <w:div w:id="498159178">
          <w:marLeft w:val="640"/>
          <w:marRight w:val="0"/>
          <w:marTop w:val="0"/>
          <w:marBottom w:val="0"/>
          <w:divBdr>
            <w:top w:val="none" w:sz="0" w:space="0" w:color="auto"/>
            <w:left w:val="none" w:sz="0" w:space="0" w:color="auto"/>
            <w:bottom w:val="none" w:sz="0" w:space="0" w:color="auto"/>
            <w:right w:val="none" w:sz="0" w:space="0" w:color="auto"/>
          </w:divBdr>
        </w:div>
        <w:div w:id="1348485963">
          <w:marLeft w:val="640"/>
          <w:marRight w:val="0"/>
          <w:marTop w:val="0"/>
          <w:marBottom w:val="0"/>
          <w:divBdr>
            <w:top w:val="none" w:sz="0" w:space="0" w:color="auto"/>
            <w:left w:val="none" w:sz="0" w:space="0" w:color="auto"/>
            <w:bottom w:val="none" w:sz="0" w:space="0" w:color="auto"/>
            <w:right w:val="none" w:sz="0" w:space="0" w:color="auto"/>
          </w:divBdr>
        </w:div>
        <w:div w:id="1785030129">
          <w:marLeft w:val="640"/>
          <w:marRight w:val="0"/>
          <w:marTop w:val="0"/>
          <w:marBottom w:val="0"/>
          <w:divBdr>
            <w:top w:val="none" w:sz="0" w:space="0" w:color="auto"/>
            <w:left w:val="none" w:sz="0" w:space="0" w:color="auto"/>
            <w:bottom w:val="none" w:sz="0" w:space="0" w:color="auto"/>
            <w:right w:val="none" w:sz="0" w:space="0" w:color="auto"/>
          </w:divBdr>
        </w:div>
        <w:div w:id="1398161969">
          <w:marLeft w:val="640"/>
          <w:marRight w:val="0"/>
          <w:marTop w:val="0"/>
          <w:marBottom w:val="0"/>
          <w:divBdr>
            <w:top w:val="none" w:sz="0" w:space="0" w:color="auto"/>
            <w:left w:val="none" w:sz="0" w:space="0" w:color="auto"/>
            <w:bottom w:val="none" w:sz="0" w:space="0" w:color="auto"/>
            <w:right w:val="none" w:sz="0" w:space="0" w:color="auto"/>
          </w:divBdr>
        </w:div>
        <w:div w:id="1459953749">
          <w:marLeft w:val="640"/>
          <w:marRight w:val="0"/>
          <w:marTop w:val="0"/>
          <w:marBottom w:val="0"/>
          <w:divBdr>
            <w:top w:val="none" w:sz="0" w:space="0" w:color="auto"/>
            <w:left w:val="none" w:sz="0" w:space="0" w:color="auto"/>
            <w:bottom w:val="none" w:sz="0" w:space="0" w:color="auto"/>
            <w:right w:val="none" w:sz="0" w:space="0" w:color="auto"/>
          </w:divBdr>
        </w:div>
        <w:div w:id="2069105996">
          <w:marLeft w:val="640"/>
          <w:marRight w:val="0"/>
          <w:marTop w:val="0"/>
          <w:marBottom w:val="0"/>
          <w:divBdr>
            <w:top w:val="none" w:sz="0" w:space="0" w:color="auto"/>
            <w:left w:val="none" w:sz="0" w:space="0" w:color="auto"/>
            <w:bottom w:val="none" w:sz="0" w:space="0" w:color="auto"/>
            <w:right w:val="none" w:sz="0" w:space="0" w:color="auto"/>
          </w:divBdr>
        </w:div>
        <w:div w:id="1961570214">
          <w:marLeft w:val="640"/>
          <w:marRight w:val="0"/>
          <w:marTop w:val="0"/>
          <w:marBottom w:val="0"/>
          <w:divBdr>
            <w:top w:val="none" w:sz="0" w:space="0" w:color="auto"/>
            <w:left w:val="none" w:sz="0" w:space="0" w:color="auto"/>
            <w:bottom w:val="none" w:sz="0" w:space="0" w:color="auto"/>
            <w:right w:val="none" w:sz="0" w:space="0" w:color="auto"/>
          </w:divBdr>
        </w:div>
        <w:div w:id="605503725">
          <w:marLeft w:val="640"/>
          <w:marRight w:val="0"/>
          <w:marTop w:val="0"/>
          <w:marBottom w:val="0"/>
          <w:divBdr>
            <w:top w:val="none" w:sz="0" w:space="0" w:color="auto"/>
            <w:left w:val="none" w:sz="0" w:space="0" w:color="auto"/>
            <w:bottom w:val="none" w:sz="0" w:space="0" w:color="auto"/>
            <w:right w:val="none" w:sz="0" w:space="0" w:color="auto"/>
          </w:divBdr>
        </w:div>
        <w:div w:id="983194776">
          <w:marLeft w:val="640"/>
          <w:marRight w:val="0"/>
          <w:marTop w:val="0"/>
          <w:marBottom w:val="0"/>
          <w:divBdr>
            <w:top w:val="none" w:sz="0" w:space="0" w:color="auto"/>
            <w:left w:val="none" w:sz="0" w:space="0" w:color="auto"/>
            <w:bottom w:val="none" w:sz="0" w:space="0" w:color="auto"/>
            <w:right w:val="none" w:sz="0" w:space="0" w:color="auto"/>
          </w:divBdr>
        </w:div>
        <w:div w:id="1806771340">
          <w:marLeft w:val="640"/>
          <w:marRight w:val="0"/>
          <w:marTop w:val="0"/>
          <w:marBottom w:val="0"/>
          <w:divBdr>
            <w:top w:val="none" w:sz="0" w:space="0" w:color="auto"/>
            <w:left w:val="none" w:sz="0" w:space="0" w:color="auto"/>
            <w:bottom w:val="none" w:sz="0" w:space="0" w:color="auto"/>
            <w:right w:val="none" w:sz="0" w:space="0" w:color="auto"/>
          </w:divBdr>
        </w:div>
        <w:div w:id="1478107415">
          <w:marLeft w:val="640"/>
          <w:marRight w:val="0"/>
          <w:marTop w:val="0"/>
          <w:marBottom w:val="0"/>
          <w:divBdr>
            <w:top w:val="none" w:sz="0" w:space="0" w:color="auto"/>
            <w:left w:val="none" w:sz="0" w:space="0" w:color="auto"/>
            <w:bottom w:val="none" w:sz="0" w:space="0" w:color="auto"/>
            <w:right w:val="none" w:sz="0" w:space="0" w:color="auto"/>
          </w:divBdr>
        </w:div>
        <w:div w:id="52656529">
          <w:marLeft w:val="640"/>
          <w:marRight w:val="0"/>
          <w:marTop w:val="0"/>
          <w:marBottom w:val="0"/>
          <w:divBdr>
            <w:top w:val="none" w:sz="0" w:space="0" w:color="auto"/>
            <w:left w:val="none" w:sz="0" w:space="0" w:color="auto"/>
            <w:bottom w:val="none" w:sz="0" w:space="0" w:color="auto"/>
            <w:right w:val="none" w:sz="0" w:space="0" w:color="auto"/>
          </w:divBdr>
        </w:div>
        <w:div w:id="698317567">
          <w:marLeft w:val="640"/>
          <w:marRight w:val="0"/>
          <w:marTop w:val="0"/>
          <w:marBottom w:val="0"/>
          <w:divBdr>
            <w:top w:val="none" w:sz="0" w:space="0" w:color="auto"/>
            <w:left w:val="none" w:sz="0" w:space="0" w:color="auto"/>
            <w:bottom w:val="none" w:sz="0" w:space="0" w:color="auto"/>
            <w:right w:val="none" w:sz="0" w:space="0" w:color="auto"/>
          </w:divBdr>
        </w:div>
        <w:div w:id="1253854244">
          <w:marLeft w:val="640"/>
          <w:marRight w:val="0"/>
          <w:marTop w:val="0"/>
          <w:marBottom w:val="0"/>
          <w:divBdr>
            <w:top w:val="none" w:sz="0" w:space="0" w:color="auto"/>
            <w:left w:val="none" w:sz="0" w:space="0" w:color="auto"/>
            <w:bottom w:val="none" w:sz="0" w:space="0" w:color="auto"/>
            <w:right w:val="none" w:sz="0" w:space="0" w:color="auto"/>
          </w:divBdr>
        </w:div>
        <w:div w:id="1580557539">
          <w:marLeft w:val="640"/>
          <w:marRight w:val="0"/>
          <w:marTop w:val="0"/>
          <w:marBottom w:val="0"/>
          <w:divBdr>
            <w:top w:val="none" w:sz="0" w:space="0" w:color="auto"/>
            <w:left w:val="none" w:sz="0" w:space="0" w:color="auto"/>
            <w:bottom w:val="none" w:sz="0" w:space="0" w:color="auto"/>
            <w:right w:val="none" w:sz="0" w:space="0" w:color="auto"/>
          </w:divBdr>
        </w:div>
        <w:div w:id="576019073">
          <w:marLeft w:val="640"/>
          <w:marRight w:val="0"/>
          <w:marTop w:val="0"/>
          <w:marBottom w:val="0"/>
          <w:divBdr>
            <w:top w:val="none" w:sz="0" w:space="0" w:color="auto"/>
            <w:left w:val="none" w:sz="0" w:space="0" w:color="auto"/>
            <w:bottom w:val="none" w:sz="0" w:space="0" w:color="auto"/>
            <w:right w:val="none" w:sz="0" w:space="0" w:color="auto"/>
          </w:divBdr>
        </w:div>
        <w:div w:id="827019013">
          <w:marLeft w:val="640"/>
          <w:marRight w:val="0"/>
          <w:marTop w:val="0"/>
          <w:marBottom w:val="0"/>
          <w:divBdr>
            <w:top w:val="none" w:sz="0" w:space="0" w:color="auto"/>
            <w:left w:val="none" w:sz="0" w:space="0" w:color="auto"/>
            <w:bottom w:val="none" w:sz="0" w:space="0" w:color="auto"/>
            <w:right w:val="none" w:sz="0" w:space="0" w:color="auto"/>
          </w:divBdr>
        </w:div>
        <w:div w:id="213155835">
          <w:marLeft w:val="640"/>
          <w:marRight w:val="0"/>
          <w:marTop w:val="0"/>
          <w:marBottom w:val="0"/>
          <w:divBdr>
            <w:top w:val="none" w:sz="0" w:space="0" w:color="auto"/>
            <w:left w:val="none" w:sz="0" w:space="0" w:color="auto"/>
            <w:bottom w:val="none" w:sz="0" w:space="0" w:color="auto"/>
            <w:right w:val="none" w:sz="0" w:space="0" w:color="auto"/>
          </w:divBdr>
        </w:div>
        <w:div w:id="1335373954">
          <w:marLeft w:val="640"/>
          <w:marRight w:val="0"/>
          <w:marTop w:val="0"/>
          <w:marBottom w:val="0"/>
          <w:divBdr>
            <w:top w:val="none" w:sz="0" w:space="0" w:color="auto"/>
            <w:left w:val="none" w:sz="0" w:space="0" w:color="auto"/>
            <w:bottom w:val="none" w:sz="0" w:space="0" w:color="auto"/>
            <w:right w:val="none" w:sz="0" w:space="0" w:color="auto"/>
          </w:divBdr>
        </w:div>
        <w:div w:id="657418375">
          <w:marLeft w:val="640"/>
          <w:marRight w:val="0"/>
          <w:marTop w:val="0"/>
          <w:marBottom w:val="0"/>
          <w:divBdr>
            <w:top w:val="none" w:sz="0" w:space="0" w:color="auto"/>
            <w:left w:val="none" w:sz="0" w:space="0" w:color="auto"/>
            <w:bottom w:val="none" w:sz="0" w:space="0" w:color="auto"/>
            <w:right w:val="none" w:sz="0" w:space="0" w:color="auto"/>
          </w:divBdr>
        </w:div>
        <w:div w:id="1417556841">
          <w:marLeft w:val="640"/>
          <w:marRight w:val="0"/>
          <w:marTop w:val="0"/>
          <w:marBottom w:val="0"/>
          <w:divBdr>
            <w:top w:val="none" w:sz="0" w:space="0" w:color="auto"/>
            <w:left w:val="none" w:sz="0" w:space="0" w:color="auto"/>
            <w:bottom w:val="none" w:sz="0" w:space="0" w:color="auto"/>
            <w:right w:val="none" w:sz="0" w:space="0" w:color="auto"/>
          </w:divBdr>
        </w:div>
        <w:div w:id="1857770410">
          <w:marLeft w:val="640"/>
          <w:marRight w:val="0"/>
          <w:marTop w:val="0"/>
          <w:marBottom w:val="0"/>
          <w:divBdr>
            <w:top w:val="none" w:sz="0" w:space="0" w:color="auto"/>
            <w:left w:val="none" w:sz="0" w:space="0" w:color="auto"/>
            <w:bottom w:val="none" w:sz="0" w:space="0" w:color="auto"/>
            <w:right w:val="none" w:sz="0" w:space="0" w:color="auto"/>
          </w:divBdr>
        </w:div>
        <w:div w:id="1713532325">
          <w:marLeft w:val="640"/>
          <w:marRight w:val="0"/>
          <w:marTop w:val="0"/>
          <w:marBottom w:val="0"/>
          <w:divBdr>
            <w:top w:val="none" w:sz="0" w:space="0" w:color="auto"/>
            <w:left w:val="none" w:sz="0" w:space="0" w:color="auto"/>
            <w:bottom w:val="none" w:sz="0" w:space="0" w:color="auto"/>
            <w:right w:val="none" w:sz="0" w:space="0" w:color="auto"/>
          </w:divBdr>
        </w:div>
        <w:div w:id="867370706">
          <w:marLeft w:val="640"/>
          <w:marRight w:val="0"/>
          <w:marTop w:val="0"/>
          <w:marBottom w:val="0"/>
          <w:divBdr>
            <w:top w:val="none" w:sz="0" w:space="0" w:color="auto"/>
            <w:left w:val="none" w:sz="0" w:space="0" w:color="auto"/>
            <w:bottom w:val="none" w:sz="0" w:space="0" w:color="auto"/>
            <w:right w:val="none" w:sz="0" w:space="0" w:color="auto"/>
          </w:divBdr>
        </w:div>
        <w:div w:id="355039853">
          <w:marLeft w:val="640"/>
          <w:marRight w:val="0"/>
          <w:marTop w:val="0"/>
          <w:marBottom w:val="0"/>
          <w:divBdr>
            <w:top w:val="none" w:sz="0" w:space="0" w:color="auto"/>
            <w:left w:val="none" w:sz="0" w:space="0" w:color="auto"/>
            <w:bottom w:val="none" w:sz="0" w:space="0" w:color="auto"/>
            <w:right w:val="none" w:sz="0" w:space="0" w:color="auto"/>
          </w:divBdr>
        </w:div>
        <w:div w:id="1886985026">
          <w:marLeft w:val="640"/>
          <w:marRight w:val="0"/>
          <w:marTop w:val="0"/>
          <w:marBottom w:val="0"/>
          <w:divBdr>
            <w:top w:val="none" w:sz="0" w:space="0" w:color="auto"/>
            <w:left w:val="none" w:sz="0" w:space="0" w:color="auto"/>
            <w:bottom w:val="none" w:sz="0" w:space="0" w:color="auto"/>
            <w:right w:val="none" w:sz="0" w:space="0" w:color="auto"/>
          </w:divBdr>
        </w:div>
        <w:div w:id="2068531667">
          <w:marLeft w:val="640"/>
          <w:marRight w:val="0"/>
          <w:marTop w:val="0"/>
          <w:marBottom w:val="0"/>
          <w:divBdr>
            <w:top w:val="none" w:sz="0" w:space="0" w:color="auto"/>
            <w:left w:val="none" w:sz="0" w:space="0" w:color="auto"/>
            <w:bottom w:val="none" w:sz="0" w:space="0" w:color="auto"/>
            <w:right w:val="none" w:sz="0" w:space="0" w:color="auto"/>
          </w:divBdr>
        </w:div>
        <w:div w:id="63534380">
          <w:marLeft w:val="640"/>
          <w:marRight w:val="0"/>
          <w:marTop w:val="0"/>
          <w:marBottom w:val="0"/>
          <w:divBdr>
            <w:top w:val="none" w:sz="0" w:space="0" w:color="auto"/>
            <w:left w:val="none" w:sz="0" w:space="0" w:color="auto"/>
            <w:bottom w:val="none" w:sz="0" w:space="0" w:color="auto"/>
            <w:right w:val="none" w:sz="0" w:space="0" w:color="auto"/>
          </w:divBdr>
        </w:div>
        <w:div w:id="1964143738">
          <w:marLeft w:val="640"/>
          <w:marRight w:val="0"/>
          <w:marTop w:val="0"/>
          <w:marBottom w:val="0"/>
          <w:divBdr>
            <w:top w:val="none" w:sz="0" w:space="0" w:color="auto"/>
            <w:left w:val="none" w:sz="0" w:space="0" w:color="auto"/>
            <w:bottom w:val="none" w:sz="0" w:space="0" w:color="auto"/>
            <w:right w:val="none" w:sz="0" w:space="0" w:color="auto"/>
          </w:divBdr>
        </w:div>
        <w:div w:id="784151571">
          <w:marLeft w:val="640"/>
          <w:marRight w:val="0"/>
          <w:marTop w:val="0"/>
          <w:marBottom w:val="0"/>
          <w:divBdr>
            <w:top w:val="none" w:sz="0" w:space="0" w:color="auto"/>
            <w:left w:val="none" w:sz="0" w:space="0" w:color="auto"/>
            <w:bottom w:val="none" w:sz="0" w:space="0" w:color="auto"/>
            <w:right w:val="none" w:sz="0" w:space="0" w:color="auto"/>
          </w:divBdr>
        </w:div>
        <w:div w:id="794643552">
          <w:marLeft w:val="640"/>
          <w:marRight w:val="0"/>
          <w:marTop w:val="0"/>
          <w:marBottom w:val="0"/>
          <w:divBdr>
            <w:top w:val="none" w:sz="0" w:space="0" w:color="auto"/>
            <w:left w:val="none" w:sz="0" w:space="0" w:color="auto"/>
            <w:bottom w:val="none" w:sz="0" w:space="0" w:color="auto"/>
            <w:right w:val="none" w:sz="0" w:space="0" w:color="auto"/>
          </w:divBdr>
        </w:div>
        <w:div w:id="1788622095">
          <w:marLeft w:val="640"/>
          <w:marRight w:val="0"/>
          <w:marTop w:val="0"/>
          <w:marBottom w:val="0"/>
          <w:divBdr>
            <w:top w:val="none" w:sz="0" w:space="0" w:color="auto"/>
            <w:left w:val="none" w:sz="0" w:space="0" w:color="auto"/>
            <w:bottom w:val="none" w:sz="0" w:space="0" w:color="auto"/>
            <w:right w:val="none" w:sz="0" w:space="0" w:color="auto"/>
          </w:divBdr>
        </w:div>
        <w:div w:id="2135557552">
          <w:marLeft w:val="640"/>
          <w:marRight w:val="0"/>
          <w:marTop w:val="0"/>
          <w:marBottom w:val="0"/>
          <w:divBdr>
            <w:top w:val="none" w:sz="0" w:space="0" w:color="auto"/>
            <w:left w:val="none" w:sz="0" w:space="0" w:color="auto"/>
            <w:bottom w:val="none" w:sz="0" w:space="0" w:color="auto"/>
            <w:right w:val="none" w:sz="0" w:space="0" w:color="auto"/>
          </w:divBdr>
        </w:div>
        <w:div w:id="89474428">
          <w:marLeft w:val="640"/>
          <w:marRight w:val="0"/>
          <w:marTop w:val="0"/>
          <w:marBottom w:val="0"/>
          <w:divBdr>
            <w:top w:val="none" w:sz="0" w:space="0" w:color="auto"/>
            <w:left w:val="none" w:sz="0" w:space="0" w:color="auto"/>
            <w:bottom w:val="none" w:sz="0" w:space="0" w:color="auto"/>
            <w:right w:val="none" w:sz="0" w:space="0" w:color="auto"/>
          </w:divBdr>
        </w:div>
        <w:div w:id="1922333437">
          <w:marLeft w:val="640"/>
          <w:marRight w:val="0"/>
          <w:marTop w:val="0"/>
          <w:marBottom w:val="0"/>
          <w:divBdr>
            <w:top w:val="none" w:sz="0" w:space="0" w:color="auto"/>
            <w:left w:val="none" w:sz="0" w:space="0" w:color="auto"/>
            <w:bottom w:val="none" w:sz="0" w:space="0" w:color="auto"/>
            <w:right w:val="none" w:sz="0" w:space="0" w:color="auto"/>
          </w:divBdr>
        </w:div>
        <w:div w:id="116611239">
          <w:marLeft w:val="640"/>
          <w:marRight w:val="0"/>
          <w:marTop w:val="0"/>
          <w:marBottom w:val="0"/>
          <w:divBdr>
            <w:top w:val="none" w:sz="0" w:space="0" w:color="auto"/>
            <w:left w:val="none" w:sz="0" w:space="0" w:color="auto"/>
            <w:bottom w:val="none" w:sz="0" w:space="0" w:color="auto"/>
            <w:right w:val="none" w:sz="0" w:space="0" w:color="auto"/>
          </w:divBdr>
        </w:div>
        <w:div w:id="1263681605">
          <w:marLeft w:val="640"/>
          <w:marRight w:val="0"/>
          <w:marTop w:val="0"/>
          <w:marBottom w:val="0"/>
          <w:divBdr>
            <w:top w:val="none" w:sz="0" w:space="0" w:color="auto"/>
            <w:left w:val="none" w:sz="0" w:space="0" w:color="auto"/>
            <w:bottom w:val="none" w:sz="0" w:space="0" w:color="auto"/>
            <w:right w:val="none" w:sz="0" w:space="0" w:color="auto"/>
          </w:divBdr>
        </w:div>
        <w:div w:id="1275289601">
          <w:marLeft w:val="640"/>
          <w:marRight w:val="0"/>
          <w:marTop w:val="0"/>
          <w:marBottom w:val="0"/>
          <w:divBdr>
            <w:top w:val="none" w:sz="0" w:space="0" w:color="auto"/>
            <w:left w:val="none" w:sz="0" w:space="0" w:color="auto"/>
            <w:bottom w:val="none" w:sz="0" w:space="0" w:color="auto"/>
            <w:right w:val="none" w:sz="0" w:space="0" w:color="auto"/>
          </w:divBdr>
        </w:div>
        <w:div w:id="1277251843">
          <w:marLeft w:val="640"/>
          <w:marRight w:val="0"/>
          <w:marTop w:val="0"/>
          <w:marBottom w:val="0"/>
          <w:divBdr>
            <w:top w:val="none" w:sz="0" w:space="0" w:color="auto"/>
            <w:left w:val="none" w:sz="0" w:space="0" w:color="auto"/>
            <w:bottom w:val="none" w:sz="0" w:space="0" w:color="auto"/>
            <w:right w:val="none" w:sz="0" w:space="0" w:color="auto"/>
          </w:divBdr>
        </w:div>
        <w:div w:id="809590318">
          <w:marLeft w:val="640"/>
          <w:marRight w:val="0"/>
          <w:marTop w:val="0"/>
          <w:marBottom w:val="0"/>
          <w:divBdr>
            <w:top w:val="none" w:sz="0" w:space="0" w:color="auto"/>
            <w:left w:val="none" w:sz="0" w:space="0" w:color="auto"/>
            <w:bottom w:val="none" w:sz="0" w:space="0" w:color="auto"/>
            <w:right w:val="none" w:sz="0" w:space="0" w:color="auto"/>
          </w:divBdr>
        </w:div>
        <w:div w:id="1666205294">
          <w:marLeft w:val="640"/>
          <w:marRight w:val="0"/>
          <w:marTop w:val="0"/>
          <w:marBottom w:val="0"/>
          <w:divBdr>
            <w:top w:val="none" w:sz="0" w:space="0" w:color="auto"/>
            <w:left w:val="none" w:sz="0" w:space="0" w:color="auto"/>
            <w:bottom w:val="none" w:sz="0" w:space="0" w:color="auto"/>
            <w:right w:val="none" w:sz="0" w:space="0" w:color="auto"/>
          </w:divBdr>
        </w:div>
        <w:div w:id="1484421040">
          <w:marLeft w:val="640"/>
          <w:marRight w:val="0"/>
          <w:marTop w:val="0"/>
          <w:marBottom w:val="0"/>
          <w:divBdr>
            <w:top w:val="none" w:sz="0" w:space="0" w:color="auto"/>
            <w:left w:val="none" w:sz="0" w:space="0" w:color="auto"/>
            <w:bottom w:val="none" w:sz="0" w:space="0" w:color="auto"/>
            <w:right w:val="none" w:sz="0" w:space="0" w:color="auto"/>
          </w:divBdr>
        </w:div>
        <w:div w:id="1562448641">
          <w:marLeft w:val="640"/>
          <w:marRight w:val="0"/>
          <w:marTop w:val="0"/>
          <w:marBottom w:val="0"/>
          <w:divBdr>
            <w:top w:val="none" w:sz="0" w:space="0" w:color="auto"/>
            <w:left w:val="none" w:sz="0" w:space="0" w:color="auto"/>
            <w:bottom w:val="none" w:sz="0" w:space="0" w:color="auto"/>
            <w:right w:val="none" w:sz="0" w:space="0" w:color="auto"/>
          </w:divBdr>
        </w:div>
        <w:div w:id="163908158">
          <w:marLeft w:val="640"/>
          <w:marRight w:val="0"/>
          <w:marTop w:val="0"/>
          <w:marBottom w:val="0"/>
          <w:divBdr>
            <w:top w:val="none" w:sz="0" w:space="0" w:color="auto"/>
            <w:left w:val="none" w:sz="0" w:space="0" w:color="auto"/>
            <w:bottom w:val="none" w:sz="0" w:space="0" w:color="auto"/>
            <w:right w:val="none" w:sz="0" w:space="0" w:color="auto"/>
          </w:divBdr>
        </w:div>
        <w:div w:id="211235900">
          <w:marLeft w:val="640"/>
          <w:marRight w:val="0"/>
          <w:marTop w:val="0"/>
          <w:marBottom w:val="0"/>
          <w:divBdr>
            <w:top w:val="none" w:sz="0" w:space="0" w:color="auto"/>
            <w:left w:val="none" w:sz="0" w:space="0" w:color="auto"/>
            <w:bottom w:val="none" w:sz="0" w:space="0" w:color="auto"/>
            <w:right w:val="none" w:sz="0" w:space="0" w:color="auto"/>
          </w:divBdr>
        </w:div>
        <w:div w:id="267127513">
          <w:marLeft w:val="640"/>
          <w:marRight w:val="0"/>
          <w:marTop w:val="0"/>
          <w:marBottom w:val="0"/>
          <w:divBdr>
            <w:top w:val="none" w:sz="0" w:space="0" w:color="auto"/>
            <w:left w:val="none" w:sz="0" w:space="0" w:color="auto"/>
            <w:bottom w:val="none" w:sz="0" w:space="0" w:color="auto"/>
            <w:right w:val="none" w:sz="0" w:space="0" w:color="auto"/>
          </w:divBdr>
        </w:div>
        <w:div w:id="2071347448">
          <w:marLeft w:val="640"/>
          <w:marRight w:val="0"/>
          <w:marTop w:val="0"/>
          <w:marBottom w:val="0"/>
          <w:divBdr>
            <w:top w:val="none" w:sz="0" w:space="0" w:color="auto"/>
            <w:left w:val="none" w:sz="0" w:space="0" w:color="auto"/>
            <w:bottom w:val="none" w:sz="0" w:space="0" w:color="auto"/>
            <w:right w:val="none" w:sz="0" w:space="0" w:color="auto"/>
          </w:divBdr>
        </w:div>
        <w:div w:id="1462579607">
          <w:marLeft w:val="640"/>
          <w:marRight w:val="0"/>
          <w:marTop w:val="0"/>
          <w:marBottom w:val="0"/>
          <w:divBdr>
            <w:top w:val="none" w:sz="0" w:space="0" w:color="auto"/>
            <w:left w:val="none" w:sz="0" w:space="0" w:color="auto"/>
            <w:bottom w:val="none" w:sz="0" w:space="0" w:color="auto"/>
            <w:right w:val="none" w:sz="0" w:space="0" w:color="auto"/>
          </w:divBdr>
        </w:div>
        <w:div w:id="22295499">
          <w:marLeft w:val="640"/>
          <w:marRight w:val="0"/>
          <w:marTop w:val="0"/>
          <w:marBottom w:val="0"/>
          <w:divBdr>
            <w:top w:val="none" w:sz="0" w:space="0" w:color="auto"/>
            <w:left w:val="none" w:sz="0" w:space="0" w:color="auto"/>
            <w:bottom w:val="none" w:sz="0" w:space="0" w:color="auto"/>
            <w:right w:val="none" w:sz="0" w:space="0" w:color="auto"/>
          </w:divBdr>
        </w:div>
        <w:div w:id="1055004717">
          <w:marLeft w:val="640"/>
          <w:marRight w:val="0"/>
          <w:marTop w:val="0"/>
          <w:marBottom w:val="0"/>
          <w:divBdr>
            <w:top w:val="none" w:sz="0" w:space="0" w:color="auto"/>
            <w:left w:val="none" w:sz="0" w:space="0" w:color="auto"/>
            <w:bottom w:val="none" w:sz="0" w:space="0" w:color="auto"/>
            <w:right w:val="none" w:sz="0" w:space="0" w:color="auto"/>
          </w:divBdr>
        </w:div>
        <w:div w:id="1761412847">
          <w:marLeft w:val="640"/>
          <w:marRight w:val="0"/>
          <w:marTop w:val="0"/>
          <w:marBottom w:val="0"/>
          <w:divBdr>
            <w:top w:val="none" w:sz="0" w:space="0" w:color="auto"/>
            <w:left w:val="none" w:sz="0" w:space="0" w:color="auto"/>
            <w:bottom w:val="none" w:sz="0" w:space="0" w:color="auto"/>
            <w:right w:val="none" w:sz="0" w:space="0" w:color="auto"/>
          </w:divBdr>
        </w:div>
        <w:div w:id="454519108">
          <w:marLeft w:val="640"/>
          <w:marRight w:val="0"/>
          <w:marTop w:val="0"/>
          <w:marBottom w:val="0"/>
          <w:divBdr>
            <w:top w:val="none" w:sz="0" w:space="0" w:color="auto"/>
            <w:left w:val="none" w:sz="0" w:space="0" w:color="auto"/>
            <w:bottom w:val="none" w:sz="0" w:space="0" w:color="auto"/>
            <w:right w:val="none" w:sz="0" w:space="0" w:color="auto"/>
          </w:divBdr>
        </w:div>
        <w:div w:id="343097938">
          <w:marLeft w:val="640"/>
          <w:marRight w:val="0"/>
          <w:marTop w:val="0"/>
          <w:marBottom w:val="0"/>
          <w:divBdr>
            <w:top w:val="none" w:sz="0" w:space="0" w:color="auto"/>
            <w:left w:val="none" w:sz="0" w:space="0" w:color="auto"/>
            <w:bottom w:val="none" w:sz="0" w:space="0" w:color="auto"/>
            <w:right w:val="none" w:sz="0" w:space="0" w:color="auto"/>
          </w:divBdr>
        </w:div>
        <w:div w:id="1522016626">
          <w:marLeft w:val="640"/>
          <w:marRight w:val="0"/>
          <w:marTop w:val="0"/>
          <w:marBottom w:val="0"/>
          <w:divBdr>
            <w:top w:val="none" w:sz="0" w:space="0" w:color="auto"/>
            <w:left w:val="none" w:sz="0" w:space="0" w:color="auto"/>
            <w:bottom w:val="none" w:sz="0" w:space="0" w:color="auto"/>
            <w:right w:val="none" w:sz="0" w:space="0" w:color="auto"/>
          </w:divBdr>
        </w:div>
        <w:div w:id="1074207044">
          <w:marLeft w:val="640"/>
          <w:marRight w:val="0"/>
          <w:marTop w:val="0"/>
          <w:marBottom w:val="0"/>
          <w:divBdr>
            <w:top w:val="none" w:sz="0" w:space="0" w:color="auto"/>
            <w:left w:val="none" w:sz="0" w:space="0" w:color="auto"/>
            <w:bottom w:val="none" w:sz="0" w:space="0" w:color="auto"/>
            <w:right w:val="none" w:sz="0" w:space="0" w:color="auto"/>
          </w:divBdr>
        </w:div>
        <w:div w:id="1029455616">
          <w:marLeft w:val="640"/>
          <w:marRight w:val="0"/>
          <w:marTop w:val="0"/>
          <w:marBottom w:val="0"/>
          <w:divBdr>
            <w:top w:val="none" w:sz="0" w:space="0" w:color="auto"/>
            <w:left w:val="none" w:sz="0" w:space="0" w:color="auto"/>
            <w:bottom w:val="none" w:sz="0" w:space="0" w:color="auto"/>
            <w:right w:val="none" w:sz="0" w:space="0" w:color="auto"/>
          </w:divBdr>
        </w:div>
        <w:div w:id="2094160731">
          <w:marLeft w:val="640"/>
          <w:marRight w:val="0"/>
          <w:marTop w:val="0"/>
          <w:marBottom w:val="0"/>
          <w:divBdr>
            <w:top w:val="none" w:sz="0" w:space="0" w:color="auto"/>
            <w:left w:val="none" w:sz="0" w:space="0" w:color="auto"/>
            <w:bottom w:val="none" w:sz="0" w:space="0" w:color="auto"/>
            <w:right w:val="none" w:sz="0" w:space="0" w:color="auto"/>
          </w:divBdr>
        </w:div>
        <w:div w:id="1289507933">
          <w:marLeft w:val="640"/>
          <w:marRight w:val="0"/>
          <w:marTop w:val="0"/>
          <w:marBottom w:val="0"/>
          <w:divBdr>
            <w:top w:val="none" w:sz="0" w:space="0" w:color="auto"/>
            <w:left w:val="none" w:sz="0" w:space="0" w:color="auto"/>
            <w:bottom w:val="none" w:sz="0" w:space="0" w:color="auto"/>
            <w:right w:val="none" w:sz="0" w:space="0" w:color="auto"/>
          </w:divBdr>
        </w:div>
        <w:div w:id="1921209991">
          <w:marLeft w:val="640"/>
          <w:marRight w:val="0"/>
          <w:marTop w:val="0"/>
          <w:marBottom w:val="0"/>
          <w:divBdr>
            <w:top w:val="none" w:sz="0" w:space="0" w:color="auto"/>
            <w:left w:val="none" w:sz="0" w:space="0" w:color="auto"/>
            <w:bottom w:val="none" w:sz="0" w:space="0" w:color="auto"/>
            <w:right w:val="none" w:sz="0" w:space="0" w:color="auto"/>
          </w:divBdr>
        </w:div>
        <w:div w:id="1251504451">
          <w:marLeft w:val="640"/>
          <w:marRight w:val="0"/>
          <w:marTop w:val="0"/>
          <w:marBottom w:val="0"/>
          <w:divBdr>
            <w:top w:val="none" w:sz="0" w:space="0" w:color="auto"/>
            <w:left w:val="none" w:sz="0" w:space="0" w:color="auto"/>
            <w:bottom w:val="none" w:sz="0" w:space="0" w:color="auto"/>
            <w:right w:val="none" w:sz="0" w:space="0" w:color="auto"/>
          </w:divBdr>
        </w:div>
        <w:div w:id="991105567">
          <w:marLeft w:val="640"/>
          <w:marRight w:val="0"/>
          <w:marTop w:val="0"/>
          <w:marBottom w:val="0"/>
          <w:divBdr>
            <w:top w:val="none" w:sz="0" w:space="0" w:color="auto"/>
            <w:left w:val="none" w:sz="0" w:space="0" w:color="auto"/>
            <w:bottom w:val="none" w:sz="0" w:space="0" w:color="auto"/>
            <w:right w:val="none" w:sz="0" w:space="0" w:color="auto"/>
          </w:divBdr>
        </w:div>
        <w:div w:id="1987735419">
          <w:marLeft w:val="640"/>
          <w:marRight w:val="0"/>
          <w:marTop w:val="0"/>
          <w:marBottom w:val="0"/>
          <w:divBdr>
            <w:top w:val="none" w:sz="0" w:space="0" w:color="auto"/>
            <w:left w:val="none" w:sz="0" w:space="0" w:color="auto"/>
            <w:bottom w:val="none" w:sz="0" w:space="0" w:color="auto"/>
            <w:right w:val="none" w:sz="0" w:space="0" w:color="auto"/>
          </w:divBdr>
        </w:div>
        <w:div w:id="1239244330">
          <w:marLeft w:val="640"/>
          <w:marRight w:val="0"/>
          <w:marTop w:val="0"/>
          <w:marBottom w:val="0"/>
          <w:divBdr>
            <w:top w:val="none" w:sz="0" w:space="0" w:color="auto"/>
            <w:left w:val="none" w:sz="0" w:space="0" w:color="auto"/>
            <w:bottom w:val="none" w:sz="0" w:space="0" w:color="auto"/>
            <w:right w:val="none" w:sz="0" w:space="0" w:color="auto"/>
          </w:divBdr>
        </w:div>
        <w:div w:id="426540771">
          <w:marLeft w:val="640"/>
          <w:marRight w:val="0"/>
          <w:marTop w:val="0"/>
          <w:marBottom w:val="0"/>
          <w:divBdr>
            <w:top w:val="none" w:sz="0" w:space="0" w:color="auto"/>
            <w:left w:val="none" w:sz="0" w:space="0" w:color="auto"/>
            <w:bottom w:val="none" w:sz="0" w:space="0" w:color="auto"/>
            <w:right w:val="none" w:sz="0" w:space="0" w:color="auto"/>
          </w:divBdr>
        </w:div>
        <w:div w:id="511729320">
          <w:marLeft w:val="640"/>
          <w:marRight w:val="0"/>
          <w:marTop w:val="0"/>
          <w:marBottom w:val="0"/>
          <w:divBdr>
            <w:top w:val="none" w:sz="0" w:space="0" w:color="auto"/>
            <w:left w:val="none" w:sz="0" w:space="0" w:color="auto"/>
            <w:bottom w:val="none" w:sz="0" w:space="0" w:color="auto"/>
            <w:right w:val="none" w:sz="0" w:space="0" w:color="auto"/>
          </w:divBdr>
        </w:div>
        <w:div w:id="1675647122">
          <w:marLeft w:val="640"/>
          <w:marRight w:val="0"/>
          <w:marTop w:val="0"/>
          <w:marBottom w:val="0"/>
          <w:divBdr>
            <w:top w:val="none" w:sz="0" w:space="0" w:color="auto"/>
            <w:left w:val="none" w:sz="0" w:space="0" w:color="auto"/>
            <w:bottom w:val="none" w:sz="0" w:space="0" w:color="auto"/>
            <w:right w:val="none" w:sz="0" w:space="0" w:color="auto"/>
          </w:divBdr>
        </w:div>
        <w:div w:id="143812382">
          <w:marLeft w:val="640"/>
          <w:marRight w:val="0"/>
          <w:marTop w:val="0"/>
          <w:marBottom w:val="0"/>
          <w:divBdr>
            <w:top w:val="none" w:sz="0" w:space="0" w:color="auto"/>
            <w:left w:val="none" w:sz="0" w:space="0" w:color="auto"/>
            <w:bottom w:val="none" w:sz="0" w:space="0" w:color="auto"/>
            <w:right w:val="none" w:sz="0" w:space="0" w:color="auto"/>
          </w:divBdr>
        </w:div>
        <w:div w:id="1710567177">
          <w:marLeft w:val="640"/>
          <w:marRight w:val="0"/>
          <w:marTop w:val="0"/>
          <w:marBottom w:val="0"/>
          <w:divBdr>
            <w:top w:val="none" w:sz="0" w:space="0" w:color="auto"/>
            <w:left w:val="none" w:sz="0" w:space="0" w:color="auto"/>
            <w:bottom w:val="none" w:sz="0" w:space="0" w:color="auto"/>
            <w:right w:val="none" w:sz="0" w:space="0" w:color="auto"/>
          </w:divBdr>
        </w:div>
        <w:div w:id="409695144">
          <w:marLeft w:val="640"/>
          <w:marRight w:val="0"/>
          <w:marTop w:val="0"/>
          <w:marBottom w:val="0"/>
          <w:divBdr>
            <w:top w:val="none" w:sz="0" w:space="0" w:color="auto"/>
            <w:left w:val="none" w:sz="0" w:space="0" w:color="auto"/>
            <w:bottom w:val="none" w:sz="0" w:space="0" w:color="auto"/>
            <w:right w:val="none" w:sz="0" w:space="0" w:color="auto"/>
          </w:divBdr>
        </w:div>
        <w:div w:id="910309206">
          <w:marLeft w:val="640"/>
          <w:marRight w:val="0"/>
          <w:marTop w:val="0"/>
          <w:marBottom w:val="0"/>
          <w:divBdr>
            <w:top w:val="none" w:sz="0" w:space="0" w:color="auto"/>
            <w:left w:val="none" w:sz="0" w:space="0" w:color="auto"/>
            <w:bottom w:val="none" w:sz="0" w:space="0" w:color="auto"/>
            <w:right w:val="none" w:sz="0" w:space="0" w:color="auto"/>
          </w:divBdr>
        </w:div>
        <w:div w:id="876771218">
          <w:marLeft w:val="640"/>
          <w:marRight w:val="0"/>
          <w:marTop w:val="0"/>
          <w:marBottom w:val="0"/>
          <w:divBdr>
            <w:top w:val="none" w:sz="0" w:space="0" w:color="auto"/>
            <w:left w:val="none" w:sz="0" w:space="0" w:color="auto"/>
            <w:bottom w:val="none" w:sz="0" w:space="0" w:color="auto"/>
            <w:right w:val="none" w:sz="0" w:space="0" w:color="auto"/>
          </w:divBdr>
        </w:div>
        <w:div w:id="2023817522">
          <w:marLeft w:val="640"/>
          <w:marRight w:val="0"/>
          <w:marTop w:val="0"/>
          <w:marBottom w:val="0"/>
          <w:divBdr>
            <w:top w:val="none" w:sz="0" w:space="0" w:color="auto"/>
            <w:left w:val="none" w:sz="0" w:space="0" w:color="auto"/>
            <w:bottom w:val="none" w:sz="0" w:space="0" w:color="auto"/>
            <w:right w:val="none" w:sz="0" w:space="0" w:color="auto"/>
          </w:divBdr>
        </w:div>
        <w:div w:id="975373861">
          <w:marLeft w:val="640"/>
          <w:marRight w:val="0"/>
          <w:marTop w:val="0"/>
          <w:marBottom w:val="0"/>
          <w:divBdr>
            <w:top w:val="none" w:sz="0" w:space="0" w:color="auto"/>
            <w:left w:val="none" w:sz="0" w:space="0" w:color="auto"/>
            <w:bottom w:val="none" w:sz="0" w:space="0" w:color="auto"/>
            <w:right w:val="none" w:sz="0" w:space="0" w:color="auto"/>
          </w:divBdr>
        </w:div>
        <w:div w:id="545945955">
          <w:marLeft w:val="640"/>
          <w:marRight w:val="0"/>
          <w:marTop w:val="0"/>
          <w:marBottom w:val="0"/>
          <w:divBdr>
            <w:top w:val="none" w:sz="0" w:space="0" w:color="auto"/>
            <w:left w:val="none" w:sz="0" w:space="0" w:color="auto"/>
            <w:bottom w:val="none" w:sz="0" w:space="0" w:color="auto"/>
            <w:right w:val="none" w:sz="0" w:space="0" w:color="auto"/>
          </w:divBdr>
        </w:div>
        <w:div w:id="1651903785">
          <w:marLeft w:val="640"/>
          <w:marRight w:val="0"/>
          <w:marTop w:val="0"/>
          <w:marBottom w:val="0"/>
          <w:divBdr>
            <w:top w:val="none" w:sz="0" w:space="0" w:color="auto"/>
            <w:left w:val="none" w:sz="0" w:space="0" w:color="auto"/>
            <w:bottom w:val="none" w:sz="0" w:space="0" w:color="auto"/>
            <w:right w:val="none" w:sz="0" w:space="0" w:color="auto"/>
          </w:divBdr>
        </w:div>
        <w:div w:id="723986056">
          <w:marLeft w:val="640"/>
          <w:marRight w:val="0"/>
          <w:marTop w:val="0"/>
          <w:marBottom w:val="0"/>
          <w:divBdr>
            <w:top w:val="none" w:sz="0" w:space="0" w:color="auto"/>
            <w:left w:val="none" w:sz="0" w:space="0" w:color="auto"/>
            <w:bottom w:val="none" w:sz="0" w:space="0" w:color="auto"/>
            <w:right w:val="none" w:sz="0" w:space="0" w:color="auto"/>
          </w:divBdr>
        </w:div>
        <w:div w:id="1762066735">
          <w:marLeft w:val="640"/>
          <w:marRight w:val="0"/>
          <w:marTop w:val="0"/>
          <w:marBottom w:val="0"/>
          <w:divBdr>
            <w:top w:val="none" w:sz="0" w:space="0" w:color="auto"/>
            <w:left w:val="none" w:sz="0" w:space="0" w:color="auto"/>
            <w:bottom w:val="none" w:sz="0" w:space="0" w:color="auto"/>
            <w:right w:val="none" w:sz="0" w:space="0" w:color="auto"/>
          </w:divBdr>
        </w:div>
        <w:div w:id="996958554">
          <w:marLeft w:val="640"/>
          <w:marRight w:val="0"/>
          <w:marTop w:val="0"/>
          <w:marBottom w:val="0"/>
          <w:divBdr>
            <w:top w:val="none" w:sz="0" w:space="0" w:color="auto"/>
            <w:left w:val="none" w:sz="0" w:space="0" w:color="auto"/>
            <w:bottom w:val="none" w:sz="0" w:space="0" w:color="auto"/>
            <w:right w:val="none" w:sz="0" w:space="0" w:color="auto"/>
          </w:divBdr>
        </w:div>
        <w:div w:id="505825753">
          <w:marLeft w:val="640"/>
          <w:marRight w:val="0"/>
          <w:marTop w:val="0"/>
          <w:marBottom w:val="0"/>
          <w:divBdr>
            <w:top w:val="none" w:sz="0" w:space="0" w:color="auto"/>
            <w:left w:val="none" w:sz="0" w:space="0" w:color="auto"/>
            <w:bottom w:val="none" w:sz="0" w:space="0" w:color="auto"/>
            <w:right w:val="none" w:sz="0" w:space="0" w:color="auto"/>
          </w:divBdr>
        </w:div>
        <w:div w:id="1844737298">
          <w:marLeft w:val="640"/>
          <w:marRight w:val="0"/>
          <w:marTop w:val="0"/>
          <w:marBottom w:val="0"/>
          <w:divBdr>
            <w:top w:val="none" w:sz="0" w:space="0" w:color="auto"/>
            <w:left w:val="none" w:sz="0" w:space="0" w:color="auto"/>
            <w:bottom w:val="none" w:sz="0" w:space="0" w:color="auto"/>
            <w:right w:val="none" w:sz="0" w:space="0" w:color="auto"/>
          </w:divBdr>
        </w:div>
        <w:div w:id="1213033764">
          <w:marLeft w:val="640"/>
          <w:marRight w:val="0"/>
          <w:marTop w:val="0"/>
          <w:marBottom w:val="0"/>
          <w:divBdr>
            <w:top w:val="none" w:sz="0" w:space="0" w:color="auto"/>
            <w:left w:val="none" w:sz="0" w:space="0" w:color="auto"/>
            <w:bottom w:val="none" w:sz="0" w:space="0" w:color="auto"/>
            <w:right w:val="none" w:sz="0" w:space="0" w:color="auto"/>
          </w:divBdr>
        </w:div>
        <w:div w:id="2124110087">
          <w:marLeft w:val="640"/>
          <w:marRight w:val="0"/>
          <w:marTop w:val="0"/>
          <w:marBottom w:val="0"/>
          <w:divBdr>
            <w:top w:val="none" w:sz="0" w:space="0" w:color="auto"/>
            <w:left w:val="none" w:sz="0" w:space="0" w:color="auto"/>
            <w:bottom w:val="none" w:sz="0" w:space="0" w:color="auto"/>
            <w:right w:val="none" w:sz="0" w:space="0" w:color="auto"/>
          </w:divBdr>
        </w:div>
        <w:div w:id="596865301">
          <w:marLeft w:val="640"/>
          <w:marRight w:val="0"/>
          <w:marTop w:val="0"/>
          <w:marBottom w:val="0"/>
          <w:divBdr>
            <w:top w:val="none" w:sz="0" w:space="0" w:color="auto"/>
            <w:left w:val="none" w:sz="0" w:space="0" w:color="auto"/>
            <w:bottom w:val="none" w:sz="0" w:space="0" w:color="auto"/>
            <w:right w:val="none" w:sz="0" w:space="0" w:color="auto"/>
          </w:divBdr>
        </w:div>
        <w:div w:id="1520700606">
          <w:marLeft w:val="640"/>
          <w:marRight w:val="0"/>
          <w:marTop w:val="0"/>
          <w:marBottom w:val="0"/>
          <w:divBdr>
            <w:top w:val="none" w:sz="0" w:space="0" w:color="auto"/>
            <w:left w:val="none" w:sz="0" w:space="0" w:color="auto"/>
            <w:bottom w:val="none" w:sz="0" w:space="0" w:color="auto"/>
            <w:right w:val="none" w:sz="0" w:space="0" w:color="auto"/>
          </w:divBdr>
        </w:div>
        <w:div w:id="465899516">
          <w:marLeft w:val="640"/>
          <w:marRight w:val="0"/>
          <w:marTop w:val="0"/>
          <w:marBottom w:val="0"/>
          <w:divBdr>
            <w:top w:val="none" w:sz="0" w:space="0" w:color="auto"/>
            <w:left w:val="none" w:sz="0" w:space="0" w:color="auto"/>
            <w:bottom w:val="none" w:sz="0" w:space="0" w:color="auto"/>
            <w:right w:val="none" w:sz="0" w:space="0" w:color="auto"/>
          </w:divBdr>
        </w:div>
        <w:div w:id="1400179040">
          <w:marLeft w:val="640"/>
          <w:marRight w:val="0"/>
          <w:marTop w:val="0"/>
          <w:marBottom w:val="0"/>
          <w:divBdr>
            <w:top w:val="none" w:sz="0" w:space="0" w:color="auto"/>
            <w:left w:val="none" w:sz="0" w:space="0" w:color="auto"/>
            <w:bottom w:val="none" w:sz="0" w:space="0" w:color="auto"/>
            <w:right w:val="none" w:sz="0" w:space="0" w:color="auto"/>
          </w:divBdr>
        </w:div>
        <w:div w:id="3291742">
          <w:marLeft w:val="640"/>
          <w:marRight w:val="0"/>
          <w:marTop w:val="0"/>
          <w:marBottom w:val="0"/>
          <w:divBdr>
            <w:top w:val="none" w:sz="0" w:space="0" w:color="auto"/>
            <w:left w:val="none" w:sz="0" w:space="0" w:color="auto"/>
            <w:bottom w:val="none" w:sz="0" w:space="0" w:color="auto"/>
            <w:right w:val="none" w:sz="0" w:space="0" w:color="auto"/>
          </w:divBdr>
        </w:div>
        <w:div w:id="679309145">
          <w:marLeft w:val="640"/>
          <w:marRight w:val="0"/>
          <w:marTop w:val="0"/>
          <w:marBottom w:val="0"/>
          <w:divBdr>
            <w:top w:val="none" w:sz="0" w:space="0" w:color="auto"/>
            <w:left w:val="none" w:sz="0" w:space="0" w:color="auto"/>
            <w:bottom w:val="none" w:sz="0" w:space="0" w:color="auto"/>
            <w:right w:val="none" w:sz="0" w:space="0" w:color="auto"/>
          </w:divBdr>
        </w:div>
        <w:div w:id="1326785720">
          <w:marLeft w:val="640"/>
          <w:marRight w:val="0"/>
          <w:marTop w:val="0"/>
          <w:marBottom w:val="0"/>
          <w:divBdr>
            <w:top w:val="none" w:sz="0" w:space="0" w:color="auto"/>
            <w:left w:val="none" w:sz="0" w:space="0" w:color="auto"/>
            <w:bottom w:val="none" w:sz="0" w:space="0" w:color="auto"/>
            <w:right w:val="none" w:sz="0" w:space="0" w:color="auto"/>
          </w:divBdr>
        </w:div>
        <w:div w:id="62414841">
          <w:marLeft w:val="640"/>
          <w:marRight w:val="0"/>
          <w:marTop w:val="0"/>
          <w:marBottom w:val="0"/>
          <w:divBdr>
            <w:top w:val="none" w:sz="0" w:space="0" w:color="auto"/>
            <w:left w:val="none" w:sz="0" w:space="0" w:color="auto"/>
            <w:bottom w:val="none" w:sz="0" w:space="0" w:color="auto"/>
            <w:right w:val="none" w:sz="0" w:space="0" w:color="auto"/>
          </w:divBdr>
        </w:div>
        <w:div w:id="1293512015">
          <w:marLeft w:val="640"/>
          <w:marRight w:val="0"/>
          <w:marTop w:val="0"/>
          <w:marBottom w:val="0"/>
          <w:divBdr>
            <w:top w:val="none" w:sz="0" w:space="0" w:color="auto"/>
            <w:left w:val="none" w:sz="0" w:space="0" w:color="auto"/>
            <w:bottom w:val="none" w:sz="0" w:space="0" w:color="auto"/>
            <w:right w:val="none" w:sz="0" w:space="0" w:color="auto"/>
          </w:divBdr>
        </w:div>
        <w:div w:id="807674140">
          <w:marLeft w:val="640"/>
          <w:marRight w:val="0"/>
          <w:marTop w:val="0"/>
          <w:marBottom w:val="0"/>
          <w:divBdr>
            <w:top w:val="none" w:sz="0" w:space="0" w:color="auto"/>
            <w:left w:val="none" w:sz="0" w:space="0" w:color="auto"/>
            <w:bottom w:val="none" w:sz="0" w:space="0" w:color="auto"/>
            <w:right w:val="none" w:sz="0" w:space="0" w:color="auto"/>
          </w:divBdr>
        </w:div>
        <w:div w:id="389159117">
          <w:marLeft w:val="640"/>
          <w:marRight w:val="0"/>
          <w:marTop w:val="0"/>
          <w:marBottom w:val="0"/>
          <w:divBdr>
            <w:top w:val="none" w:sz="0" w:space="0" w:color="auto"/>
            <w:left w:val="none" w:sz="0" w:space="0" w:color="auto"/>
            <w:bottom w:val="none" w:sz="0" w:space="0" w:color="auto"/>
            <w:right w:val="none" w:sz="0" w:space="0" w:color="auto"/>
          </w:divBdr>
        </w:div>
        <w:div w:id="682633787">
          <w:marLeft w:val="640"/>
          <w:marRight w:val="0"/>
          <w:marTop w:val="0"/>
          <w:marBottom w:val="0"/>
          <w:divBdr>
            <w:top w:val="none" w:sz="0" w:space="0" w:color="auto"/>
            <w:left w:val="none" w:sz="0" w:space="0" w:color="auto"/>
            <w:bottom w:val="none" w:sz="0" w:space="0" w:color="auto"/>
            <w:right w:val="none" w:sz="0" w:space="0" w:color="auto"/>
          </w:divBdr>
        </w:div>
        <w:div w:id="492835288">
          <w:marLeft w:val="640"/>
          <w:marRight w:val="0"/>
          <w:marTop w:val="0"/>
          <w:marBottom w:val="0"/>
          <w:divBdr>
            <w:top w:val="none" w:sz="0" w:space="0" w:color="auto"/>
            <w:left w:val="none" w:sz="0" w:space="0" w:color="auto"/>
            <w:bottom w:val="none" w:sz="0" w:space="0" w:color="auto"/>
            <w:right w:val="none" w:sz="0" w:space="0" w:color="auto"/>
          </w:divBdr>
        </w:div>
        <w:div w:id="547497850">
          <w:marLeft w:val="640"/>
          <w:marRight w:val="0"/>
          <w:marTop w:val="0"/>
          <w:marBottom w:val="0"/>
          <w:divBdr>
            <w:top w:val="none" w:sz="0" w:space="0" w:color="auto"/>
            <w:left w:val="none" w:sz="0" w:space="0" w:color="auto"/>
            <w:bottom w:val="none" w:sz="0" w:space="0" w:color="auto"/>
            <w:right w:val="none" w:sz="0" w:space="0" w:color="auto"/>
          </w:divBdr>
        </w:div>
        <w:div w:id="1676762393">
          <w:marLeft w:val="640"/>
          <w:marRight w:val="0"/>
          <w:marTop w:val="0"/>
          <w:marBottom w:val="0"/>
          <w:divBdr>
            <w:top w:val="none" w:sz="0" w:space="0" w:color="auto"/>
            <w:left w:val="none" w:sz="0" w:space="0" w:color="auto"/>
            <w:bottom w:val="none" w:sz="0" w:space="0" w:color="auto"/>
            <w:right w:val="none" w:sz="0" w:space="0" w:color="auto"/>
          </w:divBdr>
        </w:div>
        <w:div w:id="514735266">
          <w:marLeft w:val="640"/>
          <w:marRight w:val="0"/>
          <w:marTop w:val="0"/>
          <w:marBottom w:val="0"/>
          <w:divBdr>
            <w:top w:val="none" w:sz="0" w:space="0" w:color="auto"/>
            <w:left w:val="none" w:sz="0" w:space="0" w:color="auto"/>
            <w:bottom w:val="none" w:sz="0" w:space="0" w:color="auto"/>
            <w:right w:val="none" w:sz="0" w:space="0" w:color="auto"/>
          </w:divBdr>
        </w:div>
        <w:div w:id="1585652429">
          <w:marLeft w:val="640"/>
          <w:marRight w:val="0"/>
          <w:marTop w:val="0"/>
          <w:marBottom w:val="0"/>
          <w:divBdr>
            <w:top w:val="none" w:sz="0" w:space="0" w:color="auto"/>
            <w:left w:val="none" w:sz="0" w:space="0" w:color="auto"/>
            <w:bottom w:val="none" w:sz="0" w:space="0" w:color="auto"/>
            <w:right w:val="none" w:sz="0" w:space="0" w:color="auto"/>
          </w:divBdr>
        </w:div>
        <w:div w:id="1962300001">
          <w:marLeft w:val="640"/>
          <w:marRight w:val="0"/>
          <w:marTop w:val="0"/>
          <w:marBottom w:val="0"/>
          <w:divBdr>
            <w:top w:val="none" w:sz="0" w:space="0" w:color="auto"/>
            <w:left w:val="none" w:sz="0" w:space="0" w:color="auto"/>
            <w:bottom w:val="none" w:sz="0" w:space="0" w:color="auto"/>
            <w:right w:val="none" w:sz="0" w:space="0" w:color="auto"/>
          </w:divBdr>
        </w:div>
        <w:div w:id="468475636">
          <w:marLeft w:val="640"/>
          <w:marRight w:val="0"/>
          <w:marTop w:val="0"/>
          <w:marBottom w:val="0"/>
          <w:divBdr>
            <w:top w:val="none" w:sz="0" w:space="0" w:color="auto"/>
            <w:left w:val="none" w:sz="0" w:space="0" w:color="auto"/>
            <w:bottom w:val="none" w:sz="0" w:space="0" w:color="auto"/>
            <w:right w:val="none" w:sz="0" w:space="0" w:color="auto"/>
          </w:divBdr>
        </w:div>
        <w:div w:id="340082622">
          <w:marLeft w:val="640"/>
          <w:marRight w:val="0"/>
          <w:marTop w:val="0"/>
          <w:marBottom w:val="0"/>
          <w:divBdr>
            <w:top w:val="none" w:sz="0" w:space="0" w:color="auto"/>
            <w:left w:val="none" w:sz="0" w:space="0" w:color="auto"/>
            <w:bottom w:val="none" w:sz="0" w:space="0" w:color="auto"/>
            <w:right w:val="none" w:sz="0" w:space="0" w:color="auto"/>
          </w:divBdr>
        </w:div>
        <w:div w:id="1468863732">
          <w:marLeft w:val="640"/>
          <w:marRight w:val="0"/>
          <w:marTop w:val="0"/>
          <w:marBottom w:val="0"/>
          <w:divBdr>
            <w:top w:val="none" w:sz="0" w:space="0" w:color="auto"/>
            <w:left w:val="none" w:sz="0" w:space="0" w:color="auto"/>
            <w:bottom w:val="none" w:sz="0" w:space="0" w:color="auto"/>
            <w:right w:val="none" w:sz="0" w:space="0" w:color="auto"/>
          </w:divBdr>
        </w:div>
        <w:div w:id="1209226562">
          <w:marLeft w:val="640"/>
          <w:marRight w:val="0"/>
          <w:marTop w:val="0"/>
          <w:marBottom w:val="0"/>
          <w:divBdr>
            <w:top w:val="none" w:sz="0" w:space="0" w:color="auto"/>
            <w:left w:val="none" w:sz="0" w:space="0" w:color="auto"/>
            <w:bottom w:val="none" w:sz="0" w:space="0" w:color="auto"/>
            <w:right w:val="none" w:sz="0" w:space="0" w:color="auto"/>
          </w:divBdr>
        </w:div>
        <w:div w:id="725253601">
          <w:marLeft w:val="640"/>
          <w:marRight w:val="0"/>
          <w:marTop w:val="0"/>
          <w:marBottom w:val="0"/>
          <w:divBdr>
            <w:top w:val="none" w:sz="0" w:space="0" w:color="auto"/>
            <w:left w:val="none" w:sz="0" w:space="0" w:color="auto"/>
            <w:bottom w:val="none" w:sz="0" w:space="0" w:color="auto"/>
            <w:right w:val="none" w:sz="0" w:space="0" w:color="auto"/>
          </w:divBdr>
        </w:div>
        <w:div w:id="768934184">
          <w:marLeft w:val="640"/>
          <w:marRight w:val="0"/>
          <w:marTop w:val="0"/>
          <w:marBottom w:val="0"/>
          <w:divBdr>
            <w:top w:val="none" w:sz="0" w:space="0" w:color="auto"/>
            <w:left w:val="none" w:sz="0" w:space="0" w:color="auto"/>
            <w:bottom w:val="none" w:sz="0" w:space="0" w:color="auto"/>
            <w:right w:val="none" w:sz="0" w:space="0" w:color="auto"/>
          </w:divBdr>
        </w:div>
        <w:div w:id="586155412">
          <w:marLeft w:val="640"/>
          <w:marRight w:val="0"/>
          <w:marTop w:val="0"/>
          <w:marBottom w:val="0"/>
          <w:divBdr>
            <w:top w:val="none" w:sz="0" w:space="0" w:color="auto"/>
            <w:left w:val="none" w:sz="0" w:space="0" w:color="auto"/>
            <w:bottom w:val="none" w:sz="0" w:space="0" w:color="auto"/>
            <w:right w:val="none" w:sz="0" w:space="0" w:color="auto"/>
          </w:divBdr>
        </w:div>
        <w:div w:id="954210798">
          <w:marLeft w:val="640"/>
          <w:marRight w:val="0"/>
          <w:marTop w:val="0"/>
          <w:marBottom w:val="0"/>
          <w:divBdr>
            <w:top w:val="none" w:sz="0" w:space="0" w:color="auto"/>
            <w:left w:val="none" w:sz="0" w:space="0" w:color="auto"/>
            <w:bottom w:val="none" w:sz="0" w:space="0" w:color="auto"/>
            <w:right w:val="none" w:sz="0" w:space="0" w:color="auto"/>
          </w:divBdr>
        </w:div>
        <w:div w:id="1674147044">
          <w:marLeft w:val="640"/>
          <w:marRight w:val="0"/>
          <w:marTop w:val="0"/>
          <w:marBottom w:val="0"/>
          <w:divBdr>
            <w:top w:val="none" w:sz="0" w:space="0" w:color="auto"/>
            <w:left w:val="none" w:sz="0" w:space="0" w:color="auto"/>
            <w:bottom w:val="none" w:sz="0" w:space="0" w:color="auto"/>
            <w:right w:val="none" w:sz="0" w:space="0" w:color="auto"/>
          </w:divBdr>
        </w:div>
        <w:div w:id="748579873">
          <w:marLeft w:val="640"/>
          <w:marRight w:val="0"/>
          <w:marTop w:val="0"/>
          <w:marBottom w:val="0"/>
          <w:divBdr>
            <w:top w:val="none" w:sz="0" w:space="0" w:color="auto"/>
            <w:left w:val="none" w:sz="0" w:space="0" w:color="auto"/>
            <w:bottom w:val="none" w:sz="0" w:space="0" w:color="auto"/>
            <w:right w:val="none" w:sz="0" w:space="0" w:color="auto"/>
          </w:divBdr>
        </w:div>
        <w:div w:id="598025037">
          <w:marLeft w:val="640"/>
          <w:marRight w:val="0"/>
          <w:marTop w:val="0"/>
          <w:marBottom w:val="0"/>
          <w:divBdr>
            <w:top w:val="none" w:sz="0" w:space="0" w:color="auto"/>
            <w:left w:val="none" w:sz="0" w:space="0" w:color="auto"/>
            <w:bottom w:val="none" w:sz="0" w:space="0" w:color="auto"/>
            <w:right w:val="none" w:sz="0" w:space="0" w:color="auto"/>
          </w:divBdr>
        </w:div>
        <w:div w:id="270170739">
          <w:marLeft w:val="640"/>
          <w:marRight w:val="0"/>
          <w:marTop w:val="0"/>
          <w:marBottom w:val="0"/>
          <w:divBdr>
            <w:top w:val="none" w:sz="0" w:space="0" w:color="auto"/>
            <w:left w:val="none" w:sz="0" w:space="0" w:color="auto"/>
            <w:bottom w:val="none" w:sz="0" w:space="0" w:color="auto"/>
            <w:right w:val="none" w:sz="0" w:space="0" w:color="auto"/>
          </w:divBdr>
        </w:div>
        <w:div w:id="1705012296">
          <w:marLeft w:val="640"/>
          <w:marRight w:val="0"/>
          <w:marTop w:val="0"/>
          <w:marBottom w:val="0"/>
          <w:divBdr>
            <w:top w:val="none" w:sz="0" w:space="0" w:color="auto"/>
            <w:left w:val="none" w:sz="0" w:space="0" w:color="auto"/>
            <w:bottom w:val="none" w:sz="0" w:space="0" w:color="auto"/>
            <w:right w:val="none" w:sz="0" w:space="0" w:color="auto"/>
          </w:divBdr>
        </w:div>
        <w:div w:id="823550440">
          <w:marLeft w:val="640"/>
          <w:marRight w:val="0"/>
          <w:marTop w:val="0"/>
          <w:marBottom w:val="0"/>
          <w:divBdr>
            <w:top w:val="none" w:sz="0" w:space="0" w:color="auto"/>
            <w:left w:val="none" w:sz="0" w:space="0" w:color="auto"/>
            <w:bottom w:val="none" w:sz="0" w:space="0" w:color="auto"/>
            <w:right w:val="none" w:sz="0" w:space="0" w:color="auto"/>
          </w:divBdr>
        </w:div>
        <w:div w:id="1040209280">
          <w:marLeft w:val="640"/>
          <w:marRight w:val="0"/>
          <w:marTop w:val="0"/>
          <w:marBottom w:val="0"/>
          <w:divBdr>
            <w:top w:val="none" w:sz="0" w:space="0" w:color="auto"/>
            <w:left w:val="none" w:sz="0" w:space="0" w:color="auto"/>
            <w:bottom w:val="none" w:sz="0" w:space="0" w:color="auto"/>
            <w:right w:val="none" w:sz="0" w:space="0" w:color="auto"/>
          </w:divBdr>
        </w:div>
        <w:div w:id="797649553">
          <w:marLeft w:val="640"/>
          <w:marRight w:val="0"/>
          <w:marTop w:val="0"/>
          <w:marBottom w:val="0"/>
          <w:divBdr>
            <w:top w:val="none" w:sz="0" w:space="0" w:color="auto"/>
            <w:left w:val="none" w:sz="0" w:space="0" w:color="auto"/>
            <w:bottom w:val="none" w:sz="0" w:space="0" w:color="auto"/>
            <w:right w:val="none" w:sz="0" w:space="0" w:color="auto"/>
          </w:divBdr>
        </w:div>
        <w:div w:id="1422219149">
          <w:marLeft w:val="640"/>
          <w:marRight w:val="0"/>
          <w:marTop w:val="0"/>
          <w:marBottom w:val="0"/>
          <w:divBdr>
            <w:top w:val="none" w:sz="0" w:space="0" w:color="auto"/>
            <w:left w:val="none" w:sz="0" w:space="0" w:color="auto"/>
            <w:bottom w:val="none" w:sz="0" w:space="0" w:color="auto"/>
            <w:right w:val="none" w:sz="0" w:space="0" w:color="auto"/>
          </w:divBdr>
        </w:div>
        <w:div w:id="729184471">
          <w:marLeft w:val="640"/>
          <w:marRight w:val="0"/>
          <w:marTop w:val="0"/>
          <w:marBottom w:val="0"/>
          <w:divBdr>
            <w:top w:val="none" w:sz="0" w:space="0" w:color="auto"/>
            <w:left w:val="none" w:sz="0" w:space="0" w:color="auto"/>
            <w:bottom w:val="none" w:sz="0" w:space="0" w:color="auto"/>
            <w:right w:val="none" w:sz="0" w:space="0" w:color="auto"/>
          </w:divBdr>
        </w:div>
        <w:div w:id="1279683668">
          <w:marLeft w:val="640"/>
          <w:marRight w:val="0"/>
          <w:marTop w:val="0"/>
          <w:marBottom w:val="0"/>
          <w:divBdr>
            <w:top w:val="none" w:sz="0" w:space="0" w:color="auto"/>
            <w:left w:val="none" w:sz="0" w:space="0" w:color="auto"/>
            <w:bottom w:val="none" w:sz="0" w:space="0" w:color="auto"/>
            <w:right w:val="none" w:sz="0" w:space="0" w:color="auto"/>
          </w:divBdr>
        </w:div>
        <w:div w:id="250898878">
          <w:marLeft w:val="640"/>
          <w:marRight w:val="0"/>
          <w:marTop w:val="0"/>
          <w:marBottom w:val="0"/>
          <w:divBdr>
            <w:top w:val="none" w:sz="0" w:space="0" w:color="auto"/>
            <w:left w:val="none" w:sz="0" w:space="0" w:color="auto"/>
            <w:bottom w:val="none" w:sz="0" w:space="0" w:color="auto"/>
            <w:right w:val="none" w:sz="0" w:space="0" w:color="auto"/>
          </w:divBdr>
        </w:div>
        <w:div w:id="1419592862">
          <w:marLeft w:val="640"/>
          <w:marRight w:val="0"/>
          <w:marTop w:val="0"/>
          <w:marBottom w:val="0"/>
          <w:divBdr>
            <w:top w:val="none" w:sz="0" w:space="0" w:color="auto"/>
            <w:left w:val="none" w:sz="0" w:space="0" w:color="auto"/>
            <w:bottom w:val="none" w:sz="0" w:space="0" w:color="auto"/>
            <w:right w:val="none" w:sz="0" w:space="0" w:color="auto"/>
          </w:divBdr>
        </w:div>
        <w:div w:id="561403847">
          <w:marLeft w:val="640"/>
          <w:marRight w:val="0"/>
          <w:marTop w:val="0"/>
          <w:marBottom w:val="0"/>
          <w:divBdr>
            <w:top w:val="none" w:sz="0" w:space="0" w:color="auto"/>
            <w:left w:val="none" w:sz="0" w:space="0" w:color="auto"/>
            <w:bottom w:val="none" w:sz="0" w:space="0" w:color="auto"/>
            <w:right w:val="none" w:sz="0" w:space="0" w:color="auto"/>
          </w:divBdr>
        </w:div>
        <w:div w:id="990208003">
          <w:marLeft w:val="640"/>
          <w:marRight w:val="0"/>
          <w:marTop w:val="0"/>
          <w:marBottom w:val="0"/>
          <w:divBdr>
            <w:top w:val="none" w:sz="0" w:space="0" w:color="auto"/>
            <w:left w:val="none" w:sz="0" w:space="0" w:color="auto"/>
            <w:bottom w:val="none" w:sz="0" w:space="0" w:color="auto"/>
            <w:right w:val="none" w:sz="0" w:space="0" w:color="auto"/>
          </w:divBdr>
        </w:div>
        <w:div w:id="1340157076">
          <w:marLeft w:val="640"/>
          <w:marRight w:val="0"/>
          <w:marTop w:val="0"/>
          <w:marBottom w:val="0"/>
          <w:divBdr>
            <w:top w:val="none" w:sz="0" w:space="0" w:color="auto"/>
            <w:left w:val="none" w:sz="0" w:space="0" w:color="auto"/>
            <w:bottom w:val="none" w:sz="0" w:space="0" w:color="auto"/>
            <w:right w:val="none" w:sz="0" w:space="0" w:color="auto"/>
          </w:divBdr>
        </w:div>
        <w:div w:id="903099021">
          <w:marLeft w:val="640"/>
          <w:marRight w:val="0"/>
          <w:marTop w:val="0"/>
          <w:marBottom w:val="0"/>
          <w:divBdr>
            <w:top w:val="none" w:sz="0" w:space="0" w:color="auto"/>
            <w:left w:val="none" w:sz="0" w:space="0" w:color="auto"/>
            <w:bottom w:val="none" w:sz="0" w:space="0" w:color="auto"/>
            <w:right w:val="none" w:sz="0" w:space="0" w:color="auto"/>
          </w:divBdr>
        </w:div>
        <w:div w:id="2072072702">
          <w:marLeft w:val="640"/>
          <w:marRight w:val="0"/>
          <w:marTop w:val="0"/>
          <w:marBottom w:val="0"/>
          <w:divBdr>
            <w:top w:val="none" w:sz="0" w:space="0" w:color="auto"/>
            <w:left w:val="none" w:sz="0" w:space="0" w:color="auto"/>
            <w:bottom w:val="none" w:sz="0" w:space="0" w:color="auto"/>
            <w:right w:val="none" w:sz="0" w:space="0" w:color="auto"/>
          </w:divBdr>
        </w:div>
        <w:div w:id="2066366167">
          <w:marLeft w:val="640"/>
          <w:marRight w:val="0"/>
          <w:marTop w:val="0"/>
          <w:marBottom w:val="0"/>
          <w:divBdr>
            <w:top w:val="none" w:sz="0" w:space="0" w:color="auto"/>
            <w:left w:val="none" w:sz="0" w:space="0" w:color="auto"/>
            <w:bottom w:val="none" w:sz="0" w:space="0" w:color="auto"/>
            <w:right w:val="none" w:sz="0" w:space="0" w:color="auto"/>
          </w:divBdr>
        </w:div>
        <w:div w:id="96675669">
          <w:marLeft w:val="640"/>
          <w:marRight w:val="0"/>
          <w:marTop w:val="0"/>
          <w:marBottom w:val="0"/>
          <w:divBdr>
            <w:top w:val="none" w:sz="0" w:space="0" w:color="auto"/>
            <w:left w:val="none" w:sz="0" w:space="0" w:color="auto"/>
            <w:bottom w:val="none" w:sz="0" w:space="0" w:color="auto"/>
            <w:right w:val="none" w:sz="0" w:space="0" w:color="auto"/>
          </w:divBdr>
        </w:div>
        <w:div w:id="919095259">
          <w:marLeft w:val="640"/>
          <w:marRight w:val="0"/>
          <w:marTop w:val="0"/>
          <w:marBottom w:val="0"/>
          <w:divBdr>
            <w:top w:val="none" w:sz="0" w:space="0" w:color="auto"/>
            <w:left w:val="none" w:sz="0" w:space="0" w:color="auto"/>
            <w:bottom w:val="none" w:sz="0" w:space="0" w:color="auto"/>
            <w:right w:val="none" w:sz="0" w:space="0" w:color="auto"/>
          </w:divBdr>
        </w:div>
        <w:div w:id="926966778">
          <w:marLeft w:val="640"/>
          <w:marRight w:val="0"/>
          <w:marTop w:val="0"/>
          <w:marBottom w:val="0"/>
          <w:divBdr>
            <w:top w:val="none" w:sz="0" w:space="0" w:color="auto"/>
            <w:left w:val="none" w:sz="0" w:space="0" w:color="auto"/>
            <w:bottom w:val="none" w:sz="0" w:space="0" w:color="auto"/>
            <w:right w:val="none" w:sz="0" w:space="0" w:color="auto"/>
          </w:divBdr>
        </w:div>
        <w:div w:id="1521235404">
          <w:marLeft w:val="640"/>
          <w:marRight w:val="0"/>
          <w:marTop w:val="0"/>
          <w:marBottom w:val="0"/>
          <w:divBdr>
            <w:top w:val="none" w:sz="0" w:space="0" w:color="auto"/>
            <w:left w:val="none" w:sz="0" w:space="0" w:color="auto"/>
            <w:bottom w:val="none" w:sz="0" w:space="0" w:color="auto"/>
            <w:right w:val="none" w:sz="0" w:space="0" w:color="auto"/>
          </w:divBdr>
        </w:div>
        <w:div w:id="783035552">
          <w:marLeft w:val="640"/>
          <w:marRight w:val="0"/>
          <w:marTop w:val="0"/>
          <w:marBottom w:val="0"/>
          <w:divBdr>
            <w:top w:val="none" w:sz="0" w:space="0" w:color="auto"/>
            <w:left w:val="none" w:sz="0" w:space="0" w:color="auto"/>
            <w:bottom w:val="none" w:sz="0" w:space="0" w:color="auto"/>
            <w:right w:val="none" w:sz="0" w:space="0" w:color="auto"/>
          </w:divBdr>
        </w:div>
        <w:div w:id="1900558531">
          <w:marLeft w:val="640"/>
          <w:marRight w:val="0"/>
          <w:marTop w:val="0"/>
          <w:marBottom w:val="0"/>
          <w:divBdr>
            <w:top w:val="none" w:sz="0" w:space="0" w:color="auto"/>
            <w:left w:val="none" w:sz="0" w:space="0" w:color="auto"/>
            <w:bottom w:val="none" w:sz="0" w:space="0" w:color="auto"/>
            <w:right w:val="none" w:sz="0" w:space="0" w:color="auto"/>
          </w:divBdr>
        </w:div>
        <w:div w:id="529799362">
          <w:marLeft w:val="640"/>
          <w:marRight w:val="0"/>
          <w:marTop w:val="0"/>
          <w:marBottom w:val="0"/>
          <w:divBdr>
            <w:top w:val="none" w:sz="0" w:space="0" w:color="auto"/>
            <w:left w:val="none" w:sz="0" w:space="0" w:color="auto"/>
            <w:bottom w:val="none" w:sz="0" w:space="0" w:color="auto"/>
            <w:right w:val="none" w:sz="0" w:space="0" w:color="auto"/>
          </w:divBdr>
        </w:div>
        <w:div w:id="2134933339">
          <w:marLeft w:val="640"/>
          <w:marRight w:val="0"/>
          <w:marTop w:val="0"/>
          <w:marBottom w:val="0"/>
          <w:divBdr>
            <w:top w:val="none" w:sz="0" w:space="0" w:color="auto"/>
            <w:left w:val="none" w:sz="0" w:space="0" w:color="auto"/>
            <w:bottom w:val="none" w:sz="0" w:space="0" w:color="auto"/>
            <w:right w:val="none" w:sz="0" w:space="0" w:color="auto"/>
          </w:divBdr>
        </w:div>
        <w:div w:id="1126199254">
          <w:marLeft w:val="640"/>
          <w:marRight w:val="0"/>
          <w:marTop w:val="0"/>
          <w:marBottom w:val="0"/>
          <w:divBdr>
            <w:top w:val="none" w:sz="0" w:space="0" w:color="auto"/>
            <w:left w:val="none" w:sz="0" w:space="0" w:color="auto"/>
            <w:bottom w:val="none" w:sz="0" w:space="0" w:color="auto"/>
            <w:right w:val="none" w:sz="0" w:space="0" w:color="auto"/>
          </w:divBdr>
        </w:div>
        <w:div w:id="1981380926">
          <w:marLeft w:val="640"/>
          <w:marRight w:val="0"/>
          <w:marTop w:val="0"/>
          <w:marBottom w:val="0"/>
          <w:divBdr>
            <w:top w:val="none" w:sz="0" w:space="0" w:color="auto"/>
            <w:left w:val="none" w:sz="0" w:space="0" w:color="auto"/>
            <w:bottom w:val="none" w:sz="0" w:space="0" w:color="auto"/>
            <w:right w:val="none" w:sz="0" w:space="0" w:color="auto"/>
          </w:divBdr>
        </w:div>
        <w:div w:id="1652176982">
          <w:marLeft w:val="640"/>
          <w:marRight w:val="0"/>
          <w:marTop w:val="0"/>
          <w:marBottom w:val="0"/>
          <w:divBdr>
            <w:top w:val="none" w:sz="0" w:space="0" w:color="auto"/>
            <w:left w:val="none" w:sz="0" w:space="0" w:color="auto"/>
            <w:bottom w:val="none" w:sz="0" w:space="0" w:color="auto"/>
            <w:right w:val="none" w:sz="0" w:space="0" w:color="auto"/>
          </w:divBdr>
        </w:div>
        <w:div w:id="905846449">
          <w:marLeft w:val="640"/>
          <w:marRight w:val="0"/>
          <w:marTop w:val="0"/>
          <w:marBottom w:val="0"/>
          <w:divBdr>
            <w:top w:val="none" w:sz="0" w:space="0" w:color="auto"/>
            <w:left w:val="none" w:sz="0" w:space="0" w:color="auto"/>
            <w:bottom w:val="none" w:sz="0" w:space="0" w:color="auto"/>
            <w:right w:val="none" w:sz="0" w:space="0" w:color="auto"/>
          </w:divBdr>
        </w:div>
        <w:div w:id="1579048352">
          <w:marLeft w:val="640"/>
          <w:marRight w:val="0"/>
          <w:marTop w:val="0"/>
          <w:marBottom w:val="0"/>
          <w:divBdr>
            <w:top w:val="none" w:sz="0" w:space="0" w:color="auto"/>
            <w:left w:val="none" w:sz="0" w:space="0" w:color="auto"/>
            <w:bottom w:val="none" w:sz="0" w:space="0" w:color="auto"/>
            <w:right w:val="none" w:sz="0" w:space="0" w:color="auto"/>
          </w:divBdr>
        </w:div>
        <w:div w:id="187842003">
          <w:marLeft w:val="640"/>
          <w:marRight w:val="0"/>
          <w:marTop w:val="0"/>
          <w:marBottom w:val="0"/>
          <w:divBdr>
            <w:top w:val="none" w:sz="0" w:space="0" w:color="auto"/>
            <w:left w:val="none" w:sz="0" w:space="0" w:color="auto"/>
            <w:bottom w:val="none" w:sz="0" w:space="0" w:color="auto"/>
            <w:right w:val="none" w:sz="0" w:space="0" w:color="auto"/>
          </w:divBdr>
        </w:div>
        <w:div w:id="1425106141">
          <w:marLeft w:val="640"/>
          <w:marRight w:val="0"/>
          <w:marTop w:val="0"/>
          <w:marBottom w:val="0"/>
          <w:divBdr>
            <w:top w:val="none" w:sz="0" w:space="0" w:color="auto"/>
            <w:left w:val="none" w:sz="0" w:space="0" w:color="auto"/>
            <w:bottom w:val="none" w:sz="0" w:space="0" w:color="auto"/>
            <w:right w:val="none" w:sz="0" w:space="0" w:color="auto"/>
          </w:divBdr>
        </w:div>
        <w:div w:id="236793081">
          <w:marLeft w:val="640"/>
          <w:marRight w:val="0"/>
          <w:marTop w:val="0"/>
          <w:marBottom w:val="0"/>
          <w:divBdr>
            <w:top w:val="none" w:sz="0" w:space="0" w:color="auto"/>
            <w:left w:val="none" w:sz="0" w:space="0" w:color="auto"/>
            <w:bottom w:val="none" w:sz="0" w:space="0" w:color="auto"/>
            <w:right w:val="none" w:sz="0" w:space="0" w:color="auto"/>
          </w:divBdr>
        </w:div>
        <w:div w:id="252981015">
          <w:marLeft w:val="640"/>
          <w:marRight w:val="0"/>
          <w:marTop w:val="0"/>
          <w:marBottom w:val="0"/>
          <w:divBdr>
            <w:top w:val="none" w:sz="0" w:space="0" w:color="auto"/>
            <w:left w:val="none" w:sz="0" w:space="0" w:color="auto"/>
            <w:bottom w:val="none" w:sz="0" w:space="0" w:color="auto"/>
            <w:right w:val="none" w:sz="0" w:space="0" w:color="auto"/>
          </w:divBdr>
        </w:div>
        <w:div w:id="2005038876">
          <w:marLeft w:val="640"/>
          <w:marRight w:val="0"/>
          <w:marTop w:val="0"/>
          <w:marBottom w:val="0"/>
          <w:divBdr>
            <w:top w:val="none" w:sz="0" w:space="0" w:color="auto"/>
            <w:left w:val="none" w:sz="0" w:space="0" w:color="auto"/>
            <w:bottom w:val="none" w:sz="0" w:space="0" w:color="auto"/>
            <w:right w:val="none" w:sz="0" w:space="0" w:color="auto"/>
          </w:divBdr>
        </w:div>
        <w:div w:id="884290956">
          <w:marLeft w:val="640"/>
          <w:marRight w:val="0"/>
          <w:marTop w:val="0"/>
          <w:marBottom w:val="0"/>
          <w:divBdr>
            <w:top w:val="none" w:sz="0" w:space="0" w:color="auto"/>
            <w:left w:val="none" w:sz="0" w:space="0" w:color="auto"/>
            <w:bottom w:val="none" w:sz="0" w:space="0" w:color="auto"/>
            <w:right w:val="none" w:sz="0" w:space="0" w:color="auto"/>
          </w:divBdr>
        </w:div>
        <w:div w:id="1200095596">
          <w:marLeft w:val="640"/>
          <w:marRight w:val="0"/>
          <w:marTop w:val="0"/>
          <w:marBottom w:val="0"/>
          <w:divBdr>
            <w:top w:val="none" w:sz="0" w:space="0" w:color="auto"/>
            <w:left w:val="none" w:sz="0" w:space="0" w:color="auto"/>
            <w:bottom w:val="none" w:sz="0" w:space="0" w:color="auto"/>
            <w:right w:val="none" w:sz="0" w:space="0" w:color="auto"/>
          </w:divBdr>
        </w:div>
        <w:div w:id="1478495746">
          <w:marLeft w:val="640"/>
          <w:marRight w:val="0"/>
          <w:marTop w:val="0"/>
          <w:marBottom w:val="0"/>
          <w:divBdr>
            <w:top w:val="none" w:sz="0" w:space="0" w:color="auto"/>
            <w:left w:val="none" w:sz="0" w:space="0" w:color="auto"/>
            <w:bottom w:val="none" w:sz="0" w:space="0" w:color="auto"/>
            <w:right w:val="none" w:sz="0" w:space="0" w:color="auto"/>
          </w:divBdr>
        </w:div>
        <w:div w:id="812521787">
          <w:marLeft w:val="640"/>
          <w:marRight w:val="0"/>
          <w:marTop w:val="0"/>
          <w:marBottom w:val="0"/>
          <w:divBdr>
            <w:top w:val="none" w:sz="0" w:space="0" w:color="auto"/>
            <w:left w:val="none" w:sz="0" w:space="0" w:color="auto"/>
            <w:bottom w:val="none" w:sz="0" w:space="0" w:color="auto"/>
            <w:right w:val="none" w:sz="0" w:space="0" w:color="auto"/>
          </w:divBdr>
        </w:div>
        <w:div w:id="1678263319">
          <w:marLeft w:val="640"/>
          <w:marRight w:val="0"/>
          <w:marTop w:val="0"/>
          <w:marBottom w:val="0"/>
          <w:divBdr>
            <w:top w:val="none" w:sz="0" w:space="0" w:color="auto"/>
            <w:left w:val="none" w:sz="0" w:space="0" w:color="auto"/>
            <w:bottom w:val="none" w:sz="0" w:space="0" w:color="auto"/>
            <w:right w:val="none" w:sz="0" w:space="0" w:color="auto"/>
          </w:divBdr>
        </w:div>
        <w:div w:id="2103984173">
          <w:marLeft w:val="640"/>
          <w:marRight w:val="0"/>
          <w:marTop w:val="0"/>
          <w:marBottom w:val="0"/>
          <w:divBdr>
            <w:top w:val="none" w:sz="0" w:space="0" w:color="auto"/>
            <w:left w:val="none" w:sz="0" w:space="0" w:color="auto"/>
            <w:bottom w:val="none" w:sz="0" w:space="0" w:color="auto"/>
            <w:right w:val="none" w:sz="0" w:space="0" w:color="auto"/>
          </w:divBdr>
        </w:div>
        <w:div w:id="2124417530">
          <w:marLeft w:val="640"/>
          <w:marRight w:val="0"/>
          <w:marTop w:val="0"/>
          <w:marBottom w:val="0"/>
          <w:divBdr>
            <w:top w:val="none" w:sz="0" w:space="0" w:color="auto"/>
            <w:left w:val="none" w:sz="0" w:space="0" w:color="auto"/>
            <w:bottom w:val="none" w:sz="0" w:space="0" w:color="auto"/>
            <w:right w:val="none" w:sz="0" w:space="0" w:color="auto"/>
          </w:divBdr>
        </w:div>
        <w:div w:id="1458718065">
          <w:marLeft w:val="640"/>
          <w:marRight w:val="0"/>
          <w:marTop w:val="0"/>
          <w:marBottom w:val="0"/>
          <w:divBdr>
            <w:top w:val="none" w:sz="0" w:space="0" w:color="auto"/>
            <w:left w:val="none" w:sz="0" w:space="0" w:color="auto"/>
            <w:bottom w:val="none" w:sz="0" w:space="0" w:color="auto"/>
            <w:right w:val="none" w:sz="0" w:space="0" w:color="auto"/>
          </w:divBdr>
        </w:div>
        <w:div w:id="22904667">
          <w:marLeft w:val="640"/>
          <w:marRight w:val="0"/>
          <w:marTop w:val="0"/>
          <w:marBottom w:val="0"/>
          <w:divBdr>
            <w:top w:val="none" w:sz="0" w:space="0" w:color="auto"/>
            <w:left w:val="none" w:sz="0" w:space="0" w:color="auto"/>
            <w:bottom w:val="none" w:sz="0" w:space="0" w:color="auto"/>
            <w:right w:val="none" w:sz="0" w:space="0" w:color="auto"/>
          </w:divBdr>
        </w:div>
        <w:div w:id="2108496743">
          <w:marLeft w:val="640"/>
          <w:marRight w:val="0"/>
          <w:marTop w:val="0"/>
          <w:marBottom w:val="0"/>
          <w:divBdr>
            <w:top w:val="none" w:sz="0" w:space="0" w:color="auto"/>
            <w:left w:val="none" w:sz="0" w:space="0" w:color="auto"/>
            <w:bottom w:val="none" w:sz="0" w:space="0" w:color="auto"/>
            <w:right w:val="none" w:sz="0" w:space="0" w:color="auto"/>
          </w:divBdr>
        </w:div>
        <w:div w:id="388651509">
          <w:marLeft w:val="640"/>
          <w:marRight w:val="0"/>
          <w:marTop w:val="0"/>
          <w:marBottom w:val="0"/>
          <w:divBdr>
            <w:top w:val="none" w:sz="0" w:space="0" w:color="auto"/>
            <w:left w:val="none" w:sz="0" w:space="0" w:color="auto"/>
            <w:bottom w:val="none" w:sz="0" w:space="0" w:color="auto"/>
            <w:right w:val="none" w:sz="0" w:space="0" w:color="auto"/>
          </w:divBdr>
        </w:div>
        <w:div w:id="1024478125">
          <w:marLeft w:val="640"/>
          <w:marRight w:val="0"/>
          <w:marTop w:val="0"/>
          <w:marBottom w:val="0"/>
          <w:divBdr>
            <w:top w:val="none" w:sz="0" w:space="0" w:color="auto"/>
            <w:left w:val="none" w:sz="0" w:space="0" w:color="auto"/>
            <w:bottom w:val="none" w:sz="0" w:space="0" w:color="auto"/>
            <w:right w:val="none" w:sz="0" w:space="0" w:color="auto"/>
          </w:divBdr>
        </w:div>
        <w:div w:id="1002271514">
          <w:marLeft w:val="640"/>
          <w:marRight w:val="0"/>
          <w:marTop w:val="0"/>
          <w:marBottom w:val="0"/>
          <w:divBdr>
            <w:top w:val="none" w:sz="0" w:space="0" w:color="auto"/>
            <w:left w:val="none" w:sz="0" w:space="0" w:color="auto"/>
            <w:bottom w:val="none" w:sz="0" w:space="0" w:color="auto"/>
            <w:right w:val="none" w:sz="0" w:space="0" w:color="auto"/>
          </w:divBdr>
        </w:div>
        <w:div w:id="1936817266">
          <w:marLeft w:val="640"/>
          <w:marRight w:val="0"/>
          <w:marTop w:val="0"/>
          <w:marBottom w:val="0"/>
          <w:divBdr>
            <w:top w:val="none" w:sz="0" w:space="0" w:color="auto"/>
            <w:left w:val="none" w:sz="0" w:space="0" w:color="auto"/>
            <w:bottom w:val="none" w:sz="0" w:space="0" w:color="auto"/>
            <w:right w:val="none" w:sz="0" w:space="0" w:color="auto"/>
          </w:divBdr>
        </w:div>
        <w:div w:id="199712076">
          <w:marLeft w:val="640"/>
          <w:marRight w:val="0"/>
          <w:marTop w:val="0"/>
          <w:marBottom w:val="0"/>
          <w:divBdr>
            <w:top w:val="none" w:sz="0" w:space="0" w:color="auto"/>
            <w:left w:val="none" w:sz="0" w:space="0" w:color="auto"/>
            <w:bottom w:val="none" w:sz="0" w:space="0" w:color="auto"/>
            <w:right w:val="none" w:sz="0" w:space="0" w:color="auto"/>
          </w:divBdr>
        </w:div>
        <w:div w:id="2116247539">
          <w:marLeft w:val="640"/>
          <w:marRight w:val="0"/>
          <w:marTop w:val="0"/>
          <w:marBottom w:val="0"/>
          <w:divBdr>
            <w:top w:val="none" w:sz="0" w:space="0" w:color="auto"/>
            <w:left w:val="none" w:sz="0" w:space="0" w:color="auto"/>
            <w:bottom w:val="none" w:sz="0" w:space="0" w:color="auto"/>
            <w:right w:val="none" w:sz="0" w:space="0" w:color="auto"/>
          </w:divBdr>
        </w:div>
        <w:div w:id="1873877040">
          <w:marLeft w:val="640"/>
          <w:marRight w:val="0"/>
          <w:marTop w:val="0"/>
          <w:marBottom w:val="0"/>
          <w:divBdr>
            <w:top w:val="none" w:sz="0" w:space="0" w:color="auto"/>
            <w:left w:val="none" w:sz="0" w:space="0" w:color="auto"/>
            <w:bottom w:val="none" w:sz="0" w:space="0" w:color="auto"/>
            <w:right w:val="none" w:sz="0" w:space="0" w:color="auto"/>
          </w:divBdr>
        </w:div>
        <w:div w:id="935676976">
          <w:marLeft w:val="640"/>
          <w:marRight w:val="0"/>
          <w:marTop w:val="0"/>
          <w:marBottom w:val="0"/>
          <w:divBdr>
            <w:top w:val="none" w:sz="0" w:space="0" w:color="auto"/>
            <w:left w:val="none" w:sz="0" w:space="0" w:color="auto"/>
            <w:bottom w:val="none" w:sz="0" w:space="0" w:color="auto"/>
            <w:right w:val="none" w:sz="0" w:space="0" w:color="auto"/>
          </w:divBdr>
        </w:div>
        <w:div w:id="1726680448">
          <w:marLeft w:val="640"/>
          <w:marRight w:val="0"/>
          <w:marTop w:val="0"/>
          <w:marBottom w:val="0"/>
          <w:divBdr>
            <w:top w:val="none" w:sz="0" w:space="0" w:color="auto"/>
            <w:left w:val="none" w:sz="0" w:space="0" w:color="auto"/>
            <w:bottom w:val="none" w:sz="0" w:space="0" w:color="auto"/>
            <w:right w:val="none" w:sz="0" w:space="0" w:color="auto"/>
          </w:divBdr>
        </w:div>
        <w:div w:id="632517255">
          <w:marLeft w:val="640"/>
          <w:marRight w:val="0"/>
          <w:marTop w:val="0"/>
          <w:marBottom w:val="0"/>
          <w:divBdr>
            <w:top w:val="none" w:sz="0" w:space="0" w:color="auto"/>
            <w:left w:val="none" w:sz="0" w:space="0" w:color="auto"/>
            <w:bottom w:val="none" w:sz="0" w:space="0" w:color="auto"/>
            <w:right w:val="none" w:sz="0" w:space="0" w:color="auto"/>
          </w:divBdr>
        </w:div>
        <w:div w:id="469632654">
          <w:marLeft w:val="640"/>
          <w:marRight w:val="0"/>
          <w:marTop w:val="0"/>
          <w:marBottom w:val="0"/>
          <w:divBdr>
            <w:top w:val="none" w:sz="0" w:space="0" w:color="auto"/>
            <w:left w:val="none" w:sz="0" w:space="0" w:color="auto"/>
            <w:bottom w:val="none" w:sz="0" w:space="0" w:color="auto"/>
            <w:right w:val="none" w:sz="0" w:space="0" w:color="auto"/>
          </w:divBdr>
        </w:div>
        <w:div w:id="22025563">
          <w:marLeft w:val="640"/>
          <w:marRight w:val="0"/>
          <w:marTop w:val="0"/>
          <w:marBottom w:val="0"/>
          <w:divBdr>
            <w:top w:val="none" w:sz="0" w:space="0" w:color="auto"/>
            <w:left w:val="none" w:sz="0" w:space="0" w:color="auto"/>
            <w:bottom w:val="none" w:sz="0" w:space="0" w:color="auto"/>
            <w:right w:val="none" w:sz="0" w:space="0" w:color="auto"/>
          </w:divBdr>
        </w:div>
        <w:div w:id="571738716">
          <w:marLeft w:val="640"/>
          <w:marRight w:val="0"/>
          <w:marTop w:val="0"/>
          <w:marBottom w:val="0"/>
          <w:divBdr>
            <w:top w:val="none" w:sz="0" w:space="0" w:color="auto"/>
            <w:left w:val="none" w:sz="0" w:space="0" w:color="auto"/>
            <w:bottom w:val="none" w:sz="0" w:space="0" w:color="auto"/>
            <w:right w:val="none" w:sz="0" w:space="0" w:color="auto"/>
          </w:divBdr>
        </w:div>
        <w:div w:id="1753505138">
          <w:marLeft w:val="640"/>
          <w:marRight w:val="0"/>
          <w:marTop w:val="0"/>
          <w:marBottom w:val="0"/>
          <w:divBdr>
            <w:top w:val="none" w:sz="0" w:space="0" w:color="auto"/>
            <w:left w:val="none" w:sz="0" w:space="0" w:color="auto"/>
            <w:bottom w:val="none" w:sz="0" w:space="0" w:color="auto"/>
            <w:right w:val="none" w:sz="0" w:space="0" w:color="auto"/>
          </w:divBdr>
        </w:div>
        <w:div w:id="260261265">
          <w:marLeft w:val="640"/>
          <w:marRight w:val="0"/>
          <w:marTop w:val="0"/>
          <w:marBottom w:val="0"/>
          <w:divBdr>
            <w:top w:val="none" w:sz="0" w:space="0" w:color="auto"/>
            <w:left w:val="none" w:sz="0" w:space="0" w:color="auto"/>
            <w:bottom w:val="none" w:sz="0" w:space="0" w:color="auto"/>
            <w:right w:val="none" w:sz="0" w:space="0" w:color="auto"/>
          </w:divBdr>
        </w:div>
        <w:div w:id="1394426292">
          <w:marLeft w:val="640"/>
          <w:marRight w:val="0"/>
          <w:marTop w:val="0"/>
          <w:marBottom w:val="0"/>
          <w:divBdr>
            <w:top w:val="none" w:sz="0" w:space="0" w:color="auto"/>
            <w:left w:val="none" w:sz="0" w:space="0" w:color="auto"/>
            <w:bottom w:val="none" w:sz="0" w:space="0" w:color="auto"/>
            <w:right w:val="none" w:sz="0" w:space="0" w:color="auto"/>
          </w:divBdr>
        </w:div>
        <w:div w:id="1599480560">
          <w:marLeft w:val="640"/>
          <w:marRight w:val="0"/>
          <w:marTop w:val="0"/>
          <w:marBottom w:val="0"/>
          <w:divBdr>
            <w:top w:val="none" w:sz="0" w:space="0" w:color="auto"/>
            <w:left w:val="none" w:sz="0" w:space="0" w:color="auto"/>
            <w:bottom w:val="none" w:sz="0" w:space="0" w:color="auto"/>
            <w:right w:val="none" w:sz="0" w:space="0" w:color="auto"/>
          </w:divBdr>
        </w:div>
        <w:div w:id="744646276">
          <w:marLeft w:val="640"/>
          <w:marRight w:val="0"/>
          <w:marTop w:val="0"/>
          <w:marBottom w:val="0"/>
          <w:divBdr>
            <w:top w:val="none" w:sz="0" w:space="0" w:color="auto"/>
            <w:left w:val="none" w:sz="0" w:space="0" w:color="auto"/>
            <w:bottom w:val="none" w:sz="0" w:space="0" w:color="auto"/>
            <w:right w:val="none" w:sz="0" w:space="0" w:color="auto"/>
          </w:divBdr>
        </w:div>
        <w:div w:id="1566601736">
          <w:marLeft w:val="640"/>
          <w:marRight w:val="0"/>
          <w:marTop w:val="0"/>
          <w:marBottom w:val="0"/>
          <w:divBdr>
            <w:top w:val="none" w:sz="0" w:space="0" w:color="auto"/>
            <w:left w:val="none" w:sz="0" w:space="0" w:color="auto"/>
            <w:bottom w:val="none" w:sz="0" w:space="0" w:color="auto"/>
            <w:right w:val="none" w:sz="0" w:space="0" w:color="auto"/>
          </w:divBdr>
        </w:div>
        <w:div w:id="1696346053">
          <w:marLeft w:val="640"/>
          <w:marRight w:val="0"/>
          <w:marTop w:val="0"/>
          <w:marBottom w:val="0"/>
          <w:divBdr>
            <w:top w:val="none" w:sz="0" w:space="0" w:color="auto"/>
            <w:left w:val="none" w:sz="0" w:space="0" w:color="auto"/>
            <w:bottom w:val="none" w:sz="0" w:space="0" w:color="auto"/>
            <w:right w:val="none" w:sz="0" w:space="0" w:color="auto"/>
          </w:divBdr>
        </w:div>
        <w:div w:id="1210416592">
          <w:marLeft w:val="640"/>
          <w:marRight w:val="0"/>
          <w:marTop w:val="0"/>
          <w:marBottom w:val="0"/>
          <w:divBdr>
            <w:top w:val="none" w:sz="0" w:space="0" w:color="auto"/>
            <w:left w:val="none" w:sz="0" w:space="0" w:color="auto"/>
            <w:bottom w:val="none" w:sz="0" w:space="0" w:color="auto"/>
            <w:right w:val="none" w:sz="0" w:space="0" w:color="auto"/>
          </w:divBdr>
        </w:div>
        <w:div w:id="691807756">
          <w:marLeft w:val="640"/>
          <w:marRight w:val="0"/>
          <w:marTop w:val="0"/>
          <w:marBottom w:val="0"/>
          <w:divBdr>
            <w:top w:val="none" w:sz="0" w:space="0" w:color="auto"/>
            <w:left w:val="none" w:sz="0" w:space="0" w:color="auto"/>
            <w:bottom w:val="none" w:sz="0" w:space="0" w:color="auto"/>
            <w:right w:val="none" w:sz="0" w:space="0" w:color="auto"/>
          </w:divBdr>
        </w:div>
        <w:div w:id="1454325061">
          <w:marLeft w:val="640"/>
          <w:marRight w:val="0"/>
          <w:marTop w:val="0"/>
          <w:marBottom w:val="0"/>
          <w:divBdr>
            <w:top w:val="none" w:sz="0" w:space="0" w:color="auto"/>
            <w:left w:val="none" w:sz="0" w:space="0" w:color="auto"/>
            <w:bottom w:val="none" w:sz="0" w:space="0" w:color="auto"/>
            <w:right w:val="none" w:sz="0" w:space="0" w:color="auto"/>
          </w:divBdr>
        </w:div>
        <w:div w:id="1047530179">
          <w:marLeft w:val="640"/>
          <w:marRight w:val="0"/>
          <w:marTop w:val="0"/>
          <w:marBottom w:val="0"/>
          <w:divBdr>
            <w:top w:val="none" w:sz="0" w:space="0" w:color="auto"/>
            <w:left w:val="none" w:sz="0" w:space="0" w:color="auto"/>
            <w:bottom w:val="none" w:sz="0" w:space="0" w:color="auto"/>
            <w:right w:val="none" w:sz="0" w:space="0" w:color="auto"/>
          </w:divBdr>
        </w:div>
        <w:div w:id="46102172">
          <w:marLeft w:val="640"/>
          <w:marRight w:val="0"/>
          <w:marTop w:val="0"/>
          <w:marBottom w:val="0"/>
          <w:divBdr>
            <w:top w:val="none" w:sz="0" w:space="0" w:color="auto"/>
            <w:left w:val="none" w:sz="0" w:space="0" w:color="auto"/>
            <w:bottom w:val="none" w:sz="0" w:space="0" w:color="auto"/>
            <w:right w:val="none" w:sz="0" w:space="0" w:color="auto"/>
          </w:divBdr>
        </w:div>
        <w:div w:id="1076244609">
          <w:marLeft w:val="640"/>
          <w:marRight w:val="0"/>
          <w:marTop w:val="0"/>
          <w:marBottom w:val="0"/>
          <w:divBdr>
            <w:top w:val="none" w:sz="0" w:space="0" w:color="auto"/>
            <w:left w:val="none" w:sz="0" w:space="0" w:color="auto"/>
            <w:bottom w:val="none" w:sz="0" w:space="0" w:color="auto"/>
            <w:right w:val="none" w:sz="0" w:space="0" w:color="auto"/>
          </w:divBdr>
        </w:div>
        <w:div w:id="1884516273">
          <w:marLeft w:val="640"/>
          <w:marRight w:val="0"/>
          <w:marTop w:val="0"/>
          <w:marBottom w:val="0"/>
          <w:divBdr>
            <w:top w:val="none" w:sz="0" w:space="0" w:color="auto"/>
            <w:left w:val="none" w:sz="0" w:space="0" w:color="auto"/>
            <w:bottom w:val="none" w:sz="0" w:space="0" w:color="auto"/>
            <w:right w:val="none" w:sz="0" w:space="0" w:color="auto"/>
          </w:divBdr>
        </w:div>
        <w:div w:id="1163624442">
          <w:marLeft w:val="640"/>
          <w:marRight w:val="0"/>
          <w:marTop w:val="0"/>
          <w:marBottom w:val="0"/>
          <w:divBdr>
            <w:top w:val="none" w:sz="0" w:space="0" w:color="auto"/>
            <w:left w:val="none" w:sz="0" w:space="0" w:color="auto"/>
            <w:bottom w:val="none" w:sz="0" w:space="0" w:color="auto"/>
            <w:right w:val="none" w:sz="0" w:space="0" w:color="auto"/>
          </w:divBdr>
        </w:div>
        <w:div w:id="910623951">
          <w:marLeft w:val="640"/>
          <w:marRight w:val="0"/>
          <w:marTop w:val="0"/>
          <w:marBottom w:val="0"/>
          <w:divBdr>
            <w:top w:val="none" w:sz="0" w:space="0" w:color="auto"/>
            <w:left w:val="none" w:sz="0" w:space="0" w:color="auto"/>
            <w:bottom w:val="none" w:sz="0" w:space="0" w:color="auto"/>
            <w:right w:val="none" w:sz="0" w:space="0" w:color="auto"/>
          </w:divBdr>
        </w:div>
        <w:div w:id="244188091">
          <w:marLeft w:val="640"/>
          <w:marRight w:val="0"/>
          <w:marTop w:val="0"/>
          <w:marBottom w:val="0"/>
          <w:divBdr>
            <w:top w:val="none" w:sz="0" w:space="0" w:color="auto"/>
            <w:left w:val="none" w:sz="0" w:space="0" w:color="auto"/>
            <w:bottom w:val="none" w:sz="0" w:space="0" w:color="auto"/>
            <w:right w:val="none" w:sz="0" w:space="0" w:color="auto"/>
          </w:divBdr>
        </w:div>
        <w:div w:id="1512644613">
          <w:marLeft w:val="640"/>
          <w:marRight w:val="0"/>
          <w:marTop w:val="0"/>
          <w:marBottom w:val="0"/>
          <w:divBdr>
            <w:top w:val="none" w:sz="0" w:space="0" w:color="auto"/>
            <w:left w:val="none" w:sz="0" w:space="0" w:color="auto"/>
            <w:bottom w:val="none" w:sz="0" w:space="0" w:color="auto"/>
            <w:right w:val="none" w:sz="0" w:space="0" w:color="auto"/>
          </w:divBdr>
        </w:div>
        <w:div w:id="606012530">
          <w:marLeft w:val="640"/>
          <w:marRight w:val="0"/>
          <w:marTop w:val="0"/>
          <w:marBottom w:val="0"/>
          <w:divBdr>
            <w:top w:val="none" w:sz="0" w:space="0" w:color="auto"/>
            <w:left w:val="none" w:sz="0" w:space="0" w:color="auto"/>
            <w:bottom w:val="none" w:sz="0" w:space="0" w:color="auto"/>
            <w:right w:val="none" w:sz="0" w:space="0" w:color="auto"/>
          </w:divBdr>
        </w:div>
        <w:div w:id="896672673">
          <w:marLeft w:val="640"/>
          <w:marRight w:val="0"/>
          <w:marTop w:val="0"/>
          <w:marBottom w:val="0"/>
          <w:divBdr>
            <w:top w:val="none" w:sz="0" w:space="0" w:color="auto"/>
            <w:left w:val="none" w:sz="0" w:space="0" w:color="auto"/>
            <w:bottom w:val="none" w:sz="0" w:space="0" w:color="auto"/>
            <w:right w:val="none" w:sz="0" w:space="0" w:color="auto"/>
          </w:divBdr>
        </w:div>
        <w:div w:id="1219635278">
          <w:marLeft w:val="640"/>
          <w:marRight w:val="0"/>
          <w:marTop w:val="0"/>
          <w:marBottom w:val="0"/>
          <w:divBdr>
            <w:top w:val="none" w:sz="0" w:space="0" w:color="auto"/>
            <w:left w:val="none" w:sz="0" w:space="0" w:color="auto"/>
            <w:bottom w:val="none" w:sz="0" w:space="0" w:color="auto"/>
            <w:right w:val="none" w:sz="0" w:space="0" w:color="auto"/>
          </w:divBdr>
        </w:div>
        <w:div w:id="82071758">
          <w:marLeft w:val="640"/>
          <w:marRight w:val="0"/>
          <w:marTop w:val="0"/>
          <w:marBottom w:val="0"/>
          <w:divBdr>
            <w:top w:val="none" w:sz="0" w:space="0" w:color="auto"/>
            <w:left w:val="none" w:sz="0" w:space="0" w:color="auto"/>
            <w:bottom w:val="none" w:sz="0" w:space="0" w:color="auto"/>
            <w:right w:val="none" w:sz="0" w:space="0" w:color="auto"/>
          </w:divBdr>
        </w:div>
        <w:div w:id="1009866515">
          <w:marLeft w:val="640"/>
          <w:marRight w:val="0"/>
          <w:marTop w:val="0"/>
          <w:marBottom w:val="0"/>
          <w:divBdr>
            <w:top w:val="none" w:sz="0" w:space="0" w:color="auto"/>
            <w:left w:val="none" w:sz="0" w:space="0" w:color="auto"/>
            <w:bottom w:val="none" w:sz="0" w:space="0" w:color="auto"/>
            <w:right w:val="none" w:sz="0" w:space="0" w:color="auto"/>
          </w:divBdr>
        </w:div>
        <w:div w:id="586043038">
          <w:marLeft w:val="640"/>
          <w:marRight w:val="0"/>
          <w:marTop w:val="0"/>
          <w:marBottom w:val="0"/>
          <w:divBdr>
            <w:top w:val="none" w:sz="0" w:space="0" w:color="auto"/>
            <w:left w:val="none" w:sz="0" w:space="0" w:color="auto"/>
            <w:bottom w:val="none" w:sz="0" w:space="0" w:color="auto"/>
            <w:right w:val="none" w:sz="0" w:space="0" w:color="auto"/>
          </w:divBdr>
        </w:div>
        <w:div w:id="1011376453">
          <w:marLeft w:val="640"/>
          <w:marRight w:val="0"/>
          <w:marTop w:val="0"/>
          <w:marBottom w:val="0"/>
          <w:divBdr>
            <w:top w:val="none" w:sz="0" w:space="0" w:color="auto"/>
            <w:left w:val="none" w:sz="0" w:space="0" w:color="auto"/>
            <w:bottom w:val="none" w:sz="0" w:space="0" w:color="auto"/>
            <w:right w:val="none" w:sz="0" w:space="0" w:color="auto"/>
          </w:divBdr>
        </w:div>
        <w:div w:id="103117573">
          <w:marLeft w:val="640"/>
          <w:marRight w:val="0"/>
          <w:marTop w:val="0"/>
          <w:marBottom w:val="0"/>
          <w:divBdr>
            <w:top w:val="none" w:sz="0" w:space="0" w:color="auto"/>
            <w:left w:val="none" w:sz="0" w:space="0" w:color="auto"/>
            <w:bottom w:val="none" w:sz="0" w:space="0" w:color="auto"/>
            <w:right w:val="none" w:sz="0" w:space="0" w:color="auto"/>
          </w:divBdr>
        </w:div>
        <w:div w:id="147669119">
          <w:marLeft w:val="640"/>
          <w:marRight w:val="0"/>
          <w:marTop w:val="0"/>
          <w:marBottom w:val="0"/>
          <w:divBdr>
            <w:top w:val="none" w:sz="0" w:space="0" w:color="auto"/>
            <w:left w:val="none" w:sz="0" w:space="0" w:color="auto"/>
            <w:bottom w:val="none" w:sz="0" w:space="0" w:color="auto"/>
            <w:right w:val="none" w:sz="0" w:space="0" w:color="auto"/>
          </w:divBdr>
        </w:div>
        <w:div w:id="716515000">
          <w:marLeft w:val="640"/>
          <w:marRight w:val="0"/>
          <w:marTop w:val="0"/>
          <w:marBottom w:val="0"/>
          <w:divBdr>
            <w:top w:val="none" w:sz="0" w:space="0" w:color="auto"/>
            <w:left w:val="none" w:sz="0" w:space="0" w:color="auto"/>
            <w:bottom w:val="none" w:sz="0" w:space="0" w:color="auto"/>
            <w:right w:val="none" w:sz="0" w:space="0" w:color="auto"/>
          </w:divBdr>
        </w:div>
        <w:div w:id="884828964">
          <w:marLeft w:val="640"/>
          <w:marRight w:val="0"/>
          <w:marTop w:val="0"/>
          <w:marBottom w:val="0"/>
          <w:divBdr>
            <w:top w:val="none" w:sz="0" w:space="0" w:color="auto"/>
            <w:left w:val="none" w:sz="0" w:space="0" w:color="auto"/>
            <w:bottom w:val="none" w:sz="0" w:space="0" w:color="auto"/>
            <w:right w:val="none" w:sz="0" w:space="0" w:color="auto"/>
          </w:divBdr>
        </w:div>
        <w:div w:id="1648976555">
          <w:marLeft w:val="640"/>
          <w:marRight w:val="0"/>
          <w:marTop w:val="0"/>
          <w:marBottom w:val="0"/>
          <w:divBdr>
            <w:top w:val="none" w:sz="0" w:space="0" w:color="auto"/>
            <w:left w:val="none" w:sz="0" w:space="0" w:color="auto"/>
            <w:bottom w:val="none" w:sz="0" w:space="0" w:color="auto"/>
            <w:right w:val="none" w:sz="0" w:space="0" w:color="auto"/>
          </w:divBdr>
        </w:div>
        <w:div w:id="1877548753">
          <w:marLeft w:val="640"/>
          <w:marRight w:val="0"/>
          <w:marTop w:val="0"/>
          <w:marBottom w:val="0"/>
          <w:divBdr>
            <w:top w:val="none" w:sz="0" w:space="0" w:color="auto"/>
            <w:left w:val="none" w:sz="0" w:space="0" w:color="auto"/>
            <w:bottom w:val="none" w:sz="0" w:space="0" w:color="auto"/>
            <w:right w:val="none" w:sz="0" w:space="0" w:color="auto"/>
          </w:divBdr>
        </w:div>
        <w:div w:id="2082363263">
          <w:marLeft w:val="640"/>
          <w:marRight w:val="0"/>
          <w:marTop w:val="0"/>
          <w:marBottom w:val="0"/>
          <w:divBdr>
            <w:top w:val="none" w:sz="0" w:space="0" w:color="auto"/>
            <w:left w:val="none" w:sz="0" w:space="0" w:color="auto"/>
            <w:bottom w:val="none" w:sz="0" w:space="0" w:color="auto"/>
            <w:right w:val="none" w:sz="0" w:space="0" w:color="auto"/>
          </w:divBdr>
        </w:div>
        <w:div w:id="1479491585">
          <w:marLeft w:val="640"/>
          <w:marRight w:val="0"/>
          <w:marTop w:val="0"/>
          <w:marBottom w:val="0"/>
          <w:divBdr>
            <w:top w:val="none" w:sz="0" w:space="0" w:color="auto"/>
            <w:left w:val="none" w:sz="0" w:space="0" w:color="auto"/>
            <w:bottom w:val="none" w:sz="0" w:space="0" w:color="auto"/>
            <w:right w:val="none" w:sz="0" w:space="0" w:color="auto"/>
          </w:divBdr>
        </w:div>
        <w:div w:id="227308762">
          <w:marLeft w:val="640"/>
          <w:marRight w:val="0"/>
          <w:marTop w:val="0"/>
          <w:marBottom w:val="0"/>
          <w:divBdr>
            <w:top w:val="none" w:sz="0" w:space="0" w:color="auto"/>
            <w:left w:val="none" w:sz="0" w:space="0" w:color="auto"/>
            <w:bottom w:val="none" w:sz="0" w:space="0" w:color="auto"/>
            <w:right w:val="none" w:sz="0" w:space="0" w:color="auto"/>
          </w:divBdr>
        </w:div>
        <w:div w:id="1320302128">
          <w:marLeft w:val="640"/>
          <w:marRight w:val="0"/>
          <w:marTop w:val="0"/>
          <w:marBottom w:val="0"/>
          <w:divBdr>
            <w:top w:val="none" w:sz="0" w:space="0" w:color="auto"/>
            <w:left w:val="none" w:sz="0" w:space="0" w:color="auto"/>
            <w:bottom w:val="none" w:sz="0" w:space="0" w:color="auto"/>
            <w:right w:val="none" w:sz="0" w:space="0" w:color="auto"/>
          </w:divBdr>
        </w:div>
        <w:div w:id="327291284">
          <w:marLeft w:val="640"/>
          <w:marRight w:val="0"/>
          <w:marTop w:val="0"/>
          <w:marBottom w:val="0"/>
          <w:divBdr>
            <w:top w:val="none" w:sz="0" w:space="0" w:color="auto"/>
            <w:left w:val="none" w:sz="0" w:space="0" w:color="auto"/>
            <w:bottom w:val="none" w:sz="0" w:space="0" w:color="auto"/>
            <w:right w:val="none" w:sz="0" w:space="0" w:color="auto"/>
          </w:divBdr>
        </w:div>
        <w:div w:id="1070888531">
          <w:marLeft w:val="640"/>
          <w:marRight w:val="0"/>
          <w:marTop w:val="0"/>
          <w:marBottom w:val="0"/>
          <w:divBdr>
            <w:top w:val="none" w:sz="0" w:space="0" w:color="auto"/>
            <w:left w:val="none" w:sz="0" w:space="0" w:color="auto"/>
            <w:bottom w:val="none" w:sz="0" w:space="0" w:color="auto"/>
            <w:right w:val="none" w:sz="0" w:space="0" w:color="auto"/>
          </w:divBdr>
        </w:div>
        <w:div w:id="397946211">
          <w:marLeft w:val="640"/>
          <w:marRight w:val="0"/>
          <w:marTop w:val="0"/>
          <w:marBottom w:val="0"/>
          <w:divBdr>
            <w:top w:val="none" w:sz="0" w:space="0" w:color="auto"/>
            <w:left w:val="none" w:sz="0" w:space="0" w:color="auto"/>
            <w:bottom w:val="none" w:sz="0" w:space="0" w:color="auto"/>
            <w:right w:val="none" w:sz="0" w:space="0" w:color="auto"/>
          </w:divBdr>
        </w:div>
        <w:div w:id="2057927208">
          <w:marLeft w:val="640"/>
          <w:marRight w:val="0"/>
          <w:marTop w:val="0"/>
          <w:marBottom w:val="0"/>
          <w:divBdr>
            <w:top w:val="none" w:sz="0" w:space="0" w:color="auto"/>
            <w:left w:val="none" w:sz="0" w:space="0" w:color="auto"/>
            <w:bottom w:val="none" w:sz="0" w:space="0" w:color="auto"/>
            <w:right w:val="none" w:sz="0" w:space="0" w:color="auto"/>
          </w:divBdr>
        </w:div>
        <w:div w:id="3939271">
          <w:marLeft w:val="640"/>
          <w:marRight w:val="0"/>
          <w:marTop w:val="0"/>
          <w:marBottom w:val="0"/>
          <w:divBdr>
            <w:top w:val="none" w:sz="0" w:space="0" w:color="auto"/>
            <w:left w:val="none" w:sz="0" w:space="0" w:color="auto"/>
            <w:bottom w:val="none" w:sz="0" w:space="0" w:color="auto"/>
            <w:right w:val="none" w:sz="0" w:space="0" w:color="auto"/>
          </w:divBdr>
        </w:div>
        <w:div w:id="1167793632">
          <w:marLeft w:val="640"/>
          <w:marRight w:val="0"/>
          <w:marTop w:val="0"/>
          <w:marBottom w:val="0"/>
          <w:divBdr>
            <w:top w:val="none" w:sz="0" w:space="0" w:color="auto"/>
            <w:left w:val="none" w:sz="0" w:space="0" w:color="auto"/>
            <w:bottom w:val="none" w:sz="0" w:space="0" w:color="auto"/>
            <w:right w:val="none" w:sz="0" w:space="0" w:color="auto"/>
          </w:divBdr>
        </w:div>
        <w:div w:id="2026471379">
          <w:marLeft w:val="640"/>
          <w:marRight w:val="0"/>
          <w:marTop w:val="0"/>
          <w:marBottom w:val="0"/>
          <w:divBdr>
            <w:top w:val="none" w:sz="0" w:space="0" w:color="auto"/>
            <w:left w:val="none" w:sz="0" w:space="0" w:color="auto"/>
            <w:bottom w:val="none" w:sz="0" w:space="0" w:color="auto"/>
            <w:right w:val="none" w:sz="0" w:space="0" w:color="auto"/>
          </w:divBdr>
        </w:div>
        <w:div w:id="1753820384">
          <w:marLeft w:val="640"/>
          <w:marRight w:val="0"/>
          <w:marTop w:val="0"/>
          <w:marBottom w:val="0"/>
          <w:divBdr>
            <w:top w:val="none" w:sz="0" w:space="0" w:color="auto"/>
            <w:left w:val="none" w:sz="0" w:space="0" w:color="auto"/>
            <w:bottom w:val="none" w:sz="0" w:space="0" w:color="auto"/>
            <w:right w:val="none" w:sz="0" w:space="0" w:color="auto"/>
          </w:divBdr>
        </w:div>
        <w:div w:id="827524527">
          <w:marLeft w:val="640"/>
          <w:marRight w:val="0"/>
          <w:marTop w:val="0"/>
          <w:marBottom w:val="0"/>
          <w:divBdr>
            <w:top w:val="none" w:sz="0" w:space="0" w:color="auto"/>
            <w:left w:val="none" w:sz="0" w:space="0" w:color="auto"/>
            <w:bottom w:val="none" w:sz="0" w:space="0" w:color="auto"/>
            <w:right w:val="none" w:sz="0" w:space="0" w:color="auto"/>
          </w:divBdr>
        </w:div>
        <w:div w:id="1151872263">
          <w:marLeft w:val="640"/>
          <w:marRight w:val="0"/>
          <w:marTop w:val="0"/>
          <w:marBottom w:val="0"/>
          <w:divBdr>
            <w:top w:val="none" w:sz="0" w:space="0" w:color="auto"/>
            <w:left w:val="none" w:sz="0" w:space="0" w:color="auto"/>
            <w:bottom w:val="none" w:sz="0" w:space="0" w:color="auto"/>
            <w:right w:val="none" w:sz="0" w:space="0" w:color="auto"/>
          </w:divBdr>
        </w:div>
        <w:div w:id="807280312">
          <w:marLeft w:val="640"/>
          <w:marRight w:val="0"/>
          <w:marTop w:val="0"/>
          <w:marBottom w:val="0"/>
          <w:divBdr>
            <w:top w:val="none" w:sz="0" w:space="0" w:color="auto"/>
            <w:left w:val="none" w:sz="0" w:space="0" w:color="auto"/>
            <w:bottom w:val="none" w:sz="0" w:space="0" w:color="auto"/>
            <w:right w:val="none" w:sz="0" w:space="0" w:color="auto"/>
          </w:divBdr>
        </w:div>
        <w:div w:id="1331524362">
          <w:marLeft w:val="640"/>
          <w:marRight w:val="0"/>
          <w:marTop w:val="0"/>
          <w:marBottom w:val="0"/>
          <w:divBdr>
            <w:top w:val="none" w:sz="0" w:space="0" w:color="auto"/>
            <w:left w:val="none" w:sz="0" w:space="0" w:color="auto"/>
            <w:bottom w:val="none" w:sz="0" w:space="0" w:color="auto"/>
            <w:right w:val="none" w:sz="0" w:space="0" w:color="auto"/>
          </w:divBdr>
        </w:div>
        <w:div w:id="660737987">
          <w:marLeft w:val="640"/>
          <w:marRight w:val="0"/>
          <w:marTop w:val="0"/>
          <w:marBottom w:val="0"/>
          <w:divBdr>
            <w:top w:val="none" w:sz="0" w:space="0" w:color="auto"/>
            <w:left w:val="none" w:sz="0" w:space="0" w:color="auto"/>
            <w:bottom w:val="none" w:sz="0" w:space="0" w:color="auto"/>
            <w:right w:val="none" w:sz="0" w:space="0" w:color="auto"/>
          </w:divBdr>
        </w:div>
        <w:div w:id="76173280">
          <w:marLeft w:val="640"/>
          <w:marRight w:val="0"/>
          <w:marTop w:val="0"/>
          <w:marBottom w:val="0"/>
          <w:divBdr>
            <w:top w:val="none" w:sz="0" w:space="0" w:color="auto"/>
            <w:left w:val="none" w:sz="0" w:space="0" w:color="auto"/>
            <w:bottom w:val="none" w:sz="0" w:space="0" w:color="auto"/>
            <w:right w:val="none" w:sz="0" w:space="0" w:color="auto"/>
          </w:divBdr>
        </w:div>
        <w:div w:id="2044942078">
          <w:marLeft w:val="640"/>
          <w:marRight w:val="0"/>
          <w:marTop w:val="0"/>
          <w:marBottom w:val="0"/>
          <w:divBdr>
            <w:top w:val="none" w:sz="0" w:space="0" w:color="auto"/>
            <w:left w:val="none" w:sz="0" w:space="0" w:color="auto"/>
            <w:bottom w:val="none" w:sz="0" w:space="0" w:color="auto"/>
            <w:right w:val="none" w:sz="0" w:space="0" w:color="auto"/>
          </w:divBdr>
        </w:div>
        <w:div w:id="1411465791">
          <w:marLeft w:val="640"/>
          <w:marRight w:val="0"/>
          <w:marTop w:val="0"/>
          <w:marBottom w:val="0"/>
          <w:divBdr>
            <w:top w:val="none" w:sz="0" w:space="0" w:color="auto"/>
            <w:left w:val="none" w:sz="0" w:space="0" w:color="auto"/>
            <w:bottom w:val="none" w:sz="0" w:space="0" w:color="auto"/>
            <w:right w:val="none" w:sz="0" w:space="0" w:color="auto"/>
          </w:divBdr>
        </w:div>
        <w:div w:id="1277521345">
          <w:marLeft w:val="640"/>
          <w:marRight w:val="0"/>
          <w:marTop w:val="0"/>
          <w:marBottom w:val="0"/>
          <w:divBdr>
            <w:top w:val="none" w:sz="0" w:space="0" w:color="auto"/>
            <w:left w:val="none" w:sz="0" w:space="0" w:color="auto"/>
            <w:bottom w:val="none" w:sz="0" w:space="0" w:color="auto"/>
            <w:right w:val="none" w:sz="0" w:space="0" w:color="auto"/>
          </w:divBdr>
        </w:div>
        <w:div w:id="1524782709">
          <w:marLeft w:val="640"/>
          <w:marRight w:val="0"/>
          <w:marTop w:val="0"/>
          <w:marBottom w:val="0"/>
          <w:divBdr>
            <w:top w:val="none" w:sz="0" w:space="0" w:color="auto"/>
            <w:left w:val="none" w:sz="0" w:space="0" w:color="auto"/>
            <w:bottom w:val="none" w:sz="0" w:space="0" w:color="auto"/>
            <w:right w:val="none" w:sz="0" w:space="0" w:color="auto"/>
          </w:divBdr>
        </w:div>
        <w:div w:id="2044092033">
          <w:marLeft w:val="640"/>
          <w:marRight w:val="0"/>
          <w:marTop w:val="0"/>
          <w:marBottom w:val="0"/>
          <w:divBdr>
            <w:top w:val="none" w:sz="0" w:space="0" w:color="auto"/>
            <w:left w:val="none" w:sz="0" w:space="0" w:color="auto"/>
            <w:bottom w:val="none" w:sz="0" w:space="0" w:color="auto"/>
            <w:right w:val="none" w:sz="0" w:space="0" w:color="auto"/>
          </w:divBdr>
        </w:div>
        <w:div w:id="724451822">
          <w:marLeft w:val="640"/>
          <w:marRight w:val="0"/>
          <w:marTop w:val="0"/>
          <w:marBottom w:val="0"/>
          <w:divBdr>
            <w:top w:val="none" w:sz="0" w:space="0" w:color="auto"/>
            <w:left w:val="none" w:sz="0" w:space="0" w:color="auto"/>
            <w:bottom w:val="none" w:sz="0" w:space="0" w:color="auto"/>
            <w:right w:val="none" w:sz="0" w:space="0" w:color="auto"/>
          </w:divBdr>
        </w:div>
        <w:div w:id="767116866">
          <w:marLeft w:val="640"/>
          <w:marRight w:val="0"/>
          <w:marTop w:val="0"/>
          <w:marBottom w:val="0"/>
          <w:divBdr>
            <w:top w:val="none" w:sz="0" w:space="0" w:color="auto"/>
            <w:left w:val="none" w:sz="0" w:space="0" w:color="auto"/>
            <w:bottom w:val="none" w:sz="0" w:space="0" w:color="auto"/>
            <w:right w:val="none" w:sz="0" w:space="0" w:color="auto"/>
          </w:divBdr>
        </w:div>
        <w:div w:id="1763522700">
          <w:marLeft w:val="640"/>
          <w:marRight w:val="0"/>
          <w:marTop w:val="0"/>
          <w:marBottom w:val="0"/>
          <w:divBdr>
            <w:top w:val="none" w:sz="0" w:space="0" w:color="auto"/>
            <w:left w:val="none" w:sz="0" w:space="0" w:color="auto"/>
            <w:bottom w:val="none" w:sz="0" w:space="0" w:color="auto"/>
            <w:right w:val="none" w:sz="0" w:space="0" w:color="auto"/>
          </w:divBdr>
        </w:div>
        <w:div w:id="818035317">
          <w:marLeft w:val="640"/>
          <w:marRight w:val="0"/>
          <w:marTop w:val="0"/>
          <w:marBottom w:val="0"/>
          <w:divBdr>
            <w:top w:val="none" w:sz="0" w:space="0" w:color="auto"/>
            <w:left w:val="none" w:sz="0" w:space="0" w:color="auto"/>
            <w:bottom w:val="none" w:sz="0" w:space="0" w:color="auto"/>
            <w:right w:val="none" w:sz="0" w:space="0" w:color="auto"/>
          </w:divBdr>
        </w:div>
        <w:div w:id="163671361">
          <w:marLeft w:val="640"/>
          <w:marRight w:val="0"/>
          <w:marTop w:val="0"/>
          <w:marBottom w:val="0"/>
          <w:divBdr>
            <w:top w:val="none" w:sz="0" w:space="0" w:color="auto"/>
            <w:left w:val="none" w:sz="0" w:space="0" w:color="auto"/>
            <w:bottom w:val="none" w:sz="0" w:space="0" w:color="auto"/>
            <w:right w:val="none" w:sz="0" w:space="0" w:color="auto"/>
          </w:divBdr>
        </w:div>
        <w:div w:id="1079869187">
          <w:marLeft w:val="640"/>
          <w:marRight w:val="0"/>
          <w:marTop w:val="0"/>
          <w:marBottom w:val="0"/>
          <w:divBdr>
            <w:top w:val="none" w:sz="0" w:space="0" w:color="auto"/>
            <w:left w:val="none" w:sz="0" w:space="0" w:color="auto"/>
            <w:bottom w:val="none" w:sz="0" w:space="0" w:color="auto"/>
            <w:right w:val="none" w:sz="0" w:space="0" w:color="auto"/>
          </w:divBdr>
        </w:div>
        <w:div w:id="75176363">
          <w:marLeft w:val="640"/>
          <w:marRight w:val="0"/>
          <w:marTop w:val="0"/>
          <w:marBottom w:val="0"/>
          <w:divBdr>
            <w:top w:val="none" w:sz="0" w:space="0" w:color="auto"/>
            <w:left w:val="none" w:sz="0" w:space="0" w:color="auto"/>
            <w:bottom w:val="none" w:sz="0" w:space="0" w:color="auto"/>
            <w:right w:val="none" w:sz="0" w:space="0" w:color="auto"/>
          </w:divBdr>
        </w:div>
        <w:div w:id="76245364">
          <w:marLeft w:val="640"/>
          <w:marRight w:val="0"/>
          <w:marTop w:val="0"/>
          <w:marBottom w:val="0"/>
          <w:divBdr>
            <w:top w:val="none" w:sz="0" w:space="0" w:color="auto"/>
            <w:left w:val="none" w:sz="0" w:space="0" w:color="auto"/>
            <w:bottom w:val="none" w:sz="0" w:space="0" w:color="auto"/>
            <w:right w:val="none" w:sz="0" w:space="0" w:color="auto"/>
          </w:divBdr>
        </w:div>
        <w:div w:id="1776948186">
          <w:marLeft w:val="640"/>
          <w:marRight w:val="0"/>
          <w:marTop w:val="0"/>
          <w:marBottom w:val="0"/>
          <w:divBdr>
            <w:top w:val="none" w:sz="0" w:space="0" w:color="auto"/>
            <w:left w:val="none" w:sz="0" w:space="0" w:color="auto"/>
            <w:bottom w:val="none" w:sz="0" w:space="0" w:color="auto"/>
            <w:right w:val="none" w:sz="0" w:space="0" w:color="auto"/>
          </w:divBdr>
        </w:div>
        <w:div w:id="110637872">
          <w:marLeft w:val="640"/>
          <w:marRight w:val="0"/>
          <w:marTop w:val="0"/>
          <w:marBottom w:val="0"/>
          <w:divBdr>
            <w:top w:val="none" w:sz="0" w:space="0" w:color="auto"/>
            <w:left w:val="none" w:sz="0" w:space="0" w:color="auto"/>
            <w:bottom w:val="none" w:sz="0" w:space="0" w:color="auto"/>
            <w:right w:val="none" w:sz="0" w:space="0" w:color="auto"/>
          </w:divBdr>
        </w:div>
        <w:div w:id="1337611161">
          <w:marLeft w:val="640"/>
          <w:marRight w:val="0"/>
          <w:marTop w:val="0"/>
          <w:marBottom w:val="0"/>
          <w:divBdr>
            <w:top w:val="none" w:sz="0" w:space="0" w:color="auto"/>
            <w:left w:val="none" w:sz="0" w:space="0" w:color="auto"/>
            <w:bottom w:val="none" w:sz="0" w:space="0" w:color="auto"/>
            <w:right w:val="none" w:sz="0" w:space="0" w:color="auto"/>
          </w:divBdr>
        </w:div>
        <w:div w:id="1065183186">
          <w:marLeft w:val="640"/>
          <w:marRight w:val="0"/>
          <w:marTop w:val="0"/>
          <w:marBottom w:val="0"/>
          <w:divBdr>
            <w:top w:val="none" w:sz="0" w:space="0" w:color="auto"/>
            <w:left w:val="none" w:sz="0" w:space="0" w:color="auto"/>
            <w:bottom w:val="none" w:sz="0" w:space="0" w:color="auto"/>
            <w:right w:val="none" w:sz="0" w:space="0" w:color="auto"/>
          </w:divBdr>
        </w:div>
        <w:div w:id="1357266165">
          <w:marLeft w:val="640"/>
          <w:marRight w:val="0"/>
          <w:marTop w:val="0"/>
          <w:marBottom w:val="0"/>
          <w:divBdr>
            <w:top w:val="none" w:sz="0" w:space="0" w:color="auto"/>
            <w:left w:val="none" w:sz="0" w:space="0" w:color="auto"/>
            <w:bottom w:val="none" w:sz="0" w:space="0" w:color="auto"/>
            <w:right w:val="none" w:sz="0" w:space="0" w:color="auto"/>
          </w:divBdr>
        </w:div>
        <w:div w:id="1741756497">
          <w:marLeft w:val="640"/>
          <w:marRight w:val="0"/>
          <w:marTop w:val="0"/>
          <w:marBottom w:val="0"/>
          <w:divBdr>
            <w:top w:val="none" w:sz="0" w:space="0" w:color="auto"/>
            <w:left w:val="none" w:sz="0" w:space="0" w:color="auto"/>
            <w:bottom w:val="none" w:sz="0" w:space="0" w:color="auto"/>
            <w:right w:val="none" w:sz="0" w:space="0" w:color="auto"/>
          </w:divBdr>
        </w:div>
        <w:div w:id="87898084">
          <w:marLeft w:val="640"/>
          <w:marRight w:val="0"/>
          <w:marTop w:val="0"/>
          <w:marBottom w:val="0"/>
          <w:divBdr>
            <w:top w:val="none" w:sz="0" w:space="0" w:color="auto"/>
            <w:left w:val="none" w:sz="0" w:space="0" w:color="auto"/>
            <w:bottom w:val="none" w:sz="0" w:space="0" w:color="auto"/>
            <w:right w:val="none" w:sz="0" w:space="0" w:color="auto"/>
          </w:divBdr>
        </w:div>
        <w:div w:id="245305123">
          <w:marLeft w:val="640"/>
          <w:marRight w:val="0"/>
          <w:marTop w:val="0"/>
          <w:marBottom w:val="0"/>
          <w:divBdr>
            <w:top w:val="none" w:sz="0" w:space="0" w:color="auto"/>
            <w:left w:val="none" w:sz="0" w:space="0" w:color="auto"/>
            <w:bottom w:val="none" w:sz="0" w:space="0" w:color="auto"/>
            <w:right w:val="none" w:sz="0" w:space="0" w:color="auto"/>
          </w:divBdr>
        </w:div>
        <w:div w:id="555512519">
          <w:marLeft w:val="640"/>
          <w:marRight w:val="0"/>
          <w:marTop w:val="0"/>
          <w:marBottom w:val="0"/>
          <w:divBdr>
            <w:top w:val="none" w:sz="0" w:space="0" w:color="auto"/>
            <w:left w:val="none" w:sz="0" w:space="0" w:color="auto"/>
            <w:bottom w:val="none" w:sz="0" w:space="0" w:color="auto"/>
            <w:right w:val="none" w:sz="0" w:space="0" w:color="auto"/>
          </w:divBdr>
        </w:div>
        <w:div w:id="1430351997">
          <w:marLeft w:val="640"/>
          <w:marRight w:val="0"/>
          <w:marTop w:val="0"/>
          <w:marBottom w:val="0"/>
          <w:divBdr>
            <w:top w:val="none" w:sz="0" w:space="0" w:color="auto"/>
            <w:left w:val="none" w:sz="0" w:space="0" w:color="auto"/>
            <w:bottom w:val="none" w:sz="0" w:space="0" w:color="auto"/>
            <w:right w:val="none" w:sz="0" w:space="0" w:color="auto"/>
          </w:divBdr>
        </w:div>
        <w:div w:id="1526362728">
          <w:marLeft w:val="640"/>
          <w:marRight w:val="0"/>
          <w:marTop w:val="0"/>
          <w:marBottom w:val="0"/>
          <w:divBdr>
            <w:top w:val="none" w:sz="0" w:space="0" w:color="auto"/>
            <w:left w:val="none" w:sz="0" w:space="0" w:color="auto"/>
            <w:bottom w:val="none" w:sz="0" w:space="0" w:color="auto"/>
            <w:right w:val="none" w:sz="0" w:space="0" w:color="auto"/>
          </w:divBdr>
        </w:div>
        <w:div w:id="1927810763">
          <w:marLeft w:val="640"/>
          <w:marRight w:val="0"/>
          <w:marTop w:val="0"/>
          <w:marBottom w:val="0"/>
          <w:divBdr>
            <w:top w:val="none" w:sz="0" w:space="0" w:color="auto"/>
            <w:left w:val="none" w:sz="0" w:space="0" w:color="auto"/>
            <w:bottom w:val="none" w:sz="0" w:space="0" w:color="auto"/>
            <w:right w:val="none" w:sz="0" w:space="0" w:color="auto"/>
          </w:divBdr>
        </w:div>
        <w:div w:id="171914461">
          <w:marLeft w:val="640"/>
          <w:marRight w:val="0"/>
          <w:marTop w:val="0"/>
          <w:marBottom w:val="0"/>
          <w:divBdr>
            <w:top w:val="none" w:sz="0" w:space="0" w:color="auto"/>
            <w:left w:val="none" w:sz="0" w:space="0" w:color="auto"/>
            <w:bottom w:val="none" w:sz="0" w:space="0" w:color="auto"/>
            <w:right w:val="none" w:sz="0" w:space="0" w:color="auto"/>
          </w:divBdr>
        </w:div>
        <w:div w:id="433596681">
          <w:marLeft w:val="640"/>
          <w:marRight w:val="0"/>
          <w:marTop w:val="0"/>
          <w:marBottom w:val="0"/>
          <w:divBdr>
            <w:top w:val="none" w:sz="0" w:space="0" w:color="auto"/>
            <w:left w:val="none" w:sz="0" w:space="0" w:color="auto"/>
            <w:bottom w:val="none" w:sz="0" w:space="0" w:color="auto"/>
            <w:right w:val="none" w:sz="0" w:space="0" w:color="auto"/>
          </w:divBdr>
        </w:div>
        <w:div w:id="2098163188">
          <w:marLeft w:val="640"/>
          <w:marRight w:val="0"/>
          <w:marTop w:val="0"/>
          <w:marBottom w:val="0"/>
          <w:divBdr>
            <w:top w:val="none" w:sz="0" w:space="0" w:color="auto"/>
            <w:left w:val="none" w:sz="0" w:space="0" w:color="auto"/>
            <w:bottom w:val="none" w:sz="0" w:space="0" w:color="auto"/>
            <w:right w:val="none" w:sz="0" w:space="0" w:color="auto"/>
          </w:divBdr>
        </w:div>
        <w:div w:id="1029986134">
          <w:marLeft w:val="640"/>
          <w:marRight w:val="0"/>
          <w:marTop w:val="0"/>
          <w:marBottom w:val="0"/>
          <w:divBdr>
            <w:top w:val="none" w:sz="0" w:space="0" w:color="auto"/>
            <w:left w:val="none" w:sz="0" w:space="0" w:color="auto"/>
            <w:bottom w:val="none" w:sz="0" w:space="0" w:color="auto"/>
            <w:right w:val="none" w:sz="0" w:space="0" w:color="auto"/>
          </w:divBdr>
        </w:div>
        <w:div w:id="1665088562">
          <w:marLeft w:val="640"/>
          <w:marRight w:val="0"/>
          <w:marTop w:val="0"/>
          <w:marBottom w:val="0"/>
          <w:divBdr>
            <w:top w:val="none" w:sz="0" w:space="0" w:color="auto"/>
            <w:left w:val="none" w:sz="0" w:space="0" w:color="auto"/>
            <w:bottom w:val="none" w:sz="0" w:space="0" w:color="auto"/>
            <w:right w:val="none" w:sz="0" w:space="0" w:color="auto"/>
          </w:divBdr>
        </w:div>
        <w:div w:id="854610489">
          <w:marLeft w:val="640"/>
          <w:marRight w:val="0"/>
          <w:marTop w:val="0"/>
          <w:marBottom w:val="0"/>
          <w:divBdr>
            <w:top w:val="none" w:sz="0" w:space="0" w:color="auto"/>
            <w:left w:val="none" w:sz="0" w:space="0" w:color="auto"/>
            <w:bottom w:val="none" w:sz="0" w:space="0" w:color="auto"/>
            <w:right w:val="none" w:sz="0" w:space="0" w:color="auto"/>
          </w:divBdr>
        </w:div>
        <w:div w:id="1011764166">
          <w:marLeft w:val="640"/>
          <w:marRight w:val="0"/>
          <w:marTop w:val="0"/>
          <w:marBottom w:val="0"/>
          <w:divBdr>
            <w:top w:val="none" w:sz="0" w:space="0" w:color="auto"/>
            <w:left w:val="none" w:sz="0" w:space="0" w:color="auto"/>
            <w:bottom w:val="none" w:sz="0" w:space="0" w:color="auto"/>
            <w:right w:val="none" w:sz="0" w:space="0" w:color="auto"/>
          </w:divBdr>
        </w:div>
        <w:div w:id="1219828647">
          <w:marLeft w:val="640"/>
          <w:marRight w:val="0"/>
          <w:marTop w:val="0"/>
          <w:marBottom w:val="0"/>
          <w:divBdr>
            <w:top w:val="none" w:sz="0" w:space="0" w:color="auto"/>
            <w:left w:val="none" w:sz="0" w:space="0" w:color="auto"/>
            <w:bottom w:val="none" w:sz="0" w:space="0" w:color="auto"/>
            <w:right w:val="none" w:sz="0" w:space="0" w:color="auto"/>
          </w:divBdr>
        </w:div>
        <w:div w:id="1093282556">
          <w:marLeft w:val="640"/>
          <w:marRight w:val="0"/>
          <w:marTop w:val="0"/>
          <w:marBottom w:val="0"/>
          <w:divBdr>
            <w:top w:val="none" w:sz="0" w:space="0" w:color="auto"/>
            <w:left w:val="none" w:sz="0" w:space="0" w:color="auto"/>
            <w:bottom w:val="none" w:sz="0" w:space="0" w:color="auto"/>
            <w:right w:val="none" w:sz="0" w:space="0" w:color="auto"/>
          </w:divBdr>
        </w:div>
        <w:div w:id="914362672">
          <w:marLeft w:val="640"/>
          <w:marRight w:val="0"/>
          <w:marTop w:val="0"/>
          <w:marBottom w:val="0"/>
          <w:divBdr>
            <w:top w:val="none" w:sz="0" w:space="0" w:color="auto"/>
            <w:left w:val="none" w:sz="0" w:space="0" w:color="auto"/>
            <w:bottom w:val="none" w:sz="0" w:space="0" w:color="auto"/>
            <w:right w:val="none" w:sz="0" w:space="0" w:color="auto"/>
          </w:divBdr>
        </w:div>
        <w:div w:id="1477722414">
          <w:marLeft w:val="640"/>
          <w:marRight w:val="0"/>
          <w:marTop w:val="0"/>
          <w:marBottom w:val="0"/>
          <w:divBdr>
            <w:top w:val="none" w:sz="0" w:space="0" w:color="auto"/>
            <w:left w:val="none" w:sz="0" w:space="0" w:color="auto"/>
            <w:bottom w:val="none" w:sz="0" w:space="0" w:color="auto"/>
            <w:right w:val="none" w:sz="0" w:space="0" w:color="auto"/>
          </w:divBdr>
        </w:div>
        <w:div w:id="1219166418">
          <w:marLeft w:val="640"/>
          <w:marRight w:val="0"/>
          <w:marTop w:val="0"/>
          <w:marBottom w:val="0"/>
          <w:divBdr>
            <w:top w:val="none" w:sz="0" w:space="0" w:color="auto"/>
            <w:left w:val="none" w:sz="0" w:space="0" w:color="auto"/>
            <w:bottom w:val="none" w:sz="0" w:space="0" w:color="auto"/>
            <w:right w:val="none" w:sz="0" w:space="0" w:color="auto"/>
          </w:divBdr>
        </w:div>
        <w:div w:id="1919511027">
          <w:marLeft w:val="640"/>
          <w:marRight w:val="0"/>
          <w:marTop w:val="0"/>
          <w:marBottom w:val="0"/>
          <w:divBdr>
            <w:top w:val="none" w:sz="0" w:space="0" w:color="auto"/>
            <w:left w:val="none" w:sz="0" w:space="0" w:color="auto"/>
            <w:bottom w:val="none" w:sz="0" w:space="0" w:color="auto"/>
            <w:right w:val="none" w:sz="0" w:space="0" w:color="auto"/>
          </w:divBdr>
        </w:div>
        <w:div w:id="1159342753">
          <w:marLeft w:val="640"/>
          <w:marRight w:val="0"/>
          <w:marTop w:val="0"/>
          <w:marBottom w:val="0"/>
          <w:divBdr>
            <w:top w:val="none" w:sz="0" w:space="0" w:color="auto"/>
            <w:left w:val="none" w:sz="0" w:space="0" w:color="auto"/>
            <w:bottom w:val="none" w:sz="0" w:space="0" w:color="auto"/>
            <w:right w:val="none" w:sz="0" w:space="0" w:color="auto"/>
          </w:divBdr>
        </w:div>
        <w:div w:id="2096591115">
          <w:marLeft w:val="640"/>
          <w:marRight w:val="0"/>
          <w:marTop w:val="0"/>
          <w:marBottom w:val="0"/>
          <w:divBdr>
            <w:top w:val="none" w:sz="0" w:space="0" w:color="auto"/>
            <w:left w:val="none" w:sz="0" w:space="0" w:color="auto"/>
            <w:bottom w:val="none" w:sz="0" w:space="0" w:color="auto"/>
            <w:right w:val="none" w:sz="0" w:space="0" w:color="auto"/>
          </w:divBdr>
        </w:div>
        <w:div w:id="1920359446">
          <w:marLeft w:val="640"/>
          <w:marRight w:val="0"/>
          <w:marTop w:val="0"/>
          <w:marBottom w:val="0"/>
          <w:divBdr>
            <w:top w:val="none" w:sz="0" w:space="0" w:color="auto"/>
            <w:left w:val="none" w:sz="0" w:space="0" w:color="auto"/>
            <w:bottom w:val="none" w:sz="0" w:space="0" w:color="auto"/>
            <w:right w:val="none" w:sz="0" w:space="0" w:color="auto"/>
          </w:divBdr>
        </w:div>
        <w:div w:id="1397968606">
          <w:marLeft w:val="640"/>
          <w:marRight w:val="0"/>
          <w:marTop w:val="0"/>
          <w:marBottom w:val="0"/>
          <w:divBdr>
            <w:top w:val="none" w:sz="0" w:space="0" w:color="auto"/>
            <w:left w:val="none" w:sz="0" w:space="0" w:color="auto"/>
            <w:bottom w:val="none" w:sz="0" w:space="0" w:color="auto"/>
            <w:right w:val="none" w:sz="0" w:space="0" w:color="auto"/>
          </w:divBdr>
        </w:div>
        <w:div w:id="146364414">
          <w:marLeft w:val="640"/>
          <w:marRight w:val="0"/>
          <w:marTop w:val="0"/>
          <w:marBottom w:val="0"/>
          <w:divBdr>
            <w:top w:val="none" w:sz="0" w:space="0" w:color="auto"/>
            <w:left w:val="none" w:sz="0" w:space="0" w:color="auto"/>
            <w:bottom w:val="none" w:sz="0" w:space="0" w:color="auto"/>
            <w:right w:val="none" w:sz="0" w:space="0" w:color="auto"/>
          </w:divBdr>
        </w:div>
        <w:div w:id="1928494921">
          <w:marLeft w:val="640"/>
          <w:marRight w:val="0"/>
          <w:marTop w:val="0"/>
          <w:marBottom w:val="0"/>
          <w:divBdr>
            <w:top w:val="none" w:sz="0" w:space="0" w:color="auto"/>
            <w:left w:val="none" w:sz="0" w:space="0" w:color="auto"/>
            <w:bottom w:val="none" w:sz="0" w:space="0" w:color="auto"/>
            <w:right w:val="none" w:sz="0" w:space="0" w:color="auto"/>
          </w:divBdr>
        </w:div>
        <w:div w:id="741485306">
          <w:marLeft w:val="640"/>
          <w:marRight w:val="0"/>
          <w:marTop w:val="0"/>
          <w:marBottom w:val="0"/>
          <w:divBdr>
            <w:top w:val="none" w:sz="0" w:space="0" w:color="auto"/>
            <w:left w:val="none" w:sz="0" w:space="0" w:color="auto"/>
            <w:bottom w:val="none" w:sz="0" w:space="0" w:color="auto"/>
            <w:right w:val="none" w:sz="0" w:space="0" w:color="auto"/>
          </w:divBdr>
        </w:div>
        <w:div w:id="842358947">
          <w:marLeft w:val="640"/>
          <w:marRight w:val="0"/>
          <w:marTop w:val="0"/>
          <w:marBottom w:val="0"/>
          <w:divBdr>
            <w:top w:val="none" w:sz="0" w:space="0" w:color="auto"/>
            <w:left w:val="none" w:sz="0" w:space="0" w:color="auto"/>
            <w:bottom w:val="none" w:sz="0" w:space="0" w:color="auto"/>
            <w:right w:val="none" w:sz="0" w:space="0" w:color="auto"/>
          </w:divBdr>
        </w:div>
        <w:div w:id="1104036913">
          <w:marLeft w:val="640"/>
          <w:marRight w:val="0"/>
          <w:marTop w:val="0"/>
          <w:marBottom w:val="0"/>
          <w:divBdr>
            <w:top w:val="none" w:sz="0" w:space="0" w:color="auto"/>
            <w:left w:val="none" w:sz="0" w:space="0" w:color="auto"/>
            <w:bottom w:val="none" w:sz="0" w:space="0" w:color="auto"/>
            <w:right w:val="none" w:sz="0" w:space="0" w:color="auto"/>
          </w:divBdr>
        </w:div>
        <w:div w:id="562722336">
          <w:marLeft w:val="640"/>
          <w:marRight w:val="0"/>
          <w:marTop w:val="0"/>
          <w:marBottom w:val="0"/>
          <w:divBdr>
            <w:top w:val="none" w:sz="0" w:space="0" w:color="auto"/>
            <w:left w:val="none" w:sz="0" w:space="0" w:color="auto"/>
            <w:bottom w:val="none" w:sz="0" w:space="0" w:color="auto"/>
            <w:right w:val="none" w:sz="0" w:space="0" w:color="auto"/>
          </w:divBdr>
        </w:div>
        <w:div w:id="1849564802">
          <w:marLeft w:val="640"/>
          <w:marRight w:val="0"/>
          <w:marTop w:val="0"/>
          <w:marBottom w:val="0"/>
          <w:divBdr>
            <w:top w:val="none" w:sz="0" w:space="0" w:color="auto"/>
            <w:left w:val="none" w:sz="0" w:space="0" w:color="auto"/>
            <w:bottom w:val="none" w:sz="0" w:space="0" w:color="auto"/>
            <w:right w:val="none" w:sz="0" w:space="0" w:color="auto"/>
          </w:divBdr>
        </w:div>
        <w:div w:id="1819154427">
          <w:marLeft w:val="640"/>
          <w:marRight w:val="0"/>
          <w:marTop w:val="0"/>
          <w:marBottom w:val="0"/>
          <w:divBdr>
            <w:top w:val="none" w:sz="0" w:space="0" w:color="auto"/>
            <w:left w:val="none" w:sz="0" w:space="0" w:color="auto"/>
            <w:bottom w:val="none" w:sz="0" w:space="0" w:color="auto"/>
            <w:right w:val="none" w:sz="0" w:space="0" w:color="auto"/>
          </w:divBdr>
        </w:div>
        <w:div w:id="1986666384">
          <w:marLeft w:val="640"/>
          <w:marRight w:val="0"/>
          <w:marTop w:val="0"/>
          <w:marBottom w:val="0"/>
          <w:divBdr>
            <w:top w:val="none" w:sz="0" w:space="0" w:color="auto"/>
            <w:left w:val="none" w:sz="0" w:space="0" w:color="auto"/>
            <w:bottom w:val="none" w:sz="0" w:space="0" w:color="auto"/>
            <w:right w:val="none" w:sz="0" w:space="0" w:color="auto"/>
          </w:divBdr>
        </w:div>
        <w:div w:id="1997538697">
          <w:marLeft w:val="640"/>
          <w:marRight w:val="0"/>
          <w:marTop w:val="0"/>
          <w:marBottom w:val="0"/>
          <w:divBdr>
            <w:top w:val="none" w:sz="0" w:space="0" w:color="auto"/>
            <w:left w:val="none" w:sz="0" w:space="0" w:color="auto"/>
            <w:bottom w:val="none" w:sz="0" w:space="0" w:color="auto"/>
            <w:right w:val="none" w:sz="0" w:space="0" w:color="auto"/>
          </w:divBdr>
        </w:div>
        <w:div w:id="1092975427">
          <w:marLeft w:val="640"/>
          <w:marRight w:val="0"/>
          <w:marTop w:val="0"/>
          <w:marBottom w:val="0"/>
          <w:divBdr>
            <w:top w:val="none" w:sz="0" w:space="0" w:color="auto"/>
            <w:left w:val="none" w:sz="0" w:space="0" w:color="auto"/>
            <w:bottom w:val="none" w:sz="0" w:space="0" w:color="auto"/>
            <w:right w:val="none" w:sz="0" w:space="0" w:color="auto"/>
          </w:divBdr>
        </w:div>
        <w:div w:id="971401605">
          <w:marLeft w:val="640"/>
          <w:marRight w:val="0"/>
          <w:marTop w:val="0"/>
          <w:marBottom w:val="0"/>
          <w:divBdr>
            <w:top w:val="none" w:sz="0" w:space="0" w:color="auto"/>
            <w:left w:val="none" w:sz="0" w:space="0" w:color="auto"/>
            <w:bottom w:val="none" w:sz="0" w:space="0" w:color="auto"/>
            <w:right w:val="none" w:sz="0" w:space="0" w:color="auto"/>
          </w:divBdr>
        </w:div>
        <w:div w:id="1885747729">
          <w:marLeft w:val="640"/>
          <w:marRight w:val="0"/>
          <w:marTop w:val="0"/>
          <w:marBottom w:val="0"/>
          <w:divBdr>
            <w:top w:val="none" w:sz="0" w:space="0" w:color="auto"/>
            <w:left w:val="none" w:sz="0" w:space="0" w:color="auto"/>
            <w:bottom w:val="none" w:sz="0" w:space="0" w:color="auto"/>
            <w:right w:val="none" w:sz="0" w:space="0" w:color="auto"/>
          </w:divBdr>
        </w:div>
        <w:div w:id="366217659">
          <w:marLeft w:val="640"/>
          <w:marRight w:val="0"/>
          <w:marTop w:val="0"/>
          <w:marBottom w:val="0"/>
          <w:divBdr>
            <w:top w:val="none" w:sz="0" w:space="0" w:color="auto"/>
            <w:left w:val="none" w:sz="0" w:space="0" w:color="auto"/>
            <w:bottom w:val="none" w:sz="0" w:space="0" w:color="auto"/>
            <w:right w:val="none" w:sz="0" w:space="0" w:color="auto"/>
          </w:divBdr>
        </w:div>
        <w:div w:id="1959994088">
          <w:marLeft w:val="640"/>
          <w:marRight w:val="0"/>
          <w:marTop w:val="0"/>
          <w:marBottom w:val="0"/>
          <w:divBdr>
            <w:top w:val="none" w:sz="0" w:space="0" w:color="auto"/>
            <w:left w:val="none" w:sz="0" w:space="0" w:color="auto"/>
            <w:bottom w:val="none" w:sz="0" w:space="0" w:color="auto"/>
            <w:right w:val="none" w:sz="0" w:space="0" w:color="auto"/>
          </w:divBdr>
        </w:div>
        <w:div w:id="754739650">
          <w:marLeft w:val="640"/>
          <w:marRight w:val="0"/>
          <w:marTop w:val="0"/>
          <w:marBottom w:val="0"/>
          <w:divBdr>
            <w:top w:val="none" w:sz="0" w:space="0" w:color="auto"/>
            <w:left w:val="none" w:sz="0" w:space="0" w:color="auto"/>
            <w:bottom w:val="none" w:sz="0" w:space="0" w:color="auto"/>
            <w:right w:val="none" w:sz="0" w:space="0" w:color="auto"/>
          </w:divBdr>
        </w:div>
        <w:div w:id="1640259459">
          <w:marLeft w:val="640"/>
          <w:marRight w:val="0"/>
          <w:marTop w:val="0"/>
          <w:marBottom w:val="0"/>
          <w:divBdr>
            <w:top w:val="none" w:sz="0" w:space="0" w:color="auto"/>
            <w:left w:val="none" w:sz="0" w:space="0" w:color="auto"/>
            <w:bottom w:val="none" w:sz="0" w:space="0" w:color="auto"/>
            <w:right w:val="none" w:sz="0" w:space="0" w:color="auto"/>
          </w:divBdr>
        </w:div>
        <w:div w:id="620647125">
          <w:marLeft w:val="640"/>
          <w:marRight w:val="0"/>
          <w:marTop w:val="0"/>
          <w:marBottom w:val="0"/>
          <w:divBdr>
            <w:top w:val="none" w:sz="0" w:space="0" w:color="auto"/>
            <w:left w:val="none" w:sz="0" w:space="0" w:color="auto"/>
            <w:bottom w:val="none" w:sz="0" w:space="0" w:color="auto"/>
            <w:right w:val="none" w:sz="0" w:space="0" w:color="auto"/>
          </w:divBdr>
        </w:div>
        <w:div w:id="260571832">
          <w:marLeft w:val="640"/>
          <w:marRight w:val="0"/>
          <w:marTop w:val="0"/>
          <w:marBottom w:val="0"/>
          <w:divBdr>
            <w:top w:val="none" w:sz="0" w:space="0" w:color="auto"/>
            <w:left w:val="none" w:sz="0" w:space="0" w:color="auto"/>
            <w:bottom w:val="none" w:sz="0" w:space="0" w:color="auto"/>
            <w:right w:val="none" w:sz="0" w:space="0" w:color="auto"/>
          </w:divBdr>
        </w:div>
        <w:div w:id="960385203">
          <w:marLeft w:val="640"/>
          <w:marRight w:val="0"/>
          <w:marTop w:val="0"/>
          <w:marBottom w:val="0"/>
          <w:divBdr>
            <w:top w:val="none" w:sz="0" w:space="0" w:color="auto"/>
            <w:left w:val="none" w:sz="0" w:space="0" w:color="auto"/>
            <w:bottom w:val="none" w:sz="0" w:space="0" w:color="auto"/>
            <w:right w:val="none" w:sz="0" w:space="0" w:color="auto"/>
          </w:divBdr>
        </w:div>
        <w:div w:id="2075928078">
          <w:marLeft w:val="640"/>
          <w:marRight w:val="0"/>
          <w:marTop w:val="0"/>
          <w:marBottom w:val="0"/>
          <w:divBdr>
            <w:top w:val="none" w:sz="0" w:space="0" w:color="auto"/>
            <w:left w:val="none" w:sz="0" w:space="0" w:color="auto"/>
            <w:bottom w:val="none" w:sz="0" w:space="0" w:color="auto"/>
            <w:right w:val="none" w:sz="0" w:space="0" w:color="auto"/>
          </w:divBdr>
        </w:div>
        <w:div w:id="97025868">
          <w:marLeft w:val="640"/>
          <w:marRight w:val="0"/>
          <w:marTop w:val="0"/>
          <w:marBottom w:val="0"/>
          <w:divBdr>
            <w:top w:val="none" w:sz="0" w:space="0" w:color="auto"/>
            <w:left w:val="none" w:sz="0" w:space="0" w:color="auto"/>
            <w:bottom w:val="none" w:sz="0" w:space="0" w:color="auto"/>
            <w:right w:val="none" w:sz="0" w:space="0" w:color="auto"/>
          </w:divBdr>
        </w:div>
        <w:div w:id="662508815">
          <w:marLeft w:val="640"/>
          <w:marRight w:val="0"/>
          <w:marTop w:val="0"/>
          <w:marBottom w:val="0"/>
          <w:divBdr>
            <w:top w:val="none" w:sz="0" w:space="0" w:color="auto"/>
            <w:left w:val="none" w:sz="0" w:space="0" w:color="auto"/>
            <w:bottom w:val="none" w:sz="0" w:space="0" w:color="auto"/>
            <w:right w:val="none" w:sz="0" w:space="0" w:color="auto"/>
          </w:divBdr>
        </w:div>
        <w:div w:id="1069115533">
          <w:marLeft w:val="640"/>
          <w:marRight w:val="0"/>
          <w:marTop w:val="0"/>
          <w:marBottom w:val="0"/>
          <w:divBdr>
            <w:top w:val="none" w:sz="0" w:space="0" w:color="auto"/>
            <w:left w:val="none" w:sz="0" w:space="0" w:color="auto"/>
            <w:bottom w:val="none" w:sz="0" w:space="0" w:color="auto"/>
            <w:right w:val="none" w:sz="0" w:space="0" w:color="auto"/>
          </w:divBdr>
        </w:div>
        <w:div w:id="659892794">
          <w:marLeft w:val="640"/>
          <w:marRight w:val="0"/>
          <w:marTop w:val="0"/>
          <w:marBottom w:val="0"/>
          <w:divBdr>
            <w:top w:val="none" w:sz="0" w:space="0" w:color="auto"/>
            <w:left w:val="none" w:sz="0" w:space="0" w:color="auto"/>
            <w:bottom w:val="none" w:sz="0" w:space="0" w:color="auto"/>
            <w:right w:val="none" w:sz="0" w:space="0" w:color="auto"/>
          </w:divBdr>
        </w:div>
        <w:div w:id="1679652822">
          <w:marLeft w:val="640"/>
          <w:marRight w:val="0"/>
          <w:marTop w:val="0"/>
          <w:marBottom w:val="0"/>
          <w:divBdr>
            <w:top w:val="none" w:sz="0" w:space="0" w:color="auto"/>
            <w:left w:val="none" w:sz="0" w:space="0" w:color="auto"/>
            <w:bottom w:val="none" w:sz="0" w:space="0" w:color="auto"/>
            <w:right w:val="none" w:sz="0" w:space="0" w:color="auto"/>
          </w:divBdr>
        </w:div>
        <w:div w:id="1883518144">
          <w:marLeft w:val="640"/>
          <w:marRight w:val="0"/>
          <w:marTop w:val="0"/>
          <w:marBottom w:val="0"/>
          <w:divBdr>
            <w:top w:val="none" w:sz="0" w:space="0" w:color="auto"/>
            <w:left w:val="none" w:sz="0" w:space="0" w:color="auto"/>
            <w:bottom w:val="none" w:sz="0" w:space="0" w:color="auto"/>
            <w:right w:val="none" w:sz="0" w:space="0" w:color="auto"/>
          </w:divBdr>
        </w:div>
        <w:div w:id="1609236647">
          <w:marLeft w:val="640"/>
          <w:marRight w:val="0"/>
          <w:marTop w:val="0"/>
          <w:marBottom w:val="0"/>
          <w:divBdr>
            <w:top w:val="none" w:sz="0" w:space="0" w:color="auto"/>
            <w:left w:val="none" w:sz="0" w:space="0" w:color="auto"/>
            <w:bottom w:val="none" w:sz="0" w:space="0" w:color="auto"/>
            <w:right w:val="none" w:sz="0" w:space="0" w:color="auto"/>
          </w:divBdr>
        </w:div>
        <w:div w:id="395208666">
          <w:marLeft w:val="640"/>
          <w:marRight w:val="0"/>
          <w:marTop w:val="0"/>
          <w:marBottom w:val="0"/>
          <w:divBdr>
            <w:top w:val="none" w:sz="0" w:space="0" w:color="auto"/>
            <w:left w:val="none" w:sz="0" w:space="0" w:color="auto"/>
            <w:bottom w:val="none" w:sz="0" w:space="0" w:color="auto"/>
            <w:right w:val="none" w:sz="0" w:space="0" w:color="auto"/>
          </w:divBdr>
        </w:div>
        <w:div w:id="2001079768">
          <w:marLeft w:val="640"/>
          <w:marRight w:val="0"/>
          <w:marTop w:val="0"/>
          <w:marBottom w:val="0"/>
          <w:divBdr>
            <w:top w:val="none" w:sz="0" w:space="0" w:color="auto"/>
            <w:left w:val="none" w:sz="0" w:space="0" w:color="auto"/>
            <w:bottom w:val="none" w:sz="0" w:space="0" w:color="auto"/>
            <w:right w:val="none" w:sz="0" w:space="0" w:color="auto"/>
          </w:divBdr>
        </w:div>
        <w:div w:id="284118018">
          <w:marLeft w:val="640"/>
          <w:marRight w:val="0"/>
          <w:marTop w:val="0"/>
          <w:marBottom w:val="0"/>
          <w:divBdr>
            <w:top w:val="none" w:sz="0" w:space="0" w:color="auto"/>
            <w:left w:val="none" w:sz="0" w:space="0" w:color="auto"/>
            <w:bottom w:val="none" w:sz="0" w:space="0" w:color="auto"/>
            <w:right w:val="none" w:sz="0" w:space="0" w:color="auto"/>
          </w:divBdr>
        </w:div>
        <w:div w:id="610280110">
          <w:marLeft w:val="640"/>
          <w:marRight w:val="0"/>
          <w:marTop w:val="0"/>
          <w:marBottom w:val="0"/>
          <w:divBdr>
            <w:top w:val="none" w:sz="0" w:space="0" w:color="auto"/>
            <w:left w:val="none" w:sz="0" w:space="0" w:color="auto"/>
            <w:bottom w:val="none" w:sz="0" w:space="0" w:color="auto"/>
            <w:right w:val="none" w:sz="0" w:space="0" w:color="auto"/>
          </w:divBdr>
        </w:div>
        <w:div w:id="495341577">
          <w:marLeft w:val="640"/>
          <w:marRight w:val="0"/>
          <w:marTop w:val="0"/>
          <w:marBottom w:val="0"/>
          <w:divBdr>
            <w:top w:val="none" w:sz="0" w:space="0" w:color="auto"/>
            <w:left w:val="none" w:sz="0" w:space="0" w:color="auto"/>
            <w:bottom w:val="none" w:sz="0" w:space="0" w:color="auto"/>
            <w:right w:val="none" w:sz="0" w:space="0" w:color="auto"/>
          </w:divBdr>
        </w:div>
        <w:div w:id="784352246">
          <w:marLeft w:val="640"/>
          <w:marRight w:val="0"/>
          <w:marTop w:val="0"/>
          <w:marBottom w:val="0"/>
          <w:divBdr>
            <w:top w:val="none" w:sz="0" w:space="0" w:color="auto"/>
            <w:left w:val="none" w:sz="0" w:space="0" w:color="auto"/>
            <w:bottom w:val="none" w:sz="0" w:space="0" w:color="auto"/>
            <w:right w:val="none" w:sz="0" w:space="0" w:color="auto"/>
          </w:divBdr>
        </w:div>
        <w:div w:id="239870439">
          <w:marLeft w:val="640"/>
          <w:marRight w:val="0"/>
          <w:marTop w:val="0"/>
          <w:marBottom w:val="0"/>
          <w:divBdr>
            <w:top w:val="none" w:sz="0" w:space="0" w:color="auto"/>
            <w:left w:val="none" w:sz="0" w:space="0" w:color="auto"/>
            <w:bottom w:val="none" w:sz="0" w:space="0" w:color="auto"/>
            <w:right w:val="none" w:sz="0" w:space="0" w:color="auto"/>
          </w:divBdr>
        </w:div>
        <w:div w:id="218328476">
          <w:marLeft w:val="640"/>
          <w:marRight w:val="0"/>
          <w:marTop w:val="0"/>
          <w:marBottom w:val="0"/>
          <w:divBdr>
            <w:top w:val="none" w:sz="0" w:space="0" w:color="auto"/>
            <w:left w:val="none" w:sz="0" w:space="0" w:color="auto"/>
            <w:bottom w:val="none" w:sz="0" w:space="0" w:color="auto"/>
            <w:right w:val="none" w:sz="0" w:space="0" w:color="auto"/>
          </w:divBdr>
        </w:div>
        <w:div w:id="2039623759">
          <w:marLeft w:val="640"/>
          <w:marRight w:val="0"/>
          <w:marTop w:val="0"/>
          <w:marBottom w:val="0"/>
          <w:divBdr>
            <w:top w:val="none" w:sz="0" w:space="0" w:color="auto"/>
            <w:left w:val="none" w:sz="0" w:space="0" w:color="auto"/>
            <w:bottom w:val="none" w:sz="0" w:space="0" w:color="auto"/>
            <w:right w:val="none" w:sz="0" w:space="0" w:color="auto"/>
          </w:divBdr>
        </w:div>
        <w:div w:id="2126541515">
          <w:marLeft w:val="640"/>
          <w:marRight w:val="0"/>
          <w:marTop w:val="0"/>
          <w:marBottom w:val="0"/>
          <w:divBdr>
            <w:top w:val="none" w:sz="0" w:space="0" w:color="auto"/>
            <w:left w:val="none" w:sz="0" w:space="0" w:color="auto"/>
            <w:bottom w:val="none" w:sz="0" w:space="0" w:color="auto"/>
            <w:right w:val="none" w:sz="0" w:space="0" w:color="auto"/>
          </w:divBdr>
        </w:div>
        <w:div w:id="1842504039">
          <w:marLeft w:val="640"/>
          <w:marRight w:val="0"/>
          <w:marTop w:val="0"/>
          <w:marBottom w:val="0"/>
          <w:divBdr>
            <w:top w:val="none" w:sz="0" w:space="0" w:color="auto"/>
            <w:left w:val="none" w:sz="0" w:space="0" w:color="auto"/>
            <w:bottom w:val="none" w:sz="0" w:space="0" w:color="auto"/>
            <w:right w:val="none" w:sz="0" w:space="0" w:color="auto"/>
          </w:divBdr>
        </w:div>
        <w:div w:id="895123385">
          <w:marLeft w:val="640"/>
          <w:marRight w:val="0"/>
          <w:marTop w:val="0"/>
          <w:marBottom w:val="0"/>
          <w:divBdr>
            <w:top w:val="none" w:sz="0" w:space="0" w:color="auto"/>
            <w:left w:val="none" w:sz="0" w:space="0" w:color="auto"/>
            <w:bottom w:val="none" w:sz="0" w:space="0" w:color="auto"/>
            <w:right w:val="none" w:sz="0" w:space="0" w:color="auto"/>
          </w:divBdr>
        </w:div>
        <w:div w:id="1099183442">
          <w:marLeft w:val="640"/>
          <w:marRight w:val="0"/>
          <w:marTop w:val="0"/>
          <w:marBottom w:val="0"/>
          <w:divBdr>
            <w:top w:val="none" w:sz="0" w:space="0" w:color="auto"/>
            <w:left w:val="none" w:sz="0" w:space="0" w:color="auto"/>
            <w:bottom w:val="none" w:sz="0" w:space="0" w:color="auto"/>
            <w:right w:val="none" w:sz="0" w:space="0" w:color="auto"/>
          </w:divBdr>
        </w:div>
        <w:div w:id="104497118">
          <w:marLeft w:val="640"/>
          <w:marRight w:val="0"/>
          <w:marTop w:val="0"/>
          <w:marBottom w:val="0"/>
          <w:divBdr>
            <w:top w:val="none" w:sz="0" w:space="0" w:color="auto"/>
            <w:left w:val="none" w:sz="0" w:space="0" w:color="auto"/>
            <w:bottom w:val="none" w:sz="0" w:space="0" w:color="auto"/>
            <w:right w:val="none" w:sz="0" w:space="0" w:color="auto"/>
          </w:divBdr>
        </w:div>
        <w:div w:id="1197935726">
          <w:marLeft w:val="640"/>
          <w:marRight w:val="0"/>
          <w:marTop w:val="0"/>
          <w:marBottom w:val="0"/>
          <w:divBdr>
            <w:top w:val="none" w:sz="0" w:space="0" w:color="auto"/>
            <w:left w:val="none" w:sz="0" w:space="0" w:color="auto"/>
            <w:bottom w:val="none" w:sz="0" w:space="0" w:color="auto"/>
            <w:right w:val="none" w:sz="0" w:space="0" w:color="auto"/>
          </w:divBdr>
        </w:div>
        <w:div w:id="4865471">
          <w:marLeft w:val="640"/>
          <w:marRight w:val="0"/>
          <w:marTop w:val="0"/>
          <w:marBottom w:val="0"/>
          <w:divBdr>
            <w:top w:val="none" w:sz="0" w:space="0" w:color="auto"/>
            <w:left w:val="none" w:sz="0" w:space="0" w:color="auto"/>
            <w:bottom w:val="none" w:sz="0" w:space="0" w:color="auto"/>
            <w:right w:val="none" w:sz="0" w:space="0" w:color="auto"/>
          </w:divBdr>
        </w:div>
        <w:div w:id="2071686168">
          <w:marLeft w:val="640"/>
          <w:marRight w:val="0"/>
          <w:marTop w:val="0"/>
          <w:marBottom w:val="0"/>
          <w:divBdr>
            <w:top w:val="none" w:sz="0" w:space="0" w:color="auto"/>
            <w:left w:val="none" w:sz="0" w:space="0" w:color="auto"/>
            <w:bottom w:val="none" w:sz="0" w:space="0" w:color="auto"/>
            <w:right w:val="none" w:sz="0" w:space="0" w:color="auto"/>
          </w:divBdr>
        </w:div>
        <w:div w:id="1159729957">
          <w:marLeft w:val="640"/>
          <w:marRight w:val="0"/>
          <w:marTop w:val="0"/>
          <w:marBottom w:val="0"/>
          <w:divBdr>
            <w:top w:val="none" w:sz="0" w:space="0" w:color="auto"/>
            <w:left w:val="none" w:sz="0" w:space="0" w:color="auto"/>
            <w:bottom w:val="none" w:sz="0" w:space="0" w:color="auto"/>
            <w:right w:val="none" w:sz="0" w:space="0" w:color="auto"/>
          </w:divBdr>
        </w:div>
        <w:div w:id="836652268">
          <w:marLeft w:val="640"/>
          <w:marRight w:val="0"/>
          <w:marTop w:val="0"/>
          <w:marBottom w:val="0"/>
          <w:divBdr>
            <w:top w:val="none" w:sz="0" w:space="0" w:color="auto"/>
            <w:left w:val="none" w:sz="0" w:space="0" w:color="auto"/>
            <w:bottom w:val="none" w:sz="0" w:space="0" w:color="auto"/>
            <w:right w:val="none" w:sz="0" w:space="0" w:color="auto"/>
          </w:divBdr>
        </w:div>
        <w:div w:id="468597016">
          <w:marLeft w:val="640"/>
          <w:marRight w:val="0"/>
          <w:marTop w:val="0"/>
          <w:marBottom w:val="0"/>
          <w:divBdr>
            <w:top w:val="none" w:sz="0" w:space="0" w:color="auto"/>
            <w:left w:val="none" w:sz="0" w:space="0" w:color="auto"/>
            <w:bottom w:val="none" w:sz="0" w:space="0" w:color="auto"/>
            <w:right w:val="none" w:sz="0" w:space="0" w:color="auto"/>
          </w:divBdr>
        </w:div>
        <w:div w:id="1165784142">
          <w:marLeft w:val="640"/>
          <w:marRight w:val="0"/>
          <w:marTop w:val="0"/>
          <w:marBottom w:val="0"/>
          <w:divBdr>
            <w:top w:val="none" w:sz="0" w:space="0" w:color="auto"/>
            <w:left w:val="none" w:sz="0" w:space="0" w:color="auto"/>
            <w:bottom w:val="none" w:sz="0" w:space="0" w:color="auto"/>
            <w:right w:val="none" w:sz="0" w:space="0" w:color="auto"/>
          </w:divBdr>
        </w:div>
        <w:div w:id="885334976">
          <w:marLeft w:val="640"/>
          <w:marRight w:val="0"/>
          <w:marTop w:val="0"/>
          <w:marBottom w:val="0"/>
          <w:divBdr>
            <w:top w:val="none" w:sz="0" w:space="0" w:color="auto"/>
            <w:left w:val="none" w:sz="0" w:space="0" w:color="auto"/>
            <w:bottom w:val="none" w:sz="0" w:space="0" w:color="auto"/>
            <w:right w:val="none" w:sz="0" w:space="0" w:color="auto"/>
          </w:divBdr>
        </w:div>
        <w:div w:id="1106850173">
          <w:marLeft w:val="640"/>
          <w:marRight w:val="0"/>
          <w:marTop w:val="0"/>
          <w:marBottom w:val="0"/>
          <w:divBdr>
            <w:top w:val="none" w:sz="0" w:space="0" w:color="auto"/>
            <w:left w:val="none" w:sz="0" w:space="0" w:color="auto"/>
            <w:bottom w:val="none" w:sz="0" w:space="0" w:color="auto"/>
            <w:right w:val="none" w:sz="0" w:space="0" w:color="auto"/>
          </w:divBdr>
        </w:div>
        <w:div w:id="794713997">
          <w:marLeft w:val="640"/>
          <w:marRight w:val="0"/>
          <w:marTop w:val="0"/>
          <w:marBottom w:val="0"/>
          <w:divBdr>
            <w:top w:val="none" w:sz="0" w:space="0" w:color="auto"/>
            <w:left w:val="none" w:sz="0" w:space="0" w:color="auto"/>
            <w:bottom w:val="none" w:sz="0" w:space="0" w:color="auto"/>
            <w:right w:val="none" w:sz="0" w:space="0" w:color="auto"/>
          </w:divBdr>
        </w:div>
        <w:div w:id="559249992">
          <w:marLeft w:val="640"/>
          <w:marRight w:val="0"/>
          <w:marTop w:val="0"/>
          <w:marBottom w:val="0"/>
          <w:divBdr>
            <w:top w:val="none" w:sz="0" w:space="0" w:color="auto"/>
            <w:left w:val="none" w:sz="0" w:space="0" w:color="auto"/>
            <w:bottom w:val="none" w:sz="0" w:space="0" w:color="auto"/>
            <w:right w:val="none" w:sz="0" w:space="0" w:color="auto"/>
          </w:divBdr>
        </w:div>
        <w:div w:id="724061764">
          <w:marLeft w:val="640"/>
          <w:marRight w:val="0"/>
          <w:marTop w:val="0"/>
          <w:marBottom w:val="0"/>
          <w:divBdr>
            <w:top w:val="none" w:sz="0" w:space="0" w:color="auto"/>
            <w:left w:val="none" w:sz="0" w:space="0" w:color="auto"/>
            <w:bottom w:val="none" w:sz="0" w:space="0" w:color="auto"/>
            <w:right w:val="none" w:sz="0" w:space="0" w:color="auto"/>
          </w:divBdr>
        </w:div>
        <w:div w:id="816261246">
          <w:marLeft w:val="640"/>
          <w:marRight w:val="0"/>
          <w:marTop w:val="0"/>
          <w:marBottom w:val="0"/>
          <w:divBdr>
            <w:top w:val="none" w:sz="0" w:space="0" w:color="auto"/>
            <w:left w:val="none" w:sz="0" w:space="0" w:color="auto"/>
            <w:bottom w:val="none" w:sz="0" w:space="0" w:color="auto"/>
            <w:right w:val="none" w:sz="0" w:space="0" w:color="auto"/>
          </w:divBdr>
        </w:div>
        <w:div w:id="250941413">
          <w:marLeft w:val="640"/>
          <w:marRight w:val="0"/>
          <w:marTop w:val="0"/>
          <w:marBottom w:val="0"/>
          <w:divBdr>
            <w:top w:val="none" w:sz="0" w:space="0" w:color="auto"/>
            <w:left w:val="none" w:sz="0" w:space="0" w:color="auto"/>
            <w:bottom w:val="none" w:sz="0" w:space="0" w:color="auto"/>
            <w:right w:val="none" w:sz="0" w:space="0" w:color="auto"/>
          </w:divBdr>
        </w:div>
        <w:div w:id="622880378">
          <w:marLeft w:val="640"/>
          <w:marRight w:val="0"/>
          <w:marTop w:val="0"/>
          <w:marBottom w:val="0"/>
          <w:divBdr>
            <w:top w:val="none" w:sz="0" w:space="0" w:color="auto"/>
            <w:left w:val="none" w:sz="0" w:space="0" w:color="auto"/>
            <w:bottom w:val="none" w:sz="0" w:space="0" w:color="auto"/>
            <w:right w:val="none" w:sz="0" w:space="0" w:color="auto"/>
          </w:divBdr>
        </w:div>
        <w:div w:id="1472945943">
          <w:marLeft w:val="640"/>
          <w:marRight w:val="0"/>
          <w:marTop w:val="0"/>
          <w:marBottom w:val="0"/>
          <w:divBdr>
            <w:top w:val="none" w:sz="0" w:space="0" w:color="auto"/>
            <w:left w:val="none" w:sz="0" w:space="0" w:color="auto"/>
            <w:bottom w:val="none" w:sz="0" w:space="0" w:color="auto"/>
            <w:right w:val="none" w:sz="0" w:space="0" w:color="auto"/>
          </w:divBdr>
        </w:div>
        <w:div w:id="1781996126">
          <w:marLeft w:val="640"/>
          <w:marRight w:val="0"/>
          <w:marTop w:val="0"/>
          <w:marBottom w:val="0"/>
          <w:divBdr>
            <w:top w:val="none" w:sz="0" w:space="0" w:color="auto"/>
            <w:left w:val="none" w:sz="0" w:space="0" w:color="auto"/>
            <w:bottom w:val="none" w:sz="0" w:space="0" w:color="auto"/>
            <w:right w:val="none" w:sz="0" w:space="0" w:color="auto"/>
          </w:divBdr>
        </w:div>
        <w:div w:id="1370491415">
          <w:marLeft w:val="640"/>
          <w:marRight w:val="0"/>
          <w:marTop w:val="0"/>
          <w:marBottom w:val="0"/>
          <w:divBdr>
            <w:top w:val="none" w:sz="0" w:space="0" w:color="auto"/>
            <w:left w:val="none" w:sz="0" w:space="0" w:color="auto"/>
            <w:bottom w:val="none" w:sz="0" w:space="0" w:color="auto"/>
            <w:right w:val="none" w:sz="0" w:space="0" w:color="auto"/>
          </w:divBdr>
        </w:div>
        <w:div w:id="419257660">
          <w:marLeft w:val="640"/>
          <w:marRight w:val="0"/>
          <w:marTop w:val="0"/>
          <w:marBottom w:val="0"/>
          <w:divBdr>
            <w:top w:val="none" w:sz="0" w:space="0" w:color="auto"/>
            <w:left w:val="none" w:sz="0" w:space="0" w:color="auto"/>
            <w:bottom w:val="none" w:sz="0" w:space="0" w:color="auto"/>
            <w:right w:val="none" w:sz="0" w:space="0" w:color="auto"/>
          </w:divBdr>
        </w:div>
        <w:div w:id="1582330551">
          <w:marLeft w:val="640"/>
          <w:marRight w:val="0"/>
          <w:marTop w:val="0"/>
          <w:marBottom w:val="0"/>
          <w:divBdr>
            <w:top w:val="none" w:sz="0" w:space="0" w:color="auto"/>
            <w:left w:val="none" w:sz="0" w:space="0" w:color="auto"/>
            <w:bottom w:val="none" w:sz="0" w:space="0" w:color="auto"/>
            <w:right w:val="none" w:sz="0" w:space="0" w:color="auto"/>
          </w:divBdr>
        </w:div>
        <w:div w:id="805510759">
          <w:marLeft w:val="640"/>
          <w:marRight w:val="0"/>
          <w:marTop w:val="0"/>
          <w:marBottom w:val="0"/>
          <w:divBdr>
            <w:top w:val="none" w:sz="0" w:space="0" w:color="auto"/>
            <w:left w:val="none" w:sz="0" w:space="0" w:color="auto"/>
            <w:bottom w:val="none" w:sz="0" w:space="0" w:color="auto"/>
            <w:right w:val="none" w:sz="0" w:space="0" w:color="auto"/>
          </w:divBdr>
        </w:div>
        <w:div w:id="924146906">
          <w:marLeft w:val="640"/>
          <w:marRight w:val="0"/>
          <w:marTop w:val="0"/>
          <w:marBottom w:val="0"/>
          <w:divBdr>
            <w:top w:val="none" w:sz="0" w:space="0" w:color="auto"/>
            <w:left w:val="none" w:sz="0" w:space="0" w:color="auto"/>
            <w:bottom w:val="none" w:sz="0" w:space="0" w:color="auto"/>
            <w:right w:val="none" w:sz="0" w:space="0" w:color="auto"/>
          </w:divBdr>
        </w:div>
        <w:div w:id="179127280">
          <w:marLeft w:val="640"/>
          <w:marRight w:val="0"/>
          <w:marTop w:val="0"/>
          <w:marBottom w:val="0"/>
          <w:divBdr>
            <w:top w:val="none" w:sz="0" w:space="0" w:color="auto"/>
            <w:left w:val="none" w:sz="0" w:space="0" w:color="auto"/>
            <w:bottom w:val="none" w:sz="0" w:space="0" w:color="auto"/>
            <w:right w:val="none" w:sz="0" w:space="0" w:color="auto"/>
          </w:divBdr>
        </w:div>
        <w:div w:id="862747955">
          <w:marLeft w:val="640"/>
          <w:marRight w:val="0"/>
          <w:marTop w:val="0"/>
          <w:marBottom w:val="0"/>
          <w:divBdr>
            <w:top w:val="none" w:sz="0" w:space="0" w:color="auto"/>
            <w:left w:val="none" w:sz="0" w:space="0" w:color="auto"/>
            <w:bottom w:val="none" w:sz="0" w:space="0" w:color="auto"/>
            <w:right w:val="none" w:sz="0" w:space="0" w:color="auto"/>
          </w:divBdr>
        </w:div>
        <w:div w:id="249702665">
          <w:marLeft w:val="640"/>
          <w:marRight w:val="0"/>
          <w:marTop w:val="0"/>
          <w:marBottom w:val="0"/>
          <w:divBdr>
            <w:top w:val="none" w:sz="0" w:space="0" w:color="auto"/>
            <w:left w:val="none" w:sz="0" w:space="0" w:color="auto"/>
            <w:bottom w:val="none" w:sz="0" w:space="0" w:color="auto"/>
            <w:right w:val="none" w:sz="0" w:space="0" w:color="auto"/>
          </w:divBdr>
        </w:div>
        <w:div w:id="836388731">
          <w:marLeft w:val="640"/>
          <w:marRight w:val="0"/>
          <w:marTop w:val="0"/>
          <w:marBottom w:val="0"/>
          <w:divBdr>
            <w:top w:val="none" w:sz="0" w:space="0" w:color="auto"/>
            <w:left w:val="none" w:sz="0" w:space="0" w:color="auto"/>
            <w:bottom w:val="none" w:sz="0" w:space="0" w:color="auto"/>
            <w:right w:val="none" w:sz="0" w:space="0" w:color="auto"/>
          </w:divBdr>
        </w:div>
        <w:div w:id="654795409">
          <w:marLeft w:val="640"/>
          <w:marRight w:val="0"/>
          <w:marTop w:val="0"/>
          <w:marBottom w:val="0"/>
          <w:divBdr>
            <w:top w:val="none" w:sz="0" w:space="0" w:color="auto"/>
            <w:left w:val="none" w:sz="0" w:space="0" w:color="auto"/>
            <w:bottom w:val="none" w:sz="0" w:space="0" w:color="auto"/>
            <w:right w:val="none" w:sz="0" w:space="0" w:color="auto"/>
          </w:divBdr>
        </w:div>
        <w:div w:id="346911308">
          <w:marLeft w:val="640"/>
          <w:marRight w:val="0"/>
          <w:marTop w:val="0"/>
          <w:marBottom w:val="0"/>
          <w:divBdr>
            <w:top w:val="none" w:sz="0" w:space="0" w:color="auto"/>
            <w:left w:val="none" w:sz="0" w:space="0" w:color="auto"/>
            <w:bottom w:val="none" w:sz="0" w:space="0" w:color="auto"/>
            <w:right w:val="none" w:sz="0" w:space="0" w:color="auto"/>
          </w:divBdr>
        </w:div>
        <w:div w:id="414864900">
          <w:marLeft w:val="640"/>
          <w:marRight w:val="0"/>
          <w:marTop w:val="0"/>
          <w:marBottom w:val="0"/>
          <w:divBdr>
            <w:top w:val="none" w:sz="0" w:space="0" w:color="auto"/>
            <w:left w:val="none" w:sz="0" w:space="0" w:color="auto"/>
            <w:bottom w:val="none" w:sz="0" w:space="0" w:color="auto"/>
            <w:right w:val="none" w:sz="0" w:space="0" w:color="auto"/>
          </w:divBdr>
        </w:div>
        <w:div w:id="1509976215">
          <w:marLeft w:val="640"/>
          <w:marRight w:val="0"/>
          <w:marTop w:val="0"/>
          <w:marBottom w:val="0"/>
          <w:divBdr>
            <w:top w:val="none" w:sz="0" w:space="0" w:color="auto"/>
            <w:left w:val="none" w:sz="0" w:space="0" w:color="auto"/>
            <w:bottom w:val="none" w:sz="0" w:space="0" w:color="auto"/>
            <w:right w:val="none" w:sz="0" w:space="0" w:color="auto"/>
          </w:divBdr>
        </w:div>
        <w:div w:id="1620408247">
          <w:marLeft w:val="640"/>
          <w:marRight w:val="0"/>
          <w:marTop w:val="0"/>
          <w:marBottom w:val="0"/>
          <w:divBdr>
            <w:top w:val="none" w:sz="0" w:space="0" w:color="auto"/>
            <w:left w:val="none" w:sz="0" w:space="0" w:color="auto"/>
            <w:bottom w:val="none" w:sz="0" w:space="0" w:color="auto"/>
            <w:right w:val="none" w:sz="0" w:space="0" w:color="auto"/>
          </w:divBdr>
        </w:div>
        <w:div w:id="733545293">
          <w:marLeft w:val="640"/>
          <w:marRight w:val="0"/>
          <w:marTop w:val="0"/>
          <w:marBottom w:val="0"/>
          <w:divBdr>
            <w:top w:val="none" w:sz="0" w:space="0" w:color="auto"/>
            <w:left w:val="none" w:sz="0" w:space="0" w:color="auto"/>
            <w:bottom w:val="none" w:sz="0" w:space="0" w:color="auto"/>
            <w:right w:val="none" w:sz="0" w:space="0" w:color="auto"/>
          </w:divBdr>
        </w:div>
        <w:div w:id="341470957">
          <w:marLeft w:val="640"/>
          <w:marRight w:val="0"/>
          <w:marTop w:val="0"/>
          <w:marBottom w:val="0"/>
          <w:divBdr>
            <w:top w:val="none" w:sz="0" w:space="0" w:color="auto"/>
            <w:left w:val="none" w:sz="0" w:space="0" w:color="auto"/>
            <w:bottom w:val="none" w:sz="0" w:space="0" w:color="auto"/>
            <w:right w:val="none" w:sz="0" w:space="0" w:color="auto"/>
          </w:divBdr>
        </w:div>
        <w:div w:id="1870531123">
          <w:marLeft w:val="640"/>
          <w:marRight w:val="0"/>
          <w:marTop w:val="0"/>
          <w:marBottom w:val="0"/>
          <w:divBdr>
            <w:top w:val="none" w:sz="0" w:space="0" w:color="auto"/>
            <w:left w:val="none" w:sz="0" w:space="0" w:color="auto"/>
            <w:bottom w:val="none" w:sz="0" w:space="0" w:color="auto"/>
            <w:right w:val="none" w:sz="0" w:space="0" w:color="auto"/>
          </w:divBdr>
        </w:div>
        <w:div w:id="791097525">
          <w:marLeft w:val="640"/>
          <w:marRight w:val="0"/>
          <w:marTop w:val="0"/>
          <w:marBottom w:val="0"/>
          <w:divBdr>
            <w:top w:val="none" w:sz="0" w:space="0" w:color="auto"/>
            <w:left w:val="none" w:sz="0" w:space="0" w:color="auto"/>
            <w:bottom w:val="none" w:sz="0" w:space="0" w:color="auto"/>
            <w:right w:val="none" w:sz="0" w:space="0" w:color="auto"/>
          </w:divBdr>
        </w:div>
        <w:div w:id="1900632324">
          <w:marLeft w:val="640"/>
          <w:marRight w:val="0"/>
          <w:marTop w:val="0"/>
          <w:marBottom w:val="0"/>
          <w:divBdr>
            <w:top w:val="none" w:sz="0" w:space="0" w:color="auto"/>
            <w:left w:val="none" w:sz="0" w:space="0" w:color="auto"/>
            <w:bottom w:val="none" w:sz="0" w:space="0" w:color="auto"/>
            <w:right w:val="none" w:sz="0" w:space="0" w:color="auto"/>
          </w:divBdr>
        </w:div>
        <w:div w:id="533084534">
          <w:marLeft w:val="640"/>
          <w:marRight w:val="0"/>
          <w:marTop w:val="0"/>
          <w:marBottom w:val="0"/>
          <w:divBdr>
            <w:top w:val="none" w:sz="0" w:space="0" w:color="auto"/>
            <w:left w:val="none" w:sz="0" w:space="0" w:color="auto"/>
            <w:bottom w:val="none" w:sz="0" w:space="0" w:color="auto"/>
            <w:right w:val="none" w:sz="0" w:space="0" w:color="auto"/>
          </w:divBdr>
        </w:div>
        <w:div w:id="569968873">
          <w:marLeft w:val="640"/>
          <w:marRight w:val="0"/>
          <w:marTop w:val="0"/>
          <w:marBottom w:val="0"/>
          <w:divBdr>
            <w:top w:val="none" w:sz="0" w:space="0" w:color="auto"/>
            <w:left w:val="none" w:sz="0" w:space="0" w:color="auto"/>
            <w:bottom w:val="none" w:sz="0" w:space="0" w:color="auto"/>
            <w:right w:val="none" w:sz="0" w:space="0" w:color="auto"/>
          </w:divBdr>
        </w:div>
        <w:div w:id="1233352362">
          <w:marLeft w:val="640"/>
          <w:marRight w:val="0"/>
          <w:marTop w:val="0"/>
          <w:marBottom w:val="0"/>
          <w:divBdr>
            <w:top w:val="none" w:sz="0" w:space="0" w:color="auto"/>
            <w:left w:val="none" w:sz="0" w:space="0" w:color="auto"/>
            <w:bottom w:val="none" w:sz="0" w:space="0" w:color="auto"/>
            <w:right w:val="none" w:sz="0" w:space="0" w:color="auto"/>
          </w:divBdr>
        </w:div>
        <w:div w:id="1362318214">
          <w:marLeft w:val="640"/>
          <w:marRight w:val="0"/>
          <w:marTop w:val="0"/>
          <w:marBottom w:val="0"/>
          <w:divBdr>
            <w:top w:val="none" w:sz="0" w:space="0" w:color="auto"/>
            <w:left w:val="none" w:sz="0" w:space="0" w:color="auto"/>
            <w:bottom w:val="none" w:sz="0" w:space="0" w:color="auto"/>
            <w:right w:val="none" w:sz="0" w:space="0" w:color="auto"/>
          </w:divBdr>
        </w:div>
        <w:div w:id="1881816420">
          <w:marLeft w:val="640"/>
          <w:marRight w:val="0"/>
          <w:marTop w:val="0"/>
          <w:marBottom w:val="0"/>
          <w:divBdr>
            <w:top w:val="none" w:sz="0" w:space="0" w:color="auto"/>
            <w:left w:val="none" w:sz="0" w:space="0" w:color="auto"/>
            <w:bottom w:val="none" w:sz="0" w:space="0" w:color="auto"/>
            <w:right w:val="none" w:sz="0" w:space="0" w:color="auto"/>
          </w:divBdr>
        </w:div>
        <w:div w:id="1816100282">
          <w:marLeft w:val="640"/>
          <w:marRight w:val="0"/>
          <w:marTop w:val="0"/>
          <w:marBottom w:val="0"/>
          <w:divBdr>
            <w:top w:val="none" w:sz="0" w:space="0" w:color="auto"/>
            <w:left w:val="none" w:sz="0" w:space="0" w:color="auto"/>
            <w:bottom w:val="none" w:sz="0" w:space="0" w:color="auto"/>
            <w:right w:val="none" w:sz="0" w:space="0" w:color="auto"/>
          </w:divBdr>
        </w:div>
        <w:div w:id="1189871641">
          <w:marLeft w:val="640"/>
          <w:marRight w:val="0"/>
          <w:marTop w:val="0"/>
          <w:marBottom w:val="0"/>
          <w:divBdr>
            <w:top w:val="none" w:sz="0" w:space="0" w:color="auto"/>
            <w:left w:val="none" w:sz="0" w:space="0" w:color="auto"/>
            <w:bottom w:val="none" w:sz="0" w:space="0" w:color="auto"/>
            <w:right w:val="none" w:sz="0" w:space="0" w:color="auto"/>
          </w:divBdr>
        </w:div>
        <w:div w:id="1024749435">
          <w:marLeft w:val="640"/>
          <w:marRight w:val="0"/>
          <w:marTop w:val="0"/>
          <w:marBottom w:val="0"/>
          <w:divBdr>
            <w:top w:val="none" w:sz="0" w:space="0" w:color="auto"/>
            <w:left w:val="none" w:sz="0" w:space="0" w:color="auto"/>
            <w:bottom w:val="none" w:sz="0" w:space="0" w:color="auto"/>
            <w:right w:val="none" w:sz="0" w:space="0" w:color="auto"/>
          </w:divBdr>
        </w:div>
        <w:div w:id="399442851">
          <w:marLeft w:val="640"/>
          <w:marRight w:val="0"/>
          <w:marTop w:val="0"/>
          <w:marBottom w:val="0"/>
          <w:divBdr>
            <w:top w:val="none" w:sz="0" w:space="0" w:color="auto"/>
            <w:left w:val="none" w:sz="0" w:space="0" w:color="auto"/>
            <w:bottom w:val="none" w:sz="0" w:space="0" w:color="auto"/>
            <w:right w:val="none" w:sz="0" w:space="0" w:color="auto"/>
          </w:divBdr>
        </w:div>
        <w:div w:id="722484399">
          <w:marLeft w:val="640"/>
          <w:marRight w:val="0"/>
          <w:marTop w:val="0"/>
          <w:marBottom w:val="0"/>
          <w:divBdr>
            <w:top w:val="none" w:sz="0" w:space="0" w:color="auto"/>
            <w:left w:val="none" w:sz="0" w:space="0" w:color="auto"/>
            <w:bottom w:val="none" w:sz="0" w:space="0" w:color="auto"/>
            <w:right w:val="none" w:sz="0" w:space="0" w:color="auto"/>
          </w:divBdr>
        </w:div>
        <w:div w:id="1822574335">
          <w:marLeft w:val="640"/>
          <w:marRight w:val="0"/>
          <w:marTop w:val="0"/>
          <w:marBottom w:val="0"/>
          <w:divBdr>
            <w:top w:val="none" w:sz="0" w:space="0" w:color="auto"/>
            <w:left w:val="none" w:sz="0" w:space="0" w:color="auto"/>
            <w:bottom w:val="none" w:sz="0" w:space="0" w:color="auto"/>
            <w:right w:val="none" w:sz="0" w:space="0" w:color="auto"/>
          </w:divBdr>
        </w:div>
        <w:div w:id="2108304436">
          <w:marLeft w:val="640"/>
          <w:marRight w:val="0"/>
          <w:marTop w:val="0"/>
          <w:marBottom w:val="0"/>
          <w:divBdr>
            <w:top w:val="none" w:sz="0" w:space="0" w:color="auto"/>
            <w:left w:val="none" w:sz="0" w:space="0" w:color="auto"/>
            <w:bottom w:val="none" w:sz="0" w:space="0" w:color="auto"/>
            <w:right w:val="none" w:sz="0" w:space="0" w:color="auto"/>
          </w:divBdr>
        </w:div>
        <w:div w:id="1754399888">
          <w:marLeft w:val="640"/>
          <w:marRight w:val="0"/>
          <w:marTop w:val="0"/>
          <w:marBottom w:val="0"/>
          <w:divBdr>
            <w:top w:val="none" w:sz="0" w:space="0" w:color="auto"/>
            <w:left w:val="none" w:sz="0" w:space="0" w:color="auto"/>
            <w:bottom w:val="none" w:sz="0" w:space="0" w:color="auto"/>
            <w:right w:val="none" w:sz="0" w:space="0" w:color="auto"/>
          </w:divBdr>
        </w:div>
        <w:div w:id="1952350106">
          <w:marLeft w:val="640"/>
          <w:marRight w:val="0"/>
          <w:marTop w:val="0"/>
          <w:marBottom w:val="0"/>
          <w:divBdr>
            <w:top w:val="none" w:sz="0" w:space="0" w:color="auto"/>
            <w:left w:val="none" w:sz="0" w:space="0" w:color="auto"/>
            <w:bottom w:val="none" w:sz="0" w:space="0" w:color="auto"/>
            <w:right w:val="none" w:sz="0" w:space="0" w:color="auto"/>
          </w:divBdr>
        </w:div>
        <w:div w:id="1637637283">
          <w:marLeft w:val="640"/>
          <w:marRight w:val="0"/>
          <w:marTop w:val="0"/>
          <w:marBottom w:val="0"/>
          <w:divBdr>
            <w:top w:val="none" w:sz="0" w:space="0" w:color="auto"/>
            <w:left w:val="none" w:sz="0" w:space="0" w:color="auto"/>
            <w:bottom w:val="none" w:sz="0" w:space="0" w:color="auto"/>
            <w:right w:val="none" w:sz="0" w:space="0" w:color="auto"/>
          </w:divBdr>
        </w:div>
        <w:div w:id="1063287267">
          <w:marLeft w:val="640"/>
          <w:marRight w:val="0"/>
          <w:marTop w:val="0"/>
          <w:marBottom w:val="0"/>
          <w:divBdr>
            <w:top w:val="none" w:sz="0" w:space="0" w:color="auto"/>
            <w:left w:val="none" w:sz="0" w:space="0" w:color="auto"/>
            <w:bottom w:val="none" w:sz="0" w:space="0" w:color="auto"/>
            <w:right w:val="none" w:sz="0" w:space="0" w:color="auto"/>
          </w:divBdr>
        </w:div>
        <w:div w:id="1178347991">
          <w:marLeft w:val="640"/>
          <w:marRight w:val="0"/>
          <w:marTop w:val="0"/>
          <w:marBottom w:val="0"/>
          <w:divBdr>
            <w:top w:val="none" w:sz="0" w:space="0" w:color="auto"/>
            <w:left w:val="none" w:sz="0" w:space="0" w:color="auto"/>
            <w:bottom w:val="none" w:sz="0" w:space="0" w:color="auto"/>
            <w:right w:val="none" w:sz="0" w:space="0" w:color="auto"/>
          </w:divBdr>
        </w:div>
        <w:div w:id="234510912">
          <w:marLeft w:val="640"/>
          <w:marRight w:val="0"/>
          <w:marTop w:val="0"/>
          <w:marBottom w:val="0"/>
          <w:divBdr>
            <w:top w:val="none" w:sz="0" w:space="0" w:color="auto"/>
            <w:left w:val="none" w:sz="0" w:space="0" w:color="auto"/>
            <w:bottom w:val="none" w:sz="0" w:space="0" w:color="auto"/>
            <w:right w:val="none" w:sz="0" w:space="0" w:color="auto"/>
          </w:divBdr>
        </w:div>
        <w:div w:id="653799207">
          <w:marLeft w:val="640"/>
          <w:marRight w:val="0"/>
          <w:marTop w:val="0"/>
          <w:marBottom w:val="0"/>
          <w:divBdr>
            <w:top w:val="none" w:sz="0" w:space="0" w:color="auto"/>
            <w:left w:val="none" w:sz="0" w:space="0" w:color="auto"/>
            <w:bottom w:val="none" w:sz="0" w:space="0" w:color="auto"/>
            <w:right w:val="none" w:sz="0" w:space="0" w:color="auto"/>
          </w:divBdr>
        </w:div>
        <w:div w:id="1001542974">
          <w:marLeft w:val="640"/>
          <w:marRight w:val="0"/>
          <w:marTop w:val="0"/>
          <w:marBottom w:val="0"/>
          <w:divBdr>
            <w:top w:val="none" w:sz="0" w:space="0" w:color="auto"/>
            <w:left w:val="none" w:sz="0" w:space="0" w:color="auto"/>
            <w:bottom w:val="none" w:sz="0" w:space="0" w:color="auto"/>
            <w:right w:val="none" w:sz="0" w:space="0" w:color="auto"/>
          </w:divBdr>
        </w:div>
        <w:div w:id="558900036">
          <w:marLeft w:val="640"/>
          <w:marRight w:val="0"/>
          <w:marTop w:val="0"/>
          <w:marBottom w:val="0"/>
          <w:divBdr>
            <w:top w:val="none" w:sz="0" w:space="0" w:color="auto"/>
            <w:left w:val="none" w:sz="0" w:space="0" w:color="auto"/>
            <w:bottom w:val="none" w:sz="0" w:space="0" w:color="auto"/>
            <w:right w:val="none" w:sz="0" w:space="0" w:color="auto"/>
          </w:divBdr>
        </w:div>
        <w:div w:id="2078244635">
          <w:marLeft w:val="640"/>
          <w:marRight w:val="0"/>
          <w:marTop w:val="0"/>
          <w:marBottom w:val="0"/>
          <w:divBdr>
            <w:top w:val="none" w:sz="0" w:space="0" w:color="auto"/>
            <w:left w:val="none" w:sz="0" w:space="0" w:color="auto"/>
            <w:bottom w:val="none" w:sz="0" w:space="0" w:color="auto"/>
            <w:right w:val="none" w:sz="0" w:space="0" w:color="auto"/>
          </w:divBdr>
        </w:div>
        <w:div w:id="1032994727">
          <w:marLeft w:val="640"/>
          <w:marRight w:val="0"/>
          <w:marTop w:val="0"/>
          <w:marBottom w:val="0"/>
          <w:divBdr>
            <w:top w:val="none" w:sz="0" w:space="0" w:color="auto"/>
            <w:left w:val="none" w:sz="0" w:space="0" w:color="auto"/>
            <w:bottom w:val="none" w:sz="0" w:space="0" w:color="auto"/>
            <w:right w:val="none" w:sz="0" w:space="0" w:color="auto"/>
          </w:divBdr>
        </w:div>
        <w:div w:id="316150675">
          <w:marLeft w:val="640"/>
          <w:marRight w:val="0"/>
          <w:marTop w:val="0"/>
          <w:marBottom w:val="0"/>
          <w:divBdr>
            <w:top w:val="none" w:sz="0" w:space="0" w:color="auto"/>
            <w:left w:val="none" w:sz="0" w:space="0" w:color="auto"/>
            <w:bottom w:val="none" w:sz="0" w:space="0" w:color="auto"/>
            <w:right w:val="none" w:sz="0" w:space="0" w:color="auto"/>
          </w:divBdr>
        </w:div>
        <w:div w:id="1698123412">
          <w:marLeft w:val="640"/>
          <w:marRight w:val="0"/>
          <w:marTop w:val="0"/>
          <w:marBottom w:val="0"/>
          <w:divBdr>
            <w:top w:val="none" w:sz="0" w:space="0" w:color="auto"/>
            <w:left w:val="none" w:sz="0" w:space="0" w:color="auto"/>
            <w:bottom w:val="none" w:sz="0" w:space="0" w:color="auto"/>
            <w:right w:val="none" w:sz="0" w:space="0" w:color="auto"/>
          </w:divBdr>
        </w:div>
        <w:div w:id="542599311">
          <w:marLeft w:val="640"/>
          <w:marRight w:val="0"/>
          <w:marTop w:val="0"/>
          <w:marBottom w:val="0"/>
          <w:divBdr>
            <w:top w:val="none" w:sz="0" w:space="0" w:color="auto"/>
            <w:left w:val="none" w:sz="0" w:space="0" w:color="auto"/>
            <w:bottom w:val="none" w:sz="0" w:space="0" w:color="auto"/>
            <w:right w:val="none" w:sz="0" w:space="0" w:color="auto"/>
          </w:divBdr>
        </w:div>
        <w:div w:id="489717197">
          <w:marLeft w:val="640"/>
          <w:marRight w:val="0"/>
          <w:marTop w:val="0"/>
          <w:marBottom w:val="0"/>
          <w:divBdr>
            <w:top w:val="none" w:sz="0" w:space="0" w:color="auto"/>
            <w:left w:val="none" w:sz="0" w:space="0" w:color="auto"/>
            <w:bottom w:val="none" w:sz="0" w:space="0" w:color="auto"/>
            <w:right w:val="none" w:sz="0" w:space="0" w:color="auto"/>
          </w:divBdr>
        </w:div>
        <w:div w:id="693968181">
          <w:marLeft w:val="640"/>
          <w:marRight w:val="0"/>
          <w:marTop w:val="0"/>
          <w:marBottom w:val="0"/>
          <w:divBdr>
            <w:top w:val="none" w:sz="0" w:space="0" w:color="auto"/>
            <w:left w:val="none" w:sz="0" w:space="0" w:color="auto"/>
            <w:bottom w:val="none" w:sz="0" w:space="0" w:color="auto"/>
            <w:right w:val="none" w:sz="0" w:space="0" w:color="auto"/>
          </w:divBdr>
        </w:div>
        <w:div w:id="324280731">
          <w:marLeft w:val="640"/>
          <w:marRight w:val="0"/>
          <w:marTop w:val="0"/>
          <w:marBottom w:val="0"/>
          <w:divBdr>
            <w:top w:val="none" w:sz="0" w:space="0" w:color="auto"/>
            <w:left w:val="none" w:sz="0" w:space="0" w:color="auto"/>
            <w:bottom w:val="none" w:sz="0" w:space="0" w:color="auto"/>
            <w:right w:val="none" w:sz="0" w:space="0" w:color="auto"/>
          </w:divBdr>
        </w:div>
        <w:div w:id="689572190">
          <w:marLeft w:val="640"/>
          <w:marRight w:val="0"/>
          <w:marTop w:val="0"/>
          <w:marBottom w:val="0"/>
          <w:divBdr>
            <w:top w:val="none" w:sz="0" w:space="0" w:color="auto"/>
            <w:left w:val="none" w:sz="0" w:space="0" w:color="auto"/>
            <w:bottom w:val="none" w:sz="0" w:space="0" w:color="auto"/>
            <w:right w:val="none" w:sz="0" w:space="0" w:color="auto"/>
          </w:divBdr>
        </w:div>
        <w:div w:id="785464613">
          <w:marLeft w:val="640"/>
          <w:marRight w:val="0"/>
          <w:marTop w:val="0"/>
          <w:marBottom w:val="0"/>
          <w:divBdr>
            <w:top w:val="none" w:sz="0" w:space="0" w:color="auto"/>
            <w:left w:val="none" w:sz="0" w:space="0" w:color="auto"/>
            <w:bottom w:val="none" w:sz="0" w:space="0" w:color="auto"/>
            <w:right w:val="none" w:sz="0" w:space="0" w:color="auto"/>
          </w:divBdr>
        </w:div>
        <w:div w:id="265381944">
          <w:marLeft w:val="640"/>
          <w:marRight w:val="0"/>
          <w:marTop w:val="0"/>
          <w:marBottom w:val="0"/>
          <w:divBdr>
            <w:top w:val="none" w:sz="0" w:space="0" w:color="auto"/>
            <w:left w:val="none" w:sz="0" w:space="0" w:color="auto"/>
            <w:bottom w:val="none" w:sz="0" w:space="0" w:color="auto"/>
            <w:right w:val="none" w:sz="0" w:space="0" w:color="auto"/>
          </w:divBdr>
        </w:div>
        <w:div w:id="1262494866">
          <w:marLeft w:val="640"/>
          <w:marRight w:val="0"/>
          <w:marTop w:val="0"/>
          <w:marBottom w:val="0"/>
          <w:divBdr>
            <w:top w:val="none" w:sz="0" w:space="0" w:color="auto"/>
            <w:left w:val="none" w:sz="0" w:space="0" w:color="auto"/>
            <w:bottom w:val="none" w:sz="0" w:space="0" w:color="auto"/>
            <w:right w:val="none" w:sz="0" w:space="0" w:color="auto"/>
          </w:divBdr>
        </w:div>
        <w:div w:id="872616863">
          <w:marLeft w:val="640"/>
          <w:marRight w:val="0"/>
          <w:marTop w:val="0"/>
          <w:marBottom w:val="0"/>
          <w:divBdr>
            <w:top w:val="none" w:sz="0" w:space="0" w:color="auto"/>
            <w:left w:val="none" w:sz="0" w:space="0" w:color="auto"/>
            <w:bottom w:val="none" w:sz="0" w:space="0" w:color="auto"/>
            <w:right w:val="none" w:sz="0" w:space="0" w:color="auto"/>
          </w:divBdr>
        </w:div>
        <w:div w:id="407851156">
          <w:marLeft w:val="640"/>
          <w:marRight w:val="0"/>
          <w:marTop w:val="0"/>
          <w:marBottom w:val="0"/>
          <w:divBdr>
            <w:top w:val="none" w:sz="0" w:space="0" w:color="auto"/>
            <w:left w:val="none" w:sz="0" w:space="0" w:color="auto"/>
            <w:bottom w:val="none" w:sz="0" w:space="0" w:color="auto"/>
            <w:right w:val="none" w:sz="0" w:space="0" w:color="auto"/>
          </w:divBdr>
        </w:div>
        <w:div w:id="496111878">
          <w:marLeft w:val="640"/>
          <w:marRight w:val="0"/>
          <w:marTop w:val="0"/>
          <w:marBottom w:val="0"/>
          <w:divBdr>
            <w:top w:val="none" w:sz="0" w:space="0" w:color="auto"/>
            <w:left w:val="none" w:sz="0" w:space="0" w:color="auto"/>
            <w:bottom w:val="none" w:sz="0" w:space="0" w:color="auto"/>
            <w:right w:val="none" w:sz="0" w:space="0" w:color="auto"/>
          </w:divBdr>
        </w:div>
        <w:div w:id="563219182">
          <w:marLeft w:val="640"/>
          <w:marRight w:val="0"/>
          <w:marTop w:val="0"/>
          <w:marBottom w:val="0"/>
          <w:divBdr>
            <w:top w:val="none" w:sz="0" w:space="0" w:color="auto"/>
            <w:left w:val="none" w:sz="0" w:space="0" w:color="auto"/>
            <w:bottom w:val="none" w:sz="0" w:space="0" w:color="auto"/>
            <w:right w:val="none" w:sz="0" w:space="0" w:color="auto"/>
          </w:divBdr>
        </w:div>
        <w:div w:id="1675954099">
          <w:marLeft w:val="640"/>
          <w:marRight w:val="0"/>
          <w:marTop w:val="0"/>
          <w:marBottom w:val="0"/>
          <w:divBdr>
            <w:top w:val="none" w:sz="0" w:space="0" w:color="auto"/>
            <w:left w:val="none" w:sz="0" w:space="0" w:color="auto"/>
            <w:bottom w:val="none" w:sz="0" w:space="0" w:color="auto"/>
            <w:right w:val="none" w:sz="0" w:space="0" w:color="auto"/>
          </w:divBdr>
        </w:div>
        <w:div w:id="515733139">
          <w:marLeft w:val="640"/>
          <w:marRight w:val="0"/>
          <w:marTop w:val="0"/>
          <w:marBottom w:val="0"/>
          <w:divBdr>
            <w:top w:val="none" w:sz="0" w:space="0" w:color="auto"/>
            <w:left w:val="none" w:sz="0" w:space="0" w:color="auto"/>
            <w:bottom w:val="none" w:sz="0" w:space="0" w:color="auto"/>
            <w:right w:val="none" w:sz="0" w:space="0" w:color="auto"/>
          </w:divBdr>
        </w:div>
        <w:div w:id="1595161098">
          <w:marLeft w:val="640"/>
          <w:marRight w:val="0"/>
          <w:marTop w:val="0"/>
          <w:marBottom w:val="0"/>
          <w:divBdr>
            <w:top w:val="none" w:sz="0" w:space="0" w:color="auto"/>
            <w:left w:val="none" w:sz="0" w:space="0" w:color="auto"/>
            <w:bottom w:val="none" w:sz="0" w:space="0" w:color="auto"/>
            <w:right w:val="none" w:sz="0" w:space="0" w:color="auto"/>
          </w:divBdr>
        </w:div>
        <w:div w:id="908421033">
          <w:marLeft w:val="640"/>
          <w:marRight w:val="0"/>
          <w:marTop w:val="0"/>
          <w:marBottom w:val="0"/>
          <w:divBdr>
            <w:top w:val="none" w:sz="0" w:space="0" w:color="auto"/>
            <w:left w:val="none" w:sz="0" w:space="0" w:color="auto"/>
            <w:bottom w:val="none" w:sz="0" w:space="0" w:color="auto"/>
            <w:right w:val="none" w:sz="0" w:space="0" w:color="auto"/>
          </w:divBdr>
        </w:div>
        <w:div w:id="541594669">
          <w:marLeft w:val="640"/>
          <w:marRight w:val="0"/>
          <w:marTop w:val="0"/>
          <w:marBottom w:val="0"/>
          <w:divBdr>
            <w:top w:val="none" w:sz="0" w:space="0" w:color="auto"/>
            <w:left w:val="none" w:sz="0" w:space="0" w:color="auto"/>
            <w:bottom w:val="none" w:sz="0" w:space="0" w:color="auto"/>
            <w:right w:val="none" w:sz="0" w:space="0" w:color="auto"/>
          </w:divBdr>
        </w:div>
        <w:div w:id="1157188200">
          <w:marLeft w:val="640"/>
          <w:marRight w:val="0"/>
          <w:marTop w:val="0"/>
          <w:marBottom w:val="0"/>
          <w:divBdr>
            <w:top w:val="none" w:sz="0" w:space="0" w:color="auto"/>
            <w:left w:val="none" w:sz="0" w:space="0" w:color="auto"/>
            <w:bottom w:val="none" w:sz="0" w:space="0" w:color="auto"/>
            <w:right w:val="none" w:sz="0" w:space="0" w:color="auto"/>
          </w:divBdr>
        </w:div>
        <w:div w:id="2124230565">
          <w:marLeft w:val="640"/>
          <w:marRight w:val="0"/>
          <w:marTop w:val="0"/>
          <w:marBottom w:val="0"/>
          <w:divBdr>
            <w:top w:val="none" w:sz="0" w:space="0" w:color="auto"/>
            <w:left w:val="none" w:sz="0" w:space="0" w:color="auto"/>
            <w:bottom w:val="none" w:sz="0" w:space="0" w:color="auto"/>
            <w:right w:val="none" w:sz="0" w:space="0" w:color="auto"/>
          </w:divBdr>
        </w:div>
        <w:div w:id="1500346725">
          <w:marLeft w:val="640"/>
          <w:marRight w:val="0"/>
          <w:marTop w:val="0"/>
          <w:marBottom w:val="0"/>
          <w:divBdr>
            <w:top w:val="none" w:sz="0" w:space="0" w:color="auto"/>
            <w:left w:val="none" w:sz="0" w:space="0" w:color="auto"/>
            <w:bottom w:val="none" w:sz="0" w:space="0" w:color="auto"/>
            <w:right w:val="none" w:sz="0" w:space="0" w:color="auto"/>
          </w:divBdr>
        </w:div>
        <w:div w:id="1536579801">
          <w:marLeft w:val="640"/>
          <w:marRight w:val="0"/>
          <w:marTop w:val="0"/>
          <w:marBottom w:val="0"/>
          <w:divBdr>
            <w:top w:val="none" w:sz="0" w:space="0" w:color="auto"/>
            <w:left w:val="none" w:sz="0" w:space="0" w:color="auto"/>
            <w:bottom w:val="none" w:sz="0" w:space="0" w:color="auto"/>
            <w:right w:val="none" w:sz="0" w:space="0" w:color="auto"/>
          </w:divBdr>
        </w:div>
        <w:div w:id="1198276001">
          <w:marLeft w:val="640"/>
          <w:marRight w:val="0"/>
          <w:marTop w:val="0"/>
          <w:marBottom w:val="0"/>
          <w:divBdr>
            <w:top w:val="none" w:sz="0" w:space="0" w:color="auto"/>
            <w:left w:val="none" w:sz="0" w:space="0" w:color="auto"/>
            <w:bottom w:val="none" w:sz="0" w:space="0" w:color="auto"/>
            <w:right w:val="none" w:sz="0" w:space="0" w:color="auto"/>
          </w:divBdr>
        </w:div>
        <w:div w:id="2137066082">
          <w:marLeft w:val="640"/>
          <w:marRight w:val="0"/>
          <w:marTop w:val="0"/>
          <w:marBottom w:val="0"/>
          <w:divBdr>
            <w:top w:val="none" w:sz="0" w:space="0" w:color="auto"/>
            <w:left w:val="none" w:sz="0" w:space="0" w:color="auto"/>
            <w:bottom w:val="none" w:sz="0" w:space="0" w:color="auto"/>
            <w:right w:val="none" w:sz="0" w:space="0" w:color="auto"/>
          </w:divBdr>
        </w:div>
        <w:div w:id="192808761">
          <w:marLeft w:val="640"/>
          <w:marRight w:val="0"/>
          <w:marTop w:val="0"/>
          <w:marBottom w:val="0"/>
          <w:divBdr>
            <w:top w:val="none" w:sz="0" w:space="0" w:color="auto"/>
            <w:left w:val="none" w:sz="0" w:space="0" w:color="auto"/>
            <w:bottom w:val="none" w:sz="0" w:space="0" w:color="auto"/>
            <w:right w:val="none" w:sz="0" w:space="0" w:color="auto"/>
          </w:divBdr>
        </w:div>
        <w:div w:id="122814652">
          <w:marLeft w:val="640"/>
          <w:marRight w:val="0"/>
          <w:marTop w:val="0"/>
          <w:marBottom w:val="0"/>
          <w:divBdr>
            <w:top w:val="none" w:sz="0" w:space="0" w:color="auto"/>
            <w:left w:val="none" w:sz="0" w:space="0" w:color="auto"/>
            <w:bottom w:val="none" w:sz="0" w:space="0" w:color="auto"/>
            <w:right w:val="none" w:sz="0" w:space="0" w:color="auto"/>
          </w:divBdr>
        </w:div>
        <w:div w:id="335620517">
          <w:marLeft w:val="640"/>
          <w:marRight w:val="0"/>
          <w:marTop w:val="0"/>
          <w:marBottom w:val="0"/>
          <w:divBdr>
            <w:top w:val="none" w:sz="0" w:space="0" w:color="auto"/>
            <w:left w:val="none" w:sz="0" w:space="0" w:color="auto"/>
            <w:bottom w:val="none" w:sz="0" w:space="0" w:color="auto"/>
            <w:right w:val="none" w:sz="0" w:space="0" w:color="auto"/>
          </w:divBdr>
        </w:div>
        <w:div w:id="1724140255">
          <w:marLeft w:val="640"/>
          <w:marRight w:val="0"/>
          <w:marTop w:val="0"/>
          <w:marBottom w:val="0"/>
          <w:divBdr>
            <w:top w:val="none" w:sz="0" w:space="0" w:color="auto"/>
            <w:left w:val="none" w:sz="0" w:space="0" w:color="auto"/>
            <w:bottom w:val="none" w:sz="0" w:space="0" w:color="auto"/>
            <w:right w:val="none" w:sz="0" w:space="0" w:color="auto"/>
          </w:divBdr>
        </w:div>
        <w:div w:id="1186020742">
          <w:marLeft w:val="640"/>
          <w:marRight w:val="0"/>
          <w:marTop w:val="0"/>
          <w:marBottom w:val="0"/>
          <w:divBdr>
            <w:top w:val="none" w:sz="0" w:space="0" w:color="auto"/>
            <w:left w:val="none" w:sz="0" w:space="0" w:color="auto"/>
            <w:bottom w:val="none" w:sz="0" w:space="0" w:color="auto"/>
            <w:right w:val="none" w:sz="0" w:space="0" w:color="auto"/>
          </w:divBdr>
        </w:div>
        <w:div w:id="418256966">
          <w:marLeft w:val="640"/>
          <w:marRight w:val="0"/>
          <w:marTop w:val="0"/>
          <w:marBottom w:val="0"/>
          <w:divBdr>
            <w:top w:val="none" w:sz="0" w:space="0" w:color="auto"/>
            <w:left w:val="none" w:sz="0" w:space="0" w:color="auto"/>
            <w:bottom w:val="none" w:sz="0" w:space="0" w:color="auto"/>
            <w:right w:val="none" w:sz="0" w:space="0" w:color="auto"/>
          </w:divBdr>
        </w:div>
        <w:div w:id="153181384">
          <w:marLeft w:val="640"/>
          <w:marRight w:val="0"/>
          <w:marTop w:val="0"/>
          <w:marBottom w:val="0"/>
          <w:divBdr>
            <w:top w:val="none" w:sz="0" w:space="0" w:color="auto"/>
            <w:left w:val="none" w:sz="0" w:space="0" w:color="auto"/>
            <w:bottom w:val="none" w:sz="0" w:space="0" w:color="auto"/>
            <w:right w:val="none" w:sz="0" w:space="0" w:color="auto"/>
          </w:divBdr>
        </w:div>
        <w:div w:id="1382293283">
          <w:marLeft w:val="640"/>
          <w:marRight w:val="0"/>
          <w:marTop w:val="0"/>
          <w:marBottom w:val="0"/>
          <w:divBdr>
            <w:top w:val="none" w:sz="0" w:space="0" w:color="auto"/>
            <w:left w:val="none" w:sz="0" w:space="0" w:color="auto"/>
            <w:bottom w:val="none" w:sz="0" w:space="0" w:color="auto"/>
            <w:right w:val="none" w:sz="0" w:space="0" w:color="auto"/>
          </w:divBdr>
        </w:div>
        <w:div w:id="1711034297">
          <w:marLeft w:val="640"/>
          <w:marRight w:val="0"/>
          <w:marTop w:val="0"/>
          <w:marBottom w:val="0"/>
          <w:divBdr>
            <w:top w:val="none" w:sz="0" w:space="0" w:color="auto"/>
            <w:left w:val="none" w:sz="0" w:space="0" w:color="auto"/>
            <w:bottom w:val="none" w:sz="0" w:space="0" w:color="auto"/>
            <w:right w:val="none" w:sz="0" w:space="0" w:color="auto"/>
          </w:divBdr>
        </w:div>
        <w:div w:id="668827006">
          <w:marLeft w:val="640"/>
          <w:marRight w:val="0"/>
          <w:marTop w:val="0"/>
          <w:marBottom w:val="0"/>
          <w:divBdr>
            <w:top w:val="none" w:sz="0" w:space="0" w:color="auto"/>
            <w:left w:val="none" w:sz="0" w:space="0" w:color="auto"/>
            <w:bottom w:val="none" w:sz="0" w:space="0" w:color="auto"/>
            <w:right w:val="none" w:sz="0" w:space="0" w:color="auto"/>
          </w:divBdr>
        </w:div>
        <w:div w:id="1326322911">
          <w:marLeft w:val="640"/>
          <w:marRight w:val="0"/>
          <w:marTop w:val="0"/>
          <w:marBottom w:val="0"/>
          <w:divBdr>
            <w:top w:val="none" w:sz="0" w:space="0" w:color="auto"/>
            <w:left w:val="none" w:sz="0" w:space="0" w:color="auto"/>
            <w:bottom w:val="none" w:sz="0" w:space="0" w:color="auto"/>
            <w:right w:val="none" w:sz="0" w:space="0" w:color="auto"/>
          </w:divBdr>
        </w:div>
        <w:div w:id="352877706">
          <w:marLeft w:val="640"/>
          <w:marRight w:val="0"/>
          <w:marTop w:val="0"/>
          <w:marBottom w:val="0"/>
          <w:divBdr>
            <w:top w:val="none" w:sz="0" w:space="0" w:color="auto"/>
            <w:left w:val="none" w:sz="0" w:space="0" w:color="auto"/>
            <w:bottom w:val="none" w:sz="0" w:space="0" w:color="auto"/>
            <w:right w:val="none" w:sz="0" w:space="0" w:color="auto"/>
          </w:divBdr>
        </w:div>
        <w:div w:id="571744369">
          <w:marLeft w:val="640"/>
          <w:marRight w:val="0"/>
          <w:marTop w:val="0"/>
          <w:marBottom w:val="0"/>
          <w:divBdr>
            <w:top w:val="none" w:sz="0" w:space="0" w:color="auto"/>
            <w:left w:val="none" w:sz="0" w:space="0" w:color="auto"/>
            <w:bottom w:val="none" w:sz="0" w:space="0" w:color="auto"/>
            <w:right w:val="none" w:sz="0" w:space="0" w:color="auto"/>
          </w:divBdr>
        </w:div>
        <w:div w:id="2089762125">
          <w:marLeft w:val="640"/>
          <w:marRight w:val="0"/>
          <w:marTop w:val="0"/>
          <w:marBottom w:val="0"/>
          <w:divBdr>
            <w:top w:val="none" w:sz="0" w:space="0" w:color="auto"/>
            <w:left w:val="none" w:sz="0" w:space="0" w:color="auto"/>
            <w:bottom w:val="none" w:sz="0" w:space="0" w:color="auto"/>
            <w:right w:val="none" w:sz="0" w:space="0" w:color="auto"/>
          </w:divBdr>
        </w:div>
        <w:div w:id="2006395525">
          <w:marLeft w:val="640"/>
          <w:marRight w:val="0"/>
          <w:marTop w:val="0"/>
          <w:marBottom w:val="0"/>
          <w:divBdr>
            <w:top w:val="none" w:sz="0" w:space="0" w:color="auto"/>
            <w:left w:val="none" w:sz="0" w:space="0" w:color="auto"/>
            <w:bottom w:val="none" w:sz="0" w:space="0" w:color="auto"/>
            <w:right w:val="none" w:sz="0" w:space="0" w:color="auto"/>
          </w:divBdr>
        </w:div>
        <w:div w:id="690306566">
          <w:marLeft w:val="640"/>
          <w:marRight w:val="0"/>
          <w:marTop w:val="0"/>
          <w:marBottom w:val="0"/>
          <w:divBdr>
            <w:top w:val="none" w:sz="0" w:space="0" w:color="auto"/>
            <w:left w:val="none" w:sz="0" w:space="0" w:color="auto"/>
            <w:bottom w:val="none" w:sz="0" w:space="0" w:color="auto"/>
            <w:right w:val="none" w:sz="0" w:space="0" w:color="auto"/>
          </w:divBdr>
        </w:div>
        <w:div w:id="448935600">
          <w:marLeft w:val="640"/>
          <w:marRight w:val="0"/>
          <w:marTop w:val="0"/>
          <w:marBottom w:val="0"/>
          <w:divBdr>
            <w:top w:val="none" w:sz="0" w:space="0" w:color="auto"/>
            <w:left w:val="none" w:sz="0" w:space="0" w:color="auto"/>
            <w:bottom w:val="none" w:sz="0" w:space="0" w:color="auto"/>
            <w:right w:val="none" w:sz="0" w:space="0" w:color="auto"/>
          </w:divBdr>
        </w:div>
        <w:div w:id="195049407">
          <w:marLeft w:val="640"/>
          <w:marRight w:val="0"/>
          <w:marTop w:val="0"/>
          <w:marBottom w:val="0"/>
          <w:divBdr>
            <w:top w:val="none" w:sz="0" w:space="0" w:color="auto"/>
            <w:left w:val="none" w:sz="0" w:space="0" w:color="auto"/>
            <w:bottom w:val="none" w:sz="0" w:space="0" w:color="auto"/>
            <w:right w:val="none" w:sz="0" w:space="0" w:color="auto"/>
          </w:divBdr>
        </w:div>
        <w:div w:id="96101544">
          <w:marLeft w:val="640"/>
          <w:marRight w:val="0"/>
          <w:marTop w:val="0"/>
          <w:marBottom w:val="0"/>
          <w:divBdr>
            <w:top w:val="none" w:sz="0" w:space="0" w:color="auto"/>
            <w:left w:val="none" w:sz="0" w:space="0" w:color="auto"/>
            <w:bottom w:val="none" w:sz="0" w:space="0" w:color="auto"/>
            <w:right w:val="none" w:sz="0" w:space="0" w:color="auto"/>
          </w:divBdr>
        </w:div>
        <w:div w:id="1233739670">
          <w:marLeft w:val="640"/>
          <w:marRight w:val="0"/>
          <w:marTop w:val="0"/>
          <w:marBottom w:val="0"/>
          <w:divBdr>
            <w:top w:val="none" w:sz="0" w:space="0" w:color="auto"/>
            <w:left w:val="none" w:sz="0" w:space="0" w:color="auto"/>
            <w:bottom w:val="none" w:sz="0" w:space="0" w:color="auto"/>
            <w:right w:val="none" w:sz="0" w:space="0" w:color="auto"/>
          </w:divBdr>
        </w:div>
        <w:div w:id="492913362">
          <w:marLeft w:val="640"/>
          <w:marRight w:val="0"/>
          <w:marTop w:val="0"/>
          <w:marBottom w:val="0"/>
          <w:divBdr>
            <w:top w:val="none" w:sz="0" w:space="0" w:color="auto"/>
            <w:left w:val="none" w:sz="0" w:space="0" w:color="auto"/>
            <w:bottom w:val="none" w:sz="0" w:space="0" w:color="auto"/>
            <w:right w:val="none" w:sz="0" w:space="0" w:color="auto"/>
          </w:divBdr>
        </w:div>
        <w:div w:id="459035190">
          <w:marLeft w:val="640"/>
          <w:marRight w:val="0"/>
          <w:marTop w:val="0"/>
          <w:marBottom w:val="0"/>
          <w:divBdr>
            <w:top w:val="none" w:sz="0" w:space="0" w:color="auto"/>
            <w:left w:val="none" w:sz="0" w:space="0" w:color="auto"/>
            <w:bottom w:val="none" w:sz="0" w:space="0" w:color="auto"/>
            <w:right w:val="none" w:sz="0" w:space="0" w:color="auto"/>
          </w:divBdr>
        </w:div>
        <w:div w:id="860511110">
          <w:marLeft w:val="640"/>
          <w:marRight w:val="0"/>
          <w:marTop w:val="0"/>
          <w:marBottom w:val="0"/>
          <w:divBdr>
            <w:top w:val="none" w:sz="0" w:space="0" w:color="auto"/>
            <w:left w:val="none" w:sz="0" w:space="0" w:color="auto"/>
            <w:bottom w:val="none" w:sz="0" w:space="0" w:color="auto"/>
            <w:right w:val="none" w:sz="0" w:space="0" w:color="auto"/>
          </w:divBdr>
        </w:div>
        <w:div w:id="658267490">
          <w:marLeft w:val="640"/>
          <w:marRight w:val="0"/>
          <w:marTop w:val="0"/>
          <w:marBottom w:val="0"/>
          <w:divBdr>
            <w:top w:val="none" w:sz="0" w:space="0" w:color="auto"/>
            <w:left w:val="none" w:sz="0" w:space="0" w:color="auto"/>
            <w:bottom w:val="none" w:sz="0" w:space="0" w:color="auto"/>
            <w:right w:val="none" w:sz="0" w:space="0" w:color="auto"/>
          </w:divBdr>
        </w:div>
        <w:div w:id="1456438272">
          <w:marLeft w:val="640"/>
          <w:marRight w:val="0"/>
          <w:marTop w:val="0"/>
          <w:marBottom w:val="0"/>
          <w:divBdr>
            <w:top w:val="none" w:sz="0" w:space="0" w:color="auto"/>
            <w:left w:val="none" w:sz="0" w:space="0" w:color="auto"/>
            <w:bottom w:val="none" w:sz="0" w:space="0" w:color="auto"/>
            <w:right w:val="none" w:sz="0" w:space="0" w:color="auto"/>
          </w:divBdr>
        </w:div>
        <w:div w:id="811556936">
          <w:marLeft w:val="640"/>
          <w:marRight w:val="0"/>
          <w:marTop w:val="0"/>
          <w:marBottom w:val="0"/>
          <w:divBdr>
            <w:top w:val="none" w:sz="0" w:space="0" w:color="auto"/>
            <w:left w:val="none" w:sz="0" w:space="0" w:color="auto"/>
            <w:bottom w:val="none" w:sz="0" w:space="0" w:color="auto"/>
            <w:right w:val="none" w:sz="0" w:space="0" w:color="auto"/>
          </w:divBdr>
        </w:div>
        <w:div w:id="1404908532">
          <w:marLeft w:val="640"/>
          <w:marRight w:val="0"/>
          <w:marTop w:val="0"/>
          <w:marBottom w:val="0"/>
          <w:divBdr>
            <w:top w:val="none" w:sz="0" w:space="0" w:color="auto"/>
            <w:left w:val="none" w:sz="0" w:space="0" w:color="auto"/>
            <w:bottom w:val="none" w:sz="0" w:space="0" w:color="auto"/>
            <w:right w:val="none" w:sz="0" w:space="0" w:color="auto"/>
          </w:divBdr>
        </w:div>
        <w:div w:id="1779566048">
          <w:marLeft w:val="640"/>
          <w:marRight w:val="0"/>
          <w:marTop w:val="0"/>
          <w:marBottom w:val="0"/>
          <w:divBdr>
            <w:top w:val="none" w:sz="0" w:space="0" w:color="auto"/>
            <w:left w:val="none" w:sz="0" w:space="0" w:color="auto"/>
            <w:bottom w:val="none" w:sz="0" w:space="0" w:color="auto"/>
            <w:right w:val="none" w:sz="0" w:space="0" w:color="auto"/>
          </w:divBdr>
        </w:div>
        <w:div w:id="389965007">
          <w:marLeft w:val="640"/>
          <w:marRight w:val="0"/>
          <w:marTop w:val="0"/>
          <w:marBottom w:val="0"/>
          <w:divBdr>
            <w:top w:val="none" w:sz="0" w:space="0" w:color="auto"/>
            <w:left w:val="none" w:sz="0" w:space="0" w:color="auto"/>
            <w:bottom w:val="none" w:sz="0" w:space="0" w:color="auto"/>
            <w:right w:val="none" w:sz="0" w:space="0" w:color="auto"/>
          </w:divBdr>
        </w:div>
        <w:div w:id="29647667">
          <w:marLeft w:val="640"/>
          <w:marRight w:val="0"/>
          <w:marTop w:val="0"/>
          <w:marBottom w:val="0"/>
          <w:divBdr>
            <w:top w:val="none" w:sz="0" w:space="0" w:color="auto"/>
            <w:left w:val="none" w:sz="0" w:space="0" w:color="auto"/>
            <w:bottom w:val="none" w:sz="0" w:space="0" w:color="auto"/>
            <w:right w:val="none" w:sz="0" w:space="0" w:color="auto"/>
          </w:divBdr>
        </w:div>
        <w:div w:id="841357472">
          <w:marLeft w:val="640"/>
          <w:marRight w:val="0"/>
          <w:marTop w:val="0"/>
          <w:marBottom w:val="0"/>
          <w:divBdr>
            <w:top w:val="none" w:sz="0" w:space="0" w:color="auto"/>
            <w:left w:val="none" w:sz="0" w:space="0" w:color="auto"/>
            <w:bottom w:val="none" w:sz="0" w:space="0" w:color="auto"/>
            <w:right w:val="none" w:sz="0" w:space="0" w:color="auto"/>
          </w:divBdr>
        </w:div>
        <w:div w:id="1512178271">
          <w:marLeft w:val="640"/>
          <w:marRight w:val="0"/>
          <w:marTop w:val="0"/>
          <w:marBottom w:val="0"/>
          <w:divBdr>
            <w:top w:val="none" w:sz="0" w:space="0" w:color="auto"/>
            <w:left w:val="none" w:sz="0" w:space="0" w:color="auto"/>
            <w:bottom w:val="none" w:sz="0" w:space="0" w:color="auto"/>
            <w:right w:val="none" w:sz="0" w:space="0" w:color="auto"/>
          </w:divBdr>
        </w:div>
        <w:div w:id="1387945918">
          <w:marLeft w:val="640"/>
          <w:marRight w:val="0"/>
          <w:marTop w:val="0"/>
          <w:marBottom w:val="0"/>
          <w:divBdr>
            <w:top w:val="none" w:sz="0" w:space="0" w:color="auto"/>
            <w:left w:val="none" w:sz="0" w:space="0" w:color="auto"/>
            <w:bottom w:val="none" w:sz="0" w:space="0" w:color="auto"/>
            <w:right w:val="none" w:sz="0" w:space="0" w:color="auto"/>
          </w:divBdr>
        </w:div>
        <w:div w:id="518007297">
          <w:marLeft w:val="640"/>
          <w:marRight w:val="0"/>
          <w:marTop w:val="0"/>
          <w:marBottom w:val="0"/>
          <w:divBdr>
            <w:top w:val="none" w:sz="0" w:space="0" w:color="auto"/>
            <w:left w:val="none" w:sz="0" w:space="0" w:color="auto"/>
            <w:bottom w:val="none" w:sz="0" w:space="0" w:color="auto"/>
            <w:right w:val="none" w:sz="0" w:space="0" w:color="auto"/>
          </w:divBdr>
        </w:div>
        <w:div w:id="990718954">
          <w:marLeft w:val="640"/>
          <w:marRight w:val="0"/>
          <w:marTop w:val="0"/>
          <w:marBottom w:val="0"/>
          <w:divBdr>
            <w:top w:val="none" w:sz="0" w:space="0" w:color="auto"/>
            <w:left w:val="none" w:sz="0" w:space="0" w:color="auto"/>
            <w:bottom w:val="none" w:sz="0" w:space="0" w:color="auto"/>
            <w:right w:val="none" w:sz="0" w:space="0" w:color="auto"/>
          </w:divBdr>
        </w:div>
        <w:div w:id="47147373">
          <w:marLeft w:val="640"/>
          <w:marRight w:val="0"/>
          <w:marTop w:val="0"/>
          <w:marBottom w:val="0"/>
          <w:divBdr>
            <w:top w:val="none" w:sz="0" w:space="0" w:color="auto"/>
            <w:left w:val="none" w:sz="0" w:space="0" w:color="auto"/>
            <w:bottom w:val="none" w:sz="0" w:space="0" w:color="auto"/>
            <w:right w:val="none" w:sz="0" w:space="0" w:color="auto"/>
          </w:divBdr>
        </w:div>
        <w:div w:id="761923346">
          <w:marLeft w:val="640"/>
          <w:marRight w:val="0"/>
          <w:marTop w:val="0"/>
          <w:marBottom w:val="0"/>
          <w:divBdr>
            <w:top w:val="none" w:sz="0" w:space="0" w:color="auto"/>
            <w:left w:val="none" w:sz="0" w:space="0" w:color="auto"/>
            <w:bottom w:val="none" w:sz="0" w:space="0" w:color="auto"/>
            <w:right w:val="none" w:sz="0" w:space="0" w:color="auto"/>
          </w:divBdr>
        </w:div>
        <w:div w:id="1106731667">
          <w:marLeft w:val="640"/>
          <w:marRight w:val="0"/>
          <w:marTop w:val="0"/>
          <w:marBottom w:val="0"/>
          <w:divBdr>
            <w:top w:val="none" w:sz="0" w:space="0" w:color="auto"/>
            <w:left w:val="none" w:sz="0" w:space="0" w:color="auto"/>
            <w:bottom w:val="none" w:sz="0" w:space="0" w:color="auto"/>
            <w:right w:val="none" w:sz="0" w:space="0" w:color="auto"/>
          </w:divBdr>
        </w:div>
        <w:div w:id="1295790478">
          <w:marLeft w:val="640"/>
          <w:marRight w:val="0"/>
          <w:marTop w:val="0"/>
          <w:marBottom w:val="0"/>
          <w:divBdr>
            <w:top w:val="none" w:sz="0" w:space="0" w:color="auto"/>
            <w:left w:val="none" w:sz="0" w:space="0" w:color="auto"/>
            <w:bottom w:val="none" w:sz="0" w:space="0" w:color="auto"/>
            <w:right w:val="none" w:sz="0" w:space="0" w:color="auto"/>
          </w:divBdr>
        </w:div>
        <w:div w:id="976883464">
          <w:marLeft w:val="640"/>
          <w:marRight w:val="0"/>
          <w:marTop w:val="0"/>
          <w:marBottom w:val="0"/>
          <w:divBdr>
            <w:top w:val="none" w:sz="0" w:space="0" w:color="auto"/>
            <w:left w:val="none" w:sz="0" w:space="0" w:color="auto"/>
            <w:bottom w:val="none" w:sz="0" w:space="0" w:color="auto"/>
            <w:right w:val="none" w:sz="0" w:space="0" w:color="auto"/>
          </w:divBdr>
        </w:div>
        <w:div w:id="1965577322">
          <w:marLeft w:val="640"/>
          <w:marRight w:val="0"/>
          <w:marTop w:val="0"/>
          <w:marBottom w:val="0"/>
          <w:divBdr>
            <w:top w:val="none" w:sz="0" w:space="0" w:color="auto"/>
            <w:left w:val="none" w:sz="0" w:space="0" w:color="auto"/>
            <w:bottom w:val="none" w:sz="0" w:space="0" w:color="auto"/>
            <w:right w:val="none" w:sz="0" w:space="0" w:color="auto"/>
          </w:divBdr>
        </w:div>
        <w:div w:id="791707044">
          <w:marLeft w:val="640"/>
          <w:marRight w:val="0"/>
          <w:marTop w:val="0"/>
          <w:marBottom w:val="0"/>
          <w:divBdr>
            <w:top w:val="none" w:sz="0" w:space="0" w:color="auto"/>
            <w:left w:val="none" w:sz="0" w:space="0" w:color="auto"/>
            <w:bottom w:val="none" w:sz="0" w:space="0" w:color="auto"/>
            <w:right w:val="none" w:sz="0" w:space="0" w:color="auto"/>
          </w:divBdr>
        </w:div>
        <w:div w:id="1223518003">
          <w:marLeft w:val="640"/>
          <w:marRight w:val="0"/>
          <w:marTop w:val="0"/>
          <w:marBottom w:val="0"/>
          <w:divBdr>
            <w:top w:val="none" w:sz="0" w:space="0" w:color="auto"/>
            <w:left w:val="none" w:sz="0" w:space="0" w:color="auto"/>
            <w:bottom w:val="none" w:sz="0" w:space="0" w:color="auto"/>
            <w:right w:val="none" w:sz="0" w:space="0" w:color="auto"/>
          </w:divBdr>
        </w:div>
        <w:div w:id="706953701">
          <w:marLeft w:val="640"/>
          <w:marRight w:val="0"/>
          <w:marTop w:val="0"/>
          <w:marBottom w:val="0"/>
          <w:divBdr>
            <w:top w:val="none" w:sz="0" w:space="0" w:color="auto"/>
            <w:left w:val="none" w:sz="0" w:space="0" w:color="auto"/>
            <w:bottom w:val="none" w:sz="0" w:space="0" w:color="auto"/>
            <w:right w:val="none" w:sz="0" w:space="0" w:color="auto"/>
          </w:divBdr>
        </w:div>
        <w:div w:id="1720128905">
          <w:marLeft w:val="640"/>
          <w:marRight w:val="0"/>
          <w:marTop w:val="0"/>
          <w:marBottom w:val="0"/>
          <w:divBdr>
            <w:top w:val="none" w:sz="0" w:space="0" w:color="auto"/>
            <w:left w:val="none" w:sz="0" w:space="0" w:color="auto"/>
            <w:bottom w:val="none" w:sz="0" w:space="0" w:color="auto"/>
            <w:right w:val="none" w:sz="0" w:space="0" w:color="auto"/>
          </w:divBdr>
        </w:div>
        <w:div w:id="391931735">
          <w:marLeft w:val="640"/>
          <w:marRight w:val="0"/>
          <w:marTop w:val="0"/>
          <w:marBottom w:val="0"/>
          <w:divBdr>
            <w:top w:val="none" w:sz="0" w:space="0" w:color="auto"/>
            <w:left w:val="none" w:sz="0" w:space="0" w:color="auto"/>
            <w:bottom w:val="none" w:sz="0" w:space="0" w:color="auto"/>
            <w:right w:val="none" w:sz="0" w:space="0" w:color="auto"/>
          </w:divBdr>
        </w:div>
        <w:div w:id="524639565">
          <w:marLeft w:val="640"/>
          <w:marRight w:val="0"/>
          <w:marTop w:val="0"/>
          <w:marBottom w:val="0"/>
          <w:divBdr>
            <w:top w:val="none" w:sz="0" w:space="0" w:color="auto"/>
            <w:left w:val="none" w:sz="0" w:space="0" w:color="auto"/>
            <w:bottom w:val="none" w:sz="0" w:space="0" w:color="auto"/>
            <w:right w:val="none" w:sz="0" w:space="0" w:color="auto"/>
          </w:divBdr>
        </w:div>
        <w:div w:id="1783382976">
          <w:marLeft w:val="640"/>
          <w:marRight w:val="0"/>
          <w:marTop w:val="0"/>
          <w:marBottom w:val="0"/>
          <w:divBdr>
            <w:top w:val="none" w:sz="0" w:space="0" w:color="auto"/>
            <w:left w:val="none" w:sz="0" w:space="0" w:color="auto"/>
            <w:bottom w:val="none" w:sz="0" w:space="0" w:color="auto"/>
            <w:right w:val="none" w:sz="0" w:space="0" w:color="auto"/>
          </w:divBdr>
        </w:div>
        <w:div w:id="445317970">
          <w:marLeft w:val="640"/>
          <w:marRight w:val="0"/>
          <w:marTop w:val="0"/>
          <w:marBottom w:val="0"/>
          <w:divBdr>
            <w:top w:val="none" w:sz="0" w:space="0" w:color="auto"/>
            <w:left w:val="none" w:sz="0" w:space="0" w:color="auto"/>
            <w:bottom w:val="none" w:sz="0" w:space="0" w:color="auto"/>
            <w:right w:val="none" w:sz="0" w:space="0" w:color="auto"/>
          </w:divBdr>
        </w:div>
        <w:div w:id="1925142414">
          <w:marLeft w:val="640"/>
          <w:marRight w:val="0"/>
          <w:marTop w:val="0"/>
          <w:marBottom w:val="0"/>
          <w:divBdr>
            <w:top w:val="none" w:sz="0" w:space="0" w:color="auto"/>
            <w:left w:val="none" w:sz="0" w:space="0" w:color="auto"/>
            <w:bottom w:val="none" w:sz="0" w:space="0" w:color="auto"/>
            <w:right w:val="none" w:sz="0" w:space="0" w:color="auto"/>
          </w:divBdr>
        </w:div>
        <w:div w:id="597058648">
          <w:marLeft w:val="640"/>
          <w:marRight w:val="0"/>
          <w:marTop w:val="0"/>
          <w:marBottom w:val="0"/>
          <w:divBdr>
            <w:top w:val="none" w:sz="0" w:space="0" w:color="auto"/>
            <w:left w:val="none" w:sz="0" w:space="0" w:color="auto"/>
            <w:bottom w:val="none" w:sz="0" w:space="0" w:color="auto"/>
            <w:right w:val="none" w:sz="0" w:space="0" w:color="auto"/>
          </w:divBdr>
        </w:div>
        <w:div w:id="121924156">
          <w:marLeft w:val="640"/>
          <w:marRight w:val="0"/>
          <w:marTop w:val="0"/>
          <w:marBottom w:val="0"/>
          <w:divBdr>
            <w:top w:val="none" w:sz="0" w:space="0" w:color="auto"/>
            <w:left w:val="none" w:sz="0" w:space="0" w:color="auto"/>
            <w:bottom w:val="none" w:sz="0" w:space="0" w:color="auto"/>
            <w:right w:val="none" w:sz="0" w:space="0" w:color="auto"/>
          </w:divBdr>
        </w:div>
        <w:div w:id="1908607004">
          <w:marLeft w:val="640"/>
          <w:marRight w:val="0"/>
          <w:marTop w:val="0"/>
          <w:marBottom w:val="0"/>
          <w:divBdr>
            <w:top w:val="none" w:sz="0" w:space="0" w:color="auto"/>
            <w:left w:val="none" w:sz="0" w:space="0" w:color="auto"/>
            <w:bottom w:val="none" w:sz="0" w:space="0" w:color="auto"/>
            <w:right w:val="none" w:sz="0" w:space="0" w:color="auto"/>
          </w:divBdr>
        </w:div>
        <w:div w:id="1554191318">
          <w:marLeft w:val="640"/>
          <w:marRight w:val="0"/>
          <w:marTop w:val="0"/>
          <w:marBottom w:val="0"/>
          <w:divBdr>
            <w:top w:val="none" w:sz="0" w:space="0" w:color="auto"/>
            <w:left w:val="none" w:sz="0" w:space="0" w:color="auto"/>
            <w:bottom w:val="none" w:sz="0" w:space="0" w:color="auto"/>
            <w:right w:val="none" w:sz="0" w:space="0" w:color="auto"/>
          </w:divBdr>
        </w:div>
        <w:div w:id="1840925995">
          <w:marLeft w:val="640"/>
          <w:marRight w:val="0"/>
          <w:marTop w:val="0"/>
          <w:marBottom w:val="0"/>
          <w:divBdr>
            <w:top w:val="none" w:sz="0" w:space="0" w:color="auto"/>
            <w:left w:val="none" w:sz="0" w:space="0" w:color="auto"/>
            <w:bottom w:val="none" w:sz="0" w:space="0" w:color="auto"/>
            <w:right w:val="none" w:sz="0" w:space="0" w:color="auto"/>
          </w:divBdr>
        </w:div>
        <w:div w:id="203371745">
          <w:marLeft w:val="640"/>
          <w:marRight w:val="0"/>
          <w:marTop w:val="0"/>
          <w:marBottom w:val="0"/>
          <w:divBdr>
            <w:top w:val="none" w:sz="0" w:space="0" w:color="auto"/>
            <w:left w:val="none" w:sz="0" w:space="0" w:color="auto"/>
            <w:bottom w:val="none" w:sz="0" w:space="0" w:color="auto"/>
            <w:right w:val="none" w:sz="0" w:space="0" w:color="auto"/>
          </w:divBdr>
        </w:div>
        <w:div w:id="572816602">
          <w:marLeft w:val="640"/>
          <w:marRight w:val="0"/>
          <w:marTop w:val="0"/>
          <w:marBottom w:val="0"/>
          <w:divBdr>
            <w:top w:val="none" w:sz="0" w:space="0" w:color="auto"/>
            <w:left w:val="none" w:sz="0" w:space="0" w:color="auto"/>
            <w:bottom w:val="none" w:sz="0" w:space="0" w:color="auto"/>
            <w:right w:val="none" w:sz="0" w:space="0" w:color="auto"/>
          </w:divBdr>
        </w:div>
        <w:div w:id="1785463081">
          <w:marLeft w:val="640"/>
          <w:marRight w:val="0"/>
          <w:marTop w:val="0"/>
          <w:marBottom w:val="0"/>
          <w:divBdr>
            <w:top w:val="none" w:sz="0" w:space="0" w:color="auto"/>
            <w:left w:val="none" w:sz="0" w:space="0" w:color="auto"/>
            <w:bottom w:val="none" w:sz="0" w:space="0" w:color="auto"/>
            <w:right w:val="none" w:sz="0" w:space="0" w:color="auto"/>
          </w:divBdr>
        </w:div>
        <w:div w:id="1781412301">
          <w:marLeft w:val="640"/>
          <w:marRight w:val="0"/>
          <w:marTop w:val="0"/>
          <w:marBottom w:val="0"/>
          <w:divBdr>
            <w:top w:val="none" w:sz="0" w:space="0" w:color="auto"/>
            <w:left w:val="none" w:sz="0" w:space="0" w:color="auto"/>
            <w:bottom w:val="none" w:sz="0" w:space="0" w:color="auto"/>
            <w:right w:val="none" w:sz="0" w:space="0" w:color="auto"/>
          </w:divBdr>
        </w:div>
        <w:div w:id="109252478">
          <w:marLeft w:val="640"/>
          <w:marRight w:val="0"/>
          <w:marTop w:val="0"/>
          <w:marBottom w:val="0"/>
          <w:divBdr>
            <w:top w:val="none" w:sz="0" w:space="0" w:color="auto"/>
            <w:left w:val="none" w:sz="0" w:space="0" w:color="auto"/>
            <w:bottom w:val="none" w:sz="0" w:space="0" w:color="auto"/>
            <w:right w:val="none" w:sz="0" w:space="0" w:color="auto"/>
          </w:divBdr>
        </w:div>
        <w:div w:id="1012562803">
          <w:marLeft w:val="640"/>
          <w:marRight w:val="0"/>
          <w:marTop w:val="0"/>
          <w:marBottom w:val="0"/>
          <w:divBdr>
            <w:top w:val="none" w:sz="0" w:space="0" w:color="auto"/>
            <w:left w:val="none" w:sz="0" w:space="0" w:color="auto"/>
            <w:bottom w:val="none" w:sz="0" w:space="0" w:color="auto"/>
            <w:right w:val="none" w:sz="0" w:space="0" w:color="auto"/>
          </w:divBdr>
        </w:div>
        <w:div w:id="260602697">
          <w:marLeft w:val="640"/>
          <w:marRight w:val="0"/>
          <w:marTop w:val="0"/>
          <w:marBottom w:val="0"/>
          <w:divBdr>
            <w:top w:val="none" w:sz="0" w:space="0" w:color="auto"/>
            <w:left w:val="none" w:sz="0" w:space="0" w:color="auto"/>
            <w:bottom w:val="none" w:sz="0" w:space="0" w:color="auto"/>
            <w:right w:val="none" w:sz="0" w:space="0" w:color="auto"/>
          </w:divBdr>
        </w:div>
        <w:div w:id="1458597944">
          <w:marLeft w:val="640"/>
          <w:marRight w:val="0"/>
          <w:marTop w:val="0"/>
          <w:marBottom w:val="0"/>
          <w:divBdr>
            <w:top w:val="none" w:sz="0" w:space="0" w:color="auto"/>
            <w:left w:val="none" w:sz="0" w:space="0" w:color="auto"/>
            <w:bottom w:val="none" w:sz="0" w:space="0" w:color="auto"/>
            <w:right w:val="none" w:sz="0" w:space="0" w:color="auto"/>
          </w:divBdr>
        </w:div>
        <w:div w:id="1943800869">
          <w:marLeft w:val="640"/>
          <w:marRight w:val="0"/>
          <w:marTop w:val="0"/>
          <w:marBottom w:val="0"/>
          <w:divBdr>
            <w:top w:val="none" w:sz="0" w:space="0" w:color="auto"/>
            <w:left w:val="none" w:sz="0" w:space="0" w:color="auto"/>
            <w:bottom w:val="none" w:sz="0" w:space="0" w:color="auto"/>
            <w:right w:val="none" w:sz="0" w:space="0" w:color="auto"/>
          </w:divBdr>
        </w:div>
        <w:div w:id="1949462241">
          <w:marLeft w:val="640"/>
          <w:marRight w:val="0"/>
          <w:marTop w:val="0"/>
          <w:marBottom w:val="0"/>
          <w:divBdr>
            <w:top w:val="none" w:sz="0" w:space="0" w:color="auto"/>
            <w:left w:val="none" w:sz="0" w:space="0" w:color="auto"/>
            <w:bottom w:val="none" w:sz="0" w:space="0" w:color="auto"/>
            <w:right w:val="none" w:sz="0" w:space="0" w:color="auto"/>
          </w:divBdr>
        </w:div>
        <w:div w:id="168567954">
          <w:marLeft w:val="640"/>
          <w:marRight w:val="0"/>
          <w:marTop w:val="0"/>
          <w:marBottom w:val="0"/>
          <w:divBdr>
            <w:top w:val="none" w:sz="0" w:space="0" w:color="auto"/>
            <w:left w:val="none" w:sz="0" w:space="0" w:color="auto"/>
            <w:bottom w:val="none" w:sz="0" w:space="0" w:color="auto"/>
            <w:right w:val="none" w:sz="0" w:space="0" w:color="auto"/>
          </w:divBdr>
        </w:div>
        <w:div w:id="748893823">
          <w:marLeft w:val="640"/>
          <w:marRight w:val="0"/>
          <w:marTop w:val="0"/>
          <w:marBottom w:val="0"/>
          <w:divBdr>
            <w:top w:val="none" w:sz="0" w:space="0" w:color="auto"/>
            <w:left w:val="none" w:sz="0" w:space="0" w:color="auto"/>
            <w:bottom w:val="none" w:sz="0" w:space="0" w:color="auto"/>
            <w:right w:val="none" w:sz="0" w:space="0" w:color="auto"/>
          </w:divBdr>
        </w:div>
        <w:div w:id="160124559">
          <w:marLeft w:val="640"/>
          <w:marRight w:val="0"/>
          <w:marTop w:val="0"/>
          <w:marBottom w:val="0"/>
          <w:divBdr>
            <w:top w:val="none" w:sz="0" w:space="0" w:color="auto"/>
            <w:left w:val="none" w:sz="0" w:space="0" w:color="auto"/>
            <w:bottom w:val="none" w:sz="0" w:space="0" w:color="auto"/>
            <w:right w:val="none" w:sz="0" w:space="0" w:color="auto"/>
          </w:divBdr>
        </w:div>
        <w:div w:id="1617904934">
          <w:marLeft w:val="640"/>
          <w:marRight w:val="0"/>
          <w:marTop w:val="0"/>
          <w:marBottom w:val="0"/>
          <w:divBdr>
            <w:top w:val="none" w:sz="0" w:space="0" w:color="auto"/>
            <w:left w:val="none" w:sz="0" w:space="0" w:color="auto"/>
            <w:bottom w:val="none" w:sz="0" w:space="0" w:color="auto"/>
            <w:right w:val="none" w:sz="0" w:space="0" w:color="auto"/>
          </w:divBdr>
        </w:div>
        <w:div w:id="1801800450">
          <w:marLeft w:val="640"/>
          <w:marRight w:val="0"/>
          <w:marTop w:val="0"/>
          <w:marBottom w:val="0"/>
          <w:divBdr>
            <w:top w:val="none" w:sz="0" w:space="0" w:color="auto"/>
            <w:left w:val="none" w:sz="0" w:space="0" w:color="auto"/>
            <w:bottom w:val="none" w:sz="0" w:space="0" w:color="auto"/>
            <w:right w:val="none" w:sz="0" w:space="0" w:color="auto"/>
          </w:divBdr>
        </w:div>
        <w:div w:id="1038974896">
          <w:marLeft w:val="640"/>
          <w:marRight w:val="0"/>
          <w:marTop w:val="0"/>
          <w:marBottom w:val="0"/>
          <w:divBdr>
            <w:top w:val="none" w:sz="0" w:space="0" w:color="auto"/>
            <w:left w:val="none" w:sz="0" w:space="0" w:color="auto"/>
            <w:bottom w:val="none" w:sz="0" w:space="0" w:color="auto"/>
            <w:right w:val="none" w:sz="0" w:space="0" w:color="auto"/>
          </w:divBdr>
        </w:div>
        <w:div w:id="492069609">
          <w:marLeft w:val="640"/>
          <w:marRight w:val="0"/>
          <w:marTop w:val="0"/>
          <w:marBottom w:val="0"/>
          <w:divBdr>
            <w:top w:val="none" w:sz="0" w:space="0" w:color="auto"/>
            <w:left w:val="none" w:sz="0" w:space="0" w:color="auto"/>
            <w:bottom w:val="none" w:sz="0" w:space="0" w:color="auto"/>
            <w:right w:val="none" w:sz="0" w:space="0" w:color="auto"/>
          </w:divBdr>
        </w:div>
        <w:div w:id="2145539205">
          <w:marLeft w:val="640"/>
          <w:marRight w:val="0"/>
          <w:marTop w:val="0"/>
          <w:marBottom w:val="0"/>
          <w:divBdr>
            <w:top w:val="none" w:sz="0" w:space="0" w:color="auto"/>
            <w:left w:val="none" w:sz="0" w:space="0" w:color="auto"/>
            <w:bottom w:val="none" w:sz="0" w:space="0" w:color="auto"/>
            <w:right w:val="none" w:sz="0" w:space="0" w:color="auto"/>
          </w:divBdr>
        </w:div>
        <w:div w:id="577982592">
          <w:marLeft w:val="640"/>
          <w:marRight w:val="0"/>
          <w:marTop w:val="0"/>
          <w:marBottom w:val="0"/>
          <w:divBdr>
            <w:top w:val="none" w:sz="0" w:space="0" w:color="auto"/>
            <w:left w:val="none" w:sz="0" w:space="0" w:color="auto"/>
            <w:bottom w:val="none" w:sz="0" w:space="0" w:color="auto"/>
            <w:right w:val="none" w:sz="0" w:space="0" w:color="auto"/>
          </w:divBdr>
        </w:div>
        <w:div w:id="272595656">
          <w:marLeft w:val="640"/>
          <w:marRight w:val="0"/>
          <w:marTop w:val="0"/>
          <w:marBottom w:val="0"/>
          <w:divBdr>
            <w:top w:val="none" w:sz="0" w:space="0" w:color="auto"/>
            <w:left w:val="none" w:sz="0" w:space="0" w:color="auto"/>
            <w:bottom w:val="none" w:sz="0" w:space="0" w:color="auto"/>
            <w:right w:val="none" w:sz="0" w:space="0" w:color="auto"/>
          </w:divBdr>
        </w:div>
        <w:div w:id="588076187">
          <w:marLeft w:val="640"/>
          <w:marRight w:val="0"/>
          <w:marTop w:val="0"/>
          <w:marBottom w:val="0"/>
          <w:divBdr>
            <w:top w:val="none" w:sz="0" w:space="0" w:color="auto"/>
            <w:left w:val="none" w:sz="0" w:space="0" w:color="auto"/>
            <w:bottom w:val="none" w:sz="0" w:space="0" w:color="auto"/>
            <w:right w:val="none" w:sz="0" w:space="0" w:color="auto"/>
          </w:divBdr>
        </w:div>
        <w:div w:id="529537040">
          <w:marLeft w:val="640"/>
          <w:marRight w:val="0"/>
          <w:marTop w:val="0"/>
          <w:marBottom w:val="0"/>
          <w:divBdr>
            <w:top w:val="none" w:sz="0" w:space="0" w:color="auto"/>
            <w:left w:val="none" w:sz="0" w:space="0" w:color="auto"/>
            <w:bottom w:val="none" w:sz="0" w:space="0" w:color="auto"/>
            <w:right w:val="none" w:sz="0" w:space="0" w:color="auto"/>
          </w:divBdr>
        </w:div>
        <w:div w:id="810051408">
          <w:marLeft w:val="640"/>
          <w:marRight w:val="0"/>
          <w:marTop w:val="0"/>
          <w:marBottom w:val="0"/>
          <w:divBdr>
            <w:top w:val="none" w:sz="0" w:space="0" w:color="auto"/>
            <w:left w:val="none" w:sz="0" w:space="0" w:color="auto"/>
            <w:bottom w:val="none" w:sz="0" w:space="0" w:color="auto"/>
            <w:right w:val="none" w:sz="0" w:space="0" w:color="auto"/>
          </w:divBdr>
        </w:div>
        <w:div w:id="1704750844">
          <w:marLeft w:val="640"/>
          <w:marRight w:val="0"/>
          <w:marTop w:val="0"/>
          <w:marBottom w:val="0"/>
          <w:divBdr>
            <w:top w:val="none" w:sz="0" w:space="0" w:color="auto"/>
            <w:left w:val="none" w:sz="0" w:space="0" w:color="auto"/>
            <w:bottom w:val="none" w:sz="0" w:space="0" w:color="auto"/>
            <w:right w:val="none" w:sz="0" w:space="0" w:color="auto"/>
          </w:divBdr>
        </w:div>
        <w:div w:id="2040233272">
          <w:marLeft w:val="640"/>
          <w:marRight w:val="0"/>
          <w:marTop w:val="0"/>
          <w:marBottom w:val="0"/>
          <w:divBdr>
            <w:top w:val="none" w:sz="0" w:space="0" w:color="auto"/>
            <w:left w:val="none" w:sz="0" w:space="0" w:color="auto"/>
            <w:bottom w:val="none" w:sz="0" w:space="0" w:color="auto"/>
            <w:right w:val="none" w:sz="0" w:space="0" w:color="auto"/>
          </w:divBdr>
        </w:div>
        <w:div w:id="1569613845">
          <w:marLeft w:val="640"/>
          <w:marRight w:val="0"/>
          <w:marTop w:val="0"/>
          <w:marBottom w:val="0"/>
          <w:divBdr>
            <w:top w:val="none" w:sz="0" w:space="0" w:color="auto"/>
            <w:left w:val="none" w:sz="0" w:space="0" w:color="auto"/>
            <w:bottom w:val="none" w:sz="0" w:space="0" w:color="auto"/>
            <w:right w:val="none" w:sz="0" w:space="0" w:color="auto"/>
          </w:divBdr>
        </w:div>
        <w:div w:id="630400451">
          <w:marLeft w:val="640"/>
          <w:marRight w:val="0"/>
          <w:marTop w:val="0"/>
          <w:marBottom w:val="0"/>
          <w:divBdr>
            <w:top w:val="none" w:sz="0" w:space="0" w:color="auto"/>
            <w:left w:val="none" w:sz="0" w:space="0" w:color="auto"/>
            <w:bottom w:val="none" w:sz="0" w:space="0" w:color="auto"/>
            <w:right w:val="none" w:sz="0" w:space="0" w:color="auto"/>
          </w:divBdr>
        </w:div>
        <w:div w:id="1586106369">
          <w:marLeft w:val="640"/>
          <w:marRight w:val="0"/>
          <w:marTop w:val="0"/>
          <w:marBottom w:val="0"/>
          <w:divBdr>
            <w:top w:val="none" w:sz="0" w:space="0" w:color="auto"/>
            <w:left w:val="none" w:sz="0" w:space="0" w:color="auto"/>
            <w:bottom w:val="none" w:sz="0" w:space="0" w:color="auto"/>
            <w:right w:val="none" w:sz="0" w:space="0" w:color="auto"/>
          </w:divBdr>
        </w:div>
        <w:div w:id="996229776">
          <w:marLeft w:val="640"/>
          <w:marRight w:val="0"/>
          <w:marTop w:val="0"/>
          <w:marBottom w:val="0"/>
          <w:divBdr>
            <w:top w:val="none" w:sz="0" w:space="0" w:color="auto"/>
            <w:left w:val="none" w:sz="0" w:space="0" w:color="auto"/>
            <w:bottom w:val="none" w:sz="0" w:space="0" w:color="auto"/>
            <w:right w:val="none" w:sz="0" w:space="0" w:color="auto"/>
          </w:divBdr>
        </w:div>
        <w:div w:id="1332680889">
          <w:marLeft w:val="640"/>
          <w:marRight w:val="0"/>
          <w:marTop w:val="0"/>
          <w:marBottom w:val="0"/>
          <w:divBdr>
            <w:top w:val="none" w:sz="0" w:space="0" w:color="auto"/>
            <w:left w:val="none" w:sz="0" w:space="0" w:color="auto"/>
            <w:bottom w:val="none" w:sz="0" w:space="0" w:color="auto"/>
            <w:right w:val="none" w:sz="0" w:space="0" w:color="auto"/>
          </w:divBdr>
        </w:div>
        <w:div w:id="1339968056">
          <w:marLeft w:val="640"/>
          <w:marRight w:val="0"/>
          <w:marTop w:val="0"/>
          <w:marBottom w:val="0"/>
          <w:divBdr>
            <w:top w:val="none" w:sz="0" w:space="0" w:color="auto"/>
            <w:left w:val="none" w:sz="0" w:space="0" w:color="auto"/>
            <w:bottom w:val="none" w:sz="0" w:space="0" w:color="auto"/>
            <w:right w:val="none" w:sz="0" w:space="0" w:color="auto"/>
          </w:divBdr>
        </w:div>
        <w:div w:id="170032161">
          <w:marLeft w:val="640"/>
          <w:marRight w:val="0"/>
          <w:marTop w:val="0"/>
          <w:marBottom w:val="0"/>
          <w:divBdr>
            <w:top w:val="none" w:sz="0" w:space="0" w:color="auto"/>
            <w:left w:val="none" w:sz="0" w:space="0" w:color="auto"/>
            <w:bottom w:val="none" w:sz="0" w:space="0" w:color="auto"/>
            <w:right w:val="none" w:sz="0" w:space="0" w:color="auto"/>
          </w:divBdr>
        </w:div>
        <w:div w:id="1971546031">
          <w:marLeft w:val="640"/>
          <w:marRight w:val="0"/>
          <w:marTop w:val="0"/>
          <w:marBottom w:val="0"/>
          <w:divBdr>
            <w:top w:val="none" w:sz="0" w:space="0" w:color="auto"/>
            <w:left w:val="none" w:sz="0" w:space="0" w:color="auto"/>
            <w:bottom w:val="none" w:sz="0" w:space="0" w:color="auto"/>
            <w:right w:val="none" w:sz="0" w:space="0" w:color="auto"/>
          </w:divBdr>
        </w:div>
        <w:div w:id="2110931437">
          <w:marLeft w:val="640"/>
          <w:marRight w:val="0"/>
          <w:marTop w:val="0"/>
          <w:marBottom w:val="0"/>
          <w:divBdr>
            <w:top w:val="none" w:sz="0" w:space="0" w:color="auto"/>
            <w:left w:val="none" w:sz="0" w:space="0" w:color="auto"/>
            <w:bottom w:val="none" w:sz="0" w:space="0" w:color="auto"/>
            <w:right w:val="none" w:sz="0" w:space="0" w:color="auto"/>
          </w:divBdr>
        </w:div>
        <w:div w:id="1851526652">
          <w:marLeft w:val="640"/>
          <w:marRight w:val="0"/>
          <w:marTop w:val="0"/>
          <w:marBottom w:val="0"/>
          <w:divBdr>
            <w:top w:val="none" w:sz="0" w:space="0" w:color="auto"/>
            <w:left w:val="none" w:sz="0" w:space="0" w:color="auto"/>
            <w:bottom w:val="none" w:sz="0" w:space="0" w:color="auto"/>
            <w:right w:val="none" w:sz="0" w:space="0" w:color="auto"/>
          </w:divBdr>
        </w:div>
        <w:div w:id="1269434016">
          <w:marLeft w:val="640"/>
          <w:marRight w:val="0"/>
          <w:marTop w:val="0"/>
          <w:marBottom w:val="0"/>
          <w:divBdr>
            <w:top w:val="none" w:sz="0" w:space="0" w:color="auto"/>
            <w:left w:val="none" w:sz="0" w:space="0" w:color="auto"/>
            <w:bottom w:val="none" w:sz="0" w:space="0" w:color="auto"/>
            <w:right w:val="none" w:sz="0" w:space="0" w:color="auto"/>
          </w:divBdr>
        </w:div>
        <w:div w:id="648945274">
          <w:marLeft w:val="640"/>
          <w:marRight w:val="0"/>
          <w:marTop w:val="0"/>
          <w:marBottom w:val="0"/>
          <w:divBdr>
            <w:top w:val="none" w:sz="0" w:space="0" w:color="auto"/>
            <w:left w:val="none" w:sz="0" w:space="0" w:color="auto"/>
            <w:bottom w:val="none" w:sz="0" w:space="0" w:color="auto"/>
            <w:right w:val="none" w:sz="0" w:space="0" w:color="auto"/>
          </w:divBdr>
        </w:div>
        <w:div w:id="1296062508">
          <w:marLeft w:val="640"/>
          <w:marRight w:val="0"/>
          <w:marTop w:val="0"/>
          <w:marBottom w:val="0"/>
          <w:divBdr>
            <w:top w:val="none" w:sz="0" w:space="0" w:color="auto"/>
            <w:left w:val="none" w:sz="0" w:space="0" w:color="auto"/>
            <w:bottom w:val="none" w:sz="0" w:space="0" w:color="auto"/>
            <w:right w:val="none" w:sz="0" w:space="0" w:color="auto"/>
          </w:divBdr>
        </w:div>
        <w:div w:id="1620992794">
          <w:marLeft w:val="640"/>
          <w:marRight w:val="0"/>
          <w:marTop w:val="0"/>
          <w:marBottom w:val="0"/>
          <w:divBdr>
            <w:top w:val="none" w:sz="0" w:space="0" w:color="auto"/>
            <w:left w:val="none" w:sz="0" w:space="0" w:color="auto"/>
            <w:bottom w:val="none" w:sz="0" w:space="0" w:color="auto"/>
            <w:right w:val="none" w:sz="0" w:space="0" w:color="auto"/>
          </w:divBdr>
        </w:div>
        <w:div w:id="878397594">
          <w:marLeft w:val="640"/>
          <w:marRight w:val="0"/>
          <w:marTop w:val="0"/>
          <w:marBottom w:val="0"/>
          <w:divBdr>
            <w:top w:val="none" w:sz="0" w:space="0" w:color="auto"/>
            <w:left w:val="none" w:sz="0" w:space="0" w:color="auto"/>
            <w:bottom w:val="none" w:sz="0" w:space="0" w:color="auto"/>
            <w:right w:val="none" w:sz="0" w:space="0" w:color="auto"/>
          </w:divBdr>
        </w:div>
        <w:div w:id="313485032">
          <w:marLeft w:val="640"/>
          <w:marRight w:val="0"/>
          <w:marTop w:val="0"/>
          <w:marBottom w:val="0"/>
          <w:divBdr>
            <w:top w:val="none" w:sz="0" w:space="0" w:color="auto"/>
            <w:left w:val="none" w:sz="0" w:space="0" w:color="auto"/>
            <w:bottom w:val="none" w:sz="0" w:space="0" w:color="auto"/>
            <w:right w:val="none" w:sz="0" w:space="0" w:color="auto"/>
          </w:divBdr>
        </w:div>
        <w:div w:id="1564101732">
          <w:marLeft w:val="640"/>
          <w:marRight w:val="0"/>
          <w:marTop w:val="0"/>
          <w:marBottom w:val="0"/>
          <w:divBdr>
            <w:top w:val="none" w:sz="0" w:space="0" w:color="auto"/>
            <w:left w:val="none" w:sz="0" w:space="0" w:color="auto"/>
            <w:bottom w:val="none" w:sz="0" w:space="0" w:color="auto"/>
            <w:right w:val="none" w:sz="0" w:space="0" w:color="auto"/>
          </w:divBdr>
        </w:div>
        <w:div w:id="1045954977">
          <w:marLeft w:val="640"/>
          <w:marRight w:val="0"/>
          <w:marTop w:val="0"/>
          <w:marBottom w:val="0"/>
          <w:divBdr>
            <w:top w:val="none" w:sz="0" w:space="0" w:color="auto"/>
            <w:left w:val="none" w:sz="0" w:space="0" w:color="auto"/>
            <w:bottom w:val="none" w:sz="0" w:space="0" w:color="auto"/>
            <w:right w:val="none" w:sz="0" w:space="0" w:color="auto"/>
          </w:divBdr>
        </w:div>
        <w:div w:id="515576998">
          <w:marLeft w:val="640"/>
          <w:marRight w:val="0"/>
          <w:marTop w:val="0"/>
          <w:marBottom w:val="0"/>
          <w:divBdr>
            <w:top w:val="none" w:sz="0" w:space="0" w:color="auto"/>
            <w:left w:val="none" w:sz="0" w:space="0" w:color="auto"/>
            <w:bottom w:val="none" w:sz="0" w:space="0" w:color="auto"/>
            <w:right w:val="none" w:sz="0" w:space="0" w:color="auto"/>
          </w:divBdr>
        </w:div>
        <w:div w:id="1591350940">
          <w:marLeft w:val="640"/>
          <w:marRight w:val="0"/>
          <w:marTop w:val="0"/>
          <w:marBottom w:val="0"/>
          <w:divBdr>
            <w:top w:val="none" w:sz="0" w:space="0" w:color="auto"/>
            <w:left w:val="none" w:sz="0" w:space="0" w:color="auto"/>
            <w:bottom w:val="none" w:sz="0" w:space="0" w:color="auto"/>
            <w:right w:val="none" w:sz="0" w:space="0" w:color="auto"/>
          </w:divBdr>
        </w:div>
        <w:div w:id="1368288766">
          <w:marLeft w:val="640"/>
          <w:marRight w:val="0"/>
          <w:marTop w:val="0"/>
          <w:marBottom w:val="0"/>
          <w:divBdr>
            <w:top w:val="none" w:sz="0" w:space="0" w:color="auto"/>
            <w:left w:val="none" w:sz="0" w:space="0" w:color="auto"/>
            <w:bottom w:val="none" w:sz="0" w:space="0" w:color="auto"/>
            <w:right w:val="none" w:sz="0" w:space="0" w:color="auto"/>
          </w:divBdr>
        </w:div>
        <w:div w:id="1700397247">
          <w:marLeft w:val="640"/>
          <w:marRight w:val="0"/>
          <w:marTop w:val="0"/>
          <w:marBottom w:val="0"/>
          <w:divBdr>
            <w:top w:val="none" w:sz="0" w:space="0" w:color="auto"/>
            <w:left w:val="none" w:sz="0" w:space="0" w:color="auto"/>
            <w:bottom w:val="none" w:sz="0" w:space="0" w:color="auto"/>
            <w:right w:val="none" w:sz="0" w:space="0" w:color="auto"/>
          </w:divBdr>
        </w:div>
        <w:div w:id="1520894206">
          <w:marLeft w:val="640"/>
          <w:marRight w:val="0"/>
          <w:marTop w:val="0"/>
          <w:marBottom w:val="0"/>
          <w:divBdr>
            <w:top w:val="none" w:sz="0" w:space="0" w:color="auto"/>
            <w:left w:val="none" w:sz="0" w:space="0" w:color="auto"/>
            <w:bottom w:val="none" w:sz="0" w:space="0" w:color="auto"/>
            <w:right w:val="none" w:sz="0" w:space="0" w:color="auto"/>
          </w:divBdr>
        </w:div>
        <w:div w:id="654191410">
          <w:marLeft w:val="640"/>
          <w:marRight w:val="0"/>
          <w:marTop w:val="0"/>
          <w:marBottom w:val="0"/>
          <w:divBdr>
            <w:top w:val="none" w:sz="0" w:space="0" w:color="auto"/>
            <w:left w:val="none" w:sz="0" w:space="0" w:color="auto"/>
            <w:bottom w:val="none" w:sz="0" w:space="0" w:color="auto"/>
            <w:right w:val="none" w:sz="0" w:space="0" w:color="auto"/>
          </w:divBdr>
        </w:div>
        <w:div w:id="112679653">
          <w:marLeft w:val="640"/>
          <w:marRight w:val="0"/>
          <w:marTop w:val="0"/>
          <w:marBottom w:val="0"/>
          <w:divBdr>
            <w:top w:val="none" w:sz="0" w:space="0" w:color="auto"/>
            <w:left w:val="none" w:sz="0" w:space="0" w:color="auto"/>
            <w:bottom w:val="none" w:sz="0" w:space="0" w:color="auto"/>
            <w:right w:val="none" w:sz="0" w:space="0" w:color="auto"/>
          </w:divBdr>
        </w:div>
        <w:div w:id="965240413">
          <w:marLeft w:val="640"/>
          <w:marRight w:val="0"/>
          <w:marTop w:val="0"/>
          <w:marBottom w:val="0"/>
          <w:divBdr>
            <w:top w:val="none" w:sz="0" w:space="0" w:color="auto"/>
            <w:left w:val="none" w:sz="0" w:space="0" w:color="auto"/>
            <w:bottom w:val="none" w:sz="0" w:space="0" w:color="auto"/>
            <w:right w:val="none" w:sz="0" w:space="0" w:color="auto"/>
          </w:divBdr>
        </w:div>
        <w:div w:id="702753433">
          <w:marLeft w:val="640"/>
          <w:marRight w:val="0"/>
          <w:marTop w:val="0"/>
          <w:marBottom w:val="0"/>
          <w:divBdr>
            <w:top w:val="none" w:sz="0" w:space="0" w:color="auto"/>
            <w:left w:val="none" w:sz="0" w:space="0" w:color="auto"/>
            <w:bottom w:val="none" w:sz="0" w:space="0" w:color="auto"/>
            <w:right w:val="none" w:sz="0" w:space="0" w:color="auto"/>
          </w:divBdr>
        </w:div>
        <w:div w:id="1462075104">
          <w:marLeft w:val="640"/>
          <w:marRight w:val="0"/>
          <w:marTop w:val="0"/>
          <w:marBottom w:val="0"/>
          <w:divBdr>
            <w:top w:val="none" w:sz="0" w:space="0" w:color="auto"/>
            <w:left w:val="none" w:sz="0" w:space="0" w:color="auto"/>
            <w:bottom w:val="none" w:sz="0" w:space="0" w:color="auto"/>
            <w:right w:val="none" w:sz="0" w:space="0" w:color="auto"/>
          </w:divBdr>
        </w:div>
        <w:div w:id="937561040">
          <w:marLeft w:val="640"/>
          <w:marRight w:val="0"/>
          <w:marTop w:val="0"/>
          <w:marBottom w:val="0"/>
          <w:divBdr>
            <w:top w:val="none" w:sz="0" w:space="0" w:color="auto"/>
            <w:left w:val="none" w:sz="0" w:space="0" w:color="auto"/>
            <w:bottom w:val="none" w:sz="0" w:space="0" w:color="auto"/>
            <w:right w:val="none" w:sz="0" w:space="0" w:color="auto"/>
          </w:divBdr>
        </w:div>
        <w:div w:id="1195659528">
          <w:marLeft w:val="640"/>
          <w:marRight w:val="0"/>
          <w:marTop w:val="0"/>
          <w:marBottom w:val="0"/>
          <w:divBdr>
            <w:top w:val="none" w:sz="0" w:space="0" w:color="auto"/>
            <w:left w:val="none" w:sz="0" w:space="0" w:color="auto"/>
            <w:bottom w:val="none" w:sz="0" w:space="0" w:color="auto"/>
            <w:right w:val="none" w:sz="0" w:space="0" w:color="auto"/>
          </w:divBdr>
        </w:div>
        <w:div w:id="1343897428">
          <w:marLeft w:val="640"/>
          <w:marRight w:val="0"/>
          <w:marTop w:val="0"/>
          <w:marBottom w:val="0"/>
          <w:divBdr>
            <w:top w:val="none" w:sz="0" w:space="0" w:color="auto"/>
            <w:left w:val="none" w:sz="0" w:space="0" w:color="auto"/>
            <w:bottom w:val="none" w:sz="0" w:space="0" w:color="auto"/>
            <w:right w:val="none" w:sz="0" w:space="0" w:color="auto"/>
          </w:divBdr>
        </w:div>
        <w:div w:id="247810406">
          <w:marLeft w:val="640"/>
          <w:marRight w:val="0"/>
          <w:marTop w:val="0"/>
          <w:marBottom w:val="0"/>
          <w:divBdr>
            <w:top w:val="none" w:sz="0" w:space="0" w:color="auto"/>
            <w:left w:val="none" w:sz="0" w:space="0" w:color="auto"/>
            <w:bottom w:val="none" w:sz="0" w:space="0" w:color="auto"/>
            <w:right w:val="none" w:sz="0" w:space="0" w:color="auto"/>
          </w:divBdr>
        </w:div>
        <w:div w:id="1485390588">
          <w:marLeft w:val="640"/>
          <w:marRight w:val="0"/>
          <w:marTop w:val="0"/>
          <w:marBottom w:val="0"/>
          <w:divBdr>
            <w:top w:val="none" w:sz="0" w:space="0" w:color="auto"/>
            <w:left w:val="none" w:sz="0" w:space="0" w:color="auto"/>
            <w:bottom w:val="none" w:sz="0" w:space="0" w:color="auto"/>
            <w:right w:val="none" w:sz="0" w:space="0" w:color="auto"/>
          </w:divBdr>
        </w:div>
        <w:div w:id="1330670481">
          <w:marLeft w:val="640"/>
          <w:marRight w:val="0"/>
          <w:marTop w:val="0"/>
          <w:marBottom w:val="0"/>
          <w:divBdr>
            <w:top w:val="none" w:sz="0" w:space="0" w:color="auto"/>
            <w:left w:val="none" w:sz="0" w:space="0" w:color="auto"/>
            <w:bottom w:val="none" w:sz="0" w:space="0" w:color="auto"/>
            <w:right w:val="none" w:sz="0" w:space="0" w:color="auto"/>
          </w:divBdr>
        </w:div>
        <w:div w:id="1781222870">
          <w:marLeft w:val="640"/>
          <w:marRight w:val="0"/>
          <w:marTop w:val="0"/>
          <w:marBottom w:val="0"/>
          <w:divBdr>
            <w:top w:val="none" w:sz="0" w:space="0" w:color="auto"/>
            <w:left w:val="none" w:sz="0" w:space="0" w:color="auto"/>
            <w:bottom w:val="none" w:sz="0" w:space="0" w:color="auto"/>
            <w:right w:val="none" w:sz="0" w:space="0" w:color="auto"/>
          </w:divBdr>
        </w:div>
        <w:div w:id="281958538">
          <w:marLeft w:val="640"/>
          <w:marRight w:val="0"/>
          <w:marTop w:val="0"/>
          <w:marBottom w:val="0"/>
          <w:divBdr>
            <w:top w:val="none" w:sz="0" w:space="0" w:color="auto"/>
            <w:left w:val="none" w:sz="0" w:space="0" w:color="auto"/>
            <w:bottom w:val="none" w:sz="0" w:space="0" w:color="auto"/>
            <w:right w:val="none" w:sz="0" w:space="0" w:color="auto"/>
          </w:divBdr>
        </w:div>
        <w:div w:id="816216889">
          <w:marLeft w:val="640"/>
          <w:marRight w:val="0"/>
          <w:marTop w:val="0"/>
          <w:marBottom w:val="0"/>
          <w:divBdr>
            <w:top w:val="none" w:sz="0" w:space="0" w:color="auto"/>
            <w:left w:val="none" w:sz="0" w:space="0" w:color="auto"/>
            <w:bottom w:val="none" w:sz="0" w:space="0" w:color="auto"/>
            <w:right w:val="none" w:sz="0" w:space="0" w:color="auto"/>
          </w:divBdr>
        </w:div>
        <w:div w:id="479806511">
          <w:marLeft w:val="640"/>
          <w:marRight w:val="0"/>
          <w:marTop w:val="0"/>
          <w:marBottom w:val="0"/>
          <w:divBdr>
            <w:top w:val="none" w:sz="0" w:space="0" w:color="auto"/>
            <w:left w:val="none" w:sz="0" w:space="0" w:color="auto"/>
            <w:bottom w:val="none" w:sz="0" w:space="0" w:color="auto"/>
            <w:right w:val="none" w:sz="0" w:space="0" w:color="auto"/>
          </w:divBdr>
        </w:div>
        <w:div w:id="250117172">
          <w:marLeft w:val="640"/>
          <w:marRight w:val="0"/>
          <w:marTop w:val="0"/>
          <w:marBottom w:val="0"/>
          <w:divBdr>
            <w:top w:val="none" w:sz="0" w:space="0" w:color="auto"/>
            <w:left w:val="none" w:sz="0" w:space="0" w:color="auto"/>
            <w:bottom w:val="none" w:sz="0" w:space="0" w:color="auto"/>
            <w:right w:val="none" w:sz="0" w:space="0" w:color="auto"/>
          </w:divBdr>
        </w:div>
        <w:div w:id="2104380375">
          <w:marLeft w:val="640"/>
          <w:marRight w:val="0"/>
          <w:marTop w:val="0"/>
          <w:marBottom w:val="0"/>
          <w:divBdr>
            <w:top w:val="none" w:sz="0" w:space="0" w:color="auto"/>
            <w:left w:val="none" w:sz="0" w:space="0" w:color="auto"/>
            <w:bottom w:val="none" w:sz="0" w:space="0" w:color="auto"/>
            <w:right w:val="none" w:sz="0" w:space="0" w:color="auto"/>
          </w:divBdr>
        </w:div>
        <w:div w:id="562720441">
          <w:marLeft w:val="640"/>
          <w:marRight w:val="0"/>
          <w:marTop w:val="0"/>
          <w:marBottom w:val="0"/>
          <w:divBdr>
            <w:top w:val="none" w:sz="0" w:space="0" w:color="auto"/>
            <w:left w:val="none" w:sz="0" w:space="0" w:color="auto"/>
            <w:bottom w:val="none" w:sz="0" w:space="0" w:color="auto"/>
            <w:right w:val="none" w:sz="0" w:space="0" w:color="auto"/>
          </w:divBdr>
        </w:div>
        <w:div w:id="1945728198">
          <w:marLeft w:val="640"/>
          <w:marRight w:val="0"/>
          <w:marTop w:val="0"/>
          <w:marBottom w:val="0"/>
          <w:divBdr>
            <w:top w:val="none" w:sz="0" w:space="0" w:color="auto"/>
            <w:left w:val="none" w:sz="0" w:space="0" w:color="auto"/>
            <w:bottom w:val="none" w:sz="0" w:space="0" w:color="auto"/>
            <w:right w:val="none" w:sz="0" w:space="0" w:color="auto"/>
          </w:divBdr>
        </w:div>
        <w:div w:id="278149302">
          <w:marLeft w:val="640"/>
          <w:marRight w:val="0"/>
          <w:marTop w:val="0"/>
          <w:marBottom w:val="0"/>
          <w:divBdr>
            <w:top w:val="none" w:sz="0" w:space="0" w:color="auto"/>
            <w:left w:val="none" w:sz="0" w:space="0" w:color="auto"/>
            <w:bottom w:val="none" w:sz="0" w:space="0" w:color="auto"/>
            <w:right w:val="none" w:sz="0" w:space="0" w:color="auto"/>
          </w:divBdr>
        </w:div>
        <w:div w:id="979576762">
          <w:marLeft w:val="640"/>
          <w:marRight w:val="0"/>
          <w:marTop w:val="0"/>
          <w:marBottom w:val="0"/>
          <w:divBdr>
            <w:top w:val="none" w:sz="0" w:space="0" w:color="auto"/>
            <w:left w:val="none" w:sz="0" w:space="0" w:color="auto"/>
            <w:bottom w:val="none" w:sz="0" w:space="0" w:color="auto"/>
            <w:right w:val="none" w:sz="0" w:space="0" w:color="auto"/>
          </w:divBdr>
        </w:div>
        <w:div w:id="144015234">
          <w:marLeft w:val="640"/>
          <w:marRight w:val="0"/>
          <w:marTop w:val="0"/>
          <w:marBottom w:val="0"/>
          <w:divBdr>
            <w:top w:val="none" w:sz="0" w:space="0" w:color="auto"/>
            <w:left w:val="none" w:sz="0" w:space="0" w:color="auto"/>
            <w:bottom w:val="none" w:sz="0" w:space="0" w:color="auto"/>
            <w:right w:val="none" w:sz="0" w:space="0" w:color="auto"/>
          </w:divBdr>
        </w:div>
        <w:div w:id="1031226308">
          <w:marLeft w:val="640"/>
          <w:marRight w:val="0"/>
          <w:marTop w:val="0"/>
          <w:marBottom w:val="0"/>
          <w:divBdr>
            <w:top w:val="none" w:sz="0" w:space="0" w:color="auto"/>
            <w:left w:val="none" w:sz="0" w:space="0" w:color="auto"/>
            <w:bottom w:val="none" w:sz="0" w:space="0" w:color="auto"/>
            <w:right w:val="none" w:sz="0" w:space="0" w:color="auto"/>
          </w:divBdr>
        </w:div>
        <w:div w:id="1340891024">
          <w:marLeft w:val="640"/>
          <w:marRight w:val="0"/>
          <w:marTop w:val="0"/>
          <w:marBottom w:val="0"/>
          <w:divBdr>
            <w:top w:val="none" w:sz="0" w:space="0" w:color="auto"/>
            <w:left w:val="none" w:sz="0" w:space="0" w:color="auto"/>
            <w:bottom w:val="none" w:sz="0" w:space="0" w:color="auto"/>
            <w:right w:val="none" w:sz="0" w:space="0" w:color="auto"/>
          </w:divBdr>
        </w:div>
        <w:div w:id="577523231">
          <w:marLeft w:val="640"/>
          <w:marRight w:val="0"/>
          <w:marTop w:val="0"/>
          <w:marBottom w:val="0"/>
          <w:divBdr>
            <w:top w:val="none" w:sz="0" w:space="0" w:color="auto"/>
            <w:left w:val="none" w:sz="0" w:space="0" w:color="auto"/>
            <w:bottom w:val="none" w:sz="0" w:space="0" w:color="auto"/>
            <w:right w:val="none" w:sz="0" w:space="0" w:color="auto"/>
          </w:divBdr>
        </w:div>
        <w:div w:id="2014338775">
          <w:marLeft w:val="640"/>
          <w:marRight w:val="0"/>
          <w:marTop w:val="0"/>
          <w:marBottom w:val="0"/>
          <w:divBdr>
            <w:top w:val="none" w:sz="0" w:space="0" w:color="auto"/>
            <w:left w:val="none" w:sz="0" w:space="0" w:color="auto"/>
            <w:bottom w:val="none" w:sz="0" w:space="0" w:color="auto"/>
            <w:right w:val="none" w:sz="0" w:space="0" w:color="auto"/>
          </w:divBdr>
        </w:div>
        <w:div w:id="1817993907">
          <w:marLeft w:val="640"/>
          <w:marRight w:val="0"/>
          <w:marTop w:val="0"/>
          <w:marBottom w:val="0"/>
          <w:divBdr>
            <w:top w:val="none" w:sz="0" w:space="0" w:color="auto"/>
            <w:left w:val="none" w:sz="0" w:space="0" w:color="auto"/>
            <w:bottom w:val="none" w:sz="0" w:space="0" w:color="auto"/>
            <w:right w:val="none" w:sz="0" w:space="0" w:color="auto"/>
          </w:divBdr>
        </w:div>
        <w:div w:id="1631588233">
          <w:marLeft w:val="640"/>
          <w:marRight w:val="0"/>
          <w:marTop w:val="0"/>
          <w:marBottom w:val="0"/>
          <w:divBdr>
            <w:top w:val="none" w:sz="0" w:space="0" w:color="auto"/>
            <w:left w:val="none" w:sz="0" w:space="0" w:color="auto"/>
            <w:bottom w:val="none" w:sz="0" w:space="0" w:color="auto"/>
            <w:right w:val="none" w:sz="0" w:space="0" w:color="auto"/>
          </w:divBdr>
        </w:div>
        <w:div w:id="1562445084">
          <w:marLeft w:val="640"/>
          <w:marRight w:val="0"/>
          <w:marTop w:val="0"/>
          <w:marBottom w:val="0"/>
          <w:divBdr>
            <w:top w:val="none" w:sz="0" w:space="0" w:color="auto"/>
            <w:left w:val="none" w:sz="0" w:space="0" w:color="auto"/>
            <w:bottom w:val="none" w:sz="0" w:space="0" w:color="auto"/>
            <w:right w:val="none" w:sz="0" w:space="0" w:color="auto"/>
          </w:divBdr>
        </w:div>
        <w:div w:id="836383058">
          <w:marLeft w:val="640"/>
          <w:marRight w:val="0"/>
          <w:marTop w:val="0"/>
          <w:marBottom w:val="0"/>
          <w:divBdr>
            <w:top w:val="none" w:sz="0" w:space="0" w:color="auto"/>
            <w:left w:val="none" w:sz="0" w:space="0" w:color="auto"/>
            <w:bottom w:val="none" w:sz="0" w:space="0" w:color="auto"/>
            <w:right w:val="none" w:sz="0" w:space="0" w:color="auto"/>
          </w:divBdr>
        </w:div>
        <w:div w:id="479811992">
          <w:marLeft w:val="640"/>
          <w:marRight w:val="0"/>
          <w:marTop w:val="0"/>
          <w:marBottom w:val="0"/>
          <w:divBdr>
            <w:top w:val="none" w:sz="0" w:space="0" w:color="auto"/>
            <w:left w:val="none" w:sz="0" w:space="0" w:color="auto"/>
            <w:bottom w:val="none" w:sz="0" w:space="0" w:color="auto"/>
            <w:right w:val="none" w:sz="0" w:space="0" w:color="auto"/>
          </w:divBdr>
        </w:div>
        <w:div w:id="916793324">
          <w:marLeft w:val="640"/>
          <w:marRight w:val="0"/>
          <w:marTop w:val="0"/>
          <w:marBottom w:val="0"/>
          <w:divBdr>
            <w:top w:val="none" w:sz="0" w:space="0" w:color="auto"/>
            <w:left w:val="none" w:sz="0" w:space="0" w:color="auto"/>
            <w:bottom w:val="none" w:sz="0" w:space="0" w:color="auto"/>
            <w:right w:val="none" w:sz="0" w:space="0" w:color="auto"/>
          </w:divBdr>
        </w:div>
        <w:div w:id="660354202">
          <w:marLeft w:val="640"/>
          <w:marRight w:val="0"/>
          <w:marTop w:val="0"/>
          <w:marBottom w:val="0"/>
          <w:divBdr>
            <w:top w:val="none" w:sz="0" w:space="0" w:color="auto"/>
            <w:left w:val="none" w:sz="0" w:space="0" w:color="auto"/>
            <w:bottom w:val="none" w:sz="0" w:space="0" w:color="auto"/>
            <w:right w:val="none" w:sz="0" w:space="0" w:color="auto"/>
          </w:divBdr>
        </w:div>
        <w:div w:id="396242408">
          <w:marLeft w:val="640"/>
          <w:marRight w:val="0"/>
          <w:marTop w:val="0"/>
          <w:marBottom w:val="0"/>
          <w:divBdr>
            <w:top w:val="none" w:sz="0" w:space="0" w:color="auto"/>
            <w:left w:val="none" w:sz="0" w:space="0" w:color="auto"/>
            <w:bottom w:val="none" w:sz="0" w:space="0" w:color="auto"/>
            <w:right w:val="none" w:sz="0" w:space="0" w:color="auto"/>
          </w:divBdr>
        </w:div>
        <w:div w:id="306712736">
          <w:marLeft w:val="640"/>
          <w:marRight w:val="0"/>
          <w:marTop w:val="0"/>
          <w:marBottom w:val="0"/>
          <w:divBdr>
            <w:top w:val="none" w:sz="0" w:space="0" w:color="auto"/>
            <w:left w:val="none" w:sz="0" w:space="0" w:color="auto"/>
            <w:bottom w:val="none" w:sz="0" w:space="0" w:color="auto"/>
            <w:right w:val="none" w:sz="0" w:space="0" w:color="auto"/>
          </w:divBdr>
        </w:div>
        <w:div w:id="208877426">
          <w:marLeft w:val="640"/>
          <w:marRight w:val="0"/>
          <w:marTop w:val="0"/>
          <w:marBottom w:val="0"/>
          <w:divBdr>
            <w:top w:val="none" w:sz="0" w:space="0" w:color="auto"/>
            <w:left w:val="none" w:sz="0" w:space="0" w:color="auto"/>
            <w:bottom w:val="none" w:sz="0" w:space="0" w:color="auto"/>
            <w:right w:val="none" w:sz="0" w:space="0" w:color="auto"/>
          </w:divBdr>
        </w:div>
        <w:div w:id="1129661880">
          <w:marLeft w:val="640"/>
          <w:marRight w:val="0"/>
          <w:marTop w:val="0"/>
          <w:marBottom w:val="0"/>
          <w:divBdr>
            <w:top w:val="none" w:sz="0" w:space="0" w:color="auto"/>
            <w:left w:val="none" w:sz="0" w:space="0" w:color="auto"/>
            <w:bottom w:val="none" w:sz="0" w:space="0" w:color="auto"/>
            <w:right w:val="none" w:sz="0" w:space="0" w:color="auto"/>
          </w:divBdr>
        </w:div>
        <w:div w:id="628635896">
          <w:marLeft w:val="640"/>
          <w:marRight w:val="0"/>
          <w:marTop w:val="0"/>
          <w:marBottom w:val="0"/>
          <w:divBdr>
            <w:top w:val="none" w:sz="0" w:space="0" w:color="auto"/>
            <w:left w:val="none" w:sz="0" w:space="0" w:color="auto"/>
            <w:bottom w:val="none" w:sz="0" w:space="0" w:color="auto"/>
            <w:right w:val="none" w:sz="0" w:space="0" w:color="auto"/>
          </w:divBdr>
        </w:div>
        <w:div w:id="1744375643">
          <w:marLeft w:val="640"/>
          <w:marRight w:val="0"/>
          <w:marTop w:val="0"/>
          <w:marBottom w:val="0"/>
          <w:divBdr>
            <w:top w:val="none" w:sz="0" w:space="0" w:color="auto"/>
            <w:left w:val="none" w:sz="0" w:space="0" w:color="auto"/>
            <w:bottom w:val="none" w:sz="0" w:space="0" w:color="auto"/>
            <w:right w:val="none" w:sz="0" w:space="0" w:color="auto"/>
          </w:divBdr>
        </w:div>
        <w:div w:id="2124226146">
          <w:marLeft w:val="640"/>
          <w:marRight w:val="0"/>
          <w:marTop w:val="0"/>
          <w:marBottom w:val="0"/>
          <w:divBdr>
            <w:top w:val="none" w:sz="0" w:space="0" w:color="auto"/>
            <w:left w:val="none" w:sz="0" w:space="0" w:color="auto"/>
            <w:bottom w:val="none" w:sz="0" w:space="0" w:color="auto"/>
            <w:right w:val="none" w:sz="0" w:space="0" w:color="auto"/>
          </w:divBdr>
        </w:div>
        <w:div w:id="1838156373">
          <w:marLeft w:val="640"/>
          <w:marRight w:val="0"/>
          <w:marTop w:val="0"/>
          <w:marBottom w:val="0"/>
          <w:divBdr>
            <w:top w:val="none" w:sz="0" w:space="0" w:color="auto"/>
            <w:left w:val="none" w:sz="0" w:space="0" w:color="auto"/>
            <w:bottom w:val="none" w:sz="0" w:space="0" w:color="auto"/>
            <w:right w:val="none" w:sz="0" w:space="0" w:color="auto"/>
          </w:divBdr>
        </w:div>
        <w:div w:id="1228422569">
          <w:marLeft w:val="640"/>
          <w:marRight w:val="0"/>
          <w:marTop w:val="0"/>
          <w:marBottom w:val="0"/>
          <w:divBdr>
            <w:top w:val="none" w:sz="0" w:space="0" w:color="auto"/>
            <w:left w:val="none" w:sz="0" w:space="0" w:color="auto"/>
            <w:bottom w:val="none" w:sz="0" w:space="0" w:color="auto"/>
            <w:right w:val="none" w:sz="0" w:space="0" w:color="auto"/>
          </w:divBdr>
        </w:div>
        <w:div w:id="2068531871">
          <w:marLeft w:val="640"/>
          <w:marRight w:val="0"/>
          <w:marTop w:val="0"/>
          <w:marBottom w:val="0"/>
          <w:divBdr>
            <w:top w:val="none" w:sz="0" w:space="0" w:color="auto"/>
            <w:left w:val="none" w:sz="0" w:space="0" w:color="auto"/>
            <w:bottom w:val="none" w:sz="0" w:space="0" w:color="auto"/>
            <w:right w:val="none" w:sz="0" w:space="0" w:color="auto"/>
          </w:divBdr>
        </w:div>
        <w:div w:id="2090228351">
          <w:marLeft w:val="640"/>
          <w:marRight w:val="0"/>
          <w:marTop w:val="0"/>
          <w:marBottom w:val="0"/>
          <w:divBdr>
            <w:top w:val="none" w:sz="0" w:space="0" w:color="auto"/>
            <w:left w:val="none" w:sz="0" w:space="0" w:color="auto"/>
            <w:bottom w:val="none" w:sz="0" w:space="0" w:color="auto"/>
            <w:right w:val="none" w:sz="0" w:space="0" w:color="auto"/>
          </w:divBdr>
        </w:div>
        <w:div w:id="847216001">
          <w:marLeft w:val="640"/>
          <w:marRight w:val="0"/>
          <w:marTop w:val="0"/>
          <w:marBottom w:val="0"/>
          <w:divBdr>
            <w:top w:val="none" w:sz="0" w:space="0" w:color="auto"/>
            <w:left w:val="none" w:sz="0" w:space="0" w:color="auto"/>
            <w:bottom w:val="none" w:sz="0" w:space="0" w:color="auto"/>
            <w:right w:val="none" w:sz="0" w:space="0" w:color="auto"/>
          </w:divBdr>
        </w:div>
        <w:div w:id="1853180656">
          <w:marLeft w:val="640"/>
          <w:marRight w:val="0"/>
          <w:marTop w:val="0"/>
          <w:marBottom w:val="0"/>
          <w:divBdr>
            <w:top w:val="none" w:sz="0" w:space="0" w:color="auto"/>
            <w:left w:val="none" w:sz="0" w:space="0" w:color="auto"/>
            <w:bottom w:val="none" w:sz="0" w:space="0" w:color="auto"/>
            <w:right w:val="none" w:sz="0" w:space="0" w:color="auto"/>
          </w:divBdr>
        </w:div>
        <w:div w:id="1154375222">
          <w:marLeft w:val="640"/>
          <w:marRight w:val="0"/>
          <w:marTop w:val="0"/>
          <w:marBottom w:val="0"/>
          <w:divBdr>
            <w:top w:val="none" w:sz="0" w:space="0" w:color="auto"/>
            <w:left w:val="none" w:sz="0" w:space="0" w:color="auto"/>
            <w:bottom w:val="none" w:sz="0" w:space="0" w:color="auto"/>
            <w:right w:val="none" w:sz="0" w:space="0" w:color="auto"/>
          </w:divBdr>
        </w:div>
        <w:div w:id="449205366">
          <w:marLeft w:val="640"/>
          <w:marRight w:val="0"/>
          <w:marTop w:val="0"/>
          <w:marBottom w:val="0"/>
          <w:divBdr>
            <w:top w:val="none" w:sz="0" w:space="0" w:color="auto"/>
            <w:left w:val="none" w:sz="0" w:space="0" w:color="auto"/>
            <w:bottom w:val="none" w:sz="0" w:space="0" w:color="auto"/>
            <w:right w:val="none" w:sz="0" w:space="0" w:color="auto"/>
          </w:divBdr>
        </w:div>
        <w:div w:id="381057809">
          <w:marLeft w:val="640"/>
          <w:marRight w:val="0"/>
          <w:marTop w:val="0"/>
          <w:marBottom w:val="0"/>
          <w:divBdr>
            <w:top w:val="none" w:sz="0" w:space="0" w:color="auto"/>
            <w:left w:val="none" w:sz="0" w:space="0" w:color="auto"/>
            <w:bottom w:val="none" w:sz="0" w:space="0" w:color="auto"/>
            <w:right w:val="none" w:sz="0" w:space="0" w:color="auto"/>
          </w:divBdr>
        </w:div>
        <w:div w:id="453671929">
          <w:marLeft w:val="640"/>
          <w:marRight w:val="0"/>
          <w:marTop w:val="0"/>
          <w:marBottom w:val="0"/>
          <w:divBdr>
            <w:top w:val="none" w:sz="0" w:space="0" w:color="auto"/>
            <w:left w:val="none" w:sz="0" w:space="0" w:color="auto"/>
            <w:bottom w:val="none" w:sz="0" w:space="0" w:color="auto"/>
            <w:right w:val="none" w:sz="0" w:space="0" w:color="auto"/>
          </w:divBdr>
        </w:div>
        <w:div w:id="2050764870">
          <w:marLeft w:val="640"/>
          <w:marRight w:val="0"/>
          <w:marTop w:val="0"/>
          <w:marBottom w:val="0"/>
          <w:divBdr>
            <w:top w:val="none" w:sz="0" w:space="0" w:color="auto"/>
            <w:left w:val="none" w:sz="0" w:space="0" w:color="auto"/>
            <w:bottom w:val="none" w:sz="0" w:space="0" w:color="auto"/>
            <w:right w:val="none" w:sz="0" w:space="0" w:color="auto"/>
          </w:divBdr>
        </w:div>
        <w:div w:id="2138141112">
          <w:marLeft w:val="640"/>
          <w:marRight w:val="0"/>
          <w:marTop w:val="0"/>
          <w:marBottom w:val="0"/>
          <w:divBdr>
            <w:top w:val="none" w:sz="0" w:space="0" w:color="auto"/>
            <w:left w:val="none" w:sz="0" w:space="0" w:color="auto"/>
            <w:bottom w:val="none" w:sz="0" w:space="0" w:color="auto"/>
            <w:right w:val="none" w:sz="0" w:space="0" w:color="auto"/>
          </w:divBdr>
        </w:div>
        <w:div w:id="1238515706">
          <w:marLeft w:val="640"/>
          <w:marRight w:val="0"/>
          <w:marTop w:val="0"/>
          <w:marBottom w:val="0"/>
          <w:divBdr>
            <w:top w:val="none" w:sz="0" w:space="0" w:color="auto"/>
            <w:left w:val="none" w:sz="0" w:space="0" w:color="auto"/>
            <w:bottom w:val="none" w:sz="0" w:space="0" w:color="auto"/>
            <w:right w:val="none" w:sz="0" w:space="0" w:color="auto"/>
          </w:divBdr>
        </w:div>
        <w:div w:id="1298532823">
          <w:marLeft w:val="640"/>
          <w:marRight w:val="0"/>
          <w:marTop w:val="0"/>
          <w:marBottom w:val="0"/>
          <w:divBdr>
            <w:top w:val="none" w:sz="0" w:space="0" w:color="auto"/>
            <w:left w:val="none" w:sz="0" w:space="0" w:color="auto"/>
            <w:bottom w:val="none" w:sz="0" w:space="0" w:color="auto"/>
            <w:right w:val="none" w:sz="0" w:space="0" w:color="auto"/>
          </w:divBdr>
        </w:div>
        <w:div w:id="648635254">
          <w:marLeft w:val="640"/>
          <w:marRight w:val="0"/>
          <w:marTop w:val="0"/>
          <w:marBottom w:val="0"/>
          <w:divBdr>
            <w:top w:val="none" w:sz="0" w:space="0" w:color="auto"/>
            <w:left w:val="none" w:sz="0" w:space="0" w:color="auto"/>
            <w:bottom w:val="none" w:sz="0" w:space="0" w:color="auto"/>
            <w:right w:val="none" w:sz="0" w:space="0" w:color="auto"/>
          </w:divBdr>
        </w:div>
        <w:div w:id="881088869">
          <w:marLeft w:val="640"/>
          <w:marRight w:val="0"/>
          <w:marTop w:val="0"/>
          <w:marBottom w:val="0"/>
          <w:divBdr>
            <w:top w:val="none" w:sz="0" w:space="0" w:color="auto"/>
            <w:left w:val="none" w:sz="0" w:space="0" w:color="auto"/>
            <w:bottom w:val="none" w:sz="0" w:space="0" w:color="auto"/>
            <w:right w:val="none" w:sz="0" w:space="0" w:color="auto"/>
          </w:divBdr>
        </w:div>
        <w:div w:id="1235897827">
          <w:marLeft w:val="640"/>
          <w:marRight w:val="0"/>
          <w:marTop w:val="0"/>
          <w:marBottom w:val="0"/>
          <w:divBdr>
            <w:top w:val="none" w:sz="0" w:space="0" w:color="auto"/>
            <w:left w:val="none" w:sz="0" w:space="0" w:color="auto"/>
            <w:bottom w:val="none" w:sz="0" w:space="0" w:color="auto"/>
            <w:right w:val="none" w:sz="0" w:space="0" w:color="auto"/>
          </w:divBdr>
        </w:div>
        <w:div w:id="1903372396">
          <w:marLeft w:val="640"/>
          <w:marRight w:val="0"/>
          <w:marTop w:val="0"/>
          <w:marBottom w:val="0"/>
          <w:divBdr>
            <w:top w:val="none" w:sz="0" w:space="0" w:color="auto"/>
            <w:left w:val="none" w:sz="0" w:space="0" w:color="auto"/>
            <w:bottom w:val="none" w:sz="0" w:space="0" w:color="auto"/>
            <w:right w:val="none" w:sz="0" w:space="0" w:color="auto"/>
          </w:divBdr>
        </w:div>
        <w:div w:id="980965497">
          <w:marLeft w:val="640"/>
          <w:marRight w:val="0"/>
          <w:marTop w:val="0"/>
          <w:marBottom w:val="0"/>
          <w:divBdr>
            <w:top w:val="none" w:sz="0" w:space="0" w:color="auto"/>
            <w:left w:val="none" w:sz="0" w:space="0" w:color="auto"/>
            <w:bottom w:val="none" w:sz="0" w:space="0" w:color="auto"/>
            <w:right w:val="none" w:sz="0" w:space="0" w:color="auto"/>
          </w:divBdr>
        </w:div>
        <w:div w:id="597060355">
          <w:marLeft w:val="640"/>
          <w:marRight w:val="0"/>
          <w:marTop w:val="0"/>
          <w:marBottom w:val="0"/>
          <w:divBdr>
            <w:top w:val="none" w:sz="0" w:space="0" w:color="auto"/>
            <w:left w:val="none" w:sz="0" w:space="0" w:color="auto"/>
            <w:bottom w:val="none" w:sz="0" w:space="0" w:color="auto"/>
            <w:right w:val="none" w:sz="0" w:space="0" w:color="auto"/>
          </w:divBdr>
        </w:div>
        <w:div w:id="652876770">
          <w:marLeft w:val="640"/>
          <w:marRight w:val="0"/>
          <w:marTop w:val="0"/>
          <w:marBottom w:val="0"/>
          <w:divBdr>
            <w:top w:val="none" w:sz="0" w:space="0" w:color="auto"/>
            <w:left w:val="none" w:sz="0" w:space="0" w:color="auto"/>
            <w:bottom w:val="none" w:sz="0" w:space="0" w:color="auto"/>
            <w:right w:val="none" w:sz="0" w:space="0" w:color="auto"/>
          </w:divBdr>
        </w:div>
        <w:div w:id="1607276558">
          <w:marLeft w:val="640"/>
          <w:marRight w:val="0"/>
          <w:marTop w:val="0"/>
          <w:marBottom w:val="0"/>
          <w:divBdr>
            <w:top w:val="none" w:sz="0" w:space="0" w:color="auto"/>
            <w:left w:val="none" w:sz="0" w:space="0" w:color="auto"/>
            <w:bottom w:val="none" w:sz="0" w:space="0" w:color="auto"/>
            <w:right w:val="none" w:sz="0" w:space="0" w:color="auto"/>
          </w:divBdr>
        </w:div>
        <w:div w:id="95715052">
          <w:marLeft w:val="640"/>
          <w:marRight w:val="0"/>
          <w:marTop w:val="0"/>
          <w:marBottom w:val="0"/>
          <w:divBdr>
            <w:top w:val="none" w:sz="0" w:space="0" w:color="auto"/>
            <w:left w:val="none" w:sz="0" w:space="0" w:color="auto"/>
            <w:bottom w:val="none" w:sz="0" w:space="0" w:color="auto"/>
            <w:right w:val="none" w:sz="0" w:space="0" w:color="auto"/>
          </w:divBdr>
        </w:div>
        <w:div w:id="2017685851">
          <w:marLeft w:val="640"/>
          <w:marRight w:val="0"/>
          <w:marTop w:val="0"/>
          <w:marBottom w:val="0"/>
          <w:divBdr>
            <w:top w:val="none" w:sz="0" w:space="0" w:color="auto"/>
            <w:left w:val="none" w:sz="0" w:space="0" w:color="auto"/>
            <w:bottom w:val="none" w:sz="0" w:space="0" w:color="auto"/>
            <w:right w:val="none" w:sz="0" w:space="0" w:color="auto"/>
          </w:divBdr>
        </w:div>
        <w:div w:id="877741334">
          <w:marLeft w:val="640"/>
          <w:marRight w:val="0"/>
          <w:marTop w:val="0"/>
          <w:marBottom w:val="0"/>
          <w:divBdr>
            <w:top w:val="none" w:sz="0" w:space="0" w:color="auto"/>
            <w:left w:val="none" w:sz="0" w:space="0" w:color="auto"/>
            <w:bottom w:val="none" w:sz="0" w:space="0" w:color="auto"/>
            <w:right w:val="none" w:sz="0" w:space="0" w:color="auto"/>
          </w:divBdr>
        </w:div>
        <w:div w:id="2025206802">
          <w:marLeft w:val="640"/>
          <w:marRight w:val="0"/>
          <w:marTop w:val="0"/>
          <w:marBottom w:val="0"/>
          <w:divBdr>
            <w:top w:val="none" w:sz="0" w:space="0" w:color="auto"/>
            <w:left w:val="none" w:sz="0" w:space="0" w:color="auto"/>
            <w:bottom w:val="none" w:sz="0" w:space="0" w:color="auto"/>
            <w:right w:val="none" w:sz="0" w:space="0" w:color="auto"/>
          </w:divBdr>
        </w:div>
        <w:div w:id="571499943">
          <w:marLeft w:val="640"/>
          <w:marRight w:val="0"/>
          <w:marTop w:val="0"/>
          <w:marBottom w:val="0"/>
          <w:divBdr>
            <w:top w:val="none" w:sz="0" w:space="0" w:color="auto"/>
            <w:left w:val="none" w:sz="0" w:space="0" w:color="auto"/>
            <w:bottom w:val="none" w:sz="0" w:space="0" w:color="auto"/>
            <w:right w:val="none" w:sz="0" w:space="0" w:color="auto"/>
          </w:divBdr>
        </w:div>
        <w:div w:id="1210531011">
          <w:marLeft w:val="640"/>
          <w:marRight w:val="0"/>
          <w:marTop w:val="0"/>
          <w:marBottom w:val="0"/>
          <w:divBdr>
            <w:top w:val="none" w:sz="0" w:space="0" w:color="auto"/>
            <w:left w:val="none" w:sz="0" w:space="0" w:color="auto"/>
            <w:bottom w:val="none" w:sz="0" w:space="0" w:color="auto"/>
            <w:right w:val="none" w:sz="0" w:space="0" w:color="auto"/>
          </w:divBdr>
        </w:div>
        <w:div w:id="1845707464">
          <w:marLeft w:val="640"/>
          <w:marRight w:val="0"/>
          <w:marTop w:val="0"/>
          <w:marBottom w:val="0"/>
          <w:divBdr>
            <w:top w:val="none" w:sz="0" w:space="0" w:color="auto"/>
            <w:left w:val="none" w:sz="0" w:space="0" w:color="auto"/>
            <w:bottom w:val="none" w:sz="0" w:space="0" w:color="auto"/>
            <w:right w:val="none" w:sz="0" w:space="0" w:color="auto"/>
          </w:divBdr>
        </w:div>
        <w:div w:id="1921788212">
          <w:marLeft w:val="640"/>
          <w:marRight w:val="0"/>
          <w:marTop w:val="0"/>
          <w:marBottom w:val="0"/>
          <w:divBdr>
            <w:top w:val="none" w:sz="0" w:space="0" w:color="auto"/>
            <w:left w:val="none" w:sz="0" w:space="0" w:color="auto"/>
            <w:bottom w:val="none" w:sz="0" w:space="0" w:color="auto"/>
            <w:right w:val="none" w:sz="0" w:space="0" w:color="auto"/>
          </w:divBdr>
        </w:div>
        <w:div w:id="1119765051">
          <w:marLeft w:val="640"/>
          <w:marRight w:val="0"/>
          <w:marTop w:val="0"/>
          <w:marBottom w:val="0"/>
          <w:divBdr>
            <w:top w:val="none" w:sz="0" w:space="0" w:color="auto"/>
            <w:left w:val="none" w:sz="0" w:space="0" w:color="auto"/>
            <w:bottom w:val="none" w:sz="0" w:space="0" w:color="auto"/>
            <w:right w:val="none" w:sz="0" w:space="0" w:color="auto"/>
          </w:divBdr>
        </w:div>
        <w:div w:id="1519391222">
          <w:marLeft w:val="640"/>
          <w:marRight w:val="0"/>
          <w:marTop w:val="0"/>
          <w:marBottom w:val="0"/>
          <w:divBdr>
            <w:top w:val="none" w:sz="0" w:space="0" w:color="auto"/>
            <w:left w:val="none" w:sz="0" w:space="0" w:color="auto"/>
            <w:bottom w:val="none" w:sz="0" w:space="0" w:color="auto"/>
            <w:right w:val="none" w:sz="0" w:space="0" w:color="auto"/>
          </w:divBdr>
        </w:div>
        <w:div w:id="2114351178">
          <w:marLeft w:val="640"/>
          <w:marRight w:val="0"/>
          <w:marTop w:val="0"/>
          <w:marBottom w:val="0"/>
          <w:divBdr>
            <w:top w:val="none" w:sz="0" w:space="0" w:color="auto"/>
            <w:left w:val="none" w:sz="0" w:space="0" w:color="auto"/>
            <w:bottom w:val="none" w:sz="0" w:space="0" w:color="auto"/>
            <w:right w:val="none" w:sz="0" w:space="0" w:color="auto"/>
          </w:divBdr>
        </w:div>
        <w:div w:id="883063803">
          <w:marLeft w:val="640"/>
          <w:marRight w:val="0"/>
          <w:marTop w:val="0"/>
          <w:marBottom w:val="0"/>
          <w:divBdr>
            <w:top w:val="none" w:sz="0" w:space="0" w:color="auto"/>
            <w:left w:val="none" w:sz="0" w:space="0" w:color="auto"/>
            <w:bottom w:val="none" w:sz="0" w:space="0" w:color="auto"/>
            <w:right w:val="none" w:sz="0" w:space="0" w:color="auto"/>
          </w:divBdr>
        </w:div>
        <w:div w:id="1878202941">
          <w:marLeft w:val="640"/>
          <w:marRight w:val="0"/>
          <w:marTop w:val="0"/>
          <w:marBottom w:val="0"/>
          <w:divBdr>
            <w:top w:val="none" w:sz="0" w:space="0" w:color="auto"/>
            <w:left w:val="none" w:sz="0" w:space="0" w:color="auto"/>
            <w:bottom w:val="none" w:sz="0" w:space="0" w:color="auto"/>
            <w:right w:val="none" w:sz="0" w:space="0" w:color="auto"/>
          </w:divBdr>
        </w:div>
        <w:div w:id="1284463501">
          <w:marLeft w:val="640"/>
          <w:marRight w:val="0"/>
          <w:marTop w:val="0"/>
          <w:marBottom w:val="0"/>
          <w:divBdr>
            <w:top w:val="none" w:sz="0" w:space="0" w:color="auto"/>
            <w:left w:val="none" w:sz="0" w:space="0" w:color="auto"/>
            <w:bottom w:val="none" w:sz="0" w:space="0" w:color="auto"/>
            <w:right w:val="none" w:sz="0" w:space="0" w:color="auto"/>
          </w:divBdr>
        </w:div>
        <w:div w:id="2084596509">
          <w:marLeft w:val="640"/>
          <w:marRight w:val="0"/>
          <w:marTop w:val="0"/>
          <w:marBottom w:val="0"/>
          <w:divBdr>
            <w:top w:val="none" w:sz="0" w:space="0" w:color="auto"/>
            <w:left w:val="none" w:sz="0" w:space="0" w:color="auto"/>
            <w:bottom w:val="none" w:sz="0" w:space="0" w:color="auto"/>
            <w:right w:val="none" w:sz="0" w:space="0" w:color="auto"/>
          </w:divBdr>
        </w:div>
        <w:div w:id="1797404136">
          <w:marLeft w:val="640"/>
          <w:marRight w:val="0"/>
          <w:marTop w:val="0"/>
          <w:marBottom w:val="0"/>
          <w:divBdr>
            <w:top w:val="none" w:sz="0" w:space="0" w:color="auto"/>
            <w:left w:val="none" w:sz="0" w:space="0" w:color="auto"/>
            <w:bottom w:val="none" w:sz="0" w:space="0" w:color="auto"/>
            <w:right w:val="none" w:sz="0" w:space="0" w:color="auto"/>
          </w:divBdr>
        </w:div>
        <w:div w:id="1174765441">
          <w:marLeft w:val="640"/>
          <w:marRight w:val="0"/>
          <w:marTop w:val="0"/>
          <w:marBottom w:val="0"/>
          <w:divBdr>
            <w:top w:val="none" w:sz="0" w:space="0" w:color="auto"/>
            <w:left w:val="none" w:sz="0" w:space="0" w:color="auto"/>
            <w:bottom w:val="none" w:sz="0" w:space="0" w:color="auto"/>
            <w:right w:val="none" w:sz="0" w:space="0" w:color="auto"/>
          </w:divBdr>
        </w:div>
        <w:div w:id="1730224615">
          <w:marLeft w:val="640"/>
          <w:marRight w:val="0"/>
          <w:marTop w:val="0"/>
          <w:marBottom w:val="0"/>
          <w:divBdr>
            <w:top w:val="none" w:sz="0" w:space="0" w:color="auto"/>
            <w:left w:val="none" w:sz="0" w:space="0" w:color="auto"/>
            <w:bottom w:val="none" w:sz="0" w:space="0" w:color="auto"/>
            <w:right w:val="none" w:sz="0" w:space="0" w:color="auto"/>
          </w:divBdr>
        </w:div>
        <w:div w:id="1911575042">
          <w:marLeft w:val="640"/>
          <w:marRight w:val="0"/>
          <w:marTop w:val="0"/>
          <w:marBottom w:val="0"/>
          <w:divBdr>
            <w:top w:val="none" w:sz="0" w:space="0" w:color="auto"/>
            <w:left w:val="none" w:sz="0" w:space="0" w:color="auto"/>
            <w:bottom w:val="none" w:sz="0" w:space="0" w:color="auto"/>
            <w:right w:val="none" w:sz="0" w:space="0" w:color="auto"/>
          </w:divBdr>
        </w:div>
        <w:div w:id="138815646">
          <w:marLeft w:val="640"/>
          <w:marRight w:val="0"/>
          <w:marTop w:val="0"/>
          <w:marBottom w:val="0"/>
          <w:divBdr>
            <w:top w:val="none" w:sz="0" w:space="0" w:color="auto"/>
            <w:left w:val="none" w:sz="0" w:space="0" w:color="auto"/>
            <w:bottom w:val="none" w:sz="0" w:space="0" w:color="auto"/>
            <w:right w:val="none" w:sz="0" w:space="0" w:color="auto"/>
          </w:divBdr>
        </w:div>
        <w:div w:id="754936772">
          <w:marLeft w:val="640"/>
          <w:marRight w:val="0"/>
          <w:marTop w:val="0"/>
          <w:marBottom w:val="0"/>
          <w:divBdr>
            <w:top w:val="none" w:sz="0" w:space="0" w:color="auto"/>
            <w:left w:val="none" w:sz="0" w:space="0" w:color="auto"/>
            <w:bottom w:val="none" w:sz="0" w:space="0" w:color="auto"/>
            <w:right w:val="none" w:sz="0" w:space="0" w:color="auto"/>
          </w:divBdr>
        </w:div>
        <w:div w:id="500858190">
          <w:marLeft w:val="640"/>
          <w:marRight w:val="0"/>
          <w:marTop w:val="0"/>
          <w:marBottom w:val="0"/>
          <w:divBdr>
            <w:top w:val="none" w:sz="0" w:space="0" w:color="auto"/>
            <w:left w:val="none" w:sz="0" w:space="0" w:color="auto"/>
            <w:bottom w:val="none" w:sz="0" w:space="0" w:color="auto"/>
            <w:right w:val="none" w:sz="0" w:space="0" w:color="auto"/>
          </w:divBdr>
        </w:div>
        <w:div w:id="1871071790">
          <w:marLeft w:val="640"/>
          <w:marRight w:val="0"/>
          <w:marTop w:val="0"/>
          <w:marBottom w:val="0"/>
          <w:divBdr>
            <w:top w:val="none" w:sz="0" w:space="0" w:color="auto"/>
            <w:left w:val="none" w:sz="0" w:space="0" w:color="auto"/>
            <w:bottom w:val="none" w:sz="0" w:space="0" w:color="auto"/>
            <w:right w:val="none" w:sz="0" w:space="0" w:color="auto"/>
          </w:divBdr>
        </w:div>
        <w:div w:id="2074304647">
          <w:marLeft w:val="640"/>
          <w:marRight w:val="0"/>
          <w:marTop w:val="0"/>
          <w:marBottom w:val="0"/>
          <w:divBdr>
            <w:top w:val="none" w:sz="0" w:space="0" w:color="auto"/>
            <w:left w:val="none" w:sz="0" w:space="0" w:color="auto"/>
            <w:bottom w:val="none" w:sz="0" w:space="0" w:color="auto"/>
            <w:right w:val="none" w:sz="0" w:space="0" w:color="auto"/>
          </w:divBdr>
        </w:div>
        <w:div w:id="811293802">
          <w:marLeft w:val="640"/>
          <w:marRight w:val="0"/>
          <w:marTop w:val="0"/>
          <w:marBottom w:val="0"/>
          <w:divBdr>
            <w:top w:val="none" w:sz="0" w:space="0" w:color="auto"/>
            <w:left w:val="none" w:sz="0" w:space="0" w:color="auto"/>
            <w:bottom w:val="none" w:sz="0" w:space="0" w:color="auto"/>
            <w:right w:val="none" w:sz="0" w:space="0" w:color="auto"/>
          </w:divBdr>
        </w:div>
        <w:div w:id="675310165">
          <w:marLeft w:val="640"/>
          <w:marRight w:val="0"/>
          <w:marTop w:val="0"/>
          <w:marBottom w:val="0"/>
          <w:divBdr>
            <w:top w:val="none" w:sz="0" w:space="0" w:color="auto"/>
            <w:left w:val="none" w:sz="0" w:space="0" w:color="auto"/>
            <w:bottom w:val="none" w:sz="0" w:space="0" w:color="auto"/>
            <w:right w:val="none" w:sz="0" w:space="0" w:color="auto"/>
          </w:divBdr>
        </w:div>
        <w:div w:id="928853028">
          <w:marLeft w:val="640"/>
          <w:marRight w:val="0"/>
          <w:marTop w:val="0"/>
          <w:marBottom w:val="0"/>
          <w:divBdr>
            <w:top w:val="none" w:sz="0" w:space="0" w:color="auto"/>
            <w:left w:val="none" w:sz="0" w:space="0" w:color="auto"/>
            <w:bottom w:val="none" w:sz="0" w:space="0" w:color="auto"/>
            <w:right w:val="none" w:sz="0" w:space="0" w:color="auto"/>
          </w:divBdr>
        </w:div>
        <w:div w:id="1036348675">
          <w:marLeft w:val="640"/>
          <w:marRight w:val="0"/>
          <w:marTop w:val="0"/>
          <w:marBottom w:val="0"/>
          <w:divBdr>
            <w:top w:val="none" w:sz="0" w:space="0" w:color="auto"/>
            <w:left w:val="none" w:sz="0" w:space="0" w:color="auto"/>
            <w:bottom w:val="none" w:sz="0" w:space="0" w:color="auto"/>
            <w:right w:val="none" w:sz="0" w:space="0" w:color="auto"/>
          </w:divBdr>
        </w:div>
        <w:div w:id="2066220140">
          <w:marLeft w:val="640"/>
          <w:marRight w:val="0"/>
          <w:marTop w:val="0"/>
          <w:marBottom w:val="0"/>
          <w:divBdr>
            <w:top w:val="none" w:sz="0" w:space="0" w:color="auto"/>
            <w:left w:val="none" w:sz="0" w:space="0" w:color="auto"/>
            <w:bottom w:val="none" w:sz="0" w:space="0" w:color="auto"/>
            <w:right w:val="none" w:sz="0" w:space="0" w:color="auto"/>
          </w:divBdr>
        </w:div>
        <w:div w:id="1178931928">
          <w:marLeft w:val="640"/>
          <w:marRight w:val="0"/>
          <w:marTop w:val="0"/>
          <w:marBottom w:val="0"/>
          <w:divBdr>
            <w:top w:val="none" w:sz="0" w:space="0" w:color="auto"/>
            <w:left w:val="none" w:sz="0" w:space="0" w:color="auto"/>
            <w:bottom w:val="none" w:sz="0" w:space="0" w:color="auto"/>
            <w:right w:val="none" w:sz="0" w:space="0" w:color="auto"/>
          </w:divBdr>
        </w:div>
        <w:div w:id="281806975">
          <w:marLeft w:val="640"/>
          <w:marRight w:val="0"/>
          <w:marTop w:val="0"/>
          <w:marBottom w:val="0"/>
          <w:divBdr>
            <w:top w:val="none" w:sz="0" w:space="0" w:color="auto"/>
            <w:left w:val="none" w:sz="0" w:space="0" w:color="auto"/>
            <w:bottom w:val="none" w:sz="0" w:space="0" w:color="auto"/>
            <w:right w:val="none" w:sz="0" w:space="0" w:color="auto"/>
          </w:divBdr>
        </w:div>
        <w:div w:id="467288133">
          <w:marLeft w:val="640"/>
          <w:marRight w:val="0"/>
          <w:marTop w:val="0"/>
          <w:marBottom w:val="0"/>
          <w:divBdr>
            <w:top w:val="none" w:sz="0" w:space="0" w:color="auto"/>
            <w:left w:val="none" w:sz="0" w:space="0" w:color="auto"/>
            <w:bottom w:val="none" w:sz="0" w:space="0" w:color="auto"/>
            <w:right w:val="none" w:sz="0" w:space="0" w:color="auto"/>
          </w:divBdr>
        </w:div>
        <w:div w:id="1672490276">
          <w:marLeft w:val="640"/>
          <w:marRight w:val="0"/>
          <w:marTop w:val="0"/>
          <w:marBottom w:val="0"/>
          <w:divBdr>
            <w:top w:val="none" w:sz="0" w:space="0" w:color="auto"/>
            <w:left w:val="none" w:sz="0" w:space="0" w:color="auto"/>
            <w:bottom w:val="none" w:sz="0" w:space="0" w:color="auto"/>
            <w:right w:val="none" w:sz="0" w:space="0" w:color="auto"/>
          </w:divBdr>
        </w:div>
        <w:div w:id="784542308">
          <w:marLeft w:val="640"/>
          <w:marRight w:val="0"/>
          <w:marTop w:val="0"/>
          <w:marBottom w:val="0"/>
          <w:divBdr>
            <w:top w:val="none" w:sz="0" w:space="0" w:color="auto"/>
            <w:left w:val="none" w:sz="0" w:space="0" w:color="auto"/>
            <w:bottom w:val="none" w:sz="0" w:space="0" w:color="auto"/>
            <w:right w:val="none" w:sz="0" w:space="0" w:color="auto"/>
          </w:divBdr>
        </w:div>
        <w:div w:id="2004818680">
          <w:marLeft w:val="640"/>
          <w:marRight w:val="0"/>
          <w:marTop w:val="0"/>
          <w:marBottom w:val="0"/>
          <w:divBdr>
            <w:top w:val="none" w:sz="0" w:space="0" w:color="auto"/>
            <w:left w:val="none" w:sz="0" w:space="0" w:color="auto"/>
            <w:bottom w:val="none" w:sz="0" w:space="0" w:color="auto"/>
            <w:right w:val="none" w:sz="0" w:space="0" w:color="auto"/>
          </w:divBdr>
        </w:div>
        <w:div w:id="428937767">
          <w:marLeft w:val="640"/>
          <w:marRight w:val="0"/>
          <w:marTop w:val="0"/>
          <w:marBottom w:val="0"/>
          <w:divBdr>
            <w:top w:val="none" w:sz="0" w:space="0" w:color="auto"/>
            <w:left w:val="none" w:sz="0" w:space="0" w:color="auto"/>
            <w:bottom w:val="none" w:sz="0" w:space="0" w:color="auto"/>
            <w:right w:val="none" w:sz="0" w:space="0" w:color="auto"/>
          </w:divBdr>
        </w:div>
        <w:div w:id="845826438">
          <w:marLeft w:val="640"/>
          <w:marRight w:val="0"/>
          <w:marTop w:val="0"/>
          <w:marBottom w:val="0"/>
          <w:divBdr>
            <w:top w:val="none" w:sz="0" w:space="0" w:color="auto"/>
            <w:left w:val="none" w:sz="0" w:space="0" w:color="auto"/>
            <w:bottom w:val="none" w:sz="0" w:space="0" w:color="auto"/>
            <w:right w:val="none" w:sz="0" w:space="0" w:color="auto"/>
          </w:divBdr>
        </w:div>
        <w:div w:id="1309431744">
          <w:marLeft w:val="640"/>
          <w:marRight w:val="0"/>
          <w:marTop w:val="0"/>
          <w:marBottom w:val="0"/>
          <w:divBdr>
            <w:top w:val="none" w:sz="0" w:space="0" w:color="auto"/>
            <w:left w:val="none" w:sz="0" w:space="0" w:color="auto"/>
            <w:bottom w:val="none" w:sz="0" w:space="0" w:color="auto"/>
            <w:right w:val="none" w:sz="0" w:space="0" w:color="auto"/>
          </w:divBdr>
        </w:div>
        <w:div w:id="631131590">
          <w:marLeft w:val="640"/>
          <w:marRight w:val="0"/>
          <w:marTop w:val="0"/>
          <w:marBottom w:val="0"/>
          <w:divBdr>
            <w:top w:val="none" w:sz="0" w:space="0" w:color="auto"/>
            <w:left w:val="none" w:sz="0" w:space="0" w:color="auto"/>
            <w:bottom w:val="none" w:sz="0" w:space="0" w:color="auto"/>
            <w:right w:val="none" w:sz="0" w:space="0" w:color="auto"/>
          </w:divBdr>
        </w:div>
        <w:div w:id="444465546">
          <w:marLeft w:val="640"/>
          <w:marRight w:val="0"/>
          <w:marTop w:val="0"/>
          <w:marBottom w:val="0"/>
          <w:divBdr>
            <w:top w:val="none" w:sz="0" w:space="0" w:color="auto"/>
            <w:left w:val="none" w:sz="0" w:space="0" w:color="auto"/>
            <w:bottom w:val="none" w:sz="0" w:space="0" w:color="auto"/>
            <w:right w:val="none" w:sz="0" w:space="0" w:color="auto"/>
          </w:divBdr>
        </w:div>
        <w:div w:id="2038695997">
          <w:marLeft w:val="640"/>
          <w:marRight w:val="0"/>
          <w:marTop w:val="0"/>
          <w:marBottom w:val="0"/>
          <w:divBdr>
            <w:top w:val="none" w:sz="0" w:space="0" w:color="auto"/>
            <w:left w:val="none" w:sz="0" w:space="0" w:color="auto"/>
            <w:bottom w:val="none" w:sz="0" w:space="0" w:color="auto"/>
            <w:right w:val="none" w:sz="0" w:space="0" w:color="auto"/>
          </w:divBdr>
        </w:div>
        <w:div w:id="1311323788">
          <w:marLeft w:val="640"/>
          <w:marRight w:val="0"/>
          <w:marTop w:val="0"/>
          <w:marBottom w:val="0"/>
          <w:divBdr>
            <w:top w:val="none" w:sz="0" w:space="0" w:color="auto"/>
            <w:left w:val="none" w:sz="0" w:space="0" w:color="auto"/>
            <w:bottom w:val="none" w:sz="0" w:space="0" w:color="auto"/>
            <w:right w:val="none" w:sz="0" w:space="0" w:color="auto"/>
          </w:divBdr>
        </w:div>
        <w:div w:id="361129507">
          <w:marLeft w:val="640"/>
          <w:marRight w:val="0"/>
          <w:marTop w:val="0"/>
          <w:marBottom w:val="0"/>
          <w:divBdr>
            <w:top w:val="none" w:sz="0" w:space="0" w:color="auto"/>
            <w:left w:val="none" w:sz="0" w:space="0" w:color="auto"/>
            <w:bottom w:val="none" w:sz="0" w:space="0" w:color="auto"/>
            <w:right w:val="none" w:sz="0" w:space="0" w:color="auto"/>
          </w:divBdr>
        </w:div>
        <w:div w:id="1874224914">
          <w:marLeft w:val="640"/>
          <w:marRight w:val="0"/>
          <w:marTop w:val="0"/>
          <w:marBottom w:val="0"/>
          <w:divBdr>
            <w:top w:val="none" w:sz="0" w:space="0" w:color="auto"/>
            <w:left w:val="none" w:sz="0" w:space="0" w:color="auto"/>
            <w:bottom w:val="none" w:sz="0" w:space="0" w:color="auto"/>
            <w:right w:val="none" w:sz="0" w:space="0" w:color="auto"/>
          </w:divBdr>
        </w:div>
        <w:div w:id="2036811582">
          <w:marLeft w:val="640"/>
          <w:marRight w:val="0"/>
          <w:marTop w:val="0"/>
          <w:marBottom w:val="0"/>
          <w:divBdr>
            <w:top w:val="none" w:sz="0" w:space="0" w:color="auto"/>
            <w:left w:val="none" w:sz="0" w:space="0" w:color="auto"/>
            <w:bottom w:val="none" w:sz="0" w:space="0" w:color="auto"/>
            <w:right w:val="none" w:sz="0" w:space="0" w:color="auto"/>
          </w:divBdr>
        </w:div>
        <w:div w:id="671221128">
          <w:marLeft w:val="640"/>
          <w:marRight w:val="0"/>
          <w:marTop w:val="0"/>
          <w:marBottom w:val="0"/>
          <w:divBdr>
            <w:top w:val="none" w:sz="0" w:space="0" w:color="auto"/>
            <w:left w:val="none" w:sz="0" w:space="0" w:color="auto"/>
            <w:bottom w:val="none" w:sz="0" w:space="0" w:color="auto"/>
            <w:right w:val="none" w:sz="0" w:space="0" w:color="auto"/>
          </w:divBdr>
        </w:div>
        <w:div w:id="138226459">
          <w:marLeft w:val="640"/>
          <w:marRight w:val="0"/>
          <w:marTop w:val="0"/>
          <w:marBottom w:val="0"/>
          <w:divBdr>
            <w:top w:val="none" w:sz="0" w:space="0" w:color="auto"/>
            <w:left w:val="none" w:sz="0" w:space="0" w:color="auto"/>
            <w:bottom w:val="none" w:sz="0" w:space="0" w:color="auto"/>
            <w:right w:val="none" w:sz="0" w:space="0" w:color="auto"/>
          </w:divBdr>
        </w:div>
        <w:div w:id="1437630399">
          <w:marLeft w:val="640"/>
          <w:marRight w:val="0"/>
          <w:marTop w:val="0"/>
          <w:marBottom w:val="0"/>
          <w:divBdr>
            <w:top w:val="none" w:sz="0" w:space="0" w:color="auto"/>
            <w:left w:val="none" w:sz="0" w:space="0" w:color="auto"/>
            <w:bottom w:val="none" w:sz="0" w:space="0" w:color="auto"/>
            <w:right w:val="none" w:sz="0" w:space="0" w:color="auto"/>
          </w:divBdr>
        </w:div>
        <w:div w:id="1232619175">
          <w:marLeft w:val="640"/>
          <w:marRight w:val="0"/>
          <w:marTop w:val="0"/>
          <w:marBottom w:val="0"/>
          <w:divBdr>
            <w:top w:val="none" w:sz="0" w:space="0" w:color="auto"/>
            <w:left w:val="none" w:sz="0" w:space="0" w:color="auto"/>
            <w:bottom w:val="none" w:sz="0" w:space="0" w:color="auto"/>
            <w:right w:val="none" w:sz="0" w:space="0" w:color="auto"/>
          </w:divBdr>
        </w:div>
        <w:div w:id="1047148793">
          <w:marLeft w:val="640"/>
          <w:marRight w:val="0"/>
          <w:marTop w:val="0"/>
          <w:marBottom w:val="0"/>
          <w:divBdr>
            <w:top w:val="none" w:sz="0" w:space="0" w:color="auto"/>
            <w:left w:val="none" w:sz="0" w:space="0" w:color="auto"/>
            <w:bottom w:val="none" w:sz="0" w:space="0" w:color="auto"/>
            <w:right w:val="none" w:sz="0" w:space="0" w:color="auto"/>
          </w:divBdr>
        </w:div>
        <w:div w:id="1646471553">
          <w:marLeft w:val="640"/>
          <w:marRight w:val="0"/>
          <w:marTop w:val="0"/>
          <w:marBottom w:val="0"/>
          <w:divBdr>
            <w:top w:val="none" w:sz="0" w:space="0" w:color="auto"/>
            <w:left w:val="none" w:sz="0" w:space="0" w:color="auto"/>
            <w:bottom w:val="none" w:sz="0" w:space="0" w:color="auto"/>
            <w:right w:val="none" w:sz="0" w:space="0" w:color="auto"/>
          </w:divBdr>
        </w:div>
        <w:div w:id="1495536621">
          <w:marLeft w:val="640"/>
          <w:marRight w:val="0"/>
          <w:marTop w:val="0"/>
          <w:marBottom w:val="0"/>
          <w:divBdr>
            <w:top w:val="none" w:sz="0" w:space="0" w:color="auto"/>
            <w:left w:val="none" w:sz="0" w:space="0" w:color="auto"/>
            <w:bottom w:val="none" w:sz="0" w:space="0" w:color="auto"/>
            <w:right w:val="none" w:sz="0" w:space="0" w:color="auto"/>
          </w:divBdr>
        </w:div>
        <w:div w:id="1019234562">
          <w:marLeft w:val="640"/>
          <w:marRight w:val="0"/>
          <w:marTop w:val="0"/>
          <w:marBottom w:val="0"/>
          <w:divBdr>
            <w:top w:val="none" w:sz="0" w:space="0" w:color="auto"/>
            <w:left w:val="none" w:sz="0" w:space="0" w:color="auto"/>
            <w:bottom w:val="none" w:sz="0" w:space="0" w:color="auto"/>
            <w:right w:val="none" w:sz="0" w:space="0" w:color="auto"/>
          </w:divBdr>
        </w:div>
        <w:div w:id="73937641">
          <w:marLeft w:val="640"/>
          <w:marRight w:val="0"/>
          <w:marTop w:val="0"/>
          <w:marBottom w:val="0"/>
          <w:divBdr>
            <w:top w:val="none" w:sz="0" w:space="0" w:color="auto"/>
            <w:left w:val="none" w:sz="0" w:space="0" w:color="auto"/>
            <w:bottom w:val="none" w:sz="0" w:space="0" w:color="auto"/>
            <w:right w:val="none" w:sz="0" w:space="0" w:color="auto"/>
          </w:divBdr>
        </w:div>
        <w:div w:id="1413353660">
          <w:marLeft w:val="640"/>
          <w:marRight w:val="0"/>
          <w:marTop w:val="0"/>
          <w:marBottom w:val="0"/>
          <w:divBdr>
            <w:top w:val="none" w:sz="0" w:space="0" w:color="auto"/>
            <w:left w:val="none" w:sz="0" w:space="0" w:color="auto"/>
            <w:bottom w:val="none" w:sz="0" w:space="0" w:color="auto"/>
            <w:right w:val="none" w:sz="0" w:space="0" w:color="auto"/>
          </w:divBdr>
        </w:div>
        <w:div w:id="252055625">
          <w:marLeft w:val="640"/>
          <w:marRight w:val="0"/>
          <w:marTop w:val="0"/>
          <w:marBottom w:val="0"/>
          <w:divBdr>
            <w:top w:val="none" w:sz="0" w:space="0" w:color="auto"/>
            <w:left w:val="none" w:sz="0" w:space="0" w:color="auto"/>
            <w:bottom w:val="none" w:sz="0" w:space="0" w:color="auto"/>
            <w:right w:val="none" w:sz="0" w:space="0" w:color="auto"/>
          </w:divBdr>
        </w:div>
        <w:div w:id="1675113674">
          <w:marLeft w:val="640"/>
          <w:marRight w:val="0"/>
          <w:marTop w:val="0"/>
          <w:marBottom w:val="0"/>
          <w:divBdr>
            <w:top w:val="none" w:sz="0" w:space="0" w:color="auto"/>
            <w:left w:val="none" w:sz="0" w:space="0" w:color="auto"/>
            <w:bottom w:val="none" w:sz="0" w:space="0" w:color="auto"/>
            <w:right w:val="none" w:sz="0" w:space="0" w:color="auto"/>
          </w:divBdr>
        </w:div>
        <w:div w:id="478305587">
          <w:marLeft w:val="640"/>
          <w:marRight w:val="0"/>
          <w:marTop w:val="0"/>
          <w:marBottom w:val="0"/>
          <w:divBdr>
            <w:top w:val="none" w:sz="0" w:space="0" w:color="auto"/>
            <w:left w:val="none" w:sz="0" w:space="0" w:color="auto"/>
            <w:bottom w:val="none" w:sz="0" w:space="0" w:color="auto"/>
            <w:right w:val="none" w:sz="0" w:space="0" w:color="auto"/>
          </w:divBdr>
        </w:div>
        <w:div w:id="1933201077">
          <w:marLeft w:val="640"/>
          <w:marRight w:val="0"/>
          <w:marTop w:val="0"/>
          <w:marBottom w:val="0"/>
          <w:divBdr>
            <w:top w:val="none" w:sz="0" w:space="0" w:color="auto"/>
            <w:left w:val="none" w:sz="0" w:space="0" w:color="auto"/>
            <w:bottom w:val="none" w:sz="0" w:space="0" w:color="auto"/>
            <w:right w:val="none" w:sz="0" w:space="0" w:color="auto"/>
          </w:divBdr>
        </w:div>
        <w:div w:id="876625126">
          <w:marLeft w:val="640"/>
          <w:marRight w:val="0"/>
          <w:marTop w:val="0"/>
          <w:marBottom w:val="0"/>
          <w:divBdr>
            <w:top w:val="none" w:sz="0" w:space="0" w:color="auto"/>
            <w:left w:val="none" w:sz="0" w:space="0" w:color="auto"/>
            <w:bottom w:val="none" w:sz="0" w:space="0" w:color="auto"/>
            <w:right w:val="none" w:sz="0" w:space="0" w:color="auto"/>
          </w:divBdr>
        </w:div>
        <w:div w:id="527567458">
          <w:marLeft w:val="640"/>
          <w:marRight w:val="0"/>
          <w:marTop w:val="0"/>
          <w:marBottom w:val="0"/>
          <w:divBdr>
            <w:top w:val="none" w:sz="0" w:space="0" w:color="auto"/>
            <w:left w:val="none" w:sz="0" w:space="0" w:color="auto"/>
            <w:bottom w:val="none" w:sz="0" w:space="0" w:color="auto"/>
            <w:right w:val="none" w:sz="0" w:space="0" w:color="auto"/>
          </w:divBdr>
        </w:div>
        <w:div w:id="1595819907">
          <w:marLeft w:val="640"/>
          <w:marRight w:val="0"/>
          <w:marTop w:val="0"/>
          <w:marBottom w:val="0"/>
          <w:divBdr>
            <w:top w:val="none" w:sz="0" w:space="0" w:color="auto"/>
            <w:left w:val="none" w:sz="0" w:space="0" w:color="auto"/>
            <w:bottom w:val="none" w:sz="0" w:space="0" w:color="auto"/>
            <w:right w:val="none" w:sz="0" w:space="0" w:color="auto"/>
          </w:divBdr>
        </w:div>
        <w:div w:id="777798232">
          <w:marLeft w:val="640"/>
          <w:marRight w:val="0"/>
          <w:marTop w:val="0"/>
          <w:marBottom w:val="0"/>
          <w:divBdr>
            <w:top w:val="none" w:sz="0" w:space="0" w:color="auto"/>
            <w:left w:val="none" w:sz="0" w:space="0" w:color="auto"/>
            <w:bottom w:val="none" w:sz="0" w:space="0" w:color="auto"/>
            <w:right w:val="none" w:sz="0" w:space="0" w:color="auto"/>
          </w:divBdr>
        </w:div>
        <w:div w:id="1718896139">
          <w:marLeft w:val="640"/>
          <w:marRight w:val="0"/>
          <w:marTop w:val="0"/>
          <w:marBottom w:val="0"/>
          <w:divBdr>
            <w:top w:val="none" w:sz="0" w:space="0" w:color="auto"/>
            <w:left w:val="none" w:sz="0" w:space="0" w:color="auto"/>
            <w:bottom w:val="none" w:sz="0" w:space="0" w:color="auto"/>
            <w:right w:val="none" w:sz="0" w:space="0" w:color="auto"/>
          </w:divBdr>
        </w:div>
        <w:div w:id="646474814">
          <w:marLeft w:val="640"/>
          <w:marRight w:val="0"/>
          <w:marTop w:val="0"/>
          <w:marBottom w:val="0"/>
          <w:divBdr>
            <w:top w:val="none" w:sz="0" w:space="0" w:color="auto"/>
            <w:left w:val="none" w:sz="0" w:space="0" w:color="auto"/>
            <w:bottom w:val="none" w:sz="0" w:space="0" w:color="auto"/>
            <w:right w:val="none" w:sz="0" w:space="0" w:color="auto"/>
          </w:divBdr>
        </w:div>
        <w:div w:id="1254361094">
          <w:marLeft w:val="640"/>
          <w:marRight w:val="0"/>
          <w:marTop w:val="0"/>
          <w:marBottom w:val="0"/>
          <w:divBdr>
            <w:top w:val="none" w:sz="0" w:space="0" w:color="auto"/>
            <w:left w:val="none" w:sz="0" w:space="0" w:color="auto"/>
            <w:bottom w:val="none" w:sz="0" w:space="0" w:color="auto"/>
            <w:right w:val="none" w:sz="0" w:space="0" w:color="auto"/>
          </w:divBdr>
        </w:div>
        <w:div w:id="1064914283">
          <w:marLeft w:val="640"/>
          <w:marRight w:val="0"/>
          <w:marTop w:val="0"/>
          <w:marBottom w:val="0"/>
          <w:divBdr>
            <w:top w:val="none" w:sz="0" w:space="0" w:color="auto"/>
            <w:left w:val="none" w:sz="0" w:space="0" w:color="auto"/>
            <w:bottom w:val="none" w:sz="0" w:space="0" w:color="auto"/>
            <w:right w:val="none" w:sz="0" w:space="0" w:color="auto"/>
          </w:divBdr>
        </w:div>
        <w:div w:id="2054619655">
          <w:marLeft w:val="640"/>
          <w:marRight w:val="0"/>
          <w:marTop w:val="0"/>
          <w:marBottom w:val="0"/>
          <w:divBdr>
            <w:top w:val="none" w:sz="0" w:space="0" w:color="auto"/>
            <w:left w:val="none" w:sz="0" w:space="0" w:color="auto"/>
            <w:bottom w:val="none" w:sz="0" w:space="0" w:color="auto"/>
            <w:right w:val="none" w:sz="0" w:space="0" w:color="auto"/>
          </w:divBdr>
        </w:div>
        <w:div w:id="1226643083">
          <w:marLeft w:val="640"/>
          <w:marRight w:val="0"/>
          <w:marTop w:val="0"/>
          <w:marBottom w:val="0"/>
          <w:divBdr>
            <w:top w:val="none" w:sz="0" w:space="0" w:color="auto"/>
            <w:left w:val="none" w:sz="0" w:space="0" w:color="auto"/>
            <w:bottom w:val="none" w:sz="0" w:space="0" w:color="auto"/>
            <w:right w:val="none" w:sz="0" w:space="0" w:color="auto"/>
          </w:divBdr>
        </w:div>
        <w:div w:id="1382897481">
          <w:marLeft w:val="640"/>
          <w:marRight w:val="0"/>
          <w:marTop w:val="0"/>
          <w:marBottom w:val="0"/>
          <w:divBdr>
            <w:top w:val="none" w:sz="0" w:space="0" w:color="auto"/>
            <w:left w:val="none" w:sz="0" w:space="0" w:color="auto"/>
            <w:bottom w:val="none" w:sz="0" w:space="0" w:color="auto"/>
            <w:right w:val="none" w:sz="0" w:space="0" w:color="auto"/>
          </w:divBdr>
        </w:div>
        <w:div w:id="1981690590">
          <w:marLeft w:val="640"/>
          <w:marRight w:val="0"/>
          <w:marTop w:val="0"/>
          <w:marBottom w:val="0"/>
          <w:divBdr>
            <w:top w:val="none" w:sz="0" w:space="0" w:color="auto"/>
            <w:left w:val="none" w:sz="0" w:space="0" w:color="auto"/>
            <w:bottom w:val="none" w:sz="0" w:space="0" w:color="auto"/>
            <w:right w:val="none" w:sz="0" w:space="0" w:color="auto"/>
          </w:divBdr>
        </w:div>
        <w:div w:id="499466254">
          <w:marLeft w:val="640"/>
          <w:marRight w:val="0"/>
          <w:marTop w:val="0"/>
          <w:marBottom w:val="0"/>
          <w:divBdr>
            <w:top w:val="none" w:sz="0" w:space="0" w:color="auto"/>
            <w:left w:val="none" w:sz="0" w:space="0" w:color="auto"/>
            <w:bottom w:val="none" w:sz="0" w:space="0" w:color="auto"/>
            <w:right w:val="none" w:sz="0" w:space="0" w:color="auto"/>
          </w:divBdr>
        </w:div>
        <w:div w:id="1192114600">
          <w:marLeft w:val="640"/>
          <w:marRight w:val="0"/>
          <w:marTop w:val="0"/>
          <w:marBottom w:val="0"/>
          <w:divBdr>
            <w:top w:val="none" w:sz="0" w:space="0" w:color="auto"/>
            <w:left w:val="none" w:sz="0" w:space="0" w:color="auto"/>
            <w:bottom w:val="none" w:sz="0" w:space="0" w:color="auto"/>
            <w:right w:val="none" w:sz="0" w:space="0" w:color="auto"/>
          </w:divBdr>
        </w:div>
        <w:div w:id="926158092">
          <w:marLeft w:val="640"/>
          <w:marRight w:val="0"/>
          <w:marTop w:val="0"/>
          <w:marBottom w:val="0"/>
          <w:divBdr>
            <w:top w:val="none" w:sz="0" w:space="0" w:color="auto"/>
            <w:left w:val="none" w:sz="0" w:space="0" w:color="auto"/>
            <w:bottom w:val="none" w:sz="0" w:space="0" w:color="auto"/>
            <w:right w:val="none" w:sz="0" w:space="0" w:color="auto"/>
          </w:divBdr>
        </w:div>
        <w:div w:id="2074306950">
          <w:marLeft w:val="640"/>
          <w:marRight w:val="0"/>
          <w:marTop w:val="0"/>
          <w:marBottom w:val="0"/>
          <w:divBdr>
            <w:top w:val="none" w:sz="0" w:space="0" w:color="auto"/>
            <w:left w:val="none" w:sz="0" w:space="0" w:color="auto"/>
            <w:bottom w:val="none" w:sz="0" w:space="0" w:color="auto"/>
            <w:right w:val="none" w:sz="0" w:space="0" w:color="auto"/>
          </w:divBdr>
        </w:div>
        <w:div w:id="1942105645">
          <w:marLeft w:val="640"/>
          <w:marRight w:val="0"/>
          <w:marTop w:val="0"/>
          <w:marBottom w:val="0"/>
          <w:divBdr>
            <w:top w:val="none" w:sz="0" w:space="0" w:color="auto"/>
            <w:left w:val="none" w:sz="0" w:space="0" w:color="auto"/>
            <w:bottom w:val="none" w:sz="0" w:space="0" w:color="auto"/>
            <w:right w:val="none" w:sz="0" w:space="0" w:color="auto"/>
          </w:divBdr>
        </w:div>
        <w:div w:id="91970845">
          <w:marLeft w:val="640"/>
          <w:marRight w:val="0"/>
          <w:marTop w:val="0"/>
          <w:marBottom w:val="0"/>
          <w:divBdr>
            <w:top w:val="none" w:sz="0" w:space="0" w:color="auto"/>
            <w:left w:val="none" w:sz="0" w:space="0" w:color="auto"/>
            <w:bottom w:val="none" w:sz="0" w:space="0" w:color="auto"/>
            <w:right w:val="none" w:sz="0" w:space="0" w:color="auto"/>
          </w:divBdr>
        </w:div>
        <w:div w:id="876237034">
          <w:marLeft w:val="640"/>
          <w:marRight w:val="0"/>
          <w:marTop w:val="0"/>
          <w:marBottom w:val="0"/>
          <w:divBdr>
            <w:top w:val="none" w:sz="0" w:space="0" w:color="auto"/>
            <w:left w:val="none" w:sz="0" w:space="0" w:color="auto"/>
            <w:bottom w:val="none" w:sz="0" w:space="0" w:color="auto"/>
            <w:right w:val="none" w:sz="0" w:space="0" w:color="auto"/>
          </w:divBdr>
        </w:div>
        <w:div w:id="170263113">
          <w:marLeft w:val="640"/>
          <w:marRight w:val="0"/>
          <w:marTop w:val="0"/>
          <w:marBottom w:val="0"/>
          <w:divBdr>
            <w:top w:val="none" w:sz="0" w:space="0" w:color="auto"/>
            <w:left w:val="none" w:sz="0" w:space="0" w:color="auto"/>
            <w:bottom w:val="none" w:sz="0" w:space="0" w:color="auto"/>
            <w:right w:val="none" w:sz="0" w:space="0" w:color="auto"/>
          </w:divBdr>
        </w:div>
        <w:div w:id="1131363101">
          <w:marLeft w:val="640"/>
          <w:marRight w:val="0"/>
          <w:marTop w:val="0"/>
          <w:marBottom w:val="0"/>
          <w:divBdr>
            <w:top w:val="none" w:sz="0" w:space="0" w:color="auto"/>
            <w:left w:val="none" w:sz="0" w:space="0" w:color="auto"/>
            <w:bottom w:val="none" w:sz="0" w:space="0" w:color="auto"/>
            <w:right w:val="none" w:sz="0" w:space="0" w:color="auto"/>
          </w:divBdr>
        </w:div>
        <w:div w:id="1786848536">
          <w:marLeft w:val="640"/>
          <w:marRight w:val="0"/>
          <w:marTop w:val="0"/>
          <w:marBottom w:val="0"/>
          <w:divBdr>
            <w:top w:val="none" w:sz="0" w:space="0" w:color="auto"/>
            <w:left w:val="none" w:sz="0" w:space="0" w:color="auto"/>
            <w:bottom w:val="none" w:sz="0" w:space="0" w:color="auto"/>
            <w:right w:val="none" w:sz="0" w:space="0" w:color="auto"/>
          </w:divBdr>
        </w:div>
        <w:div w:id="230848731">
          <w:marLeft w:val="640"/>
          <w:marRight w:val="0"/>
          <w:marTop w:val="0"/>
          <w:marBottom w:val="0"/>
          <w:divBdr>
            <w:top w:val="none" w:sz="0" w:space="0" w:color="auto"/>
            <w:left w:val="none" w:sz="0" w:space="0" w:color="auto"/>
            <w:bottom w:val="none" w:sz="0" w:space="0" w:color="auto"/>
            <w:right w:val="none" w:sz="0" w:space="0" w:color="auto"/>
          </w:divBdr>
        </w:div>
        <w:div w:id="15349721">
          <w:marLeft w:val="640"/>
          <w:marRight w:val="0"/>
          <w:marTop w:val="0"/>
          <w:marBottom w:val="0"/>
          <w:divBdr>
            <w:top w:val="none" w:sz="0" w:space="0" w:color="auto"/>
            <w:left w:val="none" w:sz="0" w:space="0" w:color="auto"/>
            <w:bottom w:val="none" w:sz="0" w:space="0" w:color="auto"/>
            <w:right w:val="none" w:sz="0" w:space="0" w:color="auto"/>
          </w:divBdr>
        </w:div>
        <w:div w:id="1829900920">
          <w:marLeft w:val="640"/>
          <w:marRight w:val="0"/>
          <w:marTop w:val="0"/>
          <w:marBottom w:val="0"/>
          <w:divBdr>
            <w:top w:val="none" w:sz="0" w:space="0" w:color="auto"/>
            <w:left w:val="none" w:sz="0" w:space="0" w:color="auto"/>
            <w:bottom w:val="none" w:sz="0" w:space="0" w:color="auto"/>
            <w:right w:val="none" w:sz="0" w:space="0" w:color="auto"/>
          </w:divBdr>
        </w:div>
        <w:div w:id="1139692942">
          <w:marLeft w:val="640"/>
          <w:marRight w:val="0"/>
          <w:marTop w:val="0"/>
          <w:marBottom w:val="0"/>
          <w:divBdr>
            <w:top w:val="none" w:sz="0" w:space="0" w:color="auto"/>
            <w:left w:val="none" w:sz="0" w:space="0" w:color="auto"/>
            <w:bottom w:val="none" w:sz="0" w:space="0" w:color="auto"/>
            <w:right w:val="none" w:sz="0" w:space="0" w:color="auto"/>
          </w:divBdr>
        </w:div>
        <w:div w:id="436830084">
          <w:marLeft w:val="640"/>
          <w:marRight w:val="0"/>
          <w:marTop w:val="0"/>
          <w:marBottom w:val="0"/>
          <w:divBdr>
            <w:top w:val="none" w:sz="0" w:space="0" w:color="auto"/>
            <w:left w:val="none" w:sz="0" w:space="0" w:color="auto"/>
            <w:bottom w:val="none" w:sz="0" w:space="0" w:color="auto"/>
            <w:right w:val="none" w:sz="0" w:space="0" w:color="auto"/>
          </w:divBdr>
        </w:div>
        <w:div w:id="417020693">
          <w:marLeft w:val="640"/>
          <w:marRight w:val="0"/>
          <w:marTop w:val="0"/>
          <w:marBottom w:val="0"/>
          <w:divBdr>
            <w:top w:val="none" w:sz="0" w:space="0" w:color="auto"/>
            <w:left w:val="none" w:sz="0" w:space="0" w:color="auto"/>
            <w:bottom w:val="none" w:sz="0" w:space="0" w:color="auto"/>
            <w:right w:val="none" w:sz="0" w:space="0" w:color="auto"/>
          </w:divBdr>
        </w:div>
        <w:div w:id="2097163080">
          <w:marLeft w:val="640"/>
          <w:marRight w:val="0"/>
          <w:marTop w:val="0"/>
          <w:marBottom w:val="0"/>
          <w:divBdr>
            <w:top w:val="none" w:sz="0" w:space="0" w:color="auto"/>
            <w:left w:val="none" w:sz="0" w:space="0" w:color="auto"/>
            <w:bottom w:val="none" w:sz="0" w:space="0" w:color="auto"/>
            <w:right w:val="none" w:sz="0" w:space="0" w:color="auto"/>
          </w:divBdr>
        </w:div>
        <w:div w:id="118185680">
          <w:marLeft w:val="640"/>
          <w:marRight w:val="0"/>
          <w:marTop w:val="0"/>
          <w:marBottom w:val="0"/>
          <w:divBdr>
            <w:top w:val="none" w:sz="0" w:space="0" w:color="auto"/>
            <w:left w:val="none" w:sz="0" w:space="0" w:color="auto"/>
            <w:bottom w:val="none" w:sz="0" w:space="0" w:color="auto"/>
            <w:right w:val="none" w:sz="0" w:space="0" w:color="auto"/>
          </w:divBdr>
        </w:div>
        <w:div w:id="1975408994">
          <w:marLeft w:val="640"/>
          <w:marRight w:val="0"/>
          <w:marTop w:val="0"/>
          <w:marBottom w:val="0"/>
          <w:divBdr>
            <w:top w:val="none" w:sz="0" w:space="0" w:color="auto"/>
            <w:left w:val="none" w:sz="0" w:space="0" w:color="auto"/>
            <w:bottom w:val="none" w:sz="0" w:space="0" w:color="auto"/>
            <w:right w:val="none" w:sz="0" w:space="0" w:color="auto"/>
          </w:divBdr>
        </w:div>
        <w:div w:id="778257331">
          <w:marLeft w:val="640"/>
          <w:marRight w:val="0"/>
          <w:marTop w:val="0"/>
          <w:marBottom w:val="0"/>
          <w:divBdr>
            <w:top w:val="none" w:sz="0" w:space="0" w:color="auto"/>
            <w:left w:val="none" w:sz="0" w:space="0" w:color="auto"/>
            <w:bottom w:val="none" w:sz="0" w:space="0" w:color="auto"/>
            <w:right w:val="none" w:sz="0" w:space="0" w:color="auto"/>
          </w:divBdr>
        </w:div>
        <w:div w:id="1752239226">
          <w:marLeft w:val="640"/>
          <w:marRight w:val="0"/>
          <w:marTop w:val="0"/>
          <w:marBottom w:val="0"/>
          <w:divBdr>
            <w:top w:val="none" w:sz="0" w:space="0" w:color="auto"/>
            <w:left w:val="none" w:sz="0" w:space="0" w:color="auto"/>
            <w:bottom w:val="none" w:sz="0" w:space="0" w:color="auto"/>
            <w:right w:val="none" w:sz="0" w:space="0" w:color="auto"/>
          </w:divBdr>
        </w:div>
        <w:div w:id="1097402823">
          <w:marLeft w:val="640"/>
          <w:marRight w:val="0"/>
          <w:marTop w:val="0"/>
          <w:marBottom w:val="0"/>
          <w:divBdr>
            <w:top w:val="none" w:sz="0" w:space="0" w:color="auto"/>
            <w:left w:val="none" w:sz="0" w:space="0" w:color="auto"/>
            <w:bottom w:val="none" w:sz="0" w:space="0" w:color="auto"/>
            <w:right w:val="none" w:sz="0" w:space="0" w:color="auto"/>
          </w:divBdr>
        </w:div>
        <w:div w:id="593633993">
          <w:marLeft w:val="640"/>
          <w:marRight w:val="0"/>
          <w:marTop w:val="0"/>
          <w:marBottom w:val="0"/>
          <w:divBdr>
            <w:top w:val="none" w:sz="0" w:space="0" w:color="auto"/>
            <w:left w:val="none" w:sz="0" w:space="0" w:color="auto"/>
            <w:bottom w:val="none" w:sz="0" w:space="0" w:color="auto"/>
            <w:right w:val="none" w:sz="0" w:space="0" w:color="auto"/>
          </w:divBdr>
        </w:div>
        <w:div w:id="483473561">
          <w:marLeft w:val="640"/>
          <w:marRight w:val="0"/>
          <w:marTop w:val="0"/>
          <w:marBottom w:val="0"/>
          <w:divBdr>
            <w:top w:val="none" w:sz="0" w:space="0" w:color="auto"/>
            <w:left w:val="none" w:sz="0" w:space="0" w:color="auto"/>
            <w:bottom w:val="none" w:sz="0" w:space="0" w:color="auto"/>
            <w:right w:val="none" w:sz="0" w:space="0" w:color="auto"/>
          </w:divBdr>
        </w:div>
        <w:div w:id="1819418904">
          <w:marLeft w:val="640"/>
          <w:marRight w:val="0"/>
          <w:marTop w:val="0"/>
          <w:marBottom w:val="0"/>
          <w:divBdr>
            <w:top w:val="none" w:sz="0" w:space="0" w:color="auto"/>
            <w:left w:val="none" w:sz="0" w:space="0" w:color="auto"/>
            <w:bottom w:val="none" w:sz="0" w:space="0" w:color="auto"/>
            <w:right w:val="none" w:sz="0" w:space="0" w:color="auto"/>
          </w:divBdr>
        </w:div>
        <w:div w:id="265581839">
          <w:marLeft w:val="640"/>
          <w:marRight w:val="0"/>
          <w:marTop w:val="0"/>
          <w:marBottom w:val="0"/>
          <w:divBdr>
            <w:top w:val="none" w:sz="0" w:space="0" w:color="auto"/>
            <w:left w:val="none" w:sz="0" w:space="0" w:color="auto"/>
            <w:bottom w:val="none" w:sz="0" w:space="0" w:color="auto"/>
            <w:right w:val="none" w:sz="0" w:space="0" w:color="auto"/>
          </w:divBdr>
        </w:div>
        <w:div w:id="438721927">
          <w:marLeft w:val="640"/>
          <w:marRight w:val="0"/>
          <w:marTop w:val="0"/>
          <w:marBottom w:val="0"/>
          <w:divBdr>
            <w:top w:val="none" w:sz="0" w:space="0" w:color="auto"/>
            <w:left w:val="none" w:sz="0" w:space="0" w:color="auto"/>
            <w:bottom w:val="none" w:sz="0" w:space="0" w:color="auto"/>
            <w:right w:val="none" w:sz="0" w:space="0" w:color="auto"/>
          </w:divBdr>
        </w:div>
        <w:div w:id="1239754006">
          <w:marLeft w:val="640"/>
          <w:marRight w:val="0"/>
          <w:marTop w:val="0"/>
          <w:marBottom w:val="0"/>
          <w:divBdr>
            <w:top w:val="none" w:sz="0" w:space="0" w:color="auto"/>
            <w:left w:val="none" w:sz="0" w:space="0" w:color="auto"/>
            <w:bottom w:val="none" w:sz="0" w:space="0" w:color="auto"/>
            <w:right w:val="none" w:sz="0" w:space="0" w:color="auto"/>
          </w:divBdr>
        </w:div>
        <w:div w:id="1987276297">
          <w:marLeft w:val="640"/>
          <w:marRight w:val="0"/>
          <w:marTop w:val="0"/>
          <w:marBottom w:val="0"/>
          <w:divBdr>
            <w:top w:val="none" w:sz="0" w:space="0" w:color="auto"/>
            <w:left w:val="none" w:sz="0" w:space="0" w:color="auto"/>
            <w:bottom w:val="none" w:sz="0" w:space="0" w:color="auto"/>
            <w:right w:val="none" w:sz="0" w:space="0" w:color="auto"/>
          </w:divBdr>
        </w:div>
        <w:div w:id="236403665">
          <w:marLeft w:val="640"/>
          <w:marRight w:val="0"/>
          <w:marTop w:val="0"/>
          <w:marBottom w:val="0"/>
          <w:divBdr>
            <w:top w:val="none" w:sz="0" w:space="0" w:color="auto"/>
            <w:left w:val="none" w:sz="0" w:space="0" w:color="auto"/>
            <w:bottom w:val="none" w:sz="0" w:space="0" w:color="auto"/>
            <w:right w:val="none" w:sz="0" w:space="0" w:color="auto"/>
          </w:divBdr>
        </w:div>
        <w:div w:id="2117092397">
          <w:marLeft w:val="640"/>
          <w:marRight w:val="0"/>
          <w:marTop w:val="0"/>
          <w:marBottom w:val="0"/>
          <w:divBdr>
            <w:top w:val="none" w:sz="0" w:space="0" w:color="auto"/>
            <w:left w:val="none" w:sz="0" w:space="0" w:color="auto"/>
            <w:bottom w:val="none" w:sz="0" w:space="0" w:color="auto"/>
            <w:right w:val="none" w:sz="0" w:space="0" w:color="auto"/>
          </w:divBdr>
        </w:div>
        <w:div w:id="854810384">
          <w:marLeft w:val="640"/>
          <w:marRight w:val="0"/>
          <w:marTop w:val="0"/>
          <w:marBottom w:val="0"/>
          <w:divBdr>
            <w:top w:val="none" w:sz="0" w:space="0" w:color="auto"/>
            <w:left w:val="none" w:sz="0" w:space="0" w:color="auto"/>
            <w:bottom w:val="none" w:sz="0" w:space="0" w:color="auto"/>
            <w:right w:val="none" w:sz="0" w:space="0" w:color="auto"/>
          </w:divBdr>
        </w:div>
        <w:div w:id="1945502222">
          <w:marLeft w:val="640"/>
          <w:marRight w:val="0"/>
          <w:marTop w:val="0"/>
          <w:marBottom w:val="0"/>
          <w:divBdr>
            <w:top w:val="none" w:sz="0" w:space="0" w:color="auto"/>
            <w:left w:val="none" w:sz="0" w:space="0" w:color="auto"/>
            <w:bottom w:val="none" w:sz="0" w:space="0" w:color="auto"/>
            <w:right w:val="none" w:sz="0" w:space="0" w:color="auto"/>
          </w:divBdr>
        </w:div>
        <w:div w:id="1349138635">
          <w:marLeft w:val="640"/>
          <w:marRight w:val="0"/>
          <w:marTop w:val="0"/>
          <w:marBottom w:val="0"/>
          <w:divBdr>
            <w:top w:val="none" w:sz="0" w:space="0" w:color="auto"/>
            <w:left w:val="none" w:sz="0" w:space="0" w:color="auto"/>
            <w:bottom w:val="none" w:sz="0" w:space="0" w:color="auto"/>
            <w:right w:val="none" w:sz="0" w:space="0" w:color="auto"/>
          </w:divBdr>
        </w:div>
        <w:div w:id="1076824690">
          <w:marLeft w:val="640"/>
          <w:marRight w:val="0"/>
          <w:marTop w:val="0"/>
          <w:marBottom w:val="0"/>
          <w:divBdr>
            <w:top w:val="none" w:sz="0" w:space="0" w:color="auto"/>
            <w:left w:val="none" w:sz="0" w:space="0" w:color="auto"/>
            <w:bottom w:val="none" w:sz="0" w:space="0" w:color="auto"/>
            <w:right w:val="none" w:sz="0" w:space="0" w:color="auto"/>
          </w:divBdr>
        </w:div>
        <w:div w:id="329917108">
          <w:marLeft w:val="640"/>
          <w:marRight w:val="0"/>
          <w:marTop w:val="0"/>
          <w:marBottom w:val="0"/>
          <w:divBdr>
            <w:top w:val="none" w:sz="0" w:space="0" w:color="auto"/>
            <w:left w:val="none" w:sz="0" w:space="0" w:color="auto"/>
            <w:bottom w:val="none" w:sz="0" w:space="0" w:color="auto"/>
            <w:right w:val="none" w:sz="0" w:space="0" w:color="auto"/>
          </w:divBdr>
        </w:div>
        <w:div w:id="2092504671">
          <w:marLeft w:val="640"/>
          <w:marRight w:val="0"/>
          <w:marTop w:val="0"/>
          <w:marBottom w:val="0"/>
          <w:divBdr>
            <w:top w:val="none" w:sz="0" w:space="0" w:color="auto"/>
            <w:left w:val="none" w:sz="0" w:space="0" w:color="auto"/>
            <w:bottom w:val="none" w:sz="0" w:space="0" w:color="auto"/>
            <w:right w:val="none" w:sz="0" w:space="0" w:color="auto"/>
          </w:divBdr>
        </w:div>
        <w:div w:id="1336494423">
          <w:marLeft w:val="640"/>
          <w:marRight w:val="0"/>
          <w:marTop w:val="0"/>
          <w:marBottom w:val="0"/>
          <w:divBdr>
            <w:top w:val="none" w:sz="0" w:space="0" w:color="auto"/>
            <w:left w:val="none" w:sz="0" w:space="0" w:color="auto"/>
            <w:bottom w:val="none" w:sz="0" w:space="0" w:color="auto"/>
            <w:right w:val="none" w:sz="0" w:space="0" w:color="auto"/>
          </w:divBdr>
        </w:div>
        <w:div w:id="1446001828">
          <w:marLeft w:val="640"/>
          <w:marRight w:val="0"/>
          <w:marTop w:val="0"/>
          <w:marBottom w:val="0"/>
          <w:divBdr>
            <w:top w:val="none" w:sz="0" w:space="0" w:color="auto"/>
            <w:left w:val="none" w:sz="0" w:space="0" w:color="auto"/>
            <w:bottom w:val="none" w:sz="0" w:space="0" w:color="auto"/>
            <w:right w:val="none" w:sz="0" w:space="0" w:color="auto"/>
          </w:divBdr>
        </w:div>
        <w:div w:id="469441949">
          <w:marLeft w:val="640"/>
          <w:marRight w:val="0"/>
          <w:marTop w:val="0"/>
          <w:marBottom w:val="0"/>
          <w:divBdr>
            <w:top w:val="none" w:sz="0" w:space="0" w:color="auto"/>
            <w:left w:val="none" w:sz="0" w:space="0" w:color="auto"/>
            <w:bottom w:val="none" w:sz="0" w:space="0" w:color="auto"/>
            <w:right w:val="none" w:sz="0" w:space="0" w:color="auto"/>
          </w:divBdr>
        </w:div>
        <w:div w:id="1320425909">
          <w:marLeft w:val="640"/>
          <w:marRight w:val="0"/>
          <w:marTop w:val="0"/>
          <w:marBottom w:val="0"/>
          <w:divBdr>
            <w:top w:val="none" w:sz="0" w:space="0" w:color="auto"/>
            <w:left w:val="none" w:sz="0" w:space="0" w:color="auto"/>
            <w:bottom w:val="none" w:sz="0" w:space="0" w:color="auto"/>
            <w:right w:val="none" w:sz="0" w:space="0" w:color="auto"/>
          </w:divBdr>
        </w:div>
        <w:div w:id="1081874742">
          <w:marLeft w:val="640"/>
          <w:marRight w:val="0"/>
          <w:marTop w:val="0"/>
          <w:marBottom w:val="0"/>
          <w:divBdr>
            <w:top w:val="none" w:sz="0" w:space="0" w:color="auto"/>
            <w:left w:val="none" w:sz="0" w:space="0" w:color="auto"/>
            <w:bottom w:val="none" w:sz="0" w:space="0" w:color="auto"/>
            <w:right w:val="none" w:sz="0" w:space="0" w:color="auto"/>
          </w:divBdr>
        </w:div>
        <w:div w:id="1915623391">
          <w:marLeft w:val="640"/>
          <w:marRight w:val="0"/>
          <w:marTop w:val="0"/>
          <w:marBottom w:val="0"/>
          <w:divBdr>
            <w:top w:val="none" w:sz="0" w:space="0" w:color="auto"/>
            <w:left w:val="none" w:sz="0" w:space="0" w:color="auto"/>
            <w:bottom w:val="none" w:sz="0" w:space="0" w:color="auto"/>
            <w:right w:val="none" w:sz="0" w:space="0" w:color="auto"/>
          </w:divBdr>
        </w:div>
        <w:div w:id="1991709473">
          <w:marLeft w:val="640"/>
          <w:marRight w:val="0"/>
          <w:marTop w:val="0"/>
          <w:marBottom w:val="0"/>
          <w:divBdr>
            <w:top w:val="none" w:sz="0" w:space="0" w:color="auto"/>
            <w:left w:val="none" w:sz="0" w:space="0" w:color="auto"/>
            <w:bottom w:val="none" w:sz="0" w:space="0" w:color="auto"/>
            <w:right w:val="none" w:sz="0" w:space="0" w:color="auto"/>
          </w:divBdr>
        </w:div>
        <w:div w:id="511842965">
          <w:marLeft w:val="640"/>
          <w:marRight w:val="0"/>
          <w:marTop w:val="0"/>
          <w:marBottom w:val="0"/>
          <w:divBdr>
            <w:top w:val="none" w:sz="0" w:space="0" w:color="auto"/>
            <w:left w:val="none" w:sz="0" w:space="0" w:color="auto"/>
            <w:bottom w:val="none" w:sz="0" w:space="0" w:color="auto"/>
            <w:right w:val="none" w:sz="0" w:space="0" w:color="auto"/>
          </w:divBdr>
        </w:div>
        <w:div w:id="1273047993">
          <w:marLeft w:val="640"/>
          <w:marRight w:val="0"/>
          <w:marTop w:val="0"/>
          <w:marBottom w:val="0"/>
          <w:divBdr>
            <w:top w:val="none" w:sz="0" w:space="0" w:color="auto"/>
            <w:left w:val="none" w:sz="0" w:space="0" w:color="auto"/>
            <w:bottom w:val="none" w:sz="0" w:space="0" w:color="auto"/>
            <w:right w:val="none" w:sz="0" w:space="0" w:color="auto"/>
          </w:divBdr>
        </w:div>
        <w:div w:id="1636372880">
          <w:marLeft w:val="640"/>
          <w:marRight w:val="0"/>
          <w:marTop w:val="0"/>
          <w:marBottom w:val="0"/>
          <w:divBdr>
            <w:top w:val="none" w:sz="0" w:space="0" w:color="auto"/>
            <w:left w:val="none" w:sz="0" w:space="0" w:color="auto"/>
            <w:bottom w:val="none" w:sz="0" w:space="0" w:color="auto"/>
            <w:right w:val="none" w:sz="0" w:space="0" w:color="auto"/>
          </w:divBdr>
        </w:div>
        <w:div w:id="674108801">
          <w:marLeft w:val="640"/>
          <w:marRight w:val="0"/>
          <w:marTop w:val="0"/>
          <w:marBottom w:val="0"/>
          <w:divBdr>
            <w:top w:val="none" w:sz="0" w:space="0" w:color="auto"/>
            <w:left w:val="none" w:sz="0" w:space="0" w:color="auto"/>
            <w:bottom w:val="none" w:sz="0" w:space="0" w:color="auto"/>
            <w:right w:val="none" w:sz="0" w:space="0" w:color="auto"/>
          </w:divBdr>
        </w:div>
        <w:div w:id="1331834830">
          <w:marLeft w:val="640"/>
          <w:marRight w:val="0"/>
          <w:marTop w:val="0"/>
          <w:marBottom w:val="0"/>
          <w:divBdr>
            <w:top w:val="none" w:sz="0" w:space="0" w:color="auto"/>
            <w:left w:val="none" w:sz="0" w:space="0" w:color="auto"/>
            <w:bottom w:val="none" w:sz="0" w:space="0" w:color="auto"/>
            <w:right w:val="none" w:sz="0" w:space="0" w:color="auto"/>
          </w:divBdr>
        </w:div>
        <w:div w:id="1892879598">
          <w:marLeft w:val="640"/>
          <w:marRight w:val="0"/>
          <w:marTop w:val="0"/>
          <w:marBottom w:val="0"/>
          <w:divBdr>
            <w:top w:val="none" w:sz="0" w:space="0" w:color="auto"/>
            <w:left w:val="none" w:sz="0" w:space="0" w:color="auto"/>
            <w:bottom w:val="none" w:sz="0" w:space="0" w:color="auto"/>
            <w:right w:val="none" w:sz="0" w:space="0" w:color="auto"/>
          </w:divBdr>
        </w:div>
        <w:div w:id="1850561403">
          <w:marLeft w:val="640"/>
          <w:marRight w:val="0"/>
          <w:marTop w:val="0"/>
          <w:marBottom w:val="0"/>
          <w:divBdr>
            <w:top w:val="none" w:sz="0" w:space="0" w:color="auto"/>
            <w:left w:val="none" w:sz="0" w:space="0" w:color="auto"/>
            <w:bottom w:val="none" w:sz="0" w:space="0" w:color="auto"/>
            <w:right w:val="none" w:sz="0" w:space="0" w:color="auto"/>
          </w:divBdr>
        </w:div>
        <w:div w:id="1035620689">
          <w:marLeft w:val="640"/>
          <w:marRight w:val="0"/>
          <w:marTop w:val="0"/>
          <w:marBottom w:val="0"/>
          <w:divBdr>
            <w:top w:val="none" w:sz="0" w:space="0" w:color="auto"/>
            <w:left w:val="none" w:sz="0" w:space="0" w:color="auto"/>
            <w:bottom w:val="none" w:sz="0" w:space="0" w:color="auto"/>
            <w:right w:val="none" w:sz="0" w:space="0" w:color="auto"/>
          </w:divBdr>
        </w:div>
        <w:div w:id="1389763598">
          <w:marLeft w:val="640"/>
          <w:marRight w:val="0"/>
          <w:marTop w:val="0"/>
          <w:marBottom w:val="0"/>
          <w:divBdr>
            <w:top w:val="none" w:sz="0" w:space="0" w:color="auto"/>
            <w:left w:val="none" w:sz="0" w:space="0" w:color="auto"/>
            <w:bottom w:val="none" w:sz="0" w:space="0" w:color="auto"/>
            <w:right w:val="none" w:sz="0" w:space="0" w:color="auto"/>
          </w:divBdr>
        </w:div>
        <w:div w:id="1331955554">
          <w:marLeft w:val="640"/>
          <w:marRight w:val="0"/>
          <w:marTop w:val="0"/>
          <w:marBottom w:val="0"/>
          <w:divBdr>
            <w:top w:val="none" w:sz="0" w:space="0" w:color="auto"/>
            <w:left w:val="none" w:sz="0" w:space="0" w:color="auto"/>
            <w:bottom w:val="none" w:sz="0" w:space="0" w:color="auto"/>
            <w:right w:val="none" w:sz="0" w:space="0" w:color="auto"/>
          </w:divBdr>
        </w:div>
        <w:div w:id="68429420">
          <w:marLeft w:val="640"/>
          <w:marRight w:val="0"/>
          <w:marTop w:val="0"/>
          <w:marBottom w:val="0"/>
          <w:divBdr>
            <w:top w:val="none" w:sz="0" w:space="0" w:color="auto"/>
            <w:left w:val="none" w:sz="0" w:space="0" w:color="auto"/>
            <w:bottom w:val="none" w:sz="0" w:space="0" w:color="auto"/>
            <w:right w:val="none" w:sz="0" w:space="0" w:color="auto"/>
          </w:divBdr>
        </w:div>
        <w:div w:id="375131544">
          <w:marLeft w:val="640"/>
          <w:marRight w:val="0"/>
          <w:marTop w:val="0"/>
          <w:marBottom w:val="0"/>
          <w:divBdr>
            <w:top w:val="none" w:sz="0" w:space="0" w:color="auto"/>
            <w:left w:val="none" w:sz="0" w:space="0" w:color="auto"/>
            <w:bottom w:val="none" w:sz="0" w:space="0" w:color="auto"/>
            <w:right w:val="none" w:sz="0" w:space="0" w:color="auto"/>
          </w:divBdr>
        </w:div>
        <w:div w:id="1978294742">
          <w:marLeft w:val="640"/>
          <w:marRight w:val="0"/>
          <w:marTop w:val="0"/>
          <w:marBottom w:val="0"/>
          <w:divBdr>
            <w:top w:val="none" w:sz="0" w:space="0" w:color="auto"/>
            <w:left w:val="none" w:sz="0" w:space="0" w:color="auto"/>
            <w:bottom w:val="none" w:sz="0" w:space="0" w:color="auto"/>
            <w:right w:val="none" w:sz="0" w:space="0" w:color="auto"/>
          </w:divBdr>
        </w:div>
        <w:div w:id="1283534039">
          <w:marLeft w:val="640"/>
          <w:marRight w:val="0"/>
          <w:marTop w:val="0"/>
          <w:marBottom w:val="0"/>
          <w:divBdr>
            <w:top w:val="none" w:sz="0" w:space="0" w:color="auto"/>
            <w:left w:val="none" w:sz="0" w:space="0" w:color="auto"/>
            <w:bottom w:val="none" w:sz="0" w:space="0" w:color="auto"/>
            <w:right w:val="none" w:sz="0" w:space="0" w:color="auto"/>
          </w:divBdr>
        </w:div>
        <w:div w:id="725032457">
          <w:marLeft w:val="640"/>
          <w:marRight w:val="0"/>
          <w:marTop w:val="0"/>
          <w:marBottom w:val="0"/>
          <w:divBdr>
            <w:top w:val="none" w:sz="0" w:space="0" w:color="auto"/>
            <w:left w:val="none" w:sz="0" w:space="0" w:color="auto"/>
            <w:bottom w:val="none" w:sz="0" w:space="0" w:color="auto"/>
            <w:right w:val="none" w:sz="0" w:space="0" w:color="auto"/>
          </w:divBdr>
        </w:div>
        <w:div w:id="136190273">
          <w:marLeft w:val="640"/>
          <w:marRight w:val="0"/>
          <w:marTop w:val="0"/>
          <w:marBottom w:val="0"/>
          <w:divBdr>
            <w:top w:val="none" w:sz="0" w:space="0" w:color="auto"/>
            <w:left w:val="none" w:sz="0" w:space="0" w:color="auto"/>
            <w:bottom w:val="none" w:sz="0" w:space="0" w:color="auto"/>
            <w:right w:val="none" w:sz="0" w:space="0" w:color="auto"/>
          </w:divBdr>
        </w:div>
        <w:div w:id="89081752">
          <w:marLeft w:val="640"/>
          <w:marRight w:val="0"/>
          <w:marTop w:val="0"/>
          <w:marBottom w:val="0"/>
          <w:divBdr>
            <w:top w:val="none" w:sz="0" w:space="0" w:color="auto"/>
            <w:left w:val="none" w:sz="0" w:space="0" w:color="auto"/>
            <w:bottom w:val="none" w:sz="0" w:space="0" w:color="auto"/>
            <w:right w:val="none" w:sz="0" w:space="0" w:color="auto"/>
          </w:divBdr>
        </w:div>
        <w:div w:id="193999436">
          <w:marLeft w:val="640"/>
          <w:marRight w:val="0"/>
          <w:marTop w:val="0"/>
          <w:marBottom w:val="0"/>
          <w:divBdr>
            <w:top w:val="none" w:sz="0" w:space="0" w:color="auto"/>
            <w:left w:val="none" w:sz="0" w:space="0" w:color="auto"/>
            <w:bottom w:val="none" w:sz="0" w:space="0" w:color="auto"/>
            <w:right w:val="none" w:sz="0" w:space="0" w:color="auto"/>
          </w:divBdr>
        </w:div>
        <w:div w:id="1517040836">
          <w:marLeft w:val="640"/>
          <w:marRight w:val="0"/>
          <w:marTop w:val="0"/>
          <w:marBottom w:val="0"/>
          <w:divBdr>
            <w:top w:val="none" w:sz="0" w:space="0" w:color="auto"/>
            <w:left w:val="none" w:sz="0" w:space="0" w:color="auto"/>
            <w:bottom w:val="none" w:sz="0" w:space="0" w:color="auto"/>
            <w:right w:val="none" w:sz="0" w:space="0" w:color="auto"/>
          </w:divBdr>
        </w:div>
        <w:div w:id="1052652977">
          <w:marLeft w:val="640"/>
          <w:marRight w:val="0"/>
          <w:marTop w:val="0"/>
          <w:marBottom w:val="0"/>
          <w:divBdr>
            <w:top w:val="none" w:sz="0" w:space="0" w:color="auto"/>
            <w:left w:val="none" w:sz="0" w:space="0" w:color="auto"/>
            <w:bottom w:val="none" w:sz="0" w:space="0" w:color="auto"/>
            <w:right w:val="none" w:sz="0" w:space="0" w:color="auto"/>
          </w:divBdr>
        </w:div>
        <w:div w:id="2045130789">
          <w:marLeft w:val="640"/>
          <w:marRight w:val="0"/>
          <w:marTop w:val="0"/>
          <w:marBottom w:val="0"/>
          <w:divBdr>
            <w:top w:val="none" w:sz="0" w:space="0" w:color="auto"/>
            <w:left w:val="none" w:sz="0" w:space="0" w:color="auto"/>
            <w:bottom w:val="none" w:sz="0" w:space="0" w:color="auto"/>
            <w:right w:val="none" w:sz="0" w:space="0" w:color="auto"/>
          </w:divBdr>
        </w:div>
        <w:div w:id="348993369">
          <w:marLeft w:val="640"/>
          <w:marRight w:val="0"/>
          <w:marTop w:val="0"/>
          <w:marBottom w:val="0"/>
          <w:divBdr>
            <w:top w:val="none" w:sz="0" w:space="0" w:color="auto"/>
            <w:left w:val="none" w:sz="0" w:space="0" w:color="auto"/>
            <w:bottom w:val="none" w:sz="0" w:space="0" w:color="auto"/>
            <w:right w:val="none" w:sz="0" w:space="0" w:color="auto"/>
          </w:divBdr>
        </w:div>
        <w:div w:id="535387356">
          <w:marLeft w:val="640"/>
          <w:marRight w:val="0"/>
          <w:marTop w:val="0"/>
          <w:marBottom w:val="0"/>
          <w:divBdr>
            <w:top w:val="none" w:sz="0" w:space="0" w:color="auto"/>
            <w:left w:val="none" w:sz="0" w:space="0" w:color="auto"/>
            <w:bottom w:val="none" w:sz="0" w:space="0" w:color="auto"/>
            <w:right w:val="none" w:sz="0" w:space="0" w:color="auto"/>
          </w:divBdr>
        </w:div>
        <w:div w:id="1219052867">
          <w:marLeft w:val="640"/>
          <w:marRight w:val="0"/>
          <w:marTop w:val="0"/>
          <w:marBottom w:val="0"/>
          <w:divBdr>
            <w:top w:val="none" w:sz="0" w:space="0" w:color="auto"/>
            <w:left w:val="none" w:sz="0" w:space="0" w:color="auto"/>
            <w:bottom w:val="none" w:sz="0" w:space="0" w:color="auto"/>
            <w:right w:val="none" w:sz="0" w:space="0" w:color="auto"/>
          </w:divBdr>
        </w:div>
        <w:div w:id="385030889">
          <w:marLeft w:val="640"/>
          <w:marRight w:val="0"/>
          <w:marTop w:val="0"/>
          <w:marBottom w:val="0"/>
          <w:divBdr>
            <w:top w:val="none" w:sz="0" w:space="0" w:color="auto"/>
            <w:left w:val="none" w:sz="0" w:space="0" w:color="auto"/>
            <w:bottom w:val="none" w:sz="0" w:space="0" w:color="auto"/>
            <w:right w:val="none" w:sz="0" w:space="0" w:color="auto"/>
          </w:divBdr>
        </w:div>
        <w:div w:id="81268325">
          <w:marLeft w:val="640"/>
          <w:marRight w:val="0"/>
          <w:marTop w:val="0"/>
          <w:marBottom w:val="0"/>
          <w:divBdr>
            <w:top w:val="none" w:sz="0" w:space="0" w:color="auto"/>
            <w:left w:val="none" w:sz="0" w:space="0" w:color="auto"/>
            <w:bottom w:val="none" w:sz="0" w:space="0" w:color="auto"/>
            <w:right w:val="none" w:sz="0" w:space="0" w:color="auto"/>
          </w:divBdr>
        </w:div>
        <w:div w:id="666399251">
          <w:marLeft w:val="640"/>
          <w:marRight w:val="0"/>
          <w:marTop w:val="0"/>
          <w:marBottom w:val="0"/>
          <w:divBdr>
            <w:top w:val="none" w:sz="0" w:space="0" w:color="auto"/>
            <w:left w:val="none" w:sz="0" w:space="0" w:color="auto"/>
            <w:bottom w:val="none" w:sz="0" w:space="0" w:color="auto"/>
            <w:right w:val="none" w:sz="0" w:space="0" w:color="auto"/>
          </w:divBdr>
        </w:div>
        <w:div w:id="924844349">
          <w:marLeft w:val="640"/>
          <w:marRight w:val="0"/>
          <w:marTop w:val="0"/>
          <w:marBottom w:val="0"/>
          <w:divBdr>
            <w:top w:val="none" w:sz="0" w:space="0" w:color="auto"/>
            <w:left w:val="none" w:sz="0" w:space="0" w:color="auto"/>
            <w:bottom w:val="none" w:sz="0" w:space="0" w:color="auto"/>
            <w:right w:val="none" w:sz="0" w:space="0" w:color="auto"/>
          </w:divBdr>
        </w:div>
        <w:div w:id="915893117">
          <w:marLeft w:val="640"/>
          <w:marRight w:val="0"/>
          <w:marTop w:val="0"/>
          <w:marBottom w:val="0"/>
          <w:divBdr>
            <w:top w:val="none" w:sz="0" w:space="0" w:color="auto"/>
            <w:left w:val="none" w:sz="0" w:space="0" w:color="auto"/>
            <w:bottom w:val="none" w:sz="0" w:space="0" w:color="auto"/>
            <w:right w:val="none" w:sz="0" w:space="0" w:color="auto"/>
          </w:divBdr>
        </w:div>
        <w:div w:id="1985888048">
          <w:marLeft w:val="640"/>
          <w:marRight w:val="0"/>
          <w:marTop w:val="0"/>
          <w:marBottom w:val="0"/>
          <w:divBdr>
            <w:top w:val="none" w:sz="0" w:space="0" w:color="auto"/>
            <w:left w:val="none" w:sz="0" w:space="0" w:color="auto"/>
            <w:bottom w:val="none" w:sz="0" w:space="0" w:color="auto"/>
            <w:right w:val="none" w:sz="0" w:space="0" w:color="auto"/>
          </w:divBdr>
        </w:div>
        <w:div w:id="972446761">
          <w:marLeft w:val="640"/>
          <w:marRight w:val="0"/>
          <w:marTop w:val="0"/>
          <w:marBottom w:val="0"/>
          <w:divBdr>
            <w:top w:val="none" w:sz="0" w:space="0" w:color="auto"/>
            <w:left w:val="none" w:sz="0" w:space="0" w:color="auto"/>
            <w:bottom w:val="none" w:sz="0" w:space="0" w:color="auto"/>
            <w:right w:val="none" w:sz="0" w:space="0" w:color="auto"/>
          </w:divBdr>
        </w:div>
        <w:div w:id="2076662508">
          <w:marLeft w:val="640"/>
          <w:marRight w:val="0"/>
          <w:marTop w:val="0"/>
          <w:marBottom w:val="0"/>
          <w:divBdr>
            <w:top w:val="none" w:sz="0" w:space="0" w:color="auto"/>
            <w:left w:val="none" w:sz="0" w:space="0" w:color="auto"/>
            <w:bottom w:val="none" w:sz="0" w:space="0" w:color="auto"/>
            <w:right w:val="none" w:sz="0" w:space="0" w:color="auto"/>
          </w:divBdr>
        </w:div>
        <w:div w:id="1397820921">
          <w:marLeft w:val="640"/>
          <w:marRight w:val="0"/>
          <w:marTop w:val="0"/>
          <w:marBottom w:val="0"/>
          <w:divBdr>
            <w:top w:val="none" w:sz="0" w:space="0" w:color="auto"/>
            <w:left w:val="none" w:sz="0" w:space="0" w:color="auto"/>
            <w:bottom w:val="none" w:sz="0" w:space="0" w:color="auto"/>
            <w:right w:val="none" w:sz="0" w:space="0" w:color="auto"/>
          </w:divBdr>
        </w:div>
        <w:div w:id="1141268966">
          <w:marLeft w:val="640"/>
          <w:marRight w:val="0"/>
          <w:marTop w:val="0"/>
          <w:marBottom w:val="0"/>
          <w:divBdr>
            <w:top w:val="none" w:sz="0" w:space="0" w:color="auto"/>
            <w:left w:val="none" w:sz="0" w:space="0" w:color="auto"/>
            <w:bottom w:val="none" w:sz="0" w:space="0" w:color="auto"/>
            <w:right w:val="none" w:sz="0" w:space="0" w:color="auto"/>
          </w:divBdr>
        </w:div>
        <w:div w:id="2017222109">
          <w:marLeft w:val="640"/>
          <w:marRight w:val="0"/>
          <w:marTop w:val="0"/>
          <w:marBottom w:val="0"/>
          <w:divBdr>
            <w:top w:val="none" w:sz="0" w:space="0" w:color="auto"/>
            <w:left w:val="none" w:sz="0" w:space="0" w:color="auto"/>
            <w:bottom w:val="none" w:sz="0" w:space="0" w:color="auto"/>
            <w:right w:val="none" w:sz="0" w:space="0" w:color="auto"/>
          </w:divBdr>
        </w:div>
        <w:div w:id="1705791488">
          <w:marLeft w:val="640"/>
          <w:marRight w:val="0"/>
          <w:marTop w:val="0"/>
          <w:marBottom w:val="0"/>
          <w:divBdr>
            <w:top w:val="none" w:sz="0" w:space="0" w:color="auto"/>
            <w:left w:val="none" w:sz="0" w:space="0" w:color="auto"/>
            <w:bottom w:val="none" w:sz="0" w:space="0" w:color="auto"/>
            <w:right w:val="none" w:sz="0" w:space="0" w:color="auto"/>
          </w:divBdr>
        </w:div>
        <w:div w:id="245578587">
          <w:marLeft w:val="640"/>
          <w:marRight w:val="0"/>
          <w:marTop w:val="0"/>
          <w:marBottom w:val="0"/>
          <w:divBdr>
            <w:top w:val="none" w:sz="0" w:space="0" w:color="auto"/>
            <w:left w:val="none" w:sz="0" w:space="0" w:color="auto"/>
            <w:bottom w:val="none" w:sz="0" w:space="0" w:color="auto"/>
            <w:right w:val="none" w:sz="0" w:space="0" w:color="auto"/>
          </w:divBdr>
        </w:div>
        <w:div w:id="1779981457">
          <w:marLeft w:val="640"/>
          <w:marRight w:val="0"/>
          <w:marTop w:val="0"/>
          <w:marBottom w:val="0"/>
          <w:divBdr>
            <w:top w:val="none" w:sz="0" w:space="0" w:color="auto"/>
            <w:left w:val="none" w:sz="0" w:space="0" w:color="auto"/>
            <w:bottom w:val="none" w:sz="0" w:space="0" w:color="auto"/>
            <w:right w:val="none" w:sz="0" w:space="0" w:color="auto"/>
          </w:divBdr>
        </w:div>
        <w:div w:id="471095462">
          <w:marLeft w:val="640"/>
          <w:marRight w:val="0"/>
          <w:marTop w:val="0"/>
          <w:marBottom w:val="0"/>
          <w:divBdr>
            <w:top w:val="none" w:sz="0" w:space="0" w:color="auto"/>
            <w:left w:val="none" w:sz="0" w:space="0" w:color="auto"/>
            <w:bottom w:val="none" w:sz="0" w:space="0" w:color="auto"/>
            <w:right w:val="none" w:sz="0" w:space="0" w:color="auto"/>
          </w:divBdr>
        </w:div>
        <w:div w:id="540409989">
          <w:marLeft w:val="640"/>
          <w:marRight w:val="0"/>
          <w:marTop w:val="0"/>
          <w:marBottom w:val="0"/>
          <w:divBdr>
            <w:top w:val="none" w:sz="0" w:space="0" w:color="auto"/>
            <w:left w:val="none" w:sz="0" w:space="0" w:color="auto"/>
            <w:bottom w:val="none" w:sz="0" w:space="0" w:color="auto"/>
            <w:right w:val="none" w:sz="0" w:space="0" w:color="auto"/>
          </w:divBdr>
        </w:div>
        <w:div w:id="622465943">
          <w:marLeft w:val="640"/>
          <w:marRight w:val="0"/>
          <w:marTop w:val="0"/>
          <w:marBottom w:val="0"/>
          <w:divBdr>
            <w:top w:val="none" w:sz="0" w:space="0" w:color="auto"/>
            <w:left w:val="none" w:sz="0" w:space="0" w:color="auto"/>
            <w:bottom w:val="none" w:sz="0" w:space="0" w:color="auto"/>
            <w:right w:val="none" w:sz="0" w:space="0" w:color="auto"/>
          </w:divBdr>
        </w:div>
        <w:div w:id="1281567281">
          <w:marLeft w:val="640"/>
          <w:marRight w:val="0"/>
          <w:marTop w:val="0"/>
          <w:marBottom w:val="0"/>
          <w:divBdr>
            <w:top w:val="none" w:sz="0" w:space="0" w:color="auto"/>
            <w:left w:val="none" w:sz="0" w:space="0" w:color="auto"/>
            <w:bottom w:val="none" w:sz="0" w:space="0" w:color="auto"/>
            <w:right w:val="none" w:sz="0" w:space="0" w:color="auto"/>
          </w:divBdr>
        </w:div>
        <w:div w:id="410464161">
          <w:marLeft w:val="640"/>
          <w:marRight w:val="0"/>
          <w:marTop w:val="0"/>
          <w:marBottom w:val="0"/>
          <w:divBdr>
            <w:top w:val="none" w:sz="0" w:space="0" w:color="auto"/>
            <w:left w:val="none" w:sz="0" w:space="0" w:color="auto"/>
            <w:bottom w:val="none" w:sz="0" w:space="0" w:color="auto"/>
            <w:right w:val="none" w:sz="0" w:space="0" w:color="auto"/>
          </w:divBdr>
        </w:div>
        <w:div w:id="1752654805">
          <w:marLeft w:val="640"/>
          <w:marRight w:val="0"/>
          <w:marTop w:val="0"/>
          <w:marBottom w:val="0"/>
          <w:divBdr>
            <w:top w:val="none" w:sz="0" w:space="0" w:color="auto"/>
            <w:left w:val="none" w:sz="0" w:space="0" w:color="auto"/>
            <w:bottom w:val="none" w:sz="0" w:space="0" w:color="auto"/>
            <w:right w:val="none" w:sz="0" w:space="0" w:color="auto"/>
          </w:divBdr>
        </w:div>
        <w:div w:id="1950701542">
          <w:marLeft w:val="640"/>
          <w:marRight w:val="0"/>
          <w:marTop w:val="0"/>
          <w:marBottom w:val="0"/>
          <w:divBdr>
            <w:top w:val="none" w:sz="0" w:space="0" w:color="auto"/>
            <w:left w:val="none" w:sz="0" w:space="0" w:color="auto"/>
            <w:bottom w:val="none" w:sz="0" w:space="0" w:color="auto"/>
            <w:right w:val="none" w:sz="0" w:space="0" w:color="auto"/>
          </w:divBdr>
        </w:div>
        <w:div w:id="722214234">
          <w:marLeft w:val="640"/>
          <w:marRight w:val="0"/>
          <w:marTop w:val="0"/>
          <w:marBottom w:val="0"/>
          <w:divBdr>
            <w:top w:val="none" w:sz="0" w:space="0" w:color="auto"/>
            <w:left w:val="none" w:sz="0" w:space="0" w:color="auto"/>
            <w:bottom w:val="none" w:sz="0" w:space="0" w:color="auto"/>
            <w:right w:val="none" w:sz="0" w:space="0" w:color="auto"/>
          </w:divBdr>
        </w:div>
        <w:div w:id="442531531">
          <w:marLeft w:val="640"/>
          <w:marRight w:val="0"/>
          <w:marTop w:val="0"/>
          <w:marBottom w:val="0"/>
          <w:divBdr>
            <w:top w:val="none" w:sz="0" w:space="0" w:color="auto"/>
            <w:left w:val="none" w:sz="0" w:space="0" w:color="auto"/>
            <w:bottom w:val="none" w:sz="0" w:space="0" w:color="auto"/>
            <w:right w:val="none" w:sz="0" w:space="0" w:color="auto"/>
          </w:divBdr>
        </w:div>
        <w:div w:id="1708798796">
          <w:marLeft w:val="640"/>
          <w:marRight w:val="0"/>
          <w:marTop w:val="0"/>
          <w:marBottom w:val="0"/>
          <w:divBdr>
            <w:top w:val="none" w:sz="0" w:space="0" w:color="auto"/>
            <w:left w:val="none" w:sz="0" w:space="0" w:color="auto"/>
            <w:bottom w:val="none" w:sz="0" w:space="0" w:color="auto"/>
            <w:right w:val="none" w:sz="0" w:space="0" w:color="auto"/>
          </w:divBdr>
        </w:div>
        <w:div w:id="1445541046">
          <w:marLeft w:val="640"/>
          <w:marRight w:val="0"/>
          <w:marTop w:val="0"/>
          <w:marBottom w:val="0"/>
          <w:divBdr>
            <w:top w:val="none" w:sz="0" w:space="0" w:color="auto"/>
            <w:left w:val="none" w:sz="0" w:space="0" w:color="auto"/>
            <w:bottom w:val="none" w:sz="0" w:space="0" w:color="auto"/>
            <w:right w:val="none" w:sz="0" w:space="0" w:color="auto"/>
          </w:divBdr>
        </w:div>
        <w:div w:id="1024594974">
          <w:marLeft w:val="640"/>
          <w:marRight w:val="0"/>
          <w:marTop w:val="0"/>
          <w:marBottom w:val="0"/>
          <w:divBdr>
            <w:top w:val="none" w:sz="0" w:space="0" w:color="auto"/>
            <w:left w:val="none" w:sz="0" w:space="0" w:color="auto"/>
            <w:bottom w:val="none" w:sz="0" w:space="0" w:color="auto"/>
            <w:right w:val="none" w:sz="0" w:space="0" w:color="auto"/>
          </w:divBdr>
        </w:div>
        <w:div w:id="2119566320">
          <w:marLeft w:val="640"/>
          <w:marRight w:val="0"/>
          <w:marTop w:val="0"/>
          <w:marBottom w:val="0"/>
          <w:divBdr>
            <w:top w:val="none" w:sz="0" w:space="0" w:color="auto"/>
            <w:left w:val="none" w:sz="0" w:space="0" w:color="auto"/>
            <w:bottom w:val="none" w:sz="0" w:space="0" w:color="auto"/>
            <w:right w:val="none" w:sz="0" w:space="0" w:color="auto"/>
          </w:divBdr>
        </w:div>
        <w:div w:id="761800262">
          <w:marLeft w:val="640"/>
          <w:marRight w:val="0"/>
          <w:marTop w:val="0"/>
          <w:marBottom w:val="0"/>
          <w:divBdr>
            <w:top w:val="none" w:sz="0" w:space="0" w:color="auto"/>
            <w:left w:val="none" w:sz="0" w:space="0" w:color="auto"/>
            <w:bottom w:val="none" w:sz="0" w:space="0" w:color="auto"/>
            <w:right w:val="none" w:sz="0" w:space="0" w:color="auto"/>
          </w:divBdr>
        </w:div>
        <w:div w:id="792480682">
          <w:marLeft w:val="640"/>
          <w:marRight w:val="0"/>
          <w:marTop w:val="0"/>
          <w:marBottom w:val="0"/>
          <w:divBdr>
            <w:top w:val="none" w:sz="0" w:space="0" w:color="auto"/>
            <w:left w:val="none" w:sz="0" w:space="0" w:color="auto"/>
            <w:bottom w:val="none" w:sz="0" w:space="0" w:color="auto"/>
            <w:right w:val="none" w:sz="0" w:space="0" w:color="auto"/>
          </w:divBdr>
        </w:div>
        <w:div w:id="1451389847">
          <w:marLeft w:val="640"/>
          <w:marRight w:val="0"/>
          <w:marTop w:val="0"/>
          <w:marBottom w:val="0"/>
          <w:divBdr>
            <w:top w:val="none" w:sz="0" w:space="0" w:color="auto"/>
            <w:left w:val="none" w:sz="0" w:space="0" w:color="auto"/>
            <w:bottom w:val="none" w:sz="0" w:space="0" w:color="auto"/>
            <w:right w:val="none" w:sz="0" w:space="0" w:color="auto"/>
          </w:divBdr>
        </w:div>
        <w:div w:id="1944261883">
          <w:marLeft w:val="640"/>
          <w:marRight w:val="0"/>
          <w:marTop w:val="0"/>
          <w:marBottom w:val="0"/>
          <w:divBdr>
            <w:top w:val="none" w:sz="0" w:space="0" w:color="auto"/>
            <w:left w:val="none" w:sz="0" w:space="0" w:color="auto"/>
            <w:bottom w:val="none" w:sz="0" w:space="0" w:color="auto"/>
            <w:right w:val="none" w:sz="0" w:space="0" w:color="auto"/>
          </w:divBdr>
        </w:div>
        <w:div w:id="407188488">
          <w:marLeft w:val="640"/>
          <w:marRight w:val="0"/>
          <w:marTop w:val="0"/>
          <w:marBottom w:val="0"/>
          <w:divBdr>
            <w:top w:val="none" w:sz="0" w:space="0" w:color="auto"/>
            <w:left w:val="none" w:sz="0" w:space="0" w:color="auto"/>
            <w:bottom w:val="none" w:sz="0" w:space="0" w:color="auto"/>
            <w:right w:val="none" w:sz="0" w:space="0" w:color="auto"/>
          </w:divBdr>
        </w:div>
        <w:div w:id="1018503895">
          <w:marLeft w:val="640"/>
          <w:marRight w:val="0"/>
          <w:marTop w:val="0"/>
          <w:marBottom w:val="0"/>
          <w:divBdr>
            <w:top w:val="none" w:sz="0" w:space="0" w:color="auto"/>
            <w:left w:val="none" w:sz="0" w:space="0" w:color="auto"/>
            <w:bottom w:val="none" w:sz="0" w:space="0" w:color="auto"/>
            <w:right w:val="none" w:sz="0" w:space="0" w:color="auto"/>
          </w:divBdr>
        </w:div>
        <w:div w:id="1028026176">
          <w:marLeft w:val="640"/>
          <w:marRight w:val="0"/>
          <w:marTop w:val="0"/>
          <w:marBottom w:val="0"/>
          <w:divBdr>
            <w:top w:val="none" w:sz="0" w:space="0" w:color="auto"/>
            <w:left w:val="none" w:sz="0" w:space="0" w:color="auto"/>
            <w:bottom w:val="none" w:sz="0" w:space="0" w:color="auto"/>
            <w:right w:val="none" w:sz="0" w:space="0" w:color="auto"/>
          </w:divBdr>
        </w:div>
        <w:div w:id="2146924280">
          <w:marLeft w:val="640"/>
          <w:marRight w:val="0"/>
          <w:marTop w:val="0"/>
          <w:marBottom w:val="0"/>
          <w:divBdr>
            <w:top w:val="none" w:sz="0" w:space="0" w:color="auto"/>
            <w:left w:val="none" w:sz="0" w:space="0" w:color="auto"/>
            <w:bottom w:val="none" w:sz="0" w:space="0" w:color="auto"/>
            <w:right w:val="none" w:sz="0" w:space="0" w:color="auto"/>
          </w:divBdr>
        </w:div>
        <w:div w:id="1829516557">
          <w:marLeft w:val="640"/>
          <w:marRight w:val="0"/>
          <w:marTop w:val="0"/>
          <w:marBottom w:val="0"/>
          <w:divBdr>
            <w:top w:val="none" w:sz="0" w:space="0" w:color="auto"/>
            <w:left w:val="none" w:sz="0" w:space="0" w:color="auto"/>
            <w:bottom w:val="none" w:sz="0" w:space="0" w:color="auto"/>
            <w:right w:val="none" w:sz="0" w:space="0" w:color="auto"/>
          </w:divBdr>
        </w:div>
        <w:div w:id="1090352241">
          <w:marLeft w:val="640"/>
          <w:marRight w:val="0"/>
          <w:marTop w:val="0"/>
          <w:marBottom w:val="0"/>
          <w:divBdr>
            <w:top w:val="none" w:sz="0" w:space="0" w:color="auto"/>
            <w:left w:val="none" w:sz="0" w:space="0" w:color="auto"/>
            <w:bottom w:val="none" w:sz="0" w:space="0" w:color="auto"/>
            <w:right w:val="none" w:sz="0" w:space="0" w:color="auto"/>
          </w:divBdr>
        </w:div>
        <w:div w:id="1086265854">
          <w:marLeft w:val="640"/>
          <w:marRight w:val="0"/>
          <w:marTop w:val="0"/>
          <w:marBottom w:val="0"/>
          <w:divBdr>
            <w:top w:val="none" w:sz="0" w:space="0" w:color="auto"/>
            <w:left w:val="none" w:sz="0" w:space="0" w:color="auto"/>
            <w:bottom w:val="none" w:sz="0" w:space="0" w:color="auto"/>
            <w:right w:val="none" w:sz="0" w:space="0" w:color="auto"/>
          </w:divBdr>
        </w:div>
        <w:div w:id="1438139935">
          <w:marLeft w:val="640"/>
          <w:marRight w:val="0"/>
          <w:marTop w:val="0"/>
          <w:marBottom w:val="0"/>
          <w:divBdr>
            <w:top w:val="none" w:sz="0" w:space="0" w:color="auto"/>
            <w:left w:val="none" w:sz="0" w:space="0" w:color="auto"/>
            <w:bottom w:val="none" w:sz="0" w:space="0" w:color="auto"/>
            <w:right w:val="none" w:sz="0" w:space="0" w:color="auto"/>
          </w:divBdr>
        </w:div>
        <w:div w:id="157353973">
          <w:marLeft w:val="640"/>
          <w:marRight w:val="0"/>
          <w:marTop w:val="0"/>
          <w:marBottom w:val="0"/>
          <w:divBdr>
            <w:top w:val="none" w:sz="0" w:space="0" w:color="auto"/>
            <w:left w:val="none" w:sz="0" w:space="0" w:color="auto"/>
            <w:bottom w:val="none" w:sz="0" w:space="0" w:color="auto"/>
            <w:right w:val="none" w:sz="0" w:space="0" w:color="auto"/>
          </w:divBdr>
        </w:div>
        <w:div w:id="1952004809">
          <w:marLeft w:val="640"/>
          <w:marRight w:val="0"/>
          <w:marTop w:val="0"/>
          <w:marBottom w:val="0"/>
          <w:divBdr>
            <w:top w:val="none" w:sz="0" w:space="0" w:color="auto"/>
            <w:left w:val="none" w:sz="0" w:space="0" w:color="auto"/>
            <w:bottom w:val="none" w:sz="0" w:space="0" w:color="auto"/>
            <w:right w:val="none" w:sz="0" w:space="0" w:color="auto"/>
          </w:divBdr>
        </w:div>
        <w:div w:id="1917350306">
          <w:marLeft w:val="640"/>
          <w:marRight w:val="0"/>
          <w:marTop w:val="0"/>
          <w:marBottom w:val="0"/>
          <w:divBdr>
            <w:top w:val="none" w:sz="0" w:space="0" w:color="auto"/>
            <w:left w:val="none" w:sz="0" w:space="0" w:color="auto"/>
            <w:bottom w:val="none" w:sz="0" w:space="0" w:color="auto"/>
            <w:right w:val="none" w:sz="0" w:space="0" w:color="auto"/>
          </w:divBdr>
        </w:div>
        <w:div w:id="788090198">
          <w:marLeft w:val="640"/>
          <w:marRight w:val="0"/>
          <w:marTop w:val="0"/>
          <w:marBottom w:val="0"/>
          <w:divBdr>
            <w:top w:val="none" w:sz="0" w:space="0" w:color="auto"/>
            <w:left w:val="none" w:sz="0" w:space="0" w:color="auto"/>
            <w:bottom w:val="none" w:sz="0" w:space="0" w:color="auto"/>
            <w:right w:val="none" w:sz="0" w:space="0" w:color="auto"/>
          </w:divBdr>
        </w:div>
        <w:div w:id="799493908">
          <w:marLeft w:val="640"/>
          <w:marRight w:val="0"/>
          <w:marTop w:val="0"/>
          <w:marBottom w:val="0"/>
          <w:divBdr>
            <w:top w:val="none" w:sz="0" w:space="0" w:color="auto"/>
            <w:left w:val="none" w:sz="0" w:space="0" w:color="auto"/>
            <w:bottom w:val="none" w:sz="0" w:space="0" w:color="auto"/>
            <w:right w:val="none" w:sz="0" w:space="0" w:color="auto"/>
          </w:divBdr>
        </w:div>
        <w:div w:id="210654056">
          <w:marLeft w:val="640"/>
          <w:marRight w:val="0"/>
          <w:marTop w:val="0"/>
          <w:marBottom w:val="0"/>
          <w:divBdr>
            <w:top w:val="none" w:sz="0" w:space="0" w:color="auto"/>
            <w:left w:val="none" w:sz="0" w:space="0" w:color="auto"/>
            <w:bottom w:val="none" w:sz="0" w:space="0" w:color="auto"/>
            <w:right w:val="none" w:sz="0" w:space="0" w:color="auto"/>
          </w:divBdr>
        </w:div>
        <w:div w:id="767503644">
          <w:marLeft w:val="640"/>
          <w:marRight w:val="0"/>
          <w:marTop w:val="0"/>
          <w:marBottom w:val="0"/>
          <w:divBdr>
            <w:top w:val="none" w:sz="0" w:space="0" w:color="auto"/>
            <w:left w:val="none" w:sz="0" w:space="0" w:color="auto"/>
            <w:bottom w:val="none" w:sz="0" w:space="0" w:color="auto"/>
            <w:right w:val="none" w:sz="0" w:space="0" w:color="auto"/>
          </w:divBdr>
        </w:div>
        <w:div w:id="697857969">
          <w:marLeft w:val="640"/>
          <w:marRight w:val="0"/>
          <w:marTop w:val="0"/>
          <w:marBottom w:val="0"/>
          <w:divBdr>
            <w:top w:val="none" w:sz="0" w:space="0" w:color="auto"/>
            <w:left w:val="none" w:sz="0" w:space="0" w:color="auto"/>
            <w:bottom w:val="none" w:sz="0" w:space="0" w:color="auto"/>
            <w:right w:val="none" w:sz="0" w:space="0" w:color="auto"/>
          </w:divBdr>
        </w:div>
        <w:div w:id="1812207645">
          <w:marLeft w:val="640"/>
          <w:marRight w:val="0"/>
          <w:marTop w:val="0"/>
          <w:marBottom w:val="0"/>
          <w:divBdr>
            <w:top w:val="none" w:sz="0" w:space="0" w:color="auto"/>
            <w:left w:val="none" w:sz="0" w:space="0" w:color="auto"/>
            <w:bottom w:val="none" w:sz="0" w:space="0" w:color="auto"/>
            <w:right w:val="none" w:sz="0" w:space="0" w:color="auto"/>
          </w:divBdr>
        </w:div>
        <w:div w:id="1988511795">
          <w:marLeft w:val="640"/>
          <w:marRight w:val="0"/>
          <w:marTop w:val="0"/>
          <w:marBottom w:val="0"/>
          <w:divBdr>
            <w:top w:val="none" w:sz="0" w:space="0" w:color="auto"/>
            <w:left w:val="none" w:sz="0" w:space="0" w:color="auto"/>
            <w:bottom w:val="none" w:sz="0" w:space="0" w:color="auto"/>
            <w:right w:val="none" w:sz="0" w:space="0" w:color="auto"/>
          </w:divBdr>
        </w:div>
        <w:div w:id="1292252584">
          <w:marLeft w:val="640"/>
          <w:marRight w:val="0"/>
          <w:marTop w:val="0"/>
          <w:marBottom w:val="0"/>
          <w:divBdr>
            <w:top w:val="none" w:sz="0" w:space="0" w:color="auto"/>
            <w:left w:val="none" w:sz="0" w:space="0" w:color="auto"/>
            <w:bottom w:val="none" w:sz="0" w:space="0" w:color="auto"/>
            <w:right w:val="none" w:sz="0" w:space="0" w:color="auto"/>
          </w:divBdr>
        </w:div>
        <w:div w:id="372267380">
          <w:marLeft w:val="640"/>
          <w:marRight w:val="0"/>
          <w:marTop w:val="0"/>
          <w:marBottom w:val="0"/>
          <w:divBdr>
            <w:top w:val="none" w:sz="0" w:space="0" w:color="auto"/>
            <w:left w:val="none" w:sz="0" w:space="0" w:color="auto"/>
            <w:bottom w:val="none" w:sz="0" w:space="0" w:color="auto"/>
            <w:right w:val="none" w:sz="0" w:space="0" w:color="auto"/>
          </w:divBdr>
        </w:div>
        <w:div w:id="591740971">
          <w:marLeft w:val="640"/>
          <w:marRight w:val="0"/>
          <w:marTop w:val="0"/>
          <w:marBottom w:val="0"/>
          <w:divBdr>
            <w:top w:val="none" w:sz="0" w:space="0" w:color="auto"/>
            <w:left w:val="none" w:sz="0" w:space="0" w:color="auto"/>
            <w:bottom w:val="none" w:sz="0" w:space="0" w:color="auto"/>
            <w:right w:val="none" w:sz="0" w:space="0" w:color="auto"/>
          </w:divBdr>
        </w:div>
        <w:div w:id="1238786864">
          <w:marLeft w:val="640"/>
          <w:marRight w:val="0"/>
          <w:marTop w:val="0"/>
          <w:marBottom w:val="0"/>
          <w:divBdr>
            <w:top w:val="none" w:sz="0" w:space="0" w:color="auto"/>
            <w:left w:val="none" w:sz="0" w:space="0" w:color="auto"/>
            <w:bottom w:val="none" w:sz="0" w:space="0" w:color="auto"/>
            <w:right w:val="none" w:sz="0" w:space="0" w:color="auto"/>
          </w:divBdr>
        </w:div>
        <w:div w:id="2027248860">
          <w:marLeft w:val="640"/>
          <w:marRight w:val="0"/>
          <w:marTop w:val="0"/>
          <w:marBottom w:val="0"/>
          <w:divBdr>
            <w:top w:val="none" w:sz="0" w:space="0" w:color="auto"/>
            <w:left w:val="none" w:sz="0" w:space="0" w:color="auto"/>
            <w:bottom w:val="none" w:sz="0" w:space="0" w:color="auto"/>
            <w:right w:val="none" w:sz="0" w:space="0" w:color="auto"/>
          </w:divBdr>
        </w:div>
        <w:div w:id="1600259463">
          <w:marLeft w:val="640"/>
          <w:marRight w:val="0"/>
          <w:marTop w:val="0"/>
          <w:marBottom w:val="0"/>
          <w:divBdr>
            <w:top w:val="none" w:sz="0" w:space="0" w:color="auto"/>
            <w:left w:val="none" w:sz="0" w:space="0" w:color="auto"/>
            <w:bottom w:val="none" w:sz="0" w:space="0" w:color="auto"/>
            <w:right w:val="none" w:sz="0" w:space="0" w:color="auto"/>
          </w:divBdr>
        </w:div>
        <w:div w:id="1605304526">
          <w:marLeft w:val="640"/>
          <w:marRight w:val="0"/>
          <w:marTop w:val="0"/>
          <w:marBottom w:val="0"/>
          <w:divBdr>
            <w:top w:val="none" w:sz="0" w:space="0" w:color="auto"/>
            <w:left w:val="none" w:sz="0" w:space="0" w:color="auto"/>
            <w:bottom w:val="none" w:sz="0" w:space="0" w:color="auto"/>
            <w:right w:val="none" w:sz="0" w:space="0" w:color="auto"/>
          </w:divBdr>
        </w:div>
        <w:div w:id="1015762663">
          <w:marLeft w:val="640"/>
          <w:marRight w:val="0"/>
          <w:marTop w:val="0"/>
          <w:marBottom w:val="0"/>
          <w:divBdr>
            <w:top w:val="none" w:sz="0" w:space="0" w:color="auto"/>
            <w:left w:val="none" w:sz="0" w:space="0" w:color="auto"/>
            <w:bottom w:val="none" w:sz="0" w:space="0" w:color="auto"/>
            <w:right w:val="none" w:sz="0" w:space="0" w:color="auto"/>
          </w:divBdr>
        </w:div>
        <w:div w:id="1450931721">
          <w:marLeft w:val="640"/>
          <w:marRight w:val="0"/>
          <w:marTop w:val="0"/>
          <w:marBottom w:val="0"/>
          <w:divBdr>
            <w:top w:val="none" w:sz="0" w:space="0" w:color="auto"/>
            <w:left w:val="none" w:sz="0" w:space="0" w:color="auto"/>
            <w:bottom w:val="none" w:sz="0" w:space="0" w:color="auto"/>
            <w:right w:val="none" w:sz="0" w:space="0" w:color="auto"/>
          </w:divBdr>
        </w:div>
        <w:div w:id="1614288518">
          <w:marLeft w:val="640"/>
          <w:marRight w:val="0"/>
          <w:marTop w:val="0"/>
          <w:marBottom w:val="0"/>
          <w:divBdr>
            <w:top w:val="none" w:sz="0" w:space="0" w:color="auto"/>
            <w:left w:val="none" w:sz="0" w:space="0" w:color="auto"/>
            <w:bottom w:val="none" w:sz="0" w:space="0" w:color="auto"/>
            <w:right w:val="none" w:sz="0" w:space="0" w:color="auto"/>
          </w:divBdr>
        </w:div>
        <w:div w:id="1669674925">
          <w:marLeft w:val="640"/>
          <w:marRight w:val="0"/>
          <w:marTop w:val="0"/>
          <w:marBottom w:val="0"/>
          <w:divBdr>
            <w:top w:val="none" w:sz="0" w:space="0" w:color="auto"/>
            <w:left w:val="none" w:sz="0" w:space="0" w:color="auto"/>
            <w:bottom w:val="none" w:sz="0" w:space="0" w:color="auto"/>
            <w:right w:val="none" w:sz="0" w:space="0" w:color="auto"/>
          </w:divBdr>
        </w:div>
        <w:div w:id="180317156">
          <w:marLeft w:val="640"/>
          <w:marRight w:val="0"/>
          <w:marTop w:val="0"/>
          <w:marBottom w:val="0"/>
          <w:divBdr>
            <w:top w:val="none" w:sz="0" w:space="0" w:color="auto"/>
            <w:left w:val="none" w:sz="0" w:space="0" w:color="auto"/>
            <w:bottom w:val="none" w:sz="0" w:space="0" w:color="auto"/>
            <w:right w:val="none" w:sz="0" w:space="0" w:color="auto"/>
          </w:divBdr>
        </w:div>
        <w:div w:id="958141511">
          <w:marLeft w:val="640"/>
          <w:marRight w:val="0"/>
          <w:marTop w:val="0"/>
          <w:marBottom w:val="0"/>
          <w:divBdr>
            <w:top w:val="none" w:sz="0" w:space="0" w:color="auto"/>
            <w:left w:val="none" w:sz="0" w:space="0" w:color="auto"/>
            <w:bottom w:val="none" w:sz="0" w:space="0" w:color="auto"/>
            <w:right w:val="none" w:sz="0" w:space="0" w:color="auto"/>
          </w:divBdr>
        </w:div>
        <w:div w:id="610279722">
          <w:marLeft w:val="640"/>
          <w:marRight w:val="0"/>
          <w:marTop w:val="0"/>
          <w:marBottom w:val="0"/>
          <w:divBdr>
            <w:top w:val="none" w:sz="0" w:space="0" w:color="auto"/>
            <w:left w:val="none" w:sz="0" w:space="0" w:color="auto"/>
            <w:bottom w:val="none" w:sz="0" w:space="0" w:color="auto"/>
            <w:right w:val="none" w:sz="0" w:space="0" w:color="auto"/>
          </w:divBdr>
        </w:div>
        <w:div w:id="15928204">
          <w:marLeft w:val="640"/>
          <w:marRight w:val="0"/>
          <w:marTop w:val="0"/>
          <w:marBottom w:val="0"/>
          <w:divBdr>
            <w:top w:val="none" w:sz="0" w:space="0" w:color="auto"/>
            <w:left w:val="none" w:sz="0" w:space="0" w:color="auto"/>
            <w:bottom w:val="none" w:sz="0" w:space="0" w:color="auto"/>
            <w:right w:val="none" w:sz="0" w:space="0" w:color="auto"/>
          </w:divBdr>
        </w:div>
        <w:div w:id="1888948810">
          <w:marLeft w:val="640"/>
          <w:marRight w:val="0"/>
          <w:marTop w:val="0"/>
          <w:marBottom w:val="0"/>
          <w:divBdr>
            <w:top w:val="none" w:sz="0" w:space="0" w:color="auto"/>
            <w:left w:val="none" w:sz="0" w:space="0" w:color="auto"/>
            <w:bottom w:val="none" w:sz="0" w:space="0" w:color="auto"/>
            <w:right w:val="none" w:sz="0" w:space="0" w:color="auto"/>
          </w:divBdr>
        </w:div>
        <w:div w:id="946078900">
          <w:marLeft w:val="640"/>
          <w:marRight w:val="0"/>
          <w:marTop w:val="0"/>
          <w:marBottom w:val="0"/>
          <w:divBdr>
            <w:top w:val="none" w:sz="0" w:space="0" w:color="auto"/>
            <w:left w:val="none" w:sz="0" w:space="0" w:color="auto"/>
            <w:bottom w:val="none" w:sz="0" w:space="0" w:color="auto"/>
            <w:right w:val="none" w:sz="0" w:space="0" w:color="auto"/>
          </w:divBdr>
        </w:div>
        <w:div w:id="1426655348">
          <w:marLeft w:val="640"/>
          <w:marRight w:val="0"/>
          <w:marTop w:val="0"/>
          <w:marBottom w:val="0"/>
          <w:divBdr>
            <w:top w:val="none" w:sz="0" w:space="0" w:color="auto"/>
            <w:left w:val="none" w:sz="0" w:space="0" w:color="auto"/>
            <w:bottom w:val="none" w:sz="0" w:space="0" w:color="auto"/>
            <w:right w:val="none" w:sz="0" w:space="0" w:color="auto"/>
          </w:divBdr>
        </w:div>
        <w:div w:id="105656806">
          <w:marLeft w:val="640"/>
          <w:marRight w:val="0"/>
          <w:marTop w:val="0"/>
          <w:marBottom w:val="0"/>
          <w:divBdr>
            <w:top w:val="none" w:sz="0" w:space="0" w:color="auto"/>
            <w:left w:val="none" w:sz="0" w:space="0" w:color="auto"/>
            <w:bottom w:val="none" w:sz="0" w:space="0" w:color="auto"/>
            <w:right w:val="none" w:sz="0" w:space="0" w:color="auto"/>
          </w:divBdr>
        </w:div>
        <w:div w:id="214902282">
          <w:marLeft w:val="640"/>
          <w:marRight w:val="0"/>
          <w:marTop w:val="0"/>
          <w:marBottom w:val="0"/>
          <w:divBdr>
            <w:top w:val="none" w:sz="0" w:space="0" w:color="auto"/>
            <w:left w:val="none" w:sz="0" w:space="0" w:color="auto"/>
            <w:bottom w:val="none" w:sz="0" w:space="0" w:color="auto"/>
            <w:right w:val="none" w:sz="0" w:space="0" w:color="auto"/>
          </w:divBdr>
        </w:div>
        <w:div w:id="1856649803">
          <w:marLeft w:val="640"/>
          <w:marRight w:val="0"/>
          <w:marTop w:val="0"/>
          <w:marBottom w:val="0"/>
          <w:divBdr>
            <w:top w:val="none" w:sz="0" w:space="0" w:color="auto"/>
            <w:left w:val="none" w:sz="0" w:space="0" w:color="auto"/>
            <w:bottom w:val="none" w:sz="0" w:space="0" w:color="auto"/>
            <w:right w:val="none" w:sz="0" w:space="0" w:color="auto"/>
          </w:divBdr>
        </w:div>
        <w:div w:id="2102987167">
          <w:marLeft w:val="640"/>
          <w:marRight w:val="0"/>
          <w:marTop w:val="0"/>
          <w:marBottom w:val="0"/>
          <w:divBdr>
            <w:top w:val="none" w:sz="0" w:space="0" w:color="auto"/>
            <w:left w:val="none" w:sz="0" w:space="0" w:color="auto"/>
            <w:bottom w:val="none" w:sz="0" w:space="0" w:color="auto"/>
            <w:right w:val="none" w:sz="0" w:space="0" w:color="auto"/>
          </w:divBdr>
        </w:div>
        <w:div w:id="1025181422">
          <w:marLeft w:val="640"/>
          <w:marRight w:val="0"/>
          <w:marTop w:val="0"/>
          <w:marBottom w:val="0"/>
          <w:divBdr>
            <w:top w:val="none" w:sz="0" w:space="0" w:color="auto"/>
            <w:left w:val="none" w:sz="0" w:space="0" w:color="auto"/>
            <w:bottom w:val="none" w:sz="0" w:space="0" w:color="auto"/>
            <w:right w:val="none" w:sz="0" w:space="0" w:color="auto"/>
          </w:divBdr>
        </w:div>
        <w:div w:id="204800950">
          <w:marLeft w:val="640"/>
          <w:marRight w:val="0"/>
          <w:marTop w:val="0"/>
          <w:marBottom w:val="0"/>
          <w:divBdr>
            <w:top w:val="none" w:sz="0" w:space="0" w:color="auto"/>
            <w:left w:val="none" w:sz="0" w:space="0" w:color="auto"/>
            <w:bottom w:val="none" w:sz="0" w:space="0" w:color="auto"/>
            <w:right w:val="none" w:sz="0" w:space="0" w:color="auto"/>
          </w:divBdr>
        </w:div>
        <w:div w:id="1241788332">
          <w:marLeft w:val="640"/>
          <w:marRight w:val="0"/>
          <w:marTop w:val="0"/>
          <w:marBottom w:val="0"/>
          <w:divBdr>
            <w:top w:val="none" w:sz="0" w:space="0" w:color="auto"/>
            <w:left w:val="none" w:sz="0" w:space="0" w:color="auto"/>
            <w:bottom w:val="none" w:sz="0" w:space="0" w:color="auto"/>
            <w:right w:val="none" w:sz="0" w:space="0" w:color="auto"/>
          </w:divBdr>
        </w:div>
        <w:div w:id="1060902197">
          <w:marLeft w:val="640"/>
          <w:marRight w:val="0"/>
          <w:marTop w:val="0"/>
          <w:marBottom w:val="0"/>
          <w:divBdr>
            <w:top w:val="none" w:sz="0" w:space="0" w:color="auto"/>
            <w:left w:val="none" w:sz="0" w:space="0" w:color="auto"/>
            <w:bottom w:val="none" w:sz="0" w:space="0" w:color="auto"/>
            <w:right w:val="none" w:sz="0" w:space="0" w:color="auto"/>
          </w:divBdr>
        </w:div>
        <w:div w:id="9070936">
          <w:marLeft w:val="640"/>
          <w:marRight w:val="0"/>
          <w:marTop w:val="0"/>
          <w:marBottom w:val="0"/>
          <w:divBdr>
            <w:top w:val="none" w:sz="0" w:space="0" w:color="auto"/>
            <w:left w:val="none" w:sz="0" w:space="0" w:color="auto"/>
            <w:bottom w:val="none" w:sz="0" w:space="0" w:color="auto"/>
            <w:right w:val="none" w:sz="0" w:space="0" w:color="auto"/>
          </w:divBdr>
        </w:div>
        <w:div w:id="966202895">
          <w:marLeft w:val="640"/>
          <w:marRight w:val="0"/>
          <w:marTop w:val="0"/>
          <w:marBottom w:val="0"/>
          <w:divBdr>
            <w:top w:val="none" w:sz="0" w:space="0" w:color="auto"/>
            <w:left w:val="none" w:sz="0" w:space="0" w:color="auto"/>
            <w:bottom w:val="none" w:sz="0" w:space="0" w:color="auto"/>
            <w:right w:val="none" w:sz="0" w:space="0" w:color="auto"/>
          </w:divBdr>
        </w:div>
        <w:div w:id="392318269">
          <w:marLeft w:val="640"/>
          <w:marRight w:val="0"/>
          <w:marTop w:val="0"/>
          <w:marBottom w:val="0"/>
          <w:divBdr>
            <w:top w:val="none" w:sz="0" w:space="0" w:color="auto"/>
            <w:left w:val="none" w:sz="0" w:space="0" w:color="auto"/>
            <w:bottom w:val="none" w:sz="0" w:space="0" w:color="auto"/>
            <w:right w:val="none" w:sz="0" w:space="0" w:color="auto"/>
          </w:divBdr>
        </w:div>
        <w:div w:id="623191846">
          <w:marLeft w:val="640"/>
          <w:marRight w:val="0"/>
          <w:marTop w:val="0"/>
          <w:marBottom w:val="0"/>
          <w:divBdr>
            <w:top w:val="none" w:sz="0" w:space="0" w:color="auto"/>
            <w:left w:val="none" w:sz="0" w:space="0" w:color="auto"/>
            <w:bottom w:val="none" w:sz="0" w:space="0" w:color="auto"/>
            <w:right w:val="none" w:sz="0" w:space="0" w:color="auto"/>
          </w:divBdr>
        </w:div>
        <w:div w:id="1304580352">
          <w:marLeft w:val="640"/>
          <w:marRight w:val="0"/>
          <w:marTop w:val="0"/>
          <w:marBottom w:val="0"/>
          <w:divBdr>
            <w:top w:val="none" w:sz="0" w:space="0" w:color="auto"/>
            <w:left w:val="none" w:sz="0" w:space="0" w:color="auto"/>
            <w:bottom w:val="none" w:sz="0" w:space="0" w:color="auto"/>
            <w:right w:val="none" w:sz="0" w:space="0" w:color="auto"/>
          </w:divBdr>
        </w:div>
        <w:div w:id="1615552381">
          <w:marLeft w:val="640"/>
          <w:marRight w:val="0"/>
          <w:marTop w:val="0"/>
          <w:marBottom w:val="0"/>
          <w:divBdr>
            <w:top w:val="none" w:sz="0" w:space="0" w:color="auto"/>
            <w:left w:val="none" w:sz="0" w:space="0" w:color="auto"/>
            <w:bottom w:val="none" w:sz="0" w:space="0" w:color="auto"/>
            <w:right w:val="none" w:sz="0" w:space="0" w:color="auto"/>
          </w:divBdr>
        </w:div>
        <w:div w:id="1597327522">
          <w:marLeft w:val="640"/>
          <w:marRight w:val="0"/>
          <w:marTop w:val="0"/>
          <w:marBottom w:val="0"/>
          <w:divBdr>
            <w:top w:val="none" w:sz="0" w:space="0" w:color="auto"/>
            <w:left w:val="none" w:sz="0" w:space="0" w:color="auto"/>
            <w:bottom w:val="none" w:sz="0" w:space="0" w:color="auto"/>
            <w:right w:val="none" w:sz="0" w:space="0" w:color="auto"/>
          </w:divBdr>
        </w:div>
        <w:div w:id="243417317">
          <w:marLeft w:val="640"/>
          <w:marRight w:val="0"/>
          <w:marTop w:val="0"/>
          <w:marBottom w:val="0"/>
          <w:divBdr>
            <w:top w:val="none" w:sz="0" w:space="0" w:color="auto"/>
            <w:left w:val="none" w:sz="0" w:space="0" w:color="auto"/>
            <w:bottom w:val="none" w:sz="0" w:space="0" w:color="auto"/>
            <w:right w:val="none" w:sz="0" w:space="0" w:color="auto"/>
          </w:divBdr>
        </w:div>
        <w:div w:id="70128556">
          <w:marLeft w:val="640"/>
          <w:marRight w:val="0"/>
          <w:marTop w:val="0"/>
          <w:marBottom w:val="0"/>
          <w:divBdr>
            <w:top w:val="none" w:sz="0" w:space="0" w:color="auto"/>
            <w:left w:val="none" w:sz="0" w:space="0" w:color="auto"/>
            <w:bottom w:val="none" w:sz="0" w:space="0" w:color="auto"/>
            <w:right w:val="none" w:sz="0" w:space="0" w:color="auto"/>
          </w:divBdr>
        </w:div>
        <w:div w:id="785584798">
          <w:marLeft w:val="640"/>
          <w:marRight w:val="0"/>
          <w:marTop w:val="0"/>
          <w:marBottom w:val="0"/>
          <w:divBdr>
            <w:top w:val="none" w:sz="0" w:space="0" w:color="auto"/>
            <w:left w:val="none" w:sz="0" w:space="0" w:color="auto"/>
            <w:bottom w:val="none" w:sz="0" w:space="0" w:color="auto"/>
            <w:right w:val="none" w:sz="0" w:space="0" w:color="auto"/>
          </w:divBdr>
        </w:div>
        <w:div w:id="844133373">
          <w:marLeft w:val="640"/>
          <w:marRight w:val="0"/>
          <w:marTop w:val="0"/>
          <w:marBottom w:val="0"/>
          <w:divBdr>
            <w:top w:val="none" w:sz="0" w:space="0" w:color="auto"/>
            <w:left w:val="none" w:sz="0" w:space="0" w:color="auto"/>
            <w:bottom w:val="none" w:sz="0" w:space="0" w:color="auto"/>
            <w:right w:val="none" w:sz="0" w:space="0" w:color="auto"/>
          </w:divBdr>
        </w:div>
        <w:div w:id="175770643">
          <w:marLeft w:val="640"/>
          <w:marRight w:val="0"/>
          <w:marTop w:val="0"/>
          <w:marBottom w:val="0"/>
          <w:divBdr>
            <w:top w:val="none" w:sz="0" w:space="0" w:color="auto"/>
            <w:left w:val="none" w:sz="0" w:space="0" w:color="auto"/>
            <w:bottom w:val="none" w:sz="0" w:space="0" w:color="auto"/>
            <w:right w:val="none" w:sz="0" w:space="0" w:color="auto"/>
          </w:divBdr>
        </w:div>
        <w:div w:id="979766089">
          <w:marLeft w:val="640"/>
          <w:marRight w:val="0"/>
          <w:marTop w:val="0"/>
          <w:marBottom w:val="0"/>
          <w:divBdr>
            <w:top w:val="none" w:sz="0" w:space="0" w:color="auto"/>
            <w:left w:val="none" w:sz="0" w:space="0" w:color="auto"/>
            <w:bottom w:val="none" w:sz="0" w:space="0" w:color="auto"/>
            <w:right w:val="none" w:sz="0" w:space="0" w:color="auto"/>
          </w:divBdr>
        </w:div>
        <w:div w:id="1986816114">
          <w:marLeft w:val="640"/>
          <w:marRight w:val="0"/>
          <w:marTop w:val="0"/>
          <w:marBottom w:val="0"/>
          <w:divBdr>
            <w:top w:val="none" w:sz="0" w:space="0" w:color="auto"/>
            <w:left w:val="none" w:sz="0" w:space="0" w:color="auto"/>
            <w:bottom w:val="none" w:sz="0" w:space="0" w:color="auto"/>
            <w:right w:val="none" w:sz="0" w:space="0" w:color="auto"/>
          </w:divBdr>
        </w:div>
        <w:div w:id="1492990672">
          <w:marLeft w:val="640"/>
          <w:marRight w:val="0"/>
          <w:marTop w:val="0"/>
          <w:marBottom w:val="0"/>
          <w:divBdr>
            <w:top w:val="none" w:sz="0" w:space="0" w:color="auto"/>
            <w:left w:val="none" w:sz="0" w:space="0" w:color="auto"/>
            <w:bottom w:val="none" w:sz="0" w:space="0" w:color="auto"/>
            <w:right w:val="none" w:sz="0" w:space="0" w:color="auto"/>
          </w:divBdr>
        </w:div>
        <w:div w:id="836574138">
          <w:marLeft w:val="640"/>
          <w:marRight w:val="0"/>
          <w:marTop w:val="0"/>
          <w:marBottom w:val="0"/>
          <w:divBdr>
            <w:top w:val="none" w:sz="0" w:space="0" w:color="auto"/>
            <w:left w:val="none" w:sz="0" w:space="0" w:color="auto"/>
            <w:bottom w:val="none" w:sz="0" w:space="0" w:color="auto"/>
            <w:right w:val="none" w:sz="0" w:space="0" w:color="auto"/>
          </w:divBdr>
        </w:div>
        <w:div w:id="1161896984">
          <w:marLeft w:val="640"/>
          <w:marRight w:val="0"/>
          <w:marTop w:val="0"/>
          <w:marBottom w:val="0"/>
          <w:divBdr>
            <w:top w:val="none" w:sz="0" w:space="0" w:color="auto"/>
            <w:left w:val="none" w:sz="0" w:space="0" w:color="auto"/>
            <w:bottom w:val="none" w:sz="0" w:space="0" w:color="auto"/>
            <w:right w:val="none" w:sz="0" w:space="0" w:color="auto"/>
          </w:divBdr>
        </w:div>
        <w:div w:id="789518334">
          <w:marLeft w:val="640"/>
          <w:marRight w:val="0"/>
          <w:marTop w:val="0"/>
          <w:marBottom w:val="0"/>
          <w:divBdr>
            <w:top w:val="none" w:sz="0" w:space="0" w:color="auto"/>
            <w:left w:val="none" w:sz="0" w:space="0" w:color="auto"/>
            <w:bottom w:val="none" w:sz="0" w:space="0" w:color="auto"/>
            <w:right w:val="none" w:sz="0" w:space="0" w:color="auto"/>
          </w:divBdr>
        </w:div>
        <w:div w:id="502622395">
          <w:marLeft w:val="640"/>
          <w:marRight w:val="0"/>
          <w:marTop w:val="0"/>
          <w:marBottom w:val="0"/>
          <w:divBdr>
            <w:top w:val="none" w:sz="0" w:space="0" w:color="auto"/>
            <w:left w:val="none" w:sz="0" w:space="0" w:color="auto"/>
            <w:bottom w:val="none" w:sz="0" w:space="0" w:color="auto"/>
            <w:right w:val="none" w:sz="0" w:space="0" w:color="auto"/>
          </w:divBdr>
        </w:div>
        <w:div w:id="211625739">
          <w:marLeft w:val="640"/>
          <w:marRight w:val="0"/>
          <w:marTop w:val="0"/>
          <w:marBottom w:val="0"/>
          <w:divBdr>
            <w:top w:val="none" w:sz="0" w:space="0" w:color="auto"/>
            <w:left w:val="none" w:sz="0" w:space="0" w:color="auto"/>
            <w:bottom w:val="none" w:sz="0" w:space="0" w:color="auto"/>
            <w:right w:val="none" w:sz="0" w:space="0" w:color="auto"/>
          </w:divBdr>
        </w:div>
        <w:div w:id="578752003">
          <w:marLeft w:val="640"/>
          <w:marRight w:val="0"/>
          <w:marTop w:val="0"/>
          <w:marBottom w:val="0"/>
          <w:divBdr>
            <w:top w:val="none" w:sz="0" w:space="0" w:color="auto"/>
            <w:left w:val="none" w:sz="0" w:space="0" w:color="auto"/>
            <w:bottom w:val="none" w:sz="0" w:space="0" w:color="auto"/>
            <w:right w:val="none" w:sz="0" w:space="0" w:color="auto"/>
          </w:divBdr>
        </w:div>
        <w:div w:id="2029745404">
          <w:marLeft w:val="640"/>
          <w:marRight w:val="0"/>
          <w:marTop w:val="0"/>
          <w:marBottom w:val="0"/>
          <w:divBdr>
            <w:top w:val="none" w:sz="0" w:space="0" w:color="auto"/>
            <w:left w:val="none" w:sz="0" w:space="0" w:color="auto"/>
            <w:bottom w:val="none" w:sz="0" w:space="0" w:color="auto"/>
            <w:right w:val="none" w:sz="0" w:space="0" w:color="auto"/>
          </w:divBdr>
        </w:div>
        <w:div w:id="878006669">
          <w:marLeft w:val="640"/>
          <w:marRight w:val="0"/>
          <w:marTop w:val="0"/>
          <w:marBottom w:val="0"/>
          <w:divBdr>
            <w:top w:val="none" w:sz="0" w:space="0" w:color="auto"/>
            <w:left w:val="none" w:sz="0" w:space="0" w:color="auto"/>
            <w:bottom w:val="none" w:sz="0" w:space="0" w:color="auto"/>
            <w:right w:val="none" w:sz="0" w:space="0" w:color="auto"/>
          </w:divBdr>
        </w:div>
        <w:div w:id="842551473">
          <w:marLeft w:val="640"/>
          <w:marRight w:val="0"/>
          <w:marTop w:val="0"/>
          <w:marBottom w:val="0"/>
          <w:divBdr>
            <w:top w:val="none" w:sz="0" w:space="0" w:color="auto"/>
            <w:left w:val="none" w:sz="0" w:space="0" w:color="auto"/>
            <w:bottom w:val="none" w:sz="0" w:space="0" w:color="auto"/>
            <w:right w:val="none" w:sz="0" w:space="0" w:color="auto"/>
          </w:divBdr>
        </w:div>
        <w:div w:id="98068805">
          <w:marLeft w:val="640"/>
          <w:marRight w:val="0"/>
          <w:marTop w:val="0"/>
          <w:marBottom w:val="0"/>
          <w:divBdr>
            <w:top w:val="none" w:sz="0" w:space="0" w:color="auto"/>
            <w:left w:val="none" w:sz="0" w:space="0" w:color="auto"/>
            <w:bottom w:val="none" w:sz="0" w:space="0" w:color="auto"/>
            <w:right w:val="none" w:sz="0" w:space="0" w:color="auto"/>
          </w:divBdr>
        </w:div>
        <w:div w:id="1184202749">
          <w:marLeft w:val="640"/>
          <w:marRight w:val="0"/>
          <w:marTop w:val="0"/>
          <w:marBottom w:val="0"/>
          <w:divBdr>
            <w:top w:val="none" w:sz="0" w:space="0" w:color="auto"/>
            <w:left w:val="none" w:sz="0" w:space="0" w:color="auto"/>
            <w:bottom w:val="none" w:sz="0" w:space="0" w:color="auto"/>
            <w:right w:val="none" w:sz="0" w:space="0" w:color="auto"/>
          </w:divBdr>
        </w:div>
        <w:div w:id="140852949">
          <w:marLeft w:val="640"/>
          <w:marRight w:val="0"/>
          <w:marTop w:val="0"/>
          <w:marBottom w:val="0"/>
          <w:divBdr>
            <w:top w:val="none" w:sz="0" w:space="0" w:color="auto"/>
            <w:left w:val="none" w:sz="0" w:space="0" w:color="auto"/>
            <w:bottom w:val="none" w:sz="0" w:space="0" w:color="auto"/>
            <w:right w:val="none" w:sz="0" w:space="0" w:color="auto"/>
          </w:divBdr>
        </w:div>
        <w:div w:id="714237602">
          <w:marLeft w:val="640"/>
          <w:marRight w:val="0"/>
          <w:marTop w:val="0"/>
          <w:marBottom w:val="0"/>
          <w:divBdr>
            <w:top w:val="none" w:sz="0" w:space="0" w:color="auto"/>
            <w:left w:val="none" w:sz="0" w:space="0" w:color="auto"/>
            <w:bottom w:val="none" w:sz="0" w:space="0" w:color="auto"/>
            <w:right w:val="none" w:sz="0" w:space="0" w:color="auto"/>
          </w:divBdr>
        </w:div>
        <w:div w:id="397291719">
          <w:marLeft w:val="640"/>
          <w:marRight w:val="0"/>
          <w:marTop w:val="0"/>
          <w:marBottom w:val="0"/>
          <w:divBdr>
            <w:top w:val="none" w:sz="0" w:space="0" w:color="auto"/>
            <w:left w:val="none" w:sz="0" w:space="0" w:color="auto"/>
            <w:bottom w:val="none" w:sz="0" w:space="0" w:color="auto"/>
            <w:right w:val="none" w:sz="0" w:space="0" w:color="auto"/>
          </w:divBdr>
        </w:div>
        <w:div w:id="633488642">
          <w:marLeft w:val="640"/>
          <w:marRight w:val="0"/>
          <w:marTop w:val="0"/>
          <w:marBottom w:val="0"/>
          <w:divBdr>
            <w:top w:val="none" w:sz="0" w:space="0" w:color="auto"/>
            <w:left w:val="none" w:sz="0" w:space="0" w:color="auto"/>
            <w:bottom w:val="none" w:sz="0" w:space="0" w:color="auto"/>
            <w:right w:val="none" w:sz="0" w:space="0" w:color="auto"/>
          </w:divBdr>
        </w:div>
        <w:div w:id="106589583">
          <w:marLeft w:val="640"/>
          <w:marRight w:val="0"/>
          <w:marTop w:val="0"/>
          <w:marBottom w:val="0"/>
          <w:divBdr>
            <w:top w:val="none" w:sz="0" w:space="0" w:color="auto"/>
            <w:left w:val="none" w:sz="0" w:space="0" w:color="auto"/>
            <w:bottom w:val="none" w:sz="0" w:space="0" w:color="auto"/>
            <w:right w:val="none" w:sz="0" w:space="0" w:color="auto"/>
          </w:divBdr>
        </w:div>
        <w:div w:id="1629361572">
          <w:marLeft w:val="640"/>
          <w:marRight w:val="0"/>
          <w:marTop w:val="0"/>
          <w:marBottom w:val="0"/>
          <w:divBdr>
            <w:top w:val="none" w:sz="0" w:space="0" w:color="auto"/>
            <w:left w:val="none" w:sz="0" w:space="0" w:color="auto"/>
            <w:bottom w:val="none" w:sz="0" w:space="0" w:color="auto"/>
            <w:right w:val="none" w:sz="0" w:space="0" w:color="auto"/>
          </w:divBdr>
        </w:div>
        <w:div w:id="1425225589">
          <w:marLeft w:val="640"/>
          <w:marRight w:val="0"/>
          <w:marTop w:val="0"/>
          <w:marBottom w:val="0"/>
          <w:divBdr>
            <w:top w:val="none" w:sz="0" w:space="0" w:color="auto"/>
            <w:left w:val="none" w:sz="0" w:space="0" w:color="auto"/>
            <w:bottom w:val="none" w:sz="0" w:space="0" w:color="auto"/>
            <w:right w:val="none" w:sz="0" w:space="0" w:color="auto"/>
          </w:divBdr>
        </w:div>
        <w:div w:id="878471473">
          <w:marLeft w:val="640"/>
          <w:marRight w:val="0"/>
          <w:marTop w:val="0"/>
          <w:marBottom w:val="0"/>
          <w:divBdr>
            <w:top w:val="none" w:sz="0" w:space="0" w:color="auto"/>
            <w:left w:val="none" w:sz="0" w:space="0" w:color="auto"/>
            <w:bottom w:val="none" w:sz="0" w:space="0" w:color="auto"/>
            <w:right w:val="none" w:sz="0" w:space="0" w:color="auto"/>
          </w:divBdr>
        </w:div>
        <w:div w:id="420299307">
          <w:marLeft w:val="640"/>
          <w:marRight w:val="0"/>
          <w:marTop w:val="0"/>
          <w:marBottom w:val="0"/>
          <w:divBdr>
            <w:top w:val="none" w:sz="0" w:space="0" w:color="auto"/>
            <w:left w:val="none" w:sz="0" w:space="0" w:color="auto"/>
            <w:bottom w:val="none" w:sz="0" w:space="0" w:color="auto"/>
            <w:right w:val="none" w:sz="0" w:space="0" w:color="auto"/>
          </w:divBdr>
        </w:div>
        <w:div w:id="1963029157">
          <w:marLeft w:val="640"/>
          <w:marRight w:val="0"/>
          <w:marTop w:val="0"/>
          <w:marBottom w:val="0"/>
          <w:divBdr>
            <w:top w:val="none" w:sz="0" w:space="0" w:color="auto"/>
            <w:left w:val="none" w:sz="0" w:space="0" w:color="auto"/>
            <w:bottom w:val="none" w:sz="0" w:space="0" w:color="auto"/>
            <w:right w:val="none" w:sz="0" w:space="0" w:color="auto"/>
          </w:divBdr>
        </w:div>
        <w:div w:id="1572109600">
          <w:marLeft w:val="640"/>
          <w:marRight w:val="0"/>
          <w:marTop w:val="0"/>
          <w:marBottom w:val="0"/>
          <w:divBdr>
            <w:top w:val="none" w:sz="0" w:space="0" w:color="auto"/>
            <w:left w:val="none" w:sz="0" w:space="0" w:color="auto"/>
            <w:bottom w:val="none" w:sz="0" w:space="0" w:color="auto"/>
            <w:right w:val="none" w:sz="0" w:space="0" w:color="auto"/>
          </w:divBdr>
        </w:div>
        <w:div w:id="96411610">
          <w:marLeft w:val="640"/>
          <w:marRight w:val="0"/>
          <w:marTop w:val="0"/>
          <w:marBottom w:val="0"/>
          <w:divBdr>
            <w:top w:val="none" w:sz="0" w:space="0" w:color="auto"/>
            <w:left w:val="none" w:sz="0" w:space="0" w:color="auto"/>
            <w:bottom w:val="none" w:sz="0" w:space="0" w:color="auto"/>
            <w:right w:val="none" w:sz="0" w:space="0" w:color="auto"/>
          </w:divBdr>
        </w:div>
        <w:div w:id="2109277412">
          <w:marLeft w:val="640"/>
          <w:marRight w:val="0"/>
          <w:marTop w:val="0"/>
          <w:marBottom w:val="0"/>
          <w:divBdr>
            <w:top w:val="none" w:sz="0" w:space="0" w:color="auto"/>
            <w:left w:val="none" w:sz="0" w:space="0" w:color="auto"/>
            <w:bottom w:val="none" w:sz="0" w:space="0" w:color="auto"/>
            <w:right w:val="none" w:sz="0" w:space="0" w:color="auto"/>
          </w:divBdr>
        </w:div>
        <w:div w:id="168981160">
          <w:marLeft w:val="640"/>
          <w:marRight w:val="0"/>
          <w:marTop w:val="0"/>
          <w:marBottom w:val="0"/>
          <w:divBdr>
            <w:top w:val="none" w:sz="0" w:space="0" w:color="auto"/>
            <w:left w:val="none" w:sz="0" w:space="0" w:color="auto"/>
            <w:bottom w:val="none" w:sz="0" w:space="0" w:color="auto"/>
            <w:right w:val="none" w:sz="0" w:space="0" w:color="auto"/>
          </w:divBdr>
        </w:div>
        <w:div w:id="1280256560">
          <w:marLeft w:val="640"/>
          <w:marRight w:val="0"/>
          <w:marTop w:val="0"/>
          <w:marBottom w:val="0"/>
          <w:divBdr>
            <w:top w:val="none" w:sz="0" w:space="0" w:color="auto"/>
            <w:left w:val="none" w:sz="0" w:space="0" w:color="auto"/>
            <w:bottom w:val="none" w:sz="0" w:space="0" w:color="auto"/>
            <w:right w:val="none" w:sz="0" w:space="0" w:color="auto"/>
          </w:divBdr>
        </w:div>
        <w:div w:id="1472749983">
          <w:marLeft w:val="640"/>
          <w:marRight w:val="0"/>
          <w:marTop w:val="0"/>
          <w:marBottom w:val="0"/>
          <w:divBdr>
            <w:top w:val="none" w:sz="0" w:space="0" w:color="auto"/>
            <w:left w:val="none" w:sz="0" w:space="0" w:color="auto"/>
            <w:bottom w:val="none" w:sz="0" w:space="0" w:color="auto"/>
            <w:right w:val="none" w:sz="0" w:space="0" w:color="auto"/>
          </w:divBdr>
        </w:div>
        <w:div w:id="1523008331">
          <w:marLeft w:val="640"/>
          <w:marRight w:val="0"/>
          <w:marTop w:val="0"/>
          <w:marBottom w:val="0"/>
          <w:divBdr>
            <w:top w:val="none" w:sz="0" w:space="0" w:color="auto"/>
            <w:left w:val="none" w:sz="0" w:space="0" w:color="auto"/>
            <w:bottom w:val="none" w:sz="0" w:space="0" w:color="auto"/>
            <w:right w:val="none" w:sz="0" w:space="0" w:color="auto"/>
          </w:divBdr>
        </w:div>
        <w:div w:id="672756656">
          <w:marLeft w:val="640"/>
          <w:marRight w:val="0"/>
          <w:marTop w:val="0"/>
          <w:marBottom w:val="0"/>
          <w:divBdr>
            <w:top w:val="none" w:sz="0" w:space="0" w:color="auto"/>
            <w:left w:val="none" w:sz="0" w:space="0" w:color="auto"/>
            <w:bottom w:val="none" w:sz="0" w:space="0" w:color="auto"/>
            <w:right w:val="none" w:sz="0" w:space="0" w:color="auto"/>
          </w:divBdr>
        </w:div>
        <w:div w:id="777915370">
          <w:marLeft w:val="640"/>
          <w:marRight w:val="0"/>
          <w:marTop w:val="0"/>
          <w:marBottom w:val="0"/>
          <w:divBdr>
            <w:top w:val="none" w:sz="0" w:space="0" w:color="auto"/>
            <w:left w:val="none" w:sz="0" w:space="0" w:color="auto"/>
            <w:bottom w:val="none" w:sz="0" w:space="0" w:color="auto"/>
            <w:right w:val="none" w:sz="0" w:space="0" w:color="auto"/>
          </w:divBdr>
        </w:div>
        <w:div w:id="1823034665">
          <w:marLeft w:val="640"/>
          <w:marRight w:val="0"/>
          <w:marTop w:val="0"/>
          <w:marBottom w:val="0"/>
          <w:divBdr>
            <w:top w:val="none" w:sz="0" w:space="0" w:color="auto"/>
            <w:left w:val="none" w:sz="0" w:space="0" w:color="auto"/>
            <w:bottom w:val="none" w:sz="0" w:space="0" w:color="auto"/>
            <w:right w:val="none" w:sz="0" w:space="0" w:color="auto"/>
          </w:divBdr>
        </w:div>
        <w:div w:id="1066148004">
          <w:marLeft w:val="640"/>
          <w:marRight w:val="0"/>
          <w:marTop w:val="0"/>
          <w:marBottom w:val="0"/>
          <w:divBdr>
            <w:top w:val="none" w:sz="0" w:space="0" w:color="auto"/>
            <w:left w:val="none" w:sz="0" w:space="0" w:color="auto"/>
            <w:bottom w:val="none" w:sz="0" w:space="0" w:color="auto"/>
            <w:right w:val="none" w:sz="0" w:space="0" w:color="auto"/>
          </w:divBdr>
        </w:div>
        <w:div w:id="898442944">
          <w:marLeft w:val="640"/>
          <w:marRight w:val="0"/>
          <w:marTop w:val="0"/>
          <w:marBottom w:val="0"/>
          <w:divBdr>
            <w:top w:val="none" w:sz="0" w:space="0" w:color="auto"/>
            <w:left w:val="none" w:sz="0" w:space="0" w:color="auto"/>
            <w:bottom w:val="none" w:sz="0" w:space="0" w:color="auto"/>
            <w:right w:val="none" w:sz="0" w:space="0" w:color="auto"/>
          </w:divBdr>
        </w:div>
        <w:div w:id="1021861473">
          <w:marLeft w:val="640"/>
          <w:marRight w:val="0"/>
          <w:marTop w:val="0"/>
          <w:marBottom w:val="0"/>
          <w:divBdr>
            <w:top w:val="none" w:sz="0" w:space="0" w:color="auto"/>
            <w:left w:val="none" w:sz="0" w:space="0" w:color="auto"/>
            <w:bottom w:val="none" w:sz="0" w:space="0" w:color="auto"/>
            <w:right w:val="none" w:sz="0" w:space="0" w:color="auto"/>
          </w:divBdr>
        </w:div>
        <w:div w:id="1227837339">
          <w:marLeft w:val="640"/>
          <w:marRight w:val="0"/>
          <w:marTop w:val="0"/>
          <w:marBottom w:val="0"/>
          <w:divBdr>
            <w:top w:val="none" w:sz="0" w:space="0" w:color="auto"/>
            <w:left w:val="none" w:sz="0" w:space="0" w:color="auto"/>
            <w:bottom w:val="none" w:sz="0" w:space="0" w:color="auto"/>
            <w:right w:val="none" w:sz="0" w:space="0" w:color="auto"/>
          </w:divBdr>
        </w:div>
        <w:div w:id="557596597">
          <w:marLeft w:val="640"/>
          <w:marRight w:val="0"/>
          <w:marTop w:val="0"/>
          <w:marBottom w:val="0"/>
          <w:divBdr>
            <w:top w:val="none" w:sz="0" w:space="0" w:color="auto"/>
            <w:left w:val="none" w:sz="0" w:space="0" w:color="auto"/>
            <w:bottom w:val="none" w:sz="0" w:space="0" w:color="auto"/>
            <w:right w:val="none" w:sz="0" w:space="0" w:color="auto"/>
          </w:divBdr>
        </w:div>
        <w:div w:id="765928789">
          <w:marLeft w:val="640"/>
          <w:marRight w:val="0"/>
          <w:marTop w:val="0"/>
          <w:marBottom w:val="0"/>
          <w:divBdr>
            <w:top w:val="none" w:sz="0" w:space="0" w:color="auto"/>
            <w:left w:val="none" w:sz="0" w:space="0" w:color="auto"/>
            <w:bottom w:val="none" w:sz="0" w:space="0" w:color="auto"/>
            <w:right w:val="none" w:sz="0" w:space="0" w:color="auto"/>
          </w:divBdr>
        </w:div>
        <w:div w:id="647827964">
          <w:marLeft w:val="640"/>
          <w:marRight w:val="0"/>
          <w:marTop w:val="0"/>
          <w:marBottom w:val="0"/>
          <w:divBdr>
            <w:top w:val="none" w:sz="0" w:space="0" w:color="auto"/>
            <w:left w:val="none" w:sz="0" w:space="0" w:color="auto"/>
            <w:bottom w:val="none" w:sz="0" w:space="0" w:color="auto"/>
            <w:right w:val="none" w:sz="0" w:space="0" w:color="auto"/>
          </w:divBdr>
        </w:div>
        <w:div w:id="1097403742">
          <w:marLeft w:val="640"/>
          <w:marRight w:val="0"/>
          <w:marTop w:val="0"/>
          <w:marBottom w:val="0"/>
          <w:divBdr>
            <w:top w:val="none" w:sz="0" w:space="0" w:color="auto"/>
            <w:left w:val="none" w:sz="0" w:space="0" w:color="auto"/>
            <w:bottom w:val="none" w:sz="0" w:space="0" w:color="auto"/>
            <w:right w:val="none" w:sz="0" w:space="0" w:color="auto"/>
          </w:divBdr>
        </w:div>
        <w:div w:id="1845851341">
          <w:marLeft w:val="640"/>
          <w:marRight w:val="0"/>
          <w:marTop w:val="0"/>
          <w:marBottom w:val="0"/>
          <w:divBdr>
            <w:top w:val="none" w:sz="0" w:space="0" w:color="auto"/>
            <w:left w:val="none" w:sz="0" w:space="0" w:color="auto"/>
            <w:bottom w:val="none" w:sz="0" w:space="0" w:color="auto"/>
            <w:right w:val="none" w:sz="0" w:space="0" w:color="auto"/>
          </w:divBdr>
        </w:div>
        <w:div w:id="117724820">
          <w:marLeft w:val="640"/>
          <w:marRight w:val="0"/>
          <w:marTop w:val="0"/>
          <w:marBottom w:val="0"/>
          <w:divBdr>
            <w:top w:val="none" w:sz="0" w:space="0" w:color="auto"/>
            <w:left w:val="none" w:sz="0" w:space="0" w:color="auto"/>
            <w:bottom w:val="none" w:sz="0" w:space="0" w:color="auto"/>
            <w:right w:val="none" w:sz="0" w:space="0" w:color="auto"/>
          </w:divBdr>
        </w:div>
        <w:div w:id="983043286">
          <w:marLeft w:val="640"/>
          <w:marRight w:val="0"/>
          <w:marTop w:val="0"/>
          <w:marBottom w:val="0"/>
          <w:divBdr>
            <w:top w:val="none" w:sz="0" w:space="0" w:color="auto"/>
            <w:left w:val="none" w:sz="0" w:space="0" w:color="auto"/>
            <w:bottom w:val="none" w:sz="0" w:space="0" w:color="auto"/>
            <w:right w:val="none" w:sz="0" w:space="0" w:color="auto"/>
          </w:divBdr>
        </w:div>
        <w:div w:id="1843859648">
          <w:marLeft w:val="640"/>
          <w:marRight w:val="0"/>
          <w:marTop w:val="0"/>
          <w:marBottom w:val="0"/>
          <w:divBdr>
            <w:top w:val="none" w:sz="0" w:space="0" w:color="auto"/>
            <w:left w:val="none" w:sz="0" w:space="0" w:color="auto"/>
            <w:bottom w:val="none" w:sz="0" w:space="0" w:color="auto"/>
            <w:right w:val="none" w:sz="0" w:space="0" w:color="auto"/>
          </w:divBdr>
        </w:div>
        <w:div w:id="845940049">
          <w:marLeft w:val="640"/>
          <w:marRight w:val="0"/>
          <w:marTop w:val="0"/>
          <w:marBottom w:val="0"/>
          <w:divBdr>
            <w:top w:val="none" w:sz="0" w:space="0" w:color="auto"/>
            <w:left w:val="none" w:sz="0" w:space="0" w:color="auto"/>
            <w:bottom w:val="none" w:sz="0" w:space="0" w:color="auto"/>
            <w:right w:val="none" w:sz="0" w:space="0" w:color="auto"/>
          </w:divBdr>
        </w:div>
        <w:div w:id="154730704">
          <w:marLeft w:val="640"/>
          <w:marRight w:val="0"/>
          <w:marTop w:val="0"/>
          <w:marBottom w:val="0"/>
          <w:divBdr>
            <w:top w:val="none" w:sz="0" w:space="0" w:color="auto"/>
            <w:left w:val="none" w:sz="0" w:space="0" w:color="auto"/>
            <w:bottom w:val="none" w:sz="0" w:space="0" w:color="auto"/>
            <w:right w:val="none" w:sz="0" w:space="0" w:color="auto"/>
          </w:divBdr>
        </w:div>
        <w:div w:id="342098487">
          <w:marLeft w:val="640"/>
          <w:marRight w:val="0"/>
          <w:marTop w:val="0"/>
          <w:marBottom w:val="0"/>
          <w:divBdr>
            <w:top w:val="none" w:sz="0" w:space="0" w:color="auto"/>
            <w:left w:val="none" w:sz="0" w:space="0" w:color="auto"/>
            <w:bottom w:val="none" w:sz="0" w:space="0" w:color="auto"/>
            <w:right w:val="none" w:sz="0" w:space="0" w:color="auto"/>
          </w:divBdr>
        </w:div>
        <w:div w:id="1944654897">
          <w:marLeft w:val="640"/>
          <w:marRight w:val="0"/>
          <w:marTop w:val="0"/>
          <w:marBottom w:val="0"/>
          <w:divBdr>
            <w:top w:val="none" w:sz="0" w:space="0" w:color="auto"/>
            <w:left w:val="none" w:sz="0" w:space="0" w:color="auto"/>
            <w:bottom w:val="none" w:sz="0" w:space="0" w:color="auto"/>
            <w:right w:val="none" w:sz="0" w:space="0" w:color="auto"/>
          </w:divBdr>
        </w:div>
        <w:div w:id="1246190647">
          <w:marLeft w:val="640"/>
          <w:marRight w:val="0"/>
          <w:marTop w:val="0"/>
          <w:marBottom w:val="0"/>
          <w:divBdr>
            <w:top w:val="none" w:sz="0" w:space="0" w:color="auto"/>
            <w:left w:val="none" w:sz="0" w:space="0" w:color="auto"/>
            <w:bottom w:val="none" w:sz="0" w:space="0" w:color="auto"/>
            <w:right w:val="none" w:sz="0" w:space="0" w:color="auto"/>
          </w:divBdr>
        </w:div>
        <w:div w:id="74018091">
          <w:marLeft w:val="640"/>
          <w:marRight w:val="0"/>
          <w:marTop w:val="0"/>
          <w:marBottom w:val="0"/>
          <w:divBdr>
            <w:top w:val="none" w:sz="0" w:space="0" w:color="auto"/>
            <w:left w:val="none" w:sz="0" w:space="0" w:color="auto"/>
            <w:bottom w:val="none" w:sz="0" w:space="0" w:color="auto"/>
            <w:right w:val="none" w:sz="0" w:space="0" w:color="auto"/>
          </w:divBdr>
        </w:div>
        <w:div w:id="1316298431">
          <w:marLeft w:val="640"/>
          <w:marRight w:val="0"/>
          <w:marTop w:val="0"/>
          <w:marBottom w:val="0"/>
          <w:divBdr>
            <w:top w:val="none" w:sz="0" w:space="0" w:color="auto"/>
            <w:left w:val="none" w:sz="0" w:space="0" w:color="auto"/>
            <w:bottom w:val="none" w:sz="0" w:space="0" w:color="auto"/>
            <w:right w:val="none" w:sz="0" w:space="0" w:color="auto"/>
          </w:divBdr>
        </w:div>
        <w:div w:id="976646917">
          <w:marLeft w:val="640"/>
          <w:marRight w:val="0"/>
          <w:marTop w:val="0"/>
          <w:marBottom w:val="0"/>
          <w:divBdr>
            <w:top w:val="none" w:sz="0" w:space="0" w:color="auto"/>
            <w:left w:val="none" w:sz="0" w:space="0" w:color="auto"/>
            <w:bottom w:val="none" w:sz="0" w:space="0" w:color="auto"/>
            <w:right w:val="none" w:sz="0" w:space="0" w:color="auto"/>
          </w:divBdr>
        </w:div>
        <w:div w:id="2052222809">
          <w:marLeft w:val="640"/>
          <w:marRight w:val="0"/>
          <w:marTop w:val="0"/>
          <w:marBottom w:val="0"/>
          <w:divBdr>
            <w:top w:val="none" w:sz="0" w:space="0" w:color="auto"/>
            <w:left w:val="none" w:sz="0" w:space="0" w:color="auto"/>
            <w:bottom w:val="none" w:sz="0" w:space="0" w:color="auto"/>
            <w:right w:val="none" w:sz="0" w:space="0" w:color="auto"/>
          </w:divBdr>
        </w:div>
        <w:div w:id="584647968">
          <w:marLeft w:val="640"/>
          <w:marRight w:val="0"/>
          <w:marTop w:val="0"/>
          <w:marBottom w:val="0"/>
          <w:divBdr>
            <w:top w:val="none" w:sz="0" w:space="0" w:color="auto"/>
            <w:left w:val="none" w:sz="0" w:space="0" w:color="auto"/>
            <w:bottom w:val="none" w:sz="0" w:space="0" w:color="auto"/>
            <w:right w:val="none" w:sz="0" w:space="0" w:color="auto"/>
          </w:divBdr>
        </w:div>
        <w:div w:id="1432774250">
          <w:marLeft w:val="640"/>
          <w:marRight w:val="0"/>
          <w:marTop w:val="0"/>
          <w:marBottom w:val="0"/>
          <w:divBdr>
            <w:top w:val="none" w:sz="0" w:space="0" w:color="auto"/>
            <w:left w:val="none" w:sz="0" w:space="0" w:color="auto"/>
            <w:bottom w:val="none" w:sz="0" w:space="0" w:color="auto"/>
            <w:right w:val="none" w:sz="0" w:space="0" w:color="auto"/>
          </w:divBdr>
        </w:div>
        <w:div w:id="664284355">
          <w:marLeft w:val="640"/>
          <w:marRight w:val="0"/>
          <w:marTop w:val="0"/>
          <w:marBottom w:val="0"/>
          <w:divBdr>
            <w:top w:val="none" w:sz="0" w:space="0" w:color="auto"/>
            <w:left w:val="none" w:sz="0" w:space="0" w:color="auto"/>
            <w:bottom w:val="none" w:sz="0" w:space="0" w:color="auto"/>
            <w:right w:val="none" w:sz="0" w:space="0" w:color="auto"/>
          </w:divBdr>
        </w:div>
        <w:div w:id="890649901">
          <w:marLeft w:val="640"/>
          <w:marRight w:val="0"/>
          <w:marTop w:val="0"/>
          <w:marBottom w:val="0"/>
          <w:divBdr>
            <w:top w:val="none" w:sz="0" w:space="0" w:color="auto"/>
            <w:left w:val="none" w:sz="0" w:space="0" w:color="auto"/>
            <w:bottom w:val="none" w:sz="0" w:space="0" w:color="auto"/>
            <w:right w:val="none" w:sz="0" w:space="0" w:color="auto"/>
          </w:divBdr>
        </w:div>
        <w:div w:id="2092461167">
          <w:marLeft w:val="640"/>
          <w:marRight w:val="0"/>
          <w:marTop w:val="0"/>
          <w:marBottom w:val="0"/>
          <w:divBdr>
            <w:top w:val="none" w:sz="0" w:space="0" w:color="auto"/>
            <w:left w:val="none" w:sz="0" w:space="0" w:color="auto"/>
            <w:bottom w:val="none" w:sz="0" w:space="0" w:color="auto"/>
            <w:right w:val="none" w:sz="0" w:space="0" w:color="auto"/>
          </w:divBdr>
        </w:div>
        <w:div w:id="1810510155">
          <w:marLeft w:val="640"/>
          <w:marRight w:val="0"/>
          <w:marTop w:val="0"/>
          <w:marBottom w:val="0"/>
          <w:divBdr>
            <w:top w:val="none" w:sz="0" w:space="0" w:color="auto"/>
            <w:left w:val="none" w:sz="0" w:space="0" w:color="auto"/>
            <w:bottom w:val="none" w:sz="0" w:space="0" w:color="auto"/>
            <w:right w:val="none" w:sz="0" w:space="0" w:color="auto"/>
          </w:divBdr>
        </w:div>
        <w:div w:id="683481433">
          <w:marLeft w:val="640"/>
          <w:marRight w:val="0"/>
          <w:marTop w:val="0"/>
          <w:marBottom w:val="0"/>
          <w:divBdr>
            <w:top w:val="none" w:sz="0" w:space="0" w:color="auto"/>
            <w:left w:val="none" w:sz="0" w:space="0" w:color="auto"/>
            <w:bottom w:val="none" w:sz="0" w:space="0" w:color="auto"/>
            <w:right w:val="none" w:sz="0" w:space="0" w:color="auto"/>
          </w:divBdr>
        </w:div>
        <w:div w:id="2144804923">
          <w:marLeft w:val="640"/>
          <w:marRight w:val="0"/>
          <w:marTop w:val="0"/>
          <w:marBottom w:val="0"/>
          <w:divBdr>
            <w:top w:val="none" w:sz="0" w:space="0" w:color="auto"/>
            <w:left w:val="none" w:sz="0" w:space="0" w:color="auto"/>
            <w:bottom w:val="none" w:sz="0" w:space="0" w:color="auto"/>
            <w:right w:val="none" w:sz="0" w:space="0" w:color="auto"/>
          </w:divBdr>
        </w:div>
        <w:div w:id="957951498">
          <w:marLeft w:val="640"/>
          <w:marRight w:val="0"/>
          <w:marTop w:val="0"/>
          <w:marBottom w:val="0"/>
          <w:divBdr>
            <w:top w:val="none" w:sz="0" w:space="0" w:color="auto"/>
            <w:left w:val="none" w:sz="0" w:space="0" w:color="auto"/>
            <w:bottom w:val="none" w:sz="0" w:space="0" w:color="auto"/>
            <w:right w:val="none" w:sz="0" w:space="0" w:color="auto"/>
          </w:divBdr>
        </w:div>
        <w:div w:id="64422895">
          <w:marLeft w:val="640"/>
          <w:marRight w:val="0"/>
          <w:marTop w:val="0"/>
          <w:marBottom w:val="0"/>
          <w:divBdr>
            <w:top w:val="none" w:sz="0" w:space="0" w:color="auto"/>
            <w:left w:val="none" w:sz="0" w:space="0" w:color="auto"/>
            <w:bottom w:val="none" w:sz="0" w:space="0" w:color="auto"/>
            <w:right w:val="none" w:sz="0" w:space="0" w:color="auto"/>
          </w:divBdr>
        </w:div>
        <w:div w:id="1093352802">
          <w:marLeft w:val="640"/>
          <w:marRight w:val="0"/>
          <w:marTop w:val="0"/>
          <w:marBottom w:val="0"/>
          <w:divBdr>
            <w:top w:val="none" w:sz="0" w:space="0" w:color="auto"/>
            <w:left w:val="none" w:sz="0" w:space="0" w:color="auto"/>
            <w:bottom w:val="none" w:sz="0" w:space="0" w:color="auto"/>
            <w:right w:val="none" w:sz="0" w:space="0" w:color="auto"/>
          </w:divBdr>
        </w:div>
        <w:div w:id="427309323">
          <w:marLeft w:val="640"/>
          <w:marRight w:val="0"/>
          <w:marTop w:val="0"/>
          <w:marBottom w:val="0"/>
          <w:divBdr>
            <w:top w:val="none" w:sz="0" w:space="0" w:color="auto"/>
            <w:left w:val="none" w:sz="0" w:space="0" w:color="auto"/>
            <w:bottom w:val="none" w:sz="0" w:space="0" w:color="auto"/>
            <w:right w:val="none" w:sz="0" w:space="0" w:color="auto"/>
          </w:divBdr>
        </w:div>
        <w:div w:id="350029431">
          <w:marLeft w:val="640"/>
          <w:marRight w:val="0"/>
          <w:marTop w:val="0"/>
          <w:marBottom w:val="0"/>
          <w:divBdr>
            <w:top w:val="none" w:sz="0" w:space="0" w:color="auto"/>
            <w:left w:val="none" w:sz="0" w:space="0" w:color="auto"/>
            <w:bottom w:val="none" w:sz="0" w:space="0" w:color="auto"/>
            <w:right w:val="none" w:sz="0" w:space="0" w:color="auto"/>
          </w:divBdr>
        </w:div>
        <w:div w:id="929049488">
          <w:marLeft w:val="640"/>
          <w:marRight w:val="0"/>
          <w:marTop w:val="0"/>
          <w:marBottom w:val="0"/>
          <w:divBdr>
            <w:top w:val="none" w:sz="0" w:space="0" w:color="auto"/>
            <w:left w:val="none" w:sz="0" w:space="0" w:color="auto"/>
            <w:bottom w:val="none" w:sz="0" w:space="0" w:color="auto"/>
            <w:right w:val="none" w:sz="0" w:space="0" w:color="auto"/>
          </w:divBdr>
        </w:div>
        <w:div w:id="1435899905">
          <w:marLeft w:val="640"/>
          <w:marRight w:val="0"/>
          <w:marTop w:val="0"/>
          <w:marBottom w:val="0"/>
          <w:divBdr>
            <w:top w:val="none" w:sz="0" w:space="0" w:color="auto"/>
            <w:left w:val="none" w:sz="0" w:space="0" w:color="auto"/>
            <w:bottom w:val="none" w:sz="0" w:space="0" w:color="auto"/>
            <w:right w:val="none" w:sz="0" w:space="0" w:color="auto"/>
          </w:divBdr>
        </w:div>
        <w:div w:id="1352418149">
          <w:marLeft w:val="640"/>
          <w:marRight w:val="0"/>
          <w:marTop w:val="0"/>
          <w:marBottom w:val="0"/>
          <w:divBdr>
            <w:top w:val="none" w:sz="0" w:space="0" w:color="auto"/>
            <w:left w:val="none" w:sz="0" w:space="0" w:color="auto"/>
            <w:bottom w:val="none" w:sz="0" w:space="0" w:color="auto"/>
            <w:right w:val="none" w:sz="0" w:space="0" w:color="auto"/>
          </w:divBdr>
        </w:div>
        <w:div w:id="1130635916">
          <w:marLeft w:val="640"/>
          <w:marRight w:val="0"/>
          <w:marTop w:val="0"/>
          <w:marBottom w:val="0"/>
          <w:divBdr>
            <w:top w:val="none" w:sz="0" w:space="0" w:color="auto"/>
            <w:left w:val="none" w:sz="0" w:space="0" w:color="auto"/>
            <w:bottom w:val="none" w:sz="0" w:space="0" w:color="auto"/>
            <w:right w:val="none" w:sz="0" w:space="0" w:color="auto"/>
          </w:divBdr>
        </w:div>
        <w:div w:id="428156667">
          <w:marLeft w:val="640"/>
          <w:marRight w:val="0"/>
          <w:marTop w:val="0"/>
          <w:marBottom w:val="0"/>
          <w:divBdr>
            <w:top w:val="none" w:sz="0" w:space="0" w:color="auto"/>
            <w:left w:val="none" w:sz="0" w:space="0" w:color="auto"/>
            <w:bottom w:val="none" w:sz="0" w:space="0" w:color="auto"/>
            <w:right w:val="none" w:sz="0" w:space="0" w:color="auto"/>
          </w:divBdr>
        </w:div>
        <w:div w:id="876041730">
          <w:marLeft w:val="640"/>
          <w:marRight w:val="0"/>
          <w:marTop w:val="0"/>
          <w:marBottom w:val="0"/>
          <w:divBdr>
            <w:top w:val="none" w:sz="0" w:space="0" w:color="auto"/>
            <w:left w:val="none" w:sz="0" w:space="0" w:color="auto"/>
            <w:bottom w:val="none" w:sz="0" w:space="0" w:color="auto"/>
            <w:right w:val="none" w:sz="0" w:space="0" w:color="auto"/>
          </w:divBdr>
        </w:div>
        <w:div w:id="980186806">
          <w:marLeft w:val="640"/>
          <w:marRight w:val="0"/>
          <w:marTop w:val="0"/>
          <w:marBottom w:val="0"/>
          <w:divBdr>
            <w:top w:val="none" w:sz="0" w:space="0" w:color="auto"/>
            <w:left w:val="none" w:sz="0" w:space="0" w:color="auto"/>
            <w:bottom w:val="none" w:sz="0" w:space="0" w:color="auto"/>
            <w:right w:val="none" w:sz="0" w:space="0" w:color="auto"/>
          </w:divBdr>
        </w:div>
        <w:div w:id="21129468">
          <w:marLeft w:val="640"/>
          <w:marRight w:val="0"/>
          <w:marTop w:val="0"/>
          <w:marBottom w:val="0"/>
          <w:divBdr>
            <w:top w:val="none" w:sz="0" w:space="0" w:color="auto"/>
            <w:left w:val="none" w:sz="0" w:space="0" w:color="auto"/>
            <w:bottom w:val="none" w:sz="0" w:space="0" w:color="auto"/>
            <w:right w:val="none" w:sz="0" w:space="0" w:color="auto"/>
          </w:divBdr>
        </w:div>
        <w:div w:id="1063407821">
          <w:marLeft w:val="640"/>
          <w:marRight w:val="0"/>
          <w:marTop w:val="0"/>
          <w:marBottom w:val="0"/>
          <w:divBdr>
            <w:top w:val="none" w:sz="0" w:space="0" w:color="auto"/>
            <w:left w:val="none" w:sz="0" w:space="0" w:color="auto"/>
            <w:bottom w:val="none" w:sz="0" w:space="0" w:color="auto"/>
            <w:right w:val="none" w:sz="0" w:space="0" w:color="auto"/>
          </w:divBdr>
        </w:div>
        <w:div w:id="1266116358">
          <w:marLeft w:val="640"/>
          <w:marRight w:val="0"/>
          <w:marTop w:val="0"/>
          <w:marBottom w:val="0"/>
          <w:divBdr>
            <w:top w:val="none" w:sz="0" w:space="0" w:color="auto"/>
            <w:left w:val="none" w:sz="0" w:space="0" w:color="auto"/>
            <w:bottom w:val="none" w:sz="0" w:space="0" w:color="auto"/>
            <w:right w:val="none" w:sz="0" w:space="0" w:color="auto"/>
          </w:divBdr>
        </w:div>
        <w:div w:id="373771757">
          <w:marLeft w:val="640"/>
          <w:marRight w:val="0"/>
          <w:marTop w:val="0"/>
          <w:marBottom w:val="0"/>
          <w:divBdr>
            <w:top w:val="none" w:sz="0" w:space="0" w:color="auto"/>
            <w:left w:val="none" w:sz="0" w:space="0" w:color="auto"/>
            <w:bottom w:val="none" w:sz="0" w:space="0" w:color="auto"/>
            <w:right w:val="none" w:sz="0" w:space="0" w:color="auto"/>
          </w:divBdr>
        </w:div>
        <w:div w:id="1536043601">
          <w:marLeft w:val="640"/>
          <w:marRight w:val="0"/>
          <w:marTop w:val="0"/>
          <w:marBottom w:val="0"/>
          <w:divBdr>
            <w:top w:val="none" w:sz="0" w:space="0" w:color="auto"/>
            <w:left w:val="none" w:sz="0" w:space="0" w:color="auto"/>
            <w:bottom w:val="none" w:sz="0" w:space="0" w:color="auto"/>
            <w:right w:val="none" w:sz="0" w:space="0" w:color="auto"/>
          </w:divBdr>
        </w:div>
        <w:div w:id="2071731004">
          <w:marLeft w:val="640"/>
          <w:marRight w:val="0"/>
          <w:marTop w:val="0"/>
          <w:marBottom w:val="0"/>
          <w:divBdr>
            <w:top w:val="none" w:sz="0" w:space="0" w:color="auto"/>
            <w:left w:val="none" w:sz="0" w:space="0" w:color="auto"/>
            <w:bottom w:val="none" w:sz="0" w:space="0" w:color="auto"/>
            <w:right w:val="none" w:sz="0" w:space="0" w:color="auto"/>
          </w:divBdr>
        </w:div>
        <w:div w:id="1404402816">
          <w:marLeft w:val="640"/>
          <w:marRight w:val="0"/>
          <w:marTop w:val="0"/>
          <w:marBottom w:val="0"/>
          <w:divBdr>
            <w:top w:val="none" w:sz="0" w:space="0" w:color="auto"/>
            <w:left w:val="none" w:sz="0" w:space="0" w:color="auto"/>
            <w:bottom w:val="none" w:sz="0" w:space="0" w:color="auto"/>
            <w:right w:val="none" w:sz="0" w:space="0" w:color="auto"/>
          </w:divBdr>
        </w:div>
        <w:div w:id="176696804">
          <w:marLeft w:val="640"/>
          <w:marRight w:val="0"/>
          <w:marTop w:val="0"/>
          <w:marBottom w:val="0"/>
          <w:divBdr>
            <w:top w:val="none" w:sz="0" w:space="0" w:color="auto"/>
            <w:left w:val="none" w:sz="0" w:space="0" w:color="auto"/>
            <w:bottom w:val="none" w:sz="0" w:space="0" w:color="auto"/>
            <w:right w:val="none" w:sz="0" w:space="0" w:color="auto"/>
          </w:divBdr>
        </w:div>
        <w:div w:id="842747427">
          <w:marLeft w:val="640"/>
          <w:marRight w:val="0"/>
          <w:marTop w:val="0"/>
          <w:marBottom w:val="0"/>
          <w:divBdr>
            <w:top w:val="none" w:sz="0" w:space="0" w:color="auto"/>
            <w:left w:val="none" w:sz="0" w:space="0" w:color="auto"/>
            <w:bottom w:val="none" w:sz="0" w:space="0" w:color="auto"/>
            <w:right w:val="none" w:sz="0" w:space="0" w:color="auto"/>
          </w:divBdr>
        </w:div>
        <w:div w:id="294919420">
          <w:marLeft w:val="640"/>
          <w:marRight w:val="0"/>
          <w:marTop w:val="0"/>
          <w:marBottom w:val="0"/>
          <w:divBdr>
            <w:top w:val="none" w:sz="0" w:space="0" w:color="auto"/>
            <w:left w:val="none" w:sz="0" w:space="0" w:color="auto"/>
            <w:bottom w:val="none" w:sz="0" w:space="0" w:color="auto"/>
            <w:right w:val="none" w:sz="0" w:space="0" w:color="auto"/>
          </w:divBdr>
        </w:div>
        <w:div w:id="254090805">
          <w:marLeft w:val="640"/>
          <w:marRight w:val="0"/>
          <w:marTop w:val="0"/>
          <w:marBottom w:val="0"/>
          <w:divBdr>
            <w:top w:val="none" w:sz="0" w:space="0" w:color="auto"/>
            <w:left w:val="none" w:sz="0" w:space="0" w:color="auto"/>
            <w:bottom w:val="none" w:sz="0" w:space="0" w:color="auto"/>
            <w:right w:val="none" w:sz="0" w:space="0" w:color="auto"/>
          </w:divBdr>
        </w:div>
        <w:div w:id="156577895">
          <w:marLeft w:val="640"/>
          <w:marRight w:val="0"/>
          <w:marTop w:val="0"/>
          <w:marBottom w:val="0"/>
          <w:divBdr>
            <w:top w:val="none" w:sz="0" w:space="0" w:color="auto"/>
            <w:left w:val="none" w:sz="0" w:space="0" w:color="auto"/>
            <w:bottom w:val="none" w:sz="0" w:space="0" w:color="auto"/>
            <w:right w:val="none" w:sz="0" w:space="0" w:color="auto"/>
          </w:divBdr>
        </w:div>
        <w:div w:id="2118716769">
          <w:marLeft w:val="640"/>
          <w:marRight w:val="0"/>
          <w:marTop w:val="0"/>
          <w:marBottom w:val="0"/>
          <w:divBdr>
            <w:top w:val="none" w:sz="0" w:space="0" w:color="auto"/>
            <w:left w:val="none" w:sz="0" w:space="0" w:color="auto"/>
            <w:bottom w:val="none" w:sz="0" w:space="0" w:color="auto"/>
            <w:right w:val="none" w:sz="0" w:space="0" w:color="auto"/>
          </w:divBdr>
        </w:div>
        <w:div w:id="390927987">
          <w:marLeft w:val="640"/>
          <w:marRight w:val="0"/>
          <w:marTop w:val="0"/>
          <w:marBottom w:val="0"/>
          <w:divBdr>
            <w:top w:val="none" w:sz="0" w:space="0" w:color="auto"/>
            <w:left w:val="none" w:sz="0" w:space="0" w:color="auto"/>
            <w:bottom w:val="none" w:sz="0" w:space="0" w:color="auto"/>
            <w:right w:val="none" w:sz="0" w:space="0" w:color="auto"/>
          </w:divBdr>
        </w:div>
        <w:div w:id="108593625">
          <w:marLeft w:val="640"/>
          <w:marRight w:val="0"/>
          <w:marTop w:val="0"/>
          <w:marBottom w:val="0"/>
          <w:divBdr>
            <w:top w:val="none" w:sz="0" w:space="0" w:color="auto"/>
            <w:left w:val="none" w:sz="0" w:space="0" w:color="auto"/>
            <w:bottom w:val="none" w:sz="0" w:space="0" w:color="auto"/>
            <w:right w:val="none" w:sz="0" w:space="0" w:color="auto"/>
          </w:divBdr>
        </w:div>
        <w:div w:id="553663467">
          <w:marLeft w:val="640"/>
          <w:marRight w:val="0"/>
          <w:marTop w:val="0"/>
          <w:marBottom w:val="0"/>
          <w:divBdr>
            <w:top w:val="none" w:sz="0" w:space="0" w:color="auto"/>
            <w:left w:val="none" w:sz="0" w:space="0" w:color="auto"/>
            <w:bottom w:val="none" w:sz="0" w:space="0" w:color="auto"/>
            <w:right w:val="none" w:sz="0" w:space="0" w:color="auto"/>
          </w:divBdr>
        </w:div>
        <w:div w:id="2134591646">
          <w:marLeft w:val="640"/>
          <w:marRight w:val="0"/>
          <w:marTop w:val="0"/>
          <w:marBottom w:val="0"/>
          <w:divBdr>
            <w:top w:val="none" w:sz="0" w:space="0" w:color="auto"/>
            <w:left w:val="none" w:sz="0" w:space="0" w:color="auto"/>
            <w:bottom w:val="none" w:sz="0" w:space="0" w:color="auto"/>
            <w:right w:val="none" w:sz="0" w:space="0" w:color="auto"/>
          </w:divBdr>
        </w:div>
        <w:div w:id="944844689">
          <w:marLeft w:val="640"/>
          <w:marRight w:val="0"/>
          <w:marTop w:val="0"/>
          <w:marBottom w:val="0"/>
          <w:divBdr>
            <w:top w:val="none" w:sz="0" w:space="0" w:color="auto"/>
            <w:left w:val="none" w:sz="0" w:space="0" w:color="auto"/>
            <w:bottom w:val="none" w:sz="0" w:space="0" w:color="auto"/>
            <w:right w:val="none" w:sz="0" w:space="0" w:color="auto"/>
          </w:divBdr>
        </w:div>
        <w:div w:id="2136437401">
          <w:marLeft w:val="640"/>
          <w:marRight w:val="0"/>
          <w:marTop w:val="0"/>
          <w:marBottom w:val="0"/>
          <w:divBdr>
            <w:top w:val="none" w:sz="0" w:space="0" w:color="auto"/>
            <w:left w:val="none" w:sz="0" w:space="0" w:color="auto"/>
            <w:bottom w:val="none" w:sz="0" w:space="0" w:color="auto"/>
            <w:right w:val="none" w:sz="0" w:space="0" w:color="auto"/>
          </w:divBdr>
        </w:div>
        <w:div w:id="55587504">
          <w:marLeft w:val="640"/>
          <w:marRight w:val="0"/>
          <w:marTop w:val="0"/>
          <w:marBottom w:val="0"/>
          <w:divBdr>
            <w:top w:val="none" w:sz="0" w:space="0" w:color="auto"/>
            <w:left w:val="none" w:sz="0" w:space="0" w:color="auto"/>
            <w:bottom w:val="none" w:sz="0" w:space="0" w:color="auto"/>
            <w:right w:val="none" w:sz="0" w:space="0" w:color="auto"/>
          </w:divBdr>
        </w:div>
        <w:div w:id="1655791067">
          <w:marLeft w:val="640"/>
          <w:marRight w:val="0"/>
          <w:marTop w:val="0"/>
          <w:marBottom w:val="0"/>
          <w:divBdr>
            <w:top w:val="none" w:sz="0" w:space="0" w:color="auto"/>
            <w:left w:val="none" w:sz="0" w:space="0" w:color="auto"/>
            <w:bottom w:val="none" w:sz="0" w:space="0" w:color="auto"/>
            <w:right w:val="none" w:sz="0" w:space="0" w:color="auto"/>
          </w:divBdr>
        </w:div>
        <w:div w:id="813791315">
          <w:marLeft w:val="640"/>
          <w:marRight w:val="0"/>
          <w:marTop w:val="0"/>
          <w:marBottom w:val="0"/>
          <w:divBdr>
            <w:top w:val="none" w:sz="0" w:space="0" w:color="auto"/>
            <w:left w:val="none" w:sz="0" w:space="0" w:color="auto"/>
            <w:bottom w:val="none" w:sz="0" w:space="0" w:color="auto"/>
            <w:right w:val="none" w:sz="0" w:space="0" w:color="auto"/>
          </w:divBdr>
        </w:div>
        <w:div w:id="1108280558">
          <w:marLeft w:val="640"/>
          <w:marRight w:val="0"/>
          <w:marTop w:val="0"/>
          <w:marBottom w:val="0"/>
          <w:divBdr>
            <w:top w:val="none" w:sz="0" w:space="0" w:color="auto"/>
            <w:left w:val="none" w:sz="0" w:space="0" w:color="auto"/>
            <w:bottom w:val="none" w:sz="0" w:space="0" w:color="auto"/>
            <w:right w:val="none" w:sz="0" w:space="0" w:color="auto"/>
          </w:divBdr>
        </w:div>
        <w:div w:id="780761532">
          <w:marLeft w:val="640"/>
          <w:marRight w:val="0"/>
          <w:marTop w:val="0"/>
          <w:marBottom w:val="0"/>
          <w:divBdr>
            <w:top w:val="none" w:sz="0" w:space="0" w:color="auto"/>
            <w:left w:val="none" w:sz="0" w:space="0" w:color="auto"/>
            <w:bottom w:val="none" w:sz="0" w:space="0" w:color="auto"/>
            <w:right w:val="none" w:sz="0" w:space="0" w:color="auto"/>
          </w:divBdr>
        </w:div>
        <w:div w:id="770055077">
          <w:marLeft w:val="640"/>
          <w:marRight w:val="0"/>
          <w:marTop w:val="0"/>
          <w:marBottom w:val="0"/>
          <w:divBdr>
            <w:top w:val="none" w:sz="0" w:space="0" w:color="auto"/>
            <w:left w:val="none" w:sz="0" w:space="0" w:color="auto"/>
            <w:bottom w:val="none" w:sz="0" w:space="0" w:color="auto"/>
            <w:right w:val="none" w:sz="0" w:space="0" w:color="auto"/>
          </w:divBdr>
        </w:div>
        <w:div w:id="977762237">
          <w:marLeft w:val="640"/>
          <w:marRight w:val="0"/>
          <w:marTop w:val="0"/>
          <w:marBottom w:val="0"/>
          <w:divBdr>
            <w:top w:val="none" w:sz="0" w:space="0" w:color="auto"/>
            <w:left w:val="none" w:sz="0" w:space="0" w:color="auto"/>
            <w:bottom w:val="none" w:sz="0" w:space="0" w:color="auto"/>
            <w:right w:val="none" w:sz="0" w:space="0" w:color="auto"/>
          </w:divBdr>
        </w:div>
        <w:div w:id="1213617224">
          <w:marLeft w:val="640"/>
          <w:marRight w:val="0"/>
          <w:marTop w:val="0"/>
          <w:marBottom w:val="0"/>
          <w:divBdr>
            <w:top w:val="none" w:sz="0" w:space="0" w:color="auto"/>
            <w:left w:val="none" w:sz="0" w:space="0" w:color="auto"/>
            <w:bottom w:val="none" w:sz="0" w:space="0" w:color="auto"/>
            <w:right w:val="none" w:sz="0" w:space="0" w:color="auto"/>
          </w:divBdr>
        </w:div>
        <w:div w:id="1824619622">
          <w:marLeft w:val="640"/>
          <w:marRight w:val="0"/>
          <w:marTop w:val="0"/>
          <w:marBottom w:val="0"/>
          <w:divBdr>
            <w:top w:val="none" w:sz="0" w:space="0" w:color="auto"/>
            <w:left w:val="none" w:sz="0" w:space="0" w:color="auto"/>
            <w:bottom w:val="none" w:sz="0" w:space="0" w:color="auto"/>
            <w:right w:val="none" w:sz="0" w:space="0" w:color="auto"/>
          </w:divBdr>
        </w:div>
        <w:div w:id="386338521">
          <w:marLeft w:val="640"/>
          <w:marRight w:val="0"/>
          <w:marTop w:val="0"/>
          <w:marBottom w:val="0"/>
          <w:divBdr>
            <w:top w:val="none" w:sz="0" w:space="0" w:color="auto"/>
            <w:left w:val="none" w:sz="0" w:space="0" w:color="auto"/>
            <w:bottom w:val="none" w:sz="0" w:space="0" w:color="auto"/>
            <w:right w:val="none" w:sz="0" w:space="0" w:color="auto"/>
          </w:divBdr>
        </w:div>
        <w:div w:id="274409211">
          <w:marLeft w:val="640"/>
          <w:marRight w:val="0"/>
          <w:marTop w:val="0"/>
          <w:marBottom w:val="0"/>
          <w:divBdr>
            <w:top w:val="none" w:sz="0" w:space="0" w:color="auto"/>
            <w:left w:val="none" w:sz="0" w:space="0" w:color="auto"/>
            <w:bottom w:val="none" w:sz="0" w:space="0" w:color="auto"/>
            <w:right w:val="none" w:sz="0" w:space="0" w:color="auto"/>
          </w:divBdr>
        </w:div>
        <w:div w:id="1610354080">
          <w:marLeft w:val="640"/>
          <w:marRight w:val="0"/>
          <w:marTop w:val="0"/>
          <w:marBottom w:val="0"/>
          <w:divBdr>
            <w:top w:val="none" w:sz="0" w:space="0" w:color="auto"/>
            <w:left w:val="none" w:sz="0" w:space="0" w:color="auto"/>
            <w:bottom w:val="none" w:sz="0" w:space="0" w:color="auto"/>
            <w:right w:val="none" w:sz="0" w:space="0" w:color="auto"/>
          </w:divBdr>
        </w:div>
        <w:div w:id="1952199469">
          <w:marLeft w:val="640"/>
          <w:marRight w:val="0"/>
          <w:marTop w:val="0"/>
          <w:marBottom w:val="0"/>
          <w:divBdr>
            <w:top w:val="none" w:sz="0" w:space="0" w:color="auto"/>
            <w:left w:val="none" w:sz="0" w:space="0" w:color="auto"/>
            <w:bottom w:val="none" w:sz="0" w:space="0" w:color="auto"/>
            <w:right w:val="none" w:sz="0" w:space="0" w:color="auto"/>
          </w:divBdr>
        </w:div>
        <w:div w:id="602342256">
          <w:marLeft w:val="640"/>
          <w:marRight w:val="0"/>
          <w:marTop w:val="0"/>
          <w:marBottom w:val="0"/>
          <w:divBdr>
            <w:top w:val="none" w:sz="0" w:space="0" w:color="auto"/>
            <w:left w:val="none" w:sz="0" w:space="0" w:color="auto"/>
            <w:bottom w:val="none" w:sz="0" w:space="0" w:color="auto"/>
            <w:right w:val="none" w:sz="0" w:space="0" w:color="auto"/>
          </w:divBdr>
        </w:div>
        <w:div w:id="407965404">
          <w:marLeft w:val="640"/>
          <w:marRight w:val="0"/>
          <w:marTop w:val="0"/>
          <w:marBottom w:val="0"/>
          <w:divBdr>
            <w:top w:val="none" w:sz="0" w:space="0" w:color="auto"/>
            <w:left w:val="none" w:sz="0" w:space="0" w:color="auto"/>
            <w:bottom w:val="none" w:sz="0" w:space="0" w:color="auto"/>
            <w:right w:val="none" w:sz="0" w:space="0" w:color="auto"/>
          </w:divBdr>
        </w:div>
        <w:div w:id="1609193836">
          <w:marLeft w:val="640"/>
          <w:marRight w:val="0"/>
          <w:marTop w:val="0"/>
          <w:marBottom w:val="0"/>
          <w:divBdr>
            <w:top w:val="none" w:sz="0" w:space="0" w:color="auto"/>
            <w:left w:val="none" w:sz="0" w:space="0" w:color="auto"/>
            <w:bottom w:val="none" w:sz="0" w:space="0" w:color="auto"/>
            <w:right w:val="none" w:sz="0" w:space="0" w:color="auto"/>
          </w:divBdr>
        </w:div>
        <w:div w:id="614873479">
          <w:marLeft w:val="640"/>
          <w:marRight w:val="0"/>
          <w:marTop w:val="0"/>
          <w:marBottom w:val="0"/>
          <w:divBdr>
            <w:top w:val="none" w:sz="0" w:space="0" w:color="auto"/>
            <w:left w:val="none" w:sz="0" w:space="0" w:color="auto"/>
            <w:bottom w:val="none" w:sz="0" w:space="0" w:color="auto"/>
            <w:right w:val="none" w:sz="0" w:space="0" w:color="auto"/>
          </w:divBdr>
        </w:div>
        <w:div w:id="502547354">
          <w:marLeft w:val="640"/>
          <w:marRight w:val="0"/>
          <w:marTop w:val="0"/>
          <w:marBottom w:val="0"/>
          <w:divBdr>
            <w:top w:val="none" w:sz="0" w:space="0" w:color="auto"/>
            <w:left w:val="none" w:sz="0" w:space="0" w:color="auto"/>
            <w:bottom w:val="none" w:sz="0" w:space="0" w:color="auto"/>
            <w:right w:val="none" w:sz="0" w:space="0" w:color="auto"/>
          </w:divBdr>
        </w:div>
        <w:div w:id="603458870">
          <w:marLeft w:val="640"/>
          <w:marRight w:val="0"/>
          <w:marTop w:val="0"/>
          <w:marBottom w:val="0"/>
          <w:divBdr>
            <w:top w:val="none" w:sz="0" w:space="0" w:color="auto"/>
            <w:left w:val="none" w:sz="0" w:space="0" w:color="auto"/>
            <w:bottom w:val="none" w:sz="0" w:space="0" w:color="auto"/>
            <w:right w:val="none" w:sz="0" w:space="0" w:color="auto"/>
          </w:divBdr>
        </w:div>
        <w:div w:id="1582135244">
          <w:marLeft w:val="640"/>
          <w:marRight w:val="0"/>
          <w:marTop w:val="0"/>
          <w:marBottom w:val="0"/>
          <w:divBdr>
            <w:top w:val="none" w:sz="0" w:space="0" w:color="auto"/>
            <w:left w:val="none" w:sz="0" w:space="0" w:color="auto"/>
            <w:bottom w:val="none" w:sz="0" w:space="0" w:color="auto"/>
            <w:right w:val="none" w:sz="0" w:space="0" w:color="auto"/>
          </w:divBdr>
        </w:div>
        <w:div w:id="796223657">
          <w:marLeft w:val="640"/>
          <w:marRight w:val="0"/>
          <w:marTop w:val="0"/>
          <w:marBottom w:val="0"/>
          <w:divBdr>
            <w:top w:val="none" w:sz="0" w:space="0" w:color="auto"/>
            <w:left w:val="none" w:sz="0" w:space="0" w:color="auto"/>
            <w:bottom w:val="none" w:sz="0" w:space="0" w:color="auto"/>
            <w:right w:val="none" w:sz="0" w:space="0" w:color="auto"/>
          </w:divBdr>
        </w:div>
        <w:div w:id="981495882">
          <w:marLeft w:val="640"/>
          <w:marRight w:val="0"/>
          <w:marTop w:val="0"/>
          <w:marBottom w:val="0"/>
          <w:divBdr>
            <w:top w:val="none" w:sz="0" w:space="0" w:color="auto"/>
            <w:left w:val="none" w:sz="0" w:space="0" w:color="auto"/>
            <w:bottom w:val="none" w:sz="0" w:space="0" w:color="auto"/>
            <w:right w:val="none" w:sz="0" w:space="0" w:color="auto"/>
          </w:divBdr>
        </w:div>
        <w:div w:id="1222978422">
          <w:marLeft w:val="640"/>
          <w:marRight w:val="0"/>
          <w:marTop w:val="0"/>
          <w:marBottom w:val="0"/>
          <w:divBdr>
            <w:top w:val="none" w:sz="0" w:space="0" w:color="auto"/>
            <w:left w:val="none" w:sz="0" w:space="0" w:color="auto"/>
            <w:bottom w:val="none" w:sz="0" w:space="0" w:color="auto"/>
            <w:right w:val="none" w:sz="0" w:space="0" w:color="auto"/>
          </w:divBdr>
        </w:div>
        <w:div w:id="62678227">
          <w:marLeft w:val="640"/>
          <w:marRight w:val="0"/>
          <w:marTop w:val="0"/>
          <w:marBottom w:val="0"/>
          <w:divBdr>
            <w:top w:val="none" w:sz="0" w:space="0" w:color="auto"/>
            <w:left w:val="none" w:sz="0" w:space="0" w:color="auto"/>
            <w:bottom w:val="none" w:sz="0" w:space="0" w:color="auto"/>
            <w:right w:val="none" w:sz="0" w:space="0" w:color="auto"/>
          </w:divBdr>
        </w:div>
        <w:div w:id="255986364">
          <w:marLeft w:val="640"/>
          <w:marRight w:val="0"/>
          <w:marTop w:val="0"/>
          <w:marBottom w:val="0"/>
          <w:divBdr>
            <w:top w:val="none" w:sz="0" w:space="0" w:color="auto"/>
            <w:left w:val="none" w:sz="0" w:space="0" w:color="auto"/>
            <w:bottom w:val="none" w:sz="0" w:space="0" w:color="auto"/>
            <w:right w:val="none" w:sz="0" w:space="0" w:color="auto"/>
          </w:divBdr>
        </w:div>
        <w:div w:id="1683121507">
          <w:marLeft w:val="640"/>
          <w:marRight w:val="0"/>
          <w:marTop w:val="0"/>
          <w:marBottom w:val="0"/>
          <w:divBdr>
            <w:top w:val="none" w:sz="0" w:space="0" w:color="auto"/>
            <w:left w:val="none" w:sz="0" w:space="0" w:color="auto"/>
            <w:bottom w:val="none" w:sz="0" w:space="0" w:color="auto"/>
            <w:right w:val="none" w:sz="0" w:space="0" w:color="auto"/>
          </w:divBdr>
        </w:div>
        <w:div w:id="59792768">
          <w:marLeft w:val="640"/>
          <w:marRight w:val="0"/>
          <w:marTop w:val="0"/>
          <w:marBottom w:val="0"/>
          <w:divBdr>
            <w:top w:val="none" w:sz="0" w:space="0" w:color="auto"/>
            <w:left w:val="none" w:sz="0" w:space="0" w:color="auto"/>
            <w:bottom w:val="none" w:sz="0" w:space="0" w:color="auto"/>
            <w:right w:val="none" w:sz="0" w:space="0" w:color="auto"/>
          </w:divBdr>
        </w:div>
        <w:div w:id="1761946610">
          <w:marLeft w:val="640"/>
          <w:marRight w:val="0"/>
          <w:marTop w:val="0"/>
          <w:marBottom w:val="0"/>
          <w:divBdr>
            <w:top w:val="none" w:sz="0" w:space="0" w:color="auto"/>
            <w:left w:val="none" w:sz="0" w:space="0" w:color="auto"/>
            <w:bottom w:val="none" w:sz="0" w:space="0" w:color="auto"/>
            <w:right w:val="none" w:sz="0" w:space="0" w:color="auto"/>
          </w:divBdr>
        </w:div>
        <w:div w:id="1348602231">
          <w:marLeft w:val="640"/>
          <w:marRight w:val="0"/>
          <w:marTop w:val="0"/>
          <w:marBottom w:val="0"/>
          <w:divBdr>
            <w:top w:val="none" w:sz="0" w:space="0" w:color="auto"/>
            <w:left w:val="none" w:sz="0" w:space="0" w:color="auto"/>
            <w:bottom w:val="none" w:sz="0" w:space="0" w:color="auto"/>
            <w:right w:val="none" w:sz="0" w:space="0" w:color="auto"/>
          </w:divBdr>
        </w:div>
        <w:div w:id="1165515380">
          <w:marLeft w:val="640"/>
          <w:marRight w:val="0"/>
          <w:marTop w:val="0"/>
          <w:marBottom w:val="0"/>
          <w:divBdr>
            <w:top w:val="none" w:sz="0" w:space="0" w:color="auto"/>
            <w:left w:val="none" w:sz="0" w:space="0" w:color="auto"/>
            <w:bottom w:val="none" w:sz="0" w:space="0" w:color="auto"/>
            <w:right w:val="none" w:sz="0" w:space="0" w:color="auto"/>
          </w:divBdr>
        </w:div>
        <w:div w:id="1525050005">
          <w:marLeft w:val="640"/>
          <w:marRight w:val="0"/>
          <w:marTop w:val="0"/>
          <w:marBottom w:val="0"/>
          <w:divBdr>
            <w:top w:val="none" w:sz="0" w:space="0" w:color="auto"/>
            <w:left w:val="none" w:sz="0" w:space="0" w:color="auto"/>
            <w:bottom w:val="none" w:sz="0" w:space="0" w:color="auto"/>
            <w:right w:val="none" w:sz="0" w:space="0" w:color="auto"/>
          </w:divBdr>
        </w:div>
        <w:div w:id="737171083">
          <w:marLeft w:val="640"/>
          <w:marRight w:val="0"/>
          <w:marTop w:val="0"/>
          <w:marBottom w:val="0"/>
          <w:divBdr>
            <w:top w:val="none" w:sz="0" w:space="0" w:color="auto"/>
            <w:left w:val="none" w:sz="0" w:space="0" w:color="auto"/>
            <w:bottom w:val="none" w:sz="0" w:space="0" w:color="auto"/>
            <w:right w:val="none" w:sz="0" w:space="0" w:color="auto"/>
          </w:divBdr>
        </w:div>
        <w:div w:id="974799172">
          <w:marLeft w:val="640"/>
          <w:marRight w:val="0"/>
          <w:marTop w:val="0"/>
          <w:marBottom w:val="0"/>
          <w:divBdr>
            <w:top w:val="none" w:sz="0" w:space="0" w:color="auto"/>
            <w:left w:val="none" w:sz="0" w:space="0" w:color="auto"/>
            <w:bottom w:val="none" w:sz="0" w:space="0" w:color="auto"/>
            <w:right w:val="none" w:sz="0" w:space="0" w:color="auto"/>
          </w:divBdr>
        </w:div>
        <w:div w:id="428700872">
          <w:marLeft w:val="640"/>
          <w:marRight w:val="0"/>
          <w:marTop w:val="0"/>
          <w:marBottom w:val="0"/>
          <w:divBdr>
            <w:top w:val="none" w:sz="0" w:space="0" w:color="auto"/>
            <w:left w:val="none" w:sz="0" w:space="0" w:color="auto"/>
            <w:bottom w:val="none" w:sz="0" w:space="0" w:color="auto"/>
            <w:right w:val="none" w:sz="0" w:space="0" w:color="auto"/>
          </w:divBdr>
        </w:div>
        <w:div w:id="1310330500">
          <w:marLeft w:val="640"/>
          <w:marRight w:val="0"/>
          <w:marTop w:val="0"/>
          <w:marBottom w:val="0"/>
          <w:divBdr>
            <w:top w:val="none" w:sz="0" w:space="0" w:color="auto"/>
            <w:left w:val="none" w:sz="0" w:space="0" w:color="auto"/>
            <w:bottom w:val="none" w:sz="0" w:space="0" w:color="auto"/>
            <w:right w:val="none" w:sz="0" w:space="0" w:color="auto"/>
          </w:divBdr>
        </w:div>
        <w:div w:id="19401648">
          <w:marLeft w:val="640"/>
          <w:marRight w:val="0"/>
          <w:marTop w:val="0"/>
          <w:marBottom w:val="0"/>
          <w:divBdr>
            <w:top w:val="none" w:sz="0" w:space="0" w:color="auto"/>
            <w:left w:val="none" w:sz="0" w:space="0" w:color="auto"/>
            <w:bottom w:val="none" w:sz="0" w:space="0" w:color="auto"/>
            <w:right w:val="none" w:sz="0" w:space="0" w:color="auto"/>
          </w:divBdr>
        </w:div>
        <w:div w:id="2140606177">
          <w:marLeft w:val="640"/>
          <w:marRight w:val="0"/>
          <w:marTop w:val="0"/>
          <w:marBottom w:val="0"/>
          <w:divBdr>
            <w:top w:val="none" w:sz="0" w:space="0" w:color="auto"/>
            <w:left w:val="none" w:sz="0" w:space="0" w:color="auto"/>
            <w:bottom w:val="none" w:sz="0" w:space="0" w:color="auto"/>
            <w:right w:val="none" w:sz="0" w:space="0" w:color="auto"/>
          </w:divBdr>
        </w:div>
        <w:div w:id="171528670">
          <w:marLeft w:val="640"/>
          <w:marRight w:val="0"/>
          <w:marTop w:val="0"/>
          <w:marBottom w:val="0"/>
          <w:divBdr>
            <w:top w:val="none" w:sz="0" w:space="0" w:color="auto"/>
            <w:left w:val="none" w:sz="0" w:space="0" w:color="auto"/>
            <w:bottom w:val="none" w:sz="0" w:space="0" w:color="auto"/>
            <w:right w:val="none" w:sz="0" w:space="0" w:color="auto"/>
          </w:divBdr>
        </w:div>
        <w:div w:id="2076855752">
          <w:marLeft w:val="640"/>
          <w:marRight w:val="0"/>
          <w:marTop w:val="0"/>
          <w:marBottom w:val="0"/>
          <w:divBdr>
            <w:top w:val="none" w:sz="0" w:space="0" w:color="auto"/>
            <w:left w:val="none" w:sz="0" w:space="0" w:color="auto"/>
            <w:bottom w:val="none" w:sz="0" w:space="0" w:color="auto"/>
            <w:right w:val="none" w:sz="0" w:space="0" w:color="auto"/>
          </w:divBdr>
        </w:div>
        <w:div w:id="521016286">
          <w:marLeft w:val="640"/>
          <w:marRight w:val="0"/>
          <w:marTop w:val="0"/>
          <w:marBottom w:val="0"/>
          <w:divBdr>
            <w:top w:val="none" w:sz="0" w:space="0" w:color="auto"/>
            <w:left w:val="none" w:sz="0" w:space="0" w:color="auto"/>
            <w:bottom w:val="none" w:sz="0" w:space="0" w:color="auto"/>
            <w:right w:val="none" w:sz="0" w:space="0" w:color="auto"/>
          </w:divBdr>
        </w:div>
        <w:div w:id="572352935">
          <w:marLeft w:val="640"/>
          <w:marRight w:val="0"/>
          <w:marTop w:val="0"/>
          <w:marBottom w:val="0"/>
          <w:divBdr>
            <w:top w:val="none" w:sz="0" w:space="0" w:color="auto"/>
            <w:left w:val="none" w:sz="0" w:space="0" w:color="auto"/>
            <w:bottom w:val="none" w:sz="0" w:space="0" w:color="auto"/>
            <w:right w:val="none" w:sz="0" w:space="0" w:color="auto"/>
          </w:divBdr>
        </w:div>
        <w:div w:id="576593017">
          <w:marLeft w:val="640"/>
          <w:marRight w:val="0"/>
          <w:marTop w:val="0"/>
          <w:marBottom w:val="0"/>
          <w:divBdr>
            <w:top w:val="none" w:sz="0" w:space="0" w:color="auto"/>
            <w:left w:val="none" w:sz="0" w:space="0" w:color="auto"/>
            <w:bottom w:val="none" w:sz="0" w:space="0" w:color="auto"/>
            <w:right w:val="none" w:sz="0" w:space="0" w:color="auto"/>
          </w:divBdr>
        </w:div>
        <w:div w:id="1599294701">
          <w:marLeft w:val="640"/>
          <w:marRight w:val="0"/>
          <w:marTop w:val="0"/>
          <w:marBottom w:val="0"/>
          <w:divBdr>
            <w:top w:val="none" w:sz="0" w:space="0" w:color="auto"/>
            <w:left w:val="none" w:sz="0" w:space="0" w:color="auto"/>
            <w:bottom w:val="none" w:sz="0" w:space="0" w:color="auto"/>
            <w:right w:val="none" w:sz="0" w:space="0" w:color="auto"/>
          </w:divBdr>
        </w:div>
        <w:div w:id="1148286619">
          <w:marLeft w:val="640"/>
          <w:marRight w:val="0"/>
          <w:marTop w:val="0"/>
          <w:marBottom w:val="0"/>
          <w:divBdr>
            <w:top w:val="none" w:sz="0" w:space="0" w:color="auto"/>
            <w:left w:val="none" w:sz="0" w:space="0" w:color="auto"/>
            <w:bottom w:val="none" w:sz="0" w:space="0" w:color="auto"/>
            <w:right w:val="none" w:sz="0" w:space="0" w:color="auto"/>
          </w:divBdr>
        </w:div>
        <w:div w:id="773478400">
          <w:marLeft w:val="640"/>
          <w:marRight w:val="0"/>
          <w:marTop w:val="0"/>
          <w:marBottom w:val="0"/>
          <w:divBdr>
            <w:top w:val="none" w:sz="0" w:space="0" w:color="auto"/>
            <w:left w:val="none" w:sz="0" w:space="0" w:color="auto"/>
            <w:bottom w:val="none" w:sz="0" w:space="0" w:color="auto"/>
            <w:right w:val="none" w:sz="0" w:space="0" w:color="auto"/>
          </w:divBdr>
        </w:div>
        <w:div w:id="800464317">
          <w:marLeft w:val="640"/>
          <w:marRight w:val="0"/>
          <w:marTop w:val="0"/>
          <w:marBottom w:val="0"/>
          <w:divBdr>
            <w:top w:val="none" w:sz="0" w:space="0" w:color="auto"/>
            <w:left w:val="none" w:sz="0" w:space="0" w:color="auto"/>
            <w:bottom w:val="none" w:sz="0" w:space="0" w:color="auto"/>
            <w:right w:val="none" w:sz="0" w:space="0" w:color="auto"/>
          </w:divBdr>
        </w:div>
        <w:div w:id="986401209">
          <w:marLeft w:val="640"/>
          <w:marRight w:val="0"/>
          <w:marTop w:val="0"/>
          <w:marBottom w:val="0"/>
          <w:divBdr>
            <w:top w:val="none" w:sz="0" w:space="0" w:color="auto"/>
            <w:left w:val="none" w:sz="0" w:space="0" w:color="auto"/>
            <w:bottom w:val="none" w:sz="0" w:space="0" w:color="auto"/>
            <w:right w:val="none" w:sz="0" w:space="0" w:color="auto"/>
          </w:divBdr>
        </w:div>
        <w:div w:id="1182933933">
          <w:marLeft w:val="640"/>
          <w:marRight w:val="0"/>
          <w:marTop w:val="0"/>
          <w:marBottom w:val="0"/>
          <w:divBdr>
            <w:top w:val="none" w:sz="0" w:space="0" w:color="auto"/>
            <w:left w:val="none" w:sz="0" w:space="0" w:color="auto"/>
            <w:bottom w:val="none" w:sz="0" w:space="0" w:color="auto"/>
            <w:right w:val="none" w:sz="0" w:space="0" w:color="auto"/>
          </w:divBdr>
        </w:div>
        <w:div w:id="313293798">
          <w:marLeft w:val="640"/>
          <w:marRight w:val="0"/>
          <w:marTop w:val="0"/>
          <w:marBottom w:val="0"/>
          <w:divBdr>
            <w:top w:val="none" w:sz="0" w:space="0" w:color="auto"/>
            <w:left w:val="none" w:sz="0" w:space="0" w:color="auto"/>
            <w:bottom w:val="none" w:sz="0" w:space="0" w:color="auto"/>
            <w:right w:val="none" w:sz="0" w:space="0" w:color="auto"/>
          </w:divBdr>
        </w:div>
        <w:div w:id="860048818">
          <w:marLeft w:val="640"/>
          <w:marRight w:val="0"/>
          <w:marTop w:val="0"/>
          <w:marBottom w:val="0"/>
          <w:divBdr>
            <w:top w:val="none" w:sz="0" w:space="0" w:color="auto"/>
            <w:left w:val="none" w:sz="0" w:space="0" w:color="auto"/>
            <w:bottom w:val="none" w:sz="0" w:space="0" w:color="auto"/>
            <w:right w:val="none" w:sz="0" w:space="0" w:color="auto"/>
          </w:divBdr>
        </w:div>
        <w:div w:id="928545059">
          <w:marLeft w:val="640"/>
          <w:marRight w:val="0"/>
          <w:marTop w:val="0"/>
          <w:marBottom w:val="0"/>
          <w:divBdr>
            <w:top w:val="none" w:sz="0" w:space="0" w:color="auto"/>
            <w:left w:val="none" w:sz="0" w:space="0" w:color="auto"/>
            <w:bottom w:val="none" w:sz="0" w:space="0" w:color="auto"/>
            <w:right w:val="none" w:sz="0" w:space="0" w:color="auto"/>
          </w:divBdr>
        </w:div>
        <w:div w:id="1276057997">
          <w:marLeft w:val="640"/>
          <w:marRight w:val="0"/>
          <w:marTop w:val="0"/>
          <w:marBottom w:val="0"/>
          <w:divBdr>
            <w:top w:val="none" w:sz="0" w:space="0" w:color="auto"/>
            <w:left w:val="none" w:sz="0" w:space="0" w:color="auto"/>
            <w:bottom w:val="none" w:sz="0" w:space="0" w:color="auto"/>
            <w:right w:val="none" w:sz="0" w:space="0" w:color="auto"/>
          </w:divBdr>
        </w:div>
        <w:div w:id="1593659391">
          <w:marLeft w:val="640"/>
          <w:marRight w:val="0"/>
          <w:marTop w:val="0"/>
          <w:marBottom w:val="0"/>
          <w:divBdr>
            <w:top w:val="none" w:sz="0" w:space="0" w:color="auto"/>
            <w:left w:val="none" w:sz="0" w:space="0" w:color="auto"/>
            <w:bottom w:val="none" w:sz="0" w:space="0" w:color="auto"/>
            <w:right w:val="none" w:sz="0" w:space="0" w:color="auto"/>
          </w:divBdr>
        </w:div>
        <w:div w:id="580724337">
          <w:marLeft w:val="640"/>
          <w:marRight w:val="0"/>
          <w:marTop w:val="0"/>
          <w:marBottom w:val="0"/>
          <w:divBdr>
            <w:top w:val="none" w:sz="0" w:space="0" w:color="auto"/>
            <w:left w:val="none" w:sz="0" w:space="0" w:color="auto"/>
            <w:bottom w:val="none" w:sz="0" w:space="0" w:color="auto"/>
            <w:right w:val="none" w:sz="0" w:space="0" w:color="auto"/>
          </w:divBdr>
        </w:div>
        <w:div w:id="1653876366">
          <w:marLeft w:val="640"/>
          <w:marRight w:val="0"/>
          <w:marTop w:val="0"/>
          <w:marBottom w:val="0"/>
          <w:divBdr>
            <w:top w:val="none" w:sz="0" w:space="0" w:color="auto"/>
            <w:left w:val="none" w:sz="0" w:space="0" w:color="auto"/>
            <w:bottom w:val="none" w:sz="0" w:space="0" w:color="auto"/>
            <w:right w:val="none" w:sz="0" w:space="0" w:color="auto"/>
          </w:divBdr>
        </w:div>
        <w:div w:id="1073967881">
          <w:marLeft w:val="640"/>
          <w:marRight w:val="0"/>
          <w:marTop w:val="0"/>
          <w:marBottom w:val="0"/>
          <w:divBdr>
            <w:top w:val="none" w:sz="0" w:space="0" w:color="auto"/>
            <w:left w:val="none" w:sz="0" w:space="0" w:color="auto"/>
            <w:bottom w:val="none" w:sz="0" w:space="0" w:color="auto"/>
            <w:right w:val="none" w:sz="0" w:space="0" w:color="auto"/>
          </w:divBdr>
        </w:div>
        <w:div w:id="443113416">
          <w:marLeft w:val="640"/>
          <w:marRight w:val="0"/>
          <w:marTop w:val="0"/>
          <w:marBottom w:val="0"/>
          <w:divBdr>
            <w:top w:val="none" w:sz="0" w:space="0" w:color="auto"/>
            <w:left w:val="none" w:sz="0" w:space="0" w:color="auto"/>
            <w:bottom w:val="none" w:sz="0" w:space="0" w:color="auto"/>
            <w:right w:val="none" w:sz="0" w:space="0" w:color="auto"/>
          </w:divBdr>
        </w:div>
        <w:div w:id="1241527002">
          <w:marLeft w:val="640"/>
          <w:marRight w:val="0"/>
          <w:marTop w:val="0"/>
          <w:marBottom w:val="0"/>
          <w:divBdr>
            <w:top w:val="none" w:sz="0" w:space="0" w:color="auto"/>
            <w:left w:val="none" w:sz="0" w:space="0" w:color="auto"/>
            <w:bottom w:val="none" w:sz="0" w:space="0" w:color="auto"/>
            <w:right w:val="none" w:sz="0" w:space="0" w:color="auto"/>
          </w:divBdr>
        </w:div>
        <w:div w:id="2047369354">
          <w:marLeft w:val="640"/>
          <w:marRight w:val="0"/>
          <w:marTop w:val="0"/>
          <w:marBottom w:val="0"/>
          <w:divBdr>
            <w:top w:val="none" w:sz="0" w:space="0" w:color="auto"/>
            <w:left w:val="none" w:sz="0" w:space="0" w:color="auto"/>
            <w:bottom w:val="none" w:sz="0" w:space="0" w:color="auto"/>
            <w:right w:val="none" w:sz="0" w:space="0" w:color="auto"/>
          </w:divBdr>
        </w:div>
        <w:div w:id="985663384">
          <w:marLeft w:val="640"/>
          <w:marRight w:val="0"/>
          <w:marTop w:val="0"/>
          <w:marBottom w:val="0"/>
          <w:divBdr>
            <w:top w:val="none" w:sz="0" w:space="0" w:color="auto"/>
            <w:left w:val="none" w:sz="0" w:space="0" w:color="auto"/>
            <w:bottom w:val="none" w:sz="0" w:space="0" w:color="auto"/>
            <w:right w:val="none" w:sz="0" w:space="0" w:color="auto"/>
          </w:divBdr>
        </w:div>
        <w:div w:id="1174108823">
          <w:marLeft w:val="640"/>
          <w:marRight w:val="0"/>
          <w:marTop w:val="0"/>
          <w:marBottom w:val="0"/>
          <w:divBdr>
            <w:top w:val="none" w:sz="0" w:space="0" w:color="auto"/>
            <w:left w:val="none" w:sz="0" w:space="0" w:color="auto"/>
            <w:bottom w:val="none" w:sz="0" w:space="0" w:color="auto"/>
            <w:right w:val="none" w:sz="0" w:space="0" w:color="auto"/>
          </w:divBdr>
        </w:div>
        <w:div w:id="255678376">
          <w:marLeft w:val="640"/>
          <w:marRight w:val="0"/>
          <w:marTop w:val="0"/>
          <w:marBottom w:val="0"/>
          <w:divBdr>
            <w:top w:val="none" w:sz="0" w:space="0" w:color="auto"/>
            <w:left w:val="none" w:sz="0" w:space="0" w:color="auto"/>
            <w:bottom w:val="none" w:sz="0" w:space="0" w:color="auto"/>
            <w:right w:val="none" w:sz="0" w:space="0" w:color="auto"/>
          </w:divBdr>
        </w:div>
        <w:div w:id="1381781420">
          <w:marLeft w:val="640"/>
          <w:marRight w:val="0"/>
          <w:marTop w:val="0"/>
          <w:marBottom w:val="0"/>
          <w:divBdr>
            <w:top w:val="none" w:sz="0" w:space="0" w:color="auto"/>
            <w:left w:val="none" w:sz="0" w:space="0" w:color="auto"/>
            <w:bottom w:val="none" w:sz="0" w:space="0" w:color="auto"/>
            <w:right w:val="none" w:sz="0" w:space="0" w:color="auto"/>
          </w:divBdr>
        </w:div>
        <w:div w:id="530921492">
          <w:marLeft w:val="640"/>
          <w:marRight w:val="0"/>
          <w:marTop w:val="0"/>
          <w:marBottom w:val="0"/>
          <w:divBdr>
            <w:top w:val="none" w:sz="0" w:space="0" w:color="auto"/>
            <w:left w:val="none" w:sz="0" w:space="0" w:color="auto"/>
            <w:bottom w:val="none" w:sz="0" w:space="0" w:color="auto"/>
            <w:right w:val="none" w:sz="0" w:space="0" w:color="auto"/>
          </w:divBdr>
        </w:div>
        <w:div w:id="1556576796">
          <w:marLeft w:val="640"/>
          <w:marRight w:val="0"/>
          <w:marTop w:val="0"/>
          <w:marBottom w:val="0"/>
          <w:divBdr>
            <w:top w:val="none" w:sz="0" w:space="0" w:color="auto"/>
            <w:left w:val="none" w:sz="0" w:space="0" w:color="auto"/>
            <w:bottom w:val="none" w:sz="0" w:space="0" w:color="auto"/>
            <w:right w:val="none" w:sz="0" w:space="0" w:color="auto"/>
          </w:divBdr>
        </w:div>
        <w:div w:id="1552113794">
          <w:marLeft w:val="640"/>
          <w:marRight w:val="0"/>
          <w:marTop w:val="0"/>
          <w:marBottom w:val="0"/>
          <w:divBdr>
            <w:top w:val="none" w:sz="0" w:space="0" w:color="auto"/>
            <w:left w:val="none" w:sz="0" w:space="0" w:color="auto"/>
            <w:bottom w:val="none" w:sz="0" w:space="0" w:color="auto"/>
            <w:right w:val="none" w:sz="0" w:space="0" w:color="auto"/>
          </w:divBdr>
        </w:div>
        <w:div w:id="913196501">
          <w:marLeft w:val="640"/>
          <w:marRight w:val="0"/>
          <w:marTop w:val="0"/>
          <w:marBottom w:val="0"/>
          <w:divBdr>
            <w:top w:val="none" w:sz="0" w:space="0" w:color="auto"/>
            <w:left w:val="none" w:sz="0" w:space="0" w:color="auto"/>
            <w:bottom w:val="none" w:sz="0" w:space="0" w:color="auto"/>
            <w:right w:val="none" w:sz="0" w:space="0" w:color="auto"/>
          </w:divBdr>
        </w:div>
        <w:div w:id="1226453369">
          <w:marLeft w:val="640"/>
          <w:marRight w:val="0"/>
          <w:marTop w:val="0"/>
          <w:marBottom w:val="0"/>
          <w:divBdr>
            <w:top w:val="none" w:sz="0" w:space="0" w:color="auto"/>
            <w:left w:val="none" w:sz="0" w:space="0" w:color="auto"/>
            <w:bottom w:val="none" w:sz="0" w:space="0" w:color="auto"/>
            <w:right w:val="none" w:sz="0" w:space="0" w:color="auto"/>
          </w:divBdr>
        </w:div>
        <w:div w:id="1244023268">
          <w:marLeft w:val="640"/>
          <w:marRight w:val="0"/>
          <w:marTop w:val="0"/>
          <w:marBottom w:val="0"/>
          <w:divBdr>
            <w:top w:val="none" w:sz="0" w:space="0" w:color="auto"/>
            <w:left w:val="none" w:sz="0" w:space="0" w:color="auto"/>
            <w:bottom w:val="none" w:sz="0" w:space="0" w:color="auto"/>
            <w:right w:val="none" w:sz="0" w:space="0" w:color="auto"/>
          </w:divBdr>
        </w:div>
        <w:div w:id="627861342">
          <w:marLeft w:val="640"/>
          <w:marRight w:val="0"/>
          <w:marTop w:val="0"/>
          <w:marBottom w:val="0"/>
          <w:divBdr>
            <w:top w:val="none" w:sz="0" w:space="0" w:color="auto"/>
            <w:left w:val="none" w:sz="0" w:space="0" w:color="auto"/>
            <w:bottom w:val="none" w:sz="0" w:space="0" w:color="auto"/>
            <w:right w:val="none" w:sz="0" w:space="0" w:color="auto"/>
          </w:divBdr>
        </w:div>
        <w:div w:id="99767786">
          <w:marLeft w:val="640"/>
          <w:marRight w:val="0"/>
          <w:marTop w:val="0"/>
          <w:marBottom w:val="0"/>
          <w:divBdr>
            <w:top w:val="none" w:sz="0" w:space="0" w:color="auto"/>
            <w:left w:val="none" w:sz="0" w:space="0" w:color="auto"/>
            <w:bottom w:val="none" w:sz="0" w:space="0" w:color="auto"/>
            <w:right w:val="none" w:sz="0" w:space="0" w:color="auto"/>
          </w:divBdr>
        </w:div>
        <w:div w:id="1653024069">
          <w:marLeft w:val="640"/>
          <w:marRight w:val="0"/>
          <w:marTop w:val="0"/>
          <w:marBottom w:val="0"/>
          <w:divBdr>
            <w:top w:val="none" w:sz="0" w:space="0" w:color="auto"/>
            <w:left w:val="none" w:sz="0" w:space="0" w:color="auto"/>
            <w:bottom w:val="none" w:sz="0" w:space="0" w:color="auto"/>
            <w:right w:val="none" w:sz="0" w:space="0" w:color="auto"/>
          </w:divBdr>
        </w:div>
        <w:div w:id="1196045453">
          <w:marLeft w:val="640"/>
          <w:marRight w:val="0"/>
          <w:marTop w:val="0"/>
          <w:marBottom w:val="0"/>
          <w:divBdr>
            <w:top w:val="none" w:sz="0" w:space="0" w:color="auto"/>
            <w:left w:val="none" w:sz="0" w:space="0" w:color="auto"/>
            <w:bottom w:val="none" w:sz="0" w:space="0" w:color="auto"/>
            <w:right w:val="none" w:sz="0" w:space="0" w:color="auto"/>
          </w:divBdr>
        </w:div>
        <w:div w:id="247202653">
          <w:marLeft w:val="640"/>
          <w:marRight w:val="0"/>
          <w:marTop w:val="0"/>
          <w:marBottom w:val="0"/>
          <w:divBdr>
            <w:top w:val="none" w:sz="0" w:space="0" w:color="auto"/>
            <w:left w:val="none" w:sz="0" w:space="0" w:color="auto"/>
            <w:bottom w:val="none" w:sz="0" w:space="0" w:color="auto"/>
            <w:right w:val="none" w:sz="0" w:space="0" w:color="auto"/>
          </w:divBdr>
        </w:div>
        <w:div w:id="2029141851">
          <w:marLeft w:val="640"/>
          <w:marRight w:val="0"/>
          <w:marTop w:val="0"/>
          <w:marBottom w:val="0"/>
          <w:divBdr>
            <w:top w:val="none" w:sz="0" w:space="0" w:color="auto"/>
            <w:left w:val="none" w:sz="0" w:space="0" w:color="auto"/>
            <w:bottom w:val="none" w:sz="0" w:space="0" w:color="auto"/>
            <w:right w:val="none" w:sz="0" w:space="0" w:color="auto"/>
          </w:divBdr>
        </w:div>
        <w:div w:id="323094801">
          <w:marLeft w:val="640"/>
          <w:marRight w:val="0"/>
          <w:marTop w:val="0"/>
          <w:marBottom w:val="0"/>
          <w:divBdr>
            <w:top w:val="none" w:sz="0" w:space="0" w:color="auto"/>
            <w:left w:val="none" w:sz="0" w:space="0" w:color="auto"/>
            <w:bottom w:val="none" w:sz="0" w:space="0" w:color="auto"/>
            <w:right w:val="none" w:sz="0" w:space="0" w:color="auto"/>
          </w:divBdr>
        </w:div>
        <w:div w:id="137386564">
          <w:marLeft w:val="640"/>
          <w:marRight w:val="0"/>
          <w:marTop w:val="0"/>
          <w:marBottom w:val="0"/>
          <w:divBdr>
            <w:top w:val="none" w:sz="0" w:space="0" w:color="auto"/>
            <w:left w:val="none" w:sz="0" w:space="0" w:color="auto"/>
            <w:bottom w:val="none" w:sz="0" w:space="0" w:color="auto"/>
            <w:right w:val="none" w:sz="0" w:space="0" w:color="auto"/>
          </w:divBdr>
        </w:div>
        <w:div w:id="1811744050">
          <w:marLeft w:val="640"/>
          <w:marRight w:val="0"/>
          <w:marTop w:val="0"/>
          <w:marBottom w:val="0"/>
          <w:divBdr>
            <w:top w:val="none" w:sz="0" w:space="0" w:color="auto"/>
            <w:left w:val="none" w:sz="0" w:space="0" w:color="auto"/>
            <w:bottom w:val="none" w:sz="0" w:space="0" w:color="auto"/>
            <w:right w:val="none" w:sz="0" w:space="0" w:color="auto"/>
          </w:divBdr>
        </w:div>
        <w:div w:id="1685665198">
          <w:marLeft w:val="640"/>
          <w:marRight w:val="0"/>
          <w:marTop w:val="0"/>
          <w:marBottom w:val="0"/>
          <w:divBdr>
            <w:top w:val="none" w:sz="0" w:space="0" w:color="auto"/>
            <w:left w:val="none" w:sz="0" w:space="0" w:color="auto"/>
            <w:bottom w:val="none" w:sz="0" w:space="0" w:color="auto"/>
            <w:right w:val="none" w:sz="0" w:space="0" w:color="auto"/>
          </w:divBdr>
        </w:div>
        <w:div w:id="790128978">
          <w:marLeft w:val="640"/>
          <w:marRight w:val="0"/>
          <w:marTop w:val="0"/>
          <w:marBottom w:val="0"/>
          <w:divBdr>
            <w:top w:val="none" w:sz="0" w:space="0" w:color="auto"/>
            <w:left w:val="none" w:sz="0" w:space="0" w:color="auto"/>
            <w:bottom w:val="none" w:sz="0" w:space="0" w:color="auto"/>
            <w:right w:val="none" w:sz="0" w:space="0" w:color="auto"/>
          </w:divBdr>
        </w:div>
        <w:div w:id="1594511466">
          <w:marLeft w:val="640"/>
          <w:marRight w:val="0"/>
          <w:marTop w:val="0"/>
          <w:marBottom w:val="0"/>
          <w:divBdr>
            <w:top w:val="none" w:sz="0" w:space="0" w:color="auto"/>
            <w:left w:val="none" w:sz="0" w:space="0" w:color="auto"/>
            <w:bottom w:val="none" w:sz="0" w:space="0" w:color="auto"/>
            <w:right w:val="none" w:sz="0" w:space="0" w:color="auto"/>
          </w:divBdr>
        </w:div>
        <w:div w:id="158885959">
          <w:marLeft w:val="640"/>
          <w:marRight w:val="0"/>
          <w:marTop w:val="0"/>
          <w:marBottom w:val="0"/>
          <w:divBdr>
            <w:top w:val="none" w:sz="0" w:space="0" w:color="auto"/>
            <w:left w:val="none" w:sz="0" w:space="0" w:color="auto"/>
            <w:bottom w:val="none" w:sz="0" w:space="0" w:color="auto"/>
            <w:right w:val="none" w:sz="0" w:space="0" w:color="auto"/>
          </w:divBdr>
        </w:div>
        <w:div w:id="697396184">
          <w:marLeft w:val="640"/>
          <w:marRight w:val="0"/>
          <w:marTop w:val="0"/>
          <w:marBottom w:val="0"/>
          <w:divBdr>
            <w:top w:val="none" w:sz="0" w:space="0" w:color="auto"/>
            <w:left w:val="none" w:sz="0" w:space="0" w:color="auto"/>
            <w:bottom w:val="none" w:sz="0" w:space="0" w:color="auto"/>
            <w:right w:val="none" w:sz="0" w:space="0" w:color="auto"/>
          </w:divBdr>
        </w:div>
        <w:div w:id="1619726032">
          <w:marLeft w:val="640"/>
          <w:marRight w:val="0"/>
          <w:marTop w:val="0"/>
          <w:marBottom w:val="0"/>
          <w:divBdr>
            <w:top w:val="none" w:sz="0" w:space="0" w:color="auto"/>
            <w:left w:val="none" w:sz="0" w:space="0" w:color="auto"/>
            <w:bottom w:val="none" w:sz="0" w:space="0" w:color="auto"/>
            <w:right w:val="none" w:sz="0" w:space="0" w:color="auto"/>
          </w:divBdr>
        </w:div>
        <w:div w:id="138881974">
          <w:marLeft w:val="640"/>
          <w:marRight w:val="0"/>
          <w:marTop w:val="0"/>
          <w:marBottom w:val="0"/>
          <w:divBdr>
            <w:top w:val="none" w:sz="0" w:space="0" w:color="auto"/>
            <w:left w:val="none" w:sz="0" w:space="0" w:color="auto"/>
            <w:bottom w:val="none" w:sz="0" w:space="0" w:color="auto"/>
            <w:right w:val="none" w:sz="0" w:space="0" w:color="auto"/>
          </w:divBdr>
        </w:div>
        <w:div w:id="1372412646">
          <w:marLeft w:val="640"/>
          <w:marRight w:val="0"/>
          <w:marTop w:val="0"/>
          <w:marBottom w:val="0"/>
          <w:divBdr>
            <w:top w:val="none" w:sz="0" w:space="0" w:color="auto"/>
            <w:left w:val="none" w:sz="0" w:space="0" w:color="auto"/>
            <w:bottom w:val="none" w:sz="0" w:space="0" w:color="auto"/>
            <w:right w:val="none" w:sz="0" w:space="0" w:color="auto"/>
          </w:divBdr>
        </w:div>
        <w:div w:id="1772046841">
          <w:marLeft w:val="640"/>
          <w:marRight w:val="0"/>
          <w:marTop w:val="0"/>
          <w:marBottom w:val="0"/>
          <w:divBdr>
            <w:top w:val="none" w:sz="0" w:space="0" w:color="auto"/>
            <w:left w:val="none" w:sz="0" w:space="0" w:color="auto"/>
            <w:bottom w:val="none" w:sz="0" w:space="0" w:color="auto"/>
            <w:right w:val="none" w:sz="0" w:space="0" w:color="auto"/>
          </w:divBdr>
        </w:div>
        <w:div w:id="1254558011">
          <w:marLeft w:val="640"/>
          <w:marRight w:val="0"/>
          <w:marTop w:val="0"/>
          <w:marBottom w:val="0"/>
          <w:divBdr>
            <w:top w:val="none" w:sz="0" w:space="0" w:color="auto"/>
            <w:left w:val="none" w:sz="0" w:space="0" w:color="auto"/>
            <w:bottom w:val="none" w:sz="0" w:space="0" w:color="auto"/>
            <w:right w:val="none" w:sz="0" w:space="0" w:color="auto"/>
          </w:divBdr>
        </w:div>
        <w:div w:id="642395719">
          <w:marLeft w:val="640"/>
          <w:marRight w:val="0"/>
          <w:marTop w:val="0"/>
          <w:marBottom w:val="0"/>
          <w:divBdr>
            <w:top w:val="none" w:sz="0" w:space="0" w:color="auto"/>
            <w:left w:val="none" w:sz="0" w:space="0" w:color="auto"/>
            <w:bottom w:val="none" w:sz="0" w:space="0" w:color="auto"/>
            <w:right w:val="none" w:sz="0" w:space="0" w:color="auto"/>
          </w:divBdr>
        </w:div>
        <w:div w:id="258030036">
          <w:marLeft w:val="640"/>
          <w:marRight w:val="0"/>
          <w:marTop w:val="0"/>
          <w:marBottom w:val="0"/>
          <w:divBdr>
            <w:top w:val="none" w:sz="0" w:space="0" w:color="auto"/>
            <w:left w:val="none" w:sz="0" w:space="0" w:color="auto"/>
            <w:bottom w:val="none" w:sz="0" w:space="0" w:color="auto"/>
            <w:right w:val="none" w:sz="0" w:space="0" w:color="auto"/>
          </w:divBdr>
        </w:div>
        <w:div w:id="825703694">
          <w:marLeft w:val="640"/>
          <w:marRight w:val="0"/>
          <w:marTop w:val="0"/>
          <w:marBottom w:val="0"/>
          <w:divBdr>
            <w:top w:val="none" w:sz="0" w:space="0" w:color="auto"/>
            <w:left w:val="none" w:sz="0" w:space="0" w:color="auto"/>
            <w:bottom w:val="none" w:sz="0" w:space="0" w:color="auto"/>
            <w:right w:val="none" w:sz="0" w:space="0" w:color="auto"/>
          </w:divBdr>
        </w:div>
        <w:div w:id="1811291261">
          <w:marLeft w:val="640"/>
          <w:marRight w:val="0"/>
          <w:marTop w:val="0"/>
          <w:marBottom w:val="0"/>
          <w:divBdr>
            <w:top w:val="none" w:sz="0" w:space="0" w:color="auto"/>
            <w:left w:val="none" w:sz="0" w:space="0" w:color="auto"/>
            <w:bottom w:val="none" w:sz="0" w:space="0" w:color="auto"/>
            <w:right w:val="none" w:sz="0" w:space="0" w:color="auto"/>
          </w:divBdr>
        </w:div>
        <w:div w:id="497890521">
          <w:marLeft w:val="640"/>
          <w:marRight w:val="0"/>
          <w:marTop w:val="0"/>
          <w:marBottom w:val="0"/>
          <w:divBdr>
            <w:top w:val="none" w:sz="0" w:space="0" w:color="auto"/>
            <w:left w:val="none" w:sz="0" w:space="0" w:color="auto"/>
            <w:bottom w:val="none" w:sz="0" w:space="0" w:color="auto"/>
            <w:right w:val="none" w:sz="0" w:space="0" w:color="auto"/>
          </w:divBdr>
        </w:div>
        <w:div w:id="1298534789">
          <w:marLeft w:val="640"/>
          <w:marRight w:val="0"/>
          <w:marTop w:val="0"/>
          <w:marBottom w:val="0"/>
          <w:divBdr>
            <w:top w:val="none" w:sz="0" w:space="0" w:color="auto"/>
            <w:left w:val="none" w:sz="0" w:space="0" w:color="auto"/>
            <w:bottom w:val="none" w:sz="0" w:space="0" w:color="auto"/>
            <w:right w:val="none" w:sz="0" w:space="0" w:color="auto"/>
          </w:divBdr>
        </w:div>
        <w:div w:id="378820045">
          <w:marLeft w:val="640"/>
          <w:marRight w:val="0"/>
          <w:marTop w:val="0"/>
          <w:marBottom w:val="0"/>
          <w:divBdr>
            <w:top w:val="none" w:sz="0" w:space="0" w:color="auto"/>
            <w:left w:val="none" w:sz="0" w:space="0" w:color="auto"/>
            <w:bottom w:val="none" w:sz="0" w:space="0" w:color="auto"/>
            <w:right w:val="none" w:sz="0" w:space="0" w:color="auto"/>
          </w:divBdr>
        </w:div>
        <w:div w:id="1900048569">
          <w:marLeft w:val="640"/>
          <w:marRight w:val="0"/>
          <w:marTop w:val="0"/>
          <w:marBottom w:val="0"/>
          <w:divBdr>
            <w:top w:val="none" w:sz="0" w:space="0" w:color="auto"/>
            <w:left w:val="none" w:sz="0" w:space="0" w:color="auto"/>
            <w:bottom w:val="none" w:sz="0" w:space="0" w:color="auto"/>
            <w:right w:val="none" w:sz="0" w:space="0" w:color="auto"/>
          </w:divBdr>
        </w:div>
        <w:div w:id="1918589896">
          <w:marLeft w:val="640"/>
          <w:marRight w:val="0"/>
          <w:marTop w:val="0"/>
          <w:marBottom w:val="0"/>
          <w:divBdr>
            <w:top w:val="none" w:sz="0" w:space="0" w:color="auto"/>
            <w:left w:val="none" w:sz="0" w:space="0" w:color="auto"/>
            <w:bottom w:val="none" w:sz="0" w:space="0" w:color="auto"/>
            <w:right w:val="none" w:sz="0" w:space="0" w:color="auto"/>
          </w:divBdr>
        </w:div>
        <w:div w:id="1426608250">
          <w:marLeft w:val="640"/>
          <w:marRight w:val="0"/>
          <w:marTop w:val="0"/>
          <w:marBottom w:val="0"/>
          <w:divBdr>
            <w:top w:val="none" w:sz="0" w:space="0" w:color="auto"/>
            <w:left w:val="none" w:sz="0" w:space="0" w:color="auto"/>
            <w:bottom w:val="none" w:sz="0" w:space="0" w:color="auto"/>
            <w:right w:val="none" w:sz="0" w:space="0" w:color="auto"/>
          </w:divBdr>
        </w:div>
        <w:div w:id="855580307">
          <w:marLeft w:val="640"/>
          <w:marRight w:val="0"/>
          <w:marTop w:val="0"/>
          <w:marBottom w:val="0"/>
          <w:divBdr>
            <w:top w:val="none" w:sz="0" w:space="0" w:color="auto"/>
            <w:left w:val="none" w:sz="0" w:space="0" w:color="auto"/>
            <w:bottom w:val="none" w:sz="0" w:space="0" w:color="auto"/>
            <w:right w:val="none" w:sz="0" w:space="0" w:color="auto"/>
          </w:divBdr>
        </w:div>
        <w:div w:id="49348955">
          <w:marLeft w:val="640"/>
          <w:marRight w:val="0"/>
          <w:marTop w:val="0"/>
          <w:marBottom w:val="0"/>
          <w:divBdr>
            <w:top w:val="none" w:sz="0" w:space="0" w:color="auto"/>
            <w:left w:val="none" w:sz="0" w:space="0" w:color="auto"/>
            <w:bottom w:val="none" w:sz="0" w:space="0" w:color="auto"/>
            <w:right w:val="none" w:sz="0" w:space="0" w:color="auto"/>
          </w:divBdr>
        </w:div>
        <w:div w:id="1730111479">
          <w:marLeft w:val="640"/>
          <w:marRight w:val="0"/>
          <w:marTop w:val="0"/>
          <w:marBottom w:val="0"/>
          <w:divBdr>
            <w:top w:val="none" w:sz="0" w:space="0" w:color="auto"/>
            <w:left w:val="none" w:sz="0" w:space="0" w:color="auto"/>
            <w:bottom w:val="none" w:sz="0" w:space="0" w:color="auto"/>
            <w:right w:val="none" w:sz="0" w:space="0" w:color="auto"/>
          </w:divBdr>
        </w:div>
        <w:div w:id="125005043">
          <w:marLeft w:val="640"/>
          <w:marRight w:val="0"/>
          <w:marTop w:val="0"/>
          <w:marBottom w:val="0"/>
          <w:divBdr>
            <w:top w:val="none" w:sz="0" w:space="0" w:color="auto"/>
            <w:left w:val="none" w:sz="0" w:space="0" w:color="auto"/>
            <w:bottom w:val="none" w:sz="0" w:space="0" w:color="auto"/>
            <w:right w:val="none" w:sz="0" w:space="0" w:color="auto"/>
          </w:divBdr>
        </w:div>
        <w:div w:id="1278290860">
          <w:marLeft w:val="640"/>
          <w:marRight w:val="0"/>
          <w:marTop w:val="0"/>
          <w:marBottom w:val="0"/>
          <w:divBdr>
            <w:top w:val="none" w:sz="0" w:space="0" w:color="auto"/>
            <w:left w:val="none" w:sz="0" w:space="0" w:color="auto"/>
            <w:bottom w:val="none" w:sz="0" w:space="0" w:color="auto"/>
            <w:right w:val="none" w:sz="0" w:space="0" w:color="auto"/>
          </w:divBdr>
        </w:div>
        <w:div w:id="1522356932">
          <w:marLeft w:val="640"/>
          <w:marRight w:val="0"/>
          <w:marTop w:val="0"/>
          <w:marBottom w:val="0"/>
          <w:divBdr>
            <w:top w:val="none" w:sz="0" w:space="0" w:color="auto"/>
            <w:left w:val="none" w:sz="0" w:space="0" w:color="auto"/>
            <w:bottom w:val="none" w:sz="0" w:space="0" w:color="auto"/>
            <w:right w:val="none" w:sz="0" w:space="0" w:color="auto"/>
          </w:divBdr>
        </w:div>
        <w:div w:id="648897712">
          <w:marLeft w:val="640"/>
          <w:marRight w:val="0"/>
          <w:marTop w:val="0"/>
          <w:marBottom w:val="0"/>
          <w:divBdr>
            <w:top w:val="none" w:sz="0" w:space="0" w:color="auto"/>
            <w:left w:val="none" w:sz="0" w:space="0" w:color="auto"/>
            <w:bottom w:val="none" w:sz="0" w:space="0" w:color="auto"/>
            <w:right w:val="none" w:sz="0" w:space="0" w:color="auto"/>
          </w:divBdr>
        </w:div>
        <w:div w:id="1237588616">
          <w:marLeft w:val="640"/>
          <w:marRight w:val="0"/>
          <w:marTop w:val="0"/>
          <w:marBottom w:val="0"/>
          <w:divBdr>
            <w:top w:val="none" w:sz="0" w:space="0" w:color="auto"/>
            <w:left w:val="none" w:sz="0" w:space="0" w:color="auto"/>
            <w:bottom w:val="none" w:sz="0" w:space="0" w:color="auto"/>
            <w:right w:val="none" w:sz="0" w:space="0" w:color="auto"/>
          </w:divBdr>
        </w:div>
        <w:div w:id="1905212366">
          <w:marLeft w:val="640"/>
          <w:marRight w:val="0"/>
          <w:marTop w:val="0"/>
          <w:marBottom w:val="0"/>
          <w:divBdr>
            <w:top w:val="none" w:sz="0" w:space="0" w:color="auto"/>
            <w:left w:val="none" w:sz="0" w:space="0" w:color="auto"/>
            <w:bottom w:val="none" w:sz="0" w:space="0" w:color="auto"/>
            <w:right w:val="none" w:sz="0" w:space="0" w:color="auto"/>
          </w:divBdr>
        </w:div>
        <w:div w:id="1163006547">
          <w:marLeft w:val="640"/>
          <w:marRight w:val="0"/>
          <w:marTop w:val="0"/>
          <w:marBottom w:val="0"/>
          <w:divBdr>
            <w:top w:val="none" w:sz="0" w:space="0" w:color="auto"/>
            <w:left w:val="none" w:sz="0" w:space="0" w:color="auto"/>
            <w:bottom w:val="none" w:sz="0" w:space="0" w:color="auto"/>
            <w:right w:val="none" w:sz="0" w:space="0" w:color="auto"/>
          </w:divBdr>
        </w:div>
        <w:div w:id="233900721">
          <w:marLeft w:val="640"/>
          <w:marRight w:val="0"/>
          <w:marTop w:val="0"/>
          <w:marBottom w:val="0"/>
          <w:divBdr>
            <w:top w:val="none" w:sz="0" w:space="0" w:color="auto"/>
            <w:left w:val="none" w:sz="0" w:space="0" w:color="auto"/>
            <w:bottom w:val="none" w:sz="0" w:space="0" w:color="auto"/>
            <w:right w:val="none" w:sz="0" w:space="0" w:color="auto"/>
          </w:divBdr>
        </w:div>
        <w:div w:id="1763527324">
          <w:marLeft w:val="640"/>
          <w:marRight w:val="0"/>
          <w:marTop w:val="0"/>
          <w:marBottom w:val="0"/>
          <w:divBdr>
            <w:top w:val="none" w:sz="0" w:space="0" w:color="auto"/>
            <w:left w:val="none" w:sz="0" w:space="0" w:color="auto"/>
            <w:bottom w:val="none" w:sz="0" w:space="0" w:color="auto"/>
            <w:right w:val="none" w:sz="0" w:space="0" w:color="auto"/>
          </w:divBdr>
        </w:div>
        <w:div w:id="86654525">
          <w:marLeft w:val="640"/>
          <w:marRight w:val="0"/>
          <w:marTop w:val="0"/>
          <w:marBottom w:val="0"/>
          <w:divBdr>
            <w:top w:val="none" w:sz="0" w:space="0" w:color="auto"/>
            <w:left w:val="none" w:sz="0" w:space="0" w:color="auto"/>
            <w:bottom w:val="none" w:sz="0" w:space="0" w:color="auto"/>
            <w:right w:val="none" w:sz="0" w:space="0" w:color="auto"/>
          </w:divBdr>
        </w:div>
        <w:div w:id="1664772432">
          <w:marLeft w:val="640"/>
          <w:marRight w:val="0"/>
          <w:marTop w:val="0"/>
          <w:marBottom w:val="0"/>
          <w:divBdr>
            <w:top w:val="none" w:sz="0" w:space="0" w:color="auto"/>
            <w:left w:val="none" w:sz="0" w:space="0" w:color="auto"/>
            <w:bottom w:val="none" w:sz="0" w:space="0" w:color="auto"/>
            <w:right w:val="none" w:sz="0" w:space="0" w:color="auto"/>
          </w:divBdr>
        </w:div>
        <w:div w:id="226571545">
          <w:marLeft w:val="640"/>
          <w:marRight w:val="0"/>
          <w:marTop w:val="0"/>
          <w:marBottom w:val="0"/>
          <w:divBdr>
            <w:top w:val="none" w:sz="0" w:space="0" w:color="auto"/>
            <w:left w:val="none" w:sz="0" w:space="0" w:color="auto"/>
            <w:bottom w:val="none" w:sz="0" w:space="0" w:color="auto"/>
            <w:right w:val="none" w:sz="0" w:space="0" w:color="auto"/>
          </w:divBdr>
        </w:div>
        <w:div w:id="231891219">
          <w:marLeft w:val="640"/>
          <w:marRight w:val="0"/>
          <w:marTop w:val="0"/>
          <w:marBottom w:val="0"/>
          <w:divBdr>
            <w:top w:val="none" w:sz="0" w:space="0" w:color="auto"/>
            <w:left w:val="none" w:sz="0" w:space="0" w:color="auto"/>
            <w:bottom w:val="none" w:sz="0" w:space="0" w:color="auto"/>
            <w:right w:val="none" w:sz="0" w:space="0" w:color="auto"/>
          </w:divBdr>
        </w:div>
        <w:div w:id="2007049788">
          <w:marLeft w:val="640"/>
          <w:marRight w:val="0"/>
          <w:marTop w:val="0"/>
          <w:marBottom w:val="0"/>
          <w:divBdr>
            <w:top w:val="none" w:sz="0" w:space="0" w:color="auto"/>
            <w:left w:val="none" w:sz="0" w:space="0" w:color="auto"/>
            <w:bottom w:val="none" w:sz="0" w:space="0" w:color="auto"/>
            <w:right w:val="none" w:sz="0" w:space="0" w:color="auto"/>
          </w:divBdr>
        </w:div>
        <w:div w:id="1366757331">
          <w:marLeft w:val="640"/>
          <w:marRight w:val="0"/>
          <w:marTop w:val="0"/>
          <w:marBottom w:val="0"/>
          <w:divBdr>
            <w:top w:val="none" w:sz="0" w:space="0" w:color="auto"/>
            <w:left w:val="none" w:sz="0" w:space="0" w:color="auto"/>
            <w:bottom w:val="none" w:sz="0" w:space="0" w:color="auto"/>
            <w:right w:val="none" w:sz="0" w:space="0" w:color="auto"/>
          </w:divBdr>
        </w:div>
        <w:div w:id="654996293">
          <w:marLeft w:val="640"/>
          <w:marRight w:val="0"/>
          <w:marTop w:val="0"/>
          <w:marBottom w:val="0"/>
          <w:divBdr>
            <w:top w:val="none" w:sz="0" w:space="0" w:color="auto"/>
            <w:left w:val="none" w:sz="0" w:space="0" w:color="auto"/>
            <w:bottom w:val="none" w:sz="0" w:space="0" w:color="auto"/>
            <w:right w:val="none" w:sz="0" w:space="0" w:color="auto"/>
          </w:divBdr>
        </w:div>
        <w:div w:id="1393699524">
          <w:marLeft w:val="640"/>
          <w:marRight w:val="0"/>
          <w:marTop w:val="0"/>
          <w:marBottom w:val="0"/>
          <w:divBdr>
            <w:top w:val="none" w:sz="0" w:space="0" w:color="auto"/>
            <w:left w:val="none" w:sz="0" w:space="0" w:color="auto"/>
            <w:bottom w:val="none" w:sz="0" w:space="0" w:color="auto"/>
            <w:right w:val="none" w:sz="0" w:space="0" w:color="auto"/>
          </w:divBdr>
        </w:div>
        <w:div w:id="1843625297">
          <w:marLeft w:val="640"/>
          <w:marRight w:val="0"/>
          <w:marTop w:val="0"/>
          <w:marBottom w:val="0"/>
          <w:divBdr>
            <w:top w:val="none" w:sz="0" w:space="0" w:color="auto"/>
            <w:left w:val="none" w:sz="0" w:space="0" w:color="auto"/>
            <w:bottom w:val="none" w:sz="0" w:space="0" w:color="auto"/>
            <w:right w:val="none" w:sz="0" w:space="0" w:color="auto"/>
          </w:divBdr>
        </w:div>
        <w:div w:id="369769542">
          <w:marLeft w:val="640"/>
          <w:marRight w:val="0"/>
          <w:marTop w:val="0"/>
          <w:marBottom w:val="0"/>
          <w:divBdr>
            <w:top w:val="none" w:sz="0" w:space="0" w:color="auto"/>
            <w:left w:val="none" w:sz="0" w:space="0" w:color="auto"/>
            <w:bottom w:val="none" w:sz="0" w:space="0" w:color="auto"/>
            <w:right w:val="none" w:sz="0" w:space="0" w:color="auto"/>
          </w:divBdr>
        </w:div>
        <w:div w:id="1299452760">
          <w:marLeft w:val="640"/>
          <w:marRight w:val="0"/>
          <w:marTop w:val="0"/>
          <w:marBottom w:val="0"/>
          <w:divBdr>
            <w:top w:val="none" w:sz="0" w:space="0" w:color="auto"/>
            <w:left w:val="none" w:sz="0" w:space="0" w:color="auto"/>
            <w:bottom w:val="none" w:sz="0" w:space="0" w:color="auto"/>
            <w:right w:val="none" w:sz="0" w:space="0" w:color="auto"/>
          </w:divBdr>
        </w:div>
        <w:div w:id="2052488942">
          <w:marLeft w:val="640"/>
          <w:marRight w:val="0"/>
          <w:marTop w:val="0"/>
          <w:marBottom w:val="0"/>
          <w:divBdr>
            <w:top w:val="none" w:sz="0" w:space="0" w:color="auto"/>
            <w:left w:val="none" w:sz="0" w:space="0" w:color="auto"/>
            <w:bottom w:val="none" w:sz="0" w:space="0" w:color="auto"/>
            <w:right w:val="none" w:sz="0" w:space="0" w:color="auto"/>
          </w:divBdr>
        </w:div>
        <w:div w:id="1387877037">
          <w:marLeft w:val="640"/>
          <w:marRight w:val="0"/>
          <w:marTop w:val="0"/>
          <w:marBottom w:val="0"/>
          <w:divBdr>
            <w:top w:val="none" w:sz="0" w:space="0" w:color="auto"/>
            <w:left w:val="none" w:sz="0" w:space="0" w:color="auto"/>
            <w:bottom w:val="none" w:sz="0" w:space="0" w:color="auto"/>
            <w:right w:val="none" w:sz="0" w:space="0" w:color="auto"/>
          </w:divBdr>
        </w:div>
        <w:div w:id="1391658438">
          <w:marLeft w:val="640"/>
          <w:marRight w:val="0"/>
          <w:marTop w:val="0"/>
          <w:marBottom w:val="0"/>
          <w:divBdr>
            <w:top w:val="none" w:sz="0" w:space="0" w:color="auto"/>
            <w:left w:val="none" w:sz="0" w:space="0" w:color="auto"/>
            <w:bottom w:val="none" w:sz="0" w:space="0" w:color="auto"/>
            <w:right w:val="none" w:sz="0" w:space="0" w:color="auto"/>
          </w:divBdr>
        </w:div>
        <w:div w:id="1145196936">
          <w:marLeft w:val="640"/>
          <w:marRight w:val="0"/>
          <w:marTop w:val="0"/>
          <w:marBottom w:val="0"/>
          <w:divBdr>
            <w:top w:val="none" w:sz="0" w:space="0" w:color="auto"/>
            <w:left w:val="none" w:sz="0" w:space="0" w:color="auto"/>
            <w:bottom w:val="none" w:sz="0" w:space="0" w:color="auto"/>
            <w:right w:val="none" w:sz="0" w:space="0" w:color="auto"/>
          </w:divBdr>
        </w:div>
        <w:div w:id="1875536058">
          <w:marLeft w:val="640"/>
          <w:marRight w:val="0"/>
          <w:marTop w:val="0"/>
          <w:marBottom w:val="0"/>
          <w:divBdr>
            <w:top w:val="none" w:sz="0" w:space="0" w:color="auto"/>
            <w:left w:val="none" w:sz="0" w:space="0" w:color="auto"/>
            <w:bottom w:val="none" w:sz="0" w:space="0" w:color="auto"/>
            <w:right w:val="none" w:sz="0" w:space="0" w:color="auto"/>
          </w:divBdr>
        </w:div>
        <w:div w:id="1895434180">
          <w:marLeft w:val="640"/>
          <w:marRight w:val="0"/>
          <w:marTop w:val="0"/>
          <w:marBottom w:val="0"/>
          <w:divBdr>
            <w:top w:val="none" w:sz="0" w:space="0" w:color="auto"/>
            <w:left w:val="none" w:sz="0" w:space="0" w:color="auto"/>
            <w:bottom w:val="none" w:sz="0" w:space="0" w:color="auto"/>
            <w:right w:val="none" w:sz="0" w:space="0" w:color="auto"/>
          </w:divBdr>
        </w:div>
        <w:div w:id="2014448190">
          <w:marLeft w:val="640"/>
          <w:marRight w:val="0"/>
          <w:marTop w:val="0"/>
          <w:marBottom w:val="0"/>
          <w:divBdr>
            <w:top w:val="none" w:sz="0" w:space="0" w:color="auto"/>
            <w:left w:val="none" w:sz="0" w:space="0" w:color="auto"/>
            <w:bottom w:val="none" w:sz="0" w:space="0" w:color="auto"/>
            <w:right w:val="none" w:sz="0" w:space="0" w:color="auto"/>
          </w:divBdr>
        </w:div>
        <w:div w:id="1222137485">
          <w:marLeft w:val="640"/>
          <w:marRight w:val="0"/>
          <w:marTop w:val="0"/>
          <w:marBottom w:val="0"/>
          <w:divBdr>
            <w:top w:val="none" w:sz="0" w:space="0" w:color="auto"/>
            <w:left w:val="none" w:sz="0" w:space="0" w:color="auto"/>
            <w:bottom w:val="none" w:sz="0" w:space="0" w:color="auto"/>
            <w:right w:val="none" w:sz="0" w:space="0" w:color="auto"/>
          </w:divBdr>
        </w:div>
        <w:div w:id="123424638">
          <w:marLeft w:val="640"/>
          <w:marRight w:val="0"/>
          <w:marTop w:val="0"/>
          <w:marBottom w:val="0"/>
          <w:divBdr>
            <w:top w:val="none" w:sz="0" w:space="0" w:color="auto"/>
            <w:left w:val="none" w:sz="0" w:space="0" w:color="auto"/>
            <w:bottom w:val="none" w:sz="0" w:space="0" w:color="auto"/>
            <w:right w:val="none" w:sz="0" w:space="0" w:color="auto"/>
          </w:divBdr>
        </w:div>
        <w:div w:id="999232286">
          <w:marLeft w:val="640"/>
          <w:marRight w:val="0"/>
          <w:marTop w:val="0"/>
          <w:marBottom w:val="0"/>
          <w:divBdr>
            <w:top w:val="none" w:sz="0" w:space="0" w:color="auto"/>
            <w:left w:val="none" w:sz="0" w:space="0" w:color="auto"/>
            <w:bottom w:val="none" w:sz="0" w:space="0" w:color="auto"/>
            <w:right w:val="none" w:sz="0" w:space="0" w:color="auto"/>
          </w:divBdr>
        </w:div>
        <w:div w:id="1363088507">
          <w:marLeft w:val="640"/>
          <w:marRight w:val="0"/>
          <w:marTop w:val="0"/>
          <w:marBottom w:val="0"/>
          <w:divBdr>
            <w:top w:val="none" w:sz="0" w:space="0" w:color="auto"/>
            <w:left w:val="none" w:sz="0" w:space="0" w:color="auto"/>
            <w:bottom w:val="none" w:sz="0" w:space="0" w:color="auto"/>
            <w:right w:val="none" w:sz="0" w:space="0" w:color="auto"/>
          </w:divBdr>
        </w:div>
        <w:div w:id="1715958403">
          <w:marLeft w:val="640"/>
          <w:marRight w:val="0"/>
          <w:marTop w:val="0"/>
          <w:marBottom w:val="0"/>
          <w:divBdr>
            <w:top w:val="none" w:sz="0" w:space="0" w:color="auto"/>
            <w:left w:val="none" w:sz="0" w:space="0" w:color="auto"/>
            <w:bottom w:val="none" w:sz="0" w:space="0" w:color="auto"/>
            <w:right w:val="none" w:sz="0" w:space="0" w:color="auto"/>
          </w:divBdr>
        </w:div>
        <w:div w:id="116266957">
          <w:marLeft w:val="640"/>
          <w:marRight w:val="0"/>
          <w:marTop w:val="0"/>
          <w:marBottom w:val="0"/>
          <w:divBdr>
            <w:top w:val="none" w:sz="0" w:space="0" w:color="auto"/>
            <w:left w:val="none" w:sz="0" w:space="0" w:color="auto"/>
            <w:bottom w:val="none" w:sz="0" w:space="0" w:color="auto"/>
            <w:right w:val="none" w:sz="0" w:space="0" w:color="auto"/>
          </w:divBdr>
        </w:div>
        <w:div w:id="2144959370">
          <w:marLeft w:val="640"/>
          <w:marRight w:val="0"/>
          <w:marTop w:val="0"/>
          <w:marBottom w:val="0"/>
          <w:divBdr>
            <w:top w:val="none" w:sz="0" w:space="0" w:color="auto"/>
            <w:left w:val="none" w:sz="0" w:space="0" w:color="auto"/>
            <w:bottom w:val="none" w:sz="0" w:space="0" w:color="auto"/>
            <w:right w:val="none" w:sz="0" w:space="0" w:color="auto"/>
          </w:divBdr>
        </w:div>
        <w:div w:id="174342806">
          <w:marLeft w:val="640"/>
          <w:marRight w:val="0"/>
          <w:marTop w:val="0"/>
          <w:marBottom w:val="0"/>
          <w:divBdr>
            <w:top w:val="none" w:sz="0" w:space="0" w:color="auto"/>
            <w:left w:val="none" w:sz="0" w:space="0" w:color="auto"/>
            <w:bottom w:val="none" w:sz="0" w:space="0" w:color="auto"/>
            <w:right w:val="none" w:sz="0" w:space="0" w:color="auto"/>
          </w:divBdr>
        </w:div>
        <w:div w:id="334000709">
          <w:marLeft w:val="640"/>
          <w:marRight w:val="0"/>
          <w:marTop w:val="0"/>
          <w:marBottom w:val="0"/>
          <w:divBdr>
            <w:top w:val="none" w:sz="0" w:space="0" w:color="auto"/>
            <w:left w:val="none" w:sz="0" w:space="0" w:color="auto"/>
            <w:bottom w:val="none" w:sz="0" w:space="0" w:color="auto"/>
            <w:right w:val="none" w:sz="0" w:space="0" w:color="auto"/>
          </w:divBdr>
        </w:div>
        <w:div w:id="1167667943">
          <w:marLeft w:val="640"/>
          <w:marRight w:val="0"/>
          <w:marTop w:val="0"/>
          <w:marBottom w:val="0"/>
          <w:divBdr>
            <w:top w:val="none" w:sz="0" w:space="0" w:color="auto"/>
            <w:left w:val="none" w:sz="0" w:space="0" w:color="auto"/>
            <w:bottom w:val="none" w:sz="0" w:space="0" w:color="auto"/>
            <w:right w:val="none" w:sz="0" w:space="0" w:color="auto"/>
          </w:divBdr>
        </w:div>
        <w:div w:id="1621568443">
          <w:marLeft w:val="640"/>
          <w:marRight w:val="0"/>
          <w:marTop w:val="0"/>
          <w:marBottom w:val="0"/>
          <w:divBdr>
            <w:top w:val="none" w:sz="0" w:space="0" w:color="auto"/>
            <w:left w:val="none" w:sz="0" w:space="0" w:color="auto"/>
            <w:bottom w:val="none" w:sz="0" w:space="0" w:color="auto"/>
            <w:right w:val="none" w:sz="0" w:space="0" w:color="auto"/>
          </w:divBdr>
        </w:div>
        <w:div w:id="1679887186">
          <w:marLeft w:val="640"/>
          <w:marRight w:val="0"/>
          <w:marTop w:val="0"/>
          <w:marBottom w:val="0"/>
          <w:divBdr>
            <w:top w:val="none" w:sz="0" w:space="0" w:color="auto"/>
            <w:left w:val="none" w:sz="0" w:space="0" w:color="auto"/>
            <w:bottom w:val="none" w:sz="0" w:space="0" w:color="auto"/>
            <w:right w:val="none" w:sz="0" w:space="0" w:color="auto"/>
          </w:divBdr>
        </w:div>
        <w:div w:id="650643826">
          <w:marLeft w:val="640"/>
          <w:marRight w:val="0"/>
          <w:marTop w:val="0"/>
          <w:marBottom w:val="0"/>
          <w:divBdr>
            <w:top w:val="none" w:sz="0" w:space="0" w:color="auto"/>
            <w:left w:val="none" w:sz="0" w:space="0" w:color="auto"/>
            <w:bottom w:val="none" w:sz="0" w:space="0" w:color="auto"/>
            <w:right w:val="none" w:sz="0" w:space="0" w:color="auto"/>
          </w:divBdr>
        </w:div>
        <w:div w:id="313607330">
          <w:marLeft w:val="640"/>
          <w:marRight w:val="0"/>
          <w:marTop w:val="0"/>
          <w:marBottom w:val="0"/>
          <w:divBdr>
            <w:top w:val="none" w:sz="0" w:space="0" w:color="auto"/>
            <w:left w:val="none" w:sz="0" w:space="0" w:color="auto"/>
            <w:bottom w:val="none" w:sz="0" w:space="0" w:color="auto"/>
            <w:right w:val="none" w:sz="0" w:space="0" w:color="auto"/>
          </w:divBdr>
        </w:div>
        <w:div w:id="1125002749">
          <w:marLeft w:val="640"/>
          <w:marRight w:val="0"/>
          <w:marTop w:val="0"/>
          <w:marBottom w:val="0"/>
          <w:divBdr>
            <w:top w:val="none" w:sz="0" w:space="0" w:color="auto"/>
            <w:left w:val="none" w:sz="0" w:space="0" w:color="auto"/>
            <w:bottom w:val="none" w:sz="0" w:space="0" w:color="auto"/>
            <w:right w:val="none" w:sz="0" w:space="0" w:color="auto"/>
          </w:divBdr>
        </w:div>
        <w:div w:id="232854270">
          <w:marLeft w:val="640"/>
          <w:marRight w:val="0"/>
          <w:marTop w:val="0"/>
          <w:marBottom w:val="0"/>
          <w:divBdr>
            <w:top w:val="none" w:sz="0" w:space="0" w:color="auto"/>
            <w:left w:val="none" w:sz="0" w:space="0" w:color="auto"/>
            <w:bottom w:val="none" w:sz="0" w:space="0" w:color="auto"/>
            <w:right w:val="none" w:sz="0" w:space="0" w:color="auto"/>
          </w:divBdr>
        </w:div>
        <w:div w:id="91126957">
          <w:marLeft w:val="640"/>
          <w:marRight w:val="0"/>
          <w:marTop w:val="0"/>
          <w:marBottom w:val="0"/>
          <w:divBdr>
            <w:top w:val="none" w:sz="0" w:space="0" w:color="auto"/>
            <w:left w:val="none" w:sz="0" w:space="0" w:color="auto"/>
            <w:bottom w:val="none" w:sz="0" w:space="0" w:color="auto"/>
            <w:right w:val="none" w:sz="0" w:space="0" w:color="auto"/>
          </w:divBdr>
        </w:div>
        <w:div w:id="424033662">
          <w:marLeft w:val="640"/>
          <w:marRight w:val="0"/>
          <w:marTop w:val="0"/>
          <w:marBottom w:val="0"/>
          <w:divBdr>
            <w:top w:val="none" w:sz="0" w:space="0" w:color="auto"/>
            <w:left w:val="none" w:sz="0" w:space="0" w:color="auto"/>
            <w:bottom w:val="none" w:sz="0" w:space="0" w:color="auto"/>
            <w:right w:val="none" w:sz="0" w:space="0" w:color="auto"/>
          </w:divBdr>
        </w:div>
        <w:div w:id="1352881800">
          <w:marLeft w:val="640"/>
          <w:marRight w:val="0"/>
          <w:marTop w:val="0"/>
          <w:marBottom w:val="0"/>
          <w:divBdr>
            <w:top w:val="none" w:sz="0" w:space="0" w:color="auto"/>
            <w:left w:val="none" w:sz="0" w:space="0" w:color="auto"/>
            <w:bottom w:val="none" w:sz="0" w:space="0" w:color="auto"/>
            <w:right w:val="none" w:sz="0" w:space="0" w:color="auto"/>
          </w:divBdr>
        </w:div>
        <w:div w:id="1148673623">
          <w:marLeft w:val="640"/>
          <w:marRight w:val="0"/>
          <w:marTop w:val="0"/>
          <w:marBottom w:val="0"/>
          <w:divBdr>
            <w:top w:val="none" w:sz="0" w:space="0" w:color="auto"/>
            <w:left w:val="none" w:sz="0" w:space="0" w:color="auto"/>
            <w:bottom w:val="none" w:sz="0" w:space="0" w:color="auto"/>
            <w:right w:val="none" w:sz="0" w:space="0" w:color="auto"/>
          </w:divBdr>
        </w:div>
        <w:div w:id="1854958751">
          <w:marLeft w:val="640"/>
          <w:marRight w:val="0"/>
          <w:marTop w:val="0"/>
          <w:marBottom w:val="0"/>
          <w:divBdr>
            <w:top w:val="none" w:sz="0" w:space="0" w:color="auto"/>
            <w:left w:val="none" w:sz="0" w:space="0" w:color="auto"/>
            <w:bottom w:val="none" w:sz="0" w:space="0" w:color="auto"/>
            <w:right w:val="none" w:sz="0" w:space="0" w:color="auto"/>
          </w:divBdr>
        </w:div>
        <w:div w:id="1759985645">
          <w:marLeft w:val="640"/>
          <w:marRight w:val="0"/>
          <w:marTop w:val="0"/>
          <w:marBottom w:val="0"/>
          <w:divBdr>
            <w:top w:val="none" w:sz="0" w:space="0" w:color="auto"/>
            <w:left w:val="none" w:sz="0" w:space="0" w:color="auto"/>
            <w:bottom w:val="none" w:sz="0" w:space="0" w:color="auto"/>
            <w:right w:val="none" w:sz="0" w:space="0" w:color="auto"/>
          </w:divBdr>
        </w:div>
        <w:div w:id="929508268">
          <w:marLeft w:val="640"/>
          <w:marRight w:val="0"/>
          <w:marTop w:val="0"/>
          <w:marBottom w:val="0"/>
          <w:divBdr>
            <w:top w:val="none" w:sz="0" w:space="0" w:color="auto"/>
            <w:left w:val="none" w:sz="0" w:space="0" w:color="auto"/>
            <w:bottom w:val="none" w:sz="0" w:space="0" w:color="auto"/>
            <w:right w:val="none" w:sz="0" w:space="0" w:color="auto"/>
          </w:divBdr>
        </w:div>
        <w:div w:id="1093941326">
          <w:marLeft w:val="640"/>
          <w:marRight w:val="0"/>
          <w:marTop w:val="0"/>
          <w:marBottom w:val="0"/>
          <w:divBdr>
            <w:top w:val="none" w:sz="0" w:space="0" w:color="auto"/>
            <w:left w:val="none" w:sz="0" w:space="0" w:color="auto"/>
            <w:bottom w:val="none" w:sz="0" w:space="0" w:color="auto"/>
            <w:right w:val="none" w:sz="0" w:space="0" w:color="auto"/>
          </w:divBdr>
        </w:div>
        <w:div w:id="695429849">
          <w:marLeft w:val="640"/>
          <w:marRight w:val="0"/>
          <w:marTop w:val="0"/>
          <w:marBottom w:val="0"/>
          <w:divBdr>
            <w:top w:val="none" w:sz="0" w:space="0" w:color="auto"/>
            <w:left w:val="none" w:sz="0" w:space="0" w:color="auto"/>
            <w:bottom w:val="none" w:sz="0" w:space="0" w:color="auto"/>
            <w:right w:val="none" w:sz="0" w:space="0" w:color="auto"/>
          </w:divBdr>
        </w:div>
        <w:div w:id="1433356472">
          <w:marLeft w:val="640"/>
          <w:marRight w:val="0"/>
          <w:marTop w:val="0"/>
          <w:marBottom w:val="0"/>
          <w:divBdr>
            <w:top w:val="none" w:sz="0" w:space="0" w:color="auto"/>
            <w:left w:val="none" w:sz="0" w:space="0" w:color="auto"/>
            <w:bottom w:val="none" w:sz="0" w:space="0" w:color="auto"/>
            <w:right w:val="none" w:sz="0" w:space="0" w:color="auto"/>
          </w:divBdr>
        </w:div>
        <w:div w:id="1115291851">
          <w:marLeft w:val="640"/>
          <w:marRight w:val="0"/>
          <w:marTop w:val="0"/>
          <w:marBottom w:val="0"/>
          <w:divBdr>
            <w:top w:val="none" w:sz="0" w:space="0" w:color="auto"/>
            <w:left w:val="none" w:sz="0" w:space="0" w:color="auto"/>
            <w:bottom w:val="none" w:sz="0" w:space="0" w:color="auto"/>
            <w:right w:val="none" w:sz="0" w:space="0" w:color="auto"/>
          </w:divBdr>
        </w:div>
        <w:div w:id="1403790568">
          <w:marLeft w:val="640"/>
          <w:marRight w:val="0"/>
          <w:marTop w:val="0"/>
          <w:marBottom w:val="0"/>
          <w:divBdr>
            <w:top w:val="none" w:sz="0" w:space="0" w:color="auto"/>
            <w:left w:val="none" w:sz="0" w:space="0" w:color="auto"/>
            <w:bottom w:val="none" w:sz="0" w:space="0" w:color="auto"/>
            <w:right w:val="none" w:sz="0" w:space="0" w:color="auto"/>
          </w:divBdr>
        </w:div>
        <w:div w:id="734671439">
          <w:marLeft w:val="640"/>
          <w:marRight w:val="0"/>
          <w:marTop w:val="0"/>
          <w:marBottom w:val="0"/>
          <w:divBdr>
            <w:top w:val="none" w:sz="0" w:space="0" w:color="auto"/>
            <w:left w:val="none" w:sz="0" w:space="0" w:color="auto"/>
            <w:bottom w:val="none" w:sz="0" w:space="0" w:color="auto"/>
            <w:right w:val="none" w:sz="0" w:space="0" w:color="auto"/>
          </w:divBdr>
        </w:div>
        <w:div w:id="275841405">
          <w:marLeft w:val="640"/>
          <w:marRight w:val="0"/>
          <w:marTop w:val="0"/>
          <w:marBottom w:val="0"/>
          <w:divBdr>
            <w:top w:val="none" w:sz="0" w:space="0" w:color="auto"/>
            <w:left w:val="none" w:sz="0" w:space="0" w:color="auto"/>
            <w:bottom w:val="none" w:sz="0" w:space="0" w:color="auto"/>
            <w:right w:val="none" w:sz="0" w:space="0" w:color="auto"/>
          </w:divBdr>
        </w:div>
        <w:div w:id="787092525">
          <w:marLeft w:val="640"/>
          <w:marRight w:val="0"/>
          <w:marTop w:val="0"/>
          <w:marBottom w:val="0"/>
          <w:divBdr>
            <w:top w:val="none" w:sz="0" w:space="0" w:color="auto"/>
            <w:left w:val="none" w:sz="0" w:space="0" w:color="auto"/>
            <w:bottom w:val="none" w:sz="0" w:space="0" w:color="auto"/>
            <w:right w:val="none" w:sz="0" w:space="0" w:color="auto"/>
          </w:divBdr>
        </w:div>
        <w:div w:id="125196078">
          <w:marLeft w:val="640"/>
          <w:marRight w:val="0"/>
          <w:marTop w:val="0"/>
          <w:marBottom w:val="0"/>
          <w:divBdr>
            <w:top w:val="none" w:sz="0" w:space="0" w:color="auto"/>
            <w:left w:val="none" w:sz="0" w:space="0" w:color="auto"/>
            <w:bottom w:val="none" w:sz="0" w:space="0" w:color="auto"/>
            <w:right w:val="none" w:sz="0" w:space="0" w:color="auto"/>
          </w:divBdr>
        </w:div>
        <w:div w:id="1646741918">
          <w:marLeft w:val="640"/>
          <w:marRight w:val="0"/>
          <w:marTop w:val="0"/>
          <w:marBottom w:val="0"/>
          <w:divBdr>
            <w:top w:val="none" w:sz="0" w:space="0" w:color="auto"/>
            <w:left w:val="none" w:sz="0" w:space="0" w:color="auto"/>
            <w:bottom w:val="none" w:sz="0" w:space="0" w:color="auto"/>
            <w:right w:val="none" w:sz="0" w:space="0" w:color="auto"/>
          </w:divBdr>
        </w:div>
        <w:div w:id="252981944">
          <w:marLeft w:val="640"/>
          <w:marRight w:val="0"/>
          <w:marTop w:val="0"/>
          <w:marBottom w:val="0"/>
          <w:divBdr>
            <w:top w:val="none" w:sz="0" w:space="0" w:color="auto"/>
            <w:left w:val="none" w:sz="0" w:space="0" w:color="auto"/>
            <w:bottom w:val="none" w:sz="0" w:space="0" w:color="auto"/>
            <w:right w:val="none" w:sz="0" w:space="0" w:color="auto"/>
          </w:divBdr>
        </w:div>
        <w:div w:id="1594626157">
          <w:marLeft w:val="640"/>
          <w:marRight w:val="0"/>
          <w:marTop w:val="0"/>
          <w:marBottom w:val="0"/>
          <w:divBdr>
            <w:top w:val="none" w:sz="0" w:space="0" w:color="auto"/>
            <w:left w:val="none" w:sz="0" w:space="0" w:color="auto"/>
            <w:bottom w:val="none" w:sz="0" w:space="0" w:color="auto"/>
            <w:right w:val="none" w:sz="0" w:space="0" w:color="auto"/>
          </w:divBdr>
        </w:div>
        <w:div w:id="1818305526">
          <w:marLeft w:val="640"/>
          <w:marRight w:val="0"/>
          <w:marTop w:val="0"/>
          <w:marBottom w:val="0"/>
          <w:divBdr>
            <w:top w:val="none" w:sz="0" w:space="0" w:color="auto"/>
            <w:left w:val="none" w:sz="0" w:space="0" w:color="auto"/>
            <w:bottom w:val="none" w:sz="0" w:space="0" w:color="auto"/>
            <w:right w:val="none" w:sz="0" w:space="0" w:color="auto"/>
          </w:divBdr>
        </w:div>
        <w:div w:id="1811903802">
          <w:marLeft w:val="640"/>
          <w:marRight w:val="0"/>
          <w:marTop w:val="0"/>
          <w:marBottom w:val="0"/>
          <w:divBdr>
            <w:top w:val="none" w:sz="0" w:space="0" w:color="auto"/>
            <w:left w:val="none" w:sz="0" w:space="0" w:color="auto"/>
            <w:bottom w:val="none" w:sz="0" w:space="0" w:color="auto"/>
            <w:right w:val="none" w:sz="0" w:space="0" w:color="auto"/>
          </w:divBdr>
        </w:div>
        <w:div w:id="977302221">
          <w:marLeft w:val="640"/>
          <w:marRight w:val="0"/>
          <w:marTop w:val="0"/>
          <w:marBottom w:val="0"/>
          <w:divBdr>
            <w:top w:val="none" w:sz="0" w:space="0" w:color="auto"/>
            <w:left w:val="none" w:sz="0" w:space="0" w:color="auto"/>
            <w:bottom w:val="none" w:sz="0" w:space="0" w:color="auto"/>
            <w:right w:val="none" w:sz="0" w:space="0" w:color="auto"/>
          </w:divBdr>
        </w:div>
        <w:div w:id="184945075">
          <w:marLeft w:val="640"/>
          <w:marRight w:val="0"/>
          <w:marTop w:val="0"/>
          <w:marBottom w:val="0"/>
          <w:divBdr>
            <w:top w:val="none" w:sz="0" w:space="0" w:color="auto"/>
            <w:left w:val="none" w:sz="0" w:space="0" w:color="auto"/>
            <w:bottom w:val="none" w:sz="0" w:space="0" w:color="auto"/>
            <w:right w:val="none" w:sz="0" w:space="0" w:color="auto"/>
          </w:divBdr>
        </w:div>
        <w:div w:id="1828085776">
          <w:marLeft w:val="640"/>
          <w:marRight w:val="0"/>
          <w:marTop w:val="0"/>
          <w:marBottom w:val="0"/>
          <w:divBdr>
            <w:top w:val="none" w:sz="0" w:space="0" w:color="auto"/>
            <w:left w:val="none" w:sz="0" w:space="0" w:color="auto"/>
            <w:bottom w:val="none" w:sz="0" w:space="0" w:color="auto"/>
            <w:right w:val="none" w:sz="0" w:space="0" w:color="auto"/>
          </w:divBdr>
        </w:div>
        <w:div w:id="1347944907">
          <w:marLeft w:val="640"/>
          <w:marRight w:val="0"/>
          <w:marTop w:val="0"/>
          <w:marBottom w:val="0"/>
          <w:divBdr>
            <w:top w:val="none" w:sz="0" w:space="0" w:color="auto"/>
            <w:left w:val="none" w:sz="0" w:space="0" w:color="auto"/>
            <w:bottom w:val="none" w:sz="0" w:space="0" w:color="auto"/>
            <w:right w:val="none" w:sz="0" w:space="0" w:color="auto"/>
          </w:divBdr>
        </w:div>
        <w:div w:id="1278562271">
          <w:marLeft w:val="640"/>
          <w:marRight w:val="0"/>
          <w:marTop w:val="0"/>
          <w:marBottom w:val="0"/>
          <w:divBdr>
            <w:top w:val="none" w:sz="0" w:space="0" w:color="auto"/>
            <w:left w:val="none" w:sz="0" w:space="0" w:color="auto"/>
            <w:bottom w:val="none" w:sz="0" w:space="0" w:color="auto"/>
            <w:right w:val="none" w:sz="0" w:space="0" w:color="auto"/>
          </w:divBdr>
        </w:div>
        <w:div w:id="373190192">
          <w:marLeft w:val="640"/>
          <w:marRight w:val="0"/>
          <w:marTop w:val="0"/>
          <w:marBottom w:val="0"/>
          <w:divBdr>
            <w:top w:val="none" w:sz="0" w:space="0" w:color="auto"/>
            <w:left w:val="none" w:sz="0" w:space="0" w:color="auto"/>
            <w:bottom w:val="none" w:sz="0" w:space="0" w:color="auto"/>
            <w:right w:val="none" w:sz="0" w:space="0" w:color="auto"/>
          </w:divBdr>
        </w:div>
        <w:div w:id="1016423861">
          <w:marLeft w:val="640"/>
          <w:marRight w:val="0"/>
          <w:marTop w:val="0"/>
          <w:marBottom w:val="0"/>
          <w:divBdr>
            <w:top w:val="none" w:sz="0" w:space="0" w:color="auto"/>
            <w:left w:val="none" w:sz="0" w:space="0" w:color="auto"/>
            <w:bottom w:val="none" w:sz="0" w:space="0" w:color="auto"/>
            <w:right w:val="none" w:sz="0" w:space="0" w:color="auto"/>
          </w:divBdr>
        </w:div>
        <w:div w:id="1453941306">
          <w:marLeft w:val="640"/>
          <w:marRight w:val="0"/>
          <w:marTop w:val="0"/>
          <w:marBottom w:val="0"/>
          <w:divBdr>
            <w:top w:val="none" w:sz="0" w:space="0" w:color="auto"/>
            <w:left w:val="none" w:sz="0" w:space="0" w:color="auto"/>
            <w:bottom w:val="none" w:sz="0" w:space="0" w:color="auto"/>
            <w:right w:val="none" w:sz="0" w:space="0" w:color="auto"/>
          </w:divBdr>
        </w:div>
        <w:div w:id="1644191584">
          <w:marLeft w:val="640"/>
          <w:marRight w:val="0"/>
          <w:marTop w:val="0"/>
          <w:marBottom w:val="0"/>
          <w:divBdr>
            <w:top w:val="none" w:sz="0" w:space="0" w:color="auto"/>
            <w:left w:val="none" w:sz="0" w:space="0" w:color="auto"/>
            <w:bottom w:val="none" w:sz="0" w:space="0" w:color="auto"/>
            <w:right w:val="none" w:sz="0" w:space="0" w:color="auto"/>
          </w:divBdr>
        </w:div>
        <w:div w:id="1688632039">
          <w:marLeft w:val="640"/>
          <w:marRight w:val="0"/>
          <w:marTop w:val="0"/>
          <w:marBottom w:val="0"/>
          <w:divBdr>
            <w:top w:val="none" w:sz="0" w:space="0" w:color="auto"/>
            <w:left w:val="none" w:sz="0" w:space="0" w:color="auto"/>
            <w:bottom w:val="none" w:sz="0" w:space="0" w:color="auto"/>
            <w:right w:val="none" w:sz="0" w:space="0" w:color="auto"/>
          </w:divBdr>
        </w:div>
        <w:div w:id="1964843398">
          <w:marLeft w:val="640"/>
          <w:marRight w:val="0"/>
          <w:marTop w:val="0"/>
          <w:marBottom w:val="0"/>
          <w:divBdr>
            <w:top w:val="none" w:sz="0" w:space="0" w:color="auto"/>
            <w:left w:val="none" w:sz="0" w:space="0" w:color="auto"/>
            <w:bottom w:val="none" w:sz="0" w:space="0" w:color="auto"/>
            <w:right w:val="none" w:sz="0" w:space="0" w:color="auto"/>
          </w:divBdr>
        </w:div>
        <w:div w:id="348875478">
          <w:marLeft w:val="640"/>
          <w:marRight w:val="0"/>
          <w:marTop w:val="0"/>
          <w:marBottom w:val="0"/>
          <w:divBdr>
            <w:top w:val="none" w:sz="0" w:space="0" w:color="auto"/>
            <w:left w:val="none" w:sz="0" w:space="0" w:color="auto"/>
            <w:bottom w:val="none" w:sz="0" w:space="0" w:color="auto"/>
            <w:right w:val="none" w:sz="0" w:space="0" w:color="auto"/>
          </w:divBdr>
        </w:div>
        <w:div w:id="13387276">
          <w:marLeft w:val="640"/>
          <w:marRight w:val="0"/>
          <w:marTop w:val="0"/>
          <w:marBottom w:val="0"/>
          <w:divBdr>
            <w:top w:val="none" w:sz="0" w:space="0" w:color="auto"/>
            <w:left w:val="none" w:sz="0" w:space="0" w:color="auto"/>
            <w:bottom w:val="none" w:sz="0" w:space="0" w:color="auto"/>
            <w:right w:val="none" w:sz="0" w:space="0" w:color="auto"/>
          </w:divBdr>
        </w:div>
        <w:div w:id="836115608">
          <w:marLeft w:val="640"/>
          <w:marRight w:val="0"/>
          <w:marTop w:val="0"/>
          <w:marBottom w:val="0"/>
          <w:divBdr>
            <w:top w:val="none" w:sz="0" w:space="0" w:color="auto"/>
            <w:left w:val="none" w:sz="0" w:space="0" w:color="auto"/>
            <w:bottom w:val="none" w:sz="0" w:space="0" w:color="auto"/>
            <w:right w:val="none" w:sz="0" w:space="0" w:color="auto"/>
          </w:divBdr>
        </w:div>
        <w:div w:id="265160625">
          <w:marLeft w:val="640"/>
          <w:marRight w:val="0"/>
          <w:marTop w:val="0"/>
          <w:marBottom w:val="0"/>
          <w:divBdr>
            <w:top w:val="none" w:sz="0" w:space="0" w:color="auto"/>
            <w:left w:val="none" w:sz="0" w:space="0" w:color="auto"/>
            <w:bottom w:val="none" w:sz="0" w:space="0" w:color="auto"/>
            <w:right w:val="none" w:sz="0" w:space="0" w:color="auto"/>
          </w:divBdr>
        </w:div>
        <w:div w:id="1050299116">
          <w:marLeft w:val="640"/>
          <w:marRight w:val="0"/>
          <w:marTop w:val="0"/>
          <w:marBottom w:val="0"/>
          <w:divBdr>
            <w:top w:val="none" w:sz="0" w:space="0" w:color="auto"/>
            <w:left w:val="none" w:sz="0" w:space="0" w:color="auto"/>
            <w:bottom w:val="none" w:sz="0" w:space="0" w:color="auto"/>
            <w:right w:val="none" w:sz="0" w:space="0" w:color="auto"/>
          </w:divBdr>
        </w:div>
        <w:div w:id="1140801026">
          <w:marLeft w:val="640"/>
          <w:marRight w:val="0"/>
          <w:marTop w:val="0"/>
          <w:marBottom w:val="0"/>
          <w:divBdr>
            <w:top w:val="none" w:sz="0" w:space="0" w:color="auto"/>
            <w:left w:val="none" w:sz="0" w:space="0" w:color="auto"/>
            <w:bottom w:val="none" w:sz="0" w:space="0" w:color="auto"/>
            <w:right w:val="none" w:sz="0" w:space="0" w:color="auto"/>
          </w:divBdr>
        </w:div>
        <w:div w:id="861632005">
          <w:marLeft w:val="640"/>
          <w:marRight w:val="0"/>
          <w:marTop w:val="0"/>
          <w:marBottom w:val="0"/>
          <w:divBdr>
            <w:top w:val="none" w:sz="0" w:space="0" w:color="auto"/>
            <w:left w:val="none" w:sz="0" w:space="0" w:color="auto"/>
            <w:bottom w:val="none" w:sz="0" w:space="0" w:color="auto"/>
            <w:right w:val="none" w:sz="0" w:space="0" w:color="auto"/>
          </w:divBdr>
        </w:div>
        <w:div w:id="358435491">
          <w:marLeft w:val="640"/>
          <w:marRight w:val="0"/>
          <w:marTop w:val="0"/>
          <w:marBottom w:val="0"/>
          <w:divBdr>
            <w:top w:val="none" w:sz="0" w:space="0" w:color="auto"/>
            <w:left w:val="none" w:sz="0" w:space="0" w:color="auto"/>
            <w:bottom w:val="none" w:sz="0" w:space="0" w:color="auto"/>
            <w:right w:val="none" w:sz="0" w:space="0" w:color="auto"/>
          </w:divBdr>
        </w:div>
        <w:div w:id="1130587219">
          <w:marLeft w:val="640"/>
          <w:marRight w:val="0"/>
          <w:marTop w:val="0"/>
          <w:marBottom w:val="0"/>
          <w:divBdr>
            <w:top w:val="none" w:sz="0" w:space="0" w:color="auto"/>
            <w:left w:val="none" w:sz="0" w:space="0" w:color="auto"/>
            <w:bottom w:val="none" w:sz="0" w:space="0" w:color="auto"/>
            <w:right w:val="none" w:sz="0" w:space="0" w:color="auto"/>
          </w:divBdr>
        </w:div>
        <w:div w:id="909118762">
          <w:marLeft w:val="640"/>
          <w:marRight w:val="0"/>
          <w:marTop w:val="0"/>
          <w:marBottom w:val="0"/>
          <w:divBdr>
            <w:top w:val="none" w:sz="0" w:space="0" w:color="auto"/>
            <w:left w:val="none" w:sz="0" w:space="0" w:color="auto"/>
            <w:bottom w:val="none" w:sz="0" w:space="0" w:color="auto"/>
            <w:right w:val="none" w:sz="0" w:space="0" w:color="auto"/>
          </w:divBdr>
        </w:div>
        <w:div w:id="1659534682">
          <w:marLeft w:val="640"/>
          <w:marRight w:val="0"/>
          <w:marTop w:val="0"/>
          <w:marBottom w:val="0"/>
          <w:divBdr>
            <w:top w:val="none" w:sz="0" w:space="0" w:color="auto"/>
            <w:left w:val="none" w:sz="0" w:space="0" w:color="auto"/>
            <w:bottom w:val="none" w:sz="0" w:space="0" w:color="auto"/>
            <w:right w:val="none" w:sz="0" w:space="0" w:color="auto"/>
          </w:divBdr>
        </w:div>
        <w:div w:id="633175512">
          <w:marLeft w:val="640"/>
          <w:marRight w:val="0"/>
          <w:marTop w:val="0"/>
          <w:marBottom w:val="0"/>
          <w:divBdr>
            <w:top w:val="none" w:sz="0" w:space="0" w:color="auto"/>
            <w:left w:val="none" w:sz="0" w:space="0" w:color="auto"/>
            <w:bottom w:val="none" w:sz="0" w:space="0" w:color="auto"/>
            <w:right w:val="none" w:sz="0" w:space="0" w:color="auto"/>
          </w:divBdr>
        </w:div>
        <w:div w:id="31812483">
          <w:marLeft w:val="640"/>
          <w:marRight w:val="0"/>
          <w:marTop w:val="0"/>
          <w:marBottom w:val="0"/>
          <w:divBdr>
            <w:top w:val="none" w:sz="0" w:space="0" w:color="auto"/>
            <w:left w:val="none" w:sz="0" w:space="0" w:color="auto"/>
            <w:bottom w:val="none" w:sz="0" w:space="0" w:color="auto"/>
            <w:right w:val="none" w:sz="0" w:space="0" w:color="auto"/>
          </w:divBdr>
        </w:div>
        <w:div w:id="986321271">
          <w:marLeft w:val="640"/>
          <w:marRight w:val="0"/>
          <w:marTop w:val="0"/>
          <w:marBottom w:val="0"/>
          <w:divBdr>
            <w:top w:val="none" w:sz="0" w:space="0" w:color="auto"/>
            <w:left w:val="none" w:sz="0" w:space="0" w:color="auto"/>
            <w:bottom w:val="none" w:sz="0" w:space="0" w:color="auto"/>
            <w:right w:val="none" w:sz="0" w:space="0" w:color="auto"/>
          </w:divBdr>
        </w:div>
        <w:div w:id="344408702">
          <w:marLeft w:val="640"/>
          <w:marRight w:val="0"/>
          <w:marTop w:val="0"/>
          <w:marBottom w:val="0"/>
          <w:divBdr>
            <w:top w:val="none" w:sz="0" w:space="0" w:color="auto"/>
            <w:left w:val="none" w:sz="0" w:space="0" w:color="auto"/>
            <w:bottom w:val="none" w:sz="0" w:space="0" w:color="auto"/>
            <w:right w:val="none" w:sz="0" w:space="0" w:color="auto"/>
          </w:divBdr>
        </w:div>
        <w:div w:id="1219242507">
          <w:marLeft w:val="640"/>
          <w:marRight w:val="0"/>
          <w:marTop w:val="0"/>
          <w:marBottom w:val="0"/>
          <w:divBdr>
            <w:top w:val="none" w:sz="0" w:space="0" w:color="auto"/>
            <w:left w:val="none" w:sz="0" w:space="0" w:color="auto"/>
            <w:bottom w:val="none" w:sz="0" w:space="0" w:color="auto"/>
            <w:right w:val="none" w:sz="0" w:space="0" w:color="auto"/>
          </w:divBdr>
        </w:div>
        <w:div w:id="496119237">
          <w:marLeft w:val="640"/>
          <w:marRight w:val="0"/>
          <w:marTop w:val="0"/>
          <w:marBottom w:val="0"/>
          <w:divBdr>
            <w:top w:val="none" w:sz="0" w:space="0" w:color="auto"/>
            <w:left w:val="none" w:sz="0" w:space="0" w:color="auto"/>
            <w:bottom w:val="none" w:sz="0" w:space="0" w:color="auto"/>
            <w:right w:val="none" w:sz="0" w:space="0" w:color="auto"/>
          </w:divBdr>
        </w:div>
        <w:div w:id="1133518697">
          <w:marLeft w:val="640"/>
          <w:marRight w:val="0"/>
          <w:marTop w:val="0"/>
          <w:marBottom w:val="0"/>
          <w:divBdr>
            <w:top w:val="none" w:sz="0" w:space="0" w:color="auto"/>
            <w:left w:val="none" w:sz="0" w:space="0" w:color="auto"/>
            <w:bottom w:val="none" w:sz="0" w:space="0" w:color="auto"/>
            <w:right w:val="none" w:sz="0" w:space="0" w:color="auto"/>
          </w:divBdr>
        </w:div>
        <w:div w:id="117770780">
          <w:marLeft w:val="640"/>
          <w:marRight w:val="0"/>
          <w:marTop w:val="0"/>
          <w:marBottom w:val="0"/>
          <w:divBdr>
            <w:top w:val="none" w:sz="0" w:space="0" w:color="auto"/>
            <w:left w:val="none" w:sz="0" w:space="0" w:color="auto"/>
            <w:bottom w:val="none" w:sz="0" w:space="0" w:color="auto"/>
            <w:right w:val="none" w:sz="0" w:space="0" w:color="auto"/>
          </w:divBdr>
        </w:div>
        <w:div w:id="563105882">
          <w:marLeft w:val="640"/>
          <w:marRight w:val="0"/>
          <w:marTop w:val="0"/>
          <w:marBottom w:val="0"/>
          <w:divBdr>
            <w:top w:val="none" w:sz="0" w:space="0" w:color="auto"/>
            <w:left w:val="none" w:sz="0" w:space="0" w:color="auto"/>
            <w:bottom w:val="none" w:sz="0" w:space="0" w:color="auto"/>
            <w:right w:val="none" w:sz="0" w:space="0" w:color="auto"/>
          </w:divBdr>
        </w:div>
        <w:div w:id="1119687982">
          <w:marLeft w:val="640"/>
          <w:marRight w:val="0"/>
          <w:marTop w:val="0"/>
          <w:marBottom w:val="0"/>
          <w:divBdr>
            <w:top w:val="none" w:sz="0" w:space="0" w:color="auto"/>
            <w:left w:val="none" w:sz="0" w:space="0" w:color="auto"/>
            <w:bottom w:val="none" w:sz="0" w:space="0" w:color="auto"/>
            <w:right w:val="none" w:sz="0" w:space="0" w:color="auto"/>
          </w:divBdr>
        </w:div>
        <w:div w:id="1786579358">
          <w:marLeft w:val="640"/>
          <w:marRight w:val="0"/>
          <w:marTop w:val="0"/>
          <w:marBottom w:val="0"/>
          <w:divBdr>
            <w:top w:val="none" w:sz="0" w:space="0" w:color="auto"/>
            <w:left w:val="none" w:sz="0" w:space="0" w:color="auto"/>
            <w:bottom w:val="none" w:sz="0" w:space="0" w:color="auto"/>
            <w:right w:val="none" w:sz="0" w:space="0" w:color="auto"/>
          </w:divBdr>
        </w:div>
        <w:div w:id="619528434">
          <w:marLeft w:val="640"/>
          <w:marRight w:val="0"/>
          <w:marTop w:val="0"/>
          <w:marBottom w:val="0"/>
          <w:divBdr>
            <w:top w:val="none" w:sz="0" w:space="0" w:color="auto"/>
            <w:left w:val="none" w:sz="0" w:space="0" w:color="auto"/>
            <w:bottom w:val="none" w:sz="0" w:space="0" w:color="auto"/>
            <w:right w:val="none" w:sz="0" w:space="0" w:color="auto"/>
          </w:divBdr>
        </w:div>
        <w:div w:id="137455441">
          <w:marLeft w:val="640"/>
          <w:marRight w:val="0"/>
          <w:marTop w:val="0"/>
          <w:marBottom w:val="0"/>
          <w:divBdr>
            <w:top w:val="none" w:sz="0" w:space="0" w:color="auto"/>
            <w:left w:val="none" w:sz="0" w:space="0" w:color="auto"/>
            <w:bottom w:val="none" w:sz="0" w:space="0" w:color="auto"/>
            <w:right w:val="none" w:sz="0" w:space="0" w:color="auto"/>
          </w:divBdr>
        </w:div>
        <w:div w:id="276984627">
          <w:marLeft w:val="640"/>
          <w:marRight w:val="0"/>
          <w:marTop w:val="0"/>
          <w:marBottom w:val="0"/>
          <w:divBdr>
            <w:top w:val="none" w:sz="0" w:space="0" w:color="auto"/>
            <w:left w:val="none" w:sz="0" w:space="0" w:color="auto"/>
            <w:bottom w:val="none" w:sz="0" w:space="0" w:color="auto"/>
            <w:right w:val="none" w:sz="0" w:space="0" w:color="auto"/>
          </w:divBdr>
        </w:div>
        <w:div w:id="2065790415">
          <w:marLeft w:val="640"/>
          <w:marRight w:val="0"/>
          <w:marTop w:val="0"/>
          <w:marBottom w:val="0"/>
          <w:divBdr>
            <w:top w:val="none" w:sz="0" w:space="0" w:color="auto"/>
            <w:left w:val="none" w:sz="0" w:space="0" w:color="auto"/>
            <w:bottom w:val="none" w:sz="0" w:space="0" w:color="auto"/>
            <w:right w:val="none" w:sz="0" w:space="0" w:color="auto"/>
          </w:divBdr>
        </w:div>
        <w:div w:id="13308486">
          <w:marLeft w:val="640"/>
          <w:marRight w:val="0"/>
          <w:marTop w:val="0"/>
          <w:marBottom w:val="0"/>
          <w:divBdr>
            <w:top w:val="none" w:sz="0" w:space="0" w:color="auto"/>
            <w:left w:val="none" w:sz="0" w:space="0" w:color="auto"/>
            <w:bottom w:val="none" w:sz="0" w:space="0" w:color="auto"/>
            <w:right w:val="none" w:sz="0" w:space="0" w:color="auto"/>
          </w:divBdr>
        </w:div>
        <w:div w:id="835338044">
          <w:marLeft w:val="640"/>
          <w:marRight w:val="0"/>
          <w:marTop w:val="0"/>
          <w:marBottom w:val="0"/>
          <w:divBdr>
            <w:top w:val="none" w:sz="0" w:space="0" w:color="auto"/>
            <w:left w:val="none" w:sz="0" w:space="0" w:color="auto"/>
            <w:bottom w:val="none" w:sz="0" w:space="0" w:color="auto"/>
            <w:right w:val="none" w:sz="0" w:space="0" w:color="auto"/>
          </w:divBdr>
        </w:div>
        <w:div w:id="571546832">
          <w:marLeft w:val="640"/>
          <w:marRight w:val="0"/>
          <w:marTop w:val="0"/>
          <w:marBottom w:val="0"/>
          <w:divBdr>
            <w:top w:val="none" w:sz="0" w:space="0" w:color="auto"/>
            <w:left w:val="none" w:sz="0" w:space="0" w:color="auto"/>
            <w:bottom w:val="none" w:sz="0" w:space="0" w:color="auto"/>
            <w:right w:val="none" w:sz="0" w:space="0" w:color="auto"/>
          </w:divBdr>
        </w:div>
        <w:div w:id="1463579490">
          <w:marLeft w:val="640"/>
          <w:marRight w:val="0"/>
          <w:marTop w:val="0"/>
          <w:marBottom w:val="0"/>
          <w:divBdr>
            <w:top w:val="none" w:sz="0" w:space="0" w:color="auto"/>
            <w:left w:val="none" w:sz="0" w:space="0" w:color="auto"/>
            <w:bottom w:val="none" w:sz="0" w:space="0" w:color="auto"/>
            <w:right w:val="none" w:sz="0" w:space="0" w:color="auto"/>
          </w:divBdr>
        </w:div>
        <w:div w:id="2065061830">
          <w:marLeft w:val="640"/>
          <w:marRight w:val="0"/>
          <w:marTop w:val="0"/>
          <w:marBottom w:val="0"/>
          <w:divBdr>
            <w:top w:val="none" w:sz="0" w:space="0" w:color="auto"/>
            <w:left w:val="none" w:sz="0" w:space="0" w:color="auto"/>
            <w:bottom w:val="none" w:sz="0" w:space="0" w:color="auto"/>
            <w:right w:val="none" w:sz="0" w:space="0" w:color="auto"/>
          </w:divBdr>
        </w:div>
        <w:div w:id="505945342">
          <w:marLeft w:val="640"/>
          <w:marRight w:val="0"/>
          <w:marTop w:val="0"/>
          <w:marBottom w:val="0"/>
          <w:divBdr>
            <w:top w:val="none" w:sz="0" w:space="0" w:color="auto"/>
            <w:left w:val="none" w:sz="0" w:space="0" w:color="auto"/>
            <w:bottom w:val="none" w:sz="0" w:space="0" w:color="auto"/>
            <w:right w:val="none" w:sz="0" w:space="0" w:color="auto"/>
          </w:divBdr>
        </w:div>
        <w:div w:id="706610553">
          <w:marLeft w:val="640"/>
          <w:marRight w:val="0"/>
          <w:marTop w:val="0"/>
          <w:marBottom w:val="0"/>
          <w:divBdr>
            <w:top w:val="none" w:sz="0" w:space="0" w:color="auto"/>
            <w:left w:val="none" w:sz="0" w:space="0" w:color="auto"/>
            <w:bottom w:val="none" w:sz="0" w:space="0" w:color="auto"/>
            <w:right w:val="none" w:sz="0" w:space="0" w:color="auto"/>
          </w:divBdr>
        </w:div>
        <w:div w:id="984774397">
          <w:marLeft w:val="640"/>
          <w:marRight w:val="0"/>
          <w:marTop w:val="0"/>
          <w:marBottom w:val="0"/>
          <w:divBdr>
            <w:top w:val="none" w:sz="0" w:space="0" w:color="auto"/>
            <w:left w:val="none" w:sz="0" w:space="0" w:color="auto"/>
            <w:bottom w:val="none" w:sz="0" w:space="0" w:color="auto"/>
            <w:right w:val="none" w:sz="0" w:space="0" w:color="auto"/>
          </w:divBdr>
        </w:div>
        <w:div w:id="1823228100">
          <w:marLeft w:val="640"/>
          <w:marRight w:val="0"/>
          <w:marTop w:val="0"/>
          <w:marBottom w:val="0"/>
          <w:divBdr>
            <w:top w:val="none" w:sz="0" w:space="0" w:color="auto"/>
            <w:left w:val="none" w:sz="0" w:space="0" w:color="auto"/>
            <w:bottom w:val="none" w:sz="0" w:space="0" w:color="auto"/>
            <w:right w:val="none" w:sz="0" w:space="0" w:color="auto"/>
          </w:divBdr>
        </w:div>
        <w:div w:id="2013528581">
          <w:marLeft w:val="640"/>
          <w:marRight w:val="0"/>
          <w:marTop w:val="0"/>
          <w:marBottom w:val="0"/>
          <w:divBdr>
            <w:top w:val="none" w:sz="0" w:space="0" w:color="auto"/>
            <w:left w:val="none" w:sz="0" w:space="0" w:color="auto"/>
            <w:bottom w:val="none" w:sz="0" w:space="0" w:color="auto"/>
            <w:right w:val="none" w:sz="0" w:space="0" w:color="auto"/>
          </w:divBdr>
        </w:div>
        <w:div w:id="1308821194">
          <w:marLeft w:val="640"/>
          <w:marRight w:val="0"/>
          <w:marTop w:val="0"/>
          <w:marBottom w:val="0"/>
          <w:divBdr>
            <w:top w:val="none" w:sz="0" w:space="0" w:color="auto"/>
            <w:left w:val="none" w:sz="0" w:space="0" w:color="auto"/>
            <w:bottom w:val="none" w:sz="0" w:space="0" w:color="auto"/>
            <w:right w:val="none" w:sz="0" w:space="0" w:color="auto"/>
          </w:divBdr>
        </w:div>
        <w:div w:id="1679580660">
          <w:marLeft w:val="640"/>
          <w:marRight w:val="0"/>
          <w:marTop w:val="0"/>
          <w:marBottom w:val="0"/>
          <w:divBdr>
            <w:top w:val="none" w:sz="0" w:space="0" w:color="auto"/>
            <w:left w:val="none" w:sz="0" w:space="0" w:color="auto"/>
            <w:bottom w:val="none" w:sz="0" w:space="0" w:color="auto"/>
            <w:right w:val="none" w:sz="0" w:space="0" w:color="auto"/>
          </w:divBdr>
        </w:div>
        <w:div w:id="1250964485">
          <w:marLeft w:val="640"/>
          <w:marRight w:val="0"/>
          <w:marTop w:val="0"/>
          <w:marBottom w:val="0"/>
          <w:divBdr>
            <w:top w:val="none" w:sz="0" w:space="0" w:color="auto"/>
            <w:left w:val="none" w:sz="0" w:space="0" w:color="auto"/>
            <w:bottom w:val="none" w:sz="0" w:space="0" w:color="auto"/>
            <w:right w:val="none" w:sz="0" w:space="0" w:color="auto"/>
          </w:divBdr>
        </w:div>
        <w:div w:id="653409994">
          <w:marLeft w:val="640"/>
          <w:marRight w:val="0"/>
          <w:marTop w:val="0"/>
          <w:marBottom w:val="0"/>
          <w:divBdr>
            <w:top w:val="none" w:sz="0" w:space="0" w:color="auto"/>
            <w:left w:val="none" w:sz="0" w:space="0" w:color="auto"/>
            <w:bottom w:val="none" w:sz="0" w:space="0" w:color="auto"/>
            <w:right w:val="none" w:sz="0" w:space="0" w:color="auto"/>
          </w:divBdr>
        </w:div>
        <w:div w:id="465047699">
          <w:marLeft w:val="640"/>
          <w:marRight w:val="0"/>
          <w:marTop w:val="0"/>
          <w:marBottom w:val="0"/>
          <w:divBdr>
            <w:top w:val="none" w:sz="0" w:space="0" w:color="auto"/>
            <w:left w:val="none" w:sz="0" w:space="0" w:color="auto"/>
            <w:bottom w:val="none" w:sz="0" w:space="0" w:color="auto"/>
            <w:right w:val="none" w:sz="0" w:space="0" w:color="auto"/>
          </w:divBdr>
        </w:div>
        <w:div w:id="1741947498">
          <w:marLeft w:val="640"/>
          <w:marRight w:val="0"/>
          <w:marTop w:val="0"/>
          <w:marBottom w:val="0"/>
          <w:divBdr>
            <w:top w:val="none" w:sz="0" w:space="0" w:color="auto"/>
            <w:left w:val="none" w:sz="0" w:space="0" w:color="auto"/>
            <w:bottom w:val="none" w:sz="0" w:space="0" w:color="auto"/>
            <w:right w:val="none" w:sz="0" w:space="0" w:color="auto"/>
          </w:divBdr>
        </w:div>
        <w:div w:id="1337809945">
          <w:marLeft w:val="640"/>
          <w:marRight w:val="0"/>
          <w:marTop w:val="0"/>
          <w:marBottom w:val="0"/>
          <w:divBdr>
            <w:top w:val="none" w:sz="0" w:space="0" w:color="auto"/>
            <w:left w:val="none" w:sz="0" w:space="0" w:color="auto"/>
            <w:bottom w:val="none" w:sz="0" w:space="0" w:color="auto"/>
            <w:right w:val="none" w:sz="0" w:space="0" w:color="auto"/>
          </w:divBdr>
        </w:div>
        <w:div w:id="1319656144">
          <w:marLeft w:val="640"/>
          <w:marRight w:val="0"/>
          <w:marTop w:val="0"/>
          <w:marBottom w:val="0"/>
          <w:divBdr>
            <w:top w:val="none" w:sz="0" w:space="0" w:color="auto"/>
            <w:left w:val="none" w:sz="0" w:space="0" w:color="auto"/>
            <w:bottom w:val="none" w:sz="0" w:space="0" w:color="auto"/>
            <w:right w:val="none" w:sz="0" w:space="0" w:color="auto"/>
          </w:divBdr>
        </w:div>
        <w:div w:id="190269703">
          <w:marLeft w:val="640"/>
          <w:marRight w:val="0"/>
          <w:marTop w:val="0"/>
          <w:marBottom w:val="0"/>
          <w:divBdr>
            <w:top w:val="none" w:sz="0" w:space="0" w:color="auto"/>
            <w:left w:val="none" w:sz="0" w:space="0" w:color="auto"/>
            <w:bottom w:val="none" w:sz="0" w:space="0" w:color="auto"/>
            <w:right w:val="none" w:sz="0" w:space="0" w:color="auto"/>
          </w:divBdr>
        </w:div>
        <w:div w:id="240070573">
          <w:marLeft w:val="640"/>
          <w:marRight w:val="0"/>
          <w:marTop w:val="0"/>
          <w:marBottom w:val="0"/>
          <w:divBdr>
            <w:top w:val="none" w:sz="0" w:space="0" w:color="auto"/>
            <w:left w:val="none" w:sz="0" w:space="0" w:color="auto"/>
            <w:bottom w:val="none" w:sz="0" w:space="0" w:color="auto"/>
            <w:right w:val="none" w:sz="0" w:space="0" w:color="auto"/>
          </w:divBdr>
        </w:div>
        <w:div w:id="1116144433">
          <w:marLeft w:val="640"/>
          <w:marRight w:val="0"/>
          <w:marTop w:val="0"/>
          <w:marBottom w:val="0"/>
          <w:divBdr>
            <w:top w:val="none" w:sz="0" w:space="0" w:color="auto"/>
            <w:left w:val="none" w:sz="0" w:space="0" w:color="auto"/>
            <w:bottom w:val="none" w:sz="0" w:space="0" w:color="auto"/>
            <w:right w:val="none" w:sz="0" w:space="0" w:color="auto"/>
          </w:divBdr>
        </w:div>
        <w:div w:id="987704864">
          <w:marLeft w:val="640"/>
          <w:marRight w:val="0"/>
          <w:marTop w:val="0"/>
          <w:marBottom w:val="0"/>
          <w:divBdr>
            <w:top w:val="none" w:sz="0" w:space="0" w:color="auto"/>
            <w:left w:val="none" w:sz="0" w:space="0" w:color="auto"/>
            <w:bottom w:val="none" w:sz="0" w:space="0" w:color="auto"/>
            <w:right w:val="none" w:sz="0" w:space="0" w:color="auto"/>
          </w:divBdr>
        </w:div>
        <w:div w:id="1274627297">
          <w:marLeft w:val="640"/>
          <w:marRight w:val="0"/>
          <w:marTop w:val="0"/>
          <w:marBottom w:val="0"/>
          <w:divBdr>
            <w:top w:val="none" w:sz="0" w:space="0" w:color="auto"/>
            <w:left w:val="none" w:sz="0" w:space="0" w:color="auto"/>
            <w:bottom w:val="none" w:sz="0" w:space="0" w:color="auto"/>
            <w:right w:val="none" w:sz="0" w:space="0" w:color="auto"/>
          </w:divBdr>
        </w:div>
        <w:div w:id="1604530376">
          <w:marLeft w:val="640"/>
          <w:marRight w:val="0"/>
          <w:marTop w:val="0"/>
          <w:marBottom w:val="0"/>
          <w:divBdr>
            <w:top w:val="none" w:sz="0" w:space="0" w:color="auto"/>
            <w:left w:val="none" w:sz="0" w:space="0" w:color="auto"/>
            <w:bottom w:val="none" w:sz="0" w:space="0" w:color="auto"/>
            <w:right w:val="none" w:sz="0" w:space="0" w:color="auto"/>
          </w:divBdr>
        </w:div>
        <w:div w:id="877815761">
          <w:marLeft w:val="640"/>
          <w:marRight w:val="0"/>
          <w:marTop w:val="0"/>
          <w:marBottom w:val="0"/>
          <w:divBdr>
            <w:top w:val="none" w:sz="0" w:space="0" w:color="auto"/>
            <w:left w:val="none" w:sz="0" w:space="0" w:color="auto"/>
            <w:bottom w:val="none" w:sz="0" w:space="0" w:color="auto"/>
            <w:right w:val="none" w:sz="0" w:space="0" w:color="auto"/>
          </w:divBdr>
        </w:div>
        <w:div w:id="561985198">
          <w:marLeft w:val="640"/>
          <w:marRight w:val="0"/>
          <w:marTop w:val="0"/>
          <w:marBottom w:val="0"/>
          <w:divBdr>
            <w:top w:val="none" w:sz="0" w:space="0" w:color="auto"/>
            <w:left w:val="none" w:sz="0" w:space="0" w:color="auto"/>
            <w:bottom w:val="none" w:sz="0" w:space="0" w:color="auto"/>
            <w:right w:val="none" w:sz="0" w:space="0" w:color="auto"/>
          </w:divBdr>
        </w:div>
        <w:div w:id="599486528">
          <w:marLeft w:val="640"/>
          <w:marRight w:val="0"/>
          <w:marTop w:val="0"/>
          <w:marBottom w:val="0"/>
          <w:divBdr>
            <w:top w:val="none" w:sz="0" w:space="0" w:color="auto"/>
            <w:left w:val="none" w:sz="0" w:space="0" w:color="auto"/>
            <w:bottom w:val="none" w:sz="0" w:space="0" w:color="auto"/>
            <w:right w:val="none" w:sz="0" w:space="0" w:color="auto"/>
          </w:divBdr>
        </w:div>
        <w:div w:id="1040594425">
          <w:marLeft w:val="640"/>
          <w:marRight w:val="0"/>
          <w:marTop w:val="0"/>
          <w:marBottom w:val="0"/>
          <w:divBdr>
            <w:top w:val="none" w:sz="0" w:space="0" w:color="auto"/>
            <w:left w:val="none" w:sz="0" w:space="0" w:color="auto"/>
            <w:bottom w:val="none" w:sz="0" w:space="0" w:color="auto"/>
            <w:right w:val="none" w:sz="0" w:space="0" w:color="auto"/>
          </w:divBdr>
        </w:div>
        <w:div w:id="1585263416">
          <w:marLeft w:val="640"/>
          <w:marRight w:val="0"/>
          <w:marTop w:val="0"/>
          <w:marBottom w:val="0"/>
          <w:divBdr>
            <w:top w:val="none" w:sz="0" w:space="0" w:color="auto"/>
            <w:left w:val="none" w:sz="0" w:space="0" w:color="auto"/>
            <w:bottom w:val="none" w:sz="0" w:space="0" w:color="auto"/>
            <w:right w:val="none" w:sz="0" w:space="0" w:color="auto"/>
          </w:divBdr>
        </w:div>
        <w:div w:id="310064201">
          <w:marLeft w:val="640"/>
          <w:marRight w:val="0"/>
          <w:marTop w:val="0"/>
          <w:marBottom w:val="0"/>
          <w:divBdr>
            <w:top w:val="none" w:sz="0" w:space="0" w:color="auto"/>
            <w:left w:val="none" w:sz="0" w:space="0" w:color="auto"/>
            <w:bottom w:val="none" w:sz="0" w:space="0" w:color="auto"/>
            <w:right w:val="none" w:sz="0" w:space="0" w:color="auto"/>
          </w:divBdr>
        </w:div>
        <w:div w:id="1031036076">
          <w:marLeft w:val="640"/>
          <w:marRight w:val="0"/>
          <w:marTop w:val="0"/>
          <w:marBottom w:val="0"/>
          <w:divBdr>
            <w:top w:val="none" w:sz="0" w:space="0" w:color="auto"/>
            <w:left w:val="none" w:sz="0" w:space="0" w:color="auto"/>
            <w:bottom w:val="none" w:sz="0" w:space="0" w:color="auto"/>
            <w:right w:val="none" w:sz="0" w:space="0" w:color="auto"/>
          </w:divBdr>
        </w:div>
        <w:div w:id="408884977">
          <w:marLeft w:val="640"/>
          <w:marRight w:val="0"/>
          <w:marTop w:val="0"/>
          <w:marBottom w:val="0"/>
          <w:divBdr>
            <w:top w:val="none" w:sz="0" w:space="0" w:color="auto"/>
            <w:left w:val="none" w:sz="0" w:space="0" w:color="auto"/>
            <w:bottom w:val="none" w:sz="0" w:space="0" w:color="auto"/>
            <w:right w:val="none" w:sz="0" w:space="0" w:color="auto"/>
          </w:divBdr>
        </w:div>
        <w:div w:id="258146658">
          <w:marLeft w:val="640"/>
          <w:marRight w:val="0"/>
          <w:marTop w:val="0"/>
          <w:marBottom w:val="0"/>
          <w:divBdr>
            <w:top w:val="none" w:sz="0" w:space="0" w:color="auto"/>
            <w:left w:val="none" w:sz="0" w:space="0" w:color="auto"/>
            <w:bottom w:val="none" w:sz="0" w:space="0" w:color="auto"/>
            <w:right w:val="none" w:sz="0" w:space="0" w:color="auto"/>
          </w:divBdr>
        </w:div>
        <w:div w:id="1363551669">
          <w:marLeft w:val="640"/>
          <w:marRight w:val="0"/>
          <w:marTop w:val="0"/>
          <w:marBottom w:val="0"/>
          <w:divBdr>
            <w:top w:val="none" w:sz="0" w:space="0" w:color="auto"/>
            <w:left w:val="none" w:sz="0" w:space="0" w:color="auto"/>
            <w:bottom w:val="none" w:sz="0" w:space="0" w:color="auto"/>
            <w:right w:val="none" w:sz="0" w:space="0" w:color="auto"/>
          </w:divBdr>
        </w:div>
        <w:div w:id="608658225">
          <w:marLeft w:val="640"/>
          <w:marRight w:val="0"/>
          <w:marTop w:val="0"/>
          <w:marBottom w:val="0"/>
          <w:divBdr>
            <w:top w:val="none" w:sz="0" w:space="0" w:color="auto"/>
            <w:left w:val="none" w:sz="0" w:space="0" w:color="auto"/>
            <w:bottom w:val="none" w:sz="0" w:space="0" w:color="auto"/>
            <w:right w:val="none" w:sz="0" w:space="0" w:color="auto"/>
          </w:divBdr>
        </w:div>
        <w:div w:id="71244295">
          <w:marLeft w:val="640"/>
          <w:marRight w:val="0"/>
          <w:marTop w:val="0"/>
          <w:marBottom w:val="0"/>
          <w:divBdr>
            <w:top w:val="none" w:sz="0" w:space="0" w:color="auto"/>
            <w:left w:val="none" w:sz="0" w:space="0" w:color="auto"/>
            <w:bottom w:val="none" w:sz="0" w:space="0" w:color="auto"/>
            <w:right w:val="none" w:sz="0" w:space="0" w:color="auto"/>
          </w:divBdr>
        </w:div>
        <w:div w:id="2020422024">
          <w:marLeft w:val="640"/>
          <w:marRight w:val="0"/>
          <w:marTop w:val="0"/>
          <w:marBottom w:val="0"/>
          <w:divBdr>
            <w:top w:val="none" w:sz="0" w:space="0" w:color="auto"/>
            <w:left w:val="none" w:sz="0" w:space="0" w:color="auto"/>
            <w:bottom w:val="none" w:sz="0" w:space="0" w:color="auto"/>
            <w:right w:val="none" w:sz="0" w:space="0" w:color="auto"/>
          </w:divBdr>
        </w:div>
        <w:div w:id="561602134">
          <w:marLeft w:val="640"/>
          <w:marRight w:val="0"/>
          <w:marTop w:val="0"/>
          <w:marBottom w:val="0"/>
          <w:divBdr>
            <w:top w:val="none" w:sz="0" w:space="0" w:color="auto"/>
            <w:left w:val="none" w:sz="0" w:space="0" w:color="auto"/>
            <w:bottom w:val="none" w:sz="0" w:space="0" w:color="auto"/>
            <w:right w:val="none" w:sz="0" w:space="0" w:color="auto"/>
          </w:divBdr>
        </w:div>
        <w:div w:id="309947761">
          <w:marLeft w:val="640"/>
          <w:marRight w:val="0"/>
          <w:marTop w:val="0"/>
          <w:marBottom w:val="0"/>
          <w:divBdr>
            <w:top w:val="none" w:sz="0" w:space="0" w:color="auto"/>
            <w:left w:val="none" w:sz="0" w:space="0" w:color="auto"/>
            <w:bottom w:val="none" w:sz="0" w:space="0" w:color="auto"/>
            <w:right w:val="none" w:sz="0" w:space="0" w:color="auto"/>
          </w:divBdr>
        </w:div>
        <w:div w:id="1818955187">
          <w:marLeft w:val="640"/>
          <w:marRight w:val="0"/>
          <w:marTop w:val="0"/>
          <w:marBottom w:val="0"/>
          <w:divBdr>
            <w:top w:val="none" w:sz="0" w:space="0" w:color="auto"/>
            <w:left w:val="none" w:sz="0" w:space="0" w:color="auto"/>
            <w:bottom w:val="none" w:sz="0" w:space="0" w:color="auto"/>
            <w:right w:val="none" w:sz="0" w:space="0" w:color="auto"/>
          </w:divBdr>
        </w:div>
        <w:div w:id="1079670626">
          <w:marLeft w:val="640"/>
          <w:marRight w:val="0"/>
          <w:marTop w:val="0"/>
          <w:marBottom w:val="0"/>
          <w:divBdr>
            <w:top w:val="none" w:sz="0" w:space="0" w:color="auto"/>
            <w:left w:val="none" w:sz="0" w:space="0" w:color="auto"/>
            <w:bottom w:val="none" w:sz="0" w:space="0" w:color="auto"/>
            <w:right w:val="none" w:sz="0" w:space="0" w:color="auto"/>
          </w:divBdr>
        </w:div>
        <w:div w:id="1065909673">
          <w:marLeft w:val="640"/>
          <w:marRight w:val="0"/>
          <w:marTop w:val="0"/>
          <w:marBottom w:val="0"/>
          <w:divBdr>
            <w:top w:val="none" w:sz="0" w:space="0" w:color="auto"/>
            <w:left w:val="none" w:sz="0" w:space="0" w:color="auto"/>
            <w:bottom w:val="none" w:sz="0" w:space="0" w:color="auto"/>
            <w:right w:val="none" w:sz="0" w:space="0" w:color="auto"/>
          </w:divBdr>
        </w:div>
        <w:div w:id="1242988154">
          <w:marLeft w:val="640"/>
          <w:marRight w:val="0"/>
          <w:marTop w:val="0"/>
          <w:marBottom w:val="0"/>
          <w:divBdr>
            <w:top w:val="none" w:sz="0" w:space="0" w:color="auto"/>
            <w:left w:val="none" w:sz="0" w:space="0" w:color="auto"/>
            <w:bottom w:val="none" w:sz="0" w:space="0" w:color="auto"/>
            <w:right w:val="none" w:sz="0" w:space="0" w:color="auto"/>
          </w:divBdr>
        </w:div>
        <w:div w:id="1649672692">
          <w:marLeft w:val="640"/>
          <w:marRight w:val="0"/>
          <w:marTop w:val="0"/>
          <w:marBottom w:val="0"/>
          <w:divBdr>
            <w:top w:val="none" w:sz="0" w:space="0" w:color="auto"/>
            <w:left w:val="none" w:sz="0" w:space="0" w:color="auto"/>
            <w:bottom w:val="none" w:sz="0" w:space="0" w:color="auto"/>
            <w:right w:val="none" w:sz="0" w:space="0" w:color="auto"/>
          </w:divBdr>
        </w:div>
        <w:div w:id="1470052924">
          <w:marLeft w:val="640"/>
          <w:marRight w:val="0"/>
          <w:marTop w:val="0"/>
          <w:marBottom w:val="0"/>
          <w:divBdr>
            <w:top w:val="none" w:sz="0" w:space="0" w:color="auto"/>
            <w:left w:val="none" w:sz="0" w:space="0" w:color="auto"/>
            <w:bottom w:val="none" w:sz="0" w:space="0" w:color="auto"/>
            <w:right w:val="none" w:sz="0" w:space="0" w:color="auto"/>
          </w:divBdr>
        </w:div>
        <w:div w:id="178351515">
          <w:marLeft w:val="640"/>
          <w:marRight w:val="0"/>
          <w:marTop w:val="0"/>
          <w:marBottom w:val="0"/>
          <w:divBdr>
            <w:top w:val="none" w:sz="0" w:space="0" w:color="auto"/>
            <w:left w:val="none" w:sz="0" w:space="0" w:color="auto"/>
            <w:bottom w:val="none" w:sz="0" w:space="0" w:color="auto"/>
            <w:right w:val="none" w:sz="0" w:space="0" w:color="auto"/>
          </w:divBdr>
        </w:div>
        <w:div w:id="1174151139">
          <w:marLeft w:val="640"/>
          <w:marRight w:val="0"/>
          <w:marTop w:val="0"/>
          <w:marBottom w:val="0"/>
          <w:divBdr>
            <w:top w:val="none" w:sz="0" w:space="0" w:color="auto"/>
            <w:left w:val="none" w:sz="0" w:space="0" w:color="auto"/>
            <w:bottom w:val="none" w:sz="0" w:space="0" w:color="auto"/>
            <w:right w:val="none" w:sz="0" w:space="0" w:color="auto"/>
          </w:divBdr>
        </w:div>
        <w:div w:id="271523775">
          <w:marLeft w:val="640"/>
          <w:marRight w:val="0"/>
          <w:marTop w:val="0"/>
          <w:marBottom w:val="0"/>
          <w:divBdr>
            <w:top w:val="none" w:sz="0" w:space="0" w:color="auto"/>
            <w:left w:val="none" w:sz="0" w:space="0" w:color="auto"/>
            <w:bottom w:val="none" w:sz="0" w:space="0" w:color="auto"/>
            <w:right w:val="none" w:sz="0" w:space="0" w:color="auto"/>
          </w:divBdr>
        </w:div>
        <w:div w:id="461656204">
          <w:marLeft w:val="640"/>
          <w:marRight w:val="0"/>
          <w:marTop w:val="0"/>
          <w:marBottom w:val="0"/>
          <w:divBdr>
            <w:top w:val="none" w:sz="0" w:space="0" w:color="auto"/>
            <w:left w:val="none" w:sz="0" w:space="0" w:color="auto"/>
            <w:bottom w:val="none" w:sz="0" w:space="0" w:color="auto"/>
            <w:right w:val="none" w:sz="0" w:space="0" w:color="auto"/>
          </w:divBdr>
        </w:div>
        <w:div w:id="1536502836">
          <w:marLeft w:val="640"/>
          <w:marRight w:val="0"/>
          <w:marTop w:val="0"/>
          <w:marBottom w:val="0"/>
          <w:divBdr>
            <w:top w:val="none" w:sz="0" w:space="0" w:color="auto"/>
            <w:left w:val="none" w:sz="0" w:space="0" w:color="auto"/>
            <w:bottom w:val="none" w:sz="0" w:space="0" w:color="auto"/>
            <w:right w:val="none" w:sz="0" w:space="0" w:color="auto"/>
          </w:divBdr>
        </w:div>
        <w:div w:id="67075570">
          <w:marLeft w:val="640"/>
          <w:marRight w:val="0"/>
          <w:marTop w:val="0"/>
          <w:marBottom w:val="0"/>
          <w:divBdr>
            <w:top w:val="none" w:sz="0" w:space="0" w:color="auto"/>
            <w:left w:val="none" w:sz="0" w:space="0" w:color="auto"/>
            <w:bottom w:val="none" w:sz="0" w:space="0" w:color="auto"/>
            <w:right w:val="none" w:sz="0" w:space="0" w:color="auto"/>
          </w:divBdr>
        </w:div>
        <w:div w:id="1302926201">
          <w:marLeft w:val="640"/>
          <w:marRight w:val="0"/>
          <w:marTop w:val="0"/>
          <w:marBottom w:val="0"/>
          <w:divBdr>
            <w:top w:val="none" w:sz="0" w:space="0" w:color="auto"/>
            <w:left w:val="none" w:sz="0" w:space="0" w:color="auto"/>
            <w:bottom w:val="none" w:sz="0" w:space="0" w:color="auto"/>
            <w:right w:val="none" w:sz="0" w:space="0" w:color="auto"/>
          </w:divBdr>
        </w:div>
        <w:div w:id="309986354">
          <w:marLeft w:val="640"/>
          <w:marRight w:val="0"/>
          <w:marTop w:val="0"/>
          <w:marBottom w:val="0"/>
          <w:divBdr>
            <w:top w:val="none" w:sz="0" w:space="0" w:color="auto"/>
            <w:left w:val="none" w:sz="0" w:space="0" w:color="auto"/>
            <w:bottom w:val="none" w:sz="0" w:space="0" w:color="auto"/>
            <w:right w:val="none" w:sz="0" w:space="0" w:color="auto"/>
          </w:divBdr>
        </w:div>
        <w:div w:id="495650504">
          <w:marLeft w:val="640"/>
          <w:marRight w:val="0"/>
          <w:marTop w:val="0"/>
          <w:marBottom w:val="0"/>
          <w:divBdr>
            <w:top w:val="none" w:sz="0" w:space="0" w:color="auto"/>
            <w:left w:val="none" w:sz="0" w:space="0" w:color="auto"/>
            <w:bottom w:val="none" w:sz="0" w:space="0" w:color="auto"/>
            <w:right w:val="none" w:sz="0" w:space="0" w:color="auto"/>
          </w:divBdr>
        </w:div>
        <w:div w:id="861557718">
          <w:marLeft w:val="640"/>
          <w:marRight w:val="0"/>
          <w:marTop w:val="0"/>
          <w:marBottom w:val="0"/>
          <w:divBdr>
            <w:top w:val="none" w:sz="0" w:space="0" w:color="auto"/>
            <w:left w:val="none" w:sz="0" w:space="0" w:color="auto"/>
            <w:bottom w:val="none" w:sz="0" w:space="0" w:color="auto"/>
            <w:right w:val="none" w:sz="0" w:space="0" w:color="auto"/>
          </w:divBdr>
        </w:div>
        <w:div w:id="1165433305">
          <w:marLeft w:val="640"/>
          <w:marRight w:val="0"/>
          <w:marTop w:val="0"/>
          <w:marBottom w:val="0"/>
          <w:divBdr>
            <w:top w:val="none" w:sz="0" w:space="0" w:color="auto"/>
            <w:left w:val="none" w:sz="0" w:space="0" w:color="auto"/>
            <w:bottom w:val="none" w:sz="0" w:space="0" w:color="auto"/>
            <w:right w:val="none" w:sz="0" w:space="0" w:color="auto"/>
          </w:divBdr>
        </w:div>
        <w:div w:id="1233000496">
          <w:marLeft w:val="640"/>
          <w:marRight w:val="0"/>
          <w:marTop w:val="0"/>
          <w:marBottom w:val="0"/>
          <w:divBdr>
            <w:top w:val="none" w:sz="0" w:space="0" w:color="auto"/>
            <w:left w:val="none" w:sz="0" w:space="0" w:color="auto"/>
            <w:bottom w:val="none" w:sz="0" w:space="0" w:color="auto"/>
            <w:right w:val="none" w:sz="0" w:space="0" w:color="auto"/>
          </w:divBdr>
        </w:div>
        <w:div w:id="1120150241">
          <w:marLeft w:val="640"/>
          <w:marRight w:val="0"/>
          <w:marTop w:val="0"/>
          <w:marBottom w:val="0"/>
          <w:divBdr>
            <w:top w:val="none" w:sz="0" w:space="0" w:color="auto"/>
            <w:left w:val="none" w:sz="0" w:space="0" w:color="auto"/>
            <w:bottom w:val="none" w:sz="0" w:space="0" w:color="auto"/>
            <w:right w:val="none" w:sz="0" w:space="0" w:color="auto"/>
          </w:divBdr>
        </w:div>
        <w:div w:id="164365706">
          <w:marLeft w:val="640"/>
          <w:marRight w:val="0"/>
          <w:marTop w:val="0"/>
          <w:marBottom w:val="0"/>
          <w:divBdr>
            <w:top w:val="none" w:sz="0" w:space="0" w:color="auto"/>
            <w:left w:val="none" w:sz="0" w:space="0" w:color="auto"/>
            <w:bottom w:val="none" w:sz="0" w:space="0" w:color="auto"/>
            <w:right w:val="none" w:sz="0" w:space="0" w:color="auto"/>
          </w:divBdr>
        </w:div>
        <w:div w:id="577246856">
          <w:marLeft w:val="640"/>
          <w:marRight w:val="0"/>
          <w:marTop w:val="0"/>
          <w:marBottom w:val="0"/>
          <w:divBdr>
            <w:top w:val="none" w:sz="0" w:space="0" w:color="auto"/>
            <w:left w:val="none" w:sz="0" w:space="0" w:color="auto"/>
            <w:bottom w:val="none" w:sz="0" w:space="0" w:color="auto"/>
            <w:right w:val="none" w:sz="0" w:space="0" w:color="auto"/>
          </w:divBdr>
        </w:div>
        <w:div w:id="1729961969">
          <w:marLeft w:val="640"/>
          <w:marRight w:val="0"/>
          <w:marTop w:val="0"/>
          <w:marBottom w:val="0"/>
          <w:divBdr>
            <w:top w:val="none" w:sz="0" w:space="0" w:color="auto"/>
            <w:left w:val="none" w:sz="0" w:space="0" w:color="auto"/>
            <w:bottom w:val="none" w:sz="0" w:space="0" w:color="auto"/>
            <w:right w:val="none" w:sz="0" w:space="0" w:color="auto"/>
          </w:divBdr>
        </w:div>
        <w:div w:id="696540166">
          <w:marLeft w:val="640"/>
          <w:marRight w:val="0"/>
          <w:marTop w:val="0"/>
          <w:marBottom w:val="0"/>
          <w:divBdr>
            <w:top w:val="none" w:sz="0" w:space="0" w:color="auto"/>
            <w:left w:val="none" w:sz="0" w:space="0" w:color="auto"/>
            <w:bottom w:val="none" w:sz="0" w:space="0" w:color="auto"/>
            <w:right w:val="none" w:sz="0" w:space="0" w:color="auto"/>
          </w:divBdr>
        </w:div>
        <w:div w:id="1352952470">
          <w:marLeft w:val="640"/>
          <w:marRight w:val="0"/>
          <w:marTop w:val="0"/>
          <w:marBottom w:val="0"/>
          <w:divBdr>
            <w:top w:val="none" w:sz="0" w:space="0" w:color="auto"/>
            <w:left w:val="none" w:sz="0" w:space="0" w:color="auto"/>
            <w:bottom w:val="none" w:sz="0" w:space="0" w:color="auto"/>
            <w:right w:val="none" w:sz="0" w:space="0" w:color="auto"/>
          </w:divBdr>
        </w:div>
        <w:div w:id="382024714">
          <w:marLeft w:val="640"/>
          <w:marRight w:val="0"/>
          <w:marTop w:val="0"/>
          <w:marBottom w:val="0"/>
          <w:divBdr>
            <w:top w:val="none" w:sz="0" w:space="0" w:color="auto"/>
            <w:left w:val="none" w:sz="0" w:space="0" w:color="auto"/>
            <w:bottom w:val="none" w:sz="0" w:space="0" w:color="auto"/>
            <w:right w:val="none" w:sz="0" w:space="0" w:color="auto"/>
          </w:divBdr>
        </w:div>
        <w:div w:id="1151747125">
          <w:marLeft w:val="640"/>
          <w:marRight w:val="0"/>
          <w:marTop w:val="0"/>
          <w:marBottom w:val="0"/>
          <w:divBdr>
            <w:top w:val="none" w:sz="0" w:space="0" w:color="auto"/>
            <w:left w:val="none" w:sz="0" w:space="0" w:color="auto"/>
            <w:bottom w:val="none" w:sz="0" w:space="0" w:color="auto"/>
            <w:right w:val="none" w:sz="0" w:space="0" w:color="auto"/>
          </w:divBdr>
        </w:div>
        <w:div w:id="802886250">
          <w:marLeft w:val="640"/>
          <w:marRight w:val="0"/>
          <w:marTop w:val="0"/>
          <w:marBottom w:val="0"/>
          <w:divBdr>
            <w:top w:val="none" w:sz="0" w:space="0" w:color="auto"/>
            <w:left w:val="none" w:sz="0" w:space="0" w:color="auto"/>
            <w:bottom w:val="none" w:sz="0" w:space="0" w:color="auto"/>
            <w:right w:val="none" w:sz="0" w:space="0" w:color="auto"/>
          </w:divBdr>
        </w:div>
        <w:div w:id="1530295575">
          <w:marLeft w:val="640"/>
          <w:marRight w:val="0"/>
          <w:marTop w:val="0"/>
          <w:marBottom w:val="0"/>
          <w:divBdr>
            <w:top w:val="none" w:sz="0" w:space="0" w:color="auto"/>
            <w:left w:val="none" w:sz="0" w:space="0" w:color="auto"/>
            <w:bottom w:val="none" w:sz="0" w:space="0" w:color="auto"/>
            <w:right w:val="none" w:sz="0" w:space="0" w:color="auto"/>
          </w:divBdr>
        </w:div>
        <w:div w:id="1418090042">
          <w:marLeft w:val="640"/>
          <w:marRight w:val="0"/>
          <w:marTop w:val="0"/>
          <w:marBottom w:val="0"/>
          <w:divBdr>
            <w:top w:val="none" w:sz="0" w:space="0" w:color="auto"/>
            <w:left w:val="none" w:sz="0" w:space="0" w:color="auto"/>
            <w:bottom w:val="none" w:sz="0" w:space="0" w:color="auto"/>
            <w:right w:val="none" w:sz="0" w:space="0" w:color="auto"/>
          </w:divBdr>
        </w:div>
        <w:div w:id="1024554348">
          <w:marLeft w:val="640"/>
          <w:marRight w:val="0"/>
          <w:marTop w:val="0"/>
          <w:marBottom w:val="0"/>
          <w:divBdr>
            <w:top w:val="none" w:sz="0" w:space="0" w:color="auto"/>
            <w:left w:val="none" w:sz="0" w:space="0" w:color="auto"/>
            <w:bottom w:val="none" w:sz="0" w:space="0" w:color="auto"/>
            <w:right w:val="none" w:sz="0" w:space="0" w:color="auto"/>
          </w:divBdr>
        </w:div>
        <w:div w:id="1482699907">
          <w:marLeft w:val="640"/>
          <w:marRight w:val="0"/>
          <w:marTop w:val="0"/>
          <w:marBottom w:val="0"/>
          <w:divBdr>
            <w:top w:val="none" w:sz="0" w:space="0" w:color="auto"/>
            <w:left w:val="none" w:sz="0" w:space="0" w:color="auto"/>
            <w:bottom w:val="none" w:sz="0" w:space="0" w:color="auto"/>
            <w:right w:val="none" w:sz="0" w:space="0" w:color="auto"/>
          </w:divBdr>
        </w:div>
        <w:div w:id="519126647">
          <w:marLeft w:val="640"/>
          <w:marRight w:val="0"/>
          <w:marTop w:val="0"/>
          <w:marBottom w:val="0"/>
          <w:divBdr>
            <w:top w:val="none" w:sz="0" w:space="0" w:color="auto"/>
            <w:left w:val="none" w:sz="0" w:space="0" w:color="auto"/>
            <w:bottom w:val="none" w:sz="0" w:space="0" w:color="auto"/>
            <w:right w:val="none" w:sz="0" w:space="0" w:color="auto"/>
          </w:divBdr>
        </w:div>
        <w:div w:id="663315130">
          <w:marLeft w:val="640"/>
          <w:marRight w:val="0"/>
          <w:marTop w:val="0"/>
          <w:marBottom w:val="0"/>
          <w:divBdr>
            <w:top w:val="none" w:sz="0" w:space="0" w:color="auto"/>
            <w:left w:val="none" w:sz="0" w:space="0" w:color="auto"/>
            <w:bottom w:val="none" w:sz="0" w:space="0" w:color="auto"/>
            <w:right w:val="none" w:sz="0" w:space="0" w:color="auto"/>
          </w:divBdr>
        </w:div>
        <w:div w:id="361978490">
          <w:marLeft w:val="640"/>
          <w:marRight w:val="0"/>
          <w:marTop w:val="0"/>
          <w:marBottom w:val="0"/>
          <w:divBdr>
            <w:top w:val="none" w:sz="0" w:space="0" w:color="auto"/>
            <w:left w:val="none" w:sz="0" w:space="0" w:color="auto"/>
            <w:bottom w:val="none" w:sz="0" w:space="0" w:color="auto"/>
            <w:right w:val="none" w:sz="0" w:space="0" w:color="auto"/>
          </w:divBdr>
        </w:div>
        <w:div w:id="1473790564">
          <w:marLeft w:val="640"/>
          <w:marRight w:val="0"/>
          <w:marTop w:val="0"/>
          <w:marBottom w:val="0"/>
          <w:divBdr>
            <w:top w:val="none" w:sz="0" w:space="0" w:color="auto"/>
            <w:left w:val="none" w:sz="0" w:space="0" w:color="auto"/>
            <w:bottom w:val="none" w:sz="0" w:space="0" w:color="auto"/>
            <w:right w:val="none" w:sz="0" w:space="0" w:color="auto"/>
          </w:divBdr>
        </w:div>
        <w:div w:id="1707369512">
          <w:marLeft w:val="640"/>
          <w:marRight w:val="0"/>
          <w:marTop w:val="0"/>
          <w:marBottom w:val="0"/>
          <w:divBdr>
            <w:top w:val="none" w:sz="0" w:space="0" w:color="auto"/>
            <w:left w:val="none" w:sz="0" w:space="0" w:color="auto"/>
            <w:bottom w:val="none" w:sz="0" w:space="0" w:color="auto"/>
            <w:right w:val="none" w:sz="0" w:space="0" w:color="auto"/>
          </w:divBdr>
        </w:div>
        <w:div w:id="933395269">
          <w:marLeft w:val="640"/>
          <w:marRight w:val="0"/>
          <w:marTop w:val="0"/>
          <w:marBottom w:val="0"/>
          <w:divBdr>
            <w:top w:val="none" w:sz="0" w:space="0" w:color="auto"/>
            <w:left w:val="none" w:sz="0" w:space="0" w:color="auto"/>
            <w:bottom w:val="none" w:sz="0" w:space="0" w:color="auto"/>
            <w:right w:val="none" w:sz="0" w:space="0" w:color="auto"/>
          </w:divBdr>
        </w:div>
        <w:div w:id="1058936094">
          <w:marLeft w:val="640"/>
          <w:marRight w:val="0"/>
          <w:marTop w:val="0"/>
          <w:marBottom w:val="0"/>
          <w:divBdr>
            <w:top w:val="none" w:sz="0" w:space="0" w:color="auto"/>
            <w:left w:val="none" w:sz="0" w:space="0" w:color="auto"/>
            <w:bottom w:val="none" w:sz="0" w:space="0" w:color="auto"/>
            <w:right w:val="none" w:sz="0" w:space="0" w:color="auto"/>
          </w:divBdr>
        </w:div>
        <w:div w:id="2045665916">
          <w:marLeft w:val="640"/>
          <w:marRight w:val="0"/>
          <w:marTop w:val="0"/>
          <w:marBottom w:val="0"/>
          <w:divBdr>
            <w:top w:val="none" w:sz="0" w:space="0" w:color="auto"/>
            <w:left w:val="none" w:sz="0" w:space="0" w:color="auto"/>
            <w:bottom w:val="none" w:sz="0" w:space="0" w:color="auto"/>
            <w:right w:val="none" w:sz="0" w:space="0" w:color="auto"/>
          </w:divBdr>
        </w:div>
        <w:div w:id="274168972">
          <w:marLeft w:val="640"/>
          <w:marRight w:val="0"/>
          <w:marTop w:val="0"/>
          <w:marBottom w:val="0"/>
          <w:divBdr>
            <w:top w:val="none" w:sz="0" w:space="0" w:color="auto"/>
            <w:left w:val="none" w:sz="0" w:space="0" w:color="auto"/>
            <w:bottom w:val="none" w:sz="0" w:space="0" w:color="auto"/>
            <w:right w:val="none" w:sz="0" w:space="0" w:color="auto"/>
          </w:divBdr>
        </w:div>
        <w:div w:id="403912545">
          <w:marLeft w:val="640"/>
          <w:marRight w:val="0"/>
          <w:marTop w:val="0"/>
          <w:marBottom w:val="0"/>
          <w:divBdr>
            <w:top w:val="none" w:sz="0" w:space="0" w:color="auto"/>
            <w:left w:val="none" w:sz="0" w:space="0" w:color="auto"/>
            <w:bottom w:val="none" w:sz="0" w:space="0" w:color="auto"/>
            <w:right w:val="none" w:sz="0" w:space="0" w:color="auto"/>
          </w:divBdr>
        </w:div>
        <w:div w:id="1291597780">
          <w:marLeft w:val="640"/>
          <w:marRight w:val="0"/>
          <w:marTop w:val="0"/>
          <w:marBottom w:val="0"/>
          <w:divBdr>
            <w:top w:val="none" w:sz="0" w:space="0" w:color="auto"/>
            <w:left w:val="none" w:sz="0" w:space="0" w:color="auto"/>
            <w:bottom w:val="none" w:sz="0" w:space="0" w:color="auto"/>
            <w:right w:val="none" w:sz="0" w:space="0" w:color="auto"/>
          </w:divBdr>
        </w:div>
        <w:div w:id="608854890">
          <w:marLeft w:val="640"/>
          <w:marRight w:val="0"/>
          <w:marTop w:val="0"/>
          <w:marBottom w:val="0"/>
          <w:divBdr>
            <w:top w:val="none" w:sz="0" w:space="0" w:color="auto"/>
            <w:left w:val="none" w:sz="0" w:space="0" w:color="auto"/>
            <w:bottom w:val="none" w:sz="0" w:space="0" w:color="auto"/>
            <w:right w:val="none" w:sz="0" w:space="0" w:color="auto"/>
          </w:divBdr>
        </w:div>
        <w:div w:id="902329934">
          <w:marLeft w:val="640"/>
          <w:marRight w:val="0"/>
          <w:marTop w:val="0"/>
          <w:marBottom w:val="0"/>
          <w:divBdr>
            <w:top w:val="none" w:sz="0" w:space="0" w:color="auto"/>
            <w:left w:val="none" w:sz="0" w:space="0" w:color="auto"/>
            <w:bottom w:val="none" w:sz="0" w:space="0" w:color="auto"/>
            <w:right w:val="none" w:sz="0" w:space="0" w:color="auto"/>
          </w:divBdr>
        </w:div>
        <w:div w:id="26489993">
          <w:marLeft w:val="640"/>
          <w:marRight w:val="0"/>
          <w:marTop w:val="0"/>
          <w:marBottom w:val="0"/>
          <w:divBdr>
            <w:top w:val="none" w:sz="0" w:space="0" w:color="auto"/>
            <w:left w:val="none" w:sz="0" w:space="0" w:color="auto"/>
            <w:bottom w:val="none" w:sz="0" w:space="0" w:color="auto"/>
            <w:right w:val="none" w:sz="0" w:space="0" w:color="auto"/>
          </w:divBdr>
        </w:div>
        <w:div w:id="1803886223">
          <w:marLeft w:val="640"/>
          <w:marRight w:val="0"/>
          <w:marTop w:val="0"/>
          <w:marBottom w:val="0"/>
          <w:divBdr>
            <w:top w:val="none" w:sz="0" w:space="0" w:color="auto"/>
            <w:left w:val="none" w:sz="0" w:space="0" w:color="auto"/>
            <w:bottom w:val="none" w:sz="0" w:space="0" w:color="auto"/>
            <w:right w:val="none" w:sz="0" w:space="0" w:color="auto"/>
          </w:divBdr>
        </w:div>
        <w:div w:id="1709842169">
          <w:marLeft w:val="640"/>
          <w:marRight w:val="0"/>
          <w:marTop w:val="0"/>
          <w:marBottom w:val="0"/>
          <w:divBdr>
            <w:top w:val="none" w:sz="0" w:space="0" w:color="auto"/>
            <w:left w:val="none" w:sz="0" w:space="0" w:color="auto"/>
            <w:bottom w:val="none" w:sz="0" w:space="0" w:color="auto"/>
            <w:right w:val="none" w:sz="0" w:space="0" w:color="auto"/>
          </w:divBdr>
        </w:div>
        <w:div w:id="2087457335">
          <w:marLeft w:val="640"/>
          <w:marRight w:val="0"/>
          <w:marTop w:val="0"/>
          <w:marBottom w:val="0"/>
          <w:divBdr>
            <w:top w:val="none" w:sz="0" w:space="0" w:color="auto"/>
            <w:left w:val="none" w:sz="0" w:space="0" w:color="auto"/>
            <w:bottom w:val="none" w:sz="0" w:space="0" w:color="auto"/>
            <w:right w:val="none" w:sz="0" w:space="0" w:color="auto"/>
          </w:divBdr>
        </w:div>
        <w:div w:id="220676775">
          <w:marLeft w:val="640"/>
          <w:marRight w:val="0"/>
          <w:marTop w:val="0"/>
          <w:marBottom w:val="0"/>
          <w:divBdr>
            <w:top w:val="none" w:sz="0" w:space="0" w:color="auto"/>
            <w:left w:val="none" w:sz="0" w:space="0" w:color="auto"/>
            <w:bottom w:val="none" w:sz="0" w:space="0" w:color="auto"/>
            <w:right w:val="none" w:sz="0" w:space="0" w:color="auto"/>
          </w:divBdr>
        </w:div>
        <w:div w:id="1052074435">
          <w:marLeft w:val="640"/>
          <w:marRight w:val="0"/>
          <w:marTop w:val="0"/>
          <w:marBottom w:val="0"/>
          <w:divBdr>
            <w:top w:val="none" w:sz="0" w:space="0" w:color="auto"/>
            <w:left w:val="none" w:sz="0" w:space="0" w:color="auto"/>
            <w:bottom w:val="none" w:sz="0" w:space="0" w:color="auto"/>
            <w:right w:val="none" w:sz="0" w:space="0" w:color="auto"/>
          </w:divBdr>
        </w:div>
        <w:div w:id="1225527887">
          <w:marLeft w:val="640"/>
          <w:marRight w:val="0"/>
          <w:marTop w:val="0"/>
          <w:marBottom w:val="0"/>
          <w:divBdr>
            <w:top w:val="none" w:sz="0" w:space="0" w:color="auto"/>
            <w:left w:val="none" w:sz="0" w:space="0" w:color="auto"/>
            <w:bottom w:val="none" w:sz="0" w:space="0" w:color="auto"/>
            <w:right w:val="none" w:sz="0" w:space="0" w:color="auto"/>
          </w:divBdr>
        </w:div>
        <w:div w:id="320085888">
          <w:marLeft w:val="640"/>
          <w:marRight w:val="0"/>
          <w:marTop w:val="0"/>
          <w:marBottom w:val="0"/>
          <w:divBdr>
            <w:top w:val="none" w:sz="0" w:space="0" w:color="auto"/>
            <w:left w:val="none" w:sz="0" w:space="0" w:color="auto"/>
            <w:bottom w:val="none" w:sz="0" w:space="0" w:color="auto"/>
            <w:right w:val="none" w:sz="0" w:space="0" w:color="auto"/>
          </w:divBdr>
        </w:div>
        <w:div w:id="1631519219">
          <w:marLeft w:val="640"/>
          <w:marRight w:val="0"/>
          <w:marTop w:val="0"/>
          <w:marBottom w:val="0"/>
          <w:divBdr>
            <w:top w:val="none" w:sz="0" w:space="0" w:color="auto"/>
            <w:left w:val="none" w:sz="0" w:space="0" w:color="auto"/>
            <w:bottom w:val="none" w:sz="0" w:space="0" w:color="auto"/>
            <w:right w:val="none" w:sz="0" w:space="0" w:color="auto"/>
          </w:divBdr>
        </w:div>
        <w:div w:id="990981369">
          <w:marLeft w:val="640"/>
          <w:marRight w:val="0"/>
          <w:marTop w:val="0"/>
          <w:marBottom w:val="0"/>
          <w:divBdr>
            <w:top w:val="none" w:sz="0" w:space="0" w:color="auto"/>
            <w:left w:val="none" w:sz="0" w:space="0" w:color="auto"/>
            <w:bottom w:val="none" w:sz="0" w:space="0" w:color="auto"/>
            <w:right w:val="none" w:sz="0" w:space="0" w:color="auto"/>
          </w:divBdr>
        </w:div>
        <w:div w:id="764112685">
          <w:marLeft w:val="640"/>
          <w:marRight w:val="0"/>
          <w:marTop w:val="0"/>
          <w:marBottom w:val="0"/>
          <w:divBdr>
            <w:top w:val="none" w:sz="0" w:space="0" w:color="auto"/>
            <w:left w:val="none" w:sz="0" w:space="0" w:color="auto"/>
            <w:bottom w:val="none" w:sz="0" w:space="0" w:color="auto"/>
            <w:right w:val="none" w:sz="0" w:space="0" w:color="auto"/>
          </w:divBdr>
        </w:div>
        <w:div w:id="591547916">
          <w:marLeft w:val="640"/>
          <w:marRight w:val="0"/>
          <w:marTop w:val="0"/>
          <w:marBottom w:val="0"/>
          <w:divBdr>
            <w:top w:val="none" w:sz="0" w:space="0" w:color="auto"/>
            <w:left w:val="none" w:sz="0" w:space="0" w:color="auto"/>
            <w:bottom w:val="none" w:sz="0" w:space="0" w:color="auto"/>
            <w:right w:val="none" w:sz="0" w:space="0" w:color="auto"/>
          </w:divBdr>
        </w:div>
        <w:div w:id="740908064">
          <w:marLeft w:val="640"/>
          <w:marRight w:val="0"/>
          <w:marTop w:val="0"/>
          <w:marBottom w:val="0"/>
          <w:divBdr>
            <w:top w:val="none" w:sz="0" w:space="0" w:color="auto"/>
            <w:left w:val="none" w:sz="0" w:space="0" w:color="auto"/>
            <w:bottom w:val="none" w:sz="0" w:space="0" w:color="auto"/>
            <w:right w:val="none" w:sz="0" w:space="0" w:color="auto"/>
          </w:divBdr>
        </w:div>
        <w:div w:id="1323005938">
          <w:marLeft w:val="640"/>
          <w:marRight w:val="0"/>
          <w:marTop w:val="0"/>
          <w:marBottom w:val="0"/>
          <w:divBdr>
            <w:top w:val="none" w:sz="0" w:space="0" w:color="auto"/>
            <w:left w:val="none" w:sz="0" w:space="0" w:color="auto"/>
            <w:bottom w:val="none" w:sz="0" w:space="0" w:color="auto"/>
            <w:right w:val="none" w:sz="0" w:space="0" w:color="auto"/>
          </w:divBdr>
        </w:div>
        <w:div w:id="242497247">
          <w:marLeft w:val="640"/>
          <w:marRight w:val="0"/>
          <w:marTop w:val="0"/>
          <w:marBottom w:val="0"/>
          <w:divBdr>
            <w:top w:val="none" w:sz="0" w:space="0" w:color="auto"/>
            <w:left w:val="none" w:sz="0" w:space="0" w:color="auto"/>
            <w:bottom w:val="none" w:sz="0" w:space="0" w:color="auto"/>
            <w:right w:val="none" w:sz="0" w:space="0" w:color="auto"/>
          </w:divBdr>
        </w:div>
        <w:div w:id="1958950378">
          <w:marLeft w:val="640"/>
          <w:marRight w:val="0"/>
          <w:marTop w:val="0"/>
          <w:marBottom w:val="0"/>
          <w:divBdr>
            <w:top w:val="none" w:sz="0" w:space="0" w:color="auto"/>
            <w:left w:val="none" w:sz="0" w:space="0" w:color="auto"/>
            <w:bottom w:val="none" w:sz="0" w:space="0" w:color="auto"/>
            <w:right w:val="none" w:sz="0" w:space="0" w:color="auto"/>
          </w:divBdr>
        </w:div>
        <w:div w:id="295725048">
          <w:marLeft w:val="640"/>
          <w:marRight w:val="0"/>
          <w:marTop w:val="0"/>
          <w:marBottom w:val="0"/>
          <w:divBdr>
            <w:top w:val="none" w:sz="0" w:space="0" w:color="auto"/>
            <w:left w:val="none" w:sz="0" w:space="0" w:color="auto"/>
            <w:bottom w:val="none" w:sz="0" w:space="0" w:color="auto"/>
            <w:right w:val="none" w:sz="0" w:space="0" w:color="auto"/>
          </w:divBdr>
        </w:div>
        <w:div w:id="2081096099">
          <w:marLeft w:val="640"/>
          <w:marRight w:val="0"/>
          <w:marTop w:val="0"/>
          <w:marBottom w:val="0"/>
          <w:divBdr>
            <w:top w:val="none" w:sz="0" w:space="0" w:color="auto"/>
            <w:left w:val="none" w:sz="0" w:space="0" w:color="auto"/>
            <w:bottom w:val="none" w:sz="0" w:space="0" w:color="auto"/>
            <w:right w:val="none" w:sz="0" w:space="0" w:color="auto"/>
          </w:divBdr>
        </w:div>
        <w:div w:id="14428883">
          <w:marLeft w:val="640"/>
          <w:marRight w:val="0"/>
          <w:marTop w:val="0"/>
          <w:marBottom w:val="0"/>
          <w:divBdr>
            <w:top w:val="none" w:sz="0" w:space="0" w:color="auto"/>
            <w:left w:val="none" w:sz="0" w:space="0" w:color="auto"/>
            <w:bottom w:val="none" w:sz="0" w:space="0" w:color="auto"/>
            <w:right w:val="none" w:sz="0" w:space="0" w:color="auto"/>
          </w:divBdr>
        </w:div>
        <w:div w:id="491263579">
          <w:marLeft w:val="640"/>
          <w:marRight w:val="0"/>
          <w:marTop w:val="0"/>
          <w:marBottom w:val="0"/>
          <w:divBdr>
            <w:top w:val="none" w:sz="0" w:space="0" w:color="auto"/>
            <w:left w:val="none" w:sz="0" w:space="0" w:color="auto"/>
            <w:bottom w:val="none" w:sz="0" w:space="0" w:color="auto"/>
            <w:right w:val="none" w:sz="0" w:space="0" w:color="auto"/>
          </w:divBdr>
        </w:div>
        <w:div w:id="713626455">
          <w:marLeft w:val="640"/>
          <w:marRight w:val="0"/>
          <w:marTop w:val="0"/>
          <w:marBottom w:val="0"/>
          <w:divBdr>
            <w:top w:val="none" w:sz="0" w:space="0" w:color="auto"/>
            <w:left w:val="none" w:sz="0" w:space="0" w:color="auto"/>
            <w:bottom w:val="none" w:sz="0" w:space="0" w:color="auto"/>
            <w:right w:val="none" w:sz="0" w:space="0" w:color="auto"/>
          </w:divBdr>
        </w:div>
        <w:div w:id="162165232">
          <w:marLeft w:val="640"/>
          <w:marRight w:val="0"/>
          <w:marTop w:val="0"/>
          <w:marBottom w:val="0"/>
          <w:divBdr>
            <w:top w:val="none" w:sz="0" w:space="0" w:color="auto"/>
            <w:left w:val="none" w:sz="0" w:space="0" w:color="auto"/>
            <w:bottom w:val="none" w:sz="0" w:space="0" w:color="auto"/>
            <w:right w:val="none" w:sz="0" w:space="0" w:color="auto"/>
          </w:divBdr>
        </w:div>
        <w:div w:id="387341653">
          <w:marLeft w:val="640"/>
          <w:marRight w:val="0"/>
          <w:marTop w:val="0"/>
          <w:marBottom w:val="0"/>
          <w:divBdr>
            <w:top w:val="none" w:sz="0" w:space="0" w:color="auto"/>
            <w:left w:val="none" w:sz="0" w:space="0" w:color="auto"/>
            <w:bottom w:val="none" w:sz="0" w:space="0" w:color="auto"/>
            <w:right w:val="none" w:sz="0" w:space="0" w:color="auto"/>
          </w:divBdr>
        </w:div>
        <w:div w:id="900364942">
          <w:marLeft w:val="640"/>
          <w:marRight w:val="0"/>
          <w:marTop w:val="0"/>
          <w:marBottom w:val="0"/>
          <w:divBdr>
            <w:top w:val="none" w:sz="0" w:space="0" w:color="auto"/>
            <w:left w:val="none" w:sz="0" w:space="0" w:color="auto"/>
            <w:bottom w:val="none" w:sz="0" w:space="0" w:color="auto"/>
            <w:right w:val="none" w:sz="0" w:space="0" w:color="auto"/>
          </w:divBdr>
        </w:div>
        <w:div w:id="292367961">
          <w:marLeft w:val="640"/>
          <w:marRight w:val="0"/>
          <w:marTop w:val="0"/>
          <w:marBottom w:val="0"/>
          <w:divBdr>
            <w:top w:val="none" w:sz="0" w:space="0" w:color="auto"/>
            <w:left w:val="none" w:sz="0" w:space="0" w:color="auto"/>
            <w:bottom w:val="none" w:sz="0" w:space="0" w:color="auto"/>
            <w:right w:val="none" w:sz="0" w:space="0" w:color="auto"/>
          </w:divBdr>
        </w:div>
        <w:div w:id="2066447062">
          <w:marLeft w:val="640"/>
          <w:marRight w:val="0"/>
          <w:marTop w:val="0"/>
          <w:marBottom w:val="0"/>
          <w:divBdr>
            <w:top w:val="none" w:sz="0" w:space="0" w:color="auto"/>
            <w:left w:val="none" w:sz="0" w:space="0" w:color="auto"/>
            <w:bottom w:val="none" w:sz="0" w:space="0" w:color="auto"/>
            <w:right w:val="none" w:sz="0" w:space="0" w:color="auto"/>
          </w:divBdr>
        </w:div>
        <w:div w:id="1801651368">
          <w:marLeft w:val="640"/>
          <w:marRight w:val="0"/>
          <w:marTop w:val="0"/>
          <w:marBottom w:val="0"/>
          <w:divBdr>
            <w:top w:val="none" w:sz="0" w:space="0" w:color="auto"/>
            <w:left w:val="none" w:sz="0" w:space="0" w:color="auto"/>
            <w:bottom w:val="none" w:sz="0" w:space="0" w:color="auto"/>
            <w:right w:val="none" w:sz="0" w:space="0" w:color="auto"/>
          </w:divBdr>
        </w:div>
        <w:div w:id="4863586">
          <w:marLeft w:val="640"/>
          <w:marRight w:val="0"/>
          <w:marTop w:val="0"/>
          <w:marBottom w:val="0"/>
          <w:divBdr>
            <w:top w:val="none" w:sz="0" w:space="0" w:color="auto"/>
            <w:left w:val="none" w:sz="0" w:space="0" w:color="auto"/>
            <w:bottom w:val="none" w:sz="0" w:space="0" w:color="auto"/>
            <w:right w:val="none" w:sz="0" w:space="0" w:color="auto"/>
          </w:divBdr>
        </w:div>
        <w:div w:id="2067873624">
          <w:marLeft w:val="640"/>
          <w:marRight w:val="0"/>
          <w:marTop w:val="0"/>
          <w:marBottom w:val="0"/>
          <w:divBdr>
            <w:top w:val="none" w:sz="0" w:space="0" w:color="auto"/>
            <w:left w:val="none" w:sz="0" w:space="0" w:color="auto"/>
            <w:bottom w:val="none" w:sz="0" w:space="0" w:color="auto"/>
            <w:right w:val="none" w:sz="0" w:space="0" w:color="auto"/>
          </w:divBdr>
        </w:div>
        <w:div w:id="1524051487">
          <w:marLeft w:val="640"/>
          <w:marRight w:val="0"/>
          <w:marTop w:val="0"/>
          <w:marBottom w:val="0"/>
          <w:divBdr>
            <w:top w:val="none" w:sz="0" w:space="0" w:color="auto"/>
            <w:left w:val="none" w:sz="0" w:space="0" w:color="auto"/>
            <w:bottom w:val="none" w:sz="0" w:space="0" w:color="auto"/>
            <w:right w:val="none" w:sz="0" w:space="0" w:color="auto"/>
          </w:divBdr>
        </w:div>
        <w:div w:id="222955257">
          <w:marLeft w:val="640"/>
          <w:marRight w:val="0"/>
          <w:marTop w:val="0"/>
          <w:marBottom w:val="0"/>
          <w:divBdr>
            <w:top w:val="none" w:sz="0" w:space="0" w:color="auto"/>
            <w:left w:val="none" w:sz="0" w:space="0" w:color="auto"/>
            <w:bottom w:val="none" w:sz="0" w:space="0" w:color="auto"/>
            <w:right w:val="none" w:sz="0" w:space="0" w:color="auto"/>
          </w:divBdr>
        </w:div>
        <w:div w:id="652830992">
          <w:marLeft w:val="640"/>
          <w:marRight w:val="0"/>
          <w:marTop w:val="0"/>
          <w:marBottom w:val="0"/>
          <w:divBdr>
            <w:top w:val="none" w:sz="0" w:space="0" w:color="auto"/>
            <w:left w:val="none" w:sz="0" w:space="0" w:color="auto"/>
            <w:bottom w:val="none" w:sz="0" w:space="0" w:color="auto"/>
            <w:right w:val="none" w:sz="0" w:space="0" w:color="auto"/>
          </w:divBdr>
        </w:div>
        <w:div w:id="599023967">
          <w:marLeft w:val="640"/>
          <w:marRight w:val="0"/>
          <w:marTop w:val="0"/>
          <w:marBottom w:val="0"/>
          <w:divBdr>
            <w:top w:val="none" w:sz="0" w:space="0" w:color="auto"/>
            <w:left w:val="none" w:sz="0" w:space="0" w:color="auto"/>
            <w:bottom w:val="none" w:sz="0" w:space="0" w:color="auto"/>
            <w:right w:val="none" w:sz="0" w:space="0" w:color="auto"/>
          </w:divBdr>
        </w:div>
        <w:div w:id="1187448052">
          <w:marLeft w:val="640"/>
          <w:marRight w:val="0"/>
          <w:marTop w:val="0"/>
          <w:marBottom w:val="0"/>
          <w:divBdr>
            <w:top w:val="none" w:sz="0" w:space="0" w:color="auto"/>
            <w:left w:val="none" w:sz="0" w:space="0" w:color="auto"/>
            <w:bottom w:val="none" w:sz="0" w:space="0" w:color="auto"/>
            <w:right w:val="none" w:sz="0" w:space="0" w:color="auto"/>
          </w:divBdr>
        </w:div>
        <w:div w:id="754473494">
          <w:marLeft w:val="640"/>
          <w:marRight w:val="0"/>
          <w:marTop w:val="0"/>
          <w:marBottom w:val="0"/>
          <w:divBdr>
            <w:top w:val="none" w:sz="0" w:space="0" w:color="auto"/>
            <w:left w:val="none" w:sz="0" w:space="0" w:color="auto"/>
            <w:bottom w:val="none" w:sz="0" w:space="0" w:color="auto"/>
            <w:right w:val="none" w:sz="0" w:space="0" w:color="auto"/>
          </w:divBdr>
        </w:div>
        <w:div w:id="954100083">
          <w:marLeft w:val="640"/>
          <w:marRight w:val="0"/>
          <w:marTop w:val="0"/>
          <w:marBottom w:val="0"/>
          <w:divBdr>
            <w:top w:val="none" w:sz="0" w:space="0" w:color="auto"/>
            <w:left w:val="none" w:sz="0" w:space="0" w:color="auto"/>
            <w:bottom w:val="none" w:sz="0" w:space="0" w:color="auto"/>
            <w:right w:val="none" w:sz="0" w:space="0" w:color="auto"/>
          </w:divBdr>
        </w:div>
        <w:div w:id="1408308635">
          <w:marLeft w:val="640"/>
          <w:marRight w:val="0"/>
          <w:marTop w:val="0"/>
          <w:marBottom w:val="0"/>
          <w:divBdr>
            <w:top w:val="none" w:sz="0" w:space="0" w:color="auto"/>
            <w:left w:val="none" w:sz="0" w:space="0" w:color="auto"/>
            <w:bottom w:val="none" w:sz="0" w:space="0" w:color="auto"/>
            <w:right w:val="none" w:sz="0" w:space="0" w:color="auto"/>
          </w:divBdr>
        </w:div>
        <w:div w:id="2123643578">
          <w:marLeft w:val="640"/>
          <w:marRight w:val="0"/>
          <w:marTop w:val="0"/>
          <w:marBottom w:val="0"/>
          <w:divBdr>
            <w:top w:val="none" w:sz="0" w:space="0" w:color="auto"/>
            <w:left w:val="none" w:sz="0" w:space="0" w:color="auto"/>
            <w:bottom w:val="none" w:sz="0" w:space="0" w:color="auto"/>
            <w:right w:val="none" w:sz="0" w:space="0" w:color="auto"/>
          </w:divBdr>
        </w:div>
        <w:div w:id="1844053570">
          <w:marLeft w:val="640"/>
          <w:marRight w:val="0"/>
          <w:marTop w:val="0"/>
          <w:marBottom w:val="0"/>
          <w:divBdr>
            <w:top w:val="none" w:sz="0" w:space="0" w:color="auto"/>
            <w:left w:val="none" w:sz="0" w:space="0" w:color="auto"/>
            <w:bottom w:val="none" w:sz="0" w:space="0" w:color="auto"/>
            <w:right w:val="none" w:sz="0" w:space="0" w:color="auto"/>
          </w:divBdr>
        </w:div>
        <w:div w:id="1103845041">
          <w:marLeft w:val="640"/>
          <w:marRight w:val="0"/>
          <w:marTop w:val="0"/>
          <w:marBottom w:val="0"/>
          <w:divBdr>
            <w:top w:val="none" w:sz="0" w:space="0" w:color="auto"/>
            <w:left w:val="none" w:sz="0" w:space="0" w:color="auto"/>
            <w:bottom w:val="none" w:sz="0" w:space="0" w:color="auto"/>
            <w:right w:val="none" w:sz="0" w:space="0" w:color="auto"/>
          </w:divBdr>
        </w:div>
        <w:div w:id="271516766">
          <w:marLeft w:val="640"/>
          <w:marRight w:val="0"/>
          <w:marTop w:val="0"/>
          <w:marBottom w:val="0"/>
          <w:divBdr>
            <w:top w:val="none" w:sz="0" w:space="0" w:color="auto"/>
            <w:left w:val="none" w:sz="0" w:space="0" w:color="auto"/>
            <w:bottom w:val="none" w:sz="0" w:space="0" w:color="auto"/>
            <w:right w:val="none" w:sz="0" w:space="0" w:color="auto"/>
          </w:divBdr>
        </w:div>
        <w:div w:id="873150643">
          <w:marLeft w:val="640"/>
          <w:marRight w:val="0"/>
          <w:marTop w:val="0"/>
          <w:marBottom w:val="0"/>
          <w:divBdr>
            <w:top w:val="none" w:sz="0" w:space="0" w:color="auto"/>
            <w:left w:val="none" w:sz="0" w:space="0" w:color="auto"/>
            <w:bottom w:val="none" w:sz="0" w:space="0" w:color="auto"/>
            <w:right w:val="none" w:sz="0" w:space="0" w:color="auto"/>
          </w:divBdr>
        </w:div>
        <w:div w:id="57217665">
          <w:marLeft w:val="640"/>
          <w:marRight w:val="0"/>
          <w:marTop w:val="0"/>
          <w:marBottom w:val="0"/>
          <w:divBdr>
            <w:top w:val="none" w:sz="0" w:space="0" w:color="auto"/>
            <w:left w:val="none" w:sz="0" w:space="0" w:color="auto"/>
            <w:bottom w:val="none" w:sz="0" w:space="0" w:color="auto"/>
            <w:right w:val="none" w:sz="0" w:space="0" w:color="auto"/>
          </w:divBdr>
        </w:div>
        <w:div w:id="477958326">
          <w:marLeft w:val="640"/>
          <w:marRight w:val="0"/>
          <w:marTop w:val="0"/>
          <w:marBottom w:val="0"/>
          <w:divBdr>
            <w:top w:val="none" w:sz="0" w:space="0" w:color="auto"/>
            <w:left w:val="none" w:sz="0" w:space="0" w:color="auto"/>
            <w:bottom w:val="none" w:sz="0" w:space="0" w:color="auto"/>
            <w:right w:val="none" w:sz="0" w:space="0" w:color="auto"/>
          </w:divBdr>
        </w:div>
        <w:div w:id="1621646452">
          <w:marLeft w:val="640"/>
          <w:marRight w:val="0"/>
          <w:marTop w:val="0"/>
          <w:marBottom w:val="0"/>
          <w:divBdr>
            <w:top w:val="none" w:sz="0" w:space="0" w:color="auto"/>
            <w:left w:val="none" w:sz="0" w:space="0" w:color="auto"/>
            <w:bottom w:val="none" w:sz="0" w:space="0" w:color="auto"/>
            <w:right w:val="none" w:sz="0" w:space="0" w:color="auto"/>
          </w:divBdr>
        </w:div>
        <w:div w:id="651372029">
          <w:marLeft w:val="640"/>
          <w:marRight w:val="0"/>
          <w:marTop w:val="0"/>
          <w:marBottom w:val="0"/>
          <w:divBdr>
            <w:top w:val="none" w:sz="0" w:space="0" w:color="auto"/>
            <w:left w:val="none" w:sz="0" w:space="0" w:color="auto"/>
            <w:bottom w:val="none" w:sz="0" w:space="0" w:color="auto"/>
            <w:right w:val="none" w:sz="0" w:space="0" w:color="auto"/>
          </w:divBdr>
        </w:div>
        <w:div w:id="72506799">
          <w:marLeft w:val="640"/>
          <w:marRight w:val="0"/>
          <w:marTop w:val="0"/>
          <w:marBottom w:val="0"/>
          <w:divBdr>
            <w:top w:val="none" w:sz="0" w:space="0" w:color="auto"/>
            <w:left w:val="none" w:sz="0" w:space="0" w:color="auto"/>
            <w:bottom w:val="none" w:sz="0" w:space="0" w:color="auto"/>
            <w:right w:val="none" w:sz="0" w:space="0" w:color="auto"/>
          </w:divBdr>
        </w:div>
        <w:div w:id="2024746426">
          <w:marLeft w:val="640"/>
          <w:marRight w:val="0"/>
          <w:marTop w:val="0"/>
          <w:marBottom w:val="0"/>
          <w:divBdr>
            <w:top w:val="none" w:sz="0" w:space="0" w:color="auto"/>
            <w:left w:val="none" w:sz="0" w:space="0" w:color="auto"/>
            <w:bottom w:val="none" w:sz="0" w:space="0" w:color="auto"/>
            <w:right w:val="none" w:sz="0" w:space="0" w:color="auto"/>
          </w:divBdr>
        </w:div>
        <w:div w:id="1227957314">
          <w:marLeft w:val="640"/>
          <w:marRight w:val="0"/>
          <w:marTop w:val="0"/>
          <w:marBottom w:val="0"/>
          <w:divBdr>
            <w:top w:val="none" w:sz="0" w:space="0" w:color="auto"/>
            <w:left w:val="none" w:sz="0" w:space="0" w:color="auto"/>
            <w:bottom w:val="none" w:sz="0" w:space="0" w:color="auto"/>
            <w:right w:val="none" w:sz="0" w:space="0" w:color="auto"/>
          </w:divBdr>
        </w:div>
        <w:div w:id="1238783619">
          <w:marLeft w:val="640"/>
          <w:marRight w:val="0"/>
          <w:marTop w:val="0"/>
          <w:marBottom w:val="0"/>
          <w:divBdr>
            <w:top w:val="none" w:sz="0" w:space="0" w:color="auto"/>
            <w:left w:val="none" w:sz="0" w:space="0" w:color="auto"/>
            <w:bottom w:val="none" w:sz="0" w:space="0" w:color="auto"/>
            <w:right w:val="none" w:sz="0" w:space="0" w:color="auto"/>
          </w:divBdr>
        </w:div>
        <w:div w:id="1644038032">
          <w:marLeft w:val="640"/>
          <w:marRight w:val="0"/>
          <w:marTop w:val="0"/>
          <w:marBottom w:val="0"/>
          <w:divBdr>
            <w:top w:val="none" w:sz="0" w:space="0" w:color="auto"/>
            <w:left w:val="none" w:sz="0" w:space="0" w:color="auto"/>
            <w:bottom w:val="none" w:sz="0" w:space="0" w:color="auto"/>
            <w:right w:val="none" w:sz="0" w:space="0" w:color="auto"/>
          </w:divBdr>
        </w:div>
        <w:div w:id="962661885">
          <w:marLeft w:val="640"/>
          <w:marRight w:val="0"/>
          <w:marTop w:val="0"/>
          <w:marBottom w:val="0"/>
          <w:divBdr>
            <w:top w:val="none" w:sz="0" w:space="0" w:color="auto"/>
            <w:left w:val="none" w:sz="0" w:space="0" w:color="auto"/>
            <w:bottom w:val="none" w:sz="0" w:space="0" w:color="auto"/>
            <w:right w:val="none" w:sz="0" w:space="0" w:color="auto"/>
          </w:divBdr>
        </w:div>
        <w:div w:id="1641881776">
          <w:marLeft w:val="640"/>
          <w:marRight w:val="0"/>
          <w:marTop w:val="0"/>
          <w:marBottom w:val="0"/>
          <w:divBdr>
            <w:top w:val="none" w:sz="0" w:space="0" w:color="auto"/>
            <w:left w:val="none" w:sz="0" w:space="0" w:color="auto"/>
            <w:bottom w:val="none" w:sz="0" w:space="0" w:color="auto"/>
            <w:right w:val="none" w:sz="0" w:space="0" w:color="auto"/>
          </w:divBdr>
        </w:div>
        <w:div w:id="1595284960">
          <w:marLeft w:val="640"/>
          <w:marRight w:val="0"/>
          <w:marTop w:val="0"/>
          <w:marBottom w:val="0"/>
          <w:divBdr>
            <w:top w:val="none" w:sz="0" w:space="0" w:color="auto"/>
            <w:left w:val="none" w:sz="0" w:space="0" w:color="auto"/>
            <w:bottom w:val="none" w:sz="0" w:space="0" w:color="auto"/>
            <w:right w:val="none" w:sz="0" w:space="0" w:color="auto"/>
          </w:divBdr>
        </w:div>
        <w:div w:id="1127506612">
          <w:marLeft w:val="640"/>
          <w:marRight w:val="0"/>
          <w:marTop w:val="0"/>
          <w:marBottom w:val="0"/>
          <w:divBdr>
            <w:top w:val="none" w:sz="0" w:space="0" w:color="auto"/>
            <w:left w:val="none" w:sz="0" w:space="0" w:color="auto"/>
            <w:bottom w:val="none" w:sz="0" w:space="0" w:color="auto"/>
            <w:right w:val="none" w:sz="0" w:space="0" w:color="auto"/>
          </w:divBdr>
        </w:div>
        <w:div w:id="1377508799">
          <w:marLeft w:val="640"/>
          <w:marRight w:val="0"/>
          <w:marTop w:val="0"/>
          <w:marBottom w:val="0"/>
          <w:divBdr>
            <w:top w:val="none" w:sz="0" w:space="0" w:color="auto"/>
            <w:left w:val="none" w:sz="0" w:space="0" w:color="auto"/>
            <w:bottom w:val="none" w:sz="0" w:space="0" w:color="auto"/>
            <w:right w:val="none" w:sz="0" w:space="0" w:color="auto"/>
          </w:divBdr>
        </w:div>
        <w:div w:id="296573502">
          <w:marLeft w:val="640"/>
          <w:marRight w:val="0"/>
          <w:marTop w:val="0"/>
          <w:marBottom w:val="0"/>
          <w:divBdr>
            <w:top w:val="none" w:sz="0" w:space="0" w:color="auto"/>
            <w:left w:val="none" w:sz="0" w:space="0" w:color="auto"/>
            <w:bottom w:val="none" w:sz="0" w:space="0" w:color="auto"/>
            <w:right w:val="none" w:sz="0" w:space="0" w:color="auto"/>
          </w:divBdr>
        </w:div>
        <w:div w:id="1504130741">
          <w:marLeft w:val="640"/>
          <w:marRight w:val="0"/>
          <w:marTop w:val="0"/>
          <w:marBottom w:val="0"/>
          <w:divBdr>
            <w:top w:val="none" w:sz="0" w:space="0" w:color="auto"/>
            <w:left w:val="none" w:sz="0" w:space="0" w:color="auto"/>
            <w:bottom w:val="none" w:sz="0" w:space="0" w:color="auto"/>
            <w:right w:val="none" w:sz="0" w:space="0" w:color="auto"/>
          </w:divBdr>
        </w:div>
        <w:div w:id="1714772558">
          <w:marLeft w:val="640"/>
          <w:marRight w:val="0"/>
          <w:marTop w:val="0"/>
          <w:marBottom w:val="0"/>
          <w:divBdr>
            <w:top w:val="none" w:sz="0" w:space="0" w:color="auto"/>
            <w:left w:val="none" w:sz="0" w:space="0" w:color="auto"/>
            <w:bottom w:val="none" w:sz="0" w:space="0" w:color="auto"/>
            <w:right w:val="none" w:sz="0" w:space="0" w:color="auto"/>
          </w:divBdr>
        </w:div>
        <w:div w:id="357436261">
          <w:marLeft w:val="640"/>
          <w:marRight w:val="0"/>
          <w:marTop w:val="0"/>
          <w:marBottom w:val="0"/>
          <w:divBdr>
            <w:top w:val="none" w:sz="0" w:space="0" w:color="auto"/>
            <w:left w:val="none" w:sz="0" w:space="0" w:color="auto"/>
            <w:bottom w:val="none" w:sz="0" w:space="0" w:color="auto"/>
            <w:right w:val="none" w:sz="0" w:space="0" w:color="auto"/>
          </w:divBdr>
        </w:div>
        <w:div w:id="1097288636">
          <w:marLeft w:val="640"/>
          <w:marRight w:val="0"/>
          <w:marTop w:val="0"/>
          <w:marBottom w:val="0"/>
          <w:divBdr>
            <w:top w:val="none" w:sz="0" w:space="0" w:color="auto"/>
            <w:left w:val="none" w:sz="0" w:space="0" w:color="auto"/>
            <w:bottom w:val="none" w:sz="0" w:space="0" w:color="auto"/>
            <w:right w:val="none" w:sz="0" w:space="0" w:color="auto"/>
          </w:divBdr>
        </w:div>
        <w:div w:id="2072147340">
          <w:marLeft w:val="640"/>
          <w:marRight w:val="0"/>
          <w:marTop w:val="0"/>
          <w:marBottom w:val="0"/>
          <w:divBdr>
            <w:top w:val="none" w:sz="0" w:space="0" w:color="auto"/>
            <w:left w:val="none" w:sz="0" w:space="0" w:color="auto"/>
            <w:bottom w:val="none" w:sz="0" w:space="0" w:color="auto"/>
            <w:right w:val="none" w:sz="0" w:space="0" w:color="auto"/>
          </w:divBdr>
        </w:div>
        <w:div w:id="993021243">
          <w:marLeft w:val="640"/>
          <w:marRight w:val="0"/>
          <w:marTop w:val="0"/>
          <w:marBottom w:val="0"/>
          <w:divBdr>
            <w:top w:val="none" w:sz="0" w:space="0" w:color="auto"/>
            <w:left w:val="none" w:sz="0" w:space="0" w:color="auto"/>
            <w:bottom w:val="none" w:sz="0" w:space="0" w:color="auto"/>
            <w:right w:val="none" w:sz="0" w:space="0" w:color="auto"/>
          </w:divBdr>
        </w:div>
        <w:div w:id="1050374585">
          <w:marLeft w:val="640"/>
          <w:marRight w:val="0"/>
          <w:marTop w:val="0"/>
          <w:marBottom w:val="0"/>
          <w:divBdr>
            <w:top w:val="none" w:sz="0" w:space="0" w:color="auto"/>
            <w:left w:val="none" w:sz="0" w:space="0" w:color="auto"/>
            <w:bottom w:val="none" w:sz="0" w:space="0" w:color="auto"/>
            <w:right w:val="none" w:sz="0" w:space="0" w:color="auto"/>
          </w:divBdr>
        </w:div>
        <w:div w:id="1033194275">
          <w:marLeft w:val="640"/>
          <w:marRight w:val="0"/>
          <w:marTop w:val="0"/>
          <w:marBottom w:val="0"/>
          <w:divBdr>
            <w:top w:val="none" w:sz="0" w:space="0" w:color="auto"/>
            <w:left w:val="none" w:sz="0" w:space="0" w:color="auto"/>
            <w:bottom w:val="none" w:sz="0" w:space="0" w:color="auto"/>
            <w:right w:val="none" w:sz="0" w:space="0" w:color="auto"/>
          </w:divBdr>
        </w:div>
        <w:div w:id="1304388592">
          <w:marLeft w:val="640"/>
          <w:marRight w:val="0"/>
          <w:marTop w:val="0"/>
          <w:marBottom w:val="0"/>
          <w:divBdr>
            <w:top w:val="none" w:sz="0" w:space="0" w:color="auto"/>
            <w:left w:val="none" w:sz="0" w:space="0" w:color="auto"/>
            <w:bottom w:val="none" w:sz="0" w:space="0" w:color="auto"/>
            <w:right w:val="none" w:sz="0" w:space="0" w:color="auto"/>
          </w:divBdr>
        </w:div>
        <w:div w:id="1997487091">
          <w:marLeft w:val="640"/>
          <w:marRight w:val="0"/>
          <w:marTop w:val="0"/>
          <w:marBottom w:val="0"/>
          <w:divBdr>
            <w:top w:val="none" w:sz="0" w:space="0" w:color="auto"/>
            <w:left w:val="none" w:sz="0" w:space="0" w:color="auto"/>
            <w:bottom w:val="none" w:sz="0" w:space="0" w:color="auto"/>
            <w:right w:val="none" w:sz="0" w:space="0" w:color="auto"/>
          </w:divBdr>
        </w:div>
        <w:div w:id="326903695">
          <w:marLeft w:val="640"/>
          <w:marRight w:val="0"/>
          <w:marTop w:val="0"/>
          <w:marBottom w:val="0"/>
          <w:divBdr>
            <w:top w:val="none" w:sz="0" w:space="0" w:color="auto"/>
            <w:left w:val="none" w:sz="0" w:space="0" w:color="auto"/>
            <w:bottom w:val="none" w:sz="0" w:space="0" w:color="auto"/>
            <w:right w:val="none" w:sz="0" w:space="0" w:color="auto"/>
          </w:divBdr>
        </w:div>
        <w:div w:id="1518076377">
          <w:marLeft w:val="640"/>
          <w:marRight w:val="0"/>
          <w:marTop w:val="0"/>
          <w:marBottom w:val="0"/>
          <w:divBdr>
            <w:top w:val="none" w:sz="0" w:space="0" w:color="auto"/>
            <w:left w:val="none" w:sz="0" w:space="0" w:color="auto"/>
            <w:bottom w:val="none" w:sz="0" w:space="0" w:color="auto"/>
            <w:right w:val="none" w:sz="0" w:space="0" w:color="auto"/>
          </w:divBdr>
        </w:div>
        <w:div w:id="1942564903">
          <w:marLeft w:val="640"/>
          <w:marRight w:val="0"/>
          <w:marTop w:val="0"/>
          <w:marBottom w:val="0"/>
          <w:divBdr>
            <w:top w:val="none" w:sz="0" w:space="0" w:color="auto"/>
            <w:left w:val="none" w:sz="0" w:space="0" w:color="auto"/>
            <w:bottom w:val="none" w:sz="0" w:space="0" w:color="auto"/>
            <w:right w:val="none" w:sz="0" w:space="0" w:color="auto"/>
          </w:divBdr>
        </w:div>
        <w:div w:id="482628617">
          <w:marLeft w:val="640"/>
          <w:marRight w:val="0"/>
          <w:marTop w:val="0"/>
          <w:marBottom w:val="0"/>
          <w:divBdr>
            <w:top w:val="none" w:sz="0" w:space="0" w:color="auto"/>
            <w:left w:val="none" w:sz="0" w:space="0" w:color="auto"/>
            <w:bottom w:val="none" w:sz="0" w:space="0" w:color="auto"/>
            <w:right w:val="none" w:sz="0" w:space="0" w:color="auto"/>
          </w:divBdr>
        </w:div>
        <w:div w:id="132677287">
          <w:marLeft w:val="640"/>
          <w:marRight w:val="0"/>
          <w:marTop w:val="0"/>
          <w:marBottom w:val="0"/>
          <w:divBdr>
            <w:top w:val="none" w:sz="0" w:space="0" w:color="auto"/>
            <w:left w:val="none" w:sz="0" w:space="0" w:color="auto"/>
            <w:bottom w:val="none" w:sz="0" w:space="0" w:color="auto"/>
            <w:right w:val="none" w:sz="0" w:space="0" w:color="auto"/>
          </w:divBdr>
        </w:div>
        <w:div w:id="1645234275">
          <w:marLeft w:val="640"/>
          <w:marRight w:val="0"/>
          <w:marTop w:val="0"/>
          <w:marBottom w:val="0"/>
          <w:divBdr>
            <w:top w:val="none" w:sz="0" w:space="0" w:color="auto"/>
            <w:left w:val="none" w:sz="0" w:space="0" w:color="auto"/>
            <w:bottom w:val="none" w:sz="0" w:space="0" w:color="auto"/>
            <w:right w:val="none" w:sz="0" w:space="0" w:color="auto"/>
          </w:divBdr>
        </w:div>
        <w:div w:id="760761218">
          <w:marLeft w:val="640"/>
          <w:marRight w:val="0"/>
          <w:marTop w:val="0"/>
          <w:marBottom w:val="0"/>
          <w:divBdr>
            <w:top w:val="none" w:sz="0" w:space="0" w:color="auto"/>
            <w:left w:val="none" w:sz="0" w:space="0" w:color="auto"/>
            <w:bottom w:val="none" w:sz="0" w:space="0" w:color="auto"/>
            <w:right w:val="none" w:sz="0" w:space="0" w:color="auto"/>
          </w:divBdr>
        </w:div>
        <w:div w:id="1193766863">
          <w:marLeft w:val="640"/>
          <w:marRight w:val="0"/>
          <w:marTop w:val="0"/>
          <w:marBottom w:val="0"/>
          <w:divBdr>
            <w:top w:val="none" w:sz="0" w:space="0" w:color="auto"/>
            <w:left w:val="none" w:sz="0" w:space="0" w:color="auto"/>
            <w:bottom w:val="none" w:sz="0" w:space="0" w:color="auto"/>
            <w:right w:val="none" w:sz="0" w:space="0" w:color="auto"/>
          </w:divBdr>
        </w:div>
        <w:div w:id="374231241">
          <w:marLeft w:val="640"/>
          <w:marRight w:val="0"/>
          <w:marTop w:val="0"/>
          <w:marBottom w:val="0"/>
          <w:divBdr>
            <w:top w:val="none" w:sz="0" w:space="0" w:color="auto"/>
            <w:left w:val="none" w:sz="0" w:space="0" w:color="auto"/>
            <w:bottom w:val="none" w:sz="0" w:space="0" w:color="auto"/>
            <w:right w:val="none" w:sz="0" w:space="0" w:color="auto"/>
          </w:divBdr>
        </w:div>
        <w:div w:id="837842699">
          <w:marLeft w:val="640"/>
          <w:marRight w:val="0"/>
          <w:marTop w:val="0"/>
          <w:marBottom w:val="0"/>
          <w:divBdr>
            <w:top w:val="none" w:sz="0" w:space="0" w:color="auto"/>
            <w:left w:val="none" w:sz="0" w:space="0" w:color="auto"/>
            <w:bottom w:val="none" w:sz="0" w:space="0" w:color="auto"/>
            <w:right w:val="none" w:sz="0" w:space="0" w:color="auto"/>
          </w:divBdr>
        </w:div>
        <w:div w:id="267392902">
          <w:marLeft w:val="640"/>
          <w:marRight w:val="0"/>
          <w:marTop w:val="0"/>
          <w:marBottom w:val="0"/>
          <w:divBdr>
            <w:top w:val="none" w:sz="0" w:space="0" w:color="auto"/>
            <w:left w:val="none" w:sz="0" w:space="0" w:color="auto"/>
            <w:bottom w:val="none" w:sz="0" w:space="0" w:color="auto"/>
            <w:right w:val="none" w:sz="0" w:space="0" w:color="auto"/>
          </w:divBdr>
        </w:div>
        <w:div w:id="1097482603">
          <w:marLeft w:val="640"/>
          <w:marRight w:val="0"/>
          <w:marTop w:val="0"/>
          <w:marBottom w:val="0"/>
          <w:divBdr>
            <w:top w:val="none" w:sz="0" w:space="0" w:color="auto"/>
            <w:left w:val="none" w:sz="0" w:space="0" w:color="auto"/>
            <w:bottom w:val="none" w:sz="0" w:space="0" w:color="auto"/>
            <w:right w:val="none" w:sz="0" w:space="0" w:color="auto"/>
          </w:divBdr>
        </w:div>
        <w:div w:id="54285473">
          <w:marLeft w:val="640"/>
          <w:marRight w:val="0"/>
          <w:marTop w:val="0"/>
          <w:marBottom w:val="0"/>
          <w:divBdr>
            <w:top w:val="none" w:sz="0" w:space="0" w:color="auto"/>
            <w:left w:val="none" w:sz="0" w:space="0" w:color="auto"/>
            <w:bottom w:val="none" w:sz="0" w:space="0" w:color="auto"/>
            <w:right w:val="none" w:sz="0" w:space="0" w:color="auto"/>
          </w:divBdr>
        </w:div>
        <w:div w:id="879783877">
          <w:marLeft w:val="640"/>
          <w:marRight w:val="0"/>
          <w:marTop w:val="0"/>
          <w:marBottom w:val="0"/>
          <w:divBdr>
            <w:top w:val="none" w:sz="0" w:space="0" w:color="auto"/>
            <w:left w:val="none" w:sz="0" w:space="0" w:color="auto"/>
            <w:bottom w:val="none" w:sz="0" w:space="0" w:color="auto"/>
            <w:right w:val="none" w:sz="0" w:space="0" w:color="auto"/>
          </w:divBdr>
        </w:div>
        <w:div w:id="1804421827">
          <w:marLeft w:val="640"/>
          <w:marRight w:val="0"/>
          <w:marTop w:val="0"/>
          <w:marBottom w:val="0"/>
          <w:divBdr>
            <w:top w:val="none" w:sz="0" w:space="0" w:color="auto"/>
            <w:left w:val="none" w:sz="0" w:space="0" w:color="auto"/>
            <w:bottom w:val="none" w:sz="0" w:space="0" w:color="auto"/>
            <w:right w:val="none" w:sz="0" w:space="0" w:color="auto"/>
          </w:divBdr>
        </w:div>
        <w:div w:id="272784230">
          <w:marLeft w:val="640"/>
          <w:marRight w:val="0"/>
          <w:marTop w:val="0"/>
          <w:marBottom w:val="0"/>
          <w:divBdr>
            <w:top w:val="none" w:sz="0" w:space="0" w:color="auto"/>
            <w:left w:val="none" w:sz="0" w:space="0" w:color="auto"/>
            <w:bottom w:val="none" w:sz="0" w:space="0" w:color="auto"/>
            <w:right w:val="none" w:sz="0" w:space="0" w:color="auto"/>
          </w:divBdr>
        </w:div>
        <w:div w:id="2032756987">
          <w:marLeft w:val="640"/>
          <w:marRight w:val="0"/>
          <w:marTop w:val="0"/>
          <w:marBottom w:val="0"/>
          <w:divBdr>
            <w:top w:val="none" w:sz="0" w:space="0" w:color="auto"/>
            <w:left w:val="none" w:sz="0" w:space="0" w:color="auto"/>
            <w:bottom w:val="none" w:sz="0" w:space="0" w:color="auto"/>
            <w:right w:val="none" w:sz="0" w:space="0" w:color="auto"/>
          </w:divBdr>
        </w:div>
        <w:div w:id="129171669">
          <w:marLeft w:val="640"/>
          <w:marRight w:val="0"/>
          <w:marTop w:val="0"/>
          <w:marBottom w:val="0"/>
          <w:divBdr>
            <w:top w:val="none" w:sz="0" w:space="0" w:color="auto"/>
            <w:left w:val="none" w:sz="0" w:space="0" w:color="auto"/>
            <w:bottom w:val="none" w:sz="0" w:space="0" w:color="auto"/>
            <w:right w:val="none" w:sz="0" w:space="0" w:color="auto"/>
          </w:divBdr>
        </w:div>
        <w:div w:id="850294346">
          <w:marLeft w:val="640"/>
          <w:marRight w:val="0"/>
          <w:marTop w:val="0"/>
          <w:marBottom w:val="0"/>
          <w:divBdr>
            <w:top w:val="none" w:sz="0" w:space="0" w:color="auto"/>
            <w:left w:val="none" w:sz="0" w:space="0" w:color="auto"/>
            <w:bottom w:val="none" w:sz="0" w:space="0" w:color="auto"/>
            <w:right w:val="none" w:sz="0" w:space="0" w:color="auto"/>
          </w:divBdr>
        </w:div>
        <w:div w:id="511532265">
          <w:marLeft w:val="640"/>
          <w:marRight w:val="0"/>
          <w:marTop w:val="0"/>
          <w:marBottom w:val="0"/>
          <w:divBdr>
            <w:top w:val="none" w:sz="0" w:space="0" w:color="auto"/>
            <w:left w:val="none" w:sz="0" w:space="0" w:color="auto"/>
            <w:bottom w:val="none" w:sz="0" w:space="0" w:color="auto"/>
            <w:right w:val="none" w:sz="0" w:space="0" w:color="auto"/>
          </w:divBdr>
        </w:div>
        <w:div w:id="138696677">
          <w:marLeft w:val="640"/>
          <w:marRight w:val="0"/>
          <w:marTop w:val="0"/>
          <w:marBottom w:val="0"/>
          <w:divBdr>
            <w:top w:val="none" w:sz="0" w:space="0" w:color="auto"/>
            <w:left w:val="none" w:sz="0" w:space="0" w:color="auto"/>
            <w:bottom w:val="none" w:sz="0" w:space="0" w:color="auto"/>
            <w:right w:val="none" w:sz="0" w:space="0" w:color="auto"/>
          </w:divBdr>
        </w:div>
        <w:div w:id="1239823499">
          <w:marLeft w:val="640"/>
          <w:marRight w:val="0"/>
          <w:marTop w:val="0"/>
          <w:marBottom w:val="0"/>
          <w:divBdr>
            <w:top w:val="none" w:sz="0" w:space="0" w:color="auto"/>
            <w:left w:val="none" w:sz="0" w:space="0" w:color="auto"/>
            <w:bottom w:val="none" w:sz="0" w:space="0" w:color="auto"/>
            <w:right w:val="none" w:sz="0" w:space="0" w:color="auto"/>
          </w:divBdr>
        </w:div>
        <w:div w:id="1881046097">
          <w:marLeft w:val="640"/>
          <w:marRight w:val="0"/>
          <w:marTop w:val="0"/>
          <w:marBottom w:val="0"/>
          <w:divBdr>
            <w:top w:val="none" w:sz="0" w:space="0" w:color="auto"/>
            <w:left w:val="none" w:sz="0" w:space="0" w:color="auto"/>
            <w:bottom w:val="none" w:sz="0" w:space="0" w:color="auto"/>
            <w:right w:val="none" w:sz="0" w:space="0" w:color="auto"/>
          </w:divBdr>
        </w:div>
        <w:div w:id="1931500831">
          <w:marLeft w:val="640"/>
          <w:marRight w:val="0"/>
          <w:marTop w:val="0"/>
          <w:marBottom w:val="0"/>
          <w:divBdr>
            <w:top w:val="none" w:sz="0" w:space="0" w:color="auto"/>
            <w:left w:val="none" w:sz="0" w:space="0" w:color="auto"/>
            <w:bottom w:val="none" w:sz="0" w:space="0" w:color="auto"/>
            <w:right w:val="none" w:sz="0" w:space="0" w:color="auto"/>
          </w:divBdr>
        </w:div>
        <w:div w:id="136069423">
          <w:marLeft w:val="640"/>
          <w:marRight w:val="0"/>
          <w:marTop w:val="0"/>
          <w:marBottom w:val="0"/>
          <w:divBdr>
            <w:top w:val="none" w:sz="0" w:space="0" w:color="auto"/>
            <w:left w:val="none" w:sz="0" w:space="0" w:color="auto"/>
            <w:bottom w:val="none" w:sz="0" w:space="0" w:color="auto"/>
            <w:right w:val="none" w:sz="0" w:space="0" w:color="auto"/>
          </w:divBdr>
        </w:div>
        <w:div w:id="1070738332">
          <w:marLeft w:val="640"/>
          <w:marRight w:val="0"/>
          <w:marTop w:val="0"/>
          <w:marBottom w:val="0"/>
          <w:divBdr>
            <w:top w:val="none" w:sz="0" w:space="0" w:color="auto"/>
            <w:left w:val="none" w:sz="0" w:space="0" w:color="auto"/>
            <w:bottom w:val="none" w:sz="0" w:space="0" w:color="auto"/>
            <w:right w:val="none" w:sz="0" w:space="0" w:color="auto"/>
          </w:divBdr>
        </w:div>
        <w:div w:id="1508790641">
          <w:marLeft w:val="640"/>
          <w:marRight w:val="0"/>
          <w:marTop w:val="0"/>
          <w:marBottom w:val="0"/>
          <w:divBdr>
            <w:top w:val="none" w:sz="0" w:space="0" w:color="auto"/>
            <w:left w:val="none" w:sz="0" w:space="0" w:color="auto"/>
            <w:bottom w:val="none" w:sz="0" w:space="0" w:color="auto"/>
            <w:right w:val="none" w:sz="0" w:space="0" w:color="auto"/>
          </w:divBdr>
        </w:div>
        <w:div w:id="31854974">
          <w:marLeft w:val="640"/>
          <w:marRight w:val="0"/>
          <w:marTop w:val="0"/>
          <w:marBottom w:val="0"/>
          <w:divBdr>
            <w:top w:val="none" w:sz="0" w:space="0" w:color="auto"/>
            <w:left w:val="none" w:sz="0" w:space="0" w:color="auto"/>
            <w:bottom w:val="none" w:sz="0" w:space="0" w:color="auto"/>
            <w:right w:val="none" w:sz="0" w:space="0" w:color="auto"/>
          </w:divBdr>
        </w:div>
        <w:div w:id="937981152">
          <w:marLeft w:val="640"/>
          <w:marRight w:val="0"/>
          <w:marTop w:val="0"/>
          <w:marBottom w:val="0"/>
          <w:divBdr>
            <w:top w:val="none" w:sz="0" w:space="0" w:color="auto"/>
            <w:left w:val="none" w:sz="0" w:space="0" w:color="auto"/>
            <w:bottom w:val="none" w:sz="0" w:space="0" w:color="auto"/>
            <w:right w:val="none" w:sz="0" w:space="0" w:color="auto"/>
          </w:divBdr>
        </w:div>
        <w:div w:id="743378599">
          <w:marLeft w:val="640"/>
          <w:marRight w:val="0"/>
          <w:marTop w:val="0"/>
          <w:marBottom w:val="0"/>
          <w:divBdr>
            <w:top w:val="none" w:sz="0" w:space="0" w:color="auto"/>
            <w:left w:val="none" w:sz="0" w:space="0" w:color="auto"/>
            <w:bottom w:val="none" w:sz="0" w:space="0" w:color="auto"/>
            <w:right w:val="none" w:sz="0" w:space="0" w:color="auto"/>
          </w:divBdr>
        </w:div>
        <w:div w:id="534345771">
          <w:marLeft w:val="640"/>
          <w:marRight w:val="0"/>
          <w:marTop w:val="0"/>
          <w:marBottom w:val="0"/>
          <w:divBdr>
            <w:top w:val="none" w:sz="0" w:space="0" w:color="auto"/>
            <w:left w:val="none" w:sz="0" w:space="0" w:color="auto"/>
            <w:bottom w:val="none" w:sz="0" w:space="0" w:color="auto"/>
            <w:right w:val="none" w:sz="0" w:space="0" w:color="auto"/>
          </w:divBdr>
        </w:div>
        <w:div w:id="1517765226">
          <w:marLeft w:val="640"/>
          <w:marRight w:val="0"/>
          <w:marTop w:val="0"/>
          <w:marBottom w:val="0"/>
          <w:divBdr>
            <w:top w:val="none" w:sz="0" w:space="0" w:color="auto"/>
            <w:left w:val="none" w:sz="0" w:space="0" w:color="auto"/>
            <w:bottom w:val="none" w:sz="0" w:space="0" w:color="auto"/>
            <w:right w:val="none" w:sz="0" w:space="0" w:color="auto"/>
          </w:divBdr>
        </w:div>
        <w:div w:id="1831023907">
          <w:marLeft w:val="640"/>
          <w:marRight w:val="0"/>
          <w:marTop w:val="0"/>
          <w:marBottom w:val="0"/>
          <w:divBdr>
            <w:top w:val="none" w:sz="0" w:space="0" w:color="auto"/>
            <w:left w:val="none" w:sz="0" w:space="0" w:color="auto"/>
            <w:bottom w:val="none" w:sz="0" w:space="0" w:color="auto"/>
            <w:right w:val="none" w:sz="0" w:space="0" w:color="auto"/>
          </w:divBdr>
        </w:div>
        <w:div w:id="1089154991">
          <w:marLeft w:val="640"/>
          <w:marRight w:val="0"/>
          <w:marTop w:val="0"/>
          <w:marBottom w:val="0"/>
          <w:divBdr>
            <w:top w:val="none" w:sz="0" w:space="0" w:color="auto"/>
            <w:left w:val="none" w:sz="0" w:space="0" w:color="auto"/>
            <w:bottom w:val="none" w:sz="0" w:space="0" w:color="auto"/>
            <w:right w:val="none" w:sz="0" w:space="0" w:color="auto"/>
          </w:divBdr>
        </w:div>
        <w:div w:id="1525631795">
          <w:marLeft w:val="640"/>
          <w:marRight w:val="0"/>
          <w:marTop w:val="0"/>
          <w:marBottom w:val="0"/>
          <w:divBdr>
            <w:top w:val="none" w:sz="0" w:space="0" w:color="auto"/>
            <w:left w:val="none" w:sz="0" w:space="0" w:color="auto"/>
            <w:bottom w:val="none" w:sz="0" w:space="0" w:color="auto"/>
            <w:right w:val="none" w:sz="0" w:space="0" w:color="auto"/>
          </w:divBdr>
        </w:div>
        <w:div w:id="1753962990">
          <w:marLeft w:val="640"/>
          <w:marRight w:val="0"/>
          <w:marTop w:val="0"/>
          <w:marBottom w:val="0"/>
          <w:divBdr>
            <w:top w:val="none" w:sz="0" w:space="0" w:color="auto"/>
            <w:left w:val="none" w:sz="0" w:space="0" w:color="auto"/>
            <w:bottom w:val="none" w:sz="0" w:space="0" w:color="auto"/>
            <w:right w:val="none" w:sz="0" w:space="0" w:color="auto"/>
          </w:divBdr>
        </w:div>
        <w:div w:id="569463445">
          <w:marLeft w:val="640"/>
          <w:marRight w:val="0"/>
          <w:marTop w:val="0"/>
          <w:marBottom w:val="0"/>
          <w:divBdr>
            <w:top w:val="none" w:sz="0" w:space="0" w:color="auto"/>
            <w:left w:val="none" w:sz="0" w:space="0" w:color="auto"/>
            <w:bottom w:val="none" w:sz="0" w:space="0" w:color="auto"/>
            <w:right w:val="none" w:sz="0" w:space="0" w:color="auto"/>
          </w:divBdr>
        </w:div>
        <w:div w:id="39791644">
          <w:marLeft w:val="640"/>
          <w:marRight w:val="0"/>
          <w:marTop w:val="0"/>
          <w:marBottom w:val="0"/>
          <w:divBdr>
            <w:top w:val="none" w:sz="0" w:space="0" w:color="auto"/>
            <w:left w:val="none" w:sz="0" w:space="0" w:color="auto"/>
            <w:bottom w:val="none" w:sz="0" w:space="0" w:color="auto"/>
            <w:right w:val="none" w:sz="0" w:space="0" w:color="auto"/>
          </w:divBdr>
        </w:div>
        <w:div w:id="293757565">
          <w:marLeft w:val="640"/>
          <w:marRight w:val="0"/>
          <w:marTop w:val="0"/>
          <w:marBottom w:val="0"/>
          <w:divBdr>
            <w:top w:val="none" w:sz="0" w:space="0" w:color="auto"/>
            <w:left w:val="none" w:sz="0" w:space="0" w:color="auto"/>
            <w:bottom w:val="none" w:sz="0" w:space="0" w:color="auto"/>
            <w:right w:val="none" w:sz="0" w:space="0" w:color="auto"/>
          </w:divBdr>
        </w:div>
        <w:div w:id="204679259">
          <w:marLeft w:val="640"/>
          <w:marRight w:val="0"/>
          <w:marTop w:val="0"/>
          <w:marBottom w:val="0"/>
          <w:divBdr>
            <w:top w:val="none" w:sz="0" w:space="0" w:color="auto"/>
            <w:left w:val="none" w:sz="0" w:space="0" w:color="auto"/>
            <w:bottom w:val="none" w:sz="0" w:space="0" w:color="auto"/>
            <w:right w:val="none" w:sz="0" w:space="0" w:color="auto"/>
          </w:divBdr>
        </w:div>
        <w:div w:id="275410808">
          <w:marLeft w:val="640"/>
          <w:marRight w:val="0"/>
          <w:marTop w:val="0"/>
          <w:marBottom w:val="0"/>
          <w:divBdr>
            <w:top w:val="none" w:sz="0" w:space="0" w:color="auto"/>
            <w:left w:val="none" w:sz="0" w:space="0" w:color="auto"/>
            <w:bottom w:val="none" w:sz="0" w:space="0" w:color="auto"/>
            <w:right w:val="none" w:sz="0" w:space="0" w:color="auto"/>
          </w:divBdr>
        </w:div>
        <w:div w:id="829254460">
          <w:marLeft w:val="640"/>
          <w:marRight w:val="0"/>
          <w:marTop w:val="0"/>
          <w:marBottom w:val="0"/>
          <w:divBdr>
            <w:top w:val="none" w:sz="0" w:space="0" w:color="auto"/>
            <w:left w:val="none" w:sz="0" w:space="0" w:color="auto"/>
            <w:bottom w:val="none" w:sz="0" w:space="0" w:color="auto"/>
            <w:right w:val="none" w:sz="0" w:space="0" w:color="auto"/>
          </w:divBdr>
        </w:div>
        <w:div w:id="1457405302">
          <w:marLeft w:val="640"/>
          <w:marRight w:val="0"/>
          <w:marTop w:val="0"/>
          <w:marBottom w:val="0"/>
          <w:divBdr>
            <w:top w:val="none" w:sz="0" w:space="0" w:color="auto"/>
            <w:left w:val="none" w:sz="0" w:space="0" w:color="auto"/>
            <w:bottom w:val="none" w:sz="0" w:space="0" w:color="auto"/>
            <w:right w:val="none" w:sz="0" w:space="0" w:color="auto"/>
          </w:divBdr>
        </w:div>
        <w:div w:id="411388388">
          <w:marLeft w:val="640"/>
          <w:marRight w:val="0"/>
          <w:marTop w:val="0"/>
          <w:marBottom w:val="0"/>
          <w:divBdr>
            <w:top w:val="none" w:sz="0" w:space="0" w:color="auto"/>
            <w:left w:val="none" w:sz="0" w:space="0" w:color="auto"/>
            <w:bottom w:val="none" w:sz="0" w:space="0" w:color="auto"/>
            <w:right w:val="none" w:sz="0" w:space="0" w:color="auto"/>
          </w:divBdr>
        </w:div>
        <w:div w:id="142695618">
          <w:marLeft w:val="640"/>
          <w:marRight w:val="0"/>
          <w:marTop w:val="0"/>
          <w:marBottom w:val="0"/>
          <w:divBdr>
            <w:top w:val="none" w:sz="0" w:space="0" w:color="auto"/>
            <w:left w:val="none" w:sz="0" w:space="0" w:color="auto"/>
            <w:bottom w:val="none" w:sz="0" w:space="0" w:color="auto"/>
            <w:right w:val="none" w:sz="0" w:space="0" w:color="auto"/>
          </w:divBdr>
        </w:div>
        <w:div w:id="1074208840">
          <w:marLeft w:val="640"/>
          <w:marRight w:val="0"/>
          <w:marTop w:val="0"/>
          <w:marBottom w:val="0"/>
          <w:divBdr>
            <w:top w:val="none" w:sz="0" w:space="0" w:color="auto"/>
            <w:left w:val="none" w:sz="0" w:space="0" w:color="auto"/>
            <w:bottom w:val="none" w:sz="0" w:space="0" w:color="auto"/>
            <w:right w:val="none" w:sz="0" w:space="0" w:color="auto"/>
          </w:divBdr>
        </w:div>
        <w:div w:id="756514346">
          <w:marLeft w:val="640"/>
          <w:marRight w:val="0"/>
          <w:marTop w:val="0"/>
          <w:marBottom w:val="0"/>
          <w:divBdr>
            <w:top w:val="none" w:sz="0" w:space="0" w:color="auto"/>
            <w:left w:val="none" w:sz="0" w:space="0" w:color="auto"/>
            <w:bottom w:val="none" w:sz="0" w:space="0" w:color="auto"/>
            <w:right w:val="none" w:sz="0" w:space="0" w:color="auto"/>
          </w:divBdr>
        </w:div>
        <w:div w:id="547492156">
          <w:marLeft w:val="640"/>
          <w:marRight w:val="0"/>
          <w:marTop w:val="0"/>
          <w:marBottom w:val="0"/>
          <w:divBdr>
            <w:top w:val="none" w:sz="0" w:space="0" w:color="auto"/>
            <w:left w:val="none" w:sz="0" w:space="0" w:color="auto"/>
            <w:bottom w:val="none" w:sz="0" w:space="0" w:color="auto"/>
            <w:right w:val="none" w:sz="0" w:space="0" w:color="auto"/>
          </w:divBdr>
        </w:div>
        <w:div w:id="828597664">
          <w:marLeft w:val="640"/>
          <w:marRight w:val="0"/>
          <w:marTop w:val="0"/>
          <w:marBottom w:val="0"/>
          <w:divBdr>
            <w:top w:val="none" w:sz="0" w:space="0" w:color="auto"/>
            <w:left w:val="none" w:sz="0" w:space="0" w:color="auto"/>
            <w:bottom w:val="none" w:sz="0" w:space="0" w:color="auto"/>
            <w:right w:val="none" w:sz="0" w:space="0" w:color="auto"/>
          </w:divBdr>
        </w:div>
        <w:div w:id="1544294427">
          <w:marLeft w:val="640"/>
          <w:marRight w:val="0"/>
          <w:marTop w:val="0"/>
          <w:marBottom w:val="0"/>
          <w:divBdr>
            <w:top w:val="none" w:sz="0" w:space="0" w:color="auto"/>
            <w:left w:val="none" w:sz="0" w:space="0" w:color="auto"/>
            <w:bottom w:val="none" w:sz="0" w:space="0" w:color="auto"/>
            <w:right w:val="none" w:sz="0" w:space="0" w:color="auto"/>
          </w:divBdr>
        </w:div>
        <w:div w:id="87820039">
          <w:marLeft w:val="640"/>
          <w:marRight w:val="0"/>
          <w:marTop w:val="0"/>
          <w:marBottom w:val="0"/>
          <w:divBdr>
            <w:top w:val="none" w:sz="0" w:space="0" w:color="auto"/>
            <w:left w:val="none" w:sz="0" w:space="0" w:color="auto"/>
            <w:bottom w:val="none" w:sz="0" w:space="0" w:color="auto"/>
            <w:right w:val="none" w:sz="0" w:space="0" w:color="auto"/>
          </w:divBdr>
        </w:div>
        <w:div w:id="2105564869">
          <w:marLeft w:val="640"/>
          <w:marRight w:val="0"/>
          <w:marTop w:val="0"/>
          <w:marBottom w:val="0"/>
          <w:divBdr>
            <w:top w:val="none" w:sz="0" w:space="0" w:color="auto"/>
            <w:left w:val="none" w:sz="0" w:space="0" w:color="auto"/>
            <w:bottom w:val="none" w:sz="0" w:space="0" w:color="auto"/>
            <w:right w:val="none" w:sz="0" w:space="0" w:color="auto"/>
          </w:divBdr>
        </w:div>
        <w:div w:id="2087414787">
          <w:marLeft w:val="640"/>
          <w:marRight w:val="0"/>
          <w:marTop w:val="0"/>
          <w:marBottom w:val="0"/>
          <w:divBdr>
            <w:top w:val="none" w:sz="0" w:space="0" w:color="auto"/>
            <w:left w:val="none" w:sz="0" w:space="0" w:color="auto"/>
            <w:bottom w:val="none" w:sz="0" w:space="0" w:color="auto"/>
            <w:right w:val="none" w:sz="0" w:space="0" w:color="auto"/>
          </w:divBdr>
        </w:div>
        <w:div w:id="675692331">
          <w:marLeft w:val="640"/>
          <w:marRight w:val="0"/>
          <w:marTop w:val="0"/>
          <w:marBottom w:val="0"/>
          <w:divBdr>
            <w:top w:val="none" w:sz="0" w:space="0" w:color="auto"/>
            <w:left w:val="none" w:sz="0" w:space="0" w:color="auto"/>
            <w:bottom w:val="none" w:sz="0" w:space="0" w:color="auto"/>
            <w:right w:val="none" w:sz="0" w:space="0" w:color="auto"/>
          </w:divBdr>
        </w:div>
        <w:div w:id="1821996969">
          <w:marLeft w:val="640"/>
          <w:marRight w:val="0"/>
          <w:marTop w:val="0"/>
          <w:marBottom w:val="0"/>
          <w:divBdr>
            <w:top w:val="none" w:sz="0" w:space="0" w:color="auto"/>
            <w:left w:val="none" w:sz="0" w:space="0" w:color="auto"/>
            <w:bottom w:val="none" w:sz="0" w:space="0" w:color="auto"/>
            <w:right w:val="none" w:sz="0" w:space="0" w:color="auto"/>
          </w:divBdr>
        </w:div>
        <w:div w:id="360665167">
          <w:marLeft w:val="640"/>
          <w:marRight w:val="0"/>
          <w:marTop w:val="0"/>
          <w:marBottom w:val="0"/>
          <w:divBdr>
            <w:top w:val="none" w:sz="0" w:space="0" w:color="auto"/>
            <w:left w:val="none" w:sz="0" w:space="0" w:color="auto"/>
            <w:bottom w:val="none" w:sz="0" w:space="0" w:color="auto"/>
            <w:right w:val="none" w:sz="0" w:space="0" w:color="auto"/>
          </w:divBdr>
        </w:div>
        <w:div w:id="1696879100">
          <w:marLeft w:val="640"/>
          <w:marRight w:val="0"/>
          <w:marTop w:val="0"/>
          <w:marBottom w:val="0"/>
          <w:divBdr>
            <w:top w:val="none" w:sz="0" w:space="0" w:color="auto"/>
            <w:left w:val="none" w:sz="0" w:space="0" w:color="auto"/>
            <w:bottom w:val="none" w:sz="0" w:space="0" w:color="auto"/>
            <w:right w:val="none" w:sz="0" w:space="0" w:color="auto"/>
          </w:divBdr>
        </w:div>
        <w:div w:id="1436749866">
          <w:marLeft w:val="640"/>
          <w:marRight w:val="0"/>
          <w:marTop w:val="0"/>
          <w:marBottom w:val="0"/>
          <w:divBdr>
            <w:top w:val="none" w:sz="0" w:space="0" w:color="auto"/>
            <w:left w:val="none" w:sz="0" w:space="0" w:color="auto"/>
            <w:bottom w:val="none" w:sz="0" w:space="0" w:color="auto"/>
            <w:right w:val="none" w:sz="0" w:space="0" w:color="auto"/>
          </w:divBdr>
        </w:div>
        <w:div w:id="890313648">
          <w:marLeft w:val="640"/>
          <w:marRight w:val="0"/>
          <w:marTop w:val="0"/>
          <w:marBottom w:val="0"/>
          <w:divBdr>
            <w:top w:val="none" w:sz="0" w:space="0" w:color="auto"/>
            <w:left w:val="none" w:sz="0" w:space="0" w:color="auto"/>
            <w:bottom w:val="none" w:sz="0" w:space="0" w:color="auto"/>
            <w:right w:val="none" w:sz="0" w:space="0" w:color="auto"/>
          </w:divBdr>
        </w:div>
        <w:div w:id="1718697644">
          <w:marLeft w:val="640"/>
          <w:marRight w:val="0"/>
          <w:marTop w:val="0"/>
          <w:marBottom w:val="0"/>
          <w:divBdr>
            <w:top w:val="none" w:sz="0" w:space="0" w:color="auto"/>
            <w:left w:val="none" w:sz="0" w:space="0" w:color="auto"/>
            <w:bottom w:val="none" w:sz="0" w:space="0" w:color="auto"/>
            <w:right w:val="none" w:sz="0" w:space="0" w:color="auto"/>
          </w:divBdr>
        </w:div>
        <w:div w:id="204753614">
          <w:marLeft w:val="640"/>
          <w:marRight w:val="0"/>
          <w:marTop w:val="0"/>
          <w:marBottom w:val="0"/>
          <w:divBdr>
            <w:top w:val="none" w:sz="0" w:space="0" w:color="auto"/>
            <w:left w:val="none" w:sz="0" w:space="0" w:color="auto"/>
            <w:bottom w:val="none" w:sz="0" w:space="0" w:color="auto"/>
            <w:right w:val="none" w:sz="0" w:space="0" w:color="auto"/>
          </w:divBdr>
        </w:div>
        <w:div w:id="902762538">
          <w:marLeft w:val="640"/>
          <w:marRight w:val="0"/>
          <w:marTop w:val="0"/>
          <w:marBottom w:val="0"/>
          <w:divBdr>
            <w:top w:val="none" w:sz="0" w:space="0" w:color="auto"/>
            <w:left w:val="none" w:sz="0" w:space="0" w:color="auto"/>
            <w:bottom w:val="none" w:sz="0" w:space="0" w:color="auto"/>
            <w:right w:val="none" w:sz="0" w:space="0" w:color="auto"/>
          </w:divBdr>
        </w:div>
        <w:div w:id="639193446">
          <w:marLeft w:val="640"/>
          <w:marRight w:val="0"/>
          <w:marTop w:val="0"/>
          <w:marBottom w:val="0"/>
          <w:divBdr>
            <w:top w:val="none" w:sz="0" w:space="0" w:color="auto"/>
            <w:left w:val="none" w:sz="0" w:space="0" w:color="auto"/>
            <w:bottom w:val="none" w:sz="0" w:space="0" w:color="auto"/>
            <w:right w:val="none" w:sz="0" w:space="0" w:color="auto"/>
          </w:divBdr>
        </w:div>
        <w:div w:id="714739667">
          <w:marLeft w:val="640"/>
          <w:marRight w:val="0"/>
          <w:marTop w:val="0"/>
          <w:marBottom w:val="0"/>
          <w:divBdr>
            <w:top w:val="none" w:sz="0" w:space="0" w:color="auto"/>
            <w:left w:val="none" w:sz="0" w:space="0" w:color="auto"/>
            <w:bottom w:val="none" w:sz="0" w:space="0" w:color="auto"/>
            <w:right w:val="none" w:sz="0" w:space="0" w:color="auto"/>
          </w:divBdr>
        </w:div>
        <w:div w:id="560335926">
          <w:marLeft w:val="640"/>
          <w:marRight w:val="0"/>
          <w:marTop w:val="0"/>
          <w:marBottom w:val="0"/>
          <w:divBdr>
            <w:top w:val="none" w:sz="0" w:space="0" w:color="auto"/>
            <w:left w:val="none" w:sz="0" w:space="0" w:color="auto"/>
            <w:bottom w:val="none" w:sz="0" w:space="0" w:color="auto"/>
            <w:right w:val="none" w:sz="0" w:space="0" w:color="auto"/>
          </w:divBdr>
        </w:div>
        <w:div w:id="977227327">
          <w:marLeft w:val="640"/>
          <w:marRight w:val="0"/>
          <w:marTop w:val="0"/>
          <w:marBottom w:val="0"/>
          <w:divBdr>
            <w:top w:val="none" w:sz="0" w:space="0" w:color="auto"/>
            <w:left w:val="none" w:sz="0" w:space="0" w:color="auto"/>
            <w:bottom w:val="none" w:sz="0" w:space="0" w:color="auto"/>
            <w:right w:val="none" w:sz="0" w:space="0" w:color="auto"/>
          </w:divBdr>
        </w:div>
        <w:div w:id="2038387531">
          <w:marLeft w:val="640"/>
          <w:marRight w:val="0"/>
          <w:marTop w:val="0"/>
          <w:marBottom w:val="0"/>
          <w:divBdr>
            <w:top w:val="none" w:sz="0" w:space="0" w:color="auto"/>
            <w:left w:val="none" w:sz="0" w:space="0" w:color="auto"/>
            <w:bottom w:val="none" w:sz="0" w:space="0" w:color="auto"/>
            <w:right w:val="none" w:sz="0" w:space="0" w:color="auto"/>
          </w:divBdr>
        </w:div>
        <w:div w:id="652757080">
          <w:marLeft w:val="640"/>
          <w:marRight w:val="0"/>
          <w:marTop w:val="0"/>
          <w:marBottom w:val="0"/>
          <w:divBdr>
            <w:top w:val="none" w:sz="0" w:space="0" w:color="auto"/>
            <w:left w:val="none" w:sz="0" w:space="0" w:color="auto"/>
            <w:bottom w:val="none" w:sz="0" w:space="0" w:color="auto"/>
            <w:right w:val="none" w:sz="0" w:space="0" w:color="auto"/>
          </w:divBdr>
        </w:div>
        <w:div w:id="754597183">
          <w:marLeft w:val="640"/>
          <w:marRight w:val="0"/>
          <w:marTop w:val="0"/>
          <w:marBottom w:val="0"/>
          <w:divBdr>
            <w:top w:val="none" w:sz="0" w:space="0" w:color="auto"/>
            <w:left w:val="none" w:sz="0" w:space="0" w:color="auto"/>
            <w:bottom w:val="none" w:sz="0" w:space="0" w:color="auto"/>
            <w:right w:val="none" w:sz="0" w:space="0" w:color="auto"/>
          </w:divBdr>
        </w:div>
        <w:div w:id="1153184998">
          <w:marLeft w:val="640"/>
          <w:marRight w:val="0"/>
          <w:marTop w:val="0"/>
          <w:marBottom w:val="0"/>
          <w:divBdr>
            <w:top w:val="none" w:sz="0" w:space="0" w:color="auto"/>
            <w:left w:val="none" w:sz="0" w:space="0" w:color="auto"/>
            <w:bottom w:val="none" w:sz="0" w:space="0" w:color="auto"/>
            <w:right w:val="none" w:sz="0" w:space="0" w:color="auto"/>
          </w:divBdr>
        </w:div>
        <w:div w:id="2074889099">
          <w:marLeft w:val="640"/>
          <w:marRight w:val="0"/>
          <w:marTop w:val="0"/>
          <w:marBottom w:val="0"/>
          <w:divBdr>
            <w:top w:val="none" w:sz="0" w:space="0" w:color="auto"/>
            <w:left w:val="none" w:sz="0" w:space="0" w:color="auto"/>
            <w:bottom w:val="none" w:sz="0" w:space="0" w:color="auto"/>
            <w:right w:val="none" w:sz="0" w:space="0" w:color="auto"/>
          </w:divBdr>
        </w:div>
        <w:div w:id="932934967">
          <w:marLeft w:val="640"/>
          <w:marRight w:val="0"/>
          <w:marTop w:val="0"/>
          <w:marBottom w:val="0"/>
          <w:divBdr>
            <w:top w:val="none" w:sz="0" w:space="0" w:color="auto"/>
            <w:left w:val="none" w:sz="0" w:space="0" w:color="auto"/>
            <w:bottom w:val="none" w:sz="0" w:space="0" w:color="auto"/>
            <w:right w:val="none" w:sz="0" w:space="0" w:color="auto"/>
          </w:divBdr>
        </w:div>
        <w:div w:id="1800414027">
          <w:marLeft w:val="640"/>
          <w:marRight w:val="0"/>
          <w:marTop w:val="0"/>
          <w:marBottom w:val="0"/>
          <w:divBdr>
            <w:top w:val="none" w:sz="0" w:space="0" w:color="auto"/>
            <w:left w:val="none" w:sz="0" w:space="0" w:color="auto"/>
            <w:bottom w:val="none" w:sz="0" w:space="0" w:color="auto"/>
            <w:right w:val="none" w:sz="0" w:space="0" w:color="auto"/>
          </w:divBdr>
        </w:div>
        <w:div w:id="1804154102">
          <w:marLeft w:val="640"/>
          <w:marRight w:val="0"/>
          <w:marTop w:val="0"/>
          <w:marBottom w:val="0"/>
          <w:divBdr>
            <w:top w:val="none" w:sz="0" w:space="0" w:color="auto"/>
            <w:left w:val="none" w:sz="0" w:space="0" w:color="auto"/>
            <w:bottom w:val="none" w:sz="0" w:space="0" w:color="auto"/>
            <w:right w:val="none" w:sz="0" w:space="0" w:color="auto"/>
          </w:divBdr>
        </w:div>
        <w:div w:id="686712812">
          <w:marLeft w:val="640"/>
          <w:marRight w:val="0"/>
          <w:marTop w:val="0"/>
          <w:marBottom w:val="0"/>
          <w:divBdr>
            <w:top w:val="none" w:sz="0" w:space="0" w:color="auto"/>
            <w:left w:val="none" w:sz="0" w:space="0" w:color="auto"/>
            <w:bottom w:val="none" w:sz="0" w:space="0" w:color="auto"/>
            <w:right w:val="none" w:sz="0" w:space="0" w:color="auto"/>
          </w:divBdr>
        </w:div>
        <w:div w:id="1279146730">
          <w:marLeft w:val="640"/>
          <w:marRight w:val="0"/>
          <w:marTop w:val="0"/>
          <w:marBottom w:val="0"/>
          <w:divBdr>
            <w:top w:val="none" w:sz="0" w:space="0" w:color="auto"/>
            <w:left w:val="none" w:sz="0" w:space="0" w:color="auto"/>
            <w:bottom w:val="none" w:sz="0" w:space="0" w:color="auto"/>
            <w:right w:val="none" w:sz="0" w:space="0" w:color="auto"/>
          </w:divBdr>
        </w:div>
        <w:div w:id="1743025205">
          <w:marLeft w:val="640"/>
          <w:marRight w:val="0"/>
          <w:marTop w:val="0"/>
          <w:marBottom w:val="0"/>
          <w:divBdr>
            <w:top w:val="none" w:sz="0" w:space="0" w:color="auto"/>
            <w:left w:val="none" w:sz="0" w:space="0" w:color="auto"/>
            <w:bottom w:val="none" w:sz="0" w:space="0" w:color="auto"/>
            <w:right w:val="none" w:sz="0" w:space="0" w:color="auto"/>
          </w:divBdr>
        </w:div>
        <w:div w:id="784885851">
          <w:marLeft w:val="640"/>
          <w:marRight w:val="0"/>
          <w:marTop w:val="0"/>
          <w:marBottom w:val="0"/>
          <w:divBdr>
            <w:top w:val="none" w:sz="0" w:space="0" w:color="auto"/>
            <w:left w:val="none" w:sz="0" w:space="0" w:color="auto"/>
            <w:bottom w:val="none" w:sz="0" w:space="0" w:color="auto"/>
            <w:right w:val="none" w:sz="0" w:space="0" w:color="auto"/>
          </w:divBdr>
        </w:div>
        <w:div w:id="385883771">
          <w:marLeft w:val="640"/>
          <w:marRight w:val="0"/>
          <w:marTop w:val="0"/>
          <w:marBottom w:val="0"/>
          <w:divBdr>
            <w:top w:val="none" w:sz="0" w:space="0" w:color="auto"/>
            <w:left w:val="none" w:sz="0" w:space="0" w:color="auto"/>
            <w:bottom w:val="none" w:sz="0" w:space="0" w:color="auto"/>
            <w:right w:val="none" w:sz="0" w:space="0" w:color="auto"/>
          </w:divBdr>
        </w:div>
        <w:div w:id="1863781790">
          <w:marLeft w:val="640"/>
          <w:marRight w:val="0"/>
          <w:marTop w:val="0"/>
          <w:marBottom w:val="0"/>
          <w:divBdr>
            <w:top w:val="none" w:sz="0" w:space="0" w:color="auto"/>
            <w:left w:val="none" w:sz="0" w:space="0" w:color="auto"/>
            <w:bottom w:val="none" w:sz="0" w:space="0" w:color="auto"/>
            <w:right w:val="none" w:sz="0" w:space="0" w:color="auto"/>
          </w:divBdr>
        </w:div>
        <w:div w:id="820271711">
          <w:marLeft w:val="640"/>
          <w:marRight w:val="0"/>
          <w:marTop w:val="0"/>
          <w:marBottom w:val="0"/>
          <w:divBdr>
            <w:top w:val="none" w:sz="0" w:space="0" w:color="auto"/>
            <w:left w:val="none" w:sz="0" w:space="0" w:color="auto"/>
            <w:bottom w:val="none" w:sz="0" w:space="0" w:color="auto"/>
            <w:right w:val="none" w:sz="0" w:space="0" w:color="auto"/>
          </w:divBdr>
        </w:div>
        <w:div w:id="1096711840">
          <w:marLeft w:val="640"/>
          <w:marRight w:val="0"/>
          <w:marTop w:val="0"/>
          <w:marBottom w:val="0"/>
          <w:divBdr>
            <w:top w:val="none" w:sz="0" w:space="0" w:color="auto"/>
            <w:left w:val="none" w:sz="0" w:space="0" w:color="auto"/>
            <w:bottom w:val="none" w:sz="0" w:space="0" w:color="auto"/>
            <w:right w:val="none" w:sz="0" w:space="0" w:color="auto"/>
          </w:divBdr>
        </w:div>
        <w:div w:id="415517107">
          <w:marLeft w:val="640"/>
          <w:marRight w:val="0"/>
          <w:marTop w:val="0"/>
          <w:marBottom w:val="0"/>
          <w:divBdr>
            <w:top w:val="none" w:sz="0" w:space="0" w:color="auto"/>
            <w:left w:val="none" w:sz="0" w:space="0" w:color="auto"/>
            <w:bottom w:val="none" w:sz="0" w:space="0" w:color="auto"/>
            <w:right w:val="none" w:sz="0" w:space="0" w:color="auto"/>
          </w:divBdr>
        </w:div>
        <w:div w:id="1135759039">
          <w:marLeft w:val="640"/>
          <w:marRight w:val="0"/>
          <w:marTop w:val="0"/>
          <w:marBottom w:val="0"/>
          <w:divBdr>
            <w:top w:val="none" w:sz="0" w:space="0" w:color="auto"/>
            <w:left w:val="none" w:sz="0" w:space="0" w:color="auto"/>
            <w:bottom w:val="none" w:sz="0" w:space="0" w:color="auto"/>
            <w:right w:val="none" w:sz="0" w:space="0" w:color="auto"/>
          </w:divBdr>
        </w:div>
        <w:div w:id="1774781908">
          <w:marLeft w:val="640"/>
          <w:marRight w:val="0"/>
          <w:marTop w:val="0"/>
          <w:marBottom w:val="0"/>
          <w:divBdr>
            <w:top w:val="none" w:sz="0" w:space="0" w:color="auto"/>
            <w:left w:val="none" w:sz="0" w:space="0" w:color="auto"/>
            <w:bottom w:val="none" w:sz="0" w:space="0" w:color="auto"/>
            <w:right w:val="none" w:sz="0" w:space="0" w:color="auto"/>
          </w:divBdr>
        </w:div>
        <w:div w:id="2096052729">
          <w:marLeft w:val="640"/>
          <w:marRight w:val="0"/>
          <w:marTop w:val="0"/>
          <w:marBottom w:val="0"/>
          <w:divBdr>
            <w:top w:val="none" w:sz="0" w:space="0" w:color="auto"/>
            <w:left w:val="none" w:sz="0" w:space="0" w:color="auto"/>
            <w:bottom w:val="none" w:sz="0" w:space="0" w:color="auto"/>
            <w:right w:val="none" w:sz="0" w:space="0" w:color="auto"/>
          </w:divBdr>
        </w:div>
        <w:div w:id="305204790">
          <w:marLeft w:val="640"/>
          <w:marRight w:val="0"/>
          <w:marTop w:val="0"/>
          <w:marBottom w:val="0"/>
          <w:divBdr>
            <w:top w:val="none" w:sz="0" w:space="0" w:color="auto"/>
            <w:left w:val="none" w:sz="0" w:space="0" w:color="auto"/>
            <w:bottom w:val="none" w:sz="0" w:space="0" w:color="auto"/>
            <w:right w:val="none" w:sz="0" w:space="0" w:color="auto"/>
          </w:divBdr>
        </w:div>
        <w:div w:id="1263103181">
          <w:marLeft w:val="640"/>
          <w:marRight w:val="0"/>
          <w:marTop w:val="0"/>
          <w:marBottom w:val="0"/>
          <w:divBdr>
            <w:top w:val="none" w:sz="0" w:space="0" w:color="auto"/>
            <w:left w:val="none" w:sz="0" w:space="0" w:color="auto"/>
            <w:bottom w:val="none" w:sz="0" w:space="0" w:color="auto"/>
            <w:right w:val="none" w:sz="0" w:space="0" w:color="auto"/>
          </w:divBdr>
        </w:div>
        <w:div w:id="1112280477">
          <w:marLeft w:val="640"/>
          <w:marRight w:val="0"/>
          <w:marTop w:val="0"/>
          <w:marBottom w:val="0"/>
          <w:divBdr>
            <w:top w:val="none" w:sz="0" w:space="0" w:color="auto"/>
            <w:left w:val="none" w:sz="0" w:space="0" w:color="auto"/>
            <w:bottom w:val="none" w:sz="0" w:space="0" w:color="auto"/>
            <w:right w:val="none" w:sz="0" w:space="0" w:color="auto"/>
          </w:divBdr>
        </w:div>
        <w:div w:id="369501940">
          <w:marLeft w:val="640"/>
          <w:marRight w:val="0"/>
          <w:marTop w:val="0"/>
          <w:marBottom w:val="0"/>
          <w:divBdr>
            <w:top w:val="none" w:sz="0" w:space="0" w:color="auto"/>
            <w:left w:val="none" w:sz="0" w:space="0" w:color="auto"/>
            <w:bottom w:val="none" w:sz="0" w:space="0" w:color="auto"/>
            <w:right w:val="none" w:sz="0" w:space="0" w:color="auto"/>
          </w:divBdr>
        </w:div>
        <w:div w:id="715274787">
          <w:marLeft w:val="640"/>
          <w:marRight w:val="0"/>
          <w:marTop w:val="0"/>
          <w:marBottom w:val="0"/>
          <w:divBdr>
            <w:top w:val="none" w:sz="0" w:space="0" w:color="auto"/>
            <w:left w:val="none" w:sz="0" w:space="0" w:color="auto"/>
            <w:bottom w:val="none" w:sz="0" w:space="0" w:color="auto"/>
            <w:right w:val="none" w:sz="0" w:space="0" w:color="auto"/>
          </w:divBdr>
        </w:div>
        <w:div w:id="792401604">
          <w:marLeft w:val="640"/>
          <w:marRight w:val="0"/>
          <w:marTop w:val="0"/>
          <w:marBottom w:val="0"/>
          <w:divBdr>
            <w:top w:val="none" w:sz="0" w:space="0" w:color="auto"/>
            <w:left w:val="none" w:sz="0" w:space="0" w:color="auto"/>
            <w:bottom w:val="none" w:sz="0" w:space="0" w:color="auto"/>
            <w:right w:val="none" w:sz="0" w:space="0" w:color="auto"/>
          </w:divBdr>
        </w:div>
        <w:div w:id="716661954">
          <w:marLeft w:val="640"/>
          <w:marRight w:val="0"/>
          <w:marTop w:val="0"/>
          <w:marBottom w:val="0"/>
          <w:divBdr>
            <w:top w:val="none" w:sz="0" w:space="0" w:color="auto"/>
            <w:left w:val="none" w:sz="0" w:space="0" w:color="auto"/>
            <w:bottom w:val="none" w:sz="0" w:space="0" w:color="auto"/>
            <w:right w:val="none" w:sz="0" w:space="0" w:color="auto"/>
          </w:divBdr>
        </w:div>
        <w:div w:id="480199054">
          <w:marLeft w:val="640"/>
          <w:marRight w:val="0"/>
          <w:marTop w:val="0"/>
          <w:marBottom w:val="0"/>
          <w:divBdr>
            <w:top w:val="none" w:sz="0" w:space="0" w:color="auto"/>
            <w:left w:val="none" w:sz="0" w:space="0" w:color="auto"/>
            <w:bottom w:val="none" w:sz="0" w:space="0" w:color="auto"/>
            <w:right w:val="none" w:sz="0" w:space="0" w:color="auto"/>
          </w:divBdr>
        </w:div>
        <w:div w:id="658047056">
          <w:marLeft w:val="640"/>
          <w:marRight w:val="0"/>
          <w:marTop w:val="0"/>
          <w:marBottom w:val="0"/>
          <w:divBdr>
            <w:top w:val="none" w:sz="0" w:space="0" w:color="auto"/>
            <w:left w:val="none" w:sz="0" w:space="0" w:color="auto"/>
            <w:bottom w:val="none" w:sz="0" w:space="0" w:color="auto"/>
            <w:right w:val="none" w:sz="0" w:space="0" w:color="auto"/>
          </w:divBdr>
        </w:div>
        <w:div w:id="164245703">
          <w:marLeft w:val="640"/>
          <w:marRight w:val="0"/>
          <w:marTop w:val="0"/>
          <w:marBottom w:val="0"/>
          <w:divBdr>
            <w:top w:val="none" w:sz="0" w:space="0" w:color="auto"/>
            <w:left w:val="none" w:sz="0" w:space="0" w:color="auto"/>
            <w:bottom w:val="none" w:sz="0" w:space="0" w:color="auto"/>
            <w:right w:val="none" w:sz="0" w:space="0" w:color="auto"/>
          </w:divBdr>
        </w:div>
        <w:div w:id="1362972936">
          <w:marLeft w:val="640"/>
          <w:marRight w:val="0"/>
          <w:marTop w:val="0"/>
          <w:marBottom w:val="0"/>
          <w:divBdr>
            <w:top w:val="none" w:sz="0" w:space="0" w:color="auto"/>
            <w:left w:val="none" w:sz="0" w:space="0" w:color="auto"/>
            <w:bottom w:val="none" w:sz="0" w:space="0" w:color="auto"/>
            <w:right w:val="none" w:sz="0" w:space="0" w:color="auto"/>
          </w:divBdr>
        </w:div>
        <w:div w:id="277640209">
          <w:marLeft w:val="640"/>
          <w:marRight w:val="0"/>
          <w:marTop w:val="0"/>
          <w:marBottom w:val="0"/>
          <w:divBdr>
            <w:top w:val="none" w:sz="0" w:space="0" w:color="auto"/>
            <w:left w:val="none" w:sz="0" w:space="0" w:color="auto"/>
            <w:bottom w:val="none" w:sz="0" w:space="0" w:color="auto"/>
            <w:right w:val="none" w:sz="0" w:space="0" w:color="auto"/>
          </w:divBdr>
        </w:div>
        <w:div w:id="1042831237">
          <w:marLeft w:val="640"/>
          <w:marRight w:val="0"/>
          <w:marTop w:val="0"/>
          <w:marBottom w:val="0"/>
          <w:divBdr>
            <w:top w:val="none" w:sz="0" w:space="0" w:color="auto"/>
            <w:left w:val="none" w:sz="0" w:space="0" w:color="auto"/>
            <w:bottom w:val="none" w:sz="0" w:space="0" w:color="auto"/>
            <w:right w:val="none" w:sz="0" w:space="0" w:color="auto"/>
          </w:divBdr>
        </w:div>
        <w:div w:id="1660814932">
          <w:marLeft w:val="640"/>
          <w:marRight w:val="0"/>
          <w:marTop w:val="0"/>
          <w:marBottom w:val="0"/>
          <w:divBdr>
            <w:top w:val="none" w:sz="0" w:space="0" w:color="auto"/>
            <w:left w:val="none" w:sz="0" w:space="0" w:color="auto"/>
            <w:bottom w:val="none" w:sz="0" w:space="0" w:color="auto"/>
            <w:right w:val="none" w:sz="0" w:space="0" w:color="auto"/>
          </w:divBdr>
        </w:div>
        <w:div w:id="826749518">
          <w:marLeft w:val="640"/>
          <w:marRight w:val="0"/>
          <w:marTop w:val="0"/>
          <w:marBottom w:val="0"/>
          <w:divBdr>
            <w:top w:val="none" w:sz="0" w:space="0" w:color="auto"/>
            <w:left w:val="none" w:sz="0" w:space="0" w:color="auto"/>
            <w:bottom w:val="none" w:sz="0" w:space="0" w:color="auto"/>
            <w:right w:val="none" w:sz="0" w:space="0" w:color="auto"/>
          </w:divBdr>
        </w:div>
        <w:div w:id="1707296647">
          <w:marLeft w:val="640"/>
          <w:marRight w:val="0"/>
          <w:marTop w:val="0"/>
          <w:marBottom w:val="0"/>
          <w:divBdr>
            <w:top w:val="none" w:sz="0" w:space="0" w:color="auto"/>
            <w:left w:val="none" w:sz="0" w:space="0" w:color="auto"/>
            <w:bottom w:val="none" w:sz="0" w:space="0" w:color="auto"/>
            <w:right w:val="none" w:sz="0" w:space="0" w:color="auto"/>
          </w:divBdr>
        </w:div>
        <w:div w:id="1210650456">
          <w:marLeft w:val="640"/>
          <w:marRight w:val="0"/>
          <w:marTop w:val="0"/>
          <w:marBottom w:val="0"/>
          <w:divBdr>
            <w:top w:val="none" w:sz="0" w:space="0" w:color="auto"/>
            <w:left w:val="none" w:sz="0" w:space="0" w:color="auto"/>
            <w:bottom w:val="none" w:sz="0" w:space="0" w:color="auto"/>
            <w:right w:val="none" w:sz="0" w:space="0" w:color="auto"/>
          </w:divBdr>
        </w:div>
        <w:div w:id="1863278295">
          <w:marLeft w:val="640"/>
          <w:marRight w:val="0"/>
          <w:marTop w:val="0"/>
          <w:marBottom w:val="0"/>
          <w:divBdr>
            <w:top w:val="none" w:sz="0" w:space="0" w:color="auto"/>
            <w:left w:val="none" w:sz="0" w:space="0" w:color="auto"/>
            <w:bottom w:val="none" w:sz="0" w:space="0" w:color="auto"/>
            <w:right w:val="none" w:sz="0" w:space="0" w:color="auto"/>
          </w:divBdr>
        </w:div>
        <w:div w:id="179972361">
          <w:marLeft w:val="640"/>
          <w:marRight w:val="0"/>
          <w:marTop w:val="0"/>
          <w:marBottom w:val="0"/>
          <w:divBdr>
            <w:top w:val="none" w:sz="0" w:space="0" w:color="auto"/>
            <w:left w:val="none" w:sz="0" w:space="0" w:color="auto"/>
            <w:bottom w:val="none" w:sz="0" w:space="0" w:color="auto"/>
            <w:right w:val="none" w:sz="0" w:space="0" w:color="auto"/>
          </w:divBdr>
        </w:div>
        <w:div w:id="139537415">
          <w:marLeft w:val="640"/>
          <w:marRight w:val="0"/>
          <w:marTop w:val="0"/>
          <w:marBottom w:val="0"/>
          <w:divBdr>
            <w:top w:val="none" w:sz="0" w:space="0" w:color="auto"/>
            <w:left w:val="none" w:sz="0" w:space="0" w:color="auto"/>
            <w:bottom w:val="none" w:sz="0" w:space="0" w:color="auto"/>
            <w:right w:val="none" w:sz="0" w:space="0" w:color="auto"/>
          </w:divBdr>
        </w:div>
        <w:div w:id="1103644888">
          <w:marLeft w:val="640"/>
          <w:marRight w:val="0"/>
          <w:marTop w:val="0"/>
          <w:marBottom w:val="0"/>
          <w:divBdr>
            <w:top w:val="none" w:sz="0" w:space="0" w:color="auto"/>
            <w:left w:val="none" w:sz="0" w:space="0" w:color="auto"/>
            <w:bottom w:val="none" w:sz="0" w:space="0" w:color="auto"/>
            <w:right w:val="none" w:sz="0" w:space="0" w:color="auto"/>
          </w:divBdr>
        </w:div>
        <w:div w:id="767580676">
          <w:marLeft w:val="640"/>
          <w:marRight w:val="0"/>
          <w:marTop w:val="0"/>
          <w:marBottom w:val="0"/>
          <w:divBdr>
            <w:top w:val="none" w:sz="0" w:space="0" w:color="auto"/>
            <w:left w:val="none" w:sz="0" w:space="0" w:color="auto"/>
            <w:bottom w:val="none" w:sz="0" w:space="0" w:color="auto"/>
            <w:right w:val="none" w:sz="0" w:space="0" w:color="auto"/>
          </w:divBdr>
        </w:div>
        <w:div w:id="588930790">
          <w:marLeft w:val="640"/>
          <w:marRight w:val="0"/>
          <w:marTop w:val="0"/>
          <w:marBottom w:val="0"/>
          <w:divBdr>
            <w:top w:val="none" w:sz="0" w:space="0" w:color="auto"/>
            <w:left w:val="none" w:sz="0" w:space="0" w:color="auto"/>
            <w:bottom w:val="none" w:sz="0" w:space="0" w:color="auto"/>
            <w:right w:val="none" w:sz="0" w:space="0" w:color="auto"/>
          </w:divBdr>
        </w:div>
        <w:div w:id="1120487913">
          <w:marLeft w:val="640"/>
          <w:marRight w:val="0"/>
          <w:marTop w:val="0"/>
          <w:marBottom w:val="0"/>
          <w:divBdr>
            <w:top w:val="none" w:sz="0" w:space="0" w:color="auto"/>
            <w:left w:val="none" w:sz="0" w:space="0" w:color="auto"/>
            <w:bottom w:val="none" w:sz="0" w:space="0" w:color="auto"/>
            <w:right w:val="none" w:sz="0" w:space="0" w:color="auto"/>
          </w:divBdr>
        </w:div>
        <w:div w:id="292178486">
          <w:marLeft w:val="640"/>
          <w:marRight w:val="0"/>
          <w:marTop w:val="0"/>
          <w:marBottom w:val="0"/>
          <w:divBdr>
            <w:top w:val="none" w:sz="0" w:space="0" w:color="auto"/>
            <w:left w:val="none" w:sz="0" w:space="0" w:color="auto"/>
            <w:bottom w:val="none" w:sz="0" w:space="0" w:color="auto"/>
            <w:right w:val="none" w:sz="0" w:space="0" w:color="auto"/>
          </w:divBdr>
        </w:div>
        <w:div w:id="1906992795">
          <w:marLeft w:val="640"/>
          <w:marRight w:val="0"/>
          <w:marTop w:val="0"/>
          <w:marBottom w:val="0"/>
          <w:divBdr>
            <w:top w:val="none" w:sz="0" w:space="0" w:color="auto"/>
            <w:left w:val="none" w:sz="0" w:space="0" w:color="auto"/>
            <w:bottom w:val="none" w:sz="0" w:space="0" w:color="auto"/>
            <w:right w:val="none" w:sz="0" w:space="0" w:color="auto"/>
          </w:divBdr>
        </w:div>
        <w:div w:id="1007750272">
          <w:marLeft w:val="640"/>
          <w:marRight w:val="0"/>
          <w:marTop w:val="0"/>
          <w:marBottom w:val="0"/>
          <w:divBdr>
            <w:top w:val="none" w:sz="0" w:space="0" w:color="auto"/>
            <w:left w:val="none" w:sz="0" w:space="0" w:color="auto"/>
            <w:bottom w:val="none" w:sz="0" w:space="0" w:color="auto"/>
            <w:right w:val="none" w:sz="0" w:space="0" w:color="auto"/>
          </w:divBdr>
        </w:div>
        <w:div w:id="1692148019">
          <w:marLeft w:val="640"/>
          <w:marRight w:val="0"/>
          <w:marTop w:val="0"/>
          <w:marBottom w:val="0"/>
          <w:divBdr>
            <w:top w:val="none" w:sz="0" w:space="0" w:color="auto"/>
            <w:left w:val="none" w:sz="0" w:space="0" w:color="auto"/>
            <w:bottom w:val="none" w:sz="0" w:space="0" w:color="auto"/>
            <w:right w:val="none" w:sz="0" w:space="0" w:color="auto"/>
          </w:divBdr>
        </w:div>
        <w:div w:id="638268610">
          <w:marLeft w:val="640"/>
          <w:marRight w:val="0"/>
          <w:marTop w:val="0"/>
          <w:marBottom w:val="0"/>
          <w:divBdr>
            <w:top w:val="none" w:sz="0" w:space="0" w:color="auto"/>
            <w:left w:val="none" w:sz="0" w:space="0" w:color="auto"/>
            <w:bottom w:val="none" w:sz="0" w:space="0" w:color="auto"/>
            <w:right w:val="none" w:sz="0" w:space="0" w:color="auto"/>
          </w:divBdr>
        </w:div>
        <w:div w:id="1120297971">
          <w:marLeft w:val="640"/>
          <w:marRight w:val="0"/>
          <w:marTop w:val="0"/>
          <w:marBottom w:val="0"/>
          <w:divBdr>
            <w:top w:val="none" w:sz="0" w:space="0" w:color="auto"/>
            <w:left w:val="none" w:sz="0" w:space="0" w:color="auto"/>
            <w:bottom w:val="none" w:sz="0" w:space="0" w:color="auto"/>
            <w:right w:val="none" w:sz="0" w:space="0" w:color="auto"/>
          </w:divBdr>
        </w:div>
        <w:div w:id="902524698">
          <w:marLeft w:val="640"/>
          <w:marRight w:val="0"/>
          <w:marTop w:val="0"/>
          <w:marBottom w:val="0"/>
          <w:divBdr>
            <w:top w:val="none" w:sz="0" w:space="0" w:color="auto"/>
            <w:left w:val="none" w:sz="0" w:space="0" w:color="auto"/>
            <w:bottom w:val="none" w:sz="0" w:space="0" w:color="auto"/>
            <w:right w:val="none" w:sz="0" w:space="0" w:color="auto"/>
          </w:divBdr>
        </w:div>
        <w:div w:id="2135053978">
          <w:marLeft w:val="640"/>
          <w:marRight w:val="0"/>
          <w:marTop w:val="0"/>
          <w:marBottom w:val="0"/>
          <w:divBdr>
            <w:top w:val="none" w:sz="0" w:space="0" w:color="auto"/>
            <w:left w:val="none" w:sz="0" w:space="0" w:color="auto"/>
            <w:bottom w:val="none" w:sz="0" w:space="0" w:color="auto"/>
            <w:right w:val="none" w:sz="0" w:space="0" w:color="auto"/>
          </w:divBdr>
        </w:div>
        <w:div w:id="1641154484">
          <w:marLeft w:val="640"/>
          <w:marRight w:val="0"/>
          <w:marTop w:val="0"/>
          <w:marBottom w:val="0"/>
          <w:divBdr>
            <w:top w:val="none" w:sz="0" w:space="0" w:color="auto"/>
            <w:left w:val="none" w:sz="0" w:space="0" w:color="auto"/>
            <w:bottom w:val="none" w:sz="0" w:space="0" w:color="auto"/>
            <w:right w:val="none" w:sz="0" w:space="0" w:color="auto"/>
          </w:divBdr>
        </w:div>
        <w:div w:id="854004106">
          <w:marLeft w:val="640"/>
          <w:marRight w:val="0"/>
          <w:marTop w:val="0"/>
          <w:marBottom w:val="0"/>
          <w:divBdr>
            <w:top w:val="none" w:sz="0" w:space="0" w:color="auto"/>
            <w:left w:val="none" w:sz="0" w:space="0" w:color="auto"/>
            <w:bottom w:val="none" w:sz="0" w:space="0" w:color="auto"/>
            <w:right w:val="none" w:sz="0" w:space="0" w:color="auto"/>
          </w:divBdr>
        </w:div>
        <w:div w:id="1770544803">
          <w:marLeft w:val="640"/>
          <w:marRight w:val="0"/>
          <w:marTop w:val="0"/>
          <w:marBottom w:val="0"/>
          <w:divBdr>
            <w:top w:val="none" w:sz="0" w:space="0" w:color="auto"/>
            <w:left w:val="none" w:sz="0" w:space="0" w:color="auto"/>
            <w:bottom w:val="none" w:sz="0" w:space="0" w:color="auto"/>
            <w:right w:val="none" w:sz="0" w:space="0" w:color="auto"/>
          </w:divBdr>
        </w:div>
        <w:div w:id="1519800">
          <w:marLeft w:val="640"/>
          <w:marRight w:val="0"/>
          <w:marTop w:val="0"/>
          <w:marBottom w:val="0"/>
          <w:divBdr>
            <w:top w:val="none" w:sz="0" w:space="0" w:color="auto"/>
            <w:left w:val="none" w:sz="0" w:space="0" w:color="auto"/>
            <w:bottom w:val="none" w:sz="0" w:space="0" w:color="auto"/>
            <w:right w:val="none" w:sz="0" w:space="0" w:color="auto"/>
          </w:divBdr>
        </w:div>
        <w:div w:id="494876578">
          <w:marLeft w:val="640"/>
          <w:marRight w:val="0"/>
          <w:marTop w:val="0"/>
          <w:marBottom w:val="0"/>
          <w:divBdr>
            <w:top w:val="none" w:sz="0" w:space="0" w:color="auto"/>
            <w:left w:val="none" w:sz="0" w:space="0" w:color="auto"/>
            <w:bottom w:val="none" w:sz="0" w:space="0" w:color="auto"/>
            <w:right w:val="none" w:sz="0" w:space="0" w:color="auto"/>
          </w:divBdr>
        </w:div>
        <w:div w:id="1115828702">
          <w:marLeft w:val="640"/>
          <w:marRight w:val="0"/>
          <w:marTop w:val="0"/>
          <w:marBottom w:val="0"/>
          <w:divBdr>
            <w:top w:val="none" w:sz="0" w:space="0" w:color="auto"/>
            <w:left w:val="none" w:sz="0" w:space="0" w:color="auto"/>
            <w:bottom w:val="none" w:sz="0" w:space="0" w:color="auto"/>
            <w:right w:val="none" w:sz="0" w:space="0" w:color="auto"/>
          </w:divBdr>
        </w:div>
        <w:div w:id="534469440">
          <w:marLeft w:val="640"/>
          <w:marRight w:val="0"/>
          <w:marTop w:val="0"/>
          <w:marBottom w:val="0"/>
          <w:divBdr>
            <w:top w:val="none" w:sz="0" w:space="0" w:color="auto"/>
            <w:left w:val="none" w:sz="0" w:space="0" w:color="auto"/>
            <w:bottom w:val="none" w:sz="0" w:space="0" w:color="auto"/>
            <w:right w:val="none" w:sz="0" w:space="0" w:color="auto"/>
          </w:divBdr>
        </w:div>
        <w:div w:id="1555390624">
          <w:marLeft w:val="640"/>
          <w:marRight w:val="0"/>
          <w:marTop w:val="0"/>
          <w:marBottom w:val="0"/>
          <w:divBdr>
            <w:top w:val="none" w:sz="0" w:space="0" w:color="auto"/>
            <w:left w:val="none" w:sz="0" w:space="0" w:color="auto"/>
            <w:bottom w:val="none" w:sz="0" w:space="0" w:color="auto"/>
            <w:right w:val="none" w:sz="0" w:space="0" w:color="auto"/>
          </w:divBdr>
        </w:div>
        <w:div w:id="1099443495">
          <w:marLeft w:val="640"/>
          <w:marRight w:val="0"/>
          <w:marTop w:val="0"/>
          <w:marBottom w:val="0"/>
          <w:divBdr>
            <w:top w:val="none" w:sz="0" w:space="0" w:color="auto"/>
            <w:left w:val="none" w:sz="0" w:space="0" w:color="auto"/>
            <w:bottom w:val="none" w:sz="0" w:space="0" w:color="auto"/>
            <w:right w:val="none" w:sz="0" w:space="0" w:color="auto"/>
          </w:divBdr>
        </w:div>
        <w:div w:id="2054426546">
          <w:marLeft w:val="640"/>
          <w:marRight w:val="0"/>
          <w:marTop w:val="0"/>
          <w:marBottom w:val="0"/>
          <w:divBdr>
            <w:top w:val="none" w:sz="0" w:space="0" w:color="auto"/>
            <w:left w:val="none" w:sz="0" w:space="0" w:color="auto"/>
            <w:bottom w:val="none" w:sz="0" w:space="0" w:color="auto"/>
            <w:right w:val="none" w:sz="0" w:space="0" w:color="auto"/>
          </w:divBdr>
        </w:div>
        <w:div w:id="1204321758">
          <w:marLeft w:val="640"/>
          <w:marRight w:val="0"/>
          <w:marTop w:val="0"/>
          <w:marBottom w:val="0"/>
          <w:divBdr>
            <w:top w:val="none" w:sz="0" w:space="0" w:color="auto"/>
            <w:left w:val="none" w:sz="0" w:space="0" w:color="auto"/>
            <w:bottom w:val="none" w:sz="0" w:space="0" w:color="auto"/>
            <w:right w:val="none" w:sz="0" w:space="0" w:color="auto"/>
          </w:divBdr>
        </w:div>
        <w:div w:id="1114061306">
          <w:marLeft w:val="640"/>
          <w:marRight w:val="0"/>
          <w:marTop w:val="0"/>
          <w:marBottom w:val="0"/>
          <w:divBdr>
            <w:top w:val="none" w:sz="0" w:space="0" w:color="auto"/>
            <w:left w:val="none" w:sz="0" w:space="0" w:color="auto"/>
            <w:bottom w:val="none" w:sz="0" w:space="0" w:color="auto"/>
            <w:right w:val="none" w:sz="0" w:space="0" w:color="auto"/>
          </w:divBdr>
        </w:div>
        <w:div w:id="723061889">
          <w:marLeft w:val="640"/>
          <w:marRight w:val="0"/>
          <w:marTop w:val="0"/>
          <w:marBottom w:val="0"/>
          <w:divBdr>
            <w:top w:val="none" w:sz="0" w:space="0" w:color="auto"/>
            <w:left w:val="none" w:sz="0" w:space="0" w:color="auto"/>
            <w:bottom w:val="none" w:sz="0" w:space="0" w:color="auto"/>
            <w:right w:val="none" w:sz="0" w:space="0" w:color="auto"/>
          </w:divBdr>
        </w:div>
        <w:div w:id="2127039961">
          <w:marLeft w:val="640"/>
          <w:marRight w:val="0"/>
          <w:marTop w:val="0"/>
          <w:marBottom w:val="0"/>
          <w:divBdr>
            <w:top w:val="none" w:sz="0" w:space="0" w:color="auto"/>
            <w:left w:val="none" w:sz="0" w:space="0" w:color="auto"/>
            <w:bottom w:val="none" w:sz="0" w:space="0" w:color="auto"/>
            <w:right w:val="none" w:sz="0" w:space="0" w:color="auto"/>
          </w:divBdr>
        </w:div>
        <w:div w:id="1982415392">
          <w:marLeft w:val="640"/>
          <w:marRight w:val="0"/>
          <w:marTop w:val="0"/>
          <w:marBottom w:val="0"/>
          <w:divBdr>
            <w:top w:val="none" w:sz="0" w:space="0" w:color="auto"/>
            <w:left w:val="none" w:sz="0" w:space="0" w:color="auto"/>
            <w:bottom w:val="none" w:sz="0" w:space="0" w:color="auto"/>
            <w:right w:val="none" w:sz="0" w:space="0" w:color="auto"/>
          </w:divBdr>
        </w:div>
        <w:div w:id="85659576">
          <w:marLeft w:val="640"/>
          <w:marRight w:val="0"/>
          <w:marTop w:val="0"/>
          <w:marBottom w:val="0"/>
          <w:divBdr>
            <w:top w:val="none" w:sz="0" w:space="0" w:color="auto"/>
            <w:left w:val="none" w:sz="0" w:space="0" w:color="auto"/>
            <w:bottom w:val="none" w:sz="0" w:space="0" w:color="auto"/>
            <w:right w:val="none" w:sz="0" w:space="0" w:color="auto"/>
          </w:divBdr>
        </w:div>
        <w:div w:id="532771333">
          <w:marLeft w:val="640"/>
          <w:marRight w:val="0"/>
          <w:marTop w:val="0"/>
          <w:marBottom w:val="0"/>
          <w:divBdr>
            <w:top w:val="none" w:sz="0" w:space="0" w:color="auto"/>
            <w:left w:val="none" w:sz="0" w:space="0" w:color="auto"/>
            <w:bottom w:val="none" w:sz="0" w:space="0" w:color="auto"/>
            <w:right w:val="none" w:sz="0" w:space="0" w:color="auto"/>
          </w:divBdr>
        </w:div>
        <w:div w:id="1634673837">
          <w:marLeft w:val="640"/>
          <w:marRight w:val="0"/>
          <w:marTop w:val="0"/>
          <w:marBottom w:val="0"/>
          <w:divBdr>
            <w:top w:val="none" w:sz="0" w:space="0" w:color="auto"/>
            <w:left w:val="none" w:sz="0" w:space="0" w:color="auto"/>
            <w:bottom w:val="none" w:sz="0" w:space="0" w:color="auto"/>
            <w:right w:val="none" w:sz="0" w:space="0" w:color="auto"/>
          </w:divBdr>
        </w:div>
        <w:div w:id="703795847">
          <w:marLeft w:val="640"/>
          <w:marRight w:val="0"/>
          <w:marTop w:val="0"/>
          <w:marBottom w:val="0"/>
          <w:divBdr>
            <w:top w:val="none" w:sz="0" w:space="0" w:color="auto"/>
            <w:left w:val="none" w:sz="0" w:space="0" w:color="auto"/>
            <w:bottom w:val="none" w:sz="0" w:space="0" w:color="auto"/>
            <w:right w:val="none" w:sz="0" w:space="0" w:color="auto"/>
          </w:divBdr>
        </w:div>
        <w:div w:id="878971966">
          <w:marLeft w:val="640"/>
          <w:marRight w:val="0"/>
          <w:marTop w:val="0"/>
          <w:marBottom w:val="0"/>
          <w:divBdr>
            <w:top w:val="none" w:sz="0" w:space="0" w:color="auto"/>
            <w:left w:val="none" w:sz="0" w:space="0" w:color="auto"/>
            <w:bottom w:val="none" w:sz="0" w:space="0" w:color="auto"/>
            <w:right w:val="none" w:sz="0" w:space="0" w:color="auto"/>
          </w:divBdr>
        </w:div>
        <w:div w:id="763263513">
          <w:marLeft w:val="640"/>
          <w:marRight w:val="0"/>
          <w:marTop w:val="0"/>
          <w:marBottom w:val="0"/>
          <w:divBdr>
            <w:top w:val="none" w:sz="0" w:space="0" w:color="auto"/>
            <w:left w:val="none" w:sz="0" w:space="0" w:color="auto"/>
            <w:bottom w:val="none" w:sz="0" w:space="0" w:color="auto"/>
            <w:right w:val="none" w:sz="0" w:space="0" w:color="auto"/>
          </w:divBdr>
        </w:div>
        <w:div w:id="371612592">
          <w:marLeft w:val="640"/>
          <w:marRight w:val="0"/>
          <w:marTop w:val="0"/>
          <w:marBottom w:val="0"/>
          <w:divBdr>
            <w:top w:val="none" w:sz="0" w:space="0" w:color="auto"/>
            <w:left w:val="none" w:sz="0" w:space="0" w:color="auto"/>
            <w:bottom w:val="none" w:sz="0" w:space="0" w:color="auto"/>
            <w:right w:val="none" w:sz="0" w:space="0" w:color="auto"/>
          </w:divBdr>
        </w:div>
        <w:div w:id="401414193">
          <w:marLeft w:val="640"/>
          <w:marRight w:val="0"/>
          <w:marTop w:val="0"/>
          <w:marBottom w:val="0"/>
          <w:divBdr>
            <w:top w:val="none" w:sz="0" w:space="0" w:color="auto"/>
            <w:left w:val="none" w:sz="0" w:space="0" w:color="auto"/>
            <w:bottom w:val="none" w:sz="0" w:space="0" w:color="auto"/>
            <w:right w:val="none" w:sz="0" w:space="0" w:color="auto"/>
          </w:divBdr>
        </w:div>
        <w:div w:id="1484009101">
          <w:marLeft w:val="640"/>
          <w:marRight w:val="0"/>
          <w:marTop w:val="0"/>
          <w:marBottom w:val="0"/>
          <w:divBdr>
            <w:top w:val="none" w:sz="0" w:space="0" w:color="auto"/>
            <w:left w:val="none" w:sz="0" w:space="0" w:color="auto"/>
            <w:bottom w:val="none" w:sz="0" w:space="0" w:color="auto"/>
            <w:right w:val="none" w:sz="0" w:space="0" w:color="auto"/>
          </w:divBdr>
        </w:div>
        <w:div w:id="1922640596">
          <w:marLeft w:val="640"/>
          <w:marRight w:val="0"/>
          <w:marTop w:val="0"/>
          <w:marBottom w:val="0"/>
          <w:divBdr>
            <w:top w:val="none" w:sz="0" w:space="0" w:color="auto"/>
            <w:left w:val="none" w:sz="0" w:space="0" w:color="auto"/>
            <w:bottom w:val="none" w:sz="0" w:space="0" w:color="auto"/>
            <w:right w:val="none" w:sz="0" w:space="0" w:color="auto"/>
          </w:divBdr>
        </w:div>
        <w:div w:id="1734622503">
          <w:marLeft w:val="640"/>
          <w:marRight w:val="0"/>
          <w:marTop w:val="0"/>
          <w:marBottom w:val="0"/>
          <w:divBdr>
            <w:top w:val="none" w:sz="0" w:space="0" w:color="auto"/>
            <w:left w:val="none" w:sz="0" w:space="0" w:color="auto"/>
            <w:bottom w:val="none" w:sz="0" w:space="0" w:color="auto"/>
            <w:right w:val="none" w:sz="0" w:space="0" w:color="auto"/>
          </w:divBdr>
        </w:div>
        <w:div w:id="4671900">
          <w:marLeft w:val="640"/>
          <w:marRight w:val="0"/>
          <w:marTop w:val="0"/>
          <w:marBottom w:val="0"/>
          <w:divBdr>
            <w:top w:val="none" w:sz="0" w:space="0" w:color="auto"/>
            <w:left w:val="none" w:sz="0" w:space="0" w:color="auto"/>
            <w:bottom w:val="none" w:sz="0" w:space="0" w:color="auto"/>
            <w:right w:val="none" w:sz="0" w:space="0" w:color="auto"/>
          </w:divBdr>
        </w:div>
        <w:div w:id="1989505584">
          <w:marLeft w:val="640"/>
          <w:marRight w:val="0"/>
          <w:marTop w:val="0"/>
          <w:marBottom w:val="0"/>
          <w:divBdr>
            <w:top w:val="none" w:sz="0" w:space="0" w:color="auto"/>
            <w:left w:val="none" w:sz="0" w:space="0" w:color="auto"/>
            <w:bottom w:val="none" w:sz="0" w:space="0" w:color="auto"/>
            <w:right w:val="none" w:sz="0" w:space="0" w:color="auto"/>
          </w:divBdr>
        </w:div>
        <w:div w:id="244148119">
          <w:marLeft w:val="640"/>
          <w:marRight w:val="0"/>
          <w:marTop w:val="0"/>
          <w:marBottom w:val="0"/>
          <w:divBdr>
            <w:top w:val="none" w:sz="0" w:space="0" w:color="auto"/>
            <w:left w:val="none" w:sz="0" w:space="0" w:color="auto"/>
            <w:bottom w:val="none" w:sz="0" w:space="0" w:color="auto"/>
            <w:right w:val="none" w:sz="0" w:space="0" w:color="auto"/>
          </w:divBdr>
        </w:div>
        <w:div w:id="491028004">
          <w:marLeft w:val="640"/>
          <w:marRight w:val="0"/>
          <w:marTop w:val="0"/>
          <w:marBottom w:val="0"/>
          <w:divBdr>
            <w:top w:val="none" w:sz="0" w:space="0" w:color="auto"/>
            <w:left w:val="none" w:sz="0" w:space="0" w:color="auto"/>
            <w:bottom w:val="none" w:sz="0" w:space="0" w:color="auto"/>
            <w:right w:val="none" w:sz="0" w:space="0" w:color="auto"/>
          </w:divBdr>
        </w:div>
        <w:div w:id="1875117488">
          <w:marLeft w:val="640"/>
          <w:marRight w:val="0"/>
          <w:marTop w:val="0"/>
          <w:marBottom w:val="0"/>
          <w:divBdr>
            <w:top w:val="none" w:sz="0" w:space="0" w:color="auto"/>
            <w:left w:val="none" w:sz="0" w:space="0" w:color="auto"/>
            <w:bottom w:val="none" w:sz="0" w:space="0" w:color="auto"/>
            <w:right w:val="none" w:sz="0" w:space="0" w:color="auto"/>
          </w:divBdr>
        </w:div>
        <w:div w:id="66657862">
          <w:marLeft w:val="640"/>
          <w:marRight w:val="0"/>
          <w:marTop w:val="0"/>
          <w:marBottom w:val="0"/>
          <w:divBdr>
            <w:top w:val="none" w:sz="0" w:space="0" w:color="auto"/>
            <w:left w:val="none" w:sz="0" w:space="0" w:color="auto"/>
            <w:bottom w:val="none" w:sz="0" w:space="0" w:color="auto"/>
            <w:right w:val="none" w:sz="0" w:space="0" w:color="auto"/>
          </w:divBdr>
        </w:div>
        <w:div w:id="1409569234">
          <w:marLeft w:val="640"/>
          <w:marRight w:val="0"/>
          <w:marTop w:val="0"/>
          <w:marBottom w:val="0"/>
          <w:divBdr>
            <w:top w:val="none" w:sz="0" w:space="0" w:color="auto"/>
            <w:left w:val="none" w:sz="0" w:space="0" w:color="auto"/>
            <w:bottom w:val="none" w:sz="0" w:space="0" w:color="auto"/>
            <w:right w:val="none" w:sz="0" w:space="0" w:color="auto"/>
          </w:divBdr>
        </w:div>
        <w:div w:id="1415584923">
          <w:marLeft w:val="640"/>
          <w:marRight w:val="0"/>
          <w:marTop w:val="0"/>
          <w:marBottom w:val="0"/>
          <w:divBdr>
            <w:top w:val="none" w:sz="0" w:space="0" w:color="auto"/>
            <w:left w:val="none" w:sz="0" w:space="0" w:color="auto"/>
            <w:bottom w:val="none" w:sz="0" w:space="0" w:color="auto"/>
            <w:right w:val="none" w:sz="0" w:space="0" w:color="auto"/>
          </w:divBdr>
        </w:div>
        <w:div w:id="802382164">
          <w:marLeft w:val="640"/>
          <w:marRight w:val="0"/>
          <w:marTop w:val="0"/>
          <w:marBottom w:val="0"/>
          <w:divBdr>
            <w:top w:val="none" w:sz="0" w:space="0" w:color="auto"/>
            <w:left w:val="none" w:sz="0" w:space="0" w:color="auto"/>
            <w:bottom w:val="none" w:sz="0" w:space="0" w:color="auto"/>
            <w:right w:val="none" w:sz="0" w:space="0" w:color="auto"/>
          </w:divBdr>
        </w:div>
        <w:div w:id="973295921">
          <w:marLeft w:val="640"/>
          <w:marRight w:val="0"/>
          <w:marTop w:val="0"/>
          <w:marBottom w:val="0"/>
          <w:divBdr>
            <w:top w:val="none" w:sz="0" w:space="0" w:color="auto"/>
            <w:left w:val="none" w:sz="0" w:space="0" w:color="auto"/>
            <w:bottom w:val="none" w:sz="0" w:space="0" w:color="auto"/>
            <w:right w:val="none" w:sz="0" w:space="0" w:color="auto"/>
          </w:divBdr>
        </w:div>
        <w:div w:id="1402365496">
          <w:marLeft w:val="640"/>
          <w:marRight w:val="0"/>
          <w:marTop w:val="0"/>
          <w:marBottom w:val="0"/>
          <w:divBdr>
            <w:top w:val="none" w:sz="0" w:space="0" w:color="auto"/>
            <w:left w:val="none" w:sz="0" w:space="0" w:color="auto"/>
            <w:bottom w:val="none" w:sz="0" w:space="0" w:color="auto"/>
            <w:right w:val="none" w:sz="0" w:space="0" w:color="auto"/>
          </w:divBdr>
        </w:div>
        <w:div w:id="1052386460">
          <w:marLeft w:val="640"/>
          <w:marRight w:val="0"/>
          <w:marTop w:val="0"/>
          <w:marBottom w:val="0"/>
          <w:divBdr>
            <w:top w:val="none" w:sz="0" w:space="0" w:color="auto"/>
            <w:left w:val="none" w:sz="0" w:space="0" w:color="auto"/>
            <w:bottom w:val="none" w:sz="0" w:space="0" w:color="auto"/>
            <w:right w:val="none" w:sz="0" w:space="0" w:color="auto"/>
          </w:divBdr>
        </w:div>
        <w:div w:id="323629974">
          <w:marLeft w:val="640"/>
          <w:marRight w:val="0"/>
          <w:marTop w:val="0"/>
          <w:marBottom w:val="0"/>
          <w:divBdr>
            <w:top w:val="none" w:sz="0" w:space="0" w:color="auto"/>
            <w:left w:val="none" w:sz="0" w:space="0" w:color="auto"/>
            <w:bottom w:val="none" w:sz="0" w:space="0" w:color="auto"/>
            <w:right w:val="none" w:sz="0" w:space="0" w:color="auto"/>
          </w:divBdr>
        </w:div>
        <w:div w:id="447239030">
          <w:marLeft w:val="640"/>
          <w:marRight w:val="0"/>
          <w:marTop w:val="0"/>
          <w:marBottom w:val="0"/>
          <w:divBdr>
            <w:top w:val="none" w:sz="0" w:space="0" w:color="auto"/>
            <w:left w:val="none" w:sz="0" w:space="0" w:color="auto"/>
            <w:bottom w:val="none" w:sz="0" w:space="0" w:color="auto"/>
            <w:right w:val="none" w:sz="0" w:space="0" w:color="auto"/>
          </w:divBdr>
        </w:div>
        <w:div w:id="709843727">
          <w:marLeft w:val="640"/>
          <w:marRight w:val="0"/>
          <w:marTop w:val="0"/>
          <w:marBottom w:val="0"/>
          <w:divBdr>
            <w:top w:val="none" w:sz="0" w:space="0" w:color="auto"/>
            <w:left w:val="none" w:sz="0" w:space="0" w:color="auto"/>
            <w:bottom w:val="none" w:sz="0" w:space="0" w:color="auto"/>
            <w:right w:val="none" w:sz="0" w:space="0" w:color="auto"/>
          </w:divBdr>
        </w:div>
        <w:div w:id="1060514095">
          <w:marLeft w:val="640"/>
          <w:marRight w:val="0"/>
          <w:marTop w:val="0"/>
          <w:marBottom w:val="0"/>
          <w:divBdr>
            <w:top w:val="none" w:sz="0" w:space="0" w:color="auto"/>
            <w:left w:val="none" w:sz="0" w:space="0" w:color="auto"/>
            <w:bottom w:val="none" w:sz="0" w:space="0" w:color="auto"/>
            <w:right w:val="none" w:sz="0" w:space="0" w:color="auto"/>
          </w:divBdr>
        </w:div>
        <w:div w:id="1779984394">
          <w:marLeft w:val="640"/>
          <w:marRight w:val="0"/>
          <w:marTop w:val="0"/>
          <w:marBottom w:val="0"/>
          <w:divBdr>
            <w:top w:val="none" w:sz="0" w:space="0" w:color="auto"/>
            <w:left w:val="none" w:sz="0" w:space="0" w:color="auto"/>
            <w:bottom w:val="none" w:sz="0" w:space="0" w:color="auto"/>
            <w:right w:val="none" w:sz="0" w:space="0" w:color="auto"/>
          </w:divBdr>
        </w:div>
        <w:div w:id="1094478879">
          <w:marLeft w:val="640"/>
          <w:marRight w:val="0"/>
          <w:marTop w:val="0"/>
          <w:marBottom w:val="0"/>
          <w:divBdr>
            <w:top w:val="none" w:sz="0" w:space="0" w:color="auto"/>
            <w:left w:val="none" w:sz="0" w:space="0" w:color="auto"/>
            <w:bottom w:val="none" w:sz="0" w:space="0" w:color="auto"/>
            <w:right w:val="none" w:sz="0" w:space="0" w:color="auto"/>
          </w:divBdr>
        </w:div>
        <w:div w:id="793255400">
          <w:marLeft w:val="640"/>
          <w:marRight w:val="0"/>
          <w:marTop w:val="0"/>
          <w:marBottom w:val="0"/>
          <w:divBdr>
            <w:top w:val="none" w:sz="0" w:space="0" w:color="auto"/>
            <w:left w:val="none" w:sz="0" w:space="0" w:color="auto"/>
            <w:bottom w:val="none" w:sz="0" w:space="0" w:color="auto"/>
            <w:right w:val="none" w:sz="0" w:space="0" w:color="auto"/>
          </w:divBdr>
        </w:div>
        <w:div w:id="1391341921">
          <w:marLeft w:val="640"/>
          <w:marRight w:val="0"/>
          <w:marTop w:val="0"/>
          <w:marBottom w:val="0"/>
          <w:divBdr>
            <w:top w:val="none" w:sz="0" w:space="0" w:color="auto"/>
            <w:left w:val="none" w:sz="0" w:space="0" w:color="auto"/>
            <w:bottom w:val="none" w:sz="0" w:space="0" w:color="auto"/>
            <w:right w:val="none" w:sz="0" w:space="0" w:color="auto"/>
          </w:divBdr>
        </w:div>
        <w:div w:id="1771242815">
          <w:marLeft w:val="640"/>
          <w:marRight w:val="0"/>
          <w:marTop w:val="0"/>
          <w:marBottom w:val="0"/>
          <w:divBdr>
            <w:top w:val="none" w:sz="0" w:space="0" w:color="auto"/>
            <w:left w:val="none" w:sz="0" w:space="0" w:color="auto"/>
            <w:bottom w:val="none" w:sz="0" w:space="0" w:color="auto"/>
            <w:right w:val="none" w:sz="0" w:space="0" w:color="auto"/>
          </w:divBdr>
        </w:div>
        <w:div w:id="1957104986">
          <w:marLeft w:val="640"/>
          <w:marRight w:val="0"/>
          <w:marTop w:val="0"/>
          <w:marBottom w:val="0"/>
          <w:divBdr>
            <w:top w:val="none" w:sz="0" w:space="0" w:color="auto"/>
            <w:left w:val="none" w:sz="0" w:space="0" w:color="auto"/>
            <w:bottom w:val="none" w:sz="0" w:space="0" w:color="auto"/>
            <w:right w:val="none" w:sz="0" w:space="0" w:color="auto"/>
          </w:divBdr>
        </w:div>
        <w:div w:id="1973706327">
          <w:marLeft w:val="640"/>
          <w:marRight w:val="0"/>
          <w:marTop w:val="0"/>
          <w:marBottom w:val="0"/>
          <w:divBdr>
            <w:top w:val="none" w:sz="0" w:space="0" w:color="auto"/>
            <w:left w:val="none" w:sz="0" w:space="0" w:color="auto"/>
            <w:bottom w:val="none" w:sz="0" w:space="0" w:color="auto"/>
            <w:right w:val="none" w:sz="0" w:space="0" w:color="auto"/>
          </w:divBdr>
        </w:div>
        <w:div w:id="1464881400">
          <w:marLeft w:val="640"/>
          <w:marRight w:val="0"/>
          <w:marTop w:val="0"/>
          <w:marBottom w:val="0"/>
          <w:divBdr>
            <w:top w:val="none" w:sz="0" w:space="0" w:color="auto"/>
            <w:left w:val="none" w:sz="0" w:space="0" w:color="auto"/>
            <w:bottom w:val="none" w:sz="0" w:space="0" w:color="auto"/>
            <w:right w:val="none" w:sz="0" w:space="0" w:color="auto"/>
          </w:divBdr>
        </w:div>
        <w:div w:id="2145653013">
          <w:marLeft w:val="640"/>
          <w:marRight w:val="0"/>
          <w:marTop w:val="0"/>
          <w:marBottom w:val="0"/>
          <w:divBdr>
            <w:top w:val="none" w:sz="0" w:space="0" w:color="auto"/>
            <w:left w:val="none" w:sz="0" w:space="0" w:color="auto"/>
            <w:bottom w:val="none" w:sz="0" w:space="0" w:color="auto"/>
            <w:right w:val="none" w:sz="0" w:space="0" w:color="auto"/>
          </w:divBdr>
        </w:div>
        <w:div w:id="76096224">
          <w:marLeft w:val="640"/>
          <w:marRight w:val="0"/>
          <w:marTop w:val="0"/>
          <w:marBottom w:val="0"/>
          <w:divBdr>
            <w:top w:val="none" w:sz="0" w:space="0" w:color="auto"/>
            <w:left w:val="none" w:sz="0" w:space="0" w:color="auto"/>
            <w:bottom w:val="none" w:sz="0" w:space="0" w:color="auto"/>
            <w:right w:val="none" w:sz="0" w:space="0" w:color="auto"/>
          </w:divBdr>
        </w:div>
        <w:div w:id="806318058">
          <w:marLeft w:val="640"/>
          <w:marRight w:val="0"/>
          <w:marTop w:val="0"/>
          <w:marBottom w:val="0"/>
          <w:divBdr>
            <w:top w:val="none" w:sz="0" w:space="0" w:color="auto"/>
            <w:left w:val="none" w:sz="0" w:space="0" w:color="auto"/>
            <w:bottom w:val="none" w:sz="0" w:space="0" w:color="auto"/>
            <w:right w:val="none" w:sz="0" w:space="0" w:color="auto"/>
          </w:divBdr>
        </w:div>
        <w:div w:id="1832988993">
          <w:marLeft w:val="640"/>
          <w:marRight w:val="0"/>
          <w:marTop w:val="0"/>
          <w:marBottom w:val="0"/>
          <w:divBdr>
            <w:top w:val="none" w:sz="0" w:space="0" w:color="auto"/>
            <w:left w:val="none" w:sz="0" w:space="0" w:color="auto"/>
            <w:bottom w:val="none" w:sz="0" w:space="0" w:color="auto"/>
            <w:right w:val="none" w:sz="0" w:space="0" w:color="auto"/>
          </w:divBdr>
        </w:div>
        <w:div w:id="564728113">
          <w:marLeft w:val="640"/>
          <w:marRight w:val="0"/>
          <w:marTop w:val="0"/>
          <w:marBottom w:val="0"/>
          <w:divBdr>
            <w:top w:val="none" w:sz="0" w:space="0" w:color="auto"/>
            <w:left w:val="none" w:sz="0" w:space="0" w:color="auto"/>
            <w:bottom w:val="none" w:sz="0" w:space="0" w:color="auto"/>
            <w:right w:val="none" w:sz="0" w:space="0" w:color="auto"/>
          </w:divBdr>
        </w:div>
        <w:div w:id="1339193659">
          <w:marLeft w:val="640"/>
          <w:marRight w:val="0"/>
          <w:marTop w:val="0"/>
          <w:marBottom w:val="0"/>
          <w:divBdr>
            <w:top w:val="none" w:sz="0" w:space="0" w:color="auto"/>
            <w:left w:val="none" w:sz="0" w:space="0" w:color="auto"/>
            <w:bottom w:val="none" w:sz="0" w:space="0" w:color="auto"/>
            <w:right w:val="none" w:sz="0" w:space="0" w:color="auto"/>
          </w:divBdr>
        </w:div>
        <w:div w:id="902906752">
          <w:marLeft w:val="640"/>
          <w:marRight w:val="0"/>
          <w:marTop w:val="0"/>
          <w:marBottom w:val="0"/>
          <w:divBdr>
            <w:top w:val="none" w:sz="0" w:space="0" w:color="auto"/>
            <w:left w:val="none" w:sz="0" w:space="0" w:color="auto"/>
            <w:bottom w:val="none" w:sz="0" w:space="0" w:color="auto"/>
            <w:right w:val="none" w:sz="0" w:space="0" w:color="auto"/>
          </w:divBdr>
        </w:div>
        <w:div w:id="2133665689">
          <w:marLeft w:val="640"/>
          <w:marRight w:val="0"/>
          <w:marTop w:val="0"/>
          <w:marBottom w:val="0"/>
          <w:divBdr>
            <w:top w:val="none" w:sz="0" w:space="0" w:color="auto"/>
            <w:left w:val="none" w:sz="0" w:space="0" w:color="auto"/>
            <w:bottom w:val="none" w:sz="0" w:space="0" w:color="auto"/>
            <w:right w:val="none" w:sz="0" w:space="0" w:color="auto"/>
          </w:divBdr>
        </w:div>
        <w:div w:id="979502820">
          <w:marLeft w:val="640"/>
          <w:marRight w:val="0"/>
          <w:marTop w:val="0"/>
          <w:marBottom w:val="0"/>
          <w:divBdr>
            <w:top w:val="none" w:sz="0" w:space="0" w:color="auto"/>
            <w:left w:val="none" w:sz="0" w:space="0" w:color="auto"/>
            <w:bottom w:val="none" w:sz="0" w:space="0" w:color="auto"/>
            <w:right w:val="none" w:sz="0" w:space="0" w:color="auto"/>
          </w:divBdr>
        </w:div>
        <w:div w:id="470052142">
          <w:marLeft w:val="640"/>
          <w:marRight w:val="0"/>
          <w:marTop w:val="0"/>
          <w:marBottom w:val="0"/>
          <w:divBdr>
            <w:top w:val="none" w:sz="0" w:space="0" w:color="auto"/>
            <w:left w:val="none" w:sz="0" w:space="0" w:color="auto"/>
            <w:bottom w:val="none" w:sz="0" w:space="0" w:color="auto"/>
            <w:right w:val="none" w:sz="0" w:space="0" w:color="auto"/>
          </w:divBdr>
        </w:div>
        <w:div w:id="1964119028">
          <w:marLeft w:val="640"/>
          <w:marRight w:val="0"/>
          <w:marTop w:val="0"/>
          <w:marBottom w:val="0"/>
          <w:divBdr>
            <w:top w:val="none" w:sz="0" w:space="0" w:color="auto"/>
            <w:left w:val="none" w:sz="0" w:space="0" w:color="auto"/>
            <w:bottom w:val="none" w:sz="0" w:space="0" w:color="auto"/>
            <w:right w:val="none" w:sz="0" w:space="0" w:color="auto"/>
          </w:divBdr>
        </w:div>
        <w:div w:id="1546329584">
          <w:marLeft w:val="640"/>
          <w:marRight w:val="0"/>
          <w:marTop w:val="0"/>
          <w:marBottom w:val="0"/>
          <w:divBdr>
            <w:top w:val="none" w:sz="0" w:space="0" w:color="auto"/>
            <w:left w:val="none" w:sz="0" w:space="0" w:color="auto"/>
            <w:bottom w:val="none" w:sz="0" w:space="0" w:color="auto"/>
            <w:right w:val="none" w:sz="0" w:space="0" w:color="auto"/>
          </w:divBdr>
        </w:div>
        <w:div w:id="1040086182">
          <w:marLeft w:val="640"/>
          <w:marRight w:val="0"/>
          <w:marTop w:val="0"/>
          <w:marBottom w:val="0"/>
          <w:divBdr>
            <w:top w:val="none" w:sz="0" w:space="0" w:color="auto"/>
            <w:left w:val="none" w:sz="0" w:space="0" w:color="auto"/>
            <w:bottom w:val="none" w:sz="0" w:space="0" w:color="auto"/>
            <w:right w:val="none" w:sz="0" w:space="0" w:color="auto"/>
          </w:divBdr>
        </w:div>
        <w:div w:id="951060116">
          <w:marLeft w:val="640"/>
          <w:marRight w:val="0"/>
          <w:marTop w:val="0"/>
          <w:marBottom w:val="0"/>
          <w:divBdr>
            <w:top w:val="none" w:sz="0" w:space="0" w:color="auto"/>
            <w:left w:val="none" w:sz="0" w:space="0" w:color="auto"/>
            <w:bottom w:val="none" w:sz="0" w:space="0" w:color="auto"/>
            <w:right w:val="none" w:sz="0" w:space="0" w:color="auto"/>
          </w:divBdr>
        </w:div>
        <w:div w:id="1152408647">
          <w:marLeft w:val="640"/>
          <w:marRight w:val="0"/>
          <w:marTop w:val="0"/>
          <w:marBottom w:val="0"/>
          <w:divBdr>
            <w:top w:val="none" w:sz="0" w:space="0" w:color="auto"/>
            <w:left w:val="none" w:sz="0" w:space="0" w:color="auto"/>
            <w:bottom w:val="none" w:sz="0" w:space="0" w:color="auto"/>
            <w:right w:val="none" w:sz="0" w:space="0" w:color="auto"/>
          </w:divBdr>
        </w:div>
        <w:div w:id="553003074">
          <w:marLeft w:val="640"/>
          <w:marRight w:val="0"/>
          <w:marTop w:val="0"/>
          <w:marBottom w:val="0"/>
          <w:divBdr>
            <w:top w:val="none" w:sz="0" w:space="0" w:color="auto"/>
            <w:left w:val="none" w:sz="0" w:space="0" w:color="auto"/>
            <w:bottom w:val="none" w:sz="0" w:space="0" w:color="auto"/>
            <w:right w:val="none" w:sz="0" w:space="0" w:color="auto"/>
          </w:divBdr>
        </w:div>
        <w:div w:id="2010674013">
          <w:marLeft w:val="640"/>
          <w:marRight w:val="0"/>
          <w:marTop w:val="0"/>
          <w:marBottom w:val="0"/>
          <w:divBdr>
            <w:top w:val="none" w:sz="0" w:space="0" w:color="auto"/>
            <w:left w:val="none" w:sz="0" w:space="0" w:color="auto"/>
            <w:bottom w:val="none" w:sz="0" w:space="0" w:color="auto"/>
            <w:right w:val="none" w:sz="0" w:space="0" w:color="auto"/>
          </w:divBdr>
        </w:div>
        <w:div w:id="88234270">
          <w:marLeft w:val="640"/>
          <w:marRight w:val="0"/>
          <w:marTop w:val="0"/>
          <w:marBottom w:val="0"/>
          <w:divBdr>
            <w:top w:val="none" w:sz="0" w:space="0" w:color="auto"/>
            <w:left w:val="none" w:sz="0" w:space="0" w:color="auto"/>
            <w:bottom w:val="none" w:sz="0" w:space="0" w:color="auto"/>
            <w:right w:val="none" w:sz="0" w:space="0" w:color="auto"/>
          </w:divBdr>
        </w:div>
        <w:div w:id="1799906878">
          <w:marLeft w:val="640"/>
          <w:marRight w:val="0"/>
          <w:marTop w:val="0"/>
          <w:marBottom w:val="0"/>
          <w:divBdr>
            <w:top w:val="none" w:sz="0" w:space="0" w:color="auto"/>
            <w:left w:val="none" w:sz="0" w:space="0" w:color="auto"/>
            <w:bottom w:val="none" w:sz="0" w:space="0" w:color="auto"/>
            <w:right w:val="none" w:sz="0" w:space="0" w:color="auto"/>
          </w:divBdr>
        </w:div>
        <w:div w:id="1638291366">
          <w:marLeft w:val="640"/>
          <w:marRight w:val="0"/>
          <w:marTop w:val="0"/>
          <w:marBottom w:val="0"/>
          <w:divBdr>
            <w:top w:val="none" w:sz="0" w:space="0" w:color="auto"/>
            <w:left w:val="none" w:sz="0" w:space="0" w:color="auto"/>
            <w:bottom w:val="none" w:sz="0" w:space="0" w:color="auto"/>
            <w:right w:val="none" w:sz="0" w:space="0" w:color="auto"/>
          </w:divBdr>
        </w:div>
        <w:div w:id="1287656738">
          <w:marLeft w:val="640"/>
          <w:marRight w:val="0"/>
          <w:marTop w:val="0"/>
          <w:marBottom w:val="0"/>
          <w:divBdr>
            <w:top w:val="none" w:sz="0" w:space="0" w:color="auto"/>
            <w:left w:val="none" w:sz="0" w:space="0" w:color="auto"/>
            <w:bottom w:val="none" w:sz="0" w:space="0" w:color="auto"/>
            <w:right w:val="none" w:sz="0" w:space="0" w:color="auto"/>
          </w:divBdr>
        </w:div>
        <w:div w:id="412826352">
          <w:marLeft w:val="640"/>
          <w:marRight w:val="0"/>
          <w:marTop w:val="0"/>
          <w:marBottom w:val="0"/>
          <w:divBdr>
            <w:top w:val="none" w:sz="0" w:space="0" w:color="auto"/>
            <w:left w:val="none" w:sz="0" w:space="0" w:color="auto"/>
            <w:bottom w:val="none" w:sz="0" w:space="0" w:color="auto"/>
            <w:right w:val="none" w:sz="0" w:space="0" w:color="auto"/>
          </w:divBdr>
        </w:div>
        <w:div w:id="2055618564">
          <w:marLeft w:val="640"/>
          <w:marRight w:val="0"/>
          <w:marTop w:val="0"/>
          <w:marBottom w:val="0"/>
          <w:divBdr>
            <w:top w:val="none" w:sz="0" w:space="0" w:color="auto"/>
            <w:left w:val="none" w:sz="0" w:space="0" w:color="auto"/>
            <w:bottom w:val="none" w:sz="0" w:space="0" w:color="auto"/>
            <w:right w:val="none" w:sz="0" w:space="0" w:color="auto"/>
          </w:divBdr>
        </w:div>
        <w:div w:id="1327392306">
          <w:marLeft w:val="640"/>
          <w:marRight w:val="0"/>
          <w:marTop w:val="0"/>
          <w:marBottom w:val="0"/>
          <w:divBdr>
            <w:top w:val="none" w:sz="0" w:space="0" w:color="auto"/>
            <w:left w:val="none" w:sz="0" w:space="0" w:color="auto"/>
            <w:bottom w:val="none" w:sz="0" w:space="0" w:color="auto"/>
            <w:right w:val="none" w:sz="0" w:space="0" w:color="auto"/>
          </w:divBdr>
        </w:div>
        <w:div w:id="1977680943">
          <w:marLeft w:val="640"/>
          <w:marRight w:val="0"/>
          <w:marTop w:val="0"/>
          <w:marBottom w:val="0"/>
          <w:divBdr>
            <w:top w:val="none" w:sz="0" w:space="0" w:color="auto"/>
            <w:left w:val="none" w:sz="0" w:space="0" w:color="auto"/>
            <w:bottom w:val="none" w:sz="0" w:space="0" w:color="auto"/>
            <w:right w:val="none" w:sz="0" w:space="0" w:color="auto"/>
          </w:divBdr>
        </w:div>
        <w:div w:id="160851684">
          <w:marLeft w:val="640"/>
          <w:marRight w:val="0"/>
          <w:marTop w:val="0"/>
          <w:marBottom w:val="0"/>
          <w:divBdr>
            <w:top w:val="none" w:sz="0" w:space="0" w:color="auto"/>
            <w:left w:val="none" w:sz="0" w:space="0" w:color="auto"/>
            <w:bottom w:val="none" w:sz="0" w:space="0" w:color="auto"/>
            <w:right w:val="none" w:sz="0" w:space="0" w:color="auto"/>
          </w:divBdr>
        </w:div>
        <w:div w:id="1517882386">
          <w:marLeft w:val="640"/>
          <w:marRight w:val="0"/>
          <w:marTop w:val="0"/>
          <w:marBottom w:val="0"/>
          <w:divBdr>
            <w:top w:val="none" w:sz="0" w:space="0" w:color="auto"/>
            <w:left w:val="none" w:sz="0" w:space="0" w:color="auto"/>
            <w:bottom w:val="none" w:sz="0" w:space="0" w:color="auto"/>
            <w:right w:val="none" w:sz="0" w:space="0" w:color="auto"/>
          </w:divBdr>
        </w:div>
        <w:div w:id="160551">
          <w:marLeft w:val="640"/>
          <w:marRight w:val="0"/>
          <w:marTop w:val="0"/>
          <w:marBottom w:val="0"/>
          <w:divBdr>
            <w:top w:val="none" w:sz="0" w:space="0" w:color="auto"/>
            <w:left w:val="none" w:sz="0" w:space="0" w:color="auto"/>
            <w:bottom w:val="none" w:sz="0" w:space="0" w:color="auto"/>
            <w:right w:val="none" w:sz="0" w:space="0" w:color="auto"/>
          </w:divBdr>
        </w:div>
        <w:div w:id="992488048">
          <w:marLeft w:val="640"/>
          <w:marRight w:val="0"/>
          <w:marTop w:val="0"/>
          <w:marBottom w:val="0"/>
          <w:divBdr>
            <w:top w:val="none" w:sz="0" w:space="0" w:color="auto"/>
            <w:left w:val="none" w:sz="0" w:space="0" w:color="auto"/>
            <w:bottom w:val="none" w:sz="0" w:space="0" w:color="auto"/>
            <w:right w:val="none" w:sz="0" w:space="0" w:color="auto"/>
          </w:divBdr>
        </w:div>
        <w:div w:id="737020264">
          <w:marLeft w:val="640"/>
          <w:marRight w:val="0"/>
          <w:marTop w:val="0"/>
          <w:marBottom w:val="0"/>
          <w:divBdr>
            <w:top w:val="none" w:sz="0" w:space="0" w:color="auto"/>
            <w:left w:val="none" w:sz="0" w:space="0" w:color="auto"/>
            <w:bottom w:val="none" w:sz="0" w:space="0" w:color="auto"/>
            <w:right w:val="none" w:sz="0" w:space="0" w:color="auto"/>
          </w:divBdr>
        </w:div>
        <w:div w:id="895431294">
          <w:marLeft w:val="640"/>
          <w:marRight w:val="0"/>
          <w:marTop w:val="0"/>
          <w:marBottom w:val="0"/>
          <w:divBdr>
            <w:top w:val="none" w:sz="0" w:space="0" w:color="auto"/>
            <w:left w:val="none" w:sz="0" w:space="0" w:color="auto"/>
            <w:bottom w:val="none" w:sz="0" w:space="0" w:color="auto"/>
            <w:right w:val="none" w:sz="0" w:space="0" w:color="auto"/>
          </w:divBdr>
        </w:div>
        <w:div w:id="304161873">
          <w:marLeft w:val="640"/>
          <w:marRight w:val="0"/>
          <w:marTop w:val="0"/>
          <w:marBottom w:val="0"/>
          <w:divBdr>
            <w:top w:val="none" w:sz="0" w:space="0" w:color="auto"/>
            <w:left w:val="none" w:sz="0" w:space="0" w:color="auto"/>
            <w:bottom w:val="none" w:sz="0" w:space="0" w:color="auto"/>
            <w:right w:val="none" w:sz="0" w:space="0" w:color="auto"/>
          </w:divBdr>
        </w:div>
        <w:div w:id="50857875">
          <w:marLeft w:val="640"/>
          <w:marRight w:val="0"/>
          <w:marTop w:val="0"/>
          <w:marBottom w:val="0"/>
          <w:divBdr>
            <w:top w:val="none" w:sz="0" w:space="0" w:color="auto"/>
            <w:left w:val="none" w:sz="0" w:space="0" w:color="auto"/>
            <w:bottom w:val="none" w:sz="0" w:space="0" w:color="auto"/>
            <w:right w:val="none" w:sz="0" w:space="0" w:color="auto"/>
          </w:divBdr>
        </w:div>
        <w:div w:id="147748905">
          <w:marLeft w:val="640"/>
          <w:marRight w:val="0"/>
          <w:marTop w:val="0"/>
          <w:marBottom w:val="0"/>
          <w:divBdr>
            <w:top w:val="none" w:sz="0" w:space="0" w:color="auto"/>
            <w:left w:val="none" w:sz="0" w:space="0" w:color="auto"/>
            <w:bottom w:val="none" w:sz="0" w:space="0" w:color="auto"/>
            <w:right w:val="none" w:sz="0" w:space="0" w:color="auto"/>
          </w:divBdr>
        </w:div>
        <w:div w:id="2038508884">
          <w:marLeft w:val="640"/>
          <w:marRight w:val="0"/>
          <w:marTop w:val="0"/>
          <w:marBottom w:val="0"/>
          <w:divBdr>
            <w:top w:val="none" w:sz="0" w:space="0" w:color="auto"/>
            <w:left w:val="none" w:sz="0" w:space="0" w:color="auto"/>
            <w:bottom w:val="none" w:sz="0" w:space="0" w:color="auto"/>
            <w:right w:val="none" w:sz="0" w:space="0" w:color="auto"/>
          </w:divBdr>
        </w:div>
        <w:div w:id="1692757001">
          <w:marLeft w:val="640"/>
          <w:marRight w:val="0"/>
          <w:marTop w:val="0"/>
          <w:marBottom w:val="0"/>
          <w:divBdr>
            <w:top w:val="none" w:sz="0" w:space="0" w:color="auto"/>
            <w:left w:val="none" w:sz="0" w:space="0" w:color="auto"/>
            <w:bottom w:val="none" w:sz="0" w:space="0" w:color="auto"/>
            <w:right w:val="none" w:sz="0" w:space="0" w:color="auto"/>
          </w:divBdr>
        </w:div>
        <w:div w:id="105278519">
          <w:marLeft w:val="640"/>
          <w:marRight w:val="0"/>
          <w:marTop w:val="0"/>
          <w:marBottom w:val="0"/>
          <w:divBdr>
            <w:top w:val="none" w:sz="0" w:space="0" w:color="auto"/>
            <w:left w:val="none" w:sz="0" w:space="0" w:color="auto"/>
            <w:bottom w:val="none" w:sz="0" w:space="0" w:color="auto"/>
            <w:right w:val="none" w:sz="0" w:space="0" w:color="auto"/>
          </w:divBdr>
        </w:div>
        <w:div w:id="210381796">
          <w:marLeft w:val="640"/>
          <w:marRight w:val="0"/>
          <w:marTop w:val="0"/>
          <w:marBottom w:val="0"/>
          <w:divBdr>
            <w:top w:val="none" w:sz="0" w:space="0" w:color="auto"/>
            <w:left w:val="none" w:sz="0" w:space="0" w:color="auto"/>
            <w:bottom w:val="none" w:sz="0" w:space="0" w:color="auto"/>
            <w:right w:val="none" w:sz="0" w:space="0" w:color="auto"/>
          </w:divBdr>
        </w:div>
        <w:div w:id="1194463259">
          <w:marLeft w:val="640"/>
          <w:marRight w:val="0"/>
          <w:marTop w:val="0"/>
          <w:marBottom w:val="0"/>
          <w:divBdr>
            <w:top w:val="none" w:sz="0" w:space="0" w:color="auto"/>
            <w:left w:val="none" w:sz="0" w:space="0" w:color="auto"/>
            <w:bottom w:val="none" w:sz="0" w:space="0" w:color="auto"/>
            <w:right w:val="none" w:sz="0" w:space="0" w:color="auto"/>
          </w:divBdr>
        </w:div>
        <w:div w:id="361906141">
          <w:marLeft w:val="640"/>
          <w:marRight w:val="0"/>
          <w:marTop w:val="0"/>
          <w:marBottom w:val="0"/>
          <w:divBdr>
            <w:top w:val="none" w:sz="0" w:space="0" w:color="auto"/>
            <w:left w:val="none" w:sz="0" w:space="0" w:color="auto"/>
            <w:bottom w:val="none" w:sz="0" w:space="0" w:color="auto"/>
            <w:right w:val="none" w:sz="0" w:space="0" w:color="auto"/>
          </w:divBdr>
        </w:div>
        <w:div w:id="1433357067">
          <w:marLeft w:val="640"/>
          <w:marRight w:val="0"/>
          <w:marTop w:val="0"/>
          <w:marBottom w:val="0"/>
          <w:divBdr>
            <w:top w:val="none" w:sz="0" w:space="0" w:color="auto"/>
            <w:left w:val="none" w:sz="0" w:space="0" w:color="auto"/>
            <w:bottom w:val="none" w:sz="0" w:space="0" w:color="auto"/>
            <w:right w:val="none" w:sz="0" w:space="0" w:color="auto"/>
          </w:divBdr>
        </w:div>
        <w:div w:id="1653680580">
          <w:marLeft w:val="640"/>
          <w:marRight w:val="0"/>
          <w:marTop w:val="0"/>
          <w:marBottom w:val="0"/>
          <w:divBdr>
            <w:top w:val="none" w:sz="0" w:space="0" w:color="auto"/>
            <w:left w:val="none" w:sz="0" w:space="0" w:color="auto"/>
            <w:bottom w:val="none" w:sz="0" w:space="0" w:color="auto"/>
            <w:right w:val="none" w:sz="0" w:space="0" w:color="auto"/>
          </w:divBdr>
        </w:div>
        <w:div w:id="1022897679">
          <w:marLeft w:val="640"/>
          <w:marRight w:val="0"/>
          <w:marTop w:val="0"/>
          <w:marBottom w:val="0"/>
          <w:divBdr>
            <w:top w:val="none" w:sz="0" w:space="0" w:color="auto"/>
            <w:left w:val="none" w:sz="0" w:space="0" w:color="auto"/>
            <w:bottom w:val="none" w:sz="0" w:space="0" w:color="auto"/>
            <w:right w:val="none" w:sz="0" w:space="0" w:color="auto"/>
          </w:divBdr>
        </w:div>
        <w:div w:id="92285610">
          <w:marLeft w:val="640"/>
          <w:marRight w:val="0"/>
          <w:marTop w:val="0"/>
          <w:marBottom w:val="0"/>
          <w:divBdr>
            <w:top w:val="none" w:sz="0" w:space="0" w:color="auto"/>
            <w:left w:val="none" w:sz="0" w:space="0" w:color="auto"/>
            <w:bottom w:val="none" w:sz="0" w:space="0" w:color="auto"/>
            <w:right w:val="none" w:sz="0" w:space="0" w:color="auto"/>
          </w:divBdr>
        </w:div>
        <w:div w:id="301810339">
          <w:marLeft w:val="640"/>
          <w:marRight w:val="0"/>
          <w:marTop w:val="0"/>
          <w:marBottom w:val="0"/>
          <w:divBdr>
            <w:top w:val="none" w:sz="0" w:space="0" w:color="auto"/>
            <w:left w:val="none" w:sz="0" w:space="0" w:color="auto"/>
            <w:bottom w:val="none" w:sz="0" w:space="0" w:color="auto"/>
            <w:right w:val="none" w:sz="0" w:space="0" w:color="auto"/>
          </w:divBdr>
        </w:div>
        <w:div w:id="1749887018">
          <w:marLeft w:val="640"/>
          <w:marRight w:val="0"/>
          <w:marTop w:val="0"/>
          <w:marBottom w:val="0"/>
          <w:divBdr>
            <w:top w:val="none" w:sz="0" w:space="0" w:color="auto"/>
            <w:left w:val="none" w:sz="0" w:space="0" w:color="auto"/>
            <w:bottom w:val="none" w:sz="0" w:space="0" w:color="auto"/>
            <w:right w:val="none" w:sz="0" w:space="0" w:color="auto"/>
          </w:divBdr>
        </w:div>
        <w:div w:id="2081173586">
          <w:marLeft w:val="640"/>
          <w:marRight w:val="0"/>
          <w:marTop w:val="0"/>
          <w:marBottom w:val="0"/>
          <w:divBdr>
            <w:top w:val="none" w:sz="0" w:space="0" w:color="auto"/>
            <w:left w:val="none" w:sz="0" w:space="0" w:color="auto"/>
            <w:bottom w:val="none" w:sz="0" w:space="0" w:color="auto"/>
            <w:right w:val="none" w:sz="0" w:space="0" w:color="auto"/>
          </w:divBdr>
        </w:div>
        <w:div w:id="56634211">
          <w:marLeft w:val="640"/>
          <w:marRight w:val="0"/>
          <w:marTop w:val="0"/>
          <w:marBottom w:val="0"/>
          <w:divBdr>
            <w:top w:val="none" w:sz="0" w:space="0" w:color="auto"/>
            <w:left w:val="none" w:sz="0" w:space="0" w:color="auto"/>
            <w:bottom w:val="none" w:sz="0" w:space="0" w:color="auto"/>
            <w:right w:val="none" w:sz="0" w:space="0" w:color="auto"/>
          </w:divBdr>
        </w:div>
        <w:div w:id="997154976">
          <w:marLeft w:val="640"/>
          <w:marRight w:val="0"/>
          <w:marTop w:val="0"/>
          <w:marBottom w:val="0"/>
          <w:divBdr>
            <w:top w:val="none" w:sz="0" w:space="0" w:color="auto"/>
            <w:left w:val="none" w:sz="0" w:space="0" w:color="auto"/>
            <w:bottom w:val="none" w:sz="0" w:space="0" w:color="auto"/>
            <w:right w:val="none" w:sz="0" w:space="0" w:color="auto"/>
          </w:divBdr>
        </w:div>
        <w:div w:id="1303344155">
          <w:marLeft w:val="640"/>
          <w:marRight w:val="0"/>
          <w:marTop w:val="0"/>
          <w:marBottom w:val="0"/>
          <w:divBdr>
            <w:top w:val="none" w:sz="0" w:space="0" w:color="auto"/>
            <w:left w:val="none" w:sz="0" w:space="0" w:color="auto"/>
            <w:bottom w:val="none" w:sz="0" w:space="0" w:color="auto"/>
            <w:right w:val="none" w:sz="0" w:space="0" w:color="auto"/>
          </w:divBdr>
        </w:div>
        <w:div w:id="1080566829">
          <w:marLeft w:val="640"/>
          <w:marRight w:val="0"/>
          <w:marTop w:val="0"/>
          <w:marBottom w:val="0"/>
          <w:divBdr>
            <w:top w:val="none" w:sz="0" w:space="0" w:color="auto"/>
            <w:left w:val="none" w:sz="0" w:space="0" w:color="auto"/>
            <w:bottom w:val="none" w:sz="0" w:space="0" w:color="auto"/>
            <w:right w:val="none" w:sz="0" w:space="0" w:color="auto"/>
          </w:divBdr>
        </w:div>
        <w:div w:id="1911186090">
          <w:marLeft w:val="640"/>
          <w:marRight w:val="0"/>
          <w:marTop w:val="0"/>
          <w:marBottom w:val="0"/>
          <w:divBdr>
            <w:top w:val="none" w:sz="0" w:space="0" w:color="auto"/>
            <w:left w:val="none" w:sz="0" w:space="0" w:color="auto"/>
            <w:bottom w:val="none" w:sz="0" w:space="0" w:color="auto"/>
            <w:right w:val="none" w:sz="0" w:space="0" w:color="auto"/>
          </w:divBdr>
        </w:div>
        <w:div w:id="1689209160">
          <w:marLeft w:val="640"/>
          <w:marRight w:val="0"/>
          <w:marTop w:val="0"/>
          <w:marBottom w:val="0"/>
          <w:divBdr>
            <w:top w:val="none" w:sz="0" w:space="0" w:color="auto"/>
            <w:left w:val="none" w:sz="0" w:space="0" w:color="auto"/>
            <w:bottom w:val="none" w:sz="0" w:space="0" w:color="auto"/>
            <w:right w:val="none" w:sz="0" w:space="0" w:color="auto"/>
          </w:divBdr>
        </w:div>
        <w:div w:id="1233737036">
          <w:marLeft w:val="640"/>
          <w:marRight w:val="0"/>
          <w:marTop w:val="0"/>
          <w:marBottom w:val="0"/>
          <w:divBdr>
            <w:top w:val="none" w:sz="0" w:space="0" w:color="auto"/>
            <w:left w:val="none" w:sz="0" w:space="0" w:color="auto"/>
            <w:bottom w:val="none" w:sz="0" w:space="0" w:color="auto"/>
            <w:right w:val="none" w:sz="0" w:space="0" w:color="auto"/>
          </w:divBdr>
        </w:div>
        <w:div w:id="1649941145">
          <w:marLeft w:val="640"/>
          <w:marRight w:val="0"/>
          <w:marTop w:val="0"/>
          <w:marBottom w:val="0"/>
          <w:divBdr>
            <w:top w:val="none" w:sz="0" w:space="0" w:color="auto"/>
            <w:left w:val="none" w:sz="0" w:space="0" w:color="auto"/>
            <w:bottom w:val="none" w:sz="0" w:space="0" w:color="auto"/>
            <w:right w:val="none" w:sz="0" w:space="0" w:color="auto"/>
          </w:divBdr>
        </w:div>
        <w:div w:id="1162575680">
          <w:marLeft w:val="640"/>
          <w:marRight w:val="0"/>
          <w:marTop w:val="0"/>
          <w:marBottom w:val="0"/>
          <w:divBdr>
            <w:top w:val="none" w:sz="0" w:space="0" w:color="auto"/>
            <w:left w:val="none" w:sz="0" w:space="0" w:color="auto"/>
            <w:bottom w:val="none" w:sz="0" w:space="0" w:color="auto"/>
            <w:right w:val="none" w:sz="0" w:space="0" w:color="auto"/>
          </w:divBdr>
        </w:div>
        <w:div w:id="297298641">
          <w:marLeft w:val="640"/>
          <w:marRight w:val="0"/>
          <w:marTop w:val="0"/>
          <w:marBottom w:val="0"/>
          <w:divBdr>
            <w:top w:val="none" w:sz="0" w:space="0" w:color="auto"/>
            <w:left w:val="none" w:sz="0" w:space="0" w:color="auto"/>
            <w:bottom w:val="none" w:sz="0" w:space="0" w:color="auto"/>
            <w:right w:val="none" w:sz="0" w:space="0" w:color="auto"/>
          </w:divBdr>
        </w:div>
        <w:div w:id="2059081708">
          <w:marLeft w:val="640"/>
          <w:marRight w:val="0"/>
          <w:marTop w:val="0"/>
          <w:marBottom w:val="0"/>
          <w:divBdr>
            <w:top w:val="none" w:sz="0" w:space="0" w:color="auto"/>
            <w:left w:val="none" w:sz="0" w:space="0" w:color="auto"/>
            <w:bottom w:val="none" w:sz="0" w:space="0" w:color="auto"/>
            <w:right w:val="none" w:sz="0" w:space="0" w:color="auto"/>
          </w:divBdr>
        </w:div>
        <w:div w:id="1207640466">
          <w:marLeft w:val="640"/>
          <w:marRight w:val="0"/>
          <w:marTop w:val="0"/>
          <w:marBottom w:val="0"/>
          <w:divBdr>
            <w:top w:val="none" w:sz="0" w:space="0" w:color="auto"/>
            <w:left w:val="none" w:sz="0" w:space="0" w:color="auto"/>
            <w:bottom w:val="none" w:sz="0" w:space="0" w:color="auto"/>
            <w:right w:val="none" w:sz="0" w:space="0" w:color="auto"/>
          </w:divBdr>
        </w:div>
        <w:div w:id="1764911463">
          <w:marLeft w:val="640"/>
          <w:marRight w:val="0"/>
          <w:marTop w:val="0"/>
          <w:marBottom w:val="0"/>
          <w:divBdr>
            <w:top w:val="none" w:sz="0" w:space="0" w:color="auto"/>
            <w:left w:val="none" w:sz="0" w:space="0" w:color="auto"/>
            <w:bottom w:val="none" w:sz="0" w:space="0" w:color="auto"/>
            <w:right w:val="none" w:sz="0" w:space="0" w:color="auto"/>
          </w:divBdr>
        </w:div>
        <w:div w:id="675301925">
          <w:marLeft w:val="640"/>
          <w:marRight w:val="0"/>
          <w:marTop w:val="0"/>
          <w:marBottom w:val="0"/>
          <w:divBdr>
            <w:top w:val="none" w:sz="0" w:space="0" w:color="auto"/>
            <w:left w:val="none" w:sz="0" w:space="0" w:color="auto"/>
            <w:bottom w:val="none" w:sz="0" w:space="0" w:color="auto"/>
            <w:right w:val="none" w:sz="0" w:space="0" w:color="auto"/>
          </w:divBdr>
        </w:div>
        <w:div w:id="957178825">
          <w:marLeft w:val="640"/>
          <w:marRight w:val="0"/>
          <w:marTop w:val="0"/>
          <w:marBottom w:val="0"/>
          <w:divBdr>
            <w:top w:val="none" w:sz="0" w:space="0" w:color="auto"/>
            <w:left w:val="none" w:sz="0" w:space="0" w:color="auto"/>
            <w:bottom w:val="none" w:sz="0" w:space="0" w:color="auto"/>
            <w:right w:val="none" w:sz="0" w:space="0" w:color="auto"/>
          </w:divBdr>
        </w:div>
        <w:div w:id="439571117">
          <w:marLeft w:val="640"/>
          <w:marRight w:val="0"/>
          <w:marTop w:val="0"/>
          <w:marBottom w:val="0"/>
          <w:divBdr>
            <w:top w:val="none" w:sz="0" w:space="0" w:color="auto"/>
            <w:left w:val="none" w:sz="0" w:space="0" w:color="auto"/>
            <w:bottom w:val="none" w:sz="0" w:space="0" w:color="auto"/>
            <w:right w:val="none" w:sz="0" w:space="0" w:color="auto"/>
          </w:divBdr>
        </w:div>
        <w:div w:id="2047025002">
          <w:marLeft w:val="640"/>
          <w:marRight w:val="0"/>
          <w:marTop w:val="0"/>
          <w:marBottom w:val="0"/>
          <w:divBdr>
            <w:top w:val="none" w:sz="0" w:space="0" w:color="auto"/>
            <w:left w:val="none" w:sz="0" w:space="0" w:color="auto"/>
            <w:bottom w:val="none" w:sz="0" w:space="0" w:color="auto"/>
            <w:right w:val="none" w:sz="0" w:space="0" w:color="auto"/>
          </w:divBdr>
        </w:div>
        <w:div w:id="429544686">
          <w:marLeft w:val="640"/>
          <w:marRight w:val="0"/>
          <w:marTop w:val="0"/>
          <w:marBottom w:val="0"/>
          <w:divBdr>
            <w:top w:val="none" w:sz="0" w:space="0" w:color="auto"/>
            <w:left w:val="none" w:sz="0" w:space="0" w:color="auto"/>
            <w:bottom w:val="none" w:sz="0" w:space="0" w:color="auto"/>
            <w:right w:val="none" w:sz="0" w:space="0" w:color="auto"/>
          </w:divBdr>
        </w:div>
        <w:div w:id="1190676795">
          <w:marLeft w:val="640"/>
          <w:marRight w:val="0"/>
          <w:marTop w:val="0"/>
          <w:marBottom w:val="0"/>
          <w:divBdr>
            <w:top w:val="none" w:sz="0" w:space="0" w:color="auto"/>
            <w:left w:val="none" w:sz="0" w:space="0" w:color="auto"/>
            <w:bottom w:val="none" w:sz="0" w:space="0" w:color="auto"/>
            <w:right w:val="none" w:sz="0" w:space="0" w:color="auto"/>
          </w:divBdr>
        </w:div>
        <w:div w:id="87653200">
          <w:marLeft w:val="640"/>
          <w:marRight w:val="0"/>
          <w:marTop w:val="0"/>
          <w:marBottom w:val="0"/>
          <w:divBdr>
            <w:top w:val="none" w:sz="0" w:space="0" w:color="auto"/>
            <w:left w:val="none" w:sz="0" w:space="0" w:color="auto"/>
            <w:bottom w:val="none" w:sz="0" w:space="0" w:color="auto"/>
            <w:right w:val="none" w:sz="0" w:space="0" w:color="auto"/>
          </w:divBdr>
        </w:div>
        <w:div w:id="1721398994">
          <w:marLeft w:val="640"/>
          <w:marRight w:val="0"/>
          <w:marTop w:val="0"/>
          <w:marBottom w:val="0"/>
          <w:divBdr>
            <w:top w:val="none" w:sz="0" w:space="0" w:color="auto"/>
            <w:left w:val="none" w:sz="0" w:space="0" w:color="auto"/>
            <w:bottom w:val="none" w:sz="0" w:space="0" w:color="auto"/>
            <w:right w:val="none" w:sz="0" w:space="0" w:color="auto"/>
          </w:divBdr>
        </w:div>
        <w:div w:id="1266573566">
          <w:marLeft w:val="640"/>
          <w:marRight w:val="0"/>
          <w:marTop w:val="0"/>
          <w:marBottom w:val="0"/>
          <w:divBdr>
            <w:top w:val="none" w:sz="0" w:space="0" w:color="auto"/>
            <w:left w:val="none" w:sz="0" w:space="0" w:color="auto"/>
            <w:bottom w:val="none" w:sz="0" w:space="0" w:color="auto"/>
            <w:right w:val="none" w:sz="0" w:space="0" w:color="auto"/>
          </w:divBdr>
        </w:div>
        <w:div w:id="591158572">
          <w:marLeft w:val="640"/>
          <w:marRight w:val="0"/>
          <w:marTop w:val="0"/>
          <w:marBottom w:val="0"/>
          <w:divBdr>
            <w:top w:val="none" w:sz="0" w:space="0" w:color="auto"/>
            <w:left w:val="none" w:sz="0" w:space="0" w:color="auto"/>
            <w:bottom w:val="none" w:sz="0" w:space="0" w:color="auto"/>
            <w:right w:val="none" w:sz="0" w:space="0" w:color="auto"/>
          </w:divBdr>
        </w:div>
        <w:div w:id="197403153">
          <w:marLeft w:val="640"/>
          <w:marRight w:val="0"/>
          <w:marTop w:val="0"/>
          <w:marBottom w:val="0"/>
          <w:divBdr>
            <w:top w:val="none" w:sz="0" w:space="0" w:color="auto"/>
            <w:left w:val="none" w:sz="0" w:space="0" w:color="auto"/>
            <w:bottom w:val="none" w:sz="0" w:space="0" w:color="auto"/>
            <w:right w:val="none" w:sz="0" w:space="0" w:color="auto"/>
          </w:divBdr>
        </w:div>
        <w:div w:id="975378361">
          <w:marLeft w:val="640"/>
          <w:marRight w:val="0"/>
          <w:marTop w:val="0"/>
          <w:marBottom w:val="0"/>
          <w:divBdr>
            <w:top w:val="none" w:sz="0" w:space="0" w:color="auto"/>
            <w:left w:val="none" w:sz="0" w:space="0" w:color="auto"/>
            <w:bottom w:val="none" w:sz="0" w:space="0" w:color="auto"/>
            <w:right w:val="none" w:sz="0" w:space="0" w:color="auto"/>
          </w:divBdr>
        </w:div>
        <w:div w:id="517233570">
          <w:marLeft w:val="640"/>
          <w:marRight w:val="0"/>
          <w:marTop w:val="0"/>
          <w:marBottom w:val="0"/>
          <w:divBdr>
            <w:top w:val="none" w:sz="0" w:space="0" w:color="auto"/>
            <w:left w:val="none" w:sz="0" w:space="0" w:color="auto"/>
            <w:bottom w:val="none" w:sz="0" w:space="0" w:color="auto"/>
            <w:right w:val="none" w:sz="0" w:space="0" w:color="auto"/>
          </w:divBdr>
        </w:div>
        <w:div w:id="1104037636">
          <w:marLeft w:val="640"/>
          <w:marRight w:val="0"/>
          <w:marTop w:val="0"/>
          <w:marBottom w:val="0"/>
          <w:divBdr>
            <w:top w:val="none" w:sz="0" w:space="0" w:color="auto"/>
            <w:left w:val="none" w:sz="0" w:space="0" w:color="auto"/>
            <w:bottom w:val="none" w:sz="0" w:space="0" w:color="auto"/>
            <w:right w:val="none" w:sz="0" w:space="0" w:color="auto"/>
          </w:divBdr>
        </w:div>
        <w:div w:id="1953124557">
          <w:marLeft w:val="640"/>
          <w:marRight w:val="0"/>
          <w:marTop w:val="0"/>
          <w:marBottom w:val="0"/>
          <w:divBdr>
            <w:top w:val="none" w:sz="0" w:space="0" w:color="auto"/>
            <w:left w:val="none" w:sz="0" w:space="0" w:color="auto"/>
            <w:bottom w:val="none" w:sz="0" w:space="0" w:color="auto"/>
            <w:right w:val="none" w:sz="0" w:space="0" w:color="auto"/>
          </w:divBdr>
        </w:div>
        <w:div w:id="2046516548">
          <w:marLeft w:val="640"/>
          <w:marRight w:val="0"/>
          <w:marTop w:val="0"/>
          <w:marBottom w:val="0"/>
          <w:divBdr>
            <w:top w:val="none" w:sz="0" w:space="0" w:color="auto"/>
            <w:left w:val="none" w:sz="0" w:space="0" w:color="auto"/>
            <w:bottom w:val="none" w:sz="0" w:space="0" w:color="auto"/>
            <w:right w:val="none" w:sz="0" w:space="0" w:color="auto"/>
          </w:divBdr>
        </w:div>
        <w:div w:id="1786381688">
          <w:marLeft w:val="640"/>
          <w:marRight w:val="0"/>
          <w:marTop w:val="0"/>
          <w:marBottom w:val="0"/>
          <w:divBdr>
            <w:top w:val="none" w:sz="0" w:space="0" w:color="auto"/>
            <w:left w:val="none" w:sz="0" w:space="0" w:color="auto"/>
            <w:bottom w:val="none" w:sz="0" w:space="0" w:color="auto"/>
            <w:right w:val="none" w:sz="0" w:space="0" w:color="auto"/>
          </w:divBdr>
        </w:div>
        <w:div w:id="1754157663">
          <w:marLeft w:val="640"/>
          <w:marRight w:val="0"/>
          <w:marTop w:val="0"/>
          <w:marBottom w:val="0"/>
          <w:divBdr>
            <w:top w:val="none" w:sz="0" w:space="0" w:color="auto"/>
            <w:left w:val="none" w:sz="0" w:space="0" w:color="auto"/>
            <w:bottom w:val="none" w:sz="0" w:space="0" w:color="auto"/>
            <w:right w:val="none" w:sz="0" w:space="0" w:color="auto"/>
          </w:divBdr>
        </w:div>
        <w:div w:id="671227819">
          <w:marLeft w:val="640"/>
          <w:marRight w:val="0"/>
          <w:marTop w:val="0"/>
          <w:marBottom w:val="0"/>
          <w:divBdr>
            <w:top w:val="none" w:sz="0" w:space="0" w:color="auto"/>
            <w:left w:val="none" w:sz="0" w:space="0" w:color="auto"/>
            <w:bottom w:val="none" w:sz="0" w:space="0" w:color="auto"/>
            <w:right w:val="none" w:sz="0" w:space="0" w:color="auto"/>
          </w:divBdr>
        </w:div>
        <w:div w:id="1137911491">
          <w:marLeft w:val="640"/>
          <w:marRight w:val="0"/>
          <w:marTop w:val="0"/>
          <w:marBottom w:val="0"/>
          <w:divBdr>
            <w:top w:val="none" w:sz="0" w:space="0" w:color="auto"/>
            <w:left w:val="none" w:sz="0" w:space="0" w:color="auto"/>
            <w:bottom w:val="none" w:sz="0" w:space="0" w:color="auto"/>
            <w:right w:val="none" w:sz="0" w:space="0" w:color="auto"/>
          </w:divBdr>
        </w:div>
        <w:div w:id="1602495698">
          <w:marLeft w:val="640"/>
          <w:marRight w:val="0"/>
          <w:marTop w:val="0"/>
          <w:marBottom w:val="0"/>
          <w:divBdr>
            <w:top w:val="none" w:sz="0" w:space="0" w:color="auto"/>
            <w:left w:val="none" w:sz="0" w:space="0" w:color="auto"/>
            <w:bottom w:val="none" w:sz="0" w:space="0" w:color="auto"/>
            <w:right w:val="none" w:sz="0" w:space="0" w:color="auto"/>
          </w:divBdr>
        </w:div>
        <w:div w:id="321154973">
          <w:marLeft w:val="640"/>
          <w:marRight w:val="0"/>
          <w:marTop w:val="0"/>
          <w:marBottom w:val="0"/>
          <w:divBdr>
            <w:top w:val="none" w:sz="0" w:space="0" w:color="auto"/>
            <w:left w:val="none" w:sz="0" w:space="0" w:color="auto"/>
            <w:bottom w:val="none" w:sz="0" w:space="0" w:color="auto"/>
            <w:right w:val="none" w:sz="0" w:space="0" w:color="auto"/>
          </w:divBdr>
        </w:div>
        <w:div w:id="2061242684">
          <w:marLeft w:val="640"/>
          <w:marRight w:val="0"/>
          <w:marTop w:val="0"/>
          <w:marBottom w:val="0"/>
          <w:divBdr>
            <w:top w:val="none" w:sz="0" w:space="0" w:color="auto"/>
            <w:left w:val="none" w:sz="0" w:space="0" w:color="auto"/>
            <w:bottom w:val="none" w:sz="0" w:space="0" w:color="auto"/>
            <w:right w:val="none" w:sz="0" w:space="0" w:color="auto"/>
          </w:divBdr>
        </w:div>
        <w:div w:id="1557086287">
          <w:marLeft w:val="640"/>
          <w:marRight w:val="0"/>
          <w:marTop w:val="0"/>
          <w:marBottom w:val="0"/>
          <w:divBdr>
            <w:top w:val="none" w:sz="0" w:space="0" w:color="auto"/>
            <w:left w:val="none" w:sz="0" w:space="0" w:color="auto"/>
            <w:bottom w:val="none" w:sz="0" w:space="0" w:color="auto"/>
            <w:right w:val="none" w:sz="0" w:space="0" w:color="auto"/>
          </w:divBdr>
        </w:div>
        <w:div w:id="2023781655">
          <w:marLeft w:val="640"/>
          <w:marRight w:val="0"/>
          <w:marTop w:val="0"/>
          <w:marBottom w:val="0"/>
          <w:divBdr>
            <w:top w:val="none" w:sz="0" w:space="0" w:color="auto"/>
            <w:left w:val="none" w:sz="0" w:space="0" w:color="auto"/>
            <w:bottom w:val="none" w:sz="0" w:space="0" w:color="auto"/>
            <w:right w:val="none" w:sz="0" w:space="0" w:color="auto"/>
          </w:divBdr>
        </w:div>
        <w:div w:id="829519116">
          <w:marLeft w:val="640"/>
          <w:marRight w:val="0"/>
          <w:marTop w:val="0"/>
          <w:marBottom w:val="0"/>
          <w:divBdr>
            <w:top w:val="none" w:sz="0" w:space="0" w:color="auto"/>
            <w:left w:val="none" w:sz="0" w:space="0" w:color="auto"/>
            <w:bottom w:val="none" w:sz="0" w:space="0" w:color="auto"/>
            <w:right w:val="none" w:sz="0" w:space="0" w:color="auto"/>
          </w:divBdr>
        </w:div>
        <w:div w:id="292560023">
          <w:marLeft w:val="640"/>
          <w:marRight w:val="0"/>
          <w:marTop w:val="0"/>
          <w:marBottom w:val="0"/>
          <w:divBdr>
            <w:top w:val="none" w:sz="0" w:space="0" w:color="auto"/>
            <w:left w:val="none" w:sz="0" w:space="0" w:color="auto"/>
            <w:bottom w:val="none" w:sz="0" w:space="0" w:color="auto"/>
            <w:right w:val="none" w:sz="0" w:space="0" w:color="auto"/>
          </w:divBdr>
        </w:div>
        <w:div w:id="2031300926">
          <w:marLeft w:val="640"/>
          <w:marRight w:val="0"/>
          <w:marTop w:val="0"/>
          <w:marBottom w:val="0"/>
          <w:divBdr>
            <w:top w:val="none" w:sz="0" w:space="0" w:color="auto"/>
            <w:left w:val="none" w:sz="0" w:space="0" w:color="auto"/>
            <w:bottom w:val="none" w:sz="0" w:space="0" w:color="auto"/>
            <w:right w:val="none" w:sz="0" w:space="0" w:color="auto"/>
          </w:divBdr>
        </w:div>
        <w:div w:id="1596207112">
          <w:marLeft w:val="640"/>
          <w:marRight w:val="0"/>
          <w:marTop w:val="0"/>
          <w:marBottom w:val="0"/>
          <w:divBdr>
            <w:top w:val="none" w:sz="0" w:space="0" w:color="auto"/>
            <w:left w:val="none" w:sz="0" w:space="0" w:color="auto"/>
            <w:bottom w:val="none" w:sz="0" w:space="0" w:color="auto"/>
            <w:right w:val="none" w:sz="0" w:space="0" w:color="auto"/>
          </w:divBdr>
        </w:div>
        <w:div w:id="754667628">
          <w:marLeft w:val="640"/>
          <w:marRight w:val="0"/>
          <w:marTop w:val="0"/>
          <w:marBottom w:val="0"/>
          <w:divBdr>
            <w:top w:val="none" w:sz="0" w:space="0" w:color="auto"/>
            <w:left w:val="none" w:sz="0" w:space="0" w:color="auto"/>
            <w:bottom w:val="none" w:sz="0" w:space="0" w:color="auto"/>
            <w:right w:val="none" w:sz="0" w:space="0" w:color="auto"/>
          </w:divBdr>
        </w:div>
        <w:div w:id="1460495471">
          <w:marLeft w:val="640"/>
          <w:marRight w:val="0"/>
          <w:marTop w:val="0"/>
          <w:marBottom w:val="0"/>
          <w:divBdr>
            <w:top w:val="none" w:sz="0" w:space="0" w:color="auto"/>
            <w:left w:val="none" w:sz="0" w:space="0" w:color="auto"/>
            <w:bottom w:val="none" w:sz="0" w:space="0" w:color="auto"/>
            <w:right w:val="none" w:sz="0" w:space="0" w:color="auto"/>
          </w:divBdr>
        </w:div>
        <w:div w:id="38751626">
          <w:marLeft w:val="640"/>
          <w:marRight w:val="0"/>
          <w:marTop w:val="0"/>
          <w:marBottom w:val="0"/>
          <w:divBdr>
            <w:top w:val="none" w:sz="0" w:space="0" w:color="auto"/>
            <w:left w:val="none" w:sz="0" w:space="0" w:color="auto"/>
            <w:bottom w:val="none" w:sz="0" w:space="0" w:color="auto"/>
            <w:right w:val="none" w:sz="0" w:space="0" w:color="auto"/>
          </w:divBdr>
        </w:div>
        <w:div w:id="1209411150">
          <w:marLeft w:val="640"/>
          <w:marRight w:val="0"/>
          <w:marTop w:val="0"/>
          <w:marBottom w:val="0"/>
          <w:divBdr>
            <w:top w:val="none" w:sz="0" w:space="0" w:color="auto"/>
            <w:left w:val="none" w:sz="0" w:space="0" w:color="auto"/>
            <w:bottom w:val="none" w:sz="0" w:space="0" w:color="auto"/>
            <w:right w:val="none" w:sz="0" w:space="0" w:color="auto"/>
          </w:divBdr>
        </w:div>
        <w:div w:id="971330941">
          <w:marLeft w:val="640"/>
          <w:marRight w:val="0"/>
          <w:marTop w:val="0"/>
          <w:marBottom w:val="0"/>
          <w:divBdr>
            <w:top w:val="none" w:sz="0" w:space="0" w:color="auto"/>
            <w:left w:val="none" w:sz="0" w:space="0" w:color="auto"/>
            <w:bottom w:val="none" w:sz="0" w:space="0" w:color="auto"/>
            <w:right w:val="none" w:sz="0" w:space="0" w:color="auto"/>
          </w:divBdr>
        </w:div>
        <w:div w:id="1657026735">
          <w:marLeft w:val="640"/>
          <w:marRight w:val="0"/>
          <w:marTop w:val="0"/>
          <w:marBottom w:val="0"/>
          <w:divBdr>
            <w:top w:val="none" w:sz="0" w:space="0" w:color="auto"/>
            <w:left w:val="none" w:sz="0" w:space="0" w:color="auto"/>
            <w:bottom w:val="none" w:sz="0" w:space="0" w:color="auto"/>
            <w:right w:val="none" w:sz="0" w:space="0" w:color="auto"/>
          </w:divBdr>
        </w:div>
        <w:div w:id="2118207761">
          <w:marLeft w:val="640"/>
          <w:marRight w:val="0"/>
          <w:marTop w:val="0"/>
          <w:marBottom w:val="0"/>
          <w:divBdr>
            <w:top w:val="none" w:sz="0" w:space="0" w:color="auto"/>
            <w:left w:val="none" w:sz="0" w:space="0" w:color="auto"/>
            <w:bottom w:val="none" w:sz="0" w:space="0" w:color="auto"/>
            <w:right w:val="none" w:sz="0" w:space="0" w:color="auto"/>
          </w:divBdr>
        </w:div>
        <w:div w:id="1707636413">
          <w:marLeft w:val="640"/>
          <w:marRight w:val="0"/>
          <w:marTop w:val="0"/>
          <w:marBottom w:val="0"/>
          <w:divBdr>
            <w:top w:val="none" w:sz="0" w:space="0" w:color="auto"/>
            <w:left w:val="none" w:sz="0" w:space="0" w:color="auto"/>
            <w:bottom w:val="none" w:sz="0" w:space="0" w:color="auto"/>
            <w:right w:val="none" w:sz="0" w:space="0" w:color="auto"/>
          </w:divBdr>
        </w:div>
        <w:div w:id="135606391">
          <w:marLeft w:val="640"/>
          <w:marRight w:val="0"/>
          <w:marTop w:val="0"/>
          <w:marBottom w:val="0"/>
          <w:divBdr>
            <w:top w:val="none" w:sz="0" w:space="0" w:color="auto"/>
            <w:left w:val="none" w:sz="0" w:space="0" w:color="auto"/>
            <w:bottom w:val="none" w:sz="0" w:space="0" w:color="auto"/>
            <w:right w:val="none" w:sz="0" w:space="0" w:color="auto"/>
          </w:divBdr>
        </w:div>
        <w:div w:id="2037151895">
          <w:marLeft w:val="640"/>
          <w:marRight w:val="0"/>
          <w:marTop w:val="0"/>
          <w:marBottom w:val="0"/>
          <w:divBdr>
            <w:top w:val="none" w:sz="0" w:space="0" w:color="auto"/>
            <w:left w:val="none" w:sz="0" w:space="0" w:color="auto"/>
            <w:bottom w:val="none" w:sz="0" w:space="0" w:color="auto"/>
            <w:right w:val="none" w:sz="0" w:space="0" w:color="auto"/>
          </w:divBdr>
        </w:div>
        <w:div w:id="364257266">
          <w:marLeft w:val="640"/>
          <w:marRight w:val="0"/>
          <w:marTop w:val="0"/>
          <w:marBottom w:val="0"/>
          <w:divBdr>
            <w:top w:val="none" w:sz="0" w:space="0" w:color="auto"/>
            <w:left w:val="none" w:sz="0" w:space="0" w:color="auto"/>
            <w:bottom w:val="none" w:sz="0" w:space="0" w:color="auto"/>
            <w:right w:val="none" w:sz="0" w:space="0" w:color="auto"/>
          </w:divBdr>
        </w:div>
        <w:div w:id="1426416162">
          <w:marLeft w:val="640"/>
          <w:marRight w:val="0"/>
          <w:marTop w:val="0"/>
          <w:marBottom w:val="0"/>
          <w:divBdr>
            <w:top w:val="none" w:sz="0" w:space="0" w:color="auto"/>
            <w:left w:val="none" w:sz="0" w:space="0" w:color="auto"/>
            <w:bottom w:val="none" w:sz="0" w:space="0" w:color="auto"/>
            <w:right w:val="none" w:sz="0" w:space="0" w:color="auto"/>
          </w:divBdr>
        </w:div>
        <w:div w:id="679815369">
          <w:marLeft w:val="640"/>
          <w:marRight w:val="0"/>
          <w:marTop w:val="0"/>
          <w:marBottom w:val="0"/>
          <w:divBdr>
            <w:top w:val="none" w:sz="0" w:space="0" w:color="auto"/>
            <w:left w:val="none" w:sz="0" w:space="0" w:color="auto"/>
            <w:bottom w:val="none" w:sz="0" w:space="0" w:color="auto"/>
            <w:right w:val="none" w:sz="0" w:space="0" w:color="auto"/>
          </w:divBdr>
        </w:div>
        <w:div w:id="972755059">
          <w:marLeft w:val="640"/>
          <w:marRight w:val="0"/>
          <w:marTop w:val="0"/>
          <w:marBottom w:val="0"/>
          <w:divBdr>
            <w:top w:val="none" w:sz="0" w:space="0" w:color="auto"/>
            <w:left w:val="none" w:sz="0" w:space="0" w:color="auto"/>
            <w:bottom w:val="none" w:sz="0" w:space="0" w:color="auto"/>
            <w:right w:val="none" w:sz="0" w:space="0" w:color="auto"/>
          </w:divBdr>
        </w:div>
        <w:div w:id="174074067">
          <w:marLeft w:val="640"/>
          <w:marRight w:val="0"/>
          <w:marTop w:val="0"/>
          <w:marBottom w:val="0"/>
          <w:divBdr>
            <w:top w:val="none" w:sz="0" w:space="0" w:color="auto"/>
            <w:left w:val="none" w:sz="0" w:space="0" w:color="auto"/>
            <w:bottom w:val="none" w:sz="0" w:space="0" w:color="auto"/>
            <w:right w:val="none" w:sz="0" w:space="0" w:color="auto"/>
          </w:divBdr>
        </w:div>
        <w:div w:id="975181440">
          <w:marLeft w:val="640"/>
          <w:marRight w:val="0"/>
          <w:marTop w:val="0"/>
          <w:marBottom w:val="0"/>
          <w:divBdr>
            <w:top w:val="none" w:sz="0" w:space="0" w:color="auto"/>
            <w:left w:val="none" w:sz="0" w:space="0" w:color="auto"/>
            <w:bottom w:val="none" w:sz="0" w:space="0" w:color="auto"/>
            <w:right w:val="none" w:sz="0" w:space="0" w:color="auto"/>
          </w:divBdr>
        </w:div>
        <w:div w:id="1640918755">
          <w:marLeft w:val="640"/>
          <w:marRight w:val="0"/>
          <w:marTop w:val="0"/>
          <w:marBottom w:val="0"/>
          <w:divBdr>
            <w:top w:val="none" w:sz="0" w:space="0" w:color="auto"/>
            <w:left w:val="none" w:sz="0" w:space="0" w:color="auto"/>
            <w:bottom w:val="none" w:sz="0" w:space="0" w:color="auto"/>
            <w:right w:val="none" w:sz="0" w:space="0" w:color="auto"/>
          </w:divBdr>
        </w:div>
        <w:div w:id="1184974498">
          <w:marLeft w:val="640"/>
          <w:marRight w:val="0"/>
          <w:marTop w:val="0"/>
          <w:marBottom w:val="0"/>
          <w:divBdr>
            <w:top w:val="none" w:sz="0" w:space="0" w:color="auto"/>
            <w:left w:val="none" w:sz="0" w:space="0" w:color="auto"/>
            <w:bottom w:val="none" w:sz="0" w:space="0" w:color="auto"/>
            <w:right w:val="none" w:sz="0" w:space="0" w:color="auto"/>
          </w:divBdr>
        </w:div>
        <w:div w:id="186411394">
          <w:marLeft w:val="640"/>
          <w:marRight w:val="0"/>
          <w:marTop w:val="0"/>
          <w:marBottom w:val="0"/>
          <w:divBdr>
            <w:top w:val="none" w:sz="0" w:space="0" w:color="auto"/>
            <w:left w:val="none" w:sz="0" w:space="0" w:color="auto"/>
            <w:bottom w:val="none" w:sz="0" w:space="0" w:color="auto"/>
            <w:right w:val="none" w:sz="0" w:space="0" w:color="auto"/>
          </w:divBdr>
        </w:div>
        <w:div w:id="63115684">
          <w:marLeft w:val="640"/>
          <w:marRight w:val="0"/>
          <w:marTop w:val="0"/>
          <w:marBottom w:val="0"/>
          <w:divBdr>
            <w:top w:val="none" w:sz="0" w:space="0" w:color="auto"/>
            <w:left w:val="none" w:sz="0" w:space="0" w:color="auto"/>
            <w:bottom w:val="none" w:sz="0" w:space="0" w:color="auto"/>
            <w:right w:val="none" w:sz="0" w:space="0" w:color="auto"/>
          </w:divBdr>
        </w:div>
        <w:div w:id="1132288705">
          <w:marLeft w:val="640"/>
          <w:marRight w:val="0"/>
          <w:marTop w:val="0"/>
          <w:marBottom w:val="0"/>
          <w:divBdr>
            <w:top w:val="none" w:sz="0" w:space="0" w:color="auto"/>
            <w:left w:val="none" w:sz="0" w:space="0" w:color="auto"/>
            <w:bottom w:val="none" w:sz="0" w:space="0" w:color="auto"/>
            <w:right w:val="none" w:sz="0" w:space="0" w:color="auto"/>
          </w:divBdr>
        </w:div>
        <w:div w:id="190454471">
          <w:marLeft w:val="640"/>
          <w:marRight w:val="0"/>
          <w:marTop w:val="0"/>
          <w:marBottom w:val="0"/>
          <w:divBdr>
            <w:top w:val="none" w:sz="0" w:space="0" w:color="auto"/>
            <w:left w:val="none" w:sz="0" w:space="0" w:color="auto"/>
            <w:bottom w:val="none" w:sz="0" w:space="0" w:color="auto"/>
            <w:right w:val="none" w:sz="0" w:space="0" w:color="auto"/>
          </w:divBdr>
        </w:div>
        <w:div w:id="574245277">
          <w:marLeft w:val="640"/>
          <w:marRight w:val="0"/>
          <w:marTop w:val="0"/>
          <w:marBottom w:val="0"/>
          <w:divBdr>
            <w:top w:val="none" w:sz="0" w:space="0" w:color="auto"/>
            <w:left w:val="none" w:sz="0" w:space="0" w:color="auto"/>
            <w:bottom w:val="none" w:sz="0" w:space="0" w:color="auto"/>
            <w:right w:val="none" w:sz="0" w:space="0" w:color="auto"/>
          </w:divBdr>
        </w:div>
        <w:div w:id="1638493354">
          <w:marLeft w:val="640"/>
          <w:marRight w:val="0"/>
          <w:marTop w:val="0"/>
          <w:marBottom w:val="0"/>
          <w:divBdr>
            <w:top w:val="none" w:sz="0" w:space="0" w:color="auto"/>
            <w:left w:val="none" w:sz="0" w:space="0" w:color="auto"/>
            <w:bottom w:val="none" w:sz="0" w:space="0" w:color="auto"/>
            <w:right w:val="none" w:sz="0" w:space="0" w:color="auto"/>
          </w:divBdr>
        </w:div>
        <w:div w:id="816919561">
          <w:marLeft w:val="640"/>
          <w:marRight w:val="0"/>
          <w:marTop w:val="0"/>
          <w:marBottom w:val="0"/>
          <w:divBdr>
            <w:top w:val="none" w:sz="0" w:space="0" w:color="auto"/>
            <w:left w:val="none" w:sz="0" w:space="0" w:color="auto"/>
            <w:bottom w:val="none" w:sz="0" w:space="0" w:color="auto"/>
            <w:right w:val="none" w:sz="0" w:space="0" w:color="auto"/>
          </w:divBdr>
        </w:div>
        <w:div w:id="210271073">
          <w:marLeft w:val="640"/>
          <w:marRight w:val="0"/>
          <w:marTop w:val="0"/>
          <w:marBottom w:val="0"/>
          <w:divBdr>
            <w:top w:val="none" w:sz="0" w:space="0" w:color="auto"/>
            <w:left w:val="none" w:sz="0" w:space="0" w:color="auto"/>
            <w:bottom w:val="none" w:sz="0" w:space="0" w:color="auto"/>
            <w:right w:val="none" w:sz="0" w:space="0" w:color="auto"/>
          </w:divBdr>
        </w:div>
        <w:div w:id="915629082">
          <w:marLeft w:val="640"/>
          <w:marRight w:val="0"/>
          <w:marTop w:val="0"/>
          <w:marBottom w:val="0"/>
          <w:divBdr>
            <w:top w:val="none" w:sz="0" w:space="0" w:color="auto"/>
            <w:left w:val="none" w:sz="0" w:space="0" w:color="auto"/>
            <w:bottom w:val="none" w:sz="0" w:space="0" w:color="auto"/>
            <w:right w:val="none" w:sz="0" w:space="0" w:color="auto"/>
          </w:divBdr>
        </w:div>
        <w:div w:id="693700045">
          <w:marLeft w:val="640"/>
          <w:marRight w:val="0"/>
          <w:marTop w:val="0"/>
          <w:marBottom w:val="0"/>
          <w:divBdr>
            <w:top w:val="none" w:sz="0" w:space="0" w:color="auto"/>
            <w:left w:val="none" w:sz="0" w:space="0" w:color="auto"/>
            <w:bottom w:val="none" w:sz="0" w:space="0" w:color="auto"/>
            <w:right w:val="none" w:sz="0" w:space="0" w:color="auto"/>
          </w:divBdr>
        </w:div>
        <w:div w:id="1010717005">
          <w:marLeft w:val="640"/>
          <w:marRight w:val="0"/>
          <w:marTop w:val="0"/>
          <w:marBottom w:val="0"/>
          <w:divBdr>
            <w:top w:val="none" w:sz="0" w:space="0" w:color="auto"/>
            <w:left w:val="none" w:sz="0" w:space="0" w:color="auto"/>
            <w:bottom w:val="none" w:sz="0" w:space="0" w:color="auto"/>
            <w:right w:val="none" w:sz="0" w:space="0" w:color="auto"/>
          </w:divBdr>
        </w:div>
        <w:div w:id="243491978">
          <w:marLeft w:val="640"/>
          <w:marRight w:val="0"/>
          <w:marTop w:val="0"/>
          <w:marBottom w:val="0"/>
          <w:divBdr>
            <w:top w:val="none" w:sz="0" w:space="0" w:color="auto"/>
            <w:left w:val="none" w:sz="0" w:space="0" w:color="auto"/>
            <w:bottom w:val="none" w:sz="0" w:space="0" w:color="auto"/>
            <w:right w:val="none" w:sz="0" w:space="0" w:color="auto"/>
          </w:divBdr>
        </w:div>
        <w:div w:id="1450587478">
          <w:marLeft w:val="640"/>
          <w:marRight w:val="0"/>
          <w:marTop w:val="0"/>
          <w:marBottom w:val="0"/>
          <w:divBdr>
            <w:top w:val="none" w:sz="0" w:space="0" w:color="auto"/>
            <w:left w:val="none" w:sz="0" w:space="0" w:color="auto"/>
            <w:bottom w:val="none" w:sz="0" w:space="0" w:color="auto"/>
            <w:right w:val="none" w:sz="0" w:space="0" w:color="auto"/>
          </w:divBdr>
        </w:div>
        <w:div w:id="1251742618">
          <w:marLeft w:val="640"/>
          <w:marRight w:val="0"/>
          <w:marTop w:val="0"/>
          <w:marBottom w:val="0"/>
          <w:divBdr>
            <w:top w:val="none" w:sz="0" w:space="0" w:color="auto"/>
            <w:left w:val="none" w:sz="0" w:space="0" w:color="auto"/>
            <w:bottom w:val="none" w:sz="0" w:space="0" w:color="auto"/>
            <w:right w:val="none" w:sz="0" w:space="0" w:color="auto"/>
          </w:divBdr>
        </w:div>
        <w:div w:id="2023848225">
          <w:marLeft w:val="640"/>
          <w:marRight w:val="0"/>
          <w:marTop w:val="0"/>
          <w:marBottom w:val="0"/>
          <w:divBdr>
            <w:top w:val="none" w:sz="0" w:space="0" w:color="auto"/>
            <w:left w:val="none" w:sz="0" w:space="0" w:color="auto"/>
            <w:bottom w:val="none" w:sz="0" w:space="0" w:color="auto"/>
            <w:right w:val="none" w:sz="0" w:space="0" w:color="auto"/>
          </w:divBdr>
        </w:div>
        <w:div w:id="1423648741">
          <w:marLeft w:val="640"/>
          <w:marRight w:val="0"/>
          <w:marTop w:val="0"/>
          <w:marBottom w:val="0"/>
          <w:divBdr>
            <w:top w:val="none" w:sz="0" w:space="0" w:color="auto"/>
            <w:left w:val="none" w:sz="0" w:space="0" w:color="auto"/>
            <w:bottom w:val="none" w:sz="0" w:space="0" w:color="auto"/>
            <w:right w:val="none" w:sz="0" w:space="0" w:color="auto"/>
          </w:divBdr>
        </w:div>
        <w:div w:id="553735264">
          <w:marLeft w:val="640"/>
          <w:marRight w:val="0"/>
          <w:marTop w:val="0"/>
          <w:marBottom w:val="0"/>
          <w:divBdr>
            <w:top w:val="none" w:sz="0" w:space="0" w:color="auto"/>
            <w:left w:val="none" w:sz="0" w:space="0" w:color="auto"/>
            <w:bottom w:val="none" w:sz="0" w:space="0" w:color="auto"/>
            <w:right w:val="none" w:sz="0" w:space="0" w:color="auto"/>
          </w:divBdr>
        </w:div>
        <w:div w:id="664476786">
          <w:marLeft w:val="640"/>
          <w:marRight w:val="0"/>
          <w:marTop w:val="0"/>
          <w:marBottom w:val="0"/>
          <w:divBdr>
            <w:top w:val="none" w:sz="0" w:space="0" w:color="auto"/>
            <w:left w:val="none" w:sz="0" w:space="0" w:color="auto"/>
            <w:bottom w:val="none" w:sz="0" w:space="0" w:color="auto"/>
            <w:right w:val="none" w:sz="0" w:space="0" w:color="auto"/>
          </w:divBdr>
        </w:div>
        <w:div w:id="750927632">
          <w:marLeft w:val="640"/>
          <w:marRight w:val="0"/>
          <w:marTop w:val="0"/>
          <w:marBottom w:val="0"/>
          <w:divBdr>
            <w:top w:val="none" w:sz="0" w:space="0" w:color="auto"/>
            <w:left w:val="none" w:sz="0" w:space="0" w:color="auto"/>
            <w:bottom w:val="none" w:sz="0" w:space="0" w:color="auto"/>
            <w:right w:val="none" w:sz="0" w:space="0" w:color="auto"/>
          </w:divBdr>
        </w:div>
        <w:div w:id="1061757604">
          <w:marLeft w:val="640"/>
          <w:marRight w:val="0"/>
          <w:marTop w:val="0"/>
          <w:marBottom w:val="0"/>
          <w:divBdr>
            <w:top w:val="none" w:sz="0" w:space="0" w:color="auto"/>
            <w:left w:val="none" w:sz="0" w:space="0" w:color="auto"/>
            <w:bottom w:val="none" w:sz="0" w:space="0" w:color="auto"/>
            <w:right w:val="none" w:sz="0" w:space="0" w:color="auto"/>
          </w:divBdr>
        </w:div>
        <w:div w:id="1450471225">
          <w:marLeft w:val="640"/>
          <w:marRight w:val="0"/>
          <w:marTop w:val="0"/>
          <w:marBottom w:val="0"/>
          <w:divBdr>
            <w:top w:val="none" w:sz="0" w:space="0" w:color="auto"/>
            <w:left w:val="none" w:sz="0" w:space="0" w:color="auto"/>
            <w:bottom w:val="none" w:sz="0" w:space="0" w:color="auto"/>
            <w:right w:val="none" w:sz="0" w:space="0" w:color="auto"/>
          </w:divBdr>
        </w:div>
        <w:div w:id="1976174087">
          <w:marLeft w:val="640"/>
          <w:marRight w:val="0"/>
          <w:marTop w:val="0"/>
          <w:marBottom w:val="0"/>
          <w:divBdr>
            <w:top w:val="none" w:sz="0" w:space="0" w:color="auto"/>
            <w:left w:val="none" w:sz="0" w:space="0" w:color="auto"/>
            <w:bottom w:val="none" w:sz="0" w:space="0" w:color="auto"/>
            <w:right w:val="none" w:sz="0" w:space="0" w:color="auto"/>
          </w:divBdr>
        </w:div>
        <w:div w:id="1253472404">
          <w:marLeft w:val="640"/>
          <w:marRight w:val="0"/>
          <w:marTop w:val="0"/>
          <w:marBottom w:val="0"/>
          <w:divBdr>
            <w:top w:val="none" w:sz="0" w:space="0" w:color="auto"/>
            <w:left w:val="none" w:sz="0" w:space="0" w:color="auto"/>
            <w:bottom w:val="none" w:sz="0" w:space="0" w:color="auto"/>
            <w:right w:val="none" w:sz="0" w:space="0" w:color="auto"/>
          </w:divBdr>
        </w:div>
        <w:div w:id="425426430">
          <w:marLeft w:val="640"/>
          <w:marRight w:val="0"/>
          <w:marTop w:val="0"/>
          <w:marBottom w:val="0"/>
          <w:divBdr>
            <w:top w:val="none" w:sz="0" w:space="0" w:color="auto"/>
            <w:left w:val="none" w:sz="0" w:space="0" w:color="auto"/>
            <w:bottom w:val="none" w:sz="0" w:space="0" w:color="auto"/>
            <w:right w:val="none" w:sz="0" w:space="0" w:color="auto"/>
          </w:divBdr>
        </w:div>
        <w:div w:id="233200955">
          <w:marLeft w:val="640"/>
          <w:marRight w:val="0"/>
          <w:marTop w:val="0"/>
          <w:marBottom w:val="0"/>
          <w:divBdr>
            <w:top w:val="none" w:sz="0" w:space="0" w:color="auto"/>
            <w:left w:val="none" w:sz="0" w:space="0" w:color="auto"/>
            <w:bottom w:val="none" w:sz="0" w:space="0" w:color="auto"/>
            <w:right w:val="none" w:sz="0" w:space="0" w:color="auto"/>
          </w:divBdr>
        </w:div>
        <w:div w:id="1249730489">
          <w:marLeft w:val="640"/>
          <w:marRight w:val="0"/>
          <w:marTop w:val="0"/>
          <w:marBottom w:val="0"/>
          <w:divBdr>
            <w:top w:val="none" w:sz="0" w:space="0" w:color="auto"/>
            <w:left w:val="none" w:sz="0" w:space="0" w:color="auto"/>
            <w:bottom w:val="none" w:sz="0" w:space="0" w:color="auto"/>
            <w:right w:val="none" w:sz="0" w:space="0" w:color="auto"/>
          </w:divBdr>
        </w:div>
        <w:div w:id="1364861090">
          <w:marLeft w:val="640"/>
          <w:marRight w:val="0"/>
          <w:marTop w:val="0"/>
          <w:marBottom w:val="0"/>
          <w:divBdr>
            <w:top w:val="none" w:sz="0" w:space="0" w:color="auto"/>
            <w:left w:val="none" w:sz="0" w:space="0" w:color="auto"/>
            <w:bottom w:val="none" w:sz="0" w:space="0" w:color="auto"/>
            <w:right w:val="none" w:sz="0" w:space="0" w:color="auto"/>
          </w:divBdr>
        </w:div>
        <w:div w:id="820342750">
          <w:marLeft w:val="640"/>
          <w:marRight w:val="0"/>
          <w:marTop w:val="0"/>
          <w:marBottom w:val="0"/>
          <w:divBdr>
            <w:top w:val="none" w:sz="0" w:space="0" w:color="auto"/>
            <w:left w:val="none" w:sz="0" w:space="0" w:color="auto"/>
            <w:bottom w:val="none" w:sz="0" w:space="0" w:color="auto"/>
            <w:right w:val="none" w:sz="0" w:space="0" w:color="auto"/>
          </w:divBdr>
        </w:div>
        <w:div w:id="938025656">
          <w:marLeft w:val="640"/>
          <w:marRight w:val="0"/>
          <w:marTop w:val="0"/>
          <w:marBottom w:val="0"/>
          <w:divBdr>
            <w:top w:val="none" w:sz="0" w:space="0" w:color="auto"/>
            <w:left w:val="none" w:sz="0" w:space="0" w:color="auto"/>
            <w:bottom w:val="none" w:sz="0" w:space="0" w:color="auto"/>
            <w:right w:val="none" w:sz="0" w:space="0" w:color="auto"/>
          </w:divBdr>
        </w:div>
        <w:div w:id="1851945263">
          <w:marLeft w:val="640"/>
          <w:marRight w:val="0"/>
          <w:marTop w:val="0"/>
          <w:marBottom w:val="0"/>
          <w:divBdr>
            <w:top w:val="none" w:sz="0" w:space="0" w:color="auto"/>
            <w:left w:val="none" w:sz="0" w:space="0" w:color="auto"/>
            <w:bottom w:val="none" w:sz="0" w:space="0" w:color="auto"/>
            <w:right w:val="none" w:sz="0" w:space="0" w:color="auto"/>
          </w:divBdr>
        </w:div>
        <w:div w:id="919371582">
          <w:marLeft w:val="640"/>
          <w:marRight w:val="0"/>
          <w:marTop w:val="0"/>
          <w:marBottom w:val="0"/>
          <w:divBdr>
            <w:top w:val="none" w:sz="0" w:space="0" w:color="auto"/>
            <w:left w:val="none" w:sz="0" w:space="0" w:color="auto"/>
            <w:bottom w:val="none" w:sz="0" w:space="0" w:color="auto"/>
            <w:right w:val="none" w:sz="0" w:space="0" w:color="auto"/>
          </w:divBdr>
        </w:div>
        <w:div w:id="584723140">
          <w:marLeft w:val="640"/>
          <w:marRight w:val="0"/>
          <w:marTop w:val="0"/>
          <w:marBottom w:val="0"/>
          <w:divBdr>
            <w:top w:val="none" w:sz="0" w:space="0" w:color="auto"/>
            <w:left w:val="none" w:sz="0" w:space="0" w:color="auto"/>
            <w:bottom w:val="none" w:sz="0" w:space="0" w:color="auto"/>
            <w:right w:val="none" w:sz="0" w:space="0" w:color="auto"/>
          </w:divBdr>
        </w:div>
        <w:div w:id="651570217">
          <w:marLeft w:val="640"/>
          <w:marRight w:val="0"/>
          <w:marTop w:val="0"/>
          <w:marBottom w:val="0"/>
          <w:divBdr>
            <w:top w:val="none" w:sz="0" w:space="0" w:color="auto"/>
            <w:left w:val="none" w:sz="0" w:space="0" w:color="auto"/>
            <w:bottom w:val="none" w:sz="0" w:space="0" w:color="auto"/>
            <w:right w:val="none" w:sz="0" w:space="0" w:color="auto"/>
          </w:divBdr>
        </w:div>
        <w:div w:id="2112822072">
          <w:marLeft w:val="640"/>
          <w:marRight w:val="0"/>
          <w:marTop w:val="0"/>
          <w:marBottom w:val="0"/>
          <w:divBdr>
            <w:top w:val="none" w:sz="0" w:space="0" w:color="auto"/>
            <w:left w:val="none" w:sz="0" w:space="0" w:color="auto"/>
            <w:bottom w:val="none" w:sz="0" w:space="0" w:color="auto"/>
            <w:right w:val="none" w:sz="0" w:space="0" w:color="auto"/>
          </w:divBdr>
        </w:div>
        <w:div w:id="987785619">
          <w:marLeft w:val="640"/>
          <w:marRight w:val="0"/>
          <w:marTop w:val="0"/>
          <w:marBottom w:val="0"/>
          <w:divBdr>
            <w:top w:val="none" w:sz="0" w:space="0" w:color="auto"/>
            <w:left w:val="none" w:sz="0" w:space="0" w:color="auto"/>
            <w:bottom w:val="none" w:sz="0" w:space="0" w:color="auto"/>
            <w:right w:val="none" w:sz="0" w:space="0" w:color="auto"/>
          </w:divBdr>
        </w:div>
        <w:div w:id="1917279680">
          <w:marLeft w:val="640"/>
          <w:marRight w:val="0"/>
          <w:marTop w:val="0"/>
          <w:marBottom w:val="0"/>
          <w:divBdr>
            <w:top w:val="none" w:sz="0" w:space="0" w:color="auto"/>
            <w:left w:val="none" w:sz="0" w:space="0" w:color="auto"/>
            <w:bottom w:val="none" w:sz="0" w:space="0" w:color="auto"/>
            <w:right w:val="none" w:sz="0" w:space="0" w:color="auto"/>
          </w:divBdr>
        </w:div>
        <w:div w:id="2091150748">
          <w:marLeft w:val="640"/>
          <w:marRight w:val="0"/>
          <w:marTop w:val="0"/>
          <w:marBottom w:val="0"/>
          <w:divBdr>
            <w:top w:val="none" w:sz="0" w:space="0" w:color="auto"/>
            <w:left w:val="none" w:sz="0" w:space="0" w:color="auto"/>
            <w:bottom w:val="none" w:sz="0" w:space="0" w:color="auto"/>
            <w:right w:val="none" w:sz="0" w:space="0" w:color="auto"/>
          </w:divBdr>
        </w:div>
        <w:div w:id="1753156652">
          <w:marLeft w:val="640"/>
          <w:marRight w:val="0"/>
          <w:marTop w:val="0"/>
          <w:marBottom w:val="0"/>
          <w:divBdr>
            <w:top w:val="none" w:sz="0" w:space="0" w:color="auto"/>
            <w:left w:val="none" w:sz="0" w:space="0" w:color="auto"/>
            <w:bottom w:val="none" w:sz="0" w:space="0" w:color="auto"/>
            <w:right w:val="none" w:sz="0" w:space="0" w:color="auto"/>
          </w:divBdr>
        </w:div>
        <w:div w:id="536621820">
          <w:marLeft w:val="640"/>
          <w:marRight w:val="0"/>
          <w:marTop w:val="0"/>
          <w:marBottom w:val="0"/>
          <w:divBdr>
            <w:top w:val="none" w:sz="0" w:space="0" w:color="auto"/>
            <w:left w:val="none" w:sz="0" w:space="0" w:color="auto"/>
            <w:bottom w:val="none" w:sz="0" w:space="0" w:color="auto"/>
            <w:right w:val="none" w:sz="0" w:space="0" w:color="auto"/>
          </w:divBdr>
        </w:div>
        <w:div w:id="1282879099">
          <w:marLeft w:val="640"/>
          <w:marRight w:val="0"/>
          <w:marTop w:val="0"/>
          <w:marBottom w:val="0"/>
          <w:divBdr>
            <w:top w:val="none" w:sz="0" w:space="0" w:color="auto"/>
            <w:left w:val="none" w:sz="0" w:space="0" w:color="auto"/>
            <w:bottom w:val="none" w:sz="0" w:space="0" w:color="auto"/>
            <w:right w:val="none" w:sz="0" w:space="0" w:color="auto"/>
          </w:divBdr>
        </w:div>
        <w:div w:id="1152529548">
          <w:marLeft w:val="640"/>
          <w:marRight w:val="0"/>
          <w:marTop w:val="0"/>
          <w:marBottom w:val="0"/>
          <w:divBdr>
            <w:top w:val="none" w:sz="0" w:space="0" w:color="auto"/>
            <w:left w:val="none" w:sz="0" w:space="0" w:color="auto"/>
            <w:bottom w:val="none" w:sz="0" w:space="0" w:color="auto"/>
            <w:right w:val="none" w:sz="0" w:space="0" w:color="auto"/>
          </w:divBdr>
        </w:div>
        <w:div w:id="785277786">
          <w:marLeft w:val="640"/>
          <w:marRight w:val="0"/>
          <w:marTop w:val="0"/>
          <w:marBottom w:val="0"/>
          <w:divBdr>
            <w:top w:val="none" w:sz="0" w:space="0" w:color="auto"/>
            <w:left w:val="none" w:sz="0" w:space="0" w:color="auto"/>
            <w:bottom w:val="none" w:sz="0" w:space="0" w:color="auto"/>
            <w:right w:val="none" w:sz="0" w:space="0" w:color="auto"/>
          </w:divBdr>
        </w:div>
        <w:div w:id="734544902">
          <w:marLeft w:val="640"/>
          <w:marRight w:val="0"/>
          <w:marTop w:val="0"/>
          <w:marBottom w:val="0"/>
          <w:divBdr>
            <w:top w:val="none" w:sz="0" w:space="0" w:color="auto"/>
            <w:left w:val="none" w:sz="0" w:space="0" w:color="auto"/>
            <w:bottom w:val="none" w:sz="0" w:space="0" w:color="auto"/>
            <w:right w:val="none" w:sz="0" w:space="0" w:color="auto"/>
          </w:divBdr>
        </w:div>
        <w:div w:id="1716420096">
          <w:marLeft w:val="640"/>
          <w:marRight w:val="0"/>
          <w:marTop w:val="0"/>
          <w:marBottom w:val="0"/>
          <w:divBdr>
            <w:top w:val="none" w:sz="0" w:space="0" w:color="auto"/>
            <w:left w:val="none" w:sz="0" w:space="0" w:color="auto"/>
            <w:bottom w:val="none" w:sz="0" w:space="0" w:color="auto"/>
            <w:right w:val="none" w:sz="0" w:space="0" w:color="auto"/>
          </w:divBdr>
        </w:div>
        <w:div w:id="541985543">
          <w:marLeft w:val="640"/>
          <w:marRight w:val="0"/>
          <w:marTop w:val="0"/>
          <w:marBottom w:val="0"/>
          <w:divBdr>
            <w:top w:val="none" w:sz="0" w:space="0" w:color="auto"/>
            <w:left w:val="none" w:sz="0" w:space="0" w:color="auto"/>
            <w:bottom w:val="none" w:sz="0" w:space="0" w:color="auto"/>
            <w:right w:val="none" w:sz="0" w:space="0" w:color="auto"/>
          </w:divBdr>
        </w:div>
        <w:div w:id="1403022565">
          <w:marLeft w:val="640"/>
          <w:marRight w:val="0"/>
          <w:marTop w:val="0"/>
          <w:marBottom w:val="0"/>
          <w:divBdr>
            <w:top w:val="none" w:sz="0" w:space="0" w:color="auto"/>
            <w:left w:val="none" w:sz="0" w:space="0" w:color="auto"/>
            <w:bottom w:val="none" w:sz="0" w:space="0" w:color="auto"/>
            <w:right w:val="none" w:sz="0" w:space="0" w:color="auto"/>
          </w:divBdr>
        </w:div>
        <w:div w:id="1242639247">
          <w:marLeft w:val="640"/>
          <w:marRight w:val="0"/>
          <w:marTop w:val="0"/>
          <w:marBottom w:val="0"/>
          <w:divBdr>
            <w:top w:val="none" w:sz="0" w:space="0" w:color="auto"/>
            <w:left w:val="none" w:sz="0" w:space="0" w:color="auto"/>
            <w:bottom w:val="none" w:sz="0" w:space="0" w:color="auto"/>
            <w:right w:val="none" w:sz="0" w:space="0" w:color="auto"/>
          </w:divBdr>
        </w:div>
        <w:div w:id="1079248902">
          <w:marLeft w:val="640"/>
          <w:marRight w:val="0"/>
          <w:marTop w:val="0"/>
          <w:marBottom w:val="0"/>
          <w:divBdr>
            <w:top w:val="none" w:sz="0" w:space="0" w:color="auto"/>
            <w:left w:val="none" w:sz="0" w:space="0" w:color="auto"/>
            <w:bottom w:val="none" w:sz="0" w:space="0" w:color="auto"/>
            <w:right w:val="none" w:sz="0" w:space="0" w:color="auto"/>
          </w:divBdr>
        </w:div>
        <w:div w:id="603154374">
          <w:marLeft w:val="640"/>
          <w:marRight w:val="0"/>
          <w:marTop w:val="0"/>
          <w:marBottom w:val="0"/>
          <w:divBdr>
            <w:top w:val="none" w:sz="0" w:space="0" w:color="auto"/>
            <w:left w:val="none" w:sz="0" w:space="0" w:color="auto"/>
            <w:bottom w:val="none" w:sz="0" w:space="0" w:color="auto"/>
            <w:right w:val="none" w:sz="0" w:space="0" w:color="auto"/>
          </w:divBdr>
        </w:div>
        <w:div w:id="445320097">
          <w:marLeft w:val="640"/>
          <w:marRight w:val="0"/>
          <w:marTop w:val="0"/>
          <w:marBottom w:val="0"/>
          <w:divBdr>
            <w:top w:val="none" w:sz="0" w:space="0" w:color="auto"/>
            <w:left w:val="none" w:sz="0" w:space="0" w:color="auto"/>
            <w:bottom w:val="none" w:sz="0" w:space="0" w:color="auto"/>
            <w:right w:val="none" w:sz="0" w:space="0" w:color="auto"/>
          </w:divBdr>
        </w:div>
        <w:div w:id="2032611194">
          <w:marLeft w:val="640"/>
          <w:marRight w:val="0"/>
          <w:marTop w:val="0"/>
          <w:marBottom w:val="0"/>
          <w:divBdr>
            <w:top w:val="none" w:sz="0" w:space="0" w:color="auto"/>
            <w:left w:val="none" w:sz="0" w:space="0" w:color="auto"/>
            <w:bottom w:val="none" w:sz="0" w:space="0" w:color="auto"/>
            <w:right w:val="none" w:sz="0" w:space="0" w:color="auto"/>
          </w:divBdr>
        </w:div>
        <w:div w:id="432868333">
          <w:marLeft w:val="640"/>
          <w:marRight w:val="0"/>
          <w:marTop w:val="0"/>
          <w:marBottom w:val="0"/>
          <w:divBdr>
            <w:top w:val="none" w:sz="0" w:space="0" w:color="auto"/>
            <w:left w:val="none" w:sz="0" w:space="0" w:color="auto"/>
            <w:bottom w:val="none" w:sz="0" w:space="0" w:color="auto"/>
            <w:right w:val="none" w:sz="0" w:space="0" w:color="auto"/>
          </w:divBdr>
        </w:div>
        <w:div w:id="476335339">
          <w:marLeft w:val="640"/>
          <w:marRight w:val="0"/>
          <w:marTop w:val="0"/>
          <w:marBottom w:val="0"/>
          <w:divBdr>
            <w:top w:val="none" w:sz="0" w:space="0" w:color="auto"/>
            <w:left w:val="none" w:sz="0" w:space="0" w:color="auto"/>
            <w:bottom w:val="none" w:sz="0" w:space="0" w:color="auto"/>
            <w:right w:val="none" w:sz="0" w:space="0" w:color="auto"/>
          </w:divBdr>
        </w:div>
        <w:div w:id="818957068">
          <w:marLeft w:val="640"/>
          <w:marRight w:val="0"/>
          <w:marTop w:val="0"/>
          <w:marBottom w:val="0"/>
          <w:divBdr>
            <w:top w:val="none" w:sz="0" w:space="0" w:color="auto"/>
            <w:left w:val="none" w:sz="0" w:space="0" w:color="auto"/>
            <w:bottom w:val="none" w:sz="0" w:space="0" w:color="auto"/>
            <w:right w:val="none" w:sz="0" w:space="0" w:color="auto"/>
          </w:divBdr>
        </w:div>
        <w:div w:id="1635479500">
          <w:marLeft w:val="640"/>
          <w:marRight w:val="0"/>
          <w:marTop w:val="0"/>
          <w:marBottom w:val="0"/>
          <w:divBdr>
            <w:top w:val="none" w:sz="0" w:space="0" w:color="auto"/>
            <w:left w:val="none" w:sz="0" w:space="0" w:color="auto"/>
            <w:bottom w:val="none" w:sz="0" w:space="0" w:color="auto"/>
            <w:right w:val="none" w:sz="0" w:space="0" w:color="auto"/>
          </w:divBdr>
        </w:div>
        <w:div w:id="1910573086">
          <w:marLeft w:val="640"/>
          <w:marRight w:val="0"/>
          <w:marTop w:val="0"/>
          <w:marBottom w:val="0"/>
          <w:divBdr>
            <w:top w:val="none" w:sz="0" w:space="0" w:color="auto"/>
            <w:left w:val="none" w:sz="0" w:space="0" w:color="auto"/>
            <w:bottom w:val="none" w:sz="0" w:space="0" w:color="auto"/>
            <w:right w:val="none" w:sz="0" w:space="0" w:color="auto"/>
          </w:divBdr>
        </w:div>
        <w:div w:id="1240754777">
          <w:marLeft w:val="640"/>
          <w:marRight w:val="0"/>
          <w:marTop w:val="0"/>
          <w:marBottom w:val="0"/>
          <w:divBdr>
            <w:top w:val="none" w:sz="0" w:space="0" w:color="auto"/>
            <w:left w:val="none" w:sz="0" w:space="0" w:color="auto"/>
            <w:bottom w:val="none" w:sz="0" w:space="0" w:color="auto"/>
            <w:right w:val="none" w:sz="0" w:space="0" w:color="auto"/>
          </w:divBdr>
        </w:div>
        <w:div w:id="1374505066">
          <w:marLeft w:val="640"/>
          <w:marRight w:val="0"/>
          <w:marTop w:val="0"/>
          <w:marBottom w:val="0"/>
          <w:divBdr>
            <w:top w:val="none" w:sz="0" w:space="0" w:color="auto"/>
            <w:left w:val="none" w:sz="0" w:space="0" w:color="auto"/>
            <w:bottom w:val="none" w:sz="0" w:space="0" w:color="auto"/>
            <w:right w:val="none" w:sz="0" w:space="0" w:color="auto"/>
          </w:divBdr>
        </w:div>
        <w:div w:id="534002490">
          <w:marLeft w:val="640"/>
          <w:marRight w:val="0"/>
          <w:marTop w:val="0"/>
          <w:marBottom w:val="0"/>
          <w:divBdr>
            <w:top w:val="none" w:sz="0" w:space="0" w:color="auto"/>
            <w:left w:val="none" w:sz="0" w:space="0" w:color="auto"/>
            <w:bottom w:val="none" w:sz="0" w:space="0" w:color="auto"/>
            <w:right w:val="none" w:sz="0" w:space="0" w:color="auto"/>
          </w:divBdr>
        </w:div>
        <w:div w:id="1586569281">
          <w:marLeft w:val="640"/>
          <w:marRight w:val="0"/>
          <w:marTop w:val="0"/>
          <w:marBottom w:val="0"/>
          <w:divBdr>
            <w:top w:val="none" w:sz="0" w:space="0" w:color="auto"/>
            <w:left w:val="none" w:sz="0" w:space="0" w:color="auto"/>
            <w:bottom w:val="none" w:sz="0" w:space="0" w:color="auto"/>
            <w:right w:val="none" w:sz="0" w:space="0" w:color="auto"/>
          </w:divBdr>
        </w:div>
        <w:div w:id="929895997">
          <w:marLeft w:val="640"/>
          <w:marRight w:val="0"/>
          <w:marTop w:val="0"/>
          <w:marBottom w:val="0"/>
          <w:divBdr>
            <w:top w:val="none" w:sz="0" w:space="0" w:color="auto"/>
            <w:left w:val="none" w:sz="0" w:space="0" w:color="auto"/>
            <w:bottom w:val="none" w:sz="0" w:space="0" w:color="auto"/>
            <w:right w:val="none" w:sz="0" w:space="0" w:color="auto"/>
          </w:divBdr>
        </w:div>
        <w:div w:id="1968584054">
          <w:marLeft w:val="640"/>
          <w:marRight w:val="0"/>
          <w:marTop w:val="0"/>
          <w:marBottom w:val="0"/>
          <w:divBdr>
            <w:top w:val="none" w:sz="0" w:space="0" w:color="auto"/>
            <w:left w:val="none" w:sz="0" w:space="0" w:color="auto"/>
            <w:bottom w:val="none" w:sz="0" w:space="0" w:color="auto"/>
            <w:right w:val="none" w:sz="0" w:space="0" w:color="auto"/>
          </w:divBdr>
        </w:div>
        <w:div w:id="592013545">
          <w:marLeft w:val="640"/>
          <w:marRight w:val="0"/>
          <w:marTop w:val="0"/>
          <w:marBottom w:val="0"/>
          <w:divBdr>
            <w:top w:val="none" w:sz="0" w:space="0" w:color="auto"/>
            <w:left w:val="none" w:sz="0" w:space="0" w:color="auto"/>
            <w:bottom w:val="none" w:sz="0" w:space="0" w:color="auto"/>
            <w:right w:val="none" w:sz="0" w:space="0" w:color="auto"/>
          </w:divBdr>
        </w:div>
        <w:div w:id="851912435">
          <w:marLeft w:val="640"/>
          <w:marRight w:val="0"/>
          <w:marTop w:val="0"/>
          <w:marBottom w:val="0"/>
          <w:divBdr>
            <w:top w:val="none" w:sz="0" w:space="0" w:color="auto"/>
            <w:left w:val="none" w:sz="0" w:space="0" w:color="auto"/>
            <w:bottom w:val="none" w:sz="0" w:space="0" w:color="auto"/>
            <w:right w:val="none" w:sz="0" w:space="0" w:color="auto"/>
          </w:divBdr>
        </w:div>
        <w:div w:id="3754683">
          <w:marLeft w:val="640"/>
          <w:marRight w:val="0"/>
          <w:marTop w:val="0"/>
          <w:marBottom w:val="0"/>
          <w:divBdr>
            <w:top w:val="none" w:sz="0" w:space="0" w:color="auto"/>
            <w:left w:val="none" w:sz="0" w:space="0" w:color="auto"/>
            <w:bottom w:val="none" w:sz="0" w:space="0" w:color="auto"/>
            <w:right w:val="none" w:sz="0" w:space="0" w:color="auto"/>
          </w:divBdr>
        </w:div>
        <w:div w:id="1668821022">
          <w:marLeft w:val="640"/>
          <w:marRight w:val="0"/>
          <w:marTop w:val="0"/>
          <w:marBottom w:val="0"/>
          <w:divBdr>
            <w:top w:val="none" w:sz="0" w:space="0" w:color="auto"/>
            <w:left w:val="none" w:sz="0" w:space="0" w:color="auto"/>
            <w:bottom w:val="none" w:sz="0" w:space="0" w:color="auto"/>
            <w:right w:val="none" w:sz="0" w:space="0" w:color="auto"/>
          </w:divBdr>
        </w:div>
        <w:div w:id="601841049">
          <w:marLeft w:val="640"/>
          <w:marRight w:val="0"/>
          <w:marTop w:val="0"/>
          <w:marBottom w:val="0"/>
          <w:divBdr>
            <w:top w:val="none" w:sz="0" w:space="0" w:color="auto"/>
            <w:left w:val="none" w:sz="0" w:space="0" w:color="auto"/>
            <w:bottom w:val="none" w:sz="0" w:space="0" w:color="auto"/>
            <w:right w:val="none" w:sz="0" w:space="0" w:color="auto"/>
          </w:divBdr>
        </w:div>
        <w:div w:id="1271887463">
          <w:marLeft w:val="640"/>
          <w:marRight w:val="0"/>
          <w:marTop w:val="0"/>
          <w:marBottom w:val="0"/>
          <w:divBdr>
            <w:top w:val="none" w:sz="0" w:space="0" w:color="auto"/>
            <w:left w:val="none" w:sz="0" w:space="0" w:color="auto"/>
            <w:bottom w:val="none" w:sz="0" w:space="0" w:color="auto"/>
            <w:right w:val="none" w:sz="0" w:space="0" w:color="auto"/>
          </w:divBdr>
        </w:div>
        <w:div w:id="1033767574">
          <w:marLeft w:val="640"/>
          <w:marRight w:val="0"/>
          <w:marTop w:val="0"/>
          <w:marBottom w:val="0"/>
          <w:divBdr>
            <w:top w:val="none" w:sz="0" w:space="0" w:color="auto"/>
            <w:left w:val="none" w:sz="0" w:space="0" w:color="auto"/>
            <w:bottom w:val="none" w:sz="0" w:space="0" w:color="auto"/>
            <w:right w:val="none" w:sz="0" w:space="0" w:color="auto"/>
          </w:divBdr>
        </w:div>
        <w:div w:id="1292442601">
          <w:marLeft w:val="640"/>
          <w:marRight w:val="0"/>
          <w:marTop w:val="0"/>
          <w:marBottom w:val="0"/>
          <w:divBdr>
            <w:top w:val="none" w:sz="0" w:space="0" w:color="auto"/>
            <w:left w:val="none" w:sz="0" w:space="0" w:color="auto"/>
            <w:bottom w:val="none" w:sz="0" w:space="0" w:color="auto"/>
            <w:right w:val="none" w:sz="0" w:space="0" w:color="auto"/>
          </w:divBdr>
        </w:div>
        <w:div w:id="1724712500">
          <w:marLeft w:val="640"/>
          <w:marRight w:val="0"/>
          <w:marTop w:val="0"/>
          <w:marBottom w:val="0"/>
          <w:divBdr>
            <w:top w:val="none" w:sz="0" w:space="0" w:color="auto"/>
            <w:left w:val="none" w:sz="0" w:space="0" w:color="auto"/>
            <w:bottom w:val="none" w:sz="0" w:space="0" w:color="auto"/>
            <w:right w:val="none" w:sz="0" w:space="0" w:color="auto"/>
          </w:divBdr>
        </w:div>
        <w:div w:id="1255362783">
          <w:marLeft w:val="640"/>
          <w:marRight w:val="0"/>
          <w:marTop w:val="0"/>
          <w:marBottom w:val="0"/>
          <w:divBdr>
            <w:top w:val="none" w:sz="0" w:space="0" w:color="auto"/>
            <w:left w:val="none" w:sz="0" w:space="0" w:color="auto"/>
            <w:bottom w:val="none" w:sz="0" w:space="0" w:color="auto"/>
            <w:right w:val="none" w:sz="0" w:space="0" w:color="auto"/>
          </w:divBdr>
        </w:div>
        <w:div w:id="1085495488">
          <w:marLeft w:val="640"/>
          <w:marRight w:val="0"/>
          <w:marTop w:val="0"/>
          <w:marBottom w:val="0"/>
          <w:divBdr>
            <w:top w:val="none" w:sz="0" w:space="0" w:color="auto"/>
            <w:left w:val="none" w:sz="0" w:space="0" w:color="auto"/>
            <w:bottom w:val="none" w:sz="0" w:space="0" w:color="auto"/>
            <w:right w:val="none" w:sz="0" w:space="0" w:color="auto"/>
          </w:divBdr>
        </w:div>
        <w:div w:id="1115514743">
          <w:marLeft w:val="640"/>
          <w:marRight w:val="0"/>
          <w:marTop w:val="0"/>
          <w:marBottom w:val="0"/>
          <w:divBdr>
            <w:top w:val="none" w:sz="0" w:space="0" w:color="auto"/>
            <w:left w:val="none" w:sz="0" w:space="0" w:color="auto"/>
            <w:bottom w:val="none" w:sz="0" w:space="0" w:color="auto"/>
            <w:right w:val="none" w:sz="0" w:space="0" w:color="auto"/>
          </w:divBdr>
        </w:div>
        <w:div w:id="1715999227">
          <w:marLeft w:val="640"/>
          <w:marRight w:val="0"/>
          <w:marTop w:val="0"/>
          <w:marBottom w:val="0"/>
          <w:divBdr>
            <w:top w:val="none" w:sz="0" w:space="0" w:color="auto"/>
            <w:left w:val="none" w:sz="0" w:space="0" w:color="auto"/>
            <w:bottom w:val="none" w:sz="0" w:space="0" w:color="auto"/>
            <w:right w:val="none" w:sz="0" w:space="0" w:color="auto"/>
          </w:divBdr>
        </w:div>
        <w:div w:id="2061978366">
          <w:marLeft w:val="640"/>
          <w:marRight w:val="0"/>
          <w:marTop w:val="0"/>
          <w:marBottom w:val="0"/>
          <w:divBdr>
            <w:top w:val="none" w:sz="0" w:space="0" w:color="auto"/>
            <w:left w:val="none" w:sz="0" w:space="0" w:color="auto"/>
            <w:bottom w:val="none" w:sz="0" w:space="0" w:color="auto"/>
            <w:right w:val="none" w:sz="0" w:space="0" w:color="auto"/>
          </w:divBdr>
        </w:div>
        <w:div w:id="278412502">
          <w:marLeft w:val="640"/>
          <w:marRight w:val="0"/>
          <w:marTop w:val="0"/>
          <w:marBottom w:val="0"/>
          <w:divBdr>
            <w:top w:val="none" w:sz="0" w:space="0" w:color="auto"/>
            <w:left w:val="none" w:sz="0" w:space="0" w:color="auto"/>
            <w:bottom w:val="none" w:sz="0" w:space="0" w:color="auto"/>
            <w:right w:val="none" w:sz="0" w:space="0" w:color="auto"/>
          </w:divBdr>
        </w:div>
        <w:div w:id="1640917024">
          <w:marLeft w:val="640"/>
          <w:marRight w:val="0"/>
          <w:marTop w:val="0"/>
          <w:marBottom w:val="0"/>
          <w:divBdr>
            <w:top w:val="none" w:sz="0" w:space="0" w:color="auto"/>
            <w:left w:val="none" w:sz="0" w:space="0" w:color="auto"/>
            <w:bottom w:val="none" w:sz="0" w:space="0" w:color="auto"/>
            <w:right w:val="none" w:sz="0" w:space="0" w:color="auto"/>
          </w:divBdr>
        </w:div>
        <w:div w:id="1615405788">
          <w:marLeft w:val="640"/>
          <w:marRight w:val="0"/>
          <w:marTop w:val="0"/>
          <w:marBottom w:val="0"/>
          <w:divBdr>
            <w:top w:val="none" w:sz="0" w:space="0" w:color="auto"/>
            <w:left w:val="none" w:sz="0" w:space="0" w:color="auto"/>
            <w:bottom w:val="none" w:sz="0" w:space="0" w:color="auto"/>
            <w:right w:val="none" w:sz="0" w:space="0" w:color="auto"/>
          </w:divBdr>
        </w:div>
        <w:div w:id="817695877">
          <w:marLeft w:val="640"/>
          <w:marRight w:val="0"/>
          <w:marTop w:val="0"/>
          <w:marBottom w:val="0"/>
          <w:divBdr>
            <w:top w:val="none" w:sz="0" w:space="0" w:color="auto"/>
            <w:left w:val="none" w:sz="0" w:space="0" w:color="auto"/>
            <w:bottom w:val="none" w:sz="0" w:space="0" w:color="auto"/>
            <w:right w:val="none" w:sz="0" w:space="0" w:color="auto"/>
          </w:divBdr>
        </w:div>
        <w:div w:id="1882133234">
          <w:marLeft w:val="640"/>
          <w:marRight w:val="0"/>
          <w:marTop w:val="0"/>
          <w:marBottom w:val="0"/>
          <w:divBdr>
            <w:top w:val="none" w:sz="0" w:space="0" w:color="auto"/>
            <w:left w:val="none" w:sz="0" w:space="0" w:color="auto"/>
            <w:bottom w:val="none" w:sz="0" w:space="0" w:color="auto"/>
            <w:right w:val="none" w:sz="0" w:space="0" w:color="auto"/>
          </w:divBdr>
        </w:div>
        <w:div w:id="250164938">
          <w:marLeft w:val="640"/>
          <w:marRight w:val="0"/>
          <w:marTop w:val="0"/>
          <w:marBottom w:val="0"/>
          <w:divBdr>
            <w:top w:val="none" w:sz="0" w:space="0" w:color="auto"/>
            <w:left w:val="none" w:sz="0" w:space="0" w:color="auto"/>
            <w:bottom w:val="none" w:sz="0" w:space="0" w:color="auto"/>
            <w:right w:val="none" w:sz="0" w:space="0" w:color="auto"/>
          </w:divBdr>
        </w:div>
        <w:div w:id="1286307811">
          <w:marLeft w:val="640"/>
          <w:marRight w:val="0"/>
          <w:marTop w:val="0"/>
          <w:marBottom w:val="0"/>
          <w:divBdr>
            <w:top w:val="none" w:sz="0" w:space="0" w:color="auto"/>
            <w:left w:val="none" w:sz="0" w:space="0" w:color="auto"/>
            <w:bottom w:val="none" w:sz="0" w:space="0" w:color="auto"/>
            <w:right w:val="none" w:sz="0" w:space="0" w:color="auto"/>
          </w:divBdr>
        </w:div>
        <w:div w:id="552235949">
          <w:marLeft w:val="640"/>
          <w:marRight w:val="0"/>
          <w:marTop w:val="0"/>
          <w:marBottom w:val="0"/>
          <w:divBdr>
            <w:top w:val="none" w:sz="0" w:space="0" w:color="auto"/>
            <w:left w:val="none" w:sz="0" w:space="0" w:color="auto"/>
            <w:bottom w:val="none" w:sz="0" w:space="0" w:color="auto"/>
            <w:right w:val="none" w:sz="0" w:space="0" w:color="auto"/>
          </w:divBdr>
        </w:div>
        <w:div w:id="1327856820">
          <w:marLeft w:val="640"/>
          <w:marRight w:val="0"/>
          <w:marTop w:val="0"/>
          <w:marBottom w:val="0"/>
          <w:divBdr>
            <w:top w:val="none" w:sz="0" w:space="0" w:color="auto"/>
            <w:left w:val="none" w:sz="0" w:space="0" w:color="auto"/>
            <w:bottom w:val="none" w:sz="0" w:space="0" w:color="auto"/>
            <w:right w:val="none" w:sz="0" w:space="0" w:color="auto"/>
          </w:divBdr>
        </w:div>
        <w:div w:id="1999647966">
          <w:marLeft w:val="640"/>
          <w:marRight w:val="0"/>
          <w:marTop w:val="0"/>
          <w:marBottom w:val="0"/>
          <w:divBdr>
            <w:top w:val="none" w:sz="0" w:space="0" w:color="auto"/>
            <w:left w:val="none" w:sz="0" w:space="0" w:color="auto"/>
            <w:bottom w:val="none" w:sz="0" w:space="0" w:color="auto"/>
            <w:right w:val="none" w:sz="0" w:space="0" w:color="auto"/>
          </w:divBdr>
        </w:div>
        <w:div w:id="655955462">
          <w:marLeft w:val="640"/>
          <w:marRight w:val="0"/>
          <w:marTop w:val="0"/>
          <w:marBottom w:val="0"/>
          <w:divBdr>
            <w:top w:val="none" w:sz="0" w:space="0" w:color="auto"/>
            <w:left w:val="none" w:sz="0" w:space="0" w:color="auto"/>
            <w:bottom w:val="none" w:sz="0" w:space="0" w:color="auto"/>
            <w:right w:val="none" w:sz="0" w:space="0" w:color="auto"/>
          </w:divBdr>
        </w:div>
        <w:div w:id="450168936">
          <w:marLeft w:val="640"/>
          <w:marRight w:val="0"/>
          <w:marTop w:val="0"/>
          <w:marBottom w:val="0"/>
          <w:divBdr>
            <w:top w:val="none" w:sz="0" w:space="0" w:color="auto"/>
            <w:left w:val="none" w:sz="0" w:space="0" w:color="auto"/>
            <w:bottom w:val="none" w:sz="0" w:space="0" w:color="auto"/>
            <w:right w:val="none" w:sz="0" w:space="0" w:color="auto"/>
          </w:divBdr>
        </w:div>
        <w:div w:id="2134009146">
          <w:marLeft w:val="640"/>
          <w:marRight w:val="0"/>
          <w:marTop w:val="0"/>
          <w:marBottom w:val="0"/>
          <w:divBdr>
            <w:top w:val="none" w:sz="0" w:space="0" w:color="auto"/>
            <w:left w:val="none" w:sz="0" w:space="0" w:color="auto"/>
            <w:bottom w:val="none" w:sz="0" w:space="0" w:color="auto"/>
            <w:right w:val="none" w:sz="0" w:space="0" w:color="auto"/>
          </w:divBdr>
        </w:div>
        <w:div w:id="1977450159">
          <w:marLeft w:val="640"/>
          <w:marRight w:val="0"/>
          <w:marTop w:val="0"/>
          <w:marBottom w:val="0"/>
          <w:divBdr>
            <w:top w:val="none" w:sz="0" w:space="0" w:color="auto"/>
            <w:left w:val="none" w:sz="0" w:space="0" w:color="auto"/>
            <w:bottom w:val="none" w:sz="0" w:space="0" w:color="auto"/>
            <w:right w:val="none" w:sz="0" w:space="0" w:color="auto"/>
          </w:divBdr>
        </w:div>
        <w:div w:id="342049185">
          <w:marLeft w:val="640"/>
          <w:marRight w:val="0"/>
          <w:marTop w:val="0"/>
          <w:marBottom w:val="0"/>
          <w:divBdr>
            <w:top w:val="none" w:sz="0" w:space="0" w:color="auto"/>
            <w:left w:val="none" w:sz="0" w:space="0" w:color="auto"/>
            <w:bottom w:val="none" w:sz="0" w:space="0" w:color="auto"/>
            <w:right w:val="none" w:sz="0" w:space="0" w:color="auto"/>
          </w:divBdr>
        </w:div>
        <w:div w:id="547491091">
          <w:marLeft w:val="640"/>
          <w:marRight w:val="0"/>
          <w:marTop w:val="0"/>
          <w:marBottom w:val="0"/>
          <w:divBdr>
            <w:top w:val="none" w:sz="0" w:space="0" w:color="auto"/>
            <w:left w:val="none" w:sz="0" w:space="0" w:color="auto"/>
            <w:bottom w:val="none" w:sz="0" w:space="0" w:color="auto"/>
            <w:right w:val="none" w:sz="0" w:space="0" w:color="auto"/>
          </w:divBdr>
        </w:div>
        <w:div w:id="1546019778">
          <w:marLeft w:val="640"/>
          <w:marRight w:val="0"/>
          <w:marTop w:val="0"/>
          <w:marBottom w:val="0"/>
          <w:divBdr>
            <w:top w:val="none" w:sz="0" w:space="0" w:color="auto"/>
            <w:left w:val="none" w:sz="0" w:space="0" w:color="auto"/>
            <w:bottom w:val="none" w:sz="0" w:space="0" w:color="auto"/>
            <w:right w:val="none" w:sz="0" w:space="0" w:color="auto"/>
          </w:divBdr>
        </w:div>
        <w:div w:id="109252807">
          <w:marLeft w:val="640"/>
          <w:marRight w:val="0"/>
          <w:marTop w:val="0"/>
          <w:marBottom w:val="0"/>
          <w:divBdr>
            <w:top w:val="none" w:sz="0" w:space="0" w:color="auto"/>
            <w:left w:val="none" w:sz="0" w:space="0" w:color="auto"/>
            <w:bottom w:val="none" w:sz="0" w:space="0" w:color="auto"/>
            <w:right w:val="none" w:sz="0" w:space="0" w:color="auto"/>
          </w:divBdr>
        </w:div>
        <w:div w:id="1223256521">
          <w:marLeft w:val="640"/>
          <w:marRight w:val="0"/>
          <w:marTop w:val="0"/>
          <w:marBottom w:val="0"/>
          <w:divBdr>
            <w:top w:val="none" w:sz="0" w:space="0" w:color="auto"/>
            <w:left w:val="none" w:sz="0" w:space="0" w:color="auto"/>
            <w:bottom w:val="none" w:sz="0" w:space="0" w:color="auto"/>
            <w:right w:val="none" w:sz="0" w:space="0" w:color="auto"/>
          </w:divBdr>
        </w:div>
        <w:div w:id="1621759679">
          <w:marLeft w:val="640"/>
          <w:marRight w:val="0"/>
          <w:marTop w:val="0"/>
          <w:marBottom w:val="0"/>
          <w:divBdr>
            <w:top w:val="none" w:sz="0" w:space="0" w:color="auto"/>
            <w:left w:val="none" w:sz="0" w:space="0" w:color="auto"/>
            <w:bottom w:val="none" w:sz="0" w:space="0" w:color="auto"/>
            <w:right w:val="none" w:sz="0" w:space="0" w:color="auto"/>
          </w:divBdr>
        </w:div>
        <w:div w:id="317265734">
          <w:marLeft w:val="640"/>
          <w:marRight w:val="0"/>
          <w:marTop w:val="0"/>
          <w:marBottom w:val="0"/>
          <w:divBdr>
            <w:top w:val="none" w:sz="0" w:space="0" w:color="auto"/>
            <w:left w:val="none" w:sz="0" w:space="0" w:color="auto"/>
            <w:bottom w:val="none" w:sz="0" w:space="0" w:color="auto"/>
            <w:right w:val="none" w:sz="0" w:space="0" w:color="auto"/>
          </w:divBdr>
        </w:div>
        <w:div w:id="921597571">
          <w:marLeft w:val="640"/>
          <w:marRight w:val="0"/>
          <w:marTop w:val="0"/>
          <w:marBottom w:val="0"/>
          <w:divBdr>
            <w:top w:val="none" w:sz="0" w:space="0" w:color="auto"/>
            <w:left w:val="none" w:sz="0" w:space="0" w:color="auto"/>
            <w:bottom w:val="none" w:sz="0" w:space="0" w:color="auto"/>
            <w:right w:val="none" w:sz="0" w:space="0" w:color="auto"/>
          </w:divBdr>
        </w:div>
        <w:div w:id="1532451995">
          <w:marLeft w:val="640"/>
          <w:marRight w:val="0"/>
          <w:marTop w:val="0"/>
          <w:marBottom w:val="0"/>
          <w:divBdr>
            <w:top w:val="none" w:sz="0" w:space="0" w:color="auto"/>
            <w:left w:val="none" w:sz="0" w:space="0" w:color="auto"/>
            <w:bottom w:val="none" w:sz="0" w:space="0" w:color="auto"/>
            <w:right w:val="none" w:sz="0" w:space="0" w:color="auto"/>
          </w:divBdr>
        </w:div>
        <w:div w:id="430778357">
          <w:marLeft w:val="640"/>
          <w:marRight w:val="0"/>
          <w:marTop w:val="0"/>
          <w:marBottom w:val="0"/>
          <w:divBdr>
            <w:top w:val="none" w:sz="0" w:space="0" w:color="auto"/>
            <w:left w:val="none" w:sz="0" w:space="0" w:color="auto"/>
            <w:bottom w:val="none" w:sz="0" w:space="0" w:color="auto"/>
            <w:right w:val="none" w:sz="0" w:space="0" w:color="auto"/>
          </w:divBdr>
        </w:div>
        <w:div w:id="1671830982">
          <w:marLeft w:val="640"/>
          <w:marRight w:val="0"/>
          <w:marTop w:val="0"/>
          <w:marBottom w:val="0"/>
          <w:divBdr>
            <w:top w:val="none" w:sz="0" w:space="0" w:color="auto"/>
            <w:left w:val="none" w:sz="0" w:space="0" w:color="auto"/>
            <w:bottom w:val="none" w:sz="0" w:space="0" w:color="auto"/>
            <w:right w:val="none" w:sz="0" w:space="0" w:color="auto"/>
          </w:divBdr>
        </w:div>
        <w:div w:id="969824932">
          <w:marLeft w:val="640"/>
          <w:marRight w:val="0"/>
          <w:marTop w:val="0"/>
          <w:marBottom w:val="0"/>
          <w:divBdr>
            <w:top w:val="none" w:sz="0" w:space="0" w:color="auto"/>
            <w:left w:val="none" w:sz="0" w:space="0" w:color="auto"/>
            <w:bottom w:val="none" w:sz="0" w:space="0" w:color="auto"/>
            <w:right w:val="none" w:sz="0" w:space="0" w:color="auto"/>
          </w:divBdr>
        </w:div>
        <w:div w:id="1069302937">
          <w:marLeft w:val="640"/>
          <w:marRight w:val="0"/>
          <w:marTop w:val="0"/>
          <w:marBottom w:val="0"/>
          <w:divBdr>
            <w:top w:val="none" w:sz="0" w:space="0" w:color="auto"/>
            <w:left w:val="none" w:sz="0" w:space="0" w:color="auto"/>
            <w:bottom w:val="none" w:sz="0" w:space="0" w:color="auto"/>
            <w:right w:val="none" w:sz="0" w:space="0" w:color="auto"/>
          </w:divBdr>
        </w:div>
        <w:div w:id="499851002">
          <w:marLeft w:val="640"/>
          <w:marRight w:val="0"/>
          <w:marTop w:val="0"/>
          <w:marBottom w:val="0"/>
          <w:divBdr>
            <w:top w:val="none" w:sz="0" w:space="0" w:color="auto"/>
            <w:left w:val="none" w:sz="0" w:space="0" w:color="auto"/>
            <w:bottom w:val="none" w:sz="0" w:space="0" w:color="auto"/>
            <w:right w:val="none" w:sz="0" w:space="0" w:color="auto"/>
          </w:divBdr>
        </w:div>
        <w:div w:id="140000936">
          <w:marLeft w:val="640"/>
          <w:marRight w:val="0"/>
          <w:marTop w:val="0"/>
          <w:marBottom w:val="0"/>
          <w:divBdr>
            <w:top w:val="none" w:sz="0" w:space="0" w:color="auto"/>
            <w:left w:val="none" w:sz="0" w:space="0" w:color="auto"/>
            <w:bottom w:val="none" w:sz="0" w:space="0" w:color="auto"/>
            <w:right w:val="none" w:sz="0" w:space="0" w:color="auto"/>
          </w:divBdr>
        </w:div>
        <w:div w:id="622420986">
          <w:marLeft w:val="640"/>
          <w:marRight w:val="0"/>
          <w:marTop w:val="0"/>
          <w:marBottom w:val="0"/>
          <w:divBdr>
            <w:top w:val="none" w:sz="0" w:space="0" w:color="auto"/>
            <w:left w:val="none" w:sz="0" w:space="0" w:color="auto"/>
            <w:bottom w:val="none" w:sz="0" w:space="0" w:color="auto"/>
            <w:right w:val="none" w:sz="0" w:space="0" w:color="auto"/>
          </w:divBdr>
        </w:div>
        <w:div w:id="1049649571">
          <w:marLeft w:val="640"/>
          <w:marRight w:val="0"/>
          <w:marTop w:val="0"/>
          <w:marBottom w:val="0"/>
          <w:divBdr>
            <w:top w:val="none" w:sz="0" w:space="0" w:color="auto"/>
            <w:left w:val="none" w:sz="0" w:space="0" w:color="auto"/>
            <w:bottom w:val="none" w:sz="0" w:space="0" w:color="auto"/>
            <w:right w:val="none" w:sz="0" w:space="0" w:color="auto"/>
          </w:divBdr>
        </w:div>
        <w:div w:id="73625430">
          <w:marLeft w:val="640"/>
          <w:marRight w:val="0"/>
          <w:marTop w:val="0"/>
          <w:marBottom w:val="0"/>
          <w:divBdr>
            <w:top w:val="none" w:sz="0" w:space="0" w:color="auto"/>
            <w:left w:val="none" w:sz="0" w:space="0" w:color="auto"/>
            <w:bottom w:val="none" w:sz="0" w:space="0" w:color="auto"/>
            <w:right w:val="none" w:sz="0" w:space="0" w:color="auto"/>
          </w:divBdr>
        </w:div>
        <w:div w:id="2059358875">
          <w:marLeft w:val="640"/>
          <w:marRight w:val="0"/>
          <w:marTop w:val="0"/>
          <w:marBottom w:val="0"/>
          <w:divBdr>
            <w:top w:val="none" w:sz="0" w:space="0" w:color="auto"/>
            <w:left w:val="none" w:sz="0" w:space="0" w:color="auto"/>
            <w:bottom w:val="none" w:sz="0" w:space="0" w:color="auto"/>
            <w:right w:val="none" w:sz="0" w:space="0" w:color="auto"/>
          </w:divBdr>
        </w:div>
        <w:div w:id="1160266070">
          <w:marLeft w:val="640"/>
          <w:marRight w:val="0"/>
          <w:marTop w:val="0"/>
          <w:marBottom w:val="0"/>
          <w:divBdr>
            <w:top w:val="none" w:sz="0" w:space="0" w:color="auto"/>
            <w:left w:val="none" w:sz="0" w:space="0" w:color="auto"/>
            <w:bottom w:val="none" w:sz="0" w:space="0" w:color="auto"/>
            <w:right w:val="none" w:sz="0" w:space="0" w:color="auto"/>
          </w:divBdr>
        </w:div>
        <w:div w:id="383602721">
          <w:marLeft w:val="640"/>
          <w:marRight w:val="0"/>
          <w:marTop w:val="0"/>
          <w:marBottom w:val="0"/>
          <w:divBdr>
            <w:top w:val="none" w:sz="0" w:space="0" w:color="auto"/>
            <w:left w:val="none" w:sz="0" w:space="0" w:color="auto"/>
            <w:bottom w:val="none" w:sz="0" w:space="0" w:color="auto"/>
            <w:right w:val="none" w:sz="0" w:space="0" w:color="auto"/>
          </w:divBdr>
        </w:div>
        <w:div w:id="1844935957">
          <w:marLeft w:val="640"/>
          <w:marRight w:val="0"/>
          <w:marTop w:val="0"/>
          <w:marBottom w:val="0"/>
          <w:divBdr>
            <w:top w:val="none" w:sz="0" w:space="0" w:color="auto"/>
            <w:left w:val="none" w:sz="0" w:space="0" w:color="auto"/>
            <w:bottom w:val="none" w:sz="0" w:space="0" w:color="auto"/>
            <w:right w:val="none" w:sz="0" w:space="0" w:color="auto"/>
          </w:divBdr>
        </w:div>
        <w:div w:id="1650279535">
          <w:marLeft w:val="640"/>
          <w:marRight w:val="0"/>
          <w:marTop w:val="0"/>
          <w:marBottom w:val="0"/>
          <w:divBdr>
            <w:top w:val="none" w:sz="0" w:space="0" w:color="auto"/>
            <w:left w:val="none" w:sz="0" w:space="0" w:color="auto"/>
            <w:bottom w:val="none" w:sz="0" w:space="0" w:color="auto"/>
            <w:right w:val="none" w:sz="0" w:space="0" w:color="auto"/>
          </w:divBdr>
        </w:div>
        <w:div w:id="130252185">
          <w:marLeft w:val="640"/>
          <w:marRight w:val="0"/>
          <w:marTop w:val="0"/>
          <w:marBottom w:val="0"/>
          <w:divBdr>
            <w:top w:val="none" w:sz="0" w:space="0" w:color="auto"/>
            <w:left w:val="none" w:sz="0" w:space="0" w:color="auto"/>
            <w:bottom w:val="none" w:sz="0" w:space="0" w:color="auto"/>
            <w:right w:val="none" w:sz="0" w:space="0" w:color="auto"/>
          </w:divBdr>
        </w:div>
        <w:div w:id="1096361426">
          <w:marLeft w:val="640"/>
          <w:marRight w:val="0"/>
          <w:marTop w:val="0"/>
          <w:marBottom w:val="0"/>
          <w:divBdr>
            <w:top w:val="none" w:sz="0" w:space="0" w:color="auto"/>
            <w:left w:val="none" w:sz="0" w:space="0" w:color="auto"/>
            <w:bottom w:val="none" w:sz="0" w:space="0" w:color="auto"/>
            <w:right w:val="none" w:sz="0" w:space="0" w:color="auto"/>
          </w:divBdr>
        </w:div>
        <w:div w:id="1401244443">
          <w:marLeft w:val="640"/>
          <w:marRight w:val="0"/>
          <w:marTop w:val="0"/>
          <w:marBottom w:val="0"/>
          <w:divBdr>
            <w:top w:val="none" w:sz="0" w:space="0" w:color="auto"/>
            <w:left w:val="none" w:sz="0" w:space="0" w:color="auto"/>
            <w:bottom w:val="none" w:sz="0" w:space="0" w:color="auto"/>
            <w:right w:val="none" w:sz="0" w:space="0" w:color="auto"/>
          </w:divBdr>
        </w:div>
        <w:div w:id="1133983290">
          <w:marLeft w:val="640"/>
          <w:marRight w:val="0"/>
          <w:marTop w:val="0"/>
          <w:marBottom w:val="0"/>
          <w:divBdr>
            <w:top w:val="none" w:sz="0" w:space="0" w:color="auto"/>
            <w:left w:val="none" w:sz="0" w:space="0" w:color="auto"/>
            <w:bottom w:val="none" w:sz="0" w:space="0" w:color="auto"/>
            <w:right w:val="none" w:sz="0" w:space="0" w:color="auto"/>
          </w:divBdr>
        </w:div>
        <w:div w:id="677777366">
          <w:marLeft w:val="640"/>
          <w:marRight w:val="0"/>
          <w:marTop w:val="0"/>
          <w:marBottom w:val="0"/>
          <w:divBdr>
            <w:top w:val="none" w:sz="0" w:space="0" w:color="auto"/>
            <w:left w:val="none" w:sz="0" w:space="0" w:color="auto"/>
            <w:bottom w:val="none" w:sz="0" w:space="0" w:color="auto"/>
            <w:right w:val="none" w:sz="0" w:space="0" w:color="auto"/>
          </w:divBdr>
        </w:div>
        <w:div w:id="313879202">
          <w:marLeft w:val="640"/>
          <w:marRight w:val="0"/>
          <w:marTop w:val="0"/>
          <w:marBottom w:val="0"/>
          <w:divBdr>
            <w:top w:val="none" w:sz="0" w:space="0" w:color="auto"/>
            <w:left w:val="none" w:sz="0" w:space="0" w:color="auto"/>
            <w:bottom w:val="none" w:sz="0" w:space="0" w:color="auto"/>
            <w:right w:val="none" w:sz="0" w:space="0" w:color="auto"/>
          </w:divBdr>
        </w:div>
        <w:div w:id="126704689">
          <w:marLeft w:val="640"/>
          <w:marRight w:val="0"/>
          <w:marTop w:val="0"/>
          <w:marBottom w:val="0"/>
          <w:divBdr>
            <w:top w:val="none" w:sz="0" w:space="0" w:color="auto"/>
            <w:left w:val="none" w:sz="0" w:space="0" w:color="auto"/>
            <w:bottom w:val="none" w:sz="0" w:space="0" w:color="auto"/>
            <w:right w:val="none" w:sz="0" w:space="0" w:color="auto"/>
          </w:divBdr>
        </w:div>
        <w:div w:id="799539643">
          <w:marLeft w:val="640"/>
          <w:marRight w:val="0"/>
          <w:marTop w:val="0"/>
          <w:marBottom w:val="0"/>
          <w:divBdr>
            <w:top w:val="none" w:sz="0" w:space="0" w:color="auto"/>
            <w:left w:val="none" w:sz="0" w:space="0" w:color="auto"/>
            <w:bottom w:val="none" w:sz="0" w:space="0" w:color="auto"/>
            <w:right w:val="none" w:sz="0" w:space="0" w:color="auto"/>
          </w:divBdr>
        </w:div>
        <w:div w:id="1804959218">
          <w:marLeft w:val="640"/>
          <w:marRight w:val="0"/>
          <w:marTop w:val="0"/>
          <w:marBottom w:val="0"/>
          <w:divBdr>
            <w:top w:val="none" w:sz="0" w:space="0" w:color="auto"/>
            <w:left w:val="none" w:sz="0" w:space="0" w:color="auto"/>
            <w:bottom w:val="none" w:sz="0" w:space="0" w:color="auto"/>
            <w:right w:val="none" w:sz="0" w:space="0" w:color="auto"/>
          </w:divBdr>
        </w:div>
        <w:div w:id="3366209">
          <w:marLeft w:val="640"/>
          <w:marRight w:val="0"/>
          <w:marTop w:val="0"/>
          <w:marBottom w:val="0"/>
          <w:divBdr>
            <w:top w:val="none" w:sz="0" w:space="0" w:color="auto"/>
            <w:left w:val="none" w:sz="0" w:space="0" w:color="auto"/>
            <w:bottom w:val="none" w:sz="0" w:space="0" w:color="auto"/>
            <w:right w:val="none" w:sz="0" w:space="0" w:color="auto"/>
          </w:divBdr>
        </w:div>
        <w:div w:id="2077124611">
          <w:marLeft w:val="640"/>
          <w:marRight w:val="0"/>
          <w:marTop w:val="0"/>
          <w:marBottom w:val="0"/>
          <w:divBdr>
            <w:top w:val="none" w:sz="0" w:space="0" w:color="auto"/>
            <w:left w:val="none" w:sz="0" w:space="0" w:color="auto"/>
            <w:bottom w:val="none" w:sz="0" w:space="0" w:color="auto"/>
            <w:right w:val="none" w:sz="0" w:space="0" w:color="auto"/>
          </w:divBdr>
        </w:div>
        <w:div w:id="1334213901">
          <w:marLeft w:val="640"/>
          <w:marRight w:val="0"/>
          <w:marTop w:val="0"/>
          <w:marBottom w:val="0"/>
          <w:divBdr>
            <w:top w:val="none" w:sz="0" w:space="0" w:color="auto"/>
            <w:left w:val="none" w:sz="0" w:space="0" w:color="auto"/>
            <w:bottom w:val="none" w:sz="0" w:space="0" w:color="auto"/>
            <w:right w:val="none" w:sz="0" w:space="0" w:color="auto"/>
          </w:divBdr>
        </w:div>
        <w:div w:id="1674651669">
          <w:marLeft w:val="640"/>
          <w:marRight w:val="0"/>
          <w:marTop w:val="0"/>
          <w:marBottom w:val="0"/>
          <w:divBdr>
            <w:top w:val="none" w:sz="0" w:space="0" w:color="auto"/>
            <w:left w:val="none" w:sz="0" w:space="0" w:color="auto"/>
            <w:bottom w:val="none" w:sz="0" w:space="0" w:color="auto"/>
            <w:right w:val="none" w:sz="0" w:space="0" w:color="auto"/>
          </w:divBdr>
        </w:div>
        <w:div w:id="1090083894">
          <w:marLeft w:val="640"/>
          <w:marRight w:val="0"/>
          <w:marTop w:val="0"/>
          <w:marBottom w:val="0"/>
          <w:divBdr>
            <w:top w:val="none" w:sz="0" w:space="0" w:color="auto"/>
            <w:left w:val="none" w:sz="0" w:space="0" w:color="auto"/>
            <w:bottom w:val="none" w:sz="0" w:space="0" w:color="auto"/>
            <w:right w:val="none" w:sz="0" w:space="0" w:color="auto"/>
          </w:divBdr>
        </w:div>
        <w:div w:id="1155417561">
          <w:marLeft w:val="640"/>
          <w:marRight w:val="0"/>
          <w:marTop w:val="0"/>
          <w:marBottom w:val="0"/>
          <w:divBdr>
            <w:top w:val="none" w:sz="0" w:space="0" w:color="auto"/>
            <w:left w:val="none" w:sz="0" w:space="0" w:color="auto"/>
            <w:bottom w:val="none" w:sz="0" w:space="0" w:color="auto"/>
            <w:right w:val="none" w:sz="0" w:space="0" w:color="auto"/>
          </w:divBdr>
        </w:div>
        <w:div w:id="1570192983">
          <w:marLeft w:val="640"/>
          <w:marRight w:val="0"/>
          <w:marTop w:val="0"/>
          <w:marBottom w:val="0"/>
          <w:divBdr>
            <w:top w:val="none" w:sz="0" w:space="0" w:color="auto"/>
            <w:left w:val="none" w:sz="0" w:space="0" w:color="auto"/>
            <w:bottom w:val="none" w:sz="0" w:space="0" w:color="auto"/>
            <w:right w:val="none" w:sz="0" w:space="0" w:color="auto"/>
          </w:divBdr>
        </w:div>
        <w:div w:id="325090956">
          <w:marLeft w:val="640"/>
          <w:marRight w:val="0"/>
          <w:marTop w:val="0"/>
          <w:marBottom w:val="0"/>
          <w:divBdr>
            <w:top w:val="none" w:sz="0" w:space="0" w:color="auto"/>
            <w:left w:val="none" w:sz="0" w:space="0" w:color="auto"/>
            <w:bottom w:val="none" w:sz="0" w:space="0" w:color="auto"/>
            <w:right w:val="none" w:sz="0" w:space="0" w:color="auto"/>
          </w:divBdr>
        </w:div>
        <w:div w:id="1421829545">
          <w:marLeft w:val="640"/>
          <w:marRight w:val="0"/>
          <w:marTop w:val="0"/>
          <w:marBottom w:val="0"/>
          <w:divBdr>
            <w:top w:val="none" w:sz="0" w:space="0" w:color="auto"/>
            <w:left w:val="none" w:sz="0" w:space="0" w:color="auto"/>
            <w:bottom w:val="none" w:sz="0" w:space="0" w:color="auto"/>
            <w:right w:val="none" w:sz="0" w:space="0" w:color="auto"/>
          </w:divBdr>
        </w:div>
        <w:div w:id="1547568686">
          <w:marLeft w:val="640"/>
          <w:marRight w:val="0"/>
          <w:marTop w:val="0"/>
          <w:marBottom w:val="0"/>
          <w:divBdr>
            <w:top w:val="none" w:sz="0" w:space="0" w:color="auto"/>
            <w:left w:val="none" w:sz="0" w:space="0" w:color="auto"/>
            <w:bottom w:val="none" w:sz="0" w:space="0" w:color="auto"/>
            <w:right w:val="none" w:sz="0" w:space="0" w:color="auto"/>
          </w:divBdr>
        </w:div>
        <w:div w:id="936328426">
          <w:marLeft w:val="640"/>
          <w:marRight w:val="0"/>
          <w:marTop w:val="0"/>
          <w:marBottom w:val="0"/>
          <w:divBdr>
            <w:top w:val="none" w:sz="0" w:space="0" w:color="auto"/>
            <w:left w:val="none" w:sz="0" w:space="0" w:color="auto"/>
            <w:bottom w:val="none" w:sz="0" w:space="0" w:color="auto"/>
            <w:right w:val="none" w:sz="0" w:space="0" w:color="auto"/>
          </w:divBdr>
        </w:div>
        <w:div w:id="1459256882">
          <w:marLeft w:val="640"/>
          <w:marRight w:val="0"/>
          <w:marTop w:val="0"/>
          <w:marBottom w:val="0"/>
          <w:divBdr>
            <w:top w:val="none" w:sz="0" w:space="0" w:color="auto"/>
            <w:left w:val="none" w:sz="0" w:space="0" w:color="auto"/>
            <w:bottom w:val="none" w:sz="0" w:space="0" w:color="auto"/>
            <w:right w:val="none" w:sz="0" w:space="0" w:color="auto"/>
          </w:divBdr>
        </w:div>
        <w:div w:id="343291321">
          <w:marLeft w:val="640"/>
          <w:marRight w:val="0"/>
          <w:marTop w:val="0"/>
          <w:marBottom w:val="0"/>
          <w:divBdr>
            <w:top w:val="none" w:sz="0" w:space="0" w:color="auto"/>
            <w:left w:val="none" w:sz="0" w:space="0" w:color="auto"/>
            <w:bottom w:val="none" w:sz="0" w:space="0" w:color="auto"/>
            <w:right w:val="none" w:sz="0" w:space="0" w:color="auto"/>
          </w:divBdr>
        </w:div>
        <w:div w:id="478806491">
          <w:marLeft w:val="640"/>
          <w:marRight w:val="0"/>
          <w:marTop w:val="0"/>
          <w:marBottom w:val="0"/>
          <w:divBdr>
            <w:top w:val="none" w:sz="0" w:space="0" w:color="auto"/>
            <w:left w:val="none" w:sz="0" w:space="0" w:color="auto"/>
            <w:bottom w:val="none" w:sz="0" w:space="0" w:color="auto"/>
            <w:right w:val="none" w:sz="0" w:space="0" w:color="auto"/>
          </w:divBdr>
        </w:div>
        <w:div w:id="76364857">
          <w:marLeft w:val="640"/>
          <w:marRight w:val="0"/>
          <w:marTop w:val="0"/>
          <w:marBottom w:val="0"/>
          <w:divBdr>
            <w:top w:val="none" w:sz="0" w:space="0" w:color="auto"/>
            <w:left w:val="none" w:sz="0" w:space="0" w:color="auto"/>
            <w:bottom w:val="none" w:sz="0" w:space="0" w:color="auto"/>
            <w:right w:val="none" w:sz="0" w:space="0" w:color="auto"/>
          </w:divBdr>
        </w:div>
        <w:div w:id="503010782">
          <w:marLeft w:val="640"/>
          <w:marRight w:val="0"/>
          <w:marTop w:val="0"/>
          <w:marBottom w:val="0"/>
          <w:divBdr>
            <w:top w:val="none" w:sz="0" w:space="0" w:color="auto"/>
            <w:left w:val="none" w:sz="0" w:space="0" w:color="auto"/>
            <w:bottom w:val="none" w:sz="0" w:space="0" w:color="auto"/>
            <w:right w:val="none" w:sz="0" w:space="0" w:color="auto"/>
          </w:divBdr>
        </w:div>
        <w:div w:id="738863767">
          <w:marLeft w:val="640"/>
          <w:marRight w:val="0"/>
          <w:marTop w:val="0"/>
          <w:marBottom w:val="0"/>
          <w:divBdr>
            <w:top w:val="none" w:sz="0" w:space="0" w:color="auto"/>
            <w:left w:val="none" w:sz="0" w:space="0" w:color="auto"/>
            <w:bottom w:val="none" w:sz="0" w:space="0" w:color="auto"/>
            <w:right w:val="none" w:sz="0" w:space="0" w:color="auto"/>
          </w:divBdr>
        </w:div>
        <w:div w:id="228662011">
          <w:marLeft w:val="640"/>
          <w:marRight w:val="0"/>
          <w:marTop w:val="0"/>
          <w:marBottom w:val="0"/>
          <w:divBdr>
            <w:top w:val="none" w:sz="0" w:space="0" w:color="auto"/>
            <w:left w:val="none" w:sz="0" w:space="0" w:color="auto"/>
            <w:bottom w:val="none" w:sz="0" w:space="0" w:color="auto"/>
            <w:right w:val="none" w:sz="0" w:space="0" w:color="auto"/>
          </w:divBdr>
        </w:div>
        <w:div w:id="1874272259">
          <w:marLeft w:val="640"/>
          <w:marRight w:val="0"/>
          <w:marTop w:val="0"/>
          <w:marBottom w:val="0"/>
          <w:divBdr>
            <w:top w:val="none" w:sz="0" w:space="0" w:color="auto"/>
            <w:left w:val="none" w:sz="0" w:space="0" w:color="auto"/>
            <w:bottom w:val="none" w:sz="0" w:space="0" w:color="auto"/>
            <w:right w:val="none" w:sz="0" w:space="0" w:color="auto"/>
          </w:divBdr>
        </w:div>
        <w:div w:id="1514227786">
          <w:marLeft w:val="640"/>
          <w:marRight w:val="0"/>
          <w:marTop w:val="0"/>
          <w:marBottom w:val="0"/>
          <w:divBdr>
            <w:top w:val="none" w:sz="0" w:space="0" w:color="auto"/>
            <w:left w:val="none" w:sz="0" w:space="0" w:color="auto"/>
            <w:bottom w:val="none" w:sz="0" w:space="0" w:color="auto"/>
            <w:right w:val="none" w:sz="0" w:space="0" w:color="auto"/>
          </w:divBdr>
        </w:div>
        <w:div w:id="1832746150">
          <w:marLeft w:val="640"/>
          <w:marRight w:val="0"/>
          <w:marTop w:val="0"/>
          <w:marBottom w:val="0"/>
          <w:divBdr>
            <w:top w:val="none" w:sz="0" w:space="0" w:color="auto"/>
            <w:left w:val="none" w:sz="0" w:space="0" w:color="auto"/>
            <w:bottom w:val="none" w:sz="0" w:space="0" w:color="auto"/>
            <w:right w:val="none" w:sz="0" w:space="0" w:color="auto"/>
          </w:divBdr>
        </w:div>
        <w:div w:id="1748501077">
          <w:marLeft w:val="640"/>
          <w:marRight w:val="0"/>
          <w:marTop w:val="0"/>
          <w:marBottom w:val="0"/>
          <w:divBdr>
            <w:top w:val="none" w:sz="0" w:space="0" w:color="auto"/>
            <w:left w:val="none" w:sz="0" w:space="0" w:color="auto"/>
            <w:bottom w:val="none" w:sz="0" w:space="0" w:color="auto"/>
            <w:right w:val="none" w:sz="0" w:space="0" w:color="auto"/>
          </w:divBdr>
        </w:div>
        <w:div w:id="2009823285">
          <w:marLeft w:val="640"/>
          <w:marRight w:val="0"/>
          <w:marTop w:val="0"/>
          <w:marBottom w:val="0"/>
          <w:divBdr>
            <w:top w:val="none" w:sz="0" w:space="0" w:color="auto"/>
            <w:left w:val="none" w:sz="0" w:space="0" w:color="auto"/>
            <w:bottom w:val="none" w:sz="0" w:space="0" w:color="auto"/>
            <w:right w:val="none" w:sz="0" w:space="0" w:color="auto"/>
          </w:divBdr>
        </w:div>
        <w:div w:id="758528445">
          <w:marLeft w:val="640"/>
          <w:marRight w:val="0"/>
          <w:marTop w:val="0"/>
          <w:marBottom w:val="0"/>
          <w:divBdr>
            <w:top w:val="none" w:sz="0" w:space="0" w:color="auto"/>
            <w:left w:val="none" w:sz="0" w:space="0" w:color="auto"/>
            <w:bottom w:val="none" w:sz="0" w:space="0" w:color="auto"/>
            <w:right w:val="none" w:sz="0" w:space="0" w:color="auto"/>
          </w:divBdr>
        </w:div>
        <w:div w:id="1438477196">
          <w:marLeft w:val="640"/>
          <w:marRight w:val="0"/>
          <w:marTop w:val="0"/>
          <w:marBottom w:val="0"/>
          <w:divBdr>
            <w:top w:val="none" w:sz="0" w:space="0" w:color="auto"/>
            <w:left w:val="none" w:sz="0" w:space="0" w:color="auto"/>
            <w:bottom w:val="none" w:sz="0" w:space="0" w:color="auto"/>
            <w:right w:val="none" w:sz="0" w:space="0" w:color="auto"/>
          </w:divBdr>
        </w:div>
        <w:div w:id="111899990">
          <w:marLeft w:val="640"/>
          <w:marRight w:val="0"/>
          <w:marTop w:val="0"/>
          <w:marBottom w:val="0"/>
          <w:divBdr>
            <w:top w:val="none" w:sz="0" w:space="0" w:color="auto"/>
            <w:left w:val="none" w:sz="0" w:space="0" w:color="auto"/>
            <w:bottom w:val="none" w:sz="0" w:space="0" w:color="auto"/>
            <w:right w:val="none" w:sz="0" w:space="0" w:color="auto"/>
          </w:divBdr>
        </w:div>
        <w:div w:id="2100901884">
          <w:marLeft w:val="640"/>
          <w:marRight w:val="0"/>
          <w:marTop w:val="0"/>
          <w:marBottom w:val="0"/>
          <w:divBdr>
            <w:top w:val="none" w:sz="0" w:space="0" w:color="auto"/>
            <w:left w:val="none" w:sz="0" w:space="0" w:color="auto"/>
            <w:bottom w:val="none" w:sz="0" w:space="0" w:color="auto"/>
            <w:right w:val="none" w:sz="0" w:space="0" w:color="auto"/>
          </w:divBdr>
        </w:div>
        <w:div w:id="1768773582">
          <w:marLeft w:val="640"/>
          <w:marRight w:val="0"/>
          <w:marTop w:val="0"/>
          <w:marBottom w:val="0"/>
          <w:divBdr>
            <w:top w:val="none" w:sz="0" w:space="0" w:color="auto"/>
            <w:left w:val="none" w:sz="0" w:space="0" w:color="auto"/>
            <w:bottom w:val="none" w:sz="0" w:space="0" w:color="auto"/>
            <w:right w:val="none" w:sz="0" w:space="0" w:color="auto"/>
          </w:divBdr>
        </w:div>
        <w:div w:id="319816050">
          <w:marLeft w:val="640"/>
          <w:marRight w:val="0"/>
          <w:marTop w:val="0"/>
          <w:marBottom w:val="0"/>
          <w:divBdr>
            <w:top w:val="none" w:sz="0" w:space="0" w:color="auto"/>
            <w:left w:val="none" w:sz="0" w:space="0" w:color="auto"/>
            <w:bottom w:val="none" w:sz="0" w:space="0" w:color="auto"/>
            <w:right w:val="none" w:sz="0" w:space="0" w:color="auto"/>
          </w:divBdr>
        </w:div>
        <w:div w:id="1424765352">
          <w:marLeft w:val="640"/>
          <w:marRight w:val="0"/>
          <w:marTop w:val="0"/>
          <w:marBottom w:val="0"/>
          <w:divBdr>
            <w:top w:val="none" w:sz="0" w:space="0" w:color="auto"/>
            <w:left w:val="none" w:sz="0" w:space="0" w:color="auto"/>
            <w:bottom w:val="none" w:sz="0" w:space="0" w:color="auto"/>
            <w:right w:val="none" w:sz="0" w:space="0" w:color="auto"/>
          </w:divBdr>
        </w:div>
        <w:div w:id="1680503612">
          <w:marLeft w:val="640"/>
          <w:marRight w:val="0"/>
          <w:marTop w:val="0"/>
          <w:marBottom w:val="0"/>
          <w:divBdr>
            <w:top w:val="none" w:sz="0" w:space="0" w:color="auto"/>
            <w:left w:val="none" w:sz="0" w:space="0" w:color="auto"/>
            <w:bottom w:val="none" w:sz="0" w:space="0" w:color="auto"/>
            <w:right w:val="none" w:sz="0" w:space="0" w:color="auto"/>
          </w:divBdr>
        </w:div>
        <w:div w:id="1828397259">
          <w:marLeft w:val="640"/>
          <w:marRight w:val="0"/>
          <w:marTop w:val="0"/>
          <w:marBottom w:val="0"/>
          <w:divBdr>
            <w:top w:val="none" w:sz="0" w:space="0" w:color="auto"/>
            <w:left w:val="none" w:sz="0" w:space="0" w:color="auto"/>
            <w:bottom w:val="none" w:sz="0" w:space="0" w:color="auto"/>
            <w:right w:val="none" w:sz="0" w:space="0" w:color="auto"/>
          </w:divBdr>
        </w:div>
        <w:div w:id="1365325715">
          <w:marLeft w:val="640"/>
          <w:marRight w:val="0"/>
          <w:marTop w:val="0"/>
          <w:marBottom w:val="0"/>
          <w:divBdr>
            <w:top w:val="none" w:sz="0" w:space="0" w:color="auto"/>
            <w:left w:val="none" w:sz="0" w:space="0" w:color="auto"/>
            <w:bottom w:val="none" w:sz="0" w:space="0" w:color="auto"/>
            <w:right w:val="none" w:sz="0" w:space="0" w:color="auto"/>
          </w:divBdr>
        </w:div>
        <w:div w:id="1066146760">
          <w:marLeft w:val="640"/>
          <w:marRight w:val="0"/>
          <w:marTop w:val="0"/>
          <w:marBottom w:val="0"/>
          <w:divBdr>
            <w:top w:val="none" w:sz="0" w:space="0" w:color="auto"/>
            <w:left w:val="none" w:sz="0" w:space="0" w:color="auto"/>
            <w:bottom w:val="none" w:sz="0" w:space="0" w:color="auto"/>
            <w:right w:val="none" w:sz="0" w:space="0" w:color="auto"/>
          </w:divBdr>
        </w:div>
        <w:div w:id="52192744">
          <w:marLeft w:val="640"/>
          <w:marRight w:val="0"/>
          <w:marTop w:val="0"/>
          <w:marBottom w:val="0"/>
          <w:divBdr>
            <w:top w:val="none" w:sz="0" w:space="0" w:color="auto"/>
            <w:left w:val="none" w:sz="0" w:space="0" w:color="auto"/>
            <w:bottom w:val="none" w:sz="0" w:space="0" w:color="auto"/>
            <w:right w:val="none" w:sz="0" w:space="0" w:color="auto"/>
          </w:divBdr>
        </w:div>
        <w:div w:id="605845827">
          <w:marLeft w:val="640"/>
          <w:marRight w:val="0"/>
          <w:marTop w:val="0"/>
          <w:marBottom w:val="0"/>
          <w:divBdr>
            <w:top w:val="none" w:sz="0" w:space="0" w:color="auto"/>
            <w:left w:val="none" w:sz="0" w:space="0" w:color="auto"/>
            <w:bottom w:val="none" w:sz="0" w:space="0" w:color="auto"/>
            <w:right w:val="none" w:sz="0" w:space="0" w:color="auto"/>
          </w:divBdr>
        </w:div>
        <w:div w:id="1995596746">
          <w:marLeft w:val="640"/>
          <w:marRight w:val="0"/>
          <w:marTop w:val="0"/>
          <w:marBottom w:val="0"/>
          <w:divBdr>
            <w:top w:val="none" w:sz="0" w:space="0" w:color="auto"/>
            <w:left w:val="none" w:sz="0" w:space="0" w:color="auto"/>
            <w:bottom w:val="none" w:sz="0" w:space="0" w:color="auto"/>
            <w:right w:val="none" w:sz="0" w:space="0" w:color="auto"/>
          </w:divBdr>
        </w:div>
        <w:div w:id="1588147896">
          <w:marLeft w:val="640"/>
          <w:marRight w:val="0"/>
          <w:marTop w:val="0"/>
          <w:marBottom w:val="0"/>
          <w:divBdr>
            <w:top w:val="none" w:sz="0" w:space="0" w:color="auto"/>
            <w:left w:val="none" w:sz="0" w:space="0" w:color="auto"/>
            <w:bottom w:val="none" w:sz="0" w:space="0" w:color="auto"/>
            <w:right w:val="none" w:sz="0" w:space="0" w:color="auto"/>
          </w:divBdr>
        </w:div>
        <w:div w:id="414933637">
          <w:marLeft w:val="640"/>
          <w:marRight w:val="0"/>
          <w:marTop w:val="0"/>
          <w:marBottom w:val="0"/>
          <w:divBdr>
            <w:top w:val="none" w:sz="0" w:space="0" w:color="auto"/>
            <w:left w:val="none" w:sz="0" w:space="0" w:color="auto"/>
            <w:bottom w:val="none" w:sz="0" w:space="0" w:color="auto"/>
            <w:right w:val="none" w:sz="0" w:space="0" w:color="auto"/>
          </w:divBdr>
        </w:div>
        <w:div w:id="389422569">
          <w:marLeft w:val="640"/>
          <w:marRight w:val="0"/>
          <w:marTop w:val="0"/>
          <w:marBottom w:val="0"/>
          <w:divBdr>
            <w:top w:val="none" w:sz="0" w:space="0" w:color="auto"/>
            <w:left w:val="none" w:sz="0" w:space="0" w:color="auto"/>
            <w:bottom w:val="none" w:sz="0" w:space="0" w:color="auto"/>
            <w:right w:val="none" w:sz="0" w:space="0" w:color="auto"/>
          </w:divBdr>
        </w:div>
        <w:div w:id="963190781">
          <w:marLeft w:val="640"/>
          <w:marRight w:val="0"/>
          <w:marTop w:val="0"/>
          <w:marBottom w:val="0"/>
          <w:divBdr>
            <w:top w:val="none" w:sz="0" w:space="0" w:color="auto"/>
            <w:left w:val="none" w:sz="0" w:space="0" w:color="auto"/>
            <w:bottom w:val="none" w:sz="0" w:space="0" w:color="auto"/>
            <w:right w:val="none" w:sz="0" w:space="0" w:color="auto"/>
          </w:divBdr>
        </w:div>
        <w:div w:id="385572192">
          <w:marLeft w:val="640"/>
          <w:marRight w:val="0"/>
          <w:marTop w:val="0"/>
          <w:marBottom w:val="0"/>
          <w:divBdr>
            <w:top w:val="none" w:sz="0" w:space="0" w:color="auto"/>
            <w:left w:val="none" w:sz="0" w:space="0" w:color="auto"/>
            <w:bottom w:val="none" w:sz="0" w:space="0" w:color="auto"/>
            <w:right w:val="none" w:sz="0" w:space="0" w:color="auto"/>
          </w:divBdr>
        </w:div>
        <w:div w:id="1424719764">
          <w:marLeft w:val="640"/>
          <w:marRight w:val="0"/>
          <w:marTop w:val="0"/>
          <w:marBottom w:val="0"/>
          <w:divBdr>
            <w:top w:val="none" w:sz="0" w:space="0" w:color="auto"/>
            <w:left w:val="none" w:sz="0" w:space="0" w:color="auto"/>
            <w:bottom w:val="none" w:sz="0" w:space="0" w:color="auto"/>
            <w:right w:val="none" w:sz="0" w:space="0" w:color="auto"/>
          </w:divBdr>
        </w:div>
        <w:div w:id="2004894849">
          <w:marLeft w:val="640"/>
          <w:marRight w:val="0"/>
          <w:marTop w:val="0"/>
          <w:marBottom w:val="0"/>
          <w:divBdr>
            <w:top w:val="none" w:sz="0" w:space="0" w:color="auto"/>
            <w:left w:val="none" w:sz="0" w:space="0" w:color="auto"/>
            <w:bottom w:val="none" w:sz="0" w:space="0" w:color="auto"/>
            <w:right w:val="none" w:sz="0" w:space="0" w:color="auto"/>
          </w:divBdr>
        </w:div>
        <w:div w:id="601688710">
          <w:marLeft w:val="640"/>
          <w:marRight w:val="0"/>
          <w:marTop w:val="0"/>
          <w:marBottom w:val="0"/>
          <w:divBdr>
            <w:top w:val="none" w:sz="0" w:space="0" w:color="auto"/>
            <w:left w:val="none" w:sz="0" w:space="0" w:color="auto"/>
            <w:bottom w:val="none" w:sz="0" w:space="0" w:color="auto"/>
            <w:right w:val="none" w:sz="0" w:space="0" w:color="auto"/>
          </w:divBdr>
        </w:div>
        <w:div w:id="133452266">
          <w:marLeft w:val="640"/>
          <w:marRight w:val="0"/>
          <w:marTop w:val="0"/>
          <w:marBottom w:val="0"/>
          <w:divBdr>
            <w:top w:val="none" w:sz="0" w:space="0" w:color="auto"/>
            <w:left w:val="none" w:sz="0" w:space="0" w:color="auto"/>
            <w:bottom w:val="none" w:sz="0" w:space="0" w:color="auto"/>
            <w:right w:val="none" w:sz="0" w:space="0" w:color="auto"/>
          </w:divBdr>
        </w:div>
        <w:div w:id="695622539">
          <w:marLeft w:val="640"/>
          <w:marRight w:val="0"/>
          <w:marTop w:val="0"/>
          <w:marBottom w:val="0"/>
          <w:divBdr>
            <w:top w:val="none" w:sz="0" w:space="0" w:color="auto"/>
            <w:left w:val="none" w:sz="0" w:space="0" w:color="auto"/>
            <w:bottom w:val="none" w:sz="0" w:space="0" w:color="auto"/>
            <w:right w:val="none" w:sz="0" w:space="0" w:color="auto"/>
          </w:divBdr>
        </w:div>
        <w:div w:id="1087576866">
          <w:marLeft w:val="640"/>
          <w:marRight w:val="0"/>
          <w:marTop w:val="0"/>
          <w:marBottom w:val="0"/>
          <w:divBdr>
            <w:top w:val="none" w:sz="0" w:space="0" w:color="auto"/>
            <w:left w:val="none" w:sz="0" w:space="0" w:color="auto"/>
            <w:bottom w:val="none" w:sz="0" w:space="0" w:color="auto"/>
            <w:right w:val="none" w:sz="0" w:space="0" w:color="auto"/>
          </w:divBdr>
        </w:div>
        <w:div w:id="1208369358">
          <w:marLeft w:val="640"/>
          <w:marRight w:val="0"/>
          <w:marTop w:val="0"/>
          <w:marBottom w:val="0"/>
          <w:divBdr>
            <w:top w:val="none" w:sz="0" w:space="0" w:color="auto"/>
            <w:left w:val="none" w:sz="0" w:space="0" w:color="auto"/>
            <w:bottom w:val="none" w:sz="0" w:space="0" w:color="auto"/>
            <w:right w:val="none" w:sz="0" w:space="0" w:color="auto"/>
          </w:divBdr>
        </w:div>
        <w:div w:id="449014101">
          <w:marLeft w:val="640"/>
          <w:marRight w:val="0"/>
          <w:marTop w:val="0"/>
          <w:marBottom w:val="0"/>
          <w:divBdr>
            <w:top w:val="none" w:sz="0" w:space="0" w:color="auto"/>
            <w:left w:val="none" w:sz="0" w:space="0" w:color="auto"/>
            <w:bottom w:val="none" w:sz="0" w:space="0" w:color="auto"/>
            <w:right w:val="none" w:sz="0" w:space="0" w:color="auto"/>
          </w:divBdr>
        </w:div>
        <w:div w:id="1875531445">
          <w:marLeft w:val="640"/>
          <w:marRight w:val="0"/>
          <w:marTop w:val="0"/>
          <w:marBottom w:val="0"/>
          <w:divBdr>
            <w:top w:val="none" w:sz="0" w:space="0" w:color="auto"/>
            <w:left w:val="none" w:sz="0" w:space="0" w:color="auto"/>
            <w:bottom w:val="none" w:sz="0" w:space="0" w:color="auto"/>
            <w:right w:val="none" w:sz="0" w:space="0" w:color="auto"/>
          </w:divBdr>
        </w:div>
        <w:div w:id="1034619871">
          <w:marLeft w:val="640"/>
          <w:marRight w:val="0"/>
          <w:marTop w:val="0"/>
          <w:marBottom w:val="0"/>
          <w:divBdr>
            <w:top w:val="none" w:sz="0" w:space="0" w:color="auto"/>
            <w:left w:val="none" w:sz="0" w:space="0" w:color="auto"/>
            <w:bottom w:val="none" w:sz="0" w:space="0" w:color="auto"/>
            <w:right w:val="none" w:sz="0" w:space="0" w:color="auto"/>
          </w:divBdr>
        </w:div>
        <w:div w:id="843587991">
          <w:marLeft w:val="640"/>
          <w:marRight w:val="0"/>
          <w:marTop w:val="0"/>
          <w:marBottom w:val="0"/>
          <w:divBdr>
            <w:top w:val="none" w:sz="0" w:space="0" w:color="auto"/>
            <w:left w:val="none" w:sz="0" w:space="0" w:color="auto"/>
            <w:bottom w:val="none" w:sz="0" w:space="0" w:color="auto"/>
            <w:right w:val="none" w:sz="0" w:space="0" w:color="auto"/>
          </w:divBdr>
        </w:div>
        <w:div w:id="712968953">
          <w:marLeft w:val="640"/>
          <w:marRight w:val="0"/>
          <w:marTop w:val="0"/>
          <w:marBottom w:val="0"/>
          <w:divBdr>
            <w:top w:val="none" w:sz="0" w:space="0" w:color="auto"/>
            <w:left w:val="none" w:sz="0" w:space="0" w:color="auto"/>
            <w:bottom w:val="none" w:sz="0" w:space="0" w:color="auto"/>
            <w:right w:val="none" w:sz="0" w:space="0" w:color="auto"/>
          </w:divBdr>
        </w:div>
        <w:div w:id="186676435">
          <w:marLeft w:val="640"/>
          <w:marRight w:val="0"/>
          <w:marTop w:val="0"/>
          <w:marBottom w:val="0"/>
          <w:divBdr>
            <w:top w:val="none" w:sz="0" w:space="0" w:color="auto"/>
            <w:left w:val="none" w:sz="0" w:space="0" w:color="auto"/>
            <w:bottom w:val="none" w:sz="0" w:space="0" w:color="auto"/>
            <w:right w:val="none" w:sz="0" w:space="0" w:color="auto"/>
          </w:divBdr>
        </w:div>
        <w:div w:id="423576719">
          <w:marLeft w:val="640"/>
          <w:marRight w:val="0"/>
          <w:marTop w:val="0"/>
          <w:marBottom w:val="0"/>
          <w:divBdr>
            <w:top w:val="none" w:sz="0" w:space="0" w:color="auto"/>
            <w:left w:val="none" w:sz="0" w:space="0" w:color="auto"/>
            <w:bottom w:val="none" w:sz="0" w:space="0" w:color="auto"/>
            <w:right w:val="none" w:sz="0" w:space="0" w:color="auto"/>
          </w:divBdr>
        </w:div>
        <w:div w:id="1459446850">
          <w:marLeft w:val="640"/>
          <w:marRight w:val="0"/>
          <w:marTop w:val="0"/>
          <w:marBottom w:val="0"/>
          <w:divBdr>
            <w:top w:val="none" w:sz="0" w:space="0" w:color="auto"/>
            <w:left w:val="none" w:sz="0" w:space="0" w:color="auto"/>
            <w:bottom w:val="none" w:sz="0" w:space="0" w:color="auto"/>
            <w:right w:val="none" w:sz="0" w:space="0" w:color="auto"/>
          </w:divBdr>
        </w:div>
        <w:div w:id="428088066">
          <w:marLeft w:val="640"/>
          <w:marRight w:val="0"/>
          <w:marTop w:val="0"/>
          <w:marBottom w:val="0"/>
          <w:divBdr>
            <w:top w:val="none" w:sz="0" w:space="0" w:color="auto"/>
            <w:left w:val="none" w:sz="0" w:space="0" w:color="auto"/>
            <w:bottom w:val="none" w:sz="0" w:space="0" w:color="auto"/>
            <w:right w:val="none" w:sz="0" w:space="0" w:color="auto"/>
          </w:divBdr>
        </w:div>
        <w:div w:id="1351296071">
          <w:marLeft w:val="640"/>
          <w:marRight w:val="0"/>
          <w:marTop w:val="0"/>
          <w:marBottom w:val="0"/>
          <w:divBdr>
            <w:top w:val="none" w:sz="0" w:space="0" w:color="auto"/>
            <w:left w:val="none" w:sz="0" w:space="0" w:color="auto"/>
            <w:bottom w:val="none" w:sz="0" w:space="0" w:color="auto"/>
            <w:right w:val="none" w:sz="0" w:space="0" w:color="auto"/>
          </w:divBdr>
        </w:div>
        <w:div w:id="1249852531">
          <w:marLeft w:val="640"/>
          <w:marRight w:val="0"/>
          <w:marTop w:val="0"/>
          <w:marBottom w:val="0"/>
          <w:divBdr>
            <w:top w:val="none" w:sz="0" w:space="0" w:color="auto"/>
            <w:left w:val="none" w:sz="0" w:space="0" w:color="auto"/>
            <w:bottom w:val="none" w:sz="0" w:space="0" w:color="auto"/>
            <w:right w:val="none" w:sz="0" w:space="0" w:color="auto"/>
          </w:divBdr>
        </w:div>
        <w:div w:id="822164799">
          <w:marLeft w:val="640"/>
          <w:marRight w:val="0"/>
          <w:marTop w:val="0"/>
          <w:marBottom w:val="0"/>
          <w:divBdr>
            <w:top w:val="none" w:sz="0" w:space="0" w:color="auto"/>
            <w:left w:val="none" w:sz="0" w:space="0" w:color="auto"/>
            <w:bottom w:val="none" w:sz="0" w:space="0" w:color="auto"/>
            <w:right w:val="none" w:sz="0" w:space="0" w:color="auto"/>
          </w:divBdr>
        </w:div>
        <w:div w:id="1623806389">
          <w:marLeft w:val="640"/>
          <w:marRight w:val="0"/>
          <w:marTop w:val="0"/>
          <w:marBottom w:val="0"/>
          <w:divBdr>
            <w:top w:val="none" w:sz="0" w:space="0" w:color="auto"/>
            <w:left w:val="none" w:sz="0" w:space="0" w:color="auto"/>
            <w:bottom w:val="none" w:sz="0" w:space="0" w:color="auto"/>
            <w:right w:val="none" w:sz="0" w:space="0" w:color="auto"/>
          </w:divBdr>
        </w:div>
        <w:div w:id="1752268078">
          <w:marLeft w:val="640"/>
          <w:marRight w:val="0"/>
          <w:marTop w:val="0"/>
          <w:marBottom w:val="0"/>
          <w:divBdr>
            <w:top w:val="none" w:sz="0" w:space="0" w:color="auto"/>
            <w:left w:val="none" w:sz="0" w:space="0" w:color="auto"/>
            <w:bottom w:val="none" w:sz="0" w:space="0" w:color="auto"/>
            <w:right w:val="none" w:sz="0" w:space="0" w:color="auto"/>
          </w:divBdr>
        </w:div>
        <w:div w:id="1816482163">
          <w:marLeft w:val="640"/>
          <w:marRight w:val="0"/>
          <w:marTop w:val="0"/>
          <w:marBottom w:val="0"/>
          <w:divBdr>
            <w:top w:val="none" w:sz="0" w:space="0" w:color="auto"/>
            <w:left w:val="none" w:sz="0" w:space="0" w:color="auto"/>
            <w:bottom w:val="none" w:sz="0" w:space="0" w:color="auto"/>
            <w:right w:val="none" w:sz="0" w:space="0" w:color="auto"/>
          </w:divBdr>
        </w:div>
        <w:div w:id="1020860202">
          <w:marLeft w:val="640"/>
          <w:marRight w:val="0"/>
          <w:marTop w:val="0"/>
          <w:marBottom w:val="0"/>
          <w:divBdr>
            <w:top w:val="none" w:sz="0" w:space="0" w:color="auto"/>
            <w:left w:val="none" w:sz="0" w:space="0" w:color="auto"/>
            <w:bottom w:val="none" w:sz="0" w:space="0" w:color="auto"/>
            <w:right w:val="none" w:sz="0" w:space="0" w:color="auto"/>
          </w:divBdr>
        </w:div>
        <w:div w:id="1223056902">
          <w:marLeft w:val="640"/>
          <w:marRight w:val="0"/>
          <w:marTop w:val="0"/>
          <w:marBottom w:val="0"/>
          <w:divBdr>
            <w:top w:val="none" w:sz="0" w:space="0" w:color="auto"/>
            <w:left w:val="none" w:sz="0" w:space="0" w:color="auto"/>
            <w:bottom w:val="none" w:sz="0" w:space="0" w:color="auto"/>
            <w:right w:val="none" w:sz="0" w:space="0" w:color="auto"/>
          </w:divBdr>
        </w:div>
        <w:div w:id="296299278">
          <w:marLeft w:val="640"/>
          <w:marRight w:val="0"/>
          <w:marTop w:val="0"/>
          <w:marBottom w:val="0"/>
          <w:divBdr>
            <w:top w:val="none" w:sz="0" w:space="0" w:color="auto"/>
            <w:left w:val="none" w:sz="0" w:space="0" w:color="auto"/>
            <w:bottom w:val="none" w:sz="0" w:space="0" w:color="auto"/>
            <w:right w:val="none" w:sz="0" w:space="0" w:color="auto"/>
          </w:divBdr>
        </w:div>
        <w:div w:id="1754280156">
          <w:marLeft w:val="640"/>
          <w:marRight w:val="0"/>
          <w:marTop w:val="0"/>
          <w:marBottom w:val="0"/>
          <w:divBdr>
            <w:top w:val="none" w:sz="0" w:space="0" w:color="auto"/>
            <w:left w:val="none" w:sz="0" w:space="0" w:color="auto"/>
            <w:bottom w:val="none" w:sz="0" w:space="0" w:color="auto"/>
            <w:right w:val="none" w:sz="0" w:space="0" w:color="auto"/>
          </w:divBdr>
        </w:div>
        <w:div w:id="1714816282">
          <w:marLeft w:val="640"/>
          <w:marRight w:val="0"/>
          <w:marTop w:val="0"/>
          <w:marBottom w:val="0"/>
          <w:divBdr>
            <w:top w:val="none" w:sz="0" w:space="0" w:color="auto"/>
            <w:left w:val="none" w:sz="0" w:space="0" w:color="auto"/>
            <w:bottom w:val="none" w:sz="0" w:space="0" w:color="auto"/>
            <w:right w:val="none" w:sz="0" w:space="0" w:color="auto"/>
          </w:divBdr>
        </w:div>
        <w:div w:id="388236928">
          <w:marLeft w:val="640"/>
          <w:marRight w:val="0"/>
          <w:marTop w:val="0"/>
          <w:marBottom w:val="0"/>
          <w:divBdr>
            <w:top w:val="none" w:sz="0" w:space="0" w:color="auto"/>
            <w:left w:val="none" w:sz="0" w:space="0" w:color="auto"/>
            <w:bottom w:val="none" w:sz="0" w:space="0" w:color="auto"/>
            <w:right w:val="none" w:sz="0" w:space="0" w:color="auto"/>
          </w:divBdr>
        </w:div>
        <w:div w:id="357970269">
          <w:marLeft w:val="640"/>
          <w:marRight w:val="0"/>
          <w:marTop w:val="0"/>
          <w:marBottom w:val="0"/>
          <w:divBdr>
            <w:top w:val="none" w:sz="0" w:space="0" w:color="auto"/>
            <w:left w:val="none" w:sz="0" w:space="0" w:color="auto"/>
            <w:bottom w:val="none" w:sz="0" w:space="0" w:color="auto"/>
            <w:right w:val="none" w:sz="0" w:space="0" w:color="auto"/>
          </w:divBdr>
        </w:div>
        <w:div w:id="994184846">
          <w:marLeft w:val="640"/>
          <w:marRight w:val="0"/>
          <w:marTop w:val="0"/>
          <w:marBottom w:val="0"/>
          <w:divBdr>
            <w:top w:val="none" w:sz="0" w:space="0" w:color="auto"/>
            <w:left w:val="none" w:sz="0" w:space="0" w:color="auto"/>
            <w:bottom w:val="none" w:sz="0" w:space="0" w:color="auto"/>
            <w:right w:val="none" w:sz="0" w:space="0" w:color="auto"/>
          </w:divBdr>
        </w:div>
        <w:div w:id="178129874">
          <w:marLeft w:val="640"/>
          <w:marRight w:val="0"/>
          <w:marTop w:val="0"/>
          <w:marBottom w:val="0"/>
          <w:divBdr>
            <w:top w:val="none" w:sz="0" w:space="0" w:color="auto"/>
            <w:left w:val="none" w:sz="0" w:space="0" w:color="auto"/>
            <w:bottom w:val="none" w:sz="0" w:space="0" w:color="auto"/>
            <w:right w:val="none" w:sz="0" w:space="0" w:color="auto"/>
          </w:divBdr>
        </w:div>
        <w:div w:id="1775130034">
          <w:marLeft w:val="640"/>
          <w:marRight w:val="0"/>
          <w:marTop w:val="0"/>
          <w:marBottom w:val="0"/>
          <w:divBdr>
            <w:top w:val="none" w:sz="0" w:space="0" w:color="auto"/>
            <w:left w:val="none" w:sz="0" w:space="0" w:color="auto"/>
            <w:bottom w:val="none" w:sz="0" w:space="0" w:color="auto"/>
            <w:right w:val="none" w:sz="0" w:space="0" w:color="auto"/>
          </w:divBdr>
        </w:div>
        <w:div w:id="1717006469">
          <w:marLeft w:val="640"/>
          <w:marRight w:val="0"/>
          <w:marTop w:val="0"/>
          <w:marBottom w:val="0"/>
          <w:divBdr>
            <w:top w:val="none" w:sz="0" w:space="0" w:color="auto"/>
            <w:left w:val="none" w:sz="0" w:space="0" w:color="auto"/>
            <w:bottom w:val="none" w:sz="0" w:space="0" w:color="auto"/>
            <w:right w:val="none" w:sz="0" w:space="0" w:color="auto"/>
          </w:divBdr>
        </w:div>
        <w:div w:id="427118013">
          <w:marLeft w:val="640"/>
          <w:marRight w:val="0"/>
          <w:marTop w:val="0"/>
          <w:marBottom w:val="0"/>
          <w:divBdr>
            <w:top w:val="none" w:sz="0" w:space="0" w:color="auto"/>
            <w:left w:val="none" w:sz="0" w:space="0" w:color="auto"/>
            <w:bottom w:val="none" w:sz="0" w:space="0" w:color="auto"/>
            <w:right w:val="none" w:sz="0" w:space="0" w:color="auto"/>
          </w:divBdr>
        </w:div>
        <w:div w:id="2067600239">
          <w:marLeft w:val="640"/>
          <w:marRight w:val="0"/>
          <w:marTop w:val="0"/>
          <w:marBottom w:val="0"/>
          <w:divBdr>
            <w:top w:val="none" w:sz="0" w:space="0" w:color="auto"/>
            <w:left w:val="none" w:sz="0" w:space="0" w:color="auto"/>
            <w:bottom w:val="none" w:sz="0" w:space="0" w:color="auto"/>
            <w:right w:val="none" w:sz="0" w:space="0" w:color="auto"/>
          </w:divBdr>
        </w:div>
        <w:div w:id="797408577">
          <w:marLeft w:val="640"/>
          <w:marRight w:val="0"/>
          <w:marTop w:val="0"/>
          <w:marBottom w:val="0"/>
          <w:divBdr>
            <w:top w:val="none" w:sz="0" w:space="0" w:color="auto"/>
            <w:left w:val="none" w:sz="0" w:space="0" w:color="auto"/>
            <w:bottom w:val="none" w:sz="0" w:space="0" w:color="auto"/>
            <w:right w:val="none" w:sz="0" w:space="0" w:color="auto"/>
          </w:divBdr>
        </w:div>
        <w:div w:id="775642024">
          <w:marLeft w:val="640"/>
          <w:marRight w:val="0"/>
          <w:marTop w:val="0"/>
          <w:marBottom w:val="0"/>
          <w:divBdr>
            <w:top w:val="none" w:sz="0" w:space="0" w:color="auto"/>
            <w:left w:val="none" w:sz="0" w:space="0" w:color="auto"/>
            <w:bottom w:val="none" w:sz="0" w:space="0" w:color="auto"/>
            <w:right w:val="none" w:sz="0" w:space="0" w:color="auto"/>
          </w:divBdr>
        </w:div>
        <w:div w:id="1139298655">
          <w:marLeft w:val="640"/>
          <w:marRight w:val="0"/>
          <w:marTop w:val="0"/>
          <w:marBottom w:val="0"/>
          <w:divBdr>
            <w:top w:val="none" w:sz="0" w:space="0" w:color="auto"/>
            <w:left w:val="none" w:sz="0" w:space="0" w:color="auto"/>
            <w:bottom w:val="none" w:sz="0" w:space="0" w:color="auto"/>
            <w:right w:val="none" w:sz="0" w:space="0" w:color="auto"/>
          </w:divBdr>
        </w:div>
        <w:div w:id="1954358988">
          <w:marLeft w:val="640"/>
          <w:marRight w:val="0"/>
          <w:marTop w:val="0"/>
          <w:marBottom w:val="0"/>
          <w:divBdr>
            <w:top w:val="none" w:sz="0" w:space="0" w:color="auto"/>
            <w:left w:val="none" w:sz="0" w:space="0" w:color="auto"/>
            <w:bottom w:val="none" w:sz="0" w:space="0" w:color="auto"/>
            <w:right w:val="none" w:sz="0" w:space="0" w:color="auto"/>
          </w:divBdr>
        </w:div>
        <w:div w:id="1054543491">
          <w:marLeft w:val="640"/>
          <w:marRight w:val="0"/>
          <w:marTop w:val="0"/>
          <w:marBottom w:val="0"/>
          <w:divBdr>
            <w:top w:val="none" w:sz="0" w:space="0" w:color="auto"/>
            <w:left w:val="none" w:sz="0" w:space="0" w:color="auto"/>
            <w:bottom w:val="none" w:sz="0" w:space="0" w:color="auto"/>
            <w:right w:val="none" w:sz="0" w:space="0" w:color="auto"/>
          </w:divBdr>
        </w:div>
        <w:div w:id="185950032">
          <w:marLeft w:val="640"/>
          <w:marRight w:val="0"/>
          <w:marTop w:val="0"/>
          <w:marBottom w:val="0"/>
          <w:divBdr>
            <w:top w:val="none" w:sz="0" w:space="0" w:color="auto"/>
            <w:left w:val="none" w:sz="0" w:space="0" w:color="auto"/>
            <w:bottom w:val="none" w:sz="0" w:space="0" w:color="auto"/>
            <w:right w:val="none" w:sz="0" w:space="0" w:color="auto"/>
          </w:divBdr>
        </w:div>
        <w:div w:id="1429279095">
          <w:marLeft w:val="640"/>
          <w:marRight w:val="0"/>
          <w:marTop w:val="0"/>
          <w:marBottom w:val="0"/>
          <w:divBdr>
            <w:top w:val="none" w:sz="0" w:space="0" w:color="auto"/>
            <w:left w:val="none" w:sz="0" w:space="0" w:color="auto"/>
            <w:bottom w:val="none" w:sz="0" w:space="0" w:color="auto"/>
            <w:right w:val="none" w:sz="0" w:space="0" w:color="auto"/>
          </w:divBdr>
        </w:div>
        <w:div w:id="331613047">
          <w:marLeft w:val="640"/>
          <w:marRight w:val="0"/>
          <w:marTop w:val="0"/>
          <w:marBottom w:val="0"/>
          <w:divBdr>
            <w:top w:val="none" w:sz="0" w:space="0" w:color="auto"/>
            <w:left w:val="none" w:sz="0" w:space="0" w:color="auto"/>
            <w:bottom w:val="none" w:sz="0" w:space="0" w:color="auto"/>
            <w:right w:val="none" w:sz="0" w:space="0" w:color="auto"/>
          </w:divBdr>
        </w:div>
        <w:div w:id="1225408359">
          <w:marLeft w:val="640"/>
          <w:marRight w:val="0"/>
          <w:marTop w:val="0"/>
          <w:marBottom w:val="0"/>
          <w:divBdr>
            <w:top w:val="none" w:sz="0" w:space="0" w:color="auto"/>
            <w:left w:val="none" w:sz="0" w:space="0" w:color="auto"/>
            <w:bottom w:val="none" w:sz="0" w:space="0" w:color="auto"/>
            <w:right w:val="none" w:sz="0" w:space="0" w:color="auto"/>
          </w:divBdr>
        </w:div>
        <w:div w:id="511989894">
          <w:marLeft w:val="640"/>
          <w:marRight w:val="0"/>
          <w:marTop w:val="0"/>
          <w:marBottom w:val="0"/>
          <w:divBdr>
            <w:top w:val="none" w:sz="0" w:space="0" w:color="auto"/>
            <w:left w:val="none" w:sz="0" w:space="0" w:color="auto"/>
            <w:bottom w:val="none" w:sz="0" w:space="0" w:color="auto"/>
            <w:right w:val="none" w:sz="0" w:space="0" w:color="auto"/>
          </w:divBdr>
        </w:div>
        <w:div w:id="874199739">
          <w:marLeft w:val="640"/>
          <w:marRight w:val="0"/>
          <w:marTop w:val="0"/>
          <w:marBottom w:val="0"/>
          <w:divBdr>
            <w:top w:val="none" w:sz="0" w:space="0" w:color="auto"/>
            <w:left w:val="none" w:sz="0" w:space="0" w:color="auto"/>
            <w:bottom w:val="none" w:sz="0" w:space="0" w:color="auto"/>
            <w:right w:val="none" w:sz="0" w:space="0" w:color="auto"/>
          </w:divBdr>
        </w:div>
        <w:div w:id="31006390">
          <w:marLeft w:val="640"/>
          <w:marRight w:val="0"/>
          <w:marTop w:val="0"/>
          <w:marBottom w:val="0"/>
          <w:divBdr>
            <w:top w:val="none" w:sz="0" w:space="0" w:color="auto"/>
            <w:left w:val="none" w:sz="0" w:space="0" w:color="auto"/>
            <w:bottom w:val="none" w:sz="0" w:space="0" w:color="auto"/>
            <w:right w:val="none" w:sz="0" w:space="0" w:color="auto"/>
          </w:divBdr>
        </w:div>
        <w:div w:id="520977715">
          <w:marLeft w:val="640"/>
          <w:marRight w:val="0"/>
          <w:marTop w:val="0"/>
          <w:marBottom w:val="0"/>
          <w:divBdr>
            <w:top w:val="none" w:sz="0" w:space="0" w:color="auto"/>
            <w:left w:val="none" w:sz="0" w:space="0" w:color="auto"/>
            <w:bottom w:val="none" w:sz="0" w:space="0" w:color="auto"/>
            <w:right w:val="none" w:sz="0" w:space="0" w:color="auto"/>
          </w:divBdr>
        </w:div>
        <w:div w:id="1174030356">
          <w:marLeft w:val="640"/>
          <w:marRight w:val="0"/>
          <w:marTop w:val="0"/>
          <w:marBottom w:val="0"/>
          <w:divBdr>
            <w:top w:val="none" w:sz="0" w:space="0" w:color="auto"/>
            <w:left w:val="none" w:sz="0" w:space="0" w:color="auto"/>
            <w:bottom w:val="none" w:sz="0" w:space="0" w:color="auto"/>
            <w:right w:val="none" w:sz="0" w:space="0" w:color="auto"/>
          </w:divBdr>
        </w:div>
        <w:div w:id="133178955">
          <w:marLeft w:val="640"/>
          <w:marRight w:val="0"/>
          <w:marTop w:val="0"/>
          <w:marBottom w:val="0"/>
          <w:divBdr>
            <w:top w:val="none" w:sz="0" w:space="0" w:color="auto"/>
            <w:left w:val="none" w:sz="0" w:space="0" w:color="auto"/>
            <w:bottom w:val="none" w:sz="0" w:space="0" w:color="auto"/>
            <w:right w:val="none" w:sz="0" w:space="0" w:color="auto"/>
          </w:divBdr>
        </w:div>
        <w:div w:id="1439836066">
          <w:marLeft w:val="640"/>
          <w:marRight w:val="0"/>
          <w:marTop w:val="0"/>
          <w:marBottom w:val="0"/>
          <w:divBdr>
            <w:top w:val="none" w:sz="0" w:space="0" w:color="auto"/>
            <w:left w:val="none" w:sz="0" w:space="0" w:color="auto"/>
            <w:bottom w:val="none" w:sz="0" w:space="0" w:color="auto"/>
            <w:right w:val="none" w:sz="0" w:space="0" w:color="auto"/>
          </w:divBdr>
        </w:div>
        <w:div w:id="1291856716">
          <w:marLeft w:val="640"/>
          <w:marRight w:val="0"/>
          <w:marTop w:val="0"/>
          <w:marBottom w:val="0"/>
          <w:divBdr>
            <w:top w:val="none" w:sz="0" w:space="0" w:color="auto"/>
            <w:left w:val="none" w:sz="0" w:space="0" w:color="auto"/>
            <w:bottom w:val="none" w:sz="0" w:space="0" w:color="auto"/>
            <w:right w:val="none" w:sz="0" w:space="0" w:color="auto"/>
          </w:divBdr>
        </w:div>
        <w:div w:id="1626934875">
          <w:marLeft w:val="640"/>
          <w:marRight w:val="0"/>
          <w:marTop w:val="0"/>
          <w:marBottom w:val="0"/>
          <w:divBdr>
            <w:top w:val="none" w:sz="0" w:space="0" w:color="auto"/>
            <w:left w:val="none" w:sz="0" w:space="0" w:color="auto"/>
            <w:bottom w:val="none" w:sz="0" w:space="0" w:color="auto"/>
            <w:right w:val="none" w:sz="0" w:space="0" w:color="auto"/>
          </w:divBdr>
        </w:div>
        <w:div w:id="1313944127">
          <w:marLeft w:val="640"/>
          <w:marRight w:val="0"/>
          <w:marTop w:val="0"/>
          <w:marBottom w:val="0"/>
          <w:divBdr>
            <w:top w:val="none" w:sz="0" w:space="0" w:color="auto"/>
            <w:left w:val="none" w:sz="0" w:space="0" w:color="auto"/>
            <w:bottom w:val="none" w:sz="0" w:space="0" w:color="auto"/>
            <w:right w:val="none" w:sz="0" w:space="0" w:color="auto"/>
          </w:divBdr>
        </w:div>
        <w:div w:id="1150055303">
          <w:marLeft w:val="640"/>
          <w:marRight w:val="0"/>
          <w:marTop w:val="0"/>
          <w:marBottom w:val="0"/>
          <w:divBdr>
            <w:top w:val="none" w:sz="0" w:space="0" w:color="auto"/>
            <w:left w:val="none" w:sz="0" w:space="0" w:color="auto"/>
            <w:bottom w:val="none" w:sz="0" w:space="0" w:color="auto"/>
            <w:right w:val="none" w:sz="0" w:space="0" w:color="auto"/>
          </w:divBdr>
        </w:div>
        <w:div w:id="1424299005">
          <w:marLeft w:val="640"/>
          <w:marRight w:val="0"/>
          <w:marTop w:val="0"/>
          <w:marBottom w:val="0"/>
          <w:divBdr>
            <w:top w:val="none" w:sz="0" w:space="0" w:color="auto"/>
            <w:left w:val="none" w:sz="0" w:space="0" w:color="auto"/>
            <w:bottom w:val="none" w:sz="0" w:space="0" w:color="auto"/>
            <w:right w:val="none" w:sz="0" w:space="0" w:color="auto"/>
          </w:divBdr>
        </w:div>
        <w:div w:id="1408042180">
          <w:marLeft w:val="640"/>
          <w:marRight w:val="0"/>
          <w:marTop w:val="0"/>
          <w:marBottom w:val="0"/>
          <w:divBdr>
            <w:top w:val="none" w:sz="0" w:space="0" w:color="auto"/>
            <w:left w:val="none" w:sz="0" w:space="0" w:color="auto"/>
            <w:bottom w:val="none" w:sz="0" w:space="0" w:color="auto"/>
            <w:right w:val="none" w:sz="0" w:space="0" w:color="auto"/>
          </w:divBdr>
        </w:div>
        <w:div w:id="981345301">
          <w:marLeft w:val="640"/>
          <w:marRight w:val="0"/>
          <w:marTop w:val="0"/>
          <w:marBottom w:val="0"/>
          <w:divBdr>
            <w:top w:val="none" w:sz="0" w:space="0" w:color="auto"/>
            <w:left w:val="none" w:sz="0" w:space="0" w:color="auto"/>
            <w:bottom w:val="none" w:sz="0" w:space="0" w:color="auto"/>
            <w:right w:val="none" w:sz="0" w:space="0" w:color="auto"/>
          </w:divBdr>
        </w:div>
        <w:div w:id="2025281094">
          <w:marLeft w:val="640"/>
          <w:marRight w:val="0"/>
          <w:marTop w:val="0"/>
          <w:marBottom w:val="0"/>
          <w:divBdr>
            <w:top w:val="none" w:sz="0" w:space="0" w:color="auto"/>
            <w:left w:val="none" w:sz="0" w:space="0" w:color="auto"/>
            <w:bottom w:val="none" w:sz="0" w:space="0" w:color="auto"/>
            <w:right w:val="none" w:sz="0" w:space="0" w:color="auto"/>
          </w:divBdr>
        </w:div>
        <w:div w:id="828055525">
          <w:marLeft w:val="640"/>
          <w:marRight w:val="0"/>
          <w:marTop w:val="0"/>
          <w:marBottom w:val="0"/>
          <w:divBdr>
            <w:top w:val="none" w:sz="0" w:space="0" w:color="auto"/>
            <w:left w:val="none" w:sz="0" w:space="0" w:color="auto"/>
            <w:bottom w:val="none" w:sz="0" w:space="0" w:color="auto"/>
            <w:right w:val="none" w:sz="0" w:space="0" w:color="auto"/>
          </w:divBdr>
        </w:div>
        <w:div w:id="66003012">
          <w:marLeft w:val="640"/>
          <w:marRight w:val="0"/>
          <w:marTop w:val="0"/>
          <w:marBottom w:val="0"/>
          <w:divBdr>
            <w:top w:val="none" w:sz="0" w:space="0" w:color="auto"/>
            <w:left w:val="none" w:sz="0" w:space="0" w:color="auto"/>
            <w:bottom w:val="none" w:sz="0" w:space="0" w:color="auto"/>
            <w:right w:val="none" w:sz="0" w:space="0" w:color="auto"/>
          </w:divBdr>
        </w:div>
        <w:div w:id="750008359">
          <w:marLeft w:val="640"/>
          <w:marRight w:val="0"/>
          <w:marTop w:val="0"/>
          <w:marBottom w:val="0"/>
          <w:divBdr>
            <w:top w:val="none" w:sz="0" w:space="0" w:color="auto"/>
            <w:left w:val="none" w:sz="0" w:space="0" w:color="auto"/>
            <w:bottom w:val="none" w:sz="0" w:space="0" w:color="auto"/>
            <w:right w:val="none" w:sz="0" w:space="0" w:color="auto"/>
          </w:divBdr>
        </w:div>
        <w:div w:id="89083042">
          <w:marLeft w:val="640"/>
          <w:marRight w:val="0"/>
          <w:marTop w:val="0"/>
          <w:marBottom w:val="0"/>
          <w:divBdr>
            <w:top w:val="none" w:sz="0" w:space="0" w:color="auto"/>
            <w:left w:val="none" w:sz="0" w:space="0" w:color="auto"/>
            <w:bottom w:val="none" w:sz="0" w:space="0" w:color="auto"/>
            <w:right w:val="none" w:sz="0" w:space="0" w:color="auto"/>
          </w:divBdr>
        </w:div>
        <w:div w:id="138767695">
          <w:marLeft w:val="640"/>
          <w:marRight w:val="0"/>
          <w:marTop w:val="0"/>
          <w:marBottom w:val="0"/>
          <w:divBdr>
            <w:top w:val="none" w:sz="0" w:space="0" w:color="auto"/>
            <w:left w:val="none" w:sz="0" w:space="0" w:color="auto"/>
            <w:bottom w:val="none" w:sz="0" w:space="0" w:color="auto"/>
            <w:right w:val="none" w:sz="0" w:space="0" w:color="auto"/>
          </w:divBdr>
        </w:div>
        <w:div w:id="1425034770">
          <w:marLeft w:val="640"/>
          <w:marRight w:val="0"/>
          <w:marTop w:val="0"/>
          <w:marBottom w:val="0"/>
          <w:divBdr>
            <w:top w:val="none" w:sz="0" w:space="0" w:color="auto"/>
            <w:left w:val="none" w:sz="0" w:space="0" w:color="auto"/>
            <w:bottom w:val="none" w:sz="0" w:space="0" w:color="auto"/>
            <w:right w:val="none" w:sz="0" w:space="0" w:color="auto"/>
          </w:divBdr>
        </w:div>
        <w:div w:id="665743206">
          <w:marLeft w:val="640"/>
          <w:marRight w:val="0"/>
          <w:marTop w:val="0"/>
          <w:marBottom w:val="0"/>
          <w:divBdr>
            <w:top w:val="none" w:sz="0" w:space="0" w:color="auto"/>
            <w:left w:val="none" w:sz="0" w:space="0" w:color="auto"/>
            <w:bottom w:val="none" w:sz="0" w:space="0" w:color="auto"/>
            <w:right w:val="none" w:sz="0" w:space="0" w:color="auto"/>
          </w:divBdr>
        </w:div>
        <w:div w:id="628391719">
          <w:marLeft w:val="640"/>
          <w:marRight w:val="0"/>
          <w:marTop w:val="0"/>
          <w:marBottom w:val="0"/>
          <w:divBdr>
            <w:top w:val="none" w:sz="0" w:space="0" w:color="auto"/>
            <w:left w:val="none" w:sz="0" w:space="0" w:color="auto"/>
            <w:bottom w:val="none" w:sz="0" w:space="0" w:color="auto"/>
            <w:right w:val="none" w:sz="0" w:space="0" w:color="auto"/>
          </w:divBdr>
        </w:div>
        <w:div w:id="625544689">
          <w:marLeft w:val="640"/>
          <w:marRight w:val="0"/>
          <w:marTop w:val="0"/>
          <w:marBottom w:val="0"/>
          <w:divBdr>
            <w:top w:val="none" w:sz="0" w:space="0" w:color="auto"/>
            <w:left w:val="none" w:sz="0" w:space="0" w:color="auto"/>
            <w:bottom w:val="none" w:sz="0" w:space="0" w:color="auto"/>
            <w:right w:val="none" w:sz="0" w:space="0" w:color="auto"/>
          </w:divBdr>
        </w:div>
        <w:div w:id="966854049">
          <w:marLeft w:val="640"/>
          <w:marRight w:val="0"/>
          <w:marTop w:val="0"/>
          <w:marBottom w:val="0"/>
          <w:divBdr>
            <w:top w:val="none" w:sz="0" w:space="0" w:color="auto"/>
            <w:left w:val="none" w:sz="0" w:space="0" w:color="auto"/>
            <w:bottom w:val="none" w:sz="0" w:space="0" w:color="auto"/>
            <w:right w:val="none" w:sz="0" w:space="0" w:color="auto"/>
          </w:divBdr>
        </w:div>
        <w:div w:id="4137069">
          <w:marLeft w:val="640"/>
          <w:marRight w:val="0"/>
          <w:marTop w:val="0"/>
          <w:marBottom w:val="0"/>
          <w:divBdr>
            <w:top w:val="none" w:sz="0" w:space="0" w:color="auto"/>
            <w:left w:val="none" w:sz="0" w:space="0" w:color="auto"/>
            <w:bottom w:val="none" w:sz="0" w:space="0" w:color="auto"/>
            <w:right w:val="none" w:sz="0" w:space="0" w:color="auto"/>
          </w:divBdr>
        </w:div>
        <w:div w:id="1588539971">
          <w:marLeft w:val="640"/>
          <w:marRight w:val="0"/>
          <w:marTop w:val="0"/>
          <w:marBottom w:val="0"/>
          <w:divBdr>
            <w:top w:val="none" w:sz="0" w:space="0" w:color="auto"/>
            <w:left w:val="none" w:sz="0" w:space="0" w:color="auto"/>
            <w:bottom w:val="none" w:sz="0" w:space="0" w:color="auto"/>
            <w:right w:val="none" w:sz="0" w:space="0" w:color="auto"/>
          </w:divBdr>
        </w:div>
        <w:div w:id="1784687781">
          <w:marLeft w:val="640"/>
          <w:marRight w:val="0"/>
          <w:marTop w:val="0"/>
          <w:marBottom w:val="0"/>
          <w:divBdr>
            <w:top w:val="none" w:sz="0" w:space="0" w:color="auto"/>
            <w:left w:val="none" w:sz="0" w:space="0" w:color="auto"/>
            <w:bottom w:val="none" w:sz="0" w:space="0" w:color="auto"/>
            <w:right w:val="none" w:sz="0" w:space="0" w:color="auto"/>
          </w:divBdr>
        </w:div>
        <w:div w:id="507214873">
          <w:marLeft w:val="640"/>
          <w:marRight w:val="0"/>
          <w:marTop w:val="0"/>
          <w:marBottom w:val="0"/>
          <w:divBdr>
            <w:top w:val="none" w:sz="0" w:space="0" w:color="auto"/>
            <w:left w:val="none" w:sz="0" w:space="0" w:color="auto"/>
            <w:bottom w:val="none" w:sz="0" w:space="0" w:color="auto"/>
            <w:right w:val="none" w:sz="0" w:space="0" w:color="auto"/>
          </w:divBdr>
        </w:div>
        <w:div w:id="2138402241">
          <w:marLeft w:val="640"/>
          <w:marRight w:val="0"/>
          <w:marTop w:val="0"/>
          <w:marBottom w:val="0"/>
          <w:divBdr>
            <w:top w:val="none" w:sz="0" w:space="0" w:color="auto"/>
            <w:left w:val="none" w:sz="0" w:space="0" w:color="auto"/>
            <w:bottom w:val="none" w:sz="0" w:space="0" w:color="auto"/>
            <w:right w:val="none" w:sz="0" w:space="0" w:color="auto"/>
          </w:divBdr>
        </w:div>
        <w:div w:id="1710447951">
          <w:marLeft w:val="640"/>
          <w:marRight w:val="0"/>
          <w:marTop w:val="0"/>
          <w:marBottom w:val="0"/>
          <w:divBdr>
            <w:top w:val="none" w:sz="0" w:space="0" w:color="auto"/>
            <w:left w:val="none" w:sz="0" w:space="0" w:color="auto"/>
            <w:bottom w:val="none" w:sz="0" w:space="0" w:color="auto"/>
            <w:right w:val="none" w:sz="0" w:space="0" w:color="auto"/>
          </w:divBdr>
        </w:div>
        <w:div w:id="1207182286">
          <w:marLeft w:val="640"/>
          <w:marRight w:val="0"/>
          <w:marTop w:val="0"/>
          <w:marBottom w:val="0"/>
          <w:divBdr>
            <w:top w:val="none" w:sz="0" w:space="0" w:color="auto"/>
            <w:left w:val="none" w:sz="0" w:space="0" w:color="auto"/>
            <w:bottom w:val="none" w:sz="0" w:space="0" w:color="auto"/>
            <w:right w:val="none" w:sz="0" w:space="0" w:color="auto"/>
          </w:divBdr>
        </w:div>
        <w:div w:id="472524483">
          <w:marLeft w:val="640"/>
          <w:marRight w:val="0"/>
          <w:marTop w:val="0"/>
          <w:marBottom w:val="0"/>
          <w:divBdr>
            <w:top w:val="none" w:sz="0" w:space="0" w:color="auto"/>
            <w:left w:val="none" w:sz="0" w:space="0" w:color="auto"/>
            <w:bottom w:val="none" w:sz="0" w:space="0" w:color="auto"/>
            <w:right w:val="none" w:sz="0" w:space="0" w:color="auto"/>
          </w:divBdr>
        </w:div>
        <w:div w:id="1063790966">
          <w:marLeft w:val="640"/>
          <w:marRight w:val="0"/>
          <w:marTop w:val="0"/>
          <w:marBottom w:val="0"/>
          <w:divBdr>
            <w:top w:val="none" w:sz="0" w:space="0" w:color="auto"/>
            <w:left w:val="none" w:sz="0" w:space="0" w:color="auto"/>
            <w:bottom w:val="none" w:sz="0" w:space="0" w:color="auto"/>
            <w:right w:val="none" w:sz="0" w:space="0" w:color="auto"/>
          </w:divBdr>
        </w:div>
        <w:div w:id="948971408">
          <w:marLeft w:val="640"/>
          <w:marRight w:val="0"/>
          <w:marTop w:val="0"/>
          <w:marBottom w:val="0"/>
          <w:divBdr>
            <w:top w:val="none" w:sz="0" w:space="0" w:color="auto"/>
            <w:left w:val="none" w:sz="0" w:space="0" w:color="auto"/>
            <w:bottom w:val="none" w:sz="0" w:space="0" w:color="auto"/>
            <w:right w:val="none" w:sz="0" w:space="0" w:color="auto"/>
          </w:divBdr>
        </w:div>
        <w:div w:id="1957906771">
          <w:marLeft w:val="640"/>
          <w:marRight w:val="0"/>
          <w:marTop w:val="0"/>
          <w:marBottom w:val="0"/>
          <w:divBdr>
            <w:top w:val="none" w:sz="0" w:space="0" w:color="auto"/>
            <w:left w:val="none" w:sz="0" w:space="0" w:color="auto"/>
            <w:bottom w:val="none" w:sz="0" w:space="0" w:color="auto"/>
            <w:right w:val="none" w:sz="0" w:space="0" w:color="auto"/>
          </w:divBdr>
        </w:div>
        <w:div w:id="1825968082">
          <w:marLeft w:val="640"/>
          <w:marRight w:val="0"/>
          <w:marTop w:val="0"/>
          <w:marBottom w:val="0"/>
          <w:divBdr>
            <w:top w:val="none" w:sz="0" w:space="0" w:color="auto"/>
            <w:left w:val="none" w:sz="0" w:space="0" w:color="auto"/>
            <w:bottom w:val="none" w:sz="0" w:space="0" w:color="auto"/>
            <w:right w:val="none" w:sz="0" w:space="0" w:color="auto"/>
          </w:divBdr>
        </w:div>
        <w:div w:id="834298627">
          <w:marLeft w:val="640"/>
          <w:marRight w:val="0"/>
          <w:marTop w:val="0"/>
          <w:marBottom w:val="0"/>
          <w:divBdr>
            <w:top w:val="none" w:sz="0" w:space="0" w:color="auto"/>
            <w:left w:val="none" w:sz="0" w:space="0" w:color="auto"/>
            <w:bottom w:val="none" w:sz="0" w:space="0" w:color="auto"/>
            <w:right w:val="none" w:sz="0" w:space="0" w:color="auto"/>
          </w:divBdr>
        </w:div>
        <w:div w:id="227308198">
          <w:marLeft w:val="640"/>
          <w:marRight w:val="0"/>
          <w:marTop w:val="0"/>
          <w:marBottom w:val="0"/>
          <w:divBdr>
            <w:top w:val="none" w:sz="0" w:space="0" w:color="auto"/>
            <w:left w:val="none" w:sz="0" w:space="0" w:color="auto"/>
            <w:bottom w:val="none" w:sz="0" w:space="0" w:color="auto"/>
            <w:right w:val="none" w:sz="0" w:space="0" w:color="auto"/>
          </w:divBdr>
        </w:div>
        <w:div w:id="1819303424">
          <w:marLeft w:val="640"/>
          <w:marRight w:val="0"/>
          <w:marTop w:val="0"/>
          <w:marBottom w:val="0"/>
          <w:divBdr>
            <w:top w:val="none" w:sz="0" w:space="0" w:color="auto"/>
            <w:left w:val="none" w:sz="0" w:space="0" w:color="auto"/>
            <w:bottom w:val="none" w:sz="0" w:space="0" w:color="auto"/>
            <w:right w:val="none" w:sz="0" w:space="0" w:color="auto"/>
          </w:divBdr>
        </w:div>
        <w:div w:id="1635331069">
          <w:marLeft w:val="640"/>
          <w:marRight w:val="0"/>
          <w:marTop w:val="0"/>
          <w:marBottom w:val="0"/>
          <w:divBdr>
            <w:top w:val="none" w:sz="0" w:space="0" w:color="auto"/>
            <w:left w:val="none" w:sz="0" w:space="0" w:color="auto"/>
            <w:bottom w:val="none" w:sz="0" w:space="0" w:color="auto"/>
            <w:right w:val="none" w:sz="0" w:space="0" w:color="auto"/>
          </w:divBdr>
        </w:div>
        <w:div w:id="1327512714">
          <w:marLeft w:val="640"/>
          <w:marRight w:val="0"/>
          <w:marTop w:val="0"/>
          <w:marBottom w:val="0"/>
          <w:divBdr>
            <w:top w:val="none" w:sz="0" w:space="0" w:color="auto"/>
            <w:left w:val="none" w:sz="0" w:space="0" w:color="auto"/>
            <w:bottom w:val="none" w:sz="0" w:space="0" w:color="auto"/>
            <w:right w:val="none" w:sz="0" w:space="0" w:color="auto"/>
          </w:divBdr>
        </w:div>
        <w:div w:id="2128159648">
          <w:marLeft w:val="640"/>
          <w:marRight w:val="0"/>
          <w:marTop w:val="0"/>
          <w:marBottom w:val="0"/>
          <w:divBdr>
            <w:top w:val="none" w:sz="0" w:space="0" w:color="auto"/>
            <w:left w:val="none" w:sz="0" w:space="0" w:color="auto"/>
            <w:bottom w:val="none" w:sz="0" w:space="0" w:color="auto"/>
            <w:right w:val="none" w:sz="0" w:space="0" w:color="auto"/>
          </w:divBdr>
        </w:div>
        <w:div w:id="1667173182">
          <w:marLeft w:val="640"/>
          <w:marRight w:val="0"/>
          <w:marTop w:val="0"/>
          <w:marBottom w:val="0"/>
          <w:divBdr>
            <w:top w:val="none" w:sz="0" w:space="0" w:color="auto"/>
            <w:left w:val="none" w:sz="0" w:space="0" w:color="auto"/>
            <w:bottom w:val="none" w:sz="0" w:space="0" w:color="auto"/>
            <w:right w:val="none" w:sz="0" w:space="0" w:color="auto"/>
          </w:divBdr>
        </w:div>
        <w:div w:id="994071625">
          <w:marLeft w:val="640"/>
          <w:marRight w:val="0"/>
          <w:marTop w:val="0"/>
          <w:marBottom w:val="0"/>
          <w:divBdr>
            <w:top w:val="none" w:sz="0" w:space="0" w:color="auto"/>
            <w:left w:val="none" w:sz="0" w:space="0" w:color="auto"/>
            <w:bottom w:val="none" w:sz="0" w:space="0" w:color="auto"/>
            <w:right w:val="none" w:sz="0" w:space="0" w:color="auto"/>
          </w:divBdr>
        </w:div>
        <w:div w:id="479880086">
          <w:marLeft w:val="640"/>
          <w:marRight w:val="0"/>
          <w:marTop w:val="0"/>
          <w:marBottom w:val="0"/>
          <w:divBdr>
            <w:top w:val="none" w:sz="0" w:space="0" w:color="auto"/>
            <w:left w:val="none" w:sz="0" w:space="0" w:color="auto"/>
            <w:bottom w:val="none" w:sz="0" w:space="0" w:color="auto"/>
            <w:right w:val="none" w:sz="0" w:space="0" w:color="auto"/>
          </w:divBdr>
        </w:div>
        <w:div w:id="682514773">
          <w:marLeft w:val="640"/>
          <w:marRight w:val="0"/>
          <w:marTop w:val="0"/>
          <w:marBottom w:val="0"/>
          <w:divBdr>
            <w:top w:val="none" w:sz="0" w:space="0" w:color="auto"/>
            <w:left w:val="none" w:sz="0" w:space="0" w:color="auto"/>
            <w:bottom w:val="none" w:sz="0" w:space="0" w:color="auto"/>
            <w:right w:val="none" w:sz="0" w:space="0" w:color="auto"/>
          </w:divBdr>
        </w:div>
        <w:div w:id="1227107932">
          <w:marLeft w:val="640"/>
          <w:marRight w:val="0"/>
          <w:marTop w:val="0"/>
          <w:marBottom w:val="0"/>
          <w:divBdr>
            <w:top w:val="none" w:sz="0" w:space="0" w:color="auto"/>
            <w:left w:val="none" w:sz="0" w:space="0" w:color="auto"/>
            <w:bottom w:val="none" w:sz="0" w:space="0" w:color="auto"/>
            <w:right w:val="none" w:sz="0" w:space="0" w:color="auto"/>
          </w:divBdr>
        </w:div>
        <w:div w:id="1588882094">
          <w:marLeft w:val="640"/>
          <w:marRight w:val="0"/>
          <w:marTop w:val="0"/>
          <w:marBottom w:val="0"/>
          <w:divBdr>
            <w:top w:val="none" w:sz="0" w:space="0" w:color="auto"/>
            <w:left w:val="none" w:sz="0" w:space="0" w:color="auto"/>
            <w:bottom w:val="none" w:sz="0" w:space="0" w:color="auto"/>
            <w:right w:val="none" w:sz="0" w:space="0" w:color="auto"/>
          </w:divBdr>
        </w:div>
        <w:div w:id="558322604">
          <w:marLeft w:val="640"/>
          <w:marRight w:val="0"/>
          <w:marTop w:val="0"/>
          <w:marBottom w:val="0"/>
          <w:divBdr>
            <w:top w:val="none" w:sz="0" w:space="0" w:color="auto"/>
            <w:left w:val="none" w:sz="0" w:space="0" w:color="auto"/>
            <w:bottom w:val="none" w:sz="0" w:space="0" w:color="auto"/>
            <w:right w:val="none" w:sz="0" w:space="0" w:color="auto"/>
          </w:divBdr>
        </w:div>
        <w:div w:id="1404330118">
          <w:marLeft w:val="640"/>
          <w:marRight w:val="0"/>
          <w:marTop w:val="0"/>
          <w:marBottom w:val="0"/>
          <w:divBdr>
            <w:top w:val="none" w:sz="0" w:space="0" w:color="auto"/>
            <w:left w:val="none" w:sz="0" w:space="0" w:color="auto"/>
            <w:bottom w:val="none" w:sz="0" w:space="0" w:color="auto"/>
            <w:right w:val="none" w:sz="0" w:space="0" w:color="auto"/>
          </w:divBdr>
        </w:div>
        <w:div w:id="413210821">
          <w:marLeft w:val="640"/>
          <w:marRight w:val="0"/>
          <w:marTop w:val="0"/>
          <w:marBottom w:val="0"/>
          <w:divBdr>
            <w:top w:val="none" w:sz="0" w:space="0" w:color="auto"/>
            <w:left w:val="none" w:sz="0" w:space="0" w:color="auto"/>
            <w:bottom w:val="none" w:sz="0" w:space="0" w:color="auto"/>
            <w:right w:val="none" w:sz="0" w:space="0" w:color="auto"/>
          </w:divBdr>
        </w:div>
        <w:div w:id="1519076998">
          <w:marLeft w:val="640"/>
          <w:marRight w:val="0"/>
          <w:marTop w:val="0"/>
          <w:marBottom w:val="0"/>
          <w:divBdr>
            <w:top w:val="none" w:sz="0" w:space="0" w:color="auto"/>
            <w:left w:val="none" w:sz="0" w:space="0" w:color="auto"/>
            <w:bottom w:val="none" w:sz="0" w:space="0" w:color="auto"/>
            <w:right w:val="none" w:sz="0" w:space="0" w:color="auto"/>
          </w:divBdr>
        </w:div>
        <w:div w:id="1855338459">
          <w:marLeft w:val="640"/>
          <w:marRight w:val="0"/>
          <w:marTop w:val="0"/>
          <w:marBottom w:val="0"/>
          <w:divBdr>
            <w:top w:val="none" w:sz="0" w:space="0" w:color="auto"/>
            <w:left w:val="none" w:sz="0" w:space="0" w:color="auto"/>
            <w:bottom w:val="none" w:sz="0" w:space="0" w:color="auto"/>
            <w:right w:val="none" w:sz="0" w:space="0" w:color="auto"/>
          </w:divBdr>
        </w:div>
        <w:div w:id="1410033704">
          <w:marLeft w:val="640"/>
          <w:marRight w:val="0"/>
          <w:marTop w:val="0"/>
          <w:marBottom w:val="0"/>
          <w:divBdr>
            <w:top w:val="none" w:sz="0" w:space="0" w:color="auto"/>
            <w:left w:val="none" w:sz="0" w:space="0" w:color="auto"/>
            <w:bottom w:val="none" w:sz="0" w:space="0" w:color="auto"/>
            <w:right w:val="none" w:sz="0" w:space="0" w:color="auto"/>
          </w:divBdr>
        </w:div>
        <w:div w:id="1665667776">
          <w:marLeft w:val="640"/>
          <w:marRight w:val="0"/>
          <w:marTop w:val="0"/>
          <w:marBottom w:val="0"/>
          <w:divBdr>
            <w:top w:val="none" w:sz="0" w:space="0" w:color="auto"/>
            <w:left w:val="none" w:sz="0" w:space="0" w:color="auto"/>
            <w:bottom w:val="none" w:sz="0" w:space="0" w:color="auto"/>
            <w:right w:val="none" w:sz="0" w:space="0" w:color="auto"/>
          </w:divBdr>
        </w:div>
        <w:div w:id="1663191944">
          <w:marLeft w:val="640"/>
          <w:marRight w:val="0"/>
          <w:marTop w:val="0"/>
          <w:marBottom w:val="0"/>
          <w:divBdr>
            <w:top w:val="none" w:sz="0" w:space="0" w:color="auto"/>
            <w:left w:val="none" w:sz="0" w:space="0" w:color="auto"/>
            <w:bottom w:val="none" w:sz="0" w:space="0" w:color="auto"/>
            <w:right w:val="none" w:sz="0" w:space="0" w:color="auto"/>
          </w:divBdr>
        </w:div>
        <w:div w:id="1791431667">
          <w:marLeft w:val="640"/>
          <w:marRight w:val="0"/>
          <w:marTop w:val="0"/>
          <w:marBottom w:val="0"/>
          <w:divBdr>
            <w:top w:val="none" w:sz="0" w:space="0" w:color="auto"/>
            <w:left w:val="none" w:sz="0" w:space="0" w:color="auto"/>
            <w:bottom w:val="none" w:sz="0" w:space="0" w:color="auto"/>
            <w:right w:val="none" w:sz="0" w:space="0" w:color="auto"/>
          </w:divBdr>
        </w:div>
        <w:div w:id="548105208">
          <w:marLeft w:val="640"/>
          <w:marRight w:val="0"/>
          <w:marTop w:val="0"/>
          <w:marBottom w:val="0"/>
          <w:divBdr>
            <w:top w:val="none" w:sz="0" w:space="0" w:color="auto"/>
            <w:left w:val="none" w:sz="0" w:space="0" w:color="auto"/>
            <w:bottom w:val="none" w:sz="0" w:space="0" w:color="auto"/>
            <w:right w:val="none" w:sz="0" w:space="0" w:color="auto"/>
          </w:divBdr>
        </w:div>
        <w:div w:id="1006711904">
          <w:marLeft w:val="640"/>
          <w:marRight w:val="0"/>
          <w:marTop w:val="0"/>
          <w:marBottom w:val="0"/>
          <w:divBdr>
            <w:top w:val="none" w:sz="0" w:space="0" w:color="auto"/>
            <w:left w:val="none" w:sz="0" w:space="0" w:color="auto"/>
            <w:bottom w:val="none" w:sz="0" w:space="0" w:color="auto"/>
            <w:right w:val="none" w:sz="0" w:space="0" w:color="auto"/>
          </w:divBdr>
        </w:div>
        <w:div w:id="262764521">
          <w:marLeft w:val="640"/>
          <w:marRight w:val="0"/>
          <w:marTop w:val="0"/>
          <w:marBottom w:val="0"/>
          <w:divBdr>
            <w:top w:val="none" w:sz="0" w:space="0" w:color="auto"/>
            <w:left w:val="none" w:sz="0" w:space="0" w:color="auto"/>
            <w:bottom w:val="none" w:sz="0" w:space="0" w:color="auto"/>
            <w:right w:val="none" w:sz="0" w:space="0" w:color="auto"/>
          </w:divBdr>
        </w:div>
        <w:div w:id="2073036143">
          <w:marLeft w:val="640"/>
          <w:marRight w:val="0"/>
          <w:marTop w:val="0"/>
          <w:marBottom w:val="0"/>
          <w:divBdr>
            <w:top w:val="none" w:sz="0" w:space="0" w:color="auto"/>
            <w:left w:val="none" w:sz="0" w:space="0" w:color="auto"/>
            <w:bottom w:val="none" w:sz="0" w:space="0" w:color="auto"/>
            <w:right w:val="none" w:sz="0" w:space="0" w:color="auto"/>
          </w:divBdr>
        </w:div>
        <w:div w:id="1881823073">
          <w:marLeft w:val="640"/>
          <w:marRight w:val="0"/>
          <w:marTop w:val="0"/>
          <w:marBottom w:val="0"/>
          <w:divBdr>
            <w:top w:val="none" w:sz="0" w:space="0" w:color="auto"/>
            <w:left w:val="none" w:sz="0" w:space="0" w:color="auto"/>
            <w:bottom w:val="none" w:sz="0" w:space="0" w:color="auto"/>
            <w:right w:val="none" w:sz="0" w:space="0" w:color="auto"/>
          </w:divBdr>
        </w:div>
        <w:div w:id="1815946605">
          <w:marLeft w:val="640"/>
          <w:marRight w:val="0"/>
          <w:marTop w:val="0"/>
          <w:marBottom w:val="0"/>
          <w:divBdr>
            <w:top w:val="none" w:sz="0" w:space="0" w:color="auto"/>
            <w:left w:val="none" w:sz="0" w:space="0" w:color="auto"/>
            <w:bottom w:val="none" w:sz="0" w:space="0" w:color="auto"/>
            <w:right w:val="none" w:sz="0" w:space="0" w:color="auto"/>
          </w:divBdr>
        </w:div>
        <w:div w:id="868840864">
          <w:marLeft w:val="640"/>
          <w:marRight w:val="0"/>
          <w:marTop w:val="0"/>
          <w:marBottom w:val="0"/>
          <w:divBdr>
            <w:top w:val="none" w:sz="0" w:space="0" w:color="auto"/>
            <w:left w:val="none" w:sz="0" w:space="0" w:color="auto"/>
            <w:bottom w:val="none" w:sz="0" w:space="0" w:color="auto"/>
            <w:right w:val="none" w:sz="0" w:space="0" w:color="auto"/>
          </w:divBdr>
        </w:div>
        <w:div w:id="1909876969">
          <w:marLeft w:val="640"/>
          <w:marRight w:val="0"/>
          <w:marTop w:val="0"/>
          <w:marBottom w:val="0"/>
          <w:divBdr>
            <w:top w:val="none" w:sz="0" w:space="0" w:color="auto"/>
            <w:left w:val="none" w:sz="0" w:space="0" w:color="auto"/>
            <w:bottom w:val="none" w:sz="0" w:space="0" w:color="auto"/>
            <w:right w:val="none" w:sz="0" w:space="0" w:color="auto"/>
          </w:divBdr>
        </w:div>
        <w:div w:id="1174106581">
          <w:marLeft w:val="640"/>
          <w:marRight w:val="0"/>
          <w:marTop w:val="0"/>
          <w:marBottom w:val="0"/>
          <w:divBdr>
            <w:top w:val="none" w:sz="0" w:space="0" w:color="auto"/>
            <w:left w:val="none" w:sz="0" w:space="0" w:color="auto"/>
            <w:bottom w:val="none" w:sz="0" w:space="0" w:color="auto"/>
            <w:right w:val="none" w:sz="0" w:space="0" w:color="auto"/>
          </w:divBdr>
        </w:div>
        <w:div w:id="1642465281">
          <w:marLeft w:val="640"/>
          <w:marRight w:val="0"/>
          <w:marTop w:val="0"/>
          <w:marBottom w:val="0"/>
          <w:divBdr>
            <w:top w:val="none" w:sz="0" w:space="0" w:color="auto"/>
            <w:left w:val="none" w:sz="0" w:space="0" w:color="auto"/>
            <w:bottom w:val="none" w:sz="0" w:space="0" w:color="auto"/>
            <w:right w:val="none" w:sz="0" w:space="0" w:color="auto"/>
          </w:divBdr>
        </w:div>
        <w:div w:id="1519082941">
          <w:marLeft w:val="640"/>
          <w:marRight w:val="0"/>
          <w:marTop w:val="0"/>
          <w:marBottom w:val="0"/>
          <w:divBdr>
            <w:top w:val="none" w:sz="0" w:space="0" w:color="auto"/>
            <w:left w:val="none" w:sz="0" w:space="0" w:color="auto"/>
            <w:bottom w:val="none" w:sz="0" w:space="0" w:color="auto"/>
            <w:right w:val="none" w:sz="0" w:space="0" w:color="auto"/>
          </w:divBdr>
        </w:div>
        <w:div w:id="999456236">
          <w:marLeft w:val="640"/>
          <w:marRight w:val="0"/>
          <w:marTop w:val="0"/>
          <w:marBottom w:val="0"/>
          <w:divBdr>
            <w:top w:val="none" w:sz="0" w:space="0" w:color="auto"/>
            <w:left w:val="none" w:sz="0" w:space="0" w:color="auto"/>
            <w:bottom w:val="none" w:sz="0" w:space="0" w:color="auto"/>
            <w:right w:val="none" w:sz="0" w:space="0" w:color="auto"/>
          </w:divBdr>
        </w:div>
        <w:div w:id="613176856">
          <w:marLeft w:val="640"/>
          <w:marRight w:val="0"/>
          <w:marTop w:val="0"/>
          <w:marBottom w:val="0"/>
          <w:divBdr>
            <w:top w:val="none" w:sz="0" w:space="0" w:color="auto"/>
            <w:left w:val="none" w:sz="0" w:space="0" w:color="auto"/>
            <w:bottom w:val="none" w:sz="0" w:space="0" w:color="auto"/>
            <w:right w:val="none" w:sz="0" w:space="0" w:color="auto"/>
          </w:divBdr>
        </w:div>
        <w:div w:id="1743327201">
          <w:marLeft w:val="640"/>
          <w:marRight w:val="0"/>
          <w:marTop w:val="0"/>
          <w:marBottom w:val="0"/>
          <w:divBdr>
            <w:top w:val="none" w:sz="0" w:space="0" w:color="auto"/>
            <w:left w:val="none" w:sz="0" w:space="0" w:color="auto"/>
            <w:bottom w:val="none" w:sz="0" w:space="0" w:color="auto"/>
            <w:right w:val="none" w:sz="0" w:space="0" w:color="auto"/>
          </w:divBdr>
        </w:div>
        <w:div w:id="1954168430">
          <w:marLeft w:val="640"/>
          <w:marRight w:val="0"/>
          <w:marTop w:val="0"/>
          <w:marBottom w:val="0"/>
          <w:divBdr>
            <w:top w:val="none" w:sz="0" w:space="0" w:color="auto"/>
            <w:left w:val="none" w:sz="0" w:space="0" w:color="auto"/>
            <w:bottom w:val="none" w:sz="0" w:space="0" w:color="auto"/>
            <w:right w:val="none" w:sz="0" w:space="0" w:color="auto"/>
          </w:divBdr>
        </w:div>
        <w:div w:id="469784235">
          <w:marLeft w:val="640"/>
          <w:marRight w:val="0"/>
          <w:marTop w:val="0"/>
          <w:marBottom w:val="0"/>
          <w:divBdr>
            <w:top w:val="none" w:sz="0" w:space="0" w:color="auto"/>
            <w:left w:val="none" w:sz="0" w:space="0" w:color="auto"/>
            <w:bottom w:val="none" w:sz="0" w:space="0" w:color="auto"/>
            <w:right w:val="none" w:sz="0" w:space="0" w:color="auto"/>
          </w:divBdr>
        </w:div>
        <w:div w:id="2073384433">
          <w:marLeft w:val="640"/>
          <w:marRight w:val="0"/>
          <w:marTop w:val="0"/>
          <w:marBottom w:val="0"/>
          <w:divBdr>
            <w:top w:val="none" w:sz="0" w:space="0" w:color="auto"/>
            <w:left w:val="none" w:sz="0" w:space="0" w:color="auto"/>
            <w:bottom w:val="none" w:sz="0" w:space="0" w:color="auto"/>
            <w:right w:val="none" w:sz="0" w:space="0" w:color="auto"/>
          </w:divBdr>
        </w:div>
        <w:div w:id="322395787">
          <w:marLeft w:val="640"/>
          <w:marRight w:val="0"/>
          <w:marTop w:val="0"/>
          <w:marBottom w:val="0"/>
          <w:divBdr>
            <w:top w:val="none" w:sz="0" w:space="0" w:color="auto"/>
            <w:left w:val="none" w:sz="0" w:space="0" w:color="auto"/>
            <w:bottom w:val="none" w:sz="0" w:space="0" w:color="auto"/>
            <w:right w:val="none" w:sz="0" w:space="0" w:color="auto"/>
          </w:divBdr>
        </w:div>
        <w:div w:id="1228883980">
          <w:marLeft w:val="640"/>
          <w:marRight w:val="0"/>
          <w:marTop w:val="0"/>
          <w:marBottom w:val="0"/>
          <w:divBdr>
            <w:top w:val="none" w:sz="0" w:space="0" w:color="auto"/>
            <w:left w:val="none" w:sz="0" w:space="0" w:color="auto"/>
            <w:bottom w:val="none" w:sz="0" w:space="0" w:color="auto"/>
            <w:right w:val="none" w:sz="0" w:space="0" w:color="auto"/>
          </w:divBdr>
        </w:div>
        <w:div w:id="1177306086">
          <w:marLeft w:val="640"/>
          <w:marRight w:val="0"/>
          <w:marTop w:val="0"/>
          <w:marBottom w:val="0"/>
          <w:divBdr>
            <w:top w:val="none" w:sz="0" w:space="0" w:color="auto"/>
            <w:left w:val="none" w:sz="0" w:space="0" w:color="auto"/>
            <w:bottom w:val="none" w:sz="0" w:space="0" w:color="auto"/>
            <w:right w:val="none" w:sz="0" w:space="0" w:color="auto"/>
          </w:divBdr>
        </w:div>
        <w:div w:id="1662545056">
          <w:marLeft w:val="640"/>
          <w:marRight w:val="0"/>
          <w:marTop w:val="0"/>
          <w:marBottom w:val="0"/>
          <w:divBdr>
            <w:top w:val="none" w:sz="0" w:space="0" w:color="auto"/>
            <w:left w:val="none" w:sz="0" w:space="0" w:color="auto"/>
            <w:bottom w:val="none" w:sz="0" w:space="0" w:color="auto"/>
            <w:right w:val="none" w:sz="0" w:space="0" w:color="auto"/>
          </w:divBdr>
        </w:div>
        <w:div w:id="6446295">
          <w:marLeft w:val="640"/>
          <w:marRight w:val="0"/>
          <w:marTop w:val="0"/>
          <w:marBottom w:val="0"/>
          <w:divBdr>
            <w:top w:val="none" w:sz="0" w:space="0" w:color="auto"/>
            <w:left w:val="none" w:sz="0" w:space="0" w:color="auto"/>
            <w:bottom w:val="none" w:sz="0" w:space="0" w:color="auto"/>
            <w:right w:val="none" w:sz="0" w:space="0" w:color="auto"/>
          </w:divBdr>
        </w:div>
        <w:div w:id="1014500119">
          <w:marLeft w:val="640"/>
          <w:marRight w:val="0"/>
          <w:marTop w:val="0"/>
          <w:marBottom w:val="0"/>
          <w:divBdr>
            <w:top w:val="none" w:sz="0" w:space="0" w:color="auto"/>
            <w:left w:val="none" w:sz="0" w:space="0" w:color="auto"/>
            <w:bottom w:val="none" w:sz="0" w:space="0" w:color="auto"/>
            <w:right w:val="none" w:sz="0" w:space="0" w:color="auto"/>
          </w:divBdr>
        </w:div>
        <w:div w:id="1754618850">
          <w:marLeft w:val="640"/>
          <w:marRight w:val="0"/>
          <w:marTop w:val="0"/>
          <w:marBottom w:val="0"/>
          <w:divBdr>
            <w:top w:val="none" w:sz="0" w:space="0" w:color="auto"/>
            <w:left w:val="none" w:sz="0" w:space="0" w:color="auto"/>
            <w:bottom w:val="none" w:sz="0" w:space="0" w:color="auto"/>
            <w:right w:val="none" w:sz="0" w:space="0" w:color="auto"/>
          </w:divBdr>
        </w:div>
        <w:div w:id="1755711129">
          <w:marLeft w:val="640"/>
          <w:marRight w:val="0"/>
          <w:marTop w:val="0"/>
          <w:marBottom w:val="0"/>
          <w:divBdr>
            <w:top w:val="none" w:sz="0" w:space="0" w:color="auto"/>
            <w:left w:val="none" w:sz="0" w:space="0" w:color="auto"/>
            <w:bottom w:val="none" w:sz="0" w:space="0" w:color="auto"/>
            <w:right w:val="none" w:sz="0" w:space="0" w:color="auto"/>
          </w:divBdr>
        </w:div>
        <w:div w:id="1551845365">
          <w:marLeft w:val="640"/>
          <w:marRight w:val="0"/>
          <w:marTop w:val="0"/>
          <w:marBottom w:val="0"/>
          <w:divBdr>
            <w:top w:val="none" w:sz="0" w:space="0" w:color="auto"/>
            <w:left w:val="none" w:sz="0" w:space="0" w:color="auto"/>
            <w:bottom w:val="none" w:sz="0" w:space="0" w:color="auto"/>
            <w:right w:val="none" w:sz="0" w:space="0" w:color="auto"/>
          </w:divBdr>
        </w:div>
        <w:div w:id="1790469328">
          <w:marLeft w:val="640"/>
          <w:marRight w:val="0"/>
          <w:marTop w:val="0"/>
          <w:marBottom w:val="0"/>
          <w:divBdr>
            <w:top w:val="none" w:sz="0" w:space="0" w:color="auto"/>
            <w:left w:val="none" w:sz="0" w:space="0" w:color="auto"/>
            <w:bottom w:val="none" w:sz="0" w:space="0" w:color="auto"/>
            <w:right w:val="none" w:sz="0" w:space="0" w:color="auto"/>
          </w:divBdr>
        </w:div>
        <w:div w:id="121004140">
          <w:marLeft w:val="640"/>
          <w:marRight w:val="0"/>
          <w:marTop w:val="0"/>
          <w:marBottom w:val="0"/>
          <w:divBdr>
            <w:top w:val="none" w:sz="0" w:space="0" w:color="auto"/>
            <w:left w:val="none" w:sz="0" w:space="0" w:color="auto"/>
            <w:bottom w:val="none" w:sz="0" w:space="0" w:color="auto"/>
            <w:right w:val="none" w:sz="0" w:space="0" w:color="auto"/>
          </w:divBdr>
        </w:div>
        <w:div w:id="473377290">
          <w:marLeft w:val="640"/>
          <w:marRight w:val="0"/>
          <w:marTop w:val="0"/>
          <w:marBottom w:val="0"/>
          <w:divBdr>
            <w:top w:val="none" w:sz="0" w:space="0" w:color="auto"/>
            <w:left w:val="none" w:sz="0" w:space="0" w:color="auto"/>
            <w:bottom w:val="none" w:sz="0" w:space="0" w:color="auto"/>
            <w:right w:val="none" w:sz="0" w:space="0" w:color="auto"/>
          </w:divBdr>
        </w:div>
        <w:div w:id="2004428178">
          <w:marLeft w:val="640"/>
          <w:marRight w:val="0"/>
          <w:marTop w:val="0"/>
          <w:marBottom w:val="0"/>
          <w:divBdr>
            <w:top w:val="none" w:sz="0" w:space="0" w:color="auto"/>
            <w:left w:val="none" w:sz="0" w:space="0" w:color="auto"/>
            <w:bottom w:val="none" w:sz="0" w:space="0" w:color="auto"/>
            <w:right w:val="none" w:sz="0" w:space="0" w:color="auto"/>
          </w:divBdr>
        </w:div>
        <w:div w:id="1439327045">
          <w:marLeft w:val="640"/>
          <w:marRight w:val="0"/>
          <w:marTop w:val="0"/>
          <w:marBottom w:val="0"/>
          <w:divBdr>
            <w:top w:val="none" w:sz="0" w:space="0" w:color="auto"/>
            <w:left w:val="none" w:sz="0" w:space="0" w:color="auto"/>
            <w:bottom w:val="none" w:sz="0" w:space="0" w:color="auto"/>
            <w:right w:val="none" w:sz="0" w:space="0" w:color="auto"/>
          </w:divBdr>
        </w:div>
        <w:div w:id="357781345">
          <w:marLeft w:val="640"/>
          <w:marRight w:val="0"/>
          <w:marTop w:val="0"/>
          <w:marBottom w:val="0"/>
          <w:divBdr>
            <w:top w:val="none" w:sz="0" w:space="0" w:color="auto"/>
            <w:left w:val="none" w:sz="0" w:space="0" w:color="auto"/>
            <w:bottom w:val="none" w:sz="0" w:space="0" w:color="auto"/>
            <w:right w:val="none" w:sz="0" w:space="0" w:color="auto"/>
          </w:divBdr>
        </w:div>
        <w:div w:id="1522862552">
          <w:marLeft w:val="640"/>
          <w:marRight w:val="0"/>
          <w:marTop w:val="0"/>
          <w:marBottom w:val="0"/>
          <w:divBdr>
            <w:top w:val="none" w:sz="0" w:space="0" w:color="auto"/>
            <w:left w:val="none" w:sz="0" w:space="0" w:color="auto"/>
            <w:bottom w:val="none" w:sz="0" w:space="0" w:color="auto"/>
            <w:right w:val="none" w:sz="0" w:space="0" w:color="auto"/>
          </w:divBdr>
        </w:div>
        <w:div w:id="1804275994">
          <w:marLeft w:val="640"/>
          <w:marRight w:val="0"/>
          <w:marTop w:val="0"/>
          <w:marBottom w:val="0"/>
          <w:divBdr>
            <w:top w:val="none" w:sz="0" w:space="0" w:color="auto"/>
            <w:left w:val="none" w:sz="0" w:space="0" w:color="auto"/>
            <w:bottom w:val="none" w:sz="0" w:space="0" w:color="auto"/>
            <w:right w:val="none" w:sz="0" w:space="0" w:color="auto"/>
          </w:divBdr>
        </w:div>
        <w:div w:id="1231959659">
          <w:marLeft w:val="640"/>
          <w:marRight w:val="0"/>
          <w:marTop w:val="0"/>
          <w:marBottom w:val="0"/>
          <w:divBdr>
            <w:top w:val="none" w:sz="0" w:space="0" w:color="auto"/>
            <w:left w:val="none" w:sz="0" w:space="0" w:color="auto"/>
            <w:bottom w:val="none" w:sz="0" w:space="0" w:color="auto"/>
            <w:right w:val="none" w:sz="0" w:space="0" w:color="auto"/>
          </w:divBdr>
        </w:div>
        <w:div w:id="2127119310">
          <w:marLeft w:val="640"/>
          <w:marRight w:val="0"/>
          <w:marTop w:val="0"/>
          <w:marBottom w:val="0"/>
          <w:divBdr>
            <w:top w:val="none" w:sz="0" w:space="0" w:color="auto"/>
            <w:left w:val="none" w:sz="0" w:space="0" w:color="auto"/>
            <w:bottom w:val="none" w:sz="0" w:space="0" w:color="auto"/>
            <w:right w:val="none" w:sz="0" w:space="0" w:color="auto"/>
          </w:divBdr>
        </w:div>
        <w:div w:id="40713214">
          <w:marLeft w:val="640"/>
          <w:marRight w:val="0"/>
          <w:marTop w:val="0"/>
          <w:marBottom w:val="0"/>
          <w:divBdr>
            <w:top w:val="none" w:sz="0" w:space="0" w:color="auto"/>
            <w:left w:val="none" w:sz="0" w:space="0" w:color="auto"/>
            <w:bottom w:val="none" w:sz="0" w:space="0" w:color="auto"/>
            <w:right w:val="none" w:sz="0" w:space="0" w:color="auto"/>
          </w:divBdr>
        </w:div>
        <w:div w:id="1172063352">
          <w:marLeft w:val="640"/>
          <w:marRight w:val="0"/>
          <w:marTop w:val="0"/>
          <w:marBottom w:val="0"/>
          <w:divBdr>
            <w:top w:val="none" w:sz="0" w:space="0" w:color="auto"/>
            <w:left w:val="none" w:sz="0" w:space="0" w:color="auto"/>
            <w:bottom w:val="none" w:sz="0" w:space="0" w:color="auto"/>
            <w:right w:val="none" w:sz="0" w:space="0" w:color="auto"/>
          </w:divBdr>
        </w:div>
        <w:div w:id="1874885072">
          <w:marLeft w:val="640"/>
          <w:marRight w:val="0"/>
          <w:marTop w:val="0"/>
          <w:marBottom w:val="0"/>
          <w:divBdr>
            <w:top w:val="none" w:sz="0" w:space="0" w:color="auto"/>
            <w:left w:val="none" w:sz="0" w:space="0" w:color="auto"/>
            <w:bottom w:val="none" w:sz="0" w:space="0" w:color="auto"/>
            <w:right w:val="none" w:sz="0" w:space="0" w:color="auto"/>
          </w:divBdr>
        </w:div>
        <w:div w:id="1225873966">
          <w:marLeft w:val="640"/>
          <w:marRight w:val="0"/>
          <w:marTop w:val="0"/>
          <w:marBottom w:val="0"/>
          <w:divBdr>
            <w:top w:val="none" w:sz="0" w:space="0" w:color="auto"/>
            <w:left w:val="none" w:sz="0" w:space="0" w:color="auto"/>
            <w:bottom w:val="none" w:sz="0" w:space="0" w:color="auto"/>
            <w:right w:val="none" w:sz="0" w:space="0" w:color="auto"/>
          </w:divBdr>
        </w:div>
        <w:div w:id="1023244123">
          <w:marLeft w:val="640"/>
          <w:marRight w:val="0"/>
          <w:marTop w:val="0"/>
          <w:marBottom w:val="0"/>
          <w:divBdr>
            <w:top w:val="none" w:sz="0" w:space="0" w:color="auto"/>
            <w:left w:val="none" w:sz="0" w:space="0" w:color="auto"/>
            <w:bottom w:val="none" w:sz="0" w:space="0" w:color="auto"/>
            <w:right w:val="none" w:sz="0" w:space="0" w:color="auto"/>
          </w:divBdr>
        </w:div>
        <w:div w:id="111294317">
          <w:marLeft w:val="640"/>
          <w:marRight w:val="0"/>
          <w:marTop w:val="0"/>
          <w:marBottom w:val="0"/>
          <w:divBdr>
            <w:top w:val="none" w:sz="0" w:space="0" w:color="auto"/>
            <w:left w:val="none" w:sz="0" w:space="0" w:color="auto"/>
            <w:bottom w:val="none" w:sz="0" w:space="0" w:color="auto"/>
            <w:right w:val="none" w:sz="0" w:space="0" w:color="auto"/>
          </w:divBdr>
        </w:div>
        <w:div w:id="285088666">
          <w:marLeft w:val="640"/>
          <w:marRight w:val="0"/>
          <w:marTop w:val="0"/>
          <w:marBottom w:val="0"/>
          <w:divBdr>
            <w:top w:val="none" w:sz="0" w:space="0" w:color="auto"/>
            <w:left w:val="none" w:sz="0" w:space="0" w:color="auto"/>
            <w:bottom w:val="none" w:sz="0" w:space="0" w:color="auto"/>
            <w:right w:val="none" w:sz="0" w:space="0" w:color="auto"/>
          </w:divBdr>
        </w:div>
        <w:div w:id="345979460">
          <w:marLeft w:val="640"/>
          <w:marRight w:val="0"/>
          <w:marTop w:val="0"/>
          <w:marBottom w:val="0"/>
          <w:divBdr>
            <w:top w:val="none" w:sz="0" w:space="0" w:color="auto"/>
            <w:left w:val="none" w:sz="0" w:space="0" w:color="auto"/>
            <w:bottom w:val="none" w:sz="0" w:space="0" w:color="auto"/>
            <w:right w:val="none" w:sz="0" w:space="0" w:color="auto"/>
          </w:divBdr>
        </w:div>
        <w:div w:id="2104063944">
          <w:marLeft w:val="640"/>
          <w:marRight w:val="0"/>
          <w:marTop w:val="0"/>
          <w:marBottom w:val="0"/>
          <w:divBdr>
            <w:top w:val="none" w:sz="0" w:space="0" w:color="auto"/>
            <w:left w:val="none" w:sz="0" w:space="0" w:color="auto"/>
            <w:bottom w:val="none" w:sz="0" w:space="0" w:color="auto"/>
            <w:right w:val="none" w:sz="0" w:space="0" w:color="auto"/>
          </w:divBdr>
        </w:div>
        <w:div w:id="2058624528">
          <w:marLeft w:val="640"/>
          <w:marRight w:val="0"/>
          <w:marTop w:val="0"/>
          <w:marBottom w:val="0"/>
          <w:divBdr>
            <w:top w:val="none" w:sz="0" w:space="0" w:color="auto"/>
            <w:left w:val="none" w:sz="0" w:space="0" w:color="auto"/>
            <w:bottom w:val="none" w:sz="0" w:space="0" w:color="auto"/>
            <w:right w:val="none" w:sz="0" w:space="0" w:color="auto"/>
          </w:divBdr>
        </w:div>
        <w:div w:id="798959697">
          <w:marLeft w:val="640"/>
          <w:marRight w:val="0"/>
          <w:marTop w:val="0"/>
          <w:marBottom w:val="0"/>
          <w:divBdr>
            <w:top w:val="none" w:sz="0" w:space="0" w:color="auto"/>
            <w:left w:val="none" w:sz="0" w:space="0" w:color="auto"/>
            <w:bottom w:val="none" w:sz="0" w:space="0" w:color="auto"/>
            <w:right w:val="none" w:sz="0" w:space="0" w:color="auto"/>
          </w:divBdr>
        </w:div>
        <w:div w:id="2130540889">
          <w:marLeft w:val="640"/>
          <w:marRight w:val="0"/>
          <w:marTop w:val="0"/>
          <w:marBottom w:val="0"/>
          <w:divBdr>
            <w:top w:val="none" w:sz="0" w:space="0" w:color="auto"/>
            <w:left w:val="none" w:sz="0" w:space="0" w:color="auto"/>
            <w:bottom w:val="none" w:sz="0" w:space="0" w:color="auto"/>
            <w:right w:val="none" w:sz="0" w:space="0" w:color="auto"/>
          </w:divBdr>
        </w:div>
        <w:div w:id="500852231">
          <w:marLeft w:val="640"/>
          <w:marRight w:val="0"/>
          <w:marTop w:val="0"/>
          <w:marBottom w:val="0"/>
          <w:divBdr>
            <w:top w:val="none" w:sz="0" w:space="0" w:color="auto"/>
            <w:left w:val="none" w:sz="0" w:space="0" w:color="auto"/>
            <w:bottom w:val="none" w:sz="0" w:space="0" w:color="auto"/>
            <w:right w:val="none" w:sz="0" w:space="0" w:color="auto"/>
          </w:divBdr>
        </w:div>
        <w:div w:id="1028608183">
          <w:marLeft w:val="640"/>
          <w:marRight w:val="0"/>
          <w:marTop w:val="0"/>
          <w:marBottom w:val="0"/>
          <w:divBdr>
            <w:top w:val="none" w:sz="0" w:space="0" w:color="auto"/>
            <w:left w:val="none" w:sz="0" w:space="0" w:color="auto"/>
            <w:bottom w:val="none" w:sz="0" w:space="0" w:color="auto"/>
            <w:right w:val="none" w:sz="0" w:space="0" w:color="auto"/>
          </w:divBdr>
        </w:div>
        <w:div w:id="2053722832">
          <w:marLeft w:val="640"/>
          <w:marRight w:val="0"/>
          <w:marTop w:val="0"/>
          <w:marBottom w:val="0"/>
          <w:divBdr>
            <w:top w:val="none" w:sz="0" w:space="0" w:color="auto"/>
            <w:left w:val="none" w:sz="0" w:space="0" w:color="auto"/>
            <w:bottom w:val="none" w:sz="0" w:space="0" w:color="auto"/>
            <w:right w:val="none" w:sz="0" w:space="0" w:color="auto"/>
          </w:divBdr>
        </w:div>
        <w:div w:id="1396009172">
          <w:marLeft w:val="640"/>
          <w:marRight w:val="0"/>
          <w:marTop w:val="0"/>
          <w:marBottom w:val="0"/>
          <w:divBdr>
            <w:top w:val="none" w:sz="0" w:space="0" w:color="auto"/>
            <w:left w:val="none" w:sz="0" w:space="0" w:color="auto"/>
            <w:bottom w:val="none" w:sz="0" w:space="0" w:color="auto"/>
            <w:right w:val="none" w:sz="0" w:space="0" w:color="auto"/>
          </w:divBdr>
        </w:div>
        <w:div w:id="122962363">
          <w:marLeft w:val="640"/>
          <w:marRight w:val="0"/>
          <w:marTop w:val="0"/>
          <w:marBottom w:val="0"/>
          <w:divBdr>
            <w:top w:val="none" w:sz="0" w:space="0" w:color="auto"/>
            <w:left w:val="none" w:sz="0" w:space="0" w:color="auto"/>
            <w:bottom w:val="none" w:sz="0" w:space="0" w:color="auto"/>
            <w:right w:val="none" w:sz="0" w:space="0" w:color="auto"/>
          </w:divBdr>
        </w:div>
        <w:div w:id="354423407">
          <w:marLeft w:val="640"/>
          <w:marRight w:val="0"/>
          <w:marTop w:val="0"/>
          <w:marBottom w:val="0"/>
          <w:divBdr>
            <w:top w:val="none" w:sz="0" w:space="0" w:color="auto"/>
            <w:left w:val="none" w:sz="0" w:space="0" w:color="auto"/>
            <w:bottom w:val="none" w:sz="0" w:space="0" w:color="auto"/>
            <w:right w:val="none" w:sz="0" w:space="0" w:color="auto"/>
          </w:divBdr>
        </w:div>
        <w:div w:id="2055275483">
          <w:marLeft w:val="640"/>
          <w:marRight w:val="0"/>
          <w:marTop w:val="0"/>
          <w:marBottom w:val="0"/>
          <w:divBdr>
            <w:top w:val="none" w:sz="0" w:space="0" w:color="auto"/>
            <w:left w:val="none" w:sz="0" w:space="0" w:color="auto"/>
            <w:bottom w:val="none" w:sz="0" w:space="0" w:color="auto"/>
            <w:right w:val="none" w:sz="0" w:space="0" w:color="auto"/>
          </w:divBdr>
        </w:div>
        <w:div w:id="1041440985">
          <w:marLeft w:val="640"/>
          <w:marRight w:val="0"/>
          <w:marTop w:val="0"/>
          <w:marBottom w:val="0"/>
          <w:divBdr>
            <w:top w:val="none" w:sz="0" w:space="0" w:color="auto"/>
            <w:left w:val="none" w:sz="0" w:space="0" w:color="auto"/>
            <w:bottom w:val="none" w:sz="0" w:space="0" w:color="auto"/>
            <w:right w:val="none" w:sz="0" w:space="0" w:color="auto"/>
          </w:divBdr>
        </w:div>
        <w:div w:id="46733969">
          <w:marLeft w:val="640"/>
          <w:marRight w:val="0"/>
          <w:marTop w:val="0"/>
          <w:marBottom w:val="0"/>
          <w:divBdr>
            <w:top w:val="none" w:sz="0" w:space="0" w:color="auto"/>
            <w:left w:val="none" w:sz="0" w:space="0" w:color="auto"/>
            <w:bottom w:val="none" w:sz="0" w:space="0" w:color="auto"/>
            <w:right w:val="none" w:sz="0" w:space="0" w:color="auto"/>
          </w:divBdr>
        </w:div>
        <w:div w:id="1707026058">
          <w:marLeft w:val="640"/>
          <w:marRight w:val="0"/>
          <w:marTop w:val="0"/>
          <w:marBottom w:val="0"/>
          <w:divBdr>
            <w:top w:val="none" w:sz="0" w:space="0" w:color="auto"/>
            <w:left w:val="none" w:sz="0" w:space="0" w:color="auto"/>
            <w:bottom w:val="none" w:sz="0" w:space="0" w:color="auto"/>
            <w:right w:val="none" w:sz="0" w:space="0" w:color="auto"/>
          </w:divBdr>
        </w:div>
        <w:div w:id="1642731197">
          <w:marLeft w:val="640"/>
          <w:marRight w:val="0"/>
          <w:marTop w:val="0"/>
          <w:marBottom w:val="0"/>
          <w:divBdr>
            <w:top w:val="none" w:sz="0" w:space="0" w:color="auto"/>
            <w:left w:val="none" w:sz="0" w:space="0" w:color="auto"/>
            <w:bottom w:val="none" w:sz="0" w:space="0" w:color="auto"/>
            <w:right w:val="none" w:sz="0" w:space="0" w:color="auto"/>
          </w:divBdr>
        </w:div>
        <w:div w:id="759444285">
          <w:marLeft w:val="640"/>
          <w:marRight w:val="0"/>
          <w:marTop w:val="0"/>
          <w:marBottom w:val="0"/>
          <w:divBdr>
            <w:top w:val="none" w:sz="0" w:space="0" w:color="auto"/>
            <w:left w:val="none" w:sz="0" w:space="0" w:color="auto"/>
            <w:bottom w:val="none" w:sz="0" w:space="0" w:color="auto"/>
            <w:right w:val="none" w:sz="0" w:space="0" w:color="auto"/>
          </w:divBdr>
        </w:div>
        <w:div w:id="2055428039">
          <w:marLeft w:val="640"/>
          <w:marRight w:val="0"/>
          <w:marTop w:val="0"/>
          <w:marBottom w:val="0"/>
          <w:divBdr>
            <w:top w:val="none" w:sz="0" w:space="0" w:color="auto"/>
            <w:left w:val="none" w:sz="0" w:space="0" w:color="auto"/>
            <w:bottom w:val="none" w:sz="0" w:space="0" w:color="auto"/>
            <w:right w:val="none" w:sz="0" w:space="0" w:color="auto"/>
          </w:divBdr>
        </w:div>
        <w:div w:id="1064110078">
          <w:marLeft w:val="640"/>
          <w:marRight w:val="0"/>
          <w:marTop w:val="0"/>
          <w:marBottom w:val="0"/>
          <w:divBdr>
            <w:top w:val="none" w:sz="0" w:space="0" w:color="auto"/>
            <w:left w:val="none" w:sz="0" w:space="0" w:color="auto"/>
            <w:bottom w:val="none" w:sz="0" w:space="0" w:color="auto"/>
            <w:right w:val="none" w:sz="0" w:space="0" w:color="auto"/>
          </w:divBdr>
        </w:div>
        <w:div w:id="1507132132">
          <w:marLeft w:val="640"/>
          <w:marRight w:val="0"/>
          <w:marTop w:val="0"/>
          <w:marBottom w:val="0"/>
          <w:divBdr>
            <w:top w:val="none" w:sz="0" w:space="0" w:color="auto"/>
            <w:left w:val="none" w:sz="0" w:space="0" w:color="auto"/>
            <w:bottom w:val="none" w:sz="0" w:space="0" w:color="auto"/>
            <w:right w:val="none" w:sz="0" w:space="0" w:color="auto"/>
          </w:divBdr>
        </w:div>
        <w:div w:id="843520145">
          <w:marLeft w:val="640"/>
          <w:marRight w:val="0"/>
          <w:marTop w:val="0"/>
          <w:marBottom w:val="0"/>
          <w:divBdr>
            <w:top w:val="none" w:sz="0" w:space="0" w:color="auto"/>
            <w:left w:val="none" w:sz="0" w:space="0" w:color="auto"/>
            <w:bottom w:val="none" w:sz="0" w:space="0" w:color="auto"/>
            <w:right w:val="none" w:sz="0" w:space="0" w:color="auto"/>
          </w:divBdr>
        </w:div>
        <w:div w:id="140853674">
          <w:marLeft w:val="640"/>
          <w:marRight w:val="0"/>
          <w:marTop w:val="0"/>
          <w:marBottom w:val="0"/>
          <w:divBdr>
            <w:top w:val="none" w:sz="0" w:space="0" w:color="auto"/>
            <w:left w:val="none" w:sz="0" w:space="0" w:color="auto"/>
            <w:bottom w:val="none" w:sz="0" w:space="0" w:color="auto"/>
            <w:right w:val="none" w:sz="0" w:space="0" w:color="auto"/>
          </w:divBdr>
        </w:div>
        <w:div w:id="1671450502">
          <w:marLeft w:val="640"/>
          <w:marRight w:val="0"/>
          <w:marTop w:val="0"/>
          <w:marBottom w:val="0"/>
          <w:divBdr>
            <w:top w:val="none" w:sz="0" w:space="0" w:color="auto"/>
            <w:left w:val="none" w:sz="0" w:space="0" w:color="auto"/>
            <w:bottom w:val="none" w:sz="0" w:space="0" w:color="auto"/>
            <w:right w:val="none" w:sz="0" w:space="0" w:color="auto"/>
          </w:divBdr>
        </w:div>
        <w:div w:id="1473667829">
          <w:marLeft w:val="640"/>
          <w:marRight w:val="0"/>
          <w:marTop w:val="0"/>
          <w:marBottom w:val="0"/>
          <w:divBdr>
            <w:top w:val="none" w:sz="0" w:space="0" w:color="auto"/>
            <w:left w:val="none" w:sz="0" w:space="0" w:color="auto"/>
            <w:bottom w:val="none" w:sz="0" w:space="0" w:color="auto"/>
            <w:right w:val="none" w:sz="0" w:space="0" w:color="auto"/>
          </w:divBdr>
        </w:div>
        <w:div w:id="2030793157">
          <w:marLeft w:val="640"/>
          <w:marRight w:val="0"/>
          <w:marTop w:val="0"/>
          <w:marBottom w:val="0"/>
          <w:divBdr>
            <w:top w:val="none" w:sz="0" w:space="0" w:color="auto"/>
            <w:left w:val="none" w:sz="0" w:space="0" w:color="auto"/>
            <w:bottom w:val="none" w:sz="0" w:space="0" w:color="auto"/>
            <w:right w:val="none" w:sz="0" w:space="0" w:color="auto"/>
          </w:divBdr>
        </w:div>
        <w:div w:id="230309522">
          <w:marLeft w:val="640"/>
          <w:marRight w:val="0"/>
          <w:marTop w:val="0"/>
          <w:marBottom w:val="0"/>
          <w:divBdr>
            <w:top w:val="none" w:sz="0" w:space="0" w:color="auto"/>
            <w:left w:val="none" w:sz="0" w:space="0" w:color="auto"/>
            <w:bottom w:val="none" w:sz="0" w:space="0" w:color="auto"/>
            <w:right w:val="none" w:sz="0" w:space="0" w:color="auto"/>
          </w:divBdr>
        </w:div>
        <w:div w:id="532815560">
          <w:marLeft w:val="640"/>
          <w:marRight w:val="0"/>
          <w:marTop w:val="0"/>
          <w:marBottom w:val="0"/>
          <w:divBdr>
            <w:top w:val="none" w:sz="0" w:space="0" w:color="auto"/>
            <w:left w:val="none" w:sz="0" w:space="0" w:color="auto"/>
            <w:bottom w:val="none" w:sz="0" w:space="0" w:color="auto"/>
            <w:right w:val="none" w:sz="0" w:space="0" w:color="auto"/>
          </w:divBdr>
        </w:div>
        <w:div w:id="1679963028">
          <w:marLeft w:val="640"/>
          <w:marRight w:val="0"/>
          <w:marTop w:val="0"/>
          <w:marBottom w:val="0"/>
          <w:divBdr>
            <w:top w:val="none" w:sz="0" w:space="0" w:color="auto"/>
            <w:left w:val="none" w:sz="0" w:space="0" w:color="auto"/>
            <w:bottom w:val="none" w:sz="0" w:space="0" w:color="auto"/>
            <w:right w:val="none" w:sz="0" w:space="0" w:color="auto"/>
          </w:divBdr>
        </w:div>
        <w:div w:id="1161579486">
          <w:marLeft w:val="640"/>
          <w:marRight w:val="0"/>
          <w:marTop w:val="0"/>
          <w:marBottom w:val="0"/>
          <w:divBdr>
            <w:top w:val="none" w:sz="0" w:space="0" w:color="auto"/>
            <w:left w:val="none" w:sz="0" w:space="0" w:color="auto"/>
            <w:bottom w:val="none" w:sz="0" w:space="0" w:color="auto"/>
            <w:right w:val="none" w:sz="0" w:space="0" w:color="auto"/>
          </w:divBdr>
        </w:div>
        <w:div w:id="1508060545">
          <w:marLeft w:val="640"/>
          <w:marRight w:val="0"/>
          <w:marTop w:val="0"/>
          <w:marBottom w:val="0"/>
          <w:divBdr>
            <w:top w:val="none" w:sz="0" w:space="0" w:color="auto"/>
            <w:left w:val="none" w:sz="0" w:space="0" w:color="auto"/>
            <w:bottom w:val="none" w:sz="0" w:space="0" w:color="auto"/>
            <w:right w:val="none" w:sz="0" w:space="0" w:color="auto"/>
          </w:divBdr>
        </w:div>
        <w:div w:id="731003733">
          <w:marLeft w:val="640"/>
          <w:marRight w:val="0"/>
          <w:marTop w:val="0"/>
          <w:marBottom w:val="0"/>
          <w:divBdr>
            <w:top w:val="none" w:sz="0" w:space="0" w:color="auto"/>
            <w:left w:val="none" w:sz="0" w:space="0" w:color="auto"/>
            <w:bottom w:val="none" w:sz="0" w:space="0" w:color="auto"/>
            <w:right w:val="none" w:sz="0" w:space="0" w:color="auto"/>
          </w:divBdr>
        </w:div>
        <w:div w:id="232932213">
          <w:marLeft w:val="640"/>
          <w:marRight w:val="0"/>
          <w:marTop w:val="0"/>
          <w:marBottom w:val="0"/>
          <w:divBdr>
            <w:top w:val="none" w:sz="0" w:space="0" w:color="auto"/>
            <w:left w:val="none" w:sz="0" w:space="0" w:color="auto"/>
            <w:bottom w:val="none" w:sz="0" w:space="0" w:color="auto"/>
            <w:right w:val="none" w:sz="0" w:space="0" w:color="auto"/>
          </w:divBdr>
        </w:div>
        <w:div w:id="1984970418">
          <w:marLeft w:val="640"/>
          <w:marRight w:val="0"/>
          <w:marTop w:val="0"/>
          <w:marBottom w:val="0"/>
          <w:divBdr>
            <w:top w:val="none" w:sz="0" w:space="0" w:color="auto"/>
            <w:left w:val="none" w:sz="0" w:space="0" w:color="auto"/>
            <w:bottom w:val="none" w:sz="0" w:space="0" w:color="auto"/>
            <w:right w:val="none" w:sz="0" w:space="0" w:color="auto"/>
          </w:divBdr>
        </w:div>
        <w:div w:id="1933125413">
          <w:marLeft w:val="640"/>
          <w:marRight w:val="0"/>
          <w:marTop w:val="0"/>
          <w:marBottom w:val="0"/>
          <w:divBdr>
            <w:top w:val="none" w:sz="0" w:space="0" w:color="auto"/>
            <w:left w:val="none" w:sz="0" w:space="0" w:color="auto"/>
            <w:bottom w:val="none" w:sz="0" w:space="0" w:color="auto"/>
            <w:right w:val="none" w:sz="0" w:space="0" w:color="auto"/>
          </w:divBdr>
        </w:div>
        <w:div w:id="1029179965">
          <w:marLeft w:val="640"/>
          <w:marRight w:val="0"/>
          <w:marTop w:val="0"/>
          <w:marBottom w:val="0"/>
          <w:divBdr>
            <w:top w:val="none" w:sz="0" w:space="0" w:color="auto"/>
            <w:left w:val="none" w:sz="0" w:space="0" w:color="auto"/>
            <w:bottom w:val="none" w:sz="0" w:space="0" w:color="auto"/>
            <w:right w:val="none" w:sz="0" w:space="0" w:color="auto"/>
          </w:divBdr>
        </w:div>
        <w:div w:id="941570204">
          <w:marLeft w:val="640"/>
          <w:marRight w:val="0"/>
          <w:marTop w:val="0"/>
          <w:marBottom w:val="0"/>
          <w:divBdr>
            <w:top w:val="none" w:sz="0" w:space="0" w:color="auto"/>
            <w:left w:val="none" w:sz="0" w:space="0" w:color="auto"/>
            <w:bottom w:val="none" w:sz="0" w:space="0" w:color="auto"/>
            <w:right w:val="none" w:sz="0" w:space="0" w:color="auto"/>
          </w:divBdr>
        </w:div>
        <w:div w:id="1205407725">
          <w:marLeft w:val="640"/>
          <w:marRight w:val="0"/>
          <w:marTop w:val="0"/>
          <w:marBottom w:val="0"/>
          <w:divBdr>
            <w:top w:val="none" w:sz="0" w:space="0" w:color="auto"/>
            <w:left w:val="none" w:sz="0" w:space="0" w:color="auto"/>
            <w:bottom w:val="none" w:sz="0" w:space="0" w:color="auto"/>
            <w:right w:val="none" w:sz="0" w:space="0" w:color="auto"/>
          </w:divBdr>
        </w:div>
        <w:div w:id="1194802957">
          <w:marLeft w:val="640"/>
          <w:marRight w:val="0"/>
          <w:marTop w:val="0"/>
          <w:marBottom w:val="0"/>
          <w:divBdr>
            <w:top w:val="none" w:sz="0" w:space="0" w:color="auto"/>
            <w:left w:val="none" w:sz="0" w:space="0" w:color="auto"/>
            <w:bottom w:val="none" w:sz="0" w:space="0" w:color="auto"/>
            <w:right w:val="none" w:sz="0" w:space="0" w:color="auto"/>
          </w:divBdr>
        </w:div>
        <w:div w:id="1617446554">
          <w:marLeft w:val="640"/>
          <w:marRight w:val="0"/>
          <w:marTop w:val="0"/>
          <w:marBottom w:val="0"/>
          <w:divBdr>
            <w:top w:val="none" w:sz="0" w:space="0" w:color="auto"/>
            <w:left w:val="none" w:sz="0" w:space="0" w:color="auto"/>
            <w:bottom w:val="none" w:sz="0" w:space="0" w:color="auto"/>
            <w:right w:val="none" w:sz="0" w:space="0" w:color="auto"/>
          </w:divBdr>
        </w:div>
        <w:div w:id="384374502">
          <w:marLeft w:val="640"/>
          <w:marRight w:val="0"/>
          <w:marTop w:val="0"/>
          <w:marBottom w:val="0"/>
          <w:divBdr>
            <w:top w:val="none" w:sz="0" w:space="0" w:color="auto"/>
            <w:left w:val="none" w:sz="0" w:space="0" w:color="auto"/>
            <w:bottom w:val="none" w:sz="0" w:space="0" w:color="auto"/>
            <w:right w:val="none" w:sz="0" w:space="0" w:color="auto"/>
          </w:divBdr>
        </w:div>
        <w:div w:id="445776704">
          <w:marLeft w:val="640"/>
          <w:marRight w:val="0"/>
          <w:marTop w:val="0"/>
          <w:marBottom w:val="0"/>
          <w:divBdr>
            <w:top w:val="none" w:sz="0" w:space="0" w:color="auto"/>
            <w:left w:val="none" w:sz="0" w:space="0" w:color="auto"/>
            <w:bottom w:val="none" w:sz="0" w:space="0" w:color="auto"/>
            <w:right w:val="none" w:sz="0" w:space="0" w:color="auto"/>
          </w:divBdr>
        </w:div>
        <w:div w:id="456533866">
          <w:marLeft w:val="640"/>
          <w:marRight w:val="0"/>
          <w:marTop w:val="0"/>
          <w:marBottom w:val="0"/>
          <w:divBdr>
            <w:top w:val="none" w:sz="0" w:space="0" w:color="auto"/>
            <w:left w:val="none" w:sz="0" w:space="0" w:color="auto"/>
            <w:bottom w:val="none" w:sz="0" w:space="0" w:color="auto"/>
            <w:right w:val="none" w:sz="0" w:space="0" w:color="auto"/>
          </w:divBdr>
        </w:div>
        <w:div w:id="981420213">
          <w:marLeft w:val="640"/>
          <w:marRight w:val="0"/>
          <w:marTop w:val="0"/>
          <w:marBottom w:val="0"/>
          <w:divBdr>
            <w:top w:val="none" w:sz="0" w:space="0" w:color="auto"/>
            <w:left w:val="none" w:sz="0" w:space="0" w:color="auto"/>
            <w:bottom w:val="none" w:sz="0" w:space="0" w:color="auto"/>
            <w:right w:val="none" w:sz="0" w:space="0" w:color="auto"/>
          </w:divBdr>
        </w:div>
        <w:div w:id="175121284">
          <w:marLeft w:val="640"/>
          <w:marRight w:val="0"/>
          <w:marTop w:val="0"/>
          <w:marBottom w:val="0"/>
          <w:divBdr>
            <w:top w:val="none" w:sz="0" w:space="0" w:color="auto"/>
            <w:left w:val="none" w:sz="0" w:space="0" w:color="auto"/>
            <w:bottom w:val="none" w:sz="0" w:space="0" w:color="auto"/>
            <w:right w:val="none" w:sz="0" w:space="0" w:color="auto"/>
          </w:divBdr>
        </w:div>
        <w:div w:id="1494294371">
          <w:marLeft w:val="640"/>
          <w:marRight w:val="0"/>
          <w:marTop w:val="0"/>
          <w:marBottom w:val="0"/>
          <w:divBdr>
            <w:top w:val="none" w:sz="0" w:space="0" w:color="auto"/>
            <w:left w:val="none" w:sz="0" w:space="0" w:color="auto"/>
            <w:bottom w:val="none" w:sz="0" w:space="0" w:color="auto"/>
            <w:right w:val="none" w:sz="0" w:space="0" w:color="auto"/>
          </w:divBdr>
        </w:div>
        <w:div w:id="836384548">
          <w:marLeft w:val="640"/>
          <w:marRight w:val="0"/>
          <w:marTop w:val="0"/>
          <w:marBottom w:val="0"/>
          <w:divBdr>
            <w:top w:val="none" w:sz="0" w:space="0" w:color="auto"/>
            <w:left w:val="none" w:sz="0" w:space="0" w:color="auto"/>
            <w:bottom w:val="none" w:sz="0" w:space="0" w:color="auto"/>
            <w:right w:val="none" w:sz="0" w:space="0" w:color="auto"/>
          </w:divBdr>
        </w:div>
        <w:div w:id="273707930">
          <w:marLeft w:val="640"/>
          <w:marRight w:val="0"/>
          <w:marTop w:val="0"/>
          <w:marBottom w:val="0"/>
          <w:divBdr>
            <w:top w:val="none" w:sz="0" w:space="0" w:color="auto"/>
            <w:left w:val="none" w:sz="0" w:space="0" w:color="auto"/>
            <w:bottom w:val="none" w:sz="0" w:space="0" w:color="auto"/>
            <w:right w:val="none" w:sz="0" w:space="0" w:color="auto"/>
          </w:divBdr>
        </w:div>
        <w:div w:id="1043602245">
          <w:marLeft w:val="640"/>
          <w:marRight w:val="0"/>
          <w:marTop w:val="0"/>
          <w:marBottom w:val="0"/>
          <w:divBdr>
            <w:top w:val="none" w:sz="0" w:space="0" w:color="auto"/>
            <w:left w:val="none" w:sz="0" w:space="0" w:color="auto"/>
            <w:bottom w:val="none" w:sz="0" w:space="0" w:color="auto"/>
            <w:right w:val="none" w:sz="0" w:space="0" w:color="auto"/>
          </w:divBdr>
        </w:div>
        <w:div w:id="1419133753">
          <w:marLeft w:val="640"/>
          <w:marRight w:val="0"/>
          <w:marTop w:val="0"/>
          <w:marBottom w:val="0"/>
          <w:divBdr>
            <w:top w:val="none" w:sz="0" w:space="0" w:color="auto"/>
            <w:left w:val="none" w:sz="0" w:space="0" w:color="auto"/>
            <w:bottom w:val="none" w:sz="0" w:space="0" w:color="auto"/>
            <w:right w:val="none" w:sz="0" w:space="0" w:color="auto"/>
          </w:divBdr>
        </w:div>
        <w:div w:id="2141485240">
          <w:marLeft w:val="640"/>
          <w:marRight w:val="0"/>
          <w:marTop w:val="0"/>
          <w:marBottom w:val="0"/>
          <w:divBdr>
            <w:top w:val="none" w:sz="0" w:space="0" w:color="auto"/>
            <w:left w:val="none" w:sz="0" w:space="0" w:color="auto"/>
            <w:bottom w:val="none" w:sz="0" w:space="0" w:color="auto"/>
            <w:right w:val="none" w:sz="0" w:space="0" w:color="auto"/>
          </w:divBdr>
        </w:div>
        <w:div w:id="1681278139">
          <w:marLeft w:val="640"/>
          <w:marRight w:val="0"/>
          <w:marTop w:val="0"/>
          <w:marBottom w:val="0"/>
          <w:divBdr>
            <w:top w:val="none" w:sz="0" w:space="0" w:color="auto"/>
            <w:left w:val="none" w:sz="0" w:space="0" w:color="auto"/>
            <w:bottom w:val="none" w:sz="0" w:space="0" w:color="auto"/>
            <w:right w:val="none" w:sz="0" w:space="0" w:color="auto"/>
          </w:divBdr>
        </w:div>
        <w:div w:id="2043507122">
          <w:marLeft w:val="640"/>
          <w:marRight w:val="0"/>
          <w:marTop w:val="0"/>
          <w:marBottom w:val="0"/>
          <w:divBdr>
            <w:top w:val="none" w:sz="0" w:space="0" w:color="auto"/>
            <w:left w:val="none" w:sz="0" w:space="0" w:color="auto"/>
            <w:bottom w:val="none" w:sz="0" w:space="0" w:color="auto"/>
            <w:right w:val="none" w:sz="0" w:space="0" w:color="auto"/>
          </w:divBdr>
        </w:div>
        <w:div w:id="1274678548">
          <w:marLeft w:val="640"/>
          <w:marRight w:val="0"/>
          <w:marTop w:val="0"/>
          <w:marBottom w:val="0"/>
          <w:divBdr>
            <w:top w:val="none" w:sz="0" w:space="0" w:color="auto"/>
            <w:left w:val="none" w:sz="0" w:space="0" w:color="auto"/>
            <w:bottom w:val="none" w:sz="0" w:space="0" w:color="auto"/>
            <w:right w:val="none" w:sz="0" w:space="0" w:color="auto"/>
          </w:divBdr>
        </w:div>
        <w:div w:id="951206914">
          <w:marLeft w:val="640"/>
          <w:marRight w:val="0"/>
          <w:marTop w:val="0"/>
          <w:marBottom w:val="0"/>
          <w:divBdr>
            <w:top w:val="none" w:sz="0" w:space="0" w:color="auto"/>
            <w:left w:val="none" w:sz="0" w:space="0" w:color="auto"/>
            <w:bottom w:val="none" w:sz="0" w:space="0" w:color="auto"/>
            <w:right w:val="none" w:sz="0" w:space="0" w:color="auto"/>
          </w:divBdr>
        </w:div>
        <w:div w:id="1221867939">
          <w:marLeft w:val="640"/>
          <w:marRight w:val="0"/>
          <w:marTop w:val="0"/>
          <w:marBottom w:val="0"/>
          <w:divBdr>
            <w:top w:val="none" w:sz="0" w:space="0" w:color="auto"/>
            <w:left w:val="none" w:sz="0" w:space="0" w:color="auto"/>
            <w:bottom w:val="none" w:sz="0" w:space="0" w:color="auto"/>
            <w:right w:val="none" w:sz="0" w:space="0" w:color="auto"/>
          </w:divBdr>
        </w:div>
        <w:div w:id="722221377">
          <w:marLeft w:val="640"/>
          <w:marRight w:val="0"/>
          <w:marTop w:val="0"/>
          <w:marBottom w:val="0"/>
          <w:divBdr>
            <w:top w:val="none" w:sz="0" w:space="0" w:color="auto"/>
            <w:left w:val="none" w:sz="0" w:space="0" w:color="auto"/>
            <w:bottom w:val="none" w:sz="0" w:space="0" w:color="auto"/>
            <w:right w:val="none" w:sz="0" w:space="0" w:color="auto"/>
          </w:divBdr>
        </w:div>
        <w:div w:id="893394416">
          <w:marLeft w:val="640"/>
          <w:marRight w:val="0"/>
          <w:marTop w:val="0"/>
          <w:marBottom w:val="0"/>
          <w:divBdr>
            <w:top w:val="none" w:sz="0" w:space="0" w:color="auto"/>
            <w:left w:val="none" w:sz="0" w:space="0" w:color="auto"/>
            <w:bottom w:val="none" w:sz="0" w:space="0" w:color="auto"/>
            <w:right w:val="none" w:sz="0" w:space="0" w:color="auto"/>
          </w:divBdr>
        </w:div>
        <w:div w:id="171341436">
          <w:marLeft w:val="640"/>
          <w:marRight w:val="0"/>
          <w:marTop w:val="0"/>
          <w:marBottom w:val="0"/>
          <w:divBdr>
            <w:top w:val="none" w:sz="0" w:space="0" w:color="auto"/>
            <w:left w:val="none" w:sz="0" w:space="0" w:color="auto"/>
            <w:bottom w:val="none" w:sz="0" w:space="0" w:color="auto"/>
            <w:right w:val="none" w:sz="0" w:space="0" w:color="auto"/>
          </w:divBdr>
        </w:div>
        <w:div w:id="254438738">
          <w:marLeft w:val="640"/>
          <w:marRight w:val="0"/>
          <w:marTop w:val="0"/>
          <w:marBottom w:val="0"/>
          <w:divBdr>
            <w:top w:val="none" w:sz="0" w:space="0" w:color="auto"/>
            <w:left w:val="none" w:sz="0" w:space="0" w:color="auto"/>
            <w:bottom w:val="none" w:sz="0" w:space="0" w:color="auto"/>
            <w:right w:val="none" w:sz="0" w:space="0" w:color="auto"/>
          </w:divBdr>
        </w:div>
        <w:div w:id="487674969">
          <w:marLeft w:val="640"/>
          <w:marRight w:val="0"/>
          <w:marTop w:val="0"/>
          <w:marBottom w:val="0"/>
          <w:divBdr>
            <w:top w:val="none" w:sz="0" w:space="0" w:color="auto"/>
            <w:left w:val="none" w:sz="0" w:space="0" w:color="auto"/>
            <w:bottom w:val="none" w:sz="0" w:space="0" w:color="auto"/>
            <w:right w:val="none" w:sz="0" w:space="0" w:color="auto"/>
          </w:divBdr>
        </w:div>
        <w:div w:id="15664207">
          <w:marLeft w:val="640"/>
          <w:marRight w:val="0"/>
          <w:marTop w:val="0"/>
          <w:marBottom w:val="0"/>
          <w:divBdr>
            <w:top w:val="none" w:sz="0" w:space="0" w:color="auto"/>
            <w:left w:val="none" w:sz="0" w:space="0" w:color="auto"/>
            <w:bottom w:val="none" w:sz="0" w:space="0" w:color="auto"/>
            <w:right w:val="none" w:sz="0" w:space="0" w:color="auto"/>
          </w:divBdr>
        </w:div>
        <w:div w:id="901675379">
          <w:marLeft w:val="640"/>
          <w:marRight w:val="0"/>
          <w:marTop w:val="0"/>
          <w:marBottom w:val="0"/>
          <w:divBdr>
            <w:top w:val="none" w:sz="0" w:space="0" w:color="auto"/>
            <w:left w:val="none" w:sz="0" w:space="0" w:color="auto"/>
            <w:bottom w:val="none" w:sz="0" w:space="0" w:color="auto"/>
            <w:right w:val="none" w:sz="0" w:space="0" w:color="auto"/>
          </w:divBdr>
        </w:div>
        <w:div w:id="1200631226">
          <w:marLeft w:val="640"/>
          <w:marRight w:val="0"/>
          <w:marTop w:val="0"/>
          <w:marBottom w:val="0"/>
          <w:divBdr>
            <w:top w:val="none" w:sz="0" w:space="0" w:color="auto"/>
            <w:left w:val="none" w:sz="0" w:space="0" w:color="auto"/>
            <w:bottom w:val="none" w:sz="0" w:space="0" w:color="auto"/>
            <w:right w:val="none" w:sz="0" w:space="0" w:color="auto"/>
          </w:divBdr>
        </w:div>
        <w:div w:id="1401173378">
          <w:marLeft w:val="640"/>
          <w:marRight w:val="0"/>
          <w:marTop w:val="0"/>
          <w:marBottom w:val="0"/>
          <w:divBdr>
            <w:top w:val="none" w:sz="0" w:space="0" w:color="auto"/>
            <w:left w:val="none" w:sz="0" w:space="0" w:color="auto"/>
            <w:bottom w:val="none" w:sz="0" w:space="0" w:color="auto"/>
            <w:right w:val="none" w:sz="0" w:space="0" w:color="auto"/>
          </w:divBdr>
        </w:div>
        <w:div w:id="1797916922">
          <w:marLeft w:val="640"/>
          <w:marRight w:val="0"/>
          <w:marTop w:val="0"/>
          <w:marBottom w:val="0"/>
          <w:divBdr>
            <w:top w:val="none" w:sz="0" w:space="0" w:color="auto"/>
            <w:left w:val="none" w:sz="0" w:space="0" w:color="auto"/>
            <w:bottom w:val="none" w:sz="0" w:space="0" w:color="auto"/>
            <w:right w:val="none" w:sz="0" w:space="0" w:color="auto"/>
          </w:divBdr>
        </w:div>
        <w:div w:id="1195000335">
          <w:marLeft w:val="640"/>
          <w:marRight w:val="0"/>
          <w:marTop w:val="0"/>
          <w:marBottom w:val="0"/>
          <w:divBdr>
            <w:top w:val="none" w:sz="0" w:space="0" w:color="auto"/>
            <w:left w:val="none" w:sz="0" w:space="0" w:color="auto"/>
            <w:bottom w:val="none" w:sz="0" w:space="0" w:color="auto"/>
            <w:right w:val="none" w:sz="0" w:space="0" w:color="auto"/>
          </w:divBdr>
        </w:div>
        <w:div w:id="825782473">
          <w:marLeft w:val="640"/>
          <w:marRight w:val="0"/>
          <w:marTop w:val="0"/>
          <w:marBottom w:val="0"/>
          <w:divBdr>
            <w:top w:val="none" w:sz="0" w:space="0" w:color="auto"/>
            <w:left w:val="none" w:sz="0" w:space="0" w:color="auto"/>
            <w:bottom w:val="none" w:sz="0" w:space="0" w:color="auto"/>
            <w:right w:val="none" w:sz="0" w:space="0" w:color="auto"/>
          </w:divBdr>
        </w:div>
        <w:div w:id="1981382624">
          <w:marLeft w:val="640"/>
          <w:marRight w:val="0"/>
          <w:marTop w:val="0"/>
          <w:marBottom w:val="0"/>
          <w:divBdr>
            <w:top w:val="none" w:sz="0" w:space="0" w:color="auto"/>
            <w:left w:val="none" w:sz="0" w:space="0" w:color="auto"/>
            <w:bottom w:val="none" w:sz="0" w:space="0" w:color="auto"/>
            <w:right w:val="none" w:sz="0" w:space="0" w:color="auto"/>
          </w:divBdr>
        </w:div>
        <w:div w:id="744953084">
          <w:marLeft w:val="640"/>
          <w:marRight w:val="0"/>
          <w:marTop w:val="0"/>
          <w:marBottom w:val="0"/>
          <w:divBdr>
            <w:top w:val="none" w:sz="0" w:space="0" w:color="auto"/>
            <w:left w:val="none" w:sz="0" w:space="0" w:color="auto"/>
            <w:bottom w:val="none" w:sz="0" w:space="0" w:color="auto"/>
            <w:right w:val="none" w:sz="0" w:space="0" w:color="auto"/>
          </w:divBdr>
        </w:div>
        <w:div w:id="138036861">
          <w:marLeft w:val="640"/>
          <w:marRight w:val="0"/>
          <w:marTop w:val="0"/>
          <w:marBottom w:val="0"/>
          <w:divBdr>
            <w:top w:val="none" w:sz="0" w:space="0" w:color="auto"/>
            <w:left w:val="none" w:sz="0" w:space="0" w:color="auto"/>
            <w:bottom w:val="none" w:sz="0" w:space="0" w:color="auto"/>
            <w:right w:val="none" w:sz="0" w:space="0" w:color="auto"/>
          </w:divBdr>
        </w:div>
        <w:div w:id="1306161464">
          <w:marLeft w:val="640"/>
          <w:marRight w:val="0"/>
          <w:marTop w:val="0"/>
          <w:marBottom w:val="0"/>
          <w:divBdr>
            <w:top w:val="none" w:sz="0" w:space="0" w:color="auto"/>
            <w:left w:val="none" w:sz="0" w:space="0" w:color="auto"/>
            <w:bottom w:val="none" w:sz="0" w:space="0" w:color="auto"/>
            <w:right w:val="none" w:sz="0" w:space="0" w:color="auto"/>
          </w:divBdr>
        </w:div>
        <w:div w:id="117799565">
          <w:marLeft w:val="640"/>
          <w:marRight w:val="0"/>
          <w:marTop w:val="0"/>
          <w:marBottom w:val="0"/>
          <w:divBdr>
            <w:top w:val="none" w:sz="0" w:space="0" w:color="auto"/>
            <w:left w:val="none" w:sz="0" w:space="0" w:color="auto"/>
            <w:bottom w:val="none" w:sz="0" w:space="0" w:color="auto"/>
            <w:right w:val="none" w:sz="0" w:space="0" w:color="auto"/>
          </w:divBdr>
        </w:div>
        <w:div w:id="1658999214">
          <w:marLeft w:val="640"/>
          <w:marRight w:val="0"/>
          <w:marTop w:val="0"/>
          <w:marBottom w:val="0"/>
          <w:divBdr>
            <w:top w:val="none" w:sz="0" w:space="0" w:color="auto"/>
            <w:left w:val="none" w:sz="0" w:space="0" w:color="auto"/>
            <w:bottom w:val="none" w:sz="0" w:space="0" w:color="auto"/>
            <w:right w:val="none" w:sz="0" w:space="0" w:color="auto"/>
          </w:divBdr>
        </w:div>
        <w:div w:id="52430390">
          <w:marLeft w:val="640"/>
          <w:marRight w:val="0"/>
          <w:marTop w:val="0"/>
          <w:marBottom w:val="0"/>
          <w:divBdr>
            <w:top w:val="none" w:sz="0" w:space="0" w:color="auto"/>
            <w:left w:val="none" w:sz="0" w:space="0" w:color="auto"/>
            <w:bottom w:val="none" w:sz="0" w:space="0" w:color="auto"/>
            <w:right w:val="none" w:sz="0" w:space="0" w:color="auto"/>
          </w:divBdr>
        </w:div>
        <w:div w:id="308637300">
          <w:marLeft w:val="640"/>
          <w:marRight w:val="0"/>
          <w:marTop w:val="0"/>
          <w:marBottom w:val="0"/>
          <w:divBdr>
            <w:top w:val="none" w:sz="0" w:space="0" w:color="auto"/>
            <w:left w:val="none" w:sz="0" w:space="0" w:color="auto"/>
            <w:bottom w:val="none" w:sz="0" w:space="0" w:color="auto"/>
            <w:right w:val="none" w:sz="0" w:space="0" w:color="auto"/>
          </w:divBdr>
        </w:div>
        <w:div w:id="1803616461">
          <w:marLeft w:val="640"/>
          <w:marRight w:val="0"/>
          <w:marTop w:val="0"/>
          <w:marBottom w:val="0"/>
          <w:divBdr>
            <w:top w:val="none" w:sz="0" w:space="0" w:color="auto"/>
            <w:left w:val="none" w:sz="0" w:space="0" w:color="auto"/>
            <w:bottom w:val="none" w:sz="0" w:space="0" w:color="auto"/>
            <w:right w:val="none" w:sz="0" w:space="0" w:color="auto"/>
          </w:divBdr>
        </w:div>
        <w:div w:id="2073696392">
          <w:marLeft w:val="640"/>
          <w:marRight w:val="0"/>
          <w:marTop w:val="0"/>
          <w:marBottom w:val="0"/>
          <w:divBdr>
            <w:top w:val="none" w:sz="0" w:space="0" w:color="auto"/>
            <w:left w:val="none" w:sz="0" w:space="0" w:color="auto"/>
            <w:bottom w:val="none" w:sz="0" w:space="0" w:color="auto"/>
            <w:right w:val="none" w:sz="0" w:space="0" w:color="auto"/>
          </w:divBdr>
        </w:div>
        <w:div w:id="1560049741">
          <w:marLeft w:val="640"/>
          <w:marRight w:val="0"/>
          <w:marTop w:val="0"/>
          <w:marBottom w:val="0"/>
          <w:divBdr>
            <w:top w:val="none" w:sz="0" w:space="0" w:color="auto"/>
            <w:left w:val="none" w:sz="0" w:space="0" w:color="auto"/>
            <w:bottom w:val="none" w:sz="0" w:space="0" w:color="auto"/>
            <w:right w:val="none" w:sz="0" w:space="0" w:color="auto"/>
          </w:divBdr>
        </w:div>
        <w:div w:id="1645886331">
          <w:marLeft w:val="640"/>
          <w:marRight w:val="0"/>
          <w:marTop w:val="0"/>
          <w:marBottom w:val="0"/>
          <w:divBdr>
            <w:top w:val="none" w:sz="0" w:space="0" w:color="auto"/>
            <w:left w:val="none" w:sz="0" w:space="0" w:color="auto"/>
            <w:bottom w:val="none" w:sz="0" w:space="0" w:color="auto"/>
            <w:right w:val="none" w:sz="0" w:space="0" w:color="auto"/>
          </w:divBdr>
        </w:div>
        <w:div w:id="2021618933">
          <w:marLeft w:val="640"/>
          <w:marRight w:val="0"/>
          <w:marTop w:val="0"/>
          <w:marBottom w:val="0"/>
          <w:divBdr>
            <w:top w:val="none" w:sz="0" w:space="0" w:color="auto"/>
            <w:left w:val="none" w:sz="0" w:space="0" w:color="auto"/>
            <w:bottom w:val="none" w:sz="0" w:space="0" w:color="auto"/>
            <w:right w:val="none" w:sz="0" w:space="0" w:color="auto"/>
          </w:divBdr>
        </w:div>
        <w:div w:id="737170815">
          <w:marLeft w:val="640"/>
          <w:marRight w:val="0"/>
          <w:marTop w:val="0"/>
          <w:marBottom w:val="0"/>
          <w:divBdr>
            <w:top w:val="none" w:sz="0" w:space="0" w:color="auto"/>
            <w:left w:val="none" w:sz="0" w:space="0" w:color="auto"/>
            <w:bottom w:val="none" w:sz="0" w:space="0" w:color="auto"/>
            <w:right w:val="none" w:sz="0" w:space="0" w:color="auto"/>
          </w:divBdr>
        </w:div>
        <w:div w:id="1102797071">
          <w:marLeft w:val="640"/>
          <w:marRight w:val="0"/>
          <w:marTop w:val="0"/>
          <w:marBottom w:val="0"/>
          <w:divBdr>
            <w:top w:val="none" w:sz="0" w:space="0" w:color="auto"/>
            <w:left w:val="none" w:sz="0" w:space="0" w:color="auto"/>
            <w:bottom w:val="none" w:sz="0" w:space="0" w:color="auto"/>
            <w:right w:val="none" w:sz="0" w:space="0" w:color="auto"/>
          </w:divBdr>
        </w:div>
        <w:div w:id="227616760">
          <w:marLeft w:val="640"/>
          <w:marRight w:val="0"/>
          <w:marTop w:val="0"/>
          <w:marBottom w:val="0"/>
          <w:divBdr>
            <w:top w:val="none" w:sz="0" w:space="0" w:color="auto"/>
            <w:left w:val="none" w:sz="0" w:space="0" w:color="auto"/>
            <w:bottom w:val="none" w:sz="0" w:space="0" w:color="auto"/>
            <w:right w:val="none" w:sz="0" w:space="0" w:color="auto"/>
          </w:divBdr>
        </w:div>
        <w:div w:id="223293254">
          <w:marLeft w:val="640"/>
          <w:marRight w:val="0"/>
          <w:marTop w:val="0"/>
          <w:marBottom w:val="0"/>
          <w:divBdr>
            <w:top w:val="none" w:sz="0" w:space="0" w:color="auto"/>
            <w:left w:val="none" w:sz="0" w:space="0" w:color="auto"/>
            <w:bottom w:val="none" w:sz="0" w:space="0" w:color="auto"/>
            <w:right w:val="none" w:sz="0" w:space="0" w:color="auto"/>
          </w:divBdr>
        </w:div>
        <w:div w:id="729815439">
          <w:marLeft w:val="640"/>
          <w:marRight w:val="0"/>
          <w:marTop w:val="0"/>
          <w:marBottom w:val="0"/>
          <w:divBdr>
            <w:top w:val="none" w:sz="0" w:space="0" w:color="auto"/>
            <w:left w:val="none" w:sz="0" w:space="0" w:color="auto"/>
            <w:bottom w:val="none" w:sz="0" w:space="0" w:color="auto"/>
            <w:right w:val="none" w:sz="0" w:space="0" w:color="auto"/>
          </w:divBdr>
        </w:div>
        <w:div w:id="1604917627">
          <w:marLeft w:val="640"/>
          <w:marRight w:val="0"/>
          <w:marTop w:val="0"/>
          <w:marBottom w:val="0"/>
          <w:divBdr>
            <w:top w:val="none" w:sz="0" w:space="0" w:color="auto"/>
            <w:left w:val="none" w:sz="0" w:space="0" w:color="auto"/>
            <w:bottom w:val="none" w:sz="0" w:space="0" w:color="auto"/>
            <w:right w:val="none" w:sz="0" w:space="0" w:color="auto"/>
          </w:divBdr>
        </w:div>
        <w:div w:id="303002067">
          <w:marLeft w:val="640"/>
          <w:marRight w:val="0"/>
          <w:marTop w:val="0"/>
          <w:marBottom w:val="0"/>
          <w:divBdr>
            <w:top w:val="none" w:sz="0" w:space="0" w:color="auto"/>
            <w:left w:val="none" w:sz="0" w:space="0" w:color="auto"/>
            <w:bottom w:val="none" w:sz="0" w:space="0" w:color="auto"/>
            <w:right w:val="none" w:sz="0" w:space="0" w:color="auto"/>
          </w:divBdr>
        </w:div>
        <w:div w:id="1107893047">
          <w:marLeft w:val="640"/>
          <w:marRight w:val="0"/>
          <w:marTop w:val="0"/>
          <w:marBottom w:val="0"/>
          <w:divBdr>
            <w:top w:val="none" w:sz="0" w:space="0" w:color="auto"/>
            <w:left w:val="none" w:sz="0" w:space="0" w:color="auto"/>
            <w:bottom w:val="none" w:sz="0" w:space="0" w:color="auto"/>
            <w:right w:val="none" w:sz="0" w:space="0" w:color="auto"/>
          </w:divBdr>
        </w:div>
        <w:div w:id="175770733">
          <w:marLeft w:val="640"/>
          <w:marRight w:val="0"/>
          <w:marTop w:val="0"/>
          <w:marBottom w:val="0"/>
          <w:divBdr>
            <w:top w:val="none" w:sz="0" w:space="0" w:color="auto"/>
            <w:left w:val="none" w:sz="0" w:space="0" w:color="auto"/>
            <w:bottom w:val="none" w:sz="0" w:space="0" w:color="auto"/>
            <w:right w:val="none" w:sz="0" w:space="0" w:color="auto"/>
          </w:divBdr>
        </w:div>
        <w:div w:id="485512096">
          <w:marLeft w:val="640"/>
          <w:marRight w:val="0"/>
          <w:marTop w:val="0"/>
          <w:marBottom w:val="0"/>
          <w:divBdr>
            <w:top w:val="none" w:sz="0" w:space="0" w:color="auto"/>
            <w:left w:val="none" w:sz="0" w:space="0" w:color="auto"/>
            <w:bottom w:val="none" w:sz="0" w:space="0" w:color="auto"/>
            <w:right w:val="none" w:sz="0" w:space="0" w:color="auto"/>
          </w:divBdr>
        </w:div>
        <w:div w:id="1685790499">
          <w:marLeft w:val="640"/>
          <w:marRight w:val="0"/>
          <w:marTop w:val="0"/>
          <w:marBottom w:val="0"/>
          <w:divBdr>
            <w:top w:val="none" w:sz="0" w:space="0" w:color="auto"/>
            <w:left w:val="none" w:sz="0" w:space="0" w:color="auto"/>
            <w:bottom w:val="none" w:sz="0" w:space="0" w:color="auto"/>
            <w:right w:val="none" w:sz="0" w:space="0" w:color="auto"/>
          </w:divBdr>
        </w:div>
        <w:div w:id="1715811250">
          <w:marLeft w:val="640"/>
          <w:marRight w:val="0"/>
          <w:marTop w:val="0"/>
          <w:marBottom w:val="0"/>
          <w:divBdr>
            <w:top w:val="none" w:sz="0" w:space="0" w:color="auto"/>
            <w:left w:val="none" w:sz="0" w:space="0" w:color="auto"/>
            <w:bottom w:val="none" w:sz="0" w:space="0" w:color="auto"/>
            <w:right w:val="none" w:sz="0" w:space="0" w:color="auto"/>
          </w:divBdr>
        </w:div>
        <w:div w:id="353657338">
          <w:marLeft w:val="640"/>
          <w:marRight w:val="0"/>
          <w:marTop w:val="0"/>
          <w:marBottom w:val="0"/>
          <w:divBdr>
            <w:top w:val="none" w:sz="0" w:space="0" w:color="auto"/>
            <w:left w:val="none" w:sz="0" w:space="0" w:color="auto"/>
            <w:bottom w:val="none" w:sz="0" w:space="0" w:color="auto"/>
            <w:right w:val="none" w:sz="0" w:space="0" w:color="auto"/>
          </w:divBdr>
        </w:div>
        <w:div w:id="450324518">
          <w:marLeft w:val="640"/>
          <w:marRight w:val="0"/>
          <w:marTop w:val="0"/>
          <w:marBottom w:val="0"/>
          <w:divBdr>
            <w:top w:val="none" w:sz="0" w:space="0" w:color="auto"/>
            <w:left w:val="none" w:sz="0" w:space="0" w:color="auto"/>
            <w:bottom w:val="none" w:sz="0" w:space="0" w:color="auto"/>
            <w:right w:val="none" w:sz="0" w:space="0" w:color="auto"/>
          </w:divBdr>
        </w:div>
        <w:div w:id="1260604634">
          <w:marLeft w:val="640"/>
          <w:marRight w:val="0"/>
          <w:marTop w:val="0"/>
          <w:marBottom w:val="0"/>
          <w:divBdr>
            <w:top w:val="none" w:sz="0" w:space="0" w:color="auto"/>
            <w:left w:val="none" w:sz="0" w:space="0" w:color="auto"/>
            <w:bottom w:val="none" w:sz="0" w:space="0" w:color="auto"/>
            <w:right w:val="none" w:sz="0" w:space="0" w:color="auto"/>
          </w:divBdr>
        </w:div>
        <w:div w:id="1159228997">
          <w:marLeft w:val="640"/>
          <w:marRight w:val="0"/>
          <w:marTop w:val="0"/>
          <w:marBottom w:val="0"/>
          <w:divBdr>
            <w:top w:val="none" w:sz="0" w:space="0" w:color="auto"/>
            <w:left w:val="none" w:sz="0" w:space="0" w:color="auto"/>
            <w:bottom w:val="none" w:sz="0" w:space="0" w:color="auto"/>
            <w:right w:val="none" w:sz="0" w:space="0" w:color="auto"/>
          </w:divBdr>
        </w:div>
        <w:div w:id="585849067">
          <w:marLeft w:val="640"/>
          <w:marRight w:val="0"/>
          <w:marTop w:val="0"/>
          <w:marBottom w:val="0"/>
          <w:divBdr>
            <w:top w:val="none" w:sz="0" w:space="0" w:color="auto"/>
            <w:left w:val="none" w:sz="0" w:space="0" w:color="auto"/>
            <w:bottom w:val="none" w:sz="0" w:space="0" w:color="auto"/>
            <w:right w:val="none" w:sz="0" w:space="0" w:color="auto"/>
          </w:divBdr>
        </w:div>
        <w:div w:id="70274141">
          <w:marLeft w:val="640"/>
          <w:marRight w:val="0"/>
          <w:marTop w:val="0"/>
          <w:marBottom w:val="0"/>
          <w:divBdr>
            <w:top w:val="none" w:sz="0" w:space="0" w:color="auto"/>
            <w:left w:val="none" w:sz="0" w:space="0" w:color="auto"/>
            <w:bottom w:val="none" w:sz="0" w:space="0" w:color="auto"/>
            <w:right w:val="none" w:sz="0" w:space="0" w:color="auto"/>
          </w:divBdr>
        </w:div>
        <w:div w:id="732704028">
          <w:marLeft w:val="640"/>
          <w:marRight w:val="0"/>
          <w:marTop w:val="0"/>
          <w:marBottom w:val="0"/>
          <w:divBdr>
            <w:top w:val="none" w:sz="0" w:space="0" w:color="auto"/>
            <w:left w:val="none" w:sz="0" w:space="0" w:color="auto"/>
            <w:bottom w:val="none" w:sz="0" w:space="0" w:color="auto"/>
            <w:right w:val="none" w:sz="0" w:space="0" w:color="auto"/>
          </w:divBdr>
        </w:div>
        <w:div w:id="528446362">
          <w:marLeft w:val="640"/>
          <w:marRight w:val="0"/>
          <w:marTop w:val="0"/>
          <w:marBottom w:val="0"/>
          <w:divBdr>
            <w:top w:val="none" w:sz="0" w:space="0" w:color="auto"/>
            <w:left w:val="none" w:sz="0" w:space="0" w:color="auto"/>
            <w:bottom w:val="none" w:sz="0" w:space="0" w:color="auto"/>
            <w:right w:val="none" w:sz="0" w:space="0" w:color="auto"/>
          </w:divBdr>
        </w:div>
        <w:div w:id="1047146724">
          <w:marLeft w:val="640"/>
          <w:marRight w:val="0"/>
          <w:marTop w:val="0"/>
          <w:marBottom w:val="0"/>
          <w:divBdr>
            <w:top w:val="none" w:sz="0" w:space="0" w:color="auto"/>
            <w:left w:val="none" w:sz="0" w:space="0" w:color="auto"/>
            <w:bottom w:val="none" w:sz="0" w:space="0" w:color="auto"/>
            <w:right w:val="none" w:sz="0" w:space="0" w:color="auto"/>
          </w:divBdr>
        </w:div>
        <w:div w:id="1644582963">
          <w:marLeft w:val="640"/>
          <w:marRight w:val="0"/>
          <w:marTop w:val="0"/>
          <w:marBottom w:val="0"/>
          <w:divBdr>
            <w:top w:val="none" w:sz="0" w:space="0" w:color="auto"/>
            <w:left w:val="none" w:sz="0" w:space="0" w:color="auto"/>
            <w:bottom w:val="none" w:sz="0" w:space="0" w:color="auto"/>
            <w:right w:val="none" w:sz="0" w:space="0" w:color="auto"/>
          </w:divBdr>
        </w:div>
        <w:div w:id="1117524634">
          <w:marLeft w:val="640"/>
          <w:marRight w:val="0"/>
          <w:marTop w:val="0"/>
          <w:marBottom w:val="0"/>
          <w:divBdr>
            <w:top w:val="none" w:sz="0" w:space="0" w:color="auto"/>
            <w:left w:val="none" w:sz="0" w:space="0" w:color="auto"/>
            <w:bottom w:val="none" w:sz="0" w:space="0" w:color="auto"/>
            <w:right w:val="none" w:sz="0" w:space="0" w:color="auto"/>
          </w:divBdr>
        </w:div>
        <w:div w:id="256594427">
          <w:marLeft w:val="640"/>
          <w:marRight w:val="0"/>
          <w:marTop w:val="0"/>
          <w:marBottom w:val="0"/>
          <w:divBdr>
            <w:top w:val="none" w:sz="0" w:space="0" w:color="auto"/>
            <w:left w:val="none" w:sz="0" w:space="0" w:color="auto"/>
            <w:bottom w:val="none" w:sz="0" w:space="0" w:color="auto"/>
            <w:right w:val="none" w:sz="0" w:space="0" w:color="auto"/>
          </w:divBdr>
        </w:div>
        <w:div w:id="1463767115">
          <w:marLeft w:val="640"/>
          <w:marRight w:val="0"/>
          <w:marTop w:val="0"/>
          <w:marBottom w:val="0"/>
          <w:divBdr>
            <w:top w:val="none" w:sz="0" w:space="0" w:color="auto"/>
            <w:left w:val="none" w:sz="0" w:space="0" w:color="auto"/>
            <w:bottom w:val="none" w:sz="0" w:space="0" w:color="auto"/>
            <w:right w:val="none" w:sz="0" w:space="0" w:color="auto"/>
          </w:divBdr>
        </w:div>
        <w:div w:id="1493136942">
          <w:marLeft w:val="640"/>
          <w:marRight w:val="0"/>
          <w:marTop w:val="0"/>
          <w:marBottom w:val="0"/>
          <w:divBdr>
            <w:top w:val="none" w:sz="0" w:space="0" w:color="auto"/>
            <w:left w:val="none" w:sz="0" w:space="0" w:color="auto"/>
            <w:bottom w:val="none" w:sz="0" w:space="0" w:color="auto"/>
            <w:right w:val="none" w:sz="0" w:space="0" w:color="auto"/>
          </w:divBdr>
        </w:div>
        <w:div w:id="1940143382">
          <w:marLeft w:val="640"/>
          <w:marRight w:val="0"/>
          <w:marTop w:val="0"/>
          <w:marBottom w:val="0"/>
          <w:divBdr>
            <w:top w:val="none" w:sz="0" w:space="0" w:color="auto"/>
            <w:left w:val="none" w:sz="0" w:space="0" w:color="auto"/>
            <w:bottom w:val="none" w:sz="0" w:space="0" w:color="auto"/>
            <w:right w:val="none" w:sz="0" w:space="0" w:color="auto"/>
          </w:divBdr>
        </w:div>
        <w:div w:id="315257440">
          <w:marLeft w:val="640"/>
          <w:marRight w:val="0"/>
          <w:marTop w:val="0"/>
          <w:marBottom w:val="0"/>
          <w:divBdr>
            <w:top w:val="none" w:sz="0" w:space="0" w:color="auto"/>
            <w:left w:val="none" w:sz="0" w:space="0" w:color="auto"/>
            <w:bottom w:val="none" w:sz="0" w:space="0" w:color="auto"/>
            <w:right w:val="none" w:sz="0" w:space="0" w:color="auto"/>
          </w:divBdr>
        </w:div>
        <w:div w:id="1154300356">
          <w:marLeft w:val="640"/>
          <w:marRight w:val="0"/>
          <w:marTop w:val="0"/>
          <w:marBottom w:val="0"/>
          <w:divBdr>
            <w:top w:val="none" w:sz="0" w:space="0" w:color="auto"/>
            <w:left w:val="none" w:sz="0" w:space="0" w:color="auto"/>
            <w:bottom w:val="none" w:sz="0" w:space="0" w:color="auto"/>
            <w:right w:val="none" w:sz="0" w:space="0" w:color="auto"/>
          </w:divBdr>
        </w:div>
        <w:div w:id="1646080494">
          <w:marLeft w:val="640"/>
          <w:marRight w:val="0"/>
          <w:marTop w:val="0"/>
          <w:marBottom w:val="0"/>
          <w:divBdr>
            <w:top w:val="none" w:sz="0" w:space="0" w:color="auto"/>
            <w:left w:val="none" w:sz="0" w:space="0" w:color="auto"/>
            <w:bottom w:val="none" w:sz="0" w:space="0" w:color="auto"/>
            <w:right w:val="none" w:sz="0" w:space="0" w:color="auto"/>
          </w:divBdr>
        </w:div>
        <w:div w:id="1218782753">
          <w:marLeft w:val="640"/>
          <w:marRight w:val="0"/>
          <w:marTop w:val="0"/>
          <w:marBottom w:val="0"/>
          <w:divBdr>
            <w:top w:val="none" w:sz="0" w:space="0" w:color="auto"/>
            <w:left w:val="none" w:sz="0" w:space="0" w:color="auto"/>
            <w:bottom w:val="none" w:sz="0" w:space="0" w:color="auto"/>
            <w:right w:val="none" w:sz="0" w:space="0" w:color="auto"/>
          </w:divBdr>
        </w:div>
        <w:div w:id="1380595999">
          <w:marLeft w:val="640"/>
          <w:marRight w:val="0"/>
          <w:marTop w:val="0"/>
          <w:marBottom w:val="0"/>
          <w:divBdr>
            <w:top w:val="none" w:sz="0" w:space="0" w:color="auto"/>
            <w:left w:val="none" w:sz="0" w:space="0" w:color="auto"/>
            <w:bottom w:val="none" w:sz="0" w:space="0" w:color="auto"/>
            <w:right w:val="none" w:sz="0" w:space="0" w:color="auto"/>
          </w:divBdr>
        </w:div>
        <w:div w:id="1298417281">
          <w:marLeft w:val="640"/>
          <w:marRight w:val="0"/>
          <w:marTop w:val="0"/>
          <w:marBottom w:val="0"/>
          <w:divBdr>
            <w:top w:val="none" w:sz="0" w:space="0" w:color="auto"/>
            <w:left w:val="none" w:sz="0" w:space="0" w:color="auto"/>
            <w:bottom w:val="none" w:sz="0" w:space="0" w:color="auto"/>
            <w:right w:val="none" w:sz="0" w:space="0" w:color="auto"/>
          </w:divBdr>
        </w:div>
        <w:div w:id="61148707">
          <w:marLeft w:val="640"/>
          <w:marRight w:val="0"/>
          <w:marTop w:val="0"/>
          <w:marBottom w:val="0"/>
          <w:divBdr>
            <w:top w:val="none" w:sz="0" w:space="0" w:color="auto"/>
            <w:left w:val="none" w:sz="0" w:space="0" w:color="auto"/>
            <w:bottom w:val="none" w:sz="0" w:space="0" w:color="auto"/>
            <w:right w:val="none" w:sz="0" w:space="0" w:color="auto"/>
          </w:divBdr>
        </w:div>
        <w:div w:id="331684461">
          <w:marLeft w:val="640"/>
          <w:marRight w:val="0"/>
          <w:marTop w:val="0"/>
          <w:marBottom w:val="0"/>
          <w:divBdr>
            <w:top w:val="none" w:sz="0" w:space="0" w:color="auto"/>
            <w:left w:val="none" w:sz="0" w:space="0" w:color="auto"/>
            <w:bottom w:val="none" w:sz="0" w:space="0" w:color="auto"/>
            <w:right w:val="none" w:sz="0" w:space="0" w:color="auto"/>
          </w:divBdr>
        </w:div>
        <w:div w:id="438254968">
          <w:marLeft w:val="640"/>
          <w:marRight w:val="0"/>
          <w:marTop w:val="0"/>
          <w:marBottom w:val="0"/>
          <w:divBdr>
            <w:top w:val="none" w:sz="0" w:space="0" w:color="auto"/>
            <w:left w:val="none" w:sz="0" w:space="0" w:color="auto"/>
            <w:bottom w:val="none" w:sz="0" w:space="0" w:color="auto"/>
            <w:right w:val="none" w:sz="0" w:space="0" w:color="auto"/>
          </w:divBdr>
        </w:div>
        <w:div w:id="1076248930">
          <w:marLeft w:val="640"/>
          <w:marRight w:val="0"/>
          <w:marTop w:val="0"/>
          <w:marBottom w:val="0"/>
          <w:divBdr>
            <w:top w:val="none" w:sz="0" w:space="0" w:color="auto"/>
            <w:left w:val="none" w:sz="0" w:space="0" w:color="auto"/>
            <w:bottom w:val="none" w:sz="0" w:space="0" w:color="auto"/>
            <w:right w:val="none" w:sz="0" w:space="0" w:color="auto"/>
          </w:divBdr>
        </w:div>
        <w:div w:id="1745033515">
          <w:marLeft w:val="640"/>
          <w:marRight w:val="0"/>
          <w:marTop w:val="0"/>
          <w:marBottom w:val="0"/>
          <w:divBdr>
            <w:top w:val="none" w:sz="0" w:space="0" w:color="auto"/>
            <w:left w:val="none" w:sz="0" w:space="0" w:color="auto"/>
            <w:bottom w:val="none" w:sz="0" w:space="0" w:color="auto"/>
            <w:right w:val="none" w:sz="0" w:space="0" w:color="auto"/>
          </w:divBdr>
        </w:div>
        <w:div w:id="222066469">
          <w:marLeft w:val="640"/>
          <w:marRight w:val="0"/>
          <w:marTop w:val="0"/>
          <w:marBottom w:val="0"/>
          <w:divBdr>
            <w:top w:val="none" w:sz="0" w:space="0" w:color="auto"/>
            <w:left w:val="none" w:sz="0" w:space="0" w:color="auto"/>
            <w:bottom w:val="none" w:sz="0" w:space="0" w:color="auto"/>
            <w:right w:val="none" w:sz="0" w:space="0" w:color="auto"/>
          </w:divBdr>
        </w:div>
        <w:div w:id="1015154126">
          <w:marLeft w:val="640"/>
          <w:marRight w:val="0"/>
          <w:marTop w:val="0"/>
          <w:marBottom w:val="0"/>
          <w:divBdr>
            <w:top w:val="none" w:sz="0" w:space="0" w:color="auto"/>
            <w:left w:val="none" w:sz="0" w:space="0" w:color="auto"/>
            <w:bottom w:val="none" w:sz="0" w:space="0" w:color="auto"/>
            <w:right w:val="none" w:sz="0" w:space="0" w:color="auto"/>
          </w:divBdr>
        </w:div>
        <w:div w:id="740448662">
          <w:marLeft w:val="640"/>
          <w:marRight w:val="0"/>
          <w:marTop w:val="0"/>
          <w:marBottom w:val="0"/>
          <w:divBdr>
            <w:top w:val="none" w:sz="0" w:space="0" w:color="auto"/>
            <w:left w:val="none" w:sz="0" w:space="0" w:color="auto"/>
            <w:bottom w:val="none" w:sz="0" w:space="0" w:color="auto"/>
            <w:right w:val="none" w:sz="0" w:space="0" w:color="auto"/>
          </w:divBdr>
        </w:div>
        <w:div w:id="2070835788">
          <w:marLeft w:val="640"/>
          <w:marRight w:val="0"/>
          <w:marTop w:val="0"/>
          <w:marBottom w:val="0"/>
          <w:divBdr>
            <w:top w:val="none" w:sz="0" w:space="0" w:color="auto"/>
            <w:left w:val="none" w:sz="0" w:space="0" w:color="auto"/>
            <w:bottom w:val="none" w:sz="0" w:space="0" w:color="auto"/>
            <w:right w:val="none" w:sz="0" w:space="0" w:color="auto"/>
          </w:divBdr>
        </w:div>
        <w:div w:id="1525365409">
          <w:marLeft w:val="640"/>
          <w:marRight w:val="0"/>
          <w:marTop w:val="0"/>
          <w:marBottom w:val="0"/>
          <w:divBdr>
            <w:top w:val="none" w:sz="0" w:space="0" w:color="auto"/>
            <w:left w:val="none" w:sz="0" w:space="0" w:color="auto"/>
            <w:bottom w:val="none" w:sz="0" w:space="0" w:color="auto"/>
            <w:right w:val="none" w:sz="0" w:space="0" w:color="auto"/>
          </w:divBdr>
        </w:div>
        <w:div w:id="1705867600">
          <w:marLeft w:val="640"/>
          <w:marRight w:val="0"/>
          <w:marTop w:val="0"/>
          <w:marBottom w:val="0"/>
          <w:divBdr>
            <w:top w:val="none" w:sz="0" w:space="0" w:color="auto"/>
            <w:left w:val="none" w:sz="0" w:space="0" w:color="auto"/>
            <w:bottom w:val="none" w:sz="0" w:space="0" w:color="auto"/>
            <w:right w:val="none" w:sz="0" w:space="0" w:color="auto"/>
          </w:divBdr>
        </w:div>
        <w:div w:id="462651054">
          <w:marLeft w:val="640"/>
          <w:marRight w:val="0"/>
          <w:marTop w:val="0"/>
          <w:marBottom w:val="0"/>
          <w:divBdr>
            <w:top w:val="none" w:sz="0" w:space="0" w:color="auto"/>
            <w:left w:val="none" w:sz="0" w:space="0" w:color="auto"/>
            <w:bottom w:val="none" w:sz="0" w:space="0" w:color="auto"/>
            <w:right w:val="none" w:sz="0" w:space="0" w:color="auto"/>
          </w:divBdr>
        </w:div>
        <w:div w:id="1575167165">
          <w:marLeft w:val="640"/>
          <w:marRight w:val="0"/>
          <w:marTop w:val="0"/>
          <w:marBottom w:val="0"/>
          <w:divBdr>
            <w:top w:val="none" w:sz="0" w:space="0" w:color="auto"/>
            <w:left w:val="none" w:sz="0" w:space="0" w:color="auto"/>
            <w:bottom w:val="none" w:sz="0" w:space="0" w:color="auto"/>
            <w:right w:val="none" w:sz="0" w:space="0" w:color="auto"/>
          </w:divBdr>
        </w:div>
        <w:div w:id="808325048">
          <w:marLeft w:val="640"/>
          <w:marRight w:val="0"/>
          <w:marTop w:val="0"/>
          <w:marBottom w:val="0"/>
          <w:divBdr>
            <w:top w:val="none" w:sz="0" w:space="0" w:color="auto"/>
            <w:left w:val="none" w:sz="0" w:space="0" w:color="auto"/>
            <w:bottom w:val="none" w:sz="0" w:space="0" w:color="auto"/>
            <w:right w:val="none" w:sz="0" w:space="0" w:color="auto"/>
          </w:divBdr>
        </w:div>
        <w:div w:id="1004742020">
          <w:marLeft w:val="640"/>
          <w:marRight w:val="0"/>
          <w:marTop w:val="0"/>
          <w:marBottom w:val="0"/>
          <w:divBdr>
            <w:top w:val="none" w:sz="0" w:space="0" w:color="auto"/>
            <w:left w:val="none" w:sz="0" w:space="0" w:color="auto"/>
            <w:bottom w:val="none" w:sz="0" w:space="0" w:color="auto"/>
            <w:right w:val="none" w:sz="0" w:space="0" w:color="auto"/>
          </w:divBdr>
        </w:div>
        <w:div w:id="1898584288">
          <w:marLeft w:val="640"/>
          <w:marRight w:val="0"/>
          <w:marTop w:val="0"/>
          <w:marBottom w:val="0"/>
          <w:divBdr>
            <w:top w:val="none" w:sz="0" w:space="0" w:color="auto"/>
            <w:left w:val="none" w:sz="0" w:space="0" w:color="auto"/>
            <w:bottom w:val="none" w:sz="0" w:space="0" w:color="auto"/>
            <w:right w:val="none" w:sz="0" w:space="0" w:color="auto"/>
          </w:divBdr>
        </w:div>
        <w:div w:id="280116322">
          <w:marLeft w:val="640"/>
          <w:marRight w:val="0"/>
          <w:marTop w:val="0"/>
          <w:marBottom w:val="0"/>
          <w:divBdr>
            <w:top w:val="none" w:sz="0" w:space="0" w:color="auto"/>
            <w:left w:val="none" w:sz="0" w:space="0" w:color="auto"/>
            <w:bottom w:val="none" w:sz="0" w:space="0" w:color="auto"/>
            <w:right w:val="none" w:sz="0" w:space="0" w:color="auto"/>
          </w:divBdr>
        </w:div>
        <w:div w:id="812063045">
          <w:marLeft w:val="640"/>
          <w:marRight w:val="0"/>
          <w:marTop w:val="0"/>
          <w:marBottom w:val="0"/>
          <w:divBdr>
            <w:top w:val="none" w:sz="0" w:space="0" w:color="auto"/>
            <w:left w:val="none" w:sz="0" w:space="0" w:color="auto"/>
            <w:bottom w:val="none" w:sz="0" w:space="0" w:color="auto"/>
            <w:right w:val="none" w:sz="0" w:space="0" w:color="auto"/>
          </w:divBdr>
        </w:div>
        <w:div w:id="1123184472">
          <w:marLeft w:val="640"/>
          <w:marRight w:val="0"/>
          <w:marTop w:val="0"/>
          <w:marBottom w:val="0"/>
          <w:divBdr>
            <w:top w:val="none" w:sz="0" w:space="0" w:color="auto"/>
            <w:left w:val="none" w:sz="0" w:space="0" w:color="auto"/>
            <w:bottom w:val="none" w:sz="0" w:space="0" w:color="auto"/>
            <w:right w:val="none" w:sz="0" w:space="0" w:color="auto"/>
          </w:divBdr>
        </w:div>
        <w:div w:id="968321818">
          <w:marLeft w:val="640"/>
          <w:marRight w:val="0"/>
          <w:marTop w:val="0"/>
          <w:marBottom w:val="0"/>
          <w:divBdr>
            <w:top w:val="none" w:sz="0" w:space="0" w:color="auto"/>
            <w:left w:val="none" w:sz="0" w:space="0" w:color="auto"/>
            <w:bottom w:val="none" w:sz="0" w:space="0" w:color="auto"/>
            <w:right w:val="none" w:sz="0" w:space="0" w:color="auto"/>
          </w:divBdr>
        </w:div>
        <w:div w:id="898588469">
          <w:marLeft w:val="640"/>
          <w:marRight w:val="0"/>
          <w:marTop w:val="0"/>
          <w:marBottom w:val="0"/>
          <w:divBdr>
            <w:top w:val="none" w:sz="0" w:space="0" w:color="auto"/>
            <w:left w:val="none" w:sz="0" w:space="0" w:color="auto"/>
            <w:bottom w:val="none" w:sz="0" w:space="0" w:color="auto"/>
            <w:right w:val="none" w:sz="0" w:space="0" w:color="auto"/>
          </w:divBdr>
        </w:div>
        <w:div w:id="1326278739">
          <w:marLeft w:val="640"/>
          <w:marRight w:val="0"/>
          <w:marTop w:val="0"/>
          <w:marBottom w:val="0"/>
          <w:divBdr>
            <w:top w:val="none" w:sz="0" w:space="0" w:color="auto"/>
            <w:left w:val="none" w:sz="0" w:space="0" w:color="auto"/>
            <w:bottom w:val="none" w:sz="0" w:space="0" w:color="auto"/>
            <w:right w:val="none" w:sz="0" w:space="0" w:color="auto"/>
          </w:divBdr>
        </w:div>
        <w:div w:id="1354646923">
          <w:marLeft w:val="640"/>
          <w:marRight w:val="0"/>
          <w:marTop w:val="0"/>
          <w:marBottom w:val="0"/>
          <w:divBdr>
            <w:top w:val="none" w:sz="0" w:space="0" w:color="auto"/>
            <w:left w:val="none" w:sz="0" w:space="0" w:color="auto"/>
            <w:bottom w:val="none" w:sz="0" w:space="0" w:color="auto"/>
            <w:right w:val="none" w:sz="0" w:space="0" w:color="auto"/>
          </w:divBdr>
        </w:div>
        <w:div w:id="531113103">
          <w:marLeft w:val="640"/>
          <w:marRight w:val="0"/>
          <w:marTop w:val="0"/>
          <w:marBottom w:val="0"/>
          <w:divBdr>
            <w:top w:val="none" w:sz="0" w:space="0" w:color="auto"/>
            <w:left w:val="none" w:sz="0" w:space="0" w:color="auto"/>
            <w:bottom w:val="none" w:sz="0" w:space="0" w:color="auto"/>
            <w:right w:val="none" w:sz="0" w:space="0" w:color="auto"/>
          </w:divBdr>
        </w:div>
        <w:div w:id="1633369551">
          <w:marLeft w:val="640"/>
          <w:marRight w:val="0"/>
          <w:marTop w:val="0"/>
          <w:marBottom w:val="0"/>
          <w:divBdr>
            <w:top w:val="none" w:sz="0" w:space="0" w:color="auto"/>
            <w:left w:val="none" w:sz="0" w:space="0" w:color="auto"/>
            <w:bottom w:val="none" w:sz="0" w:space="0" w:color="auto"/>
            <w:right w:val="none" w:sz="0" w:space="0" w:color="auto"/>
          </w:divBdr>
        </w:div>
        <w:div w:id="464392158">
          <w:marLeft w:val="640"/>
          <w:marRight w:val="0"/>
          <w:marTop w:val="0"/>
          <w:marBottom w:val="0"/>
          <w:divBdr>
            <w:top w:val="none" w:sz="0" w:space="0" w:color="auto"/>
            <w:left w:val="none" w:sz="0" w:space="0" w:color="auto"/>
            <w:bottom w:val="none" w:sz="0" w:space="0" w:color="auto"/>
            <w:right w:val="none" w:sz="0" w:space="0" w:color="auto"/>
          </w:divBdr>
        </w:div>
        <w:div w:id="1800610135">
          <w:marLeft w:val="640"/>
          <w:marRight w:val="0"/>
          <w:marTop w:val="0"/>
          <w:marBottom w:val="0"/>
          <w:divBdr>
            <w:top w:val="none" w:sz="0" w:space="0" w:color="auto"/>
            <w:left w:val="none" w:sz="0" w:space="0" w:color="auto"/>
            <w:bottom w:val="none" w:sz="0" w:space="0" w:color="auto"/>
            <w:right w:val="none" w:sz="0" w:space="0" w:color="auto"/>
          </w:divBdr>
        </w:div>
        <w:div w:id="1272205574">
          <w:marLeft w:val="640"/>
          <w:marRight w:val="0"/>
          <w:marTop w:val="0"/>
          <w:marBottom w:val="0"/>
          <w:divBdr>
            <w:top w:val="none" w:sz="0" w:space="0" w:color="auto"/>
            <w:left w:val="none" w:sz="0" w:space="0" w:color="auto"/>
            <w:bottom w:val="none" w:sz="0" w:space="0" w:color="auto"/>
            <w:right w:val="none" w:sz="0" w:space="0" w:color="auto"/>
          </w:divBdr>
        </w:div>
        <w:div w:id="1416783603">
          <w:marLeft w:val="640"/>
          <w:marRight w:val="0"/>
          <w:marTop w:val="0"/>
          <w:marBottom w:val="0"/>
          <w:divBdr>
            <w:top w:val="none" w:sz="0" w:space="0" w:color="auto"/>
            <w:left w:val="none" w:sz="0" w:space="0" w:color="auto"/>
            <w:bottom w:val="none" w:sz="0" w:space="0" w:color="auto"/>
            <w:right w:val="none" w:sz="0" w:space="0" w:color="auto"/>
          </w:divBdr>
        </w:div>
        <w:div w:id="139008236">
          <w:marLeft w:val="640"/>
          <w:marRight w:val="0"/>
          <w:marTop w:val="0"/>
          <w:marBottom w:val="0"/>
          <w:divBdr>
            <w:top w:val="none" w:sz="0" w:space="0" w:color="auto"/>
            <w:left w:val="none" w:sz="0" w:space="0" w:color="auto"/>
            <w:bottom w:val="none" w:sz="0" w:space="0" w:color="auto"/>
            <w:right w:val="none" w:sz="0" w:space="0" w:color="auto"/>
          </w:divBdr>
        </w:div>
        <w:div w:id="592513119">
          <w:marLeft w:val="640"/>
          <w:marRight w:val="0"/>
          <w:marTop w:val="0"/>
          <w:marBottom w:val="0"/>
          <w:divBdr>
            <w:top w:val="none" w:sz="0" w:space="0" w:color="auto"/>
            <w:left w:val="none" w:sz="0" w:space="0" w:color="auto"/>
            <w:bottom w:val="none" w:sz="0" w:space="0" w:color="auto"/>
            <w:right w:val="none" w:sz="0" w:space="0" w:color="auto"/>
          </w:divBdr>
        </w:div>
        <w:div w:id="1659386719">
          <w:marLeft w:val="640"/>
          <w:marRight w:val="0"/>
          <w:marTop w:val="0"/>
          <w:marBottom w:val="0"/>
          <w:divBdr>
            <w:top w:val="none" w:sz="0" w:space="0" w:color="auto"/>
            <w:left w:val="none" w:sz="0" w:space="0" w:color="auto"/>
            <w:bottom w:val="none" w:sz="0" w:space="0" w:color="auto"/>
            <w:right w:val="none" w:sz="0" w:space="0" w:color="auto"/>
          </w:divBdr>
        </w:div>
        <w:div w:id="546382281">
          <w:marLeft w:val="640"/>
          <w:marRight w:val="0"/>
          <w:marTop w:val="0"/>
          <w:marBottom w:val="0"/>
          <w:divBdr>
            <w:top w:val="none" w:sz="0" w:space="0" w:color="auto"/>
            <w:left w:val="none" w:sz="0" w:space="0" w:color="auto"/>
            <w:bottom w:val="none" w:sz="0" w:space="0" w:color="auto"/>
            <w:right w:val="none" w:sz="0" w:space="0" w:color="auto"/>
          </w:divBdr>
        </w:div>
        <w:div w:id="921837046">
          <w:marLeft w:val="640"/>
          <w:marRight w:val="0"/>
          <w:marTop w:val="0"/>
          <w:marBottom w:val="0"/>
          <w:divBdr>
            <w:top w:val="none" w:sz="0" w:space="0" w:color="auto"/>
            <w:left w:val="none" w:sz="0" w:space="0" w:color="auto"/>
            <w:bottom w:val="none" w:sz="0" w:space="0" w:color="auto"/>
            <w:right w:val="none" w:sz="0" w:space="0" w:color="auto"/>
          </w:divBdr>
        </w:div>
        <w:div w:id="1288900167">
          <w:marLeft w:val="640"/>
          <w:marRight w:val="0"/>
          <w:marTop w:val="0"/>
          <w:marBottom w:val="0"/>
          <w:divBdr>
            <w:top w:val="none" w:sz="0" w:space="0" w:color="auto"/>
            <w:left w:val="none" w:sz="0" w:space="0" w:color="auto"/>
            <w:bottom w:val="none" w:sz="0" w:space="0" w:color="auto"/>
            <w:right w:val="none" w:sz="0" w:space="0" w:color="auto"/>
          </w:divBdr>
        </w:div>
        <w:div w:id="1693071938">
          <w:marLeft w:val="640"/>
          <w:marRight w:val="0"/>
          <w:marTop w:val="0"/>
          <w:marBottom w:val="0"/>
          <w:divBdr>
            <w:top w:val="none" w:sz="0" w:space="0" w:color="auto"/>
            <w:left w:val="none" w:sz="0" w:space="0" w:color="auto"/>
            <w:bottom w:val="none" w:sz="0" w:space="0" w:color="auto"/>
            <w:right w:val="none" w:sz="0" w:space="0" w:color="auto"/>
          </w:divBdr>
        </w:div>
        <w:div w:id="1877348937">
          <w:marLeft w:val="640"/>
          <w:marRight w:val="0"/>
          <w:marTop w:val="0"/>
          <w:marBottom w:val="0"/>
          <w:divBdr>
            <w:top w:val="none" w:sz="0" w:space="0" w:color="auto"/>
            <w:left w:val="none" w:sz="0" w:space="0" w:color="auto"/>
            <w:bottom w:val="none" w:sz="0" w:space="0" w:color="auto"/>
            <w:right w:val="none" w:sz="0" w:space="0" w:color="auto"/>
          </w:divBdr>
        </w:div>
        <w:div w:id="1013455161">
          <w:marLeft w:val="640"/>
          <w:marRight w:val="0"/>
          <w:marTop w:val="0"/>
          <w:marBottom w:val="0"/>
          <w:divBdr>
            <w:top w:val="none" w:sz="0" w:space="0" w:color="auto"/>
            <w:left w:val="none" w:sz="0" w:space="0" w:color="auto"/>
            <w:bottom w:val="none" w:sz="0" w:space="0" w:color="auto"/>
            <w:right w:val="none" w:sz="0" w:space="0" w:color="auto"/>
          </w:divBdr>
        </w:div>
        <w:div w:id="1236160038">
          <w:marLeft w:val="640"/>
          <w:marRight w:val="0"/>
          <w:marTop w:val="0"/>
          <w:marBottom w:val="0"/>
          <w:divBdr>
            <w:top w:val="none" w:sz="0" w:space="0" w:color="auto"/>
            <w:left w:val="none" w:sz="0" w:space="0" w:color="auto"/>
            <w:bottom w:val="none" w:sz="0" w:space="0" w:color="auto"/>
            <w:right w:val="none" w:sz="0" w:space="0" w:color="auto"/>
          </w:divBdr>
        </w:div>
        <w:div w:id="1227567904">
          <w:marLeft w:val="640"/>
          <w:marRight w:val="0"/>
          <w:marTop w:val="0"/>
          <w:marBottom w:val="0"/>
          <w:divBdr>
            <w:top w:val="none" w:sz="0" w:space="0" w:color="auto"/>
            <w:left w:val="none" w:sz="0" w:space="0" w:color="auto"/>
            <w:bottom w:val="none" w:sz="0" w:space="0" w:color="auto"/>
            <w:right w:val="none" w:sz="0" w:space="0" w:color="auto"/>
          </w:divBdr>
        </w:div>
        <w:div w:id="523982895">
          <w:marLeft w:val="640"/>
          <w:marRight w:val="0"/>
          <w:marTop w:val="0"/>
          <w:marBottom w:val="0"/>
          <w:divBdr>
            <w:top w:val="none" w:sz="0" w:space="0" w:color="auto"/>
            <w:left w:val="none" w:sz="0" w:space="0" w:color="auto"/>
            <w:bottom w:val="none" w:sz="0" w:space="0" w:color="auto"/>
            <w:right w:val="none" w:sz="0" w:space="0" w:color="auto"/>
          </w:divBdr>
        </w:div>
        <w:div w:id="492918125">
          <w:marLeft w:val="640"/>
          <w:marRight w:val="0"/>
          <w:marTop w:val="0"/>
          <w:marBottom w:val="0"/>
          <w:divBdr>
            <w:top w:val="none" w:sz="0" w:space="0" w:color="auto"/>
            <w:left w:val="none" w:sz="0" w:space="0" w:color="auto"/>
            <w:bottom w:val="none" w:sz="0" w:space="0" w:color="auto"/>
            <w:right w:val="none" w:sz="0" w:space="0" w:color="auto"/>
          </w:divBdr>
        </w:div>
        <w:div w:id="633952341">
          <w:marLeft w:val="640"/>
          <w:marRight w:val="0"/>
          <w:marTop w:val="0"/>
          <w:marBottom w:val="0"/>
          <w:divBdr>
            <w:top w:val="none" w:sz="0" w:space="0" w:color="auto"/>
            <w:left w:val="none" w:sz="0" w:space="0" w:color="auto"/>
            <w:bottom w:val="none" w:sz="0" w:space="0" w:color="auto"/>
            <w:right w:val="none" w:sz="0" w:space="0" w:color="auto"/>
          </w:divBdr>
        </w:div>
        <w:div w:id="651063986">
          <w:marLeft w:val="640"/>
          <w:marRight w:val="0"/>
          <w:marTop w:val="0"/>
          <w:marBottom w:val="0"/>
          <w:divBdr>
            <w:top w:val="none" w:sz="0" w:space="0" w:color="auto"/>
            <w:left w:val="none" w:sz="0" w:space="0" w:color="auto"/>
            <w:bottom w:val="none" w:sz="0" w:space="0" w:color="auto"/>
            <w:right w:val="none" w:sz="0" w:space="0" w:color="auto"/>
          </w:divBdr>
        </w:div>
        <w:div w:id="1022320478">
          <w:marLeft w:val="640"/>
          <w:marRight w:val="0"/>
          <w:marTop w:val="0"/>
          <w:marBottom w:val="0"/>
          <w:divBdr>
            <w:top w:val="none" w:sz="0" w:space="0" w:color="auto"/>
            <w:left w:val="none" w:sz="0" w:space="0" w:color="auto"/>
            <w:bottom w:val="none" w:sz="0" w:space="0" w:color="auto"/>
            <w:right w:val="none" w:sz="0" w:space="0" w:color="auto"/>
          </w:divBdr>
        </w:div>
        <w:div w:id="1040931336">
          <w:marLeft w:val="640"/>
          <w:marRight w:val="0"/>
          <w:marTop w:val="0"/>
          <w:marBottom w:val="0"/>
          <w:divBdr>
            <w:top w:val="none" w:sz="0" w:space="0" w:color="auto"/>
            <w:left w:val="none" w:sz="0" w:space="0" w:color="auto"/>
            <w:bottom w:val="none" w:sz="0" w:space="0" w:color="auto"/>
            <w:right w:val="none" w:sz="0" w:space="0" w:color="auto"/>
          </w:divBdr>
        </w:div>
        <w:div w:id="1946184842">
          <w:marLeft w:val="640"/>
          <w:marRight w:val="0"/>
          <w:marTop w:val="0"/>
          <w:marBottom w:val="0"/>
          <w:divBdr>
            <w:top w:val="none" w:sz="0" w:space="0" w:color="auto"/>
            <w:left w:val="none" w:sz="0" w:space="0" w:color="auto"/>
            <w:bottom w:val="none" w:sz="0" w:space="0" w:color="auto"/>
            <w:right w:val="none" w:sz="0" w:space="0" w:color="auto"/>
          </w:divBdr>
        </w:div>
        <w:div w:id="1802184514">
          <w:marLeft w:val="640"/>
          <w:marRight w:val="0"/>
          <w:marTop w:val="0"/>
          <w:marBottom w:val="0"/>
          <w:divBdr>
            <w:top w:val="none" w:sz="0" w:space="0" w:color="auto"/>
            <w:left w:val="none" w:sz="0" w:space="0" w:color="auto"/>
            <w:bottom w:val="none" w:sz="0" w:space="0" w:color="auto"/>
            <w:right w:val="none" w:sz="0" w:space="0" w:color="auto"/>
          </w:divBdr>
        </w:div>
        <w:div w:id="1440222980">
          <w:marLeft w:val="640"/>
          <w:marRight w:val="0"/>
          <w:marTop w:val="0"/>
          <w:marBottom w:val="0"/>
          <w:divBdr>
            <w:top w:val="none" w:sz="0" w:space="0" w:color="auto"/>
            <w:left w:val="none" w:sz="0" w:space="0" w:color="auto"/>
            <w:bottom w:val="none" w:sz="0" w:space="0" w:color="auto"/>
            <w:right w:val="none" w:sz="0" w:space="0" w:color="auto"/>
          </w:divBdr>
        </w:div>
        <w:div w:id="542447200">
          <w:marLeft w:val="640"/>
          <w:marRight w:val="0"/>
          <w:marTop w:val="0"/>
          <w:marBottom w:val="0"/>
          <w:divBdr>
            <w:top w:val="none" w:sz="0" w:space="0" w:color="auto"/>
            <w:left w:val="none" w:sz="0" w:space="0" w:color="auto"/>
            <w:bottom w:val="none" w:sz="0" w:space="0" w:color="auto"/>
            <w:right w:val="none" w:sz="0" w:space="0" w:color="auto"/>
          </w:divBdr>
        </w:div>
        <w:div w:id="433206226">
          <w:marLeft w:val="640"/>
          <w:marRight w:val="0"/>
          <w:marTop w:val="0"/>
          <w:marBottom w:val="0"/>
          <w:divBdr>
            <w:top w:val="none" w:sz="0" w:space="0" w:color="auto"/>
            <w:left w:val="none" w:sz="0" w:space="0" w:color="auto"/>
            <w:bottom w:val="none" w:sz="0" w:space="0" w:color="auto"/>
            <w:right w:val="none" w:sz="0" w:space="0" w:color="auto"/>
          </w:divBdr>
        </w:div>
        <w:div w:id="2037584447">
          <w:marLeft w:val="640"/>
          <w:marRight w:val="0"/>
          <w:marTop w:val="0"/>
          <w:marBottom w:val="0"/>
          <w:divBdr>
            <w:top w:val="none" w:sz="0" w:space="0" w:color="auto"/>
            <w:left w:val="none" w:sz="0" w:space="0" w:color="auto"/>
            <w:bottom w:val="none" w:sz="0" w:space="0" w:color="auto"/>
            <w:right w:val="none" w:sz="0" w:space="0" w:color="auto"/>
          </w:divBdr>
        </w:div>
        <w:div w:id="773549270">
          <w:marLeft w:val="640"/>
          <w:marRight w:val="0"/>
          <w:marTop w:val="0"/>
          <w:marBottom w:val="0"/>
          <w:divBdr>
            <w:top w:val="none" w:sz="0" w:space="0" w:color="auto"/>
            <w:left w:val="none" w:sz="0" w:space="0" w:color="auto"/>
            <w:bottom w:val="none" w:sz="0" w:space="0" w:color="auto"/>
            <w:right w:val="none" w:sz="0" w:space="0" w:color="auto"/>
          </w:divBdr>
        </w:div>
        <w:div w:id="1756632190">
          <w:marLeft w:val="640"/>
          <w:marRight w:val="0"/>
          <w:marTop w:val="0"/>
          <w:marBottom w:val="0"/>
          <w:divBdr>
            <w:top w:val="none" w:sz="0" w:space="0" w:color="auto"/>
            <w:left w:val="none" w:sz="0" w:space="0" w:color="auto"/>
            <w:bottom w:val="none" w:sz="0" w:space="0" w:color="auto"/>
            <w:right w:val="none" w:sz="0" w:space="0" w:color="auto"/>
          </w:divBdr>
        </w:div>
        <w:div w:id="212350000">
          <w:marLeft w:val="640"/>
          <w:marRight w:val="0"/>
          <w:marTop w:val="0"/>
          <w:marBottom w:val="0"/>
          <w:divBdr>
            <w:top w:val="none" w:sz="0" w:space="0" w:color="auto"/>
            <w:left w:val="none" w:sz="0" w:space="0" w:color="auto"/>
            <w:bottom w:val="none" w:sz="0" w:space="0" w:color="auto"/>
            <w:right w:val="none" w:sz="0" w:space="0" w:color="auto"/>
          </w:divBdr>
        </w:div>
        <w:div w:id="1479226133">
          <w:marLeft w:val="640"/>
          <w:marRight w:val="0"/>
          <w:marTop w:val="0"/>
          <w:marBottom w:val="0"/>
          <w:divBdr>
            <w:top w:val="none" w:sz="0" w:space="0" w:color="auto"/>
            <w:left w:val="none" w:sz="0" w:space="0" w:color="auto"/>
            <w:bottom w:val="none" w:sz="0" w:space="0" w:color="auto"/>
            <w:right w:val="none" w:sz="0" w:space="0" w:color="auto"/>
          </w:divBdr>
        </w:div>
        <w:div w:id="537275931">
          <w:marLeft w:val="640"/>
          <w:marRight w:val="0"/>
          <w:marTop w:val="0"/>
          <w:marBottom w:val="0"/>
          <w:divBdr>
            <w:top w:val="none" w:sz="0" w:space="0" w:color="auto"/>
            <w:left w:val="none" w:sz="0" w:space="0" w:color="auto"/>
            <w:bottom w:val="none" w:sz="0" w:space="0" w:color="auto"/>
            <w:right w:val="none" w:sz="0" w:space="0" w:color="auto"/>
          </w:divBdr>
        </w:div>
        <w:div w:id="1945845932">
          <w:marLeft w:val="640"/>
          <w:marRight w:val="0"/>
          <w:marTop w:val="0"/>
          <w:marBottom w:val="0"/>
          <w:divBdr>
            <w:top w:val="none" w:sz="0" w:space="0" w:color="auto"/>
            <w:left w:val="none" w:sz="0" w:space="0" w:color="auto"/>
            <w:bottom w:val="none" w:sz="0" w:space="0" w:color="auto"/>
            <w:right w:val="none" w:sz="0" w:space="0" w:color="auto"/>
          </w:divBdr>
        </w:div>
        <w:div w:id="2072144643">
          <w:marLeft w:val="640"/>
          <w:marRight w:val="0"/>
          <w:marTop w:val="0"/>
          <w:marBottom w:val="0"/>
          <w:divBdr>
            <w:top w:val="none" w:sz="0" w:space="0" w:color="auto"/>
            <w:left w:val="none" w:sz="0" w:space="0" w:color="auto"/>
            <w:bottom w:val="none" w:sz="0" w:space="0" w:color="auto"/>
            <w:right w:val="none" w:sz="0" w:space="0" w:color="auto"/>
          </w:divBdr>
        </w:div>
        <w:div w:id="2132553387">
          <w:marLeft w:val="640"/>
          <w:marRight w:val="0"/>
          <w:marTop w:val="0"/>
          <w:marBottom w:val="0"/>
          <w:divBdr>
            <w:top w:val="none" w:sz="0" w:space="0" w:color="auto"/>
            <w:left w:val="none" w:sz="0" w:space="0" w:color="auto"/>
            <w:bottom w:val="none" w:sz="0" w:space="0" w:color="auto"/>
            <w:right w:val="none" w:sz="0" w:space="0" w:color="auto"/>
          </w:divBdr>
        </w:div>
        <w:div w:id="983851602">
          <w:marLeft w:val="640"/>
          <w:marRight w:val="0"/>
          <w:marTop w:val="0"/>
          <w:marBottom w:val="0"/>
          <w:divBdr>
            <w:top w:val="none" w:sz="0" w:space="0" w:color="auto"/>
            <w:left w:val="none" w:sz="0" w:space="0" w:color="auto"/>
            <w:bottom w:val="none" w:sz="0" w:space="0" w:color="auto"/>
            <w:right w:val="none" w:sz="0" w:space="0" w:color="auto"/>
          </w:divBdr>
        </w:div>
        <w:div w:id="271715727">
          <w:marLeft w:val="640"/>
          <w:marRight w:val="0"/>
          <w:marTop w:val="0"/>
          <w:marBottom w:val="0"/>
          <w:divBdr>
            <w:top w:val="none" w:sz="0" w:space="0" w:color="auto"/>
            <w:left w:val="none" w:sz="0" w:space="0" w:color="auto"/>
            <w:bottom w:val="none" w:sz="0" w:space="0" w:color="auto"/>
            <w:right w:val="none" w:sz="0" w:space="0" w:color="auto"/>
          </w:divBdr>
        </w:div>
        <w:div w:id="1438713425">
          <w:marLeft w:val="640"/>
          <w:marRight w:val="0"/>
          <w:marTop w:val="0"/>
          <w:marBottom w:val="0"/>
          <w:divBdr>
            <w:top w:val="none" w:sz="0" w:space="0" w:color="auto"/>
            <w:left w:val="none" w:sz="0" w:space="0" w:color="auto"/>
            <w:bottom w:val="none" w:sz="0" w:space="0" w:color="auto"/>
            <w:right w:val="none" w:sz="0" w:space="0" w:color="auto"/>
          </w:divBdr>
        </w:div>
        <w:div w:id="1494762327">
          <w:marLeft w:val="640"/>
          <w:marRight w:val="0"/>
          <w:marTop w:val="0"/>
          <w:marBottom w:val="0"/>
          <w:divBdr>
            <w:top w:val="none" w:sz="0" w:space="0" w:color="auto"/>
            <w:left w:val="none" w:sz="0" w:space="0" w:color="auto"/>
            <w:bottom w:val="none" w:sz="0" w:space="0" w:color="auto"/>
            <w:right w:val="none" w:sz="0" w:space="0" w:color="auto"/>
          </w:divBdr>
        </w:div>
        <w:div w:id="718817527">
          <w:marLeft w:val="640"/>
          <w:marRight w:val="0"/>
          <w:marTop w:val="0"/>
          <w:marBottom w:val="0"/>
          <w:divBdr>
            <w:top w:val="none" w:sz="0" w:space="0" w:color="auto"/>
            <w:left w:val="none" w:sz="0" w:space="0" w:color="auto"/>
            <w:bottom w:val="none" w:sz="0" w:space="0" w:color="auto"/>
            <w:right w:val="none" w:sz="0" w:space="0" w:color="auto"/>
          </w:divBdr>
        </w:div>
        <w:div w:id="1385373380">
          <w:marLeft w:val="640"/>
          <w:marRight w:val="0"/>
          <w:marTop w:val="0"/>
          <w:marBottom w:val="0"/>
          <w:divBdr>
            <w:top w:val="none" w:sz="0" w:space="0" w:color="auto"/>
            <w:left w:val="none" w:sz="0" w:space="0" w:color="auto"/>
            <w:bottom w:val="none" w:sz="0" w:space="0" w:color="auto"/>
            <w:right w:val="none" w:sz="0" w:space="0" w:color="auto"/>
          </w:divBdr>
        </w:div>
        <w:div w:id="392508770">
          <w:marLeft w:val="640"/>
          <w:marRight w:val="0"/>
          <w:marTop w:val="0"/>
          <w:marBottom w:val="0"/>
          <w:divBdr>
            <w:top w:val="none" w:sz="0" w:space="0" w:color="auto"/>
            <w:left w:val="none" w:sz="0" w:space="0" w:color="auto"/>
            <w:bottom w:val="none" w:sz="0" w:space="0" w:color="auto"/>
            <w:right w:val="none" w:sz="0" w:space="0" w:color="auto"/>
          </w:divBdr>
        </w:div>
        <w:div w:id="349767616">
          <w:marLeft w:val="640"/>
          <w:marRight w:val="0"/>
          <w:marTop w:val="0"/>
          <w:marBottom w:val="0"/>
          <w:divBdr>
            <w:top w:val="none" w:sz="0" w:space="0" w:color="auto"/>
            <w:left w:val="none" w:sz="0" w:space="0" w:color="auto"/>
            <w:bottom w:val="none" w:sz="0" w:space="0" w:color="auto"/>
            <w:right w:val="none" w:sz="0" w:space="0" w:color="auto"/>
          </w:divBdr>
        </w:div>
        <w:div w:id="648285105">
          <w:marLeft w:val="640"/>
          <w:marRight w:val="0"/>
          <w:marTop w:val="0"/>
          <w:marBottom w:val="0"/>
          <w:divBdr>
            <w:top w:val="none" w:sz="0" w:space="0" w:color="auto"/>
            <w:left w:val="none" w:sz="0" w:space="0" w:color="auto"/>
            <w:bottom w:val="none" w:sz="0" w:space="0" w:color="auto"/>
            <w:right w:val="none" w:sz="0" w:space="0" w:color="auto"/>
          </w:divBdr>
        </w:div>
        <w:div w:id="1911113291">
          <w:marLeft w:val="640"/>
          <w:marRight w:val="0"/>
          <w:marTop w:val="0"/>
          <w:marBottom w:val="0"/>
          <w:divBdr>
            <w:top w:val="none" w:sz="0" w:space="0" w:color="auto"/>
            <w:left w:val="none" w:sz="0" w:space="0" w:color="auto"/>
            <w:bottom w:val="none" w:sz="0" w:space="0" w:color="auto"/>
            <w:right w:val="none" w:sz="0" w:space="0" w:color="auto"/>
          </w:divBdr>
        </w:div>
        <w:div w:id="1728530348">
          <w:marLeft w:val="640"/>
          <w:marRight w:val="0"/>
          <w:marTop w:val="0"/>
          <w:marBottom w:val="0"/>
          <w:divBdr>
            <w:top w:val="none" w:sz="0" w:space="0" w:color="auto"/>
            <w:left w:val="none" w:sz="0" w:space="0" w:color="auto"/>
            <w:bottom w:val="none" w:sz="0" w:space="0" w:color="auto"/>
            <w:right w:val="none" w:sz="0" w:space="0" w:color="auto"/>
          </w:divBdr>
        </w:div>
        <w:div w:id="319116378">
          <w:marLeft w:val="640"/>
          <w:marRight w:val="0"/>
          <w:marTop w:val="0"/>
          <w:marBottom w:val="0"/>
          <w:divBdr>
            <w:top w:val="none" w:sz="0" w:space="0" w:color="auto"/>
            <w:left w:val="none" w:sz="0" w:space="0" w:color="auto"/>
            <w:bottom w:val="none" w:sz="0" w:space="0" w:color="auto"/>
            <w:right w:val="none" w:sz="0" w:space="0" w:color="auto"/>
          </w:divBdr>
        </w:div>
        <w:div w:id="1935478520">
          <w:marLeft w:val="640"/>
          <w:marRight w:val="0"/>
          <w:marTop w:val="0"/>
          <w:marBottom w:val="0"/>
          <w:divBdr>
            <w:top w:val="none" w:sz="0" w:space="0" w:color="auto"/>
            <w:left w:val="none" w:sz="0" w:space="0" w:color="auto"/>
            <w:bottom w:val="none" w:sz="0" w:space="0" w:color="auto"/>
            <w:right w:val="none" w:sz="0" w:space="0" w:color="auto"/>
          </w:divBdr>
        </w:div>
        <w:div w:id="1403917399">
          <w:marLeft w:val="640"/>
          <w:marRight w:val="0"/>
          <w:marTop w:val="0"/>
          <w:marBottom w:val="0"/>
          <w:divBdr>
            <w:top w:val="none" w:sz="0" w:space="0" w:color="auto"/>
            <w:left w:val="none" w:sz="0" w:space="0" w:color="auto"/>
            <w:bottom w:val="none" w:sz="0" w:space="0" w:color="auto"/>
            <w:right w:val="none" w:sz="0" w:space="0" w:color="auto"/>
          </w:divBdr>
        </w:div>
        <w:div w:id="448085232">
          <w:marLeft w:val="640"/>
          <w:marRight w:val="0"/>
          <w:marTop w:val="0"/>
          <w:marBottom w:val="0"/>
          <w:divBdr>
            <w:top w:val="none" w:sz="0" w:space="0" w:color="auto"/>
            <w:left w:val="none" w:sz="0" w:space="0" w:color="auto"/>
            <w:bottom w:val="none" w:sz="0" w:space="0" w:color="auto"/>
            <w:right w:val="none" w:sz="0" w:space="0" w:color="auto"/>
          </w:divBdr>
        </w:div>
        <w:div w:id="473257256">
          <w:marLeft w:val="640"/>
          <w:marRight w:val="0"/>
          <w:marTop w:val="0"/>
          <w:marBottom w:val="0"/>
          <w:divBdr>
            <w:top w:val="none" w:sz="0" w:space="0" w:color="auto"/>
            <w:left w:val="none" w:sz="0" w:space="0" w:color="auto"/>
            <w:bottom w:val="none" w:sz="0" w:space="0" w:color="auto"/>
            <w:right w:val="none" w:sz="0" w:space="0" w:color="auto"/>
          </w:divBdr>
        </w:div>
        <w:div w:id="2084374972">
          <w:marLeft w:val="640"/>
          <w:marRight w:val="0"/>
          <w:marTop w:val="0"/>
          <w:marBottom w:val="0"/>
          <w:divBdr>
            <w:top w:val="none" w:sz="0" w:space="0" w:color="auto"/>
            <w:left w:val="none" w:sz="0" w:space="0" w:color="auto"/>
            <w:bottom w:val="none" w:sz="0" w:space="0" w:color="auto"/>
            <w:right w:val="none" w:sz="0" w:space="0" w:color="auto"/>
          </w:divBdr>
        </w:div>
        <w:div w:id="2051490339">
          <w:marLeft w:val="640"/>
          <w:marRight w:val="0"/>
          <w:marTop w:val="0"/>
          <w:marBottom w:val="0"/>
          <w:divBdr>
            <w:top w:val="none" w:sz="0" w:space="0" w:color="auto"/>
            <w:left w:val="none" w:sz="0" w:space="0" w:color="auto"/>
            <w:bottom w:val="none" w:sz="0" w:space="0" w:color="auto"/>
            <w:right w:val="none" w:sz="0" w:space="0" w:color="auto"/>
          </w:divBdr>
        </w:div>
        <w:div w:id="1309627270">
          <w:marLeft w:val="640"/>
          <w:marRight w:val="0"/>
          <w:marTop w:val="0"/>
          <w:marBottom w:val="0"/>
          <w:divBdr>
            <w:top w:val="none" w:sz="0" w:space="0" w:color="auto"/>
            <w:left w:val="none" w:sz="0" w:space="0" w:color="auto"/>
            <w:bottom w:val="none" w:sz="0" w:space="0" w:color="auto"/>
            <w:right w:val="none" w:sz="0" w:space="0" w:color="auto"/>
          </w:divBdr>
        </w:div>
        <w:div w:id="651253205">
          <w:marLeft w:val="640"/>
          <w:marRight w:val="0"/>
          <w:marTop w:val="0"/>
          <w:marBottom w:val="0"/>
          <w:divBdr>
            <w:top w:val="none" w:sz="0" w:space="0" w:color="auto"/>
            <w:left w:val="none" w:sz="0" w:space="0" w:color="auto"/>
            <w:bottom w:val="none" w:sz="0" w:space="0" w:color="auto"/>
            <w:right w:val="none" w:sz="0" w:space="0" w:color="auto"/>
          </w:divBdr>
        </w:div>
        <w:div w:id="1313826957">
          <w:marLeft w:val="640"/>
          <w:marRight w:val="0"/>
          <w:marTop w:val="0"/>
          <w:marBottom w:val="0"/>
          <w:divBdr>
            <w:top w:val="none" w:sz="0" w:space="0" w:color="auto"/>
            <w:left w:val="none" w:sz="0" w:space="0" w:color="auto"/>
            <w:bottom w:val="none" w:sz="0" w:space="0" w:color="auto"/>
            <w:right w:val="none" w:sz="0" w:space="0" w:color="auto"/>
          </w:divBdr>
        </w:div>
        <w:div w:id="406268016">
          <w:marLeft w:val="640"/>
          <w:marRight w:val="0"/>
          <w:marTop w:val="0"/>
          <w:marBottom w:val="0"/>
          <w:divBdr>
            <w:top w:val="none" w:sz="0" w:space="0" w:color="auto"/>
            <w:left w:val="none" w:sz="0" w:space="0" w:color="auto"/>
            <w:bottom w:val="none" w:sz="0" w:space="0" w:color="auto"/>
            <w:right w:val="none" w:sz="0" w:space="0" w:color="auto"/>
          </w:divBdr>
        </w:div>
        <w:div w:id="230584868">
          <w:marLeft w:val="640"/>
          <w:marRight w:val="0"/>
          <w:marTop w:val="0"/>
          <w:marBottom w:val="0"/>
          <w:divBdr>
            <w:top w:val="none" w:sz="0" w:space="0" w:color="auto"/>
            <w:left w:val="none" w:sz="0" w:space="0" w:color="auto"/>
            <w:bottom w:val="none" w:sz="0" w:space="0" w:color="auto"/>
            <w:right w:val="none" w:sz="0" w:space="0" w:color="auto"/>
          </w:divBdr>
        </w:div>
        <w:div w:id="171115432">
          <w:marLeft w:val="640"/>
          <w:marRight w:val="0"/>
          <w:marTop w:val="0"/>
          <w:marBottom w:val="0"/>
          <w:divBdr>
            <w:top w:val="none" w:sz="0" w:space="0" w:color="auto"/>
            <w:left w:val="none" w:sz="0" w:space="0" w:color="auto"/>
            <w:bottom w:val="none" w:sz="0" w:space="0" w:color="auto"/>
            <w:right w:val="none" w:sz="0" w:space="0" w:color="auto"/>
          </w:divBdr>
        </w:div>
        <w:div w:id="1047493225">
          <w:marLeft w:val="640"/>
          <w:marRight w:val="0"/>
          <w:marTop w:val="0"/>
          <w:marBottom w:val="0"/>
          <w:divBdr>
            <w:top w:val="none" w:sz="0" w:space="0" w:color="auto"/>
            <w:left w:val="none" w:sz="0" w:space="0" w:color="auto"/>
            <w:bottom w:val="none" w:sz="0" w:space="0" w:color="auto"/>
            <w:right w:val="none" w:sz="0" w:space="0" w:color="auto"/>
          </w:divBdr>
        </w:div>
        <w:div w:id="1922178818">
          <w:marLeft w:val="640"/>
          <w:marRight w:val="0"/>
          <w:marTop w:val="0"/>
          <w:marBottom w:val="0"/>
          <w:divBdr>
            <w:top w:val="none" w:sz="0" w:space="0" w:color="auto"/>
            <w:left w:val="none" w:sz="0" w:space="0" w:color="auto"/>
            <w:bottom w:val="none" w:sz="0" w:space="0" w:color="auto"/>
            <w:right w:val="none" w:sz="0" w:space="0" w:color="auto"/>
          </w:divBdr>
        </w:div>
        <w:div w:id="1859655539">
          <w:marLeft w:val="640"/>
          <w:marRight w:val="0"/>
          <w:marTop w:val="0"/>
          <w:marBottom w:val="0"/>
          <w:divBdr>
            <w:top w:val="none" w:sz="0" w:space="0" w:color="auto"/>
            <w:left w:val="none" w:sz="0" w:space="0" w:color="auto"/>
            <w:bottom w:val="none" w:sz="0" w:space="0" w:color="auto"/>
            <w:right w:val="none" w:sz="0" w:space="0" w:color="auto"/>
          </w:divBdr>
        </w:div>
        <w:div w:id="1805659698">
          <w:marLeft w:val="640"/>
          <w:marRight w:val="0"/>
          <w:marTop w:val="0"/>
          <w:marBottom w:val="0"/>
          <w:divBdr>
            <w:top w:val="none" w:sz="0" w:space="0" w:color="auto"/>
            <w:left w:val="none" w:sz="0" w:space="0" w:color="auto"/>
            <w:bottom w:val="none" w:sz="0" w:space="0" w:color="auto"/>
            <w:right w:val="none" w:sz="0" w:space="0" w:color="auto"/>
          </w:divBdr>
        </w:div>
        <w:div w:id="231669769">
          <w:marLeft w:val="640"/>
          <w:marRight w:val="0"/>
          <w:marTop w:val="0"/>
          <w:marBottom w:val="0"/>
          <w:divBdr>
            <w:top w:val="none" w:sz="0" w:space="0" w:color="auto"/>
            <w:left w:val="none" w:sz="0" w:space="0" w:color="auto"/>
            <w:bottom w:val="none" w:sz="0" w:space="0" w:color="auto"/>
            <w:right w:val="none" w:sz="0" w:space="0" w:color="auto"/>
          </w:divBdr>
        </w:div>
        <w:div w:id="1789202045">
          <w:marLeft w:val="640"/>
          <w:marRight w:val="0"/>
          <w:marTop w:val="0"/>
          <w:marBottom w:val="0"/>
          <w:divBdr>
            <w:top w:val="none" w:sz="0" w:space="0" w:color="auto"/>
            <w:left w:val="none" w:sz="0" w:space="0" w:color="auto"/>
            <w:bottom w:val="none" w:sz="0" w:space="0" w:color="auto"/>
            <w:right w:val="none" w:sz="0" w:space="0" w:color="auto"/>
          </w:divBdr>
        </w:div>
        <w:div w:id="894317483">
          <w:marLeft w:val="640"/>
          <w:marRight w:val="0"/>
          <w:marTop w:val="0"/>
          <w:marBottom w:val="0"/>
          <w:divBdr>
            <w:top w:val="none" w:sz="0" w:space="0" w:color="auto"/>
            <w:left w:val="none" w:sz="0" w:space="0" w:color="auto"/>
            <w:bottom w:val="none" w:sz="0" w:space="0" w:color="auto"/>
            <w:right w:val="none" w:sz="0" w:space="0" w:color="auto"/>
          </w:divBdr>
        </w:div>
        <w:div w:id="144854701">
          <w:marLeft w:val="640"/>
          <w:marRight w:val="0"/>
          <w:marTop w:val="0"/>
          <w:marBottom w:val="0"/>
          <w:divBdr>
            <w:top w:val="none" w:sz="0" w:space="0" w:color="auto"/>
            <w:left w:val="none" w:sz="0" w:space="0" w:color="auto"/>
            <w:bottom w:val="none" w:sz="0" w:space="0" w:color="auto"/>
            <w:right w:val="none" w:sz="0" w:space="0" w:color="auto"/>
          </w:divBdr>
        </w:div>
        <w:div w:id="1595674043">
          <w:marLeft w:val="640"/>
          <w:marRight w:val="0"/>
          <w:marTop w:val="0"/>
          <w:marBottom w:val="0"/>
          <w:divBdr>
            <w:top w:val="none" w:sz="0" w:space="0" w:color="auto"/>
            <w:left w:val="none" w:sz="0" w:space="0" w:color="auto"/>
            <w:bottom w:val="none" w:sz="0" w:space="0" w:color="auto"/>
            <w:right w:val="none" w:sz="0" w:space="0" w:color="auto"/>
          </w:divBdr>
        </w:div>
        <w:div w:id="2073236521">
          <w:marLeft w:val="640"/>
          <w:marRight w:val="0"/>
          <w:marTop w:val="0"/>
          <w:marBottom w:val="0"/>
          <w:divBdr>
            <w:top w:val="none" w:sz="0" w:space="0" w:color="auto"/>
            <w:left w:val="none" w:sz="0" w:space="0" w:color="auto"/>
            <w:bottom w:val="none" w:sz="0" w:space="0" w:color="auto"/>
            <w:right w:val="none" w:sz="0" w:space="0" w:color="auto"/>
          </w:divBdr>
        </w:div>
        <w:div w:id="321399474">
          <w:marLeft w:val="640"/>
          <w:marRight w:val="0"/>
          <w:marTop w:val="0"/>
          <w:marBottom w:val="0"/>
          <w:divBdr>
            <w:top w:val="none" w:sz="0" w:space="0" w:color="auto"/>
            <w:left w:val="none" w:sz="0" w:space="0" w:color="auto"/>
            <w:bottom w:val="none" w:sz="0" w:space="0" w:color="auto"/>
            <w:right w:val="none" w:sz="0" w:space="0" w:color="auto"/>
          </w:divBdr>
        </w:div>
        <w:div w:id="719523124">
          <w:marLeft w:val="640"/>
          <w:marRight w:val="0"/>
          <w:marTop w:val="0"/>
          <w:marBottom w:val="0"/>
          <w:divBdr>
            <w:top w:val="none" w:sz="0" w:space="0" w:color="auto"/>
            <w:left w:val="none" w:sz="0" w:space="0" w:color="auto"/>
            <w:bottom w:val="none" w:sz="0" w:space="0" w:color="auto"/>
            <w:right w:val="none" w:sz="0" w:space="0" w:color="auto"/>
          </w:divBdr>
        </w:div>
        <w:div w:id="564150130">
          <w:marLeft w:val="640"/>
          <w:marRight w:val="0"/>
          <w:marTop w:val="0"/>
          <w:marBottom w:val="0"/>
          <w:divBdr>
            <w:top w:val="none" w:sz="0" w:space="0" w:color="auto"/>
            <w:left w:val="none" w:sz="0" w:space="0" w:color="auto"/>
            <w:bottom w:val="none" w:sz="0" w:space="0" w:color="auto"/>
            <w:right w:val="none" w:sz="0" w:space="0" w:color="auto"/>
          </w:divBdr>
        </w:div>
        <w:div w:id="30112427">
          <w:marLeft w:val="640"/>
          <w:marRight w:val="0"/>
          <w:marTop w:val="0"/>
          <w:marBottom w:val="0"/>
          <w:divBdr>
            <w:top w:val="none" w:sz="0" w:space="0" w:color="auto"/>
            <w:left w:val="none" w:sz="0" w:space="0" w:color="auto"/>
            <w:bottom w:val="none" w:sz="0" w:space="0" w:color="auto"/>
            <w:right w:val="none" w:sz="0" w:space="0" w:color="auto"/>
          </w:divBdr>
        </w:div>
        <w:div w:id="1329359435">
          <w:marLeft w:val="640"/>
          <w:marRight w:val="0"/>
          <w:marTop w:val="0"/>
          <w:marBottom w:val="0"/>
          <w:divBdr>
            <w:top w:val="none" w:sz="0" w:space="0" w:color="auto"/>
            <w:left w:val="none" w:sz="0" w:space="0" w:color="auto"/>
            <w:bottom w:val="none" w:sz="0" w:space="0" w:color="auto"/>
            <w:right w:val="none" w:sz="0" w:space="0" w:color="auto"/>
          </w:divBdr>
        </w:div>
        <w:div w:id="299917006">
          <w:marLeft w:val="640"/>
          <w:marRight w:val="0"/>
          <w:marTop w:val="0"/>
          <w:marBottom w:val="0"/>
          <w:divBdr>
            <w:top w:val="none" w:sz="0" w:space="0" w:color="auto"/>
            <w:left w:val="none" w:sz="0" w:space="0" w:color="auto"/>
            <w:bottom w:val="none" w:sz="0" w:space="0" w:color="auto"/>
            <w:right w:val="none" w:sz="0" w:space="0" w:color="auto"/>
          </w:divBdr>
        </w:div>
        <w:div w:id="859274341">
          <w:marLeft w:val="640"/>
          <w:marRight w:val="0"/>
          <w:marTop w:val="0"/>
          <w:marBottom w:val="0"/>
          <w:divBdr>
            <w:top w:val="none" w:sz="0" w:space="0" w:color="auto"/>
            <w:left w:val="none" w:sz="0" w:space="0" w:color="auto"/>
            <w:bottom w:val="none" w:sz="0" w:space="0" w:color="auto"/>
            <w:right w:val="none" w:sz="0" w:space="0" w:color="auto"/>
          </w:divBdr>
        </w:div>
        <w:div w:id="1493908198">
          <w:marLeft w:val="640"/>
          <w:marRight w:val="0"/>
          <w:marTop w:val="0"/>
          <w:marBottom w:val="0"/>
          <w:divBdr>
            <w:top w:val="none" w:sz="0" w:space="0" w:color="auto"/>
            <w:left w:val="none" w:sz="0" w:space="0" w:color="auto"/>
            <w:bottom w:val="none" w:sz="0" w:space="0" w:color="auto"/>
            <w:right w:val="none" w:sz="0" w:space="0" w:color="auto"/>
          </w:divBdr>
        </w:div>
        <w:div w:id="996345419">
          <w:marLeft w:val="640"/>
          <w:marRight w:val="0"/>
          <w:marTop w:val="0"/>
          <w:marBottom w:val="0"/>
          <w:divBdr>
            <w:top w:val="none" w:sz="0" w:space="0" w:color="auto"/>
            <w:left w:val="none" w:sz="0" w:space="0" w:color="auto"/>
            <w:bottom w:val="none" w:sz="0" w:space="0" w:color="auto"/>
            <w:right w:val="none" w:sz="0" w:space="0" w:color="auto"/>
          </w:divBdr>
        </w:div>
        <w:div w:id="625280308">
          <w:marLeft w:val="640"/>
          <w:marRight w:val="0"/>
          <w:marTop w:val="0"/>
          <w:marBottom w:val="0"/>
          <w:divBdr>
            <w:top w:val="none" w:sz="0" w:space="0" w:color="auto"/>
            <w:left w:val="none" w:sz="0" w:space="0" w:color="auto"/>
            <w:bottom w:val="none" w:sz="0" w:space="0" w:color="auto"/>
            <w:right w:val="none" w:sz="0" w:space="0" w:color="auto"/>
          </w:divBdr>
        </w:div>
        <w:div w:id="1028872609">
          <w:marLeft w:val="640"/>
          <w:marRight w:val="0"/>
          <w:marTop w:val="0"/>
          <w:marBottom w:val="0"/>
          <w:divBdr>
            <w:top w:val="none" w:sz="0" w:space="0" w:color="auto"/>
            <w:left w:val="none" w:sz="0" w:space="0" w:color="auto"/>
            <w:bottom w:val="none" w:sz="0" w:space="0" w:color="auto"/>
            <w:right w:val="none" w:sz="0" w:space="0" w:color="auto"/>
          </w:divBdr>
        </w:div>
        <w:div w:id="1152871831">
          <w:marLeft w:val="640"/>
          <w:marRight w:val="0"/>
          <w:marTop w:val="0"/>
          <w:marBottom w:val="0"/>
          <w:divBdr>
            <w:top w:val="none" w:sz="0" w:space="0" w:color="auto"/>
            <w:left w:val="none" w:sz="0" w:space="0" w:color="auto"/>
            <w:bottom w:val="none" w:sz="0" w:space="0" w:color="auto"/>
            <w:right w:val="none" w:sz="0" w:space="0" w:color="auto"/>
          </w:divBdr>
        </w:div>
        <w:div w:id="1821652471">
          <w:marLeft w:val="640"/>
          <w:marRight w:val="0"/>
          <w:marTop w:val="0"/>
          <w:marBottom w:val="0"/>
          <w:divBdr>
            <w:top w:val="none" w:sz="0" w:space="0" w:color="auto"/>
            <w:left w:val="none" w:sz="0" w:space="0" w:color="auto"/>
            <w:bottom w:val="none" w:sz="0" w:space="0" w:color="auto"/>
            <w:right w:val="none" w:sz="0" w:space="0" w:color="auto"/>
          </w:divBdr>
        </w:div>
        <w:div w:id="1492990440">
          <w:marLeft w:val="640"/>
          <w:marRight w:val="0"/>
          <w:marTop w:val="0"/>
          <w:marBottom w:val="0"/>
          <w:divBdr>
            <w:top w:val="none" w:sz="0" w:space="0" w:color="auto"/>
            <w:left w:val="none" w:sz="0" w:space="0" w:color="auto"/>
            <w:bottom w:val="none" w:sz="0" w:space="0" w:color="auto"/>
            <w:right w:val="none" w:sz="0" w:space="0" w:color="auto"/>
          </w:divBdr>
        </w:div>
        <w:div w:id="2058161271">
          <w:marLeft w:val="640"/>
          <w:marRight w:val="0"/>
          <w:marTop w:val="0"/>
          <w:marBottom w:val="0"/>
          <w:divBdr>
            <w:top w:val="none" w:sz="0" w:space="0" w:color="auto"/>
            <w:left w:val="none" w:sz="0" w:space="0" w:color="auto"/>
            <w:bottom w:val="none" w:sz="0" w:space="0" w:color="auto"/>
            <w:right w:val="none" w:sz="0" w:space="0" w:color="auto"/>
          </w:divBdr>
        </w:div>
        <w:div w:id="293751083">
          <w:marLeft w:val="640"/>
          <w:marRight w:val="0"/>
          <w:marTop w:val="0"/>
          <w:marBottom w:val="0"/>
          <w:divBdr>
            <w:top w:val="none" w:sz="0" w:space="0" w:color="auto"/>
            <w:left w:val="none" w:sz="0" w:space="0" w:color="auto"/>
            <w:bottom w:val="none" w:sz="0" w:space="0" w:color="auto"/>
            <w:right w:val="none" w:sz="0" w:space="0" w:color="auto"/>
          </w:divBdr>
        </w:div>
        <w:div w:id="1024671183">
          <w:marLeft w:val="640"/>
          <w:marRight w:val="0"/>
          <w:marTop w:val="0"/>
          <w:marBottom w:val="0"/>
          <w:divBdr>
            <w:top w:val="none" w:sz="0" w:space="0" w:color="auto"/>
            <w:left w:val="none" w:sz="0" w:space="0" w:color="auto"/>
            <w:bottom w:val="none" w:sz="0" w:space="0" w:color="auto"/>
            <w:right w:val="none" w:sz="0" w:space="0" w:color="auto"/>
          </w:divBdr>
        </w:div>
        <w:div w:id="1338192477">
          <w:marLeft w:val="640"/>
          <w:marRight w:val="0"/>
          <w:marTop w:val="0"/>
          <w:marBottom w:val="0"/>
          <w:divBdr>
            <w:top w:val="none" w:sz="0" w:space="0" w:color="auto"/>
            <w:left w:val="none" w:sz="0" w:space="0" w:color="auto"/>
            <w:bottom w:val="none" w:sz="0" w:space="0" w:color="auto"/>
            <w:right w:val="none" w:sz="0" w:space="0" w:color="auto"/>
          </w:divBdr>
        </w:div>
        <w:div w:id="1719157912">
          <w:marLeft w:val="640"/>
          <w:marRight w:val="0"/>
          <w:marTop w:val="0"/>
          <w:marBottom w:val="0"/>
          <w:divBdr>
            <w:top w:val="none" w:sz="0" w:space="0" w:color="auto"/>
            <w:left w:val="none" w:sz="0" w:space="0" w:color="auto"/>
            <w:bottom w:val="none" w:sz="0" w:space="0" w:color="auto"/>
            <w:right w:val="none" w:sz="0" w:space="0" w:color="auto"/>
          </w:divBdr>
        </w:div>
        <w:div w:id="86004085">
          <w:marLeft w:val="640"/>
          <w:marRight w:val="0"/>
          <w:marTop w:val="0"/>
          <w:marBottom w:val="0"/>
          <w:divBdr>
            <w:top w:val="none" w:sz="0" w:space="0" w:color="auto"/>
            <w:left w:val="none" w:sz="0" w:space="0" w:color="auto"/>
            <w:bottom w:val="none" w:sz="0" w:space="0" w:color="auto"/>
            <w:right w:val="none" w:sz="0" w:space="0" w:color="auto"/>
          </w:divBdr>
        </w:div>
        <w:div w:id="1344278561">
          <w:marLeft w:val="640"/>
          <w:marRight w:val="0"/>
          <w:marTop w:val="0"/>
          <w:marBottom w:val="0"/>
          <w:divBdr>
            <w:top w:val="none" w:sz="0" w:space="0" w:color="auto"/>
            <w:left w:val="none" w:sz="0" w:space="0" w:color="auto"/>
            <w:bottom w:val="none" w:sz="0" w:space="0" w:color="auto"/>
            <w:right w:val="none" w:sz="0" w:space="0" w:color="auto"/>
          </w:divBdr>
        </w:div>
        <w:div w:id="922449869">
          <w:marLeft w:val="640"/>
          <w:marRight w:val="0"/>
          <w:marTop w:val="0"/>
          <w:marBottom w:val="0"/>
          <w:divBdr>
            <w:top w:val="none" w:sz="0" w:space="0" w:color="auto"/>
            <w:left w:val="none" w:sz="0" w:space="0" w:color="auto"/>
            <w:bottom w:val="none" w:sz="0" w:space="0" w:color="auto"/>
            <w:right w:val="none" w:sz="0" w:space="0" w:color="auto"/>
          </w:divBdr>
        </w:div>
        <w:div w:id="1670332973">
          <w:marLeft w:val="640"/>
          <w:marRight w:val="0"/>
          <w:marTop w:val="0"/>
          <w:marBottom w:val="0"/>
          <w:divBdr>
            <w:top w:val="none" w:sz="0" w:space="0" w:color="auto"/>
            <w:left w:val="none" w:sz="0" w:space="0" w:color="auto"/>
            <w:bottom w:val="none" w:sz="0" w:space="0" w:color="auto"/>
            <w:right w:val="none" w:sz="0" w:space="0" w:color="auto"/>
          </w:divBdr>
        </w:div>
        <w:div w:id="1607880528">
          <w:marLeft w:val="640"/>
          <w:marRight w:val="0"/>
          <w:marTop w:val="0"/>
          <w:marBottom w:val="0"/>
          <w:divBdr>
            <w:top w:val="none" w:sz="0" w:space="0" w:color="auto"/>
            <w:left w:val="none" w:sz="0" w:space="0" w:color="auto"/>
            <w:bottom w:val="none" w:sz="0" w:space="0" w:color="auto"/>
            <w:right w:val="none" w:sz="0" w:space="0" w:color="auto"/>
          </w:divBdr>
        </w:div>
        <w:div w:id="1534801866">
          <w:marLeft w:val="640"/>
          <w:marRight w:val="0"/>
          <w:marTop w:val="0"/>
          <w:marBottom w:val="0"/>
          <w:divBdr>
            <w:top w:val="none" w:sz="0" w:space="0" w:color="auto"/>
            <w:left w:val="none" w:sz="0" w:space="0" w:color="auto"/>
            <w:bottom w:val="none" w:sz="0" w:space="0" w:color="auto"/>
            <w:right w:val="none" w:sz="0" w:space="0" w:color="auto"/>
          </w:divBdr>
        </w:div>
        <w:div w:id="71900560">
          <w:marLeft w:val="640"/>
          <w:marRight w:val="0"/>
          <w:marTop w:val="0"/>
          <w:marBottom w:val="0"/>
          <w:divBdr>
            <w:top w:val="none" w:sz="0" w:space="0" w:color="auto"/>
            <w:left w:val="none" w:sz="0" w:space="0" w:color="auto"/>
            <w:bottom w:val="none" w:sz="0" w:space="0" w:color="auto"/>
            <w:right w:val="none" w:sz="0" w:space="0" w:color="auto"/>
          </w:divBdr>
        </w:div>
        <w:div w:id="845285468">
          <w:marLeft w:val="640"/>
          <w:marRight w:val="0"/>
          <w:marTop w:val="0"/>
          <w:marBottom w:val="0"/>
          <w:divBdr>
            <w:top w:val="none" w:sz="0" w:space="0" w:color="auto"/>
            <w:left w:val="none" w:sz="0" w:space="0" w:color="auto"/>
            <w:bottom w:val="none" w:sz="0" w:space="0" w:color="auto"/>
            <w:right w:val="none" w:sz="0" w:space="0" w:color="auto"/>
          </w:divBdr>
        </w:div>
        <w:div w:id="1830629476">
          <w:marLeft w:val="640"/>
          <w:marRight w:val="0"/>
          <w:marTop w:val="0"/>
          <w:marBottom w:val="0"/>
          <w:divBdr>
            <w:top w:val="none" w:sz="0" w:space="0" w:color="auto"/>
            <w:left w:val="none" w:sz="0" w:space="0" w:color="auto"/>
            <w:bottom w:val="none" w:sz="0" w:space="0" w:color="auto"/>
            <w:right w:val="none" w:sz="0" w:space="0" w:color="auto"/>
          </w:divBdr>
        </w:div>
        <w:div w:id="466513849">
          <w:marLeft w:val="640"/>
          <w:marRight w:val="0"/>
          <w:marTop w:val="0"/>
          <w:marBottom w:val="0"/>
          <w:divBdr>
            <w:top w:val="none" w:sz="0" w:space="0" w:color="auto"/>
            <w:left w:val="none" w:sz="0" w:space="0" w:color="auto"/>
            <w:bottom w:val="none" w:sz="0" w:space="0" w:color="auto"/>
            <w:right w:val="none" w:sz="0" w:space="0" w:color="auto"/>
          </w:divBdr>
        </w:div>
        <w:div w:id="51587793">
          <w:marLeft w:val="640"/>
          <w:marRight w:val="0"/>
          <w:marTop w:val="0"/>
          <w:marBottom w:val="0"/>
          <w:divBdr>
            <w:top w:val="none" w:sz="0" w:space="0" w:color="auto"/>
            <w:left w:val="none" w:sz="0" w:space="0" w:color="auto"/>
            <w:bottom w:val="none" w:sz="0" w:space="0" w:color="auto"/>
            <w:right w:val="none" w:sz="0" w:space="0" w:color="auto"/>
          </w:divBdr>
        </w:div>
        <w:div w:id="334190757">
          <w:marLeft w:val="640"/>
          <w:marRight w:val="0"/>
          <w:marTop w:val="0"/>
          <w:marBottom w:val="0"/>
          <w:divBdr>
            <w:top w:val="none" w:sz="0" w:space="0" w:color="auto"/>
            <w:left w:val="none" w:sz="0" w:space="0" w:color="auto"/>
            <w:bottom w:val="none" w:sz="0" w:space="0" w:color="auto"/>
            <w:right w:val="none" w:sz="0" w:space="0" w:color="auto"/>
          </w:divBdr>
        </w:div>
        <w:div w:id="184566410">
          <w:marLeft w:val="640"/>
          <w:marRight w:val="0"/>
          <w:marTop w:val="0"/>
          <w:marBottom w:val="0"/>
          <w:divBdr>
            <w:top w:val="none" w:sz="0" w:space="0" w:color="auto"/>
            <w:left w:val="none" w:sz="0" w:space="0" w:color="auto"/>
            <w:bottom w:val="none" w:sz="0" w:space="0" w:color="auto"/>
            <w:right w:val="none" w:sz="0" w:space="0" w:color="auto"/>
          </w:divBdr>
        </w:div>
        <w:div w:id="156502017">
          <w:marLeft w:val="640"/>
          <w:marRight w:val="0"/>
          <w:marTop w:val="0"/>
          <w:marBottom w:val="0"/>
          <w:divBdr>
            <w:top w:val="none" w:sz="0" w:space="0" w:color="auto"/>
            <w:left w:val="none" w:sz="0" w:space="0" w:color="auto"/>
            <w:bottom w:val="none" w:sz="0" w:space="0" w:color="auto"/>
            <w:right w:val="none" w:sz="0" w:space="0" w:color="auto"/>
          </w:divBdr>
        </w:div>
        <w:div w:id="202402231">
          <w:marLeft w:val="640"/>
          <w:marRight w:val="0"/>
          <w:marTop w:val="0"/>
          <w:marBottom w:val="0"/>
          <w:divBdr>
            <w:top w:val="none" w:sz="0" w:space="0" w:color="auto"/>
            <w:left w:val="none" w:sz="0" w:space="0" w:color="auto"/>
            <w:bottom w:val="none" w:sz="0" w:space="0" w:color="auto"/>
            <w:right w:val="none" w:sz="0" w:space="0" w:color="auto"/>
          </w:divBdr>
        </w:div>
        <w:div w:id="368800927">
          <w:marLeft w:val="640"/>
          <w:marRight w:val="0"/>
          <w:marTop w:val="0"/>
          <w:marBottom w:val="0"/>
          <w:divBdr>
            <w:top w:val="none" w:sz="0" w:space="0" w:color="auto"/>
            <w:left w:val="none" w:sz="0" w:space="0" w:color="auto"/>
            <w:bottom w:val="none" w:sz="0" w:space="0" w:color="auto"/>
            <w:right w:val="none" w:sz="0" w:space="0" w:color="auto"/>
          </w:divBdr>
        </w:div>
        <w:div w:id="432020655">
          <w:marLeft w:val="640"/>
          <w:marRight w:val="0"/>
          <w:marTop w:val="0"/>
          <w:marBottom w:val="0"/>
          <w:divBdr>
            <w:top w:val="none" w:sz="0" w:space="0" w:color="auto"/>
            <w:left w:val="none" w:sz="0" w:space="0" w:color="auto"/>
            <w:bottom w:val="none" w:sz="0" w:space="0" w:color="auto"/>
            <w:right w:val="none" w:sz="0" w:space="0" w:color="auto"/>
          </w:divBdr>
        </w:div>
        <w:div w:id="875043360">
          <w:marLeft w:val="640"/>
          <w:marRight w:val="0"/>
          <w:marTop w:val="0"/>
          <w:marBottom w:val="0"/>
          <w:divBdr>
            <w:top w:val="none" w:sz="0" w:space="0" w:color="auto"/>
            <w:left w:val="none" w:sz="0" w:space="0" w:color="auto"/>
            <w:bottom w:val="none" w:sz="0" w:space="0" w:color="auto"/>
            <w:right w:val="none" w:sz="0" w:space="0" w:color="auto"/>
          </w:divBdr>
        </w:div>
        <w:div w:id="1853957891">
          <w:marLeft w:val="640"/>
          <w:marRight w:val="0"/>
          <w:marTop w:val="0"/>
          <w:marBottom w:val="0"/>
          <w:divBdr>
            <w:top w:val="none" w:sz="0" w:space="0" w:color="auto"/>
            <w:left w:val="none" w:sz="0" w:space="0" w:color="auto"/>
            <w:bottom w:val="none" w:sz="0" w:space="0" w:color="auto"/>
            <w:right w:val="none" w:sz="0" w:space="0" w:color="auto"/>
          </w:divBdr>
        </w:div>
        <w:div w:id="844898088">
          <w:marLeft w:val="640"/>
          <w:marRight w:val="0"/>
          <w:marTop w:val="0"/>
          <w:marBottom w:val="0"/>
          <w:divBdr>
            <w:top w:val="none" w:sz="0" w:space="0" w:color="auto"/>
            <w:left w:val="none" w:sz="0" w:space="0" w:color="auto"/>
            <w:bottom w:val="none" w:sz="0" w:space="0" w:color="auto"/>
            <w:right w:val="none" w:sz="0" w:space="0" w:color="auto"/>
          </w:divBdr>
        </w:div>
        <w:div w:id="1811939334">
          <w:marLeft w:val="640"/>
          <w:marRight w:val="0"/>
          <w:marTop w:val="0"/>
          <w:marBottom w:val="0"/>
          <w:divBdr>
            <w:top w:val="none" w:sz="0" w:space="0" w:color="auto"/>
            <w:left w:val="none" w:sz="0" w:space="0" w:color="auto"/>
            <w:bottom w:val="none" w:sz="0" w:space="0" w:color="auto"/>
            <w:right w:val="none" w:sz="0" w:space="0" w:color="auto"/>
          </w:divBdr>
        </w:div>
        <w:div w:id="274598263">
          <w:marLeft w:val="640"/>
          <w:marRight w:val="0"/>
          <w:marTop w:val="0"/>
          <w:marBottom w:val="0"/>
          <w:divBdr>
            <w:top w:val="none" w:sz="0" w:space="0" w:color="auto"/>
            <w:left w:val="none" w:sz="0" w:space="0" w:color="auto"/>
            <w:bottom w:val="none" w:sz="0" w:space="0" w:color="auto"/>
            <w:right w:val="none" w:sz="0" w:space="0" w:color="auto"/>
          </w:divBdr>
        </w:div>
        <w:div w:id="826165069">
          <w:marLeft w:val="640"/>
          <w:marRight w:val="0"/>
          <w:marTop w:val="0"/>
          <w:marBottom w:val="0"/>
          <w:divBdr>
            <w:top w:val="none" w:sz="0" w:space="0" w:color="auto"/>
            <w:left w:val="none" w:sz="0" w:space="0" w:color="auto"/>
            <w:bottom w:val="none" w:sz="0" w:space="0" w:color="auto"/>
            <w:right w:val="none" w:sz="0" w:space="0" w:color="auto"/>
          </w:divBdr>
        </w:div>
        <w:div w:id="1560634806">
          <w:marLeft w:val="640"/>
          <w:marRight w:val="0"/>
          <w:marTop w:val="0"/>
          <w:marBottom w:val="0"/>
          <w:divBdr>
            <w:top w:val="none" w:sz="0" w:space="0" w:color="auto"/>
            <w:left w:val="none" w:sz="0" w:space="0" w:color="auto"/>
            <w:bottom w:val="none" w:sz="0" w:space="0" w:color="auto"/>
            <w:right w:val="none" w:sz="0" w:space="0" w:color="auto"/>
          </w:divBdr>
        </w:div>
        <w:div w:id="576284754">
          <w:marLeft w:val="640"/>
          <w:marRight w:val="0"/>
          <w:marTop w:val="0"/>
          <w:marBottom w:val="0"/>
          <w:divBdr>
            <w:top w:val="none" w:sz="0" w:space="0" w:color="auto"/>
            <w:left w:val="none" w:sz="0" w:space="0" w:color="auto"/>
            <w:bottom w:val="none" w:sz="0" w:space="0" w:color="auto"/>
            <w:right w:val="none" w:sz="0" w:space="0" w:color="auto"/>
          </w:divBdr>
        </w:div>
        <w:div w:id="967130373">
          <w:marLeft w:val="640"/>
          <w:marRight w:val="0"/>
          <w:marTop w:val="0"/>
          <w:marBottom w:val="0"/>
          <w:divBdr>
            <w:top w:val="none" w:sz="0" w:space="0" w:color="auto"/>
            <w:left w:val="none" w:sz="0" w:space="0" w:color="auto"/>
            <w:bottom w:val="none" w:sz="0" w:space="0" w:color="auto"/>
            <w:right w:val="none" w:sz="0" w:space="0" w:color="auto"/>
          </w:divBdr>
        </w:div>
        <w:div w:id="367534696">
          <w:marLeft w:val="640"/>
          <w:marRight w:val="0"/>
          <w:marTop w:val="0"/>
          <w:marBottom w:val="0"/>
          <w:divBdr>
            <w:top w:val="none" w:sz="0" w:space="0" w:color="auto"/>
            <w:left w:val="none" w:sz="0" w:space="0" w:color="auto"/>
            <w:bottom w:val="none" w:sz="0" w:space="0" w:color="auto"/>
            <w:right w:val="none" w:sz="0" w:space="0" w:color="auto"/>
          </w:divBdr>
        </w:div>
        <w:div w:id="1045981712">
          <w:marLeft w:val="640"/>
          <w:marRight w:val="0"/>
          <w:marTop w:val="0"/>
          <w:marBottom w:val="0"/>
          <w:divBdr>
            <w:top w:val="none" w:sz="0" w:space="0" w:color="auto"/>
            <w:left w:val="none" w:sz="0" w:space="0" w:color="auto"/>
            <w:bottom w:val="none" w:sz="0" w:space="0" w:color="auto"/>
            <w:right w:val="none" w:sz="0" w:space="0" w:color="auto"/>
          </w:divBdr>
        </w:div>
        <w:div w:id="844247232">
          <w:marLeft w:val="640"/>
          <w:marRight w:val="0"/>
          <w:marTop w:val="0"/>
          <w:marBottom w:val="0"/>
          <w:divBdr>
            <w:top w:val="none" w:sz="0" w:space="0" w:color="auto"/>
            <w:left w:val="none" w:sz="0" w:space="0" w:color="auto"/>
            <w:bottom w:val="none" w:sz="0" w:space="0" w:color="auto"/>
            <w:right w:val="none" w:sz="0" w:space="0" w:color="auto"/>
          </w:divBdr>
        </w:div>
        <w:div w:id="1088119628">
          <w:marLeft w:val="640"/>
          <w:marRight w:val="0"/>
          <w:marTop w:val="0"/>
          <w:marBottom w:val="0"/>
          <w:divBdr>
            <w:top w:val="none" w:sz="0" w:space="0" w:color="auto"/>
            <w:left w:val="none" w:sz="0" w:space="0" w:color="auto"/>
            <w:bottom w:val="none" w:sz="0" w:space="0" w:color="auto"/>
            <w:right w:val="none" w:sz="0" w:space="0" w:color="auto"/>
          </w:divBdr>
        </w:div>
        <w:div w:id="952398874">
          <w:marLeft w:val="640"/>
          <w:marRight w:val="0"/>
          <w:marTop w:val="0"/>
          <w:marBottom w:val="0"/>
          <w:divBdr>
            <w:top w:val="none" w:sz="0" w:space="0" w:color="auto"/>
            <w:left w:val="none" w:sz="0" w:space="0" w:color="auto"/>
            <w:bottom w:val="none" w:sz="0" w:space="0" w:color="auto"/>
            <w:right w:val="none" w:sz="0" w:space="0" w:color="auto"/>
          </w:divBdr>
        </w:div>
        <w:div w:id="1001540246">
          <w:marLeft w:val="640"/>
          <w:marRight w:val="0"/>
          <w:marTop w:val="0"/>
          <w:marBottom w:val="0"/>
          <w:divBdr>
            <w:top w:val="none" w:sz="0" w:space="0" w:color="auto"/>
            <w:left w:val="none" w:sz="0" w:space="0" w:color="auto"/>
            <w:bottom w:val="none" w:sz="0" w:space="0" w:color="auto"/>
            <w:right w:val="none" w:sz="0" w:space="0" w:color="auto"/>
          </w:divBdr>
        </w:div>
        <w:div w:id="1393384567">
          <w:marLeft w:val="640"/>
          <w:marRight w:val="0"/>
          <w:marTop w:val="0"/>
          <w:marBottom w:val="0"/>
          <w:divBdr>
            <w:top w:val="none" w:sz="0" w:space="0" w:color="auto"/>
            <w:left w:val="none" w:sz="0" w:space="0" w:color="auto"/>
            <w:bottom w:val="none" w:sz="0" w:space="0" w:color="auto"/>
            <w:right w:val="none" w:sz="0" w:space="0" w:color="auto"/>
          </w:divBdr>
        </w:div>
        <w:div w:id="952590592">
          <w:marLeft w:val="640"/>
          <w:marRight w:val="0"/>
          <w:marTop w:val="0"/>
          <w:marBottom w:val="0"/>
          <w:divBdr>
            <w:top w:val="none" w:sz="0" w:space="0" w:color="auto"/>
            <w:left w:val="none" w:sz="0" w:space="0" w:color="auto"/>
            <w:bottom w:val="none" w:sz="0" w:space="0" w:color="auto"/>
            <w:right w:val="none" w:sz="0" w:space="0" w:color="auto"/>
          </w:divBdr>
        </w:div>
        <w:div w:id="1216311611">
          <w:marLeft w:val="640"/>
          <w:marRight w:val="0"/>
          <w:marTop w:val="0"/>
          <w:marBottom w:val="0"/>
          <w:divBdr>
            <w:top w:val="none" w:sz="0" w:space="0" w:color="auto"/>
            <w:left w:val="none" w:sz="0" w:space="0" w:color="auto"/>
            <w:bottom w:val="none" w:sz="0" w:space="0" w:color="auto"/>
            <w:right w:val="none" w:sz="0" w:space="0" w:color="auto"/>
          </w:divBdr>
        </w:div>
        <w:div w:id="351222046">
          <w:marLeft w:val="640"/>
          <w:marRight w:val="0"/>
          <w:marTop w:val="0"/>
          <w:marBottom w:val="0"/>
          <w:divBdr>
            <w:top w:val="none" w:sz="0" w:space="0" w:color="auto"/>
            <w:left w:val="none" w:sz="0" w:space="0" w:color="auto"/>
            <w:bottom w:val="none" w:sz="0" w:space="0" w:color="auto"/>
            <w:right w:val="none" w:sz="0" w:space="0" w:color="auto"/>
          </w:divBdr>
        </w:div>
        <w:div w:id="20011494">
          <w:marLeft w:val="640"/>
          <w:marRight w:val="0"/>
          <w:marTop w:val="0"/>
          <w:marBottom w:val="0"/>
          <w:divBdr>
            <w:top w:val="none" w:sz="0" w:space="0" w:color="auto"/>
            <w:left w:val="none" w:sz="0" w:space="0" w:color="auto"/>
            <w:bottom w:val="none" w:sz="0" w:space="0" w:color="auto"/>
            <w:right w:val="none" w:sz="0" w:space="0" w:color="auto"/>
          </w:divBdr>
        </w:div>
        <w:div w:id="1042249708">
          <w:marLeft w:val="640"/>
          <w:marRight w:val="0"/>
          <w:marTop w:val="0"/>
          <w:marBottom w:val="0"/>
          <w:divBdr>
            <w:top w:val="none" w:sz="0" w:space="0" w:color="auto"/>
            <w:left w:val="none" w:sz="0" w:space="0" w:color="auto"/>
            <w:bottom w:val="none" w:sz="0" w:space="0" w:color="auto"/>
            <w:right w:val="none" w:sz="0" w:space="0" w:color="auto"/>
          </w:divBdr>
        </w:div>
        <w:div w:id="785926193">
          <w:marLeft w:val="640"/>
          <w:marRight w:val="0"/>
          <w:marTop w:val="0"/>
          <w:marBottom w:val="0"/>
          <w:divBdr>
            <w:top w:val="none" w:sz="0" w:space="0" w:color="auto"/>
            <w:left w:val="none" w:sz="0" w:space="0" w:color="auto"/>
            <w:bottom w:val="none" w:sz="0" w:space="0" w:color="auto"/>
            <w:right w:val="none" w:sz="0" w:space="0" w:color="auto"/>
          </w:divBdr>
        </w:div>
        <w:div w:id="1879392435">
          <w:marLeft w:val="640"/>
          <w:marRight w:val="0"/>
          <w:marTop w:val="0"/>
          <w:marBottom w:val="0"/>
          <w:divBdr>
            <w:top w:val="none" w:sz="0" w:space="0" w:color="auto"/>
            <w:left w:val="none" w:sz="0" w:space="0" w:color="auto"/>
            <w:bottom w:val="none" w:sz="0" w:space="0" w:color="auto"/>
            <w:right w:val="none" w:sz="0" w:space="0" w:color="auto"/>
          </w:divBdr>
        </w:div>
        <w:div w:id="1041900312">
          <w:marLeft w:val="640"/>
          <w:marRight w:val="0"/>
          <w:marTop w:val="0"/>
          <w:marBottom w:val="0"/>
          <w:divBdr>
            <w:top w:val="none" w:sz="0" w:space="0" w:color="auto"/>
            <w:left w:val="none" w:sz="0" w:space="0" w:color="auto"/>
            <w:bottom w:val="none" w:sz="0" w:space="0" w:color="auto"/>
            <w:right w:val="none" w:sz="0" w:space="0" w:color="auto"/>
          </w:divBdr>
        </w:div>
        <w:div w:id="892279110">
          <w:marLeft w:val="640"/>
          <w:marRight w:val="0"/>
          <w:marTop w:val="0"/>
          <w:marBottom w:val="0"/>
          <w:divBdr>
            <w:top w:val="none" w:sz="0" w:space="0" w:color="auto"/>
            <w:left w:val="none" w:sz="0" w:space="0" w:color="auto"/>
            <w:bottom w:val="none" w:sz="0" w:space="0" w:color="auto"/>
            <w:right w:val="none" w:sz="0" w:space="0" w:color="auto"/>
          </w:divBdr>
        </w:div>
        <w:div w:id="897327865">
          <w:marLeft w:val="640"/>
          <w:marRight w:val="0"/>
          <w:marTop w:val="0"/>
          <w:marBottom w:val="0"/>
          <w:divBdr>
            <w:top w:val="none" w:sz="0" w:space="0" w:color="auto"/>
            <w:left w:val="none" w:sz="0" w:space="0" w:color="auto"/>
            <w:bottom w:val="none" w:sz="0" w:space="0" w:color="auto"/>
            <w:right w:val="none" w:sz="0" w:space="0" w:color="auto"/>
          </w:divBdr>
        </w:div>
        <w:div w:id="912856742">
          <w:marLeft w:val="640"/>
          <w:marRight w:val="0"/>
          <w:marTop w:val="0"/>
          <w:marBottom w:val="0"/>
          <w:divBdr>
            <w:top w:val="none" w:sz="0" w:space="0" w:color="auto"/>
            <w:left w:val="none" w:sz="0" w:space="0" w:color="auto"/>
            <w:bottom w:val="none" w:sz="0" w:space="0" w:color="auto"/>
            <w:right w:val="none" w:sz="0" w:space="0" w:color="auto"/>
          </w:divBdr>
        </w:div>
        <w:div w:id="1255433249">
          <w:marLeft w:val="640"/>
          <w:marRight w:val="0"/>
          <w:marTop w:val="0"/>
          <w:marBottom w:val="0"/>
          <w:divBdr>
            <w:top w:val="none" w:sz="0" w:space="0" w:color="auto"/>
            <w:left w:val="none" w:sz="0" w:space="0" w:color="auto"/>
            <w:bottom w:val="none" w:sz="0" w:space="0" w:color="auto"/>
            <w:right w:val="none" w:sz="0" w:space="0" w:color="auto"/>
          </w:divBdr>
        </w:div>
        <w:div w:id="1840004221">
          <w:marLeft w:val="640"/>
          <w:marRight w:val="0"/>
          <w:marTop w:val="0"/>
          <w:marBottom w:val="0"/>
          <w:divBdr>
            <w:top w:val="none" w:sz="0" w:space="0" w:color="auto"/>
            <w:left w:val="none" w:sz="0" w:space="0" w:color="auto"/>
            <w:bottom w:val="none" w:sz="0" w:space="0" w:color="auto"/>
            <w:right w:val="none" w:sz="0" w:space="0" w:color="auto"/>
          </w:divBdr>
        </w:div>
        <w:div w:id="1129402194">
          <w:marLeft w:val="640"/>
          <w:marRight w:val="0"/>
          <w:marTop w:val="0"/>
          <w:marBottom w:val="0"/>
          <w:divBdr>
            <w:top w:val="none" w:sz="0" w:space="0" w:color="auto"/>
            <w:left w:val="none" w:sz="0" w:space="0" w:color="auto"/>
            <w:bottom w:val="none" w:sz="0" w:space="0" w:color="auto"/>
            <w:right w:val="none" w:sz="0" w:space="0" w:color="auto"/>
          </w:divBdr>
        </w:div>
        <w:div w:id="296029001">
          <w:marLeft w:val="640"/>
          <w:marRight w:val="0"/>
          <w:marTop w:val="0"/>
          <w:marBottom w:val="0"/>
          <w:divBdr>
            <w:top w:val="none" w:sz="0" w:space="0" w:color="auto"/>
            <w:left w:val="none" w:sz="0" w:space="0" w:color="auto"/>
            <w:bottom w:val="none" w:sz="0" w:space="0" w:color="auto"/>
            <w:right w:val="none" w:sz="0" w:space="0" w:color="auto"/>
          </w:divBdr>
        </w:div>
        <w:div w:id="51465322">
          <w:marLeft w:val="640"/>
          <w:marRight w:val="0"/>
          <w:marTop w:val="0"/>
          <w:marBottom w:val="0"/>
          <w:divBdr>
            <w:top w:val="none" w:sz="0" w:space="0" w:color="auto"/>
            <w:left w:val="none" w:sz="0" w:space="0" w:color="auto"/>
            <w:bottom w:val="none" w:sz="0" w:space="0" w:color="auto"/>
            <w:right w:val="none" w:sz="0" w:space="0" w:color="auto"/>
          </w:divBdr>
        </w:div>
        <w:div w:id="1105343950">
          <w:marLeft w:val="640"/>
          <w:marRight w:val="0"/>
          <w:marTop w:val="0"/>
          <w:marBottom w:val="0"/>
          <w:divBdr>
            <w:top w:val="none" w:sz="0" w:space="0" w:color="auto"/>
            <w:left w:val="none" w:sz="0" w:space="0" w:color="auto"/>
            <w:bottom w:val="none" w:sz="0" w:space="0" w:color="auto"/>
            <w:right w:val="none" w:sz="0" w:space="0" w:color="auto"/>
          </w:divBdr>
        </w:div>
        <w:div w:id="1628005635">
          <w:marLeft w:val="640"/>
          <w:marRight w:val="0"/>
          <w:marTop w:val="0"/>
          <w:marBottom w:val="0"/>
          <w:divBdr>
            <w:top w:val="none" w:sz="0" w:space="0" w:color="auto"/>
            <w:left w:val="none" w:sz="0" w:space="0" w:color="auto"/>
            <w:bottom w:val="none" w:sz="0" w:space="0" w:color="auto"/>
            <w:right w:val="none" w:sz="0" w:space="0" w:color="auto"/>
          </w:divBdr>
        </w:div>
        <w:div w:id="962005888">
          <w:marLeft w:val="640"/>
          <w:marRight w:val="0"/>
          <w:marTop w:val="0"/>
          <w:marBottom w:val="0"/>
          <w:divBdr>
            <w:top w:val="none" w:sz="0" w:space="0" w:color="auto"/>
            <w:left w:val="none" w:sz="0" w:space="0" w:color="auto"/>
            <w:bottom w:val="none" w:sz="0" w:space="0" w:color="auto"/>
            <w:right w:val="none" w:sz="0" w:space="0" w:color="auto"/>
          </w:divBdr>
        </w:div>
        <w:div w:id="1477336020">
          <w:marLeft w:val="640"/>
          <w:marRight w:val="0"/>
          <w:marTop w:val="0"/>
          <w:marBottom w:val="0"/>
          <w:divBdr>
            <w:top w:val="none" w:sz="0" w:space="0" w:color="auto"/>
            <w:left w:val="none" w:sz="0" w:space="0" w:color="auto"/>
            <w:bottom w:val="none" w:sz="0" w:space="0" w:color="auto"/>
            <w:right w:val="none" w:sz="0" w:space="0" w:color="auto"/>
          </w:divBdr>
        </w:div>
        <w:div w:id="1863665510">
          <w:marLeft w:val="640"/>
          <w:marRight w:val="0"/>
          <w:marTop w:val="0"/>
          <w:marBottom w:val="0"/>
          <w:divBdr>
            <w:top w:val="none" w:sz="0" w:space="0" w:color="auto"/>
            <w:left w:val="none" w:sz="0" w:space="0" w:color="auto"/>
            <w:bottom w:val="none" w:sz="0" w:space="0" w:color="auto"/>
            <w:right w:val="none" w:sz="0" w:space="0" w:color="auto"/>
          </w:divBdr>
        </w:div>
        <w:div w:id="137769079">
          <w:marLeft w:val="640"/>
          <w:marRight w:val="0"/>
          <w:marTop w:val="0"/>
          <w:marBottom w:val="0"/>
          <w:divBdr>
            <w:top w:val="none" w:sz="0" w:space="0" w:color="auto"/>
            <w:left w:val="none" w:sz="0" w:space="0" w:color="auto"/>
            <w:bottom w:val="none" w:sz="0" w:space="0" w:color="auto"/>
            <w:right w:val="none" w:sz="0" w:space="0" w:color="auto"/>
          </w:divBdr>
        </w:div>
        <w:div w:id="1333215670">
          <w:marLeft w:val="640"/>
          <w:marRight w:val="0"/>
          <w:marTop w:val="0"/>
          <w:marBottom w:val="0"/>
          <w:divBdr>
            <w:top w:val="none" w:sz="0" w:space="0" w:color="auto"/>
            <w:left w:val="none" w:sz="0" w:space="0" w:color="auto"/>
            <w:bottom w:val="none" w:sz="0" w:space="0" w:color="auto"/>
            <w:right w:val="none" w:sz="0" w:space="0" w:color="auto"/>
          </w:divBdr>
        </w:div>
        <w:div w:id="1101490018">
          <w:marLeft w:val="640"/>
          <w:marRight w:val="0"/>
          <w:marTop w:val="0"/>
          <w:marBottom w:val="0"/>
          <w:divBdr>
            <w:top w:val="none" w:sz="0" w:space="0" w:color="auto"/>
            <w:left w:val="none" w:sz="0" w:space="0" w:color="auto"/>
            <w:bottom w:val="none" w:sz="0" w:space="0" w:color="auto"/>
            <w:right w:val="none" w:sz="0" w:space="0" w:color="auto"/>
          </w:divBdr>
        </w:div>
        <w:div w:id="593126637">
          <w:marLeft w:val="640"/>
          <w:marRight w:val="0"/>
          <w:marTop w:val="0"/>
          <w:marBottom w:val="0"/>
          <w:divBdr>
            <w:top w:val="none" w:sz="0" w:space="0" w:color="auto"/>
            <w:left w:val="none" w:sz="0" w:space="0" w:color="auto"/>
            <w:bottom w:val="none" w:sz="0" w:space="0" w:color="auto"/>
            <w:right w:val="none" w:sz="0" w:space="0" w:color="auto"/>
          </w:divBdr>
        </w:div>
        <w:div w:id="1642079404">
          <w:marLeft w:val="640"/>
          <w:marRight w:val="0"/>
          <w:marTop w:val="0"/>
          <w:marBottom w:val="0"/>
          <w:divBdr>
            <w:top w:val="none" w:sz="0" w:space="0" w:color="auto"/>
            <w:left w:val="none" w:sz="0" w:space="0" w:color="auto"/>
            <w:bottom w:val="none" w:sz="0" w:space="0" w:color="auto"/>
            <w:right w:val="none" w:sz="0" w:space="0" w:color="auto"/>
          </w:divBdr>
        </w:div>
        <w:div w:id="241063202">
          <w:marLeft w:val="640"/>
          <w:marRight w:val="0"/>
          <w:marTop w:val="0"/>
          <w:marBottom w:val="0"/>
          <w:divBdr>
            <w:top w:val="none" w:sz="0" w:space="0" w:color="auto"/>
            <w:left w:val="none" w:sz="0" w:space="0" w:color="auto"/>
            <w:bottom w:val="none" w:sz="0" w:space="0" w:color="auto"/>
            <w:right w:val="none" w:sz="0" w:space="0" w:color="auto"/>
          </w:divBdr>
        </w:div>
        <w:div w:id="1720586320">
          <w:marLeft w:val="640"/>
          <w:marRight w:val="0"/>
          <w:marTop w:val="0"/>
          <w:marBottom w:val="0"/>
          <w:divBdr>
            <w:top w:val="none" w:sz="0" w:space="0" w:color="auto"/>
            <w:left w:val="none" w:sz="0" w:space="0" w:color="auto"/>
            <w:bottom w:val="none" w:sz="0" w:space="0" w:color="auto"/>
            <w:right w:val="none" w:sz="0" w:space="0" w:color="auto"/>
          </w:divBdr>
        </w:div>
        <w:div w:id="1257250541">
          <w:marLeft w:val="640"/>
          <w:marRight w:val="0"/>
          <w:marTop w:val="0"/>
          <w:marBottom w:val="0"/>
          <w:divBdr>
            <w:top w:val="none" w:sz="0" w:space="0" w:color="auto"/>
            <w:left w:val="none" w:sz="0" w:space="0" w:color="auto"/>
            <w:bottom w:val="none" w:sz="0" w:space="0" w:color="auto"/>
            <w:right w:val="none" w:sz="0" w:space="0" w:color="auto"/>
          </w:divBdr>
        </w:div>
        <w:div w:id="1193306177">
          <w:marLeft w:val="640"/>
          <w:marRight w:val="0"/>
          <w:marTop w:val="0"/>
          <w:marBottom w:val="0"/>
          <w:divBdr>
            <w:top w:val="none" w:sz="0" w:space="0" w:color="auto"/>
            <w:left w:val="none" w:sz="0" w:space="0" w:color="auto"/>
            <w:bottom w:val="none" w:sz="0" w:space="0" w:color="auto"/>
            <w:right w:val="none" w:sz="0" w:space="0" w:color="auto"/>
          </w:divBdr>
        </w:div>
        <w:div w:id="1129402217">
          <w:marLeft w:val="640"/>
          <w:marRight w:val="0"/>
          <w:marTop w:val="0"/>
          <w:marBottom w:val="0"/>
          <w:divBdr>
            <w:top w:val="none" w:sz="0" w:space="0" w:color="auto"/>
            <w:left w:val="none" w:sz="0" w:space="0" w:color="auto"/>
            <w:bottom w:val="none" w:sz="0" w:space="0" w:color="auto"/>
            <w:right w:val="none" w:sz="0" w:space="0" w:color="auto"/>
          </w:divBdr>
        </w:div>
        <w:div w:id="770512405">
          <w:marLeft w:val="640"/>
          <w:marRight w:val="0"/>
          <w:marTop w:val="0"/>
          <w:marBottom w:val="0"/>
          <w:divBdr>
            <w:top w:val="none" w:sz="0" w:space="0" w:color="auto"/>
            <w:left w:val="none" w:sz="0" w:space="0" w:color="auto"/>
            <w:bottom w:val="none" w:sz="0" w:space="0" w:color="auto"/>
            <w:right w:val="none" w:sz="0" w:space="0" w:color="auto"/>
          </w:divBdr>
        </w:div>
        <w:div w:id="1050307745">
          <w:marLeft w:val="640"/>
          <w:marRight w:val="0"/>
          <w:marTop w:val="0"/>
          <w:marBottom w:val="0"/>
          <w:divBdr>
            <w:top w:val="none" w:sz="0" w:space="0" w:color="auto"/>
            <w:left w:val="none" w:sz="0" w:space="0" w:color="auto"/>
            <w:bottom w:val="none" w:sz="0" w:space="0" w:color="auto"/>
            <w:right w:val="none" w:sz="0" w:space="0" w:color="auto"/>
          </w:divBdr>
        </w:div>
        <w:div w:id="1562252466">
          <w:marLeft w:val="640"/>
          <w:marRight w:val="0"/>
          <w:marTop w:val="0"/>
          <w:marBottom w:val="0"/>
          <w:divBdr>
            <w:top w:val="none" w:sz="0" w:space="0" w:color="auto"/>
            <w:left w:val="none" w:sz="0" w:space="0" w:color="auto"/>
            <w:bottom w:val="none" w:sz="0" w:space="0" w:color="auto"/>
            <w:right w:val="none" w:sz="0" w:space="0" w:color="auto"/>
          </w:divBdr>
        </w:div>
        <w:div w:id="1710490028">
          <w:marLeft w:val="640"/>
          <w:marRight w:val="0"/>
          <w:marTop w:val="0"/>
          <w:marBottom w:val="0"/>
          <w:divBdr>
            <w:top w:val="none" w:sz="0" w:space="0" w:color="auto"/>
            <w:left w:val="none" w:sz="0" w:space="0" w:color="auto"/>
            <w:bottom w:val="none" w:sz="0" w:space="0" w:color="auto"/>
            <w:right w:val="none" w:sz="0" w:space="0" w:color="auto"/>
          </w:divBdr>
        </w:div>
        <w:div w:id="1580140533">
          <w:marLeft w:val="640"/>
          <w:marRight w:val="0"/>
          <w:marTop w:val="0"/>
          <w:marBottom w:val="0"/>
          <w:divBdr>
            <w:top w:val="none" w:sz="0" w:space="0" w:color="auto"/>
            <w:left w:val="none" w:sz="0" w:space="0" w:color="auto"/>
            <w:bottom w:val="none" w:sz="0" w:space="0" w:color="auto"/>
            <w:right w:val="none" w:sz="0" w:space="0" w:color="auto"/>
          </w:divBdr>
        </w:div>
        <w:div w:id="323901898">
          <w:marLeft w:val="640"/>
          <w:marRight w:val="0"/>
          <w:marTop w:val="0"/>
          <w:marBottom w:val="0"/>
          <w:divBdr>
            <w:top w:val="none" w:sz="0" w:space="0" w:color="auto"/>
            <w:left w:val="none" w:sz="0" w:space="0" w:color="auto"/>
            <w:bottom w:val="none" w:sz="0" w:space="0" w:color="auto"/>
            <w:right w:val="none" w:sz="0" w:space="0" w:color="auto"/>
          </w:divBdr>
        </w:div>
        <w:div w:id="461652908">
          <w:marLeft w:val="640"/>
          <w:marRight w:val="0"/>
          <w:marTop w:val="0"/>
          <w:marBottom w:val="0"/>
          <w:divBdr>
            <w:top w:val="none" w:sz="0" w:space="0" w:color="auto"/>
            <w:left w:val="none" w:sz="0" w:space="0" w:color="auto"/>
            <w:bottom w:val="none" w:sz="0" w:space="0" w:color="auto"/>
            <w:right w:val="none" w:sz="0" w:space="0" w:color="auto"/>
          </w:divBdr>
        </w:div>
        <w:div w:id="1659916155">
          <w:marLeft w:val="640"/>
          <w:marRight w:val="0"/>
          <w:marTop w:val="0"/>
          <w:marBottom w:val="0"/>
          <w:divBdr>
            <w:top w:val="none" w:sz="0" w:space="0" w:color="auto"/>
            <w:left w:val="none" w:sz="0" w:space="0" w:color="auto"/>
            <w:bottom w:val="none" w:sz="0" w:space="0" w:color="auto"/>
            <w:right w:val="none" w:sz="0" w:space="0" w:color="auto"/>
          </w:divBdr>
        </w:div>
        <w:div w:id="35282692">
          <w:marLeft w:val="640"/>
          <w:marRight w:val="0"/>
          <w:marTop w:val="0"/>
          <w:marBottom w:val="0"/>
          <w:divBdr>
            <w:top w:val="none" w:sz="0" w:space="0" w:color="auto"/>
            <w:left w:val="none" w:sz="0" w:space="0" w:color="auto"/>
            <w:bottom w:val="none" w:sz="0" w:space="0" w:color="auto"/>
            <w:right w:val="none" w:sz="0" w:space="0" w:color="auto"/>
          </w:divBdr>
        </w:div>
        <w:div w:id="539518490">
          <w:marLeft w:val="640"/>
          <w:marRight w:val="0"/>
          <w:marTop w:val="0"/>
          <w:marBottom w:val="0"/>
          <w:divBdr>
            <w:top w:val="none" w:sz="0" w:space="0" w:color="auto"/>
            <w:left w:val="none" w:sz="0" w:space="0" w:color="auto"/>
            <w:bottom w:val="none" w:sz="0" w:space="0" w:color="auto"/>
            <w:right w:val="none" w:sz="0" w:space="0" w:color="auto"/>
          </w:divBdr>
        </w:div>
        <w:div w:id="486744422">
          <w:marLeft w:val="640"/>
          <w:marRight w:val="0"/>
          <w:marTop w:val="0"/>
          <w:marBottom w:val="0"/>
          <w:divBdr>
            <w:top w:val="none" w:sz="0" w:space="0" w:color="auto"/>
            <w:left w:val="none" w:sz="0" w:space="0" w:color="auto"/>
            <w:bottom w:val="none" w:sz="0" w:space="0" w:color="auto"/>
            <w:right w:val="none" w:sz="0" w:space="0" w:color="auto"/>
          </w:divBdr>
        </w:div>
        <w:div w:id="153108853">
          <w:marLeft w:val="640"/>
          <w:marRight w:val="0"/>
          <w:marTop w:val="0"/>
          <w:marBottom w:val="0"/>
          <w:divBdr>
            <w:top w:val="none" w:sz="0" w:space="0" w:color="auto"/>
            <w:left w:val="none" w:sz="0" w:space="0" w:color="auto"/>
            <w:bottom w:val="none" w:sz="0" w:space="0" w:color="auto"/>
            <w:right w:val="none" w:sz="0" w:space="0" w:color="auto"/>
          </w:divBdr>
        </w:div>
        <w:div w:id="607541631">
          <w:marLeft w:val="640"/>
          <w:marRight w:val="0"/>
          <w:marTop w:val="0"/>
          <w:marBottom w:val="0"/>
          <w:divBdr>
            <w:top w:val="none" w:sz="0" w:space="0" w:color="auto"/>
            <w:left w:val="none" w:sz="0" w:space="0" w:color="auto"/>
            <w:bottom w:val="none" w:sz="0" w:space="0" w:color="auto"/>
            <w:right w:val="none" w:sz="0" w:space="0" w:color="auto"/>
          </w:divBdr>
        </w:div>
        <w:div w:id="1427967638">
          <w:marLeft w:val="640"/>
          <w:marRight w:val="0"/>
          <w:marTop w:val="0"/>
          <w:marBottom w:val="0"/>
          <w:divBdr>
            <w:top w:val="none" w:sz="0" w:space="0" w:color="auto"/>
            <w:left w:val="none" w:sz="0" w:space="0" w:color="auto"/>
            <w:bottom w:val="none" w:sz="0" w:space="0" w:color="auto"/>
            <w:right w:val="none" w:sz="0" w:space="0" w:color="auto"/>
          </w:divBdr>
        </w:div>
        <w:div w:id="1103920930">
          <w:marLeft w:val="640"/>
          <w:marRight w:val="0"/>
          <w:marTop w:val="0"/>
          <w:marBottom w:val="0"/>
          <w:divBdr>
            <w:top w:val="none" w:sz="0" w:space="0" w:color="auto"/>
            <w:left w:val="none" w:sz="0" w:space="0" w:color="auto"/>
            <w:bottom w:val="none" w:sz="0" w:space="0" w:color="auto"/>
            <w:right w:val="none" w:sz="0" w:space="0" w:color="auto"/>
          </w:divBdr>
        </w:div>
        <w:div w:id="1245262388">
          <w:marLeft w:val="640"/>
          <w:marRight w:val="0"/>
          <w:marTop w:val="0"/>
          <w:marBottom w:val="0"/>
          <w:divBdr>
            <w:top w:val="none" w:sz="0" w:space="0" w:color="auto"/>
            <w:left w:val="none" w:sz="0" w:space="0" w:color="auto"/>
            <w:bottom w:val="none" w:sz="0" w:space="0" w:color="auto"/>
            <w:right w:val="none" w:sz="0" w:space="0" w:color="auto"/>
          </w:divBdr>
        </w:div>
        <w:div w:id="882789992">
          <w:marLeft w:val="640"/>
          <w:marRight w:val="0"/>
          <w:marTop w:val="0"/>
          <w:marBottom w:val="0"/>
          <w:divBdr>
            <w:top w:val="none" w:sz="0" w:space="0" w:color="auto"/>
            <w:left w:val="none" w:sz="0" w:space="0" w:color="auto"/>
            <w:bottom w:val="none" w:sz="0" w:space="0" w:color="auto"/>
            <w:right w:val="none" w:sz="0" w:space="0" w:color="auto"/>
          </w:divBdr>
        </w:div>
        <w:div w:id="526020821">
          <w:marLeft w:val="640"/>
          <w:marRight w:val="0"/>
          <w:marTop w:val="0"/>
          <w:marBottom w:val="0"/>
          <w:divBdr>
            <w:top w:val="none" w:sz="0" w:space="0" w:color="auto"/>
            <w:left w:val="none" w:sz="0" w:space="0" w:color="auto"/>
            <w:bottom w:val="none" w:sz="0" w:space="0" w:color="auto"/>
            <w:right w:val="none" w:sz="0" w:space="0" w:color="auto"/>
          </w:divBdr>
        </w:div>
        <w:div w:id="1500926886">
          <w:marLeft w:val="640"/>
          <w:marRight w:val="0"/>
          <w:marTop w:val="0"/>
          <w:marBottom w:val="0"/>
          <w:divBdr>
            <w:top w:val="none" w:sz="0" w:space="0" w:color="auto"/>
            <w:left w:val="none" w:sz="0" w:space="0" w:color="auto"/>
            <w:bottom w:val="none" w:sz="0" w:space="0" w:color="auto"/>
            <w:right w:val="none" w:sz="0" w:space="0" w:color="auto"/>
          </w:divBdr>
        </w:div>
        <w:div w:id="339936729">
          <w:marLeft w:val="640"/>
          <w:marRight w:val="0"/>
          <w:marTop w:val="0"/>
          <w:marBottom w:val="0"/>
          <w:divBdr>
            <w:top w:val="none" w:sz="0" w:space="0" w:color="auto"/>
            <w:left w:val="none" w:sz="0" w:space="0" w:color="auto"/>
            <w:bottom w:val="none" w:sz="0" w:space="0" w:color="auto"/>
            <w:right w:val="none" w:sz="0" w:space="0" w:color="auto"/>
          </w:divBdr>
        </w:div>
        <w:div w:id="1458404820">
          <w:marLeft w:val="640"/>
          <w:marRight w:val="0"/>
          <w:marTop w:val="0"/>
          <w:marBottom w:val="0"/>
          <w:divBdr>
            <w:top w:val="none" w:sz="0" w:space="0" w:color="auto"/>
            <w:left w:val="none" w:sz="0" w:space="0" w:color="auto"/>
            <w:bottom w:val="none" w:sz="0" w:space="0" w:color="auto"/>
            <w:right w:val="none" w:sz="0" w:space="0" w:color="auto"/>
          </w:divBdr>
        </w:div>
        <w:div w:id="1447314194">
          <w:marLeft w:val="640"/>
          <w:marRight w:val="0"/>
          <w:marTop w:val="0"/>
          <w:marBottom w:val="0"/>
          <w:divBdr>
            <w:top w:val="none" w:sz="0" w:space="0" w:color="auto"/>
            <w:left w:val="none" w:sz="0" w:space="0" w:color="auto"/>
            <w:bottom w:val="none" w:sz="0" w:space="0" w:color="auto"/>
            <w:right w:val="none" w:sz="0" w:space="0" w:color="auto"/>
          </w:divBdr>
        </w:div>
        <w:div w:id="654526251">
          <w:marLeft w:val="640"/>
          <w:marRight w:val="0"/>
          <w:marTop w:val="0"/>
          <w:marBottom w:val="0"/>
          <w:divBdr>
            <w:top w:val="none" w:sz="0" w:space="0" w:color="auto"/>
            <w:left w:val="none" w:sz="0" w:space="0" w:color="auto"/>
            <w:bottom w:val="none" w:sz="0" w:space="0" w:color="auto"/>
            <w:right w:val="none" w:sz="0" w:space="0" w:color="auto"/>
          </w:divBdr>
        </w:div>
        <w:div w:id="1339505195">
          <w:marLeft w:val="640"/>
          <w:marRight w:val="0"/>
          <w:marTop w:val="0"/>
          <w:marBottom w:val="0"/>
          <w:divBdr>
            <w:top w:val="none" w:sz="0" w:space="0" w:color="auto"/>
            <w:left w:val="none" w:sz="0" w:space="0" w:color="auto"/>
            <w:bottom w:val="none" w:sz="0" w:space="0" w:color="auto"/>
            <w:right w:val="none" w:sz="0" w:space="0" w:color="auto"/>
          </w:divBdr>
        </w:div>
        <w:div w:id="1182933011">
          <w:marLeft w:val="640"/>
          <w:marRight w:val="0"/>
          <w:marTop w:val="0"/>
          <w:marBottom w:val="0"/>
          <w:divBdr>
            <w:top w:val="none" w:sz="0" w:space="0" w:color="auto"/>
            <w:left w:val="none" w:sz="0" w:space="0" w:color="auto"/>
            <w:bottom w:val="none" w:sz="0" w:space="0" w:color="auto"/>
            <w:right w:val="none" w:sz="0" w:space="0" w:color="auto"/>
          </w:divBdr>
        </w:div>
        <w:div w:id="526606789">
          <w:marLeft w:val="640"/>
          <w:marRight w:val="0"/>
          <w:marTop w:val="0"/>
          <w:marBottom w:val="0"/>
          <w:divBdr>
            <w:top w:val="none" w:sz="0" w:space="0" w:color="auto"/>
            <w:left w:val="none" w:sz="0" w:space="0" w:color="auto"/>
            <w:bottom w:val="none" w:sz="0" w:space="0" w:color="auto"/>
            <w:right w:val="none" w:sz="0" w:space="0" w:color="auto"/>
          </w:divBdr>
        </w:div>
        <w:div w:id="733504672">
          <w:marLeft w:val="640"/>
          <w:marRight w:val="0"/>
          <w:marTop w:val="0"/>
          <w:marBottom w:val="0"/>
          <w:divBdr>
            <w:top w:val="none" w:sz="0" w:space="0" w:color="auto"/>
            <w:left w:val="none" w:sz="0" w:space="0" w:color="auto"/>
            <w:bottom w:val="none" w:sz="0" w:space="0" w:color="auto"/>
            <w:right w:val="none" w:sz="0" w:space="0" w:color="auto"/>
          </w:divBdr>
        </w:div>
        <w:div w:id="1295717748">
          <w:marLeft w:val="640"/>
          <w:marRight w:val="0"/>
          <w:marTop w:val="0"/>
          <w:marBottom w:val="0"/>
          <w:divBdr>
            <w:top w:val="none" w:sz="0" w:space="0" w:color="auto"/>
            <w:left w:val="none" w:sz="0" w:space="0" w:color="auto"/>
            <w:bottom w:val="none" w:sz="0" w:space="0" w:color="auto"/>
            <w:right w:val="none" w:sz="0" w:space="0" w:color="auto"/>
          </w:divBdr>
        </w:div>
        <w:div w:id="1875535282">
          <w:marLeft w:val="640"/>
          <w:marRight w:val="0"/>
          <w:marTop w:val="0"/>
          <w:marBottom w:val="0"/>
          <w:divBdr>
            <w:top w:val="none" w:sz="0" w:space="0" w:color="auto"/>
            <w:left w:val="none" w:sz="0" w:space="0" w:color="auto"/>
            <w:bottom w:val="none" w:sz="0" w:space="0" w:color="auto"/>
            <w:right w:val="none" w:sz="0" w:space="0" w:color="auto"/>
          </w:divBdr>
        </w:div>
        <w:div w:id="513305437">
          <w:marLeft w:val="640"/>
          <w:marRight w:val="0"/>
          <w:marTop w:val="0"/>
          <w:marBottom w:val="0"/>
          <w:divBdr>
            <w:top w:val="none" w:sz="0" w:space="0" w:color="auto"/>
            <w:left w:val="none" w:sz="0" w:space="0" w:color="auto"/>
            <w:bottom w:val="none" w:sz="0" w:space="0" w:color="auto"/>
            <w:right w:val="none" w:sz="0" w:space="0" w:color="auto"/>
          </w:divBdr>
        </w:div>
        <w:div w:id="364450198">
          <w:marLeft w:val="640"/>
          <w:marRight w:val="0"/>
          <w:marTop w:val="0"/>
          <w:marBottom w:val="0"/>
          <w:divBdr>
            <w:top w:val="none" w:sz="0" w:space="0" w:color="auto"/>
            <w:left w:val="none" w:sz="0" w:space="0" w:color="auto"/>
            <w:bottom w:val="none" w:sz="0" w:space="0" w:color="auto"/>
            <w:right w:val="none" w:sz="0" w:space="0" w:color="auto"/>
          </w:divBdr>
        </w:div>
        <w:div w:id="431557221">
          <w:marLeft w:val="640"/>
          <w:marRight w:val="0"/>
          <w:marTop w:val="0"/>
          <w:marBottom w:val="0"/>
          <w:divBdr>
            <w:top w:val="none" w:sz="0" w:space="0" w:color="auto"/>
            <w:left w:val="none" w:sz="0" w:space="0" w:color="auto"/>
            <w:bottom w:val="none" w:sz="0" w:space="0" w:color="auto"/>
            <w:right w:val="none" w:sz="0" w:space="0" w:color="auto"/>
          </w:divBdr>
        </w:div>
        <w:div w:id="1371877196">
          <w:marLeft w:val="640"/>
          <w:marRight w:val="0"/>
          <w:marTop w:val="0"/>
          <w:marBottom w:val="0"/>
          <w:divBdr>
            <w:top w:val="none" w:sz="0" w:space="0" w:color="auto"/>
            <w:left w:val="none" w:sz="0" w:space="0" w:color="auto"/>
            <w:bottom w:val="none" w:sz="0" w:space="0" w:color="auto"/>
            <w:right w:val="none" w:sz="0" w:space="0" w:color="auto"/>
          </w:divBdr>
        </w:div>
        <w:div w:id="1445921769">
          <w:marLeft w:val="640"/>
          <w:marRight w:val="0"/>
          <w:marTop w:val="0"/>
          <w:marBottom w:val="0"/>
          <w:divBdr>
            <w:top w:val="none" w:sz="0" w:space="0" w:color="auto"/>
            <w:left w:val="none" w:sz="0" w:space="0" w:color="auto"/>
            <w:bottom w:val="none" w:sz="0" w:space="0" w:color="auto"/>
            <w:right w:val="none" w:sz="0" w:space="0" w:color="auto"/>
          </w:divBdr>
        </w:div>
        <w:div w:id="1103116118">
          <w:marLeft w:val="640"/>
          <w:marRight w:val="0"/>
          <w:marTop w:val="0"/>
          <w:marBottom w:val="0"/>
          <w:divBdr>
            <w:top w:val="none" w:sz="0" w:space="0" w:color="auto"/>
            <w:left w:val="none" w:sz="0" w:space="0" w:color="auto"/>
            <w:bottom w:val="none" w:sz="0" w:space="0" w:color="auto"/>
            <w:right w:val="none" w:sz="0" w:space="0" w:color="auto"/>
          </w:divBdr>
        </w:div>
        <w:div w:id="1511018462">
          <w:marLeft w:val="640"/>
          <w:marRight w:val="0"/>
          <w:marTop w:val="0"/>
          <w:marBottom w:val="0"/>
          <w:divBdr>
            <w:top w:val="none" w:sz="0" w:space="0" w:color="auto"/>
            <w:left w:val="none" w:sz="0" w:space="0" w:color="auto"/>
            <w:bottom w:val="none" w:sz="0" w:space="0" w:color="auto"/>
            <w:right w:val="none" w:sz="0" w:space="0" w:color="auto"/>
          </w:divBdr>
        </w:div>
        <w:div w:id="1476992862">
          <w:marLeft w:val="640"/>
          <w:marRight w:val="0"/>
          <w:marTop w:val="0"/>
          <w:marBottom w:val="0"/>
          <w:divBdr>
            <w:top w:val="none" w:sz="0" w:space="0" w:color="auto"/>
            <w:left w:val="none" w:sz="0" w:space="0" w:color="auto"/>
            <w:bottom w:val="none" w:sz="0" w:space="0" w:color="auto"/>
            <w:right w:val="none" w:sz="0" w:space="0" w:color="auto"/>
          </w:divBdr>
        </w:div>
        <w:div w:id="1990211703">
          <w:marLeft w:val="640"/>
          <w:marRight w:val="0"/>
          <w:marTop w:val="0"/>
          <w:marBottom w:val="0"/>
          <w:divBdr>
            <w:top w:val="none" w:sz="0" w:space="0" w:color="auto"/>
            <w:left w:val="none" w:sz="0" w:space="0" w:color="auto"/>
            <w:bottom w:val="none" w:sz="0" w:space="0" w:color="auto"/>
            <w:right w:val="none" w:sz="0" w:space="0" w:color="auto"/>
          </w:divBdr>
        </w:div>
        <w:div w:id="1781413622">
          <w:marLeft w:val="640"/>
          <w:marRight w:val="0"/>
          <w:marTop w:val="0"/>
          <w:marBottom w:val="0"/>
          <w:divBdr>
            <w:top w:val="none" w:sz="0" w:space="0" w:color="auto"/>
            <w:left w:val="none" w:sz="0" w:space="0" w:color="auto"/>
            <w:bottom w:val="none" w:sz="0" w:space="0" w:color="auto"/>
            <w:right w:val="none" w:sz="0" w:space="0" w:color="auto"/>
          </w:divBdr>
        </w:div>
        <w:div w:id="2054963416">
          <w:marLeft w:val="640"/>
          <w:marRight w:val="0"/>
          <w:marTop w:val="0"/>
          <w:marBottom w:val="0"/>
          <w:divBdr>
            <w:top w:val="none" w:sz="0" w:space="0" w:color="auto"/>
            <w:left w:val="none" w:sz="0" w:space="0" w:color="auto"/>
            <w:bottom w:val="none" w:sz="0" w:space="0" w:color="auto"/>
            <w:right w:val="none" w:sz="0" w:space="0" w:color="auto"/>
          </w:divBdr>
        </w:div>
        <w:div w:id="274143534">
          <w:marLeft w:val="640"/>
          <w:marRight w:val="0"/>
          <w:marTop w:val="0"/>
          <w:marBottom w:val="0"/>
          <w:divBdr>
            <w:top w:val="none" w:sz="0" w:space="0" w:color="auto"/>
            <w:left w:val="none" w:sz="0" w:space="0" w:color="auto"/>
            <w:bottom w:val="none" w:sz="0" w:space="0" w:color="auto"/>
            <w:right w:val="none" w:sz="0" w:space="0" w:color="auto"/>
          </w:divBdr>
        </w:div>
        <w:div w:id="1940941101">
          <w:marLeft w:val="640"/>
          <w:marRight w:val="0"/>
          <w:marTop w:val="0"/>
          <w:marBottom w:val="0"/>
          <w:divBdr>
            <w:top w:val="none" w:sz="0" w:space="0" w:color="auto"/>
            <w:left w:val="none" w:sz="0" w:space="0" w:color="auto"/>
            <w:bottom w:val="none" w:sz="0" w:space="0" w:color="auto"/>
            <w:right w:val="none" w:sz="0" w:space="0" w:color="auto"/>
          </w:divBdr>
        </w:div>
        <w:div w:id="825243939">
          <w:marLeft w:val="640"/>
          <w:marRight w:val="0"/>
          <w:marTop w:val="0"/>
          <w:marBottom w:val="0"/>
          <w:divBdr>
            <w:top w:val="none" w:sz="0" w:space="0" w:color="auto"/>
            <w:left w:val="none" w:sz="0" w:space="0" w:color="auto"/>
            <w:bottom w:val="none" w:sz="0" w:space="0" w:color="auto"/>
            <w:right w:val="none" w:sz="0" w:space="0" w:color="auto"/>
          </w:divBdr>
        </w:div>
        <w:div w:id="1464734842">
          <w:marLeft w:val="640"/>
          <w:marRight w:val="0"/>
          <w:marTop w:val="0"/>
          <w:marBottom w:val="0"/>
          <w:divBdr>
            <w:top w:val="none" w:sz="0" w:space="0" w:color="auto"/>
            <w:left w:val="none" w:sz="0" w:space="0" w:color="auto"/>
            <w:bottom w:val="none" w:sz="0" w:space="0" w:color="auto"/>
            <w:right w:val="none" w:sz="0" w:space="0" w:color="auto"/>
          </w:divBdr>
        </w:div>
        <w:div w:id="756754351">
          <w:marLeft w:val="640"/>
          <w:marRight w:val="0"/>
          <w:marTop w:val="0"/>
          <w:marBottom w:val="0"/>
          <w:divBdr>
            <w:top w:val="none" w:sz="0" w:space="0" w:color="auto"/>
            <w:left w:val="none" w:sz="0" w:space="0" w:color="auto"/>
            <w:bottom w:val="none" w:sz="0" w:space="0" w:color="auto"/>
            <w:right w:val="none" w:sz="0" w:space="0" w:color="auto"/>
          </w:divBdr>
        </w:div>
        <w:div w:id="970282532">
          <w:marLeft w:val="640"/>
          <w:marRight w:val="0"/>
          <w:marTop w:val="0"/>
          <w:marBottom w:val="0"/>
          <w:divBdr>
            <w:top w:val="none" w:sz="0" w:space="0" w:color="auto"/>
            <w:left w:val="none" w:sz="0" w:space="0" w:color="auto"/>
            <w:bottom w:val="none" w:sz="0" w:space="0" w:color="auto"/>
            <w:right w:val="none" w:sz="0" w:space="0" w:color="auto"/>
          </w:divBdr>
        </w:div>
        <w:div w:id="1701707963">
          <w:marLeft w:val="640"/>
          <w:marRight w:val="0"/>
          <w:marTop w:val="0"/>
          <w:marBottom w:val="0"/>
          <w:divBdr>
            <w:top w:val="none" w:sz="0" w:space="0" w:color="auto"/>
            <w:left w:val="none" w:sz="0" w:space="0" w:color="auto"/>
            <w:bottom w:val="none" w:sz="0" w:space="0" w:color="auto"/>
            <w:right w:val="none" w:sz="0" w:space="0" w:color="auto"/>
          </w:divBdr>
        </w:div>
        <w:div w:id="1551916084">
          <w:marLeft w:val="640"/>
          <w:marRight w:val="0"/>
          <w:marTop w:val="0"/>
          <w:marBottom w:val="0"/>
          <w:divBdr>
            <w:top w:val="none" w:sz="0" w:space="0" w:color="auto"/>
            <w:left w:val="none" w:sz="0" w:space="0" w:color="auto"/>
            <w:bottom w:val="none" w:sz="0" w:space="0" w:color="auto"/>
            <w:right w:val="none" w:sz="0" w:space="0" w:color="auto"/>
          </w:divBdr>
        </w:div>
        <w:div w:id="514270753">
          <w:marLeft w:val="640"/>
          <w:marRight w:val="0"/>
          <w:marTop w:val="0"/>
          <w:marBottom w:val="0"/>
          <w:divBdr>
            <w:top w:val="none" w:sz="0" w:space="0" w:color="auto"/>
            <w:left w:val="none" w:sz="0" w:space="0" w:color="auto"/>
            <w:bottom w:val="none" w:sz="0" w:space="0" w:color="auto"/>
            <w:right w:val="none" w:sz="0" w:space="0" w:color="auto"/>
          </w:divBdr>
        </w:div>
        <w:div w:id="1820878592">
          <w:marLeft w:val="640"/>
          <w:marRight w:val="0"/>
          <w:marTop w:val="0"/>
          <w:marBottom w:val="0"/>
          <w:divBdr>
            <w:top w:val="none" w:sz="0" w:space="0" w:color="auto"/>
            <w:left w:val="none" w:sz="0" w:space="0" w:color="auto"/>
            <w:bottom w:val="none" w:sz="0" w:space="0" w:color="auto"/>
            <w:right w:val="none" w:sz="0" w:space="0" w:color="auto"/>
          </w:divBdr>
        </w:div>
        <w:div w:id="1973094237">
          <w:marLeft w:val="640"/>
          <w:marRight w:val="0"/>
          <w:marTop w:val="0"/>
          <w:marBottom w:val="0"/>
          <w:divBdr>
            <w:top w:val="none" w:sz="0" w:space="0" w:color="auto"/>
            <w:left w:val="none" w:sz="0" w:space="0" w:color="auto"/>
            <w:bottom w:val="none" w:sz="0" w:space="0" w:color="auto"/>
            <w:right w:val="none" w:sz="0" w:space="0" w:color="auto"/>
          </w:divBdr>
        </w:div>
        <w:div w:id="563226254">
          <w:marLeft w:val="640"/>
          <w:marRight w:val="0"/>
          <w:marTop w:val="0"/>
          <w:marBottom w:val="0"/>
          <w:divBdr>
            <w:top w:val="none" w:sz="0" w:space="0" w:color="auto"/>
            <w:left w:val="none" w:sz="0" w:space="0" w:color="auto"/>
            <w:bottom w:val="none" w:sz="0" w:space="0" w:color="auto"/>
            <w:right w:val="none" w:sz="0" w:space="0" w:color="auto"/>
          </w:divBdr>
        </w:div>
        <w:div w:id="1751006927">
          <w:marLeft w:val="640"/>
          <w:marRight w:val="0"/>
          <w:marTop w:val="0"/>
          <w:marBottom w:val="0"/>
          <w:divBdr>
            <w:top w:val="none" w:sz="0" w:space="0" w:color="auto"/>
            <w:left w:val="none" w:sz="0" w:space="0" w:color="auto"/>
            <w:bottom w:val="none" w:sz="0" w:space="0" w:color="auto"/>
            <w:right w:val="none" w:sz="0" w:space="0" w:color="auto"/>
          </w:divBdr>
        </w:div>
        <w:div w:id="192964738">
          <w:marLeft w:val="640"/>
          <w:marRight w:val="0"/>
          <w:marTop w:val="0"/>
          <w:marBottom w:val="0"/>
          <w:divBdr>
            <w:top w:val="none" w:sz="0" w:space="0" w:color="auto"/>
            <w:left w:val="none" w:sz="0" w:space="0" w:color="auto"/>
            <w:bottom w:val="none" w:sz="0" w:space="0" w:color="auto"/>
            <w:right w:val="none" w:sz="0" w:space="0" w:color="auto"/>
          </w:divBdr>
        </w:div>
        <w:div w:id="756096430">
          <w:marLeft w:val="640"/>
          <w:marRight w:val="0"/>
          <w:marTop w:val="0"/>
          <w:marBottom w:val="0"/>
          <w:divBdr>
            <w:top w:val="none" w:sz="0" w:space="0" w:color="auto"/>
            <w:left w:val="none" w:sz="0" w:space="0" w:color="auto"/>
            <w:bottom w:val="none" w:sz="0" w:space="0" w:color="auto"/>
            <w:right w:val="none" w:sz="0" w:space="0" w:color="auto"/>
          </w:divBdr>
        </w:div>
        <w:div w:id="205142638">
          <w:marLeft w:val="640"/>
          <w:marRight w:val="0"/>
          <w:marTop w:val="0"/>
          <w:marBottom w:val="0"/>
          <w:divBdr>
            <w:top w:val="none" w:sz="0" w:space="0" w:color="auto"/>
            <w:left w:val="none" w:sz="0" w:space="0" w:color="auto"/>
            <w:bottom w:val="none" w:sz="0" w:space="0" w:color="auto"/>
            <w:right w:val="none" w:sz="0" w:space="0" w:color="auto"/>
          </w:divBdr>
        </w:div>
        <w:div w:id="977490103">
          <w:marLeft w:val="640"/>
          <w:marRight w:val="0"/>
          <w:marTop w:val="0"/>
          <w:marBottom w:val="0"/>
          <w:divBdr>
            <w:top w:val="none" w:sz="0" w:space="0" w:color="auto"/>
            <w:left w:val="none" w:sz="0" w:space="0" w:color="auto"/>
            <w:bottom w:val="none" w:sz="0" w:space="0" w:color="auto"/>
            <w:right w:val="none" w:sz="0" w:space="0" w:color="auto"/>
          </w:divBdr>
        </w:div>
        <w:div w:id="1862354887">
          <w:marLeft w:val="640"/>
          <w:marRight w:val="0"/>
          <w:marTop w:val="0"/>
          <w:marBottom w:val="0"/>
          <w:divBdr>
            <w:top w:val="none" w:sz="0" w:space="0" w:color="auto"/>
            <w:left w:val="none" w:sz="0" w:space="0" w:color="auto"/>
            <w:bottom w:val="none" w:sz="0" w:space="0" w:color="auto"/>
            <w:right w:val="none" w:sz="0" w:space="0" w:color="auto"/>
          </w:divBdr>
        </w:div>
        <w:div w:id="1299605156">
          <w:marLeft w:val="640"/>
          <w:marRight w:val="0"/>
          <w:marTop w:val="0"/>
          <w:marBottom w:val="0"/>
          <w:divBdr>
            <w:top w:val="none" w:sz="0" w:space="0" w:color="auto"/>
            <w:left w:val="none" w:sz="0" w:space="0" w:color="auto"/>
            <w:bottom w:val="none" w:sz="0" w:space="0" w:color="auto"/>
            <w:right w:val="none" w:sz="0" w:space="0" w:color="auto"/>
          </w:divBdr>
        </w:div>
        <w:div w:id="1901944696">
          <w:marLeft w:val="640"/>
          <w:marRight w:val="0"/>
          <w:marTop w:val="0"/>
          <w:marBottom w:val="0"/>
          <w:divBdr>
            <w:top w:val="none" w:sz="0" w:space="0" w:color="auto"/>
            <w:left w:val="none" w:sz="0" w:space="0" w:color="auto"/>
            <w:bottom w:val="none" w:sz="0" w:space="0" w:color="auto"/>
            <w:right w:val="none" w:sz="0" w:space="0" w:color="auto"/>
          </w:divBdr>
        </w:div>
        <w:div w:id="465196086">
          <w:marLeft w:val="640"/>
          <w:marRight w:val="0"/>
          <w:marTop w:val="0"/>
          <w:marBottom w:val="0"/>
          <w:divBdr>
            <w:top w:val="none" w:sz="0" w:space="0" w:color="auto"/>
            <w:left w:val="none" w:sz="0" w:space="0" w:color="auto"/>
            <w:bottom w:val="none" w:sz="0" w:space="0" w:color="auto"/>
            <w:right w:val="none" w:sz="0" w:space="0" w:color="auto"/>
          </w:divBdr>
        </w:div>
        <w:div w:id="20250789">
          <w:marLeft w:val="640"/>
          <w:marRight w:val="0"/>
          <w:marTop w:val="0"/>
          <w:marBottom w:val="0"/>
          <w:divBdr>
            <w:top w:val="none" w:sz="0" w:space="0" w:color="auto"/>
            <w:left w:val="none" w:sz="0" w:space="0" w:color="auto"/>
            <w:bottom w:val="none" w:sz="0" w:space="0" w:color="auto"/>
            <w:right w:val="none" w:sz="0" w:space="0" w:color="auto"/>
          </w:divBdr>
        </w:div>
        <w:div w:id="217057947">
          <w:marLeft w:val="640"/>
          <w:marRight w:val="0"/>
          <w:marTop w:val="0"/>
          <w:marBottom w:val="0"/>
          <w:divBdr>
            <w:top w:val="none" w:sz="0" w:space="0" w:color="auto"/>
            <w:left w:val="none" w:sz="0" w:space="0" w:color="auto"/>
            <w:bottom w:val="none" w:sz="0" w:space="0" w:color="auto"/>
            <w:right w:val="none" w:sz="0" w:space="0" w:color="auto"/>
          </w:divBdr>
        </w:div>
        <w:div w:id="1059282903">
          <w:marLeft w:val="640"/>
          <w:marRight w:val="0"/>
          <w:marTop w:val="0"/>
          <w:marBottom w:val="0"/>
          <w:divBdr>
            <w:top w:val="none" w:sz="0" w:space="0" w:color="auto"/>
            <w:left w:val="none" w:sz="0" w:space="0" w:color="auto"/>
            <w:bottom w:val="none" w:sz="0" w:space="0" w:color="auto"/>
            <w:right w:val="none" w:sz="0" w:space="0" w:color="auto"/>
          </w:divBdr>
        </w:div>
        <w:div w:id="2031485139">
          <w:marLeft w:val="640"/>
          <w:marRight w:val="0"/>
          <w:marTop w:val="0"/>
          <w:marBottom w:val="0"/>
          <w:divBdr>
            <w:top w:val="none" w:sz="0" w:space="0" w:color="auto"/>
            <w:left w:val="none" w:sz="0" w:space="0" w:color="auto"/>
            <w:bottom w:val="none" w:sz="0" w:space="0" w:color="auto"/>
            <w:right w:val="none" w:sz="0" w:space="0" w:color="auto"/>
          </w:divBdr>
        </w:div>
        <w:div w:id="578177058">
          <w:marLeft w:val="640"/>
          <w:marRight w:val="0"/>
          <w:marTop w:val="0"/>
          <w:marBottom w:val="0"/>
          <w:divBdr>
            <w:top w:val="none" w:sz="0" w:space="0" w:color="auto"/>
            <w:left w:val="none" w:sz="0" w:space="0" w:color="auto"/>
            <w:bottom w:val="none" w:sz="0" w:space="0" w:color="auto"/>
            <w:right w:val="none" w:sz="0" w:space="0" w:color="auto"/>
          </w:divBdr>
        </w:div>
        <w:div w:id="828862520">
          <w:marLeft w:val="640"/>
          <w:marRight w:val="0"/>
          <w:marTop w:val="0"/>
          <w:marBottom w:val="0"/>
          <w:divBdr>
            <w:top w:val="none" w:sz="0" w:space="0" w:color="auto"/>
            <w:left w:val="none" w:sz="0" w:space="0" w:color="auto"/>
            <w:bottom w:val="none" w:sz="0" w:space="0" w:color="auto"/>
            <w:right w:val="none" w:sz="0" w:space="0" w:color="auto"/>
          </w:divBdr>
        </w:div>
        <w:div w:id="1325742003">
          <w:marLeft w:val="640"/>
          <w:marRight w:val="0"/>
          <w:marTop w:val="0"/>
          <w:marBottom w:val="0"/>
          <w:divBdr>
            <w:top w:val="none" w:sz="0" w:space="0" w:color="auto"/>
            <w:left w:val="none" w:sz="0" w:space="0" w:color="auto"/>
            <w:bottom w:val="none" w:sz="0" w:space="0" w:color="auto"/>
            <w:right w:val="none" w:sz="0" w:space="0" w:color="auto"/>
          </w:divBdr>
        </w:div>
        <w:div w:id="1976448158">
          <w:marLeft w:val="640"/>
          <w:marRight w:val="0"/>
          <w:marTop w:val="0"/>
          <w:marBottom w:val="0"/>
          <w:divBdr>
            <w:top w:val="none" w:sz="0" w:space="0" w:color="auto"/>
            <w:left w:val="none" w:sz="0" w:space="0" w:color="auto"/>
            <w:bottom w:val="none" w:sz="0" w:space="0" w:color="auto"/>
            <w:right w:val="none" w:sz="0" w:space="0" w:color="auto"/>
          </w:divBdr>
        </w:div>
        <w:div w:id="1564950263">
          <w:marLeft w:val="640"/>
          <w:marRight w:val="0"/>
          <w:marTop w:val="0"/>
          <w:marBottom w:val="0"/>
          <w:divBdr>
            <w:top w:val="none" w:sz="0" w:space="0" w:color="auto"/>
            <w:left w:val="none" w:sz="0" w:space="0" w:color="auto"/>
            <w:bottom w:val="none" w:sz="0" w:space="0" w:color="auto"/>
            <w:right w:val="none" w:sz="0" w:space="0" w:color="auto"/>
          </w:divBdr>
        </w:div>
        <w:div w:id="1553733221">
          <w:marLeft w:val="640"/>
          <w:marRight w:val="0"/>
          <w:marTop w:val="0"/>
          <w:marBottom w:val="0"/>
          <w:divBdr>
            <w:top w:val="none" w:sz="0" w:space="0" w:color="auto"/>
            <w:left w:val="none" w:sz="0" w:space="0" w:color="auto"/>
            <w:bottom w:val="none" w:sz="0" w:space="0" w:color="auto"/>
            <w:right w:val="none" w:sz="0" w:space="0" w:color="auto"/>
          </w:divBdr>
        </w:div>
        <w:div w:id="159204354">
          <w:marLeft w:val="640"/>
          <w:marRight w:val="0"/>
          <w:marTop w:val="0"/>
          <w:marBottom w:val="0"/>
          <w:divBdr>
            <w:top w:val="none" w:sz="0" w:space="0" w:color="auto"/>
            <w:left w:val="none" w:sz="0" w:space="0" w:color="auto"/>
            <w:bottom w:val="none" w:sz="0" w:space="0" w:color="auto"/>
            <w:right w:val="none" w:sz="0" w:space="0" w:color="auto"/>
          </w:divBdr>
        </w:div>
        <w:div w:id="292489191">
          <w:marLeft w:val="640"/>
          <w:marRight w:val="0"/>
          <w:marTop w:val="0"/>
          <w:marBottom w:val="0"/>
          <w:divBdr>
            <w:top w:val="none" w:sz="0" w:space="0" w:color="auto"/>
            <w:left w:val="none" w:sz="0" w:space="0" w:color="auto"/>
            <w:bottom w:val="none" w:sz="0" w:space="0" w:color="auto"/>
            <w:right w:val="none" w:sz="0" w:space="0" w:color="auto"/>
          </w:divBdr>
        </w:div>
        <w:div w:id="295647396">
          <w:marLeft w:val="640"/>
          <w:marRight w:val="0"/>
          <w:marTop w:val="0"/>
          <w:marBottom w:val="0"/>
          <w:divBdr>
            <w:top w:val="none" w:sz="0" w:space="0" w:color="auto"/>
            <w:left w:val="none" w:sz="0" w:space="0" w:color="auto"/>
            <w:bottom w:val="none" w:sz="0" w:space="0" w:color="auto"/>
            <w:right w:val="none" w:sz="0" w:space="0" w:color="auto"/>
          </w:divBdr>
        </w:div>
        <w:div w:id="1345209402">
          <w:marLeft w:val="640"/>
          <w:marRight w:val="0"/>
          <w:marTop w:val="0"/>
          <w:marBottom w:val="0"/>
          <w:divBdr>
            <w:top w:val="none" w:sz="0" w:space="0" w:color="auto"/>
            <w:left w:val="none" w:sz="0" w:space="0" w:color="auto"/>
            <w:bottom w:val="none" w:sz="0" w:space="0" w:color="auto"/>
            <w:right w:val="none" w:sz="0" w:space="0" w:color="auto"/>
          </w:divBdr>
        </w:div>
        <w:div w:id="661662916">
          <w:marLeft w:val="640"/>
          <w:marRight w:val="0"/>
          <w:marTop w:val="0"/>
          <w:marBottom w:val="0"/>
          <w:divBdr>
            <w:top w:val="none" w:sz="0" w:space="0" w:color="auto"/>
            <w:left w:val="none" w:sz="0" w:space="0" w:color="auto"/>
            <w:bottom w:val="none" w:sz="0" w:space="0" w:color="auto"/>
            <w:right w:val="none" w:sz="0" w:space="0" w:color="auto"/>
          </w:divBdr>
        </w:div>
        <w:div w:id="1415937193">
          <w:marLeft w:val="640"/>
          <w:marRight w:val="0"/>
          <w:marTop w:val="0"/>
          <w:marBottom w:val="0"/>
          <w:divBdr>
            <w:top w:val="none" w:sz="0" w:space="0" w:color="auto"/>
            <w:left w:val="none" w:sz="0" w:space="0" w:color="auto"/>
            <w:bottom w:val="none" w:sz="0" w:space="0" w:color="auto"/>
            <w:right w:val="none" w:sz="0" w:space="0" w:color="auto"/>
          </w:divBdr>
        </w:div>
        <w:div w:id="301232826">
          <w:marLeft w:val="640"/>
          <w:marRight w:val="0"/>
          <w:marTop w:val="0"/>
          <w:marBottom w:val="0"/>
          <w:divBdr>
            <w:top w:val="none" w:sz="0" w:space="0" w:color="auto"/>
            <w:left w:val="none" w:sz="0" w:space="0" w:color="auto"/>
            <w:bottom w:val="none" w:sz="0" w:space="0" w:color="auto"/>
            <w:right w:val="none" w:sz="0" w:space="0" w:color="auto"/>
          </w:divBdr>
        </w:div>
        <w:div w:id="1464618913">
          <w:marLeft w:val="640"/>
          <w:marRight w:val="0"/>
          <w:marTop w:val="0"/>
          <w:marBottom w:val="0"/>
          <w:divBdr>
            <w:top w:val="none" w:sz="0" w:space="0" w:color="auto"/>
            <w:left w:val="none" w:sz="0" w:space="0" w:color="auto"/>
            <w:bottom w:val="none" w:sz="0" w:space="0" w:color="auto"/>
            <w:right w:val="none" w:sz="0" w:space="0" w:color="auto"/>
          </w:divBdr>
        </w:div>
        <w:div w:id="1428622107">
          <w:marLeft w:val="640"/>
          <w:marRight w:val="0"/>
          <w:marTop w:val="0"/>
          <w:marBottom w:val="0"/>
          <w:divBdr>
            <w:top w:val="none" w:sz="0" w:space="0" w:color="auto"/>
            <w:left w:val="none" w:sz="0" w:space="0" w:color="auto"/>
            <w:bottom w:val="none" w:sz="0" w:space="0" w:color="auto"/>
            <w:right w:val="none" w:sz="0" w:space="0" w:color="auto"/>
          </w:divBdr>
        </w:div>
        <w:div w:id="887030760">
          <w:marLeft w:val="640"/>
          <w:marRight w:val="0"/>
          <w:marTop w:val="0"/>
          <w:marBottom w:val="0"/>
          <w:divBdr>
            <w:top w:val="none" w:sz="0" w:space="0" w:color="auto"/>
            <w:left w:val="none" w:sz="0" w:space="0" w:color="auto"/>
            <w:bottom w:val="none" w:sz="0" w:space="0" w:color="auto"/>
            <w:right w:val="none" w:sz="0" w:space="0" w:color="auto"/>
          </w:divBdr>
        </w:div>
        <w:div w:id="283539501">
          <w:marLeft w:val="640"/>
          <w:marRight w:val="0"/>
          <w:marTop w:val="0"/>
          <w:marBottom w:val="0"/>
          <w:divBdr>
            <w:top w:val="none" w:sz="0" w:space="0" w:color="auto"/>
            <w:left w:val="none" w:sz="0" w:space="0" w:color="auto"/>
            <w:bottom w:val="none" w:sz="0" w:space="0" w:color="auto"/>
            <w:right w:val="none" w:sz="0" w:space="0" w:color="auto"/>
          </w:divBdr>
        </w:div>
        <w:div w:id="1184317567">
          <w:marLeft w:val="640"/>
          <w:marRight w:val="0"/>
          <w:marTop w:val="0"/>
          <w:marBottom w:val="0"/>
          <w:divBdr>
            <w:top w:val="none" w:sz="0" w:space="0" w:color="auto"/>
            <w:left w:val="none" w:sz="0" w:space="0" w:color="auto"/>
            <w:bottom w:val="none" w:sz="0" w:space="0" w:color="auto"/>
            <w:right w:val="none" w:sz="0" w:space="0" w:color="auto"/>
          </w:divBdr>
        </w:div>
        <w:div w:id="1064178801">
          <w:marLeft w:val="640"/>
          <w:marRight w:val="0"/>
          <w:marTop w:val="0"/>
          <w:marBottom w:val="0"/>
          <w:divBdr>
            <w:top w:val="none" w:sz="0" w:space="0" w:color="auto"/>
            <w:left w:val="none" w:sz="0" w:space="0" w:color="auto"/>
            <w:bottom w:val="none" w:sz="0" w:space="0" w:color="auto"/>
            <w:right w:val="none" w:sz="0" w:space="0" w:color="auto"/>
          </w:divBdr>
        </w:div>
        <w:div w:id="437604293">
          <w:marLeft w:val="640"/>
          <w:marRight w:val="0"/>
          <w:marTop w:val="0"/>
          <w:marBottom w:val="0"/>
          <w:divBdr>
            <w:top w:val="none" w:sz="0" w:space="0" w:color="auto"/>
            <w:left w:val="none" w:sz="0" w:space="0" w:color="auto"/>
            <w:bottom w:val="none" w:sz="0" w:space="0" w:color="auto"/>
            <w:right w:val="none" w:sz="0" w:space="0" w:color="auto"/>
          </w:divBdr>
        </w:div>
        <w:div w:id="1378701006">
          <w:marLeft w:val="640"/>
          <w:marRight w:val="0"/>
          <w:marTop w:val="0"/>
          <w:marBottom w:val="0"/>
          <w:divBdr>
            <w:top w:val="none" w:sz="0" w:space="0" w:color="auto"/>
            <w:left w:val="none" w:sz="0" w:space="0" w:color="auto"/>
            <w:bottom w:val="none" w:sz="0" w:space="0" w:color="auto"/>
            <w:right w:val="none" w:sz="0" w:space="0" w:color="auto"/>
          </w:divBdr>
        </w:div>
        <w:div w:id="1747217940">
          <w:marLeft w:val="640"/>
          <w:marRight w:val="0"/>
          <w:marTop w:val="0"/>
          <w:marBottom w:val="0"/>
          <w:divBdr>
            <w:top w:val="none" w:sz="0" w:space="0" w:color="auto"/>
            <w:left w:val="none" w:sz="0" w:space="0" w:color="auto"/>
            <w:bottom w:val="none" w:sz="0" w:space="0" w:color="auto"/>
            <w:right w:val="none" w:sz="0" w:space="0" w:color="auto"/>
          </w:divBdr>
        </w:div>
        <w:div w:id="1566642868">
          <w:marLeft w:val="640"/>
          <w:marRight w:val="0"/>
          <w:marTop w:val="0"/>
          <w:marBottom w:val="0"/>
          <w:divBdr>
            <w:top w:val="none" w:sz="0" w:space="0" w:color="auto"/>
            <w:left w:val="none" w:sz="0" w:space="0" w:color="auto"/>
            <w:bottom w:val="none" w:sz="0" w:space="0" w:color="auto"/>
            <w:right w:val="none" w:sz="0" w:space="0" w:color="auto"/>
          </w:divBdr>
        </w:div>
        <w:div w:id="642655928">
          <w:marLeft w:val="640"/>
          <w:marRight w:val="0"/>
          <w:marTop w:val="0"/>
          <w:marBottom w:val="0"/>
          <w:divBdr>
            <w:top w:val="none" w:sz="0" w:space="0" w:color="auto"/>
            <w:left w:val="none" w:sz="0" w:space="0" w:color="auto"/>
            <w:bottom w:val="none" w:sz="0" w:space="0" w:color="auto"/>
            <w:right w:val="none" w:sz="0" w:space="0" w:color="auto"/>
          </w:divBdr>
        </w:div>
        <w:div w:id="151877346">
          <w:marLeft w:val="640"/>
          <w:marRight w:val="0"/>
          <w:marTop w:val="0"/>
          <w:marBottom w:val="0"/>
          <w:divBdr>
            <w:top w:val="none" w:sz="0" w:space="0" w:color="auto"/>
            <w:left w:val="none" w:sz="0" w:space="0" w:color="auto"/>
            <w:bottom w:val="none" w:sz="0" w:space="0" w:color="auto"/>
            <w:right w:val="none" w:sz="0" w:space="0" w:color="auto"/>
          </w:divBdr>
        </w:div>
        <w:div w:id="2047899561">
          <w:marLeft w:val="640"/>
          <w:marRight w:val="0"/>
          <w:marTop w:val="0"/>
          <w:marBottom w:val="0"/>
          <w:divBdr>
            <w:top w:val="none" w:sz="0" w:space="0" w:color="auto"/>
            <w:left w:val="none" w:sz="0" w:space="0" w:color="auto"/>
            <w:bottom w:val="none" w:sz="0" w:space="0" w:color="auto"/>
            <w:right w:val="none" w:sz="0" w:space="0" w:color="auto"/>
          </w:divBdr>
        </w:div>
        <w:div w:id="297029107">
          <w:marLeft w:val="640"/>
          <w:marRight w:val="0"/>
          <w:marTop w:val="0"/>
          <w:marBottom w:val="0"/>
          <w:divBdr>
            <w:top w:val="none" w:sz="0" w:space="0" w:color="auto"/>
            <w:left w:val="none" w:sz="0" w:space="0" w:color="auto"/>
            <w:bottom w:val="none" w:sz="0" w:space="0" w:color="auto"/>
            <w:right w:val="none" w:sz="0" w:space="0" w:color="auto"/>
          </w:divBdr>
        </w:div>
        <w:div w:id="327247068">
          <w:marLeft w:val="640"/>
          <w:marRight w:val="0"/>
          <w:marTop w:val="0"/>
          <w:marBottom w:val="0"/>
          <w:divBdr>
            <w:top w:val="none" w:sz="0" w:space="0" w:color="auto"/>
            <w:left w:val="none" w:sz="0" w:space="0" w:color="auto"/>
            <w:bottom w:val="none" w:sz="0" w:space="0" w:color="auto"/>
            <w:right w:val="none" w:sz="0" w:space="0" w:color="auto"/>
          </w:divBdr>
        </w:div>
        <w:div w:id="869805687">
          <w:marLeft w:val="640"/>
          <w:marRight w:val="0"/>
          <w:marTop w:val="0"/>
          <w:marBottom w:val="0"/>
          <w:divBdr>
            <w:top w:val="none" w:sz="0" w:space="0" w:color="auto"/>
            <w:left w:val="none" w:sz="0" w:space="0" w:color="auto"/>
            <w:bottom w:val="none" w:sz="0" w:space="0" w:color="auto"/>
            <w:right w:val="none" w:sz="0" w:space="0" w:color="auto"/>
          </w:divBdr>
        </w:div>
        <w:div w:id="2042584972">
          <w:marLeft w:val="640"/>
          <w:marRight w:val="0"/>
          <w:marTop w:val="0"/>
          <w:marBottom w:val="0"/>
          <w:divBdr>
            <w:top w:val="none" w:sz="0" w:space="0" w:color="auto"/>
            <w:left w:val="none" w:sz="0" w:space="0" w:color="auto"/>
            <w:bottom w:val="none" w:sz="0" w:space="0" w:color="auto"/>
            <w:right w:val="none" w:sz="0" w:space="0" w:color="auto"/>
          </w:divBdr>
        </w:div>
        <w:div w:id="743794932">
          <w:marLeft w:val="640"/>
          <w:marRight w:val="0"/>
          <w:marTop w:val="0"/>
          <w:marBottom w:val="0"/>
          <w:divBdr>
            <w:top w:val="none" w:sz="0" w:space="0" w:color="auto"/>
            <w:left w:val="none" w:sz="0" w:space="0" w:color="auto"/>
            <w:bottom w:val="none" w:sz="0" w:space="0" w:color="auto"/>
            <w:right w:val="none" w:sz="0" w:space="0" w:color="auto"/>
          </w:divBdr>
        </w:div>
        <w:div w:id="52773930">
          <w:marLeft w:val="640"/>
          <w:marRight w:val="0"/>
          <w:marTop w:val="0"/>
          <w:marBottom w:val="0"/>
          <w:divBdr>
            <w:top w:val="none" w:sz="0" w:space="0" w:color="auto"/>
            <w:left w:val="none" w:sz="0" w:space="0" w:color="auto"/>
            <w:bottom w:val="none" w:sz="0" w:space="0" w:color="auto"/>
            <w:right w:val="none" w:sz="0" w:space="0" w:color="auto"/>
          </w:divBdr>
        </w:div>
        <w:div w:id="1307003932">
          <w:marLeft w:val="640"/>
          <w:marRight w:val="0"/>
          <w:marTop w:val="0"/>
          <w:marBottom w:val="0"/>
          <w:divBdr>
            <w:top w:val="none" w:sz="0" w:space="0" w:color="auto"/>
            <w:left w:val="none" w:sz="0" w:space="0" w:color="auto"/>
            <w:bottom w:val="none" w:sz="0" w:space="0" w:color="auto"/>
            <w:right w:val="none" w:sz="0" w:space="0" w:color="auto"/>
          </w:divBdr>
        </w:div>
        <w:div w:id="1241252784">
          <w:marLeft w:val="640"/>
          <w:marRight w:val="0"/>
          <w:marTop w:val="0"/>
          <w:marBottom w:val="0"/>
          <w:divBdr>
            <w:top w:val="none" w:sz="0" w:space="0" w:color="auto"/>
            <w:left w:val="none" w:sz="0" w:space="0" w:color="auto"/>
            <w:bottom w:val="none" w:sz="0" w:space="0" w:color="auto"/>
            <w:right w:val="none" w:sz="0" w:space="0" w:color="auto"/>
          </w:divBdr>
        </w:div>
        <w:div w:id="1819685040">
          <w:marLeft w:val="640"/>
          <w:marRight w:val="0"/>
          <w:marTop w:val="0"/>
          <w:marBottom w:val="0"/>
          <w:divBdr>
            <w:top w:val="none" w:sz="0" w:space="0" w:color="auto"/>
            <w:left w:val="none" w:sz="0" w:space="0" w:color="auto"/>
            <w:bottom w:val="none" w:sz="0" w:space="0" w:color="auto"/>
            <w:right w:val="none" w:sz="0" w:space="0" w:color="auto"/>
          </w:divBdr>
        </w:div>
        <w:div w:id="173617285">
          <w:marLeft w:val="640"/>
          <w:marRight w:val="0"/>
          <w:marTop w:val="0"/>
          <w:marBottom w:val="0"/>
          <w:divBdr>
            <w:top w:val="none" w:sz="0" w:space="0" w:color="auto"/>
            <w:left w:val="none" w:sz="0" w:space="0" w:color="auto"/>
            <w:bottom w:val="none" w:sz="0" w:space="0" w:color="auto"/>
            <w:right w:val="none" w:sz="0" w:space="0" w:color="auto"/>
          </w:divBdr>
        </w:div>
        <w:div w:id="1884057046">
          <w:marLeft w:val="640"/>
          <w:marRight w:val="0"/>
          <w:marTop w:val="0"/>
          <w:marBottom w:val="0"/>
          <w:divBdr>
            <w:top w:val="none" w:sz="0" w:space="0" w:color="auto"/>
            <w:left w:val="none" w:sz="0" w:space="0" w:color="auto"/>
            <w:bottom w:val="none" w:sz="0" w:space="0" w:color="auto"/>
            <w:right w:val="none" w:sz="0" w:space="0" w:color="auto"/>
          </w:divBdr>
        </w:div>
        <w:div w:id="1489126825">
          <w:marLeft w:val="640"/>
          <w:marRight w:val="0"/>
          <w:marTop w:val="0"/>
          <w:marBottom w:val="0"/>
          <w:divBdr>
            <w:top w:val="none" w:sz="0" w:space="0" w:color="auto"/>
            <w:left w:val="none" w:sz="0" w:space="0" w:color="auto"/>
            <w:bottom w:val="none" w:sz="0" w:space="0" w:color="auto"/>
            <w:right w:val="none" w:sz="0" w:space="0" w:color="auto"/>
          </w:divBdr>
        </w:div>
        <w:div w:id="379129777">
          <w:marLeft w:val="640"/>
          <w:marRight w:val="0"/>
          <w:marTop w:val="0"/>
          <w:marBottom w:val="0"/>
          <w:divBdr>
            <w:top w:val="none" w:sz="0" w:space="0" w:color="auto"/>
            <w:left w:val="none" w:sz="0" w:space="0" w:color="auto"/>
            <w:bottom w:val="none" w:sz="0" w:space="0" w:color="auto"/>
            <w:right w:val="none" w:sz="0" w:space="0" w:color="auto"/>
          </w:divBdr>
        </w:div>
        <w:div w:id="89206372">
          <w:marLeft w:val="640"/>
          <w:marRight w:val="0"/>
          <w:marTop w:val="0"/>
          <w:marBottom w:val="0"/>
          <w:divBdr>
            <w:top w:val="none" w:sz="0" w:space="0" w:color="auto"/>
            <w:left w:val="none" w:sz="0" w:space="0" w:color="auto"/>
            <w:bottom w:val="none" w:sz="0" w:space="0" w:color="auto"/>
            <w:right w:val="none" w:sz="0" w:space="0" w:color="auto"/>
          </w:divBdr>
        </w:div>
        <w:div w:id="1370498397">
          <w:marLeft w:val="640"/>
          <w:marRight w:val="0"/>
          <w:marTop w:val="0"/>
          <w:marBottom w:val="0"/>
          <w:divBdr>
            <w:top w:val="none" w:sz="0" w:space="0" w:color="auto"/>
            <w:left w:val="none" w:sz="0" w:space="0" w:color="auto"/>
            <w:bottom w:val="none" w:sz="0" w:space="0" w:color="auto"/>
            <w:right w:val="none" w:sz="0" w:space="0" w:color="auto"/>
          </w:divBdr>
        </w:div>
        <w:div w:id="523517690">
          <w:marLeft w:val="640"/>
          <w:marRight w:val="0"/>
          <w:marTop w:val="0"/>
          <w:marBottom w:val="0"/>
          <w:divBdr>
            <w:top w:val="none" w:sz="0" w:space="0" w:color="auto"/>
            <w:left w:val="none" w:sz="0" w:space="0" w:color="auto"/>
            <w:bottom w:val="none" w:sz="0" w:space="0" w:color="auto"/>
            <w:right w:val="none" w:sz="0" w:space="0" w:color="auto"/>
          </w:divBdr>
        </w:div>
        <w:div w:id="96407237">
          <w:marLeft w:val="640"/>
          <w:marRight w:val="0"/>
          <w:marTop w:val="0"/>
          <w:marBottom w:val="0"/>
          <w:divBdr>
            <w:top w:val="none" w:sz="0" w:space="0" w:color="auto"/>
            <w:left w:val="none" w:sz="0" w:space="0" w:color="auto"/>
            <w:bottom w:val="none" w:sz="0" w:space="0" w:color="auto"/>
            <w:right w:val="none" w:sz="0" w:space="0" w:color="auto"/>
          </w:divBdr>
        </w:div>
        <w:div w:id="792479096">
          <w:marLeft w:val="640"/>
          <w:marRight w:val="0"/>
          <w:marTop w:val="0"/>
          <w:marBottom w:val="0"/>
          <w:divBdr>
            <w:top w:val="none" w:sz="0" w:space="0" w:color="auto"/>
            <w:left w:val="none" w:sz="0" w:space="0" w:color="auto"/>
            <w:bottom w:val="none" w:sz="0" w:space="0" w:color="auto"/>
            <w:right w:val="none" w:sz="0" w:space="0" w:color="auto"/>
          </w:divBdr>
        </w:div>
        <w:div w:id="1160972599">
          <w:marLeft w:val="640"/>
          <w:marRight w:val="0"/>
          <w:marTop w:val="0"/>
          <w:marBottom w:val="0"/>
          <w:divBdr>
            <w:top w:val="none" w:sz="0" w:space="0" w:color="auto"/>
            <w:left w:val="none" w:sz="0" w:space="0" w:color="auto"/>
            <w:bottom w:val="none" w:sz="0" w:space="0" w:color="auto"/>
            <w:right w:val="none" w:sz="0" w:space="0" w:color="auto"/>
          </w:divBdr>
        </w:div>
        <w:div w:id="349333019">
          <w:marLeft w:val="640"/>
          <w:marRight w:val="0"/>
          <w:marTop w:val="0"/>
          <w:marBottom w:val="0"/>
          <w:divBdr>
            <w:top w:val="none" w:sz="0" w:space="0" w:color="auto"/>
            <w:left w:val="none" w:sz="0" w:space="0" w:color="auto"/>
            <w:bottom w:val="none" w:sz="0" w:space="0" w:color="auto"/>
            <w:right w:val="none" w:sz="0" w:space="0" w:color="auto"/>
          </w:divBdr>
        </w:div>
        <w:div w:id="233512814">
          <w:marLeft w:val="640"/>
          <w:marRight w:val="0"/>
          <w:marTop w:val="0"/>
          <w:marBottom w:val="0"/>
          <w:divBdr>
            <w:top w:val="none" w:sz="0" w:space="0" w:color="auto"/>
            <w:left w:val="none" w:sz="0" w:space="0" w:color="auto"/>
            <w:bottom w:val="none" w:sz="0" w:space="0" w:color="auto"/>
            <w:right w:val="none" w:sz="0" w:space="0" w:color="auto"/>
          </w:divBdr>
        </w:div>
        <w:div w:id="1569025972">
          <w:marLeft w:val="640"/>
          <w:marRight w:val="0"/>
          <w:marTop w:val="0"/>
          <w:marBottom w:val="0"/>
          <w:divBdr>
            <w:top w:val="none" w:sz="0" w:space="0" w:color="auto"/>
            <w:left w:val="none" w:sz="0" w:space="0" w:color="auto"/>
            <w:bottom w:val="none" w:sz="0" w:space="0" w:color="auto"/>
            <w:right w:val="none" w:sz="0" w:space="0" w:color="auto"/>
          </w:divBdr>
        </w:div>
        <w:div w:id="702093654">
          <w:marLeft w:val="640"/>
          <w:marRight w:val="0"/>
          <w:marTop w:val="0"/>
          <w:marBottom w:val="0"/>
          <w:divBdr>
            <w:top w:val="none" w:sz="0" w:space="0" w:color="auto"/>
            <w:left w:val="none" w:sz="0" w:space="0" w:color="auto"/>
            <w:bottom w:val="none" w:sz="0" w:space="0" w:color="auto"/>
            <w:right w:val="none" w:sz="0" w:space="0" w:color="auto"/>
          </w:divBdr>
        </w:div>
        <w:div w:id="930965294">
          <w:marLeft w:val="640"/>
          <w:marRight w:val="0"/>
          <w:marTop w:val="0"/>
          <w:marBottom w:val="0"/>
          <w:divBdr>
            <w:top w:val="none" w:sz="0" w:space="0" w:color="auto"/>
            <w:left w:val="none" w:sz="0" w:space="0" w:color="auto"/>
            <w:bottom w:val="none" w:sz="0" w:space="0" w:color="auto"/>
            <w:right w:val="none" w:sz="0" w:space="0" w:color="auto"/>
          </w:divBdr>
        </w:div>
        <w:div w:id="178785407">
          <w:marLeft w:val="640"/>
          <w:marRight w:val="0"/>
          <w:marTop w:val="0"/>
          <w:marBottom w:val="0"/>
          <w:divBdr>
            <w:top w:val="none" w:sz="0" w:space="0" w:color="auto"/>
            <w:left w:val="none" w:sz="0" w:space="0" w:color="auto"/>
            <w:bottom w:val="none" w:sz="0" w:space="0" w:color="auto"/>
            <w:right w:val="none" w:sz="0" w:space="0" w:color="auto"/>
          </w:divBdr>
        </w:div>
        <w:div w:id="1014847096">
          <w:marLeft w:val="640"/>
          <w:marRight w:val="0"/>
          <w:marTop w:val="0"/>
          <w:marBottom w:val="0"/>
          <w:divBdr>
            <w:top w:val="none" w:sz="0" w:space="0" w:color="auto"/>
            <w:left w:val="none" w:sz="0" w:space="0" w:color="auto"/>
            <w:bottom w:val="none" w:sz="0" w:space="0" w:color="auto"/>
            <w:right w:val="none" w:sz="0" w:space="0" w:color="auto"/>
          </w:divBdr>
        </w:div>
        <w:div w:id="1510413132">
          <w:marLeft w:val="640"/>
          <w:marRight w:val="0"/>
          <w:marTop w:val="0"/>
          <w:marBottom w:val="0"/>
          <w:divBdr>
            <w:top w:val="none" w:sz="0" w:space="0" w:color="auto"/>
            <w:left w:val="none" w:sz="0" w:space="0" w:color="auto"/>
            <w:bottom w:val="none" w:sz="0" w:space="0" w:color="auto"/>
            <w:right w:val="none" w:sz="0" w:space="0" w:color="auto"/>
          </w:divBdr>
        </w:div>
        <w:div w:id="2066756975">
          <w:marLeft w:val="640"/>
          <w:marRight w:val="0"/>
          <w:marTop w:val="0"/>
          <w:marBottom w:val="0"/>
          <w:divBdr>
            <w:top w:val="none" w:sz="0" w:space="0" w:color="auto"/>
            <w:left w:val="none" w:sz="0" w:space="0" w:color="auto"/>
            <w:bottom w:val="none" w:sz="0" w:space="0" w:color="auto"/>
            <w:right w:val="none" w:sz="0" w:space="0" w:color="auto"/>
          </w:divBdr>
        </w:div>
        <w:div w:id="1241406642">
          <w:marLeft w:val="640"/>
          <w:marRight w:val="0"/>
          <w:marTop w:val="0"/>
          <w:marBottom w:val="0"/>
          <w:divBdr>
            <w:top w:val="none" w:sz="0" w:space="0" w:color="auto"/>
            <w:left w:val="none" w:sz="0" w:space="0" w:color="auto"/>
            <w:bottom w:val="none" w:sz="0" w:space="0" w:color="auto"/>
            <w:right w:val="none" w:sz="0" w:space="0" w:color="auto"/>
          </w:divBdr>
        </w:div>
        <w:div w:id="1589729883">
          <w:marLeft w:val="640"/>
          <w:marRight w:val="0"/>
          <w:marTop w:val="0"/>
          <w:marBottom w:val="0"/>
          <w:divBdr>
            <w:top w:val="none" w:sz="0" w:space="0" w:color="auto"/>
            <w:left w:val="none" w:sz="0" w:space="0" w:color="auto"/>
            <w:bottom w:val="none" w:sz="0" w:space="0" w:color="auto"/>
            <w:right w:val="none" w:sz="0" w:space="0" w:color="auto"/>
          </w:divBdr>
        </w:div>
        <w:div w:id="316036959">
          <w:marLeft w:val="640"/>
          <w:marRight w:val="0"/>
          <w:marTop w:val="0"/>
          <w:marBottom w:val="0"/>
          <w:divBdr>
            <w:top w:val="none" w:sz="0" w:space="0" w:color="auto"/>
            <w:left w:val="none" w:sz="0" w:space="0" w:color="auto"/>
            <w:bottom w:val="none" w:sz="0" w:space="0" w:color="auto"/>
            <w:right w:val="none" w:sz="0" w:space="0" w:color="auto"/>
          </w:divBdr>
        </w:div>
        <w:div w:id="782572401">
          <w:marLeft w:val="640"/>
          <w:marRight w:val="0"/>
          <w:marTop w:val="0"/>
          <w:marBottom w:val="0"/>
          <w:divBdr>
            <w:top w:val="none" w:sz="0" w:space="0" w:color="auto"/>
            <w:left w:val="none" w:sz="0" w:space="0" w:color="auto"/>
            <w:bottom w:val="none" w:sz="0" w:space="0" w:color="auto"/>
            <w:right w:val="none" w:sz="0" w:space="0" w:color="auto"/>
          </w:divBdr>
        </w:div>
        <w:div w:id="526602418">
          <w:marLeft w:val="640"/>
          <w:marRight w:val="0"/>
          <w:marTop w:val="0"/>
          <w:marBottom w:val="0"/>
          <w:divBdr>
            <w:top w:val="none" w:sz="0" w:space="0" w:color="auto"/>
            <w:left w:val="none" w:sz="0" w:space="0" w:color="auto"/>
            <w:bottom w:val="none" w:sz="0" w:space="0" w:color="auto"/>
            <w:right w:val="none" w:sz="0" w:space="0" w:color="auto"/>
          </w:divBdr>
        </w:div>
        <w:div w:id="1480733927">
          <w:marLeft w:val="640"/>
          <w:marRight w:val="0"/>
          <w:marTop w:val="0"/>
          <w:marBottom w:val="0"/>
          <w:divBdr>
            <w:top w:val="none" w:sz="0" w:space="0" w:color="auto"/>
            <w:left w:val="none" w:sz="0" w:space="0" w:color="auto"/>
            <w:bottom w:val="none" w:sz="0" w:space="0" w:color="auto"/>
            <w:right w:val="none" w:sz="0" w:space="0" w:color="auto"/>
          </w:divBdr>
        </w:div>
        <w:div w:id="42412431">
          <w:marLeft w:val="640"/>
          <w:marRight w:val="0"/>
          <w:marTop w:val="0"/>
          <w:marBottom w:val="0"/>
          <w:divBdr>
            <w:top w:val="none" w:sz="0" w:space="0" w:color="auto"/>
            <w:left w:val="none" w:sz="0" w:space="0" w:color="auto"/>
            <w:bottom w:val="none" w:sz="0" w:space="0" w:color="auto"/>
            <w:right w:val="none" w:sz="0" w:space="0" w:color="auto"/>
          </w:divBdr>
        </w:div>
        <w:div w:id="1454207845">
          <w:marLeft w:val="640"/>
          <w:marRight w:val="0"/>
          <w:marTop w:val="0"/>
          <w:marBottom w:val="0"/>
          <w:divBdr>
            <w:top w:val="none" w:sz="0" w:space="0" w:color="auto"/>
            <w:left w:val="none" w:sz="0" w:space="0" w:color="auto"/>
            <w:bottom w:val="none" w:sz="0" w:space="0" w:color="auto"/>
            <w:right w:val="none" w:sz="0" w:space="0" w:color="auto"/>
          </w:divBdr>
        </w:div>
        <w:div w:id="931546960">
          <w:marLeft w:val="640"/>
          <w:marRight w:val="0"/>
          <w:marTop w:val="0"/>
          <w:marBottom w:val="0"/>
          <w:divBdr>
            <w:top w:val="none" w:sz="0" w:space="0" w:color="auto"/>
            <w:left w:val="none" w:sz="0" w:space="0" w:color="auto"/>
            <w:bottom w:val="none" w:sz="0" w:space="0" w:color="auto"/>
            <w:right w:val="none" w:sz="0" w:space="0" w:color="auto"/>
          </w:divBdr>
        </w:div>
        <w:div w:id="117066118">
          <w:marLeft w:val="640"/>
          <w:marRight w:val="0"/>
          <w:marTop w:val="0"/>
          <w:marBottom w:val="0"/>
          <w:divBdr>
            <w:top w:val="none" w:sz="0" w:space="0" w:color="auto"/>
            <w:left w:val="none" w:sz="0" w:space="0" w:color="auto"/>
            <w:bottom w:val="none" w:sz="0" w:space="0" w:color="auto"/>
            <w:right w:val="none" w:sz="0" w:space="0" w:color="auto"/>
          </w:divBdr>
        </w:div>
        <w:div w:id="800805854">
          <w:marLeft w:val="640"/>
          <w:marRight w:val="0"/>
          <w:marTop w:val="0"/>
          <w:marBottom w:val="0"/>
          <w:divBdr>
            <w:top w:val="none" w:sz="0" w:space="0" w:color="auto"/>
            <w:left w:val="none" w:sz="0" w:space="0" w:color="auto"/>
            <w:bottom w:val="none" w:sz="0" w:space="0" w:color="auto"/>
            <w:right w:val="none" w:sz="0" w:space="0" w:color="auto"/>
          </w:divBdr>
        </w:div>
        <w:div w:id="1940062968">
          <w:marLeft w:val="640"/>
          <w:marRight w:val="0"/>
          <w:marTop w:val="0"/>
          <w:marBottom w:val="0"/>
          <w:divBdr>
            <w:top w:val="none" w:sz="0" w:space="0" w:color="auto"/>
            <w:left w:val="none" w:sz="0" w:space="0" w:color="auto"/>
            <w:bottom w:val="none" w:sz="0" w:space="0" w:color="auto"/>
            <w:right w:val="none" w:sz="0" w:space="0" w:color="auto"/>
          </w:divBdr>
        </w:div>
        <w:div w:id="1609922161">
          <w:marLeft w:val="640"/>
          <w:marRight w:val="0"/>
          <w:marTop w:val="0"/>
          <w:marBottom w:val="0"/>
          <w:divBdr>
            <w:top w:val="none" w:sz="0" w:space="0" w:color="auto"/>
            <w:left w:val="none" w:sz="0" w:space="0" w:color="auto"/>
            <w:bottom w:val="none" w:sz="0" w:space="0" w:color="auto"/>
            <w:right w:val="none" w:sz="0" w:space="0" w:color="auto"/>
          </w:divBdr>
        </w:div>
        <w:div w:id="1697003361">
          <w:marLeft w:val="640"/>
          <w:marRight w:val="0"/>
          <w:marTop w:val="0"/>
          <w:marBottom w:val="0"/>
          <w:divBdr>
            <w:top w:val="none" w:sz="0" w:space="0" w:color="auto"/>
            <w:left w:val="none" w:sz="0" w:space="0" w:color="auto"/>
            <w:bottom w:val="none" w:sz="0" w:space="0" w:color="auto"/>
            <w:right w:val="none" w:sz="0" w:space="0" w:color="auto"/>
          </w:divBdr>
        </w:div>
        <w:div w:id="860126211">
          <w:marLeft w:val="640"/>
          <w:marRight w:val="0"/>
          <w:marTop w:val="0"/>
          <w:marBottom w:val="0"/>
          <w:divBdr>
            <w:top w:val="none" w:sz="0" w:space="0" w:color="auto"/>
            <w:left w:val="none" w:sz="0" w:space="0" w:color="auto"/>
            <w:bottom w:val="none" w:sz="0" w:space="0" w:color="auto"/>
            <w:right w:val="none" w:sz="0" w:space="0" w:color="auto"/>
          </w:divBdr>
        </w:div>
        <w:div w:id="1850098267">
          <w:marLeft w:val="640"/>
          <w:marRight w:val="0"/>
          <w:marTop w:val="0"/>
          <w:marBottom w:val="0"/>
          <w:divBdr>
            <w:top w:val="none" w:sz="0" w:space="0" w:color="auto"/>
            <w:left w:val="none" w:sz="0" w:space="0" w:color="auto"/>
            <w:bottom w:val="none" w:sz="0" w:space="0" w:color="auto"/>
            <w:right w:val="none" w:sz="0" w:space="0" w:color="auto"/>
          </w:divBdr>
        </w:div>
        <w:div w:id="21056485">
          <w:marLeft w:val="640"/>
          <w:marRight w:val="0"/>
          <w:marTop w:val="0"/>
          <w:marBottom w:val="0"/>
          <w:divBdr>
            <w:top w:val="none" w:sz="0" w:space="0" w:color="auto"/>
            <w:left w:val="none" w:sz="0" w:space="0" w:color="auto"/>
            <w:bottom w:val="none" w:sz="0" w:space="0" w:color="auto"/>
            <w:right w:val="none" w:sz="0" w:space="0" w:color="auto"/>
          </w:divBdr>
        </w:div>
        <w:div w:id="1395471838">
          <w:marLeft w:val="640"/>
          <w:marRight w:val="0"/>
          <w:marTop w:val="0"/>
          <w:marBottom w:val="0"/>
          <w:divBdr>
            <w:top w:val="none" w:sz="0" w:space="0" w:color="auto"/>
            <w:left w:val="none" w:sz="0" w:space="0" w:color="auto"/>
            <w:bottom w:val="none" w:sz="0" w:space="0" w:color="auto"/>
            <w:right w:val="none" w:sz="0" w:space="0" w:color="auto"/>
          </w:divBdr>
        </w:div>
        <w:div w:id="552889768">
          <w:marLeft w:val="640"/>
          <w:marRight w:val="0"/>
          <w:marTop w:val="0"/>
          <w:marBottom w:val="0"/>
          <w:divBdr>
            <w:top w:val="none" w:sz="0" w:space="0" w:color="auto"/>
            <w:left w:val="none" w:sz="0" w:space="0" w:color="auto"/>
            <w:bottom w:val="none" w:sz="0" w:space="0" w:color="auto"/>
            <w:right w:val="none" w:sz="0" w:space="0" w:color="auto"/>
          </w:divBdr>
        </w:div>
        <w:div w:id="414673500">
          <w:marLeft w:val="640"/>
          <w:marRight w:val="0"/>
          <w:marTop w:val="0"/>
          <w:marBottom w:val="0"/>
          <w:divBdr>
            <w:top w:val="none" w:sz="0" w:space="0" w:color="auto"/>
            <w:left w:val="none" w:sz="0" w:space="0" w:color="auto"/>
            <w:bottom w:val="none" w:sz="0" w:space="0" w:color="auto"/>
            <w:right w:val="none" w:sz="0" w:space="0" w:color="auto"/>
          </w:divBdr>
        </w:div>
        <w:div w:id="1610502172">
          <w:marLeft w:val="640"/>
          <w:marRight w:val="0"/>
          <w:marTop w:val="0"/>
          <w:marBottom w:val="0"/>
          <w:divBdr>
            <w:top w:val="none" w:sz="0" w:space="0" w:color="auto"/>
            <w:left w:val="none" w:sz="0" w:space="0" w:color="auto"/>
            <w:bottom w:val="none" w:sz="0" w:space="0" w:color="auto"/>
            <w:right w:val="none" w:sz="0" w:space="0" w:color="auto"/>
          </w:divBdr>
        </w:div>
        <w:div w:id="1182662802">
          <w:marLeft w:val="640"/>
          <w:marRight w:val="0"/>
          <w:marTop w:val="0"/>
          <w:marBottom w:val="0"/>
          <w:divBdr>
            <w:top w:val="none" w:sz="0" w:space="0" w:color="auto"/>
            <w:left w:val="none" w:sz="0" w:space="0" w:color="auto"/>
            <w:bottom w:val="none" w:sz="0" w:space="0" w:color="auto"/>
            <w:right w:val="none" w:sz="0" w:space="0" w:color="auto"/>
          </w:divBdr>
        </w:div>
        <w:div w:id="704405746">
          <w:marLeft w:val="640"/>
          <w:marRight w:val="0"/>
          <w:marTop w:val="0"/>
          <w:marBottom w:val="0"/>
          <w:divBdr>
            <w:top w:val="none" w:sz="0" w:space="0" w:color="auto"/>
            <w:left w:val="none" w:sz="0" w:space="0" w:color="auto"/>
            <w:bottom w:val="none" w:sz="0" w:space="0" w:color="auto"/>
            <w:right w:val="none" w:sz="0" w:space="0" w:color="auto"/>
          </w:divBdr>
        </w:div>
        <w:div w:id="869075369">
          <w:marLeft w:val="640"/>
          <w:marRight w:val="0"/>
          <w:marTop w:val="0"/>
          <w:marBottom w:val="0"/>
          <w:divBdr>
            <w:top w:val="none" w:sz="0" w:space="0" w:color="auto"/>
            <w:left w:val="none" w:sz="0" w:space="0" w:color="auto"/>
            <w:bottom w:val="none" w:sz="0" w:space="0" w:color="auto"/>
            <w:right w:val="none" w:sz="0" w:space="0" w:color="auto"/>
          </w:divBdr>
        </w:div>
        <w:div w:id="1070467109">
          <w:marLeft w:val="640"/>
          <w:marRight w:val="0"/>
          <w:marTop w:val="0"/>
          <w:marBottom w:val="0"/>
          <w:divBdr>
            <w:top w:val="none" w:sz="0" w:space="0" w:color="auto"/>
            <w:left w:val="none" w:sz="0" w:space="0" w:color="auto"/>
            <w:bottom w:val="none" w:sz="0" w:space="0" w:color="auto"/>
            <w:right w:val="none" w:sz="0" w:space="0" w:color="auto"/>
          </w:divBdr>
        </w:div>
        <w:div w:id="65032263">
          <w:marLeft w:val="640"/>
          <w:marRight w:val="0"/>
          <w:marTop w:val="0"/>
          <w:marBottom w:val="0"/>
          <w:divBdr>
            <w:top w:val="none" w:sz="0" w:space="0" w:color="auto"/>
            <w:left w:val="none" w:sz="0" w:space="0" w:color="auto"/>
            <w:bottom w:val="none" w:sz="0" w:space="0" w:color="auto"/>
            <w:right w:val="none" w:sz="0" w:space="0" w:color="auto"/>
          </w:divBdr>
        </w:div>
        <w:div w:id="633364475">
          <w:marLeft w:val="640"/>
          <w:marRight w:val="0"/>
          <w:marTop w:val="0"/>
          <w:marBottom w:val="0"/>
          <w:divBdr>
            <w:top w:val="none" w:sz="0" w:space="0" w:color="auto"/>
            <w:left w:val="none" w:sz="0" w:space="0" w:color="auto"/>
            <w:bottom w:val="none" w:sz="0" w:space="0" w:color="auto"/>
            <w:right w:val="none" w:sz="0" w:space="0" w:color="auto"/>
          </w:divBdr>
        </w:div>
        <w:div w:id="2090999227">
          <w:marLeft w:val="640"/>
          <w:marRight w:val="0"/>
          <w:marTop w:val="0"/>
          <w:marBottom w:val="0"/>
          <w:divBdr>
            <w:top w:val="none" w:sz="0" w:space="0" w:color="auto"/>
            <w:left w:val="none" w:sz="0" w:space="0" w:color="auto"/>
            <w:bottom w:val="none" w:sz="0" w:space="0" w:color="auto"/>
            <w:right w:val="none" w:sz="0" w:space="0" w:color="auto"/>
          </w:divBdr>
        </w:div>
        <w:div w:id="1788353679">
          <w:marLeft w:val="640"/>
          <w:marRight w:val="0"/>
          <w:marTop w:val="0"/>
          <w:marBottom w:val="0"/>
          <w:divBdr>
            <w:top w:val="none" w:sz="0" w:space="0" w:color="auto"/>
            <w:left w:val="none" w:sz="0" w:space="0" w:color="auto"/>
            <w:bottom w:val="none" w:sz="0" w:space="0" w:color="auto"/>
            <w:right w:val="none" w:sz="0" w:space="0" w:color="auto"/>
          </w:divBdr>
        </w:div>
        <w:div w:id="1985115034">
          <w:marLeft w:val="640"/>
          <w:marRight w:val="0"/>
          <w:marTop w:val="0"/>
          <w:marBottom w:val="0"/>
          <w:divBdr>
            <w:top w:val="none" w:sz="0" w:space="0" w:color="auto"/>
            <w:left w:val="none" w:sz="0" w:space="0" w:color="auto"/>
            <w:bottom w:val="none" w:sz="0" w:space="0" w:color="auto"/>
            <w:right w:val="none" w:sz="0" w:space="0" w:color="auto"/>
          </w:divBdr>
        </w:div>
        <w:div w:id="57822848">
          <w:marLeft w:val="640"/>
          <w:marRight w:val="0"/>
          <w:marTop w:val="0"/>
          <w:marBottom w:val="0"/>
          <w:divBdr>
            <w:top w:val="none" w:sz="0" w:space="0" w:color="auto"/>
            <w:left w:val="none" w:sz="0" w:space="0" w:color="auto"/>
            <w:bottom w:val="none" w:sz="0" w:space="0" w:color="auto"/>
            <w:right w:val="none" w:sz="0" w:space="0" w:color="auto"/>
          </w:divBdr>
        </w:div>
        <w:div w:id="1628315291">
          <w:marLeft w:val="640"/>
          <w:marRight w:val="0"/>
          <w:marTop w:val="0"/>
          <w:marBottom w:val="0"/>
          <w:divBdr>
            <w:top w:val="none" w:sz="0" w:space="0" w:color="auto"/>
            <w:left w:val="none" w:sz="0" w:space="0" w:color="auto"/>
            <w:bottom w:val="none" w:sz="0" w:space="0" w:color="auto"/>
            <w:right w:val="none" w:sz="0" w:space="0" w:color="auto"/>
          </w:divBdr>
        </w:div>
        <w:div w:id="602686126">
          <w:marLeft w:val="640"/>
          <w:marRight w:val="0"/>
          <w:marTop w:val="0"/>
          <w:marBottom w:val="0"/>
          <w:divBdr>
            <w:top w:val="none" w:sz="0" w:space="0" w:color="auto"/>
            <w:left w:val="none" w:sz="0" w:space="0" w:color="auto"/>
            <w:bottom w:val="none" w:sz="0" w:space="0" w:color="auto"/>
            <w:right w:val="none" w:sz="0" w:space="0" w:color="auto"/>
          </w:divBdr>
        </w:div>
        <w:div w:id="90054281">
          <w:marLeft w:val="640"/>
          <w:marRight w:val="0"/>
          <w:marTop w:val="0"/>
          <w:marBottom w:val="0"/>
          <w:divBdr>
            <w:top w:val="none" w:sz="0" w:space="0" w:color="auto"/>
            <w:left w:val="none" w:sz="0" w:space="0" w:color="auto"/>
            <w:bottom w:val="none" w:sz="0" w:space="0" w:color="auto"/>
            <w:right w:val="none" w:sz="0" w:space="0" w:color="auto"/>
          </w:divBdr>
        </w:div>
        <w:div w:id="1525099009">
          <w:marLeft w:val="640"/>
          <w:marRight w:val="0"/>
          <w:marTop w:val="0"/>
          <w:marBottom w:val="0"/>
          <w:divBdr>
            <w:top w:val="none" w:sz="0" w:space="0" w:color="auto"/>
            <w:left w:val="none" w:sz="0" w:space="0" w:color="auto"/>
            <w:bottom w:val="none" w:sz="0" w:space="0" w:color="auto"/>
            <w:right w:val="none" w:sz="0" w:space="0" w:color="auto"/>
          </w:divBdr>
        </w:div>
        <w:div w:id="1125198342">
          <w:marLeft w:val="640"/>
          <w:marRight w:val="0"/>
          <w:marTop w:val="0"/>
          <w:marBottom w:val="0"/>
          <w:divBdr>
            <w:top w:val="none" w:sz="0" w:space="0" w:color="auto"/>
            <w:left w:val="none" w:sz="0" w:space="0" w:color="auto"/>
            <w:bottom w:val="none" w:sz="0" w:space="0" w:color="auto"/>
            <w:right w:val="none" w:sz="0" w:space="0" w:color="auto"/>
          </w:divBdr>
        </w:div>
        <w:div w:id="1235313207">
          <w:marLeft w:val="640"/>
          <w:marRight w:val="0"/>
          <w:marTop w:val="0"/>
          <w:marBottom w:val="0"/>
          <w:divBdr>
            <w:top w:val="none" w:sz="0" w:space="0" w:color="auto"/>
            <w:left w:val="none" w:sz="0" w:space="0" w:color="auto"/>
            <w:bottom w:val="none" w:sz="0" w:space="0" w:color="auto"/>
            <w:right w:val="none" w:sz="0" w:space="0" w:color="auto"/>
          </w:divBdr>
        </w:div>
        <w:div w:id="1140342748">
          <w:marLeft w:val="640"/>
          <w:marRight w:val="0"/>
          <w:marTop w:val="0"/>
          <w:marBottom w:val="0"/>
          <w:divBdr>
            <w:top w:val="none" w:sz="0" w:space="0" w:color="auto"/>
            <w:left w:val="none" w:sz="0" w:space="0" w:color="auto"/>
            <w:bottom w:val="none" w:sz="0" w:space="0" w:color="auto"/>
            <w:right w:val="none" w:sz="0" w:space="0" w:color="auto"/>
          </w:divBdr>
        </w:div>
        <w:div w:id="466975705">
          <w:marLeft w:val="640"/>
          <w:marRight w:val="0"/>
          <w:marTop w:val="0"/>
          <w:marBottom w:val="0"/>
          <w:divBdr>
            <w:top w:val="none" w:sz="0" w:space="0" w:color="auto"/>
            <w:left w:val="none" w:sz="0" w:space="0" w:color="auto"/>
            <w:bottom w:val="none" w:sz="0" w:space="0" w:color="auto"/>
            <w:right w:val="none" w:sz="0" w:space="0" w:color="auto"/>
          </w:divBdr>
        </w:div>
        <w:div w:id="1645812657">
          <w:marLeft w:val="640"/>
          <w:marRight w:val="0"/>
          <w:marTop w:val="0"/>
          <w:marBottom w:val="0"/>
          <w:divBdr>
            <w:top w:val="none" w:sz="0" w:space="0" w:color="auto"/>
            <w:left w:val="none" w:sz="0" w:space="0" w:color="auto"/>
            <w:bottom w:val="none" w:sz="0" w:space="0" w:color="auto"/>
            <w:right w:val="none" w:sz="0" w:space="0" w:color="auto"/>
          </w:divBdr>
        </w:div>
        <w:div w:id="1966614665">
          <w:marLeft w:val="640"/>
          <w:marRight w:val="0"/>
          <w:marTop w:val="0"/>
          <w:marBottom w:val="0"/>
          <w:divBdr>
            <w:top w:val="none" w:sz="0" w:space="0" w:color="auto"/>
            <w:left w:val="none" w:sz="0" w:space="0" w:color="auto"/>
            <w:bottom w:val="none" w:sz="0" w:space="0" w:color="auto"/>
            <w:right w:val="none" w:sz="0" w:space="0" w:color="auto"/>
          </w:divBdr>
        </w:div>
        <w:div w:id="758715822">
          <w:marLeft w:val="640"/>
          <w:marRight w:val="0"/>
          <w:marTop w:val="0"/>
          <w:marBottom w:val="0"/>
          <w:divBdr>
            <w:top w:val="none" w:sz="0" w:space="0" w:color="auto"/>
            <w:left w:val="none" w:sz="0" w:space="0" w:color="auto"/>
            <w:bottom w:val="none" w:sz="0" w:space="0" w:color="auto"/>
            <w:right w:val="none" w:sz="0" w:space="0" w:color="auto"/>
          </w:divBdr>
        </w:div>
        <w:div w:id="828599924">
          <w:marLeft w:val="640"/>
          <w:marRight w:val="0"/>
          <w:marTop w:val="0"/>
          <w:marBottom w:val="0"/>
          <w:divBdr>
            <w:top w:val="none" w:sz="0" w:space="0" w:color="auto"/>
            <w:left w:val="none" w:sz="0" w:space="0" w:color="auto"/>
            <w:bottom w:val="none" w:sz="0" w:space="0" w:color="auto"/>
            <w:right w:val="none" w:sz="0" w:space="0" w:color="auto"/>
          </w:divBdr>
        </w:div>
        <w:div w:id="787940087">
          <w:marLeft w:val="640"/>
          <w:marRight w:val="0"/>
          <w:marTop w:val="0"/>
          <w:marBottom w:val="0"/>
          <w:divBdr>
            <w:top w:val="none" w:sz="0" w:space="0" w:color="auto"/>
            <w:left w:val="none" w:sz="0" w:space="0" w:color="auto"/>
            <w:bottom w:val="none" w:sz="0" w:space="0" w:color="auto"/>
            <w:right w:val="none" w:sz="0" w:space="0" w:color="auto"/>
          </w:divBdr>
        </w:div>
        <w:div w:id="93913501">
          <w:marLeft w:val="640"/>
          <w:marRight w:val="0"/>
          <w:marTop w:val="0"/>
          <w:marBottom w:val="0"/>
          <w:divBdr>
            <w:top w:val="none" w:sz="0" w:space="0" w:color="auto"/>
            <w:left w:val="none" w:sz="0" w:space="0" w:color="auto"/>
            <w:bottom w:val="none" w:sz="0" w:space="0" w:color="auto"/>
            <w:right w:val="none" w:sz="0" w:space="0" w:color="auto"/>
          </w:divBdr>
        </w:div>
        <w:div w:id="910770660">
          <w:marLeft w:val="640"/>
          <w:marRight w:val="0"/>
          <w:marTop w:val="0"/>
          <w:marBottom w:val="0"/>
          <w:divBdr>
            <w:top w:val="none" w:sz="0" w:space="0" w:color="auto"/>
            <w:left w:val="none" w:sz="0" w:space="0" w:color="auto"/>
            <w:bottom w:val="none" w:sz="0" w:space="0" w:color="auto"/>
            <w:right w:val="none" w:sz="0" w:space="0" w:color="auto"/>
          </w:divBdr>
        </w:div>
        <w:div w:id="714046264">
          <w:marLeft w:val="640"/>
          <w:marRight w:val="0"/>
          <w:marTop w:val="0"/>
          <w:marBottom w:val="0"/>
          <w:divBdr>
            <w:top w:val="none" w:sz="0" w:space="0" w:color="auto"/>
            <w:left w:val="none" w:sz="0" w:space="0" w:color="auto"/>
            <w:bottom w:val="none" w:sz="0" w:space="0" w:color="auto"/>
            <w:right w:val="none" w:sz="0" w:space="0" w:color="auto"/>
          </w:divBdr>
        </w:div>
        <w:div w:id="591162285">
          <w:marLeft w:val="640"/>
          <w:marRight w:val="0"/>
          <w:marTop w:val="0"/>
          <w:marBottom w:val="0"/>
          <w:divBdr>
            <w:top w:val="none" w:sz="0" w:space="0" w:color="auto"/>
            <w:left w:val="none" w:sz="0" w:space="0" w:color="auto"/>
            <w:bottom w:val="none" w:sz="0" w:space="0" w:color="auto"/>
            <w:right w:val="none" w:sz="0" w:space="0" w:color="auto"/>
          </w:divBdr>
        </w:div>
        <w:div w:id="1544440937">
          <w:marLeft w:val="640"/>
          <w:marRight w:val="0"/>
          <w:marTop w:val="0"/>
          <w:marBottom w:val="0"/>
          <w:divBdr>
            <w:top w:val="none" w:sz="0" w:space="0" w:color="auto"/>
            <w:left w:val="none" w:sz="0" w:space="0" w:color="auto"/>
            <w:bottom w:val="none" w:sz="0" w:space="0" w:color="auto"/>
            <w:right w:val="none" w:sz="0" w:space="0" w:color="auto"/>
          </w:divBdr>
        </w:div>
        <w:div w:id="822350624">
          <w:marLeft w:val="640"/>
          <w:marRight w:val="0"/>
          <w:marTop w:val="0"/>
          <w:marBottom w:val="0"/>
          <w:divBdr>
            <w:top w:val="none" w:sz="0" w:space="0" w:color="auto"/>
            <w:left w:val="none" w:sz="0" w:space="0" w:color="auto"/>
            <w:bottom w:val="none" w:sz="0" w:space="0" w:color="auto"/>
            <w:right w:val="none" w:sz="0" w:space="0" w:color="auto"/>
          </w:divBdr>
        </w:div>
        <w:div w:id="2143306617">
          <w:marLeft w:val="640"/>
          <w:marRight w:val="0"/>
          <w:marTop w:val="0"/>
          <w:marBottom w:val="0"/>
          <w:divBdr>
            <w:top w:val="none" w:sz="0" w:space="0" w:color="auto"/>
            <w:left w:val="none" w:sz="0" w:space="0" w:color="auto"/>
            <w:bottom w:val="none" w:sz="0" w:space="0" w:color="auto"/>
            <w:right w:val="none" w:sz="0" w:space="0" w:color="auto"/>
          </w:divBdr>
        </w:div>
        <w:div w:id="1633368338">
          <w:marLeft w:val="640"/>
          <w:marRight w:val="0"/>
          <w:marTop w:val="0"/>
          <w:marBottom w:val="0"/>
          <w:divBdr>
            <w:top w:val="none" w:sz="0" w:space="0" w:color="auto"/>
            <w:left w:val="none" w:sz="0" w:space="0" w:color="auto"/>
            <w:bottom w:val="none" w:sz="0" w:space="0" w:color="auto"/>
            <w:right w:val="none" w:sz="0" w:space="0" w:color="auto"/>
          </w:divBdr>
        </w:div>
        <w:div w:id="1470396641">
          <w:marLeft w:val="640"/>
          <w:marRight w:val="0"/>
          <w:marTop w:val="0"/>
          <w:marBottom w:val="0"/>
          <w:divBdr>
            <w:top w:val="none" w:sz="0" w:space="0" w:color="auto"/>
            <w:left w:val="none" w:sz="0" w:space="0" w:color="auto"/>
            <w:bottom w:val="none" w:sz="0" w:space="0" w:color="auto"/>
            <w:right w:val="none" w:sz="0" w:space="0" w:color="auto"/>
          </w:divBdr>
        </w:div>
        <w:div w:id="1662196877">
          <w:marLeft w:val="640"/>
          <w:marRight w:val="0"/>
          <w:marTop w:val="0"/>
          <w:marBottom w:val="0"/>
          <w:divBdr>
            <w:top w:val="none" w:sz="0" w:space="0" w:color="auto"/>
            <w:left w:val="none" w:sz="0" w:space="0" w:color="auto"/>
            <w:bottom w:val="none" w:sz="0" w:space="0" w:color="auto"/>
            <w:right w:val="none" w:sz="0" w:space="0" w:color="auto"/>
          </w:divBdr>
        </w:div>
        <w:div w:id="1915780882">
          <w:marLeft w:val="640"/>
          <w:marRight w:val="0"/>
          <w:marTop w:val="0"/>
          <w:marBottom w:val="0"/>
          <w:divBdr>
            <w:top w:val="none" w:sz="0" w:space="0" w:color="auto"/>
            <w:left w:val="none" w:sz="0" w:space="0" w:color="auto"/>
            <w:bottom w:val="none" w:sz="0" w:space="0" w:color="auto"/>
            <w:right w:val="none" w:sz="0" w:space="0" w:color="auto"/>
          </w:divBdr>
        </w:div>
        <w:div w:id="2105688592">
          <w:marLeft w:val="640"/>
          <w:marRight w:val="0"/>
          <w:marTop w:val="0"/>
          <w:marBottom w:val="0"/>
          <w:divBdr>
            <w:top w:val="none" w:sz="0" w:space="0" w:color="auto"/>
            <w:left w:val="none" w:sz="0" w:space="0" w:color="auto"/>
            <w:bottom w:val="none" w:sz="0" w:space="0" w:color="auto"/>
            <w:right w:val="none" w:sz="0" w:space="0" w:color="auto"/>
          </w:divBdr>
        </w:div>
        <w:div w:id="1053314050">
          <w:marLeft w:val="640"/>
          <w:marRight w:val="0"/>
          <w:marTop w:val="0"/>
          <w:marBottom w:val="0"/>
          <w:divBdr>
            <w:top w:val="none" w:sz="0" w:space="0" w:color="auto"/>
            <w:left w:val="none" w:sz="0" w:space="0" w:color="auto"/>
            <w:bottom w:val="none" w:sz="0" w:space="0" w:color="auto"/>
            <w:right w:val="none" w:sz="0" w:space="0" w:color="auto"/>
          </w:divBdr>
        </w:div>
        <w:div w:id="1027409440">
          <w:marLeft w:val="640"/>
          <w:marRight w:val="0"/>
          <w:marTop w:val="0"/>
          <w:marBottom w:val="0"/>
          <w:divBdr>
            <w:top w:val="none" w:sz="0" w:space="0" w:color="auto"/>
            <w:left w:val="none" w:sz="0" w:space="0" w:color="auto"/>
            <w:bottom w:val="none" w:sz="0" w:space="0" w:color="auto"/>
            <w:right w:val="none" w:sz="0" w:space="0" w:color="auto"/>
          </w:divBdr>
        </w:div>
        <w:div w:id="2060667232">
          <w:marLeft w:val="640"/>
          <w:marRight w:val="0"/>
          <w:marTop w:val="0"/>
          <w:marBottom w:val="0"/>
          <w:divBdr>
            <w:top w:val="none" w:sz="0" w:space="0" w:color="auto"/>
            <w:left w:val="none" w:sz="0" w:space="0" w:color="auto"/>
            <w:bottom w:val="none" w:sz="0" w:space="0" w:color="auto"/>
            <w:right w:val="none" w:sz="0" w:space="0" w:color="auto"/>
          </w:divBdr>
        </w:div>
        <w:div w:id="180778548">
          <w:marLeft w:val="640"/>
          <w:marRight w:val="0"/>
          <w:marTop w:val="0"/>
          <w:marBottom w:val="0"/>
          <w:divBdr>
            <w:top w:val="none" w:sz="0" w:space="0" w:color="auto"/>
            <w:left w:val="none" w:sz="0" w:space="0" w:color="auto"/>
            <w:bottom w:val="none" w:sz="0" w:space="0" w:color="auto"/>
            <w:right w:val="none" w:sz="0" w:space="0" w:color="auto"/>
          </w:divBdr>
        </w:div>
        <w:div w:id="557666096">
          <w:marLeft w:val="640"/>
          <w:marRight w:val="0"/>
          <w:marTop w:val="0"/>
          <w:marBottom w:val="0"/>
          <w:divBdr>
            <w:top w:val="none" w:sz="0" w:space="0" w:color="auto"/>
            <w:left w:val="none" w:sz="0" w:space="0" w:color="auto"/>
            <w:bottom w:val="none" w:sz="0" w:space="0" w:color="auto"/>
            <w:right w:val="none" w:sz="0" w:space="0" w:color="auto"/>
          </w:divBdr>
        </w:div>
        <w:div w:id="1018854478">
          <w:marLeft w:val="640"/>
          <w:marRight w:val="0"/>
          <w:marTop w:val="0"/>
          <w:marBottom w:val="0"/>
          <w:divBdr>
            <w:top w:val="none" w:sz="0" w:space="0" w:color="auto"/>
            <w:left w:val="none" w:sz="0" w:space="0" w:color="auto"/>
            <w:bottom w:val="none" w:sz="0" w:space="0" w:color="auto"/>
            <w:right w:val="none" w:sz="0" w:space="0" w:color="auto"/>
          </w:divBdr>
        </w:div>
        <w:div w:id="759912646">
          <w:marLeft w:val="640"/>
          <w:marRight w:val="0"/>
          <w:marTop w:val="0"/>
          <w:marBottom w:val="0"/>
          <w:divBdr>
            <w:top w:val="none" w:sz="0" w:space="0" w:color="auto"/>
            <w:left w:val="none" w:sz="0" w:space="0" w:color="auto"/>
            <w:bottom w:val="none" w:sz="0" w:space="0" w:color="auto"/>
            <w:right w:val="none" w:sz="0" w:space="0" w:color="auto"/>
          </w:divBdr>
        </w:div>
        <w:div w:id="1575311031">
          <w:marLeft w:val="640"/>
          <w:marRight w:val="0"/>
          <w:marTop w:val="0"/>
          <w:marBottom w:val="0"/>
          <w:divBdr>
            <w:top w:val="none" w:sz="0" w:space="0" w:color="auto"/>
            <w:left w:val="none" w:sz="0" w:space="0" w:color="auto"/>
            <w:bottom w:val="none" w:sz="0" w:space="0" w:color="auto"/>
            <w:right w:val="none" w:sz="0" w:space="0" w:color="auto"/>
          </w:divBdr>
        </w:div>
        <w:div w:id="952204904">
          <w:marLeft w:val="640"/>
          <w:marRight w:val="0"/>
          <w:marTop w:val="0"/>
          <w:marBottom w:val="0"/>
          <w:divBdr>
            <w:top w:val="none" w:sz="0" w:space="0" w:color="auto"/>
            <w:left w:val="none" w:sz="0" w:space="0" w:color="auto"/>
            <w:bottom w:val="none" w:sz="0" w:space="0" w:color="auto"/>
            <w:right w:val="none" w:sz="0" w:space="0" w:color="auto"/>
          </w:divBdr>
        </w:div>
        <w:div w:id="335352954">
          <w:marLeft w:val="640"/>
          <w:marRight w:val="0"/>
          <w:marTop w:val="0"/>
          <w:marBottom w:val="0"/>
          <w:divBdr>
            <w:top w:val="none" w:sz="0" w:space="0" w:color="auto"/>
            <w:left w:val="none" w:sz="0" w:space="0" w:color="auto"/>
            <w:bottom w:val="none" w:sz="0" w:space="0" w:color="auto"/>
            <w:right w:val="none" w:sz="0" w:space="0" w:color="auto"/>
          </w:divBdr>
        </w:div>
        <w:div w:id="1288468922">
          <w:marLeft w:val="640"/>
          <w:marRight w:val="0"/>
          <w:marTop w:val="0"/>
          <w:marBottom w:val="0"/>
          <w:divBdr>
            <w:top w:val="none" w:sz="0" w:space="0" w:color="auto"/>
            <w:left w:val="none" w:sz="0" w:space="0" w:color="auto"/>
            <w:bottom w:val="none" w:sz="0" w:space="0" w:color="auto"/>
            <w:right w:val="none" w:sz="0" w:space="0" w:color="auto"/>
          </w:divBdr>
        </w:div>
        <w:div w:id="2138448361">
          <w:marLeft w:val="640"/>
          <w:marRight w:val="0"/>
          <w:marTop w:val="0"/>
          <w:marBottom w:val="0"/>
          <w:divBdr>
            <w:top w:val="none" w:sz="0" w:space="0" w:color="auto"/>
            <w:left w:val="none" w:sz="0" w:space="0" w:color="auto"/>
            <w:bottom w:val="none" w:sz="0" w:space="0" w:color="auto"/>
            <w:right w:val="none" w:sz="0" w:space="0" w:color="auto"/>
          </w:divBdr>
        </w:div>
        <w:div w:id="429471457">
          <w:marLeft w:val="640"/>
          <w:marRight w:val="0"/>
          <w:marTop w:val="0"/>
          <w:marBottom w:val="0"/>
          <w:divBdr>
            <w:top w:val="none" w:sz="0" w:space="0" w:color="auto"/>
            <w:left w:val="none" w:sz="0" w:space="0" w:color="auto"/>
            <w:bottom w:val="none" w:sz="0" w:space="0" w:color="auto"/>
            <w:right w:val="none" w:sz="0" w:space="0" w:color="auto"/>
          </w:divBdr>
        </w:div>
        <w:div w:id="2138180057">
          <w:marLeft w:val="640"/>
          <w:marRight w:val="0"/>
          <w:marTop w:val="0"/>
          <w:marBottom w:val="0"/>
          <w:divBdr>
            <w:top w:val="none" w:sz="0" w:space="0" w:color="auto"/>
            <w:left w:val="none" w:sz="0" w:space="0" w:color="auto"/>
            <w:bottom w:val="none" w:sz="0" w:space="0" w:color="auto"/>
            <w:right w:val="none" w:sz="0" w:space="0" w:color="auto"/>
          </w:divBdr>
        </w:div>
        <w:div w:id="673536310">
          <w:marLeft w:val="640"/>
          <w:marRight w:val="0"/>
          <w:marTop w:val="0"/>
          <w:marBottom w:val="0"/>
          <w:divBdr>
            <w:top w:val="none" w:sz="0" w:space="0" w:color="auto"/>
            <w:left w:val="none" w:sz="0" w:space="0" w:color="auto"/>
            <w:bottom w:val="none" w:sz="0" w:space="0" w:color="auto"/>
            <w:right w:val="none" w:sz="0" w:space="0" w:color="auto"/>
          </w:divBdr>
        </w:div>
        <w:div w:id="895550797">
          <w:marLeft w:val="640"/>
          <w:marRight w:val="0"/>
          <w:marTop w:val="0"/>
          <w:marBottom w:val="0"/>
          <w:divBdr>
            <w:top w:val="none" w:sz="0" w:space="0" w:color="auto"/>
            <w:left w:val="none" w:sz="0" w:space="0" w:color="auto"/>
            <w:bottom w:val="none" w:sz="0" w:space="0" w:color="auto"/>
            <w:right w:val="none" w:sz="0" w:space="0" w:color="auto"/>
          </w:divBdr>
        </w:div>
        <w:div w:id="805706511">
          <w:marLeft w:val="640"/>
          <w:marRight w:val="0"/>
          <w:marTop w:val="0"/>
          <w:marBottom w:val="0"/>
          <w:divBdr>
            <w:top w:val="none" w:sz="0" w:space="0" w:color="auto"/>
            <w:left w:val="none" w:sz="0" w:space="0" w:color="auto"/>
            <w:bottom w:val="none" w:sz="0" w:space="0" w:color="auto"/>
            <w:right w:val="none" w:sz="0" w:space="0" w:color="auto"/>
          </w:divBdr>
        </w:div>
        <w:div w:id="1776439687">
          <w:marLeft w:val="640"/>
          <w:marRight w:val="0"/>
          <w:marTop w:val="0"/>
          <w:marBottom w:val="0"/>
          <w:divBdr>
            <w:top w:val="none" w:sz="0" w:space="0" w:color="auto"/>
            <w:left w:val="none" w:sz="0" w:space="0" w:color="auto"/>
            <w:bottom w:val="none" w:sz="0" w:space="0" w:color="auto"/>
            <w:right w:val="none" w:sz="0" w:space="0" w:color="auto"/>
          </w:divBdr>
        </w:div>
        <w:div w:id="2139294712">
          <w:marLeft w:val="640"/>
          <w:marRight w:val="0"/>
          <w:marTop w:val="0"/>
          <w:marBottom w:val="0"/>
          <w:divBdr>
            <w:top w:val="none" w:sz="0" w:space="0" w:color="auto"/>
            <w:left w:val="none" w:sz="0" w:space="0" w:color="auto"/>
            <w:bottom w:val="none" w:sz="0" w:space="0" w:color="auto"/>
            <w:right w:val="none" w:sz="0" w:space="0" w:color="auto"/>
          </w:divBdr>
        </w:div>
        <w:div w:id="319234218">
          <w:marLeft w:val="640"/>
          <w:marRight w:val="0"/>
          <w:marTop w:val="0"/>
          <w:marBottom w:val="0"/>
          <w:divBdr>
            <w:top w:val="none" w:sz="0" w:space="0" w:color="auto"/>
            <w:left w:val="none" w:sz="0" w:space="0" w:color="auto"/>
            <w:bottom w:val="none" w:sz="0" w:space="0" w:color="auto"/>
            <w:right w:val="none" w:sz="0" w:space="0" w:color="auto"/>
          </w:divBdr>
        </w:div>
        <w:div w:id="102652840">
          <w:marLeft w:val="640"/>
          <w:marRight w:val="0"/>
          <w:marTop w:val="0"/>
          <w:marBottom w:val="0"/>
          <w:divBdr>
            <w:top w:val="none" w:sz="0" w:space="0" w:color="auto"/>
            <w:left w:val="none" w:sz="0" w:space="0" w:color="auto"/>
            <w:bottom w:val="none" w:sz="0" w:space="0" w:color="auto"/>
            <w:right w:val="none" w:sz="0" w:space="0" w:color="auto"/>
          </w:divBdr>
        </w:div>
        <w:div w:id="1683319276">
          <w:marLeft w:val="640"/>
          <w:marRight w:val="0"/>
          <w:marTop w:val="0"/>
          <w:marBottom w:val="0"/>
          <w:divBdr>
            <w:top w:val="none" w:sz="0" w:space="0" w:color="auto"/>
            <w:left w:val="none" w:sz="0" w:space="0" w:color="auto"/>
            <w:bottom w:val="none" w:sz="0" w:space="0" w:color="auto"/>
            <w:right w:val="none" w:sz="0" w:space="0" w:color="auto"/>
          </w:divBdr>
        </w:div>
        <w:div w:id="1973779392">
          <w:marLeft w:val="640"/>
          <w:marRight w:val="0"/>
          <w:marTop w:val="0"/>
          <w:marBottom w:val="0"/>
          <w:divBdr>
            <w:top w:val="none" w:sz="0" w:space="0" w:color="auto"/>
            <w:left w:val="none" w:sz="0" w:space="0" w:color="auto"/>
            <w:bottom w:val="none" w:sz="0" w:space="0" w:color="auto"/>
            <w:right w:val="none" w:sz="0" w:space="0" w:color="auto"/>
          </w:divBdr>
        </w:div>
        <w:div w:id="1312948979">
          <w:marLeft w:val="640"/>
          <w:marRight w:val="0"/>
          <w:marTop w:val="0"/>
          <w:marBottom w:val="0"/>
          <w:divBdr>
            <w:top w:val="none" w:sz="0" w:space="0" w:color="auto"/>
            <w:left w:val="none" w:sz="0" w:space="0" w:color="auto"/>
            <w:bottom w:val="none" w:sz="0" w:space="0" w:color="auto"/>
            <w:right w:val="none" w:sz="0" w:space="0" w:color="auto"/>
          </w:divBdr>
        </w:div>
        <w:div w:id="1377850284">
          <w:marLeft w:val="640"/>
          <w:marRight w:val="0"/>
          <w:marTop w:val="0"/>
          <w:marBottom w:val="0"/>
          <w:divBdr>
            <w:top w:val="none" w:sz="0" w:space="0" w:color="auto"/>
            <w:left w:val="none" w:sz="0" w:space="0" w:color="auto"/>
            <w:bottom w:val="none" w:sz="0" w:space="0" w:color="auto"/>
            <w:right w:val="none" w:sz="0" w:space="0" w:color="auto"/>
          </w:divBdr>
        </w:div>
        <w:div w:id="299502143">
          <w:marLeft w:val="640"/>
          <w:marRight w:val="0"/>
          <w:marTop w:val="0"/>
          <w:marBottom w:val="0"/>
          <w:divBdr>
            <w:top w:val="none" w:sz="0" w:space="0" w:color="auto"/>
            <w:left w:val="none" w:sz="0" w:space="0" w:color="auto"/>
            <w:bottom w:val="none" w:sz="0" w:space="0" w:color="auto"/>
            <w:right w:val="none" w:sz="0" w:space="0" w:color="auto"/>
          </w:divBdr>
        </w:div>
        <w:div w:id="1562788426">
          <w:marLeft w:val="640"/>
          <w:marRight w:val="0"/>
          <w:marTop w:val="0"/>
          <w:marBottom w:val="0"/>
          <w:divBdr>
            <w:top w:val="none" w:sz="0" w:space="0" w:color="auto"/>
            <w:left w:val="none" w:sz="0" w:space="0" w:color="auto"/>
            <w:bottom w:val="none" w:sz="0" w:space="0" w:color="auto"/>
            <w:right w:val="none" w:sz="0" w:space="0" w:color="auto"/>
          </w:divBdr>
        </w:div>
        <w:div w:id="1179546791">
          <w:marLeft w:val="640"/>
          <w:marRight w:val="0"/>
          <w:marTop w:val="0"/>
          <w:marBottom w:val="0"/>
          <w:divBdr>
            <w:top w:val="none" w:sz="0" w:space="0" w:color="auto"/>
            <w:left w:val="none" w:sz="0" w:space="0" w:color="auto"/>
            <w:bottom w:val="none" w:sz="0" w:space="0" w:color="auto"/>
            <w:right w:val="none" w:sz="0" w:space="0" w:color="auto"/>
          </w:divBdr>
        </w:div>
        <w:div w:id="53359147">
          <w:marLeft w:val="640"/>
          <w:marRight w:val="0"/>
          <w:marTop w:val="0"/>
          <w:marBottom w:val="0"/>
          <w:divBdr>
            <w:top w:val="none" w:sz="0" w:space="0" w:color="auto"/>
            <w:left w:val="none" w:sz="0" w:space="0" w:color="auto"/>
            <w:bottom w:val="none" w:sz="0" w:space="0" w:color="auto"/>
            <w:right w:val="none" w:sz="0" w:space="0" w:color="auto"/>
          </w:divBdr>
        </w:div>
        <w:div w:id="732699906">
          <w:marLeft w:val="640"/>
          <w:marRight w:val="0"/>
          <w:marTop w:val="0"/>
          <w:marBottom w:val="0"/>
          <w:divBdr>
            <w:top w:val="none" w:sz="0" w:space="0" w:color="auto"/>
            <w:left w:val="none" w:sz="0" w:space="0" w:color="auto"/>
            <w:bottom w:val="none" w:sz="0" w:space="0" w:color="auto"/>
            <w:right w:val="none" w:sz="0" w:space="0" w:color="auto"/>
          </w:divBdr>
        </w:div>
        <w:div w:id="1199464361">
          <w:marLeft w:val="640"/>
          <w:marRight w:val="0"/>
          <w:marTop w:val="0"/>
          <w:marBottom w:val="0"/>
          <w:divBdr>
            <w:top w:val="none" w:sz="0" w:space="0" w:color="auto"/>
            <w:left w:val="none" w:sz="0" w:space="0" w:color="auto"/>
            <w:bottom w:val="none" w:sz="0" w:space="0" w:color="auto"/>
            <w:right w:val="none" w:sz="0" w:space="0" w:color="auto"/>
          </w:divBdr>
        </w:div>
        <w:div w:id="11347242">
          <w:marLeft w:val="640"/>
          <w:marRight w:val="0"/>
          <w:marTop w:val="0"/>
          <w:marBottom w:val="0"/>
          <w:divBdr>
            <w:top w:val="none" w:sz="0" w:space="0" w:color="auto"/>
            <w:left w:val="none" w:sz="0" w:space="0" w:color="auto"/>
            <w:bottom w:val="none" w:sz="0" w:space="0" w:color="auto"/>
            <w:right w:val="none" w:sz="0" w:space="0" w:color="auto"/>
          </w:divBdr>
        </w:div>
        <w:div w:id="233320077">
          <w:marLeft w:val="640"/>
          <w:marRight w:val="0"/>
          <w:marTop w:val="0"/>
          <w:marBottom w:val="0"/>
          <w:divBdr>
            <w:top w:val="none" w:sz="0" w:space="0" w:color="auto"/>
            <w:left w:val="none" w:sz="0" w:space="0" w:color="auto"/>
            <w:bottom w:val="none" w:sz="0" w:space="0" w:color="auto"/>
            <w:right w:val="none" w:sz="0" w:space="0" w:color="auto"/>
          </w:divBdr>
        </w:div>
        <w:div w:id="1956327207">
          <w:marLeft w:val="640"/>
          <w:marRight w:val="0"/>
          <w:marTop w:val="0"/>
          <w:marBottom w:val="0"/>
          <w:divBdr>
            <w:top w:val="none" w:sz="0" w:space="0" w:color="auto"/>
            <w:left w:val="none" w:sz="0" w:space="0" w:color="auto"/>
            <w:bottom w:val="none" w:sz="0" w:space="0" w:color="auto"/>
            <w:right w:val="none" w:sz="0" w:space="0" w:color="auto"/>
          </w:divBdr>
        </w:div>
        <w:div w:id="1957129241">
          <w:marLeft w:val="640"/>
          <w:marRight w:val="0"/>
          <w:marTop w:val="0"/>
          <w:marBottom w:val="0"/>
          <w:divBdr>
            <w:top w:val="none" w:sz="0" w:space="0" w:color="auto"/>
            <w:left w:val="none" w:sz="0" w:space="0" w:color="auto"/>
            <w:bottom w:val="none" w:sz="0" w:space="0" w:color="auto"/>
            <w:right w:val="none" w:sz="0" w:space="0" w:color="auto"/>
          </w:divBdr>
        </w:div>
        <w:div w:id="374237779">
          <w:marLeft w:val="640"/>
          <w:marRight w:val="0"/>
          <w:marTop w:val="0"/>
          <w:marBottom w:val="0"/>
          <w:divBdr>
            <w:top w:val="none" w:sz="0" w:space="0" w:color="auto"/>
            <w:left w:val="none" w:sz="0" w:space="0" w:color="auto"/>
            <w:bottom w:val="none" w:sz="0" w:space="0" w:color="auto"/>
            <w:right w:val="none" w:sz="0" w:space="0" w:color="auto"/>
          </w:divBdr>
        </w:div>
        <w:div w:id="1638560978">
          <w:marLeft w:val="640"/>
          <w:marRight w:val="0"/>
          <w:marTop w:val="0"/>
          <w:marBottom w:val="0"/>
          <w:divBdr>
            <w:top w:val="none" w:sz="0" w:space="0" w:color="auto"/>
            <w:left w:val="none" w:sz="0" w:space="0" w:color="auto"/>
            <w:bottom w:val="none" w:sz="0" w:space="0" w:color="auto"/>
            <w:right w:val="none" w:sz="0" w:space="0" w:color="auto"/>
          </w:divBdr>
        </w:div>
        <w:div w:id="1301113249">
          <w:marLeft w:val="640"/>
          <w:marRight w:val="0"/>
          <w:marTop w:val="0"/>
          <w:marBottom w:val="0"/>
          <w:divBdr>
            <w:top w:val="none" w:sz="0" w:space="0" w:color="auto"/>
            <w:left w:val="none" w:sz="0" w:space="0" w:color="auto"/>
            <w:bottom w:val="none" w:sz="0" w:space="0" w:color="auto"/>
            <w:right w:val="none" w:sz="0" w:space="0" w:color="auto"/>
          </w:divBdr>
        </w:div>
        <w:div w:id="1188833612">
          <w:marLeft w:val="640"/>
          <w:marRight w:val="0"/>
          <w:marTop w:val="0"/>
          <w:marBottom w:val="0"/>
          <w:divBdr>
            <w:top w:val="none" w:sz="0" w:space="0" w:color="auto"/>
            <w:left w:val="none" w:sz="0" w:space="0" w:color="auto"/>
            <w:bottom w:val="none" w:sz="0" w:space="0" w:color="auto"/>
            <w:right w:val="none" w:sz="0" w:space="0" w:color="auto"/>
          </w:divBdr>
        </w:div>
        <w:div w:id="311377013">
          <w:marLeft w:val="640"/>
          <w:marRight w:val="0"/>
          <w:marTop w:val="0"/>
          <w:marBottom w:val="0"/>
          <w:divBdr>
            <w:top w:val="none" w:sz="0" w:space="0" w:color="auto"/>
            <w:left w:val="none" w:sz="0" w:space="0" w:color="auto"/>
            <w:bottom w:val="none" w:sz="0" w:space="0" w:color="auto"/>
            <w:right w:val="none" w:sz="0" w:space="0" w:color="auto"/>
          </w:divBdr>
        </w:div>
        <w:div w:id="240794957">
          <w:marLeft w:val="640"/>
          <w:marRight w:val="0"/>
          <w:marTop w:val="0"/>
          <w:marBottom w:val="0"/>
          <w:divBdr>
            <w:top w:val="none" w:sz="0" w:space="0" w:color="auto"/>
            <w:left w:val="none" w:sz="0" w:space="0" w:color="auto"/>
            <w:bottom w:val="none" w:sz="0" w:space="0" w:color="auto"/>
            <w:right w:val="none" w:sz="0" w:space="0" w:color="auto"/>
          </w:divBdr>
        </w:div>
        <w:div w:id="775103569">
          <w:marLeft w:val="640"/>
          <w:marRight w:val="0"/>
          <w:marTop w:val="0"/>
          <w:marBottom w:val="0"/>
          <w:divBdr>
            <w:top w:val="none" w:sz="0" w:space="0" w:color="auto"/>
            <w:left w:val="none" w:sz="0" w:space="0" w:color="auto"/>
            <w:bottom w:val="none" w:sz="0" w:space="0" w:color="auto"/>
            <w:right w:val="none" w:sz="0" w:space="0" w:color="auto"/>
          </w:divBdr>
        </w:div>
        <w:div w:id="440150577">
          <w:marLeft w:val="640"/>
          <w:marRight w:val="0"/>
          <w:marTop w:val="0"/>
          <w:marBottom w:val="0"/>
          <w:divBdr>
            <w:top w:val="none" w:sz="0" w:space="0" w:color="auto"/>
            <w:left w:val="none" w:sz="0" w:space="0" w:color="auto"/>
            <w:bottom w:val="none" w:sz="0" w:space="0" w:color="auto"/>
            <w:right w:val="none" w:sz="0" w:space="0" w:color="auto"/>
          </w:divBdr>
        </w:div>
        <w:div w:id="858465669">
          <w:marLeft w:val="640"/>
          <w:marRight w:val="0"/>
          <w:marTop w:val="0"/>
          <w:marBottom w:val="0"/>
          <w:divBdr>
            <w:top w:val="none" w:sz="0" w:space="0" w:color="auto"/>
            <w:left w:val="none" w:sz="0" w:space="0" w:color="auto"/>
            <w:bottom w:val="none" w:sz="0" w:space="0" w:color="auto"/>
            <w:right w:val="none" w:sz="0" w:space="0" w:color="auto"/>
          </w:divBdr>
        </w:div>
        <w:div w:id="1448427124">
          <w:marLeft w:val="640"/>
          <w:marRight w:val="0"/>
          <w:marTop w:val="0"/>
          <w:marBottom w:val="0"/>
          <w:divBdr>
            <w:top w:val="none" w:sz="0" w:space="0" w:color="auto"/>
            <w:left w:val="none" w:sz="0" w:space="0" w:color="auto"/>
            <w:bottom w:val="none" w:sz="0" w:space="0" w:color="auto"/>
            <w:right w:val="none" w:sz="0" w:space="0" w:color="auto"/>
          </w:divBdr>
        </w:div>
        <w:div w:id="449477854">
          <w:marLeft w:val="640"/>
          <w:marRight w:val="0"/>
          <w:marTop w:val="0"/>
          <w:marBottom w:val="0"/>
          <w:divBdr>
            <w:top w:val="none" w:sz="0" w:space="0" w:color="auto"/>
            <w:left w:val="none" w:sz="0" w:space="0" w:color="auto"/>
            <w:bottom w:val="none" w:sz="0" w:space="0" w:color="auto"/>
            <w:right w:val="none" w:sz="0" w:space="0" w:color="auto"/>
          </w:divBdr>
        </w:div>
        <w:div w:id="452948233">
          <w:marLeft w:val="640"/>
          <w:marRight w:val="0"/>
          <w:marTop w:val="0"/>
          <w:marBottom w:val="0"/>
          <w:divBdr>
            <w:top w:val="none" w:sz="0" w:space="0" w:color="auto"/>
            <w:left w:val="none" w:sz="0" w:space="0" w:color="auto"/>
            <w:bottom w:val="none" w:sz="0" w:space="0" w:color="auto"/>
            <w:right w:val="none" w:sz="0" w:space="0" w:color="auto"/>
          </w:divBdr>
        </w:div>
        <w:div w:id="967317705">
          <w:marLeft w:val="640"/>
          <w:marRight w:val="0"/>
          <w:marTop w:val="0"/>
          <w:marBottom w:val="0"/>
          <w:divBdr>
            <w:top w:val="none" w:sz="0" w:space="0" w:color="auto"/>
            <w:left w:val="none" w:sz="0" w:space="0" w:color="auto"/>
            <w:bottom w:val="none" w:sz="0" w:space="0" w:color="auto"/>
            <w:right w:val="none" w:sz="0" w:space="0" w:color="auto"/>
          </w:divBdr>
        </w:div>
        <w:div w:id="1539515088">
          <w:marLeft w:val="640"/>
          <w:marRight w:val="0"/>
          <w:marTop w:val="0"/>
          <w:marBottom w:val="0"/>
          <w:divBdr>
            <w:top w:val="none" w:sz="0" w:space="0" w:color="auto"/>
            <w:left w:val="none" w:sz="0" w:space="0" w:color="auto"/>
            <w:bottom w:val="none" w:sz="0" w:space="0" w:color="auto"/>
            <w:right w:val="none" w:sz="0" w:space="0" w:color="auto"/>
          </w:divBdr>
        </w:div>
        <w:div w:id="1177188760">
          <w:marLeft w:val="640"/>
          <w:marRight w:val="0"/>
          <w:marTop w:val="0"/>
          <w:marBottom w:val="0"/>
          <w:divBdr>
            <w:top w:val="none" w:sz="0" w:space="0" w:color="auto"/>
            <w:left w:val="none" w:sz="0" w:space="0" w:color="auto"/>
            <w:bottom w:val="none" w:sz="0" w:space="0" w:color="auto"/>
            <w:right w:val="none" w:sz="0" w:space="0" w:color="auto"/>
          </w:divBdr>
        </w:div>
        <w:div w:id="735517482">
          <w:marLeft w:val="640"/>
          <w:marRight w:val="0"/>
          <w:marTop w:val="0"/>
          <w:marBottom w:val="0"/>
          <w:divBdr>
            <w:top w:val="none" w:sz="0" w:space="0" w:color="auto"/>
            <w:left w:val="none" w:sz="0" w:space="0" w:color="auto"/>
            <w:bottom w:val="none" w:sz="0" w:space="0" w:color="auto"/>
            <w:right w:val="none" w:sz="0" w:space="0" w:color="auto"/>
          </w:divBdr>
        </w:div>
        <w:div w:id="1865904810">
          <w:marLeft w:val="640"/>
          <w:marRight w:val="0"/>
          <w:marTop w:val="0"/>
          <w:marBottom w:val="0"/>
          <w:divBdr>
            <w:top w:val="none" w:sz="0" w:space="0" w:color="auto"/>
            <w:left w:val="none" w:sz="0" w:space="0" w:color="auto"/>
            <w:bottom w:val="none" w:sz="0" w:space="0" w:color="auto"/>
            <w:right w:val="none" w:sz="0" w:space="0" w:color="auto"/>
          </w:divBdr>
        </w:div>
        <w:div w:id="1077366221">
          <w:marLeft w:val="640"/>
          <w:marRight w:val="0"/>
          <w:marTop w:val="0"/>
          <w:marBottom w:val="0"/>
          <w:divBdr>
            <w:top w:val="none" w:sz="0" w:space="0" w:color="auto"/>
            <w:left w:val="none" w:sz="0" w:space="0" w:color="auto"/>
            <w:bottom w:val="none" w:sz="0" w:space="0" w:color="auto"/>
            <w:right w:val="none" w:sz="0" w:space="0" w:color="auto"/>
          </w:divBdr>
        </w:div>
        <w:div w:id="862666550">
          <w:marLeft w:val="640"/>
          <w:marRight w:val="0"/>
          <w:marTop w:val="0"/>
          <w:marBottom w:val="0"/>
          <w:divBdr>
            <w:top w:val="none" w:sz="0" w:space="0" w:color="auto"/>
            <w:left w:val="none" w:sz="0" w:space="0" w:color="auto"/>
            <w:bottom w:val="none" w:sz="0" w:space="0" w:color="auto"/>
            <w:right w:val="none" w:sz="0" w:space="0" w:color="auto"/>
          </w:divBdr>
        </w:div>
        <w:div w:id="1299653664">
          <w:marLeft w:val="640"/>
          <w:marRight w:val="0"/>
          <w:marTop w:val="0"/>
          <w:marBottom w:val="0"/>
          <w:divBdr>
            <w:top w:val="none" w:sz="0" w:space="0" w:color="auto"/>
            <w:left w:val="none" w:sz="0" w:space="0" w:color="auto"/>
            <w:bottom w:val="none" w:sz="0" w:space="0" w:color="auto"/>
            <w:right w:val="none" w:sz="0" w:space="0" w:color="auto"/>
          </w:divBdr>
        </w:div>
        <w:div w:id="1782724141">
          <w:marLeft w:val="640"/>
          <w:marRight w:val="0"/>
          <w:marTop w:val="0"/>
          <w:marBottom w:val="0"/>
          <w:divBdr>
            <w:top w:val="none" w:sz="0" w:space="0" w:color="auto"/>
            <w:left w:val="none" w:sz="0" w:space="0" w:color="auto"/>
            <w:bottom w:val="none" w:sz="0" w:space="0" w:color="auto"/>
            <w:right w:val="none" w:sz="0" w:space="0" w:color="auto"/>
          </w:divBdr>
        </w:div>
        <w:div w:id="1787775922">
          <w:marLeft w:val="640"/>
          <w:marRight w:val="0"/>
          <w:marTop w:val="0"/>
          <w:marBottom w:val="0"/>
          <w:divBdr>
            <w:top w:val="none" w:sz="0" w:space="0" w:color="auto"/>
            <w:left w:val="none" w:sz="0" w:space="0" w:color="auto"/>
            <w:bottom w:val="none" w:sz="0" w:space="0" w:color="auto"/>
            <w:right w:val="none" w:sz="0" w:space="0" w:color="auto"/>
          </w:divBdr>
        </w:div>
        <w:div w:id="989214992">
          <w:marLeft w:val="640"/>
          <w:marRight w:val="0"/>
          <w:marTop w:val="0"/>
          <w:marBottom w:val="0"/>
          <w:divBdr>
            <w:top w:val="none" w:sz="0" w:space="0" w:color="auto"/>
            <w:left w:val="none" w:sz="0" w:space="0" w:color="auto"/>
            <w:bottom w:val="none" w:sz="0" w:space="0" w:color="auto"/>
            <w:right w:val="none" w:sz="0" w:space="0" w:color="auto"/>
          </w:divBdr>
        </w:div>
        <w:div w:id="1260065174">
          <w:marLeft w:val="640"/>
          <w:marRight w:val="0"/>
          <w:marTop w:val="0"/>
          <w:marBottom w:val="0"/>
          <w:divBdr>
            <w:top w:val="none" w:sz="0" w:space="0" w:color="auto"/>
            <w:left w:val="none" w:sz="0" w:space="0" w:color="auto"/>
            <w:bottom w:val="none" w:sz="0" w:space="0" w:color="auto"/>
            <w:right w:val="none" w:sz="0" w:space="0" w:color="auto"/>
          </w:divBdr>
        </w:div>
        <w:div w:id="1997107141">
          <w:marLeft w:val="640"/>
          <w:marRight w:val="0"/>
          <w:marTop w:val="0"/>
          <w:marBottom w:val="0"/>
          <w:divBdr>
            <w:top w:val="none" w:sz="0" w:space="0" w:color="auto"/>
            <w:left w:val="none" w:sz="0" w:space="0" w:color="auto"/>
            <w:bottom w:val="none" w:sz="0" w:space="0" w:color="auto"/>
            <w:right w:val="none" w:sz="0" w:space="0" w:color="auto"/>
          </w:divBdr>
        </w:div>
        <w:div w:id="642153376">
          <w:marLeft w:val="640"/>
          <w:marRight w:val="0"/>
          <w:marTop w:val="0"/>
          <w:marBottom w:val="0"/>
          <w:divBdr>
            <w:top w:val="none" w:sz="0" w:space="0" w:color="auto"/>
            <w:left w:val="none" w:sz="0" w:space="0" w:color="auto"/>
            <w:bottom w:val="none" w:sz="0" w:space="0" w:color="auto"/>
            <w:right w:val="none" w:sz="0" w:space="0" w:color="auto"/>
          </w:divBdr>
        </w:div>
        <w:div w:id="1294284742">
          <w:marLeft w:val="640"/>
          <w:marRight w:val="0"/>
          <w:marTop w:val="0"/>
          <w:marBottom w:val="0"/>
          <w:divBdr>
            <w:top w:val="none" w:sz="0" w:space="0" w:color="auto"/>
            <w:left w:val="none" w:sz="0" w:space="0" w:color="auto"/>
            <w:bottom w:val="none" w:sz="0" w:space="0" w:color="auto"/>
            <w:right w:val="none" w:sz="0" w:space="0" w:color="auto"/>
          </w:divBdr>
        </w:div>
        <w:div w:id="1752580640">
          <w:marLeft w:val="640"/>
          <w:marRight w:val="0"/>
          <w:marTop w:val="0"/>
          <w:marBottom w:val="0"/>
          <w:divBdr>
            <w:top w:val="none" w:sz="0" w:space="0" w:color="auto"/>
            <w:left w:val="none" w:sz="0" w:space="0" w:color="auto"/>
            <w:bottom w:val="none" w:sz="0" w:space="0" w:color="auto"/>
            <w:right w:val="none" w:sz="0" w:space="0" w:color="auto"/>
          </w:divBdr>
        </w:div>
        <w:div w:id="263150391">
          <w:marLeft w:val="640"/>
          <w:marRight w:val="0"/>
          <w:marTop w:val="0"/>
          <w:marBottom w:val="0"/>
          <w:divBdr>
            <w:top w:val="none" w:sz="0" w:space="0" w:color="auto"/>
            <w:left w:val="none" w:sz="0" w:space="0" w:color="auto"/>
            <w:bottom w:val="none" w:sz="0" w:space="0" w:color="auto"/>
            <w:right w:val="none" w:sz="0" w:space="0" w:color="auto"/>
          </w:divBdr>
        </w:div>
        <w:div w:id="1402828463">
          <w:marLeft w:val="640"/>
          <w:marRight w:val="0"/>
          <w:marTop w:val="0"/>
          <w:marBottom w:val="0"/>
          <w:divBdr>
            <w:top w:val="none" w:sz="0" w:space="0" w:color="auto"/>
            <w:left w:val="none" w:sz="0" w:space="0" w:color="auto"/>
            <w:bottom w:val="none" w:sz="0" w:space="0" w:color="auto"/>
            <w:right w:val="none" w:sz="0" w:space="0" w:color="auto"/>
          </w:divBdr>
        </w:div>
        <w:div w:id="2001814332">
          <w:marLeft w:val="640"/>
          <w:marRight w:val="0"/>
          <w:marTop w:val="0"/>
          <w:marBottom w:val="0"/>
          <w:divBdr>
            <w:top w:val="none" w:sz="0" w:space="0" w:color="auto"/>
            <w:left w:val="none" w:sz="0" w:space="0" w:color="auto"/>
            <w:bottom w:val="none" w:sz="0" w:space="0" w:color="auto"/>
            <w:right w:val="none" w:sz="0" w:space="0" w:color="auto"/>
          </w:divBdr>
        </w:div>
        <w:div w:id="1849517419">
          <w:marLeft w:val="640"/>
          <w:marRight w:val="0"/>
          <w:marTop w:val="0"/>
          <w:marBottom w:val="0"/>
          <w:divBdr>
            <w:top w:val="none" w:sz="0" w:space="0" w:color="auto"/>
            <w:left w:val="none" w:sz="0" w:space="0" w:color="auto"/>
            <w:bottom w:val="none" w:sz="0" w:space="0" w:color="auto"/>
            <w:right w:val="none" w:sz="0" w:space="0" w:color="auto"/>
          </w:divBdr>
        </w:div>
        <w:div w:id="263852683">
          <w:marLeft w:val="640"/>
          <w:marRight w:val="0"/>
          <w:marTop w:val="0"/>
          <w:marBottom w:val="0"/>
          <w:divBdr>
            <w:top w:val="none" w:sz="0" w:space="0" w:color="auto"/>
            <w:left w:val="none" w:sz="0" w:space="0" w:color="auto"/>
            <w:bottom w:val="none" w:sz="0" w:space="0" w:color="auto"/>
            <w:right w:val="none" w:sz="0" w:space="0" w:color="auto"/>
          </w:divBdr>
        </w:div>
        <w:div w:id="428088519">
          <w:marLeft w:val="640"/>
          <w:marRight w:val="0"/>
          <w:marTop w:val="0"/>
          <w:marBottom w:val="0"/>
          <w:divBdr>
            <w:top w:val="none" w:sz="0" w:space="0" w:color="auto"/>
            <w:left w:val="none" w:sz="0" w:space="0" w:color="auto"/>
            <w:bottom w:val="none" w:sz="0" w:space="0" w:color="auto"/>
            <w:right w:val="none" w:sz="0" w:space="0" w:color="auto"/>
          </w:divBdr>
        </w:div>
        <w:div w:id="1489201798">
          <w:marLeft w:val="640"/>
          <w:marRight w:val="0"/>
          <w:marTop w:val="0"/>
          <w:marBottom w:val="0"/>
          <w:divBdr>
            <w:top w:val="none" w:sz="0" w:space="0" w:color="auto"/>
            <w:left w:val="none" w:sz="0" w:space="0" w:color="auto"/>
            <w:bottom w:val="none" w:sz="0" w:space="0" w:color="auto"/>
            <w:right w:val="none" w:sz="0" w:space="0" w:color="auto"/>
          </w:divBdr>
        </w:div>
        <w:div w:id="1764917103">
          <w:marLeft w:val="640"/>
          <w:marRight w:val="0"/>
          <w:marTop w:val="0"/>
          <w:marBottom w:val="0"/>
          <w:divBdr>
            <w:top w:val="none" w:sz="0" w:space="0" w:color="auto"/>
            <w:left w:val="none" w:sz="0" w:space="0" w:color="auto"/>
            <w:bottom w:val="none" w:sz="0" w:space="0" w:color="auto"/>
            <w:right w:val="none" w:sz="0" w:space="0" w:color="auto"/>
          </w:divBdr>
        </w:div>
        <w:div w:id="135684418">
          <w:marLeft w:val="640"/>
          <w:marRight w:val="0"/>
          <w:marTop w:val="0"/>
          <w:marBottom w:val="0"/>
          <w:divBdr>
            <w:top w:val="none" w:sz="0" w:space="0" w:color="auto"/>
            <w:left w:val="none" w:sz="0" w:space="0" w:color="auto"/>
            <w:bottom w:val="none" w:sz="0" w:space="0" w:color="auto"/>
            <w:right w:val="none" w:sz="0" w:space="0" w:color="auto"/>
          </w:divBdr>
        </w:div>
        <w:div w:id="2100641443">
          <w:marLeft w:val="640"/>
          <w:marRight w:val="0"/>
          <w:marTop w:val="0"/>
          <w:marBottom w:val="0"/>
          <w:divBdr>
            <w:top w:val="none" w:sz="0" w:space="0" w:color="auto"/>
            <w:left w:val="none" w:sz="0" w:space="0" w:color="auto"/>
            <w:bottom w:val="none" w:sz="0" w:space="0" w:color="auto"/>
            <w:right w:val="none" w:sz="0" w:space="0" w:color="auto"/>
          </w:divBdr>
        </w:div>
        <w:div w:id="357240096">
          <w:marLeft w:val="640"/>
          <w:marRight w:val="0"/>
          <w:marTop w:val="0"/>
          <w:marBottom w:val="0"/>
          <w:divBdr>
            <w:top w:val="none" w:sz="0" w:space="0" w:color="auto"/>
            <w:left w:val="none" w:sz="0" w:space="0" w:color="auto"/>
            <w:bottom w:val="none" w:sz="0" w:space="0" w:color="auto"/>
            <w:right w:val="none" w:sz="0" w:space="0" w:color="auto"/>
          </w:divBdr>
        </w:div>
        <w:div w:id="1628126024">
          <w:marLeft w:val="640"/>
          <w:marRight w:val="0"/>
          <w:marTop w:val="0"/>
          <w:marBottom w:val="0"/>
          <w:divBdr>
            <w:top w:val="none" w:sz="0" w:space="0" w:color="auto"/>
            <w:left w:val="none" w:sz="0" w:space="0" w:color="auto"/>
            <w:bottom w:val="none" w:sz="0" w:space="0" w:color="auto"/>
            <w:right w:val="none" w:sz="0" w:space="0" w:color="auto"/>
          </w:divBdr>
        </w:div>
        <w:div w:id="1810709481">
          <w:marLeft w:val="640"/>
          <w:marRight w:val="0"/>
          <w:marTop w:val="0"/>
          <w:marBottom w:val="0"/>
          <w:divBdr>
            <w:top w:val="none" w:sz="0" w:space="0" w:color="auto"/>
            <w:left w:val="none" w:sz="0" w:space="0" w:color="auto"/>
            <w:bottom w:val="none" w:sz="0" w:space="0" w:color="auto"/>
            <w:right w:val="none" w:sz="0" w:space="0" w:color="auto"/>
          </w:divBdr>
        </w:div>
        <w:div w:id="1075471421">
          <w:marLeft w:val="640"/>
          <w:marRight w:val="0"/>
          <w:marTop w:val="0"/>
          <w:marBottom w:val="0"/>
          <w:divBdr>
            <w:top w:val="none" w:sz="0" w:space="0" w:color="auto"/>
            <w:left w:val="none" w:sz="0" w:space="0" w:color="auto"/>
            <w:bottom w:val="none" w:sz="0" w:space="0" w:color="auto"/>
            <w:right w:val="none" w:sz="0" w:space="0" w:color="auto"/>
          </w:divBdr>
        </w:div>
        <w:div w:id="1571889929">
          <w:marLeft w:val="640"/>
          <w:marRight w:val="0"/>
          <w:marTop w:val="0"/>
          <w:marBottom w:val="0"/>
          <w:divBdr>
            <w:top w:val="none" w:sz="0" w:space="0" w:color="auto"/>
            <w:left w:val="none" w:sz="0" w:space="0" w:color="auto"/>
            <w:bottom w:val="none" w:sz="0" w:space="0" w:color="auto"/>
            <w:right w:val="none" w:sz="0" w:space="0" w:color="auto"/>
          </w:divBdr>
        </w:div>
        <w:div w:id="614366954">
          <w:marLeft w:val="640"/>
          <w:marRight w:val="0"/>
          <w:marTop w:val="0"/>
          <w:marBottom w:val="0"/>
          <w:divBdr>
            <w:top w:val="none" w:sz="0" w:space="0" w:color="auto"/>
            <w:left w:val="none" w:sz="0" w:space="0" w:color="auto"/>
            <w:bottom w:val="none" w:sz="0" w:space="0" w:color="auto"/>
            <w:right w:val="none" w:sz="0" w:space="0" w:color="auto"/>
          </w:divBdr>
        </w:div>
        <w:div w:id="1820726898">
          <w:marLeft w:val="640"/>
          <w:marRight w:val="0"/>
          <w:marTop w:val="0"/>
          <w:marBottom w:val="0"/>
          <w:divBdr>
            <w:top w:val="none" w:sz="0" w:space="0" w:color="auto"/>
            <w:left w:val="none" w:sz="0" w:space="0" w:color="auto"/>
            <w:bottom w:val="none" w:sz="0" w:space="0" w:color="auto"/>
            <w:right w:val="none" w:sz="0" w:space="0" w:color="auto"/>
          </w:divBdr>
        </w:div>
        <w:div w:id="1315721986">
          <w:marLeft w:val="640"/>
          <w:marRight w:val="0"/>
          <w:marTop w:val="0"/>
          <w:marBottom w:val="0"/>
          <w:divBdr>
            <w:top w:val="none" w:sz="0" w:space="0" w:color="auto"/>
            <w:left w:val="none" w:sz="0" w:space="0" w:color="auto"/>
            <w:bottom w:val="none" w:sz="0" w:space="0" w:color="auto"/>
            <w:right w:val="none" w:sz="0" w:space="0" w:color="auto"/>
          </w:divBdr>
        </w:div>
        <w:div w:id="643780196">
          <w:marLeft w:val="640"/>
          <w:marRight w:val="0"/>
          <w:marTop w:val="0"/>
          <w:marBottom w:val="0"/>
          <w:divBdr>
            <w:top w:val="none" w:sz="0" w:space="0" w:color="auto"/>
            <w:left w:val="none" w:sz="0" w:space="0" w:color="auto"/>
            <w:bottom w:val="none" w:sz="0" w:space="0" w:color="auto"/>
            <w:right w:val="none" w:sz="0" w:space="0" w:color="auto"/>
          </w:divBdr>
        </w:div>
        <w:div w:id="2067407927">
          <w:marLeft w:val="640"/>
          <w:marRight w:val="0"/>
          <w:marTop w:val="0"/>
          <w:marBottom w:val="0"/>
          <w:divBdr>
            <w:top w:val="none" w:sz="0" w:space="0" w:color="auto"/>
            <w:left w:val="none" w:sz="0" w:space="0" w:color="auto"/>
            <w:bottom w:val="none" w:sz="0" w:space="0" w:color="auto"/>
            <w:right w:val="none" w:sz="0" w:space="0" w:color="auto"/>
          </w:divBdr>
        </w:div>
        <w:div w:id="1004092048">
          <w:marLeft w:val="640"/>
          <w:marRight w:val="0"/>
          <w:marTop w:val="0"/>
          <w:marBottom w:val="0"/>
          <w:divBdr>
            <w:top w:val="none" w:sz="0" w:space="0" w:color="auto"/>
            <w:left w:val="none" w:sz="0" w:space="0" w:color="auto"/>
            <w:bottom w:val="none" w:sz="0" w:space="0" w:color="auto"/>
            <w:right w:val="none" w:sz="0" w:space="0" w:color="auto"/>
          </w:divBdr>
        </w:div>
        <w:div w:id="202644573">
          <w:marLeft w:val="640"/>
          <w:marRight w:val="0"/>
          <w:marTop w:val="0"/>
          <w:marBottom w:val="0"/>
          <w:divBdr>
            <w:top w:val="none" w:sz="0" w:space="0" w:color="auto"/>
            <w:left w:val="none" w:sz="0" w:space="0" w:color="auto"/>
            <w:bottom w:val="none" w:sz="0" w:space="0" w:color="auto"/>
            <w:right w:val="none" w:sz="0" w:space="0" w:color="auto"/>
          </w:divBdr>
        </w:div>
        <w:div w:id="1782991896">
          <w:marLeft w:val="640"/>
          <w:marRight w:val="0"/>
          <w:marTop w:val="0"/>
          <w:marBottom w:val="0"/>
          <w:divBdr>
            <w:top w:val="none" w:sz="0" w:space="0" w:color="auto"/>
            <w:left w:val="none" w:sz="0" w:space="0" w:color="auto"/>
            <w:bottom w:val="none" w:sz="0" w:space="0" w:color="auto"/>
            <w:right w:val="none" w:sz="0" w:space="0" w:color="auto"/>
          </w:divBdr>
        </w:div>
        <w:div w:id="1702776500">
          <w:marLeft w:val="640"/>
          <w:marRight w:val="0"/>
          <w:marTop w:val="0"/>
          <w:marBottom w:val="0"/>
          <w:divBdr>
            <w:top w:val="none" w:sz="0" w:space="0" w:color="auto"/>
            <w:left w:val="none" w:sz="0" w:space="0" w:color="auto"/>
            <w:bottom w:val="none" w:sz="0" w:space="0" w:color="auto"/>
            <w:right w:val="none" w:sz="0" w:space="0" w:color="auto"/>
          </w:divBdr>
        </w:div>
        <w:div w:id="946891910">
          <w:marLeft w:val="640"/>
          <w:marRight w:val="0"/>
          <w:marTop w:val="0"/>
          <w:marBottom w:val="0"/>
          <w:divBdr>
            <w:top w:val="none" w:sz="0" w:space="0" w:color="auto"/>
            <w:left w:val="none" w:sz="0" w:space="0" w:color="auto"/>
            <w:bottom w:val="none" w:sz="0" w:space="0" w:color="auto"/>
            <w:right w:val="none" w:sz="0" w:space="0" w:color="auto"/>
          </w:divBdr>
        </w:div>
        <w:div w:id="819926062">
          <w:marLeft w:val="640"/>
          <w:marRight w:val="0"/>
          <w:marTop w:val="0"/>
          <w:marBottom w:val="0"/>
          <w:divBdr>
            <w:top w:val="none" w:sz="0" w:space="0" w:color="auto"/>
            <w:left w:val="none" w:sz="0" w:space="0" w:color="auto"/>
            <w:bottom w:val="none" w:sz="0" w:space="0" w:color="auto"/>
            <w:right w:val="none" w:sz="0" w:space="0" w:color="auto"/>
          </w:divBdr>
        </w:div>
        <w:div w:id="1390154495">
          <w:marLeft w:val="640"/>
          <w:marRight w:val="0"/>
          <w:marTop w:val="0"/>
          <w:marBottom w:val="0"/>
          <w:divBdr>
            <w:top w:val="none" w:sz="0" w:space="0" w:color="auto"/>
            <w:left w:val="none" w:sz="0" w:space="0" w:color="auto"/>
            <w:bottom w:val="none" w:sz="0" w:space="0" w:color="auto"/>
            <w:right w:val="none" w:sz="0" w:space="0" w:color="auto"/>
          </w:divBdr>
        </w:div>
        <w:div w:id="1673675836">
          <w:marLeft w:val="640"/>
          <w:marRight w:val="0"/>
          <w:marTop w:val="0"/>
          <w:marBottom w:val="0"/>
          <w:divBdr>
            <w:top w:val="none" w:sz="0" w:space="0" w:color="auto"/>
            <w:left w:val="none" w:sz="0" w:space="0" w:color="auto"/>
            <w:bottom w:val="none" w:sz="0" w:space="0" w:color="auto"/>
            <w:right w:val="none" w:sz="0" w:space="0" w:color="auto"/>
          </w:divBdr>
        </w:div>
        <w:div w:id="372391946">
          <w:marLeft w:val="640"/>
          <w:marRight w:val="0"/>
          <w:marTop w:val="0"/>
          <w:marBottom w:val="0"/>
          <w:divBdr>
            <w:top w:val="none" w:sz="0" w:space="0" w:color="auto"/>
            <w:left w:val="none" w:sz="0" w:space="0" w:color="auto"/>
            <w:bottom w:val="none" w:sz="0" w:space="0" w:color="auto"/>
            <w:right w:val="none" w:sz="0" w:space="0" w:color="auto"/>
          </w:divBdr>
        </w:div>
        <w:div w:id="231428431">
          <w:marLeft w:val="640"/>
          <w:marRight w:val="0"/>
          <w:marTop w:val="0"/>
          <w:marBottom w:val="0"/>
          <w:divBdr>
            <w:top w:val="none" w:sz="0" w:space="0" w:color="auto"/>
            <w:left w:val="none" w:sz="0" w:space="0" w:color="auto"/>
            <w:bottom w:val="none" w:sz="0" w:space="0" w:color="auto"/>
            <w:right w:val="none" w:sz="0" w:space="0" w:color="auto"/>
          </w:divBdr>
        </w:div>
        <w:div w:id="502860309">
          <w:marLeft w:val="640"/>
          <w:marRight w:val="0"/>
          <w:marTop w:val="0"/>
          <w:marBottom w:val="0"/>
          <w:divBdr>
            <w:top w:val="none" w:sz="0" w:space="0" w:color="auto"/>
            <w:left w:val="none" w:sz="0" w:space="0" w:color="auto"/>
            <w:bottom w:val="none" w:sz="0" w:space="0" w:color="auto"/>
            <w:right w:val="none" w:sz="0" w:space="0" w:color="auto"/>
          </w:divBdr>
        </w:div>
        <w:div w:id="516192539">
          <w:marLeft w:val="640"/>
          <w:marRight w:val="0"/>
          <w:marTop w:val="0"/>
          <w:marBottom w:val="0"/>
          <w:divBdr>
            <w:top w:val="none" w:sz="0" w:space="0" w:color="auto"/>
            <w:left w:val="none" w:sz="0" w:space="0" w:color="auto"/>
            <w:bottom w:val="none" w:sz="0" w:space="0" w:color="auto"/>
            <w:right w:val="none" w:sz="0" w:space="0" w:color="auto"/>
          </w:divBdr>
        </w:div>
        <w:div w:id="215823267">
          <w:marLeft w:val="640"/>
          <w:marRight w:val="0"/>
          <w:marTop w:val="0"/>
          <w:marBottom w:val="0"/>
          <w:divBdr>
            <w:top w:val="none" w:sz="0" w:space="0" w:color="auto"/>
            <w:left w:val="none" w:sz="0" w:space="0" w:color="auto"/>
            <w:bottom w:val="none" w:sz="0" w:space="0" w:color="auto"/>
            <w:right w:val="none" w:sz="0" w:space="0" w:color="auto"/>
          </w:divBdr>
        </w:div>
        <w:div w:id="1021056744">
          <w:marLeft w:val="640"/>
          <w:marRight w:val="0"/>
          <w:marTop w:val="0"/>
          <w:marBottom w:val="0"/>
          <w:divBdr>
            <w:top w:val="none" w:sz="0" w:space="0" w:color="auto"/>
            <w:left w:val="none" w:sz="0" w:space="0" w:color="auto"/>
            <w:bottom w:val="none" w:sz="0" w:space="0" w:color="auto"/>
            <w:right w:val="none" w:sz="0" w:space="0" w:color="auto"/>
          </w:divBdr>
        </w:div>
        <w:div w:id="100295965">
          <w:marLeft w:val="640"/>
          <w:marRight w:val="0"/>
          <w:marTop w:val="0"/>
          <w:marBottom w:val="0"/>
          <w:divBdr>
            <w:top w:val="none" w:sz="0" w:space="0" w:color="auto"/>
            <w:left w:val="none" w:sz="0" w:space="0" w:color="auto"/>
            <w:bottom w:val="none" w:sz="0" w:space="0" w:color="auto"/>
            <w:right w:val="none" w:sz="0" w:space="0" w:color="auto"/>
          </w:divBdr>
        </w:div>
        <w:div w:id="824862080">
          <w:marLeft w:val="640"/>
          <w:marRight w:val="0"/>
          <w:marTop w:val="0"/>
          <w:marBottom w:val="0"/>
          <w:divBdr>
            <w:top w:val="none" w:sz="0" w:space="0" w:color="auto"/>
            <w:left w:val="none" w:sz="0" w:space="0" w:color="auto"/>
            <w:bottom w:val="none" w:sz="0" w:space="0" w:color="auto"/>
            <w:right w:val="none" w:sz="0" w:space="0" w:color="auto"/>
          </w:divBdr>
        </w:div>
        <w:div w:id="1871408971">
          <w:marLeft w:val="640"/>
          <w:marRight w:val="0"/>
          <w:marTop w:val="0"/>
          <w:marBottom w:val="0"/>
          <w:divBdr>
            <w:top w:val="none" w:sz="0" w:space="0" w:color="auto"/>
            <w:left w:val="none" w:sz="0" w:space="0" w:color="auto"/>
            <w:bottom w:val="none" w:sz="0" w:space="0" w:color="auto"/>
            <w:right w:val="none" w:sz="0" w:space="0" w:color="auto"/>
          </w:divBdr>
        </w:div>
        <w:div w:id="1719864123">
          <w:marLeft w:val="640"/>
          <w:marRight w:val="0"/>
          <w:marTop w:val="0"/>
          <w:marBottom w:val="0"/>
          <w:divBdr>
            <w:top w:val="none" w:sz="0" w:space="0" w:color="auto"/>
            <w:left w:val="none" w:sz="0" w:space="0" w:color="auto"/>
            <w:bottom w:val="none" w:sz="0" w:space="0" w:color="auto"/>
            <w:right w:val="none" w:sz="0" w:space="0" w:color="auto"/>
          </w:divBdr>
        </w:div>
        <w:div w:id="1754743261">
          <w:marLeft w:val="640"/>
          <w:marRight w:val="0"/>
          <w:marTop w:val="0"/>
          <w:marBottom w:val="0"/>
          <w:divBdr>
            <w:top w:val="none" w:sz="0" w:space="0" w:color="auto"/>
            <w:left w:val="none" w:sz="0" w:space="0" w:color="auto"/>
            <w:bottom w:val="none" w:sz="0" w:space="0" w:color="auto"/>
            <w:right w:val="none" w:sz="0" w:space="0" w:color="auto"/>
          </w:divBdr>
        </w:div>
        <w:div w:id="481653907">
          <w:marLeft w:val="640"/>
          <w:marRight w:val="0"/>
          <w:marTop w:val="0"/>
          <w:marBottom w:val="0"/>
          <w:divBdr>
            <w:top w:val="none" w:sz="0" w:space="0" w:color="auto"/>
            <w:left w:val="none" w:sz="0" w:space="0" w:color="auto"/>
            <w:bottom w:val="none" w:sz="0" w:space="0" w:color="auto"/>
            <w:right w:val="none" w:sz="0" w:space="0" w:color="auto"/>
          </w:divBdr>
        </w:div>
        <w:div w:id="1600674642">
          <w:marLeft w:val="640"/>
          <w:marRight w:val="0"/>
          <w:marTop w:val="0"/>
          <w:marBottom w:val="0"/>
          <w:divBdr>
            <w:top w:val="none" w:sz="0" w:space="0" w:color="auto"/>
            <w:left w:val="none" w:sz="0" w:space="0" w:color="auto"/>
            <w:bottom w:val="none" w:sz="0" w:space="0" w:color="auto"/>
            <w:right w:val="none" w:sz="0" w:space="0" w:color="auto"/>
          </w:divBdr>
        </w:div>
        <w:div w:id="2125925190">
          <w:marLeft w:val="640"/>
          <w:marRight w:val="0"/>
          <w:marTop w:val="0"/>
          <w:marBottom w:val="0"/>
          <w:divBdr>
            <w:top w:val="none" w:sz="0" w:space="0" w:color="auto"/>
            <w:left w:val="none" w:sz="0" w:space="0" w:color="auto"/>
            <w:bottom w:val="none" w:sz="0" w:space="0" w:color="auto"/>
            <w:right w:val="none" w:sz="0" w:space="0" w:color="auto"/>
          </w:divBdr>
        </w:div>
        <w:div w:id="1231117134">
          <w:marLeft w:val="640"/>
          <w:marRight w:val="0"/>
          <w:marTop w:val="0"/>
          <w:marBottom w:val="0"/>
          <w:divBdr>
            <w:top w:val="none" w:sz="0" w:space="0" w:color="auto"/>
            <w:left w:val="none" w:sz="0" w:space="0" w:color="auto"/>
            <w:bottom w:val="none" w:sz="0" w:space="0" w:color="auto"/>
            <w:right w:val="none" w:sz="0" w:space="0" w:color="auto"/>
          </w:divBdr>
        </w:div>
        <w:div w:id="2087993282">
          <w:marLeft w:val="640"/>
          <w:marRight w:val="0"/>
          <w:marTop w:val="0"/>
          <w:marBottom w:val="0"/>
          <w:divBdr>
            <w:top w:val="none" w:sz="0" w:space="0" w:color="auto"/>
            <w:left w:val="none" w:sz="0" w:space="0" w:color="auto"/>
            <w:bottom w:val="none" w:sz="0" w:space="0" w:color="auto"/>
            <w:right w:val="none" w:sz="0" w:space="0" w:color="auto"/>
          </w:divBdr>
        </w:div>
        <w:div w:id="1024357494">
          <w:marLeft w:val="640"/>
          <w:marRight w:val="0"/>
          <w:marTop w:val="0"/>
          <w:marBottom w:val="0"/>
          <w:divBdr>
            <w:top w:val="none" w:sz="0" w:space="0" w:color="auto"/>
            <w:left w:val="none" w:sz="0" w:space="0" w:color="auto"/>
            <w:bottom w:val="none" w:sz="0" w:space="0" w:color="auto"/>
            <w:right w:val="none" w:sz="0" w:space="0" w:color="auto"/>
          </w:divBdr>
        </w:div>
        <w:div w:id="1554193797">
          <w:marLeft w:val="640"/>
          <w:marRight w:val="0"/>
          <w:marTop w:val="0"/>
          <w:marBottom w:val="0"/>
          <w:divBdr>
            <w:top w:val="none" w:sz="0" w:space="0" w:color="auto"/>
            <w:left w:val="none" w:sz="0" w:space="0" w:color="auto"/>
            <w:bottom w:val="none" w:sz="0" w:space="0" w:color="auto"/>
            <w:right w:val="none" w:sz="0" w:space="0" w:color="auto"/>
          </w:divBdr>
        </w:div>
        <w:div w:id="1912888942">
          <w:marLeft w:val="640"/>
          <w:marRight w:val="0"/>
          <w:marTop w:val="0"/>
          <w:marBottom w:val="0"/>
          <w:divBdr>
            <w:top w:val="none" w:sz="0" w:space="0" w:color="auto"/>
            <w:left w:val="none" w:sz="0" w:space="0" w:color="auto"/>
            <w:bottom w:val="none" w:sz="0" w:space="0" w:color="auto"/>
            <w:right w:val="none" w:sz="0" w:space="0" w:color="auto"/>
          </w:divBdr>
        </w:div>
        <w:div w:id="875002704">
          <w:marLeft w:val="640"/>
          <w:marRight w:val="0"/>
          <w:marTop w:val="0"/>
          <w:marBottom w:val="0"/>
          <w:divBdr>
            <w:top w:val="none" w:sz="0" w:space="0" w:color="auto"/>
            <w:left w:val="none" w:sz="0" w:space="0" w:color="auto"/>
            <w:bottom w:val="none" w:sz="0" w:space="0" w:color="auto"/>
            <w:right w:val="none" w:sz="0" w:space="0" w:color="auto"/>
          </w:divBdr>
        </w:div>
        <w:div w:id="1971285373">
          <w:marLeft w:val="640"/>
          <w:marRight w:val="0"/>
          <w:marTop w:val="0"/>
          <w:marBottom w:val="0"/>
          <w:divBdr>
            <w:top w:val="none" w:sz="0" w:space="0" w:color="auto"/>
            <w:left w:val="none" w:sz="0" w:space="0" w:color="auto"/>
            <w:bottom w:val="none" w:sz="0" w:space="0" w:color="auto"/>
            <w:right w:val="none" w:sz="0" w:space="0" w:color="auto"/>
          </w:divBdr>
        </w:div>
        <w:div w:id="1040587911">
          <w:marLeft w:val="640"/>
          <w:marRight w:val="0"/>
          <w:marTop w:val="0"/>
          <w:marBottom w:val="0"/>
          <w:divBdr>
            <w:top w:val="none" w:sz="0" w:space="0" w:color="auto"/>
            <w:left w:val="none" w:sz="0" w:space="0" w:color="auto"/>
            <w:bottom w:val="none" w:sz="0" w:space="0" w:color="auto"/>
            <w:right w:val="none" w:sz="0" w:space="0" w:color="auto"/>
          </w:divBdr>
        </w:div>
        <w:div w:id="1140997342">
          <w:marLeft w:val="640"/>
          <w:marRight w:val="0"/>
          <w:marTop w:val="0"/>
          <w:marBottom w:val="0"/>
          <w:divBdr>
            <w:top w:val="none" w:sz="0" w:space="0" w:color="auto"/>
            <w:left w:val="none" w:sz="0" w:space="0" w:color="auto"/>
            <w:bottom w:val="none" w:sz="0" w:space="0" w:color="auto"/>
            <w:right w:val="none" w:sz="0" w:space="0" w:color="auto"/>
          </w:divBdr>
        </w:div>
        <w:div w:id="82993838">
          <w:marLeft w:val="640"/>
          <w:marRight w:val="0"/>
          <w:marTop w:val="0"/>
          <w:marBottom w:val="0"/>
          <w:divBdr>
            <w:top w:val="none" w:sz="0" w:space="0" w:color="auto"/>
            <w:left w:val="none" w:sz="0" w:space="0" w:color="auto"/>
            <w:bottom w:val="none" w:sz="0" w:space="0" w:color="auto"/>
            <w:right w:val="none" w:sz="0" w:space="0" w:color="auto"/>
          </w:divBdr>
        </w:div>
        <w:div w:id="228734708">
          <w:marLeft w:val="640"/>
          <w:marRight w:val="0"/>
          <w:marTop w:val="0"/>
          <w:marBottom w:val="0"/>
          <w:divBdr>
            <w:top w:val="none" w:sz="0" w:space="0" w:color="auto"/>
            <w:left w:val="none" w:sz="0" w:space="0" w:color="auto"/>
            <w:bottom w:val="none" w:sz="0" w:space="0" w:color="auto"/>
            <w:right w:val="none" w:sz="0" w:space="0" w:color="auto"/>
          </w:divBdr>
        </w:div>
        <w:div w:id="1527282847">
          <w:marLeft w:val="640"/>
          <w:marRight w:val="0"/>
          <w:marTop w:val="0"/>
          <w:marBottom w:val="0"/>
          <w:divBdr>
            <w:top w:val="none" w:sz="0" w:space="0" w:color="auto"/>
            <w:left w:val="none" w:sz="0" w:space="0" w:color="auto"/>
            <w:bottom w:val="none" w:sz="0" w:space="0" w:color="auto"/>
            <w:right w:val="none" w:sz="0" w:space="0" w:color="auto"/>
          </w:divBdr>
        </w:div>
        <w:div w:id="882866031">
          <w:marLeft w:val="640"/>
          <w:marRight w:val="0"/>
          <w:marTop w:val="0"/>
          <w:marBottom w:val="0"/>
          <w:divBdr>
            <w:top w:val="none" w:sz="0" w:space="0" w:color="auto"/>
            <w:left w:val="none" w:sz="0" w:space="0" w:color="auto"/>
            <w:bottom w:val="none" w:sz="0" w:space="0" w:color="auto"/>
            <w:right w:val="none" w:sz="0" w:space="0" w:color="auto"/>
          </w:divBdr>
        </w:div>
        <w:div w:id="46035429">
          <w:marLeft w:val="640"/>
          <w:marRight w:val="0"/>
          <w:marTop w:val="0"/>
          <w:marBottom w:val="0"/>
          <w:divBdr>
            <w:top w:val="none" w:sz="0" w:space="0" w:color="auto"/>
            <w:left w:val="none" w:sz="0" w:space="0" w:color="auto"/>
            <w:bottom w:val="none" w:sz="0" w:space="0" w:color="auto"/>
            <w:right w:val="none" w:sz="0" w:space="0" w:color="auto"/>
          </w:divBdr>
        </w:div>
        <w:div w:id="1340617484">
          <w:marLeft w:val="640"/>
          <w:marRight w:val="0"/>
          <w:marTop w:val="0"/>
          <w:marBottom w:val="0"/>
          <w:divBdr>
            <w:top w:val="none" w:sz="0" w:space="0" w:color="auto"/>
            <w:left w:val="none" w:sz="0" w:space="0" w:color="auto"/>
            <w:bottom w:val="none" w:sz="0" w:space="0" w:color="auto"/>
            <w:right w:val="none" w:sz="0" w:space="0" w:color="auto"/>
          </w:divBdr>
        </w:div>
        <w:div w:id="833646237">
          <w:marLeft w:val="640"/>
          <w:marRight w:val="0"/>
          <w:marTop w:val="0"/>
          <w:marBottom w:val="0"/>
          <w:divBdr>
            <w:top w:val="none" w:sz="0" w:space="0" w:color="auto"/>
            <w:left w:val="none" w:sz="0" w:space="0" w:color="auto"/>
            <w:bottom w:val="none" w:sz="0" w:space="0" w:color="auto"/>
            <w:right w:val="none" w:sz="0" w:space="0" w:color="auto"/>
          </w:divBdr>
        </w:div>
        <w:div w:id="370692618">
          <w:marLeft w:val="640"/>
          <w:marRight w:val="0"/>
          <w:marTop w:val="0"/>
          <w:marBottom w:val="0"/>
          <w:divBdr>
            <w:top w:val="none" w:sz="0" w:space="0" w:color="auto"/>
            <w:left w:val="none" w:sz="0" w:space="0" w:color="auto"/>
            <w:bottom w:val="none" w:sz="0" w:space="0" w:color="auto"/>
            <w:right w:val="none" w:sz="0" w:space="0" w:color="auto"/>
          </w:divBdr>
        </w:div>
        <w:div w:id="1970043954">
          <w:marLeft w:val="640"/>
          <w:marRight w:val="0"/>
          <w:marTop w:val="0"/>
          <w:marBottom w:val="0"/>
          <w:divBdr>
            <w:top w:val="none" w:sz="0" w:space="0" w:color="auto"/>
            <w:left w:val="none" w:sz="0" w:space="0" w:color="auto"/>
            <w:bottom w:val="none" w:sz="0" w:space="0" w:color="auto"/>
            <w:right w:val="none" w:sz="0" w:space="0" w:color="auto"/>
          </w:divBdr>
        </w:div>
        <w:div w:id="1535459519">
          <w:marLeft w:val="640"/>
          <w:marRight w:val="0"/>
          <w:marTop w:val="0"/>
          <w:marBottom w:val="0"/>
          <w:divBdr>
            <w:top w:val="none" w:sz="0" w:space="0" w:color="auto"/>
            <w:left w:val="none" w:sz="0" w:space="0" w:color="auto"/>
            <w:bottom w:val="none" w:sz="0" w:space="0" w:color="auto"/>
            <w:right w:val="none" w:sz="0" w:space="0" w:color="auto"/>
          </w:divBdr>
        </w:div>
        <w:div w:id="1193769293">
          <w:marLeft w:val="640"/>
          <w:marRight w:val="0"/>
          <w:marTop w:val="0"/>
          <w:marBottom w:val="0"/>
          <w:divBdr>
            <w:top w:val="none" w:sz="0" w:space="0" w:color="auto"/>
            <w:left w:val="none" w:sz="0" w:space="0" w:color="auto"/>
            <w:bottom w:val="none" w:sz="0" w:space="0" w:color="auto"/>
            <w:right w:val="none" w:sz="0" w:space="0" w:color="auto"/>
          </w:divBdr>
        </w:div>
        <w:div w:id="1208371626">
          <w:marLeft w:val="640"/>
          <w:marRight w:val="0"/>
          <w:marTop w:val="0"/>
          <w:marBottom w:val="0"/>
          <w:divBdr>
            <w:top w:val="none" w:sz="0" w:space="0" w:color="auto"/>
            <w:left w:val="none" w:sz="0" w:space="0" w:color="auto"/>
            <w:bottom w:val="none" w:sz="0" w:space="0" w:color="auto"/>
            <w:right w:val="none" w:sz="0" w:space="0" w:color="auto"/>
          </w:divBdr>
        </w:div>
        <w:div w:id="124127402">
          <w:marLeft w:val="640"/>
          <w:marRight w:val="0"/>
          <w:marTop w:val="0"/>
          <w:marBottom w:val="0"/>
          <w:divBdr>
            <w:top w:val="none" w:sz="0" w:space="0" w:color="auto"/>
            <w:left w:val="none" w:sz="0" w:space="0" w:color="auto"/>
            <w:bottom w:val="none" w:sz="0" w:space="0" w:color="auto"/>
            <w:right w:val="none" w:sz="0" w:space="0" w:color="auto"/>
          </w:divBdr>
        </w:div>
        <w:div w:id="666253624">
          <w:marLeft w:val="640"/>
          <w:marRight w:val="0"/>
          <w:marTop w:val="0"/>
          <w:marBottom w:val="0"/>
          <w:divBdr>
            <w:top w:val="none" w:sz="0" w:space="0" w:color="auto"/>
            <w:left w:val="none" w:sz="0" w:space="0" w:color="auto"/>
            <w:bottom w:val="none" w:sz="0" w:space="0" w:color="auto"/>
            <w:right w:val="none" w:sz="0" w:space="0" w:color="auto"/>
          </w:divBdr>
        </w:div>
        <w:div w:id="1723482858">
          <w:marLeft w:val="640"/>
          <w:marRight w:val="0"/>
          <w:marTop w:val="0"/>
          <w:marBottom w:val="0"/>
          <w:divBdr>
            <w:top w:val="none" w:sz="0" w:space="0" w:color="auto"/>
            <w:left w:val="none" w:sz="0" w:space="0" w:color="auto"/>
            <w:bottom w:val="none" w:sz="0" w:space="0" w:color="auto"/>
            <w:right w:val="none" w:sz="0" w:space="0" w:color="auto"/>
          </w:divBdr>
        </w:div>
        <w:div w:id="1028065077">
          <w:marLeft w:val="640"/>
          <w:marRight w:val="0"/>
          <w:marTop w:val="0"/>
          <w:marBottom w:val="0"/>
          <w:divBdr>
            <w:top w:val="none" w:sz="0" w:space="0" w:color="auto"/>
            <w:left w:val="none" w:sz="0" w:space="0" w:color="auto"/>
            <w:bottom w:val="none" w:sz="0" w:space="0" w:color="auto"/>
            <w:right w:val="none" w:sz="0" w:space="0" w:color="auto"/>
          </w:divBdr>
        </w:div>
        <w:div w:id="1764109327">
          <w:marLeft w:val="640"/>
          <w:marRight w:val="0"/>
          <w:marTop w:val="0"/>
          <w:marBottom w:val="0"/>
          <w:divBdr>
            <w:top w:val="none" w:sz="0" w:space="0" w:color="auto"/>
            <w:left w:val="none" w:sz="0" w:space="0" w:color="auto"/>
            <w:bottom w:val="none" w:sz="0" w:space="0" w:color="auto"/>
            <w:right w:val="none" w:sz="0" w:space="0" w:color="auto"/>
          </w:divBdr>
        </w:div>
        <w:div w:id="270403154">
          <w:marLeft w:val="640"/>
          <w:marRight w:val="0"/>
          <w:marTop w:val="0"/>
          <w:marBottom w:val="0"/>
          <w:divBdr>
            <w:top w:val="none" w:sz="0" w:space="0" w:color="auto"/>
            <w:left w:val="none" w:sz="0" w:space="0" w:color="auto"/>
            <w:bottom w:val="none" w:sz="0" w:space="0" w:color="auto"/>
            <w:right w:val="none" w:sz="0" w:space="0" w:color="auto"/>
          </w:divBdr>
        </w:div>
        <w:div w:id="940143998">
          <w:marLeft w:val="640"/>
          <w:marRight w:val="0"/>
          <w:marTop w:val="0"/>
          <w:marBottom w:val="0"/>
          <w:divBdr>
            <w:top w:val="none" w:sz="0" w:space="0" w:color="auto"/>
            <w:left w:val="none" w:sz="0" w:space="0" w:color="auto"/>
            <w:bottom w:val="none" w:sz="0" w:space="0" w:color="auto"/>
            <w:right w:val="none" w:sz="0" w:space="0" w:color="auto"/>
          </w:divBdr>
        </w:div>
        <w:div w:id="181941698">
          <w:marLeft w:val="640"/>
          <w:marRight w:val="0"/>
          <w:marTop w:val="0"/>
          <w:marBottom w:val="0"/>
          <w:divBdr>
            <w:top w:val="none" w:sz="0" w:space="0" w:color="auto"/>
            <w:left w:val="none" w:sz="0" w:space="0" w:color="auto"/>
            <w:bottom w:val="none" w:sz="0" w:space="0" w:color="auto"/>
            <w:right w:val="none" w:sz="0" w:space="0" w:color="auto"/>
          </w:divBdr>
        </w:div>
        <w:div w:id="1424455248">
          <w:marLeft w:val="640"/>
          <w:marRight w:val="0"/>
          <w:marTop w:val="0"/>
          <w:marBottom w:val="0"/>
          <w:divBdr>
            <w:top w:val="none" w:sz="0" w:space="0" w:color="auto"/>
            <w:left w:val="none" w:sz="0" w:space="0" w:color="auto"/>
            <w:bottom w:val="none" w:sz="0" w:space="0" w:color="auto"/>
            <w:right w:val="none" w:sz="0" w:space="0" w:color="auto"/>
          </w:divBdr>
        </w:div>
        <w:div w:id="28574076">
          <w:marLeft w:val="640"/>
          <w:marRight w:val="0"/>
          <w:marTop w:val="0"/>
          <w:marBottom w:val="0"/>
          <w:divBdr>
            <w:top w:val="none" w:sz="0" w:space="0" w:color="auto"/>
            <w:left w:val="none" w:sz="0" w:space="0" w:color="auto"/>
            <w:bottom w:val="none" w:sz="0" w:space="0" w:color="auto"/>
            <w:right w:val="none" w:sz="0" w:space="0" w:color="auto"/>
          </w:divBdr>
        </w:div>
        <w:div w:id="1969435680">
          <w:marLeft w:val="640"/>
          <w:marRight w:val="0"/>
          <w:marTop w:val="0"/>
          <w:marBottom w:val="0"/>
          <w:divBdr>
            <w:top w:val="none" w:sz="0" w:space="0" w:color="auto"/>
            <w:left w:val="none" w:sz="0" w:space="0" w:color="auto"/>
            <w:bottom w:val="none" w:sz="0" w:space="0" w:color="auto"/>
            <w:right w:val="none" w:sz="0" w:space="0" w:color="auto"/>
          </w:divBdr>
        </w:div>
        <w:div w:id="1178694542">
          <w:marLeft w:val="640"/>
          <w:marRight w:val="0"/>
          <w:marTop w:val="0"/>
          <w:marBottom w:val="0"/>
          <w:divBdr>
            <w:top w:val="none" w:sz="0" w:space="0" w:color="auto"/>
            <w:left w:val="none" w:sz="0" w:space="0" w:color="auto"/>
            <w:bottom w:val="none" w:sz="0" w:space="0" w:color="auto"/>
            <w:right w:val="none" w:sz="0" w:space="0" w:color="auto"/>
          </w:divBdr>
        </w:div>
        <w:div w:id="848954199">
          <w:marLeft w:val="640"/>
          <w:marRight w:val="0"/>
          <w:marTop w:val="0"/>
          <w:marBottom w:val="0"/>
          <w:divBdr>
            <w:top w:val="none" w:sz="0" w:space="0" w:color="auto"/>
            <w:left w:val="none" w:sz="0" w:space="0" w:color="auto"/>
            <w:bottom w:val="none" w:sz="0" w:space="0" w:color="auto"/>
            <w:right w:val="none" w:sz="0" w:space="0" w:color="auto"/>
          </w:divBdr>
        </w:div>
        <w:div w:id="2131701808">
          <w:marLeft w:val="640"/>
          <w:marRight w:val="0"/>
          <w:marTop w:val="0"/>
          <w:marBottom w:val="0"/>
          <w:divBdr>
            <w:top w:val="none" w:sz="0" w:space="0" w:color="auto"/>
            <w:left w:val="none" w:sz="0" w:space="0" w:color="auto"/>
            <w:bottom w:val="none" w:sz="0" w:space="0" w:color="auto"/>
            <w:right w:val="none" w:sz="0" w:space="0" w:color="auto"/>
          </w:divBdr>
        </w:div>
        <w:div w:id="946426333">
          <w:marLeft w:val="640"/>
          <w:marRight w:val="0"/>
          <w:marTop w:val="0"/>
          <w:marBottom w:val="0"/>
          <w:divBdr>
            <w:top w:val="none" w:sz="0" w:space="0" w:color="auto"/>
            <w:left w:val="none" w:sz="0" w:space="0" w:color="auto"/>
            <w:bottom w:val="none" w:sz="0" w:space="0" w:color="auto"/>
            <w:right w:val="none" w:sz="0" w:space="0" w:color="auto"/>
          </w:divBdr>
        </w:div>
        <w:div w:id="1383216384">
          <w:marLeft w:val="640"/>
          <w:marRight w:val="0"/>
          <w:marTop w:val="0"/>
          <w:marBottom w:val="0"/>
          <w:divBdr>
            <w:top w:val="none" w:sz="0" w:space="0" w:color="auto"/>
            <w:left w:val="none" w:sz="0" w:space="0" w:color="auto"/>
            <w:bottom w:val="none" w:sz="0" w:space="0" w:color="auto"/>
            <w:right w:val="none" w:sz="0" w:space="0" w:color="auto"/>
          </w:divBdr>
        </w:div>
        <w:div w:id="1738825427">
          <w:marLeft w:val="640"/>
          <w:marRight w:val="0"/>
          <w:marTop w:val="0"/>
          <w:marBottom w:val="0"/>
          <w:divBdr>
            <w:top w:val="none" w:sz="0" w:space="0" w:color="auto"/>
            <w:left w:val="none" w:sz="0" w:space="0" w:color="auto"/>
            <w:bottom w:val="none" w:sz="0" w:space="0" w:color="auto"/>
            <w:right w:val="none" w:sz="0" w:space="0" w:color="auto"/>
          </w:divBdr>
        </w:div>
        <w:div w:id="1681275694">
          <w:marLeft w:val="640"/>
          <w:marRight w:val="0"/>
          <w:marTop w:val="0"/>
          <w:marBottom w:val="0"/>
          <w:divBdr>
            <w:top w:val="none" w:sz="0" w:space="0" w:color="auto"/>
            <w:left w:val="none" w:sz="0" w:space="0" w:color="auto"/>
            <w:bottom w:val="none" w:sz="0" w:space="0" w:color="auto"/>
            <w:right w:val="none" w:sz="0" w:space="0" w:color="auto"/>
          </w:divBdr>
        </w:div>
        <w:div w:id="1611163100">
          <w:marLeft w:val="640"/>
          <w:marRight w:val="0"/>
          <w:marTop w:val="0"/>
          <w:marBottom w:val="0"/>
          <w:divBdr>
            <w:top w:val="none" w:sz="0" w:space="0" w:color="auto"/>
            <w:left w:val="none" w:sz="0" w:space="0" w:color="auto"/>
            <w:bottom w:val="none" w:sz="0" w:space="0" w:color="auto"/>
            <w:right w:val="none" w:sz="0" w:space="0" w:color="auto"/>
          </w:divBdr>
        </w:div>
        <w:div w:id="630749069">
          <w:marLeft w:val="640"/>
          <w:marRight w:val="0"/>
          <w:marTop w:val="0"/>
          <w:marBottom w:val="0"/>
          <w:divBdr>
            <w:top w:val="none" w:sz="0" w:space="0" w:color="auto"/>
            <w:left w:val="none" w:sz="0" w:space="0" w:color="auto"/>
            <w:bottom w:val="none" w:sz="0" w:space="0" w:color="auto"/>
            <w:right w:val="none" w:sz="0" w:space="0" w:color="auto"/>
          </w:divBdr>
        </w:div>
        <w:div w:id="1994214715">
          <w:marLeft w:val="640"/>
          <w:marRight w:val="0"/>
          <w:marTop w:val="0"/>
          <w:marBottom w:val="0"/>
          <w:divBdr>
            <w:top w:val="none" w:sz="0" w:space="0" w:color="auto"/>
            <w:left w:val="none" w:sz="0" w:space="0" w:color="auto"/>
            <w:bottom w:val="none" w:sz="0" w:space="0" w:color="auto"/>
            <w:right w:val="none" w:sz="0" w:space="0" w:color="auto"/>
          </w:divBdr>
        </w:div>
        <w:div w:id="1426194796">
          <w:marLeft w:val="640"/>
          <w:marRight w:val="0"/>
          <w:marTop w:val="0"/>
          <w:marBottom w:val="0"/>
          <w:divBdr>
            <w:top w:val="none" w:sz="0" w:space="0" w:color="auto"/>
            <w:left w:val="none" w:sz="0" w:space="0" w:color="auto"/>
            <w:bottom w:val="none" w:sz="0" w:space="0" w:color="auto"/>
            <w:right w:val="none" w:sz="0" w:space="0" w:color="auto"/>
          </w:divBdr>
        </w:div>
        <w:div w:id="1836800779">
          <w:marLeft w:val="640"/>
          <w:marRight w:val="0"/>
          <w:marTop w:val="0"/>
          <w:marBottom w:val="0"/>
          <w:divBdr>
            <w:top w:val="none" w:sz="0" w:space="0" w:color="auto"/>
            <w:left w:val="none" w:sz="0" w:space="0" w:color="auto"/>
            <w:bottom w:val="none" w:sz="0" w:space="0" w:color="auto"/>
            <w:right w:val="none" w:sz="0" w:space="0" w:color="auto"/>
          </w:divBdr>
        </w:div>
        <w:div w:id="1687175249">
          <w:marLeft w:val="640"/>
          <w:marRight w:val="0"/>
          <w:marTop w:val="0"/>
          <w:marBottom w:val="0"/>
          <w:divBdr>
            <w:top w:val="none" w:sz="0" w:space="0" w:color="auto"/>
            <w:left w:val="none" w:sz="0" w:space="0" w:color="auto"/>
            <w:bottom w:val="none" w:sz="0" w:space="0" w:color="auto"/>
            <w:right w:val="none" w:sz="0" w:space="0" w:color="auto"/>
          </w:divBdr>
        </w:div>
        <w:div w:id="921842229">
          <w:marLeft w:val="640"/>
          <w:marRight w:val="0"/>
          <w:marTop w:val="0"/>
          <w:marBottom w:val="0"/>
          <w:divBdr>
            <w:top w:val="none" w:sz="0" w:space="0" w:color="auto"/>
            <w:left w:val="none" w:sz="0" w:space="0" w:color="auto"/>
            <w:bottom w:val="none" w:sz="0" w:space="0" w:color="auto"/>
            <w:right w:val="none" w:sz="0" w:space="0" w:color="auto"/>
          </w:divBdr>
        </w:div>
        <w:div w:id="436142398">
          <w:marLeft w:val="640"/>
          <w:marRight w:val="0"/>
          <w:marTop w:val="0"/>
          <w:marBottom w:val="0"/>
          <w:divBdr>
            <w:top w:val="none" w:sz="0" w:space="0" w:color="auto"/>
            <w:left w:val="none" w:sz="0" w:space="0" w:color="auto"/>
            <w:bottom w:val="none" w:sz="0" w:space="0" w:color="auto"/>
            <w:right w:val="none" w:sz="0" w:space="0" w:color="auto"/>
          </w:divBdr>
        </w:div>
        <w:div w:id="1283609143">
          <w:marLeft w:val="640"/>
          <w:marRight w:val="0"/>
          <w:marTop w:val="0"/>
          <w:marBottom w:val="0"/>
          <w:divBdr>
            <w:top w:val="none" w:sz="0" w:space="0" w:color="auto"/>
            <w:left w:val="none" w:sz="0" w:space="0" w:color="auto"/>
            <w:bottom w:val="none" w:sz="0" w:space="0" w:color="auto"/>
            <w:right w:val="none" w:sz="0" w:space="0" w:color="auto"/>
          </w:divBdr>
        </w:div>
        <w:div w:id="1915700566">
          <w:marLeft w:val="640"/>
          <w:marRight w:val="0"/>
          <w:marTop w:val="0"/>
          <w:marBottom w:val="0"/>
          <w:divBdr>
            <w:top w:val="none" w:sz="0" w:space="0" w:color="auto"/>
            <w:left w:val="none" w:sz="0" w:space="0" w:color="auto"/>
            <w:bottom w:val="none" w:sz="0" w:space="0" w:color="auto"/>
            <w:right w:val="none" w:sz="0" w:space="0" w:color="auto"/>
          </w:divBdr>
        </w:div>
        <w:div w:id="1083994545">
          <w:marLeft w:val="640"/>
          <w:marRight w:val="0"/>
          <w:marTop w:val="0"/>
          <w:marBottom w:val="0"/>
          <w:divBdr>
            <w:top w:val="none" w:sz="0" w:space="0" w:color="auto"/>
            <w:left w:val="none" w:sz="0" w:space="0" w:color="auto"/>
            <w:bottom w:val="none" w:sz="0" w:space="0" w:color="auto"/>
            <w:right w:val="none" w:sz="0" w:space="0" w:color="auto"/>
          </w:divBdr>
        </w:div>
        <w:div w:id="2012488292">
          <w:marLeft w:val="640"/>
          <w:marRight w:val="0"/>
          <w:marTop w:val="0"/>
          <w:marBottom w:val="0"/>
          <w:divBdr>
            <w:top w:val="none" w:sz="0" w:space="0" w:color="auto"/>
            <w:left w:val="none" w:sz="0" w:space="0" w:color="auto"/>
            <w:bottom w:val="none" w:sz="0" w:space="0" w:color="auto"/>
            <w:right w:val="none" w:sz="0" w:space="0" w:color="auto"/>
          </w:divBdr>
        </w:div>
        <w:div w:id="503518585">
          <w:marLeft w:val="640"/>
          <w:marRight w:val="0"/>
          <w:marTop w:val="0"/>
          <w:marBottom w:val="0"/>
          <w:divBdr>
            <w:top w:val="none" w:sz="0" w:space="0" w:color="auto"/>
            <w:left w:val="none" w:sz="0" w:space="0" w:color="auto"/>
            <w:bottom w:val="none" w:sz="0" w:space="0" w:color="auto"/>
            <w:right w:val="none" w:sz="0" w:space="0" w:color="auto"/>
          </w:divBdr>
        </w:div>
        <w:div w:id="1046296352">
          <w:marLeft w:val="640"/>
          <w:marRight w:val="0"/>
          <w:marTop w:val="0"/>
          <w:marBottom w:val="0"/>
          <w:divBdr>
            <w:top w:val="none" w:sz="0" w:space="0" w:color="auto"/>
            <w:left w:val="none" w:sz="0" w:space="0" w:color="auto"/>
            <w:bottom w:val="none" w:sz="0" w:space="0" w:color="auto"/>
            <w:right w:val="none" w:sz="0" w:space="0" w:color="auto"/>
          </w:divBdr>
        </w:div>
        <w:div w:id="1505630167">
          <w:marLeft w:val="640"/>
          <w:marRight w:val="0"/>
          <w:marTop w:val="0"/>
          <w:marBottom w:val="0"/>
          <w:divBdr>
            <w:top w:val="none" w:sz="0" w:space="0" w:color="auto"/>
            <w:left w:val="none" w:sz="0" w:space="0" w:color="auto"/>
            <w:bottom w:val="none" w:sz="0" w:space="0" w:color="auto"/>
            <w:right w:val="none" w:sz="0" w:space="0" w:color="auto"/>
          </w:divBdr>
        </w:div>
        <w:div w:id="1607348564">
          <w:marLeft w:val="640"/>
          <w:marRight w:val="0"/>
          <w:marTop w:val="0"/>
          <w:marBottom w:val="0"/>
          <w:divBdr>
            <w:top w:val="none" w:sz="0" w:space="0" w:color="auto"/>
            <w:left w:val="none" w:sz="0" w:space="0" w:color="auto"/>
            <w:bottom w:val="none" w:sz="0" w:space="0" w:color="auto"/>
            <w:right w:val="none" w:sz="0" w:space="0" w:color="auto"/>
          </w:divBdr>
        </w:div>
        <w:div w:id="761801950">
          <w:marLeft w:val="640"/>
          <w:marRight w:val="0"/>
          <w:marTop w:val="0"/>
          <w:marBottom w:val="0"/>
          <w:divBdr>
            <w:top w:val="none" w:sz="0" w:space="0" w:color="auto"/>
            <w:left w:val="none" w:sz="0" w:space="0" w:color="auto"/>
            <w:bottom w:val="none" w:sz="0" w:space="0" w:color="auto"/>
            <w:right w:val="none" w:sz="0" w:space="0" w:color="auto"/>
          </w:divBdr>
        </w:div>
        <w:div w:id="1055853454">
          <w:marLeft w:val="640"/>
          <w:marRight w:val="0"/>
          <w:marTop w:val="0"/>
          <w:marBottom w:val="0"/>
          <w:divBdr>
            <w:top w:val="none" w:sz="0" w:space="0" w:color="auto"/>
            <w:left w:val="none" w:sz="0" w:space="0" w:color="auto"/>
            <w:bottom w:val="none" w:sz="0" w:space="0" w:color="auto"/>
            <w:right w:val="none" w:sz="0" w:space="0" w:color="auto"/>
          </w:divBdr>
        </w:div>
        <w:div w:id="1947031972">
          <w:marLeft w:val="640"/>
          <w:marRight w:val="0"/>
          <w:marTop w:val="0"/>
          <w:marBottom w:val="0"/>
          <w:divBdr>
            <w:top w:val="none" w:sz="0" w:space="0" w:color="auto"/>
            <w:left w:val="none" w:sz="0" w:space="0" w:color="auto"/>
            <w:bottom w:val="none" w:sz="0" w:space="0" w:color="auto"/>
            <w:right w:val="none" w:sz="0" w:space="0" w:color="auto"/>
          </w:divBdr>
        </w:div>
        <w:div w:id="1434016927">
          <w:marLeft w:val="640"/>
          <w:marRight w:val="0"/>
          <w:marTop w:val="0"/>
          <w:marBottom w:val="0"/>
          <w:divBdr>
            <w:top w:val="none" w:sz="0" w:space="0" w:color="auto"/>
            <w:left w:val="none" w:sz="0" w:space="0" w:color="auto"/>
            <w:bottom w:val="none" w:sz="0" w:space="0" w:color="auto"/>
            <w:right w:val="none" w:sz="0" w:space="0" w:color="auto"/>
          </w:divBdr>
        </w:div>
        <w:div w:id="1537113537">
          <w:marLeft w:val="640"/>
          <w:marRight w:val="0"/>
          <w:marTop w:val="0"/>
          <w:marBottom w:val="0"/>
          <w:divBdr>
            <w:top w:val="none" w:sz="0" w:space="0" w:color="auto"/>
            <w:left w:val="none" w:sz="0" w:space="0" w:color="auto"/>
            <w:bottom w:val="none" w:sz="0" w:space="0" w:color="auto"/>
            <w:right w:val="none" w:sz="0" w:space="0" w:color="auto"/>
          </w:divBdr>
        </w:div>
        <w:div w:id="738750943">
          <w:marLeft w:val="640"/>
          <w:marRight w:val="0"/>
          <w:marTop w:val="0"/>
          <w:marBottom w:val="0"/>
          <w:divBdr>
            <w:top w:val="none" w:sz="0" w:space="0" w:color="auto"/>
            <w:left w:val="none" w:sz="0" w:space="0" w:color="auto"/>
            <w:bottom w:val="none" w:sz="0" w:space="0" w:color="auto"/>
            <w:right w:val="none" w:sz="0" w:space="0" w:color="auto"/>
          </w:divBdr>
        </w:div>
        <w:div w:id="1273365590">
          <w:marLeft w:val="640"/>
          <w:marRight w:val="0"/>
          <w:marTop w:val="0"/>
          <w:marBottom w:val="0"/>
          <w:divBdr>
            <w:top w:val="none" w:sz="0" w:space="0" w:color="auto"/>
            <w:left w:val="none" w:sz="0" w:space="0" w:color="auto"/>
            <w:bottom w:val="none" w:sz="0" w:space="0" w:color="auto"/>
            <w:right w:val="none" w:sz="0" w:space="0" w:color="auto"/>
          </w:divBdr>
        </w:div>
        <w:div w:id="744307015">
          <w:marLeft w:val="640"/>
          <w:marRight w:val="0"/>
          <w:marTop w:val="0"/>
          <w:marBottom w:val="0"/>
          <w:divBdr>
            <w:top w:val="none" w:sz="0" w:space="0" w:color="auto"/>
            <w:left w:val="none" w:sz="0" w:space="0" w:color="auto"/>
            <w:bottom w:val="none" w:sz="0" w:space="0" w:color="auto"/>
            <w:right w:val="none" w:sz="0" w:space="0" w:color="auto"/>
          </w:divBdr>
        </w:div>
        <w:div w:id="1892811639">
          <w:marLeft w:val="640"/>
          <w:marRight w:val="0"/>
          <w:marTop w:val="0"/>
          <w:marBottom w:val="0"/>
          <w:divBdr>
            <w:top w:val="none" w:sz="0" w:space="0" w:color="auto"/>
            <w:left w:val="none" w:sz="0" w:space="0" w:color="auto"/>
            <w:bottom w:val="none" w:sz="0" w:space="0" w:color="auto"/>
            <w:right w:val="none" w:sz="0" w:space="0" w:color="auto"/>
          </w:divBdr>
        </w:div>
        <w:div w:id="709649848">
          <w:marLeft w:val="640"/>
          <w:marRight w:val="0"/>
          <w:marTop w:val="0"/>
          <w:marBottom w:val="0"/>
          <w:divBdr>
            <w:top w:val="none" w:sz="0" w:space="0" w:color="auto"/>
            <w:left w:val="none" w:sz="0" w:space="0" w:color="auto"/>
            <w:bottom w:val="none" w:sz="0" w:space="0" w:color="auto"/>
            <w:right w:val="none" w:sz="0" w:space="0" w:color="auto"/>
          </w:divBdr>
        </w:div>
        <w:div w:id="211120049">
          <w:marLeft w:val="640"/>
          <w:marRight w:val="0"/>
          <w:marTop w:val="0"/>
          <w:marBottom w:val="0"/>
          <w:divBdr>
            <w:top w:val="none" w:sz="0" w:space="0" w:color="auto"/>
            <w:left w:val="none" w:sz="0" w:space="0" w:color="auto"/>
            <w:bottom w:val="none" w:sz="0" w:space="0" w:color="auto"/>
            <w:right w:val="none" w:sz="0" w:space="0" w:color="auto"/>
          </w:divBdr>
        </w:div>
        <w:div w:id="636225811">
          <w:marLeft w:val="640"/>
          <w:marRight w:val="0"/>
          <w:marTop w:val="0"/>
          <w:marBottom w:val="0"/>
          <w:divBdr>
            <w:top w:val="none" w:sz="0" w:space="0" w:color="auto"/>
            <w:left w:val="none" w:sz="0" w:space="0" w:color="auto"/>
            <w:bottom w:val="none" w:sz="0" w:space="0" w:color="auto"/>
            <w:right w:val="none" w:sz="0" w:space="0" w:color="auto"/>
          </w:divBdr>
        </w:div>
        <w:div w:id="187572667">
          <w:marLeft w:val="640"/>
          <w:marRight w:val="0"/>
          <w:marTop w:val="0"/>
          <w:marBottom w:val="0"/>
          <w:divBdr>
            <w:top w:val="none" w:sz="0" w:space="0" w:color="auto"/>
            <w:left w:val="none" w:sz="0" w:space="0" w:color="auto"/>
            <w:bottom w:val="none" w:sz="0" w:space="0" w:color="auto"/>
            <w:right w:val="none" w:sz="0" w:space="0" w:color="auto"/>
          </w:divBdr>
        </w:div>
        <w:div w:id="486745699">
          <w:marLeft w:val="640"/>
          <w:marRight w:val="0"/>
          <w:marTop w:val="0"/>
          <w:marBottom w:val="0"/>
          <w:divBdr>
            <w:top w:val="none" w:sz="0" w:space="0" w:color="auto"/>
            <w:left w:val="none" w:sz="0" w:space="0" w:color="auto"/>
            <w:bottom w:val="none" w:sz="0" w:space="0" w:color="auto"/>
            <w:right w:val="none" w:sz="0" w:space="0" w:color="auto"/>
          </w:divBdr>
        </w:div>
        <w:div w:id="143816956">
          <w:marLeft w:val="640"/>
          <w:marRight w:val="0"/>
          <w:marTop w:val="0"/>
          <w:marBottom w:val="0"/>
          <w:divBdr>
            <w:top w:val="none" w:sz="0" w:space="0" w:color="auto"/>
            <w:left w:val="none" w:sz="0" w:space="0" w:color="auto"/>
            <w:bottom w:val="none" w:sz="0" w:space="0" w:color="auto"/>
            <w:right w:val="none" w:sz="0" w:space="0" w:color="auto"/>
          </w:divBdr>
        </w:div>
        <w:div w:id="1543053023">
          <w:marLeft w:val="640"/>
          <w:marRight w:val="0"/>
          <w:marTop w:val="0"/>
          <w:marBottom w:val="0"/>
          <w:divBdr>
            <w:top w:val="none" w:sz="0" w:space="0" w:color="auto"/>
            <w:left w:val="none" w:sz="0" w:space="0" w:color="auto"/>
            <w:bottom w:val="none" w:sz="0" w:space="0" w:color="auto"/>
            <w:right w:val="none" w:sz="0" w:space="0" w:color="auto"/>
          </w:divBdr>
        </w:div>
        <w:div w:id="949582431">
          <w:marLeft w:val="640"/>
          <w:marRight w:val="0"/>
          <w:marTop w:val="0"/>
          <w:marBottom w:val="0"/>
          <w:divBdr>
            <w:top w:val="none" w:sz="0" w:space="0" w:color="auto"/>
            <w:left w:val="none" w:sz="0" w:space="0" w:color="auto"/>
            <w:bottom w:val="none" w:sz="0" w:space="0" w:color="auto"/>
            <w:right w:val="none" w:sz="0" w:space="0" w:color="auto"/>
          </w:divBdr>
        </w:div>
        <w:div w:id="1497113290">
          <w:marLeft w:val="640"/>
          <w:marRight w:val="0"/>
          <w:marTop w:val="0"/>
          <w:marBottom w:val="0"/>
          <w:divBdr>
            <w:top w:val="none" w:sz="0" w:space="0" w:color="auto"/>
            <w:left w:val="none" w:sz="0" w:space="0" w:color="auto"/>
            <w:bottom w:val="none" w:sz="0" w:space="0" w:color="auto"/>
            <w:right w:val="none" w:sz="0" w:space="0" w:color="auto"/>
          </w:divBdr>
        </w:div>
        <w:div w:id="1997762930">
          <w:marLeft w:val="640"/>
          <w:marRight w:val="0"/>
          <w:marTop w:val="0"/>
          <w:marBottom w:val="0"/>
          <w:divBdr>
            <w:top w:val="none" w:sz="0" w:space="0" w:color="auto"/>
            <w:left w:val="none" w:sz="0" w:space="0" w:color="auto"/>
            <w:bottom w:val="none" w:sz="0" w:space="0" w:color="auto"/>
            <w:right w:val="none" w:sz="0" w:space="0" w:color="auto"/>
          </w:divBdr>
        </w:div>
        <w:div w:id="571932811">
          <w:marLeft w:val="640"/>
          <w:marRight w:val="0"/>
          <w:marTop w:val="0"/>
          <w:marBottom w:val="0"/>
          <w:divBdr>
            <w:top w:val="none" w:sz="0" w:space="0" w:color="auto"/>
            <w:left w:val="none" w:sz="0" w:space="0" w:color="auto"/>
            <w:bottom w:val="none" w:sz="0" w:space="0" w:color="auto"/>
            <w:right w:val="none" w:sz="0" w:space="0" w:color="auto"/>
          </w:divBdr>
        </w:div>
        <w:div w:id="1493060777">
          <w:marLeft w:val="640"/>
          <w:marRight w:val="0"/>
          <w:marTop w:val="0"/>
          <w:marBottom w:val="0"/>
          <w:divBdr>
            <w:top w:val="none" w:sz="0" w:space="0" w:color="auto"/>
            <w:left w:val="none" w:sz="0" w:space="0" w:color="auto"/>
            <w:bottom w:val="none" w:sz="0" w:space="0" w:color="auto"/>
            <w:right w:val="none" w:sz="0" w:space="0" w:color="auto"/>
          </w:divBdr>
        </w:div>
        <w:div w:id="780733599">
          <w:marLeft w:val="640"/>
          <w:marRight w:val="0"/>
          <w:marTop w:val="0"/>
          <w:marBottom w:val="0"/>
          <w:divBdr>
            <w:top w:val="none" w:sz="0" w:space="0" w:color="auto"/>
            <w:left w:val="none" w:sz="0" w:space="0" w:color="auto"/>
            <w:bottom w:val="none" w:sz="0" w:space="0" w:color="auto"/>
            <w:right w:val="none" w:sz="0" w:space="0" w:color="auto"/>
          </w:divBdr>
        </w:div>
        <w:div w:id="12149183">
          <w:marLeft w:val="640"/>
          <w:marRight w:val="0"/>
          <w:marTop w:val="0"/>
          <w:marBottom w:val="0"/>
          <w:divBdr>
            <w:top w:val="none" w:sz="0" w:space="0" w:color="auto"/>
            <w:left w:val="none" w:sz="0" w:space="0" w:color="auto"/>
            <w:bottom w:val="none" w:sz="0" w:space="0" w:color="auto"/>
            <w:right w:val="none" w:sz="0" w:space="0" w:color="auto"/>
          </w:divBdr>
        </w:div>
        <w:div w:id="1343316062">
          <w:marLeft w:val="640"/>
          <w:marRight w:val="0"/>
          <w:marTop w:val="0"/>
          <w:marBottom w:val="0"/>
          <w:divBdr>
            <w:top w:val="none" w:sz="0" w:space="0" w:color="auto"/>
            <w:left w:val="none" w:sz="0" w:space="0" w:color="auto"/>
            <w:bottom w:val="none" w:sz="0" w:space="0" w:color="auto"/>
            <w:right w:val="none" w:sz="0" w:space="0" w:color="auto"/>
          </w:divBdr>
        </w:div>
        <w:div w:id="1399325095">
          <w:marLeft w:val="640"/>
          <w:marRight w:val="0"/>
          <w:marTop w:val="0"/>
          <w:marBottom w:val="0"/>
          <w:divBdr>
            <w:top w:val="none" w:sz="0" w:space="0" w:color="auto"/>
            <w:left w:val="none" w:sz="0" w:space="0" w:color="auto"/>
            <w:bottom w:val="none" w:sz="0" w:space="0" w:color="auto"/>
            <w:right w:val="none" w:sz="0" w:space="0" w:color="auto"/>
          </w:divBdr>
        </w:div>
        <w:div w:id="1911452849">
          <w:marLeft w:val="640"/>
          <w:marRight w:val="0"/>
          <w:marTop w:val="0"/>
          <w:marBottom w:val="0"/>
          <w:divBdr>
            <w:top w:val="none" w:sz="0" w:space="0" w:color="auto"/>
            <w:left w:val="none" w:sz="0" w:space="0" w:color="auto"/>
            <w:bottom w:val="none" w:sz="0" w:space="0" w:color="auto"/>
            <w:right w:val="none" w:sz="0" w:space="0" w:color="auto"/>
          </w:divBdr>
        </w:div>
        <w:div w:id="333264372">
          <w:marLeft w:val="640"/>
          <w:marRight w:val="0"/>
          <w:marTop w:val="0"/>
          <w:marBottom w:val="0"/>
          <w:divBdr>
            <w:top w:val="none" w:sz="0" w:space="0" w:color="auto"/>
            <w:left w:val="none" w:sz="0" w:space="0" w:color="auto"/>
            <w:bottom w:val="none" w:sz="0" w:space="0" w:color="auto"/>
            <w:right w:val="none" w:sz="0" w:space="0" w:color="auto"/>
          </w:divBdr>
        </w:div>
        <w:div w:id="1136341628">
          <w:marLeft w:val="640"/>
          <w:marRight w:val="0"/>
          <w:marTop w:val="0"/>
          <w:marBottom w:val="0"/>
          <w:divBdr>
            <w:top w:val="none" w:sz="0" w:space="0" w:color="auto"/>
            <w:left w:val="none" w:sz="0" w:space="0" w:color="auto"/>
            <w:bottom w:val="none" w:sz="0" w:space="0" w:color="auto"/>
            <w:right w:val="none" w:sz="0" w:space="0" w:color="auto"/>
          </w:divBdr>
        </w:div>
        <w:div w:id="1919635062">
          <w:marLeft w:val="640"/>
          <w:marRight w:val="0"/>
          <w:marTop w:val="0"/>
          <w:marBottom w:val="0"/>
          <w:divBdr>
            <w:top w:val="none" w:sz="0" w:space="0" w:color="auto"/>
            <w:left w:val="none" w:sz="0" w:space="0" w:color="auto"/>
            <w:bottom w:val="none" w:sz="0" w:space="0" w:color="auto"/>
            <w:right w:val="none" w:sz="0" w:space="0" w:color="auto"/>
          </w:divBdr>
        </w:div>
        <w:div w:id="522943484">
          <w:marLeft w:val="640"/>
          <w:marRight w:val="0"/>
          <w:marTop w:val="0"/>
          <w:marBottom w:val="0"/>
          <w:divBdr>
            <w:top w:val="none" w:sz="0" w:space="0" w:color="auto"/>
            <w:left w:val="none" w:sz="0" w:space="0" w:color="auto"/>
            <w:bottom w:val="none" w:sz="0" w:space="0" w:color="auto"/>
            <w:right w:val="none" w:sz="0" w:space="0" w:color="auto"/>
          </w:divBdr>
        </w:div>
        <w:div w:id="1353721578">
          <w:marLeft w:val="640"/>
          <w:marRight w:val="0"/>
          <w:marTop w:val="0"/>
          <w:marBottom w:val="0"/>
          <w:divBdr>
            <w:top w:val="none" w:sz="0" w:space="0" w:color="auto"/>
            <w:left w:val="none" w:sz="0" w:space="0" w:color="auto"/>
            <w:bottom w:val="none" w:sz="0" w:space="0" w:color="auto"/>
            <w:right w:val="none" w:sz="0" w:space="0" w:color="auto"/>
          </w:divBdr>
        </w:div>
        <w:div w:id="1771315387">
          <w:marLeft w:val="640"/>
          <w:marRight w:val="0"/>
          <w:marTop w:val="0"/>
          <w:marBottom w:val="0"/>
          <w:divBdr>
            <w:top w:val="none" w:sz="0" w:space="0" w:color="auto"/>
            <w:left w:val="none" w:sz="0" w:space="0" w:color="auto"/>
            <w:bottom w:val="none" w:sz="0" w:space="0" w:color="auto"/>
            <w:right w:val="none" w:sz="0" w:space="0" w:color="auto"/>
          </w:divBdr>
        </w:div>
        <w:div w:id="426386496">
          <w:marLeft w:val="640"/>
          <w:marRight w:val="0"/>
          <w:marTop w:val="0"/>
          <w:marBottom w:val="0"/>
          <w:divBdr>
            <w:top w:val="none" w:sz="0" w:space="0" w:color="auto"/>
            <w:left w:val="none" w:sz="0" w:space="0" w:color="auto"/>
            <w:bottom w:val="none" w:sz="0" w:space="0" w:color="auto"/>
            <w:right w:val="none" w:sz="0" w:space="0" w:color="auto"/>
          </w:divBdr>
        </w:div>
        <w:div w:id="611089760">
          <w:marLeft w:val="640"/>
          <w:marRight w:val="0"/>
          <w:marTop w:val="0"/>
          <w:marBottom w:val="0"/>
          <w:divBdr>
            <w:top w:val="none" w:sz="0" w:space="0" w:color="auto"/>
            <w:left w:val="none" w:sz="0" w:space="0" w:color="auto"/>
            <w:bottom w:val="none" w:sz="0" w:space="0" w:color="auto"/>
            <w:right w:val="none" w:sz="0" w:space="0" w:color="auto"/>
          </w:divBdr>
        </w:div>
        <w:div w:id="1540314684">
          <w:marLeft w:val="640"/>
          <w:marRight w:val="0"/>
          <w:marTop w:val="0"/>
          <w:marBottom w:val="0"/>
          <w:divBdr>
            <w:top w:val="none" w:sz="0" w:space="0" w:color="auto"/>
            <w:left w:val="none" w:sz="0" w:space="0" w:color="auto"/>
            <w:bottom w:val="none" w:sz="0" w:space="0" w:color="auto"/>
            <w:right w:val="none" w:sz="0" w:space="0" w:color="auto"/>
          </w:divBdr>
        </w:div>
        <w:div w:id="1364746901">
          <w:marLeft w:val="640"/>
          <w:marRight w:val="0"/>
          <w:marTop w:val="0"/>
          <w:marBottom w:val="0"/>
          <w:divBdr>
            <w:top w:val="none" w:sz="0" w:space="0" w:color="auto"/>
            <w:left w:val="none" w:sz="0" w:space="0" w:color="auto"/>
            <w:bottom w:val="none" w:sz="0" w:space="0" w:color="auto"/>
            <w:right w:val="none" w:sz="0" w:space="0" w:color="auto"/>
          </w:divBdr>
        </w:div>
        <w:div w:id="513039354">
          <w:marLeft w:val="640"/>
          <w:marRight w:val="0"/>
          <w:marTop w:val="0"/>
          <w:marBottom w:val="0"/>
          <w:divBdr>
            <w:top w:val="none" w:sz="0" w:space="0" w:color="auto"/>
            <w:left w:val="none" w:sz="0" w:space="0" w:color="auto"/>
            <w:bottom w:val="none" w:sz="0" w:space="0" w:color="auto"/>
            <w:right w:val="none" w:sz="0" w:space="0" w:color="auto"/>
          </w:divBdr>
        </w:div>
        <w:div w:id="1584606370">
          <w:marLeft w:val="640"/>
          <w:marRight w:val="0"/>
          <w:marTop w:val="0"/>
          <w:marBottom w:val="0"/>
          <w:divBdr>
            <w:top w:val="none" w:sz="0" w:space="0" w:color="auto"/>
            <w:left w:val="none" w:sz="0" w:space="0" w:color="auto"/>
            <w:bottom w:val="none" w:sz="0" w:space="0" w:color="auto"/>
            <w:right w:val="none" w:sz="0" w:space="0" w:color="auto"/>
          </w:divBdr>
        </w:div>
        <w:div w:id="1932153129">
          <w:marLeft w:val="640"/>
          <w:marRight w:val="0"/>
          <w:marTop w:val="0"/>
          <w:marBottom w:val="0"/>
          <w:divBdr>
            <w:top w:val="none" w:sz="0" w:space="0" w:color="auto"/>
            <w:left w:val="none" w:sz="0" w:space="0" w:color="auto"/>
            <w:bottom w:val="none" w:sz="0" w:space="0" w:color="auto"/>
            <w:right w:val="none" w:sz="0" w:space="0" w:color="auto"/>
          </w:divBdr>
        </w:div>
        <w:div w:id="763652048">
          <w:marLeft w:val="640"/>
          <w:marRight w:val="0"/>
          <w:marTop w:val="0"/>
          <w:marBottom w:val="0"/>
          <w:divBdr>
            <w:top w:val="none" w:sz="0" w:space="0" w:color="auto"/>
            <w:left w:val="none" w:sz="0" w:space="0" w:color="auto"/>
            <w:bottom w:val="none" w:sz="0" w:space="0" w:color="auto"/>
            <w:right w:val="none" w:sz="0" w:space="0" w:color="auto"/>
          </w:divBdr>
        </w:div>
        <w:div w:id="1661107573">
          <w:marLeft w:val="640"/>
          <w:marRight w:val="0"/>
          <w:marTop w:val="0"/>
          <w:marBottom w:val="0"/>
          <w:divBdr>
            <w:top w:val="none" w:sz="0" w:space="0" w:color="auto"/>
            <w:left w:val="none" w:sz="0" w:space="0" w:color="auto"/>
            <w:bottom w:val="none" w:sz="0" w:space="0" w:color="auto"/>
            <w:right w:val="none" w:sz="0" w:space="0" w:color="auto"/>
          </w:divBdr>
        </w:div>
        <w:div w:id="1740857237">
          <w:marLeft w:val="640"/>
          <w:marRight w:val="0"/>
          <w:marTop w:val="0"/>
          <w:marBottom w:val="0"/>
          <w:divBdr>
            <w:top w:val="none" w:sz="0" w:space="0" w:color="auto"/>
            <w:left w:val="none" w:sz="0" w:space="0" w:color="auto"/>
            <w:bottom w:val="none" w:sz="0" w:space="0" w:color="auto"/>
            <w:right w:val="none" w:sz="0" w:space="0" w:color="auto"/>
          </w:divBdr>
        </w:div>
        <w:div w:id="943264691">
          <w:marLeft w:val="640"/>
          <w:marRight w:val="0"/>
          <w:marTop w:val="0"/>
          <w:marBottom w:val="0"/>
          <w:divBdr>
            <w:top w:val="none" w:sz="0" w:space="0" w:color="auto"/>
            <w:left w:val="none" w:sz="0" w:space="0" w:color="auto"/>
            <w:bottom w:val="none" w:sz="0" w:space="0" w:color="auto"/>
            <w:right w:val="none" w:sz="0" w:space="0" w:color="auto"/>
          </w:divBdr>
        </w:div>
        <w:div w:id="1013186965">
          <w:marLeft w:val="640"/>
          <w:marRight w:val="0"/>
          <w:marTop w:val="0"/>
          <w:marBottom w:val="0"/>
          <w:divBdr>
            <w:top w:val="none" w:sz="0" w:space="0" w:color="auto"/>
            <w:left w:val="none" w:sz="0" w:space="0" w:color="auto"/>
            <w:bottom w:val="none" w:sz="0" w:space="0" w:color="auto"/>
            <w:right w:val="none" w:sz="0" w:space="0" w:color="auto"/>
          </w:divBdr>
        </w:div>
        <w:div w:id="554435457">
          <w:marLeft w:val="640"/>
          <w:marRight w:val="0"/>
          <w:marTop w:val="0"/>
          <w:marBottom w:val="0"/>
          <w:divBdr>
            <w:top w:val="none" w:sz="0" w:space="0" w:color="auto"/>
            <w:left w:val="none" w:sz="0" w:space="0" w:color="auto"/>
            <w:bottom w:val="none" w:sz="0" w:space="0" w:color="auto"/>
            <w:right w:val="none" w:sz="0" w:space="0" w:color="auto"/>
          </w:divBdr>
        </w:div>
        <w:div w:id="248008693">
          <w:marLeft w:val="640"/>
          <w:marRight w:val="0"/>
          <w:marTop w:val="0"/>
          <w:marBottom w:val="0"/>
          <w:divBdr>
            <w:top w:val="none" w:sz="0" w:space="0" w:color="auto"/>
            <w:left w:val="none" w:sz="0" w:space="0" w:color="auto"/>
            <w:bottom w:val="none" w:sz="0" w:space="0" w:color="auto"/>
            <w:right w:val="none" w:sz="0" w:space="0" w:color="auto"/>
          </w:divBdr>
        </w:div>
        <w:div w:id="1599486871">
          <w:marLeft w:val="640"/>
          <w:marRight w:val="0"/>
          <w:marTop w:val="0"/>
          <w:marBottom w:val="0"/>
          <w:divBdr>
            <w:top w:val="none" w:sz="0" w:space="0" w:color="auto"/>
            <w:left w:val="none" w:sz="0" w:space="0" w:color="auto"/>
            <w:bottom w:val="none" w:sz="0" w:space="0" w:color="auto"/>
            <w:right w:val="none" w:sz="0" w:space="0" w:color="auto"/>
          </w:divBdr>
        </w:div>
        <w:div w:id="1480459956">
          <w:marLeft w:val="640"/>
          <w:marRight w:val="0"/>
          <w:marTop w:val="0"/>
          <w:marBottom w:val="0"/>
          <w:divBdr>
            <w:top w:val="none" w:sz="0" w:space="0" w:color="auto"/>
            <w:left w:val="none" w:sz="0" w:space="0" w:color="auto"/>
            <w:bottom w:val="none" w:sz="0" w:space="0" w:color="auto"/>
            <w:right w:val="none" w:sz="0" w:space="0" w:color="auto"/>
          </w:divBdr>
        </w:div>
        <w:div w:id="518004648">
          <w:marLeft w:val="640"/>
          <w:marRight w:val="0"/>
          <w:marTop w:val="0"/>
          <w:marBottom w:val="0"/>
          <w:divBdr>
            <w:top w:val="none" w:sz="0" w:space="0" w:color="auto"/>
            <w:left w:val="none" w:sz="0" w:space="0" w:color="auto"/>
            <w:bottom w:val="none" w:sz="0" w:space="0" w:color="auto"/>
            <w:right w:val="none" w:sz="0" w:space="0" w:color="auto"/>
          </w:divBdr>
        </w:div>
        <w:div w:id="422604548">
          <w:marLeft w:val="640"/>
          <w:marRight w:val="0"/>
          <w:marTop w:val="0"/>
          <w:marBottom w:val="0"/>
          <w:divBdr>
            <w:top w:val="none" w:sz="0" w:space="0" w:color="auto"/>
            <w:left w:val="none" w:sz="0" w:space="0" w:color="auto"/>
            <w:bottom w:val="none" w:sz="0" w:space="0" w:color="auto"/>
            <w:right w:val="none" w:sz="0" w:space="0" w:color="auto"/>
          </w:divBdr>
        </w:div>
        <w:div w:id="1287659833">
          <w:marLeft w:val="640"/>
          <w:marRight w:val="0"/>
          <w:marTop w:val="0"/>
          <w:marBottom w:val="0"/>
          <w:divBdr>
            <w:top w:val="none" w:sz="0" w:space="0" w:color="auto"/>
            <w:left w:val="none" w:sz="0" w:space="0" w:color="auto"/>
            <w:bottom w:val="none" w:sz="0" w:space="0" w:color="auto"/>
            <w:right w:val="none" w:sz="0" w:space="0" w:color="auto"/>
          </w:divBdr>
        </w:div>
        <w:div w:id="1284507435">
          <w:marLeft w:val="640"/>
          <w:marRight w:val="0"/>
          <w:marTop w:val="0"/>
          <w:marBottom w:val="0"/>
          <w:divBdr>
            <w:top w:val="none" w:sz="0" w:space="0" w:color="auto"/>
            <w:left w:val="none" w:sz="0" w:space="0" w:color="auto"/>
            <w:bottom w:val="none" w:sz="0" w:space="0" w:color="auto"/>
            <w:right w:val="none" w:sz="0" w:space="0" w:color="auto"/>
          </w:divBdr>
        </w:div>
        <w:div w:id="1428187095">
          <w:marLeft w:val="640"/>
          <w:marRight w:val="0"/>
          <w:marTop w:val="0"/>
          <w:marBottom w:val="0"/>
          <w:divBdr>
            <w:top w:val="none" w:sz="0" w:space="0" w:color="auto"/>
            <w:left w:val="none" w:sz="0" w:space="0" w:color="auto"/>
            <w:bottom w:val="none" w:sz="0" w:space="0" w:color="auto"/>
            <w:right w:val="none" w:sz="0" w:space="0" w:color="auto"/>
          </w:divBdr>
        </w:div>
        <w:div w:id="1712001222">
          <w:marLeft w:val="640"/>
          <w:marRight w:val="0"/>
          <w:marTop w:val="0"/>
          <w:marBottom w:val="0"/>
          <w:divBdr>
            <w:top w:val="none" w:sz="0" w:space="0" w:color="auto"/>
            <w:left w:val="none" w:sz="0" w:space="0" w:color="auto"/>
            <w:bottom w:val="none" w:sz="0" w:space="0" w:color="auto"/>
            <w:right w:val="none" w:sz="0" w:space="0" w:color="auto"/>
          </w:divBdr>
        </w:div>
        <w:div w:id="761681355">
          <w:marLeft w:val="640"/>
          <w:marRight w:val="0"/>
          <w:marTop w:val="0"/>
          <w:marBottom w:val="0"/>
          <w:divBdr>
            <w:top w:val="none" w:sz="0" w:space="0" w:color="auto"/>
            <w:left w:val="none" w:sz="0" w:space="0" w:color="auto"/>
            <w:bottom w:val="none" w:sz="0" w:space="0" w:color="auto"/>
            <w:right w:val="none" w:sz="0" w:space="0" w:color="auto"/>
          </w:divBdr>
        </w:div>
        <w:div w:id="352341621">
          <w:marLeft w:val="640"/>
          <w:marRight w:val="0"/>
          <w:marTop w:val="0"/>
          <w:marBottom w:val="0"/>
          <w:divBdr>
            <w:top w:val="none" w:sz="0" w:space="0" w:color="auto"/>
            <w:left w:val="none" w:sz="0" w:space="0" w:color="auto"/>
            <w:bottom w:val="none" w:sz="0" w:space="0" w:color="auto"/>
            <w:right w:val="none" w:sz="0" w:space="0" w:color="auto"/>
          </w:divBdr>
        </w:div>
        <w:div w:id="34699097">
          <w:marLeft w:val="640"/>
          <w:marRight w:val="0"/>
          <w:marTop w:val="0"/>
          <w:marBottom w:val="0"/>
          <w:divBdr>
            <w:top w:val="none" w:sz="0" w:space="0" w:color="auto"/>
            <w:left w:val="none" w:sz="0" w:space="0" w:color="auto"/>
            <w:bottom w:val="none" w:sz="0" w:space="0" w:color="auto"/>
            <w:right w:val="none" w:sz="0" w:space="0" w:color="auto"/>
          </w:divBdr>
        </w:div>
        <w:div w:id="1420643215">
          <w:marLeft w:val="640"/>
          <w:marRight w:val="0"/>
          <w:marTop w:val="0"/>
          <w:marBottom w:val="0"/>
          <w:divBdr>
            <w:top w:val="none" w:sz="0" w:space="0" w:color="auto"/>
            <w:left w:val="none" w:sz="0" w:space="0" w:color="auto"/>
            <w:bottom w:val="none" w:sz="0" w:space="0" w:color="auto"/>
            <w:right w:val="none" w:sz="0" w:space="0" w:color="auto"/>
          </w:divBdr>
        </w:div>
        <w:div w:id="368800580">
          <w:marLeft w:val="640"/>
          <w:marRight w:val="0"/>
          <w:marTop w:val="0"/>
          <w:marBottom w:val="0"/>
          <w:divBdr>
            <w:top w:val="none" w:sz="0" w:space="0" w:color="auto"/>
            <w:left w:val="none" w:sz="0" w:space="0" w:color="auto"/>
            <w:bottom w:val="none" w:sz="0" w:space="0" w:color="auto"/>
            <w:right w:val="none" w:sz="0" w:space="0" w:color="auto"/>
          </w:divBdr>
        </w:div>
        <w:div w:id="737943313">
          <w:marLeft w:val="640"/>
          <w:marRight w:val="0"/>
          <w:marTop w:val="0"/>
          <w:marBottom w:val="0"/>
          <w:divBdr>
            <w:top w:val="none" w:sz="0" w:space="0" w:color="auto"/>
            <w:left w:val="none" w:sz="0" w:space="0" w:color="auto"/>
            <w:bottom w:val="none" w:sz="0" w:space="0" w:color="auto"/>
            <w:right w:val="none" w:sz="0" w:space="0" w:color="auto"/>
          </w:divBdr>
        </w:div>
        <w:div w:id="467086990">
          <w:marLeft w:val="640"/>
          <w:marRight w:val="0"/>
          <w:marTop w:val="0"/>
          <w:marBottom w:val="0"/>
          <w:divBdr>
            <w:top w:val="none" w:sz="0" w:space="0" w:color="auto"/>
            <w:left w:val="none" w:sz="0" w:space="0" w:color="auto"/>
            <w:bottom w:val="none" w:sz="0" w:space="0" w:color="auto"/>
            <w:right w:val="none" w:sz="0" w:space="0" w:color="auto"/>
          </w:divBdr>
        </w:div>
        <w:div w:id="1067536292">
          <w:marLeft w:val="640"/>
          <w:marRight w:val="0"/>
          <w:marTop w:val="0"/>
          <w:marBottom w:val="0"/>
          <w:divBdr>
            <w:top w:val="none" w:sz="0" w:space="0" w:color="auto"/>
            <w:left w:val="none" w:sz="0" w:space="0" w:color="auto"/>
            <w:bottom w:val="none" w:sz="0" w:space="0" w:color="auto"/>
            <w:right w:val="none" w:sz="0" w:space="0" w:color="auto"/>
          </w:divBdr>
        </w:div>
        <w:div w:id="749473944">
          <w:marLeft w:val="640"/>
          <w:marRight w:val="0"/>
          <w:marTop w:val="0"/>
          <w:marBottom w:val="0"/>
          <w:divBdr>
            <w:top w:val="none" w:sz="0" w:space="0" w:color="auto"/>
            <w:left w:val="none" w:sz="0" w:space="0" w:color="auto"/>
            <w:bottom w:val="none" w:sz="0" w:space="0" w:color="auto"/>
            <w:right w:val="none" w:sz="0" w:space="0" w:color="auto"/>
          </w:divBdr>
        </w:div>
        <w:div w:id="1671129809">
          <w:marLeft w:val="640"/>
          <w:marRight w:val="0"/>
          <w:marTop w:val="0"/>
          <w:marBottom w:val="0"/>
          <w:divBdr>
            <w:top w:val="none" w:sz="0" w:space="0" w:color="auto"/>
            <w:left w:val="none" w:sz="0" w:space="0" w:color="auto"/>
            <w:bottom w:val="none" w:sz="0" w:space="0" w:color="auto"/>
            <w:right w:val="none" w:sz="0" w:space="0" w:color="auto"/>
          </w:divBdr>
        </w:div>
        <w:div w:id="852764782">
          <w:marLeft w:val="640"/>
          <w:marRight w:val="0"/>
          <w:marTop w:val="0"/>
          <w:marBottom w:val="0"/>
          <w:divBdr>
            <w:top w:val="none" w:sz="0" w:space="0" w:color="auto"/>
            <w:left w:val="none" w:sz="0" w:space="0" w:color="auto"/>
            <w:bottom w:val="none" w:sz="0" w:space="0" w:color="auto"/>
            <w:right w:val="none" w:sz="0" w:space="0" w:color="auto"/>
          </w:divBdr>
        </w:div>
        <w:div w:id="454176007">
          <w:marLeft w:val="640"/>
          <w:marRight w:val="0"/>
          <w:marTop w:val="0"/>
          <w:marBottom w:val="0"/>
          <w:divBdr>
            <w:top w:val="none" w:sz="0" w:space="0" w:color="auto"/>
            <w:left w:val="none" w:sz="0" w:space="0" w:color="auto"/>
            <w:bottom w:val="none" w:sz="0" w:space="0" w:color="auto"/>
            <w:right w:val="none" w:sz="0" w:space="0" w:color="auto"/>
          </w:divBdr>
        </w:div>
        <w:div w:id="40131253">
          <w:marLeft w:val="640"/>
          <w:marRight w:val="0"/>
          <w:marTop w:val="0"/>
          <w:marBottom w:val="0"/>
          <w:divBdr>
            <w:top w:val="none" w:sz="0" w:space="0" w:color="auto"/>
            <w:left w:val="none" w:sz="0" w:space="0" w:color="auto"/>
            <w:bottom w:val="none" w:sz="0" w:space="0" w:color="auto"/>
            <w:right w:val="none" w:sz="0" w:space="0" w:color="auto"/>
          </w:divBdr>
        </w:div>
        <w:div w:id="439881938">
          <w:marLeft w:val="640"/>
          <w:marRight w:val="0"/>
          <w:marTop w:val="0"/>
          <w:marBottom w:val="0"/>
          <w:divBdr>
            <w:top w:val="none" w:sz="0" w:space="0" w:color="auto"/>
            <w:left w:val="none" w:sz="0" w:space="0" w:color="auto"/>
            <w:bottom w:val="none" w:sz="0" w:space="0" w:color="auto"/>
            <w:right w:val="none" w:sz="0" w:space="0" w:color="auto"/>
          </w:divBdr>
        </w:div>
        <w:div w:id="1187333675">
          <w:marLeft w:val="640"/>
          <w:marRight w:val="0"/>
          <w:marTop w:val="0"/>
          <w:marBottom w:val="0"/>
          <w:divBdr>
            <w:top w:val="none" w:sz="0" w:space="0" w:color="auto"/>
            <w:left w:val="none" w:sz="0" w:space="0" w:color="auto"/>
            <w:bottom w:val="none" w:sz="0" w:space="0" w:color="auto"/>
            <w:right w:val="none" w:sz="0" w:space="0" w:color="auto"/>
          </w:divBdr>
        </w:div>
        <w:div w:id="611789931">
          <w:marLeft w:val="640"/>
          <w:marRight w:val="0"/>
          <w:marTop w:val="0"/>
          <w:marBottom w:val="0"/>
          <w:divBdr>
            <w:top w:val="none" w:sz="0" w:space="0" w:color="auto"/>
            <w:left w:val="none" w:sz="0" w:space="0" w:color="auto"/>
            <w:bottom w:val="none" w:sz="0" w:space="0" w:color="auto"/>
            <w:right w:val="none" w:sz="0" w:space="0" w:color="auto"/>
          </w:divBdr>
        </w:div>
        <w:div w:id="20278027">
          <w:marLeft w:val="640"/>
          <w:marRight w:val="0"/>
          <w:marTop w:val="0"/>
          <w:marBottom w:val="0"/>
          <w:divBdr>
            <w:top w:val="none" w:sz="0" w:space="0" w:color="auto"/>
            <w:left w:val="none" w:sz="0" w:space="0" w:color="auto"/>
            <w:bottom w:val="none" w:sz="0" w:space="0" w:color="auto"/>
            <w:right w:val="none" w:sz="0" w:space="0" w:color="auto"/>
          </w:divBdr>
        </w:div>
        <w:div w:id="1300457222">
          <w:marLeft w:val="640"/>
          <w:marRight w:val="0"/>
          <w:marTop w:val="0"/>
          <w:marBottom w:val="0"/>
          <w:divBdr>
            <w:top w:val="none" w:sz="0" w:space="0" w:color="auto"/>
            <w:left w:val="none" w:sz="0" w:space="0" w:color="auto"/>
            <w:bottom w:val="none" w:sz="0" w:space="0" w:color="auto"/>
            <w:right w:val="none" w:sz="0" w:space="0" w:color="auto"/>
          </w:divBdr>
        </w:div>
        <w:div w:id="1985353733">
          <w:marLeft w:val="640"/>
          <w:marRight w:val="0"/>
          <w:marTop w:val="0"/>
          <w:marBottom w:val="0"/>
          <w:divBdr>
            <w:top w:val="none" w:sz="0" w:space="0" w:color="auto"/>
            <w:left w:val="none" w:sz="0" w:space="0" w:color="auto"/>
            <w:bottom w:val="none" w:sz="0" w:space="0" w:color="auto"/>
            <w:right w:val="none" w:sz="0" w:space="0" w:color="auto"/>
          </w:divBdr>
        </w:div>
        <w:div w:id="1789348821">
          <w:marLeft w:val="640"/>
          <w:marRight w:val="0"/>
          <w:marTop w:val="0"/>
          <w:marBottom w:val="0"/>
          <w:divBdr>
            <w:top w:val="none" w:sz="0" w:space="0" w:color="auto"/>
            <w:left w:val="none" w:sz="0" w:space="0" w:color="auto"/>
            <w:bottom w:val="none" w:sz="0" w:space="0" w:color="auto"/>
            <w:right w:val="none" w:sz="0" w:space="0" w:color="auto"/>
          </w:divBdr>
        </w:div>
        <w:div w:id="1201015879">
          <w:marLeft w:val="640"/>
          <w:marRight w:val="0"/>
          <w:marTop w:val="0"/>
          <w:marBottom w:val="0"/>
          <w:divBdr>
            <w:top w:val="none" w:sz="0" w:space="0" w:color="auto"/>
            <w:left w:val="none" w:sz="0" w:space="0" w:color="auto"/>
            <w:bottom w:val="none" w:sz="0" w:space="0" w:color="auto"/>
            <w:right w:val="none" w:sz="0" w:space="0" w:color="auto"/>
          </w:divBdr>
        </w:div>
        <w:div w:id="97255882">
          <w:marLeft w:val="640"/>
          <w:marRight w:val="0"/>
          <w:marTop w:val="0"/>
          <w:marBottom w:val="0"/>
          <w:divBdr>
            <w:top w:val="none" w:sz="0" w:space="0" w:color="auto"/>
            <w:left w:val="none" w:sz="0" w:space="0" w:color="auto"/>
            <w:bottom w:val="none" w:sz="0" w:space="0" w:color="auto"/>
            <w:right w:val="none" w:sz="0" w:space="0" w:color="auto"/>
          </w:divBdr>
        </w:div>
        <w:div w:id="1878196490">
          <w:marLeft w:val="640"/>
          <w:marRight w:val="0"/>
          <w:marTop w:val="0"/>
          <w:marBottom w:val="0"/>
          <w:divBdr>
            <w:top w:val="none" w:sz="0" w:space="0" w:color="auto"/>
            <w:left w:val="none" w:sz="0" w:space="0" w:color="auto"/>
            <w:bottom w:val="none" w:sz="0" w:space="0" w:color="auto"/>
            <w:right w:val="none" w:sz="0" w:space="0" w:color="auto"/>
          </w:divBdr>
        </w:div>
        <w:div w:id="508104436">
          <w:marLeft w:val="640"/>
          <w:marRight w:val="0"/>
          <w:marTop w:val="0"/>
          <w:marBottom w:val="0"/>
          <w:divBdr>
            <w:top w:val="none" w:sz="0" w:space="0" w:color="auto"/>
            <w:left w:val="none" w:sz="0" w:space="0" w:color="auto"/>
            <w:bottom w:val="none" w:sz="0" w:space="0" w:color="auto"/>
            <w:right w:val="none" w:sz="0" w:space="0" w:color="auto"/>
          </w:divBdr>
        </w:div>
        <w:div w:id="768427210">
          <w:marLeft w:val="640"/>
          <w:marRight w:val="0"/>
          <w:marTop w:val="0"/>
          <w:marBottom w:val="0"/>
          <w:divBdr>
            <w:top w:val="none" w:sz="0" w:space="0" w:color="auto"/>
            <w:left w:val="none" w:sz="0" w:space="0" w:color="auto"/>
            <w:bottom w:val="none" w:sz="0" w:space="0" w:color="auto"/>
            <w:right w:val="none" w:sz="0" w:space="0" w:color="auto"/>
          </w:divBdr>
        </w:div>
        <w:div w:id="793988770">
          <w:marLeft w:val="640"/>
          <w:marRight w:val="0"/>
          <w:marTop w:val="0"/>
          <w:marBottom w:val="0"/>
          <w:divBdr>
            <w:top w:val="none" w:sz="0" w:space="0" w:color="auto"/>
            <w:left w:val="none" w:sz="0" w:space="0" w:color="auto"/>
            <w:bottom w:val="none" w:sz="0" w:space="0" w:color="auto"/>
            <w:right w:val="none" w:sz="0" w:space="0" w:color="auto"/>
          </w:divBdr>
        </w:div>
        <w:div w:id="1181167012">
          <w:marLeft w:val="640"/>
          <w:marRight w:val="0"/>
          <w:marTop w:val="0"/>
          <w:marBottom w:val="0"/>
          <w:divBdr>
            <w:top w:val="none" w:sz="0" w:space="0" w:color="auto"/>
            <w:left w:val="none" w:sz="0" w:space="0" w:color="auto"/>
            <w:bottom w:val="none" w:sz="0" w:space="0" w:color="auto"/>
            <w:right w:val="none" w:sz="0" w:space="0" w:color="auto"/>
          </w:divBdr>
        </w:div>
        <w:div w:id="1706710760">
          <w:marLeft w:val="640"/>
          <w:marRight w:val="0"/>
          <w:marTop w:val="0"/>
          <w:marBottom w:val="0"/>
          <w:divBdr>
            <w:top w:val="none" w:sz="0" w:space="0" w:color="auto"/>
            <w:left w:val="none" w:sz="0" w:space="0" w:color="auto"/>
            <w:bottom w:val="none" w:sz="0" w:space="0" w:color="auto"/>
            <w:right w:val="none" w:sz="0" w:space="0" w:color="auto"/>
          </w:divBdr>
        </w:div>
        <w:div w:id="223492462">
          <w:marLeft w:val="640"/>
          <w:marRight w:val="0"/>
          <w:marTop w:val="0"/>
          <w:marBottom w:val="0"/>
          <w:divBdr>
            <w:top w:val="none" w:sz="0" w:space="0" w:color="auto"/>
            <w:left w:val="none" w:sz="0" w:space="0" w:color="auto"/>
            <w:bottom w:val="none" w:sz="0" w:space="0" w:color="auto"/>
            <w:right w:val="none" w:sz="0" w:space="0" w:color="auto"/>
          </w:divBdr>
        </w:div>
        <w:div w:id="352002699">
          <w:marLeft w:val="640"/>
          <w:marRight w:val="0"/>
          <w:marTop w:val="0"/>
          <w:marBottom w:val="0"/>
          <w:divBdr>
            <w:top w:val="none" w:sz="0" w:space="0" w:color="auto"/>
            <w:left w:val="none" w:sz="0" w:space="0" w:color="auto"/>
            <w:bottom w:val="none" w:sz="0" w:space="0" w:color="auto"/>
            <w:right w:val="none" w:sz="0" w:space="0" w:color="auto"/>
          </w:divBdr>
        </w:div>
        <w:div w:id="448354516">
          <w:marLeft w:val="640"/>
          <w:marRight w:val="0"/>
          <w:marTop w:val="0"/>
          <w:marBottom w:val="0"/>
          <w:divBdr>
            <w:top w:val="none" w:sz="0" w:space="0" w:color="auto"/>
            <w:left w:val="none" w:sz="0" w:space="0" w:color="auto"/>
            <w:bottom w:val="none" w:sz="0" w:space="0" w:color="auto"/>
            <w:right w:val="none" w:sz="0" w:space="0" w:color="auto"/>
          </w:divBdr>
        </w:div>
        <w:div w:id="7609390">
          <w:marLeft w:val="640"/>
          <w:marRight w:val="0"/>
          <w:marTop w:val="0"/>
          <w:marBottom w:val="0"/>
          <w:divBdr>
            <w:top w:val="none" w:sz="0" w:space="0" w:color="auto"/>
            <w:left w:val="none" w:sz="0" w:space="0" w:color="auto"/>
            <w:bottom w:val="none" w:sz="0" w:space="0" w:color="auto"/>
            <w:right w:val="none" w:sz="0" w:space="0" w:color="auto"/>
          </w:divBdr>
        </w:div>
        <w:div w:id="204609983">
          <w:marLeft w:val="640"/>
          <w:marRight w:val="0"/>
          <w:marTop w:val="0"/>
          <w:marBottom w:val="0"/>
          <w:divBdr>
            <w:top w:val="none" w:sz="0" w:space="0" w:color="auto"/>
            <w:left w:val="none" w:sz="0" w:space="0" w:color="auto"/>
            <w:bottom w:val="none" w:sz="0" w:space="0" w:color="auto"/>
            <w:right w:val="none" w:sz="0" w:space="0" w:color="auto"/>
          </w:divBdr>
        </w:div>
        <w:div w:id="300427210">
          <w:marLeft w:val="640"/>
          <w:marRight w:val="0"/>
          <w:marTop w:val="0"/>
          <w:marBottom w:val="0"/>
          <w:divBdr>
            <w:top w:val="none" w:sz="0" w:space="0" w:color="auto"/>
            <w:left w:val="none" w:sz="0" w:space="0" w:color="auto"/>
            <w:bottom w:val="none" w:sz="0" w:space="0" w:color="auto"/>
            <w:right w:val="none" w:sz="0" w:space="0" w:color="auto"/>
          </w:divBdr>
        </w:div>
        <w:div w:id="1006861668">
          <w:marLeft w:val="640"/>
          <w:marRight w:val="0"/>
          <w:marTop w:val="0"/>
          <w:marBottom w:val="0"/>
          <w:divBdr>
            <w:top w:val="none" w:sz="0" w:space="0" w:color="auto"/>
            <w:left w:val="none" w:sz="0" w:space="0" w:color="auto"/>
            <w:bottom w:val="none" w:sz="0" w:space="0" w:color="auto"/>
            <w:right w:val="none" w:sz="0" w:space="0" w:color="auto"/>
          </w:divBdr>
        </w:div>
        <w:div w:id="2125616070">
          <w:marLeft w:val="640"/>
          <w:marRight w:val="0"/>
          <w:marTop w:val="0"/>
          <w:marBottom w:val="0"/>
          <w:divBdr>
            <w:top w:val="none" w:sz="0" w:space="0" w:color="auto"/>
            <w:left w:val="none" w:sz="0" w:space="0" w:color="auto"/>
            <w:bottom w:val="none" w:sz="0" w:space="0" w:color="auto"/>
            <w:right w:val="none" w:sz="0" w:space="0" w:color="auto"/>
          </w:divBdr>
        </w:div>
        <w:div w:id="1409376384">
          <w:marLeft w:val="640"/>
          <w:marRight w:val="0"/>
          <w:marTop w:val="0"/>
          <w:marBottom w:val="0"/>
          <w:divBdr>
            <w:top w:val="none" w:sz="0" w:space="0" w:color="auto"/>
            <w:left w:val="none" w:sz="0" w:space="0" w:color="auto"/>
            <w:bottom w:val="none" w:sz="0" w:space="0" w:color="auto"/>
            <w:right w:val="none" w:sz="0" w:space="0" w:color="auto"/>
          </w:divBdr>
        </w:div>
        <w:div w:id="945038603">
          <w:marLeft w:val="640"/>
          <w:marRight w:val="0"/>
          <w:marTop w:val="0"/>
          <w:marBottom w:val="0"/>
          <w:divBdr>
            <w:top w:val="none" w:sz="0" w:space="0" w:color="auto"/>
            <w:left w:val="none" w:sz="0" w:space="0" w:color="auto"/>
            <w:bottom w:val="none" w:sz="0" w:space="0" w:color="auto"/>
            <w:right w:val="none" w:sz="0" w:space="0" w:color="auto"/>
          </w:divBdr>
        </w:div>
        <w:div w:id="919873721">
          <w:marLeft w:val="640"/>
          <w:marRight w:val="0"/>
          <w:marTop w:val="0"/>
          <w:marBottom w:val="0"/>
          <w:divBdr>
            <w:top w:val="none" w:sz="0" w:space="0" w:color="auto"/>
            <w:left w:val="none" w:sz="0" w:space="0" w:color="auto"/>
            <w:bottom w:val="none" w:sz="0" w:space="0" w:color="auto"/>
            <w:right w:val="none" w:sz="0" w:space="0" w:color="auto"/>
          </w:divBdr>
        </w:div>
        <w:div w:id="1679304224">
          <w:marLeft w:val="640"/>
          <w:marRight w:val="0"/>
          <w:marTop w:val="0"/>
          <w:marBottom w:val="0"/>
          <w:divBdr>
            <w:top w:val="none" w:sz="0" w:space="0" w:color="auto"/>
            <w:left w:val="none" w:sz="0" w:space="0" w:color="auto"/>
            <w:bottom w:val="none" w:sz="0" w:space="0" w:color="auto"/>
            <w:right w:val="none" w:sz="0" w:space="0" w:color="auto"/>
          </w:divBdr>
        </w:div>
        <w:div w:id="1530680956">
          <w:marLeft w:val="640"/>
          <w:marRight w:val="0"/>
          <w:marTop w:val="0"/>
          <w:marBottom w:val="0"/>
          <w:divBdr>
            <w:top w:val="none" w:sz="0" w:space="0" w:color="auto"/>
            <w:left w:val="none" w:sz="0" w:space="0" w:color="auto"/>
            <w:bottom w:val="none" w:sz="0" w:space="0" w:color="auto"/>
            <w:right w:val="none" w:sz="0" w:space="0" w:color="auto"/>
          </w:divBdr>
        </w:div>
        <w:div w:id="49109803">
          <w:marLeft w:val="640"/>
          <w:marRight w:val="0"/>
          <w:marTop w:val="0"/>
          <w:marBottom w:val="0"/>
          <w:divBdr>
            <w:top w:val="none" w:sz="0" w:space="0" w:color="auto"/>
            <w:left w:val="none" w:sz="0" w:space="0" w:color="auto"/>
            <w:bottom w:val="none" w:sz="0" w:space="0" w:color="auto"/>
            <w:right w:val="none" w:sz="0" w:space="0" w:color="auto"/>
          </w:divBdr>
        </w:div>
        <w:div w:id="47340086">
          <w:marLeft w:val="640"/>
          <w:marRight w:val="0"/>
          <w:marTop w:val="0"/>
          <w:marBottom w:val="0"/>
          <w:divBdr>
            <w:top w:val="none" w:sz="0" w:space="0" w:color="auto"/>
            <w:left w:val="none" w:sz="0" w:space="0" w:color="auto"/>
            <w:bottom w:val="none" w:sz="0" w:space="0" w:color="auto"/>
            <w:right w:val="none" w:sz="0" w:space="0" w:color="auto"/>
          </w:divBdr>
        </w:div>
        <w:div w:id="2029788997">
          <w:marLeft w:val="640"/>
          <w:marRight w:val="0"/>
          <w:marTop w:val="0"/>
          <w:marBottom w:val="0"/>
          <w:divBdr>
            <w:top w:val="none" w:sz="0" w:space="0" w:color="auto"/>
            <w:left w:val="none" w:sz="0" w:space="0" w:color="auto"/>
            <w:bottom w:val="none" w:sz="0" w:space="0" w:color="auto"/>
            <w:right w:val="none" w:sz="0" w:space="0" w:color="auto"/>
          </w:divBdr>
        </w:div>
        <w:div w:id="1386684073">
          <w:marLeft w:val="640"/>
          <w:marRight w:val="0"/>
          <w:marTop w:val="0"/>
          <w:marBottom w:val="0"/>
          <w:divBdr>
            <w:top w:val="none" w:sz="0" w:space="0" w:color="auto"/>
            <w:left w:val="none" w:sz="0" w:space="0" w:color="auto"/>
            <w:bottom w:val="none" w:sz="0" w:space="0" w:color="auto"/>
            <w:right w:val="none" w:sz="0" w:space="0" w:color="auto"/>
          </w:divBdr>
        </w:div>
        <w:div w:id="1250655321">
          <w:marLeft w:val="640"/>
          <w:marRight w:val="0"/>
          <w:marTop w:val="0"/>
          <w:marBottom w:val="0"/>
          <w:divBdr>
            <w:top w:val="none" w:sz="0" w:space="0" w:color="auto"/>
            <w:left w:val="none" w:sz="0" w:space="0" w:color="auto"/>
            <w:bottom w:val="none" w:sz="0" w:space="0" w:color="auto"/>
            <w:right w:val="none" w:sz="0" w:space="0" w:color="auto"/>
          </w:divBdr>
        </w:div>
        <w:div w:id="908811523">
          <w:marLeft w:val="640"/>
          <w:marRight w:val="0"/>
          <w:marTop w:val="0"/>
          <w:marBottom w:val="0"/>
          <w:divBdr>
            <w:top w:val="none" w:sz="0" w:space="0" w:color="auto"/>
            <w:left w:val="none" w:sz="0" w:space="0" w:color="auto"/>
            <w:bottom w:val="none" w:sz="0" w:space="0" w:color="auto"/>
            <w:right w:val="none" w:sz="0" w:space="0" w:color="auto"/>
          </w:divBdr>
        </w:div>
        <w:div w:id="1219702397">
          <w:marLeft w:val="640"/>
          <w:marRight w:val="0"/>
          <w:marTop w:val="0"/>
          <w:marBottom w:val="0"/>
          <w:divBdr>
            <w:top w:val="none" w:sz="0" w:space="0" w:color="auto"/>
            <w:left w:val="none" w:sz="0" w:space="0" w:color="auto"/>
            <w:bottom w:val="none" w:sz="0" w:space="0" w:color="auto"/>
            <w:right w:val="none" w:sz="0" w:space="0" w:color="auto"/>
          </w:divBdr>
        </w:div>
        <w:div w:id="1211268044">
          <w:marLeft w:val="640"/>
          <w:marRight w:val="0"/>
          <w:marTop w:val="0"/>
          <w:marBottom w:val="0"/>
          <w:divBdr>
            <w:top w:val="none" w:sz="0" w:space="0" w:color="auto"/>
            <w:left w:val="none" w:sz="0" w:space="0" w:color="auto"/>
            <w:bottom w:val="none" w:sz="0" w:space="0" w:color="auto"/>
            <w:right w:val="none" w:sz="0" w:space="0" w:color="auto"/>
          </w:divBdr>
        </w:div>
        <w:div w:id="224460812">
          <w:marLeft w:val="640"/>
          <w:marRight w:val="0"/>
          <w:marTop w:val="0"/>
          <w:marBottom w:val="0"/>
          <w:divBdr>
            <w:top w:val="none" w:sz="0" w:space="0" w:color="auto"/>
            <w:left w:val="none" w:sz="0" w:space="0" w:color="auto"/>
            <w:bottom w:val="none" w:sz="0" w:space="0" w:color="auto"/>
            <w:right w:val="none" w:sz="0" w:space="0" w:color="auto"/>
          </w:divBdr>
        </w:div>
        <w:div w:id="1397779806">
          <w:marLeft w:val="640"/>
          <w:marRight w:val="0"/>
          <w:marTop w:val="0"/>
          <w:marBottom w:val="0"/>
          <w:divBdr>
            <w:top w:val="none" w:sz="0" w:space="0" w:color="auto"/>
            <w:left w:val="none" w:sz="0" w:space="0" w:color="auto"/>
            <w:bottom w:val="none" w:sz="0" w:space="0" w:color="auto"/>
            <w:right w:val="none" w:sz="0" w:space="0" w:color="auto"/>
          </w:divBdr>
        </w:div>
        <w:div w:id="1991514426">
          <w:marLeft w:val="640"/>
          <w:marRight w:val="0"/>
          <w:marTop w:val="0"/>
          <w:marBottom w:val="0"/>
          <w:divBdr>
            <w:top w:val="none" w:sz="0" w:space="0" w:color="auto"/>
            <w:left w:val="none" w:sz="0" w:space="0" w:color="auto"/>
            <w:bottom w:val="none" w:sz="0" w:space="0" w:color="auto"/>
            <w:right w:val="none" w:sz="0" w:space="0" w:color="auto"/>
          </w:divBdr>
        </w:div>
        <w:div w:id="1028990214">
          <w:marLeft w:val="640"/>
          <w:marRight w:val="0"/>
          <w:marTop w:val="0"/>
          <w:marBottom w:val="0"/>
          <w:divBdr>
            <w:top w:val="none" w:sz="0" w:space="0" w:color="auto"/>
            <w:left w:val="none" w:sz="0" w:space="0" w:color="auto"/>
            <w:bottom w:val="none" w:sz="0" w:space="0" w:color="auto"/>
            <w:right w:val="none" w:sz="0" w:space="0" w:color="auto"/>
          </w:divBdr>
        </w:div>
        <w:div w:id="728311603">
          <w:marLeft w:val="640"/>
          <w:marRight w:val="0"/>
          <w:marTop w:val="0"/>
          <w:marBottom w:val="0"/>
          <w:divBdr>
            <w:top w:val="none" w:sz="0" w:space="0" w:color="auto"/>
            <w:left w:val="none" w:sz="0" w:space="0" w:color="auto"/>
            <w:bottom w:val="none" w:sz="0" w:space="0" w:color="auto"/>
            <w:right w:val="none" w:sz="0" w:space="0" w:color="auto"/>
          </w:divBdr>
        </w:div>
        <w:div w:id="2041929296">
          <w:marLeft w:val="640"/>
          <w:marRight w:val="0"/>
          <w:marTop w:val="0"/>
          <w:marBottom w:val="0"/>
          <w:divBdr>
            <w:top w:val="none" w:sz="0" w:space="0" w:color="auto"/>
            <w:left w:val="none" w:sz="0" w:space="0" w:color="auto"/>
            <w:bottom w:val="none" w:sz="0" w:space="0" w:color="auto"/>
            <w:right w:val="none" w:sz="0" w:space="0" w:color="auto"/>
          </w:divBdr>
        </w:div>
        <w:div w:id="800996247">
          <w:marLeft w:val="640"/>
          <w:marRight w:val="0"/>
          <w:marTop w:val="0"/>
          <w:marBottom w:val="0"/>
          <w:divBdr>
            <w:top w:val="none" w:sz="0" w:space="0" w:color="auto"/>
            <w:left w:val="none" w:sz="0" w:space="0" w:color="auto"/>
            <w:bottom w:val="none" w:sz="0" w:space="0" w:color="auto"/>
            <w:right w:val="none" w:sz="0" w:space="0" w:color="auto"/>
          </w:divBdr>
        </w:div>
        <w:div w:id="532764957">
          <w:marLeft w:val="640"/>
          <w:marRight w:val="0"/>
          <w:marTop w:val="0"/>
          <w:marBottom w:val="0"/>
          <w:divBdr>
            <w:top w:val="none" w:sz="0" w:space="0" w:color="auto"/>
            <w:left w:val="none" w:sz="0" w:space="0" w:color="auto"/>
            <w:bottom w:val="none" w:sz="0" w:space="0" w:color="auto"/>
            <w:right w:val="none" w:sz="0" w:space="0" w:color="auto"/>
          </w:divBdr>
        </w:div>
        <w:div w:id="1724718462">
          <w:marLeft w:val="640"/>
          <w:marRight w:val="0"/>
          <w:marTop w:val="0"/>
          <w:marBottom w:val="0"/>
          <w:divBdr>
            <w:top w:val="none" w:sz="0" w:space="0" w:color="auto"/>
            <w:left w:val="none" w:sz="0" w:space="0" w:color="auto"/>
            <w:bottom w:val="none" w:sz="0" w:space="0" w:color="auto"/>
            <w:right w:val="none" w:sz="0" w:space="0" w:color="auto"/>
          </w:divBdr>
        </w:div>
        <w:div w:id="42146703">
          <w:marLeft w:val="640"/>
          <w:marRight w:val="0"/>
          <w:marTop w:val="0"/>
          <w:marBottom w:val="0"/>
          <w:divBdr>
            <w:top w:val="none" w:sz="0" w:space="0" w:color="auto"/>
            <w:left w:val="none" w:sz="0" w:space="0" w:color="auto"/>
            <w:bottom w:val="none" w:sz="0" w:space="0" w:color="auto"/>
            <w:right w:val="none" w:sz="0" w:space="0" w:color="auto"/>
          </w:divBdr>
        </w:div>
        <w:div w:id="1039085297">
          <w:marLeft w:val="640"/>
          <w:marRight w:val="0"/>
          <w:marTop w:val="0"/>
          <w:marBottom w:val="0"/>
          <w:divBdr>
            <w:top w:val="none" w:sz="0" w:space="0" w:color="auto"/>
            <w:left w:val="none" w:sz="0" w:space="0" w:color="auto"/>
            <w:bottom w:val="none" w:sz="0" w:space="0" w:color="auto"/>
            <w:right w:val="none" w:sz="0" w:space="0" w:color="auto"/>
          </w:divBdr>
        </w:div>
        <w:div w:id="826674437">
          <w:marLeft w:val="640"/>
          <w:marRight w:val="0"/>
          <w:marTop w:val="0"/>
          <w:marBottom w:val="0"/>
          <w:divBdr>
            <w:top w:val="none" w:sz="0" w:space="0" w:color="auto"/>
            <w:left w:val="none" w:sz="0" w:space="0" w:color="auto"/>
            <w:bottom w:val="none" w:sz="0" w:space="0" w:color="auto"/>
            <w:right w:val="none" w:sz="0" w:space="0" w:color="auto"/>
          </w:divBdr>
        </w:div>
        <w:div w:id="2040351325">
          <w:marLeft w:val="640"/>
          <w:marRight w:val="0"/>
          <w:marTop w:val="0"/>
          <w:marBottom w:val="0"/>
          <w:divBdr>
            <w:top w:val="none" w:sz="0" w:space="0" w:color="auto"/>
            <w:left w:val="none" w:sz="0" w:space="0" w:color="auto"/>
            <w:bottom w:val="none" w:sz="0" w:space="0" w:color="auto"/>
            <w:right w:val="none" w:sz="0" w:space="0" w:color="auto"/>
          </w:divBdr>
        </w:div>
        <w:div w:id="1535078853">
          <w:marLeft w:val="640"/>
          <w:marRight w:val="0"/>
          <w:marTop w:val="0"/>
          <w:marBottom w:val="0"/>
          <w:divBdr>
            <w:top w:val="none" w:sz="0" w:space="0" w:color="auto"/>
            <w:left w:val="none" w:sz="0" w:space="0" w:color="auto"/>
            <w:bottom w:val="none" w:sz="0" w:space="0" w:color="auto"/>
            <w:right w:val="none" w:sz="0" w:space="0" w:color="auto"/>
          </w:divBdr>
        </w:div>
        <w:div w:id="798373678">
          <w:marLeft w:val="640"/>
          <w:marRight w:val="0"/>
          <w:marTop w:val="0"/>
          <w:marBottom w:val="0"/>
          <w:divBdr>
            <w:top w:val="none" w:sz="0" w:space="0" w:color="auto"/>
            <w:left w:val="none" w:sz="0" w:space="0" w:color="auto"/>
            <w:bottom w:val="none" w:sz="0" w:space="0" w:color="auto"/>
            <w:right w:val="none" w:sz="0" w:space="0" w:color="auto"/>
          </w:divBdr>
        </w:div>
        <w:div w:id="1768428372">
          <w:marLeft w:val="640"/>
          <w:marRight w:val="0"/>
          <w:marTop w:val="0"/>
          <w:marBottom w:val="0"/>
          <w:divBdr>
            <w:top w:val="none" w:sz="0" w:space="0" w:color="auto"/>
            <w:left w:val="none" w:sz="0" w:space="0" w:color="auto"/>
            <w:bottom w:val="none" w:sz="0" w:space="0" w:color="auto"/>
            <w:right w:val="none" w:sz="0" w:space="0" w:color="auto"/>
          </w:divBdr>
        </w:div>
        <w:div w:id="1947033388">
          <w:marLeft w:val="640"/>
          <w:marRight w:val="0"/>
          <w:marTop w:val="0"/>
          <w:marBottom w:val="0"/>
          <w:divBdr>
            <w:top w:val="none" w:sz="0" w:space="0" w:color="auto"/>
            <w:left w:val="none" w:sz="0" w:space="0" w:color="auto"/>
            <w:bottom w:val="none" w:sz="0" w:space="0" w:color="auto"/>
            <w:right w:val="none" w:sz="0" w:space="0" w:color="auto"/>
          </w:divBdr>
        </w:div>
        <w:div w:id="960769292">
          <w:marLeft w:val="640"/>
          <w:marRight w:val="0"/>
          <w:marTop w:val="0"/>
          <w:marBottom w:val="0"/>
          <w:divBdr>
            <w:top w:val="none" w:sz="0" w:space="0" w:color="auto"/>
            <w:left w:val="none" w:sz="0" w:space="0" w:color="auto"/>
            <w:bottom w:val="none" w:sz="0" w:space="0" w:color="auto"/>
            <w:right w:val="none" w:sz="0" w:space="0" w:color="auto"/>
          </w:divBdr>
        </w:div>
        <w:div w:id="367683173">
          <w:marLeft w:val="640"/>
          <w:marRight w:val="0"/>
          <w:marTop w:val="0"/>
          <w:marBottom w:val="0"/>
          <w:divBdr>
            <w:top w:val="none" w:sz="0" w:space="0" w:color="auto"/>
            <w:left w:val="none" w:sz="0" w:space="0" w:color="auto"/>
            <w:bottom w:val="none" w:sz="0" w:space="0" w:color="auto"/>
            <w:right w:val="none" w:sz="0" w:space="0" w:color="auto"/>
          </w:divBdr>
        </w:div>
        <w:div w:id="769932365">
          <w:marLeft w:val="640"/>
          <w:marRight w:val="0"/>
          <w:marTop w:val="0"/>
          <w:marBottom w:val="0"/>
          <w:divBdr>
            <w:top w:val="none" w:sz="0" w:space="0" w:color="auto"/>
            <w:left w:val="none" w:sz="0" w:space="0" w:color="auto"/>
            <w:bottom w:val="none" w:sz="0" w:space="0" w:color="auto"/>
            <w:right w:val="none" w:sz="0" w:space="0" w:color="auto"/>
          </w:divBdr>
        </w:div>
        <w:div w:id="1330058313">
          <w:marLeft w:val="640"/>
          <w:marRight w:val="0"/>
          <w:marTop w:val="0"/>
          <w:marBottom w:val="0"/>
          <w:divBdr>
            <w:top w:val="none" w:sz="0" w:space="0" w:color="auto"/>
            <w:left w:val="none" w:sz="0" w:space="0" w:color="auto"/>
            <w:bottom w:val="none" w:sz="0" w:space="0" w:color="auto"/>
            <w:right w:val="none" w:sz="0" w:space="0" w:color="auto"/>
          </w:divBdr>
        </w:div>
        <w:div w:id="307514645">
          <w:marLeft w:val="640"/>
          <w:marRight w:val="0"/>
          <w:marTop w:val="0"/>
          <w:marBottom w:val="0"/>
          <w:divBdr>
            <w:top w:val="none" w:sz="0" w:space="0" w:color="auto"/>
            <w:left w:val="none" w:sz="0" w:space="0" w:color="auto"/>
            <w:bottom w:val="none" w:sz="0" w:space="0" w:color="auto"/>
            <w:right w:val="none" w:sz="0" w:space="0" w:color="auto"/>
          </w:divBdr>
        </w:div>
        <w:div w:id="1407649557">
          <w:marLeft w:val="640"/>
          <w:marRight w:val="0"/>
          <w:marTop w:val="0"/>
          <w:marBottom w:val="0"/>
          <w:divBdr>
            <w:top w:val="none" w:sz="0" w:space="0" w:color="auto"/>
            <w:left w:val="none" w:sz="0" w:space="0" w:color="auto"/>
            <w:bottom w:val="none" w:sz="0" w:space="0" w:color="auto"/>
            <w:right w:val="none" w:sz="0" w:space="0" w:color="auto"/>
          </w:divBdr>
        </w:div>
        <w:div w:id="1662811336">
          <w:marLeft w:val="640"/>
          <w:marRight w:val="0"/>
          <w:marTop w:val="0"/>
          <w:marBottom w:val="0"/>
          <w:divBdr>
            <w:top w:val="none" w:sz="0" w:space="0" w:color="auto"/>
            <w:left w:val="none" w:sz="0" w:space="0" w:color="auto"/>
            <w:bottom w:val="none" w:sz="0" w:space="0" w:color="auto"/>
            <w:right w:val="none" w:sz="0" w:space="0" w:color="auto"/>
          </w:divBdr>
        </w:div>
        <w:div w:id="365569621">
          <w:marLeft w:val="640"/>
          <w:marRight w:val="0"/>
          <w:marTop w:val="0"/>
          <w:marBottom w:val="0"/>
          <w:divBdr>
            <w:top w:val="none" w:sz="0" w:space="0" w:color="auto"/>
            <w:left w:val="none" w:sz="0" w:space="0" w:color="auto"/>
            <w:bottom w:val="none" w:sz="0" w:space="0" w:color="auto"/>
            <w:right w:val="none" w:sz="0" w:space="0" w:color="auto"/>
          </w:divBdr>
        </w:div>
        <w:div w:id="67775146">
          <w:marLeft w:val="640"/>
          <w:marRight w:val="0"/>
          <w:marTop w:val="0"/>
          <w:marBottom w:val="0"/>
          <w:divBdr>
            <w:top w:val="none" w:sz="0" w:space="0" w:color="auto"/>
            <w:left w:val="none" w:sz="0" w:space="0" w:color="auto"/>
            <w:bottom w:val="none" w:sz="0" w:space="0" w:color="auto"/>
            <w:right w:val="none" w:sz="0" w:space="0" w:color="auto"/>
          </w:divBdr>
        </w:div>
        <w:div w:id="957879613">
          <w:marLeft w:val="640"/>
          <w:marRight w:val="0"/>
          <w:marTop w:val="0"/>
          <w:marBottom w:val="0"/>
          <w:divBdr>
            <w:top w:val="none" w:sz="0" w:space="0" w:color="auto"/>
            <w:left w:val="none" w:sz="0" w:space="0" w:color="auto"/>
            <w:bottom w:val="none" w:sz="0" w:space="0" w:color="auto"/>
            <w:right w:val="none" w:sz="0" w:space="0" w:color="auto"/>
          </w:divBdr>
        </w:div>
        <w:div w:id="1840383539">
          <w:marLeft w:val="640"/>
          <w:marRight w:val="0"/>
          <w:marTop w:val="0"/>
          <w:marBottom w:val="0"/>
          <w:divBdr>
            <w:top w:val="none" w:sz="0" w:space="0" w:color="auto"/>
            <w:left w:val="none" w:sz="0" w:space="0" w:color="auto"/>
            <w:bottom w:val="none" w:sz="0" w:space="0" w:color="auto"/>
            <w:right w:val="none" w:sz="0" w:space="0" w:color="auto"/>
          </w:divBdr>
        </w:div>
        <w:div w:id="113603500">
          <w:marLeft w:val="640"/>
          <w:marRight w:val="0"/>
          <w:marTop w:val="0"/>
          <w:marBottom w:val="0"/>
          <w:divBdr>
            <w:top w:val="none" w:sz="0" w:space="0" w:color="auto"/>
            <w:left w:val="none" w:sz="0" w:space="0" w:color="auto"/>
            <w:bottom w:val="none" w:sz="0" w:space="0" w:color="auto"/>
            <w:right w:val="none" w:sz="0" w:space="0" w:color="auto"/>
          </w:divBdr>
        </w:div>
        <w:div w:id="310407551">
          <w:marLeft w:val="640"/>
          <w:marRight w:val="0"/>
          <w:marTop w:val="0"/>
          <w:marBottom w:val="0"/>
          <w:divBdr>
            <w:top w:val="none" w:sz="0" w:space="0" w:color="auto"/>
            <w:left w:val="none" w:sz="0" w:space="0" w:color="auto"/>
            <w:bottom w:val="none" w:sz="0" w:space="0" w:color="auto"/>
            <w:right w:val="none" w:sz="0" w:space="0" w:color="auto"/>
          </w:divBdr>
        </w:div>
        <w:div w:id="1703893408">
          <w:marLeft w:val="640"/>
          <w:marRight w:val="0"/>
          <w:marTop w:val="0"/>
          <w:marBottom w:val="0"/>
          <w:divBdr>
            <w:top w:val="none" w:sz="0" w:space="0" w:color="auto"/>
            <w:left w:val="none" w:sz="0" w:space="0" w:color="auto"/>
            <w:bottom w:val="none" w:sz="0" w:space="0" w:color="auto"/>
            <w:right w:val="none" w:sz="0" w:space="0" w:color="auto"/>
          </w:divBdr>
        </w:div>
        <w:div w:id="19942257">
          <w:marLeft w:val="640"/>
          <w:marRight w:val="0"/>
          <w:marTop w:val="0"/>
          <w:marBottom w:val="0"/>
          <w:divBdr>
            <w:top w:val="none" w:sz="0" w:space="0" w:color="auto"/>
            <w:left w:val="none" w:sz="0" w:space="0" w:color="auto"/>
            <w:bottom w:val="none" w:sz="0" w:space="0" w:color="auto"/>
            <w:right w:val="none" w:sz="0" w:space="0" w:color="auto"/>
          </w:divBdr>
        </w:div>
        <w:div w:id="1505975059">
          <w:marLeft w:val="640"/>
          <w:marRight w:val="0"/>
          <w:marTop w:val="0"/>
          <w:marBottom w:val="0"/>
          <w:divBdr>
            <w:top w:val="none" w:sz="0" w:space="0" w:color="auto"/>
            <w:left w:val="none" w:sz="0" w:space="0" w:color="auto"/>
            <w:bottom w:val="none" w:sz="0" w:space="0" w:color="auto"/>
            <w:right w:val="none" w:sz="0" w:space="0" w:color="auto"/>
          </w:divBdr>
        </w:div>
        <w:div w:id="949436203">
          <w:marLeft w:val="640"/>
          <w:marRight w:val="0"/>
          <w:marTop w:val="0"/>
          <w:marBottom w:val="0"/>
          <w:divBdr>
            <w:top w:val="none" w:sz="0" w:space="0" w:color="auto"/>
            <w:left w:val="none" w:sz="0" w:space="0" w:color="auto"/>
            <w:bottom w:val="none" w:sz="0" w:space="0" w:color="auto"/>
            <w:right w:val="none" w:sz="0" w:space="0" w:color="auto"/>
          </w:divBdr>
        </w:div>
        <w:div w:id="1923484464">
          <w:marLeft w:val="640"/>
          <w:marRight w:val="0"/>
          <w:marTop w:val="0"/>
          <w:marBottom w:val="0"/>
          <w:divBdr>
            <w:top w:val="none" w:sz="0" w:space="0" w:color="auto"/>
            <w:left w:val="none" w:sz="0" w:space="0" w:color="auto"/>
            <w:bottom w:val="none" w:sz="0" w:space="0" w:color="auto"/>
            <w:right w:val="none" w:sz="0" w:space="0" w:color="auto"/>
          </w:divBdr>
        </w:div>
        <w:div w:id="750857969">
          <w:marLeft w:val="640"/>
          <w:marRight w:val="0"/>
          <w:marTop w:val="0"/>
          <w:marBottom w:val="0"/>
          <w:divBdr>
            <w:top w:val="none" w:sz="0" w:space="0" w:color="auto"/>
            <w:left w:val="none" w:sz="0" w:space="0" w:color="auto"/>
            <w:bottom w:val="none" w:sz="0" w:space="0" w:color="auto"/>
            <w:right w:val="none" w:sz="0" w:space="0" w:color="auto"/>
          </w:divBdr>
        </w:div>
        <w:div w:id="499469025">
          <w:marLeft w:val="640"/>
          <w:marRight w:val="0"/>
          <w:marTop w:val="0"/>
          <w:marBottom w:val="0"/>
          <w:divBdr>
            <w:top w:val="none" w:sz="0" w:space="0" w:color="auto"/>
            <w:left w:val="none" w:sz="0" w:space="0" w:color="auto"/>
            <w:bottom w:val="none" w:sz="0" w:space="0" w:color="auto"/>
            <w:right w:val="none" w:sz="0" w:space="0" w:color="auto"/>
          </w:divBdr>
        </w:div>
        <w:div w:id="688676563">
          <w:marLeft w:val="640"/>
          <w:marRight w:val="0"/>
          <w:marTop w:val="0"/>
          <w:marBottom w:val="0"/>
          <w:divBdr>
            <w:top w:val="none" w:sz="0" w:space="0" w:color="auto"/>
            <w:left w:val="none" w:sz="0" w:space="0" w:color="auto"/>
            <w:bottom w:val="none" w:sz="0" w:space="0" w:color="auto"/>
            <w:right w:val="none" w:sz="0" w:space="0" w:color="auto"/>
          </w:divBdr>
        </w:div>
        <w:div w:id="1895312773">
          <w:marLeft w:val="640"/>
          <w:marRight w:val="0"/>
          <w:marTop w:val="0"/>
          <w:marBottom w:val="0"/>
          <w:divBdr>
            <w:top w:val="none" w:sz="0" w:space="0" w:color="auto"/>
            <w:left w:val="none" w:sz="0" w:space="0" w:color="auto"/>
            <w:bottom w:val="none" w:sz="0" w:space="0" w:color="auto"/>
            <w:right w:val="none" w:sz="0" w:space="0" w:color="auto"/>
          </w:divBdr>
        </w:div>
        <w:div w:id="145365670">
          <w:marLeft w:val="640"/>
          <w:marRight w:val="0"/>
          <w:marTop w:val="0"/>
          <w:marBottom w:val="0"/>
          <w:divBdr>
            <w:top w:val="none" w:sz="0" w:space="0" w:color="auto"/>
            <w:left w:val="none" w:sz="0" w:space="0" w:color="auto"/>
            <w:bottom w:val="none" w:sz="0" w:space="0" w:color="auto"/>
            <w:right w:val="none" w:sz="0" w:space="0" w:color="auto"/>
          </w:divBdr>
        </w:div>
        <w:div w:id="1051732588">
          <w:marLeft w:val="640"/>
          <w:marRight w:val="0"/>
          <w:marTop w:val="0"/>
          <w:marBottom w:val="0"/>
          <w:divBdr>
            <w:top w:val="none" w:sz="0" w:space="0" w:color="auto"/>
            <w:left w:val="none" w:sz="0" w:space="0" w:color="auto"/>
            <w:bottom w:val="none" w:sz="0" w:space="0" w:color="auto"/>
            <w:right w:val="none" w:sz="0" w:space="0" w:color="auto"/>
          </w:divBdr>
        </w:div>
        <w:div w:id="1387215648">
          <w:marLeft w:val="640"/>
          <w:marRight w:val="0"/>
          <w:marTop w:val="0"/>
          <w:marBottom w:val="0"/>
          <w:divBdr>
            <w:top w:val="none" w:sz="0" w:space="0" w:color="auto"/>
            <w:left w:val="none" w:sz="0" w:space="0" w:color="auto"/>
            <w:bottom w:val="none" w:sz="0" w:space="0" w:color="auto"/>
            <w:right w:val="none" w:sz="0" w:space="0" w:color="auto"/>
          </w:divBdr>
        </w:div>
        <w:div w:id="454063371">
          <w:marLeft w:val="640"/>
          <w:marRight w:val="0"/>
          <w:marTop w:val="0"/>
          <w:marBottom w:val="0"/>
          <w:divBdr>
            <w:top w:val="none" w:sz="0" w:space="0" w:color="auto"/>
            <w:left w:val="none" w:sz="0" w:space="0" w:color="auto"/>
            <w:bottom w:val="none" w:sz="0" w:space="0" w:color="auto"/>
            <w:right w:val="none" w:sz="0" w:space="0" w:color="auto"/>
          </w:divBdr>
        </w:div>
        <w:div w:id="1946183053">
          <w:marLeft w:val="640"/>
          <w:marRight w:val="0"/>
          <w:marTop w:val="0"/>
          <w:marBottom w:val="0"/>
          <w:divBdr>
            <w:top w:val="none" w:sz="0" w:space="0" w:color="auto"/>
            <w:left w:val="none" w:sz="0" w:space="0" w:color="auto"/>
            <w:bottom w:val="none" w:sz="0" w:space="0" w:color="auto"/>
            <w:right w:val="none" w:sz="0" w:space="0" w:color="auto"/>
          </w:divBdr>
        </w:div>
        <w:div w:id="2125267755">
          <w:marLeft w:val="640"/>
          <w:marRight w:val="0"/>
          <w:marTop w:val="0"/>
          <w:marBottom w:val="0"/>
          <w:divBdr>
            <w:top w:val="none" w:sz="0" w:space="0" w:color="auto"/>
            <w:left w:val="none" w:sz="0" w:space="0" w:color="auto"/>
            <w:bottom w:val="none" w:sz="0" w:space="0" w:color="auto"/>
            <w:right w:val="none" w:sz="0" w:space="0" w:color="auto"/>
          </w:divBdr>
        </w:div>
        <w:div w:id="1581329517">
          <w:marLeft w:val="640"/>
          <w:marRight w:val="0"/>
          <w:marTop w:val="0"/>
          <w:marBottom w:val="0"/>
          <w:divBdr>
            <w:top w:val="none" w:sz="0" w:space="0" w:color="auto"/>
            <w:left w:val="none" w:sz="0" w:space="0" w:color="auto"/>
            <w:bottom w:val="none" w:sz="0" w:space="0" w:color="auto"/>
            <w:right w:val="none" w:sz="0" w:space="0" w:color="auto"/>
          </w:divBdr>
        </w:div>
        <w:div w:id="1464883252">
          <w:marLeft w:val="640"/>
          <w:marRight w:val="0"/>
          <w:marTop w:val="0"/>
          <w:marBottom w:val="0"/>
          <w:divBdr>
            <w:top w:val="none" w:sz="0" w:space="0" w:color="auto"/>
            <w:left w:val="none" w:sz="0" w:space="0" w:color="auto"/>
            <w:bottom w:val="none" w:sz="0" w:space="0" w:color="auto"/>
            <w:right w:val="none" w:sz="0" w:space="0" w:color="auto"/>
          </w:divBdr>
        </w:div>
        <w:div w:id="2126536562">
          <w:marLeft w:val="640"/>
          <w:marRight w:val="0"/>
          <w:marTop w:val="0"/>
          <w:marBottom w:val="0"/>
          <w:divBdr>
            <w:top w:val="none" w:sz="0" w:space="0" w:color="auto"/>
            <w:left w:val="none" w:sz="0" w:space="0" w:color="auto"/>
            <w:bottom w:val="none" w:sz="0" w:space="0" w:color="auto"/>
            <w:right w:val="none" w:sz="0" w:space="0" w:color="auto"/>
          </w:divBdr>
        </w:div>
        <w:div w:id="37433326">
          <w:marLeft w:val="640"/>
          <w:marRight w:val="0"/>
          <w:marTop w:val="0"/>
          <w:marBottom w:val="0"/>
          <w:divBdr>
            <w:top w:val="none" w:sz="0" w:space="0" w:color="auto"/>
            <w:left w:val="none" w:sz="0" w:space="0" w:color="auto"/>
            <w:bottom w:val="none" w:sz="0" w:space="0" w:color="auto"/>
            <w:right w:val="none" w:sz="0" w:space="0" w:color="auto"/>
          </w:divBdr>
        </w:div>
        <w:div w:id="1166166857">
          <w:marLeft w:val="640"/>
          <w:marRight w:val="0"/>
          <w:marTop w:val="0"/>
          <w:marBottom w:val="0"/>
          <w:divBdr>
            <w:top w:val="none" w:sz="0" w:space="0" w:color="auto"/>
            <w:left w:val="none" w:sz="0" w:space="0" w:color="auto"/>
            <w:bottom w:val="none" w:sz="0" w:space="0" w:color="auto"/>
            <w:right w:val="none" w:sz="0" w:space="0" w:color="auto"/>
          </w:divBdr>
        </w:div>
        <w:div w:id="1129014887">
          <w:marLeft w:val="640"/>
          <w:marRight w:val="0"/>
          <w:marTop w:val="0"/>
          <w:marBottom w:val="0"/>
          <w:divBdr>
            <w:top w:val="none" w:sz="0" w:space="0" w:color="auto"/>
            <w:left w:val="none" w:sz="0" w:space="0" w:color="auto"/>
            <w:bottom w:val="none" w:sz="0" w:space="0" w:color="auto"/>
            <w:right w:val="none" w:sz="0" w:space="0" w:color="auto"/>
          </w:divBdr>
        </w:div>
        <w:div w:id="1962032795">
          <w:marLeft w:val="640"/>
          <w:marRight w:val="0"/>
          <w:marTop w:val="0"/>
          <w:marBottom w:val="0"/>
          <w:divBdr>
            <w:top w:val="none" w:sz="0" w:space="0" w:color="auto"/>
            <w:left w:val="none" w:sz="0" w:space="0" w:color="auto"/>
            <w:bottom w:val="none" w:sz="0" w:space="0" w:color="auto"/>
            <w:right w:val="none" w:sz="0" w:space="0" w:color="auto"/>
          </w:divBdr>
        </w:div>
        <w:div w:id="1879393886">
          <w:marLeft w:val="640"/>
          <w:marRight w:val="0"/>
          <w:marTop w:val="0"/>
          <w:marBottom w:val="0"/>
          <w:divBdr>
            <w:top w:val="none" w:sz="0" w:space="0" w:color="auto"/>
            <w:left w:val="none" w:sz="0" w:space="0" w:color="auto"/>
            <w:bottom w:val="none" w:sz="0" w:space="0" w:color="auto"/>
            <w:right w:val="none" w:sz="0" w:space="0" w:color="auto"/>
          </w:divBdr>
        </w:div>
        <w:div w:id="2088577071">
          <w:marLeft w:val="640"/>
          <w:marRight w:val="0"/>
          <w:marTop w:val="0"/>
          <w:marBottom w:val="0"/>
          <w:divBdr>
            <w:top w:val="none" w:sz="0" w:space="0" w:color="auto"/>
            <w:left w:val="none" w:sz="0" w:space="0" w:color="auto"/>
            <w:bottom w:val="none" w:sz="0" w:space="0" w:color="auto"/>
            <w:right w:val="none" w:sz="0" w:space="0" w:color="auto"/>
          </w:divBdr>
        </w:div>
        <w:div w:id="1275862084">
          <w:marLeft w:val="640"/>
          <w:marRight w:val="0"/>
          <w:marTop w:val="0"/>
          <w:marBottom w:val="0"/>
          <w:divBdr>
            <w:top w:val="none" w:sz="0" w:space="0" w:color="auto"/>
            <w:left w:val="none" w:sz="0" w:space="0" w:color="auto"/>
            <w:bottom w:val="none" w:sz="0" w:space="0" w:color="auto"/>
            <w:right w:val="none" w:sz="0" w:space="0" w:color="auto"/>
          </w:divBdr>
        </w:div>
        <w:div w:id="1924148066">
          <w:marLeft w:val="640"/>
          <w:marRight w:val="0"/>
          <w:marTop w:val="0"/>
          <w:marBottom w:val="0"/>
          <w:divBdr>
            <w:top w:val="none" w:sz="0" w:space="0" w:color="auto"/>
            <w:left w:val="none" w:sz="0" w:space="0" w:color="auto"/>
            <w:bottom w:val="none" w:sz="0" w:space="0" w:color="auto"/>
            <w:right w:val="none" w:sz="0" w:space="0" w:color="auto"/>
          </w:divBdr>
        </w:div>
        <w:div w:id="1131438139">
          <w:marLeft w:val="640"/>
          <w:marRight w:val="0"/>
          <w:marTop w:val="0"/>
          <w:marBottom w:val="0"/>
          <w:divBdr>
            <w:top w:val="none" w:sz="0" w:space="0" w:color="auto"/>
            <w:left w:val="none" w:sz="0" w:space="0" w:color="auto"/>
            <w:bottom w:val="none" w:sz="0" w:space="0" w:color="auto"/>
            <w:right w:val="none" w:sz="0" w:space="0" w:color="auto"/>
          </w:divBdr>
        </w:div>
        <w:div w:id="505558904">
          <w:marLeft w:val="640"/>
          <w:marRight w:val="0"/>
          <w:marTop w:val="0"/>
          <w:marBottom w:val="0"/>
          <w:divBdr>
            <w:top w:val="none" w:sz="0" w:space="0" w:color="auto"/>
            <w:left w:val="none" w:sz="0" w:space="0" w:color="auto"/>
            <w:bottom w:val="none" w:sz="0" w:space="0" w:color="auto"/>
            <w:right w:val="none" w:sz="0" w:space="0" w:color="auto"/>
          </w:divBdr>
        </w:div>
        <w:div w:id="1131358693">
          <w:marLeft w:val="640"/>
          <w:marRight w:val="0"/>
          <w:marTop w:val="0"/>
          <w:marBottom w:val="0"/>
          <w:divBdr>
            <w:top w:val="none" w:sz="0" w:space="0" w:color="auto"/>
            <w:left w:val="none" w:sz="0" w:space="0" w:color="auto"/>
            <w:bottom w:val="none" w:sz="0" w:space="0" w:color="auto"/>
            <w:right w:val="none" w:sz="0" w:space="0" w:color="auto"/>
          </w:divBdr>
        </w:div>
        <w:div w:id="770248071">
          <w:marLeft w:val="640"/>
          <w:marRight w:val="0"/>
          <w:marTop w:val="0"/>
          <w:marBottom w:val="0"/>
          <w:divBdr>
            <w:top w:val="none" w:sz="0" w:space="0" w:color="auto"/>
            <w:left w:val="none" w:sz="0" w:space="0" w:color="auto"/>
            <w:bottom w:val="none" w:sz="0" w:space="0" w:color="auto"/>
            <w:right w:val="none" w:sz="0" w:space="0" w:color="auto"/>
          </w:divBdr>
        </w:div>
        <w:div w:id="269361715">
          <w:marLeft w:val="640"/>
          <w:marRight w:val="0"/>
          <w:marTop w:val="0"/>
          <w:marBottom w:val="0"/>
          <w:divBdr>
            <w:top w:val="none" w:sz="0" w:space="0" w:color="auto"/>
            <w:left w:val="none" w:sz="0" w:space="0" w:color="auto"/>
            <w:bottom w:val="none" w:sz="0" w:space="0" w:color="auto"/>
            <w:right w:val="none" w:sz="0" w:space="0" w:color="auto"/>
          </w:divBdr>
        </w:div>
        <w:div w:id="1125611986">
          <w:marLeft w:val="640"/>
          <w:marRight w:val="0"/>
          <w:marTop w:val="0"/>
          <w:marBottom w:val="0"/>
          <w:divBdr>
            <w:top w:val="none" w:sz="0" w:space="0" w:color="auto"/>
            <w:left w:val="none" w:sz="0" w:space="0" w:color="auto"/>
            <w:bottom w:val="none" w:sz="0" w:space="0" w:color="auto"/>
            <w:right w:val="none" w:sz="0" w:space="0" w:color="auto"/>
          </w:divBdr>
        </w:div>
        <w:div w:id="1354302291">
          <w:marLeft w:val="640"/>
          <w:marRight w:val="0"/>
          <w:marTop w:val="0"/>
          <w:marBottom w:val="0"/>
          <w:divBdr>
            <w:top w:val="none" w:sz="0" w:space="0" w:color="auto"/>
            <w:left w:val="none" w:sz="0" w:space="0" w:color="auto"/>
            <w:bottom w:val="none" w:sz="0" w:space="0" w:color="auto"/>
            <w:right w:val="none" w:sz="0" w:space="0" w:color="auto"/>
          </w:divBdr>
        </w:div>
        <w:div w:id="121703285">
          <w:marLeft w:val="640"/>
          <w:marRight w:val="0"/>
          <w:marTop w:val="0"/>
          <w:marBottom w:val="0"/>
          <w:divBdr>
            <w:top w:val="none" w:sz="0" w:space="0" w:color="auto"/>
            <w:left w:val="none" w:sz="0" w:space="0" w:color="auto"/>
            <w:bottom w:val="none" w:sz="0" w:space="0" w:color="auto"/>
            <w:right w:val="none" w:sz="0" w:space="0" w:color="auto"/>
          </w:divBdr>
        </w:div>
        <w:div w:id="1978685002">
          <w:marLeft w:val="640"/>
          <w:marRight w:val="0"/>
          <w:marTop w:val="0"/>
          <w:marBottom w:val="0"/>
          <w:divBdr>
            <w:top w:val="none" w:sz="0" w:space="0" w:color="auto"/>
            <w:left w:val="none" w:sz="0" w:space="0" w:color="auto"/>
            <w:bottom w:val="none" w:sz="0" w:space="0" w:color="auto"/>
            <w:right w:val="none" w:sz="0" w:space="0" w:color="auto"/>
          </w:divBdr>
        </w:div>
        <w:div w:id="1505165474">
          <w:marLeft w:val="640"/>
          <w:marRight w:val="0"/>
          <w:marTop w:val="0"/>
          <w:marBottom w:val="0"/>
          <w:divBdr>
            <w:top w:val="none" w:sz="0" w:space="0" w:color="auto"/>
            <w:left w:val="none" w:sz="0" w:space="0" w:color="auto"/>
            <w:bottom w:val="none" w:sz="0" w:space="0" w:color="auto"/>
            <w:right w:val="none" w:sz="0" w:space="0" w:color="auto"/>
          </w:divBdr>
        </w:div>
        <w:div w:id="1901214018">
          <w:marLeft w:val="640"/>
          <w:marRight w:val="0"/>
          <w:marTop w:val="0"/>
          <w:marBottom w:val="0"/>
          <w:divBdr>
            <w:top w:val="none" w:sz="0" w:space="0" w:color="auto"/>
            <w:left w:val="none" w:sz="0" w:space="0" w:color="auto"/>
            <w:bottom w:val="none" w:sz="0" w:space="0" w:color="auto"/>
            <w:right w:val="none" w:sz="0" w:space="0" w:color="auto"/>
          </w:divBdr>
        </w:div>
        <w:div w:id="531193094">
          <w:marLeft w:val="640"/>
          <w:marRight w:val="0"/>
          <w:marTop w:val="0"/>
          <w:marBottom w:val="0"/>
          <w:divBdr>
            <w:top w:val="none" w:sz="0" w:space="0" w:color="auto"/>
            <w:left w:val="none" w:sz="0" w:space="0" w:color="auto"/>
            <w:bottom w:val="none" w:sz="0" w:space="0" w:color="auto"/>
            <w:right w:val="none" w:sz="0" w:space="0" w:color="auto"/>
          </w:divBdr>
        </w:div>
        <w:div w:id="422996453">
          <w:marLeft w:val="640"/>
          <w:marRight w:val="0"/>
          <w:marTop w:val="0"/>
          <w:marBottom w:val="0"/>
          <w:divBdr>
            <w:top w:val="none" w:sz="0" w:space="0" w:color="auto"/>
            <w:left w:val="none" w:sz="0" w:space="0" w:color="auto"/>
            <w:bottom w:val="none" w:sz="0" w:space="0" w:color="auto"/>
            <w:right w:val="none" w:sz="0" w:space="0" w:color="auto"/>
          </w:divBdr>
        </w:div>
        <w:div w:id="182524536">
          <w:marLeft w:val="640"/>
          <w:marRight w:val="0"/>
          <w:marTop w:val="0"/>
          <w:marBottom w:val="0"/>
          <w:divBdr>
            <w:top w:val="none" w:sz="0" w:space="0" w:color="auto"/>
            <w:left w:val="none" w:sz="0" w:space="0" w:color="auto"/>
            <w:bottom w:val="none" w:sz="0" w:space="0" w:color="auto"/>
            <w:right w:val="none" w:sz="0" w:space="0" w:color="auto"/>
          </w:divBdr>
        </w:div>
        <w:div w:id="1417050352">
          <w:marLeft w:val="640"/>
          <w:marRight w:val="0"/>
          <w:marTop w:val="0"/>
          <w:marBottom w:val="0"/>
          <w:divBdr>
            <w:top w:val="none" w:sz="0" w:space="0" w:color="auto"/>
            <w:left w:val="none" w:sz="0" w:space="0" w:color="auto"/>
            <w:bottom w:val="none" w:sz="0" w:space="0" w:color="auto"/>
            <w:right w:val="none" w:sz="0" w:space="0" w:color="auto"/>
          </w:divBdr>
        </w:div>
        <w:div w:id="1465004352">
          <w:marLeft w:val="640"/>
          <w:marRight w:val="0"/>
          <w:marTop w:val="0"/>
          <w:marBottom w:val="0"/>
          <w:divBdr>
            <w:top w:val="none" w:sz="0" w:space="0" w:color="auto"/>
            <w:left w:val="none" w:sz="0" w:space="0" w:color="auto"/>
            <w:bottom w:val="none" w:sz="0" w:space="0" w:color="auto"/>
            <w:right w:val="none" w:sz="0" w:space="0" w:color="auto"/>
          </w:divBdr>
        </w:div>
        <w:div w:id="30111325">
          <w:marLeft w:val="640"/>
          <w:marRight w:val="0"/>
          <w:marTop w:val="0"/>
          <w:marBottom w:val="0"/>
          <w:divBdr>
            <w:top w:val="none" w:sz="0" w:space="0" w:color="auto"/>
            <w:left w:val="none" w:sz="0" w:space="0" w:color="auto"/>
            <w:bottom w:val="none" w:sz="0" w:space="0" w:color="auto"/>
            <w:right w:val="none" w:sz="0" w:space="0" w:color="auto"/>
          </w:divBdr>
        </w:div>
        <w:div w:id="526873171">
          <w:marLeft w:val="640"/>
          <w:marRight w:val="0"/>
          <w:marTop w:val="0"/>
          <w:marBottom w:val="0"/>
          <w:divBdr>
            <w:top w:val="none" w:sz="0" w:space="0" w:color="auto"/>
            <w:left w:val="none" w:sz="0" w:space="0" w:color="auto"/>
            <w:bottom w:val="none" w:sz="0" w:space="0" w:color="auto"/>
            <w:right w:val="none" w:sz="0" w:space="0" w:color="auto"/>
          </w:divBdr>
        </w:div>
        <w:div w:id="1397045282">
          <w:marLeft w:val="640"/>
          <w:marRight w:val="0"/>
          <w:marTop w:val="0"/>
          <w:marBottom w:val="0"/>
          <w:divBdr>
            <w:top w:val="none" w:sz="0" w:space="0" w:color="auto"/>
            <w:left w:val="none" w:sz="0" w:space="0" w:color="auto"/>
            <w:bottom w:val="none" w:sz="0" w:space="0" w:color="auto"/>
            <w:right w:val="none" w:sz="0" w:space="0" w:color="auto"/>
          </w:divBdr>
        </w:div>
        <w:div w:id="1837333267">
          <w:marLeft w:val="640"/>
          <w:marRight w:val="0"/>
          <w:marTop w:val="0"/>
          <w:marBottom w:val="0"/>
          <w:divBdr>
            <w:top w:val="none" w:sz="0" w:space="0" w:color="auto"/>
            <w:left w:val="none" w:sz="0" w:space="0" w:color="auto"/>
            <w:bottom w:val="none" w:sz="0" w:space="0" w:color="auto"/>
            <w:right w:val="none" w:sz="0" w:space="0" w:color="auto"/>
          </w:divBdr>
        </w:div>
        <w:div w:id="720785508">
          <w:marLeft w:val="640"/>
          <w:marRight w:val="0"/>
          <w:marTop w:val="0"/>
          <w:marBottom w:val="0"/>
          <w:divBdr>
            <w:top w:val="none" w:sz="0" w:space="0" w:color="auto"/>
            <w:left w:val="none" w:sz="0" w:space="0" w:color="auto"/>
            <w:bottom w:val="none" w:sz="0" w:space="0" w:color="auto"/>
            <w:right w:val="none" w:sz="0" w:space="0" w:color="auto"/>
          </w:divBdr>
        </w:div>
        <w:div w:id="22755953">
          <w:marLeft w:val="640"/>
          <w:marRight w:val="0"/>
          <w:marTop w:val="0"/>
          <w:marBottom w:val="0"/>
          <w:divBdr>
            <w:top w:val="none" w:sz="0" w:space="0" w:color="auto"/>
            <w:left w:val="none" w:sz="0" w:space="0" w:color="auto"/>
            <w:bottom w:val="none" w:sz="0" w:space="0" w:color="auto"/>
            <w:right w:val="none" w:sz="0" w:space="0" w:color="auto"/>
          </w:divBdr>
        </w:div>
        <w:div w:id="1942108385">
          <w:marLeft w:val="640"/>
          <w:marRight w:val="0"/>
          <w:marTop w:val="0"/>
          <w:marBottom w:val="0"/>
          <w:divBdr>
            <w:top w:val="none" w:sz="0" w:space="0" w:color="auto"/>
            <w:left w:val="none" w:sz="0" w:space="0" w:color="auto"/>
            <w:bottom w:val="none" w:sz="0" w:space="0" w:color="auto"/>
            <w:right w:val="none" w:sz="0" w:space="0" w:color="auto"/>
          </w:divBdr>
        </w:div>
        <w:div w:id="756941245">
          <w:marLeft w:val="640"/>
          <w:marRight w:val="0"/>
          <w:marTop w:val="0"/>
          <w:marBottom w:val="0"/>
          <w:divBdr>
            <w:top w:val="none" w:sz="0" w:space="0" w:color="auto"/>
            <w:left w:val="none" w:sz="0" w:space="0" w:color="auto"/>
            <w:bottom w:val="none" w:sz="0" w:space="0" w:color="auto"/>
            <w:right w:val="none" w:sz="0" w:space="0" w:color="auto"/>
          </w:divBdr>
        </w:div>
        <w:div w:id="44909449">
          <w:marLeft w:val="640"/>
          <w:marRight w:val="0"/>
          <w:marTop w:val="0"/>
          <w:marBottom w:val="0"/>
          <w:divBdr>
            <w:top w:val="none" w:sz="0" w:space="0" w:color="auto"/>
            <w:left w:val="none" w:sz="0" w:space="0" w:color="auto"/>
            <w:bottom w:val="none" w:sz="0" w:space="0" w:color="auto"/>
            <w:right w:val="none" w:sz="0" w:space="0" w:color="auto"/>
          </w:divBdr>
        </w:div>
        <w:div w:id="1101145832">
          <w:marLeft w:val="640"/>
          <w:marRight w:val="0"/>
          <w:marTop w:val="0"/>
          <w:marBottom w:val="0"/>
          <w:divBdr>
            <w:top w:val="none" w:sz="0" w:space="0" w:color="auto"/>
            <w:left w:val="none" w:sz="0" w:space="0" w:color="auto"/>
            <w:bottom w:val="none" w:sz="0" w:space="0" w:color="auto"/>
            <w:right w:val="none" w:sz="0" w:space="0" w:color="auto"/>
          </w:divBdr>
        </w:div>
        <w:div w:id="1219393426">
          <w:marLeft w:val="640"/>
          <w:marRight w:val="0"/>
          <w:marTop w:val="0"/>
          <w:marBottom w:val="0"/>
          <w:divBdr>
            <w:top w:val="none" w:sz="0" w:space="0" w:color="auto"/>
            <w:left w:val="none" w:sz="0" w:space="0" w:color="auto"/>
            <w:bottom w:val="none" w:sz="0" w:space="0" w:color="auto"/>
            <w:right w:val="none" w:sz="0" w:space="0" w:color="auto"/>
          </w:divBdr>
        </w:div>
        <w:div w:id="24328020">
          <w:marLeft w:val="640"/>
          <w:marRight w:val="0"/>
          <w:marTop w:val="0"/>
          <w:marBottom w:val="0"/>
          <w:divBdr>
            <w:top w:val="none" w:sz="0" w:space="0" w:color="auto"/>
            <w:left w:val="none" w:sz="0" w:space="0" w:color="auto"/>
            <w:bottom w:val="none" w:sz="0" w:space="0" w:color="auto"/>
            <w:right w:val="none" w:sz="0" w:space="0" w:color="auto"/>
          </w:divBdr>
        </w:div>
        <w:div w:id="2090805064">
          <w:marLeft w:val="640"/>
          <w:marRight w:val="0"/>
          <w:marTop w:val="0"/>
          <w:marBottom w:val="0"/>
          <w:divBdr>
            <w:top w:val="none" w:sz="0" w:space="0" w:color="auto"/>
            <w:left w:val="none" w:sz="0" w:space="0" w:color="auto"/>
            <w:bottom w:val="none" w:sz="0" w:space="0" w:color="auto"/>
            <w:right w:val="none" w:sz="0" w:space="0" w:color="auto"/>
          </w:divBdr>
        </w:div>
        <w:div w:id="687026298">
          <w:marLeft w:val="640"/>
          <w:marRight w:val="0"/>
          <w:marTop w:val="0"/>
          <w:marBottom w:val="0"/>
          <w:divBdr>
            <w:top w:val="none" w:sz="0" w:space="0" w:color="auto"/>
            <w:left w:val="none" w:sz="0" w:space="0" w:color="auto"/>
            <w:bottom w:val="none" w:sz="0" w:space="0" w:color="auto"/>
            <w:right w:val="none" w:sz="0" w:space="0" w:color="auto"/>
          </w:divBdr>
        </w:div>
        <w:div w:id="566188750">
          <w:marLeft w:val="640"/>
          <w:marRight w:val="0"/>
          <w:marTop w:val="0"/>
          <w:marBottom w:val="0"/>
          <w:divBdr>
            <w:top w:val="none" w:sz="0" w:space="0" w:color="auto"/>
            <w:left w:val="none" w:sz="0" w:space="0" w:color="auto"/>
            <w:bottom w:val="none" w:sz="0" w:space="0" w:color="auto"/>
            <w:right w:val="none" w:sz="0" w:space="0" w:color="auto"/>
          </w:divBdr>
        </w:div>
        <w:div w:id="846941503">
          <w:marLeft w:val="640"/>
          <w:marRight w:val="0"/>
          <w:marTop w:val="0"/>
          <w:marBottom w:val="0"/>
          <w:divBdr>
            <w:top w:val="none" w:sz="0" w:space="0" w:color="auto"/>
            <w:left w:val="none" w:sz="0" w:space="0" w:color="auto"/>
            <w:bottom w:val="none" w:sz="0" w:space="0" w:color="auto"/>
            <w:right w:val="none" w:sz="0" w:space="0" w:color="auto"/>
          </w:divBdr>
        </w:div>
        <w:div w:id="57435241">
          <w:marLeft w:val="640"/>
          <w:marRight w:val="0"/>
          <w:marTop w:val="0"/>
          <w:marBottom w:val="0"/>
          <w:divBdr>
            <w:top w:val="none" w:sz="0" w:space="0" w:color="auto"/>
            <w:left w:val="none" w:sz="0" w:space="0" w:color="auto"/>
            <w:bottom w:val="none" w:sz="0" w:space="0" w:color="auto"/>
            <w:right w:val="none" w:sz="0" w:space="0" w:color="auto"/>
          </w:divBdr>
        </w:div>
        <w:div w:id="1500005868">
          <w:marLeft w:val="640"/>
          <w:marRight w:val="0"/>
          <w:marTop w:val="0"/>
          <w:marBottom w:val="0"/>
          <w:divBdr>
            <w:top w:val="none" w:sz="0" w:space="0" w:color="auto"/>
            <w:left w:val="none" w:sz="0" w:space="0" w:color="auto"/>
            <w:bottom w:val="none" w:sz="0" w:space="0" w:color="auto"/>
            <w:right w:val="none" w:sz="0" w:space="0" w:color="auto"/>
          </w:divBdr>
        </w:div>
        <w:div w:id="2094662813">
          <w:marLeft w:val="640"/>
          <w:marRight w:val="0"/>
          <w:marTop w:val="0"/>
          <w:marBottom w:val="0"/>
          <w:divBdr>
            <w:top w:val="none" w:sz="0" w:space="0" w:color="auto"/>
            <w:left w:val="none" w:sz="0" w:space="0" w:color="auto"/>
            <w:bottom w:val="none" w:sz="0" w:space="0" w:color="auto"/>
            <w:right w:val="none" w:sz="0" w:space="0" w:color="auto"/>
          </w:divBdr>
        </w:div>
        <w:div w:id="857698627">
          <w:marLeft w:val="640"/>
          <w:marRight w:val="0"/>
          <w:marTop w:val="0"/>
          <w:marBottom w:val="0"/>
          <w:divBdr>
            <w:top w:val="none" w:sz="0" w:space="0" w:color="auto"/>
            <w:left w:val="none" w:sz="0" w:space="0" w:color="auto"/>
            <w:bottom w:val="none" w:sz="0" w:space="0" w:color="auto"/>
            <w:right w:val="none" w:sz="0" w:space="0" w:color="auto"/>
          </w:divBdr>
        </w:div>
        <w:div w:id="1078555667">
          <w:marLeft w:val="640"/>
          <w:marRight w:val="0"/>
          <w:marTop w:val="0"/>
          <w:marBottom w:val="0"/>
          <w:divBdr>
            <w:top w:val="none" w:sz="0" w:space="0" w:color="auto"/>
            <w:left w:val="none" w:sz="0" w:space="0" w:color="auto"/>
            <w:bottom w:val="none" w:sz="0" w:space="0" w:color="auto"/>
            <w:right w:val="none" w:sz="0" w:space="0" w:color="auto"/>
          </w:divBdr>
        </w:div>
        <w:div w:id="1852840496">
          <w:marLeft w:val="640"/>
          <w:marRight w:val="0"/>
          <w:marTop w:val="0"/>
          <w:marBottom w:val="0"/>
          <w:divBdr>
            <w:top w:val="none" w:sz="0" w:space="0" w:color="auto"/>
            <w:left w:val="none" w:sz="0" w:space="0" w:color="auto"/>
            <w:bottom w:val="none" w:sz="0" w:space="0" w:color="auto"/>
            <w:right w:val="none" w:sz="0" w:space="0" w:color="auto"/>
          </w:divBdr>
        </w:div>
        <w:div w:id="1545756215">
          <w:marLeft w:val="640"/>
          <w:marRight w:val="0"/>
          <w:marTop w:val="0"/>
          <w:marBottom w:val="0"/>
          <w:divBdr>
            <w:top w:val="none" w:sz="0" w:space="0" w:color="auto"/>
            <w:left w:val="none" w:sz="0" w:space="0" w:color="auto"/>
            <w:bottom w:val="none" w:sz="0" w:space="0" w:color="auto"/>
            <w:right w:val="none" w:sz="0" w:space="0" w:color="auto"/>
          </w:divBdr>
        </w:div>
        <w:div w:id="935558212">
          <w:marLeft w:val="640"/>
          <w:marRight w:val="0"/>
          <w:marTop w:val="0"/>
          <w:marBottom w:val="0"/>
          <w:divBdr>
            <w:top w:val="none" w:sz="0" w:space="0" w:color="auto"/>
            <w:left w:val="none" w:sz="0" w:space="0" w:color="auto"/>
            <w:bottom w:val="none" w:sz="0" w:space="0" w:color="auto"/>
            <w:right w:val="none" w:sz="0" w:space="0" w:color="auto"/>
          </w:divBdr>
        </w:div>
        <w:div w:id="2111465120">
          <w:marLeft w:val="640"/>
          <w:marRight w:val="0"/>
          <w:marTop w:val="0"/>
          <w:marBottom w:val="0"/>
          <w:divBdr>
            <w:top w:val="none" w:sz="0" w:space="0" w:color="auto"/>
            <w:left w:val="none" w:sz="0" w:space="0" w:color="auto"/>
            <w:bottom w:val="none" w:sz="0" w:space="0" w:color="auto"/>
            <w:right w:val="none" w:sz="0" w:space="0" w:color="auto"/>
          </w:divBdr>
        </w:div>
        <w:div w:id="455760456">
          <w:marLeft w:val="640"/>
          <w:marRight w:val="0"/>
          <w:marTop w:val="0"/>
          <w:marBottom w:val="0"/>
          <w:divBdr>
            <w:top w:val="none" w:sz="0" w:space="0" w:color="auto"/>
            <w:left w:val="none" w:sz="0" w:space="0" w:color="auto"/>
            <w:bottom w:val="none" w:sz="0" w:space="0" w:color="auto"/>
            <w:right w:val="none" w:sz="0" w:space="0" w:color="auto"/>
          </w:divBdr>
        </w:div>
        <w:div w:id="1286696615">
          <w:marLeft w:val="640"/>
          <w:marRight w:val="0"/>
          <w:marTop w:val="0"/>
          <w:marBottom w:val="0"/>
          <w:divBdr>
            <w:top w:val="none" w:sz="0" w:space="0" w:color="auto"/>
            <w:left w:val="none" w:sz="0" w:space="0" w:color="auto"/>
            <w:bottom w:val="none" w:sz="0" w:space="0" w:color="auto"/>
            <w:right w:val="none" w:sz="0" w:space="0" w:color="auto"/>
          </w:divBdr>
        </w:div>
        <w:div w:id="1807357074">
          <w:marLeft w:val="640"/>
          <w:marRight w:val="0"/>
          <w:marTop w:val="0"/>
          <w:marBottom w:val="0"/>
          <w:divBdr>
            <w:top w:val="none" w:sz="0" w:space="0" w:color="auto"/>
            <w:left w:val="none" w:sz="0" w:space="0" w:color="auto"/>
            <w:bottom w:val="none" w:sz="0" w:space="0" w:color="auto"/>
            <w:right w:val="none" w:sz="0" w:space="0" w:color="auto"/>
          </w:divBdr>
        </w:div>
        <w:div w:id="1538079264">
          <w:marLeft w:val="640"/>
          <w:marRight w:val="0"/>
          <w:marTop w:val="0"/>
          <w:marBottom w:val="0"/>
          <w:divBdr>
            <w:top w:val="none" w:sz="0" w:space="0" w:color="auto"/>
            <w:left w:val="none" w:sz="0" w:space="0" w:color="auto"/>
            <w:bottom w:val="none" w:sz="0" w:space="0" w:color="auto"/>
            <w:right w:val="none" w:sz="0" w:space="0" w:color="auto"/>
          </w:divBdr>
        </w:div>
        <w:div w:id="1114785158">
          <w:marLeft w:val="640"/>
          <w:marRight w:val="0"/>
          <w:marTop w:val="0"/>
          <w:marBottom w:val="0"/>
          <w:divBdr>
            <w:top w:val="none" w:sz="0" w:space="0" w:color="auto"/>
            <w:left w:val="none" w:sz="0" w:space="0" w:color="auto"/>
            <w:bottom w:val="none" w:sz="0" w:space="0" w:color="auto"/>
            <w:right w:val="none" w:sz="0" w:space="0" w:color="auto"/>
          </w:divBdr>
        </w:div>
        <w:div w:id="897403376">
          <w:marLeft w:val="640"/>
          <w:marRight w:val="0"/>
          <w:marTop w:val="0"/>
          <w:marBottom w:val="0"/>
          <w:divBdr>
            <w:top w:val="none" w:sz="0" w:space="0" w:color="auto"/>
            <w:left w:val="none" w:sz="0" w:space="0" w:color="auto"/>
            <w:bottom w:val="none" w:sz="0" w:space="0" w:color="auto"/>
            <w:right w:val="none" w:sz="0" w:space="0" w:color="auto"/>
          </w:divBdr>
        </w:div>
        <w:div w:id="868684706">
          <w:marLeft w:val="640"/>
          <w:marRight w:val="0"/>
          <w:marTop w:val="0"/>
          <w:marBottom w:val="0"/>
          <w:divBdr>
            <w:top w:val="none" w:sz="0" w:space="0" w:color="auto"/>
            <w:left w:val="none" w:sz="0" w:space="0" w:color="auto"/>
            <w:bottom w:val="none" w:sz="0" w:space="0" w:color="auto"/>
            <w:right w:val="none" w:sz="0" w:space="0" w:color="auto"/>
          </w:divBdr>
        </w:div>
        <w:div w:id="663630704">
          <w:marLeft w:val="640"/>
          <w:marRight w:val="0"/>
          <w:marTop w:val="0"/>
          <w:marBottom w:val="0"/>
          <w:divBdr>
            <w:top w:val="none" w:sz="0" w:space="0" w:color="auto"/>
            <w:left w:val="none" w:sz="0" w:space="0" w:color="auto"/>
            <w:bottom w:val="none" w:sz="0" w:space="0" w:color="auto"/>
            <w:right w:val="none" w:sz="0" w:space="0" w:color="auto"/>
          </w:divBdr>
        </w:div>
        <w:div w:id="849611091">
          <w:marLeft w:val="640"/>
          <w:marRight w:val="0"/>
          <w:marTop w:val="0"/>
          <w:marBottom w:val="0"/>
          <w:divBdr>
            <w:top w:val="none" w:sz="0" w:space="0" w:color="auto"/>
            <w:left w:val="none" w:sz="0" w:space="0" w:color="auto"/>
            <w:bottom w:val="none" w:sz="0" w:space="0" w:color="auto"/>
            <w:right w:val="none" w:sz="0" w:space="0" w:color="auto"/>
          </w:divBdr>
        </w:div>
        <w:div w:id="886986160">
          <w:marLeft w:val="640"/>
          <w:marRight w:val="0"/>
          <w:marTop w:val="0"/>
          <w:marBottom w:val="0"/>
          <w:divBdr>
            <w:top w:val="none" w:sz="0" w:space="0" w:color="auto"/>
            <w:left w:val="none" w:sz="0" w:space="0" w:color="auto"/>
            <w:bottom w:val="none" w:sz="0" w:space="0" w:color="auto"/>
            <w:right w:val="none" w:sz="0" w:space="0" w:color="auto"/>
          </w:divBdr>
        </w:div>
        <w:div w:id="2146435262">
          <w:marLeft w:val="640"/>
          <w:marRight w:val="0"/>
          <w:marTop w:val="0"/>
          <w:marBottom w:val="0"/>
          <w:divBdr>
            <w:top w:val="none" w:sz="0" w:space="0" w:color="auto"/>
            <w:left w:val="none" w:sz="0" w:space="0" w:color="auto"/>
            <w:bottom w:val="none" w:sz="0" w:space="0" w:color="auto"/>
            <w:right w:val="none" w:sz="0" w:space="0" w:color="auto"/>
          </w:divBdr>
        </w:div>
        <w:div w:id="1976374726">
          <w:marLeft w:val="640"/>
          <w:marRight w:val="0"/>
          <w:marTop w:val="0"/>
          <w:marBottom w:val="0"/>
          <w:divBdr>
            <w:top w:val="none" w:sz="0" w:space="0" w:color="auto"/>
            <w:left w:val="none" w:sz="0" w:space="0" w:color="auto"/>
            <w:bottom w:val="none" w:sz="0" w:space="0" w:color="auto"/>
            <w:right w:val="none" w:sz="0" w:space="0" w:color="auto"/>
          </w:divBdr>
        </w:div>
        <w:div w:id="2122529204">
          <w:marLeft w:val="640"/>
          <w:marRight w:val="0"/>
          <w:marTop w:val="0"/>
          <w:marBottom w:val="0"/>
          <w:divBdr>
            <w:top w:val="none" w:sz="0" w:space="0" w:color="auto"/>
            <w:left w:val="none" w:sz="0" w:space="0" w:color="auto"/>
            <w:bottom w:val="none" w:sz="0" w:space="0" w:color="auto"/>
            <w:right w:val="none" w:sz="0" w:space="0" w:color="auto"/>
          </w:divBdr>
        </w:div>
        <w:div w:id="510949832">
          <w:marLeft w:val="640"/>
          <w:marRight w:val="0"/>
          <w:marTop w:val="0"/>
          <w:marBottom w:val="0"/>
          <w:divBdr>
            <w:top w:val="none" w:sz="0" w:space="0" w:color="auto"/>
            <w:left w:val="none" w:sz="0" w:space="0" w:color="auto"/>
            <w:bottom w:val="none" w:sz="0" w:space="0" w:color="auto"/>
            <w:right w:val="none" w:sz="0" w:space="0" w:color="auto"/>
          </w:divBdr>
        </w:div>
        <w:div w:id="1344166845">
          <w:marLeft w:val="640"/>
          <w:marRight w:val="0"/>
          <w:marTop w:val="0"/>
          <w:marBottom w:val="0"/>
          <w:divBdr>
            <w:top w:val="none" w:sz="0" w:space="0" w:color="auto"/>
            <w:left w:val="none" w:sz="0" w:space="0" w:color="auto"/>
            <w:bottom w:val="none" w:sz="0" w:space="0" w:color="auto"/>
            <w:right w:val="none" w:sz="0" w:space="0" w:color="auto"/>
          </w:divBdr>
        </w:div>
        <w:div w:id="1492061596">
          <w:marLeft w:val="640"/>
          <w:marRight w:val="0"/>
          <w:marTop w:val="0"/>
          <w:marBottom w:val="0"/>
          <w:divBdr>
            <w:top w:val="none" w:sz="0" w:space="0" w:color="auto"/>
            <w:left w:val="none" w:sz="0" w:space="0" w:color="auto"/>
            <w:bottom w:val="none" w:sz="0" w:space="0" w:color="auto"/>
            <w:right w:val="none" w:sz="0" w:space="0" w:color="auto"/>
          </w:divBdr>
        </w:div>
        <w:div w:id="148837030">
          <w:marLeft w:val="640"/>
          <w:marRight w:val="0"/>
          <w:marTop w:val="0"/>
          <w:marBottom w:val="0"/>
          <w:divBdr>
            <w:top w:val="none" w:sz="0" w:space="0" w:color="auto"/>
            <w:left w:val="none" w:sz="0" w:space="0" w:color="auto"/>
            <w:bottom w:val="none" w:sz="0" w:space="0" w:color="auto"/>
            <w:right w:val="none" w:sz="0" w:space="0" w:color="auto"/>
          </w:divBdr>
        </w:div>
        <w:div w:id="626739253">
          <w:marLeft w:val="640"/>
          <w:marRight w:val="0"/>
          <w:marTop w:val="0"/>
          <w:marBottom w:val="0"/>
          <w:divBdr>
            <w:top w:val="none" w:sz="0" w:space="0" w:color="auto"/>
            <w:left w:val="none" w:sz="0" w:space="0" w:color="auto"/>
            <w:bottom w:val="none" w:sz="0" w:space="0" w:color="auto"/>
            <w:right w:val="none" w:sz="0" w:space="0" w:color="auto"/>
          </w:divBdr>
        </w:div>
        <w:div w:id="1148982327">
          <w:marLeft w:val="640"/>
          <w:marRight w:val="0"/>
          <w:marTop w:val="0"/>
          <w:marBottom w:val="0"/>
          <w:divBdr>
            <w:top w:val="none" w:sz="0" w:space="0" w:color="auto"/>
            <w:left w:val="none" w:sz="0" w:space="0" w:color="auto"/>
            <w:bottom w:val="none" w:sz="0" w:space="0" w:color="auto"/>
            <w:right w:val="none" w:sz="0" w:space="0" w:color="auto"/>
          </w:divBdr>
        </w:div>
        <w:div w:id="1627159033">
          <w:marLeft w:val="640"/>
          <w:marRight w:val="0"/>
          <w:marTop w:val="0"/>
          <w:marBottom w:val="0"/>
          <w:divBdr>
            <w:top w:val="none" w:sz="0" w:space="0" w:color="auto"/>
            <w:left w:val="none" w:sz="0" w:space="0" w:color="auto"/>
            <w:bottom w:val="none" w:sz="0" w:space="0" w:color="auto"/>
            <w:right w:val="none" w:sz="0" w:space="0" w:color="auto"/>
          </w:divBdr>
        </w:div>
        <w:div w:id="1892841494">
          <w:marLeft w:val="640"/>
          <w:marRight w:val="0"/>
          <w:marTop w:val="0"/>
          <w:marBottom w:val="0"/>
          <w:divBdr>
            <w:top w:val="none" w:sz="0" w:space="0" w:color="auto"/>
            <w:left w:val="none" w:sz="0" w:space="0" w:color="auto"/>
            <w:bottom w:val="none" w:sz="0" w:space="0" w:color="auto"/>
            <w:right w:val="none" w:sz="0" w:space="0" w:color="auto"/>
          </w:divBdr>
        </w:div>
        <w:div w:id="908073968">
          <w:marLeft w:val="640"/>
          <w:marRight w:val="0"/>
          <w:marTop w:val="0"/>
          <w:marBottom w:val="0"/>
          <w:divBdr>
            <w:top w:val="none" w:sz="0" w:space="0" w:color="auto"/>
            <w:left w:val="none" w:sz="0" w:space="0" w:color="auto"/>
            <w:bottom w:val="none" w:sz="0" w:space="0" w:color="auto"/>
            <w:right w:val="none" w:sz="0" w:space="0" w:color="auto"/>
          </w:divBdr>
        </w:div>
        <w:div w:id="838619267">
          <w:marLeft w:val="640"/>
          <w:marRight w:val="0"/>
          <w:marTop w:val="0"/>
          <w:marBottom w:val="0"/>
          <w:divBdr>
            <w:top w:val="none" w:sz="0" w:space="0" w:color="auto"/>
            <w:left w:val="none" w:sz="0" w:space="0" w:color="auto"/>
            <w:bottom w:val="none" w:sz="0" w:space="0" w:color="auto"/>
            <w:right w:val="none" w:sz="0" w:space="0" w:color="auto"/>
          </w:divBdr>
        </w:div>
        <w:div w:id="650595620">
          <w:marLeft w:val="640"/>
          <w:marRight w:val="0"/>
          <w:marTop w:val="0"/>
          <w:marBottom w:val="0"/>
          <w:divBdr>
            <w:top w:val="none" w:sz="0" w:space="0" w:color="auto"/>
            <w:left w:val="none" w:sz="0" w:space="0" w:color="auto"/>
            <w:bottom w:val="none" w:sz="0" w:space="0" w:color="auto"/>
            <w:right w:val="none" w:sz="0" w:space="0" w:color="auto"/>
          </w:divBdr>
        </w:div>
        <w:div w:id="981038071">
          <w:marLeft w:val="640"/>
          <w:marRight w:val="0"/>
          <w:marTop w:val="0"/>
          <w:marBottom w:val="0"/>
          <w:divBdr>
            <w:top w:val="none" w:sz="0" w:space="0" w:color="auto"/>
            <w:left w:val="none" w:sz="0" w:space="0" w:color="auto"/>
            <w:bottom w:val="none" w:sz="0" w:space="0" w:color="auto"/>
            <w:right w:val="none" w:sz="0" w:space="0" w:color="auto"/>
          </w:divBdr>
        </w:div>
        <w:div w:id="1386635089">
          <w:marLeft w:val="640"/>
          <w:marRight w:val="0"/>
          <w:marTop w:val="0"/>
          <w:marBottom w:val="0"/>
          <w:divBdr>
            <w:top w:val="none" w:sz="0" w:space="0" w:color="auto"/>
            <w:left w:val="none" w:sz="0" w:space="0" w:color="auto"/>
            <w:bottom w:val="none" w:sz="0" w:space="0" w:color="auto"/>
            <w:right w:val="none" w:sz="0" w:space="0" w:color="auto"/>
          </w:divBdr>
        </w:div>
        <w:div w:id="1914928491">
          <w:marLeft w:val="640"/>
          <w:marRight w:val="0"/>
          <w:marTop w:val="0"/>
          <w:marBottom w:val="0"/>
          <w:divBdr>
            <w:top w:val="none" w:sz="0" w:space="0" w:color="auto"/>
            <w:left w:val="none" w:sz="0" w:space="0" w:color="auto"/>
            <w:bottom w:val="none" w:sz="0" w:space="0" w:color="auto"/>
            <w:right w:val="none" w:sz="0" w:space="0" w:color="auto"/>
          </w:divBdr>
        </w:div>
        <w:div w:id="1078941979">
          <w:marLeft w:val="640"/>
          <w:marRight w:val="0"/>
          <w:marTop w:val="0"/>
          <w:marBottom w:val="0"/>
          <w:divBdr>
            <w:top w:val="none" w:sz="0" w:space="0" w:color="auto"/>
            <w:left w:val="none" w:sz="0" w:space="0" w:color="auto"/>
            <w:bottom w:val="none" w:sz="0" w:space="0" w:color="auto"/>
            <w:right w:val="none" w:sz="0" w:space="0" w:color="auto"/>
          </w:divBdr>
        </w:div>
        <w:div w:id="104615928">
          <w:marLeft w:val="640"/>
          <w:marRight w:val="0"/>
          <w:marTop w:val="0"/>
          <w:marBottom w:val="0"/>
          <w:divBdr>
            <w:top w:val="none" w:sz="0" w:space="0" w:color="auto"/>
            <w:left w:val="none" w:sz="0" w:space="0" w:color="auto"/>
            <w:bottom w:val="none" w:sz="0" w:space="0" w:color="auto"/>
            <w:right w:val="none" w:sz="0" w:space="0" w:color="auto"/>
          </w:divBdr>
        </w:div>
        <w:div w:id="1567491019">
          <w:marLeft w:val="640"/>
          <w:marRight w:val="0"/>
          <w:marTop w:val="0"/>
          <w:marBottom w:val="0"/>
          <w:divBdr>
            <w:top w:val="none" w:sz="0" w:space="0" w:color="auto"/>
            <w:left w:val="none" w:sz="0" w:space="0" w:color="auto"/>
            <w:bottom w:val="none" w:sz="0" w:space="0" w:color="auto"/>
            <w:right w:val="none" w:sz="0" w:space="0" w:color="auto"/>
          </w:divBdr>
        </w:div>
        <w:div w:id="393241538">
          <w:marLeft w:val="640"/>
          <w:marRight w:val="0"/>
          <w:marTop w:val="0"/>
          <w:marBottom w:val="0"/>
          <w:divBdr>
            <w:top w:val="none" w:sz="0" w:space="0" w:color="auto"/>
            <w:left w:val="none" w:sz="0" w:space="0" w:color="auto"/>
            <w:bottom w:val="none" w:sz="0" w:space="0" w:color="auto"/>
            <w:right w:val="none" w:sz="0" w:space="0" w:color="auto"/>
          </w:divBdr>
        </w:div>
        <w:div w:id="130024219">
          <w:marLeft w:val="640"/>
          <w:marRight w:val="0"/>
          <w:marTop w:val="0"/>
          <w:marBottom w:val="0"/>
          <w:divBdr>
            <w:top w:val="none" w:sz="0" w:space="0" w:color="auto"/>
            <w:left w:val="none" w:sz="0" w:space="0" w:color="auto"/>
            <w:bottom w:val="none" w:sz="0" w:space="0" w:color="auto"/>
            <w:right w:val="none" w:sz="0" w:space="0" w:color="auto"/>
          </w:divBdr>
        </w:div>
        <w:div w:id="130900345">
          <w:marLeft w:val="640"/>
          <w:marRight w:val="0"/>
          <w:marTop w:val="0"/>
          <w:marBottom w:val="0"/>
          <w:divBdr>
            <w:top w:val="none" w:sz="0" w:space="0" w:color="auto"/>
            <w:left w:val="none" w:sz="0" w:space="0" w:color="auto"/>
            <w:bottom w:val="none" w:sz="0" w:space="0" w:color="auto"/>
            <w:right w:val="none" w:sz="0" w:space="0" w:color="auto"/>
          </w:divBdr>
        </w:div>
        <w:div w:id="1590263057">
          <w:marLeft w:val="640"/>
          <w:marRight w:val="0"/>
          <w:marTop w:val="0"/>
          <w:marBottom w:val="0"/>
          <w:divBdr>
            <w:top w:val="none" w:sz="0" w:space="0" w:color="auto"/>
            <w:left w:val="none" w:sz="0" w:space="0" w:color="auto"/>
            <w:bottom w:val="none" w:sz="0" w:space="0" w:color="auto"/>
            <w:right w:val="none" w:sz="0" w:space="0" w:color="auto"/>
          </w:divBdr>
        </w:div>
        <w:div w:id="1207259411">
          <w:marLeft w:val="640"/>
          <w:marRight w:val="0"/>
          <w:marTop w:val="0"/>
          <w:marBottom w:val="0"/>
          <w:divBdr>
            <w:top w:val="none" w:sz="0" w:space="0" w:color="auto"/>
            <w:left w:val="none" w:sz="0" w:space="0" w:color="auto"/>
            <w:bottom w:val="none" w:sz="0" w:space="0" w:color="auto"/>
            <w:right w:val="none" w:sz="0" w:space="0" w:color="auto"/>
          </w:divBdr>
        </w:div>
        <w:div w:id="721057060">
          <w:marLeft w:val="640"/>
          <w:marRight w:val="0"/>
          <w:marTop w:val="0"/>
          <w:marBottom w:val="0"/>
          <w:divBdr>
            <w:top w:val="none" w:sz="0" w:space="0" w:color="auto"/>
            <w:left w:val="none" w:sz="0" w:space="0" w:color="auto"/>
            <w:bottom w:val="none" w:sz="0" w:space="0" w:color="auto"/>
            <w:right w:val="none" w:sz="0" w:space="0" w:color="auto"/>
          </w:divBdr>
        </w:div>
        <w:div w:id="1997033698">
          <w:marLeft w:val="640"/>
          <w:marRight w:val="0"/>
          <w:marTop w:val="0"/>
          <w:marBottom w:val="0"/>
          <w:divBdr>
            <w:top w:val="none" w:sz="0" w:space="0" w:color="auto"/>
            <w:left w:val="none" w:sz="0" w:space="0" w:color="auto"/>
            <w:bottom w:val="none" w:sz="0" w:space="0" w:color="auto"/>
            <w:right w:val="none" w:sz="0" w:space="0" w:color="auto"/>
          </w:divBdr>
        </w:div>
        <w:div w:id="1498497451">
          <w:marLeft w:val="640"/>
          <w:marRight w:val="0"/>
          <w:marTop w:val="0"/>
          <w:marBottom w:val="0"/>
          <w:divBdr>
            <w:top w:val="none" w:sz="0" w:space="0" w:color="auto"/>
            <w:left w:val="none" w:sz="0" w:space="0" w:color="auto"/>
            <w:bottom w:val="none" w:sz="0" w:space="0" w:color="auto"/>
            <w:right w:val="none" w:sz="0" w:space="0" w:color="auto"/>
          </w:divBdr>
        </w:div>
        <w:div w:id="420179499">
          <w:marLeft w:val="640"/>
          <w:marRight w:val="0"/>
          <w:marTop w:val="0"/>
          <w:marBottom w:val="0"/>
          <w:divBdr>
            <w:top w:val="none" w:sz="0" w:space="0" w:color="auto"/>
            <w:left w:val="none" w:sz="0" w:space="0" w:color="auto"/>
            <w:bottom w:val="none" w:sz="0" w:space="0" w:color="auto"/>
            <w:right w:val="none" w:sz="0" w:space="0" w:color="auto"/>
          </w:divBdr>
        </w:div>
        <w:div w:id="274407507">
          <w:marLeft w:val="640"/>
          <w:marRight w:val="0"/>
          <w:marTop w:val="0"/>
          <w:marBottom w:val="0"/>
          <w:divBdr>
            <w:top w:val="none" w:sz="0" w:space="0" w:color="auto"/>
            <w:left w:val="none" w:sz="0" w:space="0" w:color="auto"/>
            <w:bottom w:val="none" w:sz="0" w:space="0" w:color="auto"/>
            <w:right w:val="none" w:sz="0" w:space="0" w:color="auto"/>
          </w:divBdr>
        </w:div>
        <w:div w:id="1544442406">
          <w:marLeft w:val="640"/>
          <w:marRight w:val="0"/>
          <w:marTop w:val="0"/>
          <w:marBottom w:val="0"/>
          <w:divBdr>
            <w:top w:val="none" w:sz="0" w:space="0" w:color="auto"/>
            <w:left w:val="none" w:sz="0" w:space="0" w:color="auto"/>
            <w:bottom w:val="none" w:sz="0" w:space="0" w:color="auto"/>
            <w:right w:val="none" w:sz="0" w:space="0" w:color="auto"/>
          </w:divBdr>
        </w:div>
        <w:div w:id="1740708295">
          <w:marLeft w:val="640"/>
          <w:marRight w:val="0"/>
          <w:marTop w:val="0"/>
          <w:marBottom w:val="0"/>
          <w:divBdr>
            <w:top w:val="none" w:sz="0" w:space="0" w:color="auto"/>
            <w:left w:val="none" w:sz="0" w:space="0" w:color="auto"/>
            <w:bottom w:val="none" w:sz="0" w:space="0" w:color="auto"/>
            <w:right w:val="none" w:sz="0" w:space="0" w:color="auto"/>
          </w:divBdr>
        </w:div>
        <w:div w:id="514460906">
          <w:marLeft w:val="640"/>
          <w:marRight w:val="0"/>
          <w:marTop w:val="0"/>
          <w:marBottom w:val="0"/>
          <w:divBdr>
            <w:top w:val="none" w:sz="0" w:space="0" w:color="auto"/>
            <w:left w:val="none" w:sz="0" w:space="0" w:color="auto"/>
            <w:bottom w:val="none" w:sz="0" w:space="0" w:color="auto"/>
            <w:right w:val="none" w:sz="0" w:space="0" w:color="auto"/>
          </w:divBdr>
        </w:div>
        <w:div w:id="822746059">
          <w:marLeft w:val="640"/>
          <w:marRight w:val="0"/>
          <w:marTop w:val="0"/>
          <w:marBottom w:val="0"/>
          <w:divBdr>
            <w:top w:val="none" w:sz="0" w:space="0" w:color="auto"/>
            <w:left w:val="none" w:sz="0" w:space="0" w:color="auto"/>
            <w:bottom w:val="none" w:sz="0" w:space="0" w:color="auto"/>
            <w:right w:val="none" w:sz="0" w:space="0" w:color="auto"/>
          </w:divBdr>
        </w:div>
        <w:div w:id="1018775146">
          <w:marLeft w:val="640"/>
          <w:marRight w:val="0"/>
          <w:marTop w:val="0"/>
          <w:marBottom w:val="0"/>
          <w:divBdr>
            <w:top w:val="none" w:sz="0" w:space="0" w:color="auto"/>
            <w:left w:val="none" w:sz="0" w:space="0" w:color="auto"/>
            <w:bottom w:val="none" w:sz="0" w:space="0" w:color="auto"/>
            <w:right w:val="none" w:sz="0" w:space="0" w:color="auto"/>
          </w:divBdr>
        </w:div>
        <w:div w:id="1687517203">
          <w:marLeft w:val="640"/>
          <w:marRight w:val="0"/>
          <w:marTop w:val="0"/>
          <w:marBottom w:val="0"/>
          <w:divBdr>
            <w:top w:val="none" w:sz="0" w:space="0" w:color="auto"/>
            <w:left w:val="none" w:sz="0" w:space="0" w:color="auto"/>
            <w:bottom w:val="none" w:sz="0" w:space="0" w:color="auto"/>
            <w:right w:val="none" w:sz="0" w:space="0" w:color="auto"/>
          </w:divBdr>
        </w:div>
        <w:div w:id="1903053076">
          <w:marLeft w:val="640"/>
          <w:marRight w:val="0"/>
          <w:marTop w:val="0"/>
          <w:marBottom w:val="0"/>
          <w:divBdr>
            <w:top w:val="none" w:sz="0" w:space="0" w:color="auto"/>
            <w:left w:val="none" w:sz="0" w:space="0" w:color="auto"/>
            <w:bottom w:val="none" w:sz="0" w:space="0" w:color="auto"/>
            <w:right w:val="none" w:sz="0" w:space="0" w:color="auto"/>
          </w:divBdr>
        </w:div>
        <w:div w:id="794258395">
          <w:marLeft w:val="640"/>
          <w:marRight w:val="0"/>
          <w:marTop w:val="0"/>
          <w:marBottom w:val="0"/>
          <w:divBdr>
            <w:top w:val="none" w:sz="0" w:space="0" w:color="auto"/>
            <w:left w:val="none" w:sz="0" w:space="0" w:color="auto"/>
            <w:bottom w:val="none" w:sz="0" w:space="0" w:color="auto"/>
            <w:right w:val="none" w:sz="0" w:space="0" w:color="auto"/>
          </w:divBdr>
        </w:div>
        <w:div w:id="1443501371">
          <w:marLeft w:val="640"/>
          <w:marRight w:val="0"/>
          <w:marTop w:val="0"/>
          <w:marBottom w:val="0"/>
          <w:divBdr>
            <w:top w:val="none" w:sz="0" w:space="0" w:color="auto"/>
            <w:left w:val="none" w:sz="0" w:space="0" w:color="auto"/>
            <w:bottom w:val="none" w:sz="0" w:space="0" w:color="auto"/>
            <w:right w:val="none" w:sz="0" w:space="0" w:color="auto"/>
          </w:divBdr>
        </w:div>
        <w:div w:id="1238518653">
          <w:marLeft w:val="640"/>
          <w:marRight w:val="0"/>
          <w:marTop w:val="0"/>
          <w:marBottom w:val="0"/>
          <w:divBdr>
            <w:top w:val="none" w:sz="0" w:space="0" w:color="auto"/>
            <w:left w:val="none" w:sz="0" w:space="0" w:color="auto"/>
            <w:bottom w:val="none" w:sz="0" w:space="0" w:color="auto"/>
            <w:right w:val="none" w:sz="0" w:space="0" w:color="auto"/>
          </w:divBdr>
        </w:div>
        <w:div w:id="1833371245">
          <w:marLeft w:val="640"/>
          <w:marRight w:val="0"/>
          <w:marTop w:val="0"/>
          <w:marBottom w:val="0"/>
          <w:divBdr>
            <w:top w:val="none" w:sz="0" w:space="0" w:color="auto"/>
            <w:left w:val="none" w:sz="0" w:space="0" w:color="auto"/>
            <w:bottom w:val="none" w:sz="0" w:space="0" w:color="auto"/>
            <w:right w:val="none" w:sz="0" w:space="0" w:color="auto"/>
          </w:divBdr>
        </w:div>
        <w:div w:id="731386592">
          <w:marLeft w:val="640"/>
          <w:marRight w:val="0"/>
          <w:marTop w:val="0"/>
          <w:marBottom w:val="0"/>
          <w:divBdr>
            <w:top w:val="none" w:sz="0" w:space="0" w:color="auto"/>
            <w:left w:val="none" w:sz="0" w:space="0" w:color="auto"/>
            <w:bottom w:val="none" w:sz="0" w:space="0" w:color="auto"/>
            <w:right w:val="none" w:sz="0" w:space="0" w:color="auto"/>
          </w:divBdr>
        </w:div>
        <w:div w:id="32194473">
          <w:marLeft w:val="640"/>
          <w:marRight w:val="0"/>
          <w:marTop w:val="0"/>
          <w:marBottom w:val="0"/>
          <w:divBdr>
            <w:top w:val="none" w:sz="0" w:space="0" w:color="auto"/>
            <w:left w:val="none" w:sz="0" w:space="0" w:color="auto"/>
            <w:bottom w:val="none" w:sz="0" w:space="0" w:color="auto"/>
            <w:right w:val="none" w:sz="0" w:space="0" w:color="auto"/>
          </w:divBdr>
        </w:div>
        <w:div w:id="658966561">
          <w:marLeft w:val="640"/>
          <w:marRight w:val="0"/>
          <w:marTop w:val="0"/>
          <w:marBottom w:val="0"/>
          <w:divBdr>
            <w:top w:val="none" w:sz="0" w:space="0" w:color="auto"/>
            <w:left w:val="none" w:sz="0" w:space="0" w:color="auto"/>
            <w:bottom w:val="none" w:sz="0" w:space="0" w:color="auto"/>
            <w:right w:val="none" w:sz="0" w:space="0" w:color="auto"/>
          </w:divBdr>
        </w:div>
        <w:div w:id="2127382583">
          <w:marLeft w:val="640"/>
          <w:marRight w:val="0"/>
          <w:marTop w:val="0"/>
          <w:marBottom w:val="0"/>
          <w:divBdr>
            <w:top w:val="none" w:sz="0" w:space="0" w:color="auto"/>
            <w:left w:val="none" w:sz="0" w:space="0" w:color="auto"/>
            <w:bottom w:val="none" w:sz="0" w:space="0" w:color="auto"/>
            <w:right w:val="none" w:sz="0" w:space="0" w:color="auto"/>
          </w:divBdr>
        </w:div>
        <w:div w:id="2110350795">
          <w:marLeft w:val="640"/>
          <w:marRight w:val="0"/>
          <w:marTop w:val="0"/>
          <w:marBottom w:val="0"/>
          <w:divBdr>
            <w:top w:val="none" w:sz="0" w:space="0" w:color="auto"/>
            <w:left w:val="none" w:sz="0" w:space="0" w:color="auto"/>
            <w:bottom w:val="none" w:sz="0" w:space="0" w:color="auto"/>
            <w:right w:val="none" w:sz="0" w:space="0" w:color="auto"/>
          </w:divBdr>
        </w:div>
        <w:div w:id="1878467087">
          <w:marLeft w:val="640"/>
          <w:marRight w:val="0"/>
          <w:marTop w:val="0"/>
          <w:marBottom w:val="0"/>
          <w:divBdr>
            <w:top w:val="none" w:sz="0" w:space="0" w:color="auto"/>
            <w:left w:val="none" w:sz="0" w:space="0" w:color="auto"/>
            <w:bottom w:val="none" w:sz="0" w:space="0" w:color="auto"/>
            <w:right w:val="none" w:sz="0" w:space="0" w:color="auto"/>
          </w:divBdr>
        </w:div>
        <w:div w:id="1198465938">
          <w:marLeft w:val="640"/>
          <w:marRight w:val="0"/>
          <w:marTop w:val="0"/>
          <w:marBottom w:val="0"/>
          <w:divBdr>
            <w:top w:val="none" w:sz="0" w:space="0" w:color="auto"/>
            <w:left w:val="none" w:sz="0" w:space="0" w:color="auto"/>
            <w:bottom w:val="none" w:sz="0" w:space="0" w:color="auto"/>
            <w:right w:val="none" w:sz="0" w:space="0" w:color="auto"/>
          </w:divBdr>
        </w:div>
        <w:div w:id="1842163111">
          <w:marLeft w:val="640"/>
          <w:marRight w:val="0"/>
          <w:marTop w:val="0"/>
          <w:marBottom w:val="0"/>
          <w:divBdr>
            <w:top w:val="none" w:sz="0" w:space="0" w:color="auto"/>
            <w:left w:val="none" w:sz="0" w:space="0" w:color="auto"/>
            <w:bottom w:val="none" w:sz="0" w:space="0" w:color="auto"/>
            <w:right w:val="none" w:sz="0" w:space="0" w:color="auto"/>
          </w:divBdr>
        </w:div>
        <w:div w:id="127288517">
          <w:marLeft w:val="640"/>
          <w:marRight w:val="0"/>
          <w:marTop w:val="0"/>
          <w:marBottom w:val="0"/>
          <w:divBdr>
            <w:top w:val="none" w:sz="0" w:space="0" w:color="auto"/>
            <w:left w:val="none" w:sz="0" w:space="0" w:color="auto"/>
            <w:bottom w:val="none" w:sz="0" w:space="0" w:color="auto"/>
            <w:right w:val="none" w:sz="0" w:space="0" w:color="auto"/>
          </w:divBdr>
        </w:div>
        <w:div w:id="753433554">
          <w:marLeft w:val="640"/>
          <w:marRight w:val="0"/>
          <w:marTop w:val="0"/>
          <w:marBottom w:val="0"/>
          <w:divBdr>
            <w:top w:val="none" w:sz="0" w:space="0" w:color="auto"/>
            <w:left w:val="none" w:sz="0" w:space="0" w:color="auto"/>
            <w:bottom w:val="none" w:sz="0" w:space="0" w:color="auto"/>
            <w:right w:val="none" w:sz="0" w:space="0" w:color="auto"/>
          </w:divBdr>
        </w:div>
        <w:div w:id="290523419">
          <w:marLeft w:val="640"/>
          <w:marRight w:val="0"/>
          <w:marTop w:val="0"/>
          <w:marBottom w:val="0"/>
          <w:divBdr>
            <w:top w:val="none" w:sz="0" w:space="0" w:color="auto"/>
            <w:left w:val="none" w:sz="0" w:space="0" w:color="auto"/>
            <w:bottom w:val="none" w:sz="0" w:space="0" w:color="auto"/>
            <w:right w:val="none" w:sz="0" w:space="0" w:color="auto"/>
          </w:divBdr>
        </w:div>
        <w:div w:id="1025598020">
          <w:marLeft w:val="640"/>
          <w:marRight w:val="0"/>
          <w:marTop w:val="0"/>
          <w:marBottom w:val="0"/>
          <w:divBdr>
            <w:top w:val="none" w:sz="0" w:space="0" w:color="auto"/>
            <w:left w:val="none" w:sz="0" w:space="0" w:color="auto"/>
            <w:bottom w:val="none" w:sz="0" w:space="0" w:color="auto"/>
            <w:right w:val="none" w:sz="0" w:space="0" w:color="auto"/>
          </w:divBdr>
        </w:div>
        <w:div w:id="1783570921">
          <w:marLeft w:val="640"/>
          <w:marRight w:val="0"/>
          <w:marTop w:val="0"/>
          <w:marBottom w:val="0"/>
          <w:divBdr>
            <w:top w:val="none" w:sz="0" w:space="0" w:color="auto"/>
            <w:left w:val="none" w:sz="0" w:space="0" w:color="auto"/>
            <w:bottom w:val="none" w:sz="0" w:space="0" w:color="auto"/>
            <w:right w:val="none" w:sz="0" w:space="0" w:color="auto"/>
          </w:divBdr>
        </w:div>
        <w:div w:id="800727016">
          <w:marLeft w:val="640"/>
          <w:marRight w:val="0"/>
          <w:marTop w:val="0"/>
          <w:marBottom w:val="0"/>
          <w:divBdr>
            <w:top w:val="none" w:sz="0" w:space="0" w:color="auto"/>
            <w:left w:val="none" w:sz="0" w:space="0" w:color="auto"/>
            <w:bottom w:val="none" w:sz="0" w:space="0" w:color="auto"/>
            <w:right w:val="none" w:sz="0" w:space="0" w:color="auto"/>
          </w:divBdr>
        </w:div>
        <w:div w:id="528684719">
          <w:marLeft w:val="640"/>
          <w:marRight w:val="0"/>
          <w:marTop w:val="0"/>
          <w:marBottom w:val="0"/>
          <w:divBdr>
            <w:top w:val="none" w:sz="0" w:space="0" w:color="auto"/>
            <w:left w:val="none" w:sz="0" w:space="0" w:color="auto"/>
            <w:bottom w:val="none" w:sz="0" w:space="0" w:color="auto"/>
            <w:right w:val="none" w:sz="0" w:space="0" w:color="auto"/>
          </w:divBdr>
        </w:div>
        <w:div w:id="494803395">
          <w:marLeft w:val="640"/>
          <w:marRight w:val="0"/>
          <w:marTop w:val="0"/>
          <w:marBottom w:val="0"/>
          <w:divBdr>
            <w:top w:val="none" w:sz="0" w:space="0" w:color="auto"/>
            <w:left w:val="none" w:sz="0" w:space="0" w:color="auto"/>
            <w:bottom w:val="none" w:sz="0" w:space="0" w:color="auto"/>
            <w:right w:val="none" w:sz="0" w:space="0" w:color="auto"/>
          </w:divBdr>
        </w:div>
        <w:div w:id="1669021664">
          <w:marLeft w:val="640"/>
          <w:marRight w:val="0"/>
          <w:marTop w:val="0"/>
          <w:marBottom w:val="0"/>
          <w:divBdr>
            <w:top w:val="none" w:sz="0" w:space="0" w:color="auto"/>
            <w:left w:val="none" w:sz="0" w:space="0" w:color="auto"/>
            <w:bottom w:val="none" w:sz="0" w:space="0" w:color="auto"/>
            <w:right w:val="none" w:sz="0" w:space="0" w:color="auto"/>
          </w:divBdr>
        </w:div>
        <w:div w:id="85656946">
          <w:marLeft w:val="640"/>
          <w:marRight w:val="0"/>
          <w:marTop w:val="0"/>
          <w:marBottom w:val="0"/>
          <w:divBdr>
            <w:top w:val="none" w:sz="0" w:space="0" w:color="auto"/>
            <w:left w:val="none" w:sz="0" w:space="0" w:color="auto"/>
            <w:bottom w:val="none" w:sz="0" w:space="0" w:color="auto"/>
            <w:right w:val="none" w:sz="0" w:space="0" w:color="auto"/>
          </w:divBdr>
        </w:div>
        <w:div w:id="1364475650">
          <w:marLeft w:val="640"/>
          <w:marRight w:val="0"/>
          <w:marTop w:val="0"/>
          <w:marBottom w:val="0"/>
          <w:divBdr>
            <w:top w:val="none" w:sz="0" w:space="0" w:color="auto"/>
            <w:left w:val="none" w:sz="0" w:space="0" w:color="auto"/>
            <w:bottom w:val="none" w:sz="0" w:space="0" w:color="auto"/>
            <w:right w:val="none" w:sz="0" w:space="0" w:color="auto"/>
          </w:divBdr>
        </w:div>
        <w:div w:id="476383655">
          <w:marLeft w:val="640"/>
          <w:marRight w:val="0"/>
          <w:marTop w:val="0"/>
          <w:marBottom w:val="0"/>
          <w:divBdr>
            <w:top w:val="none" w:sz="0" w:space="0" w:color="auto"/>
            <w:left w:val="none" w:sz="0" w:space="0" w:color="auto"/>
            <w:bottom w:val="none" w:sz="0" w:space="0" w:color="auto"/>
            <w:right w:val="none" w:sz="0" w:space="0" w:color="auto"/>
          </w:divBdr>
        </w:div>
        <w:div w:id="17901091">
          <w:marLeft w:val="640"/>
          <w:marRight w:val="0"/>
          <w:marTop w:val="0"/>
          <w:marBottom w:val="0"/>
          <w:divBdr>
            <w:top w:val="none" w:sz="0" w:space="0" w:color="auto"/>
            <w:left w:val="none" w:sz="0" w:space="0" w:color="auto"/>
            <w:bottom w:val="none" w:sz="0" w:space="0" w:color="auto"/>
            <w:right w:val="none" w:sz="0" w:space="0" w:color="auto"/>
          </w:divBdr>
        </w:div>
        <w:div w:id="2102676674">
          <w:marLeft w:val="640"/>
          <w:marRight w:val="0"/>
          <w:marTop w:val="0"/>
          <w:marBottom w:val="0"/>
          <w:divBdr>
            <w:top w:val="none" w:sz="0" w:space="0" w:color="auto"/>
            <w:left w:val="none" w:sz="0" w:space="0" w:color="auto"/>
            <w:bottom w:val="none" w:sz="0" w:space="0" w:color="auto"/>
            <w:right w:val="none" w:sz="0" w:space="0" w:color="auto"/>
          </w:divBdr>
        </w:div>
        <w:div w:id="629552974">
          <w:marLeft w:val="640"/>
          <w:marRight w:val="0"/>
          <w:marTop w:val="0"/>
          <w:marBottom w:val="0"/>
          <w:divBdr>
            <w:top w:val="none" w:sz="0" w:space="0" w:color="auto"/>
            <w:left w:val="none" w:sz="0" w:space="0" w:color="auto"/>
            <w:bottom w:val="none" w:sz="0" w:space="0" w:color="auto"/>
            <w:right w:val="none" w:sz="0" w:space="0" w:color="auto"/>
          </w:divBdr>
        </w:div>
        <w:div w:id="146021776">
          <w:marLeft w:val="640"/>
          <w:marRight w:val="0"/>
          <w:marTop w:val="0"/>
          <w:marBottom w:val="0"/>
          <w:divBdr>
            <w:top w:val="none" w:sz="0" w:space="0" w:color="auto"/>
            <w:left w:val="none" w:sz="0" w:space="0" w:color="auto"/>
            <w:bottom w:val="none" w:sz="0" w:space="0" w:color="auto"/>
            <w:right w:val="none" w:sz="0" w:space="0" w:color="auto"/>
          </w:divBdr>
        </w:div>
        <w:div w:id="1610972672">
          <w:marLeft w:val="640"/>
          <w:marRight w:val="0"/>
          <w:marTop w:val="0"/>
          <w:marBottom w:val="0"/>
          <w:divBdr>
            <w:top w:val="none" w:sz="0" w:space="0" w:color="auto"/>
            <w:left w:val="none" w:sz="0" w:space="0" w:color="auto"/>
            <w:bottom w:val="none" w:sz="0" w:space="0" w:color="auto"/>
            <w:right w:val="none" w:sz="0" w:space="0" w:color="auto"/>
          </w:divBdr>
        </w:div>
        <w:div w:id="889463090">
          <w:marLeft w:val="640"/>
          <w:marRight w:val="0"/>
          <w:marTop w:val="0"/>
          <w:marBottom w:val="0"/>
          <w:divBdr>
            <w:top w:val="none" w:sz="0" w:space="0" w:color="auto"/>
            <w:left w:val="none" w:sz="0" w:space="0" w:color="auto"/>
            <w:bottom w:val="none" w:sz="0" w:space="0" w:color="auto"/>
            <w:right w:val="none" w:sz="0" w:space="0" w:color="auto"/>
          </w:divBdr>
        </w:div>
        <w:div w:id="857281599">
          <w:marLeft w:val="640"/>
          <w:marRight w:val="0"/>
          <w:marTop w:val="0"/>
          <w:marBottom w:val="0"/>
          <w:divBdr>
            <w:top w:val="none" w:sz="0" w:space="0" w:color="auto"/>
            <w:left w:val="none" w:sz="0" w:space="0" w:color="auto"/>
            <w:bottom w:val="none" w:sz="0" w:space="0" w:color="auto"/>
            <w:right w:val="none" w:sz="0" w:space="0" w:color="auto"/>
          </w:divBdr>
        </w:div>
        <w:div w:id="1167675497">
          <w:marLeft w:val="640"/>
          <w:marRight w:val="0"/>
          <w:marTop w:val="0"/>
          <w:marBottom w:val="0"/>
          <w:divBdr>
            <w:top w:val="none" w:sz="0" w:space="0" w:color="auto"/>
            <w:left w:val="none" w:sz="0" w:space="0" w:color="auto"/>
            <w:bottom w:val="none" w:sz="0" w:space="0" w:color="auto"/>
            <w:right w:val="none" w:sz="0" w:space="0" w:color="auto"/>
          </w:divBdr>
        </w:div>
        <w:div w:id="1624799492">
          <w:marLeft w:val="640"/>
          <w:marRight w:val="0"/>
          <w:marTop w:val="0"/>
          <w:marBottom w:val="0"/>
          <w:divBdr>
            <w:top w:val="none" w:sz="0" w:space="0" w:color="auto"/>
            <w:left w:val="none" w:sz="0" w:space="0" w:color="auto"/>
            <w:bottom w:val="none" w:sz="0" w:space="0" w:color="auto"/>
            <w:right w:val="none" w:sz="0" w:space="0" w:color="auto"/>
          </w:divBdr>
        </w:div>
        <w:div w:id="1992754913">
          <w:marLeft w:val="640"/>
          <w:marRight w:val="0"/>
          <w:marTop w:val="0"/>
          <w:marBottom w:val="0"/>
          <w:divBdr>
            <w:top w:val="none" w:sz="0" w:space="0" w:color="auto"/>
            <w:left w:val="none" w:sz="0" w:space="0" w:color="auto"/>
            <w:bottom w:val="none" w:sz="0" w:space="0" w:color="auto"/>
            <w:right w:val="none" w:sz="0" w:space="0" w:color="auto"/>
          </w:divBdr>
        </w:div>
        <w:div w:id="208763825">
          <w:marLeft w:val="640"/>
          <w:marRight w:val="0"/>
          <w:marTop w:val="0"/>
          <w:marBottom w:val="0"/>
          <w:divBdr>
            <w:top w:val="none" w:sz="0" w:space="0" w:color="auto"/>
            <w:left w:val="none" w:sz="0" w:space="0" w:color="auto"/>
            <w:bottom w:val="none" w:sz="0" w:space="0" w:color="auto"/>
            <w:right w:val="none" w:sz="0" w:space="0" w:color="auto"/>
          </w:divBdr>
        </w:div>
        <w:div w:id="1432968447">
          <w:marLeft w:val="640"/>
          <w:marRight w:val="0"/>
          <w:marTop w:val="0"/>
          <w:marBottom w:val="0"/>
          <w:divBdr>
            <w:top w:val="none" w:sz="0" w:space="0" w:color="auto"/>
            <w:left w:val="none" w:sz="0" w:space="0" w:color="auto"/>
            <w:bottom w:val="none" w:sz="0" w:space="0" w:color="auto"/>
            <w:right w:val="none" w:sz="0" w:space="0" w:color="auto"/>
          </w:divBdr>
        </w:div>
        <w:div w:id="1810704141">
          <w:marLeft w:val="640"/>
          <w:marRight w:val="0"/>
          <w:marTop w:val="0"/>
          <w:marBottom w:val="0"/>
          <w:divBdr>
            <w:top w:val="none" w:sz="0" w:space="0" w:color="auto"/>
            <w:left w:val="none" w:sz="0" w:space="0" w:color="auto"/>
            <w:bottom w:val="none" w:sz="0" w:space="0" w:color="auto"/>
            <w:right w:val="none" w:sz="0" w:space="0" w:color="auto"/>
          </w:divBdr>
        </w:div>
        <w:div w:id="1402022027">
          <w:marLeft w:val="640"/>
          <w:marRight w:val="0"/>
          <w:marTop w:val="0"/>
          <w:marBottom w:val="0"/>
          <w:divBdr>
            <w:top w:val="none" w:sz="0" w:space="0" w:color="auto"/>
            <w:left w:val="none" w:sz="0" w:space="0" w:color="auto"/>
            <w:bottom w:val="none" w:sz="0" w:space="0" w:color="auto"/>
            <w:right w:val="none" w:sz="0" w:space="0" w:color="auto"/>
          </w:divBdr>
        </w:div>
        <w:div w:id="1845391652">
          <w:marLeft w:val="640"/>
          <w:marRight w:val="0"/>
          <w:marTop w:val="0"/>
          <w:marBottom w:val="0"/>
          <w:divBdr>
            <w:top w:val="none" w:sz="0" w:space="0" w:color="auto"/>
            <w:left w:val="none" w:sz="0" w:space="0" w:color="auto"/>
            <w:bottom w:val="none" w:sz="0" w:space="0" w:color="auto"/>
            <w:right w:val="none" w:sz="0" w:space="0" w:color="auto"/>
          </w:divBdr>
        </w:div>
        <w:div w:id="214901657">
          <w:marLeft w:val="640"/>
          <w:marRight w:val="0"/>
          <w:marTop w:val="0"/>
          <w:marBottom w:val="0"/>
          <w:divBdr>
            <w:top w:val="none" w:sz="0" w:space="0" w:color="auto"/>
            <w:left w:val="none" w:sz="0" w:space="0" w:color="auto"/>
            <w:bottom w:val="none" w:sz="0" w:space="0" w:color="auto"/>
            <w:right w:val="none" w:sz="0" w:space="0" w:color="auto"/>
          </w:divBdr>
        </w:div>
        <w:div w:id="1510291440">
          <w:marLeft w:val="640"/>
          <w:marRight w:val="0"/>
          <w:marTop w:val="0"/>
          <w:marBottom w:val="0"/>
          <w:divBdr>
            <w:top w:val="none" w:sz="0" w:space="0" w:color="auto"/>
            <w:left w:val="none" w:sz="0" w:space="0" w:color="auto"/>
            <w:bottom w:val="none" w:sz="0" w:space="0" w:color="auto"/>
            <w:right w:val="none" w:sz="0" w:space="0" w:color="auto"/>
          </w:divBdr>
        </w:div>
        <w:div w:id="1463885503">
          <w:marLeft w:val="640"/>
          <w:marRight w:val="0"/>
          <w:marTop w:val="0"/>
          <w:marBottom w:val="0"/>
          <w:divBdr>
            <w:top w:val="none" w:sz="0" w:space="0" w:color="auto"/>
            <w:left w:val="none" w:sz="0" w:space="0" w:color="auto"/>
            <w:bottom w:val="none" w:sz="0" w:space="0" w:color="auto"/>
            <w:right w:val="none" w:sz="0" w:space="0" w:color="auto"/>
          </w:divBdr>
        </w:div>
        <w:div w:id="1881477632">
          <w:marLeft w:val="640"/>
          <w:marRight w:val="0"/>
          <w:marTop w:val="0"/>
          <w:marBottom w:val="0"/>
          <w:divBdr>
            <w:top w:val="none" w:sz="0" w:space="0" w:color="auto"/>
            <w:left w:val="none" w:sz="0" w:space="0" w:color="auto"/>
            <w:bottom w:val="none" w:sz="0" w:space="0" w:color="auto"/>
            <w:right w:val="none" w:sz="0" w:space="0" w:color="auto"/>
          </w:divBdr>
        </w:div>
        <w:div w:id="2135173964">
          <w:marLeft w:val="640"/>
          <w:marRight w:val="0"/>
          <w:marTop w:val="0"/>
          <w:marBottom w:val="0"/>
          <w:divBdr>
            <w:top w:val="none" w:sz="0" w:space="0" w:color="auto"/>
            <w:left w:val="none" w:sz="0" w:space="0" w:color="auto"/>
            <w:bottom w:val="none" w:sz="0" w:space="0" w:color="auto"/>
            <w:right w:val="none" w:sz="0" w:space="0" w:color="auto"/>
          </w:divBdr>
        </w:div>
        <w:div w:id="1140227056">
          <w:marLeft w:val="640"/>
          <w:marRight w:val="0"/>
          <w:marTop w:val="0"/>
          <w:marBottom w:val="0"/>
          <w:divBdr>
            <w:top w:val="none" w:sz="0" w:space="0" w:color="auto"/>
            <w:left w:val="none" w:sz="0" w:space="0" w:color="auto"/>
            <w:bottom w:val="none" w:sz="0" w:space="0" w:color="auto"/>
            <w:right w:val="none" w:sz="0" w:space="0" w:color="auto"/>
          </w:divBdr>
        </w:div>
        <w:div w:id="944456919">
          <w:marLeft w:val="640"/>
          <w:marRight w:val="0"/>
          <w:marTop w:val="0"/>
          <w:marBottom w:val="0"/>
          <w:divBdr>
            <w:top w:val="none" w:sz="0" w:space="0" w:color="auto"/>
            <w:left w:val="none" w:sz="0" w:space="0" w:color="auto"/>
            <w:bottom w:val="none" w:sz="0" w:space="0" w:color="auto"/>
            <w:right w:val="none" w:sz="0" w:space="0" w:color="auto"/>
          </w:divBdr>
        </w:div>
        <w:div w:id="162624431">
          <w:marLeft w:val="640"/>
          <w:marRight w:val="0"/>
          <w:marTop w:val="0"/>
          <w:marBottom w:val="0"/>
          <w:divBdr>
            <w:top w:val="none" w:sz="0" w:space="0" w:color="auto"/>
            <w:left w:val="none" w:sz="0" w:space="0" w:color="auto"/>
            <w:bottom w:val="none" w:sz="0" w:space="0" w:color="auto"/>
            <w:right w:val="none" w:sz="0" w:space="0" w:color="auto"/>
          </w:divBdr>
        </w:div>
        <w:div w:id="1396002514">
          <w:marLeft w:val="640"/>
          <w:marRight w:val="0"/>
          <w:marTop w:val="0"/>
          <w:marBottom w:val="0"/>
          <w:divBdr>
            <w:top w:val="none" w:sz="0" w:space="0" w:color="auto"/>
            <w:left w:val="none" w:sz="0" w:space="0" w:color="auto"/>
            <w:bottom w:val="none" w:sz="0" w:space="0" w:color="auto"/>
            <w:right w:val="none" w:sz="0" w:space="0" w:color="auto"/>
          </w:divBdr>
        </w:div>
        <w:div w:id="1033582111">
          <w:marLeft w:val="640"/>
          <w:marRight w:val="0"/>
          <w:marTop w:val="0"/>
          <w:marBottom w:val="0"/>
          <w:divBdr>
            <w:top w:val="none" w:sz="0" w:space="0" w:color="auto"/>
            <w:left w:val="none" w:sz="0" w:space="0" w:color="auto"/>
            <w:bottom w:val="none" w:sz="0" w:space="0" w:color="auto"/>
            <w:right w:val="none" w:sz="0" w:space="0" w:color="auto"/>
          </w:divBdr>
        </w:div>
        <w:div w:id="1784038134">
          <w:marLeft w:val="640"/>
          <w:marRight w:val="0"/>
          <w:marTop w:val="0"/>
          <w:marBottom w:val="0"/>
          <w:divBdr>
            <w:top w:val="none" w:sz="0" w:space="0" w:color="auto"/>
            <w:left w:val="none" w:sz="0" w:space="0" w:color="auto"/>
            <w:bottom w:val="none" w:sz="0" w:space="0" w:color="auto"/>
            <w:right w:val="none" w:sz="0" w:space="0" w:color="auto"/>
          </w:divBdr>
        </w:div>
        <w:div w:id="840506543">
          <w:marLeft w:val="640"/>
          <w:marRight w:val="0"/>
          <w:marTop w:val="0"/>
          <w:marBottom w:val="0"/>
          <w:divBdr>
            <w:top w:val="none" w:sz="0" w:space="0" w:color="auto"/>
            <w:left w:val="none" w:sz="0" w:space="0" w:color="auto"/>
            <w:bottom w:val="none" w:sz="0" w:space="0" w:color="auto"/>
            <w:right w:val="none" w:sz="0" w:space="0" w:color="auto"/>
          </w:divBdr>
        </w:div>
        <w:div w:id="2007053705">
          <w:marLeft w:val="640"/>
          <w:marRight w:val="0"/>
          <w:marTop w:val="0"/>
          <w:marBottom w:val="0"/>
          <w:divBdr>
            <w:top w:val="none" w:sz="0" w:space="0" w:color="auto"/>
            <w:left w:val="none" w:sz="0" w:space="0" w:color="auto"/>
            <w:bottom w:val="none" w:sz="0" w:space="0" w:color="auto"/>
            <w:right w:val="none" w:sz="0" w:space="0" w:color="auto"/>
          </w:divBdr>
        </w:div>
        <w:div w:id="625281682">
          <w:marLeft w:val="640"/>
          <w:marRight w:val="0"/>
          <w:marTop w:val="0"/>
          <w:marBottom w:val="0"/>
          <w:divBdr>
            <w:top w:val="none" w:sz="0" w:space="0" w:color="auto"/>
            <w:left w:val="none" w:sz="0" w:space="0" w:color="auto"/>
            <w:bottom w:val="none" w:sz="0" w:space="0" w:color="auto"/>
            <w:right w:val="none" w:sz="0" w:space="0" w:color="auto"/>
          </w:divBdr>
        </w:div>
        <w:div w:id="586421719">
          <w:marLeft w:val="640"/>
          <w:marRight w:val="0"/>
          <w:marTop w:val="0"/>
          <w:marBottom w:val="0"/>
          <w:divBdr>
            <w:top w:val="none" w:sz="0" w:space="0" w:color="auto"/>
            <w:left w:val="none" w:sz="0" w:space="0" w:color="auto"/>
            <w:bottom w:val="none" w:sz="0" w:space="0" w:color="auto"/>
            <w:right w:val="none" w:sz="0" w:space="0" w:color="auto"/>
          </w:divBdr>
        </w:div>
        <w:div w:id="618758047">
          <w:marLeft w:val="640"/>
          <w:marRight w:val="0"/>
          <w:marTop w:val="0"/>
          <w:marBottom w:val="0"/>
          <w:divBdr>
            <w:top w:val="none" w:sz="0" w:space="0" w:color="auto"/>
            <w:left w:val="none" w:sz="0" w:space="0" w:color="auto"/>
            <w:bottom w:val="none" w:sz="0" w:space="0" w:color="auto"/>
            <w:right w:val="none" w:sz="0" w:space="0" w:color="auto"/>
          </w:divBdr>
        </w:div>
        <w:div w:id="1635940445">
          <w:marLeft w:val="640"/>
          <w:marRight w:val="0"/>
          <w:marTop w:val="0"/>
          <w:marBottom w:val="0"/>
          <w:divBdr>
            <w:top w:val="none" w:sz="0" w:space="0" w:color="auto"/>
            <w:left w:val="none" w:sz="0" w:space="0" w:color="auto"/>
            <w:bottom w:val="none" w:sz="0" w:space="0" w:color="auto"/>
            <w:right w:val="none" w:sz="0" w:space="0" w:color="auto"/>
          </w:divBdr>
        </w:div>
        <w:div w:id="556090587">
          <w:marLeft w:val="640"/>
          <w:marRight w:val="0"/>
          <w:marTop w:val="0"/>
          <w:marBottom w:val="0"/>
          <w:divBdr>
            <w:top w:val="none" w:sz="0" w:space="0" w:color="auto"/>
            <w:left w:val="none" w:sz="0" w:space="0" w:color="auto"/>
            <w:bottom w:val="none" w:sz="0" w:space="0" w:color="auto"/>
            <w:right w:val="none" w:sz="0" w:space="0" w:color="auto"/>
          </w:divBdr>
        </w:div>
        <w:div w:id="571736598">
          <w:marLeft w:val="640"/>
          <w:marRight w:val="0"/>
          <w:marTop w:val="0"/>
          <w:marBottom w:val="0"/>
          <w:divBdr>
            <w:top w:val="none" w:sz="0" w:space="0" w:color="auto"/>
            <w:left w:val="none" w:sz="0" w:space="0" w:color="auto"/>
            <w:bottom w:val="none" w:sz="0" w:space="0" w:color="auto"/>
            <w:right w:val="none" w:sz="0" w:space="0" w:color="auto"/>
          </w:divBdr>
        </w:div>
        <w:div w:id="1376156283">
          <w:marLeft w:val="640"/>
          <w:marRight w:val="0"/>
          <w:marTop w:val="0"/>
          <w:marBottom w:val="0"/>
          <w:divBdr>
            <w:top w:val="none" w:sz="0" w:space="0" w:color="auto"/>
            <w:left w:val="none" w:sz="0" w:space="0" w:color="auto"/>
            <w:bottom w:val="none" w:sz="0" w:space="0" w:color="auto"/>
            <w:right w:val="none" w:sz="0" w:space="0" w:color="auto"/>
          </w:divBdr>
        </w:div>
        <w:div w:id="945622231">
          <w:marLeft w:val="640"/>
          <w:marRight w:val="0"/>
          <w:marTop w:val="0"/>
          <w:marBottom w:val="0"/>
          <w:divBdr>
            <w:top w:val="none" w:sz="0" w:space="0" w:color="auto"/>
            <w:left w:val="none" w:sz="0" w:space="0" w:color="auto"/>
            <w:bottom w:val="none" w:sz="0" w:space="0" w:color="auto"/>
            <w:right w:val="none" w:sz="0" w:space="0" w:color="auto"/>
          </w:divBdr>
        </w:div>
        <w:div w:id="289093155">
          <w:marLeft w:val="640"/>
          <w:marRight w:val="0"/>
          <w:marTop w:val="0"/>
          <w:marBottom w:val="0"/>
          <w:divBdr>
            <w:top w:val="none" w:sz="0" w:space="0" w:color="auto"/>
            <w:left w:val="none" w:sz="0" w:space="0" w:color="auto"/>
            <w:bottom w:val="none" w:sz="0" w:space="0" w:color="auto"/>
            <w:right w:val="none" w:sz="0" w:space="0" w:color="auto"/>
          </w:divBdr>
        </w:div>
        <w:div w:id="1932621213">
          <w:marLeft w:val="640"/>
          <w:marRight w:val="0"/>
          <w:marTop w:val="0"/>
          <w:marBottom w:val="0"/>
          <w:divBdr>
            <w:top w:val="none" w:sz="0" w:space="0" w:color="auto"/>
            <w:left w:val="none" w:sz="0" w:space="0" w:color="auto"/>
            <w:bottom w:val="none" w:sz="0" w:space="0" w:color="auto"/>
            <w:right w:val="none" w:sz="0" w:space="0" w:color="auto"/>
          </w:divBdr>
        </w:div>
        <w:div w:id="941573013">
          <w:marLeft w:val="640"/>
          <w:marRight w:val="0"/>
          <w:marTop w:val="0"/>
          <w:marBottom w:val="0"/>
          <w:divBdr>
            <w:top w:val="none" w:sz="0" w:space="0" w:color="auto"/>
            <w:left w:val="none" w:sz="0" w:space="0" w:color="auto"/>
            <w:bottom w:val="none" w:sz="0" w:space="0" w:color="auto"/>
            <w:right w:val="none" w:sz="0" w:space="0" w:color="auto"/>
          </w:divBdr>
        </w:div>
        <w:div w:id="759764091">
          <w:marLeft w:val="640"/>
          <w:marRight w:val="0"/>
          <w:marTop w:val="0"/>
          <w:marBottom w:val="0"/>
          <w:divBdr>
            <w:top w:val="none" w:sz="0" w:space="0" w:color="auto"/>
            <w:left w:val="none" w:sz="0" w:space="0" w:color="auto"/>
            <w:bottom w:val="none" w:sz="0" w:space="0" w:color="auto"/>
            <w:right w:val="none" w:sz="0" w:space="0" w:color="auto"/>
          </w:divBdr>
        </w:div>
        <w:div w:id="1359625040">
          <w:marLeft w:val="640"/>
          <w:marRight w:val="0"/>
          <w:marTop w:val="0"/>
          <w:marBottom w:val="0"/>
          <w:divBdr>
            <w:top w:val="none" w:sz="0" w:space="0" w:color="auto"/>
            <w:left w:val="none" w:sz="0" w:space="0" w:color="auto"/>
            <w:bottom w:val="none" w:sz="0" w:space="0" w:color="auto"/>
            <w:right w:val="none" w:sz="0" w:space="0" w:color="auto"/>
          </w:divBdr>
        </w:div>
        <w:div w:id="374820232">
          <w:marLeft w:val="640"/>
          <w:marRight w:val="0"/>
          <w:marTop w:val="0"/>
          <w:marBottom w:val="0"/>
          <w:divBdr>
            <w:top w:val="none" w:sz="0" w:space="0" w:color="auto"/>
            <w:left w:val="none" w:sz="0" w:space="0" w:color="auto"/>
            <w:bottom w:val="none" w:sz="0" w:space="0" w:color="auto"/>
            <w:right w:val="none" w:sz="0" w:space="0" w:color="auto"/>
          </w:divBdr>
        </w:div>
        <w:div w:id="484324366">
          <w:marLeft w:val="640"/>
          <w:marRight w:val="0"/>
          <w:marTop w:val="0"/>
          <w:marBottom w:val="0"/>
          <w:divBdr>
            <w:top w:val="none" w:sz="0" w:space="0" w:color="auto"/>
            <w:left w:val="none" w:sz="0" w:space="0" w:color="auto"/>
            <w:bottom w:val="none" w:sz="0" w:space="0" w:color="auto"/>
            <w:right w:val="none" w:sz="0" w:space="0" w:color="auto"/>
          </w:divBdr>
        </w:div>
        <w:div w:id="1833060350">
          <w:marLeft w:val="640"/>
          <w:marRight w:val="0"/>
          <w:marTop w:val="0"/>
          <w:marBottom w:val="0"/>
          <w:divBdr>
            <w:top w:val="none" w:sz="0" w:space="0" w:color="auto"/>
            <w:left w:val="none" w:sz="0" w:space="0" w:color="auto"/>
            <w:bottom w:val="none" w:sz="0" w:space="0" w:color="auto"/>
            <w:right w:val="none" w:sz="0" w:space="0" w:color="auto"/>
          </w:divBdr>
        </w:div>
        <w:div w:id="579413227">
          <w:marLeft w:val="640"/>
          <w:marRight w:val="0"/>
          <w:marTop w:val="0"/>
          <w:marBottom w:val="0"/>
          <w:divBdr>
            <w:top w:val="none" w:sz="0" w:space="0" w:color="auto"/>
            <w:left w:val="none" w:sz="0" w:space="0" w:color="auto"/>
            <w:bottom w:val="none" w:sz="0" w:space="0" w:color="auto"/>
            <w:right w:val="none" w:sz="0" w:space="0" w:color="auto"/>
          </w:divBdr>
        </w:div>
        <w:div w:id="1321617550">
          <w:marLeft w:val="640"/>
          <w:marRight w:val="0"/>
          <w:marTop w:val="0"/>
          <w:marBottom w:val="0"/>
          <w:divBdr>
            <w:top w:val="none" w:sz="0" w:space="0" w:color="auto"/>
            <w:left w:val="none" w:sz="0" w:space="0" w:color="auto"/>
            <w:bottom w:val="none" w:sz="0" w:space="0" w:color="auto"/>
            <w:right w:val="none" w:sz="0" w:space="0" w:color="auto"/>
          </w:divBdr>
        </w:div>
        <w:div w:id="375862179">
          <w:marLeft w:val="640"/>
          <w:marRight w:val="0"/>
          <w:marTop w:val="0"/>
          <w:marBottom w:val="0"/>
          <w:divBdr>
            <w:top w:val="none" w:sz="0" w:space="0" w:color="auto"/>
            <w:left w:val="none" w:sz="0" w:space="0" w:color="auto"/>
            <w:bottom w:val="none" w:sz="0" w:space="0" w:color="auto"/>
            <w:right w:val="none" w:sz="0" w:space="0" w:color="auto"/>
          </w:divBdr>
        </w:div>
        <w:div w:id="463239350">
          <w:marLeft w:val="640"/>
          <w:marRight w:val="0"/>
          <w:marTop w:val="0"/>
          <w:marBottom w:val="0"/>
          <w:divBdr>
            <w:top w:val="none" w:sz="0" w:space="0" w:color="auto"/>
            <w:left w:val="none" w:sz="0" w:space="0" w:color="auto"/>
            <w:bottom w:val="none" w:sz="0" w:space="0" w:color="auto"/>
            <w:right w:val="none" w:sz="0" w:space="0" w:color="auto"/>
          </w:divBdr>
        </w:div>
        <w:div w:id="238057462">
          <w:marLeft w:val="640"/>
          <w:marRight w:val="0"/>
          <w:marTop w:val="0"/>
          <w:marBottom w:val="0"/>
          <w:divBdr>
            <w:top w:val="none" w:sz="0" w:space="0" w:color="auto"/>
            <w:left w:val="none" w:sz="0" w:space="0" w:color="auto"/>
            <w:bottom w:val="none" w:sz="0" w:space="0" w:color="auto"/>
            <w:right w:val="none" w:sz="0" w:space="0" w:color="auto"/>
          </w:divBdr>
        </w:div>
        <w:div w:id="1663465538">
          <w:marLeft w:val="640"/>
          <w:marRight w:val="0"/>
          <w:marTop w:val="0"/>
          <w:marBottom w:val="0"/>
          <w:divBdr>
            <w:top w:val="none" w:sz="0" w:space="0" w:color="auto"/>
            <w:left w:val="none" w:sz="0" w:space="0" w:color="auto"/>
            <w:bottom w:val="none" w:sz="0" w:space="0" w:color="auto"/>
            <w:right w:val="none" w:sz="0" w:space="0" w:color="auto"/>
          </w:divBdr>
        </w:div>
        <w:div w:id="2067677353">
          <w:marLeft w:val="640"/>
          <w:marRight w:val="0"/>
          <w:marTop w:val="0"/>
          <w:marBottom w:val="0"/>
          <w:divBdr>
            <w:top w:val="none" w:sz="0" w:space="0" w:color="auto"/>
            <w:left w:val="none" w:sz="0" w:space="0" w:color="auto"/>
            <w:bottom w:val="none" w:sz="0" w:space="0" w:color="auto"/>
            <w:right w:val="none" w:sz="0" w:space="0" w:color="auto"/>
          </w:divBdr>
        </w:div>
        <w:div w:id="2032995929">
          <w:marLeft w:val="640"/>
          <w:marRight w:val="0"/>
          <w:marTop w:val="0"/>
          <w:marBottom w:val="0"/>
          <w:divBdr>
            <w:top w:val="none" w:sz="0" w:space="0" w:color="auto"/>
            <w:left w:val="none" w:sz="0" w:space="0" w:color="auto"/>
            <w:bottom w:val="none" w:sz="0" w:space="0" w:color="auto"/>
            <w:right w:val="none" w:sz="0" w:space="0" w:color="auto"/>
          </w:divBdr>
        </w:div>
        <w:div w:id="397870361">
          <w:marLeft w:val="640"/>
          <w:marRight w:val="0"/>
          <w:marTop w:val="0"/>
          <w:marBottom w:val="0"/>
          <w:divBdr>
            <w:top w:val="none" w:sz="0" w:space="0" w:color="auto"/>
            <w:left w:val="none" w:sz="0" w:space="0" w:color="auto"/>
            <w:bottom w:val="none" w:sz="0" w:space="0" w:color="auto"/>
            <w:right w:val="none" w:sz="0" w:space="0" w:color="auto"/>
          </w:divBdr>
        </w:div>
        <w:div w:id="1602952499">
          <w:marLeft w:val="640"/>
          <w:marRight w:val="0"/>
          <w:marTop w:val="0"/>
          <w:marBottom w:val="0"/>
          <w:divBdr>
            <w:top w:val="none" w:sz="0" w:space="0" w:color="auto"/>
            <w:left w:val="none" w:sz="0" w:space="0" w:color="auto"/>
            <w:bottom w:val="none" w:sz="0" w:space="0" w:color="auto"/>
            <w:right w:val="none" w:sz="0" w:space="0" w:color="auto"/>
          </w:divBdr>
        </w:div>
        <w:div w:id="307249598">
          <w:marLeft w:val="640"/>
          <w:marRight w:val="0"/>
          <w:marTop w:val="0"/>
          <w:marBottom w:val="0"/>
          <w:divBdr>
            <w:top w:val="none" w:sz="0" w:space="0" w:color="auto"/>
            <w:left w:val="none" w:sz="0" w:space="0" w:color="auto"/>
            <w:bottom w:val="none" w:sz="0" w:space="0" w:color="auto"/>
            <w:right w:val="none" w:sz="0" w:space="0" w:color="auto"/>
          </w:divBdr>
        </w:div>
        <w:div w:id="452943704">
          <w:marLeft w:val="640"/>
          <w:marRight w:val="0"/>
          <w:marTop w:val="0"/>
          <w:marBottom w:val="0"/>
          <w:divBdr>
            <w:top w:val="none" w:sz="0" w:space="0" w:color="auto"/>
            <w:left w:val="none" w:sz="0" w:space="0" w:color="auto"/>
            <w:bottom w:val="none" w:sz="0" w:space="0" w:color="auto"/>
            <w:right w:val="none" w:sz="0" w:space="0" w:color="auto"/>
          </w:divBdr>
        </w:div>
        <w:div w:id="1456213950">
          <w:marLeft w:val="640"/>
          <w:marRight w:val="0"/>
          <w:marTop w:val="0"/>
          <w:marBottom w:val="0"/>
          <w:divBdr>
            <w:top w:val="none" w:sz="0" w:space="0" w:color="auto"/>
            <w:left w:val="none" w:sz="0" w:space="0" w:color="auto"/>
            <w:bottom w:val="none" w:sz="0" w:space="0" w:color="auto"/>
            <w:right w:val="none" w:sz="0" w:space="0" w:color="auto"/>
          </w:divBdr>
        </w:div>
        <w:div w:id="332536037">
          <w:marLeft w:val="640"/>
          <w:marRight w:val="0"/>
          <w:marTop w:val="0"/>
          <w:marBottom w:val="0"/>
          <w:divBdr>
            <w:top w:val="none" w:sz="0" w:space="0" w:color="auto"/>
            <w:left w:val="none" w:sz="0" w:space="0" w:color="auto"/>
            <w:bottom w:val="none" w:sz="0" w:space="0" w:color="auto"/>
            <w:right w:val="none" w:sz="0" w:space="0" w:color="auto"/>
          </w:divBdr>
        </w:div>
        <w:div w:id="131681798">
          <w:marLeft w:val="640"/>
          <w:marRight w:val="0"/>
          <w:marTop w:val="0"/>
          <w:marBottom w:val="0"/>
          <w:divBdr>
            <w:top w:val="none" w:sz="0" w:space="0" w:color="auto"/>
            <w:left w:val="none" w:sz="0" w:space="0" w:color="auto"/>
            <w:bottom w:val="none" w:sz="0" w:space="0" w:color="auto"/>
            <w:right w:val="none" w:sz="0" w:space="0" w:color="auto"/>
          </w:divBdr>
        </w:div>
        <w:div w:id="902252903">
          <w:marLeft w:val="640"/>
          <w:marRight w:val="0"/>
          <w:marTop w:val="0"/>
          <w:marBottom w:val="0"/>
          <w:divBdr>
            <w:top w:val="none" w:sz="0" w:space="0" w:color="auto"/>
            <w:left w:val="none" w:sz="0" w:space="0" w:color="auto"/>
            <w:bottom w:val="none" w:sz="0" w:space="0" w:color="auto"/>
            <w:right w:val="none" w:sz="0" w:space="0" w:color="auto"/>
          </w:divBdr>
        </w:div>
        <w:div w:id="515508300">
          <w:marLeft w:val="640"/>
          <w:marRight w:val="0"/>
          <w:marTop w:val="0"/>
          <w:marBottom w:val="0"/>
          <w:divBdr>
            <w:top w:val="none" w:sz="0" w:space="0" w:color="auto"/>
            <w:left w:val="none" w:sz="0" w:space="0" w:color="auto"/>
            <w:bottom w:val="none" w:sz="0" w:space="0" w:color="auto"/>
            <w:right w:val="none" w:sz="0" w:space="0" w:color="auto"/>
          </w:divBdr>
        </w:div>
        <w:div w:id="1797873904">
          <w:marLeft w:val="640"/>
          <w:marRight w:val="0"/>
          <w:marTop w:val="0"/>
          <w:marBottom w:val="0"/>
          <w:divBdr>
            <w:top w:val="none" w:sz="0" w:space="0" w:color="auto"/>
            <w:left w:val="none" w:sz="0" w:space="0" w:color="auto"/>
            <w:bottom w:val="none" w:sz="0" w:space="0" w:color="auto"/>
            <w:right w:val="none" w:sz="0" w:space="0" w:color="auto"/>
          </w:divBdr>
        </w:div>
        <w:div w:id="795609702">
          <w:marLeft w:val="640"/>
          <w:marRight w:val="0"/>
          <w:marTop w:val="0"/>
          <w:marBottom w:val="0"/>
          <w:divBdr>
            <w:top w:val="none" w:sz="0" w:space="0" w:color="auto"/>
            <w:left w:val="none" w:sz="0" w:space="0" w:color="auto"/>
            <w:bottom w:val="none" w:sz="0" w:space="0" w:color="auto"/>
            <w:right w:val="none" w:sz="0" w:space="0" w:color="auto"/>
          </w:divBdr>
        </w:div>
        <w:div w:id="1870876409">
          <w:marLeft w:val="640"/>
          <w:marRight w:val="0"/>
          <w:marTop w:val="0"/>
          <w:marBottom w:val="0"/>
          <w:divBdr>
            <w:top w:val="none" w:sz="0" w:space="0" w:color="auto"/>
            <w:left w:val="none" w:sz="0" w:space="0" w:color="auto"/>
            <w:bottom w:val="none" w:sz="0" w:space="0" w:color="auto"/>
            <w:right w:val="none" w:sz="0" w:space="0" w:color="auto"/>
          </w:divBdr>
        </w:div>
        <w:div w:id="536892190">
          <w:marLeft w:val="640"/>
          <w:marRight w:val="0"/>
          <w:marTop w:val="0"/>
          <w:marBottom w:val="0"/>
          <w:divBdr>
            <w:top w:val="none" w:sz="0" w:space="0" w:color="auto"/>
            <w:left w:val="none" w:sz="0" w:space="0" w:color="auto"/>
            <w:bottom w:val="none" w:sz="0" w:space="0" w:color="auto"/>
            <w:right w:val="none" w:sz="0" w:space="0" w:color="auto"/>
          </w:divBdr>
        </w:div>
        <w:div w:id="1144615254">
          <w:marLeft w:val="640"/>
          <w:marRight w:val="0"/>
          <w:marTop w:val="0"/>
          <w:marBottom w:val="0"/>
          <w:divBdr>
            <w:top w:val="none" w:sz="0" w:space="0" w:color="auto"/>
            <w:left w:val="none" w:sz="0" w:space="0" w:color="auto"/>
            <w:bottom w:val="none" w:sz="0" w:space="0" w:color="auto"/>
            <w:right w:val="none" w:sz="0" w:space="0" w:color="auto"/>
          </w:divBdr>
        </w:div>
        <w:div w:id="2121414123">
          <w:marLeft w:val="640"/>
          <w:marRight w:val="0"/>
          <w:marTop w:val="0"/>
          <w:marBottom w:val="0"/>
          <w:divBdr>
            <w:top w:val="none" w:sz="0" w:space="0" w:color="auto"/>
            <w:left w:val="none" w:sz="0" w:space="0" w:color="auto"/>
            <w:bottom w:val="none" w:sz="0" w:space="0" w:color="auto"/>
            <w:right w:val="none" w:sz="0" w:space="0" w:color="auto"/>
          </w:divBdr>
        </w:div>
        <w:div w:id="448548241">
          <w:marLeft w:val="640"/>
          <w:marRight w:val="0"/>
          <w:marTop w:val="0"/>
          <w:marBottom w:val="0"/>
          <w:divBdr>
            <w:top w:val="none" w:sz="0" w:space="0" w:color="auto"/>
            <w:left w:val="none" w:sz="0" w:space="0" w:color="auto"/>
            <w:bottom w:val="none" w:sz="0" w:space="0" w:color="auto"/>
            <w:right w:val="none" w:sz="0" w:space="0" w:color="auto"/>
          </w:divBdr>
        </w:div>
        <w:div w:id="1212621526">
          <w:marLeft w:val="640"/>
          <w:marRight w:val="0"/>
          <w:marTop w:val="0"/>
          <w:marBottom w:val="0"/>
          <w:divBdr>
            <w:top w:val="none" w:sz="0" w:space="0" w:color="auto"/>
            <w:left w:val="none" w:sz="0" w:space="0" w:color="auto"/>
            <w:bottom w:val="none" w:sz="0" w:space="0" w:color="auto"/>
            <w:right w:val="none" w:sz="0" w:space="0" w:color="auto"/>
          </w:divBdr>
        </w:div>
        <w:div w:id="107627342">
          <w:marLeft w:val="640"/>
          <w:marRight w:val="0"/>
          <w:marTop w:val="0"/>
          <w:marBottom w:val="0"/>
          <w:divBdr>
            <w:top w:val="none" w:sz="0" w:space="0" w:color="auto"/>
            <w:left w:val="none" w:sz="0" w:space="0" w:color="auto"/>
            <w:bottom w:val="none" w:sz="0" w:space="0" w:color="auto"/>
            <w:right w:val="none" w:sz="0" w:space="0" w:color="auto"/>
          </w:divBdr>
        </w:div>
        <w:div w:id="1021131499">
          <w:marLeft w:val="640"/>
          <w:marRight w:val="0"/>
          <w:marTop w:val="0"/>
          <w:marBottom w:val="0"/>
          <w:divBdr>
            <w:top w:val="none" w:sz="0" w:space="0" w:color="auto"/>
            <w:left w:val="none" w:sz="0" w:space="0" w:color="auto"/>
            <w:bottom w:val="none" w:sz="0" w:space="0" w:color="auto"/>
            <w:right w:val="none" w:sz="0" w:space="0" w:color="auto"/>
          </w:divBdr>
        </w:div>
        <w:div w:id="1481456749">
          <w:marLeft w:val="640"/>
          <w:marRight w:val="0"/>
          <w:marTop w:val="0"/>
          <w:marBottom w:val="0"/>
          <w:divBdr>
            <w:top w:val="none" w:sz="0" w:space="0" w:color="auto"/>
            <w:left w:val="none" w:sz="0" w:space="0" w:color="auto"/>
            <w:bottom w:val="none" w:sz="0" w:space="0" w:color="auto"/>
            <w:right w:val="none" w:sz="0" w:space="0" w:color="auto"/>
          </w:divBdr>
        </w:div>
        <w:div w:id="491987549">
          <w:marLeft w:val="640"/>
          <w:marRight w:val="0"/>
          <w:marTop w:val="0"/>
          <w:marBottom w:val="0"/>
          <w:divBdr>
            <w:top w:val="none" w:sz="0" w:space="0" w:color="auto"/>
            <w:left w:val="none" w:sz="0" w:space="0" w:color="auto"/>
            <w:bottom w:val="none" w:sz="0" w:space="0" w:color="auto"/>
            <w:right w:val="none" w:sz="0" w:space="0" w:color="auto"/>
          </w:divBdr>
        </w:div>
        <w:div w:id="1162311039">
          <w:marLeft w:val="640"/>
          <w:marRight w:val="0"/>
          <w:marTop w:val="0"/>
          <w:marBottom w:val="0"/>
          <w:divBdr>
            <w:top w:val="none" w:sz="0" w:space="0" w:color="auto"/>
            <w:left w:val="none" w:sz="0" w:space="0" w:color="auto"/>
            <w:bottom w:val="none" w:sz="0" w:space="0" w:color="auto"/>
            <w:right w:val="none" w:sz="0" w:space="0" w:color="auto"/>
          </w:divBdr>
        </w:div>
        <w:div w:id="315883602">
          <w:marLeft w:val="640"/>
          <w:marRight w:val="0"/>
          <w:marTop w:val="0"/>
          <w:marBottom w:val="0"/>
          <w:divBdr>
            <w:top w:val="none" w:sz="0" w:space="0" w:color="auto"/>
            <w:left w:val="none" w:sz="0" w:space="0" w:color="auto"/>
            <w:bottom w:val="none" w:sz="0" w:space="0" w:color="auto"/>
            <w:right w:val="none" w:sz="0" w:space="0" w:color="auto"/>
          </w:divBdr>
        </w:div>
        <w:div w:id="259602271">
          <w:marLeft w:val="640"/>
          <w:marRight w:val="0"/>
          <w:marTop w:val="0"/>
          <w:marBottom w:val="0"/>
          <w:divBdr>
            <w:top w:val="none" w:sz="0" w:space="0" w:color="auto"/>
            <w:left w:val="none" w:sz="0" w:space="0" w:color="auto"/>
            <w:bottom w:val="none" w:sz="0" w:space="0" w:color="auto"/>
            <w:right w:val="none" w:sz="0" w:space="0" w:color="auto"/>
          </w:divBdr>
        </w:div>
        <w:div w:id="378894389">
          <w:marLeft w:val="640"/>
          <w:marRight w:val="0"/>
          <w:marTop w:val="0"/>
          <w:marBottom w:val="0"/>
          <w:divBdr>
            <w:top w:val="none" w:sz="0" w:space="0" w:color="auto"/>
            <w:left w:val="none" w:sz="0" w:space="0" w:color="auto"/>
            <w:bottom w:val="none" w:sz="0" w:space="0" w:color="auto"/>
            <w:right w:val="none" w:sz="0" w:space="0" w:color="auto"/>
          </w:divBdr>
        </w:div>
        <w:div w:id="1414427126">
          <w:marLeft w:val="640"/>
          <w:marRight w:val="0"/>
          <w:marTop w:val="0"/>
          <w:marBottom w:val="0"/>
          <w:divBdr>
            <w:top w:val="none" w:sz="0" w:space="0" w:color="auto"/>
            <w:left w:val="none" w:sz="0" w:space="0" w:color="auto"/>
            <w:bottom w:val="none" w:sz="0" w:space="0" w:color="auto"/>
            <w:right w:val="none" w:sz="0" w:space="0" w:color="auto"/>
          </w:divBdr>
        </w:div>
        <w:div w:id="913004670">
          <w:marLeft w:val="640"/>
          <w:marRight w:val="0"/>
          <w:marTop w:val="0"/>
          <w:marBottom w:val="0"/>
          <w:divBdr>
            <w:top w:val="none" w:sz="0" w:space="0" w:color="auto"/>
            <w:left w:val="none" w:sz="0" w:space="0" w:color="auto"/>
            <w:bottom w:val="none" w:sz="0" w:space="0" w:color="auto"/>
            <w:right w:val="none" w:sz="0" w:space="0" w:color="auto"/>
          </w:divBdr>
        </w:div>
        <w:div w:id="949508810">
          <w:marLeft w:val="640"/>
          <w:marRight w:val="0"/>
          <w:marTop w:val="0"/>
          <w:marBottom w:val="0"/>
          <w:divBdr>
            <w:top w:val="none" w:sz="0" w:space="0" w:color="auto"/>
            <w:left w:val="none" w:sz="0" w:space="0" w:color="auto"/>
            <w:bottom w:val="none" w:sz="0" w:space="0" w:color="auto"/>
            <w:right w:val="none" w:sz="0" w:space="0" w:color="auto"/>
          </w:divBdr>
        </w:div>
        <w:div w:id="796025481">
          <w:marLeft w:val="640"/>
          <w:marRight w:val="0"/>
          <w:marTop w:val="0"/>
          <w:marBottom w:val="0"/>
          <w:divBdr>
            <w:top w:val="none" w:sz="0" w:space="0" w:color="auto"/>
            <w:left w:val="none" w:sz="0" w:space="0" w:color="auto"/>
            <w:bottom w:val="none" w:sz="0" w:space="0" w:color="auto"/>
            <w:right w:val="none" w:sz="0" w:space="0" w:color="auto"/>
          </w:divBdr>
        </w:div>
        <w:div w:id="2089768131">
          <w:marLeft w:val="640"/>
          <w:marRight w:val="0"/>
          <w:marTop w:val="0"/>
          <w:marBottom w:val="0"/>
          <w:divBdr>
            <w:top w:val="none" w:sz="0" w:space="0" w:color="auto"/>
            <w:left w:val="none" w:sz="0" w:space="0" w:color="auto"/>
            <w:bottom w:val="none" w:sz="0" w:space="0" w:color="auto"/>
            <w:right w:val="none" w:sz="0" w:space="0" w:color="auto"/>
          </w:divBdr>
        </w:div>
        <w:div w:id="1870490964">
          <w:marLeft w:val="640"/>
          <w:marRight w:val="0"/>
          <w:marTop w:val="0"/>
          <w:marBottom w:val="0"/>
          <w:divBdr>
            <w:top w:val="none" w:sz="0" w:space="0" w:color="auto"/>
            <w:left w:val="none" w:sz="0" w:space="0" w:color="auto"/>
            <w:bottom w:val="none" w:sz="0" w:space="0" w:color="auto"/>
            <w:right w:val="none" w:sz="0" w:space="0" w:color="auto"/>
          </w:divBdr>
        </w:div>
        <w:div w:id="1620188525">
          <w:marLeft w:val="640"/>
          <w:marRight w:val="0"/>
          <w:marTop w:val="0"/>
          <w:marBottom w:val="0"/>
          <w:divBdr>
            <w:top w:val="none" w:sz="0" w:space="0" w:color="auto"/>
            <w:left w:val="none" w:sz="0" w:space="0" w:color="auto"/>
            <w:bottom w:val="none" w:sz="0" w:space="0" w:color="auto"/>
            <w:right w:val="none" w:sz="0" w:space="0" w:color="auto"/>
          </w:divBdr>
        </w:div>
        <w:div w:id="828594058">
          <w:marLeft w:val="640"/>
          <w:marRight w:val="0"/>
          <w:marTop w:val="0"/>
          <w:marBottom w:val="0"/>
          <w:divBdr>
            <w:top w:val="none" w:sz="0" w:space="0" w:color="auto"/>
            <w:left w:val="none" w:sz="0" w:space="0" w:color="auto"/>
            <w:bottom w:val="none" w:sz="0" w:space="0" w:color="auto"/>
            <w:right w:val="none" w:sz="0" w:space="0" w:color="auto"/>
          </w:divBdr>
        </w:div>
        <w:div w:id="554590193">
          <w:marLeft w:val="640"/>
          <w:marRight w:val="0"/>
          <w:marTop w:val="0"/>
          <w:marBottom w:val="0"/>
          <w:divBdr>
            <w:top w:val="none" w:sz="0" w:space="0" w:color="auto"/>
            <w:left w:val="none" w:sz="0" w:space="0" w:color="auto"/>
            <w:bottom w:val="none" w:sz="0" w:space="0" w:color="auto"/>
            <w:right w:val="none" w:sz="0" w:space="0" w:color="auto"/>
          </w:divBdr>
        </w:div>
        <w:div w:id="330373988">
          <w:marLeft w:val="640"/>
          <w:marRight w:val="0"/>
          <w:marTop w:val="0"/>
          <w:marBottom w:val="0"/>
          <w:divBdr>
            <w:top w:val="none" w:sz="0" w:space="0" w:color="auto"/>
            <w:left w:val="none" w:sz="0" w:space="0" w:color="auto"/>
            <w:bottom w:val="none" w:sz="0" w:space="0" w:color="auto"/>
            <w:right w:val="none" w:sz="0" w:space="0" w:color="auto"/>
          </w:divBdr>
        </w:div>
        <w:div w:id="966355774">
          <w:marLeft w:val="640"/>
          <w:marRight w:val="0"/>
          <w:marTop w:val="0"/>
          <w:marBottom w:val="0"/>
          <w:divBdr>
            <w:top w:val="none" w:sz="0" w:space="0" w:color="auto"/>
            <w:left w:val="none" w:sz="0" w:space="0" w:color="auto"/>
            <w:bottom w:val="none" w:sz="0" w:space="0" w:color="auto"/>
            <w:right w:val="none" w:sz="0" w:space="0" w:color="auto"/>
          </w:divBdr>
        </w:div>
        <w:div w:id="1669403301">
          <w:marLeft w:val="640"/>
          <w:marRight w:val="0"/>
          <w:marTop w:val="0"/>
          <w:marBottom w:val="0"/>
          <w:divBdr>
            <w:top w:val="none" w:sz="0" w:space="0" w:color="auto"/>
            <w:left w:val="none" w:sz="0" w:space="0" w:color="auto"/>
            <w:bottom w:val="none" w:sz="0" w:space="0" w:color="auto"/>
            <w:right w:val="none" w:sz="0" w:space="0" w:color="auto"/>
          </w:divBdr>
        </w:div>
        <w:div w:id="1819036030">
          <w:marLeft w:val="640"/>
          <w:marRight w:val="0"/>
          <w:marTop w:val="0"/>
          <w:marBottom w:val="0"/>
          <w:divBdr>
            <w:top w:val="none" w:sz="0" w:space="0" w:color="auto"/>
            <w:left w:val="none" w:sz="0" w:space="0" w:color="auto"/>
            <w:bottom w:val="none" w:sz="0" w:space="0" w:color="auto"/>
            <w:right w:val="none" w:sz="0" w:space="0" w:color="auto"/>
          </w:divBdr>
        </w:div>
        <w:div w:id="430472702">
          <w:marLeft w:val="640"/>
          <w:marRight w:val="0"/>
          <w:marTop w:val="0"/>
          <w:marBottom w:val="0"/>
          <w:divBdr>
            <w:top w:val="none" w:sz="0" w:space="0" w:color="auto"/>
            <w:left w:val="none" w:sz="0" w:space="0" w:color="auto"/>
            <w:bottom w:val="none" w:sz="0" w:space="0" w:color="auto"/>
            <w:right w:val="none" w:sz="0" w:space="0" w:color="auto"/>
          </w:divBdr>
        </w:div>
        <w:div w:id="624309365">
          <w:marLeft w:val="640"/>
          <w:marRight w:val="0"/>
          <w:marTop w:val="0"/>
          <w:marBottom w:val="0"/>
          <w:divBdr>
            <w:top w:val="none" w:sz="0" w:space="0" w:color="auto"/>
            <w:left w:val="none" w:sz="0" w:space="0" w:color="auto"/>
            <w:bottom w:val="none" w:sz="0" w:space="0" w:color="auto"/>
            <w:right w:val="none" w:sz="0" w:space="0" w:color="auto"/>
          </w:divBdr>
        </w:div>
        <w:div w:id="1219324810">
          <w:marLeft w:val="640"/>
          <w:marRight w:val="0"/>
          <w:marTop w:val="0"/>
          <w:marBottom w:val="0"/>
          <w:divBdr>
            <w:top w:val="none" w:sz="0" w:space="0" w:color="auto"/>
            <w:left w:val="none" w:sz="0" w:space="0" w:color="auto"/>
            <w:bottom w:val="none" w:sz="0" w:space="0" w:color="auto"/>
            <w:right w:val="none" w:sz="0" w:space="0" w:color="auto"/>
          </w:divBdr>
        </w:div>
        <w:div w:id="1790735875">
          <w:marLeft w:val="640"/>
          <w:marRight w:val="0"/>
          <w:marTop w:val="0"/>
          <w:marBottom w:val="0"/>
          <w:divBdr>
            <w:top w:val="none" w:sz="0" w:space="0" w:color="auto"/>
            <w:left w:val="none" w:sz="0" w:space="0" w:color="auto"/>
            <w:bottom w:val="none" w:sz="0" w:space="0" w:color="auto"/>
            <w:right w:val="none" w:sz="0" w:space="0" w:color="auto"/>
          </w:divBdr>
        </w:div>
        <w:div w:id="1805854986">
          <w:marLeft w:val="640"/>
          <w:marRight w:val="0"/>
          <w:marTop w:val="0"/>
          <w:marBottom w:val="0"/>
          <w:divBdr>
            <w:top w:val="none" w:sz="0" w:space="0" w:color="auto"/>
            <w:left w:val="none" w:sz="0" w:space="0" w:color="auto"/>
            <w:bottom w:val="none" w:sz="0" w:space="0" w:color="auto"/>
            <w:right w:val="none" w:sz="0" w:space="0" w:color="auto"/>
          </w:divBdr>
        </w:div>
        <w:div w:id="920485181">
          <w:marLeft w:val="640"/>
          <w:marRight w:val="0"/>
          <w:marTop w:val="0"/>
          <w:marBottom w:val="0"/>
          <w:divBdr>
            <w:top w:val="none" w:sz="0" w:space="0" w:color="auto"/>
            <w:left w:val="none" w:sz="0" w:space="0" w:color="auto"/>
            <w:bottom w:val="none" w:sz="0" w:space="0" w:color="auto"/>
            <w:right w:val="none" w:sz="0" w:space="0" w:color="auto"/>
          </w:divBdr>
        </w:div>
        <w:div w:id="1735009957">
          <w:marLeft w:val="640"/>
          <w:marRight w:val="0"/>
          <w:marTop w:val="0"/>
          <w:marBottom w:val="0"/>
          <w:divBdr>
            <w:top w:val="none" w:sz="0" w:space="0" w:color="auto"/>
            <w:left w:val="none" w:sz="0" w:space="0" w:color="auto"/>
            <w:bottom w:val="none" w:sz="0" w:space="0" w:color="auto"/>
            <w:right w:val="none" w:sz="0" w:space="0" w:color="auto"/>
          </w:divBdr>
        </w:div>
        <w:div w:id="314770432">
          <w:marLeft w:val="640"/>
          <w:marRight w:val="0"/>
          <w:marTop w:val="0"/>
          <w:marBottom w:val="0"/>
          <w:divBdr>
            <w:top w:val="none" w:sz="0" w:space="0" w:color="auto"/>
            <w:left w:val="none" w:sz="0" w:space="0" w:color="auto"/>
            <w:bottom w:val="none" w:sz="0" w:space="0" w:color="auto"/>
            <w:right w:val="none" w:sz="0" w:space="0" w:color="auto"/>
          </w:divBdr>
        </w:div>
        <w:div w:id="660542200">
          <w:marLeft w:val="640"/>
          <w:marRight w:val="0"/>
          <w:marTop w:val="0"/>
          <w:marBottom w:val="0"/>
          <w:divBdr>
            <w:top w:val="none" w:sz="0" w:space="0" w:color="auto"/>
            <w:left w:val="none" w:sz="0" w:space="0" w:color="auto"/>
            <w:bottom w:val="none" w:sz="0" w:space="0" w:color="auto"/>
            <w:right w:val="none" w:sz="0" w:space="0" w:color="auto"/>
          </w:divBdr>
        </w:div>
        <w:div w:id="789864529">
          <w:marLeft w:val="640"/>
          <w:marRight w:val="0"/>
          <w:marTop w:val="0"/>
          <w:marBottom w:val="0"/>
          <w:divBdr>
            <w:top w:val="none" w:sz="0" w:space="0" w:color="auto"/>
            <w:left w:val="none" w:sz="0" w:space="0" w:color="auto"/>
            <w:bottom w:val="none" w:sz="0" w:space="0" w:color="auto"/>
            <w:right w:val="none" w:sz="0" w:space="0" w:color="auto"/>
          </w:divBdr>
        </w:div>
        <w:div w:id="304168552">
          <w:marLeft w:val="640"/>
          <w:marRight w:val="0"/>
          <w:marTop w:val="0"/>
          <w:marBottom w:val="0"/>
          <w:divBdr>
            <w:top w:val="none" w:sz="0" w:space="0" w:color="auto"/>
            <w:left w:val="none" w:sz="0" w:space="0" w:color="auto"/>
            <w:bottom w:val="none" w:sz="0" w:space="0" w:color="auto"/>
            <w:right w:val="none" w:sz="0" w:space="0" w:color="auto"/>
          </w:divBdr>
        </w:div>
        <w:div w:id="592058826">
          <w:marLeft w:val="640"/>
          <w:marRight w:val="0"/>
          <w:marTop w:val="0"/>
          <w:marBottom w:val="0"/>
          <w:divBdr>
            <w:top w:val="none" w:sz="0" w:space="0" w:color="auto"/>
            <w:left w:val="none" w:sz="0" w:space="0" w:color="auto"/>
            <w:bottom w:val="none" w:sz="0" w:space="0" w:color="auto"/>
            <w:right w:val="none" w:sz="0" w:space="0" w:color="auto"/>
          </w:divBdr>
        </w:div>
        <w:div w:id="1879973704">
          <w:marLeft w:val="640"/>
          <w:marRight w:val="0"/>
          <w:marTop w:val="0"/>
          <w:marBottom w:val="0"/>
          <w:divBdr>
            <w:top w:val="none" w:sz="0" w:space="0" w:color="auto"/>
            <w:left w:val="none" w:sz="0" w:space="0" w:color="auto"/>
            <w:bottom w:val="none" w:sz="0" w:space="0" w:color="auto"/>
            <w:right w:val="none" w:sz="0" w:space="0" w:color="auto"/>
          </w:divBdr>
        </w:div>
        <w:div w:id="1239248015">
          <w:marLeft w:val="640"/>
          <w:marRight w:val="0"/>
          <w:marTop w:val="0"/>
          <w:marBottom w:val="0"/>
          <w:divBdr>
            <w:top w:val="none" w:sz="0" w:space="0" w:color="auto"/>
            <w:left w:val="none" w:sz="0" w:space="0" w:color="auto"/>
            <w:bottom w:val="none" w:sz="0" w:space="0" w:color="auto"/>
            <w:right w:val="none" w:sz="0" w:space="0" w:color="auto"/>
          </w:divBdr>
        </w:div>
        <w:div w:id="786895384">
          <w:marLeft w:val="640"/>
          <w:marRight w:val="0"/>
          <w:marTop w:val="0"/>
          <w:marBottom w:val="0"/>
          <w:divBdr>
            <w:top w:val="none" w:sz="0" w:space="0" w:color="auto"/>
            <w:left w:val="none" w:sz="0" w:space="0" w:color="auto"/>
            <w:bottom w:val="none" w:sz="0" w:space="0" w:color="auto"/>
            <w:right w:val="none" w:sz="0" w:space="0" w:color="auto"/>
          </w:divBdr>
        </w:div>
        <w:div w:id="1896895293">
          <w:marLeft w:val="640"/>
          <w:marRight w:val="0"/>
          <w:marTop w:val="0"/>
          <w:marBottom w:val="0"/>
          <w:divBdr>
            <w:top w:val="none" w:sz="0" w:space="0" w:color="auto"/>
            <w:left w:val="none" w:sz="0" w:space="0" w:color="auto"/>
            <w:bottom w:val="none" w:sz="0" w:space="0" w:color="auto"/>
            <w:right w:val="none" w:sz="0" w:space="0" w:color="auto"/>
          </w:divBdr>
        </w:div>
        <w:div w:id="1259558131">
          <w:marLeft w:val="640"/>
          <w:marRight w:val="0"/>
          <w:marTop w:val="0"/>
          <w:marBottom w:val="0"/>
          <w:divBdr>
            <w:top w:val="none" w:sz="0" w:space="0" w:color="auto"/>
            <w:left w:val="none" w:sz="0" w:space="0" w:color="auto"/>
            <w:bottom w:val="none" w:sz="0" w:space="0" w:color="auto"/>
            <w:right w:val="none" w:sz="0" w:space="0" w:color="auto"/>
          </w:divBdr>
        </w:div>
        <w:div w:id="630599372">
          <w:marLeft w:val="640"/>
          <w:marRight w:val="0"/>
          <w:marTop w:val="0"/>
          <w:marBottom w:val="0"/>
          <w:divBdr>
            <w:top w:val="none" w:sz="0" w:space="0" w:color="auto"/>
            <w:left w:val="none" w:sz="0" w:space="0" w:color="auto"/>
            <w:bottom w:val="none" w:sz="0" w:space="0" w:color="auto"/>
            <w:right w:val="none" w:sz="0" w:space="0" w:color="auto"/>
          </w:divBdr>
        </w:div>
        <w:div w:id="1896159675">
          <w:marLeft w:val="640"/>
          <w:marRight w:val="0"/>
          <w:marTop w:val="0"/>
          <w:marBottom w:val="0"/>
          <w:divBdr>
            <w:top w:val="none" w:sz="0" w:space="0" w:color="auto"/>
            <w:left w:val="none" w:sz="0" w:space="0" w:color="auto"/>
            <w:bottom w:val="none" w:sz="0" w:space="0" w:color="auto"/>
            <w:right w:val="none" w:sz="0" w:space="0" w:color="auto"/>
          </w:divBdr>
        </w:div>
        <w:div w:id="801773075">
          <w:marLeft w:val="640"/>
          <w:marRight w:val="0"/>
          <w:marTop w:val="0"/>
          <w:marBottom w:val="0"/>
          <w:divBdr>
            <w:top w:val="none" w:sz="0" w:space="0" w:color="auto"/>
            <w:left w:val="none" w:sz="0" w:space="0" w:color="auto"/>
            <w:bottom w:val="none" w:sz="0" w:space="0" w:color="auto"/>
            <w:right w:val="none" w:sz="0" w:space="0" w:color="auto"/>
          </w:divBdr>
        </w:div>
        <w:div w:id="738331482">
          <w:marLeft w:val="640"/>
          <w:marRight w:val="0"/>
          <w:marTop w:val="0"/>
          <w:marBottom w:val="0"/>
          <w:divBdr>
            <w:top w:val="none" w:sz="0" w:space="0" w:color="auto"/>
            <w:left w:val="none" w:sz="0" w:space="0" w:color="auto"/>
            <w:bottom w:val="none" w:sz="0" w:space="0" w:color="auto"/>
            <w:right w:val="none" w:sz="0" w:space="0" w:color="auto"/>
          </w:divBdr>
        </w:div>
        <w:div w:id="1062754239">
          <w:marLeft w:val="640"/>
          <w:marRight w:val="0"/>
          <w:marTop w:val="0"/>
          <w:marBottom w:val="0"/>
          <w:divBdr>
            <w:top w:val="none" w:sz="0" w:space="0" w:color="auto"/>
            <w:left w:val="none" w:sz="0" w:space="0" w:color="auto"/>
            <w:bottom w:val="none" w:sz="0" w:space="0" w:color="auto"/>
            <w:right w:val="none" w:sz="0" w:space="0" w:color="auto"/>
          </w:divBdr>
        </w:div>
        <w:div w:id="2081516912">
          <w:marLeft w:val="640"/>
          <w:marRight w:val="0"/>
          <w:marTop w:val="0"/>
          <w:marBottom w:val="0"/>
          <w:divBdr>
            <w:top w:val="none" w:sz="0" w:space="0" w:color="auto"/>
            <w:left w:val="none" w:sz="0" w:space="0" w:color="auto"/>
            <w:bottom w:val="none" w:sz="0" w:space="0" w:color="auto"/>
            <w:right w:val="none" w:sz="0" w:space="0" w:color="auto"/>
          </w:divBdr>
        </w:div>
        <w:div w:id="2051373091">
          <w:marLeft w:val="640"/>
          <w:marRight w:val="0"/>
          <w:marTop w:val="0"/>
          <w:marBottom w:val="0"/>
          <w:divBdr>
            <w:top w:val="none" w:sz="0" w:space="0" w:color="auto"/>
            <w:left w:val="none" w:sz="0" w:space="0" w:color="auto"/>
            <w:bottom w:val="none" w:sz="0" w:space="0" w:color="auto"/>
            <w:right w:val="none" w:sz="0" w:space="0" w:color="auto"/>
          </w:divBdr>
        </w:div>
        <w:div w:id="226190807">
          <w:marLeft w:val="640"/>
          <w:marRight w:val="0"/>
          <w:marTop w:val="0"/>
          <w:marBottom w:val="0"/>
          <w:divBdr>
            <w:top w:val="none" w:sz="0" w:space="0" w:color="auto"/>
            <w:left w:val="none" w:sz="0" w:space="0" w:color="auto"/>
            <w:bottom w:val="none" w:sz="0" w:space="0" w:color="auto"/>
            <w:right w:val="none" w:sz="0" w:space="0" w:color="auto"/>
          </w:divBdr>
        </w:div>
        <w:div w:id="1523128010">
          <w:marLeft w:val="640"/>
          <w:marRight w:val="0"/>
          <w:marTop w:val="0"/>
          <w:marBottom w:val="0"/>
          <w:divBdr>
            <w:top w:val="none" w:sz="0" w:space="0" w:color="auto"/>
            <w:left w:val="none" w:sz="0" w:space="0" w:color="auto"/>
            <w:bottom w:val="none" w:sz="0" w:space="0" w:color="auto"/>
            <w:right w:val="none" w:sz="0" w:space="0" w:color="auto"/>
          </w:divBdr>
        </w:div>
        <w:div w:id="31349738">
          <w:marLeft w:val="640"/>
          <w:marRight w:val="0"/>
          <w:marTop w:val="0"/>
          <w:marBottom w:val="0"/>
          <w:divBdr>
            <w:top w:val="none" w:sz="0" w:space="0" w:color="auto"/>
            <w:left w:val="none" w:sz="0" w:space="0" w:color="auto"/>
            <w:bottom w:val="none" w:sz="0" w:space="0" w:color="auto"/>
            <w:right w:val="none" w:sz="0" w:space="0" w:color="auto"/>
          </w:divBdr>
        </w:div>
        <w:div w:id="555627032">
          <w:marLeft w:val="640"/>
          <w:marRight w:val="0"/>
          <w:marTop w:val="0"/>
          <w:marBottom w:val="0"/>
          <w:divBdr>
            <w:top w:val="none" w:sz="0" w:space="0" w:color="auto"/>
            <w:left w:val="none" w:sz="0" w:space="0" w:color="auto"/>
            <w:bottom w:val="none" w:sz="0" w:space="0" w:color="auto"/>
            <w:right w:val="none" w:sz="0" w:space="0" w:color="auto"/>
          </w:divBdr>
        </w:div>
        <w:div w:id="1074165061">
          <w:marLeft w:val="640"/>
          <w:marRight w:val="0"/>
          <w:marTop w:val="0"/>
          <w:marBottom w:val="0"/>
          <w:divBdr>
            <w:top w:val="none" w:sz="0" w:space="0" w:color="auto"/>
            <w:left w:val="none" w:sz="0" w:space="0" w:color="auto"/>
            <w:bottom w:val="none" w:sz="0" w:space="0" w:color="auto"/>
            <w:right w:val="none" w:sz="0" w:space="0" w:color="auto"/>
          </w:divBdr>
        </w:div>
        <w:div w:id="797794078">
          <w:marLeft w:val="640"/>
          <w:marRight w:val="0"/>
          <w:marTop w:val="0"/>
          <w:marBottom w:val="0"/>
          <w:divBdr>
            <w:top w:val="none" w:sz="0" w:space="0" w:color="auto"/>
            <w:left w:val="none" w:sz="0" w:space="0" w:color="auto"/>
            <w:bottom w:val="none" w:sz="0" w:space="0" w:color="auto"/>
            <w:right w:val="none" w:sz="0" w:space="0" w:color="auto"/>
          </w:divBdr>
        </w:div>
        <w:div w:id="1088767213">
          <w:marLeft w:val="640"/>
          <w:marRight w:val="0"/>
          <w:marTop w:val="0"/>
          <w:marBottom w:val="0"/>
          <w:divBdr>
            <w:top w:val="none" w:sz="0" w:space="0" w:color="auto"/>
            <w:left w:val="none" w:sz="0" w:space="0" w:color="auto"/>
            <w:bottom w:val="none" w:sz="0" w:space="0" w:color="auto"/>
            <w:right w:val="none" w:sz="0" w:space="0" w:color="auto"/>
          </w:divBdr>
        </w:div>
        <w:div w:id="1232235359">
          <w:marLeft w:val="640"/>
          <w:marRight w:val="0"/>
          <w:marTop w:val="0"/>
          <w:marBottom w:val="0"/>
          <w:divBdr>
            <w:top w:val="none" w:sz="0" w:space="0" w:color="auto"/>
            <w:left w:val="none" w:sz="0" w:space="0" w:color="auto"/>
            <w:bottom w:val="none" w:sz="0" w:space="0" w:color="auto"/>
            <w:right w:val="none" w:sz="0" w:space="0" w:color="auto"/>
          </w:divBdr>
        </w:div>
        <w:div w:id="200173572">
          <w:marLeft w:val="640"/>
          <w:marRight w:val="0"/>
          <w:marTop w:val="0"/>
          <w:marBottom w:val="0"/>
          <w:divBdr>
            <w:top w:val="none" w:sz="0" w:space="0" w:color="auto"/>
            <w:left w:val="none" w:sz="0" w:space="0" w:color="auto"/>
            <w:bottom w:val="none" w:sz="0" w:space="0" w:color="auto"/>
            <w:right w:val="none" w:sz="0" w:space="0" w:color="auto"/>
          </w:divBdr>
        </w:div>
        <w:div w:id="114250260">
          <w:marLeft w:val="640"/>
          <w:marRight w:val="0"/>
          <w:marTop w:val="0"/>
          <w:marBottom w:val="0"/>
          <w:divBdr>
            <w:top w:val="none" w:sz="0" w:space="0" w:color="auto"/>
            <w:left w:val="none" w:sz="0" w:space="0" w:color="auto"/>
            <w:bottom w:val="none" w:sz="0" w:space="0" w:color="auto"/>
            <w:right w:val="none" w:sz="0" w:space="0" w:color="auto"/>
          </w:divBdr>
        </w:div>
        <w:div w:id="240529602">
          <w:marLeft w:val="640"/>
          <w:marRight w:val="0"/>
          <w:marTop w:val="0"/>
          <w:marBottom w:val="0"/>
          <w:divBdr>
            <w:top w:val="none" w:sz="0" w:space="0" w:color="auto"/>
            <w:left w:val="none" w:sz="0" w:space="0" w:color="auto"/>
            <w:bottom w:val="none" w:sz="0" w:space="0" w:color="auto"/>
            <w:right w:val="none" w:sz="0" w:space="0" w:color="auto"/>
          </w:divBdr>
        </w:div>
        <w:div w:id="1025982513">
          <w:marLeft w:val="640"/>
          <w:marRight w:val="0"/>
          <w:marTop w:val="0"/>
          <w:marBottom w:val="0"/>
          <w:divBdr>
            <w:top w:val="none" w:sz="0" w:space="0" w:color="auto"/>
            <w:left w:val="none" w:sz="0" w:space="0" w:color="auto"/>
            <w:bottom w:val="none" w:sz="0" w:space="0" w:color="auto"/>
            <w:right w:val="none" w:sz="0" w:space="0" w:color="auto"/>
          </w:divBdr>
        </w:div>
        <w:div w:id="2034068982">
          <w:marLeft w:val="640"/>
          <w:marRight w:val="0"/>
          <w:marTop w:val="0"/>
          <w:marBottom w:val="0"/>
          <w:divBdr>
            <w:top w:val="none" w:sz="0" w:space="0" w:color="auto"/>
            <w:left w:val="none" w:sz="0" w:space="0" w:color="auto"/>
            <w:bottom w:val="none" w:sz="0" w:space="0" w:color="auto"/>
            <w:right w:val="none" w:sz="0" w:space="0" w:color="auto"/>
          </w:divBdr>
        </w:div>
        <w:div w:id="1262688864">
          <w:marLeft w:val="640"/>
          <w:marRight w:val="0"/>
          <w:marTop w:val="0"/>
          <w:marBottom w:val="0"/>
          <w:divBdr>
            <w:top w:val="none" w:sz="0" w:space="0" w:color="auto"/>
            <w:left w:val="none" w:sz="0" w:space="0" w:color="auto"/>
            <w:bottom w:val="none" w:sz="0" w:space="0" w:color="auto"/>
            <w:right w:val="none" w:sz="0" w:space="0" w:color="auto"/>
          </w:divBdr>
        </w:div>
        <w:div w:id="876745017">
          <w:marLeft w:val="640"/>
          <w:marRight w:val="0"/>
          <w:marTop w:val="0"/>
          <w:marBottom w:val="0"/>
          <w:divBdr>
            <w:top w:val="none" w:sz="0" w:space="0" w:color="auto"/>
            <w:left w:val="none" w:sz="0" w:space="0" w:color="auto"/>
            <w:bottom w:val="none" w:sz="0" w:space="0" w:color="auto"/>
            <w:right w:val="none" w:sz="0" w:space="0" w:color="auto"/>
          </w:divBdr>
        </w:div>
        <w:div w:id="1940214931">
          <w:marLeft w:val="640"/>
          <w:marRight w:val="0"/>
          <w:marTop w:val="0"/>
          <w:marBottom w:val="0"/>
          <w:divBdr>
            <w:top w:val="none" w:sz="0" w:space="0" w:color="auto"/>
            <w:left w:val="none" w:sz="0" w:space="0" w:color="auto"/>
            <w:bottom w:val="none" w:sz="0" w:space="0" w:color="auto"/>
            <w:right w:val="none" w:sz="0" w:space="0" w:color="auto"/>
          </w:divBdr>
        </w:div>
        <w:div w:id="779107786">
          <w:marLeft w:val="640"/>
          <w:marRight w:val="0"/>
          <w:marTop w:val="0"/>
          <w:marBottom w:val="0"/>
          <w:divBdr>
            <w:top w:val="none" w:sz="0" w:space="0" w:color="auto"/>
            <w:left w:val="none" w:sz="0" w:space="0" w:color="auto"/>
            <w:bottom w:val="none" w:sz="0" w:space="0" w:color="auto"/>
            <w:right w:val="none" w:sz="0" w:space="0" w:color="auto"/>
          </w:divBdr>
        </w:div>
        <w:div w:id="470095422">
          <w:marLeft w:val="640"/>
          <w:marRight w:val="0"/>
          <w:marTop w:val="0"/>
          <w:marBottom w:val="0"/>
          <w:divBdr>
            <w:top w:val="none" w:sz="0" w:space="0" w:color="auto"/>
            <w:left w:val="none" w:sz="0" w:space="0" w:color="auto"/>
            <w:bottom w:val="none" w:sz="0" w:space="0" w:color="auto"/>
            <w:right w:val="none" w:sz="0" w:space="0" w:color="auto"/>
          </w:divBdr>
        </w:div>
        <w:div w:id="2023780775">
          <w:marLeft w:val="640"/>
          <w:marRight w:val="0"/>
          <w:marTop w:val="0"/>
          <w:marBottom w:val="0"/>
          <w:divBdr>
            <w:top w:val="none" w:sz="0" w:space="0" w:color="auto"/>
            <w:left w:val="none" w:sz="0" w:space="0" w:color="auto"/>
            <w:bottom w:val="none" w:sz="0" w:space="0" w:color="auto"/>
            <w:right w:val="none" w:sz="0" w:space="0" w:color="auto"/>
          </w:divBdr>
        </w:div>
        <w:div w:id="1208296183">
          <w:marLeft w:val="640"/>
          <w:marRight w:val="0"/>
          <w:marTop w:val="0"/>
          <w:marBottom w:val="0"/>
          <w:divBdr>
            <w:top w:val="none" w:sz="0" w:space="0" w:color="auto"/>
            <w:left w:val="none" w:sz="0" w:space="0" w:color="auto"/>
            <w:bottom w:val="none" w:sz="0" w:space="0" w:color="auto"/>
            <w:right w:val="none" w:sz="0" w:space="0" w:color="auto"/>
          </w:divBdr>
        </w:div>
        <w:div w:id="1189224321">
          <w:marLeft w:val="640"/>
          <w:marRight w:val="0"/>
          <w:marTop w:val="0"/>
          <w:marBottom w:val="0"/>
          <w:divBdr>
            <w:top w:val="none" w:sz="0" w:space="0" w:color="auto"/>
            <w:left w:val="none" w:sz="0" w:space="0" w:color="auto"/>
            <w:bottom w:val="none" w:sz="0" w:space="0" w:color="auto"/>
            <w:right w:val="none" w:sz="0" w:space="0" w:color="auto"/>
          </w:divBdr>
        </w:div>
        <w:div w:id="374503179">
          <w:marLeft w:val="640"/>
          <w:marRight w:val="0"/>
          <w:marTop w:val="0"/>
          <w:marBottom w:val="0"/>
          <w:divBdr>
            <w:top w:val="none" w:sz="0" w:space="0" w:color="auto"/>
            <w:left w:val="none" w:sz="0" w:space="0" w:color="auto"/>
            <w:bottom w:val="none" w:sz="0" w:space="0" w:color="auto"/>
            <w:right w:val="none" w:sz="0" w:space="0" w:color="auto"/>
          </w:divBdr>
        </w:div>
        <w:div w:id="493687642">
          <w:marLeft w:val="640"/>
          <w:marRight w:val="0"/>
          <w:marTop w:val="0"/>
          <w:marBottom w:val="0"/>
          <w:divBdr>
            <w:top w:val="none" w:sz="0" w:space="0" w:color="auto"/>
            <w:left w:val="none" w:sz="0" w:space="0" w:color="auto"/>
            <w:bottom w:val="none" w:sz="0" w:space="0" w:color="auto"/>
            <w:right w:val="none" w:sz="0" w:space="0" w:color="auto"/>
          </w:divBdr>
        </w:div>
        <w:div w:id="181282956">
          <w:marLeft w:val="640"/>
          <w:marRight w:val="0"/>
          <w:marTop w:val="0"/>
          <w:marBottom w:val="0"/>
          <w:divBdr>
            <w:top w:val="none" w:sz="0" w:space="0" w:color="auto"/>
            <w:left w:val="none" w:sz="0" w:space="0" w:color="auto"/>
            <w:bottom w:val="none" w:sz="0" w:space="0" w:color="auto"/>
            <w:right w:val="none" w:sz="0" w:space="0" w:color="auto"/>
          </w:divBdr>
        </w:div>
        <w:div w:id="17051379">
          <w:marLeft w:val="640"/>
          <w:marRight w:val="0"/>
          <w:marTop w:val="0"/>
          <w:marBottom w:val="0"/>
          <w:divBdr>
            <w:top w:val="none" w:sz="0" w:space="0" w:color="auto"/>
            <w:left w:val="none" w:sz="0" w:space="0" w:color="auto"/>
            <w:bottom w:val="none" w:sz="0" w:space="0" w:color="auto"/>
            <w:right w:val="none" w:sz="0" w:space="0" w:color="auto"/>
          </w:divBdr>
        </w:div>
        <w:div w:id="1408455540">
          <w:marLeft w:val="640"/>
          <w:marRight w:val="0"/>
          <w:marTop w:val="0"/>
          <w:marBottom w:val="0"/>
          <w:divBdr>
            <w:top w:val="none" w:sz="0" w:space="0" w:color="auto"/>
            <w:left w:val="none" w:sz="0" w:space="0" w:color="auto"/>
            <w:bottom w:val="none" w:sz="0" w:space="0" w:color="auto"/>
            <w:right w:val="none" w:sz="0" w:space="0" w:color="auto"/>
          </w:divBdr>
        </w:div>
        <w:div w:id="1210143227">
          <w:marLeft w:val="640"/>
          <w:marRight w:val="0"/>
          <w:marTop w:val="0"/>
          <w:marBottom w:val="0"/>
          <w:divBdr>
            <w:top w:val="none" w:sz="0" w:space="0" w:color="auto"/>
            <w:left w:val="none" w:sz="0" w:space="0" w:color="auto"/>
            <w:bottom w:val="none" w:sz="0" w:space="0" w:color="auto"/>
            <w:right w:val="none" w:sz="0" w:space="0" w:color="auto"/>
          </w:divBdr>
        </w:div>
        <w:div w:id="1692493111">
          <w:marLeft w:val="640"/>
          <w:marRight w:val="0"/>
          <w:marTop w:val="0"/>
          <w:marBottom w:val="0"/>
          <w:divBdr>
            <w:top w:val="none" w:sz="0" w:space="0" w:color="auto"/>
            <w:left w:val="none" w:sz="0" w:space="0" w:color="auto"/>
            <w:bottom w:val="none" w:sz="0" w:space="0" w:color="auto"/>
            <w:right w:val="none" w:sz="0" w:space="0" w:color="auto"/>
          </w:divBdr>
        </w:div>
        <w:div w:id="487602014">
          <w:marLeft w:val="640"/>
          <w:marRight w:val="0"/>
          <w:marTop w:val="0"/>
          <w:marBottom w:val="0"/>
          <w:divBdr>
            <w:top w:val="none" w:sz="0" w:space="0" w:color="auto"/>
            <w:left w:val="none" w:sz="0" w:space="0" w:color="auto"/>
            <w:bottom w:val="none" w:sz="0" w:space="0" w:color="auto"/>
            <w:right w:val="none" w:sz="0" w:space="0" w:color="auto"/>
          </w:divBdr>
        </w:div>
        <w:div w:id="1702439876">
          <w:marLeft w:val="640"/>
          <w:marRight w:val="0"/>
          <w:marTop w:val="0"/>
          <w:marBottom w:val="0"/>
          <w:divBdr>
            <w:top w:val="none" w:sz="0" w:space="0" w:color="auto"/>
            <w:left w:val="none" w:sz="0" w:space="0" w:color="auto"/>
            <w:bottom w:val="none" w:sz="0" w:space="0" w:color="auto"/>
            <w:right w:val="none" w:sz="0" w:space="0" w:color="auto"/>
          </w:divBdr>
        </w:div>
        <w:div w:id="123814266">
          <w:marLeft w:val="640"/>
          <w:marRight w:val="0"/>
          <w:marTop w:val="0"/>
          <w:marBottom w:val="0"/>
          <w:divBdr>
            <w:top w:val="none" w:sz="0" w:space="0" w:color="auto"/>
            <w:left w:val="none" w:sz="0" w:space="0" w:color="auto"/>
            <w:bottom w:val="none" w:sz="0" w:space="0" w:color="auto"/>
            <w:right w:val="none" w:sz="0" w:space="0" w:color="auto"/>
          </w:divBdr>
        </w:div>
        <w:div w:id="520894727">
          <w:marLeft w:val="640"/>
          <w:marRight w:val="0"/>
          <w:marTop w:val="0"/>
          <w:marBottom w:val="0"/>
          <w:divBdr>
            <w:top w:val="none" w:sz="0" w:space="0" w:color="auto"/>
            <w:left w:val="none" w:sz="0" w:space="0" w:color="auto"/>
            <w:bottom w:val="none" w:sz="0" w:space="0" w:color="auto"/>
            <w:right w:val="none" w:sz="0" w:space="0" w:color="auto"/>
          </w:divBdr>
        </w:div>
        <w:div w:id="1486120309">
          <w:marLeft w:val="640"/>
          <w:marRight w:val="0"/>
          <w:marTop w:val="0"/>
          <w:marBottom w:val="0"/>
          <w:divBdr>
            <w:top w:val="none" w:sz="0" w:space="0" w:color="auto"/>
            <w:left w:val="none" w:sz="0" w:space="0" w:color="auto"/>
            <w:bottom w:val="none" w:sz="0" w:space="0" w:color="auto"/>
            <w:right w:val="none" w:sz="0" w:space="0" w:color="auto"/>
          </w:divBdr>
        </w:div>
        <w:div w:id="2138646420">
          <w:marLeft w:val="640"/>
          <w:marRight w:val="0"/>
          <w:marTop w:val="0"/>
          <w:marBottom w:val="0"/>
          <w:divBdr>
            <w:top w:val="none" w:sz="0" w:space="0" w:color="auto"/>
            <w:left w:val="none" w:sz="0" w:space="0" w:color="auto"/>
            <w:bottom w:val="none" w:sz="0" w:space="0" w:color="auto"/>
            <w:right w:val="none" w:sz="0" w:space="0" w:color="auto"/>
          </w:divBdr>
        </w:div>
        <w:div w:id="1767261275">
          <w:marLeft w:val="640"/>
          <w:marRight w:val="0"/>
          <w:marTop w:val="0"/>
          <w:marBottom w:val="0"/>
          <w:divBdr>
            <w:top w:val="none" w:sz="0" w:space="0" w:color="auto"/>
            <w:left w:val="none" w:sz="0" w:space="0" w:color="auto"/>
            <w:bottom w:val="none" w:sz="0" w:space="0" w:color="auto"/>
            <w:right w:val="none" w:sz="0" w:space="0" w:color="auto"/>
          </w:divBdr>
        </w:div>
        <w:div w:id="1190996487">
          <w:marLeft w:val="640"/>
          <w:marRight w:val="0"/>
          <w:marTop w:val="0"/>
          <w:marBottom w:val="0"/>
          <w:divBdr>
            <w:top w:val="none" w:sz="0" w:space="0" w:color="auto"/>
            <w:left w:val="none" w:sz="0" w:space="0" w:color="auto"/>
            <w:bottom w:val="none" w:sz="0" w:space="0" w:color="auto"/>
            <w:right w:val="none" w:sz="0" w:space="0" w:color="auto"/>
          </w:divBdr>
        </w:div>
        <w:div w:id="952135580">
          <w:marLeft w:val="640"/>
          <w:marRight w:val="0"/>
          <w:marTop w:val="0"/>
          <w:marBottom w:val="0"/>
          <w:divBdr>
            <w:top w:val="none" w:sz="0" w:space="0" w:color="auto"/>
            <w:left w:val="none" w:sz="0" w:space="0" w:color="auto"/>
            <w:bottom w:val="none" w:sz="0" w:space="0" w:color="auto"/>
            <w:right w:val="none" w:sz="0" w:space="0" w:color="auto"/>
          </w:divBdr>
        </w:div>
        <w:div w:id="1292514442">
          <w:marLeft w:val="640"/>
          <w:marRight w:val="0"/>
          <w:marTop w:val="0"/>
          <w:marBottom w:val="0"/>
          <w:divBdr>
            <w:top w:val="none" w:sz="0" w:space="0" w:color="auto"/>
            <w:left w:val="none" w:sz="0" w:space="0" w:color="auto"/>
            <w:bottom w:val="none" w:sz="0" w:space="0" w:color="auto"/>
            <w:right w:val="none" w:sz="0" w:space="0" w:color="auto"/>
          </w:divBdr>
        </w:div>
        <w:div w:id="1184781812">
          <w:marLeft w:val="640"/>
          <w:marRight w:val="0"/>
          <w:marTop w:val="0"/>
          <w:marBottom w:val="0"/>
          <w:divBdr>
            <w:top w:val="none" w:sz="0" w:space="0" w:color="auto"/>
            <w:left w:val="none" w:sz="0" w:space="0" w:color="auto"/>
            <w:bottom w:val="none" w:sz="0" w:space="0" w:color="auto"/>
            <w:right w:val="none" w:sz="0" w:space="0" w:color="auto"/>
          </w:divBdr>
        </w:div>
        <w:div w:id="1042710308">
          <w:marLeft w:val="640"/>
          <w:marRight w:val="0"/>
          <w:marTop w:val="0"/>
          <w:marBottom w:val="0"/>
          <w:divBdr>
            <w:top w:val="none" w:sz="0" w:space="0" w:color="auto"/>
            <w:left w:val="none" w:sz="0" w:space="0" w:color="auto"/>
            <w:bottom w:val="none" w:sz="0" w:space="0" w:color="auto"/>
            <w:right w:val="none" w:sz="0" w:space="0" w:color="auto"/>
          </w:divBdr>
        </w:div>
        <w:div w:id="95290567">
          <w:marLeft w:val="640"/>
          <w:marRight w:val="0"/>
          <w:marTop w:val="0"/>
          <w:marBottom w:val="0"/>
          <w:divBdr>
            <w:top w:val="none" w:sz="0" w:space="0" w:color="auto"/>
            <w:left w:val="none" w:sz="0" w:space="0" w:color="auto"/>
            <w:bottom w:val="none" w:sz="0" w:space="0" w:color="auto"/>
            <w:right w:val="none" w:sz="0" w:space="0" w:color="auto"/>
          </w:divBdr>
        </w:div>
        <w:div w:id="622925551">
          <w:marLeft w:val="640"/>
          <w:marRight w:val="0"/>
          <w:marTop w:val="0"/>
          <w:marBottom w:val="0"/>
          <w:divBdr>
            <w:top w:val="none" w:sz="0" w:space="0" w:color="auto"/>
            <w:left w:val="none" w:sz="0" w:space="0" w:color="auto"/>
            <w:bottom w:val="none" w:sz="0" w:space="0" w:color="auto"/>
            <w:right w:val="none" w:sz="0" w:space="0" w:color="auto"/>
          </w:divBdr>
        </w:div>
        <w:div w:id="554045543">
          <w:marLeft w:val="640"/>
          <w:marRight w:val="0"/>
          <w:marTop w:val="0"/>
          <w:marBottom w:val="0"/>
          <w:divBdr>
            <w:top w:val="none" w:sz="0" w:space="0" w:color="auto"/>
            <w:left w:val="none" w:sz="0" w:space="0" w:color="auto"/>
            <w:bottom w:val="none" w:sz="0" w:space="0" w:color="auto"/>
            <w:right w:val="none" w:sz="0" w:space="0" w:color="auto"/>
          </w:divBdr>
        </w:div>
        <w:div w:id="376398215">
          <w:marLeft w:val="640"/>
          <w:marRight w:val="0"/>
          <w:marTop w:val="0"/>
          <w:marBottom w:val="0"/>
          <w:divBdr>
            <w:top w:val="none" w:sz="0" w:space="0" w:color="auto"/>
            <w:left w:val="none" w:sz="0" w:space="0" w:color="auto"/>
            <w:bottom w:val="none" w:sz="0" w:space="0" w:color="auto"/>
            <w:right w:val="none" w:sz="0" w:space="0" w:color="auto"/>
          </w:divBdr>
        </w:div>
        <w:div w:id="1615361744">
          <w:marLeft w:val="640"/>
          <w:marRight w:val="0"/>
          <w:marTop w:val="0"/>
          <w:marBottom w:val="0"/>
          <w:divBdr>
            <w:top w:val="none" w:sz="0" w:space="0" w:color="auto"/>
            <w:left w:val="none" w:sz="0" w:space="0" w:color="auto"/>
            <w:bottom w:val="none" w:sz="0" w:space="0" w:color="auto"/>
            <w:right w:val="none" w:sz="0" w:space="0" w:color="auto"/>
          </w:divBdr>
        </w:div>
        <w:div w:id="887255961">
          <w:marLeft w:val="640"/>
          <w:marRight w:val="0"/>
          <w:marTop w:val="0"/>
          <w:marBottom w:val="0"/>
          <w:divBdr>
            <w:top w:val="none" w:sz="0" w:space="0" w:color="auto"/>
            <w:left w:val="none" w:sz="0" w:space="0" w:color="auto"/>
            <w:bottom w:val="none" w:sz="0" w:space="0" w:color="auto"/>
            <w:right w:val="none" w:sz="0" w:space="0" w:color="auto"/>
          </w:divBdr>
        </w:div>
        <w:div w:id="800268628">
          <w:marLeft w:val="640"/>
          <w:marRight w:val="0"/>
          <w:marTop w:val="0"/>
          <w:marBottom w:val="0"/>
          <w:divBdr>
            <w:top w:val="none" w:sz="0" w:space="0" w:color="auto"/>
            <w:left w:val="none" w:sz="0" w:space="0" w:color="auto"/>
            <w:bottom w:val="none" w:sz="0" w:space="0" w:color="auto"/>
            <w:right w:val="none" w:sz="0" w:space="0" w:color="auto"/>
          </w:divBdr>
        </w:div>
        <w:div w:id="45492841">
          <w:marLeft w:val="640"/>
          <w:marRight w:val="0"/>
          <w:marTop w:val="0"/>
          <w:marBottom w:val="0"/>
          <w:divBdr>
            <w:top w:val="none" w:sz="0" w:space="0" w:color="auto"/>
            <w:left w:val="none" w:sz="0" w:space="0" w:color="auto"/>
            <w:bottom w:val="none" w:sz="0" w:space="0" w:color="auto"/>
            <w:right w:val="none" w:sz="0" w:space="0" w:color="auto"/>
          </w:divBdr>
        </w:div>
        <w:div w:id="476190125">
          <w:marLeft w:val="640"/>
          <w:marRight w:val="0"/>
          <w:marTop w:val="0"/>
          <w:marBottom w:val="0"/>
          <w:divBdr>
            <w:top w:val="none" w:sz="0" w:space="0" w:color="auto"/>
            <w:left w:val="none" w:sz="0" w:space="0" w:color="auto"/>
            <w:bottom w:val="none" w:sz="0" w:space="0" w:color="auto"/>
            <w:right w:val="none" w:sz="0" w:space="0" w:color="auto"/>
          </w:divBdr>
        </w:div>
        <w:div w:id="387850175">
          <w:marLeft w:val="640"/>
          <w:marRight w:val="0"/>
          <w:marTop w:val="0"/>
          <w:marBottom w:val="0"/>
          <w:divBdr>
            <w:top w:val="none" w:sz="0" w:space="0" w:color="auto"/>
            <w:left w:val="none" w:sz="0" w:space="0" w:color="auto"/>
            <w:bottom w:val="none" w:sz="0" w:space="0" w:color="auto"/>
            <w:right w:val="none" w:sz="0" w:space="0" w:color="auto"/>
          </w:divBdr>
        </w:div>
        <w:div w:id="2012369572">
          <w:marLeft w:val="640"/>
          <w:marRight w:val="0"/>
          <w:marTop w:val="0"/>
          <w:marBottom w:val="0"/>
          <w:divBdr>
            <w:top w:val="none" w:sz="0" w:space="0" w:color="auto"/>
            <w:left w:val="none" w:sz="0" w:space="0" w:color="auto"/>
            <w:bottom w:val="none" w:sz="0" w:space="0" w:color="auto"/>
            <w:right w:val="none" w:sz="0" w:space="0" w:color="auto"/>
          </w:divBdr>
        </w:div>
        <w:div w:id="461077907">
          <w:marLeft w:val="640"/>
          <w:marRight w:val="0"/>
          <w:marTop w:val="0"/>
          <w:marBottom w:val="0"/>
          <w:divBdr>
            <w:top w:val="none" w:sz="0" w:space="0" w:color="auto"/>
            <w:left w:val="none" w:sz="0" w:space="0" w:color="auto"/>
            <w:bottom w:val="none" w:sz="0" w:space="0" w:color="auto"/>
            <w:right w:val="none" w:sz="0" w:space="0" w:color="auto"/>
          </w:divBdr>
        </w:div>
        <w:div w:id="1160542047">
          <w:marLeft w:val="640"/>
          <w:marRight w:val="0"/>
          <w:marTop w:val="0"/>
          <w:marBottom w:val="0"/>
          <w:divBdr>
            <w:top w:val="none" w:sz="0" w:space="0" w:color="auto"/>
            <w:left w:val="none" w:sz="0" w:space="0" w:color="auto"/>
            <w:bottom w:val="none" w:sz="0" w:space="0" w:color="auto"/>
            <w:right w:val="none" w:sz="0" w:space="0" w:color="auto"/>
          </w:divBdr>
        </w:div>
        <w:div w:id="929968587">
          <w:marLeft w:val="640"/>
          <w:marRight w:val="0"/>
          <w:marTop w:val="0"/>
          <w:marBottom w:val="0"/>
          <w:divBdr>
            <w:top w:val="none" w:sz="0" w:space="0" w:color="auto"/>
            <w:left w:val="none" w:sz="0" w:space="0" w:color="auto"/>
            <w:bottom w:val="none" w:sz="0" w:space="0" w:color="auto"/>
            <w:right w:val="none" w:sz="0" w:space="0" w:color="auto"/>
          </w:divBdr>
        </w:div>
        <w:div w:id="1571188564">
          <w:marLeft w:val="640"/>
          <w:marRight w:val="0"/>
          <w:marTop w:val="0"/>
          <w:marBottom w:val="0"/>
          <w:divBdr>
            <w:top w:val="none" w:sz="0" w:space="0" w:color="auto"/>
            <w:left w:val="none" w:sz="0" w:space="0" w:color="auto"/>
            <w:bottom w:val="none" w:sz="0" w:space="0" w:color="auto"/>
            <w:right w:val="none" w:sz="0" w:space="0" w:color="auto"/>
          </w:divBdr>
        </w:div>
        <w:div w:id="2064406571">
          <w:marLeft w:val="640"/>
          <w:marRight w:val="0"/>
          <w:marTop w:val="0"/>
          <w:marBottom w:val="0"/>
          <w:divBdr>
            <w:top w:val="none" w:sz="0" w:space="0" w:color="auto"/>
            <w:left w:val="none" w:sz="0" w:space="0" w:color="auto"/>
            <w:bottom w:val="none" w:sz="0" w:space="0" w:color="auto"/>
            <w:right w:val="none" w:sz="0" w:space="0" w:color="auto"/>
          </w:divBdr>
        </w:div>
        <w:div w:id="504128013">
          <w:marLeft w:val="640"/>
          <w:marRight w:val="0"/>
          <w:marTop w:val="0"/>
          <w:marBottom w:val="0"/>
          <w:divBdr>
            <w:top w:val="none" w:sz="0" w:space="0" w:color="auto"/>
            <w:left w:val="none" w:sz="0" w:space="0" w:color="auto"/>
            <w:bottom w:val="none" w:sz="0" w:space="0" w:color="auto"/>
            <w:right w:val="none" w:sz="0" w:space="0" w:color="auto"/>
          </w:divBdr>
        </w:div>
        <w:div w:id="1091045027">
          <w:marLeft w:val="640"/>
          <w:marRight w:val="0"/>
          <w:marTop w:val="0"/>
          <w:marBottom w:val="0"/>
          <w:divBdr>
            <w:top w:val="none" w:sz="0" w:space="0" w:color="auto"/>
            <w:left w:val="none" w:sz="0" w:space="0" w:color="auto"/>
            <w:bottom w:val="none" w:sz="0" w:space="0" w:color="auto"/>
            <w:right w:val="none" w:sz="0" w:space="0" w:color="auto"/>
          </w:divBdr>
        </w:div>
        <w:div w:id="2143301436">
          <w:marLeft w:val="640"/>
          <w:marRight w:val="0"/>
          <w:marTop w:val="0"/>
          <w:marBottom w:val="0"/>
          <w:divBdr>
            <w:top w:val="none" w:sz="0" w:space="0" w:color="auto"/>
            <w:left w:val="none" w:sz="0" w:space="0" w:color="auto"/>
            <w:bottom w:val="none" w:sz="0" w:space="0" w:color="auto"/>
            <w:right w:val="none" w:sz="0" w:space="0" w:color="auto"/>
          </w:divBdr>
        </w:div>
        <w:div w:id="1481843368">
          <w:marLeft w:val="640"/>
          <w:marRight w:val="0"/>
          <w:marTop w:val="0"/>
          <w:marBottom w:val="0"/>
          <w:divBdr>
            <w:top w:val="none" w:sz="0" w:space="0" w:color="auto"/>
            <w:left w:val="none" w:sz="0" w:space="0" w:color="auto"/>
            <w:bottom w:val="none" w:sz="0" w:space="0" w:color="auto"/>
            <w:right w:val="none" w:sz="0" w:space="0" w:color="auto"/>
          </w:divBdr>
        </w:div>
        <w:div w:id="545725647">
          <w:marLeft w:val="640"/>
          <w:marRight w:val="0"/>
          <w:marTop w:val="0"/>
          <w:marBottom w:val="0"/>
          <w:divBdr>
            <w:top w:val="none" w:sz="0" w:space="0" w:color="auto"/>
            <w:left w:val="none" w:sz="0" w:space="0" w:color="auto"/>
            <w:bottom w:val="none" w:sz="0" w:space="0" w:color="auto"/>
            <w:right w:val="none" w:sz="0" w:space="0" w:color="auto"/>
          </w:divBdr>
        </w:div>
        <w:div w:id="1600216216">
          <w:marLeft w:val="640"/>
          <w:marRight w:val="0"/>
          <w:marTop w:val="0"/>
          <w:marBottom w:val="0"/>
          <w:divBdr>
            <w:top w:val="none" w:sz="0" w:space="0" w:color="auto"/>
            <w:left w:val="none" w:sz="0" w:space="0" w:color="auto"/>
            <w:bottom w:val="none" w:sz="0" w:space="0" w:color="auto"/>
            <w:right w:val="none" w:sz="0" w:space="0" w:color="auto"/>
          </w:divBdr>
        </w:div>
        <w:div w:id="571938736">
          <w:marLeft w:val="640"/>
          <w:marRight w:val="0"/>
          <w:marTop w:val="0"/>
          <w:marBottom w:val="0"/>
          <w:divBdr>
            <w:top w:val="none" w:sz="0" w:space="0" w:color="auto"/>
            <w:left w:val="none" w:sz="0" w:space="0" w:color="auto"/>
            <w:bottom w:val="none" w:sz="0" w:space="0" w:color="auto"/>
            <w:right w:val="none" w:sz="0" w:space="0" w:color="auto"/>
          </w:divBdr>
        </w:div>
        <w:div w:id="1832208992">
          <w:marLeft w:val="640"/>
          <w:marRight w:val="0"/>
          <w:marTop w:val="0"/>
          <w:marBottom w:val="0"/>
          <w:divBdr>
            <w:top w:val="none" w:sz="0" w:space="0" w:color="auto"/>
            <w:left w:val="none" w:sz="0" w:space="0" w:color="auto"/>
            <w:bottom w:val="none" w:sz="0" w:space="0" w:color="auto"/>
            <w:right w:val="none" w:sz="0" w:space="0" w:color="auto"/>
          </w:divBdr>
        </w:div>
        <w:div w:id="442111925">
          <w:marLeft w:val="640"/>
          <w:marRight w:val="0"/>
          <w:marTop w:val="0"/>
          <w:marBottom w:val="0"/>
          <w:divBdr>
            <w:top w:val="none" w:sz="0" w:space="0" w:color="auto"/>
            <w:left w:val="none" w:sz="0" w:space="0" w:color="auto"/>
            <w:bottom w:val="none" w:sz="0" w:space="0" w:color="auto"/>
            <w:right w:val="none" w:sz="0" w:space="0" w:color="auto"/>
          </w:divBdr>
        </w:div>
        <w:div w:id="1384865091">
          <w:marLeft w:val="640"/>
          <w:marRight w:val="0"/>
          <w:marTop w:val="0"/>
          <w:marBottom w:val="0"/>
          <w:divBdr>
            <w:top w:val="none" w:sz="0" w:space="0" w:color="auto"/>
            <w:left w:val="none" w:sz="0" w:space="0" w:color="auto"/>
            <w:bottom w:val="none" w:sz="0" w:space="0" w:color="auto"/>
            <w:right w:val="none" w:sz="0" w:space="0" w:color="auto"/>
          </w:divBdr>
        </w:div>
        <w:div w:id="2058622994">
          <w:marLeft w:val="640"/>
          <w:marRight w:val="0"/>
          <w:marTop w:val="0"/>
          <w:marBottom w:val="0"/>
          <w:divBdr>
            <w:top w:val="none" w:sz="0" w:space="0" w:color="auto"/>
            <w:left w:val="none" w:sz="0" w:space="0" w:color="auto"/>
            <w:bottom w:val="none" w:sz="0" w:space="0" w:color="auto"/>
            <w:right w:val="none" w:sz="0" w:space="0" w:color="auto"/>
          </w:divBdr>
        </w:div>
        <w:div w:id="2073889153">
          <w:marLeft w:val="640"/>
          <w:marRight w:val="0"/>
          <w:marTop w:val="0"/>
          <w:marBottom w:val="0"/>
          <w:divBdr>
            <w:top w:val="none" w:sz="0" w:space="0" w:color="auto"/>
            <w:left w:val="none" w:sz="0" w:space="0" w:color="auto"/>
            <w:bottom w:val="none" w:sz="0" w:space="0" w:color="auto"/>
            <w:right w:val="none" w:sz="0" w:space="0" w:color="auto"/>
          </w:divBdr>
        </w:div>
        <w:div w:id="889152847">
          <w:marLeft w:val="640"/>
          <w:marRight w:val="0"/>
          <w:marTop w:val="0"/>
          <w:marBottom w:val="0"/>
          <w:divBdr>
            <w:top w:val="none" w:sz="0" w:space="0" w:color="auto"/>
            <w:left w:val="none" w:sz="0" w:space="0" w:color="auto"/>
            <w:bottom w:val="none" w:sz="0" w:space="0" w:color="auto"/>
            <w:right w:val="none" w:sz="0" w:space="0" w:color="auto"/>
          </w:divBdr>
        </w:div>
        <w:div w:id="822695737">
          <w:marLeft w:val="640"/>
          <w:marRight w:val="0"/>
          <w:marTop w:val="0"/>
          <w:marBottom w:val="0"/>
          <w:divBdr>
            <w:top w:val="none" w:sz="0" w:space="0" w:color="auto"/>
            <w:left w:val="none" w:sz="0" w:space="0" w:color="auto"/>
            <w:bottom w:val="none" w:sz="0" w:space="0" w:color="auto"/>
            <w:right w:val="none" w:sz="0" w:space="0" w:color="auto"/>
          </w:divBdr>
        </w:div>
        <w:div w:id="1976904644">
          <w:marLeft w:val="640"/>
          <w:marRight w:val="0"/>
          <w:marTop w:val="0"/>
          <w:marBottom w:val="0"/>
          <w:divBdr>
            <w:top w:val="none" w:sz="0" w:space="0" w:color="auto"/>
            <w:left w:val="none" w:sz="0" w:space="0" w:color="auto"/>
            <w:bottom w:val="none" w:sz="0" w:space="0" w:color="auto"/>
            <w:right w:val="none" w:sz="0" w:space="0" w:color="auto"/>
          </w:divBdr>
        </w:div>
        <w:div w:id="1581333707">
          <w:marLeft w:val="640"/>
          <w:marRight w:val="0"/>
          <w:marTop w:val="0"/>
          <w:marBottom w:val="0"/>
          <w:divBdr>
            <w:top w:val="none" w:sz="0" w:space="0" w:color="auto"/>
            <w:left w:val="none" w:sz="0" w:space="0" w:color="auto"/>
            <w:bottom w:val="none" w:sz="0" w:space="0" w:color="auto"/>
            <w:right w:val="none" w:sz="0" w:space="0" w:color="auto"/>
          </w:divBdr>
        </w:div>
        <w:div w:id="323516181">
          <w:marLeft w:val="640"/>
          <w:marRight w:val="0"/>
          <w:marTop w:val="0"/>
          <w:marBottom w:val="0"/>
          <w:divBdr>
            <w:top w:val="none" w:sz="0" w:space="0" w:color="auto"/>
            <w:left w:val="none" w:sz="0" w:space="0" w:color="auto"/>
            <w:bottom w:val="none" w:sz="0" w:space="0" w:color="auto"/>
            <w:right w:val="none" w:sz="0" w:space="0" w:color="auto"/>
          </w:divBdr>
        </w:div>
        <w:div w:id="1832528767">
          <w:marLeft w:val="640"/>
          <w:marRight w:val="0"/>
          <w:marTop w:val="0"/>
          <w:marBottom w:val="0"/>
          <w:divBdr>
            <w:top w:val="none" w:sz="0" w:space="0" w:color="auto"/>
            <w:left w:val="none" w:sz="0" w:space="0" w:color="auto"/>
            <w:bottom w:val="none" w:sz="0" w:space="0" w:color="auto"/>
            <w:right w:val="none" w:sz="0" w:space="0" w:color="auto"/>
          </w:divBdr>
        </w:div>
        <w:div w:id="201990145">
          <w:marLeft w:val="640"/>
          <w:marRight w:val="0"/>
          <w:marTop w:val="0"/>
          <w:marBottom w:val="0"/>
          <w:divBdr>
            <w:top w:val="none" w:sz="0" w:space="0" w:color="auto"/>
            <w:left w:val="none" w:sz="0" w:space="0" w:color="auto"/>
            <w:bottom w:val="none" w:sz="0" w:space="0" w:color="auto"/>
            <w:right w:val="none" w:sz="0" w:space="0" w:color="auto"/>
          </w:divBdr>
        </w:div>
        <w:div w:id="545065341">
          <w:marLeft w:val="640"/>
          <w:marRight w:val="0"/>
          <w:marTop w:val="0"/>
          <w:marBottom w:val="0"/>
          <w:divBdr>
            <w:top w:val="none" w:sz="0" w:space="0" w:color="auto"/>
            <w:left w:val="none" w:sz="0" w:space="0" w:color="auto"/>
            <w:bottom w:val="none" w:sz="0" w:space="0" w:color="auto"/>
            <w:right w:val="none" w:sz="0" w:space="0" w:color="auto"/>
          </w:divBdr>
        </w:div>
        <w:div w:id="1763716307">
          <w:marLeft w:val="640"/>
          <w:marRight w:val="0"/>
          <w:marTop w:val="0"/>
          <w:marBottom w:val="0"/>
          <w:divBdr>
            <w:top w:val="none" w:sz="0" w:space="0" w:color="auto"/>
            <w:left w:val="none" w:sz="0" w:space="0" w:color="auto"/>
            <w:bottom w:val="none" w:sz="0" w:space="0" w:color="auto"/>
            <w:right w:val="none" w:sz="0" w:space="0" w:color="auto"/>
          </w:divBdr>
        </w:div>
        <w:div w:id="976107899">
          <w:marLeft w:val="640"/>
          <w:marRight w:val="0"/>
          <w:marTop w:val="0"/>
          <w:marBottom w:val="0"/>
          <w:divBdr>
            <w:top w:val="none" w:sz="0" w:space="0" w:color="auto"/>
            <w:left w:val="none" w:sz="0" w:space="0" w:color="auto"/>
            <w:bottom w:val="none" w:sz="0" w:space="0" w:color="auto"/>
            <w:right w:val="none" w:sz="0" w:space="0" w:color="auto"/>
          </w:divBdr>
        </w:div>
        <w:div w:id="593978931">
          <w:marLeft w:val="640"/>
          <w:marRight w:val="0"/>
          <w:marTop w:val="0"/>
          <w:marBottom w:val="0"/>
          <w:divBdr>
            <w:top w:val="none" w:sz="0" w:space="0" w:color="auto"/>
            <w:left w:val="none" w:sz="0" w:space="0" w:color="auto"/>
            <w:bottom w:val="none" w:sz="0" w:space="0" w:color="auto"/>
            <w:right w:val="none" w:sz="0" w:space="0" w:color="auto"/>
          </w:divBdr>
        </w:div>
        <w:div w:id="1330861838">
          <w:marLeft w:val="640"/>
          <w:marRight w:val="0"/>
          <w:marTop w:val="0"/>
          <w:marBottom w:val="0"/>
          <w:divBdr>
            <w:top w:val="none" w:sz="0" w:space="0" w:color="auto"/>
            <w:left w:val="none" w:sz="0" w:space="0" w:color="auto"/>
            <w:bottom w:val="none" w:sz="0" w:space="0" w:color="auto"/>
            <w:right w:val="none" w:sz="0" w:space="0" w:color="auto"/>
          </w:divBdr>
        </w:div>
        <w:div w:id="1283264792">
          <w:marLeft w:val="640"/>
          <w:marRight w:val="0"/>
          <w:marTop w:val="0"/>
          <w:marBottom w:val="0"/>
          <w:divBdr>
            <w:top w:val="none" w:sz="0" w:space="0" w:color="auto"/>
            <w:left w:val="none" w:sz="0" w:space="0" w:color="auto"/>
            <w:bottom w:val="none" w:sz="0" w:space="0" w:color="auto"/>
            <w:right w:val="none" w:sz="0" w:space="0" w:color="auto"/>
          </w:divBdr>
        </w:div>
        <w:div w:id="809593713">
          <w:marLeft w:val="640"/>
          <w:marRight w:val="0"/>
          <w:marTop w:val="0"/>
          <w:marBottom w:val="0"/>
          <w:divBdr>
            <w:top w:val="none" w:sz="0" w:space="0" w:color="auto"/>
            <w:left w:val="none" w:sz="0" w:space="0" w:color="auto"/>
            <w:bottom w:val="none" w:sz="0" w:space="0" w:color="auto"/>
            <w:right w:val="none" w:sz="0" w:space="0" w:color="auto"/>
          </w:divBdr>
        </w:div>
        <w:div w:id="208998654">
          <w:marLeft w:val="640"/>
          <w:marRight w:val="0"/>
          <w:marTop w:val="0"/>
          <w:marBottom w:val="0"/>
          <w:divBdr>
            <w:top w:val="none" w:sz="0" w:space="0" w:color="auto"/>
            <w:left w:val="none" w:sz="0" w:space="0" w:color="auto"/>
            <w:bottom w:val="none" w:sz="0" w:space="0" w:color="auto"/>
            <w:right w:val="none" w:sz="0" w:space="0" w:color="auto"/>
          </w:divBdr>
        </w:div>
        <w:div w:id="407196006">
          <w:marLeft w:val="640"/>
          <w:marRight w:val="0"/>
          <w:marTop w:val="0"/>
          <w:marBottom w:val="0"/>
          <w:divBdr>
            <w:top w:val="none" w:sz="0" w:space="0" w:color="auto"/>
            <w:left w:val="none" w:sz="0" w:space="0" w:color="auto"/>
            <w:bottom w:val="none" w:sz="0" w:space="0" w:color="auto"/>
            <w:right w:val="none" w:sz="0" w:space="0" w:color="auto"/>
          </w:divBdr>
        </w:div>
        <w:div w:id="1155563257">
          <w:marLeft w:val="640"/>
          <w:marRight w:val="0"/>
          <w:marTop w:val="0"/>
          <w:marBottom w:val="0"/>
          <w:divBdr>
            <w:top w:val="none" w:sz="0" w:space="0" w:color="auto"/>
            <w:left w:val="none" w:sz="0" w:space="0" w:color="auto"/>
            <w:bottom w:val="none" w:sz="0" w:space="0" w:color="auto"/>
            <w:right w:val="none" w:sz="0" w:space="0" w:color="auto"/>
          </w:divBdr>
        </w:div>
        <w:div w:id="287250419">
          <w:marLeft w:val="640"/>
          <w:marRight w:val="0"/>
          <w:marTop w:val="0"/>
          <w:marBottom w:val="0"/>
          <w:divBdr>
            <w:top w:val="none" w:sz="0" w:space="0" w:color="auto"/>
            <w:left w:val="none" w:sz="0" w:space="0" w:color="auto"/>
            <w:bottom w:val="none" w:sz="0" w:space="0" w:color="auto"/>
            <w:right w:val="none" w:sz="0" w:space="0" w:color="auto"/>
          </w:divBdr>
        </w:div>
        <w:div w:id="192499002">
          <w:marLeft w:val="640"/>
          <w:marRight w:val="0"/>
          <w:marTop w:val="0"/>
          <w:marBottom w:val="0"/>
          <w:divBdr>
            <w:top w:val="none" w:sz="0" w:space="0" w:color="auto"/>
            <w:left w:val="none" w:sz="0" w:space="0" w:color="auto"/>
            <w:bottom w:val="none" w:sz="0" w:space="0" w:color="auto"/>
            <w:right w:val="none" w:sz="0" w:space="0" w:color="auto"/>
          </w:divBdr>
        </w:div>
        <w:div w:id="955527239">
          <w:marLeft w:val="640"/>
          <w:marRight w:val="0"/>
          <w:marTop w:val="0"/>
          <w:marBottom w:val="0"/>
          <w:divBdr>
            <w:top w:val="none" w:sz="0" w:space="0" w:color="auto"/>
            <w:left w:val="none" w:sz="0" w:space="0" w:color="auto"/>
            <w:bottom w:val="none" w:sz="0" w:space="0" w:color="auto"/>
            <w:right w:val="none" w:sz="0" w:space="0" w:color="auto"/>
          </w:divBdr>
        </w:div>
        <w:div w:id="1532299878">
          <w:marLeft w:val="640"/>
          <w:marRight w:val="0"/>
          <w:marTop w:val="0"/>
          <w:marBottom w:val="0"/>
          <w:divBdr>
            <w:top w:val="none" w:sz="0" w:space="0" w:color="auto"/>
            <w:left w:val="none" w:sz="0" w:space="0" w:color="auto"/>
            <w:bottom w:val="none" w:sz="0" w:space="0" w:color="auto"/>
            <w:right w:val="none" w:sz="0" w:space="0" w:color="auto"/>
          </w:divBdr>
        </w:div>
        <w:div w:id="167409462">
          <w:marLeft w:val="640"/>
          <w:marRight w:val="0"/>
          <w:marTop w:val="0"/>
          <w:marBottom w:val="0"/>
          <w:divBdr>
            <w:top w:val="none" w:sz="0" w:space="0" w:color="auto"/>
            <w:left w:val="none" w:sz="0" w:space="0" w:color="auto"/>
            <w:bottom w:val="none" w:sz="0" w:space="0" w:color="auto"/>
            <w:right w:val="none" w:sz="0" w:space="0" w:color="auto"/>
          </w:divBdr>
        </w:div>
        <w:div w:id="1987003221">
          <w:marLeft w:val="640"/>
          <w:marRight w:val="0"/>
          <w:marTop w:val="0"/>
          <w:marBottom w:val="0"/>
          <w:divBdr>
            <w:top w:val="none" w:sz="0" w:space="0" w:color="auto"/>
            <w:left w:val="none" w:sz="0" w:space="0" w:color="auto"/>
            <w:bottom w:val="none" w:sz="0" w:space="0" w:color="auto"/>
            <w:right w:val="none" w:sz="0" w:space="0" w:color="auto"/>
          </w:divBdr>
        </w:div>
        <w:div w:id="88821756">
          <w:marLeft w:val="640"/>
          <w:marRight w:val="0"/>
          <w:marTop w:val="0"/>
          <w:marBottom w:val="0"/>
          <w:divBdr>
            <w:top w:val="none" w:sz="0" w:space="0" w:color="auto"/>
            <w:left w:val="none" w:sz="0" w:space="0" w:color="auto"/>
            <w:bottom w:val="none" w:sz="0" w:space="0" w:color="auto"/>
            <w:right w:val="none" w:sz="0" w:space="0" w:color="auto"/>
          </w:divBdr>
        </w:div>
        <w:div w:id="542252046">
          <w:marLeft w:val="640"/>
          <w:marRight w:val="0"/>
          <w:marTop w:val="0"/>
          <w:marBottom w:val="0"/>
          <w:divBdr>
            <w:top w:val="none" w:sz="0" w:space="0" w:color="auto"/>
            <w:left w:val="none" w:sz="0" w:space="0" w:color="auto"/>
            <w:bottom w:val="none" w:sz="0" w:space="0" w:color="auto"/>
            <w:right w:val="none" w:sz="0" w:space="0" w:color="auto"/>
          </w:divBdr>
        </w:div>
        <w:div w:id="1761022873">
          <w:marLeft w:val="640"/>
          <w:marRight w:val="0"/>
          <w:marTop w:val="0"/>
          <w:marBottom w:val="0"/>
          <w:divBdr>
            <w:top w:val="none" w:sz="0" w:space="0" w:color="auto"/>
            <w:left w:val="none" w:sz="0" w:space="0" w:color="auto"/>
            <w:bottom w:val="none" w:sz="0" w:space="0" w:color="auto"/>
            <w:right w:val="none" w:sz="0" w:space="0" w:color="auto"/>
          </w:divBdr>
        </w:div>
        <w:div w:id="494496159">
          <w:marLeft w:val="640"/>
          <w:marRight w:val="0"/>
          <w:marTop w:val="0"/>
          <w:marBottom w:val="0"/>
          <w:divBdr>
            <w:top w:val="none" w:sz="0" w:space="0" w:color="auto"/>
            <w:left w:val="none" w:sz="0" w:space="0" w:color="auto"/>
            <w:bottom w:val="none" w:sz="0" w:space="0" w:color="auto"/>
            <w:right w:val="none" w:sz="0" w:space="0" w:color="auto"/>
          </w:divBdr>
        </w:div>
        <w:div w:id="153493184">
          <w:marLeft w:val="640"/>
          <w:marRight w:val="0"/>
          <w:marTop w:val="0"/>
          <w:marBottom w:val="0"/>
          <w:divBdr>
            <w:top w:val="none" w:sz="0" w:space="0" w:color="auto"/>
            <w:left w:val="none" w:sz="0" w:space="0" w:color="auto"/>
            <w:bottom w:val="none" w:sz="0" w:space="0" w:color="auto"/>
            <w:right w:val="none" w:sz="0" w:space="0" w:color="auto"/>
          </w:divBdr>
        </w:div>
        <w:div w:id="763305700">
          <w:marLeft w:val="640"/>
          <w:marRight w:val="0"/>
          <w:marTop w:val="0"/>
          <w:marBottom w:val="0"/>
          <w:divBdr>
            <w:top w:val="none" w:sz="0" w:space="0" w:color="auto"/>
            <w:left w:val="none" w:sz="0" w:space="0" w:color="auto"/>
            <w:bottom w:val="none" w:sz="0" w:space="0" w:color="auto"/>
            <w:right w:val="none" w:sz="0" w:space="0" w:color="auto"/>
          </w:divBdr>
        </w:div>
        <w:div w:id="1018576824">
          <w:marLeft w:val="640"/>
          <w:marRight w:val="0"/>
          <w:marTop w:val="0"/>
          <w:marBottom w:val="0"/>
          <w:divBdr>
            <w:top w:val="none" w:sz="0" w:space="0" w:color="auto"/>
            <w:left w:val="none" w:sz="0" w:space="0" w:color="auto"/>
            <w:bottom w:val="none" w:sz="0" w:space="0" w:color="auto"/>
            <w:right w:val="none" w:sz="0" w:space="0" w:color="auto"/>
          </w:divBdr>
        </w:div>
        <w:div w:id="201597319">
          <w:marLeft w:val="640"/>
          <w:marRight w:val="0"/>
          <w:marTop w:val="0"/>
          <w:marBottom w:val="0"/>
          <w:divBdr>
            <w:top w:val="none" w:sz="0" w:space="0" w:color="auto"/>
            <w:left w:val="none" w:sz="0" w:space="0" w:color="auto"/>
            <w:bottom w:val="none" w:sz="0" w:space="0" w:color="auto"/>
            <w:right w:val="none" w:sz="0" w:space="0" w:color="auto"/>
          </w:divBdr>
        </w:div>
        <w:div w:id="2038580759">
          <w:marLeft w:val="640"/>
          <w:marRight w:val="0"/>
          <w:marTop w:val="0"/>
          <w:marBottom w:val="0"/>
          <w:divBdr>
            <w:top w:val="none" w:sz="0" w:space="0" w:color="auto"/>
            <w:left w:val="none" w:sz="0" w:space="0" w:color="auto"/>
            <w:bottom w:val="none" w:sz="0" w:space="0" w:color="auto"/>
            <w:right w:val="none" w:sz="0" w:space="0" w:color="auto"/>
          </w:divBdr>
        </w:div>
        <w:div w:id="1338145498">
          <w:marLeft w:val="640"/>
          <w:marRight w:val="0"/>
          <w:marTop w:val="0"/>
          <w:marBottom w:val="0"/>
          <w:divBdr>
            <w:top w:val="none" w:sz="0" w:space="0" w:color="auto"/>
            <w:left w:val="none" w:sz="0" w:space="0" w:color="auto"/>
            <w:bottom w:val="none" w:sz="0" w:space="0" w:color="auto"/>
            <w:right w:val="none" w:sz="0" w:space="0" w:color="auto"/>
          </w:divBdr>
        </w:div>
        <w:div w:id="280768258">
          <w:marLeft w:val="640"/>
          <w:marRight w:val="0"/>
          <w:marTop w:val="0"/>
          <w:marBottom w:val="0"/>
          <w:divBdr>
            <w:top w:val="none" w:sz="0" w:space="0" w:color="auto"/>
            <w:left w:val="none" w:sz="0" w:space="0" w:color="auto"/>
            <w:bottom w:val="none" w:sz="0" w:space="0" w:color="auto"/>
            <w:right w:val="none" w:sz="0" w:space="0" w:color="auto"/>
          </w:divBdr>
        </w:div>
        <w:div w:id="429548523">
          <w:marLeft w:val="640"/>
          <w:marRight w:val="0"/>
          <w:marTop w:val="0"/>
          <w:marBottom w:val="0"/>
          <w:divBdr>
            <w:top w:val="none" w:sz="0" w:space="0" w:color="auto"/>
            <w:left w:val="none" w:sz="0" w:space="0" w:color="auto"/>
            <w:bottom w:val="none" w:sz="0" w:space="0" w:color="auto"/>
            <w:right w:val="none" w:sz="0" w:space="0" w:color="auto"/>
          </w:divBdr>
        </w:div>
        <w:div w:id="2090422826">
          <w:marLeft w:val="640"/>
          <w:marRight w:val="0"/>
          <w:marTop w:val="0"/>
          <w:marBottom w:val="0"/>
          <w:divBdr>
            <w:top w:val="none" w:sz="0" w:space="0" w:color="auto"/>
            <w:left w:val="none" w:sz="0" w:space="0" w:color="auto"/>
            <w:bottom w:val="none" w:sz="0" w:space="0" w:color="auto"/>
            <w:right w:val="none" w:sz="0" w:space="0" w:color="auto"/>
          </w:divBdr>
        </w:div>
        <w:div w:id="780491340">
          <w:marLeft w:val="640"/>
          <w:marRight w:val="0"/>
          <w:marTop w:val="0"/>
          <w:marBottom w:val="0"/>
          <w:divBdr>
            <w:top w:val="none" w:sz="0" w:space="0" w:color="auto"/>
            <w:left w:val="none" w:sz="0" w:space="0" w:color="auto"/>
            <w:bottom w:val="none" w:sz="0" w:space="0" w:color="auto"/>
            <w:right w:val="none" w:sz="0" w:space="0" w:color="auto"/>
          </w:divBdr>
        </w:div>
        <w:div w:id="1681816870">
          <w:marLeft w:val="640"/>
          <w:marRight w:val="0"/>
          <w:marTop w:val="0"/>
          <w:marBottom w:val="0"/>
          <w:divBdr>
            <w:top w:val="none" w:sz="0" w:space="0" w:color="auto"/>
            <w:left w:val="none" w:sz="0" w:space="0" w:color="auto"/>
            <w:bottom w:val="none" w:sz="0" w:space="0" w:color="auto"/>
            <w:right w:val="none" w:sz="0" w:space="0" w:color="auto"/>
          </w:divBdr>
        </w:div>
        <w:div w:id="1894385820">
          <w:marLeft w:val="640"/>
          <w:marRight w:val="0"/>
          <w:marTop w:val="0"/>
          <w:marBottom w:val="0"/>
          <w:divBdr>
            <w:top w:val="none" w:sz="0" w:space="0" w:color="auto"/>
            <w:left w:val="none" w:sz="0" w:space="0" w:color="auto"/>
            <w:bottom w:val="none" w:sz="0" w:space="0" w:color="auto"/>
            <w:right w:val="none" w:sz="0" w:space="0" w:color="auto"/>
          </w:divBdr>
        </w:div>
        <w:div w:id="1879657701">
          <w:marLeft w:val="640"/>
          <w:marRight w:val="0"/>
          <w:marTop w:val="0"/>
          <w:marBottom w:val="0"/>
          <w:divBdr>
            <w:top w:val="none" w:sz="0" w:space="0" w:color="auto"/>
            <w:left w:val="none" w:sz="0" w:space="0" w:color="auto"/>
            <w:bottom w:val="none" w:sz="0" w:space="0" w:color="auto"/>
            <w:right w:val="none" w:sz="0" w:space="0" w:color="auto"/>
          </w:divBdr>
        </w:div>
        <w:div w:id="182011438">
          <w:marLeft w:val="640"/>
          <w:marRight w:val="0"/>
          <w:marTop w:val="0"/>
          <w:marBottom w:val="0"/>
          <w:divBdr>
            <w:top w:val="none" w:sz="0" w:space="0" w:color="auto"/>
            <w:left w:val="none" w:sz="0" w:space="0" w:color="auto"/>
            <w:bottom w:val="none" w:sz="0" w:space="0" w:color="auto"/>
            <w:right w:val="none" w:sz="0" w:space="0" w:color="auto"/>
          </w:divBdr>
        </w:div>
        <w:div w:id="1471898562">
          <w:marLeft w:val="640"/>
          <w:marRight w:val="0"/>
          <w:marTop w:val="0"/>
          <w:marBottom w:val="0"/>
          <w:divBdr>
            <w:top w:val="none" w:sz="0" w:space="0" w:color="auto"/>
            <w:left w:val="none" w:sz="0" w:space="0" w:color="auto"/>
            <w:bottom w:val="none" w:sz="0" w:space="0" w:color="auto"/>
            <w:right w:val="none" w:sz="0" w:space="0" w:color="auto"/>
          </w:divBdr>
        </w:div>
        <w:div w:id="1666473450">
          <w:marLeft w:val="640"/>
          <w:marRight w:val="0"/>
          <w:marTop w:val="0"/>
          <w:marBottom w:val="0"/>
          <w:divBdr>
            <w:top w:val="none" w:sz="0" w:space="0" w:color="auto"/>
            <w:left w:val="none" w:sz="0" w:space="0" w:color="auto"/>
            <w:bottom w:val="none" w:sz="0" w:space="0" w:color="auto"/>
            <w:right w:val="none" w:sz="0" w:space="0" w:color="auto"/>
          </w:divBdr>
        </w:div>
        <w:div w:id="460805974">
          <w:marLeft w:val="640"/>
          <w:marRight w:val="0"/>
          <w:marTop w:val="0"/>
          <w:marBottom w:val="0"/>
          <w:divBdr>
            <w:top w:val="none" w:sz="0" w:space="0" w:color="auto"/>
            <w:left w:val="none" w:sz="0" w:space="0" w:color="auto"/>
            <w:bottom w:val="none" w:sz="0" w:space="0" w:color="auto"/>
            <w:right w:val="none" w:sz="0" w:space="0" w:color="auto"/>
          </w:divBdr>
        </w:div>
        <w:div w:id="1673755242">
          <w:marLeft w:val="640"/>
          <w:marRight w:val="0"/>
          <w:marTop w:val="0"/>
          <w:marBottom w:val="0"/>
          <w:divBdr>
            <w:top w:val="none" w:sz="0" w:space="0" w:color="auto"/>
            <w:left w:val="none" w:sz="0" w:space="0" w:color="auto"/>
            <w:bottom w:val="none" w:sz="0" w:space="0" w:color="auto"/>
            <w:right w:val="none" w:sz="0" w:space="0" w:color="auto"/>
          </w:divBdr>
        </w:div>
        <w:div w:id="1541279638">
          <w:marLeft w:val="640"/>
          <w:marRight w:val="0"/>
          <w:marTop w:val="0"/>
          <w:marBottom w:val="0"/>
          <w:divBdr>
            <w:top w:val="none" w:sz="0" w:space="0" w:color="auto"/>
            <w:left w:val="none" w:sz="0" w:space="0" w:color="auto"/>
            <w:bottom w:val="none" w:sz="0" w:space="0" w:color="auto"/>
            <w:right w:val="none" w:sz="0" w:space="0" w:color="auto"/>
          </w:divBdr>
        </w:div>
        <w:div w:id="668408348">
          <w:marLeft w:val="640"/>
          <w:marRight w:val="0"/>
          <w:marTop w:val="0"/>
          <w:marBottom w:val="0"/>
          <w:divBdr>
            <w:top w:val="none" w:sz="0" w:space="0" w:color="auto"/>
            <w:left w:val="none" w:sz="0" w:space="0" w:color="auto"/>
            <w:bottom w:val="none" w:sz="0" w:space="0" w:color="auto"/>
            <w:right w:val="none" w:sz="0" w:space="0" w:color="auto"/>
          </w:divBdr>
        </w:div>
        <w:div w:id="1618415909">
          <w:marLeft w:val="640"/>
          <w:marRight w:val="0"/>
          <w:marTop w:val="0"/>
          <w:marBottom w:val="0"/>
          <w:divBdr>
            <w:top w:val="none" w:sz="0" w:space="0" w:color="auto"/>
            <w:left w:val="none" w:sz="0" w:space="0" w:color="auto"/>
            <w:bottom w:val="none" w:sz="0" w:space="0" w:color="auto"/>
            <w:right w:val="none" w:sz="0" w:space="0" w:color="auto"/>
          </w:divBdr>
        </w:div>
        <w:div w:id="2133330075">
          <w:marLeft w:val="640"/>
          <w:marRight w:val="0"/>
          <w:marTop w:val="0"/>
          <w:marBottom w:val="0"/>
          <w:divBdr>
            <w:top w:val="none" w:sz="0" w:space="0" w:color="auto"/>
            <w:left w:val="none" w:sz="0" w:space="0" w:color="auto"/>
            <w:bottom w:val="none" w:sz="0" w:space="0" w:color="auto"/>
            <w:right w:val="none" w:sz="0" w:space="0" w:color="auto"/>
          </w:divBdr>
        </w:div>
        <w:div w:id="1024405694">
          <w:marLeft w:val="640"/>
          <w:marRight w:val="0"/>
          <w:marTop w:val="0"/>
          <w:marBottom w:val="0"/>
          <w:divBdr>
            <w:top w:val="none" w:sz="0" w:space="0" w:color="auto"/>
            <w:left w:val="none" w:sz="0" w:space="0" w:color="auto"/>
            <w:bottom w:val="none" w:sz="0" w:space="0" w:color="auto"/>
            <w:right w:val="none" w:sz="0" w:space="0" w:color="auto"/>
          </w:divBdr>
        </w:div>
        <w:div w:id="1643191457">
          <w:marLeft w:val="640"/>
          <w:marRight w:val="0"/>
          <w:marTop w:val="0"/>
          <w:marBottom w:val="0"/>
          <w:divBdr>
            <w:top w:val="none" w:sz="0" w:space="0" w:color="auto"/>
            <w:left w:val="none" w:sz="0" w:space="0" w:color="auto"/>
            <w:bottom w:val="none" w:sz="0" w:space="0" w:color="auto"/>
            <w:right w:val="none" w:sz="0" w:space="0" w:color="auto"/>
          </w:divBdr>
        </w:div>
        <w:div w:id="2039892107">
          <w:marLeft w:val="640"/>
          <w:marRight w:val="0"/>
          <w:marTop w:val="0"/>
          <w:marBottom w:val="0"/>
          <w:divBdr>
            <w:top w:val="none" w:sz="0" w:space="0" w:color="auto"/>
            <w:left w:val="none" w:sz="0" w:space="0" w:color="auto"/>
            <w:bottom w:val="none" w:sz="0" w:space="0" w:color="auto"/>
            <w:right w:val="none" w:sz="0" w:space="0" w:color="auto"/>
          </w:divBdr>
        </w:div>
        <w:div w:id="605191366">
          <w:marLeft w:val="640"/>
          <w:marRight w:val="0"/>
          <w:marTop w:val="0"/>
          <w:marBottom w:val="0"/>
          <w:divBdr>
            <w:top w:val="none" w:sz="0" w:space="0" w:color="auto"/>
            <w:left w:val="none" w:sz="0" w:space="0" w:color="auto"/>
            <w:bottom w:val="none" w:sz="0" w:space="0" w:color="auto"/>
            <w:right w:val="none" w:sz="0" w:space="0" w:color="auto"/>
          </w:divBdr>
        </w:div>
        <w:div w:id="1661739496">
          <w:marLeft w:val="640"/>
          <w:marRight w:val="0"/>
          <w:marTop w:val="0"/>
          <w:marBottom w:val="0"/>
          <w:divBdr>
            <w:top w:val="none" w:sz="0" w:space="0" w:color="auto"/>
            <w:left w:val="none" w:sz="0" w:space="0" w:color="auto"/>
            <w:bottom w:val="none" w:sz="0" w:space="0" w:color="auto"/>
            <w:right w:val="none" w:sz="0" w:space="0" w:color="auto"/>
          </w:divBdr>
        </w:div>
        <w:div w:id="1548370139">
          <w:marLeft w:val="640"/>
          <w:marRight w:val="0"/>
          <w:marTop w:val="0"/>
          <w:marBottom w:val="0"/>
          <w:divBdr>
            <w:top w:val="none" w:sz="0" w:space="0" w:color="auto"/>
            <w:left w:val="none" w:sz="0" w:space="0" w:color="auto"/>
            <w:bottom w:val="none" w:sz="0" w:space="0" w:color="auto"/>
            <w:right w:val="none" w:sz="0" w:space="0" w:color="auto"/>
          </w:divBdr>
        </w:div>
        <w:div w:id="1337224717">
          <w:marLeft w:val="640"/>
          <w:marRight w:val="0"/>
          <w:marTop w:val="0"/>
          <w:marBottom w:val="0"/>
          <w:divBdr>
            <w:top w:val="none" w:sz="0" w:space="0" w:color="auto"/>
            <w:left w:val="none" w:sz="0" w:space="0" w:color="auto"/>
            <w:bottom w:val="none" w:sz="0" w:space="0" w:color="auto"/>
            <w:right w:val="none" w:sz="0" w:space="0" w:color="auto"/>
          </w:divBdr>
        </w:div>
        <w:div w:id="483399906">
          <w:marLeft w:val="640"/>
          <w:marRight w:val="0"/>
          <w:marTop w:val="0"/>
          <w:marBottom w:val="0"/>
          <w:divBdr>
            <w:top w:val="none" w:sz="0" w:space="0" w:color="auto"/>
            <w:left w:val="none" w:sz="0" w:space="0" w:color="auto"/>
            <w:bottom w:val="none" w:sz="0" w:space="0" w:color="auto"/>
            <w:right w:val="none" w:sz="0" w:space="0" w:color="auto"/>
          </w:divBdr>
        </w:div>
        <w:div w:id="2068258842">
          <w:marLeft w:val="640"/>
          <w:marRight w:val="0"/>
          <w:marTop w:val="0"/>
          <w:marBottom w:val="0"/>
          <w:divBdr>
            <w:top w:val="none" w:sz="0" w:space="0" w:color="auto"/>
            <w:left w:val="none" w:sz="0" w:space="0" w:color="auto"/>
            <w:bottom w:val="none" w:sz="0" w:space="0" w:color="auto"/>
            <w:right w:val="none" w:sz="0" w:space="0" w:color="auto"/>
          </w:divBdr>
        </w:div>
        <w:div w:id="454906448">
          <w:marLeft w:val="640"/>
          <w:marRight w:val="0"/>
          <w:marTop w:val="0"/>
          <w:marBottom w:val="0"/>
          <w:divBdr>
            <w:top w:val="none" w:sz="0" w:space="0" w:color="auto"/>
            <w:left w:val="none" w:sz="0" w:space="0" w:color="auto"/>
            <w:bottom w:val="none" w:sz="0" w:space="0" w:color="auto"/>
            <w:right w:val="none" w:sz="0" w:space="0" w:color="auto"/>
          </w:divBdr>
        </w:div>
        <w:div w:id="877399065">
          <w:marLeft w:val="640"/>
          <w:marRight w:val="0"/>
          <w:marTop w:val="0"/>
          <w:marBottom w:val="0"/>
          <w:divBdr>
            <w:top w:val="none" w:sz="0" w:space="0" w:color="auto"/>
            <w:left w:val="none" w:sz="0" w:space="0" w:color="auto"/>
            <w:bottom w:val="none" w:sz="0" w:space="0" w:color="auto"/>
            <w:right w:val="none" w:sz="0" w:space="0" w:color="auto"/>
          </w:divBdr>
        </w:div>
        <w:div w:id="1747412681">
          <w:marLeft w:val="640"/>
          <w:marRight w:val="0"/>
          <w:marTop w:val="0"/>
          <w:marBottom w:val="0"/>
          <w:divBdr>
            <w:top w:val="none" w:sz="0" w:space="0" w:color="auto"/>
            <w:left w:val="none" w:sz="0" w:space="0" w:color="auto"/>
            <w:bottom w:val="none" w:sz="0" w:space="0" w:color="auto"/>
            <w:right w:val="none" w:sz="0" w:space="0" w:color="auto"/>
          </w:divBdr>
        </w:div>
        <w:div w:id="2055107562">
          <w:marLeft w:val="640"/>
          <w:marRight w:val="0"/>
          <w:marTop w:val="0"/>
          <w:marBottom w:val="0"/>
          <w:divBdr>
            <w:top w:val="none" w:sz="0" w:space="0" w:color="auto"/>
            <w:left w:val="none" w:sz="0" w:space="0" w:color="auto"/>
            <w:bottom w:val="none" w:sz="0" w:space="0" w:color="auto"/>
            <w:right w:val="none" w:sz="0" w:space="0" w:color="auto"/>
          </w:divBdr>
        </w:div>
        <w:div w:id="494954097">
          <w:marLeft w:val="640"/>
          <w:marRight w:val="0"/>
          <w:marTop w:val="0"/>
          <w:marBottom w:val="0"/>
          <w:divBdr>
            <w:top w:val="none" w:sz="0" w:space="0" w:color="auto"/>
            <w:left w:val="none" w:sz="0" w:space="0" w:color="auto"/>
            <w:bottom w:val="none" w:sz="0" w:space="0" w:color="auto"/>
            <w:right w:val="none" w:sz="0" w:space="0" w:color="auto"/>
          </w:divBdr>
        </w:div>
        <w:div w:id="1041708376">
          <w:marLeft w:val="640"/>
          <w:marRight w:val="0"/>
          <w:marTop w:val="0"/>
          <w:marBottom w:val="0"/>
          <w:divBdr>
            <w:top w:val="none" w:sz="0" w:space="0" w:color="auto"/>
            <w:left w:val="none" w:sz="0" w:space="0" w:color="auto"/>
            <w:bottom w:val="none" w:sz="0" w:space="0" w:color="auto"/>
            <w:right w:val="none" w:sz="0" w:space="0" w:color="auto"/>
          </w:divBdr>
        </w:div>
        <w:div w:id="139857114">
          <w:marLeft w:val="640"/>
          <w:marRight w:val="0"/>
          <w:marTop w:val="0"/>
          <w:marBottom w:val="0"/>
          <w:divBdr>
            <w:top w:val="none" w:sz="0" w:space="0" w:color="auto"/>
            <w:left w:val="none" w:sz="0" w:space="0" w:color="auto"/>
            <w:bottom w:val="none" w:sz="0" w:space="0" w:color="auto"/>
            <w:right w:val="none" w:sz="0" w:space="0" w:color="auto"/>
          </w:divBdr>
        </w:div>
        <w:div w:id="248738877">
          <w:marLeft w:val="640"/>
          <w:marRight w:val="0"/>
          <w:marTop w:val="0"/>
          <w:marBottom w:val="0"/>
          <w:divBdr>
            <w:top w:val="none" w:sz="0" w:space="0" w:color="auto"/>
            <w:left w:val="none" w:sz="0" w:space="0" w:color="auto"/>
            <w:bottom w:val="none" w:sz="0" w:space="0" w:color="auto"/>
            <w:right w:val="none" w:sz="0" w:space="0" w:color="auto"/>
          </w:divBdr>
        </w:div>
        <w:div w:id="309868780">
          <w:marLeft w:val="640"/>
          <w:marRight w:val="0"/>
          <w:marTop w:val="0"/>
          <w:marBottom w:val="0"/>
          <w:divBdr>
            <w:top w:val="none" w:sz="0" w:space="0" w:color="auto"/>
            <w:left w:val="none" w:sz="0" w:space="0" w:color="auto"/>
            <w:bottom w:val="none" w:sz="0" w:space="0" w:color="auto"/>
            <w:right w:val="none" w:sz="0" w:space="0" w:color="auto"/>
          </w:divBdr>
        </w:div>
        <w:div w:id="1794863693">
          <w:marLeft w:val="640"/>
          <w:marRight w:val="0"/>
          <w:marTop w:val="0"/>
          <w:marBottom w:val="0"/>
          <w:divBdr>
            <w:top w:val="none" w:sz="0" w:space="0" w:color="auto"/>
            <w:left w:val="none" w:sz="0" w:space="0" w:color="auto"/>
            <w:bottom w:val="none" w:sz="0" w:space="0" w:color="auto"/>
            <w:right w:val="none" w:sz="0" w:space="0" w:color="auto"/>
          </w:divBdr>
        </w:div>
        <w:div w:id="275060686">
          <w:marLeft w:val="640"/>
          <w:marRight w:val="0"/>
          <w:marTop w:val="0"/>
          <w:marBottom w:val="0"/>
          <w:divBdr>
            <w:top w:val="none" w:sz="0" w:space="0" w:color="auto"/>
            <w:left w:val="none" w:sz="0" w:space="0" w:color="auto"/>
            <w:bottom w:val="none" w:sz="0" w:space="0" w:color="auto"/>
            <w:right w:val="none" w:sz="0" w:space="0" w:color="auto"/>
          </w:divBdr>
        </w:div>
        <w:div w:id="1577933566">
          <w:marLeft w:val="640"/>
          <w:marRight w:val="0"/>
          <w:marTop w:val="0"/>
          <w:marBottom w:val="0"/>
          <w:divBdr>
            <w:top w:val="none" w:sz="0" w:space="0" w:color="auto"/>
            <w:left w:val="none" w:sz="0" w:space="0" w:color="auto"/>
            <w:bottom w:val="none" w:sz="0" w:space="0" w:color="auto"/>
            <w:right w:val="none" w:sz="0" w:space="0" w:color="auto"/>
          </w:divBdr>
        </w:div>
        <w:div w:id="1321169">
          <w:marLeft w:val="640"/>
          <w:marRight w:val="0"/>
          <w:marTop w:val="0"/>
          <w:marBottom w:val="0"/>
          <w:divBdr>
            <w:top w:val="none" w:sz="0" w:space="0" w:color="auto"/>
            <w:left w:val="none" w:sz="0" w:space="0" w:color="auto"/>
            <w:bottom w:val="none" w:sz="0" w:space="0" w:color="auto"/>
            <w:right w:val="none" w:sz="0" w:space="0" w:color="auto"/>
          </w:divBdr>
        </w:div>
        <w:div w:id="178857604">
          <w:marLeft w:val="640"/>
          <w:marRight w:val="0"/>
          <w:marTop w:val="0"/>
          <w:marBottom w:val="0"/>
          <w:divBdr>
            <w:top w:val="none" w:sz="0" w:space="0" w:color="auto"/>
            <w:left w:val="none" w:sz="0" w:space="0" w:color="auto"/>
            <w:bottom w:val="none" w:sz="0" w:space="0" w:color="auto"/>
            <w:right w:val="none" w:sz="0" w:space="0" w:color="auto"/>
          </w:divBdr>
        </w:div>
        <w:div w:id="960265771">
          <w:marLeft w:val="640"/>
          <w:marRight w:val="0"/>
          <w:marTop w:val="0"/>
          <w:marBottom w:val="0"/>
          <w:divBdr>
            <w:top w:val="none" w:sz="0" w:space="0" w:color="auto"/>
            <w:left w:val="none" w:sz="0" w:space="0" w:color="auto"/>
            <w:bottom w:val="none" w:sz="0" w:space="0" w:color="auto"/>
            <w:right w:val="none" w:sz="0" w:space="0" w:color="auto"/>
          </w:divBdr>
        </w:div>
        <w:div w:id="400711810">
          <w:marLeft w:val="640"/>
          <w:marRight w:val="0"/>
          <w:marTop w:val="0"/>
          <w:marBottom w:val="0"/>
          <w:divBdr>
            <w:top w:val="none" w:sz="0" w:space="0" w:color="auto"/>
            <w:left w:val="none" w:sz="0" w:space="0" w:color="auto"/>
            <w:bottom w:val="none" w:sz="0" w:space="0" w:color="auto"/>
            <w:right w:val="none" w:sz="0" w:space="0" w:color="auto"/>
          </w:divBdr>
        </w:div>
        <w:div w:id="730082895">
          <w:marLeft w:val="640"/>
          <w:marRight w:val="0"/>
          <w:marTop w:val="0"/>
          <w:marBottom w:val="0"/>
          <w:divBdr>
            <w:top w:val="none" w:sz="0" w:space="0" w:color="auto"/>
            <w:left w:val="none" w:sz="0" w:space="0" w:color="auto"/>
            <w:bottom w:val="none" w:sz="0" w:space="0" w:color="auto"/>
            <w:right w:val="none" w:sz="0" w:space="0" w:color="auto"/>
          </w:divBdr>
        </w:div>
        <w:div w:id="1175993987">
          <w:marLeft w:val="640"/>
          <w:marRight w:val="0"/>
          <w:marTop w:val="0"/>
          <w:marBottom w:val="0"/>
          <w:divBdr>
            <w:top w:val="none" w:sz="0" w:space="0" w:color="auto"/>
            <w:left w:val="none" w:sz="0" w:space="0" w:color="auto"/>
            <w:bottom w:val="none" w:sz="0" w:space="0" w:color="auto"/>
            <w:right w:val="none" w:sz="0" w:space="0" w:color="auto"/>
          </w:divBdr>
        </w:div>
        <w:div w:id="45446703">
          <w:marLeft w:val="640"/>
          <w:marRight w:val="0"/>
          <w:marTop w:val="0"/>
          <w:marBottom w:val="0"/>
          <w:divBdr>
            <w:top w:val="none" w:sz="0" w:space="0" w:color="auto"/>
            <w:left w:val="none" w:sz="0" w:space="0" w:color="auto"/>
            <w:bottom w:val="none" w:sz="0" w:space="0" w:color="auto"/>
            <w:right w:val="none" w:sz="0" w:space="0" w:color="auto"/>
          </w:divBdr>
        </w:div>
        <w:div w:id="2139645281">
          <w:marLeft w:val="640"/>
          <w:marRight w:val="0"/>
          <w:marTop w:val="0"/>
          <w:marBottom w:val="0"/>
          <w:divBdr>
            <w:top w:val="none" w:sz="0" w:space="0" w:color="auto"/>
            <w:left w:val="none" w:sz="0" w:space="0" w:color="auto"/>
            <w:bottom w:val="none" w:sz="0" w:space="0" w:color="auto"/>
            <w:right w:val="none" w:sz="0" w:space="0" w:color="auto"/>
          </w:divBdr>
        </w:div>
        <w:div w:id="872961170">
          <w:marLeft w:val="640"/>
          <w:marRight w:val="0"/>
          <w:marTop w:val="0"/>
          <w:marBottom w:val="0"/>
          <w:divBdr>
            <w:top w:val="none" w:sz="0" w:space="0" w:color="auto"/>
            <w:left w:val="none" w:sz="0" w:space="0" w:color="auto"/>
            <w:bottom w:val="none" w:sz="0" w:space="0" w:color="auto"/>
            <w:right w:val="none" w:sz="0" w:space="0" w:color="auto"/>
          </w:divBdr>
        </w:div>
        <w:div w:id="2066642763">
          <w:marLeft w:val="640"/>
          <w:marRight w:val="0"/>
          <w:marTop w:val="0"/>
          <w:marBottom w:val="0"/>
          <w:divBdr>
            <w:top w:val="none" w:sz="0" w:space="0" w:color="auto"/>
            <w:left w:val="none" w:sz="0" w:space="0" w:color="auto"/>
            <w:bottom w:val="none" w:sz="0" w:space="0" w:color="auto"/>
            <w:right w:val="none" w:sz="0" w:space="0" w:color="auto"/>
          </w:divBdr>
        </w:div>
        <w:div w:id="541134653">
          <w:marLeft w:val="640"/>
          <w:marRight w:val="0"/>
          <w:marTop w:val="0"/>
          <w:marBottom w:val="0"/>
          <w:divBdr>
            <w:top w:val="none" w:sz="0" w:space="0" w:color="auto"/>
            <w:left w:val="none" w:sz="0" w:space="0" w:color="auto"/>
            <w:bottom w:val="none" w:sz="0" w:space="0" w:color="auto"/>
            <w:right w:val="none" w:sz="0" w:space="0" w:color="auto"/>
          </w:divBdr>
        </w:div>
        <w:div w:id="670254024">
          <w:marLeft w:val="640"/>
          <w:marRight w:val="0"/>
          <w:marTop w:val="0"/>
          <w:marBottom w:val="0"/>
          <w:divBdr>
            <w:top w:val="none" w:sz="0" w:space="0" w:color="auto"/>
            <w:left w:val="none" w:sz="0" w:space="0" w:color="auto"/>
            <w:bottom w:val="none" w:sz="0" w:space="0" w:color="auto"/>
            <w:right w:val="none" w:sz="0" w:space="0" w:color="auto"/>
          </w:divBdr>
        </w:div>
        <w:div w:id="1777745777">
          <w:marLeft w:val="640"/>
          <w:marRight w:val="0"/>
          <w:marTop w:val="0"/>
          <w:marBottom w:val="0"/>
          <w:divBdr>
            <w:top w:val="none" w:sz="0" w:space="0" w:color="auto"/>
            <w:left w:val="none" w:sz="0" w:space="0" w:color="auto"/>
            <w:bottom w:val="none" w:sz="0" w:space="0" w:color="auto"/>
            <w:right w:val="none" w:sz="0" w:space="0" w:color="auto"/>
          </w:divBdr>
        </w:div>
        <w:div w:id="1363357042">
          <w:marLeft w:val="640"/>
          <w:marRight w:val="0"/>
          <w:marTop w:val="0"/>
          <w:marBottom w:val="0"/>
          <w:divBdr>
            <w:top w:val="none" w:sz="0" w:space="0" w:color="auto"/>
            <w:left w:val="none" w:sz="0" w:space="0" w:color="auto"/>
            <w:bottom w:val="none" w:sz="0" w:space="0" w:color="auto"/>
            <w:right w:val="none" w:sz="0" w:space="0" w:color="auto"/>
          </w:divBdr>
        </w:div>
        <w:div w:id="944459673">
          <w:marLeft w:val="640"/>
          <w:marRight w:val="0"/>
          <w:marTop w:val="0"/>
          <w:marBottom w:val="0"/>
          <w:divBdr>
            <w:top w:val="none" w:sz="0" w:space="0" w:color="auto"/>
            <w:left w:val="none" w:sz="0" w:space="0" w:color="auto"/>
            <w:bottom w:val="none" w:sz="0" w:space="0" w:color="auto"/>
            <w:right w:val="none" w:sz="0" w:space="0" w:color="auto"/>
          </w:divBdr>
        </w:div>
        <w:div w:id="909386994">
          <w:marLeft w:val="640"/>
          <w:marRight w:val="0"/>
          <w:marTop w:val="0"/>
          <w:marBottom w:val="0"/>
          <w:divBdr>
            <w:top w:val="none" w:sz="0" w:space="0" w:color="auto"/>
            <w:left w:val="none" w:sz="0" w:space="0" w:color="auto"/>
            <w:bottom w:val="none" w:sz="0" w:space="0" w:color="auto"/>
            <w:right w:val="none" w:sz="0" w:space="0" w:color="auto"/>
          </w:divBdr>
        </w:div>
        <w:div w:id="1249078341">
          <w:marLeft w:val="640"/>
          <w:marRight w:val="0"/>
          <w:marTop w:val="0"/>
          <w:marBottom w:val="0"/>
          <w:divBdr>
            <w:top w:val="none" w:sz="0" w:space="0" w:color="auto"/>
            <w:left w:val="none" w:sz="0" w:space="0" w:color="auto"/>
            <w:bottom w:val="none" w:sz="0" w:space="0" w:color="auto"/>
            <w:right w:val="none" w:sz="0" w:space="0" w:color="auto"/>
          </w:divBdr>
        </w:div>
        <w:div w:id="409083473">
          <w:marLeft w:val="640"/>
          <w:marRight w:val="0"/>
          <w:marTop w:val="0"/>
          <w:marBottom w:val="0"/>
          <w:divBdr>
            <w:top w:val="none" w:sz="0" w:space="0" w:color="auto"/>
            <w:left w:val="none" w:sz="0" w:space="0" w:color="auto"/>
            <w:bottom w:val="none" w:sz="0" w:space="0" w:color="auto"/>
            <w:right w:val="none" w:sz="0" w:space="0" w:color="auto"/>
          </w:divBdr>
        </w:div>
        <w:div w:id="1341547848">
          <w:marLeft w:val="640"/>
          <w:marRight w:val="0"/>
          <w:marTop w:val="0"/>
          <w:marBottom w:val="0"/>
          <w:divBdr>
            <w:top w:val="none" w:sz="0" w:space="0" w:color="auto"/>
            <w:left w:val="none" w:sz="0" w:space="0" w:color="auto"/>
            <w:bottom w:val="none" w:sz="0" w:space="0" w:color="auto"/>
            <w:right w:val="none" w:sz="0" w:space="0" w:color="auto"/>
          </w:divBdr>
        </w:div>
        <w:div w:id="1667322553">
          <w:marLeft w:val="640"/>
          <w:marRight w:val="0"/>
          <w:marTop w:val="0"/>
          <w:marBottom w:val="0"/>
          <w:divBdr>
            <w:top w:val="none" w:sz="0" w:space="0" w:color="auto"/>
            <w:left w:val="none" w:sz="0" w:space="0" w:color="auto"/>
            <w:bottom w:val="none" w:sz="0" w:space="0" w:color="auto"/>
            <w:right w:val="none" w:sz="0" w:space="0" w:color="auto"/>
          </w:divBdr>
        </w:div>
        <w:div w:id="515047679">
          <w:marLeft w:val="640"/>
          <w:marRight w:val="0"/>
          <w:marTop w:val="0"/>
          <w:marBottom w:val="0"/>
          <w:divBdr>
            <w:top w:val="none" w:sz="0" w:space="0" w:color="auto"/>
            <w:left w:val="none" w:sz="0" w:space="0" w:color="auto"/>
            <w:bottom w:val="none" w:sz="0" w:space="0" w:color="auto"/>
            <w:right w:val="none" w:sz="0" w:space="0" w:color="auto"/>
          </w:divBdr>
        </w:div>
        <w:div w:id="1024328711">
          <w:marLeft w:val="640"/>
          <w:marRight w:val="0"/>
          <w:marTop w:val="0"/>
          <w:marBottom w:val="0"/>
          <w:divBdr>
            <w:top w:val="none" w:sz="0" w:space="0" w:color="auto"/>
            <w:left w:val="none" w:sz="0" w:space="0" w:color="auto"/>
            <w:bottom w:val="none" w:sz="0" w:space="0" w:color="auto"/>
            <w:right w:val="none" w:sz="0" w:space="0" w:color="auto"/>
          </w:divBdr>
        </w:div>
        <w:div w:id="423845443">
          <w:marLeft w:val="640"/>
          <w:marRight w:val="0"/>
          <w:marTop w:val="0"/>
          <w:marBottom w:val="0"/>
          <w:divBdr>
            <w:top w:val="none" w:sz="0" w:space="0" w:color="auto"/>
            <w:left w:val="none" w:sz="0" w:space="0" w:color="auto"/>
            <w:bottom w:val="none" w:sz="0" w:space="0" w:color="auto"/>
            <w:right w:val="none" w:sz="0" w:space="0" w:color="auto"/>
          </w:divBdr>
        </w:div>
        <w:div w:id="155731886">
          <w:marLeft w:val="640"/>
          <w:marRight w:val="0"/>
          <w:marTop w:val="0"/>
          <w:marBottom w:val="0"/>
          <w:divBdr>
            <w:top w:val="none" w:sz="0" w:space="0" w:color="auto"/>
            <w:left w:val="none" w:sz="0" w:space="0" w:color="auto"/>
            <w:bottom w:val="none" w:sz="0" w:space="0" w:color="auto"/>
            <w:right w:val="none" w:sz="0" w:space="0" w:color="auto"/>
          </w:divBdr>
        </w:div>
        <w:div w:id="513540647">
          <w:marLeft w:val="640"/>
          <w:marRight w:val="0"/>
          <w:marTop w:val="0"/>
          <w:marBottom w:val="0"/>
          <w:divBdr>
            <w:top w:val="none" w:sz="0" w:space="0" w:color="auto"/>
            <w:left w:val="none" w:sz="0" w:space="0" w:color="auto"/>
            <w:bottom w:val="none" w:sz="0" w:space="0" w:color="auto"/>
            <w:right w:val="none" w:sz="0" w:space="0" w:color="auto"/>
          </w:divBdr>
        </w:div>
        <w:div w:id="55125495">
          <w:marLeft w:val="640"/>
          <w:marRight w:val="0"/>
          <w:marTop w:val="0"/>
          <w:marBottom w:val="0"/>
          <w:divBdr>
            <w:top w:val="none" w:sz="0" w:space="0" w:color="auto"/>
            <w:left w:val="none" w:sz="0" w:space="0" w:color="auto"/>
            <w:bottom w:val="none" w:sz="0" w:space="0" w:color="auto"/>
            <w:right w:val="none" w:sz="0" w:space="0" w:color="auto"/>
          </w:divBdr>
        </w:div>
        <w:div w:id="1800101729">
          <w:marLeft w:val="640"/>
          <w:marRight w:val="0"/>
          <w:marTop w:val="0"/>
          <w:marBottom w:val="0"/>
          <w:divBdr>
            <w:top w:val="none" w:sz="0" w:space="0" w:color="auto"/>
            <w:left w:val="none" w:sz="0" w:space="0" w:color="auto"/>
            <w:bottom w:val="none" w:sz="0" w:space="0" w:color="auto"/>
            <w:right w:val="none" w:sz="0" w:space="0" w:color="auto"/>
          </w:divBdr>
        </w:div>
        <w:div w:id="141046809">
          <w:marLeft w:val="640"/>
          <w:marRight w:val="0"/>
          <w:marTop w:val="0"/>
          <w:marBottom w:val="0"/>
          <w:divBdr>
            <w:top w:val="none" w:sz="0" w:space="0" w:color="auto"/>
            <w:left w:val="none" w:sz="0" w:space="0" w:color="auto"/>
            <w:bottom w:val="none" w:sz="0" w:space="0" w:color="auto"/>
            <w:right w:val="none" w:sz="0" w:space="0" w:color="auto"/>
          </w:divBdr>
        </w:div>
        <w:div w:id="750200008">
          <w:marLeft w:val="640"/>
          <w:marRight w:val="0"/>
          <w:marTop w:val="0"/>
          <w:marBottom w:val="0"/>
          <w:divBdr>
            <w:top w:val="none" w:sz="0" w:space="0" w:color="auto"/>
            <w:left w:val="none" w:sz="0" w:space="0" w:color="auto"/>
            <w:bottom w:val="none" w:sz="0" w:space="0" w:color="auto"/>
            <w:right w:val="none" w:sz="0" w:space="0" w:color="auto"/>
          </w:divBdr>
        </w:div>
        <w:div w:id="2087918236">
          <w:marLeft w:val="640"/>
          <w:marRight w:val="0"/>
          <w:marTop w:val="0"/>
          <w:marBottom w:val="0"/>
          <w:divBdr>
            <w:top w:val="none" w:sz="0" w:space="0" w:color="auto"/>
            <w:left w:val="none" w:sz="0" w:space="0" w:color="auto"/>
            <w:bottom w:val="none" w:sz="0" w:space="0" w:color="auto"/>
            <w:right w:val="none" w:sz="0" w:space="0" w:color="auto"/>
          </w:divBdr>
        </w:div>
        <w:div w:id="1087729335">
          <w:marLeft w:val="640"/>
          <w:marRight w:val="0"/>
          <w:marTop w:val="0"/>
          <w:marBottom w:val="0"/>
          <w:divBdr>
            <w:top w:val="none" w:sz="0" w:space="0" w:color="auto"/>
            <w:left w:val="none" w:sz="0" w:space="0" w:color="auto"/>
            <w:bottom w:val="none" w:sz="0" w:space="0" w:color="auto"/>
            <w:right w:val="none" w:sz="0" w:space="0" w:color="auto"/>
          </w:divBdr>
        </w:div>
        <w:div w:id="1017775630">
          <w:marLeft w:val="640"/>
          <w:marRight w:val="0"/>
          <w:marTop w:val="0"/>
          <w:marBottom w:val="0"/>
          <w:divBdr>
            <w:top w:val="none" w:sz="0" w:space="0" w:color="auto"/>
            <w:left w:val="none" w:sz="0" w:space="0" w:color="auto"/>
            <w:bottom w:val="none" w:sz="0" w:space="0" w:color="auto"/>
            <w:right w:val="none" w:sz="0" w:space="0" w:color="auto"/>
          </w:divBdr>
        </w:div>
        <w:div w:id="494955660">
          <w:marLeft w:val="640"/>
          <w:marRight w:val="0"/>
          <w:marTop w:val="0"/>
          <w:marBottom w:val="0"/>
          <w:divBdr>
            <w:top w:val="none" w:sz="0" w:space="0" w:color="auto"/>
            <w:left w:val="none" w:sz="0" w:space="0" w:color="auto"/>
            <w:bottom w:val="none" w:sz="0" w:space="0" w:color="auto"/>
            <w:right w:val="none" w:sz="0" w:space="0" w:color="auto"/>
          </w:divBdr>
        </w:div>
        <w:div w:id="1799102070">
          <w:marLeft w:val="640"/>
          <w:marRight w:val="0"/>
          <w:marTop w:val="0"/>
          <w:marBottom w:val="0"/>
          <w:divBdr>
            <w:top w:val="none" w:sz="0" w:space="0" w:color="auto"/>
            <w:left w:val="none" w:sz="0" w:space="0" w:color="auto"/>
            <w:bottom w:val="none" w:sz="0" w:space="0" w:color="auto"/>
            <w:right w:val="none" w:sz="0" w:space="0" w:color="auto"/>
          </w:divBdr>
        </w:div>
        <w:div w:id="1417285779">
          <w:marLeft w:val="640"/>
          <w:marRight w:val="0"/>
          <w:marTop w:val="0"/>
          <w:marBottom w:val="0"/>
          <w:divBdr>
            <w:top w:val="none" w:sz="0" w:space="0" w:color="auto"/>
            <w:left w:val="none" w:sz="0" w:space="0" w:color="auto"/>
            <w:bottom w:val="none" w:sz="0" w:space="0" w:color="auto"/>
            <w:right w:val="none" w:sz="0" w:space="0" w:color="auto"/>
          </w:divBdr>
        </w:div>
        <w:div w:id="310331090">
          <w:marLeft w:val="640"/>
          <w:marRight w:val="0"/>
          <w:marTop w:val="0"/>
          <w:marBottom w:val="0"/>
          <w:divBdr>
            <w:top w:val="none" w:sz="0" w:space="0" w:color="auto"/>
            <w:left w:val="none" w:sz="0" w:space="0" w:color="auto"/>
            <w:bottom w:val="none" w:sz="0" w:space="0" w:color="auto"/>
            <w:right w:val="none" w:sz="0" w:space="0" w:color="auto"/>
          </w:divBdr>
        </w:div>
        <w:div w:id="1581480237">
          <w:marLeft w:val="640"/>
          <w:marRight w:val="0"/>
          <w:marTop w:val="0"/>
          <w:marBottom w:val="0"/>
          <w:divBdr>
            <w:top w:val="none" w:sz="0" w:space="0" w:color="auto"/>
            <w:left w:val="none" w:sz="0" w:space="0" w:color="auto"/>
            <w:bottom w:val="none" w:sz="0" w:space="0" w:color="auto"/>
            <w:right w:val="none" w:sz="0" w:space="0" w:color="auto"/>
          </w:divBdr>
        </w:div>
        <w:div w:id="811364208">
          <w:marLeft w:val="640"/>
          <w:marRight w:val="0"/>
          <w:marTop w:val="0"/>
          <w:marBottom w:val="0"/>
          <w:divBdr>
            <w:top w:val="none" w:sz="0" w:space="0" w:color="auto"/>
            <w:left w:val="none" w:sz="0" w:space="0" w:color="auto"/>
            <w:bottom w:val="none" w:sz="0" w:space="0" w:color="auto"/>
            <w:right w:val="none" w:sz="0" w:space="0" w:color="auto"/>
          </w:divBdr>
        </w:div>
        <w:div w:id="136649462">
          <w:marLeft w:val="640"/>
          <w:marRight w:val="0"/>
          <w:marTop w:val="0"/>
          <w:marBottom w:val="0"/>
          <w:divBdr>
            <w:top w:val="none" w:sz="0" w:space="0" w:color="auto"/>
            <w:left w:val="none" w:sz="0" w:space="0" w:color="auto"/>
            <w:bottom w:val="none" w:sz="0" w:space="0" w:color="auto"/>
            <w:right w:val="none" w:sz="0" w:space="0" w:color="auto"/>
          </w:divBdr>
        </w:div>
        <w:div w:id="108555067">
          <w:marLeft w:val="640"/>
          <w:marRight w:val="0"/>
          <w:marTop w:val="0"/>
          <w:marBottom w:val="0"/>
          <w:divBdr>
            <w:top w:val="none" w:sz="0" w:space="0" w:color="auto"/>
            <w:left w:val="none" w:sz="0" w:space="0" w:color="auto"/>
            <w:bottom w:val="none" w:sz="0" w:space="0" w:color="auto"/>
            <w:right w:val="none" w:sz="0" w:space="0" w:color="auto"/>
          </w:divBdr>
        </w:div>
        <w:div w:id="291983024">
          <w:marLeft w:val="640"/>
          <w:marRight w:val="0"/>
          <w:marTop w:val="0"/>
          <w:marBottom w:val="0"/>
          <w:divBdr>
            <w:top w:val="none" w:sz="0" w:space="0" w:color="auto"/>
            <w:left w:val="none" w:sz="0" w:space="0" w:color="auto"/>
            <w:bottom w:val="none" w:sz="0" w:space="0" w:color="auto"/>
            <w:right w:val="none" w:sz="0" w:space="0" w:color="auto"/>
          </w:divBdr>
        </w:div>
        <w:div w:id="1392926009">
          <w:marLeft w:val="640"/>
          <w:marRight w:val="0"/>
          <w:marTop w:val="0"/>
          <w:marBottom w:val="0"/>
          <w:divBdr>
            <w:top w:val="none" w:sz="0" w:space="0" w:color="auto"/>
            <w:left w:val="none" w:sz="0" w:space="0" w:color="auto"/>
            <w:bottom w:val="none" w:sz="0" w:space="0" w:color="auto"/>
            <w:right w:val="none" w:sz="0" w:space="0" w:color="auto"/>
          </w:divBdr>
        </w:div>
        <w:div w:id="969819663">
          <w:marLeft w:val="640"/>
          <w:marRight w:val="0"/>
          <w:marTop w:val="0"/>
          <w:marBottom w:val="0"/>
          <w:divBdr>
            <w:top w:val="none" w:sz="0" w:space="0" w:color="auto"/>
            <w:left w:val="none" w:sz="0" w:space="0" w:color="auto"/>
            <w:bottom w:val="none" w:sz="0" w:space="0" w:color="auto"/>
            <w:right w:val="none" w:sz="0" w:space="0" w:color="auto"/>
          </w:divBdr>
        </w:div>
        <w:div w:id="1820685182">
          <w:marLeft w:val="640"/>
          <w:marRight w:val="0"/>
          <w:marTop w:val="0"/>
          <w:marBottom w:val="0"/>
          <w:divBdr>
            <w:top w:val="none" w:sz="0" w:space="0" w:color="auto"/>
            <w:left w:val="none" w:sz="0" w:space="0" w:color="auto"/>
            <w:bottom w:val="none" w:sz="0" w:space="0" w:color="auto"/>
            <w:right w:val="none" w:sz="0" w:space="0" w:color="auto"/>
          </w:divBdr>
        </w:div>
        <w:div w:id="1085613132">
          <w:marLeft w:val="640"/>
          <w:marRight w:val="0"/>
          <w:marTop w:val="0"/>
          <w:marBottom w:val="0"/>
          <w:divBdr>
            <w:top w:val="none" w:sz="0" w:space="0" w:color="auto"/>
            <w:left w:val="none" w:sz="0" w:space="0" w:color="auto"/>
            <w:bottom w:val="none" w:sz="0" w:space="0" w:color="auto"/>
            <w:right w:val="none" w:sz="0" w:space="0" w:color="auto"/>
          </w:divBdr>
        </w:div>
        <w:div w:id="560097876">
          <w:marLeft w:val="640"/>
          <w:marRight w:val="0"/>
          <w:marTop w:val="0"/>
          <w:marBottom w:val="0"/>
          <w:divBdr>
            <w:top w:val="none" w:sz="0" w:space="0" w:color="auto"/>
            <w:left w:val="none" w:sz="0" w:space="0" w:color="auto"/>
            <w:bottom w:val="none" w:sz="0" w:space="0" w:color="auto"/>
            <w:right w:val="none" w:sz="0" w:space="0" w:color="auto"/>
          </w:divBdr>
        </w:div>
        <w:div w:id="864830297">
          <w:marLeft w:val="640"/>
          <w:marRight w:val="0"/>
          <w:marTop w:val="0"/>
          <w:marBottom w:val="0"/>
          <w:divBdr>
            <w:top w:val="none" w:sz="0" w:space="0" w:color="auto"/>
            <w:left w:val="none" w:sz="0" w:space="0" w:color="auto"/>
            <w:bottom w:val="none" w:sz="0" w:space="0" w:color="auto"/>
            <w:right w:val="none" w:sz="0" w:space="0" w:color="auto"/>
          </w:divBdr>
        </w:div>
        <w:div w:id="224727639">
          <w:marLeft w:val="640"/>
          <w:marRight w:val="0"/>
          <w:marTop w:val="0"/>
          <w:marBottom w:val="0"/>
          <w:divBdr>
            <w:top w:val="none" w:sz="0" w:space="0" w:color="auto"/>
            <w:left w:val="none" w:sz="0" w:space="0" w:color="auto"/>
            <w:bottom w:val="none" w:sz="0" w:space="0" w:color="auto"/>
            <w:right w:val="none" w:sz="0" w:space="0" w:color="auto"/>
          </w:divBdr>
        </w:div>
        <w:div w:id="1421370958">
          <w:marLeft w:val="640"/>
          <w:marRight w:val="0"/>
          <w:marTop w:val="0"/>
          <w:marBottom w:val="0"/>
          <w:divBdr>
            <w:top w:val="none" w:sz="0" w:space="0" w:color="auto"/>
            <w:left w:val="none" w:sz="0" w:space="0" w:color="auto"/>
            <w:bottom w:val="none" w:sz="0" w:space="0" w:color="auto"/>
            <w:right w:val="none" w:sz="0" w:space="0" w:color="auto"/>
          </w:divBdr>
        </w:div>
        <w:div w:id="1261522548">
          <w:marLeft w:val="640"/>
          <w:marRight w:val="0"/>
          <w:marTop w:val="0"/>
          <w:marBottom w:val="0"/>
          <w:divBdr>
            <w:top w:val="none" w:sz="0" w:space="0" w:color="auto"/>
            <w:left w:val="none" w:sz="0" w:space="0" w:color="auto"/>
            <w:bottom w:val="none" w:sz="0" w:space="0" w:color="auto"/>
            <w:right w:val="none" w:sz="0" w:space="0" w:color="auto"/>
          </w:divBdr>
        </w:div>
        <w:div w:id="1744598929">
          <w:marLeft w:val="640"/>
          <w:marRight w:val="0"/>
          <w:marTop w:val="0"/>
          <w:marBottom w:val="0"/>
          <w:divBdr>
            <w:top w:val="none" w:sz="0" w:space="0" w:color="auto"/>
            <w:left w:val="none" w:sz="0" w:space="0" w:color="auto"/>
            <w:bottom w:val="none" w:sz="0" w:space="0" w:color="auto"/>
            <w:right w:val="none" w:sz="0" w:space="0" w:color="auto"/>
          </w:divBdr>
        </w:div>
        <w:div w:id="35668619">
          <w:marLeft w:val="640"/>
          <w:marRight w:val="0"/>
          <w:marTop w:val="0"/>
          <w:marBottom w:val="0"/>
          <w:divBdr>
            <w:top w:val="none" w:sz="0" w:space="0" w:color="auto"/>
            <w:left w:val="none" w:sz="0" w:space="0" w:color="auto"/>
            <w:bottom w:val="none" w:sz="0" w:space="0" w:color="auto"/>
            <w:right w:val="none" w:sz="0" w:space="0" w:color="auto"/>
          </w:divBdr>
        </w:div>
        <w:div w:id="1936866018">
          <w:marLeft w:val="640"/>
          <w:marRight w:val="0"/>
          <w:marTop w:val="0"/>
          <w:marBottom w:val="0"/>
          <w:divBdr>
            <w:top w:val="none" w:sz="0" w:space="0" w:color="auto"/>
            <w:left w:val="none" w:sz="0" w:space="0" w:color="auto"/>
            <w:bottom w:val="none" w:sz="0" w:space="0" w:color="auto"/>
            <w:right w:val="none" w:sz="0" w:space="0" w:color="auto"/>
          </w:divBdr>
        </w:div>
        <w:div w:id="1226407332">
          <w:marLeft w:val="640"/>
          <w:marRight w:val="0"/>
          <w:marTop w:val="0"/>
          <w:marBottom w:val="0"/>
          <w:divBdr>
            <w:top w:val="none" w:sz="0" w:space="0" w:color="auto"/>
            <w:left w:val="none" w:sz="0" w:space="0" w:color="auto"/>
            <w:bottom w:val="none" w:sz="0" w:space="0" w:color="auto"/>
            <w:right w:val="none" w:sz="0" w:space="0" w:color="auto"/>
          </w:divBdr>
        </w:div>
        <w:div w:id="1239440518">
          <w:marLeft w:val="640"/>
          <w:marRight w:val="0"/>
          <w:marTop w:val="0"/>
          <w:marBottom w:val="0"/>
          <w:divBdr>
            <w:top w:val="none" w:sz="0" w:space="0" w:color="auto"/>
            <w:left w:val="none" w:sz="0" w:space="0" w:color="auto"/>
            <w:bottom w:val="none" w:sz="0" w:space="0" w:color="auto"/>
            <w:right w:val="none" w:sz="0" w:space="0" w:color="auto"/>
          </w:divBdr>
        </w:div>
        <w:div w:id="1638993347">
          <w:marLeft w:val="640"/>
          <w:marRight w:val="0"/>
          <w:marTop w:val="0"/>
          <w:marBottom w:val="0"/>
          <w:divBdr>
            <w:top w:val="none" w:sz="0" w:space="0" w:color="auto"/>
            <w:left w:val="none" w:sz="0" w:space="0" w:color="auto"/>
            <w:bottom w:val="none" w:sz="0" w:space="0" w:color="auto"/>
            <w:right w:val="none" w:sz="0" w:space="0" w:color="auto"/>
          </w:divBdr>
        </w:div>
        <w:div w:id="1897467404">
          <w:marLeft w:val="640"/>
          <w:marRight w:val="0"/>
          <w:marTop w:val="0"/>
          <w:marBottom w:val="0"/>
          <w:divBdr>
            <w:top w:val="none" w:sz="0" w:space="0" w:color="auto"/>
            <w:left w:val="none" w:sz="0" w:space="0" w:color="auto"/>
            <w:bottom w:val="none" w:sz="0" w:space="0" w:color="auto"/>
            <w:right w:val="none" w:sz="0" w:space="0" w:color="auto"/>
          </w:divBdr>
        </w:div>
        <w:div w:id="1428886667">
          <w:marLeft w:val="640"/>
          <w:marRight w:val="0"/>
          <w:marTop w:val="0"/>
          <w:marBottom w:val="0"/>
          <w:divBdr>
            <w:top w:val="none" w:sz="0" w:space="0" w:color="auto"/>
            <w:left w:val="none" w:sz="0" w:space="0" w:color="auto"/>
            <w:bottom w:val="none" w:sz="0" w:space="0" w:color="auto"/>
            <w:right w:val="none" w:sz="0" w:space="0" w:color="auto"/>
          </w:divBdr>
        </w:div>
        <w:div w:id="1563516146">
          <w:marLeft w:val="640"/>
          <w:marRight w:val="0"/>
          <w:marTop w:val="0"/>
          <w:marBottom w:val="0"/>
          <w:divBdr>
            <w:top w:val="none" w:sz="0" w:space="0" w:color="auto"/>
            <w:left w:val="none" w:sz="0" w:space="0" w:color="auto"/>
            <w:bottom w:val="none" w:sz="0" w:space="0" w:color="auto"/>
            <w:right w:val="none" w:sz="0" w:space="0" w:color="auto"/>
          </w:divBdr>
        </w:div>
        <w:div w:id="1365910164">
          <w:marLeft w:val="640"/>
          <w:marRight w:val="0"/>
          <w:marTop w:val="0"/>
          <w:marBottom w:val="0"/>
          <w:divBdr>
            <w:top w:val="none" w:sz="0" w:space="0" w:color="auto"/>
            <w:left w:val="none" w:sz="0" w:space="0" w:color="auto"/>
            <w:bottom w:val="none" w:sz="0" w:space="0" w:color="auto"/>
            <w:right w:val="none" w:sz="0" w:space="0" w:color="auto"/>
          </w:divBdr>
        </w:div>
        <w:div w:id="2107847358">
          <w:marLeft w:val="640"/>
          <w:marRight w:val="0"/>
          <w:marTop w:val="0"/>
          <w:marBottom w:val="0"/>
          <w:divBdr>
            <w:top w:val="none" w:sz="0" w:space="0" w:color="auto"/>
            <w:left w:val="none" w:sz="0" w:space="0" w:color="auto"/>
            <w:bottom w:val="none" w:sz="0" w:space="0" w:color="auto"/>
            <w:right w:val="none" w:sz="0" w:space="0" w:color="auto"/>
          </w:divBdr>
        </w:div>
        <w:div w:id="1237474695">
          <w:marLeft w:val="640"/>
          <w:marRight w:val="0"/>
          <w:marTop w:val="0"/>
          <w:marBottom w:val="0"/>
          <w:divBdr>
            <w:top w:val="none" w:sz="0" w:space="0" w:color="auto"/>
            <w:left w:val="none" w:sz="0" w:space="0" w:color="auto"/>
            <w:bottom w:val="none" w:sz="0" w:space="0" w:color="auto"/>
            <w:right w:val="none" w:sz="0" w:space="0" w:color="auto"/>
          </w:divBdr>
        </w:div>
        <w:div w:id="251281536">
          <w:marLeft w:val="640"/>
          <w:marRight w:val="0"/>
          <w:marTop w:val="0"/>
          <w:marBottom w:val="0"/>
          <w:divBdr>
            <w:top w:val="none" w:sz="0" w:space="0" w:color="auto"/>
            <w:left w:val="none" w:sz="0" w:space="0" w:color="auto"/>
            <w:bottom w:val="none" w:sz="0" w:space="0" w:color="auto"/>
            <w:right w:val="none" w:sz="0" w:space="0" w:color="auto"/>
          </w:divBdr>
        </w:div>
        <w:div w:id="1959869066">
          <w:marLeft w:val="640"/>
          <w:marRight w:val="0"/>
          <w:marTop w:val="0"/>
          <w:marBottom w:val="0"/>
          <w:divBdr>
            <w:top w:val="none" w:sz="0" w:space="0" w:color="auto"/>
            <w:left w:val="none" w:sz="0" w:space="0" w:color="auto"/>
            <w:bottom w:val="none" w:sz="0" w:space="0" w:color="auto"/>
            <w:right w:val="none" w:sz="0" w:space="0" w:color="auto"/>
          </w:divBdr>
        </w:div>
        <w:div w:id="1565406570">
          <w:marLeft w:val="640"/>
          <w:marRight w:val="0"/>
          <w:marTop w:val="0"/>
          <w:marBottom w:val="0"/>
          <w:divBdr>
            <w:top w:val="none" w:sz="0" w:space="0" w:color="auto"/>
            <w:left w:val="none" w:sz="0" w:space="0" w:color="auto"/>
            <w:bottom w:val="none" w:sz="0" w:space="0" w:color="auto"/>
            <w:right w:val="none" w:sz="0" w:space="0" w:color="auto"/>
          </w:divBdr>
        </w:div>
        <w:div w:id="460273057">
          <w:marLeft w:val="640"/>
          <w:marRight w:val="0"/>
          <w:marTop w:val="0"/>
          <w:marBottom w:val="0"/>
          <w:divBdr>
            <w:top w:val="none" w:sz="0" w:space="0" w:color="auto"/>
            <w:left w:val="none" w:sz="0" w:space="0" w:color="auto"/>
            <w:bottom w:val="none" w:sz="0" w:space="0" w:color="auto"/>
            <w:right w:val="none" w:sz="0" w:space="0" w:color="auto"/>
          </w:divBdr>
        </w:div>
        <w:div w:id="464666353">
          <w:marLeft w:val="640"/>
          <w:marRight w:val="0"/>
          <w:marTop w:val="0"/>
          <w:marBottom w:val="0"/>
          <w:divBdr>
            <w:top w:val="none" w:sz="0" w:space="0" w:color="auto"/>
            <w:left w:val="none" w:sz="0" w:space="0" w:color="auto"/>
            <w:bottom w:val="none" w:sz="0" w:space="0" w:color="auto"/>
            <w:right w:val="none" w:sz="0" w:space="0" w:color="auto"/>
          </w:divBdr>
        </w:div>
        <w:div w:id="1056659298">
          <w:marLeft w:val="640"/>
          <w:marRight w:val="0"/>
          <w:marTop w:val="0"/>
          <w:marBottom w:val="0"/>
          <w:divBdr>
            <w:top w:val="none" w:sz="0" w:space="0" w:color="auto"/>
            <w:left w:val="none" w:sz="0" w:space="0" w:color="auto"/>
            <w:bottom w:val="none" w:sz="0" w:space="0" w:color="auto"/>
            <w:right w:val="none" w:sz="0" w:space="0" w:color="auto"/>
          </w:divBdr>
        </w:div>
        <w:div w:id="872035814">
          <w:marLeft w:val="640"/>
          <w:marRight w:val="0"/>
          <w:marTop w:val="0"/>
          <w:marBottom w:val="0"/>
          <w:divBdr>
            <w:top w:val="none" w:sz="0" w:space="0" w:color="auto"/>
            <w:left w:val="none" w:sz="0" w:space="0" w:color="auto"/>
            <w:bottom w:val="none" w:sz="0" w:space="0" w:color="auto"/>
            <w:right w:val="none" w:sz="0" w:space="0" w:color="auto"/>
          </w:divBdr>
        </w:div>
        <w:div w:id="1973708824">
          <w:marLeft w:val="640"/>
          <w:marRight w:val="0"/>
          <w:marTop w:val="0"/>
          <w:marBottom w:val="0"/>
          <w:divBdr>
            <w:top w:val="none" w:sz="0" w:space="0" w:color="auto"/>
            <w:left w:val="none" w:sz="0" w:space="0" w:color="auto"/>
            <w:bottom w:val="none" w:sz="0" w:space="0" w:color="auto"/>
            <w:right w:val="none" w:sz="0" w:space="0" w:color="auto"/>
          </w:divBdr>
        </w:div>
        <w:div w:id="1154566320">
          <w:marLeft w:val="640"/>
          <w:marRight w:val="0"/>
          <w:marTop w:val="0"/>
          <w:marBottom w:val="0"/>
          <w:divBdr>
            <w:top w:val="none" w:sz="0" w:space="0" w:color="auto"/>
            <w:left w:val="none" w:sz="0" w:space="0" w:color="auto"/>
            <w:bottom w:val="none" w:sz="0" w:space="0" w:color="auto"/>
            <w:right w:val="none" w:sz="0" w:space="0" w:color="auto"/>
          </w:divBdr>
        </w:div>
        <w:div w:id="1470590027">
          <w:marLeft w:val="640"/>
          <w:marRight w:val="0"/>
          <w:marTop w:val="0"/>
          <w:marBottom w:val="0"/>
          <w:divBdr>
            <w:top w:val="none" w:sz="0" w:space="0" w:color="auto"/>
            <w:left w:val="none" w:sz="0" w:space="0" w:color="auto"/>
            <w:bottom w:val="none" w:sz="0" w:space="0" w:color="auto"/>
            <w:right w:val="none" w:sz="0" w:space="0" w:color="auto"/>
          </w:divBdr>
        </w:div>
        <w:div w:id="2112044548">
          <w:marLeft w:val="640"/>
          <w:marRight w:val="0"/>
          <w:marTop w:val="0"/>
          <w:marBottom w:val="0"/>
          <w:divBdr>
            <w:top w:val="none" w:sz="0" w:space="0" w:color="auto"/>
            <w:left w:val="none" w:sz="0" w:space="0" w:color="auto"/>
            <w:bottom w:val="none" w:sz="0" w:space="0" w:color="auto"/>
            <w:right w:val="none" w:sz="0" w:space="0" w:color="auto"/>
          </w:divBdr>
        </w:div>
        <w:div w:id="465589212">
          <w:marLeft w:val="640"/>
          <w:marRight w:val="0"/>
          <w:marTop w:val="0"/>
          <w:marBottom w:val="0"/>
          <w:divBdr>
            <w:top w:val="none" w:sz="0" w:space="0" w:color="auto"/>
            <w:left w:val="none" w:sz="0" w:space="0" w:color="auto"/>
            <w:bottom w:val="none" w:sz="0" w:space="0" w:color="auto"/>
            <w:right w:val="none" w:sz="0" w:space="0" w:color="auto"/>
          </w:divBdr>
        </w:div>
        <w:div w:id="615211832">
          <w:marLeft w:val="640"/>
          <w:marRight w:val="0"/>
          <w:marTop w:val="0"/>
          <w:marBottom w:val="0"/>
          <w:divBdr>
            <w:top w:val="none" w:sz="0" w:space="0" w:color="auto"/>
            <w:left w:val="none" w:sz="0" w:space="0" w:color="auto"/>
            <w:bottom w:val="none" w:sz="0" w:space="0" w:color="auto"/>
            <w:right w:val="none" w:sz="0" w:space="0" w:color="auto"/>
          </w:divBdr>
        </w:div>
        <w:div w:id="521549807">
          <w:marLeft w:val="640"/>
          <w:marRight w:val="0"/>
          <w:marTop w:val="0"/>
          <w:marBottom w:val="0"/>
          <w:divBdr>
            <w:top w:val="none" w:sz="0" w:space="0" w:color="auto"/>
            <w:left w:val="none" w:sz="0" w:space="0" w:color="auto"/>
            <w:bottom w:val="none" w:sz="0" w:space="0" w:color="auto"/>
            <w:right w:val="none" w:sz="0" w:space="0" w:color="auto"/>
          </w:divBdr>
        </w:div>
        <w:div w:id="581378855">
          <w:marLeft w:val="640"/>
          <w:marRight w:val="0"/>
          <w:marTop w:val="0"/>
          <w:marBottom w:val="0"/>
          <w:divBdr>
            <w:top w:val="none" w:sz="0" w:space="0" w:color="auto"/>
            <w:left w:val="none" w:sz="0" w:space="0" w:color="auto"/>
            <w:bottom w:val="none" w:sz="0" w:space="0" w:color="auto"/>
            <w:right w:val="none" w:sz="0" w:space="0" w:color="auto"/>
          </w:divBdr>
        </w:div>
        <w:div w:id="324482753">
          <w:marLeft w:val="640"/>
          <w:marRight w:val="0"/>
          <w:marTop w:val="0"/>
          <w:marBottom w:val="0"/>
          <w:divBdr>
            <w:top w:val="none" w:sz="0" w:space="0" w:color="auto"/>
            <w:left w:val="none" w:sz="0" w:space="0" w:color="auto"/>
            <w:bottom w:val="none" w:sz="0" w:space="0" w:color="auto"/>
            <w:right w:val="none" w:sz="0" w:space="0" w:color="auto"/>
          </w:divBdr>
        </w:div>
        <w:div w:id="1381245992">
          <w:marLeft w:val="640"/>
          <w:marRight w:val="0"/>
          <w:marTop w:val="0"/>
          <w:marBottom w:val="0"/>
          <w:divBdr>
            <w:top w:val="none" w:sz="0" w:space="0" w:color="auto"/>
            <w:left w:val="none" w:sz="0" w:space="0" w:color="auto"/>
            <w:bottom w:val="none" w:sz="0" w:space="0" w:color="auto"/>
            <w:right w:val="none" w:sz="0" w:space="0" w:color="auto"/>
          </w:divBdr>
        </w:div>
        <w:div w:id="120802800">
          <w:marLeft w:val="640"/>
          <w:marRight w:val="0"/>
          <w:marTop w:val="0"/>
          <w:marBottom w:val="0"/>
          <w:divBdr>
            <w:top w:val="none" w:sz="0" w:space="0" w:color="auto"/>
            <w:left w:val="none" w:sz="0" w:space="0" w:color="auto"/>
            <w:bottom w:val="none" w:sz="0" w:space="0" w:color="auto"/>
            <w:right w:val="none" w:sz="0" w:space="0" w:color="auto"/>
          </w:divBdr>
        </w:div>
        <w:div w:id="163012253">
          <w:marLeft w:val="640"/>
          <w:marRight w:val="0"/>
          <w:marTop w:val="0"/>
          <w:marBottom w:val="0"/>
          <w:divBdr>
            <w:top w:val="none" w:sz="0" w:space="0" w:color="auto"/>
            <w:left w:val="none" w:sz="0" w:space="0" w:color="auto"/>
            <w:bottom w:val="none" w:sz="0" w:space="0" w:color="auto"/>
            <w:right w:val="none" w:sz="0" w:space="0" w:color="auto"/>
          </w:divBdr>
        </w:div>
        <w:div w:id="2083790584">
          <w:marLeft w:val="640"/>
          <w:marRight w:val="0"/>
          <w:marTop w:val="0"/>
          <w:marBottom w:val="0"/>
          <w:divBdr>
            <w:top w:val="none" w:sz="0" w:space="0" w:color="auto"/>
            <w:left w:val="none" w:sz="0" w:space="0" w:color="auto"/>
            <w:bottom w:val="none" w:sz="0" w:space="0" w:color="auto"/>
            <w:right w:val="none" w:sz="0" w:space="0" w:color="auto"/>
          </w:divBdr>
        </w:div>
        <w:div w:id="437257880">
          <w:marLeft w:val="640"/>
          <w:marRight w:val="0"/>
          <w:marTop w:val="0"/>
          <w:marBottom w:val="0"/>
          <w:divBdr>
            <w:top w:val="none" w:sz="0" w:space="0" w:color="auto"/>
            <w:left w:val="none" w:sz="0" w:space="0" w:color="auto"/>
            <w:bottom w:val="none" w:sz="0" w:space="0" w:color="auto"/>
            <w:right w:val="none" w:sz="0" w:space="0" w:color="auto"/>
          </w:divBdr>
        </w:div>
        <w:div w:id="1789662179">
          <w:marLeft w:val="640"/>
          <w:marRight w:val="0"/>
          <w:marTop w:val="0"/>
          <w:marBottom w:val="0"/>
          <w:divBdr>
            <w:top w:val="none" w:sz="0" w:space="0" w:color="auto"/>
            <w:left w:val="none" w:sz="0" w:space="0" w:color="auto"/>
            <w:bottom w:val="none" w:sz="0" w:space="0" w:color="auto"/>
            <w:right w:val="none" w:sz="0" w:space="0" w:color="auto"/>
          </w:divBdr>
        </w:div>
        <w:div w:id="1875775748">
          <w:marLeft w:val="640"/>
          <w:marRight w:val="0"/>
          <w:marTop w:val="0"/>
          <w:marBottom w:val="0"/>
          <w:divBdr>
            <w:top w:val="none" w:sz="0" w:space="0" w:color="auto"/>
            <w:left w:val="none" w:sz="0" w:space="0" w:color="auto"/>
            <w:bottom w:val="none" w:sz="0" w:space="0" w:color="auto"/>
            <w:right w:val="none" w:sz="0" w:space="0" w:color="auto"/>
          </w:divBdr>
        </w:div>
        <w:div w:id="1097169969">
          <w:marLeft w:val="640"/>
          <w:marRight w:val="0"/>
          <w:marTop w:val="0"/>
          <w:marBottom w:val="0"/>
          <w:divBdr>
            <w:top w:val="none" w:sz="0" w:space="0" w:color="auto"/>
            <w:left w:val="none" w:sz="0" w:space="0" w:color="auto"/>
            <w:bottom w:val="none" w:sz="0" w:space="0" w:color="auto"/>
            <w:right w:val="none" w:sz="0" w:space="0" w:color="auto"/>
          </w:divBdr>
        </w:div>
        <w:div w:id="30807911">
          <w:marLeft w:val="640"/>
          <w:marRight w:val="0"/>
          <w:marTop w:val="0"/>
          <w:marBottom w:val="0"/>
          <w:divBdr>
            <w:top w:val="none" w:sz="0" w:space="0" w:color="auto"/>
            <w:left w:val="none" w:sz="0" w:space="0" w:color="auto"/>
            <w:bottom w:val="none" w:sz="0" w:space="0" w:color="auto"/>
            <w:right w:val="none" w:sz="0" w:space="0" w:color="auto"/>
          </w:divBdr>
        </w:div>
        <w:div w:id="1853834417">
          <w:marLeft w:val="640"/>
          <w:marRight w:val="0"/>
          <w:marTop w:val="0"/>
          <w:marBottom w:val="0"/>
          <w:divBdr>
            <w:top w:val="none" w:sz="0" w:space="0" w:color="auto"/>
            <w:left w:val="none" w:sz="0" w:space="0" w:color="auto"/>
            <w:bottom w:val="none" w:sz="0" w:space="0" w:color="auto"/>
            <w:right w:val="none" w:sz="0" w:space="0" w:color="auto"/>
          </w:divBdr>
        </w:div>
        <w:div w:id="874318853">
          <w:marLeft w:val="640"/>
          <w:marRight w:val="0"/>
          <w:marTop w:val="0"/>
          <w:marBottom w:val="0"/>
          <w:divBdr>
            <w:top w:val="none" w:sz="0" w:space="0" w:color="auto"/>
            <w:left w:val="none" w:sz="0" w:space="0" w:color="auto"/>
            <w:bottom w:val="none" w:sz="0" w:space="0" w:color="auto"/>
            <w:right w:val="none" w:sz="0" w:space="0" w:color="auto"/>
          </w:divBdr>
        </w:div>
        <w:div w:id="595673809">
          <w:marLeft w:val="640"/>
          <w:marRight w:val="0"/>
          <w:marTop w:val="0"/>
          <w:marBottom w:val="0"/>
          <w:divBdr>
            <w:top w:val="none" w:sz="0" w:space="0" w:color="auto"/>
            <w:left w:val="none" w:sz="0" w:space="0" w:color="auto"/>
            <w:bottom w:val="none" w:sz="0" w:space="0" w:color="auto"/>
            <w:right w:val="none" w:sz="0" w:space="0" w:color="auto"/>
          </w:divBdr>
        </w:div>
        <w:div w:id="1732345080">
          <w:marLeft w:val="640"/>
          <w:marRight w:val="0"/>
          <w:marTop w:val="0"/>
          <w:marBottom w:val="0"/>
          <w:divBdr>
            <w:top w:val="none" w:sz="0" w:space="0" w:color="auto"/>
            <w:left w:val="none" w:sz="0" w:space="0" w:color="auto"/>
            <w:bottom w:val="none" w:sz="0" w:space="0" w:color="auto"/>
            <w:right w:val="none" w:sz="0" w:space="0" w:color="auto"/>
          </w:divBdr>
        </w:div>
        <w:div w:id="963734580">
          <w:marLeft w:val="640"/>
          <w:marRight w:val="0"/>
          <w:marTop w:val="0"/>
          <w:marBottom w:val="0"/>
          <w:divBdr>
            <w:top w:val="none" w:sz="0" w:space="0" w:color="auto"/>
            <w:left w:val="none" w:sz="0" w:space="0" w:color="auto"/>
            <w:bottom w:val="none" w:sz="0" w:space="0" w:color="auto"/>
            <w:right w:val="none" w:sz="0" w:space="0" w:color="auto"/>
          </w:divBdr>
        </w:div>
        <w:div w:id="1806779001">
          <w:marLeft w:val="640"/>
          <w:marRight w:val="0"/>
          <w:marTop w:val="0"/>
          <w:marBottom w:val="0"/>
          <w:divBdr>
            <w:top w:val="none" w:sz="0" w:space="0" w:color="auto"/>
            <w:left w:val="none" w:sz="0" w:space="0" w:color="auto"/>
            <w:bottom w:val="none" w:sz="0" w:space="0" w:color="auto"/>
            <w:right w:val="none" w:sz="0" w:space="0" w:color="auto"/>
          </w:divBdr>
        </w:div>
        <w:div w:id="1654678265">
          <w:marLeft w:val="640"/>
          <w:marRight w:val="0"/>
          <w:marTop w:val="0"/>
          <w:marBottom w:val="0"/>
          <w:divBdr>
            <w:top w:val="none" w:sz="0" w:space="0" w:color="auto"/>
            <w:left w:val="none" w:sz="0" w:space="0" w:color="auto"/>
            <w:bottom w:val="none" w:sz="0" w:space="0" w:color="auto"/>
            <w:right w:val="none" w:sz="0" w:space="0" w:color="auto"/>
          </w:divBdr>
        </w:div>
        <w:div w:id="888954137">
          <w:marLeft w:val="640"/>
          <w:marRight w:val="0"/>
          <w:marTop w:val="0"/>
          <w:marBottom w:val="0"/>
          <w:divBdr>
            <w:top w:val="none" w:sz="0" w:space="0" w:color="auto"/>
            <w:left w:val="none" w:sz="0" w:space="0" w:color="auto"/>
            <w:bottom w:val="none" w:sz="0" w:space="0" w:color="auto"/>
            <w:right w:val="none" w:sz="0" w:space="0" w:color="auto"/>
          </w:divBdr>
        </w:div>
        <w:div w:id="694159975">
          <w:marLeft w:val="640"/>
          <w:marRight w:val="0"/>
          <w:marTop w:val="0"/>
          <w:marBottom w:val="0"/>
          <w:divBdr>
            <w:top w:val="none" w:sz="0" w:space="0" w:color="auto"/>
            <w:left w:val="none" w:sz="0" w:space="0" w:color="auto"/>
            <w:bottom w:val="none" w:sz="0" w:space="0" w:color="auto"/>
            <w:right w:val="none" w:sz="0" w:space="0" w:color="auto"/>
          </w:divBdr>
        </w:div>
        <w:div w:id="228421848">
          <w:marLeft w:val="640"/>
          <w:marRight w:val="0"/>
          <w:marTop w:val="0"/>
          <w:marBottom w:val="0"/>
          <w:divBdr>
            <w:top w:val="none" w:sz="0" w:space="0" w:color="auto"/>
            <w:left w:val="none" w:sz="0" w:space="0" w:color="auto"/>
            <w:bottom w:val="none" w:sz="0" w:space="0" w:color="auto"/>
            <w:right w:val="none" w:sz="0" w:space="0" w:color="auto"/>
          </w:divBdr>
        </w:div>
        <w:div w:id="1379746173">
          <w:marLeft w:val="640"/>
          <w:marRight w:val="0"/>
          <w:marTop w:val="0"/>
          <w:marBottom w:val="0"/>
          <w:divBdr>
            <w:top w:val="none" w:sz="0" w:space="0" w:color="auto"/>
            <w:left w:val="none" w:sz="0" w:space="0" w:color="auto"/>
            <w:bottom w:val="none" w:sz="0" w:space="0" w:color="auto"/>
            <w:right w:val="none" w:sz="0" w:space="0" w:color="auto"/>
          </w:divBdr>
        </w:div>
        <w:div w:id="1262301073">
          <w:marLeft w:val="640"/>
          <w:marRight w:val="0"/>
          <w:marTop w:val="0"/>
          <w:marBottom w:val="0"/>
          <w:divBdr>
            <w:top w:val="none" w:sz="0" w:space="0" w:color="auto"/>
            <w:left w:val="none" w:sz="0" w:space="0" w:color="auto"/>
            <w:bottom w:val="none" w:sz="0" w:space="0" w:color="auto"/>
            <w:right w:val="none" w:sz="0" w:space="0" w:color="auto"/>
          </w:divBdr>
        </w:div>
        <w:div w:id="1341161345">
          <w:marLeft w:val="640"/>
          <w:marRight w:val="0"/>
          <w:marTop w:val="0"/>
          <w:marBottom w:val="0"/>
          <w:divBdr>
            <w:top w:val="none" w:sz="0" w:space="0" w:color="auto"/>
            <w:left w:val="none" w:sz="0" w:space="0" w:color="auto"/>
            <w:bottom w:val="none" w:sz="0" w:space="0" w:color="auto"/>
            <w:right w:val="none" w:sz="0" w:space="0" w:color="auto"/>
          </w:divBdr>
        </w:div>
        <w:div w:id="1289244546">
          <w:marLeft w:val="640"/>
          <w:marRight w:val="0"/>
          <w:marTop w:val="0"/>
          <w:marBottom w:val="0"/>
          <w:divBdr>
            <w:top w:val="none" w:sz="0" w:space="0" w:color="auto"/>
            <w:left w:val="none" w:sz="0" w:space="0" w:color="auto"/>
            <w:bottom w:val="none" w:sz="0" w:space="0" w:color="auto"/>
            <w:right w:val="none" w:sz="0" w:space="0" w:color="auto"/>
          </w:divBdr>
        </w:div>
        <w:div w:id="470754146">
          <w:marLeft w:val="640"/>
          <w:marRight w:val="0"/>
          <w:marTop w:val="0"/>
          <w:marBottom w:val="0"/>
          <w:divBdr>
            <w:top w:val="none" w:sz="0" w:space="0" w:color="auto"/>
            <w:left w:val="none" w:sz="0" w:space="0" w:color="auto"/>
            <w:bottom w:val="none" w:sz="0" w:space="0" w:color="auto"/>
            <w:right w:val="none" w:sz="0" w:space="0" w:color="auto"/>
          </w:divBdr>
        </w:div>
        <w:div w:id="418870272">
          <w:marLeft w:val="640"/>
          <w:marRight w:val="0"/>
          <w:marTop w:val="0"/>
          <w:marBottom w:val="0"/>
          <w:divBdr>
            <w:top w:val="none" w:sz="0" w:space="0" w:color="auto"/>
            <w:left w:val="none" w:sz="0" w:space="0" w:color="auto"/>
            <w:bottom w:val="none" w:sz="0" w:space="0" w:color="auto"/>
            <w:right w:val="none" w:sz="0" w:space="0" w:color="auto"/>
          </w:divBdr>
        </w:div>
        <w:div w:id="1311329731">
          <w:marLeft w:val="640"/>
          <w:marRight w:val="0"/>
          <w:marTop w:val="0"/>
          <w:marBottom w:val="0"/>
          <w:divBdr>
            <w:top w:val="none" w:sz="0" w:space="0" w:color="auto"/>
            <w:left w:val="none" w:sz="0" w:space="0" w:color="auto"/>
            <w:bottom w:val="none" w:sz="0" w:space="0" w:color="auto"/>
            <w:right w:val="none" w:sz="0" w:space="0" w:color="auto"/>
          </w:divBdr>
        </w:div>
        <w:div w:id="205024675">
          <w:marLeft w:val="640"/>
          <w:marRight w:val="0"/>
          <w:marTop w:val="0"/>
          <w:marBottom w:val="0"/>
          <w:divBdr>
            <w:top w:val="none" w:sz="0" w:space="0" w:color="auto"/>
            <w:left w:val="none" w:sz="0" w:space="0" w:color="auto"/>
            <w:bottom w:val="none" w:sz="0" w:space="0" w:color="auto"/>
            <w:right w:val="none" w:sz="0" w:space="0" w:color="auto"/>
          </w:divBdr>
        </w:div>
        <w:div w:id="1014919448">
          <w:marLeft w:val="640"/>
          <w:marRight w:val="0"/>
          <w:marTop w:val="0"/>
          <w:marBottom w:val="0"/>
          <w:divBdr>
            <w:top w:val="none" w:sz="0" w:space="0" w:color="auto"/>
            <w:left w:val="none" w:sz="0" w:space="0" w:color="auto"/>
            <w:bottom w:val="none" w:sz="0" w:space="0" w:color="auto"/>
            <w:right w:val="none" w:sz="0" w:space="0" w:color="auto"/>
          </w:divBdr>
        </w:div>
        <w:div w:id="1691367856">
          <w:marLeft w:val="640"/>
          <w:marRight w:val="0"/>
          <w:marTop w:val="0"/>
          <w:marBottom w:val="0"/>
          <w:divBdr>
            <w:top w:val="none" w:sz="0" w:space="0" w:color="auto"/>
            <w:left w:val="none" w:sz="0" w:space="0" w:color="auto"/>
            <w:bottom w:val="none" w:sz="0" w:space="0" w:color="auto"/>
            <w:right w:val="none" w:sz="0" w:space="0" w:color="auto"/>
          </w:divBdr>
        </w:div>
        <w:div w:id="611057669">
          <w:marLeft w:val="640"/>
          <w:marRight w:val="0"/>
          <w:marTop w:val="0"/>
          <w:marBottom w:val="0"/>
          <w:divBdr>
            <w:top w:val="none" w:sz="0" w:space="0" w:color="auto"/>
            <w:left w:val="none" w:sz="0" w:space="0" w:color="auto"/>
            <w:bottom w:val="none" w:sz="0" w:space="0" w:color="auto"/>
            <w:right w:val="none" w:sz="0" w:space="0" w:color="auto"/>
          </w:divBdr>
        </w:div>
        <w:div w:id="255410704">
          <w:marLeft w:val="640"/>
          <w:marRight w:val="0"/>
          <w:marTop w:val="0"/>
          <w:marBottom w:val="0"/>
          <w:divBdr>
            <w:top w:val="none" w:sz="0" w:space="0" w:color="auto"/>
            <w:left w:val="none" w:sz="0" w:space="0" w:color="auto"/>
            <w:bottom w:val="none" w:sz="0" w:space="0" w:color="auto"/>
            <w:right w:val="none" w:sz="0" w:space="0" w:color="auto"/>
          </w:divBdr>
        </w:div>
        <w:div w:id="254679756">
          <w:marLeft w:val="640"/>
          <w:marRight w:val="0"/>
          <w:marTop w:val="0"/>
          <w:marBottom w:val="0"/>
          <w:divBdr>
            <w:top w:val="none" w:sz="0" w:space="0" w:color="auto"/>
            <w:left w:val="none" w:sz="0" w:space="0" w:color="auto"/>
            <w:bottom w:val="none" w:sz="0" w:space="0" w:color="auto"/>
            <w:right w:val="none" w:sz="0" w:space="0" w:color="auto"/>
          </w:divBdr>
        </w:div>
        <w:div w:id="610237676">
          <w:marLeft w:val="640"/>
          <w:marRight w:val="0"/>
          <w:marTop w:val="0"/>
          <w:marBottom w:val="0"/>
          <w:divBdr>
            <w:top w:val="none" w:sz="0" w:space="0" w:color="auto"/>
            <w:left w:val="none" w:sz="0" w:space="0" w:color="auto"/>
            <w:bottom w:val="none" w:sz="0" w:space="0" w:color="auto"/>
            <w:right w:val="none" w:sz="0" w:space="0" w:color="auto"/>
          </w:divBdr>
        </w:div>
        <w:div w:id="1366515302">
          <w:marLeft w:val="640"/>
          <w:marRight w:val="0"/>
          <w:marTop w:val="0"/>
          <w:marBottom w:val="0"/>
          <w:divBdr>
            <w:top w:val="none" w:sz="0" w:space="0" w:color="auto"/>
            <w:left w:val="none" w:sz="0" w:space="0" w:color="auto"/>
            <w:bottom w:val="none" w:sz="0" w:space="0" w:color="auto"/>
            <w:right w:val="none" w:sz="0" w:space="0" w:color="auto"/>
          </w:divBdr>
        </w:div>
        <w:div w:id="1889148065">
          <w:marLeft w:val="640"/>
          <w:marRight w:val="0"/>
          <w:marTop w:val="0"/>
          <w:marBottom w:val="0"/>
          <w:divBdr>
            <w:top w:val="none" w:sz="0" w:space="0" w:color="auto"/>
            <w:left w:val="none" w:sz="0" w:space="0" w:color="auto"/>
            <w:bottom w:val="none" w:sz="0" w:space="0" w:color="auto"/>
            <w:right w:val="none" w:sz="0" w:space="0" w:color="auto"/>
          </w:divBdr>
        </w:div>
        <w:div w:id="96026047">
          <w:marLeft w:val="640"/>
          <w:marRight w:val="0"/>
          <w:marTop w:val="0"/>
          <w:marBottom w:val="0"/>
          <w:divBdr>
            <w:top w:val="none" w:sz="0" w:space="0" w:color="auto"/>
            <w:left w:val="none" w:sz="0" w:space="0" w:color="auto"/>
            <w:bottom w:val="none" w:sz="0" w:space="0" w:color="auto"/>
            <w:right w:val="none" w:sz="0" w:space="0" w:color="auto"/>
          </w:divBdr>
        </w:div>
        <w:div w:id="1365639351">
          <w:marLeft w:val="640"/>
          <w:marRight w:val="0"/>
          <w:marTop w:val="0"/>
          <w:marBottom w:val="0"/>
          <w:divBdr>
            <w:top w:val="none" w:sz="0" w:space="0" w:color="auto"/>
            <w:left w:val="none" w:sz="0" w:space="0" w:color="auto"/>
            <w:bottom w:val="none" w:sz="0" w:space="0" w:color="auto"/>
            <w:right w:val="none" w:sz="0" w:space="0" w:color="auto"/>
          </w:divBdr>
        </w:div>
        <w:div w:id="1583106634">
          <w:marLeft w:val="640"/>
          <w:marRight w:val="0"/>
          <w:marTop w:val="0"/>
          <w:marBottom w:val="0"/>
          <w:divBdr>
            <w:top w:val="none" w:sz="0" w:space="0" w:color="auto"/>
            <w:left w:val="none" w:sz="0" w:space="0" w:color="auto"/>
            <w:bottom w:val="none" w:sz="0" w:space="0" w:color="auto"/>
            <w:right w:val="none" w:sz="0" w:space="0" w:color="auto"/>
          </w:divBdr>
        </w:div>
        <w:div w:id="486016090">
          <w:marLeft w:val="640"/>
          <w:marRight w:val="0"/>
          <w:marTop w:val="0"/>
          <w:marBottom w:val="0"/>
          <w:divBdr>
            <w:top w:val="none" w:sz="0" w:space="0" w:color="auto"/>
            <w:left w:val="none" w:sz="0" w:space="0" w:color="auto"/>
            <w:bottom w:val="none" w:sz="0" w:space="0" w:color="auto"/>
            <w:right w:val="none" w:sz="0" w:space="0" w:color="auto"/>
          </w:divBdr>
        </w:div>
        <w:div w:id="1037924745">
          <w:marLeft w:val="640"/>
          <w:marRight w:val="0"/>
          <w:marTop w:val="0"/>
          <w:marBottom w:val="0"/>
          <w:divBdr>
            <w:top w:val="none" w:sz="0" w:space="0" w:color="auto"/>
            <w:left w:val="none" w:sz="0" w:space="0" w:color="auto"/>
            <w:bottom w:val="none" w:sz="0" w:space="0" w:color="auto"/>
            <w:right w:val="none" w:sz="0" w:space="0" w:color="auto"/>
          </w:divBdr>
        </w:div>
        <w:div w:id="836766136">
          <w:marLeft w:val="640"/>
          <w:marRight w:val="0"/>
          <w:marTop w:val="0"/>
          <w:marBottom w:val="0"/>
          <w:divBdr>
            <w:top w:val="none" w:sz="0" w:space="0" w:color="auto"/>
            <w:left w:val="none" w:sz="0" w:space="0" w:color="auto"/>
            <w:bottom w:val="none" w:sz="0" w:space="0" w:color="auto"/>
            <w:right w:val="none" w:sz="0" w:space="0" w:color="auto"/>
          </w:divBdr>
        </w:div>
        <w:div w:id="1407073184">
          <w:marLeft w:val="640"/>
          <w:marRight w:val="0"/>
          <w:marTop w:val="0"/>
          <w:marBottom w:val="0"/>
          <w:divBdr>
            <w:top w:val="none" w:sz="0" w:space="0" w:color="auto"/>
            <w:left w:val="none" w:sz="0" w:space="0" w:color="auto"/>
            <w:bottom w:val="none" w:sz="0" w:space="0" w:color="auto"/>
            <w:right w:val="none" w:sz="0" w:space="0" w:color="auto"/>
          </w:divBdr>
        </w:div>
        <w:div w:id="336465641">
          <w:marLeft w:val="640"/>
          <w:marRight w:val="0"/>
          <w:marTop w:val="0"/>
          <w:marBottom w:val="0"/>
          <w:divBdr>
            <w:top w:val="none" w:sz="0" w:space="0" w:color="auto"/>
            <w:left w:val="none" w:sz="0" w:space="0" w:color="auto"/>
            <w:bottom w:val="none" w:sz="0" w:space="0" w:color="auto"/>
            <w:right w:val="none" w:sz="0" w:space="0" w:color="auto"/>
          </w:divBdr>
        </w:div>
        <w:div w:id="1639917160">
          <w:marLeft w:val="640"/>
          <w:marRight w:val="0"/>
          <w:marTop w:val="0"/>
          <w:marBottom w:val="0"/>
          <w:divBdr>
            <w:top w:val="none" w:sz="0" w:space="0" w:color="auto"/>
            <w:left w:val="none" w:sz="0" w:space="0" w:color="auto"/>
            <w:bottom w:val="none" w:sz="0" w:space="0" w:color="auto"/>
            <w:right w:val="none" w:sz="0" w:space="0" w:color="auto"/>
          </w:divBdr>
        </w:div>
        <w:div w:id="1070427734">
          <w:marLeft w:val="640"/>
          <w:marRight w:val="0"/>
          <w:marTop w:val="0"/>
          <w:marBottom w:val="0"/>
          <w:divBdr>
            <w:top w:val="none" w:sz="0" w:space="0" w:color="auto"/>
            <w:left w:val="none" w:sz="0" w:space="0" w:color="auto"/>
            <w:bottom w:val="none" w:sz="0" w:space="0" w:color="auto"/>
            <w:right w:val="none" w:sz="0" w:space="0" w:color="auto"/>
          </w:divBdr>
        </w:div>
        <w:div w:id="1177890592">
          <w:marLeft w:val="640"/>
          <w:marRight w:val="0"/>
          <w:marTop w:val="0"/>
          <w:marBottom w:val="0"/>
          <w:divBdr>
            <w:top w:val="none" w:sz="0" w:space="0" w:color="auto"/>
            <w:left w:val="none" w:sz="0" w:space="0" w:color="auto"/>
            <w:bottom w:val="none" w:sz="0" w:space="0" w:color="auto"/>
            <w:right w:val="none" w:sz="0" w:space="0" w:color="auto"/>
          </w:divBdr>
        </w:div>
        <w:div w:id="1436629449">
          <w:marLeft w:val="640"/>
          <w:marRight w:val="0"/>
          <w:marTop w:val="0"/>
          <w:marBottom w:val="0"/>
          <w:divBdr>
            <w:top w:val="none" w:sz="0" w:space="0" w:color="auto"/>
            <w:left w:val="none" w:sz="0" w:space="0" w:color="auto"/>
            <w:bottom w:val="none" w:sz="0" w:space="0" w:color="auto"/>
            <w:right w:val="none" w:sz="0" w:space="0" w:color="auto"/>
          </w:divBdr>
        </w:div>
        <w:div w:id="1516723595">
          <w:marLeft w:val="640"/>
          <w:marRight w:val="0"/>
          <w:marTop w:val="0"/>
          <w:marBottom w:val="0"/>
          <w:divBdr>
            <w:top w:val="none" w:sz="0" w:space="0" w:color="auto"/>
            <w:left w:val="none" w:sz="0" w:space="0" w:color="auto"/>
            <w:bottom w:val="none" w:sz="0" w:space="0" w:color="auto"/>
            <w:right w:val="none" w:sz="0" w:space="0" w:color="auto"/>
          </w:divBdr>
        </w:div>
        <w:div w:id="942107446">
          <w:marLeft w:val="640"/>
          <w:marRight w:val="0"/>
          <w:marTop w:val="0"/>
          <w:marBottom w:val="0"/>
          <w:divBdr>
            <w:top w:val="none" w:sz="0" w:space="0" w:color="auto"/>
            <w:left w:val="none" w:sz="0" w:space="0" w:color="auto"/>
            <w:bottom w:val="none" w:sz="0" w:space="0" w:color="auto"/>
            <w:right w:val="none" w:sz="0" w:space="0" w:color="auto"/>
          </w:divBdr>
        </w:div>
        <w:div w:id="2136287533">
          <w:marLeft w:val="640"/>
          <w:marRight w:val="0"/>
          <w:marTop w:val="0"/>
          <w:marBottom w:val="0"/>
          <w:divBdr>
            <w:top w:val="none" w:sz="0" w:space="0" w:color="auto"/>
            <w:left w:val="none" w:sz="0" w:space="0" w:color="auto"/>
            <w:bottom w:val="none" w:sz="0" w:space="0" w:color="auto"/>
            <w:right w:val="none" w:sz="0" w:space="0" w:color="auto"/>
          </w:divBdr>
        </w:div>
        <w:div w:id="1479034059">
          <w:marLeft w:val="640"/>
          <w:marRight w:val="0"/>
          <w:marTop w:val="0"/>
          <w:marBottom w:val="0"/>
          <w:divBdr>
            <w:top w:val="none" w:sz="0" w:space="0" w:color="auto"/>
            <w:left w:val="none" w:sz="0" w:space="0" w:color="auto"/>
            <w:bottom w:val="none" w:sz="0" w:space="0" w:color="auto"/>
            <w:right w:val="none" w:sz="0" w:space="0" w:color="auto"/>
          </w:divBdr>
        </w:div>
        <w:div w:id="241375044">
          <w:marLeft w:val="640"/>
          <w:marRight w:val="0"/>
          <w:marTop w:val="0"/>
          <w:marBottom w:val="0"/>
          <w:divBdr>
            <w:top w:val="none" w:sz="0" w:space="0" w:color="auto"/>
            <w:left w:val="none" w:sz="0" w:space="0" w:color="auto"/>
            <w:bottom w:val="none" w:sz="0" w:space="0" w:color="auto"/>
            <w:right w:val="none" w:sz="0" w:space="0" w:color="auto"/>
          </w:divBdr>
        </w:div>
        <w:div w:id="1424956941">
          <w:marLeft w:val="640"/>
          <w:marRight w:val="0"/>
          <w:marTop w:val="0"/>
          <w:marBottom w:val="0"/>
          <w:divBdr>
            <w:top w:val="none" w:sz="0" w:space="0" w:color="auto"/>
            <w:left w:val="none" w:sz="0" w:space="0" w:color="auto"/>
            <w:bottom w:val="none" w:sz="0" w:space="0" w:color="auto"/>
            <w:right w:val="none" w:sz="0" w:space="0" w:color="auto"/>
          </w:divBdr>
        </w:div>
        <w:div w:id="2015842473">
          <w:marLeft w:val="640"/>
          <w:marRight w:val="0"/>
          <w:marTop w:val="0"/>
          <w:marBottom w:val="0"/>
          <w:divBdr>
            <w:top w:val="none" w:sz="0" w:space="0" w:color="auto"/>
            <w:left w:val="none" w:sz="0" w:space="0" w:color="auto"/>
            <w:bottom w:val="none" w:sz="0" w:space="0" w:color="auto"/>
            <w:right w:val="none" w:sz="0" w:space="0" w:color="auto"/>
          </w:divBdr>
        </w:div>
        <w:div w:id="480462029">
          <w:marLeft w:val="640"/>
          <w:marRight w:val="0"/>
          <w:marTop w:val="0"/>
          <w:marBottom w:val="0"/>
          <w:divBdr>
            <w:top w:val="none" w:sz="0" w:space="0" w:color="auto"/>
            <w:left w:val="none" w:sz="0" w:space="0" w:color="auto"/>
            <w:bottom w:val="none" w:sz="0" w:space="0" w:color="auto"/>
            <w:right w:val="none" w:sz="0" w:space="0" w:color="auto"/>
          </w:divBdr>
        </w:div>
        <w:div w:id="1255092958">
          <w:marLeft w:val="640"/>
          <w:marRight w:val="0"/>
          <w:marTop w:val="0"/>
          <w:marBottom w:val="0"/>
          <w:divBdr>
            <w:top w:val="none" w:sz="0" w:space="0" w:color="auto"/>
            <w:left w:val="none" w:sz="0" w:space="0" w:color="auto"/>
            <w:bottom w:val="none" w:sz="0" w:space="0" w:color="auto"/>
            <w:right w:val="none" w:sz="0" w:space="0" w:color="auto"/>
          </w:divBdr>
        </w:div>
        <w:div w:id="2135444854">
          <w:marLeft w:val="640"/>
          <w:marRight w:val="0"/>
          <w:marTop w:val="0"/>
          <w:marBottom w:val="0"/>
          <w:divBdr>
            <w:top w:val="none" w:sz="0" w:space="0" w:color="auto"/>
            <w:left w:val="none" w:sz="0" w:space="0" w:color="auto"/>
            <w:bottom w:val="none" w:sz="0" w:space="0" w:color="auto"/>
            <w:right w:val="none" w:sz="0" w:space="0" w:color="auto"/>
          </w:divBdr>
        </w:div>
        <w:div w:id="1308585131">
          <w:marLeft w:val="640"/>
          <w:marRight w:val="0"/>
          <w:marTop w:val="0"/>
          <w:marBottom w:val="0"/>
          <w:divBdr>
            <w:top w:val="none" w:sz="0" w:space="0" w:color="auto"/>
            <w:left w:val="none" w:sz="0" w:space="0" w:color="auto"/>
            <w:bottom w:val="none" w:sz="0" w:space="0" w:color="auto"/>
            <w:right w:val="none" w:sz="0" w:space="0" w:color="auto"/>
          </w:divBdr>
        </w:div>
        <w:div w:id="2107339602">
          <w:marLeft w:val="640"/>
          <w:marRight w:val="0"/>
          <w:marTop w:val="0"/>
          <w:marBottom w:val="0"/>
          <w:divBdr>
            <w:top w:val="none" w:sz="0" w:space="0" w:color="auto"/>
            <w:left w:val="none" w:sz="0" w:space="0" w:color="auto"/>
            <w:bottom w:val="none" w:sz="0" w:space="0" w:color="auto"/>
            <w:right w:val="none" w:sz="0" w:space="0" w:color="auto"/>
          </w:divBdr>
        </w:div>
        <w:div w:id="413430031">
          <w:marLeft w:val="640"/>
          <w:marRight w:val="0"/>
          <w:marTop w:val="0"/>
          <w:marBottom w:val="0"/>
          <w:divBdr>
            <w:top w:val="none" w:sz="0" w:space="0" w:color="auto"/>
            <w:left w:val="none" w:sz="0" w:space="0" w:color="auto"/>
            <w:bottom w:val="none" w:sz="0" w:space="0" w:color="auto"/>
            <w:right w:val="none" w:sz="0" w:space="0" w:color="auto"/>
          </w:divBdr>
        </w:div>
        <w:div w:id="1581479830">
          <w:marLeft w:val="640"/>
          <w:marRight w:val="0"/>
          <w:marTop w:val="0"/>
          <w:marBottom w:val="0"/>
          <w:divBdr>
            <w:top w:val="none" w:sz="0" w:space="0" w:color="auto"/>
            <w:left w:val="none" w:sz="0" w:space="0" w:color="auto"/>
            <w:bottom w:val="none" w:sz="0" w:space="0" w:color="auto"/>
            <w:right w:val="none" w:sz="0" w:space="0" w:color="auto"/>
          </w:divBdr>
        </w:div>
        <w:div w:id="1177307603">
          <w:marLeft w:val="640"/>
          <w:marRight w:val="0"/>
          <w:marTop w:val="0"/>
          <w:marBottom w:val="0"/>
          <w:divBdr>
            <w:top w:val="none" w:sz="0" w:space="0" w:color="auto"/>
            <w:left w:val="none" w:sz="0" w:space="0" w:color="auto"/>
            <w:bottom w:val="none" w:sz="0" w:space="0" w:color="auto"/>
            <w:right w:val="none" w:sz="0" w:space="0" w:color="auto"/>
          </w:divBdr>
        </w:div>
        <w:div w:id="459029851">
          <w:marLeft w:val="640"/>
          <w:marRight w:val="0"/>
          <w:marTop w:val="0"/>
          <w:marBottom w:val="0"/>
          <w:divBdr>
            <w:top w:val="none" w:sz="0" w:space="0" w:color="auto"/>
            <w:left w:val="none" w:sz="0" w:space="0" w:color="auto"/>
            <w:bottom w:val="none" w:sz="0" w:space="0" w:color="auto"/>
            <w:right w:val="none" w:sz="0" w:space="0" w:color="auto"/>
          </w:divBdr>
        </w:div>
        <w:div w:id="455687009">
          <w:marLeft w:val="640"/>
          <w:marRight w:val="0"/>
          <w:marTop w:val="0"/>
          <w:marBottom w:val="0"/>
          <w:divBdr>
            <w:top w:val="none" w:sz="0" w:space="0" w:color="auto"/>
            <w:left w:val="none" w:sz="0" w:space="0" w:color="auto"/>
            <w:bottom w:val="none" w:sz="0" w:space="0" w:color="auto"/>
            <w:right w:val="none" w:sz="0" w:space="0" w:color="auto"/>
          </w:divBdr>
        </w:div>
        <w:div w:id="1378815387">
          <w:marLeft w:val="640"/>
          <w:marRight w:val="0"/>
          <w:marTop w:val="0"/>
          <w:marBottom w:val="0"/>
          <w:divBdr>
            <w:top w:val="none" w:sz="0" w:space="0" w:color="auto"/>
            <w:left w:val="none" w:sz="0" w:space="0" w:color="auto"/>
            <w:bottom w:val="none" w:sz="0" w:space="0" w:color="auto"/>
            <w:right w:val="none" w:sz="0" w:space="0" w:color="auto"/>
          </w:divBdr>
        </w:div>
        <w:div w:id="1213927281">
          <w:marLeft w:val="640"/>
          <w:marRight w:val="0"/>
          <w:marTop w:val="0"/>
          <w:marBottom w:val="0"/>
          <w:divBdr>
            <w:top w:val="none" w:sz="0" w:space="0" w:color="auto"/>
            <w:left w:val="none" w:sz="0" w:space="0" w:color="auto"/>
            <w:bottom w:val="none" w:sz="0" w:space="0" w:color="auto"/>
            <w:right w:val="none" w:sz="0" w:space="0" w:color="auto"/>
          </w:divBdr>
        </w:div>
        <w:div w:id="1028990503">
          <w:marLeft w:val="640"/>
          <w:marRight w:val="0"/>
          <w:marTop w:val="0"/>
          <w:marBottom w:val="0"/>
          <w:divBdr>
            <w:top w:val="none" w:sz="0" w:space="0" w:color="auto"/>
            <w:left w:val="none" w:sz="0" w:space="0" w:color="auto"/>
            <w:bottom w:val="none" w:sz="0" w:space="0" w:color="auto"/>
            <w:right w:val="none" w:sz="0" w:space="0" w:color="auto"/>
          </w:divBdr>
        </w:div>
        <w:div w:id="1752239371">
          <w:marLeft w:val="640"/>
          <w:marRight w:val="0"/>
          <w:marTop w:val="0"/>
          <w:marBottom w:val="0"/>
          <w:divBdr>
            <w:top w:val="none" w:sz="0" w:space="0" w:color="auto"/>
            <w:left w:val="none" w:sz="0" w:space="0" w:color="auto"/>
            <w:bottom w:val="none" w:sz="0" w:space="0" w:color="auto"/>
            <w:right w:val="none" w:sz="0" w:space="0" w:color="auto"/>
          </w:divBdr>
        </w:div>
        <w:div w:id="1844515904">
          <w:marLeft w:val="640"/>
          <w:marRight w:val="0"/>
          <w:marTop w:val="0"/>
          <w:marBottom w:val="0"/>
          <w:divBdr>
            <w:top w:val="none" w:sz="0" w:space="0" w:color="auto"/>
            <w:left w:val="none" w:sz="0" w:space="0" w:color="auto"/>
            <w:bottom w:val="none" w:sz="0" w:space="0" w:color="auto"/>
            <w:right w:val="none" w:sz="0" w:space="0" w:color="auto"/>
          </w:divBdr>
        </w:div>
        <w:div w:id="1841969408">
          <w:marLeft w:val="640"/>
          <w:marRight w:val="0"/>
          <w:marTop w:val="0"/>
          <w:marBottom w:val="0"/>
          <w:divBdr>
            <w:top w:val="none" w:sz="0" w:space="0" w:color="auto"/>
            <w:left w:val="none" w:sz="0" w:space="0" w:color="auto"/>
            <w:bottom w:val="none" w:sz="0" w:space="0" w:color="auto"/>
            <w:right w:val="none" w:sz="0" w:space="0" w:color="auto"/>
          </w:divBdr>
        </w:div>
        <w:div w:id="1192299259">
          <w:marLeft w:val="640"/>
          <w:marRight w:val="0"/>
          <w:marTop w:val="0"/>
          <w:marBottom w:val="0"/>
          <w:divBdr>
            <w:top w:val="none" w:sz="0" w:space="0" w:color="auto"/>
            <w:left w:val="none" w:sz="0" w:space="0" w:color="auto"/>
            <w:bottom w:val="none" w:sz="0" w:space="0" w:color="auto"/>
            <w:right w:val="none" w:sz="0" w:space="0" w:color="auto"/>
          </w:divBdr>
        </w:div>
        <w:div w:id="857154961">
          <w:marLeft w:val="640"/>
          <w:marRight w:val="0"/>
          <w:marTop w:val="0"/>
          <w:marBottom w:val="0"/>
          <w:divBdr>
            <w:top w:val="none" w:sz="0" w:space="0" w:color="auto"/>
            <w:left w:val="none" w:sz="0" w:space="0" w:color="auto"/>
            <w:bottom w:val="none" w:sz="0" w:space="0" w:color="auto"/>
            <w:right w:val="none" w:sz="0" w:space="0" w:color="auto"/>
          </w:divBdr>
        </w:div>
        <w:div w:id="2011907556">
          <w:marLeft w:val="640"/>
          <w:marRight w:val="0"/>
          <w:marTop w:val="0"/>
          <w:marBottom w:val="0"/>
          <w:divBdr>
            <w:top w:val="none" w:sz="0" w:space="0" w:color="auto"/>
            <w:left w:val="none" w:sz="0" w:space="0" w:color="auto"/>
            <w:bottom w:val="none" w:sz="0" w:space="0" w:color="auto"/>
            <w:right w:val="none" w:sz="0" w:space="0" w:color="auto"/>
          </w:divBdr>
        </w:div>
        <w:div w:id="812676520">
          <w:marLeft w:val="640"/>
          <w:marRight w:val="0"/>
          <w:marTop w:val="0"/>
          <w:marBottom w:val="0"/>
          <w:divBdr>
            <w:top w:val="none" w:sz="0" w:space="0" w:color="auto"/>
            <w:left w:val="none" w:sz="0" w:space="0" w:color="auto"/>
            <w:bottom w:val="none" w:sz="0" w:space="0" w:color="auto"/>
            <w:right w:val="none" w:sz="0" w:space="0" w:color="auto"/>
          </w:divBdr>
        </w:div>
        <w:div w:id="270629239">
          <w:marLeft w:val="640"/>
          <w:marRight w:val="0"/>
          <w:marTop w:val="0"/>
          <w:marBottom w:val="0"/>
          <w:divBdr>
            <w:top w:val="none" w:sz="0" w:space="0" w:color="auto"/>
            <w:left w:val="none" w:sz="0" w:space="0" w:color="auto"/>
            <w:bottom w:val="none" w:sz="0" w:space="0" w:color="auto"/>
            <w:right w:val="none" w:sz="0" w:space="0" w:color="auto"/>
          </w:divBdr>
        </w:div>
        <w:div w:id="1628701836">
          <w:marLeft w:val="640"/>
          <w:marRight w:val="0"/>
          <w:marTop w:val="0"/>
          <w:marBottom w:val="0"/>
          <w:divBdr>
            <w:top w:val="none" w:sz="0" w:space="0" w:color="auto"/>
            <w:left w:val="none" w:sz="0" w:space="0" w:color="auto"/>
            <w:bottom w:val="none" w:sz="0" w:space="0" w:color="auto"/>
            <w:right w:val="none" w:sz="0" w:space="0" w:color="auto"/>
          </w:divBdr>
        </w:div>
        <w:div w:id="1892034823">
          <w:marLeft w:val="640"/>
          <w:marRight w:val="0"/>
          <w:marTop w:val="0"/>
          <w:marBottom w:val="0"/>
          <w:divBdr>
            <w:top w:val="none" w:sz="0" w:space="0" w:color="auto"/>
            <w:left w:val="none" w:sz="0" w:space="0" w:color="auto"/>
            <w:bottom w:val="none" w:sz="0" w:space="0" w:color="auto"/>
            <w:right w:val="none" w:sz="0" w:space="0" w:color="auto"/>
          </w:divBdr>
        </w:div>
        <w:div w:id="1978874861">
          <w:marLeft w:val="640"/>
          <w:marRight w:val="0"/>
          <w:marTop w:val="0"/>
          <w:marBottom w:val="0"/>
          <w:divBdr>
            <w:top w:val="none" w:sz="0" w:space="0" w:color="auto"/>
            <w:left w:val="none" w:sz="0" w:space="0" w:color="auto"/>
            <w:bottom w:val="none" w:sz="0" w:space="0" w:color="auto"/>
            <w:right w:val="none" w:sz="0" w:space="0" w:color="auto"/>
          </w:divBdr>
        </w:div>
        <w:div w:id="1914852365">
          <w:marLeft w:val="640"/>
          <w:marRight w:val="0"/>
          <w:marTop w:val="0"/>
          <w:marBottom w:val="0"/>
          <w:divBdr>
            <w:top w:val="none" w:sz="0" w:space="0" w:color="auto"/>
            <w:left w:val="none" w:sz="0" w:space="0" w:color="auto"/>
            <w:bottom w:val="none" w:sz="0" w:space="0" w:color="auto"/>
            <w:right w:val="none" w:sz="0" w:space="0" w:color="auto"/>
          </w:divBdr>
        </w:div>
        <w:div w:id="1012342760">
          <w:marLeft w:val="640"/>
          <w:marRight w:val="0"/>
          <w:marTop w:val="0"/>
          <w:marBottom w:val="0"/>
          <w:divBdr>
            <w:top w:val="none" w:sz="0" w:space="0" w:color="auto"/>
            <w:left w:val="none" w:sz="0" w:space="0" w:color="auto"/>
            <w:bottom w:val="none" w:sz="0" w:space="0" w:color="auto"/>
            <w:right w:val="none" w:sz="0" w:space="0" w:color="auto"/>
          </w:divBdr>
        </w:div>
        <w:div w:id="2073310822">
          <w:marLeft w:val="640"/>
          <w:marRight w:val="0"/>
          <w:marTop w:val="0"/>
          <w:marBottom w:val="0"/>
          <w:divBdr>
            <w:top w:val="none" w:sz="0" w:space="0" w:color="auto"/>
            <w:left w:val="none" w:sz="0" w:space="0" w:color="auto"/>
            <w:bottom w:val="none" w:sz="0" w:space="0" w:color="auto"/>
            <w:right w:val="none" w:sz="0" w:space="0" w:color="auto"/>
          </w:divBdr>
        </w:div>
        <w:div w:id="1490173377">
          <w:marLeft w:val="640"/>
          <w:marRight w:val="0"/>
          <w:marTop w:val="0"/>
          <w:marBottom w:val="0"/>
          <w:divBdr>
            <w:top w:val="none" w:sz="0" w:space="0" w:color="auto"/>
            <w:left w:val="none" w:sz="0" w:space="0" w:color="auto"/>
            <w:bottom w:val="none" w:sz="0" w:space="0" w:color="auto"/>
            <w:right w:val="none" w:sz="0" w:space="0" w:color="auto"/>
          </w:divBdr>
        </w:div>
        <w:div w:id="124469282">
          <w:marLeft w:val="640"/>
          <w:marRight w:val="0"/>
          <w:marTop w:val="0"/>
          <w:marBottom w:val="0"/>
          <w:divBdr>
            <w:top w:val="none" w:sz="0" w:space="0" w:color="auto"/>
            <w:left w:val="none" w:sz="0" w:space="0" w:color="auto"/>
            <w:bottom w:val="none" w:sz="0" w:space="0" w:color="auto"/>
            <w:right w:val="none" w:sz="0" w:space="0" w:color="auto"/>
          </w:divBdr>
        </w:div>
        <w:div w:id="2010129875">
          <w:marLeft w:val="640"/>
          <w:marRight w:val="0"/>
          <w:marTop w:val="0"/>
          <w:marBottom w:val="0"/>
          <w:divBdr>
            <w:top w:val="none" w:sz="0" w:space="0" w:color="auto"/>
            <w:left w:val="none" w:sz="0" w:space="0" w:color="auto"/>
            <w:bottom w:val="none" w:sz="0" w:space="0" w:color="auto"/>
            <w:right w:val="none" w:sz="0" w:space="0" w:color="auto"/>
          </w:divBdr>
        </w:div>
        <w:div w:id="1871797669">
          <w:marLeft w:val="640"/>
          <w:marRight w:val="0"/>
          <w:marTop w:val="0"/>
          <w:marBottom w:val="0"/>
          <w:divBdr>
            <w:top w:val="none" w:sz="0" w:space="0" w:color="auto"/>
            <w:left w:val="none" w:sz="0" w:space="0" w:color="auto"/>
            <w:bottom w:val="none" w:sz="0" w:space="0" w:color="auto"/>
            <w:right w:val="none" w:sz="0" w:space="0" w:color="auto"/>
          </w:divBdr>
        </w:div>
        <w:div w:id="1639216979">
          <w:marLeft w:val="640"/>
          <w:marRight w:val="0"/>
          <w:marTop w:val="0"/>
          <w:marBottom w:val="0"/>
          <w:divBdr>
            <w:top w:val="none" w:sz="0" w:space="0" w:color="auto"/>
            <w:left w:val="none" w:sz="0" w:space="0" w:color="auto"/>
            <w:bottom w:val="none" w:sz="0" w:space="0" w:color="auto"/>
            <w:right w:val="none" w:sz="0" w:space="0" w:color="auto"/>
          </w:divBdr>
        </w:div>
        <w:div w:id="1402673022">
          <w:marLeft w:val="640"/>
          <w:marRight w:val="0"/>
          <w:marTop w:val="0"/>
          <w:marBottom w:val="0"/>
          <w:divBdr>
            <w:top w:val="none" w:sz="0" w:space="0" w:color="auto"/>
            <w:left w:val="none" w:sz="0" w:space="0" w:color="auto"/>
            <w:bottom w:val="none" w:sz="0" w:space="0" w:color="auto"/>
            <w:right w:val="none" w:sz="0" w:space="0" w:color="auto"/>
          </w:divBdr>
        </w:div>
        <w:div w:id="130905553">
          <w:marLeft w:val="640"/>
          <w:marRight w:val="0"/>
          <w:marTop w:val="0"/>
          <w:marBottom w:val="0"/>
          <w:divBdr>
            <w:top w:val="none" w:sz="0" w:space="0" w:color="auto"/>
            <w:left w:val="none" w:sz="0" w:space="0" w:color="auto"/>
            <w:bottom w:val="none" w:sz="0" w:space="0" w:color="auto"/>
            <w:right w:val="none" w:sz="0" w:space="0" w:color="auto"/>
          </w:divBdr>
        </w:div>
        <w:div w:id="1368797643">
          <w:marLeft w:val="640"/>
          <w:marRight w:val="0"/>
          <w:marTop w:val="0"/>
          <w:marBottom w:val="0"/>
          <w:divBdr>
            <w:top w:val="none" w:sz="0" w:space="0" w:color="auto"/>
            <w:left w:val="none" w:sz="0" w:space="0" w:color="auto"/>
            <w:bottom w:val="none" w:sz="0" w:space="0" w:color="auto"/>
            <w:right w:val="none" w:sz="0" w:space="0" w:color="auto"/>
          </w:divBdr>
        </w:div>
        <w:div w:id="1792553371">
          <w:marLeft w:val="640"/>
          <w:marRight w:val="0"/>
          <w:marTop w:val="0"/>
          <w:marBottom w:val="0"/>
          <w:divBdr>
            <w:top w:val="none" w:sz="0" w:space="0" w:color="auto"/>
            <w:left w:val="none" w:sz="0" w:space="0" w:color="auto"/>
            <w:bottom w:val="none" w:sz="0" w:space="0" w:color="auto"/>
            <w:right w:val="none" w:sz="0" w:space="0" w:color="auto"/>
          </w:divBdr>
        </w:div>
        <w:div w:id="588201545">
          <w:marLeft w:val="640"/>
          <w:marRight w:val="0"/>
          <w:marTop w:val="0"/>
          <w:marBottom w:val="0"/>
          <w:divBdr>
            <w:top w:val="none" w:sz="0" w:space="0" w:color="auto"/>
            <w:left w:val="none" w:sz="0" w:space="0" w:color="auto"/>
            <w:bottom w:val="none" w:sz="0" w:space="0" w:color="auto"/>
            <w:right w:val="none" w:sz="0" w:space="0" w:color="auto"/>
          </w:divBdr>
        </w:div>
        <w:div w:id="1760100510">
          <w:marLeft w:val="640"/>
          <w:marRight w:val="0"/>
          <w:marTop w:val="0"/>
          <w:marBottom w:val="0"/>
          <w:divBdr>
            <w:top w:val="none" w:sz="0" w:space="0" w:color="auto"/>
            <w:left w:val="none" w:sz="0" w:space="0" w:color="auto"/>
            <w:bottom w:val="none" w:sz="0" w:space="0" w:color="auto"/>
            <w:right w:val="none" w:sz="0" w:space="0" w:color="auto"/>
          </w:divBdr>
        </w:div>
        <w:div w:id="1962106198">
          <w:marLeft w:val="640"/>
          <w:marRight w:val="0"/>
          <w:marTop w:val="0"/>
          <w:marBottom w:val="0"/>
          <w:divBdr>
            <w:top w:val="none" w:sz="0" w:space="0" w:color="auto"/>
            <w:left w:val="none" w:sz="0" w:space="0" w:color="auto"/>
            <w:bottom w:val="none" w:sz="0" w:space="0" w:color="auto"/>
            <w:right w:val="none" w:sz="0" w:space="0" w:color="auto"/>
          </w:divBdr>
        </w:div>
        <w:div w:id="1243492786">
          <w:marLeft w:val="640"/>
          <w:marRight w:val="0"/>
          <w:marTop w:val="0"/>
          <w:marBottom w:val="0"/>
          <w:divBdr>
            <w:top w:val="none" w:sz="0" w:space="0" w:color="auto"/>
            <w:left w:val="none" w:sz="0" w:space="0" w:color="auto"/>
            <w:bottom w:val="none" w:sz="0" w:space="0" w:color="auto"/>
            <w:right w:val="none" w:sz="0" w:space="0" w:color="auto"/>
          </w:divBdr>
        </w:div>
        <w:div w:id="698314906">
          <w:marLeft w:val="640"/>
          <w:marRight w:val="0"/>
          <w:marTop w:val="0"/>
          <w:marBottom w:val="0"/>
          <w:divBdr>
            <w:top w:val="none" w:sz="0" w:space="0" w:color="auto"/>
            <w:left w:val="none" w:sz="0" w:space="0" w:color="auto"/>
            <w:bottom w:val="none" w:sz="0" w:space="0" w:color="auto"/>
            <w:right w:val="none" w:sz="0" w:space="0" w:color="auto"/>
          </w:divBdr>
        </w:div>
        <w:div w:id="603613136">
          <w:marLeft w:val="640"/>
          <w:marRight w:val="0"/>
          <w:marTop w:val="0"/>
          <w:marBottom w:val="0"/>
          <w:divBdr>
            <w:top w:val="none" w:sz="0" w:space="0" w:color="auto"/>
            <w:left w:val="none" w:sz="0" w:space="0" w:color="auto"/>
            <w:bottom w:val="none" w:sz="0" w:space="0" w:color="auto"/>
            <w:right w:val="none" w:sz="0" w:space="0" w:color="auto"/>
          </w:divBdr>
        </w:div>
        <w:div w:id="1819951133">
          <w:marLeft w:val="640"/>
          <w:marRight w:val="0"/>
          <w:marTop w:val="0"/>
          <w:marBottom w:val="0"/>
          <w:divBdr>
            <w:top w:val="none" w:sz="0" w:space="0" w:color="auto"/>
            <w:left w:val="none" w:sz="0" w:space="0" w:color="auto"/>
            <w:bottom w:val="none" w:sz="0" w:space="0" w:color="auto"/>
            <w:right w:val="none" w:sz="0" w:space="0" w:color="auto"/>
          </w:divBdr>
        </w:div>
        <w:div w:id="546181420">
          <w:marLeft w:val="640"/>
          <w:marRight w:val="0"/>
          <w:marTop w:val="0"/>
          <w:marBottom w:val="0"/>
          <w:divBdr>
            <w:top w:val="none" w:sz="0" w:space="0" w:color="auto"/>
            <w:left w:val="none" w:sz="0" w:space="0" w:color="auto"/>
            <w:bottom w:val="none" w:sz="0" w:space="0" w:color="auto"/>
            <w:right w:val="none" w:sz="0" w:space="0" w:color="auto"/>
          </w:divBdr>
        </w:div>
        <w:div w:id="1872183993">
          <w:marLeft w:val="640"/>
          <w:marRight w:val="0"/>
          <w:marTop w:val="0"/>
          <w:marBottom w:val="0"/>
          <w:divBdr>
            <w:top w:val="none" w:sz="0" w:space="0" w:color="auto"/>
            <w:left w:val="none" w:sz="0" w:space="0" w:color="auto"/>
            <w:bottom w:val="none" w:sz="0" w:space="0" w:color="auto"/>
            <w:right w:val="none" w:sz="0" w:space="0" w:color="auto"/>
          </w:divBdr>
        </w:div>
        <w:div w:id="1979991252">
          <w:marLeft w:val="640"/>
          <w:marRight w:val="0"/>
          <w:marTop w:val="0"/>
          <w:marBottom w:val="0"/>
          <w:divBdr>
            <w:top w:val="none" w:sz="0" w:space="0" w:color="auto"/>
            <w:left w:val="none" w:sz="0" w:space="0" w:color="auto"/>
            <w:bottom w:val="none" w:sz="0" w:space="0" w:color="auto"/>
            <w:right w:val="none" w:sz="0" w:space="0" w:color="auto"/>
          </w:divBdr>
        </w:div>
        <w:div w:id="625820634">
          <w:marLeft w:val="640"/>
          <w:marRight w:val="0"/>
          <w:marTop w:val="0"/>
          <w:marBottom w:val="0"/>
          <w:divBdr>
            <w:top w:val="none" w:sz="0" w:space="0" w:color="auto"/>
            <w:left w:val="none" w:sz="0" w:space="0" w:color="auto"/>
            <w:bottom w:val="none" w:sz="0" w:space="0" w:color="auto"/>
            <w:right w:val="none" w:sz="0" w:space="0" w:color="auto"/>
          </w:divBdr>
        </w:div>
        <w:div w:id="1998799476">
          <w:marLeft w:val="640"/>
          <w:marRight w:val="0"/>
          <w:marTop w:val="0"/>
          <w:marBottom w:val="0"/>
          <w:divBdr>
            <w:top w:val="none" w:sz="0" w:space="0" w:color="auto"/>
            <w:left w:val="none" w:sz="0" w:space="0" w:color="auto"/>
            <w:bottom w:val="none" w:sz="0" w:space="0" w:color="auto"/>
            <w:right w:val="none" w:sz="0" w:space="0" w:color="auto"/>
          </w:divBdr>
        </w:div>
        <w:div w:id="440220004">
          <w:marLeft w:val="640"/>
          <w:marRight w:val="0"/>
          <w:marTop w:val="0"/>
          <w:marBottom w:val="0"/>
          <w:divBdr>
            <w:top w:val="none" w:sz="0" w:space="0" w:color="auto"/>
            <w:left w:val="none" w:sz="0" w:space="0" w:color="auto"/>
            <w:bottom w:val="none" w:sz="0" w:space="0" w:color="auto"/>
            <w:right w:val="none" w:sz="0" w:space="0" w:color="auto"/>
          </w:divBdr>
        </w:div>
        <w:div w:id="1565414479">
          <w:marLeft w:val="640"/>
          <w:marRight w:val="0"/>
          <w:marTop w:val="0"/>
          <w:marBottom w:val="0"/>
          <w:divBdr>
            <w:top w:val="none" w:sz="0" w:space="0" w:color="auto"/>
            <w:left w:val="none" w:sz="0" w:space="0" w:color="auto"/>
            <w:bottom w:val="none" w:sz="0" w:space="0" w:color="auto"/>
            <w:right w:val="none" w:sz="0" w:space="0" w:color="auto"/>
          </w:divBdr>
        </w:div>
        <w:div w:id="920408646">
          <w:marLeft w:val="640"/>
          <w:marRight w:val="0"/>
          <w:marTop w:val="0"/>
          <w:marBottom w:val="0"/>
          <w:divBdr>
            <w:top w:val="none" w:sz="0" w:space="0" w:color="auto"/>
            <w:left w:val="none" w:sz="0" w:space="0" w:color="auto"/>
            <w:bottom w:val="none" w:sz="0" w:space="0" w:color="auto"/>
            <w:right w:val="none" w:sz="0" w:space="0" w:color="auto"/>
          </w:divBdr>
        </w:div>
        <w:div w:id="1161507448">
          <w:marLeft w:val="640"/>
          <w:marRight w:val="0"/>
          <w:marTop w:val="0"/>
          <w:marBottom w:val="0"/>
          <w:divBdr>
            <w:top w:val="none" w:sz="0" w:space="0" w:color="auto"/>
            <w:left w:val="none" w:sz="0" w:space="0" w:color="auto"/>
            <w:bottom w:val="none" w:sz="0" w:space="0" w:color="auto"/>
            <w:right w:val="none" w:sz="0" w:space="0" w:color="auto"/>
          </w:divBdr>
        </w:div>
        <w:div w:id="1461924405">
          <w:marLeft w:val="640"/>
          <w:marRight w:val="0"/>
          <w:marTop w:val="0"/>
          <w:marBottom w:val="0"/>
          <w:divBdr>
            <w:top w:val="none" w:sz="0" w:space="0" w:color="auto"/>
            <w:left w:val="none" w:sz="0" w:space="0" w:color="auto"/>
            <w:bottom w:val="none" w:sz="0" w:space="0" w:color="auto"/>
            <w:right w:val="none" w:sz="0" w:space="0" w:color="auto"/>
          </w:divBdr>
        </w:div>
        <w:div w:id="937566044">
          <w:marLeft w:val="640"/>
          <w:marRight w:val="0"/>
          <w:marTop w:val="0"/>
          <w:marBottom w:val="0"/>
          <w:divBdr>
            <w:top w:val="none" w:sz="0" w:space="0" w:color="auto"/>
            <w:left w:val="none" w:sz="0" w:space="0" w:color="auto"/>
            <w:bottom w:val="none" w:sz="0" w:space="0" w:color="auto"/>
            <w:right w:val="none" w:sz="0" w:space="0" w:color="auto"/>
          </w:divBdr>
        </w:div>
        <w:div w:id="1206024087">
          <w:marLeft w:val="640"/>
          <w:marRight w:val="0"/>
          <w:marTop w:val="0"/>
          <w:marBottom w:val="0"/>
          <w:divBdr>
            <w:top w:val="none" w:sz="0" w:space="0" w:color="auto"/>
            <w:left w:val="none" w:sz="0" w:space="0" w:color="auto"/>
            <w:bottom w:val="none" w:sz="0" w:space="0" w:color="auto"/>
            <w:right w:val="none" w:sz="0" w:space="0" w:color="auto"/>
          </w:divBdr>
        </w:div>
        <w:div w:id="1846432451">
          <w:marLeft w:val="640"/>
          <w:marRight w:val="0"/>
          <w:marTop w:val="0"/>
          <w:marBottom w:val="0"/>
          <w:divBdr>
            <w:top w:val="none" w:sz="0" w:space="0" w:color="auto"/>
            <w:left w:val="none" w:sz="0" w:space="0" w:color="auto"/>
            <w:bottom w:val="none" w:sz="0" w:space="0" w:color="auto"/>
            <w:right w:val="none" w:sz="0" w:space="0" w:color="auto"/>
          </w:divBdr>
        </w:div>
        <w:div w:id="1156189144">
          <w:marLeft w:val="640"/>
          <w:marRight w:val="0"/>
          <w:marTop w:val="0"/>
          <w:marBottom w:val="0"/>
          <w:divBdr>
            <w:top w:val="none" w:sz="0" w:space="0" w:color="auto"/>
            <w:left w:val="none" w:sz="0" w:space="0" w:color="auto"/>
            <w:bottom w:val="none" w:sz="0" w:space="0" w:color="auto"/>
            <w:right w:val="none" w:sz="0" w:space="0" w:color="auto"/>
          </w:divBdr>
        </w:div>
        <w:div w:id="2089693766">
          <w:marLeft w:val="640"/>
          <w:marRight w:val="0"/>
          <w:marTop w:val="0"/>
          <w:marBottom w:val="0"/>
          <w:divBdr>
            <w:top w:val="none" w:sz="0" w:space="0" w:color="auto"/>
            <w:left w:val="none" w:sz="0" w:space="0" w:color="auto"/>
            <w:bottom w:val="none" w:sz="0" w:space="0" w:color="auto"/>
            <w:right w:val="none" w:sz="0" w:space="0" w:color="auto"/>
          </w:divBdr>
        </w:div>
        <w:div w:id="721633992">
          <w:marLeft w:val="640"/>
          <w:marRight w:val="0"/>
          <w:marTop w:val="0"/>
          <w:marBottom w:val="0"/>
          <w:divBdr>
            <w:top w:val="none" w:sz="0" w:space="0" w:color="auto"/>
            <w:left w:val="none" w:sz="0" w:space="0" w:color="auto"/>
            <w:bottom w:val="none" w:sz="0" w:space="0" w:color="auto"/>
            <w:right w:val="none" w:sz="0" w:space="0" w:color="auto"/>
          </w:divBdr>
        </w:div>
        <w:div w:id="1745562231">
          <w:marLeft w:val="640"/>
          <w:marRight w:val="0"/>
          <w:marTop w:val="0"/>
          <w:marBottom w:val="0"/>
          <w:divBdr>
            <w:top w:val="none" w:sz="0" w:space="0" w:color="auto"/>
            <w:left w:val="none" w:sz="0" w:space="0" w:color="auto"/>
            <w:bottom w:val="none" w:sz="0" w:space="0" w:color="auto"/>
            <w:right w:val="none" w:sz="0" w:space="0" w:color="auto"/>
          </w:divBdr>
        </w:div>
        <w:div w:id="1327049728">
          <w:marLeft w:val="640"/>
          <w:marRight w:val="0"/>
          <w:marTop w:val="0"/>
          <w:marBottom w:val="0"/>
          <w:divBdr>
            <w:top w:val="none" w:sz="0" w:space="0" w:color="auto"/>
            <w:left w:val="none" w:sz="0" w:space="0" w:color="auto"/>
            <w:bottom w:val="none" w:sz="0" w:space="0" w:color="auto"/>
            <w:right w:val="none" w:sz="0" w:space="0" w:color="auto"/>
          </w:divBdr>
        </w:div>
        <w:div w:id="576087451">
          <w:marLeft w:val="640"/>
          <w:marRight w:val="0"/>
          <w:marTop w:val="0"/>
          <w:marBottom w:val="0"/>
          <w:divBdr>
            <w:top w:val="none" w:sz="0" w:space="0" w:color="auto"/>
            <w:left w:val="none" w:sz="0" w:space="0" w:color="auto"/>
            <w:bottom w:val="none" w:sz="0" w:space="0" w:color="auto"/>
            <w:right w:val="none" w:sz="0" w:space="0" w:color="auto"/>
          </w:divBdr>
        </w:div>
        <w:div w:id="535894983">
          <w:marLeft w:val="640"/>
          <w:marRight w:val="0"/>
          <w:marTop w:val="0"/>
          <w:marBottom w:val="0"/>
          <w:divBdr>
            <w:top w:val="none" w:sz="0" w:space="0" w:color="auto"/>
            <w:left w:val="none" w:sz="0" w:space="0" w:color="auto"/>
            <w:bottom w:val="none" w:sz="0" w:space="0" w:color="auto"/>
            <w:right w:val="none" w:sz="0" w:space="0" w:color="auto"/>
          </w:divBdr>
        </w:div>
        <w:div w:id="1619218691">
          <w:marLeft w:val="640"/>
          <w:marRight w:val="0"/>
          <w:marTop w:val="0"/>
          <w:marBottom w:val="0"/>
          <w:divBdr>
            <w:top w:val="none" w:sz="0" w:space="0" w:color="auto"/>
            <w:left w:val="none" w:sz="0" w:space="0" w:color="auto"/>
            <w:bottom w:val="none" w:sz="0" w:space="0" w:color="auto"/>
            <w:right w:val="none" w:sz="0" w:space="0" w:color="auto"/>
          </w:divBdr>
        </w:div>
        <w:div w:id="466583471">
          <w:marLeft w:val="640"/>
          <w:marRight w:val="0"/>
          <w:marTop w:val="0"/>
          <w:marBottom w:val="0"/>
          <w:divBdr>
            <w:top w:val="none" w:sz="0" w:space="0" w:color="auto"/>
            <w:left w:val="none" w:sz="0" w:space="0" w:color="auto"/>
            <w:bottom w:val="none" w:sz="0" w:space="0" w:color="auto"/>
            <w:right w:val="none" w:sz="0" w:space="0" w:color="auto"/>
          </w:divBdr>
        </w:div>
        <w:div w:id="1654795617">
          <w:marLeft w:val="640"/>
          <w:marRight w:val="0"/>
          <w:marTop w:val="0"/>
          <w:marBottom w:val="0"/>
          <w:divBdr>
            <w:top w:val="none" w:sz="0" w:space="0" w:color="auto"/>
            <w:left w:val="none" w:sz="0" w:space="0" w:color="auto"/>
            <w:bottom w:val="none" w:sz="0" w:space="0" w:color="auto"/>
            <w:right w:val="none" w:sz="0" w:space="0" w:color="auto"/>
          </w:divBdr>
        </w:div>
        <w:div w:id="1550188633">
          <w:marLeft w:val="640"/>
          <w:marRight w:val="0"/>
          <w:marTop w:val="0"/>
          <w:marBottom w:val="0"/>
          <w:divBdr>
            <w:top w:val="none" w:sz="0" w:space="0" w:color="auto"/>
            <w:left w:val="none" w:sz="0" w:space="0" w:color="auto"/>
            <w:bottom w:val="none" w:sz="0" w:space="0" w:color="auto"/>
            <w:right w:val="none" w:sz="0" w:space="0" w:color="auto"/>
          </w:divBdr>
        </w:div>
        <w:div w:id="1417704629">
          <w:marLeft w:val="640"/>
          <w:marRight w:val="0"/>
          <w:marTop w:val="0"/>
          <w:marBottom w:val="0"/>
          <w:divBdr>
            <w:top w:val="none" w:sz="0" w:space="0" w:color="auto"/>
            <w:left w:val="none" w:sz="0" w:space="0" w:color="auto"/>
            <w:bottom w:val="none" w:sz="0" w:space="0" w:color="auto"/>
            <w:right w:val="none" w:sz="0" w:space="0" w:color="auto"/>
          </w:divBdr>
        </w:div>
        <w:div w:id="1168521778">
          <w:marLeft w:val="640"/>
          <w:marRight w:val="0"/>
          <w:marTop w:val="0"/>
          <w:marBottom w:val="0"/>
          <w:divBdr>
            <w:top w:val="none" w:sz="0" w:space="0" w:color="auto"/>
            <w:left w:val="none" w:sz="0" w:space="0" w:color="auto"/>
            <w:bottom w:val="none" w:sz="0" w:space="0" w:color="auto"/>
            <w:right w:val="none" w:sz="0" w:space="0" w:color="auto"/>
          </w:divBdr>
        </w:div>
        <w:div w:id="983776228">
          <w:marLeft w:val="640"/>
          <w:marRight w:val="0"/>
          <w:marTop w:val="0"/>
          <w:marBottom w:val="0"/>
          <w:divBdr>
            <w:top w:val="none" w:sz="0" w:space="0" w:color="auto"/>
            <w:left w:val="none" w:sz="0" w:space="0" w:color="auto"/>
            <w:bottom w:val="none" w:sz="0" w:space="0" w:color="auto"/>
            <w:right w:val="none" w:sz="0" w:space="0" w:color="auto"/>
          </w:divBdr>
        </w:div>
        <w:div w:id="1482574345">
          <w:marLeft w:val="640"/>
          <w:marRight w:val="0"/>
          <w:marTop w:val="0"/>
          <w:marBottom w:val="0"/>
          <w:divBdr>
            <w:top w:val="none" w:sz="0" w:space="0" w:color="auto"/>
            <w:left w:val="none" w:sz="0" w:space="0" w:color="auto"/>
            <w:bottom w:val="none" w:sz="0" w:space="0" w:color="auto"/>
            <w:right w:val="none" w:sz="0" w:space="0" w:color="auto"/>
          </w:divBdr>
        </w:div>
        <w:div w:id="1737623347">
          <w:marLeft w:val="640"/>
          <w:marRight w:val="0"/>
          <w:marTop w:val="0"/>
          <w:marBottom w:val="0"/>
          <w:divBdr>
            <w:top w:val="none" w:sz="0" w:space="0" w:color="auto"/>
            <w:left w:val="none" w:sz="0" w:space="0" w:color="auto"/>
            <w:bottom w:val="none" w:sz="0" w:space="0" w:color="auto"/>
            <w:right w:val="none" w:sz="0" w:space="0" w:color="auto"/>
          </w:divBdr>
        </w:div>
        <w:div w:id="312104228">
          <w:marLeft w:val="640"/>
          <w:marRight w:val="0"/>
          <w:marTop w:val="0"/>
          <w:marBottom w:val="0"/>
          <w:divBdr>
            <w:top w:val="none" w:sz="0" w:space="0" w:color="auto"/>
            <w:left w:val="none" w:sz="0" w:space="0" w:color="auto"/>
            <w:bottom w:val="none" w:sz="0" w:space="0" w:color="auto"/>
            <w:right w:val="none" w:sz="0" w:space="0" w:color="auto"/>
          </w:divBdr>
        </w:div>
        <w:div w:id="1881478927">
          <w:marLeft w:val="640"/>
          <w:marRight w:val="0"/>
          <w:marTop w:val="0"/>
          <w:marBottom w:val="0"/>
          <w:divBdr>
            <w:top w:val="none" w:sz="0" w:space="0" w:color="auto"/>
            <w:left w:val="none" w:sz="0" w:space="0" w:color="auto"/>
            <w:bottom w:val="none" w:sz="0" w:space="0" w:color="auto"/>
            <w:right w:val="none" w:sz="0" w:space="0" w:color="auto"/>
          </w:divBdr>
        </w:div>
        <w:div w:id="1837989311">
          <w:marLeft w:val="640"/>
          <w:marRight w:val="0"/>
          <w:marTop w:val="0"/>
          <w:marBottom w:val="0"/>
          <w:divBdr>
            <w:top w:val="none" w:sz="0" w:space="0" w:color="auto"/>
            <w:left w:val="none" w:sz="0" w:space="0" w:color="auto"/>
            <w:bottom w:val="none" w:sz="0" w:space="0" w:color="auto"/>
            <w:right w:val="none" w:sz="0" w:space="0" w:color="auto"/>
          </w:divBdr>
        </w:div>
        <w:div w:id="2027901293">
          <w:marLeft w:val="640"/>
          <w:marRight w:val="0"/>
          <w:marTop w:val="0"/>
          <w:marBottom w:val="0"/>
          <w:divBdr>
            <w:top w:val="none" w:sz="0" w:space="0" w:color="auto"/>
            <w:left w:val="none" w:sz="0" w:space="0" w:color="auto"/>
            <w:bottom w:val="none" w:sz="0" w:space="0" w:color="auto"/>
            <w:right w:val="none" w:sz="0" w:space="0" w:color="auto"/>
          </w:divBdr>
        </w:div>
        <w:div w:id="568733835">
          <w:marLeft w:val="640"/>
          <w:marRight w:val="0"/>
          <w:marTop w:val="0"/>
          <w:marBottom w:val="0"/>
          <w:divBdr>
            <w:top w:val="none" w:sz="0" w:space="0" w:color="auto"/>
            <w:left w:val="none" w:sz="0" w:space="0" w:color="auto"/>
            <w:bottom w:val="none" w:sz="0" w:space="0" w:color="auto"/>
            <w:right w:val="none" w:sz="0" w:space="0" w:color="auto"/>
          </w:divBdr>
        </w:div>
        <w:div w:id="1848323731">
          <w:marLeft w:val="640"/>
          <w:marRight w:val="0"/>
          <w:marTop w:val="0"/>
          <w:marBottom w:val="0"/>
          <w:divBdr>
            <w:top w:val="none" w:sz="0" w:space="0" w:color="auto"/>
            <w:left w:val="none" w:sz="0" w:space="0" w:color="auto"/>
            <w:bottom w:val="none" w:sz="0" w:space="0" w:color="auto"/>
            <w:right w:val="none" w:sz="0" w:space="0" w:color="auto"/>
          </w:divBdr>
        </w:div>
        <w:div w:id="2121683682">
          <w:marLeft w:val="640"/>
          <w:marRight w:val="0"/>
          <w:marTop w:val="0"/>
          <w:marBottom w:val="0"/>
          <w:divBdr>
            <w:top w:val="none" w:sz="0" w:space="0" w:color="auto"/>
            <w:left w:val="none" w:sz="0" w:space="0" w:color="auto"/>
            <w:bottom w:val="none" w:sz="0" w:space="0" w:color="auto"/>
            <w:right w:val="none" w:sz="0" w:space="0" w:color="auto"/>
          </w:divBdr>
        </w:div>
        <w:div w:id="278535782">
          <w:marLeft w:val="640"/>
          <w:marRight w:val="0"/>
          <w:marTop w:val="0"/>
          <w:marBottom w:val="0"/>
          <w:divBdr>
            <w:top w:val="none" w:sz="0" w:space="0" w:color="auto"/>
            <w:left w:val="none" w:sz="0" w:space="0" w:color="auto"/>
            <w:bottom w:val="none" w:sz="0" w:space="0" w:color="auto"/>
            <w:right w:val="none" w:sz="0" w:space="0" w:color="auto"/>
          </w:divBdr>
        </w:div>
        <w:div w:id="1494832234">
          <w:marLeft w:val="640"/>
          <w:marRight w:val="0"/>
          <w:marTop w:val="0"/>
          <w:marBottom w:val="0"/>
          <w:divBdr>
            <w:top w:val="none" w:sz="0" w:space="0" w:color="auto"/>
            <w:left w:val="none" w:sz="0" w:space="0" w:color="auto"/>
            <w:bottom w:val="none" w:sz="0" w:space="0" w:color="auto"/>
            <w:right w:val="none" w:sz="0" w:space="0" w:color="auto"/>
          </w:divBdr>
        </w:div>
        <w:div w:id="351032316">
          <w:marLeft w:val="640"/>
          <w:marRight w:val="0"/>
          <w:marTop w:val="0"/>
          <w:marBottom w:val="0"/>
          <w:divBdr>
            <w:top w:val="none" w:sz="0" w:space="0" w:color="auto"/>
            <w:left w:val="none" w:sz="0" w:space="0" w:color="auto"/>
            <w:bottom w:val="none" w:sz="0" w:space="0" w:color="auto"/>
            <w:right w:val="none" w:sz="0" w:space="0" w:color="auto"/>
          </w:divBdr>
        </w:div>
        <w:div w:id="271977902">
          <w:marLeft w:val="640"/>
          <w:marRight w:val="0"/>
          <w:marTop w:val="0"/>
          <w:marBottom w:val="0"/>
          <w:divBdr>
            <w:top w:val="none" w:sz="0" w:space="0" w:color="auto"/>
            <w:left w:val="none" w:sz="0" w:space="0" w:color="auto"/>
            <w:bottom w:val="none" w:sz="0" w:space="0" w:color="auto"/>
            <w:right w:val="none" w:sz="0" w:space="0" w:color="auto"/>
          </w:divBdr>
        </w:div>
        <w:div w:id="849098642">
          <w:marLeft w:val="640"/>
          <w:marRight w:val="0"/>
          <w:marTop w:val="0"/>
          <w:marBottom w:val="0"/>
          <w:divBdr>
            <w:top w:val="none" w:sz="0" w:space="0" w:color="auto"/>
            <w:left w:val="none" w:sz="0" w:space="0" w:color="auto"/>
            <w:bottom w:val="none" w:sz="0" w:space="0" w:color="auto"/>
            <w:right w:val="none" w:sz="0" w:space="0" w:color="auto"/>
          </w:divBdr>
        </w:div>
        <w:div w:id="1883975757">
          <w:marLeft w:val="640"/>
          <w:marRight w:val="0"/>
          <w:marTop w:val="0"/>
          <w:marBottom w:val="0"/>
          <w:divBdr>
            <w:top w:val="none" w:sz="0" w:space="0" w:color="auto"/>
            <w:left w:val="none" w:sz="0" w:space="0" w:color="auto"/>
            <w:bottom w:val="none" w:sz="0" w:space="0" w:color="auto"/>
            <w:right w:val="none" w:sz="0" w:space="0" w:color="auto"/>
          </w:divBdr>
        </w:div>
        <w:div w:id="1883708005">
          <w:marLeft w:val="640"/>
          <w:marRight w:val="0"/>
          <w:marTop w:val="0"/>
          <w:marBottom w:val="0"/>
          <w:divBdr>
            <w:top w:val="none" w:sz="0" w:space="0" w:color="auto"/>
            <w:left w:val="none" w:sz="0" w:space="0" w:color="auto"/>
            <w:bottom w:val="none" w:sz="0" w:space="0" w:color="auto"/>
            <w:right w:val="none" w:sz="0" w:space="0" w:color="auto"/>
          </w:divBdr>
        </w:div>
        <w:div w:id="14036420">
          <w:marLeft w:val="640"/>
          <w:marRight w:val="0"/>
          <w:marTop w:val="0"/>
          <w:marBottom w:val="0"/>
          <w:divBdr>
            <w:top w:val="none" w:sz="0" w:space="0" w:color="auto"/>
            <w:left w:val="none" w:sz="0" w:space="0" w:color="auto"/>
            <w:bottom w:val="none" w:sz="0" w:space="0" w:color="auto"/>
            <w:right w:val="none" w:sz="0" w:space="0" w:color="auto"/>
          </w:divBdr>
        </w:div>
        <w:div w:id="1947077270">
          <w:marLeft w:val="640"/>
          <w:marRight w:val="0"/>
          <w:marTop w:val="0"/>
          <w:marBottom w:val="0"/>
          <w:divBdr>
            <w:top w:val="none" w:sz="0" w:space="0" w:color="auto"/>
            <w:left w:val="none" w:sz="0" w:space="0" w:color="auto"/>
            <w:bottom w:val="none" w:sz="0" w:space="0" w:color="auto"/>
            <w:right w:val="none" w:sz="0" w:space="0" w:color="auto"/>
          </w:divBdr>
        </w:div>
        <w:div w:id="1941138873">
          <w:marLeft w:val="640"/>
          <w:marRight w:val="0"/>
          <w:marTop w:val="0"/>
          <w:marBottom w:val="0"/>
          <w:divBdr>
            <w:top w:val="none" w:sz="0" w:space="0" w:color="auto"/>
            <w:left w:val="none" w:sz="0" w:space="0" w:color="auto"/>
            <w:bottom w:val="none" w:sz="0" w:space="0" w:color="auto"/>
            <w:right w:val="none" w:sz="0" w:space="0" w:color="auto"/>
          </w:divBdr>
        </w:div>
        <w:div w:id="480314003">
          <w:marLeft w:val="640"/>
          <w:marRight w:val="0"/>
          <w:marTop w:val="0"/>
          <w:marBottom w:val="0"/>
          <w:divBdr>
            <w:top w:val="none" w:sz="0" w:space="0" w:color="auto"/>
            <w:left w:val="none" w:sz="0" w:space="0" w:color="auto"/>
            <w:bottom w:val="none" w:sz="0" w:space="0" w:color="auto"/>
            <w:right w:val="none" w:sz="0" w:space="0" w:color="auto"/>
          </w:divBdr>
        </w:div>
        <w:div w:id="228812778">
          <w:marLeft w:val="640"/>
          <w:marRight w:val="0"/>
          <w:marTop w:val="0"/>
          <w:marBottom w:val="0"/>
          <w:divBdr>
            <w:top w:val="none" w:sz="0" w:space="0" w:color="auto"/>
            <w:left w:val="none" w:sz="0" w:space="0" w:color="auto"/>
            <w:bottom w:val="none" w:sz="0" w:space="0" w:color="auto"/>
            <w:right w:val="none" w:sz="0" w:space="0" w:color="auto"/>
          </w:divBdr>
        </w:div>
        <w:div w:id="325325756">
          <w:marLeft w:val="640"/>
          <w:marRight w:val="0"/>
          <w:marTop w:val="0"/>
          <w:marBottom w:val="0"/>
          <w:divBdr>
            <w:top w:val="none" w:sz="0" w:space="0" w:color="auto"/>
            <w:left w:val="none" w:sz="0" w:space="0" w:color="auto"/>
            <w:bottom w:val="none" w:sz="0" w:space="0" w:color="auto"/>
            <w:right w:val="none" w:sz="0" w:space="0" w:color="auto"/>
          </w:divBdr>
        </w:div>
        <w:div w:id="665322853">
          <w:marLeft w:val="640"/>
          <w:marRight w:val="0"/>
          <w:marTop w:val="0"/>
          <w:marBottom w:val="0"/>
          <w:divBdr>
            <w:top w:val="none" w:sz="0" w:space="0" w:color="auto"/>
            <w:left w:val="none" w:sz="0" w:space="0" w:color="auto"/>
            <w:bottom w:val="none" w:sz="0" w:space="0" w:color="auto"/>
            <w:right w:val="none" w:sz="0" w:space="0" w:color="auto"/>
          </w:divBdr>
        </w:div>
        <w:div w:id="154340386">
          <w:marLeft w:val="640"/>
          <w:marRight w:val="0"/>
          <w:marTop w:val="0"/>
          <w:marBottom w:val="0"/>
          <w:divBdr>
            <w:top w:val="none" w:sz="0" w:space="0" w:color="auto"/>
            <w:left w:val="none" w:sz="0" w:space="0" w:color="auto"/>
            <w:bottom w:val="none" w:sz="0" w:space="0" w:color="auto"/>
            <w:right w:val="none" w:sz="0" w:space="0" w:color="auto"/>
          </w:divBdr>
        </w:div>
        <w:div w:id="2128427938">
          <w:marLeft w:val="640"/>
          <w:marRight w:val="0"/>
          <w:marTop w:val="0"/>
          <w:marBottom w:val="0"/>
          <w:divBdr>
            <w:top w:val="none" w:sz="0" w:space="0" w:color="auto"/>
            <w:left w:val="none" w:sz="0" w:space="0" w:color="auto"/>
            <w:bottom w:val="none" w:sz="0" w:space="0" w:color="auto"/>
            <w:right w:val="none" w:sz="0" w:space="0" w:color="auto"/>
          </w:divBdr>
        </w:div>
        <w:div w:id="1255746596">
          <w:marLeft w:val="640"/>
          <w:marRight w:val="0"/>
          <w:marTop w:val="0"/>
          <w:marBottom w:val="0"/>
          <w:divBdr>
            <w:top w:val="none" w:sz="0" w:space="0" w:color="auto"/>
            <w:left w:val="none" w:sz="0" w:space="0" w:color="auto"/>
            <w:bottom w:val="none" w:sz="0" w:space="0" w:color="auto"/>
            <w:right w:val="none" w:sz="0" w:space="0" w:color="auto"/>
          </w:divBdr>
        </w:div>
        <w:div w:id="463543318">
          <w:marLeft w:val="640"/>
          <w:marRight w:val="0"/>
          <w:marTop w:val="0"/>
          <w:marBottom w:val="0"/>
          <w:divBdr>
            <w:top w:val="none" w:sz="0" w:space="0" w:color="auto"/>
            <w:left w:val="none" w:sz="0" w:space="0" w:color="auto"/>
            <w:bottom w:val="none" w:sz="0" w:space="0" w:color="auto"/>
            <w:right w:val="none" w:sz="0" w:space="0" w:color="auto"/>
          </w:divBdr>
        </w:div>
        <w:div w:id="569851120">
          <w:marLeft w:val="640"/>
          <w:marRight w:val="0"/>
          <w:marTop w:val="0"/>
          <w:marBottom w:val="0"/>
          <w:divBdr>
            <w:top w:val="none" w:sz="0" w:space="0" w:color="auto"/>
            <w:left w:val="none" w:sz="0" w:space="0" w:color="auto"/>
            <w:bottom w:val="none" w:sz="0" w:space="0" w:color="auto"/>
            <w:right w:val="none" w:sz="0" w:space="0" w:color="auto"/>
          </w:divBdr>
        </w:div>
        <w:div w:id="1189952162">
          <w:marLeft w:val="640"/>
          <w:marRight w:val="0"/>
          <w:marTop w:val="0"/>
          <w:marBottom w:val="0"/>
          <w:divBdr>
            <w:top w:val="none" w:sz="0" w:space="0" w:color="auto"/>
            <w:left w:val="none" w:sz="0" w:space="0" w:color="auto"/>
            <w:bottom w:val="none" w:sz="0" w:space="0" w:color="auto"/>
            <w:right w:val="none" w:sz="0" w:space="0" w:color="auto"/>
          </w:divBdr>
        </w:div>
        <w:div w:id="173226776">
          <w:marLeft w:val="640"/>
          <w:marRight w:val="0"/>
          <w:marTop w:val="0"/>
          <w:marBottom w:val="0"/>
          <w:divBdr>
            <w:top w:val="none" w:sz="0" w:space="0" w:color="auto"/>
            <w:left w:val="none" w:sz="0" w:space="0" w:color="auto"/>
            <w:bottom w:val="none" w:sz="0" w:space="0" w:color="auto"/>
            <w:right w:val="none" w:sz="0" w:space="0" w:color="auto"/>
          </w:divBdr>
        </w:div>
        <w:div w:id="1814787264">
          <w:marLeft w:val="640"/>
          <w:marRight w:val="0"/>
          <w:marTop w:val="0"/>
          <w:marBottom w:val="0"/>
          <w:divBdr>
            <w:top w:val="none" w:sz="0" w:space="0" w:color="auto"/>
            <w:left w:val="none" w:sz="0" w:space="0" w:color="auto"/>
            <w:bottom w:val="none" w:sz="0" w:space="0" w:color="auto"/>
            <w:right w:val="none" w:sz="0" w:space="0" w:color="auto"/>
          </w:divBdr>
        </w:div>
        <w:div w:id="330108089">
          <w:marLeft w:val="640"/>
          <w:marRight w:val="0"/>
          <w:marTop w:val="0"/>
          <w:marBottom w:val="0"/>
          <w:divBdr>
            <w:top w:val="none" w:sz="0" w:space="0" w:color="auto"/>
            <w:left w:val="none" w:sz="0" w:space="0" w:color="auto"/>
            <w:bottom w:val="none" w:sz="0" w:space="0" w:color="auto"/>
            <w:right w:val="none" w:sz="0" w:space="0" w:color="auto"/>
          </w:divBdr>
        </w:div>
        <w:div w:id="1151170906">
          <w:marLeft w:val="640"/>
          <w:marRight w:val="0"/>
          <w:marTop w:val="0"/>
          <w:marBottom w:val="0"/>
          <w:divBdr>
            <w:top w:val="none" w:sz="0" w:space="0" w:color="auto"/>
            <w:left w:val="none" w:sz="0" w:space="0" w:color="auto"/>
            <w:bottom w:val="none" w:sz="0" w:space="0" w:color="auto"/>
            <w:right w:val="none" w:sz="0" w:space="0" w:color="auto"/>
          </w:divBdr>
        </w:div>
        <w:div w:id="166409443">
          <w:marLeft w:val="640"/>
          <w:marRight w:val="0"/>
          <w:marTop w:val="0"/>
          <w:marBottom w:val="0"/>
          <w:divBdr>
            <w:top w:val="none" w:sz="0" w:space="0" w:color="auto"/>
            <w:left w:val="none" w:sz="0" w:space="0" w:color="auto"/>
            <w:bottom w:val="none" w:sz="0" w:space="0" w:color="auto"/>
            <w:right w:val="none" w:sz="0" w:space="0" w:color="auto"/>
          </w:divBdr>
        </w:div>
        <w:div w:id="1002513835">
          <w:marLeft w:val="640"/>
          <w:marRight w:val="0"/>
          <w:marTop w:val="0"/>
          <w:marBottom w:val="0"/>
          <w:divBdr>
            <w:top w:val="none" w:sz="0" w:space="0" w:color="auto"/>
            <w:left w:val="none" w:sz="0" w:space="0" w:color="auto"/>
            <w:bottom w:val="none" w:sz="0" w:space="0" w:color="auto"/>
            <w:right w:val="none" w:sz="0" w:space="0" w:color="auto"/>
          </w:divBdr>
        </w:div>
        <w:div w:id="1280524639">
          <w:marLeft w:val="640"/>
          <w:marRight w:val="0"/>
          <w:marTop w:val="0"/>
          <w:marBottom w:val="0"/>
          <w:divBdr>
            <w:top w:val="none" w:sz="0" w:space="0" w:color="auto"/>
            <w:left w:val="none" w:sz="0" w:space="0" w:color="auto"/>
            <w:bottom w:val="none" w:sz="0" w:space="0" w:color="auto"/>
            <w:right w:val="none" w:sz="0" w:space="0" w:color="auto"/>
          </w:divBdr>
        </w:div>
        <w:div w:id="1733189439">
          <w:marLeft w:val="640"/>
          <w:marRight w:val="0"/>
          <w:marTop w:val="0"/>
          <w:marBottom w:val="0"/>
          <w:divBdr>
            <w:top w:val="none" w:sz="0" w:space="0" w:color="auto"/>
            <w:left w:val="none" w:sz="0" w:space="0" w:color="auto"/>
            <w:bottom w:val="none" w:sz="0" w:space="0" w:color="auto"/>
            <w:right w:val="none" w:sz="0" w:space="0" w:color="auto"/>
          </w:divBdr>
        </w:div>
        <w:div w:id="1708066603">
          <w:marLeft w:val="640"/>
          <w:marRight w:val="0"/>
          <w:marTop w:val="0"/>
          <w:marBottom w:val="0"/>
          <w:divBdr>
            <w:top w:val="none" w:sz="0" w:space="0" w:color="auto"/>
            <w:left w:val="none" w:sz="0" w:space="0" w:color="auto"/>
            <w:bottom w:val="none" w:sz="0" w:space="0" w:color="auto"/>
            <w:right w:val="none" w:sz="0" w:space="0" w:color="auto"/>
          </w:divBdr>
        </w:div>
        <w:div w:id="518469271">
          <w:marLeft w:val="640"/>
          <w:marRight w:val="0"/>
          <w:marTop w:val="0"/>
          <w:marBottom w:val="0"/>
          <w:divBdr>
            <w:top w:val="none" w:sz="0" w:space="0" w:color="auto"/>
            <w:left w:val="none" w:sz="0" w:space="0" w:color="auto"/>
            <w:bottom w:val="none" w:sz="0" w:space="0" w:color="auto"/>
            <w:right w:val="none" w:sz="0" w:space="0" w:color="auto"/>
          </w:divBdr>
        </w:div>
        <w:div w:id="783499058">
          <w:marLeft w:val="640"/>
          <w:marRight w:val="0"/>
          <w:marTop w:val="0"/>
          <w:marBottom w:val="0"/>
          <w:divBdr>
            <w:top w:val="none" w:sz="0" w:space="0" w:color="auto"/>
            <w:left w:val="none" w:sz="0" w:space="0" w:color="auto"/>
            <w:bottom w:val="none" w:sz="0" w:space="0" w:color="auto"/>
            <w:right w:val="none" w:sz="0" w:space="0" w:color="auto"/>
          </w:divBdr>
        </w:div>
        <w:div w:id="49812842">
          <w:marLeft w:val="640"/>
          <w:marRight w:val="0"/>
          <w:marTop w:val="0"/>
          <w:marBottom w:val="0"/>
          <w:divBdr>
            <w:top w:val="none" w:sz="0" w:space="0" w:color="auto"/>
            <w:left w:val="none" w:sz="0" w:space="0" w:color="auto"/>
            <w:bottom w:val="none" w:sz="0" w:space="0" w:color="auto"/>
            <w:right w:val="none" w:sz="0" w:space="0" w:color="auto"/>
          </w:divBdr>
        </w:div>
        <w:div w:id="840511455">
          <w:marLeft w:val="640"/>
          <w:marRight w:val="0"/>
          <w:marTop w:val="0"/>
          <w:marBottom w:val="0"/>
          <w:divBdr>
            <w:top w:val="none" w:sz="0" w:space="0" w:color="auto"/>
            <w:left w:val="none" w:sz="0" w:space="0" w:color="auto"/>
            <w:bottom w:val="none" w:sz="0" w:space="0" w:color="auto"/>
            <w:right w:val="none" w:sz="0" w:space="0" w:color="auto"/>
          </w:divBdr>
        </w:div>
        <w:div w:id="1780369943">
          <w:marLeft w:val="640"/>
          <w:marRight w:val="0"/>
          <w:marTop w:val="0"/>
          <w:marBottom w:val="0"/>
          <w:divBdr>
            <w:top w:val="none" w:sz="0" w:space="0" w:color="auto"/>
            <w:left w:val="none" w:sz="0" w:space="0" w:color="auto"/>
            <w:bottom w:val="none" w:sz="0" w:space="0" w:color="auto"/>
            <w:right w:val="none" w:sz="0" w:space="0" w:color="auto"/>
          </w:divBdr>
        </w:div>
        <w:div w:id="2024671964">
          <w:marLeft w:val="640"/>
          <w:marRight w:val="0"/>
          <w:marTop w:val="0"/>
          <w:marBottom w:val="0"/>
          <w:divBdr>
            <w:top w:val="none" w:sz="0" w:space="0" w:color="auto"/>
            <w:left w:val="none" w:sz="0" w:space="0" w:color="auto"/>
            <w:bottom w:val="none" w:sz="0" w:space="0" w:color="auto"/>
            <w:right w:val="none" w:sz="0" w:space="0" w:color="auto"/>
          </w:divBdr>
        </w:div>
        <w:div w:id="476147532">
          <w:marLeft w:val="640"/>
          <w:marRight w:val="0"/>
          <w:marTop w:val="0"/>
          <w:marBottom w:val="0"/>
          <w:divBdr>
            <w:top w:val="none" w:sz="0" w:space="0" w:color="auto"/>
            <w:left w:val="none" w:sz="0" w:space="0" w:color="auto"/>
            <w:bottom w:val="none" w:sz="0" w:space="0" w:color="auto"/>
            <w:right w:val="none" w:sz="0" w:space="0" w:color="auto"/>
          </w:divBdr>
        </w:div>
        <w:div w:id="1875270552">
          <w:marLeft w:val="640"/>
          <w:marRight w:val="0"/>
          <w:marTop w:val="0"/>
          <w:marBottom w:val="0"/>
          <w:divBdr>
            <w:top w:val="none" w:sz="0" w:space="0" w:color="auto"/>
            <w:left w:val="none" w:sz="0" w:space="0" w:color="auto"/>
            <w:bottom w:val="none" w:sz="0" w:space="0" w:color="auto"/>
            <w:right w:val="none" w:sz="0" w:space="0" w:color="auto"/>
          </w:divBdr>
        </w:div>
        <w:div w:id="1395464865">
          <w:marLeft w:val="640"/>
          <w:marRight w:val="0"/>
          <w:marTop w:val="0"/>
          <w:marBottom w:val="0"/>
          <w:divBdr>
            <w:top w:val="none" w:sz="0" w:space="0" w:color="auto"/>
            <w:left w:val="none" w:sz="0" w:space="0" w:color="auto"/>
            <w:bottom w:val="none" w:sz="0" w:space="0" w:color="auto"/>
            <w:right w:val="none" w:sz="0" w:space="0" w:color="auto"/>
          </w:divBdr>
        </w:div>
        <w:div w:id="983390235">
          <w:marLeft w:val="640"/>
          <w:marRight w:val="0"/>
          <w:marTop w:val="0"/>
          <w:marBottom w:val="0"/>
          <w:divBdr>
            <w:top w:val="none" w:sz="0" w:space="0" w:color="auto"/>
            <w:left w:val="none" w:sz="0" w:space="0" w:color="auto"/>
            <w:bottom w:val="none" w:sz="0" w:space="0" w:color="auto"/>
            <w:right w:val="none" w:sz="0" w:space="0" w:color="auto"/>
          </w:divBdr>
        </w:div>
        <w:div w:id="1332684687">
          <w:marLeft w:val="640"/>
          <w:marRight w:val="0"/>
          <w:marTop w:val="0"/>
          <w:marBottom w:val="0"/>
          <w:divBdr>
            <w:top w:val="none" w:sz="0" w:space="0" w:color="auto"/>
            <w:left w:val="none" w:sz="0" w:space="0" w:color="auto"/>
            <w:bottom w:val="none" w:sz="0" w:space="0" w:color="auto"/>
            <w:right w:val="none" w:sz="0" w:space="0" w:color="auto"/>
          </w:divBdr>
        </w:div>
        <w:div w:id="2004383132">
          <w:marLeft w:val="640"/>
          <w:marRight w:val="0"/>
          <w:marTop w:val="0"/>
          <w:marBottom w:val="0"/>
          <w:divBdr>
            <w:top w:val="none" w:sz="0" w:space="0" w:color="auto"/>
            <w:left w:val="none" w:sz="0" w:space="0" w:color="auto"/>
            <w:bottom w:val="none" w:sz="0" w:space="0" w:color="auto"/>
            <w:right w:val="none" w:sz="0" w:space="0" w:color="auto"/>
          </w:divBdr>
        </w:div>
        <w:div w:id="1153640403">
          <w:marLeft w:val="640"/>
          <w:marRight w:val="0"/>
          <w:marTop w:val="0"/>
          <w:marBottom w:val="0"/>
          <w:divBdr>
            <w:top w:val="none" w:sz="0" w:space="0" w:color="auto"/>
            <w:left w:val="none" w:sz="0" w:space="0" w:color="auto"/>
            <w:bottom w:val="none" w:sz="0" w:space="0" w:color="auto"/>
            <w:right w:val="none" w:sz="0" w:space="0" w:color="auto"/>
          </w:divBdr>
        </w:div>
        <w:div w:id="494032233">
          <w:marLeft w:val="640"/>
          <w:marRight w:val="0"/>
          <w:marTop w:val="0"/>
          <w:marBottom w:val="0"/>
          <w:divBdr>
            <w:top w:val="none" w:sz="0" w:space="0" w:color="auto"/>
            <w:left w:val="none" w:sz="0" w:space="0" w:color="auto"/>
            <w:bottom w:val="none" w:sz="0" w:space="0" w:color="auto"/>
            <w:right w:val="none" w:sz="0" w:space="0" w:color="auto"/>
          </w:divBdr>
        </w:div>
        <w:div w:id="364910162">
          <w:marLeft w:val="640"/>
          <w:marRight w:val="0"/>
          <w:marTop w:val="0"/>
          <w:marBottom w:val="0"/>
          <w:divBdr>
            <w:top w:val="none" w:sz="0" w:space="0" w:color="auto"/>
            <w:left w:val="none" w:sz="0" w:space="0" w:color="auto"/>
            <w:bottom w:val="none" w:sz="0" w:space="0" w:color="auto"/>
            <w:right w:val="none" w:sz="0" w:space="0" w:color="auto"/>
          </w:divBdr>
        </w:div>
        <w:div w:id="2059544626">
          <w:marLeft w:val="640"/>
          <w:marRight w:val="0"/>
          <w:marTop w:val="0"/>
          <w:marBottom w:val="0"/>
          <w:divBdr>
            <w:top w:val="none" w:sz="0" w:space="0" w:color="auto"/>
            <w:left w:val="none" w:sz="0" w:space="0" w:color="auto"/>
            <w:bottom w:val="none" w:sz="0" w:space="0" w:color="auto"/>
            <w:right w:val="none" w:sz="0" w:space="0" w:color="auto"/>
          </w:divBdr>
        </w:div>
        <w:div w:id="2014645727">
          <w:marLeft w:val="640"/>
          <w:marRight w:val="0"/>
          <w:marTop w:val="0"/>
          <w:marBottom w:val="0"/>
          <w:divBdr>
            <w:top w:val="none" w:sz="0" w:space="0" w:color="auto"/>
            <w:left w:val="none" w:sz="0" w:space="0" w:color="auto"/>
            <w:bottom w:val="none" w:sz="0" w:space="0" w:color="auto"/>
            <w:right w:val="none" w:sz="0" w:space="0" w:color="auto"/>
          </w:divBdr>
        </w:div>
        <w:div w:id="1354384999">
          <w:marLeft w:val="640"/>
          <w:marRight w:val="0"/>
          <w:marTop w:val="0"/>
          <w:marBottom w:val="0"/>
          <w:divBdr>
            <w:top w:val="none" w:sz="0" w:space="0" w:color="auto"/>
            <w:left w:val="none" w:sz="0" w:space="0" w:color="auto"/>
            <w:bottom w:val="none" w:sz="0" w:space="0" w:color="auto"/>
            <w:right w:val="none" w:sz="0" w:space="0" w:color="auto"/>
          </w:divBdr>
        </w:div>
        <w:div w:id="1655139546">
          <w:marLeft w:val="640"/>
          <w:marRight w:val="0"/>
          <w:marTop w:val="0"/>
          <w:marBottom w:val="0"/>
          <w:divBdr>
            <w:top w:val="none" w:sz="0" w:space="0" w:color="auto"/>
            <w:left w:val="none" w:sz="0" w:space="0" w:color="auto"/>
            <w:bottom w:val="none" w:sz="0" w:space="0" w:color="auto"/>
            <w:right w:val="none" w:sz="0" w:space="0" w:color="auto"/>
          </w:divBdr>
        </w:div>
        <w:div w:id="2010404546">
          <w:marLeft w:val="640"/>
          <w:marRight w:val="0"/>
          <w:marTop w:val="0"/>
          <w:marBottom w:val="0"/>
          <w:divBdr>
            <w:top w:val="none" w:sz="0" w:space="0" w:color="auto"/>
            <w:left w:val="none" w:sz="0" w:space="0" w:color="auto"/>
            <w:bottom w:val="none" w:sz="0" w:space="0" w:color="auto"/>
            <w:right w:val="none" w:sz="0" w:space="0" w:color="auto"/>
          </w:divBdr>
        </w:div>
        <w:div w:id="685248571">
          <w:marLeft w:val="640"/>
          <w:marRight w:val="0"/>
          <w:marTop w:val="0"/>
          <w:marBottom w:val="0"/>
          <w:divBdr>
            <w:top w:val="none" w:sz="0" w:space="0" w:color="auto"/>
            <w:left w:val="none" w:sz="0" w:space="0" w:color="auto"/>
            <w:bottom w:val="none" w:sz="0" w:space="0" w:color="auto"/>
            <w:right w:val="none" w:sz="0" w:space="0" w:color="auto"/>
          </w:divBdr>
        </w:div>
        <w:div w:id="1674212871">
          <w:marLeft w:val="640"/>
          <w:marRight w:val="0"/>
          <w:marTop w:val="0"/>
          <w:marBottom w:val="0"/>
          <w:divBdr>
            <w:top w:val="none" w:sz="0" w:space="0" w:color="auto"/>
            <w:left w:val="none" w:sz="0" w:space="0" w:color="auto"/>
            <w:bottom w:val="none" w:sz="0" w:space="0" w:color="auto"/>
            <w:right w:val="none" w:sz="0" w:space="0" w:color="auto"/>
          </w:divBdr>
        </w:div>
        <w:div w:id="469440415">
          <w:marLeft w:val="640"/>
          <w:marRight w:val="0"/>
          <w:marTop w:val="0"/>
          <w:marBottom w:val="0"/>
          <w:divBdr>
            <w:top w:val="none" w:sz="0" w:space="0" w:color="auto"/>
            <w:left w:val="none" w:sz="0" w:space="0" w:color="auto"/>
            <w:bottom w:val="none" w:sz="0" w:space="0" w:color="auto"/>
            <w:right w:val="none" w:sz="0" w:space="0" w:color="auto"/>
          </w:divBdr>
        </w:div>
        <w:div w:id="542524643">
          <w:marLeft w:val="640"/>
          <w:marRight w:val="0"/>
          <w:marTop w:val="0"/>
          <w:marBottom w:val="0"/>
          <w:divBdr>
            <w:top w:val="none" w:sz="0" w:space="0" w:color="auto"/>
            <w:left w:val="none" w:sz="0" w:space="0" w:color="auto"/>
            <w:bottom w:val="none" w:sz="0" w:space="0" w:color="auto"/>
            <w:right w:val="none" w:sz="0" w:space="0" w:color="auto"/>
          </w:divBdr>
        </w:div>
        <w:div w:id="1012683597">
          <w:marLeft w:val="640"/>
          <w:marRight w:val="0"/>
          <w:marTop w:val="0"/>
          <w:marBottom w:val="0"/>
          <w:divBdr>
            <w:top w:val="none" w:sz="0" w:space="0" w:color="auto"/>
            <w:left w:val="none" w:sz="0" w:space="0" w:color="auto"/>
            <w:bottom w:val="none" w:sz="0" w:space="0" w:color="auto"/>
            <w:right w:val="none" w:sz="0" w:space="0" w:color="auto"/>
          </w:divBdr>
        </w:div>
        <w:div w:id="888344503">
          <w:marLeft w:val="640"/>
          <w:marRight w:val="0"/>
          <w:marTop w:val="0"/>
          <w:marBottom w:val="0"/>
          <w:divBdr>
            <w:top w:val="none" w:sz="0" w:space="0" w:color="auto"/>
            <w:left w:val="none" w:sz="0" w:space="0" w:color="auto"/>
            <w:bottom w:val="none" w:sz="0" w:space="0" w:color="auto"/>
            <w:right w:val="none" w:sz="0" w:space="0" w:color="auto"/>
          </w:divBdr>
        </w:div>
        <w:div w:id="854465885">
          <w:marLeft w:val="640"/>
          <w:marRight w:val="0"/>
          <w:marTop w:val="0"/>
          <w:marBottom w:val="0"/>
          <w:divBdr>
            <w:top w:val="none" w:sz="0" w:space="0" w:color="auto"/>
            <w:left w:val="none" w:sz="0" w:space="0" w:color="auto"/>
            <w:bottom w:val="none" w:sz="0" w:space="0" w:color="auto"/>
            <w:right w:val="none" w:sz="0" w:space="0" w:color="auto"/>
          </w:divBdr>
        </w:div>
        <w:div w:id="246622838">
          <w:marLeft w:val="640"/>
          <w:marRight w:val="0"/>
          <w:marTop w:val="0"/>
          <w:marBottom w:val="0"/>
          <w:divBdr>
            <w:top w:val="none" w:sz="0" w:space="0" w:color="auto"/>
            <w:left w:val="none" w:sz="0" w:space="0" w:color="auto"/>
            <w:bottom w:val="none" w:sz="0" w:space="0" w:color="auto"/>
            <w:right w:val="none" w:sz="0" w:space="0" w:color="auto"/>
          </w:divBdr>
        </w:div>
        <w:div w:id="1919248123">
          <w:marLeft w:val="640"/>
          <w:marRight w:val="0"/>
          <w:marTop w:val="0"/>
          <w:marBottom w:val="0"/>
          <w:divBdr>
            <w:top w:val="none" w:sz="0" w:space="0" w:color="auto"/>
            <w:left w:val="none" w:sz="0" w:space="0" w:color="auto"/>
            <w:bottom w:val="none" w:sz="0" w:space="0" w:color="auto"/>
            <w:right w:val="none" w:sz="0" w:space="0" w:color="auto"/>
          </w:divBdr>
        </w:div>
        <w:div w:id="1690326594">
          <w:marLeft w:val="640"/>
          <w:marRight w:val="0"/>
          <w:marTop w:val="0"/>
          <w:marBottom w:val="0"/>
          <w:divBdr>
            <w:top w:val="none" w:sz="0" w:space="0" w:color="auto"/>
            <w:left w:val="none" w:sz="0" w:space="0" w:color="auto"/>
            <w:bottom w:val="none" w:sz="0" w:space="0" w:color="auto"/>
            <w:right w:val="none" w:sz="0" w:space="0" w:color="auto"/>
          </w:divBdr>
        </w:div>
        <w:div w:id="1322198383">
          <w:marLeft w:val="640"/>
          <w:marRight w:val="0"/>
          <w:marTop w:val="0"/>
          <w:marBottom w:val="0"/>
          <w:divBdr>
            <w:top w:val="none" w:sz="0" w:space="0" w:color="auto"/>
            <w:left w:val="none" w:sz="0" w:space="0" w:color="auto"/>
            <w:bottom w:val="none" w:sz="0" w:space="0" w:color="auto"/>
            <w:right w:val="none" w:sz="0" w:space="0" w:color="auto"/>
          </w:divBdr>
        </w:div>
        <w:div w:id="208077875">
          <w:marLeft w:val="640"/>
          <w:marRight w:val="0"/>
          <w:marTop w:val="0"/>
          <w:marBottom w:val="0"/>
          <w:divBdr>
            <w:top w:val="none" w:sz="0" w:space="0" w:color="auto"/>
            <w:left w:val="none" w:sz="0" w:space="0" w:color="auto"/>
            <w:bottom w:val="none" w:sz="0" w:space="0" w:color="auto"/>
            <w:right w:val="none" w:sz="0" w:space="0" w:color="auto"/>
          </w:divBdr>
        </w:div>
        <w:div w:id="1214005662">
          <w:marLeft w:val="640"/>
          <w:marRight w:val="0"/>
          <w:marTop w:val="0"/>
          <w:marBottom w:val="0"/>
          <w:divBdr>
            <w:top w:val="none" w:sz="0" w:space="0" w:color="auto"/>
            <w:left w:val="none" w:sz="0" w:space="0" w:color="auto"/>
            <w:bottom w:val="none" w:sz="0" w:space="0" w:color="auto"/>
            <w:right w:val="none" w:sz="0" w:space="0" w:color="auto"/>
          </w:divBdr>
        </w:div>
        <w:div w:id="98992061">
          <w:marLeft w:val="640"/>
          <w:marRight w:val="0"/>
          <w:marTop w:val="0"/>
          <w:marBottom w:val="0"/>
          <w:divBdr>
            <w:top w:val="none" w:sz="0" w:space="0" w:color="auto"/>
            <w:left w:val="none" w:sz="0" w:space="0" w:color="auto"/>
            <w:bottom w:val="none" w:sz="0" w:space="0" w:color="auto"/>
            <w:right w:val="none" w:sz="0" w:space="0" w:color="auto"/>
          </w:divBdr>
        </w:div>
        <w:div w:id="1256792472">
          <w:marLeft w:val="640"/>
          <w:marRight w:val="0"/>
          <w:marTop w:val="0"/>
          <w:marBottom w:val="0"/>
          <w:divBdr>
            <w:top w:val="none" w:sz="0" w:space="0" w:color="auto"/>
            <w:left w:val="none" w:sz="0" w:space="0" w:color="auto"/>
            <w:bottom w:val="none" w:sz="0" w:space="0" w:color="auto"/>
            <w:right w:val="none" w:sz="0" w:space="0" w:color="auto"/>
          </w:divBdr>
        </w:div>
        <w:div w:id="1998996257">
          <w:marLeft w:val="640"/>
          <w:marRight w:val="0"/>
          <w:marTop w:val="0"/>
          <w:marBottom w:val="0"/>
          <w:divBdr>
            <w:top w:val="none" w:sz="0" w:space="0" w:color="auto"/>
            <w:left w:val="none" w:sz="0" w:space="0" w:color="auto"/>
            <w:bottom w:val="none" w:sz="0" w:space="0" w:color="auto"/>
            <w:right w:val="none" w:sz="0" w:space="0" w:color="auto"/>
          </w:divBdr>
        </w:div>
        <w:div w:id="764619143">
          <w:marLeft w:val="640"/>
          <w:marRight w:val="0"/>
          <w:marTop w:val="0"/>
          <w:marBottom w:val="0"/>
          <w:divBdr>
            <w:top w:val="none" w:sz="0" w:space="0" w:color="auto"/>
            <w:left w:val="none" w:sz="0" w:space="0" w:color="auto"/>
            <w:bottom w:val="none" w:sz="0" w:space="0" w:color="auto"/>
            <w:right w:val="none" w:sz="0" w:space="0" w:color="auto"/>
          </w:divBdr>
        </w:div>
        <w:div w:id="1081829091">
          <w:marLeft w:val="640"/>
          <w:marRight w:val="0"/>
          <w:marTop w:val="0"/>
          <w:marBottom w:val="0"/>
          <w:divBdr>
            <w:top w:val="none" w:sz="0" w:space="0" w:color="auto"/>
            <w:left w:val="none" w:sz="0" w:space="0" w:color="auto"/>
            <w:bottom w:val="none" w:sz="0" w:space="0" w:color="auto"/>
            <w:right w:val="none" w:sz="0" w:space="0" w:color="auto"/>
          </w:divBdr>
        </w:div>
        <w:div w:id="592789157">
          <w:marLeft w:val="640"/>
          <w:marRight w:val="0"/>
          <w:marTop w:val="0"/>
          <w:marBottom w:val="0"/>
          <w:divBdr>
            <w:top w:val="none" w:sz="0" w:space="0" w:color="auto"/>
            <w:left w:val="none" w:sz="0" w:space="0" w:color="auto"/>
            <w:bottom w:val="none" w:sz="0" w:space="0" w:color="auto"/>
            <w:right w:val="none" w:sz="0" w:space="0" w:color="auto"/>
          </w:divBdr>
        </w:div>
        <w:div w:id="578368898">
          <w:marLeft w:val="640"/>
          <w:marRight w:val="0"/>
          <w:marTop w:val="0"/>
          <w:marBottom w:val="0"/>
          <w:divBdr>
            <w:top w:val="none" w:sz="0" w:space="0" w:color="auto"/>
            <w:left w:val="none" w:sz="0" w:space="0" w:color="auto"/>
            <w:bottom w:val="none" w:sz="0" w:space="0" w:color="auto"/>
            <w:right w:val="none" w:sz="0" w:space="0" w:color="auto"/>
          </w:divBdr>
        </w:div>
        <w:div w:id="2026788179">
          <w:marLeft w:val="640"/>
          <w:marRight w:val="0"/>
          <w:marTop w:val="0"/>
          <w:marBottom w:val="0"/>
          <w:divBdr>
            <w:top w:val="none" w:sz="0" w:space="0" w:color="auto"/>
            <w:left w:val="none" w:sz="0" w:space="0" w:color="auto"/>
            <w:bottom w:val="none" w:sz="0" w:space="0" w:color="auto"/>
            <w:right w:val="none" w:sz="0" w:space="0" w:color="auto"/>
          </w:divBdr>
        </w:div>
        <w:div w:id="1120957206">
          <w:marLeft w:val="640"/>
          <w:marRight w:val="0"/>
          <w:marTop w:val="0"/>
          <w:marBottom w:val="0"/>
          <w:divBdr>
            <w:top w:val="none" w:sz="0" w:space="0" w:color="auto"/>
            <w:left w:val="none" w:sz="0" w:space="0" w:color="auto"/>
            <w:bottom w:val="none" w:sz="0" w:space="0" w:color="auto"/>
            <w:right w:val="none" w:sz="0" w:space="0" w:color="auto"/>
          </w:divBdr>
        </w:div>
        <w:div w:id="2111199224">
          <w:marLeft w:val="640"/>
          <w:marRight w:val="0"/>
          <w:marTop w:val="0"/>
          <w:marBottom w:val="0"/>
          <w:divBdr>
            <w:top w:val="none" w:sz="0" w:space="0" w:color="auto"/>
            <w:left w:val="none" w:sz="0" w:space="0" w:color="auto"/>
            <w:bottom w:val="none" w:sz="0" w:space="0" w:color="auto"/>
            <w:right w:val="none" w:sz="0" w:space="0" w:color="auto"/>
          </w:divBdr>
        </w:div>
        <w:div w:id="1675957097">
          <w:marLeft w:val="640"/>
          <w:marRight w:val="0"/>
          <w:marTop w:val="0"/>
          <w:marBottom w:val="0"/>
          <w:divBdr>
            <w:top w:val="none" w:sz="0" w:space="0" w:color="auto"/>
            <w:left w:val="none" w:sz="0" w:space="0" w:color="auto"/>
            <w:bottom w:val="none" w:sz="0" w:space="0" w:color="auto"/>
            <w:right w:val="none" w:sz="0" w:space="0" w:color="auto"/>
          </w:divBdr>
        </w:div>
        <w:div w:id="1651599148">
          <w:marLeft w:val="640"/>
          <w:marRight w:val="0"/>
          <w:marTop w:val="0"/>
          <w:marBottom w:val="0"/>
          <w:divBdr>
            <w:top w:val="none" w:sz="0" w:space="0" w:color="auto"/>
            <w:left w:val="none" w:sz="0" w:space="0" w:color="auto"/>
            <w:bottom w:val="none" w:sz="0" w:space="0" w:color="auto"/>
            <w:right w:val="none" w:sz="0" w:space="0" w:color="auto"/>
          </w:divBdr>
        </w:div>
        <w:div w:id="2080059719">
          <w:marLeft w:val="640"/>
          <w:marRight w:val="0"/>
          <w:marTop w:val="0"/>
          <w:marBottom w:val="0"/>
          <w:divBdr>
            <w:top w:val="none" w:sz="0" w:space="0" w:color="auto"/>
            <w:left w:val="none" w:sz="0" w:space="0" w:color="auto"/>
            <w:bottom w:val="none" w:sz="0" w:space="0" w:color="auto"/>
            <w:right w:val="none" w:sz="0" w:space="0" w:color="auto"/>
          </w:divBdr>
        </w:div>
        <w:div w:id="726300047">
          <w:marLeft w:val="640"/>
          <w:marRight w:val="0"/>
          <w:marTop w:val="0"/>
          <w:marBottom w:val="0"/>
          <w:divBdr>
            <w:top w:val="none" w:sz="0" w:space="0" w:color="auto"/>
            <w:left w:val="none" w:sz="0" w:space="0" w:color="auto"/>
            <w:bottom w:val="none" w:sz="0" w:space="0" w:color="auto"/>
            <w:right w:val="none" w:sz="0" w:space="0" w:color="auto"/>
          </w:divBdr>
        </w:div>
        <w:div w:id="1426339829">
          <w:marLeft w:val="640"/>
          <w:marRight w:val="0"/>
          <w:marTop w:val="0"/>
          <w:marBottom w:val="0"/>
          <w:divBdr>
            <w:top w:val="none" w:sz="0" w:space="0" w:color="auto"/>
            <w:left w:val="none" w:sz="0" w:space="0" w:color="auto"/>
            <w:bottom w:val="none" w:sz="0" w:space="0" w:color="auto"/>
            <w:right w:val="none" w:sz="0" w:space="0" w:color="auto"/>
          </w:divBdr>
        </w:div>
        <w:div w:id="529533804">
          <w:marLeft w:val="640"/>
          <w:marRight w:val="0"/>
          <w:marTop w:val="0"/>
          <w:marBottom w:val="0"/>
          <w:divBdr>
            <w:top w:val="none" w:sz="0" w:space="0" w:color="auto"/>
            <w:left w:val="none" w:sz="0" w:space="0" w:color="auto"/>
            <w:bottom w:val="none" w:sz="0" w:space="0" w:color="auto"/>
            <w:right w:val="none" w:sz="0" w:space="0" w:color="auto"/>
          </w:divBdr>
        </w:div>
        <w:div w:id="532039892">
          <w:marLeft w:val="640"/>
          <w:marRight w:val="0"/>
          <w:marTop w:val="0"/>
          <w:marBottom w:val="0"/>
          <w:divBdr>
            <w:top w:val="none" w:sz="0" w:space="0" w:color="auto"/>
            <w:left w:val="none" w:sz="0" w:space="0" w:color="auto"/>
            <w:bottom w:val="none" w:sz="0" w:space="0" w:color="auto"/>
            <w:right w:val="none" w:sz="0" w:space="0" w:color="auto"/>
          </w:divBdr>
        </w:div>
        <w:div w:id="597710850">
          <w:marLeft w:val="640"/>
          <w:marRight w:val="0"/>
          <w:marTop w:val="0"/>
          <w:marBottom w:val="0"/>
          <w:divBdr>
            <w:top w:val="none" w:sz="0" w:space="0" w:color="auto"/>
            <w:left w:val="none" w:sz="0" w:space="0" w:color="auto"/>
            <w:bottom w:val="none" w:sz="0" w:space="0" w:color="auto"/>
            <w:right w:val="none" w:sz="0" w:space="0" w:color="auto"/>
          </w:divBdr>
        </w:div>
        <w:div w:id="1724939224">
          <w:marLeft w:val="640"/>
          <w:marRight w:val="0"/>
          <w:marTop w:val="0"/>
          <w:marBottom w:val="0"/>
          <w:divBdr>
            <w:top w:val="none" w:sz="0" w:space="0" w:color="auto"/>
            <w:left w:val="none" w:sz="0" w:space="0" w:color="auto"/>
            <w:bottom w:val="none" w:sz="0" w:space="0" w:color="auto"/>
            <w:right w:val="none" w:sz="0" w:space="0" w:color="auto"/>
          </w:divBdr>
        </w:div>
        <w:div w:id="969213167">
          <w:marLeft w:val="640"/>
          <w:marRight w:val="0"/>
          <w:marTop w:val="0"/>
          <w:marBottom w:val="0"/>
          <w:divBdr>
            <w:top w:val="none" w:sz="0" w:space="0" w:color="auto"/>
            <w:left w:val="none" w:sz="0" w:space="0" w:color="auto"/>
            <w:bottom w:val="none" w:sz="0" w:space="0" w:color="auto"/>
            <w:right w:val="none" w:sz="0" w:space="0" w:color="auto"/>
          </w:divBdr>
        </w:div>
        <w:div w:id="602347763">
          <w:marLeft w:val="640"/>
          <w:marRight w:val="0"/>
          <w:marTop w:val="0"/>
          <w:marBottom w:val="0"/>
          <w:divBdr>
            <w:top w:val="none" w:sz="0" w:space="0" w:color="auto"/>
            <w:left w:val="none" w:sz="0" w:space="0" w:color="auto"/>
            <w:bottom w:val="none" w:sz="0" w:space="0" w:color="auto"/>
            <w:right w:val="none" w:sz="0" w:space="0" w:color="auto"/>
          </w:divBdr>
        </w:div>
        <w:div w:id="968055069">
          <w:marLeft w:val="640"/>
          <w:marRight w:val="0"/>
          <w:marTop w:val="0"/>
          <w:marBottom w:val="0"/>
          <w:divBdr>
            <w:top w:val="none" w:sz="0" w:space="0" w:color="auto"/>
            <w:left w:val="none" w:sz="0" w:space="0" w:color="auto"/>
            <w:bottom w:val="none" w:sz="0" w:space="0" w:color="auto"/>
            <w:right w:val="none" w:sz="0" w:space="0" w:color="auto"/>
          </w:divBdr>
        </w:div>
        <w:div w:id="690225857">
          <w:marLeft w:val="640"/>
          <w:marRight w:val="0"/>
          <w:marTop w:val="0"/>
          <w:marBottom w:val="0"/>
          <w:divBdr>
            <w:top w:val="none" w:sz="0" w:space="0" w:color="auto"/>
            <w:left w:val="none" w:sz="0" w:space="0" w:color="auto"/>
            <w:bottom w:val="none" w:sz="0" w:space="0" w:color="auto"/>
            <w:right w:val="none" w:sz="0" w:space="0" w:color="auto"/>
          </w:divBdr>
        </w:div>
        <w:div w:id="147408847">
          <w:marLeft w:val="640"/>
          <w:marRight w:val="0"/>
          <w:marTop w:val="0"/>
          <w:marBottom w:val="0"/>
          <w:divBdr>
            <w:top w:val="none" w:sz="0" w:space="0" w:color="auto"/>
            <w:left w:val="none" w:sz="0" w:space="0" w:color="auto"/>
            <w:bottom w:val="none" w:sz="0" w:space="0" w:color="auto"/>
            <w:right w:val="none" w:sz="0" w:space="0" w:color="auto"/>
          </w:divBdr>
        </w:div>
        <w:div w:id="1388063436">
          <w:marLeft w:val="640"/>
          <w:marRight w:val="0"/>
          <w:marTop w:val="0"/>
          <w:marBottom w:val="0"/>
          <w:divBdr>
            <w:top w:val="none" w:sz="0" w:space="0" w:color="auto"/>
            <w:left w:val="none" w:sz="0" w:space="0" w:color="auto"/>
            <w:bottom w:val="none" w:sz="0" w:space="0" w:color="auto"/>
            <w:right w:val="none" w:sz="0" w:space="0" w:color="auto"/>
          </w:divBdr>
        </w:div>
        <w:div w:id="325089156">
          <w:marLeft w:val="640"/>
          <w:marRight w:val="0"/>
          <w:marTop w:val="0"/>
          <w:marBottom w:val="0"/>
          <w:divBdr>
            <w:top w:val="none" w:sz="0" w:space="0" w:color="auto"/>
            <w:left w:val="none" w:sz="0" w:space="0" w:color="auto"/>
            <w:bottom w:val="none" w:sz="0" w:space="0" w:color="auto"/>
            <w:right w:val="none" w:sz="0" w:space="0" w:color="auto"/>
          </w:divBdr>
        </w:div>
        <w:div w:id="2084451646">
          <w:marLeft w:val="640"/>
          <w:marRight w:val="0"/>
          <w:marTop w:val="0"/>
          <w:marBottom w:val="0"/>
          <w:divBdr>
            <w:top w:val="none" w:sz="0" w:space="0" w:color="auto"/>
            <w:left w:val="none" w:sz="0" w:space="0" w:color="auto"/>
            <w:bottom w:val="none" w:sz="0" w:space="0" w:color="auto"/>
            <w:right w:val="none" w:sz="0" w:space="0" w:color="auto"/>
          </w:divBdr>
        </w:div>
        <w:div w:id="1269196561">
          <w:marLeft w:val="640"/>
          <w:marRight w:val="0"/>
          <w:marTop w:val="0"/>
          <w:marBottom w:val="0"/>
          <w:divBdr>
            <w:top w:val="none" w:sz="0" w:space="0" w:color="auto"/>
            <w:left w:val="none" w:sz="0" w:space="0" w:color="auto"/>
            <w:bottom w:val="none" w:sz="0" w:space="0" w:color="auto"/>
            <w:right w:val="none" w:sz="0" w:space="0" w:color="auto"/>
          </w:divBdr>
        </w:div>
        <w:div w:id="1700931973">
          <w:marLeft w:val="640"/>
          <w:marRight w:val="0"/>
          <w:marTop w:val="0"/>
          <w:marBottom w:val="0"/>
          <w:divBdr>
            <w:top w:val="none" w:sz="0" w:space="0" w:color="auto"/>
            <w:left w:val="none" w:sz="0" w:space="0" w:color="auto"/>
            <w:bottom w:val="none" w:sz="0" w:space="0" w:color="auto"/>
            <w:right w:val="none" w:sz="0" w:space="0" w:color="auto"/>
          </w:divBdr>
        </w:div>
        <w:div w:id="1771464401">
          <w:marLeft w:val="640"/>
          <w:marRight w:val="0"/>
          <w:marTop w:val="0"/>
          <w:marBottom w:val="0"/>
          <w:divBdr>
            <w:top w:val="none" w:sz="0" w:space="0" w:color="auto"/>
            <w:left w:val="none" w:sz="0" w:space="0" w:color="auto"/>
            <w:bottom w:val="none" w:sz="0" w:space="0" w:color="auto"/>
            <w:right w:val="none" w:sz="0" w:space="0" w:color="auto"/>
          </w:divBdr>
        </w:div>
        <w:div w:id="1750035525">
          <w:marLeft w:val="640"/>
          <w:marRight w:val="0"/>
          <w:marTop w:val="0"/>
          <w:marBottom w:val="0"/>
          <w:divBdr>
            <w:top w:val="none" w:sz="0" w:space="0" w:color="auto"/>
            <w:left w:val="none" w:sz="0" w:space="0" w:color="auto"/>
            <w:bottom w:val="none" w:sz="0" w:space="0" w:color="auto"/>
            <w:right w:val="none" w:sz="0" w:space="0" w:color="auto"/>
          </w:divBdr>
        </w:div>
        <w:div w:id="544414790">
          <w:marLeft w:val="640"/>
          <w:marRight w:val="0"/>
          <w:marTop w:val="0"/>
          <w:marBottom w:val="0"/>
          <w:divBdr>
            <w:top w:val="none" w:sz="0" w:space="0" w:color="auto"/>
            <w:left w:val="none" w:sz="0" w:space="0" w:color="auto"/>
            <w:bottom w:val="none" w:sz="0" w:space="0" w:color="auto"/>
            <w:right w:val="none" w:sz="0" w:space="0" w:color="auto"/>
          </w:divBdr>
        </w:div>
        <w:div w:id="1854496722">
          <w:marLeft w:val="640"/>
          <w:marRight w:val="0"/>
          <w:marTop w:val="0"/>
          <w:marBottom w:val="0"/>
          <w:divBdr>
            <w:top w:val="none" w:sz="0" w:space="0" w:color="auto"/>
            <w:left w:val="none" w:sz="0" w:space="0" w:color="auto"/>
            <w:bottom w:val="none" w:sz="0" w:space="0" w:color="auto"/>
            <w:right w:val="none" w:sz="0" w:space="0" w:color="auto"/>
          </w:divBdr>
        </w:div>
        <w:div w:id="193731875">
          <w:marLeft w:val="640"/>
          <w:marRight w:val="0"/>
          <w:marTop w:val="0"/>
          <w:marBottom w:val="0"/>
          <w:divBdr>
            <w:top w:val="none" w:sz="0" w:space="0" w:color="auto"/>
            <w:left w:val="none" w:sz="0" w:space="0" w:color="auto"/>
            <w:bottom w:val="none" w:sz="0" w:space="0" w:color="auto"/>
            <w:right w:val="none" w:sz="0" w:space="0" w:color="auto"/>
          </w:divBdr>
        </w:div>
        <w:div w:id="1223058708">
          <w:marLeft w:val="640"/>
          <w:marRight w:val="0"/>
          <w:marTop w:val="0"/>
          <w:marBottom w:val="0"/>
          <w:divBdr>
            <w:top w:val="none" w:sz="0" w:space="0" w:color="auto"/>
            <w:left w:val="none" w:sz="0" w:space="0" w:color="auto"/>
            <w:bottom w:val="none" w:sz="0" w:space="0" w:color="auto"/>
            <w:right w:val="none" w:sz="0" w:space="0" w:color="auto"/>
          </w:divBdr>
        </w:div>
        <w:div w:id="8799398">
          <w:marLeft w:val="640"/>
          <w:marRight w:val="0"/>
          <w:marTop w:val="0"/>
          <w:marBottom w:val="0"/>
          <w:divBdr>
            <w:top w:val="none" w:sz="0" w:space="0" w:color="auto"/>
            <w:left w:val="none" w:sz="0" w:space="0" w:color="auto"/>
            <w:bottom w:val="none" w:sz="0" w:space="0" w:color="auto"/>
            <w:right w:val="none" w:sz="0" w:space="0" w:color="auto"/>
          </w:divBdr>
        </w:div>
        <w:div w:id="1001398111">
          <w:marLeft w:val="640"/>
          <w:marRight w:val="0"/>
          <w:marTop w:val="0"/>
          <w:marBottom w:val="0"/>
          <w:divBdr>
            <w:top w:val="none" w:sz="0" w:space="0" w:color="auto"/>
            <w:left w:val="none" w:sz="0" w:space="0" w:color="auto"/>
            <w:bottom w:val="none" w:sz="0" w:space="0" w:color="auto"/>
            <w:right w:val="none" w:sz="0" w:space="0" w:color="auto"/>
          </w:divBdr>
        </w:div>
        <w:div w:id="614559642">
          <w:marLeft w:val="640"/>
          <w:marRight w:val="0"/>
          <w:marTop w:val="0"/>
          <w:marBottom w:val="0"/>
          <w:divBdr>
            <w:top w:val="none" w:sz="0" w:space="0" w:color="auto"/>
            <w:left w:val="none" w:sz="0" w:space="0" w:color="auto"/>
            <w:bottom w:val="none" w:sz="0" w:space="0" w:color="auto"/>
            <w:right w:val="none" w:sz="0" w:space="0" w:color="auto"/>
          </w:divBdr>
        </w:div>
        <w:div w:id="1071538881">
          <w:marLeft w:val="640"/>
          <w:marRight w:val="0"/>
          <w:marTop w:val="0"/>
          <w:marBottom w:val="0"/>
          <w:divBdr>
            <w:top w:val="none" w:sz="0" w:space="0" w:color="auto"/>
            <w:left w:val="none" w:sz="0" w:space="0" w:color="auto"/>
            <w:bottom w:val="none" w:sz="0" w:space="0" w:color="auto"/>
            <w:right w:val="none" w:sz="0" w:space="0" w:color="auto"/>
          </w:divBdr>
        </w:div>
        <w:div w:id="855776648">
          <w:marLeft w:val="640"/>
          <w:marRight w:val="0"/>
          <w:marTop w:val="0"/>
          <w:marBottom w:val="0"/>
          <w:divBdr>
            <w:top w:val="none" w:sz="0" w:space="0" w:color="auto"/>
            <w:left w:val="none" w:sz="0" w:space="0" w:color="auto"/>
            <w:bottom w:val="none" w:sz="0" w:space="0" w:color="auto"/>
            <w:right w:val="none" w:sz="0" w:space="0" w:color="auto"/>
          </w:divBdr>
        </w:div>
        <w:div w:id="984814084">
          <w:marLeft w:val="640"/>
          <w:marRight w:val="0"/>
          <w:marTop w:val="0"/>
          <w:marBottom w:val="0"/>
          <w:divBdr>
            <w:top w:val="none" w:sz="0" w:space="0" w:color="auto"/>
            <w:left w:val="none" w:sz="0" w:space="0" w:color="auto"/>
            <w:bottom w:val="none" w:sz="0" w:space="0" w:color="auto"/>
            <w:right w:val="none" w:sz="0" w:space="0" w:color="auto"/>
          </w:divBdr>
        </w:div>
        <w:div w:id="1853109892">
          <w:marLeft w:val="640"/>
          <w:marRight w:val="0"/>
          <w:marTop w:val="0"/>
          <w:marBottom w:val="0"/>
          <w:divBdr>
            <w:top w:val="none" w:sz="0" w:space="0" w:color="auto"/>
            <w:left w:val="none" w:sz="0" w:space="0" w:color="auto"/>
            <w:bottom w:val="none" w:sz="0" w:space="0" w:color="auto"/>
            <w:right w:val="none" w:sz="0" w:space="0" w:color="auto"/>
          </w:divBdr>
        </w:div>
        <w:div w:id="1792280384">
          <w:marLeft w:val="640"/>
          <w:marRight w:val="0"/>
          <w:marTop w:val="0"/>
          <w:marBottom w:val="0"/>
          <w:divBdr>
            <w:top w:val="none" w:sz="0" w:space="0" w:color="auto"/>
            <w:left w:val="none" w:sz="0" w:space="0" w:color="auto"/>
            <w:bottom w:val="none" w:sz="0" w:space="0" w:color="auto"/>
            <w:right w:val="none" w:sz="0" w:space="0" w:color="auto"/>
          </w:divBdr>
        </w:div>
        <w:div w:id="1507398150">
          <w:marLeft w:val="640"/>
          <w:marRight w:val="0"/>
          <w:marTop w:val="0"/>
          <w:marBottom w:val="0"/>
          <w:divBdr>
            <w:top w:val="none" w:sz="0" w:space="0" w:color="auto"/>
            <w:left w:val="none" w:sz="0" w:space="0" w:color="auto"/>
            <w:bottom w:val="none" w:sz="0" w:space="0" w:color="auto"/>
            <w:right w:val="none" w:sz="0" w:space="0" w:color="auto"/>
          </w:divBdr>
        </w:div>
        <w:div w:id="1368795917">
          <w:marLeft w:val="640"/>
          <w:marRight w:val="0"/>
          <w:marTop w:val="0"/>
          <w:marBottom w:val="0"/>
          <w:divBdr>
            <w:top w:val="none" w:sz="0" w:space="0" w:color="auto"/>
            <w:left w:val="none" w:sz="0" w:space="0" w:color="auto"/>
            <w:bottom w:val="none" w:sz="0" w:space="0" w:color="auto"/>
            <w:right w:val="none" w:sz="0" w:space="0" w:color="auto"/>
          </w:divBdr>
        </w:div>
        <w:div w:id="139420733">
          <w:marLeft w:val="640"/>
          <w:marRight w:val="0"/>
          <w:marTop w:val="0"/>
          <w:marBottom w:val="0"/>
          <w:divBdr>
            <w:top w:val="none" w:sz="0" w:space="0" w:color="auto"/>
            <w:left w:val="none" w:sz="0" w:space="0" w:color="auto"/>
            <w:bottom w:val="none" w:sz="0" w:space="0" w:color="auto"/>
            <w:right w:val="none" w:sz="0" w:space="0" w:color="auto"/>
          </w:divBdr>
        </w:div>
        <w:div w:id="515847655">
          <w:marLeft w:val="640"/>
          <w:marRight w:val="0"/>
          <w:marTop w:val="0"/>
          <w:marBottom w:val="0"/>
          <w:divBdr>
            <w:top w:val="none" w:sz="0" w:space="0" w:color="auto"/>
            <w:left w:val="none" w:sz="0" w:space="0" w:color="auto"/>
            <w:bottom w:val="none" w:sz="0" w:space="0" w:color="auto"/>
            <w:right w:val="none" w:sz="0" w:space="0" w:color="auto"/>
          </w:divBdr>
        </w:div>
        <w:div w:id="1330907123">
          <w:marLeft w:val="640"/>
          <w:marRight w:val="0"/>
          <w:marTop w:val="0"/>
          <w:marBottom w:val="0"/>
          <w:divBdr>
            <w:top w:val="none" w:sz="0" w:space="0" w:color="auto"/>
            <w:left w:val="none" w:sz="0" w:space="0" w:color="auto"/>
            <w:bottom w:val="none" w:sz="0" w:space="0" w:color="auto"/>
            <w:right w:val="none" w:sz="0" w:space="0" w:color="auto"/>
          </w:divBdr>
        </w:div>
        <w:div w:id="863983366">
          <w:marLeft w:val="640"/>
          <w:marRight w:val="0"/>
          <w:marTop w:val="0"/>
          <w:marBottom w:val="0"/>
          <w:divBdr>
            <w:top w:val="none" w:sz="0" w:space="0" w:color="auto"/>
            <w:left w:val="none" w:sz="0" w:space="0" w:color="auto"/>
            <w:bottom w:val="none" w:sz="0" w:space="0" w:color="auto"/>
            <w:right w:val="none" w:sz="0" w:space="0" w:color="auto"/>
          </w:divBdr>
        </w:div>
        <w:div w:id="169099230">
          <w:marLeft w:val="640"/>
          <w:marRight w:val="0"/>
          <w:marTop w:val="0"/>
          <w:marBottom w:val="0"/>
          <w:divBdr>
            <w:top w:val="none" w:sz="0" w:space="0" w:color="auto"/>
            <w:left w:val="none" w:sz="0" w:space="0" w:color="auto"/>
            <w:bottom w:val="none" w:sz="0" w:space="0" w:color="auto"/>
            <w:right w:val="none" w:sz="0" w:space="0" w:color="auto"/>
          </w:divBdr>
        </w:div>
        <w:div w:id="649360775">
          <w:marLeft w:val="640"/>
          <w:marRight w:val="0"/>
          <w:marTop w:val="0"/>
          <w:marBottom w:val="0"/>
          <w:divBdr>
            <w:top w:val="none" w:sz="0" w:space="0" w:color="auto"/>
            <w:left w:val="none" w:sz="0" w:space="0" w:color="auto"/>
            <w:bottom w:val="none" w:sz="0" w:space="0" w:color="auto"/>
            <w:right w:val="none" w:sz="0" w:space="0" w:color="auto"/>
          </w:divBdr>
        </w:div>
        <w:div w:id="132872200">
          <w:marLeft w:val="640"/>
          <w:marRight w:val="0"/>
          <w:marTop w:val="0"/>
          <w:marBottom w:val="0"/>
          <w:divBdr>
            <w:top w:val="none" w:sz="0" w:space="0" w:color="auto"/>
            <w:left w:val="none" w:sz="0" w:space="0" w:color="auto"/>
            <w:bottom w:val="none" w:sz="0" w:space="0" w:color="auto"/>
            <w:right w:val="none" w:sz="0" w:space="0" w:color="auto"/>
          </w:divBdr>
        </w:div>
        <w:div w:id="793987904">
          <w:marLeft w:val="640"/>
          <w:marRight w:val="0"/>
          <w:marTop w:val="0"/>
          <w:marBottom w:val="0"/>
          <w:divBdr>
            <w:top w:val="none" w:sz="0" w:space="0" w:color="auto"/>
            <w:left w:val="none" w:sz="0" w:space="0" w:color="auto"/>
            <w:bottom w:val="none" w:sz="0" w:space="0" w:color="auto"/>
            <w:right w:val="none" w:sz="0" w:space="0" w:color="auto"/>
          </w:divBdr>
        </w:div>
        <w:div w:id="1143237069">
          <w:marLeft w:val="640"/>
          <w:marRight w:val="0"/>
          <w:marTop w:val="0"/>
          <w:marBottom w:val="0"/>
          <w:divBdr>
            <w:top w:val="none" w:sz="0" w:space="0" w:color="auto"/>
            <w:left w:val="none" w:sz="0" w:space="0" w:color="auto"/>
            <w:bottom w:val="none" w:sz="0" w:space="0" w:color="auto"/>
            <w:right w:val="none" w:sz="0" w:space="0" w:color="auto"/>
          </w:divBdr>
        </w:div>
        <w:div w:id="1163396337">
          <w:marLeft w:val="640"/>
          <w:marRight w:val="0"/>
          <w:marTop w:val="0"/>
          <w:marBottom w:val="0"/>
          <w:divBdr>
            <w:top w:val="none" w:sz="0" w:space="0" w:color="auto"/>
            <w:left w:val="none" w:sz="0" w:space="0" w:color="auto"/>
            <w:bottom w:val="none" w:sz="0" w:space="0" w:color="auto"/>
            <w:right w:val="none" w:sz="0" w:space="0" w:color="auto"/>
          </w:divBdr>
        </w:div>
        <w:div w:id="1801803206">
          <w:marLeft w:val="640"/>
          <w:marRight w:val="0"/>
          <w:marTop w:val="0"/>
          <w:marBottom w:val="0"/>
          <w:divBdr>
            <w:top w:val="none" w:sz="0" w:space="0" w:color="auto"/>
            <w:left w:val="none" w:sz="0" w:space="0" w:color="auto"/>
            <w:bottom w:val="none" w:sz="0" w:space="0" w:color="auto"/>
            <w:right w:val="none" w:sz="0" w:space="0" w:color="auto"/>
          </w:divBdr>
        </w:div>
        <w:div w:id="42172327">
          <w:marLeft w:val="640"/>
          <w:marRight w:val="0"/>
          <w:marTop w:val="0"/>
          <w:marBottom w:val="0"/>
          <w:divBdr>
            <w:top w:val="none" w:sz="0" w:space="0" w:color="auto"/>
            <w:left w:val="none" w:sz="0" w:space="0" w:color="auto"/>
            <w:bottom w:val="none" w:sz="0" w:space="0" w:color="auto"/>
            <w:right w:val="none" w:sz="0" w:space="0" w:color="auto"/>
          </w:divBdr>
        </w:div>
        <w:div w:id="675352259">
          <w:marLeft w:val="640"/>
          <w:marRight w:val="0"/>
          <w:marTop w:val="0"/>
          <w:marBottom w:val="0"/>
          <w:divBdr>
            <w:top w:val="none" w:sz="0" w:space="0" w:color="auto"/>
            <w:left w:val="none" w:sz="0" w:space="0" w:color="auto"/>
            <w:bottom w:val="none" w:sz="0" w:space="0" w:color="auto"/>
            <w:right w:val="none" w:sz="0" w:space="0" w:color="auto"/>
          </w:divBdr>
        </w:div>
        <w:div w:id="390352160">
          <w:marLeft w:val="640"/>
          <w:marRight w:val="0"/>
          <w:marTop w:val="0"/>
          <w:marBottom w:val="0"/>
          <w:divBdr>
            <w:top w:val="none" w:sz="0" w:space="0" w:color="auto"/>
            <w:left w:val="none" w:sz="0" w:space="0" w:color="auto"/>
            <w:bottom w:val="none" w:sz="0" w:space="0" w:color="auto"/>
            <w:right w:val="none" w:sz="0" w:space="0" w:color="auto"/>
          </w:divBdr>
        </w:div>
        <w:div w:id="1703557117">
          <w:marLeft w:val="640"/>
          <w:marRight w:val="0"/>
          <w:marTop w:val="0"/>
          <w:marBottom w:val="0"/>
          <w:divBdr>
            <w:top w:val="none" w:sz="0" w:space="0" w:color="auto"/>
            <w:left w:val="none" w:sz="0" w:space="0" w:color="auto"/>
            <w:bottom w:val="none" w:sz="0" w:space="0" w:color="auto"/>
            <w:right w:val="none" w:sz="0" w:space="0" w:color="auto"/>
          </w:divBdr>
        </w:div>
        <w:div w:id="1545602055">
          <w:marLeft w:val="640"/>
          <w:marRight w:val="0"/>
          <w:marTop w:val="0"/>
          <w:marBottom w:val="0"/>
          <w:divBdr>
            <w:top w:val="none" w:sz="0" w:space="0" w:color="auto"/>
            <w:left w:val="none" w:sz="0" w:space="0" w:color="auto"/>
            <w:bottom w:val="none" w:sz="0" w:space="0" w:color="auto"/>
            <w:right w:val="none" w:sz="0" w:space="0" w:color="auto"/>
          </w:divBdr>
        </w:div>
        <w:div w:id="1258632818">
          <w:marLeft w:val="640"/>
          <w:marRight w:val="0"/>
          <w:marTop w:val="0"/>
          <w:marBottom w:val="0"/>
          <w:divBdr>
            <w:top w:val="none" w:sz="0" w:space="0" w:color="auto"/>
            <w:left w:val="none" w:sz="0" w:space="0" w:color="auto"/>
            <w:bottom w:val="none" w:sz="0" w:space="0" w:color="auto"/>
            <w:right w:val="none" w:sz="0" w:space="0" w:color="auto"/>
          </w:divBdr>
        </w:div>
        <w:div w:id="330379949">
          <w:marLeft w:val="640"/>
          <w:marRight w:val="0"/>
          <w:marTop w:val="0"/>
          <w:marBottom w:val="0"/>
          <w:divBdr>
            <w:top w:val="none" w:sz="0" w:space="0" w:color="auto"/>
            <w:left w:val="none" w:sz="0" w:space="0" w:color="auto"/>
            <w:bottom w:val="none" w:sz="0" w:space="0" w:color="auto"/>
            <w:right w:val="none" w:sz="0" w:space="0" w:color="auto"/>
          </w:divBdr>
        </w:div>
        <w:div w:id="316150430">
          <w:marLeft w:val="640"/>
          <w:marRight w:val="0"/>
          <w:marTop w:val="0"/>
          <w:marBottom w:val="0"/>
          <w:divBdr>
            <w:top w:val="none" w:sz="0" w:space="0" w:color="auto"/>
            <w:left w:val="none" w:sz="0" w:space="0" w:color="auto"/>
            <w:bottom w:val="none" w:sz="0" w:space="0" w:color="auto"/>
            <w:right w:val="none" w:sz="0" w:space="0" w:color="auto"/>
          </w:divBdr>
        </w:div>
        <w:div w:id="313341705">
          <w:marLeft w:val="640"/>
          <w:marRight w:val="0"/>
          <w:marTop w:val="0"/>
          <w:marBottom w:val="0"/>
          <w:divBdr>
            <w:top w:val="none" w:sz="0" w:space="0" w:color="auto"/>
            <w:left w:val="none" w:sz="0" w:space="0" w:color="auto"/>
            <w:bottom w:val="none" w:sz="0" w:space="0" w:color="auto"/>
            <w:right w:val="none" w:sz="0" w:space="0" w:color="auto"/>
          </w:divBdr>
        </w:div>
        <w:div w:id="2130738012">
          <w:marLeft w:val="640"/>
          <w:marRight w:val="0"/>
          <w:marTop w:val="0"/>
          <w:marBottom w:val="0"/>
          <w:divBdr>
            <w:top w:val="none" w:sz="0" w:space="0" w:color="auto"/>
            <w:left w:val="none" w:sz="0" w:space="0" w:color="auto"/>
            <w:bottom w:val="none" w:sz="0" w:space="0" w:color="auto"/>
            <w:right w:val="none" w:sz="0" w:space="0" w:color="auto"/>
          </w:divBdr>
        </w:div>
        <w:div w:id="2058163458">
          <w:marLeft w:val="640"/>
          <w:marRight w:val="0"/>
          <w:marTop w:val="0"/>
          <w:marBottom w:val="0"/>
          <w:divBdr>
            <w:top w:val="none" w:sz="0" w:space="0" w:color="auto"/>
            <w:left w:val="none" w:sz="0" w:space="0" w:color="auto"/>
            <w:bottom w:val="none" w:sz="0" w:space="0" w:color="auto"/>
            <w:right w:val="none" w:sz="0" w:space="0" w:color="auto"/>
          </w:divBdr>
        </w:div>
        <w:div w:id="266691674">
          <w:marLeft w:val="640"/>
          <w:marRight w:val="0"/>
          <w:marTop w:val="0"/>
          <w:marBottom w:val="0"/>
          <w:divBdr>
            <w:top w:val="none" w:sz="0" w:space="0" w:color="auto"/>
            <w:left w:val="none" w:sz="0" w:space="0" w:color="auto"/>
            <w:bottom w:val="none" w:sz="0" w:space="0" w:color="auto"/>
            <w:right w:val="none" w:sz="0" w:space="0" w:color="auto"/>
          </w:divBdr>
        </w:div>
        <w:div w:id="1134910064">
          <w:marLeft w:val="640"/>
          <w:marRight w:val="0"/>
          <w:marTop w:val="0"/>
          <w:marBottom w:val="0"/>
          <w:divBdr>
            <w:top w:val="none" w:sz="0" w:space="0" w:color="auto"/>
            <w:left w:val="none" w:sz="0" w:space="0" w:color="auto"/>
            <w:bottom w:val="none" w:sz="0" w:space="0" w:color="auto"/>
            <w:right w:val="none" w:sz="0" w:space="0" w:color="auto"/>
          </w:divBdr>
        </w:div>
        <w:div w:id="1194928397">
          <w:marLeft w:val="640"/>
          <w:marRight w:val="0"/>
          <w:marTop w:val="0"/>
          <w:marBottom w:val="0"/>
          <w:divBdr>
            <w:top w:val="none" w:sz="0" w:space="0" w:color="auto"/>
            <w:left w:val="none" w:sz="0" w:space="0" w:color="auto"/>
            <w:bottom w:val="none" w:sz="0" w:space="0" w:color="auto"/>
            <w:right w:val="none" w:sz="0" w:space="0" w:color="auto"/>
          </w:divBdr>
        </w:div>
        <w:div w:id="1691879430">
          <w:marLeft w:val="640"/>
          <w:marRight w:val="0"/>
          <w:marTop w:val="0"/>
          <w:marBottom w:val="0"/>
          <w:divBdr>
            <w:top w:val="none" w:sz="0" w:space="0" w:color="auto"/>
            <w:left w:val="none" w:sz="0" w:space="0" w:color="auto"/>
            <w:bottom w:val="none" w:sz="0" w:space="0" w:color="auto"/>
            <w:right w:val="none" w:sz="0" w:space="0" w:color="auto"/>
          </w:divBdr>
        </w:div>
        <w:div w:id="1046562505">
          <w:marLeft w:val="640"/>
          <w:marRight w:val="0"/>
          <w:marTop w:val="0"/>
          <w:marBottom w:val="0"/>
          <w:divBdr>
            <w:top w:val="none" w:sz="0" w:space="0" w:color="auto"/>
            <w:left w:val="none" w:sz="0" w:space="0" w:color="auto"/>
            <w:bottom w:val="none" w:sz="0" w:space="0" w:color="auto"/>
            <w:right w:val="none" w:sz="0" w:space="0" w:color="auto"/>
          </w:divBdr>
        </w:div>
        <w:div w:id="1058555577">
          <w:marLeft w:val="640"/>
          <w:marRight w:val="0"/>
          <w:marTop w:val="0"/>
          <w:marBottom w:val="0"/>
          <w:divBdr>
            <w:top w:val="none" w:sz="0" w:space="0" w:color="auto"/>
            <w:left w:val="none" w:sz="0" w:space="0" w:color="auto"/>
            <w:bottom w:val="none" w:sz="0" w:space="0" w:color="auto"/>
            <w:right w:val="none" w:sz="0" w:space="0" w:color="auto"/>
          </w:divBdr>
        </w:div>
        <w:div w:id="377511090">
          <w:marLeft w:val="640"/>
          <w:marRight w:val="0"/>
          <w:marTop w:val="0"/>
          <w:marBottom w:val="0"/>
          <w:divBdr>
            <w:top w:val="none" w:sz="0" w:space="0" w:color="auto"/>
            <w:left w:val="none" w:sz="0" w:space="0" w:color="auto"/>
            <w:bottom w:val="none" w:sz="0" w:space="0" w:color="auto"/>
            <w:right w:val="none" w:sz="0" w:space="0" w:color="auto"/>
          </w:divBdr>
        </w:div>
        <w:div w:id="1241255674">
          <w:marLeft w:val="640"/>
          <w:marRight w:val="0"/>
          <w:marTop w:val="0"/>
          <w:marBottom w:val="0"/>
          <w:divBdr>
            <w:top w:val="none" w:sz="0" w:space="0" w:color="auto"/>
            <w:left w:val="none" w:sz="0" w:space="0" w:color="auto"/>
            <w:bottom w:val="none" w:sz="0" w:space="0" w:color="auto"/>
            <w:right w:val="none" w:sz="0" w:space="0" w:color="auto"/>
          </w:divBdr>
        </w:div>
        <w:div w:id="920483896">
          <w:marLeft w:val="640"/>
          <w:marRight w:val="0"/>
          <w:marTop w:val="0"/>
          <w:marBottom w:val="0"/>
          <w:divBdr>
            <w:top w:val="none" w:sz="0" w:space="0" w:color="auto"/>
            <w:left w:val="none" w:sz="0" w:space="0" w:color="auto"/>
            <w:bottom w:val="none" w:sz="0" w:space="0" w:color="auto"/>
            <w:right w:val="none" w:sz="0" w:space="0" w:color="auto"/>
          </w:divBdr>
        </w:div>
        <w:div w:id="1776289271">
          <w:marLeft w:val="640"/>
          <w:marRight w:val="0"/>
          <w:marTop w:val="0"/>
          <w:marBottom w:val="0"/>
          <w:divBdr>
            <w:top w:val="none" w:sz="0" w:space="0" w:color="auto"/>
            <w:left w:val="none" w:sz="0" w:space="0" w:color="auto"/>
            <w:bottom w:val="none" w:sz="0" w:space="0" w:color="auto"/>
            <w:right w:val="none" w:sz="0" w:space="0" w:color="auto"/>
          </w:divBdr>
        </w:div>
        <w:div w:id="1191146460">
          <w:marLeft w:val="640"/>
          <w:marRight w:val="0"/>
          <w:marTop w:val="0"/>
          <w:marBottom w:val="0"/>
          <w:divBdr>
            <w:top w:val="none" w:sz="0" w:space="0" w:color="auto"/>
            <w:left w:val="none" w:sz="0" w:space="0" w:color="auto"/>
            <w:bottom w:val="none" w:sz="0" w:space="0" w:color="auto"/>
            <w:right w:val="none" w:sz="0" w:space="0" w:color="auto"/>
          </w:divBdr>
        </w:div>
        <w:div w:id="384644393">
          <w:marLeft w:val="640"/>
          <w:marRight w:val="0"/>
          <w:marTop w:val="0"/>
          <w:marBottom w:val="0"/>
          <w:divBdr>
            <w:top w:val="none" w:sz="0" w:space="0" w:color="auto"/>
            <w:left w:val="none" w:sz="0" w:space="0" w:color="auto"/>
            <w:bottom w:val="none" w:sz="0" w:space="0" w:color="auto"/>
            <w:right w:val="none" w:sz="0" w:space="0" w:color="auto"/>
          </w:divBdr>
        </w:div>
        <w:div w:id="663702352">
          <w:marLeft w:val="640"/>
          <w:marRight w:val="0"/>
          <w:marTop w:val="0"/>
          <w:marBottom w:val="0"/>
          <w:divBdr>
            <w:top w:val="none" w:sz="0" w:space="0" w:color="auto"/>
            <w:left w:val="none" w:sz="0" w:space="0" w:color="auto"/>
            <w:bottom w:val="none" w:sz="0" w:space="0" w:color="auto"/>
            <w:right w:val="none" w:sz="0" w:space="0" w:color="auto"/>
          </w:divBdr>
        </w:div>
        <w:div w:id="1481727206">
          <w:marLeft w:val="640"/>
          <w:marRight w:val="0"/>
          <w:marTop w:val="0"/>
          <w:marBottom w:val="0"/>
          <w:divBdr>
            <w:top w:val="none" w:sz="0" w:space="0" w:color="auto"/>
            <w:left w:val="none" w:sz="0" w:space="0" w:color="auto"/>
            <w:bottom w:val="none" w:sz="0" w:space="0" w:color="auto"/>
            <w:right w:val="none" w:sz="0" w:space="0" w:color="auto"/>
          </w:divBdr>
        </w:div>
        <w:div w:id="1342396668">
          <w:marLeft w:val="640"/>
          <w:marRight w:val="0"/>
          <w:marTop w:val="0"/>
          <w:marBottom w:val="0"/>
          <w:divBdr>
            <w:top w:val="none" w:sz="0" w:space="0" w:color="auto"/>
            <w:left w:val="none" w:sz="0" w:space="0" w:color="auto"/>
            <w:bottom w:val="none" w:sz="0" w:space="0" w:color="auto"/>
            <w:right w:val="none" w:sz="0" w:space="0" w:color="auto"/>
          </w:divBdr>
        </w:div>
        <w:div w:id="1940797955">
          <w:marLeft w:val="640"/>
          <w:marRight w:val="0"/>
          <w:marTop w:val="0"/>
          <w:marBottom w:val="0"/>
          <w:divBdr>
            <w:top w:val="none" w:sz="0" w:space="0" w:color="auto"/>
            <w:left w:val="none" w:sz="0" w:space="0" w:color="auto"/>
            <w:bottom w:val="none" w:sz="0" w:space="0" w:color="auto"/>
            <w:right w:val="none" w:sz="0" w:space="0" w:color="auto"/>
          </w:divBdr>
        </w:div>
        <w:div w:id="664548353">
          <w:marLeft w:val="640"/>
          <w:marRight w:val="0"/>
          <w:marTop w:val="0"/>
          <w:marBottom w:val="0"/>
          <w:divBdr>
            <w:top w:val="none" w:sz="0" w:space="0" w:color="auto"/>
            <w:left w:val="none" w:sz="0" w:space="0" w:color="auto"/>
            <w:bottom w:val="none" w:sz="0" w:space="0" w:color="auto"/>
            <w:right w:val="none" w:sz="0" w:space="0" w:color="auto"/>
          </w:divBdr>
        </w:div>
        <w:div w:id="658387510">
          <w:marLeft w:val="640"/>
          <w:marRight w:val="0"/>
          <w:marTop w:val="0"/>
          <w:marBottom w:val="0"/>
          <w:divBdr>
            <w:top w:val="none" w:sz="0" w:space="0" w:color="auto"/>
            <w:left w:val="none" w:sz="0" w:space="0" w:color="auto"/>
            <w:bottom w:val="none" w:sz="0" w:space="0" w:color="auto"/>
            <w:right w:val="none" w:sz="0" w:space="0" w:color="auto"/>
          </w:divBdr>
        </w:div>
        <w:div w:id="935479420">
          <w:marLeft w:val="640"/>
          <w:marRight w:val="0"/>
          <w:marTop w:val="0"/>
          <w:marBottom w:val="0"/>
          <w:divBdr>
            <w:top w:val="none" w:sz="0" w:space="0" w:color="auto"/>
            <w:left w:val="none" w:sz="0" w:space="0" w:color="auto"/>
            <w:bottom w:val="none" w:sz="0" w:space="0" w:color="auto"/>
            <w:right w:val="none" w:sz="0" w:space="0" w:color="auto"/>
          </w:divBdr>
        </w:div>
        <w:div w:id="256182859">
          <w:marLeft w:val="640"/>
          <w:marRight w:val="0"/>
          <w:marTop w:val="0"/>
          <w:marBottom w:val="0"/>
          <w:divBdr>
            <w:top w:val="none" w:sz="0" w:space="0" w:color="auto"/>
            <w:left w:val="none" w:sz="0" w:space="0" w:color="auto"/>
            <w:bottom w:val="none" w:sz="0" w:space="0" w:color="auto"/>
            <w:right w:val="none" w:sz="0" w:space="0" w:color="auto"/>
          </w:divBdr>
        </w:div>
        <w:div w:id="1071196000">
          <w:marLeft w:val="640"/>
          <w:marRight w:val="0"/>
          <w:marTop w:val="0"/>
          <w:marBottom w:val="0"/>
          <w:divBdr>
            <w:top w:val="none" w:sz="0" w:space="0" w:color="auto"/>
            <w:left w:val="none" w:sz="0" w:space="0" w:color="auto"/>
            <w:bottom w:val="none" w:sz="0" w:space="0" w:color="auto"/>
            <w:right w:val="none" w:sz="0" w:space="0" w:color="auto"/>
          </w:divBdr>
        </w:div>
        <w:div w:id="849294074">
          <w:marLeft w:val="640"/>
          <w:marRight w:val="0"/>
          <w:marTop w:val="0"/>
          <w:marBottom w:val="0"/>
          <w:divBdr>
            <w:top w:val="none" w:sz="0" w:space="0" w:color="auto"/>
            <w:left w:val="none" w:sz="0" w:space="0" w:color="auto"/>
            <w:bottom w:val="none" w:sz="0" w:space="0" w:color="auto"/>
            <w:right w:val="none" w:sz="0" w:space="0" w:color="auto"/>
          </w:divBdr>
        </w:div>
        <w:div w:id="479155229">
          <w:marLeft w:val="640"/>
          <w:marRight w:val="0"/>
          <w:marTop w:val="0"/>
          <w:marBottom w:val="0"/>
          <w:divBdr>
            <w:top w:val="none" w:sz="0" w:space="0" w:color="auto"/>
            <w:left w:val="none" w:sz="0" w:space="0" w:color="auto"/>
            <w:bottom w:val="none" w:sz="0" w:space="0" w:color="auto"/>
            <w:right w:val="none" w:sz="0" w:space="0" w:color="auto"/>
          </w:divBdr>
        </w:div>
        <w:div w:id="1670868858">
          <w:marLeft w:val="640"/>
          <w:marRight w:val="0"/>
          <w:marTop w:val="0"/>
          <w:marBottom w:val="0"/>
          <w:divBdr>
            <w:top w:val="none" w:sz="0" w:space="0" w:color="auto"/>
            <w:left w:val="none" w:sz="0" w:space="0" w:color="auto"/>
            <w:bottom w:val="none" w:sz="0" w:space="0" w:color="auto"/>
            <w:right w:val="none" w:sz="0" w:space="0" w:color="auto"/>
          </w:divBdr>
        </w:div>
        <w:div w:id="868184397">
          <w:marLeft w:val="640"/>
          <w:marRight w:val="0"/>
          <w:marTop w:val="0"/>
          <w:marBottom w:val="0"/>
          <w:divBdr>
            <w:top w:val="none" w:sz="0" w:space="0" w:color="auto"/>
            <w:left w:val="none" w:sz="0" w:space="0" w:color="auto"/>
            <w:bottom w:val="none" w:sz="0" w:space="0" w:color="auto"/>
            <w:right w:val="none" w:sz="0" w:space="0" w:color="auto"/>
          </w:divBdr>
        </w:div>
        <w:div w:id="1174416611">
          <w:marLeft w:val="640"/>
          <w:marRight w:val="0"/>
          <w:marTop w:val="0"/>
          <w:marBottom w:val="0"/>
          <w:divBdr>
            <w:top w:val="none" w:sz="0" w:space="0" w:color="auto"/>
            <w:left w:val="none" w:sz="0" w:space="0" w:color="auto"/>
            <w:bottom w:val="none" w:sz="0" w:space="0" w:color="auto"/>
            <w:right w:val="none" w:sz="0" w:space="0" w:color="auto"/>
          </w:divBdr>
        </w:div>
        <w:div w:id="903032967">
          <w:marLeft w:val="640"/>
          <w:marRight w:val="0"/>
          <w:marTop w:val="0"/>
          <w:marBottom w:val="0"/>
          <w:divBdr>
            <w:top w:val="none" w:sz="0" w:space="0" w:color="auto"/>
            <w:left w:val="none" w:sz="0" w:space="0" w:color="auto"/>
            <w:bottom w:val="none" w:sz="0" w:space="0" w:color="auto"/>
            <w:right w:val="none" w:sz="0" w:space="0" w:color="auto"/>
          </w:divBdr>
        </w:div>
        <w:div w:id="274597819">
          <w:marLeft w:val="640"/>
          <w:marRight w:val="0"/>
          <w:marTop w:val="0"/>
          <w:marBottom w:val="0"/>
          <w:divBdr>
            <w:top w:val="none" w:sz="0" w:space="0" w:color="auto"/>
            <w:left w:val="none" w:sz="0" w:space="0" w:color="auto"/>
            <w:bottom w:val="none" w:sz="0" w:space="0" w:color="auto"/>
            <w:right w:val="none" w:sz="0" w:space="0" w:color="auto"/>
          </w:divBdr>
        </w:div>
        <w:div w:id="1157921996">
          <w:marLeft w:val="640"/>
          <w:marRight w:val="0"/>
          <w:marTop w:val="0"/>
          <w:marBottom w:val="0"/>
          <w:divBdr>
            <w:top w:val="none" w:sz="0" w:space="0" w:color="auto"/>
            <w:left w:val="none" w:sz="0" w:space="0" w:color="auto"/>
            <w:bottom w:val="none" w:sz="0" w:space="0" w:color="auto"/>
            <w:right w:val="none" w:sz="0" w:space="0" w:color="auto"/>
          </w:divBdr>
        </w:div>
        <w:div w:id="352804120">
          <w:marLeft w:val="640"/>
          <w:marRight w:val="0"/>
          <w:marTop w:val="0"/>
          <w:marBottom w:val="0"/>
          <w:divBdr>
            <w:top w:val="none" w:sz="0" w:space="0" w:color="auto"/>
            <w:left w:val="none" w:sz="0" w:space="0" w:color="auto"/>
            <w:bottom w:val="none" w:sz="0" w:space="0" w:color="auto"/>
            <w:right w:val="none" w:sz="0" w:space="0" w:color="auto"/>
          </w:divBdr>
        </w:div>
        <w:div w:id="321277537">
          <w:marLeft w:val="640"/>
          <w:marRight w:val="0"/>
          <w:marTop w:val="0"/>
          <w:marBottom w:val="0"/>
          <w:divBdr>
            <w:top w:val="none" w:sz="0" w:space="0" w:color="auto"/>
            <w:left w:val="none" w:sz="0" w:space="0" w:color="auto"/>
            <w:bottom w:val="none" w:sz="0" w:space="0" w:color="auto"/>
            <w:right w:val="none" w:sz="0" w:space="0" w:color="auto"/>
          </w:divBdr>
        </w:div>
        <w:div w:id="1520772512">
          <w:marLeft w:val="640"/>
          <w:marRight w:val="0"/>
          <w:marTop w:val="0"/>
          <w:marBottom w:val="0"/>
          <w:divBdr>
            <w:top w:val="none" w:sz="0" w:space="0" w:color="auto"/>
            <w:left w:val="none" w:sz="0" w:space="0" w:color="auto"/>
            <w:bottom w:val="none" w:sz="0" w:space="0" w:color="auto"/>
            <w:right w:val="none" w:sz="0" w:space="0" w:color="auto"/>
          </w:divBdr>
        </w:div>
        <w:div w:id="1181815570">
          <w:marLeft w:val="640"/>
          <w:marRight w:val="0"/>
          <w:marTop w:val="0"/>
          <w:marBottom w:val="0"/>
          <w:divBdr>
            <w:top w:val="none" w:sz="0" w:space="0" w:color="auto"/>
            <w:left w:val="none" w:sz="0" w:space="0" w:color="auto"/>
            <w:bottom w:val="none" w:sz="0" w:space="0" w:color="auto"/>
            <w:right w:val="none" w:sz="0" w:space="0" w:color="auto"/>
          </w:divBdr>
        </w:div>
        <w:div w:id="1669678088">
          <w:marLeft w:val="640"/>
          <w:marRight w:val="0"/>
          <w:marTop w:val="0"/>
          <w:marBottom w:val="0"/>
          <w:divBdr>
            <w:top w:val="none" w:sz="0" w:space="0" w:color="auto"/>
            <w:left w:val="none" w:sz="0" w:space="0" w:color="auto"/>
            <w:bottom w:val="none" w:sz="0" w:space="0" w:color="auto"/>
            <w:right w:val="none" w:sz="0" w:space="0" w:color="auto"/>
          </w:divBdr>
        </w:div>
        <w:div w:id="272832698">
          <w:marLeft w:val="640"/>
          <w:marRight w:val="0"/>
          <w:marTop w:val="0"/>
          <w:marBottom w:val="0"/>
          <w:divBdr>
            <w:top w:val="none" w:sz="0" w:space="0" w:color="auto"/>
            <w:left w:val="none" w:sz="0" w:space="0" w:color="auto"/>
            <w:bottom w:val="none" w:sz="0" w:space="0" w:color="auto"/>
            <w:right w:val="none" w:sz="0" w:space="0" w:color="auto"/>
          </w:divBdr>
        </w:div>
        <w:div w:id="960067488">
          <w:marLeft w:val="640"/>
          <w:marRight w:val="0"/>
          <w:marTop w:val="0"/>
          <w:marBottom w:val="0"/>
          <w:divBdr>
            <w:top w:val="none" w:sz="0" w:space="0" w:color="auto"/>
            <w:left w:val="none" w:sz="0" w:space="0" w:color="auto"/>
            <w:bottom w:val="none" w:sz="0" w:space="0" w:color="auto"/>
            <w:right w:val="none" w:sz="0" w:space="0" w:color="auto"/>
          </w:divBdr>
        </w:div>
        <w:div w:id="1919054638">
          <w:marLeft w:val="640"/>
          <w:marRight w:val="0"/>
          <w:marTop w:val="0"/>
          <w:marBottom w:val="0"/>
          <w:divBdr>
            <w:top w:val="none" w:sz="0" w:space="0" w:color="auto"/>
            <w:left w:val="none" w:sz="0" w:space="0" w:color="auto"/>
            <w:bottom w:val="none" w:sz="0" w:space="0" w:color="auto"/>
            <w:right w:val="none" w:sz="0" w:space="0" w:color="auto"/>
          </w:divBdr>
        </w:div>
        <w:div w:id="298268991">
          <w:marLeft w:val="640"/>
          <w:marRight w:val="0"/>
          <w:marTop w:val="0"/>
          <w:marBottom w:val="0"/>
          <w:divBdr>
            <w:top w:val="none" w:sz="0" w:space="0" w:color="auto"/>
            <w:left w:val="none" w:sz="0" w:space="0" w:color="auto"/>
            <w:bottom w:val="none" w:sz="0" w:space="0" w:color="auto"/>
            <w:right w:val="none" w:sz="0" w:space="0" w:color="auto"/>
          </w:divBdr>
        </w:div>
        <w:div w:id="663360362">
          <w:marLeft w:val="640"/>
          <w:marRight w:val="0"/>
          <w:marTop w:val="0"/>
          <w:marBottom w:val="0"/>
          <w:divBdr>
            <w:top w:val="none" w:sz="0" w:space="0" w:color="auto"/>
            <w:left w:val="none" w:sz="0" w:space="0" w:color="auto"/>
            <w:bottom w:val="none" w:sz="0" w:space="0" w:color="auto"/>
            <w:right w:val="none" w:sz="0" w:space="0" w:color="auto"/>
          </w:divBdr>
        </w:div>
        <w:div w:id="1248149779">
          <w:marLeft w:val="640"/>
          <w:marRight w:val="0"/>
          <w:marTop w:val="0"/>
          <w:marBottom w:val="0"/>
          <w:divBdr>
            <w:top w:val="none" w:sz="0" w:space="0" w:color="auto"/>
            <w:left w:val="none" w:sz="0" w:space="0" w:color="auto"/>
            <w:bottom w:val="none" w:sz="0" w:space="0" w:color="auto"/>
            <w:right w:val="none" w:sz="0" w:space="0" w:color="auto"/>
          </w:divBdr>
        </w:div>
        <w:div w:id="538444690">
          <w:marLeft w:val="640"/>
          <w:marRight w:val="0"/>
          <w:marTop w:val="0"/>
          <w:marBottom w:val="0"/>
          <w:divBdr>
            <w:top w:val="none" w:sz="0" w:space="0" w:color="auto"/>
            <w:left w:val="none" w:sz="0" w:space="0" w:color="auto"/>
            <w:bottom w:val="none" w:sz="0" w:space="0" w:color="auto"/>
            <w:right w:val="none" w:sz="0" w:space="0" w:color="auto"/>
          </w:divBdr>
        </w:div>
        <w:div w:id="2081101822">
          <w:marLeft w:val="640"/>
          <w:marRight w:val="0"/>
          <w:marTop w:val="0"/>
          <w:marBottom w:val="0"/>
          <w:divBdr>
            <w:top w:val="none" w:sz="0" w:space="0" w:color="auto"/>
            <w:left w:val="none" w:sz="0" w:space="0" w:color="auto"/>
            <w:bottom w:val="none" w:sz="0" w:space="0" w:color="auto"/>
            <w:right w:val="none" w:sz="0" w:space="0" w:color="auto"/>
          </w:divBdr>
        </w:div>
        <w:div w:id="845680116">
          <w:marLeft w:val="640"/>
          <w:marRight w:val="0"/>
          <w:marTop w:val="0"/>
          <w:marBottom w:val="0"/>
          <w:divBdr>
            <w:top w:val="none" w:sz="0" w:space="0" w:color="auto"/>
            <w:left w:val="none" w:sz="0" w:space="0" w:color="auto"/>
            <w:bottom w:val="none" w:sz="0" w:space="0" w:color="auto"/>
            <w:right w:val="none" w:sz="0" w:space="0" w:color="auto"/>
          </w:divBdr>
        </w:div>
        <w:div w:id="722558888">
          <w:marLeft w:val="640"/>
          <w:marRight w:val="0"/>
          <w:marTop w:val="0"/>
          <w:marBottom w:val="0"/>
          <w:divBdr>
            <w:top w:val="none" w:sz="0" w:space="0" w:color="auto"/>
            <w:left w:val="none" w:sz="0" w:space="0" w:color="auto"/>
            <w:bottom w:val="none" w:sz="0" w:space="0" w:color="auto"/>
            <w:right w:val="none" w:sz="0" w:space="0" w:color="auto"/>
          </w:divBdr>
        </w:div>
        <w:div w:id="2064140077">
          <w:marLeft w:val="640"/>
          <w:marRight w:val="0"/>
          <w:marTop w:val="0"/>
          <w:marBottom w:val="0"/>
          <w:divBdr>
            <w:top w:val="none" w:sz="0" w:space="0" w:color="auto"/>
            <w:left w:val="none" w:sz="0" w:space="0" w:color="auto"/>
            <w:bottom w:val="none" w:sz="0" w:space="0" w:color="auto"/>
            <w:right w:val="none" w:sz="0" w:space="0" w:color="auto"/>
          </w:divBdr>
        </w:div>
        <w:div w:id="548540547">
          <w:marLeft w:val="640"/>
          <w:marRight w:val="0"/>
          <w:marTop w:val="0"/>
          <w:marBottom w:val="0"/>
          <w:divBdr>
            <w:top w:val="none" w:sz="0" w:space="0" w:color="auto"/>
            <w:left w:val="none" w:sz="0" w:space="0" w:color="auto"/>
            <w:bottom w:val="none" w:sz="0" w:space="0" w:color="auto"/>
            <w:right w:val="none" w:sz="0" w:space="0" w:color="auto"/>
          </w:divBdr>
        </w:div>
        <w:div w:id="1572151303">
          <w:marLeft w:val="640"/>
          <w:marRight w:val="0"/>
          <w:marTop w:val="0"/>
          <w:marBottom w:val="0"/>
          <w:divBdr>
            <w:top w:val="none" w:sz="0" w:space="0" w:color="auto"/>
            <w:left w:val="none" w:sz="0" w:space="0" w:color="auto"/>
            <w:bottom w:val="none" w:sz="0" w:space="0" w:color="auto"/>
            <w:right w:val="none" w:sz="0" w:space="0" w:color="auto"/>
          </w:divBdr>
        </w:div>
        <w:div w:id="1242715452">
          <w:marLeft w:val="640"/>
          <w:marRight w:val="0"/>
          <w:marTop w:val="0"/>
          <w:marBottom w:val="0"/>
          <w:divBdr>
            <w:top w:val="none" w:sz="0" w:space="0" w:color="auto"/>
            <w:left w:val="none" w:sz="0" w:space="0" w:color="auto"/>
            <w:bottom w:val="none" w:sz="0" w:space="0" w:color="auto"/>
            <w:right w:val="none" w:sz="0" w:space="0" w:color="auto"/>
          </w:divBdr>
        </w:div>
        <w:div w:id="1204247030">
          <w:marLeft w:val="640"/>
          <w:marRight w:val="0"/>
          <w:marTop w:val="0"/>
          <w:marBottom w:val="0"/>
          <w:divBdr>
            <w:top w:val="none" w:sz="0" w:space="0" w:color="auto"/>
            <w:left w:val="none" w:sz="0" w:space="0" w:color="auto"/>
            <w:bottom w:val="none" w:sz="0" w:space="0" w:color="auto"/>
            <w:right w:val="none" w:sz="0" w:space="0" w:color="auto"/>
          </w:divBdr>
        </w:div>
        <w:div w:id="2035688196">
          <w:marLeft w:val="640"/>
          <w:marRight w:val="0"/>
          <w:marTop w:val="0"/>
          <w:marBottom w:val="0"/>
          <w:divBdr>
            <w:top w:val="none" w:sz="0" w:space="0" w:color="auto"/>
            <w:left w:val="none" w:sz="0" w:space="0" w:color="auto"/>
            <w:bottom w:val="none" w:sz="0" w:space="0" w:color="auto"/>
            <w:right w:val="none" w:sz="0" w:space="0" w:color="auto"/>
          </w:divBdr>
        </w:div>
        <w:div w:id="582229172">
          <w:marLeft w:val="640"/>
          <w:marRight w:val="0"/>
          <w:marTop w:val="0"/>
          <w:marBottom w:val="0"/>
          <w:divBdr>
            <w:top w:val="none" w:sz="0" w:space="0" w:color="auto"/>
            <w:left w:val="none" w:sz="0" w:space="0" w:color="auto"/>
            <w:bottom w:val="none" w:sz="0" w:space="0" w:color="auto"/>
            <w:right w:val="none" w:sz="0" w:space="0" w:color="auto"/>
          </w:divBdr>
        </w:div>
        <w:div w:id="1254390641">
          <w:marLeft w:val="640"/>
          <w:marRight w:val="0"/>
          <w:marTop w:val="0"/>
          <w:marBottom w:val="0"/>
          <w:divBdr>
            <w:top w:val="none" w:sz="0" w:space="0" w:color="auto"/>
            <w:left w:val="none" w:sz="0" w:space="0" w:color="auto"/>
            <w:bottom w:val="none" w:sz="0" w:space="0" w:color="auto"/>
            <w:right w:val="none" w:sz="0" w:space="0" w:color="auto"/>
          </w:divBdr>
        </w:div>
        <w:div w:id="983511702">
          <w:marLeft w:val="640"/>
          <w:marRight w:val="0"/>
          <w:marTop w:val="0"/>
          <w:marBottom w:val="0"/>
          <w:divBdr>
            <w:top w:val="none" w:sz="0" w:space="0" w:color="auto"/>
            <w:left w:val="none" w:sz="0" w:space="0" w:color="auto"/>
            <w:bottom w:val="none" w:sz="0" w:space="0" w:color="auto"/>
            <w:right w:val="none" w:sz="0" w:space="0" w:color="auto"/>
          </w:divBdr>
        </w:div>
        <w:div w:id="862405453">
          <w:marLeft w:val="640"/>
          <w:marRight w:val="0"/>
          <w:marTop w:val="0"/>
          <w:marBottom w:val="0"/>
          <w:divBdr>
            <w:top w:val="none" w:sz="0" w:space="0" w:color="auto"/>
            <w:left w:val="none" w:sz="0" w:space="0" w:color="auto"/>
            <w:bottom w:val="none" w:sz="0" w:space="0" w:color="auto"/>
            <w:right w:val="none" w:sz="0" w:space="0" w:color="auto"/>
          </w:divBdr>
        </w:div>
        <w:div w:id="997802382">
          <w:marLeft w:val="640"/>
          <w:marRight w:val="0"/>
          <w:marTop w:val="0"/>
          <w:marBottom w:val="0"/>
          <w:divBdr>
            <w:top w:val="none" w:sz="0" w:space="0" w:color="auto"/>
            <w:left w:val="none" w:sz="0" w:space="0" w:color="auto"/>
            <w:bottom w:val="none" w:sz="0" w:space="0" w:color="auto"/>
            <w:right w:val="none" w:sz="0" w:space="0" w:color="auto"/>
          </w:divBdr>
        </w:div>
        <w:div w:id="2015300720">
          <w:marLeft w:val="640"/>
          <w:marRight w:val="0"/>
          <w:marTop w:val="0"/>
          <w:marBottom w:val="0"/>
          <w:divBdr>
            <w:top w:val="none" w:sz="0" w:space="0" w:color="auto"/>
            <w:left w:val="none" w:sz="0" w:space="0" w:color="auto"/>
            <w:bottom w:val="none" w:sz="0" w:space="0" w:color="auto"/>
            <w:right w:val="none" w:sz="0" w:space="0" w:color="auto"/>
          </w:divBdr>
        </w:div>
        <w:div w:id="599457999">
          <w:marLeft w:val="640"/>
          <w:marRight w:val="0"/>
          <w:marTop w:val="0"/>
          <w:marBottom w:val="0"/>
          <w:divBdr>
            <w:top w:val="none" w:sz="0" w:space="0" w:color="auto"/>
            <w:left w:val="none" w:sz="0" w:space="0" w:color="auto"/>
            <w:bottom w:val="none" w:sz="0" w:space="0" w:color="auto"/>
            <w:right w:val="none" w:sz="0" w:space="0" w:color="auto"/>
          </w:divBdr>
        </w:div>
        <w:div w:id="1190683405">
          <w:marLeft w:val="640"/>
          <w:marRight w:val="0"/>
          <w:marTop w:val="0"/>
          <w:marBottom w:val="0"/>
          <w:divBdr>
            <w:top w:val="none" w:sz="0" w:space="0" w:color="auto"/>
            <w:left w:val="none" w:sz="0" w:space="0" w:color="auto"/>
            <w:bottom w:val="none" w:sz="0" w:space="0" w:color="auto"/>
            <w:right w:val="none" w:sz="0" w:space="0" w:color="auto"/>
          </w:divBdr>
        </w:div>
        <w:div w:id="364141082">
          <w:marLeft w:val="640"/>
          <w:marRight w:val="0"/>
          <w:marTop w:val="0"/>
          <w:marBottom w:val="0"/>
          <w:divBdr>
            <w:top w:val="none" w:sz="0" w:space="0" w:color="auto"/>
            <w:left w:val="none" w:sz="0" w:space="0" w:color="auto"/>
            <w:bottom w:val="none" w:sz="0" w:space="0" w:color="auto"/>
            <w:right w:val="none" w:sz="0" w:space="0" w:color="auto"/>
          </w:divBdr>
        </w:div>
        <w:div w:id="309291044">
          <w:marLeft w:val="640"/>
          <w:marRight w:val="0"/>
          <w:marTop w:val="0"/>
          <w:marBottom w:val="0"/>
          <w:divBdr>
            <w:top w:val="none" w:sz="0" w:space="0" w:color="auto"/>
            <w:left w:val="none" w:sz="0" w:space="0" w:color="auto"/>
            <w:bottom w:val="none" w:sz="0" w:space="0" w:color="auto"/>
            <w:right w:val="none" w:sz="0" w:space="0" w:color="auto"/>
          </w:divBdr>
        </w:div>
        <w:div w:id="1265839881">
          <w:marLeft w:val="640"/>
          <w:marRight w:val="0"/>
          <w:marTop w:val="0"/>
          <w:marBottom w:val="0"/>
          <w:divBdr>
            <w:top w:val="none" w:sz="0" w:space="0" w:color="auto"/>
            <w:left w:val="none" w:sz="0" w:space="0" w:color="auto"/>
            <w:bottom w:val="none" w:sz="0" w:space="0" w:color="auto"/>
            <w:right w:val="none" w:sz="0" w:space="0" w:color="auto"/>
          </w:divBdr>
        </w:div>
        <w:div w:id="1571961357">
          <w:marLeft w:val="640"/>
          <w:marRight w:val="0"/>
          <w:marTop w:val="0"/>
          <w:marBottom w:val="0"/>
          <w:divBdr>
            <w:top w:val="none" w:sz="0" w:space="0" w:color="auto"/>
            <w:left w:val="none" w:sz="0" w:space="0" w:color="auto"/>
            <w:bottom w:val="none" w:sz="0" w:space="0" w:color="auto"/>
            <w:right w:val="none" w:sz="0" w:space="0" w:color="auto"/>
          </w:divBdr>
        </w:div>
        <w:div w:id="1575317548">
          <w:marLeft w:val="640"/>
          <w:marRight w:val="0"/>
          <w:marTop w:val="0"/>
          <w:marBottom w:val="0"/>
          <w:divBdr>
            <w:top w:val="none" w:sz="0" w:space="0" w:color="auto"/>
            <w:left w:val="none" w:sz="0" w:space="0" w:color="auto"/>
            <w:bottom w:val="none" w:sz="0" w:space="0" w:color="auto"/>
            <w:right w:val="none" w:sz="0" w:space="0" w:color="auto"/>
          </w:divBdr>
        </w:div>
        <w:div w:id="743993665">
          <w:marLeft w:val="640"/>
          <w:marRight w:val="0"/>
          <w:marTop w:val="0"/>
          <w:marBottom w:val="0"/>
          <w:divBdr>
            <w:top w:val="none" w:sz="0" w:space="0" w:color="auto"/>
            <w:left w:val="none" w:sz="0" w:space="0" w:color="auto"/>
            <w:bottom w:val="none" w:sz="0" w:space="0" w:color="auto"/>
            <w:right w:val="none" w:sz="0" w:space="0" w:color="auto"/>
          </w:divBdr>
        </w:div>
        <w:div w:id="830102435">
          <w:marLeft w:val="640"/>
          <w:marRight w:val="0"/>
          <w:marTop w:val="0"/>
          <w:marBottom w:val="0"/>
          <w:divBdr>
            <w:top w:val="none" w:sz="0" w:space="0" w:color="auto"/>
            <w:left w:val="none" w:sz="0" w:space="0" w:color="auto"/>
            <w:bottom w:val="none" w:sz="0" w:space="0" w:color="auto"/>
            <w:right w:val="none" w:sz="0" w:space="0" w:color="auto"/>
          </w:divBdr>
        </w:div>
        <w:div w:id="1525704202">
          <w:marLeft w:val="640"/>
          <w:marRight w:val="0"/>
          <w:marTop w:val="0"/>
          <w:marBottom w:val="0"/>
          <w:divBdr>
            <w:top w:val="none" w:sz="0" w:space="0" w:color="auto"/>
            <w:left w:val="none" w:sz="0" w:space="0" w:color="auto"/>
            <w:bottom w:val="none" w:sz="0" w:space="0" w:color="auto"/>
            <w:right w:val="none" w:sz="0" w:space="0" w:color="auto"/>
          </w:divBdr>
        </w:div>
        <w:div w:id="1485779764">
          <w:marLeft w:val="640"/>
          <w:marRight w:val="0"/>
          <w:marTop w:val="0"/>
          <w:marBottom w:val="0"/>
          <w:divBdr>
            <w:top w:val="none" w:sz="0" w:space="0" w:color="auto"/>
            <w:left w:val="none" w:sz="0" w:space="0" w:color="auto"/>
            <w:bottom w:val="none" w:sz="0" w:space="0" w:color="auto"/>
            <w:right w:val="none" w:sz="0" w:space="0" w:color="auto"/>
          </w:divBdr>
        </w:div>
        <w:div w:id="1267008695">
          <w:marLeft w:val="640"/>
          <w:marRight w:val="0"/>
          <w:marTop w:val="0"/>
          <w:marBottom w:val="0"/>
          <w:divBdr>
            <w:top w:val="none" w:sz="0" w:space="0" w:color="auto"/>
            <w:left w:val="none" w:sz="0" w:space="0" w:color="auto"/>
            <w:bottom w:val="none" w:sz="0" w:space="0" w:color="auto"/>
            <w:right w:val="none" w:sz="0" w:space="0" w:color="auto"/>
          </w:divBdr>
        </w:div>
        <w:div w:id="844174021">
          <w:marLeft w:val="640"/>
          <w:marRight w:val="0"/>
          <w:marTop w:val="0"/>
          <w:marBottom w:val="0"/>
          <w:divBdr>
            <w:top w:val="none" w:sz="0" w:space="0" w:color="auto"/>
            <w:left w:val="none" w:sz="0" w:space="0" w:color="auto"/>
            <w:bottom w:val="none" w:sz="0" w:space="0" w:color="auto"/>
            <w:right w:val="none" w:sz="0" w:space="0" w:color="auto"/>
          </w:divBdr>
        </w:div>
        <w:div w:id="2123498964">
          <w:marLeft w:val="640"/>
          <w:marRight w:val="0"/>
          <w:marTop w:val="0"/>
          <w:marBottom w:val="0"/>
          <w:divBdr>
            <w:top w:val="none" w:sz="0" w:space="0" w:color="auto"/>
            <w:left w:val="none" w:sz="0" w:space="0" w:color="auto"/>
            <w:bottom w:val="none" w:sz="0" w:space="0" w:color="auto"/>
            <w:right w:val="none" w:sz="0" w:space="0" w:color="auto"/>
          </w:divBdr>
        </w:div>
        <w:div w:id="1169633175">
          <w:marLeft w:val="640"/>
          <w:marRight w:val="0"/>
          <w:marTop w:val="0"/>
          <w:marBottom w:val="0"/>
          <w:divBdr>
            <w:top w:val="none" w:sz="0" w:space="0" w:color="auto"/>
            <w:left w:val="none" w:sz="0" w:space="0" w:color="auto"/>
            <w:bottom w:val="none" w:sz="0" w:space="0" w:color="auto"/>
            <w:right w:val="none" w:sz="0" w:space="0" w:color="auto"/>
          </w:divBdr>
        </w:div>
        <w:div w:id="314726704">
          <w:marLeft w:val="640"/>
          <w:marRight w:val="0"/>
          <w:marTop w:val="0"/>
          <w:marBottom w:val="0"/>
          <w:divBdr>
            <w:top w:val="none" w:sz="0" w:space="0" w:color="auto"/>
            <w:left w:val="none" w:sz="0" w:space="0" w:color="auto"/>
            <w:bottom w:val="none" w:sz="0" w:space="0" w:color="auto"/>
            <w:right w:val="none" w:sz="0" w:space="0" w:color="auto"/>
          </w:divBdr>
        </w:div>
        <w:div w:id="1566261862">
          <w:marLeft w:val="640"/>
          <w:marRight w:val="0"/>
          <w:marTop w:val="0"/>
          <w:marBottom w:val="0"/>
          <w:divBdr>
            <w:top w:val="none" w:sz="0" w:space="0" w:color="auto"/>
            <w:left w:val="none" w:sz="0" w:space="0" w:color="auto"/>
            <w:bottom w:val="none" w:sz="0" w:space="0" w:color="auto"/>
            <w:right w:val="none" w:sz="0" w:space="0" w:color="auto"/>
          </w:divBdr>
        </w:div>
        <w:div w:id="1761754152">
          <w:marLeft w:val="640"/>
          <w:marRight w:val="0"/>
          <w:marTop w:val="0"/>
          <w:marBottom w:val="0"/>
          <w:divBdr>
            <w:top w:val="none" w:sz="0" w:space="0" w:color="auto"/>
            <w:left w:val="none" w:sz="0" w:space="0" w:color="auto"/>
            <w:bottom w:val="none" w:sz="0" w:space="0" w:color="auto"/>
            <w:right w:val="none" w:sz="0" w:space="0" w:color="auto"/>
          </w:divBdr>
        </w:div>
        <w:div w:id="556167252">
          <w:marLeft w:val="640"/>
          <w:marRight w:val="0"/>
          <w:marTop w:val="0"/>
          <w:marBottom w:val="0"/>
          <w:divBdr>
            <w:top w:val="none" w:sz="0" w:space="0" w:color="auto"/>
            <w:left w:val="none" w:sz="0" w:space="0" w:color="auto"/>
            <w:bottom w:val="none" w:sz="0" w:space="0" w:color="auto"/>
            <w:right w:val="none" w:sz="0" w:space="0" w:color="auto"/>
          </w:divBdr>
        </w:div>
        <w:div w:id="622922332">
          <w:marLeft w:val="640"/>
          <w:marRight w:val="0"/>
          <w:marTop w:val="0"/>
          <w:marBottom w:val="0"/>
          <w:divBdr>
            <w:top w:val="none" w:sz="0" w:space="0" w:color="auto"/>
            <w:left w:val="none" w:sz="0" w:space="0" w:color="auto"/>
            <w:bottom w:val="none" w:sz="0" w:space="0" w:color="auto"/>
            <w:right w:val="none" w:sz="0" w:space="0" w:color="auto"/>
          </w:divBdr>
        </w:div>
        <w:div w:id="839083618">
          <w:marLeft w:val="640"/>
          <w:marRight w:val="0"/>
          <w:marTop w:val="0"/>
          <w:marBottom w:val="0"/>
          <w:divBdr>
            <w:top w:val="none" w:sz="0" w:space="0" w:color="auto"/>
            <w:left w:val="none" w:sz="0" w:space="0" w:color="auto"/>
            <w:bottom w:val="none" w:sz="0" w:space="0" w:color="auto"/>
            <w:right w:val="none" w:sz="0" w:space="0" w:color="auto"/>
          </w:divBdr>
        </w:div>
        <w:div w:id="35476549">
          <w:marLeft w:val="640"/>
          <w:marRight w:val="0"/>
          <w:marTop w:val="0"/>
          <w:marBottom w:val="0"/>
          <w:divBdr>
            <w:top w:val="none" w:sz="0" w:space="0" w:color="auto"/>
            <w:left w:val="none" w:sz="0" w:space="0" w:color="auto"/>
            <w:bottom w:val="none" w:sz="0" w:space="0" w:color="auto"/>
            <w:right w:val="none" w:sz="0" w:space="0" w:color="auto"/>
          </w:divBdr>
        </w:div>
        <w:div w:id="1473907520">
          <w:marLeft w:val="640"/>
          <w:marRight w:val="0"/>
          <w:marTop w:val="0"/>
          <w:marBottom w:val="0"/>
          <w:divBdr>
            <w:top w:val="none" w:sz="0" w:space="0" w:color="auto"/>
            <w:left w:val="none" w:sz="0" w:space="0" w:color="auto"/>
            <w:bottom w:val="none" w:sz="0" w:space="0" w:color="auto"/>
            <w:right w:val="none" w:sz="0" w:space="0" w:color="auto"/>
          </w:divBdr>
        </w:div>
        <w:div w:id="508832498">
          <w:marLeft w:val="640"/>
          <w:marRight w:val="0"/>
          <w:marTop w:val="0"/>
          <w:marBottom w:val="0"/>
          <w:divBdr>
            <w:top w:val="none" w:sz="0" w:space="0" w:color="auto"/>
            <w:left w:val="none" w:sz="0" w:space="0" w:color="auto"/>
            <w:bottom w:val="none" w:sz="0" w:space="0" w:color="auto"/>
            <w:right w:val="none" w:sz="0" w:space="0" w:color="auto"/>
          </w:divBdr>
        </w:div>
        <w:div w:id="58135241">
          <w:marLeft w:val="640"/>
          <w:marRight w:val="0"/>
          <w:marTop w:val="0"/>
          <w:marBottom w:val="0"/>
          <w:divBdr>
            <w:top w:val="none" w:sz="0" w:space="0" w:color="auto"/>
            <w:left w:val="none" w:sz="0" w:space="0" w:color="auto"/>
            <w:bottom w:val="none" w:sz="0" w:space="0" w:color="auto"/>
            <w:right w:val="none" w:sz="0" w:space="0" w:color="auto"/>
          </w:divBdr>
        </w:div>
        <w:div w:id="1067218735">
          <w:marLeft w:val="640"/>
          <w:marRight w:val="0"/>
          <w:marTop w:val="0"/>
          <w:marBottom w:val="0"/>
          <w:divBdr>
            <w:top w:val="none" w:sz="0" w:space="0" w:color="auto"/>
            <w:left w:val="none" w:sz="0" w:space="0" w:color="auto"/>
            <w:bottom w:val="none" w:sz="0" w:space="0" w:color="auto"/>
            <w:right w:val="none" w:sz="0" w:space="0" w:color="auto"/>
          </w:divBdr>
        </w:div>
        <w:div w:id="1787892750">
          <w:marLeft w:val="640"/>
          <w:marRight w:val="0"/>
          <w:marTop w:val="0"/>
          <w:marBottom w:val="0"/>
          <w:divBdr>
            <w:top w:val="none" w:sz="0" w:space="0" w:color="auto"/>
            <w:left w:val="none" w:sz="0" w:space="0" w:color="auto"/>
            <w:bottom w:val="none" w:sz="0" w:space="0" w:color="auto"/>
            <w:right w:val="none" w:sz="0" w:space="0" w:color="auto"/>
          </w:divBdr>
        </w:div>
        <w:div w:id="1216545406">
          <w:marLeft w:val="640"/>
          <w:marRight w:val="0"/>
          <w:marTop w:val="0"/>
          <w:marBottom w:val="0"/>
          <w:divBdr>
            <w:top w:val="none" w:sz="0" w:space="0" w:color="auto"/>
            <w:left w:val="none" w:sz="0" w:space="0" w:color="auto"/>
            <w:bottom w:val="none" w:sz="0" w:space="0" w:color="auto"/>
            <w:right w:val="none" w:sz="0" w:space="0" w:color="auto"/>
          </w:divBdr>
        </w:div>
        <w:div w:id="292636093">
          <w:marLeft w:val="640"/>
          <w:marRight w:val="0"/>
          <w:marTop w:val="0"/>
          <w:marBottom w:val="0"/>
          <w:divBdr>
            <w:top w:val="none" w:sz="0" w:space="0" w:color="auto"/>
            <w:left w:val="none" w:sz="0" w:space="0" w:color="auto"/>
            <w:bottom w:val="none" w:sz="0" w:space="0" w:color="auto"/>
            <w:right w:val="none" w:sz="0" w:space="0" w:color="auto"/>
          </w:divBdr>
        </w:div>
        <w:div w:id="1834250250">
          <w:marLeft w:val="640"/>
          <w:marRight w:val="0"/>
          <w:marTop w:val="0"/>
          <w:marBottom w:val="0"/>
          <w:divBdr>
            <w:top w:val="none" w:sz="0" w:space="0" w:color="auto"/>
            <w:left w:val="none" w:sz="0" w:space="0" w:color="auto"/>
            <w:bottom w:val="none" w:sz="0" w:space="0" w:color="auto"/>
            <w:right w:val="none" w:sz="0" w:space="0" w:color="auto"/>
          </w:divBdr>
        </w:div>
        <w:div w:id="290983350">
          <w:marLeft w:val="640"/>
          <w:marRight w:val="0"/>
          <w:marTop w:val="0"/>
          <w:marBottom w:val="0"/>
          <w:divBdr>
            <w:top w:val="none" w:sz="0" w:space="0" w:color="auto"/>
            <w:left w:val="none" w:sz="0" w:space="0" w:color="auto"/>
            <w:bottom w:val="none" w:sz="0" w:space="0" w:color="auto"/>
            <w:right w:val="none" w:sz="0" w:space="0" w:color="auto"/>
          </w:divBdr>
        </w:div>
        <w:div w:id="633410938">
          <w:marLeft w:val="640"/>
          <w:marRight w:val="0"/>
          <w:marTop w:val="0"/>
          <w:marBottom w:val="0"/>
          <w:divBdr>
            <w:top w:val="none" w:sz="0" w:space="0" w:color="auto"/>
            <w:left w:val="none" w:sz="0" w:space="0" w:color="auto"/>
            <w:bottom w:val="none" w:sz="0" w:space="0" w:color="auto"/>
            <w:right w:val="none" w:sz="0" w:space="0" w:color="auto"/>
          </w:divBdr>
        </w:div>
        <w:div w:id="801651987">
          <w:marLeft w:val="640"/>
          <w:marRight w:val="0"/>
          <w:marTop w:val="0"/>
          <w:marBottom w:val="0"/>
          <w:divBdr>
            <w:top w:val="none" w:sz="0" w:space="0" w:color="auto"/>
            <w:left w:val="none" w:sz="0" w:space="0" w:color="auto"/>
            <w:bottom w:val="none" w:sz="0" w:space="0" w:color="auto"/>
            <w:right w:val="none" w:sz="0" w:space="0" w:color="auto"/>
          </w:divBdr>
        </w:div>
        <w:div w:id="1741753179">
          <w:marLeft w:val="640"/>
          <w:marRight w:val="0"/>
          <w:marTop w:val="0"/>
          <w:marBottom w:val="0"/>
          <w:divBdr>
            <w:top w:val="none" w:sz="0" w:space="0" w:color="auto"/>
            <w:left w:val="none" w:sz="0" w:space="0" w:color="auto"/>
            <w:bottom w:val="none" w:sz="0" w:space="0" w:color="auto"/>
            <w:right w:val="none" w:sz="0" w:space="0" w:color="auto"/>
          </w:divBdr>
        </w:div>
        <w:div w:id="1579364966">
          <w:marLeft w:val="640"/>
          <w:marRight w:val="0"/>
          <w:marTop w:val="0"/>
          <w:marBottom w:val="0"/>
          <w:divBdr>
            <w:top w:val="none" w:sz="0" w:space="0" w:color="auto"/>
            <w:left w:val="none" w:sz="0" w:space="0" w:color="auto"/>
            <w:bottom w:val="none" w:sz="0" w:space="0" w:color="auto"/>
            <w:right w:val="none" w:sz="0" w:space="0" w:color="auto"/>
          </w:divBdr>
        </w:div>
        <w:div w:id="1243218304">
          <w:marLeft w:val="640"/>
          <w:marRight w:val="0"/>
          <w:marTop w:val="0"/>
          <w:marBottom w:val="0"/>
          <w:divBdr>
            <w:top w:val="none" w:sz="0" w:space="0" w:color="auto"/>
            <w:left w:val="none" w:sz="0" w:space="0" w:color="auto"/>
            <w:bottom w:val="none" w:sz="0" w:space="0" w:color="auto"/>
            <w:right w:val="none" w:sz="0" w:space="0" w:color="auto"/>
          </w:divBdr>
        </w:div>
        <w:div w:id="1918318329">
          <w:marLeft w:val="640"/>
          <w:marRight w:val="0"/>
          <w:marTop w:val="0"/>
          <w:marBottom w:val="0"/>
          <w:divBdr>
            <w:top w:val="none" w:sz="0" w:space="0" w:color="auto"/>
            <w:left w:val="none" w:sz="0" w:space="0" w:color="auto"/>
            <w:bottom w:val="none" w:sz="0" w:space="0" w:color="auto"/>
            <w:right w:val="none" w:sz="0" w:space="0" w:color="auto"/>
          </w:divBdr>
        </w:div>
        <w:div w:id="20789119">
          <w:marLeft w:val="640"/>
          <w:marRight w:val="0"/>
          <w:marTop w:val="0"/>
          <w:marBottom w:val="0"/>
          <w:divBdr>
            <w:top w:val="none" w:sz="0" w:space="0" w:color="auto"/>
            <w:left w:val="none" w:sz="0" w:space="0" w:color="auto"/>
            <w:bottom w:val="none" w:sz="0" w:space="0" w:color="auto"/>
            <w:right w:val="none" w:sz="0" w:space="0" w:color="auto"/>
          </w:divBdr>
        </w:div>
        <w:div w:id="1537884629">
          <w:marLeft w:val="640"/>
          <w:marRight w:val="0"/>
          <w:marTop w:val="0"/>
          <w:marBottom w:val="0"/>
          <w:divBdr>
            <w:top w:val="none" w:sz="0" w:space="0" w:color="auto"/>
            <w:left w:val="none" w:sz="0" w:space="0" w:color="auto"/>
            <w:bottom w:val="none" w:sz="0" w:space="0" w:color="auto"/>
            <w:right w:val="none" w:sz="0" w:space="0" w:color="auto"/>
          </w:divBdr>
        </w:div>
        <w:div w:id="1290404220">
          <w:marLeft w:val="640"/>
          <w:marRight w:val="0"/>
          <w:marTop w:val="0"/>
          <w:marBottom w:val="0"/>
          <w:divBdr>
            <w:top w:val="none" w:sz="0" w:space="0" w:color="auto"/>
            <w:left w:val="none" w:sz="0" w:space="0" w:color="auto"/>
            <w:bottom w:val="none" w:sz="0" w:space="0" w:color="auto"/>
            <w:right w:val="none" w:sz="0" w:space="0" w:color="auto"/>
          </w:divBdr>
        </w:div>
        <w:div w:id="171070437">
          <w:marLeft w:val="640"/>
          <w:marRight w:val="0"/>
          <w:marTop w:val="0"/>
          <w:marBottom w:val="0"/>
          <w:divBdr>
            <w:top w:val="none" w:sz="0" w:space="0" w:color="auto"/>
            <w:left w:val="none" w:sz="0" w:space="0" w:color="auto"/>
            <w:bottom w:val="none" w:sz="0" w:space="0" w:color="auto"/>
            <w:right w:val="none" w:sz="0" w:space="0" w:color="auto"/>
          </w:divBdr>
        </w:div>
        <w:div w:id="681247201">
          <w:marLeft w:val="640"/>
          <w:marRight w:val="0"/>
          <w:marTop w:val="0"/>
          <w:marBottom w:val="0"/>
          <w:divBdr>
            <w:top w:val="none" w:sz="0" w:space="0" w:color="auto"/>
            <w:left w:val="none" w:sz="0" w:space="0" w:color="auto"/>
            <w:bottom w:val="none" w:sz="0" w:space="0" w:color="auto"/>
            <w:right w:val="none" w:sz="0" w:space="0" w:color="auto"/>
          </w:divBdr>
        </w:div>
        <w:div w:id="565990609">
          <w:marLeft w:val="640"/>
          <w:marRight w:val="0"/>
          <w:marTop w:val="0"/>
          <w:marBottom w:val="0"/>
          <w:divBdr>
            <w:top w:val="none" w:sz="0" w:space="0" w:color="auto"/>
            <w:left w:val="none" w:sz="0" w:space="0" w:color="auto"/>
            <w:bottom w:val="none" w:sz="0" w:space="0" w:color="auto"/>
            <w:right w:val="none" w:sz="0" w:space="0" w:color="auto"/>
          </w:divBdr>
        </w:div>
        <w:div w:id="1603952937">
          <w:marLeft w:val="640"/>
          <w:marRight w:val="0"/>
          <w:marTop w:val="0"/>
          <w:marBottom w:val="0"/>
          <w:divBdr>
            <w:top w:val="none" w:sz="0" w:space="0" w:color="auto"/>
            <w:left w:val="none" w:sz="0" w:space="0" w:color="auto"/>
            <w:bottom w:val="none" w:sz="0" w:space="0" w:color="auto"/>
            <w:right w:val="none" w:sz="0" w:space="0" w:color="auto"/>
          </w:divBdr>
        </w:div>
        <w:div w:id="996111508">
          <w:marLeft w:val="640"/>
          <w:marRight w:val="0"/>
          <w:marTop w:val="0"/>
          <w:marBottom w:val="0"/>
          <w:divBdr>
            <w:top w:val="none" w:sz="0" w:space="0" w:color="auto"/>
            <w:left w:val="none" w:sz="0" w:space="0" w:color="auto"/>
            <w:bottom w:val="none" w:sz="0" w:space="0" w:color="auto"/>
            <w:right w:val="none" w:sz="0" w:space="0" w:color="auto"/>
          </w:divBdr>
        </w:div>
        <w:div w:id="476338060">
          <w:marLeft w:val="640"/>
          <w:marRight w:val="0"/>
          <w:marTop w:val="0"/>
          <w:marBottom w:val="0"/>
          <w:divBdr>
            <w:top w:val="none" w:sz="0" w:space="0" w:color="auto"/>
            <w:left w:val="none" w:sz="0" w:space="0" w:color="auto"/>
            <w:bottom w:val="none" w:sz="0" w:space="0" w:color="auto"/>
            <w:right w:val="none" w:sz="0" w:space="0" w:color="auto"/>
          </w:divBdr>
        </w:div>
        <w:div w:id="851796060">
          <w:marLeft w:val="640"/>
          <w:marRight w:val="0"/>
          <w:marTop w:val="0"/>
          <w:marBottom w:val="0"/>
          <w:divBdr>
            <w:top w:val="none" w:sz="0" w:space="0" w:color="auto"/>
            <w:left w:val="none" w:sz="0" w:space="0" w:color="auto"/>
            <w:bottom w:val="none" w:sz="0" w:space="0" w:color="auto"/>
            <w:right w:val="none" w:sz="0" w:space="0" w:color="auto"/>
          </w:divBdr>
        </w:div>
        <w:div w:id="2107187369">
          <w:marLeft w:val="640"/>
          <w:marRight w:val="0"/>
          <w:marTop w:val="0"/>
          <w:marBottom w:val="0"/>
          <w:divBdr>
            <w:top w:val="none" w:sz="0" w:space="0" w:color="auto"/>
            <w:left w:val="none" w:sz="0" w:space="0" w:color="auto"/>
            <w:bottom w:val="none" w:sz="0" w:space="0" w:color="auto"/>
            <w:right w:val="none" w:sz="0" w:space="0" w:color="auto"/>
          </w:divBdr>
        </w:div>
        <w:div w:id="28529158">
          <w:marLeft w:val="640"/>
          <w:marRight w:val="0"/>
          <w:marTop w:val="0"/>
          <w:marBottom w:val="0"/>
          <w:divBdr>
            <w:top w:val="none" w:sz="0" w:space="0" w:color="auto"/>
            <w:left w:val="none" w:sz="0" w:space="0" w:color="auto"/>
            <w:bottom w:val="none" w:sz="0" w:space="0" w:color="auto"/>
            <w:right w:val="none" w:sz="0" w:space="0" w:color="auto"/>
          </w:divBdr>
        </w:div>
        <w:div w:id="1794133135">
          <w:marLeft w:val="640"/>
          <w:marRight w:val="0"/>
          <w:marTop w:val="0"/>
          <w:marBottom w:val="0"/>
          <w:divBdr>
            <w:top w:val="none" w:sz="0" w:space="0" w:color="auto"/>
            <w:left w:val="none" w:sz="0" w:space="0" w:color="auto"/>
            <w:bottom w:val="none" w:sz="0" w:space="0" w:color="auto"/>
            <w:right w:val="none" w:sz="0" w:space="0" w:color="auto"/>
          </w:divBdr>
        </w:div>
        <w:div w:id="1616209665">
          <w:marLeft w:val="640"/>
          <w:marRight w:val="0"/>
          <w:marTop w:val="0"/>
          <w:marBottom w:val="0"/>
          <w:divBdr>
            <w:top w:val="none" w:sz="0" w:space="0" w:color="auto"/>
            <w:left w:val="none" w:sz="0" w:space="0" w:color="auto"/>
            <w:bottom w:val="none" w:sz="0" w:space="0" w:color="auto"/>
            <w:right w:val="none" w:sz="0" w:space="0" w:color="auto"/>
          </w:divBdr>
        </w:div>
        <w:div w:id="1424032389">
          <w:marLeft w:val="640"/>
          <w:marRight w:val="0"/>
          <w:marTop w:val="0"/>
          <w:marBottom w:val="0"/>
          <w:divBdr>
            <w:top w:val="none" w:sz="0" w:space="0" w:color="auto"/>
            <w:left w:val="none" w:sz="0" w:space="0" w:color="auto"/>
            <w:bottom w:val="none" w:sz="0" w:space="0" w:color="auto"/>
            <w:right w:val="none" w:sz="0" w:space="0" w:color="auto"/>
          </w:divBdr>
        </w:div>
        <w:div w:id="476805583">
          <w:marLeft w:val="640"/>
          <w:marRight w:val="0"/>
          <w:marTop w:val="0"/>
          <w:marBottom w:val="0"/>
          <w:divBdr>
            <w:top w:val="none" w:sz="0" w:space="0" w:color="auto"/>
            <w:left w:val="none" w:sz="0" w:space="0" w:color="auto"/>
            <w:bottom w:val="none" w:sz="0" w:space="0" w:color="auto"/>
            <w:right w:val="none" w:sz="0" w:space="0" w:color="auto"/>
          </w:divBdr>
        </w:div>
        <w:div w:id="353383651">
          <w:marLeft w:val="640"/>
          <w:marRight w:val="0"/>
          <w:marTop w:val="0"/>
          <w:marBottom w:val="0"/>
          <w:divBdr>
            <w:top w:val="none" w:sz="0" w:space="0" w:color="auto"/>
            <w:left w:val="none" w:sz="0" w:space="0" w:color="auto"/>
            <w:bottom w:val="none" w:sz="0" w:space="0" w:color="auto"/>
            <w:right w:val="none" w:sz="0" w:space="0" w:color="auto"/>
          </w:divBdr>
        </w:div>
        <w:div w:id="1350567993">
          <w:marLeft w:val="640"/>
          <w:marRight w:val="0"/>
          <w:marTop w:val="0"/>
          <w:marBottom w:val="0"/>
          <w:divBdr>
            <w:top w:val="none" w:sz="0" w:space="0" w:color="auto"/>
            <w:left w:val="none" w:sz="0" w:space="0" w:color="auto"/>
            <w:bottom w:val="none" w:sz="0" w:space="0" w:color="auto"/>
            <w:right w:val="none" w:sz="0" w:space="0" w:color="auto"/>
          </w:divBdr>
        </w:div>
        <w:div w:id="1858537573">
          <w:marLeft w:val="640"/>
          <w:marRight w:val="0"/>
          <w:marTop w:val="0"/>
          <w:marBottom w:val="0"/>
          <w:divBdr>
            <w:top w:val="none" w:sz="0" w:space="0" w:color="auto"/>
            <w:left w:val="none" w:sz="0" w:space="0" w:color="auto"/>
            <w:bottom w:val="none" w:sz="0" w:space="0" w:color="auto"/>
            <w:right w:val="none" w:sz="0" w:space="0" w:color="auto"/>
          </w:divBdr>
        </w:div>
        <w:div w:id="569652271">
          <w:marLeft w:val="640"/>
          <w:marRight w:val="0"/>
          <w:marTop w:val="0"/>
          <w:marBottom w:val="0"/>
          <w:divBdr>
            <w:top w:val="none" w:sz="0" w:space="0" w:color="auto"/>
            <w:left w:val="none" w:sz="0" w:space="0" w:color="auto"/>
            <w:bottom w:val="none" w:sz="0" w:space="0" w:color="auto"/>
            <w:right w:val="none" w:sz="0" w:space="0" w:color="auto"/>
          </w:divBdr>
        </w:div>
        <w:div w:id="1288661406">
          <w:marLeft w:val="640"/>
          <w:marRight w:val="0"/>
          <w:marTop w:val="0"/>
          <w:marBottom w:val="0"/>
          <w:divBdr>
            <w:top w:val="none" w:sz="0" w:space="0" w:color="auto"/>
            <w:left w:val="none" w:sz="0" w:space="0" w:color="auto"/>
            <w:bottom w:val="none" w:sz="0" w:space="0" w:color="auto"/>
            <w:right w:val="none" w:sz="0" w:space="0" w:color="auto"/>
          </w:divBdr>
        </w:div>
        <w:div w:id="1248885356">
          <w:marLeft w:val="640"/>
          <w:marRight w:val="0"/>
          <w:marTop w:val="0"/>
          <w:marBottom w:val="0"/>
          <w:divBdr>
            <w:top w:val="none" w:sz="0" w:space="0" w:color="auto"/>
            <w:left w:val="none" w:sz="0" w:space="0" w:color="auto"/>
            <w:bottom w:val="none" w:sz="0" w:space="0" w:color="auto"/>
            <w:right w:val="none" w:sz="0" w:space="0" w:color="auto"/>
          </w:divBdr>
        </w:div>
        <w:div w:id="1048801395">
          <w:marLeft w:val="640"/>
          <w:marRight w:val="0"/>
          <w:marTop w:val="0"/>
          <w:marBottom w:val="0"/>
          <w:divBdr>
            <w:top w:val="none" w:sz="0" w:space="0" w:color="auto"/>
            <w:left w:val="none" w:sz="0" w:space="0" w:color="auto"/>
            <w:bottom w:val="none" w:sz="0" w:space="0" w:color="auto"/>
            <w:right w:val="none" w:sz="0" w:space="0" w:color="auto"/>
          </w:divBdr>
        </w:div>
        <w:div w:id="2064208637">
          <w:marLeft w:val="640"/>
          <w:marRight w:val="0"/>
          <w:marTop w:val="0"/>
          <w:marBottom w:val="0"/>
          <w:divBdr>
            <w:top w:val="none" w:sz="0" w:space="0" w:color="auto"/>
            <w:left w:val="none" w:sz="0" w:space="0" w:color="auto"/>
            <w:bottom w:val="none" w:sz="0" w:space="0" w:color="auto"/>
            <w:right w:val="none" w:sz="0" w:space="0" w:color="auto"/>
          </w:divBdr>
        </w:div>
        <w:div w:id="565654063">
          <w:marLeft w:val="640"/>
          <w:marRight w:val="0"/>
          <w:marTop w:val="0"/>
          <w:marBottom w:val="0"/>
          <w:divBdr>
            <w:top w:val="none" w:sz="0" w:space="0" w:color="auto"/>
            <w:left w:val="none" w:sz="0" w:space="0" w:color="auto"/>
            <w:bottom w:val="none" w:sz="0" w:space="0" w:color="auto"/>
            <w:right w:val="none" w:sz="0" w:space="0" w:color="auto"/>
          </w:divBdr>
        </w:div>
        <w:div w:id="2141871851">
          <w:marLeft w:val="640"/>
          <w:marRight w:val="0"/>
          <w:marTop w:val="0"/>
          <w:marBottom w:val="0"/>
          <w:divBdr>
            <w:top w:val="none" w:sz="0" w:space="0" w:color="auto"/>
            <w:left w:val="none" w:sz="0" w:space="0" w:color="auto"/>
            <w:bottom w:val="none" w:sz="0" w:space="0" w:color="auto"/>
            <w:right w:val="none" w:sz="0" w:space="0" w:color="auto"/>
          </w:divBdr>
        </w:div>
        <w:div w:id="305819405">
          <w:marLeft w:val="640"/>
          <w:marRight w:val="0"/>
          <w:marTop w:val="0"/>
          <w:marBottom w:val="0"/>
          <w:divBdr>
            <w:top w:val="none" w:sz="0" w:space="0" w:color="auto"/>
            <w:left w:val="none" w:sz="0" w:space="0" w:color="auto"/>
            <w:bottom w:val="none" w:sz="0" w:space="0" w:color="auto"/>
            <w:right w:val="none" w:sz="0" w:space="0" w:color="auto"/>
          </w:divBdr>
        </w:div>
        <w:div w:id="25369822">
          <w:marLeft w:val="640"/>
          <w:marRight w:val="0"/>
          <w:marTop w:val="0"/>
          <w:marBottom w:val="0"/>
          <w:divBdr>
            <w:top w:val="none" w:sz="0" w:space="0" w:color="auto"/>
            <w:left w:val="none" w:sz="0" w:space="0" w:color="auto"/>
            <w:bottom w:val="none" w:sz="0" w:space="0" w:color="auto"/>
            <w:right w:val="none" w:sz="0" w:space="0" w:color="auto"/>
          </w:divBdr>
        </w:div>
        <w:div w:id="1027877421">
          <w:marLeft w:val="640"/>
          <w:marRight w:val="0"/>
          <w:marTop w:val="0"/>
          <w:marBottom w:val="0"/>
          <w:divBdr>
            <w:top w:val="none" w:sz="0" w:space="0" w:color="auto"/>
            <w:left w:val="none" w:sz="0" w:space="0" w:color="auto"/>
            <w:bottom w:val="none" w:sz="0" w:space="0" w:color="auto"/>
            <w:right w:val="none" w:sz="0" w:space="0" w:color="auto"/>
          </w:divBdr>
        </w:div>
        <w:div w:id="1823883287">
          <w:marLeft w:val="640"/>
          <w:marRight w:val="0"/>
          <w:marTop w:val="0"/>
          <w:marBottom w:val="0"/>
          <w:divBdr>
            <w:top w:val="none" w:sz="0" w:space="0" w:color="auto"/>
            <w:left w:val="none" w:sz="0" w:space="0" w:color="auto"/>
            <w:bottom w:val="none" w:sz="0" w:space="0" w:color="auto"/>
            <w:right w:val="none" w:sz="0" w:space="0" w:color="auto"/>
          </w:divBdr>
        </w:div>
        <w:div w:id="146284449">
          <w:marLeft w:val="640"/>
          <w:marRight w:val="0"/>
          <w:marTop w:val="0"/>
          <w:marBottom w:val="0"/>
          <w:divBdr>
            <w:top w:val="none" w:sz="0" w:space="0" w:color="auto"/>
            <w:left w:val="none" w:sz="0" w:space="0" w:color="auto"/>
            <w:bottom w:val="none" w:sz="0" w:space="0" w:color="auto"/>
            <w:right w:val="none" w:sz="0" w:space="0" w:color="auto"/>
          </w:divBdr>
        </w:div>
        <w:div w:id="793983876">
          <w:marLeft w:val="640"/>
          <w:marRight w:val="0"/>
          <w:marTop w:val="0"/>
          <w:marBottom w:val="0"/>
          <w:divBdr>
            <w:top w:val="none" w:sz="0" w:space="0" w:color="auto"/>
            <w:left w:val="none" w:sz="0" w:space="0" w:color="auto"/>
            <w:bottom w:val="none" w:sz="0" w:space="0" w:color="auto"/>
            <w:right w:val="none" w:sz="0" w:space="0" w:color="auto"/>
          </w:divBdr>
        </w:div>
        <w:div w:id="1392271227">
          <w:marLeft w:val="640"/>
          <w:marRight w:val="0"/>
          <w:marTop w:val="0"/>
          <w:marBottom w:val="0"/>
          <w:divBdr>
            <w:top w:val="none" w:sz="0" w:space="0" w:color="auto"/>
            <w:left w:val="none" w:sz="0" w:space="0" w:color="auto"/>
            <w:bottom w:val="none" w:sz="0" w:space="0" w:color="auto"/>
            <w:right w:val="none" w:sz="0" w:space="0" w:color="auto"/>
          </w:divBdr>
        </w:div>
        <w:div w:id="31199414">
          <w:marLeft w:val="640"/>
          <w:marRight w:val="0"/>
          <w:marTop w:val="0"/>
          <w:marBottom w:val="0"/>
          <w:divBdr>
            <w:top w:val="none" w:sz="0" w:space="0" w:color="auto"/>
            <w:left w:val="none" w:sz="0" w:space="0" w:color="auto"/>
            <w:bottom w:val="none" w:sz="0" w:space="0" w:color="auto"/>
            <w:right w:val="none" w:sz="0" w:space="0" w:color="auto"/>
          </w:divBdr>
        </w:div>
        <w:div w:id="495265553">
          <w:marLeft w:val="640"/>
          <w:marRight w:val="0"/>
          <w:marTop w:val="0"/>
          <w:marBottom w:val="0"/>
          <w:divBdr>
            <w:top w:val="none" w:sz="0" w:space="0" w:color="auto"/>
            <w:left w:val="none" w:sz="0" w:space="0" w:color="auto"/>
            <w:bottom w:val="none" w:sz="0" w:space="0" w:color="auto"/>
            <w:right w:val="none" w:sz="0" w:space="0" w:color="auto"/>
          </w:divBdr>
        </w:div>
        <w:div w:id="2076050316">
          <w:marLeft w:val="640"/>
          <w:marRight w:val="0"/>
          <w:marTop w:val="0"/>
          <w:marBottom w:val="0"/>
          <w:divBdr>
            <w:top w:val="none" w:sz="0" w:space="0" w:color="auto"/>
            <w:left w:val="none" w:sz="0" w:space="0" w:color="auto"/>
            <w:bottom w:val="none" w:sz="0" w:space="0" w:color="auto"/>
            <w:right w:val="none" w:sz="0" w:space="0" w:color="auto"/>
          </w:divBdr>
        </w:div>
        <w:div w:id="117073466">
          <w:marLeft w:val="640"/>
          <w:marRight w:val="0"/>
          <w:marTop w:val="0"/>
          <w:marBottom w:val="0"/>
          <w:divBdr>
            <w:top w:val="none" w:sz="0" w:space="0" w:color="auto"/>
            <w:left w:val="none" w:sz="0" w:space="0" w:color="auto"/>
            <w:bottom w:val="none" w:sz="0" w:space="0" w:color="auto"/>
            <w:right w:val="none" w:sz="0" w:space="0" w:color="auto"/>
          </w:divBdr>
        </w:div>
        <w:div w:id="2082633099">
          <w:marLeft w:val="640"/>
          <w:marRight w:val="0"/>
          <w:marTop w:val="0"/>
          <w:marBottom w:val="0"/>
          <w:divBdr>
            <w:top w:val="none" w:sz="0" w:space="0" w:color="auto"/>
            <w:left w:val="none" w:sz="0" w:space="0" w:color="auto"/>
            <w:bottom w:val="none" w:sz="0" w:space="0" w:color="auto"/>
            <w:right w:val="none" w:sz="0" w:space="0" w:color="auto"/>
          </w:divBdr>
        </w:div>
        <w:div w:id="1826848535">
          <w:marLeft w:val="640"/>
          <w:marRight w:val="0"/>
          <w:marTop w:val="0"/>
          <w:marBottom w:val="0"/>
          <w:divBdr>
            <w:top w:val="none" w:sz="0" w:space="0" w:color="auto"/>
            <w:left w:val="none" w:sz="0" w:space="0" w:color="auto"/>
            <w:bottom w:val="none" w:sz="0" w:space="0" w:color="auto"/>
            <w:right w:val="none" w:sz="0" w:space="0" w:color="auto"/>
          </w:divBdr>
        </w:div>
        <w:div w:id="675156398">
          <w:marLeft w:val="640"/>
          <w:marRight w:val="0"/>
          <w:marTop w:val="0"/>
          <w:marBottom w:val="0"/>
          <w:divBdr>
            <w:top w:val="none" w:sz="0" w:space="0" w:color="auto"/>
            <w:left w:val="none" w:sz="0" w:space="0" w:color="auto"/>
            <w:bottom w:val="none" w:sz="0" w:space="0" w:color="auto"/>
            <w:right w:val="none" w:sz="0" w:space="0" w:color="auto"/>
          </w:divBdr>
        </w:div>
        <w:div w:id="1307516552">
          <w:marLeft w:val="640"/>
          <w:marRight w:val="0"/>
          <w:marTop w:val="0"/>
          <w:marBottom w:val="0"/>
          <w:divBdr>
            <w:top w:val="none" w:sz="0" w:space="0" w:color="auto"/>
            <w:left w:val="none" w:sz="0" w:space="0" w:color="auto"/>
            <w:bottom w:val="none" w:sz="0" w:space="0" w:color="auto"/>
            <w:right w:val="none" w:sz="0" w:space="0" w:color="auto"/>
          </w:divBdr>
        </w:div>
        <w:div w:id="455103208">
          <w:marLeft w:val="640"/>
          <w:marRight w:val="0"/>
          <w:marTop w:val="0"/>
          <w:marBottom w:val="0"/>
          <w:divBdr>
            <w:top w:val="none" w:sz="0" w:space="0" w:color="auto"/>
            <w:left w:val="none" w:sz="0" w:space="0" w:color="auto"/>
            <w:bottom w:val="none" w:sz="0" w:space="0" w:color="auto"/>
            <w:right w:val="none" w:sz="0" w:space="0" w:color="auto"/>
          </w:divBdr>
        </w:div>
        <w:div w:id="282347553">
          <w:marLeft w:val="640"/>
          <w:marRight w:val="0"/>
          <w:marTop w:val="0"/>
          <w:marBottom w:val="0"/>
          <w:divBdr>
            <w:top w:val="none" w:sz="0" w:space="0" w:color="auto"/>
            <w:left w:val="none" w:sz="0" w:space="0" w:color="auto"/>
            <w:bottom w:val="none" w:sz="0" w:space="0" w:color="auto"/>
            <w:right w:val="none" w:sz="0" w:space="0" w:color="auto"/>
          </w:divBdr>
        </w:div>
        <w:div w:id="1234511592">
          <w:marLeft w:val="640"/>
          <w:marRight w:val="0"/>
          <w:marTop w:val="0"/>
          <w:marBottom w:val="0"/>
          <w:divBdr>
            <w:top w:val="none" w:sz="0" w:space="0" w:color="auto"/>
            <w:left w:val="none" w:sz="0" w:space="0" w:color="auto"/>
            <w:bottom w:val="none" w:sz="0" w:space="0" w:color="auto"/>
            <w:right w:val="none" w:sz="0" w:space="0" w:color="auto"/>
          </w:divBdr>
        </w:div>
        <w:div w:id="2027291511">
          <w:marLeft w:val="640"/>
          <w:marRight w:val="0"/>
          <w:marTop w:val="0"/>
          <w:marBottom w:val="0"/>
          <w:divBdr>
            <w:top w:val="none" w:sz="0" w:space="0" w:color="auto"/>
            <w:left w:val="none" w:sz="0" w:space="0" w:color="auto"/>
            <w:bottom w:val="none" w:sz="0" w:space="0" w:color="auto"/>
            <w:right w:val="none" w:sz="0" w:space="0" w:color="auto"/>
          </w:divBdr>
        </w:div>
        <w:div w:id="1580138786">
          <w:marLeft w:val="640"/>
          <w:marRight w:val="0"/>
          <w:marTop w:val="0"/>
          <w:marBottom w:val="0"/>
          <w:divBdr>
            <w:top w:val="none" w:sz="0" w:space="0" w:color="auto"/>
            <w:left w:val="none" w:sz="0" w:space="0" w:color="auto"/>
            <w:bottom w:val="none" w:sz="0" w:space="0" w:color="auto"/>
            <w:right w:val="none" w:sz="0" w:space="0" w:color="auto"/>
          </w:divBdr>
        </w:div>
        <w:div w:id="901330932">
          <w:marLeft w:val="640"/>
          <w:marRight w:val="0"/>
          <w:marTop w:val="0"/>
          <w:marBottom w:val="0"/>
          <w:divBdr>
            <w:top w:val="none" w:sz="0" w:space="0" w:color="auto"/>
            <w:left w:val="none" w:sz="0" w:space="0" w:color="auto"/>
            <w:bottom w:val="none" w:sz="0" w:space="0" w:color="auto"/>
            <w:right w:val="none" w:sz="0" w:space="0" w:color="auto"/>
          </w:divBdr>
        </w:div>
        <w:div w:id="1565990473">
          <w:marLeft w:val="640"/>
          <w:marRight w:val="0"/>
          <w:marTop w:val="0"/>
          <w:marBottom w:val="0"/>
          <w:divBdr>
            <w:top w:val="none" w:sz="0" w:space="0" w:color="auto"/>
            <w:left w:val="none" w:sz="0" w:space="0" w:color="auto"/>
            <w:bottom w:val="none" w:sz="0" w:space="0" w:color="auto"/>
            <w:right w:val="none" w:sz="0" w:space="0" w:color="auto"/>
          </w:divBdr>
        </w:div>
        <w:div w:id="843789935">
          <w:marLeft w:val="640"/>
          <w:marRight w:val="0"/>
          <w:marTop w:val="0"/>
          <w:marBottom w:val="0"/>
          <w:divBdr>
            <w:top w:val="none" w:sz="0" w:space="0" w:color="auto"/>
            <w:left w:val="none" w:sz="0" w:space="0" w:color="auto"/>
            <w:bottom w:val="none" w:sz="0" w:space="0" w:color="auto"/>
            <w:right w:val="none" w:sz="0" w:space="0" w:color="auto"/>
          </w:divBdr>
        </w:div>
        <w:div w:id="2112309296">
          <w:marLeft w:val="640"/>
          <w:marRight w:val="0"/>
          <w:marTop w:val="0"/>
          <w:marBottom w:val="0"/>
          <w:divBdr>
            <w:top w:val="none" w:sz="0" w:space="0" w:color="auto"/>
            <w:left w:val="none" w:sz="0" w:space="0" w:color="auto"/>
            <w:bottom w:val="none" w:sz="0" w:space="0" w:color="auto"/>
            <w:right w:val="none" w:sz="0" w:space="0" w:color="auto"/>
          </w:divBdr>
        </w:div>
        <w:div w:id="768890618">
          <w:marLeft w:val="640"/>
          <w:marRight w:val="0"/>
          <w:marTop w:val="0"/>
          <w:marBottom w:val="0"/>
          <w:divBdr>
            <w:top w:val="none" w:sz="0" w:space="0" w:color="auto"/>
            <w:left w:val="none" w:sz="0" w:space="0" w:color="auto"/>
            <w:bottom w:val="none" w:sz="0" w:space="0" w:color="auto"/>
            <w:right w:val="none" w:sz="0" w:space="0" w:color="auto"/>
          </w:divBdr>
        </w:div>
        <w:div w:id="846334342">
          <w:marLeft w:val="640"/>
          <w:marRight w:val="0"/>
          <w:marTop w:val="0"/>
          <w:marBottom w:val="0"/>
          <w:divBdr>
            <w:top w:val="none" w:sz="0" w:space="0" w:color="auto"/>
            <w:left w:val="none" w:sz="0" w:space="0" w:color="auto"/>
            <w:bottom w:val="none" w:sz="0" w:space="0" w:color="auto"/>
            <w:right w:val="none" w:sz="0" w:space="0" w:color="auto"/>
          </w:divBdr>
        </w:div>
        <w:div w:id="65617673">
          <w:marLeft w:val="640"/>
          <w:marRight w:val="0"/>
          <w:marTop w:val="0"/>
          <w:marBottom w:val="0"/>
          <w:divBdr>
            <w:top w:val="none" w:sz="0" w:space="0" w:color="auto"/>
            <w:left w:val="none" w:sz="0" w:space="0" w:color="auto"/>
            <w:bottom w:val="none" w:sz="0" w:space="0" w:color="auto"/>
            <w:right w:val="none" w:sz="0" w:space="0" w:color="auto"/>
          </w:divBdr>
        </w:div>
        <w:div w:id="1677613536">
          <w:marLeft w:val="640"/>
          <w:marRight w:val="0"/>
          <w:marTop w:val="0"/>
          <w:marBottom w:val="0"/>
          <w:divBdr>
            <w:top w:val="none" w:sz="0" w:space="0" w:color="auto"/>
            <w:left w:val="none" w:sz="0" w:space="0" w:color="auto"/>
            <w:bottom w:val="none" w:sz="0" w:space="0" w:color="auto"/>
            <w:right w:val="none" w:sz="0" w:space="0" w:color="auto"/>
          </w:divBdr>
        </w:div>
        <w:div w:id="65031067">
          <w:marLeft w:val="640"/>
          <w:marRight w:val="0"/>
          <w:marTop w:val="0"/>
          <w:marBottom w:val="0"/>
          <w:divBdr>
            <w:top w:val="none" w:sz="0" w:space="0" w:color="auto"/>
            <w:left w:val="none" w:sz="0" w:space="0" w:color="auto"/>
            <w:bottom w:val="none" w:sz="0" w:space="0" w:color="auto"/>
            <w:right w:val="none" w:sz="0" w:space="0" w:color="auto"/>
          </w:divBdr>
        </w:div>
        <w:div w:id="1488478339">
          <w:marLeft w:val="640"/>
          <w:marRight w:val="0"/>
          <w:marTop w:val="0"/>
          <w:marBottom w:val="0"/>
          <w:divBdr>
            <w:top w:val="none" w:sz="0" w:space="0" w:color="auto"/>
            <w:left w:val="none" w:sz="0" w:space="0" w:color="auto"/>
            <w:bottom w:val="none" w:sz="0" w:space="0" w:color="auto"/>
            <w:right w:val="none" w:sz="0" w:space="0" w:color="auto"/>
          </w:divBdr>
        </w:div>
        <w:div w:id="176508127">
          <w:marLeft w:val="640"/>
          <w:marRight w:val="0"/>
          <w:marTop w:val="0"/>
          <w:marBottom w:val="0"/>
          <w:divBdr>
            <w:top w:val="none" w:sz="0" w:space="0" w:color="auto"/>
            <w:left w:val="none" w:sz="0" w:space="0" w:color="auto"/>
            <w:bottom w:val="none" w:sz="0" w:space="0" w:color="auto"/>
            <w:right w:val="none" w:sz="0" w:space="0" w:color="auto"/>
          </w:divBdr>
        </w:div>
        <w:div w:id="764573362">
          <w:marLeft w:val="640"/>
          <w:marRight w:val="0"/>
          <w:marTop w:val="0"/>
          <w:marBottom w:val="0"/>
          <w:divBdr>
            <w:top w:val="none" w:sz="0" w:space="0" w:color="auto"/>
            <w:left w:val="none" w:sz="0" w:space="0" w:color="auto"/>
            <w:bottom w:val="none" w:sz="0" w:space="0" w:color="auto"/>
            <w:right w:val="none" w:sz="0" w:space="0" w:color="auto"/>
          </w:divBdr>
        </w:div>
        <w:div w:id="258104394">
          <w:marLeft w:val="640"/>
          <w:marRight w:val="0"/>
          <w:marTop w:val="0"/>
          <w:marBottom w:val="0"/>
          <w:divBdr>
            <w:top w:val="none" w:sz="0" w:space="0" w:color="auto"/>
            <w:left w:val="none" w:sz="0" w:space="0" w:color="auto"/>
            <w:bottom w:val="none" w:sz="0" w:space="0" w:color="auto"/>
            <w:right w:val="none" w:sz="0" w:space="0" w:color="auto"/>
          </w:divBdr>
        </w:div>
        <w:div w:id="73095404">
          <w:marLeft w:val="640"/>
          <w:marRight w:val="0"/>
          <w:marTop w:val="0"/>
          <w:marBottom w:val="0"/>
          <w:divBdr>
            <w:top w:val="none" w:sz="0" w:space="0" w:color="auto"/>
            <w:left w:val="none" w:sz="0" w:space="0" w:color="auto"/>
            <w:bottom w:val="none" w:sz="0" w:space="0" w:color="auto"/>
            <w:right w:val="none" w:sz="0" w:space="0" w:color="auto"/>
          </w:divBdr>
        </w:div>
        <w:div w:id="1239251281">
          <w:marLeft w:val="640"/>
          <w:marRight w:val="0"/>
          <w:marTop w:val="0"/>
          <w:marBottom w:val="0"/>
          <w:divBdr>
            <w:top w:val="none" w:sz="0" w:space="0" w:color="auto"/>
            <w:left w:val="none" w:sz="0" w:space="0" w:color="auto"/>
            <w:bottom w:val="none" w:sz="0" w:space="0" w:color="auto"/>
            <w:right w:val="none" w:sz="0" w:space="0" w:color="auto"/>
          </w:divBdr>
        </w:div>
        <w:div w:id="1647509694">
          <w:marLeft w:val="640"/>
          <w:marRight w:val="0"/>
          <w:marTop w:val="0"/>
          <w:marBottom w:val="0"/>
          <w:divBdr>
            <w:top w:val="none" w:sz="0" w:space="0" w:color="auto"/>
            <w:left w:val="none" w:sz="0" w:space="0" w:color="auto"/>
            <w:bottom w:val="none" w:sz="0" w:space="0" w:color="auto"/>
            <w:right w:val="none" w:sz="0" w:space="0" w:color="auto"/>
          </w:divBdr>
        </w:div>
        <w:div w:id="1533837247">
          <w:marLeft w:val="640"/>
          <w:marRight w:val="0"/>
          <w:marTop w:val="0"/>
          <w:marBottom w:val="0"/>
          <w:divBdr>
            <w:top w:val="none" w:sz="0" w:space="0" w:color="auto"/>
            <w:left w:val="none" w:sz="0" w:space="0" w:color="auto"/>
            <w:bottom w:val="none" w:sz="0" w:space="0" w:color="auto"/>
            <w:right w:val="none" w:sz="0" w:space="0" w:color="auto"/>
          </w:divBdr>
        </w:div>
        <w:div w:id="1168054919">
          <w:marLeft w:val="640"/>
          <w:marRight w:val="0"/>
          <w:marTop w:val="0"/>
          <w:marBottom w:val="0"/>
          <w:divBdr>
            <w:top w:val="none" w:sz="0" w:space="0" w:color="auto"/>
            <w:left w:val="none" w:sz="0" w:space="0" w:color="auto"/>
            <w:bottom w:val="none" w:sz="0" w:space="0" w:color="auto"/>
            <w:right w:val="none" w:sz="0" w:space="0" w:color="auto"/>
          </w:divBdr>
        </w:div>
        <w:div w:id="668560518">
          <w:marLeft w:val="640"/>
          <w:marRight w:val="0"/>
          <w:marTop w:val="0"/>
          <w:marBottom w:val="0"/>
          <w:divBdr>
            <w:top w:val="none" w:sz="0" w:space="0" w:color="auto"/>
            <w:left w:val="none" w:sz="0" w:space="0" w:color="auto"/>
            <w:bottom w:val="none" w:sz="0" w:space="0" w:color="auto"/>
            <w:right w:val="none" w:sz="0" w:space="0" w:color="auto"/>
          </w:divBdr>
        </w:div>
        <w:div w:id="893547810">
          <w:marLeft w:val="640"/>
          <w:marRight w:val="0"/>
          <w:marTop w:val="0"/>
          <w:marBottom w:val="0"/>
          <w:divBdr>
            <w:top w:val="none" w:sz="0" w:space="0" w:color="auto"/>
            <w:left w:val="none" w:sz="0" w:space="0" w:color="auto"/>
            <w:bottom w:val="none" w:sz="0" w:space="0" w:color="auto"/>
            <w:right w:val="none" w:sz="0" w:space="0" w:color="auto"/>
          </w:divBdr>
        </w:div>
        <w:div w:id="992028671">
          <w:marLeft w:val="640"/>
          <w:marRight w:val="0"/>
          <w:marTop w:val="0"/>
          <w:marBottom w:val="0"/>
          <w:divBdr>
            <w:top w:val="none" w:sz="0" w:space="0" w:color="auto"/>
            <w:left w:val="none" w:sz="0" w:space="0" w:color="auto"/>
            <w:bottom w:val="none" w:sz="0" w:space="0" w:color="auto"/>
            <w:right w:val="none" w:sz="0" w:space="0" w:color="auto"/>
          </w:divBdr>
        </w:div>
        <w:div w:id="1934312372">
          <w:marLeft w:val="640"/>
          <w:marRight w:val="0"/>
          <w:marTop w:val="0"/>
          <w:marBottom w:val="0"/>
          <w:divBdr>
            <w:top w:val="none" w:sz="0" w:space="0" w:color="auto"/>
            <w:left w:val="none" w:sz="0" w:space="0" w:color="auto"/>
            <w:bottom w:val="none" w:sz="0" w:space="0" w:color="auto"/>
            <w:right w:val="none" w:sz="0" w:space="0" w:color="auto"/>
          </w:divBdr>
        </w:div>
        <w:div w:id="1637101503">
          <w:marLeft w:val="640"/>
          <w:marRight w:val="0"/>
          <w:marTop w:val="0"/>
          <w:marBottom w:val="0"/>
          <w:divBdr>
            <w:top w:val="none" w:sz="0" w:space="0" w:color="auto"/>
            <w:left w:val="none" w:sz="0" w:space="0" w:color="auto"/>
            <w:bottom w:val="none" w:sz="0" w:space="0" w:color="auto"/>
            <w:right w:val="none" w:sz="0" w:space="0" w:color="auto"/>
          </w:divBdr>
        </w:div>
        <w:div w:id="563417345">
          <w:marLeft w:val="640"/>
          <w:marRight w:val="0"/>
          <w:marTop w:val="0"/>
          <w:marBottom w:val="0"/>
          <w:divBdr>
            <w:top w:val="none" w:sz="0" w:space="0" w:color="auto"/>
            <w:left w:val="none" w:sz="0" w:space="0" w:color="auto"/>
            <w:bottom w:val="none" w:sz="0" w:space="0" w:color="auto"/>
            <w:right w:val="none" w:sz="0" w:space="0" w:color="auto"/>
          </w:divBdr>
        </w:div>
        <w:div w:id="1389457392">
          <w:marLeft w:val="640"/>
          <w:marRight w:val="0"/>
          <w:marTop w:val="0"/>
          <w:marBottom w:val="0"/>
          <w:divBdr>
            <w:top w:val="none" w:sz="0" w:space="0" w:color="auto"/>
            <w:left w:val="none" w:sz="0" w:space="0" w:color="auto"/>
            <w:bottom w:val="none" w:sz="0" w:space="0" w:color="auto"/>
            <w:right w:val="none" w:sz="0" w:space="0" w:color="auto"/>
          </w:divBdr>
        </w:div>
        <w:div w:id="232664472">
          <w:marLeft w:val="640"/>
          <w:marRight w:val="0"/>
          <w:marTop w:val="0"/>
          <w:marBottom w:val="0"/>
          <w:divBdr>
            <w:top w:val="none" w:sz="0" w:space="0" w:color="auto"/>
            <w:left w:val="none" w:sz="0" w:space="0" w:color="auto"/>
            <w:bottom w:val="none" w:sz="0" w:space="0" w:color="auto"/>
            <w:right w:val="none" w:sz="0" w:space="0" w:color="auto"/>
          </w:divBdr>
        </w:div>
        <w:div w:id="149829471">
          <w:marLeft w:val="640"/>
          <w:marRight w:val="0"/>
          <w:marTop w:val="0"/>
          <w:marBottom w:val="0"/>
          <w:divBdr>
            <w:top w:val="none" w:sz="0" w:space="0" w:color="auto"/>
            <w:left w:val="none" w:sz="0" w:space="0" w:color="auto"/>
            <w:bottom w:val="none" w:sz="0" w:space="0" w:color="auto"/>
            <w:right w:val="none" w:sz="0" w:space="0" w:color="auto"/>
          </w:divBdr>
        </w:div>
        <w:div w:id="1273199959">
          <w:marLeft w:val="640"/>
          <w:marRight w:val="0"/>
          <w:marTop w:val="0"/>
          <w:marBottom w:val="0"/>
          <w:divBdr>
            <w:top w:val="none" w:sz="0" w:space="0" w:color="auto"/>
            <w:left w:val="none" w:sz="0" w:space="0" w:color="auto"/>
            <w:bottom w:val="none" w:sz="0" w:space="0" w:color="auto"/>
            <w:right w:val="none" w:sz="0" w:space="0" w:color="auto"/>
          </w:divBdr>
        </w:div>
        <w:div w:id="37048342">
          <w:marLeft w:val="640"/>
          <w:marRight w:val="0"/>
          <w:marTop w:val="0"/>
          <w:marBottom w:val="0"/>
          <w:divBdr>
            <w:top w:val="none" w:sz="0" w:space="0" w:color="auto"/>
            <w:left w:val="none" w:sz="0" w:space="0" w:color="auto"/>
            <w:bottom w:val="none" w:sz="0" w:space="0" w:color="auto"/>
            <w:right w:val="none" w:sz="0" w:space="0" w:color="auto"/>
          </w:divBdr>
        </w:div>
        <w:div w:id="1411585531">
          <w:marLeft w:val="640"/>
          <w:marRight w:val="0"/>
          <w:marTop w:val="0"/>
          <w:marBottom w:val="0"/>
          <w:divBdr>
            <w:top w:val="none" w:sz="0" w:space="0" w:color="auto"/>
            <w:left w:val="none" w:sz="0" w:space="0" w:color="auto"/>
            <w:bottom w:val="none" w:sz="0" w:space="0" w:color="auto"/>
            <w:right w:val="none" w:sz="0" w:space="0" w:color="auto"/>
          </w:divBdr>
        </w:div>
        <w:div w:id="38286107">
          <w:marLeft w:val="640"/>
          <w:marRight w:val="0"/>
          <w:marTop w:val="0"/>
          <w:marBottom w:val="0"/>
          <w:divBdr>
            <w:top w:val="none" w:sz="0" w:space="0" w:color="auto"/>
            <w:left w:val="none" w:sz="0" w:space="0" w:color="auto"/>
            <w:bottom w:val="none" w:sz="0" w:space="0" w:color="auto"/>
            <w:right w:val="none" w:sz="0" w:space="0" w:color="auto"/>
          </w:divBdr>
        </w:div>
        <w:div w:id="861893845">
          <w:marLeft w:val="640"/>
          <w:marRight w:val="0"/>
          <w:marTop w:val="0"/>
          <w:marBottom w:val="0"/>
          <w:divBdr>
            <w:top w:val="none" w:sz="0" w:space="0" w:color="auto"/>
            <w:left w:val="none" w:sz="0" w:space="0" w:color="auto"/>
            <w:bottom w:val="none" w:sz="0" w:space="0" w:color="auto"/>
            <w:right w:val="none" w:sz="0" w:space="0" w:color="auto"/>
          </w:divBdr>
        </w:div>
        <w:div w:id="1194539145">
          <w:marLeft w:val="640"/>
          <w:marRight w:val="0"/>
          <w:marTop w:val="0"/>
          <w:marBottom w:val="0"/>
          <w:divBdr>
            <w:top w:val="none" w:sz="0" w:space="0" w:color="auto"/>
            <w:left w:val="none" w:sz="0" w:space="0" w:color="auto"/>
            <w:bottom w:val="none" w:sz="0" w:space="0" w:color="auto"/>
            <w:right w:val="none" w:sz="0" w:space="0" w:color="auto"/>
          </w:divBdr>
        </w:div>
        <w:div w:id="1086606905">
          <w:marLeft w:val="640"/>
          <w:marRight w:val="0"/>
          <w:marTop w:val="0"/>
          <w:marBottom w:val="0"/>
          <w:divBdr>
            <w:top w:val="none" w:sz="0" w:space="0" w:color="auto"/>
            <w:left w:val="none" w:sz="0" w:space="0" w:color="auto"/>
            <w:bottom w:val="none" w:sz="0" w:space="0" w:color="auto"/>
            <w:right w:val="none" w:sz="0" w:space="0" w:color="auto"/>
          </w:divBdr>
        </w:div>
        <w:div w:id="1358119817">
          <w:marLeft w:val="640"/>
          <w:marRight w:val="0"/>
          <w:marTop w:val="0"/>
          <w:marBottom w:val="0"/>
          <w:divBdr>
            <w:top w:val="none" w:sz="0" w:space="0" w:color="auto"/>
            <w:left w:val="none" w:sz="0" w:space="0" w:color="auto"/>
            <w:bottom w:val="none" w:sz="0" w:space="0" w:color="auto"/>
            <w:right w:val="none" w:sz="0" w:space="0" w:color="auto"/>
          </w:divBdr>
        </w:div>
        <w:div w:id="1812016009">
          <w:marLeft w:val="640"/>
          <w:marRight w:val="0"/>
          <w:marTop w:val="0"/>
          <w:marBottom w:val="0"/>
          <w:divBdr>
            <w:top w:val="none" w:sz="0" w:space="0" w:color="auto"/>
            <w:left w:val="none" w:sz="0" w:space="0" w:color="auto"/>
            <w:bottom w:val="none" w:sz="0" w:space="0" w:color="auto"/>
            <w:right w:val="none" w:sz="0" w:space="0" w:color="auto"/>
          </w:divBdr>
        </w:div>
        <w:div w:id="1780754228">
          <w:marLeft w:val="640"/>
          <w:marRight w:val="0"/>
          <w:marTop w:val="0"/>
          <w:marBottom w:val="0"/>
          <w:divBdr>
            <w:top w:val="none" w:sz="0" w:space="0" w:color="auto"/>
            <w:left w:val="none" w:sz="0" w:space="0" w:color="auto"/>
            <w:bottom w:val="none" w:sz="0" w:space="0" w:color="auto"/>
            <w:right w:val="none" w:sz="0" w:space="0" w:color="auto"/>
          </w:divBdr>
        </w:div>
        <w:div w:id="1358192686">
          <w:marLeft w:val="640"/>
          <w:marRight w:val="0"/>
          <w:marTop w:val="0"/>
          <w:marBottom w:val="0"/>
          <w:divBdr>
            <w:top w:val="none" w:sz="0" w:space="0" w:color="auto"/>
            <w:left w:val="none" w:sz="0" w:space="0" w:color="auto"/>
            <w:bottom w:val="none" w:sz="0" w:space="0" w:color="auto"/>
            <w:right w:val="none" w:sz="0" w:space="0" w:color="auto"/>
          </w:divBdr>
        </w:div>
        <w:div w:id="367687697">
          <w:marLeft w:val="640"/>
          <w:marRight w:val="0"/>
          <w:marTop w:val="0"/>
          <w:marBottom w:val="0"/>
          <w:divBdr>
            <w:top w:val="none" w:sz="0" w:space="0" w:color="auto"/>
            <w:left w:val="none" w:sz="0" w:space="0" w:color="auto"/>
            <w:bottom w:val="none" w:sz="0" w:space="0" w:color="auto"/>
            <w:right w:val="none" w:sz="0" w:space="0" w:color="auto"/>
          </w:divBdr>
        </w:div>
        <w:div w:id="723872157">
          <w:marLeft w:val="640"/>
          <w:marRight w:val="0"/>
          <w:marTop w:val="0"/>
          <w:marBottom w:val="0"/>
          <w:divBdr>
            <w:top w:val="none" w:sz="0" w:space="0" w:color="auto"/>
            <w:left w:val="none" w:sz="0" w:space="0" w:color="auto"/>
            <w:bottom w:val="none" w:sz="0" w:space="0" w:color="auto"/>
            <w:right w:val="none" w:sz="0" w:space="0" w:color="auto"/>
          </w:divBdr>
        </w:div>
        <w:div w:id="1456830656">
          <w:marLeft w:val="640"/>
          <w:marRight w:val="0"/>
          <w:marTop w:val="0"/>
          <w:marBottom w:val="0"/>
          <w:divBdr>
            <w:top w:val="none" w:sz="0" w:space="0" w:color="auto"/>
            <w:left w:val="none" w:sz="0" w:space="0" w:color="auto"/>
            <w:bottom w:val="none" w:sz="0" w:space="0" w:color="auto"/>
            <w:right w:val="none" w:sz="0" w:space="0" w:color="auto"/>
          </w:divBdr>
        </w:div>
        <w:div w:id="276982770">
          <w:marLeft w:val="640"/>
          <w:marRight w:val="0"/>
          <w:marTop w:val="0"/>
          <w:marBottom w:val="0"/>
          <w:divBdr>
            <w:top w:val="none" w:sz="0" w:space="0" w:color="auto"/>
            <w:left w:val="none" w:sz="0" w:space="0" w:color="auto"/>
            <w:bottom w:val="none" w:sz="0" w:space="0" w:color="auto"/>
            <w:right w:val="none" w:sz="0" w:space="0" w:color="auto"/>
          </w:divBdr>
        </w:div>
        <w:div w:id="1032725998">
          <w:marLeft w:val="640"/>
          <w:marRight w:val="0"/>
          <w:marTop w:val="0"/>
          <w:marBottom w:val="0"/>
          <w:divBdr>
            <w:top w:val="none" w:sz="0" w:space="0" w:color="auto"/>
            <w:left w:val="none" w:sz="0" w:space="0" w:color="auto"/>
            <w:bottom w:val="none" w:sz="0" w:space="0" w:color="auto"/>
            <w:right w:val="none" w:sz="0" w:space="0" w:color="auto"/>
          </w:divBdr>
        </w:div>
        <w:div w:id="1070810212">
          <w:marLeft w:val="640"/>
          <w:marRight w:val="0"/>
          <w:marTop w:val="0"/>
          <w:marBottom w:val="0"/>
          <w:divBdr>
            <w:top w:val="none" w:sz="0" w:space="0" w:color="auto"/>
            <w:left w:val="none" w:sz="0" w:space="0" w:color="auto"/>
            <w:bottom w:val="none" w:sz="0" w:space="0" w:color="auto"/>
            <w:right w:val="none" w:sz="0" w:space="0" w:color="auto"/>
          </w:divBdr>
        </w:div>
        <w:div w:id="723916860">
          <w:marLeft w:val="640"/>
          <w:marRight w:val="0"/>
          <w:marTop w:val="0"/>
          <w:marBottom w:val="0"/>
          <w:divBdr>
            <w:top w:val="none" w:sz="0" w:space="0" w:color="auto"/>
            <w:left w:val="none" w:sz="0" w:space="0" w:color="auto"/>
            <w:bottom w:val="none" w:sz="0" w:space="0" w:color="auto"/>
            <w:right w:val="none" w:sz="0" w:space="0" w:color="auto"/>
          </w:divBdr>
        </w:div>
        <w:div w:id="1984921010">
          <w:marLeft w:val="640"/>
          <w:marRight w:val="0"/>
          <w:marTop w:val="0"/>
          <w:marBottom w:val="0"/>
          <w:divBdr>
            <w:top w:val="none" w:sz="0" w:space="0" w:color="auto"/>
            <w:left w:val="none" w:sz="0" w:space="0" w:color="auto"/>
            <w:bottom w:val="none" w:sz="0" w:space="0" w:color="auto"/>
            <w:right w:val="none" w:sz="0" w:space="0" w:color="auto"/>
          </w:divBdr>
        </w:div>
        <w:div w:id="1994555381">
          <w:marLeft w:val="640"/>
          <w:marRight w:val="0"/>
          <w:marTop w:val="0"/>
          <w:marBottom w:val="0"/>
          <w:divBdr>
            <w:top w:val="none" w:sz="0" w:space="0" w:color="auto"/>
            <w:left w:val="none" w:sz="0" w:space="0" w:color="auto"/>
            <w:bottom w:val="none" w:sz="0" w:space="0" w:color="auto"/>
            <w:right w:val="none" w:sz="0" w:space="0" w:color="auto"/>
          </w:divBdr>
        </w:div>
        <w:div w:id="2032143447">
          <w:marLeft w:val="640"/>
          <w:marRight w:val="0"/>
          <w:marTop w:val="0"/>
          <w:marBottom w:val="0"/>
          <w:divBdr>
            <w:top w:val="none" w:sz="0" w:space="0" w:color="auto"/>
            <w:left w:val="none" w:sz="0" w:space="0" w:color="auto"/>
            <w:bottom w:val="none" w:sz="0" w:space="0" w:color="auto"/>
            <w:right w:val="none" w:sz="0" w:space="0" w:color="auto"/>
          </w:divBdr>
        </w:div>
        <w:div w:id="739593484">
          <w:marLeft w:val="640"/>
          <w:marRight w:val="0"/>
          <w:marTop w:val="0"/>
          <w:marBottom w:val="0"/>
          <w:divBdr>
            <w:top w:val="none" w:sz="0" w:space="0" w:color="auto"/>
            <w:left w:val="none" w:sz="0" w:space="0" w:color="auto"/>
            <w:bottom w:val="none" w:sz="0" w:space="0" w:color="auto"/>
            <w:right w:val="none" w:sz="0" w:space="0" w:color="auto"/>
          </w:divBdr>
        </w:div>
        <w:div w:id="296574899">
          <w:marLeft w:val="640"/>
          <w:marRight w:val="0"/>
          <w:marTop w:val="0"/>
          <w:marBottom w:val="0"/>
          <w:divBdr>
            <w:top w:val="none" w:sz="0" w:space="0" w:color="auto"/>
            <w:left w:val="none" w:sz="0" w:space="0" w:color="auto"/>
            <w:bottom w:val="none" w:sz="0" w:space="0" w:color="auto"/>
            <w:right w:val="none" w:sz="0" w:space="0" w:color="auto"/>
          </w:divBdr>
        </w:div>
        <w:div w:id="1210647240">
          <w:marLeft w:val="640"/>
          <w:marRight w:val="0"/>
          <w:marTop w:val="0"/>
          <w:marBottom w:val="0"/>
          <w:divBdr>
            <w:top w:val="none" w:sz="0" w:space="0" w:color="auto"/>
            <w:left w:val="none" w:sz="0" w:space="0" w:color="auto"/>
            <w:bottom w:val="none" w:sz="0" w:space="0" w:color="auto"/>
            <w:right w:val="none" w:sz="0" w:space="0" w:color="auto"/>
          </w:divBdr>
        </w:div>
        <w:div w:id="2066294293">
          <w:marLeft w:val="640"/>
          <w:marRight w:val="0"/>
          <w:marTop w:val="0"/>
          <w:marBottom w:val="0"/>
          <w:divBdr>
            <w:top w:val="none" w:sz="0" w:space="0" w:color="auto"/>
            <w:left w:val="none" w:sz="0" w:space="0" w:color="auto"/>
            <w:bottom w:val="none" w:sz="0" w:space="0" w:color="auto"/>
            <w:right w:val="none" w:sz="0" w:space="0" w:color="auto"/>
          </w:divBdr>
        </w:div>
        <w:div w:id="1990473994">
          <w:marLeft w:val="640"/>
          <w:marRight w:val="0"/>
          <w:marTop w:val="0"/>
          <w:marBottom w:val="0"/>
          <w:divBdr>
            <w:top w:val="none" w:sz="0" w:space="0" w:color="auto"/>
            <w:left w:val="none" w:sz="0" w:space="0" w:color="auto"/>
            <w:bottom w:val="none" w:sz="0" w:space="0" w:color="auto"/>
            <w:right w:val="none" w:sz="0" w:space="0" w:color="auto"/>
          </w:divBdr>
        </w:div>
        <w:div w:id="932202430">
          <w:marLeft w:val="640"/>
          <w:marRight w:val="0"/>
          <w:marTop w:val="0"/>
          <w:marBottom w:val="0"/>
          <w:divBdr>
            <w:top w:val="none" w:sz="0" w:space="0" w:color="auto"/>
            <w:left w:val="none" w:sz="0" w:space="0" w:color="auto"/>
            <w:bottom w:val="none" w:sz="0" w:space="0" w:color="auto"/>
            <w:right w:val="none" w:sz="0" w:space="0" w:color="auto"/>
          </w:divBdr>
        </w:div>
        <w:div w:id="2095585040">
          <w:marLeft w:val="640"/>
          <w:marRight w:val="0"/>
          <w:marTop w:val="0"/>
          <w:marBottom w:val="0"/>
          <w:divBdr>
            <w:top w:val="none" w:sz="0" w:space="0" w:color="auto"/>
            <w:left w:val="none" w:sz="0" w:space="0" w:color="auto"/>
            <w:bottom w:val="none" w:sz="0" w:space="0" w:color="auto"/>
            <w:right w:val="none" w:sz="0" w:space="0" w:color="auto"/>
          </w:divBdr>
        </w:div>
        <w:div w:id="445080153">
          <w:marLeft w:val="640"/>
          <w:marRight w:val="0"/>
          <w:marTop w:val="0"/>
          <w:marBottom w:val="0"/>
          <w:divBdr>
            <w:top w:val="none" w:sz="0" w:space="0" w:color="auto"/>
            <w:left w:val="none" w:sz="0" w:space="0" w:color="auto"/>
            <w:bottom w:val="none" w:sz="0" w:space="0" w:color="auto"/>
            <w:right w:val="none" w:sz="0" w:space="0" w:color="auto"/>
          </w:divBdr>
        </w:div>
        <w:div w:id="108935579">
          <w:marLeft w:val="640"/>
          <w:marRight w:val="0"/>
          <w:marTop w:val="0"/>
          <w:marBottom w:val="0"/>
          <w:divBdr>
            <w:top w:val="none" w:sz="0" w:space="0" w:color="auto"/>
            <w:left w:val="none" w:sz="0" w:space="0" w:color="auto"/>
            <w:bottom w:val="none" w:sz="0" w:space="0" w:color="auto"/>
            <w:right w:val="none" w:sz="0" w:space="0" w:color="auto"/>
          </w:divBdr>
        </w:div>
        <w:div w:id="83648798">
          <w:marLeft w:val="640"/>
          <w:marRight w:val="0"/>
          <w:marTop w:val="0"/>
          <w:marBottom w:val="0"/>
          <w:divBdr>
            <w:top w:val="none" w:sz="0" w:space="0" w:color="auto"/>
            <w:left w:val="none" w:sz="0" w:space="0" w:color="auto"/>
            <w:bottom w:val="none" w:sz="0" w:space="0" w:color="auto"/>
            <w:right w:val="none" w:sz="0" w:space="0" w:color="auto"/>
          </w:divBdr>
        </w:div>
        <w:div w:id="1121264147">
          <w:marLeft w:val="640"/>
          <w:marRight w:val="0"/>
          <w:marTop w:val="0"/>
          <w:marBottom w:val="0"/>
          <w:divBdr>
            <w:top w:val="none" w:sz="0" w:space="0" w:color="auto"/>
            <w:left w:val="none" w:sz="0" w:space="0" w:color="auto"/>
            <w:bottom w:val="none" w:sz="0" w:space="0" w:color="auto"/>
            <w:right w:val="none" w:sz="0" w:space="0" w:color="auto"/>
          </w:divBdr>
        </w:div>
        <w:div w:id="462887474">
          <w:marLeft w:val="640"/>
          <w:marRight w:val="0"/>
          <w:marTop w:val="0"/>
          <w:marBottom w:val="0"/>
          <w:divBdr>
            <w:top w:val="none" w:sz="0" w:space="0" w:color="auto"/>
            <w:left w:val="none" w:sz="0" w:space="0" w:color="auto"/>
            <w:bottom w:val="none" w:sz="0" w:space="0" w:color="auto"/>
            <w:right w:val="none" w:sz="0" w:space="0" w:color="auto"/>
          </w:divBdr>
        </w:div>
        <w:div w:id="1009674790">
          <w:marLeft w:val="640"/>
          <w:marRight w:val="0"/>
          <w:marTop w:val="0"/>
          <w:marBottom w:val="0"/>
          <w:divBdr>
            <w:top w:val="none" w:sz="0" w:space="0" w:color="auto"/>
            <w:left w:val="none" w:sz="0" w:space="0" w:color="auto"/>
            <w:bottom w:val="none" w:sz="0" w:space="0" w:color="auto"/>
            <w:right w:val="none" w:sz="0" w:space="0" w:color="auto"/>
          </w:divBdr>
        </w:div>
        <w:div w:id="2094234573">
          <w:marLeft w:val="640"/>
          <w:marRight w:val="0"/>
          <w:marTop w:val="0"/>
          <w:marBottom w:val="0"/>
          <w:divBdr>
            <w:top w:val="none" w:sz="0" w:space="0" w:color="auto"/>
            <w:left w:val="none" w:sz="0" w:space="0" w:color="auto"/>
            <w:bottom w:val="none" w:sz="0" w:space="0" w:color="auto"/>
            <w:right w:val="none" w:sz="0" w:space="0" w:color="auto"/>
          </w:divBdr>
        </w:div>
        <w:div w:id="257445525">
          <w:marLeft w:val="640"/>
          <w:marRight w:val="0"/>
          <w:marTop w:val="0"/>
          <w:marBottom w:val="0"/>
          <w:divBdr>
            <w:top w:val="none" w:sz="0" w:space="0" w:color="auto"/>
            <w:left w:val="none" w:sz="0" w:space="0" w:color="auto"/>
            <w:bottom w:val="none" w:sz="0" w:space="0" w:color="auto"/>
            <w:right w:val="none" w:sz="0" w:space="0" w:color="auto"/>
          </w:divBdr>
        </w:div>
        <w:div w:id="463279898">
          <w:marLeft w:val="640"/>
          <w:marRight w:val="0"/>
          <w:marTop w:val="0"/>
          <w:marBottom w:val="0"/>
          <w:divBdr>
            <w:top w:val="none" w:sz="0" w:space="0" w:color="auto"/>
            <w:left w:val="none" w:sz="0" w:space="0" w:color="auto"/>
            <w:bottom w:val="none" w:sz="0" w:space="0" w:color="auto"/>
            <w:right w:val="none" w:sz="0" w:space="0" w:color="auto"/>
          </w:divBdr>
        </w:div>
        <w:div w:id="1561750184">
          <w:marLeft w:val="640"/>
          <w:marRight w:val="0"/>
          <w:marTop w:val="0"/>
          <w:marBottom w:val="0"/>
          <w:divBdr>
            <w:top w:val="none" w:sz="0" w:space="0" w:color="auto"/>
            <w:left w:val="none" w:sz="0" w:space="0" w:color="auto"/>
            <w:bottom w:val="none" w:sz="0" w:space="0" w:color="auto"/>
            <w:right w:val="none" w:sz="0" w:space="0" w:color="auto"/>
          </w:divBdr>
        </w:div>
        <w:div w:id="692612630">
          <w:marLeft w:val="640"/>
          <w:marRight w:val="0"/>
          <w:marTop w:val="0"/>
          <w:marBottom w:val="0"/>
          <w:divBdr>
            <w:top w:val="none" w:sz="0" w:space="0" w:color="auto"/>
            <w:left w:val="none" w:sz="0" w:space="0" w:color="auto"/>
            <w:bottom w:val="none" w:sz="0" w:space="0" w:color="auto"/>
            <w:right w:val="none" w:sz="0" w:space="0" w:color="auto"/>
          </w:divBdr>
        </w:div>
        <w:div w:id="241984679">
          <w:marLeft w:val="640"/>
          <w:marRight w:val="0"/>
          <w:marTop w:val="0"/>
          <w:marBottom w:val="0"/>
          <w:divBdr>
            <w:top w:val="none" w:sz="0" w:space="0" w:color="auto"/>
            <w:left w:val="none" w:sz="0" w:space="0" w:color="auto"/>
            <w:bottom w:val="none" w:sz="0" w:space="0" w:color="auto"/>
            <w:right w:val="none" w:sz="0" w:space="0" w:color="auto"/>
          </w:divBdr>
        </w:div>
        <w:div w:id="654573764">
          <w:marLeft w:val="640"/>
          <w:marRight w:val="0"/>
          <w:marTop w:val="0"/>
          <w:marBottom w:val="0"/>
          <w:divBdr>
            <w:top w:val="none" w:sz="0" w:space="0" w:color="auto"/>
            <w:left w:val="none" w:sz="0" w:space="0" w:color="auto"/>
            <w:bottom w:val="none" w:sz="0" w:space="0" w:color="auto"/>
            <w:right w:val="none" w:sz="0" w:space="0" w:color="auto"/>
          </w:divBdr>
        </w:div>
        <w:div w:id="312491553">
          <w:marLeft w:val="640"/>
          <w:marRight w:val="0"/>
          <w:marTop w:val="0"/>
          <w:marBottom w:val="0"/>
          <w:divBdr>
            <w:top w:val="none" w:sz="0" w:space="0" w:color="auto"/>
            <w:left w:val="none" w:sz="0" w:space="0" w:color="auto"/>
            <w:bottom w:val="none" w:sz="0" w:space="0" w:color="auto"/>
            <w:right w:val="none" w:sz="0" w:space="0" w:color="auto"/>
          </w:divBdr>
        </w:div>
        <w:div w:id="1645969114">
          <w:marLeft w:val="640"/>
          <w:marRight w:val="0"/>
          <w:marTop w:val="0"/>
          <w:marBottom w:val="0"/>
          <w:divBdr>
            <w:top w:val="none" w:sz="0" w:space="0" w:color="auto"/>
            <w:left w:val="none" w:sz="0" w:space="0" w:color="auto"/>
            <w:bottom w:val="none" w:sz="0" w:space="0" w:color="auto"/>
            <w:right w:val="none" w:sz="0" w:space="0" w:color="auto"/>
          </w:divBdr>
        </w:div>
        <w:div w:id="2080253244">
          <w:marLeft w:val="640"/>
          <w:marRight w:val="0"/>
          <w:marTop w:val="0"/>
          <w:marBottom w:val="0"/>
          <w:divBdr>
            <w:top w:val="none" w:sz="0" w:space="0" w:color="auto"/>
            <w:left w:val="none" w:sz="0" w:space="0" w:color="auto"/>
            <w:bottom w:val="none" w:sz="0" w:space="0" w:color="auto"/>
            <w:right w:val="none" w:sz="0" w:space="0" w:color="auto"/>
          </w:divBdr>
        </w:div>
        <w:div w:id="1182016681">
          <w:marLeft w:val="640"/>
          <w:marRight w:val="0"/>
          <w:marTop w:val="0"/>
          <w:marBottom w:val="0"/>
          <w:divBdr>
            <w:top w:val="none" w:sz="0" w:space="0" w:color="auto"/>
            <w:left w:val="none" w:sz="0" w:space="0" w:color="auto"/>
            <w:bottom w:val="none" w:sz="0" w:space="0" w:color="auto"/>
            <w:right w:val="none" w:sz="0" w:space="0" w:color="auto"/>
          </w:divBdr>
        </w:div>
        <w:div w:id="735708434">
          <w:marLeft w:val="640"/>
          <w:marRight w:val="0"/>
          <w:marTop w:val="0"/>
          <w:marBottom w:val="0"/>
          <w:divBdr>
            <w:top w:val="none" w:sz="0" w:space="0" w:color="auto"/>
            <w:left w:val="none" w:sz="0" w:space="0" w:color="auto"/>
            <w:bottom w:val="none" w:sz="0" w:space="0" w:color="auto"/>
            <w:right w:val="none" w:sz="0" w:space="0" w:color="auto"/>
          </w:divBdr>
        </w:div>
        <w:div w:id="415322390">
          <w:marLeft w:val="640"/>
          <w:marRight w:val="0"/>
          <w:marTop w:val="0"/>
          <w:marBottom w:val="0"/>
          <w:divBdr>
            <w:top w:val="none" w:sz="0" w:space="0" w:color="auto"/>
            <w:left w:val="none" w:sz="0" w:space="0" w:color="auto"/>
            <w:bottom w:val="none" w:sz="0" w:space="0" w:color="auto"/>
            <w:right w:val="none" w:sz="0" w:space="0" w:color="auto"/>
          </w:divBdr>
        </w:div>
        <w:div w:id="901795853">
          <w:marLeft w:val="640"/>
          <w:marRight w:val="0"/>
          <w:marTop w:val="0"/>
          <w:marBottom w:val="0"/>
          <w:divBdr>
            <w:top w:val="none" w:sz="0" w:space="0" w:color="auto"/>
            <w:left w:val="none" w:sz="0" w:space="0" w:color="auto"/>
            <w:bottom w:val="none" w:sz="0" w:space="0" w:color="auto"/>
            <w:right w:val="none" w:sz="0" w:space="0" w:color="auto"/>
          </w:divBdr>
        </w:div>
        <w:div w:id="456606271">
          <w:marLeft w:val="640"/>
          <w:marRight w:val="0"/>
          <w:marTop w:val="0"/>
          <w:marBottom w:val="0"/>
          <w:divBdr>
            <w:top w:val="none" w:sz="0" w:space="0" w:color="auto"/>
            <w:left w:val="none" w:sz="0" w:space="0" w:color="auto"/>
            <w:bottom w:val="none" w:sz="0" w:space="0" w:color="auto"/>
            <w:right w:val="none" w:sz="0" w:space="0" w:color="auto"/>
          </w:divBdr>
        </w:div>
        <w:div w:id="971251676">
          <w:marLeft w:val="640"/>
          <w:marRight w:val="0"/>
          <w:marTop w:val="0"/>
          <w:marBottom w:val="0"/>
          <w:divBdr>
            <w:top w:val="none" w:sz="0" w:space="0" w:color="auto"/>
            <w:left w:val="none" w:sz="0" w:space="0" w:color="auto"/>
            <w:bottom w:val="none" w:sz="0" w:space="0" w:color="auto"/>
            <w:right w:val="none" w:sz="0" w:space="0" w:color="auto"/>
          </w:divBdr>
        </w:div>
        <w:div w:id="955330691">
          <w:marLeft w:val="640"/>
          <w:marRight w:val="0"/>
          <w:marTop w:val="0"/>
          <w:marBottom w:val="0"/>
          <w:divBdr>
            <w:top w:val="none" w:sz="0" w:space="0" w:color="auto"/>
            <w:left w:val="none" w:sz="0" w:space="0" w:color="auto"/>
            <w:bottom w:val="none" w:sz="0" w:space="0" w:color="auto"/>
            <w:right w:val="none" w:sz="0" w:space="0" w:color="auto"/>
          </w:divBdr>
        </w:div>
        <w:div w:id="432941867">
          <w:marLeft w:val="640"/>
          <w:marRight w:val="0"/>
          <w:marTop w:val="0"/>
          <w:marBottom w:val="0"/>
          <w:divBdr>
            <w:top w:val="none" w:sz="0" w:space="0" w:color="auto"/>
            <w:left w:val="none" w:sz="0" w:space="0" w:color="auto"/>
            <w:bottom w:val="none" w:sz="0" w:space="0" w:color="auto"/>
            <w:right w:val="none" w:sz="0" w:space="0" w:color="auto"/>
          </w:divBdr>
        </w:div>
        <w:div w:id="3291301">
          <w:marLeft w:val="640"/>
          <w:marRight w:val="0"/>
          <w:marTop w:val="0"/>
          <w:marBottom w:val="0"/>
          <w:divBdr>
            <w:top w:val="none" w:sz="0" w:space="0" w:color="auto"/>
            <w:left w:val="none" w:sz="0" w:space="0" w:color="auto"/>
            <w:bottom w:val="none" w:sz="0" w:space="0" w:color="auto"/>
            <w:right w:val="none" w:sz="0" w:space="0" w:color="auto"/>
          </w:divBdr>
        </w:div>
        <w:div w:id="2069767892">
          <w:marLeft w:val="640"/>
          <w:marRight w:val="0"/>
          <w:marTop w:val="0"/>
          <w:marBottom w:val="0"/>
          <w:divBdr>
            <w:top w:val="none" w:sz="0" w:space="0" w:color="auto"/>
            <w:left w:val="none" w:sz="0" w:space="0" w:color="auto"/>
            <w:bottom w:val="none" w:sz="0" w:space="0" w:color="auto"/>
            <w:right w:val="none" w:sz="0" w:space="0" w:color="auto"/>
          </w:divBdr>
        </w:div>
        <w:div w:id="846094747">
          <w:marLeft w:val="640"/>
          <w:marRight w:val="0"/>
          <w:marTop w:val="0"/>
          <w:marBottom w:val="0"/>
          <w:divBdr>
            <w:top w:val="none" w:sz="0" w:space="0" w:color="auto"/>
            <w:left w:val="none" w:sz="0" w:space="0" w:color="auto"/>
            <w:bottom w:val="none" w:sz="0" w:space="0" w:color="auto"/>
            <w:right w:val="none" w:sz="0" w:space="0" w:color="auto"/>
          </w:divBdr>
        </w:div>
        <w:div w:id="917785904">
          <w:marLeft w:val="640"/>
          <w:marRight w:val="0"/>
          <w:marTop w:val="0"/>
          <w:marBottom w:val="0"/>
          <w:divBdr>
            <w:top w:val="none" w:sz="0" w:space="0" w:color="auto"/>
            <w:left w:val="none" w:sz="0" w:space="0" w:color="auto"/>
            <w:bottom w:val="none" w:sz="0" w:space="0" w:color="auto"/>
            <w:right w:val="none" w:sz="0" w:space="0" w:color="auto"/>
          </w:divBdr>
        </w:div>
        <w:div w:id="261690695">
          <w:marLeft w:val="640"/>
          <w:marRight w:val="0"/>
          <w:marTop w:val="0"/>
          <w:marBottom w:val="0"/>
          <w:divBdr>
            <w:top w:val="none" w:sz="0" w:space="0" w:color="auto"/>
            <w:left w:val="none" w:sz="0" w:space="0" w:color="auto"/>
            <w:bottom w:val="none" w:sz="0" w:space="0" w:color="auto"/>
            <w:right w:val="none" w:sz="0" w:space="0" w:color="auto"/>
          </w:divBdr>
        </w:div>
        <w:div w:id="986400334">
          <w:marLeft w:val="640"/>
          <w:marRight w:val="0"/>
          <w:marTop w:val="0"/>
          <w:marBottom w:val="0"/>
          <w:divBdr>
            <w:top w:val="none" w:sz="0" w:space="0" w:color="auto"/>
            <w:left w:val="none" w:sz="0" w:space="0" w:color="auto"/>
            <w:bottom w:val="none" w:sz="0" w:space="0" w:color="auto"/>
            <w:right w:val="none" w:sz="0" w:space="0" w:color="auto"/>
          </w:divBdr>
        </w:div>
        <w:div w:id="1617639036">
          <w:marLeft w:val="640"/>
          <w:marRight w:val="0"/>
          <w:marTop w:val="0"/>
          <w:marBottom w:val="0"/>
          <w:divBdr>
            <w:top w:val="none" w:sz="0" w:space="0" w:color="auto"/>
            <w:left w:val="none" w:sz="0" w:space="0" w:color="auto"/>
            <w:bottom w:val="none" w:sz="0" w:space="0" w:color="auto"/>
            <w:right w:val="none" w:sz="0" w:space="0" w:color="auto"/>
          </w:divBdr>
        </w:div>
        <w:div w:id="1930649220">
          <w:marLeft w:val="640"/>
          <w:marRight w:val="0"/>
          <w:marTop w:val="0"/>
          <w:marBottom w:val="0"/>
          <w:divBdr>
            <w:top w:val="none" w:sz="0" w:space="0" w:color="auto"/>
            <w:left w:val="none" w:sz="0" w:space="0" w:color="auto"/>
            <w:bottom w:val="none" w:sz="0" w:space="0" w:color="auto"/>
            <w:right w:val="none" w:sz="0" w:space="0" w:color="auto"/>
          </w:divBdr>
        </w:div>
        <w:div w:id="1164974246">
          <w:marLeft w:val="640"/>
          <w:marRight w:val="0"/>
          <w:marTop w:val="0"/>
          <w:marBottom w:val="0"/>
          <w:divBdr>
            <w:top w:val="none" w:sz="0" w:space="0" w:color="auto"/>
            <w:left w:val="none" w:sz="0" w:space="0" w:color="auto"/>
            <w:bottom w:val="none" w:sz="0" w:space="0" w:color="auto"/>
            <w:right w:val="none" w:sz="0" w:space="0" w:color="auto"/>
          </w:divBdr>
        </w:div>
        <w:div w:id="896667055">
          <w:marLeft w:val="640"/>
          <w:marRight w:val="0"/>
          <w:marTop w:val="0"/>
          <w:marBottom w:val="0"/>
          <w:divBdr>
            <w:top w:val="none" w:sz="0" w:space="0" w:color="auto"/>
            <w:left w:val="none" w:sz="0" w:space="0" w:color="auto"/>
            <w:bottom w:val="none" w:sz="0" w:space="0" w:color="auto"/>
            <w:right w:val="none" w:sz="0" w:space="0" w:color="auto"/>
          </w:divBdr>
        </w:div>
        <w:div w:id="727266001">
          <w:marLeft w:val="640"/>
          <w:marRight w:val="0"/>
          <w:marTop w:val="0"/>
          <w:marBottom w:val="0"/>
          <w:divBdr>
            <w:top w:val="none" w:sz="0" w:space="0" w:color="auto"/>
            <w:left w:val="none" w:sz="0" w:space="0" w:color="auto"/>
            <w:bottom w:val="none" w:sz="0" w:space="0" w:color="auto"/>
            <w:right w:val="none" w:sz="0" w:space="0" w:color="auto"/>
          </w:divBdr>
        </w:div>
        <w:div w:id="274292424">
          <w:marLeft w:val="640"/>
          <w:marRight w:val="0"/>
          <w:marTop w:val="0"/>
          <w:marBottom w:val="0"/>
          <w:divBdr>
            <w:top w:val="none" w:sz="0" w:space="0" w:color="auto"/>
            <w:left w:val="none" w:sz="0" w:space="0" w:color="auto"/>
            <w:bottom w:val="none" w:sz="0" w:space="0" w:color="auto"/>
            <w:right w:val="none" w:sz="0" w:space="0" w:color="auto"/>
          </w:divBdr>
        </w:div>
        <w:div w:id="365905897">
          <w:marLeft w:val="640"/>
          <w:marRight w:val="0"/>
          <w:marTop w:val="0"/>
          <w:marBottom w:val="0"/>
          <w:divBdr>
            <w:top w:val="none" w:sz="0" w:space="0" w:color="auto"/>
            <w:left w:val="none" w:sz="0" w:space="0" w:color="auto"/>
            <w:bottom w:val="none" w:sz="0" w:space="0" w:color="auto"/>
            <w:right w:val="none" w:sz="0" w:space="0" w:color="auto"/>
          </w:divBdr>
        </w:div>
        <w:div w:id="1735202526">
          <w:marLeft w:val="640"/>
          <w:marRight w:val="0"/>
          <w:marTop w:val="0"/>
          <w:marBottom w:val="0"/>
          <w:divBdr>
            <w:top w:val="none" w:sz="0" w:space="0" w:color="auto"/>
            <w:left w:val="none" w:sz="0" w:space="0" w:color="auto"/>
            <w:bottom w:val="none" w:sz="0" w:space="0" w:color="auto"/>
            <w:right w:val="none" w:sz="0" w:space="0" w:color="auto"/>
          </w:divBdr>
        </w:div>
        <w:div w:id="1963031533">
          <w:marLeft w:val="640"/>
          <w:marRight w:val="0"/>
          <w:marTop w:val="0"/>
          <w:marBottom w:val="0"/>
          <w:divBdr>
            <w:top w:val="none" w:sz="0" w:space="0" w:color="auto"/>
            <w:left w:val="none" w:sz="0" w:space="0" w:color="auto"/>
            <w:bottom w:val="none" w:sz="0" w:space="0" w:color="auto"/>
            <w:right w:val="none" w:sz="0" w:space="0" w:color="auto"/>
          </w:divBdr>
        </w:div>
        <w:div w:id="1829052517">
          <w:marLeft w:val="640"/>
          <w:marRight w:val="0"/>
          <w:marTop w:val="0"/>
          <w:marBottom w:val="0"/>
          <w:divBdr>
            <w:top w:val="none" w:sz="0" w:space="0" w:color="auto"/>
            <w:left w:val="none" w:sz="0" w:space="0" w:color="auto"/>
            <w:bottom w:val="none" w:sz="0" w:space="0" w:color="auto"/>
            <w:right w:val="none" w:sz="0" w:space="0" w:color="auto"/>
          </w:divBdr>
        </w:div>
        <w:div w:id="1797791585">
          <w:marLeft w:val="640"/>
          <w:marRight w:val="0"/>
          <w:marTop w:val="0"/>
          <w:marBottom w:val="0"/>
          <w:divBdr>
            <w:top w:val="none" w:sz="0" w:space="0" w:color="auto"/>
            <w:left w:val="none" w:sz="0" w:space="0" w:color="auto"/>
            <w:bottom w:val="none" w:sz="0" w:space="0" w:color="auto"/>
            <w:right w:val="none" w:sz="0" w:space="0" w:color="auto"/>
          </w:divBdr>
        </w:div>
        <w:div w:id="1390572362">
          <w:marLeft w:val="640"/>
          <w:marRight w:val="0"/>
          <w:marTop w:val="0"/>
          <w:marBottom w:val="0"/>
          <w:divBdr>
            <w:top w:val="none" w:sz="0" w:space="0" w:color="auto"/>
            <w:left w:val="none" w:sz="0" w:space="0" w:color="auto"/>
            <w:bottom w:val="none" w:sz="0" w:space="0" w:color="auto"/>
            <w:right w:val="none" w:sz="0" w:space="0" w:color="auto"/>
          </w:divBdr>
        </w:div>
        <w:div w:id="1818453960">
          <w:marLeft w:val="640"/>
          <w:marRight w:val="0"/>
          <w:marTop w:val="0"/>
          <w:marBottom w:val="0"/>
          <w:divBdr>
            <w:top w:val="none" w:sz="0" w:space="0" w:color="auto"/>
            <w:left w:val="none" w:sz="0" w:space="0" w:color="auto"/>
            <w:bottom w:val="none" w:sz="0" w:space="0" w:color="auto"/>
            <w:right w:val="none" w:sz="0" w:space="0" w:color="auto"/>
          </w:divBdr>
        </w:div>
        <w:div w:id="1247882712">
          <w:marLeft w:val="640"/>
          <w:marRight w:val="0"/>
          <w:marTop w:val="0"/>
          <w:marBottom w:val="0"/>
          <w:divBdr>
            <w:top w:val="none" w:sz="0" w:space="0" w:color="auto"/>
            <w:left w:val="none" w:sz="0" w:space="0" w:color="auto"/>
            <w:bottom w:val="none" w:sz="0" w:space="0" w:color="auto"/>
            <w:right w:val="none" w:sz="0" w:space="0" w:color="auto"/>
          </w:divBdr>
        </w:div>
        <w:div w:id="1386682999">
          <w:marLeft w:val="640"/>
          <w:marRight w:val="0"/>
          <w:marTop w:val="0"/>
          <w:marBottom w:val="0"/>
          <w:divBdr>
            <w:top w:val="none" w:sz="0" w:space="0" w:color="auto"/>
            <w:left w:val="none" w:sz="0" w:space="0" w:color="auto"/>
            <w:bottom w:val="none" w:sz="0" w:space="0" w:color="auto"/>
            <w:right w:val="none" w:sz="0" w:space="0" w:color="auto"/>
          </w:divBdr>
        </w:div>
        <w:div w:id="1453865277">
          <w:marLeft w:val="640"/>
          <w:marRight w:val="0"/>
          <w:marTop w:val="0"/>
          <w:marBottom w:val="0"/>
          <w:divBdr>
            <w:top w:val="none" w:sz="0" w:space="0" w:color="auto"/>
            <w:left w:val="none" w:sz="0" w:space="0" w:color="auto"/>
            <w:bottom w:val="none" w:sz="0" w:space="0" w:color="auto"/>
            <w:right w:val="none" w:sz="0" w:space="0" w:color="auto"/>
          </w:divBdr>
        </w:div>
        <w:div w:id="1763330594">
          <w:marLeft w:val="640"/>
          <w:marRight w:val="0"/>
          <w:marTop w:val="0"/>
          <w:marBottom w:val="0"/>
          <w:divBdr>
            <w:top w:val="none" w:sz="0" w:space="0" w:color="auto"/>
            <w:left w:val="none" w:sz="0" w:space="0" w:color="auto"/>
            <w:bottom w:val="none" w:sz="0" w:space="0" w:color="auto"/>
            <w:right w:val="none" w:sz="0" w:space="0" w:color="auto"/>
          </w:divBdr>
        </w:div>
        <w:div w:id="732194880">
          <w:marLeft w:val="640"/>
          <w:marRight w:val="0"/>
          <w:marTop w:val="0"/>
          <w:marBottom w:val="0"/>
          <w:divBdr>
            <w:top w:val="none" w:sz="0" w:space="0" w:color="auto"/>
            <w:left w:val="none" w:sz="0" w:space="0" w:color="auto"/>
            <w:bottom w:val="none" w:sz="0" w:space="0" w:color="auto"/>
            <w:right w:val="none" w:sz="0" w:space="0" w:color="auto"/>
          </w:divBdr>
        </w:div>
        <w:div w:id="878782487">
          <w:marLeft w:val="640"/>
          <w:marRight w:val="0"/>
          <w:marTop w:val="0"/>
          <w:marBottom w:val="0"/>
          <w:divBdr>
            <w:top w:val="none" w:sz="0" w:space="0" w:color="auto"/>
            <w:left w:val="none" w:sz="0" w:space="0" w:color="auto"/>
            <w:bottom w:val="none" w:sz="0" w:space="0" w:color="auto"/>
            <w:right w:val="none" w:sz="0" w:space="0" w:color="auto"/>
          </w:divBdr>
        </w:div>
        <w:div w:id="1488669469">
          <w:marLeft w:val="640"/>
          <w:marRight w:val="0"/>
          <w:marTop w:val="0"/>
          <w:marBottom w:val="0"/>
          <w:divBdr>
            <w:top w:val="none" w:sz="0" w:space="0" w:color="auto"/>
            <w:left w:val="none" w:sz="0" w:space="0" w:color="auto"/>
            <w:bottom w:val="none" w:sz="0" w:space="0" w:color="auto"/>
            <w:right w:val="none" w:sz="0" w:space="0" w:color="auto"/>
          </w:divBdr>
        </w:div>
        <w:div w:id="463039922">
          <w:marLeft w:val="640"/>
          <w:marRight w:val="0"/>
          <w:marTop w:val="0"/>
          <w:marBottom w:val="0"/>
          <w:divBdr>
            <w:top w:val="none" w:sz="0" w:space="0" w:color="auto"/>
            <w:left w:val="none" w:sz="0" w:space="0" w:color="auto"/>
            <w:bottom w:val="none" w:sz="0" w:space="0" w:color="auto"/>
            <w:right w:val="none" w:sz="0" w:space="0" w:color="auto"/>
          </w:divBdr>
        </w:div>
        <w:div w:id="2050109000">
          <w:marLeft w:val="640"/>
          <w:marRight w:val="0"/>
          <w:marTop w:val="0"/>
          <w:marBottom w:val="0"/>
          <w:divBdr>
            <w:top w:val="none" w:sz="0" w:space="0" w:color="auto"/>
            <w:left w:val="none" w:sz="0" w:space="0" w:color="auto"/>
            <w:bottom w:val="none" w:sz="0" w:space="0" w:color="auto"/>
            <w:right w:val="none" w:sz="0" w:space="0" w:color="auto"/>
          </w:divBdr>
        </w:div>
        <w:div w:id="1703557740">
          <w:marLeft w:val="640"/>
          <w:marRight w:val="0"/>
          <w:marTop w:val="0"/>
          <w:marBottom w:val="0"/>
          <w:divBdr>
            <w:top w:val="none" w:sz="0" w:space="0" w:color="auto"/>
            <w:left w:val="none" w:sz="0" w:space="0" w:color="auto"/>
            <w:bottom w:val="none" w:sz="0" w:space="0" w:color="auto"/>
            <w:right w:val="none" w:sz="0" w:space="0" w:color="auto"/>
          </w:divBdr>
        </w:div>
        <w:div w:id="1479807601">
          <w:marLeft w:val="640"/>
          <w:marRight w:val="0"/>
          <w:marTop w:val="0"/>
          <w:marBottom w:val="0"/>
          <w:divBdr>
            <w:top w:val="none" w:sz="0" w:space="0" w:color="auto"/>
            <w:left w:val="none" w:sz="0" w:space="0" w:color="auto"/>
            <w:bottom w:val="none" w:sz="0" w:space="0" w:color="auto"/>
            <w:right w:val="none" w:sz="0" w:space="0" w:color="auto"/>
          </w:divBdr>
        </w:div>
        <w:div w:id="800879204">
          <w:marLeft w:val="640"/>
          <w:marRight w:val="0"/>
          <w:marTop w:val="0"/>
          <w:marBottom w:val="0"/>
          <w:divBdr>
            <w:top w:val="none" w:sz="0" w:space="0" w:color="auto"/>
            <w:left w:val="none" w:sz="0" w:space="0" w:color="auto"/>
            <w:bottom w:val="none" w:sz="0" w:space="0" w:color="auto"/>
            <w:right w:val="none" w:sz="0" w:space="0" w:color="auto"/>
          </w:divBdr>
        </w:div>
        <w:div w:id="488256633">
          <w:marLeft w:val="640"/>
          <w:marRight w:val="0"/>
          <w:marTop w:val="0"/>
          <w:marBottom w:val="0"/>
          <w:divBdr>
            <w:top w:val="none" w:sz="0" w:space="0" w:color="auto"/>
            <w:left w:val="none" w:sz="0" w:space="0" w:color="auto"/>
            <w:bottom w:val="none" w:sz="0" w:space="0" w:color="auto"/>
            <w:right w:val="none" w:sz="0" w:space="0" w:color="auto"/>
          </w:divBdr>
        </w:div>
        <w:div w:id="1412778244">
          <w:marLeft w:val="640"/>
          <w:marRight w:val="0"/>
          <w:marTop w:val="0"/>
          <w:marBottom w:val="0"/>
          <w:divBdr>
            <w:top w:val="none" w:sz="0" w:space="0" w:color="auto"/>
            <w:left w:val="none" w:sz="0" w:space="0" w:color="auto"/>
            <w:bottom w:val="none" w:sz="0" w:space="0" w:color="auto"/>
            <w:right w:val="none" w:sz="0" w:space="0" w:color="auto"/>
          </w:divBdr>
        </w:div>
        <w:div w:id="929780321">
          <w:marLeft w:val="640"/>
          <w:marRight w:val="0"/>
          <w:marTop w:val="0"/>
          <w:marBottom w:val="0"/>
          <w:divBdr>
            <w:top w:val="none" w:sz="0" w:space="0" w:color="auto"/>
            <w:left w:val="none" w:sz="0" w:space="0" w:color="auto"/>
            <w:bottom w:val="none" w:sz="0" w:space="0" w:color="auto"/>
            <w:right w:val="none" w:sz="0" w:space="0" w:color="auto"/>
          </w:divBdr>
        </w:div>
        <w:div w:id="1755782057">
          <w:marLeft w:val="640"/>
          <w:marRight w:val="0"/>
          <w:marTop w:val="0"/>
          <w:marBottom w:val="0"/>
          <w:divBdr>
            <w:top w:val="none" w:sz="0" w:space="0" w:color="auto"/>
            <w:left w:val="none" w:sz="0" w:space="0" w:color="auto"/>
            <w:bottom w:val="none" w:sz="0" w:space="0" w:color="auto"/>
            <w:right w:val="none" w:sz="0" w:space="0" w:color="auto"/>
          </w:divBdr>
        </w:div>
        <w:div w:id="74712234">
          <w:marLeft w:val="640"/>
          <w:marRight w:val="0"/>
          <w:marTop w:val="0"/>
          <w:marBottom w:val="0"/>
          <w:divBdr>
            <w:top w:val="none" w:sz="0" w:space="0" w:color="auto"/>
            <w:left w:val="none" w:sz="0" w:space="0" w:color="auto"/>
            <w:bottom w:val="none" w:sz="0" w:space="0" w:color="auto"/>
            <w:right w:val="none" w:sz="0" w:space="0" w:color="auto"/>
          </w:divBdr>
        </w:div>
        <w:div w:id="642930245">
          <w:marLeft w:val="640"/>
          <w:marRight w:val="0"/>
          <w:marTop w:val="0"/>
          <w:marBottom w:val="0"/>
          <w:divBdr>
            <w:top w:val="none" w:sz="0" w:space="0" w:color="auto"/>
            <w:left w:val="none" w:sz="0" w:space="0" w:color="auto"/>
            <w:bottom w:val="none" w:sz="0" w:space="0" w:color="auto"/>
            <w:right w:val="none" w:sz="0" w:space="0" w:color="auto"/>
          </w:divBdr>
        </w:div>
        <w:div w:id="1828593746">
          <w:marLeft w:val="640"/>
          <w:marRight w:val="0"/>
          <w:marTop w:val="0"/>
          <w:marBottom w:val="0"/>
          <w:divBdr>
            <w:top w:val="none" w:sz="0" w:space="0" w:color="auto"/>
            <w:left w:val="none" w:sz="0" w:space="0" w:color="auto"/>
            <w:bottom w:val="none" w:sz="0" w:space="0" w:color="auto"/>
            <w:right w:val="none" w:sz="0" w:space="0" w:color="auto"/>
          </w:divBdr>
        </w:div>
        <w:div w:id="1643801801">
          <w:marLeft w:val="640"/>
          <w:marRight w:val="0"/>
          <w:marTop w:val="0"/>
          <w:marBottom w:val="0"/>
          <w:divBdr>
            <w:top w:val="none" w:sz="0" w:space="0" w:color="auto"/>
            <w:left w:val="none" w:sz="0" w:space="0" w:color="auto"/>
            <w:bottom w:val="none" w:sz="0" w:space="0" w:color="auto"/>
            <w:right w:val="none" w:sz="0" w:space="0" w:color="auto"/>
          </w:divBdr>
        </w:div>
        <w:div w:id="2068800686">
          <w:marLeft w:val="640"/>
          <w:marRight w:val="0"/>
          <w:marTop w:val="0"/>
          <w:marBottom w:val="0"/>
          <w:divBdr>
            <w:top w:val="none" w:sz="0" w:space="0" w:color="auto"/>
            <w:left w:val="none" w:sz="0" w:space="0" w:color="auto"/>
            <w:bottom w:val="none" w:sz="0" w:space="0" w:color="auto"/>
            <w:right w:val="none" w:sz="0" w:space="0" w:color="auto"/>
          </w:divBdr>
        </w:div>
        <w:div w:id="2103640468">
          <w:marLeft w:val="640"/>
          <w:marRight w:val="0"/>
          <w:marTop w:val="0"/>
          <w:marBottom w:val="0"/>
          <w:divBdr>
            <w:top w:val="none" w:sz="0" w:space="0" w:color="auto"/>
            <w:left w:val="none" w:sz="0" w:space="0" w:color="auto"/>
            <w:bottom w:val="none" w:sz="0" w:space="0" w:color="auto"/>
            <w:right w:val="none" w:sz="0" w:space="0" w:color="auto"/>
          </w:divBdr>
        </w:div>
        <w:div w:id="1065296817">
          <w:marLeft w:val="640"/>
          <w:marRight w:val="0"/>
          <w:marTop w:val="0"/>
          <w:marBottom w:val="0"/>
          <w:divBdr>
            <w:top w:val="none" w:sz="0" w:space="0" w:color="auto"/>
            <w:left w:val="none" w:sz="0" w:space="0" w:color="auto"/>
            <w:bottom w:val="none" w:sz="0" w:space="0" w:color="auto"/>
            <w:right w:val="none" w:sz="0" w:space="0" w:color="auto"/>
          </w:divBdr>
        </w:div>
        <w:div w:id="1536577384">
          <w:marLeft w:val="640"/>
          <w:marRight w:val="0"/>
          <w:marTop w:val="0"/>
          <w:marBottom w:val="0"/>
          <w:divBdr>
            <w:top w:val="none" w:sz="0" w:space="0" w:color="auto"/>
            <w:left w:val="none" w:sz="0" w:space="0" w:color="auto"/>
            <w:bottom w:val="none" w:sz="0" w:space="0" w:color="auto"/>
            <w:right w:val="none" w:sz="0" w:space="0" w:color="auto"/>
          </w:divBdr>
        </w:div>
        <w:div w:id="643124996">
          <w:marLeft w:val="640"/>
          <w:marRight w:val="0"/>
          <w:marTop w:val="0"/>
          <w:marBottom w:val="0"/>
          <w:divBdr>
            <w:top w:val="none" w:sz="0" w:space="0" w:color="auto"/>
            <w:left w:val="none" w:sz="0" w:space="0" w:color="auto"/>
            <w:bottom w:val="none" w:sz="0" w:space="0" w:color="auto"/>
            <w:right w:val="none" w:sz="0" w:space="0" w:color="auto"/>
          </w:divBdr>
        </w:div>
        <w:div w:id="271667491">
          <w:marLeft w:val="640"/>
          <w:marRight w:val="0"/>
          <w:marTop w:val="0"/>
          <w:marBottom w:val="0"/>
          <w:divBdr>
            <w:top w:val="none" w:sz="0" w:space="0" w:color="auto"/>
            <w:left w:val="none" w:sz="0" w:space="0" w:color="auto"/>
            <w:bottom w:val="none" w:sz="0" w:space="0" w:color="auto"/>
            <w:right w:val="none" w:sz="0" w:space="0" w:color="auto"/>
          </w:divBdr>
        </w:div>
        <w:div w:id="26639446">
          <w:marLeft w:val="640"/>
          <w:marRight w:val="0"/>
          <w:marTop w:val="0"/>
          <w:marBottom w:val="0"/>
          <w:divBdr>
            <w:top w:val="none" w:sz="0" w:space="0" w:color="auto"/>
            <w:left w:val="none" w:sz="0" w:space="0" w:color="auto"/>
            <w:bottom w:val="none" w:sz="0" w:space="0" w:color="auto"/>
            <w:right w:val="none" w:sz="0" w:space="0" w:color="auto"/>
          </w:divBdr>
        </w:div>
        <w:div w:id="1818525183">
          <w:marLeft w:val="640"/>
          <w:marRight w:val="0"/>
          <w:marTop w:val="0"/>
          <w:marBottom w:val="0"/>
          <w:divBdr>
            <w:top w:val="none" w:sz="0" w:space="0" w:color="auto"/>
            <w:left w:val="none" w:sz="0" w:space="0" w:color="auto"/>
            <w:bottom w:val="none" w:sz="0" w:space="0" w:color="auto"/>
            <w:right w:val="none" w:sz="0" w:space="0" w:color="auto"/>
          </w:divBdr>
        </w:div>
        <w:div w:id="1463965951">
          <w:marLeft w:val="640"/>
          <w:marRight w:val="0"/>
          <w:marTop w:val="0"/>
          <w:marBottom w:val="0"/>
          <w:divBdr>
            <w:top w:val="none" w:sz="0" w:space="0" w:color="auto"/>
            <w:left w:val="none" w:sz="0" w:space="0" w:color="auto"/>
            <w:bottom w:val="none" w:sz="0" w:space="0" w:color="auto"/>
            <w:right w:val="none" w:sz="0" w:space="0" w:color="auto"/>
          </w:divBdr>
        </w:div>
        <w:div w:id="1403524462">
          <w:marLeft w:val="640"/>
          <w:marRight w:val="0"/>
          <w:marTop w:val="0"/>
          <w:marBottom w:val="0"/>
          <w:divBdr>
            <w:top w:val="none" w:sz="0" w:space="0" w:color="auto"/>
            <w:left w:val="none" w:sz="0" w:space="0" w:color="auto"/>
            <w:bottom w:val="none" w:sz="0" w:space="0" w:color="auto"/>
            <w:right w:val="none" w:sz="0" w:space="0" w:color="auto"/>
          </w:divBdr>
        </w:div>
        <w:div w:id="1114062165">
          <w:marLeft w:val="640"/>
          <w:marRight w:val="0"/>
          <w:marTop w:val="0"/>
          <w:marBottom w:val="0"/>
          <w:divBdr>
            <w:top w:val="none" w:sz="0" w:space="0" w:color="auto"/>
            <w:left w:val="none" w:sz="0" w:space="0" w:color="auto"/>
            <w:bottom w:val="none" w:sz="0" w:space="0" w:color="auto"/>
            <w:right w:val="none" w:sz="0" w:space="0" w:color="auto"/>
          </w:divBdr>
        </w:div>
        <w:div w:id="2068845075">
          <w:marLeft w:val="640"/>
          <w:marRight w:val="0"/>
          <w:marTop w:val="0"/>
          <w:marBottom w:val="0"/>
          <w:divBdr>
            <w:top w:val="none" w:sz="0" w:space="0" w:color="auto"/>
            <w:left w:val="none" w:sz="0" w:space="0" w:color="auto"/>
            <w:bottom w:val="none" w:sz="0" w:space="0" w:color="auto"/>
            <w:right w:val="none" w:sz="0" w:space="0" w:color="auto"/>
          </w:divBdr>
        </w:div>
        <w:div w:id="1263100271">
          <w:marLeft w:val="640"/>
          <w:marRight w:val="0"/>
          <w:marTop w:val="0"/>
          <w:marBottom w:val="0"/>
          <w:divBdr>
            <w:top w:val="none" w:sz="0" w:space="0" w:color="auto"/>
            <w:left w:val="none" w:sz="0" w:space="0" w:color="auto"/>
            <w:bottom w:val="none" w:sz="0" w:space="0" w:color="auto"/>
            <w:right w:val="none" w:sz="0" w:space="0" w:color="auto"/>
          </w:divBdr>
        </w:div>
        <w:div w:id="1583181371">
          <w:marLeft w:val="640"/>
          <w:marRight w:val="0"/>
          <w:marTop w:val="0"/>
          <w:marBottom w:val="0"/>
          <w:divBdr>
            <w:top w:val="none" w:sz="0" w:space="0" w:color="auto"/>
            <w:left w:val="none" w:sz="0" w:space="0" w:color="auto"/>
            <w:bottom w:val="none" w:sz="0" w:space="0" w:color="auto"/>
            <w:right w:val="none" w:sz="0" w:space="0" w:color="auto"/>
          </w:divBdr>
        </w:div>
        <w:div w:id="1459225342">
          <w:marLeft w:val="640"/>
          <w:marRight w:val="0"/>
          <w:marTop w:val="0"/>
          <w:marBottom w:val="0"/>
          <w:divBdr>
            <w:top w:val="none" w:sz="0" w:space="0" w:color="auto"/>
            <w:left w:val="none" w:sz="0" w:space="0" w:color="auto"/>
            <w:bottom w:val="none" w:sz="0" w:space="0" w:color="auto"/>
            <w:right w:val="none" w:sz="0" w:space="0" w:color="auto"/>
          </w:divBdr>
        </w:div>
        <w:div w:id="420874225">
          <w:marLeft w:val="640"/>
          <w:marRight w:val="0"/>
          <w:marTop w:val="0"/>
          <w:marBottom w:val="0"/>
          <w:divBdr>
            <w:top w:val="none" w:sz="0" w:space="0" w:color="auto"/>
            <w:left w:val="none" w:sz="0" w:space="0" w:color="auto"/>
            <w:bottom w:val="none" w:sz="0" w:space="0" w:color="auto"/>
            <w:right w:val="none" w:sz="0" w:space="0" w:color="auto"/>
          </w:divBdr>
        </w:div>
        <w:div w:id="315383620">
          <w:marLeft w:val="640"/>
          <w:marRight w:val="0"/>
          <w:marTop w:val="0"/>
          <w:marBottom w:val="0"/>
          <w:divBdr>
            <w:top w:val="none" w:sz="0" w:space="0" w:color="auto"/>
            <w:left w:val="none" w:sz="0" w:space="0" w:color="auto"/>
            <w:bottom w:val="none" w:sz="0" w:space="0" w:color="auto"/>
            <w:right w:val="none" w:sz="0" w:space="0" w:color="auto"/>
          </w:divBdr>
        </w:div>
        <w:div w:id="1011107027">
          <w:marLeft w:val="640"/>
          <w:marRight w:val="0"/>
          <w:marTop w:val="0"/>
          <w:marBottom w:val="0"/>
          <w:divBdr>
            <w:top w:val="none" w:sz="0" w:space="0" w:color="auto"/>
            <w:left w:val="none" w:sz="0" w:space="0" w:color="auto"/>
            <w:bottom w:val="none" w:sz="0" w:space="0" w:color="auto"/>
            <w:right w:val="none" w:sz="0" w:space="0" w:color="auto"/>
          </w:divBdr>
        </w:div>
        <w:div w:id="1641885208">
          <w:marLeft w:val="640"/>
          <w:marRight w:val="0"/>
          <w:marTop w:val="0"/>
          <w:marBottom w:val="0"/>
          <w:divBdr>
            <w:top w:val="none" w:sz="0" w:space="0" w:color="auto"/>
            <w:left w:val="none" w:sz="0" w:space="0" w:color="auto"/>
            <w:bottom w:val="none" w:sz="0" w:space="0" w:color="auto"/>
            <w:right w:val="none" w:sz="0" w:space="0" w:color="auto"/>
          </w:divBdr>
        </w:div>
        <w:div w:id="785662491">
          <w:marLeft w:val="640"/>
          <w:marRight w:val="0"/>
          <w:marTop w:val="0"/>
          <w:marBottom w:val="0"/>
          <w:divBdr>
            <w:top w:val="none" w:sz="0" w:space="0" w:color="auto"/>
            <w:left w:val="none" w:sz="0" w:space="0" w:color="auto"/>
            <w:bottom w:val="none" w:sz="0" w:space="0" w:color="auto"/>
            <w:right w:val="none" w:sz="0" w:space="0" w:color="auto"/>
          </w:divBdr>
        </w:div>
        <w:div w:id="2109960494">
          <w:marLeft w:val="640"/>
          <w:marRight w:val="0"/>
          <w:marTop w:val="0"/>
          <w:marBottom w:val="0"/>
          <w:divBdr>
            <w:top w:val="none" w:sz="0" w:space="0" w:color="auto"/>
            <w:left w:val="none" w:sz="0" w:space="0" w:color="auto"/>
            <w:bottom w:val="none" w:sz="0" w:space="0" w:color="auto"/>
            <w:right w:val="none" w:sz="0" w:space="0" w:color="auto"/>
          </w:divBdr>
        </w:div>
        <w:div w:id="793476141">
          <w:marLeft w:val="640"/>
          <w:marRight w:val="0"/>
          <w:marTop w:val="0"/>
          <w:marBottom w:val="0"/>
          <w:divBdr>
            <w:top w:val="none" w:sz="0" w:space="0" w:color="auto"/>
            <w:left w:val="none" w:sz="0" w:space="0" w:color="auto"/>
            <w:bottom w:val="none" w:sz="0" w:space="0" w:color="auto"/>
            <w:right w:val="none" w:sz="0" w:space="0" w:color="auto"/>
          </w:divBdr>
        </w:div>
        <w:div w:id="575092138">
          <w:marLeft w:val="640"/>
          <w:marRight w:val="0"/>
          <w:marTop w:val="0"/>
          <w:marBottom w:val="0"/>
          <w:divBdr>
            <w:top w:val="none" w:sz="0" w:space="0" w:color="auto"/>
            <w:left w:val="none" w:sz="0" w:space="0" w:color="auto"/>
            <w:bottom w:val="none" w:sz="0" w:space="0" w:color="auto"/>
            <w:right w:val="none" w:sz="0" w:space="0" w:color="auto"/>
          </w:divBdr>
        </w:div>
        <w:div w:id="713188919">
          <w:marLeft w:val="640"/>
          <w:marRight w:val="0"/>
          <w:marTop w:val="0"/>
          <w:marBottom w:val="0"/>
          <w:divBdr>
            <w:top w:val="none" w:sz="0" w:space="0" w:color="auto"/>
            <w:left w:val="none" w:sz="0" w:space="0" w:color="auto"/>
            <w:bottom w:val="none" w:sz="0" w:space="0" w:color="auto"/>
            <w:right w:val="none" w:sz="0" w:space="0" w:color="auto"/>
          </w:divBdr>
        </w:div>
        <w:div w:id="846409971">
          <w:marLeft w:val="640"/>
          <w:marRight w:val="0"/>
          <w:marTop w:val="0"/>
          <w:marBottom w:val="0"/>
          <w:divBdr>
            <w:top w:val="none" w:sz="0" w:space="0" w:color="auto"/>
            <w:left w:val="none" w:sz="0" w:space="0" w:color="auto"/>
            <w:bottom w:val="none" w:sz="0" w:space="0" w:color="auto"/>
            <w:right w:val="none" w:sz="0" w:space="0" w:color="auto"/>
          </w:divBdr>
        </w:div>
        <w:div w:id="490947017">
          <w:marLeft w:val="640"/>
          <w:marRight w:val="0"/>
          <w:marTop w:val="0"/>
          <w:marBottom w:val="0"/>
          <w:divBdr>
            <w:top w:val="none" w:sz="0" w:space="0" w:color="auto"/>
            <w:left w:val="none" w:sz="0" w:space="0" w:color="auto"/>
            <w:bottom w:val="none" w:sz="0" w:space="0" w:color="auto"/>
            <w:right w:val="none" w:sz="0" w:space="0" w:color="auto"/>
          </w:divBdr>
        </w:div>
        <w:div w:id="1712533610">
          <w:marLeft w:val="640"/>
          <w:marRight w:val="0"/>
          <w:marTop w:val="0"/>
          <w:marBottom w:val="0"/>
          <w:divBdr>
            <w:top w:val="none" w:sz="0" w:space="0" w:color="auto"/>
            <w:left w:val="none" w:sz="0" w:space="0" w:color="auto"/>
            <w:bottom w:val="none" w:sz="0" w:space="0" w:color="auto"/>
            <w:right w:val="none" w:sz="0" w:space="0" w:color="auto"/>
          </w:divBdr>
        </w:div>
        <w:div w:id="1537346661">
          <w:marLeft w:val="640"/>
          <w:marRight w:val="0"/>
          <w:marTop w:val="0"/>
          <w:marBottom w:val="0"/>
          <w:divBdr>
            <w:top w:val="none" w:sz="0" w:space="0" w:color="auto"/>
            <w:left w:val="none" w:sz="0" w:space="0" w:color="auto"/>
            <w:bottom w:val="none" w:sz="0" w:space="0" w:color="auto"/>
            <w:right w:val="none" w:sz="0" w:space="0" w:color="auto"/>
          </w:divBdr>
        </w:div>
        <w:div w:id="92559466">
          <w:marLeft w:val="640"/>
          <w:marRight w:val="0"/>
          <w:marTop w:val="0"/>
          <w:marBottom w:val="0"/>
          <w:divBdr>
            <w:top w:val="none" w:sz="0" w:space="0" w:color="auto"/>
            <w:left w:val="none" w:sz="0" w:space="0" w:color="auto"/>
            <w:bottom w:val="none" w:sz="0" w:space="0" w:color="auto"/>
            <w:right w:val="none" w:sz="0" w:space="0" w:color="auto"/>
          </w:divBdr>
        </w:div>
        <w:div w:id="1293095001">
          <w:marLeft w:val="640"/>
          <w:marRight w:val="0"/>
          <w:marTop w:val="0"/>
          <w:marBottom w:val="0"/>
          <w:divBdr>
            <w:top w:val="none" w:sz="0" w:space="0" w:color="auto"/>
            <w:left w:val="none" w:sz="0" w:space="0" w:color="auto"/>
            <w:bottom w:val="none" w:sz="0" w:space="0" w:color="auto"/>
            <w:right w:val="none" w:sz="0" w:space="0" w:color="auto"/>
          </w:divBdr>
        </w:div>
        <w:div w:id="1537158663">
          <w:marLeft w:val="640"/>
          <w:marRight w:val="0"/>
          <w:marTop w:val="0"/>
          <w:marBottom w:val="0"/>
          <w:divBdr>
            <w:top w:val="none" w:sz="0" w:space="0" w:color="auto"/>
            <w:left w:val="none" w:sz="0" w:space="0" w:color="auto"/>
            <w:bottom w:val="none" w:sz="0" w:space="0" w:color="auto"/>
            <w:right w:val="none" w:sz="0" w:space="0" w:color="auto"/>
          </w:divBdr>
        </w:div>
        <w:div w:id="1404335913">
          <w:marLeft w:val="640"/>
          <w:marRight w:val="0"/>
          <w:marTop w:val="0"/>
          <w:marBottom w:val="0"/>
          <w:divBdr>
            <w:top w:val="none" w:sz="0" w:space="0" w:color="auto"/>
            <w:left w:val="none" w:sz="0" w:space="0" w:color="auto"/>
            <w:bottom w:val="none" w:sz="0" w:space="0" w:color="auto"/>
            <w:right w:val="none" w:sz="0" w:space="0" w:color="auto"/>
          </w:divBdr>
        </w:div>
        <w:div w:id="1796827729">
          <w:marLeft w:val="640"/>
          <w:marRight w:val="0"/>
          <w:marTop w:val="0"/>
          <w:marBottom w:val="0"/>
          <w:divBdr>
            <w:top w:val="none" w:sz="0" w:space="0" w:color="auto"/>
            <w:left w:val="none" w:sz="0" w:space="0" w:color="auto"/>
            <w:bottom w:val="none" w:sz="0" w:space="0" w:color="auto"/>
            <w:right w:val="none" w:sz="0" w:space="0" w:color="auto"/>
          </w:divBdr>
        </w:div>
        <w:div w:id="2053846442">
          <w:marLeft w:val="640"/>
          <w:marRight w:val="0"/>
          <w:marTop w:val="0"/>
          <w:marBottom w:val="0"/>
          <w:divBdr>
            <w:top w:val="none" w:sz="0" w:space="0" w:color="auto"/>
            <w:left w:val="none" w:sz="0" w:space="0" w:color="auto"/>
            <w:bottom w:val="none" w:sz="0" w:space="0" w:color="auto"/>
            <w:right w:val="none" w:sz="0" w:space="0" w:color="auto"/>
          </w:divBdr>
        </w:div>
        <w:div w:id="313534208">
          <w:marLeft w:val="640"/>
          <w:marRight w:val="0"/>
          <w:marTop w:val="0"/>
          <w:marBottom w:val="0"/>
          <w:divBdr>
            <w:top w:val="none" w:sz="0" w:space="0" w:color="auto"/>
            <w:left w:val="none" w:sz="0" w:space="0" w:color="auto"/>
            <w:bottom w:val="none" w:sz="0" w:space="0" w:color="auto"/>
            <w:right w:val="none" w:sz="0" w:space="0" w:color="auto"/>
          </w:divBdr>
        </w:div>
        <w:div w:id="1601838661">
          <w:marLeft w:val="640"/>
          <w:marRight w:val="0"/>
          <w:marTop w:val="0"/>
          <w:marBottom w:val="0"/>
          <w:divBdr>
            <w:top w:val="none" w:sz="0" w:space="0" w:color="auto"/>
            <w:left w:val="none" w:sz="0" w:space="0" w:color="auto"/>
            <w:bottom w:val="none" w:sz="0" w:space="0" w:color="auto"/>
            <w:right w:val="none" w:sz="0" w:space="0" w:color="auto"/>
          </w:divBdr>
        </w:div>
        <w:div w:id="1640693828">
          <w:marLeft w:val="640"/>
          <w:marRight w:val="0"/>
          <w:marTop w:val="0"/>
          <w:marBottom w:val="0"/>
          <w:divBdr>
            <w:top w:val="none" w:sz="0" w:space="0" w:color="auto"/>
            <w:left w:val="none" w:sz="0" w:space="0" w:color="auto"/>
            <w:bottom w:val="none" w:sz="0" w:space="0" w:color="auto"/>
            <w:right w:val="none" w:sz="0" w:space="0" w:color="auto"/>
          </w:divBdr>
        </w:div>
        <w:div w:id="1642808378">
          <w:marLeft w:val="640"/>
          <w:marRight w:val="0"/>
          <w:marTop w:val="0"/>
          <w:marBottom w:val="0"/>
          <w:divBdr>
            <w:top w:val="none" w:sz="0" w:space="0" w:color="auto"/>
            <w:left w:val="none" w:sz="0" w:space="0" w:color="auto"/>
            <w:bottom w:val="none" w:sz="0" w:space="0" w:color="auto"/>
            <w:right w:val="none" w:sz="0" w:space="0" w:color="auto"/>
          </w:divBdr>
        </w:div>
        <w:div w:id="857697609">
          <w:marLeft w:val="640"/>
          <w:marRight w:val="0"/>
          <w:marTop w:val="0"/>
          <w:marBottom w:val="0"/>
          <w:divBdr>
            <w:top w:val="none" w:sz="0" w:space="0" w:color="auto"/>
            <w:left w:val="none" w:sz="0" w:space="0" w:color="auto"/>
            <w:bottom w:val="none" w:sz="0" w:space="0" w:color="auto"/>
            <w:right w:val="none" w:sz="0" w:space="0" w:color="auto"/>
          </w:divBdr>
        </w:div>
        <w:div w:id="1324813823">
          <w:marLeft w:val="640"/>
          <w:marRight w:val="0"/>
          <w:marTop w:val="0"/>
          <w:marBottom w:val="0"/>
          <w:divBdr>
            <w:top w:val="none" w:sz="0" w:space="0" w:color="auto"/>
            <w:left w:val="none" w:sz="0" w:space="0" w:color="auto"/>
            <w:bottom w:val="none" w:sz="0" w:space="0" w:color="auto"/>
            <w:right w:val="none" w:sz="0" w:space="0" w:color="auto"/>
          </w:divBdr>
        </w:div>
        <w:div w:id="1772238984">
          <w:marLeft w:val="640"/>
          <w:marRight w:val="0"/>
          <w:marTop w:val="0"/>
          <w:marBottom w:val="0"/>
          <w:divBdr>
            <w:top w:val="none" w:sz="0" w:space="0" w:color="auto"/>
            <w:left w:val="none" w:sz="0" w:space="0" w:color="auto"/>
            <w:bottom w:val="none" w:sz="0" w:space="0" w:color="auto"/>
            <w:right w:val="none" w:sz="0" w:space="0" w:color="auto"/>
          </w:divBdr>
        </w:div>
        <w:div w:id="1140340704">
          <w:marLeft w:val="640"/>
          <w:marRight w:val="0"/>
          <w:marTop w:val="0"/>
          <w:marBottom w:val="0"/>
          <w:divBdr>
            <w:top w:val="none" w:sz="0" w:space="0" w:color="auto"/>
            <w:left w:val="none" w:sz="0" w:space="0" w:color="auto"/>
            <w:bottom w:val="none" w:sz="0" w:space="0" w:color="auto"/>
            <w:right w:val="none" w:sz="0" w:space="0" w:color="auto"/>
          </w:divBdr>
        </w:div>
        <w:div w:id="1237672216">
          <w:marLeft w:val="640"/>
          <w:marRight w:val="0"/>
          <w:marTop w:val="0"/>
          <w:marBottom w:val="0"/>
          <w:divBdr>
            <w:top w:val="none" w:sz="0" w:space="0" w:color="auto"/>
            <w:left w:val="none" w:sz="0" w:space="0" w:color="auto"/>
            <w:bottom w:val="none" w:sz="0" w:space="0" w:color="auto"/>
            <w:right w:val="none" w:sz="0" w:space="0" w:color="auto"/>
          </w:divBdr>
        </w:div>
        <w:div w:id="1503740808">
          <w:marLeft w:val="640"/>
          <w:marRight w:val="0"/>
          <w:marTop w:val="0"/>
          <w:marBottom w:val="0"/>
          <w:divBdr>
            <w:top w:val="none" w:sz="0" w:space="0" w:color="auto"/>
            <w:left w:val="none" w:sz="0" w:space="0" w:color="auto"/>
            <w:bottom w:val="none" w:sz="0" w:space="0" w:color="auto"/>
            <w:right w:val="none" w:sz="0" w:space="0" w:color="auto"/>
          </w:divBdr>
        </w:div>
        <w:div w:id="806363230">
          <w:marLeft w:val="640"/>
          <w:marRight w:val="0"/>
          <w:marTop w:val="0"/>
          <w:marBottom w:val="0"/>
          <w:divBdr>
            <w:top w:val="none" w:sz="0" w:space="0" w:color="auto"/>
            <w:left w:val="none" w:sz="0" w:space="0" w:color="auto"/>
            <w:bottom w:val="none" w:sz="0" w:space="0" w:color="auto"/>
            <w:right w:val="none" w:sz="0" w:space="0" w:color="auto"/>
          </w:divBdr>
        </w:div>
        <w:div w:id="1479497560">
          <w:marLeft w:val="640"/>
          <w:marRight w:val="0"/>
          <w:marTop w:val="0"/>
          <w:marBottom w:val="0"/>
          <w:divBdr>
            <w:top w:val="none" w:sz="0" w:space="0" w:color="auto"/>
            <w:left w:val="none" w:sz="0" w:space="0" w:color="auto"/>
            <w:bottom w:val="none" w:sz="0" w:space="0" w:color="auto"/>
            <w:right w:val="none" w:sz="0" w:space="0" w:color="auto"/>
          </w:divBdr>
        </w:div>
        <w:div w:id="299312775">
          <w:marLeft w:val="640"/>
          <w:marRight w:val="0"/>
          <w:marTop w:val="0"/>
          <w:marBottom w:val="0"/>
          <w:divBdr>
            <w:top w:val="none" w:sz="0" w:space="0" w:color="auto"/>
            <w:left w:val="none" w:sz="0" w:space="0" w:color="auto"/>
            <w:bottom w:val="none" w:sz="0" w:space="0" w:color="auto"/>
            <w:right w:val="none" w:sz="0" w:space="0" w:color="auto"/>
          </w:divBdr>
        </w:div>
        <w:div w:id="6099132">
          <w:marLeft w:val="640"/>
          <w:marRight w:val="0"/>
          <w:marTop w:val="0"/>
          <w:marBottom w:val="0"/>
          <w:divBdr>
            <w:top w:val="none" w:sz="0" w:space="0" w:color="auto"/>
            <w:left w:val="none" w:sz="0" w:space="0" w:color="auto"/>
            <w:bottom w:val="none" w:sz="0" w:space="0" w:color="auto"/>
            <w:right w:val="none" w:sz="0" w:space="0" w:color="auto"/>
          </w:divBdr>
        </w:div>
        <w:div w:id="1064716393">
          <w:marLeft w:val="640"/>
          <w:marRight w:val="0"/>
          <w:marTop w:val="0"/>
          <w:marBottom w:val="0"/>
          <w:divBdr>
            <w:top w:val="none" w:sz="0" w:space="0" w:color="auto"/>
            <w:left w:val="none" w:sz="0" w:space="0" w:color="auto"/>
            <w:bottom w:val="none" w:sz="0" w:space="0" w:color="auto"/>
            <w:right w:val="none" w:sz="0" w:space="0" w:color="auto"/>
          </w:divBdr>
        </w:div>
        <w:div w:id="1563176007">
          <w:marLeft w:val="640"/>
          <w:marRight w:val="0"/>
          <w:marTop w:val="0"/>
          <w:marBottom w:val="0"/>
          <w:divBdr>
            <w:top w:val="none" w:sz="0" w:space="0" w:color="auto"/>
            <w:left w:val="none" w:sz="0" w:space="0" w:color="auto"/>
            <w:bottom w:val="none" w:sz="0" w:space="0" w:color="auto"/>
            <w:right w:val="none" w:sz="0" w:space="0" w:color="auto"/>
          </w:divBdr>
        </w:div>
        <w:div w:id="1862013044">
          <w:marLeft w:val="640"/>
          <w:marRight w:val="0"/>
          <w:marTop w:val="0"/>
          <w:marBottom w:val="0"/>
          <w:divBdr>
            <w:top w:val="none" w:sz="0" w:space="0" w:color="auto"/>
            <w:left w:val="none" w:sz="0" w:space="0" w:color="auto"/>
            <w:bottom w:val="none" w:sz="0" w:space="0" w:color="auto"/>
            <w:right w:val="none" w:sz="0" w:space="0" w:color="auto"/>
          </w:divBdr>
        </w:div>
        <w:div w:id="1768885713">
          <w:marLeft w:val="640"/>
          <w:marRight w:val="0"/>
          <w:marTop w:val="0"/>
          <w:marBottom w:val="0"/>
          <w:divBdr>
            <w:top w:val="none" w:sz="0" w:space="0" w:color="auto"/>
            <w:left w:val="none" w:sz="0" w:space="0" w:color="auto"/>
            <w:bottom w:val="none" w:sz="0" w:space="0" w:color="auto"/>
            <w:right w:val="none" w:sz="0" w:space="0" w:color="auto"/>
          </w:divBdr>
        </w:div>
        <w:div w:id="1128006916">
          <w:marLeft w:val="640"/>
          <w:marRight w:val="0"/>
          <w:marTop w:val="0"/>
          <w:marBottom w:val="0"/>
          <w:divBdr>
            <w:top w:val="none" w:sz="0" w:space="0" w:color="auto"/>
            <w:left w:val="none" w:sz="0" w:space="0" w:color="auto"/>
            <w:bottom w:val="none" w:sz="0" w:space="0" w:color="auto"/>
            <w:right w:val="none" w:sz="0" w:space="0" w:color="auto"/>
          </w:divBdr>
        </w:div>
        <w:div w:id="1274165659">
          <w:marLeft w:val="640"/>
          <w:marRight w:val="0"/>
          <w:marTop w:val="0"/>
          <w:marBottom w:val="0"/>
          <w:divBdr>
            <w:top w:val="none" w:sz="0" w:space="0" w:color="auto"/>
            <w:left w:val="none" w:sz="0" w:space="0" w:color="auto"/>
            <w:bottom w:val="none" w:sz="0" w:space="0" w:color="auto"/>
            <w:right w:val="none" w:sz="0" w:space="0" w:color="auto"/>
          </w:divBdr>
        </w:div>
        <w:div w:id="492645259">
          <w:marLeft w:val="640"/>
          <w:marRight w:val="0"/>
          <w:marTop w:val="0"/>
          <w:marBottom w:val="0"/>
          <w:divBdr>
            <w:top w:val="none" w:sz="0" w:space="0" w:color="auto"/>
            <w:left w:val="none" w:sz="0" w:space="0" w:color="auto"/>
            <w:bottom w:val="none" w:sz="0" w:space="0" w:color="auto"/>
            <w:right w:val="none" w:sz="0" w:space="0" w:color="auto"/>
          </w:divBdr>
        </w:div>
        <w:div w:id="67578463">
          <w:marLeft w:val="640"/>
          <w:marRight w:val="0"/>
          <w:marTop w:val="0"/>
          <w:marBottom w:val="0"/>
          <w:divBdr>
            <w:top w:val="none" w:sz="0" w:space="0" w:color="auto"/>
            <w:left w:val="none" w:sz="0" w:space="0" w:color="auto"/>
            <w:bottom w:val="none" w:sz="0" w:space="0" w:color="auto"/>
            <w:right w:val="none" w:sz="0" w:space="0" w:color="auto"/>
          </w:divBdr>
        </w:div>
        <w:div w:id="1607344110">
          <w:marLeft w:val="640"/>
          <w:marRight w:val="0"/>
          <w:marTop w:val="0"/>
          <w:marBottom w:val="0"/>
          <w:divBdr>
            <w:top w:val="none" w:sz="0" w:space="0" w:color="auto"/>
            <w:left w:val="none" w:sz="0" w:space="0" w:color="auto"/>
            <w:bottom w:val="none" w:sz="0" w:space="0" w:color="auto"/>
            <w:right w:val="none" w:sz="0" w:space="0" w:color="auto"/>
          </w:divBdr>
        </w:div>
        <w:div w:id="1422988927">
          <w:marLeft w:val="640"/>
          <w:marRight w:val="0"/>
          <w:marTop w:val="0"/>
          <w:marBottom w:val="0"/>
          <w:divBdr>
            <w:top w:val="none" w:sz="0" w:space="0" w:color="auto"/>
            <w:left w:val="none" w:sz="0" w:space="0" w:color="auto"/>
            <w:bottom w:val="none" w:sz="0" w:space="0" w:color="auto"/>
            <w:right w:val="none" w:sz="0" w:space="0" w:color="auto"/>
          </w:divBdr>
        </w:div>
        <w:div w:id="882718189">
          <w:marLeft w:val="640"/>
          <w:marRight w:val="0"/>
          <w:marTop w:val="0"/>
          <w:marBottom w:val="0"/>
          <w:divBdr>
            <w:top w:val="none" w:sz="0" w:space="0" w:color="auto"/>
            <w:left w:val="none" w:sz="0" w:space="0" w:color="auto"/>
            <w:bottom w:val="none" w:sz="0" w:space="0" w:color="auto"/>
            <w:right w:val="none" w:sz="0" w:space="0" w:color="auto"/>
          </w:divBdr>
        </w:div>
        <w:div w:id="1203714735">
          <w:marLeft w:val="640"/>
          <w:marRight w:val="0"/>
          <w:marTop w:val="0"/>
          <w:marBottom w:val="0"/>
          <w:divBdr>
            <w:top w:val="none" w:sz="0" w:space="0" w:color="auto"/>
            <w:left w:val="none" w:sz="0" w:space="0" w:color="auto"/>
            <w:bottom w:val="none" w:sz="0" w:space="0" w:color="auto"/>
            <w:right w:val="none" w:sz="0" w:space="0" w:color="auto"/>
          </w:divBdr>
        </w:div>
        <w:div w:id="1307979244">
          <w:marLeft w:val="640"/>
          <w:marRight w:val="0"/>
          <w:marTop w:val="0"/>
          <w:marBottom w:val="0"/>
          <w:divBdr>
            <w:top w:val="none" w:sz="0" w:space="0" w:color="auto"/>
            <w:left w:val="none" w:sz="0" w:space="0" w:color="auto"/>
            <w:bottom w:val="none" w:sz="0" w:space="0" w:color="auto"/>
            <w:right w:val="none" w:sz="0" w:space="0" w:color="auto"/>
          </w:divBdr>
        </w:div>
        <w:div w:id="1579904887">
          <w:marLeft w:val="640"/>
          <w:marRight w:val="0"/>
          <w:marTop w:val="0"/>
          <w:marBottom w:val="0"/>
          <w:divBdr>
            <w:top w:val="none" w:sz="0" w:space="0" w:color="auto"/>
            <w:left w:val="none" w:sz="0" w:space="0" w:color="auto"/>
            <w:bottom w:val="none" w:sz="0" w:space="0" w:color="auto"/>
            <w:right w:val="none" w:sz="0" w:space="0" w:color="auto"/>
          </w:divBdr>
        </w:div>
        <w:div w:id="1579095030">
          <w:marLeft w:val="640"/>
          <w:marRight w:val="0"/>
          <w:marTop w:val="0"/>
          <w:marBottom w:val="0"/>
          <w:divBdr>
            <w:top w:val="none" w:sz="0" w:space="0" w:color="auto"/>
            <w:left w:val="none" w:sz="0" w:space="0" w:color="auto"/>
            <w:bottom w:val="none" w:sz="0" w:space="0" w:color="auto"/>
            <w:right w:val="none" w:sz="0" w:space="0" w:color="auto"/>
          </w:divBdr>
        </w:div>
        <w:div w:id="684017470">
          <w:marLeft w:val="640"/>
          <w:marRight w:val="0"/>
          <w:marTop w:val="0"/>
          <w:marBottom w:val="0"/>
          <w:divBdr>
            <w:top w:val="none" w:sz="0" w:space="0" w:color="auto"/>
            <w:left w:val="none" w:sz="0" w:space="0" w:color="auto"/>
            <w:bottom w:val="none" w:sz="0" w:space="0" w:color="auto"/>
            <w:right w:val="none" w:sz="0" w:space="0" w:color="auto"/>
          </w:divBdr>
        </w:div>
        <w:div w:id="524829822">
          <w:marLeft w:val="640"/>
          <w:marRight w:val="0"/>
          <w:marTop w:val="0"/>
          <w:marBottom w:val="0"/>
          <w:divBdr>
            <w:top w:val="none" w:sz="0" w:space="0" w:color="auto"/>
            <w:left w:val="none" w:sz="0" w:space="0" w:color="auto"/>
            <w:bottom w:val="none" w:sz="0" w:space="0" w:color="auto"/>
            <w:right w:val="none" w:sz="0" w:space="0" w:color="auto"/>
          </w:divBdr>
        </w:div>
        <w:div w:id="20473696">
          <w:marLeft w:val="640"/>
          <w:marRight w:val="0"/>
          <w:marTop w:val="0"/>
          <w:marBottom w:val="0"/>
          <w:divBdr>
            <w:top w:val="none" w:sz="0" w:space="0" w:color="auto"/>
            <w:left w:val="none" w:sz="0" w:space="0" w:color="auto"/>
            <w:bottom w:val="none" w:sz="0" w:space="0" w:color="auto"/>
            <w:right w:val="none" w:sz="0" w:space="0" w:color="auto"/>
          </w:divBdr>
        </w:div>
        <w:div w:id="1986080434">
          <w:marLeft w:val="640"/>
          <w:marRight w:val="0"/>
          <w:marTop w:val="0"/>
          <w:marBottom w:val="0"/>
          <w:divBdr>
            <w:top w:val="none" w:sz="0" w:space="0" w:color="auto"/>
            <w:left w:val="none" w:sz="0" w:space="0" w:color="auto"/>
            <w:bottom w:val="none" w:sz="0" w:space="0" w:color="auto"/>
            <w:right w:val="none" w:sz="0" w:space="0" w:color="auto"/>
          </w:divBdr>
        </w:div>
        <w:div w:id="734815648">
          <w:marLeft w:val="640"/>
          <w:marRight w:val="0"/>
          <w:marTop w:val="0"/>
          <w:marBottom w:val="0"/>
          <w:divBdr>
            <w:top w:val="none" w:sz="0" w:space="0" w:color="auto"/>
            <w:left w:val="none" w:sz="0" w:space="0" w:color="auto"/>
            <w:bottom w:val="none" w:sz="0" w:space="0" w:color="auto"/>
            <w:right w:val="none" w:sz="0" w:space="0" w:color="auto"/>
          </w:divBdr>
        </w:div>
        <w:div w:id="890924883">
          <w:marLeft w:val="640"/>
          <w:marRight w:val="0"/>
          <w:marTop w:val="0"/>
          <w:marBottom w:val="0"/>
          <w:divBdr>
            <w:top w:val="none" w:sz="0" w:space="0" w:color="auto"/>
            <w:left w:val="none" w:sz="0" w:space="0" w:color="auto"/>
            <w:bottom w:val="none" w:sz="0" w:space="0" w:color="auto"/>
            <w:right w:val="none" w:sz="0" w:space="0" w:color="auto"/>
          </w:divBdr>
        </w:div>
        <w:div w:id="86391478">
          <w:marLeft w:val="640"/>
          <w:marRight w:val="0"/>
          <w:marTop w:val="0"/>
          <w:marBottom w:val="0"/>
          <w:divBdr>
            <w:top w:val="none" w:sz="0" w:space="0" w:color="auto"/>
            <w:left w:val="none" w:sz="0" w:space="0" w:color="auto"/>
            <w:bottom w:val="none" w:sz="0" w:space="0" w:color="auto"/>
            <w:right w:val="none" w:sz="0" w:space="0" w:color="auto"/>
          </w:divBdr>
        </w:div>
        <w:div w:id="1550455348">
          <w:marLeft w:val="640"/>
          <w:marRight w:val="0"/>
          <w:marTop w:val="0"/>
          <w:marBottom w:val="0"/>
          <w:divBdr>
            <w:top w:val="none" w:sz="0" w:space="0" w:color="auto"/>
            <w:left w:val="none" w:sz="0" w:space="0" w:color="auto"/>
            <w:bottom w:val="none" w:sz="0" w:space="0" w:color="auto"/>
            <w:right w:val="none" w:sz="0" w:space="0" w:color="auto"/>
          </w:divBdr>
        </w:div>
        <w:div w:id="1167936467">
          <w:marLeft w:val="640"/>
          <w:marRight w:val="0"/>
          <w:marTop w:val="0"/>
          <w:marBottom w:val="0"/>
          <w:divBdr>
            <w:top w:val="none" w:sz="0" w:space="0" w:color="auto"/>
            <w:left w:val="none" w:sz="0" w:space="0" w:color="auto"/>
            <w:bottom w:val="none" w:sz="0" w:space="0" w:color="auto"/>
            <w:right w:val="none" w:sz="0" w:space="0" w:color="auto"/>
          </w:divBdr>
        </w:div>
        <w:div w:id="1050227363">
          <w:marLeft w:val="640"/>
          <w:marRight w:val="0"/>
          <w:marTop w:val="0"/>
          <w:marBottom w:val="0"/>
          <w:divBdr>
            <w:top w:val="none" w:sz="0" w:space="0" w:color="auto"/>
            <w:left w:val="none" w:sz="0" w:space="0" w:color="auto"/>
            <w:bottom w:val="none" w:sz="0" w:space="0" w:color="auto"/>
            <w:right w:val="none" w:sz="0" w:space="0" w:color="auto"/>
          </w:divBdr>
        </w:div>
        <w:div w:id="537663634">
          <w:marLeft w:val="640"/>
          <w:marRight w:val="0"/>
          <w:marTop w:val="0"/>
          <w:marBottom w:val="0"/>
          <w:divBdr>
            <w:top w:val="none" w:sz="0" w:space="0" w:color="auto"/>
            <w:left w:val="none" w:sz="0" w:space="0" w:color="auto"/>
            <w:bottom w:val="none" w:sz="0" w:space="0" w:color="auto"/>
            <w:right w:val="none" w:sz="0" w:space="0" w:color="auto"/>
          </w:divBdr>
        </w:div>
        <w:div w:id="321013077">
          <w:marLeft w:val="640"/>
          <w:marRight w:val="0"/>
          <w:marTop w:val="0"/>
          <w:marBottom w:val="0"/>
          <w:divBdr>
            <w:top w:val="none" w:sz="0" w:space="0" w:color="auto"/>
            <w:left w:val="none" w:sz="0" w:space="0" w:color="auto"/>
            <w:bottom w:val="none" w:sz="0" w:space="0" w:color="auto"/>
            <w:right w:val="none" w:sz="0" w:space="0" w:color="auto"/>
          </w:divBdr>
        </w:div>
        <w:div w:id="218976069">
          <w:marLeft w:val="640"/>
          <w:marRight w:val="0"/>
          <w:marTop w:val="0"/>
          <w:marBottom w:val="0"/>
          <w:divBdr>
            <w:top w:val="none" w:sz="0" w:space="0" w:color="auto"/>
            <w:left w:val="none" w:sz="0" w:space="0" w:color="auto"/>
            <w:bottom w:val="none" w:sz="0" w:space="0" w:color="auto"/>
            <w:right w:val="none" w:sz="0" w:space="0" w:color="auto"/>
          </w:divBdr>
        </w:div>
        <w:div w:id="661783111">
          <w:marLeft w:val="640"/>
          <w:marRight w:val="0"/>
          <w:marTop w:val="0"/>
          <w:marBottom w:val="0"/>
          <w:divBdr>
            <w:top w:val="none" w:sz="0" w:space="0" w:color="auto"/>
            <w:left w:val="none" w:sz="0" w:space="0" w:color="auto"/>
            <w:bottom w:val="none" w:sz="0" w:space="0" w:color="auto"/>
            <w:right w:val="none" w:sz="0" w:space="0" w:color="auto"/>
          </w:divBdr>
        </w:div>
        <w:div w:id="82188337">
          <w:marLeft w:val="640"/>
          <w:marRight w:val="0"/>
          <w:marTop w:val="0"/>
          <w:marBottom w:val="0"/>
          <w:divBdr>
            <w:top w:val="none" w:sz="0" w:space="0" w:color="auto"/>
            <w:left w:val="none" w:sz="0" w:space="0" w:color="auto"/>
            <w:bottom w:val="none" w:sz="0" w:space="0" w:color="auto"/>
            <w:right w:val="none" w:sz="0" w:space="0" w:color="auto"/>
          </w:divBdr>
        </w:div>
        <w:div w:id="1032269448">
          <w:marLeft w:val="640"/>
          <w:marRight w:val="0"/>
          <w:marTop w:val="0"/>
          <w:marBottom w:val="0"/>
          <w:divBdr>
            <w:top w:val="none" w:sz="0" w:space="0" w:color="auto"/>
            <w:left w:val="none" w:sz="0" w:space="0" w:color="auto"/>
            <w:bottom w:val="none" w:sz="0" w:space="0" w:color="auto"/>
            <w:right w:val="none" w:sz="0" w:space="0" w:color="auto"/>
          </w:divBdr>
        </w:div>
        <w:div w:id="2072382252">
          <w:marLeft w:val="640"/>
          <w:marRight w:val="0"/>
          <w:marTop w:val="0"/>
          <w:marBottom w:val="0"/>
          <w:divBdr>
            <w:top w:val="none" w:sz="0" w:space="0" w:color="auto"/>
            <w:left w:val="none" w:sz="0" w:space="0" w:color="auto"/>
            <w:bottom w:val="none" w:sz="0" w:space="0" w:color="auto"/>
            <w:right w:val="none" w:sz="0" w:space="0" w:color="auto"/>
          </w:divBdr>
        </w:div>
        <w:div w:id="227618003">
          <w:marLeft w:val="640"/>
          <w:marRight w:val="0"/>
          <w:marTop w:val="0"/>
          <w:marBottom w:val="0"/>
          <w:divBdr>
            <w:top w:val="none" w:sz="0" w:space="0" w:color="auto"/>
            <w:left w:val="none" w:sz="0" w:space="0" w:color="auto"/>
            <w:bottom w:val="none" w:sz="0" w:space="0" w:color="auto"/>
            <w:right w:val="none" w:sz="0" w:space="0" w:color="auto"/>
          </w:divBdr>
        </w:div>
        <w:div w:id="1989361538">
          <w:marLeft w:val="640"/>
          <w:marRight w:val="0"/>
          <w:marTop w:val="0"/>
          <w:marBottom w:val="0"/>
          <w:divBdr>
            <w:top w:val="none" w:sz="0" w:space="0" w:color="auto"/>
            <w:left w:val="none" w:sz="0" w:space="0" w:color="auto"/>
            <w:bottom w:val="none" w:sz="0" w:space="0" w:color="auto"/>
            <w:right w:val="none" w:sz="0" w:space="0" w:color="auto"/>
          </w:divBdr>
        </w:div>
        <w:div w:id="2059275293">
          <w:marLeft w:val="640"/>
          <w:marRight w:val="0"/>
          <w:marTop w:val="0"/>
          <w:marBottom w:val="0"/>
          <w:divBdr>
            <w:top w:val="none" w:sz="0" w:space="0" w:color="auto"/>
            <w:left w:val="none" w:sz="0" w:space="0" w:color="auto"/>
            <w:bottom w:val="none" w:sz="0" w:space="0" w:color="auto"/>
            <w:right w:val="none" w:sz="0" w:space="0" w:color="auto"/>
          </w:divBdr>
        </w:div>
        <w:div w:id="2003511050">
          <w:marLeft w:val="640"/>
          <w:marRight w:val="0"/>
          <w:marTop w:val="0"/>
          <w:marBottom w:val="0"/>
          <w:divBdr>
            <w:top w:val="none" w:sz="0" w:space="0" w:color="auto"/>
            <w:left w:val="none" w:sz="0" w:space="0" w:color="auto"/>
            <w:bottom w:val="none" w:sz="0" w:space="0" w:color="auto"/>
            <w:right w:val="none" w:sz="0" w:space="0" w:color="auto"/>
          </w:divBdr>
        </w:div>
        <w:div w:id="852646392">
          <w:marLeft w:val="640"/>
          <w:marRight w:val="0"/>
          <w:marTop w:val="0"/>
          <w:marBottom w:val="0"/>
          <w:divBdr>
            <w:top w:val="none" w:sz="0" w:space="0" w:color="auto"/>
            <w:left w:val="none" w:sz="0" w:space="0" w:color="auto"/>
            <w:bottom w:val="none" w:sz="0" w:space="0" w:color="auto"/>
            <w:right w:val="none" w:sz="0" w:space="0" w:color="auto"/>
          </w:divBdr>
        </w:div>
        <w:div w:id="1706712374">
          <w:marLeft w:val="640"/>
          <w:marRight w:val="0"/>
          <w:marTop w:val="0"/>
          <w:marBottom w:val="0"/>
          <w:divBdr>
            <w:top w:val="none" w:sz="0" w:space="0" w:color="auto"/>
            <w:left w:val="none" w:sz="0" w:space="0" w:color="auto"/>
            <w:bottom w:val="none" w:sz="0" w:space="0" w:color="auto"/>
            <w:right w:val="none" w:sz="0" w:space="0" w:color="auto"/>
          </w:divBdr>
        </w:div>
        <w:div w:id="1998142915">
          <w:marLeft w:val="640"/>
          <w:marRight w:val="0"/>
          <w:marTop w:val="0"/>
          <w:marBottom w:val="0"/>
          <w:divBdr>
            <w:top w:val="none" w:sz="0" w:space="0" w:color="auto"/>
            <w:left w:val="none" w:sz="0" w:space="0" w:color="auto"/>
            <w:bottom w:val="none" w:sz="0" w:space="0" w:color="auto"/>
            <w:right w:val="none" w:sz="0" w:space="0" w:color="auto"/>
          </w:divBdr>
        </w:div>
        <w:div w:id="991131581">
          <w:marLeft w:val="640"/>
          <w:marRight w:val="0"/>
          <w:marTop w:val="0"/>
          <w:marBottom w:val="0"/>
          <w:divBdr>
            <w:top w:val="none" w:sz="0" w:space="0" w:color="auto"/>
            <w:left w:val="none" w:sz="0" w:space="0" w:color="auto"/>
            <w:bottom w:val="none" w:sz="0" w:space="0" w:color="auto"/>
            <w:right w:val="none" w:sz="0" w:space="0" w:color="auto"/>
          </w:divBdr>
        </w:div>
        <w:div w:id="960457126">
          <w:marLeft w:val="640"/>
          <w:marRight w:val="0"/>
          <w:marTop w:val="0"/>
          <w:marBottom w:val="0"/>
          <w:divBdr>
            <w:top w:val="none" w:sz="0" w:space="0" w:color="auto"/>
            <w:left w:val="none" w:sz="0" w:space="0" w:color="auto"/>
            <w:bottom w:val="none" w:sz="0" w:space="0" w:color="auto"/>
            <w:right w:val="none" w:sz="0" w:space="0" w:color="auto"/>
          </w:divBdr>
        </w:div>
        <w:div w:id="2114863781">
          <w:marLeft w:val="640"/>
          <w:marRight w:val="0"/>
          <w:marTop w:val="0"/>
          <w:marBottom w:val="0"/>
          <w:divBdr>
            <w:top w:val="none" w:sz="0" w:space="0" w:color="auto"/>
            <w:left w:val="none" w:sz="0" w:space="0" w:color="auto"/>
            <w:bottom w:val="none" w:sz="0" w:space="0" w:color="auto"/>
            <w:right w:val="none" w:sz="0" w:space="0" w:color="auto"/>
          </w:divBdr>
        </w:div>
        <w:div w:id="304242929">
          <w:marLeft w:val="640"/>
          <w:marRight w:val="0"/>
          <w:marTop w:val="0"/>
          <w:marBottom w:val="0"/>
          <w:divBdr>
            <w:top w:val="none" w:sz="0" w:space="0" w:color="auto"/>
            <w:left w:val="none" w:sz="0" w:space="0" w:color="auto"/>
            <w:bottom w:val="none" w:sz="0" w:space="0" w:color="auto"/>
            <w:right w:val="none" w:sz="0" w:space="0" w:color="auto"/>
          </w:divBdr>
        </w:div>
        <w:div w:id="1275554481">
          <w:marLeft w:val="640"/>
          <w:marRight w:val="0"/>
          <w:marTop w:val="0"/>
          <w:marBottom w:val="0"/>
          <w:divBdr>
            <w:top w:val="none" w:sz="0" w:space="0" w:color="auto"/>
            <w:left w:val="none" w:sz="0" w:space="0" w:color="auto"/>
            <w:bottom w:val="none" w:sz="0" w:space="0" w:color="auto"/>
            <w:right w:val="none" w:sz="0" w:space="0" w:color="auto"/>
          </w:divBdr>
        </w:div>
        <w:div w:id="1922638165">
          <w:marLeft w:val="640"/>
          <w:marRight w:val="0"/>
          <w:marTop w:val="0"/>
          <w:marBottom w:val="0"/>
          <w:divBdr>
            <w:top w:val="none" w:sz="0" w:space="0" w:color="auto"/>
            <w:left w:val="none" w:sz="0" w:space="0" w:color="auto"/>
            <w:bottom w:val="none" w:sz="0" w:space="0" w:color="auto"/>
            <w:right w:val="none" w:sz="0" w:space="0" w:color="auto"/>
          </w:divBdr>
        </w:div>
        <w:div w:id="2102871155">
          <w:marLeft w:val="640"/>
          <w:marRight w:val="0"/>
          <w:marTop w:val="0"/>
          <w:marBottom w:val="0"/>
          <w:divBdr>
            <w:top w:val="none" w:sz="0" w:space="0" w:color="auto"/>
            <w:left w:val="none" w:sz="0" w:space="0" w:color="auto"/>
            <w:bottom w:val="none" w:sz="0" w:space="0" w:color="auto"/>
            <w:right w:val="none" w:sz="0" w:space="0" w:color="auto"/>
          </w:divBdr>
        </w:div>
        <w:div w:id="48115423">
          <w:marLeft w:val="640"/>
          <w:marRight w:val="0"/>
          <w:marTop w:val="0"/>
          <w:marBottom w:val="0"/>
          <w:divBdr>
            <w:top w:val="none" w:sz="0" w:space="0" w:color="auto"/>
            <w:left w:val="none" w:sz="0" w:space="0" w:color="auto"/>
            <w:bottom w:val="none" w:sz="0" w:space="0" w:color="auto"/>
            <w:right w:val="none" w:sz="0" w:space="0" w:color="auto"/>
          </w:divBdr>
        </w:div>
        <w:div w:id="288627336">
          <w:marLeft w:val="640"/>
          <w:marRight w:val="0"/>
          <w:marTop w:val="0"/>
          <w:marBottom w:val="0"/>
          <w:divBdr>
            <w:top w:val="none" w:sz="0" w:space="0" w:color="auto"/>
            <w:left w:val="none" w:sz="0" w:space="0" w:color="auto"/>
            <w:bottom w:val="none" w:sz="0" w:space="0" w:color="auto"/>
            <w:right w:val="none" w:sz="0" w:space="0" w:color="auto"/>
          </w:divBdr>
        </w:div>
        <w:div w:id="1328050763">
          <w:marLeft w:val="640"/>
          <w:marRight w:val="0"/>
          <w:marTop w:val="0"/>
          <w:marBottom w:val="0"/>
          <w:divBdr>
            <w:top w:val="none" w:sz="0" w:space="0" w:color="auto"/>
            <w:left w:val="none" w:sz="0" w:space="0" w:color="auto"/>
            <w:bottom w:val="none" w:sz="0" w:space="0" w:color="auto"/>
            <w:right w:val="none" w:sz="0" w:space="0" w:color="auto"/>
          </w:divBdr>
        </w:div>
        <w:div w:id="668404646">
          <w:marLeft w:val="640"/>
          <w:marRight w:val="0"/>
          <w:marTop w:val="0"/>
          <w:marBottom w:val="0"/>
          <w:divBdr>
            <w:top w:val="none" w:sz="0" w:space="0" w:color="auto"/>
            <w:left w:val="none" w:sz="0" w:space="0" w:color="auto"/>
            <w:bottom w:val="none" w:sz="0" w:space="0" w:color="auto"/>
            <w:right w:val="none" w:sz="0" w:space="0" w:color="auto"/>
          </w:divBdr>
        </w:div>
        <w:div w:id="691489472">
          <w:marLeft w:val="640"/>
          <w:marRight w:val="0"/>
          <w:marTop w:val="0"/>
          <w:marBottom w:val="0"/>
          <w:divBdr>
            <w:top w:val="none" w:sz="0" w:space="0" w:color="auto"/>
            <w:left w:val="none" w:sz="0" w:space="0" w:color="auto"/>
            <w:bottom w:val="none" w:sz="0" w:space="0" w:color="auto"/>
            <w:right w:val="none" w:sz="0" w:space="0" w:color="auto"/>
          </w:divBdr>
        </w:div>
        <w:div w:id="1650665859">
          <w:marLeft w:val="640"/>
          <w:marRight w:val="0"/>
          <w:marTop w:val="0"/>
          <w:marBottom w:val="0"/>
          <w:divBdr>
            <w:top w:val="none" w:sz="0" w:space="0" w:color="auto"/>
            <w:left w:val="none" w:sz="0" w:space="0" w:color="auto"/>
            <w:bottom w:val="none" w:sz="0" w:space="0" w:color="auto"/>
            <w:right w:val="none" w:sz="0" w:space="0" w:color="auto"/>
          </w:divBdr>
        </w:div>
        <w:div w:id="483207486">
          <w:marLeft w:val="640"/>
          <w:marRight w:val="0"/>
          <w:marTop w:val="0"/>
          <w:marBottom w:val="0"/>
          <w:divBdr>
            <w:top w:val="none" w:sz="0" w:space="0" w:color="auto"/>
            <w:left w:val="none" w:sz="0" w:space="0" w:color="auto"/>
            <w:bottom w:val="none" w:sz="0" w:space="0" w:color="auto"/>
            <w:right w:val="none" w:sz="0" w:space="0" w:color="auto"/>
          </w:divBdr>
        </w:div>
        <w:div w:id="1313287402">
          <w:marLeft w:val="640"/>
          <w:marRight w:val="0"/>
          <w:marTop w:val="0"/>
          <w:marBottom w:val="0"/>
          <w:divBdr>
            <w:top w:val="none" w:sz="0" w:space="0" w:color="auto"/>
            <w:left w:val="none" w:sz="0" w:space="0" w:color="auto"/>
            <w:bottom w:val="none" w:sz="0" w:space="0" w:color="auto"/>
            <w:right w:val="none" w:sz="0" w:space="0" w:color="auto"/>
          </w:divBdr>
        </w:div>
        <w:div w:id="1364477723">
          <w:marLeft w:val="640"/>
          <w:marRight w:val="0"/>
          <w:marTop w:val="0"/>
          <w:marBottom w:val="0"/>
          <w:divBdr>
            <w:top w:val="none" w:sz="0" w:space="0" w:color="auto"/>
            <w:left w:val="none" w:sz="0" w:space="0" w:color="auto"/>
            <w:bottom w:val="none" w:sz="0" w:space="0" w:color="auto"/>
            <w:right w:val="none" w:sz="0" w:space="0" w:color="auto"/>
          </w:divBdr>
        </w:div>
        <w:div w:id="1158883410">
          <w:marLeft w:val="640"/>
          <w:marRight w:val="0"/>
          <w:marTop w:val="0"/>
          <w:marBottom w:val="0"/>
          <w:divBdr>
            <w:top w:val="none" w:sz="0" w:space="0" w:color="auto"/>
            <w:left w:val="none" w:sz="0" w:space="0" w:color="auto"/>
            <w:bottom w:val="none" w:sz="0" w:space="0" w:color="auto"/>
            <w:right w:val="none" w:sz="0" w:space="0" w:color="auto"/>
          </w:divBdr>
        </w:div>
        <w:div w:id="327056880">
          <w:marLeft w:val="640"/>
          <w:marRight w:val="0"/>
          <w:marTop w:val="0"/>
          <w:marBottom w:val="0"/>
          <w:divBdr>
            <w:top w:val="none" w:sz="0" w:space="0" w:color="auto"/>
            <w:left w:val="none" w:sz="0" w:space="0" w:color="auto"/>
            <w:bottom w:val="none" w:sz="0" w:space="0" w:color="auto"/>
            <w:right w:val="none" w:sz="0" w:space="0" w:color="auto"/>
          </w:divBdr>
        </w:div>
        <w:div w:id="960720319">
          <w:marLeft w:val="640"/>
          <w:marRight w:val="0"/>
          <w:marTop w:val="0"/>
          <w:marBottom w:val="0"/>
          <w:divBdr>
            <w:top w:val="none" w:sz="0" w:space="0" w:color="auto"/>
            <w:left w:val="none" w:sz="0" w:space="0" w:color="auto"/>
            <w:bottom w:val="none" w:sz="0" w:space="0" w:color="auto"/>
            <w:right w:val="none" w:sz="0" w:space="0" w:color="auto"/>
          </w:divBdr>
        </w:div>
        <w:div w:id="65032633">
          <w:marLeft w:val="640"/>
          <w:marRight w:val="0"/>
          <w:marTop w:val="0"/>
          <w:marBottom w:val="0"/>
          <w:divBdr>
            <w:top w:val="none" w:sz="0" w:space="0" w:color="auto"/>
            <w:left w:val="none" w:sz="0" w:space="0" w:color="auto"/>
            <w:bottom w:val="none" w:sz="0" w:space="0" w:color="auto"/>
            <w:right w:val="none" w:sz="0" w:space="0" w:color="auto"/>
          </w:divBdr>
        </w:div>
        <w:div w:id="1080760562">
          <w:marLeft w:val="640"/>
          <w:marRight w:val="0"/>
          <w:marTop w:val="0"/>
          <w:marBottom w:val="0"/>
          <w:divBdr>
            <w:top w:val="none" w:sz="0" w:space="0" w:color="auto"/>
            <w:left w:val="none" w:sz="0" w:space="0" w:color="auto"/>
            <w:bottom w:val="none" w:sz="0" w:space="0" w:color="auto"/>
            <w:right w:val="none" w:sz="0" w:space="0" w:color="auto"/>
          </w:divBdr>
        </w:div>
        <w:div w:id="2047942804">
          <w:marLeft w:val="640"/>
          <w:marRight w:val="0"/>
          <w:marTop w:val="0"/>
          <w:marBottom w:val="0"/>
          <w:divBdr>
            <w:top w:val="none" w:sz="0" w:space="0" w:color="auto"/>
            <w:left w:val="none" w:sz="0" w:space="0" w:color="auto"/>
            <w:bottom w:val="none" w:sz="0" w:space="0" w:color="auto"/>
            <w:right w:val="none" w:sz="0" w:space="0" w:color="auto"/>
          </w:divBdr>
        </w:div>
        <w:div w:id="1398701316">
          <w:marLeft w:val="640"/>
          <w:marRight w:val="0"/>
          <w:marTop w:val="0"/>
          <w:marBottom w:val="0"/>
          <w:divBdr>
            <w:top w:val="none" w:sz="0" w:space="0" w:color="auto"/>
            <w:left w:val="none" w:sz="0" w:space="0" w:color="auto"/>
            <w:bottom w:val="none" w:sz="0" w:space="0" w:color="auto"/>
            <w:right w:val="none" w:sz="0" w:space="0" w:color="auto"/>
          </w:divBdr>
        </w:div>
        <w:div w:id="553465348">
          <w:marLeft w:val="640"/>
          <w:marRight w:val="0"/>
          <w:marTop w:val="0"/>
          <w:marBottom w:val="0"/>
          <w:divBdr>
            <w:top w:val="none" w:sz="0" w:space="0" w:color="auto"/>
            <w:left w:val="none" w:sz="0" w:space="0" w:color="auto"/>
            <w:bottom w:val="none" w:sz="0" w:space="0" w:color="auto"/>
            <w:right w:val="none" w:sz="0" w:space="0" w:color="auto"/>
          </w:divBdr>
        </w:div>
        <w:div w:id="296886116">
          <w:marLeft w:val="640"/>
          <w:marRight w:val="0"/>
          <w:marTop w:val="0"/>
          <w:marBottom w:val="0"/>
          <w:divBdr>
            <w:top w:val="none" w:sz="0" w:space="0" w:color="auto"/>
            <w:left w:val="none" w:sz="0" w:space="0" w:color="auto"/>
            <w:bottom w:val="none" w:sz="0" w:space="0" w:color="auto"/>
            <w:right w:val="none" w:sz="0" w:space="0" w:color="auto"/>
          </w:divBdr>
        </w:div>
        <w:div w:id="167869080">
          <w:marLeft w:val="640"/>
          <w:marRight w:val="0"/>
          <w:marTop w:val="0"/>
          <w:marBottom w:val="0"/>
          <w:divBdr>
            <w:top w:val="none" w:sz="0" w:space="0" w:color="auto"/>
            <w:left w:val="none" w:sz="0" w:space="0" w:color="auto"/>
            <w:bottom w:val="none" w:sz="0" w:space="0" w:color="auto"/>
            <w:right w:val="none" w:sz="0" w:space="0" w:color="auto"/>
          </w:divBdr>
        </w:div>
        <w:div w:id="364794729">
          <w:marLeft w:val="640"/>
          <w:marRight w:val="0"/>
          <w:marTop w:val="0"/>
          <w:marBottom w:val="0"/>
          <w:divBdr>
            <w:top w:val="none" w:sz="0" w:space="0" w:color="auto"/>
            <w:left w:val="none" w:sz="0" w:space="0" w:color="auto"/>
            <w:bottom w:val="none" w:sz="0" w:space="0" w:color="auto"/>
            <w:right w:val="none" w:sz="0" w:space="0" w:color="auto"/>
          </w:divBdr>
        </w:div>
        <w:div w:id="1112091766">
          <w:marLeft w:val="640"/>
          <w:marRight w:val="0"/>
          <w:marTop w:val="0"/>
          <w:marBottom w:val="0"/>
          <w:divBdr>
            <w:top w:val="none" w:sz="0" w:space="0" w:color="auto"/>
            <w:left w:val="none" w:sz="0" w:space="0" w:color="auto"/>
            <w:bottom w:val="none" w:sz="0" w:space="0" w:color="auto"/>
            <w:right w:val="none" w:sz="0" w:space="0" w:color="auto"/>
          </w:divBdr>
        </w:div>
        <w:div w:id="1354839229">
          <w:marLeft w:val="640"/>
          <w:marRight w:val="0"/>
          <w:marTop w:val="0"/>
          <w:marBottom w:val="0"/>
          <w:divBdr>
            <w:top w:val="none" w:sz="0" w:space="0" w:color="auto"/>
            <w:left w:val="none" w:sz="0" w:space="0" w:color="auto"/>
            <w:bottom w:val="none" w:sz="0" w:space="0" w:color="auto"/>
            <w:right w:val="none" w:sz="0" w:space="0" w:color="auto"/>
          </w:divBdr>
        </w:div>
        <w:div w:id="1127627885">
          <w:marLeft w:val="640"/>
          <w:marRight w:val="0"/>
          <w:marTop w:val="0"/>
          <w:marBottom w:val="0"/>
          <w:divBdr>
            <w:top w:val="none" w:sz="0" w:space="0" w:color="auto"/>
            <w:left w:val="none" w:sz="0" w:space="0" w:color="auto"/>
            <w:bottom w:val="none" w:sz="0" w:space="0" w:color="auto"/>
            <w:right w:val="none" w:sz="0" w:space="0" w:color="auto"/>
          </w:divBdr>
        </w:div>
        <w:div w:id="1384720689">
          <w:marLeft w:val="640"/>
          <w:marRight w:val="0"/>
          <w:marTop w:val="0"/>
          <w:marBottom w:val="0"/>
          <w:divBdr>
            <w:top w:val="none" w:sz="0" w:space="0" w:color="auto"/>
            <w:left w:val="none" w:sz="0" w:space="0" w:color="auto"/>
            <w:bottom w:val="none" w:sz="0" w:space="0" w:color="auto"/>
            <w:right w:val="none" w:sz="0" w:space="0" w:color="auto"/>
          </w:divBdr>
        </w:div>
        <w:div w:id="1398438467">
          <w:marLeft w:val="640"/>
          <w:marRight w:val="0"/>
          <w:marTop w:val="0"/>
          <w:marBottom w:val="0"/>
          <w:divBdr>
            <w:top w:val="none" w:sz="0" w:space="0" w:color="auto"/>
            <w:left w:val="none" w:sz="0" w:space="0" w:color="auto"/>
            <w:bottom w:val="none" w:sz="0" w:space="0" w:color="auto"/>
            <w:right w:val="none" w:sz="0" w:space="0" w:color="auto"/>
          </w:divBdr>
        </w:div>
        <w:div w:id="1423718269">
          <w:marLeft w:val="640"/>
          <w:marRight w:val="0"/>
          <w:marTop w:val="0"/>
          <w:marBottom w:val="0"/>
          <w:divBdr>
            <w:top w:val="none" w:sz="0" w:space="0" w:color="auto"/>
            <w:left w:val="none" w:sz="0" w:space="0" w:color="auto"/>
            <w:bottom w:val="none" w:sz="0" w:space="0" w:color="auto"/>
            <w:right w:val="none" w:sz="0" w:space="0" w:color="auto"/>
          </w:divBdr>
        </w:div>
        <w:div w:id="1682005389">
          <w:marLeft w:val="640"/>
          <w:marRight w:val="0"/>
          <w:marTop w:val="0"/>
          <w:marBottom w:val="0"/>
          <w:divBdr>
            <w:top w:val="none" w:sz="0" w:space="0" w:color="auto"/>
            <w:left w:val="none" w:sz="0" w:space="0" w:color="auto"/>
            <w:bottom w:val="none" w:sz="0" w:space="0" w:color="auto"/>
            <w:right w:val="none" w:sz="0" w:space="0" w:color="auto"/>
          </w:divBdr>
        </w:div>
        <w:div w:id="1072777542">
          <w:marLeft w:val="640"/>
          <w:marRight w:val="0"/>
          <w:marTop w:val="0"/>
          <w:marBottom w:val="0"/>
          <w:divBdr>
            <w:top w:val="none" w:sz="0" w:space="0" w:color="auto"/>
            <w:left w:val="none" w:sz="0" w:space="0" w:color="auto"/>
            <w:bottom w:val="none" w:sz="0" w:space="0" w:color="auto"/>
            <w:right w:val="none" w:sz="0" w:space="0" w:color="auto"/>
          </w:divBdr>
        </w:div>
        <w:div w:id="1282304282">
          <w:marLeft w:val="640"/>
          <w:marRight w:val="0"/>
          <w:marTop w:val="0"/>
          <w:marBottom w:val="0"/>
          <w:divBdr>
            <w:top w:val="none" w:sz="0" w:space="0" w:color="auto"/>
            <w:left w:val="none" w:sz="0" w:space="0" w:color="auto"/>
            <w:bottom w:val="none" w:sz="0" w:space="0" w:color="auto"/>
            <w:right w:val="none" w:sz="0" w:space="0" w:color="auto"/>
          </w:divBdr>
        </w:div>
        <w:div w:id="676929596">
          <w:marLeft w:val="640"/>
          <w:marRight w:val="0"/>
          <w:marTop w:val="0"/>
          <w:marBottom w:val="0"/>
          <w:divBdr>
            <w:top w:val="none" w:sz="0" w:space="0" w:color="auto"/>
            <w:left w:val="none" w:sz="0" w:space="0" w:color="auto"/>
            <w:bottom w:val="none" w:sz="0" w:space="0" w:color="auto"/>
            <w:right w:val="none" w:sz="0" w:space="0" w:color="auto"/>
          </w:divBdr>
        </w:div>
        <w:div w:id="150485848">
          <w:marLeft w:val="640"/>
          <w:marRight w:val="0"/>
          <w:marTop w:val="0"/>
          <w:marBottom w:val="0"/>
          <w:divBdr>
            <w:top w:val="none" w:sz="0" w:space="0" w:color="auto"/>
            <w:left w:val="none" w:sz="0" w:space="0" w:color="auto"/>
            <w:bottom w:val="none" w:sz="0" w:space="0" w:color="auto"/>
            <w:right w:val="none" w:sz="0" w:space="0" w:color="auto"/>
          </w:divBdr>
        </w:div>
        <w:div w:id="154421705">
          <w:marLeft w:val="640"/>
          <w:marRight w:val="0"/>
          <w:marTop w:val="0"/>
          <w:marBottom w:val="0"/>
          <w:divBdr>
            <w:top w:val="none" w:sz="0" w:space="0" w:color="auto"/>
            <w:left w:val="none" w:sz="0" w:space="0" w:color="auto"/>
            <w:bottom w:val="none" w:sz="0" w:space="0" w:color="auto"/>
            <w:right w:val="none" w:sz="0" w:space="0" w:color="auto"/>
          </w:divBdr>
        </w:div>
        <w:div w:id="497384000">
          <w:marLeft w:val="640"/>
          <w:marRight w:val="0"/>
          <w:marTop w:val="0"/>
          <w:marBottom w:val="0"/>
          <w:divBdr>
            <w:top w:val="none" w:sz="0" w:space="0" w:color="auto"/>
            <w:left w:val="none" w:sz="0" w:space="0" w:color="auto"/>
            <w:bottom w:val="none" w:sz="0" w:space="0" w:color="auto"/>
            <w:right w:val="none" w:sz="0" w:space="0" w:color="auto"/>
          </w:divBdr>
        </w:div>
        <w:div w:id="1090153651">
          <w:marLeft w:val="640"/>
          <w:marRight w:val="0"/>
          <w:marTop w:val="0"/>
          <w:marBottom w:val="0"/>
          <w:divBdr>
            <w:top w:val="none" w:sz="0" w:space="0" w:color="auto"/>
            <w:left w:val="none" w:sz="0" w:space="0" w:color="auto"/>
            <w:bottom w:val="none" w:sz="0" w:space="0" w:color="auto"/>
            <w:right w:val="none" w:sz="0" w:space="0" w:color="auto"/>
          </w:divBdr>
        </w:div>
        <w:div w:id="2000113811">
          <w:marLeft w:val="640"/>
          <w:marRight w:val="0"/>
          <w:marTop w:val="0"/>
          <w:marBottom w:val="0"/>
          <w:divBdr>
            <w:top w:val="none" w:sz="0" w:space="0" w:color="auto"/>
            <w:left w:val="none" w:sz="0" w:space="0" w:color="auto"/>
            <w:bottom w:val="none" w:sz="0" w:space="0" w:color="auto"/>
            <w:right w:val="none" w:sz="0" w:space="0" w:color="auto"/>
          </w:divBdr>
        </w:div>
        <w:div w:id="1811707869">
          <w:marLeft w:val="640"/>
          <w:marRight w:val="0"/>
          <w:marTop w:val="0"/>
          <w:marBottom w:val="0"/>
          <w:divBdr>
            <w:top w:val="none" w:sz="0" w:space="0" w:color="auto"/>
            <w:left w:val="none" w:sz="0" w:space="0" w:color="auto"/>
            <w:bottom w:val="none" w:sz="0" w:space="0" w:color="auto"/>
            <w:right w:val="none" w:sz="0" w:space="0" w:color="auto"/>
          </w:divBdr>
        </w:div>
        <w:div w:id="1108352421">
          <w:marLeft w:val="640"/>
          <w:marRight w:val="0"/>
          <w:marTop w:val="0"/>
          <w:marBottom w:val="0"/>
          <w:divBdr>
            <w:top w:val="none" w:sz="0" w:space="0" w:color="auto"/>
            <w:left w:val="none" w:sz="0" w:space="0" w:color="auto"/>
            <w:bottom w:val="none" w:sz="0" w:space="0" w:color="auto"/>
            <w:right w:val="none" w:sz="0" w:space="0" w:color="auto"/>
          </w:divBdr>
        </w:div>
        <w:div w:id="1007098757">
          <w:marLeft w:val="640"/>
          <w:marRight w:val="0"/>
          <w:marTop w:val="0"/>
          <w:marBottom w:val="0"/>
          <w:divBdr>
            <w:top w:val="none" w:sz="0" w:space="0" w:color="auto"/>
            <w:left w:val="none" w:sz="0" w:space="0" w:color="auto"/>
            <w:bottom w:val="none" w:sz="0" w:space="0" w:color="auto"/>
            <w:right w:val="none" w:sz="0" w:space="0" w:color="auto"/>
          </w:divBdr>
        </w:div>
        <w:div w:id="287972807">
          <w:marLeft w:val="640"/>
          <w:marRight w:val="0"/>
          <w:marTop w:val="0"/>
          <w:marBottom w:val="0"/>
          <w:divBdr>
            <w:top w:val="none" w:sz="0" w:space="0" w:color="auto"/>
            <w:left w:val="none" w:sz="0" w:space="0" w:color="auto"/>
            <w:bottom w:val="none" w:sz="0" w:space="0" w:color="auto"/>
            <w:right w:val="none" w:sz="0" w:space="0" w:color="auto"/>
          </w:divBdr>
        </w:div>
        <w:div w:id="1036395041">
          <w:marLeft w:val="640"/>
          <w:marRight w:val="0"/>
          <w:marTop w:val="0"/>
          <w:marBottom w:val="0"/>
          <w:divBdr>
            <w:top w:val="none" w:sz="0" w:space="0" w:color="auto"/>
            <w:left w:val="none" w:sz="0" w:space="0" w:color="auto"/>
            <w:bottom w:val="none" w:sz="0" w:space="0" w:color="auto"/>
            <w:right w:val="none" w:sz="0" w:space="0" w:color="auto"/>
          </w:divBdr>
        </w:div>
        <w:div w:id="1135483418">
          <w:marLeft w:val="640"/>
          <w:marRight w:val="0"/>
          <w:marTop w:val="0"/>
          <w:marBottom w:val="0"/>
          <w:divBdr>
            <w:top w:val="none" w:sz="0" w:space="0" w:color="auto"/>
            <w:left w:val="none" w:sz="0" w:space="0" w:color="auto"/>
            <w:bottom w:val="none" w:sz="0" w:space="0" w:color="auto"/>
            <w:right w:val="none" w:sz="0" w:space="0" w:color="auto"/>
          </w:divBdr>
        </w:div>
        <w:div w:id="1002514668">
          <w:marLeft w:val="640"/>
          <w:marRight w:val="0"/>
          <w:marTop w:val="0"/>
          <w:marBottom w:val="0"/>
          <w:divBdr>
            <w:top w:val="none" w:sz="0" w:space="0" w:color="auto"/>
            <w:left w:val="none" w:sz="0" w:space="0" w:color="auto"/>
            <w:bottom w:val="none" w:sz="0" w:space="0" w:color="auto"/>
            <w:right w:val="none" w:sz="0" w:space="0" w:color="auto"/>
          </w:divBdr>
        </w:div>
        <w:div w:id="1107889138">
          <w:marLeft w:val="640"/>
          <w:marRight w:val="0"/>
          <w:marTop w:val="0"/>
          <w:marBottom w:val="0"/>
          <w:divBdr>
            <w:top w:val="none" w:sz="0" w:space="0" w:color="auto"/>
            <w:left w:val="none" w:sz="0" w:space="0" w:color="auto"/>
            <w:bottom w:val="none" w:sz="0" w:space="0" w:color="auto"/>
            <w:right w:val="none" w:sz="0" w:space="0" w:color="auto"/>
          </w:divBdr>
        </w:div>
        <w:div w:id="2131363238">
          <w:marLeft w:val="640"/>
          <w:marRight w:val="0"/>
          <w:marTop w:val="0"/>
          <w:marBottom w:val="0"/>
          <w:divBdr>
            <w:top w:val="none" w:sz="0" w:space="0" w:color="auto"/>
            <w:left w:val="none" w:sz="0" w:space="0" w:color="auto"/>
            <w:bottom w:val="none" w:sz="0" w:space="0" w:color="auto"/>
            <w:right w:val="none" w:sz="0" w:space="0" w:color="auto"/>
          </w:divBdr>
        </w:div>
        <w:div w:id="1695184221">
          <w:marLeft w:val="640"/>
          <w:marRight w:val="0"/>
          <w:marTop w:val="0"/>
          <w:marBottom w:val="0"/>
          <w:divBdr>
            <w:top w:val="none" w:sz="0" w:space="0" w:color="auto"/>
            <w:left w:val="none" w:sz="0" w:space="0" w:color="auto"/>
            <w:bottom w:val="none" w:sz="0" w:space="0" w:color="auto"/>
            <w:right w:val="none" w:sz="0" w:space="0" w:color="auto"/>
          </w:divBdr>
        </w:div>
        <w:div w:id="1437942756">
          <w:marLeft w:val="640"/>
          <w:marRight w:val="0"/>
          <w:marTop w:val="0"/>
          <w:marBottom w:val="0"/>
          <w:divBdr>
            <w:top w:val="none" w:sz="0" w:space="0" w:color="auto"/>
            <w:left w:val="none" w:sz="0" w:space="0" w:color="auto"/>
            <w:bottom w:val="none" w:sz="0" w:space="0" w:color="auto"/>
            <w:right w:val="none" w:sz="0" w:space="0" w:color="auto"/>
          </w:divBdr>
        </w:div>
        <w:div w:id="567113805">
          <w:marLeft w:val="640"/>
          <w:marRight w:val="0"/>
          <w:marTop w:val="0"/>
          <w:marBottom w:val="0"/>
          <w:divBdr>
            <w:top w:val="none" w:sz="0" w:space="0" w:color="auto"/>
            <w:left w:val="none" w:sz="0" w:space="0" w:color="auto"/>
            <w:bottom w:val="none" w:sz="0" w:space="0" w:color="auto"/>
            <w:right w:val="none" w:sz="0" w:space="0" w:color="auto"/>
          </w:divBdr>
        </w:div>
        <w:div w:id="691031476">
          <w:marLeft w:val="640"/>
          <w:marRight w:val="0"/>
          <w:marTop w:val="0"/>
          <w:marBottom w:val="0"/>
          <w:divBdr>
            <w:top w:val="none" w:sz="0" w:space="0" w:color="auto"/>
            <w:left w:val="none" w:sz="0" w:space="0" w:color="auto"/>
            <w:bottom w:val="none" w:sz="0" w:space="0" w:color="auto"/>
            <w:right w:val="none" w:sz="0" w:space="0" w:color="auto"/>
          </w:divBdr>
        </w:div>
        <w:div w:id="1900440386">
          <w:marLeft w:val="640"/>
          <w:marRight w:val="0"/>
          <w:marTop w:val="0"/>
          <w:marBottom w:val="0"/>
          <w:divBdr>
            <w:top w:val="none" w:sz="0" w:space="0" w:color="auto"/>
            <w:left w:val="none" w:sz="0" w:space="0" w:color="auto"/>
            <w:bottom w:val="none" w:sz="0" w:space="0" w:color="auto"/>
            <w:right w:val="none" w:sz="0" w:space="0" w:color="auto"/>
          </w:divBdr>
        </w:div>
        <w:div w:id="871919751">
          <w:marLeft w:val="640"/>
          <w:marRight w:val="0"/>
          <w:marTop w:val="0"/>
          <w:marBottom w:val="0"/>
          <w:divBdr>
            <w:top w:val="none" w:sz="0" w:space="0" w:color="auto"/>
            <w:left w:val="none" w:sz="0" w:space="0" w:color="auto"/>
            <w:bottom w:val="none" w:sz="0" w:space="0" w:color="auto"/>
            <w:right w:val="none" w:sz="0" w:space="0" w:color="auto"/>
          </w:divBdr>
        </w:div>
        <w:div w:id="647242578">
          <w:marLeft w:val="640"/>
          <w:marRight w:val="0"/>
          <w:marTop w:val="0"/>
          <w:marBottom w:val="0"/>
          <w:divBdr>
            <w:top w:val="none" w:sz="0" w:space="0" w:color="auto"/>
            <w:left w:val="none" w:sz="0" w:space="0" w:color="auto"/>
            <w:bottom w:val="none" w:sz="0" w:space="0" w:color="auto"/>
            <w:right w:val="none" w:sz="0" w:space="0" w:color="auto"/>
          </w:divBdr>
        </w:div>
        <w:div w:id="1024525655">
          <w:marLeft w:val="640"/>
          <w:marRight w:val="0"/>
          <w:marTop w:val="0"/>
          <w:marBottom w:val="0"/>
          <w:divBdr>
            <w:top w:val="none" w:sz="0" w:space="0" w:color="auto"/>
            <w:left w:val="none" w:sz="0" w:space="0" w:color="auto"/>
            <w:bottom w:val="none" w:sz="0" w:space="0" w:color="auto"/>
            <w:right w:val="none" w:sz="0" w:space="0" w:color="auto"/>
          </w:divBdr>
        </w:div>
        <w:div w:id="1157571273">
          <w:marLeft w:val="640"/>
          <w:marRight w:val="0"/>
          <w:marTop w:val="0"/>
          <w:marBottom w:val="0"/>
          <w:divBdr>
            <w:top w:val="none" w:sz="0" w:space="0" w:color="auto"/>
            <w:left w:val="none" w:sz="0" w:space="0" w:color="auto"/>
            <w:bottom w:val="none" w:sz="0" w:space="0" w:color="auto"/>
            <w:right w:val="none" w:sz="0" w:space="0" w:color="auto"/>
          </w:divBdr>
        </w:div>
        <w:div w:id="1932858228">
          <w:marLeft w:val="640"/>
          <w:marRight w:val="0"/>
          <w:marTop w:val="0"/>
          <w:marBottom w:val="0"/>
          <w:divBdr>
            <w:top w:val="none" w:sz="0" w:space="0" w:color="auto"/>
            <w:left w:val="none" w:sz="0" w:space="0" w:color="auto"/>
            <w:bottom w:val="none" w:sz="0" w:space="0" w:color="auto"/>
            <w:right w:val="none" w:sz="0" w:space="0" w:color="auto"/>
          </w:divBdr>
        </w:div>
        <w:div w:id="1752390446">
          <w:marLeft w:val="640"/>
          <w:marRight w:val="0"/>
          <w:marTop w:val="0"/>
          <w:marBottom w:val="0"/>
          <w:divBdr>
            <w:top w:val="none" w:sz="0" w:space="0" w:color="auto"/>
            <w:left w:val="none" w:sz="0" w:space="0" w:color="auto"/>
            <w:bottom w:val="none" w:sz="0" w:space="0" w:color="auto"/>
            <w:right w:val="none" w:sz="0" w:space="0" w:color="auto"/>
          </w:divBdr>
        </w:div>
        <w:div w:id="1077819742">
          <w:marLeft w:val="640"/>
          <w:marRight w:val="0"/>
          <w:marTop w:val="0"/>
          <w:marBottom w:val="0"/>
          <w:divBdr>
            <w:top w:val="none" w:sz="0" w:space="0" w:color="auto"/>
            <w:left w:val="none" w:sz="0" w:space="0" w:color="auto"/>
            <w:bottom w:val="none" w:sz="0" w:space="0" w:color="auto"/>
            <w:right w:val="none" w:sz="0" w:space="0" w:color="auto"/>
          </w:divBdr>
        </w:div>
        <w:div w:id="1269969673">
          <w:marLeft w:val="640"/>
          <w:marRight w:val="0"/>
          <w:marTop w:val="0"/>
          <w:marBottom w:val="0"/>
          <w:divBdr>
            <w:top w:val="none" w:sz="0" w:space="0" w:color="auto"/>
            <w:left w:val="none" w:sz="0" w:space="0" w:color="auto"/>
            <w:bottom w:val="none" w:sz="0" w:space="0" w:color="auto"/>
            <w:right w:val="none" w:sz="0" w:space="0" w:color="auto"/>
          </w:divBdr>
        </w:div>
        <w:div w:id="1358123540">
          <w:marLeft w:val="640"/>
          <w:marRight w:val="0"/>
          <w:marTop w:val="0"/>
          <w:marBottom w:val="0"/>
          <w:divBdr>
            <w:top w:val="none" w:sz="0" w:space="0" w:color="auto"/>
            <w:left w:val="none" w:sz="0" w:space="0" w:color="auto"/>
            <w:bottom w:val="none" w:sz="0" w:space="0" w:color="auto"/>
            <w:right w:val="none" w:sz="0" w:space="0" w:color="auto"/>
          </w:divBdr>
        </w:div>
        <w:div w:id="1029843742">
          <w:marLeft w:val="640"/>
          <w:marRight w:val="0"/>
          <w:marTop w:val="0"/>
          <w:marBottom w:val="0"/>
          <w:divBdr>
            <w:top w:val="none" w:sz="0" w:space="0" w:color="auto"/>
            <w:left w:val="none" w:sz="0" w:space="0" w:color="auto"/>
            <w:bottom w:val="none" w:sz="0" w:space="0" w:color="auto"/>
            <w:right w:val="none" w:sz="0" w:space="0" w:color="auto"/>
          </w:divBdr>
        </w:div>
        <w:div w:id="1433433462">
          <w:marLeft w:val="640"/>
          <w:marRight w:val="0"/>
          <w:marTop w:val="0"/>
          <w:marBottom w:val="0"/>
          <w:divBdr>
            <w:top w:val="none" w:sz="0" w:space="0" w:color="auto"/>
            <w:left w:val="none" w:sz="0" w:space="0" w:color="auto"/>
            <w:bottom w:val="none" w:sz="0" w:space="0" w:color="auto"/>
            <w:right w:val="none" w:sz="0" w:space="0" w:color="auto"/>
          </w:divBdr>
        </w:div>
        <w:div w:id="814420107">
          <w:marLeft w:val="640"/>
          <w:marRight w:val="0"/>
          <w:marTop w:val="0"/>
          <w:marBottom w:val="0"/>
          <w:divBdr>
            <w:top w:val="none" w:sz="0" w:space="0" w:color="auto"/>
            <w:left w:val="none" w:sz="0" w:space="0" w:color="auto"/>
            <w:bottom w:val="none" w:sz="0" w:space="0" w:color="auto"/>
            <w:right w:val="none" w:sz="0" w:space="0" w:color="auto"/>
          </w:divBdr>
        </w:div>
        <w:div w:id="1252356547">
          <w:marLeft w:val="640"/>
          <w:marRight w:val="0"/>
          <w:marTop w:val="0"/>
          <w:marBottom w:val="0"/>
          <w:divBdr>
            <w:top w:val="none" w:sz="0" w:space="0" w:color="auto"/>
            <w:left w:val="none" w:sz="0" w:space="0" w:color="auto"/>
            <w:bottom w:val="none" w:sz="0" w:space="0" w:color="auto"/>
            <w:right w:val="none" w:sz="0" w:space="0" w:color="auto"/>
          </w:divBdr>
        </w:div>
        <w:div w:id="1161192680">
          <w:marLeft w:val="640"/>
          <w:marRight w:val="0"/>
          <w:marTop w:val="0"/>
          <w:marBottom w:val="0"/>
          <w:divBdr>
            <w:top w:val="none" w:sz="0" w:space="0" w:color="auto"/>
            <w:left w:val="none" w:sz="0" w:space="0" w:color="auto"/>
            <w:bottom w:val="none" w:sz="0" w:space="0" w:color="auto"/>
            <w:right w:val="none" w:sz="0" w:space="0" w:color="auto"/>
          </w:divBdr>
        </w:div>
        <w:div w:id="87048834">
          <w:marLeft w:val="640"/>
          <w:marRight w:val="0"/>
          <w:marTop w:val="0"/>
          <w:marBottom w:val="0"/>
          <w:divBdr>
            <w:top w:val="none" w:sz="0" w:space="0" w:color="auto"/>
            <w:left w:val="none" w:sz="0" w:space="0" w:color="auto"/>
            <w:bottom w:val="none" w:sz="0" w:space="0" w:color="auto"/>
            <w:right w:val="none" w:sz="0" w:space="0" w:color="auto"/>
          </w:divBdr>
        </w:div>
        <w:div w:id="139466309">
          <w:marLeft w:val="640"/>
          <w:marRight w:val="0"/>
          <w:marTop w:val="0"/>
          <w:marBottom w:val="0"/>
          <w:divBdr>
            <w:top w:val="none" w:sz="0" w:space="0" w:color="auto"/>
            <w:left w:val="none" w:sz="0" w:space="0" w:color="auto"/>
            <w:bottom w:val="none" w:sz="0" w:space="0" w:color="auto"/>
            <w:right w:val="none" w:sz="0" w:space="0" w:color="auto"/>
          </w:divBdr>
        </w:div>
        <w:div w:id="119761299">
          <w:marLeft w:val="640"/>
          <w:marRight w:val="0"/>
          <w:marTop w:val="0"/>
          <w:marBottom w:val="0"/>
          <w:divBdr>
            <w:top w:val="none" w:sz="0" w:space="0" w:color="auto"/>
            <w:left w:val="none" w:sz="0" w:space="0" w:color="auto"/>
            <w:bottom w:val="none" w:sz="0" w:space="0" w:color="auto"/>
            <w:right w:val="none" w:sz="0" w:space="0" w:color="auto"/>
          </w:divBdr>
        </w:div>
        <w:div w:id="1264997577">
          <w:marLeft w:val="640"/>
          <w:marRight w:val="0"/>
          <w:marTop w:val="0"/>
          <w:marBottom w:val="0"/>
          <w:divBdr>
            <w:top w:val="none" w:sz="0" w:space="0" w:color="auto"/>
            <w:left w:val="none" w:sz="0" w:space="0" w:color="auto"/>
            <w:bottom w:val="none" w:sz="0" w:space="0" w:color="auto"/>
            <w:right w:val="none" w:sz="0" w:space="0" w:color="auto"/>
          </w:divBdr>
        </w:div>
        <w:div w:id="1840343245">
          <w:marLeft w:val="640"/>
          <w:marRight w:val="0"/>
          <w:marTop w:val="0"/>
          <w:marBottom w:val="0"/>
          <w:divBdr>
            <w:top w:val="none" w:sz="0" w:space="0" w:color="auto"/>
            <w:left w:val="none" w:sz="0" w:space="0" w:color="auto"/>
            <w:bottom w:val="none" w:sz="0" w:space="0" w:color="auto"/>
            <w:right w:val="none" w:sz="0" w:space="0" w:color="auto"/>
          </w:divBdr>
        </w:div>
        <w:div w:id="1673557771">
          <w:marLeft w:val="640"/>
          <w:marRight w:val="0"/>
          <w:marTop w:val="0"/>
          <w:marBottom w:val="0"/>
          <w:divBdr>
            <w:top w:val="none" w:sz="0" w:space="0" w:color="auto"/>
            <w:left w:val="none" w:sz="0" w:space="0" w:color="auto"/>
            <w:bottom w:val="none" w:sz="0" w:space="0" w:color="auto"/>
            <w:right w:val="none" w:sz="0" w:space="0" w:color="auto"/>
          </w:divBdr>
        </w:div>
        <w:div w:id="1291126417">
          <w:marLeft w:val="640"/>
          <w:marRight w:val="0"/>
          <w:marTop w:val="0"/>
          <w:marBottom w:val="0"/>
          <w:divBdr>
            <w:top w:val="none" w:sz="0" w:space="0" w:color="auto"/>
            <w:left w:val="none" w:sz="0" w:space="0" w:color="auto"/>
            <w:bottom w:val="none" w:sz="0" w:space="0" w:color="auto"/>
            <w:right w:val="none" w:sz="0" w:space="0" w:color="auto"/>
          </w:divBdr>
        </w:div>
        <w:div w:id="379405561">
          <w:marLeft w:val="640"/>
          <w:marRight w:val="0"/>
          <w:marTop w:val="0"/>
          <w:marBottom w:val="0"/>
          <w:divBdr>
            <w:top w:val="none" w:sz="0" w:space="0" w:color="auto"/>
            <w:left w:val="none" w:sz="0" w:space="0" w:color="auto"/>
            <w:bottom w:val="none" w:sz="0" w:space="0" w:color="auto"/>
            <w:right w:val="none" w:sz="0" w:space="0" w:color="auto"/>
          </w:divBdr>
        </w:div>
        <w:div w:id="760106673">
          <w:marLeft w:val="640"/>
          <w:marRight w:val="0"/>
          <w:marTop w:val="0"/>
          <w:marBottom w:val="0"/>
          <w:divBdr>
            <w:top w:val="none" w:sz="0" w:space="0" w:color="auto"/>
            <w:left w:val="none" w:sz="0" w:space="0" w:color="auto"/>
            <w:bottom w:val="none" w:sz="0" w:space="0" w:color="auto"/>
            <w:right w:val="none" w:sz="0" w:space="0" w:color="auto"/>
          </w:divBdr>
        </w:div>
        <w:div w:id="15813881">
          <w:marLeft w:val="640"/>
          <w:marRight w:val="0"/>
          <w:marTop w:val="0"/>
          <w:marBottom w:val="0"/>
          <w:divBdr>
            <w:top w:val="none" w:sz="0" w:space="0" w:color="auto"/>
            <w:left w:val="none" w:sz="0" w:space="0" w:color="auto"/>
            <w:bottom w:val="none" w:sz="0" w:space="0" w:color="auto"/>
            <w:right w:val="none" w:sz="0" w:space="0" w:color="auto"/>
          </w:divBdr>
        </w:div>
        <w:div w:id="1824850399">
          <w:marLeft w:val="640"/>
          <w:marRight w:val="0"/>
          <w:marTop w:val="0"/>
          <w:marBottom w:val="0"/>
          <w:divBdr>
            <w:top w:val="none" w:sz="0" w:space="0" w:color="auto"/>
            <w:left w:val="none" w:sz="0" w:space="0" w:color="auto"/>
            <w:bottom w:val="none" w:sz="0" w:space="0" w:color="auto"/>
            <w:right w:val="none" w:sz="0" w:space="0" w:color="auto"/>
          </w:divBdr>
        </w:div>
        <w:div w:id="341510531">
          <w:marLeft w:val="640"/>
          <w:marRight w:val="0"/>
          <w:marTop w:val="0"/>
          <w:marBottom w:val="0"/>
          <w:divBdr>
            <w:top w:val="none" w:sz="0" w:space="0" w:color="auto"/>
            <w:left w:val="none" w:sz="0" w:space="0" w:color="auto"/>
            <w:bottom w:val="none" w:sz="0" w:space="0" w:color="auto"/>
            <w:right w:val="none" w:sz="0" w:space="0" w:color="auto"/>
          </w:divBdr>
        </w:div>
        <w:div w:id="1561862162">
          <w:marLeft w:val="640"/>
          <w:marRight w:val="0"/>
          <w:marTop w:val="0"/>
          <w:marBottom w:val="0"/>
          <w:divBdr>
            <w:top w:val="none" w:sz="0" w:space="0" w:color="auto"/>
            <w:left w:val="none" w:sz="0" w:space="0" w:color="auto"/>
            <w:bottom w:val="none" w:sz="0" w:space="0" w:color="auto"/>
            <w:right w:val="none" w:sz="0" w:space="0" w:color="auto"/>
          </w:divBdr>
        </w:div>
        <w:div w:id="1306007228">
          <w:marLeft w:val="640"/>
          <w:marRight w:val="0"/>
          <w:marTop w:val="0"/>
          <w:marBottom w:val="0"/>
          <w:divBdr>
            <w:top w:val="none" w:sz="0" w:space="0" w:color="auto"/>
            <w:left w:val="none" w:sz="0" w:space="0" w:color="auto"/>
            <w:bottom w:val="none" w:sz="0" w:space="0" w:color="auto"/>
            <w:right w:val="none" w:sz="0" w:space="0" w:color="auto"/>
          </w:divBdr>
        </w:div>
        <w:div w:id="1846825468">
          <w:marLeft w:val="640"/>
          <w:marRight w:val="0"/>
          <w:marTop w:val="0"/>
          <w:marBottom w:val="0"/>
          <w:divBdr>
            <w:top w:val="none" w:sz="0" w:space="0" w:color="auto"/>
            <w:left w:val="none" w:sz="0" w:space="0" w:color="auto"/>
            <w:bottom w:val="none" w:sz="0" w:space="0" w:color="auto"/>
            <w:right w:val="none" w:sz="0" w:space="0" w:color="auto"/>
          </w:divBdr>
        </w:div>
        <w:div w:id="517473134">
          <w:marLeft w:val="640"/>
          <w:marRight w:val="0"/>
          <w:marTop w:val="0"/>
          <w:marBottom w:val="0"/>
          <w:divBdr>
            <w:top w:val="none" w:sz="0" w:space="0" w:color="auto"/>
            <w:left w:val="none" w:sz="0" w:space="0" w:color="auto"/>
            <w:bottom w:val="none" w:sz="0" w:space="0" w:color="auto"/>
            <w:right w:val="none" w:sz="0" w:space="0" w:color="auto"/>
          </w:divBdr>
        </w:div>
        <w:div w:id="473910324">
          <w:marLeft w:val="640"/>
          <w:marRight w:val="0"/>
          <w:marTop w:val="0"/>
          <w:marBottom w:val="0"/>
          <w:divBdr>
            <w:top w:val="none" w:sz="0" w:space="0" w:color="auto"/>
            <w:left w:val="none" w:sz="0" w:space="0" w:color="auto"/>
            <w:bottom w:val="none" w:sz="0" w:space="0" w:color="auto"/>
            <w:right w:val="none" w:sz="0" w:space="0" w:color="auto"/>
          </w:divBdr>
        </w:div>
        <w:div w:id="518734498">
          <w:marLeft w:val="640"/>
          <w:marRight w:val="0"/>
          <w:marTop w:val="0"/>
          <w:marBottom w:val="0"/>
          <w:divBdr>
            <w:top w:val="none" w:sz="0" w:space="0" w:color="auto"/>
            <w:left w:val="none" w:sz="0" w:space="0" w:color="auto"/>
            <w:bottom w:val="none" w:sz="0" w:space="0" w:color="auto"/>
            <w:right w:val="none" w:sz="0" w:space="0" w:color="auto"/>
          </w:divBdr>
        </w:div>
        <w:div w:id="1626304883">
          <w:marLeft w:val="640"/>
          <w:marRight w:val="0"/>
          <w:marTop w:val="0"/>
          <w:marBottom w:val="0"/>
          <w:divBdr>
            <w:top w:val="none" w:sz="0" w:space="0" w:color="auto"/>
            <w:left w:val="none" w:sz="0" w:space="0" w:color="auto"/>
            <w:bottom w:val="none" w:sz="0" w:space="0" w:color="auto"/>
            <w:right w:val="none" w:sz="0" w:space="0" w:color="auto"/>
          </w:divBdr>
        </w:div>
        <w:div w:id="775295323">
          <w:marLeft w:val="640"/>
          <w:marRight w:val="0"/>
          <w:marTop w:val="0"/>
          <w:marBottom w:val="0"/>
          <w:divBdr>
            <w:top w:val="none" w:sz="0" w:space="0" w:color="auto"/>
            <w:left w:val="none" w:sz="0" w:space="0" w:color="auto"/>
            <w:bottom w:val="none" w:sz="0" w:space="0" w:color="auto"/>
            <w:right w:val="none" w:sz="0" w:space="0" w:color="auto"/>
          </w:divBdr>
        </w:div>
        <w:div w:id="1209339550">
          <w:marLeft w:val="640"/>
          <w:marRight w:val="0"/>
          <w:marTop w:val="0"/>
          <w:marBottom w:val="0"/>
          <w:divBdr>
            <w:top w:val="none" w:sz="0" w:space="0" w:color="auto"/>
            <w:left w:val="none" w:sz="0" w:space="0" w:color="auto"/>
            <w:bottom w:val="none" w:sz="0" w:space="0" w:color="auto"/>
            <w:right w:val="none" w:sz="0" w:space="0" w:color="auto"/>
          </w:divBdr>
        </w:div>
        <w:div w:id="501119460">
          <w:marLeft w:val="640"/>
          <w:marRight w:val="0"/>
          <w:marTop w:val="0"/>
          <w:marBottom w:val="0"/>
          <w:divBdr>
            <w:top w:val="none" w:sz="0" w:space="0" w:color="auto"/>
            <w:left w:val="none" w:sz="0" w:space="0" w:color="auto"/>
            <w:bottom w:val="none" w:sz="0" w:space="0" w:color="auto"/>
            <w:right w:val="none" w:sz="0" w:space="0" w:color="auto"/>
          </w:divBdr>
        </w:div>
        <w:div w:id="2037850544">
          <w:marLeft w:val="640"/>
          <w:marRight w:val="0"/>
          <w:marTop w:val="0"/>
          <w:marBottom w:val="0"/>
          <w:divBdr>
            <w:top w:val="none" w:sz="0" w:space="0" w:color="auto"/>
            <w:left w:val="none" w:sz="0" w:space="0" w:color="auto"/>
            <w:bottom w:val="none" w:sz="0" w:space="0" w:color="auto"/>
            <w:right w:val="none" w:sz="0" w:space="0" w:color="auto"/>
          </w:divBdr>
        </w:div>
        <w:div w:id="380521377">
          <w:marLeft w:val="640"/>
          <w:marRight w:val="0"/>
          <w:marTop w:val="0"/>
          <w:marBottom w:val="0"/>
          <w:divBdr>
            <w:top w:val="none" w:sz="0" w:space="0" w:color="auto"/>
            <w:left w:val="none" w:sz="0" w:space="0" w:color="auto"/>
            <w:bottom w:val="none" w:sz="0" w:space="0" w:color="auto"/>
            <w:right w:val="none" w:sz="0" w:space="0" w:color="auto"/>
          </w:divBdr>
        </w:div>
        <w:div w:id="1837302093">
          <w:marLeft w:val="640"/>
          <w:marRight w:val="0"/>
          <w:marTop w:val="0"/>
          <w:marBottom w:val="0"/>
          <w:divBdr>
            <w:top w:val="none" w:sz="0" w:space="0" w:color="auto"/>
            <w:left w:val="none" w:sz="0" w:space="0" w:color="auto"/>
            <w:bottom w:val="none" w:sz="0" w:space="0" w:color="auto"/>
            <w:right w:val="none" w:sz="0" w:space="0" w:color="auto"/>
          </w:divBdr>
        </w:div>
        <w:div w:id="345257194">
          <w:marLeft w:val="640"/>
          <w:marRight w:val="0"/>
          <w:marTop w:val="0"/>
          <w:marBottom w:val="0"/>
          <w:divBdr>
            <w:top w:val="none" w:sz="0" w:space="0" w:color="auto"/>
            <w:left w:val="none" w:sz="0" w:space="0" w:color="auto"/>
            <w:bottom w:val="none" w:sz="0" w:space="0" w:color="auto"/>
            <w:right w:val="none" w:sz="0" w:space="0" w:color="auto"/>
          </w:divBdr>
        </w:div>
        <w:div w:id="1722437411">
          <w:marLeft w:val="640"/>
          <w:marRight w:val="0"/>
          <w:marTop w:val="0"/>
          <w:marBottom w:val="0"/>
          <w:divBdr>
            <w:top w:val="none" w:sz="0" w:space="0" w:color="auto"/>
            <w:left w:val="none" w:sz="0" w:space="0" w:color="auto"/>
            <w:bottom w:val="none" w:sz="0" w:space="0" w:color="auto"/>
            <w:right w:val="none" w:sz="0" w:space="0" w:color="auto"/>
          </w:divBdr>
        </w:div>
        <w:div w:id="571935144">
          <w:marLeft w:val="640"/>
          <w:marRight w:val="0"/>
          <w:marTop w:val="0"/>
          <w:marBottom w:val="0"/>
          <w:divBdr>
            <w:top w:val="none" w:sz="0" w:space="0" w:color="auto"/>
            <w:left w:val="none" w:sz="0" w:space="0" w:color="auto"/>
            <w:bottom w:val="none" w:sz="0" w:space="0" w:color="auto"/>
            <w:right w:val="none" w:sz="0" w:space="0" w:color="auto"/>
          </w:divBdr>
        </w:div>
        <w:div w:id="978145662">
          <w:marLeft w:val="640"/>
          <w:marRight w:val="0"/>
          <w:marTop w:val="0"/>
          <w:marBottom w:val="0"/>
          <w:divBdr>
            <w:top w:val="none" w:sz="0" w:space="0" w:color="auto"/>
            <w:left w:val="none" w:sz="0" w:space="0" w:color="auto"/>
            <w:bottom w:val="none" w:sz="0" w:space="0" w:color="auto"/>
            <w:right w:val="none" w:sz="0" w:space="0" w:color="auto"/>
          </w:divBdr>
        </w:div>
        <w:div w:id="1632250885">
          <w:marLeft w:val="640"/>
          <w:marRight w:val="0"/>
          <w:marTop w:val="0"/>
          <w:marBottom w:val="0"/>
          <w:divBdr>
            <w:top w:val="none" w:sz="0" w:space="0" w:color="auto"/>
            <w:left w:val="none" w:sz="0" w:space="0" w:color="auto"/>
            <w:bottom w:val="none" w:sz="0" w:space="0" w:color="auto"/>
            <w:right w:val="none" w:sz="0" w:space="0" w:color="auto"/>
          </w:divBdr>
        </w:div>
        <w:div w:id="2126195069">
          <w:marLeft w:val="640"/>
          <w:marRight w:val="0"/>
          <w:marTop w:val="0"/>
          <w:marBottom w:val="0"/>
          <w:divBdr>
            <w:top w:val="none" w:sz="0" w:space="0" w:color="auto"/>
            <w:left w:val="none" w:sz="0" w:space="0" w:color="auto"/>
            <w:bottom w:val="none" w:sz="0" w:space="0" w:color="auto"/>
            <w:right w:val="none" w:sz="0" w:space="0" w:color="auto"/>
          </w:divBdr>
        </w:div>
        <w:div w:id="1930574341">
          <w:marLeft w:val="640"/>
          <w:marRight w:val="0"/>
          <w:marTop w:val="0"/>
          <w:marBottom w:val="0"/>
          <w:divBdr>
            <w:top w:val="none" w:sz="0" w:space="0" w:color="auto"/>
            <w:left w:val="none" w:sz="0" w:space="0" w:color="auto"/>
            <w:bottom w:val="none" w:sz="0" w:space="0" w:color="auto"/>
            <w:right w:val="none" w:sz="0" w:space="0" w:color="auto"/>
          </w:divBdr>
        </w:div>
        <w:div w:id="712270627">
          <w:marLeft w:val="640"/>
          <w:marRight w:val="0"/>
          <w:marTop w:val="0"/>
          <w:marBottom w:val="0"/>
          <w:divBdr>
            <w:top w:val="none" w:sz="0" w:space="0" w:color="auto"/>
            <w:left w:val="none" w:sz="0" w:space="0" w:color="auto"/>
            <w:bottom w:val="none" w:sz="0" w:space="0" w:color="auto"/>
            <w:right w:val="none" w:sz="0" w:space="0" w:color="auto"/>
          </w:divBdr>
        </w:div>
        <w:div w:id="1757747416">
          <w:marLeft w:val="640"/>
          <w:marRight w:val="0"/>
          <w:marTop w:val="0"/>
          <w:marBottom w:val="0"/>
          <w:divBdr>
            <w:top w:val="none" w:sz="0" w:space="0" w:color="auto"/>
            <w:left w:val="none" w:sz="0" w:space="0" w:color="auto"/>
            <w:bottom w:val="none" w:sz="0" w:space="0" w:color="auto"/>
            <w:right w:val="none" w:sz="0" w:space="0" w:color="auto"/>
          </w:divBdr>
        </w:div>
        <w:div w:id="1749811296">
          <w:marLeft w:val="640"/>
          <w:marRight w:val="0"/>
          <w:marTop w:val="0"/>
          <w:marBottom w:val="0"/>
          <w:divBdr>
            <w:top w:val="none" w:sz="0" w:space="0" w:color="auto"/>
            <w:left w:val="none" w:sz="0" w:space="0" w:color="auto"/>
            <w:bottom w:val="none" w:sz="0" w:space="0" w:color="auto"/>
            <w:right w:val="none" w:sz="0" w:space="0" w:color="auto"/>
          </w:divBdr>
        </w:div>
        <w:div w:id="897520619">
          <w:marLeft w:val="640"/>
          <w:marRight w:val="0"/>
          <w:marTop w:val="0"/>
          <w:marBottom w:val="0"/>
          <w:divBdr>
            <w:top w:val="none" w:sz="0" w:space="0" w:color="auto"/>
            <w:left w:val="none" w:sz="0" w:space="0" w:color="auto"/>
            <w:bottom w:val="none" w:sz="0" w:space="0" w:color="auto"/>
            <w:right w:val="none" w:sz="0" w:space="0" w:color="auto"/>
          </w:divBdr>
        </w:div>
        <w:div w:id="1437864066">
          <w:marLeft w:val="640"/>
          <w:marRight w:val="0"/>
          <w:marTop w:val="0"/>
          <w:marBottom w:val="0"/>
          <w:divBdr>
            <w:top w:val="none" w:sz="0" w:space="0" w:color="auto"/>
            <w:left w:val="none" w:sz="0" w:space="0" w:color="auto"/>
            <w:bottom w:val="none" w:sz="0" w:space="0" w:color="auto"/>
            <w:right w:val="none" w:sz="0" w:space="0" w:color="auto"/>
          </w:divBdr>
        </w:div>
        <w:div w:id="590429988">
          <w:marLeft w:val="640"/>
          <w:marRight w:val="0"/>
          <w:marTop w:val="0"/>
          <w:marBottom w:val="0"/>
          <w:divBdr>
            <w:top w:val="none" w:sz="0" w:space="0" w:color="auto"/>
            <w:left w:val="none" w:sz="0" w:space="0" w:color="auto"/>
            <w:bottom w:val="none" w:sz="0" w:space="0" w:color="auto"/>
            <w:right w:val="none" w:sz="0" w:space="0" w:color="auto"/>
          </w:divBdr>
        </w:div>
        <w:div w:id="1482191679">
          <w:marLeft w:val="640"/>
          <w:marRight w:val="0"/>
          <w:marTop w:val="0"/>
          <w:marBottom w:val="0"/>
          <w:divBdr>
            <w:top w:val="none" w:sz="0" w:space="0" w:color="auto"/>
            <w:left w:val="none" w:sz="0" w:space="0" w:color="auto"/>
            <w:bottom w:val="none" w:sz="0" w:space="0" w:color="auto"/>
            <w:right w:val="none" w:sz="0" w:space="0" w:color="auto"/>
          </w:divBdr>
        </w:div>
        <w:div w:id="802381017">
          <w:marLeft w:val="640"/>
          <w:marRight w:val="0"/>
          <w:marTop w:val="0"/>
          <w:marBottom w:val="0"/>
          <w:divBdr>
            <w:top w:val="none" w:sz="0" w:space="0" w:color="auto"/>
            <w:left w:val="none" w:sz="0" w:space="0" w:color="auto"/>
            <w:bottom w:val="none" w:sz="0" w:space="0" w:color="auto"/>
            <w:right w:val="none" w:sz="0" w:space="0" w:color="auto"/>
          </w:divBdr>
        </w:div>
        <w:div w:id="1818958584">
          <w:marLeft w:val="640"/>
          <w:marRight w:val="0"/>
          <w:marTop w:val="0"/>
          <w:marBottom w:val="0"/>
          <w:divBdr>
            <w:top w:val="none" w:sz="0" w:space="0" w:color="auto"/>
            <w:left w:val="none" w:sz="0" w:space="0" w:color="auto"/>
            <w:bottom w:val="none" w:sz="0" w:space="0" w:color="auto"/>
            <w:right w:val="none" w:sz="0" w:space="0" w:color="auto"/>
          </w:divBdr>
        </w:div>
        <w:div w:id="377628311">
          <w:marLeft w:val="640"/>
          <w:marRight w:val="0"/>
          <w:marTop w:val="0"/>
          <w:marBottom w:val="0"/>
          <w:divBdr>
            <w:top w:val="none" w:sz="0" w:space="0" w:color="auto"/>
            <w:left w:val="none" w:sz="0" w:space="0" w:color="auto"/>
            <w:bottom w:val="none" w:sz="0" w:space="0" w:color="auto"/>
            <w:right w:val="none" w:sz="0" w:space="0" w:color="auto"/>
          </w:divBdr>
        </w:div>
        <w:div w:id="710961181">
          <w:marLeft w:val="640"/>
          <w:marRight w:val="0"/>
          <w:marTop w:val="0"/>
          <w:marBottom w:val="0"/>
          <w:divBdr>
            <w:top w:val="none" w:sz="0" w:space="0" w:color="auto"/>
            <w:left w:val="none" w:sz="0" w:space="0" w:color="auto"/>
            <w:bottom w:val="none" w:sz="0" w:space="0" w:color="auto"/>
            <w:right w:val="none" w:sz="0" w:space="0" w:color="auto"/>
          </w:divBdr>
        </w:div>
        <w:div w:id="2037999164">
          <w:marLeft w:val="640"/>
          <w:marRight w:val="0"/>
          <w:marTop w:val="0"/>
          <w:marBottom w:val="0"/>
          <w:divBdr>
            <w:top w:val="none" w:sz="0" w:space="0" w:color="auto"/>
            <w:left w:val="none" w:sz="0" w:space="0" w:color="auto"/>
            <w:bottom w:val="none" w:sz="0" w:space="0" w:color="auto"/>
            <w:right w:val="none" w:sz="0" w:space="0" w:color="auto"/>
          </w:divBdr>
        </w:div>
        <w:div w:id="148640886">
          <w:marLeft w:val="640"/>
          <w:marRight w:val="0"/>
          <w:marTop w:val="0"/>
          <w:marBottom w:val="0"/>
          <w:divBdr>
            <w:top w:val="none" w:sz="0" w:space="0" w:color="auto"/>
            <w:left w:val="none" w:sz="0" w:space="0" w:color="auto"/>
            <w:bottom w:val="none" w:sz="0" w:space="0" w:color="auto"/>
            <w:right w:val="none" w:sz="0" w:space="0" w:color="auto"/>
          </w:divBdr>
        </w:div>
        <w:div w:id="1608467909">
          <w:marLeft w:val="640"/>
          <w:marRight w:val="0"/>
          <w:marTop w:val="0"/>
          <w:marBottom w:val="0"/>
          <w:divBdr>
            <w:top w:val="none" w:sz="0" w:space="0" w:color="auto"/>
            <w:left w:val="none" w:sz="0" w:space="0" w:color="auto"/>
            <w:bottom w:val="none" w:sz="0" w:space="0" w:color="auto"/>
            <w:right w:val="none" w:sz="0" w:space="0" w:color="auto"/>
          </w:divBdr>
        </w:div>
        <w:div w:id="1276206691">
          <w:marLeft w:val="640"/>
          <w:marRight w:val="0"/>
          <w:marTop w:val="0"/>
          <w:marBottom w:val="0"/>
          <w:divBdr>
            <w:top w:val="none" w:sz="0" w:space="0" w:color="auto"/>
            <w:left w:val="none" w:sz="0" w:space="0" w:color="auto"/>
            <w:bottom w:val="none" w:sz="0" w:space="0" w:color="auto"/>
            <w:right w:val="none" w:sz="0" w:space="0" w:color="auto"/>
          </w:divBdr>
        </w:div>
        <w:div w:id="419258889">
          <w:marLeft w:val="640"/>
          <w:marRight w:val="0"/>
          <w:marTop w:val="0"/>
          <w:marBottom w:val="0"/>
          <w:divBdr>
            <w:top w:val="none" w:sz="0" w:space="0" w:color="auto"/>
            <w:left w:val="none" w:sz="0" w:space="0" w:color="auto"/>
            <w:bottom w:val="none" w:sz="0" w:space="0" w:color="auto"/>
            <w:right w:val="none" w:sz="0" w:space="0" w:color="auto"/>
          </w:divBdr>
        </w:div>
        <w:div w:id="56710160">
          <w:marLeft w:val="640"/>
          <w:marRight w:val="0"/>
          <w:marTop w:val="0"/>
          <w:marBottom w:val="0"/>
          <w:divBdr>
            <w:top w:val="none" w:sz="0" w:space="0" w:color="auto"/>
            <w:left w:val="none" w:sz="0" w:space="0" w:color="auto"/>
            <w:bottom w:val="none" w:sz="0" w:space="0" w:color="auto"/>
            <w:right w:val="none" w:sz="0" w:space="0" w:color="auto"/>
          </w:divBdr>
        </w:div>
        <w:div w:id="2045669804">
          <w:marLeft w:val="640"/>
          <w:marRight w:val="0"/>
          <w:marTop w:val="0"/>
          <w:marBottom w:val="0"/>
          <w:divBdr>
            <w:top w:val="none" w:sz="0" w:space="0" w:color="auto"/>
            <w:left w:val="none" w:sz="0" w:space="0" w:color="auto"/>
            <w:bottom w:val="none" w:sz="0" w:space="0" w:color="auto"/>
            <w:right w:val="none" w:sz="0" w:space="0" w:color="auto"/>
          </w:divBdr>
        </w:div>
        <w:div w:id="67002725">
          <w:marLeft w:val="640"/>
          <w:marRight w:val="0"/>
          <w:marTop w:val="0"/>
          <w:marBottom w:val="0"/>
          <w:divBdr>
            <w:top w:val="none" w:sz="0" w:space="0" w:color="auto"/>
            <w:left w:val="none" w:sz="0" w:space="0" w:color="auto"/>
            <w:bottom w:val="none" w:sz="0" w:space="0" w:color="auto"/>
            <w:right w:val="none" w:sz="0" w:space="0" w:color="auto"/>
          </w:divBdr>
        </w:div>
        <w:div w:id="1639215650">
          <w:marLeft w:val="640"/>
          <w:marRight w:val="0"/>
          <w:marTop w:val="0"/>
          <w:marBottom w:val="0"/>
          <w:divBdr>
            <w:top w:val="none" w:sz="0" w:space="0" w:color="auto"/>
            <w:left w:val="none" w:sz="0" w:space="0" w:color="auto"/>
            <w:bottom w:val="none" w:sz="0" w:space="0" w:color="auto"/>
            <w:right w:val="none" w:sz="0" w:space="0" w:color="auto"/>
          </w:divBdr>
        </w:div>
        <w:div w:id="1686639284">
          <w:marLeft w:val="640"/>
          <w:marRight w:val="0"/>
          <w:marTop w:val="0"/>
          <w:marBottom w:val="0"/>
          <w:divBdr>
            <w:top w:val="none" w:sz="0" w:space="0" w:color="auto"/>
            <w:left w:val="none" w:sz="0" w:space="0" w:color="auto"/>
            <w:bottom w:val="none" w:sz="0" w:space="0" w:color="auto"/>
            <w:right w:val="none" w:sz="0" w:space="0" w:color="auto"/>
          </w:divBdr>
        </w:div>
        <w:div w:id="1285506354">
          <w:marLeft w:val="640"/>
          <w:marRight w:val="0"/>
          <w:marTop w:val="0"/>
          <w:marBottom w:val="0"/>
          <w:divBdr>
            <w:top w:val="none" w:sz="0" w:space="0" w:color="auto"/>
            <w:left w:val="none" w:sz="0" w:space="0" w:color="auto"/>
            <w:bottom w:val="none" w:sz="0" w:space="0" w:color="auto"/>
            <w:right w:val="none" w:sz="0" w:space="0" w:color="auto"/>
          </w:divBdr>
        </w:div>
        <w:div w:id="2059089040">
          <w:marLeft w:val="640"/>
          <w:marRight w:val="0"/>
          <w:marTop w:val="0"/>
          <w:marBottom w:val="0"/>
          <w:divBdr>
            <w:top w:val="none" w:sz="0" w:space="0" w:color="auto"/>
            <w:left w:val="none" w:sz="0" w:space="0" w:color="auto"/>
            <w:bottom w:val="none" w:sz="0" w:space="0" w:color="auto"/>
            <w:right w:val="none" w:sz="0" w:space="0" w:color="auto"/>
          </w:divBdr>
        </w:div>
        <w:div w:id="608197286">
          <w:marLeft w:val="640"/>
          <w:marRight w:val="0"/>
          <w:marTop w:val="0"/>
          <w:marBottom w:val="0"/>
          <w:divBdr>
            <w:top w:val="none" w:sz="0" w:space="0" w:color="auto"/>
            <w:left w:val="none" w:sz="0" w:space="0" w:color="auto"/>
            <w:bottom w:val="none" w:sz="0" w:space="0" w:color="auto"/>
            <w:right w:val="none" w:sz="0" w:space="0" w:color="auto"/>
          </w:divBdr>
        </w:div>
        <w:div w:id="396129346">
          <w:marLeft w:val="640"/>
          <w:marRight w:val="0"/>
          <w:marTop w:val="0"/>
          <w:marBottom w:val="0"/>
          <w:divBdr>
            <w:top w:val="none" w:sz="0" w:space="0" w:color="auto"/>
            <w:left w:val="none" w:sz="0" w:space="0" w:color="auto"/>
            <w:bottom w:val="none" w:sz="0" w:space="0" w:color="auto"/>
            <w:right w:val="none" w:sz="0" w:space="0" w:color="auto"/>
          </w:divBdr>
        </w:div>
        <w:div w:id="587076060">
          <w:marLeft w:val="640"/>
          <w:marRight w:val="0"/>
          <w:marTop w:val="0"/>
          <w:marBottom w:val="0"/>
          <w:divBdr>
            <w:top w:val="none" w:sz="0" w:space="0" w:color="auto"/>
            <w:left w:val="none" w:sz="0" w:space="0" w:color="auto"/>
            <w:bottom w:val="none" w:sz="0" w:space="0" w:color="auto"/>
            <w:right w:val="none" w:sz="0" w:space="0" w:color="auto"/>
          </w:divBdr>
        </w:div>
        <w:div w:id="1072385170">
          <w:marLeft w:val="640"/>
          <w:marRight w:val="0"/>
          <w:marTop w:val="0"/>
          <w:marBottom w:val="0"/>
          <w:divBdr>
            <w:top w:val="none" w:sz="0" w:space="0" w:color="auto"/>
            <w:left w:val="none" w:sz="0" w:space="0" w:color="auto"/>
            <w:bottom w:val="none" w:sz="0" w:space="0" w:color="auto"/>
            <w:right w:val="none" w:sz="0" w:space="0" w:color="auto"/>
          </w:divBdr>
        </w:div>
        <w:div w:id="1846557548">
          <w:marLeft w:val="640"/>
          <w:marRight w:val="0"/>
          <w:marTop w:val="0"/>
          <w:marBottom w:val="0"/>
          <w:divBdr>
            <w:top w:val="none" w:sz="0" w:space="0" w:color="auto"/>
            <w:left w:val="none" w:sz="0" w:space="0" w:color="auto"/>
            <w:bottom w:val="none" w:sz="0" w:space="0" w:color="auto"/>
            <w:right w:val="none" w:sz="0" w:space="0" w:color="auto"/>
          </w:divBdr>
        </w:div>
        <w:div w:id="1563709591">
          <w:marLeft w:val="640"/>
          <w:marRight w:val="0"/>
          <w:marTop w:val="0"/>
          <w:marBottom w:val="0"/>
          <w:divBdr>
            <w:top w:val="none" w:sz="0" w:space="0" w:color="auto"/>
            <w:left w:val="none" w:sz="0" w:space="0" w:color="auto"/>
            <w:bottom w:val="none" w:sz="0" w:space="0" w:color="auto"/>
            <w:right w:val="none" w:sz="0" w:space="0" w:color="auto"/>
          </w:divBdr>
        </w:div>
        <w:div w:id="1484617673">
          <w:marLeft w:val="640"/>
          <w:marRight w:val="0"/>
          <w:marTop w:val="0"/>
          <w:marBottom w:val="0"/>
          <w:divBdr>
            <w:top w:val="none" w:sz="0" w:space="0" w:color="auto"/>
            <w:left w:val="none" w:sz="0" w:space="0" w:color="auto"/>
            <w:bottom w:val="none" w:sz="0" w:space="0" w:color="auto"/>
            <w:right w:val="none" w:sz="0" w:space="0" w:color="auto"/>
          </w:divBdr>
        </w:div>
        <w:div w:id="666636429">
          <w:marLeft w:val="640"/>
          <w:marRight w:val="0"/>
          <w:marTop w:val="0"/>
          <w:marBottom w:val="0"/>
          <w:divBdr>
            <w:top w:val="none" w:sz="0" w:space="0" w:color="auto"/>
            <w:left w:val="none" w:sz="0" w:space="0" w:color="auto"/>
            <w:bottom w:val="none" w:sz="0" w:space="0" w:color="auto"/>
            <w:right w:val="none" w:sz="0" w:space="0" w:color="auto"/>
          </w:divBdr>
        </w:div>
        <w:div w:id="1168134151">
          <w:marLeft w:val="640"/>
          <w:marRight w:val="0"/>
          <w:marTop w:val="0"/>
          <w:marBottom w:val="0"/>
          <w:divBdr>
            <w:top w:val="none" w:sz="0" w:space="0" w:color="auto"/>
            <w:left w:val="none" w:sz="0" w:space="0" w:color="auto"/>
            <w:bottom w:val="none" w:sz="0" w:space="0" w:color="auto"/>
            <w:right w:val="none" w:sz="0" w:space="0" w:color="auto"/>
          </w:divBdr>
        </w:div>
        <w:div w:id="1354576167">
          <w:marLeft w:val="640"/>
          <w:marRight w:val="0"/>
          <w:marTop w:val="0"/>
          <w:marBottom w:val="0"/>
          <w:divBdr>
            <w:top w:val="none" w:sz="0" w:space="0" w:color="auto"/>
            <w:left w:val="none" w:sz="0" w:space="0" w:color="auto"/>
            <w:bottom w:val="none" w:sz="0" w:space="0" w:color="auto"/>
            <w:right w:val="none" w:sz="0" w:space="0" w:color="auto"/>
          </w:divBdr>
        </w:div>
        <w:div w:id="2074690637">
          <w:marLeft w:val="640"/>
          <w:marRight w:val="0"/>
          <w:marTop w:val="0"/>
          <w:marBottom w:val="0"/>
          <w:divBdr>
            <w:top w:val="none" w:sz="0" w:space="0" w:color="auto"/>
            <w:left w:val="none" w:sz="0" w:space="0" w:color="auto"/>
            <w:bottom w:val="none" w:sz="0" w:space="0" w:color="auto"/>
            <w:right w:val="none" w:sz="0" w:space="0" w:color="auto"/>
          </w:divBdr>
        </w:div>
        <w:div w:id="1369915230">
          <w:marLeft w:val="640"/>
          <w:marRight w:val="0"/>
          <w:marTop w:val="0"/>
          <w:marBottom w:val="0"/>
          <w:divBdr>
            <w:top w:val="none" w:sz="0" w:space="0" w:color="auto"/>
            <w:left w:val="none" w:sz="0" w:space="0" w:color="auto"/>
            <w:bottom w:val="none" w:sz="0" w:space="0" w:color="auto"/>
            <w:right w:val="none" w:sz="0" w:space="0" w:color="auto"/>
          </w:divBdr>
        </w:div>
        <w:div w:id="1656763212">
          <w:marLeft w:val="640"/>
          <w:marRight w:val="0"/>
          <w:marTop w:val="0"/>
          <w:marBottom w:val="0"/>
          <w:divBdr>
            <w:top w:val="none" w:sz="0" w:space="0" w:color="auto"/>
            <w:left w:val="none" w:sz="0" w:space="0" w:color="auto"/>
            <w:bottom w:val="none" w:sz="0" w:space="0" w:color="auto"/>
            <w:right w:val="none" w:sz="0" w:space="0" w:color="auto"/>
          </w:divBdr>
        </w:div>
        <w:div w:id="922691112">
          <w:marLeft w:val="640"/>
          <w:marRight w:val="0"/>
          <w:marTop w:val="0"/>
          <w:marBottom w:val="0"/>
          <w:divBdr>
            <w:top w:val="none" w:sz="0" w:space="0" w:color="auto"/>
            <w:left w:val="none" w:sz="0" w:space="0" w:color="auto"/>
            <w:bottom w:val="none" w:sz="0" w:space="0" w:color="auto"/>
            <w:right w:val="none" w:sz="0" w:space="0" w:color="auto"/>
          </w:divBdr>
        </w:div>
        <w:div w:id="1459756656">
          <w:marLeft w:val="640"/>
          <w:marRight w:val="0"/>
          <w:marTop w:val="0"/>
          <w:marBottom w:val="0"/>
          <w:divBdr>
            <w:top w:val="none" w:sz="0" w:space="0" w:color="auto"/>
            <w:left w:val="none" w:sz="0" w:space="0" w:color="auto"/>
            <w:bottom w:val="none" w:sz="0" w:space="0" w:color="auto"/>
            <w:right w:val="none" w:sz="0" w:space="0" w:color="auto"/>
          </w:divBdr>
        </w:div>
        <w:div w:id="1729567369">
          <w:marLeft w:val="640"/>
          <w:marRight w:val="0"/>
          <w:marTop w:val="0"/>
          <w:marBottom w:val="0"/>
          <w:divBdr>
            <w:top w:val="none" w:sz="0" w:space="0" w:color="auto"/>
            <w:left w:val="none" w:sz="0" w:space="0" w:color="auto"/>
            <w:bottom w:val="none" w:sz="0" w:space="0" w:color="auto"/>
            <w:right w:val="none" w:sz="0" w:space="0" w:color="auto"/>
          </w:divBdr>
        </w:div>
        <w:div w:id="317464229">
          <w:marLeft w:val="640"/>
          <w:marRight w:val="0"/>
          <w:marTop w:val="0"/>
          <w:marBottom w:val="0"/>
          <w:divBdr>
            <w:top w:val="none" w:sz="0" w:space="0" w:color="auto"/>
            <w:left w:val="none" w:sz="0" w:space="0" w:color="auto"/>
            <w:bottom w:val="none" w:sz="0" w:space="0" w:color="auto"/>
            <w:right w:val="none" w:sz="0" w:space="0" w:color="auto"/>
          </w:divBdr>
        </w:div>
        <w:div w:id="1099255210">
          <w:marLeft w:val="640"/>
          <w:marRight w:val="0"/>
          <w:marTop w:val="0"/>
          <w:marBottom w:val="0"/>
          <w:divBdr>
            <w:top w:val="none" w:sz="0" w:space="0" w:color="auto"/>
            <w:left w:val="none" w:sz="0" w:space="0" w:color="auto"/>
            <w:bottom w:val="none" w:sz="0" w:space="0" w:color="auto"/>
            <w:right w:val="none" w:sz="0" w:space="0" w:color="auto"/>
          </w:divBdr>
        </w:div>
        <w:div w:id="698823910">
          <w:marLeft w:val="640"/>
          <w:marRight w:val="0"/>
          <w:marTop w:val="0"/>
          <w:marBottom w:val="0"/>
          <w:divBdr>
            <w:top w:val="none" w:sz="0" w:space="0" w:color="auto"/>
            <w:left w:val="none" w:sz="0" w:space="0" w:color="auto"/>
            <w:bottom w:val="none" w:sz="0" w:space="0" w:color="auto"/>
            <w:right w:val="none" w:sz="0" w:space="0" w:color="auto"/>
          </w:divBdr>
        </w:div>
        <w:div w:id="1533029494">
          <w:marLeft w:val="640"/>
          <w:marRight w:val="0"/>
          <w:marTop w:val="0"/>
          <w:marBottom w:val="0"/>
          <w:divBdr>
            <w:top w:val="none" w:sz="0" w:space="0" w:color="auto"/>
            <w:left w:val="none" w:sz="0" w:space="0" w:color="auto"/>
            <w:bottom w:val="none" w:sz="0" w:space="0" w:color="auto"/>
            <w:right w:val="none" w:sz="0" w:space="0" w:color="auto"/>
          </w:divBdr>
        </w:div>
        <w:div w:id="347369509">
          <w:marLeft w:val="640"/>
          <w:marRight w:val="0"/>
          <w:marTop w:val="0"/>
          <w:marBottom w:val="0"/>
          <w:divBdr>
            <w:top w:val="none" w:sz="0" w:space="0" w:color="auto"/>
            <w:left w:val="none" w:sz="0" w:space="0" w:color="auto"/>
            <w:bottom w:val="none" w:sz="0" w:space="0" w:color="auto"/>
            <w:right w:val="none" w:sz="0" w:space="0" w:color="auto"/>
          </w:divBdr>
        </w:div>
        <w:div w:id="561865377">
          <w:marLeft w:val="640"/>
          <w:marRight w:val="0"/>
          <w:marTop w:val="0"/>
          <w:marBottom w:val="0"/>
          <w:divBdr>
            <w:top w:val="none" w:sz="0" w:space="0" w:color="auto"/>
            <w:left w:val="none" w:sz="0" w:space="0" w:color="auto"/>
            <w:bottom w:val="none" w:sz="0" w:space="0" w:color="auto"/>
            <w:right w:val="none" w:sz="0" w:space="0" w:color="auto"/>
          </w:divBdr>
        </w:div>
        <w:div w:id="1211914346">
          <w:marLeft w:val="640"/>
          <w:marRight w:val="0"/>
          <w:marTop w:val="0"/>
          <w:marBottom w:val="0"/>
          <w:divBdr>
            <w:top w:val="none" w:sz="0" w:space="0" w:color="auto"/>
            <w:left w:val="none" w:sz="0" w:space="0" w:color="auto"/>
            <w:bottom w:val="none" w:sz="0" w:space="0" w:color="auto"/>
            <w:right w:val="none" w:sz="0" w:space="0" w:color="auto"/>
          </w:divBdr>
        </w:div>
        <w:div w:id="347103975">
          <w:marLeft w:val="640"/>
          <w:marRight w:val="0"/>
          <w:marTop w:val="0"/>
          <w:marBottom w:val="0"/>
          <w:divBdr>
            <w:top w:val="none" w:sz="0" w:space="0" w:color="auto"/>
            <w:left w:val="none" w:sz="0" w:space="0" w:color="auto"/>
            <w:bottom w:val="none" w:sz="0" w:space="0" w:color="auto"/>
            <w:right w:val="none" w:sz="0" w:space="0" w:color="auto"/>
          </w:divBdr>
        </w:div>
        <w:div w:id="1065761458">
          <w:marLeft w:val="640"/>
          <w:marRight w:val="0"/>
          <w:marTop w:val="0"/>
          <w:marBottom w:val="0"/>
          <w:divBdr>
            <w:top w:val="none" w:sz="0" w:space="0" w:color="auto"/>
            <w:left w:val="none" w:sz="0" w:space="0" w:color="auto"/>
            <w:bottom w:val="none" w:sz="0" w:space="0" w:color="auto"/>
            <w:right w:val="none" w:sz="0" w:space="0" w:color="auto"/>
          </w:divBdr>
        </w:div>
        <w:div w:id="2073189141">
          <w:marLeft w:val="640"/>
          <w:marRight w:val="0"/>
          <w:marTop w:val="0"/>
          <w:marBottom w:val="0"/>
          <w:divBdr>
            <w:top w:val="none" w:sz="0" w:space="0" w:color="auto"/>
            <w:left w:val="none" w:sz="0" w:space="0" w:color="auto"/>
            <w:bottom w:val="none" w:sz="0" w:space="0" w:color="auto"/>
            <w:right w:val="none" w:sz="0" w:space="0" w:color="auto"/>
          </w:divBdr>
        </w:div>
        <w:div w:id="9064643">
          <w:marLeft w:val="640"/>
          <w:marRight w:val="0"/>
          <w:marTop w:val="0"/>
          <w:marBottom w:val="0"/>
          <w:divBdr>
            <w:top w:val="none" w:sz="0" w:space="0" w:color="auto"/>
            <w:left w:val="none" w:sz="0" w:space="0" w:color="auto"/>
            <w:bottom w:val="none" w:sz="0" w:space="0" w:color="auto"/>
            <w:right w:val="none" w:sz="0" w:space="0" w:color="auto"/>
          </w:divBdr>
        </w:div>
        <w:div w:id="1970895573">
          <w:marLeft w:val="640"/>
          <w:marRight w:val="0"/>
          <w:marTop w:val="0"/>
          <w:marBottom w:val="0"/>
          <w:divBdr>
            <w:top w:val="none" w:sz="0" w:space="0" w:color="auto"/>
            <w:left w:val="none" w:sz="0" w:space="0" w:color="auto"/>
            <w:bottom w:val="none" w:sz="0" w:space="0" w:color="auto"/>
            <w:right w:val="none" w:sz="0" w:space="0" w:color="auto"/>
          </w:divBdr>
        </w:div>
        <w:div w:id="1540127088">
          <w:marLeft w:val="640"/>
          <w:marRight w:val="0"/>
          <w:marTop w:val="0"/>
          <w:marBottom w:val="0"/>
          <w:divBdr>
            <w:top w:val="none" w:sz="0" w:space="0" w:color="auto"/>
            <w:left w:val="none" w:sz="0" w:space="0" w:color="auto"/>
            <w:bottom w:val="none" w:sz="0" w:space="0" w:color="auto"/>
            <w:right w:val="none" w:sz="0" w:space="0" w:color="auto"/>
          </w:divBdr>
        </w:div>
        <w:div w:id="991366773">
          <w:marLeft w:val="640"/>
          <w:marRight w:val="0"/>
          <w:marTop w:val="0"/>
          <w:marBottom w:val="0"/>
          <w:divBdr>
            <w:top w:val="none" w:sz="0" w:space="0" w:color="auto"/>
            <w:left w:val="none" w:sz="0" w:space="0" w:color="auto"/>
            <w:bottom w:val="none" w:sz="0" w:space="0" w:color="auto"/>
            <w:right w:val="none" w:sz="0" w:space="0" w:color="auto"/>
          </w:divBdr>
        </w:div>
        <w:div w:id="348216569">
          <w:marLeft w:val="640"/>
          <w:marRight w:val="0"/>
          <w:marTop w:val="0"/>
          <w:marBottom w:val="0"/>
          <w:divBdr>
            <w:top w:val="none" w:sz="0" w:space="0" w:color="auto"/>
            <w:left w:val="none" w:sz="0" w:space="0" w:color="auto"/>
            <w:bottom w:val="none" w:sz="0" w:space="0" w:color="auto"/>
            <w:right w:val="none" w:sz="0" w:space="0" w:color="auto"/>
          </w:divBdr>
        </w:div>
        <w:div w:id="2051688330">
          <w:marLeft w:val="640"/>
          <w:marRight w:val="0"/>
          <w:marTop w:val="0"/>
          <w:marBottom w:val="0"/>
          <w:divBdr>
            <w:top w:val="none" w:sz="0" w:space="0" w:color="auto"/>
            <w:left w:val="none" w:sz="0" w:space="0" w:color="auto"/>
            <w:bottom w:val="none" w:sz="0" w:space="0" w:color="auto"/>
            <w:right w:val="none" w:sz="0" w:space="0" w:color="auto"/>
          </w:divBdr>
        </w:div>
        <w:div w:id="437221114">
          <w:marLeft w:val="640"/>
          <w:marRight w:val="0"/>
          <w:marTop w:val="0"/>
          <w:marBottom w:val="0"/>
          <w:divBdr>
            <w:top w:val="none" w:sz="0" w:space="0" w:color="auto"/>
            <w:left w:val="none" w:sz="0" w:space="0" w:color="auto"/>
            <w:bottom w:val="none" w:sz="0" w:space="0" w:color="auto"/>
            <w:right w:val="none" w:sz="0" w:space="0" w:color="auto"/>
          </w:divBdr>
        </w:div>
        <w:div w:id="840658561">
          <w:marLeft w:val="640"/>
          <w:marRight w:val="0"/>
          <w:marTop w:val="0"/>
          <w:marBottom w:val="0"/>
          <w:divBdr>
            <w:top w:val="none" w:sz="0" w:space="0" w:color="auto"/>
            <w:left w:val="none" w:sz="0" w:space="0" w:color="auto"/>
            <w:bottom w:val="none" w:sz="0" w:space="0" w:color="auto"/>
            <w:right w:val="none" w:sz="0" w:space="0" w:color="auto"/>
          </w:divBdr>
        </w:div>
        <w:div w:id="769200169">
          <w:marLeft w:val="640"/>
          <w:marRight w:val="0"/>
          <w:marTop w:val="0"/>
          <w:marBottom w:val="0"/>
          <w:divBdr>
            <w:top w:val="none" w:sz="0" w:space="0" w:color="auto"/>
            <w:left w:val="none" w:sz="0" w:space="0" w:color="auto"/>
            <w:bottom w:val="none" w:sz="0" w:space="0" w:color="auto"/>
            <w:right w:val="none" w:sz="0" w:space="0" w:color="auto"/>
          </w:divBdr>
        </w:div>
        <w:div w:id="1333216316">
          <w:marLeft w:val="640"/>
          <w:marRight w:val="0"/>
          <w:marTop w:val="0"/>
          <w:marBottom w:val="0"/>
          <w:divBdr>
            <w:top w:val="none" w:sz="0" w:space="0" w:color="auto"/>
            <w:left w:val="none" w:sz="0" w:space="0" w:color="auto"/>
            <w:bottom w:val="none" w:sz="0" w:space="0" w:color="auto"/>
            <w:right w:val="none" w:sz="0" w:space="0" w:color="auto"/>
          </w:divBdr>
        </w:div>
        <w:div w:id="2042394605">
          <w:marLeft w:val="640"/>
          <w:marRight w:val="0"/>
          <w:marTop w:val="0"/>
          <w:marBottom w:val="0"/>
          <w:divBdr>
            <w:top w:val="none" w:sz="0" w:space="0" w:color="auto"/>
            <w:left w:val="none" w:sz="0" w:space="0" w:color="auto"/>
            <w:bottom w:val="none" w:sz="0" w:space="0" w:color="auto"/>
            <w:right w:val="none" w:sz="0" w:space="0" w:color="auto"/>
          </w:divBdr>
        </w:div>
        <w:div w:id="392125026">
          <w:marLeft w:val="640"/>
          <w:marRight w:val="0"/>
          <w:marTop w:val="0"/>
          <w:marBottom w:val="0"/>
          <w:divBdr>
            <w:top w:val="none" w:sz="0" w:space="0" w:color="auto"/>
            <w:left w:val="none" w:sz="0" w:space="0" w:color="auto"/>
            <w:bottom w:val="none" w:sz="0" w:space="0" w:color="auto"/>
            <w:right w:val="none" w:sz="0" w:space="0" w:color="auto"/>
          </w:divBdr>
        </w:div>
        <w:div w:id="479226011">
          <w:marLeft w:val="640"/>
          <w:marRight w:val="0"/>
          <w:marTop w:val="0"/>
          <w:marBottom w:val="0"/>
          <w:divBdr>
            <w:top w:val="none" w:sz="0" w:space="0" w:color="auto"/>
            <w:left w:val="none" w:sz="0" w:space="0" w:color="auto"/>
            <w:bottom w:val="none" w:sz="0" w:space="0" w:color="auto"/>
            <w:right w:val="none" w:sz="0" w:space="0" w:color="auto"/>
          </w:divBdr>
        </w:div>
        <w:div w:id="550192236">
          <w:marLeft w:val="640"/>
          <w:marRight w:val="0"/>
          <w:marTop w:val="0"/>
          <w:marBottom w:val="0"/>
          <w:divBdr>
            <w:top w:val="none" w:sz="0" w:space="0" w:color="auto"/>
            <w:left w:val="none" w:sz="0" w:space="0" w:color="auto"/>
            <w:bottom w:val="none" w:sz="0" w:space="0" w:color="auto"/>
            <w:right w:val="none" w:sz="0" w:space="0" w:color="auto"/>
          </w:divBdr>
        </w:div>
        <w:div w:id="368578482">
          <w:marLeft w:val="640"/>
          <w:marRight w:val="0"/>
          <w:marTop w:val="0"/>
          <w:marBottom w:val="0"/>
          <w:divBdr>
            <w:top w:val="none" w:sz="0" w:space="0" w:color="auto"/>
            <w:left w:val="none" w:sz="0" w:space="0" w:color="auto"/>
            <w:bottom w:val="none" w:sz="0" w:space="0" w:color="auto"/>
            <w:right w:val="none" w:sz="0" w:space="0" w:color="auto"/>
          </w:divBdr>
        </w:div>
        <w:div w:id="947465037">
          <w:marLeft w:val="640"/>
          <w:marRight w:val="0"/>
          <w:marTop w:val="0"/>
          <w:marBottom w:val="0"/>
          <w:divBdr>
            <w:top w:val="none" w:sz="0" w:space="0" w:color="auto"/>
            <w:left w:val="none" w:sz="0" w:space="0" w:color="auto"/>
            <w:bottom w:val="none" w:sz="0" w:space="0" w:color="auto"/>
            <w:right w:val="none" w:sz="0" w:space="0" w:color="auto"/>
          </w:divBdr>
        </w:div>
        <w:div w:id="31196064">
          <w:marLeft w:val="640"/>
          <w:marRight w:val="0"/>
          <w:marTop w:val="0"/>
          <w:marBottom w:val="0"/>
          <w:divBdr>
            <w:top w:val="none" w:sz="0" w:space="0" w:color="auto"/>
            <w:left w:val="none" w:sz="0" w:space="0" w:color="auto"/>
            <w:bottom w:val="none" w:sz="0" w:space="0" w:color="auto"/>
            <w:right w:val="none" w:sz="0" w:space="0" w:color="auto"/>
          </w:divBdr>
        </w:div>
        <w:div w:id="2018729176">
          <w:marLeft w:val="640"/>
          <w:marRight w:val="0"/>
          <w:marTop w:val="0"/>
          <w:marBottom w:val="0"/>
          <w:divBdr>
            <w:top w:val="none" w:sz="0" w:space="0" w:color="auto"/>
            <w:left w:val="none" w:sz="0" w:space="0" w:color="auto"/>
            <w:bottom w:val="none" w:sz="0" w:space="0" w:color="auto"/>
            <w:right w:val="none" w:sz="0" w:space="0" w:color="auto"/>
          </w:divBdr>
        </w:div>
        <w:div w:id="1369644302">
          <w:marLeft w:val="640"/>
          <w:marRight w:val="0"/>
          <w:marTop w:val="0"/>
          <w:marBottom w:val="0"/>
          <w:divBdr>
            <w:top w:val="none" w:sz="0" w:space="0" w:color="auto"/>
            <w:left w:val="none" w:sz="0" w:space="0" w:color="auto"/>
            <w:bottom w:val="none" w:sz="0" w:space="0" w:color="auto"/>
            <w:right w:val="none" w:sz="0" w:space="0" w:color="auto"/>
          </w:divBdr>
        </w:div>
        <w:div w:id="770130019">
          <w:marLeft w:val="640"/>
          <w:marRight w:val="0"/>
          <w:marTop w:val="0"/>
          <w:marBottom w:val="0"/>
          <w:divBdr>
            <w:top w:val="none" w:sz="0" w:space="0" w:color="auto"/>
            <w:left w:val="none" w:sz="0" w:space="0" w:color="auto"/>
            <w:bottom w:val="none" w:sz="0" w:space="0" w:color="auto"/>
            <w:right w:val="none" w:sz="0" w:space="0" w:color="auto"/>
          </w:divBdr>
        </w:div>
        <w:div w:id="2094278858">
          <w:marLeft w:val="640"/>
          <w:marRight w:val="0"/>
          <w:marTop w:val="0"/>
          <w:marBottom w:val="0"/>
          <w:divBdr>
            <w:top w:val="none" w:sz="0" w:space="0" w:color="auto"/>
            <w:left w:val="none" w:sz="0" w:space="0" w:color="auto"/>
            <w:bottom w:val="none" w:sz="0" w:space="0" w:color="auto"/>
            <w:right w:val="none" w:sz="0" w:space="0" w:color="auto"/>
          </w:divBdr>
        </w:div>
        <w:div w:id="1652060442">
          <w:marLeft w:val="640"/>
          <w:marRight w:val="0"/>
          <w:marTop w:val="0"/>
          <w:marBottom w:val="0"/>
          <w:divBdr>
            <w:top w:val="none" w:sz="0" w:space="0" w:color="auto"/>
            <w:left w:val="none" w:sz="0" w:space="0" w:color="auto"/>
            <w:bottom w:val="none" w:sz="0" w:space="0" w:color="auto"/>
            <w:right w:val="none" w:sz="0" w:space="0" w:color="auto"/>
          </w:divBdr>
        </w:div>
        <w:div w:id="272176374">
          <w:marLeft w:val="640"/>
          <w:marRight w:val="0"/>
          <w:marTop w:val="0"/>
          <w:marBottom w:val="0"/>
          <w:divBdr>
            <w:top w:val="none" w:sz="0" w:space="0" w:color="auto"/>
            <w:left w:val="none" w:sz="0" w:space="0" w:color="auto"/>
            <w:bottom w:val="none" w:sz="0" w:space="0" w:color="auto"/>
            <w:right w:val="none" w:sz="0" w:space="0" w:color="auto"/>
          </w:divBdr>
        </w:div>
        <w:div w:id="370763560">
          <w:marLeft w:val="640"/>
          <w:marRight w:val="0"/>
          <w:marTop w:val="0"/>
          <w:marBottom w:val="0"/>
          <w:divBdr>
            <w:top w:val="none" w:sz="0" w:space="0" w:color="auto"/>
            <w:left w:val="none" w:sz="0" w:space="0" w:color="auto"/>
            <w:bottom w:val="none" w:sz="0" w:space="0" w:color="auto"/>
            <w:right w:val="none" w:sz="0" w:space="0" w:color="auto"/>
          </w:divBdr>
        </w:div>
        <w:div w:id="1407145497">
          <w:marLeft w:val="640"/>
          <w:marRight w:val="0"/>
          <w:marTop w:val="0"/>
          <w:marBottom w:val="0"/>
          <w:divBdr>
            <w:top w:val="none" w:sz="0" w:space="0" w:color="auto"/>
            <w:left w:val="none" w:sz="0" w:space="0" w:color="auto"/>
            <w:bottom w:val="none" w:sz="0" w:space="0" w:color="auto"/>
            <w:right w:val="none" w:sz="0" w:space="0" w:color="auto"/>
          </w:divBdr>
        </w:div>
        <w:div w:id="2004890751">
          <w:marLeft w:val="640"/>
          <w:marRight w:val="0"/>
          <w:marTop w:val="0"/>
          <w:marBottom w:val="0"/>
          <w:divBdr>
            <w:top w:val="none" w:sz="0" w:space="0" w:color="auto"/>
            <w:left w:val="none" w:sz="0" w:space="0" w:color="auto"/>
            <w:bottom w:val="none" w:sz="0" w:space="0" w:color="auto"/>
            <w:right w:val="none" w:sz="0" w:space="0" w:color="auto"/>
          </w:divBdr>
        </w:div>
        <w:div w:id="1071389287">
          <w:marLeft w:val="640"/>
          <w:marRight w:val="0"/>
          <w:marTop w:val="0"/>
          <w:marBottom w:val="0"/>
          <w:divBdr>
            <w:top w:val="none" w:sz="0" w:space="0" w:color="auto"/>
            <w:left w:val="none" w:sz="0" w:space="0" w:color="auto"/>
            <w:bottom w:val="none" w:sz="0" w:space="0" w:color="auto"/>
            <w:right w:val="none" w:sz="0" w:space="0" w:color="auto"/>
          </w:divBdr>
        </w:div>
        <w:div w:id="108547912">
          <w:marLeft w:val="640"/>
          <w:marRight w:val="0"/>
          <w:marTop w:val="0"/>
          <w:marBottom w:val="0"/>
          <w:divBdr>
            <w:top w:val="none" w:sz="0" w:space="0" w:color="auto"/>
            <w:left w:val="none" w:sz="0" w:space="0" w:color="auto"/>
            <w:bottom w:val="none" w:sz="0" w:space="0" w:color="auto"/>
            <w:right w:val="none" w:sz="0" w:space="0" w:color="auto"/>
          </w:divBdr>
        </w:div>
        <w:div w:id="1889149279">
          <w:marLeft w:val="640"/>
          <w:marRight w:val="0"/>
          <w:marTop w:val="0"/>
          <w:marBottom w:val="0"/>
          <w:divBdr>
            <w:top w:val="none" w:sz="0" w:space="0" w:color="auto"/>
            <w:left w:val="none" w:sz="0" w:space="0" w:color="auto"/>
            <w:bottom w:val="none" w:sz="0" w:space="0" w:color="auto"/>
            <w:right w:val="none" w:sz="0" w:space="0" w:color="auto"/>
          </w:divBdr>
        </w:div>
        <w:div w:id="1371300666">
          <w:marLeft w:val="640"/>
          <w:marRight w:val="0"/>
          <w:marTop w:val="0"/>
          <w:marBottom w:val="0"/>
          <w:divBdr>
            <w:top w:val="none" w:sz="0" w:space="0" w:color="auto"/>
            <w:left w:val="none" w:sz="0" w:space="0" w:color="auto"/>
            <w:bottom w:val="none" w:sz="0" w:space="0" w:color="auto"/>
            <w:right w:val="none" w:sz="0" w:space="0" w:color="auto"/>
          </w:divBdr>
        </w:div>
        <w:div w:id="719212436">
          <w:marLeft w:val="640"/>
          <w:marRight w:val="0"/>
          <w:marTop w:val="0"/>
          <w:marBottom w:val="0"/>
          <w:divBdr>
            <w:top w:val="none" w:sz="0" w:space="0" w:color="auto"/>
            <w:left w:val="none" w:sz="0" w:space="0" w:color="auto"/>
            <w:bottom w:val="none" w:sz="0" w:space="0" w:color="auto"/>
            <w:right w:val="none" w:sz="0" w:space="0" w:color="auto"/>
          </w:divBdr>
        </w:div>
        <w:div w:id="169608752">
          <w:marLeft w:val="640"/>
          <w:marRight w:val="0"/>
          <w:marTop w:val="0"/>
          <w:marBottom w:val="0"/>
          <w:divBdr>
            <w:top w:val="none" w:sz="0" w:space="0" w:color="auto"/>
            <w:left w:val="none" w:sz="0" w:space="0" w:color="auto"/>
            <w:bottom w:val="none" w:sz="0" w:space="0" w:color="auto"/>
            <w:right w:val="none" w:sz="0" w:space="0" w:color="auto"/>
          </w:divBdr>
        </w:div>
        <w:div w:id="717556786">
          <w:marLeft w:val="640"/>
          <w:marRight w:val="0"/>
          <w:marTop w:val="0"/>
          <w:marBottom w:val="0"/>
          <w:divBdr>
            <w:top w:val="none" w:sz="0" w:space="0" w:color="auto"/>
            <w:left w:val="none" w:sz="0" w:space="0" w:color="auto"/>
            <w:bottom w:val="none" w:sz="0" w:space="0" w:color="auto"/>
            <w:right w:val="none" w:sz="0" w:space="0" w:color="auto"/>
          </w:divBdr>
        </w:div>
        <w:div w:id="945651201">
          <w:marLeft w:val="640"/>
          <w:marRight w:val="0"/>
          <w:marTop w:val="0"/>
          <w:marBottom w:val="0"/>
          <w:divBdr>
            <w:top w:val="none" w:sz="0" w:space="0" w:color="auto"/>
            <w:left w:val="none" w:sz="0" w:space="0" w:color="auto"/>
            <w:bottom w:val="none" w:sz="0" w:space="0" w:color="auto"/>
            <w:right w:val="none" w:sz="0" w:space="0" w:color="auto"/>
          </w:divBdr>
        </w:div>
        <w:div w:id="847213477">
          <w:marLeft w:val="640"/>
          <w:marRight w:val="0"/>
          <w:marTop w:val="0"/>
          <w:marBottom w:val="0"/>
          <w:divBdr>
            <w:top w:val="none" w:sz="0" w:space="0" w:color="auto"/>
            <w:left w:val="none" w:sz="0" w:space="0" w:color="auto"/>
            <w:bottom w:val="none" w:sz="0" w:space="0" w:color="auto"/>
            <w:right w:val="none" w:sz="0" w:space="0" w:color="auto"/>
          </w:divBdr>
        </w:div>
        <w:div w:id="894974781">
          <w:marLeft w:val="640"/>
          <w:marRight w:val="0"/>
          <w:marTop w:val="0"/>
          <w:marBottom w:val="0"/>
          <w:divBdr>
            <w:top w:val="none" w:sz="0" w:space="0" w:color="auto"/>
            <w:left w:val="none" w:sz="0" w:space="0" w:color="auto"/>
            <w:bottom w:val="none" w:sz="0" w:space="0" w:color="auto"/>
            <w:right w:val="none" w:sz="0" w:space="0" w:color="auto"/>
          </w:divBdr>
        </w:div>
        <w:div w:id="1336108320">
          <w:marLeft w:val="640"/>
          <w:marRight w:val="0"/>
          <w:marTop w:val="0"/>
          <w:marBottom w:val="0"/>
          <w:divBdr>
            <w:top w:val="none" w:sz="0" w:space="0" w:color="auto"/>
            <w:left w:val="none" w:sz="0" w:space="0" w:color="auto"/>
            <w:bottom w:val="none" w:sz="0" w:space="0" w:color="auto"/>
            <w:right w:val="none" w:sz="0" w:space="0" w:color="auto"/>
          </w:divBdr>
        </w:div>
        <w:div w:id="1152525794">
          <w:marLeft w:val="640"/>
          <w:marRight w:val="0"/>
          <w:marTop w:val="0"/>
          <w:marBottom w:val="0"/>
          <w:divBdr>
            <w:top w:val="none" w:sz="0" w:space="0" w:color="auto"/>
            <w:left w:val="none" w:sz="0" w:space="0" w:color="auto"/>
            <w:bottom w:val="none" w:sz="0" w:space="0" w:color="auto"/>
            <w:right w:val="none" w:sz="0" w:space="0" w:color="auto"/>
          </w:divBdr>
        </w:div>
        <w:div w:id="1643382784">
          <w:marLeft w:val="640"/>
          <w:marRight w:val="0"/>
          <w:marTop w:val="0"/>
          <w:marBottom w:val="0"/>
          <w:divBdr>
            <w:top w:val="none" w:sz="0" w:space="0" w:color="auto"/>
            <w:left w:val="none" w:sz="0" w:space="0" w:color="auto"/>
            <w:bottom w:val="none" w:sz="0" w:space="0" w:color="auto"/>
            <w:right w:val="none" w:sz="0" w:space="0" w:color="auto"/>
          </w:divBdr>
        </w:div>
        <w:div w:id="2024504786">
          <w:marLeft w:val="640"/>
          <w:marRight w:val="0"/>
          <w:marTop w:val="0"/>
          <w:marBottom w:val="0"/>
          <w:divBdr>
            <w:top w:val="none" w:sz="0" w:space="0" w:color="auto"/>
            <w:left w:val="none" w:sz="0" w:space="0" w:color="auto"/>
            <w:bottom w:val="none" w:sz="0" w:space="0" w:color="auto"/>
            <w:right w:val="none" w:sz="0" w:space="0" w:color="auto"/>
          </w:divBdr>
        </w:div>
        <w:div w:id="399524942">
          <w:marLeft w:val="640"/>
          <w:marRight w:val="0"/>
          <w:marTop w:val="0"/>
          <w:marBottom w:val="0"/>
          <w:divBdr>
            <w:top w:val="none" w:sz="0" w:space="0" w:color="auto"/>
            <w:left w:val="none" w:sz="0" w:space="0" w:color="auto"/>
            <w:bottom w:val="none" w:sz="0" w:space="0" w:color="auto"/>
            <w:right w:val="none" w:sz="0" w:space="0" w:color="auto"/>
          </w:divBdr>
        </w:div>
        <w:div w:id="1238438417">
          <w:marLeft w:val="640"/>
          <w:marRight w:val="0"/>
          <w:marTop w:val="0"/>
          <w:marBottom w:val="0"/>
          <w:divBdr>
            <w:top w:val="none" w:sz="0" w:space="0" w:color="auto"/>
            <w:left w:val="none" w:sz="0" w:space="0" w:color="auto"/>
            <w:bottom w:val="none" w:sz="0" w:space="0" w:color="auto"/>
            <w:right w:val="none" w:sz="0" w:space="0" w:color="auto"/>
          </w:divBdr>
        </w:div>
        <w:div w:id="1952735390">
          <w:marLeft w:val="640"/>
          <w:marRight w:val="0"/>
          <w:marTop w:val="0"/>
          <w:marBottom w:val="0"/>
          <w:divBdr>
            <w:top w:val="none" w:sz="0" w:space="0" w:color="auto"/>
            <w:left w:val="none" w:sz="0" w:space="0" w:color="auto"/>
            <w:bottom w:val="none" w:sz="0" w:space="0" w:color="auto"/>
            <w:right w:val="none" w:sz="0" w:space="0" w:color="auto"/>
          </w:divBdr>
        </w:div>
        <w:div w:id="2106228171">
          <w:marLeft w:val="640"/>
          <w:marRight w:val="0"/>
          <w:marTop w:val="0"/>
          <w:marBottom w:val="0"/>
          <w:divBdr>
            <w:top w:val="none" w:sz="0" w:space="0" w:color="auto"/>
            <w:left w:val="none" w:sz="0" w:space="0" w:color="auto"/>
            <w:bottom w:val="none" w:sz="0" w:space="0" w:color="auto"/>
            <w:right w:val="none" w:sz="0" w:space="0" w:color="auto"/>
          </w:divBdr>
        </w:div>
        <w:div w:id="1890724794">
          <w:marLeft w:val="640"/>
          <w:marRight w:val="0"/>
          <w:marTop w:val="0"/>
          <w:marBottom w:val="0"/>
          <w:divBdr>
            <w:top w:val="none" w:sz="0" w:space="0" w:color="auto"/>
            <w:left w:val="none" w:sz="0" w:space="0" w:color="auto"/>
            <w:bottom w:val="none" w:sz="0" w:space="0" w:color="auto"/>
            <w:right w:val="none" w:sz="0" w:space="0" w:color="auto"/>
          </w:divBdr>
        </w:div>
        <w:div w:id="360975418">
          <w:marLeft w:val="640"/>
          <w:marRight w:val="0"/>
          <w:marTop w:val="0"/>
          <w:marBottom w:val="0"/>
          <w:divBdr>
            <w:top w:val="none" w:sz="0" w:space="0" w:color="auto"/>
            <w:left w:val="none" w:sz="0" w:space="0" w:color="auto"/>
            <w:bottom w:val="none" w:sz="0" w:space="0" w:color="auto"/>
            <w:right w:val="none" w:sz="0" w:space="0" w:color="auto"/>
          </w:divBdr>
        </w:div>
        <w:div w:id="445080591">
          <w:marLeft w:val="640"/>
          <w:marRight w:val="0"/>
          <w:marTop w:val="0"/>
          <w:marBottom w:val="0"/>
          <w:divBdr>
            <w:top w:val="none" w:sz="0" w:space="0" w:color="auto"/>
            <w:left w:val="none" w:sz="0" w:space="0" w:color="auto"/>
            <w:bottom w:val="none" w:sz="0" w:space="0" w:color="auto"/>
            <w:right w:val="none" w:sz="0" w:space="0" w:color="auto"/>
          </w:divBdr>
        </w:div>
        <w:div w:id="377781558">
          <w:marLeft w:val="640"/>
          <w:marRight w:val="0"/>
          <w:marTop w:val="0"/>
          <w:marBottom w:val="0"/>
          <w:divBdr>
            <w:top w:val="none" w:sz="0" w:space="0" w:color="auto"/>
            <w:left w:val="none" w:sz="0" w:space="0" w:color="auto"/>
            <w:bottom w:val="none" w:sz="0" w:space="0" w:color="auto"/>
            <w:right w:val="none" w:sz="0" w:space="0" w:color="auto"/>
          </w:divBdr>
        </w:div>
        <w:div w:id="24141602">
          <w:marLeft w:val="640"/>
          <w:marRight w:val="0"/>
          <w:marTop w:val="0"/>
          <w:marBottom w:val="0"/>
          <w:divBdr>
            <w:top w:val="none" w:sz="0" w:space="0" w:color="auto"/>
            <w:left w:val="none" w:sz="0" w:space="0" w:color="auto"/>
            <w:bottom w:val="none" w:sz="0" w:space="0" w:color="auto"/>
            <w:right w:val="none" w:sz="0" w:space="0" w:color="auto"/>
          </w:divBdr>
        </w:div>
        <w:div w:id="1454247286">
          <w:marLeft w:val="640"/>
          <w:marRight w:val="0"/>
          <w:marTop w:val="0"/>
          <w:marBottom w:val="0"/>
          <w:divBdr>
            <w:top w:val="none" w:sz="0" w:space="0" w:color="auto"/>
            <w:left w:val="none" w:sz="0" w:space="0" w:color="auto"/>
            <w:bottom w:val="none" w:sz="0" w:space="0" w:color="auto"/>
            <w:right w:val="none" w:sz="0" w:space="0" w:color="auto"/>
          </w:divBdr>
        </w:div>
        <w:div w:id="690452368">
          <w:marLeft w:val="640"/>
          <w:marRight w:val="0"/>
          <w:marTop w:val="0"/>
          <w:marBottom w:val="0"/>
          <w:divBdr>
            <w:top w:val="none" w:sz="0" w:space="0" w:color="auto"/>
            <w:left w:val="none" w:sz="0" w:space="0" w:color="auto"/>
            <w:bottom w:val="none" w:sz="0" w:space="0" w:color="auto"/>
            <w:right w:val="none" w:sz="0" w:space="0" w:color="auto"/>
          </w:divBdr>
        </w:div>
        <w:div w:id="1988392404">
          <w:marLeft w:val="640"/>
          <w:marRight w:val="0"/>
          <w:marTop w:val="0"/>
          <w:marBottom w:val="0"/>
          <w:divBdr>
            <w:top w:val="none" w:sz="0" w:space="0" w:color="auto"/>
            <w:left w:val="none" w:sz="0" w:space="0" w:color="auto"/>
            <w:bottom w:val="none" w:sz="0" w:space="0" w:color="auto"/>
            <w:right w:val="none" w:sz="0" w:space="0" w:color="auto"/>
          </w:divBdr>
        </w:div>
        <w:div w:id="182011746">
          <w:marLeft w:val="640"/>
          <w:marRight w:val="0"/>
          <w:marTop w:val="0"/>
          <w:marBottom w:val="0"/>
          <w:divBdr>
            <w:top w:val="none" w:sz="0" w:space="0" w:color="auto"/>
            <w:left w:val="none" w:sz="0" w:space="0" w:color="auto"/>
            <w:bottom w:val="none" w:sz="0" w:space="0" w:color="auto"/>
            <w:right w:val="none" w:sz="0" w:space="0" w:color="auto"/>
          </w:divBdr>
        </w:div>
        <w:div w:id="1115714337">
          <w:marLeft w:val="640"/>
          <w:marRight w:val="0"/>
          <w:marTop w:val="0"/>
          <w:marBottom w:val="0"/>
          <w:divBdr>
            <w:top w:val="none" w:sz="0" w:space="0" w:color="auto"/>
            <w:left w:val="none" w:sz="0" w:space="0" w:color="auto"/>
            <w:bottom w:val="none" w:sz="0" w:space="0" w:color="auto"/>
            <w:right w:val="none" w:sz="0" w:space="0" w:color="auto"/>
          </w:divBdr>
        </w:div>
        <w:div w:id="32921330">
          <w:marLeft w:val="640"/>
          <w:marRight w:val="0"/>
          <w:marTop w:val="0"/>
          <w:marBottom w:val="0"/>
          <w:divBdr>
            <w:top w:val="none" w:sz="0" w:space="0" w:color="auto"/>
            <w:left w:val="none" w:sz="0" w:space="0" w:color="auto"/>
            <w:bottom w:val="none" w:sz="0" w:space="0" w:color="auto"/>
            <w:right w:val="none" w:sz="0" w:space="0" w:color="auto"/>
          </w:divBdr>
        </w:div>
        <w:div w:id="1879006961">
          <w:marLeft w:val="640"/>
          <w:marRight w:val="0"/>
          <w:marTop w:val="0"/>
          <w:marBottom w:val="0"/>
          <w:divBdr>
            <w:top w:val="none" w:sz="0" w:space="0" w:color="auto"/>
            <w:left w:val="none" w:sz="0" w:space="0" w:color="auto"/>
            <w:bottom w:val="none" w:sz="0" w:space="0" w:color="auto"/>
            <w:right w:val="none" w:sz="0" w:space="0" w:color="auto"/>
          </w:divBdr>
        </w:div>
        <w:div w:id="2118715497">
          <w:marLeft w:val="640"/>
          <w:marRight w:val="0"/>
          <w:marTop w:val="0"/>
          <w:marBottom w:val="0"/>
          <w:divBdr>
            <w:top w:val="none" w:sz="0" w:space="0" w:color="auto"/>
            <w:left w:val="none" w:sz="0" w:space="0" w:color="auto"/>
            <w:bottom w:val="none" w:sz="0" w:space="0" w:color="auto"/>
            <w:right w:val="none" w:sz="0" w:space="0" w:color="auto"/>
          </w:divBdr>
        </w:div>
        <w:div w:id="1882353974">
          <w:marLeft w:val="640"/>
          <w:marRight w:val="0"/>
          <w:marTop w:val="0"/>
          <w:marBottom w:val="0"/>
          <w:divBdr>
            <w:top w:val="none" w:sz="0" w:space="0" w:color="auto"/>
            <w:left w:val="none" w:sz="0" w:space="0" w:color="auto"/>
            <w:bottom w:val="none" w:sz="0" w:space="0" w:color="auto"/>
            <w:right w:val="none" w:sz="0" w:space="0" w:color="auto"/>
          </w:divBdr>
        </w:div>
        <w:div w:id="1016929578">
          <w:marLeft w:val="640"/>
          <w:marRight w:val="0"/>
          <w:marTop w:val="0"/>
          <w:marBottom w:val="0"/>
          <w:divBdr>
            <w:top w:val="none" w:sz="0" w:space="0" w:color="auto"/>
            <w:left w:val="none" w:sz="0" w:space="0" w:color="auto"/>
            <w:bottom w:val="none" w:sz="0" w:space="0" w:color="auto"/>
            <w:right w:val="none" w:sz="0" w:space="0" w:color="auto"/>
          </w:divBdr>
        </w:div>
        <w:div w:id="1678844411">
          <w:marLeft w:val="640"/>
          <w:marRight w:val="0"/>
          <w:marTop w:val="0"/>
          <w:marBottom w:val="0"/>
          <w:divBdr>
            <w:top w:val="none" w:sz="0" w:space="0" w:color="auto"/>
            <w:left w:val="none" w:sz="0" w:space="0" w:color="auto"/>
            <w:bottom w:val="none" w:sz="0" w:space="0" w:color="auto"/>
            <w:right w:val="none" w:sz="0" w:space="0" w:color="auto"/>
          </w:divBdr>
        </w:div>
        <w:div w:id="1308128192">
          <w:marLeft w:val="640"/>
          <w:marRight w:val="0"/>
          <w:marTop w:val="0"/>
          <w:marBottom w:val="0"/>
          <w:divBdr>
            <w:top w:val="none" w:sz="0" w:space="0" w:color="auto"/>
            <w:left w:val="none" w:sz="0" w:space="0" w:color="auto"/>
            <w:bottom w:val="none" w:sz="0" w:space="0" w:color="auto"/>
            <w:right w:val="none" w:sz="0" w:space="0" w:color="auto"/>
          </w:divBdr>
        </w:div>
        <w:div w:id="2058119098">
          <w:marLeft w:val="640"/>
          <w:marRight w:val="0"/>
          <w:marTop w:val="0"/>
          <w:marBottom w:val="0"/>
          <w:divBdr>
            <w:top w:val="none" w:sz="0" w:space="0" w:color="auto"/>
            <w:left w:val="none" w:sz="0" w:space="0" w:color="auto"/>
            <w:bottom w:val="none" w:sz="0" w:space="0" w:color="auto"/>
            <w:right w:val="none" w:sz="0" w:space="0" w:color="auto"/>
          </w:divBdr>
        </w:div>
        <w:div w:id="438448635">
          <w:marLeft w:val="640"/>
          <w:marRight w:val="0"/>
          <w:marTop w:val="0"/>
          <w:marBottom w:val="0"/>
          <w:divBdr>
            <w:top w:val="none" w:sz="0" w:space="0" w:color="auto"/>
            <w:left w:val="none" w:sz="0" w:space="0" w:color="auto"/>
            <w:bottom w:val="none" w:sz="0" w:space="0" w:color="auto"/>
            <w:right w:val="none" w:sz="0" w:space="0" w:color="auto"/>
          </w:divBdr>
        </w:div>
        <w:div w:id="579103758">
          <w:marLeft w:val="640"/>
          <w:marRight w:val="0"/>
          <w:marTop w:val="0"/>
          <w:marBottom w:val="0"/>
          <w:divBdr>
            <w:top w:val="none" w:sz="0" w:space="0" w:color="auto"/>
            <w:left w:val="none" w:sz="0" w:space="0" w:color="auto"/>
            <w:bottom w:val="none" w:sz="0" w:space="0" w:color="auto"/>
            <w:right w:val="none" w:sz="0" w:space="0" w:color="auto"/>
          </w:divBdr>
        </w:div>
        <w:div w:id="339965568">
          <w:marLeft w:val="640"/>
          <w:marRight w:val="0"/>
          <w:marTop w:val="0"/>
          <w:marBottom w:val="0"/>
          <w:divBdr>
            <w:top w:val="none" w:sz="0" w:space="0" w:color="auto"/>
            <w:left w:val="none" w:sz="0" w:space="0" w:color="auto"/>
            <w:bottom w:val="none" w:sz="0" w:space="0" w:color="auto"/>
            <w:right w:val="none" w:sz="0" w:space="0" w:color="auto"/>
          </w:divBdr>
        </w:div>
        <w:div w:id="2025203254">
          <w:marLeft w:val="640"/>
          <w:marRight w:val="0"/>
          <w:marTop w:val="0"/>
          <w:marBottom w:val="0"/>
          <w:divBdr>
            <w:top w:val="none" w:sz="0" w:space="0" w:color="auto"/>
            <w:left w:val="none" w:sz="0" w:space="0" w:color="auto"/>
            <w:bottom w:val="none" w:sz="0" w:space="0" w:color="auto"/>
            <w:right w:val="none" w:sz="0" w:space="0" w:color="auto"/>
          </w:divBdr>
        </w:div>
        <w:div w:id="746728077">
          <w:marLeft w:val="640"/>
          <w:marRight w:val="0"/>
          <w:marTop w:val="0"/>
          <w:marBottom w:val="0"/>
          <w:divBdr>
            <w:top w:val="none" w:sz="0" w:space="0" w:color="auto"/>
            <w:left w:val="none" w:sz="0" w:space="0" w:color="auto"/>
            <w:bottom w:val="none" w:sz="0" w:space="0" w:color="auto"/>
            <w:right w:val="none" w:sz="0" w:space="0" w:color="auto"/>
          </w:divBdr>
        </w:div>
        <w:div w:id="1385062335">
          <w:marLeft w:val="640"/>
          <w:marRight w:val="0"/>
          <w:marTop w:val="0"/>
          <w:marBottom w:val="0"/>
          <w:divBdr>
            <w:top w:val="none" w:sz="0" w:space="0" w:color="auto"/>
            <w:left w:val="none" w:sz="0" w:space="0" w:color="auto"/>
            <w:bottom w:val="none" w:sz="0" w:space="0" w:color="auto"/>
            <w:right w:val="none" w:sz="0" w:space="0" w:color="auto"/>
          </w:divBdr>
        </w:div>
        <w:div w:id="1208376327">
          <w:marLeft w:val="640"/>
          <w:marRight w:val="0"/>
          <w:marTop w:val="0"/>
          <w:marBottom w:val="0"/>
          <w:divBdr>
            <w:top w:val="none" w:sz="0" w:space="0" w:color="auto"/>
            <w:left w:val="none" w:sz="0" w:space="0" w:color="auto"/>
            <w:bottom w:val="none" w:sz="0" w:space="0" w:color="auto"/>
            <w:right w:val="none" w:sz="0" w:space="0" w:color="auto"/>
          </w:divBdr>
        </w:div>
        <w:div w:id="194776121">
          <w:marLeft w:val="640"/>
          <w:marRight w:val="0"/>
          <w:marTop w:val="0"/>
          <w:marBottom w:val="0"/>
          <w:divBdr>
            <w:top w:val="none" w:sz="0" w:space="0" w:color="auto"/>
            <w:left w:val="none" w:sz="0" w:space="0" w:color="auto"/>
            <w:bottom w:val="none" w:sz="0" w:space="0" w:color="auto"/>
            <w:right w:val="none" w:sz="0" w:space="0" w:color="auto"/>
          </w:divBdr>
        </w:div>
        <w:div w:id="882717990">
          <w:marLeft w:val="640"/>
          <w:marRight w:val="0"/>
          <w:marTop w:val="0"/>
          <w:marBottom w:val="0"/>
          <w:divBdr>
            <w:top w:val="none" w:sz="0" w:space="0" w:color="auto"/>
            <w:left w:val="none" w:sz="0" w:space="0" w:color="auto"/>
            <w:bottom w:val="none" w:sz="0" w:space="0" w:color="auto"/>
            <w:right w:val="none" w:sz="0" w:space="0" w:color="auto"/>
          </w:divBdr>
        </w:div>
        <w:div w:id="1677152733">
          <w:marLeft w:val="640"/>
          <w:marRight w:val="0"/>
          <w:marTop w:val="0"/>
          <w:marBottom w:val="0"/>
          <w:divBdr>
            <w:top w:val="none" w:sz="0" w:space="0" w:color="auto"/>
            <w:left w:val="none" w:sz="0" w:space="0" w:color="auto"/>
            <w:bottom w:val="none" w:sz="0" w:space="0" w:color="auto"/>
            <w:right w:val="none" w:sz="0" w:space="0" w:color="auto"/>
          </w:divBdr>
        </w:div>
        <w:div w:id="1422066790">
          <w:marLeft w:val="640"/>
          <w:marRight w:val="0"/>
          <w:marTop w:val="0"/>
          <w:marBottom w:val="0"/>
          <w:divBdr>
            <w:top w:val="none" w:sz="0" w:space="0" w:color="auto"/>
            <w:left w:val="none" w:sz="0" w:space="0" w:color="auto"/>
            <w:bottom w:val="none" w:sz="0" w:space="0" w:color="auto"/>
            <w:right w:val="none" w:sz="0" w:space="0" w:color="auto"/>
          </w:divBdr>
        </w:div>
        <w:div w:id="961691874">
          <w:marLeft w:val="640"/>
          <w:marRight w:val="0"/>
          <w:marTop w:val="0"/>
          <w:marBottom w:val="0"/>
          <w:divBdr>
            <w:top w:val="none" w:sz="0" w:space="0" w:color="auto"/>
            <w:left w:val="none" w:sz="0" w:space="0" w:color="auto"/>
            <w:bottom w:val="none" w:sz="0" w:space="0" w:color="auto"/>
            <w:right w:val="none" w:sz="0" w:space="0" w:color="auto"/>
          </w:divBdr>
        </w:div>
        <w:div w:id="771359407">
          <w:marLeft w:val="640"/>
          <w:marRight w:val="0"/>
          <w:marTop w:val="0"/>
          <w:marBottom w:val="0"/>
          <w:divBdr>
            <w:top w:val="none" w:sz="0" w:space="0" w:color="auto"/>
            <w:left w:val="none" w:sz="0" w:space="0" w:color="auto"/>
            <w:bottom w:val="none" w:sz="0" w:space="0" w:color="auto"/>
            <w:right w:val="none" w:sz="0" w:space="0" w:color="auto"/>
          </w:divBdr>
        </w:div>
        <w:div w:id="869147723">
          <w:marLeft w:val="640"/>
          <w:marRight w:val="0"/>
          <w:marTop w:val="0"/>
          <w:marBottom w:val="0"/>
          <w:divBdr>
            <w:top w:val="none" w:sz="0" w:space="0" w:color="auto"/>
            <w:left w:val="none" w:sz="0" w:space="0" w:color="auto"/>
            <w:bottom w:val="none" w:sz="0" w:space="0" w:color="auto"/>
            <w:right w:val="none" w:sz="0" w:space="0" w:color="auto"/>
          </w:divBdr>
        </w:div>
        <w:div w:id="1904828649">
          <w:marLeft w:val="640"/>
          <w:marRight w:val="0"/>
          <w:marTop w:val="0"/>
          <w:marBottom w:val="0"/>
          <w:divBdr>
            <w:top w:val="none" w:sz="0" w:space="0" w:color="auto"/>
            <w:left w:val="none" w:sz="0" w:space="0" w:color="auto"/>
            <w:bottom w:val="none" w:sz="0" w:space="0" w:color="auto"/>
            <w:right w:val="none" w:sz="0" w:space="0" w:color="auto"/>
          </w:divBdr>
        </w:div>
        <w:div w:id="1726222551">
          <w:marLeft w:val="640"/>
          <w:marRight w:val="0"/>
          <w:marTop w:val="0"/>
          <w:marBottom w:val="0"/>
          <w:divBdr>
            <w:top w:val="none" w:sz="0" w:space="0" w:color="auto"/>
            <w:left w:val="none" w:sz="0" w:space="0" w:color="auto"/>
            <w:bottom w:val="none" w:sz="0" w:space="0" w:color="auto"/>
            <w:right w:val="none" w:sz="0" w:space="0" w:color="auto"/>
          </w:divBdr>
        </w:div>
        <w:div w:id="39861484">
          <w:marLeft w:val="640"/>
          <w:marRight w:val="0"/>
          <w:marTop w:val="0"/>
          <w:marBottom w:val="0"/>
          <w:divBdr>
            <w:top w:val="none" w:sz="0" w:space="0" w:color="auto"/>
            <w:left w:val="none" w:sz="0" w:space="0" w:color="auto"/>
            <w:bottom w:val="none" w:sz="0" w:space="0" w:color="auto"/>
            <w:right w:val="none" w:sz="0" w:space="0" w:color="auto"/>
          </w:divBdr>
        </w:div>
        <w:div w:id="765002741">
          <w:marLeft w:val="640"/>
          <w:marRight w:val="0"/>
          <w:marTop w:val="0"/>
          <w:marBottom w:val="0"/>
          <w:divBdr>
            <w:top w:val="none" w:sz="0" w:space="0" w:color="auto"/>
            <w:left w:val="none" w:sz="0" w:space="0" w:color="auto"/>
            <w:bottom w:val="none" w:sz="0" w:space="0" w:color="auto"/>
            <w:right w:val="none" w:sz="0" w:space="0" w:color="auto"/>
          </w:divBdr>
        </w:div>
        <w:div w:id="1006206030">
          <w:marLeft w:val="640"/>
          <w:marRight w:val="0"/>
          <w:marTop w:val="0"/>
          <w:marBottom w:val="0"/>
          <w:divBdr>
            <w:top w:val="none" w:sz="0" w:space="0" w:color="auto"/>
            <w:left w:val="none" w:sz="0" w:space="0" w:color="auto"/>
            <w:bottom w:val="none" w:sz="0" w:space="0" w:color="auto"/>
            <w:right w:val="none" w:sz="0" w:space="0" w:color="auto"/>
          </w:divBdr>
        </w:div>
        <w:div w:id="2021346701">
          <w:marLeft w:val="640"/>
          <w:marRight w:val="0"/>
          <w:marTop w:val="0"/>
          <w:marBottom w:val="0"/>
          <w:divBdr>
            <w:top w:val="none" w:sz="0" w:space="0" w:color="auto"/>
            <w:left w:val="none" w:sz="0" w:space="0" w:color="auto"/>
            <w:bottom w:val="none" w:sz="0" w:space="0" w:color="auto"/>
            <w:right w:val="none" w:sz="0" w:space="0" w:color="auto"/>
          </w:divBdr>
        </w:div>
        <w:div w:id="33699261">
          <w:marLeft w:val="640"/>
          <w:marRight w:val="0"/>
          <w:marTop w:val="0"/>
          <w:marBottom w:val="0"/>
          <w:divBdr>
            <w:top w:val="none" w:sz="0" w:space="0" w:color="auto"/>
            <w:left w:val="none" w:sz="0" w:space="0" w:color="auto"/>
            <w:bottom w:val="none" w:sz="0" w:space="0" w:color="auto"/>
            <w:right w:val="none" w:sz="0" w:space="0" w:color="auto"/>
          </w:divBdr>
        </w:div>
        <w:div w:id="215553343">
          <w:marLeft w:val="640"/>
          <w:marRight w:val="0"/>
          <w:marTop w:val="0"/>
          <w:marBottom w:val="0"/>
          <w:divBdr>
            <w:top w:val="none" w:sz="0" w:space="0" w:color="auto"/>
            <w:left w:val="none" w:sz="0" w:space="0" w:color="auto"/>
            <w:bottom w:val="none" w:sz="0" w:space="0" w:color="auto"/>
            <w:right w:val="none" w:sz="0" w:space="0" w:color="auto"/>
          </w:divBdr>
        </w:div>
        <w:div w:id="315301817">
          <w:marLeft w:val="640"/>
          <w:marRight w:val="0"/>
          <w:marTop w:val="0"/>
          <w:marBottom w:val="0"/>
          <w:divBdr>
            <w:top w:val="none" w:sz="0" w:space="0" w:color="auto"/>
            <w:left w:val="none" w:sz="0" w:space="0" w:color="auto"/>
            <w:bottom w:val="none" w:sz="0" w:space="0" w:color="auto"/>
            <w:right w:val="none" w:sz="0" w:space="0" w:color="auto"/>
          </w:divBdr>
        </w:div>
        <w:div w:id="1072776562">
          <w:marLeft w:val="640"/>
          <w:marRight w:val="0"/>
          <w:marTop w:val="0"/>
          <w:marBottom w:val="0"/>
          <w:divBdr>
            <w:top w:val="none" w:sz="0" w:space="0" w:color="auto"/>
            <w:left w:val="none" w:sz="0" w:space="0" w:color="auto"/>
            <w:bottom w:val="none" w:sz="0" w:space="0" w:color="auto"/>
            <w:right w:val="none" w:sz="0" w:space="0" w:color="auto"/>
          </w:divBdr>
        </w:div>
        <w:div w:id="39324844">
          <w:marLeft w:val="640"/>
          <w:marRight w:val="0"/>
          <w:marTop w:val="0"/>
          <w:marBottom w:val="0"/>
          <w:divBdr>
            <w:top w:val="none" w:sz="0" w:space="0" w:color="auto"/>
            <w:left w:val="none" w:sz="0" w:space="0" w:color="auto"/>
            <w:bottom w:val="none" w:sz="0" w:space="0" w:color="auto"/>
            <w:right w:val="none" w:sz="0" w:space="0" w:color="auto"/>
          </w:divBdr>
        </w:div>
        <w:div w:id="172038391">
          <w:marLeft w:val="640"/>
          <w:marRight w:val="0"/>
          <w:marTop w:val="0"/>
          <w:marBottom w:val="0"/>
          <w:divBdr>
            <w:top w:val="none" w:sz="0" w:space="0" w:color="auto"/>
            <w:left w:val="none" w:sz="0" w:space="0" w:color="auto"/>
            <w:bottom w:val="none" w:sz="0" w:space="0" w:color="auto"/>
            <w:right w:val="none" w:sz="0" w:space="0" w:color="auto"/>
          </w:divBdr>
        </w:div>
        <w:div w:id="487552544">
          <w:marLeft w:val="640"/>
          <w:marRight w:val="0"/>
          <w:marTop w:val="0"/>
          <w:marBottom w:val="0"/>
          <w:divBdr>
            <w:top w:val="none" w:sz="0" w:space="0" w:color="auto"/>
            <w:left w:val="none" w:sz="0" w:space="0" w:color="auto"/>
            <w:bottom w:val="none" w:sz="0" w:space="0" w:color="auto"/>
            <w:right w:val="none" w:sz="0" w:space="0" w:color="auto"/>
          </w:divBdr>
        </w:div>
        <w:div w:id="2022929781">
          <w:marLeft w:val="640"/>
          <w:marRight w:val="0"/>
          <w:marTop w:val="0"/>
          <w:marBottom w:val="0"/>
          <w:divBdr>
            <w:top w:val="none" w:sz="0" w:space="0" w:color="auto"/>
            <w:left w:val="none" w:sz="0" w:space="0" w:color="auto"/>
            <w:bottom w:val="none" w:sz="0" w:space="0" w:color="auto"/>
            <w:right w:val="none" w:sz="0" w:space="0" w:color="auto"/>
          </w:divBdr>
        </w:div>
        <w:div w:id="2031754746">
          <w:marLeft w:val="640"/>
          <w:marRight w:val="0"/>
          <w:marTop w:val="0"/>
          <w:marBottom w:val="0"/>
          <w:divBdr>
            <w:top w:val="none" w:sz="0" w:space="0" w:color="auto"/>
            <w:left w:val="none" w:sz="0" w:space="0" w:color="auto"/>
            <w:bottom w:val="none" w:sz="0" w:space="0" w:color="auto"/>
            <w:right w:val="none" w:sz="0" w:space="0" w:color="auto"/>
          </w:divBdr>
        </w:div>
        <w:div w:id="1432891378">
          <w:marLeft w:val="640"/>
          <w:marRight w:val="0"/>
          <w:marTop w:val="0"/>
          <w:marBottom w:val="0"/>
          <w:divBdr>
            <w:top w:val="none" w:sz="0" w:space="0" w:color="auto"/>
            <w:left w:val="none" w:sz="0" w:space="0" w:color="auto"/>
            <w:bottom w:val="none" w:sz="0" w:space="0" w:color="auto"/>
            <w:right w:val="none" w:sz="0" w:space="0" w:color="auto"/>
          </w:divBdr>
        </w:div>
        <w:div w:id="1245265279">
          <w:marLeft w:val="640"/>
          <w:marRight w:val="0"/>
          <w:marTop w:val="0"/>
          <w:marBottom w:val="0"/>
          <w:divBdr>
            <w:top w:val="none" w:sz="0" w:space="0" w:color="auto"/>
            <w:left w:val="none" w:sz="0" w:space="0" w:color="auto"/>
            <w:bottom w:val="none" w:sz="0" w:space="0" w:color="auto"/>
            <w:right w:val="none" w:sz="0" w:space="0" w:color="auto"/>
          </w:divBdr>
        </w:div>
        <w:div w:id="1343513513">
          <w:marLeft w:val="640"/>
          <w:marRight w:val="0"/>
          <w:marTop w:val="0"/>
          <w:marBottom w:val="0"/>
          <w:divBdr>
            <w:top w:val="none" w:sz="0" w:space="0" w:color="auto"/>
            <w:left w:val="none" w:sz="0" w:space="0" w:color="auto"/>
            <w:bottom w:val="none" w:sz="0" w:space="0" w:color="auto"/>
            <w:right w:val="none" w:sz="0" w:space="0" w:color="auto"/>
          </w:divBdr>
        </w:div>
        <w:div w:id="628049180">
          <w:marLeft w:val="640"/>
          <w:marRight w:val="0"/>
          <w:marTop w:val="0"/>
          <w:marBottom w:val="0"/>
          <w:divBdr>
            <w:top w:val="none" w:sz="0" w:space="0" w:color="auto"/>
            <w:left w:val="none" w:sz="0" w:space="0" w:color="auto"/>
            <w:bottom w:val="none" w:sz="0" w:space="0" w:color="auto"/>
            <w:right w:val="none" w:sz="0" w:space="0" w:color="auto"/>
          </w:divBdr>
        </w:div>
        <w:div w:id="366835320">
          <w:marLeft w:val="640"/>
          <w:marRight w:val="0"/>
          <w:marTop w:val="0"/>
          <w:marBottom w:val="0"/>
          <w:divBdr>
            <w:top w:val="none" w:sz="0" w:space="0" w:color="auto"/>
            <w:left w:val="none" w:sz="0" w:space="0" w:color="auto"/>
            <w:bottom w:val="none" w:sz="0" w:space="0" w:color="auto"/>
            <w:right w:val="none" w:sz="0" w:space="0" w:color="auto"/>
          </w:divBdr>
        </w:div>
        <w:div w:id="611013477">
          <w:marLeft w:val="640"/>
          <w:marRight w:val="0"/>
          <w:marTop w:val="0"/>
          <w:marBottom w:val="0"/>
          <w:divBdr>
            <w:top w:val="none" w:sz="0" w:space="0" w:color="auto"/>
            <w:left w:val="none" w:sz="0" w:space="0" w:color="auto"/>
            <w:bottom w:val="none" w:sz="0" w:space="0" w:color="auto"/>
            <w:right w:val="none" w:sz="0" w:space="0" w:color="auto"/>
          </w:divBdr>
        </w:div>
        <w:div w:id="1114128176">
          <w:marLeft w:val="640"/>
          <w:marRight w:val="0"/>
          <w:marTop w:val="0"/>
          <w:marBottom w:val="0"/>
          <w:divBdr>
            <w:top w:val="none" w:sz="0" w:space="0" w:color="auto"/>
            <w:left w:val="none" w:sz="0" w:space="0" w:color="auto"/>
            <w:bottom w:val="none" w:sz="0" w:space="0" w:color="auto"/>
            <w:right w:val="none" w:sz="0" w:space="0" w:color="auto"/>
          </w:divBdr>
        </w:div>
        <w:div w:id="1675718622">
          <w:marLeft w:val="640"/>
          <w:marRight w:val="0"/>
          <w:marTop w:val="0"/>
          <w:marBottom w:val="0"/>
          <w:divBdr>
            <w:top w:val="none" w:sz="0" w:space="0" w:color="auto"/>
            <w:left w:val="none" w:sz="0" w:space="0" w:color="auto"/>
            <w:bottom w:val="none" w:sz="0" w:space="0" w:color="auto"/>
            <w:right w:val="none" w:sz="0" w:space="0" w:color="auto"/>
          </w:divBdr>
        </w:div>
        <w:div w:id="1437486858">
          <w:marLeft w:val="640"/>
          <w:marRight w:val="0"/>
          <w:marTop w:val="0"/>
          <w:marBottom w:val="0"/>
          <w:divBdr>
            <w:top w:val="none" w:sz="0" w:space="0" w:color="auto"/>
            <w:left w:val="none" w:sz="0" w:space="0" w:color="auto"/>
            <w:bottom w:val="none" w:sz="0" w:space="0" w:color="auto"/>
            <w:right w:val="none" w:sz="0" w:space="0" w:color="auto"/>
          </w:divBdr>
        </w:div>
        <w:div w:id="971178856">
          <w:marLeft w:val="640"/>
          <w:marRight w:val="0"/>
          <w:marTop w:val="0"/>
          <w:marBottom w:val="0"/>
          <w:divBdr>
            <w:top w:val="none" w:sz="0" w:space="0" w:color="auto"/>
            <w:left w:val="none" w:sz="0" w:space="0" w:color="auto"/>
            <w:bottom w:val="none" w:sz="0" w:space="0" w:color="auto"/>
            <w:right w:val="none" w:sz="0" w:space="0" w:color="auto"/>
          </w:divBdr>
        </w:div>
        <w:div w:id="1386833629">
          <w:marLeft w:val="640"/>
          <w:marRight w:val="0"/>
          <w:marTop w:val="0"/>
          <w:marBottom w:val="0"/>
          <w:divBdr>
            <w:top w:val="none" w:sz="0" w:space="0" w:color="auto"/>
            <w:left w:val="none" w:sz="0" w:space="0" w:color="auto"/>
            <w:bottom w:val="none" w:sz="0" w:space="0" w:color="auto"/>
            <w:right w:val="none" w:sz="0" w:space="0" w:color="auto"/>
          </w:divBdr>
        </w:div>
        <w:div w:id="1519655283">
          <w:marLeft w:val="640"/>
          <w:marRight w:val="0"/>
          <w:marTop w:val="0"/>
          <w:marBottom w:val="0"/>
          <w:divBdr>
            <w:top w:val="none" w:sz="0" w:space="0" w:color="auto"/>
            <w:left w:val="none" w:sz="0" w:space="0" w:color="auto"/>
            <w:bottom w:val="none" w:sz="0" w:space="0" w:color="auto"/>
            <w:right w:val="none" w:sz="0" w:space="0" w:color="auto"/>
          </w:divBdr>
        </w:div>
        <w:div w:id="2137403079">
          <w:marLeft w:val="640"/>
          <w:marRight w:val="0"/>
          <w:marTop w:val="0"/>
          <w:marBottom w:val="0"/>
          <w:divBdr>
            <w:top w:val="none" w:sz="0" w:space="0" w:color="auto"/>
            <w:left w:val="none" w:sz="0" w:space="0" w:color="auto"/>
            <w:bottom w:val="none" w:sz="0" w:space="0" w:color="auto"/>
            <w:right w:val="none" w:sz="0" w:space="0" w:color="auto"/>
          </w:divBdr>
        </w:div>
        <w:div w:id="1044793604">
          <w:marLeft w:val="640"/>
          <w:marRight w:val="0"/>
          <w:marTop w:val="0"/>
          <w:marBottom w:val="0"/>
          <w:divBdr>
            <w:top w:val="none" w:sz="0" w:space="0" w:color="auto"/>
            <w:left w:val="none" w:sz="0" w:space="0" w:color="auto"/>
            <w:bottom w:val="none" w:sz="0" w:space="0" w:color="auto"/>
            <w:right w:val="none" w:sz="0" w:space="0" w:color="auto"/>
          </w:divBdr>
        </w:div>
        <w:div w:id="624317021">
          <w:marLeft w:val="640"/>
          <w:marRight w:val="0"/>
          <w:marTop w:val="0"/>
          <w:marBottom w:val="0"/>
          <w:divBdr>
            <w:top w:val="none" w:sz="0" w:space="0" w:color="auto"/>
            <w:left w:val="none" w:sz="0" w:space="0" w:color="auto"/>
            <w:bottom w:val="none" w:sz="0" w:space="0" w:color="auto"/>
            <w:right w:val="none" w:sz="0" w:space="0" w:color="auto"/>
          </w:divBdr>
        </w:div>
        <w:div w:id="880046909">
          <w:marLeft w:val="640"/>
          <w:marRight w:val="0"/>
          <w:marTop w:val="0"/>
          <w:marBottom w:val="0"/>
          <w:divBdr>
            <w:top w:val="none" w:sz="0" w:space="0" w:color="auto"/>
            <w:left w:val="none" w:sz="0" w:space="0" w:color="auto"/>
            <w:bottom w:val="none" w:sz="0" w:space="0" w:color="auto"/>
            <w:right w:val="none" w:sz="0" w:space="0" w:color="auto"/>
          </w:divBdr>
        </w:div>
        <w:div w:id="1758943373">
          <w:marLeft w:val="640"/>
          <w:marRight w:val="0"/>
          <w:marTop w:val="0"/>
          <w:marBottom w:val="0"/>
          <w:divBdr>
            <w:top w:val="none" w:sz="0" w:space="0" w:color="auto"/>
            <w:left w:val="none" w:sz="0" w:space="0" w:color="auto"/>
            <w:bottom w:val="none" w:sz="0" w:space="0" w:color="auto"/>
            <w:right w:val="none" w:sz="0" w:space="0" w:color="auto"/>
          </w:divBdr>
        </w:div>
        <w:div w:id="1790011368">
          <w:marLeft w:val="640"/>
          <w:marRight w:val="0"/>
          <w:marTop w:val="0"/>
          <w:marBottom w:val="0"/>
          <w:divBdr>
            <w:top w:val="none" w:sz="0" w:space="0" w:color="auto"/>
            <w:left w:val="none" w:sz="0" w:space="0" w:color="auto"/>
            <w:bottom w:val="none" w:sz="0" w:space="0" w:color="auto"/>
            <w:right w:val="none" w:sz="0" w:space="0" w:color="auto"/>
          </w:divBdr>
        </w:div>
        <w:div w:id="232357292">
          <w:marLeft w:val="640"/>
          <w:marRight w:val="0"/>
          <w:marTop w:val="0"/>
          <w:marBottom w:val="0"/>
          <w:divBdr>
            <w:top w:val="none" w:sz="0" w:space="0" w:color="auto"/>
            <w:left w:val="none" w:sz="0" w:space="0" w:color="auto"/>
            <w:bottom w:val="none" w:sz="0" w:space="0" w:color="auto"/>
            <w:right w:val="none" w:sz="0" w:space="0" w:color="auto"/>
          </w:divBdr>
        </w:div>
        <w:div w:id="563567618">
          <w:marLeft w:val="640"/>
          <w:marRight w:val="0"/>
          <w:marTop w:val="0"/>
          <w:marBottom w:val="0"/>
          <w:divBdr>
            <w:top w:val="none" w:sz="0" w:space="0" w:color="auto"/>
            <w:left w:val="none" w:sz="0" w:space="0" w:color="auto"/>
            <w:bottom w:val="none" w:sz="0" w:space="0" w:color="auto"/>
            <w:right w:val="none" w:sz="0" w:space="0" w:color="auto"/>
          </w:divBdr>
        </w:div>
        <w:div w:id="1581409486">
          <w:marLeft w:val="640"/>
          <w:marRight w:val="0"/>
          <w:marTop w:val="0"/>
          <w:marBottom w:val="0"/>
          <w:divBdr>
            <w:top w:val="none" w:sz="0" w:space="0" w:color="auto"/>
            <w:left w:val="none" w:sz="0" w:space="0" w:color="auto"/>
            <w:bottom w:val="none" w:sz="0" w:space="0" w:color="auto"/>
            <w:right w:val="none" w:sz="0" w:space="0" w:color="auto"/>
          </w:divBdr>
        </w:div>
        <w:div w:id="1460496156">
          <w:marLeft w:val="640"/>
          <w:marRight w:val="0"/>
          <w:marTop w:val="0"/>
          <w:marBottom w:val="0"/>
          <w:divBdr>
            <w:top w:val="none" w:sz="0" w:space="0" w:color="auto"/>
            <w:left w:val="none" w:sz="0" w:space="0" w:color="auto"/>
            <w:bottom w:val="none" w:sz="0" w:space="0" w:color="auto"/>
            <w:right w:val="none" w:sz="0" w:space="0" w:color="auto"/>
          </w:divBdr>
        </w:div>
        <w:div w:id="878125239">
          <w:marLeft w:val="640"/>
          <w:marRight w:val="0"/>
          <w:marTop w:val="0"/>
          <w:marBottom w:val="0"/>
          <w:divBdr>
            <w:top w:val="none" w:sz="0" w:space="0" w:color="auto"/>
            <w:left w:val="none" w:sz="0" w:space="0" w:color="auto"/>
            <w:bottom w:val="none" w:sz="0" w:space="0" w:color="auto"/>
            <w:right w:val="none" w:sz="0" w:space="0" w:color="auto"/>
          </w:divBdr>
        </w:div>
        <w:div w:id="650597326">
          <w:marLeft w:val="640"/>
          <w:marRight w:val="0"/>
          <w:marTop w:val="0"/>
          <w:marBottom w:val="0"/>
          <w:divBdr>
            <w:top w:val="none" w:sz="0" w:space="0" w:color="auto"/>
            <w:left w:val="none" w:sz="0" w:space="0" w:color="auto"/>
            <w:bottom w:val="none" w:sz="0" w:space="0" w:color="auto"/>
            <w:right w:val="none" w:sz="0" w:space="0" w:color="auto"/>
          </w:divBdr>
        </w:div>
        <w:div w:id="2057198342">
          <w:marLeft w:val="640"/>
          <w:marRight w:val="0"/>
          <w:marTop w:val="0"/>
          <w:marBottom w:val="0"/>
          <w:divBdr>
            <w:top w:val="none" w:sz="0" w:space="0" w:color="auto"/>
            <w:left w:val="none" w:sz="0" w:space="0" w:color="auto"/>
            <w:bottom w:val="none" w:sz="0" w:space="0" w:color="auto"/>
            <w:right w:val="none" w:sz="0" w:space="0" w:color="auto"/>
          </w:divBdr>
        </w:div>
        <w:div w:id="259797285">
          <w:marLeft w:val="640"/>
          <w:marRight w:val="0"/>
          <w:marTop w:val="0"/>
          <w:marBottom w:val="0"/>
          <w:divBdr>
            <w:top w:val="none" w:sz="0" w:space="0" w:color="auto"/>
            <w:left w:val="none" w:sz="0" w:space="0" w:color="auto"/>
            <w:bottom w:val="none" w:sz="0" w:space="0" w:color="auto"/>
            <w:right w:val="none" w:sz="0" w:space="0" w:color="auto"/>
          </w:divBdr>
        </w:div>
        <w:div w:id="1342858733">
          <w:marLeft w:val="640"/>
          <w:marRight w:val="0"/>
          <w:marTop w:val="0"/>
          <w:marBottom w:val="0"/>
          <w:divBdr>
            <w:top w:val="none" w:sz="0" w:space="0" w:color="auto"/>
            <w:left w:val="none" w:sz="0" w:space="0" w:color="auto"/>
            <w:bottom w:val="none" w:sz="0" w:space="0" w:color="auto"/>
            <w:right w:val="none" w:sz="0" w:space="0" w:color="auto"/>
          </w:divBdr>
        </w:div>
        <w:div w:id="1741561960">
          <w:marLeft w:val="640"/>
          <w:marRight w:val="0"/>
          <w:marTop w:val="0"/>
          <w:marBottom w:val="0"/>
          <w:divBdr>
            <w:top w:val="none" w:sz="0" w:space="0" w:color="auto"/>
            <w:left w:val="none" w:sz="0" w:space="0" w:color="auto"/>
            <w:bottom w:val="none" w:sz="0" w:space="0" w:color="auto"/>
            <w:right w:val="none" w:sz="0" w:space="0" w:color="auto"/>
          </w:divBdr>
        </w:div>
        <w:div w:id="1571496844">
          <w:marLeft w:val="640"/>
          <w:marRight w:val="0"/>
          <w:marTop w:val="0"/>
          <w:marBottom w:val="0"/>
          <w:divBdr>
            <w:top w:val="none" w:sz="0" w:space="0" w:color="auto"/>
            <w:left w:val="none" w:sz="0" w:space="0" w:color="auto"/>
            <w:bottom w:val="none" w:sz="0" w:space="0" w:color="auto"/>
            <w:right w:val="none" w:sz="0" w:space="0" w:color="auto"/>
          </w:divBdr>
        </w:div>
        <w:div w:id="1808160430">
          <w:marLeft w:val="640"/>
          <w:marRight w:val="0"/>
          <w:marTop w:val="0"/>
          <w:marBottom w:val="0"/>
          <w:divBdr>
            <w:top w:val="none" w:sz="0" w:space="0" w:color="auto"/>
            <w:left w:val="none" w:sz="0" w:space="0" w:color="auto"/>
            <w:bottom w:val="none" w:sz="0" w:space="0" w:color="auto"/>
            <w:right w:val="none" w:sz="0" w:space="0" w:color="auto"/>
          </w:divBdr>
        </w:div>
        <w:div w:id="1539583700">
          <w:marLeft w:val="640"/>
          <w:marRight w:val="0"/>
          <w:marTop w:val="0"/>
          <w:marBottom w:val="0"/>
          <w:divBdr>
            <w:top w:val="none" w:sz="0" w:space="0" w:color="auto"/>
            <w:left w:val="none" w:sz="0" w:space="0" w:color="auto"/>
            <w:bottom w:val="none" w:sz="0" w:space="0" w:color="auto"/>
            <w:right w:val="none" w:sz="0" w:space="0" w:color="auto"/>
          </w:divBdr>
        </w:div>
        <w:div w:id="49380370">
          <w:marLeft w:val="640"/>
          <w:marRight w:val="0"/>
          <w:marTop w:val="0"/>
          <w:marBottom w:val="0"/>
          <w:divBdr>
            <w:top w:val="none" w:sz="0" w:space="0" w:color="auto"/>
            <w:left w:val="none" w:sz="0" w:space="0" w:color="auto"/>
            <w:bottom w:val="none" w:sz="0" w:space="0" w:color="auto"/>
            <w:right w:val="none" w:sz="0" w:space="0" w:color="auto"/>
          </w:divBdr>
        </w:div>
        <w:div w:id="894849853">
          <w:marLeft w:val="640"/>
          <w:marRight w:val="0"/>
          <w:marTop w:val="0"/>
          <w:marBottom w:val="0"/>
          <w:divBdr>
            <w:top w:val="none" w:sz="0" w:space="0" w:color="auto"/>
            <w:left w:val="none" w:sz="0" w:space="0" w:color="auto"/>
            <w:bottom w:val="none" w:sz="0" w:space="0" w:color="auto"/>
            <w:right w:val="none" w:sz="0" w:space="0" w:color="auto"/>
          </w:divBdr>
        </w:div>
        <w:div w:id="881479367">
          <w:marLeft w:val="640"/>
          <w:marRight w:val="0"/>
          <w:marTop w:val="0"/>
          <w:marBottom w:val="0"/>
          <w:divBdr>
            <w:top w:val="none" w:sz="0" w:space="0" w:color="auto"/>
            <w:left w:val="none" w:sz="0" w:space="0" w:color="auto"/>
            <w:bottom w:val="none" w:sz="0" w:space="0" w:color="auto"/>
            <w:right w:val="none" w:sz="0" w:space="0" w:color="auto"/>
          </w:divBdr>
        </w:div>
        <w:div w:id="1521164003">
          <w:marLeft w:val="640"/>
          <w:marRight w:val="0"/>
          <w:marTop w:val="0"/>
          <w:marBottom w:val="0"/>
          <w:divBdr>
            <w:top w:val="none" w:sz="0" w:space="0" w:color="auto"/>
            <w:left w:val="none" w:sz="0" w:space="0" w:color="auto"/>
            <w:bottom w:val="none" w:sz="0" w:space="0" w:color="auto"/>
            <w:right w:val="none" w:sz="0" w:space="0" w:color="auto"/>
          </w:divBdr>
        </w:div>
        <w:div w:id="23601424">
          <w:marLeft w:val="640"/>
          <w:marRight w:val="0"/>
          <w:marTop w:val="0"/>
          <w:marBottom w:val="0"/>
          <w:divBdr>
            <w:top w:val="none" w:sz="0" w:space="0" w:color="auto"/>
            <w:left w:val="none" w:sz="0" w:space="0" w:color="auto"/>
            <w:bottom w:val="none" w:sz="0" w:space="0" w:color="auto"/>
            <w:right w:val="none" w:sz="0" w:space="0" w:color="auto"/>
          </w:divBdr>
        </w:div>
        <w:div w:id="1285816638">
          <w:marLeft w:val="640"/>
          <w:marRight w:val="0"/>
          <w:marTop w:val="0"/>
          <w:marBottom w:val="0"/>
          <w:divBdr>
            <w:top w:val="none" w:sz="0" w:space="0" w:color="auto"/>
            <w:left w:val="none" w:sz="0" w:space="0" w:color="auto"/>
            <w:bottom w:val="none" w:sz="0" w:space="0" w:color="auto"/>
            <w:right w:val="none" w:sz="0" w:space="0" w:color="auto"/>
          </w:divBdr>
        </w:div>
        <w:div w:id="1539316410">
          <w:marLeft w:val="640"/>
          <w:marRight w:val="0"/>
          <w:marTop w:val="0"/>
          <w:marBottom w:val="0"/>
          <w:divBdr>
            <w:top w:val="none" w:sz="0" w:space="0" w:color="auto"/>
            <w:left w:val="none" w:sz="0" w:space="0" w:color="auto"/>
            <w:bottom w:val="none" w:sz="0" w:space="0" w:color="auto"/>
            <w:right w:val="none" w:sz="0" w:space="0" w:color="auto"/>
          </w:divBdr>
        </w:div>
        <w:div w:id="931355968">
          <w:marLeft w:val="640"/>
          <w:marRight w:val="0"/>
          <w:marTop w:val="0"/>
          <w:marBottom w:val="0"/>
          <w:divBdr>
            <w:top w:val="none" w:sz="0" w:space="0" w:color="auto"/>
            <w:left w:val="none" w:sz="0" w:space="0" w:color="auto"/>
            <w:bottom w:val="none" w:sz="0" w:space="0" w:color="auto"/>
            <w:right w:val="none" w:sz="0" w:space="0" w:color="auto"/>
          </w:divBdr>
        </w:div>
        <w:div w:id="1666587410">
          <w:marLeft w:val="640"/>
          <w:marRight w:val="0"/>
          <w:marTop w:val="0"/>
          <w:marBottom w:val="0"/>
          <w:divBdr>
            <w:top w:val="none" w:sz="0" w:space="0" w:color="auto"/>
            <w:left w:val="none" w:sz="0" w:space="0" w:color="auto"/>
            <w:bottom w:val="none" w:sz="0" w:space="0" w:color="auto"/>
            <w:right w:val="none" w:sz="0" w:space="0" w:color="auto"/>
          </w:divBdr>
        </w:div>
        <w:div w:id="1276863199">
          <w:marLeft w:val="640"/>
          <w:marRight w:val="0"/>
          <w:marTop w:val="0"/>
          <w:marBottom w:val="0"/>
          <w:divBdr>
            <w:top w:val="none" w:sz="0" w:space="0" w:color="auto"/>
            <w:left w:val="none" w:sz="0" w:space="0" w:color="auto"/>
            <w:bottom w:val="none" w:sz="0" w:space="0" w:color="auto"/>
            <w:right w:val="none" w:sz="0" w:space="0" w:color="auto"/>
          </w:divBdr>
        </w:div>
        <w:div w:id="825980001">
          <w:marLeft w:val="640"/>
          <w:marRight w:val="0"/>
          <w:marTop w:val="0"/>
          <w:marBottom w:val="0"/>
          <w:divBdr>
            <w:top w:val="none" w:sz="0" w:space="0" w:color="auto"/>
            <w:left w:val="none" w:sz="0" w:space="0" w:color="auto"/>
            <w:bottom w:val="none" w:sz="0" w:space="0" w:color="auto"/>
            <w:right w:val="none" w:sz="0" w:space="0" w:color="auto"/>
          </w:divBdr>
        </w:div>
        <w:div w:id="1771507775">
          <w:marLeft w:val="640"/>
          <w:marRight w:val="0"/>
          <w:marTop w:val="0"/>
          <w:marBottom w:val="0"/>
          <w:divBdr>
            <w:top w:val="none" w:sz="0" w:space="0" w:color="auto"/>
            <w:left w:val="none" w:sz="0" w:space="0" w:color="auto"/>
            <w:bottom w:val="none" w:sz="0" w:space="0" w:color="auto"/>
            <w:right w:val="none" w:sz="0" w:space="0" w:color="auto"/>
          </w:divBdr>
        </w:div>
        <w:div w:id="695229670">
          <w:marLeft w:val="640"/>
          <w:marRight w:val="0"/>
          <w:marTop w:val="0"/>
          <w:marBottom w:val="0"/>
          <w:divBdr>
            <w:top w:val="none" w:sz="0" w:space="0" w:color="auto"/>
            <w:left w:val="none" w:sz="0" w:space="0" w:color="auto"/>
            <w:bottom w:val="none" w:sz="0" w:space="0" w:color="auto"/>
            <w:right w:val="none" w:sz="0" w:space="0" w:color="auto"/>
          </w:divBdr>
        </w:div>
        <w:div w:id="709493792">
          <w:marLeft w:val="640"/>
          <w:marRight w:val="0"/>
          <w:marTop w:val="0"/>
          <w:marBottom w:val="0"/>
          <w:divBdr>
            <w:top w:val="none" w:sz="0" w:space="0" w:color="auto"/>
            <w:left w:val="none" w:sz="0" w:space="0" w:color="auto"/>
            <w:bottom w:val="none" w:sz="0" w:space="0" w:color="auto"/>
            <w:right w:val="none" w:sz="0" w:space="0" w:color="auto"/>
          </w:divBdr>
        </w:div>
        <w:div w:id="1381857741">
          <w:marLeft w:val="640"/>
          <w:marRight w:val="0"/>
          <w:marTop w:val="0"/>
          <w:marBottom w:val="0"/>
          <w:divBdr>
            <w:top w:val="none" w:sz="0" w:space="0" w:color="auto"/>
            <w:left w:val="none" w:sz="0" w:space="0" w:color="auto"/>
            <w:bottom w:val="none" w:sz="0" w:space="0" w:color="auto"/>
            <w:right w:val="none" w:sz="0" w:space="0" w:color="auto"/>
          </w:divBdr>
        </w:div>
        <w:div w:id="266088314">
          <w:marLeft w:val="640"/>
          <w:marRight w:val="0"/>
          <w:marTop w:val="0"/>
          <w:marBottom w:val="0"/>
          <w:divBdr>
            <w:top w:val="none" w:sz="0" w:space="0" w:color="auto"/>
            <w:left w:val="none" w:sz="0" w:space="0" w:color="auto"/>
            <w:bottom w:val="none" w:sz="0" w:space="0" w:color="auto"/>
            <w:right w:val="none" w:sz="0" w:space="0" w:color="auto"/>
          </w:divBdr>
        </w:div>
        <w:div w:id="130831504">
          <w:marLeft w:val="640"/>
          <w:marRight w:val="0"/>
          <w:marTop w:val="0"/>
          <w:marBottom w:val="0"/>
          <w:divBdr>
            <w:top w:val="none" w:sz="0" w:space="0" w:color="auto"/>
            <w:left w:val="none" w:sz="0" w:space="0" w:color="auto"/>
            <w:bottom w:val="none" w:sz="0" w:space="0" w:color="auto"/>
            <w:right w:val="none" w:sz="0" w:space="0" w:color="auto"/>
          </w:divBdr>
        </w:div>
        <w:div w:id="1826310989">
          <w:marLeft w:val="640"/>
          <w:marRight w:val="0"/>
          <w:marTop w:val="0"/>
          <w:marBottom w:val="0"/>
          <w:divBdr>
            <w:top w:val="none" w:sz="0" w:space="0" w:color="auto"/>
            <w:left w:val="none" w:sz="0" w:space="0" w:color="auto"/>
            <w:bottom w:val="none" w:sz="0" w:space="0" w:color="auto"/>
            <w:right w:val="none" w:sz="0" w:space="0" w:color="auto"/>
          </w:divBdr>
        </w:div>
        <w:div w:id="2059278419">
          <w:marLeft w:val="640"/>
          <w:marRight w:val="0"/>
          <w:marTop w:val="0"/>
          <w:marBottom w:val="0"/>
          <w:divBdr>
            <w:top w:val="none" w:sz="0" w:space="0" w:color="auto"/>
            <w:left w:val="none" w:sz="0" w:space="0" w:color="auto"/>
            <w:bottom w:val="none" w:sz="0" w:space="0" w:color="auto"/>
            <w:right w:val="none" w:sz="0" w:space="0" w:color="auto"/>
          </w:divBdr>
        </w:div>
        <w:div w:id="250509543">
          <w:marLeft w:val="640"/>
          <w:marRight w:val="0"/>
          <w:marTop w:val="0"/>
          <w:marBottom w:val="0"/>
          <w:divBdr>
            <w:top w:val="none" w:sz="0" w:space="0" w:color="auto"/>
            <w:left w:val="none" w:sz="0" w:space="0" w:color="auto"/>
            <w:bottom w:val="none" w:sz="0" w:space="0" w:color="auto"/>
            <w:right w:val="none" w:sz="0" w:space="0" w:color="auto"/>
          </w:divBdr>
        </w:div>
        <w:div w:id="228076888">
          <w:marLeft w:val="640"/>
          <w:marRight w:val="0"/>
          <w:marTop w:val="0"/>
          <w:marBottom w:val="0"/>
          <w:divBdr>
            <w:top w:val="none" w:sz="0" w:space="0" w:color="auto"/>
            <w:left w:val="none" w:sz="0" w:space="0" w:color="auto"/>
            <w:bottom w:val="none" w:sz="0" w:space="0" w:color="auto"/>
            <w:right w:val="none" w:sz="0" w:space="0" w:color="auto"/>
          </w:divBdr>
        </w:div>
        <w:div w:id="1501966377">
          <w:marLeft w:val="640"/>
          <w:marRight w:val="0"/>
          <w:marTop w:val="0"/>
          <w:marBottom w:val="0"/>
          <w:divBdr>
            <w:top w:val="none" w:sz="0" w:space="0" w:color="auto"/>
            <w:left w:val="none" w:sz="0" w:space="0" w:color="auto"/>
            <w:bottom w:val="none" w:sz="0" w:space="0" w:color="auto"/>
            <w:right w:val="none" w:sz="0" w:space="0" w:color="auto"/>
          </w:divBdr>
        </w:div>
        <w:div w:id="772555894">
          <w:marLeft w:val="640"/>
          <w:marRight w:val="0"/>
          <w:marTop w:val="0"/>
          <w:marBottom w:val="0"/>
          <w:divBdr>
            <w:top w:val="none" w:sz="0" w:space="0" w:color="auto"/>
            <w:left w:val="none" w:sz="0" w:space="0" w:color="auto"/>
            <w:bottom w:val="none" w:sz="0" w:space="0" w:color="auto"/>
            <w:right w:val="none" w:sz="0" w:space="0" w:color="auto"/>
          </w:divBdr>
        </w:div>
        <w:div w:id="884560542">
          <w:marLeft w:val="640"/>
          <w:marRight w:val="0"/>
          <w:marTop w:val="0"/>
          <w:marBottom w:val="0"/>
          <w:divBdr>
            <w:top w:val="none" w:sz="0" w:space="0" w:color="auto"/>
            <w:left w:val="none" w:sz="0" w:space="0" w:color="auto"/>
            <w:bottom w:val="none" w:sz="0" w:space="0" w:color="auto"/>
            <w:right w:val="none" w:sz="0" w:space="0" w:color="auto"/>
          </w:divBdr>
        </w:div>
        <w:div w:id="413094343">
          <w:marLeft w:val="640"/>
          <w:marRight w:val="0"/>
          <w:marTop w:val="0"/>
          <w:marBottom w:val="0"/>
          <w:divBdr>
            <w:top w:val="none" w:sz="0" w:space="0" w:color="auto"/>
            <w:left w:val="none" w:sz="0" w:space="0" w:color="auto"/>
            <w:bottom w:val="none" w:sz="0" w:space="0" w:color="auto"/>
            <w:right w:val="none" w:sz="0" w:space="0" w:color="auto"/>
          </w:divBdr>
        </w:div>
        <w:div w:id="1079912119">
          <w:marLeft w:val="640"/>
          <w:marRight w:val="0"/>
          <w:marTop w:val="0"/>
          <w:marBottom w:val="0"/>
          <w:divBdr>
            <w:top w:val="none" w:sz="0" w:space="0" w:color="auto"/>
            <w:left w:val="none" w:sz="0" w:space="0" w:color="auto"/>
            <w:bottom w:val="none" w:sz="0" w:space="0" w:color="auto"/>
            <w:right w:val="none" w:sz="0" w:space="0" w:color="auto"/>
          </w:divBdr>
        </w:div>
        <w:div w:id="1717505933">
          <w:marLeft w:val="640"/>
          <w:marRight w:val="0"/>
          <w:marTop w:val="0"/>
          <w:marBottom w:val="0"/>
          <w:divBdr>
            <w:top w:val="none" w:sz="0" w:space="0" w:color="auto"/>
            <w:left w:val="none" w:sz="0" w:space="0" w:color="auto"/>
            <w:bottom w:val="none" w:sz="0" w:space="0" w:color="auto"/>
            <w:right w:val="none" w:sz="0" w:space="0" w:color="auto"/>
          </w:divBdr>
        </w:div>
        <w:div w:id="763694269">
          <w:marLeft w:val="640"/>
          <w:marRight w:val="0"/>
          <w:marTop w:val="0"/>
          <w:marBottom w:val="0"/>
          <w:divBdr>
            <w:top w:val="none" w:sz="0" w:space="0" w:color="auto"/>
            <w:left w:val="none" w:sz="0" w:space="0" w:color="auto"/>
            <w:bottom w:val="none" w:sz="0" w:space="0" w:color="auto"/>
            <w:right w:val="none" w:sz="0" w:space="0" w:color="auto"/>
          </w:divBdr>
        </w:div>
        <w:div w:id="1648511194">
          <w:marLeft w:val="640"/>
          <w:marRight w:val="0"/>
          <w:marTop w:val="0"/>
          <w:marBottom w:val="0"/>
          <w:divBdr>
            <w:top w:val="none" w:sz="0" w:space="0" w:color="auto"/>
            <w:left w:val="none" w:sz="0" w:space="0" w:color="auto"/>
            <w:bottom w:val="none" w:sz="0" w:space="0" w:color="auto"/>
            <w:right w:val="none" w:sz="0" w:space="0" w:color="auto"/>
          </w:divBdr>
        </w:div>
        <w:div w:id="2061392905">
          <w:marLeft w:val="640"/>
          <w:marRight w:val="0"/>
          <w:marTop w:val="0"/>
          <w:marBottom w:val="0"/>
          <w:divBdr>
            <w:top w:val="none" w:sz="0" w:space="0" w:color="auto"/>
            <w:left w:val="none" w:sz="0" w:space="0" w:color="auto"/>
            <w:bottom w:val="none" w:sz="0" w:space="0" w:color="auto"/>
            <w:right w:val="none" w:sz="0" w:space="0" w:color="auto"/>
          </w:divBdr>
        </w:div>
        <w:div w:id="305816838">
          <w:marLeft w:val="640"/>
          <w:marRight w:val="0"/>
          <w:marTop w:val="0"/>
          <w:marBottom w:val="0"/>
          <w:divBdr>
            <w:top w:val="none" w:sz="0" w:space="0" w:color="auto"/>
            <w:left w:val="none" w:sz="0" w:space="0" w:color="auto"/>
            <w:bottom w:val="none" w:sz="0" w:space="0" w:color="auto"/>
            <w:right w:val="none" w:sz="0" w:space="0" w:color="auto"/>
          </w:divBdr>
        </w:div>
        <w:div w:id="219293256">
          <w:marLeft w:val="640"/>
          <w:marRight w:val="0"/>
          <w:marTop w:val="0"/>
          <w:marBottom w:val="0"/>
          <w:divBdr>
            <w:top w:val="none" w:sz="0" w:space="0" w:color="auto"/>
            <w:left w:val="none" w:sz="0" w:space="0" w:color="auto"/>
            <w:bottom w:val="none" w:sz="0" w:space="0" w:color="auto"/>
            <w:right w:val="none" w:sz="0" w:space="0" w:color="auto"/>
          </w:divBdr>
        </w:div>
        <w:div w:id="1412196996">
          <w:marLeft w:val="640"/>
          <w:marRight w:val="0"/>
          <w:marTop w:val="0"/>
          <w:marBottom w:val="0"/>
          <w:divBdr>
            <w:top w:val="none" w:sz="0" w:space="0" w:color="auto"/>
            <w:left w:val="none" w:sz="0" w:space="0" w:color="auto"/>
            <w:bottom w:val="none" w:sz="0" w:space="0" w:color="auto"/>
            <w:right w:val="none" w:sz="0" w:space="0" w:color="auto"/>
          </w:divBdr>
        </w:div>
        <w:div w:id="1399017563">
          <w:marLeft w:val="640"/>
          <w:marRight w:val="0"/>
          <w:marTop w:val="0"/>
          <w:marBottom w:val="0"/>
          <w:divBdr>
            <w:top w:val="none" w:sz="0" w:space="0" w:color="auto"/>
            <w:left w:val="none" w:sz="0" w:space="0" w:color="auto"/>
            <w:bottom w:val="none" w:sz="0" w:space="0" w:color="auto"/>
            <w:right w:val="none" w:sz="0" w:space="0" w:color="auto"/>
          </w:divBdr>
        </w:div>
        <w:div w:id="162479868">
          <w:marLeft w:val="640"/>
          <w:marRight w:val="0"/>
          <w:marTop w:val="0"/>
          <w:marBottom w:val="0"/>
          <w:divBdr>
            <w:top w:val="none" w:sz="0" w:space="0" w:color="auto"/>
            <w:left w:val="none" w:sz="0" w:space="0" w:color="auto"/>
            <w:bottom w:val="none" w:sz="0" w:space="0" w:color="auto"/>
            <w:right w:val="none" w:sz="0" w:space="0" w:color="auto"/>
          </w:divBdr>
        </w:div>
        <w:div w:id="766267991">
          <w:marLeft w:val="640"/>
          <w:marRight w:val="0"/>
          <w:marTop w:val="0"/>
          <w:marBottom w:val="0"/>
          <w:divBdr>
            <w:top w:val="none" w:sz="0" w:space="0" w:color="auto"/>
            <w:left w:val="none" w:sz="0" w:space="0" w:color="auto"/>
            <w:bottom w:val="none" w:sz="0" w:space="0" w:color="auto"/>
            <w:right w:val="none" w:sz="0" w:space="0" w:color="auto"/>
          </w:divBdr>
        </w:div>
        <w:div w:id="2058896338">
          <w:marLeft w:val="640"/>
          <w:marRight w:val="0"/>
          <w:marTop w:val="0"/>
          <w:marBottom w:val="0"/>
          <w:divBdr>
            <w:top w:val="none" w:sz="0" w:space="0" w:color="auto"/>
            <w:left w:val="none" w:sz="0" w:space="0" w:color="auto"/>
            <w:bottom w:val="none" w:sz="0" w:space="0" w:color="auto"/>
            <w:right w:val="none" w:sz="0" w:space="0" w:color="auto"/>
          </w:divBdr>
        </w:div>
        <w:div w:id="1695224718">
          <w:marLeft w:val="640"/>
          <w:marRight w:val="0"/>
          <w:marTop w:val="0"/>
          <w:marBottom w:val="0"/>
          <w:divBdr>
            <w:top w:val="none" w:sz="0" w:space="0" w:color="auto"/>
            <w:left w:val="none" w:sz="0" w:space="0" w:color="auto"/>
            <w:bottom w:val="none" w:sz="0" w:space="0" w:color="auto"/>
            <w:right w:val="none" w:sz="0" w:space="0" w:color="auto"/>
          </w:divBdr>
        </w:div>
        <w:div w:id="1237668663">
          <w:marLeft w:val="640"/>
          <w:marRight w:val="0"/>
          <w:marTop w:val="0"/>
          <w:marBottom w:val="0"/>
          <w:divBdr>
            <w:top w:val="none" w:sz="0" w:space="0" w:color="auto"/>
            <w:left w:val="none" w:sz="0" w:space="0" w:color="auto"/>
            <w:bottom w:val="none" w:sz="0" w:space="0" w:color="auto"/>
            <w:right w:val="none" w:sz="0" w:space="0" w:color="auto"/>
          </w:divBdr>
        </w:div>
        <w:div w:id="873154541">
          <w:marLeft w:val="640"/>
          <w:marRight w:val="0"/>
          <w:marTop w:val="0"/>
          <w:marBottom w:val="0"/>
          <w:divBdr>
            <w:top w:val="none" w:sz="0" w:space="0" w:color="auto"/>
            <w:left w:val="none" w:sz="0" w:space="0" w:color="auto"/>
            <w:bottom w:val="none" w:sz="0" w:space="0" w:color="auto"/>
            <w:right w:val="none" w:sz="0" w:space="0" w:color="auto"/>
          </w:divBdr>
        </w:div>
        <w:div w:id="467285382">
          <w:marLeft w:val="640"/>
          <w:marRight w:val="0"/>
          <w:marTop w:val="0"/>
          <w:marBottom w:val="0"/>
          <w:divBdr>
            <w:top w:val="none" w:sz="0" w:space="0" w:color="auto"/>
            <w:left w:val="none" w:sz="0" w:space="0" w:color="auto"/>
            <w:bottom w:val="none" w:sz="0" w:space="0" w:color="auto"/>
            <w:right w:val="none" w:sz="0" w:space="0" w:color="auto"/>
          </w:divBdr>
        </w:div>
        <w:div w:id="1331714776">
          <w:marLeft w:val="640"/>
          <w:marRight w:val="0"/>
          <w:marTop w:val="0"/>
          <w:marBottom w:val="0"/>
          <w:divBdr>
            <w:top w:val="none" w:sz="0" w:space="0" w:color="auto"/>
            <w:left w:val="none" w:sz="0" w:space="0" w:color="auto"/>
            <w:bottom w:val="none" w:sz="0" w:space="0" w:color="auto"/>
            <w:right w:val="none" w:sz="0" w:space="0" w:color="auto"/>
          </w:divBdr>
        </w:div>
        <w:div w:id="525410515">
          <w:marLeft w:val="640"/>
          <w:marRight w:val="0"/>
          <w:marTop w:val="0"/>
          <w:marBottom w:val="0"/>
          <w:divBdr>
            <w:top w:val="none" w:sz="0" w:space="0" w:color="auto"/>
            <w:left w:val="none" w:sz="0" w:space="0" w:color="auto"/>
            <w:bottom w:val="none" w:sz="0" w:space="0" w:color="auto"/>
            <w:right w:val="none" w:sz="0" w:space="0" w:color="auto"/>
          </w:divBdr>
        </w:div>
        <w:div w:id="959148742">
          <w:marLeft w:val="640"/>
          <w:marRight w:val="0"/>
          <w:marTop w:val="0"/>
          <w:marBottom w:val="0"/>
          <w:divBdr>
            <w:top w:val="none" w:sz="0" w:space="0" w:color="auto"/>
            <w:left w:val="none" w:sz="0" w:space="0" w:color="auto"/>
            <w:bottom w:val="none" w:sz="0" w:space="0" w:color="auto"/>
            <w:right w:val="none" w:sz="0" w:space="0" w:color="auto"/>
          </w:divBdr>
        </w:div>
        <w:div w:id="1630622759">
          <w:marLeft w:val="640"/>
          <w:marRight w:val="0"/>
          <w:marTop w:val="0"/>
          <w:marBottom w:val="0"/>
          <w:divBdr>
            <w:top w:val="none" w:sz="0" w:space="0" w:color="auto"/>
            <w:left w:val="none" w:sz="0" w:space="0" w:color="auto"/>
            <w:bottom w:val="none" w:sz="0" w:space="0" w:color="auto"/>
            <w:right w:val="none" w:sz="0" w:space="0" w:color="auto"/>
          </w:divBdr>
        </w:div>
        <w:div w:id="1927955918">
          <w:marLeft w:val="640"/>
          <w:marRight w:val="0"/>
          <w:marTop w:val="0"/>
          <w:marBottom w:val="0"/>
          <w:divBdr>
            <w:top w:val="none" w:sz="0" w:space="0" w:color="auto"/>
            <w:left w:val="none" w:sz="0" w:space="0" w:color="auto"/>
            <w:bottom w:val="none" w:sz="0" w:space="0" w:color="auto"/>
            <w:right w:val="none" w:sz="0" w:space="0" w:color="auto"/>
          </w:divBdr>
        </w:div>
        <w:div w:id="571040841">
          <w:marLeft w:val="640"/>
          <w:marRight w:val="0"/>
          <w:marTop w:val="0"/>
          <w:marBottom w:val="0"/>
          <w:divBdr>
            <w:top w:val="none" w:sz="0" w:space="0" w:color="auto"/>
            <w:left w:val="none" w:sz="0" w:space="0" w:color="auto"/>
            <w:bottom w:val="none" w:sz="0" w:space="0" w:color="auto"/>
            <w:right w:val="none" w:sz="0" w:space="0" w:color="auto"/>
          </w:divBdr>
        </w:div>
        <w:div w:id="1170482489">
          <w:marLeft w:val="640"/>
          <w:marRight w:val="0"/>
          <w:marTop w:val="0"/>
          <w:marBottom w:val="0"/>
          <w:divBdr>
            <w:top w:val="none" w:sz="0" w:space="0" w:color="auto"/>
            <w:left w:val="none" w:sz="0" w:space="0" w:color="auto"/>
            <w:bottom w:val="none" w:sz="0" w:space="0" w:color="auto"/>
            <w:right w:val="none" w:sz="0" w:space="0" w:color="auto"/>
          </w:divBdr>
        </w:div>
        <w:div w:id="1451850565">
          <w:marLeft w:val="640"/>
          <w:marRight w:val="0"/>
          <w:marTop w:val="0"/>
          <w:marBottom w:val="0"/>
          <w:divBdr>
            <w:top w:val="none" w:sz="0" w:space="0" w:color="auto"/>
            <w:left w:val="none" w:sz="0" w:space="0" w:color="auto"/>
            <w:bottom w:val="none" w:sz="0" w:space="0" w:color="auto"/>
            <w:right w:val="none" w:sz="0" w:space="0" w:color="auto"/>
          </w:divBdr>
        </w:div>
        <w:div w:id="1370833910">
          <w:marLeft w:val="640"/>
          <w:marRight w:val="0"/>
          <w:marTop w:val="0"/>
          <w:marBottom w:val="0"/>
          <w:divBdr>
            <w:top w:val="none" w:sz="0" w:space="0" w:color="auto"/>
            <w:left w:val="none" w:sz="0" w:space="0" w:color="auto"/>
            <w:bottom w:val="none" w:sz="0" w:space="0" w:color="auto"/>
            <w:right w:val="none" w:sz="0" w:space="0" w:color="auto"/>
          </w:divBdr>
        </w:div>
        <w:div w:id="246884191">
          <w:marLeft w:val="640"/>
          <w:marRight w:val="0"/>
          <w:marTop w:val="0"/>
          <w:marBottom w:val="0"/>
          <w:divBdr>
            <w:top w:val="none" w:sz="0" w:space="0" w:color="auto"/>
            <w:left w:val="none" w:sz="0" w:space="0" w:color="auto"/>
            <w:bottom w:val="none" w:sz="0" w:space="0" w:color="auto"/>
            <w:right w:val="none" w:sz="0" w:space="0" w:color="auto"/>
          </w:divBdr>
        </w:div>
        <w:div w:id="857541217">
          <w:marLeft w:val="640"/>
          <w:marRight w:val="0"/>
          <w:marTop w:val="0"/>
          <w:marBottom w:val="0"/>
          <w:divBdr>
            <w:top w:val="none" w:sz="0" w:space="0" w:color="auto"/>
            <w:left w:val="none" w:sz="0" w:space="0" w:color="auto"/>
            <w:bottom w:val="none" w:sz="0" w:space="0" w:color="auto"/>
            <w:right w:val="none" w:sz="0" w:space="0" w:color="auto"/>
          </w:divBdr>
        </w:div>
        <w:div w:id="358548455">
          <w:marLeft w:val="640"/>
          <w:marRight w:val="0"/>
          <w:marTop w:val="0"/>
          <w:marBottom w:val="0"/>
          <w:divBdr>
            <w:top w:val="none" w:sz="0" w:space="0" w:color="auto"/>
            <w:left w:val="none" w:sz="0" w:space="0" w:color="auto"/>
            <w:bottom w:val="none" w:sz="0" w:space="0" w:color="auto"/>
            <w:right w:val="none" w:sz="0" w:space="0" w:color="auto"/>
          </w:divBdr>
        </w:div>
        <w:div w:id="446244903">
          <w:marLeft w:val="640"/>
          <w:marRight w:val="0"/>
          <w:marTop w:val="0"/>
          <w:marBottom w:val="0"/>
          <w:divBdr>
            <w:top w:val="none" w:sz="0" w:space="0" w:color="auto"/>
            <w:left w:val="none" w:sz="0" w:space="0" w:color="auto"/>
            <w:bottom w:val="none" w:sz="0" w:space="0" w:color="auto"/>
            <w:right w:val="none" w:sz="0" w:space="0" w:color="auto"/>
          </w:divBdr>
        </w:div>
        <w:div w:id="357893370">
          <w:marLeft w:val="640"/>
          <w:marRight w:val="0"/>
          <w:marTop w:val="0"/>
          <w:marBottom w:val="0"/>
          <w:divBdr>
            <w:top w:val="none" w:sz="0" w:space="0" w:color="auto"/>
            <w:left w:val="none" w:sz="0" w:space="0" w:color="auto"/>
            <w:bottom w:val="none" w:sz="0" w:space="0" w:color="auto"/>
            <w:right w:val="none" w:sz="0" w:space="0" w:color="auto"/>
          </w:divBdr>
        </w:div>
        <w:div w:id="562839421">
          <w:marLeft w:val="640"/>
          <w:marRight w:val="0"/>
          <w:marTop w:val="0"/>
          <w:marBottom w:val="0"/>
          <w:divBdr>
            <w:top w:val="none" w:sz="0" w:space="0" w:color="auto"/>
            <w:left w:val="none" w:sz="0" w:space="0" w:color="auto"/>
            <w:bottom w:val="none" w:sz="0" w:space="0" w:color="auto"/>
            <w:right w:val="none" w:sz="0" w:space="0" w:color="auto"/>
          </w:divBdr>
        </w:div>
        <w:div w:id="1100685734">
          <w:marLeft w:val="640"/>
          <w:marRight w:val="0"/>
          <w:marTop w:val="0"/>
          <w:marBottom w:val="0"/>
          <w:divBdr>
            <w:top w:val="none" w:sz="0" w:space="0" w:color="auto"/>
            <w:left w:val="none" w:sz="0" w:space="0" w:color="auto"/>
            <w:bottom w:val="none" w:sz="0" w:space="0" w:color="auto"/>
            <w:right w:val="none" w:sz="0" w:space="0" w:color="auto"/>
          </w:divBdr>
        </w:div>
        <w:div w:id="1320422764">
          <w:marLeft w:val="640"/>
          <w:marRight w:val="0"/>
          <w:marTop w:val="0"/>
          <w:marBottom w:val="0"/>
          <w:divBdr>
            <w:top w:val="none" w:sz="0" w:space="0" w:color="auto"/>
            <w:left w:val="none" w:sz="0" w:space="0" w:color="auto"/>
            <w:bottom w:val="none" w:sz="0" w:space="0" w:color="auto"/>
            <w:right w:val="none" w:sz="0" w:space="0" w:color="auto"/>
          </w:divBdr>
        </w:div>
        <w:div w:id="1329627056">
          <w:marLeft w:val="640"/>
          <w:marRight w:val="0"/>
          <w:marTop w:val="0"/>
          <w:marBottom w:val="0"/>
          <w:divBdr>
            <w:top w:val="none" w:sz="0" w:space="0" w:color="auto"/>
            <w:left w:val="none" w:sz="0" w:space="0" w:color="auto"/>
            <w:bottom w:val="none" w:sz="0" w:space="0" w:color="auto"/>
            <w:right w:val="none" w:sz="0" w:space="0" w:color="auto"/>
          </w:divBdr>
        </w:div>
        <w:div w:id="1155873374">
          <w:marLeft w:val="640"/>
          <w:marRight w:val="0"/>
          <w:marTop w:val="0"/>
          <w:marBottom w:val="0"/>
          <w:divBdr>
            <w:top w:val="none" w:sz="0" w:space="0" w:color="auto"/>
            <w:left w:val="none" w:sz="0" w:space="0" w:color="auto"/>
            <w:bottom w:val="none" w:sz="0" w:space="0" w:color="auto"/>
            <w:right w:val="none" w:sz="0" w:space="0" w:color="auto"/>
          </w:divBdr>
        </w:div>
        <w:div w:id="656693805">
          <w:marLeft w:val="640"/>
          <w:marRight w:val="0"/>
          <w:marTop w:val="0"/>
          <w:marBottom w:val="0"/>
          <w:divBdr>
            <w:top w:val="none" w:sz="0" w:space="0" w:color="auto"/>
            <w:left w:val="none" w:sz="0" w:space="0" w:color="auto"/>
            <w:bottom w:val="none" w:sz="0" w:space="0" w:color="auto"/>
            <w:right w:val="none" w:sz="0" w:space="0" w:color="auto"/>
          </w:divBdr>
        </w:div>
        <w:div w:id="694890394">
          <w:marLeft w:val="640"/>
          <w:marRight w:val="0"/>
          <w:marTop w:val="0"/>
          <w:marBottom w:val="0"/>
          <w:divBdr>
            <w:top w:val="none" w:sz="0" w:space="0" w:color="auto"/>
            <w:left w:val="none" w:sz="0" w:space="0" w:color="auto"/>
            <w:bottom w:val="none" w:sz="0" w:space="0" w:color="auto"/>
            <w:right w:val="none" w:sz="0" w:space="0" w:color="auto"/>
          </w:divBdr>
        </w:div>
        <w:div w:id="270403641">
          <w:marLeft w:val="640"/>
          <w:marRight w:val="0"/>
          <w:marTop w:val="0"/>
          <w:marBottom w:val="0"/>
          <w:divBdr>
            <w:top w:val="none" w:sz="0" w:space="0" w:color="auto"/>
            <w:left w:val="none" w:sz="0" w:space="0" w:color="auto"/>
            <w:bottom w:val="none" w:sz="0" w:space="0" w:color="auto"/>
            <w:right w:val="none" w:sz="0" w:space="0" w:color="auto"/>
          </w:divBdr>
        </w:div>
        <w:div w:id="1097864682">
          <w:marLeft w:val="640"/>
          <w:marRight w:val="0"/>
          <w:marTop w:val="0"/>
          <w:marBottom w:val="0"/>
          <w:divBdr>
            <w:top w:val="none" w:sz="0" w:space="0" w:color="auto"/>
            <w:left w:val="none" w:sz="0" w:space="0" w:color="auto"/>
            <w:bottom w:val="none" w:sz="0" w:space="0" w:color="auto"/>
            <w:right w:val="none" w:sz="0" w:space="0" w:color="auto"/>
          </w:divBdr>
        </w:div>
        <w:div w:id="2026125232">
          <w:marLeft w:val="640"/>
          <w:marRight w:val="0"/>
          <w:marTop w:val="0"/>
          <w:marBottom w:val="0"/>
          <w:divBdr>
            <w:top w:val="none" w:sz="0" w:space="0" w:color="auto"/>
            <w:left w:val="none" w:sz="0" w:space="0" w:color="auto"/>
            <w:bottom w:val="none" w:sz="0" w:space="0" w:color="auto"/>
            <w:right w:val="none" w:sz="0" w:space="0" w:color="auto"/>
          </w:divBdr>
        </w:div>
        <w:div w:id="1813717837">
          <w:marLeft w:val="640"/>
          <w:marRight w:val="0"/>
          <w:marTop w:val="0"/>
          <w:marBottom w:val="0"/>
          <w:divBdr>
            <w:top w:val="none" w:sz="0" w:space="0" w:color="auto"/>
            <w:left w:val="none" w:sz="0" w:space="0" w:color="auto"/>
            <w:bottom w:val="none" w:sz="0" w:space="0" w:color="auto"/>
            <w:right w:val="none" w:sz="0" w:space="0" w:color="auto"/>
          </w:divBdr>
        </w:div>
        <w:div w:id="1024550172">
          <w:marLeft w:val="640"/>
          <w:marRight w:val="0"/>
          <w:marTop w:val="0"/>
          <w:marBottom w:val="0"/>
          <w:divBdr>
            <w:top w:val="none" w:sz="0" w:space="0" w:color="auto"/>
            <w:left w:val="none" w:sz="0" w:space="0" w:color="auto"/>
            <w:bottom w:val="none" w:sz="0" w:space="0" w:color="auto"/>
            <w:right w:val="none" w:sz="0" w:space="0" w:color="auto"/>
          </w:divBdr>
        </w:div>
        <w:div w:id="383481794">
          <w:marLeft w:val="640"/>
          <w:marRight w:val="0"/>
          <w:marTop w:val="0"/>
          <w:marBottom w:val="0"/>
          <w:divBdr>
            <w:top w:val="none" w:sz="0" w:space="0" w:color="auto"/>
            <w:left w:val="none" w:sz="0" w:space="0" w:color="auto"/>
            <w:bottom w:val="none" w:sz="0" w:space="0" w:color="auto"/>
            <w:right w:val="none" w:sz="0" w:space="0" w:color="auto"/>
          </w:divBdr>
        </w:div>
        <w:div w:id="1465660509">
          <w:marLeft w:val="640"/>
          <w:marRight w:val="0"/>
          <w:marTop w:val="0"/>
          <w:marBottom w:val="0"/>
          <w:divBdr>
            <w:top w:val="none" w:sz="0" w:space="0" w:color="auto"/>
            <w:left w:val="none" w:sz="0" w:space="0" w:color="auto"/>
            <w:bottom w:val="none" w:sz="0" w:space="0" w:color="auto"/>
            <w:right w:val="none" w:sz="0" w:space="0" w:color="auto"/>
          </w:divBdr>
        </w:div>
        <w:div w:id="265621778">
          <w:marLeft w:val="640"/>
          <w:marRight w:val="0"/>
          <w:marTop w:val="0"/>
          <w:marBottom w:val="0"/>
          <w:divBdr>
            <w:top w:val="none" w:sz="0" w:space="0" w:color="auto"/>
            <w:left w:val="none" w:sz="0" w:space="0" w:color="auto"/>
            <w:bottom w:val="none" w:sz="0" w:space="0" w:color="auto"/>
            <w:right w:val="none" w:sz="0" w:space="0" w:color="auto"/>
          </w:divBdr>
        </w:div>
        <w:div w:id="785344191">
          <w:marLeft w:val="640"/>
          <w:marRight w:val="0"/>
          <w:marTop w:val="0"/>
          <w:marBottom w:val="0"/>
          <w:divBdr>
            <w:top w:val="none" w:sz="0" w:space="0" w:color="auto"/>
            <w:left w:val="none" w:sz="0" w:space="0" w:color="auto"/>
            <w:bottom w:val="none" w:sz="0" w:space="0" w:color="auto"/>
            <w:right w:val="none" w:sz="0" w:space="0" w:color="auto"/>
          </w:divBdr>
        </w:div>
        <w:div w:id="2081975966">
          <w:marLeft w:val="640"/>
          <w:marRight w:val="0"/>
          <w:marTop w:val="0"/>
          <w:marBottom w:val="0"/>
          <w:divBdr>
            <w:top w:val="none" w:sz="0" w:space="0" w:color="auto"/>
            <w:left w:val="none" w:sz="0" w:space="0" w:color="auto"/>
            <w:bottom w:val="none" w:sz="0" w:space="0" w:color="auto"/>
            <w:right w:val="none" w:sz="0" w:space="0" w:color="auto"/>
          </w:divBdr>
        </w:div>
        <w:div w:id="126123182">
          <w:marLeft w:val="640"/>
          <w:marRight w:val="0"/>
          <w:marTop w:val="0"/>
          <w:marBottom w:val="0"/>
          <w:divBdr>
            <w:top w:val="none" w:sz="0" w:space="0" w:color="auto"/>
            <w:left w:val="none" w:sz="0" w:space="0" w:color="auto"/>
            <w:bottom w:val="none" w:sz="0" w:space="0" w:color="auto"/>
            <w:right w:val="none" w:sz="0" w:space="0" w:color="auto"/>
          </w:divBdr>
        </w:div>
        <w:div w:id="2115859918">
          <w:marLeft w:val="640"/>
          <w:marRight w:val="0"/>
          <w:marTop w:val="0"/>
          <w:marBottom w:val="0"/>
          <w:divBdr>
            <w:top w:val="none" w:sz="0" w:space="0" w:color="auto"/>
            <w:left w:val="none" w:sz="0" w:space="0" w:color="auto"/>
            <w:bottom w:val="none" w:sz="0" w:space="0" w:color="auto"/>
            <w:right w:val="none" w:sz="0" w:space="0" w:color="auto"/>
          </w:divBdr>
        </w:div>
        <w:div w:id="470026471">
          <w:marLeft w:val="640"/>
          <w:marRight w:val="0"/>
          <w:marTop w:val="0"/>
          <w:marBottom w:val="0"/>
          <w:divBdr>
            <w:top w:val="none" w:sz="0" w:space="0" w:color="auto"/>
            <w:left w:val="none" w:sz="0" w:space="0" w:color="auto"/>
            <w:bottom w:val="none" w:sz="0" w:space="0" w:color="auto"/>
            <w:right w:val="none" w:sz="0" w:space="0" w:color="auto"/>
          </w:divBdr>
        </w:div>
        <w:div w:id="476536557">
          <w:marLeft w:val="640"/>
          <w:marRight w:val="0"/>
          <w:marTop w:val="0"/>
          <w:marBottom w:val="0"/>
          <w:divBdr>
            <w:top w:val="none" w:sz="0" w:space="0" w:color="auto"/>
            <w:left w:val="none" w:sz="0" w:space="0" w:color="auto"/>
            <w:bottom w:val="none" w:sz="0" w:space="0" w:color="auto"/>
            <w:right w:val="none" w:sz="0" w:space="0" w:color="auto"/>
          </w:divBdr>
        </w:div>
        <w:div w:id="817113373">
          <w:marLeft w:val="640"/>
          <w:marRight w:val="0"/>
          <w:marTop w:val="0"/>
          <w:marBottom w:val="0"/>
          <w:divBdr>
            <w:top w:val="none" w:sz="0" w:space="0" w:color="auto"/>
            <w:left w:val="none" w:sz="0" w:space="0" w:color="auto"/>
            <w:bottom w:val="none" w:sz="0" w:space="0" w:color="auto"/>
            <w:right w:val="none" w:sz="0" w:space="0" w:color="auto"/>
          </w:divBdr>
        </w:div>
        <w:div w:id="2063020664">
          <w:marLeft w:val="640"/>
          <w:marRight w:val="0"/>
          <w:marTop w:val="0"/>
          <w:marBottom w:val="0"/>
          <w:divBdr>
            <w:top w:val="none" w:sz="0" w:space="0" w:color="auto"/>
            <w:left w:val="none" w:sz="0" w:space="0" w:color="auto"/>
            <w:bottom w:val="none" w:sz="0" w:space="0" w:color="auto"/>
            <w:right w:val="none" w:sz="0" w:space="0" w:color="auto"/>
          </w:divBdr>
        </w:div>
        <w:div w:id="718281217">
          <w:marLeft w:val="640"/>
          <w:marRight w:val="0"/>
          <w:marTop w:val="0"/>
          <w:marBottom w:val="0"/>
          <w:divBdr>
            <w:top w:val="none" w:sz="0" w:space="0" w:color="auto"/>
            <w:left w:val="none" w:sz="0" w:space="0" w:color="auto"/>
            <w:bottom w:val="none" w:sz="0" w:space="0" w:color="auto"/>
            <w:right w:val="none" w:sz="0" w:space="0" w:color="auto"/>
          </w:divBdr>
        </w:div>
        <w:div w:id="509411786">
          <w:marLeft w:val="640"/>
          <w:marRight w:val="0"/>
          <w:marTop w:val="0"/>
          <w:marBottom w:val="0"/>
          <w:divBdr>
            <w:top w:val="none" w:sz="0" w:space="0" w:color="auto"/>
            <w:left w:val="none" w:sz="0" w:space="0" w:color="auto"/>
            <w:bottom w:val="none" w:sz="0" w:space="0" w:color="auto"/>
            <w:right w:val="none" w:sz="0" w:space="0" w:color="auto"/>
          </w:divBdr>
        </w:div>
        <w:div w:id="411390010">
          <w:marLeft w:val="640"/>
          <w:marRight w:val="0"/>
          <w:marTop w:val="0"/>
          <w:marBottom w:val="0"/>
          <w:divBdr>
            <w:top w:val="none" w:sz="0" w:space="0" w:color="auto"/>
            <w:left w:val="none" w:sz="0" w:space="0" w:color="auto"/>
            <w:bottom w:val="none" w:sz="0" w:space="0" w:color="auto"/>
            <w:right w:val="none" w:sz="0" w:space="0" w:color="auto"/>
          </w:divBdr>
        </w:div>
        <w:div w:id="771558058">
          <w:marLeft w:val="640"/>
          <w:marRight w:val="0"/>
          <w:marTop w:val="0"/>
          <w:marBottom w:val="0"/>
          <w:divBdr>
            <w:top w:val="none" w:sz="0" w:space="0" w:color="auto"/>
            <w:left w:val="none" w:sz="0" w:space="0" w:color="auto"/>
            <w:bottom w:val="none" w:sz="0" w:space="0" w:color="auto"/>
            <w:right w:val="none" w:sz="0" w:space="0" w:color="auto"/>
          </w:divBdr>
        </w:div>
        <w:div w:id="633365282">
          <w:marLeft w:val="640"/>
          <w:marRight w:val="0"/>
          <w:marTop w:val="0"/>
          <w:marBottom w:val="0"/>
          <w:divBdr>
            <w:top w:val="none" w:sz="0" w:space="0" w:color="auto"/>
            <w:left w:val="none" w:sz="0" w:space="0" w:color="auto"/>
            <w:bottom w:val="none" w:sz="0" w:space="0" w:color="auto"/>
            <w:right w:val="none" w:sz="0" w:space="0" w:color="auto"/>
          </w:divBdr>
        </w:div>
        <w:div w:id="800881663">
          <w:marLeft w:val="640"/>
          <w:marRight w:val="0"/>
          <w:marTop w:val="0"/>
          <w:marBottom w:val="0"/>
          <w:divBdr>
            <w:top w:val="none" w:sz="0" w:space="0" w:color="auto"/>
            <w:left w:val="none" w:sz="0" w:space="0" w:color="auto"/>
            <w:bottom w:val="none" w:sz="0" w:space="0" w:color="auto"/>
            <w:right w:val="none" w:sz="0" w:space="0" w:color="auto"/>
          </w:divBdr>
        </w:div>
        <w:div w:id="710038397">
          <w:marLeft w:val="640"/>
          <w:marRight w:val="0"/>
          <w:marTop w:val="0"/>
          <w:marBottom w:val="0"/>
          <w:divBdr>
            <w:top w:val="none" w:sz="0" w:space="0" w:color="auto"/>
            <w:left w:val="none" w:sz="0" w:space="0" w:color="auto"/>
            <w:bottom w:val="none" w:sz="0" w:space="0" w:color="auto"/>
            <w:right w:val="none" w:sz="0" w:space="0" w:color="auto"/>
          </w:divBdr>
        </w:div>
        <w:div w:id="142550297">
          <w:marLeft w:val="640"/>
          <w:marRight w:val="0"/>
          <w:marTop w:val="0"/>
          <w:marBottom w:val="0"/>
          <w:divBdr>
            <w:top w:val="none" w:sz="0" w:space="0" w:color="auto"/>
            <w:left w:val="none" w:sz="0" w:space="0" w:color="auto"/>
            <w:bottom w:val="none" w:sz="0" w:space="0" w:color="auto"/>
            <w:right w:val="none" w:sz="0" w:space="0" w:color="auto"/>
          </w:divBdr>
        </w:div>
        <w:div w:id="164323314">
          <w:marLeft w:val="640"/>
          <w:marRight w:val="0"/>
          <w:marTop w:val="0"/>
          <w:marBottom w:val="0"/>
          <w:divBdr>
            <w:top w:val="none" w:sz="0" w:space="0" w:color="auto"/>
            <w:left w:val="none" w:sz="0" w:space="0" w:color="auto"/>
            <w:bottom w:val="none" w:sz="0" w:space="0" w:color="auto"/>
            <w:right w:val="none" w:sz="0" w:space="0" w:color="auto"/>
          </w:divBdr>
        </w:div>
        <w:div w:id="1731423090">
          <w:marLeft w:val="640"/>
          <w:marRight w:val="0"/>
          <w:marTop w:val="0"/>
          <w:marBottom w:val="0"/>
          <w:divBdr>
            <w:top w:val="none" w:sz="0" w:space="0" w:color="auto"/>
            <w:left w:val="none" w:sz="0" w:space="0" w:color="auto"/>
            <w:bottom w:val="none" w:sz="0" w:space="0" w:color="auto"/>
            <w:right w:val="none" w:sz="0" w:space="0" w:color="auto"/>
          </w:divBdr>
        </w:div>
        <w:div w:id="1394424436">
          <w:marLeft w:val="640"/>
          <w:marRight w:val="0"/>
          <w:marTop w:val="0"/>
          <w:marBottom w:val="0"/>
          <w:divBdr>
            <w:top w:val="none" w:sz="0" w:space="0" w:color="auto"/>
            <w:left w:val="none" w:sz="0" w:space="0" w:color="auto"/>
            <w:bottom w:val="none" w:sz="0" w:space="0" w:color="auto"/>
            <w:right w:val="none" w:sz="0" w:space="0" w:color="auto"/>
          </w:divBdr>
        </w:div>
        <w:div w:id="1186167765">
          <w:marLeft w:val="640"/>
          <w:marRight w:val="0"/>
          <w:marTop w:val="0"/>
          <w:marBottom w:val="0"/>
          <w:divBdr>
            <w:top w:val="none" w:sz="0" w:space="0" w:color="auto"/>
            <w:left w:val="none" w:sz="0" w:space="0" w:color="auto"/>
            <w:bottom w:val="none" w:sz="0" w:space="0" w:color="auto"/>
            <w:right w:val="none" w:sz="0" w:space="0" w:color="auto"/>
          </w:divBdr>
        </w:div>
        <w:div w:id="1203131455">
          <w:marLeft w:val="640"/>
          <w:marRight w:val="0"/>
          <w:marTop w:val="0"/>
          <w:marBottom w:val="0"/>
          <w:divBdr>
            <w:top w:val="none" w:sz="0" w:space="0" w:color="auto"/>
            <w:left w:val="none" w:sz="0" w:space="0" w:color="auto"/>
            <w:bottom w:val="none" w:sz="0" w:space="0" w:color="auto"/>
            <w:right w:val="none" w:sz="0" w:space="0" w:color="auto"/>
          </w:divBdr>
        </w:div>
        <w:div w:id="1616450329">
          <w:marLeft w:val="640"/>
          <w:marRight w:val="0"/>
          <w:marTop w:val="0"/>
          <w:marBottom w:val="0"/>
          <w:divBdr>
            <w:top w:val="none" w:sz="0" w:space="0" w:color="auto"/>
            <w:left w:val="none" w:sz="0" w:space="0" w:color="auto"/>
            <w:bottom w:val="none" w:sz="0" w:space="0" w:color="auto"/>
            <w:right w:val="none" w:sz="0" w:space="0" w:color="auto"/>
          </w:divBdr>
        </w:div>
        <w:div w:id="735469696">
          <w:marLeft w:val="640"/>
          <w:marRight w:val="0"/>
          <w:marTop w:val="0"/>
          <w:marBottom w:val="0"/>
          <w:divBdr>
            <w:top w:val="none" w:sz="0" w:space="0" w:color="auto"/>
            <w:left w:val="none" w:sz="0" w:space="0" w:color="auto"/>
            <w:bottom w:val="none" w:sz="0" w:space="0" w:color="auto"/>
            <w:right w:val="none" w:sz="0" w:space="0" w:color="auto"/>
          </w:divBdr>
        </w:div>
        <w:div w:id="1254897037">
          <w:marLeft w:val="640"/>
          <w:marRight w:val="0"/>
          <w:marTop w:val="0"/>
          <w:marBottom w:val="0"/>
          <w:divBdr>
            <w:top w:val="none" w:sz="0" w:space="0" w:color="auto"/>
            <w:left w:val="none" w:sz="0" w:space="0" w:color="auto"/>
            <w:bottom w:val="none" w:sz="0" w:space="0" w:color="auto"/>
            <w:right w:val="none" w:sz="0" w:space="0" w:color="auto"/>
          </w:divBdr>
        </w:div>
        <w:div w:id="612133535">
          <w:marLeft w:val="640"/>
          <w:marRight w:val="0"/>
          <w:marTop w:val="0"/>
          <w:marBottom w:val="0"/>
          <w:divBdr>
            <w:top w:val="none" w:sz="0" w:space="0" w:color="auto"/>
            <w:left w:val="none" w:sz="0" w:space="0" w:color="auto"/>
            <w:bottom w:val="none" w:sz="0" w:space="0" w:color="auto"/>
            <w:right w:val="none" w:sz="0" w:space="0" w:color="auto"/>
          </w:divBdr>
        </w:div>
        <w:div w:id="1346784234">
          <w:marLeft w:val="640"/>
          <w:marRight w:val="0"/>
          <w:marTop w:val="0"/>
          <w:marBottom w:val="0"/>
          <w:divBdr>
            <w:top w:val="none" w:sz="0" w:space="0" w:color="auto"/>
            <w:left w:val="none" w:sz="0" w:space="0" w:color="auto"/>
            <w:bottom w:val="none" w:sz="0" w:space="0" w:color="auto"/>
            <w:right w:val="none" w:sz="0" w:space="0" w:color="auto"/>
          </w:divBdr>
        </w:div>
        <w:div w:id="345643741">
          <w:marLeft w:val="640"/>
          <w:marRight w:val="0"/>
          <w:marTop w:val="0"/>
          <w:marBottom w:val="0"/>
          <w:divBdr>
            <w:top w:val="none" w:sz="0" w:space="0" w:color="auto"/>
            <w:left w:val="none" w:sz="0" w:space="0" w:color="auto"/>
            <w:bottom w:val="none" w:sz="0" w:space="0" w:color="auto"/>
            <w:right w:val="none" w:sz="0" w:space="0" w:color="auto"/>
          </w:divBdr>
        </w:div>
        <w:div w:id="1302150640">
          <w:marLeft w:val="640"/>
          <w:marRight w:val="0"/>
          <w:marTop w:val="0"/>
          <w:marBottom w:val="0"/>
          <w:divBdr>
            <w:top w:val="none" w:sz="0" w:space="0" w:color="auto"/>
            <w:left w:val="none" w:sz="0" w:space="0" w:color="auto"/>
            <w:bottom w:val="none" w:sz="0" w:space="0" w:color="auto"/>
            <w:right w:val="none" w:sz="0" w:space="0" w:color="auto"/>
          </w:divBdr>
        </w:div>
        <w:div w:id="726491624">
          <w:marLeft w:val="640"/>
          <w:marRight w:val="0"/>
          <w:marTop w:val="0"/>
          <w:marBottom w:val="0"/>
          <w:divBdr>
            <w:top w:val="none" w:sz="0" w:space="0" w:color="auto"/>
            <w:left w:val="none" w:sz="0" w:space="0" w:color="auto"/>
            <w:bottom w:val="none" w:sz="0" w:space="0" w:color="auto"/>
            <w:right w:val="none" w:sz="0" w:space="0" w:color="auto"/>
          </w:divBdr>
        </w:div>
        <w:div w:id="1814828604">
          <w:marLeft w:val="640"/>
          <w:marRight w:val="0"/>
          <w:marTop w:val="0"/>
          <w:marBottom w:val="0"/>
          <w:divBdr>
            <w:top w:val="none" w:sz="0" w:space="0" w:color="auto"/>
            <w:left w:val="none" w:sz="0" w:space="0" w:color="auto"/>
            <w:bottom w:val="none" w:sz="0" w:space="0" w:color="auto"/>
            <w:right w:val="none" w:sz="0" w:space="0" w:color="auto"/>
          </w:divBdr>
        </w:div>
        <w:div w:id="993803275">
          <w:marLeft w:val="640"/>
          <w:marRight w:val="0"/>
          <w:marTop w:val="0"/>
          <w:marBottom w:val="0"/>
          <w:divBdr>
            <w:top w:val="none" w:sz="0" w:space="0" w:color="auto"/>
            <w:left w:val="none" w:sz="0" w:space="0" w:color="auto"/>
            <w:bottom w:val="none" w:sz="0" w:space="0" w:color="auto"/>
            <w:right w:val="none" w:sz="0" w:space="0" w:color="auto"/>
          </w:divBdr>
        </w:div>
        <w:div w:id="459878815">
          <w:marLeft w:val="640"/>
          <w:marRight w:val="0"/>
          <w:marTop w:val="0"/>
          <w:marBottom w:val="0"/>
          <w:divBdr>
            <w:top w:val="none" w:sz="0" w:space="0" w:color="auto"/>
            <w:left w:val="none" w:sz="0" w:space="0" w:color="auto"/>
            <w:bottom w:val="none" w:sz="0" w:space="0" w:color="auto"/>
            <w:right w:val="none" w:sz="0" w:space="0" w:color="auto"/>
          </w:divBdr>
        </w:div>
        <w:div w:id="406270947">
          <w:marLeft w:val="640"/>
          <w:marRight w:val="0"/>
          <w:marTop w:val="0"/>
          <w:marBottom w:val="0"/>
          <w:divBdr>
            <w:top w:val="none" w:sz="0" w:space="0" w:color="auto"/>
            <w:left w:val="none" w:sz="0" w:space="0" w:color="auto"/>
            <w:bottom w:val="none" w:sz="0" w:space="0" w:color="auto"/>
            <w:right w:val="none" w:sz="0" w:space="0" w:color="auto"/>
          </w:divBdr>
        </w:div>
        <w:div w:id="1835683747">
          <w:marLeft w:val="640"/>
          <w:marRight w:val="0"/>
          <w:marTop w:val="0"/>
          <w:marBottom w:val="0"/>
          <w:divBdr>
            <w:top w:val="none" w:sz="0" w:space="0" w:color="auto"/>
            <w:left w:val="none" w:sz="0" w:space="0" w:color="auto"/>
            <w:bottom w:val="none" w:sz="0" w:space="0" w:color="auto"/>
            <w:right w:val="none" w:sz="0" w:space="0" w:color="auto"/>
          </w:divBdr>
        </w:div>
        <w:div w:id="1992295678">
          <w:marLeft w:val="640"/>
          <w:marRight w:val="0"/>
          <w:marTop w:val="0"/>
          <w:marBottom w:val="0"/>
          <w:divBdr>
            <w:top w:val="none" w:sz="0" w:space="0" w:color="auto"/>
            <w:left w:val="none" w:sz="0" w:space="0" w:color="auto"/>
            <w:bottom w:val="none" w:sz="0" w:space="0" w:color="auto"/>
            <w:right w:val="none" w:sz="0" w:space="0" w:color="auto"/>
          </w:divBdr>
        </w:div>
        <w:div w:id="1649899895">
          <w:marLeft w:val="640"/>
          <w:marRight w:val="0"/>
          <w:marTop w:val="0"/>
          <w:marBottom w:val="0"/>
          <w:divBdr>
            <w:top w:val="none" w:sz="0" w:space="0" w:color="auto"/>
            <w:left w:val="none" w:sz="0" w:space="0" w:color="auto"/>
            <w:bottom w:val="none" w:sz="0" w:space="0" w:color="auto"/>
            <w:right w:val="none" w:sz="0" w:space="0" w:color="auto"/>
          </w:divBdr>
        </w:div>
        <w:div w:id="513346493">
          <w:marLeft w:val="640"/>
          <w:marRight w:val="0"/>
          <w:marTop w:val="0"/>
          <w:marBottom w:val="0"/>
          <w:divBdr>
            <w:top w:val="none" w:sz="0" w:space="0" w:color="auto"/>
            <w:left w:val="none" w:sz="0" w:space="0" w:color="auto"/>
            <w:bottom w:val="none" w:sz="0" w:space="0" w:color="auto"/>
            <w:right w:val="none" w:sz="0" w:space="0" w:color="auto"/>
          </w:divBdr>
        </w:div>
        <w:div w:id="1155612254">
          <w:marLeft w:val="640"/>
          <w:marRight w:val="0"/>
          <w:marTop w:val="0"/>
          <w:marBottom w:val="0"/>
          <w:divBdr>
            <w:top w:val="none" w:sz="0" w:space="0" w:color="auto"/>
            <w:left w:val="none" w:sz="0" w:space="0" w:color="auto"/>
            <w:bottom w:val="none" w:sz="0" w:space="0" w:color="auto"/>
            <w:right w:val="none" w:sz="0" w:space="0" w:color="auto"/>
          </w:divBdr>
        </w:div>
        <w:div w:id="1740397975">
          <w:marLeft w:val="640"/>
          <w:marRight w:val="0"/>
          <w:marTop w:val="0"/>
          <w:marBottom w:val="0"/>
          <w:divBdr>
            <w:top w:val="none" w:sz="0" w:space="0" w:color="auto"/>
            <w:left w:val="none" w:sz="0" w:space="0" w:color="auto"/>
            <w:bottom w:val="none" w:sz="0" w:space="0" w:color="auto"/>
            <w:right w:val="none" w:sz="0" w:space="0" w:color="auto"/>
          </w:divBdr>
        </w:div>
        <w:div w:id="1674142400">
          <w:marLeft w:val="640"/>
          <w:marRight w:val="0"/>
          <w:marTop w:val="0"/>
          <w:marBottom w:val="0"/>
          <w:divBdr>
            <w:top w:val="none" w:sz="0" w:space="0" w:color="auto"/>
            <w:left w:val="none" w:sz="0" w:space="0" w:color="auto"/>
            <w:bottom w:val="none" w:sz="0" w:space="0" w:color="auto"/>
            <w:right w:val="none" w:sz="0" w:space="0" w:color="auto"/>
          </w:divBdr>
        </w:div>
        <w:div w:id="535654812">
          <w:marLeft w:val="640"/>
          <w:marRight w:val="0"/>
          <w:marTop w:val="0"/>
          <w:marBottom w:val="0"/>
          <w:divBdr>
            <w:top w:val="none" w:sz="0" w:space="0" w:color="auto"/>
            <w:left w:val="none" w:sz="0" w:space="0" w:color="auto"/>
            <w:bottom w:val="none" w:sz="0" w:space="0" w:color="auto"/>
            <w:right w:val="none" w:sz="0" w:space="0" w:color="auto"/>
          </w:divBdr>
        </w:div>
        <w:div w:id="1060708391">
          <w:marLeft w:val="640"/>
          <w:marRight w:val="0"/>
          <w:marTop w:val="0"/>
          <w:marBottom w:val="0"/>
          <w:divBdr>
            <w:top w:val="none" w:sz="0" w:space="0" w:color="auto"/>
            <w:left w:val="none" w:sz="0" w:space="0" w:color="auto"/>
            <w:bottom w:val="none" w:sz="0" w:space="0" w:color="auto"/>
            <w:right w:val="none" w:sz="0" w:space="0" w:color="auto"/>
          </w:divBdr>
        </w:div>
        <w:div w:id="529686017">
          <w:marLeft w:val="640"/>
          <w:marRight w:val="0"/>
          <w:marTop w:val="0"/>
          <w:marBottom w:val="0"/>
          <w:divBdr>
            <w:top w:val="none" w:sz="0" w:space="0" w:color="auto"/>
            <w:left w:val="none" w:sz="0" w:space="0" w:color="auto"/>
            <w:bottom w:val="none" w:sz="0" w:space="0" w:color="auto"/>
            <w:right w:val="none" w:sz="0" w:space="0" w:color="auto"/>
          </w:divBdr>
        </w:div>
        <w:div w:id="617957985">
          <w:marLeft w:val="640"/>
          <w:marRight w:val="0"/>
          <w:marTop w:val="0"/>
          <w:marBottom w:val="0"/>
          <w:divBdr>
            <w:top w:val="none" w:sz="0" w:space="0" w:color="auto"/>
            <w:left w:val="none" w:sz="0" w:space="0" w:color="auto"/>
            <w:bottom w:val="none" w:sz="0" w:space="0" w:color="auto"/>
            <w:right w:val="none" w:sz="0" w:space="0" w:color="auto"/>
          </w:divBdr>
        </w:div>
        <w:div w:id="1578245266">
          <w:marLeft w:val="640"/>
          <w:marRight w:val="0"/>
          <w:marTop w:val="0"/>
          <w:marBottom w:val="0"/>
          <w:divBdr>
            <w:top w:val="none" w:sz="0" w:space="0" w:color="auto"/>
            <w:left w:val="none" w:sz="0" w:space="0" w:color="auto"/>
            <w:bottom w:val="none" w:sz="0" w:space="0" w:color="auto"/>
            <w:right w:val="none" w:sz="0" w:space="0" w:color="auto"/>
          </w:divBdr>
        </w:div>
        <w:div w:id="1224877681">
          <w:marLeft w:val="640"/>
          <w:marRight w:val="0"/>
          <w:marTop w:val="0"/>
          <w:marBottom w:val="0"/>
          <w:divBdr>
            <w:top w:val="none" w:sz="0" w:space="0" w:color="auto"/>
            <w:left w:val="none" w:sz="0" w:space="0" w:color="auto"/>
            <w:bottom w:val="none" w:sz="0" w:space="0" w:color="auto"/>
            <w:right w:val="none" w:sz="0" w:space="0" w:color="auto"/>
          </w:divBdr>
        </w:div>
        <w:div w:id="1671983948">
          <w:marLeft w:val="640"/>
          <w:marRight w:val="0"/>
          <w:marTop w:val="0"/>
          <w:marBottom w:val="0"/>
          <w:divBdr>
            <w:top w:val="none" w:sz="0" w:space="0" w:color="auto"/>
            <w:left w:val="none" w:sz="0" w:space="0" w:color="auto"/>
            <w:bottom w:val="none" w:sz="0" w:space="0" w:color="auto"/>
            <w:right w:val="none" w:sz="0" w:space="0" w:color="auto"/>
          </w:divBdr>
        </w:div>
        <w:div w:id="998075987">
          <w:marLeft w:val="640"/>
          <w:marRight w:val="0"/>
          <w:marTop w:val="0"/>
          <w:marBottom w:val="0"/>
          <w:divBdr>
            <w:top w:val="none" w:sz="0" w:space="0" w:color="auto"/>
            <w:left w:val="none" w:sz="0" w:space="0" w:color="auto"/>
            <w:bottom w:val="none" w:sz="0" w:space="0" w:color="auto"/>
            <w:right w:val="none" w:sz="0" w:space="0" w:color="auto"/>
          </w:divBdr>
        </w:div>
        <w:div w:id="2124883273">
          <w:marLeft w:val="640"/>
          <w:marRight w:val="0"/>
          <w:marTop w:val="0"/>
          <w:marBottom w:val="0"/>
          <w:divBdr>
            <w:top w:val="none" w:sz="0" w:space="0" w:color="auto"/>
            <w:left w:val="none" w:sz="0" w:space="0" w:color="auto"/>
            <w:bottom w:val="none" w:sz="0" w:space="0" w:color="auto"/>
            <w:right w:val="none" w:sz="0" w:space="0" w:color="auto"/>
          </w:divBdr>
        </w:div>
        <w:div w:id="100997079">
          <w:marLeft w:val="640"/>
          <w:marRight w:val="0"/>
          <w:marTop w:val="0"/>
          <w:marBottom w:val="0"/>
          <w:divBdr>
            <w:top w:val="none" w:sz="0" w:space="0" w:color="auto"/>
            <w:left w:val="none" w:sz="0" w:space="0" w:color="auto"/>
            <w:bottom w:val="none" w:sz="0" w:space="0" w:color="auto"/>
            <w:right w:val="none" w:sz="0" w:space="0" w:color="auto"/>
          </w:divBdr>
        </w:div>
        <w:div w:id="1174539887">
          <w:marLeft w:val="640"/>
          <w:marRight w:val="0"/>
          <w:marTop w:val="0"/>
          <w:marBottom w:val="0"/>
          <w:divBdr>
            <w:top w:val="none" w:sz="0" w:space="0" w:color="auto"/>
            <w:left w:val="none" w:sz="0" w:space="0" w:color="auto"/>
            <w:bottom w:val="none" w:sz="0" w:space="0" w:color="auto"/>
            <w:right w:val="none" w:sz="0" w:space="0" w:color="auto"/>
          </w:divBdr>
        </w:div>
        <w:div w:id="2141537002">
          <w:marLeft w:val="640"/>
          <w:marRight w:val="0"/>
          <w:marTop w:val="0"/>
          <w:marBottom w:val="0"/>
          <w:divBdr>
            <w:top w:val="none" w:sz="0" w:space="0" w:color="auto"/>
            <w:left w:val="none" w:sz="0" w:space="0" w:color="auto"/>
            <w:bottom w:val="none" w:sz="0" w:space="0" w:color="auto"/>
            <w:right w:val="none" w:sz="0" w:space="0" w:color="auto"/>
          </w:divBdr>
        </w:div>
        <w:div w:id="710693471">
          <w:marLeft w:val="640"/>
          <w:marRight w:val="0"/>
          <w:marTop w:val="0"/>
          <w:marBottom w:val="0"/>
          <w:divBdr>
            <w:top w:val="none" w:sz="0" w:space="0" w:color="auto"/>
            <w:left w:val="none" w:sz="0" w:space="0" w:color="auto"/>
            <w:bottom w:val="none" w:sz="0" w:space="0" w:color="auto"/>
            <w:right w:val="none" w:sz="0" w:space="0" w:color="auto"/>
          </w:divBdr>
        </w:div>
        <w:div w:id="1532180600">
          <w:marLeft w:val="640"/>
          <w:marRight w:val="0"/>
          <w:marTop w:val="0"/>
          <w:marBottom w:val="0"/>
          <w:divBdr>
            <w:top w:val="none" w:sz="0" w:space="0" w:color="auto"/>
            <w:left w:val="none" w:sz="0" w:space="0" w:color="auto"/>
            <w:bottom w:val="none" w:sz="0" w:space="0" w:color="auto"/>
            <w:right w:val="none" w:sz="0" w:space="0" w:color="auto"/>
          </w:divBdr>
        </w:div>
        <w:div w:id="509874228">
          <w:marLeft w:val="640"/>
          <w:marRight w:val="0"/>
          <w:marTop w:val="0"/>
          <w:marBottom w:val="0"/>
          <w:divBdr>
            <w:top w:val="none" w:sz="0" w:space="0" w:color="auto"/>
            <w:left w:val="none" w:sz="0" w:space="0" w:color="auto"/>
            <w:bottom w:val="none" w:sz="0" w:space="0" w:color="auto"/>
            <w:right w:val="none" w:sz="0" w:space="0" w:color="auto"/>
          </w:divBdr>
        </w:div>
        <w:div w:id="1722440702">
          <w:marLeft w:val="640"/>
          <w:marRight w:val="0"/>
          <w:marTop w:val="0"/>
          <w:marBottom w:val="0"/>
          <w:divBdr>
            <w:top w:val="none" w:sz="0" w:space="0" w:color="auto"/>
            <w:left w:val="none" w:sz="0" w:space="0" w:color="auto"/>
            <w:bottom w:val="none" w:sz="0" w:space="0" w:color="auto"/>
            <w:right w:val="none" w:sz="0" w:space="0" w:color="auto"/>
          </w:divBdr>
        </w:div>
        <w:div w:id="2006663082">
          <w:marLeft w:val="640"/>
          <w:marRight w:val="0"/>
          <w:marTop w:val="0"/>
          <w:marBottom w:val="0"/>
          <w:divBdr>
            <w:top w:val="none" w:sz="0" w:space="0" w:color="auto"/>
            <w:left w:val="none" w:sz="0" w:space="0" w:color="auto"/>
            <w:bottom w:val="none" w:sz="0" w:space="0" w:color="auto"/>
            <w:right w:val="none" w:sz="0" w:space="0" w:color="auto"/>
          </w:divBdr>
        </w:div>
        <w:div w:id="692918071">
          <w:marLeft w:val="640"/>
          <w:marRight w:val="0"/>
          <w:marTop w:val="0"/>
          <w:marBottom w:val="0"/>
          <w:divBdr>
            <w:top w:val="none" w:sz="0" w:space="0" w:color="auto"/>
            <w:left w:val="none" w:sz="0" w:space="0" w:color="auto"/>
            <w:bottom w:val="none" w:sz="0" w:space="0" w:color="auto"/>
            <w:right w:val="none" w:sz="0" w:space="0" w:color="auto"/>
          </w:divBdr>
        </w:div>
        <w:div w:id="175271251">
          <w:marLeft w:val="640"/>
          <w:marRight w:val="0"/>
          <w:marTop w:val="0"/>
          <w:marBottom w:val="0"/>
          <w:divBdr>
            <w:top w:val="none" w:sz="0" w:space="0" w:color="auto"/>
            <w:left w:val="none" w:sz="0" w:space="0" w:color="auto"/>
            <w:bottom w:val="none" w:sz="0" w:space="0" w:color="auto"/>
            <w:right w:val="none" w:sz="0" w:space="0" w:color="auto"/>
          </w:divBdr>
        </w:div>
        <w:div w:id="1009218923">
          <w:marLeft w:val="640"/>
          <w:marRight w:val="0"/>
          <w:marTop w:val="0"/>
          <w:marBottom w:val="0"/>
          <w:divBdr>
            <w:top w:val="none" w:sz="0" w:space="0" w:color="auto"/>
            <w:left w:val="none" w:sz="0" w:space="0" w:color="auto"/>
            <w:bottom w:val="none" w:sz="0" w:space="0" w:color="auto"/>
            <w:right w:val="none" w:sz="0" w:space="0" w:color="auto"/>
          </w:divBdr>
        </w:div>
        <w:div w:id="2123569211">
          <w:marLeft w:val="640"/>
          <w:marRight w:val="0"/>
          <w:marTop w:val="0"/>
          <w:marBottom w:val="0"/>
          <w:divBdr>
            <w:top w:val="none" w:sz="0" w:space="0" w:color="auto"/>
            <w:left w:val="none" w:sz="0" w:space="0" w:color="auto"/>
            <w:bottom w:val="none" w:sz="0" w:space="0" w:color="auto"/>
            <w:right w:val="none" w:sz="0" w:space="0" w:color="auto"/>
          </w:divBdr>
        </w:div>
        <w:div w:id="1566181804">
          <w:marLeft w:val="640"/>
          <w:marRight w:val="0"/>
          <w:marTop w:val="0"/>
          <w:marBottom w:val="0"/>
          <w:divBdr>
            <w:top w:val="none" w:sz="0" w:space="0" w:color="auto"/>
            <w:left w:val="none" w:sz="0" w:space="0" w:color="auto"/>
            <w:bottom w:val="none" w:sz="0" w:space="0" w:color="auto"/>
            <w:right w:val="none" w:sz="0" w:space="0" w:color="auto"/>
          </w:divBdr>
        </w:div>
        <w:div w:id="1257057338">
          <w:marLeft w:val="640"/>
          <w:marRight w:val="0"/>
          <w:marTop w:val="0"/>
          <w:marBottom w:val="0"/>
          <w:divBdr>
            <w:top w:val="none" w:sz="0" w:space="0" w:color="auto"/>
            <w:left w:val="none" w:sz="0" w:space="0" w:color="auto"/>
            <w:bottom w:val="none" w:sz="0" w:space="0" w:color="auto"/>
            <w:right w:val="none" w:sz="0" w:space="0" w:color="auto"/>
          </w:divBdr>
        </w:div>
        <w:div w:id="5602910">
          <w:marLeft w:val="640"/>
          <w:marRight w:val="0"/>
          <w:marTop w:val="0"/>
          <w:marBottom w:val="0"/>
          <w:divBdr>
            <w:top w:val="none" w:sz="0" w:space="0" w:color="auto"/>
            <w:left w:val="none" w:sz="0" w:space="0" w:color="auto"/>
            <w:bottom w:val="none" w:sz="0" w:space="0" w:color="auto"/>
            <w:right w:val="none" w:sz="0" w:space="0" w:color="auto"/>
          </w:divBdr>
        </w:div>
        <w:div w:id="1538004884">
          <w:marLeft w:val="640"/>
          <w:marRight w:val="0"/>
          <w:marTop w:val="0"/>
          <w:marBottom w:val="0"/>
          <w:divBdr>
            <w:top w:val="none" w:sz="0" w:space="0" w:color="auto"/>
            <w:left w:val="none" w:sz="0" w:space="0" w:color="auto"/>
            <w:bottom w:val="none" w:sz="0" w:space="0" w:color="auto"/>
            <w:right w:val="none" w:sz="0" w:space="0" w:color="auto"/>
          </w:divBdr>
        </w:div>
        <w:div w:id="1480154367">
          <w:marLeft w:val="640"/>
          <w:marRight w:val="0"/>
          <w:marTop w:val="0"/>
          <w:marBottom w:val="0"/>
          <w:divBdr>
            <w:top w:val="none" w:sz="0" w:space="0" w:color="auto"/>
            <w:left w:val="none" w:sz="0" w:space="0" w:color="auto"/>
            <w:bottom w:val="none" w:sz="0" w:space="0" w:color="auto"/>
            <w:right w:val="none" w:sz="0" w:space="0" w:color="auto"/>
          </w:divBdr>
        </w:div>
        <w:div w:id="1203057731">
          <w:marLeft w:val="640"/>
          <w:marRight w:val="0"/>
          <w:marTop w:val="0"/>
          <w:marBottom w:val="0"/>
          <w:divBdr>
            <w:top w:val="none" w:sz="0" w:space="0" w:color="auto"/>
            <w:left w:val="none" w:sz="0" w:space="0" w:color="auto"/>
            <w:bottom w:val="none" w:sz="0" w:space="0" w:color="auto"/>
            <w:right w:val="none" w:sz="0" w:space="0" w:color="auto"/>
          </w:divBdr>
        </w:div>
        <w:div w:id="1268660857">
          <w:marLeft w:val="640"/>
          <w:marRight w:val="0"/>
          <w:marTop w:val="0"/>
          <w:marBottom w:val="0"/>
          <w:divBdr>
            <w:top w:val="none" w:sz="0" w:space="0" w:color="auto"/>
            <w:left w:val="none" w:sz="0" w:space="0" w:color="auto"/>
            <w:bottom w:val="none" w:sz="0" w:space="0" w:color="auto"/>
            <w:right w:val="none" w:sz="0" w:space="0" w:color="auto"/>
          </w:divBdr>
        </w:div>
        <w:div w:id="1326932355">
          <w:marLeft w:val="640"/>
          <w:marRight w:val="0"/>
          <w:marTop w:val="0"/>
          <w:marBottom w:val="0"/>
          <w:divBdr>
            <w:top w:val="none" w:sz="0" w:space="0" w:color="auto"/>
            <w:left w:val="none" w:sz="0" w:space="0" w:color="auto"/>
            <w:bottom w:val="none" w:sz="0" w:space="0" w:color="auto"/>
            <w:right w:val="none" w:sz="0" w:space="0" w:color="auto"/>
          </w:divBdr>
        </w:div>
        <w:div w:id="1160922757">
          <w:marLeft w:val="640"/>
          <w:marRight w:val="0"/>
          <w:marTop w:val="0"/>
          <w:marBottom w:val="0"/>
          <w:divBdr>
            <w:top w:val="none" w:sz="0" w:space="0" w:color="auto"/>
            <w:left w:val="none" w:sz="0" w:space="0" w:color="auto"/>
            <w:bottom w:val="none" w:sz="0" w:space="0" w:color="auto"/>
            <w:right w:val="none" w:sz="0" w:space="0" w:color="auto"/>
          </w:divBdr>
        </w:div>
        <w:div w:id="624043872">
          <w:marLeft w:val="640"/>
          <w:marRight w:val="0"/>
          <w:marTop w:val="0"/>
          <w:marBottom w:val="0"/>
          <w:divBdr>
            <w:top w:val="none" w:sz="0" w:space="0" w:color="auto"/>
            <w:left w:val="none" w:sz="0" w:space="0" w:color="auto"/>
            <w:bottom w:val="none" w:sz="0" w:space="0" w:color="auto"/>
            <w:right w:val="none" w:sz="0" w:space="0" w:color="auto"/>
          </w:divBdr>
        </w:div>
        <w:div w:id="919221157">
          <w:marLeft w:val="640"/>
          <w:marRight w:val="0"/>
          <w:marTop w:val="0"/>
          <w:marBottom w:val="0"/>
          <w:divBdr>
            <w:top w:val="none" w:sz="0" w:space="0" w:color="auto"/>
            <w:left w:val="none" w:sz="0" w:space="0" w:color="auto"/>
            <w:bottom w:val="none" w:sz="0" w:space="0" w:color="auto"/>
            <w:right w:val="none" w:sz="0" w:space="0" w:color="auto"/>
          </w:divBdr>
        </w:div>
        <w:div w:id="981079470">
          <w:marLeft w:val="640"/>
          <w:marRight w:val="0"/>
          <w:marTop w:val="0"/>
          <w:marBottom w:val="0"/>
          <w:divBdr>
            <w:top w:val="none" w:sz="0" w:space="0" w:color="auto"/>
            <w:left w:val="none" w:sz="0" w:space="0" w:color="auto"/>
            <w:bottom w:val="none" w:sz="0" w:space="0" w:color="auto"/>
            <w:right w:val="none" w:sz="0" w:space="0" w:color="auto"/>
          </w:divBdr>
        </w:div>
        <w:div w:id="1724670749">
          <w:marLeft w:val="640"/>
          <w:marRight w:val="0"/>
          <w:marTop w:val="0"/>
          <w:marBottom w:val="0"/>
          <w:divBdr>
            <w:top w:val="none" w:sz="0" w:space="0" w:color="auto"/>
            <w:left w:val="none" w:sz="0" w:space="0" w:color="auto"/>
            <w:bottom w:val="none" w:sz="0" w:space="0" w:color="auto"/>
            <w:right w:val="none" w:sz="0" w:space="0" w:color="auto"/>
          </w:divBdr>
        </w:div>
        <w:div w:id="1329409918">
          <w:marLeft w:val="640"/>
          <w:marRight w:val="0"/>
          <w:marTop w:val="0"/>
          <w:marBottom w:val="0"/>
          <w:divBdr>
            <w:top w:val="none" w:sz="0" w:space="0" w:color="auto"/>
            <w:left w:val="none" w:sz="0" w:space="0" w:color="auto"/>
            <w:bottom w:val="none" w:sz="0" w:space="0" w:color="auto"/>
            <w:right w:val="none" w:sz="0" w:space="0" w:color="auto"/>
          </w:divBdr>
        </w:div>
        <w:div w:id="594764">
          <w:marLeft w:val="640"/>
          <w:marRight w:val="0"/>
          <w:marTop w:val="0"/>
          <w:marBottom w:val="0"/>
          <w:divBdr>
            <w:top w:val="none" w:sz="0" w:space="0" w:color="auto"/>
            <w:left w:val="none" w:sz="0" w:space="0" w:color="auto"/>
            <w:bottom w:val="none" w:sz="0" w:space="0" w:color="auto"/>
            <w:right w:val="none" w:sz="0" w:space="0" w:color="auto"/>
          </w:divBdr>
        </w:div>
        <w:div w:id="1926645977">
          <w:marLeft w:val="640"/>
          <w:marRight w:val="0"/>
          <w:marTop w:val="0"/>
          <w:marBottom w:val="0"/>
          <w:divBdr>
            <w:top w:val="none" w:sz="0" w:space="0" w:color="auto"/>
            <w:left w:val="none" w:sz="0" w:space="0" w:color="auto"/>
            <w:bottom w:val="none" w:sz="0" w:space="0" w:color="auto"/>
            <w:right w:val="none" w:sz="0" w:space="0" w:color="auto"/>
          </w:divBdr>
        </w:div>
        <w:div w:id="1760590380">
          <w:marLeft w:val="640"/>
          <w:marRight w:val="0"/>
          <w:marTop w:val="0"/>
          <w:marBottom w:val="0"/>
          <w:divBdr>
            <w:top w:val="none" w:sz="0" w:space="0" w:color="auto"/>
            <w:left w:val="none" w:sz="0" w:space="0" w:color="auto"/>
            <w:bottom w:val="none" w:sz="0" w:space="0" w:color="auto"/>
            <w:right w:val="none" w:sz="0" w:space="0" w:color="auto"/>
          </w:divBdr>
        </w:div>
        <w:div w:id="1151405774">
          <w:marLeft w:val="640"/>
          <w:marRight w:val="0"/>
          <w:marTop w:val="0"/>
          <w:marBottom w:val="0"/>
          <w:divBdr>
            <w:top w:val="none" w:sz="0" w:space="0" w:color="auto"/>
            <w:left w:val="none" w:sz="0" w:space="0" w:color="auto"/>
            <w:bottom w:val="none" w:sz="0" w:space="0" w:color="auto"/>
            <w:right w:val="none" w:sz="0" w:space="0" w:color="auto"/>
          </w:divBdr>
        </w:div>
        <w:div w:id="1056196832">
          <w:marLeft w:val="640"/>
          <w:marRight w:val="0"/>
          <w:marTop w:val="0"/>
          <w:marBottom w:val="0"/>
          <w:divBdr>
            <w:top w:val="none" w:sz="0" w:space="0" w:color="auto"/>
            <w:left w:val="none" w:sz="0" w:space="0" w:color="auto"/>
            <w:bottom w:val="none" w:sz="0" w:space="0" w:color="auto"/>
            <w:right w:val="none" w:sz="0" w:space="0" w:color="auto"/>
          </w:divBdr>
        </w:div>
        <w:div w:id="1564490838">
          <w:marLeft w:val="640"/>
          <w:marRight w:val="0"/>
          <w:marTop w:val="0"/>
          <w:marBottom w:val="0"/>
          <w:divBdr>
            <w:top w:val="none" w:sz="0" w:space="0" w:color="auto"/>
            <w:left w:val="none" w:sz="0" w:space="0" w:color="auto"/>
            <w:bottom w:val="none" w:sz="0" w:space="0" w:color="auto"/>
            <w:right w:val="none" w:sz="0" w:space="0" w:color="auto"/>
          </w:divBdr>
        </w:div>
        <w:div w:id="1043792443">
          <w:marLeft w:val="640"/>
          <w:marRight w:val="0"/>
          <w:marTop w:val="0"/>
          <w:marBottom w:val="0"/>
          <w:divBdr>
            <w:top w:val="none" w:sz="0" w:space="0" w:color="auto"/>
            <w:left w:val="none" w:sz="0" w:space="0" w:color="auto"/>
            <w:bottom w:val="none" w:sz="0" w:space="0" w:color="auto"/>
            <w:right w:val="none" w:sz="0" w:space="0" w:color="auto"/>
          </w:divBdr>
        </w:div>
        <w:div w:id="2031642834">
          <w:marLeft w:val="640"/>
          <w:marRight w:val="0"/>
          <w:marTop w:val="0"/>
          <w:marBottom w:val="0"/>
          <w:divBdr>
            <w:top w:val="none" w:sz="0" w:space="0" w:color="auto"/>
            <w:left w:val="none" w:sz="0" w:space="0" w:color="auto"/>
            <w:bottom w:val="none" w:sz="0" w:space="0" w:color="auto"/>
            <w:right w:val="none" w:sz="0" w:space="0" w:color="auto"/>
          </w:divBdr>
        </w:div>
        <w:div w:id="305360371">
          <w:marLeft w:val="640"/>
          <w:marRight w:val="0"/>
          <w:marTop w:val="0"/>
          <w:marBottom w:val="0"/>
          <w:divBdr>
            <w:top w:val="none" w:sz="0" w:space="0" w:color="auto"/>
            <w:left w:val="none" w:sz="0" w:space="0" w:color="auto"/>
            <w:bottom w:val="none" w:sz="0" w:space="0" w:color="auto"/>
            <w:right w:val="none" w:sz="0" w:space="0" w:color="auto"/>
          </w:divBdr>
        </w:div>
        <w:div w:id="1575386586">
          <w:marLeft w:val="640"/>
          <w:marRight w:val="0"/>
          <w:marTop w:val="0"/>
          <w:marBottom w:val="0"/>
          <w:divBdr>
            <w:top w:val="none" w:sz="0" w:space="0" w:color="auto"/>
            <w:left w:val="none" w:sz="0" w:space="0" w:color="auto"/>
            <w:bottom w:val="none" w:sz="0" w:space="0" w:color="auto"/>
            <w:right w:val="none" w:sz="0" w:space="0" w:color="auto"/>
          </w:divBdr>
        </w:div>
        <w:div w:id="1185704523">
          <w:marLeft w:val="640"/>
          <w:marRight w:val="0"/>
          <w:marTop w:val="0"/>
          <w:marBottom w:val="0"/>
          <w:divBdr>
            <w:top w:val="none" w:sz="0" w:space="0" w:color="auto"/>
            <w:left w:val="none" w:sz="0" w:space="0" w:color="auto"/>
            <w:bottom w:val="none" w:sz="0" w:space="0" w:color="auto"/>
            <w:right w:val="none" w:sz="0" w:space="0" w:color="auto"/>
          </w:divBdr>
        </w:div>
        <w:div w:id="1773623706">
          <w:marLeft w:val="640"/>
          <w:marRight w:val="0"/>
          <w:marTop w:val="0"/>
          <w:marBottom w:val="0"/>
          <w:divBdr>
            <w:top w:val="none" w:sz="0" w:space="0" w:color="auto"/>
            <w:left w:val="none" w:sz="0" w:space="0" w:color="auto"/>
            <w:bottom w:val="none" w:sz="0" w:space="0" w:color="auto"/>
            <w:right w:val="none" w:sz="0" w:space="0" w:color="auto"/>
          </w:divBdr>
        </w:div>
        <w:div w:id="383874476">
          <w:marLeft w:val="640"/>
          <w:marRight w:val="0"/>
          <w:marTop w:val="0"/>
          <w:marBottom w:val="0"/>
          <w:divBdr>
            <w:top w:val="none" w:sz="0" w:space="0" w:color="auto"/>
            <w:left w:val="none" w:sz="0" w:space="0" w:color="auto"/>
            <w:bottom w:val="none" w:sz="0" w:space="0" w:color="auto"/>
            <w:right w:val="none" w:sz="0" w:space="0" w:color="auto"/>
          </w:divBdr>
        </w:div>
        <w:div w:id="1046488021">
          <w:marLeft w:val="640"/>
          <w:marRight w:val="0"/>
          <w:marTop w:val="0"/>
          <w:marBottom w:val="0"/>
          <w:divBdr>
            <w:top w:val="none" w:sz="0" w:space="0" w:color="auto"/>
            <w:left w:val="none" w:sz="0" w:space="0" w:color="auto"/>
            <w:bottom w:val="none" w:sz="0" w:space="0" w:color="auto"/>
            <w:right w:val="none" w:sz="0" w:space="0" w:color="auto"/>
          </w:divBdr>
        </w:div>
        <w:div w:id="901210844">
          <w:marLeft w:val="640"/>
          <w:marRight w:val="0"/>
          <w:marTop w:val="0"/>
          <w:marBottom w:val="0"/>
          <w:divBdr>
            <w:top w:val="none" w:sz="0" w:space="0" w:color="auto"/>
            <w:left w:val="none" w:sz="0" w:space="0" w:color="auto"/>
            <w:bottom w:val="none" w:sz="0" w:space="0" w:color="auto"/>
            <w:right w:val="none" w:sz="0" w:space="0" w:color="auto"/>
          </w:divBdr>
        </w:div>
        <w:div w:id="1078332978">
          <w:marLeft w:val="640"/>
          <w:marRight w:val="0"/>
          <w:marTop w:val="0"/>
          <w:marBottom w:val="0"/>
          <w:divBdr>
            <w:top w:val="none" w:sz="0" w:space="0" w:color="auto"/>
            <w:left w:val="none" w:sz="0" w:space="0" w:color="auto"/>
            <w:bottom w:val="none" w:sz="0" w:space="0" w:color="auto"/>
            <w:right w:val="none" w:sz="0" w:space="0" w:color="auto"/>
          </w:divBdr>
        </w:div>
        <w:div w:id="1945265760">
          <w:marLeft w:val="640"/>
          <w:marRight w:val="0"/>
          <w:marTop w:val="0"/>
          <w:marBottom w:val="0"/>
          <w:divBdr>
            <w:top w:val="none" w:sz="0" w:space="0" w:color="auto"/>
            <w:left w:val="none" w:sz="0" w:space="0" w:color="auto"/>
            <w:bottom w:val="none" w:sz="0" w:space="0" w:color="auto"/>
            <w:right w:val="none" w:sz="0" w:space="0" w:color="auto"/>
          </w:divBdr>
        </w:div>
        <w:div w:id="1252810772">
          <w:marLeft w:val="640"/>
          <w:marRight w:val="0"/>
          <w:marTop w:val="0"/>
          <w:marBottom w:val="0"/>
          <w:divBdr>
            <w:top w:val="none" w:sz="0" w:space="0" w:color="auto"/>
            <w:left w:val="none" w:sz="0" w:space="0" w:color="auto"/>
            <w:bottom w:val="none" w:sz="0" w:space="0" w:color="auto"/>
            <w:right w:val="none" w:sz="0" w:space="0" w:color="auto"/>
          </w:divBdr>
        </w:div>
        <w:div w:id="124004668">
          <w:marLeft w:val="640"/>
          <w:marRight w:val="0"/>
          <w:marTop w:val="0"/>
          <w:marBottom w:val="0"/>
          <w:divBdr>
            <w:top w:val="none" w:sz="0" w:space="0" w:color="auto"/>
            <w:left w:val="none" w:sz="0" w:space="0" w:color="auto"/>
            <w:bottom w:val="none" w:sz="0" w:space="0" w:color="auto"/>
            <w:right w:val="none" w:sz="0" w:space="0" w:color="auto"/>
          </w:divBdr>
        </w:div>
        <w:div w:id="1247955214">
          <w:marLeft w:val="640"/>
          <w:marRight w:val="0"/>
          <w:marTop w:val="0"/>
          <w:marBottom w:val="0"/>
          <w:divBdr>
            <w:top w:val="none" w:sz="0" w:space="0" w:color="auto"/>
            <w:left w:val="none" w:sz="0" w:space="0" w:color="auto"/>
            <w:bottom w:val="none" w:sz="0" w:space="0" w:color="auto"/>
            <w:right w:val="none" w:sz="0" w:space="0" w:color="auto"/>
          </w:divBdr>
        </w:div>
        <w:div w:id="1860579457">
          <w:marLeft w:val="640"/>
          <w:marRight w:val="0"/>
          <w:marTop w:val="0"/>
          <w:marBottom w:val="0"/>
          <w:divBdr>
            <w:top w:val="none" w:sz="0" w:space="0" w:color="auto"/>
            <w:left w:val="none" w:sz="0" w:space="0" w:color="auto"/>
            <w:bottom w:val="none" w:sz="0" w:space="0" w:color="auto"/>
            <w:right w:val="none" w:sz="0" w:space="0" w:color="auto"/>
          </w:divBdr>
        </w:div>
        <w:div w:id="634717844">
          <w:marLeft w:val="640"/>
          <w:marRight w:val="0"/>
          <w:marTop w:val="0"/>
          <w:marBottom w:val="0"/>
          <w:divBdr>
            <w:top w:val="none" w:sz="0" w:space="0" w:color="auto"/>
            <w:left w:val="none" w:sz="0" w:space="0" w:color="auto"/>
            <w:bottom w:val="none" w:sz="0" w:space="0" w:color="auto"/>
            <w:right w:val="none" w:sz="0" w:space="0" w:color="auto"/>
          </w:divBdr>
        </w:div>
        <w:div w:id="481889553">
          <w:marLeft w:val="640"/>
          <w:marRight w:val="0"/>
          <w:marTop w:val="0"/>
          <w:marBottom w:val="0"/>
          <w:divBdr>
            <w:top w:val="none" w:sz="0" w:space="0" w:color="auto"/>
            <w:left w:val="none" w:sz="0" w:space="0" w:color="auto"/>
            <w:bottom w:val="none" w:sz="0" w:space="0" w:color="auto"/>
            <w:right w:val="none" w:sz="0" w:space="0" w:color="auto"/>
          </w:divBdr>
        </w:div>
        <w:div w:id="635263703">
          <w:marLeft w:val="640"/>
          <w:marRight w:val="0"/>
          <w:marTop w:val="0"/>
          <w:marBottom w:val="0"/>
          <w:divBdr>
            <w:top w:val="none" w:sz="0" w:space="0" w:color="auto"/>
            <w:left w:val="none" w:sz="0" w:space="0" w:color="auto"/>
            <w:bottom w:val="none" w:sz="0" w:space="0" w:color="auto"/>
            <w:right w:val="none" w:sz="0" w:space="0" w:color="auto"/>
          </w:divBdr>
        </w:div>
        <w:div w:id="1767992240">
          <w:marLeft w:val="640"/>
          <w:marRight w:val="0"/>
          <w:marTop w:val="0"/>
          <w:marBottom w:val="0"/>
          <w:divBdr>
            <w:top w:val="none" w:sz="0" w:space="0" w:color="auto"/>
            <w:left w:val="none" w:sz="0" w:space="0" w:color="auto"/>
            <w:bottom w:val="none" w:sz="0" w:space="0" w:color="auto"/>
            <w:right w:val="none" w:sz="0" w:space="0" w:color="auto"/>
          </w:divBdr>
        </w:div>
        <w:div w:id="1069037204">
          <w:marLeft w:val="640"/>
          <w:marRight w:val="0"/>
          <w:marTop w:val="0"/>
          <w:marBottom w:val="0"/>
          <w:divBdr>
            <w:top w:val="none" w:sz="0" w:space="0" w:color="auto"/>
            <w:left w:val="none" w:sz="0" w:space="0" w:color="auto"/>
            <w:bottom w:val="none" w:sz="0" w:space="0" w:color="auto"/>
            <w:right w:val="none" w:sz="0" w:space="0" w:color="auto"/>
          </w:divBdr>
        </w:div>
        <w:div w:id="911237168">
          <w:marLeft w:val="640"/>
          <w:marRight w:val="0"/>
          <w:marTop w:val="0"/>
          <w:marBottom w:val="0"/>
          <w:divBdr>
            <w:top w:val="none" w:sz="0" w:space="0" w:color="auto"/>
            <w:left w:val="none" w:sz="0" w:space="0" w:color="auto"/>
            <w:bottom w:val="none" w:sz="0" w:space="0" w:color="auto"/>
            <w:right w:val="none" w:sz="0" w:space="0" w:color="auto"/>
          </w:divBdr>
        </w:div>
        <w:div w:id="694162683">
          <w:marLeft w:val="640"/>
          <w:marRight w:val="0"/>
          <w:marTop w:val="0"/>
          <w:marBottom w:val="0"/>
          <w:divBdr>
            <w:top w:val="none" w:sz="0" w:space="0" w:color="auto"/>
            <w:left w:val="none" w:sz="0" w:space="0" w:color="auto"/>
            <w:bottom w:val="none" w:sz="0" w:space="0" w:color="auto"/>
            <w:right w:val="none" w:sz="0" w:space="0" w:color="auto"/>
          </w:divBdr>
        </w:div>
        <w:div w:id="317997529">
          <w:marLeft w:val="640"/>
          <w:marRight w:val="0"/>
          <w:marTop w:val="0"/>
          <w:marBottom w:val="0"/>
          <w:divBdr>
            <w:top w:val="none" w:sz="0" w:space="0" w:color="auto"/>
            <w:left w:val="none" w:sz="0" w:space="0" w:color="auto"/>
            <w:bottom w:val="none" w:sz="0" w:space="0" w:color="auto"/>
            <w:right w:val="none" w:sz="0" w:space="0" w:color="auto"/>
          </w:divBdr>
        </w:div>
        <w:div w:id="1941721340">
          <w:marLeft w:val="640"/>
          <w:marRight w:val="0"/>
          <w:marTop w:val="0"/>
          <w:marBottom w:val="0"/>
          <w:divBdr>
            <w:top w:val="none" w:sz="0" w:space="0" w:color="auto"/>
            <w:left w:val="none" w:sz="0" w:space="0" w:color="auto"/>
            <w:bottom w:val="none" w:sz="0" w:space="0" w:color="auto"/>
            <w:right w:val="none" w:sz="0" w:space="0" w:color="auto"/>
          </w:divBdr>
        </w:div>
        <w:div w:id="135492575">
          <w:marLeft w:val="640"/>
          <w:marRight w:val="0"/>
          <w:marTop w:val="0"/>
          <w:marBottom w:val="0"/>
          <w:divBdr>
            <w:top w:val="none" w:sz="0" w:space="0" w:color="auto"/>
            <w:left w:val="none" w:sz="0" w:space="0" w:color="auto"/>
            <w:bottom w:val="none" w:sz="0" w:space="0" w:color="auto"/>
            <w:right w:val="none" w:sz="0" w:space="0" w:color="auto"/>
          </w:divBdr>
        </w:div>
        <w:div w:id="639580789">
          <w:marLeft w:val="640"/>
          <w:marRight w:val="0"/>
          <w:marTop w:val="0"/>
          <w:marBottom w:val="0"/>
          <w:divBdr>
            <w:top w:val="none" w:sz="0" w:space="0" w:color="auto"/>
            <w:left w:val="none" w:sz="0" w:space="0" w:color="auto"/>
            <w:bottom w:val="none" w:sz="0" w:space="0" w:color="auto"/>
            <w:right w:val="none" w:sz="0" w:space="0" w:color="auto"/>
          </w:divBdr>
        </w:div>
        <w:div w:id="513492842">
          <w:marLeft w:val="640"/>
          <w:marRight w:val="0"/>
          <w:marTop w:val="0"/>
          <w:marBottom w:val="0"/>
          <w:divBdr>
            <w:top w:val="none" w:sz="0" w:space="0" w:color="auto"/>
            <w:left w:val="none" w:sz="0" w:space="0" w:color="auto"/>
            <w:bottom w:val="none" w:sz="0" w:space="0" w:color="auto"/>
            <w:right w:val="none" w:sz="0" w:space="0" w:color="auto"/>
          </w:divBdr>
        </w:div>
        <w:div w:id="1521430391">
          <w:marLeft w:val="640"/>
          <w:marRight w:val="0"/>
          <w:marTop w:val="0"/>
          <w:marBottom w:val="0"/>
          <w:divBdr>
            <w:top w:val="none" w:sz="0" w:space="0" w:color="auto"/>
            <w:left w:val="none" w:sz="0" w:space="0" w:color="auto"/>
            <w:bottom w:val="none" w:sz="0" w:space="0" w:color="auto"/>
            <w:right w:val="none" w:sz="0" w:space="0" w:color="auto"/>
          </w:divBdr>
        </w:div>
        <w:div w:id="932858868">
          <w:marLeft w:val="640"/>
          <w:marRight w:val="0"/>
          <w:marTop w:val="0"/>
          <w:marBottom w:val="0"/>
          <w:divBdr>
            <w:top w:val="none" w:sz="0" w:space="0" w:color="auto"/>
            <w:left w:val="none" w:sz="0" w:space="0" w:color="auto"/>
            <w:bottom w:val="none" w:sz="0" w:space="0" w:color="auto"/>
            <w:right w:val="none" w:sz="0" w:space="0" w:color="auto"/>
          </w:divBdr>
        </w:div>
        <w:div w:id="2038962789">
          <w:marLeft w:val="640"/>
          <w:marRight w:val="0"/>
          <w:marTop w:val="0"/>
          <w:marBottom w:val="0"/>
          <w:divBdr>
            <w:top w:val="none" w:sz="0" w:space="0" w:color="auto"/>
            <w:left w:val="none" w:sz="0" w:space="0" w:color="auto"/>
            <w:bottom w:val="none" w:sz="0" w:space="0" w:color="auto"/>
            <w:right w:val="none" w:sz="0" w:space="0" w:color="auto"/>
          </w:divBdr>
        </w:div>
        <w:div w:id="948437371">
          <w:marLeft w:val="640"/>
          <w:marRight w:val="0"/>
          <w:marTop w:val="0"/>
          <w:marBottom w:val="0"/>
          <w:divBdr>
            <w:top w:val="none" w:sz="0" w:space="0" w:color="auto"/>
            <w:left w:val="none" w:sz="0" w:space="0" w:color="auto"/>
            <w:bottom w:val="none" w:sz="0" w:space="0" w:color="auto"/>
            <w:right w:val="none" w:sz="0" w:space="0" w:color="auto"/>
          </w:divBdr>
        </w:div>
        <w:div w:id="1042024715">
          <w:marLeft w:val="640"/>
          <w:marRight w:val="0"/>
          <w:marTop w:val="0"/>
          <w:marBottom w:val="0"/>
          <w:divBdr>
            <w:top w:val="none" w:sz="0" w:space="0" w:color="auto"/>
            <w:left w:val="none" w:sz="0" w:space="0" w:color="auto"/>
            <w:bottom w:val="none" w:sz="0" w:space="0" w:color="auto"/>
            <w:right w:val="none" w:sz="0" w:space="0" w:color="auto"/>
          </w:divBdr>
        </w:div>
        <w:div w:id="1635676759">
          <w:marLeft w:val="640"/>
          <w:marRight w:val="0"/>
          <w:marTop w:val="0"/>
          <w:marBottom w:val="0"/>
          <w:divBdr>
            <w:top w:val="none" w:sz="0" w:space="0" w:color="auto"/>
            <w:left w:val="none" w:sz="0" w:space="0" w:color="auto"/>
            <w:bottom w:val="none" w:sz="0" w:space="0" w:color="auto"/>
            <w:right w:val="none" w:sz="0" w:space="0" w:color="auto"/>
          </w:divBdr>
        </w:div>
        <w:div w:id="1029648014">
          <w:marLeft w:val="640"/>
          <w:marRight w:val="0"/>
          <w:marTop w:val="0"/>
          <w:marBottom w:val="0"/>
          <w:divBdr>
            <w:top w:val="none" w:sz="0" w:space="0" w:color="auto"/>
            <w:left w:val="none" w:sz="0" w:space="0" w:color="auto"/>
            <w:bottom w:val="none" w:sz="0" w:space="0" w:color="auto"/>
            <w:right w:val="none" w:sz="0" w:space="0" w:color="auto"/>
          </w:divBdr>
        </w:div>
        <w:div w:id="739597174">
          <w:marLeft w:val="640"/>
          <w:marRight w:val="0"/>
          <w:marTop w:val="0"/>
          <w:marBottom w:val="0"/>
          <w:divBdr>
            <w:top w:val="none" w:sz="0" w:space="0" w:color="auto"/>
            <w:left w:val="none" w:sz="0" w:space="0" w:color="auto"/>
            <w:bottom w:val="none" w:sz="0" w:space="0" w:color="auto"/>
            <w:right w:val="none" w:sz="0" w:space="0" w:color="auto"/>
          </w:divBdr>
        </w:div>
        <w:div w:id="825122117">
          <w:marLeft w:val="640"/>
          <w:marRight w:val="0"/>
          <w:marTop w:val="0"/>
          <w:marBottom w:val="0"/>
          <w:divBdr>
            <w:top w:val="none" w:sz="0" w:space="0" w:color="auto"/>
            <w:left w:val="none" w:sz="0" w:space="0" w:color="auto"/>
            <w:bottom w:val="none" w:sz="0" w:space="0" w:color="auto"/>
            <w:right w:val="none" w:sz="0" w:space="0" w:color="auto"/>
          </w:divBdr>
        </w:div>
        <w:div w:id="1550609250">
          <w:marLeft w:val="640"/>
          <w:marRight w:val="0"/>
          <w:marTop w:val="0"/>
          <w:marBottom w:val="0"/>
          <w:divBdr>
            <w:top w:val="none" w:sz="0" w:space="0" w:color="auto"/>
            <w:left w:val="none" w:sz="0" w:space="0" w:color="auto"/>
            <w:bottom w:val="none" w:sz="0" w:space="0" w:color="auto"/>
            <w:right w:val="none" w:sz="0" w:space="0" w:color="auto"/>
          </w:divBdr>
        </w:div>
        <w:div w:id="1962683674">
          <w:marLeft w:val="640"/>
          <w:marRight w:val="0"/>
          <w:marTop w:val="0"/>
          <w:marBottom w:val="0"/>
          <w:divBdr>
            <w:top w:val="none" w:sz="0" w:space="0" w:color="auto"/>
            <w:left w:val="none" w:sz="0" w:space="0" w:color="auto"/>
            <w:bottom w:val="none" w:sz="0" w:space="0" w:color="auto"/>
            <w:right w:val="none" w:sz="0" w:space="0" w:color="auto"/>
          </w:divBdr>
        </w:div>
        <w:div w:id="1830367966">
          <w:marLeft w:val="640"/>
          <w:marRight w:val="0"/>
          <w:marTop w:val="0"/>
          <w:marBottom w:val="0"/>
          <w:divBdr>
            <w:top w:val="none" w:sz="0" w:space="0" w:color="auto"/>
            <w:left w:val="none" w:sz="0" w:space="0" w:color="auto"/>
            <w:bottom w:val="none" w:sz="0" w:space="0" w:color="auto"/>
            <w:right w:val="none" w:sz="0" w:space="0" w:color="auto"/>
          </w:divBdr>
        </w:div>
        <w:div w:id="1688680485">
          <w:marLeft w:val="640"/>
          <w:marRight w:val="0"/>
          <w:marTop w:val="0"/>
          <w:marBottom w:val="0"/>
          <w:divBdr>
            <w:top w:val="none" w:sz="0" w:space="0" w:color="auto"/>
            <w:left w:val="none" w:sz="0" w:space="0" w:color="auto"/>
            <w:bottom w:val="none" w:sz="0" w:space="0" w:color="auto"/>
            <w:right w:val="none" w:sz="0" w:space="0" w:color="auto"/>
          </w:divBdr>
        </w:div>
        <w:div w:id="799106165">
          <w:marLeft w:val="640"/>
          <w:marRight w:val="0"/>
          <w:marTop w:val="0"/>
          <w:marBottom w:val="0"/>
          <w:divBdr>
            <w:top w:val="none" w:sz="0" w:space="0" w:color="auto"/>
            <w:left w:val="none" w:sz="0" w:space="0" w:color="auto"/>
            <w:bottom w:val="none" w:sz="0" w:space="0" w:color="auto"/>
            <w:right w:val="none" w:sz="0" w:space="0" w:color="auto"/>
          </w:divBdr>
        </w:div>
        <w:div w:id="1879927722">
          <w:marLeft w:val="640"/>
          <w:marRight w:val="0"/>
          <w:marTop w:val="0"/>
          <w:marBottom w:val="0"/>
          <w:divBdr>
            <w:top w:val="none" w:sz="0" w:space="0" w:color="auto"/>
            <w:left w:val="none" w:sz="0" w:space="0" w:color="auto"/>
            <w:bottom w:val="none" w:sz="0" w:space="0" w:color="auto"/>
            <w:right w:val="none" w:sz="0" w:space="0" w:color="auto"/>
          </w:divBdr>
        </w:div>
        <w:div w:id="1622301751">
          <w:marLeft w:val="640"/>
          <w:marRight w:val="0"/>
          <w:marTop w:val="0"/>
          <w:marBottom w:val="0"/>
          <w:divBdr>
            <w:top w:val="none" w:sz="0" w:space="0" w:color="auto"/>
            <w:left w:val="none" w:sz="0" w:space="0" w:color="auto"/>
            <w:bottom w:val="none" w:sz="0" w:space="0" w:color="auto"/>
            <w:right w:val="none" w:sz="0" w:space="0" w:color="auto"/>
          </w:divBdr>
        </w:div>
        <w:div w:id="2058697728">
          <w:marLeft w:val="640"/>
          <w:marRight w:val="0"/>
          <w:marTop w:val="0"/>
          <w:marBottom w:val="0"/>
          <w:divBdr>
            <w:top w:val="none" w:sz="0" w:space="0" w:color="auto"/>
            <w:left w:val="none" w:sz="0" w:space="0" w:color="auto"/>
            <w:bottom w:val="none" w:sz="0" w:space="0" w:color="auto"/>
            <w:right w:val="none" w:sz="0" w:space="0" w:color="auto"/>
          </w:divBdr>
        </w:div>
        <w:div w:id="507411098">
          <w:marLeft w:val="640"/>
          <w:marRight w:val="0"/>
          <w:marTop w:val="0"/>
          <w:marBottom w:val="0"/>
          <w:divBdr>
            <w:top w:val="none" w:sz="0" w:space="0" w:color="auto"/>
            <w:left w:val="none" w:sz="0" w:space="0" w:color="auto"/>
            <w:bottom w:val="none" w:sz="0" w:space="0" w:color="auto"/>
            <w:right w:val="none" w:sz="0" w:space="0" w:color="auto"/>
          </w:divBdr>
        </w:div>
        <w:div w:id="1550606785">
          <w:marLeft w:val="640"/>
          <w:marRight w:val="0"/>
          <w:marTop w:val="0"/>
          <w:marBottom w:val="0"/>
          <w:divBdr>
            <w:top w:val="none" w:sz="0" w:space="0" w:color="auto"/>
            <w:left w:val="none" w:sz="0" w:space="0" w:color="auto"/>
            <w:bottom w:val="none" w:sz="0" w:space="0" w:color="auto"/>
            <w:right w:val="none" w:sz="0" w:space="0" w:color="auto"/>
          </w:divBdr>
        </w:div>
        <w:div w:id="440994778">
          <w:marLeft w:val="640"/>
          <w:marRight w:val="0"/>
          <w:marTop w:val="0"/>
          <w:marBottom w:val="0"/>
          <w:divBdr>
            <w:top w:val="none" w:sz="0" w:space="0" w:color="auto"/>
            <w:left w:val="none" w:sz="0" w:space="0" w:color="auto"/>
            <w:bottom w:val="none" w:sz="0" w:space="0" w:color="auto"/>
            <w:right w:val="none" w:sz="0" w:space="0" w:color="auto"/>
          </w:divBdr>
        </w:div>
        <w:div w:id="93743915">
          <w:marLeft w:val="640"/>
          <w:marRight w:val="0"/>
          <w:marTop w:val="0"/>
          <w:marBottom w:val="0"/>
          <w:divBdr>
            <w:top w:val="none" w:sz="0" w:space="0" w:color="auto"/>
            <w:left w:val="none" w:sz="0" w:space="0" w:color="auto"/>
            <w:bottom w:val="none" w:sz="0" w:space="0" w:color="auto"/>
            <w:right w:val="none" w:sz="0" w:space="0" w:color="auto"/>
          </w:divBdr>
        </w:div>
        <w:div w:id="1876233000">
          <w:marLeft w:val="640"/>
          <w:marRight w:val="0"/>
          <w:marTop w:val="0"/>
          <w:marBottom w:val="0"/>
          <w:divBdr>
            <w:top w:val="none" w:sz="0" w:space="0" w:color="auto"/>
            <w:left w:val="none" w:sz="0" w:space="0" w:color="auto"/>
            <w:bottom w:val="none" w:sz="0" w:space="0" w:color="auto"/>
            <w:right w:val="none" w:sz="0" w:space="0" w:color="auto"/>
          </w:divBdr>
        </w:div>
        <w:div w:id="23292612">
          <w:marLeft w:val="640"/>
          <w:marRight w:val="0"/>
          <w:marTop w:val="0"/>
          <w:marBottom w:val="0"/>
          <w:divBdr>
            <w:top w:val="none" w:sz="0" w:space="0" w:color="auto"/>
            <w:left w:val="none" w:sz="0" w:space="0" w:color="auto"/>
            <w:bottom w:val="none" w:sz="0" w:space="0" w:color="auto"/>
            <w:right w:val="none" w:sz="0" w:space="0" w:color="auto"/>
          </w:divBdr>
        </w:div>
        <w:div w:id="849637447">
          <w:marLeft w:val="640"/>
          <w:marRight w:val="0"/>
          <w:marTop w:val="0"/>
          <w:marBottom w:val="0"/>
          <w:divBdr>
            <w:top w:val="none" w:sz="0" w:space="0" w:color="auto"/>
            <w:left w:val="none" w:sz="0" w:space="0" w:color="auto"/>
            <w:bottom w:val="none" w:sz="0" w:space="0" w:color="auto"/>
            <w:right w:val="none" w:sz="0" w:space="0" w:color="auto"/>
          </w:divBdr>
        </w:div>
        <w:div w:id="1426461279">
          <w:marLeft w:val="640"/>
          <w:marRight w:val="0"/>
          <w:marTop w:val="0"/>
          <w:marBottom w:val="0"/>
          <w:divBdr>
            <w:top w:val="none" w:sz="0" w:space="0" w:color="auto"/>
            <w:left w:val="none" w:sz="0" w:space="0" w:color="auto"/>
            <w:bottom w:val="none" w:sz="0" w:space="0" w:color="auto"/>
            <w:right w:val="none" w:sz="0" w:space="0" w:color="auto"/>
          </w:divBdr>
        </w:div>
        <w:div w:id="260602326">
          <w:marLeft w:val="640"/>
          <w:marRight w:val="0"/>
          <w:marTop w:val="0"/>
          <w:marBottom w:val="0"/>
          <w:divBdr>
            <w:top w:val="none" w:sz="0" w:space="0" w:color="auto"/>
            <w:left w:val="none" w:sz="0" w:space="0" w:color="auto"/>
            <w:bottom w:val="none" w:sz="0" w:space="0" w:color="auto"/>
            <w:right w:val="none" w:sz="0" w:space="0" w:color="auto"/>
          </w:divBdr>
        </w:div>
        <w:div w:id="1051540932">
          <w:marLeft w:val="640"/>
          <w:marRight w:val="0"/>
          <w:marTop w:val="0"/>
          <w:marBottom w:val="0"/>
          <w:divBdr>
            <w:top w:val="none" w:sz="0" w:space="0" w:color="auto"/>
            <w:left w:val="none" w:sz="0" w:space="0" w:color="auto"/>
            <w:bottom w:val="none" w:sz="0" w:space="0" w:color="auto"/>
            <w:right w:val="none" w:sz="0" w:space="0" w:color="auto"/>
          </w:divBdr>
        </w:div>
        <w:div w:id="95486241">
          <w:marLeft w:val="640"/>
          <w:marRight w:val="0"/>
          <w:marTop w:val="0"/>
          <w:marBottom w:val="0"/>
          <w:divBdr>
            <w:top w:val="none" w:sz="0" w:space="0" w:color="auto"/>
            <w:left w:val="none" w:sz="0" w:space="0" w:color="auto"/>
            <w:bottom w:val="none" w:sz="0" w:space="0" w:color="auto"/>
            <w:right w:val="none" w:sz="0" w:space="0" w:color="auto"/>
          </w:divBdr>
        </w:div>
        <w:div w:id="111557264">
          <w:marLeft w:val="640"/>
          <w:marRight w:val="0"/>
          <w:marTop w:val="0"/>
          <w:marBottom w:val="0"/>
          <w:divBdr>
            <w:top w:val="none" w:sz="0" w:space="0" w:color="auto"/>
            <w:left w:val="none" w:sz="0" w:space="0" w:color="auto"/>
            <w:bottom w:val="none" w:sz="0" w:space="0" w:color="auto"/>
            <w:right w:val="none" w:sz="0" w:space="0" w:color="auto"/>
          </w:divBdr>
        </w:div>
        <w:div w:id="1650790817">
          <w:marLeft w:val="640"/>
          <w:marRight w:val="0"/>
          <w:marTop w:val="0"/>
          <w:marBottom w:val="0"/>
          <w:divBdr>
            <w:top w:val="none" w:sz="0" w:space="0" w:color="auto"/>
            <w:left w:val="none" w:sz="0" w:space="0" w:color="auto"/>
            <w:bottom w:val="none" w:sz="0" w:space="0" w:color="auto"/>
            <w:right w:val="none" w:sz="0" w:space="0" w:color="auto"/>
          </w:divBdr>
        </w:div>
        <w:div w:id="99187479">
          <w:marLeft w:val="640"/>
          <w:marRight w:val="0"/>
          <w:marTop w:val="0"/>
          <w:marBottom w:val="0"/>
          <w:divBdr>
            <w:top w:val="none" w:sz="0" w:space="0" w:color="auto"/>
            <w:left w:val="none" w:sz="0" w:space="0" w:color="auto"/>
            <w:bottom w:val="none" w:sz="0" w:space="0" w:color="auto"/>
            <w:right w:val="none" w:sz="0" w:space="0" w:color="auto"/>
          </w:divBdr>
        </w:div>
        <w:div w:id="1225681231">
          <w:marLeft w:val="640"/>
          <w:marRight w:val="0"/>
          <w:marTop w:val="0"/>
          <w:marBottom w:val="0"/>
          <w:divBdr>
            <w:top w:val="none" w:sz="0" w:space="0" w:color="auto"/>
            <w:left w:val="none" w:sz="0" w:space="0" w:color="auto"/>
            <w:bottom w:val="none" w:sz="0" w:space="0" w:color="auto"/>
            <w:right w:val="none" w:sz="0" w:space="0" w:color="auto"/>
          </w:divBdr>
        </w:div>
        <w:div w:id="2094620870">
          <w:marLeft w:val="640"/>
          <w:marRight w:val="0"/>
          <w:marTop w:val="0"/>
          <w:marBottom w:val="0"/>
          <w:divBdr>
            <w:top w:val="none" w:sz="0" w:space="0" w:color="auto"/>
            <w:left w:val="none" w:sz="0" w:space="0" w:color="auto"/>
            <w:bottom w:val="none" w:sz="0" w:space="0" w:color="auto"/>
            <w:right w:val="none" w:sz="0" w:space="0" w:color="auto"/>
          </w:divBdr>
        </w:div>
        <w:div w:id="164446205">
          <w:marLeft w:val="640"/>
          <w:marRight w:val="0"/>
          <w:marTop w:val="0"/>
          <w:marBottom w:val="0"/>
          <w:divBdr>
            <w:top w:val="none" w:sz="0" w:space="0" w:color="auto"/>
            <w:left w:val="none" w:sz="0" w:space="0" w:color="auto"/>
            <w:bottom w:val="none" w:sz="0" w:space="0" w:color="auto"/>
            <w:right w:val="none" w:sz="0" w:space="0" w:color="auto"/>
          </w:divBdr>
        </w:div>
        <w:div w:id="849218447">
          <w:marLeft w:val="640"/>
          <w:marRight w:val="0"/>
          <w:marTop w:val="0"/>
          <w:marBottom w:val="0"/>
          <w:divBdr>
            <w:top w:val="none" w:sz="0" w:space="0" w:color="auto"/>
            <w:left w:val="none" w:sz="0" w:space="0" w:color="auto"/>
            <w:bottom w:val="none" w:sz="0" w:space="0" w:color="auto"/>
            <w:right w:val="none" w:sz="0" w:space="0" w:color="auto"/>
          </w:divBdr>
        </w:div>
        <w:div w:id="1545675895">
          <w:marLeft w:val="640"/>
          <w:marRight w:val="0"/>
          <w:marTop w:val="0"/>
          <w:marBottom w:val="0"/>
          <w:divBdr>
            <w:top w:val="none" w:sz="0" w:space="0" w:color="auto"/>
            <w:left w:val="none" w:sz="0" w:space="0" w:color="auto"/>
            <w:bottom w:val="none" w:sz="0" w:space="0" w:color="auto"/>
            <w:right w:val="none" w:sz="0" w:space="0" w:color="auto"/>
          </w:divBdr>
        </w:div>
        <w:div w:id="320044546">
          <w:marLeft w:val="640"/>
          <w:marRight w:val="0"/>
          <w:marTop w:val="0"/>
          <w:marBottom w:val="0"/>
          <w:divBdr>
            <w:top w:val="none" w:sz="0" w:space="0" w:color="auto"/>
            <w:left w:val="none" w:sz="0" w:space="0" w:color="auto"/>
            <w:bottom w:val="none" w:sz="0" w:space="0" w:color="auto"/>
            <w:right w:val="none" w:sz="0" w:space="0" w:color="auto"/>
          </w:divBdr>
        </w:div>
        <w:div w:id="918442768">
          <w:marLeft w:val="640"/>
          <w:marRight w:val="0"/>
          <w:marTop w:val="0"/>
          <w:marBottom w:val="0"/>
          <w:divBdr>
            <w:top w:val="none" w:sz="0" w:space="0" w:color="auto"/>
            <w:left w:val="none" w:sz="0" w:space="0" w:color="auto"/>
            <w:bottom w:val="none" w:sz="0" w:space="0" w:color="auto"/>
            <w:right w:val="none" w:sz="0" w:space="0" w:color="auto"/>
          </w:divBdr>
        </w:div>
        <w:div w:id="535503653">
          <w:marLeft w:val="640"/>
          <w:marRight w:val="0"/>
          <w:marTop w:val="0"/>
          <w:marBottom w:val="0"/>
          <w:divBdr>
            <w:top w:val="none" w:sz="0" w:space="0" w:color="auto"/>
            <w:left w:val="none" w:sz="0" w:space="0" w:color="auto"/>
            <w:bottom w:val="none" w:sz="0" w:space="0" w:color="auto"/>
            <w:right w:val="none" w:sz="0" w:space="0" w:color="auto"/>
          </w:divBdr>
        </w:div>
        <w:div w:id="2110614910">
          <w:marLeft w:val="640"/>
          <w:marRight w:val="0"/>
          <w:marTop w:val="0"/>
          <w:marBottom w:val="0"/>
          <w:divBdr>
            <w:top w:val="none" w:sz="0" w:space="0" w:color="auto"/>
            <w:left w:val="none" w:sz="0" w:space="0" w:color="auto"/>
            <w:bottom w:val="none" w:sz="0" w:space="0" w:color="auto"/>
            <w:right w:val="none" w:sz="0" w:space="0" w:color="auto"/>
          </w:divBdr>
        </w:div>
        <w:div w:id="1355810289">
          <w:marLeft w:val="640"/>
          <w:marRight w:val="0"/>
          <w:marTop w:val="0"/>
          <w:marBottom w:val="0"/>
          <w:divBdr>
            <w:top w:val="none" w:sz="0" w:space="0" w:color="auto"/>
            <w:left w:val="none" w:sz="0" w:space="0" w:color="auto"/>
            <w:bottom w:val="none" w:sz="0" w:space="0" w:color="auto"/>
            <w:right w:val="none" w:sz="0" w:space="0" w:color="auto"/>
          </w:divBdr>
        </w:div>
        <w:div w:id="1396930788">
          <w:marLeft w:val="640"/>
          <w:marRight w:val="0"/>
          <w:marTop w:val="0"/>
          <w:marBottom w:val="0"/>
          <w:divBdr>
            <w:top w:val="none" w:sz="0" w:space="0" w:color="auto"/>
            <w:left w:val="none" w:sz="0" w:space="0" w:color="auto"/>
            <w:bottom w:val="none" w:sz="0" w:space="0" w:color="auto"/>
            <w:right w:val="none" w:sz="0" w:space="0" w:color="auto"/>
          </w:divBdr>
        </w:div>
        <w:div w:id="936252142">
          <w:marLeft w:val="640"/>
          <w:marRight w:val="0"/>
          <w:marTop w:val="0"/>
          <w:marBottom w:val="0"/>
          <w:divBdr>
            <w:top w:val="none" w:sz="0" w:space="0" w:color="auto"/>
            <w:left w:val="none" w:sz="0" w:space="0" w:color="auto"/>
            <w:bottom w:val="none" w:sz="0" w:space="0" w:color="auto"/>
            <w:right w:val="none" w:sz="0" w:space="0" w:color="auto"/>
          </w:divBdr>
        </w:div>
        <w:div w:id="1024672593">
          <w:marLeft w:val="640"/>
          <w:marRight w:val="0"/>
          <w:marTop w:val="0"/>
          <w:marBottom w:val="0"/>
          <w:divBdr>
            <w:top w:val="none" w:sz="0" w:space="0" w:color="auto"/>
            <w:left w:val="none" w:sz="0" w:space="0" w:color="auto"/>
            <w:bottom w:val="none" w:sz="0" w:space="0" w:color="auto"/>
            <w:right w:val="none" w:sz="0" w:space="0" w:color="auto"/>
          </w:divBdr>
        </w:div>
        <w:div w:id="228460405">
          <w:marLeft w:val="640"/>
          <w:marRight w:val="0"/>
          <w:marTop w:val="0"/>
          <w:marBottom w:val="0"/>
          <w:divBdr>
            <w:top w:val="none" w:sz="0" w:space="0" w:color="auto"/>
            <w:left w:val="none" w:sz="0" w:space="0" w:color="auto"/>
            <w:bottom w:val="none" w:sz="0" w:space="0" w:color="auto"/>
            <w:right w:val="none" w:sz="0" w:space="0" w:color="auto"/>
          </w:divBdr>
        </w:div>
        <w:div w:id="1634560530">
          <w:marLeft w:val="640"/>
          <w:marRight w:val="0"/>
          <w:marTop w:val="0"/>
          <w:marBottom w:val="0"/>
          <w:divBdr>
            <w:top w:val="none" w:sz="0" w:space="0" w:color="auto"/>
            <w:left w:val="none" w:sz="0" w:space="0" w:color="auto"/>
            <w:bottom w:val="none" w:sz="0" w:space="0" w:color="auto"/>
            <w:right w:val="none" w:sz="0" w:space="0" w:color="auto"/>
          </w:divBdr>
        </w:div>
        <w:div w:id="61298142">
          <w:marLeft w:val="640"/>
          <w:marRight w:val="0"/>
          <w:marTop w:val="0"/>
          <w:marBottom w:val="0"/>
          <w:divBdr>
            <w:top w:val="none" w:sz="0" w:space="0" w:color="auto"/>
            <w:left w:val="none" w:sz="0" w:space="0" w:color="auto"/>
            <w:bottom w:val="none" w:sz="0" w:space="0" w:color="auto"/>
            <w:right w:val="none" w:sz="0" w:space="0" w:color="auto"/>
          </w:divBdr>
        </w:div>
        <w:div w:id="1014696970">
          <w:marLeft w:val="640"/>
          <w:marRight w:val="0"/>
          <w:marTop w:val="0"/>
          <w:marBottom w:val="0"/>
          <w:divBdr>
            <w:top w:val="none" w:sz="0" w:space="0" w:color="auto"/>
            <w:left w:val="none" w:sz="0" w:space="0" w:color="auto"/>
            <w:bottom w:val="none" w:sz="0" w:space="0" w:color="auto"/>
            <w:right w:val="none" w:sz="0" w:space="0" w:color="auto"/>
          </w:divBdr>
        </w:div>
        <w:div w:id="14964489">
          <w:marLeft w:val="640"/>
          <w:marRight w:val="0"/>
          <w:marTop w:val="0"/>
          <w:marBottom w:val="0"/>
          <w:divBdr>
            <w:top w:val="none" w:sz="0" w:space="0" w:color="auto"/>
            <w:left w:val="none" w:sz="0" w:space="0" w:color="auto"/>
            <w:bottom w:val="none" w:sz="0" w:space="0" w:color="auto"/>
            <w:right w:val="none" w:sz="0" w:space="0" w:color="auto"/>
          </w:divBdr>
        </w:div>
        <w:div w:id="1621104980">
          <w:marLeft w:val="640"/>
          <w:marRight w:val="0"/>
          <w:marTop w:val="0"/>
          <w:marBottom w:val="0"/>
          <w:divBdr>
            <w:top w:val="none" w:sz="0" w:space="0" w:color="auto"/>
            <w:left w:val="none" w:sz="0" w:space="0" w:color="auto"/>
            <w:bottom w:val="none" w:sz="0" w:space="0" w:color="auto"/>
            <w:right w:val="none" w:sz="0" w:space="0" w:color="auto"/>
          </w:divBdr>
        </w:div>
        <w:div w:id="1782645056">
          <w:marLeft w:val="640"/>
          <w:marRight w:val="0"/>
          <w:marTop w:val="0"/>
          <w:marBottom w:val="0"/>
          <w:divBdr>
            <w:top w:val="none" w:sz="0" w:space="0" w:color="auto"/>
            <w:left w:val="none" w:sz="0" w:space="0" w:color="auto"/>
            <w:bottom w:val="none" w:sz="0" w:space="0" w:color="auto"/>
            <w:right w:val="none" w:sz="0" w:space="0" w:color="auto"/>
          </w:divBdr>
        </w:div>
        <w:div w:id="1362168947">
          <w:marLeft w:val="640"/>
          <w:marRight w:val="0"/>
          <w:marTop w:val="0"/>
          <w:marBottom w:val="0"/>
          <w:divBdr>
            <w:top w:val="none" w:sz="0" w:space="0" w:color="auto"/>
            <w:left w:val="none" w:sz="0" w:space="0" w:color="auto"/>
            <w:bottom w:val="none" w:sz="0" w:space="0" w:color="auto"/>
            <w:right w:val="none" w:sz="0" w:space="0" w:color="auto"/>
          </w:divBdr>
        </w:div>
        <w:div w:id="58215234">
          <w:marLeft w:val="640"/>
          <w:marRight w:val="0"/>
          <w:marTop w:val="0"/>
          <w:marBottom w:val="0"/>
          <w:divBdr>
            <w:top w:val="none" w:sz="0" w:space="0" w:color="auto"/>
            <w:left w:val="none" w:sz="0" w:space="0" w:color="auto"/>
            <w:bottom w:val="none" w:sz="0" w:space="0" w:color="auto"/>
            <w:right w:val="none" w:sz="0" w:space="0" w:color="auto"/>
          </w:divBdr>
        </w:div>
        <w:div w:id="1582443945">
          <w:marLeft w:val="640"/>
          <w:marRight w:val="0"/>
          <w:marTop w:val="0"/>
          <w:marBottom w:val="0"/>
          <w:divBdr>
            <w:top w:val="none" w:sz="0" w:space="0" w:color="auto"/>
            <w:left w:val="none" w:sz="0" w:space="0" w:color="auto"/>
            <w:bottom w:val="none" w:sz="0" w:space="0" w:color="auto"/>
            <w:right w:val="none" w:sz="0" w:space="0" w:color="auto"/>
          </w:divBdr>
        </w:div>
        <w:div w:id="813792729">
          <w:marLeft w:val="640"/>
          <w:marRight w:val="0"/>
          <w:marTop w:val="0"/>
          <w:marBottom w:val="0"/>
          <w:divBdr>
            <w:top w:val="none" w:sz="0" w:space="0" w:color="auto"/>
            <w:left w:val="none" w:sz="0" w:space="0" w:color="auto"/>
            <w:bottom w:val="none" w:sz="0" w:space="0" w:color="auto"/>
            <w:right w:val="none" w:sz="0" w:space="0" w:color="auto"/>
          </w:divBdr>
        </w:div>
        <w:div w:id="933125980">
          <w:marLeft w:val="640"/>
          <w:marRight w:val="0"/>
          <w:marTop w:val="0"/>
          <w:marBottom w:val="0"/>
          <w:divBdr>
            <w:top w:val="none" w:sz="0" w:space="0" w:color="auto"/>
            <w:left w:val="none" w:sz="0" w:space="0" w:color="auto"/>
            <w:bottom w:val="none" w:sz="0" w:space="0" w:color="auto"/>
            <w:right w:val="none" w:sz="0" w:space="0" w:color="auto"/>
          </w:divBdr>
        </w:div>
        <w:div w:id="963584140">
          <w:marLeft w:val="640"/>
          <w:marRight w:val="0"/>
          <w:marTop w:val="0"/>
          <w:marBottom w:val="0"/>
          <w:divBdr>
            <w:top w:val="none" w:sz="0" w:space="0" w:color="auto"/>
            <w:left w:val="none" w:sz="0" w:space="0" w:color="auto"/>
            <w:bottom w:val="none" w:sz="0" w:space="0" w:color="auto"/>
            <w:right w:val="none" w:sz="0" w:space="0" w:color="auto"/>
          </w:divBdr>
        </w:div>
        <w:div w:id="1689913471">
          <w:marLeft w:val="640"/>
          <w:marRight w:val="0"/>
          <w:marTop w:val="0"/>
          <w:marBottom w:val="0"/>
          <w:divBdr>
            <w:top w:val="none" w:sz="0" w:space="0" w:color="auto"/>
            <w:left w:val="none" w:sz="0" w:space="0" w:color="auto"/>
            <w:bottom w:val="none" w:sz="0" w:space="0" w:color="auto"/>
            <w:right w:val="none" w:sz="0" w:space="0" w:color="auto"/>
          </w:divBdr>
        </w:div>
        <w:div w:id="1500078897">
          <w:marLeft w:val="640"/>
          <w:marRight w:val="0"/>
          <w:marTop w:val="0"/>
          <w:marBottom w:val="0"/>
          <w:divBdr>
            <w:top w:val="none" w:sz="0" w:space="0" w:color="auto"/>
            <w:left w:val="none" w:sz="0" w:space="0" w:color="auto"/>
            <w:bottom w:val="none" w:sz="0" w:space="0" w:color="auto"/>
            <w:right w:val="none" w:sz="0" w:space="0" w:color="auto"/>
          </w:divBdr>
        </w:div>
        <w:div w:id="1741174847">
          <w:marLeft w:val="640"/>
          <w:marRight w:val="0"/>
          <w:marTop w:val="0"/>
          <w:marBottom w:val="0"/>
          <w:divBdr>
            <w:top w:val="none" w:sz="0" w:space="0" w:color="auto"/>
            <w:left w:val="none" w:sz="0" w:space="0" w:color="auto"/>
            <w:bottom w:val="none" w:sz="0" w:space="0" w:color="auto"/>
            <w:right w:val="none" w:sz="0" w:space="0" w:color="auto"/>
          </w:divBdr>
        </w:div>
        <w:div w:id="274413184">
          <w:marLeft w:val="640"/>
          <w:marRight w:val="0"/>
          <w:marTop w:val="0"/>
          <w:marBottom w:val="0"/>
          <w:divBdr>
            <w:top w:val="none" w:sz="0" w:space="0" w:color="auto"/>
            <w:left w:val="none" w:sz="0" w:space="0" w:color="auto"/>
            <w:bottom w:val="none" w:sz="0" w:space="0" w:color="auto"/>
            <w:right w:val="none" w:sz="0" w:space="0" w:color="auto"/>
          </w:divBdr>
        </w:div>
        <w:div w:id="598174516">
          <w:marLeft w:val="640"/>
          <w:marRight w:val="0"/>
          <w:marTop w:val="0"/>
          <w:marBottom w:val="0"/>
          <w:divBdr>
            <w:top w:val="none" w:sz="0" w:space="0" w:color="auto"/>
            <w:left w:val="none" w:sz="0" w:space="0" w:color="auto"/>
            <w:bottom w:val="none" w:sz="0" w:space="0" w:color="auto"/>
            <w:right w:val="none" w:sz="0" w:space="0" w:color="auto"/>
          </w:divBdr>
        </w:div>
        <w:div w:id="1462070753">
          <w:marLeft w:val="640"/>
          <w:marRight w:val="0"/>
          <w:marTop w:val="0"/>
          <w:marBottom w:val="0"/>
          <w:divBdr>
            <w:top w:val="none" w:sz="0" w:space="0" w:color="auto"/>
            <w:left w:val="none" w:sz="0" w:space="0" w:color="auto"/>
            <w:bottom w:val="none" w:sz="0" w:space="0" w:color="auto"/>
            <w:right w:val="none" w:sz="0" w:space="0" w:color="auto"/>
          </w:divBdr>
        </w:div>
        <w:div w:id="90703182">
          <w:marLeft w:val="640"/>
          <w:marRight w:val="0"/>
          <w:marTop w:val="0"/>
          <w:marBottom w:val="0"/>
          <w:divBdr>
            <w:top w:val="none" w:sz="0" w:space="0" w:color="auto"/>
            <w:left w:val="none" w:sz="0" w:space="0" w:color="auto"/>
            <w:bottom w:val="none" w:sz="0" w:space="0" w:color="auto"/>
            <w:right w:val="none" w:sz="0" w:space="0" w:color="auto"/>
          </w:divBdr>
        </w:div>
        <w:div w:id="846216431">
          <w:marLeft w:val="640"/>
          <w:marRight w:val="0"/>
          <w:marTop w:val="0"/>
          <w:marBottom w:val="0"/>
          <w:divBdr>
            <w:top w:val="none" w:sz="0" w:space="0" w:color="auto"/>
            <w:left w:val="none" w:sz="0" w:space="0" w:color="auto"/>
            <w:bottom w:val="none" w:sz="0" w:space="0" w:color="auto"/>
            <w:right w:val="none" w:sz="0" w:space="0" w:color="auto"/>
          </w:divBdr>
        </w:div>
        <w:div w:id="1389375407">
          <w:marLeft w:val="640"/>
          <w:marRight w:val="0"/>
          <w:marTop w:val="0"/>
          <w:marBottom w:val="0"/>
          <w:divBdr>
            <w:top w:val="none" w:sz="0" w:space="0" w:color="auto"/>
            <w:left w:val="none" w:sz="0" w:space="0" w:color="auto"/>
            <w:bottom w:val="none" w:sz="0" w:space="0" w:color="auto"/>
            <w:right w:val="none" w:sz="0" w:space="0" w:color="auto"/>
          </w:divBdr>
        </w:div>
        <w:div w:id="2065790052">
          <w:marLeft w:val="640"/>
          <w:marRight w:val="0"/>
          <w:marTop w:val="0"/>
          <w:marBottom w:val="0"/>
          <w:divBdr>
            <w:top w:val="none" w:sz="0" w:space="0" w:color="auto"/>
            <w:left w:val="none" w:sz="0" w:space="0" w:color="auto"/>
            <w:bottom w:val="none" w:sz="0" w:space="0" w:color="auto"/>
            <w:right w:val="none" w:sz="0" w:space="0" w:color="auto"/>
          </w:divBdr>
        </w:div>
        <w:div w:id="1023166345">
          <w:marLeft w:val="640"/>
          <w:marRight w:val="0"/>
          <w:marTop w:val="0"/>
          <w:marBottom w:val="0"/>
          <w:divBdr>
            <w:top w:val="none" w:sz="0" w:space="0" w:color="auto"/>
            <w:left w:val="none" w:sz="0" w:space="0" w:color="auto"/>
            <w:bottom w:val="none" w:sz="0" w:space="0" w:color="auto"/>
            <w:right w:val="none" w:sz="0" w:space="0" w:color="auto"/>
          </w:divBdr>
        </w:div>
        <w:div w:id="1909226567">
          <w:marLeft w:val="640"/>
          <w:marRight w:val="0"/>
          <w:marTop w:val="0"/>
          <w:marBottom w:val="0"/>
          <w:divBdr>
            <w:top w:val="none" w:sz="0" w:space="0" w:color="auto"/>
            <w:left w:val="none" w:sz="0" w:space="0" w:color="auto"/>
            <w:bottom w:val="none" w:sz="0" w:space="0" w:color="auto"/>
            <w:right w:val="none" w:sz="0" w:space="0" w:color="auto"/>
          </w:divBdr>
        </w:div>
        <w:div w:id="1300721277">
          <w:marLeft w:val="640"/>
          <w:marRight w:val="0"/>
          <w:marTop w:val="0"/>
          <w:marBottom w:val="0"/>
          <w:divBdr>
            <w:top w:val="none" w:sz="0" w:space="0" w:color="auto"/>
            <w:left w:val="none" w:sz="0" w:space="0" w:color="auto"/>
            <w:bottom w:val="none" w:sz="0" w:space="0" w:color="auto"/>
            <w:right w:val="none" w:sz="0" w:space="0" w:color="auto"/>
          </w:divBdr>
        </w:div>
        <w:div w:id="2122919674">
          <w:marLeft w:val="640"/>
          <w:marRight w:val="0"/>
          <w:marTop w:val="0"/>
          <w:marBottom w:val="0"/>
          <w:divBdr>
            <w:top w:val="none" w:sz="0" w:space="0" w:color="auto"/>
            <w:left w:val="none" w:sz="0" w:space="0" w:color="auto"/>
            <w:bottom w:val="none" w:sz="0" w:space="0" w:color="auto"/>
            <w:right w:val="none" w:sz="0" w:space="0" w:color="auto"/>
          </w:divBdr>
        </w:div>
        <w:div w:id="1865895638">
          <w:marLeft w:val="640"/>
          <w:marRight w:val="0"/>
          <w:marTop w:val="0"/>
          <w:marBottom w:val="0"/>
          <w:divBdr>
            <w:top w:val="none" w:sz="0" w:space="0" w:color="auto"/>
            <w:left w:val="none" w:sz="0" w:space="0" w:color="auto"/>
            <w:bottom w:val="none" w:sz="0" w:space="0" w:color="auto"/>
            <w:right w:val="none" w:sz="0" w:space="0" w:color="auto"/>
          </w:divBdr>
        </w:div>
        <w:div w:id="35544289">
          <w:marLeft w:val="640"/>
          <w:marRight w:val="0"/>
          <w:marTop w:val="0"/>
          <w:marBottom w:val="0"/>
          <w:divBdr>
            <w:top w:val="none" w:sz="0" w:space="0" w:color="auto"/>
            <w:left w:val="none" w:sz="0" w:space="0" w:color="auto"/>
            <w:bottom w:val="none" w:sz="0" w:space="0" w:color="auto"/>
            <w:right w:val="none" w:sz="0" w:space="0" w:color="auto"/>
          </w:divBdr>
        </w:div>
        <w:div w:id="1618491050">
          <w:marLeft w:val="640"/>
          <w:marRight w:val="0"/>
          <w:marTop w:val="0"/>
          <w:marBottom w:val="0"/>
          <w:divBdr>
            <w:top w:val="none" w:sz="0" w:space="0" w:color="auto"/>
            <w:left w:val="none" w:sz="0" w:space="0" w:color="auto"/>
            <w:bottom w:val="none" w:sz="0" w:space="0" w:color="auto"/>
            <w:right w:val="none" w:sz="0" w:space="0" w:color="auto"/>
          </w:divBdr>
        </w:div>
        <w:div w:id="71436432">
          <w:marLeft w:val="640"/>
          <w:marRight w:val="0"/>
          <w:marTop w:val="0"/>
          <w:marBottom w:val="0"/>
          <w:divBdr>
            <w:top w:val="none" w:sz="0" w:space="0" w:color="auto"/>
            <w:left w:val="none" w:sz="0" w:space="0" w:color="auto"/>
            <w:bottom w:val="none" w:sz="0" w:space="0" w:color="auto"/>
            <w:right w:val="none" w:sz="0" w:space="0" w:color="auto"/>
          </w:divBdr>
        </w:div>
        <w:div w:id="508835834">
          <w:marLeft w:val="640"/>
          <w:marRight w:val="0"/>
          <w:marTop w:val="0"/>
          <w:marBottom w:val="0"/>
          <w:divBdr>
            <w:top w:val="none" w:sz="0" w:space="0" w:color="auto"/>
            <w:left w:val="none" w:sz="0" w:space="0" w:color="auto"/>
            <w:bottom w:val="none" w:sz="0" w:space="0" w:color="auto"/>
            <w:right w:val="none" w:sz="0" w:space="0" w:color="auto"/>
          </w:divBdr>
        </w:div>
        <w:div w:id="2094549255">
          <w:marLeft w:val="640"/>
          <w:marRight w:val="0"/>
          <w:marTop w:val="0"/>
          <w:marBottom w:val="0"/>
          <w:divBdr>
            <w:top w:val="none" w:sz="0" w:space="0" w:color="auto"/>
            <w:left w:val="none" w:sz="0" w:space="0" w:color="auto"/>
            <w:bottom w:val="none" w:sz="0" w:space="0" w:color="auto"/>
            <w:right w:val="none" w:sz="0" w:space="0" w:color="auto"/>
          </w:divBdr>
        </w:div>
        <w:div w:id="1032926771">
          <w:marLeft w:val="640"/>
          <w:marRight w:val="0"/>
          <w:marTop w:val="0"/>
          <w:marBottom w:val="0"/>
          <w:divBdr>
            <w:top w:val="none" w:sz="0" w:space="0" w:color="auto"/>
            <w:left w:val="none" w:sz="0" w:space="0" w:color="auto"/>
            <w:bottom w:val="none" w:sz="0" w:space="0" w:color="auto"/>
            <w:right w:val="none" w:sz="0" w:space="0" w:color="auto"/>
          </w:divBdr>
        </w:div>
        <w:div w:id="955719956">
          <w:marLeft w:val="640"/>
          <w:marRight w:val="0"/>
          <w:marTop w:val="0"/>
          <w:marBottom w:val="0"/>
          <w:divBdr>
            <w:top w:val="none" w:sz="0" w:space="0" w:color="auto"/>
            <w:left w:val="none" w:sz="0" w:space="0" w:color="auto"/>
            <w:bottom w:val="none" w:sz="0" w:space="0" w:color="auto"/>
            <w:right w:val="none" w:sz="0" w:space="0" w:color="auto"/>
          </w:divBdr>
        </w:div>
        <w:div w:id="1979844574">
          <w:marLeft w:val="640"/>
          <w:marRight w:val="0"/>
          <w:marTop w:val="0"/>
          <w:marBottom w:val="0"/>
          <w:divBdr>
            <w:top w:val="none" w:sz="0" w:space="0" w:color="auto"/>
            <w:left w:val="none" w:sz="0" w:space="0" w:color="auto"/>
            <w:bottom w:val="none" w:sz="0" w:space="0" w:color="auto"/>
            <w:right w:val="none" w:sz="0" w:space="0" w:color="auto"/>
          </w:divBdr>
        </w:div>
        <w:div w:id="1750887320">
          <w:marLeft w:val="640"/>
          <w:marRight w:val="0"/>
          <w:marTop w:val="0"/>
          <w:marBottom w:val="0"/>
          <w:divBdr>
            <w:top w:val="none" w:sz="0" w:space="0" w:color="auto"/>
            <w:left w:val="none" w:sz="0" w:space="0" w:color="auto"/>
            <w:bottom w:val="none" w:sz="0" w:space="0" w:color="auto"/>
            <w:right w:val="none" w:sz="0" w:space="0" w:color="auto"/>
          </w:divBdr>
        </w:div>
        <w:div w:id="278725614">
          <w:marLeft w:val="640"/>
          <w:marRight w:val="0"/>
          <w:marTop w:val="0"/>
          <w:marBottom w:val="0"/>
          <w:divBdr>
            <w:top w:val="none" w:sz="0" w:space="0" w:color="auto"/>
            <w:left w:val="none" w:sz="0" w:space="0" w:color="auto"/>
            <w:bottom w:val="none" w:sz="0" w:space="0" w:color="auto"/>
            <w:right w:val="none" w:sz="0" w:space="0" w:color="auto"/>
          </w:divBdr>
        </w:div>
        <w:div w:id="804087207">
          <w:marLeft w:val="640"/>
          <w:marRight w:val="0"/>
          <w:marTop w:val="0"/>
          <w:marBottom w:val="0"/>
          <w:divBdr>
            <w:top w:val="none" w:sz="0" w:space="0" w:color="auto"/>
            <w:left w:val="none" w:sz="0" w:space="0" w:color="auto"/>
            <w:bottom w:val="none" w:sz="0" w:space="0" w:color="auto"/>
            <w:right w:val="none" w:sz="0" w:space="0" w:color="auto"/>
          </w:divBdr>
        </w:div>
        <w:div w:id="1690527955">
          <w:marLeft w:val="640"/>
          <w:marRight w:val="0"/>
          <w:marTop w:val="0"/>
          <w:marBottom w:val="0"/>
          <w:divBdr>
            <w:top w:val="none" w:sz="0" w:space="0" w:color="auto"/>
            <w:left w:val="none" w:sz="0" w:space="0" w:color="auto"/>
            <w:bottom w:val="none" w:sz="0" w:space="0" w:color="auto"/>
            <w:right w:val="none" w:sz="0" w:space="0" w:color="auto"/>
          </w:divBdr>
        </w:div>
        <w:div w:id="414323987">
          <w:marLeft w:val="640"/>
          <w:marRight w:val="0"/>
          <w:marTop w:val="0"/>
          <w:marBottom w:val="0"/>
          <w:divBdr>
            <w:top w:val="none" w:sz="0" w:space="0" w:color="auto"/>
            <w:left w:val="none" w:sz="0" w:space="0" w:color="auto"/>
            <w:bottom w:val="none" w:sz="0" w:space="0" w:color="auto"/>
            <w:right w:val="none" w:sz="0" w:space="0" w:color="auto"/>
          </w:divBdr>
        </w:div>
        <w:div w:id="1275401655">
          <w:marLeft w:val="640"/>
          <w:marRight w:val="0"/>
          <w:marTop w:val="0"/>
          <w:marBottom w:val="0"/>
          <w:divBdr>
            <w:top w:val="none" w:sz="0" w:space="0" w:color="auto"/>
            <w:left w:val="none" w:sz="0" w:space="0" w:color="auto"/>
            <w:bottom w:val="none" w:sz="0" w:space="0" w:color="auto"/>
            <w:right w:val="none" w:sz="0" w:space="0" w:color="auto"/>
          </w:divBdr>
        </w:div>
        <w:div w:id="539247838">
          <w:marLeft w:val="640"/>
          <w:marRight w:val="0"/>
          <w:marTop w:val="0"/>
          <w:marBottom w:val="0"/>
          <w:divBdr>
            <w:top w:val="none" w:sz="0" w:space="0" w:color="auto"/>
            <w:left w:val="none" w:sz="0" w:space="0" w:color="auto"/>
            <w:bottom w:val="none" w:sz="0" w:space="0" w:color="auto"/>
            <w:right w:val="none" w:sz="0" w:space="0" w:color="auto"/>
          </w:divBdr>
        </w:div>
        <w:div w:id="145585785">
          <w:marLeft w:val="640"/>
          <w:marRight w:val="0"/>
          <w:marTop w:val="0"/>
          <w:marBottom w:val="0"/>
          <w:divBdr>
            <w:top w:val="none" w:sz="0" w:space="0" w:color="auto"/>
            <w:left w:val="none" w:sz="0" w:space="0" w:color="auto"/>
            <w:bottom w:val="none" w:sz="0" w:space="0" w:color="auto"/>
            <w:right w:val="none" w:sz="0" w:space="0" w:color="auto"/>
          </w:divBdr>
        </w:div>
        <w:div w:id="1734809199">
          <w:marLeft w:val="640"/>
          <w:marRight w:val="0"/>
          <w:marTop w:val="0"/>
          <w:marBottom w:val="0"/>
          <w:divBdr>
            <w:top w:val="none" w:sz="0" w:space="0" w:color="auto"/>
            <w:left w:val="none" w:sz="0" w:space="0" w:color="auto"/>
            <w:bottom w:val="none" w:sz="0" w:space="0" w:color="auto"/>
            <w:right w:val="none" w:sz="0" w:space="0" w:color="auto"/>
          </w:divBdr>
        </w:div>
        <w:div w:id="468132250">
          <w:marLeft w:val="640"/>
          <w:marRight w:val="0"/>
          <w:marTop w:val="0"/>
          <w:marBottom w:val="0"/>
          <w:divBdr>
            <w:top w:val="none" w:sz="0" w:space="0" w:color="auto"/>
            <w:left w:val="none" w:sz="0" w:space="0" w:color="auto"/>
            <w:bottom w:val="none" w:sz="0" w:space="0" w:color="auto"/>
            <w:right w:val="none" w:sz="0" w:space="0" w:color="auto"/>
          </w:divBdr>
        </w:div>
        <w:div w:id="2111076028">
          <w:marLeft w:val="640"/>
          <w:marRight w:val="0"/>
          <w:marTop w:val="0"/>
          <w:marBottom w:val="0"/>
          <w:divBdr>
            <w:top w:val="none" w:sz="0" w:space="0" w:color="auto"/>
            <w:left w:val="none" w:sz="0" w:space="0" w:color="auto"/>
            <w:bottom w:val="none" w:sz="0" w:space="0" w:color="auto"/>
            <w:right w:val="none" w:sz="0" w:space="0" w:color="auto"/>
          </w:divBdr>
        </w:div>
        <w:div w:id="691537087">
          <w:marLeft w:val="640"/>
          <w:marRight w:val="0"/>
          <w:marTop w:val="0"/>
          <w:marBottom w:val="0"/>
          <w:divBdr>
            <w:top w:val="none" w:sz="0" w:space="0" w:color="auto"/>
            <w:left w:val="none" w:sz="0" w:space="0" w:color="auto"/>
            <w:bottom w:val="none" w:sz="0" w:space="0" w:color="auto"/>
            <w:right w:val="none" w:sz="0" w:space="0" w:color="auto"/>
          </w:divBdr>
        </w:div>
        <w:div w:id="1555004944">
          <w:marLeft w:val="640"/>
          <w:marRight w:val="0"/>
          <w:marTop w:val="0"/>
          <w:marBottom w:val="0"/>
          <w:divBdr>
            <w:top w:val="none" w:sz="0" w:space="0" w:color="auto"/>
            <w:left w:val="none" w:sz="0" w:space="0" w:color="auto"/>
            <w:bottom w:val="none" w:sz="0" w:space="0" w:color="auto"/>
            <w:right w:val="none" w:sz="0" w:space="0" w:color="auto"/>
          </w:divBdr>
        </w:div>
        <w:div w:id="624239306">
          <w:marLeft w:val="640"/>
          <w:marRight w:val="0"/>
          <w:marTop w:val="0"/>
          <w:marBottom w:val="0"/>
          <w:divBdr>
            <w:top w:val="none" w:sz="0" w:space="0" w:color="auto"/>
            <w:left w:val="none" w:sz="0" w:space="0" w:color="auto"/>
            <w:bottom w:val="none" w:sz="0" w:space="0" w:color="auto"/>
            <w:right w:val="none" w:sz="0" w:space="0" w:color="auto"/>
          </w:divBdr>
        </w:div>
        <w:div w:id="499276666">
          <w:marLeft w:val="640"/>
          <w:marRight w:val="0"/>
          <w:marTop w:val="0"/>
          <w:marBottom w:val="0"/>
          <w:divBdr>
            <w:top w:val="none" w:sz="0" w:space="0" w:color="auto"/>
            <w:left w:val="none" w:sz="0" w:space="0" w:color="auto"/>
            <w:bottom w:val="none" w:sz="0" w:space="0" w:color="auto"/>
            <w:right w:val="none" w:sz="0" w:space="0" w:color="auto"/>
          </w:divBdr>
        </w:div>
        <w:div w:id="584261693">
          <w:marLeft w:val="640"/>
          <w:marRight w:val="0"/>
          <w:marTop w:val="0"/>
          <w:marBottom w:val="0"/>
          <w:divBdr>
            <w:top w:val="none" w:sz="0" w:space="0" w:color="auto"/>
            <w:left w:val="none" w:sz="0" w:space="0" w:color="auto"/>
            <w:bottom w:val="none" w:sz="0" w:space="0" w:color="auto"/>
            <w:right w:val="none" w:sz="0" w:space="0" w:color="auto"/>
          </w:divBdr>
        </w:div>
        <w:div w:id="1804156495">
          <w:marLeft w:val="640"/>
          <w:marRight w:val="0"/>
          <w:marTop w:val="0"/>
          <w:marBottom w:val="0"/>
          <w:divBdr>
            <w:top w:val="none" w:sz="0" w:space="0" w:color="auto"/>
            <w:left w:val="none" w:sz="0" w:space="0" w:color="auto"/>
            <w:bottom w:val="none" w:sz="0" w:space="0" w:color="auto"/>
            <w:right w:val="none" w:sz="0" w:space="0" w:color="auto"/>
          </w:divBdr>
        </w:div>
        <w:div w:id="643433389">
          <w:marLeft w:val="640"/>
          <w:marRight w:val="0"/>
          <w:marTop w:val="0"/>
          <w:marBottom w:val="0"/>
          <w:divBdr>
            <w:top w:val="none" w:sz="0" w:space="0" w:color="auto"/>
            <w:left w:val="none" w:sz="0" w:space="0" w:color="auto"/>
            <w:bottom w:val="none" w:sz="0" w:space="0" w:color="auto"/>
            <w:right w:val="none" w:sz="0" w:space="0" w:color="auto"/>
          </w:divBdr>
        </w:div>
        <w:div w:id="1296838380">
          <w:marLeft w:val="640"/>
          <w:marRight w:val="0"/>
          <w:marTop w:val="0"/>
          <w:marBottom w:val="0"/>
          <w:divBdr>
            <w:top w:val="none" w:sz="0" w:space="0" w:color="auto"/>
            <w:left w:val="none" w:sz="0" w:space="0" w:color="auto"/>
            <w:bottom w:val="none" w:sz="0" w:space="0" w:color="auto"/>
            <w:right w:val="none" w:sz="0" w:space="0" w:color="auto"/>
          </w:divBdr>
        </w:div>
        <w:div w:id="324818355">
          <w:marLeft w:val="640"/>
          <w:marRight w:val="0"/>
          <w:marTop w:val="0"/>
          <w:marBottom w:val="0"/>
          <w:divBdr>
            <w:top w:val="none" w:sz="0" w:space="0" w:color="auto"/>
            <w:left w:val="none" w:sz="0" w:space="0" w:color="auto"/>
            <w:bottom w:val="none" w:sz="0" w:space="0" w:color="auto"/>
            <w:right w:val="none" w:sz="0" w:space="0" w:color="auto"/>
          </w:divBdr>
        </w:div>
        <w:div w:id="1542010472">
          <w:marLeft w:val="640"/>
          <w:marRight w:val="0"/>
          <w:marTop w:val="0"/>
          <w:marBottom w:val="0"/>
          <w:divBdr>
            <w:top w:val="none" w:sz="0" w:space="0" w:color="auto"/>
            <w:left w:val="none" w:sz="0" w:space="0" w:color="auto"/>
            <w:bottom w:val="none" w:sz="0" w:space="0" w:color="auto"/>
            <w:right w:val="none" w:sz="0" w:space="0" w:color="auto"/>
          </w:divBdr>
        </w:div>
        <w:div w:id="1231964440">
          <w:marLeft w:val="640"/>
          <w:marRight w:val="0"/>
          <w:marTop w:val="0"/>
          <w:marBottom w:val="0"/>
          <w:divBdr>
            <w:top w:val="none" w:sz="0" w:space="0" w:color="auto"/>
            <w:left w:val="none" w:sz="0" w:space="0" w:color="auto"/>
            <w:bottom w:val="none" w:sz="0" w:space="0" w:color="auto"/>
            <w:right w:val="none" w:sz="0" w:space="0" w:color="auto"/>
          </w:divBdr>
        </w:div>
        <w:div w:id="691221573">
          <w:marLeft w:val="640"/>
          <w:marRight w:val="0"/>
          <w:marTop w:val="0"/>
          <w:marBottom w:val="0"/>
          <w:divBdr>
            <w:top w:val="none" w:sz="0" w:space="0" w:color="auto"/>
            <w:left w:val="none" w:sz="0" w:space="0" w:color="auto"/>
            <w:bottom w:val="none" w:sz="0" w:space="0" w:color="auto"/>
            <w:right w:val="none" w:sz="0" w:space="0" w:color="auto"/>
          </w:divBdr>
        </w:div>
        <w:div w:id="196936435">
          <w:marLeft w:val="640"/>
          <w:marRight w:val="0"/>
          <w:marTop w:val="0"/>
          <w:marBottom w:val="0"/>
          <w:divBdr>
            <w:top w:val="none" w:sz="0" w:space="0" w:color="auto"/>
            <w:left w:val="none" w:sz="0" w:space="0" w:color="auto"/>
            <w:bottom w:val="none" w:sz="0" w:space="0" w:color="auto"/>
            <w:right w:val="none" w:sz="0" w:space="0" w:color="auto"/>
          </w:divBdr>
        </w:div>
        <w:div w:id="529882043">
          <w:marLeft w:val="640"/>
          <w:marRight w:val="0"/>
          <w:marTop w:val="0"/>
          <w:marBottom w:val="0"/>
          <w:divBdr>
            <w:top w:val="none" w:sz="0" w:space="0" w:color="auto"/>
            <w:left w:val="none" w:sz="0" w:space="0" w:color="auto"/>
            <w:bottom w:val="none" w:sz="0" w:space="0" w:color="auto"/>
            <w:right w:val="none" w:sz="0" w:space="0" w:color="auto"/>
          </w:divBdr>
        </w:div>
        <w:div w:id="1315911962">
          <w:marLeft w:val="640"/>
          <w:marRight w:val="0"/>
          <w:marTop w:val="0"/>
          <w:marBottom w:val="0"/>
          <w:divBdr>
            <w:top w:val="none" w:sz="0" w:space="0" w:color="auto"/>
            <w:left w:val="none" w:sz="0" w:space="0" w:color="auto"/>
            <w:bottom w:val="none" w:sz="0" w:space="0" w:color="auto"/>
            <w:right w:val="none" w:sz="0" w:space="0" w:color="auto"/>
          </w:divBdr>
        </w:div>
        <w:div w:id="1418476900">
          <w:marLeft w:val="640"/>
          <w:marRight w:val="0"/>
          <w:marTop w:val="0"/>
          <w:marBottom w:val="0"/>
          <w:divBdr>
            <w:top w:val="none" w:sz="0" w:space="0" w:color="auto"/>
            <w:left w:val="none" w:sz="0" w:space="0" w:color="auto"/>
            <w:bottom w:val="none" w:sz="0" w:space="0" w:color="auto"/>
            <w:right w:val="none" w:sz="0" w:space="0" w:color="auto"/>
          </w:divBdr>
        </w:div>
        <w:div w:id="1471896990">
          <w:marLeft w:val="640"/>
          <w:marRight w:val="0"/>
          <w:marTop w:val="0"/>
          <w:marBottom w:val="0"/>
          <w:divBdr>
            <w:top w:val="none" w:sz="0" w:space="0" w:color="auto"/>
            <w:left w:val="none" w:sz="0" w:space="0" w:color="auto"/>
            <w:bottom w:val="none" w:sz="0" w:space="0" w:color="auto"/>
            <w:right w:val="none" w:sz="0" w:space="0" w:color="auto"/>
          </w:divBdr>
        </w:div>
        <w:div w:id="946237779">
          <w:marLeft w:val="640"/>
          <w:marRight w:val="0"/>
          <w:marTop w:val="0"/>
          <w:marBottom w:val="0"/>
          <w:divBdr>
            <w:top w:val="none" w:sz="0" w:space="0" w:color="auto"/>
            <w:left w:val="none" w:sz="0" w:space="0" w:color="auto"/>
            <w:bottom w:val="none" w:sz="0" w:space="0" w:color="auto"/>
            <w:right w:val="none" w:sz="0" w:space="0" w:color="auto"/>
          </w:divBdr>
        </w:div>
        <w:div w:id="805201956">
          <w:marLeft w:val="640"/>
          <w:marRight w:val="0"/>
          <w:marTop w:val="0"/>
          <w:marBottom w:val="0"/>
          <w:divBdr>
            <w:top w:val="none" w:sz="0" w:space="0" w:color="auto"/>
            <w:left w:val="none" w:sz="0" w:space="0" w:color="auto"/>
            <w:bottom w:val="none" w:sz="0" w:space="0" w:color="auto"/>
            <w:right w:val="none" w:sz="0" w:space="0" w:color="auto"/>
          </w:divBdr>
        </w:div>
        <w:div w:id="1312170701">
          <w:marLeft w:val="640"/>
          <w:marRight w:val="0"/>
          <w:marTop w:val="0"/>
          <w:marBottom w:val="0"/>
          <w:divBdr>
            <w:top w:val="none" w:sz="0" w:space="0" w:color="auto"/>
            <w:left w:val="none" w:sz="0" w:space="0" w:color="auto"/>
            <w:bottom w:val="none" w:sz="0" w:space="0" w:color="auto"/>
            <w:right w:val="none" w:sz="0" w:space="0" w:color="auto"/>
          </w:divBdr>
        </w:div>
        <w:div w:id="1420834987">
          <w:marLeft w:val="640"/>
          <w:marRight w:val="0"/>
          <w:marTop w:val="0"/>
          <w:marBottom w:val="0"/>
          <w:divBdr>
            <w:top w:val="none" w:sz="0" w:space="0" w:color="auto"/>
            <w:left w:val="none" w:sz="0" w:space="0" w:color="auto"/>
            <w:bottom w:val="none" w:sz="0" w:space="0" w:color="auto"/>
            <w:right w:val="none" w:sz="0" w:space="0" w:color="auto"/>
          </w:divBdr>
        </w:div>
        <w:div w:id="2045055370">
          <w:marLeft w:val="640"/>
          <w:marRight w:val="0"/>
          <w:marTop w:val="0"/>
          <w:marBottom w:val="0"/>
          <w:divBdr>
            <w:top w:val="none" w:sz="0" w:space="0" w:color="auto"/>
            <w:left w:val="none" w:sz="0" w:space="0" w:color="auto"/>
            <w:bottom w:val="none" w:sz="0" w:space="0" w:color="auto"/>
            <w:right w:val="none" w:sz="0" w:space="0" w:color="auto"/>
          </w:divBdr>
        </w:div>
        <w:div w:id="1427456224">
          <w:marLeft w:val="640"/>
          <w:marRight w:val="0"/>
          <w:marTop w:val="0"/>
          <w:marBottom w:val="0"/>
          <w:divBdr>
            <w:top w:val="none" w:sz="0" w:space="0" w:color="auto"/>
            <w:left w:val="none" w:sz="0" w:space="0" w:color="auto"/>
            <w:bottom w:val="none" w:sz="0" w:space="0" w:color="auto"/>
            <w:right w:val="none" w:sz="0" w:space="0" w:color="auto"/>
          </w:divBdr>
        </w:div>
        <w:div w:id="359817017">
          <w:marLeft w:val="640"/>
          <w:marRight w:val="0"/>
          <w:marTop w:val="0"/>
          <w:marBottom w:val="0"/>
          <w:divBdr>
            <w:top w:val="none" w:sz="0" w:space="0" w:color="auto"/>
            <w:left w:val="none" w:sz="0" w:space="0" w:color="auto"/>
            <w:bottom w:val="none" w:sz="0" w:space="0" w:color="auto"/>
            <w:right w:val="none" w:sz="0" w:space="0" w:color="auto"/>
          </w:divBdr>
        </w:div>
        <w:div w:id="297956982">
          <w:marLeft w:val="640"/>
          <w:marRight w:val="0"/>
          <w:marTop w:val="0"/>
          <w:marBottom w:val="0"/>
          <w:divBdr>
            <w:top w:val="none" w:sz="0" w:space="0" w:color="auto"/>
            <w:left w:val="none" w:sz="0" w:space="0" w:color="auto"/>
            <w:bottom w:val="none" w:sz="0" w:space="0" w:color="auto"/>
            <w:right w:val="none" w:sz="0" w:space="0" w:color="auto"/>
          </w:divBdr>
        </w:div>
        <w:div w:id="161163639">
          <w:marLeft w:val="640"/>
          <w:marRight w:val="0"/>
          <w:marTop w:val="0"/>
          <w:marBottom w:val="0"/>
          <w:divBdr>
            <w:top w:val="none" w:sz="0" w:space="0" w:color="auto"/>
            <w:left w:val="none" w:sz="0" w:space="0" w:color="auto"/>
            <w:bottom w:val="none" w:sz="0" w:space="0" w:color="auto"/>
            <w:right w:val="none" w:sz="0" w:space="0" w:color="auto"/>
          </w:divBdr>
        </w:div>
        <w:div w:id="181942571">
          <w:marLeft w:val="640"/>
          <w:marRight w:val="0"/>
          <w:marTop w:val="0"/>
          <w:marBottom w:val="0"/>
          <w:divBdr>
            <w:top w:val="none" w:sz="0" w:space="0" w:color="auto"/>
            <w:left w:val="none" w:sz="0" w:space="0" w:color="auto"/>
            <w:bottom w:val="none" w:sz="0" w:space="0" w:color="auto"/>
            <w:right w:val="none" w:sz="0" w:space="0" w:color="auto"/>
          </w:divBdr>
        </w:div>
        <w:div w:id="1760440532">
          <w:marLeft w:val="640"/>
          <w:marRight w:val="0"/>
          <w:marTop w:val="0"/>
          <w:marBottom w:val="0"/>
          <w:divBdr>
            <w:top w:val="none" w:sz="0" w:space="0" w:color="auto"/>
            <w:left w:val="none" w:sz="0" w:space="0" w:color="auto"/>
            <w:bottom w:val="none" w:sz="0" w:space="0" w:color="auto"/>
            <w:right w:val="none" w:sz="0" w:space="0" w:color="auto"/>
          </w:divBdr>
        </w:div>
        <w:div w:id="1323659634">
          <w:marLeft w:val="640"/>
          <w:marRight w:val="0"/>
          <w:marTop w:val="0"/>
          <w:marBottom w:val="0"/>
          <w:divBdr>
            <w:top w:val="none" w:sz="0" w:space="0" w:color="auto"/>
            <w:left w:val="none" w:sz="0" w:space="0" w:color="auto"/>
            <w:bottom w:val="none" w:sz="0" w:space="0" w:color="auto"/>
            <w:right w:val="none" w:sz="0" w:space="0" w:color="auto"/>
          </w:divBdr>
        </w:div>
        <w:div w:id="1979800007">
          <w:marLeft w:val="640"/>
          <w:marRight w:val="0"/>
          <w:marTop w:val="0"/>
          <w:marBottom w:val="0"/>
          <w:divBdr>
            <w:top w:val="none" w:sz="0" w:space="0" w:color="auto"/>
            <w:left w:val="none" w:sz="0" w:space="0" w:color="auto"/>
            <w:bottom w:val="none" w:sz="0" w:space="0" w:color="auto"/>
            <w:right w:val="none" w:sz="0" w:space="0" w:color="auto"/>
          </w:divBdr>
        </w:div>
        <w:div w:id="833187720">
          <w:marLeft w:val="640"/>
          <w:marRight w:val="0"/>
          <w:marTop w:val="0"/>
          <w:marBottom w:val="0"/>
          <w:divBdr>
            <w:top w:val="none" w:sz="0" w:space="0" w:color="auto"/>
            <w:left w:val="none" w:sz="0" w:space="0" w:color="auto"/>
            <w:bottom w:val="none" w:sz="0" w:space="0" w:color="auto"/>
            <w:right w:val="none" w:sz="0" w:space="0" w:color="auto"/>
          </w:divBdr>
        </w:div>
        <w:div w:id="1967617933">
          <w:marLeft w:val="640"/>
          <w:marRight w:val="0"/>
          <w:marTop w:val="0"/>
          <w:marBottom w:val="0"/>
          <w:divBdr>
            <w:top w:val="none" w:sz="0" w:space="0" w:color="auto"/>
            <w:left w:val="none" w:sz="0" w:space="0" w:color="auto"/>
            <w:bottom w:val="none" w:sz="0" w:space="0" w:color="auto"/>
            <w:right w:val="none" w:sz="0" w:space="0" w:color="auto"/>
          </w:divBdr>
        </w:div>
        <w:div w:id="71318131">
          <w:marLeft w:val="640"/>
          <w:marRight w:val="0"/>
          <w:marTop w:val="0"/>
          <w:marBottom w:val="0"/>
          <w:divBdr>
            <w:top w:val="none" w:sz="0" w:space="0" w:color="auto"/>
            <w:left w:val="none" w:sz="0" w:space="0" w:color="auto"/>
            <w:bottom w:val="none" w:sz="0" w:space="0" w:color="auto"/>
            <w:right w:val="none" w:sz="0" w:space="0" w:color="auto"/>
          </w:divBdr>
        </w:div>
        <w:div w:id="47993322">
          <w:marLeft w:val="640"/>
          <w:marRight w:val="0"/>
          <w:marTop w:val="0"/>
          <w:marBottom w:val="0"/>
          <w:divBdr>
            <w:top w:val="none" w:sz="0" w:space="0" w:color="auto"/>
            <w:left w:val="none" w:sz="0" w:space="0" w:color="auto"/>
            <w:bottom w:val="none" w:sz="0" w:space="0" w:color="auto"/>
            <w:right w:val="none" w:sz="0" w:space="0" w:color="auto"/>
          </w:divBdr>
        </w:div>
        <w:div w:id="1524170854">
          <w:marLeft w:val="640"/>
          <w:marRight w:val="0"/>
          <w:marTop w:val="0"/>
          <w:marBottom w:val="0"/>
          <w:divBdr>
            <w:top w:val="none" w:sz="0" w:space="0" w:color="auto"/>
            <w:left w:val="none" w:sz="0" w:space="0" w:color="auto"/>
            <w:bottom w:val="none" w:sz="0" w:space="0" w:color="auto"/>
            <w:right w:val="none" w:sz="0" w:space="0" w:color="auto"/>
          </w:divBdr>
        </w:div>
        <w:div w:id="834490475">
          <w:marLeft w:val="640"/>
          <w:marRight w:val="0"/>
          <w:marTop w:val="0"/>
          <w:marBottom w:val="0"/>
          <w:divBdr>
            <w:top w:val="none" w:sz="0" w:space="0" w:color="auto"/>
            <w:left w:val="none" w:sz="0" w:space="0" w:color="auto"/>
            <w:bottom w:val="none" w:sz="0" w:space="0" w:color="auto"/>
            <w:right w:val="none" w:sz="0" w:space="0" w:color="auto"/>
          </w:divBdr>
        </w:div>
        <w:div w:id="1428237410">
          <w:marLeft w:val="640"/>
          <w:marRight w:val="0"/>
          <w:marTop w:val="0"/>
          <w:marBottom w:val="0"/>
          <w:divBdr>
            <w:top w:val="none" w:sz="0" w:space="0" w:color="auto"/>
            <w:left w:val="none" w:sz="0" w:space="0" w:color="auto"/>
            <w:bottom w:val="none" w:sz="0" w:space="0" w:color="auto"/>
            <w:right w:val="none" w:sz="0" w:space="0" w:color="auto"/>
          </w:divBdr>
        </w:div>
        <w:div w:id="845680588">
          <w:marLeft w:val="640"/>
          <w:marRight w:val="0"/>
          <w:marTop w:val="0"/>
          <w:marBottom w:val="0"/>
          <w:divBdr>
            <w:top w:val="none" w:sz="0" w:space="0" w:color="auto"/>
            <w:left w:val="none" w:sz="0" w:space="0" w:color="auto"/>
            <w:bottom w:val="none" w:sz="0" w:space="0" w:color="auto"/>
            <w:right w:val="none" w:sz="0" w:space="0" w:color="auto"/>
          </w:divBdr>
        </w:div>
        <w:div w:id="416249960">
          <w:marLeft w:val="640"/>
          <w:marRight w:val="0"/>
          <w:marTop w:val="0"/>
          <w:marBottom w:val="0"/>
          <w:divBdr>
            <w:top w:val="none" w:sz="0" w:space="0" w:color="auto"/>
            <w:left w:val="none" w:sz="0" w:space="0" w:color="auto"/>
            <w:bottom w:val="none" w:sz="0" w:space="0" w:color="auto"/>
            <w:right w:val="none" w:sz="0" w:space="0" w:color="auto"/>
          </w:divBdr>
        </w:div>
        <w:div w:id="1815023319">
          <w:marLeft w:val="640"/>
          <w:marRight w:val="0"/>
          <w:marTop w:val="0"/>
          <w:marBottom w:val="0"/>
          <w:divBdr>
            <w:top w:val="none" w:sz="0" w:space="0" w:color="auto"/>
            <w:left w:val="none" w:sz="0" w:space="0" w:color="auto"/>
            <w:bottom w:val="none" w:sz="0" w:space="0" w:color="auto"/>
            <w:right w:val="none" w:sz="0" w:space="0" w:color="auto"/>
          </w:divBdr>
        </w:div>
        <w:div w:id="508328650">
          <w:marLeft w:val="640"/>
          <w:marRight w:val="0"/>
          <w:marTop w:val="0"/>
          <w:marBottom w:val="0"/>
          <w:divBdr>
            <w:top w:val="none" w:sz="0" w:space="0" w:color="auto"/>
            <w:left w:val="none" w:sz="0" w:space="0" w:color="auto"/>
            <w:bottom w:val="none" w:sz="0" w:space="0" w:color="auto"/>
            <w:right w:val="none" w:sz="0" w:space="0" w:color="auto"/>
          </w:divBdr>
        </w:div>
        <w:div w:id="1429035745">
          <w:marLeft w:val="640"/>
          <w:marRight w:val="0"/>
          <w:marTop w:val="0"/>
          <w:marBottom w:val="0"/>
          <w:divBdr>
            <w:top w:val="none" w:sz="0" w:space="0" w:color="auto"/>
            <w:left w:val="none" w:sz="0" w:space="0" w:color="auto"/>
            <w:bottom w:val="none" w:sz="0" w:space="0" w:color="auto"/>
            <w:right w:val="none" w:sz="0" w:space="0" w:color="auto"/>
          </w:divBdr>
        </w:div>
        <w:div w:id="1574390997">
          <w:marLeft w:val="640"/>
          <w:marRight w:val="0"/>
          <w:marTop w:val="0"/>
          <w:marBottom w:val="0"/>
          <w:divBdr>
            <w:top w:val="none" w:sz="0" w:space="0" w:color="auto"/>
            <w:left w:val="none" w:sz="0" w:space="0" w:color="auto"/>
            <w:bottom w:val="none" w:sz="0" w:space="0" w:color="auto"/>
            <w:right w:val="none" w:sz="0" w:space="0" w:color="auto"/>
          </w:divBdr>
        </w:div>
        <w:div w:id="12801953">
          <w:marLeft w:val="640"/>
          <w:marRight w:val="0"/>
          <w:marTop w:val="0"/>
          <w:marBottom w:val="0"/>
          <w:divBdr>
            <w:top w:val="none" w:sz="0" w:space="0" w:color="auto"/>
            <w:left w:val="none" w:sz="0" w:space="0" w:color="auto"/>
            <w:bottom w:val="none" w:sz="0" w:space="0" w:color="auto"/>
            <w:right w:val="none" w:sz="0" w:space="0" w:color="auto"/>
          </w:divBdr>
        </w:div>
        <w:div w:id="1931504396">
          <w:marLeft w:val="640"/>
          <w:marRight w:val="0"/>
          <w:marTop w:val="0"/>
          <w:marBottom w:val="0"/>
          <w:divBdr>
            <w:top w:val="none" w:sz="0" w:space="0" w:color="auto"/>
            <w:left w:val="none" w:sz="0" w:space="0" w:color="auto"/>
            <w:bottom w:val="none" w:sz="0" w:space="0" w:color="auto"/>
            <w:right w:val="none" w:sz="0" w:space="0" w:color="auto"/>
          </w:divBdr>
        </w:div>
        <w:div w:id="21396679">
          <w:marLeft w:val="640"/>
          <w:marRight w:val="0"/>
          <w:marTop w:val="0"/>
          <w:marBottom w:val="0"/>
          <w:divBdr>
            <w:top w:val="none" w:sz="0" w:space="0" w:color="auto"/>
            <w:left w:val="none" w:sz="0" w:space="0" w:color="auto"/>
            <w:bottom w:val="none" w:sz="0" w:space="0" w:color="auto"/>
            <w:right w:val="none" w:sz="0" w:space="0" w:color="auto"/>
          </w:divBdr>
        </w:div>
        <w:div w:id="653408766">
          <w:marLeft w:val="640"/>
          <w:marRight w:val="0"/>
          <w:marTop w:val="0"/>
          <w:marBottom w:val="0"/>
          <w:divBdr>
            <w:top w:val="none" w:sz="0" w:space="0" w:color="auto"/>
            <w:left w:val="none" w:sz="0" w:space="0" w:color="auto"/>
            <w:bottom w:val="none" w:sz="0" w:space="0" w:color="auto"/>
            <w:right w:val="none" w:sz="0" w:space="0" w:color="auto"/>
          </w:divBdr>
        </w:div>
        <w:div w:id="177504031">
          <w:marLeft w:val="640"/>
          <w:marRight w:val="0"/>
          <w:marTop w:val="0"/>
          <w:marBottom w:val="0"/>
          <w:divBdr>
            <w:top w:val="none" w:sz="0" w:space="0" w:color="auto"/>
            <w:left w:val="none" w:sz="0" w:space="0" w:color="auto"/>
            <w:bottom w:val="none" w:sz="0" w:space="0" w:color="auto"/>
            <w:right w:val="none" w:sz="0" w:space="0" w:color="auto"/>
          </w:divBdr>
        </w:div>
        <w:div w:id="1119300481">
          <w:marLeft w:val="640"/>
          <w:marRight w:val="0"/>
          <w:marTop w:val="0"/>
          <w:marBottom w:val="0"/>
          <w:divBdr>
            <w:top w:val="none" w:sz="0" w:space="0" w:color="auto"/>
            <w:left w:val="none" w:sz="0" w:space="0" w:color="auto"/>
            <w:bottom w:val="none" w:sz="0" w:space="0" w:color="auto"/>
            <w:right w:val="none" w:sz="0" w:space="0" w:color="auto"/>
          </w:divBdr>
        </w:div>
        <w:div w:id="1483228477">
          <w:marLeft w:val="640"/>
          <w:marRight w:val="0"/>
          <w:marTop w:val="0"/>
          <w:marBottom w:val="0"/>
          <w:divBdr>
            <w:top w:val="none" w:sz="0" w:space="0" w:color="auto"/>
            <w:left w:val="none" w:sz="0" w:space="0" w:color="auto"/>
            <w:bottom w:val="none" w:sz="0" w:space="0" w:color="auto"/>
            <w:right w:val="none" w:sz="0" w:space="0" w:color="auto"/>
          </w:divBdr>
        </w:div>
        <w:div w:id="1559435706">
          <w:marLeft w:val="640"/>
          <w:marRight w:val="0"/>
          <w:marTop w:val="0"/>
          <w:marBottom w:val="0"/>
          <w:divBdr>
            <w:top w:val="none" w:sz="0" w:space="0" w:color="auto"/>
            <w:left w:val="none" w:sz="0" w:space="0" w:color="auto"/>
            <w:bottom w:val="none" w:sz="0" w:space="0" w:color="auto"/>
            <w:right w:val="none" w:sz="0" w:space="0" w:color="auto"/>
          </w:divBdr>
        </w:div>
        <w:div w:id="1710373487">
          <w:marLeft w:val="640"/>
          <w:marRight w:val="0"/>
          <w:marTop w:val="0"/>
          <w:marBottom w:val="0"/>
          <w:divBdr>
            <w:top w:val="none" w:sz="0" w:space="0" w:color="auto"/>
            <w:left w:val="none" w:sz="0" w:space="0" w:color="auto"/>
            <w:bottom w:val="none" w:sz="0" w:space="0" w:color="auto"/>
            <w:right w:val="none" w:sz="0" w:space="0" w:color="auto"/>
          </w:divBdr>
        </w:div>
        <w:div w:id="1443186493">
          <w:marLeft w:val="640"/>
          <w:marRight w:val="0"/>
          <w:marTop w:val="0"/>
          <w:marBottom w:val="0"/>
          <w:divBdr>
            <w:top w:val="none" w:sz="0" w:space="0" w:color="auto"/>
            <w:left w:val="none" w:sz="0" w:space="0" w:color="auto"/>
            <w:bottom w:val="none" w:sz="0" w:space="0" w:color="auto"/>
            <w:right w:val="none" w:sz="0" w:space="0" w:color="auto"/>
          </w:divBdr>
        </w:div>
        <w:div w:id="1334801497">
          <w:marLeft w:val="640"/>
          <w:marRight w:val="0"/>
          <w:marTop w:val="0"/>
          <w:marBottom w:val="0"/>
          <w:divBdr>
            <w:top w:val="none" w:sz="0" w:space="0" w:color="auto"/>
            <w:left w:val="none" w:sz="0" w:space="0" w:color="auto"/>
            <w:bottom w:val="none" w:sz="0" w:space="0" w:color="auto"/>
            <w:right w:val="none" w:sz="0" w:space="0" w:color="auto"/>
          </w:divBdr>
        </w:div>
        <w:div w:id="1625503193">
          <w:marLeft w:val="640"/>
          <w:marRight w:val="0"/>
          <w:marTop w:val="0"/>
          <w:marBottom w:val="0"/>
          <w:divBdr>
            <w:top w:val="none" w:sz="0" w:space="0" w:color="auto"/>
            <w:left w:val="none" w:sz="0" w:space="0" w:color="auto"/>
            <w:bottom w:val="none" w:sz="0" w:space="0" w:color="auto"/>
            <w:right w:val="none" w:sz="0" w:space="0" w:color="auto"/>
          </w:divBdr>
        </w:div>
        <w:div w:id="2061131914">
          <w:marLeft w:val="640"/>
          <w:marRight w:val="0"/>
          <w:marTop w:val="0"/>
          <w:marBottom w:val="0"/>
          <w:divBdr>
            <w:top w:val="none" w:sz="0" w:space="0" w:color="auto"/>
            <w:left w:val="none" w:sz="0" w:space="0" w:color="auto"/>
            <w:bottom w:val="none" w:sz="0" w:space="0" w:color="auto"/>
            <w:right w:val="none" w:sz="0" w:space="0" w:color="auto"/>
          </w:divBdr>
        </w:div>
        <w:div w:id="977684310">
          <w:marLeft w:val="640"/>
          <w:marRight w:val="0"/>
          <w:marTop w:val="0"/>
          <w:marBottom w:val="0"/>
          <w:divBdr>
            <w:top w:val="none" w:sz="0" w:space="0" w:color="auto"/>
            <w:left w:val="none" w:sz="0" w:space="0" w:color="auto"/>
            <w:bottom w:val="none" w:sz="0" w:space="0" w:color="auto"/>
            <w:right w:val="none" w:sz="0" w:space="0" w:color="auto"/>
          </w:divBdr>
        </w:div>
        <w:div w:id="1761756087">
          <w:marLeft w:val="640"/>
          <w:marRight w:val="0"/>
          <w:marTop w:val="0"/>
          <w:marBottom w:val="0"/>
          <w:divBdr>
            <w:top w:val="none" w:sz="0" w:space="0" w:color="auto"/>
            <w:left w:val="none" w:sz="0" w:space="0" w:color="auto"/>
            <w:bottom w:val="none" w:sz="0" w:space="0" w:color="auto"/>
            <w:right w:val="none" w:sz="0" w:space="0" w:color="auto"/>
          </w:divBdr>
        </w:div>
        <w:div w:id="678656506">
          <w:marLeft w:val="640"/>
          <w:marRight w:val="0"/>
          <w:marTop w:val="0"/>
          <w:marBottom w:val="0"/>
          <w:divBdr>
            <w:top w:val="none" w:sz="0" w:space="0" w:color="auto"/>
            <w:left w:val="none" w:sz="0" w:space="0" w:color="auto"/>
            <w:bottom w:val="none" w:sz="0" w:space="0" w:color="auto"/>
            <w:right w:val="none" w:sz="0" w:space="0" w:color="auto"/>
          </w:divBdr>
        </w:div>
        <w:div w:id="336419829">
          <w:marLeft w:val="640"/>
          <w:marRight w:val="0"/>
          <w:marTop w:val="0"/>
          <w:marBottom w:val="0"/>
          <w:divBdr>
            <w:top w:val="none" w:sz="0" w:space="0" w:color="auto"/>
            <w:left w:val="none" w:sz="0" w:space="0" w:color="auto"/>
            <w:bottom w:val="none" w:sz="0" w:space="0" w:color="auto"/>
            <w:right w:val="none" w:sz="0" w:space="0" w:color="auto"/>
          </w:divBdr>
        </w:div>
        <w:div w:id="246425284">
          <w:marLeft w:val="640"/>
          <w:marRight w:val="0"/>
          <w:marTop w:val="0"/>
          <w:marBottom w:val="0"/>
          <w:divBdr>
            <w:top w:val="none" w:sz="0" w:space="0" w:color="auto"/>
            <w:left w:val="none" w:sz="0" w:space="0" w:color="auto"/>
            <w:bottom w:val="none" w:sz="0" w:space="0" w:color="auto"/>
            <w:right w:val="none" w:sz="0" w:space="0" w:color="auto"/>
          </w:divBdr>
        </w:div>
        <w:div w:id="938172009">
          <w:marLeft w:val="640"/>
          <w:marRight w:val="0"/>
          <w:marTop w:val="0"/>
          <w:marBottom w:val="0"/>
          <w:divBdr>
            <w:top w:val="none" w:sz="0" w:space="0" w:color="auto"/>
            <w:left w:val="none" w:sz="0" w:space="0" w:color="auto"/>
            <w:bottom w:val="none" w:sz="0" w:space="0" w:color="auto"/>
            <w:right w:val="none" w:sz="0" w:space="0" w:color="auto"/>
          </w:divBdr>
        </w:div>
        <w:div w:id="1401096975">
          <w:marLeft w:val="640"/>
          <w:marRight w:val="0"/>
          <w:marTop w:val="0"/>
          <w:marBottom w:val="0"/>
          <w:divBdr>
            <w:top w:val="none" w:sz="0" w:space="0" w:color="auto"/>
            <w:left w:val="none" w:sz="0" w:space="0" w:color="auto"/>
            <w:bottom w:val="none" w:sz="0" w:space="0" w:color="auto"/>
            <w:right w:val="none" w:sz="0" w:space="0" w:color="auto"/>
          </w:divBdr>
        </w:div>
        <w:div w:id="1410999316">
          <w:marLeft w:val="640"/>
          <w:marRight w:val="0"/>
          <w:marTop w:val="0"/>
          <w:marBottom w:val="0"/>
          <w:divBdr>
            <w:top w:val="none" w:sz="0" w:space="0" w:color="auto"/>
            <w:left w:val="none" w:sz="0" w:space="0" w:color="auto"/>
            <w:bottom w:val="none" w:sz="0" w:space="0" w:color="auto"/>
            <w:right w:val="none" w:sz="0" w:space="0" w:color="auto"/>
          </w:divBdr>
        </w:div>
        <w:div w:id="2038774606">
          <w:marLeft w:val="640"/>
          <w:marRight w:val="0"/>
          <w:marTop w:val="0"/>
          <w:marBottom w:val="0"/>
          <w:divBdr>
            <w:top w:val="none" w:sz="0" w:space="0" w:color="auto"/>
            <w:left w:val="none" w:sz="0" w:space="0" w:color="auto"/>
            <w:bottom w:val="none" w:sz="0" w:space="0" w:color="auto"/>
            <w:right w:val="none" w:sz="0" w:space="0" w:color="auto"/>
          </w:divBdr>
        </w:div>
        <w:div w:id="1955135572">
          <w:marLeft w:val="640"/>
          <w:marRight w:val="0"/>
          <w:marTop w:val="0"/>
          <w:marBottom w:val="0"/>
          <w:divBdr>
            <w:top w:val="none" w:sz="0" w:space="0" w:color="auto"/>
            <w:left w:val="none" w:sz="0" w:space="0" w:color="auto"/>
            <w:bottom w:val="none" w:sz="0" w:space="0" w:color="auto"/>
            <w:right w:val="none" w:sz="0" w:space="0" w:color="auto"/>
          </w:divBdr>
        </w:div>
        <w:div w:id="1529640647">
          <w:marLeft w:val="640"/>
          <w:marRight w:val="0"/>
          <w:marTop w:val="0"/>
          <w:marBottom w:val="0"/>
          <w:divBdr>
            <w:top w:val="none" w:sz="0" w:space="0" w:color="auto"/>
            <w:left w:val="none" w:sz="0" w:space="0" w:color="auto"/>
            <w:bottom w:val="none" w:sz="0" w:space="0" w:color="auto"/>
            <w:right w:val="none" w:sz="0" w:space="0" w:color="auto"/>
          </w:divBdr>
        </w:div>
        <w:div w:id="1552644680">
          <w:marLeft w:val="640"/>
          <w:marRight w:val="0"/>
          <w:marTop w:val="0"/>
          <w:marBottom w:val="0"/>
          <w:divBdr>
            <w:top w:val="none" w:sz="0" w:space="0" w:color="auto"/>
            <w:left w:val="none" w:sz="0" w:space="0" w:color="auto"/>
            <w:bottom w:val="none" w:sz="0" w:space="0" w:color="auto"/>
            <w:right w:val="none" w:sz="0" w:space="0" w:color="auto"/>
          </w:divBdr>
        </w:div>
        <w:div w:id="1950774974">
          <w:marLeft w:val="640"/>
          <w:marRight w:val="0"/>
          <w:marTop w:val="0"/>
          <w:marBottom w:val="0"/>
          <w:divBdr>
            <w:top w:val="none" w:sz="0" w:space="0" w:color="auto"/>
            <w:left w:val="none" w:sz="0" w:space="0" w:color="auto"/>
            <w:bottom w:val="none" w:sz="0" w:space="0" w:color="auto"/>
            <w:right w:val="none" w:sz="0" w:space="0" w:color="auto"/>
          </w:divBdr>
        </w:div>
        <w:div w:id="2016573612">
          <w:marLeft w:val="640"/>
          <w:marRight w:val="0"/>
          <w:marTop w:val="0"/>
          <w:marBottom w:val="0"/>
          <w:divBdr>
            <w:top w:val="none" w:sz="0" w:space="0" w:color="auto"/>
            <w:left w:val="none" w:sz="0" w:space="0" w:color="auto"/>
            <w:bottom w:val="none" w:sz="0" w:space="0" w:color="auto"/>
            <w:right w:val="none" w:sz="0" w:space="0" w:color="auto"/>
          </w:divBdr>
        </w:div>
        <w:div w:id="894505485">
          <w:marLeft w:val="640"/>
          <w:marRight w:val="0"/>
          <w:marTop w:val="0"/>
          <w:marBottom w:val="0"/>
          <w:divBdr>
            <w:top w:val="none" w:sz="0" w:space="0" w:color="auto"/>
            <w:left w:val="none" w:sz="0" w:space="0" w:color="auto"/>
            <w:bottom w:val="none" w:sz="0" w:space="0" w:color="auto"/>
            <w:right w:val="none" w:sz="0" w:space="0" w:color="auto"/>
          </w:divBdr>
        </w:div>
        <w:div w:id="717897998">
          <w:marLeft w:val="640"/>
          <w:marRight w:val="0"/>
          <w:marTop w:val="0"/>
          <w:marBottom w:val="0"/>
          <w:divBdr>
            <w:top w:val="none" w:sz="0" w:space="0" w:color="auto"/>
            <w:left w:val="none" w:sz="0" w:space="0" w:color="auto"/>
            <w:bottom w:val="none" w:sz="0" w:space="0" w:color="auto"/>
            <w:right w:val="none" w:sz="0" w:space="0" w:color="auto"/>
          </w:divBdr>
        </w:div>
        <w:div w:id="619528937">
          <w:marLeft w:val="640"/>
          <w:marRight w:val="0"/>
          <w:marTop w:val="0"/>
          <w:marBottom w:val="0"/>
          <w:divBdr>
            <w:top w:val="none" w:sz="0" w:space="0" w:color="auto"/>
            <w:left w:val="none" w:sz="0" w:space="0" w:color="auto"/>
            <w:bottom w:val="none" w:sz="0" w:space="0" w:color="auto"/>
            <w:right w:val="none" w:sz="0" w:space="0" w:color="auto"/>
          </w:divBdr>
        </w:div>
        <w:div w:id="1626036310">
          <w:marLeft w:val="640"/>
          <w:marRight w:val="0"/>
          <w:marTop w:val="0"/>
          <w:marBottom w:val="0"/>
          <w:divBdr>
            <w:top w:val="none" w:sz="0" w:space="0" w:color="auto"/>
            <w:left w:val="none" w:sz="0" w:space="0" w:color="auto"/>
            <w:bottom w:val="none" w:sz="0" w:space="0" w:color="auto"/>
            <w:right w:val="none" w:sz="0" w:space="0" w:color="auto"/>
          </w:divBdr>
        </w:div>
        <w:div w:id="926306964">
          <w:marLeft w:val="640"/>
          <w:marRight w:val="0"/>
          <w:marTop w:val="0"/>
          <w:marBottom w:val="0"/>
          <w:divBdr>
            <w:top w:val="none" w:sz="0" w:space="0" w:color="auto"/>
            <w:left w:val="none" w:sz="0" w:space="0" w:color="auto"/>
            <w:bottom w:val="none" w:sz="0" w:space="0" w:color="auto"/>
            <w:right w:val="none" w:sz="0" w:space="0" w:color="auto"/>
          </w:divBdr>
        </w:div>
        <w:div w:id="271520273">
          <w:marLeft w:val="640"/>
          <w:marRight w:val="0"/>
          <w:marTop w:val="0"/>
          <w:marBottom w:val="0"/>
          <w:divBdr>
            <w:top w:val="none" w:sz="0" w:space="0" w:color="auto"/>
            <w:left w:val="none" w:sz="0" w:space="0" w:color="auto"/>
            <w:bottom w:val="none" w:sz="0" w:space="0" w:color="auto"/>
            <w:right w:val="none" w:sz="0" w:space="0" w:color="auto"/>
          </w:divBdr>
        </w:div>
        <w:div w:id="1327324468">
          <w:marLeft w:val="640"/>
          <w:marRight w:val="0"/>
          <w:marTop w:val="0"/>
          <w:marBottom w:val="0"/>
          <w:divBdr>
            <w:top w:val="none" w:sz="0" w:space="0" w:color="auto"/>
            <w:left w:val="none" w:sz="0" w:space="0" w:color="auto"/>
            <w:bottom w:val="none" w:sz="0" w:space="0" w:color="auto"/>
            <w:right w:val="none" w:sz="0" w:space="0" w:color="auto"/>
          </w:divBdr>
        </w:div>
        <w:div w:id="1643656714">
          <w:marLeft w:val="640"/>
          <w:marRight w:val="0"/>
          <w:marTop w:val="0"/>
          <w:marBottom w:val="0"/>
          <w:divBdr>
            <w:top w:val="none" w:sz="0" w:space="0" w:color="auto"/>
            <w:left w:val="none" w:sz="0" w:space="0" w:color="auto"/>
            <w:bottom w:val="none" w:sz="0" w:space="0" w:color="auto"/>
            <w:right w:val="none" w:sz="0" w:space="0" w:color="auto"/>
          </w:divBdr>
        </w:div>
        <w:div w:id="1294823542">
          <w:marLeft w:val="640"/>
          <w:marRight w:val="0"/>
          <w:marTop w:val="0"/>
          <w:marBottom w:val="0"/>
          <w:divBdr>
            <w:top w:val="none" w:sz="0" w:space="0" w:color="auto"/>
            <w:left w:val="none" w:sz="0" w:space="0" w:color="auto"/>
            <w:bottom w:val="none" w:sz="0" w:space="0" w:color="auto"/>
            <w:right w:val="none" w:sz="0" w:space="0" w:color="auto"/>
          </w:divBdr>
        </w:div>
        <w:div w:id="840780033">
          <w:marLeft w:val="640"/>
          <w:marRight w:val="0"/>
          <w:marTop w:val="0"/>
          <w:marBottom w:val="0"/>
          <w:divBdr>
            <w:top w:val="none" w:sz="0" w:space="0" w:color="auto"/>
            <w:left w:val="none" w:sz="0" w:space="0" w:color="auto"/>
            <w:bottom w:val="none" w:sz="0" w:space="0" w:color="auto"/>
            <w:right w:val="none" w:sz="0" w:space="0" w:color="auto"/>
          </w:divBdr>
        </w:div>
        <w:div w:id="1348480884">
          <w:marLeft w:val="640"/>
          <w:marRight w:val="0"/>
          <w:marTop w:val="0"/>
          <w:marBottom w:val="0"/>
          <w:divBdr>
            <w:top w:val="none" w:sz="0" w:space="0" w:color="auto"/>
            <w:left w:val="none" w:sz="0" w:space="0" w:color="auto"/>
            <w:bottom w:val="none" w:sz="0" w:space="0" w:color="auto"/>
            <w:right w:val="none" w:sz="0" w:space="0" w:color="auto"/>
          </w:divBdr>
        </w:div>
        <w:div w:id="563880404">
          <w:marLeft w:val="640"/>
          <w:marRight w:val="0"/>
          <w:marTop w:val="0"/>
          <w:marBottom w:val="0"/>
          <w:divBdr>
            <w:top w:val="none" w:sz="0" w:space="0" w:color="auto"/>
            <w:left w:val="none" w:sz="0" w:space="0" w:color="auto"/>
            <w:bottom w:val="none" w:sz="0" w:space="0" w:color="auto"/>
            <w:right w:val="none" w:sz="0" w:space="0" w:color="auto"/>
          </w:divBdr>
        </w:div>
        <w:div w:id="987058078">
          <w:marLeft w:val="640"/>
          <w:marRight w:val="0"/>
          <w:marTop w:val="0"/>
          <w:marBottom w:val="0"/>
          <w:divBdr>
            <w:top w:val="none" w:sz="0" w:space="0" w:color="auto"/>
            <w:left w:val="none" w:sz="0" w:space="0" w:color="auto"/>
            <w:bottom w:val="none" w:sz="0" w:space="0" w:color="auto"/>
            <w:right w:val="none" w:sz="0" w:space="0" w:color="auto"/>
          </w:divBdr>
        </w:div>
        <w:div w:id="215093121">
          <w:marLeft w:val="640"/>
          <w:marRight w:val="0"/>
          <w:marTop w:val="0"/>
          <w:marBottom w:val="0"/>
          <w:divBdr>
            <w:top w:val="none" w:sz="0" w:space="0" w:color="auto"/>
            <w:left w:val="none" w:sz="0" w:space="0" w:color="auto"/>
            <w:bottom w:val="none" w:sz="0" w:space="0" w:color="auto"/>
            <w:right w:val="none" w:sz="0" w:space="0" w:color="auto"/>
          </w:divBdr>
        </w:div>
        <w:div w:id="970791499">
          <w:marLeft w:val="640"/>
          <w:marRight w:val="0"/>
          <w:marTop w:val="0"/>
          <w:marBottom w:val="0"/>
          <w:divBdr>
            <w:top w:val="none" w:sz="0" w:space="0" w:color="auto"/>
            <w:left w:val="none" w:sz="0" w:space="0" w:color="auto"/>
            <w:bottom w:val="none" w:sz="0" w:space="0" w:color="auto"/>
            <w:right w:val="none" w:sz="0" w:space="0" w:color="auto"/>
          </w:divBdr>
        </w:div>
        <w:div w:id="756024539">
          <w:marLeft w:val="640"/>
          <w:marRight w:val="0"/>
          <w:marTop w:val="0"/>
          <w:marBottom w:val="0"/>
          <w:divBdr>
            <w:top w:val="none" w:sz="0" w:space="0" w:color="auto"/>
            <w:left w:val="none" w:sz="0" w:space="0" w:color="auto"/>
            <w:bottom w:val="none" w:sz="0" w:space="0" w:color="auto"/>
            <w:right w:val="none" w:sz="0" w:space="0" w:color="auto"/>
          </w:divBdr>
        </w:div>
        <w:div w:id="917901701">
          <w:marLeft w:val="640"/>
          <w:marRight w:val="0"/>
          <w:marTop w:val="0"/>
          <w:marBottom w:val="0"/>
          <w:divBdr>
            <w:top w:val="none" w:sz="0" w:space="0" w:color="auto"/>
            <w:left w:val="none" w:sz="0" w:space="0" w:color="auto"/>
            <w:bottom w:val="none" w:sz="0" w:space="0" w:color="auto"/>
            <w:right w:val="none" w:sz="0" w:space="0" w:color="auto"/>
          </w:divBdr>
        </w:div>
        <w:div w:id="1490749922">
          <w:marLeft w:val="640"/>
          <w:marRight w:val="0"/>
          <w:marTop w:val="0"/>
          <w:marBottom w:val="0"/>
          <w:divBdr>
            <w:top w:val="none" w:sz="0" w:space="0" w:color="auto"/>
            <w:left w:val="none" w:sz="0" w:space="0" w:color="auto"/>
            <w:bottom w:val="none" w:sz="0" w:space="0" w:color="auto"/>
            <w:right w:val="none" w:sz="0" w:space="0" w:color="auto"/>
          </w:divBdr>
        </w:div>
        <w:div w:id="1830635057">
          <w:marLeft w:val="640"/>
          <w:marRight w:val="0"/>
          <w:marTop w:val="0"/>
          <w:marBottom w:val="0"/>
          <w:divBdr>
            <w:top w:val="none" w:sz="0" w:space="0" w:color="auto"/>
            <w:left w:val="none" w:sz="0" w:space="0" w:color="auto"/>
            <w:bottom w:val="none" w:sz="0" w:space="0" w:color="auto"/>
            <w:right w:val="none" w:sz="0" w:space="0" w:color="auto"/>
          </w:divBdr>
        </w:div>
        <w:div w:id="1900800">
          <w:marLeft w:val="640"/>
          <w:marRight w:val="0"/>
          <w:marTop w:val="0"/>
          <w:marBottom w:val="0"/>
          <w:divBdr>
            <w:top w:val="none" w:sz="0" w:space="0" w:color="auto"/>
            <w:left w:val="none" w:sz="0" w:space="0" w:color="auto"/>
            <w:bottom w:val="none" w:sz="0" w:space="0" w:color="auto"/>
            <w:right w:val="none" w:sz="0" w:space="0" w:color="auto"/>
          </w:divBdr>
        </w:div>
        <w:div w:id="2077046169">
          <w:marLeft w:val="640"/>
          <w:marRight w:val="0"/>
          <w:marTop w:val="0"/>
          <w:marBottom w:val="0"/>
          <w:divBdr>
            <w:top w:val="none" w:sz="0" w:space="0" w:color="auto"/>
            <w:left w:val="none" w:sz="0" w:space="0" w:color="auto"/>
            <w:bottom w:val="none" w:sz="0" w:space="0" w:color="auto"/>
            <w:right w:val="none" w:sz="0" w:space="0" w:color="auto"/>
          </w:divBdr>
        </w:div>
        <w:div w:id="567613548">
          <w:marLeft w:val="640"/>
          <w:marRight w:val="0"/>
          <w:marTop w:val="0"/>
          <w:marBottom w:val="0"/>
          <w:divBdr>
            <w:top w:val="none" w:sz="0" w:space="0" w:color="auto"/>
            <w:left w:val="none" w:sz="0" w:space="0" w:color="auto"/>
            <w:bottom w:val="none" w:sz="0" w:space="0" w:color="auto"/>
            <w:right w:val="none" w:sz="0" w:space="0" w:color="auto"/>
          </w:divBdr>
        </w:div>
        <w:div w:id="1694650127">
          <w:marLeft w:val="640"/>
          <w:marRight w:val="0"/>
          <w:marTop w:val="0"/>
          <w:marBottom w:val="0"/>
          <w:divBdr>
            <w:top w:val="none" w:sz="0" w:space="0" w:color="auto"/>
            <w:left w:val="none" w:sz="0" w:space="0" w:color="auto"/>
            <w:bottom w:val="none" w:sz="0" w:space="0" w:color="auto"/>
            <w:right w:val="none" w:sz="0" w:space="0" w:color="auto"/>
          </w:divBdr>
        </w:div>
        <w:div w:id="1566719476">
          <w:marLeft w:val="640"/>
          <w:marRight w:val="0"/>
          <w:marTop w:val="0"/>
          <w:marBottom w:val="0"/>
          <w:divBdr>
            <w:top w:val="none" w:sz="0" w:space="0" w:color="auto"/>
            <w:left w:val="none" w:sz="0" w:space="0" w:color="auto"/>
            <w:bottom w:val="none" w:sz="0" w:space="0" w:color="auto"/>
            <w:right w:val="none" w:sz="0" w:space="0" w:color="auto"/>
          </w:divBdr>
        </w:div>
        <w:div w:id="1543667618">
          <w:marLeft w:val="640"/>
          <w:marRight w:val="0"/>
          <w:marTop w:val="0"/>
          <w:marBottom w:val="0"/>
          <w:divBdr>
            <w:top w:val="none" w:sz="0" w:space="0" w:color="auto"/>
            <w:left w:val="none" w:sz="0" w:space="0" w:color="auto"/>
            <w:bottom w:val="none" w:sz="0" w:space="0" w:color="auto"/>
            <w:right w:val="none" w:sz="0" w:space="0" w:color="auto"/>
          </w:divBdr>
        </w:div>
        <w:div w:id="233245478">
          <w:marLeft w:val="640"/>
          <w:marRight w:val="0"/>
          <w:marTop w:val="0"/>
          <w:marBottom w:val="0"/>
          <w:divBdr>
            <w:top w:val="none" w:sz="0" w:space="0" w:color="auto"/>
            <w:left w:val="none" w:sz="0" w:space="0" w:color="auto"/>
            <w:bottom w:val="none" w:sz="0" w:space="0" w:color="auto"/>
            <w:right w:val="none" w:sz="0" w:space="0" w:color="auto"/>
          </w:divBdr>
        </w:div>
        <w:div w:id="1597127093">
          <w:marLeft w:val="640"/>
          <w:marRight w:val="0"/>
          <w:marTop w:val="0"/>
          <w:marBottom w:val="0"/>
          <w:divBdr>
            <w:top w:val="none" w:sz="0" w:space="0" w:color="auto"/>
            <w:left w:val="none" w:sz="0" w:space="0" w:color="auto"/>
            <w:bottom w:val="none" w:sz="0" w:space="0" w:color="auto"/>
            <w:right w:val="none" w:sz="0" w:space="0" w:color="auto"/>
          </w:divBdr>
        </w:div>
        <w:div w:id="581109915">
          <w:marLeft w:val="640"/>
          <w:marRight w:val="0"/>
          <w:marTop w:val="0"/>
          <w:marBottom w:val="0"/>
          <w:divBdr>
            <w:top w:val="none" w:sz="0" w:space="0" w:color="auto"/>
            <w:left w:val="none" w:sz="0" w:space="0" w:color="auto"/>
            <w:bottom w:val="none" w:sz="0" w:space="0" w:color="auto"/>
            <w:right w:val="none" w:sz="0" w:space="0" w:color="auto"/>
          </w:divBdr>
        </w:div>
        <w:div w:id="1531993433">
          <w:marLeft w:val="640"/>
          <w:marRight w:val="0"/>
          <w:marTop w:val="0"/>
          <w:marBottom w:val="0"/>
          <w:divBdr>
            <w:top w:val="none" w:sz="0" w:space="0" w:color="auto"/>
            <w:left w:val="none" w:sz="0" w:space="0" w:color="auto"/>
            <w:bottom w:val="none" w:sz="0" w:space="0" w:color="auto"/>
            <w:right w:val="none" w:sz="0" w:space="0" w:color="auto"/>
          </w:divBdr>
        </w:div>
        <w:div w:id="1977908002">
          <w:marLeft w:val="640"/>
          <w:marRight w:val="0"/>
          <w:marTop w:val="0"/>
          <w:marBottom w:val="0"/>
          <w:divBdr>
            <w:top w:val="none" w:sz="0" w:space="0" w:color="auto"/>
            <w:left w:val="none" w:sz="0" w:space="0" w:color="auto"/>
            <w:bottom w:val="none" w:sz="0" w:space="0" w:color="auto"/>
            <w:right w:val="none" w:sz="0" w:space="0" w:color="auto"/>
          </w:divBdr>
        </w:div>
        <w:div w:id="89745188">
          <w:marLeft w:val="640"/>
          <w:marRight w:val="0"/>
          <w:marTop w:val="0"/>
          <w:marBottom w:val="0"/>
          <w:divBdr>
            <w:top w:val="none" w:sz="0" w:space="0" w:color="auto"/>
            <w:left w:val="none" w:sz="0" w:space="0" w:color="auto"/>
            <w:bottom w:val="none" w:sz="0" w:space="0" w:color="auto"/>
            <w:right w:val="none" w:sz="0" w:space="0" w:color="auto"/>
          </w:divBdr>
        </w:div>
        <w:div w:id="670570695">
          <w:marLeft w:val="640"/>
          <w:marRight w:val="0"/>
          <w:marTop w:val="0"/>
          <w:marBottom w:val="0"/>
          <w:divBdr>
            <w:top w:val="none" w:sz="0" w:space="0" w:color="auto"/>
            <w:left w:val="none" w:sz="0" w:space="0" w:color="auto"/>
            <w:bottom w:val="none" w:sz="0" w:space="0" w:color="auto"/>
            <w:right w:val="none" w:sz="0" w:space="0" w:color="auto"/>
          </w:divBdr>
        </w:div>
        <w:div w:id="1976452135">
          <w:marLeft w:val="640"/>
          <w:marRight w:val="0"/>
          <w:marTop w:val="0"/>
          <w:marBottom w:val="0"/>
          <w:divBdr>
            <w:top w:val="none" w:sz="0" w:space="0" w:color="auto"/>
            <w:left w:val="none" w:sz="0" w:space="0" w:color="auto"/>
            <w:bottom w:val="none" w:sz="0" w:space="0" w:color="auto"/>
            <w:right w:val="none" w:sz="0" w:space="0" w:color="auto"/>
          </w:divBdr>
        </w:div>
        <w:div w:id="628168846">
          <w:marLeft w:val="640"/>
          <w:marRight w:val="0"/>
          <w:marTop w:val="0"/>
          <w:marBottom w:val="0"/>
          <w:divBdr>
            <w:top w:val="none" w:sz="0" w:space="0" w:color="auto"/>
            <w:left w:val="none" w:sz="0" w:space="0" w:color="auto"/>
            <w:bottom w:val="none" w:sz="0" w:space="0" w:color="auto"/>
            <w:right w:val="none" w:sz="0" w:space="0" w:color="auto"/>
          </w:divBdr>
        </w:div>
        <w:div w:id="1061059612">
          <w:marLeft w:val="640"/>
          <w:marRight w:val="0"/>
          <w:marTop w:val="0"/>
          <w:marBottom w:val="0"/>
          <w:divBdr>
            <w:top w:val="none" w:sz="0" w:space="0" w:color="auto"/>
            <w:left w:val="none" w:sz="0" w:space="0" w:color="auto"/>
            <w:bottom w:val="none" w:sz="0" w:space="0" w:color="auto"/>
            <w:right w:val="none" w:sz="0" w:space="0" w:color="auto"/>
          </w:divBdr>
        </w:div>
        <w:div w:id="181550901">
          <w:marLeft w:val="640"/>
          <w:marRight w:val="0"/>
          <w:marTop w:val="0"/>
          <w:marBottom w:val="0"/>
          <w:divBdr>
            <w:top w:val="none" w:sz="0" w:space="0" w:color="auto"/>
            <w:left w:val="none" w:sz="0" w:space="0" w:color="auto"/>
            <w:bottom w:val="none" w:sz="0" w:space="0" w:color="auto"/>
            <w:right w:val="none" w:sz="0" w:space="0" w:color="auto"/>
          </w:divBdr>
        </w:div>
        <w:div w:id="1637756986">
          <w:marLeft w:val="640"/>
          <w:marRight w:val="0"/>
          <w:marTop w:val="0"/>
          <w:marBottom w:val="0"/>
          <w:divBdr>
            <w:top w:val="none" w:sz="0" w:space="0" w:color="auto"/>
            <w:left w:val="none" w:sz="0" w:space="0" w:color="auto"/>
            <w:bottom w:val="none" w:sz="0" w:space="0" w:color="auto"/>
            <w:right w:val="none" w:sz="0" w:space="0" w:color="auto"/>
          </w:divBdr>
        </w:div>
        <w:div w:id="1285112205">
          <w:marLeft w:val="640"/>
          <w:marRight w:val="0"/>
          <w:marTop w:val="0"/>
          <w:marBottom w:val="0"/>
          <w:divBdr>
            <w:top w:val="none" w:sz="0" w:space="0" w:color="auto"/>
            <w:left w:val="none" w:sz="0" w:space="0" w:color="auto"/>
            <w:bottom w:val="none" w:sz="0" w:space="0" w:color="auto"/>
            <w:right w:val="none" w:sz="0" w:space="0" w:color="auto"/>
          </w:divBdr>
        </w:div>
        <w:div w:id="658732448">
          <w:marLeft w:val="640"/>
          <w:marRight w:val="0"/>
          <w:marTop w:val="0"/>
          <w:marBottom w:val="0"/>
          <w:divBdr>
            <w:top w:val="none" w:sz="0" w:space="0" w:color="auto"/>
            <w:left w:val="none" w:sz="0" w:space="0" w:color="auto"/>
            <w:bottom w:val="none" w:sz="0" w:space="0" w:color="auto"/>
            <w:right w:val="none" w:sz="0" w:space="0" w:color="auto"/>
          </w:divBdr>
        </w:div>
        <w:div w:id="1857578259">
          <w:marLeft w:val="640"/>
          <w:marRight w:val="0"/>
          <w:marTop w:val="0"/>
          <w:marBottom w:val="0"/>
          <w:divBdr>
            <w:top w:val="none" w:sz="0" w:space="0" w:color="auto"/>
            <w:left w:val="none" w:sz="0" w:space="0" w:color="auto"/>
            <w:bottom w:val="none" w:sz="0" w:space="0" w:color="auto"/>
            <w:right w:val="none" w:sz="0" w:space="0" w:color="auto"/>
          </w:divBdr>
        </w:div>
        <w:div w:id="1419057485">
          <w:marLeft w:val="640"/>
          <w:marRight w:val="0"/>
          <w:marTop w:val="0"/>
          <w:marBottom w:val="0"/>
          <w:divBdr>
            <w:top w:val="none" w:sz="0" w:space="0" w:color="auto"/>
            <w:left w:val="none" w:sz="0" w:space="0" w:color="auto"/>
            <w:bottom w:val="none" w:sz="0" w:space="0" w:color="auto"/>
            <w:right w:val="none" w:sz="0" w:space="0" w:color="auto"/>
          </w:divBdr>
        </w:div>
        <w:div w:id="1820531216">
          <w:marLeft w:val="640"/>
          <w:marRight w:val="0"/>
          <w:marTop w:val="0"/>
          <w:marBottom w:val="0"/>
          <w:divBdr>
            <w:top w:val="none" w:sz="0" w:space="0" w:color="auto"/>
            <w:left w:val="none" w:sz="0" w:space="0" w:color="auto"/>
            <w:bottom w:val="none" w:sz="0" w:space="0" w:color="auto"/>
            <w:right w:val="none" w:sz="0" w:space="0" w:color="auto"/>
          </w:divBdr>
        </w:div>
        <w:div w:id="1970668754">
          <w:marLeft w:val="640"/>
          <w:marRight w:val="0"/>
          <w:marTop w:val="0"/>
          <w:marBottom w:val="0"/>
          <w:divBdr>
            <w:top w:val="none" w:sz="0" w:space="0" w:color="auto"/>
            <w:left w:val="none" w:sz="0" w:space="0" w:color="auto"/>
            <w:bottom w:val="none" w:sz="0" w:space="0" w:color="auto"/>
            <w:right w:val="none" w:sz="0" w:space="0" w:color="auto"/>
          </w:divBdr>
        </w:div>
        <w:div w:id="1894807733">
          <w:marLeft w:val="640"/>
          <w:marRight w:val="0"/>
          <w:marTop w:val="0"/>
          <w:marBottom w:val="0"/>
          <w:divBdr>
            <w:top w:val="none" w:sz="0" w:space="0" w:color="auto"/>
            <w:left w:val="none" w:sz="0" w:space="0" w:color="auto"/>
            <w:bottom w:val="none" w:sz="0" w:space="0" w:color="auto"/>
            <w:right w:val="none" w:sz="0" w:space="0" w:color="auto"/>
          </w:divBdr>
        </w:div>
        <w:div w:id="915240783">
          <w:marLeft w:val="640"/>
          <w:marRight w:val="0"/>
          <w:marTop w:val="0"/>
          <w:marBottom w:val="0"/>
          <w:divBdr>
            <w:top w:val="none" w:sz="0" w:space="0" w:color="auto"/>
            <w:left w:val="none" w:sz="0" w:space="0" w:color="auto"/>
            <w:bottom w:val="none" w:sz="0" w:space="0" w:color="auto"/>
            <w:right w:val="none" w:sz="0" w:space="0" w:color="auto"/>
          </w:divBdr>
        </w:div>
        <w:div w:id="1620606383">
          <w:marLeft w:val="640"/>
          <w:marRight w:val="0"/>
          <w:marTop w:val="0"/>
          <w:marBottom w:val="0"/>
          <w:divBdr>
            <w:top w:val="none" w:sz="0" w:space="0" w:color="auto"/>
            <w:left w:val="none" w:sz="0" w:space="0" w:color="auto"/>
            <w:bottom w:val="none" w:sz="0" w:space="0" w:color="auto"/>
            <w:right w:val="none" w:sz="0" w:space="0" w:color="auto"/>
          </w:divBdr>
        </w:div>
        <w:div w:id="612633590">
          <w:marLeft w:val="640"/>
          <w:marRight w:val="0"/>
          <w:marTop w:val="0"/>
          <w:marBottom w:val="0"/>
          <w:divBdr>
            <w:top w:val="none" w:sz="0" w:space="0" w:color="auto"/>
            <w:left w:val="none" w:sz="0" w:space="0" w:color="auto"/>
            <w:bottom w:val="none" w:sz="0" w:space="0" w:color="auto"/>
            <w:right w:val="none" w:sz="0" w:space="0" w:color="auto"/>
          </w:divBdr>
        </w:div>
        <w:div w:id="1130201016">
          <w:marLeft w:val="640"/>
          <w:marRight w:val="0"/>
          <w:marTop w:val="0"/>
          <w:marBottom w:val="0"/>
          <w:divBdr>
            <w:top w:val="none" w:sz="0" w:space="0" w:color="auto"/>
            <w:left w:val="none" w:sz="0" w:space="0" w:color="auto"/>
            <w:bottom w:val="none" w:sz="0" w:space="0" w:color="auto"/>
            <w:right w:val="none" w:sz="0" w:space="0" w:color="auto"/>
          </w:divBdr>
        </w:div>
        <w:div w:id="1927417658">
          <w:marLeft w:val="640"/>
          <w:marRight w:val="0"/>
          <w:marTop w:val="0"/>
          <w:marBottom w:val="0"/>
          <w:divBdr>
            <w:top w:val="none" w:sz="0" w:space="0" w:color="auto"/>
            <w:left w:val="none" w:sz="0" w:space="0" w:color="auto"/>
            <w:bottom w:val="none" w:sz="0" w:space="0" w:color="auto"/>
            <w:right w:val="none" w:sz="0" w:space="0" w:color="auto"/>
          </w:divBdr>
        </w:div>
        <w:div w:id="114755307">
          <w:marLeft w:val="640"/>
          <w:marRight w:val="0"/>
          <w:marTop w:val="0"/>
          <w:marBottom w:val="0"/>
          <w:divBdr>
            <w:top w:val="none" w:sz="0" w:space="0" w:color="auto"/>
            <w:left w:val="none" w:sz="0" w:space="0" w:color="auto"/>
            <w:bottom w:val="none" w:sz="0" w:space="0" w:color="auto"/>
            <w:right w:val="none" w:sz="0" w:space="0" w:color="auto"/>
          </w:divBdr>
        </w:div>
        <w:div w:id="606812403">
          <w:marLeft w:val="640"/>
          <w:marRight w:val="0"/>
          <w:marTop w:val="0"/>
          <w:marBottom w:val="0"/>
          <w:divBdr>
            <w:top w:val="none" w:sz="0" w:space="0" w:color="auto"/>
            <w:left w:val="none" w:sz="0" w:space="0" w:color="auto"/>
            <w:bottom w:val="none" w:sz="0" w:space="0" w:color="auto"/>
            <w:right w:val="none" w:sz="0" w:space="0" w:color="auto"/>
          </w:divBdr>
        </w:div>
        <w:div w:id="688263845">
          <w:marLeft w:val="640"/>
          <w:marRight w:val="0"/>
          <w:marTop w:val="0"/>
          <w:marBottom w:val="0"/>
          <w:divBdr>
            <w:top w:val="none" w:sz="0" w:space="0" w:color="auto"/>
            <w:left w:val="none" w:sz="0" w:space="0" w:color="auto"/>
            <w:bottom w:val="none" w:sz="0" w:space="0" w:color="auto"/>
            <w:right w:val="none" w:sz="0" w:space="0" w:color="auto"/>
          </w:divBdr>
        </w:div>
        <w:div w:id="1347974600">
          <w:marLeft w:val="640"/>
          <w:marRight w:val="0"/>
          <w:marTop w:val="0"/>
          <w:marBottom w:val="0"/>
          <w:divBdr>
            <w:top w:val="none" w:sz="0" w:space="0" w:color="auto"/>
            <w:left w:val="none" w:sz="0" w:space="0" w:color="auto"/>
            <w:bottom w:val="none" w:sz="0" w:space="0" w:color="auto"/>
            <w:right w:val="none" w:sz="0" w:space="0" w:color="auto"/>
          </w:divBdr>
        </w:div>
        <w:div w:id="1578706587">
          <w:marLeft w:val="640"/>
          <w:marRight w:val="0"/>
          <w:marTop w:val="0"/>
          <w:marBottom w:val="0"/>
          <w:divBdr>
            <w:top w:val="none" w:sz="0" w:space="0" w:color="auto"/>
            <w:left w:val="none" w:sz="0" w:space="0" w:color="auto"/>
            <w:bottom w:val="none" w:sz="0" w:space="0" w:color="auto"/>
            <w:right w:val="none" w:sz="0" w:space="0" w:color="auto"/>
          </w:divBdr>
        </w:div>
        <w:div w:id="2138181704">
          <w:marLeft w:val="640"/>
          <w:marRight w:val="0"/>
          <w:marTop w:val="0"/>
          <w:marBottom w:val="0"/>
          <w:divBdr>
            <w:top w:val="none" w:sz="0" w:space="0" w:color="auto"/>
            <w:left w:val="none" w:sz="0" w:space="0" w:color="auto"/>
            <w:bottom w:val="none" w:sz="0" w:space="0" w:color="auto"/>
            <w:right w:val="none" w:sz="0" w:space="0" w:color="auto"/>
          </w:divBdr>
        </w:div>
        <w:div w:id="470178092">
          <w:marLeft w:val="640"/>
          <w:marRight w:val="0"/>
          <w:marTop w:val="0"/>
          <w:marBottom w:val="0"/>
          <w:divBdr>
            <w:top w:val="none" w:sz="0" w:space="0" w:color="auto"/>
            <w:left w:val="none" w:sz="0" w:space="0" w:color="auto"/>
            <w:bottom w:val="none" w:sz="0" w:space="0" w:color="auto"/>
            <w:right w:val="none" w:sz="0" w:space="0" w:color="auto"/>
          </w:divBdr>
        </w:div>
        <w:div w:id="1462841917">
          <w:marLeft w:val="640"/>
          <w:marRight w:val="0"/>
          <w:marTop w:val="0"/>
          <w:marBottom w:val="0"/>
          <w:divBdr>
            <w:top w:val="none" w:sz="0" w:space="0" w:color="auto"/>
            <w:left w:val="none" w:sz="0" w:space="0" w:color="auto"/>
            <w:bottom w:val="none" w:sz="0" w:space="0" w:color="auto"/>
            <w:right w:val="none" w:sz="0" w:space="0" w:color="auto"/>
          </w:divBdr>
        </w:div>
        <w:div w:id="912086084">
          <w:marLeft w:val="640"/>
          <w:marRight w:val="0"/>
          <w:marTop w:val="0"/>
          <w:marBottom w:val="0"/>
          <w:divBdr>
            <w:top w:val="none" w:sz="0" w:space="0" w:color="auto"/>
            <w:left w:val="none" w:sz="0" w:space="0" w:color="auto"/>
            <w:bottom w:val="none" w:sz="0" w:space="0" w:color="auto"/>
            <w:right w:val="none" w:sz="0" w:space="0" w:color="auto"/>
          </w:divBdr>
        </w:div>
        <w:div w:id="267129756">
          <w:marLeft w:val="640"/>
          <w:marRight w:val="0"/>
          <w:marTop w:val="0"/>
          <w:marBottom w:val="0"/>
          <w:divBdr>
            <w:top w:val="none" w:sz="0" w:space="0" w:color="auto"/>
            <w:left w:val="none" w:sz="0" w:space="0" w:color="auto"/>
            <w:bottom w:val="none" w:sz="0" w:space="0" w:color="auto"/>
            <w:right w:val="none" w:sz="0" w:space="0" w:color="auto"/>
          </w:divBdr>
        </w:div>
        <w:div w:id="1813599658">
          <w:marLeft w:val="640"/>
          <w:marRight w:val="0"/>
          <w:marTop w:val="0"/>
          <w:marBottom w:val="0"/>
          <w:divBdr>
            <w:top w:val="none" w:sz="0" w:space="0" w:color="auto"/>
            <w:left w:val="none" w:sz="0" w:space="0" w:color="auto"/>
            <w:bottom w:val="none" w:sz="0" w:space="0" w:color="auto"/>
            <w:right w:val="none" w:sz="0" w:space="0" w:color="auto"/>
          </w:divBdr>
        </w:div>
        <w:div w:id="1291322065">
          <w:marLeft w:val="640"/>
          <w:marRight w:val="0"/>
          <w:marTop w:val="0"/>
          <w:marBottom w:val="0"/>
          <w:divBdr>
            <w:top w:val="none" w:sz="0" w:space="0" w:color="auto"/>
            <w:left w:val="none" w:sz="0" w:space="0" w:color="auto"/>
            <w:bottom w:val="none" w:sz="0" w:space="0" w:color="auto"/>
            <w:right w:val="none" w:sz="0" w:space="0" w:color="auto"/>
          </w:divBdr>
        </w:div>
        <w:div w:id="1974943034">
          <w:marLeft w:val="640"/>
          <w:marRight w:val="0"/>
          <w:marTop w:val="0"/>
          <w:marBottom w:val="0"/>
          <w:divBdr>
            <w:top w:val="none" w:sz="0" w:space="0" w:color="auto"/>
            <w:left w:val="none" w:sz="0" w:space="0" w:color="auto"/>
            <w:bottom w:val="none" w:sz="0" w:space="0" w:color="auto"/>
            <w:right w:val="none" w:sz="0" w:space="0" w:color="auto"/>
          </w:divBdr>
        </w:div>
        <w:div w:id="829560491">
          <w:marLeft w:val="640"/>
          <w:marRight w:val="0"/>
          <w:marTop w:val="0"/>
          <w:marBottom w:val="0"/>
          <w:divBdr>
            <w:top w:val="none" w:sz="0" w:space="0" w:color="auto"/>
            <w:left w:val="none" w:sz="0" w:space="0" w:color="auto"/>
            <w:bottom w:val="none" w:sz="0" w:space="0" w:color="auto"/>
            <w:right w:val="none" w:sz="0" w:space="0" w:color="auto"/>
          </w:divBdr>
        </w:div>
        <w:div w:id="1182280515">
          <w:marLeft w:val="640"/>
          <w:marRight w:val="0"/>
          <w:marTop w:val="0"/>
          <w:marBottom w:val="0"/>
          <w:divBdr>
            <w:top w:val="none" w:sz="0" w:space="0" w:color="auto"/>
            <w:left w:val="none" w:sz="0" w:space="0" w:color="auto"/>
            <w:bottom w:val="none" w:sz="0" w:space="0" w:color="auto"/>
            <w:right w:val="none" w:sz="0" w:space="0" w:color="auto"/>
          </w:divBdr>
        </w:div>
        <w:div w:id="850339485">
          <w:marLeft w:val="640"/>
          <w:marRight w:val="0"/>
          <w:marTop w:val="0"/>
          <w:marBottom w:val="0"/>
          <w:divBdr>
            <w:top w:val="none" w:sz="0" w:space="0" w:color="auto"/>
            <w:left w:val="none" w:sz="0" w:space="0" w:color="auto"/>
            <w:bottom w:val="none" w:sz="0" w:space="0" w:color="auto"/>
            <w:right w:val="none" w:sz="0" w:space="0" w:color="auto"/>
          </w:divBdr>
        </w:div>
        <w:div w:id="1290430450">
          <w:marLeft w:val="640"/>
          <w:marRight w:val="0"/>
          <w:marTop w:val="0"/>
          <w:marBottom w:val="0"/>
          <w:divBdr>
            <w:top w:val="none" w:sz="0" w:space="0" w:color="auto"/>
            <w:left w:val="none" w:sz="0" w:space="0" w:color="auto"/>
            <w:bottom w:val="none" w:sz="0" w:space="0" w:color="auto"/>
            <w:right w:val="none" w:sz="0" w:space="0" w:color="auto"/>
          </w:divBdr>
        </w:div>
        <w:div w:id="1714378739">
          <w:marLeft w:val="640"/>
          <w:marRight w:val="0"/>
          <w:marTop w:val="0"/>
          <w:marBottom w:val="0"/>
          <w:divBdr>
            <w:top w:val="none" w:sz="0" w:space="0" w:color="auto"/>
            <w:left w:val="none" w:sz="0" w:space="0" w:color="auto"/>
            <w:bottom w:val="none" w:sz="0" w:space="0" w:color="auto"/>
            <w:right w:val="none" w:sz="0" w:space="0" w:color="auto"/>
          </w:divBdr>
        </w:div>
        <w:div w:id="1191914008">
          <w:marLeft w:val="640"/>
          <w:marRight w:val="0"/>
          <w:marTop w:val="0"/>
          <w:marBottom w:val="0"/>
          <w:divBdr>
            <w:top w:val="none" w:sz="0" w:space="0" w:color="auto"/>
            <w:left w:val="none" w:sz="0" w:space="0" w:color="auto"/>
            <w:bottom w:val="none" w:sz="0" w:space="0" w:color="auto"/>
            <w:right w:val="none" w:sz="0" w:space="0" w:color="auto"/>
          </w:divBdr>
        </w:div>
        <w:div w:id="586692912">
          <w:marLeft w:val="640"/>
          <w:marRight w:val="0"/>
          <w:marTop w:val="0"/>
          <w:marBottom w:val="0"/>
          <w:divBdr>
            <w:top w:val="none" w:sz="0" w:space="0" w:color="auto"/>
            <w:left w:val="none" w:sz="0" w:space="0" w:color="auto"/>
            <w:bottom w:val="none" w:sz="0" w:space="0" w:color="auto"/>
            <w:right w:val="none" w:sz="0" w:space="0" w:color="auto"/>
          </w:divBdr>
        </w:div>
        <w:div w:id="321545298">
          <w:marLeft w:val="640"/>
          <w:marRight w:val="0"/>
          <w:marTop w:val="0"/>
          <w:marBottom w:val="0"/>
          <w:divBdr>
            <w:top w:val="none" w:sz="0" w:space="0" w:color="auto"/>
            <w:left w:val="none" w:sz="0" w:space="0" w:color="auto"/>
            <w:bottom w:val="none" w:sz="0" w:space="0" w:color="auto"/>
            <w:right w:val="none" w:sz="0" w:space="0" w:color="auto"/>
          </w:divBdr>
        </w:div>
        <w:div w:id="1524630212">
          <w:marLeft w:val="640"/>
          <w:marRight w:val="0"/>
          <w:marTop w:val="0"/>
          <w:marBottom w:val="0"/>
          <w:divBdr>
            <w:top w:val="none" w:sz="0" w:space="0" w:color="auto"/>
            <w:left w:val="none" w:sz="0" w:space="0" w:color="auto"/>
            <w:bottom w:val="none" w:sz="0" w:space="0" w:color="auto"/>
            <w:right w:val="none" w:sz="0" w:space="0" w:color="auto"/>
          </w:divBdr>
        </w:div>
        <w:div w:id="398792910">
          <w:marLeft w:val="640"/>
          <w:marRight w:val="0"/>
          <w:marTop w:val="0"/>
          <w:marBottom w:val="0"/>
          <w:divBdr>
            <w:top w:val="none" w:sz="0" w:space="0" w:color="auto"/>
            <w:left w:val="none" w:sz="0" w:space="0" w:color="auto"/>
            <w:bottom w:val="none" w:sz="0" w:space="0" w:color="auto"/>
            <w:right w:val="none" w:sz="0" w:space="0" w:color="auto"/>
          </w:divBdr>
        </w:div>
        <w:div w:id="1306466285">
          <w:marLeft w:val="640"/>
          <w:marRight w:val="0"/>
          <w:marTop w:val="0"/>
          <w:marBottom w:val="0"/>
          <w:divBdr>
            <w:top w:val="none" w:sz="0" w:space="0" w:color="auto"/>
            <w:left w:val="none" w:sz="0" w:space="0" w:color="auto"/>
            <w:bottom w:val="none" w:sz="0" w:space="0" w:color="auto"/>
            <w:right w:val="none" w:sz="0" w:space="0" w:color="auto"/>
          </w:divBdr>
        </w:div>
        <w:div w:id="195046913">
          <w:marLeft w:val="640"/>
          <w:marRight w:val="0"/>
          <w:marTop w:val="0"/>
          <w:marBottom w:val="0"/>
          <w:divBdr>
            <w:top w:val="none" w:sz="0" w:space="0" w:color="auto"/>
            <w:left w:val="none" w:sz="0" w:space="0" w:color="auto"/>
            <w:bottom w:val="none" w:sz="0" w:space="0" w:color="auto"/>
            <w:right w:val="none" w:sz="0" w:space="0" w:color="auto"/>
          </w:divBdr>
        </w:div>
        <w:div w:id="84500181">
          <w:marLeft w:val="640"/>
          <w:marRight w:val="0"/>
          <w:marTop w:val="0"/>
          <w:marBottom w:val="0"/>
          <w:divBdr>
            <w:top w:val="none" w:sz="0" w:space="0" w:color="auto"/>
            <w:left w:val="none" w:sz="0" w:space="0" w:color="auto"/>
            <w:bottom w:val="none" w:sz="0" w:space="0" w:color="auto"/>
            <w:right w:val="none" w:sz="0" w:space="0" w:color="auto"/>
          </w:divBdr>
        </w:div>
        <w:div w:id="2008709896">
          <w:marLeft w:val="640"/>
          <w:marRight w:val="0"/>
          <w:marTop w:val="0"/>
          <w:marBottom w:val="0"/>
          <w:divBdr>
            <w:top w:val="none" w:sz="0" w:space="0" w:color="auto"/>
            <w:left w:val="none" w:sz="0" w:space="0" w:color="auto"/>
            <w:bottom w:val="none" w:sz="0" w:space="0" w:color="auto"/>
            <w:right w:val="none" w:sz="0" w:space="0" w:color="auto"/>
          </w:divBdr>
        </w:div>
        <w:div w:id="1436246626">
          <w:marLeft w:val="640"/>
          <w:marRight w:val="0"/>
          <w:marTop w:val="0"/>
          <w:marBottom w:val="0"/>
          <w:divBdr>
            <w:top w:val="none" w:sz="0" w:space="0" w:color="auto"/>
            <w:left w:val="none" w:sz="0" w:space="0" w:color="auto"/>
            <w:bottom w:val="none" w:sz="0" w:space="0" w:color="auto"/>
            <w:right w:val="none" w:sz="0" w:space="0" w:color="auto"/>
          </w:divBdr>
        </w:div>
        <w:div w:id="1998721970">
          <w:marLeft w:val="640"/>
          <w:marRight w:val="0"/>
          <w:marTop w:val="0"/>
          <w:marBottom w:val="0"/>
          <w:divBdr>
            <w:top w:val="none" w:sz="0" w:space="0" w:color="auto"/>
            <w:left w:val="none" w:sz="0" w:space="0" w:color="auto"/>
            <w:bottom w:val="none" w:sz="0" w:space="0" w:color="auto"/>
            <w:right w:val="none" w:sz="0" w:space="0" w:color="auto"/>
          </w:divBdr>
        </w:div>
        <w:div w:id="1956710675">
          <w:marLeft w:val="640"/>
          <w:marRight w:val="0"/>
          <w:marTop w:val="0"/>
          <w:marBottom w:val="0"/>
          <w:divBdr>
            <w:top w:val="none" w:sz="0" w:space="0" w:color="auto"/>
            <w:left w:val="none" w:sz="0" w:space="0" w:color="auto"/>
            <w:bottom w:val="none" w:sz="0" w:space="0" w:color="auto"/>
            <w:right w:val="none" w:sz="0" w:space="0" w:color="auto"/>
          </w:divBdr>
        </w:div>
        <w:div w:id="693457649">
          <w:marLeft w:val="640"/>
          <w:marRight w:val="0"/>
          <w:marTop w:val="0"/>
          <w:marBottom w:val="0"/>
          <w:divBdr>
            <w:top w:val="none" w:sz="0" w:space="0" w:color="auto"/>
            <w:left w:val="none" w:sz="0" w:space="0" w:color="auto"/>
            <w:bottom w:val="none" w:sz="0" w:space="0" w:color="auto"/>
            <w:right w:val="none" w:sz="0" w:space="0" w:color="auto"/>
          </w:divBdr>
        </w:div>
        <w:div w:id="710113946">
          <w:marLeft w:val="640"/>
          <w:marRight w:val="0"/>
          <w:marTop w:val="0"/>
          <w:marBottom w:val="0"/>
          <w:divBdr>
            <w:top w:val="none" w:sz="0" w:space="0" w:color="auto"/>
            <w:left w:val="none" w:sz="0" w:space="0" w:color="auto"/>
            <w:bottom w:val="none" w:sz="0" w:space="0" w:color="auto"/>
            <w:right w:val="none" w:sz="0" w:space="0" w:color="auto"/>
          </w:divBdr>
        </w:div>
        <w:div w:id="1628049432">
          <w:marLeft w:val="640"/>
          <w:marRight w:val="0"/>
          <w:marTop w:val="0"/>
          <w:marBottom w:val="0"/>
          <w:divBdr>
            <w:top w:val="none" w:sz="0" w:space="0" w:color="auto"/>
            <w:left w:val="none" w:sz="0" w:space="0" w:color="auto"/>
            <w:bottom w:val="none" w:sz="0" w:space="0" w:color="auto"/>
            <w:right w:val="none" w:sz="0" w:space="0" w:color="auto"/>
          </w:divBdr>
        </w:div>
        <w:div w:id="852303249">
          <w:marLeft w:val="640"/>
          <w:marRight w:val="0"/>
          <w:marTop w:val="0"/>
          <w:marBottom w:val="0"/>
          <w:divBdr>
            <w:top w:val="none" w:sz="0" w:space="0" w:color="auto"/>
            <w:left w:val="none" w:sz="0" w:space="0" w:color="auto"/>
            <w:bottom w:val="none" w:sz="0" w:space="0" w:color="auto"/>
            <w:right w:val="none" w:sz="0" w:space="0" w:color="auto"/>
          </w:divBdr>
        </w:div>
        <w:div w:id="431438971">
          <w:marLeft w:val="640"/>
          <w:marRight w:val="0"/>
          <w:marTop w:val="0"/>
          <w:marBottom w:val="0"/>
          <w:divBdr>
            <w:top w:val="none" w:sz="0" w:space="0" w:color="auto"/>
            <w:left w:val="none" w:sz="0" w:space="0" w:color="auto"/>
            <w:bottom w:val="none" w:sz="0" w:space="0" w:color="auto"/>
            <w:right w:val="none" w:sz="0" w:space="0" w:color="auto"/>
          </w:divBdr>
        </w:div>
        <w:div w:id="78530371">
          <w:marLeft w:val="640"/>
          <w:marRight w:val="0"/>
          <w:marTop w:val="0"/>
          <w:marBottom w:val="0"/>
          <w:divBdr>
            <w:top w:val="none" w:sz="0" w:space="0" w:color="auto"/>
            <w:left w:val="none" w:sz="0" w:space="0" w:color="auto"/>
            <w:bottom w:val="none" w:sz="0" w:space="0" w:color="auto"/>
            <w:right w:val="none" w:sz="0" w:space="0" w:color="auto"/>
          </w:divBdr>
        </w:div>
        <w:div w:id="38210761">
          <w:marLeft w:val="640"/>
          <w:marRight w:val="0"/>
          <w:marTop w:val="0"/>
          <w:marBottom w:val="0"/>
          <w:divBdr>
            <w:top w:val="none" w:sz="0" w:space="0" w:color="auto"/>
            <w:left w:val="none" w:sz="0" w:space="0" w:color="auto"/>
            <w:bottom w:val="none" w:sz="0" w:space="0" w:color="auto"/>
            <w:right w:val="none" w:sz="0" w:space="0" w:color="auto"/>
          </w:divBdr>
        </w:div>
        <w:div w:id="2038584182">
          <w:marLeft w:val="640"/>
          <w:marRight w:val="0"/>
          <w:marTop w:val="0"/>
          <w:marBottom w:val="0"/>
          <w:divBdr>
            <w:top w:val="none" w:sz="0" w:space="0" w:color="auto"/>
            <w:left w:val="none" w:sz="0" w:space="0" w:color="auto"/>
            <w:bottom w:val="none" w:sz="0" w:space="0" w:color="auto"/>
            <w:right w:val="none" w:sz="0" w:space="0" w:color="auto"/>
          </w:divBdr>
        </w:div>
        <w:div w:id="729428984">
          <w:marLeft w:val="640"/>
          <w:marRight w:val="0"/>
          <w:marTop w:val="0"/>
          <w:marBottom w:val="0"/>
          <w:divBdr>
            <w:top w:val="none" w:sz="0" w:space="0" w:color="auto"/>
            <w:left w:val="none" w:sz="0" w:space="0" w:color="auto"/>
            <w:bottom w:val="none" w:sz="0" w:space="0" w:color="auto"/>
            <w:right w:val="none" w:sz="0" w:space="0" w:color="auto"/>
          </w:divBdr>
        </w:div>
        <w:div w:id="1219315579">
          <w:marLeft w:val="640"/>
          <w:marRight w:val="0"/>
          <w:marTop w:val="0"/>
          <w:marBottom w:val="0"/>
          <w:divBdr>
            <w:top w:val="none" w:sz="0" w:space="0" w:color="auto"/>
            <w:left w:val="none" w:sz="0" w:space="0" w:color="auto"/>
            <w:bottom w:val="none" w:sz="0" w:space="0" w:color="auto"/>
            <w:right w:val="none" w:sz="0" w:space="0" w:color="auto"/>
          </w:divBdr>
        </w:div>
        <w:div w:id="1992902075">
          <w:marLeft w:val="640"/>
          <w:marRight w:val="0"/>
          <w:marTop w:val="0"/>
          <w:marBottom w:val="0"/>
          <w:divBdr>
            <w:top w:val="none" w:sz="0" w:space="0" w:color="auto"/>
            <w:left w:val="none" w:sz="0" w:space="0" w:color="auto"/>
            <w:bottom w:val="none" w:sz="0" w:space="0" w:color="auto"/>
            <w:right w:val="none" w:sz="0" w:space="0" w:color="auto"/>
          </w:divBdr>
        </w:div>
        <w:div w:id="470056222">
          <w:marLeft w:val="640"/>
          <w:marRight w:val="0"/>
          <w:marTop w:val="0"/>
          <w:marBottom w:val="0"/>
          <w:divBdr>
            <w:top w:val="none" w:sz="0" w:space="0" w:color="auto"/>
            <w:left w:val="none" w:sz="0" w:space="0" w:color="auto"/>
            <w:bottom w:val="none" w:sz="0" w:space="0" w:color="auto"/>
            <w:right w:val="none" w:sz="0" w:space="0" w:color="auto"/>
          </w:divBdr>
        </w:div>
        <w:div w:id="499351027">
          <w:marLeft w:val="640"/>
          <w:marRight w:val="0"/>
          <w:marTop w:val="0"/>
          <w:marBottom w:val="0"/>
          <w:divBdr>
            <w:top w:val="none" w:sz="0" w:space="0" w:color="auto"/>
            <w:left w:val="none" w:sz="0" w:space="0" w:color="auto"/>
            <w:bottom w:val="none" w:sz="0" w:space="0" w:color="auto"/>
            <w:right w:val="none" w:sz="0" w:space="0" w:color="auto"/>
          </w:divBdr>
        </w:div>
        <w:div w:id="119036860">
          <w:marLeft w:val="640"/>
          <w:marRight w:val="0"/>
          <w:marTop w:val="0"/>
          <w:marBottom w:val="0"/>
          <w:divBdr>
            <w:top w:val="none" w:sz="0" w:space="0" w:color="auto"/>
            <w:left w:val="none" w:sz="0" w:space="0" w:color="auto"/>
            <w:bottom w:val="none" w:sz="0" w:space="0" w:color="auto"/>
            <w:right w:val="none" w:sz="0" w:space="0" w:color="auto"/>
          </w:divBdr>
        </w:div>
        <w:div w:id="832064008">
          <w:marLeft w:val="640"/>
          <w:marRight w:val="0"/>
          <w:marTop w:val="0"/>
          <w:marBottom w:val="0"/>
          <w:divBdr>
            <w:top w:val="none" w:sz="0" w:space="0" w:color="auto"/>
            <w:left w:val="none" w:sz="0" w:space="0" w:color="auto"/>
            <w:bottom w:val="none" w:sz="0" w:space="0" w:color="auto"/>
            <w:right w:val="none" w:sz="0" w:space="0" w:color="auto"/>
          </w:divBdr>
        </w:div>
        <w:div w:id="1834181420">
          <w:marLeft w:val="640"/>
          <w:marRight w:val="0"/>
          <w:marTop w:val="0"/>
          <w:marBottom w:val="0"/>
          <w:divBdr>
            <w:top w:val="none" w:sz="0" w:space="0" w:color="auto"/>
            <w:left w:val="none" w:sz="0" w:space="0" w:color="auto"/>
            <w:bottom w:val="none" w:sz="0" w:space="0" w:color="auto"/>
            <w:right w:val="none" w:sz="0" w:space="0" w:color="auto"/>
          </w:divBdr>
        </w:div>
        <w:div w:id="1426993623">
          <w:marLeft w:val="640"/>
          <w:marRight w:val="0"/>
          <w:marTop w:val="0"/>
          <w:marBottom w:val="0"/>
          <w:divBdr>
            <w:top w:val="none" w:sz="0" w:space="0" w:color="auto"/>
            <w:left w:val="none" w:sz="0" w:space="0" w:color="auto"/>
            <w:bottom w:val="none" w:sz="0" w:space="0" w:color="auto"/>
            <w:right w:val="none" w:sz="0" w:space="0" w:color="auto"/>
          </w:divBdr>
        </w:div>
        <w:div w:id="1236739658">
          <w:marLeft w:val="640"/>
          <w:marRight w:val="0"/>
          <w:marTop w:val="0"/>
          <w:marBottom w:val="0"/>
          <w:divBdr>
            <w:top w:val="none" w:sz="0" w:space="0" w:color="auto"/>
            <w:left w:val="none" w:sz="0" w:space="0" w:color="auto"/>
            <w:bottom w:val="none" w:sz="0" w:space="0" w:color="auto"/>
            <w:right w:val="none" w:sz="0" w:space="0" w:color="auto"/>
          </w:divBdr>
        </w:div>
        <w:div w:id="225268737">
          <w:marLeft w:val="640"/>
          <w:marRight w:val="0"/>
          <w:marTop w:val="0"/>
          <w:marBottom w:val="0"/>
          <w:divBdr>
            <w:top w:val="none" w:sz="0" w:space="0" w:color="auto"/>
            <w:left w:val="none" w:sz="0" w:space="0" w:color="auto"/>
            <w:bottom w:val="none" w:sz="0" w:space="0" w:color="auto"/>
            <w:right w:val="none" w:sz="0" w:space="0" w:color="auto"/>
          </w:divBdr>
        </w:div>
        <w:div w:id="623075763">
          <w:marLeft w:val="640"/>
          <w:marRight w:val="0"/>
          <w:marTop w:val="0"/>
          <w:marBottom w:val="0"/>
          <w:divBdr>
            <w:top w:val="none" w:sz="0" w:space="0" w:color="auto"/>
            <w:left w:val="none" w:sz="0" w:space="0" w:color="auto"/>
            <w:bottom w:val="none" w:sz="0" w:space="0" w:color="auto"/>
            <w:right w:val="none" w:sz="0" w:space="0" w:color="auto"/>
          </w:divBdr>
        </w:div>
        <w:div w:id="567765323">
          <w:marLeft w:val="640"/>
          <w:marRight w:val="0"/>
          <w:marTop w:val="0"/>
          <w:marBottom w:val="0"/>
          <w:divBdr>
            <w:top w:val="none" w:sz="0" w:space="0" w:color="auto"/>
            <w:left w:val="none" w:sz="0" w:space="0" w:color="auto"/>
            <w:bottom w:val="none" w:sz="0" w:space="0" w:color="auto"/>
            <w:right w:val="none" w:sz="0" w:space="0" w:color="auto"/>
          </w:divBdr>
        </w:div>
        <w:div w:id="2084136824">
          <w:marLeft w:val="640"/>
          <w:marRight w:val="0"/>
          <w:marTop w:val="0"/>
          <w:marBottom w:val="0"/>
          <w:divBdr>
            <w:top w:val="none" w:sz="0" w:space="0" w:color="auto"/>
            <w:left w:val="none" w:sz="0" w:space="0" w:color="auto"/>
            <w:bottom w:val="none" w:sz="0" w:space="0" w:color="auto"/>
            <w:right w:val="none" w:sz="0" w:space="0" w:color="auto"/>
          </w:divBdr>
        </w:div>
        <w:div w:id="1811046259">
          <w:marLeft w:val="640"/>
          <w:marRight w:val="0"/>
          <w:marTop w:val="0"/>
          <w:marBottom w:val="0"/>
          <w:divBdr>
            <w:top w:val="none" w:sz="0" w:space="0" w:color="auto"/>
            <w:left w:val="none" w:sz="0" w:space="0" w:color="auto"/>
            <w:bottom w:val="none" w:sz="0" w:space="0" w:color="auto"/>
            <w:right w:val="none" w:sz="0" w:space="0" w:color="auto"/>
          </w:divBdr>
        </w:div>
        <w:div w:id="2060812064">
          <w:marLeft w:val="640"/>
          <w:marRight w:val="0"/>
          <w:marTop w:val="0"/>
          <w:marBottom w:val="0"/>
          <w:divBdr>
            <w:top w:val="none" w:sz="0" w:space="0" w:color="auto"/>
            <w:left w:val="none" w:sz="0" w:space="0" w:color="auto"/>
            <w:bottom w:val="none" w:sz="0" w:space="0" w:color="auto"/>
            <w:right w:val="none" w:sz="0" w:space="0" w:color="auto"/>
          </w:divBdr>
        </w:div>
        <w:div w:id="1326981472">
          <w:marLeft w:val="640"/>
          <w:marRight w:val="0"/>
          <w:marTop w:val="0"/>
          <w:marBottom w:val="0"/>
          <w:divBdr>
            <w:top w:val="none" w:sz="0" w:space="0" w:color="auto"/>
            <w:left w:val="none" w:sz="0" w:space="0" w:color="auto"/>
            <w:bottom w:val="none" w:sz="0" w:space="0" w:color="auto"/>
            <w:right w:val="none" w:sz="0" w:space="0" w:color="auto"/>
          </w:divBdr>
        </w:div>
        <w:div w:id="1440830437">
          <w:marLeft w:val="640"/>
          <w:marRight w:val="0"/>
          <w:marTop w:val="0"/>
          <w:marBottom w:val="0"/>
          <w:divBdr>
            <w:top w:val="none" w:sz="0" w:space="0" w:color="auto"/>
            <w:left w:val="none" w:sz="0" w:space="0" w:color="auto"/>
            <w:bottom w:val="none" w:sz="0" w:space="0" w:color="auto"/>
            <w:right w:val="none" w:sz="0" w:space="0" w:color="auto"/>
          </w:divBdr>
        </w:div>
        <w:div w:id="474614179">
          <w:marLeft w:val="640"/>
          <w:marRight w:val="0"/>
          <w:marTop w:val="0"/>
          <w:marBottom w:val="0"/>
          <w:divBdr>
            <w:top w:val="none" w:sz="0" w:space="0" w:color="auto"/>
            <w:left w:val="none" w:sz="0" w:space="0" w:color="auto"/>
            <w:bottom w:val="none" w:sz="0" w:space="0" w:color="auto"/>
            <w:right w:val="none" w:sz="0" w:space="0" w:color="auto"/>
          </w:divBdr>
        </w:div>
        <w:div w:id="1625498781">
          <w:marLeft w:val="640"/>
          <w:marRight w:val="0"/>
          <w:marTop w:val="0"/>
          <w:marBottom w:val="0"/>
          <w:divBdr>
            <w:top w:val="none" w:sz="0" w:space="0" w:color="auto"/>
            <w:left w:val="none" w:sz="0" w:space="0" w:color="auto"/>
            <w:bottom w:val="none" w:sz="0" w:space="0" w:color="auto"/>
            <w:right w:val="none" w:sz="0" w:space="0" w:color="auto"/>
          </w:divBdr>
        </w:div>
        <w:div w:id="191648403">
          <w:marLeft w:val="640"/>
          <w:marRight w:val="0"/>
          <w:marTop w:val="0"/>
          <w:marBottom w:val="0"/>
          <w:divBdr>
            <w:top w:val="none" w:sz="0" w:space="0" w:color="auto"/>
            <w:left w:val="none" w:sz="0" w:space="0" w:color="auto"/>
            <w:bottom w:val="none" w:sz="0" w:space="0" w:color="auto"/>
            <w:right w:val="none" w:sz="0" w:space="0" w:color="auto"/>
          </w:divBdr>
        </w:div>
        <w:div w:id="105081379">
          <w:marLeft w:val="640"/>
          <w:marRight w:val="0"/>
          <w:marTop w:val="0"/>
          <w:marBottom w:val="0"/>
          <w:divBdr>
            <w:top w:val="none" w:sz="0" w:space="0" w:color="auto"/>
            <w:left w:val="none" w:sz="0" w:space="0" w:color="auto"/>
            <w:bottom w:val="none" w:sz="0" w:space="0" w:color="auto"/>
            <w:right w:val="none" w:sz="0" w:space="0" w:color="auto"/>
          </w:divBdr>
        </w:div>
        <w:div w:id="2117140841">
          <w:marLeft w:val="640"/>
          <w:marRight w:val="0"/>
          <w:marTop w:val="0"/>
          <w:marBottom w:val="0"/>
          <w:divBdr>
            <w:top w:val="none" w:sz="0" w:space="0" w:color="auto"/>
            <w:left w:val="none" w:sz="0" w:space="0" w:color="auto"/>
            <w:bottom w:val="none" w:sz="0" w:space="0" w:color="auto"/>
            <w:right w:val="none" w:sz="0" w:space="0" w:color="auto"/>
          </w:divBdr>
        </w:div>
        <w:div w:id="364989438">
          <w:marLeft w:val="640"/>
          <w:marRight w:val="0"/>
          <w:marTop w:val="0"/>
          <w:marBottom w:val="0"/>
          <w:divBdr>
            <w:top w:val="none" w:sz="0" w:space="0" w:color="auto"/>
            <w:left w:val="none" w:sz="0" w:space="0" w:color="auto"/>
            <w:bottom w:val="none" w:sz="0" w:space="0" w:color="auto"/>
            <w:right w:val="none" w:sz="0" w:space="0" w:color="auto"/>
          </w:divBdr>
        </w:div>
        <w:div w:id="2136021721">
          <w:marLeft w:val="640"/>
          <w:marRight w:val="0"/>
          <w:marTop w:val="0"/>
          <w:marBottom w:val="0"/>
          <w:divBdr>
            <w:top w:val="none" w:sz="0" w:space="0" w:color="auto"/>
            <w:left w:val="none" w:sz="0" w:space="0" w:color="auto"/>
            <w:bottom w:val="none" w:sz="0" w:space="0" w:color="auto"/>
            <w:right w:val="none" w:sz="0" w:space="0" w:color="auto"/>
          </w:divBdr>
        </w:div>
        <w:div w:id="341902674">
          <w:marLeft w:val="640"/>
          <w:marRight w:val="0"/>
          <w:marTop w:val="0"/>
          <w:marBottom w:val="0"/>
          <w:divBdr>
            <w:top w:val="none" w:sz="0" w:space="0" w:color="auto"/>
            <w:left w:val="none" w:sz="0" w:space="0" w:color="auto"/>
            <w:bottom w:val="none" w:sz="0" w:space="0" w:color="auto"/>
            <w:right w:val="none" w:sz="0" w:space="0" w:color="auto"/>
          </w:divBdr>
        </w:div>
        <w:div w:id="476411228">
          <w:marLeft w:val="640"/>
          <w:marRight w:val="0"/>
          <w:marTop w:val="0"/>
          <w:marBottom w:val="0"/>
          <w:divBdr>
            <w:top w:val="none" w:sz="0" w:space="0" w:color="auto"/>
            <w:left w:val="none" w:sz="0" w:space="0" w:color="auto"/>
            <w:bottom w:val="none" w:sz="0" w:space="0" w:color="auto"/>
            <w:right w:val="none" w:sz="0" w:space="0" w:color="auto"/>
          </w:divBdr>
        </w:div>
        <w:div w:id="309939882">
          <w:marLeft w:val="640"/>
          <w:marRight w:val="0"/>
          <w:marTop w:val="0"/>
          <w:marBottom w:val="0"/>
          <w:divBdr>
            <w:top w:val="none" w:sz="0" w:space="0" w:color="auto"/>
            <w:left w:val="none" w:sz="0" w:space="0" w:color="auto"/>
            <w:bottom w:val="none" w:sz="0" w:space="0" w:color="auto"/>
            <w:right w:val="none" w:sz="0" w:space="0" w:color="auto"/>
          </w:divBdr>
        </w:div>
        <w:div w:id="273177452">
          <w:marLeft w:val="640"/>
          <w:marRight w:val="0"/>
          <w:marTop w:val="0"/>
          <w:marBottom w:val="0"/>
          <w:divBdr>
            <w:top w:val="none" w:sz="0" w:space="0" w:color="auto"/>
            <w:left w:val="none" w:sz="0" w:space="0" w:color="auto"/>
            <w:bottom w:val="none" w:sz="0" w:space="0" w:color="auto"/>
            <w:right w:val="none" w:sz="0" w:space="0" w:color="auto"/>
          </w:divBdr>
        </w:div>
        <w:div w:id="1614287607">
          <w:marLeft w:val="640"/>
          <w:marRight w:val="0"/>
          <w:marTop w:val="0"/>
          <w:marBottom w:val="0"/>
          <w:divBdr>
            <w:top w:val="none" w:sz="0" w:space="0" w:color="auto"/>
            <w:left w:val="none" w:sz="0" w:space="0" w:color="auto"/>
            <w:bottom w:val="none" w:sz="0" w:space="0" w:color="auto"/>
            <w:right w:val="none" w:sz="0" w:space="0" w:color="auto"/>
          </w:divBdr>
        </w:div>
        <w:div w:id="1483548614">
          <w:marLeft w:val="640"/>
          <w:marRight w:val="0"/>
          <w:marTop w:val="0"/>
          <w:marBottom w:val="0"/>
          <w:divBdr>
            <w:top w:val="none" w:sz="0" w:space="0" w:color="auto"/>
            <w:left w:val="none" w:sz="0" w:space="0" w:color="auto"/>
            <w:bottom w:val="none" w:sz="0" w:space="0" w:color="auto"/>
            <w:right w:val="none" w:sz="0" w:space="0" w:color="auto"/>
          </w:divBdr>
        </w:div>
        <w:div w:id="2023432095">
          <w:marLeft w:val="640"/>
          <w:marRight w:val="0"/>
          <w:marTop w:val="0"/>
          <w:marBottom w:val="0"/>
          <w:divBdr>
            <w:top w:val="none" w:sz="0" w:space="0" w:color="auto"/>
            <w:left w:val="none" w:sz="0" w:space="0" w:color="auto"/>
            <w:bottom w:val="none" w:sz="0" w:space="0" w:color="auto"/>
            <w:right w:val="none" w:sz="0" w:space="0" w:color="auto"/>
          </w:divBdr>
        </w:div>
        <w:div w:id="133958424">
          <w:marLeft w:val="640"/>
          <w:marRight w:val="0"/>
          <w:marTop w:val="0"/>
          <w:marBottom w:val="0"/>
          <w:divBdr>
            <w:top w:val="none" w:sz="0" w:space="0" w:color="auto"/>
            <w:left w:val="none" w:sz="0" w:space="0" w:color="auto"/>
            <w:bottom w:val="none" w:sz="0" w:space="0" w:color="auto"/>
            <w:right w:val="none" w:sz="0" w:space="0" w:color="auto"/>
          </w:divBdr>
        </w:div>
        <w:div w:id="184826365">
          <w:marLeft w:val="640"/>
          <w:marRight w:val="0"/>
          <w:marTop w:val="0"/>
          <w:marBottom w:val="0"/>
          <w:divBdr>
            <w:top w:val="none" w:sz="0" w:space="0" w:color="auto"/>
            <w:left w:val="none" w:sz="0" w:space="0" w:color="auto"/>
            <w:bottom w:val="none" w:sz="0" w:space="0" w:color="auto"/>
            <w:right w:val="none" w:sz="0" w:space="0" w:color="auto"/>
          </w:divBdr>
        </w:div>
        <w:div w:id="1027952485">
          <w:marLeft w:val="640"/>
          <w:marRight w:val="0"/>
          <w:marTop w:val="0"/>
          <w:marBottom w:val="0"/>
          <w:divBdr>
            <w:top w:val="none" w:sz="0" w:space="0" w:color="auto"/>
            <w:left w:val="none" w:sz="0" w:space="0" w:color="auto"/>
            <w:bottom w:val="none" w:sz="0" w:space="0" w:color="auto"/>
            <w:right w:val="none" w:sz="0" w:space="0" w:color="auto"/>
          </w:divBdr>
        </w:div>
        <w:div w:id="147331421">
          <w:marLeft w:val="640"/>
          <w:marRight w:val="0"/>
          <w:marTop w:val="0"/>
          <w:marBottom w:val="0"/>
          <w:divBdr>
            <w:top w:val="none" w:sz="0" w:space="0" w:color="auto"/>
            <w:left w:val="none" w:sz="0" w:space="0" w:color="auto"/>
            <w:bottom w:val="none" w:sz="0" w:space="0" w:color="auto"/>
            <w:right w:val="none" w:sz="0" w:space="0" w:color="auto"/>
          </w:divBdr>
        </w:div>
        <w:div w:id="12735454">
          <w:marLeft w:val="640"/>
          <w:marRight w:val="0"/>
          <w:marTop w:val="0"/>
          <w:marBottom w:val="0"/>
          <w:divBdr>
            <w:top w:val="none" w:sz="0" w:space="0" w:color="auto"/>
            <w:left w:val="none" w:sz="0" w:space="0" w:color="auto"/>
            <w:bottom w:val="none" w:sz="0" w:space="0" w:color="auto"/>
            <w:right w:val="none" w:sz="0" w:space="0" w:color="auto"/>
          </w:divBdr>
        </w:div>
        <w:div w:id="925116009">
          <w:marLeft w:val="640"/>
          <w:marRight w:val="0"/>
          <w:marTop w:val="0"/>
          <w:marBottom w:val="0"/>
          <w:divBdr>
            <w:top w:val="none" w:sz="0" w:space="0" w:color="auto"/>
            <w:left w:val="none" w:sz="0" w:space="0" w:color="auto"/>
            <w:bottom w:val="none" w:sz="0" w:space="0" w:color="auto"/>
            <w:right w:val="none" w:sz="0" w:space="0" w:color="auto"/>
          </w:divBdr>
        </w:div>
        <w:div w:id="128402865">
          <w:marLeft w:val="640"/>
          <w:marRight w:val="0"/>
          <w:marTop w:val="0"/>
          <w:marBottom w:val="0"/>
          <w:divBdr>
            <w:top w:val="none" w:sz="0" w:space="0" w:color="auto"/>
            <w:left w:val="none" w:sz="0" w:space="0" w:color="auto"/>
            <w:bottom w:val="none" w:sz="0" w:space="0" w:color="auto"/>
            <w:right w:val="none" w:sz="0" w:space="0" w:color="auto"/>
          </w:divBdr>
        </w:div>
        <w:div w:id="937256236">
          <w:marLeft w:val="640"/>
          <w:marRight w:val="0"/>
          <w:marTop w:val="0"/>
          <w:marBottom w:val="0"/>
          <w:divBdr>
            <w:top w:val="none" w:sz="0" w:space="0" w:color="auto"/>
            <w:left w:val="none" w:sz="0" w:space="0" w:color="auto"/>
            <w:bottom w:val="none" w:sz="0" w:space="0" w:color="auto"/>
            <w:right w:val="none" w:sz="0" w:space="0" w:color="auto"/>
          </w:divBdr>
        </w:div>
        <w:div w:id="607859695">
          <w:marLeft w:val="640"/>
          <w:marRight w:val="0"/>
          <w:marTop w:val="0"/>
          <w:marBottom w:val="0"/>
          <w:divBdr>
            <w:top w:val="none" w:sz="0" w:space="0" w:color="auto"/>
            <w:left w:val="none" w:sz="0" w:space="0" w:color="auto"/>
            <w:bottom w:val="none" w:sz="0" w:space="0" w:color="auto"/>
            <w:right w:val="none" w:sz="0" w:space="0" w:color="auto"/>
          </w:divBdr>
        </w:div>
        <w:div w:id="440422823">
          <w:marLeft w:val="640"/>
          <w:marRight w:val="0"/>
          <w:marTop w:val="0"/>
          <w:marBottom w:val="0"/>
          <w:divBdr>
            <w:top w:val="none" w:sz="0" w:space="0" w:color="auto"/>
            <w:left w:val="none" w:sz="0" w:space="0" w:color="auto"/>
            <w:bottom w:val="none" w:sz="0" w:space="0" w:color="auto"/>
            <w:right w:val="none" w:sz="0" w:space="0" w:color="auto"/>
          </w:divBdr>
        </w:div>
        <w:div w:id="2010667737">
          <w:marLeft w:val="640"/>
          <w:marRight w:val="0"/>
          <w:marTop w:val="0"/>
          <w:marBottom w:val="0"/>
          <w:divBdr>
            <w:top w:val="none" w:sz="0" w:space="0" w:color="auto"/>
            <w:left w:val="none" w:sz="0" w:space="0" w:color="auto"/>
            <w:bottom w:val="none" w:sz="0" w:space="0" w:color="auto"/>
            <w:right w:val="none" w:sz="0" w:space="0" w:color="auto"/>
          </w:divBdr>
        </w:div>
        <w:div w:id="1625844299">
          <w:marLeft w:val="640"/>
          <w:marRight w:val="0"/>
          <w:marTop w:val="0"/>
          <w:marBottom w:val="0"/>
          <w:divBdr>
            <w:top w:val="none" w:sz="0" w:space="0" w:color="auto"/>
            <w:left w:val="none" w:sz="0" w:space="0" w:color="auto"/>
            <w:bottom w:val="none" w:sz="0" w:space="0" w:color="auto"/>
            <w:right w:val="none" w:sz="0" w:space="0" w:color="auto"/>
          </w:divBdr>
        </w:div>
        <w:div w:id="1335650108">
          <w:marLeft w:val="640"/>
          <w:marRight w:val="0"/>
          <w:marTop w:val="0"/>
          <w:marBottom w:val="0"/>
          <w:divBdr>
            <w:top w:val="none" w:sz="0" w:space="0" w:color="auto"/>
            <w:left w:val="none" w:sz="0" w:space="0" w:color="auto"/>
            <w:bottom w:val="none" w:sz="0" w:space="0" w:color="auto"/>
            <w:right w:val="none" w:sz="0" w:space="0" w:color="auto"/>
          </w:divBdr>
        </w:div>
        <w:div w:id="110052217">
          <w:marLeft w:val="640"/>
          <w:marRight w:val="0"/>
          <w:marTop w:val="0"/>
          <w:marBottom w:val="0"/>
          <w:divBdr>
            <w:top w:val="none" w:sz="0" w:space="0" w:color="auto"/>
            <w:left w:val="none" w:sz="0" w:space="0" w:color="auto"/>
            <w:bottom w:val="none" w:sz="0" w:space="0" w:color="auto"/>
            <w:right w:val="none" w:sz="0" w:space="0" w:color="auto"/>
          </w:divBdr>
        </w:div>
        <w:div w:id="774128885">
          <w:marLeft w:val="640"/>
          <w:marRight w:val="0"/>
          <w:marTop w:val="0"/>
          <w:marBottom w:val="0"/>
          <w:divBdr>
            <w:top w:val="none" w:sz="0" w:space="0" w:color="auto"/>
            <w:left w:val="none" w:sz="0" w:space="0" w:color="auto"/>
            <w:bottom w:val="none" w:sz="0" w:space="0" w:color="auto"/>
            <w:right w:val="none" w:sz="0" w:space="0" w:color="auto"/>
          </w:divBdr>
        </w:div>
        <w:div w:id="1867980767">
          <w:marLeft w:val="640"/>
          <w:marRight w:val="0"/>
          <w:marTop w:val="0"/>
          <w:marBottom w:val="0"/>
          <w:divBdr>
            <w:top w:val="none" w:sz="0" w:space="0" w:color="auto"/>
            <w:left w:val="none" w:sz="0" w:space="0" w:color="auto"/>
            <w:bottom w:val="none" w:sz="0" w:space="0" w:color="auto"/>
            <w:right w:val="none" w:sz="0" w:space="0" w:color="auto"/>
          </w:divBdr>
        </w:div>
        <w:div w:id="1852455235">
          <w:marLeft w:val="640"/>
          <w:marRight w:val="0"/>
          <w:marTop w:val="0"/>
          <w:marBottom w:val="0"/>
          <w:divBdr>
            <w:top w:val="none" w:sz="0" w:space="0" w:color="auto"/>
            <w:left w:val="none" w:sz="0" w:space="0" w:color="auto"/>
            <w:bottom w:val="none" w:sz="0" w:space="0" w:color="auto"/>
            <w:right w:val="none" w:sz="0" w:space="0" w:color="auto"/>
          </w:divBdr>
        </w:div>
        <w:div w:id="153300233">
          <w:marLeft w:val="640"/>
          <w:marRight w:val="0"/>
          <w:marTop w:val="0"/>
          <w:marBottom w:val="0"/>
          <w:divBdr>
            <w:top w:val="none" w:sz="0" w:space="0" w:color="auto"/>
            <w:left w:val="none" w:sz="0" w:space="0" w:color="auto"/>
            <w:bottom w:val="none" w:sz="0" w:space="0" w:color="auto"/>
            <w:right w:val="none" w:sz="0" w:space="0" w:color="auto"/>
          </w:divBdr>
        </w:div>
        <w:div w:id="723142444">
          <w:marLeft w:val="640"/>
          <w:marRight w:val="0"/>
          <w:marTop w:val="0"/>
          <w:marBottom w:val="0"/>
          <w:divBdr>
            <w:top w:val="none" w:sz="0" w:space="0" w:color="auto"/>
            <w:left w:val="none" w:sz="0" w:space="0" w:color="auto"/>
            <w:bottom w:val="none" w:sz="0" w:space="0" w:color="auto"/>
            <w:right w:val="none" w:sz="0" w:space="0" w:color="auto"/>
          </w:divBdr>
        </w:div>
        <w:div w:id="23406710">
          <w:marLeft w:val="640"/>
          <w:marRight w:val="0"/>
          <w:marTop w:val="0"/>
          <w:marBottom w:val="0"/>
          <w:divBdr>
            <w:top w:val="none" w:sz="0" w:space="0" w:color="auto"/>
            <w:left w:val="none" w:sz="0" w:space="0" w:color="auto"/>
            <w:bottom w:val="none" w:sz="0" w:space="0" w:color="auto"/>
            <w:right w:val="none" w:sz="0" w:space="0" w:color="auto"/>
          </w:divBdr>
        </w:div>
        <w:div w:id="214393655">
          <w:marLeft w:val="640"/>
          <w:marRight w:val="0"/>
          <w:marTop w:val="0"/>
          <w:marBottom w:val="0"/>
          <w:divBdr>
            <w:top w:val="none" w:sz="0" w:space="0" w:color="auto"/>
            <w:left w:val="none" w:sz="0" w:space="0" w:color="auto"/>
            <w:bottom w:val="none" w:sz="0" w:space="0" w:color="auto"/>
            <w:right w:val="none" w:sz="0" w:space="0" w:color="auto"/>
          </w:divBdr>
        </w:div>
        <w:div w:id="1347639133">
          <w:marLeft w:val="640"/>
          <w:marRight w:val="0"/>
          <w:marTop w:val="0"/>
          <w:marBottom w:val="0"/>
          <w:divBdr>
            <w:top w:val="none" w:sz="0" w:space="0" w:color="auto"/>
            <w:left w:val="none" w:sz="0" w:space="0" w:color="auto"/>
            <w:bottom w:val="none" w:sz="0" w:space="0" w:color="auto"/>
            <w:right w:val="none" w:sz="0" w:space="0" w:color="auto"/>
          </w:divBdr>
        </w:div>
        <w:div w:id="618608272">
          <w:marLeft w:val="640"/>
          <w:marRight w:val="0"/>
          <w:marTop w:val="0"/>
          <w:marBottom w:val="0"/>
          <w:divBdr>
            <w:top w:val="none" w:sz="0" w:space="0" w:color="auto"/>
            <w:left w:val="none" w:sz="0" w:space="0" w:color="auto"/>
            <w:bottom w:val="none" w:sz="0" w:space="0" w:color="auto"/>
            <w:right w:val="none" w:sz="0" w:space="0" w:color="auto"/>
          </w:divBdr>
        </w:div>
        <w:div w:id="1718233961">
          <w:marLeft w:val="640"/>
          <w:marRight w:val="0"/>
          <w:marTop w:val="0"/>
          <w:marBottom w:val="0"/>
          <w:divBdr>
            <w:top w:val="none" w:sz="0" w:space="0" w:color="auto"/>
            <w:left w:val="none" w:sz="0" w:space="0" w:color="auto"/>
            <w:bottom w:val="none" w:sz="0" w:space="0" w:color="auto"/>
            <w:right w:val="none" w:sz="0" w:space="0" w:color="auto"/>
          </w:divBdr>
        </w:div>
        <w:div w:id="1939096365">
          <w:marLeft w:val="640"/>
          <w:marRight w:val="0"/>
          <w:marTop w:val="0"/>
          <w:marBottom w:val="0"/>
          <w:divBdr>
            <w:top w:val="none" w:sz="0" w:space="0" w:color="auto"/>
            <w:left w:val="none" w:sz="0" w:space="0" w:color="auto"/>
            <w:bottom w:val="none" w:sz="0" w:space="0" w:color="auto"/>
            <w:right w:val="none" w:sz="0" w:space="0" w:color="auto"/>
          </w:divBdr>
        </w:div>
        <w:div w:id="1105199427">
          <w:marLeft w:val="640"/>
          <w:marRight w:val="0"/>
          <w:marTop w:val="0"/>
          <w:marBottom w:val="0"/>
          <w:divBdr>
            <w:top w:val="none" w:sz="0" w:space="0" w:color="auto"/>
            <w:left w:val="none" w:sz="0" w:space="0" w:color="auto"/>
            <w:bottom w:val="none" w:sz="0" w:space="0" w:color="auto"/>
            <w:right w:val="none" w:sz="0" w:space="0" w:color="auto"/>
          </w:divBdr>
        </w:div>
        <w:div w:id="596405668">
          <w:marLeft w:val="640"/>
          <w:marRight w:val="0"/>
          <w:marTop w:val="0"/>
          <w:marBottom w:val="0"/>
          <w:divBdr>
            <w:top w:val="none" w:sz="0" w:space="0" w:color="auto"/>
            <w:left w:val="none" w:sz="0" w:space="0" w:color="auto"/>
            <w:bottom w:val="none" w:sz="0" w:space="0" w:color="auto"/>
            <w:right w:val="none" w:sz="0" w:space="0" w:color="auto"/>
          </w:divBdr>
        </w:div>
        <w:div w:id="2089302604">
          <w:marLeft w:val="640"/>
          <w:marRight w:val="0"/>
          <w:marTop w:val="0"/>
          <w:marBottom w:val="0"/>
          <w:divBdr>
            <w:top w:val="none" w:sz="0" w:space="0" w:color="auto"/>
            <w:left w:val="none" w:sz="0" w:space="0" w:color="auto"/>
            <w:bottom w:val="none" w:sz="0" w:space="0" w:color="auto"/>
            <w:right w:val="none" w:sz="0" w:space="0" w:color="auto"/>
          </w:divBdr>
        </w:div>
        <w:div w:id="313145893">
          <w:marLeft w:val="640"/>
          <w:marRight w:val="0"/>
          <w:marTop w:val="0"/>
          <w:marBottom w:val="0"/>
          <w:divBdr>
            <w:top w:val="none" w:sz="0" w:space="0" w:color="auto"/>
            <w:left w:val="none" w:sz="0" w:space="0" w:color="auto"/>
            <w:bottom w:val="none" w:sz="0" w:space="0" w:color="auto"/>
            <w:right w:val="none" w:sz="0" w:space="0" w:color="auto"/>
          </w:divBdr>
        </w:div>
        <w:div w:id="1995450384">
          <w:marLeft w:val="640"/>
          <w:marRight w:val="0"/>
          <w:marTop w:val="0"/>
          <w:marBottom w:val="0"/>
          <w:divBdr>
            <w:top w:val="none" w:sz="0" w:space="0" w:color="auto"/>
            <w:left w:val="none" w:sz="0" w:space="0" w:color="auto"/>
            <w:bottom w:val="none" w:sz="0" w:space="0" w:color="auto"/>
            <w:right w:val="none" w:sz="0" w:space="0" w:color="auto"/>
          </w:divBdr>
        </w:div>
        <w:div w:id="964895365">
          <w:marLeft w:val="640"/>
          <w:marRight w:val="0"/>
          <w:marTop w:val="0"/>
          <w:marBottom w:val="0"/>
          <w:divBdr>
            <w:top w:val="none" w:sz="0" w:space="0" w:color="auto"/>
            <w:left w:val="none" w:sz="0" w:space="0" w:color="auto"/>
            <w:bottom w:val="none" w:sz="0" w:space="0" w:color="auto"/>
            <w:right w:val="none" w:sz="0" w:space="0" w:color="auto"/>
          </w:divBdr>
        </w:div>
        <w:div w:id="1506820140">
          <w:marLeft w:val="640"/>
          <w:marRight w:val="0"/>
          <w:marTop w:val="0"/>
          <w:marBottom w:val="0"/>
          <w:divBdr>
            <w:top w:val="none" w:sz="0" w:space="0" w:color="auto"/>
            <w:left w:val="none" w:sz="0" w:space="0" w:color="auto"/>
            <w:bottom w:val="none" w:sz="0" w:space="0" w:color="auto"/>
            <w:right w:val="none" w:sz="0" w:space="0" w:color="auto"/>
          </w:divBdr>
        </w:div>
        <w:div w:id="1170755875">
          <w:marLeft w:val="640"/>
          <w:marRight w:val="0"/>
          <w:marTop w:val="0"/>
          <w:marBottom w:val="0"/>
          <w:divBdr>
            <w:top w:val="none" w:sz="0" w:space="0" w:color="auto"/>
            <w:left w:val="none" w:sz="0" w:space="0" w:color="auto"/>
            <w:bottom w:val="none" w:sz="0" w:space="0" w:color="auto"/>
            <w:right w:val="none" w:sz="0" w:space="0" w:color="auto"/>
          </w:divBdr>
        </w:div>
        <w:div w:id="1677534906">
          <w:marLeft w:val="640"/>
          <w:marRight w:val="0"/>
          <w:marTop w:val="0"/>
          <w:marBottom w:val="0"/>
          <w:divBdr>
            <w:top w:val="none" w:sz="0" w:space="0" w:color="auto"/>
            <w:left w:val="none" w:sz="0" w:space="0" w:color="auto"/>
            <w:bottom w:val="none" w:sz="0" w:space="0" w:color="auto"/>
            <w:right w:val="none" w:sz="0" w:space="0" w:color="auto"/>
          </w:divBdr>
        </w:div>
        <w:div w:id="1339187886">
          <w:marLeft w:val="640"/>
          <w:marRight w:val="0"/>
          <w:marTop w:val="0"/>
          <w:marBottom w:val="0"/>
          <w:divBdr>
            <w:top w:val="none" w:sz="0" w:space="0" w:color="auto"/>
            <w:left w:val="none" w:sz="0" w:space="0" w:color="auto"/>
            <w:bottom w:val="none" w:sz="0" w:space="0" w:color="auto"/>
            <w:right w:val="none" w:sz="0" w:space="0" w:color="auto"/>
          </w:divBdr>
        </w:div>
        <w:div w:id="755516441">
          <w:marLeft w:val="640"/>
          <w:marRight w:val="0"/>
          <w:marTop w:val="0"/>
          <w:marBottom w:val="0"/>
          <w:divBdr>
            <w:top w:val="none" w:sz="0" w:space="0" w:color="auto"/>
            <w:left w:val="none" w:sz="0" w:space="0" w:color="auto"/>
            <w:bottom w:val="none" w:sz="0" w:space="0" w:color="auto"/>
            <w:right w:val="none" w:sz="0" w:space="0" w:color="auto"/>
          </w:divBdr>
        </w:div>
        <w:div w:id="1077021072">
          <w:marLeft w:val="640"/>
          <w:marRight w:val="0"/>
          <w:marTop w:val="0"/>
          <w:marBottom w:val="0"/>
          <w:divBdr>
            <w:top w:val="none" w:sz="0" w:space="0" w:color="auto"/>
            <w:left w:val="none" w:sz="0" w:space="0" w:color="auto"/>
            <w:bottom w:val="none" w:sz="0" w:space="0" w:color="auto"/>
            <w:right w:val="none" w:sz="0" w:space="0" w:color="auto"/>
          </w:divBdr>
        </w:div>
        <w:div w:id="1951938371">
          <w:marLeft w:val="640"/>
          <w:marRight w:val="0"/>
          <w:marTop w:val="0"/>
          <w:marBottom w:val="0"/>
          <w:divBdr>
            <w:top w:val="none" w:sz="0" w:space="0" w:color="auto"/>
            <w:left w:val="none" w:sz="0" w:space="0" w:color="auto"/>
            <w:bottom w:val="none" w:sz="0" w:space="0" w:color="auto"/>
            <w:right w:val="none" w:sz="0" w:space="0" w:color="auto"/>
          </w:divBdr>
        </w:div>
        <w:div w:id="428283578">
          <w:marLeft w:val="640"/>
          <w:marRight w:val="0"/>
          <w:marTop w:val="0"/>
          <w:marBottom w:val="0"/>
          <w:divBdr>
            <w:top w:val="none" w:sz="0" w:space="0" w:color="auto"/>
            <w:left w:val="none" w:sz="0" w:space="0" w:color="auto"/>
            <w:bottom w:val="none" w:sz="0" w:space="0" w:color="auto"/>
            <w:right w:val="none" w:sz="0" w:space="0" w:color="auto"/>
          </w:divBdr>
        </w:div>
        <w:div w:id="1654328920">
          <w:marLeft w:val="640"/>
          <w:marRight w:val="0"/>
          <w:marTop w:val="0"/>
          <w:marBottom w:val="0"/>
          <w:divBdr>
            <w:top w:val="none" w:sz="0" w:space="0" w:color="auto"/>
            <w:left w:val="none" w:sz="0" w:space="0" w:color="auto"/>
            <w:bottom w:val="none" w:sz="0" w:space="0" w:color="auto"/>
            <w:right w:val="none" w:sz="0" w:space="0" w:color="auto"/>
          </w:divBdr>
        </w:div>
        <w:div w:id="2129663174">
          <w:marLeft w:val="640"/>
          <w:marRight w:val="0"/>
          <w:marTop w:val="0"/>
          <w:marBottom w:val="0"/>
          <w:divBdr>
            <w:top w:val="none" w:sz="0" w:space="0" w:color="auto"/>
            <w:left w:val="none" w:sz="0" w:space="0" w:color="auto"/>
            <w:bottom w:val="none" w:sz="0" w:space="0" w:color="auto"/>
            <w:right w:val="none" w:sz="0" w:space="0" w:color="auto"/>
          </w:divBdr>
        </w:div>
        <w:div w:id="1480881154">
          <w:marLeft w:val="640"/>
          <w:marRight w:val="0"/>
          <w:marTop w:val="0"/>
          <w:marBottom w:val="0"/>
          <w:divBdr>
            <w:top w:val="none" w:sz="0" w:space="0" w:color="auto"/>
            <w:left w:val="none" w:sz="0" w:space="0" w:color="auto"/>
            <w:bottom w:val="none" w:sz="0" w:space="0" w:color="auto"/>
            <w:right w:val="none" w:sz="0" w:space="0" w:color="auto"/>
          </w:divBdr>
        </w:div>
        <w:div w:id="85735577">
          <w:marLeft w:val="640"/>
          <w:marRight w:val="0"/>
          <w:marTop w:val="0"/>
          <w:marBottom w:val="0"/>
          <w:divBdr>
            <w:top w:val="none" w:sz="0" w:space="0" w:color="auto"/>
            <w:left w:val="none" w:sz="0" w:space="0" w:color="auto"/>
            <w:bottom w:val="none" w:sz="0" w:space="0" w:color="auto"/>
            <w:right w:val="none" w:sz="0" w:space="0" w:color="auto"/>
          </w:divBdr>
        </w:div>
        <w:div w:id="240607455">
          <w:marLeft w:val="640"/>
          <w:marRight w:val="0"/>
          <w:marTop w:val="0"/>
          <w:marBottom w:val="0"/>
          <w:divBdr>
            <w:top w:val="none" w:sz="0" w:space="0" w:color="auto"/>
            <w:left w:val="none" w:sz="0" w:space="0" w:color="auto"/>
            <w:bottom w:val="none" w:sz="0" w:space="0" w:color="auto"/>
            <w:right w:val="none" w:sz="0" w:space="0" w:color="auto"/>
          </w:divBdr>
        </w:div>
        <w:div w:id="415635579">
          <w:marLeft w:val="640"/>
          <w:marRight w:val="0"/>
          <w:marTop w:val="0"/>
          <w:marBottom w:val="0"/>
          <w:divBdr>
            <w:top w:val="none" w:sz="0" w:space="0" w:color="auto"/>
            <w:left w:val="none" w:sz="0" w:space="0" w:color="auto"/>
            <w:bottom w:val="none" w:sz="0" w:space="0" w:color="auto"/>
            <w:right w:val="none" w:sz="0" w:space="0" w:color="auto"/>
          </w:divBdr>
        </w:div>
        <w:div w:id="581184730">
          <w:marLeft w:val="640"/>
          <w:marRight w:val="0"/>
          <w:marTop w:val="0"/>
          <w:marBottom w:val="0"/>
          <w:divBdr>
            <w:top w:val="none" w:sz="0" w:space="0" w:color="auto"/>
            <w:left w:val="none" w:sz="0" w:space="0" w:color="auto"/>
            <w:bottom w:val="none" w:sz="0" w:space="0" w:color="auto"/>
            <w:right w:val="none" w:sz="0" w:space="0" w:color="auto"/>
          </w:divBdr>
        </w:div>
        <w:div w:id="221907540">
          <w:marLeft w:val="640"/>
          <w:marRight w:val="0"/>
          <w:marTop w:val="0"/>
          <w:marBottom w:val="0"/>
          <w:divBdr>
            <w:top w:val="none" w:sz="0" w:space="0" w:color="auto"/>
            <w:left w:val="none" w:sz="0" w:space="0" w:color="auto"/>
            <w:bottom w:val="none" w:sz="0" w:space="0" w:color="auto"/>
            <w:right w:val="none" w:sz="0" w:space="0" w:color="auto"/>
          </w:divBdr>
        </w:div>
        <w:div w:id="748040941">
          <w:marLeft w:val="640"/>
          <w:marRight w:val="0"/>
          <w:marTop w:val="0"/>
          <w:marBottom w:val="0"/>
          <w:divBdr>
            <w:top w:val="none" w:sz="0" w:space="0" w:color="auto"/>
            <w:left w:val="none" w:sz="0" w:space="0" w:color="auto"/>
            <w:bottom w:val="none" w:sz="0" w:space="0" w:color="auto"/>
            <w:right w:val="none" w:sz="0" w:space="0" w:color="auto"/>
          </w:divBdr>
        </w:div>
        <w:div w:id="1142846259">
          <w:marLeft w:val="640"/>
          <w:marRight w:val="0"/>
          <w:marTop w:val="0"/>
          <w:marBottom w:val="0"/>
          <w:divBdr>
            <w:top w:val="none" w:sz="0" w:space="0" w:color="auto"/>
            <w:left w:val="none" w:sz="0" w:space="0" w:color="auto"/>
            <w:bottom w:val="none" w:sz="0" w:space="0" w:color="auto"/>
            <w:right w:val="none" w:sz="0" w:space="0" w:color="auto"/>
          </w:divBdr>
        </w:div>
        <w:div w:id="2112698576">
          <w:marLeft w:val="640"/>
          <w:marRight w:val="0"/>
          <w:marTop w:val="0"/>
          <w:marBottom w:val="0"/>
          <w:divBdr>
            <w:top w:val="none" w:sz="0" w:space="0" w:color="auto"/>
            <w:left w:val="none" w:sz="0" w:space="0" w:color="auto"/>
            <w:bottom w:val="none" w:sz="0" w:space="0" w:color="auto"/>
            <w:right w:val="none" w:sz="0" w:space="0" w:color="auto"/>
          </w:divBdr>
        </w:div>
        <w:div w:id="579145354">
          <w:marLeft w:val="640"/>
          <w:marRight w:val="0"/>
          <w:marTop w:val="0"/>
          <w:marBottom w:val="0"/>
          <w:divBdr>
            <w:top w:val="none" w:sz="0" w:space="0" w:color="auto"/>
            <w:left w:val="none" w:sz="0" w:space="0" w:color="auto"/>
            <w:bottom w:val="none" w:sz="0" w:space="0" w:color="auto"/>
            <w:right w:val="none" w:sz="0" w:space="0" w:color="auto"/>
          </w:divBdr>
        </w:div>
        <w:div w:id="763260106">
          <w:marLeft w:val="640"/>
          <w:marRight w:val="0"/>
          <w:marTop w:val="0"/>
          <w:marBottom w:val="0"/>
          <w:divBdr>
            <w:top w:val="none" w:sz="0" w:space="0" w:color="auto"/>
            <w:left w:val="none" w:sz="0" w:space="0" w:color="auto"/>
            <w:bottom w:val="none" w:sz="0" w:space="0" w:color="auto"/>
            <w:right w:val="none" w:sz="0" w:space="0" w:color="auto"/>
          </w:divBdr>
        </w:div>
        <w:div w:id="980843320">
          <w:marLeft w:val="640"/>
          <w:marRight w:val="0"/>
          <w:marTop w:val="0"/>
          <w:marBottom w:val="0"/>
          <w:divBdr>
            <w:top w:val="none" w:sz="0" w:space="0" w:color="auto"/>
            <w:left w:val="none" w:sz="0" w:space="0" w:color="auto"/>
            <w:bottom w:val="none" w:sz="0" w:space="0" w:color="auto"/>
            <w:right w:val="none" w:sz="0" w:space="0" w:color="auto"/>
          </w:divBdr>
        </w:div>
        <w:div w:id="311101167">
          <w:marLeft w:val="640"/>
          <w:marRight w:val="0"/>
          <w:marTop w:val="0"/>
          <w:marBottom w:val="0"/>
          <w:divBdr>
            <w:top w:val="none" w:sz="0" w:space="0" w:color="auto"/>
            <w:left w:val="none" w:sz="0" w:space="0" w:color="auto"/>
            <w:bottom w:val="none" w:sz="0" w:space="0" w:color="auto"/>
            <w:right w:val="none" w:sz="0" w:space="0" w:color="auto"/>
          </w:divBdr>
        </w:div>
        <w:div w:id="1561600039">
          <w:marLeft w:val="640"/>
          <w:marRight w:val="0"/>
          <w:marTop w:val="0"/>
          <w:marBottom w:val="0"/>
          <w:divBdr>
            <w:top w:val="none" w:sz="0" w:space="0" w:color="auto"/>
            <w:left w:val="none" w:sz="0" w:space="0" w:color="auto"/>
            <w:bottom w:val="none" w:sz="0" w:space="0" w:color="auto"/>
            <w:right w:val="none" w:sz="0" w:space="0" w:color="auto"/>
          </w:divBdr>
        </w:div>
        <w:div w:id="1445688067">
          <w:marLeft w:val="640"/>
          <w:marRight w:val="0"/>
          <w:marTop w:val="0"/>
          <w:marBottom w:val="0"/>
          <w:divBdr>
            <w:top w:val="none" w:sz="0" w:space="0" w:color="auto"/>
            <w:left w:val="none" w:sz="0" w:space="0" w:color="auto"/>
            <w:bottom w:val="none" w:sz="0" w:space="0" w:color="auto"/>
            <w:right w:val="none" w:sz="0" w:space="0" w:color="auto"/>
          </w:divBdr>
        </w:div>
        <w:div w:id="1756391813">
          <w:marLeft w:val="640"/>
          <w:marRight w:val="0"/>
          <w:marTop w:val="0"/>
          <w:marBottom w:val="0"/>
          <w:divBdr>
            <w:top w:val="none" w:sz="0" w:space="0" w:color="auto"/>
            <w:left w:val="none" w:sz="0" w:space="0" w:color="auto"/>
            <w:bottom w:val="none" w:sz="0" w:space="0" w:color="auto"/>
            <w:right w:val="none" w:sz="0" w:space="0" w:color="auto"/>
          </w:divBdr>
        </w:div>
        <w:div w:id="564879422">
          <w:marLeft w:val="640"/>
          <w:marRight w:val="0"/>
          <w:marTop w:val="0"/>
          <w:marBottom w:val="0"/>
          <w:divBdr>
            <w:top w:val="none" w:sz="0" w:space="0" w:color="auto"/>
            <w:left w:val="none" w:sz="0" w:space="0" w:color="auto"/>
            <w:bottom w:val="none" w:sz="0" w:space="0" w:color="auto"/>
            <w:right w:val="none" w:sz="0" w:space="0" w:color="auto"/>
          </w:divBdr>
        </w:div>
        <w:div w:id="1437483156">
          <w:marLeft w:val="640"/>
          <w:marRight w:val="0"/>
          <w:marTop w:val="0"/>
          <w:marBottom w:val="0"/>
          <w:divBdr>
            <w:top w:val="none" w:sz="0" w:space="0" w:color="auto"/>
            <w:left w:val="none" w:sz="0" w:space="0" w:color="auto"/>
            <w:bottom w:val="none" w:sz="0" w:space="0" w:color="auto"/>
            <w:right w:val="none" w:sz="0" w:space="0" w:color="auto"/>
          </w:divBdr>
        </w:div>
        <w:div w:id="1084573128">
          <w:marLeft w:val="640"/>
          <w:marRight w:val="0"/>
          <w:marTop w:val="0"/>
          <w:marBottom w:val="0"/>
          <w:divBdr>
            <w:top w:val="none" w:sz="0" w:space="0" w:color="auto"/>
            <w:left w:val="none" w:sz="0" w:space="0" w:color="auto"/>
            <w:bottom w:val="none" w:sz="0" w:space="0" w:color="auto"/>
            <w:right w:val="none" w:sz="0" w:space="0" w:color="auto"/>
          </w:divBdr>
        </w:div>
        <w:div w:id="275527999">
          <w:marLeft w:val="640"/>
          <w:marRight w:val="0"/>
          <w:marTop w:val="0"/>
          <w:marBottom w:val="0"/>
          <w:divBdr>
            <w:top w:val="none" w:sz="0" w:space="0" w:color="auto"/>
            <w:left w:val="none" w:sz="0" w:space="0" w:color="auto"/>
            <w:bottom w:val="none" w:sz="0" w:space="0" w:color="auto"/>
            <w:right w:val="none" w:sz="0" w:space="0" w:color="auto"/>
          </w:divBdr>
        </w:div>
        <w:div w:id="1576744671">
          <w:marLeft w:val="640"/>
          <w:marRight w:val="0"/>
          <w:marTop w:val="0"/>
          <w:marBottom w:val="0"/>
          <w:divBdr>
            <w:top w:val="none" w:sz="0" w:space="0" w:color="auto"/>
            <w:left w:val="none" w:sz="0" w:space="0" w:color="auto"/>
            <w:bottom w:val="none" w:sz="0" w:space="0" w:color="auto"/>
            <w:right w:val="none" w:sz="0" w:space="0" w:color="auto"/>
          </w:divBdr>
        </w:div>
        <w:div w:id="1559123688">
          <w:marLeft w:val="640"/>
          <w:marRight w:val="0"/>
          <w:marTop w:val="0"/>
          <w:marBottom w:val="0"/>
          <w:divBdr>
            <w:top w:val="none" w:sz="0" w:space="0" w:color="auto"/>
            <w:left w:val="none" w:sz="0" w:space="0" w:color="auto"/>
            <w:bottom w:val="none" w:sz="0" w:space="0" w:color="auto"/>
            <w:right w:val="none" w:sz="0" w:space="0" w:color="auto"/>
          </w:divBdr>
        </w:div>
        <w:div w:id="1597442918">
          <w:marLeft w:val="640"/>
          <w:marRight w:val="0"/>
          <w:marTop w:val="0"/>
          <w:marBottom w:val="0"/>
          <w:divBdr>
            <w:top w:val="none" w:sz="0" w:space="0" w:color="auto"/>
            <w:left w:val="none" w:sz="0" w:space="0" w:color="auto"/>
            <w:bottom w:val="none" w:sz="0" w:space="0" w:color="auto"/>
            <w:right w:val="none" w:sz="0" w:space="0" w:color="auto"/>
          </w:divBdr>
        </w:div>
        <w:div w:id="40834756">
          <w:marLeft w:val="640"/>
          <w:marRight w:val="0"/>
          <w:marTop w:val="0"/>
          <w:marBottom w:val="0"/>
          <w:divBdr>
            <w:top w:val="none" w:sz="0" w:space="0" w:color="auto"/>
            <w:left w:val="none" w:sz="0" w:space="0" w:color="auto"/>
            <w:bottom w:val="none" w:sz="0" w:space="0" w:color="auto"/>
            <w:right w:val="none" w:sz="0" w:space="0" w:color="auto"/>
          </w:divBdr>
        </w:div>
        <w:div w:id="1029601294">
          <w:marLeft w:val="640"/>
          <w:marRight w:val="0"/>
          <w:marTop w:val="0"/>
          <w:marBottom w:val="0"/>
          <w:divBdr>
            <w:top w:val="none" w:sz="0" w:space="0" w:color="auto"/>
            <w:left w:val="none" w:sz="0" w:space="0" w:color="auto"/>
            <w:bottom w:val="none" w:sz="0" w:space="0" w:color="auto"/>
            <w:right w:val="none" w:sz="0" w:space="0" w:color="auto"/>
          </w:divBdr>
        </w:div>
        <w:div w:id="2057467172">
          <w:marLeft w:val="640"/>
          <w:marRight w:val="0"/>
          <w:marTop w:val="0"/>
          <w:marBottom w:val="0"/>
          <w:divBdr>
            <w:top w:val="none" w:sz="0" w:space="0" w:color="auto"/>
            <w:left w:val="none" w:sz="0" w:space="0" w:color="auto"/>
            <w:bottom w:val="none" w:sz="0" w:space="0" w:color="auto"/>
            <w:right w:val="none" w:sz="0" w:space="0" w:color="auto"/>
          </w:divBdr>
        </w:div>
        <w:div w:id="660815070">
          <w:marLeft w:val="640"/>
          <w:marRight w:val="0"/>
          <w:marTop w:val="0"/>
          <w:marBottom w:val="0"/>
          <w:divBdr>
            <w:top w:val="none" w:sz="0" w:space="0" w:color="auto"/>
            <w:left w:val="none" w:sz="0" w:space="0" w:color="auto"/>
            <w:bottom w:val="none" w:sz="0" w:space="0" w:color="auto"/>
            <w:right w:val="none" w:sz="0" w:space="0" w:color="auto"/>
          </w:divBdr>
        </w:div>
        <w:div w:id="1071662188">
          <w:marLeft w:val="640"/>
          <w:marRight w:val="0"/>
          <w:marTop w:val="0"/>
          <w:marBottom w:val="0"/>
          <w:divBdr>
            <w:top w:val="none" w:sz="0" w:space="0" w:color="auto"/>
            <w:left w:val="none" w:sz="0" w:space="0" w:color="auto"/>
            <w:bottom w:val="none" w:sz="0" w:space="0" w:color="auto"/>
            <w:right w:val="none" w:sz="0" w:space="0" w:color="auto"/>
          </w:divBdr>
        </w:div>
        <w:div w:id="1112701499">
          <w:marLeft w:val="640"/>
          <w:marRight w:val="0"/>
          <w:marTop w:val="0"/>
          <w:marBottom w:val="0"/>
          <w:divBdr>
            <w:top w:val="none" w:sz="0" w:space="0" w:color="auto"/>
            <w:left w:val="none" w:sz="0" w:space="0" w:color="auto"/>
            <w:bottom w:val="none" w:sz="0" w:space="0" w:color="auto"/>
            <w:right w:val="none" w:sz="0" w:space="0" w:color="auto"/>
          </w:divBdr>
        </w:div>
        <w:div w:id="804199346">
          <w:marLeft w:val="640"/>
          <w:marRight w:val="0"/>
          <w:marTop w:val="0"/>
          <w:marBottom w:val="0"/>
          <w:divBdr>
            <w:top w:val="none" w:sz="0" w:space="0" w:color="auto"/>
            <w:left w:val="none" w:sz="0" w:space="0" w:color="auto"/>
            <w:bottom w:val="none" w:sz="0" w:space="0" w:color="auto"/>
            <w:right w:val="none" w:sz="0" w:space="0" w:color="auto"/>
          </w:divBdr>
        </w:div>
        <w:div w:id="853542996">
          <w:marLeft w:val="640"/>
          <w:marRight w:val="0"/>
          <w:marTop w:val="0"/>
          <w:marBottom w:val="0"/>
          <w:divBdr>
            <w:top w:val="none" w:sz="0" w:space="0" w:color="auto"/>
            <w:left w:val="none" w:sz="0" w:space="0" w:color="auto"/>
            <w:bottom w:val="none" w:sz="0" w:space="0" w:color="auto"/>
            <w:right w:val="none" w:sz="0" w:space="0" w:color="auto"/>
          </w:divBdr>
        </w:div>
        <w:div w:id="1201091109">
          <w:marLeft w:val="640"/>
          <w:marRight w:val="0"/>
          <w:marTop w:val="0"/>
          <w:marBottom w:val="0"/>
          <w:divBdr>
            <w:top w:val="none" w:sz="0" w:space="0" w:color="auto"/>
            <w:left w:val="none" w:sz="0" w:space="0" w:color="auto"/>
            <w:bottom w:val="none" w:sz="0" w:space="0" w:color="auto"/>
            <w:right w:val="none" w:sz="0" w:space="0" w:color="auto"/>
          </w:divBdr>
        </w:div>
        <w:div w:id="53704869">
          <w:marLeft w:val="640"/>
          <w:marRight w:val="0"/>
          <w:marTop w:val="0"/>
          <w:marBottom w:val="0"/>
          <w:divBdr>
            <w:top w:val="none" w:sz="0" w:space="0" w:color="auto"/>
            <w:left w:val="none" w:sz="0" w:space="0" w:color="auto"/>
            <w:bottom w:val="none" w:sz="0" w:space="0" w:color="auto"/>
            <w:right w:val="none" w:sz="0" w:space="0" w:color="auto"/>
          </w:divBdr>
        </w:div>
        <w:div w:id="1614631369">
          <w:marLeft w:val="640"/>
          <w:marRight w:val="0"/>
          <w:marTop w:val="0"/>
          <w:marBottom w:val="0"/>
          <w:divBdr>
            <w:top w:val="none" w:sz="0" w:space="0" w:color="auto"/>
            <w:left w:val="none" w:sz="0" w:space="0" w:color="auto"/>
            <w:bottom w:val="none" w:sz="0" w:space="0" w:color="auto"/>
            <w:right w:val="none" w:sz="0" w:space="0" w:color="auto"/>
          </w:divBdr>
        </w:div>
        <w:div w:id="364985895">
          <w:marLeft w:val="640"/>
          <w:marRight w:val="0"/>
          <w:marTop w:val="0"/>
          <w:marBottom w:val="0"/>
          <w:divBdr>
            <w:top w:val="none" w:sz="0" w:space="0" w:color="auto"/>
            <w:left w:val="none" w:sz="0" w:space="0" w:color="auto"/>
            <w:bottom w:val="none" w:sz="0" w:space="0" w:color="auto"/>
            <w:right w:val="none" w:sz="0" w:space="0" w:color="auto"/>
          </w:divBdr>
        </w:div>
        <w:div w:id="319044369">
          <w:marLeft w:val="640"/>
          <w:marRight w:val="0"/>
          <w:marTop w:val="0"/>
          <w:marBottom w:val="0"/>
          <w:divBdr>
            <w:top w:val="none" w:sz="0" w:space="0" w:color="auto"/>
            <w:left w:val="none" w:sz="0" w:space="0" w:color="auto"/>
            <w:bottom w:val="none" w:sz="0" w:space="0" w:color="auto"/>
            <w:right w:val="none" w:sz="0" w:space="0" w:color="auto"/>
          </w:divBdr>
        </w:div>
        <w:div w:id="291714814">
          <w:marLeft w:val="640"/>
          <w:marRight w:val="0"/>
          <w:marTop w:val="0"/>
          <w:marBottom w:val="0"/>
          <w:divBdr>
            <w:top w:val="none" w:sz="0" w:space="0" w:color="auto"/>
            <w:left w:val="none" w:sz="0" w:space="0" w:color="auto"/>
            <w:bottom w:val="none" w:sz="0" w:space="0" w:color="auto"/>
            <w:right w:val="none" w:sz="0" w:space="0" w:color="auto"/>
          </w:divBdr>
        </w:div>
        <w:div w:id="993723971">
          <w:marLeft w:val="640"/>
          <w:marRight w:val="0"/>
          <w:marTop w:val="0"/>
          <w:marBottom w:val="0"/>
          <w:divBdr>
            <w:top w:val="none" w:sz="0" w:space="0" w:color="auto"/>
            <w:left w:val="none" w:sz="0" w:space="0" w:color="auto"/>
            <w:bottom w:val="none" w:sz="0" w:space="0" w:color="auto"/>
            <w:right w:val="none" w:sz="0" w:space="0" w:color="auto"/>
          </w:divBdr>
        </w:div>
        <w:div w:id="997073294">
          <w:marLeft w:val="640"/>
          <w:marRight w:val="0"/>
          <w:marTop w:val="0"/>
          <w:marBottom w:val="0"/>
          <w:divBdr>
            <w:top w:val="none" w:sz="0" w:space="0" w:color="auto"/>
            <w:left w:val="none" w:sz="0" w:space="0" w:color="auto"/>
            <w:bottom w:val="none" w:sz="0" w:space="0" w:color="auto"/>
            <w:right w:val="none" w:sz="0" w:space="0" w:color="auto"/>
          </w:divBdr>
        </w:div>
        <w:div w:id="1337267272">
          <w:marLeft w:val="640"/>
          <w:marRight w:val="0"/>
          <w:marTop w:val="0"/>
          <w:marBottom w:val="0"/>
          <w:divBdr>
            <w:top w:val="none" w:sz="0" w:space="0" w:color="auto"/>
            <w:left w:val="none" w:sz="0" w:space="0" w:color="auto"/>
            <w:bottom w:val="none" w:sz="0" w:space="0" w:color="auto"/>
            <w:right w:val="none" w:sz="0" w:space="0" w:color="auto"/>
          </w:divBdr>
        </w:div>
        <w:div w:id="1780445716">
          <w:marLeft w:val="640"/>
          <w:marRight w:val="0"/>
          <w:marTop w:val="0"/>
          <w:marBottom w:val="0"/>
          <w:divBdr>
            <w:top w:val="none" w:sz="0" w:space="0" w:color="auto"/>
            <w:left w:val="none" w:sz="0" w:space="0" w:color="auto"/>
            <w:bottom w:val="none" w:sz="0" w:space="0" w:color="auto"/>
            <w:right w:val="none" w:sz="0" w:space="0" w:color="auto"/>
          </w:divBdr>
        </w:div>
        <w:div w:id="456878506">
          <w:marLeft w:val="640"/>
          <w:marRight w:val="0"/>
          <w:marTop w:val="0"/>
          <w:marBottom w:val="0"/>
          <w:divBdr>
            <w:top w:val="none" w:sz="0" w:space="0" w:color="auto"/>
            <w:left w:val="none" w:sz="0" w:space="0" w:color="auto"/>
            <w:bottom w:val="none" w:sz="0" w:space="0" w:color="auto"/>
            <w:right w:val="none" w:sz="0" w:space="0" w:color="auto"/>
          </w:divBdr>
        </w:div>
        <w:div w:id="2106076774">
          <w:marLeft w:val="640"/>
          <w:marRight w:val="0"/>
          <w:marTop w:val="0"/>
          <w:marBottom w:val="0"/>
          <w:divBdr>
            <w:top w:val="none" w:sz="0" w:space="0" w:color="auto"/>
            <w:left w:val="none" w:sz="0" w:space="0" w:color="auto"/>
            <w:bottom w:val="none" w:sz="0" w:space="0" w:color="auto"/>
            <w:right w:val="none" w:sz="0" w:space="0" w:color="auto"/>
          </w:divBdr>
        </w:div>
        <w:div w:id="725495856">
          <w:marLeft w:val="640"/>
          <w:marRight w:val="0"/>
          <w:marTop w:val="0"/>
          <w:marBottom w:val="0"/>
          <w:divBdr>
            <w:top w:val="none" w:sz="0" w:space="0" w:color="auto"/>
            <w:left w:val="none" w:sz="0" w:space="0" w:color="auto"/>
            <w:bottom w:val="none" w:sz="0" w:space="0" w:color="auto"/>
            <w:right w:val="none" w:sz="0" w:space="0" w:color="auto"/>
          </w:divBdr>
        </w:div>
        <w:div w:id="1772628996">
          <w:marLeft w:val="640"/>
          <w:marRight w:val="0"/>
          <w:marTop w:val="0"/>
          <w:marBottom w:val="0"/>
          <w:divBdr>
            <w:top w:val="none" w:sz="0" w:space="0" w:color="auto"/>
            <w:left w:val="none" w:sz="0" w:space="0" w:color="auto"/>
            <w:bottom w:val="none" w:sz="0" w:space="0" w:color="auto"/>
            <w:right w:val="none" w:sz="0" w:space="0" w:color="auto"/>
          </w:divBdr>
        </w:div>
        <w:div w:id="698775257">
          <w:marLeft w:val="640"/>
          <w:marRight w:val="0"/>
          <w:marTop w:val="0"/>
          <w:marBottom w:val="0"/>
          <w:divBdr>
            <w:top w:val="none" w:sz="0" w:space="0" w:color="auto"/>
            <w:left w:val="none" w:sz="0" w:space="0" w:color="auto"/>
            <w:bottom w:val="none" w:sz="0" w:space="0" w:color="auto"/>
            <w:right w:val="none" w:sz="0" w:space="0" w:color="auto"/>
          </w:divBdr>
        </w:div>
        <w:div w:id="1682078172">
          <w:marLeft w:val="640"/>
          <w:marRight w:val="0"/>
          <w:marTop w:val="0"/>
          <w:marBottom w:val="0"/>
          <w:divBdr>
            <w:top w:val="none" w:sz="0" w:space="0" w:color="auto"/>
            <w:left w:val="none" w:sz="0" w:space="0" w:color="auto"/>
            <w:bottom w:val="none" w:sz="0" w:space="0" w:color="auto"/>
            <w:right w:val="none" w:sz="0" w:space="0" w:color="auto"/>
          </w:divBdr>
        </w:div>
        <w:div w:id="1846548632">
          <w:marLeft w:val="640"/>
          <w:marRight w:val="0"/>
          <w:marTop w:val="0"/>
          <w:marBottom w:val="0"/>
          <w:divBdr>
            <w:top w:val="none" w:sz="0" w:space="0" w:color="auto"/>
            <w:left w:val="none" w:sz="0" w:space="0" w:color="auto"/>
            <w:bottom w:val="none" w:sz="0" w:space="0" w:color="auto"/>
            <w:right w:val="none" w:sz="0" w:space="0" w:color="auto"/>
          </w:divBdr>
        </w:div>
        <w:div w:id="962157060">
          <w:marLeft w:val="640"/>
          <w:marRight w:val="0"/>
          <w:marTop w:val="0"/>
          <w:marBottom w:val="0"/>
          <w:divBdr>
            <w:top w:val="none" w:sz="0" w:space="0" w:color="auto"/>
            <w:left w:val="none" w:sz="0" w:space="0" w:color="auto"/>
            <w:bottom w:val="none" w:sz="0" w:space="0" w:color="auto"/>
            <w:right w:val="none" w:sz="0" w:space="0" w:color="auto"/>
          </w:divBdr>
        </w:div>
        <w:div w:id="1703087155">
          <w:marLeft w:val="640"/>
          <w:marRight w:val="0"/>
          <w:marTop w:val="0"/>
          <w:marBottom w:val="0"/>
          <w:divBdr>
            <w:top w:val="none" w:sz="0" w:space="0" w:color="auto"/>
            <w:left w:val="none" w:sz="0" w:space="0" w:color="auto"/>
            <w:bottom w:val="none" w:sz="0" w:space="0" w:color="auto"/>
            <w:right w:val="none" w:sz="0" w:space="0" w:color="auto"/>
          </w:divBdr>
        </w:div>
        <w:div w:id="32198396">
          <w:marLeft w:val="640"/>
          <w:marRight w:val="0"/>
          <w:marTop w:val="0"/>
          <w:marBottom w:val="0"/>
          <w:divBdr>
            <w:top w:val="none" w:sz="0" w:space="0" w:color="auto"/>
            <w:left w:val="none" w:sz="0" w:space="0" w:color="auto"/>
            <w:bottom w:val="none" w:sz="0" w:space="0" w:color="auto"/>
            <w:right w:val="none" w:sz="0" w:space="0" w:color="auto"/>
          </w:divBdr>
        </w:div>
        <w:div w:id="1156915368">
          <w:marLeft w:val="640"/>
          <w:marRight w:val="0"/>
          <w:marTop w:val="0"/>
          <w:marBottom w:val="0"/>
          <w:divBdr>
            <w:top w:val="none" w:sz="0" w:space="0" w:color="auto"/>
            <w:left w:val="none" w:sz="0" w:space="0" w:color="auto"/>
            <w:bottom w:val="none" w:sz="0" w:space="0" w:color="auto"/>
            <w:right w:val="none" w:sz="0" w:space="0" w:color="auto"/>
          </w:divBdr>
        </w:div>
        <w:div w:id="2130124364">
          <w:marLeft w:val="640"/>
          <w:marRight w:val="0"/>
          <w:marTop w:val="0"/>
          <w:marBottom w:val="0"/>
          <w:divBdr>
            <w:top w:val="none" w:sz="0" w:space="0" w:color="auto"/>
            <w:left w:val="none" w:sz="0" w:space="0" w:color="auto"/>
            <w:bottom w:val="none" w:sz="0" w:space="0" w:color="auto"/>
            <w:right w:val="none" w:sz="0" w:space="0" w:color="auto"/>
          </w:divBdr>
        </w:div>
        <w:div w:id="266275561">
          <w:marLeft w:val="640"/>
          <w:marRight w:val="0"/>
          <w:marTop w:val="0"/>
          <w:marBottom w:val="0"/>
          <w:divBdr>
            <w:top w:val="none" w:sz="0" w:space="0" w:color="auto"/>
            <w:left w:val="none" w:sz="0" w:space="0" w:color="auto"/>
            <w:bottom w:val="none" w:sz="0" w:space="0" w:color="auto"/>
            <w:right w:val="none" w:sz="0" w:space="0" w:color="auto"/>
          </w:divBdr>
        </w:div>
        <w:div w:id="869418501">
          <w:marLeft w:val="640"/>
          <w:marRight w:val="0"/>
          <w:marTop w:val="0"/>
          <w:marBottom w:val="0"/>
          <w:divBdr>
            <w:top w:val="none" w:sz="0" w:space="0" w:color="auto"/>
            <w:left w:val="none" w:sz="0" w:space="0" w:color="auto"/>
            <w:bottom w:val="none" w:sz="0" w:space="0" w:color="auto"/>
            <w:right w:val="none" w:sz="0" w:space="0" w:color="auto"/>
          </w:divBdr>
        </w:div>
        <w:div w:id="1870871446">
          <w:marLeft w:val="640"/>
          <w:marRight w:val="0"/>
          <w:marTop w:val="0"/>
          <w:marBottom w:val="0"/>
          <w:divBdr>
            <w:top w:val="none" w:sz="0" w:space="0" w:color="auto"/>
            <w:left w:val="none" w:sz="0" w:space="0" w:color="auto"/>
            <w:bottom w:val="none" w:sz="0" w:space="0" w:color="auto"/>
            <w:right w:val="none" w:sz="0" w:space="0" w:color="auto"/>
          </w:divBdr>
        </w:div>
        <w:div w:id="264658102">
          <w:marLeft w:val="640"/>
          <w:marRight w:val="0"/>
          <w:marTop w:val="0"/>
          <w:marBottom w:val="0"/>
          <w:divBdr>
            <w:top w:val="none" w:sz="0" w:space="0" w:color="auto"/>
            <w:left w:val="none" w:sz="0" w:space="0" w:color="auto"/>
            <w:bottom w:val="none" w:sz="0" w:space="0" w:color="auto"/>
            <w:right w:val="none" w:sz="0" w:space="0" w:color="auto"/>
          </w:divBdr>
        </w:div>
        <w:div w:id="1707757204">
          <w:marLeft w:val="640"/>
          <w:marRight w:val="0"/>
          <w:marTop w:val="0"/>
          <w:marBottom w:val="0"/>
          <w:divBdr>
            <w:top w:val="none" w:sz="0" w:space="0" w:color="auto"/>
            <w:left w:val="none" w:sz="0" w:space="0" w:color="auto"/>
            <w:bottom w:val="none" w:sz="0" w:space="0" w:color="auto"/>
            <w:right w:val="none" w:sz="0" w:space="0" w:color="auto"/>
          </w:divBdr>
        </w:div>
        <w:div w:id="236286521">
          <w:marLeft w:val="640"/>
          <w:marRight w:val="0"/>
          <w:marTop w:val="0"/>
          <w:marBottom w:val="0"/>
          <w:divBdr>
            <w:top w:val="none" w:sz="0" w:space="0" w:color="auto"/>
            <w:left w:val="none" w:sz="0" w:space="0" w:color="auto"/>
            <w:bottom w:val="none" w:sz="0" w:space="0" w:color="auto"/>
            <w:right w:val="none" w:sz="0" w:space="0" w:color="auto"/>
          </w:divBdr>
        </w:div>
        <w:div w:id="1561944057">
          <w:marLeft w:val="640"/>
          <w:marRight w:val="0"/>
          <w:marTop w:val="0"/>
          <w:marBottom w:val="0"/>
          <w:divBdr>
            <w:top w:val="none" w:sz="0" w:space="0" w:color="auto"/>
            <w:left w:val="none" w:sz="0" w:space="0" w:color="auto"/>
            <w:bottom w:val="none" w:sz="0" w:space="0" w:color="auto"/>
            <w:right w:val="none" w:sz="0" w:space="0" w:color="auto"/>
          </w:divBdr>
        </w:div>
        <w:div w:id="1339967182">
          <w:marLeft w:val="640"/>
          <w:marRight w:val="0"/>
          <w:marTop w:val="0"/>
          <w:marBottom w:val="0"/>
          <w:divBdr>
            <w:top w:val="none" w:sz="0" w:space="0" w:color="auto"/>
            <w:left w:val="none" w:sz="0" w:space="0" w:color="auto"/>
            <w:bottom w:val="none" w:sz="0" w:space="0" w:color="auto"/>
            <w:right w:val="none" w:sz="0" w:space="0" w:color="auto"/>
          </w:divBdr>
        </w:div>
        <w:div w:id="1917351680">
          <w:marLeft w:val="640"/>
          <w:marRight w:val="0"/>
          <w:marTop w:val="0"/>
          <w:marBottom w:val="0"/>
          <w:divBdr>
            <w:top w:val="none" w:sz="0" w:space="0" w:color="auto"/>
            <w:left w:val="none" w:sz="0" w:space="0" w:color="auto"/>
            <w:bottom w:val="none" w:sz="0" w:space="0" w:color="auto"/>
            <w:right w:val="none" w:sz="0" w:space="0" w:color="auto"/>
          </w:divBdr>
        </w:div>
        <w:div w:id="1271819256">
          <w:marLeft w:val="640"/>
          <w:marRight w:val="0"/>
          <w:marTop w:val="0"/>
          <w:marBottom w:val="0"/>
          <w:divBdr>
            <w:top w:val="none" w:sz="0" w:space="0" w:color="auto"/>
            <w:left w:val="none" w:sz="0" w:space="0" w:color="auto"/>
            <w:bottom w:val="none" w:sz="0" w:space="0" w:color="auto"/>
            <w:right w:val="none" w:sz="0" w:space="0" w:color="auto"/>
          </w:divBdr>
        </w:div>
        <w:div w:id="1692493501">
          <w:marLeft w:val="640"/>
          <w:marRight w:val="0"/>
          <w:marTop w:val="0"/>
          <w:marBottom w:val="0"/>
          <w:divBdr>
            <w:top w:val="none" w:sz="0" w:space="0" w:color="auto"/>
            <w:left w:val="none" w:sz="0" w:space="0" w:color="auto"/>
            <w:bottom w:val="none" w:sz="0" w:space="0" w:color="auto"/>
            <w:right w:val="none" w:sz="0" w:space="0" w:color="auto"/>
          </w:divBdr>
        </w:div>
        <w:div w:id="792332819">
          <w:marLeft w:val="640"/>
          <w:marRight w:val="0"/>
          <w:marTop w:val="0"/>
          <w:marBottom w:val="0"/>
          <w:divBdr>
            <w:top w:val="none" w:sz="0" w:space="0" w:color="auto"/>
            <w:left w:val="none" w:sz="0" w:space="0" w:color="auto"/>
            <w:bottom w:val="none" w:sz="0" w:space="0" w:color="auto"/>
            <w:right w:val="none" w:sz="0" w:space="0" w:color="auto"/>
          </w:divBdr>
        </w:div>
        <w:div w:id="1112213051">
          <w:marLeft w:val="640"/>
          <w:marRight w:val="0"/>
          <w:marTop w:val="0"/>
          <w:marBottom w:val="0"/>
          <w:divBdr>
            <w:top w:val="none" w:sz="0" w:space="0" w:color="auto"/>
            <w:left w:val="none" w:sz="0" w:space="0" w:color="auto"/>
            <w:bottom w:val="none" w:sz="0" w:space="0" w:color="auto"/>
            <w:right w:val="none" w:sz="0" w:space="0" w:color="auto"/>
          </w:divBdr>
        </w:div>
        <w:div w:id="1406876311">
          <w:marLeft w:val="640"/>
          <w:marRight w:val="0"/>
          <w:marTop w:val="0"/>
          <w:marBottom w:val="0"/>
          <w:divBdr>
            <w:top w:val="none" w:sz="0" w:space="0" w:color="auto"/>
            <w:left w:val="none" w:sz="0" w:space="0" w:color="auto"/>
            <w:bottom w:val="none" w:sz="0" w:space="0" w:color="auto"/>
            <w:right w:val="none" w:sz="0" w:space="0" w:color="auto"/>
          </w:divBdr>
        </w:div>
        <w:div w:id="468211423">
          <w:marLeft w:val="640"/>
          <w:marRight w:val="0"/>
          <w:marTop w:val="0"/>
          <w:marBottom w:val="0"/>
          <w:divBdr>
            <w:top w:val="none" w:sz="0" w:space="0" w:color="auto"/>
            <w:left w:val="none" w:sz="0" w:space="0" w:color="auto"/>
            <w:bottom w:val="none" w:sz="0" w:space="0" w:color="auto"/>
            <w:right w:val="none" w:sz="0" w:space="0" w:color="auto"/>
          </w:divBdr>
        </w:div>
        <w:div w:id="607279232">
          <w:marLeft w:val="640"/>
          <w:marRight w:val="0"/>
          <w:marTop w:val="0"/>
          <w:marBottom w:val="0"/>
          <w:divBdr>
            <w:top w:val="none" w:sz="0" w:space="0" w:color="auto"/>
            <w:left w:val="none" w:sz="0" w:space="0" w:color="auto"/>
            <w:bottom w:val="none" w:sz="0" w:space="0" w:color="auto"/>
            <w:right w:val="none" w:sz="0" w:space="0" w:color="auto"/>
          </w:divBdr>
        </w:div>
        <w:div w:id="601232609">
          <w:marLeft w:val="640"/>
          <w:marRight w:val="0"/>
          <w:marTop w:val="0"/>
          <w:marBottom w:val="0"/>
          <w:divBdr>
            <w:top w:val="none" w:sz="0" w:space="0" w:color="auto"/>
            <w:left w:val="none" w:sz="0" w:space="0" w:color="auto"/>
            <w:bottom w:val="none" w:sz="0" w:space="0" w:color="auto"/>
            <w:right w:val="none" w:sz="0" w:space="0" w:color="auto"/>
          </w:divBdr>
        </w:div>
        <w:div w:id="1717194584">
          <w:marLeft w:val="640"/>
          <w:marRight w:val="0"/>
          <w:marTop w:val="0"/>
          <w:marBottom w:val="0"/>
          <w:divBdr>
            <w:top w:val="none" w:sz="0" w:space="0" w:color="auto"/>
            <w:left w:val="none" w:sz="0" w:space="0" w:color="auto"/>
            <w:bottom w:val="none" w:sz="0" w:space="0" w:color="auto"/>
            <w:right w:val="none" w:sz="0" w:space="0" w:color="auto"/>
          </w:divBdr>
        </w:div>
        <w:div w:id="1688822874">
          <w:marLeft w:val="640"/>
          <w:marRight w:val="0"/>
          <w:marTop w:val="0"/>
          <w:marBottom w:val="0"/>
          <w:divBdr>
            <w:top w:val="none" w:sz="0" w:space="0" w:color="auto"/>
            <w:left w:val="none" w:sz="0" w:space="0" w:color="auto"/>
            <w:bottom w:val="none" w:sz="0" w:space="0" w:color="auto"/>
            <w:right w:val="none" w:sz="0" w:space="0" w:color="auto"/>
          </w:divBdr>
        </w:div>
        <w:div w:id="214204248">
          <w:marLeft w:val="640"/>
          <w:marRight w:val="0"/>
          <w:marTop w:val="0"/>
          <w:marBottom w:val="0"/>
          <w:divBdr>
            <w:top w:val="none" w:sz="0" w:space="0" w:color="auto"/>
            <w:left w:val="none" w:sz="0" w:space="0" w:color="auto"/>
            <w:bottom w:val="none" w:sz="0" w:space="0" w:color="auto"/>
            <w:right w:val="none" w:sz="0" w:space="0" w:color="auto"/>
          </w:divBdr>
        </w:div>
        <w:div w:id="1054041189">
          <w:marLeft w:val="640"/>
          <w:marRight w:val="0"/>
          <w:marTop w:val="0"/>
          <w:marBottom w:val="0"/>
          <w:divBdr>
            <w:top w:val="none" w:sz="0" w:space="0" w:color="auto"/>
            <w:left w:val="none" w:sz="0" w:space="0" w:color="auto"/>
            <w:bottom w:val="none" w:sz="0" w:space="0" w:color="auto"/>
            <w:right w:val="none" w:sz="0" w:space="0" w:color="auto"/>
          </w:divBdr>
        </w:div>
        <w:div w:id="1387413297">
          <w:marLeft w:val="640"/>
          <w:marRight w:val="0"/>
          <w:marTop w:val="0"/>
          <w:marBottom w:val="0"/>
          <w:divBdr>
            <w:top w:val="none" w:sz="0" w:space="0" w:color="auto"/>
            <w:left w:val="none" w:sz="0" w:space="0" w:color="auto"/>
            <w:bottom w:val="none" w:sz="0" w:space="0" w:color="auto"/>
            <w:right w:val="none" w:sz="0" w:space="0" w:color="auto"/>
          </w:divBdr>
        </w:div>
        <w:div w:id="359934584">
          <w:marLeft w:val="640"/>
          <w:marRight w:val="0"/>
          <w:marTop w:val="0"/>
          <w:marBottom w:val="0"/>
          <w:divBdr>
            <w:top w:val="none" w:sz="0" w:space="0" w:color="auto"/>
            <w:left w:val="none" w:sz="0" w:space="0" w:color="auto"/>
            <w:bottom w:val="none" w:sz="0" w:space="0" w:color="auto"/>
            <w:right w:val="none" w:sz="0" w:space="0" w:color="auto"/>
          </w:divBdr>
        </w:div>
        <w:div w:id="296377524">
          <w:marLeft w:val="640"/>
          <w:marRight w:val="0"/>
          <w:marTop w:val="0"/>
          <w:marBottom w:val="0"/>
          <w:divBdr>
            <w:top w:val="none" w:sz="0" w:space="0" w:color="auto"/>
            <w:left w:val="none" w:sz="0" w:space="0" w:color="auto"/>
            <w:bottom w:val="none" w:sz="0" w:space="0" w:color="auto"/>
            <w:right w:val="none" w:sz="0" w:space="0" w:color="auto"/>
          </w:divBdr>
        </w:div>
        <w:div w:id="887642275">
          <w:marLeft w:val="640"/>
          <w:marRight w:val="0"/>
          <w:marTop w:val="0"/>
          <w:marBottom w:val="0"/>
          <w:divBdr>
            <w:top w:val="none" w:sz="0" w:space="0" w:color="auto"/>
            <w:left w:val="none" w:sz="0" w:space="0" w:color="auto"/>
            <w:bottom w:val="none" w:sz="0" w:space="0" w:color="auto"/>
            <w:right w:val="none" w:sz="0" w:space="0" w:color="auto"/>
          </w:divBdr>
        </w:div>
        <w:div w:id="502474278">
          <w:marLeft w:val="640"/>
          <w:marRight w:val="0"/>
          <w:marTop w:val="0"/>
          <w:marBottom w:val="0"/>
          <w:divBdr>
            <w:top w:val="none" w:sz="0" w:space="0" w:color="auto"/>
            <w:left w:val="none" w:sz="0" w:space="0" w:color="auto"/>
            <w:bottom w:val="none" w:sz="0" w:space="0" w:color="auto"/>
            <w:right w:val="none" w:sz="0" w:space="0" w:color="auto"/>
          </w:divBdr>
        </w:div>
        <w:div w:id="2033258255">
          <w:marLeft w:val="640"/>
          <w:marRight w:val="0"/>
          <w:marTop w:val="0"/>
          <w:marBottom w:val="0"/>
          <w:divBdr>
            <w:top w:val="none" w:sz="0" w:space="0" w:color="auto"/>
            <w:left w:val="none" w:sz="0" w:space="0" w:color="auto"/>
            <w:bottom w:val="none" w:sz="0" w:space="0" w:color="auto"/>
            <w:right w:val="none" w:sz="0" w:space="0" w:color="auto"/>
          </w:divBdr>
        </w:div>
        <w:div w:id="1219365482">
          <w:marLeft w:val="640"/>
          <w:marRight w:val="0"/>
          <w:marTop w:val="0"/>
          <w:marBottom w:val="0"/>
          <w:divBdr>
            <w:top w:val="none" w:sz="0" w:space="0" w:color="auto"/>
            <w:left w:val="none" w:sz="0" w:space="0" w:color="auto"/>
            <w:bottom w:val="none" w:sz="0" w:space="0" w:color="auto"/>
            <w:right w:val="none" w:sz="0" w:space="0" w:color="auto"/>
          </w:divBdr>
        </w:div>
        <w:div w:id="1636526097">
          <w:marLeft w:val="640"/>
          <w:marRight w:val="0"/>
          <w:marTop w:val="0"/>
          <w:marBottom w:val="0"/>
          <w:divBdr>
            <w:top w:val="none" w:sz="0" w:space="0" w:color="auto"/>
            <w:left w:val="none" w:sz="0" w:space="0" w:color="auto"/>
            <w:bottom w:val="none" w:sz="0" w:space="0" w:color="auto"/>
            <w:right w:val="none" w:sz="0" w:space="0" w:color="auto"/>
          </w:divBdr>
        </w:div>
        <w:div w:id="1469201735">
          <w:marLeft w:val="640"/>
          <w:marRight w:val="0"/>
          <w:marTop w:val="0"/>
          <w:marBottom w:val="0"/>
          <w:divBdr>
            <w:top w:val="none" w:sz="0" w:space="0" w:color="auto"/>
            <w:left w:val="none" w:sz="0" w:space="0" w:color="auto"/>
            <w:bottom w:val="none" w:sz="0" w:space="0" w:color="auto"/>
            <w:right w:val="none" w:sz="0" w:space="0" w:color="auto"/>
          </w:divBdr>
        </w:div>
        <w:div w:id="1472791449">
          <w:marLeft w:val="640"/>
          <w:marRight w:val="0"/>
          <w:marTop w:val="0"/>
          <w:marBottom w:val="0"/>
          <w:divBdr>
            <w:top w:val="none" w:sz="0" w:space="0" w:color="auto"/>
            <w:left w:val="none" w:sz="0" w:space="0" w:color="auto"/>
            <w:bottom w:val="none" w:sz="0" w:space="0" w:color="auto"/>
            <w:right w:val="none" w:sz="0" w:space="0" w:color="auto"/>
          </w:divBdr>
        </w:div>
        <w:div w:id="1994140635">
          <w:marLeft w:val="640"/>
          <w:marRight w:val="0"/>
          <w:marTop w:val="0"/>
          <w:marBottom w:val="0"/>
          <w:divBdr>
            <w:top w:val="none" w:sz="0" w:space="0" w:color="auto"/>
            <w:left w:val="none" w:sz="0" w:space="0" w:color="auto"/>
            <w:bottom w:val="none" w:sz="0" w:space="0" w:color="auto"/>
            <w:right w:val="none" w:sz="0" w:space="0" w:color="auto"/>
          </w:divBdr>
        </w:div>
        <w:div w:id="1135099977">
          <w:marLeft w:val="640"/>
          <w:marRight w:val="0"/>
          <w:marTop w:val="0"/>
          <w:marBottom w:val="0"/>
          <w:divBdr>
            <w:top w:val="none" w:sz="0" w:space="0" w:color="auto"/>
            <w:left w:val="none" w:sz="0" w:space="0" w:color="auto"/>
            <w:bottom w:val="none" w:sz="0" w:space="0" w:color="auto"/>
            <w:right w:val="none" w:sz="0" w:space="0" w:color="auto"/>
          </w:divBdr>
        </w:div>
        <w:div w:id="849956147">
          <w:marLeft w:val="640"/>
          <w:marRight w:val="0"/>
          <w:marTop w:val="0"/>
          <w:marBottom w:val="0"/>
          <w:divBdr>
            <w:top w:val="none" w:sz="0" w:space="0" w:color="auto"/>
            <w:left w:val="none" w:sz="0" w:space="0" w:color="auto"/>
            <w:bottom w:val="none" w:sz="0" w:space="0" w:color="auto"/>
            <w:right w:val="none" w:sz="0" w:space="0" w:color="auto"/>
          </w:divBdr>
        </w:div>
        <w:div w:id="1402019235">
          <w:marLeft w:val="640"/>
          <w:marRight w:val="0"/>
          <w:marTop w:val="0"/>
          <w:marBottom w:val="0"/>
          <w:divBdr>
            <w:top w:val="none" w:sz="0" w:space="0" w:color="auto"/>
            <w:left w:val="none" w:sz="0" w:space="0" w:color="auto"/>
            <w:bottom w:val="none" w:sz="0" w:space="0" w:color="auto"/>
            <w:right w:val="none" w:sz="0" w:space="0" w:color="auto"/>
          </w:divBdr>
        </w:div>
        <w:div w:id="1402295269">
          <w:marLeft w:val="640"/>
          <w:marRight w:val="0"/>
          <w:marTop w:val="0"/>
          <w:marBottom w:val="0"/>
          <w:divBdr>
            <w:top w:val="none" w:sz="0" w:space="0" w:color="auto"/>
            <w:left w:val="none" w:sz="0" w:space="0" w:color="auto"/>
            <w:bottom w:val="none" w:sz="0" w:space="0" w:color="auto"/>
            <w:right w:val="none" w:sz="0" w:space="0" w:color="auto"/>
          </w:divBdr>
        </w:div>
        <w:div w:id="1812283934">
          <w:marLeft w:val="640"/>
          <w:marRight w:val="0"/>
          <w:marTop w:val="0"/>
          <w:marBottom w:val="0"/>
          <w:divBdr>
            <w:top w:val="none" w:sz="0" w:space="0" w:color="auto"/>
            <w:left w:val="none" w:sz="0" w:space="0" w:color="auto"/>
            <w:bottom w:val="none" w:sz="0" w:space="0" w:color="auto"/>
            <w:right w:val="none" w:sz="0" w:space="0" w:color="auto"/>
          </w:divBdr>
        </w:div>
        <w:div w:id="104540786">
          <w:marLeft w:val="640"/>
          <w:marRight w:val="0"/>
          <w:marTop w:val="0"/>
          <w:marBottom w:val="0"/>
          <w:divBdr>
            <w:top w:val="none" w:sz="0" w:space="0" w:color="auto"/>
            <w:left w:val="none" w:sz="0" w:space="0" w:color="auto"/>
            <w:bottom w:val="none" w:sz="0" w:space="0" w:color="auto"/>
            <w:right w:val="none" w:sz="0" w:space="0" w:color="auto"/>
          </w:divBdr>
        </w:div>
        <w:div w:id="990058593">
          <w:marLeft w:val="640"/>
          <w:marRight w:val="0"/>
          <w:marTop w:val="0"/>
          <w:marBottom w:val="0"/>
          <w:divBdr>
            <w:top w:val="none" w:sz="0" w:space="0" w:color="auto"/>
            <w:left w:val="none" w:sz="0" w:space="0" w:color="auto"/>
            <w:bottom w:val="none" w:sz="0" w:space="0" w:color="auto"/>
            <w:right w:val="none" w:sz="0" w:space="0" w:color="auto"/>
          </w:divBdr>
        </w:div>
        <w:div w:id="488981906">
          <w:marLeft w:val="640"/>
          <w:marRight w:val="0"/>
          <w:marTop w:val="0"/>
          <w:marBottom w:val="0"/>
          <w:divBdr>
            <w:top w:val="none" w:sz="0" w:space="0" w:color="auto"/>
            <w:left w:val="none" w:sz="0" w:space="0" w:color="auto"/>
            <w:bottom w:val="none" w:sz="0" w:space="0" w:color="auto"/>
            <w:right w:val="none" w:sz="0" w:space="0" w:color="auto"/>
          </w:divBdr>
        </w:div>
        <w:div w:id="306324007">
          <w:marLeft w:val="640"/>
          <w:marRight w:val="0"/>
          <w:marTop w:val="0"/>
          <w:marBottom w:val="0"/>
          <w:divBdr>
            <w:top w:val="none" w:sz="0" w:space="0" w:color="auto"/>
            <w:left w:val="none" w:sz="0" w:space="0" w:color="auto"/>
            <w:bottom w:val="none" w:sz="0" w:space="0" w:color="auto"/>
            <w:right w:val="none" w:sz="0" w:space="0" w:color="auto"/>
          </w:divBdr>
        </w:div>
        <w:div w:id="563100817">
          <w:marLeft w:val="640"/>
          <w:marRight w:val="0"/>
          <w:marTop w:val="0"/>
          <w:marBottom w:val="0"/>
          <w:divBdr>
            <w:top w:val="none" w:sz="0" w:space="0" w:color="auto"/>
            <w:left w:val="none" w:sz="0" w:space="0" w:color="auto"/>
            <w:bottom w:val="none" w:sz="0" w:space="0" w:color="auto"/>
            <w:right w:val="none" w:sz="0" w:space="0" w:color="auto"/>
          </w:divBdr>
        </w:div>
        <w:div w:id="490803396">
          <w:marLeft w:val="640"/>
          <w:marRight w:val="0"/>
          <w:marTop w:val="0"/>
          <w:marBottom w:val="0"/>
          <w:divBdr>
            <w:top w:val="none" w:sz="0" w:space="0" w:color="auto"/>
            <w:left w:val="none" w:sz="0" w:space="0" w:color="auto"/>
            <w:bottom w:val="none" w:sz="0" w:space="0" w:color="auto"/>
            <w:right w:val="none" w:sz="0" w:space="0" w:color="auto"/>
          </w:divBdr>
        </w:div>
        <w:div w:id="1698240224">
          <w:marLeft w:val="640"/>
          <w:marRight w:val="0"/>
          <w:marTop w:val="0"/>
          <w:marBottom w:val="0"/>
          <w:divBdr>
            <w:top w:val="none" w:sz="0" w:space="0" w:color="auto"/>
            <w:left w:val="none" w:sz="0" w:space="0" w:color="auto"/>
            <w:bottom w:val="none" w:sz="0" w:space="0" w:color="auto"/>
            <w:right w:val="none" w:sz="0" w:space="0" w:color="auto"/>
          </w:divBdr>
        </w:div>
        <w:div w:id="1174957443">
          <w:marLeft w:val="640"/>
          <w:marRight w:val="0"/>
          <w:marTop w:val="0"/>
          <w:marBottom w:val="0"/>
          <w:divBdr>
            <w:top w:val="none" w:sz="0" w:space="0" w:color="auto"/>
            <w:left w:val="none" w:sz="0" w:space="0" w:color="auto"/>
            <w:bottom w:val="none" w:sz="0" w:space="0" w:color="auto"/>
            <w:right w:val="none" w:sz="0" w:space="0" w:color="auto"/>
          </w:divBdr>
        </w:div>
        <w:div w:id="1248729746">
          <w:marLeft w:val="640"/>
          <w:marRight w:val="0"/>
          <w:marTop w:val="0"/>
          <w:marBottom w:val="0"/>
          <w:divBdr>
            <w:top w:val="none" w:sz="0" w:space="0" w:color="auto"/>
            <w:left w:val="none" w:sz="0" w:space="0" w:color="auto"/>
            <w:bottom w:val="none" w:sz="0" w:space="0" w:color="auto"/>
            <w:right w:val="none" w:sz="0" w:space="0" w:color="auto"/>
          </w:divBdr>
        </w:div>
        <w:div w:id="260795174">
          <w:marLeft w:val="640"/>
          <w:marRight w:val="0"/>
          <w:marTop w:val="0"/>
          <w:marBottom w:val="0"/>
          <w:divBdr>
            <w:top w:val="none" w:sz="0" w:space="0" w:color="auto"/>
            <w:left w:val="none" w:sz="0" w:space="0" w:color="auto"/>
            <w:bottom w:val="none" w:sz="0" w:space="0" w:color="auto"/>
            <w:right w:val="none" w:sz="0" w:space="0" w:color="auto"/>
          </w:divBdr>
        </w:div>
        <w:div w:id="90007038">
          <w:marLeft w:val="640"/>
          <w:marRight w:val="0"/>
          <w:marTop w:val="0"/>
          <w:marBottom w:val="0"/>
          <w:divBdr>
            <w:top w:val="none" w:sz="0" w:space="0" w:color="auto"/>
            <w:left w:val="none" w:sz="0" w:space="0" w:color="auto"/>
            <w:bottom w:val="none" w:sz="0" w:space="0" w:color="auto"/>
            <w:right w:val="none" w:sz="0" w:space="0" w:color="auto"/>
          </w:divBdr>
        </w:div>
        <w:div w:id="803499405">
          <w:marLeft w:val="640"/>
          <w:marRight w:val="0"/>
          <w:marTop w:val="0"/>
          <w:marBottom w:val="0"/>
          <w:divBdr>
            <w:top w:val="none" w:sz="0" w:space="0" w:color="auto"/>
            <w:left w:val="none" w:sz="0" w:space="0" w:color="auto"/>
            <w:bottom w:val="none" w:sz="0" w:space="0" w:color="auto"/>
            <w:right w:val="none" w:sz="0" w:space="0" w:color="auto"/>
          </w:divBdr>
        </w:div>
        <w:div w:id="621766519">
          <w:marLeft w:val="640"/>
          <w:marRight w:val="0"/>
          <w:marTop w:val="0"/>
          <w:marBottom w:val="0"/>
          <w:divBdr>
            <w:top w:val="none" w:sz="0" w:space="0" w:color="auto"/>
            <w:left w:val="none" w:sz="0" w:space="0" w:color="auto"/>
            <w:bottom w:val="none" w:sz="0" w:space="0" w:color="auto"/>
            <w:right w:val="none" w:sz="0" w:space="0" w:color="auto"/>
          </w:divBdr>
        </w:div>
        <w:div w:id="280233984">
          <w:marLeft w:val="640"/>
          <w:marRight w:val="0"/>
          <w:marTop w:val="0"/>
          <w:marBottom w:val="0"/>
          <w:divBdr>
            <w:top w:val="none" w:sz="0" w:space="0" w:color="auto"/>
            <w:left w:val="none" w:sz="0" w:space="0" w:color="auto"/>
            <w:bottom w:val="none" w:sz="0" w:space="0" w:color="auto"/>
            <w:right w:val="none" w:sz="0" w:space="0" w:color="auto"/>
          </w:divBdr>
        </w:div>
        <w:div w:id="1983777856">
          <w:marLeft w:val="640"/>
          <w:marRight w:val="0"/>
          <w:marTop w:val="0"/>
          <w:marBottom w:val="0"/>
          <w:divBdr>
            <w:top w:val="none" w:sz="0" w:space="0" w:color="auto"/>
            <w:left w:val="none" w:sz="0" w:space="0" w:color="auto"/>
            <w:bottom w:val="none" w:sz="0" w:space="0" w:color="auto"/>
            <w:right w:val="none" w:sz="0" w:space="0" w:color="auto"/>
          </w:divBdr>
        </w:div>
        <w:div w:id="1871138102">
          <w:marLeft w:val="640"/>
          <w:marRight w:val="0"/>
          <w:marTop w:val="0"/>
          <w:marBottom w:val="0"/>
          <w:divBdr>
            <w:top w:val="none" w:sz="0" w:space="0" w:color="auto"/>
            <w:left w:val="none" w:sz="0" w:space="0" w:color="auto"/>
            <w:bottom w:val="none" w:sz="0" w:space="0" w:color="auto"/>
            <w:right w:val="none" w:sz="0" w:space="0" w:color="auto"/>
          </w:divBdr>
        </w:div>
        <w:div w:id="320811862">
          <w:marLeft w:val="640"/>
          <w:marRight w:val="0"/>
          <w:marTop w:val="0"/>
          <w:marBottom w:val="0"/>
          <w:divBdr>
            <w:top w:val="none" w:sz="0" w:space="0" w:color="auto"/>
            <w:left w:val="none" w:sz="0" w:space="0" w:color="auto"/>
            <w:bottom w:val="none" w:sz="0" w:space="0" w:color="auto"/>
            <w:right w:val="none" w:sz="0" w:space="0" w:color="auto"/>
          </w:divBdr>
        </w:div>
        <w:div w:id="814100199">
          <w:marLeft w:val="640"/>
          <w:marRight w:val="0"/>
          <w:marTop w:val="0"/>
          <w:marBottom w:val="0"/>
          <w:divBdr>
            <w:top w:val="none" w:sz="0" w:space="0" w:color="auto"/>
            <w:left w:val="none" w:sz="0" w:space="0" w:color="auto"/>
            <w:bottom w:val="none" w:sz="0" w:space="0" w:color="auto"/>
            <w:right w:val="none" w:sz="0" w:space="0" w:color="auto"/>
          </w:divBdr>
        </w:div>
        <w:div w:id="1496842895">
          <w:marLeft w:val="640"/>
          <w:marRight w:val="0"/>
          <w:marTop w:val="0"/>
          <w:marBottom w:val="0"/>
          <w:divBdr>
            <w:top w:val="none" w:sz="0" w:space="0" w:color="auto"/>
            <w:left w:val="none" w:sz="0" w:space="0" w:color="auto"/>
            <w:bottom w:val="none" w:sz="0" w:space="0" w:color="auto"/>
            <w:right w:val="none" w:sz="0" w:space="0" w:color="auto"/>
          </w:divBdr>
        </w:div>
        <w:div w:id="825130900">
          <w:marLeft w:val="640"/>
          <w:marRight w:val="0"/>
          <w:marTop w:val="0"/>
          <w:marBottom w:val="0"/>
          <w:divBdr>
            <w:top w:val="none" w:sz="0" w:space="0" w:color="auto"/>
            <w:left w:val="none" w:sz="0" w:space="0" w:color="auto"/>
            <w:bottom w:val="none" w:sz="0" w:space="0" w:color="auto"/>
            <w:right w:val="none" w:sz="0" w:space="0" w:color="auto"/>
          </w:divBdr>
        </w:div>
        <w:div w:id="483544169">
          <w:marLeft w:val="640"/>
          <w:marRight w:val="0"/>
          <w:marTop w:val="0"/>
          <w:marBottom w:val="0"/>
          <w:divBdr>
            <w:top w:val="none" w:sz="0" w:space="0" w:color="auto"/>
            <w:left w:val="none" w:sz="0" w:space="0" w:color="auto"/>
            <w:bottom w:val="none" w:sz="0" w:space="0" w:color="auto"/>
            <w:right w:val="none" w:sz="0" w:space="0" w:color="auto"/>
          </w:divBdr>
        </w:div>
        <w:div w:id="592317905">
          <w:marLeft w:val="640"/>
          <w:marRight w:val="0"/>
          <w:marTop w:val="0"/>
          <w:marBottom w:val="0"/>
          <w:divBdr>
            <w:top w:val="none" w:sz="0" w:space="0" w:color="auto"/>
            <w:left w:val="none" w:sz="0" w:space="0" w:color="auto"/>
            <w:bottom w:val="none" w:sz="0" w:space="0" w:color="auto"/>
            <w:right w:val="none" w:sz="0" w:space="0" w:color="auto"/>
          </w:divBdr>
        </w:div>
        <w:div w:id="218368249">
          <w:marLeft w:val="640"/>
          <w:marRight w:val="0"/>
          <w:marTop w:val="0"/>
          <w:marBottom w:val="0"/>
          <w:divBdr>
            <w:top w:val="none" w:sz="0" w:space="0" w:color="auto"/>
            <w:left w:val="none" w:sz="0" w:space="0" w:color="auto"/>
            <w:bottom w:val="none" w:sz="0" w:space="0" w:color="auto"/>
            <w:right w:val="none" w:sz="0" w:space="0" w:color="auto"/>
          </w:divBdr>
        </w:div>
        <w:div w:id="1610698868">
          <w:marLeft w:val="640"/>
          <w:marRight w:val="0"/>
          <w:marTop w:val="0"/>
          <w:marBottom w:val="0"/>
          <w:divBdr>
            <w:top w:val="none" w:sz="0" w:space="0" w:color="auto"/>
            <w:left w:val="none" w:sz="0" w:space="0" w:color="auto"/>
            <w:bottom w:val="none" w:sz="0" w:space="0" w:color="auto"/>
            <w:right w:val="none" w:sz="0" w:space="0" w:color="auto"/>
          </w:divBdr>
        </w:div>
        <w:div w:id="688603060">
          <w:marLeft w:val="640"/>
          <w:marRight w:val="0"/>
          <w:marTop w:val="0"/>
          <w:marBottom w:val="0"/>
          <w:divBdr>
            <w:top w:val="none" w:sz="0" w:space="0" w:color="auto"/>
            <w:left w:val="none" w:sz="0" w:space="0" w:color="auto"/>
            <w:bottom w:val="none" w:sz="0" w:space="0" w:color="auto"/>
            <w:right w:val="none" w:sz="0" w:space="0" w:color="auto"/>
          </w:divBdr>
        </w:div>
        <w:div w:id="1179931520">
          <w:marLeft w:val="640"/>
          <w:marRight w:val="0"/>
          <w:marTop w:val="0"/>
          <w:marBottom w:val="0"/>
          <w:divBdr>
            <w:top w:val="none" w:sz="0" w:space="0" w:color="auto"/>
            <w:left w:val="none" w:sz="0" w:space="0" w:color="auto"/>
            <w:bottom w:val="none" w:sz="0" w:space="0" w:color="auto"/>
            <w:right w:val="none" w:sz="0" w:space="0" w:color="auto"/>
          </w:divBdr>
        </w:div>
        <w:div w:id="1228952778">
          <w:marLeft w:val="640"/>
          <w:marRight w:val="0"/>
          <w:marTop w:val="0"/>
          <w:marBottom w:val="0"/>
          <w:divBdr>
            <w:top w:val="none" w:sz="0" w:space="0" w:color="auto"/>
            <w:left w:val="none" w:sz="0" w:space="0" w:color="auto"/>
            <w:bottom w:val="none" w:sz="0" w:space="0" w:color="auto"/>
            <w:right w:val="none" w:sz="0" w:space="0" w:color="auto"/>
          </w:divBdr>
        </w:div>
        <w:div w:id="42147016">
          <w:marLeft w:val="640"/>
          <w:marRight w:val="0"/>
          <w:marTop w:val="0"/>
          <w:marBottom w:val="0"/>
          <w:divBdr>
            <w:top w:val="none" w:sz="0" w:space="0" w:color="auto"/>
            <w:left w:val="none" w:sz="0" w:space="0" w:color="auto"/>
            <w:bottom w:val="none" w:sz="0" w:space="0" w:color="auto"/>
            <w:right w:val="none" w:sz="0" w:space="0" w:color="auto"/>
          </w:divBdr>
        </w:div>
        <w:div w:id="749619225">
          <w:marLeft w:val="640"/>
          <w:marRight w:val="0"/>
          <w:marTop w:val="0"/>
          <w:marBottom w:val="0"/>
          <w:divBdr>
            <w:top w:val="none" w:sz="0" w:space="0" w:color="auto"/>
            <w:left w:val="none" w:sz="0" w:space="0" w:color="auto"/>
            <w:bottom w:val="none" w:sz="0" w:space="0" w:color="auto"/>
            <w:right w:val="none" w:sz="0" w:space="0" w:color="auto"/>
          </w:divBdr>
        </w:div>
        <w:div w:id="1727876444">
          <w:marLeft w:val="640"/>
          <w:marRight w:val="0"/>
          <w:marTop w:val="0"/>
          <w:marBottom w:val="0"/>
          <w:divBdr>
            <w:top w:val="none" w:sz="0" w:space="0" w:color="auto"/>
            <w:left w:val="none" w:sz="0" w:space="0" w:color="auto"/>
            <w:bottom w:val="none" w:sz="0" w:space="0" w:color="auto"/>
            <w:right w:val="none" w:sz="0" w:space="0" w:color="auto"/>
          </w:divBdr>
        </w:div>
        <w:div w:id="2042440285">
          <w:marLeft w:val="640"/>
          <w:marRight w:val="0"/>
          <w:marTop w:val="0"/>
          <w:marBottom w:val="0"/>
          <w:divBdr>
            <w:top w:val="none" w:sz="0" w:space="0" w:color="auto"/>
            <w:left w:val="none" w:sz="0" w:space="0" w:color="auto"/>
            <w:bottom w:val="none" w:sz="0" w:space="0" w:color="auto"/>
            <w:right w:val="none" w:sz="0" w:space="0" w:color="auto"/>
          </w:divBdr>
        </w:div>
        <w:div w:id="1047491459">
          <w:marLeft w:val="640"/>
          <w:marRight w:val="0"/>
          <w:marTop w:val="0"/>
          <w:marBottom w:val="0"/>
          <w:divBdr>
            <w:top w:val="none" w:sz="0" w:space="0" w:color="auto"/>
            <w:left w:val="none" w:sz="0" w:space="0" w:color="auto"/>
            <w:bottom w:val="none" w:sz="0" w:space="0" w:color="auto"/>
            <w:right w:val="none" w:sz="0" w:space="0" w:color="auto"/>
          </w:divBdr>
        </w:div>
        <w:div w:id="1651522774">
          <w:marLeft w:val="640"/>
          <w:marRight w:val="0"/>
          <w:marTop w:val="0"/>
          <w:marBottom w:val="0"/>
          <w:divBdr>
            <w:top w:val="none" w:sz="0" w:space="0" w:color="auto"/>
            <w:left w:val="none" w:sz="0" w:space="0" w:color="auto"/>
            <w:bottom w:val="none" w:sz="0" w:space="0" w:color="auto"/>
            <w:right w:val="none" w:sz="0" w:space="0" w:color="auto"/>
          </w:divBdr>
        </w:div>
        <w:div w:id="1446927884">
          <w:marLeft w:val="640"/>
          <w:marRight w:val="0"/>
          <w:marTop w:val="0"/>
          <w:marBottom w:val="0"/>
          <w:divBdr>
            <w:top w:val="none" w:sz="0" w:space="0" w:color="auto"/>
            <w:left w:val="none" w:sz="0" w:space="0" w:color="auto"/>
            <w:bottom w:val="none" w:sz="0" w:space="0" w:color="auto"/>
            <w:right w:val="none" w:sz="0" w:space="0" w:color="auto"/>
          </w:divBdr>
        </w:div>
        <w:div w:id="1056783715">
          <w:marLeft w:val="640"/>
          <w:marRight w:val="0"/>
          <w:marTop w:val="0"/>
          <w:marBottom w:val="0"/>
          <w:divBdr>
            <w:top w:val="none" w:sz="0" w:space="0" w:color="auto"/>
            <w:left w:val="none" w:sz="0" w:space="0" w:color="auto"/>
            <w:bottom w:val="none" w:sz="0" w:space="0" w:color="auto"/>
            <w:right w:val="none" w:sz="0" w:space="0" w:color="auto"/>
          </w:divBdr>
        </w:div>
        <w:div w:id="1272937709">
          <w:marLeft w:val="640"/>
          <w:marRight w:val="0"/>
          <w:marTop w:val="0"/>
          <w:marBottom w:val="0"/>
          <w:divBdr>
            <w:top w:val="none" w:sz="0" w:space="0" w:color="auto"/>
            <w:left w:val="none" w:sz="0" w:space="0" w:color="auto"/>
            <w:bottom w:val="none" w:sz="0" w:space="0" w:color="auto"/>
            <w:right w:val="none" w:sz="0" w:space="0" w:color="auto"/>
          </w:divBdr>
        </w:div>
        <w:div w:id="1085028832">
          <w:marLeft w:val="640"/>
          <w:marRight w:val="0"/>
          <w:marTop w:val="0"/>
          <w:marBottom w:val="0"/>
          <w:divBdr>
            <w:top w:val="none" w:sz="0" w:space="0" w:color="auto"/>
            <w:left w:val="none" w:sz="0" w:space="0" w:color="auto"/>
            <w:bottom w:val="none" w:sz="0" w:space="0" w:color="auto"/>
            <w:right w:val="none" w:sz="0" w:space="0" w:color="auto"/>
          </w:divBdr>
        </w:div>
        <w:div w:id="321934721">
          <w:marLeft w:val="640"/>
          <w:marRight w:val="0"/>
          <w:marTop w:val="0"/>
          <w:marBottom w:val="0"/>
          <w:divBdr>
            <w:top w:val="none" w:sz="0" w:space="0" w:color="auto"/>
            <w:left w:val="none" w:sz="0" w:space="0" w:color="auto"/>
            <w:bottom w:val="none" w:sz="0" w:space="0" w:color="auto"/>
            <w:right w:val="none" w:sz="0" w:space="0" w:color="auto"/>
          </w:divBdr>
        </w:div>
        <w:div w:id="369764262">
          <w:marLeft w:val="640"/>
          <w:marRight w:val="0"/>
          <w:marTop w:val="0"/>
          <w:marBottom w:val="0"/>
          <w:divBdr>
            <w:top w:val="none" w:sz="0" w:space="0" w:color="auto"/>
            <w:left w:val="none" w:sz="0" w:space="0" w:color="auto"/>
            <w:bottom w:val="none" w:sz="0" w:space="0" w:color="auto"/>
            <w:right w:val="none" w:sz="0" w:space="0" w:color="auto"/>
          </w:divBdr>
        </w:div>
        <w:div w:id="1171870801">
          <w:marLeft w:val="640"/>
          <w:marRight w:val="0"/>
          <w:marTop w:val="0"/>
          <w:marBottom w:val="0"/>
          <w:divBdr>
            <w:top w:val="none" w:sz="0" w:space="0" w:color="auto"/>
            <w:left w:val="none" w:sz="0" w:space="0" w:color="auto"/>
            <w:bottom w:val="none" w:sz="0" w:space="0" w:color="auto"/>
            <w:right w:val="none" w:sz="0" w:space="0" w:color="auto"/>
          </w:divBdr>
        </w:div>
        <w:div w:id="1503819786">
          <w:marLeft w:val="640"/>
          <w:marRight w:val="0"/>
          <w:marTop w:val="0"/>
          <w:marBottom w:val="0"/>
          <w:divBdr>
            <w:top w:val="none" w:sz="0" w:space="0" w:color="auto"/>
            <w:left w:val="none" w:sz="0" w:space="0" w:color="auto"/>
            <w:bottom w:val="none" w:sz="0" w:space="0" w:color="auto"/>
            <w:right w:val="none" w:sz="0" w:space="0" w:color="auto"/>
          </w:divBdr>
        </w:div>
        <w:div w:id="275211293">
          <w:marLeft w:val="640"/>
          <w:marRight w:val="0"/>
          <w:marTop w:val="0"/>
          <w:marBottom w:val="0"/>
          <w:divBdr>
            <w:top w:val="none" w:sz="0" w:space="0" w:color="auto"/>
            <w:left w:val="none" w:sz="0" w:space="0" w:color="auto"/>
            <w:bottom w:val="none" w:sz="0" w:space="0" w:color="auto"/>
            <w:right w:val="none" w:sz="0" w:space="0" w:color="auto"/>
          </w:divBdr>
        </w:div>
        <w:div w:id="1743068276">
          <w:marLeft w:val="640"/>
          <w:marRight w:val="0"/>
          <w:marTop w:val="0"/>
          <w:marBottom w:val="0"/>
          <w:divBdr>
            <w:top w:val="none" w:sz="0" w:space="0" w:color="auto"/>
            <w:left w:val="none" w:sz="0" w:space="0" w:color="auto"/>
            <w:bottom w:val="none" w:sz="0" w:space="0" w:color="auto"/>
            <w:right w:val="none" w:sz="0" w:space="0" w:color="auto"/>
          </w:divBdr>
        </w:div>
        <w:div w:id="1760056634">
          <w:marLeft w:val="640"/>
          <w:marRight w:val="0"/>
          <w:marTop w:val="0"/>
          <w:marBottom w:val="0"/>
          <w:divBdr>
            <w:top w:val="none" w:sz="0" w:space="0" w:color="auto"/>
            <w:left w:val="none" w:sz="0" w:space="0" w:color="auto"/>
            <w:bottom w:val="none" w:sz="0" w:space="0" w:color="auto"/>
            <w:right w:val="none" w:sz="0" w:space="0" w:color="auto"/>
          </w:divBdr>
        </w:div>
        <w:div w:id="1647736441">
          <w:marLeft w:val="640"/>
          <w:marRight w:val="0"/>
          <w:marTop w:val="0"/>
          <w:marBottom w:val="0"/>
          <w:divBdr>
            <w:top w:val="none" w:sz="0" w:space="0" w:color="auto"/>
            <w:left w:val="none" w:sz="0" w:space="0" w:color="auto"/>
            <w:bottom w:val="none" w:sz="0" w:space="0" w:color="auto"/>
            <w:right w:val="none" w:sz="0" w:space="0" w:color="auto"/>
          </w:divBdr>
        </w:div>
        <w:div w:id="1312715562">
          <w:marLeft w:val="640"/>
          <w:marRight w:val="0"/>
          <w:marTop w:val="0"/>
          <w:marBottom w:val="0"/>
          <w:divBdr>
            <w:top w:val="none" w:sz="0" w:space="0" w:color="auto"/>
            <w:left w:val="none" w:sz="0" w:space="0" w:color="auto"/>
            <w:bottom w:val="none" w:sz="0" w:space="0" w:color="auto"/>
            <w:right w:val="none" w:sz="0" w:space="0" w:color="auto"/>
          </w:divBdr>
        </w:div>
        <w:div w:id="759525790">
          <w:marLeft w:val="640"/>
          <w:marRight w:val="0"/>
          <w:marTop w:val="0"/>
          <w:marBottom w:val="0"/>
          <w:divBdr>
            <w:top w:val="none" w:sz="0" w:space="0" w:color="auto"/>
            <w:left w:val="none" w:sz="0" w:space="0" w:color="auto"/>
            <w:bottom w:val="none" w:sz="0" w:space="0" w:color="auto"/>
            <w:right w:val="none" w:sz="0" w:space="0" w:color="auto"/>
          </w:divBdr>
        </w:div>
        <w:div w:id="1810630302">
          <w:marLeft w:val="640"/>
          <w:marRight w:val="0"/>
          <w:marTop w:val="0"/>
          <w:marBottom w:val="0"/>
          <w:divBdr>
            <w:top w:val="none" w:sz="0" w:space="0" w:color="auto"/>
            <w:left w:val="none" w:sz="0" w:space="0" w:color="auto"/>
            <w:bottom w:val="none" w:sz="0" w:space="0" w:color="auto"/>
            <w:right w:val="none" w:sz="0" w:space="0" w:color="auto"/>
          </w:divBdr>
        </w:div>
        <w:div w:id="713890568">
          <w:marLeft w:val="640"/>
          <w:marRight w:val="0"/>
          <w:marTop w:val="0"/>
          <w:marBottom w:val="0"/>
          <w:divBdr>
            <w:top w:val="none" w:sz="0" w:space="0" w:color="auto"/>
            <w:left w:val="none" w:sz="0" w:space="0" w:color="auto"/>
            <w:bottom w:val="none" w:sz="0" w:space="0" w:color="auto"/>
            <w:right w:val="none" w:sz="0" w:space="0" w:color="auto"/>
          </w:divBdr>
        </w:div>
        <w:div w:id="1582838168">
          <w:marLeft w:val="640"/>
          <w:marRight w:val="0"/>
          <w:marTop w:val="0"/>
          <w:marBottom w:val="0"/>
          <w:divBdr>
            <w:top w:val="none" w:sz="0" w:space="0" w:color="auto"/>
            <w:left w:val="none" w:sz="0" w:space="0" w:color="auto"/>
            <w:bottom w:val="none" w:sz="0" w:space="0" w:color="auto"/>
            <w:right w:val="none" w:sz="0" w:space="0" w:color="auto"/>
          </w:divBdr>
        </w:div>
        <w:div w:id="805657749">
          <w:marLeft w:val="640"/>
          <w:marRight w:val="0"/>
          <w:marTop w:val="0"/>
          <w:marBottom w:val="0"/>
          <w:divBdr>
            <w:top w:val="none" w:sz="0" w:space="0" w:color="auto"/>
            <w:left w:val="none" w:sz="0" w:space="0" w:color="auto"/>
            <w:bottom w:val="none" w:sz="0" w:space="0" w:color="auto"/>
            <w:right w:val="none" w:sz="0" w:space="0" w:color="auto"/>
          </w:divBdr>
        </w:div>
        <w:div w:id="162478759">
          <w:marLeft w:val="640"/>
          <w:marRight w:val="0"/>
          <w:marTop w:val="0"/>
          <w:marBottom w:val="0"/>
          <w:divBdr>
            <w:top w:val="none" w:sz="0" w:space="0" w:color="auto"/>
            <w:left w:val="none" w:sz="0" w:space="0" w:color="auto"/>
            <w:bottom w:val="none" w:sz="0" w:space="0" w:color="auto"/>
            <w:right w:val="none" w:sz="0" w:space="0" w:color="auto"/>
          </w:divBdr>
        </w:div>
        <w:div w:id="359401878">
          <w:marLeft w:val="640"/>
          <w:marRight w:val="0"/>
          <w:marTop w:val="0"/>
          <w:marBottom w:val="0"/>
          <w:divBdr>
            <w:top w:val="none" w:sz="0" w:space="0" w:color="auto"/>
            <w:left w:val="none" w:sz="0" w:space="0" w:color="auto"/>
            <w:bottom w:val="none" w:sz="0" w:space="0" w:color="auto"/>
            <w:right w:val="none" w:sz="0" w:space="0" w:color="auto"/>
          </w:divBdr>
        </w:div>
        <w:div w:id="223955832">
          <w:marLeft w:val="640"/>
          <w:marRight w:val="0"/>
          <w:marTop w:val="0"/>
          <w:marBottom w:val="0"/>
          <w:divBdr>
            <w:top w:val="none" w:sz="0" w:space="0" w:color="auto"/>
            <w:left w:val="none" w:sz="0" w:space="0" w:color="auto"/>
            <w:bottom w:val="none" w:sz="0" w:space="0" w:color="auto"/>
            <w:right w:val="none" w:sz="0" w:space="0" w:color="auto"/>
          </w:divBdr>
        </w:div>
        <w:div w:id="1123696498">
          <w:marLeft w:val="640"/>
          <w:marRight w:val="0"/>
          <w:marTop w:val="0"/>
          <w:marBottom w:val="0"/>
          <w:divBdr>
            <w:top w:val="none" w:sz="0" w:space="0" w:color="auto"/>
            <w:left w:val="none" w:sz="0" w:space="0" w:color="auto"/>
            <w:bottom w:val="none" w:sz="0" w:space="0" w:color="auto"/>
            <w:right w:val="none" w:sz="0" w:space="0" w:color="auto"/>
          </w:divBdr>
        </w:div>
        <w:div w:id="1065756248">
          <w:marLeft w:val="640"/>
          <w:marRight w:val="0"/>
          <w:marTop w:val="0"/>
          <w:marBottom w:val="0"/>
          <w:divBdr>
            <w:top w:val="none" w:sz="0" w:space="0" w:color="auto"/>
            <w:left w:val="none" w:sz="0" w:space="0" w:color="auto"/>
            <w:bottom w:val="none" w:sz="0" w:space="0" w:color="auto"/>
            <w:right w:val="none" w:sz="0" w:space="0" w:color="auto"/>
          </w:divBdr>
        </w:div>
        <w:div w:id="744569202">
          <w:marLeft w:val="640"/>
          <w:marRight w:val="0"/>
          <w:marTop w:val="0"/>
          <w:marBottom w:val="0"/>
          <w:divBdr>
            <w:top w:val="none" w:sz="0" w:space="0" w:color="auto"/>
            <w:left w:val="none" w:sz="0" w:space="0" w:color="auto"/>
            <w:bottom w:val="none" w:sz="0" w:space="0" w:color="auto"/>
            <w:right w:val="none" w:sz="0" w:space="0" w:color="auto"/>
          </w:divBdr>
        </w:div>
        <w:div w:id="183174140">
          <w:marLeft w:val="640"/>
          <w:marRight w:val="0"/>
          <w:marTop w:val="0"/>
          <w:marBottom w:val="0"/>
          <w:divBdr>
            <w:top w:val="none" w:sz="0" w:space="0" w:color="auto"/>
            <w:left w:val="none" w:sz="0" w:space="0" w:color="auto"/>
            <w:bottom w:val="none" w:sz="0" w:space="0" w:color="auto"/>
            <w:right w:val="none" w:sz="0" w:space="0" w:color="auto"/>
          </w:divBdr>
        </w:div>
        <w:div w:id="624123509">
          <w:marLeft w:val="640"/>
          <w:marRight w:val="0"/>
          <w:marTop w:val="0"/>
          <w:marBottom w:val="0"/>
          <w:divBdr>
            <w:top w:val="none" w:sz="0" w:space="0" w:color="auto"/>
            <w:left w:val="none" w:sz="0" w:space="0" w:color="auto"/>
            <w:bottom w:val="none" w:sz="0" w:space="0" w:color="auto"/>
            <w:right w:val="none" w:sz="0" w:space="0" w:color="auto"/>
          </w:divBdr>
        </w:div>
        <w:div w:id="1008018517">
          <w:marLeft w:val="640"/>
          <w:marRight w:val="0"/>
          <w:marTop w:val="0"/>
          <w:marBottom w:val="0"/>
          <w:divBdr>
            <w:top w:val="none" w:sz="0" w:space="0" w:color="auto"/>
            <w:left w:val="none" w:sz="0" w:space="0" w:color="auto"/>
            <w:bottom w:val="none" w:sz="0" w:space="0" w:color="auto"/>
            <w:right w:val="none" w:sz="0" w:space="0" w:color="auto"/>
          </w:divBdr>
        </w:div>
        <w:div w:id="740906960">
          <w:marLeft w:val="640"/>
          <w:marRight w:val="0"/>
          <w:marTop w:val="0"/>
          <w:marBottom w:val="0"/>
          <w:divBdr>
            <w:top w:val="none" w:sz="0" w:space="0" w:color="auto"/>
            <w:left w:val="none" w:sz="0" w:space="0" w:color="auto"/>
            <w:bottom w:val="none" w:sz="0" w:space="0" w:color="auto"/>
            <w:right w:val="none" w:sz="0" w:space="0" w:color="auto"/>
          </w:divBdr>
        </w:div>
        <w:div w:id="566913885">
          <w:marLeft w:val="640"/>
          <w:marRight w:val="0"/>
          <w:marTop w:val="0"/>
          <w:marBottom w:val="0"/>
          <w:divBdr>
            <w:top w:val="none" w:sz="0" w:space="0" w:color="auto"/>
            <w:left w:val="none" w:sz="0" w:space="0" w:color="auto"/>
            <w:bottom w:val="none" w:sz="0" w:space="0" w:color="auto"/>
            <w:right w:val="none" w:sz="0" w:space="0" w:color="auto"/>
          </w:divBdr>
        </w:div>
        <w:div w:id="1553078090">
          <w:marLeft w:val="640"/>
          <w:marRight w:val="0"/>
          <w:marTop w:val="0"/>
          <w:marBottom w:val="0"/>
          <w:divBdr>
            <w:top w:val="none" w:sz="0" w:space="0" w:color="auto"/>
            <w:left w:val="none" w:sz="0" w:space="0" w:color="auto"/>
            <w:bottom w:val="none" w:sz="0" w:space="0" w:color="auto"/>
            <w:right w:val="none" w:sz="0" w:space="0" w:color="auto"/>
          </w:divBdr>
        </w:div>
        <w:div w:id="1738745533">
          <w:marLeft w:val="640"/>
          <w:marRight w:val="0"/>
          <w:marTop w:val="0"/>
          <w:marBottom w:val="0"/>
          <w:divBdr>
            <w:top w:val="none" w:sz="0" w:space="0" w:color="auto"/>
            <w:left w:val="none" w:sz="0" w:space="0" w:color="auto"/>
            <w:bottom w:val="none" w:sz="0" w:space="0" w:color="auto"/>
            <w:right w:val="none" w:sz="0" w:space="0" w:color="auto"/>
          </w:divBdr>
        </w:div>
        <w:div w:id="365102895">
          <w:marLeft w:val="640"/>
          <w:marRight w:val="0"/>
          <w:marTop w:val="0"/>
          <w:marBottom w:val="0"/>
          <w:divBdr>
            <w:top w:val="none" w:sz="0" w:space="0" w:color="auto"/>
            <w:left w:val="none" w:sz="0" w:space="0" w:color="auto"/>
            <w:bottom w:val="none" w:sz="0" w:space="0" w:color="auto"/>
            <w:right w:val="none" w:sz="0" w:space="0" w:color="auto"/>
          </w:divBdr>
        </w:div>
        <w:div w:id="49039696">
          <w:marLeft w:val="640"/>
          <w:marRight w:val="0"/>
          <w:marTop w:val="0"/>
          <w:marBottom w:val="0"/>
          <w:divBdr>
            <w:top w:val="none" w:sz="0" w:space="0" w:color="auto"/>
            <w:left w:val="none" w:sz="0" w:space="0" w:color="auto"/>
            <w:bottom w:val="none" w:sz="0" w:space="0" w:color="auto"/>
            <w:right w:val="none" w:sz="0" w:space="0" w:color="auto"/>
          </w:divBdr>
        </w:div>
        <w:div w:id="198669314">
          <w:marLeft w:val="640"/>
          <w:marRight w:val="0"/>
          <w:marTop w:val="0"/>
          <w:marBottom w:val="0"/>
          <w:divBdr>
            <w:top w:val="none" w:sz="0" w:space="0" w:color="auto"/>
            <w:left w:val="none" w:sz="0" w:space="0" w:color="auto"/>
            <w:bottom w:val="none" w:sz="0" w:space="0" w:color="auto"/>
            <w:right w:val="none" w:sz="0" w:space="0" w:color="auto"/>
          </w:divBdr>
        </w:div>
        <w:div w:id="1815222562">
          <w:marLeft w:val="640"/>
          <w:marRight w:val="0"/>
          <w:marTop w:val="0"/>
          <w:marBottom w:val="0"/>
          <w:divBdr>
            <w:top w:val="none" w:sz="0" w:space="0" w:color="auto"/>
            <w:left w:val="none" w:sz="0" w:space="0" w:color="auto"/>
            <w:bottom w:val="none" w:sz="0" w:space="0" w:color="auto"/>
            <w:right w:val="none" w:sz="0" w:space="0" w:color="auto"/>
          </w:divBdr>
        </w:div>
        <w:div w:id="778531363">
          <w:marLeft w:val="640"/>
          <w:marRight w:val="0"/>
          <w:marTop w:val="0"/>
          <w:marBottom w:val="0"/>
          <w:divBdr>
            <w:top w:val="none" w:sz="0" w:space="0" w:color="auto"/>
            <w:left w:val="none" w:sz="0" w:space="0" w:color="auto"/>
            <w:bottom w:val="none" w:sz="0" w:space="0" w:color="auto"/>
            <w:right w:val="none" w:sz="0" w:space="0" w:color="auto"/>
          </w:divBdr>
        </w:div>
        <w:div w:id="589705109">
          <w:marLeft w:val="640"/>
          <w:marRight w:val="0"/>
          <w:marTop w:val="0"/>
          <w:marBottom w:val="0"/>
          <w:divBdr>
            <w:top w:val="none" w:sz="0" w:space="0" w:color="auto"/>
            <w:left w:val="none" w:sz="0" w:space="0" w:color="auto"/>
            <w:bottom w:val="none" w:sz="0" w:space="0" w:color="auto"/>
            <w:right w:val="none" w:sz="0" w:space="0" w:color="auto"/>
          </w:divBdr>
        </w:div>
        <w:div w:id="2020739508">
          <w:marLeft w:val="640"/>
          <w:marRight w:val="0"/>
          <w:marTop w:val="0"/>
          <w:marBottom w:val="0"/>
          <w:divBdr>
            <w:top w:val="none" w:sz="0" w:space="0" w:color="auto"/>
            <w:left w:val="none" w:sz="0" w:space="0" w:color="auto"/>
            <w:bottom w:val="none" w:sz="0" w:space="0" w:color="auto"/>
            <w:right w:val="none" w:sz="0" w:space="0" w:color="auto"/>
          </w:divBdr>
        </w:div>
        <w:div w:id="908812519">
          <w:marLeft w:val="640"/>
          <w:marRight w:val="0"/>
          <w:marTop w:val="0"/>
          <w:marBottom w:val="0"/>
          <w:divBdr>
            <w:top w:val="none" w:sz="0" w:space="0" w:color="auto"/>
            <w:left w:val="none" w:sz="0" w:space="0" w:color="auto"/>
            <w:bottom w:val="none" w:sz="0" w:space="0" w:color="auto"/>
            <w:right w:val="none" w:sz="0" w:space="0" w:color="auto"/>
          </w:divBdr>
        </w:div>
        <w:div w:id="66540176">
          <w:marLeft w:val="640"/>
          <w:marRight w:val="0"/>
          <w:marTop w:val="0"/>
          <w:marBottom w:val="0"/>
          <w:divBdr>
            <w:top w:val="none" w:sz="0" w:space="0" w:color="auto"/>
            <w:left w:val="none" w:sz="0" w:space="0" w:color="auto"/>
            <w:bottom w:val="none" w:sz="0" w:space="0" w:color="auto"/>
            <w:right w:val="none" w:sz="0" w:space="0" w:color="auto"/>
          </w:divBdr>
        </w:div>
        <w:div w:id="931282234">
          <w:marLeft w:val="640"/>
          <w:marRight w:val="0"/>
          <w:marTop w:val="0"/>
          <w:marBottom w:val="0"/>
          <w:divBdr>
            <w:top w:val="none" w:sz="0" w:space="0" w:color="auto"/>
            <w:left w:val="none" w:sz="0" w:space="0" w:color="auto"/>
            <w:bottom w:val="none" w:sz="0" w:space="0" w:color="auto"/>
            <w:right w:val="none" w:sz="0" w:space="0" w:color="auto"/>
          </w:divBdr>
        </w:div>
        <w:div w:id="1765105172">
          <w:marLeft w:val="640"/>
          <w:marRight w:val="0"/>
          <w:marTop w:val="0"/>
          <w:marBottom w:val="0"/>
          <w:divBdr>
            <w:top w:val="none" w:sz="0" w:space="0" w:color="auto"/>
            <w:left w:val="none" w:sz="0" w:space="0" w:color="auto"/>
            <w:bottom w:val="none" w:sz="0" w:space="0" w:color="auto"/>
            <w:right w:val="none" w:sz="0" w:space="0" w:color="auto"/>
          </w:divBdr>
        </w:div>
        <w:div w:id="767044676">
          <w:marLeft w:val="640"/>
          <w:marRight w:val="0"/>
          <w:marTop w:val="0"/>
          <w:marBottom w:val="0"/>
          <w:divBdr>
            <w:top w:val="none" w:sz="0" w:space="0" w:color="auto"/>
            <w:left w:val="none" w:sz="0" w:space="0" w:color="auto"/>
            <w:bottom w:val="none" w:sz="0" w:space="0" w:color="auto"/>
            <w:right w:val="none" w:sz="0" w:space="0" w:color="auto"/>
          </w:divBdr>
        </w:div>
        <w:div w:id="1022707898">
          <w:marLeft w:val="640"/>
          <w:marRight w:val="0"/>
          <w:marTop w:val="0"/>
          <w:marBottom w:val="0"/>
          <w:divBdr>
            <w:top w:val="none" w:sz="0" w:space="0" w:color="auto"/>
            <w:left w:val="none" w:sz="0" w:space="0" w:color="auto"/>
            <w:bottom w:val="none" w:sz="0" w:space="0" w:color="auto"/>
            <w:right w:val="none" w:sz="0" w:space="0" w:color="auto"/>
          </w:divBdr>
        </w:div>
        <w:div w:id="909731188">
          <w:marLeft w:val="640"/>
          <w:marRight w:val="0"/>
          <w:marTop w:val="0"/>
          <w:marBottom w:val="0"/>
          <w:divBdr>
            <w:top w:val="none" w:sz="0" w:space="0" w:color="auto"/>
            <w:left w:val="none" w:sz="0" w:space="0" w:color="auto"/>
            <w:bottom w:val="none" w:sz="0" w:space="0" w:color="auto"/>
            <w:right w:val="none" w:sz="0" w:space="0" w:color="auto"/>
          </w:divBdr>
        </w:div>
        <w:div w:id="278145758">
          <w:marLeft w:val="640"/>
          <w:marRight w:val="0"/>
          <w:marTop w:val="0"/>
          <w:marBottom w:val="0"/>
          <w:divBdr>
            <w:top w:val="none" w:sz="0" w:space="0" w:color="auto"/>
            <w:left w:val="none" w:sz="0" w:space="0" w:color="auto"/>
            <w:bottom w:val="none" w:sz="0" w:space="0" w:color="auto"/>
            <w:right w:val="none" w:sz="0" w:space="0" w:color="auto"/>
          </w:divBdr>
        </w:div>
        <w:div w:id="973098903">
          <w:marLeft w:val="640"/>
          <w:marRight w:val="0"/>
          <w:marTop w:val="0"/>
          <w:marBottom w:val="0"/>
          <w:divBdr>
            <w:top w:val="none" w:sz="0" w:space="0" w:color="auto"/>
            <w:left w:val="none" w:sz="0" w:space="0" w:color="auto"/>
            <w:bottom w:val="none" w:sz="0" w:space="0" w:color="auto"/>
            <w:right w:val="none" w:sz="0" w:space="0" w:color="auto"/>
          </w:divBdr>
        </w:div>
        <w:div w:id="1241478356">
          <w:marLeft w:val="640"/>
          <w:marRight w:val="0"/>
          <w:marTop w:val="0"/>
          <w:marBottom w:val="0"/>
          <w:divBdr>
            <w:top w:val="none" w:sz="0" w:space="0" w:color="auto"/>
            <w:left w:val="none" w:sz="0" w:space="0" w:color="auto"/>
            <w:bottom w:val="none" w:sz="0" w:space="0" w:color="auto"/>
            <w:right w:val="none" w:sz="0" w:space="0" w:color="auto"/>
          </w:divBdr>
        </w:div>
        <w:div w:id="1279143277">
          <w:marLeft w:val="640"/>
          <w:marRight w:val="0"/>
          <w:marTop w:val="0"/>
          <w:marBottom w:val="0"/>
          <w:divBdr>
            <w:top w:val="none" w:sz="0" w:space="0" w:color="auto"/>
            <w:left w:val="none" w:sz="0" w:space="0" w:color="auto"/>
            <w:bottom w:val="none" w:sz="0" w:space="0" w:color="auto"/>
            <w:right w:val="none" w:sz="0" w:space="0" w:color="auto"/>
          </w:divBdr>
        </w:div>
        <w:div w:id="22899913">
          <w:marLeft w:val="640"/>
          <w:marRight w:val="0"/>
          <w:marTop w:val="0"/>
          <w:marBottom w:val="0"/>
          <w:divBdr>
            <w:top w:val="none" w:sz="0" w:space="0" w:color="auto"/>
            <w:left w:val="none" w:sz="0" w:space="0" w:color="auto"/>
            <w:bottom w:val="none" w:sz="0" w:space="0" w:color="auto"/>
            <w:right w:val="none" w:sz="0" w:space="0" w:color="auto"/>
          </w:divBdr>
        </w:div>
        <w:div w:id="1388725217">
          <w:marLeft w:val="640"/>
          <w:marRight w:val="0"/>
          <w:marTop w:val="0"/>
          <w:marBottom w:val="0"/>
          <w:divBdr>
            <w:top w:val="none" w:sz="0" w:space="0" w:color="auto"/>
            <w:left w:val="none" w:sz="0" w:space="0" w:color="auto"/>
            <w:bottom w:val="none" w:sz="0" w:space="0" w:color="auto"/>
            <w:right w:val="none" w:sz="0" w:space="0" w:color="auto"/>
          </w:divBdr>
        </w:div>
        <w:div w:id="645356859">
          <w:marLeft w:val="640"/>
          <w:marRight w:val="0"/>
          <w:marTop w:val="0"/>
          <w:marBottom w:val="0"/>
          <w:divBdr>
            <w:top w:val="none" w:sz="0" w:space="0" w:color="auto"/>
            <w:left w:val="none" w:sz="0" w:space="0" w:color="auto"/>
            <w:bottom w:val="none" w:sz="0" w:space="0" w:color="auto"/>
            <w:right w:val="none" w:sz="0" w:space="0" w:color="auto"/>
          </w:divBdr>
        </w:div>
        <w:div w:id="481431034">
          <w:marLeft w:val="640"/>
          <w:marRight w:val="0"/>
          <w:marTop w:val="0"/>
          <w:marBottom w:val="0"/>
          <w:divBdr>
            <w:top w:val="none" w:sz="0" w:space="0" w:color="auto"/>
            <w:left w:val="none" w:sz="0" w:space="0" w:color="auto"/>
            <w:bottom w:val="none" w:sz="0" w:space="0" w:color="auto"/>
            <w:right w:val="none" w:sz="0" w:space="0" w:color="auto"/>
          </w:divBdr>
        </w:div>
        <w:div w:id="1908688320">
          <w:marLeft w:val="640"/>
          <w:marRight w:val="0"/>
          <w:marTop w:val="0"/>
          <w:marBottom w:val="0"/>
          <w:divBdr>
            <w:top w:val="none" w:sz="0" w:space="0" w:color="auto"/>
            <w:left w:val="none" w:sz="0" w:space="0" w:color="auto"/>
            <w:bottom w:val="none" w:sz="0" w:space="0" w:color="auto"/>
            <w:right w:val="none" w:sz="0" w:space="0" w:color="auto"/>
          </w:divBdr>
        </w:div>
        <w:div w:id="1562986761">
          <w:marLeft w:val="640"/>
          <w:marRight w:val="0"/>
          <w:marTop w:val="0"/>
          <w:marBottom w:val="0"/>
          <w:divBdr>
            <w:top w:val="none" w:sz="0" w:space="0" w:color="auto"/>
            <w:left w:val="none" w:sz="0" w:space="0" w:color="auto"/>
            <w:bottom w:val="none" w:sz="0" w:space="0" w:color="auto"/>
            <w:right w:val="none" w:sz="0" w:space="0" w:color="auto"/>
          </w:divBdr>
        </w:div>
        <w:div w:id="1365447519">
          <w:marLeft w:val="640"/>
          <w:marRight w:val="0"/>
          <w:marTop w:val="0"/>
          <w:marBottom w:val="0"/>
          <w:divBdr>
            <w:top w:val="none" w:sz="0" w:space="0" w:color="auto"/>
            <w:left w:val="none" w:sz="0" w:space="0" w:color="auto"/>
            <w:bottom w:val="none" w:sz="0" w:space="0" w:color="auto"/>
            <w:right w:val="none" w:sz="0" w:space="0" w:color="auto"/>
          </w:divBdr>
        </w:div>
        <w:div w:id="680740443">
          <w:marLeft w:val="640"/>
          <w:marRight w:val="0"/>
          <w:marTop w:val="0"/>
          <w:marBottom w:val="0"/>
          <w:divBdr>
            <w:top w:val="none" w:sz="0" w:space="0" w:color="auto"/>
            <w:left w:val="none" w:sz="0" w:space="0" w:color="auto"/>
            <w:bottom w:val="none" w:sz="0" w:space="0" w:color="auto"/>
            <w:right w:val="none" w:sz="0" w:space="0" w:color="auto"/>
          </w:divBdr>
        </w:div>
        <w:div w:id="311914074">
          <w:marLeft w:val="640"/>
          <w:marRight w:val="0"/>
          <w:marTop w:val="0"/>
          <w:marBottom w:val="0"/>
          <w:divBdr>
            <w:top w:val="none" w:sz="0" w:space="0" w:color="auto"/>
            <w:left w:val="none" w:sz="0" w:space="0" w:color="auto"/>
            <w:bottom w:val="none" w:sz="0" w:space="0" w:color="auto"/>
            <w:right w:val="none" w:sz="0" w:space="0" w:color="auto"/>
          </w:divBdr>
        </w:div>
        <w:div w:id="2043943843">
          <w:marLeft w:val="640"/>
          <w:marRight w:val="0"/>
          <w:marTop w:val="0"/>
          <w:marBottom w:val="0"/>
          <w:divBdr>
            <w:top w:val="none" w:sz="0" w:space="0" w:color="auto"/>
            <w:left w:val="none" w:sz="0" w:space="0" w:color="auto"/>
            <w:bottom w:val="none" w:sz="0" w:space="0" w:color="auto"/>
            <w:right w:val="none" w:sz="0" w:space="0" w:color="auto"/>
          </w:divBdr>
        </w:div>
        <w:div w:id="1791632141">
          <w:marLeft w:val="640"/>
          <w:marRight w:val="0"/>
          <w:marTop w:val="0"/>
          <w:marBottom w:val="0"/>
          <w:divBdr>
            <w:top w:val="none" w:sz="0" w:space="0" w:color="auto"/>
            <w:left w:val="none" w:sz="0" w:space="0" w:color="auto"/>
            <w:bottom w:val="none" w:sz="0" w:space="0" w:color="auto"/>
            <w:right w:val="none" w:sz="0" w:space="0" w:color="auto"/>
          </w:divBdr>
        </w:div>
        <w:div w:id="1992129737">
          <w:marLeft w:val="640"/>
          <w:marRight w:val="0"/>
          <w:marTop w:val="0"/>
          <w:marBottom w:val="0"/>
          <w:divBdr>
            <w:top w:val="none" w:sz="0" w:space="0" w:color="auto"/>
            <w:left w:val="none" w:sz="0" w:space="0" w:color="auto"/>
            <w:bottom w:val="none" w:sz="0" w:space="0" w:color="auto"/>
            <w:right w:val="none" w:sz="0" w:space="0" w:color="auto"/>
          </w:divBdr>
        </w:div>
        <w:div w:id="501315556">
          <w:marLeft w:val="640"/>
          <w:marRight w:val="0"/>
          <w:marTop w:val="0"/>
          <w:marBottom w:val="0"/>
          <w:divBdr>
            <w:top w:val="none" w:sz="0" w:space="0" w:color="auto"/>
            <w:left w:val="none" w:sz="0" w:space="0" w:color="auto"/>
            <w:bottom w:val="none" w:sz="0" w:space="0" w:color="auto"/>
            <w:right w:val="none" w:sz="0" w:space="0" w:color="auto"/>
          </w:divBdr>
        </w:div>
        <w:div w:id="1163425808">
          <w:marLeft w:val="640"/>
          <w:marRight w:val="0"/>
          <w:marTop w:val="0"/>
          <w:marBottom w:val="0"/>
          <w:divBdr>
            <w:top w:val="none" w:sz="0" w:space="0" w:color="auto"/>
            <w:left w:val="none" w:sz="0" w:space="0" w:color="auto"/>
            <w:bottom w:val="none" w:sz="0" w:space="0" w:color="auto"/>
            <w:right w:val="none" w:sz="0" w:space="0" w:color="auto"/>
          </w:divBdr>
        </w:div>
        <w:div w:id="1595627449">
          <w:marLeft w:val="640"/>
          <w:marRight w:val="0"/>
          <w:marTop w:val="0"/>
          <w:marBottom w:val="0"/>
          <w:divBdr>
            <w:top w:val="none" w:sz="0" w:space="0" w:color="auto"/>
            <w:left w:val="none" w:sz="0" w:space="0" w:color="auto"/>
            <w:bottom w:val="none" w:sz="0" w:space="0" w:color="auto"/>
            <w:right w:val="none" w:sz="0" w:space="0" w:color="auto"/>
          </w:divBdr>
        </w:div>
        <w:div w:id="1576277875">
          <w:marLeft w:val="640"/>
          <w:marRight w:val="0"/>
          <w:marTop w:val="0"/>
          <w:marBottom w:val="0"/>
          <w:divBdr>
            <w:top w:val="none" w:sz="0" w:space="0" w:color="auto"/>
            <w:left w:val="none" w:sz="0" w:space="0" w:color="auto"/>
            <w:bottom w:val="none" w:sz="0" w:space="0" w:color="auto"/>
            <w:right w:val="none" w:sz="0" w:space="0" w:color="auto"/>
          </w:divBdr>
        </w:div>
        <w:div w:id="1414201589">
          <w:marLeft w:val="640"/>
          <w:marRight w:val="0"/>
          <w:marTop w:val="0"/>
          <w:marBottom w:val="0"/>
          <w:divBdr>
            <w:top w:val="none" w:sz="0" w:space="0" w:color="auto"/>
            <w:left w:val="none" w:sz="0" w:space="0" w:color="auto"/>
            <w:bottom w:val="none" w:sz="0" w:space="0" w:color="auto"/>
            <w:right w:val="none" w:sz="0" w:space="0" w:color="auto"/>
          </w:divBdr>
        </w:div>
        <w:div w:id="2124110773">
          <w:marLeft w:val="640"/>
          <w:marRight w:val="0"/>
          <w:marTop w:val="0"/>
          <w:marBottom w:val="0"/>
          <w:divBdr>
            <w:top w:val="none" w:sz="0" w:space="0" w:color="auto"/>
            <w:left w:val="none" w:sz="0" w:space="0" w:color="auto"/>
            <w:bottom w:val="none" w:sz="0" w:space="0" w:color="auto"/>
            <w:right w:val="none" w:sz="0" w:space="0" w:color="auto"/>
          </w:divBdr>
        </w:div>
        <w:div w:id="383524922">
          <w:marLeft w:val="640"/>
          <w:marRight w:val="0"/>
          <w:marTop w:val="0"/>
          <w:marBottom w:val="0"/>
          <w:divBdr>
            <w:top w:val="none" w:sz="0" w:space="0" w:color="auto"/>
            <w:left w:val="none" w:sz="0" w:space="0" w:color="auto"/>
            <w:bottom w:val="none" w:sz="0" w:space="0" w:color="auto"/>
            <w:right w:val="none" w:sz="0" w:space="0" w:color="auto"/>
          </w:divBdr>
        </w:div>
        <w:div w:id="492112586">
          <w:marLeft w:val="640"/>
          <w:marRight w:val="0"/>
          <w:marTop w:val="0"/>
          <w:marBottom w:val="0"/>
          <w:divBdr>
            <w:top w:val="none" w:sz="0" w:space="0" w:color="auto"/>
            <w:left w:val="none" w:sz="0" w:space="0" w:color="auto"/>
            <w:bottom w:val="none" w:sz="0" w:space="0" w:color="auto"/>
            <w:right w:val="none" w:sz="0" w:space="0" w:color="auto"/>
          </w:divBdr>
        </w:div>
        <w:div w:id="855579627">
          <w:marLeft w:val="640"/>
          <w:marRight w:val="0"/>
          <w:marTop w:val="0"/>
          <w:marBottom w:val="0"/>
          <w:divBdr>
            <w:top w:val="none" w:sz="0" w:space="0" w:color="auto"/>
            <w:left w:val="none" w:sz="0" w:space="0" w:color="auto"/>
            <w:bottom w:val="none" w:sz="0" w:space="0" w:color="auto"/>
            <w:right w:val="none" w:sz="0" w:space="0" w:color="auto"/>
          </w:divBdr>
        </w:div>
        <w:div w:id="1091387949">
          <w:marLeft w:val="640"/>
          <w:marRight w:val="0"/>
          <w:marTop w:val="0"/>
          <w:marBottom w:val="0"/>
          <w:divBdr>
            <w:top w:val="none" w:sz="0" w:space="0" w:color="auto"/>
            <w:left w:val="none" w:sz="0" w:space="0" w:color="auto"/>
            <w:bottom w:val="none" w:sz="0" w:space="0" w:color="auto"/>
            <w:right w:val="none" w:sz="0" w:space="0" w:color="auto"/>
          </w:divBdr>
        </w:div>
        <w:div w:id="82992607">
          <w:marLeft w:val="640"/>
          <w:marRight w:val="0"/>
          <w:marTop w:val="0"/>
          <w:marBottom w:val="0"/>
          <w:divBdr>
            <w:top w:val="none" w:sz="0" w:space="0" w:color="auto"/>
            <w:left w:val="none" w:sz="0" w:space="0" w:color="auto"/>
            <w:bottom w:val="none" w:sz="0" w:space="0" w:color="auto"/>
            <w:right w:val="none" w:sz="0" w:space="0" w:color="auto"/>
          </w:divBdr>
        </w:div>
        <w:div w:id="178549491">
          <w:marLeft w:val="640"/>
          <w:marRight w:val="0"/>
          <w:marTop w:val="0"/>
          <w:marBottom w:val="0"/>
          <w:divBdr>
            <w:top w:val="none" w:sz="0" w:space="0" w:color="auto"/>
            <w:left w:val="none" w:sz="0" w:space="0" w:color="auto"/>
            <w:bottom w:val="none" w:sz="0" w:space="0" w:color="auto"/>
            <w:right w:val="none" w:sz="0" w:space="0" w:color="auto"/>
          </w:divBdr>
        </w:div>
        <w:div w:id="1945919770">
          <w:marLeft w:val="640"/>
          <w:marRight w:val="0"/>
          <w:marTop w:val="0"/>
          <w:marBottom w:val="0"/>
          <w:divBdr>
            <w:top w:val="none" w:sz="0" w:space="0" w:color="auto"/>
            <w:left w:val="none" w:sz="0" w:space="0" w:color="auto"/>
            <w:bottom w:val="none" w:sz="0" w:space="0" w:color="auto"/>
            <w:right w:val="none" w:sz="0" w:space="0" w:color="auto"/>
          </w:divBdr>
        </w:div>
        <w:div w:id="1920941202">
          <w:marLeft w:val="640"/>
          <w:marRight w:val="0"/>
          <w:marTop w:val="0"/>
          <w:marBottom w:val="0"/>
          <w:divBdr>
            <w:top w:val="none" w:sz="0" w:space="0" w:color="auto"/>
            <w:left w:val="none" w:sz="0" w:space="0" w:color="auto"/>
            <w:bottom w:val="none" w:sz="0" w:space="0" w:color="auto"/>
            <w:right w:val="none" w:sz="0" w:space="0" w:color="auto"/>
          </w:divBdr>
        </w:div>
        <w:div w:id="1808232251">
          <w:marLeft w:val="640"/>
          <w:marRight w:val="0"/>
          <w:marTop w:val="0"/>
          <w:marBottom w:val="0"/>
          <w:divBdr>
            <w:top w:val="none" w:sz="0" w:space="0" w:color="auto"/>
            <w:left w:val="none" w:sz="0" w:space="0" w:color="auto"/>
            <w:bottom w:val="none" w:sz="0" w:space="0" w:color="auto"/>
            <w:right w:val="none" w:sz="0" w:space="0" w:color="auto"/>
          </w:divBdr>
        </w:div>
        <w:div w:id="1484083883">
          <w:marLeft w:val="640"/>
          <w:marRight w:val="0"/>
          <w:marTop w:val="0"/>
          <w:marBottom w:val="0"/>
          <w:divBdr>
            <w:top w:val="none" w:sz="0" w:space="0" w:color="auto"/>
            <w:left w:val="none" w:sz="0" w:space="0" w:color="auto"/>
            <w:bottom w:val="none" w:sz="0" w:space="0" w:color="auto"/>
            <w:right w:val="none" w:sz="0" w:space="0" w:color="auto"/>
          </w:divBdr>
        </w:div>
        <w:div w:id="434518478">
          <w:marLeft w:val="640"/>
          <w:marRight w:val="0"/>
          <w:marTop w:val="0"/>
          <w:marBottom w:val="0"/>
          <w:divBdr>
            <w:top w:val="none" w:sz="0" w:space="0" w:color="auto"/>
            <w:left w:val="none" w:sz="0" w:space="0" w:color="auto"/>
            <w:bottom w:val="none" w:sz="0" w:space="0" w:color="auto"/>
            <w:right w:val="none" w:sz="0" w:space="0" w:color="auto"/>
          </w:divBdr>
        </w:div>
        <w:div w:id="1904876341">
          <w:marLeft w:val="640"/>
          <w:marRight w:val="0"/>
          <w:marTop w:val="0"/>
          <w:marBottom w:val="0"/>
          <w:divBdr>
            <w:top w:val="none" w:sz="0" w:space="0" w:color="auto"/>
            <w:left w:val="none" w:sz="0" w:space="0" w:color="auto"/>
            <w:bottom w:val="none" w:sz="0" w:space="0" w:color="auto"/>
            <w:right w:val="none" w:sz="0" w:space="0" w:color="auto"/>
          </w:divBdr>
        </w:div>
        <w:div w:id="308679606">
          <w:marLeft w:val="640"/>
          <w:marRight w:val="0"/>
          <w:marTop w:val="0"/>
          <w:marBottom w:val="0"/>
          <w:divBdr>
            <w:top w:val="none" w:sz="0" w:space="0" w:color="auto"/>
            <w:left w:val="none" w:sz="0" w:space="0" w:color="auto"/>
            <w:bottom w:val="none" w:sz="0" w:space="0" w:color="auto"/>
            <w:right w:val="none" w:sz="0" w:space="0" w:color="auto"/>
          </w:divBdr>
        </w:div>
        <w:div w:id="578712540">
          <w:marLeft w:val="640"/>
          <w:marRight w:val="0"/>
          <w:marTop w:val="0"/>
          <w:marBottom w:val="0"/>
          <w:divBdr>
            <w:top w:val="none" w:sz="0" w:space="0" w:color="auto"/>
            <w:left w:val="none" w:sz="0" w:space="0" w:color="auto"/>
            <w:bottom w:val="none" w:sz="0" w:space="0" w:color="auto"/>
            <w:right w:val="none" w:sz="0" w:space="0" w:color="auto"/>
          </w:divBdr>
        </w:div>
        <w:div w:id="1128741641">
          <w:marLeft w:val="640"/>
          <w:marRight w:val="0"/>
          <w:marTop w:val="0"/>
          <w:marBottom w:val="0"/>
          <w:divBdr>
            <w:top w:val="none" w:sz="0" w:space="0" w:color="auto"/>
            <w:left w:val="none" w:sz="0" w:space="0" w:color="auto"/>
            <w:bottom w:val="none" w:sz="0" w:space="0" w:color="auto"/>
            <w:right w:val="none" w:sz="0" w:space="0" w:color="auto"/>
          </w:divBdr>
        </w:div>
        <w:div w:id="411511910">
          <w:marLeft w:val="640"/>
          <w:marRight w:val="0"/>
          <w:marTop w:val="0"/>
          <w:marBottom w:val="0"/>
          <w:divBdr>
            <w:top w:val="none" w:sz="0" w:space="0" w:color="auto"/>
            <w:left w:val="none" w:sz="0" w:space="0" w:color="auto"/>
            <w:bottom w:val="none" w:sz="0" w:space="0" w:color="auto"/>
            <w:right w:val="none" w:sz="0" w:space="0" w:color="auto"/>
          </w:divBdr>
        </w:div>
        <w:div w:id="309137090">
          <w:marLeft w:val="640"/>
          <w:marRight w:val="0"/>
          <w:marTop w:val="0"/>
          <w:marBottom w:val="0"/>
          <w:divBdr>
            <w:top w:val="none" w:sz="0" w:space="0" w:color="auto"/>
            <w:left w:val="none" w:sz="0" w:space="0" w:color="auto"/>
            <w:bottom w:val="none" w:sz="0" w:space="0" w:color="auto"/>
            <w:right w:val="none" w:sz="0" w:space="0" w:color="auto"/>
          </w:divBdr>
        </w:div>
        <w:div w:id="1445464111">
          <w:marLeft w:val="640"/>
          <w:marRight w:val="0"/>
          <w:marTop w:val="0"/>
          <w:marBottom w:val="0"/>
          <w:divBdr>
            <w:top w:val="none" w:sz="0" w:space="0" w:color="auto"/>
            <w:left w:val="none" w:sz="0" w:space="0" w:color="auto"/>
            <w:bottom w:val="none" w:sz="0" w:space="0" w:color="auto"/>
            <w:right w:val="none" w:sz="0" w:space="0" w:color="auto"/>
          </w:divBdr>
        </w:div>
        <w:div w:id="156069458">
          <w:marLeft w:val="640"/>
          <w:marRight w:val="0"/>
          <w:marTop w:val="0"/>
          <w:marBottom w:val="0"/>
          <w:divBdr>
            <w:top w:val="none" w:sz="0" w:space="0" w:color="auto"/>
            <w:left w:val="none" w:sz="0" w:space="0" w:color="auto"/>
            <w:bottom w:val="none" w:sz="0" w:space="0" w:color="auto"/>
            <w:right w:val="none" w:sz="0" w:space="0" w:color="auto"/>
          </w:divBdr>
        </w:div>
        <w:div w:id="1267881995">
          <w:marLeft w:val="640"/>
          <w:marRight w:val="0"/>
          <w:marTop w:val="0"/>
          <w:marBottom w:val="0"/>
          <w:divBdr>
            <w:top w:val="none" w:sz="0" w:space="0" w:color="auto"/>
            <w:left w:val="none" w:sz="0" w:space="0" w:color="auto"/>
            <w:bottom w:val="none" w:sz="0" w:space="0" w:color="auto"/>
            <w:right w:val="none" w:sz="0" w:space="0" w:color="auto"/>
          </w:divBdr>
        </w:div>
        <w:div w:id="1559053805">
          <w:marLeft w:val="640"/>
          <w:marRight w:val="0"/>
          <w:marTop w:val="0"/>
          <w:marBottom w:val="0"/>
          <w:divBdr>
            <w:top w:val="none" w:sz="0" w:space="0" w:color="auto"/>
            <w:left w:val="none" w:sz="0" w:space="0" w:color="auto"/>
            <w:bottom w:val="none" w:sz="0" w:space="0" w:color="auto"/>
            <w:right w:val="none" w:sz="0" w:space="0" w:color="auto"/>
          </w:divBdr>
        </w:div>
        <w:div w:id="1712998136">
          <w:marLeft w:val="640"/>
          <w:marRight w:val="0"/>
          <w:marTop w:val="0"/>
          <w:marBottom w:val="0"/>
          <w:divBdr>
            <w:top w:val="none" w:sz="0" w:space="0" w:color="auto"/>
            <w:left w:val="none" w:sz="0" w:space="0" w:color="auto"/>
            <w:bottom w:val="none" w:sz="0" w:space="0" w:color="auto"/>
            <w:right w:val="none" w:sz="0" w:space="0" w:color="auto"/>
          </w:divBdr>
        </w:div>
        <w:div w:id="2003704141">
          <w:marLeft w:val="640"/>
          <w:marRight w:val="0"/>
          <w:marTop w:val="0"/>
          <w:marBottom w:val="0"/>
          <w:divBdr>
            <w:top w:val="none" w:sz="0" w:space="0" w:color="auto"/>
            <w:left w:val="none" w:sz="0" w:space="0" w:color="auto"/>
            <w:bottom w:val="none" w:sz="0" w:space="0" w:color="auto"/>
            <w:right w:val="none" w:sz="0" w:space="0" w:color="auto"/>
          </w:divBdr>
        </w:div>
        <w:div w:id="1937786301">
          <w:marLeft w:val="640"/>
          <w:marRight w:val="0"/>
          <w:marTop w:val="0"/>
          <w:marBottom w:val="0"/>
          <w:divBdr>
            <w:top w:val="none" w:sz="0" w:space="0" w:color="auto"/>
            <w:left w:val="none" w:sz="0" w:space="0" w:color="auto"/>
            <w:bottom w:val="none" w:sz="0" w:space="0" w:color="auto"/>
            <w:right w:val="none" w:sz="0" w:space="0" w:color="auto"/>
          </w:divBdr>
        </w:div>
        <w:div w:id="1614554064">
          <w:marLeft w:val="640"/>
          <w:marRight w:val="0"/>
          <w:marTop w:val="0"/>
          <w:marBottom w:val="0"/>
          <w:divBdr>
            <w:top w:val="none" w:sz="0" w:space="0" w:color="auto"/>
            <w:left w:val="none" w:sz="0" w:space="0" w:color="auto"/>
            <w:bottom w:val="none" w:sz="0" w:space="0" w:color="auto"/>
            <w:right w:val="none" w:sz="0" w:space="0" w:color="auto"/>
          </w:divBdr>
        </w:div>
        <w:div w:id="1621112425">
          <w:marLeft w:val="640"/>
          <w:marRight w:val="0"/>
          <w:marTop w:val="0"/>
          <w:marBottom w:val="0"/>
          <w:divBdr>
            <w:top w:val="none" w:sz="0" w:space="0" w:color="auto"/>
            <w:left w:val="none" w:sz="0" w:space="0" w:color="auto"/>
            <w:bottom w:val="none" w:sz="0" w:space="0" w:color="auto"/>
            <w:right w:val="none" w:sz="0" w:space="0" w:color="auto"/>
          </w:divBdr>
        </w:div>
        <w:div w:id="1304703015">
          <w:marLeft w:val="640"/>
          <w:marRight w:val="0"/>
          <w:marTop w:val="0"/>
          <w:marBottom w:val="0"/>
          <w:divBdr>
            <w:top w:val="none" w:sz="0" w:space="0" w:color="auto"/>
            <w:left w:val="none" w:sz="0" w:space="0" w:color="auto"/>
            <w:bottom w:val="none" w:sz="0" w:space="0" w:color="auto"/>
            <w:right w:val="none" w:sz="0" w:space="0" w:color="auto"/>
          </w:divBdr>
        </w:div>
        <w:div w:id="1809592843">
          <w:marLeft w:val="640"/>
          <w:marRight w:val="0"/>
          <w:marTop w:val="0"/>
          <w:marBottom w:val="0"/>
          <w:divBdr>
            <w:top w:val="none" w:sz="0" w:space="0" w:color="auto"/>
            <w:left w:val="none" w:sz="0" w:space="0" w:color="auto"/>
            <w:bottom w:val="none" w:sz="0" w:space="0" w:color="auto"/>
            <w:right w:val="none" w:sz="0" w:space="0" w:color="auto"/>
          </w:divBdr>
        </w:div>
        <w:div w:id="2081097258">
          <w:marLeft w:val="640"/>
          <w:marRight w:val="0"/>
          <w:marTop w:val="0"/>
          <w:marBottom w:val="0"/>
          <w:divBdr>
            <w:top w:val="none" w:sz="0" w:space="0" w:color="auto"/>
            <w:left w:val="none" w:sz="0" w:space="0" w:color="auto"/>
            <w:bottom w:val="none" w:sz="0" w:space="0" w:color="auto"/>
            <w:right w:val="none" w:sz="0" w:space="0" w:color="auto"/>
          </w:divBdr>
        </w:div>
        <w:div w:id="438528400">
          <w:marLeft w:val="640"/>
          <w:marRight w:val="0"/>
          <w:marTop w:val="0"/>
          <w:marBottom w:val="0"/>
          <w:divBdr>
            <w:top w:val="none" w:sz="0" w:space="0" w:color="auto"/>
            <w:left w:val="none" w:sz="0" w:space="0" w:color="auto"/>
            <w:bottom w:val="none" w:sz="0" w:space="0" w:color="auto"/>
            <w:right w:val="none" w:sz="0" w:space="0" w:color="auto"/>
          </w:divBdr>
        </w:div>
        <w:div w:id="1121269100">
          <w:marLeft w:val="640"/>
          <w:marRight w:val="0"/>
          <w:marTop w:val="0"/>
          <w:marBottom w:val="0"/>
          <w:divBdr>
            <w:top w:val="none" w:sz="0" w:space="0" w:color="auto"/>
            <w:left w:val="none" w:sz="0" w:space="0" w:color="auto"/>
            <w:bottom w:val="none" w:sz="0" w:space="0" w:color="auto"/>
            <w:right w:val="none" w:sz="0" w:space="0" w:color="auto"/>
          </w:divBdr>
        </w:div>
        <w:div w:id="1500659185">
          <w:marLeft w:val="640"/>
          <w:marRight w:val="0"/>
          <w:marTop w:val="0"/>
          <w:marBottom w:val="0"/>
          <w:divBdr>
            <w:top w:val="none" w:sz="0" w:space="0" w:color="auto"/>
            <w:left w:val="none" w:sz="0" w:space="0" w:color="auto"/>
            <w:bottom w:val="none" w:sz="0" w:space="0" w:color="auto"/>
            <w:right w:val="none" w:sz="0" w:space="0" w:color="auto"/>
          </w:divBdr>
        </w:div>
        <w:div w:id="459542935">
          <w:marLeft w:val="640"/>
          <w:marRight w:val="0"/>
          <w:marTop w:val="0"/>
          <w:marBottom w:val="0"/>
          <w:divBdr>
            <w:top w:val="none" w:sz="0" w:space="0" w:color="auto"/>
            <w:left w:val="none" w:sz="0" w:space="0" w:color="auto"/>
            <w:bottom w:val="none" w:sz="0" w:space="0" w:color="auto"/>
            <w:right w:val="none" w:sz="0" w:space="0" w:color="auto"/>
          </w:divBdr>
        </w:div>
        <w:div w:id="1745953631">
          <w:marLeft w:val="640"/>
          <w:marRight w:val="0"/>
          <w:marTop w:val="0"/>
          <w:marBottom w:val="0"/>
          <w:divBdr>
            <w:top w:val="none" w:sz="0" w:space="0" w:color="auto"/>
            <w:left w:val="none" w:sz="0" w:space="0" w:color="auto"/>
            <w:bottom w:val="none" w:sz="0" w:space="0" w:color="auto"/>
            <w:right w:val="none" w:sz="0" w:space="0" w:color="auto"/>
          </w:divBdr>
        </w:div>
        <w:div w:id="1608853513">
          <w:marLeft w:val="640"/>
          <w:marRight w:val="0"/>
          <w:marTop w:val="0"/>
          <w:marBottom w:val="0"/>
          <w:divBdr>
            <w:top w:val="none" w:sz="0" w:space="0" w:color="auto"/>
            <w:left w:val="none" w:sz="0" w:space="0" w:color="auto"/>
            <w:bottom w:val="none" w:sz="0" w:space="0" w:color="auto"/>
            <w:right w:val="none" w:sz="0" w:space="0" w:color="auto"/>
          </w:divBdr>
        </w:div>
        <w:div w:id="1746761214">
          <w:marLeft w:val="640"/>
          <w:marRight w:val="0"/>
          <w:marTop w:val="0"/>
          <w:marBottom w:val="0"/>
          <w:divBdr>
            <w:top w:val="none" w:sz="0" w:space="0" w:color="auto"/>
            <w:left w:val="none" w:sz="0" w:space="0" w:color="auto"/>
            <w:bottom w:val="none" w:sz="0" w:space="0" w:color="auto"/>
            <w:right w:val="none" w:sz="0" w:space="0" w:color="auto"/>
          </w:divBdr>
        </w:div>
        <w:div w:id="1525627457">
          <w:marLeft w:val="640"/>
          <w:marRight w:val="0"/>
          <w:marTop w:val="0"/>
          <w:marBottom w:val="0"/>
          <w:divBdr>
            <w:top w:val="none" w:sz="0" w:space="0" w:color="auto"/>
            <w:left w:val="none" w:sz="0" w:space="0" w:color="auto"/>
            <w:bottom w:val="none" w:sz="0" w:space="0" w:color="auto"/>
            <w:right w:val="none" w:sz="0" w:space="0" w:color="auto"/>
          </w:divBdr>
        </w:div>
        <w:div w:id="70349318">
          <w:marLeft w:val="640"/>
          <w:marRight w:val="0"/>
          <w:marTop w:val="0"/>
          <w:marBottom w:val="0"/>
          <w:divBdr>
            <w:top w:val="none" w:sz="0" w:space="0" w:color="auto"/>
            <w:left w:val="none" w:sz="0" w:space="0" w:color="auto"/>
            <w:bottom w:val="none" w:sz="0" w:space="0" w:color="auto"/>
            <w:right w:val="none" w:sz="0" w:space="0" w:color="auto"/>
          </w:divBdr>
        </w:div>
        <w:div w:id="335151512">
          <w:marLeft w:val="640"/>
          <w:marRight w:val="0"/>
          <w:marTop w:val="0"/>
          <w:marBottom w:val="0"/>
          <w:divBdr>
            <w:top w:val="none" w:sz="0" w:space="0" w:color="auto"/>
            <w:left w:val="none" w:sz="0" w:space="0" w:color="auto"/>
            <w:bottom w:val="none" w:sz="0" w:space="0" w:color="auto"/>
            <w:right w:val="none" w:sz="0" w:space="0" w:color="auto"/>
          </w:divBdr>
        </w:div>
        <w:div w:id="1175459839">
          <w:marLeft w:val="640"/>
          <w:marRight w:val="0"/>
          <w:marTop w:val="0"/>
          <w:marBottom w:val="0"/>
          <w:divBdr>
            <w:top w:val="none" w:sz="0" w:space="0" w:color="auto"/>
            <w:left w:val="none" w:sz="0" w:space="0" w:color="auto"/>
            <w:bottom w:val="none" w:sz="0" w:space="0" w:color="auto"/>
            <w:right w:val="none" w:sz="0" w:space="0" w:color="auto"/>
          </w:divBdr>
        </w:div>
        <w:div w:id="193739596">
          <w:marLeft w:val="640"/>
          <w:marRight w:val="0"/>
          <w:marTop w:val="0"/>
          <w:marBottom w:val="0"/>
          <w:divBdr>
            <w:top w:val="none" w:sz="0" w:space="0" w:color="auto"/>
            <w:left w:val="none" w:sz="0" w:space="0" w:color="auto"/>
            <w:bottom w:val="none" w:sz="0" w:space="0" w:color="auto"/>
            <w:right w:val="none" w:sz="0" w:space="0" w:color="auto"/>
          </w:divBdr>
        </w:div>
        <w:div w:id="1544828539">
          <w:marLeft w:val="640"/>
          <w:marRight w:val="0"/>
          <w:marTop w:val="0"/>
          <w:marBottom w:val="0"/>
          <w:divBdr>
            <w:top w:val="none" w:sz="0" w:space="0" w:color="auto"/>
            <w:left w:val="none" w:sz="0" w:space="0" w:color="auto"/>
            <w:bottom w:val="none" w:sz="0" w:space="0" w:color="auto"/>
            <w:right w:val="none" w:sz="0" w:space="0" w:color="auto"/>
          </w:divBdr>
        </w:div>
        <w:div w:id="228423587">
          <w:marLeft w:val="640"/>
          <w:marRight w:val="0"/>
          <w:marTop w:val="0"/>
          <w:marBottom w:val="0"/>
          <w:divBdr>
            <w:top w:val="none" w:sz="0" w:space="0" w:color="auto"/>
            <w:left w:val="none" w:sz="0" w:space="0" w:color="auto"/>
            <w:bottom w:val="none" w:sz="0" w:space="0" w:color="auto"/>
            <w:right w:val="none" w:sz="0" w:space="0" w:color="auto"/>
          </w:divBdr>
        </w:div>
        <w:div w:id="653073211">
          <w:marLeft w:val="640"/>
          <w:marRight w:val="0"/>
          <w:marTop w:val="0"/>
          <w:marBottom w:val="0"/>
          <w:divBdr>
            <w:top w:val="none" w:sz="0" w:space="0" w:color="auto"/>
            <w:left w:val="none" w:sz="0" w:space="0" w:color="auto"/>
            <w:bottom w:val="none" w:sz="0" w:space="0" w:color="auto"/>
            <w:right w:val="none" w:sz="0" w:space="0" w:color="auto"/>
          </w:divBdr>
        </w:div>
        <w:div w:id="27342418">
          <w:marLeft w:val="640"/>
          <w:marRight w:val="0"/>
          <w:marTop w:val="0"/>
          <w:marBottom w:val="0"/>
          <w:divBdr>
            <w:top w:val="none" w:sz="0" w:space="0" w:color="auto"/>
            <w:left w:val="none" w:sz="0" w:space="0" w:color="auto"/>
            <w:bottom w:val="none" w:sz="0" w:space="0" w:color="auto"/>
            <w:right w:val="none" w:sz="0" w:space="0" w:color="auto"/>
          </w:divBdr>
        </w:div>
        <w:div w:id="889538862">
          <w:marLeft w:val="640"/>
          <w:marRight w:val="0"/>
          <w:marTop w:val="0"/>
          <w:marBottom w:val="0"/>
          <w:divBdr>
            <w:top w:val="none" w:sz="0" w:space="0" w:color="auto"/>
            <w:left w:val="none" w:sz="0" w:space="0" w:color="auto"/>
            <w:bottom w:val="none" w:sz="0" w:space="0" w:color="auto"/>
            <w:right w:val="none" w:sz="0" w:space="0" w:color="auto"/>
          </w:divBdr>
        </w:div>
        <w:div w:id="1941721016">
          <w:marLeft w:val="640"/>
          <w:marRight w:val="0"/>
          <w:marTop w:val="0"/>
          <w:marBottom w:val="0"/>
          <w:divBdr>
            <w:top w:val="none" w:sz="0" w:space="0" w:color="auto"/>
            <w:left w:val="none" w:sz="0" w:space="0" w:color="auto"/>
            <w:bottom w:val="none" w:sz="0" w:space="0" w:color="auto"/>
            <w:right w:val="none" w:sz="0" w:space="0" w:color="auto"/>
          </w:divBdr>
        </w:div>
        <w:div w:id="102464120">
          <w:marLeft w:val="640"/>
          <w:marRight w:val="0"/>
          <w:marTop w:val="0"/>
          <w:marBottom w:val="0"/>
          <w:divBdr>
            <w:top w:val="none" w:sz="0" w:space="0" w:color="auto"/>
            <w:left w:val="none" w:sz="0" w:space="0" w:color="auto"/>
            <w:bottom w:val="none" w:sz="0" w:space="0" w:color="auto"/>
            <w:right w:val="none" w:sz="0" w:space="0" w:color="auto"/>
          </w:divBdr>
        </w:div>
        <w:div w:id="1913200550">
          <w:marLeft w:val="640"/>
          <w:marRight w:val="0"/>
          <w:marTop w:val="0"/>
          <w:marBottom w:val="0"/>
          <w:divBdr>
            <w:top w:val="none" w:sz="0" w:space="0" w:color="auto"/>
            <w:left w:val="none" w:sz="0" w:space="0" w:color="auto"/>
            <w:bottom w:val="none" w:sz="0" w:space="0" w:color="auto"/>
            <w:right w:val="none" w:sz="0" w:space="0" w:color="auto"/>
          </w:divBdr>
        </w:div>
        <w:div w:id="736169686">
          <w:marLeft w:val="640"/>
          <w:marRight w:val="0"/>
          <w:marTop w:val="0"/>
          <w:marBottom w:val="0"/>
          <w:divBdr>
            <w:top w:val="none" w:sz="0" w:space="0" w:color="auto"/>
            <w:left w:val="none" w:sz="0" w:space="0" w:color="auto"/>
            <w:bottom w:val="none" w:sz="0" w:space="0" w:color="auto"/>
            <w:right w:val="none" w:sz="0" w:space="0" w:color="auto"/>
          </w:divBdr>
        </w:div>
        <w:div w:id="1711107270">
          <w:marLeft w:val="640"/>
          <w:marRight w:val="0"/>
          <w:marTop w:val="0"/>
          <w:marBottom w:val="0"/>
          <w:divBdr>
            <w:top w:val="none" w:sz="0" w:space="0" w:color="auto"/>
            <w:left w:val="none" w:sz="0" w:space="0" w:color="auto"/>
            <w:bottom w:val="none" w:sz="0" w:space="0" w:color="auto"/>
            <w:right w:val="none" w:sz="0" w:space="0" w:color="auto"/>
          </w:divBdr>
        </w:div>
        <w:div w:id="183902006">
          <w:marLeft w:val="640"/>
          <w:marRight w:val="0"/>
          <w:marTop w:val="0"/>
          <w:marBottom w:val="0"/>
          <w:divBdr>
            <w:top w:val="none" w:sz="0" w:space="0" w:color="auto"/>
            <w:left w:val="none" w:sz="0" w:space="0" w:color="auto"/>
            <w:bottom w:val="none" w:sz="0" w:space="0" w:color="auto"/>
            <w:right w:val="none" w:sz="0" w:space="0" w:color="auto"/>
          </w:divBdr>
        </w:div>
        <w:div w:id="2123987597">
          <w:marLeft w:val="640"/>
          <w:marRight w:val="0"/>
          <w:marTop w:val="0"/>
          <w:marBottom w:val="0"/>
          <w:divBdr>
            <w:top w:val="none" w:sz="0" w:space="0" w:color="auto"/>
            <w:left w:val="none" w:sz="0" w:space="0" w:color="auto"/>
            <w:bottom w:val="none" w:sz="0" w:space="0" w:color="auto"/>
            <w:right w:val="none" w:sz="0" w:space="0" w:color="auto"/>
          </w:divBdr>
        </w:div>
        <w:div w:id="1449010650">
          <w:marLeft w:val="640"/>
          <w:marRight w:val="0"/>
          <w:marTop w:val="0"/>
          <w:marBottom w:val="0"/>
          <w:divBdr>
            <w:top w:val="none" w:sz="0" w:space="0" w:color="auto"/>
            <w:left w:val="none" w:sz="0" w:space="0" w:color="auto"/>
            <w:bottom w:val="none" w:sz="0" w:space="0" w:color="auto"/>
            <w:right w:val="none" w:sz="0" w:space="0" w:color="auto"/>
          </w:divBdr>
        </w:div>
        <w:div w:id="849218502">
          <w:marLeft w:val="640"/>
          <w:marRight w:val="0"/>
          <w:marTop w:val="0"/>
          <w:marBottom w:val="0"/>
          <w:divBdr>
            <w:top w:val="none" w:sz="0" w:space="0" w:color="auto"/>
            <w:left w:val="none" w:sz="0" w:space="0" w:color="auto"/>
            <w:bottom w:val="none" w:sz="0" w:space="0" w:color="auto"/>
            <w:right w:val="none" w:sz="0" w:space="0" w:color="auto"/>
          </w:divBdr>
        </w:div>
        <w:div w:id="1002120022">
          <w:marLeft w:val="640"/>
          <w:marRight w:val="0"/>
          <w:marTop w:val="0"/>
          <w:marBottom w:val="0"/>
          <w:divBdr>
            <w:top w:val="none" w:sz="0" w:space="0" w:color="auto"/>
            <w:left w:val="none" w:sz="0" w:space="0" w:color="auto"/>
            <w:bottom w:val="none" w:sz="0" w:space="0" w:color="auto"/>
            <w:right w:val="none" w:sz="0" w:space="0" w:color="auto"/>
          </w:divBdr>
        </w:div>
        <w:div w:id="508645301">
          <w:marLeft w:val="640"/>
          <w:marRight w:val="0"/>
          <w:marTop w:val="0"/>
          <w:marBottom w:val="0"/>
          <w:divBdr>
            <w:top w:val="none" w:sz="0" w:space="0" w:color="auto"/>
            <w:left w:val="none" w:sz="0" w:space="0" w:color="auto"/>
            <w:bottom w:val="none" w:sz="0" w:space="0" w:color="auto"/>
            <w:right w:val="none" w:sz="0" w:space="0" w:color="auto"/>
          </w:divBdr>
        </w:div>
        <w:div w:id="795292735">
          <w:marLeft w:val="640"/>
          <w:marRight w:val="0"/>
          <w:marTop w:val="0"/>
          <w:marBottom w:val="0"/>
          <w:divBdr>
            <w:top w:val="none" w:sz="0" w:space="0" w:color="auto"/>
            <w:left w:val="none" w:sz="0" w:space="0" w:color="auto"/>
            <w:bottom w:val="none" w:sz="0" w:space="0" w:color="auto"/>
            <w:right w:val="none" w:sz="0" w:space="0" w:color="auto"/>
          </w:divBdr>
        </w:div>
        <w:div w:id="159931127">
          <w:marLeft w:val="640"/>
          <w:marRight w:val="0"/>
          <w:marTop w:val="0"/>
          <w:marBottom w:val="0"/>
          <w:divBdr>
            <w:top w:val="none" w:sz="0" w:space="0" w:color="auto"/>
            <w:left w:val="none" w:sz="0" w:space="0" w:color="auto"/>
            <w:bottom w:val="none" w:sz="0" w:space="0" w:color="auto"/>
            <w:right w:val="none" w:sz="0" w:space="0" w:color="auto"/>
          </w:divBdr>
        </w:div>
        <w:div w:id="1891723582">
          <w:marLeft w:val="640"/>
          <w:marRight w:val="0"/>
          <w:marTop w:val="0"/>
          <w:marBottom w:val="0"/>
          <w:divBdr>
            <w:top w:val="none" w:sz="0" w:space="0" w:color="auto"/>
            <w:left w:val="none" w:sz="0" w:space="0" w:color="auto"/>
            <w:bottom w:val="none" w:sz="0" w:space="0" w:color="auto"/>
            <w:right w:val="none" w:sz="0" w:space="0" w:color="auto"/>
          </w:divBdr>
        </w:div>
        <w:div w:id="275448522">
          <w:marLeft w:val="640"/>
          <w:marRight w:val="0"/>
          <w:marTop w:val="0"/>
          <w:marBottom w:val="0"/>
          <w:divBdr>
            <w:top w:val="none" w:sz="0" w:space="0" w:color="auto"/>
            <w:left w:val="none" w:sz="0" w:space="0" w:color="auto"/>
            <w:bottom w:val="none" w:sz="0" w:space="0" w:color="auto"/>
            <w:right w:val="none" w:sz="0" w:space="0" w:color="auto"/>
          </w:divBdr>
        </w:div>
        <w:div w:id="1695962015">
          <w:marLeft w:val="640"/>
          <w:marRight w:val="0"/>
          <w:marTop w:val="0"/>
          <w:marBottom w:val="0"/>
          <w:divBdr>
            <w:top w:val="none" w:sz="0" w:space="0" w:color="auto"/>
            <w:left w:val="none" w:sz="0" w:space="0" w:color="auto"/>
            <w:bottom w:val="none" w:sz="0" w:space="0" w:color="auto"/>
            <w:right w:val="none" w:sz="0" w:space="0" w:color="auto"/>
          </w:divBdr>
        </w:div>
        <w:div w:id="205723428">
          <w:marLeft w:val="640"/>
          <w:marRight w:val="0"/>
          <w:marTop w:val="0"/>
          <w:marBottom w:val="0"/>
          <w:divBdr>
            <w:top w:val="none" w:sz="0" w:space="0" w:color="auto"/>
            <w:left w:val="none" w:sz="0" w:space="0" w:color="auto"/>
            <w:bottom w:val="none" w:sz="0" w:space="0" w:color="auto"/>
            <w:right w:val="none" w:sz="0" w:space="0" w:color="auto"/>
          </w:divBdr>
        </w:div>
        <w:div w:id="2088526924">
          <w:marLeft w:val="640"/>
          <w:marRight w:val="0"/>
          <w:marTop w:val="0"/>
          <w:marBottom w:val="0"/>
          <w:divBdr>
            <w:top w:val="none" w:sz="0" w:space="0" w:color="auto"/>
            <w:left w:val="none" w:sz="0" w:space="0" w:color="auto"/>
            <w:bottom w:val="none" w:sz="0" w:space="0" w:color="auto"/>
            <w:right w:val="none" w:sz="0" w:space="0" w:color="auto"/>
          </w:divBdr>
        </w:div>
        <w:div w:id="589773348">
          <w:marLeft w:val="640"/>
          <w:marRight w:val="0"/>
          <w:marTop w:val="0"/>
          <w:marBottom w:val="0"/>
          <w:divBdr>
            <w:top w:val="none" w:sz="0" w:space="0" w:color="auto"/>
            <w:left w:val="none" w:sz="0" w:space="0" w:color="auto"/>
            <w:bottom w:val="none" w:sz="0" w:space="0" w:color="auto"/>
            <w:right w:val="none" w:sz="0" w:space="0" w:color="auto"/>
          </w:divBdr>
        </w:div>
        <w:div w:id="920064836">
          <w:marLeft w:val="640"/>
          <w:marRight w:val="0"/>
          <w:marTop w:val="0"/>
          <w:marBottom w:val="0"/>
          <w:divBdr>
            <w:top w:val="none" w:sz="0" w:space="0" w:color="auto"/>
            <w:left w:val="none" w:sz="0" w:space="0" w:color="auto"/>
            <w:bottom w:val="none" w:sz="0" w:space="0" w:color="auto"/>
            <w:right w:val="none" w:sz="0" w:space="0" w:color="auto"/>
          </w:divBdr>
        </w:div>
        <w:div w:id="231352616">
          <w:marLeft w:val="640"/>
          <w:marRight w:val="0"/>
          <w:marTop w:val="0"/>
          <w:marBottom w:val="0"/>
          <w:divBdr>
            <w:top w:val="none" w:sz="0" w:space="0" w:color="auto"/>
            <w:left w:val="none" w:sz="0" w:space="0" w:color="auto"/>
            <w:bottom w:val="none" w:sz="0" w:space="0" w:color="auto"/>
            <w:right w:val="none" w:sz="0" w:space="0" w:color="auto"/>
          </w:divBdr>
        </w:div>
        <w:div w:id="1728801211">
          <w:marLeft w:val="640"/>
          <w:marRight w:val="0"/>
          <w:marTop w:val="0"/>
          <w:marBottom w:val="0"/>
          <w:divBdr>
            <w:top w:val="none" w:sz="0" w:space="0" w:color="auto"/>
            <w:left w:val="none" w:sz="0" w:space="0" w:color="auto"/>
            <w:bottom w:val="none" w:sz="0" w:space="0" w:color="auto"/>
            <w:right w:val="none" w:sz="0" w:space="0" w:color="auto"/>
          </w:divBdr>
        </w:div>
        <w:div w:id="353964236">
          <w:marLeft w:val="640"/>
          <w:marRight w:val="0"/>
          <w:marTop w:val="0"/>
          <w:marBottom w:val="0"/>
          <w:divBdr>
            <w:top w:val="none" w:sz="0" w:space="0" w:color="auto"/>
            <w:left w:val="none" w:sz="0" w:space="0" w:color="auto"/>
            <w:bottom w:val="none" w:sz="0" w:space="0" w:color="auto"/>
            <w:right w:val="none" w:sz="0" w:space="0" w:color="auto"/>
          </w:divBdr>
        </w:div>
        <w:div w:id="2084528317">
          <w:marLeft w:val="640"/>
          <w:marRight w:val="0"/>
          <w:marTop w:val="0"/>
          <w:marBottom w:val="0"/>
          <w:divBdr>
            <w:top w:val="none" w:sz="0" w:space="0" w:color="auto"/>
            <w:left w:val="none" w:sz="0" w:space="0" w:color="auto"/>
            <w:bottom w:val="none" w:sz="0" w:space="0" w:color="auto"/>
            <w:right w:val="none" w:sz="0" w:space="0" w:color="auto"/>
          </w:divBdr>
        </w:div>
        <w:div w:id="667176598">
          <w:marLeft w:val="640"/>
          <w:marRight w:val="0"/>
          <w:marTop w:val="0"/>
          <w:marBottom w:val="0"/>
          <w:divBdr>
            <w:top w:val="none" w:sz="0" w:space="0" w:color="auto"/>
            <w:left w:val="none" w:sz="0" w:space="0" w:color="auto"/>
            <w:bottom w:val="none" w:sz="0" w:space="0" w:color="auto"/>
            <w:right w:val="none" w:sz="0" w:space="0" w:color="auto"/>
          </w:divBdr>
        </w:div>
        <w:div w:id="945580009">
          <w:marLeft w:val="640"/>
          <w:marRight w:val="0"/>
          <w:marTop w:val="0"/>
          <w:marBottom w:val="0"/>
          <w:divBdr>
            <w:top w:val="none" w:sz="0" w:space="0" w:color="auto"/>
            <w:left w:val="none" w:sz="0" w:space="0" w:color="auto"/>
            <w:bottom w:val="none" w:sz="0" w:space="0" w:color="auto"/>
            <w:right w:val="none" w:sz="0" w:space="0" w:color="auto"/>
          </w:divBdr>
        </w:div>
        <w:div w:id="1099570021">
          <w:marLeft w:val="640"/>
          <w:marRight w:val="0"/>
          <w:marTop w:val="0"/>
          <w:marBottom w:val="0"/>
          <w:divBdr>
            <w:top w:val="none" w:sz="0" w:space="0" w:color="auto"/>
            <w:left w:val="none" w:sz="0" w:space="0" w:color="auto"/>
            <w:bottom w:val="none" w:sz="0" w:space="0" w:color="auto"/>
            <w:right w:val="none" w:sz="0" w:space="0" w:color="auto"/>
          </w:divBdr>
        </w:div>
        <w:div w:id="1920748319">
          <w:marLeft w:val="640"/>
          <w:marRight w:val="0"/>
          <w:marTop w:val="0"/>
          <w:marBottom w:val="0"/>
          <w:divBdr>
            <w:top w:val="none" w:sz="0" w:space="0" w:color="auto"/>
            <w:left w:val="none" w:sz="0" w:space="0" w:color="auto"/>
            <w:bottom w:val="none" w:sz="0" w:space="0" w:color="auto"/>
            <w:right w:val="none" w:sz="0" w:space="0" w:color="auto"/>
          </w:divBdr>
        </w:div>
        <w:div w:id="850484974">
          <w:marLeft w:val="640"/>
          <w:marRight w:val="0"/>
          <w:marTop w:val="0"/>
          <w:marBottom w:val="0"/>
          <w:divBdr>
            <w:top w:val="none" w:sz="0" w:space="0" w:color="auto"/>
            <w:left w:val="none" w:sz="0" w:space="0" w:color="auto"/>
            <w:bottom w:val="none" w:sz="0" w:space="0" w:color="auto"/>
            <w:right w:val="none" w:sz="0" w:space="0" w:color="auto"/>
          </w:divBdr>
        </w:div>
        <w:div w:id="980232413">
          <w:marLeft w:val="640"/>
          <w:marRight w:val="0"/>
          <w:marTop w:val="0"/>
          <w:marBottom w:val="0"/>
          <w:divBdr>
            <w:top w:val="none" w:sz="0" w:space="0" w:color="auto"/>
            <w:left w:val="none" w:sz="0" w:space="0" w:color="auto"/>
            <w:bottom w:val="none" w:sz="0" w:space="0" w:color="auto"/>
            <w:right w:val="none" w:sz="0" w:space="0" w:color="auto"/>
          </w:divBdr>
        </w:div>
        <w:div w:id="824052050">
          <w:marLeft w:val="640"/>
          <w:marRight w:val="0"/>
          <w:marTop w:val="0"/>
          <w:marBottom w:val="0"/>
          <w:divBdr>
            <w:top w:val="none" w:sz="0" w:space="0" w:color="auto"/>
            <w:left w:val="none" w:sz="0" w:space="0" w:color="auto"/>
            <w:bottom w:val="none" w:sz="0" w:space="0" w:color="auto"/>
            <w:right w:val="none" w:sz="0" w:space="0" w:color="auto"/>
          </w:divBdr>
        </w:div>
        <w:div w:id="1427656802">
          <w:marLeft w:val="640"/>
          <w:marRight w:val="0"/>
          <w:marTop w:val="0"/>
          <w:marBottom w:val="0"/>
          <w:divBdr>
            <w:top w:val="none" w:sz="0" w:space="0" w:color="auto"/>
            <w:left w:val="none" w:sz="0" w:space="0" w:color="auto"/>
            <w:bottom w:val="none" w:sz="0" w:space="0" w:color="auto"/>
            <w:right w:val="none" w:sz="0" w:space="0" w:color="auto"/>
          </w:divBdr>
        </w:div>
        <w:div w:id="32459954">
          <w:marLeft w:val="640"/>
          <w:marRight w:val="0"/>
          <w:marTop w:val="0"/>
          <w:marBottom w:val="0"/>
          <w:divBdr>
            <w:top w:val="none" w:sz="0" w:space="0" w:color="auto"/>
            <w:left w:val="none" w:sz="0" w:space="0" w:color="auto"/>
            <w:bottom w:val="none" w:sz="0" w:space="0" w:color="auto"/>
            <w:right w:val="none" w:sz="0" w:space="0" w:color="auto"/>
          </w:divBdr>
        </w:div>
        <w:div w:id="1463618661">
          <w:marLeft w:val="640"/>
          <w:marRight w:val="0"/>
          <w:marTop w:val="0"/>
          <w:marBottom w:val="0"/>
          <w:divBdr>
            <w:top w:val="none" w:sz="0" w:space="0" w:color="auto"/>
            <w:left w:val="none" w:sz="0" w:space="0" w:color="auto"/>
            <w:bottom w:val="none" w:sz="0" w:space="0" w:color="auto"/>
            <w:right w:val="none" w:sz="0" w:space="0" w:color="auto"/>
          </w:divBdr>
        </w:div>
        <w:div w:id="989213945">
          <w:marLeft w:val="640"/>
          <w:marRight w:val="0"/>
          <w:marTop w:val="0"/>
          <w:marBottom w:val="0"/>
          <w:divBdr>
            <w:top w:val="none" w:sz="0" w:space="0" w:color="auto"/>
            <w:left w:val="none" w:sz="0" w:space="0" w:color="auto"/>
            <w:bottom w:val="none" w:sz="0" w:space="0" w:color="auto"/>
            <w:right w:val="none" w:sz="0" w:space="0" w:color="auto"/>
          </w:divBdr>
        </w:div>
        <w:div w:id="1981180679">
          <w:marLeft w:val="640"/>
          <w:marRight w:val="0"/>
          <w:marTop w:val="0"/>
          <w:marBottom w:val="0"/>
          <w:divBdr>
            <w:top w:val="none" w:sz="0" w:space="0" w:color="auto"/>
            <w:left w:val="none" w:sz="0" w:space="0" w:color="auto"/>
            <w:bottom w:val="none" w:sz="0" w:space="0" w:color="auto"/>
            <w:right w:val="none" w:sz="0" w:space="0" w:color="auto"/>
          </w:divBdr>
        </w:div>
        <w:div w:id="644970995">
          <w:marLeft w:val="640"/>
          <w:marRight w:val="0"/>
          <w:marTop w:val="0"/>
          <w:marBottom w:val="0"/>
          <w:divBdr>
            <w:top w:val="none" w:sz="0" w:space="0" w:color="auto"/>
            <w:left w:val="none" w:sz="0" w:space="0" w:color="auto"/>
            <w:bottom w:val="none" w:sz="0" w:space="0" w:color="auto"/>
            <w:right w:val="none" w:sz="0" w:space="0" w:color="auto"/>
          </w:divBdr>
        </w:div>
        <w:div w:id="1028677664">
          <w:marLeft w:val="640"/>
          <w:marRight w:val="0"/>
          <w:marTop w:val="0"/>
          <w:marBottom w:val="0"/>
          <w:divBdr>
            <w:top w:val="none" w:sz="0" w:space="0" w:color="auto"/>
            <w:left w:val="none" w:sz="0" w:space="0" w:color="auto"/>
            <w:bottom w:val="none" w:sz="0" w:space="0" w:color="auto"/>
            <w:right w:val="none" w:sz="0" w:space="0" w:color="auto"/>
          </w:divBdr>
        </w:div>
        <w:div w:id="1839729842">
          <w:marLeft w:val="640"/>
          <w:marRight w:val="0"/>
          <w:marTop w:val="0"/>
          <w:marBottom w:val="0"/>
          <w:divBdr>
            <w:top w:val="none" w:sz="0" w:space="0" w:color="auto"/>
            <w:left w:val="none" w:sz="0" w:space="0" w:color="auto"/>
            <w:bottom w:val="none" w:sz="0" w:space="0" w:color="auto"/>
            <w:right w:val="none" w:sz="0" w:space="0" w:color="auto"/>
          </w:divBdr>
        </w:div>
        <w:div w:id="1980917887">
          <w:marLeft w:val="640"/>
          <w:marRight w:val="0"/>
          <w:marTop w:val="0"/>
          <w:marBottom w:val="0"/>
          <w:divBdr>
            <w:top w:val="none" w:sz="0" w:space="0" w:color="auto"/>
            <w:left w:val="none" w:sz="0" w:space="0" w:color="auto"/>
            <w:bottom w:val="none" w:sz="0" w:space="0" w:color="auto"/>
            <w:right w:val="none" w:sz="0" w:space="0" w:color="auto"/>
          </w:divBdr>
        </w:div>
        <w:div w:id="506166584">
          <w:marLeft w:val="640"/>
          <w:marRight w:val="0"/>
          <w:marTop w:val="0"/>
          <w:marBottom w:val="0"/>
          <w:divBdr>
            <w:top w:val="none" w:sz="0" w:space="0" w:color="auto"/>
            <w:left w:val="none" w:sz="0" w:space="0" w:color="auto"/>
            <w:bottom w:val="none" w:sz="0" w:space="0" w:color="auto"/>
            <w:right w:val="none" w:sz="0" w:space="0" w:color="auto"/>
          </w:divBdr>
        </w:div>
        <w:div w:id="1319966410">
          <w:marLeft w:val="640"/>
          <w:marRight w:val="0"/>
          <w:marTop w:val="0"/>
          <w:marBottom w:val="0"/>
          <w:divBdr>
            <w:top w:val="none" w:sz="0" w:space="0" w:color="auto"/>
            <w:left w:val="none" w:sz="0" w:space="0" w:color="auto"/>
            <w:bottom w:val="none" w:sz="0" w:space="0" w:color="auto"/>
            <w:right w:val="none" w:sz="0" w:space="0" w:color="auto"/>
          </w:divBdr>
        </w:div>
        <w:div w:id="1912930926">
          <w:marLeft w:val="640"/>
          <w:marRight w:val="0"/>
          <w:marTop w:val="0"/>
          <w:marBottom w:val="0"/>
          <w:divBdr>
            <w:top w:val="none" w:sz="0" w:space="0" w:color="auto"/>
            <w:left w:val="none" w:sz="0" w:space="0" w:color="auto"/>
            <w:bottom w:val="none" w:sz="0" w:space="0" w:color="auto"/>
            <w:right w:val="none" w:sz="0" w:space="0" w:color="auto"/>
          </w:divBdr>
        </w:div>
        <w:div w:id="999311196">
          <w:marLeft w:val="640"/>
          <w:marRight w:val="0"/>
          <w:marTop w:val="0"/>
          <w:marBottom w:val="0"/>
          <w:divBdr>
            <w:top w:val="none" w:sz="0" w:space="0" w:color="auto"/>
            <w:left w:val="none" w:sz="0" w:space="0" w:color="auto"/>
            <w:bottom w:val="none" w:sz="0" w:space="0" w:color="auto"/>
            <w:right w:val="none" w:sz="0" w:space="0" w:color="auto"/>
          </w:divBdr>
        </w:div>
        <w:div w:id="70548538">
          <w:marLeft w:val="640"/>
          <w:marRight w:val="0"/>
          <w:marTop w:val="0"/>
          <w:marBottom w:val="0"/>
          <w:divBdr>
            <w:top w:val="none" w:sz="0" w:space="0" w:color="auto"/>
            <w:left w:val="none" w:sz="0" w:space="0" w:color="auto"/>
            <w:bottom w:val="none" w:sz="0" w:space="0" w:color="auto"/>
            <w:right w:val="none" w:sz="0" w:space="0" w:color="auto"/>
          </w:divBdr>
        </w:div>
        <w:div w:id="1750926327">
          <w:marLeft w:val="640"/>
          <w:marRight w:val="0"/>
          <w:marTop w:val="0"/>
          <w:marBottom w:val="0"/>
          <w:divBdr>
            <w:top w:val="none" w:sz="0" w:space="0" w:color="auto"/>
            <w:left w:val="none" w:sz="0" w:space="0" w:color="auto"/>
            <w:bottom w:val="none" w:sz="0" w:space="0" w:color="auto"/>
            <w:right w:val="none" w:sz="0" w:space="0" w:color="auto"/>
          </w:divBdr>
        </w:div>
        <w:div w:id="1134248290">
          <w:marLeft w:val="640"/>
          <w:marRight w:val="0"/>
          <w:marTop w:val="0"/>
          <w:marBottom w:val="0"/>
          <w:divBdr>
            <w:top w:val="none" w:sz="0" w:space="0" w:color="auto"/>
            <w:left w:val="none" w:sz="0" w:space="0" w:color="auto"/>
            <w:bottom w:val="none" w:sz="0" w:space="0" w:color="auto"/>
            <w:right w:val="none" w:sz="0" w:space="0" w:color="auto"/>
          </w:divBdr>
        </w:div>
        <w:div w:id="1522206793">
          <w:marLeft w:val="640"/>
          <w:marRight w:val="0"/>
          <w:marTop w:val="0"/>
          <w:marBottom w:val="0"/>
          <w:divBdr>
            <w:top w:val="none" w:sz="0" w:space="0" w:color="auto"/>
            <w:left w:val="none" w:sz="0" w:space="0" w:color="auto"/>
            <w:bottom w:val="none" w:sz="0" w:space="0" w:color="auto"/>
            <w:right w:val="none" w:sz="0" w:space="0" w:color="auto"/>
          </w:divBdr>
        </w:div>
        <w:div w:id="1057363860">
          <w:marLeft w:val="640"/>
          <w:marRight w:val="0"/>
          <w:marTop w:val="0"/>
          <w:marBottom w:val="0"/>
          <w:divBdr>
            <w:top w:val="none" w:sz="0" w:space="0" w:color="auto"/>
            <w:left w:val="none" w:sz="0" w:space="0" w:color="auto"/>
            <w:bottom w:val="none" w:sz="0" w:space="0" w:color="auto"/>
            <w:right w:val="none" w:sz="0" w:space="0" w:color="auto"/>
          </w:divBdr>
        </w:div>
        <w:div w:id="233129420">
          <w:marLeft w:val="640"/>
          <w:marRight w:val="0"/>
          <w:marTop w:val="0"/>
          <w:marBottom w:val="0"/>
          <w:divBdr>
            <w:top w:val="none" w:sz="0" w:space="0" w:color="auto"/>
            <w:left w:val="none" w:sz="0" w:space="0" w:color="auto"/>
            <w:bottom w:val="none" w:sz="0" w:space="0" w:color="auto"/>
            <w:right w:val="none" w:sz="0" w:space="0" w:color="auto"/>
          </w:divBdr>
        </w:div>
        <w:div w:id="254898303">
          <w:marLeft w:val="640"/>
          <w:marRight w:val="0"/>
          <w:marTop w:val="0"/>
          <w:marBottom w:val="0"/>
          <w:divBdr>
            <w:top w:val="none" w:sz="0" w:space="0" w:color="auto"/>
            <w:left w:val="none" w:sz="0" w:space="0" w:color="auto"/>
            <w:bottom w:val="none" w:sz="0" w:space="0" w:color="auto"/>
            <w:right w:val="none" w:sz="0" w:space="0" w:color="auto"/>
          </w:divBdr>
        </w:div>
        <w:div w:id="378359825">
          <w:marLeft w:val="640"/>
          <w:marRight w:val="0"/>
          <w:marTop w:val="0"/>
          <w:marBottom w:val="0"/>
          <w:divBdr>
            <w:top w:val="none" w:sz="0" w:space="0" w:color="auto"/>
            <w:left w:val="none" w:sz="0" w:space="0" w:color="auto"/>
            <w:bottom w:val="none" w:sz="0" w:space="0" w:color="auto"/>
            <w:right w:val="none" w:sz="0" w:space="0" w:color="auto"/>
          </w:divBdr>
        </w:div>
        <w:div w:id="1260599922">
          <w:marLeft w:val="640"/>
          <w:marRight w:val="0"/>
          <w:marTop w:val="0"/>
          <w:marBottom w:val="0"/>
          <w:divBdr>
            <w:top w:val="none" w:sz="0" w:space="0" w:color="auto"/>
            <w:left w:val="none" w:sz="0" w:space="0" w:color="auto"/>
            <w:bottom w:val="none" w:sz="0" w:space="0" w:color="auto"/>
            <w:right w:val="none" w:sz="0" w:space="0" w:color="auto"/>
          </w:divBdr>
        </w:div>
        <w:div w:id="1454976329">
          <w:marLeft w:val="640"/>
          <w:marRight w:val="0"/>
          <w:marTop w:val="0"/>
          <w:marBottom w:val="0"/>
          <w:divBdr>
            <w:top w:val="none" w:sz="0" w:space="0" w:color="auto"/>
            <w:left w:val="none" w:sz="0" w:space="0" w:color="auto"/>
            <w:bottom w:val="none" w:sz="0" w:space="0" w:color="auto"/>
            <w:right w:val="none" w:sz="0" w:space="0" w:color="auto"/>
          </w:divBdr>
        </w:div>
        <w:div w:id="1232888626">
          <w:marLeft w:val="640"/>
          <w:marRight w:val="0"/>
          <w:marTop w:val="0"/>
          <w:marBottom w:val="0"/>
          <w:divBdr>
            <w:top w:val="none" w:sz="0" w:space="0" w:color="auto"/>
            <w:left w:val="none" w:sz="0" w:space="0" w:color="auto"/>
            <w:bottom w:val="none" w:sz="0" w:space="0" w:color="auto"/>
            <w:right w:val="none" w:sz="0" w:space="0" w:color="auto"/>
          </w:divBdr>
        </w:div>
        <w:div w:id="1909144546">
          <w:marLeft w:val="640"/>
          <w:marRight w:val="0"/>
          <w:marTop w:val="0"/>
          <w:marBottom w:val="0"/>
          <w:divBdr>
            <w:top w:val="none" w:sz="0" w:space="0" w:color="auto"/>
            <w:left w:val="none" w:sz="0" w:space="0" w:color="auto"/>
            <w:bottom w:val="none" w:sz="0" w:space="0" w:color="auto"/>
            <w:right w:val="none" w:sz="0" w:space="0" w:color="auto"/>
          </w:divBdr>
        </w:div>
        <w:div w:id="1850749128">
          <w:marLeft w:val="640"/>
          <w:marRight w:val="0"/>
          <w:marTop w:val="0"/>
          <w:marBottom w:val="0"/>
          <w:divBdr>
            <w:top w:val="none" w:sz="0" w:space="0" w:color="auto"/>
            <w:left w:val="none" w:sz="0" w:space="0" w:color="auto"/>
            <w:bottom w:val="none" w:sz="0" w:space="0" w:color="auto"/>
            <w:right w:val="none" w:sz="0" w:space="0" w:color="auto"/>
          </w:divBdr>
        </w:div>
        <w:div w:id="258024459">
          <w:marLeft w:val="640"/>
          <w:marRight w:val="0"/>
          <w:marTop w:val="0"/>
          <w:marBottom w:val="0"/>
          <w:divBdr>
            <w:top w:val="none" w:sz="0" w:space="0" w:color="auto"/>
            <w:left w:val="none" w:sz="0" w:space="0" w:color="auto"/>
            <w:bottom w:val="none" w:sz="0" w:space="0" w:color="auto"/>
            <w:right w:val="none" w:sz="0" w:space="0" w:color="auto"/>
          </w:divBdr>
        </w:div>
        <w:div w:id="850217851">
          <w:marLeft w:val="640"/>
          <w:marRight w:val="0"/>
          <w:marTop w:val="0"/>
          <w:marBottom w:val="0"/>
          <w:divBdr>
            <w:top w:val="none" w:sz="0" w:space="0" w:color="auto"/>
            <w:left w:val="none" w:sz="0" w:space="0" w:color="auto"/>
            <w:bottom w:val="none" w:sz="0" w:space="0" w:color="auto"/>
            <w:right w:val="none" w:sz="0" w:space="0" w:color="auto"/>
          </w:divBdr>
        </w:div>
        <w:div w:id="1055395971">
          <w:marLeft w:val="640"/>
          <w:marRight w:val="0"/>
          <w:marTop w:val="0"/>
          <w:marBottom w:val="0"/>
          <w:divBdr>
            <w:top w:val="none" w:sz="0" w:space="0" w:color="auto"/>
            <w:left w:val="none" w:sz="0" w:space="0" w:color="auto"/>
            <w:bottom w:val="none" w:sz="0" w:space="0" w:color="auto"/>
            <w:right w:val="none" w:sz="0" w:space="0" w:color="auto"/>
          </w:divBdr>
        </w:div>
        <w:div w:id="273095492">
          <w:marLeft w:val="640"/>
          <w:marRight w:val="0"/>
          <w:marTop w:val="0"/>
          <w:marBottom w:val="0"/>
          <w:divBdr>
            <w:top w:val="none" w:sz="0" w:space="0" w:color="auto"/>
            <w:left w:val="none" w:sz="0" w:space="0" w:color="auto"/>
            <w:bottom w:val="none" w:sz="0" w:space="0" w:color="auto"/>
            <w:right w:val="none" w:sz="0" w:space="0" w:color="auto"/>
          </w:divBdr>
        </w:div>
        <w:div w:id="1825966745">
          <w:marLeft w:val="640"/>
          <w:marRight w:val="0"/>
          <w:marTop w:val="0"/>
          <w:marBottom w:val="0"/>
          <w:divBdr>
            <w:top w:val="none" w:sz="0" w:space="0" w:color="auto"/>
            <w:left w:val="none" w:sz="0" w:space="0" w:color="auto"/>
            <w:bottom w:val="none" w:sz="0" w:space="0" w:color="auto"/>
            <w:right w:val="none" w:sz="0" w:space="0" w:color="auto"/>
          </w:divBdr>
        </w:div>
        <w:div w:id="1198003385">
          <w:marLeft w:val="640"/>
          <w:marRight w:val="0"/>
          <w:marTop w:val="0"/>
          <w:marBottom w:val="0"/>
          <w:divBdr>
            <w:top w:val="none" w:sz="0" w:space="0" w:color="auto"/>
            <w:left w:val="none" w:sz="0" w:space="0" w:color="auto"/>
            <w:bottom w:val="none" w:sz="0" w:space="0" w:color="auto"/>
            <w:right w:val="none" w:sz="0" w:space="0" w:color="auto"/>
          </w:divBdr>
        </w:div>
        <w:div w:id="1159689372">
          <w:marLeft w:val="640"/>
          <w:marRight w:val="0"/>
          <w:marTop w:val="0"/>
          <w:marBottom w:val="0"/>
          <w:divBdr>
            <w:top w:val="none" w:sz="0" w:space="0" w:color="auto"/>
            <w:left w:val="none" w:sz="0" w:space="0" w:color="auto"/>
            <w:bottom w:val="none" w:sz="0" w:space="0" w:color="auto"/>
            <w:right w:val="none" w:sz="0" w:space="0" w:color="auto"/>
          </w:divBdr>
        </w:div>
        <w:div w:id="1297762821">
          <w:marLeft w:val="640"/>
          <w:marRight w:val="0"/>
          <w:marTop w:val="0"/>
          <w:marBottom w:val="0"/>
          <w:divBdr>
            <w:top w:val="none" w:sz="0" w:space="0" w:color="auto"/>
            <w:left w:val="none" w:sz="0" w:space="0" w:color="auto"/>
            <w:bottom w:val="none" w:sz="0" w:space="0" w:color="auto"/>
            <w:right w:val="none" w:sz="0" w:space="0" w:color="auto"/>
          </w:divBdr>
        </w:div>
        <w:div w:id="1731154511">
          <w:marLeft w:val="640"/>
          <w:marRight w:val="0"/>
          <w:marTop w:val="0"/>
          <w:marBottom w:val="0"/>
          <w:divBdr>
            <w:top w:val="none" w:sz="0" w:space="0" w:color="auto"/>
            <w:left w:val="none" w:sz="0" w:space="0" w:color="auto"/>
            <w:bottom w:val="none" w:sz="0" w:space="0" w:color="auto"/>
            <w:right w:val="none" w:sz="0" w:space="0" w:color="auto"/>
          </w:divBdr>
        </w:div>
        <w:div w:id="350958047">
          <w:marLeft w:val="640"/>
          <w:marRight w:val="0"/>
          <w:marTop w:val="0"/>
          <w:marBottom w:val="0"/>
          <w:divBdr>
            <w:top w:val="none" w:sz="0" w:space="0" w:color="auto"/>
            <w:left w:val="none" w:sz="0" w:space="0" w:color="auto"/>
            <w:bottom w:val="none" w:sz="0" w:space="0" w:color="auto"/>
            <w:right w:val="none" w:sz="0" w:space="0" w:color="auto"/>
          </w:divBdr>
        </w:div>
        <w:div w:id="1237546068">
          <w:marLeft w:val="640"/>
          <w:marRight w:val="0"/>
          <w:marTop w:val="0"/>
          <w:marBottom w:val="0"/>
          <w:divBdr>
            <w:top w:val="none" w:sz="0" w:space="0" w:color="auto"/>
            <w:left w:val="none" w:sz="0" w:space="0" w:color="auto"/>
            <w:bottom w:val="none" w:sz="0" w:space="0" w:color="auto"/>
            <w:right w:val="none" w:sz="0" w:space="0" w:color="auto"/>
          </w:divBdr>
        </w:div>
        <w:div w:id="1468468102">
          <w:marLeft w:val="640"/>
          <w:marRight w:val="0"/>
          <w:marTop w:val="0"/>
          <w:marBottom w:val="0"/>
          <w:divBdr>
            <w:top w:val="none" w:sz="0" w:space="0" w:color="auto"/>
            <w:left w:val="none" w:sz="0" w:space="0" w:color="auto"/>
            <w:bottom w:val="none" w:sz="0" w:space="0" w:color="auto"/>
            <w:right w:val="none" w:sz="0" w:space="0" w:color="auto"/>
          </w:divBdr>
        </w:div>
        <w:div w:id="522596909">
          <w:marLeft w:val="640"/>
          <w:marRight w:val="0"/>
          <w:marTop w:val="0"/>
          <w:marBottom w:val="0"/>
          <w:divBdr>
            <w:top w:val="none" w:sz="0" w:space="0" w:color="auto"/>
            <w:left w:val="none" w:sz="0" w:space="0" w:color="auto"/>
            <w:bottom w:val="none" w:sz="0" w:space="0" w:color="auto"/>
            <w:right w:val="none" w:sz="0" w:space="0" w:color="auto"/>
          </w:divBdr>
        </w:div>
        <w:div w:id="1714577821">
          <w:marLeft w:val="640"/>
          <w:marRight w:val="0"/>
          <w:marTop w:val="0"/>
          <w:marBottom w:val="0"/>
          <w:divBdr>
            <w:top w:val="none" w:sz="0" w:space="0" w:color="auto"/>
            <w:left w:val="none" w:sz="0" w:space="0" w:color="auto"/>
            <w:bottom w:val="none" w:sz="0" w:space="0" w:color="auto"/>
            <w:right w:val="none" w:sz="0" w:space="0" w:color="auto"/>
          </w:divBdr>
        </w:div>
        <w:div w:id="720250418">
          <w:marLeft w:val="640"/>
          <w:marRight w:val="0"/>
          <w:marTop w:val="0"/>
          <w:marBottom w:val="0"/>
          <w:divBdr>
            <w:top w:val="none" w:sz="0" w:space="0" w:color="auto"/>
            <w:left w:val="none" w:sz="0" w:space="0" w:color="auto"/>
            <w:bottom w:val="none" w:sz="0" w:space="0" w:color="auto"/>
            <w:right w:val="none" w:sz="0" w:space="0" w:color="auto"/>
          </w:divBdr>
        </w:div>
        <w:div w:id="15430107">
          <w:marLeft w:val="640"/>
          <w:marRight w:val="0"/>
          <w:marTop w:val="0"/>
          <w:marBottom w:val="0"/>
          <w:divBdr>
            <w:top w:val="none" w:sz="0" w:space="0" w:color="auto"/>
            <w:left w:val="none" w:sz="0" w:space="0" w:color="auto"/>
            <w:bottom w:val="none" w:sz="0" w:space="0" w:color="auto"/>
            <w:right w:val="none" w:sz="0" w:space="0" w:color="auto"/>
          </w:divBdr>
        </w:div>
        <w:div w:id="1456218626">
          <w:marLeft w:val="640"/>
          <w:marRight w:val="0"/>
          <w:marTop w:val="0"/>
          <w:marBottom w:val="0"/>
          <w:divBdr>
            <w:top w:val="none" w:sz="0" w:space="0" w:color="auto"/>
            <w:left w:val="none" w:sz="0" w:space="0" w:color="auto"/>
            <w:bottom w:val="none" w:sz="0" w:space="0" w:color="auto"/>
            <w:right w:val="none" w:sz="0" w:space="0" w:color="auto"/>
          </w:divBdr>
        </w:div>
        <w:div w:id="1587228744">
          <w:marLeft w:val="640"/>
          <w:marRight w:val="0"/>
          <w:marTop w:val="0"/>
          <w:marBottom w:val="0"/>
          <w:divBdr>
            <w:top w:val="none" w:sz="0" w:space="0" w:color="auto"/>
            <w:left w:val="none" w:sz="0" w:space="0" w:color="auto"/>
            <w:bottom w:val="none" w:sz="0" w:space="0" w:color="auto"/>
            <w:right w:val="none" w:sz="0" w:space="0" w:color="auto"/>
          </w:divBdr>
        </w:div>
        <w:div w:id="378936842">
          <w:marLeft w:val="640"/>
          <w:marRight w:val="0"/>
          <w:marTop w:val="0"/>
          <w:marBottom w:val="0"/>
          <w:divBdr>
            <w:top w:val="none" w:sz="0" w:space="0" w:color="auto"/>
            <w:left w:val="none" w:sz="0" w:space="0" w:color="auto"/>
            <w:bottom w:val="none" w:sz="0" w:space="0" w:color="auto"/>
            <w:right w:val="none" w:sz="0" w:space="0" w:color="auto"/>
          </w:divBdr>
        </w:div>
        <w:div w:id="591938669">
          <w:marLeft w:val="640"/>
          <w:marRight w:val="0"/>
          <w:marTop w:val="0"/>
          <w:marBottom w:val="0"/>
          <w:divBdr>
            <w:top w:val="none" w:sz="0" w:space="0" w:color="auto"/>
            <w:left w:val="none" w:sz="0" w:space="0" w:color="auto"/>
            <w:bottom w:val="none" w:sz="0" w:space="0" w:color="auto"/>
            <w:right w:val="none" w:sz="0" w:space="0" w:color="auto"/>
          </w:divBdr>
        </w:div>
        <w:div w:id="849954969">
          <w:marLeft w:val="640"/>
          <w:marRight w:val="0"/>
          <w:marTop w:val="0"/>
          <w:marBottom w:val="0"/>
          <w:divBdr>
            <w:top w:val="none" w:sz="0" w:space="0" w:color="auto"/>
            <w:left w:val="none" w:sz="0" w:space="0" w:color="auto"/>
            <w:bottom w:val="none" w:sz="0" w:space="0" w:color="auto"/>
            <w:right w:val="none" w:sz="0" w:space="0" w:color="auto"/>
          </w:divBdr>
        </w:div>
        <w:div w:id="149297827">
          <w:marLeft w:val="640"/>
          <w:marRight w:val="0"/>
          <w:marTop w:val="0"/>
          <w:marBottom w:val="0"/>
          <w:divBdr>
            <w:top w:val="none" w:sz="0" w:space="0" w:color="auto"/>
            <w:left w:val="none" w:sz="0" w:space="0" w:color="auto"/>
            <w:bottom w:val="none" w:sz="0" w:space="0" w:color="auto"/>
            <w:right w:val="none" w:sz="0" w:space="0" w:color="auto"/>
          </w:divBdr>
        </w:div>
        <w:div w:id="289673432">
          <w:marLeft w:val="640"/>
          <w:marRight w:val="0"/>
          <w:marTop w:val="0"/>
          <w:marBottom w:val="0"/>
          <w:divBdr>
            <w:top w:val="none" w:sz="0" w:space="0" w:color="auto"/>
            <w:left w:val="none" w:sz="0" w:space="0" w:color="auto"/>
            <w:bottom w:val="none" w:sz="0" w:space="0" w:color="auto"/>
            <w:right w:val="none" w:sz="0" w:space="0" w:color="auto"/>
          </w:divBdr>
        </w:div>
        <w:div w:id="1235385990">
          <w:marLeft w:val="640"/>
          <w:marRight w:val="0"/>
          <w:marTop w:val="0"/>
          <w:marBottom w:val="0"/>
          <w:divBdr>
            <w:top w:val="none" w:sz="0" w:space="0" w:color="auto"/>
            <w:left w:val="none" w:sz="0" w:space="0" w:color="auto"/>
            <w:bottom w:val="none" w:sz="0" w:space="0" w:color="auto"/>
            <w:right w:val="none" w:sz="0" w:space="0" w:color="auto"/>
          </w:divBdr>
        </w:div>
        <w:div w:id="1716200056">
          <w:marLeft w:val="640"/>
          <w:marRight w:val="0"/>
          <w:marTop w:val="0"/>
          <w:marBottom w:val="0"/>
          <w:divBdr>
            <w:top w:val="none" w:sz="0" w:space="0" w:color="auto"/>
            <w:left w:val="none" w:sz="0" w:space="0" w:color="auto"/>
            <w:bottom w:val="none" w:sz="0" w:space="0" w:color="auto"/>
            <w:right w:val="none" w:sz="0" w:space="0" w:color="auto"/>
          </w:divBdr>
        </w:div>
        <w:div w:id="630597679">
          <w:marLeft w:val="640"/>
          <w:marRight w:val="0"/>
          <w:marTop w:val="0"/>
          <w:marBottom w:val="0"/>
          <w:divBdr>
            <w:top w:val="none" w:sz="0" w:space="0" w:color="auto"/>
            <w:left w:val="none" w:sz="0" w:space="0" w:color="auto"/>
            <w:bottom w:val="none" w:sz="0" w:space="0" w:color="auto"/>
            <w:right w:val="none" w:sz="0" w:space="0" w:color="auto"/>
          </w:divBdr>
        </w:div>
        <w:div w:id="171914076">
          <w:marLeft w:val="640"/>
          <w:marRight w:val="0"/>
          <w:marTop w:val="0"/>
          <w:marBottom w:val="0"/>
          <w:divBdr>
            <w:top w:val="none" w:sz="0" w:space="0" w:color="auto"/>
            <w:left w:val="none" w:sz="0" w:space="0" w:color="auto"/>
            <w:bottom w:val="none" w:sz="0" w:space="0" w:color="auto"/>
            <w:right w:val="none" w:sz="0" w:space="0" w:color="auto"/>
          </w:divBdr>
        </w:div>
        <w:div w:id="1795366760">
          <w:marLeft w:val="640"/>
          <w:marRight w:val="0"/>
          <w:marTop w:val="0"/>
          <w:marBottom w:val="0"/>
          <w:divBdr>
            <w:top w:val="none" w:sz="0" w:space="0" w:color="auto"/>
            <w:left w:val="none" w:sz="0" w:space="0" w:color="auto"/>
            <w:bottom w:val="none" w:sz="0" w:space="0" w:color="auto"/>
            <w:right w:val="none" w:sz="0" w:space="0" w:color="auto"/>
          </w:divBdr>
        </w:div>
        <w:div w:id="2088962414">
          <w:marLeft w:val="640"/>
          <w:marRight w:val="0"/>
          <w:marTop w:val="0"/>
          <w:marBottom w:val="0"/>
          <w:divBdr>
            <w:top w:val="none" w:sz="0" w:space="0" w:color="auto"/>
            <w:left w:val="none" w:sz="0" w:space="0" w:color="auto"/>
            <w:bottom w:val="none" w:sz="0" w:space="0" w:color="auto"/>
            <w:right w:val="none" w:sz="0" w:space="0" w:color="auto"/>
          </w:divBdr>
        </w:div>
        <w:div w:id="2026588852">
          <w:marLeft w:val="640"/>
          <w:marRight w:val="0"/>
          <w:marTop w:val="0"/>
          <w:marBottom w:val="0"/>
          <w:divBdr>
            <w:top w:val="none" w:sz="0" w:space="0" w:color="auto"/>
            <w:left w:val="none" w:sz="0" w:space="0" w:color="auto"/>
            <w:bottom w:val="none" w:sz="0" w:space="0" w:color="auto"/>
            <w:right w:val="none" w:sz="0" w:space="0" w:color="auto"/>
          </w:divBdr>
        </w:div>
        <w:div w:id="1754889319">
          <w:marLeft w:val="640"/>
          <w:marRight w:val="0"/>
          <w:marTop w:val="0"/>
          <w:marBottom w:val="0"/>
          <w:divBdr>
            <w:top w:val="none" w:sz="0" w:space="0" w:color="auto"/>
            <w:left w:val="none" w:sz="0" w:space="0" w:color="auto"/>
            <w:bottom w:val="none" w:sz="0" w:space="0" w:color="auto"/>
            <w:right w:val="none" w:sz="0" w:space="0" w:color="auto"/>
          </w:divBdr>
        </w:div>
        <w:div w:id="510029272">
          <w:marLeft w:val="640"/>
          <w:marRight w:val="0"/>
          <w:marTop w:val="0"/>
          <w:marBottom w:val="0"/>
          <w:divBdr>
            <w:top w:val="none" w:sz="0" w:space="0" w:color="auto"/>
            <w:left w:val="none" w:sz="0" w:space="0" w:color="auto"/>
            <w:bottom w:val="none" w:sz="0" w:space="0" w:color="auto"/>
            <w:right w:val="none" w:sz="0" w:space="0" w:color="auto"/>
          </w:divBdr>
        </w:div>
        <w:div w:id="579799105">
          <w:marLeft w:val="640"/>
          <w:marRight w:val="0"/>
          <w:marTop w:val="0"/>
          <w:marBottom w:val="0"/>
          <w:divBdr>
            <w:top w:val="none" w:sz="0" w:space="0" w:color="auto"/>
            <w:left w:val="none" w:sz="0" w:space="0" w:color="auto"/>
            <w:bottom w:val="none" w:sz="0" w:space="0" w:color="auto"/>
            <w:right w:val="none" w:sz="0" w:space="0" w:color="auto"/>
          </w:divBdr>
        </w:div>
        <w:div w:id="496775118">
          <w:marLeft w:val="640"/>
          <w:marRight w:val="0"/>
          <w:marTop w:val="0"/>
          <w:marBottom w:val="0"/>
          <w:divBdr>
            <w:top w:val="none" w:sz="0" w:space="0" w:color="auto"/>
            <w:left w:val="none" w:sz="0" w:space="0" w:color="auto"/>
            <w:bottom w:val="none" w:sz="0" w:space="0" w:color="auto"/>
            <w:right w:val="none" w:sz="0" w:space="0" w:color="auto"/>
          </w:divBdr>
        </w:div>
        <w:div w:id="2116055870">
          <w:marLeft w:val="640"/>
          <w:marRight w:val="0"/>
          <w:marTop w:val="0"/>
          <w:marBottom w:val="0"/>
          <w:divBdr>
            <w:top w:val="none" w:sz="0" w:space="0" w:color="auto"/>
            <w:left w:val="none" w:sz="0" w:space="0" w:color="auto"/>
            <w:bottom w:val="none" w:sz="0" w:space="0" w:color="auto"/>
            <w:right w:val="none" w:sz="0" w:space="0" w:color="auto"/>
          </w:divBdr>
        </w:div>
        <w:div w:id="1054814838">
          <w:marLeft w:val="640"/>
          <w:marRight w:val="0"/>
          <w:marTop w:val="0"/>
          <w:marBottom w:val="0"/>
          <w:divBdr>
            <w:top w:val="none" w:sz="0" w:space="0" w:color="auto"/>
            <w:left w:val="none" w:sz="0" w:space="0" w:color="auto"/>
            <w:bottom w:val="none" w:sz="0" w:space="0" w:color="auto"/>
            <w:right w:val="none" w:sz="0" w:space="0" w:color="auto"/>
          </w:divBdr>
        </w:div>
        <w:div w:id="1368795815">
          <w:marLeft w:val="640"/>
          <w:marRight w:val="0"/>
          <w:marTop w:val="0"/>
          <w:marBottom w:val="0"/>
          <w:divBdr>
            <w:top w:val="none" w:sz="0" w:space="0" w:color="auto"/>
            <w:left w:val="none" w:sz="0" w:space="0" w:color="auto"/>
            <w:bottom w:val="none" w:sz="0" w:space="0" w:color="auto"/>
            <w:right w:val="none" w:sz="0" w:space="0" w:color="auto"/>
          </w:divBdr>
        </w:div>
        <w:div w:id="845052078">
          <w:marLeft w:val="640"/>
          <w:marRight w:val="0"/>
          <w:marTop w:val="0"/>
          <w:marBottom w:val="0"/>
          <w:divBdr>
            <w:top w:val="none" w:sz="0" w:space="0" w:color="auto"/>
            <w:left w:val="none" w:sz="0" w:space="0" w:color="auto"/>
            <w:bottom w:val="none" w:sz="0" w:space="0" w:color="auto"/>
            <w:right w:val="none" w:sz="0" w:space="0" w:color="auto"/>
          </w:divBdr>
        </w:div>
        <w:div w:id="1309626582">
          <w:marLeft w:val="640"/>
          <w:marRight w:val="0"/>
          <w:marTop w:val="0"/>
          <w:marBottom w:val="0"/>
          <w:divBdr>
            <w:top w:val="none" w:sz="0" w:space="0" w:color="auto"/>
            <w:left w:val="none" w:sz="0" w:space="0" w:color="auto"/>
            <w:bottom w:val="none" w:sz="0" w:space="0" w:color="auto"/>
            <w:right w:val="none" w:sz="0" w:space="0" w:color="auto"/>
          </w:divBdr>
        </w:div>
        <w:div w:id="483280444">
          <w:marLeft w:val="640"/>
          <w:marRight w:val="0"/>
          <w:marTop w:val="0"/>
          <w:marBottom w:val="0"/>
          <w:divBdr>
            <w:top w:val="none" w:sz="0" w:space="0" w:color="auto"/>
            <w:left w:val="none" w:sz="0" w:space="0" w:color="auto"/>
            <w:bottom w:val="none" w:sz="0" w:space="0" w:color="auto"/>
            <w:right w:val="none" w:sz="0" w:space="0" w:color="auto"/>
          </w:divBdr>
        </w:div>
        <w:div w:id="1029835118">
          <w:marLeft w:val="640"/>
          <w:marRight w:val="0"/>
          <w:marTop w:val="0"/>
          <w:marBottom w:val="0"/>
          <w:divBdr>
            <w:top w:val="none" w:sz="0" w:space="0" w:color="auto"/>
            <w:left w:val="none" w:sz="0" w:space="0" w:color="auto"/>
            <w:bottom w:val="none" w:sz="0" w:space="0" w:color="auto"/>
            <w:right w:val="none" w:sz="0" w:space="0" w:color="auto"/>
          </w:divBdr>
        </w:div>
        <w:div w:id="2025399350">
          <w:marLeft w:val="640"/>
          <w:marRight w:val="0"/>
          <w:marTop w:val="0"/>
          <w:marBottom w:val="0"/>
          <w:divBdr>
            <w:top w:val="none" w:sz="0" w:space="0" w:color="auto"/>
            <w:left w:val="none" w:sz="0" w:space="0" w:color="auto"/>
            <w:bottom w:val="none" w:sz="0" w:space="0" w:color="auto"/>
            <w:right w:val="none" w:sz="0" w:space="0" w:color="auto"/>
          </w:divBdr>
        </w:div>
        <w:div w:id="804740706">
          <w:marLeft w:val="640"/>
          <w:marRight w:val="0"/>
          <w:marTop w:val="0"/>
          <w:marBottom w:val="0"/>
          <w:divBdr>
            <w:top w:val="none" w:sz="0" w:space="0" w:color="auto"/>
            <w:left w:val="none" w:sz="0" w:space="0" w:color="auto"/>
            <w:bottom w:val="none" w:sz="0" w:space="0" w:color="auto"/>
            <w:right w:val="none" w:sz="0" w:space="0" w:color="auto"/>
          </w:divBdr>
        </w:div>
        <w:div w:id="912616772">
          <w:marLeft w:val="640"/>
          <w:marRight w:val="0"/>
          <w:marTop w:val="0"/>
          <w:marBottom w:val="0"/>
          <w:divBdr>
            <w:top w:val="none" w:sz="0" w:space="0" w:color="auto"/>
            <w:left w:val="none" w:sz="0" w:space="0" w:color="auto"/>
            <w:bottom w:val="none" w:sz="0" w:space="0" w:color="auto"/>
            <w:right w:val="none" w:sz="0" w:space="0" w:color="auto"/>
          </w:divBdr>
        </w:div>
        <w:div w:id="35200769">
          <w:marLeft w:val="640"/>
          <w:marRight w:val="0"/>
          <w:marTop w:val="0"/>
          <w:marBottom w:val="0"/>
          <w:divBdr>
            <w:top w:val="none" w:sz="0" w:space="0" w:color="auto"/>
            <w:left w:val="none" w:sz="0" w:space="0" w:color="auto"/>
            <w:bottom w:val="none" w:sz="0" w:space="0" w:color="auto"/>
            <w:right w:val="none" w:sz="0" w:space="0" w:color="auto"/>
          </w:divBdr>
        </w:div>
        <w:div w:id="440415350">
          <w:marLeft w:val="640"/>
          <w:marRight w:val="0"/>
          <w:marTop w:val="0"/>
          <w:marBottom w:val="0"/>
          <w:divBdr>
            <w:top w:val="none" w:sz="0" w:space="0" w:color="auto"/>
            <w:left w:val="none" w:sz="0" w:space="0" w:color="auto"/>
            <w:bottom w:val="none" w:sz="0" w:space="0" w:color="auto"/>
            <w:right w:val="none" w:sz="0" w:space="0" w:color="auto"/>
          </w:divBdr>
        </w:div>
        <w:div w:id="372581611">
          <w:marLeft w:val="640"/>
          <w:marRight w:val="0"/>
          <w:marTop w:val="0"/>
          <w:marBottom w:val="0"/>
          <w:divBdr>
            <w:top w:val="none" w:sz="0" w:space="0" w:color="auto"/>
            <w:left w:val="none" w:sz="0" w:space="0" w:color="auto"/>
            <w:bottom w:val="none" w:sz="0" w:space="0" w:color="auto"/>
            <w:right w:val="none" w:sz="0" w:space="0" w:color="auto"/>
          </w:divBdr>
        </w:div>
        <w:div w:id="555552315">
          <w:marLeft w:val="640"/>
          <w:marRight w:val="0"/>
          <w:marTop w:val="0"/>
          <w:marBottom w:val="0"/>
          <w:divBdr>
            <w:top w:val="none" w:sz="0" w:space="0" w:color="auto"/>
            <w:left w:val="none" w:sz="0" w:space="0" w:color="auto"/>
            <w:bottom w:val="none" w:sz="0" w:space="0" w:color="auto"/>
            <w:right w:val="none" w:sz="0" w:space="0" w:color="auto"/>
          </w:divBdr>
        </w:div>
        <w:div w:id="1201549">
          <w:marLeft w:val="640"/>
          <w:marRight w:val="0"/>
          <w:marTop w:val="0"/>
          <w:marBottom w:val="0"/>
          <w:divBdr>
            <w:top w:val="none" w:sz="0" w:space="0" w:color="auto"/>
            <w:left w:val="none" w:sz="0" w:space="0" w:color="auto"/>
            <w:bottom w:val="none" w:sz="0" w:space="0" w:color="auto"/>
            <w:right w:val="none" w:sz="0" w:space="0" w:color="auto"/>
          </w:divBdr>
        </w:div>
        <w:div w:id="1011687654">
          <w:marLeft w:val="640"/>
          <w:marRight w:val="0"/>
          <w:marTop w:val="0"/>
          <w:marBottom w:val="0"/>
          <w:divBdr>
            <w:top w:val="none" w:sz="0" w:space="0" w:color="auto"/>
            <w:left w:val="none" w:sz="0" w:space="0" w:color="auto"/>
            <w:bottom w:val="none" w:sz="0" w:space="0" w:color="auto"/>
            <w:right w:val="none" w:sz="0" w:space="0" w:color="auto"/>
          </w:divBdr>
        </w:div>
        <w:div w:id="645621811">
          <w:marLeft w:val="640"/>
          <w:marRight w:val="0"/>
          <w:marTop w:val="0"/>
          <w:marBottom w:val="0"/>
          <w:divBdr>
            <w:top w:val="none" w:sz="0" w:space="0" w:color="auto"/>
            <w:left w:val="none" w:sz="0" w:space="0" w:color="auto"/>
            <w:bottom w:val="none" w:sz="0" w:space="0" w:color="auto"/>
            <w:right w:val="none" w:sz="0" w:space="0" w:color="auto"/>
          </w:divBdr>
        </w:div>
        <w:div w:id="2006860925">
          <w:marLeft w:val="640"/>
          <w:marRight w:val="0"/>
          <w:marTop w:val="0"/>
          <w:marBottom w:val="0"/>
          <w:divBdr>
            <w:top w:val="none" w:sz="0" w:space="0" w:color="auto"/>
            <w:left w:val="none" w:sz="0" w:space="0" w:color="auto"/>
            <w:bottom w:val="none" w:sz="0" w:space="0" w:color="auto"/>
            <w:right w:val="none" w:sz="0" w:space="0" w:color="auto"/>
          </w:divBdr>
        </w:div>
        <w:div w:id="1630210910">
          <w:marLeft w:val="640"/>
          <w:marRight w:val="0"/>
          <w:marTop w:val="0"/>
          <w:marBottom w:val="0"/>
          <w:divBdr>
            <w:top w:val="none" w:sz="0" w:space="0" w:color="auto"/>
            <w:left w:val="none" w:sz="0" w:space="0" w:color="auto"/>
            <w:bottom w:val="none" w:sz="0" w:space="0" w:color="auto"/>
            <w:right w:val="none" w:sz="0" w:space="0" w:color="auto"/>
          </w:divBdr>
        </w:div>
        <w:div w:id="2093895611">
          <w:marLeft w:val="640"/>
          <w:marRight w:val="0"/>
          <w:marTop w:val="0"/>
          <w:marBottom w:val="0"/>
          <w:divBdr>
            <w:top w:val="none" w:sz="0" w:space="0" w:color="auto"/>
            <w:left w:val="none" w:sz="0" w:space="0" w:color="auto"/>
            <w:bottom w:val="none" w:sz="0" w:space="0" w:color="auto"/>
            <w:right w:val="none" w:sz="0" w:space="0" w:color="auto"/>
          </w:divBdr>
        </w:div>
        <w:div w:id="1498692215">
          <w:marLeft w:val="640"/>
          <w:marRight w:val="0"/>
          <w:marTop w:val="0"/>
          <w:marBottom w:val="0"/>
          <w:divBdr>
            <w:top w:val="none" w:sz="0" w:space="0" w:color="auto"/>
            <w:left w:val="none" w:sz="0" w:space="0" w:color="auto"/>
            <w:bottom w:val="none" w:sz="0" w:space="0" w:color="auto"/>
            <w:right w:val="none" w:sz="0" w:space="0" w:color="auto"/>
          </w:divBdr>
        </w:div>
        <w:div w:id="1994023894">
          <w:marLeft w:val="640"/>
          <w:marRight w:val="0"/>
          <w:marTop w:val="0"/>
          <w:marBottom w:val="0"/>
          <w:divBdr>
            <w:top w:val="none" w:sz="0" w:space="0" w:color="auto"/>
            <w:left w:val="none" w:sz="0" w:space="0" w:color="auto"/>
            <w:bottom w:val="none" w:sz="0" w:space="0" w:color="auto"/>
            <w:right w:val="none" w:sz="0" w:space="0" w:color="auto"/>
          </w:divBdr>
        </w:div>
        <w:div w:id="326136421">
          <w:marLeft w:val="640"/>
          <w:marRight w:val="0"/>
          <w:marTop w:val="0"/>
          <w:marBottom w:val="0"/>
          <w:divBdr>
            <w:top w:val="none" w:sz="0" w:space="0" w:color="auto"/>
            <w:left w:val="none" w:sz="0" w:space="0" w:color="auto"/>
            <w:bottom w:val="none" w:sz="0" w:space="0" w:color="auto"/>
            <w:right w:val="none" w:sz="0" w:space="0" w:color="auto"/>
          </w:divBdr>
        </w:div>
        <w:div w:id="944505503">
          <w:marLeft w:val="640"/>
          <w:marRight w:val="0"/>
          <w:marTop w:val="0"/>
          <w:marBottom w:val="0"/>
          <w:divBdr>
            <w:top w:val="none" w:sz="0" w:space="0" w:color="auto"/>
            <w:left w:val="none" w:sz="0" w:space="0" w:color="auto"/>
            <w:bottom w:val="none" w:sz="0" w:space="0" w:color="auto"/>
            <w:right w:val="none" w:sz="0" w:space="0" w:color="auto"/>
          </w:divBdr>
        </w:div>
        <w:div w:id="427697434">
          <w:marLeft w:val="640"/>
          <w:marRight w:val="0"/>
          <w:marTop w:val="0"/>
          <w:marBottom w:val="0"/>
          <w:divBdr>
            <w:top w:val="none" w:sz="0" w:space="0" w:color="auto"/>
            <w:left w:val="none" w:sz="0" w:space="0" w:color="auto"/>
            <w:bottom w:val="none" w:sz="0" w:space="0" w:color="auto"/>
            <w:right w:val="none" w:sz="0" w:space="0" w:color="auto"/>
          </w:divBdr>
        </w:div>
        <w:div w:id="737824182">
          <w:marLeft w:val="640"/>
          <w:marRight w:val="0"/>
          <w:marTop w:val="0"/>
          <w:marBottom w:val="0"/>
          <w:divBdr>
            <w:top w:val="none" w:sz="0" w:space="0" w:color="auto"/>
            <w:left w:val="none" w:sz="0" w:space="0" w:color="auto"/>
            <w:bottom w:val="none" w:sz="0" w:space="0" w:color="auto"/>
            <w:right w:val="none" w:sz="0" w:space="0" w:color="auto"/>
          </w:divBdr>
        </w:div>
        <w:div w:id="1008679190">
          <w:marLeft w:val="640"/>
          <w:marRight w:val="0"/>
          <w:marTop w:val="0"/>
          <w:marBottom w:val="0"/>
          <w:divBdr>
            <w:top w:val="none" w:sz="0" w:space="0" w:color="auto"/>
            <w:left w:val="none" w:sz="0" w:space="0" w:color="auto"/>
            <w:bottom w:val="none" w:sz="0" w:space="0" w:color="auto"/>
            <w:right w:val="none" w:sz="0" w:space="0" w:color="auto"/>
          </w:divBdr>
        </w:div>
        <w:div w:id="100148254">
          <w:marLeft w:val="640"/>
          <w:marRight w:val="0"/>
          <w:marTop w:val="0"/>
          <w:marBottom w:val="0"/>
          <w:divBdr>
            <w:top w:val="none" w:sz="0" w:space="0" w:color="auto"/>
            <w:left w:val="none" w:sz="0" w:space="0" w:color="auto"/>
            <w:bottom w:val="none" w:sz="0" w:space="0" w:color="auto"/>
            <w:right w:val="none" w:sz="0" w:space="0" w:color="auto"/>
          </w:divBdr>
        </w:div>
        <w:div w:id="418406960">
          <w:marLeft w:val="640"/>
          <w:marRight w:val="0"/>
          <w:marTop w:val="0"/>
          <w:marBottom w:val="0"/>
          <w:divBdr>
            <w:top w:val="none" w:sz="0" w:space="0" w:color="auto"/>
            <w:left w:val="none" w:sz="0" w:space="0" w:color="auto"/>
            <w:bottom w:val="none" w:sz="0" w:space="0" w:color="auto"/>
            <w:right w:val="none" w:sz="0" w:space="0" w:color="auto"/>
          </w:divBdr>
        </w:div>
        <w:div w:id="1730103908">
          <w:marLeft w:val="640"/>
          <w:marRight w:val="0"/>
          <w:marTop w:val="0"/>
          <w:marBottom w:val="0"/>
          <w:divBdr>
            <w:top w:val="none" w:sz="0" w:space="0" w:color="auto"/>
            <w:left w:val="none" w:sz="0" w:space="0" w:color="auto"/>
            <w:bottom w:val="none" w:sz="0" w:space="0" w:color="auto"/>
            <w:right w:val="none" w:sz="0" w:space="0" w:color="auto"/>
          </w:divBdr>
        </w:div>
        <w:div w:id="112791528">
          <w:marLeft w:val="640"/>
          <w:marRight w:val="0"/>
          <w:marTop w:val="0"/>
          <w:marBottom w:val="0"/>
          <w:divBdr>
            <w:top w:val="none" w:sz="0" w:space="0" w:color="auto"/>
            <w:left w:val="none" w:sz="0" w:space="0" w:color="auto"/>
            <w:bottom w:val="none" w:sz="0" w:space="0" w:color="auto"/>
            <w:right w:val="none" w:sz="0" w:space="0" w:color="auto"/>
          </w:divBdr>
        </w:div>
        <w:div w:id="1502771391">
          <w:marLeft w:val="640"/>
          <w:marRight w:val="0"/>
          <w:marTop w:val="0"/>
          <w:marBottom w:val="0"/>
          <w:divBdr>
            <w:top w:val="none" w:sz="0" w:space="0" w:color="auto"/>
            <w:left w:val="none" w:sz="0" w:space="0" w:color="auto"/>
            <w:bottom w:val="none" w:sz="0" w:space="0" w:color="auto"/>
            <w:right w:val="none" w:sz="0" w:space="0" w:color="auto"/>
          </w:divBdr>
        </w:div>
        <w:div w:id="1326395718">
          <w:marLeft w:val="640"/>
          <w:marRight w:val="0"/>
          <w:marTop w:val="0"/>
          <w:marBottom w:val="0"/>
          <w:divBdr>
            <w:top w:val="none" w:sz="0" w:space="0" w:color="auto"/>
            <w:left w:val="none" w:sz="0" w:space="0" w:color="auto"/>
            <w:bottom w:val="none" w:sz="0" w:space="0" w:color="auto"/>
            <w:right w:val="none" w:sz="0" w:space="0" w:color="auto"/>
          </w:divBdr>
        </w:div>
        <w:div w:id="1844854019">
          <w:marLeft w:val="640"/>
          <w:marRight w:val="0"/>
          <w:marTop w:val="0"/>
          <w:marBottom w:val="0"/>
          <w:divBdr>
            <w:top w:val="none" w:sz="0" w:space="0" w:color="auto"/>
            <w:left w:val="none" w:sz="0" w:space="0" w:color="auto"/>
            <w:bottom w:val="none" w:sz="0" w:space="0" w:color="auto"/>
            <w:right w:val="none" w:sz="0" w:space="0" w:color="auto"/>
          </w:divBdr>
        </w:div>
        <w:div w:id="317465344">
          <w:marLeft w:val="640"/>
          <w:marRight w:val="0"/>
          <w:marTop w:val="0"/>
          <w:marBottom w:val="0"/>
          <w:divBdr>
            <w:top w:val="none" w:sz="0" w:space="0" w:color="auto"/>
            <w:left w:val="none" w:sz="0" w:space="0" w:color="auto"/>
            <w:bottom w:val="none" w:sz="0" w:space="0" w:color="auto"/>
            <w:right w:val="none" w:sz="0" w:space="0" w:color="auto"/>
          </w:divBdr>
        </w:div>
        <w:div w:id="1354191450">
          <w:marLeft w:val="640"/>
          <w:marRight w:val="0"/>
          <w:marTop w:val="0"/>
          <w:marBottom w:val="0"/>
          <w:divBdr>
            <w:top w:val="none" w:sz="0" w:space="0" w:color="auto"/>
            <w:left w:val="none" w:sz="0" w:space="0" w:color="auto"/>
            <w:bottom w:val="none" w:sz="0" w:space="0" w:color="auto"/>
            <w:right w:val="none" w:sz="0" w:space="0" w:color="auto"/>
          </w:divBdr>
        </w:div>
        <w:div w:id="2138983194">
          <w:marLeft w:val="640"/>
          <w:marRight w:val="0"/>
          <w:marTop w:val="0"/>
          <w:marBottom w:val="0"/>
          <w:divBdr>
            <w:top w:val="none" w:sz="0" w:space="0" w:color="auto"/>
            <w:left w:val="none" w:sz="0" w:space="0" w:color="auto"/>
            <w:bottom w:val="none" w:sz="0" w:space="0" w:color="auto"/>
            <w:right w:val="none" w:sz="0" w:space="0" w:color="auto"/>
          </w:divBdr>
        </w:div>
        <w:div w:id="1063288820">
          <w:marLeft w:val="640"/>
          <w:marRight w:val="0"/>
          <w:marTop w:val="0"/>
          <w:marBottom w:val="0"/>
          <w:divBdr>
            <w:top w:val="none" w:sz="0" w:space="0" w:color="auto"/>
            <w:left w:val="none" w:sz="0" w:space="0" w:color="auto"/>
            <w:bottom w:val="none" w:sz="0" w:space="0" w:color="auto"/>
            <w:right w:val="none" w:sz="0" w:space="0" w:color="auto"/>
          </w:divBdr>
        </w:div>
        <w:div w:id="113139924">
          <w:marLeft w:val="640"/>
          <w:marRight w:val="0"/>
          <w:marTop w:val="0"/>
          <w:marBottom w:val="0"/>
          <w:divBdr>
            <w:top w:val="none" w:sz="0" w:space="0" w:color="auto"/>
            <w:left w:val="none" w:sz="0" w:space="0" w:color="auto"/>
            <w:bottom w:val="none" w:sz="0" w:space="0" w:color="auto"/>
            <w:right w:val="none" w:sz="0" w:space="0" w:color="auto"/>
          </w:divBdr>
        </w:div>
        <w:div w:id="715086167">
          <w:marLeft w:val="640"/>
          <w:marRight w:val="0"/>
          <w:marTop w:val="0"/>
          <w:marBottom w:val="0"/>
          <w:divBdr>
            <w:top w:val="none" w:sz="0" w:space="0" w:color="auto"/>
            <w:left w:val="none" w:sz="0" w:space="0" w:color="auto"/>
            <w:bottom w:val="none" w:sz="0" w:space="0" w:color="auto"/>
            <w:right w:val="none" w:sz="0" w:space="0" w:color="auto"/>
          </w:divBdr>
        </w:div>
        <w:div w:id="70321846">
          <w:marLeft w:val="640"/>
          <w:marRight w:val="0"/>
          <w:marTop w:val="0"/>
          <w:marBottom w:val="0"/>
          <w:divBdr>
            <w:top w:val="none" w:sz="0" w:space="0" w:color="auto"/>
            <w:left w:val="none" w:sz="0" w:space="0" w:color="auto"/>
            <w:bottom w:val="none" w:sz="0" w:space="0" w:color="auto"/>
            <w:right w:val="none" w:sz="0" w:space="0" w:color="auto"/>
          </w:divBdr>
        </w:div>
        <w:div w:id="2035879890">
          <w:marLeft w:val="640"/>
          <w:marRight w:val="0"/>
          <w:marTop w:val="0"/>
          <w:marBottom w:val="0"/>
          <w:divBdr>
            <w:top w:val="none" w:sz="0" w:space="0" w:color="auto"/>
            <w:left w:val="none" w:sz="0" w:space="0" w:color="auto"/>
            <w:bottom w:val="none" w:sz="0" w:space="0" w:color="auto"/>
            <w:right w:val="none" w:sz="0" w:space="0" w:color="auto"/>
          </w:divBdr>
        </w:div>
        <w:div w:id="807893451">
          <w:marLeft w:val="640"/>
          <w:marRight w:val="0"/>
          <w:marTop w:val="0"/>
          <w:marBottom w:val="0"/>
          <w:divBdr>
            <w:top w:val="none" w:sz="0" w:space="0" w:color="auto"/>
            <w:left w:val="none" w:sz="0" w:space="0" w:color="auto"/>
            <w:bottom w:val="none" w:sz="0" w:space="0" w:color="auto"/>
            <w:right w:val="none" w:sz="0" w:space="0" w:color="auto"/>
          </w:divBdr>
        </w:div>
        <w:div w:id="1911114053">
          <w:marLeft w:val="640"/>
          <w:marRight w:val="0"/>
          <w:marTop w:val="0"/>
          <w:marBottom w:val="0"/>
          <w:divBdr>
            <w:top w:val="none" w:sz="0" w:space="0" w:color="auto"/>
            <w:left w:val="none" w:sz="0" w:space="0" w:color="auto"/>
            <w:bottom w:val="none" w:sz="0" w:space="0" w:color="auto"/>
            <w:right w:val="none" w:sz="0" w:space="0" w:color="auto"/>
          </w:divBdr>
        </w:div>
        <w:div w:id="831724423">
          <w:marLeft w:val="640"/>
          <w:marRight w:val="0"/>
          <w:marTop w:val="0"/>
          <w:marBottom w:val="0"/>
          <w:divBdr>
            <w:top w:val="none" w:sz="0" w:space="0" w:color="auto"/>
            <w:left w:val="none" w:sz="0" w:space="0" w:color="auto"/>
            <w:bottom w:val="none" w:sz="0" w:space="0" w:color="auto"/>
            <w:right w:val="none" w:sz="0" w:space="0" w:color="auto"/>
          </w:divBdr>
        </w:div>
        <w:div w:id="1500999135">
          <w:marLeft w:val="640"/>
          <w:marRight w:val="0"/>
          <w:marTop w:val="0"/>
          <w:marBottom w:val="0"/>
          <w:divBdr>
            <w:top w:val="none" w:sz="0" w:space="0" w:color="auto"/>
            <w:left w:val="none" w:sz="0" w:space="0" w:color="auto"/>
            <w:bottom w:val="none" w:sz="0" w:space="0" w:color="auto"/>
            <w:right w:val="none" w:sz="0" w:space="0" w:color="auto"/>
          </w:divBdr>
        </w:div>
        <w:div w:id="1822694842">
          <w:marLeft w:val="640"/>
          <w:marRight w:val="0"/>
          <w:marTop w:val="0"/>
          <w:marBottom w:val="0"/>
          <w:divBdr>
            <w:top w:val="none" w:sz="0" w:space="0" w:color="auto"/>
            <w:left w:val="none" w:sz="0" w:space="0" w:color="auto"/>
            <w:bottom w:val="none" w:sz="0" w:space="0" w:color="auto"/>
            <w:right w:val="none" w:sz="0" w:space="0" w:color="auto"/>
          </w:divBdr>
        </w:div>
        <w:div w:id="783116037">
          <w:marLeft w:val="640"/>
          <w:marRight w:val="0"/>
          <w:marTop w:val="0"/>
          <w:marBottom w:val="0"/>
          <w:divBdr>
            <w:top w:val="none" w:sz="0" w:space="0" w:color="auto"/>
            <w:left w:val="none" w:sz="0" w:space="0" w:color="auto"/>
            <w:bottom w:val="none" w:sz="0" w:space="0" w:color="auto"/>
            <w:right w:val="none" w:sz="0" w:space="0" w:color="auto"/>
          </w:divBdr>
        </w:div>
        <w:div w:id="1947151254">
          <w:marLeft w:val="640"/>
          <w:marRight w:val="0"/>
          <w:marTop w:val="0"/>
          <w:marBottom w:val="0"/>
          <w:divBdr>
            <w:top w:val="none" w:sz="0" w:space="0" w:color="auto"/>
            <w:left w:val="none" w:sz="0" w:space="0" w:color="auto"/>
            <w:bottom w:val="none" w:sz="0" w:space="0" w:color="auto"/>
            <w:right w:val="none" w:sz="0" w:space="0" w:color="auto"/>
          </w:divBdr>
        </w:div>
        <w:div w:id="1799177486">
          <w:marLeft w:val="640"/>
          <w:marRight w:val="0"/>
          <w:marTop w:val="0"/>
          <w:marBottom w:val="0"/>
          <w:divBdr>
            <w:top w:val="none" w:sz="0" w:space="0" w:color="auto"/>
            <w:left w:val="none" w:sz="0" w:space="0" w:color="auto"/>
            <w:bottom w:val="none" w:sz="0" w:space="0" w:color="auto"/>
            <w:right w:val="none" w:sz="0" w:space="0" w:color="auto"/>
          </w:divBdr>
        </w:div>
        <w:div w:id="757562312">
          <w:marLeft w:val="640"/>
          <w:marRight w:val="0"/>
          <w:marTop w:val="0"/>
          <w:marBottom w:val="0"/>
          <w:divBdr>
            <w:top w:val="none" w:sz="0" w:space="0" w:color="auto"/>
            <w:left w:val="none" w:sz="0" w:space="0" w:color="auto"/>
            <w:bottom w:val="none" w:sz="0" w:space="0" w:color="auto"/>
            <w:right w:val="none" w:sz="0" w:space="0" w:color="auto"/>
          </w:divBdr>
        </w:div>
        <w:div w:id="1488865756">
          <w:marLeft w:val="640"/>
          <w:marRight w:val="0"/>
          <w:marTop w:val="0"/>
          <w:marBottom w:val="0"/>
          <w:divBdr>
            <w:top w:val="none" w:sz="0" w:space="0" w:color="auto"/>
            <w:left w:val="none" w:sz="0" w:space="0" w:color="auto"/>
            <w:bottom w:val="none" w:sz="0" w:space="0" w:color="auto"/>
            <w:right w:val="none" w:sz="0" w:space="0" w:color="auto"/>
          </w:divBdr>
        </w:div>
        <w:div w:id="719133514">
          <w:marLeft w:val="640"/>
          <w:marRight w:val="0"/>
          <w:marTop w:val="0"/>
          <w:marBottom w:val="0"/>
          <w:divBdr>
            <w:top w:val="none" w:sz="0" w:space="0" w:color="auto"/>
            <w:left w:val="none" w:sz="0" w:space="0" w:color="auto"/>
            <w:bottom w:val="none" w:sz="0" w:space="0" w:color="auto"/>
            <w:right w:val="none" w:sz="0" w:space="0" w:color="auto"/>
          </w:divBdr>
        </w:div>
        <w:div w:id="1580821372">
          <w:marLeft w:val="640"/>
          <w:marRight w:val="0"/>
          <w:marTop w:val="0"/>
          <w:marBottom w:val="0"/>
          <w:divBdr>
            <w:top w:val="none" w:sz="0" w:space="0" w:color="auto"/>
            <w:left w:val="none" w:sz="0" w:space="0" w:color="auto"/>
            <w:bottom w:val="none" w:sz="0" w:space="0" w:color="auto"/>
            <w:right w:val="none" w:sz="0" w:space="0" w:color="auto"/>
          </w:divBdr>
        </w:div>
        <w:div w:id="1613517464">
          <w:marLeft w:val="640"/>
          <w:marRight w:val="0"/>
          <w:marTop w:val="0"/>
          <w:marBottom w:val="0"/>
          <w:divBdr>
            <w:top w:val="none" w:sz="0" w:space="0" w:color="auto"/>
            <w:left w:val="none" w:sz="0" w:space="0" w:color="auto"/>
            <w:bottom w:val="none" w:sz="0" w:space="0" w:color="auto"/>
            <w:right w:val="none" w:sz="0" w:space="0" w:color="auto"/>
          </w:divBdr>
        </w:div>
        <w:div w:id="1148595185">
          <w:marLeft w:val="640"/>
          <w:marRight w:val="0"/>
          <w:marTop w:val="0"/>
          <w:marBottom w:val="0"/>
          <w:divBdr>
            <w:top w:val="none" w:sz="0" w:space="0" w:color="auto"/>
            <w:left w:val="none" w:sz="0" w:space="0" w:color="auto"/>
            <w:bottom w:val="none" w:sz="0" w:space="0" w:color="auto"/>
            <w:right w:val="none" w:sz="0" w:space="0" w:color="auto"/>
          </w:divBdr>
        </w:div>
        <w:div w:id="65687661">
          <w:marLeft w:val="640"/>
          <w:marRight w:val="0"/>
          <w:marTop w:val="0"/>
          <w:marBottom w:val="0"/>
          <w:divBdr>
            <w:top w:val="none" w:sz="0" w:space="0" w:color="auto"/>
            <w:left w:val="none" w:sz="0" w:space="0" w:color="auto"/>
            <w:bottom w:val="none" w:sz="0" w:space="0" w:color="auto"/>
            <w:right w:val="none" w:sz="0" w:space="0" w:color="auto"/>
          </w:divBdr>
        </w:div>
        <w:div w:id="1856462549">
          <w:marLeft w:val="640"/>
          <w:marRight w:val="0"/>
          <w:marTop w:val="0"/>
          <w:marBottom w:val="0"/>
          <w:divBdr>
            <w:top w:val="none" w:sz="0" w:space="0" w:color="auto"/>
            <w:left w:val="none" w:sz="0" w:space="0" w:color="auto"/>
            <w:bottom w:val="none" w:sz="0" w:space="0" w:color="auto"/>
            <w:right w:val="none" w:sz="0" w:space="0" w:color="auto"/>
          </w:divBdr>
        </w:div>
        <w:div w:id="562521977">
          <w:marLeft w:val="640"/>
          <w:marRight w:val="0"/>
          <w:marTop w:val="0"/>
          <w:marBottom w:val="0"/>
          <w:divBdr>
            <w:top w:val="none" w:sz="0" w:space="0" w:color="auto"/>
            <w:left w:val="none" w:sz="0" w:space="0" w:color="auto"/>
            <w:bottom w:val="none" w:sz="0" w:space="0" w:color="auto"/>
            <w:right w:val="none" w:sz="0" w:space="0" w:color="auto"/>
          </w:divBdr>
        </w:div>
        <w:div w:id="541208624">
          <w:marLeft w:val="640"/>
          <w:marRight w:val="0"/>
          <w:marTop w:val="0"/>
          <w:marBottom w:val="0"/>
          <w:divBdr>
            <w:top w:val="none" w:sz="0" w:space="0" w:color="auto"/>
            <w:left w:val="none" w:sz="0" w:space="0" w:color="auto"/>
            <w:bottom w:val="none" w:sz="0" w:space="0" w:color="auto"/>
            <w:right w:val="none" w:sz="0" w:space="0" w:color="auto"/>
          </w:divBdr>
        </w:div>
        <w:div w:id="1402098823">
          <w:marLeft w:val="640"/>
          <w:marRight w:val="0"/>
          <w:marTop w:val="0"/>
          <w:marBottom w:val="0"/>
          <w:divBdr>
            <w:top w:val="none" w:sz="0" w:space="0" w:color="auto"/>
            <w:left w:val="none" w:sz="0" w:space="0" w:color="auto"/>
            <w:bottom w:val="none" w:sz="0" w:space="0" w:color="auto"/>
            <w:right w:val="none" w:sz="0" w:space="0" w:color="auto"/>
          </w:divBdr>
        </w:div>
        <w:div w:id="494225749">
          <w:marLeft w:val="640"/>
          <w:marRight w:val="0"/>
          <w:marTop w:val="0"/>
          <w:marBottom w:val="0"/>
          <w:divBdr>
            <w:top w:val="none" w:sz="0" w:space="0" w:color="auto"/>
            <w:left w:val="none" w:sz="0" w:space="0" w:color="auto"/>
            <w:bottom w:val="none" w:sz="0" w:space="0" w:color="auto"/>
            <w:right w:val="none" w:sz="0" w:space="0" w:color="auto"/>
          </w:divBdr>
        </w:div>
        <w:div w:id="1609465095">
          <w:marLeft w:val="640"/>
          <w:marRight w:val="0"/>
          <w:marTop w:val="0"/>
          <w:marBottom w:val="0"/>
          <w:divBdr>
            <w:top w:val="none" w:sz="0" w:space="0" w:color="auto"/>
            <w:left w:val="none" w:sz="0" w:space="0" w:color="auto"/>
            <w:bottom w:val="none" w:sz="0" w:space="0" w:color="auto"/>
            <w:right w:val="none" w:sz="0" w:space="0" w:color="auto"/>
          </w:divBdr>
        </w:div>
        <w:div w:id="1012102741">
          <w:marLeft w:val="640"/>
          <w:marRight w:val="0"/>
          <w:marTop w:val="0"/>
          <w:marBottom w:val="0"/>
          <w:divBdr>
            <w:top w:val="none" w:sz="0" w:space="0" w:color="auto"/>
            <w:left w:val="none" w:sz="0" w:space="0" w:color="auto"/>
            <w:bottom w:val="none" w:sz="0" w:space="0" w:color="auto"/>
            <w:right w:val="none" w:sz="0" w:space="0" w:color="auto"/>
          </w:divBdr>
        </w:div>
        <w:div w:id="1077095035">
          <w:marLeft w:val="640"/>
          <w:marRight w:val="0"/>
          <w:marTop w:val="0"/>
          <w:marBottom w:val="0"/>
          <w:divBdr>
            <w:top w:val="none" w:sz="0" w:space="0" w:color="auto"/>
            <w:left w:val="none" w:sz="0" w:space="0" w:color="auto"/>
            <w:bottom w:val="none" w:sz="0" w:space="0" w:color="auto"/>
            <w:right w:val="none" w:sz="0" w:space="0" w:color="auto"/>
          </w:divBdr>
        </w:div>
        <w:div w:id="2038315012">
          <w:marLeft w:val="640"/>
          <w:marRight w:val="0"/>
          <w:marTop w:val="0"/>
          <w:marBottom w:val="0"/>
          <w:divBdr>
            <w:top w:val="none" w:sz="0" w:space="0" w:color="auto"/>
            <w:left w:val="none" w:sz="0" w:space="0" w:color="auto"/>
            <w:bottom w:val="none" w:sz="0" w:space="0" w:color="auto"/>
            <w:right w:val="none" w:sz="0" w:space="0" w:color="auto"/>
          </w:divBdr>
        </w:div>
        <w:div w:id="1582371674">
          <w:marLeft w:val="640"/>
          <w:marRight w:val="0"/>
          <w:marTop w:val="0"/>
          <w:marBottom w:val="0"/>
          <w:divBdr>
            <w:top w:val="none" w:sz="0" w:space="0" w:color="auto"/>
            <w:left w:val="none" w:sz="0" w:space="0" w:color="auto"/>
            <w:bottom w:val="none" w:sz="0" w:space="0" w:color="auto"/>
            <w:right w:val="none" w:sz="0" w:space="0" w:color="auto"/>
          </w:divBdr>
        </w:div>
        <w:div w:id="1805466147">
          <w:marLeft w:val="640"/>
          <w:marRight w:val="0"/>
          <w:marTop w:val="0"/>
          <w:marBottom w:val="0"/>
          <w:divBdr>
            <w:top w:val="none" w:sz="0" w:space="0" w:color="auto"/>
            <w:left w:val="none" w:sz="0" w:space="0" w:color="auto"/>
            <w:bottom w:val="none" w:sz="0" w:space="0" w:color="auto"/>
            <w:right w:val="none" w:sz="0" w:space="0" w:color="auto"/>
          </w:divBdr>
        </w:div>
        <w:div w:id="566764023">
          <w:marLeft w:val="640"/>
          <w:marRight w:val="0"/>
          <w:marTop w:val="0"/>
          <w:marBottom w:val="0"/>
          <w:divBdr>
            <w:top w:val="none" w:sz="0" w:space="0" w:color="auto"/>
            <w:left w:val="none" w:sz="0" w:space="0" w:color="auto"/>
            <w:bottom w:val="none" w:sz="0" w:space="0" w:color="auto"/>
            <w:right w:val="none" w:sz="0" w:space="0" w:color="auto"/>
          </w:divBdr>
        </w:div>
        <w:div w:id="1340043045">
          <w:marLeft w:val="640"/>
          <w:marRight w:val="0"/>
          <w:marTop w:val="0"/>
          <w:marBottom w:val="0"/>
          <w:divBdr>
            <w:top w:val="none" w:sz="0" w:space="0" w:color="auto"/>
            <w:left w:val="none" w:sz="0" w:space="0" w:color="auto"/>
            <w:bottom w:val="none" w:sz="0" w:space="0" w:color="auto"/>
            <w:right w:val="none" w:sz="0" w:space="0" w:color="auto"/>
          </w:divBdr>
        </w:div>
        <w:div w:id="1085955169">
          <w:marLeft w:val="640"/>
          <w:marRight w:val="0"/>
          <w:marTop w:val="0"/>
          <w:marBottom w:val="0"/>
          <w:divBdr>
            <w:top w:val="none" w:sz="0" w:space="0" w:color="auto"/>
            <w:left w:val="none" w:sz="0" w:space="0" w:color="auto"/>
            <w:bottom w:val="none" w:sz="0" w:space="0" w:color="auto"/>
            <w:right w:val="none" w:sz="0" w:space="0" w:color="auto"/>
          </w:divBdr>
        </w:div>
        <w:div w:id="1055616855">
          <w:marLeft w:val="640"/>
          <w:marRight w:val="0"/>
          <w:marTop w:val="0"/>
          <w:marBottom w:val="0"/>
          <w:divBdr>
            <w:top w:val="none" w:sz="0" w:space="0" w:color="auto"/>
            <w:left w:val="none" w:sz="0" w:space="0" w:color="auto"/>
            <w:bottom w:val="none" w:sz="0" w:space="0" w:color="auto"/>
            <w:right w:val="none" w:sz="0" w:space="0" w:color="auto"/>
          </w:divBdr>
        </w:div>
        <w:div w:id="203568929">
          <w:marLeft w:val="640"/>
          <w:marRight w:val="0"/>
          <w:marTop w:val="0"/>
          <w:marBottom w:val="0"/>
          <w:divBdr>
            <w:top w:val="none" w:sz="0" w:space="0" w:color="auto"/>
            <w:left w:val="none" w:sz="0" w:space="0" w:color="auto"/>
            <w:bottom w:val="none" w:sz="0" w:space="0" w:color="auto"/>
            <w:right w:val="none" w:sz="0" w:space="0" w:color="auto"/>
          </w:divBdr>
        </w:div>
        <w:div w:id="224075706">
          <w:marLeft w:val="640"/>
          <w:marRight w:val="0"/>
          <w:marTop w:val="0"/>
          <w:marBottom w:val="0"/>
          <w:divBdr>
            <w:top w:val="none" w:sz="0" w:space="0" w:color="auto"/>
            <w:left w:val="none" w:sz="0" w:space="0" w:color="auto"/>
            <w:bottom w:val="none" w:sz="0" w:space="0" w:color="auto"/>
            <w:right w:val="none" w:sz="0" w:space="0" w:color="auto"/>
          </w:divBdr>
        </w:div>
        <w:div w:id="1642036433">
          <w:marLeft w:val="640"/>
          <w:marRight w:val="0"/>
          <w:marTop w:val="0"/>
          <w:marBottom w:val="0"/>
          <w:divBdr>
            <w:top w:val="none" w:sz="0" w:space="0" w:color="auto"/>
            <w:left w:val="none" w:sz="0" w:space="0" w:color="auto"/>
            <w:bottom w:val="none" w:sz="0" w:space="0" w:color="auto"/>
            <w:right w:val="none" w:sz="0" w:space="0" w:color="auto"/>
          </w:divBdr>
        </w:div>
        <w:div w:id="873926489">
          <w:marLeft w:val="640"/>
          <w:marRight w:val="0"/>
          <w:marTop w:val="0"/>
          <w:marBottom w:val="0"/>
          <w:divBdr>
            <w:top w:val="none" w:sz="0" w:space="0" w:color="auto"/>
            <w:left w:val="none" w:sz="0" w:space="0" w:color="auto"/>
            <w:bottom w:val="none" w:sz="0" w:space="0" w:color="auto"/>
            <w:right w:val="none" w:sz="0" w:space="0" w:color="auto"/>
          </w:divBdr>
        </w:div>
        <w:div w:id="544760960">
          <w:marLeft w:val="640"/>
          <w:marRight w:val="0"/>
          <w:marTop w:val="0"/>
          <w:marBottom w:val="0"/>
          <w:divBdr>
            <w:top w:val="none" w:sz="0" w:space="0" w:color="auto"/>
            <w:left w:val="none" w:sz="0" w:space="0" w:color="auto"/>
            <w:bottom w:val="none" w:sz="0" w:space="0" w:color="auto"/>
            <w:right w:val="none" w:sz="0" w:space="0" w:color="auto"/>
          </w:divBdr>
        </w:div>
        <w:div w:id="1318338251">
          <w:marLeft w:val="640"/>
          <w:marRight w:val="0"/>
          <w:marTop w:val="0"/>
          <w:marBottom w:val="0"/>
          <w:divBdr>
            <w:top w:val="none" w:sz="0" w:space="0" w:color="auto"/>
            <w:left w:val="none" w:sz="0" w:space="0" w:color="auto"/>
            <w:bottom w:val="none" w:sz="0" w:space="0" w:color="auto"/>
            <w:right w:val="none" w:sz="0" w:space="0" w:color="auto"/>
          </w:divBdr>
        </w:div>
        <w:div w:id="147021032">
          <w:marLeft w:val="640"/>
          <w:marRight w:val="0"/>
          <w:marTop w:val="0"/>
          <w:marBottom w:val="0"/>
          <w:divBdr>
            <w:top w:val="none" w:sz="0" w:space="0" w:color="auto"/>
            <w:left w:val="none" w:sz="0" w:space="0" w:color="auto"/>
            <w:bottom w:val="none" w:sz="0" w:space="0" w:color="auto"/>
            <w:right w:val="none" w:sz="0" w:space="0" w:color="auto"/>
          </w:divBdr>
        </w:div>
        <w:div w:id="1900895843">
          <w:marLeft w:val="640"/>
          <w:marRight w:val="0"/>
          <w:marTop w:val="0"/>
          <w:marBottom w:val="0"/>
          <w:divBdr>
            <w:top w:val="none" w:sz="0" w:space="0" w:color="auto"/>
            <w:left w:val="none" w:sz="0" w:space="0" w:color="auto"/>
            <w:bottom w:val="none" w:sz="0" w:space="0" w:color="auto"/>
            <w:right w:val="none" w:sz="0" w:space="0" w:color="auto"/>
          </w:divBdr>
        </w:div>
        <w:div w:id="969169493">
          <w:marLeft w:val="640"/>
          <w:marRight w:val="0"/>
          <w:marTop w:val="0"/>
          <w:marBottom w:val="0"/>
          <w:divBdr>
            <w:top w:val="none" w:sz="0" w:space="0" w:color="auto"/>
            <w:left w:val="none" w:sz="0" w:space="0" w:color="auto"/>
            <w:bottom w:val="none" w:sz="0" w:space="0" w:color="auto"/>
            <w:right w:val="none" w:sz="0" w:space="0" w:color="auto"/>
          </w:divBdr>
        </w:div>
        <w:div w:id="444085126">
          <w:marLeft w:val="640"/>
          <w:marRight w:val="0"/>
          <w:marTop w:val="0"/>
          <w:marBottom w:val="0"/>
          <w:divBdr>
            <w:top w:val="none" w:sz="0" w:space="0" w:color="auto"/>
            <w:left w:val="none" w:sz="0" w:space="0" w:color="auto"/>
            <w:bottom w:val="none" w:sz="0" w:space="0" w:color="auto"/>
            <w:right w:val="none" w:sz="0" w:space="0" w:color="auto"/>
          </w:divBdr>
        </w:div>
        <w:div w:id="1412312152">
          <w:marLeft w:val="640"/>
          <w:marRight w:val="0"/>
          <w:marTop w:val="0"/>
          <w:marBottom w:val="0"/>
          <w:divBdr>
            <w:top w:val="none" w:sz="0" w:space="0" w:color="auto"/>
            <w:left w:val="none" w:sz="0" w:space="0" w:color="auto"/>
            <w:bottom w:val="none" w:sz="0" w:space="0" w:color="auto"/>
            <w:right w:val="none" w:sz="0" w:space="0" w:color="auto"/>
          </w:divBdr>
        </w:div>
        <w:div w:id="216858924">
          <w:marLeft w:val="640"/>
          <w:marRight w:val="0"/>
          <w:marTop w:val="0"/>
          <w:marBottom w:val="0"/>
          <w:divBdr>
            <w:top w:val="none" w:sz="0" w:space="0" w:color="auto"/>
            <w:left w:val="none" w:sz="0" w:space="0" w:color="auto"/>
            <w:bottom w:val="none" w:sz="0" w:space="0" w:color="auto"/>
            <w:right w:val="none" w:sz="0" w:space="0" w:color="auto"/>
          </w:divBdr>
        </w:div>
        <w:div w:id="999691998">
          <w:marLeft w:val="640"/>
          <w:marRight w:val="0"/>
          <w:marTop w:val="0"/>
          <w:marBottom w:val="0"/>
          <w:divBdr>
            <w:top w:val="none" w:sz="0" w:space="0" w:color="auto"/>
            <w:left w:val="none" w:sz="0" w:space="0" w:color="auto"/>
            <w:bottom w:val="none" w:sz="0" w:space="0" w:color="auto"/>
            <w:right w:val="none" w:sz="0" w:space="0" w:color="auto"/>
          </w:divBdr>
        </w:div>
        <w:div w:id="1973707388">
          <w:marLeft w:val="640"/>
          <w:marRight w:val="0"/>
          <w:marTop w:val="0"/>
          <w:marBottom w:val="0"/>
          <w:divBdr>
            <w:top w:val="none" w:sz="0" w:space="0" w:color="auto"/>
            <w:left w:val="none" w:sz="0" w:space="0" w:color="auto"/>
            <w:bottom w:val="none" w:sz="0" w:space="0" w:color="auto"/>
            <w:right w:val="none" w:sz="0" w:space="0" w:color="auto"/>
          </w:divBdr>
        </w:div>
        <w:div w:id="1182088203">
          <w:marLeft w:val="640"/>
          <w:marRight w:val="0"/>
          <w:marTop w:val="0"/>
          <w:marBottom w:val="0"/>
          <w:divBdr>
            <w:top w:val="none" w:sz="0" w:space="0" w:color="auto"/>
            <w:left w:val="none" w:sz="0" w:space="0" w:color="auto"/>
            <w:bottom w:val="none" w:sz="0" w:space="0" w:color="auto"/>
            <w:right w:val="none" w:sz="0" w:space="0" w:color="auto"/>
          </w:divBdr>
        </w:div>
        <w:div w:id="1444303376">
          <w:marLeft w:val="640"/>
          <w:marRight w:val="0"/>
          <w:marTop w:val="0"/>
          <w:marBottom w:val="0"/>
          <w:divBdr>
            <w:top w:val="none" w:sz="0" w:space="0" w:color="auto"/>
            <w:left w:val="none" w:sz="0" w:space="0" w:color="auto"/>
            <w:bottom w:val="none" w:sz="0" w:space="0" w:color="auto"/>
            <w:right w:val="none" w:sz="0" w:space="0" w:color="auto"/>
          </w:divBdr>
        </w:div>
        <w:div w:id="1652975786">
          <w:marLeft w:val="640"/>
          <w:marRight w:val="0"/>
          <w:marTop w:val="0"/>
          <w:marBottom w:val="0"/>
          <w:divBdr>
            <w:top w:val="none" w:sz="0" w:space="0" w:color="auto"/>
            <w:left w:val="none" w:sz="0" w:space="0" w:color="auto"/>
            <w:bottom w:val="none" w:sz="0" w:space="0" w:color="auto"/>
            <w:right w:val="none" w:sz="0" w:space="0" w:color="auto"/>
          </w:divBdr>
        </w:div>
        <w:div w:id="362218865">
          <w:marLeft w:val="640"/>
          <w:marRight w:val="0"/>
          <w:marTop w:val="0"/>
          <w:marBottom w:val="0"/>
          <w:divBdr>
            <w:top w:val="none" w:sz="0" w:space="0" w:color="auto"/>
            <w:left w:val="none" w:sz="0" w:space="0" w:color="auto"/>
            <w:bottom w:val="none" w:sz="0" w:space="0" w:color="auto"/>
            <w:right w:val="none" w:sz="0" w:space="0" w:color="auto"/>
          </w:divBdr>
        </w:div>
        <w:div w:id="501941768">
          <w:marLeft w:val="640"/>
          <w:marRight w:val="0"/>
          <w:marTop w:val="0"/>
          <w:marBottom w:val="0"/>
          <w:divBdr>
            <w:top w:val="none" w:sz="0" w:space="0" w:color="auto"/>
            <w:left w:val="none" w:sz="0" w:space="0" w:color="auto"/>
            <w:bottom w:val="none" w:sz="0" w:space="0" w:color="auto"/>
            <w:right w:val="none" w:sz="0" w:space="0" w:color="auto"/>
          </w:divBdr>
        </w:div>
        <w:div w:id="1307318340">
          <w:marLeft w:val="640"/>
          <w:marRight w:val="0"/>
          <w:marTop w:val="0"/>
          <w:marBottom w:val="0"/>
          <w:divBdr>
            <w:top w:val="none" w:sz="0" w:space="0" w:color="auto"/>
            <w:left w:val="none" w:sz="0" w:space="0" w:color="auto"/>
            <w:bottom w:val="none" w:sz="0" w:space="0" w:color="auto"/>
            <w:right w:val="none" w:sz="0" w:space="0" w:color="auto"/>
          </w:divBdr>
        </w:div>
        <w:div w:id="1844011939">
          <w:marLeft w:val="640"/>
          <w:marRight w:val="0"/>
          <w:marTop w:val="0"/>
          <w:marBottom w:val="0"/>
          <w:divBdr>
            <w:top w:val="none" w:sz="0" w:space="0" w:color="auto"/>
            <w:left w:val="none" w:sz="0" w:space="0" w:color="auto"/>
            <w:bottom w:val="none" w:sz="0" w:space="0" w:color="auto"/>
            <w:right w:val="none" w:sz="0" w:space="0" w:color="auto"/>
          </w:divBdr>
        </w:div>
        <w:div w:id="721439508">
          <w:marLeft w:val="640"/>
          <w:marRight w:val="0"/>
          <w:marTop w:val="0"/>
          <w:marBottom w:val="0"/>
          <w:divBdr>
            <w:top w:val="none" w:sz="0" w:space="0" w:color="auto"/>
            <w:left w:val="none" w:sz="0" w:space="0" w:color="auto"/>
            <w:bottom w:val="none" w:sz="0" w:space="0" w:color="auto"/>
            <w:right w:val="none" w:sz="0" w:space="0" w:color="auto"/>
          </w:divBdr>
        </w:div>
        <w:div w:id="1527717203">
          <w:marLeft w:val="640"/>
          <w:marRight w:val="0"/>
          <w:marTop w:val="0"/>
          <w:marBottom w:val="0"/>
          <w:divBdr>
            <w:top w:val="none" w:sz="0" w:space="0" w:color="auto"/>
            <w:left w:val="none" w:sz="0" w:space="0" w:color="auto"/>
            <w:bottom w:val="none" w:sz="0" w:space="0" w:color="auto"/>
            <w:right w:val="none" w:sz="0" w:space="0" w:color="auto"/>
          </w:divBdr>
        </w:div>
        <w:div w:id="1049038845">
          <w:marLeft w:val="640"/>
          <w:marRight w:val="0"/>
          <w:marTop w:val="0"/>
          <w:marBottom w:val="0"/>
          <w:divBdr>
            <w:top w:val="none" w:sz="0" w:space="0" w:color="auto"/>
            <w:left w:val="none" w:sz="0" w:space="0" w:color="auto"/>
            <w:bottom w:val="none" w:sz="0" w:space="0" w:color="auto"/>
            <w:right w:val="none" w:sz="0" w:space="0" w:color="auto"/>
          </w:divBdr>
        </w:div>
        <w:div w:id="1721324631">
          <w:marLeft w:val="640"/>
          <w:marRight w:val="0"/>
          <w:marTop w:val="0"/>
          <w:marBottom w:val="0"/>
          <w:divBdr>
            <w:top w:val="none" w:sz="0" w:space="0" w:color="auto"/>
            <w:left w:val="none" w:sz="0" w:space="0" w:color="auto"/>
            <w:bottom w:val="none" w:sz="0" w:space="0" w:color="auto"/>
            <w:right w:val="none" w:sz="0" w:space="0" w:color="auto"/>
          </w:divBdr>
        </w:div>
        <w:div w:id="1328636667">
          <w:marLeft w:val="640"/>
          <w:marRight w:val="0"/>
          <w:marTop w:val="0"/>
          <w:marBottom w:val="0"/>
          <w:divBdr>
            <w:top w:val="none" w:sz="0" w:space="0" w:color="auto"/>
            <w:left w:val="none" w:sz="0" w:space="0" w:color="auto"/>
            <w:bottom w:val="none" w:sz="0" w:space="0" w:color="auto"/>
            <w:right w:val="none" w:sz="0" w:space="0" w:color="auto"/>
          </w:divBdr>
        </w:div>
        <w:div w:id="742026179">
          <w:marLeft w:val="640"/>
          <w:marRight w:val="0"/>
          <w:marTop w:val="0"/>
          <w:marBottom w:val="0"/>
          <w:divBdr>
            <w:top w:val="none" w:sz="0" w:space="0" w:color="auto"/>
            <w:left w:val="none" w:sz="0" w:space="0" w:color="auto"/>
            <w:bottom w:val="none" w:sz="0" w:space="0" w:color="auto"/>
            <w:right w:val="none" w:sz="0" w:space="0" w:color="auto"/>
          </w:divBdr>
        </w:div>
        <w:div w:id="719210438">
          <w:marLeft w:val="640"/>
          <w:marRight w:val="0"/>
          <w:marTop w:val="0"/>
          <w:marBottom w:val="0"/>
          <w:divBdr>
            <w:top w:val="none" w:sz="0" w:space="0" w:color="auto"/>
            <w:left w:val="none" w:sz="0" w:space="0" w:color="auto"/>
            <w:bottom w:val="none" w:sz="0" w:space="0" w:color="auto"/>
            <w:right w:val="none" w:sz="0" w:space="0" w:color="auto"/>
          </w:divBdr>
        </w:div>
        <w:div w:id="65229801">
          <w:marLeft w:val="640"/>
          <w:marRight w:val="0"/>
          <w:marTop w:val="0"/>
          <w:marBottom w:val="0"/>
          <w:divBdr>
            <w:top w:val="none" w:sz="0" w:space="0" w:color="auto"/>
            <w:left w:val="none" w:sz="0" w:space="0" w:color="auto"/>
            <w:bottom w:val="none" w:sz="0" w:space="0" w:color="auto"/>
            <w:right w:val="none" w:sz="0" w:space="0" w:color="auto"/>
          </w:divBdr>
        </w:div>
        <w:div w:id="867916958">
          <w:marLeft w:val="640"/>
          <w:marRight w:val="0"/>
          <w:marTop w:val="0"/>
          <w:marBottom w:val="0"/>
          <w:divBdr>
            <w:top w:val="none" w:sz="0" w:space="0" w:color="auto"/>
            <w:left w:val="none" w:sz="0" w:space="0" w:color="auto"/>
            <w:bottom w:val="none" w:sz="0" w:space="0" w:color="auto"/>
            <w:right w:val="none" w:sz="0" w:space="0" w:color="auto"/>
          </w:divBdr>
        </w:div>
        <w:div w:id="215776016">
          <w:marLeft w:val="640"/>
          <w:marRight w:val="0"/>
          <w:marTop w:val="0"/>
          <w:marBottom w:val="0"/>
          <w:divBdr>
            <w:top w:val="none" w:sz="0" w:space="0" w:color="auto"/>
            <w:left w:val="none" w:sz="0" w:space="0" w:color="auto"/>
            <w:bottom w:val="none" w:sz="0" w:space="0" w:color="auto"/>
            <w:right w:val="none" w:sz="0" w:space="0" w:color="auto"/>
          </w:divBdr>
        </w:div>
        <w:div w:id="1396196229">
          <w:marLeft w:val="640"/>
          <w:marRight w:val="0"/>
          <w:marTop w:val="0"/>
          <w:marBottom w:val="0"/>
          <w:divBdr>
            <w:top w:val="none" w:sz="0" w:space="0" w:color="auto"/>
            <w:left w:val="none" w:sz="0" w:space="0" w:color="auto"/>
            <w:bottom w:val="none" w:sz="0" w:space="0" w:color="auto"/>
            <w:right w:val="none" w:sz="0" w:space="0" w:color="auto"/>
          </w:divBdr>
        </w:div>
        <w:div w:id="1238327687">
          <w:marLeft w:val="640"/>
          <w:marRight w:val="0"/>
          <w:marTop w:val="0"/>
          <w:marBottom w:val="0"/>
          <w:divBdr>
            <w:top w:val="none" w:sz="0" w:space="0" w:color="auto"/>
            <w:left w:val="none" w:sz="0" w:space="0" w:color="auto"/>
            <w:bottom w:val="none" w:sz="0" w:space="0" w:color="auto"/>
            <w:right w:val="none" w:sz="0" w:space="0" w:color="auto"/>
          </w:divBdr>
        </w:div>
        <w:div w:id="549726168">
          <w:marLeft w:val="640"/>
          <w:marRight w:val="0"/>
          <w:marTop w:val="0"/>
          <w:marBottom w:val="0"/>
          <w:divBdr>
            <w:top w:val="none" w:sz="0" w:space="0" w:color="auto"/>
            <w:left w:val="none" w:sz="0" w:space="0" w:color="auto"/>
            <w:bottom w:val="none" w:sz="0" w:space="0" w:color="auto"/>
            <w:right w:val="none" w:sz="0" w:space="0" w:color="auto"/>
          </w:divBdr>
        </w:div>
        <w:div w:id="1991863343">
          <w:marLeft w:val="640"/>
          <w:marRight w:val="0"/>
          <w:marTop w:val="0"/>
          <w:marBottom w:val="0"/>
          <w:divBdr>
            <w:top w:val="none" w:sz="0" w:space="0" w:color="auto"/>
            <w:left w:val="none" w:sz="0" w:space="0" w:color="auto"/>
            <w:bottom w:val="none" w:sz="0" w:space="0" w:color="auto"/>
            <w:right w:val="none" w:sz="0" w:space="0" w:color="auto"/>
          </w:divBdr>
        </w:div>
        <w:div w:id="1823810064">
          <w:marLeft w:val="640"/>
          <w:marRight w:val="0"/>
          <w:marTop w:val="0"/>
          <w:marBottom w:val="0"/>
          <w:divBdr>
            <w:top w:val="none" w:sz="0" w:space="0" w:color="auto"/>
            <w:left w:val="none" w:sz="0" w:space="0" w:color="auto"/>
            <w:bottom w:val="none" w:sz="0" w:space="0" w:color="auto"/>
            <w:right w:val="none" w:sz="0" w:space="0" w:color="auto"/>
          </w:divBdr>
        </w:div>
        <w:div w:id="404959004">
          <w:marLeft w:val="640"/>
          <w:marRight w:val="0"/>
          <w:marTop w:val="0"/>
          <w:marBottom w:val="0"/>
          <w:divBdr>
            <w:top w:val="none" w:sz="0" w:space="0" w:color="auto"/>
            <w:left w:val="none" w:sz="0" w:space="0" w:color="auto"/>
            <w:bottom w:val="none" w:sz="0" w:space="0" w:color="auto"/>
            <w:right w:val="none" w:sz="0" w:space="0" w:color="auto"/>
          </w:divBdr>
        </w:div>
        <w:div w:id="1484278992">
          <w:marLeft w:val="640"/>
          <w:marRight w:val="0"/>
          <w:marTop w:val="0"/>
          <w:marBottom w:val="0"/>
          <w:divBdr>
            <w:top w:val="none" w:sz="0" w:space="0" w:color="auto"/>
            <w:left w:val="none" w:sz="0" w:space="0" w:color="auto"/>
            <w:bottom w:val="none" w:sz="0" w:space="0" w:color="auto"/>
            <w:right w:val="none" w:sz="0" w:space="0" w:color="auto"/>
          </w:divBdr>
        </w:div>
        <w:div w:id="1708796520">
          <w:marLeft w:val="640"/>
          <w:marRight w:val="0"/>
          <w:marTop w:val="0"/>
          <w:marBottom w:val="0"/>
          <w:divBdr>
            <w:top w:val="none" w:sz="0" w:space="0" w:color="auto"/>
            <w:left w:val="none" w:sz="0" w:space="0" w:color="auto"/>
            <w:bottom w:val="none" w:sz="0" w:space="0" w:color="auto"/>
            <w:right w:val="none" w:sz="0" w:space="0" w:color="auto"/>
          </w:divBdr>
        </w:div>
        <w:div w:id="2021616033">
          <w:marLeft w:val="640"/>
          <w:marRight w:val="0"/>
          <w:marTop w:val="0"/>
          <w:marBottom w:val="0"/>
          <w:divBdr>
            <w:top w:val="none" w:sz="0" w:space="0" w:color="auto"/>
            <w:left w:val="none" w:sz="0" w:space="0" w:color="auto"/>
            <w:bottom w:val="none" w:sz="0" w:space="0" w:color="auto"/>
            <w:right w:val="none" w:sz="0" w:space="0" w:color="auto"/>
          </w:divBdr>
        </w:div>
        <w:div w:id="341511332">
          <w:marLeft w:val="640"/>
          <w:marRight w:val="0"/>
          <w:marTop w:val="0"/>
          <w:marBottom w:val="0"/>
          <w:divBdr>
            <w:top w:val="none" w:sz="0" w:space="0" w:color="auto"/>
            <w:left w:val="none" w:sz="0" w:space="0" w:color="auto"/>
            <w:bottom w:val="none" w:sz="0" w:space="0" w:color="auto"/>
            <w:right w:val="none" w:sz="0" w:space="0" w:color="auto"/>
          </w:divBdr>
        </w:div>
        <w:div w:id="425348049">
          <w:marLeft w:val="640"/>
          <w:marRight w:val="0"/>
          <w:marTop w:val="0"/>
          <w:marBottom w:val="0"/>
          <w:divBdr>
            <w:top w:val="none" w:sz="0" w:space="0" w:color="auto"/>
            <w:left w:val="none" w:sz="0" w:space="0" w:color="auto"/>
            <w:bottom w:val="none" w:sz="0" w:space="0" w:color="auto"/>
            <w:right w:val="none" w:sz="0" w:space="0" w:color="auto"/>
          </w:divBdr>
        </w:div>
        <w:div w:id="347147159">
          <w:marLeft w:val="640"/>
          <w:marRight w:val="0"/>
          <w:marTop w:val="0"/>
          <w:marBottom w:val="0"/>
          <w:divBdr>
            <w:top w:val="none" w:sz="0" w:space="0" w:color="auto"/>
            <w:left w:val="none" w:sz="0" w:space="0" w:color="auto"/>
            <w:bottom w:val="none" w:sz="0" w:space="0" w:color="auto"/>
            <w:right w:val="none" w:sz="0" w:space="0" w:color="auto"/>
          </w:divBdr>
        </w:div>
        <w:div w:id="1934387772">
          <w:marLeft w:val="640"/>
          <w:marRight w:val="0"/>
          <w:marTop w:val="0"/>
          <w:marBottom w:val="0"/>
          <w:divBdr>
            <w:top w:val="none" w:sz="0" w:space="0" w:color="auto"/>
            <w:left w:val="none" w:sz="0" w:space="0" w:color="auto"/>
            <w:bottom w:val="none" w:sz="0" w:space="0" w:color="auto"/>
            <w:right w:val="none" w:sz="0" w:space="0" w:color="auto"/>
          </w:divBdr>
        </w:div>
        <w:div w:id="768696762">
          <w:marLeft w:val="640"/>
          <w:marRight w:val="0"/>
          <w:marTop w:val="0"/>
          <w:marBottom w:val="0"/>
          <w:divBdr>
            <w:top w:val="none" w:sz="0" w:space="0" w:color="auto"/>
            <w:left w:val="none" w:sz="0" w:space="0" w:color="auto"/>
            <w:bottom w:val="none" w:sz="0" w:space="0" w:color="auto"/>
            <w:right w:val="none" w:sz="0" w:space="0" w:color="auto"/>
          </w:divBdr>
        </w:div>
        <w:div w:id="1428384070">
          <w:marLeft w:val="640"/>
          <w:marRight w:val="0"/>
          <w:marTop w:val="0"/>
          <w:marBottom w:val="0"/>
          <w:divBdr>
            <w:top w:val="none" w:sz="0" w:space="0" w:color="auto"/>
            <w:left w:val="none" w:sz="0" w:space="0" w:color="auto"/>
            <w:bottom w:val="none" w:sz="0" w:space="0" w:color="auto"/>
            <w:right w:val="none" w:sz="0" w:space="0" w:color="auto"/>
          </w:divBdr>
        </w:div>
        <w:div w:id="155924776">
          <w:marLeft w:val="640"/>
          <w:marRight w:val="0"/>
          <w:marTop w:val="0"/>
          <w:marBottom w:val="0"/>
          <w:divBdr>
            <w:top w:val="none" w:sz="0" w:space="0" w:color="auto"/>
            <w:left w:val="none" w:sz="0" w:space="0" w:color="auto"/>
            <w:bottom w:val="none" w:sz="0" w:space="0" w:color="auto"/>
            <w:right w:val="none" w:sz="0" w:space="0" w:color="auto"/>
          </w:divBdr>
        </w:div>
        <w:div w:id="1088379442">
          <w:marLeft w:val="640"/>
          <w:marRight w:val="0"/>
          <w:marTop w:val="0"/>
          <w:marBottom w:val="0"/>
          <w:divBdr>
            <w:top w:val="none" w:sz="0" w:space="0" w:color="auto"/>
            <w:left w:val="none" w:sz="0" w:space="0" w:color="auto"/>
            <w:bottom w:val="none" w:sz="0" w:space="0" w:color="auto"/>
            <w:right w:val="none" w:sz="0" w:space="0" w:color="auto"/>
          </w:divBdr>
        </w:div>
        <w:div w:id="852183364">
          <w:marLeft w:val="640"/>
          <w:marRight w:val="0"/>
          <w:marTop w:val="0"/>
          <w:marBottom w:val="0"/>
          <w:divBdr>
            <w:top w:val="none" w:sz="0" w:space="0" w:color="auto"/>
            <w:left w:val="none" w:sz="0" w:space="0" w:color="auto"/>
            <w:bottom w:val="none" w:sz="0" w:space="0" w:color="auto"/>
            <w:right w:val="none" w:sz="0" w:space="0" w:color="auto"/>
          </w:divBdr>
        </w:div>
        <w:div w:id="1489635618">
          <w:marLeft w:val="640"/>
          <w:marRight w:val="0"/>
          <w:marTop w:val="0"/>
          <w:marBottom w:val="0"/>
          <w:divBdr>
            <w:top w:val="none" w:sz="0" w:space="0" w:color="auto"/>
            <w:left w:val="none" w:sz="0" w:space="0" w:color="auto"/>
            <w:bottom w:val="none" w:sz="0" w:space="0" w:color="auto"/>
            <w:right w:val="none" w:sz="0" w:space="0" w:color="auto"/>
          </w:divBdr>
        </w:div>
        <w:div w:id="1352995342">
          <w:marLeft w:val="640"/>
          <w:marRight w:val="0"/>
          <w:marTop w:val="0"/>
          <w:marBottom w:val="0"/>
          <w:divBdr>
            <w:top w:val="none" w:sz="0" w:space="0" w:color="auto"/>
            <w:left w:val="none" w:sz="0" w:space="0" w:color="auto"/>
            <w:bottom w:val="none" w:sz="0" w:space="0" w:color="auto"/>
            <w:right w:val="none" w:sz="0" w:space="0" w:color="auto"/>
          </w:divBdr>
        </w:div>
        <w:div w:id="1374037113">
          <w:marLeft w:val="640"/>
          <w:marRight w:val="0"/>
          <w:marTop w:val="0"/>
          <w:marBottom w:val="0"/>
          <w:divBdr>
            <w:top w:val="none" w:sz="0" w:space="0" w:color="auto"/>
            <w:left w:val="none" w:sz="0" w:space="0" w:color="auto"/>
            <w:bottom w:val="none" w:sz="0" w:space="0" w:color="auto"/>
            <w:right w:val="none" w:sz="0" w:space="0" w:color="auto"/>
          </w:divBdr>
        </w:div>
        <w:div w:id="1853566370">
          <w:marLeft w:val="640"/>
          <w:marRight w:val="0"/>
          <w:marTop w:val="0"/>
          <w:marBottom w:val="0"/>
          <w:divBdr>
            <w:top w:val="none" w:sz="0" w:space="0" w:color="auto"/>
            <w:left w:val="none" w:sz="0" w:space="0" w:color="auto"/>
            <w:bottom w:val="none" w:sz="0" w:space="0" w:color="auto"/>
            <w:right w:val="none" w:sz="0" w:space="0" w:color="auto"/>
          </w:divBdr>
        </w:div>
        <w:div w:id="2090425518">
          <w:marLeft w:val="640"/>
          <w:marRight w:val="0"/>
          <w:marTop w:val="0"/>
          <w:marBottom w:val="0"/>
          <w:divBdr>
            <w:top w:val="none" w:sz="0" w:space="0" w:color="auto"/>
            <w:left w:val="none" w:sz="0" w:space="0" w:color="auto"/>
            <w:bottom w:val="none" w:sz="0" w:space="0" w:color="auto"/>
            <w:right w:val="none" w:sz="0" w:space="0" w:color="auto"/>
          </w:divBdr>
        </w:div>
        <w:div w:id="284625948">
          <w:marLeft w:val="640"/>
          <w:marRight w:val="0"/>
          <w:marTop w:val="0"/>
          <w:marBottom w:val="0"/>
          <w:divBdr>
            <w:top w:val="none" w:sz="0" w:space="0" w:color="auto"/>
            <w:left w:val="none" w:sz="0" w:space="0" w:color="auto"/>
            <w:bottom w:val="none" w:sz="0" w:space="0" w:color="auto"/>
            <w:right w:val="none" w:sz="0" w:space="0" w:color="auto"/>
          </w:divBdr>
        </w:div>
        <w:div w:id="357122347">
          <w:marLeft w:val="640"/>
          <w:marRight w:val="0"/>
          <w:marTop w:val="0"/>
          <w:marBottom w:val="0"/>
          <w:divBdr>
            <w:top w:val="none" w:sz="0" w:space="0" w:color="auto"/>
            <w:left w:val="none" w:sz="0" w:space="0" w:color="auto"/>
            <w:bottom w:val="none" w:sz="0" w:space="0" w:color="auto"/>
            <w:right w:val="none" w:sz="0" w:space="0" w:color="auto"/>
          </w:divBdr>
        </w:div>
        <w:div w:id="827938440">
          <w:marLeft w:val="640"/>
          <w:marRight w:val="0"/>
          <w:marTop w:val="0"/>
          <w:marBottom w:val="0"/>
          <w:divBdr>
            <w:top w:val="none" w:sz="0" w:space="0" w:color="auto"/>
            <w:left w:val="none" w:sz="0" w:space="0" w:color="auto"/>
            <w:bottom w:val="none" w:sz="0" w:space="0" w:color="auto"/>
            <w:right w:val="none" w:sz="0" w:space="0" w:color="auto"/>
          </w:divBdr>
        </w:div>
        <w:div w:id="1008099882">
          <w:marLeft w:val="640"/>
          <w:marRight w:val="0"/>
          <w:marTop w:val="0"/>
          <w:marBottom w:val="0"/>
          <w:divBdr>
            <w:top w:val="none" w:sz="0" w:space="0" w:color="auto"/>
            <w:left w:val="none" w:sz="0" w:space="0" w:color="auto"/>
            <w:bottom w:val="none" w:sz="0" w:space="0" w:color="auto"/>
            <w:right w:val="none" w:sz="0" w:space="0" w:color="auto"/>
          </w:divBdr>
        </w:div>
        <w:div w:id="566762772">
          <w:marLeft w:val="640"/>
          <w:marRight w:val="0"/>
          <w:marTop w:val="0"/>
          <w:marBottom w:val="0"/>
          <w:divBdr>
            <w:top w:val="none" w:sz="0" w:space="0" w:color="auto"/>
            <w:left w:val="none" w:sz="0" w:space="0" w:color="auto"/>
            <w:bottom w:val="none" w:sz="0" w:space="0" w:color="auto"/>
            <w:right w:val="none" w:sz="0" w:space="0" w:color="auto"/>
          </w:divBdr>
        </w:div>
        <w:div w:id="70665032">
          <w:marLeft w:val="640"/>
          <w:marRight w:val="0"/>
          <w:marTop w:val="0"/>
          <w:marBottom w:val="0"/>
          <w:divBdr>
            <w:top w:val="none" w:sz="0" w:space="0" w:color="auto"/>
            <w:left w:val="none" w:sz="0" w:space="0" w:color="auto"/>
            <w:bottom w:val="none" w:sz="0" w:space="0" w:color="auto"/>
            <w:right w:val="none" w:sz="0" w:space="0" w:color="auto"/>
          </w:divBdr>
        </w:div>
        <w:div w:id="1349596507">
          <w:marLeft w:val="640"/>
          <w:marRight w:val="0"/>
          <w:marTop w:val="0"/>
          <w:marBottom w:val="0"/>
          <w:divBdr>
            <w:top w:val="none" w:sz="0" w:space="0" w:color="auto"/>
            <w:left w:val="none" w:sz="0" w:space="0" w:color="auto"/>
            <w:bottom w:val="none" w:sz="0" w:space="0" w:color="auto"/>
            <w:right w:val="none" w:sz="0" w:space="0" w:color="auto"/>
          </w:divBdr>
        </w:div>
        <w:div w:id="1619334605">
          <w:marLeft w:val="640"/>
          <w:marRight w:val="0"/>
          <w:marTop w:val="0"/>
          <w:marBottom w:val="0"/>
          <w:divBdr>
            <w:top w:val="none" w:sz="0" w:space="0" w:color="auto"/>
            <w:left w:val="none" w:sz="0" w:space="0" w:color="auto"/>
            <w:bottom w:val="none" w:sz="0" w:space="0" w:color="auto"/>
            <w:right w:val="none" w:sz="0" w:space="0" w:color="auto"/>
          </w:divBdr>
        </w:div>
        <w:div w:id="1421175452">
          <w:marLeft w:val="640"/>
          <w:marRight w:val="0"/>
          <w:marTop w:val="0"/>
          <w:marBottom w:val="0"/>
          <w:divBdr>
            <w:top w:val="none" w:sz="0" w:space="0" w:color="auto"/>
            <w:left w:val="none" w:sz="0" w:space="0" w:color="auto"/>
            <w:bottom w:val="none" w:sz="0" w:space="0" w:color="auto"/>
            <w:right w:val="none" w:sz="0" w:space="0" w:color="auto"/>
          </w:divBdr>
        </w:div>
        <w:div w:id="561841105">
          <w:marLeft w:val="640"/>
          <w:marRight w:val="0"/>
          <w:marTop w:val="0"/>
          <w:marBottom w:val="0"/>
          <w:divBdr>
            <w:top w:val="none" w:sz="0" w:space="0" w:color="auto"/>
            <w:left w:val="none" w:sz="0" w:space="0" w:color="auto"/>
            <w:bottom w:val="none" w:sz="0" w:space="0" w:color="auto"/>
            <w:right w:val="none" w:sz="0" w:space="0" w:color="auto"/>
          </w:divBdr>
        </w:div>
        <w:div w:id="1146891600">
          <w:marLeft w:val="640"/>
          <w:marRight w:val="0"/>
          <w:marTop w:val="0"/>
          <w:marBottom w:val="0"/>
          <w:divBdr>
            <w:top w:val="none" w:sz="0" w:space="0" w:color="auto"/>
            <w:left w:val="none" w:sz="0" w:space="0" w:color="auto"/>
            <w:bottom w:val="none" w:sz="0" w:space="0" w:color="auto"/>
            <w:right w:val="none" w:sz="0" w:space="0" w:color="auto"/>
          </w:divBdr>
        </w:div>
        <w:div w:id="284888545">
          <w:marLeft w:val="640"/>
          <w:marRight w:val="0"/>
          <w:marTop w:val="0"/>
          <w:marBottom w:val="0"/>
          <w:divBdr>
            <w:top w:val="none" w:sz="0" w:space="0" w:color="auto"/>
            <w:left w:val="none" w:sz="0" w:space="0" w:color="auto"/>
            <w:bottom w:val="none" w:sz="0" w:space="0" w:color="auto"/>
            <w:right w:val="none" w:sz="0" w:space="0" w:color="auto"/>
          </w:divBdr>
        </w:div>
        <w:div w:id="1184710305">
          <w:marLeft w:val="640"/>
          <w:marRight w:val="0"/>
          <w:marTop w:val="0"/>
          <w:marBottom w:val="0"/>
          <w:divBdr>
            <w:top w:val="none" w:sz="0" w:space="0" w:color="auto"/>
            <w:left w:val="none" w:sz="0" w:space="0" w:color="auto"/>
            <w:bottom w:val="none" w:sz="0" w:space="0" w:color="auto"/>
            <w:right w:val="none" w:sz="0" w:space="0" w:color="auto"/>
          </w:divBdr>
        </w:div>
        <w:div w:id="442656271">
          <w:marLeft w:val="640"/>
          <w:marRight w:val="0"/>
          <w:marTop w:val="0"/>
          <w:marBottom w:val="0"/>
          <w:divBdr>
            <w:top w:val="none" w:sz="0" w:space="0" w:color="auto"/>
            <w:left w:val="none" w:sz="0" w:space="0" w:color="auto"/>
            <w:bottom w:val="none" w:sz="0" w:space="0" w:color="auto"/>
            <w:right w:val="none" w:sz="0" w:space="0" w:color="auto"/>
          </w:divBdr>
        </w:div>
        <w:div w:id="941883492">
          <w:marLeft w:val="640"/>
          <w:marRight w:val="0"/>
          <w:marTop w:val="0"/>
          <w:marBottom w:val="0"/>
          <w:divBdr>
            <w:top w:val="none" w:sz="0" w:space="0" w:color="auto"/>
            <w:left w:val="none" w:sz="0" w:space="0" w:color="auto"/>
            <w:bottom w:val="none" w:sz="0" w:space="0" w:color="auto"/>
            <w:right w:val="none" w:sz="0" w:space="0" w:color="auto"/>
          </w:divBdr>
        </w:div>
        <w:div w:id="1202203384">
          <w:marLeft w:val="640"/>
          <w:marRight w:val="0"/>
          <w:marTop w:val="0"/>
          <w:marBottom w:val="0"/>
          <w:divBdr>
            <w:top w:val="none" w:sz="0" w:space="0" w:color="auto"/>
            <w:left w:val="none" w:sz="0" w:space="0" w:color="auto"/>
            <w:bottom w:val="none" w:sz="0" w:space="0" w:color="auto"/>
            <w:right w:val="none" w:sz="0" w:space="0" w:color="auto"/>
          </w:divBdr>
        </w:div>
        <w:div w:id="1113595799">
          <w:marLeft w:val="640"/>
          <w:marRight w:val="0"/>
          <w:marTop w:val="0"/>
          <w:marBottom w:val="0"/>
          <w:divBdr>
            <w:top w:val="none" w:sz="0" w:space="0" w:color="auto"/>
            <w:left w:val="none" w:sz="0" w:space="0" w:color="auto"/>
            <w:bottom w:val="none" w:sz="0" w:space="0" w:color="auto"/>
            <w:right w:val="none" w:sz="0" w:space="0" w:color="auto"/>
          </w:divBdr>
        </w:div>
        <w:div w:id="403333222">
          <w:marLeft w:val="640"/>
          <w:marRight w:val="0"/>
          <w:marTop w:val="0"/>
          <w:marBottom w:val="0"/>
          <w:divBdr>
            <w:top w:val="none" w:sz="0" w:space="0" w:color="auto"/>
            <w:left w:val="none" w:sz="0" w:space="0" w:color="auto"/>
            <w:bottom w:val="none" w:sz="0" w:space="0" w:color="auto"/>
            <w:right w:val="none" w:sz="0" w:space="0" w:color="auto"/>
          </w:divBdr>
        </w:div>
        <w:div w:id="994915858">
          <w:marLeft w:val="640"/>
          <w:marRight w:val="0"/>
          <w:marTop w:val="0"/>
          <w:marBottom w:val="0"/>
          <w:divBdr>
            <w:top w:val="none" w:sz="0" w:space="0" w:color="auto"/>
            <w:left w:val="none" w:sz="0" w:space="0" w:color="auto"/>
            <w:bottom w:val="none" w:sz="0" w:space="0" w:color="auto"/>
            <w:right w:val="none" w:sz="0" w:space="0" w:color="auto"/>
          </w:divBdr>
        </w:div>
        <w:div w:id="610749131">
          <w:marLeft w:val="640"/>
          <w:marRight w:val="0"/>
          <w:marTop w:val="0"/>
          <w:marBottom w:val="0"/>
          <w:divBdr>
            <w:top w:val="none" w:sz="0" w:space="0" w:color="auto"/>
            <w:left w:val="none" w:sz="0" w:space="0" w:color="auto"/>
            <w:bottom w:val="none" w:sz="0" w:space="0" w:color="auto"/>
            <w:right w:val="none" w:sz="0" w:space="0" w:color="auto"/>
          </w:divBdr>
        </w:div>
        <w:div w:id="1334451896">
          <w:marLeft w:val="640"/>
          <w:marRight w:val="0"/>
          <w:marTop w:val="0"/>
          <w:marBottom w:val="0"/>
          <w:divBdr>
            <w:top w:val="none" w:sz="0" w:space="0" w:color="auto"/>
            <w:left w:val="none" w:sz="0" w:space="0" w:color="auto"/>
            <w:bottom w:val="none" w:sz="0" w:space="0" w:color="auto"/>
            <w:right w:val="none" w:sz="0" w:space="0" w:color="auto"/>
          </w:divBdr>
        </w:div>
        <w:div w:id="315182069">
          <w:marLeft w:val="640"/>
          <w:marRight w:val="0"/>
          <w:marTop w:val="0"/>
          <w:marBottom w:val="0"/>
          <w:divBdr>
            <w:top w:val="none" w:sz="0" w:space="0" w:color="auto"/>
            <w:left w:val="none" w:sz="0" w:space="0" w:color="auto"/>
            <w:bottom w:val="none" w:sz="0" w:space="0" w:color="auto"/>
            <w:right w:val="none" w:sz="0" w:space="0" w:color="auto"/>
          </w:divBdr>
        </w:div>
        <w:div w:id="685447658">
          <w:marLeft w:val="640"/>
          <w:marRight w:val="0"/>
          <w:marTop w:val="0"/>
          <w:marBottom w:val="0"/>
          <w:divBdr>
            <w:top w:val="none" w:sz="0" w:space="0" w:color="auto"/>
            <w:left w:val="none" w:sz="0" w:space="0" w:color="auto"/>
            <w:bottom w:val="none" w:sz="0" w:space="0" w:color="auto"/>
            <w:right w:val="none" w:sz="0" w:space="0" w:color="auto"/>
          </w:divBdr>
        </w:div>
        <w:div w:id="1521165580">
          <w:marLeft w:val="640"/>
          <w:marRight w:val="0"/>
          <w:marTop w:val="0"/>
          <w:marBottom w:val="0"/>
          <w:divBdr>
            <w:top w:val="none" w:sz="0" w:space="0" w:color="auto"/>
            <w:left w:val="none" w:sz="0" w:space="0" w:color="auto"/>
            <w:bottom w:val="none" w:sz="0" w:space="0" w:color="auto"/>
            <w:right w:val="none" w:sz="0" w:space="0" w:color="auto"/>
          </w:divBdr>
        </w:div>
        <w:div w:id="897859050">
          <w:marLeft w:val="640"/>
          <w:marRight w:val="0"/>
          <w:marTop w:val="0"/>
          <w:marBottom w:val="0"/>
          <w:divBdr>
            <w:top w:val="none" w:sz="0" w:space="0" w:color="auto"/>
            <w:left w:val="none" w:sz="0" w:space="0" w:color="auto"/>
            <w:bottom w:val="none" w:sz="0" w:space="0" w:color="auto"/>
            <w:right w:val="none" w:sz="0" w:space="0" w:color="auto"/>
          </w:divBdr>
        </w:div>
        <w:div w:id="114764144">
          <w:marLeft w:val="640"/>
          <w:marRight w:val="0"/>
          <w:marTop w:val="0"/>
          <w:marBottom w:val="0"/>
          <w:divBdr>
            <w:top w:val="none" w:sz="0" w:space="0" w:color="auto"/>
            <w:left w:val="none" w:sz="0" w:space="0" w:color="auto"/>
            <w:bottom w:val="none" w:sz="0" w:space="0" w:color="auto"/>
            <w:right w:val="none" w:sz="0" w:space="0" w:color="auto"/>
          </w:divBdr>
        </w:div>
        <w:div w:id="1796554941">
          <w:marLeft w:val="640"/>
          <w:marRight w:val="0"/>
          <w:marTop w:val="0"/>
          <w:marBottom w:val="0"/>
          <w:divBdr>
            <w:top w:val="none" w:sz="0" w:space="0" w:color="auto"/>
            <w:left w:val="none" w:sz="0" w:space="0" w:color="auto"/>
            <w:bottom w:val="none" w:sz="0" w:space="0" w:color="auto"/>
            <w:right w:val="none" w:sz="0" w:space="0" w:color="auto"/>
          </w:divBdr>
        </w:div>
        <w:div w:id="1043560960">
          <w:marLeft w:val="640"/>
          <w:marRight w:val="0"/>
          <w:marTop w:val="0"/>
          <w:marBottom w:val="0"/>
          <w:divBdr>
            <w:top w:val="none" w:sz="0" w:space="0" w:color="auto"/>
            <w:left w:val="none" w:sz="0" w:space="0" w:color="auto"/>
            <w:bottom w:val="none" w:sz="0" w:space="0" w:color="auto"/>
            <w:right w:val="none" w:sz="0" w:space="0" w:color="auto"/>
          </w:divBdr>
        </w:div>
        <w:div w:id="1705863207">
          <w:marLeft w:val="640"/>
          <w:marRight w:val="0"/>
          <w:marTop w:val="0"/>
          <w:marBottom w:val="0"/>
          <w:divBdr>
            <w:top w:val="none" w:sz="0" w:space="0" w:color="auto"/>
            <w:left w:val="none" w:sz="0" w:space="0" w:color="auto"/>
            <w:bottom w:val="none" w:sz="0" w:space="0" w:color="auto"/>
            <w:right w:val="none" w:sz="0" w:space="0" w:color="auto"/>
          </w:divBdr>
        </w:div>
        <w:div w:id="891891176">
          <w:marLeft w:val="640"/>
          <w:marRight w:val="0"/>
          <w:marTop w:val="0"/>
          <w:marBottom w:val="0"/>
          <w:divBdr>
            <w:top w:val="none" w:sz="0" w:space="0" w:color="auto"/>
            <w:left w:val="none" w:sz="0" w:space="0" w:color="auto"/>
            <w:bottom w:val="none" w:sz="0" w:space="0" w:color="auto"/>
            <w:right w:val="none" w:sz="0" w:space="0" w:color="auto"/>
          </w:divBdr>
        </w:div>
        <w:div w:id="241524498">
          <w:marLeft w:val="640"/>
          <w:marRight w:val="0"/>
          <w:marTop w:val="0"/>
          <w:marBottom w:val="0"/>
          <w:divBdr>
            <w:top w:val="none" w:sz="0" w:space="0" w:color="auto"/>
            <w:left w:val="none" w:sz="0" w:space="0" w:color="auto"/>
            <w:bottom w:val="none" w:sz="0" w:space="0" w:color="auto"/>
            <w:right w:val="none" w:sz="0" w:space="0" w:color="auto"/>
          </w:divBdr>
        </w:div>
        <w:div w:id="493375466">
          <w:marLeft w:val="640"/>
          <w:marRight w:val="0"/>
          <w:marTop w:val="0"/>
          <w:marBottom w:val="0"/>
          <w:divBdr>
            <w:top w:val="none" w:sz="0" w:space="0" w:color="auto"/>
            <w:left w:val="none" w:sz="0" w:space="0" w:color="auto"/>
            <w:bottom w:val="none" w:sz="0" w:space="0" w:color="auto"/>
            <w:right w:val="none" w:sz="0" w:space="0" w:color="auto"/>
          </w:divBdr>
        </w:div>
        <w:div w:id="1300762388">
          <w:marLeft w:val="640"/>
          <w:marRight w:val="0"/>
          <w:marTop w:val="0"/>
          <w:marBottom w:val="0"/>
          <w:divBdr>
            <w:top w:val="none" w:sz="0" w:space="0" w:color="auto"/>
            <w:left w:val="none" w:sz="0" w:space="0" w:color="auto"/>
            <w:bottom w:val="none" w:sz="0" w:space="0" w:color="auto"/>
            <w:right w:val="none" w:sz="0" w:space="0" w:color="auto"/>
          </w:divBdr>
        </w:div>
        <w:div w:id="1511027070">
          <w:marLeft w:val="640"/>
          <w:marRight w:val="0"/>
          <w:marTop w:val="0"/>
          <w:marBottom w:val="0"/>
          <w:divBdr>
            <w:top w:val="none" w:sz="0" w:space="0" w:color="auto"/>
            <w:left w:val="none" w:sz="0" w:space="0" w:color="auto"/>
            <w:bottom w:val="none" w:sz="0" w:space="0" w:color="auto"/>
            <w:right w:val="none" w:sz="0" w:space="0" w:color="auto"/>
          </w:divBdr>
        </w:div>
        <w:div w:id="1576207969">
          <w:marLeft w:val="640"/>
          <w:marRight w:val="0"/>
          <w:marTop w:val="0"/>
          <w:marBottom w:val="0"/>
          <w:divBdr>
            <w:top w:val="none" w:sz="0" w:space="0" w:color="auto"/>
            <w:left w:val="none" w:sz="0" w:space="0" w:color="auto"/>
            <w:bottom w:val="none" w:sz="0" w:space="0" w:color="auto"/>
            <w:right w:val="none" w:sz="0" w:space="0" w:color="auto"/>
          </w:divBdr>
        </w:div>
        <w:div w:id="2053649946">
          <w:marLeft w:val="640"/>
          <w:marRight w:val="0"/>
          <w:marTop w:val="0"/>
          <w:marBottom w:val="0"/>
          <w:divBdr>
            <w:top w:val="none" w:sz="0" w:space="0" w:color="auto"/>
            <w:left w:val="none" w:sz="0" w:space="0" w:color="auto"/>
            <w:bottom w:val="none" w:sz="0" w:space="0" w:color="auto"/>
            <w:right w:val="none" w:sz="0" w:space="0" w:color="auto"/>
          </w:divBdr>
        </w:div>
        <w:div w:id="524438447">
          <w:marLeft w:val="640"/>
          <w:marRight w:val="0"/>
          <w:marTop w:val="0"/>
          <w:marBottom w:val="0"/>
          <w:divBdr>
            <w:top w:val="none" w:sz="0" w:space="0" w:color="auto"/>
            <w:left w:val="none" w:sz="0" w:space="0" w:color="auto"/>
            <w:bottom w:val="none" w:sz="0" w:space="0" w:color="auto"/>
            <w:right w:val="none" w:sz="0" w:space="0" w:color="auto"/>
          </w:divBdr>
        </w:div>
        <w:div w:id="219950190">
          <w:marLeft w:val="640"/>
          <w:marRight w:val="0"/>
          <w:marTop w:val="0"/>
          <w:marBottom w:val="0"/>
          <w:divBdr>
            <w:top w:val="none" w:sz="0" w:space="0" w:color="auto"/>
            <w:left w:val="none" w:sz="0" w:space="0" w:color="auto"/>
            <w:bottom w:val="none" w:sz="0" w:space="0" w:color="auto"/>
            <w:right w:val="none" w:sz="0" w:space="0" w:color="auto"/>
          </w:divBdr>
        </w:div>
        <w:div w:id="1877038603">
          <w:marLeft w:val="640"/>
          <w:marRight w:val="0"/>
          <w:marTop w:val="0"/>
          <w:marBottom w:val="0"/>
          <w:divBdr>
            <w:top w:val="none" w:sz="0" w:space="0" w:color="auto"/>
            <w:left w:val="none" w:sz="0" w:space="0" w:color="auto"/>
            <w:bottom w:val="none" w:sz="0" w:space="0" w:color="auto"/>
            <w:right w:val="none" w:sz="0" w:space="0" w:color="auto"/>
          </w:divBdr>
        </w:div>
        <w:div w:id="1334722840">
          <w:marLeft w:val="640"/>
          <w:marRight w:val="0"/>
          <w:marTop w:val="0"/>
          <w:marBottom w:val="0"/>
          <w:divBdr>
            <w:top w:val="none" w:sz="0" w:space="0" w:color="auto"/>
            <w:left w:val="none" w:sz="0" w:space="0" w:color="auto"/>
            <w:bottom w:val="none" w:sz="0" w:space="0" w:color="auto"/>
            <w:right w:val="none" w:sz="0" w:space="0" w:color="auto"/>
          </w:divBdr>
        </w:div>
        <w:div w:id="1522015639">
          <w:marLeft w:val="640"/>
          <w:marRight w:val="0"/>
          <w:marTop w:val="0"/>
          <w:marBottom w:val="0"/>
          <w:divBdr>
            <w:top w:val="none" w:sz="0" w:space="0" w:color="auto"/>
            <w:left w:val="none" w:sz="0" w:space="0" w:color="auto"/>
            <w:bottom w:val="none" w:sz="0" w:space="0" w:color="auto"/>
            <w:right w:val="none" w:sz="0" w:space="0" w:color="auto"/>
          </w:divBdr>
        </w:div>
        <w:div w:id="1347905020">
          <w:marLeft w:val="640"/>
          <w:marRight w:val="0"/>
          <w:marTop w:val="0"/>
          <w:marBottom w:val="0"/>
          <w:divBdr>
            <w:top w:val="none" w:sz="0" w:space="0" w:color="auto"/>
            <w:left w:val="none" w:sz="0" w:space="0" w:color="auto"/>
            <w:bottom w:val="none" w:sz="0" w:space="0" w:color="auto"/>
            <w:right w:val="none" w:sz="0" w:space="0" w:color="auto"/>
          </w:divBdr>
        </w:div>
        <w:div w:id="1473905821">
          <w:marLeft w:val="640"/>
          <w:marRight w:val="0"/>
          <w:marTop w:val="0"/>
          <w:marBottom w:val="0"/>
          <w:divBdr>
            <w:top w:val="none" w:sz="0" w:space="0" w:color="auto"/>
            <w:left w:val="none" w:sz="0" w:space="0" w:color="auto"/>
            <w:bottom w:val="none" w:sz="0" w:space="0" w:color="auto"/>
            <w:right w:val="none" w:sz="0" w:space="0" w:color="auto"/>
          </w:divBdr>
        </w:div>
        <w:div w:id="537741939">
          <w:marLeft w:val="640"/>
          <w:marRight w:val="0"/>
          <w:marTop w:val="0"/>
          <w:marBottom w:val="0"/>
          <w:divBdr>
            <w:top w:val="none" w:sz="0" w:space="0" w:color="auto"/>
            <w:left w:val="none" w:sz="0" w:space="0" w:color="auto"/>
            <w:bottom w:val="none" w:sz="0" w:space="0" w:color="auto"/>
            <w:right w:val="none" w:sz="0" w:space="0" w:color="auto"/>
          </w:divBdr>
        </w:div>
        <w:div w:id="2101174980">
          <w:marLeft w:val="640"/>
          <w:marRight w:val="0"/>
          <w:marTop w:val="0"/>
          <w:marBottom w:val="0"/>
          <w:divBdr>
            <w:top w:val="none" w:sz="0" w:space="0" w:color="auto"/>
            <w:left w:val="none" w:sz="0" w:space="0" w:color="auto"/>
            <w:bottom w:val="none" w:sz="0" w:space="0" w:color="auto"/>
            <w:right w:val="none" w:sz="0" w:space="0" w:color="auto"/>
          </w:divBdr>
        </w:div>
        <w:div w:id="1609461623">
          <w:marLeft w:val="640"/>
          <w:marRight w:val="0"/>
          <w:marTop w:val="0"/>
          <w:marBottom w:val="0"/>
          <w:divBdr>
            <w:top w:val="none" w:sz="0" w:space="0" w:color="auto"/>
            <w:left w:val="none" w:sz="0" w:space="0" w:color="auto"/>
            <w:bottom w:val="none" w:sz="0" w:space="0" w:color="auto"/>
            <w:right w:val="none" w:sz="0" w:space="0" w:color="auto"/>
          </w:divBdr>
        </w:div>
        <w:div w:id="54160798">
          <w:marLeft w:val="640"/>
          <w:marRight w:val="0"/>
          <w:marTop w:val="0"/>
          <w:marBottom w:val="0"/>
          <w:divBdr>
            <w:top w:val="none" w:sz="0" w:space="0" w:color="auto"/>
            <w:left w:val="none" w:sz="0" w:space="0" w:color="auto"/>
            <w:bottom w:val="none" w:sz="0" w:space="0" w:color="auto"/>
            <w:right w:val="none" w:sz="0" w:space="0" w:color="auto"/>
          </w:divBdr>
        </w:div>
        <w:div w:id="285816203">
          <w:marLeft w:val="640"/>
          <w:marRight w:val="0"/>
          <w:marTop w:val="0"/>
          <w:marBottom w:val="0"/>
          <w:divBdr>
            <w:top w:val="none" w:sz="0" w:space="0" w:color="auto"/>
            <w:left w:val="none" w:sz="0" w:space="0" w:color="auto"/>
            <w:bottom w:val="none" w:sz="0" w:space="0" w:color="auto"/>
            <w:right w:val="none" w:sz="0" w:space="0" w:color="auto"/>
          </w:divBdr>
        </w:div>
        <w:div w:id="1195772315">
          <w:marLeft w:val="640"/>
          <w:marRight w:val="0"/>
          <w:marTop w:val="0"/>
          <w:marBottom w:val="0"/>
          <w:divBdr>
            <w:top w:val="none" w:sz="0" w:space="0" w:color="auto"/>
            <w:left w:val="none" w:sz="0" w:space="0" w:color="auto"/>
            <w:bottom w:val="none" w:sz="0" w:space="0" w:color="auto"/>
            <w:right w:val="none" w:sz="0" w:space="0" w:color="auto"/>
          </w:divBdr>
        </w:div>
        <w:div w:id="85729777">
          <w:marLeft w:val="640"/>
          <w:marRight w:val="0"/>
          <w:marTop w:val="0"/>
          <w:marBottom w:val="0"/>
          <w:divBdr>
            <w:top w:val="none" w:sz="0" w:space="0" w:color="auto"/>
            <w:left w:val="none" w:sz="0" w:space="0" w:color="auto"/>
            <w:bottom w:val="none" w:sz="0" w:space="0" w:color="auto"/>
            <w:right w:val="none" w:sz="0" w:space="0" w:color="auto"/>
          </w:divBdr>
        </w:div>
        <w:div w:id="1364473632">
          <w:marLeft w:val="640"/>
          <w:marRight w:val="0"/>
          <w:marTop w:val="0"/>
          <w:marBottom w:val="0"/>
          <w:divBdr>
            <w:top w:val="none" w:sz="0" w:space="0" w:color="auto"/>
            <w:left w:val="none" w:sz="0" w:space="0" w:color="auto"/>
            <w:bottom w:val="none" w:sz="0" w:space="0" w:color="auto"/>
            <w:right w:val="none" w:sz="0" w:space="0" w:color="auto"/>
          </w:divBdr>
        </w:div>
        <w:div w:id="1166434668">
          <w:marLeft w:val="640"/>
          <w:marRight w:val="0"/>
          <w:marTop w:val="0"/>
          <w:marBottom w:val="0"/>
          <w:divBdr>
            <w:top w:val="none" w:sz="0" w:space="0" w:color="auto"/>
            <w:left w:val="none" w:sz="0" w:space="0" w:color="auto"/>
            <w:bottom w:val="none" w:sz="0" w:space="0" w:color="auto"/>
            <w:right w:val="none" w:sz="0" w:space="0" w:color="auto"/>
          </w:divBdr>
        </w:div>
        <w:div w:id="202324566">
          <w:marLeft w:val="640"/>
          <w:marRight w:val="0"/>
          <w:marTop w:val="0"/>
          <w:marBottom w:val="0"/>
          <w:divBdr>
            <w:top w:val="none" w:sz="0" w:space="0" w:color="auto"/>
            <w:left w:val="none" w:sz="0" w:space="0" w:color="auto"/>
            <w:bottom w:val="none" w:sz="0" w:space="0" w:color="auto"/>
            <w:right w:val="none" w:sz="0" w:space="0" w:color="auto"/>
          </w:divBdr>
        </w:div>
        <w:div w:id="825629167">
          <w:marLeft w:val="640"/>
          <w:marRight w:val="0"/>
          <w:marTop w:val="0"/>
          <w:marBottom w:val="0"/>
          <w:divBdr>
            <w:top w:val="none" w:sz="0" w:space="0" w:color="auto"/>
            <w:left w:val="none" w:sz="0" w:space="0" w:color="auto"/>
            <w:bottom w:val="none" w:sz="0" w:space="0" w:color="auto"/>
            <w:right w:val="none" w:sz="0" w:space="0" w:color="auto"/>
          </w:divBdr>
        </w:div>
        <w:div w:id="1005716612">
          <w:marLeft w:val="640"/>
          <w:marRight w:val="0"/>
          <w:marTop w:val="0"/>
          <w:marBottom w:val="0"/>
          <w:divBdr>
            <w:top w:val="none" w:sz="0" w:space="0" w:color="auto"/>
            <w:left w:val="none" w:sz="0" w:space="0" w:color="auto"/>
            <w:bottom w:val="none" w:sz="0" w:space="0" w:color="auto"/>
            <w:right w:val="none" w:sz="0" w:space="0" w:color="auto"/>
          </w:divBdr>
        </w:div>
        <w:div w:id="1522236399">
          <w:marLeft w:val="640"/>
          <w:marRight w:val="0"/>
          <w:marTop w:val="0"/>
          <w:marBottom w:val="0"/>
          <w:divBdr>
            <w:top w:val="none" w:sz="0" w:space="0" w:color="auto"/>
            <w:left w:val="none" w:sz="0" w:space="0" w:color="auto"/>
            <w:bottom w:val="none" w:sz="0" w:space="0" w:color="auto"/>
            <w:right w:val="none" w:sz="0" w:space="0" w:color="auto"/>
          </w:divBdr>
        </w:div>
        <w:div w:id="486671830">
          <w:marLeft w:val="640"/>
          <w:marRight w:val="0"/>
          <w:marTop w:val="0"/>
          <w:marBottom w:val="0"/>
          <w:divBdr>
            <w:top w:val="none" w:sz="0" w:space="0" w:color="auto"/>
            <w:left w:val="none" w:sz="0" w:space="0" w:color="auto"/>
            <w:bottom w:val="none" w:sz="0" w:space="0" w:color="auto"/>
            <w:right w:val="none" w:sz="0" w:space="0" w:color="auto"/>
          </w:divBdr>
        </w:div>
        <w:div w:id="431054961">
          <w:marLeft w:val="640"/>
          <w:marRight w:val="0"/>
          <w:marTop w:val="0"/>
          <w:marBottom w:val="0"/>
          <w:divBdr>
            <w:top w:val="none" w:sz="0" w:space="0" w:color="auto"/>
            <w:left w:val="none" w:sz="0" w:space="0" w:color="auto"/>
            <w:bottom w:val="none" w:sz="0" w:space="0" w:color="auto"/>
            <w:right w:val="none" w:sz="0" w:space="0" w:color="auto"/>
          </w:divBdr>
        </w:div>
        <w:div w:id="1181436777">
          <w:marLeft w:val="640"/>
          <w:marRight w:val="0"/>
          <w:marTop w:val="0"/>
          <w:marBottom w:val="0"/>
          <w:divBdr>
            <w:top w:val="none" w:sz="0" w:space="0" w:color="auto"/>
            <w:left w:val="none" w:sz="0" w:space="0" w:color="auto"/>
            <w:bottom w:val="none" w:sz="0" w:space="0" w:color="auto"/>
            <w:right w:val="none" w:sz="0" w:space="0" w:color="auto"/>
          </w:divBdr>
        </w:div>
        <w:div w:id="652292852">
          <w:marLeft w:val="640"/>
          <w:marRight w:val="0"/>
          <w:marTop w:val="0"/>
          <w:marBottom w:val="0"/>
          <w:divBdr>
            <w:top w:val="none" w:sz="0" w:space="0" w:color="auto"/>
            <w:left w:val="none" w:sz="0" w:space="0" w:color="auto"/>
            <w:bottom w:val="none" w:sz="0" w:space="0" w:color="auto"/>
            <w:right w:val="none" w:sz="0" w:space="0" w:color="auto"/>
          </w:divBdr>
        </w:div>
        <w:div w:id="1912688297">
          <w:marLeft w:val="640"/>
          <w:marRight w:val="0"/>
          <w:marTop w:val="0"/>
          <w:marBottom w:val="0"/>
          <w:divBdr>
            <w:top w:val="none" w:sz="0" w:space="0" w:color="auto"/>
            <w:left w:val="none" w:sz="0" w:space="0" w:color="auto"/>
            <w:bottom w:val="none" w:sz="0" w:space="0" w:color="auto"/>
            <w:right w:val="none" w:sz="0" w:space="0" w:color="auto"/>
          </w:divBdr>
        </w:div>
        <w:div w:id="689602327">
          <w:marLeft w:val="640"/>
          <w:marRight w:val="0"/>
          <w:marTop w:val="0"/>
          <w:marBottom w:val="0"/>
          <w:divBdr>
            <w:top w:val="none" w:sz="0" w:space="0" w:color="auto"/>
            <w:left w:val="none" w:sz="0" w:space="0" w:color="auto"/>
            <w:bottom w:val="none" w:sz="0" w:space="0" w:color="auto"/>
            <w:right w:val="none" w:sz="0" w:space="0" w:color="auto"/>
          </w:divBdr>
        </w:div>
        <w:div w:id="890070726">
          <w:marLeft w:val="640"/>
          <w:marRight w:val="0"/>
          <w:marTop w:val="0"/>
          <w:marBottom w:val="0"/>
          <w:divBdr>
            <w:top w:val="none" w:sz="0" w:space="0" w:color="auto"/>
            <w:left w:val="none" w:sz="0" w:space="0" w:color="auto"/>
            <w:bottom w:val="none" w:sz="0" w:space="0" w:color="auto"/>
            <w:right w:val="none" w:sz="0" w:space="0" w:color="auto"/>
          </w:divBdr>
        </w:div>
        <w:div w:id="858196604">
          <w:marLeft w:val="640"/>
          <w:marRight w:val="0"/>
          <w:marTop w:val="0"/>
          <w:marBottom w:val="0"/>
          <w:divBdr>
            <w:top w:val="none" w:sz="0" w:space="0" w:color="auto"/>
            <w:left w:val="none" w:sz="0" w:space="0" w:color="auto"/>
            <w:bottom w:val="none" w:sz="0" w:space="0" w:color="auto"/>
            <w:right w:val="none" w:sz="0" w:space="0" w:color="auto"/>
          </w:divBdr>
        </w:div>
        <w:div w:id="440758918">
          <w:marLeft w:val="640"/>
          <w:marRight w:val="0"/>
          <w:marTop w:val="0"/>
          <w:marBottom w:val="0"/>
          <w:divBdr>
            <w:top w:val="none" w:sz="0" w:space="0" w:color="auto"/>
            <w:left w:val="none" w:sz="0" w:space="0" w:color="auto"/>
            <w:bottom w:val="none" w:sz="0" w:space="0" w:color="auto"/>
            <w:right w:val="none" w:sz="0" w:space="0" w:color="auto"/>
          </w:divBdr>
        </w:div>
        <w:div w:id="992175021">
          <w:marLeft w:val="640"/>
          <w:marRight w:val="0"/>
          <w:marTop w:val="0"/>
          <w:marBottom w:val="0"/>
          <w:divBdr>
            <w:top w:val="none" w:sz="0" w:space="0" w:color="auto"/>
            <w:left w:val="none" w:sz="0" w:space="0" w:color="auto"/>
            <w:bottom w:val="none" w:sz="0" w:space="0" w:color="auto"/>
            <w:right w:val="none" w:sz="0" w:space="0" w:color="auto"/>
          </w:divBdr>
        </w:div>
        <w:div w:id="1075476827">
          <w:marLeft w:val="640"/>
          <w:marRight w:val="0"/>
          <w:marTop w:val="0"/>
          <w:marBottom w:val="0"/>
          <w:divBdr>
            <w:top w:val="none" w:sz="0" w:space="0" w:color="auto"/>
            <w:left w:val="none" w:sz="0" w:space="0" w:color="auto"/>
            <w:bottom w:val="none" w:sz="0" w:space="0" w:color="auto"/>
            <w:right w:val="none" w:sz="0" w:space="0" w:color="auto"/>
          </w:divBdr>
        </w:div>
        <w:div w:id="433015570">
          <w:marLeft w:val="640"/>
          <w:marRight w:val="0"/>
          <w:marTop w:val="0"/>
          <w:marBottom w:val="0"/>
          <w:divBdr>
            <w:top w:val="none" w:sz="0" w:space="0" w:color="auto"/>
            <w:left w:val="none" w:sz="0" w:space="0" w:color="auto"/>
            <w:bottom w:val="none" w:sz="0" w:space="0" w:color="auto"/>
            <w:right w:val="none" w:sz="0" w:space="0" w:color="auto"/>
          </w:divBdr>
        </w:div>
        <w:div w:id="2012558782">
          <w:marLeft w:val="640"/>
          <w:marRight w:val="0"/>
          <w:marTop w:val="0"/>
          <w:marBottom w:val="0"/>
          <w:divBdr>
            <w:top w:val="none" w:sz="0" w:space="0" w:color="auto"/>
            <w:left w:val="none" w:sz="0" w:space="0" w:color="auto"/>
            <w:bottom w:val="none" w:sz="0" w:space="0" w:color="auto"/>
            <w:right w:val="none" w:sz="0" w:space="0" w:color="auto"/>
          </w:divBdr>
        </w:div>
        <w:div w:id="2096122845">
          <w:marLeft w:val="640"/>
          <w:marRight w:val="0"/>
          <w:marTop w:val="0"/>
          <w:marBottom w:val="0"/>
          <w:divBdr>
            <w:top w:val="none" w:sz="0" w:space="0" w:color="auto"/>
            <w:left w:val="none" w:sz="0" w:space="0" w:color="auto"/>
            <w:bottom w:val="none" w:sz="0" w:space="0" w:color="auto"/>
            <w:right w:val="none" w:sz="0" w:space="0" w:color="auto"/>
          </w:divBdr>
        </w:div>
        <w:div w:id="1966883670">
          <w:marLeft w:val="640"/>
          <w:marRight w:val="0"/>
          <w:marTop w:val="0"/>
          <w:marBottom w:val="0"/>
          <w:divBdr>
            <w:top w:val="none" w:sz="0" w:space="0" w:color="auto"/>
            <w:left w:val="none" w:sz="0" w:space="0" w:color="auto"/>
            <w:bottom w:val="none" w:sz="0" w:space="0" w:color="auto"/>
            <w:right w:val="none" w:sz="0" w:space="0" w:color="auto"/>
          </w:divBdr>
        </w:div>
        <w:div w:id="121467334">
          <w:marLeft w:val="640"/>
          <w:marRight w:val="0"/>
          <w:marTop w:val="0"/>
          <w:marBottom w:val="0"/>
          <w:divBdr>
            <w:top w:val="none" w:sz="0" w:space="0" w:color="auto"/>
            <w:left w:val="none" w:sz="0" w:space="0" w:color="auto"/>
            <w:bottom w:val="none" w:sz="0" w:space="0" w:color="auto"/>
            <w:right w:val="none" w:sz="0" w:space="0" w:color="auto"/>
          </w:divBdr>
        </w:div>
        <w:div w:id="1429037991">
          <w:marLeft w:val="640"/>
          <w:marRight w:val="0"/>
          <w:marTop w:val="0"/>
          <w:marBottom w:val="0"/>
          <w:divBdr>
            <w:top w:val="none" w:sz="0" w:space="0" w:color="auto"/>
            <w:left w:val="none" w:sz="0" w:space="0" w:color="auto"/>
            <w:bottom w:val="none" w:sz="0" w:space="0" w:color="auto"/>
            <w:right w:val="none" w:sz="0" w:space="0" w:color="auto"/>
          </w:divBdr>
        </w:div>
        <w:div w:id="583416442">
          <w:marLeft w:val="640"/>
          <w:marRight w:val="0"/>
          <w:marTop w:val="0"/>
          <w:marBottom w:val="0"/>
          <w:divBdr>
            <w:top w:val="none" w:sz="0" w:space="0" w:color="auto"/>
            <w:left w:val="none" w:sz="0" w:space="0" w:color="auto"/>
            <w:bottom w:val="none" w:sz="0" w:space="0" w:color="auto"/>
            <w:right w:val="none" w:sz="0" w:space="0" w:color="auto"/>
          </w:divBdr>
        </w:div>
        <w:div w:id="1780679044">
          <w:marLeft w:val="640"/>
          <w:marRight w:val="0"/>
          <w:marTop w:val="0"/>
          <w:marBottom w:val="0"/>
          <w:divBdr>
            <w:top w:val="none" w:sz="0" w:space="0" w:color="auto"/>
            <w:left w:val="none" w:sz="0" w:space="0" w:color="auto"/>
            <w:bottom w:val="none" w:sz="0" w:space="0" w:color="auto"/>
            <w:right w:val="none" w:sz="0" w:space="0" w:color="auto"/>
          </w:divBdr>
        </w:div>
        <w:div w:id="688065943">
          <w:marLeft w:val="640"/>
          <w:marRight w:val="0"/>
          <w:marTop w:val="0"/>
          <w:marBottom w:val="0"/>
          <w:divBdr>
            <w:top w:val="none" w:sz="0" w:space="0" w:color="auto"/>
            <w:left w:val="none" w:sz="0" w:space="0" w:color="auto"/>
            <w:bottom w:val="none" w:sz="0" w:space="0" w:color="auto"/>
            <w:right w:val="none" w:sz="0" w:space="0" w:color="auto"/>
          </w:divBdr>
        </w:div>
        <w:div w:id="473328851">
          <w:marLeft w:val="640"/>
          <w:marRight w:val="0"/>
          <w:marTop w:val="0"/>
          <w:marBottom w:val="0"/>
          <w:divBdr>
            <w:top w:val="none" w:sz="0" w:space="0" w:color="auto"/>
            <w:left w:val="none" w:sz="0" w:space="0" w:color="auto"/>
            <w:bottom w:val="none" w:sz="0" w:space="0" w:color="auto"/>
            <w:right w:val="none" w:sz="0" w:space="0" w:color="auto"/>
          </w:divBdr>
        </w:div>
        <w:div w:id="1872834623">
          <w:marLeft w:val="640"/>
          <w:marRight w:val="0"/>
          <w:marTop w:val="0"/>
          <w:marBottom w:val="0"/>
          <w:divBdr>
            <w:top w:val="none" w:sz="0" w:space="0" w:color="auto"/>
            <w:left w:val="none" w:sz="0" w:space="0" w:color="auto"/>
            <w:bottom w:val="none" w:sz="0" w:space="0" w:color="auto"/>
            <w:right w:val="none" w:sz="0" w:space="0" w:color="auto"/>
          </w:divBdr>
        </w:div>
        <w:div w:id="201020522">
          <w:marLeft w:val="640"/>
          <w:marRight w:val="0"/>
          <w:marTop w:val="0"/>
          <w:marBottom w:val="0"/>
          <w:divBdr>
            <w:top w:val="none" w:sz="0" w:space="0" w:color="auto"/>
            <w:left w:val="none" w:sz="0" w:space="0" w:color="auto"/>
            <w:bottom w:val="none" w:sz="0" w:space="0" w:color="auto"/>
            <w:right w:val="none" w:sz="0" w:space="0" w:color="auto"/>
          </w:divBdr>
        </w:div>
        <w:div w:id="1214120512">
          <w:marLeft w:val="640"/>
          <w:marRight w:val="0"/>
          <w:marTop w:val="0"/>
          <w:marBottom w:val="0"/>
          <w:divBdr>
            <w:top w:val="none" w:sz="0" w:space="0" w:color="auto"/>
            <w:left w:val="none" w:sz="0" w:space="0" w:color="auto"/>
            <w:bottom w:val="none" w:sz="0" w:space="0" w:color="auto"/>
            <w:right w:val="none" w:sz="0" w:space="0" w:color="auto"/>
          </w:divBdr>
        </w:div>
        <w:div w:id="715814768">
          <w:marLeft w:val="640"/>
          <w:marRight w:val="0"/>
          <w:marTop w:val="0"/>
          <w:marBottom w:val="0"/>
          <w:divBdr>
            <w:top w:val="none" w:sz="0" w:space="0" w:color="auto"/>
            <w:left w:val="none" w:sz="0" w:space="0" w:color="auto"/>
            <w:bottom w:val="none" w:sz="0" w:space="0" w:color="auto"/>
            <w:right w:val="none" w:sz="0" w:space="0" w:color="auto"/>
          </w:divBdr>
        </w:div>
        <w:div w:id="1355380496">
          <w:marLeft w:val="640"/>
          <w:marRight w:val="0"/>
          <w:marTop w:val="0"/>
          <w:marBottom w:val="0"/>
          <w:divBdr>
            <w:top w:val="none" w:sz="0" w:space="0" w:color="auto"/>
            <w:left w:val="none" w:sz="0" w:space="0" w:color="auto"/>
            <w:bottom w:val="none" w:sz="0" w:space="0" w:color="auto"/>
            <w:right w:val="none" w:sz="0" w:space="0" w:color="auto"/>
          </w:divBdr>
        </w:div>
        <w:div w:id="627130440">
          <w:marLeft w:val="640"/>
          <w:marRight w:val="0"/>
          <w:marTop w:val="0"/>
          <w:marBottom w:val="0"/>
          <w:divBdr>
            <w:top w:val="none" w:sz="0" w:space="0" w:color="auto"/>
            <w:left w:val="none" w:sz="0" w:space="0" w:color="auto"/>
            <w:bottom w:val="none" w:sz="0" w:space="0" w:color="auto"/>
            <w:right w:val="none" w:sz="0" w:space="0" w:color="auto"/>
          </w:divBdr>
        </w:div>
        <w:div w:id="2066828738">
          <w:marLeft w:val="640"/>
          <w:marRight w:val="0"/>
          <w:marTop w:val="0"/>
          <w:marBottom w:val="0"/>
          <w:divBdr>
            <w:top w:val="none" w:sz="0" w:space="0" w:color="auto"/>
            <w:left w:val="none" w:sz="0" w:space="0" w:color="auto"/>
            <w:bottom w:val="none" w:sz="0" w:space="0" w:color="auto"/>
            <w:right w:val="none" w:sz="0" w:space="0" w:color="auto"/>
          </w:divBdr>
        </w:div>
        <w:div w:id="461970055">
          <w:marLeft w:val="640"/>
          <w:marRight w:val="0"/>
          <w:marTop w:val="0"/>
          <w:marBottom w:val="0"/>
          <w:divBdr>
            <w:top w:val="none" w:sz="0" w:space="0" w:color="auto"/>
            <w:left w:val="none" w:sz="0" w:space="0" w:color="auto"/>
            <w:bottom w:val="none" w:sz="0" w:space="0" w:color="auto"/>
            <w:right w:val="none" w:sz="0" w:space="0" w:color="auto"/>
          </w:divBdr>
        </w:div>
        <w:div w:id="1027366064">
          <w:marLeft w:val="640"/>
          <w:marRight w:val="0"/>
          <w:marTop w:val="0"/>
          <w:marBottom w:val="0"/>
          <w:divBdr>
            <w:top w:val="none" w:sz="0" w:space="0" w:color="auto"/>
            <w:left w:val="none" w:sz="0" w:space="0" w:color="auto"/>
            <w:bottom w:val="none" w:sz="0" w:space="0" w:color="auto"/>
            <w:right w:val="none" w:sz="0" w:space="0" w:color="auto"/>
          </w:divBdr>
        </w:div>
        <w:div w:id="1586918455">
          <w:marLeft w:val="640"/>
          <w:marRight w:val="0"/>
          <w:marTop w:val="0"/>
          <w:marBottom w:val="0"/>
          <w:divBdr>
            <w:top w:val="none" w:sz="0" w:space="0" w:color="auto"/>
            <w:left w:val="none" w:sz="0" w:space="0" w:color="auto"/>
            <w:bottom w:val="none" w:sz="0" w:space="0" w:color="auto"/>
            <w:right w:val="none" w:sz="0" w:space="0" w:color="auto"/>
          </w:divBdr>
        </w:div>
        <w:div w:id="1143036469">
          <w:marLeft w:val="640"/>
          <w:marRight w:val="0"/>
          <w:marTop w:val="0"/>
          <w:marBottom w:val="0"/>
          <w:divBdr>
            <w:top w:val="none" w:sz="0" w:space="0" w:color="auto"/>
            <w:left w:val="none" w:sz="0" w:space="0" w:color="auto"/>
            <w:bottom w:val="none" w:sz="0" w:space="0" w:color="auto"/>
            <w:right w:val="none" w:sz="0" w:space="0" w:color="auto"/>
          </w:divBdr>
        </w:div>
        <w:div w:id="797844506">
          <w:marLeft w:val="640"/>
          <w:marRight w:val="0"/>
          <w:marTop w:val="0"/>
          <w:marBottom w:val="0"/>
          <w:divBdr>
            <w:top w:val="none" w:sz="0" w:space="0" w:color="auto"/>
            <w:left w:val="none" w:sz="0" w:space="0" w:color="auto"/>
            <w:bottom w:val="none" w:sz="0" w:space="0" w:color="auto"/>
            <w:right w:val="none" w:sz="0" w:space="0" w:color="auto"/>
          </w:divBdr>
        </w:div>
        <w:div w:id="1653678515">
          <w:marLeft w:val="640"/>
          <w:marRight w:val="0"/>
          <w:marTop w:val="0"/>
          <w:marBottom w:val="0"/>
          <w:divBdr>
            <w:top w:val="none" w:sz="0" w:space="0" w:color="auto"/>
            <w:left w:val="none" w:sz="0" w:space="0" w:color="auto"/>
            <w:bottom w:val="none" w:sz="0" w:space="0" w:color="auto"/>
            <w:right w:val="none" w:sz="0" w:space="0" w:color="auto"/>
          </w:divBdr>
        </w:div>
        <w:div w:id="952596282">
          <w:marLeft w:val="640"/>
          <w:marRight w:val="0"/>
          <w:marTop w:val="0"/>
          <w:marBottom w:val="0"/>
          <w:divBdr>
            <w:top w:val="none" w:sz="0" w:space="0" w:color="auto"/>
            <w:left w:val="none" w:sz="0" w:space="0" w:color="auto"/>
            <w:bottom w:val="none" w:sz="0" w:space="0" w:color="auto"/>
            <w:right w:val="none" w:sz="0" w:space="0" w:color="auto"/>
          </w:divBdr>
        </w:div>
        <w:div w:id="1425027393">
          <w:marLeft w:val="640"/>
          <w:marRight w:val="0"/>
          <w:marTop w:val="0"/>
          <w:marBottom w:val="0"/>
          <w:divBdr>
            <w:top w:val="none" w:sz="0" w:space="0" w:color="auto"/>
            <w:left w:val="none" w:sz="0" w:space="0" w:color="auto"/>
            <w:bottom w:val="none" w:sz="0" w:space="0" w:color="auto"/>
            <w:right w:val="none" w:sz="0" w:space="0" w:color="auto"/>
          </w:divBdr>
        </w:div>
        <w:div w:id="715006587">
          <w:marLeft w:val="640"/>
          <w:marRight w:val="0"/>
          <w:marTop w:val="0"/>
          <w:marBottom w:val="0"/>
          <w:divBdr>
            <w:top w:val="none" w:sz="0" w:space="0" w:color="auto"/>
            <w:left w:val="none" w:sz="0" w:space="0" w:color="auto"/>
            <w:bottom w:val="none" w:sz="0" w:space="0" w:color="auto"/>
            <w:right w:val="none" w:sz="0" w:space="0" w:color="auto"/>
          </w:divBdr>
        </w:div>
        <w:div w:id="133987589">
          <w:marLeft w:val="640"/>
          <w:marRight w:val="0"/>
          <w:marTop w:val="0"/>
          <w:marBottom w:val="0"/>
          <w:divBdr>
            <w:top w:val="none" w:sz="0" w:space="0" w:color="auto"/>
            <w:left w:val="none" w:sz="0" w:space="0" w:color="auto"/>
            <w:bottom w:val="none" w:sz="0" w:space="0" w:color="auto"/>
            <w:right w:val="none" w:sz="0" w:space="0" w:color="auto"/>
          </w:divBdr>
        </w:div>
        <w:div w:id="788276854">
          <w:marLeft w:val="640"/>
          <w:marRight w:val="0"/>
          <w:marTop w:val="0"/>
          <w:marBottom w:val="0"/>
          <w:divBdr>
            <w:top w:val="none" w:sz="0" w:space="0" w:color="auto"/>
            <w:left w:val="none" w:sz="0" w:space="0" w:color="auto"/>
            <w:bottom w:val="none" w:sz="0" w:space="0" w:color="auto"/>
            <w:right w:val="none" w:sz="0" w:space="0" w:color="auto"/>
          </w:divBdr>
        </w:div>
        <w:div w:id="1391539381">
          <w:marLeft w:val="640"/>
          <w:marRight w:val="0"/>
          <w:marTop w:val="0"/>
          <w:marBottom w:val="0"/>
          <w:divBdr>
            <w:top w:val="none" w:sz="0" w:space="0" w:color="auto"/>
            <w:left w:val="none" w:sz="0" w:space="0" w:color="auto"/>
            <w:bottom w:val="none" w:sz="0" w:space="0" w:color="auto"/>
            <w:right w:val="none" w:sz="0" w:space="0" w:color="auto"/>
          </w:divBdr>
        </w:div>
        <w:div w:id="419913813">
          <w:marLeft w:val="640"/>
          <w:marRight w:val="0"/>
          <w:marTop w:val="0"/>
          <w:marBottom w:val="0"/>
          <w:divBdr>
            <w:top w:val="none" w:sz="0" w:space="0" w:color="auto"/>
            <w:left w:val="none" w:sz="0" w:space="0" w:color="auto"/>
            <w:bottom w:val="none" w:sz="0" w:space="0" w:color="auto"/>
            <w:right w:val="none" w:sz="0" w:space="0" w:color="auto"/>
          </w:divBdr>
        </w:div>
        <w:div w:id="1981811072">
          <w:marLeft w:val="640"/>
          <w:marRight w:val="0"/>
          <w:marTop w:val="0"/>
          <w:marBottom w:val="0"/>
          <w:divBdr>
            <w:top w:val="none" w:sz="0" w:space="0" w:color="auto"/>
            <w:left w:val="none" w:sz="0" w:space="0" w:color="auto"/>
            <w:bottom w:val="none" w:sz="0" w:space="0" w:color="auto"/>
            <w:right w:val="none" w:sz="0" w:space="0" w:color="auto"/>
          </w:divBdr>
        </w:div>
        <w:div w:id="422802437">
          <w:marLeft w:val="640"/>
          <w:marRight w:val="0"/>
          <w:marTop w:val="0"/>
          <w:marBottom w:val="0"/>
          <w:divBdr>
            <w:top w:val="none" w:sz="0" w:space="0" w:color="auto"/>
            <w:left w:val="none" w:sz="0" w:space="0" w:color="auto"/>
            <w:bottom w:val="none" w:sz="0" w:space="0" w:color="auto"/>
            <w:right w:val="none" w:sz="0" w:space="0" w:color="auto"/>
          </w:divBdr>
        </w:div>
        <w:div w:id="514147730">
          <w:marLeft w:val="640"/>
          <w:marRight w:val="0"/>
          <w:marTop w:val="0"/>
          <w:marBottom w:val="0"/>
          <w:divBdr>
            <w:top w:val="none" w:sz="0" w:space="0" w:color="auto"/>
            <w:left w:val="none" w:sz="0" w:space="0" w:color="auto"/>
            <w:bottom w:val="none" w:sz="0" w:space="0" w:color="auto"/>
            <w:right w:val="none" w:sz="0" w:space="0" w:color="auto"/>
          </w:divBdr>
        </w:div>
        <w:div w:id="1419205838">
          <w:marLeft w:val="640"/>
          <w:marRight w:val="0"/>
          <w:marTop w:val="0"/>
          <w:marBottom w:val="0"/>
          <w:divBdr>
            <w:top w:val="none" w:sz="0" w:space="0" w:color="auto"/>
            <w:left w:val="none" w:sz="0" w:space="0" w:color="auto"/>
            <w:bottom w:val="none" w:sz="0" w:space="0" w:color="auto"/>
            <w:right w:val="none" w:sz="0" w:space="0" w:color="auto"/>
          </w:divBdr>
        </w:div>
        <w:div w:id="1452899492">
          <w:marLeft w:val="640"/>
          <w:marRight w:val="0"/>
          <w:marTop w:val="0"/>
          <w:marBottom w:val="0"/>
          <w:divBdr>
            <w:top w:val="none" w:sz="0" w:space="0" w:color="auto"/>
            <w:left w:val="none" w:sz="0" w:space="0" w:color="auto"/>
            <w:bottom w:val="none" w:sz="0" w:space="0" w:color="auto"/>
            <w:right w:val="none" w:sz="0" w:space="0" w:color="auto"/>
          </w:divBdr>
        </w:div>
        <w:div w:id="1725639651">
          <w:marLeft w:val="640"/>
          <w:marRight w:val="0"/>
          <w:marTop w:val="0"/>
          <w:marBottom w:val="0"/>
          <w:divBdr>
            <w:top w:val="none" w:sz="0" w:space="0" w:color="auto"/>
            <w:left w:val="none" w:sz="0" w:space="0" w:color="auto"/>
            <w:bottom w:val="none" w:sz="0" w:space="0" w:color="auto"/>
            <w:right w:val="none" w:sz="0" w:space="0" w:color="auto"/>
          </w:divBdr>
        </w:div>
        <w:div w:id="898397825">
          <w:marLeft w:val="640"/>
          <w:marRight w:val="0"/>
          <w:marTop w:val="0"/>
          <w:marBottom w:val="0"/>
          <w:divBdr>
            <w:top w:val="none" w:sz="0" w:space="0" w:color="auto"/>
            <w:left w:val="none" w:sz="0" w:space="0" w:color="auto"/>
            <w:bottom w:val="none" w:sz="0" w:space="0" w:color="auto"/>
            <w:right w:val="none" w:sz="0" w:space="0" w:color="auto"/>
          </w:divBdr>
        </w:div>
        <w:div w:id="1838302277">
          <w:marLeft w:val="640"/>
          <w:marRight w:val="0"/>
          <w:marTop w:val="0"/>
          <w:marBottom w:val="0"/>
          <w:divBdr>
            <w:top w:val="none" w:sz="0" w:space="0" w:color="auto"/>
            <w:left w:val="none" w:sz="0" w:space="0" w:color="auto"/>
            <w:bottom w:val="none" w:sz="0" w:space="0" w:color="auto"/>
            <w:right w:val="none" w:sz="0" w:space="0" w:color="auto"/>
          </w:divBdr>
        </w:div>
        <w:div w:id="1808547411">
          <w:marLeft w:val="640"/>
          <w:marRight w:val="0"/>
          <w:marTop w:val="0"/>
          <w:marBottom w:val="0"/>
          <w:divBdr>
            <w:top w:val="none" w:sz="0" w:space="0" w:color="auto"/>
            <w:left w:val="none" w:sz="0" w:space="0" w:color="auto"/>
            <w:bottom w:val="none" w:sz="0" w:space="0" w:color="auto"/>
            <w:right w:val="none" w:sz="0" w:space="0" w:color="auto"/>
          </w:divBdr>
        </w:div>
        <w:div w:id="470173235">
          <w:marLeft w:val="640"/>
          <w:marRight w:val="0"/>
          <w:marTop w:val="0"/>
          <w:marBottom w:val="0"/>
          <w:divBdr>
            <w:top w:val="none" w:sz="0" w:space="0" w:color="auto"/>
            <w:left w:val="none" w:sz="0" w:space="0" w:color="auto"/>
            <w:bottom w:val="none" w:sz="0" w:space="0" w:color="auto"/>
            <w:right w:val="none" w:sz="0" w:space="0" w:color="auto"/>
          </w:divBdr>
        </w:div>
        <w:div w:id="837303485">
          <w:marLeft w:val="640"/>
          <w:marRight w:val="0"/>
          <w:marTop w:val="0"/>
          <w:marBottom w:val="0"/>
          <w:divBdr>
            <w:top w:val="none" w:sz="0" w:space="0" w:color="auto"/>
            <w:left w:val="none" w:sz="0" w:space="0" w:color="auto"/>
            <w:bottom w:val="none" w:sz="0" w:space="0" w:color="auto"/>
            <w:right w:val="none" w:sz="0" w:space="0" w:color="auto"/>
          </w:divBdr>
        </w:div>
        <w:div w:id="6029939">
          <w:marLeft w:val="640"/>
          <w:marRight w:val="0"/>
          <w:marTop w:val="0"/>
          <w:marBottom w:val="0"/>
          <w:divBdr>
            <w:top w:val="none" w:sz="0" w:space="0" w:color="auto"/>
            <w:left w:val="none" w:sz="0" w:space="0" w:color="auto"/>
            <w:bottom w:val="none" w:sz="0" w:space="0" w:color="auto"/>
            <w:right w:val="none" w:sz="0" w:space="0" w:color="auto"/>
          </w:divBdr>
        </w:div>
        <w:div w:id="816535056">
          <w:marLeft w:val="640"/>
          <w:marRight w:val="0"/>
          <w:marTop w:val="0"/>
          <w:marBottom w:val="0"/>
          <w:divBdr>
            <w:top w:val="none" w:sz="0" w:space="0" w:color="auto"/>
            <w:left w:val="none" w:sz="0" w:space="0" w:color="auto"/>
            <w:bottom w:val="none" w:sz="0" w:space="0" w:color="auto"/>
            <w:right w:val="none" w:sz="0" w:space="0" w:color="auto"/>
          </w:divBdr>
        </w:div>
        <w:div w:id="1087580373">
          <w:marLeft w:val="640"/>
          <w:marRight w:val="0"/>
          <w:marTop w:val="0"/>
          <w:marBottom w:val="0"/>
          <w:divBdr>
            <w:top w:val="none" w:sz="0" w:space="0" w:color="auto"/>
            <w:left w:val="none" w:sz="0" w:space="0" w:color="auto"/>
            <w:bottom w:val="none" w:sz="0" w:space="0" w:color="auto"/>
            <w:right w:val="none" w:sz="0" w:space="0" w:color="auto"/>
          </w:divBdr>
        </w:div>
        <w:div w:id="275723049">
          <w:marLeft w:val="640"/>
          <w:marRight w:val="0"/>
          <w:marTop w:val="0"/>
          <w:marBottom w:val="0"/>
          <w:divBdr>
            <w:top w:val="none" w:sz="0" w:space="0" w:color="auto"/>
            <w:left w:val="none" w:sz="0" w:space="0" w:color="auto"/>
            <w:bottom w:val="none" w:sz="0" w:space="0" w:color="auto"/>
            <w:right w:val="none" w:sz="0" w:space="0" w:color="auto"/>
          </w:divBdr>
        </w:div>
        <w:div w:id="750854543">
          <w:marLeft w:val="640"/>
          <w:marRight w:val="0"/>
          <w:marTop w:val="0"/>
          <w:marBottom w:val="0"/>
          <w:divBdr>
            <w:top w:val="none" w:sz="0" w:space="0" w:color="auto"/>
            <w:left w:val="none" w:sz="0" w:space="0" w:color="auto"/>
            <w:bottom w:val="none" w:sz="0" w:space="0" w:color="auto"/>
            <w:right w:val="none" w:sz="0" w:space="0" w:color="auto"/>
          </w:divBdr>
        </w:div>
        <w:div w:id="767699516">
          <w:marLeft w:val="640"/>
          <w:marRight w:val="0"/>
          <w:marTop w:val="0"/>
          <w:marBottom w:val="0"/>
          <w:divBdr>
            <w:top w:val="none" w:sz="0" w:space="0" w:color="auto"/>
            <w:left w:val="none" w:sz="0" w:space="0" w:color="auto"/>
            <w:bottom w:val="none" w:sz="0" w:space="0" w:color="auto"/>
            <w:right w:val="none" w:sz="0" w:space="0" w:color="auto"/>
          </w:divBdr>
        </w:div>
        <w:div w:id="1807044459">
          <w:marLeft w:val="640"/>
          <w:marRight w:val="0"/>
          <w:marTop w:val="0"/>
          <w:marBottom w:val="0"/>
          <w:divBdr>
            <w:top w:val="none" w:sz="0" w:space="0" w:color="auto"/>
            <w:left w:val="none" w:sz="0" w:space="0" w:color="auto"/>
            <w:bottom w:val="none" w:sz="0" w:space="0" w:color="auto"/>
            <w:right w:val="none" w:sz="0" w:space="0" w:color="auto"/>
          </w:divBdr>
        </w:div>
        <w:div w:id="1647734088">
          <w:marLeft w:val="640"/>
          <w:marRight w:val="0"/>
          <w:marTop w:val="0"/>
          <w:marBottom w:val="0"/>
          <w:divBdr>
            <w:top w:val="none" w:sz="0" w:space="0" w:color="auto"/>
            <w:left w:val="none" w:sz="0" w:space="0" w:color="auto"/>
            <w:bottom w:val="none" w:sz="0" w:space="0" w:color="auto"/>
            <w:right w:val="none" w:sz="0" w:space="0" w:color="auto"/>
          </w:divBdr>
        </w:div>
        <w:div w:id="1916894335">
          <w:marLeft w:val="640"/>
          <w:marRight w:val="0"/>
          <w:marTop w:val="0"/>
          <w:marBottom w:val="0"/>
          <w:divBdr>
            <w:top w:val="none" w:sz="0" w:space="0" w:color="auto"/>
            <w:left w:val="none" w:sz="0" w:space="0" w:color="auto"/>
            <w:bottom w:val="none" w:sz="0" w:space="0" w:color="auto"/>
            <w:right w:val="none" w:sz="0" w:space="0" w:color="auto"/>
          </w:divBdr>
        </w:div>
        <w:div w:id="400099975">
          <w:marLeft w:val="640"/>
          <w:marRight w:val="0"/>
          <w:marTop w:val="0"/>
          <w:marBottom w:val="0"/>
          <w:divBdr>
            <w:top w:val="none" w:sz="0" w:space="0" w:color="auto"/>
            <w:left w:val="none" w:sz="0" w:space="0" w:color="auto"/>
            <w:bottom w:val="none" w:sz="0" w:space="0" w:color="auto"/>
            <w:right w:val="none" w:sz="0" w:space="0" w:color="auto"/>
          </w:divBdr>
        </w:div>
        <w:div w:id="1303465615">
          <w:marLeft w:val="640"/>
          <w:marRight w:val="0"/>
          <w:marTop w:val="0"/>
          <w:marBottom w:val="0"/>
          <w:divBdr>
            <w:top w:val="none" w:sz="0" w:space="0" w:color="auto"/>
            <w:left w:val="none" w:sz="0" w:space="0" w:color="auto"/>
            <w:bottom w:val="none" w:sz="0" w:space="0" w:color="auto"/>
            <w:right w:val="none" w:sz="0" w:space="0" w:color="auto"/>
          </w:divBdr>
        </w:div>
        <w:div w:id="833957854">
          <w:marLeft w:val="640"/>
          <w:marRight w:val="0"/>
          <w:marTop w:val="0"/>
          <w:marBottom w:val="0"/>
          <w:divBdr>
            <w:top w:val="none" w:sz="0" w:space="0" w:color="auto"/>
            <w:left w:val="none" w:sz="0" w:space="0" w:color="auto"/>
            <w:bottom w:val="none" w:sz="0" w:space="0" w:color="auto"/>
            <w:right w:val="none" w:sz="0" w:space="0" w:color="auto"/>
          </w:divBdr>
        </w:div>
        <w:div w:id="1187210471">
          <w:marLeft w:val="640"/>
          <w:marRight w:val="0"/>
          <w:marTop w:val="0"/>
          <w:marBottom w:val="0"/>
          <w:divBdr>
            <w:top w:val="none" w:sz="0" w:space="0" w:color="auto"/>
            <w:left w:val="none" w:sz="0" w:space="0" w:color="auto"/>
            <w:bottom w:val="none" w:sz="0" w:space="0" w:color="auto"/>
            <w:right w:val="none" w:sz="0" w:space="0" w:color="auto"/>
          </w:divBdr>
        </w:div>
        <w:div w:id="87166007">
          <w:marLeft w:val="640"/>
          <w:marRight w:val="0"/>
          <w:marTop w:val="0"/>
          <w:marBottom w:val="0"/>
          <w:divBdr>
            <w:top w:val="none" w:sz="0" w:space="0" w:color="auto"/>
            <w:left w:val="none" w:sz="0" w:space="0" w:color="auto"/>
            <w:bottom w:val="none" w:sz="0" w:space="0" w:color="auto"/>
            <w:right w:val="none" w:sz="0" w:space="0" w:color="auto"/>
          </w:divBdr>
        </w:div>
        <w:div w:id="1588996940">
          <w:marLeft w:val="640"/>
          <w:marRight w:val="0"/>
          <w:marTop w:val="0"/>
          <w:marBottom w:val="0"/>
          <w:divBdr>
            <w:top w:val="none" w:sz="0" w:space="0" w:color="auto"/>
            <w:left w:val="none" w:sz="0" w:space="0" w:color="auto"/>
            <w:bottom w:val="none" w:sz="0" w:space="0" w:color="auto"/>
            <w:right w:val="none" w:sz="0" w:space="0" w:color="auto"/>
          </w:divBdr>
        </w:div>
        <w:div w:id="928274606">
          <w:marLeft w:val="640"/>
          <w:marRight w:val="0"/>
          <w:marTop w:val="0"/>
          <w:marBottom w:val="0"/>
          <w:divBdr>
            <w:top w:val="none" w:sz="0" w:space="0" w:color="auto"/>
            <w:left w:val="none" w:sz="0" w:space="0" w:color="auto"/>
            <w:bottom w:val="none" w:sz="0" w:space="0" w:color="auto"/>
            <w:right w:val="none" w:sz="0" w:space="0" w:color="auto"/>
          </w:divBdr>
        </w:div>
        <w:div w:id="1808204198">
          <w:marLeft w:val="640"/>
          <w:marRight w:val="0"/>
          <w:marTop w:val="0"/>
          <w:marBottom w:val="0"/>
          <w:divBdr>
            <w:top w:val="none" w:sz="0" w:space="0" w:color="auto"/>
            <w:left w:val="none" w:sz="0" w:space="0" w:color="auto"/>
            <w:bottom w:val="none" w:sz="0" w:space="0" w:color="auto"/>
            <w:right w:val="none" w:sz="0" w:space="0" w:color="auto"/>
          </w:divBdr>
        </w:div>
        <w:div w:id="63919316">
          <w:marLeft w:val="640"/>
          <w:marRight w:val="0"/>
          <w:marTop w:val="0"/>
          <w:marBottom w:val="0"/>
          <w:divBdr>
            <w:top w:val="none" w:sz="0" w:space="0" w:color="auto"/>
            <w:left w:val="none" w:sz="0" w:space="0" w:color="auto"/>
            <w:bottom w:val="none" w:sz="0" w:space="0" w:color="auto"/>
            <w:right w:val="none" w:sz="0" w:space="0" w:color="auto"/>
          </w:divBdr>
        </w:div>
        <w:div w:id="1908802962">
          <w:marLeft w:val="640"/>
          <w:marRight w:val="0"/>
          <w:marTop w:val="0"/>
          <w:marBottom w:val="0"/>
          <w:divBdr>
            <w:top w:val="none" w:sz="0" w:space="0" w:color="auto"/>
            <w:left w:val="none" w:sz="0" w:space="0" w:color="auto"/>
            <w:bottom w:val="none" w:sz="0" w:space="0" w:color="auto"/>
            <w:right w:val="none" w:sz="0" w:space="0" w:color="auto"/>
          </w:divBdr>
        </w:div>
        <w:div w:id="125634688">
          <w:marLeft w:val="640"/>
          <w:marRight w:val="0"/>
          <w:marTop w:val="0"/>
          <w:marBottom w:val="0"/>
          <w:divBdr>
            <w:top w:val="none" w:sz="0" w:space="0" w:color="auto"/>
            <w:left w:val="none" w:sz="0" w:space="0" w:color="auto"/>
            <w:bottom w:val="none" w:sz="0" w:space="0" w:color="auto"/>
            <w:right w:val="none" w:sz="0" w:space="0" w:color="auto"/>
          </w:divBdr>
        </w:div>
        <w:div w:id="701903869">
          <w:marLeft w:val="640"/>
          <w:marRight w:val="0"/>
          <w:marTop w:val="0"/>
          <w:marBottom w:val="0"/>
          <w:divBdr>
            <w:top w:val="none" w:sz="0" w:space="0" w:color="auto"/>
            <w:left w:val="none" w:sz="0" w:space="0" w:color="auto"/>
            <w:bottom w:val="none" w:sz="0" w:space="0" w:color="auto"/>
            <w:right w:val="none" w:sz="0" w:space="0" w:color="auto"/>
          </w:divBdr>
        </w:div>
        <w:div w:id="6372363">
          <w:marLeft w:val="640"/>
          <w:marRight w:val="0"/>
          <w:marTop w:val="0"/>
          <w:marBottom w:val="0"/>
          <w:divBdr>
            <w:top w:val="none" w:sz="0" w:space="0" w:color="auto"/>
            <w:left w:val="none" w:sz="0" w:space="0" w:color="auto"/>
            <w:bottom w:val="none" w:sz="0" w:space="0" w:color="auto"/>
            <w:right w:val="none" w:sz="0" w:space="0" w:color="auto"/>
          </w:divBdr>
        </w:div>
        <w:div w:id="1160389030">
          <w:marLeft w:val="640"/>
          <w:marRight w:val="0"/>
          <w:marTop w:val="0"/>
          <w:marBottom w:val="0"/>
          <w:divBdr>
            <w:top w:val="none" w:sz="0" w:space="0" w:color="auto"/>
            <w:left w:val="none" w:sz="0" w:space="0" w:color="auto"/>
            <w:bottom w:val="none" w:sz="0" w:space="0" w:color="auto"/>
            <w:right w:val="none" w:sz="0" w:space="0" w:color="auto"/>
          </w:divBdr>
        </w:div>
        <w:div w:id="1825000690">
          <w:marLeft w:val="640"/>
          <w:marRight w:val="0"/>
          <w:marTop w:val="0"/>
          <w:marBottom w:val="0"/>
          <w:divBdr>
            <w:top w:val="none" w:sz="0" w:space="0" w:color="auto"/>
            <w:left w:val="none" w:sz="0" w:space="0" w:color="auto"/>
            <w:bottom w:val="none" w:sz="0" w:space="0" w:color="auto"/>
            <w:right w:val="none" w:sz="0" w:space="0" w:color="auto"/>
          </w:divBdr>
        </w:div>
        <w:div w:id="24985104">
          <w:marLeft w:val="640"/>
          <w:marRight w:val="0"/>
          <w:marTop w:val="0"/>
          <w:marBottom w:val="0"/>
          <w:divBdr>
            <w:top w:val="none" w:sz="0" w:space="0" w:color="auto"/>
            <w:left w:val="none" w:sz="0" w:space="0" w:color="auto"/>
            <w:bottom w:val="none" w:sz="0" w:space="0" w:color="auto"/>
            <w:right w:val="none" w:sz="0" w:space="0" w:color="auto"/>
          </w:divBdr>
        </w:div>
        <w:div w:id="966816240">
          <w:marLeft w:val="640"/>
          <w:marRight w:val="0"/>
          <w:marTop w:val="0"/>
          <w:marBottom w:val="0"/>
          <w:divBdr>
            <w:top w:val="none" w:sz="0" w:space="0" w:color="auto"/>
            <w:left w:val="none" w:sz="0" w:space="0" w:color="auto"/>
            <w:bottom w:val="none" w:sz="0" w:space="0" w:color="auto"/>
            <w:right w:val="none" w:sz="0" w:space="0" w:color="auto"/>
          </w:divBdr>
        </w:div>
        <w:div w:id="1541042788">
          <w:marLeft w:val="640"/>
          <w:marRight w:val="0"/>
          <w:marTop w:val="0"/>
          <w:marBottom w:val="0"/>
          <w:divBdr>
            <w:top w:val="none" w:sz="0" w:space="0" w:color="auto"/>
            <w:left w:val="none" w:sz="0" w:space="0" w:color="auto"/>
            <w:bottom w:val="none" w:sz="0" w:space="0" w:color="auto"/>
            <w:right w:val="none" w:sz="0" w:space="0" w:color="auto"/>
          </w:divBdr>
        </w:div>
        <w:div w:id="1329669389">
          <w:marLeft w:val="640"/>
          <w:marRight w:val="0"/>
          <w:marTop w:val="0"/>
          <w:marBottom w:val="0"/>
          <w:divBdr>
            <w:top w:val="none" w:sz="0" w:space="0" w:color="auto"/>
            <w:left w:val="none" w:sz="0" w:space="0" w:color="auto"/>
            <w:bottom w:val="none" w:sz="0" w:space="0" w:color="auto"/>
            <w:right w:val="none" w:sz="0" w:space="0" w:color="auto"/>
          </w:divBdr>
        </w:div>
        <w:div w:id="1307858974">
          <w:marLeft w:val="640"/>
          <w:marRight w:val="0"/>
          <w:marTop w:val="0"/>
          <w:marBottom w:val="0"/>
          <w:divBdr>
            <w:top w:val="none" w:sz="0" w:space="0" w:color="auto"/>
            <w:left w:val="none" w:sz="0" w:space="0" w:color="auto"/>
            <w:bottom w:val="none" w:sz="0" w:space="0" w:color="auto"/>
            <w:right w:val="none" w:sz="0" w:space="0" w:color="auto"/>
          </w:divBdr>
        </w:div>
        <w:div w:id="1559630644">
          <w:marLeft w:val="640"/>
          <w:marRight w:val="0"/>
          <w:marTop w:val="0"/>
          <w:marBottom w:val="0"/>
          <w:divBdr>
            <w:top w:val="none" w:sz="0" w:space="0" w:color="auto"/>
            <w:left w:val="none" w:sz="0" w:space="0" w:color="auto"/>
            <w:bottom w:val="none" w:sz="0" w:space="0" w:color="auto"/>
            <w:right w:val="none" w:sz="0" w:space="0" w:color="auto"/>
          </w:divBdr>
        </w:div>
        <w:div w:id="1545678465">
          <w:marLeft w:val="640"/>
          <w:marRight w:val="0"/>
          <w:marTop w:val="0"/>
          <w:marBottom w:val="0"/>
          <w:divBdr>
            <w:top w:val="none" w:sz="0" w:space="0" w:color="auto"/>
            <w:left w:val="none" w:sz="0" w:space="0" w:color="auto"/>
            <w:bottom w:val="none" w:sz="0" w:space="0" w:color="auto"/>
            <w:right w:val="none" w:sz="0" w:space="0" w:color="auto"/>
          </w:divBdr>
        </w:div>
        <w:div w:id="1686517238">
          <w:marLeft w:val="640"/>
          <w:marRight w:val="0"/>
          <w:marTop w:val="0"/>
          <w:marBottom w:val="0"/>
          <w:divBdr>
            <w:top w:val="none" w:sz="0" w:space="0" w:color="auto"/>
            <w:left w:val="none" w:sz="0" w:space="0" w:color="auto"/>
            <w:bottom w:val="none" w:sz="0" w:space="0" w:color="auto"/>
            <w:right w:val="none" w:sz="0" w:space="0" w:color="auto"/>
          </w:divBdr>
        </w:div>
        <w:div w:id="956523939">
          <w:marLeft w:val="640"/>
          <w:marRight w:val="0"/>
          <w:marTop w:val="0"/>
          <w:marBottom w:val="0"/>
          <w:divBdr>
            <w:top w:val="none" w:sz="0" w:space="0" w:color="auto"/>
            <w:left w:val="none" w:sz="0" w:space="0" w:color="auto"/>
            <w:bottom w:val="none" w:sz="0" w:space="0" w:color="auto"/>
            <w:right w:val="none" w:sz="0" w:space="0" w:color="auto"/>
          </w:divBdr>
        </w:div>
        <w:div w:id="1806314266">
          <w:marLeft w:val="640"/>
          <w:marRight w:val="0"/>
          <w:marTop w:val="0"/>
          <w:marBottom w:val="0"/>
          <w:divBdr>
            <w:top w:val="none" w:sz="0" w:space="0" w:color="auto"/>
            <w:left w:val="none" w:sz="0" w:space="0" w:color="auto"/>
            <w:bottom w:val="none" w:sz="0" w:space="0" w:color="auto"/>
            <w:right w:val="none" w:sz="0" w:space="0" w:color="auto"/>
          </w:divBdr>
        </w:div>
        <w:div w:id="2089038325">
          <w:marLeft w:val="640"/>
          <w:marRight w:val="0"/>
          <w:marTop w:val="0"/>
          <w:marBottom w:val="0"/>
          <w:divBdr>
            <w:top w:val="none" w:sz="0" w:space="0" w:color="auto"/>
            <w:left w:val="none" w:sz="0" w:space="0" w:color="auto"/>
            <w:bottom w:val="none" w:sz="0" w:space="0" w:color="auto"/>
            <w:right w:val="none" w:sz="0" w:space="0" w:color="auto"/>
          </w:divBdr>
        </w:div>
        <w:div w:id="433988084">
          <w:marLeft w:val="640"/>
          <w:marRight w:val="0"/>
          <w:marTop w:val="0"/>
          <w:marBottom w:val="0"/>
          <w:divBdr>
            <w:top w:val="none" w:sz="0" w:space="0" w:color="auto"/>
            <w:left w:val="none" w:sz="0" w:space="0" w:color="auto"/>
            <w:bottom w:val="none" w:sz="0" w:space="0" w:color="auto"/>
            <w:right w:val="none" w:sz="0" w:space="0" w:color="auto"/>
          </w:divBdr>
        </w:div>
        <w:div w:id="1387602852">
          <w:marLeft w:val="640"/>
          <w:marRight w:val="0"/>
          <w:marTop w:val="0"/>
          <w:marBottom w:val="0"/>
          <w:divBdr>
            <w:top w:val="none" w:sz="0" w:space="0" w:color="auto"/>
            <w:left w:val="none" w:sz="0" w:space="0" w:color="auto"/>
            <w:bottom w:val="none" w:sz="0" w:space="0" w:color="auto"/>
            <w:right w:val="none" w:sz="0" w:space="0" w:color="auto"/>
          </w:divBdr>
        </w:div>
        <w:div w:id="1426534917">
          <w:marLeft w:val="640"/>
          <w:marRight w:val="0"/>
          <w:marTop w:val="0"/>
          <w:marBottom w:val="0"/>
          <w:divBdr>
            <w:top w:val="none" w:sz="0" w:space="0" w:color="auto"/>
            <w:left w:val="none" w:sz="0" w:space="0" w:color="auto"/>
            <w:bottom w:val="none" w:sz="0" w:space="0" w:color="auto"/>
            <w:right w:val="none" w:sz="0" w:space="0" w:color="auto"/>
          </w:divBdr>
        </w:div>
        <w:div w:id="318658876">
          <w:marLeft w:val="640"/>
          <w:marRight w:val="0"/>
          <w:marTop w:val="0"/>
          <w:marBottom w:val="0"/>
          <w:divBdr>
            <w:top w:val="none" w:sz="0" w:space="0" w:color="auto"/>
            <w:left w:val="none" w:sz="0" w:space="0" w:color="auto"/>
            <w:bottom w:val="none" w:sz="0" w:space="0" w:color="auto"/>
            <w:right w:val="none" w:sz="0" w:space="0" w:color="auto"/>
          </w:divBdr>
        </w:div>
        <w:div w:id="310867049">
          <w:marLeft w:val="640"/>
          <w:marRight w:val="0"/>
          <w:marTop w:val="0"/>
          <w:marBottom w:val="0"/>
          <w:divBdr>
            <w:top w:val="none" w:sz="0" w:space="0" w:color="auto"/>
            <w:left w:val="none" w:sz="0" w:space="0" w:color="auto"/>
            <w:bottom w:val="none" w:sz="0" w:space="0" w:color="auto"/>
            <w:right w:val="none" w:sz="0" w:space="0" w:color="auto"/>
          </w:divBdr>
        </w:div>
        <w:div w:id="1161770998">
          <w:marLeft w:val="640"/>
          <w:marRight w:val="0"/>
          <w:marTop w:val="0"/>
          <w:marBottom w:val="0"/>
          <w:divBdr>
            <w:top w:val="none" w:sz="0" w:space="0" w:color="auto"/>
            <w:left w:val="none" w:sz="0" w:space="0" w:color="auto"/>
            <w:bottom w:val="none" w:sz="0" w:space="0" w:color="auto"/>
            <w:right w:val="none" w:sz="0" w:space="0" w:color="auto"/>
          </w:divBdr>
        </w:div>
        <w:div w:id="1823085098">
          <w:marLeft w:val="640"/>
          <w:marRight w:val="0"/>
          <w:marTop w:val="0"/>
          <w:marBottom w:val="0"/>
          <w:divBdr>
            <w:top w:val="none" w:sz="0" w:space="0" w:color="auto"/>
            <w:left w:val="none" w:sz="0" w:space="0" w:color="auto"/>
            <w:bottom w:val="none" w:sz="0" w:space="0" w:color="auto"/>
            <w:right w:val="none" w:sz="0" w:space="0" w:color="auto"/>
          </w:divBdr>
        </w:div>
        <w:div w:id="1369599305">
          <w:marLeft w:val="640"/>
          <w:marRight w:val="0"/>
          <w:marTop w:val="0"/>
          <w:marBottom w:val="0"/>
          <w:divBdr>
            <w:top w:val="none" w:sz="0" w:space="0" w:color="auto"/>
            <w:left w:val="none" w:sz="0" w:space="0" w:color="auto"/>
            <w:bottom w:val="none" w:sz="0" w:space="0" w:color="auto"/>
            <w:right w:val="none" w:sz="0" w:space="0" w:color="auto"/>
          </w:divBdr>
        </w:div>
        <w:div w:id="1823351848">
          <w:marLeft w:val="640"/>
          <w:marRight w:val="0"/>
          <w:marTop w:val="0"/>
          <w:marBottom w:val="0"/>
          <w:divBdr>
            <w:top w:val="none" w:sz="0" w:space="0" w:color="auto"/>
            <w:left w:val="none" w:sz="0" w:space="0" w:color="auto"/>
            <w:bottom w:val="none" w:sz="0" w:space="0" w:color="auto"/>
            <w:right w:val="none" w:sz="0" w:space="0" w:color="auto"/>
          </w:divBdr>
        </w:div>
        <w:div w:id="1129207494">
          <w:marLeft w:val="640"/>
          <w:marRight w:val="0"/>
          <w:marTop w:val="0"/>
          <w:marBottom w:val="0"/>
          <w:divBdr>
            <w:top w:val="none" w:sz="0" w:space="0" w:color="auto"/>
            <w:left w:val="none" w:sz="0" w:space="0" w:color="auto"/>
            <w:bottom w:val="none" w:sz="0" w:space="0" w:color="auto"/>
            <w:right w:val="none" w:sz="0" w:space="0" w:color="auto"/>
          </w:divBdr>
        </w:div>
        <w:div w:id="1994213672">
          <w:marLeft w:val="640"/>
          <w:marRight w:val="0"/>
          <w:marTop w:val="0"/>
          <w:marBottom w:val="0"/>
          <w:divBdr>
            <w:top w:val="none" w:sz="0" w:space="0" w:color="auto"/>
            <w:left w:val="none" w:sz="0" w:space="0" w:color="auto"/>
            <w:bottom w:val="none" w:sz="0" w:space="0" w:color="auto"/>
            <w:right w:val="none" w:sz="0" w:space="0" w:color="auto"/>
          </w:divBdr>
        </w:div>
        <w:div w:id="159545411">
          <w:marLeft w:val="640"/>
          <w:marRight w:val="0"/>
          <w:marTop w:val="0"/>
          <w:marBottom w:val="0"/>
          <w:divBdr>
            <w:top w:val="none" w:sz="0" w:space="0" w:color="auto"/>
            <w:left w:val="none" w:sz="0" w:space="0" w:color="auto"/>
            <w:bottom w:val="none" w:sz="0" w:space="0" w:color="auto"/>
            <w:right w:val="none" w:sz="0" w:space="0" w:color="auto"/>
          </w:divBdr>
        </w:div>
        <w:div w:id="1798645553">
          <w:marLeft w:val="640"/>
          <w:marRight w:val="0"/>
          <w:marTop w:val="0"/>
          <w:marBottom w:val="0"/>
          <w:divBdr>
            <w:top w:val="none" w:sz="0" w:space="0" w:color="auto"/>
            <w:left w:val="none" w:sz="0" w:space="0" w:color="auto"/>
            <w:bottom w:val="none" w:sz="0" w:space="0" w:color="auto"/>
            <w:right w:val="none" w:sz="0" w:space="0" w:color="auto"/>
          </w:divBdr>
        </w:div>
        <w:div w:id="158741852">
          <w:marLeft w:val="640"/>
          <w:marRight w:val="0"/>
          <w:marTop w:val="0"/>
          <w:marBottom w:val="0"/>
          <w:divBdr>
            <w:top w:val="none" w:sz="0" w:space="0" w:color="auto"/>
            <w:left w:val="none" w:sz="0" w:space="0" w:color="auto"/>
            <w:bottom w:val="none" w:sz="0" w:space="0" w:color="auto"/>
            <w:right w:val="none" w:sz="0" w:space="0" w:color="auto"/>
          </w:divBdr>
        </w:div>
        <w:div w:id="613446630">
          <w:marLeft w:val="640"/>
          <w:marRight w:val="0"/>
          <w:marTop w:val="0"/>
          <w:marBottom w:val="0"/>
          <w:divBdr>
            <w:top w:val="none" w:sz="0" w:space="0" w:color="auto"/>
            <w:left w:val="none" w:sz="0" w:space="0" w:color="auto"/>
            <w:bottom w:val="none" w:sz="0" w:space="0" w:color="auto"/>
            <w:right w:val="none" w:sz="0" w:space="0" w:color="auto"/>
          </w:divBdr>
        </w:div>
        <w:div w:id="54008832">
          <w:marLeft w:val="640"/>
          <w:marRight w:val="0"/>
          <w:marTop w:val="0"/>
          <w:marBottom w:val="0"/>
          <w:divBdr>
            <w:top w:val="none" w:sz="0" w:space="0" w:color="auto"/>
            <w:left w:val="none" w:sz="0" w:space="0" w:color="auto"/>
            <w:bottom w:val="none" w:sz="0" w:space="0" w:color="auto"/>
            <w:right w:val="none" w:sz="0" w:space="0" w:color="auto"/>
          </w:divBdr>
        </w:div>
        <w:div w:id="402338137">
          <w:marLeft w:val="640"/>
          <w:marRight w:val="0"/>
          <w:marTop w:val="0"/>
          <w:marBottom w:val="0"/>
          <w:divBdr>
            <w:top w:val="none" w:sz="0" w:space="0" w:color="auto"/>
            <w:left w:val="none" w:sz="0" w:space="0" w:color="auto"/>
            <w:bottom w:val="none" w:sz="0" w:space="0" w:color="auto"/>
            <w:right w:val="none" w:sz="0" w:space="0" w:color="auto"/>
          </w:divBdr>
        </w:div>
        <w:div w:id="1191071737">
          <w:marLeft w:val="640"/>
          <w:marRight w:val="0"/>
          <w:marTop w:val="0"/>
          <w:marBottom w:val="0"/>
          <w:divBdr>
            <w:top w:val="none" w:sz="0" w:space="0" w:color="auto"/>
            <w:left w:val="none" w:sz="0" w:space="0" w:color="auto"/>
            <w:bottom w:val="none" w:sz="0" w:space="0" w:color="auto"/>
            <w:right w:val="none" w:sz="0" w:space="0" w:color="auto"/>
          </w:divBdr>
        </w:div>
        <w:div w:id="1785539382">
          <w:marLeft w:val="640"/>
          <w:marRight w:val="0"/>
          <w:marTop w:val="0"/>
          <w:marBottom w:val="0"/>
          <w:divBdr>
            <w:top w:val="none" w:sz="0" w:space="0" w:color="auto"/>
            <w:left w:val="none" w:sz="0" w:space="0" w:color="auto"/>
            <w:bottom w:val="none" w:sz="0" w:space="0" w:color="auto"/>
            <w:right w:val="none" w:sz="0" w:space="0" w:color="auto"/>
          </w:divBdr>
        </w:div>
        <w:div w:id="1097484970">
          <w:marLeft w:val="640"/>
          <w:marRight w:val="0"/>
          <w:marTop w:val="0"/>
          <w:marBottom w:val="0"/>
          <w:divBdr>
            <w:top w:val="none" w:sz="0" w:space="0" w:color="auto"/>
            <w:left w:val="none" w:sz="0" w:space="0" w:color="auto"/>
            <w:bottom w:val="none" w:sz="0" w:space="0" w:color="auto"/>
            <w:right w:val="none" w:sz="0" w:space="0" w:color="auto"/>
          </w:divBdr>
        </w:div>
        <w:div w:id="1816290048">
          <w:marLeft w:val="640"/>
          <w:marRight w:val="0"/>
          <w:marTop w:val="0"/>
          <w:marBottom w:val="0"/>
          <w:divBdr>
            <w:top w:val="none" w:sz="0" w:space="0" w:color="auto"/>
            <w:left w:val="none" w:sz="0" w:space="0" w:color="auto"/>
            <w:bottom w:val="none" w:sz="0" w:space="0" w:color="auto"/>
            <w:right w:val="none" w:sz="0" w:space="0" w:color="auto"/>
          </w:divBdr>
        </w:div>
        <w:div w:id="1230648841">
          <w:marLeft w:val="640"/>
          <w:marRight w:val="0"/>
          <w:marTop w:val="0"/>
          <w:marBottom w:val="0"/>
          <w:divBdr>
            <w:top w:val="none" w:sz="0" w:space="0" w:color="auto"/>
            <w:left w:val="none" w:sz="0" w:space="0" w:color="auto"/>
            <w:bottom w:val="none" w:sz="0" w:space="0" w:color="auto"/>
            <w:right w:val="none" w:sz="0" w:space="0" w:color="auto"/>
          </w:divBdr>
        </w:div>
        <w:div w:id="873225636">
          <w:marLeft w:val="640"/>
          <w:marRight w:val="0"/>
          <w:marTop w:val="0"/>
          <w:marBottom w:val="0"/>
          <w:divBdr>
            <w:top w:val="none" w:sz="0" w:space="0" w:color="auto"/>
            <w:left w:val="none" w:sz="0" w:space="0" w:color="auto"/>
            <w:bottom w:val="none" w:sz="0" w:space="0" w:color="auto"/>
            <w:right w:val="none" w:sz="0" w:space="0" w:color="auto"/>
          </w:divBdr>
        </w:div>
        <w:div w:id="133330828">
          <w:marLeft w:val="640"/>
          <w:marRight w:val="0"/>
          <w:marTop w:val="0"/>
          <w:marBottom w:val="0"/>
          <w:divBdr>
            <w:top w:val="none" w:sz="0" w:space="0" w:color="auto"/>
            <w:left w:val="none" w:sz="0" w:space="0" w:color="auto"/>
            <w:bottom w:val="none" w:sz="0" w:space="0" w:color="auto"/>
            <w:right w:val="none" w:sz="0" w:space="0" w:color="auto"/>
          </w:divBdr>
        </w:div>
        <w:div w:id="347947320">
          <w:marLeft w:val="640"/>
          <w:marRight w:val="0"/>
          <w:marTop w:val="0"/>
          <w:marBottom w:val="0"/>
          <w:divBdr>
            <w:top w:val="none" w:sz="0" w:space="0" w:color="auto"/>
            <w:left w:val="none" w:sz="0" w:space="0" w:color="auto"/>
            <w:bottom w:val="none" w:sz="0" w:space="0" w:color="auto"/>
            <w:right w:val="none" w:sz="0" w:space="0" w:color="auto"/>
          </w:divBdr>
        </w:div>
        <w:div w:id="286132307">
          <w:marLeft w:val="640"/>
          <w:marRight w:val="0"/>
          <w:marTop w:val="0"/>
          <w:marBottom w:val="0"/>
          <w:divBdr>
            <w:top w:val="none" w:sz="0" w:space="0" w:color="auto"/>
            <w:left w:val="none" w:sz="0" w:space="0" w:color="auto"/>
            <w:bottom w:val="none" w:sz="0" w:space="0" w:color="auto"/>
            <w:right w:val="none" w:sz="0" w:space="0" w:color="auto"/>
          </w:divBdr>
        </w:div>
        <w:div w:id="815419461">
          <w:marLeft w:val="640"/>
          <w:marRight w:val="0"/>
          <w:marTop w:val="0"/>
          <w:marBottom w:val="0"/>
          <w:divBdr>
            <w:top w:val="none" w:sz="0" w:space="0" w:color="auto"/>
            <w:left w:val="none" w:sz="0" w:space="0" w:color="auto"/>
            <w:bottom w:val="none" w:sz="0" w:space="0" w:color="auto"/>
            <w:right w:val="none" w:sz="0" w:space="0" w:color="auto"/>
          </w:divBdr>
        </w:div>
        <w:div w:id="1977835752">
          <w:marLeft w:val="640"/>
          <w:marRight w:val="0"/>
          <w:marTop w:val="0"/>
          <w:marBottom w:val="0"/>
          <w:divBdr>
            <w:top w:val="none" w:sz="0" w:space="0" w:color="auto"/>
            <w:left w:val="none" w:sz="0" w:space="0" w:color="auto"/>
            <w:bottom w:val="none" w:sz="0" w:space="0" w:color="auto"/>
            <w:right w:val="none" w:sz="0" w:space="0" w:color="auto"/>
          </w:divBdr>
        </w:div>
        <w:div w:id="976836683">
          <w:marLeft w:val="640"/>
          <w:marRight w:val="0"/>
          <w:marTop w:val="0"/>
          <w:marBottom w:val="0"/>
          <w:divBdr>
            <w:top w:val="none" w:sz="0" w:space="0" w:color="auto"/>
            <w:left w:val="none" w:sz="0" w:space="0" w:color="auto"/>
            <w:bottom w:val="none" w:sz="0" w:space="0" w:color="auto"/>
            <w:right w:val="none" w:sz="0" w:space="0" w:color="auto"/>
          </w:divBdr>
        </w:div>
        <w:div w:id="812675360">
          <w:marLeft w:val="640"/>
          <w:marRight w:val="0"/>
          <w:marTop w:val="0"/>
          <w:marBottom w:val="0"/>
          <w:divBdr>
            <w:top w:val="none" w:sz="0" w:space="0" w:color="auto"/>
            <w:left w:val="none" w:sz="0" w:space="0" w:color="auto"/>
            <w:bottom w:val="none" w:sz="0" w:space="0" w:color="auto"/>
            <w:right w:val="none" w:sz="0" w:space="0" w:color="auto"/>
          </w:divBdr>
        </w:div>
        <w:div w:id="1872762465">
          <w:marLeft w:val="640"/>
          <w:marRight w:val="0"/>
          <w:marTop w:val="0"/>
          <w:marBottom w:val="0"/>
          <w:divBdr>
            <w:top w:val="none" w:sz="0" w:space="0" w:color="auto"/>
            <w:left w:val="none" w:sz="0" w:space="0" w:color="auto"/>
            <w:bottom w:val="none" w:sz="0" w:space="0" w:color="auto"/>
            <w:right w:val="none" w:sz="0" w:space="0" w:color="auto"/>
          </w:divBdr>
        </w:div>
        <w:div w:id="1631322115">
          <w:marLeft w:val="640"/>
          <w:marRight w:val="0"/>
          <w:marTop w:val="0"/>
          <w:marBottom w:val="0"/>
          <w:divBdr>
            <w:top w:val="none" w:sz="0" w:space="0" w:color="auto"/>
            <w:left w:val="none" w:sz="0" w:space="0" w:color="auto"/>
            <w:bottom w:val="none" w:sz="0" w:space="0" w:color="auto"/>
            <w:right w:val="none" w:sz="0" w:space="0" w:color="auto"/>
          </w:divBdr>
        </w:div>
        <w:div w:id="1388604184">
          <w:marLeft w:val="640"/>
          <w:marRight w:val="0"/>
          <w:marTop w:val="0"/>
          <w:marBottom w:val="0"/>
          <w:divBdr>
            <w:top w:val="none" w:sz="0" w:space="0" w:color="auto"/>
            <w:left w:val="none" w:sz="0" w:space="0" w:color="auto"/>
            <w:bottom w:val="none" w:sz="0" w:space="0" w:color="auto"/>
            <w:right w:val="none" w:sz="0" w:space="0" w:color="auto"/>
          </w:divBdr>
        </w:div>
        <w:div w:id="1411806928">
          <w:marLeft w:val="640"/>
          <w:marRight w:val="0"/>
          <w:marTop w:val="0"/>
          <w:marBottom w:val="0"/>
          <w:divBdr>
            <w:top w:val="none" w:sz="0" w:space="0" w:color="auto"/>
            <w:left w:val="none" w:sz="0" w:space="0" w:color="auto"/>
            <w:bottom w:val="none" w:sz="0" w:space="0" w:color="auto"/>
            <w:right w:val="none" w:sz="0" w:space="0" w:color="auto"/>
          </w:divBdr>
        </w:div>
        <w:div w:id="359017055">
          <w:marLeft w:val="640"/>
          <w:marRight w:val="0"/>
          <w:marTop w:val="0"/>
          <w:marBottom w:val="0"/>
          <w:divBdr>
            <w:top w:val="none" w:sz="0" w:space="0" w:color="auto"/>
            <w:left w:val="none" w:sz="0" w:space="0" w:color="auto"/>
            <w:bottom w:val="none" w:sz="0" w:space="0" w:color="auto"/>
            <w:right w:val="none" w:sz="0" w:space="0" w:color="auto"/>
          </w:divBdr>
        </w:div>
        <w:div w:id="2114276888">
          <w:marLeft w:val="640"/>
          <w:marRight w:val="0"/>
          <w:marTop w:val="0"/>
          <w:marBottom w:val="0"/>
          <w:divBdr>
            <w:top w:val="none" w:sz="0" w:space="0" w:color="auto"/>
            <w:left w:val="none" w:sz="0" w:space="0" w:color="auto"/>
            <w:bottom w:val="none" w:sz="0" w:space="0" w:color="auto"/>
            <w:right w:val="none" w:sz="0" w:space="0" w:color="auto"/>
          </w:divBdr>
        </w:div>
        <w:div w:id="1612472842">
          <w:marLeft w:val="640"/>
          <w:marRight w:val="0"/>
          <w:marTop w:val="0"/>
          <w:marBottom w:val="0"/>
          <w:divBdr>
            <w:top w:val="none" w:sz="0" w:space="0" w:color="auto"/>
            <w:left w:val="none" w:sz="0" w:space="0" w:color="auto"/>
            <w:bottom w:val="none" w:sz="0" w:space="0" w:color="auto"/>
            <w:right w:val="none" w:sz="0" w:space="0" w:color="auto"/>
          </w:divBdr>
        </w:div>
        <w:div w:id="1941184857">
          <w:marLeft w:val="640"/>
          <w:marRight w:val="0"/>
          <w:marTop w:val="0"/>
          <w:marBottom w:val="0"/>
          <w:divBdr>
            <w:top w:val="none" w:sz="0" w:space="0" w:color="auto"/>
            <w:left w:val="none" w:sz="0" w:space="0" w:color="auto"/>
            <w:bottom w:val="none" w:sz="0" w:space="0" w:color="auto"/>
            <w:right w:val="none" w:sz="0" w:space="0" w:color="auto"/>
          </w:divBdr>
        </w:div>
        <w:div w:id="1359425410">
          <w:marLeft w:val="640"/>
          <w:marRight w:val="0"/>
          <w:marTop w:val="0"/>
          <w:marBottom w:val="0"/>
          <w:divBdr>
            <w:top w:val="none" w:sz="0" w:space="0" w:color="auto"/>
            <w:left w:val="none" w:sz="0" w:space="0" w:color="auto"/>
            <w:bottom w:val="none" w:sz="0" w:space="0" w:color="auto"/>
            <w:right w:val="none" w:sz="0" w:space="0" w:color="auto"/>
          </w:divBdr>
        </w:div>
        <w:div w:id="2022245506">
          <w:marLeft w:val="640"/>
          <w:marRight w:val="0"/>
          <w:marTop w:val="0"/>
          <w:marBottom w:val="0"/>
          <w:divBdr>
            <w:top w:val="none" w:sz="0" w:space="0" w:color="auto"/>
            <w:left w:val="none" w:sz="0" w:space="0" w:color="auto"/>
            <w:bottom w:val="none" w:sz="0" w:space="0" w:color="auto"/>
            <w:right w:val="none" w:sz="0" w:space="0" w:color="auto"/>
          </w:divBdr>
        </w:div>
        <w:div w:id="1687904297">
          <w:marLeft w:val="640"/>
          <w:marRight w:val="0"/>
          <w:marTop w:val="0"/>
          <w:marBottom w:val="0"/>
          <w:divBdr>
            <w:top w:val="none" w:sz="0" w:space="0" w:color="auto"/>
            <w:left w:val="none" w:sz="0" w:space="0" w:color="auto"/>
            <w:bottom w:val="none" w:sz="0" w:space="0" w:color="auto"/>
            <w:right w:val="none" w:sz="0" w:space="0" w:color="auto"/>
          </w:divBdr>
        </w:div>
        <w:div w:id="168327757">
          <w:marLeft w:val="640"/>
          <w:marRight w:val="0"/>
          <w:marTop w:val="0"/>
          <w:marBottom w:val="0"/>
          <w:divBdr>
            <w:top w:val="none" w:sz="0" w:space="0" w:color="auto"/>
            <w:left w:val="none" w:sz="0" w:space="0" w:color="auto"/>
            <w:bottom w:val="none" w:sz="0" w:space="0" w:color="auto"/>
            <w:right w:val="none" w:sz="0" w:space="0" w:color="auto"/>
          </w:divBdr>
        </w:div>
        <w:div w:id="2049449504">
          <w:marLeft w:val="640"/>
          <w:marRight w:val="0"/>
          <w:marTop w:val="0"/>
          <w:marBottom w:val="0"/>
          <w:divBdr>
            <w:top w:val="none" w:sz="0" w:space="0" w:color="auto"/>
            <w:left w:val="none" w:sz="0" w:space="0" w:color="auto"/>
            <w:bottom w:val="none" w:sz="0" w:space="0" w:color="auto"/>
            <w:right w:val="none" w:sz="0" w:space="0" w:color="auto"/>
          </w:divBdr>
        </w:div>
        <w:div w:id="1466585641">
          <w:marLeft w:val="640"/>
          <w:marRight w:val="0"/>
          <w:marTop w:val="0"/>
          <w:marBottom w:val="0"/>
          <w:divBdr>
            <w:top w:val="none" w:sz="0" w:space="0" w:color="auto"/>
            <w:left w:val="none" w:sz="0" w:space="0" w:color="auto"/>
            <w:bottom w:val="none" w:sz="0" w:space="0" w:color="auto"/>
            <w:right w:val="none" w:sz="0" w:space="0" w:color="auto"/>
          </w:divBdr>
        </w:div>
        <w:div w:id="607812642">
          <w:marLeft w:val="640"/>
          <w:marRight w:val="0"/>
          <w:marTop w:val="0"/>
          <w:marBottom w:val="0"/>
          <w:divBdr>
            <w:top w:val="none" w:sz="0" w:space="0" w:color="auto"/>
            <w:left w:val="none" w:sz="0" w:space="0" w:color="auto"/>
            <w:bottom w:val="none" w:sz="0" w:space="0" w:color="auto"/>
            <w:right w:val="none" w:sz="0" w:space="0" w:color="auto"/>
          </w:divBdr>
        </w:div>
        <w:div w:id="930357623">
          <w:marLeft w:val="640"/>
          <w:marRight w:val="0"/>
          <w:marTop w:val="0"/>
          <w:marBottom w:val="0"/>
          <w:divBdr>
            <w:top w:val="none" w:sz="0" w:space="0" w:color="auto"/>
            <w:left w:val="none" w:sz="0" w:space="0" w:color="auto"/>
            <w:bottom w:val="none" w:sz="0" w:space="0" w:color="auto"/>
            <w:right w:val="none" w:sz="0" w:space="0" w:color="auto"/>
          </w:divBdr>
        </w:div>
        <w:div w:id="116947854">
          <w:marLeft w:val="640"/>
          <w:marRight w:val="0"/>
          <w:marTop w:val="0"/>
          <w:marBottom w:val="0"/>
          <w:divBdr>
            <w:top w:val="none" w:sz="0" w:space="0" w:color="auto"/>
            <w:left w:val="none" w:sz="0" w:space="0" w:color="auto"/>
            <w:bottom w:val="none" w:sz="0" w:space="0" w:color="auto"/>
            <w:right w:val="none" w:sz="0" w:space="0" w:color="auto"/>
          </w:divBdr>
        </w:div>
        <w:div w:id="385106198">
          <w:marLeft w:val="640"/>
          <w:marRight w:val="0"/>
          <w:marTop w:val="0"/>
          <w:marBottom w:val="0"/>
          <w:divBdr>
            <w:top w:val="none" w:sz="0" w:space="0" w:color="auto"/>
            <w:left w:val="none" w:sz="0" w:space="0" w:color="auto"/>
            <w:bottom w:val="none" w:sz="0" w:space="0" w:color="auto"/>
            <w:right w:val="none" w:sz="0" w:space="0" w:color="auto"/>
          </w:divBdr>
        </w:div>
        <w:div w:id="539368287">
          <w:marLeft w:val="640"/>
          <w:marRight w:val="0"/>
          <w:marTop w:val="0"/>
          <w:marBottom w:val="0"/>
          <w:divBdr>
            <w:top w:val="none" w:sz="0" w:space="0" w:color="auto"/>
            <w:left w:val="none" w:sz="0" w:space="0" w:color="auto"/>
            <w:bottom w:val="none" w:sz="0" w:space="0" w:color="auto"/>
            <w:right w:val="none" w:sz="0" w:space="0" w:color="auto"/>
          </w:divBdr>
        </w:div>
        <w:div w:id="1397127548">
          <w:marLeft w:val="640"/>
          <w:marRight w:val="0"/>
          <w:marTop w:val="0"/>
          <w:marBottom w:val="0"/>
          <w:divBdr>
            <w:top w:val="none" w:sz="0" w:space="0" w:color="auto"/>
            <w:left w:val="none" w:sz="0" w:space="0" w:color="auto"/>
            <w:bottom w:val="none" w:sz="0" w:space="0" w:color="auto"/>
            <w:right w:val="none" w:sz="0" w:space="0" w:color="auto"/>
          </w:divBdr>
        </w:div>
        <w:div w:id="1956985029">
          <w:marLeft w:val="640"/>
          <w:marRight w:val="0"/>
          <w:marTop w:val="0"/>
          <w:marBottom w:val="0"/>
          <w:divBdr>
            <w:top w:val="none" w:sz="0" w:space="0" w:color="auto"/>
            <w:left w:val="none" w:sz="0" w:space="0" w:color="auto"/>
            <w:bottom w:val="none" w:sz="0" w:space="0" w:color="auto"/>
            <w:right w:val="none" w:sz="0" w:space="0" w:color="auto"/>
          </w:divBdr>
        </w:div>
        <w:div w:id="101532837">
          <w:marLeft w:val="640"/>
          <w:marRight w:val="0"/>
          <w:marTop w:val="0"/>
          <w:marBottom w:val="0"/>
          <w:divBdr>
            <w:top w:val="none" w:sz="0" w:space="0" w:color="auto"/>
            <w:left w:val="none" w:sz="0" w:space="0" w:color="auto"/>
            <w:bottom w:val="none" w:sz="0" w:space="0" w:color="auto"/>
            <w:right w:val="none" w:sz="0" w:space="0" w:color="auto"/>
          </w:divBdr>
        </w:div>
        <w:div w:id="511646672">
          <w:marLeft w:val="640"/>
          <w:marRight w:val="0"/>
          <w:marTop w:val="0"/>
          <w:marBottom w:val="0"/>
          <w:divBdr>
            <w:top w:val="none" w:sz="0" w:space="0" w:color="auto"/>
            <w:left w:val="none" w:sz="0" w:space="0" w:color="auto"/>
            <w:bottom w:val="none" w:sz="0" w:space="0" w:color="auto"/>
            <w:right w:val="none" w:sz="0" w:space="0" w:color="auto"/>
          </w:divBdr>
        </w:div>
        <w:div w:id="121853578">
          <w:marLeft w:val="640"/>
          <w:marRight w:val="0"/>
          <w:marTop w:val="0"/>
          <w:marBottom w:val="0"/>
          <w:divBdr>
            <w:top w:val="none" w:sz="0" w:space="0" w:color="auto"/>
            <w:left w:val="none" w:sz="0" w:space="0" w:color="auto"/>
            <w:bottom w:val="none" w:sz="0" w:space="0" w:color="auto"/>
            <w:right w:val="none" w:sz="0" w:space="0" w:color="auto"/>
          </w:divBdr>
        </w:div>
        <w:div w:id="800659937">
          <w:marLeft w:val="640"/>
          <w:marRight w:val="0"/>
          <w:marTop w:val="0"/>
          <w:marBottom w:val="0"/>
          <w:divBdr>
            <w:top w:val="none" w:sz="0" w:space="0" w:color="auto"/>
            <w:left w:val="none" w:sz="0" w:space="0" w:color="auto"/>
            <w:bottom w:val="none" w:sz="0" w:space="0" w:color="auto"/>
            <w:right w:val="none" w:sz="0" w:space="0" w:color="auto"/>
          </w:divBdr>
        </w:div>
        <w:div w:id="1688218526">
          <w:marLeft w:val="640"/>
          <w:marRight w:val="0"/>
          <w:marTop w:val="0"/>
          <w:marBottom w:val="0"/>
          <w:divBdr>
            <w:top w:val="none" w:sz="0" w:space="0" w:color="auto"/>
            <w:left w:val="none" w:sz="0" w:space="0" w:color="auto"/>
            <w:bottom w:val="none" w:sz="0" w:space="0" w:color="auto"/>
            <w:right w:val="none" w:sz="0" w:space="0" w:color="auto"/>
          </w:divBdr>
        </w:div>
        <w:div w:id="933199002">
          <w:marLeft w:val="640"/>
          <w:marRight w:val="0"/>
          <w:marTop w:val="0"/>
          <w:marBottom w:val="0"/>
          <w:divBdr>
            <w:top w:val="none" w:sz="0" w:space="0" w:color="auto"/>
            <w:left w:val="none" w:sz="0" w:space="0" w:color="auto"/>
            <w:bottom w:val="none" w:sz="0" w:space="0" w:color="auto"/>
            <w:right w:val="none" w:sz="0" w:space="0" w:color="auto"/>
          </w:divBdr>
        </w:div>
        <w:div w:id="884290969">
          <w:marLeft w:val="640"/>
          <w:marRight w:val="0"/>
          <w:marTop w:val="0"/>
          <w:marBottom w:val="0"/>
          <w:divBdr>
            <w:top w:val="none" w:sz="0" w:space="0" w:color="auto"/>
            <w:left w:val="none" w:sz="0" w:space="0" w:color="auto"/>
            <w:bottom w:val="none" w:sz="0" w:space="0" w:color="auto"/>
            <w:right w:val="none" w:sz="0" w:space="0" w:color="auto"/>
          </w:divBdr>
        </w:div>
        <w:div w:id="1112554199">
          <w:marLeft w:val="640"/>
          <w:marRight w:val="0"/>
          <w:marTop w:val="0"/>
          <w:marBottom w:val="0"/>
          <w:divBdr>
            <w:top w:val="none" w:sz="0" w:space="0" w:color="auto"/>
            <w:left w:val="none" w:sz="0" w:space="0" w:color="auto"/>
            <w:bottom w:val="none" w:sz="0" w:space="0" w:color="auto"/>
            <w:right w:val="none" w:sz="0" w:space="0" w:color="auto"/>
          </w:divBdr>
        </w:div>
        <w:div w:id="391008749">
          <w:marLeft w:val="640"/>
          <w:marRight w:val="0"/>
          <w:marTop w:val="0"/>
          <w:marBottom w:val="0"/>
          <w:divBdr>
            <w:top w:val="none" w:sz="0" w:space="0" w:color="auto"/>
            <w:left w:val="none" w:sz="0" w:space="0" w:color="auto"/>
            <w:bottom w:val="none" w:sz="0" w:space="0" w:color="auto"/>
            <w:right w:val="none" w:sz="0" w:space="0" w:color="auto"/>
          </w:divBdr>
        </w:div>
        <w:div w:id="1741562812">
          <w:marLeft w:val="640"/>
          <w:marRight w:val="0"/>
          <w:marTop w:val="0"/>
          <w:marBottom w:val="0"/>
          <w:divBdr>
            <w:top w:val="none" w:sz="0" w:space="0" w:color="auto"/>
            <w:left w:val="none" w:sz="0" w:space="0" w:color="auto"/>
            <w:bottom w:val="none" w:sz="0" w:space="0" w:color="auto"/>
            <w:right w:val="none" w:sz="0" w:space="0" w:color="auto"/>
          </w:divBdr>
        </w:div>
        <w:div w:id="1825851343">
          <w:marLeft w:val="640"/>
          <w:marRight w:val="0"/>
          <w:marTop w:val="0"/>
          <w:marBottom w:val="0"/>
          <w:divBdr>
            <w:top w:val="none" w:sz="0" w:space="0" w:color="auto"/>
            <w:left w:val="none" w:sz="0" w:space="0" w:color="auto"/>
            <w:bottom w:val="none" w:sz="0" w:space="0" w:color="auto"/>
            <w:right w:val="none" w:sz="0" w:space="0" w:color="auto"/>
          </w:divBdr>
        </w:div>
        <w:div w:id="1724407023">
          <w:marLeft w:val="640"/>
          <w:marRight w:val="0"/>
          <w:marTop w:val="0"/>
          <w:marBottom w:val="0"/>
          <w:divBdr>
            <w:top w:val="none" w:sz="0" w:space="0" w:color="auto"/>
            <w:left w:val="none" w:sz="0" w:space="0" w:color="auto"/>
            <w:bottom w:val="none" w:sz="0" w:space="0" w:color="auto"/>
            <w:right w:val="none" w:sz="0" w:space="0" w:color="auto"/>
          </w:divBdr>
        </w:div>
        <w:div w:id="1855067069">
          <w:marLeft w:val="640"/>
          <w:marRight w:val="0"/>
          <w:marTop w:val="0"/>
          <w:marBottom w:val="0"/>
          <w:divBdr>
            <w:top w:val="none" w:sz="0" w:space="0" w:color="auto"/>
            <w:left w:val="none" w:sz="0" w:space="0" w:color="auto"/>
            <w:bottom w:val="none" w:sz="0" w:space="0" w:color="auto"/>
            <w:right w:val="none" w:sz="0" w:space="0" w:color="auto"/>
          </w:divBdr>
        </w:div>
        <w:div w:id="1184637688">
          <w:marLeft w:val="640"/>
          <w:marRight w:val="0"/>
          <w:marTop w:val="0"/>
          <w:marBottom w:val="0"/>
          <w:divBdr>
            <w:top w:val="none" w:sz="0" w:space="0" w:color="auto"/>
            <w:left w:val="none" w:sz="0" w:space="0" w:color="auto"/>
            <w:bottom w:val="none" w:sz="0" w:space="0" w:color="auto"/>
            <w:right w:val="none" w:sz="0" w:space="0" w:color="auto"/>
          </w:divBdr>
        </w:div>
        <w:div w:id="1243838434">
          <w:marLeft w:val="640"/>
          <w:marRight w:val="0"/>
          <w:marTop w:val="0"/>
          <w:marBottom w:val="0"/>
          <w:divBdr>
            <w:top w:val="none" w:sz="0" w:space="0" w:color="auto"/>
            <w:left w:val="none" w:sz="0" w:space="0" w:color="auto"/>
            <w:bottom w:val="none" w:sz="0" w:space="0" w:color="auto"/>
            <w:right w:val="none" w:sz="0" w:space="0" w:color="auto"/>
          </w:divBdr>
        </w:div>
        <w:div w:id="187180650">
          <w:marLeft w:val="640"/>
          <w:marRight w:val="0"/>
          <w:marTop w:val="0"/>
          <w:marBottom w:val="0"/>
          <w:divBdr>
            <w:top w:val="none" w:sz="0" w:space="0" w:color="auto"/>
            <w:left w:val="none" w:sz="0" w:space="0" w:color="auto"/>
            <w:bottom w:val="none" w:sz="0" w:space="0" w:color="auto"/>
            <w:right w:val="none" w:sz="0" w:space="0" w:color="auto"/>
          </w:divBdr>
        </w:div>
        <w:div w:id="1059746476">
          <w:marLeft w:val="640"/>
          <w:marRight w:val="0"/>
          <w:marTop w:val="0"/>
          <w:marBottom w:val="0"/>
          <w:divBdr>
            <w:top w:val="none" w:sz="0" w:space="0" w:color="auto"/>
            <w:left w:val="none" w:sz="0" w:space="0" w:color="auto"/>
            <w:bottom w:val="none" w:sz="0" w:space="0" w:color="auto"/>
            <w:right w:val="none" w:sz="0" w:space="0" w:color="auto"/>
          </w:divBdr>
        </w:div>
        <w:div w:id="29886983">
          <w:marLeft w:val="640"/>
          <w:marRight w:val="0"/>
          <w:marTop w:val="0"/>
          <w:marBottom w:val="0"/>
          <w:divBdr>
            <w:top w:val="none" w:sz="0" w:space="0" w:color="auto"/>
            <w:left w:val="none" w:sz="0" w:space="0" w:color="auto"/>
            <w:bottom w:val="none" w:sz="0" w:space="0" w:color="auto"/>
            <w:right w:val="none" w:sz="0" w:space="0" w:color="auto"/>
          </w:divBdr>
        </w:div>
        <w:div w:id="1708602429">
          <w:marLeft w:val="640"/>
          <w:marRight w:val="0"/>
          <w:marTop w:val="0"/>
          <w:marBottom w:val="0"/>
          <w:divBdr>
            <w:top w:val="none" w:sz="0" w:space="0" w:color="auto"/>
            <w:left w:val="none" w:sz="0" w:space="0" w:color="auto"/>
            <w:bottom w:val="none" w:sz="0" w:space="0" w:color="auto"/>
            <w:right w:val="none" w:sz="0" w:space="0" w:color="auto"/>
          </w:divBdr>
        </w:div>
        <w:div w:id="396099880">
          <w:marLeft w:val="640"/>
          <w:marRight w:val="0"/>
          <w:marTop w:val="0"/>
          <w:marBottom w:val="0"/>
          <w:divBdr>
            <w:top w:val="none" w:sz="0" w:space="0" w:color="auto"/>
            <w:left w:val="none" w:sz="0" w:space="0" w:color="auto"/>
            <w:bottom w:val="none" w:sz="0" w:space="0" w:color="auto"/>
            <w:right w:val="none" w:sz="0" w:space="0" w:color="auto"/>
          </w:divBdr>
        </w:div>
        <w:div w:id="2006398617">
          <w:marLeft w:val="640"/>
          <w:marRight w:val="0"/>
          <w:marTop w:val="0"/>
          <w:marBottom w:val="0"/>
          <w:divBdr>
            <w:top w:val="none" w:sz="0" w:space="0" w:color="auto"/>
            <w:left w:val="none" w:sz="0" w:space="0" w:color="auto"/>
            <w:bottom w:val="none" w:sz="0" w:space="0" w:color="auto"/>
            <w:right w:val="none" w:sz="0" w:space="0" w:color="auto"/>
          </w:divBdr>
        </w:div>
        <w:div w:id="270477935">
          <w:marLeft w:val="640"/>
          <w:marRight w:val="0"/>
          <w:marTop w:val="0"/>
          <w:marBottom w:val="0"/>
          <w:divBdr>
            <w:top w:val="none" w:sz="0" w:space="0" w:color="auto"/>
            <w:left w:val="none" w:sz="0" w:space="0" w:color="auto"/>
            <w:bottom w:val="none" w:sz="0" w:space="0" w:color="auto"/>
            <w:right w:val="none" w:sz="0" w:space="0" w:color="auto"/>
          </w:divBdr>
        </w:div>
        <w:div w:id="345207198">
          <w:marLeft w:val="640"/>
          <w:marRight w:val="0"/>
          <w:marTop w:val="0"/>
          <w:marBottom w:val="0"/>
          <w:divBdr>
            <w:top w:val="none" w:sz="0" w:space="0" w:color="auto"/>
            <w:left w:val="none" w:sz="0" w:space="0" w:color="auto"/>
            <w:bottom w:val="none" w:sz="0" w:space="0" w:color="auto"/>
            <w:right w:val="none" w:sz="0" w:space="0" w:color="auto"/>
          </w:divBdr>
        </w:div>
        <w:div w:id="1613973721">
          <w:marLeft w:val="640"/>
          <w:marRight w:val="0"/>
          <w:marTop w:val="0"/>
          <w:marBottom w:val="0"/>
          <w:divBdr>
            <w:top w:val="none" w:sz="0" w:space="0" w:color="auto"/>
            <w:left w:val="none" w:sz="0" w:space="0" w:color="auto"/>
            <w:bottom w:val="none" w:sz="0" w:space="0" w:color="auto"/>
            <w:right w:val="none" w:sz="0" w:space="0" w:color="auto"/>
          </w:divBdr>
        </w:div>
        <w:div w:id="1970433274">
          <w:marLeft w:val="640"/>
          <w:marRight w:val="0"/>
          <w:marTop w:val="0"/>
          <w:marBottom w:val="0"/>
          <w:divBdr>
            <w:top w:val="none" w:sz="0" w:space="0" w:color="auto"/>
            <w:left w:val="none" w:sz="0" w:space="0" w:color="auto"/>
            <w:bottom w:val="none" w:sz="0" w:space="0" w:color="auto"/>
            <w:right w:val="none" w:sz="0" w:space="0" w:color="auto"/>
          </w:divBdr>
        </w:div>
        <w:div w:id="548958940">
          <w:marLeft w:val="640"/>
          <w:marRight w:val="0"/>
          <w:marTop w:val="0"/>
          <w:marBottom w:val="0"/>
          <w:divBdr>
            <w:top w:val="none" w:sz="0" w:space="0" w:color="auto"/>
            <w:left w:val="none" w:sz="0" w:space="0" w:color="auto"/>
            <w:bottom w:val="none" w:sz="0" w:space="0" w:color="auto"/>
            <w:right w:val="none" w:sz="0" w:space="0" w:color="auto"/>
          </w:divBdr>
        </w:div>
        <w:div w:id="53965802">
          <w:marLeft w:val="640"/>
          <w:marRight w:val="0"/>
          <w:marTop w:val="0"/>
          <w:marBottom w:val="0"/>
          <w:divBdr>
            <w:top w:val="none" w:sz="0" w:space="0" w:color="auto"/>
            <w:left w:val="none" w:sz="0" w:space="0" w:color="auto"/>
            <w:bottom w:val="none" w:sz="0" w:space="0" w:color="auto"/>
            <w:right w:val="none" w:sz="0" w:space="0" w:color="auto"/>
          </w:divBdr>
        </w:div>
        <w:div w:id="1466393053">
          <w:marLeft w:val="640"/>
          <w:marRight w:val="0"/>
          <w:marTop w:val="0"/>
          <w:marBottom w:val="0"/>
          <w:divBdr>
            <w:top w:val="none" w:sz="0" w:space="0" w:color="auto"/>
            <w:left w:val="none" w:sz="0" w:space="0" w:color="auto"/>
            <w:bottom w:val="none" w:sz="0" w:space="0" w:color="auto"/>
            <w:right w:val="none" w:sz="0" w:space="0" w:color="auto"/>
          </w:divBdr>
        </w:div>
        <w:div w:id="598296219">
          <w:marLeft w:val="640"/>
          <w:marRight w:val="0"/>
          <w:marTop w:val="0"/>
          <w:marBottom w:val="0"/>
          <w:divBdr>
            <w:top w:val="none" w:sz="0" w:space="0" w:color="auto"/>
            <w:left w:val="none" w:sz="0" w:space="0" w:color="auto"/>
            <w:bottom w:val="none" w:sz="0" w:space="0" w:color="auto"/>
            <w:right w:val="none" w:sz="0" w:space="0" w:color="auto"/>
          </w:divBdr>
        </w:div>
        <w:div w:id="279070736">
          <w:marLeft w:val="640"/>
          <w:marRight w:val="0"/>
          <w:marTop w:val="0"/>
          <w:marBottom w:val="0"/>
          <w:divBdr>
            <w:top w:val="none" w:sz="0" w:space="0" w:color="auto"/>
            <w:left w:val="none" w:sz="0" w:space="0" w:color="auto"/>
            <w:bottom w:val="none" w:sz="0" w:space="0" w:color="auto"/>
            <w:right w:val="none" w:sz="0" w:space="0" w:color="auto"/>
          </w:divBdr>
        </w:div>
        <w:div w:id="1401053682">
          <w:marLeft w:val="640"/>
          <w:marRight w:val="0"/>
          <w:marTop w:val="0"/>
          <w:marBottom w:val="0"/>
          <w:divBdr>
            <w:top w:val="none" w:sz="0" w:space="0" w:color="auto"/>
            <w:left w:val="none" w:sz="0" w:space="0" w:color="auto"/>
            <w:bottom w:val="none" w:sz="0" w:space="0" w:color="auto"/>
            <w:right w:val="none" w:sz="0" w:space="0" w:color="auto"/>
          </w:divBdr>
        </w:div>
        <w:div w:id="1617561806">
          <w:marLeft w:val="640"/>
          <w:marRight w:val="0"/>
          <w:marTop w:val="0"/>
          <w:marBottom w:val="0"/>
          <w:divBdr>
            <w:top w:val="none" w:sz="0" w:space="0" w:color="auto"/>
            <w:left w:val="none" w:sz="0" w:space="0" w:color="auto"/>
            <w:bottom w:val="none" w:sz="0" w:space="0" w:color="auto"/>
            <w:right w:val="none" w:sz="0" w:space="0" w:color="auto"/>
          </w:divBdr>
        </w:div>
        <w:div w:id="1598635902">
          <w:marLeft w:val="640"/>
          <w:marRight w:val="0"/>
          <w:marTop w:val="0"/>
          <w:marBottom w:val="0"/>
          <w:divBdr>
            <w:top w:val="none" w:sz="0" w:space="0" w:color="auto"/>
            <w:left w:val="none" w:sz="0" w:space="0" w:color="auto"/>
            <w:bottom w:val="none" w:sz="0" w:space="0" w:color="auto"/>
            <w:right w:val="none" w:sz="0" w:space="0" w:color="auto"/>
          </w:divBdr>
        </w:div>
        <w:div w:id="1126654278">
          <w:marLeft w:val="640"/>
          <w:marRight w:val="0"/>
          <w:marTop w:val="0"/>
          <w:marBottom w:val="0"/>
          <w:divBdr>
            <w:top w:val="none" w:sz="0" w:space="0" w:color="auto"/>
            <w:left w:val="none" w:sz="0" w:space="0" w:color="auto"/>
            <w:bottom w:val="none" w:sz="0" w:space="0" w:color="auto"/>
            <w:right w:val="none" w:sz="0" w:space="0" w:color="auto"/>
          </w:divBdr>
        </w:div>
        <w:div w:id="121772612">
          <w:marLeft w:val="640"/>
          <w:marRight w:val="0"/>
          <w:marTop w:val="0"/>
          <w:marBottom w:val="0"/>
          <w:divBdr>
            <w:top w:val="none" w:sz="0" w:space="0" w:color="auto"/>
            <w:left w:val="none" w:sz="0" w:space="0" w:color="auto"/>
            <w:bottom w:val="none" w:sz="0" w:space="0" w:color="auto"/>
            <w:right w:val="none" w:sz="0" w:space="0" w:color="auto"/>
          </w:divBdr>
        </w:div>
        <w:div w:id="1389381533">
          <w:marLeft w:val="640"/>
          <w:marRight w:val="0"/>
          <w:marTop w:val="0"/>
          <w:marBottom w:val="0"/>
          <w:divBdr>
            <w:top w:val="none" w:sz="0" w:space="0" w:color="auto"/>
            <w:left w:val="none" w:sz="0" w:space="0" w:color="auto"/>
            <w:bottom w:val="none" w:sz="0" w:space="0" w:color="auto"/>
            <w:right w:val="none" w:sz="0" w:space="0" w:color="auto"/>
          </w:divBdr>
        </w:div>
        <w:div w:id="739836769">
          <w:marLeft w:val="640"/>
          <w:marRight w:val="0"/>
          <w:marTop w:val="0"/>
          <w:marBottom w:val="0"/>
          <w:divBdr>
            <w:top w:val="none" w:sz="0" w:space="0" w:color="auto"/>
            <w:left w:val="none" w:sz="0" w:space="0" w:color="auto"/>
            <w:bottom w:val="none" w:sz="0" w:space="0" w:color="auto"/>
            <w:right w:val="none" w:sz="0" w:space="0" w:color="auto"/>
          </w:divBdr>
        </w:div>
        <w:div w:id="2064209978">
          <w:marLeft w:val="640"/>
          <w:marRight w:val="0"/>
          <w:marTop w:val="0"/>
          <w:marBottom w:val="0"/>
          <w:divBdr>
            <w:top w:val="none" w:sz="0" w:space="0" w:color="auto"/>
            <w:left w:val="none" w:sz="0" w:space="0" w:color="auto"/>
            <w:bottom w:val="none" w:sz="0" w:space="0" w:color="auto"/>
            <w:right w:val="none" w:sz="0" w:space="0" w:color="auto"/>
          </w:divBdr>
        </w:div>
        <w:div w:id="527060784">
          <w:marLeft w:val="640"/>
          <w:marRight w:val="0"/>
          <w:marTop w:val="0"/>
          <w:marBottom w:val="0"/>
          <w:divBdr>
            <w:top w:val="none" w:sz="0" w:space="0" w:color="auto"/>
            <w:left w:val="none" w:sz="0" w:space="0" w:color="auto"/>
            <w:bottom w:val="none" w:sz="0" w:space="0" w:color="auto"/>
            <w:right w:val="none" w:sz="0" w:space="0" w:color="auto"/>
          </w:divBdr>
        </w:div>
        <w:div w:id="1583950592">
          <w:marLeft w:val="640"/>
          <w:marRight w:val="0"/>
          <w:marTop w:val="0"/>
          <w:marBottom w:val="0"/>
          <w:divBdr>
            <w:top w:val="none" w:sz="0" w:space="0" w:color="auto"/>
            <w:left w:val="none" w:sz="0" w:space="0" w:color="auto"/>
            <w:bottom w:val="none" w:sz="0" w:space="0" w:color="auto"/>
            <w:right w:val="none" w:sz="0" w:space="0" w:color="auto"/>
          </w:divBdr>
        </w:div>
        <w:div w:id="2018650492">
          <w:marLeft w:val="640"/>
          <w:marRight w:val="0"/>
          <w:marTop w:val="0"/>
          <w:marBottom w:val="0"/>
          <w:divBdr>
            <w:top w:val="none" w:sz="0" w:space="0" w:color="auto"/>
            <w:left w:val="none" w:sz="0" w:space="0" w:color="auto"/>
            <w:bottom w:val="none" w:sz="0" w:space="0" w:color="auto"/>
            <w:right w:val="none" w:sz="0" w:space="0" w:color="auto"/>
          </w:divBdr>
        </w:div>
        <w:div w:id="1312751738">
          <w:marLeft w:val="640"/>
          <w:marRight w:val="0"/>
          <w:marTop w:val="0"/>
          <w:marBottom w:val="0"/>
          <w:divBdr>
            <w:top w:val="none" w:sz="0" w:space="0" w:color="auto"/>
            <w:left w:val="none" w:sz="0" w:space="0" w:color="auto"/>
            <w:bottom w:val="none" w:sz="0" w:space="0" w:color="auto"/>
            <w:right w:val="none" w:sz="0" w:space="0" w:color="auto"/>
          </w:divBdr>
        </w:div>
        <w:div w:id="1483890347">
          <w:marLeft w:val="640"/>
          <w:marRight w:val="0"/>
          <w:marTop w:val="0"/>
          <w:marBottom w:val="0"/>
          <w:divBdr>
            <w:top w:val="none" w:sz="0" w:space="0" w:color="auto"/>
            <w:left w:val="none" w:sz="0" w:space="0" w:color="auto"/>
            <w:bottom w:val="none" w:sz="0" w:space="0" w:color="auto"/>
            <w:right w:val="none" w:sz="0" w:space="0" w:color="auto"/>
          </w:divBdr>
        </w:div>
        <w:div w:id="551575733">
          <w:marLeft w:val="640"/>
          <w:marRight w:val="0"/>
          <w:marTop w:val="0"/>
          <w:marBottom w:val="0"/>
          <w:divBdr>
            <w:top w:val="none" w:sz="0" w:space="0" w:color="auto"/>
            <w:left w:val="none" w:sz="0" w:space="0" w:color="auto"/>
            <w:bottom w:val="none" w:sz="0" w:space="0" w:color="auto"/>
            <w:right w:val="none" w:sz="0" w:space="0" w:color="auto"/>
          </w:divBdr>
        </w:div>
        <w:div w:id="1856981">
          <w:marLeft w:val="640"/>
          <w:marRight w:val="0"/>
          <w:marTop w:val="0"/>
          <w:marBottom w:val="0"/>
          <w:divBdr>
            <w:top w:val="none" w:sz="0" w:space="0" w:color="auto"/>
            <w:left w:val="none" w:sz="0" w:space="0" w:color="auto"/>
            <w:bottom w:val="none" w:sz="0" w:space="0" w:color="auto"/>
            <w:right w:val="none" w:sz="0" w:space="0" w:color="auto"/>
          </w:divBdr>
        </w:div>
        <w:div w:id="1768846743">
          <w:marLeft w:val="640"/>
          <w:marRight w:val="0"/>
          <w:marTop w:val="0"/>
          <w:marBottom w:val="0"/>
          <w:divBdr>
            <w:top w:val="none" w:sz="0" w:space="0" w:color="auto"/>
            <w:left w:val="none" w:sz="0" w:space="0" w:color="auto"/>
            <w:bottom w:val="none" w:sz="0" w:space="0" w:color="auto"/>
            <w:right w:val="none" w:sz="0" w:space="0" w:color="auto"/>
          </w:divBdr>
        </w:div>
        <w:div w:id="2125685210">
          <w:marLeft w:val="640"/>
          <w:marRight w:val="0"/>
          <w:marTop w:val="0"/>
          <w:marBottom w:val="0"/>
          <w:divBdr>
            <w:top w:val="none" w:sz="0" w:space="0" w:color="auto"/>
            <w:left w:val="none" w:sz="0" w:space="0" w:color="auto"/>
            <w:bottom w:val="none" w:sz="0" w:space="0" w:color="auto"/>
            <w:right w:val="none" w:sz="0" w:space="0" w:color="auto"/>
          </w:divBdr>
        </w:div>
        <w:div w:id="1918594484">
          <w:marLeft w:val="640"/>
          <w:marRight w:val="0"/>
          <w:marTop w:val="0"/>
          <w:marBottom w:val="0"/>
          <w:divBdr>
            <w:top w:val="none" w:sz="0" w:space="0" w:color="auto"/>
            <w:left w:val="none" w:sz="0" w:space="0" w:color="auto"/>
            <w:bottom w:val="none" w:sz="0" w:space="0" w:color="auto"/>
            <w:right w:val="none" w:sz="0" w:space="0" w:color="auto"/>
          </w:divBdr>
        </w:div>
        <w:div w:id="193276324">
          <w:marLeft w:val="640"/>
          <w:marRight w:val="0"/>
          <w:marTop w:val="0"/>
          <w:marBottom w:val="0"/>
          <w:divBdr>
            <w:top w:val="none" w:sz="0" w:space="0" w:color="auto"/>
            <w:left w:val="none" w:sz="0" w:space="0" w:color="auto"/>
            <w:bottom w:val="none" w:sz="0" w:space="0" w:color="auto"/>
            <w:right w:val="none" w:sz="0" w:space="0" w:color="auto"/>
          </w:divBdr>
        </w:div>
        <w:div w:id="598104241">
          <w:marLeft w:val="640"/>
          <w:marRight w:val="0"/>
          <w:marTop w:val="0"/>
          <w:marBottom w:val="0"/>
          <w:divBdr>
            <w:top w:val="none" w:sz="0" w:space="0" w:color="auto"/>
            <w:left w:val="none" w:sz="0" w:space="0" w:color="auto"/>
            <w:bottom w:val="none" w:sz="0" w:space="0" w:color="auto"/>
            <w:right w:val="none" w:sz="0" w:space="0" w:color="auto"/>
          </w:divBdr>
        </w:div>
        <w:div w:id="1499616142">
          <w:marLeft w:val="640"/>
          <w:marRight w:val="0"/>
          <w:marTop w:val="0"/>
          <w:marBottom w:val="0"/>
          <w:divBdr>
            <w:top w:val="none" w:sz="0" w:space="0" w:color="auto"/>
            <w:left w:val="none" w:sz="0" w:space="0" w:color="auto"/>
            <w:bottom w:val="none" w:sz="0" w:space="0" w:color="auto"/>
            <w:right w:val="none" w:sz="0" w:space="0" w:color="auto"/>
          </w:divBdr>
        </w:div>
        <w:div w:id="1977757446">
          <w:marLeft w:val="640"/>
          <w:marRight w:val="0"/>
          <w:marTop w:val="0"/>
          <w:marBottom w:val="0"/>
          <w:divBdr>
            <w:top w:val="none" w:sz="0" w:space="0" w:color="auto"/>
            <w:left w:val="none" w:sz="0" w:space="0" w:color="auto"/>
            <w:bottom w:val="none" w:sz="0" w:space="0" w:color="auto"/>
            <w:right w:val="none" w:sz="0" w:space="0" w:color="auto"/>
          </w:divBdr>
        </w:div>
        <w:div w:id="1978097866">
          <w:marLeft w:val="640"/>
          <w:marRight w:val="0"/>
          <w:marTop w:val="0"/>
          <w:marBottom w:val="0"/>
          <w:divBdr>
            <w:top w:val="none" w:sz="0" w:space="0" w:color="auto"/>
            <w:left w:val="none" w:sz="0" w:space="0" w:color="auto"/>
            <w:bottom w:val="none" w:sz="0" w:space="0" w:color="auto"/>
            <w:right w:val="none" w:sz="0" w:space="0" w:color="auto"/>
          </w:divBdr>
        </w:div>
        <w:div w:id="1859003335">
          <w:marLeft w:val="640"/>
          <w:marRight w:val="0"/>
          <w:marTop w:val="0"/>
          <w:marBottom w:val="0"/>
          <w:divBdr>
            <w:top w:val="none" w:sz="0" w:space="0" w:color="auto"/>
            <w:left w:val="none" w:sz="0" w:space="0" w:color="auto"/>
            <w:bottom w:val="none" w:sz="0" w:space="0" w:color="auto"/>
            <w:right w:val="none" w:sz="0" w:space="0" w:color="auto"/>
          </w:divBdr>
        </w:div>
        <w:div w:id="1153375160">
          <w:marLeft w:val="640"/>
          <w:marRight w:val="0"/>
          <w:marTop w:val="0"/>
          <w:marBottom w:val="0"/>
          <w:divBdr>
            <w:top w:val="none" w:sz="0" w:space="0" w:color="auto"/>
            <w:left w:val="none" w:sz="0" w:space="0" w:color="auto"/>
            <w:bottom w:val="none" w:sz="0" w:space="0" w:color="auto"/>
            <w:right w:val="none" w:sz="0" w:space="0" w:color="auto"/>
          </w:divBdr>
        </w:div>
        <w:div w:id="448860033">
          <w:marLeft w:val="640"/>
          <w:marRight w:val="0"/>
          <w:marTop w:val="0"/>
          <w:marBottom w:val="0"/>
          <w:divBdr>
            <w:top w:val="none" w:sz="0" w:space="0" w:color="auto"/>
            <w:left w:val="none" w:sz="0" w:space="0" w:color="auto"/>
            <w:bottom w:val="none" w:sz="0" w:space="0" w:color="auto"/>
            <w:right w:val="none" w:sz="0" w:space="0" w:color="auto"/>
          </w:divBdr>
        </w:div>
        <w:div w:id="1649672385">
          <w:marLeft w:val="640"/>
          <w:marRight w:val="0"/>
          <w:marTop w:val="0"/>
          <w:marBottom w:val="0"/>
          <w:divBdr>
            <w:top w:val="none" w:sz="0" w:space="0" w:color="auto"/>
            <w:left w:val="none" w:sz="0" w:space="0" w:color="auto"/>
            <w:bottom w:val="none" w:sz="0" w:space="0" w:color="auto"/>
            <w:right w:val="none" w:sz="0" w:space="0" w:color="auto"/>
          </w:divBdr>
        </w:div>
        <w:div w:id="960307006">
          <w:marLeft w:val="640"/>
          <w:marRight w:val="0"/>
          <w:marTop w:val="0"/>
          <w:marBottom w:val="0"/>
          <w:divBdr>
            <w:top w:val="none" w:sz="0" w:space="0" w:color="auto"/>
            <w:left w:val="none" w:sz="0" w:space="0" w:color="auto"/>
            <w:bottom w:val="none" w:sz="0" w:space="0" w:color="auto"/>
            <w:right w:val="none" w:sz="0" w:space="0" w:color="auto"/>
          </w:divBdr>
        </w:div>
        <w:div w:id="1674340389">
          <w:marLeft w:val="640"/>
          <w:marRight w:val="0"/>
          <w:marTop w:val="0"/>
          <w:marBottom w:val="0"/>
          <w:divBdr>
            <w:top w:val="none" w:sz="0" w:space="0" w:color="auto"/>
            <w:left w:val="none" w:sz="0" w:space="0" w:color="auto"/>
            <w:bottom w:val="none" w:sz="0" w:space="0" w:color="auto"/>
            <w:right w:val="none" w:sz="0" w:space="0" w:color="auto"/>
          </w:divBdr>
        </w:div>
        <w:div w:id="213276518">
          <w:marLeft w:val="640"/>
          <w:marRight w:val="0"/>
          <w:marTop w:val="0"/>
          <w:marBottom w:val="0"/>
          <w:divBdr>
            <w:top w:val="none" w:sz="0" w:space="0" w:color="auto"/>
            <w:left w:val="none" w:sz="0" w:space="0" w:color="auto"/>
            <w:bottom w:val="none" w:sz="0" w:space="0" w:color="auto"/>
            <w:right w:val="none" w:sz="0" w:space="0" w:color="auto"/>
          </w:divBdr>
        </w:div>
        <w:div w:id="760643183">
          <w:marLeft w:val="640"/>
          <w:marRight w:val="0"/>
          <w:marTop w:val="0"/>
          <w:marBottom w:val="0"/>
          <w:divBdr>
            <w:top w:val="none" w:sz="0" w:space="0" w:color="auto"/>
            <w:left w:val="none" w:sz="0" w:space="0" w:color="auto"/>
            <w:bottom w:val="none" w:sz="0" w:space="0" w:color="auto"/>
            <w:right w:val="none" w:sz="0" w:space="0" w:color="auto"/>
          </w:divBdr>
        </w:div>
        <w:div w:id="1699312003">
          <w:marLeft w:val="640"/>
          <w:marRight w:val="0"/>
          <w:marTop w:val="0"/>
          <w:marBottom w:val="0"/>
          <w:divBdr>
            <w:top w:val="none" w:sz="0" w:space="0" w:color="auto"/>
            <w:left w:val="none" w:sz="0" w:space="0" w:color="auto"/>
            <w:bottom w:val="none" w:sz="0" w:space="0" w:color="auto"/>
            <w:right w:val="none" w:sz="0" w:space="0" w:color="auto"/>
          </w:divBdr>
        </w:div>
        <w:div w:id="1562860846">
          <w:marLeft w:val="640"/>
          <w:marRight w:val="0"/>
          <w:marTop w:val="0"/>
          <w:marBottom w:val="0"/>
          <w:divBdr>
            <w:top w:val="none" w:sz="0" w:space="0" w:color="auto"/>
            <w:left w:val="none" w:sz="0" w:space="0" w:color="auto"/>
            <w:bottom w:val="none" w:sz="0" w:space="0" w:color="auto"/>
            <w:right w:val="none" w:sz="0" w:space="0" w:color="auto"/>
          </w:divBdr>
        </w:div>
        <w:div w:id="137965853">
          <w:marLeft w:val="640"/>
          <w:marRight w:val="0"/>
          <w:marTop w:val="0"/>
          <w:marBottom w:val="0"/>
          <w:divBdr>
            <w:top w:val="none" w:sz="0" w:space="0" w:color="auto"/>
            <w:left w:val="none" w:sz="0" w:space="0" w:color="auto"/>
            <w:bottom w:val="none" w:sz="0" w:space="0" w:color="auto"/>
            <w:right w:val="none" w:sz="0" w:space="0" w:color="auto"/>
          </w:divBdr>
        </w:div>
        <w:div w:id="149949158">
          <w:marLeft w:val="640"/>
          <w:marRight w:val="0"/>
          <w:marTop w:val="0"/>
          <w:marBottom w:val="0"/>
          <w:divBdr>
            <w:top w:val="none" w:sz="0" w:space="0" w:color="auto"/>
            <w:left w:val="none" w:sz="0" w:space="0" w:color="auto"/>
            <w:bottom w:val="none" w:sz="0" w:space="0" w:color="auto"/>
            <w:right w:val="none" w:sz="0" w:space="0" w:color="auto"/>
          </w:divBdr>
        </w:div>
        <w:div w:id="519048598">
          <w:marLeft w:val="640"/>
          <w:marRight w:val="0"/>
          <w:marTop w:val="0"/>
          <w:marBottom w:val="0"/>
          <w:divBdr>
            <w:top w:val="none" w:sz="0" w:space="0" w:color="auto"/>
            <w:left w:val="none" w:sz="0" w:space="0" w:color="auto"/>
            <w:bottom w:val="none" w:sz="0" w:space="0" w:color="auto"/>
            <w:right w:val="none" w:sz="0" w:space="0" w:color="auto"/>
          </w:divBdr>
        </w:div>
        <w:div w:id="1540778896">
          <w:marLeft w:val="640"/>
          <w:marRight w:val="0"/>
          <w:marTop w:val="0"/>
          <w:marBottom w:val="0"/>
          <w:divBdr>
            <w:top w:val="none" w:sz="0" w:space="0" w:color="auto"/>
            <w:left w:val="none" w:sz="0" w:space="0" w:color="auto"/>
            <w:bottom w:val="none" w:sz="0" w:space="0" w:color="auto"/>
            <w:right w:val="none" w:sz="0" w:space="0" w:color="auto"/>
          </w:divBdr>
        </w:div>
        <w:div w:id="1144855940">
          <w:marLeft w:val="640"/>
          <w:marRight w:val="0"/>
          <w:marTop w:val="0"/>
          <w:marBottom w:val="0"/>
          <w:divBdr>
            <w:top w:val="none" w:sz="0" w:space="0" w:color="auto"/>
            <w:left w:val="none" w:sz="0" w:space="0" w:color="auto"/>
            <w:bottom w:val="none" w:sz="0" w:space="0" w:color="auto"/>
            <w:right w:val="none" w:sz="0" w:space="0" w:color="auto"/>
          </w:divBdr>
        </w:div>
        <w:div w:id="1587574950">
          <w:marLeft w:val="640"/>
          <w:marRight w:val="0"/>
          <w:marTop w:val="0"/>
          <w:marBottom w:val="0"/>
          <w:divBdr>
            <w:top w:val="none" w:sz="0" w:space="0" w:color="auto"/>
            <w:left w:val="none" w:sz="0" w:space="0" w:color="auto"/>
            <w:bottom w:val="none" w:sz="0" w:space="0" w:color="auto"/>
            <w:right w:val="none" w:sz="0" w:space="0" w:color="auto"/>
          </w:divBdr>
        </w:div>
        <w:div w:id="1431506013">
          <w:marLeft w:val="640"/>
          <w:marRight w:val="0"/>
          <w:marTop w:val="0"/>
          <w:marBottom w:val="0"/>
          <w:divBdr>
            <w:top w:val="none" w:sz="0" w:space="0" w:color="auto"/>
            <w:left w:val="none" w:sz="0" w:space="0" w:color="auto"/>
            <w:bottom w:val="none" w:sz="0" w:space="0" w:color="auto"/>
            <w:right w:val="none" w:sz="0" w:space="0" w:color="auto"/>
          </w:divBdr>
        </w:div>
        <w:div w:id="318507649">
          <w:marLeft w:val="640"/>
          <w:marRight w:val="0"/>
          <w:marTop w:val="0"/>
          <w:marBottom w:val="0"/>
          <w:divBdr>
            <w:top w:val="none" w:sz="0" w:space="0" w:color="auto"/>
            <w:left w:val="none" w:sz="0" w:space="0" w:color="auto"/>
            <w:bottom w:val="none" w:sz="0" w:space="0" w:color="auto"/>
            <w:right w:val="none" w:sz="0" w:space="0" w:color="auto"/>
          </w:divBdr>
        </w:div>
        <w:div w:id="165481959">
          <w:marLeft w:val="640"/>
          <w:marRight w:val="0"/>
          <w:marTop w:val="0"/>
          <w:marBottom w:val="0"/>
          <w:divBdr>
            <w:top w:val="none" w:sz="0" w:space="0" w:color="auto"/>
            <w:left w:val="none" w:sz="0" w:space="0" w:color="auto"/>
            <w:bottom w:val="none" w:sz="0" w:space="0" w:color="auto"/>
            <w:right w:val="none" w:sz="0" w:space="0" w:color="auto"/>
          </w:divBdr>
        </w:div>
        <w:div w:id="727612561">
          <w:marLeft w:val="640"/>
          <w:marRight w:val="0"/>
          <w:marTop w:val="0"/>
          <w:marBottom w:val="0"/>
          <w:divBdr>
            <w:top w:val="none" w:sz="0" w:space="0" w:color="auto"/>
            <w:left w:val="none" w:sz="0" w:space="0" w:color="auto"/>
            <w:bottom w:val="none" w:sz="0" w:space="0" w:color="auto"/>
            <w:right w:val="none" w:sz="0" w:space="0" w:color="auto"/>
          </w:divBdr>
        </w:div>
        <w:div w:id="816606546">
          <w:marLeft w:val="640"/>
          <w:marRight w:val="0"/>
          <w:marTop w:val="0"/>
          <w:marBottom w:val="0"/>
          <w:divBdr>
            <w:top w:val="none" w:sz="0" w:space="0" w:color="auto"/>
            <w:left w:val="none" w:sz="0" w:space="0" w:color="auto"/>
            <w:bottom w:val="none" w:sz="0" w:space="0" w:color="auto"/>
            <w:right w:val="none" w:sz="0" w:space="0" w:color="auto"/>
          </w:divBdr>
        </w:div>
        <w:div w:id="2104644673">
          <w:marLeft w:val="640"/>
          <w:marRight w:val="0"/>
          <w:marTop w:val="0"/>
          <w:marBottom w:val="0"/>
          <w:divBdr>
            <w:top w:val="none" w:sz="0" w:space="0" w:color="auto"/>
            <w:left w:val="none" w:sz="0" w:space="0" w:color="auto"/>
            <w:bottom w:val="none" w:sz="0" w:space="0" w:color="auto"/>
            <w:right w:val="none" w:sz="0" w:space="0" w:color="auto"/>
          </w:divBdr>
        </w:div>
        <w:div w:id="2132281766">
          <w:marLeft w:val="640"/>
          <w:marRight w:val="0"/>
          <w:marTop w:val="0"/>
          <w:marBottom w:val="0"/>
          <w:divBdr>
            <w:top w:val="none" w:sz="0" w:space="0" w:color="auto"/>
            <w:left w:val="none" w:sz="0" w:space="0" w:color="auto"/>
            <w:bottom w:val="none" w:sz="0" w:space="0" w:color="auto"/>
            <w:right w:val="none" w:sz="0" w:space="0" w:color="auto"/>
          </w:divBdr>
        </w:div>
        <w:div w:id="2072999614">
          <w:marLeft w:val="640"/>
          <w:marRight w:val="0"/>
          <w:marTop w:val="0"/>
          <w:marBottom w:val="0"/>
          <w:divBdr>
            <w:top w:val="none" w:sz="0" w:space="0" w:color="auto"/>
            <w:left w:val="none" w:sz="0" w:space="0" w:color="auto"/>
            <w:bottom w:val="none" w:sz="0" w:space="0" w:color="auto"/>
            <w:right w:val="none" w:sz="0" w:space="0" w:color="auto"/>
          </w:divBdr>
        </w:div>
        <w:div w:id="264000148">
          <w:marLeft w:val="640"/>
          <w:marRight w:val="0"/>
          <w:marTop w:val="0"/>
          <w:marBottom w:val="0"/>
          <w:divBdr>
            <w:top w:val="none" w:sz="0" w:space="0" w:color="auto"/>
            <w:left w:val="none" w:sz="0" w:space="0" w:color="auto"/>
            <w:bottom w:val="none" w:sz="0" w:space="0" w:color="auto"/>
            <w:right w:val="none" w:sz="0" w:space="0" w:color="auto"/>
          </w:divBdr>
        </w:div>
        <w:div w:id="1464620990">
          <w:marLeft w:val="640"/>
          <w:marRight w:val="0"/>
          <w:marTop w:val="0"/>
          <w:marBottom w:val="0"/>
          <w:divBdr>
            <w:top w:val="none" w:sz="0" w:space="0" w:color="auto"/>
            <w:left w:val="none" w:sz="0" w:space="0" w:color="auto"/>
            <w:bottom w:val="none" w:sz="0" w:space="0" w:color="auto"/>
            <w:right w:val="none" w:sz="0" w:space="0" w:color="auto"/>
          </w:divBdr>
        </w:div>
        <w:div w:id="1815441035">
          <w:marLeft w:val="640"/>
          <w:marRight w:val="0"/>
          <w:marTop w:val="0"/>
          <w:marBottom w:val="0"/>
          <w:divBdr>
            <w:top w:val="none" w:sz="0" w:space="0" w:color="auto"/>
            <w:left w:val="none" w:sz="0" w:space="0" w:color="auto"/>
            <w:bottom w:val="none" w:sz="0" w:space="0" w:color="auto"/>
            <w:right w:val="none" w:sz="0" w:space="0" w:color="auto"/>
          </w:divBdr>
        </w:div>
        <w:div w:id="2105760669">
          <w:marLeft w:val="640"/>
          <w:marRight w:val="0"/>
          <w:marTop w:val="0"/>
          <w:marBottom w:val="0"/>
          <w:divBdr>
            <w:top w:val="none" w:sz="0" w:space="0" w:color="auto"/>
            <w:left w:val="none" w:sz="0" w:space="0" w:color="auto"/>
            <w:bottom w:val="none" w:sz="0" w:space="0" w:color="auto"/>
            <w:right w:val="none" w:sz="0" w:space="0" w:color="auto"/>
          </w:divBdr>
        </w:div>
        <w:div w:id="219171333">
          <w:marLeft w:val="640"/>
          <w:marRight w:val="0"/>
          <w:marTop w:val="0"/>
          <w:marBottom w:val="0"/>
          <w:divBdr>
            <w:top w:val="none" w:sz="0" w:space="0" w:color="auto"/>
            <w:left w:val="none" w:sz="0" w:space="0" w:color="auto"/>
            <w:bottom w:val="none" w:sz="0" w:space="0" w:color="auto"/>
            <w:right w:val="none" w:sz="0" w:space="0" w:color="auto"/>
          </w:divBdr>
        </w:div>
        <w:div w:id="1896163967">
          <w:marLeft w:val="640"/>
          <w:marRight w:val="0"/>
          <w:marTop w:val="0"/>
          <w:marBottom w:val="0"/>
          <w:divBdr>
            <w:top w:val="none" w:sz="0" w:space="0" w:color="auto"/>
            <w:left w:val="none" w:sz="0" w:space="0" w:color="auto"/>
            <w:bottom w:val="none" w:sz="0" w:space="0" w:color="auto"/>
            <w:right w:val="none" w:sz="0" w:space="0" w:color="auto"/>
          </w:divBdr>
        </w:div>
        <w:div w:id="620960569">
          <w:marLeft w:val="640"/>
          <w:marRight w:val="0"/>
          <w:marTop w:val="0"/>
          <w:marBottom w:val="0"/>
          <w:divBdr>
            <w:top w:val="none" w:sz="0" w:space="0" w:color="auto"/>
            <w:left w:val="none" w:sz="0" w:space="0" w:color="auto"/>
            <w:bottom w:val="none" w:sz="0" w:space="0" w:color="auto"/>
            <w:right w:val="none" w:sz="0" w:space="0" w:color="auto"/>
          </w:divBdr>
        </w:div>
        <w:div w:id="1436557641">
          <w:marLeft w:val="640"/>
          <w:marRight w:val="0"/>
          <w:marTop w:val="0"/>
          <w:marBottom w:val="0"/>
          <w:divBdr>
            <w:top w:val="none" w:sz="0" w:space="0" w:color="auto"/>
            <w:left w:val="none" w:sz="0" w:space="0" w:color="auto"/>
            <w:bottom w:val="none" w:sz="0" w:space="0" w:color="auto"/>
            <w:right w:val="none" w:sz="0" w:space="0" w:color="auto"/>
          </w:divBdr>
        </w:div>
        <w:div w:id="1572040570">
          <w:marLeft w:val="640"/>
          <w:marRight w:val="0"/>
          <w:marTop w:val="0"/>
          <w:marBottom w:val="0"/>
          <w:divBdr>
            <w:top w:val="none" w:sz="0" w:space="0" w:color="auto"/>
            <w:left w:val="none" w:sz="0" w:space="0" w:color="auto"/>
            <w:bottom w:val="none" w:sz="0" w:space="0" w:color="auto"/>
            <w:right w:val="none" w:sz="0" w:space="0" w:color="auto"/>
          </w:divBdr>
        </w:div>
        <w:div w:id="1252351042">
          <w:marLeft w:val="640"/>
          <w:marRight w:val="0"/>
          <w:marTop w:val="0"/>
          <w:marBottom w:val="0"/>
          <w:divBdr>
            <w:top w:val="none" w:sz="0" w:space="0" w:color="auto"/>
            <w:left w:val="none" w:sz="0" w:space="0" w:color="auto"/>
            <w:bottom w:val="none" w:sz="0" w:space="0" w:color="auto"/>
            <w:right w:val="none" w:sz="0" w:space="0" w:color="auto"/>
          </w:divBdr>
        </w:div>
        <w:div w:id="1374884283">
          <w:marLeft w:val="640"/>
          <w:marRight w:val="0"/>
          <w:marTop w:val="0"/>
          <w:marBottom w:val="0"/>
          <w:divBdr>
            <w:top w:val="none" w:sz="0" w:space="0" w:color="auto"/>
            <w:left w:val="none" w:sz="0" w:space="0" w:color="auto"/>
            <w:bottom w:val="none" w:sz="0" w:space="0" w:color="auto"/>
            <w:right w:val="none" w:sz="0" w:space="0" w:color="auto"/>
          </w:divBdr>
        </w:div>
        <w:div w:id="173957659">
          <w:marLeft w:val="640"/>
          <w:marRight w:val="0"/>
          <w:marTop w:val="0"/>
          <w:marBottom w:val="0"/>
          <w:divBdr>
            <w:top w:val="none" w:sz="0" w:space="0" w:color="auto"/>
            <w:left w:val="none" w:sz="0" w:space="0" w:color="auto"/>
            <w:bottom w:val="none" w:sz="0" w:space="0" w:color="auto"/>
            <w:right w:val="none" w:sz="0" w:space="0" w:color="auto"/>
          </w:divBdr>
        </w:div>
        <w:div w:id="83458873">
          <w:marLeft w:val="640"/>
          <w:marRight w:val="0"/>
          <w:marTop w:val="0"/>
          <w:marBottom w:val="0"/>
          <w:divBdr>
            <w:top w:val="none" w:sz="0" w:space="0" w:color="auto"/>
            <w:left w:val="none" w:sz="0" w:space="0" w:color="auto"/>
            <w:bottom w:val="none" w:sz="0" w:space="0" w:color="auto"/>
            <w:right w:val="none" w:sz="0" w:space="0" w:color="auto"/>
          </w:divBdr>
        </w:div>
        <w:div w:id="1231311789">
          <w:marLeft w:val="640"/>
          <w:marRight w:val="0"/>
          <w:marTop w:val="0"/>
          <w:marBottom w:val="0"/>
          <w:divBdr>
            <w:top w:val="none" w:sz="0" w:space="0" w:color="auto"/>
            <w:left w:val="none" w:sz="0" w:space="0" w:color="auto"/>
            <w:bottom w:val="none" w:sz="0" w:space="0" w:color="auto"/>
            <w:right w:val="none" w:sz="0" w:space="0" w:color="auto"/>
          </w:divBdr>
        </w:div>
        <w:div w:id="123619874">
          <w:marLeft w:val="640"/>
          <w:marRight w:val="0"/>
          <w:marTop w:val="0"/>
          <w:marBottom w:val="0"/>
          <w:divBdr>
            <w:top w:val="none" w:sz="0" w:space="0" w:color="auto"/>
            <w:left w:val="none" w:sz="0" w:space="0" w:color="auto"/>
            <w:bottom w:val="none" w:sz="0" w:space="0" w:color="auto"/>
            <w:right w:val="none" w:sz="0" w:space="0" w:color="auto"/>
          </w:divBdr>
        </w:div>
        <w:div w:id="564031472">
          <w:marLeft w:val="640"/>
          <w:marRight w:val="0"/>
          <w:marTop w:val="0"/>
          <w:marBottom w:val="0"/>
          <w:divBdr>
            <w:top w:val="none" w:sz="0" w:space="0" w:color="auto"/>
            <w:left w:val="none" w:sz="0" w:space="0" w:color="auto"/>
            <w:bottom w:val="none" w:sz="0" w:space="0" w:color="auto"/>
            <w:right w:val="none" w:sz="0" w:space="0" w:color="auto"/>
          </w:divBdr>
        </w:div>
        <w:div w:id="465200108">
          <w:marLeft w:val="640"/>
          <w:marRight w:val="0"/>
          <w:marTop w:val="0"/>
          <w:marBottom w:val="0"/>
          <w:divBdr>
            <w:top w:val="none" w:sz="0" w:space="0" w:color="auto"/>
            <w:left w:val="none" w:sz="0" w:space="0" w:color="auto"/>
            <w:bottom w:val="none" w:sz="0" w:space="0" w:color="auto"/>
            <w:right w:val="none" w:sz="0" w:space="0" w:color="auto"/>
          </w:divBdr>
        </w:div>
        <w:div w:id="1646592855">
          <w:marLeft w:val="640"/>
          <w:marRight w:val="0"/>
          <w:marTop w:val="0"/>
          <w:marBottom w:val="0"/>
          <w:divBdr>
            <w:top w:val="none" w:sz="0" w:space="0" w:color="auto"/>
            <w:left w:val="none" w:sz="0" w:space="0" w:color="auto"/>
            <w:bottom w:val="none" w:sz="0" w:space="0" w:color="auto"/>
            <w:right w:val="none" w:sz="0" w:space="0" w:color="auto"/>
          </w:divBdr>
        </w:div>
        <w:div w:id="773330799">
          <w:marLeft w:val="640"/>
          <w:marRight w:val="0"/>
          <w:marTop w:val="0"/>
          <w:marBottom w:val="0"/>
          <w:divBdr>
            <w:top w:val="none" w:sz="0" w:space="0" w:color="auto"/>
            <w:left w:val="none" w:sz="0" w:space="0" w:color="auto"/>
            <w:bottom w:val="none" w:sz="0" w:space="0" w:color="auto"/>
            <w:right w:val="none" w:sz="0" w:space="0" w:color="auto"/>
          </w:divBdr>
        </w:div>
        <w:div w:id="285545242">
          <w:marLeft w:val="640"/>
          <w:marRight w:val="0"/>
          <w:marTop w:val="0"/>
          <w:marBottom w:val="0"/>
          <w:divBdr>
            <w:top w:val="none" w:sz="0" w:space="0" w:color="auto"/>
            <w:left w:val="none" w:sz="0" w:space="0" w:color="auto"/>
            <w:bottom w:val="none" w:sz="0" w:space="0" w:color="auto"/>
            <w:right w:val="none" w:sz="0" w:space="0" w:color="auto"/>
          </w:divBdr>
        </w:div>
        <w:div w:id="1976448403">
          <w:marLeft w:val="640"/>
          <w:marRight w:val="0"/>
          <w:marTop w:val="0"/>
          <w:marBottom w:val="0"/>
          <w:divBdr>
            <w:top w:val="none" w:sz="0" w:space="0" w:color="auto"/>
            <w:left w:val="none" w:sz="0" w:space="0" w:color="auto"/>
            <w:bottom w:val="none" w:sz="0" w:space="0" w:color="auto"/>
            <w:right w:val="none" w:sz="0" w:space="0" w:color="auto"/>
          </w:divBdr>
        </w:div>
        <w:div w:id="178008394">
          <w:marLeft w:val="640"/>
          <w:marRight w:val="0"/>
          <w:marTop w:val="0"/>
          <w:marBottom w:val="0"/>
          <w:divBdr>
            <w:top w:val="none" w:sz="0" w:space="0" w:color="auto"/>
            <w:left w:val="none" w:sz="0" w:space="0" w:color="auto"/>
            <w:bottom w:val="none" w:sz="0" w:space="0" w:color="auto"/>
            <w:right w:val="none" w:sz="0" w:space="0" w:color="auto"/>
          </w:divBdr>
        </w:div>
        <w:div w:id="2103262608">
          <w:marLeft w:val="640"/>
          <w:marRight w:val="0"/>
          <w:marTop w:val="0"/>
          <w:marBottom w:val="0"/>
          <w:divBdr>
            <w:top w:val="none" w:sz="0" w:space="0" w:color="auto"/>
            <w:left w:val="none" w:sz="0" w:space="0" w:color="auto"/>
            <w:bottom w:val="none" w:sz="0" w:space="0" w:color="auto"/>
            <w:right w:val="none" w:sz="0" w:space="0" w:color="auto"/>
          </w:divBdr>
        </w:div>
        <w:div w:id="1982693127">
          <w:marLeft w:val="640"/>
          <w:marRight w:val="0"/>
          <w:marTop w:val="0"/>
          <w:marBottom w:val="0"/>
          <w:divBdr>
            <w:top w:val="none" w:sz="0" w:space="0" w:color="auto"/>
            <w:left w:val="none" w:sz="0" w:space="0" w:color="auto"/>
            <w:bottom w:val="none" w:sz="0" w:space="0" w:color="auto"/>
            <w:right w:val="none" w:sz="0" w:space="0" w:color="auto"/>
          </w:divBdr>
        </w:div>
        <w:div w:id="1444498566">
          <w:marLeft w:val="640"/>
          <w:marRight w:val="0"/>
          <w:marTop w:val="0"/>
          <w:marBottom w:val="0"/>
          <w:divBdr>
            <w:top w:val="none" w:sz="0" w:space="0" w:color="auto"/>
            <w:left w:val="none" w:sz="0" w:space="0" w:color="auto"/>
            <w:bottom w:val="none" w:sz="0" w:space="0" w:color="auto"/>
            <w:right w:val="none" w:sz="0" w:space="0" w:color="auto"/>
          </w:divBdr>
        </w:div>
        <w:div w:id="845825453">
          <w:marLeft w:val="640"/>
          <w:marRight w:val="0"/>
          <w:marTop w:val="0"/>
          <w:marBottom w:val="0"/>
          <w:divBdr>
            <w:top w:val="none" w:sz="0" w:space="0" w:color="auto"/>
            <w:left w:val="none" w:sz="0" w:space="0" w:color="auto"/>
            <w:bottom w:val="none" w:sz="0" w:space="0" w:color="auto"/>
            <w:right w:val="none" w:sz="0" w:space="0" w:color="auto"/>
          </w:divBdr>
        </w:div>
        <w:div w:id="1401168728">
          <w:marLeft w:val="640"/>
          <w:marRight w:val="0"/>
          <w:marTop w:val="0"/>
          <w:marBottom w:val="0"/>
          <w:divBdr>
            <w:top w:val="none" w:sz="0" w:space="0" w:color="auto"/>
            <w:left w:val="none" w:sz="0" w:space="0" w:color="auto"/>
            <w:bottom w:val="none" w:sz="0" w:space="0" w:color="auto"/>
            <w:right w:val="none" w:sz="0" w:space="0" w:color="auto"/>
          </w:divBdr>
        </w:div>
        <w:div w:id="1886987382">
          <w:marLeft w:val="640"/>
          <w:marRight w:val="0"/>
          <w:marTop w:val="0"/>
          <w:marBottom w:val="0"/>
          <w:divBdr>
            <w:top w:val="none" w:sz="0" w:space="0" w:color="auto"/>
            <w:left w:val="none" w:sz="0" w:space="0" w:color="auto"/>
            <w:bottom w:val="none" w:sz="0" w:space="0" w:color="auto"/>
            <w:right w:val="none" w:sz="0" w:space="0" w:color="auto"/>
          </w:divBdr>
        </w:div>
        <w:div w:id="2026519972">
          <w:marLeft w:val="640"/>
          <w:marRight w:val="0"/>
          <w:marTop w:val="0"/>
          <w:marBottom w:val="0"/>
          <w:divBdr>
            <w:top w:val="none" w:sz="0" w:space="0" w:color="auto"/>
            <w:left w:val="none" w:sz="0" w:space="0" w:color="auto"/>
            <w:bottom w:val="none" w:sz="0" w:space="0" w:color="auto"/>
            <w:right w:val="none" w:sz="0" w:space="0" w:color="auto"/>
          </w:divBdr>
        </w:div>
        <w:div w:id="1757290004">
          <w:marLeft w:val="640"/>
          <w:marRight w:val="0"/>
          <w:marTop w:val="0"/>
          <w:marBottom w:val="0"/>
          <w:divBdr>
            <w:top w:val="none" w:sz="0" w:space="0" w:color="auto"/>
            <w:left w:val="none" w:sz="0" w:space="0" w:color="auto"/>
            <w:bottom w:val="none" w:sz="0" w:space="0" w:color="auto"/>
            <w:right w:val="none" w:sz="0" w:space="0" w:color="auto"/>
          </w:divBdr>
        </w:div>
        <w:div w:id="470292692">
          <w:marLeft w:val="640"/>
          <w:marRight w:val="0"/>
          <w:marTop w:val="0"/>
          <w:marBottom w:val="0"/>
          <w:divBdr>
            <w:top w:val="none" w:sz="0" w:space="0" w:color="auto"/>
            <w:left w:val="none" w:sz="0" w:space="0" w:color="auto"/>
            <w:bottom w:val="none" w:sz="0" w:space="0" w:color="auto"/>
            <w:right w:val="none" w:sz="0" w:space="0" w:color="auto"/>
          </w:divBdr>
        </w:div>
        <w:div w:id="2026129341">
          <w:marLeft w:val="640"/>
          <w:marRight w:val="0"/>
          <w:marTop w:val="0"/>
          <w:marBottom w:val="0"/>
          <w:divBdr>
            <w:top w:val="none" w:sz="0" w:space="0" w:color="auto"/>
            <w:left w:val="none" w:sz="0" w:space="0" w:color="auto"/>
            <w:bottom w:val="none" w:sz="0" w:space="0" w:color="auto"/>
            <w:right w:val="none" w:sz="0" w:space="0" w:color="auto"/>
          </w:divBdr>
        </w:div>
        <w:div w:id="1270744579">
          <w:marLeft w:val="640"/>
          <w:marRight w:val="0"/>
          <w:marTop w:val="0"/>
          <w:marBottom w:val="0"/>
          <w:divBdr>
            <w:top w:val="none" w:sz="0" w:space="0" w:color="auto"/>
            <w:left w:val="none" w:sz="0" w:space="0" w:color="auto"/>
            <w:bottom w:val="none" w:sz="0" w:space="0" w:color="auto"/>
            <w:right w:val="none" w:sz="0" w:space="0" w:color="auto"/>
          </w:divBdr>
        </w:div>
        <w:div w:id="1608388622">
          <w:marLeft w:val="640"/>
          <w:marRight w:val="0"/>
          <w:marTop w:val="0"/>
          <w:marBottom w:val="0"/>
          <w:divBdr>
            <w:top w:val="none" w:sz="0" w:space="0" w:color="auto"/>
            <w:left w:val="none" w:sz="0" w:space="0" w:color="auto"/>
            <w:bottom w:val="none" w:sz="0" w:space="0" w:color="auto"/>
            <w:right w:val="none" w:sz="0" w:space="0" w:color="auto"/>
          </w:divBdr>
        </w:div>
        <w:div w:id="932468890">
          <w:marLeft w:val="640"/>
          <w:marRight w:val="0"/>
          <w:marTop w:val="0"/>
          <w:marBottom w:val="0"/>
          <w:divBdr>
            <w:top w:val="none" w:sz="0" w:space="0" w:color="auto"/>
            <w:left w:val="none" w:sz="0" w:space="0" w:color="auto"/>
            <w:bottom w:val="none" w:sz="0" w:space="0" w:color="auto"/>
            <w:right w:val="none" w:sz="0" w:space="0" w:color="auto"/>
          </w:divBdr>
        </w:div>
        <w:div w:id="1213424510">
          <w:marLeft w:val="640"/>
          <w:marRight w:val="0"/>
          <w:marTop w:val="0"/>
          <w:marBottom w:val="0"/>
          <w:divBdr>
            <w:top w:val="none" w:sz="0" w:space="0" w:color="auto"/>
            <w:left w:val="none" w:sz="0" w:space="0" w:color="auto"/>
            <w:bottom w:val="none" w:sz="0" w:space="0" w:color="auto"/>
            <w:right w:val="none" w:sz="0" w:space="0" w:color="auto"/>
          </w:divBdr>
        </w:div>
        <w:div w:id="687947248">
          <w:marLeft w:val="640"/>
          <w:marRight w:val="0"/>
          <w:marTop w:val="0"/>
          <w:marBottom w:val="0"/>
          <w:divBdr>
            <w:top w:val="none" w:sz="0" w:space="0" w:color="auto"/>
            <w:left w:val="none" w:sz="0" w:space="0" w:color="auto"/>
            <w:bottom w:val="none" w:sz="0" w:space="0" w:color="auto"/>
            <w:right w:val="none" w:sz="0" w:space="0" w:color="auto"/>
          </w:divBdr>
        </w:div>
        <w:div w:id="689912125">
          <w:marLeft w:val="640"/>
          <w:marRight w:val="0"/>
          <w:marTop w:val="0"/>
          <w:marBottom w:val="0"/>
          <w:divBdr>
            <w:top w:val="none" w:sz="0" w:space="0" w:color="auto"/>
            <w:left w:val="none" w:sz="0" w:space="0" w:color="auto"/>
            <w:bottom w:val="none" w:sz="0" w:space="0" w:color="auto"/>
            <w:right w:val="none" w:sz="0" w:space="0" w:color="auto"/>
          </w:divBdr>
        </w:div>
        <w:div w:id="510878355">
          <w:marLeft w:val="640"/>
          <w:marRight w:val="0"/>
          <w:marTop w:val="0"/>
          <w:marBottom w:val="0"/>
          <w:divBdr>
            <w:top w:val="none" w:sz="0" w:space="0" w:color="auto"/>
            <w:left w:val="none" w:sz="0" w:space="0" w:color="auto"/>
            <w:bottom w:val="none" w:sz="0" w:space="0" w:color="auto"/>
            <w:right w:val="none" w:sz="0" w:space="0" w:color="auto"/>
          </w:divBdr>
        </w:div>
        <w:div w:id="611279987">
          <w:marLeft w:val="640"/>
          <w:marRight w:val="0"/>
          <w:marTop w:val="0"/>
          <w:marBottom w:val="0"/>
          <w:divBdr>
            <w:top w:val="none" w:sz="0" w:space="0" w:color="auto"/>
            <w:left w:val="none" w:sz="0" w:space="0" w:color="auto"/>
            <w:bottom w:val="none" w:sz="0" w:space="0" w:color="auto"/>
            <w:right w:val="none" w:sz="0" w:space="0" w:color="auto"/>
          </w:divBdr>
        </w:div>
        <w:div w:id="194392772">
          <w:marLeft w:val="640"/>
          <w:marRight w:val="0"/>
          <w:marTop w:val="0"/>
          <w:marBottom w:val="0"/>
          <w:divBdr>
            <w:top w:val="none" w:sz="0" w:space="0" w:color="auto"/>
            <w:left w:val="none" w:sz="0" w:space="0" w:color="auto"/>
            <w:bottom w:val="none" w:sz="0" w:space="0" w:color="auto"/>
            <w:right w:val="none" w:sz="0" w:space="0" w:color="auto"/>
          </w:divBdr>
        </w:div>
        <w:div w:id="626859586">
          <w:marLeft w:val="640"/>
          <w:marRight w:val="0"/>
          <w:marTop w:val="0"/>
          <w:marBottom w:val="0"/>
          <w:divBdr>
            <w:top w:val="none" w:sz="0" w:space="0" w:color="auto"/>
            <w:left w:val="none" w:sz="0" w:space="0" w:color="auto"/>
            <w:bottom w:val="none" w:sz="0" w:space="0" w:color="auto"/>
            <w:right w:val="none" w:sz="0" w:space="0" w:color="auto"/>
          </w:divBdr>
        </w:div>
        <w:div w:id="442186670">
          <w:marLeft w:val="640"/>
          <w:marRight w:val="0"/>
          <w:marTop w:val="0"/>
          <w:marBottom w:val="0"/>
          <w:divBdr>
            <w:top w:val="none" w:sz="0" w:space="0" w:color="auto"/>
            <w:left w:val="none" w:sz="0" w:space="0" w:color="auto"/>
            <w:bottom w:val="none" w:sz="0" w:space="0" w:color="auto"/>
            <w:right w:val="none" w:sz="0" w:space="0" w:color="auto"/>
          </w:divBdr>
        </w:div>
        <w:div w:id="1445736673">
          <w:marLeft w:val="640"/>
          <w:marRight w:val="0"/>
          <w:marTop w:val="0"/>
          <w:marBottom w:val="0"/>
          <w:divBdr>
            <w:top w:val="none" w:sz="0" w:space="0" w:color="auto"/>
            <w:left w:val="none" w:sz="0" w:space="0" w:color="auto"/>
            <w:bottom w:val="none" w:sz="0" w:space="0" w:color="auto"/>
            <w:right w:val="none" w:sz="0" w:space="0" w:color="auto"/>
          </w:divBdr>
        </w:div>
        <w:div w:id="1067260502">
          <w:marLeft w:val="640"/>
          <w:marRight w:val="0"/>
          <w:marTop w:val="0"/>
          <w:marBottom w:val="0"/>
          <w:divBdr>
            <w:top w:val="none" w:sz="0" w:space="0" w:color="auto"/>
            <w:left w:val="none" w:sz="0" w:space="0" w:color="auto"/>
            <w:bottom w:val="none" w:sz="0" w:space="0" w:color="auto"/>
            <w:right w:val="none" w:sz="0" w:space="0" w:color="auto"/>
          </w:divBdr>
        </w:div>
        <w:div w:id="481314565">
          <w:marLeft w:val="640"/>
          <w:marRight w:val="0"/>
          <w:marTop w:val="0"/>
          <w:marBottom w:val="0"/>
          <w:divBdr>
            <w:top w:val="none" w:sz="0" w:space="0" w:color="auto"/>
            <w:left w:val="none" w:sz="0" w:space="0" w:color="auto"/>
            <w:bottom w:val="none" w:sz="0" w:space="0" w:color="auto"/>
            <w:right w:val="none" w:sz="0" w:space="0" w:color="auto"/>
          </w:divBdr>
        </w:div>
        <w:div w:id="1758288078">
          <w:marLeft w:val="640"/>
          <w:marRight w:val="0"/>
          <w:marTop w:val="0"/>
          <w:marBottom w:val="0"/>
          <w:divBdr>
            <w:top w:val="none" w:sz="0" w:space="0" w:color="auto"/>
            <w:left w:val="none" w:sz="0" w:space="0" w:color="auto"/>
            <w:bottom w:val="none" w:sz="0" w:space="0" w:color="auto"/>
            <w:right w:val="none" w:sz="0" w:space="0" w:color="auto"/>
          </w:divBdr>
        </w:div>
        <w:div w:id="2087607395">
          <w:marLeft w:val="640"/>
          <w:marRight w:val="0"/>
          <w:marTop w:val="0"/>
          <w:marBottom w:val="0"/>
          <w:divBdr>
            <w:top w:val="none" w:sz="0" w:space="0" w:color="auto"/>
            <w:left w:val="none" w:sz="0" w:space="0" w:color="auto"/>
            <w:bottom w:val="none" w:sz="0" w:space="0" w:color="auto"/>
            <w:right w:val="none" w:sz="0" w:space="0" w:color="auto"/>
          </w:divBdr>
        </w:div>
        <w:div w:id="1597250086">
          <w:marLeft w:val="640"/>
          <w:marRight w:val="0"/>
          <w:marTop w:val="0"/>
          <w:marBottom w:val="0"/>
          <w:divBdr>
            <w:top w:val="none" w:sz="0" w:space="0" w:color="auto"/>
            <w:left w:val="none" w:sz="0" w:space="0" w:color="auto"/>
            <w:bottom w:val="none" w:sz="0" w:space="0" w:color="auto"/>
            <w:right w:val="none" w:sz="0" w:space="0" w:color="auto"/>
          </w:divBdr>
        </w:div>
        <w:div w:id="1541236714">
          <w:marLeft w:val="640"/>
          <w:marRight w:val="0"/>
          <w:marTop w:val="0"/>
          <w:marBottom w:val="0"/>
          <w:divBdr>
            <w:top w:val="none" w:sz="0" w:space="0" w:color="auto"/>
            <w:left w:val="none" w:sz="0" w:space="0" w:color="auto"/>
            <w:bottom w:val="none" w:sz="0" w:space="0" w:color="auto"/>
            <w:right w:val="none" w:sz="0" w:space="0" w:color="auto"/>
          </w:divBdr>
        </w:div>
        <w:div w:id="442504084">
          <w:marLeft w:val="640"/>
          <w:marRight w:val="0"/>
          <w:marTop w:val="0"/>
          <w:marBottom w:val="0"/>
          <w:divBdr>
            <w:top w:val="none" w:sz="0" w:space="0" w:color="auto"/>
            <w:left w:val="none" w:sz="0" w:space="0" w:color="auto"/>
            <w:bottom w:val="none" w:sz="0" w:space="0" w:color="auto"/>
            <w:right w:val="none" w:sz="0" w:space="0" w:color="auto"/>
          </w:divBdr>
        </w:div>
        <w:div w:id="1948462936">
          <w:marLeft w:val="640"/>
          <w:marRight w:val="0"/>
          <w:marTop w:val="0"/>
          <w:marBottom w:val="0"/>
          <w:divBdr>
            <w:top w:val="none" w:sz="0" w:space="0" w:color="auto"/>
            <w:left w:val="none" w:sz="0" w:space="0" w:color="auto"/>
            <w:bottom w:val="none" w:sz="0" w:space="0" w:color="auto"/>
            <w:right w:val="none" w:sz="0" w:space="0" w:color="auto"/>
          </w:divBdr>
        </w:div>
        <w:div w:id="1809473277">
          <w:marLeft w:val="640"/>
          <w:marRight w:val="0"/>
          <w:marTop w:val="0"/>
          <w:marBottom w:val="0"/>
          <w:divBdr>
            <w:top w:val="none" w:sz="0" w:space="0" w:color="auto"/>
            <w:left w:val="none" w:sz="0" w:space="0" w:color="auto"/>
            <w:bottom w:val="none" w:sz="0" w:space="0" w:color="auto"/>
            <w:right w:val="none" w:sz="0" w:space="0" w:color="auto"/>
          </w:divBdr>
        </w:div>
        <w:div w:id="2047215608">
          <w:marLeft w:val="640"/>
          <w:marRight w:val="0"/>
          <w:marTop w:val="0"/>
          <w:marBottom w:val="0"/>
          <w:divBdr>
            <w:top w:val="none" w:sz="0" w:space="0" w:color="auto"/>
            <w:left w:val="none" w:sz="0" w:space="0" w:color="auto"/>
            <w:bottom w:val="none" w:sz="0" w:space="0" w:color="auto"/>
            <w:right w:val="none" w:sz="0" w:space="0" w:color="auto"/>
          </w:divBdr>
        </w:div>
        <w:div w:id="767313801">
          <w:marLeft w:val="640"/>
          <w:marRight w:val="0"/>
          <w:marTop w:val="0"/>
          <w:marBottom w:val="0"/>
          <w:divBdr>
            <w:top w:val="none" w:sz="0" w:space="0" w:color="auto"/>
            <w:left w:val="none" w:sz="0" w:space="0" w:color="auto"/>
            <w:bottom w:val="none" w:sz="0" w:space="0" w:color="auto"/>
            <w:right w:val="none" w:sz="0" w:space="0" w:color="auto"/>
          </w:divBdr>
        </w:div>
        <w:div w:id="2111270494">
          <w:marLeft w:val="640"/>
          <w:marRight w:val="0"/>
          <w:marTop w:val="0"/>
          <w:marBottom w:val="0"/>
          <w:divBdr>
            <w:top w:val="none" w:sz="0" w:space="0" w:color="auto"/>
            <w:left w:val="none" w:sz="0" w:space="0" w:color="auto"/>
            <w:bottom w:val="none" w:sz="0" w:space="0" w:color="auto"/>
            <w:right w:val="none" w:sz="0" w:space="0" w:color="auto"/>
          </w:divBdr>
        </w:div>
        <w:div w:id="1160150975">
          <w:marLeft w:val="640"/>
          <w:marRight w:val="0"/>
          <w:marTop w:val="0"/>
          <w:marBottom w:val="0"/>
          <w:divBdr>
            <w:top w:val="none" w:sz="0" w:space="0" w:color="auto"/>
            <w:left w:val="none" w:sz="0" w:space="0" w:color="auto"/>
            <w:bottom w:val="none" w:sz="0" w:space="0" w:color="auto"/>
            <w:right w:val="none" w:sz="0" w:space="0" w:color="auto"/>
          </w:divBdr>
        </w:div>
        <w:div w:id="1883134803">
          <w:marLeft w:val="640"/>
          <w:marRight w:val="0"/>
          <w:marTop w:val="0"/>
          <w:marBottom w:val="0"/>
          <w:divBdr>
            <w:top w:val="none" w:sz="0" w:space="0" w:color="auto"/>
            <w:left w:val="none" w:sz="0" w:space="0" w:color="auto"/>
            <w:bottom w:val="none" w:sz="0" w:space="0" w:color="auto"/>
            <w:right w:val="none" w:sz="0" w:space="0" w:color="auto"/>
          </w:divBdr>
        </w:div>
        <w:div w:id="447701337">
          <w:marLeft w:val="640"/>
          <w:marRight w:val="0"/>
          <w:marTop w:val="0"/>
          <w:marBottom w:val="0"/>
          <w:divBdr>
            <w:top w:val="none" w:sz="0" w:space="0" w:color="auto"/>
            <w:left w:val="none" w:sz="0" w:space="0" w:color="auto"/>
            <w:bottom w:val="none" w:sz="0" w:space="0" w:color="auto"/>
            <w:right w:val="none" w:sz="0" w:space="0" w:color="auto"/>
          </w:divBdr>
        </w:div>
        <w:div w:id="2147358281">
          <w:marLeft w:val="640"/>
          <w:marRight w:val="0"/>
          <w:marTop w:val="0"/>
          <w:marBottom w:val="0"/>
          <w:divBdr>
            <w:top w:val="none" w:sz="0" w:space="0" w:color="auto"/>
            <w:left w:val="none" w:sz="0" w:space="0" w:color="auto"/>
            <w:bottom w:val="none" w:sz="0" w:space="0" w:color="auto"/>
            <w:right w:val="none" w:sz="0" w:space="0" w:color="auto"/>
          </w:divBdr>
        </w:div>
        <w:div w:id="1709376324">
          <w:marLeft w:val="640"/>
          <w:marRight w:val="0"/>
          <w:marTop w:val="0"/>
          <w:marBottom w:val="0"/>
          <w:divBdr>
            <w:top w:val="none" w:sz="0" w:space="0" w:color="auto"/>
            <w:left w:val="none" w:sz="0" w:space="0" w:color="auto"/>
            <w:bottom w:val="none" w:sz="0" w:space="0" w:color="auto"/>
            <w:right w:val="none" w:sz="0" w:space="0" w:color="auto"/>
          </w:divBdr>
        </w:div>
        <w:div w:id="257063770">
          <w:marLeft w:val="640"/>
          <w:marRight w:val="0"/>
          <w:marTop w:val="0"/>
          <w:marBottom w:val="0"/>
          <w:divBdr>
            <w:top w:val="none" w:sz="0" w:space="0" w:color="auto"/>
            <w:left w:val="none" w:sz="0" w:space="0" w:color="auto"/>
            <w:bottom w:val="none" w:sz="0" w:space="0" w:color="auto"/>
            <w:right w:val="none" w:sz="0" w:space="0" w:color="auto"/>
          </w:divBdr>
        </w:div>
        <w:div w:id="2058771821">
          <w:marLeft w:val="640"/>
          <w:marRight w:val="0"/>
          <w:marTop w:val="0"/>
          <w:marBottom w:val="0"/>
          <w:divBdr>
            <w:top w:val="none" w:sz="0" w:space="0" w:color="auto"/>
            <w:left w:val="none" w:sz="0" w:space="0" w:color="auto"/>
            <w:bottom w:val="none" w:sz="0" w:space="0" w:color="auto"/>
            <w:right w:val="none" w:sz="0" w:space="0" w:color="auto"/>
          </w:divBdr>
        </w:div>
        <w:div w:id="946428866">
          <w:marLeft w:val="640"/>
          <w:marRight w:val="0"/>
          <w:marTop w:val="0"/>
          <w:marBottom w:val="0"/>
          <w:divBdr>
            <w:top w:val="none" w:sz="0" w:space="0" w:color="auto"/>
            <w:left w:val="none" w:sz="0" w:space="0" w:color="auto"/>
            <w:bottom w:val="none" w:sz="0" w:space="0" w:color="auto"/>
            <w:right w:val="none" w:sz="0" w:space="0" w:color="auto"/>
          </w:divBdr>
        </w:div>
        <w:div w:id="462965902">
          <w:marLeft w:val="640"/>
          <w:marRight w:val="0"/>
          <w:marTop w:val="0"/>
          <w:marBottom w:val="0"/>
          <w:divBdr>
            <w:top w:val="none" w:sz="0" w:space="0" w:color="auto"/>
            <w:left w:val="none" w:sz="0" w:space="0" w:color="auto"/>
            <w:bottom w:val="none" w:sz="0" w:space="0" w:color="auto"/>
            <w:right w:val="none" w:sz="0" w:space="0" w:color="auto"/>
          </w:divBdr>
        </w:div>
        <w:div w:id="1736970999">
          <w:marLeft w:val="640"/>
          <w:marRight w:val="0"/>
          <w:marTop w:val="0"/>
          <w:marBottom w:val="0"/>
          <w:divBdr>
            <w:top w:val="none" w:sz="0" w:space="0" w:color="auto"/>
            <w:left w:val="none" w:sz="0" w:space="0" w:color="auto"/>
            <w:bottom w:val="none" w:sz="0" w:space="0" w:color="auto"/>
            <w:right w:val="none" w:sz="0" w:space="0" w:color="auto"/>
          </w:divBdr>
        </w:div>
        <w:div w:id="1165508143">
          <w:marLeft w:val="640"/>
          <w:marRight w:val="0"/>
          <w:marTop w:val="0"/>
          <w:marBottom w:val="0"/>
          <w:divBdr>
            <w:top w:val="none" w:sz="0" w:space="0" w:color="auto"/>
            <w:left w:val="none" w:sz="0" w:space="0" w:color="auto"/>
            <w:bottom w:val="none" w:sz="0" w:space="0" w:color="auto"/>
            <w:right w:val="none" w:sz="0" w:space="0" w:color="auto"/>
          </w:divBdr>
        </w:div>
        <w:div w:id="1529876688">
          <w:marLeft w:val="640"/>
          <w:marRight w:val="0"/>
          <w:marTop w:val="0"/>
          <w:marBottom w:val="0"/>
          <w:divBdr>
            <w:top w:val="none" w:sz="0" w:space="0" w:color="auto"/>
            <w:left w:val="none" w:sz="0" w:space="0" w:color="auto"/>
            <w:bottom w:val="none" w:sz="0" w:space="0" w:color="auto"/>
            <w:right w:val="none" w:sz="0" w:space="0" w:color="auto"/>
          </w:divBdr>
        </w:div>
        <w:div w:id="1919973112">
          <w:marLeft w:val="640"/>
          <w:marRight w:val="0"/>
          <w:marTop w:val="0"/>
          <w:marBottom w:val="0"/>
          <w:divBdr>
            <w:top w:val="none" w:sz="0" w:space="0" w:color="auto"/>
            <w:left w:val="none" w:sz="0" w:space="0" w:color="auto"/>
            <w:bottom w:val="none" w:sz="0" w:space="0" w:color="auto"/>
            <w:right w:val="none" w:sz="0" w:space="0" w:color="auto"/>
          </w:divBdr>
        </w:div>
        <w:div w:id="544217316">
          <w:marLeft w:val="640"/>
          <w:marRight w:val="0"/>
          <w:marTop w:val="0"/>
          <w:marBottom w:val="0"/>
          <w:divBdr>
            <w:top w:val="none" w:sz="0" w:space="0" w:color="auto"/>
            <w:left w:val="none" w:sz="0" w:space="0" w:color="auto"/>
            <w:bottom w:val="none" w:sz="0" w:space="0" w:color="auto"/>
            <w:right w:val="none" w:sz="0" w:space="0" w:color="auto"/>
          </w:divBdr>
        </w:div>
        <w:div w:id="1685402277">
          <w:marLeft w:val="640"/>
          <w:marRight w:val="0"/>
          <w:marTop w:val="0"/>
          <w:marBottom w:val="0"/>
          <w:divBdr>
            <w:top w:val="none" w:sz="0" w:space="0" w:color="auto"/>
            <w:left w:val="none" w:sz="0" w:space="0" w:color="auto"/>
            <w:bottom w:val="none" w:sz="0" w:space="0" w:color="auto"/>
            <w:right w:val="none" w:sz="0" w:space="0" w:color="auto"/>
          </w:divBdr>
        </w:div>
        <w:div w:id="1885174705">
          <w:marLeft w:val="640"/>
          <w:marRight w:val="0"/>
          <w:marTop w:val="0"/>
          <w:marBottom w:val="0"/>
          <w:divBdr>
            <w:top w:val="none" w:sz="0" w:space="0" w:color="auto"/>
            <w:left w:val="none" w:sz="0" w:space="0" w:color="auto"/>
            <w:bottom w:val="none" w:sz="0" w:space="0" w:color="auto"/>
            <w:right w:val="none" w:sz="0" w:space="0" w:color="auto"/>
          </w:divBdr>
        </w:div>
        <w:div w:id="952590836">
          <w:marLeft w:val="640"/>
          <w:marRight w:val="0"/>
          <w:marTop w:val="0"/>
          <w:marBottom w:val="0"/>
          <w:divBdr>
            <w:top w:val="none" w:sz="0" w:space="0" w:color="auto"/>
            <w:left w:val="none" w:sz="0" w:space="0" w:color="auto"/>
            <w:bottom w:val="none" w:sz="0" w:space="0" w:color="auto"/>
            <w:right w:val="none" w:sz="0" w:space="0" w:color="auto"/>
          </w:divBdr>
        </w:div>
        <w:div w:id="1023627337">
          <w:marLeft w:val="640"/>
          <w:marRight w:val="0"/>
          <w:marTop w:val="0"/>
          <w:marBottom w:val="0"/>
          <w:divBdr>
            <w:top w:val="none" w:sz="0" w:space="0" w:color="auto"/>
            <w:left w:val="none" w:sz="0" w:space="0" w:color="auto"/>
            <w:bottom w:val="none" w:sz="0" w:space="0" w:color="auto"/>
            <w:right w:val="none" w:sz="0" w:space="0" w:color="auto"/>
          </w:divBdr>
        </w:div>
        <w:div w:id="1018696481">
          <w:marLeft w:val="640"/>
          <w:marRight w:val="0"/>
          <w:marTop w:val="0"/>
          <w:marBottom w:val="0"/>
          <w:divBdr>
            <w:top w:val="none" w:sz="0" w:space="0" w:color="auto"/>
            <w:left w:val="none" w:sz="0" w:space="0" w:color="auto"/>
            <w:bottom w:val="none" w:sz="0" w:space="0" w:color="auto"/>
            <w:right w:val="none" w:sz="0" w:space="0" w:color="auto"/>
          </w:divBdr>
        </w:div>
        <w:div w:id="2047948394">
          <w:marLeft w:val="640"/>
          <w:marRight w:val="0"/>
          <w:marTop w:val="0"/>
          <w:marBottom w:val="0"/>
          <w:divBdr>
            <w:top w:val="none" w:sz="0" w:space="0" w:color="auto"/>
            <w:left w:val="none" w:sz="0" w:space="0" w:color="auto"/>
            <w:bottom w:val="none" w:sz="0" w:space="0" w:color="auto"/>
            <w:right w:val="none" w:sz="0" w:space="0" w:color="auto"/>
          </w:divBdr>
        </w:div>
        <w:div w:id="1076825120">
          <w:marLeft w:val="640"/>
          <w:marRight w:val="0"/>
          <w:marTop w:val="0"/>
          <w:marBottom w:val="0"/>
          <w:divBdr>
            <w:top w:val="none" w:sz="0" w:space="0" w:color="auto"/>
            <w:left w:val="none" w:sz="0" w:space="0" w:color="auto"/>
            <w:bottom w:val="none" w:sz="0" w:space="0" w:color="auto"/>
            <w:right w:val="none" w:sz="0" w:space="0" w:color="auto"/>
          </w:divBdr>
        </w:div>
        <w:div w:id="2140612745">
          <w:marLeft w:val="640"/>
          <w:marRight w:val="0"/>
          <w:marTop w:val="0"/>
          <w:marBottom w:val="0"/>
          <w:divBdr>
            <w:top w:val="none" w:sz="0" w:space="0" w:color="auto"/>
            <w:left w:val="none" w:sz="0" w:space="0" w:color="auto"/>
            <w:bottom w:val="none" w:sz="0" w:space="0" w:color="auto"/>
            <w:right w:val="none" w:sz="0" w:space="0" w:color="auto"/>
          </w:divBdr>
        </w:div>
        <w:div w:id="1630933433">
          <w:marLeft w:val="640"/>
          <w:marRight w:val="0"/>
          <w:marTop w:val="0"/>
          <w:marBottom w:val="0"/>
          <w:divBdr>
            <w:top w:val="none" w:sz="0" w:space="0" w:color="auto"/>
            <w:left w:val="none" w:sz="0" w:space="0" w:color="auto"/>
            <w:bottom w:val="none" w:sz="0" w:space="0" w:color="auto"/>
            <w:right w:val="none" w:sz="0" w:space="0" w:color="auto"/>
          </w:divBdr>
        </w:div>
        <w:div w:id="1064260967">
          <w:marLeft w:val="640"/>
          <w:marRight w:val="0"/>
          <w:marTop w:val="0"/>
          <w:marBottom w:val="0"/>
          <w:divBdr>
            <w:top w:val="none" w:sz="0" w:space="0" w:color="auto"/>
            <w:left w:val="none" w:sz="0" w:space="0" w:color="auto"/>
            <w:bottom w:val="none" w:sz="0" w:space="0" w:color="auto"/>
            <w:right w:val="none" w:sz="0" w:space="0" w:color="auto"/>
          </w:divBdr>
        </w:div>
        <w:div w:id="750004992">
          <w:marLeft w:val="640"/>
          <w:marRight w:val="0"/>
          <w:marTop w:val="0"/>
          <w:marBottom w:val="0"/>
          <w:divBdr>
            <w:top w:val="none" w:sz="0" w:space="0" w:color="auto"/>
            <w:left w:val="none" w:sz="0" w:space="0" w:color="auto"/>
            <w:bottom w:val="none" w:sz="0" w:space="0" w:color="auto"/>
            <w:right w:val="none" w:sz="0" w:space="0" w:color="auto"/>
          </w:divBdr>
        </w:div>
        <w:div w:id="1970284551">
          <w:marLeft w:val="640"/>
          <w:marRight w:val="0"/>
          <w:marTop w:val="0"/>
          <w:marBottom w:val="0"/>
          <w:divBdr>
            <w:top w:val="none" w:sz="0" w:space="0" w:color="auto"/>
            <w:left w:val="none" w:sz="0" w:space="0" w:color="auto"/>
            <w:bottom w:val="none" w:sz="0" w:space="0" w:color="auto"/>
            <w:right w:val="none" w:sz="0" w:space="0" w:color="auto"/>
          </w:divBdr>
        </w:div>
        <w:div w:id="1055196968">
          <w:marLeft w:val="640"/>
          <w:marRight w:val="0"/>
          <w:marTop w:val="0"/>
          <w:marBottom w:val="0"/>
          <w:divBdr>
            <w:top w:val="none" w:sz="0" w:space="0" w:color="auto"/>
            <w:left w:val="none" w:sz="0" w:space="0" w:color="auto"/>
            <w:bottom w:val="none" w:sz="0" w:space="0" w:color="auto"/>
            <w:right w:val="none" w:sz="0" w:space="0" w:color="auto"/>
          </w:divBdr>
        </w:div>
        <w:div w:id="1894147825">
          <w:marLeft w:val="640"/>
          <w:marRight w:val="0"/>
          <w:marTop w:val="0"/>
          <w:marBottom w:val="0"/>
          <w:divBdr>
            <w:top w:val="none" w:sz="0" w:space="0" w:color="auto"/>
            <w:left w:val="none" w:sz="0" w:space="0" w:color="auto"/>
            <w:bottom w:val="none" w:sz="0" w:space="0" w:color="auto"/>
            <w:right w:val="none" w:sz="0" w:space="0" w:color="auto"/>
          </w:divBdr>
        </w:div>
        <w:div w:id="850801303">
          <w:marLeft w:val="640"/>
          <w:marRight w:val="0"/>
          <w:marTop w:val="0"/>
          <w:marBottom w:val="0"/>
          <w:divBdr>
            <w:top w:val="none" w:sz="0" w:space="0" w:color="auto"/>
            <w:left w:val="none" w:sz="0" w:space="0" w:color="auto"/>
            <w:bottom w:val="none" w:sz="0" w:space="0" w:color="auto"/>
            <w:right w:val="none" w:sz="0" w:space="0" w:color="auto"/>
          </w:divBdr>
        </w:div>
        <w:div w:id="904030794">
          <w:marLeft w:val="640"/>
          <w:marRight w:val="0"/>
          <w:marTop w:val="0"/>
          <w:marBottom w:val="0"/>
          <w:divBdr>
            <w:top w:val="none" w:sz="0" w:space="0" w:color="auto"/>
            <w:left w:val="none" w:sz="0" w:space="0" w:color="auto"/>
            <w:bottom w:val="none" w:sz="0" w:space="0" w:color="auto"/>
            <w:right w:val="none" w:sz="0" w:space="0" w:color="auto"/>
          </w:divBdr>
        </w:div>
        <w:div w:id="2033798725">
          <w:marLeft w:val="640"/>
          <w:marRight w:val="0"/>
          <w:marTop w:val="0"/>
          <w:marBottom w:val="0"/>
          <w:divBdr>
            <w:top w:val="none" w:sz="0" w:space="0" w:color="auto"/>
            <w:left w:val="none" w:sz="0" w:space="0" w:color="auto"/>
            <w:bottom w:val="none" w:sz="0" w:space="0" w:color="auto"/>
            <w:right w:val="none" w:sz="0" w:space="0" w:color="auto"/>
          </w:divBdr>
        </w:div>
        <w:div w:id="762991046">
          <w:marLeft w:val="640"/>
          <w:marRight w:val="0"/>
          <w:marTop w:val="0"/>
          <w:marBottom w:val="0"/>
          <w:divBdr>
            <w:top w:val="none" w:sz="0" w:space="0" w:color="auto"/>
            <w:left w:val="none" w:sz="0" w:space="0" w:color="auto"/>
            <w:bottom w:val="none" w:sz="0" w:space="0" w:color="auto"/>
            <w:right w:val="none" w:sz="0" w:space="0" w:color="auto"/>
          </w:divBdr>
        </w:div>
        <w:div w:id="1263413277">
          <w:marLeft w:val="640"/>
          <w:marRight w:val="0"/>
          <w:marTop w:val="0"/>
          <w:marBottom w:val="0"/>
          <w:divBdr>
            <w:top w:val="none" w:sz="0" w:space="0" w:color="auto"/>
            <w:left w:val="none" w:sz="0" w:space="0" w:color="auto"/>
            <w:bottom w:val="none" w:sz="0" w:space="0" w:color="auto"/>
            <w:right w:val="none" w:sz="0" w:space="0" w:color="auto"/>
          </w:divBdr>
        </w:div>
        <w:div w:id="1766146323">
          <w:marLeft w:val="640"/>
          <w:marRight w:val="0"/>
          <w:marTop w:val="0"/>
          <w:marBottom w:val="0"/>
          <w:divBdr>
            <w:top w:val="none" w:sz="0" w:space="0" w:color="auto"/>
            <w:left w:val="none" w:sz="0" w:space="0" w:color="auto"/>
            <w:bottom w:val="none" w:sz="0" w:space="0" w:color="auto"/>
            <w:right w:val="none" w:sz="0" w:space="0" w:color="auto"/>
          </w:divBdr>
        </w:div>
        <w:div w:id="1024670506">
          <w:marLeft w:val="640"/>
          <w:marRight w:val="0"/>
          <w:marTop w:val="0"/>
          <w:marBottom w:val="0"/>
          <w:divBdr>
            <w:top w:val="none" w:sz="0" w:space="0" w:color="auto"/>
            <w:left w:val="none" w:sz="0" w:space="0" w:color="auto"/>
            <w:bottom w:val="none" w:sz="0" w:space="0" w:color="auto"/>
            <w:right w:val="none" w:sz="0" w:space="0" w:color="auto"/>
          </w:divBdr>
        </w:div>
        <w:div w:id="84615407">
          <w:marLeft w:val="640"/>
          <w:marRight w:val="0"/>
          <w:marTop w:val="0"/>
          <w:marBottom w:val="0"/>
          <w:divBdr>
            <w:top w:val="none" w:sz="0" w:space="0" w:color="auto"/>
            <w:left w:val="none" w:sz="0" w:space="0" w:color="auto"/>
            <w:bottom w:val="none" w:sz="0" w:space="0" w:color="auto"/>
            <w:right w:val="none" w:sz="0" w:space="0" w:color="auto"/>
          </w:divBdr>
        </w:div>
        <w:div w:id="70930075">
          <w:marLeft w:val="640"/>
          <w:marRight w:val="0"/>
          <w:marTop w:val="0"/>
          <w:marBottom w:val="0"/>
          <w:divBdr>
            <w:top w:val="none" w:sz="0" w:space="0" w:color="auto"/>
            <w:left w:val="none" w:sz="0" w:space="0" w:color="auto"/>
            <w:bottom w:val="none" w:sz="0" w:space="0" w:color="auto"/>
            <w:right w:val="none" w:sz="0" w:space="0" w:color="auto"/>
          </w:divBdr>
        </w:div>
        <w:div w:id="9358">
          <w:marLeft w:val="640"/>
          <w:marRight w:val="0"/>
          <w:marTop w:val="0"/>
          <w:marBottom w:val="0"/>
          <w:divBdr>
            <w:top w:val="none" w:sz="0" w:space="0" w:color="auto"/>
            <w:left w:val="none" w:sz="0" w:space="0" w:color="auto"/>
            <w:bottom w:val="none" w:sz="0" w:space="0" w:color="auto"/>
            <w:right w:val="none" w:sz="0" w:space="0" w:color="auto"/>
          </w:divBdr>
        </w:div>
        <w:div w:id="1863592628">
          <w:marLeft w:val="640"/>
          <w:marRight w:val="0"/>
          <w:marTop w:val="0"/>
          <w:marBottom w:val="0"/>
          <w:divBdr>
            <w:top w:val="none" w:sz="0" w:space="0" w:color="auto"/>
            <w:left w:val="none" w:sz="0" w:space="0" w:color="auto"/>
            <w:bottom w:val="none" w:sz="0" w:space="0" w:color="auto"/>
            <w:right w:val="none" w:sz="0" w:space="0" w:color="auto"/>
          </w:divBdr>
        </w:div>
        <w:div w:id="1121144426">
          <w:marLeft w:val="640"/>
          <w:marRight w:val="0"/>
          <w:marTop w:val="0"/>
          <w:marBottom w:val="0"/>
          <w:divBdr>
            <w:top w:val="none" w:sz="0" w:space="0" w:color="auto"/>
            <w:left w:val="none" w:sz="0" w:space="0" w:color="auto"/>
            <w:bottom w:val="none" w:sz="0" w:space="0" w:color="auto"/>
            <w:right w:val="none" w:sz="0" w:space="0" w:color="auto"/>
          </w:divBdr>
        </w:div>
        <w:div w:id="200290941">
          <w:marLeft w:val="640"/>
          <w:marRight w:val="0"/>
          <w:marTop w:val="0"/>
          <w:marBottom w:val="0"/>
          <w:divBdr>
            <w:top w:val="none" w:sz="0" w:space="0" w:color="auto"/>
            <w:left w:val="none" w:sz="0" w:space="0" w:color="auto"/>
            <w:bottom w:val="none" w:sz="0" w:space="0" w:color="auto"/>
            <w:right w:val="none" w:sz="0" w:space="0" w:color="auto"/>
          </w:divBdr>
        </w:div>
        <w:div w:id="2020082226">
          <w:marLeft w:val="640"/>
          <w:marRight w:val="0"/>
          <w:marTop w:val="0"/>
          <w:marBottom w:val="0"/>
          <w:divBdr>
            <w:top w:val="none" w:sz="0" w:space="0" w:color="auto"/>
            <w:left w:val="none" w:sz="0" w:space="0" w:color="auto"/>
            <w:bottom w:val="none" w:sz="0" w:space="0" w:color="auto"/>
            <w:right w:val="none" w:sz="0" w:space="0" w:color="auto"/>
          </w:divBdr>
        </w:div>
        <w:div w:id="1248156041">
          <w:marLeft w:val="640"/>
          <w:marRight w:val="0"/>
          <w:marTop w:val="0"/>
          <w:marBottom w:val="0"/>
          <w:divBdr>
            <w:top w:val="none" w:sz="0" w:space="0" w:color="auto"/>
            <w:left w:val="none" w:sz="0" w:space="0" w:color="auto"/>
            <w:bottom w:val="none" w:sz="0" w:space="0" w:color="auto"/>
            <w:right w:val="none" w:sz="0" w:space="0" w:color="auto"/>
          </w:divBdr>
        </w:div>
        <w:div w:id="689988350">
          <w:marLeft w:val="640"/>
          <w:marRight w:val="0"/>
          <w:marTop w:val="0"/>
          <w:marBottom w:val="0"/>
          <w:divBdr>
            <w:top w:val="none" w:sz="0" w:space="0" w:color="auto"/>
            <w:left w:val="none" w:sz="0" w:space="0" w:color="auto"/>
            <w:bottom w:val="none" w:sz="0" w:space="0" w:color="auto"/>
            <w:right w:val="none" w:sz="0" w:space="0" w:color="auto"/>
          </w:divBdr>
        </w:div>
        <w:div w:id="2073697513">
          <w:marLeft w:val="640"/>
          <w:marRight w:val="0"/>
          <w:marTop w:val="0"/>
          <w:marBottom w:val="0"/>
          <w:divBdr>
            <w:top w:val="none" w:sz="0" w:space="0" w:color="auto"/>
            <w:left w:val="none" w:sz="0" w:space="0" w:color="auto"/>
            <w:bottom w:val="none" w:sz="0" w:space="0" w:color="auto"/>
            <w:right w:val="none" w:sz="0" w:space="0" w:color="auto"/>
          </w:divBdr>
        </w:div>
        <w:div w:id="2063601459">
          <w:marLeft w:val="640"/>
          <w:marRight w:val="0"/>
          <w:marTop w:val="0"/>
          <w:marBottom w:val="0"/>
          <w:divBdr>
            <w:top w:val="none" w:sz="0" w:space="0" w:color="auto"/>
            <w:left w:val="none" w:sz="0" w:space="0" w:color="auto"/>
            <w:bottom w:val="none" w:sz="0" w:space="0" w:color="auto"/>
            <w:right w:val="none" w:sz="0" w:space="0" w:color="auto"/>
          </w:divBdr>
        </w:div>
        <w:div w:id="1279217029">
          <w:marLeft w:val="640"/>
          <w:marRight w:val="0"/>
          <w:marTop w:val="0"/>
          <w:marBottom w:val="0"/>
          <w:divBdr>
            <w:top w:val="none" w:sz="0" w:space="0" w:color="auto"/>
            <w:left w:val="none" w:sz="0" w:space="0" w:color="auto"/>
            <w:bottom w:val="none" w:sz="0" w:space="0" w:color="auto"/>
            <w:right w:val="none" w:sz="0" w:space="0" w:color="auto"/>
          </w:divBdr>
        </w:div>
        <w:div w:id="322047656">
          <w:marLeft w:val="640"/>
          <w:marRight w:val="0"/>
          <w:marTop w:val="0"/>
          <w:marBottom w:val="0"/>
          <w:divBdr>
            <w:top w:val="none" w:sz="0" w:space="0" w:color="auto"/>
            <w:left w:val="none" w:sz="0" w:space="0" w:color="auto"/>
            <w:bottom w:val="none" w:sz="0" w:space="0" w:color="auto"/>
            <w:right w:val="none" w:sz="0" w:space="0" w:color="auto"/>
          </w:divBdr>
        </w:div>
        <w:div w:id="1765148444">
          <w:marLeft w:val="640"/>
          <w:marRight w:val="0"/>
          <w:marTop w:val="0"/>
          <w:marBottom w:val="0"/>
          <w:divBdr>
            <w:top w:val="none" w:sz="0" w:space="0" w:color="auto"/>
            <w:left w:val="none" w:sz="0" w:space="0" w:color="auto"/>
            <w:bottom w:val="none" w:sz="0" w:space="0" w:color="auto"/>
            <w:right w:val="none" w:sz="0" w:space="0" w:color="auto"/>
          </w:divBdr>
        </w:div>
        <w:div w:id="394475615">
          <w:marLeft w:val="640"/>
          <w:marRight w:val="0"/>
          <w:marTop w:val="0"/>
          <w:marBottom w:val="0"/>
          <w:divBdr>
            <w:top w:val="none" w:sz="0" w:space="0" w:color="auto"/>
            <w:left w:val="none" w:sz="0" w:space="0" w:color="auto"/>
            <w:bottom w:val="none" w:sz="0" w:space="0" w:color="auto"/>
            <w:right w:val="none" w:sz="0" w:space="0" w:color="auto"/>
          </w:divBdr>
        </w:div>
        <w:div w:id="240141807">
          <w:marLeft w:val="640"/>
          <w:marRight w:val="0"/>
          <w:marTop w:val="0"/>
          <w:marBottom w:val="0"/>
          <w:divBdr>
            <w:top w:val="none" w:sz="0" w:space="0" w:color="auto"/>
            <w:left w:val="none" w:sz="0" w:space="0" w:color="auto"/>
            <w:bottom w:val="none" w:sz="0" w:space="0" w:color="auto"/>
            <w:right w:val="none" w:sz="0" w:space="0" w:color="auto"/>
          </w:divBdr>
        </w:div>
        <w:div w:id="514423108">
          <w:marLeft w:val="640"/>
          <w:marRight w:val="0"/>
          <w:marTop w:val="0"/>
          <w:marBottom w:val="0"/>
          <w:divBdr>
            <w:top w:val="none" w:sz="0" w:space="0" w:color="auto"/>
            <w:left w:val="none" w:sz="0" w:space="0" w:color="auto"/>
            <w:bottom w:val="none" w:sz="0" w:space="0" w:color="auto"/>
            <w:right w:val="none" w:sz="0" w:space="0" w:color="auto"/>
          </w:divBdr>
        </w:div>
        <w:div w:id="51008743">
          <w:marLeft w:val="640"/>
          <w:marRight w:val="0"/>
          <w:marTop w:val="0"/>
          <w:marBottom w:val="0"/>
          <w:divBdr>
            <w:top w:val="none" w:sz="0" w:space="0" w:color="auto"/>
            <w:left w:val="none" w:sz="0" w:space="0" w:color="auto"/>
            <w:bottom w:val="none" w:sz="0" w:space="0" w:color="auto"/>
            <w:right w:val="none" w:sz="0" w:space="0" w:color="auto"/>
          </w:divBdr>
        </w:div>
        <w:div w:id="5518293">
          <w:marLeft w:val="640"/>
          <w:marRight w:val="0"/>
          <w:marTop w:val="0"/>
          <w:marBottom w:val="0"/>
          <w:divBdr>
            <w:top w:val="none" w:sz="0" w:space="0" w:color="auto"/>
            <w:left w:val="none" w:sz="0" w:space="0" w:color="auto"/>
            <w:bottom w:val="none" w:sz="0" w:space="0" w:color="auto"/>
            <w:right w:val="none" w:sz="0" w:space="0" w:color="auto"/>
          </w:divBdr>
        </w:div>
        <w:div w:id="1466003916">
          <w:marLeft w:val="640"/>
          <w:marRight w:val="0"/>
          <w:marTop w:val="0"/>
          <w:marBottom w:val="0"/>
          <w:divBdr>
            <w:top w:val="none" w:sz="0" w:space="0" w:color="auto"/>
            <w:left w:val="none" w:sz="0" w:space="0" w:color="auto"/>
            <w:bottom w:val="none" w:sz="0" w:space="0" w:color="auto"/>
            <w:right w:val="none" w:sz="0" w:space="0" w:color="auto"/>
          </w:divBdr>
        </w:div>
        <w:div w:id="1469712563">
          <w:marLeft w:val="640"/>
          <w:marRight w:val="0"/>
          <w:marTop w:val="0"/>
          <w:marBottom w:val="0"/>
          <w:divBdr>
            <w:top w:val="none" w:sz="0" w:space="0" w:color="auto"/>
            <w:left w:val="none" w:sz="0" w:space="0" w:color="auto"/>
            <w:bottom w:val="none" w:sz="0" w:space="0" w:color="auto"/>
            <w:right w:val="none" w:sz="0" w:space="0" w:color="auto"/>
          </w:divBdr>
        </w:div>
        <w:div w:id="1509949804">
          <w:marLeft w:val="640"/>
          <w:marRight w:val="0"/>
          <w:marTop w:val="0"/>
          <w:marBottom w:val="0"/>
          <w:divBdr>
            <w:top w:val="none" w:sz="0" w:space="0" w:color="auto"/>
            <w:left w:val="none" w:sz="0" w:space="0" w:color="auto"/>
            <w:bottom w:val="none" w:sz="0" w:space="0" w:color="auto"/>
            <w:right w:val="none" w:sz="0" w:space="0" w:color="auto"/>
          </w:divBdr>
        </w:div>
        <w:div w:id="183255933">
          <w:marLeft w:val="640"/>
          <w:marRight w:val="0"/>
          <w:marTop w:val="0"/>
          <w:marBottom w:val="0"/>
          <w:divBdr>
            <w:top w:val="none" w:sz="0" w:space="0" w:color="auto"/>
            <w:left w:val="none" w:sz="0" w:space="0" w:color="auto"/>
            <w:bottom w:val="none" w:sz="0" w:space="0" w:color="auto"/>
            <w:right w:val="none" w:sz="0" w:space="0" w:color="auto"/>
          </w:divBdr>
        </w:div>
        <w:div w:id="660811919">
          <w:marLeft w:val="640"/>
          <w:marRight w:val="0"/>
          <w:marTop w:val="0"/>
          <w:marBottom w:val="0"/>
          <w:divBdr>
            <w:top w:val="none" w:sz="0" w:space="0" w:color="auto"/>
            <w:left w:val="none" w:sz="0" w:space="0" w:color="auto"/>
            <w:bottom w:val="none" w:sz="0" w:space="0" w:color="auto"/>
            <w:right w:val="none" w:sz="0" w:space="0" w:color="auto"/>
          </w:divBdr>
        </w:div>
        <w:div w:id="1816289759">
          <w:marLeft w:val="640"/>
          <w:marRight w:val="0"/>
          <w:marTop w:val="0"/>
          <w:marBottom w:val="0"/>
          <w:divBdr>
            <w:top w:val="none" w:sz="0" w:space="0" w:color="auto"/>
            <w:left w:val="none" w:sz="0" w:space="0" w:color="auto"/>
            <w:bottom w:val="none" w:sz="0" w:space="0" w:color="auto"/>
            <w:right w:val="none" w:sz="0" w:space="0" w:color="auto"/>
          </w:divBdr>
        </w:div>
        <w:div w:id="1288395048">
          <w:marLeft w:val="640"/>
          <w:marRight w:val="0"/>
          <w:marTop w:val="0"/>
          <w:marBottom w:val="0"/>
          <w:divBdr>
            <w:top w:val="none" w:sz="0" w:space="0" w:color="auto"/>
            <w:left w:val="none" w:sz="0" w:space="0" w:color="auto"/>
            <w:bottom w:val="none" w:sz="0" w:space="0" w:color="auto"/>
            <w:right w:val="none" w:sz="0" w:space="0" w:color="auto"/>
          </w:divBdr>
        </w:div>
        <w:div w:id="1565870077">
          <w:marLeft w:val="640"/>
          <w:marRight w:val="0"/>
          <w:marTop w:val="0"/>
          <w:marBottom w:val="0"/>
          <w:divBdr>
            <w:top w:val="none" w:sz="0" w:space="0" w:color="auto"/>
            <w:left w:val="none" w:sz="0" w:space="0" w:color="auto"/>
            <w:bottom w:val="none" w:sz="0" w:space="0" w:color="auto"/>
            <w:right w:val="none" w:sz="0" w:space="0" w:color="auto"/>
          </w:divBdr>
        </w:div>
        <w:div w:id="1532648003">
          <w:marLeft w:val="640"/>
          <w:marRight w:val="0"/>
          <w:marTop w:val="0"/>
          <w:marBottom w:val="0"/>
          <w:divBdr>
            <w:top w:val="none" w:sz="0" w:space="0" w:color="auto"/>
            <w:left w:val="none" w:sz="0" w:space="0" w:color="auto"/>
            <w:bottom w:val="none" w:sz="0" w:space="0" w:color="auto"/>
            <w:right w:val="none" w:sz="0" w:space="0" w:color="auto"/>
          </w:divBdr>
        </w:div>
        <w:div w:id="1615943997">
          <w:marLeft w:val="640"/>
          <w:marRight w:val="0"/>
          <w:marTop w:val="0"/>
          <w:marBottom w:val="0"/>
          <w:divBdr>
            <w:top w:val="none" w:sz="0" w:space="0" w:color="auto"/>
            <w:left w:val="none" w:sz="0" w:space="0" w:color="auto"/>
            <w:bottom w:val="none" w:sz="0" w:space="0" w:color="auto"/>
            <w:right w:val="none" w:sz="0" w:space="0" w:color="auto"/>
          </w:divBdr>
        </w:div>
        <w:div w:id="221907530">
          <w:marLeft w:val="640"/>
          <w:marRight w:val="0"/>
          <w:marTop w:val="0"/>
          <w:marBottom w:val="0"/>
          <w:divBdr>
            <w:top w:val="none" w:sz="0" w:space="0" w:color="auto"/>
            <w:left w:val="none" w:sz="0" w:space="0" w:color="auto"/>
            <w:bottom w:val="none" w:sz="0" w:space="0" w:color="auto"/>
            <w:right w:val="none" w:sz="0" w:space="0" w:color="auto"/>
          </w:divBdr>
        </w:div>
        <w:div w:id="1523011395">
          <w:marLeft w:val="640"/>
          <w:marRight w:val="0"/>
          <w:marTop w:val="0"/>
          <w:marBottom w:val="0"/>
          <w:divBdr>
            <w:top w:val="none" w:sz="0" w:space="0" w:color="auto"/>
            <w:left w:val="none" w:sz="0" w:space="0" w:color="auto"/>
            <w:bottom w:val="none" w:sz="0" w:space="0" w:color="auto"/>
            <w:right w:val="none" w:sz="0" w:space="0" w:color="auto"/>
          </w:divBdr>
        </w:div>
        <w:div w:id="1917856870">
          <w:marLeft w:val="640"/>
          <w:marRight w:val="0"/>
          <w:marTop w:val="0"/>
          <w:marBottom w:val="0"/>
          <w:divBdr>
            <w:top w:val="none" w:sz="0" w:space="0" w:color="auto"/>
            <w:left w:val="none" w:sz="0" w:space="0" w:color="auto"/>
            <w:bottom w:val="none" w:sz="0" w:space="0" w:color="auto"/>
            <w:right w:val="none" w:sz="0" w:space="0" w:color="auto"/>
          </w:divBdr>
        </w:div>
        <w:div w:id="1242910363">
          <w:marLeft w:val="640"/>
          <w:marRight w:val="0"/>
          <w:marTop w:val="0"/>
          <w:marBottom w:val="0"/>
          <w:divBdr>
            <w:top w:val="none" w:sz="0" w:space="0" w:color="auto"/>
            <w:left w:val="none" w:sz="0" w:space="0" w:color="auto"/>
            <w:bottom w:val="none" w:sz="0" w:space="0" w:color="auto"/>
            <w:right w:val="none" w:sz="0" w:space="0" w:color="auto"/>
          </w:divBdr>
        </w:div>
        <w:div w:id="400831361">
          <w:marLeft w:val="640"/>
          <w:marRight w:val="0"/>
          <w:marTop w:val="0"/>
          <w:marBottom w:val="0"/>
          <w:divBdr>
            <w:top w:val="none" w:sz="0" w:space="0" w:color="auto"/>
            <w:left w:val="none" w:sz="0" w:space="0" w:color="auto"/>
            <w:bottom w:val="none" w:sz="0" w:space="0" w:color="auto"/>
            <w:right w:val="none" w:sz="0" w:space="0" w:color="auto"/>
          </w:divBdr>
        </w:div>
        <w:div w:id="2010205419">
          <w:marLeft w:val="640"/>
          <w:marRight w:val="0"/>
          <w:marTop w:val="0"/>
          <w:marBottom w:val="0"/>
          <w:divBdr>
            <w:top w:val="none" w:sz="0" w:space="0" w:color="auto"/>
            <w:left w:val="none" w:sz="0" w:space="0" w:color="auto"/>
            <w:bottom w:val="none" w:sz="0" w:space="0" w:color="auto"/>
            <w:right w:val="none" w:sz="0" w:space="0" w:color="auto"/>
          </w:divBdr>
        </w:div>
        <w:div w:id="1982728980">
          <w:marLeft w:val="640"/>
          <w:marRight w:val="0"/>
          <w:marTop w:val="0"/>
          <w:marBottom w:val="0"/>
          <w:divBdr>
            <w:top w:val="none" w:sz="0" w:space="0" w:color="auto"/>
            <w:left w:val="none" w:sz="0" w:space="0" w:color="auto"/>
            <w:bottom w:val="none" w:sz="0" w:space="0" w:color="auto"/>
            <w:right w:val="none" w:sz="0" w:space="0" w:color="auto"/>
          </w:divBdr>
        </w:div>
        <w:div w:id="1886865734">
          <w:marLeft w:val="640"/>
          <w:marRight w:val="0"/>
          <w:marTop w:val="0"/>
          <w:marBottom w:val="0"/>
          <w:divBdr>
            <w:top w:val="none" w:sz="0" w:space="0" w:color="auto"/>
            <w:left w:val="none" w:sz="0" w:space="0" w:color="auto"/>
            <w:bottom w:val="none" w:sz="0" w:space="0" w:color="auto"/>
            <w:right w:val="none" w:sz="0" w:space="0" w:color="auto"/>
          </w:divBdr>
        </w:div>
        <w:div w:id="1896701359">
          <w:marLeft w:val="640"/>
          <w:marRight w:val="0"/>
          <w:marTop w:val="0"/>
          <w:marBottom w:val="0"/>
          <w:divBdr>
            <w:top w:val="none" w:sz="0" w:space="0" w:color="auto"/>
            <w:left w:val="none" w:sz="0" w:space="0" w:color="auto"/>
            <w:bottom w:val="none" w:sz="0" w:space="0" w:color="auto"/>
            <w:right w:val="none" w:sz="0" w:space="0" w:color="auto"/>
          </w:divBdr>
        </w:div>
        <w:div w:id="1229420896">
          <w:marLeft w:val="640"/>
          <w:marRight w:val="0"/>
          <w:marTop w:val="0"/>
          <w:marBottom w:val="0"/>
          <w:divBdr>
            <w:top w:val="none" w:sz="0" w:space="0" w:color="auto"/>
            <w:left w:val="none" w:sz="0" w:space="0" w:color="auto"/>
            <w:bottom w:val="none" w:sz="0" w:space="0" w:color="auto"/>
            <w:right w:val="none" w:sz="0" w:space="0" w:color="auto"/>
          </w:divBdr>
        </w:div>
        <w:div w:id="1043212227">
          <w:marLeft w:val="640"/>
          <w:marRight w:val="0"/>
          <w:marTop w:val="0"/>
          <w:marBottom w:val="0"/>
          <w:divBdr>
            <w:top w:val="none" w:sz="0" w:space="0" w:color="auto"/>
            <w:left w:val="none" w:sz="0" w:space="0" w:color="auto"/>
            <w:bottom w:val="none" w:sz="0" w:space="0" w:color="auto"/>
            <w:right w:val="none" w:sz="0" w:space="0" w:color="auto"/>
          </w:divBdr>
        </w:div>
        <w:div w:id="1916428391">
          <w:marLeft w:val="640"/>
          <w:marRight w:val="0"/>
          <w:marTop w:val="0"/>
          <w:marBottom w:val="0"/>
          <w:divBdr>
            <w:top w:val="none" w:sz="0" w:space="0" w:color="auto"/>
            <w:left w:val="none" w:sz="0" w:space="0" w:color="auto"/>
            <w:bottom w:val="none" w:sz="0" w:space="0" w:color="auto"/>
            <w:right w:val="none" w:sz="0" w:space="0" w:color="auto"/>
          </w:divBdr>
        </w:div>
        <w:div w:id="1203397999">
          <w:marLeft w:val="640"/>
          <w:marRight w:val="0"/>
          <w:marTop w:val="0"/>
          <w:marBottom w:val="0"/>
          <w:divBdr>
            <w:top w:val="none" w:sz="0" w:space="0" w:color="auto"/>
            <w:left w:val="none" w:sz="0" w:space="0" w:color="auto"/>
            <w:bottom w:val="none" w:sz="0" w:space="0" w:color="auto"/>
            <w:right w:val="none" w:sz="0" w:space="0" w:color="auto"/>
          </w:divBdr>
        </w:div>
        <w:div w:id="434836457">
          <w:marLeft w:val="640"/>
          <w:marRight w:val="0"/>
          <w:marTop w:val="0"/>
          <w:marBottom w:val="0"/>
          <w:divBdr>
            <w:top w:val="none" w:sz="0" w:space="0" w:color="auto"/>
            <w:left w:val="none" w:sz="0" w:space="0" w:color="auto"/>
            <w:bottom w:val="none" w:sz="0" w:space="0" w:color="auto"/>
            <w:right w:val="none" w:sz="0" w:space="0" w:color="auto"/>
          </w:divBdr>
        </w:div>
        <w:div w:id="713388460">
          <w:marLeft w:val="640"/>
          <w:marRight w:val="0"/>
          <w:marTop w:val="0"/>
          <w:marBottom w:val="0"/>
          <w:divBdr>
            <w:top w:val="none" w:sz="0" w:space="0" w:color="auto"/>
            <w:left w:val="none" w:sz="0" w:space="0" w:color="auto"/>
            <w:bottom w:val="none" w:sz="0" w:space="0" w:color="auto"/>
            <w:right w:val="none" w:sz="0" w:space="0" w:color="auto"/>
          </w:divBdr>
        </w:div>
        <w:div w:id="1557668852">
          <w:marLeft w:val="640"/>
          <w:marRight w:val="0"/>
          <w:marTop w:val="0"/>
          <w:marBottom w:val="0"/>
          <w:divBdr>
            <w:top w:val="none" w:sz="0" w:space="0" w:color="auto"/>
            <w:left w:val="none" w:sz="0" w:space="0" w:color="auto"/>
            <w:bottom w:val="none" w:sz="0" w:space="0" w:color="auto"/>
            <w:right w:val="none" w:sz="0" w:space="0" w:color="auto"/>
          </w:divBdr>
        </w:div>
        <w:div w:id="2030637529">
          <w:marLeft w:val="640"/>
          <w:marRight w:val="0"/>
          <w:marTop w:val="0"/>
          <w:marBottom w:val="0"/>
          <w:divBdr>
            <w:top w:val="none" w:sz="0" w:space="0" w:color="auto"/>
            <w:left w:val="none" w:sz="0" w:space="0" w:color="auto"/>
            <w:bottom w:val="none" w:sz="0" w:space="0" w:color="auto"/>
            <w:right w:val="none" w:sz="0" w:space="0" w:color="auto"/>
          </w:divBdr>
        </w:div>
        <w:div w:id="2006278355">
          <w:marLeft w:val="640"/>
          <w:marRight w:val="0"/>
          <w:marTop w:val="0"/>
          <w:marBottom w:val="0"/>
          <w:divBdr>
            <w:top w:val="none" w:sz="0" w:space="0" w:color="auto"/>
            <w:left w:val="none" w:sz="0" w:space="0" w:color="auto"/>
            <w:bottom w:val="none" w:sz="0" w:space="0" w:color="auto"/>
            <w:right w:val="none" w:sz="0" w:space="0" w:color="auto"/>
          </w:divBdr>
        </w:div>
        <w:div w:id="769853710">
          <w:marLeft w:val="640"/>
          <w:marRight w:val="0"/>
          <w:marTop w:val="0"/>
          <w:marBottom w:val="0"/>
          <w:divBdr>
            <w:top w:val="none" w:sz="0" w:space="0" w:color="auto"/>
            <w:left w:val="none" w:sz="0" w:space="0" w:color="auto"/>
            <w:bottom w:val="none" w:sz="0" w:space="0" w:color="auto"/>
            <w:right w:val="none" w:sz="0" w:space="0" w:color="auto"/>
          </w:divBdr>
        </w:div>
        <w:div w:id="1740905378">
          <w:marLeft w:val="640"/>
          <w:marRight w:val="0"/>
          <w:marTop w:val="0"/>
          <w:marBottom w:val="0"/>
          <w:divBdr>
            <w:top w:val="none" w:sz="0" w:space="0" w:color="auto"/>
            <w:left w:val="none" w:sz="0" w:space="0" w:color="auto"/>
            <w:bottom w:val="none" w:sz="0" w:space="0" w:color="auto"/>
            <w:right w:val="none" w:sz="0" w:space="0" w:color="auto"/>
          </w:divBdr>
        </w:div>
        <w:div w:id="1080565938">
          <w:marLeft w:val="640"/>
          <w:marRight w:val="0"/>
          <w:marTop w:val="0"/>
          <w:marBottom w:val="0"/>
          <w:divBdr>
            <w:top w:val="none" w:sz="0" w:space="0" w:color="auto"/>
            <w:left w:val="none" w:sz="0" w:space="0" w:color="auto"/>
            <w:bottom w:val="none" w:sz="0" w:space="0" w:color="auto"/>
            <w:right w:val="none" w:sz="0" w:space="0" w:color="auto"/>
          </w:divBdr>
        </w:div>
        <w:div w:id="1005015078">
          <w:marLeft w:val="640"/>
          <w:marRight w:val="0"/>
          <w:marTop w:val="0"/>
          <w:marBottom w:val="0"/>
          <w:divBdr>
            <w:top w:val="none" w:sz="0" w:space="0" w:color="auto"/>
            <w:left w:val="none" w:sz="0" w:space="0" w:color="auto"/>
            <w:bottom w:val="none" w:sz="0" w:space="0" w:color="auto"/>
            <w:right w:val="none" w:sz="0" w:space="0" w:color="auto"/>
          </w:divBdr>
        </w:div>
        <w:div w:id="1204757162">
          <w:marLeft w:val="640"/>
          <w:marRight w:val="0"/>
          <w:marTop w:val="0"/>
          <w:marBottom w:val="0"/>
          <w:divBdr>
            <w:top w:val="none" w:sz="0" w:space="0" w:color="auto"/>
            <w:left w:val="none" w:sz="0" w:space="0" w:color="auto"/>
            <w:bottom w:val="none" w:sz="0" w:space="0" w:color="auto"/>
            <w:right w:val="none" w:sz="0" w:space="0" w:color="auto"/>
          </w:divBdr>
        </w:div>
        <w:div w:id="291712624">
          <w:marLeft w:val="640"/>
          <w:marRight w:val="0"/>
          <w:marTop w:val="0"/>
          <w:marBottom w:val="0"/>
          <w:divBdr>
            <w:top w:val="none" w:sz="0" w:space="0" w:color="auto"/>
            <w:left w:val="none" w:sz="0" w:space="0" w:color="auto"/>
            <w:bottom w:val="none" w:sz="0" w:space="0" w:color="auto"/>
            <w:right w:val="none" w:sz="0" w:space="0" w:color="auto"/>
          </w:divBdr>
        </w:div>
        <w:div w:id="842816673">
          <w:marLeft w:val="640"/>
          <w:marRight w:val="0"/>
          <w:marTop w:val="0"/>
          <w:marBottom w:val="0"/>
          <w:divBdr>
            <w:top w:val="none" w:sz="0" w:space="0" w:color="auto"/>
            <w:left w:val="none" w:sz="0" w:space="0" w:color="auto"/>
            <w:bottom w:val="none" w:sz="0" w:space="0" w:color="auto"/>
            <w:right w:val="none" w:sz="0" w:space="0" w:color="auto"/>
          </w:divBdr>
        </w:div>
        <w:div w:id="508251522">
          <w:marLeft w:val="640"/>
          <w:marRight w:val="0"/>
          <w:marTop w:val="0"/>
          <w:marBottom w:val="0"/>
          <w:divBdr>
            <w:top w:val="none" w:sz="0" w:space="0" w:color="auto"/>
            <w:left w:val="none" w:sz="0" w:space="0" w:color="auto"/>
            <w:bottom w:val="none" w:sz="0" w:space="0" w:color="auto"/>
            <w:right w:val="none" w:sz="0" w:space="0" w:color="auto"/>
          </w:divBdr>
        </w:div>
        <w:div w:id="275531144">
          <w:marLeft w:val="640"/>
          <w:marRight w:val="0"/>
          <w:marTop w:val="0"/>
          <w:marBottom w:val="0"/>
          <w:divBdr>
            <w:top w:val="none" w:sz="0" w:space="0" w:color="auto"/>
            <w:left w:val="none" w:sz="0" w:space="0" w:color="auto"/>
            <w:bottom w:val="none" w:sz="0" w:space="0" w:color="auto"/>
            <w:right w:val="none" w:sz="0" w:space="0" w:color="auto"/>
          </w:divBdr>
        </w:div>
        <w:div w:id="823740398">
          <w:marLeft w:val="640"/>
          <w:marRight w:val="0"/>
          <w:marTop w:val="0"/>
          <w:marBottom w:val="0"/>
          <w:divBdr>
            <w:top w:val="none" w:sz="0" w:space="0" w:color="auto"/>
            <w:left w:val="none" w:sz="0" w:space="0" w:color="auto"/>
            <w:bottom w:val="none" w:sz="0" w:space="0" w:color="auto"/>
            <w:right w:val="none" w:sz="0" w:space="0" w:color="auto"/>
          </w:divBdr>
        </w:div>
        <w:div w:id="341051700">
          <w:marLeft w:val="640"/>
          <w:marRight w:val="0"/>
          <w:marTop w:val="0"/>
          <w:marBottom w:val="0"/>
          <w:divBdr>
            <w:top w:val="none" w:sz="0" w:space="0" w:color="auto"/>
            <w:left w:val="none" w:sz="0" w:space="0" w:color="auto"/>
            <w:bottom w:val="none" w:sz="0" w:space="0" w:color="auto"/>
            <w:right w:val="none" w:sz="0" w:space="0" w:color="auto"/>
          </w:divBdr>
        </w:div>
        <w:div w:id="2002460648">
          <w:marLeft w:val="640"/>
          <w:marRight w:val="0"/>
          <w:marTop w:val="0"/>
          <w:marBottom w:val="0"/>
          <w:divBdr>
            <w:top w:val="none" w:sz="0" w:space="0" w:color="auto"/>
            <w:left w:val="none" w:sz="0" w:space="0" w:color="auto"/>
            <w:bottom w:val="none" w:sz="0" w:space="0" w:color="auto"/>
            <w:right w:val="none" w:sz="0" w:space="0" w:color="auto"/>
          </w:divBdr>
        </w:div>
        <w:div w:id="1156605996">
          <w:marLeft w:val="640"/>
          <w:marRight w:val="0"/>
          <w:marTop w:val="0"/>
          <w:marBottom w:val="0"/>
          <w:divBdr>
            <w:top w:val="none" w:sz="0" w:space="0" w:color="auto"/>
            <w:left w:val="none" w:sz="0" w:space="0" w:color="auto"/>
            <w:bottom w:val="none" w:sz="0" w:space="0" w:color="auto"/>
            <w:right w:val="none" w:sz="0" w:space="0" w:color="auto"/>
          </w:divBdr>
        </w:div>
        <w:div w:id="863399631">
          <w:marLeft w:val="640"/>
          <w:marRight w:val="0"/>
          <w:marTop w:val="0"/>
          <w:marBottom w:val="0"/>
          <w:divBdr>
            <w:top w:val="none" w:sz="0" w:space="0" w:color="auto"/>
            <w:left w:val="none" w:sz="0" w:space="0" w:color="auto"/>
            <w:bottom w:val="none" w:sz="0" w:space="0" w:color="auto"/>
            <w:right w:val="none" w:sz="0" w:space="0" w:color="auto"/>
          </w:divBdr>
        </w:div>
        <w:div w:id="159276800">
          <w:marLeft w:val="640"/>
          <w:marRight w:val="0"/>
          <w:marTop w:val="0"/>
          <w:marBottom w:val="0"/>
          <w:divBdr>
            <w:top w:val="none" w:sz="0" w:space="0" w:color="auto"/>
            <w:left w:val="none" w:sz="0" w:space="0" w:color="auto"/>
            <w:bottom w:val="none" w:sz="0" w:space="0" w:color="auto"/>
            <w:right w:val="none" w:sz="0" w:space="0" w:color="auto"/>
          </w:divBdr>
        </w:div>
        <w:div w:id="1012030736">
          <w:marLeft w:val="640"/>
          <w:marRight w:val="0"/>
          <w:marTop w:val="0"/>
          <w:marBottom w:val="0"/>
          <w:divBdr>
            <w:top w:val="none" w:sz="0" w:space="0" w:color="auto"/>
            <w:left w:val="none" w:sz="0" w:space="0" w:color="auto"/>
            <w:bottom w:val="none" w:sz="0" w:space="0" w:color="auto"/>
            <w:right w:val="none" w:sz="0" w:space="0" w:color="auto"/>
          </w:divBdr>
        </w:div>
        <w:div w:id="2117946686">
          <w:marLeft w:val="640"/>
          <w:marRight w:val="0"/>
          <w:marTop w:val="0"/>
          <w:marBottom w:val="0"/>
          <w:divBdr>
            <w:top w:val="none" w:sz="0" w:space="0" w:color="auto"/>
            <w:left w:val="none" w:sz="0" w:space="0" w:color="auto"/>
            <w:bottom w:val="none" w:sz="0" w:space="0" w:color="auto"/>
            <w:right w:val="none" w:sz="0" w:space="0" w:color="auto"/>
          </w:divBdr>
        </w:div>
        <w:div w:id="1583182621">
          <w:marLeft w:val="640"/>
          <w:marRight w:val="0"/>
          <w:marTop w:val="0"/>
          <w:marBottom w:val="0"/>
          <w:divBdr>
            <w:top w:val="none" w:sz="0" w:space="0" w:color="auto"/>
            <w:left w:val="none" w:sz="0" w:space="0" w:color="auto"/>
            <w:bottom w:val="none" w:sz="0" w:space="0" w:color="auto"/>
            <w:right w:val="none" w:sz="0" w:space="0" w:color="auto"/>
          </w:divBdr>
        </w:div>
        <w:div w:id="449132376">
          <w:marLeft w:val="640"/>
          <w:marRight w:val="0"/>
          <w:marTop w:val="0"/>
          <w:marBottom w:val="0"/>
          <w:divBdr>
            <w:top w:val="none" w:sz="0" w:space="0" w:color="auto"/>
            <w:left w:val="none" w:sz="0" w:space="0" w:color="auto"/>
            <w:bottom w:val="none" w:sz="0" w:space="0" w:color="auto"/>
            <w:right w:val="none" w:sz="0" w:space="0" w:color="auto"/>
          </w:divBdr>
        </w:div>
        <w:div w:id="1263876640">
          <w:marLeft w:val="640"/>
          <w:marRight w:val="0"/>
          <w:marTop w:val="0"/>
          <w:marBottom w:val="0"/>
          <w:divBdr>
            <w:top w:val="none" w:sz="0" w:space="0" w:color="auto"/>
            <w:left w:val="none" w:sz="0" w:space="0" w:color="auto"/>
            <w:bottom w:val="none" w:sz="0" w:space="0" w:color="auto"/>
            <w:right w:val="none" w:sz="0" w:space="0" w:color="auto"/>
          </w:divBdr>
        </w:div>
        <w:div w:id="1287010012">
          <w:marLeft w:val="640"/>
          <w:marRight w:val="0"/>
          <w:marTop w:val="0"/>
          <w:marBottom w:val="0"/>
          <w:divBdr>
            <w:top w:val="none" w:sz="0" w:space="0" w:color="auto"/>
            <w:left w:val="none" w:sz="0" w:space="0" w:color="auto"/>
            <w:bottom w:val="none" w:sz="0" w:space="0" w:color="auto"/>
            <w:right w:val="none" w:sz="0" w:space="0" w:color="auto"/>
          </w:divBdr>
        </w:div>
        <w:div w:id="800194986">
          <w:marLeft w:val="640"/>
          <w:marRight w:val="0"/>
          <w:marTop w:val="0"/>
          <w:marBottom w:val="0"/>
          <w:divBdr>
            <w:top w:val="none" w:sz="0" w:space="0" w:color="auto"/>
            <w:left w:val="none" w:sz="0" w:space="0" w:color="auto"/>
            <w:bottom w:val="none" w:sz="0" w:space="0" w:color="auto"/>
            <w:right w:val="none" w:sz="0" w:space="0" w:color="auto"/>
          </w:divBdr>
        </w:div>
        <w:div w:id="241455775">
          <w:marLeft w:val="640"/>
          <w:marRight w:val="0"/>
          <w:marTop w:val="0"/>
          <w:marBottom w:val="0"/>
          <w:divBdr>
            <w:top w:val="none" w:sz="0" w:space="0" w:color="auto"/>
            <w:left w:val="none" w:sz="0" w:space="0" w:color="auto"/>
            <w:bottom w:val="none" w:sz="0" w:space="0" w:color="auto"/>
            <w:right w:val="none" w:sz="0" w:space="0" w:color="auto"/>
          </w:divBdr>
        </w:div>
        <w:div w:id="1364134217">
          <w:marLeft w:val="640"/>
          <w:marRight w:val="0"/>
          <w:marTop w:val="0"/>
          <w:marBottom w:val="0"/>
          <w:divBdr>
            <w:top w:val="none" w:sz="0" w:space="0" w:color="auto"/>
            <w:left w:val="none" w:sz="0" w:space="0" w:color="auto"/>
            <w:bottom w:val="none" w:sz="0" w:space="0" w:color="auto"/>
            <w:right w:val="none" w:sz="0" w:space="0" w:color="auto"/>
          </w:divBdr>
        </w:div>
        <w:div w:id="303199746">
          <w:marLeft w:val="640"/>
          <w:marRight w:val="0"/>
          <w:marTop w:val="0"/>
          <w:marBottom w:val="0"/>
          <w:divBdr>
            <w:top w:val="none" w:sz="0" w:space="0" w:color="auto"/>
            <w:left w:val="none" w:sz="0" w:space="0" w:color="auto"/>
            <w:bottom w:val="none" w:sz="0" w:space="0" w:color="auto"/>
            <w:right w:val="none" w:sz="0" w:space="0" w:color="auto"/>
          </w:divBdr>
        </w:div>
        <w:div w:id="491651288">
          <w:marLeft w:val="640"/>
          <w:marRight w:val="0"/>
          <w:marTop w:val="0"/>
          <w:marBottom w:val="0"/>
          <w:divBdr>
            <w:top w:val="none" w:sz="0" w:space="0" w:color="auto"/>
            <w:left w:val="none" w:sz="0" w:space="0" w:color="auto"/>
            <w:bottom w:val="none" w:sz="0" w:space="0" w:color="auto"/>
            <w:right w:val="none" w:sz="0" w:space="0" w:color="auto"/>
          </w:divBdr>
        </w:div>
        <w:div w:id="830750929">
          <w:marLeft w:val="640"/>
          <w:marRight w:val="0"/>
          <w:marTop w:val="0"/>
          <w:marBottom w:val="0"/>
          <w:divBdr>
            <w:top w:val="none" w:sz="0" w:space="0" w:color="auto"/>
            <w:left w:val="none" w:sz="0" w:space="0" w:color="auto"/>
            <w:bottom w:val="none" w:sz="0" w:space="0" w:color="auto"/>
            <w:right w:val="none" w:sz="0" w:space="0" w:color="auto"/>
          </w:divBdr>
        </w:div>
        <w:div w:id="2007197585">
          <w:marLeft w:val="640"/>
          <w:marRight w:val="0"/>
          <w:marTop w:val="0"/>
          <w:marBottom w:val="0"/>
          <w:divBdr>
            <w:top w:val="none" w:sz="0" w:space="0" w:color="auto"/>
            <w:left w:val="none" w:sz="0" w:space="0" w:color="auto"/>
            <w:bottom w:val="none" w:sz="0" w:space="0" w:color="auto"/>
            <w:right w:val="none" w:sz="0" w:space="0" w:color="auto"/>
          </w:divBdr>
        </w:div>
        <w:div w:id="583030869">
          <w:marLeft w:val="640"/>
          <w:marRight w:val="0"/>
          <w:marTop w:val="0"/>
          <w:marBottom w:val="0"/>
          <w:divBdr>
            <w:top w:val="none" w:sz="0" w:space="0" w:color="auto"/>
            <w:left w:val="none" w:sz="0" w:space="0" w:color="auto"/>
            <w:bottom w:val="none" w:sz="0" w:space="0" w:color="auto"/>
            <w:right w:val="none" w:sz="0" w:space="0" w:color="auto"/>
          </w:divBdr>
        </w:div>
        <w:div w:id="1513033468">
          <w:marLeft w:val="640"/>
          <w:marRight w:val="0"/>
          <w:marTop w:val="0"/>
          <w:marBottom w:val="0"/>
          <w:divBdr>
            <w:top w:val="none" w:sz="0" w:space="0" w:color="auto"/>
            <w:left w:val="none" w:sz="0" w:space="0" w:color="auto"/>
            <w:bottom w:val="none" w:sz="0" w:space="0" w:color="auto"/>
            <w:right w:val="none" w:sz="0" w:space="0" w:color="auto"/>
          </w:divBdr>
        </w:div>
        <w:div w:id="426773609">
          <w:marLeft w:val="640"/>
          <w:marRight w:val="0"/>
          <w:marTop w:val="0"/>
          <w:marBottom w:val="0"/>
          <w:divBdr>
            <w:top w:val="none" w:sz="0" w:space="0" w:color="auto"/>
            <w:left w:val="none" w:sz="0" w:space="0" w:color="auto"/>
            <w:bottom w:val="none" w:sz="0" w:space="0" w:color="auto"/>
            <w:right w:val="none" w:sz="0" w:space="0" w:color="auto"/>
          </w:divBdr>
        </w:div>
        <w:div w:id="596597084">
          <w:marLeft w:val="640"/>
          <w:marRight w:val="0"/>
          <w:marTop w:val="0"/>
          <w:marBottom w:val="0"/>
          <w:divBdr>
            <w:top w:val="none" w:sz="0" w:space="0" w:color="auto"/>
            <w:left w:val="none" w:sz="0" w:space="0" w:color="auto"/>
            <w:bottom w:val="none" w:sz="0" w:space="0" w:color="auto"/>
            <w:right w:val="none" w:sz="0" w:space="0" w:color="auto"/>
          </w:divBdr>
        </w:div>
        <w:div w:id="695738007">
          <w:marLeft w:val="640"/>
          <w:marRight w:val="0"/>
          <w:marTop w:val="0"/>
          <w:marBottom w:val="0"/>
          <w:divBdr>
            <w:top w:val="none" w:sz="0" w:space="0" w:color="auto"/>
            <w:left w:val="none" w:sz="0" w:space="0" w:color="auto"/>
            <w:bottom w:val="none" w:sz="0" w:space="0" w:color="auto"/>
            <w:right w:val="none" w:sz="0" w:space="0" w:color="auto"/>
          </w:divBdr>
        </w:div>
        <w:div w:id="1354188288">
          <w:marLeft w:val="640"/>
          <w:marRight w:val="0"/>
          <w:marTop w:val="0"/>
          <w:marBottom w:val="0"/>
          <w:divBdr>
            <w:top w:val="none" w:sz="0" w:space="0" w:color="auto"/>
            <w:left w:val="none" w:sz="0" w:space="0" w:color="auto"/>
            <w:bottom w:val="none" w:sz="0" w:space="0" w:color="auto"/>
            <w:right w:val="none" w:sz="0" w:space="0" w:color="auto"/>
          </w:divBdr>
        </w:div>
        <w:div w:id="1742216497">
          <w:marLeft w:val="640"/>
          <w:marRight w:val="0"/>
          <w:marTop w:val="0"/>
          <w:marBottom w:val="0"/>
          <w:divBdr>
            <w:top w:val="none" w:sz="0" w:space="0" w:color="auto"/>
            <w:left w:val="none" w:sz="0" w:space="0" w:color="auto"/>
            <w:bottom w:val="none" w:sz="0" w:space="0" w:color="auto"/>
            <w:right w:val="none" w:sz="0" w:space="0" w:color="auto"/>
          </w:divBdr>
        </w:div>
        <w:div w:id="732241241">
          <w:marLeft w:val="640"/>
          <w:marRight w:val="0"/>
          <w:marTop w:val="0"/>
          <w:marBottom w:val="0"/>
          <w:divBdr>
            <w:top w:val="none" w:sz="0" w:space="0" w:color="auto"/>
            <w:left w:val="none" w:sz="0" w:space="0" w:color="auto"/>
            <w:bottom w:val="none" w:sz="0" w:space="0" w:color="auto"/>
            <w:right w:val="none" w:sz="0" w:space="0" w:color="auto"/>
          </w:divBdr>
        </w:div>
        <w:div w:id="945425163">
          <w:marLeft w:val="640"/>
          <w:marRight w:val="0"/>
          <w:marTop w:val="0"/>
          <w:marBottom w:val="0"/>
          <w:divBdr>
            <w:top w:val="none" w:sz="0" w:space="0" w:color="auto"/>
            <w:left w:val="none" w:sz="0" w:space="0" w:color="auto"/>
            <w:bottom w:val="none" w:sz="0" w:space="0" w:color="auto"/>
            <w:right w:val="none" w:sz="0" w:space="0" w:color="auto"/>
          </w:divBdr>
        </w:div>
        <w:div w:id="1886484432">
          <w:marLeft w:val="640"/>
          <w:marRight w:val="0"/>
          <w:marTop w:val="0"/>
          <w:marBottom w:val="0"/>
          <w:divBdr>
            <w:top w:val="none" w:sz="0" w:space="0" w:color="auto"/>
            <w:left w:val="none" w:sz="0" w:space="0" w:color="auto"/>
            <w:bottom w:val="none" w:sz="0" w:space="0" w:color="auto"/>
            <w:right w:val="none" w:sz="0" w:space="0" w:color="auto"/>
          </w:divBdr>
        </w:div>
        <w:div w:id="2092121544">
          <w:marLeft w:val="640"/>
          <w:marRight w:val="0"/>
          <w:marTop w:val="0"/>
          <w:marBottom w:val="0"/>
          <w:divBdr>
            <w:top w:val="none" w:sz="0" w:space="0" w:color="auto"/>
            <w:left w:val="none" w:sz="0" w:space="0" w:color="auto"/>
            <w:bottom w:val="none" w:sz="0" w:space="0" w:color="auto"/>
            <w:right w:val="none" w:sz="0" w:space="0" w:color="auto"/>
          </w:divBdr>
        </w:div>
        <w:div w:id="572930545">
          <w:marLeft w:val="640"/>
          <w:marRight w:val="0"/>
          <w:marTop w:val="0"/>
          <w:marBottom w:val="0"/>
          <w:divBdr>
            <w:top w:val="none" w:sz="0" w:space="0" w:color="auto"/>
            <w:left w:val="none" w:sz="0" w:space="0" w:color="auto"/>
            <w:bottom w:val="none" w:sz="0" w:space="0" w:color="auto"/>
            <w:right w:val="none" w:sz="0" w:space="0" w:color="auto"/>
          </w:divBdr>
        </w:div>
        <w:div w:id="104204367">
          <w:marLeft w:val="640"/>
          <w:marRight w:val="0"/>
          <w:marTop w:val="0"/>
          <w:marBottom w:val="0"/>
          <w:divBdr>
            <w:top w:val="none" w:sz="0" w:space="0" w:color="auto"/>
            <w:left w:val="none" w:sz="0" w:space="0" w:color="auto"/>
            <w:bottom w:val="none" w:sz="0" w:space="0" w:color="auto"/>
            <w:right w:val="none" w:sz="0" w:space="0" w:color="auto"/>
          </w:divBdr>
        </w:div>
        <w:div w:id="418524516">
          <w:marLeft w:val="640"/>
          <w:marRight w:val="0"/>
          <w:marTop w:val="0"/>
          <w:marBottom w:val="0"/>
          <w:divBdr>
            <w:top w:val="none" w:sz="0" w:space="0" w:color="auto"/>
            <w:left w:val="none" w:sz="0" w:space="0" w:color="auto"/>
            <w:bottom w:val="none" w:sz="0" w:space="0" w:color="auto"/>
            <w:right w:val="none" w:sz="0" w:space="0" w:color="auto"/>
          </w:divBdr>
        </w:div>
        <w:div w:id="382482009">
          <w:marLeft w:val="640"/>
          <w:marRight w:val="0"/>
          <w:marTop w:val="0"/>
          <w:marBottom w:val="0"/>
          <w:divBdr>
            <w:top w:val="none" w:sz="0" w:space="0" w:color="auto"/>
            <w:left w:val="none" w:sz="0" w:space="0" w:color="auto"/>
            <w:bottom w:val="none" w:sz="0" w:space="0" w:color="auto"/>
            <w:right w:val="none" w:sz="0" w:space="0" w:color="auto"/>
          </w:divBdr>
        </w:div>
        <w:div w:id="1648431708">
          <w:marLeft w:val="640"/>
          <w:marRight w:val="0"/>
          <w:marTop w:val="0"/>
          <w:marBottom w:val="0"/>
          <w:divBdr>
            <w:top w:val="none" w:sz="0" w:space="0" w:color="auto"/>
            <w:left w:val="none" w:sz="0" w:space="0" w:color="auto"/>
            <w:bottom w:val="none" w:sz="0" w:space="0" w:color="auto"/>
            <w:right w:val="none" w:sz="0" w:space="0" w:color="auto"/>
          </w:divBdr>
        </w:div>
        <w:div w:id="1366366286">
          <w:marLeft w:val="640"/>
          <w:marRight w:val="0"/>
          <w:marTop w:val="0"/>
          <w:marBottom w:val="0"/>
          <w:divBdr>
            <w:top w:val="none" w:sz="0" w:space="0" w:color="auto"/>
            <w:left w:val="none" w:sz="0" w:space="0" w:color="auto"/>
            <w:bottom w:val="none" w:sz="0" w:space="0" w:color="auto"/>
            <w:right w:val="none" w:sz="0" w:space="0" w:color="auto"/>
          </w:divBdr>
        </w:div>
        <w:div w:id="1447429789">
          <w:marLeft w:val="640"/>
          <w:marRight w:val="0"/>
          <w:marTop w:val="0"/>
          <w:marBottom w:val="0"/>
          <w:divBdr>
            <w:top w:val="none" w:sz="0" w:space="0" w:color="auto"/>
            <w:left w:val="none" w:sz="0" w:space="0" w:color="auto"/>
            <w:bottom w:val="none" w:sz="0" w:space="0" w:color="auto"/>
            <w:right w:val="none" w:sz="0" w:space="0" w:color="auto"/>
          </w:divBdr>
        </w:div>
        <w:div w:id="757558374">
          <w:marLeft w:val="640"/>
          <w:marRight w:val="0"/>
          <w:marTop w:val="0"/>
          <w:marBottom w:val="0"/>
          <w:divBdr>
            <w:top w:val="none" w:sz="0" w:space="0" w:color="auto"/>
            <w:left w:val="none" w:sz="0" w:space="0" w:color="auto"/>
            <w:bottom w:val="none" w:sz="0" w:space="0" w:color="auto"/>
            <w:right w:val="none" w:sz="0" w:space="0" w:color="auto"/>
          </w:divBdr>
        </w:div>
        <w:div w:id="1454791661">
          <w:marLeft w:val="640"/>
          <w:marRight w:val="0"/>
          <w:marTop w:val="0"/>
          <w:marBottom w:val="0"/>
          <w:divBdr>
            <w:top w:val="none" w:sz="0" w:space="0" w:color="auto"/>
            <w:left w:val="none" w:sz="0" w:space="0" w:color="auto"/>
            <w:bottom w:val="none" w:sz="0" w:space="0" w:color="auto"/>
            <w:right w:val="none" w:sz="0" w:space="0" w:color="auto"/>
          </w:divBdr>
        </w:div>
        <w:div w:id="501505675">
          <w:marLeft w:val="640"/>
          <w:marRight w:val="0"/>
          <w:marTop w:val="0"/>
          <w:marBottom w:val="0"/>
          <w:divBdr>
            <w:top w:val="none" w:sz="0" w:space="0" w:color="auto"/>
            <w:left w:val="none" w:sz="0" w:space="0" w:color="auto"/>
            <w:bottom w:val="none" w:sz="0" w:space="0" w:color="auto"/>
            <w:right w:val="none" w:sz="0" w:space="0" w:color="auto"/>
          </w:divBdr>
        </w:div>
        <w:div w:id="368845388">
          <w:marLeft w:val="640"/>
          <w:marRight w:val="0"/>
          <w:marTop w:val="0"/>
          <w:marBottom w:val="0"/>
          <w:divBdr>
            <w:top w:val="none" w:sz="0" w:space="0" w:color="auto"/>
            <w:left w:val="none" w:sz="0" w:space="0" w:color="auto"/>
            <w:bottom w:val="none" w:sz="0" w:space="0" w:color="auto"/>
            <w:right w:val="none" w:sz="0" w:space="0" w:color="auto"/>
          </w:divBdr>
        </w:div>
        <w:div w:id="120155079">
          <w:marLeft w:val="640"/>
          <w:marRight w:val="0"/>
          <w:marTop w:val="0"/>
          <w:marBottom w:val="0"/>
          <w:divBdr>
            <w:top w:val="none" w:sz="0" w:space="0" w:color="auto"/>
            <w:left w:val="none" w:sz="0" w:space="0" w:color="auto"/>
            <w:bottom w:val="none" w:sz="0" w:space="0" w:color="auto"/>
            <w:right w:val="none" w:sz="0" w:space="0" w:color="auto"/>
          </w:divBdr>
        </w:div>
        <w:div w:id="2073120707">
          <w:marLeft w:val="640"/>
          <w:marRight w:val="0"/>
          <w:marTop w:val="0"/>
          <w:marBottom w:val="0"/>
          <w:divBdr>
            <w:top w:val="none" w:sz="0" w:space="0" w:color="auto"/>
            <w:left w:val="none" w:sz="0" w:space="0" w:color="auto"/>
            <w:bottom w:val="none" w:sz="0" w:space="0" w:color="auto"/>
            <w:right w:val="none" w:sz="0" w:space="0" w:color="auto"/>
          </w:divBdr>
        </w:div>
        <w:div w:id="517428103">
          <w:marLeft w:val="640"/>
          <w:marRight w:val="0"/>
          <w:marTop w:val="0"/>
          <w:marBottom w:val="0"/>
          <w:divBdr>
            <w:top w:val="none" w:sz="0" w:space="0" w:color="auto"/>
            <w:left w:val="none" w:sz="0" w:space="0" w:color="auto"/>
            <w:bottom w:val="none" w:sz="0" w:space="0" w:color="auto"/>
            <w:right w:val="none" w:sz="0" w:space="0" w:color="auto"/>
          </w:divBdr>
        </w:div>
        <w:div w:id="1074429834">
          <w:marLeft w:val="640"/>
          <w:marRight w:val="0"/>
          <w:marTop w:val="0"/>
          <w:marBottom w:val="0"/>
          <w:divBdr>
            <w:top w:val="none" w:sz="0" w:space="0" w:color="auto"/>
            <w:left w:val="none" w:sz="0" w:space="0" w:color="auto"/>
            <w:bottom w:val="none" w:sz="0" w:space="0" w:color="auto"/>
            <w:right w:val="none" w:sz="0" w:space="0" w:color="auto"/>
          </w:divBdr>
        </w:div>
        <w:div w:id="151453756">
          <w:marLeft w:val="640"/>
          <w:marRight w:val="0"/>
          <w:marTop w:val="0"/>
          <w:marBottom w:val="0"/>
          <w:divBdr>
            <w:top w:val="none" w:sz="0" w:space="0" w:color="auto"/>
            <w:left w:val="none" w:sz="0" w:space="0" w:color="auto"/>
            <w:bottom w:val="none" w:sz="0" w:space="0" w:color="auto"/>
            <w:right w:val="none" w:sz="0" w:space="0" w:color="auto"/>
          </w:divBdr>
        </w:div>
        <w:div w:id="1601639699">
          <w:marLeft w:val="640"/>
          <w:marRight w:val="0"/>
          <w:marTop w:val="0"/>
          <w:marBottom w:val="0"/>
          <w:divBdr>
            <w:top w:val="none" w:sz="0" w:space="0" w:color="auto"/>
            <w:left w:val="none" w:sz="0" w:space="0" w:color="auto"/>
            <w:bottom w:val="none" w:sz="0" w:space="0" w:color="auto"/>
            <w:right w:val="none" w:sz="0" w:space="0" w:color="auto"/>
          </w:divBdr>
        </w:div>
        <w:div w:id="183247425">
          <w:marLeft w:val="640"/>
          <w:marRight w:val="0"/>
          <w:marTop w:val="0"/>
          <w:marBottom w:val="0"/>
          <w:divBdr>
            <w:top w:val="none" w:sz="0" w:space="0" w:color="auto"/>
            <w:left w:val="none" w:sz="0" w:space="0" w:color="auto"/>
            <w:bottom w:val="none" w:sz="0" w:space="0" w:color="auto"/>
            <w:right w:val="none" w:sz="0" w:space="0" w:color="auto"/>
          </w:divBdr>
        </w:div>
        <w:div w:id="1539664556">
          <w:marLeft w:val="640"/>
          <w:marRight w:val="0"/>
          <w:marTop w:val="0"/>
          <w:marBottom w:val="0"/>
          <w:divBdr>
            <w:top w:val="none" w:sz="0" w:space="0" w:color="auto"/>
            <w:left w:val="none" w:sz="0" w:space="0" w:color="auto"/>
            <w:bottom w:val="none" w:sz="0" w:space="0" w:color="auto"/>
            <w:right w:val="none" w:sz="0" w:space="0" w:color="auto"/>
          </w:divBdr>
        </w:div>
        <w:div w:id="433402739">
          <w:marLeft w:val="640"/>
          <w:marRight w:val="0"/>
          <w:marTop w:val="0"/>
          <w:marBottom w:val="0"/>
          <w:divBdr>
            <w:top w:val="none" w:sz="0" w:space="0" w:color="auto"/>
            <w:left w:val="none" w:sz="0" w:space="0" w:color="auto"/>
            <w:bottom w:val="none" w:sz="0" w:space="0" w:color="auto"/>
            <w:right w:val="none" w:sz="0" w:space="0" w:color="auto"/>
          </w:divBdr>
        </w:div>
        <w:div w:id="452676485">
          <w:marLeft w:val="640"/>
          <w:marRight w:val="0"/>
          <w:marTop w:val="0"/>
          <w:marBottom w:val="0"/>
          <w:divBdr>
            <w:top w:val="none" w:sz="0" w:space="0" w:color="auto"/>
            <w:left w:val="none" w:sz="0" w:space="0" w:color="auto"/>
            <w:bottom w:val="none" w:sz="0" w:space="0" w:color="auto"/>
            <w:right w:val="none" w:sz="0" w:space="0" w:color="auto"/>
          </w:divBdr>
        </w:div>
        <w:div w:id="166599340">
          <w:marLeft w:val="640"/>
          <w:marRight w:val="0"/>
          <w:marTop w:val="0"/>
          <w:marBottom w:val="0"/>
          <w:divBdr>
            <w:top w:val="none" w:sz="0" w:space="0" w:color="auto"/>
            <w:left w:val="none" w:sz="0" w:space="0" w:color="auto"/>
            <w:bottom w:val="none" w:sz="0" w:space="0" w:color="auto"/>
            <w:right w:val="none" w:sz="0" w:space="0" w:color="auto"/>
          </w:divBdr>
        </w:div>
        <w:div w:id="988483171">
          <w:marLeft w:val="640"/>
          <w:marRight w:val="0"/>
          <w:marTop w:val="0"/>
          <w:marBottom w:val="0"/>
          <w:divBdr>
            <w:top w:val="none" w:sz="0" w:space="0" w:color="auto"/>
            <w:left w:val="none" w:sz="0" w:space="0" w:color="auto"/>
            <w:bottom w:val="none" w:sz="0" w:space="0" w:color="auto"/>
            <w:right w:val="none" w:sz="0" w:space="0" w:color="auto"/>
          </w:divBdr>
        </w:div>
        <w:div w:id="298730939">
          <w:marLeft w:val="640"/>
          <w:marRight w:val="0"/>
          <w:marTop w:val="0"/>
          <w:marBottom w:val="0"/>
          <w:divBdr>
            <w:top w:val="none" w:sz="0" w:space="0" w:color="auto"/>
            <w:left w:val="none" w:sz="0" w:space="0" w:color="auto"/>
            <w:bottom w:val="none" w:sz="0" w:space="0" w:color="auto"/>
            <w:right w:val="none" w:sz="0" w:space="0" w:color="auto"/>
          </w:divBdr>
        </w:div>
        <w:div w:id="1748919237">
          <w:marLeft w:val="640"/>
          <w:marRight w:val="0"/>
          <w:marTop w:val="0"/>
          <w:marBottom w:val="0"/>
          <w:divBdr>
            <w:top w:val="none" w:sz="0" w:space="0" w:color="auto"/>
            <w:left w:val="none" w:sz="0" w:space="0" w:color="auto"/>
            <w:bottom w:val="none" w:sz="0" w:space="0" w:color="auto"/>
            <w:right w:val="none" w:sz="0" w:space="0" w:color="auto"/>
          </w:divBdr>
        </w:div>
        <w:div w:id="795098202">
          <w:marLeft w:val="640"/>
          <w:marRight w:val="0"/>
          <w:marTop w:val="0"/>
          <w:marBottom w:val="0"/>
          <w:divBdr>
            <w:top w:val="none" w:sz="0" w:space="0" w:color="auto"/>
            <w:left w:val="none" w:sz="0" w:space="0" w:color="auto"/>
            <w:bottom w:val="none" w:sz="0" w:space="0" w:color="auto"/>
            <w:right w:val="none" w:sz="0" w:space="0" w:color="auto"/>
          </w:divBdr>
        </w:div>
        <w:div w:id="2028556258">
          <w:marLeft w:val="640"/>
          <w:marRight w:val="0"/>
          <w:marTop w:val="0"/>
          <w:marBottom w:val="0"/>
          <w:divBdr>
            <w:top w:val="none" w:sz="0" w:space="0" w:color="auto"/>
            <w:left w:val="none" w:sz="0" w:space="0" w:color="auto"/>
            <w:bottom w:val="none" w:sz="0" w:space="0" w:color="auto"/>
            <w:right w:val="none" w:sz="0" w:space="0" w:color="auto"/>
          </w:divBdr>
        </w:div>
        <w:div w:id="1240290764">
          <w:marLeft w:val="640"/>
          <w:marRight w:val="0"/>
          <w:marTop w:val="0"/>
          <w:marBottom w:val="0"/>
          <w:divBdr>
            <w:top w:val="none" w:sz="0" w:space="0" w:color="auto"/>
            <w:left w:val="none" w:sz="0" w:space="0" w:color="auto"/>
            <w:bottom w:val="none" w:sz="0" w:space="0" w:color="auto"/>
            <w:right w:val="none" w:sz="0" w:space="0" w:color="auto"/>
          </w:divBdr>
        </w:div>
        <w:div w:id="989675529">
          <w:marLeft w:val="640"/>
          <w:marRight w:val="0"/>
          <w:marTop w:val="0"/>
          <w:marBottom w:val="0"/>
          <w:divBdr>
            <w:top w:val="none" w:sz="0" w:space="0" w:color="auto"/>
            <w:left w:val="none" w:sz="0" w:space="0" w:color="auto"/>
            <w:bottom w:val="none" w:sz="0" w:space="0" w:color="auto"/>
            <w:right w:val="none" w:sz="0" w:space="0" w:color="auto"/>
          </w:divBdr>
        </w:div>
        <w:div w:id="995915716">
          <w:marLeft w:val="640"/>
          <w:marRight w:val="0"/>
          <w:marTop w:val="0"/>
          <w:marBottom w:val="0"/>
          <w:divBdr>
            <w:top w:val="none" w:sz="0" w:space="0" w:color="auto"/>
            <w:left w:val="none" w:sz="0" w:space="0" w:color="auto"/>
            <w:bottom w:val="none" w:sz="0" w:space="0" w:color="auto"/>
            <w:right w:val="none" w:sz="0" w:space="0" w:color="auto"/>
          </w:divBdr>
        </w:div>
        <w:div w:id="365716793">
          <w:marLeft w:val="640"/>
          <w:marRight w:val="0"/>
          <w:marTop w:val="0"/>
          <w:marBottom w:val="0"/>
          <w:divBdr>
            <w:top w:val="none" w:sz="0" w:space="0" w:color="auto"/>
            <w:left w:val="none" w:sz="0" w:space="0" w:color="auto"/>
            <w:bottom w:val="none" w:sz="0" w:space="0" w:color="auto"/>
            <w:right w:val="none" w:sz="0" w:space="0" w:color="auto"/>
          </w:divBdr>
        </w:div>
        <w:div w:id="747116994">
          <w:marLeft w:val="640"/>
          <w:marRight w:val="0"/>
          <w:marTop w:val="0"/>
          <w:marBottom w:val="0"/>
          <w:divBdr>
            <w:top w:val="none" w:sz="0" w:space="0" w:color="auto"/>
            <w:left w:val="none" w:sz="0" w:space="0" w:color="auto"/>
            <w:bottom w:val="none" w:sz="0" w:space="0" w:color="auto"/>
            <w:right w:val="none" w:sz="0" w:space="0" w:color="auto"/>
          </w:divBdr>
        </w:div>
        <w:div w:id="1678537924">
          <w:marLeft w:val="640"/>
          <w:marRight w:val="0"/>
          <w:marTop w:val="0"/>
          <w:marBottom w:val="0"/>
          <w:divBdr>
            <w:top w:val="none" w:sz="0" w:space="0" w:color="auto"/>
            <w:left w:val="none" w:sz="0" w:space="0" w:color="auto"/>
            <w:bottom w:val="none" w:sz="0" w:space="0" w:color="auto"/>
            <w:right w:val="none" w:sz="0" w:space="0" w:color="auto"/>
          </w:divBdr>
        </w:div>
        <w:div w:id="2047874510">
          <w:marLeft w:val="640"/>
          <w:marRight w:val="0"/>
          <w:marTop w:val="0"/>
          <w:marBottom w:val="0"/>
          <w:divBdr>
            <w:top w:val="none" w:sz="0" w:space="0" w:color="auto"/>
            <w:left w:val="none" w:sz="0" w:space="0" w:color="auto"/>
            <w:bottom w:val="none" w:sz="0" w:space="0" w:color="auto"/>
            <w:right w:val="none" w:sz="0" w:space="0" w:color="auto"/>
          </w:divBdr>
        </w:div>
        <w:div w:id="2128085568">
          <w:marLeft w:val="640"/>
          <w:marRight w:val="0"/>
          <w:marTop w:val="0"/>
          <w:marBottom w:val="0"/>
          <w:divBdr>
            <w:top w:val="none" w:sz="0" w:space="0" w:color="auto"/>
            <w:left w:val="none" w:sz="0" w:space="0" w:color="auto"/>
            <w:bottom w:val="none" w:sz="0" w:space="0" w:color="auto"/>
            <w:right w:val="none" w:sz="0" w:space="0" w:color="auto"/>
          </w:divBdr>
        </w:div>
        <w:div w:id="2093695085">
          <w:marLeft w:val="640"/>
          <w:marRight w:val="0"/>
          <w:marTop w:val="0"/>
          <w:marBottom w:val="0"/>
          <w:divBdr>
            <w:top w:val="none" w:sz="0" w:space="0" w:color="auto"/>
            <w:left w:val="none" w:sz="0" w:space="0" w:color="auto"/>
            <w:bottom w:val="none" w:sz="0" w:space="0" w:color="auto"/>
            <w:right w:val="none" w:sz="0" w:space="0" w:color="auto"/>
          </w:divBdr>
        </w:div>
        <w:div w:id="536701745">
          <w:marLeft w:val="640"/>
          <w:marRight w:val="0"/>
          <w:marTop w:val="0"/>
          <w:marBottom w:val="0"/>
          <w:divBdr>
            <w:top w:val="none" w:sz="0" w:space="0" w:color="auto"/>
            <w:left w:val="none" w:sz="0" w:space="0" w:color="auto"/>
            <w:bottom w:val="none" w:sz="0" w:space="0" w:color="auto"/>
            <w:right w:val="none" w:sz="0" w:space="0" w:color="auto"/>
          </w:divBdr>
        </w:div>
        <w:div w:id="106706747">
          <w:marLeft w:val="640"/>
          <w:marRight w:val="0"/>
          <w:marTop w:val="0"/>
          <w:marBottom w:val="0"/>
          <w:divBdr>
            <w:top w:val="none" w:sz="0" w:space="0" w:color="auto"/>
            <w:left w:val="none" w:sz="0" w:space="0" w:color="auto"/>
            <w:bottom w:val="none" w:sz="0" w:space="0" w:color="auto"/>
            <w:right w:val="none" w:sz="0" w:space="0" w:color="auto"/>
          </w:divBdr>
        </w:div>
        <w:div w:id="1106922844">
          <w:marLeft w:val="640"/>
          <w:marRight w:val="0"/>
          <w:marTop w:val="0"/>
          <w:marBottom w:val="0"/>
          <w:divBdr>
            <w:top w:val="none" w:sz="0" w:space="0" w:color="auto"/>
            <w:left w:val="none" w:sz="0" w:space="0" w:color="auto"/>
            <w:bottom w:val="none" w:sz="0" w:space="0" w:color="auto"/>
            <w:right w:val="none" w:sz="0" w:space="0" w:color="auto"/>
          </w:divBdr>
        </w:div>
        <w:div w:id="474759605">
          <w:marLeft w:val="640"/>
          <w:marRight w:val="0"/>
          <w:marTop w:val="0"/>
          <w:marBottom w:val="0"/>
          <w:divBdr>
            <w:top w:val="none" w:sz="0" w:space="0" w:color="auto"/>
            <w:left w:val="none" w:sz="0" w:space="0" w:color="auto"/>
            <w:bottom w:val="none" w:sz="0" w:space="0" w:color="auto"/>
            <w:right w:val="none" w:sz="0" w:space="0" w:color="auto"/>
          </w:divBdr>
        </w:div>
        <w:div w:id="1799030127">
          <w:marLeft w:val="640"/>
          <w:marRight w:val="0"/>
          <w:marTop w:val="0"/>
          <w:marBottom w:val="0"/>
          <w:divBdr>
            <w:top w:val="none" w:sz="0" w:space="0" w:color="auto"/>
            <w:left w:val="none" w:sz="0" w:space="0" w:color="auto"/>
            <w:bottom w:val="none" w:sz="0" w:space="0" w:color="auto"/>
            <w:right w:val="none" w:sz="0" w:space="0" w:color="auto"/>
          </w:divBdr>
        </w:div>
        <w:div w:id="1410228336">
          <w:marLeft w:val="640"/>
          <w:marRight w:val="0"/>
          <w:marTop w:val="0"/>
          <w:marBottom w:val="0"/>
          <w:divBdr>
            <w:top w:val="none" w:sz="0" w:space="0" w:color="auto"/>
            <w:left w:val="none" w:sz="0" w:space="0" w:color="auto"/>
            <w:bottom w:val="none" w:sz="0" w:space="0" w:color="auto"/>
            <w:right w:val="none" w:sz="0" w:space="0" w:color="auto"/>
          </w:divBdr>
        </w:div>
        <w:div w:id="1768847505">
          <w:marLeft w:val="640"/>
          <w:marRight w:val="0"/>
          <w:marTop w:val="0"/>
          <w:marBottom w:val="0"/>
          <w:divBdr>
            <w:top w:val="none" w:sz="0" w:space="0" w:color="auto"/>
            <w:left w:val="none" w:sz="0" w:space="0" w:color="auto"/>
            <w:bottom w:val="none" w:sz="0" w:space="0" w:color="auto"/>
            <w:right w:val="none" w:sz="0" w:space="0" w:color="auto"/>
          </w:divBdr>
        </w:div>
        <w:div w:id="943027578">
          <w:marLeft w:val="640"/>
          <w:marRight w:val="0"/>
          <w:marTop w:val="0"/>
          <w:marBottom w:val="0"/>
          <w:divBdr>
            <w:top w:val="none" w:sz="0" w:space="0" w:color="auto"/>
            <w:left w:val="none" w:sz="0" w:space="0" w:color="auto"/>
            <w:bottom w:val="none" w:sz="0" w:space="0" w:color="auto"/>
            <w:right w:val="none" w:sz="0" w:space="0" w:color="auto"/>
          </w:divBdr>
        </w:div>
        <w:div w:id="1650398672">
          <w:marLeft w:val="640"/>
          <w:marRight w:val="0"/>
          <w:marTop w:val="0"/>
          <w:marBottom w:val="0"/>
          <w:divBdr>
            <w:top w:val="none" w:sz="0" w:space="0" w:color="auto"/>
            <w:left w:val="none" w:sz="0" w:space="0" w:color="auto"/>
            <w:bottom w:val="none" w:sz="0" w:space="0" w:color="auto"/>
            <w:right w:val="none" w:sz="0" w:space="0" w:color="auto"/>
          </w:divBdr>
        </w:div>
        <w:div w:id="746879326">
          <w:marLeft w:val="640"/>
          <w:marRight w:val="0"/>
          <w:marTop w:val="0"/>
          <w:marBottom w:val="0"/>
          <w:divBdr>
            <w:top w:val="none" w:sz="0" w:space="0" w:color="auto"/>
            <w:left w:val="none" w:sz="0" w:space="0" w:color="auto"/>
            <w:bottom w:val="none" w:sz="0" w:space="0" w:color="auto"/>
            <w:right w:val="none" w:sz="0" w:space="0" w:color="auto"/>
          </w:divBdr>
        </w:div>
        <w:div w:id="300811594">
          <w:marLeft w:val="640"/>
          <w:marRight w:val="0"/>
          <w:marTop w:val="0"/>
          <w:marBottom w:val="0"/>
          <w:divBdr>
            <w:top w:val="none" w:sz="0" w:space="0" w:color="auto"/>
            <w:left w:val="none" w:sz="0" w:space="0" w:color="auto"/>
            <w:bottom w:val="none" w:sz="0" w:space="0" w:color="auto"/>
            <w:right w:val="none" w:sz="0" w:space="0" w:color="auto"/>
          </w:divBdr>
        </w:div>
        <w:div w:id="1816675790">
          <w:marLeft w:val="640"/>
          <w:marRight w:val="0"/>
          <w:marTop w:val="0"/>
          <w:marBottom w:val="0"/>
          <w:divBdr>
            <w:top w:val="none" w:sz="0" w:space="0" w:color="auto"/>
            <w:left w:val="none" w:sz="0" w:space="0" w:color="auto"/>
            <w:bottom w:val="none" w:sz="0" w:space="0" w:color="auto"/>
            <w:right w:val="none" w:sz="0" w:space="0" w:color="auto"/>
          </w:divBdr>
        </w:div>
        <w:div w:id="133837493">
          <w:marLeft w:val="640"/>
          <w:marRight w:val="0"/>
          <w:marTop w:val="0"/>
          <w:marBottom w:val="0"/>
          <w:divBdr>
            <w:top w:val="none" w:sz="0" w:space="0" w:color="auto"/>
            <w:left w:val="none" w:sz="0" w:space="0" w:color="auto"/>
            <w:bottom w:val="none" w:sz="0" w:space="0" w:color="auto"/>
            <w:right w:val="none" w:sz="0" w:space="0" w:color="auto"/>
          </w:divBdr>
        </w:div>
        <w:div w:id="493881640">
          <w:marLeft w:val="640"/>
          <w:marRight w:val="0"/>
          <w:marTop w:val="0"/>
          <w:marBottom w:val="0"/>
          <w:divBdr>
            <w:top w:val="none" w:sz="0" w:space="0" w:color="auto"/>
            <w:left w:val="none" w:sz="0" w:space="0" w:color="auto"/>
            <w:bottom w:val="none" w:sz="0" w:space="0" w:color="auto"/>
            <w:right w:val="none" w:sz="0" w:space="0" w:color="auto"/>
          </w:divBdr>
        </w:div>
        <w:div w:id="673535895">
          <w:marLeft w:val="640"/>
          <w:marRight w:val="0"/>
          <w:marTop w:val="0"/>
          <w:marBottom w:val="0"/>
          <w:divBdr>
            <w:top w:val="none" w:sz="0" w:space="0" w:color="auto"/>
            <w:left w:val="none" w:sz="0" w:space="0" w:color="auto"/>
            <w:bottom w:val="none" w:sz="0" w:space="0" w:color="auto"/>
            <w:right w:val="none" w:sz="0" w:space="0" w:color="auto"/>
          </w:divBdr>
        </w:div>
        <w:div w:id="118645288">
          <w:marLeft w:val="640"/>
          <w:marRight w:val="0"/>
          <w:marTop w:val="0"/>
          <w:marBottom w:val="0"/>
          <w:divBdr>
            <w:top w:val="none" w:sz="0" w:space="0" w:color="auto"/>
            <w:left w:val="none" w:sz="0" w:space="0" w:color="auto"/>
            <w:bottom w:val="none" w:sz="0" w:space="0" w:color="auto"/>
            <w:right w:val="none" w:sz="0" w:space="0" w:color="auto"/>
          </w:divBdr>
        </w:div>
        <w:div w:id="2021933903">
          <w:marLeft w:val="640"/>
          <w:marRight w:val="0"/>
          <w:marTop w:val="0"/>
          <w:marBottom w:val="0"/>
          <w:divBdr>
            <w:top w:val="none" w:sz="0" w:space="0" w:color="auto"/>
            <w:left w:val="none" w:sz="0" w:space="0" w:color="auto"/>
            <w:bottom w:val="none" w:sz="0" w:space="0" w:color="auto"/>
            <w:right w:val="none" w:sz="0" w:space="0" w:color="auto"/>
          </w:divBdr>
        </w:div>
        <w:div w:id="258413924">
          <w:marLeft w:val="640"/>
          <w:marRight w:val="0"/>
          <w:marTop w:val="0"/>
          <w:marBottom w:val="0"/>
          <w:divBdr>
            <w:top w:val="none" w:sz="0" w:space="0" w:color="auto"/>
            <w:left w:val="none" w:sz="0" w:space="0" w:color="auto"/>
            <w:bottom w:val="none" w:sz="0" w:space="0" w:color="auto"/>
            <w:right w:val="none" w:sz="0" w:space="0" w:color="auto"/>
          </w:divBdr>
        </w:div>
        <w:div w:id="1076316970">
          <w:marLeft w:val="640"/>
          <w:marRight w:val="0"/>
          <w:marTop w:val="0"/>
          <w:marBottom w:val="0"/>
          <w:divBdr>
            <w:top w:val="none" w:sz="0" w:space="0" w:color="auto"/>
            <w:left w:val="none" w:sz="0" w:space="0" w:color="auto"/>
            <w:bottom w:val="none" w:sz="0" w:space="0" w:color="auto"/>
            <w:right w:val="none" w:sz="0" w:space="0" w:color="auto"/>
          </w:divBdr>
        </w:div>
        <w:div w:id="1751468052">
          <w:marLeft w:val="640"/>
          <w:marRight w:val="0"/>
          <w:marTop w:val="0"/>
          <w:marBottom w:val="0"/>
          <w:divBdr>
            <w:top w:val="none" w:sz="0" w:space="0" w:color="auto"/>
            <w:left w:val="none" w:sz="0" w:space="0" w:color="auto"/>
            <w:bottom w:val="none" w:sz="0" w:space="0" w:color="auto"/>
            <w:right w:val="none" w:sz="0" w:space="0" w:color="auto"/>
          </w:divBdr>
        </w:div>
        <w:div w:id="2128621584">
          <w:marLeft w:val="640"/>
          <w:marRight w:val="0"/>
          <w:marTop w:val="0"/>
          <w:marBottom w:val="0"/>
          <w:divBdr>
            <w:top w:val="none" w:sz="0" w:space="0" w:color="auto"/>
            <w:left w:val="none" w:sz="0" w:space="0" w:color="auto"/>
            <w:bottom w:val="none" w:sz="0" w:space="0" w:color="auto"/>
            <w:right w:val="none" w:sz="0" w:space="0" w:color="auto"/>
          </w:divBdr>
        </w:div>
        <w:div w:id="156071344">
          <w:marLeft w:val="640"/>
          <w:marRight w:val="0"/>
          <w:marTop w:val="0"/>
          <w:marBottom w:val="0"/>
          <w:divBdr>
            <w:top w:val="none" w:sz="0" w:space="0" w:color="auto"/>
            <w:left w:val="none" w:sz="0" w:space="0" w:color="auto"/>
            <w:bottom w:val="none" w:sz="0" w:space="0" w:color="auto"/>
            <w:right w:val="none" w:sz="0" w:space="0" w:color="auto"/>
          </w:divBdr>
        </w:div>
        <w:div w:id="430931710">
          <w:marLeft w:val="640"/>
          <w:marRight w:val="0"/>
          <w:marTop w:val="0"/>
          <w:marBottom w:val="0"/>
          <w:divBdr>
            <w:top w:val="none" w:sz="0" w:space="0" w:color="auto"/>
            <w:left w:val="none" w:sz="0" w:space="0" w:color="auto"/>
            <w:bottom w:val="none" w:sz="0" w:space="0" w:color="auto"/>
            <w:right w:val="none" w:sz="0" w:space="0" w:color="auto"/>
          </w:divBdr>
        </w:div>
        <w:div w:id="1944678572">
          <w:marLeft w:val="640"/>
          <w:marRight w:val="0"/>
          <w:marTop w:val="0"/>
          <w:marBottom w:val="0"/>
          <w:divBdr>
            <w:top w:val="none" w:sz="0" w:space="0" w:color="auto"/>
            <w:left w:val="none" w:sz="0" w:space="0" w:color="auto"/>
            <w:bottom w:val="none" w:sz="0" w:space="0" w:color="auto"/>
            <w:right w:val="none" w:sz="0" w:space="0" w:color="auto"/>
          </w:divBdr>
        </w:div>
        <w:div w:id="1602837408">
          <w:marLeft w:val="640"/>
          <w:marRight w:val="0"/>
          <w:marTop w:val="0"/>
          <w:marBottom w:val="0"/>
          <w:divBdr>
            <w:top w:val="none" w:sz="0" w:space="0" w:color="auto"/>
            <w:left w:val="none" w:sz="0" w:space="0" w:color="auto"/>
            <w:bottom w:val="none" w:sz="0" w:space="0" w:color="auto"/>
            <w:right w:val="none" w:sz="0" w:space="0" w:color="auto"/>
          </w:divBdr>
        </w:div>
        <w:div w:id="1149370687">
          <w:marLeft w:val="640"/>
          <w:marRight w:val="0"/>
          <w:marTop w:val="0"/>
          <w:marBottom w:val="0"/>
          <w:divBdr>
            <w:top w:val="none" w:sz="0" w:space="0" w:color="auto"/>
            <w:left w:val="none" w:sz="0" w:space="0" w:color="auto"/>
            <w:bottom w:val="none" w:sz="0" w:space="0" w:color="auto"/>
            <w:right w:val="none" w:sz="0" w:space="0" w:color="auto"/>
          </w:divBdr>
        </w:div>
        <w:div w:id="1296451806">
          <w:marLeft w:val="640"/>
          <w:marRight w:val="0"/>
          <w:marTop w:val="0"/>
          <w:marBottom w:val="0"/>
          <w:divBdr>
            <w:top w:val="none" w:sz="0" w:space="0" w:color="auto"/>
            <w:left w:val="none" w:sz="0" w:space="0" w:color="auto"/>
            <w:bottom w:val="none" w:sz="0" w:space="0" w:color="auto"/>
            <w:right w:val="none" w:sz="0" w:space="0" w:color="auto"/>
          </w:divBdr>
        </w:div>
        <w:div w:id="1917125655">
          <w:marLeft w:val="640"/>
          <w:marRight w:val="0"/>
          <w:marTop w:val="0"/>
          <w:marBottom w:val="0"/>
          <w:divBdr>
            <w:top w:val="none" w:sz="0" w:space="0" w:color="auto"/>
            <w:left w:val="none" w:sz="0" w:space="0" w:color="auto"/>
            <w:bottom w:val="none" w:sz="0" w:space="0" w:color="auto"/>
            <w:right w:val="none" w:sz="0" w:space="0" w:color="auto"/>
          </w:divBdr>
        </w:div>
        <w:div w:id="146672567">
          <w:marLeft w:val="640"/>
          <w:marRight w:val="0"/>
          <w:marTop w:val="0"/>
          <w:marBottom w:val="0"/>
          <w:divBdr>
            <w:top w:val="none" w:sz="0" w:space="0" w:color="auto"/>
            <w:left w:val="none" w:sz="0" w:space="0" w:color="auto"/>
            <w:bottom w:val="none" w:sz="0" w:space="0" w:color="auto"/>
            <w:right w:val="none" w:sz="0" w:space="0" w:color="auto"/>
          </w:divBdr>
        </w:div>
        <w:div w:id="1882739940">
          <w:marLeft w:val="640"/>
          <w:marRight w:val="0"/>
          <w:marTop w:val="0"/>
          <w:marBottom w:val="0"/>
          <w:divBdr>
            <w:top w:val="none" w:sz="0" w:space="0" w:color="auto"/>
            <w:left w:val="none" w:sz="0" w:space="0" w:color="auto"/>
            <w:bottom w:val="none" w:sz="0" w:space="0" w:color="auto"/>
            <w:right w:val="none" w:sz="0" w:space="0" w:color="auto"/>
          </w:divBdr>
        </w:div>
        <w:div w:id="1596670165">
          <w:marLeft w:val="640"/>
          <w:marRight w:val="0"/>
          <w:marTop w:val="0"/>
          <w:marBottom w:val="0"/>
          <w:divBdr>
            <w:top w:val="none" w:sz="0" w:space="0" w:color="auto"/>
            <w:left w:val="none" w:sz="0" w:space="0" w:color="auto"/>
            <w:bottom w:val="none" w:sz="0" w:space="0" w:color="auto"/>
            <w:right w:val="none" w:sz="0" w:space="0" w:color="auto"/>
          </w:divBdr>
        </w:div>
        <w:div w:id="480971817">
          <w:marLeft w:val="640"/>
          <w:marRight w:val="0"/>
          <w:marTop w:val="0"/>
          <w:marBottom w:val="0"/>
          <w:divBdr>
            <w:top w:val="none" w:sz="0" w:space="0" w:color="auto"/>
            <w:left w:val="none" w:sz="0" w:space="0" w:color="auto"/>
            <w:bottom w:val="none" w:sz="0" w:space="0" w:color="auto"/>
            <w:right w:val="none" w:sz="0" w:space="0" w:color="auto"/>
          </w:divBdr>
        </w:div>
        <w:div w:id="1910188530">
          <w:marLeft w:val="640"/>
          <w:marRight w:val="0"/>
          <w:marTop w:val="0"/>
          <w:marBottom w:val="0"/>
          <w:divBdr>
            <w:top w:val="none" w:sz="0" w:space="0" w:color="auto"/>
            <w:left w:val="none" w:sz="0" w:space="0" w:color="auto"/>
            <w:bottom w:val="none" w:sz="0" w:space="0" w:color="auto"/>
            <w:right w:val="none" w:sz="0" w:space="0" w:color="auto"/>
          </w:divBdr>
        </w:div>
        <w:div w:id="296036022">
          <w:marLeft w:val="640"/>
          <w:marRight w:val="0"/>
          <w:marTop w:val="0"/>
          <w:marBottom w:val="0"/>
          <w:divBdr>
            <w:top w:val="none" w:sz="0" w:space="0" w:color="auto"/>
            <w:left w:val="none" w:sz="0" w:space="0" w:color="auto"/>
            <w:bottom w:val="none" w:sz="0" w:space="0" w:color="auto"/>
            <w:right w:val="none" w:sz="0" w:space="0" w:color="auto"/>
          </w:divBdr>
        </w:div>
        <w:div w:id="222255416">
          <w:marLeft w:val="640"/>
          <w:marRight w:val="0"/>
          <w:marTop w:val="0"/>
          <w:marBottom w:val="0"/>
          <w:divBdr>
            <w:top w:val="none" w:sz="0" w:space="0" w:color="auto"/>
            <w:left w:val="none" w:sz="0" w:space="0" w:color="auto"/>
            <w:bottom w:val="none" w:sz="0" w:space="0" w:color="auto"/>
            <w:right w:val="none" w:sz="0" w:space="0" w:color="auto"/>
          </w:divBdr>
        </w:div>
        <w:div w:id="1142382821">
          <w:marLeft w:val="640"/>
          <w:marRight w:val="0"/>
          <w:marTop w:val="0"/>
          <w:marBottom w:val="0"/>
          <w:divBdr>
            <w:top w:val="none" w:sz="0" w:space="0" w:color="auto"/>
            <w:left w:val="none" w:sz="0" w:space="0" w:color="auto"/>
            <w:bottom w:val="none" w:sz="0" w:space="0" w:color="auto"/>
            <w:right w:val="none" w:sz="0" w:space="0" w:color="auto"/>
          </w:divBdr>
        </w:div>
        <w:div w:id="1357391567">
          <w:marLeft w:val="640"/>
          <w:marRight w:val="0"/>
          <w:marTop w:val="0"/>
          <w:marBottom w:val="0"/>
          <w:divBdr>
            <w:top w:val="none" w:sz="0" w:space="0" w:color="auto"/>
            <w:left w:val="none" w:sz="0" w:space="0" w:color="auto"/>
            <w:bottom w:val="none" w:sz="0" w:space="0" w:color="auto"/>
            <w:right w:val="none" w:sz="0" w:space="0" w:color="auto"/>
          </w:divBdr>
        </w:div>
        <w:div w:id="801726693">
          <w:marLeft w:val="640"/>
          <w:marRight w:val="0"/>
          <w:marTop w:val="0"/>
          <w:marBottom w:val="0"/>
          <w:divBdr>
            <w:top w:val="none" w:sz="0" w:space="0" w:color="auto"/>
            <w:left w:val="none" w:sz="0" w:space="0" w:color="auto"/>
            <w:bottom w:val="none" w:sz="0" w:space="0" w:color="auto"/>
            <w:right w:val="none" w:sz="0" w:space="0" w:color="auto"/>
          </w:divBdr>
        </w:div>
        <w:div w:id="452752686">
          <w:marLeft w:val="640"/>
          <w:marRight w:val="0"/>
          <w:marTop w:val="0"/>
          <w:marBottom w:val="0"/>
          <w:divBdr>
            <w:top w:val="none" w:sz="0" w:space="0" w:color="auto"/>
            <w:left w:val="none" w:sz="0" w:space="0" w:color="auto"/>
            <w:bottom w:val="none" w:sz="0" w:space="0" w:color="auto"/>
            <w:right w:val="none" w:sz="0" w:space="0" w:color="auto"/>
          </w:divBdr>
        </w:div>
        <w:div w:id="904291364">
          <w:marLeft w:val="640"/>
          <w:marRight w:val="0"/>
          <w:marTop w:val="0"/>
          <w:marBottom w:val="0"/>
          <w:divBdr>
            <w:top w:val="none" w:sz="0" w:space="0" w:color="auto"/>
            <w:left w:val="none" w:sz="0" w:space="0" w:color="auto"/>
            <w:bottom w:val="none" w:sz="0" w:space="0" w:color="auto"/>
            <w:right w:val="none" w:sz="0" w:space="0" w:color="auto"/>
          </w:divBdr>
        </w:div>
        <w:div w:id="599946209">
          <w:marLeft w:val="640"/>
          <w:marRight w:val="0"/>
          <w:marTop w:val="0"/>
          <w:marBottom w:val="0"/>
          <w:divBdr>
            <w:top w:val="none" w:sz="0" w:space="0" w:color="auto"/>
            <w:left w:val="none" w:sz="0" w:space="0" w:color="auto"/>
            <w:bottom w:val="none" w:sz="0" w:space="0" w:color="auto"/>
            <w:right w:val="none" w:sz="0" w:space="0" w:color="auto"/>
          </w:divBdr>
        </w:div>
        <w:div w:id="357463459">
          <w:marLeft w:val="640"/>
          <w:marRight w:val="0"/>
          <w:marTop w:val="0"/>
          <w:marBottom w:val="0"/>
          <w:divBdr>
            <w:top w:val="none" w:sz="0" w:space="0" w:color="auto"/>
            <w:left w:val="none" w:sz="0" w:space="0" w:color="auto"/>
            <w:bottom w:val="none" w:sz="0" w:space="0" w:color="auto"/>
            <w:right w:val="none" w:sz="0" w:space="0" w:color="auto"/>
          </w:divBdr>
        </w:div>
        <w:div w:id="1760059307">
          <w:marLeft w:val="640"/>
          <w:marRight w:val="0"/>
          <w:marTop w:val="0"/>
          <w:marBottom w:val="0"/>
          <w:divBdr>
            <w:top w:val="none" w:sz="0" w:space="0" w:color="auto"/>
            <w:left w:val="none" w:sz="0" w:space="0" w:color="auto"/>
            <w:bottom w:val="none" w:sz="0" w:space="0" w:color="auto"/>
            <w:right w:val="none" w:sz="0" w:space="0" w:color="auto"/>
          </w:divBdr>
        </w:div>
        <w:div w:id="647975393">
          <w:marLeft w:val="640"/>
          <w:marRight w:val="0"/>
          <w:marTop w:val="0"/>
          <w:marBottom w:val="0"/>
          <w:divBdr>
            <w:top w:val="none" w:sz="0" w:space="0" w:color="auto"/>
            <w:left w:val="none" w:sz="0" w:space="0" w:color="auto"/>
            <w:bottom w:val="none" w:sz="0" w:space="0" w:color="auto"/>
            <w:right w:val="none" w:sz="0" w:space="0" w:color="auto"/>
          </w:divBdr>
        </w:div>
        <w:div w:id="633026681">
          <w:marLeft w:val="640"/>
          <w:marRight w:val="0"/>
          <w:marTop w:val="0"/>
          <w:marBottom w:val="0"/>
          <w:divBdr>
            <w:top w:val="none" w:sz="0" w:space="0" w:color="auto"/>
            <w:left w:val="none" w:sz="0" w:space="0" w:color="auto"/>
            <w:bottom w:val="none" w:sz="0" w:space="0" w:color="auto"/>
            <w:right w:val="none" w:sz="0" w:space="0" w:color="auto"/>
          </w:divBdr>
        </w:div>
        <w:div w:id="1382290115">
          <w:marLeft w:val="640"/>
          <w:marRight w:val="0"/>
          <w:marTop w:val="0"/>
          <w:marBottom w:val="0"/>
          <w:divBdr>
            <w:top w:val="none" w:sz="0" w:space="0" w:color="auto"/>
            <w:left w:val="none" w:sz="0" w:space="0" w:color="auto"/>
            <w:bottom w:val="none" w:sz="0" w:space="0" w:color="auto"/>
            <w:right w:val="none" w:sz="0" w:space="0" w:color="auto"/>
          </w:divBdr>
        </w:div>
        <w:div w:id="827210794">
          <w:marLeft w:val="640"/>
          <w:marRight w:val="0"/>
          <w:marTop w:val="0"/>
          <w:marBottom w:val="0"/>
          <w:divBdr>
            <w:top w:val="none" w:sz="0" w:space="0" w:color="auto"/>
            <w:left w:val="none" w:sz="0" w:space="0" w:color="auto"/>
            <w:bottom w:val="none" w:sz="0" w:space="0" w:color="auto"/>
            <w:right w:val="none" w:sz="0" w:space="0" w:color="auto"/>
          </w:divBdr>
        </w:div>
        <w:div w:id="1914117202">
          <w:marLeft w:val="640"/>
          <w:marRight w:val="0"/>
          <w:marTop w:val="0"/>
          <w:marBottom w:val="0"/>
          <w:divBdr>
            <w:top w:val="none" w:sz="0" w:space="0" w:color="auto"/>
            <w:left w:val="none" w:sz="0" w:space="0" w:color="auto"/>
            <w:bottom w:val="none" w:sz="0" w:space="0" w:color="auto"/>
            <w:right w:val="none" w:sz="0" w:space="0" w:color="auto"/>
          </w:divBdr>
        </w:div>
        <w:div w:id="1958102181">
          <w:marLeft w:val="640"/>
          <w:marRight w:val="0"/>
          <w:marTop w:val="0"/>
          <w:marBottom w:val="0"/>
          <w:divBdr>
            <w:top w:val="none" w:sz="0" w:space="0" w:color="auto"/>
            <w:left w:val="none" w:sz="0" w:space="0" w:color="auto"/>
            <w:bottom w:val="none" w:sz="0" w:space="0" w:color="auto"/>
            <w:right w:val="none" w:sz="0" w:space="0" w:color="auto"/>
          </w:divBdr>
        </w:div>
        <w:div w:id="1005522118">
          <w:marLeft w:val="640"/>
          <w:marRight w:val="0"/>
          <w:marTop w:val="0"/>
          <w:marBottom w:val="0"/>
          <w:divBdr>
            <w:top w:val="none" w:sz="0" w:space="0" w:color="auto"/>
            <w:left w:val="none" w:sz="0" w:space="0" w:color="auto"/>
            <w:bottom w:val="none" w:sz="0" w:space="0" w:color="auto"/>
            <w:right w:val="none" w:sz="0" w:space="0" w:color="auto"/>
          </w:divBdr>
        </w:div>
        <w:div w:id="343170733">
          <w:marLeft w:val="640"/>
          <w:marRight w:val="0"/>
          <w:marTop w:val="0"/>
          <w:marBottom w:val="0"/>
          <w:divBdr>
            <w:top w:val="none" w:sz="0" w:space="0" w:color="auto"/>
            <w:left w:val="none" w:sz="0" w:space="0" w:color="auto"/>
            <w:bottom w:val="none" w:sz="0" w:space="0" w:color="auto"/>
            <w:right w:val="none" w:sz="0" w:space="0" w:color="auto"/>
          </w:divBdr>
        </w:div>
        <w:div w:id="1678001465">
          <w:marLeft w:val="640"/>
          <w:marRight w:val="0"/>
          <w:marTop w:val="0"/>
          <w:marBottom w:val="0"/>
          <w:divBdr>
            <w:top w:val="none" w:sz="0" w:space="0" w:color="auto"/>
            <w:left w:val="none" w:sz="0" w:space="0" w:color="auto"/>
            <w:bottom w:val="none" w:sz="0" w:space="0" w:color="auto"/>
            <w:right w:val="none" w:sz="0" w:space="0" w:color="auto"/>
          </w:divBdr>
        </w:div>
        <w:div w:id="811949906">
          <w:marLeft w:val="640"/>
          <w:marRight w:val="0"/>
          <w:marTop w:val="0"/>
          <w:marBottom w:val="0"/>
          <w:divBdr>
            <w:top w:val="none" w:sz="0" w:space="0" w:color="auto"/>
            <w:left w:val="none" w:sz="0" w:space="0" w:color="auto"/>
            <w:bottom w:val="none" w:sz="0" w:space="0" w:color="auto"/>
            <w:right w:val="none" w:sz="0" w:space="0" w:color="auto"/>
          </w:divBdr>
        </w:div>
        <w:div w:id="1302005167">
          <w:marLeft w:val="640"/>
          <w:marRight w:val="0"/>
          <w:marTop w:val="0"/>
          <w:marBottom w:val="0"/>
          <w:divBdr>
            <w:top w:val="none" w:sz="0" w:space="0" w:color="auto"/>
            <w:left w:val="none" w:sz="0" w:space="0" w:color="auto"/>
            <w:bottom w:val="none" w:sz="0" w:space="0" w:color="auto"/>
            <w:right w:val="none" w:sz="0" w:space="0" w:color="auto"/>
          </w:divBdr>
        </w:div>
        <w:div w:id="1045914018">
          <w:marLeft w:val="640"/>
          <w:marRight w:val="0"/>
          <w:marTop w:val="0"/>
          <w:marBottom w:val="0"/>
          <w:divBdr>
            <w:top w:val="none" w:sz="0" w:space="0" w:color="auto"/>
            <w:left w:val="none" w:sz="0" w:space="0" w:color="auto"/>
            <w:bottom w:val="none" w:sz="0" w:space="0" w:color="auto"/>
            <w:right w:val="none" w:sz="0" w:space="0" w:color="auto"/>
          </w:divBdr>
        </w:div>
        <w:div w:id="1993829545">
          <w:marLeft w:val="640"/>
          <w:marRight w:val="0"/>
          <w:marTop w:val="0"/>
          <w:marBottom w:val="0"/>
          <w:divBdr>
            <w:top w:val="none" w:sz="0" w:space="0" w:color="auto"/>
            <w:left w:val="none" w:sz="0" w:space="0" w:color="auto"/>
            <w:bottom w:val="none" w:sz="0" w:space="0" w:color="auto"/>
            <w:right w:val="none" w:sz="0" w:space="0" w:color="auto"/>
          </w:divBdr>
        </w:div>
        <w:div w:id="1546286220">
          <w:marLeft w:val="640"/>
          <w:marRight w:val="0"/>
          <w:marTop w:val="0"/>
          <w:marBottom w:val="0"/>
          <w:divBdr>
            <w:top w:val="none" w:sz="0" w:space="0" w:color="auto"/>
            <w:left w:val="none" w:sz="0" w:space="0" w:color="auto"/>
            <w:bottom w:val="none" w:sz="0" w:space="0" w:color="auto"/>
            <w:right w:val="none" w:sz="0" w:space="0" w:color="auto"/>
          </w:divBdr>
        </w:div>
        <w:div w:id="1556619111">
          <w:marLeft w:val="640"/>
          <w:marRight w:val="0"/>
          <w:marTop w:val="0"/>
          <w:marBottom w:val="0"/>
          <w:divBdr>
            <w:top w:val="none" w:sz="0" w:space="0" w:color="auto"/>
            <w:left w:val="none" w:sz="0" w:space="0" w:color="auto"/>
            <w:bottom w:val="none" w:sz="0" w:space="0" w:color="auto"/>
            <w:right w:val="none" w:sz="0" w:space="0" w:color="auto"/>
          </w:divBdr>
        </w:div>
        <w:div w:id="729773155">
          <w:marLeft w:val="640"/>
          <w:marRight w:val="0"/>
          <w:marTop w:val="0"/>
          <w:marBottom w:val="0"/>
          <w:divBdr>
            <w:top w:val="none" w:sz="0" w:space="0" w:color="auto"/>
            <w:left w:val="none" w:sz="0" w:space="0" w:color="auto"/>
            <w:bottom w:val="none" w:sz="0" w:space="0" w:color="auto"/>
            <w:right w:val="none" w:sz="0" w:space="0" w:color="auto"/>
          </w:divBdr>
        </w:div>
        <w:div w:id="863979887">
          <w:marLeft w:val="640"/>
          <w:marRight w:val="0"/>
          <w:marTop w:val="0"/>
          <w:marBottom w:val="0"/>
          <w:divBdr>
            <w:top w:val="none" w:sz="0" w:space="0" w:color="auto"/>
            <w:left w:val="none" w:sz="0" w:space="0" w:color="auto"/>
            <w:bottom w:val="none" w:sz="0" w:space="0" w:color="auto"/>
            <w:right w:val="none" w:sz="0" w:space="0" w:color="auto"/>
          </w:divBdr>
        </w:div>
        <w:div w:id="1077362758">
          <w:marLeft w:val="640"/>
          <w:marRight w:val="0"/>
          <w:marTop w:val="0"/>
          <w:marBottom w:val="0"/>
          <w:divBdr>
            <w:top w:val="none" w:sz="0" w:space="0" w:color="auto"/>
            <w:left w:val="none" w:sz="0" w:space="0" w:color="auto"/>
            <w:bottom w:val="none" w:sz="0" w:space="0" w:color="auto"/>
            <w:right w:val="none" w:sz="0" w:space="0" w:color="auto"/>
          </w:divBdr>
        </w:div>
        <w:div w:id="1730611976">
          <w:marLeft w:val="640"/>
          <w:marRight w:val="0"/>
          <w:marTop w:val="0"/>
          <w:marBottom w:val="0"/>
          <w:divBdr>
            <w:top w:val="none" w:sz="0" w:space="0" w:color="auto"/>
            <w:left w:val="none" w:sz="0" w:space="0" w:color="auto"/>
            <w:bottom w:val="none" w:sz="0" w:space="0" w:color="auto"/>
            <w:right w:val="none" w:sz="0" w:space="0" w:color="auto"/>
          </w:divBdr>
        </w:div>
        <w:div w:id="1721007457">
          <w:marLeft w:val="640"/>
          <w:marRight w:val="0"/>
          <w:marTop w:val="0"/>
          <w:marBottom w:val="0"/>
          <w:divBdr>
            <w:top w:val="none" w:sz="0" w:space="0" w:color="auto"/>
            <w:left w:val="none" w:sz="0" w:space="0" w:color="auto"/>
            <w:bottom w:val="none" w:sz="0" w:space="0" w:color="auto"/>
            <w:right w:val="none" w:sz="0" w:space="0" w:color="auto"/>
          </w:divBdr>
        </w:div>
        <w:div w:id="351884814">
          <w:marLeft w:val="640"/>
          <w:marRight w:val="0"/>
          <w:marTop w:val="0"/>
          <w:marBottom w:val="0"/>
          <w:divBdr>
            <w:top w:val="none" w:sz="0" w:space="0" w:color="auto"/>
            <w:left w:val="none" w:sz="0" w:space="0" w:color="auto"/>
            <w:bottom w:val="none" w:sz="0" w:space="0" w:color="auto"/>
            <w:right w:val="none" w:sz="0" w:space="0" w:color="auto"/>
          </w:divBdr>
        </w:div>
        <w:div w:id="556015333">
          <w:marLeft w:val="640"/>
          <w:marRight w:val="0"/>
          <w:marTop w:val="0"/>
          <w:marBottom w:val="0"/>
          <w:divBdr>
            <w:top w:val="none" w:sz="0" w:space="0" w:color="auto"/>
            <w:left w:val="none" w:sz="0" w:space="0" w:color="auto"/>
            <w:bottom w:val="none" w:sz="0" w:space="0" w:color="auto"/>
            <w:right w:val="none" w:sz="0" w:space="0" w:color="auto"/>
          </w:divBdr>
        </w:div>
        <w:div w:id="1570454524">
          <w:marLeft w:val="640"/>
          <w:marRight w:val="0"/>
          <w:marTop w:val="0"/>
          <w:marBottom w:val="0"/>
          <w:divBdr>
            <w:top w:val="none" w:sz="0" w:space="0" w:color="auto"/>
            <w:left w:val="none" w:sz="0" w:space="0" w:color="auto"/>
            <w:bottom w:val="none" w:sz="0" w:space="0" w:color="auto"/>
            <w:right w:val="none" w:sz="0" w:space="0" w:color="auto"/>
          </w:divBdr>
        </w:div>
        <w:div w:id="390467988">
          <w:marLeft w:val="640"/>
          <w:marRight w:val="0"/>
          <w:marTop w:val="0"/>
          <w:marBottom w:val="0"/>
          <w:divBdr>
            <w:top w:val="none" w:sz="0" w:space="0" w:color="auto"/>
            <w:left w:val="none" w:sz="0" w:space="0" w:color="auto"/>
            <w:bottom w:val="none" w:sz="0" w:space="0" w:color="auto"/>
            <w:right w:val="none" w:sz="0" w:space="0" w:color="auto"/>
          </w:divBdr>
        </w:div>
        <w:div w:id="1366056905">
          <w:marLeft w:val="640"/>
          <w:marRight w:val="0"/>
          <w:marTop w:val="0"/>
          <w:marBottom w:val="0"/>
          <w:divBdr>
            <w:top w:val="none" w:sz="0" w:space="0" w:color="auto"/>
            <w:left w:val="none" w:sz="0" w:space="0" w:color="auto"/>
            <w:bottom w:val="none" w:sz="0" w:space="0" w:color="auto"/>
            <w:right w:val="none" w:sz="0" w:space="0" w:color="auto"/>
          </w:divBdr>
        </w:div>
        <w:div w:id="556867508">
          <w:marLeft w:val="640"/>
          <w:marRight w:val="0"/>
          <w:marTop w:val="0"/>
          <w:marBottom w:val="0"/>
          <w:divBdr>
            <w:top w:val="none" w:sz="0" w:space="0" w:color="auto"/>
            <w:left w:val="none" w:sz="0" w:space="0" w:color="auto"/>
            <w:bottom w:val="none" w:sz="0" w:space="0" w:color="auto"/>
            <w:right w:val="none" w:sz="0" w:space="0" w:color="auto"/>
          </w:divBdr>
        </w:div>
        <w:div w:id="296105601">
          <w:marLeft w:val="640"/>
          <w:marRight w:val="0"/>
          <w:marTop w:val="0"/>
          <w:marBottom w:val="0"/>
          <w:divBdr>
            <w:top w:val="none" w:sz="0" w:space="0" w:color="auto"/>
            <w:left w:val="none" w:sz="0" w:space="0" w:color="auto"/>
            <w:bottom w:val="none" w:sz="0" w:space="0" w:color="auto"/>
            <w:right w:val="none" w:sz="0" w:space="0" w:color="auto"/>
          </w:divBdr>
        </w:div>
        <w:div w:id="789471995">
          <w:marLeft w:val="640"/>
          <w:marRight w:val="0"/>
          <w:marTop w:val="0"/>
          <w:marBottom w:val="0"/>
          <w:divBdr>
            <w:top w:val="none" w:sz="0" w:space="0" w:color="auto"/>
            <w:left w:val="none" w:sz="0" w:space="0" w:color="auto"/>
            <w:bottom w:val="none" w:sz="0" w:space="0" w:color="auto"/>
            <w:right w:val="none" w:sz="0" w:space="0" w:color="auto"/>
          </w:divBdr>
        </w:div>
        <w:div w:id="616523417">
          <w:marLeft w:val="640"/>
          <w:marRight w:val="0"/>
          <w:marTop w:val="0"/>
          <w:marBottom w:val="0"/>
          <w:divBdr>
            <w:top w:val="none" w:sz="0" w:space="0" w:color="auto"/>
            <w:left w:val="none" w:sz="0" w:space="0" w:color="auto"/>
            <w:bottom w:val="none" w:sz="0" w:space="0" w:color="auto"/>
            <w:right w:val="none" w:sz="0" w:space="0" w:color="auto"/>
          </w:divBdr>
        </w:div>
        <w:div w:id="114371200">
          <w:marLeft w:val="640"/>
          <w:marRight w:val="0"/>
          <w:marTop w:val="0"/>
          <w:marBottom w:val="0"/>
          <w:divBdr>
            <w:top w:val="none" w:sz="0" w:space="0" w:color="auto"/>
            <w:left w:val="none" w:sz="0" w:space="0" w:color="auto"/>
            <w:bottom w:val="none" w:sz="0" w:space="0" w:color="auto"/>
            <w:right w:val="none" w:sz="0" w:space="0" w:color="auto"/>
          </w:divBdr>
        </w:div>
        <w:div w:id="1873876938">
          <w:marLeft w:val="640"/>
          <w:marRight w:val="0"/>
          <w:marTop w:val="0"/>
          <w:marBottom w:val="0"/>
          <w:divBdr>
            <w:top w:val="none" w:sz="0" w:space="0" w:color="auto"/>
            <w:left w:val="none" w:sz="0" w:space="0" w:color="auto"/>
            <w:bottom w:val="none" w:sz="0" w:space="0" w:color="auto"/>
            <w:right w:val="none" w:sz="0" w:space="0" w:color="auto"/>
          </w:divBdr>
        </w:div>
        <w:div w:id="1444181491">
          <w:marLeft w:val="640"/>
          <w:marRight w:val="0"/>
          <w:marTop w:val="0"/>
          <w:marBottom w:val="0"/>
          <w:divBdr>
            <w:top w:val="none" w:sz="0" w:space="0" w:color="auto"/>
            <w:left w:val="none" w:sz="0" w:space="0" w:color="auto"/>
            <w:bottom w:val="none" w:sz="0" w:space="0" w:color="auto"/>
            <w:right w:val="none" w:sz="0" w:space="0" w:color="auto"/>
          </w:divBdr>
        </w:div>
        <w:div w:id="1568765058">
          <w:marLeft w:val="640"/>
          <w:marRight w:val="0"/>
          <w:marTop w:val="0"/>
          <w:marBottom w:val="0"/>
          <w:divBdr>
            <w:top w:val="none" w:sz="0" w:space="0" w:color="auto"/>
            <w:left w:val="none" w:sz="0" w:space="0" w:color="auto"/>
            <w:bottom w:val="none" w:sz="0" w:space="0" w:color="auto"/>
            <w:right w:val="none" w:sz="0" w:space="0" w:color="auto"/>
          </w:divBdr>
        </w:div>
        <w:div w:id="1964189802">
          <w:marLeft w:val="640"/>
          <w:marRight w:val="0"/>
          <w:marTop w:val="0"/>
          <w:marBottom w:val="0"/>
          <w:divBdr>
            <w:top w:val="none" w:sz="0" w:space="0" w:color="auto"/>
            <w:left w:val="none" w:sz="0" w:space="0" w:color="auto"/>
            <w:bottom w:val="none" w:sz="0" w:space="0" w:color="auto"/>
            <w:right w:val="none" w:sz="0" w:space="0" w:color="auto"/>
          </w:divBdr>
        </w:div>
        <w:div w:id="1804342697">
          <w:marLeft w:val="640"/>
          <w:marRight w:val="0"/>
          <w:marTop w:val="0"/>
          <w:marBottom w:val="0"/>
          <w:divBdr>
            <w:top w:val="none" w:sz="0" w:space="0" w:color="auto"/>
            <w:left w:val="none" w:sz="0" w:space="0" w:color="auto"/>
            <w:bottom w:val="none" w:sz="0" w:space="0" w:color="auto"/>
            <w:right w:val="none" w:sz="0" w:space="0" w:color="auto"/>
          </w:divBdr>
        </w:div>
        <w:div w:id="547228694">
          <w:marLeft w:val="640"/>
          <w:marRight w:val="0"/>
          <w:marTop w:val="0"/>
          <w:marBottom w:val="0"/>
          <w:divBdr>
            <w:top w:val="none" w:sz="0" w:space="0" w:color="auto"/>
            <w:left w:val="none" w:sz="0" w:space="0" w:color="auto"/>
            <w:bottom w:val="none" w:sz="0" w:space="0" w:color="auto"/>
            <w:right w:val="none" w:sz="0" w:space="0" w:color="auto"/>
          </w:divBdr>
        </w:div>
        <w:div w:id="1685595441">
          <w:marLeft w:val="640"/>
          <w:marRight w:val="0"/>
          <w:marTop w:val="0"/>
          <w:marBottom w:val="0"/>
          <w:divBdr>
            <w:top w:val="none" w:sz="0" w:space="0" w:color="auto"/>
            <w:left w:val="none" w:sz="0" w:space="0" w:color="auto"/>
            <w:bottom w:val="none" w:sz="0" w:space="0" w:color="auto"/>
            <w:right w:val="none" w:sz="0" w:space="0" w:color="auto"/>
          </w:divBdr>
        </w:div>
        <w:div w:id="1645232710">
          <w:marLeft w:val="640"/>
          <w:marRight w:val="0"/>
          <w:marTop w:val="0"/>
          <w:marBottom w:val="0"/>
          <w:divBdr>
            <w:top w:val="none" w:sz="0" w:space="0" w:color="auto"/>
            <w:left w:val="none" w:sz="0" w:space="0" w:color="auto"/>
            <w:bottom w:val="none" w:sz="0" w:space="0" w:color="auto"/>
            <w:right w:val="none" w:sz="0" w:space="0" w:color="auto"/>
          </w:divBdr>
        </w:div>
        <w:div w:id="1610358286">
          <w:marLeft w:val="640"/>
          <w:marRight w:val="0"/>
          <w:marTop w:val="0"/>
          <w:marBottom w:val="0"/>
          <w:divBdr>
            <w:top w:val="none" w:sz="0" w:space="0" w:color="auto"/>
            <w:left w:val="none" w:sz="0" w:space="0" w:color="auto"/>
            <w:bottom w:val="none" w:sz="0" w:space="0" w:color="auto"/>
            <w:right w:val="none" w:sz="0" w:space="0" w:color="auto"/>
          </w:divBdr>
        </w:div>
        <w:div w:id="2051101384">
          <w:marLeft w:val="640"/>
          <w:marRight w:val="0"/>
          <w:marTop w:val="0"/>
          <w:marBottom w:val="0"/>
          <w:divBdr>
            <w:top w:val="none" w:sz="0" w:space="0" w:color="auto"/>
            <w:left w:val="none" w:sz="0" w:space="0" w:color="auto"/>
            <w:bottom w:val="none" w:sz="0" w:space="0" w:color="auto"/>
            <w:right w:val="none" w:sz="0" w:space="0" w:color="auto"/>
          </w:divBdr>
        </w:div>
        <w:div w:id="918179065">
          <w:marLeft w:val="640"/>
          <w:marRight w:val="0"/>
          <w:marTop w:val="0"/>
          <w:marBottom w:val="0"/>
          <w:divBdr>
            <w:top w:val="none" w:sz="0" w:space="0" w:color="auto"/>
            <w:left w:val="none" w:sz="0" w:space="0" w:color="auto"/>
            <w:bottom w:val="none" w:sz="0" w:space="0" w:color="auto"/>
            <w:right w:val="none" w:sz="0" w:space="0" w:color="auto"/>
          </w:divBdr>
        </w:div>
        <w:div w:id="611785016">
          <w:marLeft w:val="640"/>
          <w:marRight w:val="0"/>
          <w:marTop w:val="0"/>
          <w:marBottom w:val="0"/>
          <w:divBdr>
            <w:top w:val="none" w:sz="0" w:space="0" w:color="auto"/>
            <w:left w:val="none" w:sz="0" w:space="0" w:color="auto"/>
            <w:bottom w:val="none" w:sz="0" w:space="0" w:color="auto"/>
            <w:right w:val="none" w:sz="0" w:space="0" w:color="auto"/>
          </w:divBdr>
        </w:div>
        <w:div w:id="450789239">
          <w:marLeft w:val="640"/>
          <w:marRight w:val="0"/>
          <w:marTop w:val="0"/>
          <w:marBottom w:val="0"/>
          <w:divBdr>
            <w:top w:val="none" w:sz="0" w:space="0" w:color="auto"/>
            <w:left w:val="none" w:sz="0" w:space="0" w:color="auto"/>
            <w:bottom w:val="none" w:sz="0" w:space="0" w:color="auto"/>
            <w:right w:val="none" w:sz="0" w:space="0" w:color="auto"/>
          </w:divBdr>
        </w:div>
        <w:div w:id="1141385085">
          <w:marLeft w:val="640"/>
          <w:marRight w:val="0"/>
          <w:marTop w:val="0"/>
          <w:marBottom w:val="0"/>
          <w:divBdr>
            <w:top w:val="none" w:sz="0" w:space="0" w:color="auto"/>
            <w:left w:val="none" w:sz="0" w:space="0" w:color="auto"/>
            <w:bottom w:val="none" w:sz="0" w:space="0" w:color="auto"/>
            <w:right w:val="none" w:sz="0" w:space="0" w:color="auto"/>
          </w:divBdr>
        </w:div>
        <w:div w:id="1590115193">
          <w:marLeft w:val="640"/>
          <w:marRight w:val="0"/>
          <w:marTop w:val="0"/>
          <w:marBottom w:val="0"/>
          <w:divBdr>
            <w:top w:val="none" w:sz="0" w:space="0" w:color="auto"/>
            <w:left w:val="none" w:sz="0" w:space="0" w:color="auto"/>
            <w:bottom w:val="none" w:sz="0" w:space="0" w:color="auto"/>
            <w:right w:val="none" w:sz="0" w:space="0" w:color="auto"/>
          </w:divBdr>
        </w:div>
        <w:div w:id="366758318">
          <w:marLeft w:val="640"/>
          <w:marRight w:val="0"/>
          <w:marTop w:val="0"/>
          <w:marBottom w:val="0"/>
          <w:divBdr>
            <w:top w:val="none" w:sz="0" w:space="0" w:color="auto"/>
            <w:left w:val="none" w:sz="0" w:space="0" w:color="auto"/>
            <w:bottom w:val="none" w:sz="0" w:space="0" w:color="auto"/>
            <w:right w:val="none" w:sz="0" w:space="0" w:color="auto"/>
          </w:divBdr>
        </w:div>
        <w:div w:id="1818721207">
          <w:marLeft w:val="640"/>
          <w:marRight w:val="0"/>
          <w:marTop w:val="0"/>
          <w:marBottom w:val="0"/>
          <w:divBdr>
            <w:top w:val="none" w:sz="0" w:space="0" w:color="auto"/>
            <w:left w:val="none" w:sz="0" w:space="0" w:color="auto"/>
            <w:bottom w:val="none" w:sz="0" w:space="0" w:color="auto"/>
            <w:right w:val="none" w:sz="0" w:space="0" w:color="auto"/>
          </w:divBdr>
        </w:div>
        <w:div w:id="1794716019">
          <w:marLeft w:val="640"/>
          <w:marRight w:val="0"/>
          <w:marTop w:val="0"/>
          <w:marBottom w:val="0"/>
          <w:divBdr>
            <w:top w:val="none" w:sz="0" w:space="0" w:color="auto"/>
            <w:left w:val="none" w:sz="0" w:space="0" w:color="auto"/>
            <w:bottom w:val="none" w:sz="0" w:space="0" w:color="auto"/>
            <w:right w:val="none" w:sz="0" w:space="0" w:color="auto"/>
          </w:divBdr>
        </w:div>
        <w:div w:id="8215389">
          <w:marLeft w:val="640"/>
          <w:marRight w:val="0"/>
          <w:marTop w:val="0"/>
          <w:marBottom w:val="0"/>
          <w:divBdr>
            <w:top w:val="none" w:sz="0" w:space="0" w:color="auto"/>
            <w:left w:val="none" w:sz="0" w:space="0" w:color="auto"/>
            <w:bottom w:val="none" w:sz="0" w:space="0" w:color="auto"/>
            <w:right w:val="none" w:sz="0" w:space="0" w:color="auto"/>
          </w:divBdr>
        </w:div>
        <w:div w:id="1553225220">
          <w:marLeft w:val="640"/>
          <w:marRight w:val="0"/>
          <w:marTop w:val="0"/>
          <w:marBottom w:val="0"/>
          <w:divBdr>
            <w:top w:val="none" w:sz="0" w:space="0" w:color="auto"/>
            <w:left w:val="none" w:sz="0" w:space="0" w:color="auto"/>
            <w:bottom w:val="none" w:sz="0" w:space="0" w:color="auto"/>
            <w:right w:val="none" w:sz="0" w:space="0" w:color="auto"/>
          </w:divBdr>
        </w:div>
        <w:div w:id="1153256644">
          <w:marLeft w:val="640"/>
          <w:marRight w:val="0"/>
          <w:marTop w:val="0"/>
          <w:marBottom w:val="0"/>
          <w:divBdr>
            <w:top w:val="none" w:sz="0" w:space="0" w:color="auto"/>
            <w:left w:val="none" w:sz="0" w:space="0" w:color="auto"/>
            <w:bottom w:val="none" w:sz="0" w:space="0" w:color="auto"/>
            <w:right w:val="none" w:sz="0" w:space="0" w:color="auto"/>
          </w:divBdr>
        </w:div>
        <w:div w:id="2020346726">
          <w:marLeft w:val="640"/>
          <w:marRight w:val="0"/>
          <w:marTop w:val="0"/>
          <w:marBottom w:val="0"/>
          <w:divBdr>
            <w:top w:val="none" w:sz="0" w:space="0" w:color="auto"/>
            <w:left w:val="none" w:sz="0" w:space="0" w:color="auto"/>
            <w:bottom w:val="none" w:sz="0" w:space="0" w:color="auto"/>
            <w:right w:val="none" w:sz="0" w:space="0" w:color="auto"/>
          </w:divBdr>
        </w:div>
        <w:div w:id="1986935419">
          <w:marLeft w:val="640"/>
          <w:marRight w:val="0"/>
          <w:marTop w:val="0"/>
          <w:marBottom w:val="0"/>
          <w:divBdr>
            <w:top w:val="none" w:sz="0" w:space="0" w:color="auto"/>
            <w:left w:val="none" w:sz="0" w:space="0" w:color="auto"/>
            <w:bottom w:val="none" w:sz="0" w:space="0" w:color="auto"/>
            <w:right w:val="none" w:sz="0" w:space="0" w:color="auto"/>
          </w:divBdr>
        </w:div>
        <w:div w:id="1194880093">
          <w:marLeft w:val="640"/>
          <w:marRight w:val="0"/>
          <w:marTop w:val="0"/>
          <w:marBottom w:val="0"/>
          <w:divBdr>
            <w:top w:val="none" w:sz="0" w:space="0" w:color="auto"/>
            <w:left w:val="none" w:sz="0" w:space="0" w:color="auto"/>
            <w:bottom w:val="none" w:sz="0" w:space="0" w:color="auto"/>
            <w:right w:val="none" w:sz="0" w:space="0" w:color="auto"/>
          </w:divBdr>
        </w:div>
        <w:div w:id="87771292">
          <w:marLeft w:val="640"/>
          <w:marRight w:val="0"/>
          <w:marTop w:val="0"/>
          <w:marBottom w:val="0"/>
          <w:divBdr>
            <w:top w:val="none" w:sz="0" w:space="0" w:color="auto"/>
            <w:left w:val="none" w:sz="0" w:space="0" w:color="auto"/>
            <w:bottom w:val="none" w:sz="0" w:space="0" w:color="auto"/>
            <w:right w:val="none" w:sz="0" w:space="0" w:color="auto"/>
          </w:divBdr>
        </w:div>
        <w:div w:id="1841430844">
          <w:marLeft w:val="640"/>
          <w:marRight w:val="0"/>
          <w:marTop w:val="0"/>
          <w:marBottom w:val="0"/>
          <w:divBdr>
            <w:top w:val="none" w:sz="0" w:space="0" w:color="auto"/>
            <w:left w:val="none" w:sz="0" w:space="0" w:color="auto"/>
            <w:bottom w:val="none" w:sz="0" w:space="0" w:color="auto"/>
            <w:right w:val="none" w:sz="0" w:space="0" w:color="auto"/>
          </w:divBdr>
        </w:div>
        <w:div w:id="1737583110">
          <w:marLeft w:val="640"/>
          <w:marRight w:val="0"/>
          <w:marTop w:val="0"/>
          <w:marBottom w:val="0"/>
          <w:divBdr>
            <w:top w:val="none" w:sz="0" w:space="0" w:color="auto"/>
            <w:left w:val="none" w:sz="0" w:space="0" w:color="auto"/>
            <w:bottom w:val="none" w:sz="0" w:space="0" w:color="auto"/>
            <w:right w:val="none" w:sz="0" w:space="0" w:color="auto"/>
          </w:divBdr>
        </w:div>
        <w:div w:id="1389962653">
          <w:marLeft w:val="640"/>
          <w:marRight w:val="0"/>
          <w:marTop w:val="0"/>
          <w:marBottom w:val="0"/>
          <w:divBdr>
            <w:top w:val="none" w:sz="0" w:space="0" w:color="auto"/>
            <w:left w:val="none" w:sz="0" w:space="0" w:color="auto"/>
            <w:bottom w:val="none" w:sz="0" w:space="0" w:color="auto"/>
            <w:right w:val="none" w:sz="0" w:space="0" w:color="auto"/>
          </w:divBdr>
        </w:div>
        <w:div w:id="1596670850">
          <w:marLeft w:val="640"/>
          <w:marRight w:val="0"/>
          <w:marTop w:val="0"/>
          <w:marBottom w:val="0"/>
          <w:divBdr>
            <w:top w:val="none" w:sz="0" w:space="0" w:color="auto"/>
            <w:left w:val="none" w:sz="0" w:space="0" w:color="auto"/>
            <w:bottom w:val="none" w:sz="0" w:space="0" w:color="auto"/>
            <w:right w:val="none" w:sz="0" w:space="0" w:color="auto"/>
          </w:divBdr>
        </w:div>
        <w:div w:id="1946960947">
          <w:marLeft w:val="640"/>
          <w:marRight w:val="0"/>
          <w:marTop w:val="0"/>
          <w:marBottom w:val="0"/>
          <w:divBdr>
            <w:top w:val="none" w:sz="0" w:space="0" w:color="auto"/>
            <w:left w:val="none" w:sz="0" w:space="0" w:color="auto"/>
            <w:bottom w:val="none" w:sz="0" w:space="0" w:color="auto"/>
            <w:right w:val="none" w:sz="0" w:space="0" w:color="auto"/>
          </w:divBdr>
        </w:div>
        <w:div w:id="269120562">
          <w:marLeft w:val="640"/>
          <w:marRight w:val="0"/>
          <w:marTop w:val="0"/>
          <w:marBottom w:val="0"/>
          <w:divBdr>
            <w:top w:val="none" w:sz="0" w:space="0" w:color="auto"/>
            <w:left w:val="none" w:sz="0" w:space="0" w:color="auto"/>
            <w:bottom w:val="none" w:sz="0" w:space="0" w:color="auto"/>
            <w:right w:val="none" w:sz="0" w:space="0" w:color="auto"/>
          </w:divBdr>
        </w:div>
        <w:div w:id="1308901982">
          <w:marLeft w:val="640"/>
          <w:marRight w:val="0"/>
          <w:marTop w:val="0"/>
          <w:marBottom w:val="0"/>
          <w:divBdr>
            <w:top w:val="none" w:sz="0" w:space="0" w:color="auto"/>
            <w:left w:val="none" w:sz="0" w:space="0" w:color="auto"/>
            <w:bottom w:val="none" w:sz="0" w:space="0" w:color="auto"/>
            <w:right w:val="none" w:sz="0" w:space="0" w:color="auto"/>
          </w:divBdr>
        </w:div>
        <w:div w:id="1573077765">
          <w:marLeft w:val="640"/>
          <w:marRight w:val="0"/>
          <w:marTop w:val="0"/>
          <w:marBottom w:val="0"/>
          <w:divBdr>
            <w:top w:val="none" w:sz="0" w:space="0" w:color="auto"/>
            <w:left w:val="none" w:sz="0" w:space="0" w:color="auto"/>
            <w:bottom w:val="none" w:sz="0" w:space="0" w:color="auto"/>
            <w:right w:val="none" w:sz="0" w:space="0" w:color="auto"/>
          </w:divBdr>
        </w:div>
        <w:div w:id="440302605">
          <w:marLeft w:val="640"/>
          <w:marRight w:val="0"/>
          <w:marTop w:val="0"/>
          <w:marBottom w:val="0"/>
          <w:divBdr>
            <w:top w:val="none" w:sz="0" w:space="0" w:color="auto"/>
            <w:left w:val="none" w:sz="0" w:space="0" w:color="auto"/>
            <w:bottom w:val="none" w:sz="0" w:space="0" w:color="auto"/>
            <w:right w:val="none" w:sz="0" w:space="0" w:color="auto"/>
          </w:divBdr>
        </w:div>
        <w:div w:id="559637112">
          <w:marLeft w:val="640"/>
          <w:marRight w:val="0"/>
          <w:marTop w:val="0"/>
          <w:marBottom w:val="0"/>
          <w:divBdr>
            <w:top w:val="none" w:sz="0" w:space="0" w:color="auto"/>
            <w:left w:val="none" w:sz="0" w:space="0" w:color="auto"/>
            <w:bottom w:val="none" w:sz="0" w:space="0" w:color="auto"/>
            <w:right w:val="none" w:sz="0" w:space="0" w:color="auto"/>
          </w:divBdr>
        </w:div>
        <w:div w:id="1275290047">
          <w:marLeft w:val="640"/>
          <w:marRight w:val="0"/>
          <w:marTop w:val="0"/>
          <w:marBottom w:val="0"/>
          <w:divBdr>
            <w:top w:val="none" w:sz="0" w:space="0" w:color="auto"/>
            <w:left w:val="none" w:sz="0" w:space="0" w:color="auto"/>
            <w:bottom w:val="none" w:sz="0" w:space="0" w:color="auto"/>
            <w:right w:val="none" w:sz="0" w:space="0" w:color="auto"/>
          </w:divBdr>
        </w:div>
        <w:div w:id="1276526116">
          <w:marLeft w:val="640"/>
          <w:marRight w:val="0"/>
          <w:marTop w:val="0"/>
          <w:marBottom w:val="0"/>
          <w:divBdr>
            <w:top w:val="none" w:sz="0" w:space="0" w:color="auto"/>
            <w:left w:val="none" w:sz="0" w:space="0" w:color="auto"/>
            <w:bottom w:val="none" w:sz="0" w:space="0" w:color="auto"/>
            <w:right w:val="none" w:sz="0" w:space="0" w:color="auto"/>
          </w:divBdr>
        </w:div>
        <w:div w:id="253364267">
          <w:marLeft w:val="640"/>
          <w:marRight w:val="0"/>
          <w:marTop w:val="0"/>
          <w:marBottom w:val="0"/>
          <w:divBdr>
            <w:top w:val="none" w:sz="0" w:space="0" w:color="auto"/>
            <w:left w:val="none" w:sz="0" w:space="0" w:color="auto"/>
            <w:bottom w:val="none" w:sz="0" w:space="0" w:color="auto"/>
            <w:right w:val="none" w:sz="0" w:space="0" w:color="auto"/>
          </w:divBdr>
        </w:div>
        <w:div w:id="5057846">
          <w:marLeft w:val="640"/>
          <w:marRight w:val="0"/>
          <w:marTop w:val="0"/>
          <w:marBottom w:val="0"/>
          <w:divBdr>
            <w:top w:val="none" w:sz="0" w:space="0" w:color="auto"/>
            <w:left w:val="none" w:sz="0" w:space="0" w:color="auto"/>
            <w:bottom w:val="none" w:sz="0" w:space="0" w:color="auto"/>
            <w:right w:val="none" w:sz="0" w:space="0" w:color="auto"/>
          </w:divBdr>
        </w:div>
        <w:div w:id="1234512537">
          <w:marLeft w:val="640"/>
          <w:marRight w:val="0"/>
          <w:marTop w:val="0"/>
          <w:marBottom w:val="0"/>
          <w:divBdr>
            <w:top w:val="none" w:sz="0" w:space="0" w:color="auto"/>
            <w:left w:val="none" w:sz="0" w:space="0" w:color="auto"/>
            <w:bottom w:val="none" w:sz="0" w:space="0" w:color="auto"/>
            <w:right w:val="none" w:sz="0" w:space="0" w:color="auto"/>
          </w:divBdr>
        </w:div>
        <w:div w:id="1607732703">
          <w:marLeft w:val="640"/>
          <w:marRight w:val="0"/>
          <w:marTop w:val="0"/>
          <w:marBottom w:val="0"/>
          <w:divBdr>
            <w:top w:val="none" w:sz="0" w:space="0" w:color="auto"/>
            <w:left w:val="none" w:sz="0" w:space="0" w:color="auto"/>
            <w:bottom w:val="none" w:sz="0" w:space="0" w:color="auto"/>
            <w:right w:val="none" w:sz="0" w:space="0" w:color="auto"/>
          </w:divBdr>
        </w:div>
        <w:div w:id="308943028">
          <w:marLeft w:val="640"/>
          <w:marRight w:val="0"/>
          <w:marTop w:val="0"/>
          <w:marBottom w:val="0"/>
          <w:divBdr>
            <w:top w:val="none" w:sz="0" w:space="0" w:color="auto"/>
            <w:left w:val="none" w:sz="0" w:space="0" w:color="auto"/>
            <w:bottom w:val="none" w:sz="0" w:space="0" w:color="auto"/>
            <w:right w:val="none" w:sz="0" w:space="0" w:color="auto"/>
          </w:divBdr>
        </w:div>
        <w:div w:id="2087336737">
          <w:marLeft w:val="640"/>
          <w:marRight w:val="0"/>
          <w:marTop w:val="0"/>
          <w:marBottom w:val="0"/>
          <w:divBdr>
            <w:top w:val="none" w:sz="0" w:space="0" w:color="auto"/>
            <w:left w:val="none" w:sz="0" w:space="0" w:color="auto"/>
            <w:bottom w:val="none" w:sz="0" w:space="0" w:color="auto"/>
            <w:right w:val="none" w:sz="0" w:space="0" w:color="auto"/>
          </w:divBdr>
        </w:div>
        <w:div w:id="2027322008">
          <w:marLeft w:val="640"/>
          <w:marRight w:val="0"/>
          <w:marTop w:val="0"/>
          <w:marBottom w:val="0"/>
          <w:divBdr>
            <w:top w:val="none" w:sz="0" w:space="0" w:color="auto"/>
            <w:left w:val="none" w:sz="0" w:space="0" w:color="auto"/>
            <w:bottom w:val="none" w:sz="0" w:space="0" w:color="auto"/>
            <w:right w:val="none" w:sz="0" w:space="0" w:color="auto"/>
          </w:divBdr>
        </w:div>
        <w:div w:id="462772619">
          <w:marLeft w:val="640"/>
          <w:marRight w:val="0"/>
          <w:marTop w:val="0"/>
          <w:marBottom w:val="0"/>
          <w:divBdr>
            <w:top w:val="none" w:sz="0" w:space="0" w:color="auto"/>
            <w:left w:val="none" w:sz="0" w:space="0" w:color="auto"/>
            <w:bottom w:val="none" w:sz="0" w:space="0" w:color="auto"/>
            <w:right w:val="none" w:sz="0" w:space="0" w:color="auto"/>
          </w:divBdr>
        </w:div>
        <w:div w:id="1405496366">
          <w:marLeft w:val="640"/>
          <w:marRight w:val="0"/>
          <w:marTop w:val="0"/>
          <w:marBottom w:val="0"/>
          <w:divBdr>
            <w:top w:val="none" w:sz="0" w:space="0" w:color="auto"/>
            <w:left w:val="none" w:sz="0" w:space="0" w:color="auto"/>
            <w:bottom w:val="none" w:sz="0" w:space="0" w:color="auto"/>
            <w:right w:val="none" w:sz="0" w:space="0" w:color="auto"/>
          </w:divBdr>
        </w:div>
        <w:div w:id="1420255382">
          <w:marLeft w:val="640"/>
          <w:marRight w:val="0"/>
          <w:marTop w:val="0"/>
          <w:marBottom w:val="0"/>
          <w:divBdr>
            <w:top w:val="none" w:sz="0" w:space="0" w:color="auto"/>
            <w:left w:val="none" w:sz="0" w:space="0" w:color="auto"/>
            <w:bottom w:val="none" w:sz="0" w:space="0" w:color="auto"/>
            <w:right w:val="none" w:sz="0" w:space="0" w:color="auto"/>
          </w:divBdr>
        </w:div>
        <w:div w:id="1719011523">
          <w:marLeft w:val="640"/>
          <w:marRight w:val="0"/>
          <w:marTop w:val="0"/>
          <w:marBottom w:val="0"/>
          <w:divBdr>
            <w:top w:val="none" w:sz="0" w:space="0" w:color="auto"/>
            <w:left w:val="none" w:sz="0" w:space="0" w:color="auto"/>
            <w:bottom w:val="none" w:sz="0" w:space="0" w:color="auto"/>
            <w:right w:val="none" w:sz="0" w:space="0" w:color="auto"/>
          </w:divBdr>
        </w:div>
        <w:div w:id="1564563235">
          <w:marLeft w:val="640"/>
          <w:marRight w:val="0"/>
          <w:marTop w:val="0"/>
          <w:marBottom w:val="0"/>
          <w:divBdr>
            <w:top w:val="none" w:sz="0" w:space="0" w:color="auto"/>
            <w:left w:val="none" w:sz="0" w:space="0" w:color="auto"/>
            <w:bottom w:val="none" w:sz="0" w:space="0" w:color="auto"/>
            <w:right w:val="none" w:sz="0" w:space="0" w:color="auto"/>
          </w:divBdr>
        </w:div>
        <w:div w:id="1961450478">
          <w:marLeft w:val="640"/>
          <w:marRight w:val="0"/>
          <w:marTop w:val="0"/>
          <w:marBottom w:val="0"/>
          <w:divBdr>
            <w:top w:val="none" w:sz="0" w:space="0" w:color="auto"/>
            <w:left w:val="none" w:sz="0" w:space="0" w:color="auto"/>
            <w:bottom w:val="none" w:sz="0" w:space="0" w:color="auto"/>
            <w:right w:val="none" w:sz="0" w:space="0" w:color="auto"/>
          </w:divBdr>
        </w:div>
        <w:div w:id="1205169910">
          <w:marLeft w:val="640"/>
          <w:marRight w:val="0"/>
          <w:marTop w:val="0"/>
          <w:marBottom w:val="0"/>
          <w:divBdr>
            <w:top w:val="none" w:sz="0" w:space="0" w:color="auto"/>
            <w:left w:val="none" w:sz="0" w:space="0" w:color="auto"/>
            <w:bottom w:val="none" w:sz="0" w:space="0" w:color="auto"/>
            <w:right w:val="none" w:sz="0" w:space="0" w:color="auto"/>
          </w:divBdr>
        </w:div>
        <w:div w:id="734861431">
          <w:marLeft w:val="640"/>
          <w:marRight w:val="0"/>
          <w:marTop w:val="0"/>
          <w:marBottom w:val="0"/>
          <w:divBdr>
            <w:top w:val="none" w:sz="0" w:space="0" w:color="auto"/>
            <w:left w:val="none" w:sz="0" w:space="0" w:color="auto"/>
            <w:bottom w:val="none" w:sz="0" w:space="0" w:color="auto"/>
            <w:right w:val="none" w:sz="0" w:space="0" w:color="auto"/>
          </w:divBdr>
        </w:div>
        <w:div w:id="1686446346">
          <w:marLeft w:val="640"/>
          <w:marRight w:val="0"/>
          <w:marTop w:val="0"/>
          <w:marBottom w:val="0"/>
          <w:divBdr>
            <w:top w:val="none" w:sz="0" w:space="0" w:color="auto"/>
            <w:left w:val="none" w:sz="0" w:space="0" w:color="auto"/>
            <w:bottom w:val="none" w:sz="0" w:space="0" w:color="auto"/>
            <w:right w:val="none" w:sz="0" w:space="0" w:color="auto"/>
          </w:divBdr>
        </w:div>
        <w:div w:id="328363902">
          <w:marLeft w:val="640"/>
          <w:marRight w:val="0"/>
          <w:marTop w:val="0"/>
          <w:marBottom w:val="0"/>
          <w:divBdr>
            <w:top w:val="none" w:sz="0" w:space="0" w:color="auto"/>
            <w:left w:val="none" w:sz="0" w:space="0" w:color="auto"/>
            <w:bottom w:val="none" w:sz="0" w:space="0" w:color="auto"/>
            <w:right w:val="none" w:sz="0" w:space="0" w:color="auto"/>
          </w:divBdr>
        </w:div>
        <w:div w:id="1188907571">
          <w:marLeft w:val="640"/>
          <w:marRight w:val="0"/>
          <w:marTop w:val="0"/>
          <w:marBottom w:val="0"/>
          <w:divBdr>
            <w:top w:val="none" w:sz="0" w:space="0" w:color="auto"/>
            <w:left w:val="none" w:sz="0" w:space="0" w:color="auto"/>
            <w:bottom w:val="none" w:sz="0" w:space="0" w:color="auto"/>
            <w:right w:val="none" w:sz="0" w:space="0" w:color="auto"/>
          </w:divBdr>
        </w:div>
        <w:div w:id="1082947316">
          <w:marLeft w:val="640"/>
          <w:marRight w:val="0"/>
          <w:marTop w:val="0"/>
          <w:marBottom w:val="0"/>
          <w:divBdr>
            <w:top w:val="none" w:sz="0" w:space="0" w:color="auto"/>
            <w:left w:val="none" w:sz="0" w:space="0" w:color="auto"/>
            <w:bottom w:val="none" w:sz="0" w:space="0" w:color="auto"/>
            <w:right w:val="none" w:sz="0" w:space="0" w:color="auto"/>
          </w:divBdr>
        </w:div>
        <w:div w:id="1404722378">
          <w:marLeft w:val="640"/>
          <w:marRight w:val="0"/>
          <w:marTop w:val="0"/>
          <w:marBottom w:val="0"/>
          <w:divBdr>
            <w:top w:val="none" w:sz="0" w:space="0" w:color="auto"/>
            <w:left w:val="none" w:sz="0" w:space="0" w:color="auto"/>
            <w:bottom w:val="none" w:sz="0" w:space="0" w:color="auto"/>
            <w:right w:val="none" w:sz="0" w:space="0" w:color="auto"/>
          </w:divBdr>
        </w:div>
        <w:div w:id="1955945477">
          <w:marLeft w:val="640"/>
          <w:marRight w:val="0"/>
          <w:marTop w:val="0"/>
          <w:marBottom w:val="0"/>
          <w:divBdr>
            <w:top w:val="none" w:sz="0" w:space="0" w:color="auto"/>
            <w:left w:val="none" w:sz="0" w:space="0" w:color="auto"/>
            <w:bottom w:val="none" w:sz="0" w:space="0" w:color="auto"/>
            <w:right w:val="none" w:sz="0" w:space="0" w:color="auto"/>
          </w:divBdr>
        </w:div>
        <w:div w:id="1693724340">
          <w:marLeft w:val="640"/>
          <w:marRight w:val="0"/>
          <w:marTop w:val="0"/>
          <w:marBottom w:val="0"/>
          <w:divBdr>
            <w:top w:val="none" w:sz="0" w:space="0" w:color="auto"/>
            <w:left w:val="none" w:sz="0" w:space="0" w:color="auto"/>
            <w:bottom w:val="none" w:sz="0" w:space="0" w:color="auto"/>
            <w:right w:val="none" w:sz="0" w:space="0" w:color="auto"/>
          </w:divBdr>
        </w:div>
        <w:div w:id="1921792412">
          <w:marLeft w:val="640"/>
          <w:marRight w:val="0"/>
          <w:marTop w:val="0"/>
          <w:marBottom w:val="0"/>
          <w:divBdr>
            <w:top w:val="none" w:sz="0" w:space="0" w:color="auto"/>
            <w:left w:val="none" w:sz="0" w:space="0" w:color="auto"/>
            <w:bottom w:val="none" w:sz="0" w:space="0" w:color="auto"/>
            <w:right w:val="none" w:sz="0" w:space="0" w:color="auto"/>
          </w:divBdr>
        </w:div>
        <w:div w:id="43526679">
          <w:marLeft w:val="640"/>
          <w:marRight w:val="0"/>
          <w:marTop w:val="0"/>
          <w:marBottom w:val="0"/>
          <w:divBdr>
            <w:top w:val="none" w:sz="0" w:space="0" w:color="auto"/>
            <w:left w:val="none" w:sz="0" w:space="0" w:color="auto"/>
            <w:bottom w:val="none" w:sz="0" w:space="0" w:color="auto"/>
            <w:right w:val="none" w:sz="0" w:space="0" w:color="auto"/>
          </w:divBdr>
        </w:div>
        <w:div w:id="904603324">
          <w:marLeft w:val="640"/>
          <w:marRight w:val="0"/>
          <w:marTop w:val="0"/>
          <w:marBottom w:val="0"/>
          <w:divBdr>
            <w:top w:val="none" w:sz="0" w:space="0" w:color="auto"/>
            <w:left w:val="none" w:sz="0" w:space="0" w:color="auto"/>
            <w:bottom w:val="none" w:sz="0" w:space="0" w:color="auto"/>
            <w:right w:val="none" w:sz="0" w:space="0" w:color="auto"/>
          </w:divBdr>
        </w:div>
        <w:div w:id="1065685511">
          <w:marLeft w:val="640"/>
          <w:marRight w:val="0"/>
          <w:marTop w:val="0"/>
          <w:marBottom w:val="0"/>
          <w:divBdr>
            <w:top w:val="none" w:sz="0" w:space="0" w:color="auto"/>
            <w:left w:val="none" w:sz="0" w:space="0" w:color="auto"/>
            <w:bottom w:val="none" w:sz="0" w:space="0" w:color="auto"/>
            <w:right w:val="none" w:sz="0" w:space="0" w:color="auto"/>
          </w:divBdr>
        </w:div>
        <w:div w:id="2113160995">
          <w:marLeft w:val="640"/>
          <w:marRight w:val="0"/>
          <w:marTop w:val="0"/>
          <w:marBottom w:val="0"/>
          <w:divBdr>
            <w:top w:val="none" w:sz="0" w:space="0" w:color="auto"/>
            <w:left w:val="none" w:sz="0" w:space="0" w:color="auto"/>
            <w:bottom w:val="none" w:sz="0" w:space="0" w:color="auto"/>
            <w:right w:val="none" w:sz="0" w:space="0" w:color="auto"/>
          </w:divBdr>
        </w:div>
        <w:div w:id="457799559">
          <w:marLeft w:val="640"/>
          <w:marRight w:val="0"/>
          <w:marTop w:val="0"/>
          <w:marBottom w:val="0"/>
          <w:divBdr>
            <w:top w:val="none" w:sz="0" w:space="0" w:color="auto"/>
            <w:left w:val="none" w:sz="0" w:space="0" w:color="auto"/>
            <w:bottom w:val="none" w:sz="0" w:space="0" w:color="auto"/>
            <w:right w:val="none" w:sz="0" w:space="0" w:color="auto"/>
          </w:divBdr>
        </w:div>
        <w:div w:id="1064640138">
          <w:marLeft w:val="640"/>
          <w:marRight w:val="0"/>
          <w:marTop w:val="0"/>
          <w:marBottom w:val="0"/>
          <w:divBdr>
            <w:top w:val="none" w:sz="0" w:space="0" w:color="auto"/>
            <w:left w:val="none" w:sz="0" w:space="0" w:color="auto"/>
            <w:bottom w:val="none" w:sz="0" w:space="0" w:color="auto"/>
            <w:right w:val="none" w:sz="0" w:space="0" w:color="auto"/>
          </w:divBdr>
        </w:div>
        <w:div w:id="1551846506">
          <w:marLeft w:val="640"/>
          <w:marRight w:val="0"/>
          <w:marTop w:val="0"/>
          <w:marBottom w:val="0"/>
          <w:divBdr>
            <w:top w:val="none" w:sz="0" w:space="0" w:color="auto"/>
            <w:left w:val="none" w:sz="0" w:space="0" w:color="auto"/>
            <w:bottom w:val="none" w:sz="0" w:space="0" w:color="auto"/>
            <w:right w:val="none" w:sz="0" w:space="0" w:color="auto"/>
          </w:divBdr>
        </w:div>
        <w:div w:id="1310523731">
          <w:marLeft w:val="640"/>
          <w:marRight w:val="0"/>
          <w:marTop w:val="0"/>
          <w:marBottom w:val="0"/>
          <w:divBdr>
            <w:top w:val="none" w:sz="0" w:space="0" w:color="auto"/>
            <w:left w:val="none" w:sz="0" w:space="0" w:color="auto"/>
            <w:bottom w:val="none" w:sz="0" w:space="0" w:color="auto"/>
            <w:right w:val="none" w:sz="0" w:space="0" w:color="auto"/>
          </w:divBdr>
        </w:div>
        <w:div w:id="1461680739">
          <w:marLeft w:val="640"/>
          <w:marRight w:val="0"/>
          <w:marTop w:val="0"/>
          <w:marBottom w:val="0"/>
          <w:divBdr>
            <w:top w:val="none" w:sz="0" w:space="0" w:color="auto"/>
            <w:left w:val="none" w:sz="0" w:space="0" w:color="auto"/>
            <w:bottom w:val="none" w:sz="0" w:space="0" w:color="auto"/>
            <w:right w:val="none" w:sz="0" w:space="0" w:color="auto"/>
          </w:divBdr>
        </w:div>
        <w:div w:id="296108261">
          <w:marLeft w:val="640"/>
          <w:marRight w:val="0"/>
          <w:marTop w:val="0"/>
          <w:marBottom w:val="0"/>
          <w:divBdr>
            <w:top w:val="none" w:sz="0" w:space="0" w:color="auto"/>
            <w:left w:val="none" w:sz="0" w:space="0" w:color="auto"/>
            <w:bottom w:val="none" w:sz="0" w:space="0" w:color="auto"/>
            <w:right w:val="none" w:sz="0" w:space="0" w:color="auto"/>
          </w:divBdr>
        </w:div>
        <w:div w:id="1121922298">
          <w:marLeft w:val="640"/>
          <w:marRight w:val="0"/>
          <w:marTop w:val="0"/>
          <w:marBottom w:val="0"/>
          <w:divBdr>
            <w:top w:val="none" w:sz="0" w:space="0" w:color="auto"/>
            <w:left w:val="none" w:sz="0" w:space="0" w:color="auto"/>
            <w:bottom w:val="none" w:sz="0" w:space="0" w:color="auto"/>
            <w:right w:val="none" w:sz="0" w:space="0" w:color="auto"/>
          </w:divBdr>
        </w:div>
        <w:div w:id="369304403">
          <w:marLeft w:val="640"/>
          <w:marRight w:val="0"/>
          <w:marTop w:val="0"/>
          <w:marBottom w:val="0"/>
          <w:divBdr>
            <w:top w:val="none" w:sz="0" w:space="0" w:color="auto"/>
            <w:left w:val="none" w:sz="0" w:space="0" w:color="auto"/>
            <w:bottom w:val="none" w:sz="0" w:space="0" w:color="auto"/>
            <w:right w:val="none" w:sz="0" w:space="0" w:color="auto"/>
          </w:divBdr>
        </w:div>
        <w:div w:id="875048992">
          <w:marLeft w:val="640"/>
          <w:marRight w:val="0"/>
          <w:marTop w:val="0"/>
          <w:marBottom w:val="0"/>
          <w:divBdr>
            <w:top w:val="none" w:sz="0" w:space="0" w:color="auto"/>
            <w:left w:val="none" w:sz="0" w:space="0" w:color="auto"/>
            <w:bottom w:val="none" w:sz="0" w:space="0" w:color="auto"/>
            <w:right w:val="none" w:sz="0" w:space="0" w:color="auto"/>
          </w:divBdr>
        </w:div>
        <w:div w:id="1025210323">
          <w:marLeft w:val="640"/>
          <w:marRight w:val="0"/>
          <w:marTop w:val="0"/>
          <w:marBottom w:val="0"/>
          <w:divBdr>
            <w:top w:val="none" w:sz="0" w:space="0" w:color="auto"/>
            <w:left w:val="none" w:sz="0" w:space="0" w:color="auto"/>
            <w:bottom w:val="none" w:sz="0" w:space="0" w:color="auto"/>
            <w:right w:val="none" w:sz="0" w:space="0" w:color="auto"/>
          </w:divBdr>
        </w:div>
        <w:div w:id="57022916">
          <w:marLeft w:val="640"/>
          <w:marRight w:val="0"/>
          <w:marTop w:val="0"/>
          <w:marBottom w:val="0"/>
          <w:divBdr>
            <w:top w:val="none" w:sz="0" w:space="0" w:color="auto"/>
            <w:left w:val="none" w:sz="0" w:space="0" w:color="auto"/>
            <w:bottom w:val="none" w:sz="0" w:space="0" w:color="auto"/>
            <w:right w:val="none" w:sz="0" w:space="0" w:color="auto"/>
          </w:divBdr>
        </w:div>
        <w:div w:id="2016837256">
          <w:marLeft w:val="640"/>
          <w:marRight w:val="0"/>
          <w:marTop w:val="0"/>
          <w:marBottom w:val="0"/>
          <w:divBdr>
            <w:top w:val="none" w:sz="0" w:space="0" w:color="auto"/>
            <w:left w:val="none" w:sz="0" w:space="0" w:color="auto"/>
            <w:bottom w:val="none" w:sz="0" w:space="0" w:color="auto"/>
            <w:right w:val="none" w:sz="0" w:space="0" w:color="auto"/>
          </w:divBdr>
        </w:div>
        <w:div w:id="704644724">
          <w:marLeft w:val="640"/>
          <w:marRight w:val="0"/>
          <w:marTop w:val="0"/>
          <w:marBottom w:val="0"/>
          <w:divBdr>
            <w:top w:val="none" w:sz="0" w:space="0" w:color="auto"/>
            <w:left w:val="none" w:sz="0" w:space="0" w:color="auto"/>
            <w:bottom w:val="none" w:sz="0" w:space="0" w:color="auto"/>
            <w:right w:val="none" w:sz="0" w:space="0" w:color="auto"/>
          </w:divBdr>
        </w:div>
        <w:div w:id="502939995">
          <w:marLeft w:val="640"/>
          <w:marRight w:val="0"/>
          <w:marTop w:val="0"/>
          <w:marBottom w:val="0"/>
          <w:divBdr>
            <w:top w:val="none" w:sz="0" w:space="0" w:color="auto"/>
            <w:left w:val="none" w:sz="0" w:space="0" w:color="auto"/>
            <w:bottom w:val="none" w:sz="0" w:space="0" w:color="auto"/>
            <w:right w:val="none" w:sz="0" w:space="0" w:color="auto"/>
          </w:divBdr>
        </w:div>
        <w:div w:id="497960565">
          <w:marLeft w:val="640"/>
          <w:marRight w:val="0"/>
          <w:marTop w:val="0"/>
          <w:marBottom w:val="0"/>
          <w:divBdr>
            <w:top w:val="none" w:sz="0" w:space="0" w:color="auto"/>
            <w:left w:val="none" w:sz="0" w:space="0" w:color="auto"/>
            <w:bottom w:val="none" w:sz="0" w:space="0" w:color="auto"/>
            <w:right w:val="none" w:sz="0" w:space="0" w:color="auto"/>
          </w:divBdr>
        </w:div>
        <w:div w:id="1685865480">
          <w:marLeft w:val="640"/>
          <w:marRight w:val="0"/>
          <w:marTop w:val="0"/>
          <w:marBottom w:val="0"/>
          <w:divBdr>
            <w:top w:val="none" w:sz="0" w:space="0" w:color="auto"/>
            <w:left w:val="none" w:sz="0" w:space="0" w:color="auto"/>
            <w:bottom w:val="none" w:sz="0" w:space="0" w:color="auto"/>
            <w:right w:val="none" w:sz="0" w:space="0" w:color="auto"/>
          </w:divBdr>
        </w:div>
        <w:div w:id="1466657568">
          <w:marLeft w:val="640"/>
          <w:marRight w:val="0"/>
          <w:marTop w:val="0"/>
          <w:marBottom w:val="0"/>
          <w:divBdr>
            <w:top w:val="none" w:sz="0" w:space="0" w:color="auto"/>
            <w:left w:val="none" w:sz="0" w:space="0" w:color="auto"/>
            <w:bottom w:val="none" w:sz="0" w:space="0" w:color="auto"/>
            <w:right w:val="none" w:sz="0" w:space="0" w:color="auto"/>
          </w:divBdr>
        </w:div>
        <w:div w:id="209389021">
          <w:marLeft w:val="640"/>
          <w:marRight w:val="0"/>
          <w:marTop w:val="0"/>
          <w:marBottom w:val="0"/>
          <w:divBdr>
            <w:top w:val="none" w:sz="0" w:space="0" w:color="auto"/>
            <w:left w:val="none" w:sz="0" w:space="0" w:color="auto"/>
            <w:bottom w:val="none" w:sz="0" w:space="0" w:color="auto"/>
            <w:right w:val="none" w:sz="0" w:space="0" w:color="auto"/>
          </w:divBdr>
        </w:div>
        <w:div w:id="1649674099">
          <w:marLeft w:val="640"/>
          <w:marRight w:val="0"/>
          <w:marTop w:val="0"/>
          <w:marBottom w:val="0"/>
          <w:divBdr>
            <w:top w:val="none" w:sz="0" w:space="0" w:color="auto"/>
            <w:left w:val="none" w:sz="0" w:space="0" w:color="auto"/>
            <w:bottom w:val="none" w:sz="0" w:space="0" w:color="auto"/>
            <w:right w:val="none" w:sz="0" w:space="0" w:color="auto"/>
          </w:divBdr>
        </w:div>
        <w:div w:id="1967005341">
          <w:marLeft w:val="640"/>
          <w:marRight w:val="0"/>
          <w:marTop w:val="0"/>
          <w:marBottom w:val="0"/>
          <w:divBdr>
            <w:top w:val="none" w:sz="0" w:space="0" w:color="auto"/>
            <w:left w:val="none" w:sz="0" w:space="0" w:color="auto"/>
            <w:bottom w:val="none" w:sz="0" w:space="0" w:color="auto"/>
            <w:right w:val="none" w:sz="0" w:space="0" w:color="auto"/>
          </w:divBdr>
        </w:div>
        <w:div w:id="1779060694">
          <w:marLeft w:val="640"/>
          <w:marRight w:val="0"/>
          <w:marTop w:val="0"/>
          <w:marBottom w:val="0"/>
          <w:divBdr>
            <w:top w:val="none" w:sz="0" w:space="0" w:color="auto"/>
            <w:left w:val="none" w:sz="0" w:space="0" w:color="auto"/>
            <w:bottom w:val="none" w:sz="0" w:space="0" w:color="auto"/>
            <w:right w:val="none" w:sz="0" w:space="0" w:color="auto"/>
          </w:divBdr>
        </w:div>
        <w:div w:id="2104106212">
          <w:marLeft w:val="640"/>
          <w:marRight w:val="0"/>
          <w:marTop w:val="0"/>
          <w:marBottom w:val="0"/>
          <w:divBdr>
            <w:top w:val="none" w:sz="0" w:space="0" w:color="auto"/>
            <w:left w:val="none" w:sz="0" w:space="0" w:color="auto"/>
            <w:bottom w:val="none" w:sz="0" w:space="0" w:color="auto"/>
            <w:right w:val="none" w:sz="0" w:space="0" w:color="auto"/>
          </w:divBdr>
        </w:div>
        <w:div w:id="1485003091">
          <w:marLeft w:val="640"/>
          <w:marRight w:val="0"/>
          <w:marTop w:val="0"/>
          <w:marBottom w:val="0"/>
          <w:divBdr>
            <w:top w:val="none" w:sz="0" w:space="0" w:color="auto"/>
            <w:left w:val="none" w:sz="0" w:space="0" w:color="auto"/>
            <w:bottom w:val="none" w:sz="0" w:space="0" w:color="auto"/>
            <w:right w:val="none" w:sz="0" w:space="0" w:color="auto"/>
          </w:divBdr>
        </w:div>
        <w:div w:id="692926532">
          <w:marLeft w:val="640"/>
          <w:marRight w:val="0"/>
          <w:marTop w:val="0"/>
          <w:marBottom w:val="0"/>
          <w:divBdr>
            <w:top w:val="none" w:sz="0" w:space="0" w:color="auto"/>
            <w:left w:val="none" w:sz="0" w:space="0" w:color="auto"/>
            <w:bottom w:val="none" w:sz="0" w:space="0" w:color="auto"/>
            <w:right w:val="none" w:sz="0" w:space="0" w:color="auto"/>
          </w:divBdr>
        </w:div>
        <w:div w:id="50429218">
          <w:marLeft w:val="640"/>
          <w:marRight w:val="0"/>
          <w:marTop w:val="0"/>
          <w:marBottom w:val="0"/>
          <w:divBdr>
            <w:top w:val="none" w:sz="0" w:space="0" w:color="auto"/>
            <w:left w:val="none" w:sz="0" w:space="0" w:color="auto"/>
            <w:bottom w:val="none" w:sz="0" w:space="0" w:color="auto"/>
            <w:right w:val="none" w:sz="0" w:space="0" w:color="auto"/>
          </w:divBdr>
        </w:div>
        <w:div w:id="1024550597">
          <w:marLeft w:val="640"/>
          <w:marRight w:val="0"/>
          <w:marTop w:val="0"/>
          <w:marBottom w:val="0"/>
          <w:divBdr>
            <w:top w:val="none" w:sz="0" w:space="0" w:color="auto"/>
            <w:left w:val="none" w:sz="0" w:space="0" w:color="auto"/>
            <w:bottom w:val="none" w:sz="0" w:space="0" w:color="auto"/>
            <w:right w:val="none" w:sz="0" w:space="0" w:color="auto"/>
          </w:divBdr>
        </w:div>
        <w:div w:id="613176064">
          <w:marLeft w:val="640"/>
          <w:marRight w:val="0"/>
          <w:marTop w:val="0"/>
          <w:marBottom w:val="0"/>
          <w:divBdr>
            <w:top w:val="none" w:sz="0" w:space="0" w:color="auto"/>
            <w:left w:val="none" w:sz="0" w:space="0" w:color="auto"/>
            <w:bottom w:val="none" w:sz="0" w:space="0" w:color="auto"/>
            <w:right w:val="none" w:sz="0" w:space="0" w:color="auto"/>
          </w:divBdr>
        </w:div>
        <w:div w:id="761493887">
          <w:marLeft w:val="640"/>
          <w:marRight w:val="0"/>
          <w:marTop w:val="0"/>
          <w:marBottom w:val="0"/>
          <w:divBdr>
            <w:top w:val="none" w:sz="0" w:space="0" w:color="auto"/>
            <w:left w:val="none" w:sz="0" w:space="0" w:color="auto"/>
            <w:bottom w:val="none" w:sz="0" w:space="0" w:color="auto"/>
            <w:right w:val="none" w:sz="0" w:space="0" w:color="auto"/>
          </w:divBdr>
        </w:div>
        <w:div w:id="550003133">
          <w:marLeft w:val="640"/>
          <w:marRight w:val="0"/>
          <w:marTop w:val="0"/>
          <w:marBottom w:val="0"/>
          <w:divBdr>
            <w:top w:val="none" w:sz="0" w:space="0" w:color="auto"/>
            <w:left w:val="none" w:sz="0" w:space="0" w:color="auto"/>
            <w:bottom w:val="none" w:sz="0" w:space="0" w:color="auto"/>
            <w:right w:val="none" w:sz="0" w:space="0" w:color="auto"/>
          </w:divBdr>
        </w:div>
        <w:div w:id="1953395496">
          <w:marLeft w:val="640"/>
          <w:marRight w:val="0"/>
          <w:marTop w:val="0"/>
          <w:marBottom w:val="0"/>
          <w:divBdr>
            <w:top w:val="none" w:sz="0" w:space="0" w:color="auto"/>
            <w:left w:val="none" w:sz="0" w:space="0" w:color="auto"/>
            <w:bottom w:val="none" w:sz="0" w:space="0" w:color="auto"/>
            <w:right w:val="none" w:sz="0" w:space="0" w:color="auto"/>
          </w:divBdr>
        </w:div>
        <w:div w:id="1117212335">
          <w:marLeft w:val="640"/>
          <w:marRight w:val="0"/>
          <w:marTop w:val="0"/>
          <w:marBottom w:val="0"/>
          <w:divBdr>
            <w:top w:val="none" w:sz="0" w:space="0" w:color="auto"/>
            <w:left w:val="none" w:sz="0" w:space="0" w:color="auto"/>
            <w:bottom w:val="none" w:sz="0" w:space="0" w:color="auto"/>
            <w:right w:val="none" w:sz="0" w:space="0" w:color="auto"/>
          </w:divBdr>
        </w:div>
        <w:div w:id="2008702226">
          <w:marLeft w:val="640"/>
          <w:marRight w:val="0"/>
          <w:marTop w:val="0"/>
          <w:marBottom w:val="0"/>
          <w:divBdr>
            <w:top w:val="none" w:sz="0" w:space="0" w:color="auto"/>
            <w:left w:val="none" w:sz="0" w:space="0" w:color="auto"/>
            <w:bottom w:val="none" w:sz="0" w:space="0" w:color="auto"/>
            <w:right w:val="none" w:sz="0" w:space="0" w:color="auto"/>
          </w:divBdr>
        </w:div>
        <w:div w:id="1794447525">
          <w:marLeft w:val="640"/>
          <w:marRight w:val="0"/>
          <w:marTop w:val="0"/>
          <w:marBottom w:val="0"/>
          <w:divBdr>
            <w:top w:val="none" w:sz="0" w:space="0" w:color="auto"/>
            <w:left w:val="none" w:sz="0" w:space="0" w:color="auto"/>
            <w:bottom w:val="none" w:sz="0" w:space="0" w:color="auto"/>
            <w:right w:val="none" w:sz="0" w:space="0" w:color="auto"/>
          </w:divBdr>
        </w:div>
        <w:div w:id="800423790">
          <w:marLeft w:val="640"/>
          <w:marRight w:val="0"/>
          <w:marTop w:val="0"/>
          <w:marBottom w:val="0"/>
          <w:divBdr>
            <w:top w:val="none" w:sz="0" w:space="0" w:color="auto"/>
            <w:left w:val="none" w:sz="0" w:space="0" w:color="auto"/>
            <w:bottom w:val="none" w:sz="0" w:space="0" w:color="auto"/>
            <w:right w:val="none" w:sz="0" w:space="0" w:color="auto"/>
          </w:divBdr>
        </w:div>
        <w:div w:id="226648266">
          <w:marLeft w:val="640"/>
          <w:marRight w:val="0"/>
          <w:marTop w:val="0"/>
          <w:marBottom w:val="0"/>
          <w:divBdr>
            <w:top w:val="none" w:sz="0" w:space="0" w:color="auto"/>
            <w:left w:val="none" w:sz="0" w:space="0" w:color="auto"/>
            <w:bottom w:val="none" w:sz="0" w:space="0" w:color="auto"/>
            <w:right w:val="none" w:sz="0" w:space="0" w:color="auto"/>
          </w:divBdr>
        </w:div>
        <w:div w:id="435752344">
          <w:marLeft w:val="640"/>
          <w:marRight w:val="0"/>
          <w:marTop w:val="0"/>
          <w:marBottom w:val="0"/>
          <w:divBdr>
            <w:top w:val="none" w:sz="0" w:space="0" w:color="auto"/>
            <w:left w:val="none" w:sz="0" w:space="0" w:color="auto"/>
            <w:bottom w:val="none" w:sz="0" w:space="0" w:color="auto"/>
            <w:right w:val="none" w:sz="0" w:space="0" w:color="auto"/>
          </w:divBdr>
        </w:div>
        <w:div w:id="1443112093">
          <w:marLeft w:val="640"/>
          <w:marRight w:val="0"/>
          <w:marTop w:val="0"/>
          <w:marBottom w:val="0"/>
          <w:divBdr>
            <w:top w:val="none" w:sz="0" w:space="0" w:color="auto"/>
            <w:left w:val="none" w:sz="0" w:space="0" w:color="auto"/>
            <w:bottom w:val="none" w:sz="0" w:space="0" w:color="auto"/>
            <w:right w:val="none" w:sz="0" w:space="0" w:color="auto"/>
          </w:divBdr>
        </w:div>
        <w:div w:id="1196649950">
          <w:marLeft w:val="640"/>
          <w:marRight w:val="0"/>
          <w:marTop w:val="0"/>
          <w:marBottom w:val="0"/>
          <w:divBdr>
            <w:top w:val="none" w:sz="0" w:space="0" w:color="auto"/>
            <w:left w:val="none" w:sz="0" w:space="0" w:color="auto"/>
            <w:bottom w:val="none" w:sz="0" w:space="0" w:color="auto"/>
            <w:right w:val="none" w:sz="0" w:space="0" w:color="auto"/>
          </w:divBdr>
        </w:div>
        <w:div w:id="1054424669">
          <w:marLeft w:val="640"/>
          <w:marRight w:val="0"/>
          <w:marTop w:val="0"/>
          <w:marBottom w:val="0"/>
          <w:divBdr>
            <w:top w:val="none" w:sz="0" w:space="0" w:color="auto"/>
            <w:left w:val="none" w:sz="0" w:space="0" w:color="auto"/>
            <w:bottom w:val="none" w:sz="0" w:space="0" w:color="auto"/>
            <w:right w:val="none" w:sz="0" w:space="0" w:color="auto"/>
          </w:divBdr>
        </w:div>
        <w:div w:id="534537880">
          <w:marLeft w:val="640"/>
          <w:marRight w:val="0"/>
          <w:marTop w:val="0"/>
          <w:marBottom w:val="0"/>
          <w:divBdr>
            <w:top w:val="none" w:sz="0" w:space="0" w:color="auto"/>
            <w:left w:val="none" w:sz="0" w:space="0" w:color="auto"/>
            <w:bottom w:val="none" w:sz="0" w:space="0" w:color="auto"/>
            <w:right w:val="none" w:sz="0" w:space="0" w:color="auto"/>
          </w:divBdr>
        </w:div>
        <w:div w:id="250090790">
          <w:marLeft w:val="640"/>
          <w:marRight w:val="0"/>
          <w:marTop w:val="0"/>
          <w:marBottom w:val="0"/>
          <w:divBdr>
            <w:top w:val="none" w:sz="0" w:space="0" w:color="auto"/>
            <w:left w:val="none" w:sz="0" w:space="0" w:color="auto"/>
            <w:bottom w:val="none" w:sz="0" w:space="0" w:color="auto"/>
            <w:right w:val="none" w:sz="0" w:space="0" w:color="auto"/>
          </w:divBdr>
        </w:div>
        <w:div w:id="512689814">
          <w:marLeft w:val="640"/>
          <w:marRight w:val="0"/>
          <w:marTop w:val="0"/>
          <w:marBottom w:val="0"/>
          <w:divBdr>
            <w:top w:val="none" w:sz="0" w:space="0" w:color="auto"/>
            <w:left w:val="none" w:sz="0" w:space="0" w:color="auto"/>
            <w:bottom w:val="none" w:sz="0" w:space="0" w:color="auto"/>
            <w:right w:val="none" w:sz="0" w:space="0" w:color="auto"/>
          </w:divBdr>
        </w:div>
        <w:div w:id="643512083">
          <w:marLeft w:val="640"/>
          <w:marRight w:val="0"/>
          <w:marTop w:val="0"/>
          <w:marBottom w:val="0"/>
          <w:divBdr>
            <w:top w:val="none" w:sz="0" w:space="0" w:color="auto"/>
            <w:left w:val="none" w:sz="0" w:space="0" w:color="auto"/>
            <w:bottom w:val="none" w:sz="0" w:space="0" w:color="auto"/>
            <w:right w:val="none" w:sz="0" w:space="0" w:color="auto"/>
          </w:divBdr>
        </w:div>
        <w:div w:id="685984493">
          <w:marLeft w:val="640"/>
          <w:marRight w:val="0"/>
          <w:marTop w:val="0"/>
          <w:marBottom w:val="0"/>
          <w:divBdr>
            <w:top w:val="none" w:sz="0" w:space="0" w:color="auto"/>
            <w:left w:val="none" w:sz="0" w:space="0" w:color="auto"/>
            <w:bottom w:val="none" w:sz="0" w:space="0" w:color="auto"/>
            <w:right w:val="none" w:sz="0" w:space="0" w:color="auto"/>
          </w:divBdr>
        </w:div>
        <w:div w:id="313291285">
          <w:marLeft w:val="640"/>
          <w:marRight w:val="0"/>
          <w:marTop w:val="0"/>
          <w:marBottom w:val="0"/>
          <w:divBdr>
            <w:top w:val="none" w:sz="0" w:space="0" w:color="auto"/>
            <w:left w:val="none" w:sz="0" w:space="0" w:color="auto"/>
            <w:bottom w:val="none" w:sz="0" w:space="0" w:color="auto"/>
            <w:right w:val="none" w:sz="0" w:space="0" w:color="auto"/>
          </w:divBdr>
        </w:div>
        <w:div w:id="1979022462">
          <w:marLeft w:val="640"/>
          <w:marRight w:val="0"/>
          <w:marTop w:val="0"/>
          <w:marBottom w:val="0"/>
          <w:divBdr>
            <w:top w:val="none" w:sz="0" w:space="0" w:color="auto"/>
            <w:left w:val="none" w:sz="0" w:space="0" w:color="auto"/>
            <w:bottom w:val="none" w:sz="0" w:space="0" w:color="auto"/>
            <w:right w:val="none" w:sz="0" w:space="0" w:color="auto"/>
          </w:divBdr>
        </w:div>
        <w:div w:id="728648885">
          <w:marLeft w:val="640"/>
          <w:marRight w:val="0"/>
          <w:marTop w:val="0"/>
          <w:marBottom w:val="0"/>
          <w:divBdr>
            <w:top w:val="none" w:sz="0" w:space="0" w:color="auto"/>
            <w:left w:val="none" w:sz="0" w:space="0" w:color="auto"/>
            <w:bottom w:val="none" w:sz="0" w:space="0" w:color="auto"/>
            <w:right w:val="none" w:sz="0" w:space="0" w:color="auto"/>
          </w:divBdr>
        </w:div>
        <w:div w:id="618923411">
          <w:marLeft w:val="640"/>
          <w:marRight w:val="0"/>
          <w:marTop w:val="0"/>
          <w:marBottom w:val="0"/>
          <w:divBdr>
            <w:top w:val="none" w:sz="0" w:space="0" w:color="auto"/>
            <w:left w:val="none" w:sz="0" w:space="0" w:color="auto"/>
            <w:bottom w:val="none" w:sz="0" w:space="0" w:color="auto"/>
            <w:right w:val="none" w:sz="0" w:space="0" w:color="auto"/>
          </w:divBdr>
        </w:div>
        <w:div w:id="2063598296">
          <w:marLeft w:val="640"/>
          <w:marRight w:val="0"/>
          <w:marTop w:val="0"/>
          <w:marBottom w:val="0"/>
          <w:divBdr>
            <w:top w:val="none" w:sz="0" w:space="0" w:color="auto"/>
            <w:left w:val="none" w:sz="0" w:space="0" w:color="auto"/>
            <w:bottom w:val="none" w:sz="0" w:space="0" w:color="auto"/>
            <w:right w:val="none" w:sz="0" w:space="0" w:color="auto"/>
          </w:divBdr>
        </w:div>
        <w:div w:id="477455936">
          <w:marLeft w:val="640"/>
          <w:marRight w:val="0"/>
          <w:marTop w:val="0"/>
          <w:marBottom w:val="0"/>
          <w:divBdr>
            <w:top w:val="none" w:sz="0" w:space="0" w:color="auto"/>
            <w:left w:val="none" w:sz="0" w:space="0" w:color="auto"/>
            <w:bottom w:val="none" w:sz="0" w:space="0" w:color="auto"/>
            <w:right w:val="none" w:sz="0" w:space="0" w:color="auto"/>
          </w:divBdr>
        </w:div>
        <w:div w:id="1947156242">
          <w:marLeft w:val="640"/>
          <w:marRight w:val="0"/>
          <w:marTop w:val="0"/>
          <w:marBottom w:val="0"/>
          <w:divBdr>
            <w:top w:val="none" w:sz="0" w:space="0" w:color="auto"/>
            <w:left w:val="none" w:sz="0" w:space="0" w:color="auto"/>
            <w:bottom w:val="none" w:sz="0" w:space="0" w:color="auto"/>
            <w:right w:val="none" w:sz="0" w:space="0" w:color="auto"/>
          </w:divBdr>
        </w:div>
        <w:div w:id="2065173768">
          <w:marLeft w:val="640"/>
          <w:marRight w:val="0"/>
          <w:marTop w:val="0"/>
          <w:marBottom w:val="0"/>
          <w:divBdr>
            <w:top w:val="none" w:sz="0" w:space="0" w:color="auto"/>
            <w:left w:val="none" w:sz="0" w:space="0" w:color="auto"/>
            <w:bottom w:val="none" w:sz="0" w:space="0" w:color="auto"/>
            <w:right w:val="none" w:sz="0" w:space="0" w:color="auto"/>
          </w:divBdr>
        </w:div>
        <w:div w:id="1106923081">
          <w:marLeft w:val="640"/>
          <w:marRight w:val="0"/>
          <w:marTop w:val="0"/>
          <w:marBottom w:val="0"/>
          <w:divBdr>
            <w:top w:val="none" w:sz="0" w:space="0" w:color="auto"/>
            <w:left w:val="none" w:sz="0" w:space="0" w:color="auto"/>
            <w:bottom w:val="none" w:sz="0" w:space="0" w:color="auto"/>
            <w:right w:val="none" w:sz="0" w:space="0" w:color="auto"/>
          </w:divBdr>
        </w:div>
        <w:div w:id="270360794">
          <w:marLeft w:val="640"/>
          <w:marRight w:val="0"/>
          <w:marTop w:val="0"/>
          <w:marBottom w:val="0"/>
          <w:divBdr>
            <w:top w:val="none" w:sz="0" w:space="0" w:color="auto"/>
            <w:left w:val="none" w:sz="0" w:space="0" w:color="auto"/>
            <w:bottom w:val="none" w:sz="0" w:space="0" w:color="auto"/>
            <w:right w:val="none" w:sz="0" w:space="0" w:color="auto"/>
          </w:divBdr>
        </w:div>
        <w:div w:id="485442486">
          <w:marLeft w:val="640"/>
          <w:marRight w:val="0"/>
          <w:marTop w:val="0"/>
          <w:marBottom w:val="0"/>
          <w:divBdr>
            <w:top w:val="none" w:sz="0" w:space="0" w:color="auto"/>
            <w:left w:val="none" w:sz="0" w:space="0" w:color="auto"/>
            <w:bottom w:val="none" w:sz="0" w:space="0" w:color="auto"/>
            <w:right w:val="none" w:sz="0" w:space="0" w:color="auto"/>
          </w:divBdr>
        </w:div>
        <w:div w:id="1350328980">
          <w:marLeft w:val="640"/>
          <w:marRight w:val="0"/>
          <w:marTop w:val="0"/>
          <w:marBottom w:val="0"/>
          <w:divBdr>
            <w:top w:val="none" w:sz="0" w:space="0" w:color="auto"/>
            <w:left w:val="none" w:sz="0" w:space="0" w:color="auto"/>
            <w:bottom w:val="none" w:sz="0" w:space="0" w:color="auto"/>
            <w:right w:val="none" w:sz="0" w:space="0" w:color="auto"/>
          </w:divBdr>
        </w:div>
        <w:div w:id="1512179741">
          <w:marLeft w:val="640"/>
          <w:marRight w:val="0"/>
          <w:marTop w:val="0"/>
          <w:marBottom w:val="0"/>
          <w:divBdr>
            <w:top w:val="none" w:sz="0" w:space="0" w:color="auto"/>
            <w:left w:val="none" w:sz="0" w:space="0" w:color="auto"/>
            <w:bottom w:val="none" w:sz="0" w:space="0" w:color="auto"/>
            <w:right w:val="none" w:sz="0" w:space="0" w:color="auto"/>
          </w:divBdr>
        </w:div>
        <w:div w:id="1314915030">
          <w:marLeft w:val="640"/>
          <w:marRight w:val="0"/>
          <w:marTop w:val="0"/>
          <w:marBottom w:val="0"/>
          <w:divBdr>
            <w:top w:val="none" w:sz="0" w:space="0" w:color="auto"/>
            <w:left w:val="none" w:sz="0" w:space="0" w:color="auto"/>
            <w:bottom w:val="none" w:sz="0" w:space="0" w:color="auto"/>
            <w:right w:val="none" w:sz="0" w:space="0" w:color="auto"/>
          </w:divBdr>
        </w:div>
        <w:div w:id="1625846711">
          <w:marLeft w:val="640"/>
          <w:marRight w:val="0"/>
          <w:marTop w:val="0"/>
          <w:marBottom w:val="0"/>
          <w:divBdr>
            <w:top w:val="none" w:sz="0" w:space="0" w:color="auto"/>
            <w:left w:val="none" w:sz="0" w:space="0" w:color="auto"/>
            <w:bottom w:val="none" w:sz="0" w:space="0" w:color="auto"/>
            <w:right w:val="none" w:sz="0" w:space="0" w:color="auto"/>
          </w:divBdr>
        </w:div>
        <w:div w:id="750389720">
          <w:marLeft w:val="640"/>
          <w:marRight w:val="0"/>
          <w:marTop w:val="0"/>
          <w:marBottom w:val="0"/>
          <w:divBdr>
            <w:top w:val="none" w:sz="0" w:space="0" w:color="auto"/>
            <w:left w:val="none" w:sz="0" w:space="0" w:color="auto"/>
            <w:bottom w:val="none" w:sz="0" w:space="0" w:color="auto"/>
            <w:right w:val="none" w:sz="0" w:space="0" w:color="auto"/>
          </w:divBdr>
        </w:div>
        <w:div w:id="1001739286">
          <w:marLeft w:val="640"/>
          <w:marRight w:val="0"/>
          <w:marTop w:val="0"/>
          <w:marBottom w:val="0"/>
          <w:divBdr>
            <w:top w:val="none" w:sz="0" w:space="0" w:color="auto"/>
            <w:left w:val="none" w:sz="0" w:space="0" w:color="auto"/>
            <w:bottom w:val="none" w:sz="0" w:space="0" w:color="auto"/>
            <w:right w:val="none" w:sz="0" w:space="0" w:color="auto"/>
          </w:divBdr>
        </w:div>
        <w:div w:id="477116595">
          <w:marLeft w:val="640"/>
          <w:marRight w:val="0"/>
          <w:marTop w:val="0"/>
          <w:marBottom w:val="0"/>
          <w:divBdr>
            <w:top w:val="none" w:sz="0" w:space="0" w:color="auto"/>
            <w:left w:val="none" w:sz="0" w:space="0" w:color="auto"/>
            <w:bottom w:val="none" w:sz="0" w:space="0" w:color="auto"/>
            <w:right w:val="none" w:sz="0" w:space="0" w:color="auto"/>
          </w:divBdr>
        </w:div>
        <w:div w:id="1896118511">
          <w:marLeft w:val="640"/>
          <w:marRight w:val="0"/>
          <w:marTop w:val="0"/>
          <w:marBottom w:val="0"/>
          <w:divBdr>
            <w:top w:val="none" w:sz="0" w:space="0" w:color="auto"/>
            <w:left w:val="none" w:sz="0" w:space="0" w:color="auto"/>
            <w:bottom w:val="none" w:sz="0" w:space="0" w:color="auto"/>
            <w:right w:val="none" w:sz="0" w:space="0" w:color="auto"/>
          </w:divBdr>
        </w:div>
        <w:div w:id="1223561272">
          <w:marLeft w:val="640"/>
          <w:marRight w:val="0"/>
          <w:marTop w:val="0"/>
          <w:marBottom w:val="0"/>
          <w:divBdr>
            <w:top w:val="none" w:sz="0" w:space="0" w:color="auto"/>
            <w:left w:val="none" w:sz="0" w:space="0" w:color="auto"/>
            <w:bottom w:val="none" w:sz="0" w:space="0" w:color="auto"/>
            <w:right w:val="none" w:sz="0" w:space="0" w:color="auto"/>
          </w:divBdr>
        </w:div>
        <w:div w:id="734738043">
          <w:marLeft w:val="640"/>
          <w:marRight w:val="0"/>
          <w:marTop w:val="0"/>
          <w:marBottom w:val="0"/>
          <w:divBdr>
            <w:top w:val="none" w:sz="0" w:space="0" w:color="auto"/>
            <w:left w:val="none" w:sz="0" w:space="0" w:color="auto"/>
            <w:bottom w:val="none" w:sz="0" w:space="0" w:color="auto"/>
            <w:right w:val="none" w:sz="0" w:space="0" w:color="auto"/>
          </w:divBdr>
        </w:div>
        <w:div w:id="1399473695">
          <w:marLeft w:val="640"/>
          <w:marRight w:val="0"/>
          <w:marTop w:val="0"/>
          <w:marBottom w:val="0"/>
          <w:divBdr>
            <w:top w:val="none" w:sz="0" w:space="0" w:color="auto"/>
            <w:left w:val="none" w:sz="0" w:space="0" w:color="auto"/>
            <w:bottom w:val="none" w:sz="0" w:space="0" w:color="auto"/>
            <w:right w:val="none" w:sz="0" w:space="0" w:color="auto"/>
          </w:divBdr>
        </w:div>
        <w:div w:id="2133091945">
          <w:marLeft w:val="640"/>
          <w:marRight w:val="0"/>
          <w:marTop w:val="0"/>
          <w:marBottom w:val="0"/>
          <w:divBdr>
            <w:top w:val="none" w:sz="0" w:space="0" w:color="auto"/>
            <w:left w:val="none" w:sz="0" w:space="0" w:color="auto"/>
            <w:bottom w:val="none" w:sz="0" w:space="0" w:color="auto"/>
            <w:right w:val="none" w:sz="0" w:space="0" w:color="auto"/>
          </w:divBdr>
        </w:div>
        <w:div w:id="1929996752">
          <w:marLeft w:val="640"/>
          <w:marRight w:val="0"/>
          <w:marTop w:val="0"/>
          <w:marBottom w:val="0"/>
          <w:divBdr>
            <w:top w:val="none" w:sz="0" w:space="0" w:color="auto"/>
            <w:left w:val="none" w:sz="0" w:space="0" w:color="auto"/>
            <w:bottom w:val="none" w:sz="0" w:space="0" w:color="auto"/>
            <w:right w:val="none" w:sz="0" w:space="0" w:color="auto"/>
          </w:divBdr>
        </w:div>
        <w:div w:id="1199707190">
          <w:marLeft w:val="640"/>
          <w:marRight w:val="0"/>
          <w:marTop w:val="0"/>
          <w:marBottom w:val="0"/>
          <w:divBdr>
            <w:top w:val="none" w:sz="0" w:space="0" w:color="auto"/>
            <w:left w:val="none" w:sz="0" w:space="0" w:color="auto"/>
            <w:bottom w:val="none" w:sz="0" w:space="0" w:color="auto"/>
            <w:right w:val="none" w:sz="0" w:space="0" w:color="auto"/>
          </w:divBdr>
        </w:div>
        <w:div w:id="1270314682">
          <w:marLeft w:val="640"/>
          <w:marRight w:val="0"/>
          <w:marTop w:val="0"/>
          <w:marBottom w:val="0"/>
          <w:divBdr>
            <w:top w:val="none" w:sz="0" w:space="0" w:color="auto"/>
            <w:left w:val="none" w:sz="0" w:space="0" w:color="auto"/>
            <w:bottom w:val="none" w:sz="0" w:space="0" w:color="auto"/>
            <w:right w:val="none" w:sz="0" w:space="0" w:color="auto"/>
          </w:divBdr>
        </w:div>
        <w:div w:id="922448353">
          <w:marLeft w:val="640"/>
          <w:marRight w:val="0"/>
          <w:marTop w:val="0"/>
          <w:marBottom w:val="0"/>
          <w:divBdr>
            <w:top w:val="none" w:sz="0" w:space="0" w:color="auto"/>
            <w:left w:val="none" w:sz="0" w:space="0" w:color="auto"/>
            <w:bottom w:val="none" w:sz="0" w:space="0" w:color="auto"/>
            <w:right w:val="none" w:sz="0" w:space="0" w:color="auto"/>
          </w:divBdr>
        </w:div>
        <w:div w:id="1970277778">
          <w:marLeft w:val="640"/>
          <w:marRight w:val="0"/>
          <w:marTop w:val="0"/>
          <w:marBottom w:val="0"/>
          <w:divBdr>
            <w:top w:val="none" w:sz="0" w:space="0" w:color="auto"/>
            <w:left w:val="none" w:sz="0" w:space="0" w:color="auto"/>
            <w:bottom w:val="none" w:sz="0" w:space="0" w:color="auto"/>
            <w:right w:val="none" w:sz="0" w:space="0" w:color="auto"/>
          </w:divBdr>
        </w:div>
        <w:div w:id="1072973025">
          <w:marLeft w:val="640"/>
          <w:marRight w:val="0"/>
          <w:marTop w:val="0"/>
          <w:marBottom w:val="0"/>
          <w:divBdr>
            <w:top w:val="none" w:sz="0" w:space="0" w:color="auto"/>
            <w:left w:val="none" w:sz="0" w:space="0" w:color="auto"/>
            <w:bottom w:val="none" w:sz="0" w:space="0" w:color="auto"/>
            <w:right w:val="none" w:sz="0" w:space="0" w:color="auto"/>
          </w:divBdr>
        </w:div>
        <w:div w:id="637611839">
          <w:marLeft w:val="640"/>
          <w:marRight w:val="0"/>
          <w:marTop w:val="0"/>
          <w:marBottom w:val="0"/>
          <w:divBdr>
            <w:top w:val="none" w:sz="0" w:space="0" w:color="auto"/>
            <w:left w:val="none" w:sz="0" w:space="0" w:color="auto"/>
            <w:bottom w:val="none" w:sz="0" w:space="0" w:color="auto"/>
            <w:right w:val="none" w:sz="0" w:space="0" w:color="auto"/>
          </w:divBdr>
        </w:div>
        <w:div w:id="1759404234">
          <w:marLeft w:val="640"/>
          <w:marRight w:val="0"/>
          <w:marTop w:val="0"/>
          <w:marBottom w:val="0"/>
          <w:divBdr>
            <w:top w:val="none" w:sz="0" w:space="0" w:color="auto"/>
            <w:left w:val="none" w:sz="0" w:space="0" w:color="auto"/>
            <w:bottom w:val="none" w:sz="0" w:space="0" w:color="auto"/>
            <w:right w:val="none" w:sz="0" w:space="0" w:color="auto"/>
          </w:divBdr>
        </w:div>
        <w:div w:id="29689207">
          <w:marLeft w:val="640"/>
          <w:marRight w:val="0"/>
          <w:marTop w:val="0"/>
          <w:marBottom w:val="0"/>
          <w:divBdr>
            <w:top w:val="none" w:sz="0" w:space="0" w:color="auto"/>
            <w:left w:val="none" w:sz="0" w:space="0" w:color="auto"/>
            <w:bottom w:val="none" w:sz="0" w:space="0" w:color="auto"/>
            <w:right w:val="none" w:sz="0" w:space="0" w:color="auto"/>
          </w:divBdr>
        </w:div>
        <w:div w:id="54395719">
          <w:marLeft w:val="640"/>
          <w:marRight w:val="0"/>
          <w:marTop w:val="0"/>
          <w:marBottom w:val="0"/>
          <w:divBdr>
            <w:top w:val="none" w:sz="0" w:space="0" w:color="auto"/>
            <w:left w:val="none" w:sz="0" w:space="0" w:color="auto"/>
            <w:bottom w:val="none" w:sz="0" w:space="0" w:color="auto"/>
            <w:right w:val="none" w:sz="0" w:space="0" w:color="auto"/>
          </w:divBdr>
        </w:div>
        <w:div w:id="501092246">
          <w:marLeft w:val="640"/>
          <w:marRight w:val="0"/>
          <w:marTop w:val="0"/>
          <w:marBottom w:val="0"/>
          <w:divBdr>
            <w:top w:val="none" w:sz="0" w:space="0" w:color="auto"/>
            <w:left w:val="none" w:sz="0" w:space="0" w:color="auto"/>
            <w:bottom w:val="none" w:sz="0" w:space="0" w:color="auto"/>
            <w:right w:val="none" w:sz="0" w:space="0" w:color="auto"/>
          </w:divBdr>
        </w:div>
        <w:div w:id="466558367">
          <w:marLeft w:val="640"/>
          <w:marRight w:val="0"/>
          <w:marTop w:val="0"/>
          <w:marBottom w:val="0"/>
          <w:divBdr>
            <w:top w:val="none" w:sz="0" w:space="0" w:color="auto"/>
            <w:left w:val="none" w:sz="0" w:space="0" w:color="auto"/>
            <w:bottom w:val="none" w:sz="0" w:space="0" w:color="auto"/>
            <w:right w:val="none" w:sz="0" w:space="0" w:color="auto"/>
          </w:divBdr>
        </w:div>
        <w:div w:id="1618098816">
          <w:marLeft w:val="640"/>
          <w:marRight w:val="0"/>
          <w:marTop w:val="0"/>
          <w:marBottom w:val="0"/>
          <w:divBdr>
            <w:top w:val="none" w:sz="0" w:space="0" w:color="auto"/>
            <w:left w:val="none" w:sz="0" w:space="0" w:color="auto"/>
            <w:bottom w:val="none" w:sz="0" w:space="0" w:color="auto"/>
            <w:right w:val="none" w:sz="0" w:space="0" w:color="auto"/>
          </w:divBdr>
        </w:div>
        <w:div w:id="352196901">
          <w:marLeft w:val="640"/>
          <w:marRight w:val="0"/>
          <w:marTop w:val="0"/>
          <w:marBottom w:val="0"/>
          <w:divBdr>
            <w:top w:val="none" w:sz="0" w:space="0" w:color="auto"/>
            <w:left w:val="none" w:sz="0" w:space="0" w:color="auto"/>
            <w:bottom w:val="none" w:sz="0" w:space="0" w:color="auto"/>
            <w:right w:val="none" w:sz="0" w:space="0" w:color="auto"/>
          </w:divBdr>
        </w:div>
        <w:div w:id="1850825904">
          <w:marLeft w:val="640"/>
          <w:marRight w:val="0"/>
          <w:marTop w:val="0"/>
          <w:marBottom w:val="0"/>
          <w:divBdr>
            <w:top w:val="none" w:sz="0" w:space="0" w:color="auto"/>
            <w:left w:val="none" w:sz="0" w:space="0" w:color="auto"/>
            <w:bottom w:val="none" w:sz="0" w:space="0" w:color="auto"/>
            <w:right w:val="none" w:sz="0" w:space="0" w:color="auto"/>
          </w:divBdr>
        </w:div>
        <w:div w:id="1815872853">
          <w:marLeft w:val="640"/>
          <w:marRight w:val="0"/>
          <w:marTop w:val="0"/>
          <w:marBottom w:val="0"/>
          <w:divBdr>
            <w:top w:val="none" w:sz="0" w:space="0" w:color="auto"/>
            <w:left w:val="none" w:sz="0" w:space="0" w:color="auto"/>
            <w:bottom w:val="none" w:sz="0" w:space="0" w:color="auto"/>
            <w:right w:val="none" w:sz="0" w:space="0" w:color="auto"/>
          </w:divBdr>
        </w:div>
        <w:div w:id="1896508823">
          <w:marLeft w:val="640"/>
          <w:marRight w:val="0"/>
          <w:marTop w:val="0"/>
          <w:marBottom w:val="0"/>
          <w:divBdr>
            <w:top w:val="none" w:sz="0" w:space="0" w:color="auto"/>
            <w:left w:val="none" w:sz="0" w:space="0" w:color="auto"/>
            <w:bottom w:val="none" w:sz="0" w:space="0" w:color="auto"/>
            <w:right w:val="none" w:sz="0" w:space="0" w:color="auto"/>
          </w:divBdr>
        </w:div>
        <w:div w:id="1106076122">
          <w:marLeft w:val="640"/>
          <w:marRight w:val="0"/>
          <w:marTop w:val="0"/>
          <w:marBottom w:val="0"/>
          <w:divBdr>
            <w:top w:val="none" w:sz="0" w:space="0" w:color="auto"/>
            <w:left w:val="none" w:sz="0" w:space="0" w:color="auto"/>
            <w:bottom w:val="none" w:sz="0" w:space="0" w:color="auto"/>
            <w:right w:val="none" w:sz="0" w:space="0" w:color="auto"/>
          </w:divBdr>
        </w:div>
        <w:div w:id="2118866634">
          <w:marLeft w:val="640"/>
          <w:marRight w:val="0"/>
          <w:marTop w:val="0"/>
          <w:marBottom w:val="0"/>
          <w:divBdr>
            <w:top w:val="none" w:sz="0" w:space="0" w:color="auto"/>
            <w:left w:val="none" w:sz="0" w:space="0" w:color="auto"/>
            <w:bottom w:val="none" w:sz="0" w:space="0" w:color="auto"/>
            <w:right w:val="none" w:sz="0" w:space="0" w:color="auto"/>
          </w:divBdr>
        </w:div>
        <w:div w:id="1726490394">
          <w:marLeft w:val="640"/>
          <w:marRight w:val="0"/>
          <w:marTop w:val="0"/>
          <w:marBottom w:val="0"/>
          <w:divBdr>
            <w:top w:val="none" w:sz="0" w:space="0" w:color="auto"/>
            <w:left w:val="none" w:sz="0" w:space="0" w:color="auto"/>
            <w:bottom w:val="none" w:sz="0" w:space="0" w:color="auto"/>
            <w:right w:val="none" w:sz="0" w:space="0" w:color="auto"/>
          </w:divBdr>
        </w:div>
        <w:div w:id="874080251">
          <w:marLeft w:val="640"/>
          <w:marRight w:val="0"/>
          <w:marTop w:val="0"/>
          <w:marBottom w:val="0"/>
          <w:divBdr>
            <w:top w:val="none" w:sz="0" w:space="0" w:color="auto"/>
            <w:left w:val="none" w:sz="0" w:space="0" w:color="auto"/>
            <w:bottom w:val="none" w:sz="0" w:space="0" w:color="auto"/>
            <w:right w:val="none" w:sz="0" w:space="0" w:color="auto"/>
          </w:divBdr>
        </w:div>
        <w:div w:id="2125492933">
          <w:marLeft w:val="640"/>
          <w:marRight w:val="0"/>
          <w:marTop w:val="0"/>
          <w:marBottom w:val="0"/>
          <w:divBdr>
            <w:top w:val="none" w:sz="0" w:space="0" w:color="auto"/>
            <w:left w:val="none" w:sz="0" w:space="0" w:color="auto"/>
            <w:bottom w:val="none" w:sz="0" w:space="0" w:color="auto"/>
            <w:right w:val="none" w:sz="0" w:space="0" w:color="auto"/>
          </w:divBdr>
        </w:div>
        <w:div w:id="2139569996">
          <w:marLeft w:val="640"/>
          <w:marRight w:val="0"/>
          <w:marTop w:val="0"/>
          <w:marBottom w:val="0"/>
          <w:divBdr>
            <w:top w:val="none" w:sz="0" w:space="0" w:color="auto"/>
            <w:left w:val="none" w:sz="0" w:space="0" w:color="auto"/>
            <w:bottom w:val="none" w:sz="0" w:space="0" w:color="auto"/>
            <w:right w:val="none" w:sz="0" w:space="0" w:color="auto"/>
          </w:divBdr>
        </w:div>
        <w:div w:id="458652050">
          <w:marLeft w:val="640"/>
          <w:marRight w:val="0"/>
          <w:marTop w:val="0"/>
          <w:marBottom w:val="0"/>
          <w:divBdr>
            <w:top w:val="none" w:sz="0" w:space="0" w:color="auto"/>
            <w:left w:val="none" w:sz="0" w:space="0" w:color="auto"/>
            <w:bottom w:val="none" w:sz="0" w:space="0" w:color="auto"/>
            <w:right w:val="none" w:sz="0" w:space="0" w:color="auto"/>
          </w:divBdr>
        </w:div>
        <w:div w:id="1364556951">
          <w:marLeft w:val="640"/>
          <w:marRight w:val="0"/>
          <w:marTop w:val="0"/>
          <w:marBottom w:val="0"/>
          <w:divBdr>
            <w:top w:val="none" w:sz="0" w:space="0" w:color="auto"/>
            <w:left w:val="none" w:sz="0" w:space="0" w:color="auto"/>
            <w:bottom w:val="none" w:sz="0" w:space="0" w:color="auto"/>
            <w:right w:val="none" w:sz="0" w:space="0" w:color="auto"/>
          </w:divBdr>
        </w:div>
        <w:div w:id="544954206">
          <w:marLeft w:val="640"/>
          <w:marRight w:val="0"/>
          <w:marTop w:val="0"/>
          <w:marBottom w:val="0"/>
          <w:divBdr>
            <w:top w:val="none" w:sz="0" w:space="0" w:color="auto"/>
            <w:left w:val="none" w:sz="0" w:space="0" w:color="auto"/>
            <w:bottom w:val="none" w:sz="0" w:space="0" w:color="auto"/>
            <w:right w:val="none" w:sz="0" w:space="0" w:color="auto"/>
          </w:divBdr>
        </w:div>
        <w:div w:id="1940866833">
          <w:marLeft w:val="640"/>
          <w:marRight w:val="0"/>
          <w:marTop w:val="0"/>
          <w:marBottom w:val="0"/>
          <w:divBdr>
            <w:top w:val="none" w:sz="0" w:space="0" w:color="auto"/>
            <w:left w:val="none" w:sz="0" w:space="0" w:color="auto"/>
            <w:bottom w:val="none" w:sz="0" w:space="0" w:color="auto"/>
            <w:right w:val="none" w:sz="0" w:space="0" w:color="auto"/>
          </w:divBdr>
        </w:div>
        <w:div w:id="1714772251">
          <w:marLeft w:val="640"/>
          <w:marRight w:val="0"/>
          <w:marTop w:val="0"/>
          <w:marBottom w:val="0"/>
          <w:divBdr>
            <w:top w:val="none" w:sz="0" w:space="0" w:color="auto"/>
            <w:left w:val="none" w:sz="0" w:space="0" w:color="auto"/>
            <w:bottom w:val="none" w:sz="0" w:space="0" w:color="auto"/>
            <w:right w:val="none" w:sz="0" w:space="0" w:color="auto"/>
          </w:divBdr>
        </w:div>
        <w:div w:id="2024627655">
          <w:marLeft w:val="640"/>
          <w:marRight w:val="0"/>
          <w:marTop w:val="0"/>
          <w:marBottom w:val="0"/>
          <w:divBdr>
            <w:top w:val="none" w:sz="0" w:space="0" w:color="auto"/>
            <w:left w:val="none" w:sz="0" w:space="0" w:color="auto"/>
            <w:bottom w:val="none" w:sz="0" w:space="0" w:color="auto"/>
            <w:right w:val="none" w:sz="0" w:space="0" w:color="auto"/>
          </w:divBdr>
        </w:div>
        <w:div w:id="624628713">
          <w:marLeft w:val="640"/>
          <w:marRight w:val="0"/>
          <w:marTop w:val="0"/>
          <w:marBottom w:val="0"/>
          <w:divBdr>
            <w:top w:val="none" w:sz="0" w:space="0" w:color="auto"/>
            <w:left w:val="none" w:sz="0" w:space="0" w:color="auto"/>
            <w:bottom w:val="none" w:sz="0" w:space="0" w:color="auto"/>
            <w:right w:val="none" w:sz="0" w:space="0" w:color="auto"/>
          </w:divBdr>
        </w:div>
        <w:div w:id="721368334">
          <w:marLeft w:val="640"/>
          <w:marRight w:val="0"/>
          <w:marTop w:val="0"/>
          <w:marBottom w:val="0"/>
          <w:divBdr>
            <w:top w:val="none" w:sz="0" w:space="0" w:color="auto"/>
            <w:left w:val="none" w:sz="0" w:space="0" w:color="auto"/>
            <w:bottom w:val="none" w:sz="0" w:space="0" w:color="auto"/>
            <w:right w:val="none" w:sz="0" w:space="0" w:color="auto"/>
          </w:divBdr>
        </w:div>
        <w:div w:id="610740579">
          <w:marLeft w:val="640"/>
          <w:marRight w:val="0"/>
          <w:marTop w:val="0"/>
          <w:marBottom w:val="0"/>
          <w:divBdr>
            <w:top w:val="none" w:sz="0" w:space="0" w:color="auto"/>
            <w:left w:val="none" w:sz="0" w:space="0" w:color="auto"/>
            <w:bottom w:val="none" w:sz="0" w:space="0" w:color="auto"/>
            <w:right w:val="none" w:sz="0" w:space="0" w:color="auto"/>
          </w:divBdr>
        </w:div>
        <w:div w:id="1179272383">
          <w:marLeft w:val="640"/>
          <w:marRight w:val="0"/>
          <w:marTop w:val="0"/>
          <w:marBottom w:val="0"/>
          <w:divBdr>
            <w:top w:val="none" w:sz="0" w:space="0" w:color="auto"/>
            <w:left w:val="none" w:sz="0" w:space="0" w:color="auto"/>
            <w:bottom w:val="none" w:sz="0" w:space="0" w:color="auto"/>
            <w:right w:val="none" w:sz="0" w:space="0" w:color="auto"/>
          </w:divBdr>
        </w:div>
        <w:div w:id="1646199782">
          <w:marLeft w:val="640"/>
          <w:marRight w:val="0"/>
          <w:marTop w:val="0"/>
          <w:marBottom w:val="0"/>
          <w:divBdr>
            <w:top w:val="none" w:sz="0" w:space="0" w:color="auto"/>
            <w:left w:val="none" w:sz="0" w:space="0" w:color="auto"/>
            <w:bottom w:val="none" w:sz="0" w:space="0" w:color="auto"/>
            <w:right w:val="none" w:sz="0" w:space="0" w:color="auto"/>
          </w:divBdr>
        </w:div>
        <w:div w:id="1399134738">
          <w:marLeft w:val="640"/>
          <w:marRight w:val="0"/>
          <w:marTop w:val="0"/>
          <w:marBottom w:val="0"/>
          <w:divBdr>
            <w:top w:val="none" w:sz="0" w:space="0" w:color="auto"/>
            <w:left w:val="none" w:sz="0" w:space="0" w:color="auto"/>
            <w:bottom w:val="none" w:sz="0" w:space="0" w:color="auto"/>
            <w:right w:val="none" w:sz="0" w:space="0" w:color="auto"/>
          </w:divBdr>
        </w:div>
        <w:div w:id="229998456">
          <w:marLeft w:val="640"/>
          <w:marRight w:val="0"/>
          <w:marTop w:val="0"/>
          <w:marBottom w:val="0"/>
          <w:divBdr>
            <w:top w:val="none" w:sz="0" w:space="0" w:color="auto"/>
            <w:left w:val="none" w:sz="0" w:space="0" w:color="auto"/>
            <w:bottom w:val="none" w:sz="0" w:space="0" w:color="auto"/>
            <w:right w:val="none" w:sz="0" w:space="0" w:color="auto"/>
          </w:divBdr>
        </w:div>
        <w:div w:id="1374964070">
          <w:marLeft w:val="640"/>
          <w:marRight w:val="0"/>
          <w:marTop w:val="0"/>
          <w:marBottom w:val="0"/>
          <w:divBdr>
            <w:top w:val="none" w:sz="0" w:space="0" w:color="auto"/>
            <w:left w:val="none" w:sz="0" w:space="0" w:color="auto"/>
            <w:bottom w:val="none" w:sz="0" w:space="0" w:color="auto"/>
            <w:right w:val="none" w:sz="0" w:space="0" w:color="auto"/>
          </w:divBdr>
        </w:div>
        <w:div w:id="733429844">
          <w:marLeft w:val="640"/>
          <w:marRight w:val="0"/>
          <w:marTop w:val="0"/>
          <w:marBottom w:val="0"/>
          <w:divBdr>
            <w:top w:val="none" w:sz="0" w:space="0" w:color="auto"/>
            <w:left w:val="none" w:sz="0" w:space="0" w:color="auto"/>
            <w:bottom w:val="none" w:sz="0" w:space="0" w:color="auto"/>
            <w:right w:val="none" w:sz="0" w:space="0" w:color="auto"/>
          </w:divBdr>
        </w:div>
        <w:div w:id="2100052752">
          <w:marLeft w:val="640"/>
          <w:marRight w:val="0"/>
          <w:marTop w:val="0"/>
          <w:marBottom w:val="0"/>
          <w:divBdr>
            <w:top w:val="none" w:sz="0" w:space="0" w:color="auto"/>
            <w:left w:val="none" w:sz="0" w:space="0" w:color="auto"/>
            <w:bottom w:val="none" w:sz="0" w:space="0" w:color="auto"/>
            <w:right w:val="none" w:sz="0" w:space="0" w:color="auto"/>
          </w:divBdr>
        </w:div>
        <w:div w:id="2001033637">
          <w:marLeft w:val="640"/>
          <w:marRight w:val="0"/>
          <w:marTop w:val="0"/>
          <w:marBottom w:val="0"/>
          <w:divBdr>
            <w:top w:val="none" w:sz="0" w:space="0" w:color="auto"/>
            <w:left w:val="none" w:sz="0" w:space="0" w:color="auto"/>
            <w:bottom w:val="none" w:sz="0" w:space="0" w:color="auto"/>
            <w:right w:val="none" w:sz="0" w:space="0" w:color="auto"/>
          </w:divBdr>
        </w:div>
        <w:div w:id="916473891">
          <w:marLeft w:val="640"/>
          <w:marRight w:val="0"/>
          <w:marTop w:val="0"/>
          <w:marBottom w:val="0"/>
          <w:divBdr>
            <w:top w:val="none" w:sz="0" w:space="0" w:color="auto"/>
            <w:left w:val="none" w:sz="0" w:space="0" w:color="auto"/>
            <w:bottom w:val="none" w:sz="0" w:space="0" w:color="auto"/>
            <w:right w:val="none" w:sz="0" w:space="0" w:color="auto"/>
          </w:divBdr>
        </w:div>
        <w:div w:id="1926647715">
          <w:marLeft w:val="640"/>
          <w:marRight w:val="0"/>
          <w:marTop w:val="0"/>
          <w:marBottom w:val="0"/>
          <w:divBdr>
            <w:top w:val="none" w:sz="0" w:space="0" w:color="auto"/>
            <w:left w:val="none" w:sz="0" w:space="0" w:color="auto"/>
            <w:bottom w:val="none" w:sz="0" w:space="0" w:color="auto"/>
            <w:right w:val="none" w:sz="0" w:space="0" w:color="auto"/>
          </w:divBdr>
        </w:div>
        <w:div w:id="1999111351">
          <w:marLeft w:val="640"/>
          <w:marRight w:val="0"/>
          <w:marTop w:val="0"/>
          <w:marBottom w:val="0"/>
          <w:divBdr>
            <w:top w:val="none" w:sz="0" w:space="0" w:color="auto"/>
            <w:left w:val="none" w:sz="0" w:space="0" w:color="auto"/>
            <w:bottom w:val="none" w:sz="0" w:space="0" w:color="auto"/>
            <w:right w:val="none" w:sz="0" w:space="0" w:color="auto"/>
          </w:divBdr>
        </w:div>
        <w:div w:id="1690333432">
          <w:marLeft w:val="640"/>
          <w:marRight w:val="0"/>
          <w:marTop w:val="0"/>
          <w:marBottom w:val="0"/>
          <w:divBdr>
            <w:top w:val="none" w:sz="0" w:space="0" w:color="auto"/>
            <w:left w:val="none" w:sz="0" w:space="0" w:color="auto"/>
            <w:bottom w:val="none" w:sz="0" w:space="0" w:color="auto"/>
            <w:right w:val="none" w:sz="0" w:space="0" w:color="auto"/>
          </w:divBdr>
        </w:div>
        <w:div w:id="1032071038">
          <w:marLeft w:val="640"/>
          <w:marRight w:val="0"/>
          <w:marTop w:val="0"/>
          <w:marBottom w:val="0"/>
          <w:divBdr>
            <w:top w:val="none" w:sz="0" w:space="0" w:color="auto"/>
            <w:left w:val="none" w:sz="0" w:space="0" w:color="auto"/>
            <w:bottom w:val="none" w:sz="0" w:space="0" w:color="auto"/>
            <w:right w:val="none" w:sz="0" w:space="0" w:color="auto"/>
          </w:divBdr>
        </w:div>
        <w:div w:id="27075985">
          <w:marLeft w:val="640"/>
          <w:marRight w:val="0"/>
          <w:marTop w:val="0"/>
          <w:marBottom w:val="0"/>
          <w:divBdr>
            <w:top w:val="none" w:sz="0" w:space="0" w:color="auto"/>
            <w:left w:val="none" w:sz="0" w:space="0" w:color="auto"/>
            <w:bottom w:val="none" w:sz="0" w:space="0" w:color="auto"/>
            <w:right w:val="none" w:sz="0" w:space="0" w:color="auto"/>
          </w:divBdr>
        </w:div>
        <w:div w:id="70978936">
          <w:marLeft w:val="640"/>
          <w:marRight w:val="0"/>
          <w:marTop w:val="0"/>
          <w:marBottom w:val="0"/>
          <w:divBdr>
            <w:top w:val="none" w:sz="0" w:space="0" w:color="auto"/>
            <w:left w:val="none" w:sz="0" w:space="0" w:color="auto"/>
            <w:bottom w:val="none" w:sz="0" w:space="0" w:color="auto"/>
            <w:right w:val="none" w:sz="0" w:space="0" w:color="auto"/>
          </w:divBdr>
        </w:div>
        <w:div w:id="2044356343">
          <w:marLeft w:val="640"/>
          <w:marRight w:val="0"/>
          <w:marTop w:val="0"/>
          <w:marBottom w:val="0"/>
          <w:divBdr>
            <w:top w:val="none" w:sz="0" w:space="0" w:color="auto"/>
            <w:left w:val="none" w:sz="0" w:space="0" w:color="auto"/>
            <w:bottom w:val="none" w:sz="0" w:space="0" w:color="auto"/>
            <w:right w:val="none" w:sz="0" w:space="0" w:color="auto"/>
          </w:divBdr>
        </w:div>
        <w:div w:id="1494105806">
          <w:marLeft w:val="640"/>
          <w:marRight w:val="0"/>
          <w:marTop w:val="0"/>
          <w:marBottom w:val="0"/>
          <w:divBdr>
            <w:top w:val="none" w:sz="0" w:space="0" w:color="auto"/>
            <w:left w:val="none" w:sz="0" w:space="0" w:color="auto"/>
            <w:bottom w:val="none" w:sz="0" w:space="0" w:color="auto"/>
            <w:right w:val="none" w:sz="0" w:space="0" w:color="auto"/>
          </w:divBdr>
        </w:div>
        <w:div w:id="1587953667">
          <w:marLeft w:val="640"/>
          <w:marRight w:val="0"/>
          <w:marTop w:val="0"/>
          <w:marBottom w:val="0"/>
          <w:divBdr>
            <w:top w:val="none" w:sz="0" w:space="0" w:color="auto"/>
            <w:left w:val="none" w:sz="0" w:space="0" w:color="auto"/>
            <w:bottom w:val="none" w:sz="0" w:space="0" w:color="auto"/>
            <w:right w:val="none" w:sz="0" w:space="0" w:color="auto"/>
          </w:divBdr>
        </w:div>
        <w:div w:id="1061829633">
          <w:marLeft w:val="640"/>
          <w:marRight w:val="0"/>
          <w:marTop w:val="0"/>
          <w:marBottom w:val="0"/>
          <w:divBdr>
            <w:top w:val="none" w:sz="0" w:space="0" w:color="auto"/>
            <w:left w:val="none" w:sz="0" w:space="0" w:color="auto"/>
            <w:bottom w:val="none" w:sz="0" w:space="0" w:color="auto"/>
            <w:right w:val="none" w:sz="0" w:space="0" w:color="auto"/>
          </w:divBdr>
        </w:div>
        <w:div w:id="925187840">
          <w:marLeft w:val="640"/>
          <w:marRight w:val="0"/>
          <w:marTop w:val="0"/>
          <w:marBottom w:val="0"/>
          <w:divBdr>
            <w:top w:val="none" w:sz="0" w:space="0" w:color="auto"/>
            <w:left w:val="none" w:sz="0" w:space="0" w:color="auto"/>
            <w:bottom w:val="none" w:sz="0" w:space="0" w:color="auto"/>
            <w:right w:val="none" w:sz="0" w:space="0" w:color="auto"/>
          </w:divBdr>
        </w:div>
        <w:div w:id="1397169261">
          <w:marLeft w:val="640"/>
          <w:marRight w:val="0"/>
          <w:marTop w:val="0"/>
          <w:marBottom w:val="0"/>
          <w:divBdr>
            <w:top w:val="none" w:sz="0" w:space="0" w:color="auto"/>
            <w:left w:val="none" w:sz="0" w:space="0" w:color="auto"/>
            <w:bottom w:val="none" w:sz="0" w:space="0" w:color="auto"/>
            <w:right w:val="none" w:sz="0" w:space="0" w:color="auto"/>
          </w:divBdr>
        </w:div>
        <w:div w:id="1371761629">
          <w:marLeft w:val="640"/>
          <w:marRight w:val="0"/>
          <w:marTop w:val="0"/>
          <w:marBottom w:val="0"/>
          <w:divBdr>
            <w:top w:val="none" w:sz="0" w:space="0" w:color="auto"/>
            <w:left w:val="none" w:sz="0" w:space="0" w:color="auto"/>
            <w:bottom w:val="none" w:sz="0" w:space="0" w:color="auto"/>
            <w:right w:val="none" w:sz="0" w:space="0" w:color="auto"/>
          </w:divBdr>
        </w:div>
        <w:div w:id="1662662073">
          <w:marLeft w:val="640"/>
          <w:marRight w:val="0"/>
          <w:marTop w:val="0"/>
          <w:marBottom w:val="0"/>
          <w:divBdr>
            <w:top w:val="none" w:sz="0" w:space="0" w:color="auto"/>
            <w:left w:val="none" w:sz="0" w:space="0" w:color="auto"/>
            <w:bottom w:val="none" w:sz="0" w:space="0" w:color="auto"/>
            <w:right w:val="none" w:sz="0" w:space="0" w:color="auto"/>
          </w:divBdr>
        </w:div>
        <w:div w:id="639266567">
          <w:marLeft w:val="640"/>
          <w:marRight w:val="0"/>
          <w:marTop w:val="0"/>
          <w:marBottom w:val="0"/>
          <w:divBdr>
            <w:top w:val="none" w:sz="0" w:space="0" w:color="auto"/>
            <w:left w:val="none" w:sz="0" w:space="0" w:color="auto"/>
            <w:bottom w:val="none" w:sz="0" w:space="0" w:color="auto"/>
            <w:right w:val="none" w:sz="0" w:space="0" w:color="auto"/>
          </w:divBdr>
        </w:div>
        <w:div w:id="1592200534">
          <w:marLeft w:val="640"/>
          <w:marRight w:val="0"/>
          <w:marTop w:val="0"/>
          <w:marBottom w:val="0"/>
          <w:divBdr>
            <w:top w:val="none" w:sz="0" w:space="0" w:color="auto"/>
            <w:left w:val="none" w:sz="0" w:space="0" w:color="auto"/>
            <w:bottom w:val="none" w:sz="0" w:space="0" w:color="auto"/>
            <w:right w:val="none" w:sz="0" w:space="0" w:color="auto"/>
          </w:divBdr>
        </w:div>
        <w:div w:id="165243460">
          <w:marLeft w:val="640"/>
          <w:marRight w:val="0"/>
          <w:marTop w:val="0"/>
          <w:marBottom w:val="0"/>
          <w:divBdr>
            <w:top w:val="none" w:sz="0" w:space="0" w:color="auto"/>
            <w:left w:val="none" w:sz="0" w:space="0" w:color="auto"/>
            <w:bottom w:val="none" w:sz="0" w:space="0" w:color="auto"/>
            <w:right w:val="none" w:sz="0" w:space="0" w:color="auto"/>
          </w:divBdr>
        </w:div>
        <w:div w:id="209267833">
          <w:marLeft w:val="640"/>
          <w:marRight w:val="0"/>
          <w:marTop w:val="0"/>
          <w:marBottom w:val="0"/>
          <w:divBdr>
            <w:top w:val="none" w:sz="0" w:space="0" w:color="auto"/>
            <w:left w:val="none" w:sz="0" w:space="0" w:color="auto"/>
            <w:bottom w:val="none" w:sz="0" w:space="0" w:color="auto"/>
            <w:right w:val="none" w:sz="0" w:space="0" w:color="auto"/>
          </w:divBdr>
        </w:div>
        <w:div w:id="1370379593">
          <w:marLeft w:val="640"/>
          <w:marRight w:val="0"/>
          <w:marTop w:val="0"/>
          <w:marBottom w:val="0"/>
          <w:divBdr>
            <w:top w:val="none" w:sz="0" w:space="0" w:color="auto"/>
            <w:left w:val="none" w:sz="0" w:space="0" w:color="auto"/>
            <w:bottom w:val="none" w:sz="0" w:space="0" w:color="auto"/>
            <w:right w:val="none" w:sz="0" w:space="0" w:color="auto"/>
          </w:divBdr>
        </w:div>
        <w:div w:id="1508859698">
          <w:marLeft w:val="640"/>
          <w:marRight w:val="0"/>
          <w:marTop w:val="0"/>
          <w:marBottom w:val="0"/>
          <w:divBdr>
            <w:top w:val="none" w:sz="0" w:space="0" w:color="auto"/>
            <w:left w:val="none" w:sz="0" w:space="0" w:color="auto"/>
            <w:bottom w:val="none" w:sz="0" w:space="0" w:color="auto"/>
            <w:right w:val="none" w:sz="0" w:space="0" w:color="auto"/>
          </w:divBdr>
        </w:div>
        <w:div w:id="549876170">
          <w:marLeft w:val="640"/>
          <w:marRight w:val="0"/>
          <w:marTop w:val="0"/>
          <w:marBottom w:val="0"/>
          <w:divBdr>
            <w:top w:val="none" w:sz="0" w:space="0" w:color="auto"/>
            <w:left w:val="none" w:sz="0" w:space="0" w:color="auto"/>
            <w:bottom w:val="none" w:sz="0" w:space="0" w:color="auto"/>
            <w:right w:val="none" w:sz="0" w:space="0" w:color="auto"/>
          </w:divBdr>
        </w:div>
        <w:div w:id="293219826">
          <w:marLeft w:val="640"/>
          <w:marRight w:val="0"/>
          <w:marTop w:val="0"/>
          <w:marBottom w:val="0"/>
          <w:divBdr>
            <w:top w:val="none" w:sz="0" w:space="0" w:color="auto"/>
            <w:left w:val="none" w:sz="0" w:space="0" w:color="auto"/>
            <w:bottom w:val="none" w:sz="0" w:space="0" w:color="auto"/>
            <w:right w:val="none" w:sz="0" w:space="0" w:color="auto"/>
          </w:divBdr>
        </w:div>
        <w:div w:id="729425412">
          <w:marLeft w:val="640"/>
          <w:marRight w:val="0"/>
          <w:marTop w:val="0"/>
          <w:marBottom w:val="0"/>
          <w:divBdr>
            <w:top w:val="none" w:sz="0" w:space="0" w:color="auto"/>
            <w:left w:val="none" w:sz="0" w:space="0" w:color="auto"/>
            <w:bottom w:val="none" w:sz="0" w:space="0" w:color="auto"/>
            <w:right w:val="none" w:sz="0" w:space="0" w:color="auto"/>
          </w:divBdr>
        </w:div>
        <w:div w:id="239603384">
          <w:marLeft w:val="640"/>
          <w:marRight w:val="0"/>
          <w:marTop w:val="0"/>
          <w:marBottom w:val="0"/>
          <w:divBdr>
            <w:top w:val="none" w:sz="0" w:space="0" w:color="auto"/>
            <w:left w:val="none" w:sz="0" w:space="0" w:color="auto"/>
            <w:bottom w:val="none" w:sz="0" w:space="0" w:color="auto"/>
            <w:right w:val="none" w:sz="0" w:space="0" w:color="auto"/>
          </w:divBdr>
        </w:div>
        <w:div w:id="626200806">
          <w:marLeft w:val="640"/>
          <w:marRight w:val="0"/>
          <w:marTop w:val="0"/>
          <w:marBottom w:val="0"/>
          <w:divBdr>
            <w:top w:val="none" w:sz="0" w:space="0" w:color="auto"/>
            <w:left w:val="none" w:sz="0" w:space="0" w:color="auto"/>
            <w:bottom w:val="none" w:sz="0" w:space="0" w:color="auto"/>
            <w:right w:val="none" w:sz="0" w:space="0" w:color="auto"/>
          </w:divBdr>
        </w:div>
        <w:div w:id="1635940290">
          <w:marLeft w:val="640"/>
          <w:marRight w:val="0"/>
          <w:marTop w:val="0"/>
          <w:marBottom w:val="0"/>
          <w:divBdr>
            <w:top w:val="none" w:sz="0" w:space="0" w:color="auto"/>
            <w:left w:val="none" w:sz="0" w:space="0" w:color="auto"/>
            <w:bottom w:val="none" w:sz="0" w:space="0" w:color="auto"/>
            <w:right w:val="none" w:sz="0" w:space="0" w:color="auto"/>
          </w:divBdr>
        </w:div>
        <w:div w:id="1477186011">
          <w:marLeft w:val="640"/>
          <w:marRight w:val="0"/>
          <w:marTop w:val="0"/>
          <w:marBottom w:val="0"/>
          <w:divBdr>
            <w:top w:val="none" w:sz="0" w:space="0" w:color="auto"/>
            <w:left w:val="none" w:sz="0" w:space="0" w:color="auto"/>
            <w:bottom w:val="none" w:sz="0" w:space="0" w:color="auto"/>
            <w:right w:val="none" w:sz="0" w:space="0" w:color="auto"/>
          </w:divBdr>
        </w:div>
        <w:div w:id="1507668899">
          <w:marLeft w:val="640"/>
          <w:marRight w:val="0"/>
          <w:marTop w:val="0"/>
          <w:marBottom w:val="0"/>
          <w:divBdr>
            <w:top w:val="none" w:sz="0" w:space="0" w:color="auto"/>
            <w:left w:val="none" w:sz="0" w:space="0" w:color="auto"/>
            <w:bottom w:val="none" w:sz="0" w:space="0" w:color="auto"/>
            <w:right w:val="none" w:sz="0" w:space="0" w:color="auto"/>
          </w:divBdr>
        </w:div>
        <w:div w:id="734084794">
          <w:marLeft w:val="640"/>
          <w:marRight w:val="0"/>
          <w:marTop w:val="0"/>
          <w:marBottom w:val="0"/>
          <w:divBdr>
            <w:top w:val="none" w:sz="0" w:space="0" w:color="auto"/>
            <w:left w:val="none" w:sz="0" w:space="0" w:color="auto"/>
            <w:bottom w:val="none" w:sz="0" w:space="0" w:color="auto"/>
            <w:right w:val="none" w:sz="0" w:space="0" w:color="auto"/>
          </w:divBdr>
        </w:div>
        <w:div w:id="515660339">
          <w:marLeft w:val="640"/>
          <w:marRight w:val="0"/>
          <w:marTop w:val="0"/>
          <w:marBottom w:val="0"/>
          <w:divBdr>
            <w:top w:val="none" w:sz="0" w:space="0" w:color="auto"/>
            <w:left w:val="none" w:sz="0" w:space="0" w:color="auto"/>
            <w:bottom w:val="none" w:sz="0" w:space="0" w:color="auto"/>
            <w:right w:val="none" w:sz="0" w:space="0" w:color="auto"/>
          </w:divBdr>
        </w:div>
        <w:div w:id="6292033">
          <w:marLeft w:val="640"/>
          <w:marRight w:val="0"/>
          <w:marTop w:val="0"/>
          <w:marBottom w:val="0"/>
          <w:divBdr>
            <w:top w:val="none" w:sz="0" w:space="0" w:color="auto"/>
            <w:left w:val="none" w:sz="0" w:space="0" w:color="auto"/>
            <w:bottom w:val="none" w:sz="0" w:space="0" w:color="auto"/>
            <w:right w:val="none" w:sz="0" w:space="0" w:color="auto"/>
          </w:divBdr>
        </w:div>
        <w:div w:id="1630545837">
          <w:marLeft w:val="640"/>
          <w:marRight w:val="0"/>
          <w:marTop w:val="0"/>
          <w:marBottom w:val="0"/>
          <w:divBdr>
            <w:top w:val="none" w:sz="0" w:space="0" w:color="auto"/>
            <w:left w:val="none" w:sz="0" w:space="0" w:color="auto"/>
            <w:bottom w:val="none" w:sz="0" w:space="0" w:color="auto"/>
            <w:right w:val="none" w:sz="0" w:space="0" w:color="auto"/>
          </w:divBdr>
        </w:div>
        <w:div w:id="77097576">
          <w:marLeft w:val="640"/>
          <w:marRight w:val="0"/>
          <w:marTop w:val="0"/>
          <w:marBottom w:val="0"/>
          <w:divBdr>
            <w:top w:val="none" w:sz="0" w:space="0" w:color="auto"/>
            <w:left w:val="none" w:sz="0" w:space="0" w:color="auto"/>
            <w:bottom w:val="none" w:sz="0" w:space="0" w:color="auto"/>
            <w:right w:val="none" w:sz="0" w:space="0" w:color="auto"/>
          </w:divBdr>
        </w:div>
        <w:div w:id="1788088350">
          <w:marLeft w:val="640"/>
          <w:marRight w:val="0"/>
          <w:marTop w:val="0"/>
          <w:marBottom w:val="0"/>
          <w:divBdr>
            <w:top w:val="none" w:sz="0" w:space="0" w:color="auto"/>
            <w:left w:val="none" w:sz="0" w:space="0" w:color="auto"/>
            <w:bottom w:val="none" w:sz="0" w:space="0" w:color="auto"/>
            <w:right w:val="none" w:sz="0" w:space="0" w:color="auto"/>
          </w:divBdr>
        </w:div>
        <w:div w:id="1761245831">
          <w:marLeft w:val="640"/>
          <w:marRight w:val="0"/>
          <w:marTop w:val="0"/>
          <w:marBottom w:val="0"/>
          <w:divBdr>
            <w:top w:val="none" w:sz="0" w:space="0" w:color="auto"/>
            <w:left w:val="none" w:sz="0" w:space="0" w:color="auto"/>
            <w:bottom w:val="none" w:sz="0" w:space="0" w:color="auto"/>
            <w:right w:val="none" w:sz="0" w:space="0" w:color="auto"/>
          </w:divBdr>
        </w:div>
        <w:div w:id="933905706">
          <w:marLeft w:val="640"/>
          <w:marRight w:val="0"/>
          <w:marTop w:val="0"/>
          <w:marBottom w:val="0"/>
          <w:divBdr>
            <w:top w:val="none" w:sz="0" w:space="0" w:color="auto"/>
            <w:left w:val="none" w:sz="0" w:space="0" w:color="auto"/>
            <w:bottom w:val="none" w:sz="0" w:space="0" w:color="auto"/>
            <w:right w:val="none" w:sz="0" w:space="0" w:color="auto"/>
          </w:divBdr>
        </w:div>
        <w:div w:id="991829843">
          <w:marLeft w:val="640"/>
          <w:marRight w:val="0"/>
          <w:marTop w:val="0"/>
          <w:marBottom w:val="0"/>
          <w:divBdr>
            <w:top w:val="none" w:sz="0" w:space="0" w:color="auto"/>
            <w:left w:val="none" w:sz="0" w:space="0" w:color="auto"/>
            <w:bottom w:val="none" w:sz="0" w:space="0" w:color="auto"/>
            <w:right w:val="none" w:sz="0" w:space="0" w:color="auto"/>
          </w:divBdr>
        </w:div>
        <w:div w:id="1126851708">
          <w:marLeft w:val="640"/>
          <w:marRight w:val="0"/>
          <w:marTop w:val="0"/>
          <w:marBottom w:val="0"/>
          <w:divBdr>
            <w:top w:val="none" w:sz="0" w:space="0" w:color="auto"/>
            <w:left w:val="none" w:sz="0" w:space="0" w:color="auto"/>
            <w:bottom w:val="none" w:sz="0" w:space="0" w:color="auto"/>
            <w:right w:val="none" w:sz="0" w:space="0" w:color="auto"/>
          </w:divBdr>
        </w:div>
        <w:div w:id="979071676">
          <w:marLeft w:val="640"/>
          <w:marRight w:val="0"/>
          <w:marTop w:val="0"/>
          <w:marBottom w:val="0"/>
          <w:divBdr>
            <w:top w:val="none" w:sz="0" w:space="0" w:color="auto"/>
            <w:left w:val="none" w:sz="0" w:space="0" w:color="auto"/>
            <w:bottom w:val="none" w:sz="0" w:space="0" w:color="auto"/>
            <w:right w:val="none" w:sz="0" w:space="0" w:color="auto"/>
          </w:divBdr>
        </w:div>
        <w:div w:id="1013873942">
          <w:marLeft w:val="640"/>
          <w:marRight w:val="0"/>
          <w:marTop w:val="0"/>
          <w:marBottom w:val="0"/>
          <w:divBdr>
            <w:top w:val="none" w:sz="0" w:space="0" w:color="auto"/>
            <w:left w:val="none" w:sz="0" w:space="0" w:color="auto"/>
            <w:bottom w:val="none" w:sz="0" w:space="0" w:color="auto"/>
            <w:right w:val="none" w:sz="0" w:space="0" w:color="auto"/>
          </w:divBdr>
        </w:div>
        <w:div w:id="366100505">
          <w:marLeft w:val="640"/>
          <w:marRight w:val="0"/>
          <w:marTop w:val="0"/>
          <w:marBottom w:val="0"/>
          <w:divBdr>
            <w:top w:val="none" w:sz="0" w:space="0" w:color="auto"/>
            <w:left w:val="none" w:sz="0" w:space="0" w:color="auto"/>
            <w:bottom w:val="none" w:sz="0" w:space="0" w:color="auto"/>
            <w:right w:val="none" w:sz="0" w:space="0" w:color="auto"/>
          </w:divBdr>
        </w:div>
        <w:div w:id="1868372855">
          <w:marLeft w:val="640"/>
          <w:marRight w:val="0"/>
          <w:marTop w:val="0"/>
          <w:marBottom w:val="0"/>
          <w:divBdr>
            <w:top w:val="none" w:sz="0" w:space="0" w:color="auto"/>
            <w:left w:val="none" w:sz="0" w:space="0" w:color="auto"/>
            <w:bottom w:val="none" w:sz="0" w:space="0" w:color="auto"/>
            <w:right w:val="none" w:sz="0" w:space="0" w:color="auto"/>
          </w:divBdr>
        </w:div>
        <w:div w:id="1944923230">
          <w:marLeft w:val="640"/>
          <w:marRight w:val="0"/>
          <w:marTop w:val="0"/>
          <w:marBottom w:val="0"/>
          <w:divBdr>
            <w:top w:val="none" w:sz="0" w:space="0" w:color="auto"/>
            <w:left w:val="none" w:sz="0" w:space="0" w:color="auto"/>
            <w:bottom w:val="none" w:sz="0" w:space="0" w:color="auto"/>
            <w:right w:val="none" w:sz="0" w:space="0" w:color="auto"/>
          </w:divBdr>
        </w:div>
        <w:div w:id="155458486">
          <w:marLeft w:val="640"/>
          <w:marRight w:val="0"/>
          <w:marTop w:val="0"/>
          <w:marBottom w:val="0"/>
          <w:divBdr>
            <w:top w:val="none" w:sz="0" w:space="0" w:color="auto"/>
            <w:left w:val="none" w:sz="0" w:space="0" w:color="auto"/>
            <w:bottom w:val="none" w:sz="0" w:space="0" w:color="auto"/>
            <w:right w:val="none" w:sz="0" w:space="0" w:color="auto"/>
          </w:divBdr>
        </w:div>
        <w:div w:id="96947612">
          <w:marLeft w:val="640"/>
          <w:marRight w:val="0"/>
          <w:marTop w:val="0"/>
          <w:marBottom w:val="0"/>
          <w:divBdr>
            <w:top w:val="none" w:sz="0" w:space="0" w:color="auto"/>
            <w:left w:val="none" w:sz="0" w:space="0" w:color="auto"/>
            <w:bottom w:val="none" w:sz="0" w:space="0" w:color="auto"/>
            <w:right w:val="none" w:sz="0" w:space="0" w:color="auto"/>
          </w:divBdr>
        </w:div>
        <w:div w:id="1706636834">
          <w:marLeft w:val="640"/>
          <w:marRight w:val="0"/>
          <w:marTop w:val="0"/>
          <w:marBottom w:val="0"/>
          <w:divBdr>
            <w:top w:val="none" w:sz="0" w:space="0" w:color="auto"/>
            <w:left w:val="none" w:sz="0" w:space="0" w:color="auto"/>
            <w:bottom w:val="none" w:sz="0" w:space="0" w:color="auto"/>
            <w:right w:val="none" w:sz="0" w:space="0" w:color="auto"/>
          </w:divBdr>
        </w:div>
        <w:div w:id="806316386">
          <w:marLeft w:val="640"/>
          <w:marRight w:val="0"/>
          <w:marTop w:val="0"/>
          <w:marBottom w:val="0"/>
          <w:divBdr>
            <w:top w:val="none" w:sz="0" w:space="0" w:color="auto"/>
            <w:left w:val="none" w:sz="0" w:space="0" w:color="auto"/>
            <w:bottom w:val="none" w:sz="0" w:space="0" w:color="auto"/>
            <w:right w:val="none" w:sz="0" w:space="0" w:color="auto"/>
          </w:divBdr>
        </w:div>
        <w:div w:id="124588906">
          <w:marLeft w:val="640"/>
          <w:marRight w:val="0"/>
          <w:marTop w:val="0"/>
          <w:marBottom w:val="0"/>
          <w:divBdr>
            <w:top w:val="none" w:sz="0" w:space="0" w:color="auto"/>
            <w:left w:val="none" w:sz="0" w:space="0" w:color="auto"/>
            <w:bottom w:val="none" w:sz="0" w:space="0" w:color="auto"/>
            <w:right w:val="none" w:sz="0" w:space="0" w:color="auto"/>
          </w:divBdr>
        </w:div>
        <w:div w:id="2017339457">
          <w:marLeft w:val="640"/>
          <w:marRight w:val="0"/>
          <w:marTop w:val="0"/>
          <w:marBottom w:val="0"/>
          <w:divBdr>
            <w:top w:val="none" w:sz="0" w:space="0" w:color="auto"/>
            <w:left w:val="none" w:sz="0" w:space="0" w:color="auto"/>
            <w:bottom w:val="none" w:sz="0" w:space="0" w:color="auto"/>
            <w:right w:val="none" w:sz="0" w:space="0" w:color="auto"/>
          </w:divBdr>
        </w:div>
        <w:div w:id="1045519349">
          <w:marLeft w:val="640"/>
          <w:marRight w:val="0"/>
          <w:marTop w:val="0"/>
          <w:marBottom w:val="0"/>
          <w:divBdr>
            <w:top w:val="none" w:sz="0" w:space="0" w:color="auto"/>
            <w:left w:val="none" w:sz="0" w:space="0" w:color="auto"/>
            <w:bottom w:val="none" w:sz="0" w:space="0" w:color="auto"/>
            <w:right w:val="none" w:sz="0" w:space="0" w:color="auto"/>
          </w:divBdr>
        </w:div>
        <w:div w:id="830828457">
          <w:marLeft w:val="640"/>
          <w:marRight w:val="0"/>
          <w:marTop w:val="0"/>
          <w:marBottom w:val="0"/>
          <w:divBdr>
            <w:top w:val="none" w:sz="0" w:space="0" w:color="auto"/>
            <w:left w:val="none" w:sz="0" w:space="0" w:color="auto"/>
            <w:bottom w:val="none" w:sz="0" w:space="0" w:color="auto"/>
            <w:right w:val="none" w:sz="0" w:space="0" w:color="auto"/>
          </w:divBdr>
        </w:div>
        <w:div w:id="1266036916">
          <w:marLeft w:val="640"/>
          <w:marRight w:val="0"/>
          <w:marTop w:val="0"/>
          <w:marBottom w:val="0"/>
          <w:divBdr>
            <w:top w:val="none" w:sz="0" w:space="0" w:color="auto"/>
            <w:left w:val="none" w:sz="0" w:space="0" w:color="auto"/>
            <w:bottom w:val="none" w:sz="0" w:space="0" w:color="auto"/>
            <w:right w:val="none" w:sz="0" w:space="0" w:color="auto"/>
          </w:divBdr>
        </w:div>
        <w:div w:id="261960534">
          <w:marLeft w:val="640"/>
          <w:marRight w:val="0"/>
          <w:marTop w:val="0"/>
          <w:marBottom w:val="0"/>
          <w:divBdr>
            <w:top w:val="none" w:sz="0" w:space="0" w:color="auto"/>
            <w:left w:val="none" w:sz="0" w:space="0" w:color="auto"/>
            <w:bottom w:val="none" w:sz="0" w:space="0" w:color="auto"/>
            <w:right w:val="none" w:sz="0" w:space="0" w:color="auto"/>
          </w:divBdr>
        </w:div>
        <w:div w:id="1897354126">
          <w:marLeft w:val="640"/>
          <w:marRight w:val="0"/>
          <w:marTop w:val="0"/>
          <w:marBottom w:val="0"/>
          <w:divBdr>
            <w:top w:val="none" w:sz="0" w:space="0" w:color="auto"/>
            <w:left w:val="none" w:sz="0" w:space="0" w:color="auto"/>
            <w:bottom w:val="none" w:sz="0" w:space="0" w:color="auto"/>
            <w:right w:val="none" w:sz="0" w:space="0" w:color="auto"/>
          </w:divBdr>
        </w:div>
        <w:div w:id="2077126458">
          <w:marLeft w:val="640"/>
          <w:marRight w:val="0"/>
          <w:marTop w:val="0"/>
          <w:marBottom w:val="0"/>
          <w:divBdr>
            <w:top w:val="none" w:sz="0" w:space="0" w:color="auto"/>
            <w:left w:val="none" w:sz="0" w:space="0" w:color="auto"/>
            <w:bottom w:val="none" w:sz="0" w:space="0" w:color="auto"/>
            <w:right w:val="none" w:sz="0" w:space="0" w:color="auto"/>
          </w:divBdr>
        </w:div>
        <w:div w:id="1154446860">
          <w:marLeft w:val="640"/>
          <w:marRight w:val="0"/>
          <w:marTop w:val="0"/>
          <w:marBottom w:val="0"/>
          <w:divBdr>
            <w:top w:val="none" w:sz="0" w:space="0" w:color="auto"/>
            <w:left w:val="none" w:sz="0" w:space="0" w:color="auto"/>
            <w:bottom w:val="none" w:sz="0" w:space="0" w:color="auto"/>
            <w:right w:val="none" w:sz="0" w:space="0" w:color="auto"/>
          </w:divBdr>
        </w:div>
        <w:div w:id="1253665758">
          <w:marLeft w:val="640"/>
          <w:marRight w:val="0"/>
          <w:marTop w:val="0"/>
          <w:marBottom w:val="0"/>
          <w:divBdr>
            <w:top w:val="none" w:sz="0" w:space="0" w:color="auto"/>
            <w:left w:val="none" w:sz="0" w:space="0" w:color="auto"/>
            <w:bottom w:val="none" w:sz="0" w:space="0" w:color="auto"/>
            <w:right w:val="none" w:sz="0" w:space="0" w:color="auto"/>
          </w:divBdr>
        </w:div>
        <w:div w:id="1855992168">
          <w:marLeft w:val="640"/>
          <w:marRight w:val="0"/>
          <w:marTop w:val="0"/>
          <w:marBottom w:val="0"/>
          <w:divBdr>
            <w:top w:val="none" w:sz="0" w:space="0" w:color="auto"/>
            <w:left w:val="none" w:sz="0" w:space="0" w:color="auto"/>
            <w:bottom w:val="none" w:sz="0" w:space="0" w:color="auto"/>
            <w:right w:val="none" w:sz="0" w:space="0" w:color="auto"/>
          </w:divBdr>
        </w:div>
        <w:div w:id="196436778">
          <w:marLeft w:val="640"/>
          <w:marRight w:val="0"/>
          <w:marTop w:val="0"/>
          <w:marBottom w:val="0"/>
          <w:divBdr>
            <w:top w:val="none" w:sz="0" w:space="0" w:color="auto"/>
            <w:left w:val="none" w:sz="0" w:space="0" w:color="auto"/>
            <w:bottom w:val="none" w:sz="0" w:space="0" w:color="auto"/>
            <w:right w:val="none" w:sz="0" w:space="0" w:color="auto"/>
          </w:divBdr>
        </w:div>
        <w:div w:id="2072380558">
          <w:marLeft w:val="640"/>
          <w:marRight w:val="0"/>
          <w:marTop w:val="0"/>
          <w:marBottom w:val="0"/>
          <w:divBdr>
            <w:top w:val="none" w:sz="0" w:space="0" w:color="auto"/>
            <w:left w:val="none" w:sz="0" w:space="0" w:color="auto"/>
            <w:bottom w:val="none" w:sz="0" w:space="0" w:color="auto"/>
            <w:right w:val="none" w:sz="0" w:space="0" w:color="auto"/>
          </w:divBdr>
        </w:div>
        <w:div w:id="1106661116">
          <w:marLeft w:val="640"/>
          <w:marRight w:val="0"/>
          <w:marTop w:val="0"/>
          <w:marBottom w:val="0"/>
          <w:divBdr>
            <w:top w:val="none" w:sz="0" w:space="0" w:color="auto"/>
            <w:left w:val="none" w:sz="0" w:space="0" w:color="auto"/>
            <w:bottom w:val="none" w:sz="0" w:space="0" w:color="auto"/>
            <w:right w:val="none" w:sz="0" w:space="0" w:color="auto"/>
          </w:divBdr>
        </w:div>
        <w:div w:id="307563223">
          <w:marLeft w:val="640"/>
          <w:marRight w:val="0"/>
          <w:marTop w:val="0"/>
          <w:marBottom w:val="0"/>
          <w:divBdr>
            <w:top w:val="none" w:sz="0" w:space="0" w:color="auto"/>
            <w:left w:val="none" w:sz="0" w:space="0" w:color="auto"/>
            <w:bottom w:val="none" w:sz="0" w:space="0" w:color="auto"/>
            <w:right w:val="none" w:sz="0" w:space="0" w:color="auto"/>
          </w:divBdr>
        </w:div>
        <w:div w:id="1727142297">
          <w:marLeft w:val="640"/>
          <w:marRight w:val="0"/>
          <w:marTop w:val="0"/>
          <w:marBottom w:val="0"/>
          <w:divBdr>
            <w:top w:val="none" w:sz="0" w:space="0" w:color="auto"/>
            <w:left w:val="none" w:sz="0" w:space="0" w:color="auto"/>
            <w:bottom w:val="none" w:sz="0" w:space="0" w:color="auto"/>
            <w:right w:val="none" w:sz="0" w:space="0" w:color="auto"/>
          </w:divBdr>
        </w:div>
        <w:div w:id="1851412525">
          <w:marLeft w:val="640"/>
          <w:marRight w:val="0"/>
          <w:marTop w:val="0"/>
          <w:marBottom w:val="0"/>
          <w:divBdr>
            <w:top w:val="none" w:sz="0" w:space="0" w:color="auto"/>
            <w:left w:val="none" w:sz="0" w:space="0" w:color="auto"/>
            <w:bottom w:val="none" w:sz="0" w:space="0" w:color="auto"/>
            <w:right w:val="none" w:sz="0" w:space="0" w:color="auto"/>
          </w:divBdr>
        </w:div>
        <w:div w:id="877547710">
          <w:marLeft w:val="640"/>
          <w:marRight w:val="0"/>
          <w:marTop w:val="0"/>
          <w:marBottom w:val="0"/>
          <w:divBdr>
            <w:top w:val="none" w:sz="0" w:space="0" w:color="auto"/>
            <w:left w:val="none" w:sz="0" w:space="0" w:color="auto"/>
            <w:bottom w:val="none" w:sz="0" w:space="0" w:color="auto"/>
            <w:right w:val="none" w:sz="0" w:space="0" w:color="auto"/>
          </w:divBdr>
        </w:div>
        <w:div w:id="718935556">
          <w:marLeft w:val="640"/>
          <w:marRight w:val="0"/>
          <w:marTop w:val="0"/>
          <w:marBottom w:val="0"/>
          <w:divBdr>
            <w:top w:val="none" w:sz="0" w:space="0" w:color="auto"/>
            <w:left w:val="none" w:sz="0" w:space="0" w:color="auto"/>
            <w:bottom w:val="none" w:sz="0" w:space="0" w:color="auto"/>
            <w:right w:val="none" w:sz="0" w:space="0" w:color="auto"/>
          </w:divBdr>
        </w:div>
        <w:div w:id="2099674274">
          <w:marLeft w:val="640"/>
          <w:marRight w:val="0"/>
          <w:marTop w:val="0"/>
          <w:marBottom w:val="0"/>
          <w:divBdr>
            <w:top w:val="none" w:sz="0" w:space="0" w:color="auto"/>
            <w:left w:val="none" w:sz="0" w:space="0" w:color="auto"/>
            <w:bottom w:val="none" w:sz="0" w:space="0" w:color="auto"/>
            <w:right w:val="none" w:sz="0" w:space="0" w:color="auto"/>
          </w:divBdr>
        </w:div>
        <w:div w:id="887185853">
          <w:marLeft w:val="640"/>
          <w:marRight w:val="0"/>
          <w:marTop w:val="0"/>
          <w:marBottom w:val="0"/>
          <w:divBdr>
            <w:top w:val="none" w:sz="0" w:space="0" w:color="auto"/>
            <w:left w:val="none" w:sz="0" w:space="0" w:color="auto"/>
            <w:bottom w:val="none" w:sz="0" w:space="0" w:color="auto"/>
            <w:right w:val="none" w:sz="0" w:space="0" w:color="auto"/>
          </w:divBdr>
        </w:div>
        <w:div w:id="1840465076">
          <w:marLeft w:val="640"/>
          <w:marRight w:val="0"/>
          <w:marTop w:val="0"/>
          <w:marBottom w:val="0"/>
          <w:divBdr>
            <w:top w:val="none" w:sz="0" w:space="0" w:color="auto"/>
            <w:left w:val="none" w:sz="0" w:space="0" w:color="auto"/>
            <w:bottom w:val="none" w:sz="0" w:space="0" w:color="auto"/>
            <w:right w:val="none" w:sz="0" w:space="0" w:color="auto"/>
          </w:divBdr>
        </w:div>
        <w:div w:id="564485349">
          <w:marLeft w:val="640"/>
          <w:marRight w:val="0"/>
          <w:marTop w:val="0"/>
          <w:marBottom w:val="0"/>
          <w:divBdr>
            <w:top w:val="none" w:sz="0" w:space="0" w:color="auto"/>
            <w:left w:val="none" w:sz="0" w:space="0" w:color="auto"/>
            <w:bottom w:val="none" w:sz="0" w:space="0" w:color="auto"/>
            <w:right w:val="none" w:sz="0" w:space="0" w:color="auto"/>
          </w:divBdr>
        </w:div>
        <w:div w:id="1622685234">
          <w:marLeft w:val="640"/>
          <w:marRight w:val="0"/>
          <w:marTop w:val="0"/>
          <w:marBottom w:val="0"/>
          <w:divBdr>
            <w:top w:val="none" w:sz="0" w:space="0" w:color="auto"/>
            <w:left w:val="none" w:sz="0" w:space="0" w:color="auto"/>
            <w:bottom w:val="none" w:sz="0" w:space="0" w:color="auto"/>
            <w:right w:val="none" w:sz="0" w:space="0" w:color="auto"/>
          </w:divBdr>
        </w:div>
        <w:div w:id="1301882010">
          <w:marLeft w:val="640"/>
          <w:marRight w:val="0"/>
          <w:marTop w:val="0"/>
          <w:marBottom w:val="0"/>
          <w:divBdr>
            <w:top w:val="none" w:sz="0" w:space="0" w:color="auto"/>
            <w:left w:val="none" w:sz="0" w:space="0" w:color="auto"/>
            <w:bottom w:val="none" w:sz="0" w:space="0" w:color="auto"/>
            <w:right w:val="none" w:sz="0" w:space="0" w:color="auto"/>
          </w:divBdr>
        </w:div>
        <w:div w:id="37166293">
          <w:marLeft w:val="640"/>
          <w:marRight w:val="0"/>
          <w:marTop w:val="0"/>
          <w:marBottom w:val="0"/>
          <w:divBdr>
            <w:top w:val="none" w:sz="0" w:space="0" w:color="auto"/>
            <w:left w:val="none" w:sz="0" w:space="0" w:color="auto"/>
            <w:bottom w:val="none" w:sz="0" w:space="0" w:color="auto"/>
            <w:right w:val="none" w:sz="0" w:space="0" w:color="auto"/>
          </w:divBdr>
        </w:div>
        <w:div w:id="1784035071">
          <w:marLeft w:val="640"/>
          <w:marRight w:val="0"/>
          <w:marTop w:val="0"/>
          <w:marBottom w:val="0"/>
          <w:divBdr>
            <w:top w:val="none" w:sz="0" w:space="0" w:color="auto"/>
            <w:left w:val="none" w:sz="0" w:space="0" w:color="auto"/>
            <w:bottom w:val="none" w:sz="0" w:space="0" w:color="auto"/>
            <w:right w:val="none" w:sz="0" w:space="0" w:color="auto"/>
          </w:divBdr>
        </w:div>
        <w:div w:id="1822648656">
          <w:marLeft w:val="640"/>
          <w:marRight w:val="0"/>
          <w:marTop w:val="0"/>
          <w:marBottom w:val="0"/>
          <w:divBdr>
            <w:top w:val="none" w:sz="0" w:space="0" w:color="auto"/>
            <w:left w:val="none" w:sz="0" w:space="0" w:color="auto"/>
            <w:bottom w:val="none" w:sz="0" w:space="0" w:color="auto"/>
            <w:right w:val="none" w:sz="0" w:space="0" w:color="auto"/>
          </w:divBdr>
        </w:div>
        <w:div w:id="1711150486">
          <w:marLeft w:val="640"/>
          <w:marRight w:val="0"/>
          <w:marTop w:val="0"/>
          <w:marBottom w:val="0"/>
          <w:divBdr>
            <w:top w:val="none" w:sz="0" w:space="0" w:color="auto"/>
            <w:left w:val="none" w:sz="0" w:space="0" w:color="auto"/>
            <w:bottom w:val="none" w:sz="0" w:space="0" w:color="auto"/>
            <w:right w:val="none" w:sz="0" w:space="0" w:color="auto"/>
          </w:divBdr>
        </w:div>
        <w:div w:id="792675442">
          <w:marLeft w:val="640"/>
          <w:marRight w:val="0"/>
          <w:marTop w:val="0"/>
          <w:marBottom w:val="0"/>
          <w:divBdr>
            <w:top w:val="none" w:sz="0" w:space="0" w:color="auto"/>
            <w:left w:val="none" w:sz="0" w:space="0" w:color="auto"/>
            <w:bottom w:val="none" w:sz="0" w:space="0" w:color="auto"/>
            <w:right w:val="none" w:sz="0" w:space="0" w:color="auto"/>
          </w:divBdr>
        </w:div>
        <w:div w:id="1955823553">
          <w:marLeft w:val="640"/>
          <w:marRight w:val="0"/>
          <w:marTop w:val="0"/>
          <w:marBottom w:val="0"/>
          <w:divBdr>
            <w:top w:val="none" w:sz="0" w:space="0" w:color="auto"/>
            <w:left w:val="none" w:sz="0" w:space="0" w:color="auto"/>
            <w:bottom w:val="none" w:sz="0" w:space="0" w:color="auto"/>
            <w:right w:val="none" w:sz="0" w:space="0" w:color="auto"/>
          </w:divBdr>
        </w:div>
        <w:div w:id="898395022">
          <w:marLeft w:val="640"/>
          <w:marRight w:val="0"/>
          <w:marTop w:val="0"/>
          <w:marBottom w:val="0"/>
          <w:divBdr>
            <w:top w:val="none" w:sz="0" w:space="0" w:color="auto"/>
            <w:left w:val="none" w:sz="0" w:space="0" w:color="auto"/>
            <w:bottom w:val="none" w:sz="0" w:space="0" w:color="auto"/>
            <w:right w:val="none" w:sz="0" w:space="0" w:color="auto"/>
          </w:divBdr>
        </w:div>
        <w:div w:id="2101220498">
          <w:marLeft w:val="640"/>
          <w:marRight w:val="0"/>
          <w:marTop w:val="0"/>
          <w:marBottom w:val="0"/>
          <w:divBdr>
            <w:top w:val="none" w:sz="0" w:space="0" w:color="auto"/>
            <w:left w:val="none" w:sz="0" w:space="0" w:color="auto"/>
            <w:bottom w:val="none" w:sz="0" w:space="0" w:color="auto"/>
            <w:right w:val="none" w:sz="0" w:space="0" w:color="auto"/>
          </w:divBdr>
        </w:div>
        <w:div w:id="255796884">
          <w:marLeft w:val="640"/>
          <w:marRight w:val="0"/>
          <w:marTop w:val="0"/>
          <w:marBottom w:val="0"/>
          <w:divBdr>
            <w:top w:val="none" w:sz="0" w:space="0" w:color="auto"/>
            <w:left w:val="none" w:sz="0" w:space="0" w:color="auto"/>
            <w:bottom w:val="none" w:sz="0" w:space="0" w:color="auto"/>
            <w:right w:val="none" w:sz="0" w:space="0" w:color="auto"/>
          </w:divBdr>
        </w:div>
        <w:div w:id="1563105114">
          <w:marLeft w:val="640"/>
          <w:marRight w:val="0"/>
          <w:marTop w:val="0"/>
          <w:marBottom w:val="0"/>
          <w:divBdr>
            <w:top w:val="none" w:sz="0" w:space="0" w:color="auto"/>
            <w:left w:val="none" w:sz="0" w:space="0" w:color="auto"/>
            <w:bottom w:val="none" w:sz="0" w:space="0" w:color="auto"/>
            <w:right w:val="none" w:sz="0" w:space="0" w:color="auto"/>
          </w:divBdr>
        </w:div>
        <w:div w:id="466631909">
          <w:marLeft w:val="640"/>
          <w:marRight w:val="0"/>
          <w:marTop w:val="0"/>
          <w:marBottom w:val="0"/>
          <w:divBdr>
            <w:top w:val="none" w:sz="0" w:space="0" w:color="auto"/>
            <w:left w:val="none" w:sz="0" w:space="0" w:color="auto"/>
            <w:bottom w:val="none" w:sz="0" w:space="0" w:color="auto"/>
            <w:right w:val="none" w:sz="0" w:space="0" w:color="auto"/>
          </w:divBdr>
        </w:div>
        <w:div w:id="2044743794">
          <w:marLeft w:val="640"/>
          <w:marRight w:val="0"/>
          <w:marTop w:val="0"/>
          <w:marBottom w:val="0"/>
          <w:divBdr>
            <w:top w:val="none" w:sz="0" w:space="0" w:color="auto"/>
            <w:left w:val="none" w:sz="0" w:space="0" w:color="auto"/>
            <w:bottom w:val="none" w:sz="0" w:space="0" w:color="auto"/>
            <w:right w:val="none" w:sz="0" w:space="0" w:color="auto"/>
          </w:divBdr>
        </w:div>
        <w:div w:id="77557578">
          <w:marLeft w:val="640"/>
          <w:marRight w:val="0"/>
          <w:marTop w:val="0"/>
          <w:marBottom w:val="0"/>
          <w:divBdr>
            <w:top w:val="none" w:sz="0" w:space="0" w:color="auto"/>
            <w:left w:val="none" w:sz="0" w:space="0" w:color="auto"/>
            <w:bottom w:val="none" w:sz="0" w:space="0" w:color="auto"/>
            <w:right w:val="none" w:sz="0" w:space="0" w:color="auto"/>
          </w:divBdr>
        </w:div>
        <w:div w:id="997273749">
          <w:marLeft w:val="640"/>
          <w:marRight w:val="0"/>
          <w:marTop w:val="0"/>
          <w:marBottom w:val="0"/>
          <w:divBdr>
            <w:top w:val="none" w:sz="0" w:space="0" w:color="auto"/>
            <w:left w:val="none" w:sz="0" w:space="0" w:color="auto"/>
            <w:bottom w:val="none" w:sz="0" w:space="0" w:color="auto"/>
            <w:right w:val="none" w:sz="0" w:space="0" w:color="auto"/>
          </w:divBdr>
        </w:div>
        <w:div w:id="2057701018">
          <w:marLeft w:val="640"/>
          <w:marRight w:val="0"/>
          <w:marTop w:val="0"/>
          <w:marBottom w:val="0"/>
          <w:divBdr>
            <w:top w:val="none" w:sz="0" w:space="0" w:color="auto"/>
            <w:left w:val="none" w:sz="0" w:space="0" w:color="auto"/>
            <w:bottom w:val="none" w:sz="0" w:space="0" w:color="auto"/>
            <w:right w:val="none" w:sz="0" w:space="0" w:color="auto"/>
          </w:divBdr>
        </w:div>
        <w:div w:id="1882744077">
          <w:marLeft w:val="640"/>
          <w:marRight w:val="0"/>
          <w:marTop w:val="0"/>
          <w:marBottom w:val="0"/>
          <w:divBdr>
            <w:top w:val="none" w:sz="0" w:space="0" w:color="auto"/>
            <w:left w:val="none" w:sz="0" w:space="0" w:color="auto"/>
            <w:bottom w:val="none" w:sz="0" w:space="0" w:color="auto"/>
            <w:right w:val="none" w:sz="0" w:space="0" w:color="auto"/>
          </w:divBdr>
        </w:div>
        <w:div w:id="79714829">
          <w:marLeft w:val="640"/>
          <w:marRight w:val="0"/>
          <w:marTop w:val="0"/>
          <w:marBottom w:val="0"/>
          <w:divBdr>
            <w:top w:val="none" w:sz="0" w:space="0" w:color="auto"/>
            <w:left w:val="none" w:sz="0" w:space="0" w:color="auto"/>
            <w:bottom w:val="none" w:sz="0" w:space="0" w:color="auto"/>
            <w:right w:val="none" w:sz="0" w:space="0" w:color="auto"/>
          </w:divBdr>
        </w:div>
        <w:div w:id="619841855">
          <w:marLeft w:val="640"/>
          <w:marRight w:val="0"/>
          <w:marTop w:val="0"/>
          <w:marBottom w:val="0"/>
          <w:divBdr>
            <w:top w:val="none" w:sz="0" w:space="0" w:color="auto"/>
            <w:left w:val="none" w:sz="0" w:space="0" w:color="auto"/>
            <w:bottom w:val="none" w:sz="0" w:space="0" w:color="auto"/>
            <w:right w:val="none" w:sz="0" w:space="0" w:color="auto"/>
          </w:divBdr>
        </w:div>
        <w:div w:id="1912933290">
          <w:marLeft w:val="640"/>
          <w:marRight w:val="0"/>
          <w:marTop w:val="0"/>
          <w:marBottom w:val="0"/>
          <w:divBdr>
            <w:top w:val="none" w:sz="0" w:space="0" w:color="auto"/>
            <w:left w:val="none" w:sz="0" w:space="0" w:color="auto"/>
            <w:bottom w:val="none" w:sz="0" w:space="0" w:color="auto"/>
            <w:right w:val="none" w:sz="0" w:space="0" w:color="auto"/>
          </w:divBdr>
        </w:div>
        <w:div w:id="1833789631">
          <w:marLeft w:val="640"/>
          <w:marRight w:val="0"/>
          <w:marTop w:val="0"/>
          <w:marBottom w:val="0"/>
          <w:divBdr>
            <w:top w:val="none" w:sz="0" w:space="0" w:color="auto"/>
            <w:left w:val="none" w:sz="0" w:space="0" w:color="auto"/>
            <w:bottom w:val="none" w:sz="0" w:space="0" w:color="auto"/>
            <w:right w:val="none" w:sz="0" w:space="0" w:color="auto"/>
          </w:divBdr>
        </w:div>
        <w:div w:id="745493196">
          <w:marLeft w:val="640"/>
          <w:marRight w:val="0"/>
          <w:marTop w:val="0"/>
          <w:marBottom w:val="0"/>
          <w:divBdr>
            <w:top w:val="none" w:sz="0" w:space="0" w:color="auto"/>
            <w:left w:val="none" w:sz="0" w:space="0" w:color="auto"/>
            <w:bottom w:val="none" w:sz="0" w:space="0" w:color="auto"/>
            <w:right w:val="none" w:sz="0" w:space="0" w:color="auto"/>
          </w:divBdr>
        </w:div>
        <w:div w:id="649091532">
          <w:marLeft w:val="640"/>
          <w:marRight w:val="0"/>
          <w:marTop w:val="0"/>
          <w:marBottom w:val="0"/>
          <w:divBdr>
            <w:top w:val="none" w:sz="0" w:space="0" w:color="auto"/>
            <w:left w:val="none" w:sz="0" w:space="0" w:color="auto"/>
            <w:bottom w:val="none" w:sz="0" w:space="0" w:color="auto"/>
            <w:right w:val="none" w:sz="0" w:space="0" w:color="auto"/>
          </w:divBdr>
        </w:div>
        <w:div w:id="1714303205">
          <w:marLeft w:val="640"/>
          <w:marRight w:val="0"/>
          <w:marTop w:val="0"/>
          <w:marBottom w:val="0"/>
          <w:divBdr>
            <w:top w:val="none" w:sz="0" w:space="0" w:color="auto"/>
            <w:left w:val="none" w:sz="0" w:space="0" w:color="auto"/>
            <w:bottom w:val="none" w:sz="0" w:space="0" w:color="auto"/>
            <w:right w:val="none" w:sz="0" w:space="0" w:color="auto"/>
          </w:divBdr>
        </w:div>
        <w:div w:id="1036660580">
          <w:marLeft w:val="640"/>
          <w:marRight w:val="0"/>
          <w:marTop w:val="0"/>
          <w:marBottom w:val="0"/>
          <w:divBdr>
            <w:top w:val="none" w:sz="0" w:space="0" w:color="auto"/>
            <w:left w:val="none" w:sz="0" w:space="0" w:color="auto"/>
            <w:bottom w:val="none" w:sz="0" w:space="0" w:color="auto"/>
            <w:right w:val="none" w:sz="0" w:space="0" w:color="auto"/>
          </w:divBdr>
        </w:div>
        <w:div w:id="976451277">
          <w:marLeft w:val="640"/>
          <w:marRight w:val="0"/>
          <w:marTop w:val="0"/>
          <w:marBottom w:val="0"/>
          <w:divBdr>
            <w:top w:val="none" w:sz="0" w:space="0" w:color="auto"/>
            <w:left w:val="none" w:sz="0" w:space="0" w:color="auto"/>
            <w:bottom w:val="none" w:sz="0" w:space="0" w:color="auto"/>
            <w:right w:val="none" w:sz="0" w:space="0" w:color="auto"/>
          </w:divBdr>
        </w:div>
        <w:div w:id="2048479663">
          <w:marLeft w:val="640"/>
          <w:marRight w:val="0"/>
          <w:marTop w:val="0"/>
          <w:marBottom w:val="0"/>
          <w:divBdr>
            <w:top w:val="none" w:sz="0" w:space="0" w:color="auto"/>
            <w:left w:val="none" w:sz="0" w:space="0" w:color="auto"/>
            <w:bottom w:val="none" w:sz="0" w:space="0" w:color="auto"/>
            <w:right w:val="none" w:sz="0" w:space="0" w:color="auto"/>
          </w:divBdr>
        </w:div>
        <w:div w:id="2033217026">
          <w:marLeft w:val="640"/>
          <w:marRight w:val="0"/>
          <w:marTop w:val="0"/>
          <w:marBottom w:val="0"/>
          <w:divBdr>
            <w:top w:val="none" w:sz="0" w:space="0" w:color="auto"/>
            <w:left w:val="none" w:sz="0" w:space="0" w:color="auto"/>
            <w:bottom w:val="none" w:sz="0" w:space="0" w:color="auto"/>
            <w:right w:val="none" w:sz="0" w:space="0" w:color="auto"/>
          </w:divBdr>
        </w:div>
        <w:div w:id="115488030">
          <w:marLeft w:val="640"/>
          <w:marRight w:val="0"/>
          <w:marTop w:val="0"/>
          <w:marBottom w:val="0"/>
          <w:divBdr>
            <w:top w:val="none" w:sz="0" w:space="0" w:color="auto"/>
            <w:left w:val="none" w:sz="0" w:space="0" w:color="auto"/>
            <w:bottom w:val="none" w:sz="0" w:space="0" w:color="auto"/>
            <w:right w:val="none" w:sz="0" w:space="0" w:color="auto"/>
          </w:divBdr>
        </w:div>
        <w:div w:id="1166435439">
          <w:marLeft w:val="640"/>
          <w:marRight w:val="0"/>
          <w:marTop w:val="0"/>
          <w:marBottom w:val="0"/>
          <w:divBdr>
            <w:top w:val="none" w:sz="0" w:space="0" w:color="auto"/>
            <w:left w:val="none" w:sz="0" w:space="0" w:color="auto"/>
            <w:bottom w:val="none" w:sz="0" w:space="0" w:color="auto"/>
            <w:right w:val="none" w:sz="0" w:space="0" w:color="auto"/>
          </w:divBdr>
        </w:div>
        <w:div w:id="1932473420">
          <w:marLeft w:val="640"/>
          <w:marRight w:val="0"/>
          <w:marTop w:val="0"/>
          <w:marBottom w:val="0"/>
          <w:divBdr>
            <w:top w:val="none" w:sz="0" w:space="0" w:color="auto"/>
            <w:left w:val="none" w:sz="0" w:space="0" w:color="auto"/>
            <w:bottom w:val="none" w:sz="0" w:space="0" w:color="auto"/>
            <w:right w:val="none" w:sz="0" w:space="0" w:color="auto"/>
          </w:divBdr>
        </w:div>
        <w:div w:id="1516580863">
          <w:marLeft w:val="640"/>
          <w:marRight w:val="0"/>
          <w:marTop w:val="0"/>
          <w:marBottom w:val="0"/>
          <w:divBdr>
            <w:top w:val="none" w:sz="0" w:space="0" w:color="auto"/>
            <w:left w:val="none" w:sz="0" w:space="0" w:color="auto"/>
            <w:bottom w:val="none" w:sz="0" w:space="0" w:color="auto"/>
            <w:right w:val="none" w:sz="0" w:space="0" w:color="auto"/>
          </w:divBdr>
        </w:div>
        <w:div w:id="630676659">
          <w:marLeft w:val="640"/>
          <w:marRight w:val="0"/>
          <w:marTop w:val="0"/>
          <w:marBottom w:val="0"/>
          <w:divBdr>
            <w:top w:val="none" w:sz="0" w:space="0" w:color="auto"/>
            <w:left w:val="none" w:sz="0" w:space="0" w:color="auto"/>
            <w:bottom w:val="none" w:sz="0" w:space="0" w:color="auto"/>
            <w:right w:val="none" w:sz="0" w:space="0" w:color="auto"/>
          </w:divBdr>
        </w:div>
        <w:div w:id="1437092774">
          <w:marLeft w:val="640"/>
          <w:marRight w:val="0"/>
          <w:marTop w:val="0"/>
          <w:marBottom w:val="0"/>
          <w:divBdr>
            <w:top w:val="none" w:sz="0" w:space="0" w:color="auto"/>
            <w:left w:val="none" w:sz="0" w:space="0" w:color="auto"/>
            <w:bottom w:val="none" w:sz="0" w:space="0" w:color="auto"/>
            <w:right w:val="none" w:sz="0" w:space="0" w:color="auto"/>
          </w:divBdr>
        </w:div>
        <w:div w:id="1447122406">
          <w:marLeft w:val="640"/>
          <w:marRight w:val="0"/>
          <w:marTop w:val="0"/>
          <w:marBottom w:val="0"/>
          <w:divBdr>
            <w:top w:val="none" w:sz="0" w:space="0" w:color="auto"/>
            <w:left w:val="none" w:sz="0" w:space="0" w:color="auto"/>
            <w:bottom w:val="none" w:sz="0" w:space="0" w:color="auto"/>
            <w:right w:val="none" w:sz="0" w:space="0" w:color="auto"/>
          </w:divBdr>
        </w:div>
        <w:div w:id="1214656961">
          <w:marLeft w:val="640"/>
          <w:marRight w:val="0"/>
          <w:marTop w:val="0"/>
          <w:marBottom w:val="0"/>
          <w:divBdr>
            <w:top w:val="none" w:sz="0" w:space="0" w:color="auto"/>
            <w:left w:val="none" w:sz="0" w:space="0" w:color="auto"/>
            <w:bottom w:val="none" w:sz="0" w:space="0" w:color="auto"/>
            <w:right w:val="none" w:sz="0" w:space="0" w:color="auto"/>
          </w:divBdr>
        </w:div>
        <w:div w:id="338434746">
          <w:marLeft w:val="640"/>
          <w:marRight w:val="0"/>
          <w:marTop w:val="0"/>
          <w:marBottom w:val="0"/>
          <w:divBdr>
            <w:top w:val="none" w:sz="0" w:space="0" w:color="auto"/>
            <w:left w:val="none" w:sz="0" w:space="0" w:color="auto"/>
            <w:bottom w:val="none" w:sz="0" w:space="0" w:color="auto"/>
            <w:right w:val="none" w:sz="0" w:space="0" w:color="auto"/>
          </w:divBdr>
        </w:div>
        <w:div w:id="421220087">
          <w:marLeft w:val="640"/>
          <w:marRight w:val="0"/>
          <w:marTop w:val="0"/>
          <w:marBottom w:val="0"/>
          <w:divBdr>
            <w:top w:val="none" w:sz="0" w:space="0" w:color="auto"/>
            <w:left w:val="none" w:sz="0" w:space="0" w:color="auto"/>
            <w:bottom w:val="none" w:sz="0" w:space="0" w:color="auto"/>
            <w:right w:val="none" w:sz="0" w:space="0" w:color="auto"/>
          </w:divBdr>
        </w:div>
        <w:div w:id="1562137551">
          <w:marLeft w:val="640"/>
          <w:marRight w:val="0"/>
          <w:marTop w:val="0"/>
          <w:marBottom w:val="0"/>
          <w:divBdr>
            <w:top w:val="none" w:sz="0" w:space="0" w:color="auto"/>
            <w:left w:val="none" w:sz="0" w:space="0" w:color="auto"/>
            <w:bottom w:val="none" w:sz="0" w:space="0" w:color="auto"/>
            <w:right w:val="none" w:sz="0" w:space="0" w:color="auto"/>
          </w:divBdr>
        </w:div>
        <w:div w:id="640425582">
          <w:marLeft w:val="640"/>
          <w:marRight w:val="0"/>
          <w:marTop w:val="0"/>
          <w:marBottom w:val="0"/>
          <w:divBdr>
            <w:top w:val="none" w:sz="0" w:space="0" w:color="auto"/>
            <w:left w:val="none" w:sz="0" w:space="0" w:color="auto"/>
            <w:bottom w:val="none" w:sz="0" w:space="0" w:color="auto"/>
            <w:right w:val="none" w:sz="0" w:space="0" w:color="auto"/>
          </w:divBdr>
        </w:div>
        <w:div w:id="975455137">
          <w:marLeft w:val="640"/>
          <w:marRight w:val="0"/>
          <w:marTop w:val="0"/>
          <w:marBottom w:val="0"/>
          <w:divBdr>
            <w:top w:val="none" w:sz="0" w:space="0" w:color="auto"/>
            <w:left w:val="none" w:sz="0" w:space="0" w:color="auto"/>
            <w:bottom w:val="none" w:sz="0" w:space="0" w:color="auto"/>
            <w:right w:val="none" w:sz="0" w:space="0" w:color="auto"/>
          </w:divBdr>
        </w:div>
        <w:div w:id="2015380990">
          <w:marLeft w:val="640"/>
          <w:marRight w:val="0"/>
          <w:marTop w:val="0"/>
          <w:marBottom w:val="0"/>
          <w:divBdr>
            <w:top w:val="none" w:sz="0" w:space="0" w:color="auto"/>
            <w:left w:val="none" w:sz="0" w:space="0" w:color="auto"/>
            <w:bottom w:val="none" w:sz="0" w:space="0" w:color="auto"/>
            <w:right w:val="none" w:sz="0" w:space="0" w:color="auto"/>
          </w:divBdr>
        </w:div>
        <w:div w:id="1259413646">
          <w:marLeft w:val="640"/>
          <w:marRight w:val="0"/>
          <w:marTop w:val="0"/>
          <w:marBottom w:val="0"/>
          <w:divBdr>
            <w:top w:val="none" w:sz="0" w:space="0" w:color="auto"/>
            <w:left w:val="none" w:sz="0" w:space="0" w:color="auto"/>
            <w:bottom w:val="none" w:sz="0" w:space="0" w:color="auto"/>
            <w:right w:val="none" w:sz="0" w:space="0" w:color="auto"/>
          </w:divBdr>
        </w:div>
        <w:div w:id="663433778">
          <w:marLeft w:val="640"/>
          <w:marRight w:val="0"/>
          <w:marTop w:val="0"/>
          <w:marBottom w:val="0"/>
          <w:divBdr>
            <w:top w:val="none" w:sz="0" w:space="0" w:color="auto"/>
            <w:left w:val="none" w:sz="0" w:space="0" w:color="auto"/>
            <w:bottom w:val="none" w:sz="0" w:space="0" w:color="auto"/>
            <w:right w:val="none" w:sz="0" w:space="0" w:color="auto"/>
          </w:divBdr>
        </w:div>
        <w:div w:id="560022358">
          <w:marLeft w:val="640"/>
          <w:marRight w:val="0"/>
          <w:marTop w:val="0"/>
          <w:marBottom w:val="0"/>
          <w:divBdr>
            <w:top w:val="none" w:sz="0" w:space="0" w:color="auto"/>
            <w:left w:val="none" w:sz="0" w:space="0" w:color="auto"/>
            <w:bottom w:val="none" w:sz="0" w:space="0" w:color="auto"/>
            <w:right w:val="none" w:sz="0" w:space="0" w:color="auto"/>
          </w:divBdr>
        </w:div>
        <w:div w:id="414521034">
          <w:marLeft w:val="640"/>
          <w:marRight w:val="0"/>
          <w:marTop w:val="0"/>
          <w:marBottom w:val="0"/>
          <w:divBdr>
            <w:top w:val="none" w:sz="0" w:space="0" w:color="auto"/>
            <w:left w:val="none" w:sz="0" w:space="0" w:color="auto"/>
            <w:bottom w:val="none" w:sz="0" w:space="0" w:color="auto"/>
            <w:right w:val="none" w:sz="0" w:space="0" w:color="auto"/>
          </w:divBdr>
        </w:div>
        <w:div w:id="318198079">
          <w:marLeft w:val="640"/>
          <w:marRight w:val="0"/>
          <w:marTop w:val="0"/>
          <w:marBottom w:val="0"/>
          <w:divBdr>
            <w:top w:val="none" w:sz="0" w:space="0" w:color="auto"/>
            <w:left w:val="none" w:sz="0" w:space="0" w:color="auto"/>
            <w:bottom w:val="none" w:sz="0" w:space="0" w:color="auto"/>
            <w:right w:val="none" w:sz="0" w:space="0" w:color="auto"/>
          </w:divBdr>
        </w:div>
        <w:div w:id="1561549189">
          <w:marLeft w:val="640"/>
          <w:marRight w:val="0"/>
          <w:marTop w:val="0"/>
          <w:marBottom w:val="0"/>
          <w:divBdr>
            <w:top w:val="none" w:sz="0" w:space="0" w:color="auto"/>
            <w:left w:val="none" w:sz="0" w:space="0" w:color="auto"/>
            <w:bottom w:val="none" w:sz="0" w:space="0" w:color="auto"/>
            <w:right w:val="none" w:sz="0" w:space="0" w:color="auto"/>
          </w:divBdr>
        </w:div>
        <w:div w:id="1536581408">
          <w:marLeft w:val="640"/>
          <w:marRight w:val="0"/>
          <w:marTop w:val="0"/>
          <w:marBottom w:val="0"/>
          <w:divBdr>
            <w:top w:val="none" w:sz="0" w:space="0" w:color="auto"/>
            <w:left w:val="none" w:sz="0" w:space="0" w:color="auto"/>
            <w:bottom w:val="none" w:sz="0" w:space="0" w:color="auto"/>
            <w:right w:val="none" w:sz="0" w:space="0" w:color="auto"/>
          </w:divBdr>
        </w:div>
        <w:div w:id="1220559319">
          <w:marLeft w:val="640"/>
          <w:marRight w:val="0"/>
          <w:marTop w:val="0"/>
          <w:marBottom w:val="0"/>
          <w:divBdr>
            <w:top w:val="none" w:sz="0" w:space="0" w:color="auto"/>
            <w:left w:val="none" w:sz="0" w:space="0" w:color="auto"/>
            <w:bottom w:val="none" w:sz="0" w:space="0" w:color="auto"/>
            <w:right w:val="none" w:sz="0" w:space="0" w:color="auto"/>
          </w:divBdr>
        </w:div>
        <w:div w:id="1549342584">
          <w:marLeft w:val="640"/>
          <w:marRight w:val="0"/>
          <w:marTop w:val="0"/>
          <w:marBottom w:val="0"/>
          <w:divBdr>
            <w:top w:val="none" w:sz="0" w:space="0" w:color="auto"/>
            <w:left w:val="none" w:sz="0" w:space="0" w:color="auto"/>
            <w:bottom w:val="none" w:sz="0" w:space="0" w:color="auto"/>
            <w:right w:val="none" w:sz="0" w:space="0" w:color="auto"/>
          </w:divBdr>
        </w:div>
        <w:div w:id="461267752">
          <w:marLeft w:val="640"/>
          <w:marRight w:val="0"/>
          <w:marTop w:val="0"/>
          <w:marBottom w:val="0"/>
          <w:divBdr>
            <w:top w:val="none" w:sz="0" w:space="0" w:color="auto"/>
            <w:left w:val="none" w:sz="0" w:space="0" w:color="auto"/>
            <w:bottom w:val="none" w:sz="0" w:space="0" w:color="auto"/>
            <w:right w:val="none" w:sz="0" w:space="0" w:color="auto"/>
          </w:divBdr>
        </w:div>
        <w:div w:id="996347427">
          <w:marLeft w:val="640"/>
          <w:marRight w:val="0"/>
          <w:marTop w:val="0"/>
          <w:marBottom w:val="0"/>
          <w:divBdr>
            <w:top w:val="none" w:sz="0" w:space="0" w:color="auto"/>
            <w:left w:val="none" w:sz="0" w:space="0" w:color="auto"/>
            <w:bottom w:val="none" w:sz="0" w:space="0" w:color="auto"/>
            <w:right w:val="none" w:sz="0" w:space="0" w:color="auto"/>
          </w:divBdr>
        </w:div>
        <w:div w:id="2119258192">
          <w:marLeft w:val="640"/>
          <w:marRight w:val="0"/>
          <w:marTop w:val="0"/>
          <w:marBottom w:val="0"/>
          <w:divBdr>
            <w:top w:val="none" w:sz="0" w:space="0" w:color="auto"/>
            <w:left w:val="none" w:sz="0" w:space="0" w:color="auto"/>
            <w:bottom w:val="none" w:sz="0" w:space="0" w:color="auto"/>
            <w:right w:val="none" w:sz="0" w:space="0" w:color="auto"/>
          </w:divBdr>
        </w:div>
        <w:div w:id="1314530882">
          <w:marLeft w:val="640"/>
          <w:marRight w:val="0"/>
          <w:marTop w:val="0"/>
          <w:marBottom w:val="0"/>
          <w:divBdr>
            <w:top w:val="none" w:sz="0" w:space="0" w:color="auto"/>
            <w:left w:val="none" w:sz="0" w:space="0" w:color="auto"/>
            <w:bottom w:val="none" w:sz="0" w:space="0" w:color="auto"/>
            <w:right w:val="none" w:sz="0" w:space="0" w:color="auto"/>
          </w:divBdr>
        </w:div>
        <w:div w:id="1811092332">
          <w:marLeft w:val="640"/>
          <w:marRight w:val="0"/>
          <w:marTop w:val="0"/>
          <w:marBottom w:val="0"/>
          <w:divBdr>
            <w:top w:val="none" w:sz="0" w:space="0" w:color="auto"/>
            <w:left w:val="none" w:sz="0" w:space="0" w:color="auto"/>
            <w:bottom w:val="none" w:sz="0" w:space="0" w:color="auto"/>
            <w:right w:val="none" w:sz="0" w:space="0" w:color="auto"/>
          </w:divBdr>
        </w:div>
        <w:div w:id="488442635">
          <w:marLeft w:val="640"/>
          <w:marRight w:val="0"/>
          <w:marTop w:val="0"/>
          <w:marBottom w:val="0"/>
          <w:divBdr>
            <w:top w:val="none" w:sz="0" w:space="0" w:color="auto"/>
            <w:left w:val="none" w:sz="0" w:space="0" w:color="auto"/>
            <w:bottom w:val="none" w:sz="0" w:space="0" w:color="auto"/>
            <w:right w:val="none" w:sz="0" w:space="0" w:color="auto"/>
          </w:divBdr>
        </w:div>
        <w:div w:id="1091315286">
          <w:marLeft w:val="640"/>
          <w:marRight w:val="0"/>
          <w:marTop w:val="0"/>
          <w:marBottom w:val="0"/>
          <w:divBdr>
            <w:top w:val="none" w:sz="0" w:space="0" w:color="auto"/>
            <w:left w:val="none" w:sz="0" w:space="0" w:color="auto"/>
            <w:bottom w:val="none" w:sz="0" w:space="0" w:color="auto"/>
            <w:right w:val="none" w:sz="0" w:space="0" w:color="auto"/>
          </w:divBdr>
        </w:div>
        <w:div w:id="750850371">
          <w:marLeft w:val="640"/>
          <w:marRight w:val="0"/>
          <w:marTop w:val="0"/>
          <w:marBottom w:val="0"/>
          <w:divBdr>
            <w:top w:val="none" w:sz="0" w:space="0" w:color="auto"/>
            <w:left w:val="none" w:sz="0" w:space="0" w:color="auto"/>
            <w:bottom w:val="none" w:sz="0" w:space="0" w:color="auto"/>
            <w:right w:val="none" w:sz="0" w:space="0" w:color="auto"/>
          </w:divBdr>
        </w:div>
        <w:div w:id="1570725509">
          <w:marLeft w:val="640"/>
          <w:marRight w:val="0"/>
          <w:marTop w:val="0"/>
          <w:marBottom w:val="0"/>
          <w:divBdr>
            <w:top w:val="none" w:sz="0" w:space="0" w:color="auto"/>
            <w:left w:val="none" w:sz="0" w:space="0" w:color="auto"/>
            <w:bottom w:val="none" w:sz="0" w:space="0" w:color="auto"/>
            <w:right w:val="none" w:sz="0" w:space="0" w:color="auto"/>
          </w:divBdr>
        </w:div>
        <w:div w:id="1377583499">
          <w:marLeft w:val="640"/>
          <w:marRight w:val="0"/>
          <w:marTop w:val="0"/>
          <w:marBottom w:val="0"/>
          <w:divBdr>
            <w:top w:val="none" w:sz="0" w:space="0" w:color="auto"/>
            <w:left w:val="none" w:sz="0" w:space="0" w:color="auto"/>
            <w:bottom w:val="none" w:sz="0" w:space="0" w:color="auto"/>
            <w:right w:val="none" w:sz="0" w:space="0" w:color="auto"/>
          </w:divBdr>
        </w:div>
        <w:div w:id="1055350847">
          <w:marLeft w:val="640"/>
          <w:marRight w:val="0"/>
          <w:marTop w:val="0"/>
          <w:marBottom w:val="0"/>
          <w:divBdr>
            <w:top w:val="none" w:sz="0" w:space="0" w:color="auto"/>
            <w:left w:val="none" w:sz="0" w:space="0" w:color="auto"/>
            <w:bottom w:val="none" w:sz="0" w:space="0" w:color="auto"/>
            <w:right w:val="none" w:sz="0" w:space="0" w:color="auto"/>
          </w:divBdr>
        </w:div>
        <w:div w:id="2140881454">
          <w:marLeft w:val="640"/>
          <w:marRight w:val="0"/>
          <w:marTop w:val="0"/>
          <w:marBottom w:val="0"/>
          <w:divBdr>
            <w:top w:val="none" w:sz="0" w:space="0" w:color="auto"/>
            <w:left w:val="none" w:sz="0" w:space="0" w:color="auto"/>
            <w:bottom w:val="none" w:sz="0" w:space="0" w:color="auto"/>
            <w:right w:val="none" w:sz="0" w:space="0" w:color="auto"/>
          </w:divBdr>
        </w:div>
        <w:div w:id="1875843041">
          <w:marLeft w:val="640"/>
          <w:marRight w:val="0"/>
          <w:marTop w:val="0"/>
          <w:marBottom w:val="0"/>
          <w:divBdr>
            <w:top w:val="none" w:sz="0" w:space="0" w:color="auto"/>
            <w:left w:val="none" w:sz="0" w:space="0" w:color="auto"/>
            <w:bottom w:val="none" w:sz="0" w:space="0" w:color="auto"/>
            <w:right w:val="none" w:sz="0" w:space="0" w:color="auto"/>
          </w:divBdr>
        </w:div>
        <w:div w:id="938442589">
          <w:marLeft w:val="640"/>
          <w:marRight w:val="0"/>
          <w:marTop w:val="0"/>
          <w:marBottom w:val="0"/>
          <w:divBdr>
            <w:top w:val="none" w:sz="0" w:space="0" w:color="auto"/>
            <w:left w:val="none" w:sz="0" w:space="0" w:color="auto"/>
            <w:bottom w:val="none" w:sz="0" w:space="0" w:color="auto"/>
            <w:right w:val="none" w:sz="0" w:space="0" w:color="auto"/>
          </w:divBdr>
        </w:div>
        <w:div w:id="229777875">
          <w:marLeft w:val="640"/>
          <w:marRight w:val="0"/>
          <w:marTop w:val="0"/>
          <w:marBottom w:val="0"/>
          <w:divBdr>
            <w:top w:val="none" w:sz="0" w:space="0" w:color="auto"/>
            <w:left w:val="none" w:sz="0" w:space="0" w:color="auto"/>
            <w:bottom w:val="none" w:sz="0" w:space="0" w:color="auto"/>
            <w:right w:val="none" w:sz="0" w:space="0" w:color="auto"/>
          </w:divBdr>
        </w:div>
        <w:div w:id="275405877">
          <w:marLeft w:val="640"/>
          <w:marRight w:val="0"/>
          <w:marTop w:val="0"/>
          <w:marBottom w:val="0"/>
          <w:divBdr>
            <w:top w:val="none" w:sz="0" w:space="0" w:color="auto"/>
            <w:left w:val="none" w:sz="0" w:space="0" w:color="auto"/>
            <w:bottom w:val="none" w:sz="0" w:space="0" w:color="auto"/>
            <w:right w:val="none" w:sz="0" w:space="0" w:color="auto"/>
          </w:divBdr>
        </w:div>
        <w:div w:id="839661434">
          <w:marLeft w:val="640"/>
          <w:marRight w:val="0"/>
          <w:marTop w:val="0"/>
          <w:marBottom w:val="0"/>
          <w:divBdr>
            <w:top w:val="none" w:sz="0" w:space="0" w:color="auto"/>
            <w:left w:val="none" w:sz="0" w:space="0" w:color="auto"/>
            <w:bottom w:val="none" w:sz="0" w:space="0" w:color="auto"/>
            <w:right w:val="none" w:sz="0" w:space="0" w:color="auto"/>
          </w:divBdr>
        </w:div>
        <w:div w:id="493181365">
          <w:marLeft w:val="640"/>
          <w:marRight w:val="0"/>
          <w:marTop w:val="0"/>
          <w:marBottom w:val="0"/>
          <w:divBdr>
            <w:top w:val="none" w:sz="0" w:space="0" w:color="auto"/>
            <w:left w:val="none" w:sz="0" w:space="0" w:color="auto"/>
            <w:bottom w:val="none" w:sz="0" w:space="0" w:color="auto"/>
            <w:right w:val="none" w:sz="0" w:space="0" w:color="auto"/>
          </w:divBdr>
        </w:div>
        <w:div w:id="1924365008">
          <w:marLeft w:val="640"/>
          <w:marRight w:val="0"/>
          <w:marTop w:val="0"/>
          <w:marBottom w:val="0"/>
          <w:divBdr>
            <w:top w:val="none" w:sz="0" w:space="0" w:color="auto"/>
            <w:left w:val="none" w:sz="0" w:space="0" w:color="auto"/>
            <w:bottom w:val="none" w:sz="0" w:space="0" w:color="auto"/>
            <w:right w:val="none" w:sz="0" w:space="0" w:color="auto"/>
          </w:divBdr>
        </w:div>
        <w:div w:id="1559903101">
          <w:marLeft w:val="640"/>
          <w:marRight w:val="0"/>
          <w:marTop w:val="0"/>
          <w:marBottom w:val="0"/>
          <w:divBdr>
            <w:top w:val="none" w:sz="0" w:space="0" w:color="auto"/>
            <w:left w:val="none" w:sz="0" w:space="0" w:color="auto"/>
            <w:bottom w:val="none" w:sz="0" w:space="0" w:color="auto"/>
            <w:right w:val="none" w:sz="0" w:space="0" w:color="auto"/>
          </w:divBdr>
        </w:div>
        <w:div w:id="126435214">
          <w:marLeft w:val="640"/>
          <w:marRight w:val="0"/>
          <w:marTop w:val="0"/>
          <w:marBottom w:val="0"/>
          <w:divBdr>
            <w:top w:val="none" w:sz="0" w:space="0" w:color="auto"/>
            <w:left w:val="none" w:sz="0" w:space="0" w:color="auto"/>
            <w:bottom w:val="none" w:sz="0" w:space="0" w:color="auto"/>
            <w:right w:val="none" w:sz="0" w:space="0" w:color="auto"/>
          </w:divBdr>
        </w:div>
        <w:div w:id="471219593">
          <w:marLeft w:val="640"/>
          <w:marRight w:val="0"/>
          <w:marTop w:val="0"/>
          <w:marBottom w:val="0"/>
          <w:divBdr>
            <w:top w:val="none" w:sz="0" w:space="0" w:color="auto"/>
            <w:left w:val="none" w:sz="0" w:space="0" w:color="auto"/>
            <w:bottom w:val="none" w:sz="0" w:space="0" w:color="auto"/>
            <w:right w:val="none" w:sz="0" w:space="0" w:color="auto"/>
          </w:divBdr>
        </w:div>
        <w:div w:id="1826819574">
          <w:marLeft w:val="640"/>
          <w:marRight w:val="0"/>
          <w:marTop w:val="0"/>
          <w:marBottom w:val="0"/>
          <w:divBdr>
            <w:top w:val="none" w:sz="0" w:space="0" w:color="auto"/>
            <w:left w:val="none" w:sz="0" w:space="0" w:color="auto"/>
            <w:bottom w:val="none" w:sz="0" w:space="0" w:color="auto"/>
            <w:right w:val="none" w:sz="0" w:space="0" w:color="auto"/>
          </w:divBdr>
        </w:div>
        <w:div w:id="308948839">
          <w:marLeft w:val="640"/>
          <w:marRight w:val="0"/>
          <w:marTop w:val="0"/>
          <w:marBottom w:val="0"/>
          <w:divBdr>
            <w:top w:val="none" w:sz="0" w:space="0" w:color="auto"/>
            <w:left w:val="none" w:sz="0" w:space="0" w:color="auto"/>
            <w:bottom w:val="none" w:sz="0" w:space="0" w:color="auto"/>
            <w:right w:val="none" w:sz="0" w:space="0" w:color="auto"/>
          </w:divBdr>
        </w:div>
        <w:div w:id="1692950558">
          <w:marLeft w:val="640"/>
          <w:marRight w:val="0"/>
          <w:marTop w:val="0"/>
          <w:marBottom w:val="0"/>
          <w:divBdr>
            <w:top w:val="none" w:sz="0" w:space="0" w:color="auto"/>
            <w:left w:val="none" w:sz="0" w:space="0" w:color="auto"/>
            <w:bottom w:val="none" w:sz="0" w:space="0" w:color="auto"/>
            <w:right w:val="none" w:sz="0" w:space="0" w:color="auto"/>
          </w:divBdr>
        </w:div>
        <w:div w:id="1022976151">
          <w:marLeft w:val="640"/>
          <w:marRight w:val="0"/>
          <w:marTop w:val="0"/>
          <w:marBottom w:val="0"/>
          <w:divBdr>
            <w:top w:val="none" w:sz="0" w:space="0" w:color="auto"/>
            <w:left w:val="none" w:sz="0" w:space="0" w:color="auto"/>
            <w:bottom w:val="none" w:sz="0" w:space="0" w:color="auto"/>
            <w:right w:val="none" w:sz="0" w:space="0" w:color="auto"/>
          </w:divBdr>
        </w:div>
        <w:div w:id="1236740105">
          <w:marLeft w:val="640"/>
          <w:marRight w:val="0"/>
          <w:marTop w:val="0"/>
          <w:marBottom w:val="0"/>
          <w:divBdr>
            <w:top w:val="none" w:sz="0" w:space="0" w:color="auto"/>
            <w:left w:val="none" w:sz="0" w:space="0" w:color="auto"/>
            <w:bottom w:val="none" w:sz="0" w:space="0" w:color="auto"/>
            <w:right w:val="none" w:sz="0" w:space="0" w:color="auto"/>
          </w:divBdr>
        </w:div>
        <w:div w:id="336231414">
          <w:marLeft w:val="640"/>
          <w:marRight w:val="0"/>
          <w:marTop w:val="0"/>
          <w:marBottom w:val="0"/>
          <w:divBdr>
            <w:top w:val="none" w:sz="0" w:space="0" w:color="auto"/>
            <w:left w:val="none" w:sz="0" w:space="0" w:color="auto"/>
            <w:bottom w:val="none" w:sz="0" w:space="0" w:color="auto"/>
            <w:right w:val="none" w:sz="0" w:space="0" w:color="auto"/>
          </w:divBdr>
        </w:div>
        <w:div w:id="936592945">
          <w:marLeft w:val="640"/>
          <w:marRight w:val="0"/>
          <w:marTop w:val="0"/>
          <w:marBottom w:val="0"/>
          <w:divBdr>
            <w:top w:val="none" w:sz="0" w:space="0" w:color="auto"/>
            <w:left w:val="none" w:sz="0" w:space="0" w:color="auto"/>
            <w:bottom w:val="none" w:sz="0" w:space="0" w:color="auto"/>
            <w:right w:val="none" w:sz="0" w:space="0" w:color="auto"/>
          </w:divBdr>
        </w:div>
        <w:div w:id="976302788">
          <w:marLeft w:val="640"/>
          <w:marRight w:val="0"/>
          <w:marTop w:val="0"/>
          <w:marBottom w:val="0"/>
          <w:divBdr>
            <w:top w:val="none" w:sz="0" w:space="0" w:color="auto"/>
            <w:left w:val="none" w:sz="0" w:space="0" w:color="auto"/>
            <w:bottom w:val="none" w:sz="0" w:space="0" w:color="auto"/>
            <w:right w:val="none" w:sz="0" w:space="0" w:color="auto"/>
          </w:divBdr>
        </w:div>
        <w:div w:id="824517055">
          <w:marLeft w:val="640"/>
          <w:marRight w:val="0"/>
          <w:marTop w:val="0"/>
          <w:marBottom w:val="0"/>
          <w:divBdr>
            <w:top w:val="none" w:sz="0" w:space="0" w:color="auto"/>
            <w:left w:val="none" w:sz="0" w:space="0" w:color="auto"/>
            <w:bottom w:val="none" w:sz="0" w:space="0" w:color="auto"/>
            <w:right w:val="none" w:sz="0" w:space="0" w:color="auto"/>
          </w:divBdr>
        </w:div>
        <w:div w:id="969744808">
          <w:marLeft w:val="640"/>
          <w:marRight w:val="0"/>
          <w:marTop w:val="0"/>
          <w:marBottom w:val="0"/>
          <w:divBdr>
            <w:top w:val="none" w:sz="0" w:space="0" w:color="auto"/>
            <w:left w:val="none" w:sz="0" w:space="0" w:color="auto"/>
            <w:bottom w:val="none" w:sz="0" w:space="0" w:color="auto"/>
            <w:right w:val="none" w:sz="0" w:space="0" w:color="auto"/>
          </w:divBdr>
        </w:div>
        <w:div w:id="823860075">
          <w:marLeft w:val="640"/>
          <w:marRight w:val="0"/>
          <w:marTop w:val="0"/>
          <w:marBottom w:val="0"/>
          <w:divBdr>
            <w:top w:val="none" w:sz="0" w:space="0" w:color="auto"/>
            <w:left w:val="none" w:sz="0" w:space="0" w:color="auto"/>
            <w:bottom w:val="none" w:sz="0" w:space="0" w:color="auto"/>
            <w:right w:val="none" w:sz="0" w:space="0" w:color="auto"/>
          </w:divBdr>
        </w:div>
        <w:div w:id="909777476">
          <w:marLeft w:val="640"/>
          <w:marRight w:val="0"/>
          <w:marTop w:val="0"/>
          <w:marBottom w:val="0"/>
          <w:divBdr>
            <w:top w:val="none" w:sz="0" w:space="0" w:color="auto"/>
            <w:left w:val="none" w:sz="0" w:space="0" w:color="auto"/>
            <w:bottom w:val="none" w:sz="0" w:space="0" w:color="auto"/>
            <w:right w:val="none" w:sz="0" w:space="0" w:color="auto"/>
          </w:divBdr>
        </w:div>
        <w:div w:id="1833715906">
          <w:marLeft w:val="640"/>
          <w:marRight w:val="0"/>
          <w:marTop w:val="0"/>
          <w:marBottom w:val="0"/>
          <w:divBdr>
            <w:top w:val="none" w:sz="0" w:space="0" w:color="auto"/>
            <w:left w:val="none" w:sz="0" w:space="0" w:color="auto"/>
            <w:bottom w:val="none" w:sz="0" w:space="0" w:color="auto"/>
            <w:right w:val="none" w:sz="0" w:space="0" w:color="auto"/>
          </w:divBdr>
        </w:div>
        <w:div w:id="1503081470">
          <w:marLeft w:val="640"/>
          <w:marRight w:val="0"/>
          <w:marTop w:val="0"/>
          <w:marBottom w:val="0"/>
          <w:divBdr>
            <w:top w:val="none" w:sz="0" w:space="0" w:color="auto"/>
            <w:left w:val="none" w:sz="0" w:space="0" w:color="auto"/>
            <w:bottom w:val="none" w:sz="0" w:space="0" w:color="auto"/>
            <w:right w:val="none" w:sz="0" w:space="0" w:color="auto"/>
          </w:divBdr>
        </w:div>
        <w:div w:id="1667132126">
          <w:marLeft w:val="640"/>
          <w:marRight w:val="0"/>
          <w:marTop w:val="0"/>
          <w:marBottom w:val="0"/>
          <w:divBdr>
            <w:top w:val="none" w:sz="0" w:space="0" w:color="auto"/>
            <w:left w:val="none" w:sz="0" w:space="0" w:color="auto"/>
            <w:bottom w:val="none" w:sz="0" w:space="0" w:color="auto"/>
            <w:right w:val="none" w:sz="0" w:space="0" w:color="auto"/>
          </w:divBdr>
        </w:div>
        <w:div w:id="1039672746">
          <w:marLeft w:val="640"/>
          <w:marRight w:val="0"/>
          <w:marTop w:val="0"/>
          <w:marBottom w:val="0"/>
          <w:divBdr>
            <w:top w:val="none" w:sz="0" w:space="0" w:color="auto"/>
            <w:left w:val="none" w:sz="0" w:space="0" w:color="auto"/>
            <w:bottom w:val="none" w:sz="0" w:space="0" w:color="auto"/>
            <w:right w:val="none" w:sz="0" w:space="0" w:color="auto"/>
          </w:divBdr>
        </w:div>
        <w:div w:id="2025668075">
          <w:marLeft w:val="640"/>
          <w:marRight w:val="0"/>
          <w:marTop w:val="0"/>
          <w:marBottom w:val="0"/>
          <w:divBdr>
            <w:top w:val="none" w:sz="0" w:space="0" w:color="auto"/>
            <w:left w:val="none" w:sz="0" w:space="0" w:color="auto"/>
            <w:bottom w:val="none" w:sz="0" w:space="0" w:color="auto"/>
            <w:right w:val="none" w:sz="0" w:space="0" w:color="auto"/>
          </w:divBdr>
        </w:div>
        <w:div w:id="1494373111">
          <w:marLeft w:val="640"/>
          <w:marRight w:val="0"/>
          <w:marTop w:val="0"/>
          <w:marBottom w:val="0"/>
          <w:divBdr>
            <w:top w:val="none" w:sz="0" w:space="0" w:color="auto"/>
            <w:left w:val="none" w:sz="0" w:space="0" w:color="auto"/>
            <w:bottom w:val="none" w:sz="0" w:space="0" w:color="auto"/>
            <w:right w:val="none" w:sz="0" w:space="0" w:color="auto"/>
          </w:divBdr>
        </w:div>
        <w:div w:id="1323895431">
          <w:marLeft w:val="640"/>
          <w:marRight w:val="0"/>
          <w:marTop w:val="0"/>
          <w:marBottom w:val="0"/>
          <w:divBdr>
            <w:top w:val="none" w:sz="0" w:space="0" w:color="auto"/>
            <w:left w:val="none" w:sz="0" w:space="0" w:color="auto"/>
            <w:bottom w:val="none" w:sz="0" w:space="0" w:color="auto"/>
            <w:right w:val="none" w:sz="0" w:space="0" w:color="auto"/>
          </w:divBdr>
        </w:div>
        <w:div w:id="520750704">
          <w:marLeft w:val="640"/>
          <w:marRight w:val="0"/>
          <w:marTop w:val="0"/>
          <w:marBottom w:val="0"/>
          <w:divBdr>
            <w:top w:val="none" w:sz="0" w:space="0" w:color="auto"/>
            <w:left w:val="none" w:sz="0" w:space="0" w:color="auto"/>
            <w:bottom w:val="none" w:sz="0" w:space="0" w:color="auto"/>
            <w:right w:val="none" w:sz="0" w:space="0" w:color="auto"/>
          </w:divBdr>
        </w:div>
        <w:div w:id="1302686068">
          <w:marLeft w:val="640"/>
          <w:marRight w:val="0"/>
          <w:marTop w:val="0"/>
          <w:marBottom w:val="0"/>
          <w:divBdr>
            <w:top w:val="none" w:sz="0" w:space="0" w:color="auto"/>
            <w:left w:val="none" w:sz="0" w:space="0" w:color="auto"/>
            <w:bottom w:val="none" w:sz="0" w:space="0" w:color="auto"/>
            <w:right w:val="none" w:sz="0" w:space="0" w:color="auto"/>
          </w:divBdr>
        </w:div>
        <w:div w:id="157037618">
          <w:marLeft w:val="640"/>
          <w:marRight w:val="0"/>
          <w:marTop w:val="0"/>
          <w:marBottom w:val="0"/>
          <w:divBdr>
            <w:top w:val="none" w:sz="0" w:space="0" w:color="auto"/>
            <w:left w:val="none" w:sz="0" w:space="0" w:color="auto"/>
            <w:bottom w:val="none" w:sz="0" w:space="0" w:color="auto"/>
            <w:right w:val="none" w:sz="0" w:space="0" w:color="auto"/>
          </w:divBdr>
        </w:div>
        <w:div w:id="1614899829">
          <w:marLeft w:val="640"/>
          <w:marRight w:val="0"/>
          <w:marTop w:val="0"/>
          <w:marBottom w:val="0"/>
          <w:divBdr>
            <w:top w:val="none" w:sz="0" w:space="0" w:color="auto"/>
            <w:left w:val="none" w:sz="0" w:space="0" w:color="auto"/>
            <w:bottom w:val="none" w:sz="0" w:space="0" w:color="auto"/>
            <w:right w:val="none" w:sz="0" w:space="0" w:color="auto"/>
          </w:divBdr>
        </w:div>
        <w:div w:id="843671074">
          <w:marLeft w:val="640"/>
          <w:marRight w:val="0"/>
          <w:marTop w:val="0"/>
          <w:marBottom w:val="0"/>
          <w:divBdr>
            <w:top w:val="none" w:sz="0" w:space="0" w:color="auto"/>
            <w:left w:val="none" w:sz="0" w:space="0" w:color="auto"/>
            <w:bottom w:val="none" w:sz="0" w:space="0" w:color="auto"/>
            <w:right w:val="none" w:sz="0" w:space="0" w:color="auto"/>
          </w:divBdr>
        </w:div>
        <w:div w:id="130751836">
          <w:marLeft w:val="640"/>
          <w:marRight w:val="0"/>
          <w:marTop w:val="0"/>
          <w:marBottom w:val="0"/>
          <w:divBdr>
            <w:top w:val="none" w:sz="0" w:space="0" w:color="auto"/>
            <w:left w:val="none" w:sz="0" w:space="0" w:color="auto"/>
            <w:bottom w:val="none" w:sz="0" w:space="0" w:color="auto"/>
            <w:right w:val="none" w:sz="0" w:space="0" w:color="auto"/>
          </w:divBdr>
        </w:div>
        <w:div w:id="812797508">
          <w:marLeft w:val="640"/>
          <w:marRight w:val="0"/>
          <w:marTop w:val="0"/>
          <w:marBottom w:val="0"/>
          <w:divBdr>
            <w:top w:val="none" w:sz="0" w:space="0" w:color="auto"/>
            <w:left w:val="none" w:sz="0" w:space="0" w:color="auto"/>
            <w:bottom w:val="none" w:sz="0" w:space="0" w:color="auto"/>
            <w:right w:val="none" w:sz="0" w:space="0" w:color="auto"/>
          </w:divBdr>
        </w:div>
        <w:div w:id="1595356137">
          <w:marLeft w:val="640"/>
          <w:marRight w:val="0"/>
          <w:marTop w:val="0"/>
          <w:marBottom w:val="0"/>
          <w:divBdr>
            <w:top w:val="none" w:sz="0" w:space="0" w:color="auto"/>
            <w:left w:val="none" w:sz="0" w:space="0" w:color="auto"/>
            <w:bottom w:val="none" w:sz="0" w:space="0" w:color="auto"/>
            <w:right w:val="none" w:sz="0" w:space="0" w:color="auto"/>
          </w:divBdr>
        </w:div>
        <w:div w:id="1483959134">
          <w:marLeft w:val="640"/>
          <w:marRight w:val="0"/>
          <w:marTop w:val="0"/>
          <w:marBottom w:val="0"/>
          <w:divBdr>
            <w:top w:val="none" w:sz="0" w:space="0" w:color="auto"/>
            <w:left w:val="none" w:sz="0" w:space="0" w:color="auto"/>
            <w:bottom w:val="none" w:sz="0" w:space="0" w:color="auto"/>
            <w:right w:val="none" w:sz="0" w:space="0" w:color="auto"/>
          </w:divBdr>
        </w:div>
        <w:div w:id="458426205">
          <w:marLeft w:val="640"/>
          <w:marRight w:val="0"/>
          <w:marTop w:val="0"/>
          <w:marBottom w:val="0"/>
          <w:divBdr>
            <w:top w:val="none" w:sz="0" w:space="0" w:color="auto"/>
            <w:left w:val="none" w:sz="0" w:space="0" w:color="auto"/>
            <w:bottom w:val="none" w:sz="0" w:space="0" w:color="auto"/>
            <w:right w:val="none" w:sz="0" w:space="0" w:color="auto"/>
          </w:divBdr>
        </w:div>
        <w:div w:id="599872490">
          <w:marLeft w:val="640"/>
          <w:marRight w:val="0"/>
          <w:marTop w:val="0"/>
          <w:marBottom w:val="0"/>
          <w:divBdr>
            <w:top w:val="none" w:sz="0" w:space="0" w:color="auto"/>
            <w:left w:val="none" w:sz="0" w:space="0" w:color="auto"/>
            <w:bottom w:val="none" w:sz="0" w:space="0" w:color="auto"/>
            <w:right w:val="none" w:sz="0" w:space="0" w:color="auto"/>
          </w:divBdr>
        </w:div>
        <w:div w:id="736324079">
          <w:marLeft w:val="640"/>
          <w:marRight w:val="0"/>
          <w:marTop w:val="0"/>
          <w:marBottom w:val="0"/>
          <w:divBdr>
            <w:top w:val="none" w:sz="0" w:space="0" w:color="auto"/>
            <w:left w:val="none" w:sz="0" w:space="0" w:color="auto"/>
            <w:bottom w:val="none" w:sz="0" w:space="0" w:color="auto"/>
            <w:right w:val="none" w:sz="0" w:space="0" w:color="auto"/>
          </w:divBdr>
        </w:div>
        <w:div w:id="315765071">
          <w:marLeft w:val="640"/>
          <w:marRight w:val="0"/>
          <w:marTop w:val="0"/>
          <w:marBottom w:val="0"/>
          <w:divBdr>
            <w:top w:val="none" w:sz="0" w:space="0" w:color="auto"/>
            <w:left w:val="none" w:sz="0" w:space="0" w:color="auto"/>
            <w:bottom w:val="none" w:sz="0" w:space="0" w:color="auto"/>
            <w:right w:val="none" w:sz="0" w:space="0" w:color="auto"/>
          </w:divBdr>
        </w:div>
        <w:div w:id="1889564053">
          <w:marLeft w:val="640"/>
          <w:marRight w:val="0"/>
          <w:marTop w:val="0"/>
          <w:marBottom w:val="0"/>
          <w:divBdr>
            <w:top w:val="none" w:sz="0" w:space="0" w:color="auto"/>
            <w:left w:val="none" w:sz="0" w:space="0" w:color="auto"/>
            <w:bottom w:val="none" w:sz="0" w:space="0" w:color="auto"/>
            <w:right w:val="none" w:sz="0" w:space="0" w:color="auto"/>
          </w:divBdr>
        </w:div>
        <w:div w:id="1386221255">
          <w:marLeft w:val="640"/>
          <w:marRight w:val="0"/>
          <w:marTop w:val="0"/>
          <w:marBottom w:val="0"/>
          <w:divBdr>
            <w:top w:val="none" w:sz="0" w:space="0" w:color="auto"/>
            <w:left w:val="none" w:sz="0" w:space="0" w:color="auto"/>
            <w:bottom w:val="none" w:sz="0" w:space="0" w:color="auto"/>
            <w:right w:val="none" w:sz="0" w:space="0" w:color="auto"/>
          </w:divBdr>
        </w:div>
        <w:div w:id="520508483">
          <w:marLeft w:val="640"/>
          <w:marRight w:val="0"/>
          <w:marTop w:val="0"/>
          <w:marBottom w:val="0"/>
          <w:divBdr>
            <w:top w:val="none" w:sz="0" w:space="0" w:color="auto"/>
            <w:left w:val="none" w:sz="0" w:space="0" w:color="auto"/>
            <w:bottom w:val="none" w:sz="0" w:space="0" w:color="auto"/>
            <w:right w:val="none" w:sz="0" w:space="0" w:color="auto"/>
          </w:divBdr>
        </w:div>
        <w:div w:id="1482775055">
          <w:marLeft w:val="640"/>
          <w:marRight w:val="0"/>
          <w:marTop w:val="0"/>
          <w:marBottom w:val="0"/>
          <w:divBdr>
            <w:top w:val="none" w:sz="0" w:space="0" w:color="auto"/>
            <w:left w:val="none" w:sz="0" w:space="0" w:color="auto"/>
            <w:bottom w:val="none" w:sz="0" w:space="0" w:color="auto"/>
            <w:right w:val="none" w:sz="0" w:space="0" w:color="auto"/>
          </w:divBdr>
        </w:div>
        <w:div w:id="1869482955">
          <w:marLeft w:val="640"/>
          <w:marRight w:val="0"/>
          <w:marTop w:val="0"/>
          <w:marBottom w:val="0"/>
          <w:divBdr>
            <w:top w:val="none" w:sz="0" w:space="0" w:color="auto"/>
            <w:left w:val="none" w:sz="0" w:space="0" w:color="auto"/>
            <w:bottom w:val="none" w:sz="0" w:space="0" w:color="auto"/>
            <w:right w:val="none" w:sz="0" w:space="0" w:color="auto"/>
          </w:divBdr>
        </w:div>
        <w:div w:id="304236263">
          <w:marLeft w:val="640"/>
          <w:marRight w:val="0"/>
          <w:marTop w:val="0"/>
          <w:marBottom w:val="0"/>
          <w:divBdr>
            <w:top w:val="none" w:sz="0" w:space="0" w:color="auto"/>
            <w:left w:val="none" w:sz="0" w:space="0" w:color="auto"/>
            <w:bottom w:val="none" w:sz="0" w:space="0" w:color="auto"/>
            <w:right w:val="none" w:sz="0" w:space="0" w:color="auto"/>
          </w:divBdr>
        </w:div>
        <w:div w:id="1506171717">
          <w:marLeft w:val="640"/>
          <w:marRight w:val="0"/>
          <w:marTop w:val="0"/>
          <w:marBottom w:val="0"/>
          <w:divBdr>
            <w:top w:val="none" w:sz="0" w:space="0" w:color="auto"/>
            <w:left w:val="none" w:sz="0" w:space="0" w:color="auto"/>
            <w:bottom w:val="none" w:sz="0" w:space="0" w:color="auto"/>
            <w:right w:val="none" w:sz="0" w:space="0" w:color="auto"/>
          </w:divBdr>
        </w:div>
        <w:div w:id="892889409">
          <w:marLeft w:val="640"/>
          <w:marRight w:val="0"/>
          <w:marTop w:val="0"/>
          <w:marBottom w:val="0"/>
          <w:divBdr>
            <w:top w:val="none" w:sz="0" w:space="0" w:color="auto"/>
            <w:left w:val="none" w:sz="0" w:space="0" w:color="auto"/>
            <w:bottom w:val="none" w:sz="0" w:space="0" w:color="auto"/>
            <w:right w:val="none" w:sz="0" w:space="0" w:color="auto"/>
          </w:divBdr>
        </w:div>
        <w:div w:id="1473868659">
          <w:marLeft w:val="640"/>
          <w:marRight w:val="0"/>
          <w:marTop w:val="0"/>
          <w:marBottom w:val="0"/>
          <w:divBdr>
            <w:top w:val="none" w:sz="0" w:space="0" w:color="auto"/>
            <w:left w:val="none" w:sz="0" w:space="0" w:color="auto"/>
            <w:bottom w:val="none" w:sz="0" w:space="0" w:color="auto"/>
            <w:right w:val="none" w:sz="0" w:space="0" w:color="auto"/>
          </w:divBdr>
        </w:div>
        <w:div w:id="356850261">
          <w:marLeft w:val="640"/>
          <w:marRight w:val="0"/>
          <w:marTop w:val="0"/>
          <w:marBottom w:val="0"/>
          <w:divBdr>
            <w:top w:val="none" w:sz="0" w:space="0" w:color="auto"/>
            <w:left w:val="none" w:sz="0" w:space="0" w:color="auto"/>
            <w:bottom w:val="none" w:sz="0" w:space="0" w:color="auto"/>
            <w:right w:val="none" w:sz="0" w:space="0" w:color="auto"/>
          </w:divBdr>
        </w:div>
        <w:div w:id="1906912549">
          <w:marLeft w:val="640"/>
          <w:marRight w:val="0"/>
          <w:marTop w:val="0"/>
          <w:marBottom w:val="0"/>
          <w:divBdr>
            <w:top w:val="none" w:sz="0" w:space="0" w:color="auto"/>
            <w:left w:val="none" w:sz="0" w:space="0" w:color="auto"/>
            <w:bottom w:val="none" w:sz="0" w:space="0" w:color="auto"/>
            <w:right w:val="none" w:sz="0" w:space="0" w:color="auto"/>
          </w:divBdr>
        </w:div>
        <w:div w:id="86585164">
          <w:marLeft w:val="640"/>
          <w:marRight w:val="0"/>
          <w:marTop w:val="0"/>
          <w:marBottom w:val="0"/>
          <w:divBdr>
            <w:top w:val="none" w:sz="0" w:space="0" w:color="auto"/>
            <w:left w:val="none" w:sz="0" w:space="0" w:color="auto"/>
            <w:bottom w:val="none" w:sz="0" w:space="0" w:color="auto"/>
            <w:right w:val="none" w:sz="0" w:space="0" w:color="auto"/>
          </w:divBdr>
        </w:div>
        <w:div w:id="1257520556">
          <w:marLeft w:val="640"/>
          <w:marRight w:val="0"/>
          <w:marTop w:val="0"/>
          <w:marBottom w:val="0"/>
          <w:divBdr>
            <w:top w:val="none" w:sz="0" w:space="0" w:color="auto"/>
            <w:left w:val="none" w:sz="0" w:space="0" w:color="auto"/>
            <w:bottom w:val="none" w:sz="0" w:space="0" w:color="auto"/>
            <w:right w:val="none" w:sz="0" w:space="0" w:color="auto"/>
          </w:divBdr>
        </w:div>
        <w:div w:id="1231815041">
          <w:marLeft w:val="640"/>
          <w:marRight w:val="0"/>
          <w:marTop w:val="0"/>
          <w:marBottom w:val="0"/>
          <w:divBdr>
            <w:top w:val="none" w:sz="0" w:space="0" w:color="auto"/>
            <w:left w:val="none" w:sz="0" w:space="0" w:color="auto"/>
            <w:bottom w:val="none" w:sz="0" w:space="0" w:color="auto"/>
            <w:right w:val="none" w:sz="0" w:space="0" w:color="auto"/>
          </w:divBdr>
        </w:div>
        <w:div w:id="1593775616">
          <w:marLeft w:val="640"/>
          <w:marRight w:val="0"/>
          <w:marTop w:val="0"/>
          <w:marBottom w:val="0"/>
          <w:divBdr>
            <w:top w:val="none" w:sz="0" w:space="0" w:color="auto"/>
            <w:left w:val="none" w:sz="0" w:space="0" w:color="auto"/>
            <w:bottom w:val="none" w:sz="0" w:space="0" w:color="auto"/>
            <w:right w:val="none" w:sz="0" w:space="0" w:color="auto"/>
          </w:divBdr>
        </w:div>
        <w:div w:id="123928844">
          <w:marLeft w:val="640"/>
          <w:marRight w:val="0"/>
          <w:marTop w:val="0"/>
          <w:marBottom w:val="0"/>
          <w:divBdr>
            <w:top w:val="none" w:sz="0" w:space="0" w:color="auto"/>
            <w:left w:val="none" w:sz="0" w:space="0" w:color="auto"/>
            <w:bottom w:val="none" w:sz="0" w:space="0" w:color="auto"/>
            <w:right w:val="none" w:sz="0" w:space="0" w:color="auto"/>
          </w:divBdr>
        </w:div>
        <w:div w:id="731974346">
          <w:marLeft w:val="640"/>
          <w:marRight w:val="0"/>
          <w:marTop w:val="0"/>
          <w:marBottom w:val="0"/>
          <w:divBdr>
            <w:top w:val="none" w:sz="0" w:space="0" w:color="auto"/>
            <w:left w:val="none" w:sz="0" w:space="0" w:color="auto"/>
            <w:bottom w:val="none" w:sz="0" w:space="0" w:color="auto"/>
            <w:right w:val="none" w:sz="0" w:space="0" w:color="auto"/>
          </w:divBdr>
        </w:div>
        <w:div w:id="1094352270">
          <w:marLeft w:val="640"/>
          <w:marRight w:val="0"/>
          <w:marTop w:val="0"/>
          <w:marBottom w:val="0"/>
          <w:divBdr>
            <w:top w:val="none" w:sz="0" w:space="0" w:color="auto"/>
            <w:left w:val="none" w:sz="0" w:space="0" w:color="auto"/>
            <w:bottom w:val="none" w:sz="0" w:space="0" w:color="auto"/>
            <w:right w:val="none" w:sz="0" w:space="0" w:color="auto"/>
          </w:divBdr>
        </w:div>
        <w:div w:id="498811019">
          <w:marLeft w:val="640"/>
          <w:marRight w:val="0"/>
          <w:marTop w:val="0"/>
          <w:marBottom w:val="0"/>
          <w:divBdr>
            <w:top w:val="none" w:sz="0" w:space="0" w:color="auto"/>
            <w:left w:val="none" w:sz="0" w:space="0" w:color="auto"/>
            <w:bottom w:val="none" w:sz="0" w:space="0" w:color="auto"/>
            <w:right w:val="none" w:sz="0" w:space="0" w:color="auto"/>
          </w:divBdr>
        </w:div>
        <w:div w:id="1175652070">
          <w:marLeft w:val="640"/>
          <w:marRight w:val="0"/>
          <w:marTop w:val="0"/>
          <w:marBottom w:val="0"/>
          <w:divBdr>
            <w:top w:val="none" w:sz="0" w:space="0" w:color="auto"/>
            <w:left w:val="none" w:sz="0" w:space="0" w:color="auto"/>
            <w:bottom w:val="none" w:sz="0" w:space="0" w:color="auto"/>
            <w:right w:val="none" w:sz="0" w:space="0" w:color="auto"/>
          </w:divBdr>
        </w:div>
        <w:div w:id="1103525839">
          <w:marLeft w:val="640"/>
          <w:marRight w:val="0"/>
          <w:marTop w:val="0"/>
          <w:marBottom w:val="0"/>
          <w:divBdr>
            <w:top w:val="none" w:sz="0" w:space="0" w:color="auto"/>
            <w:left w:val="none" w:sz="0" w:space="0" w:color="auto"/>
            <w:bottom w:val="none" w:sz="0" w:space="0" w:color="auto"/>
            <w:right w:val="none" w:sz="0" w:space="0" w:color="auto"/>
          </w:divBdr>
        </w:div>
        <w:div w:id="1564371002">
          <w:marLeft w:val="640"/>
          <w:marRight w:val="0"/>
          <w:marTop w:val="0"/>
          <w:marBottom w:val="0"/>
          <w:divBdr>
            <w:top w:val="none" w:sz="0" w:space="0" w:color="auto"/>
            <w:left w:val="none" w:sz="0" w:space="0" w:color="auto"/>
            <w:bottom w:val="none" w:sz="0" w:space="0" w:color="auto"/>
            <w:right w:val="none" w:sz="0" w:space="0" w:color="auto"/>
          </w:divBdr>
        </w:div>
        <w:div w:id="724178059">
          <w:marLeft w:val="640"/>
          <w:marRight w:val="0"/>
          <w:marTop w:val="0"/>
          <w:marBottom w:val="0"/>
          <w:divBdr>
            <w:top w:val="none" w:sz="0" w:space="0" w:color="auto"/>
            <w:left w:val="none" w:sz="0" w:space="0" w:color="auto"/>
            <w:bottom w:val="none" w:sz="0" w:space="0" w:color="auto"/>
            <w:right w:val="none" w:sz="0" w:space="0" w:color="auto"/>
          </w:divBdr>
        </w:div>
        <w:div w:id="1670132023">
          <w:marLeft w:val="640"/>
          <w:marRight w:val="0"/>
          <w:marTop w:val="0"/>
          <w:marBottom w:val="0"/>
          <w:divBdr>
            <w:top w:val="none" w:sz="0" w:space="0" w:color="auto"/>
            <w:left w:val="none" w:sz="0" w:space="0" w:color="auto"/>
            <w:bottom w:val="none" w:sz="0" w:space="0" w:color="auto"/>
            <w:right w:val="none" w:sz="0" w:space="0" w:color="auto"/>
          </w:divBdr>
        </w:div>
        <w:div w:id="549877885">
          <w:marLeft w:val="640"/>
          <w:marRight w:val="0"/>
          <w:marTop w:val="0"/>
          <w:marBottom w:val="0"/>
          <w:divBdr>
            <w:top w:val="none" w:sz="0" w:space="0" w:color="auto"/>
            <w:left w:val="none" w:sz="0" w:space="0" w:color="auto"/>
            <w:bottom w:val="none" w:sz="0" w:space="0" w:color="auto"/>
            <w:right w:val="none" w:sz="0" w:space="0" w:color="auto"/>
          </w:divBdr>
        </w:div>
        <w:div w:id="775321700">
          <w:marLeft w:val="640"/>
          <w:marRight w:val="0"/>
          <w:marTop w:val="0"/>
          <w:marBottom w:val="0"/>
          <w:divBdr>
            <w:top w:val="none" w:sz="0" w:space="0" w:color="auto"/>
            <w:left w:val="none" w:sz="0" w:space="0" w:color="auto"/>
            <w:bottom w:val="none" w:sz="0" w:space="0" w:color="auto"/>
            <w:right w:val="none" w:sz="0" w:space="0" w:color="auto"/>
          </w:divBdr>
        </w:div>
        <w:div w:id="549027449">
          <w:marLeft w:val="640"/>
          <w:marRight w:val="0"/>
          <w:marTop w:val="0"/>
          <w:marBottom w:val="0"/>
          <w:divBdr>
            <w:top w:val="none" w:sz="0" w:space="0" w:color="auto"/>
            <w:left w:val="none" w:sz="0" w:space="0" w:color="auto"/>
            <w:bottom w:val="none" w:sz="0" w:space="0" w:color="auto"/>
            <w:right w:val="none" w:sz="0" w:space="0" w:color="auto"/>
          </w:divBdr>
        </w:div>
        <w:div w:id="1872304236">
          <w:marLeft w:val="640"/>
          <w:marRight w:val="0"/>
          <w:marTop w:val="0"/>
          <w:marBottom w:val="0"/>
          <w:divBdr>
            <w:top w:val="none" w:sz="0" w:space="0" w:color="auto"/>
            <w:left w:val="none" w:sz="0" w:space="0" w:color="auto"/>
            <w:bottom w:val="none" w:sz="0" w:space="0" w:color="auto"/>
            <w:right w:val="none" w:sz="0" w:space="0" w:color="auto"/>
          </w:divBdr>
        </w:div>
        <w:div w:id="1202791630">
          <w:marLeft w:val="640"/>
          <w:marRight w:val="0"/>
          <w:marTop w:val="0"/>
          <w:marBottom w:val="0"/>
          <w:divBdr>
            <w:top w:val="none" w:sz="0" w:space="0" w:color="auto"/>
            <w:left w:val="none" w:sz="0" w:space="0" w:color="auto"/>
            <w:bottom w:val="none" w:sz="0" w:space="0" w:color="auto"/>
            <w:right w:val="none" w:sz="0" w:space="0" w:color="auto"/>
          </w:divBdr>
        </w:div>
        <w:div w:id="2076006054">
          <w:marLeft w:val="640"/>
          <w:marRight w:val="0"/>
          <w:marTop w:val="0"/>
          <w:marBottom w:val="0"/>
          <w:divBdr>
            <w:top w:val="none" w:sz="0" w:space="0" w:color="auto"/>
            <w:left w:val="none" w:sz="0" w:space="0" w:color="auto"/>
            <w:bottom w:val="none" w:sz="0" w:space="0" w:color="auto"/>
            <w:right w:val="none" w:sz="0" w:space="0" w:color="auto"/>
          </w:divBdr>
        </w:div>
        <w:div w:id="1654292479">
          <w:marLeft w:val="640"/>
          <w:marRight w:val="0"/>
          <w:marTop w:val="0"/>
          <w:marBottom w:val="0"/>
          <w:divBdr>
            <w:top w:val="none" w:sz="0" w:space="0" w:color="auto"/>
            <w:left w:val="none" w:sz="0" w:space="0" w:color="auto"/>
            <w:bottom w:val="none" w:sz="0" w:space="0" w:color="auto"/>
            <w:right w:val="none" w:sz="0" w:space="0" w:color="auto"/>
          </w:divBdr>
        </w:div>
        <w:div w:id="1543059495">
          <w:marLeft w:val="640"/>
          <w:marRight w:val="0"/>
          <w:marTop w:val="0"/>
          <w:marBottom w:val="0"/>
          <w:divBdr>
            <w:top w:val="none" w:sz="0" w:space="0" w:color="auto"/>
            <w:left w:val="none" w:sz="0" w:space="0" w:color="auto"/>
            <w:bottom w:val="none" w:sz="0" w:space="0" w:color="auto"/>
            <w:right w:val="none" w:sz="0" w:space="0" w:color="auto"/>
          </w:divBdr>
        </w:div>
        <w:div w:id="1125081035">
          <w:marLeft w:val="640"/>
          <w:marRight w:val="0"/>
          <w:marTop w:val="0"/>
          <w:marBottom w:val="0"/>
          <w:divBdr>
            <w:top w:val="none" w:sz="0" w:space="0" w:color="auto"/>
            <w:left w:val="none" w:sz="0" w:space="0" w:color="auto"/>
            <w:bottom w:val="none" w:sz="0" w:space="0" w:color="auto"/>
            <w:right w:val="none" w:sz="0" w:space="0" w:color="auto"/>
          </w:divBdr>
        </w:div>
        <w:div w:id="46733106">
          <w:marLeft w:val="640"/>
          <w:marRight w:val="0"/>
          <w:marTop w:val="0"/>
          <w:marBottom w:val="0"/>
          <w:divBdr>
            <w:top w:val="none" w:sz="0" w:space="0" w:color="auto"/>
            <w:left w:val="none" w:sz="0" w:space="0" w:color="auto"/>
            <w:bottom w:val="none" w:sz="0" w:space="0" w:color="auto"/>
            <w:right w:val="none" w:sz="0" w:space="0" w:color="auto"/>
          </w:divBdr>
        </w:div>
        <w:div w:id="98990340">
          <w:marLeft w:val="640"/>
          <w:marRight w:val="0"/>
          <w:marTop w:val="0"/>
          <w:marBottom w:val="0"/>
          <w:divBdr>
            <w:top w:val="none" w:sz="0" w:space="0" w:color="auto"/>
            <w:left w:val="none" w:sz="0" w:space="0" w:color="auto"/>
            <w:bottom w:val="none" w:sz="0" w:space="0" w:color="auto"/>
            <w:right w:val="none" w:sz="0" w:space="0" w:color="auto"/>
          </w:divBdr>
        </w:div>
        <w:div w:id="337511721">
          <w:marLeft w:val="640"/>
          <w:marRight w:val="0"/>
          <w:marTop w:val="0"/>
          <w:marBottom w:val="0"/>
          <w:divBdr>
            <w:top w:val="none" w:sz="0" w:space="0" w:color="auto"/>
            <w:left w:val="none" w:sz="0" w:space="0" w:color="auto"/>
            <w:bottom w:val="none" w:sz="0" w:space="0" w:color="auto"/>
            <w:right w:val="none" w:sz="0" w:space="0" w:color="auto"/>
          </w:divBdr>
        </w:div>
        <w:div w:id="1325205489">
          <w:marLeft w:val="640"/>
          <w:marRight w:val="0"/>
          <w:marTop w:val="0"/>
          <w:marBottom w:val="0"/>
          <w:divBdr>
            <w:top w:val="none" w:sz="0" w:space="0" w:color="auto"/>
            <w:left w:val="none" w:sz="0" w:space="0" w:color="auto"/>
            <w:bottom w:val="none" w:sz="0" w:space="0" w:color="auto"/>
            <w:right w:val="none" w:sz="0" w:space="0" w:color="auto"/>
          </w:divBdr>
        </w:div>
        <w:div w:id="2111311860">
          <w:marLeft w:val="640"/>
          <w:marRight w:val="0"/>
          <w:marTop w:val="0"/>
          <w:marBottom w:val="0"/>
          <w:divBdr>
            <w:top w:val="none" w:sz="0" w:space="0" w:color="auto"/>
            <w:left w:val="none" w:sz="0" w:space="0" w:color="auto"/>
            <w:bottom w:val="none" w:sz="0" w:space="0" w:color="auto"/>
            <w:right w:val="none" w:sz="0" w:space="0" w:color="auto"/>
          </w:divBdr>
        </w:div>
        <w:div w:id="1716345108">
          <w:marLeft w:val="640"/>
          <w:marRight w:val="0"/>
          <w:marTop w:val="0"/>
          <w:marBottom w:val="0"/>
          <w:divBdr>
            <w:top w:val="none" w:sz="0" w:space="0" w:color="auto"/>
            <w:left w:val="none" w:sz="0" w:space="0" w:color="auto"/>
            <w:bottom w:val="none" w:sz="0" w:space="0" w:color="auto"/>
            <w:right w:val="none" w:sz="0" w:space="0" w:color="auto"/>
          </w:divBdr>
        </w:div>
        <w:div w:id="1259604123">
          <w:marLeft w:val="640"/>
          <w:marRight w:val="0"/>
          <w:marTop w:val="0"/>
          <w:marBottom w:val="0"/>
          <w:divBdr>
            <w:top w:val="none" w:sz="0" w:space="0" w:color="auto"/>
            <w:left w:val="none" w:sz="0" w:space="0" w:color="auto"/>
            <w:bottom w:val="none" w:sz="0" w:space="0" w:color="auto"/>
            <w:right w:val="none" w:sz="0" w:space="0" w:color="auto"/>
          </w:divBdr>
        </w:div>
        <w:div w:id="1067846946">
          <w:marLeft w:val="640"/>
          <w:marRight w:val="0"/>
          <w:marTop w:val="0"/>
          <w:marBottom w:val="0"/>
          <w:divBdr>
            <w:top w:val="none" w:sz="0" w:space="0" w:color="auto"/>
            <w:left w:val="none" w:sz="0" w:space="0" w:color="auto"/>
            <w:bottom w:val="none" w:sz="0" w:space="0" w:color="auto"/>
            <w:right w:val="none" w:sz="0" w:space="0" w:color="auto"/>
          </w:divBdr>
        </w:div>
        <w:div w:id="599677795">
          <w:marLeft w:val="640"/>
          <w:marRight w:val="0"/>
          <w:marTop w:val="0"/>
          <w:marBottom w:val="0"/>
          <w:divBdr>
            <w:top w:val="none" w:sz="0" w:space="0" w:color="auto"/>
            <w:left w:val="none" w:sz="0" w:space="0" w:color="auto"/>
            <w:bottom w:val="none" w:sz="0" w:space="0" w:color="auto"/>
            <w:right w:val="none" w:sz="0" w:space="0" w:color="auto"/>
          </w:divBdr>
        </w:div>
        <w:div w:id="588469254">
          <w:marLeft w:val="640"/>
          <w:marRight w:val="0"/>
          <w:marTop w:val="0"/>
          <w:marBottom w:val="0"/>
          <w:divBdr>
            <w:top w:val="none" w:sz="0" w:space="0" w:color="auto"/>
            <w:left w:val="none" w:sz="0" w:space="0" w:color="auto"/>
            <w:bottom w:val="none" w:sz="0" w:space="0" w:color="auto"/>
            <w:right w:val="none" w:sz="0" w:space="0" w:color="auto"/>
          </w:divBdr>
        </w:div>
        <w:div w:id="598831071">
          <w:marLeft w:val="640"/>
          <w:marRight w:val="0"/>
          <w:marTop w:val="0"/>
          <w:marBottom w:val="0"/>
          <w:divBdr>
            <w:top w:val="none" w:sz="0" w:space="0" w:color="auto"/>
            <w:left w:val="none" w:sz="0" w:space="0" w:color="auto"/>
            <w:bottom w:val="none" w:sz="0" w:space="0" w:color="auto"/>
            <w:right w:val="none" w:sz="0" w:space="0" w:color="auto"/>
          </w:divBdr>
        </w:div>
        <w:div w:id="1332876143">
          <w:marLeft w:val="640"/>
          <w:marRight w:val="0"/>
          <w:marTop w:val="0"/>
          <w:marBottom w:val="0"/>
          <w:divBdr>
            <w:top w:val="none" w:sz="0" w:space="0" w:color="auto"/>
            <w:left w:val="none" w:sz="0" w:space="0" w:color="auto"/>
            <w:bottom w:val="none" w:sz="0" w:space="0" w:color="auto"/>
            <w:right w:val="none" w:sz="0" w:space="0" w:color="auto"/>
          </w:divBdr>
        </w:div>
        <w:div w:id="1197349475">
          <w:marLeft w:val="640"/>
          <w:marRight w:val="0"/>
          <w:marTop w:val="0"/>
          <w:marBottom w:val="0"/>
          <w:divBdr>
            <w:top w:val="none" w:sz="0" w:space="0" w:color="auto"/>
            <w:left w:val="none" w:sz="0" w:space="0" w:color="auto"/>
            <w:bottom w:val="none" w:sz="0" w:space="0" w:color="auto"/>
            <w:right w:val="none" w:sz="0" w:space="0" w:color="auto"/>
          </w:divBdr>
        </w:div>
        <w:div w:id="1605308327">
          <w:marLeft w:val="640"/>
          <w:marRight w:val="0"/>
          <w:marTop w:val="0"/>
          <w:marBottom w:val="0"/>
          <w:divBdr>
            <w:top w:val="none" w:sz="0" w:space="0" w:color="auto"/>
            <w:left w:val="none" w:sz="0" w:space="0" w:color="auto"/>
            <w:bottom w:val="none" w:sz="0" w:space="0" w:color="auto"/>
            <w:right w:val="none" w:sz="0" w:space="0" w:color="auto"/>
          </w:divBdr>
        </w:div>
        <w:div w:id="1768576819">
          <w:marLeft w:val="640"/>
          <w:marRight w:val="0"/>
          <w:marTop w:val="0"/>
          <w:marBottom w:val="0"/>
          <w:divBdr>
            <w:top w:val="none" w:sz="0" w:space="0" w:color="auto"/>
            <w:left w:val="none" w:sz="0" w:space="0" w:color="auto"/>
            <w:bottom w:val="none" w:sz="0" w:space="0" w:color="auto"/>
            <w:right w:val="none" w:sz="0" w:space="0" w:color="auto"/>
          </w:divBdr>
        </w:div>
        <w:div w:id="1508866885">
          <w:marLeft w:val="640"/>
          <w:marRight w:val="0"/>
          <w:marTop w:val="0"/>
          <w:marBottom w:val="0"/>
          <w:divBdr>
            <w:top w:val="none" w:sz="0" w:space="0" w:color="auto"/>
            <w:left w:val="none" w:sz="0" w:space="0" w:color="auto"/>
            <w:bottom w:val="none" w:sz="0" w:space="0" w:color="auto"/>
            <w:right w:val="none" w:sz="0" w:space="0" w:color="auto"/>
          </w:divBdr>
        </w:div>
        <w:div w:id="1906989325">
          <w:marLeft w:val="640"/>
          <w:marRight w:val="0"/>
          <w:marTop w:val="0"/>
          <w:marBottom w:val="0"/>
          <w:divBdr>
            <w:top w:val="none" w:sz="0" w:space="0" w:color="auto"/>
            <w:left w:val="none" w:sz="0" w:space="0" w:color="auto"/>
            <w:bottom w:val="none" w:sz="0" w:space="0" w:color="auto"/>
            <w:right w:val="none" w:sz="0" w:space="0" w:color="auto"/>
          </w:divBdr>
        </w:div>
        <w:div w:id="1537816146">
          <w:marLeft w:val="640"/>
          <w:marRight w:val="0"/>
          <w:marTop w:val="0"/>
          <w:marBottom w:val="0"/>
          <w:divBdr>
            <w:top w:val="none" w:sz="0" w:space="0" w:color="auto"/>
            <w:left w:val="none" w:sz="0" w:space="0" w:color="auto"/>
            <w:bottom w:val="none" w:sz="0" w:space="0" w:color="auto"/>
            <w:right w:val="none" w:sz="0" w:space="0" w:color="auto"/>
          </w:divBdr>
        </w:div>
        <w:div w:id="1992557548">
          <w:marLeft w:val="640"/>
          <w:marRight w:val="0"/>
          <w:marTop w:val="0"/>
          <w:marBottom w:val="0"/>
          <w:divBdr>
            <w:top w:val="none" w:sz="0" w:space="0" w:color="auto"/>
            <w:left w:val="none" w:sz="0" w:space="0" w:color="auto"/>
            <w:bottom w:val="none" w:sz="0" w:space="0" w:color="auto"/>
            <w:right w:val="none" w:sz="0" w:space="0" w:color="auto"/>
          </w:divBdr>
        </w:div>
        <w:div w:id="310719958">
          <w:marLeft w:val="640"/>
          <w:marRight w:val="0"/>
          <w:marTop w:val="0"/>
          <w:marBottom w:val="0"/>
          <w:divBdr>
            <w:top w:val="none" w:sz="0" w:space="0" w:color="auto"/>
            <w:left w:val="none" w:sz="0" w:space="0" w:color="auto"/>
            <w:bottom w:val="none" w:sz="0" w:space="0" w:color="auto"/>
            <w:right w:val="none" w:sz="0" w:space="0" w:color="auto"/>
          </w:divBdr>
        </w:div>
        <w:div w:id="2084644528">
          <w:marLeft w:val="640"/>
          <w:marRight w:val="0"/>
          <w:marTop w:val="0"/>
          <w:marBottom w:val="0"/>
          <w:divBdr>
            <w:top w:val="none" w:sz="0" w:space="0" w:color="auto"/>
            <w:left w:val="none" w:sz="0" w:space="0" w:color="auto"/>
            <w:bottom w:val="none" w:sz="0" w:space="0" w:color="auto"/>
            <w:right w:val="none" w:sz="0" w:space="0" w:color="auto"/>
          </w:divBdr>
        </w:div>
        <w:div w:id="1801458353">
          <w:marLeft w:val="640"/>
          <w:marRight w:val="0"/>
          <w:marTop w:val="0"/>
          <w:marBottom w:val="0"/>
          <w:divBdr>
            <w:top w:val="none" w:sz="0" w:space="0" w:color="auto"/>
            <w:left w:val="none" w:sz="0" w:space="0" w:color="auto"/>
            <w:bottom w:val="none" w:sz="0" w:space="0" w:color="auto"/>
            <w:right w:val="none" w:sz="0" w:space="0" w:color="auto"/>
          </w:divBdr>
        </w:div>
        <w:div w:id="2118518382">
          <w:marLeft w:val="640"/>
          <w:marRight w:val="0"/>
          <w:marTop w:val="0"/>
          <w:marBottom w:val="0"/>
          <w:divBdr>
            <w:top w:val="none" w:sz="0" w:space="0" w:color="auto"/>
            <w:left w:val="none" w:sz="0" w:space="0" w:color="auto"/>
            <w:bottom w:val="none" w:sz="0" w:space="0" w:color="auto"/>
            <w:right w:val="none" w:sz="0" w:space="0" w:color="auto"/>
          </w:divBdr>
        </w:div>
        <w:div w:id="785276216">
          <w:marLeft w:val="640"/>
          <w:marRight w:val="0"/>
          <w:marTop w:val="0"/>
          <w:marBottom w:val="0"/>
          <w:divBdr>
            <w:top w:val="none" w:sz="0" w:space="0" w:color="auto"/>
            <w:left w:val="none" w:sz="0" w:space="0" w:color="auto"/>
            <w:bottom w:val="none" w:sz="0" w:space="0" w:color="auto"/>
            <w:right w:val="none" w:sz="0" w:space="0" w:color="auto"/>
          </w:divBdr>
        </w:div>
        <w:div w:id="1478765768">
          <w:marLeft w:val="640"/>
          <w:marRight w:val="0"/>
          <w:marTop w:val="0"/>
          <w:marBottom w:val="0"/>
          <w:divBdr>
            <w:top w:val="none" w:sz="0" w:space="0" w:color="auto"/>
            <w:left w:val="none" w:sz="0" w:space="0" w:color="auto"/>
            <w:bottom w:val="none" w:sz="0" w:space="0" w:color="auto"/>
            <w:right w:val="none" w:sz="0" w:space="0" w:color="auto"/>
          </w:divBdr>
        </w:div>
        <w:div w:id="732587551">
          <w:marLeft w:val="640"/>
          <w:marRight w:val="0"/>
          <w:marTop w:val="0"/>
          <w:marBottom w:val="0"/>
          <w:divBdr>
            <w:top w:val="none" w:sz="0" w:space="0" w:color="auto"/>
            <w:left w:val="none" w:sz="0" w:space="0" w:color="auto"/>
            <w:bottom w:val="none" w:sz="0" w:space="0" w:color="auto"/>
            <w:right w:val="none" w:sz="0" w:space="0" w:color="auto"/>
          </w:divBdr>
        </w:div>
        <w:div w:id="1677658461">
          <w:marLeft w:val="640"/>
          <w:marRight w:val="0"/>
          <w:marTop w:val="0"/>
          <w:marBottom w:val="0"/>
          <w:divBdr>
            <w:top w:val="none" w:sz="0" w:space="0" w:color="auto"/>
            <w:left w:val="none" w:sz="0" w:space="0" w:color="auto"/>
            <w:bottom w:val="none" w:sz="0" w:space="0" w:color="auto"/>
            <w:right w:val="none" w:sz="0" w:space="0" w:color="auto"/>
          </w:divBdr>
        </w:div>
        <w:div w:id="2045255374">
          <w:marLeft w:val="640"/>
          <w:marRight w:val="0"/>
          <w:marTop w:val="0"/>
          <w:marBottom w:val="0"/>
          <w:divBdr>
            <w:top w:val="none" w:sz="0" w:space="0" w:color="auto"/>
            <w:left w:val="none" w:sz="0" w:space="0" w:color="auto"/>
            <w:bottom w:val="none" w:sz="0" w:space="0" w:color="auto"/>
            <w:right w:val="none" w:sz="0" w:space="0" w:color="auto"/>
          </w:divBdr>
        </w:div>
        <w:div w:id="1437285407">
          <w:marLeft w:val="640"/>
          <w:marRight w:val="0"/>
          <w:marTop w:val="0"/>
          <w:marBottom w:val="0"/>
          <w:divBdr>
            <w:top w:val="none" w:sz="0" w:space="0" w:color="auto"/>
            <w:left w:val="none" w:sz="0" w:space="0" w:color="auto"/>
            <w:bottom w:val="none" w:sz="0" w:space="0" w:color="auto"/>
            <w:right w:val="none" w:sz="0" w:space="0" w:color="auto"/>
          </w:divBdr>
        </w:div>
        <w:div w:id="197671810">
          <w:marLeft w:val="640"/>
          <w:marRight w:val="0"/>
          <w:marTop w:val="0"/>
          <w:marBottom w:val="0"/>
          <w:divBdr>
            <w:top w:val="none" w:sz="0" w:space="0" w:color="auto"/>
            <w:left w:val="none" w:sz="0" w:space="0" w:color="auto"/>
            <w:bottom w:val="none" w:sz="0" w:space="0" w:color="auto"/>
            <w:right w:val="none" w:sz="0" w:space="0" w:color="auto"/>
          </w:divBdr>
        </w:div>
        <w:div w:id="994064938">
          <w:marLeft w:val="640"/>
          <w:marRight w:val="0"/>
          <w:marTop w:val="0"/>
          <w:marBottom w:val="0"/>
          <w:divBdr>
            <w:top w:val="none" w:sz="0" w:space="0" w:color="auto"/>
            <w:left w:val="none" w:sz="0" w:space="0" w:color="auto"/>
            <w:bottom w:val="none" w:sz="0" w:space="0" w:color="auto"/>
            <w:right w:val="none" w:sz="0" w:space="0" w:color="auto"/>
          </w:divBdr>
        </w:div>
        <w:div w:id="246809117">
          <w:marLeft w:val="640"/>
          <w:marRight w:val="0"/>
          <w:marTop w:val="0"/>
          <w:marBottom w:val="0"/>
          <w:divBdr>
            <w:top w:val="none" w:sz="0" w:space="0" w:color="auto"/>
            <w:left w:val="none" w:sz="0" w:space="0" w:color="auto"/>
            <w:bottom w:val="none" w:sz="0" w:space="0" w:color="auto"/>
            <w:right w:val="none" w:sz="0" w:space="0" w:color="auto"/>
          </w:divBdr>
        </w:div>
        <w:div w:id="1873034528">
          <w:marLeft w:val="640"/>
          <w:marRight w:val="0"/>
          <w:marTop w:val="0"/>
          <w:marBottom w:val="0"/>
          <w:divBdr>
            <w:top w:val="none" w:sz="0" w:space="0" w:color="auto"/>
            <w:left w:val="none" w:sz="0" w:space="0" w:color="auto"/>
            <w:bottom w:val="none" w:sz="0" w:space="0" w:color="auto"/>
            <w:right w:val="none" w:sz="0" w:space="0" w:color="auto"/>
          </w:divBdr>
        </w:div>
        <w:div w:id="340591567">
          <w:marLeft w:val="640"/>
          <w:marRight w:val="0"/>
          <w:marTop w:val="0"/>
          <w:marBottom w:val="0"/>
          <w:divBdr>
            <w:top w:val="none" w:sz="0" w:space="0" w:color="auto"/>
            <w:left w:val="none" w:sz="0" w:space="0" w:color="auto"/>
            <w:bottom w:val="none" w:sz="0" w:space="0" w:color="auto"/>
            <w:right w:val="none" w:sz="0" w:space="0" w:color="auto"/>
          </w:divBdr>
        </w:div>
        <w:div w:id="167526530">
          <w:marLeft w:val="640"/>
          <w:marRight w:val="0"/>
          <w:marTop w:val="0"/>
          <w:marBottom w:val="0"/>
          <w:divBdr>
            <w:top w:val="none" w:sz="0" w:space="0" w:color="auto"/>
            <w:left w:val="none" w:sz="0" w:space="0" w:color="auto"/>
            <w:bottom w:val="none" w:sz="0" w:space="0" w:color="auto"/>
            <w:right w:val="none" w:sz="0" w:space="0" w:color="auto"/>
          </w:divBdr>
        </w:div>
        <w:div w:id="1197541853">
          <w:marLeft w:val="640"/>
          <w:marRight w:val="0"/>
          <w:marTop w:val="0"/>
          <w:marBottom w:val="0"/>
          <w:divBdr>
            <w:top w:val="none" w:sz="0" w:space="0" w:color="auto"/>
            <w:left w:val="none" w:sz="0" w:space="0" w:color="auto"/>
            <w:bottom w:val="none" w:sz="0" w:space="0" w:color="auto"/>
            <w:right w:val="none" w:sz="0" w:space="0" w:color="auto"/>
          </w:divBdr>
        </w:div>
        <w:div w:id="1657875612">
          <w:marLeft w:val="640"/>
          <w:marRight w:val="0"/>
          <w:marTop w:val="0"/>
          <w:marBottom w:val="0"/>
          <w:divBdr>
            <w:top w:val="none" w:sz="0" w:space="0" w:color="auto"/>
            <w:left w:val="none" w:sz="0" w:space="0" w:color="auto"/>
            <w:bottom w:val="none" w:sz="0" w:space="0" w:color="auto"/>
            <w:right w:val="none" w:sz="0" w:space="0" w:color="auto"/>
          </w:divBdr>
        </w:div>
        <w:div w:id="200555949">
          <w:marLeft w:val="640"/>
          <w:marRight w:val="0"/>
          <w:marTop w:val="0"/>
          <w:marBottom w:val="0"/>
          <w:divBdr>
            <w:top w:val="none" w:sz="0" w:space="0" w:color="auto"/>
            <w:left w:val="none" w:sz="0" w:space="0" w:color="auto"/>
            <w:bottom w:val="none" w:sz="0" w:space="0" w:color="auto"/>
            <w:right w:val="none" w:sz="0" w:space="0" w:color="auto"/>
          </w:divBdr>
        </w:div>
        <w:div w:id="1199273569">
          <w:marLeft w:val="640"/>
          <w:marRight w:val="0"/>
          <w:marTop w:val="0"/>
          <w:marBottom w:val="0"/>
          <w:divBdr>
            <w:top w:val="none" w:sz="0" w:space="0" w:color="auto"/>
            <w:left w:val="none" w:sz="0" w:space="0" w:color="auto"/>
            <w:bottom w:val="none" w:sz="0" w:space="0" w:color="auto"/>
            <w:right w:val="none" w:sz="0" w:space="0" w:color="auto"/>
          </w:divBdr>
        </w:div>
        <w:div w:id="1662930701">
          <w:marLeft w:val="640"/>
          <w:marRight w:val="0"/>
          <w:marTop w:val="0"/>
          <w:marBottom w:val="0"/>
          <w:divBdr>
            <w:top w:val="none" w:sz="0" w:space="0" w:color="auto"/>
            <w:left w:val="none" w:sz="0" w:space="0" w:color="auto"/>
            <w:bottom w:val="none" w:sz="0" w:space="0" w:color="auto"/>
            <w:right w:val="none" w:sz="0" w:space="0" w:color="auto"/>
          </w:divBdr>
        </w:div>
        <w:div w:id="330958799">
          <w:marLeft w:val="640"/>
          <w:marRight w:val="0"/>
          <w:marTop w:val="0"/>
          <w:marBottom w:val="0"/>
          <w:divBdr>
            <w:top w:val="none" w:sz="0" w:space="0" w:color="auto"/>
            <w:left w:val="none" w:sz="0" w:space="0" w:color="auto"/>
            <w:bottom w:val="none" w:sz="0" w:space="0" w:color="auto"/>
            <w:right w:val="none" w:sz="0" w:space="0" w:color="auto"/>
          </w:divBdr>
        </w:div>
        <w:div w:id="1242714159">
          <w:marLeft w:val="640"/>
          <w:marRight w:val="0"/>
          <w:marTop w:val="0"/>
          <w:marBottom w:val="0"/>
          <w:divBdr>
            <w:top w:val="none" w:sz="0" w:space="0" w:color="auto"/>
            <w:left w:val="none" w:sz="0" w:space="0" w:color="auto"/>
            <w:bottom w:val="none" w:sz="0" w:space="0" w:color="auto"/>
            <w:right w:val="none" w:sz="0" w:space="0" w:color="auto"/>
          </w:divBdr>
        </w:div>
        <w:div w:id="1390614529">
          <w:marLeft w:val="640"/>
          <w:marRight w:val="0"/>
          <w:marTop w:val="0"/>
          <w:marBottom w:val="0"/>
          <w:divBdr>
            <w:top w:val="none" w:sz="0" w:space="0" w:color="auto"/>
            <w:left w:val="none" w:sz="0" w:space="0" w:color="auto"/>
            <w:bottom w:val="none" w:sz="0" w:space="0" w:color="auto"/>
            <w:right w:val="none" w:sz="0" w:space="0" w:color="auto"/>
          </w:divBdr>
        </w:div>
        <w:div w:id="1311866305">
          <w:marLeft w:val="640"/>
          <w:marRight w:val="0"/>
          <w:marTop w:val="0"/>
          <w:marBottom w:val="0"/>
          <w:divBdr>
            <w:top w:val="none" w:sz="0" w:space="0" w:color="auto"/>
            <w:left w:val="none" w:sz="0" w:space="0" w:color="auto"/>
            <w:bottom w:val="none" w:sz="0" w:space="0" w:color="auto"/>
            <w:right w:val="none" w:sz="0" w:space="0" w:color="auto"/>
          </w:divBdr>
        </w:div>
        <w:div w:id="1625386130">
          <w:marLeft w:val="640"/>
          <w:marRight w:val="0"/>
          <w:marTop w:val="0"/>
          <w:marBottom w:val="0"/>
          <w:divBdr>
            <w:top w:val="none" w:sz="0" w:space="0" w:color="auto"/>
            <w:left w:val="none" w:sz="0" w:space="0" w:color="auto"/>
            <w:bottom w:val="none" w:sz="0" w:space="0" w:color="auto"/>
            <w:right w:val="none" w:sz="0" w:space="0" w:color="auto"/>
          </w:divBdr>
        </w:div>
        <w:div w:id="1510944382">
          <w:marLeft w:val="640"/>
          <w:marRight w:val="0"/>
          <w:marTop w:val="0"/>
          <w:marBottom w:val="0"/>
          <w:divBdr>
            <w:top w:val="none" w:sz="0" w:space="0" w:color="auto"/>
            <w:left w:val="none" w:sz="0" w:space="0" w:color="auto"/>
            <w:bottom w:val="none" w:sz="0" w:space="0" w:color="auto"/>
            <w:right w:val="none" w:sz="0" w:space="0" w:color="auto"/>
          </w:divBdr>
        </w:div>
        <w:div w:id="217322326">
          <w:marLeft w:val="640"/>
          <w:marRight w:val="0"/>
          <w:marTop w:val="0"/>
          <w:marBottom w:val="0"/>
          <w:divBdr>
            <w:top w:val="none" w:sz="0" w:space="0" w:color="auto"/>
            <w:left w:val="none" w:sz="0" w:space="0" w:color="auto"/>
            <w:bottom w:val="none" w:sz="0" w:space="0" w:color="auto"/>
            <w:right w:val="none" w:sz="0" w:space="0" w:color="auto"/>
          </w:divBdr>
        </w:div>
        <w:div w:id="557282042">
          <w:marLeft w:val="640"/>
          <w:marRight w:val="0"/>
          <w:marTop w:val="0"/>
          <w:marBottom w:val="0"/>
          <w:divBdr>
            <w:top w:val="none" w:sz="0" w:space="0" w:color="auto"/>
            <w:left w:val="none" w:sz="0" w:space="0" w:color="auto"/>
            <w:bottom w:val="none" w:sz="0" w:space="0" w:color="auto"/>
            <w:right w:val="none" w:sz="0" w:space="0" w:color="auto"/>
          </w:divBdr>
        </w:div>
        <w:div w:id="1979801567">
          <w:marLeft w:val="640"/>
          <w:marRight w:val="0"/>
          <w:marTop w:val="0"/>
          <w:marBottom w:val="0"/>
          <w:divBdr>
            <w:top w:val="none" w:sz="0" w:space="0" w:color="auto"/>
            <w:left w:val="none" w:sz="0" w:space="0" w:color="auto"/>
            <w:bottom w:val="none" w:sz="0" w:space="0" w:color="auto"/>
            <w:right w:val="none" w:sz="0" w:space="0" w:color="auto"/>
          </w:divBdr>
        </w:div>
        <w:div w:id="985858302">
          <w:marLeft w:val="640"/>
          <w:marRight w:val="0"/>
          <w:marTop w:val="0"/>
          <w:marBottom w:val="0"/>
          <w:divBdr>
            <w:top w:val="none" w:sz="0" w:space="0" w:color="auto"/>
            <w:left w:val="none" w:sz="0" w:space="0" w:color="auto"/>
            <w:bottom w:val="none" w:sz="0" w:space="0" w:color="auto"/>
            <w:right w:val="none" w:sz="0" w:space="0" w:color="auto"/>
          </w:divBdr>
        </w:div>
        <w:div w:id="743574728">
          <w:marLeft w:val="640"/>
          <w:marRight w:val="0"/>
          <w:marTop w:val="0"/>
          <w:marBottom w:val="0"/>
          <w:divBdr>
            <w:top w:val="none" w:sz="0" w:space="0" w:color="auto"/>
            <w:left w:val="none" w:sz="0" w:space="0" w:color="auto"/>
            <w:bottom w:val="none" w:sz="0" w:space="0" w:color="auto"/>
            <w:right w:val="none" w:sz="0" w:space="0" w:color="auto"/>
          </w:divBdr>
        </w:div>
        <w:div w:id="521672834">
          <w:marLeft w:val="640"/>
          <w:marRight w:val="0"/>
          <w:marTop w:val="0"/>
          <w:marBottom w:val="0"/>
          <w:divBdr>
            <w:top w:val="none" w:sz="0" w:space="0" w:color="auto"/>
            <w:left w:val="none" w:sz="0" w:space="0" w:color="auto"/>
            <w:bottom w:val="none" w:sz="0" w:space="0" w:color="auto"/>
            <w:right w:val="none" w:sz="0" w:space="0" w:color="auto"/>
          </w:divBdr>
        </w:div>
        <w:div w:id="809247925">
          <w:marLeft w:val="640"/>
          <w:marRight w:val="0"/>
          <w:marTop w:val="0"/>
          <w:marBottom w:val="0"/>
          <w:divBdr>
            <w:top w:val="none" w:sz="0" w:space="0" w:color="auto"/>
            <w:left w:val="none" w:sz="0" w:space="0" w:color="auto"/>
            <w:bottom w:val="none" w:sz="0" w:space="0" w:color="auto"/>
            <w:right w:val="none" w:sz="0" w:space="0" w:color="auto"/>
          </w:divBdr>
        </w:div>
        <w:div w:id="962492977">
          <w:marLeft w:val="640"/>
          <w:marRight w:val="0"/>
          <w:marTop w:val="0"/>
          <w:marBottom w:val="0"/>
          <w:divBdr>
            <w:top w:val="none" w:sz="0" w:space="0" w:color="auto"/>
            <w:left w:val="none" w:sz="0" w:space="0" w:color="auto"/>
            <w:bottom w:val="none" w:sz="0" w:space="0" w:color="auto"/>
            <w:right w:val="none" w:sz="0" w:space="0" w:color="auto"/>
          </w:divBdr>
        </w:div>
        <w:div w:id="2065834568">
          <w:marLeft w:val="640"/>
          <w:marRight w:val="0"/>
          <w:marTop w:val="0"/>
          <w:marBottom w:val="0"/>
          <w:divBdr>
            <w:top w:val="none" w:sz="0" w:space="0" w:color="auto"/>
            <w:left w:val="none" w:sz="0" w:space="0" w:color="auto"/>
            <w:bottom w:val="none" w:sz="0" w:space="0" w:color="auto"/>
            <w:right w:val="none" w:sz="0" w:space="0" w:color="auto"/>
          </w:divBdr>
        </w:div>
        <w:div w:id="1975333703">
          <w:marLeft w:val="640"/>
          <w:marRight w:val="0"/>
          <w:marTop w:val="0"/>
          <w:marBottom w:val="0"/>
          <w:divBdr>
            <w:top w:val="none" w:sz="0" w:space="0" w:color="auto"/>
            <w:left w:val="none" w:sz="0" w:space="0" w:color="auto"/>
            <w:bottom w:val="none" w:sz="0" w:space="0" w:color="auto"/>
            <w:right w:val="none" w:sz="0" w:space="0" w:color="auto"/>
          </w:divBdr>
        </w:div>
        <w:div w:id="1525165680">
          <w:marLeft w:val="640"/>
          <w:marRight w:val="0"/>
          <w:marTop w:val="0"/>
          <w:marBottom w:val="0"/>
          <w:divBdr>
            <w:top w:val="none" w:sz="0" w:space="0" w:color="auto"/>
            <w:left w:val="none" w:sz="0" w:space="0" w:color="auto"/>
            <w:bottom w:val="none" w:sz="0" w:space="0" w:color="auto"/>
            <w:right w:val="none" w:sz="0" w:space="0" w:color="auto"/>
          </w:divBdr>
        </w:div>
        <w:div w:id="1980650889">
          <w:marLeft w:val="640"/>
          <w:marRight w:val="0"/>
          <w:marTop w:val="0"/>
          <w:marBottom w:val="0"/>
          <w:divBdr>
            <w:top w:val="none" w:sz="0" w:space="0" w:color="auto"/>
            <w:left w:val="none" w:sz="0" w:space="0" w:color="auto"/>
            <w:bottom w:val="none" w:sz="0" w:space="0" w:color="auto"/>
            <w:right w:val="none" w:sz="0" w:space="0" w:color="auto"/>
          </w:divBdr>
        </w:div>
        <w:div w:id="1431511033">
          <w:marLeft w:val="640"/>
          <w:marRight w:val="0"/>
          <w:marTop w:val="0"/>
          <w:marBottom w:val="0"/>
          <w:divBdr>
            <w:top w:val="none" w:sz="0" w:space="0" w:color="auto"/>
            <w:left w:val="none" w:sz="0" w:space="0" w:color="auto"/>
            <w:bottom w:val="none" w:sz="0" w:space="0" w:color="auto"/>
            <w:right w:val="none" w:sz="0" w:space="0" w:color="auto"/>
          </w:divBdr>
        </w:div>
        <w:div w:id="685450161">
          <w:marLeft w:val="640"/>
          <w:marRight w:val="0"/>
          <w:marTop w:val="0"/>
          <w:marBottom w:val="0"/>
          <w:divBdr>
            <w:top w:val="none" w:sz="0" w:space="0" w:color="auto"/>
            <w:left w:val="none" w:sz="0" w:space="0" w:color="auto"/>
            <w:bottom w:val="none" w:sz="0" w:space="0" w:color="auto"/>
            <w:right w:val="none" w:sz="0" w:space="0" w:color="auto"/>
          </w:divBdr>
        </w:div>
        <w:div w:id="362364706">
          <w:marLeft w:val="640"/>
          <w:marRight w:val="0"/>
          <w:marTop w:val="0"/>
          <w:marBottom w:val="0"/>
          <w:divBdr>
            <w:top w:val="none" w:sz="0" w:space="0" w:color="auto"/>
            <w:left w:val="none" w:sz="0" w:space="0" w:color="auto"/>
            <w:bottom w:val="none" w:sz="0" w:space="0" w:color="auto"/>
            <w:right w:val="none" w:sz="0" w:space="0" w:color="auto"/>
          </w:divBdr>
        </w:div>
        <w:div w:id="1166939088">
          <w:marLeft w:val="640"/>
          <w:marRight w:val="0"/>
          <w:marTop w:val="0"/>
          <w:marBottom w:val="0"/>
          <w:divBdr>
            <w:top w:val="none" w:sz="0" w:space="0" w:color="auto"/>
            <w:left w:val="none" w:sz="0" w:space="0" w:color="auto"/>
            <w:bottom w:val="none" w:sz="0" w:space="0" w:color="auto"/>
            <w:right w:val="none" w:sz="0" w:space="0" w:color="auto"/>
          </w:divBdr>
        </w:div>
        <w:div w:id="1943491447">
          <w:marLeft w:val="640"/>
          <w:marRight w:val="0"/>
          <w:marTop w:val="0"/>
          <w:marBottom w:val="0"/>
          <w:divBdr>
            <w:top w:val="none" w:sz="0" w:space="0" w:color="auto"/>
            <w:left w:val="none" w:sz="0" w:space="0" w:color="auto"/>
            <w:bottom w:val="none" w:sz="0" w:space="0" w:color="auto"/>
            <w:right w:val="none" w:sz="0" w:space="0" w:color="auto"/>
          </w:divBdr>
        </w:div>
        <w:div w:id="1754234773">
          <w:marLeft w:val="640"/>
          <w:marRight w:val="0"/>
          <w:marTop w:val="0"/>
          <w:marBottom w:val="0"/>
          <w:divBdr>
            <w:top w:val="none" w:sz="0" w:space="0" w:color="auto"/>
            <w:left w:val="none" w:sz="0" w:space="0" w:color="auto"/>
            <w:bottom w:val="none" w:sz="0" w:space="0" w:color="auto"/>
            <w:right w:val="none" w:sz="0" w:space="0" w:color="auto"/>
          </w:divBdr>
        </w:div>
        <w:div w:id="300161439">
          <w:marLeft w:val="640"/>
          <w:marRight w:val="0"/>
          <w:marTop w:val="0"/>
          <w:marBottom w:val="0"/>
          <w:divBdr>
            <w:top w:val="none" w:sz="0" w:space="0" w:color="auto"/>
            <w:left w:val="none" w:sz="0" w:space="0" w:color="auto"/>
            <w:bottom w:val="none" w:sz="0" w:space="0" w:color="auto"/>
            <w:right w:val="none" w:sz="0" w:space="0" w:color="auto"/>
          </w:divBdr>
        </w:div>
        <w:div w:id="1811946894">
          <w:marLeft w:val="640"/>
          <w:marRight w:val="0"/>
          <w:marTop w:val="0"/>
          <w:marBottom w:val="0"/>
          <w:divBdr>
            <w:top w:val="none" w:sz="0" w:space="0" w:color="auto"/>
            <w:left w:val="none" w:sz="0" w:space="0" w:color="auto"/>
            <w:bottom w:val="none" w:sz="0" w:space="0" w:color="auto"/>
            <w:right w:val="none" w:sz="0" w:space="0" w:color="auto"/>
          </w:divBdr>
        </w:div>
        <w:div w:id="2019384289">
          <w:marLeft w:val="640"/>
          <w:marRight w:val="0"/>
          <w:marTop w:val="0"/>
          <w:marBottom w:val="0"/>
          <w:divBdr>
            <w:top w:val="none" w:sz="0" w:space="0" w:color="auto"/>
            <w:left w:val="none" w:sz="0" w:space="0" w:color="auto"/>
            <w:bottom w:val="none" w:sz="0" w:space="0" w:color="auto"/>
            <w:right w:val="none" w:sz="0" w:space="0" w:color="auto"/>
          </w:divBdr>
        </w:div>
        <w:div w:id="2124106354">
          <w:marLeft w:val="640"/>
          <w:marRight w:val="0"/>
          <w:marTop w:val="0"/>
          <w:marBottom w:val="0"/>
          <w:divBdr>
            <w:top w:val="none" w:sz="0" w:space="0" w:color="auto"/>
            <w:left w:val="none" w:sz="0" w:space="0" w:color="auto"/>
            <w:bottom w:val="none" w:sz="0" w:space="0" w:color="auto"/>
            <w:right w:val="none" w:sz="0" w:space="0" w:color="auto"/>
          </w:divBdr>
        </w:div>
        <w:div w:id="1664581367">
          <w:marLeft w:val="640"/>
          <w:marRight w:val="0"/>
          <w:marTop w:val="0"/>
          <w:marBottom w:val="0"/>
          <w:divBdr>
            <w:top w:val="none" w:sz="0" w:space="0" w:color="auto"/>
            <w:left w:val="none" w:sz="0" w:space="0" w:color="auto"/>
            <w:bottom w:val="none" w:sz="0" w:space="0" w:color="auto"/>
            <w:right w:val="none" w:sz="0" w:space="0" w:color="auto"/>
          </w:divBdr>
        </w:div>
        <w:div w:id="937447738">
          <w:marLeft w:val="640"/>
          <w:marRight w:val="0"/>
          <w:marTop w:val="0"/>
          <w:marBottom w:val="0"/>
          <w:divBdr>
            <w:top w:val="none" w:sz="0" w:space="0" w:color="auto"/>
            <w:left w:val="none" w:sz="0" w:space="0" w:color="auto"/>
            <w:bottom w:val="none" w:sz="0" w:space="0" w:color="auto"/>
            <w:right w:val="none" w:sz="0" w:space="0" w:color="auto"/>
          </w:divBdr>
        </w:div>
        <w:div w:id="2126849383">
          <w:marLeft w:val="640"/>
          <w:marRight w:val="0"/>
          <w:marTop w:val="0"/>
          <w:marBottom w:val="0"/>
          <w:divBdr>
            <w:top w:val="none" w:sz="0" w:space="0" w:color="auto"/>
            <w:left w:val="none" w:sz="0" w:space="0" w:color="auto"/>
            <w:bottom w:val="none" w:sz="0" w:space="0" w:color="auto"/>
            <w:right w:val="none" w:sz="0" w:space="0" w:color="auto"/>
          </w:divBdr>
        </w:div>
        <w:div w:id="425687315">
          <w:marLeft w:val="640"/>
          <w:marRight w:val="0"/>
          <w:marTop w:val="0"/>
          <w:marBottom w:val="0"/>
          <w:divBdr>
            <w:top w:val="none" w:sz="0" w:space="0" w:color="auto"/>
            <w:left w:val="none" w:sz="0" w:space="0" w:color="auto"/>
            <w:bottom w:val="none" w:sz="0" w:space="0" w:color="auto"/>
            <w:right w:val="none" w:sz="0" w:space="0" w:color="auto"/>
          </w:divBdr>
        </w:div>
        <w:div w:id="151797928">
          <w:marLeft w:val="640"/>
          <w:marRight w:val="0"/>
          <w:marTop w:val="0"/>
          <w:marBottom w:val="0"/>
          <w:divBdr>
            <w:top w:val="none" w:sz="0" w:space="0" w:color="auto"/>
            <w:left w:val="none" w:sz="0" w:space="0" w:color="auto"/>
            <w:bottom w:val="none" w:sz="0" w:space="0" w:color="auto"/>
            <w:right w:val="none" w:sz="0" w:space="0" w:color="auto"/>
          </w:divBdr>
        </w:div>
        <w:div w:id="834146047">
          <w:marLeft w:val="640"/>
          <w:marRight w:val="0"/>
          <w:marTop w:val="0"/>
          <w:marBottom w:val="0"/>
          <w:divBdr>
            <w:top w:val="none" w:sz="0" w:space="0" w:color="auto"/>
            <w:left w:val="none" w:sz="0" w:space="0" w:color="auto"/>
            <w:bottom w:val="none" w:sz="0" w:space="0" w:color="auto"/>
            <w:right w:val="none" w:sz="0" w:space="0" w:color="auto"/>
          </w:divBdr>
        </w:div>
        <w:div w:id="1695378104">
          <w:marLeft w:val="640"/>
          <w:marRight w:val="0"/>
          <w:marTop w:val="0"/>
          <w:marBottom w:val="0"/>
          <w:divBdr>
            <w:top w:val="none" w:sz="0" w:space="0" w:color="auto"/>
            <w:left w:val="none" w:sz="0" w:space="0" w:color="auto"/>
            <w:bottom w:val="none" w:sz="0" w:space="0" w:color="auto"/>
            <w:right w:val="none" w:sz="0" w:space="0" w:color="auto"/>
          </w:divBdr>
        </w:div>
        <w:div w:id="144515687">
          <w:marLeft w:val="640"/>
          <w:marRight w:val="0"/>
          <w:marTop w:val="0"/>
          <w:marBottom w:val="0"/>
          <w:divBdr>
            <w:top w:val="none" w:sz="0" w:space="0" w:color="auto"/>
            <w:left w:val="none" w:sz="0" w:space="0" w:color="auto"/>
            <w:bottom w:val="none" w:sz="0" w:space="0" w:color="auto"/>
            <w:right w:val="none" w:sz="0" w:space="0" w:color="auto"/>
          </w:divBdr>
        </w:div>
        <w:div w:id="606156716">
          <w:marLeft w:val="640"/>
          <w:marRight w:val="0"/>
          <w:marTop w:val="0"/>
          <w:marBottom w:val="0"/>
          <w:divBdr>
            <w:top w:val="none" w:sz="0" w:space="0" w:color="auto"/>
            <w:left w:val="none" w:sz="0" w:space="0" w:color="auto"/>
            <w:bottom w:val="none" w:sz="0" w:space="0" w:color="auto"/>
            <w:right w:val="none" w:sz="0" w:space="0" w:color="auto"/>
          </w:divBdr>
        </w:div>
        <w:div w:id="534584381">
          <w:marLeft w:val="640"/>
          <w:marRight w:val="0"/>
          <w:marTop w:val="0"/>
          <w:marBottom w:val="0"/>
          <w:divBdr>
            <w:top w:val="none" w:sz="0" w:space="0" w:color="auto"/>
            <w:left w:val="none" w:sz="0" w:space="0" w:color="auto"/>
            <w:bottom w:val="none" w:sz="0" w:space="0" w:color="auto"/>
            <w:right w:val="none" w:sz="0" w:space="0" w:color="auto"/>
          </w:divBdr>
        </w:div>
        <w:div w:id="1501193205">
          <w:marLeft w:val="640"/>
          <w:marRight w:val="0"/>
          <w:marTop w:val="0"/>
          <w:marBottom w:val="0"/>
          <w:divBdr>
            <w:top w:val="none" w:sz="0" w:space="0" w:color="auto"/>
            <w:left w:val="none" w:sz="0" w:space="0" w:color="auto"/>
            <w:bottom w:val="none" w:sz="0" w:space="0" w:color="auto"/>
            <w:right w:val="none" w:sz="0" w:space="0" w:color="auto"/>
          </w:divBdr>
        </w:div>
        <w:div w:id="1409571718">
          <w:marLeft w:val="640"/>
          <w:marRight w:val="0"/>
          <w:marTop w:val="0"/>
          <w:marBottom w:val="0"/>
          <w:divBdr>
            <w:top w:val="none" w:sz="0" w:space="0" w:color="auto"/>
            <w:left w:val="none" w:sz="0" w:space="0" w:color="auto"/>
            <w:bottom w:val="none" w:sz="0" w:space="0" w:color="auto"/>
            <w:right w:val="none" w:sz="0" w:space="0" w:color="auto"/>
          </w:divBdr>
        </w:div>
        <w:div w:id="875587142">
          <w:marLeft w:val="640"/>
          <w:marRight w:val="0"/>
          <w:marTop w:val="0"/>
          <w:marBottom w:val="0"/>
          <w:divBdr>
            <w:top w:val="none" w:sz="0" w:space="0" w:color="auto"/>
            <w:left w:val="none" w:sz="0" w:space="0" w:color="auto"/>
            <w:bottom w:val="none" w:sz="0" w:space="0" w:color="auto"/>
            <w:right w:val="none" w:sz="0" w:space="0" w:color="auto"/>
          </w:divBdr>
        </w:div>
        <w:div w:id="339353541">
          <w:marLeft w:val="640"/>
          <w:marRight w:val="0"/>
          <w:marTop w:val="0"/>
          <w:marBottom w:val="0"/>
          <w:divBdr>
            <w:top w:val="none" w:sz="0" w:space="0" w:color="auto"/>
            <w:left w:val="none" w:sz="0" w:space="0" w:color="auto"/>
            <w:bottom w:val="none" w:sz="0" w:space="0" w:color="auto"/>
            <w:right w:val="none" w:sz="0" w:space="0" w:color="auto"/>
          </w:divBdr>
        </w:div>
        <w:div w:id="889875983">
          <w:marLeft w:val="640"/>
          <w:marRight w:val="0"/>
          <w:marTop w:val="0"/>
          <w:marBottom w:val="0"/>
          <w:divBdr>
            <w:top w:val="none" w:sz="0" w:space="0" w:color="auto"/>
            <w:left w:val="none" w:sz="0" w:space="0" w:color="auto"/>
            <w:bottom w:val="none" w:sz="0" w:space="0" w:color="auto"/>
            <w:right w:val="none" w:sz="0" w:space="0" w:color="auto"/>
          </w:divBdr>
        </w:div>
        <w:div w:id="1484003054">
          <w:marLeft w:val="640"/>
          <w:marRight w:val="0"/>
          <w:marTop w:val="0"/>
          <w:marBottom w:val="0"/>
          <w:divBdr>
            <w:top w:val="none" w:sz="0" w:space="0" w:color="auto"/>
            <w:left w:val="none" w:sz="0" w:space="0" w:color="auto"/>
            <w:bottom w:val="none" w:sz="0" w:space="0" w:color="auto"/>
            <w:right w:val="none" w:sz="0" w:space="0" w:color="auto"/>
          </w:divBdr>
        </w:div>
        <w:div w:id="478614230">
          <w:marLeft w:val="640"/>
          <w:marRight w:val="0"/>
          <w:marTop w:val="0"/>
          <w:marBottom w:val="0"/>
          <w:divBdr>
            <w:top w:val="none" w:sz="0" w:space="0" w:color="auto"/>
            <w:left w:val="none" w:sz="0" w:space="0" w:color="auto"/>
            <w:bottom w:val="none" w:sz="0" w:space="0" w:color="auto"/>
            <w:right w:val="none" w:sz="0" w:space="0" w:color="auto"/>
          </w:divBdr>
        </w:div>
        <w:div w:id="357631461">
          <w:marLeft w:val="640"/>
          <w:marRight w:val="0"/>
          <w:marTop w:val="0"/>
          <w:marBottom w:val="0"/>
          <w:divBdr>
            <w:top w:val="none" w:sz="0" w:space="0" w:color="auto"/>
            <w:left w:val="none" w:sz="0" w:space="0" w:color="auto"/>
            <w:bottom w:val="none" w:sz="0" w:space="0" w:color="auto"/>
            <w:right w:val="none" w:sz="0" w:space="0" w:color="auto"/>
          </w:divBdr>
        </w:div>
        <w:div w:id="687832141">
          <w:marLeft w:val="640"/>
          <w:marRight w:val="0"/>
          <w:marTop w:val="0"/>
          <w:marBottom w:val="0"/>
          <w:divBdr>
            <w:top w:val="none" w:sz="0" w:space="0" w:color="auto"/>
            <w:left w:val="none" w:sz="0" w:space="0" w:color="auto"/>
            <w:bottom w:val="none" w:sz="0" w:space="0" w:color="auto"/>
            <w:right w:val="none" w:sz="0" w:space="0" w:color="auto"/>
          </w:divBdr>
        </w:div>
        <w:div w:id="517426268">
          <w:marLeft w:val="640"/>
          <w:marRight w:val="0"/>
          <w:marTop w:val="0"/>
          <w:marBottom w:val="0"/>
          <w:divBdr>
            <w:top w:val="none" w:sz="0" w:space="0" w:color="auto"/>
            <w:left w:val="none" w:sz="0" w:space="0" w:color="auto"/>
            <w:bottom w:val="none" w:sz="0" w:space="0" w:color="auto"/>
            <w:right w:val="none" w:sz="0" w:space="0" w:color="auto"/>
          </w:divBdr>
        </w:div>
        <w:div w:id="1574121847">
          <w:marLeft w:val="640"/>
          <w:marRight w:val="0"/>
          <w:marTop w:val="0"/>
          <w:marBottom w:val="0"/>
          <w:divBdr>
            <w:top w:val="none" w:sz="0" w:space="0" w:color="auto"/>
            <w:left w:val="none" w:sz="0" w:space="0" w:color="auto"/>
            <w:bottom w:val="none" w:sz="0" w:space="0" w:color="auto"/>
            <w:right w:val="none" w:sz="0" w:space="0" w:color="auto"/>
          </w:divBdr>
        </w:div>
        <w:div w:id="2049332707">
          <w:marLeft w:val="640"/>
          <w:marRight w:val="0"/>
          <w:marTop w:val="0"/>
          <w:marBottom w:val="0"/>
          <w:divBdr>
            <w:top w:val="none" w:sz="0" w:space="0" w:color="auto"/>
            <w:left w:val="none" w:sz="0" w:space="0" w:color="auto"/>
            <w:bottom w:val="none" w:sz="0" w:space="0" w:color="auto"/>
            <w:right w:val="none" w:sz="0" w:space="0" w:color="auto"/>
          </w:divBdr>
        </w:div>
        <w:div w:id="1117024218">
          <w:marLeft w:val="640"/>
          <w:marRight w:val="0"/>
          <w:marTop w:val="0"/>
          <w:marBottom w:val="0"/>
          <w:divBdr>
            <w:top w:val="none" w:sz="0" w:space="0" w:color="auto"/>
            <w:left w:val="none" w:sz="0" w:space="0" w:color="auto"/>
            <w:bottom w:val="none" w:sz="0" w:space="0" w:color="auto"/>
            <w:right w:val="none" w:sz="0" w:space="0" w:color="auto"/>
          </w:divBdr>
        </w:div>
        <w:div w:id="507251537">
          <w:marLeft w:val="640"/>
          <w:marRight w:val="0"/>
          <w:marTop w:val="0"/>
          <w:marBottom w:val="0"/>
          <w:divBdr>
            <w:top w:val="none" w:sz="0" w:space="0" w:color="auto"/>
            <w:left w:val="none" w:sz="0" w:space="0" w:color="auto"/>
            <w:bottom w:val="none" w:sz="0" w:space="0" w:color="auto"/>
            <w:right w:val="none" w:sz="0" w:space="0" w:color="auto"/>
          </w:divBdr>
        </w:div>
        <w:div w:id="962271635">
          <w:marLeft w:val="640"/>
          <w:marRight w:val="0"/>
          <w:marTop w:val="0"/>
          <w:marBottom w:val="0"/>
          <w:divBdr>
            <w:top w:val="none" w:sz="0" w:space="0" w:color="auto"/>
            <w:left w:val="none" w:sz="0" w:space="0" w:color="auto"/>
            <w:bottom w:val="none" w:sz="0" w:space="0" w:color="auto"/>
            <w:right w:val="none" w:sz="0" w:space="0" w:color="auto"/>
          </w:divBdr>
        </w:div>
        <w:div w:id="1581863294">
          <w:marLeft w:val="640"/>
          <w:marRight w:val="0"/>
          <w:marTop w:val="0"/>
          <w:marBottom w:val="0"/>
          <w:divBdr>
            <w:top w:val="none" w:sz="0" w:space="0" w:color="auto"/>
            <w:left w:val="none" w:sz="0" w:space="0" w:color="auto"/>
            <w:bottom w:val="none" w:sz="0" w:space="0" w:color="auto"/>
            <w:right w:val="none" w:sz="0" w:space="0" w:color="auto"/>
          </w:divBdr>
        </w:div>
        <w:div w:id="786969029">
          <w:marLeft w:val="640"/>
          <w:marRight w:val="0"/>
          <w:marTop w:val="0"/>
          <w:marBottom w:val="0"/>
          <w:divBdr>
            <w:top w:val="none" w:sz="0" w:space="0" w:color="auto"/>
            <w:left w:val="none" w:sz="0" w:space="0" w:color="auto"/>
            <w:bottom w:val="none" w:sz="0" w:space="0" w:color="auto"/>
            <w:right w:val="none" w:sz="0" w:space="0" w:color="auto"/>
          </w:divBdr>
        </w:div>
        <w:div w:id="1566723960">
          <w:marLeft w:val="640"/>
          <w:marRight w:val="0"/>
          <w:marTop w:val="0"/>
          <w:marBottom w:val="0"/>
          <w:divBdr>
            <w:top w:val="none" w:sz="0" w:space="0" w:color="auto"/>
            <w:left w:val="none" w:sz="0" w:space="0" w:color="auto"/>
            <w:bottom w:val="none" w:sz="0" w:space="0" w:color="auto"/>
            <w:right w:val="none" w:sz="0" w:space="0" w:color="auto"/>
          </w:divBdr>
        </w:div>
        <w:div w:id="240217562">
          <w:marLeft w:val="640"/>
          <w:marRight w:val="0"/>
          <w:marTop w:val="0"/>
          <w:marBottom w:val="0"/>
          <w:divBdr>
            <w:top w:val="none" w:sz="0" w:space="0" w:color="auto"/>
            <w:left w:val="none" w:sz="0" w:space="0" w:color="auto"/>
            <w:bottom w:val="none" w:sz="0" w:space="0" w:color="auto"/>
            <w:right w:val="none" w:sz="0" w:space="0" w:color="auto"/>
          </w:divBdr>
        </w:div>
        <w:div w:id="827287985">
          <w:marLeft w:val="640"/>
          <w:marRight w:val="0"/>
          <w:marTop w:val="0"/>
          <w:marBottom w:val="0"/>
          <w:divBdr>
            <w:top w:val="none" w:sz="0" w:space="0" w:color="auto"/>
            <w:left w:val="none" w:sz="0" w:space="0" w:color="auto"/>
            <w:bottom w:val="none" w:sz="0" w:space="0" w:color="auto"/>
            <w:right w:val="none" w:sz="0" w:space="0" w:color="auto"/>
          </w:divBdr>
        </w:div>
        <w:div w:id="1433941477">
          <w:marLeft w:val="640"/>
          <w:marRight w:val="0"/>
          <w:marTop w:val="0"/>
          <w:marBottom w:val="0"/>
          <w:divBdr>
            <w:top w:val="none" w:sz="0" w:space="0" w:color="auto"/>
            <w:left w:val="none" w:sz="0" w:space="0" w:color="auto"/>
            <w:bottom w:val="none" w:sz="0" w:space="0" w:color="auto"/>
            <w:right w:val="none" w:sz="0" w:space="0" w:color="auto"/>
          </w:divBdr>
        </w:div>
        <w:div w:id="186068637">
          <w:marLeft w:val="640"/>
          <w:marRight w:val="0"/>
          <w:marTop w:val="0"/>
          <w:marBottom w:val="0"/>
          <w:divBdr>
            <w:top w:val="none" w:sz="0" w:space="0" w:color="auto"/>
            <w:left w:val="none" w:sz="0" w:space="0" w:color="auto"/>
            <w:bottom w:val="none" w:sz="0" w:space="0" w:color="auto"/>
            <w:right w:val="none" w:sz="0" w:space="0" w:color="auto"/>
          </w:divBdr>
        </w:div>
        <w:div w:id="778568599">
          <w:marLeft w:val="640"/>
          <w:marRight w:val="0"/>
          <w:marTop w:val="0"/>
          <w:marBottom w:val="0"/>
          <w:divBdr>
            <w:top w:val="none" w:sz="0" w:space="0" w:color="auto"/>
            <w:left w:val="none" w:sz="0" w:space="0" w:color="auto"/>
            <w:bottom w:val="none" w:sz="0" w:space="0" w:color="auto"/>
            <w:right w:val="none" w:sz="0" w:space="0" w:color="auto"/>
          </w:divBdr>
        </w:div>
        <w:div w:id="681518888">
          <w:marLeft w:val="640"/>
          <w:marRight w:val="0"/>
          <w:marTop w:val="0"/>
          <w:marBottom w:val="0"/>
          <w:divBdr>
            <w:top w:val="none" w:sz="0" w:space="0" w:color="auto"/>
            <w:left w:val="none" w:sz="0" w:space="0" w:color="auto"/>
            <w:bottom w:val="none" w:sz="0" w:space="0" w:color="auto"/>
            <w:right w:val="none" w:sz="0" w:space="0" w:color="auto"/>
          </w:divBdr>
        </w:div>
        <w:div w:id="1626961100">
          <w:marLeft w:val="640"/>
          <w:marRight w:val="0"/>
          <w:marTop w:val="0"/>
          <w:marBottom w:val="0"/>
          <w:divBdr>
            <w:top w:val="none" w:sz="0" w:space="0" w:color="auto"/>
            <w:left w:val="none" w:sz="0" w:space="0" w:color="auto"/>
            <w:bottom w:val="none" w:sz="0" w:space="0" w:color="auto"/>
            <w:right w:val="none" w:sz="0" w:space="0" w:color="auto"/>
          </w:divBdr>
        </w:div>
        <w:div w:id="880092173">
          <w:marLeft w:val="640"/>
          <w:marRight w:val="0"/>
          <w:marTop w:val="0"/>
          <w:marBottom w:val="0"/>
          <w:divBdr>
            <w:top w:val="none" w:sz="0" w:space="0" w:color="auto"/>
            <w:left w:val="none" w:sz="0" w:space="0" w:color="auto"/>
            <w:bottom w:val="none" w:sz="0" w:space="0" w:color="auto"/>
            <w:right w:val="none" w:sz="0" w:space="0" w:color="auto"/>
          </w:divBdr>
        </w:div>
        <w:div w:id="1703633566">
          <w:marLeft w:val="640"/>
          <w:marRight w:val="0"/>
          <w:marTop w:val="0"/>
          <w:marBottom w:val="0"/>
          <w:divBdr>
            <w:top w:val="none" w:sz="0" w:space="0" w:color="auto"/>
            <w:left w:val="none" w:sz="0" w:space="0" w:color="auto"/>
            <w:bottom w:val="none" w:sz="0" w:space="0" w:color="auto"/>
            <w:right w:val="none" w:sz="0" w:space="0" w:color="auto"/>
          </w:divBdr>
        </w:div>
        <w:div w:id="1594439832">
          <w:marLeft w:val="640"/>
          <w:marRight w:val="0"/>
          <w:marTop w:val="0"/>
          <w:marBottom w:val="0"/>
          <w:divBdr>
            <w:top w:val="none" w:sz="0" w:space="0" w:color="auto"/>
            <w:left w:val="none" w:sz="0" w:space="0" w:color="auto"/>
            <w:bottom w:val="none" w:sz="0" w:space="0" w:color="auto"/>
            <w:right w:val="none" w:sz="0" w:space="0" w:color="auto"/>
          </w:divBdr>
        </w:div>
        <w:div w:id="637683997">
          <w:marLeft w:val="640"/>
          <w:marRight w:val="0"/>
          <w:marTop w:val="0"/>
          <w:marBottom w:val="0"/>
          <w:divBdr>
            <w:top w:val="none" w:sz="0" w:space="0" w:color="auto"/>
            <w:left w:val="none" w:sz="0" w:space="0" w:color="auto"/>
            <w:bottom w:val="none" w:sz="0" w:space="0" w:color="auto"/>
            <w:right w:val="none" w:sz="0" w:space="0" w:color="auto"/>
          </w:divBdr>
        </w:div>
        <w:div w:id="2039116655">
          <w:marLeft w:val="640"/>
          <w:marRight w:val="0"/>
          <w:marTop w:val="0"/>
          <w:marBottom w:val="0"/>
          <w:divBdr>
            <w:top w:val="none" w:sz="0" w:space="0" w:color="auto"/>
            <w:left w:val="none" w:sz="0" w:space="0" w:color="auto"/>
            <w:bottom w:val="none" w:sz="0" w:space="0" w:color="auto"/>
            <w:right w:val="none" w:sz="0" w:space="0" w:color="auto"/>
          </w:divBdr>
        </w:div>
        <w:div w:id="1024135414">
          <w:marLeft w:val="640"/>
          <w:marRight w:val="0"/>
          <w:marTop w:val="0"/>
          <w:marBottom w:val="0"/>
          <w:divBdr>
            <w:top w:val="none" w:sz="0" w:space="0" w:color="auto"/>
            <w:left w:val="none" w:sz="0" w:space="0" w:color="auto"/>
            <w:bottom w:val="none" w:sz="0" w:space="0" w:color="auto"/>
            <w:right w:val="none" w:sz="0" w:space="0" w:color="auto"/>
          </w:divBdr>
        </w:div>
        <w:div w:id="185410892">
          <w:marLeft w:val="640"/>
          <w:marRight w:val="0"/>
          <w:marTop w:val="0"/>
          <w:marBottom w:val="0"/>
          <w:divBdr>
            <w:top w:val="none" w:sz="0" w:space="0" w:color="auto"/>
            <w:left w:val="none" w:sz="0" w:space="0" w:color="auto"/>
            <w:bottom w:val="none" w:sz="0" w:space="0" w:color="auto"/>
            <w:right w:val="none" w:sz="0" w:space="0" w:color="auto"/>
          </w:divBdr>
        </w:div>
        <w:div w:id="1273125163">
          <w:marLeft w:val="640"/>
          <w:marRight w:val="0"/>
          <w:marTop w:val="0"/>
          <w:marBottom w:val="0"/>
          <w:divBdr>
            <w:top w:val="none" w:sz="0" w:space="0" w:color="auto"/>
            <w:left w:val="none" w:sz="0" w:space="0" w:color="auto"/>
            <w:bottom w:val="none" w:sz="0" w:space="0" w:color="auto"/>
            <w:right w:val="none" w:sz="0" w:space="0" w:color="auto"/>
          </w:divBdr>
        </w:div>
        <w:div w:id="368528736">
          <w:marLeft w:val="640"/>
          <w:marRight w:val="0"/>
          <w:marTop w:val="0"/>
          <w:marBottom w:val="0"/>
          <w:divBdr>
            <w:top w:val="none" w:sz="0" w:space="0" w:color="auto"/>
            <w:left w:val="none" w:sz="0" w:space="0" w:color="auto"/>
            <w:bottom w:val="none" w:sz="0" w:space="0" w:color="auto"/>
            <w:right w:val="none" w:sz="0" w:space="0" w:color="auto"/>
          </w:divBdr>
        </w:div>
        <w:div w:id="1098328006">
          <w:marLeft w:val="640"/>
          <w:marRight w:val="0"/>
          <w:marTop w:val="0"/>
          <w:marBottom w:val="0"/>
          <w:divBdr>
            <w:top w:val="none" w:sz="0" w:space="0" w:color="auto"/>
            <w:left w:val="none" w:sz="0" w:space="0" w:color="auto"/>
            <w:bottom w:val="none" w:sz="0" w:space="0" w:color="auto"/>
            <w:right w:val="none" w:sz="0" w:space="0" w:color="auto"/>
          </w:divBdr>
        </w:div>
        <w:div w:id="838232239">
          <w:marLeft w:val="640"/>
          <w:marRight w:val="0"/>
          <w:marTop w:val="0"/>
          <w:marBottom w:val="0"/>
          <w:divBdr>
            <w:top w:val="none" w:sz="0" w:space="0" w:color="auto"/>
            <w:left w:val="none" w:sz="0" w:space="0" w:color="auto"/>
            <w:bottom w:val="none" w:sz="0" w:space="0" w:color="auto"/>
            <w:right w:val="none" w:sz="0" w:space="0" w:color="auto"/>
          </w:divBdr>
        </w:div>
        <w:div w:id="924612287">
          <w:marLeft w:val="640"/>
          <w:marRight w:val="0"/>
          <w:marTop w:val="0"/>
          <w:marBottom w:val="0"/>
          <w:divBdr>
            <w:top w:val="none" w:sz="0" w:space="0" w:color="auto"/>
            <w:left w:val="none" w:sz="0" w:space="0" w:color="auto"/>
            <w:bottom w:val="none" w:sz="0" w:space="0" w:color="auto"/>
            <w:right w:val="none" w:sz="0" w:space="0" w:color="auto"/>
          </w:divBdr>
        </w:div>
        <w:div w:id="404301632">
          <w:marLeft w:val="640"/>
          <w:marRight w:val="0"/>
          <w:marTop w:val="0"/>
          <w:marBottom w:val="0"/>
          <w:divBdr>
            <w:top w:val="none" w:sz="0" w:space="0" w:color="auto"/>
            <w:left w:val="none" w:sz="0" w:space="0" w:color="auto"/>
            <w:bottom w:val="none" w:sz="0" w:space="0" w:color="auto"/>
            <w:right w:val="none" w:sz="0" w:space="0" w:color="auto"/>
          </w:divBdr>
        </w:div>
        <w:div w:id="308482982">
          <w:marLeft w:val="640"/>
          <w:marRight w:val="0"/>
          <w:marTop w:val="0"/>
          <w:marBottom w:val="0"/>
          <w:divBdr>
            <w:top w:val="none" w:sz="0" w:space="0" w:color="auto"/>
            <w:left w:val="none" w:sz="0" w:space="0" w:color="auto"/>
            <w:bottom w:val="none" w:sz="0" w:space="0" w:color="auto"/>
            <w:right w:val="none" w:sz="0" w:space="0" w:color="auto"/>
          </w:divBdr>
        </w:div>
        <w:div w:id="731539497">
          <w:marLeft w:val="640"/>
          <w:marRight w:val="0"/>
          <w:marTop w:val="0"/>
          <w:marBottom w:val="0"/>
          <w:divBdr>
            <w:top w:val="none" w:sz="0" w:space="0" w:color="auto"/>
            <w:left w:val="none" w:sz="0" w:space="0" w:color="auto"/>
            <w:bottom w:val="none" w:sz="0" w:space="0" w:color="auto"/>
            <w:right w:val="none" w:sz="0" w:space="0" w:color="auto"/>
          </w:divBdr>
        </w:div>
        <w:div w:id="408163278">
          <w:marLeft w:val="640"/>
          <w:marRight w:val="0"/>
          <w:marTop w:val="0"/>
          <w:marBottom w:val="0"/>
          <w:divBdr>
            <w:top w:val="none" w:sz="0" w:space="0" w:color="auto"/>
            <w:left w:val="none" w:sz="0" w:space="0" w:color="auto"/>
            <w:bottom w:val="none" w:sz="0" w:space="0" w:color="auto"/>
            <w:right w:val="none" w:sz="0" w:space="0" w:color="auto"/>
          </w:divBdr>
        </w:div>
        <w:div w:id="65346231">
          <w:marLeft w:val="640"/>
          <w:marRight w:val="0"/>
          <w:marTop w:val="0"/>
          <w:marBottom w:val="0"/>
          <w:divBdr>
            <w:top w:val="none" w:sz="0" w:space="0" w:color="auto"/>
            <w:left w:val="none" w:sz="0" w:space="0" w:color="auto"/>
            <w:bottom w:val="none" w:sz="0" w:space="0" w:color="auto"/>
            <w:right w:val="none" w:sz="0" w:space="0" w:color="auto"/>
          </w:divBdr>
        </w:div>
        <w:div w:id="1897274328">
          <w:marLeft w:val="640"/>
          <w:marRight w:val="0"/>
          <w:marTop w:val="0"/>
          <w:marBottom w:val="0"/>
          <w:divBdr>
            <w:top w:val="none" w:sz="0" w:space="0" w:color="auto"/>
            <w:left w:val="none" w:sz="0" w:space="0" w:color="auto"/>
            <w:bottom w:val="none" w:sz="0" w:space="0" w:color="auto"/>
            <w:right w:val="none" w:sz="0" w:space="0" w:color="auto"/>
          </w:divBdr>
        </w:div>
        <w:div w:id="447820620">
          <w:marLeft w:val="640"/>
          <w:marRight w:val="0"/>
          <w:marTop w:val="0"/>
          <w:marBottom w:val="0"/>
          <w:divBdr>
            <w:top w:val="none" w:sz="0" w:space="0" w:color="auto"/>
            <w:left w:val="none" w:sz="0" w:space="0" w:color="auto"/>
            <w:bottom w:val="none" w:sz="0" w:space="0" w:color="auto"/>
            <w:right w:val="none" w:sz="0" w:space="0" w:color="auto"/>
          </w:divBdr>
        </w:div>
        <w:div w:id="729839021">
          <w:marLeft w:val="640"/>
          <w:marRight w:val="0"/>
          <w:marTop w:val="0"/>
          <w:marBottom w:val="0"/>
          <w:divBdr>
            <w:top w:val="none" w:sz="0" w:space="0" w:color="auto"/>
            <w:left w:val="none" w:sz="0" w:space="0" w:color="auto"/>
            <w:bottom w:val="none" w:sz="0" w:space="0" w:color="auto"/>
            <w:right w:val="none" w:sz="0" w:space="0" w:color="auto"/>
          </w:divBdr>
        </w:div>
        <w:div w:id="1708338635">
          <w:marLeft w:val="640"/>
          <w:marRight w:val="0"/>
          <w:marTop w:val="0"/>
          <w:marBottom w:val="0"/>
          <w:divBdr>
            <w:top w:val="none" w:sz="0" w:space="0" w:color="auto"/>
            <w:left w:val="none" w:sz="0" w:space="0" w:color="auto"/>
            <w:bottom w:val="none" w:sz="0" w:space="0" w:color="auto"/>
            <w:right w:val="none" w:sz="0" w:space="0" w:color="auto"/>
          </w:divBdr>
        </w:div>
        <w:div w:id="2106799377">
          <w:marLeft w:val="640"/>
          <w:marRight w:val="0"/>
          <w:marTop w:val="0"/>
          <w:marBottom w:val="0"/>
          <w:divBdr>
            <w:top w:val="none" w:sz="0" w:space="0" w:color="auto"/>
            <w:left w:val="none" w:sz="0" w:space="0" w:color="auto"/>
            <w:bottom w:val="none" w:sz="0" w:space="0" w:color="auto"/>
            <w:right w:val="none" w:sz="0" w:space="0" w:color="auto"/>
          </w:divBdr>
        </w:div>
        <w:div w:id="1457021634">
          <w:marLeft w:val="640"/>
          <w:marRight w:val="0"/>
          <w:marTop w:val="0"/>
          <w:marBottom w:val="0"/>
          <w:divBdr>
            <w:top w:val="none" w:sz="0" w:space="0" w:color="auto"/>
            <w:left w:val="none" w:sz="0" w:space="0" w:color="auto"/>
            <w:bottom w:val="none" w:sz="0" w:space="0" w:color="auto"/>
            <w:right w:val="none" w:sz="0" w:space="0" w:color="auto"/>
          </w:divBdr>
        </w:div>
        <w:div w:id="1121457685">
          <w:marLeft w:val="640"/>
          <w:marRight w:val="0"/>
          <w:marTop w:val="0"/>
          <w:marBottom w:val="0"/>
          <w:divBdr>
            <w:top w:val="none" w:sz="0" w:space="0" w:color="auto"/>
            <w:left w:val="none" w:sz="0" w:space="0" w:color="auto"/>
            <w:bottom w:val="none" w:sz="0" w:space="0" w:color="auto"/>
            <w:right w:val="none" w:sz="0" w:space="0" w:color="auto"/>
          </w:divBdr>
        </w:div>
        <w:div w:id="510873302">
          <w:marLeft w:val="640"/>
          <w:marRight w:val="0"/>
          <w:marTop w:val="0"/>
          <w:marBottom w:val="0"/>
          <w:divBdr>
            <w:top w:val="none" w:sz="0" w:space="0" w:color="auto"/>
            <w:left w:val="none" w:sz="0" w:space="0" w:color="auto"/>
            <w:bottom w:val="none" w:sz="0" w:space="0" w:color="auto"/>
            <w:right w:val="none" w:sz="0" w:space="0" w:color="auto"/>
          </w:divBdr>
        </w:div>
        <w:div w:id="653680279">
          <w:marLeft w:val="640"/>
          <w:marRight w:val="0"/>
          <w:marTop w:val="0"/>
          <w:marBottom w:val="0"/>
          <w:divBdr>
            <w:top w:val="none" w:sz="0" w:space="0" w:color="auto"/>
            <w:left w:val="none" w:sz="0" w:space="0" w:color="auto"/>
            <w:bottom w:val="none" w:sz="0" w:space="0" w:color="auto"/>
            <w:right w:val="none" w:sz="0" w:space="0" w:color="auto"/>
          </w:divBdr>
        </w:div>
        <w:div w:id="32772065">
          <w:marLeft w:val="640"/>
          <w:marRight w:val="0"/>
          <w:marTop w:val="0"/>
          <w:marBottom w:val="0"/>
          <w:divBdr>
            <w:top w:val="none" w:sz="0" w:space="0" w:color="auto"/>
            <w:left w:val="none" w:sz="0" w:space="0" w:color="auto"/>
            <w:bottom w:val="none" w:sz="0" w:space="0" w:color="auto"/>
            <w:right w:val="none" w:sz="0" w:space="0" w:color="auto"/>
          </w:divBdr>
        </w:div>
        <w:div w:id="1823423113">
          <w:marLeft w:val="640"/>
          <w:marRight w:val="0"/>
          <w:marTop w:val="0"/>
          <w:marBottom w:val="0"/>
          <w:divBdr>
            <w:top w:val="none" w:sz="0" w:space="0" w:color="auto"/>
            <w:left w:val="none" w:sz="0" w:space="0" w:color="auto"/>
            <w:bottom w:val="none" w:sz="0" w:space="0" w:color="auto"/>
            <w:right w:val="none" w:sz="0" w:space="0" w:color="auto"/>
          </w:divBdr>
        </w:div>
        <w:div w:id="2034307724">
          <w:marLeft w:val="640"/>
          <w:marRight w:val="0"/>
          <w:marTop w:val="0"/>
          <w:marBottom w:val="0"/>
          <w:divBdr>
            <w:top w:val="none" w:sz="0" w:space="0" w:color="auto"/>
            <w:left w:val="none" w:sz="0" w:space="0" w:color="auto"/>
            <w:bottom w:val="none" w:sz="0" w:space="0" w:color="auto"/>
            <w:right w:val="none" w:sz="0" w:space="0" w:color="auto"/>
          </w:divBdr>
        </w:div>
        <w:div w:id="820734228">
          <w:marLeft w:val="640"/>
          <w:marRight w:val="0"/>
          <w:marTop w:val="0"/>
          <w:marBottom w:val="0"/>
          <w:divBdr>
            <w:top w:val="none" w:sz="0" w:space="0" w:color="auto"/>
            <w:left w:val="none" w:sz="0" w:space="0" w:color="auto"/>
            <w:bottom w:val="none" w:sz="0" w:space="0" w:color="auto"/>
            <w:right w:val="none" w:sz="0" w:space="0" w:color="auto"/>
          </w:divBdr>
        </w:div>
        <w:div w:id="40443489">
          <w:marLeft w:val="640"/>
          <w:marRight w:val="0"/>
          <w:marTop w:val="0"/>
          <w:marBottom w:val="0"/>
          <w:divBdr>
            <w:top w:val="none" w:sz="0" w:space="0" w:color="auto"/>
            <w:left w:val="none" w:sz="0" w:space="0" w:color="auto"/>
            <w:bottom w:val="none" w:sz="0" w:space="0" w:color="auto"/>
            <w:right w:val="none" w:sz="0" w:space="0" w:color="auto"/>
          </w:divBdr>
        </w:div>
        <w:div w:id="2020962556">
          <w:marLeft w:val="640"/>
          <w:marRight w:val="0"/>
          <w:marTop w:val="0"/>
          <w:marBottom w:val="0"/>
          <w:divBdr>
            <w:top w:val="none" w:sz="0" w:space="0" w:color="auto"/>
            <w:left w:val="none" w:sz="0" w:space="0" w:color="auto"/>
            <w:bottom w:val="none" w:sz="0" w:space="0" w:color="auto"/>
            <w:right w:val="none" w:sz="0" w:space="0" w:color="auto"/>
          </w:divBdr>
        </w:div>
        <w:div w:id="1902642548">
          <w:marLeft w:val="640"/>
          <w:marRight w:val="0"/>
          <w:marTop w:val="0"/>
          <w:marBottom w:val="0"/>
          <w:divBdr>
            <w:top w:val="none" w:sz="0" w:space="0" w:color="auto"/>
            <w:left w:val="none" w:sz="0" w:space="0" w:color="auto"/>
            <w:bottom w:val="none" w:sz="0" w:space="0" w:color="auto"/>
            <w:right w:val="none" w:sz="0" w:space="0" w:color="auto"/>
          </w:divBdr>
        </w:div>
        <w:div w:id="1319916617">
          <w:marLeft w:val="640"/>
          <w:marRight w:val="0"/>
          <w:marTop w:val="0"/>
          <w:marBottom w:val="0"/>
          <w:divBdr>
            <w:top w:val="none" w:sz="0" w:space="0" w:color="auto"/>
            <w:left w:val="none" w:sz="0" w:space="0" w:color="auto"/>
            <w:bottom w:val="none" w:sz="0" w:space="0" w:color="auto"/>
            <w:right w:val="none" w:sz="0" w:space="0" w:color="auto"/>
          </w:divBdr>
        </w:div>
        <w:div w:id="434449100">
          <w:marLeft w:val="640"/>
          <w:marRight w:val="0"/>
          <w:marTop w:val="0"/>
          <w:marBottom w:val="0"/>
          <w:divBdr>
            <w:top w:val="none" w:sz="0" w:space="0" w:color="auto"/>
            <w:left w:val="none" w:sz="0" w:space="0" w:color="auto"/>
            <w:bottom w:val="none" w:sz="0" w:space="0" w:color="auto"/>
            <w:right w:val="none" w:sz="0" w:space="0" w:color="auto"/>
          </w:divBdr>
        </w:div>
        <w:div w:id="681931481">
          <w:marLeft w:val="640"/>
          <w:marRight w:val="0"/>
          <w:marTop w:val="0"/>
          <w:marBottom w:val="0"/>
          <w:divBdr>
            <w:top w:val="none" w:sz="0" w:space="0" w:color="auto"/>
            <w:left w:val="none" w:sz="0" w:space="0" w:color="auto"/>
            <w:bottom w:val="none" w:sz="0" w:space="0" w:color="auto"/>
            <w:right w:val="none" w:sz="0" w:space="0" w:color="auto"/>
          </w:divBdr>
        </w:div>
        <w:div w:id="2043742240">
          <w:marLeft w:val="640"/>
          <w:marRight w:val="0"/>
          <w:marTop w:val="0"/>
          <w:marBottom w:val="0"/>
          <w:divBdr>
            <w:top w:val="none" w:sz="0" w:space="0" w:color="auto"/>
            <w:left w:val="none" w:sz="0" w:space="0" w:color="auto"/>
            <w:bottom w:val="none" w:sz="0" w:space="0" w:color="auto"/>
            <w:right w:val="none" w:sz="0" w:space="0" w:color="auto"/>
          </w:divBdr>
        </w:div>
        <w:div w:id="154342862">
          <w:marLeft w:val="640"/>
          <w:marRight w:val="0"/>
          <w:marTop w:val="0"/>
          <w:marBottom w:val="0"/>
          <w:divBdr>
            <w:top w:val="none" w:sz="0" w:space="0" w:color="auto"/>
            <w:left w:val="none" w:sz="0" w:space="0" w:color="auto"/>
            <w:bottom w:val="none" w:sz="0" w:space="0" w:color="auto"/>
            <w:right w:val="none" w:sz="0" w:space="0" w:color="auto"/>
          </w:divBdr>
        </w:div>
        <w:div w:id="1434520652">
          <w:marLeft w:val="640"/>
          <w:marRight w:val="0"/>
          <w:marTop w:val="0"/>
          <w:marBottom w:val="0"/>
          <w:divBdr>
            <w:top w:val="none" w:sz="0" w:space="0" w:color="auto"/>
            <w:left w:val="none" w:sz="0" w:space="0" w:color="auto"/>
            <w:bottom w:val="none" w:sz="0" w:space="0" w:color="auto"/>
            <w:right w:val="none" w:sz="0" w:space="0" w:color="auto"/>
          </w:divBdr>
        </w:div>
        <w:div w:id="706414841">
          <w:marLeft w:val="640"/>
          <w:marRight w:val="0"/>
          <w:marTop w:val="0"/>
          <w:marBottom w:val="0"/>
          <w:divBdr>
            <w:top w:val="none" w:sz="0" w:space="0" w:color="auto"/>
            <w:left w:val="none" w:sz="0" w:space="0" w:color="auto"/>
            <w:bottom w:val="none" w:sz="0" w:space="0" w:color="auto"/>
            <w:right w:val="none" w:sz="0" w:space="0" w:color="auto"/>
          </w:divBdr>
        </w:div>
        <w:div w:id="360475194">
          <w:marLeft w:val="640"/>
          <w:marRight w:val="0"/>
          <w:marTop w:val="0"/>
          <w:marBottom w:val="0"/>
          <w:divBdr>
            <w:top w:val="none" w:sz="0" w:space="0" w:color="auto"/>
            <w:left w:val="none" w:sz="0" w:space="0" w:color="auto"/>
            <w:bottom w:val="none" w:sz="0" w:space="0" w:color="auto"/>
            <w:right w:val="none" w:sz="0" w:space="0" w:color="auto"/>
          </w:divBdr>
        </w:div>
        <w:div w:id="1789617689">
          <w:marLeft w:val="640"/>
          <w:marRight w:val="0"/>
          <w:marTop w:val="0"/>
          <w:marBottom w:val="0"/>
          <w:divBdr>
            <w:top w:val="none" w:sz="0" w:space="0" w:color="auto"/>
            <w:left w:val="none" w:sz="0" w:space="0" w:color="auto"/>
            <w:bottom w:val="none" w:sz="0" w:space="0" w:color="auto"/>
            <w:right w:val="none" w:sz="0" w:space="0" w:color="auto"/>
          </w:divBdr>
        </w:div>
        <w:div w:id="1605109073">
          <w:marLeft w:val="640"/>
          <w:marRight w:val="0"/>
          <w:marTop w:val="0"/>
          <w:marBottom w:val="0"/>
          <w:divBdr>
            <w:top w:val="none" w:sz="0" w:space="0" w:color="auto"/>
            <w:left w:val="none" w:sz="0" w:space="0" w:color="auto"/>
            <w:bottom w:val="none" w:sz="0" w:space="0" w:color="auto"/>
            <w:right w:val="none" w:sz="0" w:space="0" w:color="auto"/>
          </w:divBdr>
        </w:div>
        <w:div w:id="1282684456">
          <w:marLeft w:val="640"/>
          <w:marRight w:val="0"/>
          <w:marTop w:val="0"/>
          <w:marBottom w:val="0"/>
          <w:divBdr>
            <w:top w:val="none" w:sz="0" w:space="0" w:color="auto"/>
            <w:left w:val="none" w:sz="0" w:space="0" w:color="auto"/>
            <w:bottom w:val="none" w:sz="0" w:space="0" w:color="auto"/>
            <w:right w:val="none" w:sz="0" w:space="0" w:color="auto"/>
          </w:divBdr>
        </w:div>
        <w:div w:id="1303150061">
          <w:marLeft w:val="640"/>
          <w:marRight w:val="0"/>
          <w:marTop w:val="0"/>
          <w:marBottom w:val="0"/>
          <w:divBdr>
            <w:top w:val="none" w:sz="0" w:space="0" w:color="auto"/>
            <w:left w:val="none" w:sz="0" w:space="0" w:color="auto"/>
            <w:bottom w:val="none" w:sz="0" w:space="0" w:color="auto"/>
            <w:right w:val="none" w:sz="0" w:space="0" w:color="auto"/>
          </w:divBdr>
        </w:div>
        <w:div w:id="1127697410">
          <w:marLeft w:val="640"/>
          <w:marRight w:val="0"/>
          <w:marTop w:val="0"/>
          <w:marBottom w:val="0"/>
          <w:divBdr>
            <w:top w:val="none" w:sz="0" w:space="0" w:color="auto"/>
            <w:left w:val="none" w:sz="0" w:space="0" w:color="auto"/>
            <w:bottom w:val="none" w:sz="0" w:space="0" w:color="auto"/>
            <w:right w:val="none" w:sz="0" w:space="0" w:color="auto"/>
          </w:divBdr>
        </w:div>
        <w:div w:id="240676866">
          <w:marLeft w:val="640"/>
          <w:marRight w:val="0"/>
          <w:marTop w:val="0"/>
          <w:marBottom w:val="0"/>
          <w:divBdr>
            <w:top w:val="none" w:sz="0" w:space="0" w:color="auto"/>
            <w:left w:val="none" w:sz="0" w:space="0" w:color="auto"/>
            <w:bottom w:val="none" w:sz="0" w:space="0" w:color="auto"/>
            <w:right w:val="none" w:sz="0" w:space="0" w:color="auto"/>
          </w:divBdr>
        </w:div>
        <w:div w:id="1151366244">
          <w:marLeft w:val="640"/>
          <w:marRight w:val="0"/>
          <w:marTop w:val="0"/>
          <w:marBottom w:val="0"/>
          <w:divBdr>
            <w:top w:val="none" w:sz="0" w:space="0" w:color="auto"/>
            <w:left w:val="none" w:sz="0" w:space="0" w:color="auto"/>
            <w:bottom w:val="none" w:sz="0" w:space="0" w:color="auto"/>
            <w:right w:val="none" w:sz="0" w:space="0" w:color="auto"/>
          </w:divBdr>
        </w:div>
        <w:div w:id="990981528">
          <w:marLeft w:val="640"/>
          <w:marRight w:val="0"/>
          <w:marTop w:val="0"/>
          <w:marBottom w:val="0"/>
          <w:divBdr>
            <w:top w:val="none" w:sz="0" w:space="0" w:color="auto"/>
            <w:left w:val="none" w:sz="0" w:space="0" w:color="auto"/>
            <w:bottom w:val="none" w:sz="0" w:space="0" w:color="auto"/>
            <w:right w:val="none" w:sz="0" w:space="0" w:color="auto"/>
          </w:divBdr>
        </w:div>
        <w:div w:id="1481116990">
          <w:marLeft w:val="640"/>
          <w:marRight w:val="0"/>
          <w:marTop w:val="0"/>
          <w:marBottom w:val="0"/>
          <w:divBdr>
            <w:top w:val="none" w:sz="0" w:space="0" w:color="auto"/>
            <w:left w:val="none" w:sz="0" w:space="0" w:color="auto"/>
            <w:bottom w:val="none" w:sz="0" w:space="0" w:color="auto"/>
            <w:right w:val="none" w:sz="0" w:space="0" w:color="auto"/>
          </w:divBdr>
        </w:div>
        <w:div w:id="1472480777">
          <w:marLeft w:val="640"/>
          <w:marRight w:val="0"/>
          <w:marTop w:val="0"/>
          <w:marBottom w:val="0"/>
          <w:divBdr>
            <w:top w:val="none" w:sz="0" w:space="0" w:color="auto"/>
            <w:left w:val="none" w:sz="0" w:space="0" w:color="auto"/>
            <w:bottom w:val="none" w:sz="0" w:space="0" w:color="auto"/>
            <w:right w:val="none" w:sz="0" w:space="0" w:color="auto"/>
          </w:divBdr>
        </w:div>
        <w:div w:id="88041433">
          <w:marLeft w:val="640"/>
          <w:marRight w:val="0"/>
          <w:marTop w:val="0"/>
          <w:marBottom w:val="0"/>
          <w:divBdr>
            <w:top w:val="none" w:sz="0" w:space="0" w:color="auto"/>
            <w:left w:val="none" w:sz="0" w:space="0" w:color="auto"/>
            <w:bottom w:val="none" w:sz="0" w:space="0" w:color="auto"/>
            <w:right w:val="none" w:sz="0" w:space="0" w:color="auto"/>
          </w:divBdr>
        </w:div>
        <w:div w:id="1805729899">
          <w:marLeft w:val="640"/>
          <w:marRight w:val="0"/>
          <w:marTop w:val="0"/>
          <w:marBottom w:val="0"/>
          <w:divBdr>
            <w:top w:val="none" w:sz="0" w:space="0" w:color="auto"/>
            <w:left w:val="none" w:sz="0" w:space="0" w:color="auto"/>
            <w:bottom w:val="none" w:sz="0" w:space="0" w:color="auto"/>
            <w:right w:val="none" w:sz="0" w:space="0" w:color="auto"/>
          </w:divBdr>
        </w:div>
        <w:div w:id="4719058">
          <w:marLeft w:val="640"/>
          <w:marRight w:val="0"/>
          <w:marTop w:val="0"/>
          <w:marBottom w:val="0"/>
          <w:divBdr>
            <w:top w:val="none" w:sz="0" w:space="0" w:color="auto"/>
            <w:left w:val="none" w:sz="0" w:space="0" w:color="auto"/>
            <w:bottom w:val="none" w:sz="0" w:space="0" w:color="auto"/>
            <w:right w:val="none" w:sz="0" w:space="0" w:color="auto"/>
          </w:divBdr>
        </w:div>
        <w:div w:id="1834223187">
          <w:marLeft w:val="640"/>
          <w:marRight w:val="0"/>
          <w:marTop w:val="0"/>
          <w:marBottom w:val="0"/>
          <w:divBdr>
            <w:top w:val="none" w:sz="0" w:space="0" w:color="auto"/>
            <w:left w:val="none" w:sz="0" w:space="0" w:color="auto"/>
            <w:bottom w:val="none" w:sz="0" w:space="0" w:color="auto"/>
            <w:right w:val="none" w:sz="0" w:space="0" w:color="auto"/>
          </w:divBdr>
        </w:div>
        <w:div w:id="1562717985">
          <w:marLeft w:val="640"/>
          <w:marRight w:val="0"/>
          <w:marTop w:val="0"/>
          <w:marBottom w:val="0"/>
          <w:divBdr>
            <w:top w:val="none" w:sz="0" w:space="0" w:color="auto"/>
            <w:left w:val="none" w:sz="0" w:space="0" w:color="auto"/>
            <w:bottom w:val="none" w:sz="0" w:space="0" w:color="auto"/>
            <w:right w:val="none" w:sz="0" w:space="0" w:color="auto"/>
          </w:divBdr>
        </w:div>
        <w:div w:id="1031760035">
          <w:marLeft w:val="640"/>
          <w:marRight w:val="0"/>
          <w:marTop w:val="0"/>
          <w:marBottom w:val="0"/>
          <w:divBdr>
            <w:top w:val="none" w:sz="0" w:space="0" w:color="auto"/>
            <w:left w:val="none" w:sz="0" w:space="0" w:color="auto"/>
            <w:bottom w:val="none" w:sz="0" w:space="0" w:color="auto"/>
            <w:right w:val="none" w:sz="0" w:space="0" w:color="auto"/>
          </w:divBdr>
        </w:div>
        <w:div w:id="143814049">
          <w:marLeft w:val="640"/>
          <w:marRight w:val="0"/>
          <w:marTop w:val="0"/>
          <w:marBottom w:val="0"/>
          <w:divBdr>
            <w:top w:val="none" w:sz="0" w:space="0" w:color="auto"/>
            <w:left w:val="none" w:sz="0" w:space="0" w:color="auto"/>
            <w:bottom w:val="none" w:sz="0" w:space="0" w:color="auto"/>
            <w:right w:val="none" w:sz="0" w:space="0" w:color="auto"/>
          </w:divBdr>
        </w:div>
        <w:div w:id="1481575067">
          <w:marLeft w:val="640"/>
          <w:marRight w:val="0"/>
          <w:marTop w:val="0"/>
          <w:marBottom w:val="0"/>
          <w:divBdr>
            <w:top w:val="none" w:sz="0" w:space="0" w:color="auto"/>
            <w:left w:val="none" w:sz="0" w:space="0" w:color="auto"/>
            <w:bottom w:val="none" w:sz="0" w:space="0" w:color="auto"/>
            <w:right w:val="none" w:sz="0" w:space="0" w:color="auto"/>
          </w:divBdr>
        </w:div>
        <w:div w:id="1852065592">
          <w:marLeft w:val="640"/>
          <w:marRight w:val="0"/>
          <w:marTop w:val="0"/>
          <w:marBottom w:val="0"/>
          <w:divBdr>
            <w:top w:val="none" w:sz="0" w:space="0" w:color="auto"/>
            <w:left w:val="none" w:sz="0" w:space="0" w:color="auto"/>
            <w:bottom w:val="none" w:sz="0" w:space="0" w:color="auto"/>
            <w:right w:val="none" w:sz="0" w:space="0" w:color="auto"/>
          </w:divBdr>
        </w:div>
        <w:div w:id="961496904">
          <w:marLeft w:val="640"/>
          <w:marRight w:val="0"/>
          <w:marTop w:val="0"/>
          <w:marBottom w:val="0"/>
          <w:divBdr>
            <w:top w:val="none" w:sz="0" w:space="0" w:color="auto"/>
            <w:left w:val="none" w:sz="0" w:space="0" w:color="auto"/>
            <w:bottom w:val="none" w:sz="0" w:space="0" w:color="auto"/>
            <w:right w:val="none" w:sz="0" w:space="0" w:color="auto"/>
          </w:divBdr>
        </w:div>
        <w:div w:id="506099267">
          <w:marLeft w:val="640"/>
          <w:marRight w:val="0"/>
          <w:marTop w:val="0"/>
          <w:marBottom w:val="0"/>
          <w:divBdr>
            <w:top w:val="none" w:sz="0" w:space="0" w:color="auto"/>
            <w:left w:val="none" w:sz="0" w:space="0" w:color="auto"/>
            <w:bottom w:val="none" w:sz="0" w:space="0" w:color="auto"/>
            <w:right w:val="none" w:sz="0" w:space="0" w:color="auto"/>
          </w:divBdr>
        </w:div>
        <w:div w:id="891574402">
          <w:marLeft w:val="640"/>
          <w:marRight w:val="0"/>
          <w:marTop w:val="0"/>
          <w:marBottom w:val="0"/>
          <w:divBdr>
            <w:top w:val="none" w:sz="0" w:space="0" w:color="auto"/>
            <w:left w:val="none" w:sz="0" w:space="0" w:color="auto"/>
            <w:bottom w:val="none" w:sz="0" w:space="0" w:color="auto"/>
            <w:right w:val="none" w:sz="0" w:space="0" w:color="auto"/>
          </w:divBdr>
        </w:div>
        <w:div w:id="2048749023">
          <w:marLeft w:val="640"/>
          <w:marRight w:val="0"/>
          <w:marTop w:val="0"/>
          <w:marBottom w:val="0"/>
          <w:divBdr>
            <w:top w:val="none" w:sz="0" w:space="0" w:color="auto"/>
            <w:left w:val="none" w:sz="0" w:space="0" w:color="auto"/>
            <w:bottom w:val="none" w:sz="0" w:space="0" w:color="auto"/>
            <w:right w:val="none" w:sz="0" w:space="0" w:color="auto"/>
          </w:divBdr>
        </w:div>
        <w:div w:id="446437706">
          <w:marLeft w:val="640"/>
          <w:marRight w:val="0"/>
          <w:marTop w:val="0"/>
          <w:marBottom w:val="0"/>
          <w:divBdr>
            <w:top w:val="none" w:sz="0" w:space="0" w:color="auto"/>
            <w:left w:val="none" w:sz="0" w:space="0" w:color="auto"/>
            <w:bottom w:val="none" w:sz="0" w:space="0" w:color="auto"/>
            <w:right w:val="none" w:sz="0" w:space="0" w:color="auto"/>
          </w:divBdr>
        </w:div>
        <w:div w:id="929510420">
          <w:marLeft w:val="640"/>
          <w:marRight w:val="0"/>
          <w:marTop w:val="0"/>
          <w:marBottom w:val="0"/>
          <w:divBdr>
            <w:top w:val="none" w:sz="0" w:space="0" w:color="auto"/>
            <w:left w:val="none" w:sz="0" w:space="0" w:color="auto"/>
            <w:bottom w:val="none" w:sz="0" w:space="0" w:color="auto"/>
            <w:right w:val="none" w:sz="0" w:space="0" w:color="auto"/>
          </w:divBdr>
        </w:div>
        <w:div w:id="1825006810">
          <w:marLeft w:val="640"/>
          <w:marRight w:val="0"/>
          <w:marTop w:val="0"/>
          <w:marBottom w:val="0"/>
          <w:divBdr>
            <w:top w:val="none" w:sz="0" w:space="0" w:color="auto"/>
            <w:left w:val="none" w:sz="0" w:space="0" w:color="auto"/>
            <w:bottom w:val="none" w:sz="0" w:space="0" w:color="auto"/>
            <w:right w:val="none" w:sz="0" w:space="0" w:color="auto"/>
          </w:divBdr>
        </w:div>
        <w:div w:id="177039367">
          <w:marLeft w:val="640"/>
          <w:marRight w:val="0"/>
          <w:marTop w:val="0"/>
          <w:marBottom w:val="0"/>
          <w:divBdr>
            <w:top w:val="none" w:sz="0" w:space="0" w:color="auto"/>
            <w:left w:val="none" w:sz="0" w:space="0" w:color="auto"/>
            <w:bottom w:val="none" w:sz="0" w:space="0" w:color="auto"/>
            <w:right w:val="none" w:sz="0" w:space="0" w:color="auto"/>
          </w:divBdr>
        </w:div>
        <w:div w:id="999817769">
          <w:marLeft w:val="640"/>
          <w:marRight w:val="0"/>
          <w:marTop w:val="0"/>
          <w:marBottom w:val="0"/>
          <w:divBdr>
            <w:top w:val="none" w:sz="0" w:space="0" w:color="auto"/>
            <w:left w:val="none" w:sz="0" w:space="0" w:color="auto"/>
            <w:bottom w:val="none" w:sz="0" w:space="0" w:color="auto"/>
            <w:right w:val="none" w:sz="0" w:space="0" w:color="auto"/>
          </w:divBdr>
        </w:div>
        <w:div w:id="1767119836">
          <w:marLeft w:val="640"/>
          <w:marRight w:val="0"/>
          <w:marTop w:val="0"/>
          <w:marBottom w:val="0"/>
          <w:divBdr>
            <w:top w:val="none" w:sz="0" w:space="0" w:color="auto"/>
            <w:left w:val="none" w:sz="0" w:space="0" w:color="auto"/>
            <w:bottom w:val="none" w:sz="0" w:space="0" w:color="auto"/>
            <w:right w:val="none" w:sz="0" w:space="0" w:color="auto"/>
          </w:divBdr>
        </w:div>
        <w:div w:id="1321034438">
          <w:marLeft w:val="640"/>
          <w:marRight w:val="0"/>
          <w:marTop w:val="0"/>
          <w:marBottom w:val="0"/>
          <w:divBdr>
            <w:top w:val="none" w:sz="0" w:space="0" w:color="auto"/>
            <w:left w:val="none" w:sz="0" w:space="0" w:color="auto"/>
            <w:bottom w:val="none" w:sz="0" w:space="0" w:color="auto"/>
            <w:right w:val="none" w:sz="0" w:space="0" w:color="auto"/>
          </w:divBdr>
        </w:div>
        <w:div w:id="1854876794">
          <w:marLeft w:val="640"/>
          <w:marRight w:val="0"/>
          <w:marTop w:val="0"/>
          <w:marBottom w:val="0"/>
          <w:divBdr>
            <w:top w:val="none" w:sz="0" w:space="0" w:color="auto"/>
            <w:left w:val="none" w:sz="0" w:space="0" w:color="auto"/>
            <w:bottom w:val="none" w:sz="0" w:space="0" w:color="auto"/>
            <w:right w:val="none" w:sz="0" w:space="0" w:color="auto"/>
          </w:divBdr>
        </w:div>
        <w:div w:id="693503408">
          <w:marLeft w:val="640"/>
          <w:marRight w:val="0"/>
          <w:marTop w:val="0"/>
          <w:marBottom w:val="0"/>
          <w:divBdr>
            <w:top w:val="none" w:sz="0" w:space="0" w:color="auto"/>
            <w:left w:val="none" w:sz="0" w:space="0" w:color="auto"/>
            <w:bottom w:val="none" w:sz="0" w:space="0" w:color="auto"/>
            <w:right w:val="none" w:sz="0" w:space="0" w:color="auto"/>
          </w:divBdr>
        </w:div>
        <w:div w:id="427820469">
          <w:marLeft w:val="640"/>
          <w:marRight w:val="0"/>
          <w:marTop w:val="0"/>
          <w:marBottom w:val="0"/>
          <w:divBdr>
            <w:top w:val="none" w:sz="0" w:space="0" w:color="auto"/>
            <w:left w:val="none" w:sz="0" w:space="0" w:color="auto"/>
            <w:bottom w:val="none" w:sz="0" w:space="0" w:color="auto"/>
            <w:right w:val="none" w:sz="0" w:space="0" w:color="auto"/>
          </w:divBdr>
        </w:div>
        <w:div w:id="1052925263">
          <w:marLeft w:val="640"/>
          <w:marRight w:val="0"/>
          <w:marTop w:val="0"/>
          <w:marBottom w:val="0"/>
          <w:divBdr>
            <w:top w:val="none" w:sz="0" w:space="0" w:color="auto"/>
            <w:left w:val="none" w:sz="0" w:space="0" w:color="auto"/>
            <w:bottom w:val="none" w:sz="0" w:space="0" w:color="auto"/>
            <w:right w:val="none" w:sz="0" w:space="0" w:color="auto"/>
          </w:divBdr>
        </w:div>
        <w:div w:id="1635406972">
          <w:marLeft w:val="640"/>
          <w:marRight w:val="0"/>
          <w:marTop w:val="0"/>
          <w:marBottom w:val="0"/>
          <w:divBdr>
            <w:top w:val="none" w:sz="0" w:space="0" w:color="auto"/>
            <w:left w:val="none" w:sz="0" w:space="0" w:color="auto"/>
            <w:bottom w:val="none" w:sz="0" w:space="0" w:color="auto"/>
            <w:right w:val="none" w:sz="0" w:space="0" w:color="auto"/>
          </w:divBdr>
        </w:div>
        <w:div w:id="529758849">
          <w:marLeft w:val="640"/>
          <w:marRight w:val="0"/>
          <w:marTop w:val="0"/>
          <w:marBottom w:val="0"/>
          <w:divBdr>
            <w:top w:val="none" w:sz="0" w:space="0" w:color="auto"/>
            <w:left w:val="none" w:sz="0" w:space="0" w:color="auto"/>
            <w:bottom w:val="none" w:sz="0" w:space="0" w:color="auto"/>
            <w:right w:val="none" w:sz="0" w:space="0" w:color="auto"/>
          </w:divBdr>
        </w:div>
        <w:div w:id="1954894664">
          <w:marLeft w:val="640"/>
          <w:marRight w:val="0"/>
          <w:marTop w:val="0"/>
          <w:marBottom w:val="0"/>
          <w:divBdr>
            <w:top w:val="none" w:sz="0" w:space="0" w:color="auto"/>
            <w:left w:val="none" w:sz="0" w:space="0" w:color="auto"/>
            <w:bottom w:val="none" w:sz="0" w:space="0" w:color="auto"/>
            <w:right w:val="none" w:sz="0" w:space="0" w:color="auto"/>
          </w:divBdr>
        </w:div>
        <w:div w:id="40591638">
          <w:marLeft w:val="640"/>
          <w:marRight w:val="0"/>
          <w:marTop w:val="0"/>
          <w:marBottom w:val="0"/>
          <w:divBdr>
            <w:top w:val="none" w:sz="0" w:space="0" w:color="auto"/>
            <w:left w:val="none" w:sz="0" w:space="0" w:color="auto"/>
            <w:bottom w:val="none" w:sz="0" w:space="0" w:color="auto"/>
            <w:right w:val="none" w:sz="0" w:space="0" w:color="auto"/>
          </w:divBdr>
        </w:div>
        <w:div w:id="1114591141">
          <w:marLeft w:val="640"/>
          <w:marRight w:val="0"/>
          <w:marTop w:val="0"/>
          <w:marBottom w:val="0"/>
          <w:divBdr>
            <w:top w:val="none" w:sz="0" w:space="0" w:color="auto"/>
            <w:left w:val="none" w:sz="0" w:space="0" w:color="auto"/>
            <w:bottom w:val="none" w:sz="0" w:space="0" w:color="auto"/>
            <w:right w:val="none" w:sz="0" w:space="0" w:color="auto"/>
          </w:divBdr>
        </w:div>
        <w:div w:id="1542283525">
          <w:marLeft w:val="640"/>
          <w:marRight w:val="0"/>
          <w:marTop w:val="0"/>
          <w:marBottom w:val="0"/>
          <w:divBdr>
            <w:top w:val="none" w:sz="0" w:space="0" w:color="auto"/>
            <w:left w:val="none" w:sz="0" w:space="0" w:color="auto"/>
            <w:bottom w:val="none" w:sz="0" w:space="0" w:color="auto"/>
            <w:right w:val="none" w:sz="0" w:space="0" w:color="auto"/>
          </w:divBdr>
        </w:div>
        <w:div w:id="456800125">
          <w:marLeft w:val="640"/>
          <w:marRight w:val="0"/>
          <w:marTop w:val="0"/>
          <w:marBottom w:val="0"/>
          <w:divBdr>
            <w:top w:val="none" w:sz="0" w:space="0" w:color="auto"/>
            <w:left w:val="none" w:sz="0" w:space="0" w:color="auto"/>
            <w:bottom w:val="none" w:sz="0" w:space="0" w:color="auto"/>
            <w:right w:val="none" w:sz="0" w:space="0" w:color="auto"/>
          </w:divBdr>
        </w:div>
        <w:div w:id="1413890736">
          <w:marLeft w:val="640"/>
          <w:marRight w:val="0"/>
          <w:marTop w:val="0"/>
          <w:marBottom w:val="0"/>
          <w:divBdr>
            <w:top w:val="none" w:sz="0" w:space="0" w:color="auto"/>
            <w:left w:val="none" w:sz="0" w:space="0" w:color="auto"/>
            <w:bottom w:val="none" w:sz="0" w:space="0" w:color="auto"/>
            <w:right w:val="none" w:sz="0" w:space="0" w:color="auto"/>
          </w:divBdr>
        </w:div>
        <w:div w:id="574244899">
          <w:marLeft w:val="640"/>
          <w:marRight w:val="0"/>
          <w:marTop w:val="0"/>
          <w:marBottom w:val="0"/>
          <w:divBdr>
            <w:top w:val="none" w:sz="0" w:space="0" w:color="auto"/>
            <w:left w:val="none" w:sz="0" w:space="0" w:color="auto"/>
            <w:bottom w:val="none" w:sz="0" w:space="0" w:color="auto"/>
            <w:right w:val="none" w:sz="0" w:space="0" w:color="auto"/>
          </w:divBdr>
        </w:div>
        <w:div w:id="507870141">
          <w:marLeft w:val="640"/>
          <w:marRight w:val="0"/>
          <w:marTop w:val="0"/>
          <w:marBottom w:val="0"/>
          <w:divBdr>
            <w:top w:val="none" w:sz="0" w:space="0" w:color="auto"/>
            <w:left w:val="none" w:sz="0" w:space="0" w:color="auto"/>
            <w:bottom w:val="none" w:sz="0" w:space="0" w:color="auto"/>
            <w:right w:val="none" w:sz="0" w:space="0" w:color="auto"/>
          </w:divBdr>
        </w:div>
        <w:div w:id="235632970">
          <w:marLeft w:val="640"/>
          <w:marRight w:val="0"/>
          <w:marTop w:val="0"/>
          <w:marBottom w:val="0"/>
          <w:divBdr>
            <w:top w:val="none" w:sz="0" w:space="0" w:color="auto"/>
            <w:left w:val="none" w:sz="0" w:space="0" w:color="auto"/>
            <w:bottom w:val="none" w:sz="0" w:space="0" w:color="auto"/>
            <w:right w:val="none" w:sz="0" w:space="0" w:color="auto"/>
          </w:divBdr>
        </w:div>
        <w:div w:id="397167138">
          <w:marLeft w:val="640"/>
          <w:marRight w:val="0"/>
          <w:marTop w:val="0"/>
          <w:marBottom w:val="0"/>
          <w:divBdr>
            <w:top w:val="none" w:sz="0" w:space="0" w:color="auto"/>
            <w:left w:val="none" w:sz="0" w:space="0" w:color="auto"/>
            <w:bottom w:val="none" w:sz="0" w:space="0" w:color="auto"/>
            <w:right w:val="none" w:sz="0" w:space="0" w:color="auto"/>
          </w:divBdr>
        </w:div>
        <w:div w:id="1389258789">
          <w:marLeft w:val="640"/>
          <w:marRight w:val="0"/>
          <w:marTop w:val="0"/>
          <w:marBottom w:val="0"/>
          <w:divBdr>
            <w:top w:val="none" w:sz="0" w:space="0" w:color="auto"/>
            <w:left w:val="none" w:sz="0" w:space="0" w:color="auto"/>
            <w:bottom w:val="none" w:sz="0" w:space="0" w:color="auto"/>
            <w:right w:val="none" w:sz="0" w:space="0" w:color="auto"/>
          </w:divBdr>
        </w:div>
        <w:div w:id="2024165350">
          <w:marLeft w:val="640"/>
          <w:marRight w:val="0"/>
          <w:marTop w:val="0"/>
          <w:marBottom w:val="0"/>
          <w:divBdr>
            <w:top w:val="none" w:sz="0" w:space="0" w:color="auto"/>
            <w:left w:val="none" w:sz="0" w:space="0" w:color="auto"/>
            <w:bottom w:val="none" w:sz="0" w:space="0" w:color="auto"/>
            <w:right w:val="none" w:sz="0" w:space="0" w:color="auto"/>
          </w:divBdr>
        </w:div>
        <w:div w:id="298538029">
          <w:marLeft w:val="640"/>
          <w:marRight w:val="0"/>
          <w:marTop w:val="0"/>
          <w:marBottom w:val="0"/>
          <w:divBdr>
            <w:top w:val="none" w:sz="0" w:space="0" w:color="auto"/>
            <w:left w:val="none" w:sz="0" w:space="0" w:color="auto"/>
            <w:bottom w:val="none" w:sz="0" w:space="0" w:color="auto"/>
            <w:right w:val="none" w:sz="0" w:space="0" w:color="auto"/>
          </w:divBdr>
        </w:div>
        <w:div w:id="1869903246">
          <w:marLeft w:val="640"/>
          <w:marRight w:val="0"/>
          <w:marTop w:val="0"/>
          <w:marBottom w:val="0"/>
          <w:divBdr>
            <w:top w:val="none" w:sz="0" w:space="0" w:color="auto"/>
            <w:left w:val="none" w:sz="0" w:space="0" w:color="auto"/>
            <w:bottom w:val="none" w:sz="0" w:space="0" w:color="auto"/>
            <w:right w:val="none" w:sz="0" w:space="0" w:color="auto"/>
          </w:divBdr>
        </w:div>
        <w:div w:id="783768846">
          <w:marLeft w:val="640"/>
          <w:marRight w:val="0"/>
          <w:marTop w:val="0"/>
          <w:marBottom w:val="0"/>
          <w:divBdr>
            <w:top w:val="none" w:sz="0" w:space="0" w:color="auto"/>
            <w:left w:val="none" w:sz="0" w:space="0" w:color="auto"/>
            <w:bottom w:val="none" w:sz="0" w:space="0" w:color="auto"/>
            <w:right w:val="none" w:sz="0" w:space="0" w:color="auto"/>
          </w:divBdr>
        </w:div>
        <w:div w:id="509491069">
          <w:marLeft w:val="640"/>
          <w:marRight w:val="0"/>
          <w:marTop w:val="0"/>
          <w:marBottom w:val="0"/>
          <w:divBdr>
            <w:top w:val="none" w:sz="0" w:space="0" w:color="auto"/>
            <w:left w:val="none" w:sz="0" w:space="0" w:color="auto"/>
            <w:bottom w:val="none" w:sz="0" w:space="0" w:color="auto"/>
            <w:right w:val="none" w:sz="0" w:space="0" w:color="auto"/>
          </w:divBdr>
        </w:div>
        <w:div w:id="1430928405">
          <w:marLeft w:val="640"/>
          <w:marRight w:val="0"/>
          <w:marTop w:val="0"/>
          <w:marBottom w:val="0"/>
          <w:divBdr>
            <w:top w:val="none" w:sz="0" w:space="0" w:color="auto"/>
            <w:left w:val="none" w:sz="0" w:space="0" w:color="auto"/>
            <w:bottom w:val="none" w:sz="0" w:space="0" w:color="auto"/>
            <w:right w:val="none" w:sz="0" w:space="0" w:color="auto"/>
          </w:divBdr>
        </w:div>
        <w:div w:id="2138792097">
          <w:marLeft w:val="640"/>
          <w:marRight w:val="0"/>
          <w:marTop w:val="0"/>
          <w:marBottom w:val="0"/>
          <w:divBdr>
            <w:top w:val="none" w:sz="0" w:space="0" w:color="auto"/>
            <w:left w:val="none" w:sz="0" w:space="0" w:color="auto"/>
            <w:bottom w:val="none" w:sz="0" w:space="0" w:color="auto"/>
            <w:right w:val="none" w:sz="0" w:space="0" w:color="auto"/>
          </w:divBdr>
        </w:div>
        <w:div w:id="567305941">
          <w:marLeft w:val="640"/>
          <w:marRight w:val="0"/>
          <w:marTop w:val="0"/>
          <w:marBottom w:val="0"/>
          <w:divBdr>
            <w:top w:val="none" w:sz="0" w:space="0" w:color="auto"/>
            <w:left w:val="none" w:sz="0" w:space="0" w:color="auto"/>
            <w:bottom w:val="none" w:sz="0" w:space="0" w:color="auto"/>
            <w:right w:val="none" w:sz="0" w:space="0" w:color="auto"/>
          </w:divBdr>
        </w:div>
        <w:div w:id="1655603044">
          <w:marLeft w:val="640"/>
          <w:marRight w:val="0"/>
          <w:marTop w:val="0"/>
          <w:marBottom w:val="0"/>
          <w:divBdr>
            <w:top w:val="none" w:sz="0" w:space="0" w:color="auto"/>
            <w:left w:val="none" w:sz="0" w:space="0" w:color="auto"/>
            <w:bottom w:val="none" w:sz="0" w:space="0" w:color="auto"/>
            <w:right w:val="none" w:sz="0" w:space="0" w:color="auto"/>
          </w:divBdr>
        </w:div>
        <w:div w:id="179973784">
          <w:marLeft w:val="640"/>
          <w:marRight w:val="0"/>
          <w:marTop w:val="0"/>
          <w:marBottom w:val="0"/>
          <w:divBdr>
            <w:top w:val="none" w:sz="0" w:space="0" w:color="auto"/>
            <w:left w:val="none" w:sz="0" w:space="0" w:color="auto"/>
            <w:bottom w:val="none" w:sz="0" w:space="0" w:color="auto"/>
            <w:right w:val="none" w:sz="0" w:space="0" w:color="auto"/>
          </w:divBdr>
        </w:div>
        <w:div w:id="358549298">
          <w:marLeft w:val="640"/>
          <w:marRight w:val="0"/>
          <w:marTop w:val="0"/>
          <w:marBottom w:val="0"/>
          <w:divBdr>
            <w:top w:val="none" w:sz="0" w:space="0" w:color="auto"/>
            <w:left w:val="none" w:sz="0" w:space="0" w:color="auto"/>
            <w:bottom w:val="none" w:sz="0" w:space="0" w:color="auto"/>
            <w:right w:val="none" w:sz="0" w:space="0" w:color="auto"/>
          </w:divBdr>
        </w:div>
        <w:div w:id="727338841">
          <w:marLeft w:val="640"/>
          <w:marRight w:val="0"/>
          <w:marTop w:val="0"/>
          <w:marBottom w:val="0"/>
          <w:divBdr>
            <w:top w:val="none" w:sz="0" w:space="0" w:color="auto"/>
            <w:left w:val="none" w:sz="0" w:space="0" w:color="auto"/>
            <w:bottom w:val="none" w:sz="0" w:space="0" w:color="auto"/>
            <w:right w:val="none" w:sz="0" w:space="0" w:color="auto"/>
          </w:divBdr>
        </w:div>
        <w:div w:id="1863740381">
          <w:marLeft w:val="640"/>
          <w:marRight w:val="0"/>
          <w:marTop w:val="0"/>
          <w:marBottom w:val="0"/>
          <w:divBdr>
            <w:top w:val="none" w:sz="0" w:space="0" w:color="auto"/>
            <w:left w:val="none" w:sz="0" w:space="0" w:color="auto"/>
            <w:bottom w:val="none" w:sz="0" w:space="0" w:color="auto"/>
            <w:right w:val="none" w:sz="0" w:space="0" w:color="auto"/>
          </w:divBdr>
        </w:div>
        <w:div w:id="1056122946">
          <w:marLeft w:val="640"/>
          <w:marRight w:val="0"/>
          <w:marTop w:val="0"/>
          <w:marBottom w:val="0"/>
          <w:divBdr>
            <w:top w:val="none" w:sz="0" w:space="0" w:color="auto"/>
            <w:left w:val="none" w:sz="0" w:space="0" w:color="auto"/>
            <w:bottom w:val="none" w:sz="0" w:space="0" w:color="auto"/>
            <w:right w:val="none" w:sz="0" w:space="0" w:color="auto"/>
          </w:divBdr>
        </w:div>
        <w:div w:id="2058163180">
          <w:marLeft w:val="640"/>
          <w:marRight w:val="0"/>
          <w:marTop w:val="0"/>
          <w:marBottom w:val="0"/>
          <w:divBdr>
            <w:top w:val="none" w:sz="0" w:space="0" w:color="auto"/>
            <w:left w:val="none" w:sz="0" w:space="0" w:color="auto"/>
            <w:bottom w:val="none" w:sz="0" w:space="0" w:color="auto"/>
            <w:right w:val="none" w:sz="0" w:space="0" w:color="auto"/>
          </w:divBdr>
        </w:div>
        <w:div w:id="717975026">
          <w:marLeft w:val="640"/>
          <w:marRight w:val="0"/>
          <w:marTop w:val="0"/>
          <w:marBottom w:val="0"/>
          <w:divBdr>
            <w:top w:val="none" w:sz="0" w:space="0" w:color="auto"/>
            <w:left w:val="none" w:sz="0" w:space="0" w:color="auto"/>
            <w:bottom w:val="none" w:sz="0" w:space="0" w:color="auto"/>
            <w:right w:val="none" w:sz="0" w:space="0" w:color="auto"/>
          </w:divBdr>
        </w:div>
        <w:div w:id="1930843717">
          <w:marLeft w:val="640"/>
          <w:marRight w:val="0"/>
          <w:marTop w:val="0"/>
          <w:marBottom w:val="0"/>
          <w:divBdr>
            <w:top w:val="none" w:sz="0" w:space="0" w:color="auto"/>
            <w:left w:val="none" w:sz="0" w:space="0" w:color="auto"/>
            <w:bottom w:val="none" w:sz="0" w:space="0" w:color="auto"/>
            <w:right w:val="none" w:sz="0" w:space="0" w:color="auto"/>
          </w:divBdr>
        </w:div>
        <w:div w:id="1029332788">
          <w:marLeft w:val="640"/>
          <w:marRight w:val="0"/>
          <w:marTop w:val="0"/>
          <w:marBottom w:val="0"/>
          <w:divBdr>
            <w:top w:val="none" w:sz="0" w:space="0" w:color="auto"/>
            <w:left w:val="none" w:sz="0" w:space="0" w:color="auto"/>
            <w:bottom w:val="none" w:sz="0" w:space="0" w:color="auto"/>
            <w:right w:val="none" w:sz="0" w:space="0" w:color="auto"/>
          </w:divBdr>
        </w:div>
        <w:div w:id="1776628007">
          <w:marLeft w:val="640"/>
          <w:marRight w:val="0"/>
          <w:marTop w:val="0"/>
          <w:marBottom w:val="0"/>
          <w:divBdr>
            <w:top w:val="none" w:sz="0" w:space="0" w:color="auto"/>
            <w:left w:val="none" w:sz="0" w:space="0" w:color="auto"/>
            <w:bottom w:val="none" w:sz="0" w:space="0" w:color="auto"/>
            <w:right w:val="none" w:sz="0" w:space="0" w:color="auto"/>
          </w:divBdr>
        </w:div>
        <w:div w:id="1202279016">
          <w:marLeft w:val="640"/>
          <w:marRight w:val="0"/>
          <w:marTop w:val="0"/>
          <w:marBottom w:val="0"/>
          <w:divBdr>
            <w:top w:val="none" w:sz="0" w:space="0" w:color="auto"/>
            <w:left w:val="none" w:sz="0" w:space="0" w:color="auto"/>
            <w:bottom w:val="none" w:sz="0" w:space="0" w:color="auto"/>
            <w:right w:val="none" w:sz="0" w:space="0" w:color="auto"/>
          </w:divBdr>
        </w:div>
        <w:div w:id="373820032">
          <w:marLeft w:val="640"/>
          <w:marRight w:val="0"/>
          <w:marTop w:val="0"/>
          <w:marBottom w:val="0"/>
          <w:divBdr>
            <w:top w:val="none" w:sz="0" w:space="0" w:color="auto"/>
            <w:left w:val="none" w:sz="0" w:space="0" w:color="auto"/>
            <w:bottom w:val="none" w:sz="0" w:space="0" w:color="auto"/>
            <w:right w:val="none" w:sz="0" w:space="0" w:color="auto"/>
          </w:divBdr>
        </w:div>
        <w:div w:id="1774275923">
          <w:marLeft w:val="640"/>
          <w:marRight w:val="0"/>
          <w:marTop w:val="0"/>
          <w:marBottom w:val="0"/>
          <w:divBdr>
            <w:top w:val="none" w:sz="0" w:space="0" w:color="auto"/>
            <w:left w:val="none" w:sz="0" w:space="0" w:color="auto"/>
            <w:bottom w:val="none" w:sz="0" w:space="0" w:color="auto"/>
            <w:right w:val="none" w:sz="0" w:space="0" w:color="auto"/>
          </w:divBdr>
        </w:div>
        <w:div w:id="1773475820">
          <w:marLeft w:val="640"/>
          <w:marRight w:val="0"/>
          <w:marTop w:val="0"/>
          <w:marBottom w:val="0"/>
          <w:divBdr>
            <w:top w:val="none" w:sz="0" w:space="0" w:color="auto"/>
            <w:left w:val="none" w:sz="0" w:space="0" w:color="auto"/>
            <w:bottom w:val="none" w:sz="0" w:space="0" w:color="auto"/>
            <w:right w:val="none" w:sz="0" w:space="0" w:color="auto"/>
          </w:divBdr>
        </w:div>
        <w:div w:id="900796600">
          <w:marLeft w:val="640"/>
          <w:marRight w:val="0"/>
          <w:marTop w:val="0"/>
          <w:marBottom w:val="0"/>
          <w:divBdr>
            <w:top w:val="none" w:sz="0" w:space="0" w:color="auto"/>
            <w:left w:val="none" w:sz="0" w:space="0" w:color="auto"/>
            <w:bottom w:val="none" w:sz="0" w:space="0" w:color="auto"/>
            <w:right w:val="none" w:sz="0" w:space="0" w:color="auto"/>
          </w:divBdr>
        </w:div>
        <w:div w:id="1392657577">
          <w:marLeft w:val="640"/>
          <w:marRight w:val="0"/>
          <w:marTop w:val="0"/>
          <w:marBottom w:val="0"/>
          <w:divBdr>
            <w:top w:val="none" w:sz="0" w:space="0" w:color="auto"/>
            <w:left w:val="none" w:sz="0" w:space="0" w:color="auto"/>
            <w:bottom w:val="none" w:sz="0" w:space="0" w:color="auto"/>
            <w:right w:val="none" w:sz="0" w:space="0" w:color="auto"/>
          </w:divBdr>
        </w:div>
        <w:div w:id="1408697141">
          <w:marLeft w:val="640"/>
          <w:marRight w:val="0"/>
          <w:marTop w:val="0"/>
          <w:marBottom w:val="0"/>
          <w:divBdr>
            <w:top w:val="none" w:sz="0" w:space="0" w:color="auto"/>
            <w:left w:val="none" w:sz="0" w:space="0" w:color="auto"/>
            <w:bottom w:val="none" w:sz="0" w:space="0" w:color="auto"/>
            <w:right w:val="none" w:sz="0" w:space="0" w:color="auto"/>
          </w:divBdr>
        </w:div>
        <w:div w:id="848104517">
          <w:marLeft w:val="640"/>
          <w:marRight w:val="0"/>
          <w:marTop w:val="0"/>
          <w:marBottom w:val="0"/>
          <w:divBdr>
            <w:top w:val="none" w:sz="0" w:space="0" w:color="auto"/>
            <w:left w:val="none" w:sz="0" w:space="0" w:color="auto"/>
            <w:bottom w:val="none" w:sz="0" w:space="0" w:color="auto"/>
            <w:right w:val="none" w:sz="0" w:space="0" w:color="auto"/>
          </w:divBdr>
        </w:div>
        <w:div w:id="1202403936">
          <w:marLeft w:val="640"/>
          <w:marRight w:val="0"/>
          <w:marTop w:val="0"/>
          <w:marBottom w:val="0"/>
          <w:divBdr>
            <w:top w:val="none" w:sz="0" w:space="0" w:color="auto"/>
            <w:left w:val="none" w:sz="0" w:space="0" w:color="auto"/>
            <w:bottom w:val="none" w:sz="0" w:space="0" w:color="auto"/>
            <w:right w:val="none" w:sz="0" w:space="0" w:color="auto"/>
          </w:divBdr>
        </w:div>
        <w:div w:id="726808049">
          <w:marLeft w:val="640"/>
          <w:marRight w:val="0"/>
          <w:marTop w:val="0"/>
          <w:marBottom w:val="0"/>
          <w:divBdr>
            <w:top w:val="none" w:sz="0" w:space="0" w:color="auto"/>
            <w:left w:val="none" w:sz="0" w:space="0" w:color="auto"/>
            <w:bottom w:val="none" w:sz="0" w:space="0" w:color="auto"/>
            <w:right w:val="none" w:sz="0" w:space="0" w:color="auto"/>
          </w:divBdr>
        </w:div>
        <w:div w:id="87233237">
          <w:marLeft w:val="640"/>
          <w:marRight w:val="0"/>
          <w:marTop w:val="0"/>
          <w:marBottom w:val="0"/>
          <w:divBdr>
            <w:top w:val="none" w:sz="0" w:space="0" w:color="auto"/>
            <w:left w:val="none" w:sz="0" w:space="0" w:color="auto"/>
            <w:bottom w:val="none" w:sz="0" w:space="0" w:color="auto"/>
            <w:right w:val="none" w:sz="0" w:space="0" w:color="auto"/>
          </w:divBdr>
        </w:div>
        <w:div w:id="280383097">
          <w:marLeft w:val="640"/>
          <w:marRight w:val="0"/>
          <w:marTop w:val="0"/>
          <w:marBottom w:val="0"/>
          <w:divBdr>
            <w:top w:val="none" w:sz="0" w:space="0" w:color="auto"/>
            <w:left w:val="none" w:sz="0" w:space="0" w:color="auto"/>
            <w:bottom w:val="none" w:sz="0" w:space="0" w:color="auto"/>
            <w:right w:val="none" w:sz="0" w:space="0" w:color="auto"/>
          </w:divBdr>
        </w:div>
        <w:div w:id="276527497">
          <w:marLeft w:val="640"/>
          <w:marRight w:val="0"/>
          <w:marTop w:val="0"/>
          <w:marBottom w:val="0"/>
          <w:divBdr>
            <w:top w:val="none" w:sz="0" w:space="0" w:color="auto"/>
            <w:left w:val="none" w:sz="0" w:space="0" w:color="auto"/>
            <w:bottom w:val="none" w:sz="0" w:space="0" w:color="auto"/>
            <w:right w:val="none" w:sz="0" w:space="0" w:color="auto"/>
          </w:divBdr>
        </w:div>
        <w:div w:id="1802728753">
          <w:marLeft w:val="640"/>
          <w:marRight w:val="0"/>
          <w:marTop w:val="0"/>
          <w:marBottom w:val="0"/>
          <w:divBdr>
            <w:top w:val="none" w:sz="0" w:space="0" w:color="auto"/>
            <w:left w:val="none" w:sz="0" w:space="0" w:color="auto"/>
            <w:bottom w:val="none" w:sz="0" w:space="0" w:color="auto"/>
            <w:right w:val="none" w:sz="0" w:space="0" w:color="auto"/>
          </w:divBdr>
        </w:div>
        <w:div w:id="769279658">
          <w:marLeft w:val="640"/>
          <w:marRight w:val="0"/>
          <w:marTop w:val="0"/>
          <w:marBottom w:val="0"/>
          <w:divBdr>
            <w:top w:val="none" w:sz="0" w:space="0" w:color="auto"/>
            <w:left w:val="none" w:sz="0" w:space="0" w:color="auto"/>
            <w:bottom w:val="none" w:sz="0" w:space="0" w:color="auto"/>
            <w:right w:val="none" w:sz="0" w:space="0" w:color="auto"/>
          </w:divBdr>
        </w:div>
        <w:div w:id="2032414754">
          <w:marLeft w:val="640"/>
          <w:marRight w:val="0"/>
          <w:marTop w:val="0"/>
          <w:marBottom w:val="0"/>
          <w:divBdr>
            <w:top w:val="none" w:sz="0" w:space="0" w:color="auto"/>
            <w:left w:val="none" w:sz="0" w:space="0" w:color="auto"/>
            <w:bottom w:val="none" w:sz="0" w:space="0" w:color="auto"/>
            <w:right w:val="none" w:sz="0" w:space="0" w:color="auto"/>
          </w:divBdr>
        </w:div>
        <w:div w:id="1649213753">
          <w:marLeft w:val="640"/>
          <w:marRight w:val="0"/>
          <w:marTop w:val="0"/>
          <w:marBottom w:val="0"/>
          <w:divBdr>
            <w:top w:val="none" w:sz="0" w:space="0" w:color="auto"/>
            <w:left w:val="none" w:sz="0" w:space="0" w:color="auto"/>
            <w:bottom w:val="none" w:sz="0" w:space="0" w:color="auto"/>
            <w:right w:val="none" w:sz="0" w:space="0" w:color="auto"/>
          </w:divBdr>
        </w:div>
        <w:div w:id="606081558">
          <w:marLeft w:val="640"/>
          <w:marRight w:val="0"/>
          <w:marTop w:val="0"/>
          <w:marBottom w:val="0"/>
          <w:divBdr>
            <w:top w:val="none" w:sz="0" w:space="0" w:color="auto"/>
            <w:left w:val="none" w:sz="0" w:space="0" w:color="auto"/>
            <w:bottom w:val="none" w:sz="0" w:space="0" w:color="auto"/>
            <w:right w:val="none" w:sz="0" w:space="0" w:color="auto"/>
          </w:divBdr>
        </w:div>
        <w:div w:id="687560789">
          <w:marLeft w:val="640"/>
          <w:marRight w:val="0"/>
          <w:marTop w:val="0"/>
          <w:marBottom w:val="0"/>
          <w:divBdr>
            <w:top w:val="none" w:sz="0" w:space="0" w:color="auto"/>
            <w:left w:val="none" w:sz="0" w:space="0" w:color="auto"/>
            <w:bottom w:val="none" w:sz="0" w:space="0" w:color="auto"/>
            <w:right w:val="none" w:sz="0" w:space="0" w:color="auto"/>
          </w:divBdr>
        </w:div>
        <w:div w:id="1894926367">
          <w:marLeft w:val="640"/>
          <w:marRight w:val="0"/>
          <w:marTop w:val="0"/>
          <w:marBottom w:val="0"/>
          <w:divBdr>
            <w:top w:val="none" w:sz="0" w:space="0" w:color="auto"/>
            <w:left w:val="none" w:sz="0" w:space="0" w:color="auto"/>
            <w:bottom w:val="none" w:sz="0" w:space="0" w:color="auto"/>
            <w:right w:val="none" w:sz="0" w:space="0" w:color="auto"/>
          </w:divBdr>
        </w:div>
        <w:div w:id="1548682510">
          <w:marLeft w:val="640"/>
          <w:marRight w:val="0"/>
          <w:marTop w:val="0"/>
          <w:marBottom w:val="0"/>
          <w:divBdr>
            <w:top w:val="none" w:sz="0" w:space="0" w:color="auto"/>
            <w:left w:val="none" w:sz="0" w:space="0" w:color="auto"/>
            <w:bottom w:val="none" w:sz="0" w:space="0" w:color="auto"/>
            <w:right w:val="none" w:sz="0" w:space="0" w:color="auto"/>
          </w:divBdr>
        </w:div>
        <w:div w:id="1941791036">
          <w:marLeft w:val="640"/>
          <w:marRight w:val="0"/>
          <w:marTop w:val="0"/>
          <w:marBottom w:val="0"/>
          <w:divBdr>
            <w:top w:val="none" w:sz="0" w:space="0" w:color="auto"/>
            <w:left w:val="none" w:sz="0" w:space="0" w:color="auto"/>
            <w:bottom w:val="none" w:sz="0" w:space="0" w:color="auto"/>
            <w:right w:val="none" w:sz="0" w:space="0" w:color="auto"/>
          </w:divBdr>
        </w:div>
        <w:div w:id="357048673">
          <w:marLeft w:val="640"/>
          <w:marRight w:val="0"/>
          <w:marTop w:val="0"/>
          <w:marBottom w:val="0"/>
          <w:divBdr>
            <w:top w:val="none" w:sz="0" w:space="0" w:color="auto"/>
            <w:left w:val="none" w:sz="0" w:space="0" w:color="auto"/>
            <w:bottom w:val="none" w:sz="0" w:space="0" w:color="auto"/>
            <w:right w:val="none" w:sz="0" w:space="0" w:color="auto"/>
          </w:divBdr>
        </w:div>
        <w:div w:id="874003646">
          <w:marLeft w:val="640"/>
          <w:marRight w:val="0"/>
          <w:marTop w:val="0"/>
          <w:marBottom w:val="0"/>
          <w:divBdr>
            <w:top w:val="none" w:sz="0" w:space="0" w:color="auto"/>
            <w:left w:val="none" w:sz="0" w:space="0" w:color="auto"/>
            <w:bottom w:val="none" w:sz="0" w:space="0" w:color="auto"/>
            <w:right w:val="none" w:sz="0" w:space="0" w:color="auto"/>
          </w:divBdr>
        </w:div>
        <w:div w:id="740638501">
          <w:marLeft w:val="640"/>
          <w:marRight w:val="0"/>
          <w:marTop w:val="0"/>
          <w:marBottom w:val="0"/>
          <w:divBdr>
            <w:top w:val="none" w:sz="0" w:space="0" w:color="auto"/>
            <w:left w:val="none" w:sz="0" w:space="0" w:color="auto"/>
            <w:bottom w:val="none" w:sz="0" w:space="0" w:color="auto"/>
            <w:right w:val="none" w:sz="0" w:space="0" w:color="auto"/>
          </w:divBdr>
        </w:div>
        <w:div w:id="508368481">
          <w:marLeft w:val="640"/>
          <w:marRight w:val="0"/>
          <w:marTop w:val="0"/>
          <w:marBottom w:val="0"/>
          <w:divBdr>
            <w:top w:val="none" w:sz="0" w:space="0" w:color="auto"/>
            <w:left w:val="none" w:sz="0" w:space="0" w:color="auto"/>
            <w:bottom w:val="none" w:sz="0" w:space="0" w:color="auto"/>
            <w:right w:val="none" w:sz="0" w:space="0" w:color="auto"/>
          </w:divBdr>
        </w:div>
        <w:div w:id="987977932">
          <w:marLeft w:val="640"/>
          <w:marRight w:val="0"/>
          <w:marTop w:val="0"/>
          <w:marBottom w:val="0"/>
          <w:divBdr>
            <w:top w:val="none" w:sz="0" w:space="0" w:color="auto"/>
            <w:left w:val="none" w:sz="0" w:space="0" w:color="auto"/>
            <w:bottom w:val="none" w:sz="0" w:space="0" w:color="auto"/>
            <w:right w:val="none" w:sz="0" w:space="0" w:color="auto"/>
          </w:divBdr>
        </w:div>
        <w:div w:id="468280957">
          <w:marLeft w:val="640"/>
          <w:marRight w:val="0"/>
          <w:marTop w:val="0"/>
          <w:marBottom w:val="0"/>
          <w:divBdr>
            <w:top w:val="none" w:sz="0" w:space="0" w:color="auto"/>
            <w:left w:val="none" w:sz="0" w:space="0" w:color="auto"/>
            <w:bottom w:val="none" w:sz="0" w:space="0" w:color="auto"/>
            <w:right w:val="none" w:sz="0" w:space="0" w:color="auto"/>
          </w:divBdr>
        </w:div>
        <w:div w:id="1010647920">
          <w:marLeft w:val="640"/>
          <w:marRight w:val="0"/>
          <w:marTop w:val="0"/>
          <w:marBottom w:val="0"/>
          <w:divBdr>
            <w:top w:val="none" w:sz="0" w:space="0" w:color="auto"/>
            <w:left w:val="none" w:sz="0" w:space="0" w:color="auto"/>
            <w:bottom w:val="none" w:sz="0" w:space="0" w:color="auto"/>
            <w:right w:val="none" w:sz="0" w:space="0" w:color="auto"/>
          </w:divBdr>
        </w:div>
        <w:div w:id="1809198728">
          <w:marLeft w:val="640"/>
          <w:marRight w:val="0"/>
          <w:marTop w:val="0"/>
          <w:marBottom w:val="0"/>
          <w:divBdr>
            <w:top w:val="none" w:sz="0" w:space="0" w:color="auto"/>
            <w:left w:val="none" w:sz="0" w:space="0" w:color="auto"/>
            <w:bottom w:val="none" w:sz="0" w:space="0" w:color="auto"/>
            <w:right w:val="none" w:sz="0" w:space="0" w:color="auto"/>
          </w:divBdr>
        </w:div>
        <w:div w:id="212234998">
          <w:marLeft w:val="640"/>
          <w:marRight w:val="0"/>
          <w:marTop w:val="0"/>
          <w:marBottom w:val="0"/>
          <w:divBdr>
            <w:top w:val="none" w:sz="0" w:space="0" w:color="auto"/>
            <w:left w:val="none" w:sz="0" w:space="0" w:color="auto"/>
            <w:bottom w:val="none" w:sz="0" w:space="0" w:color="auto"/>
            <w:right w:val="none" w:sz="0" w:space="0" w:color="auto"/>
          </w:divBdr>
        </w:div>
        <w:div w:id="1777629692">
          <w:marLeft w:val="640"/>
          <w:marRight w:val="0"/>
          <w:marTop w:val="0"/>
          <w:marBottom w:val="0"/>
          <w:divBdr>
            <w:top w:val="none" w:sz="0" w:space="0" w:color="auto"/>
            <w:left w:val="none" w:sz="0" w:space="0" w:color="auto"/>
            <w:bottom w:val="none" w:sz="0" w:space="0" w:color="auto"/>
            <w:right w:val="none" w:sz="0" w:space="0" w:color="auto"/>
          </w:divBdr>
        </w:div>
        <w:div w:id="350961814">
          <w:marLeft w:val="640"/>
          <w:marRight w:val="0"/>
          <w:marTop w:val="0"/>
          <w:marBottom w:val="0"/>
          <w:divBdr>
            <w:top w:val="none" w:sz="0" w:space="0" w:color="auto"/>
            <w:left w:val="none" w:sz="0" w:space="0" w:color="auto"/>
            <w:bottom w:val="none" w:sz="0" w:space="0" w:color="auto"/>
            <w:right w:val="none" w:sz="0" w:space="0" w:color="auto"/>
          </w:divBdr>
        </w:div>
        <w:div w:id="1130397038">
          <w:marLeft w:val="640"/>
          <w:marRight w:val="0"/>
          <w:marTop w:val="0"/>
          <w:marBottom w:val="0"/>
          <w:divBdr>
            <w:top w:val="none" w:sz="0" w:space="0" w:color="auto"/>
            <w:left w:val="none" w:sz="0" w:space="0" w:color="auto"/>
            <w:bottom w:val="none" w:sz="0" w:space="0" w:color="auto"/>
            <w:right w:val="none" w:sz="0" w:space="0" w:color="auto"/>
          </w:divBdr>
        </w:div>
        <w:div w:id="1553007461">
          <w:marLeft w:val="640"/>
          <w:marRight w:val="0"/>
          <w:marTop w:val="0"/>
          <w:marBottom w:val="0"/>
          <w:divBdr>
            <w:top w:val="none" w:sz="0" w:space="0" w:color="auto"/>
            <w:left w:val="none" w:sz="0" w:space="0" w:color="auto"/>
            <w:bottom w:val="none" w:sz="0" w:space="0" w:color="auto"/>
            <w:right w:val="none" w:sz="0" w:space="0" w:color="auto"/>
          </w:divBdr>
        </w:div>
        <w:div w:id="1337077334">
          <w:marLeft w:val="640"/>
          <w:marRight w:val="0"/>
          <w:marTop w:val="0"/>
          <w:marBottom w:val="0"/>
          <w:divBdr>
            <w:top w:val="none" w:sz="0" w:space="0" w:color="auto"/>
            <w:left w:val="none" w:sz="0" w:space="0" w:color="auto"/>
            <w:bottom w:val="none" w:sz="0" w:space="0" w:color="auto"/>
            <w:right w:val="none" w:sz="0" w:space="0" w:color="auto"/>
          </w:divBdr>
        </w:div>
        <w:div w:id="2042976539">
          <w:marLeft w:val="640"/>
          <w:marRight w:val="0"/>
          <w:marTop w:val="0"/>
          <w:marBottom w:val="0"/>
          <w:divBdr>
            <w:top w:val="none" w:sz="0" w:space="0" w:color="auto"/>
            <w:left w:val="none" w:sz="0" w:space="0" w:color="auto"/>
            <w:bottom w:val="none" w:sz="0" w:space="0" w:color="auto"/>
            <w:right w:val="none" w:sz="0" w:space="0" w:color="auto"/>
          </w:divBdr>
        </w:div>
        <w:div w:id="2019579412">
          <w:marLeft w:val="640"/>
          <w:marRight w:val="0"/>
          <w:marTop w:val="0"/>
          <w:marBottom w:val="0"/>
          <w:divBdr>
            <w:top w:val="none" w:sz="0" w:space="0" w:color="auto"/>
            <w:left w:val="none" w:sz="0" w:space="0" w:color="auto"/>
            <w:bottom w:val="none" w:sz="0" w:space="0" w:color="auto"/>
            <w:right w:val="none" w:sz="0" w:space="0" w:color="auto"/>
          </w:divBdr>
        </w:div>
        <w:div w:id="644630630">
          <w:marLeft w:val="640"/>
          <w:marRight w:val="0"/>
          <w:marTop w:val="0"/>
          <w:marBottom w:val="0"/>
          <w:divBdr>
            <w:top w:val="none" w:sz="0" w:space="0" w:color="auto"/>
            <w:left w:val="none" w:sz="0" w:space="0" w:color="auto"/>
            <w:bottom w:val="none" w:sz="0" w:space="0" w:color="auto"/>
            <w:right w:val="none" w:sz="0" w:space="0" w:color="auto"/>
          </w:divBdr>
        </w:div>
        <w:div w:id="1927962114">
          <w:marLeft w:val="640"/>
          <w:marRight w:val="0"/>
          <w:marTop w:val="0"/>
          <w:marBottom w:val="0"/>
          <w:divBdr>
            <w:top w:val="none" w:sz="0" w:space="0" w:color="auto"/>
            <w:left w:val="none" w:sz="0" w:space="0" w:color="auto"/>
            <w:bottom w:val="none" w:sz="0" w:space="0" w:color="auto"/>
            <w:right w:val="none" w:sz="0" w:space="0" w:color="auto"/>
          </w:divBdr>
        </w:div>
        <w:div w:id="796029879">
          <w:marLeft w:val="640"/>
          <w:marRight w:val="0"/>
          <w:marTop w:val="0"/>
          <w:marBottom w:val="0"/>
          <w:divBdr>
            <w:top w:val="none" w:sz="0" w:space="0" w:color="auto"/>
            <w:left w:val="none" w:sz="0" w:space="0" w:color="auto"/>
            <w:bottom w:val="none" w:sz="0" w:space="0" w:color="auto"/>
            <w:right w:val="none" w:sz="0" w:space="0" w:color="auto"/>
          </w:divBdr>
        </w:div>
        <w:div w:id="2078818958">
          <w:marLeft w:val="640"/>
          <w:marRight w:val="0"/>
          <w:marTop w:val="0"/>
          <w:marBottom w:val="0"/>
          <w:divBdr>
            <w:top w:val="none" w:sz="0" w:space="0" w:color="auto"/>
            <w:left w:val="none" w:sz="0" w:space="0" w:color="auto"/>
            <w:bottom w:val="none" w:sz="0" w:space="0" w:color="auto"/>
            <w:right w:val="none" w:sz="0" w:space="0" w:color="auto"/>
          </w:divBdr>
        </w:div>
        <w:div w:id="186675478">
          <w:marLeft w:val="640"/>
          <w:marRight w:val="0"/>
          <w:marTop w:val="0"/>
          <w:marBottom w:val="0"/>
          <w:divBdr>
            <w:top w:val="none" w:sz="0" w:space="0" w:color="auto"/>
            <w:left w:val="none" w:sz="0" w:space="0" w:color="auto"/>
            <w:bottom w:val="none" w:sz="0" w:space="0" w:color="auto"/>
            <w:right w:val="none" w:sz="0" w:space="0" w:color="auto"/>
          </w:divBdr>
        </w:div>
        <w:div w:id="1354459954">
          <w:marLeft w:val="640"/>
          <w:marRight w:val="0"/>
          <w:marTop w:val="0"/>
          <w:marBottom w:val="0"/>
          <w:divBdr>
            <w:top w:val="none" w:sz="0" w:space="0" w:color="auto"/>
            <w:left w:val="none" w:sz="0" w:space="0" w:color="auto"/>
            <w:bottom w:val="none" w:sz="0" w:space="0" w:color="auto"/>
            <w:right w:val="none" w:sz="0" w:space="0" w:color="auto"/>
          </w:divBdr>
        </w:div>
        <w:div w:id="558320759">
          <w:marLeft w:val="640"/>
          <w:marRight w:val="0"/>
          <w:marTop w:val="0"/>
          <w:marBottom w:val="0"/>
          <w:divBdr>
            <w:top w:val="none" w:sz="0" w:space="0" w:color="auto"/>
            <w:left w:val="none" w:sz="0" w:space="0" w:color="auto"/>
            <w:bottom w:val="none" w:sz="0" w:space="0" w:color="auto"/>
            <w:right w:val="none" w:sz="0" w:space="0" w:color="auto"/>
          </w:divBdr>
        </w:div>
        <w:div w:id="897858634">
          <w:marLeft w:val="640"/>
          <w:marRight w:val="0"/>
          <w:marTop w:val="0"/>
          <w:marBottom w:val="0"/>
          <w:divBdr>
            <w:top w:val="none" w:sz="0" w:space="0" w:color="auto"/>
            <w:left w:val="none" w:sz="0" w:space="0" w:color="auto"/>
            <w:bottom w:val="none" w:sz="0" w:space="0" w:color="auto"/>
            <w:right w:val="none" w:sz="0" w:space="0" w:color="auto"/>
          </w:divBdr>
        </w:div>
        <w:div w:id="177500647">
          <w:marLeft w:val="640"/>
          <w:marRight w:val="0"/>
          <w:marTop w:val="0"/>
          <w:marBottom w:val="0"/>
          <w:divBdr>
            <w:top w:val="none" w:sz="0" w:space="0" w:color="auto"/>
            <w:left w:val="none" w:sz="0" w:space="0" w:color="auto"/>
            <w:bottom w:val="none" w:sz="0" w:space="0" w:color="auto"/>
            <w:right w:val="none" w:sz="0" w:space="0" w:color="auto"/>
          </w:divBdr>
        </w:div>
        <w:div w:id="1213733197">
          <w:marLeft w:val="640"/>
          <w:marRight w:val="0"/>
          <w:marTop w:val="0"/>
          <w:marBottom w:val="0"/>
          <w:divBdr>
            <w:top w:val="none" w:sz="0" w:space="0" w:color="auto"/>
            <w:left w:val="none" w:sz="0" w:space="0" w:color="auto"/>
            <w:bottom w:val="none" w:sz="0" w:space="0" w:color="auto"/>
            <w:right w:val="none" w:sz="0" w:space="0" w:color="auto"/>
          </w:divBdr>
        </w:div>
        <w:div w:id="1494100177">
          <w:marLeft w:val="640"/>
          <w:marRight w:val="0"/>
          <w:marTop w:val="0"/>
          <w:marBottom w:val="0"/>
          <w:divBdr>
            <w:top w:val="none" w:sz="0" w:space="0" w:color="auto"/>
            <w:left w:val="none" w:sz="0" w:space="0" w:color="auto"/>
            <w:bottom w:val="none" w:sz="0" w:space="0" w:color="auto"/>
            <w:right w:val="none" w:sz="0" w:space="0" w:color="auto"/>
          </w:divBdr>
        </w:div>
        <w:div w:id="1646085516">
          <w:marLeft w:val="640"/>
          <w:marRight w:val="0"/>
          <w:marTop w:val="0"/>
          <w:marBottom w:val="0"/>
          <w:divBdr>
            <w:top w:val="none" w:sz="0" w:space="0" w:color="auto"/>
            <w:left w:val="none" w:sz="0" w:space="0" w:color="auto"/>
            <w:bottom w:val="none" w:sz="0" w:space="0" w:color="auto"/>
            <w:right w:val="none" w:sz="0" w:space="0" w:color="auto"/>
          </w:divBdr>
        </w:div>
        <w:div w:id="1953440317">
          <w:marLeft w:val="640"/>
          <w:marRight w:val="0"/>
          <w:marTop w:val="0"/>
          <w:marBottom w:val="0"/>
          <w:divBdr>
            <w:top w:val="none" w:sz="0" w:space="0" w:color="auto"/>
            <w:left w:val="none" w:sz="0" w:space="0" w:color="auto"/>
            <w:bottom w:val="none" w:sz="0" w:space="0" w:color="auto"/>
            <w:right w:val="none" w:sz="0" w:space="0" w:color="auto"/>
          </w:divBdr>
        </w:div>
        <w:div w:id="2021538965">
          <w:marLeft w:val="640"/>
          <w:marRight w:val="0"/>
          <w:marTop w:val="0"/>
          <w:marBottom w:val="0"/>
          <w:divBdr>
            <w:top w:val="none" w:sz="0" w:space="0" w:color="auto"/>
            <w:left w:val="none" w:sz="0" w:space="0" w:color="auto"/>
            <w:bottom w:val="none" w:sz="0" w:space="0" w:color="auto"/>
            <w:right w:val="none" w:sz="0" w:space="0" w:color="auto"/>
          </w:divBdr>
        </w:div>
        <w:div w:id="1735155640">
          <w:marLeft w:val="640"/>
          <w:marRight w:val="0"/>
          <w:marTop w:val="0"/>
          <w:marBottom w:val="0"/>
          <w:divBdr>
            <w:top w:val="none" w:sz="0" w:space="0" w:color="auto"/>
            <w:left w:val="none" w:sz="0" w:space="0" w:color="auto"/>
            <w:bottom w:val="none" w:sz="0" w:space="0" w:color="auto"/>
            <w:right w:val="none" w:sz="0" w:space="0" w:color="auto"/>
          </w:divBdr>
        </w:div>
        <w:div w:id="2034988288">
          <w:marLeft w:val="640"/>
          <w:marRight w:val="0"/>
          <w:marTop w:val="0"/>
          <w:marBottom w:val="0"/>
          <w:divBdr>
            <w:top w:val="none" w:sz="0" w:space="0" w:color="auto"/>
            <w:left w:val="none" w:sz="0" w:space="0" w:color="auto"/>
            <w:bottom w:val="none" w:sz="0" w:space="0" w:color="auto"/>
            <w:right w:val="none" w:sz="0" w:space="0" w:color="auto"/>
          </w:divBdr>
        </w:div>
        <w:div w:id="2096172011">
          <w:marLeft w:val="640"/>
          <w:marRight w:val="0"/>
          <w:marTop w:val="0"/>
          <w:marBottom w:val="0"/>
          <w:divBdr>
            <w:top w:val="none" w:sz="0" w:space="0" w:color="auto"/>
            <w:left w:val="none" w:sz="0" w:space="0" w:color="auto"/>
            <w:bottom w:val="none" w:sz="0" w:space="0" w:color="auto"/>
            <w:right w:val="none" w:sz="0" w:space="0" w:color="auto"/>
          </w:divBdr>
        </w:div>
        <w:div w:id="457770972">
          <w:marLeft w:val="640"/>
          <w:marRight w:val="0"/>
          <w:marTop w:val="0"/>
          <w:marBottom w:val="0"/>
          <w:divBdr>
            <w:top w:val="none" w:sz="0" w:space="0" w:color="auto"/>
            <w:left w:val="none" w:sz="0" w:space="0" w:color="auto"/>
            <w:bottom w:val="none" w:sz="0" w:space="0" w:color="auto"/>
            <w:right w:val="none" w:sz="0" w:space="0" w:color="auto"/>
          </w:divBdr>
        </w:div>
        <w:div w:id="1755274323">
          <w:marLeft w:val="640"/>
          <w:marRight w:val="0"/>
          <w:marTop w:val="0"/>
          <w:marBottom w:val="0"/>
          <w:divBdr>
            <w:top w:val="none" w:sz="0" w:space="0" w:color="auto"/>
            <w:left w:val="none" w:sz="0" w:space="0" w:color="auto"/>
            <w:bottom w:val="none" w:sz="0" w:space="0" w:color="auto"/>
            <w:right w:val="none" w:sz="0" w:space="0" w:color="auto"/>
          </w:divBdr>
        </w:div>
        <w:div w:id="1788620680">
          <w:marLeft w:val="640"/>
          <w:marRight w:val="0"/>
          <w:marTop w:val="0"/>
          <w:marBottom w:val="0"/>
          <w:divBdr>
            <w:top w:val="none" w:sz="0" w:space="0" w:color="auto"/>
            <w:left w:val="none" w:sz="0" w:space="0" w:color="auto"/>
            <w:bottom w:val="none" w:sz="0" w:space="0" w:color="auto"/>
            <w:right w:val="none" w:sz="0" w:space="0" w:color="auto"/>
          </w:divBdr>
        </w:div>
        <w:div w:id="1194155351">
          <w:marLeft w:val="640"/>
          <w:marRight w:val="0"/>
          <w:marTop w:val="0"/>
          <w:marBottom w:val="0"/>
          <w:divBdr>
            <w:top w:val="none" w:sz="0" w:space="0" w:color="auto"/>
            <w:left w:val="none" w:sz="0" w:space="0" w:color="auto"/>
            <w:bottom w:val="none" w:sz="0" w:space="0" w:color="auto"/>
            <w:right w:val="none" w:sz="0" w:space="0" w:color="auto"/>
          </w:divBdr>
        </w:div>
        <w:div w:id="1447039855">
          <w:marLeft w:val="640"/>
          <w:marRight w:val="0"/>
          <w:marTop w:val="0"/>
          <w:marBottom w:val="0"/>
          <w:divBdr>
            <w:top w:val="none" w:sz="0" w:space="0" w:color="auto"/>
            <w:left w:val="none" w:sz="0" w:space="0" w:color="auto"/>
            <w:bottom w:val="none" w:sz="0" w:space="0" w:color="auto"/>
            <w:right w:val="none" w:sz="0" w:space="0" w:color="auto"/>
          </w:divBdr>
        </w:div>
        <w:div w:id="121769636">
          <w:marLeft w:val="640"/>
          <w:marRight w:val="0"/>
          <w:marTop w:val="0"/>
          <w:marBottom w:val="0"/>
          <w:divBdr>
            <w:top w:val="none" w:sz="0" w:space="0" w:color="auto"/>
            <w:left w:val="none" w:sz="0" w:space="0" w:color="auto"/>
            <w:bottom w:val="none" w:sz="0" w:space="0" w:color="auto"/>
            <w:right w:val="none" w:sz="0" w:space="0" w:color="auto"/>
          </w:divBdr>
        </w:div>
        <w:div w:id="2038655781">
          <w:marLeft w:val="640"/>
          <w:marRight w:val="0"/>
          <w:marTop w:val="0"/>
          <w:marBottom w:val="0"/>
          <w:divBdr>
            <w:top w:val="none" w:sz="0" w:space="0" w:color="auto"/>
            <w:left w:val="none" w:sz="0" w:space="0" w:color="auto"/>
            <w:bottom w:val="none" w:sz="0" w:space="0" w:color="auto"/>
            <w:right w:val="none" w:sz="0" w:space="0" w:color="auto"/>
          </w:divBdr>
        </w:div>
        <w:div w:id="397827081">
          <w:marLeft w:val="640"/>
          <w:marRight w:val="0"/>
          <w:marTop w:val="0"/>
          <w:marBottom w:val="0"/>
          <w:divBdr>
            <w:top w:val="none" w:sz="0" w:space="0" w:color="auto"/>
            <w:left w:val="none" w:sz="0" w:space="0" w:color="auto"/>
            <w:bottom w:val="none" w:sz="0" w:space="0" w:color="auto"/>
            <w:right w:val="none" w:sz="0" w:space="0" w:color="auto"/>
          </w:divBdr>
        </w:div>
        <w:div w:id="527646233">
          <w:marLeft w:val="640"/>
          <w:marRight w:val="0"/>
          <w:marTop w:val="0"/>
          <w:marBottom w:val="0"/>
          <w:divBdr>
            <w:top w:val="none" w:sz="0" w:space="0" w:color="auto"/>
            <w:left w:val="none" w:sz="0" w:space="0" w:color="auto"/>
            <w:bottom w:val="none" w:sz="0" w:space="0" w:color="auto"/>
            <w:right w:val="none" w:sz="0" w:space="0" w:color="auto"/>
          </w:divBdr>
        </w:div>
        <w:div w:id="1529485599">
          <w:marLeft w:val="640"/>
          <w:marRight w:val="0"/>
          <w:marTop w:val="0"/>
          <w:marBottom w:val="0"/>
          <w:divBdr>
            <w:top w:val="none" w:sz="0" w:space="0" w:color="auto"/>
            <w:left w:val="none" w:sz="0" w:space="0" w:color="auto"/>
            <w:bottom w:val="none" w:sz="0" w:space="0" w:color="auto"/>
            <w:right w:val="none" w:sz="0" w:space="0" w:color="auto"/>
          </w:divBdr>
        </w:div>
        <w:div w:id="727612556">
          <w:marLeft w:val="640"/>
          <w:marRight w:val="0"/>
          <w:marTop w:val="0"/>
          <w:marBottom w:val="0"/>
          <w:divBdr>
            <w:top w:val="none" w:sz="0" w:space="0" w:color="auto"/>
            <w:left w:val="none" w:sz="0" w:space="0" w:color="auto"/>
            <w:bottom w:val="none" w:sz="0" w:space="0" w:color="auto"/>
            <w:right w:val="none" w:sz="0" w:space="0" w:color="auto"/>
          </w:divBdr>
        </w:div>
        <w:div w:id="1512640821">
          <w:marLeft w:val="640"/>
          <w:marRight w:val="0"/>
          <w:marTop w:val="0"/>
          <w:marBottom w:val="0"/>
          <w:divBdr>
            <w:top w:val="none" w:sz="0" w:space="0" w:color="auto"/>
            <w:left w:val="none" w:sz="0" w:space="0" w:color="auto"/>
            <w:bottom w:val="none" w:sz="0" w:space="0" w:color="auto"/>
            <w:right w:val="none" w:sz="0" w:space="0" w:color="auto"/>
          </w:divBdr>
        </w:div>
        <w:div w:id="1304507305">
          <w:marLeft w:val="640"/>
          <w:marRight w:val="0"/>
          <w:marTop w:val="0"/>
          <w:marBottom w:val="0"/>
          <w:divBdr>
            <w:top w:val="none" w:sz="0" w:space="0" w:color="auto"/>
            <w:left w:val="none" w:sz="0" w:space="0" w:color="auto"/>
            <w:bottom w:val="none" w:sz="0" w:space="0" w:color="auto"/>
            <w:right w:val="none" w:sz="0" w:space="0" w:color="auto"/>
          </w:divBdr>
        </w:div>
        <w:div w:id="835655591">
          <w:marLeft w:val="640"/>
          <w:marRight w:val="0"/>
          <w:marTop w:val="0"/>
          <w:marBottom w:val="0"/>
          <w:divBdr>
            <w:top w:val="none" w:sz="0" w:space="0" w:color="auto"/>
            <w:left w:val="none" w:sz="0" w:space="0" w:color="auto"/>
            <w:bottom w:val="none" w:sz="0" w:space="0" w:color="auto"/>
            <w:right w:val="none" w:sz="0" w:space="0" w:color="auto"/>
          </w:divBdr>
        </w:div>
        <w:div w:id="1821798999">
          <w:marLeft w:val="640"/>
          <w:marRight w:val="0"/>
          <w:marTop w:val="0"/>
          <w:marBottom w:val="0"/>
          <w:divBdr>
            <w:top w:val="none" w:sz="0" w:space="0" w:color="auto"/>
            <w:left w:val="none" w:sz="0" w:space="0" w:color="auto"/>
            <w:bottom w:val="none" w:sz="0" w:space="0" w:color="auto"/>
            <w:right w:val="none" w:sz="0" w:space="0" w:color="auto"/>
          </w:divBdr>
        </w:div>
        <w:div w:id="855922570">
          <w:marLeft w:val="640"/>
          <w:marRight w:val="0"/>
          <w:marTop w:val="0"/>
          <w:marBottom w:val="0"/>
          <w:divBdr>
            <w:top w:val="none" w:sz="0" w:space="0" w:color="auto"/>
            <w:left w:val="none" w:sz="0" w:space="0" w:color="auto"/>
            <w:bottom w:val="none" w:sz="0" w:space="0" w:color="auto"/>
            <w:right w:val="none" w:sz="0" w:space="0" w:color="auto"/>
          </w:divBdr>
        </w:div>
        <w:div w:id="1208951986">
          <w:marLeft w:val="640"/>
          <w:marRight w:val="0"/>
          <w:marTop w:val="0"/>
          <w:marBottom w:val="0"/>
          <w:divBdr>
            <w:top w:val="none" w:sz="0" w:space="0" w:color="auto"/>
            <w:left w:val="none" w:sz="0" w:space="0" w:color="auto"/>
            <w:bottom w:val="none" w:sz="0" w:space="0" w:color="auto"/>
            <w:right w:val="none" w:sz="0" w:space="0" w:color="auto"/>
          </w:divBdr>
        </w:div>
        <w:div w:id="1241721509">
          <w:marLeft w:val="640"/>
          <w:marRight w:val="0"/>
          <w:marTop w:val="0"/>
          <w:marBottom w:val="0"/>
          <w:divBdr>
            <w:top w:val="none" w:sz="0" w:space="0" w:color="auto"/>
            <w:left w:val="none" w:sz="0" w:space="0" w:color="auto"/>
            <w:bottom w:val="none" w:sz="0" w:space="0" w:color="auto"/>
            <w:right w:val="none" w:sz="0" w:space="0" w:color="auto"/>
          </w:divBdr>
        </w:div>
        <w:div w:id="879560629">
          <w:marLeft w:val="640"/>
          <w:marRight w:val="0"/>
          <w:marTop w:val="0"/>
          <w:marBottom w:val="0"/>
          <w:divBdr>
            <w:top w:val="none" w:sz="0" w:space="0" w:color="auto"/>
            <w:left w:val="none" w:sz="0" w:space="0" w:color="auto"/>
            <w:bottom w:val="none" w:sz="0" w:space="0" w:color="auto"/>
            <w:right w:val="none" w:sz="0" w:space="0" w:color="auto"/>
          </w:divBdr>
        </w:div>
        <w:div w:id="451021736">
          <w:marLeft w:val="640"/>
          <w:marRight w:val="0"/>
          <w:marTop w:val="0"/>
          <w:marBottom w:val="0"/>
          <w:divBdr>
            <w:top w:val="none" w:sz="0" w:space="0" w:color="auto"/>
            <w:left w:val="none" w:sz="0" w:space="0" w:color="auto"/>
            <w:bottom w:val="none" w:sz="0" w:space="0" w:color="auto"/>
            <w:right w:val="none" w:sz="0" w:space="0" w:color="auto"/>
          </w:divBdr>
        </w:div>
        <w:div w:id="800343707">
          <w:marLeft w:val="640"/>
          <w:marRight w:val="0"/>
          <w:marTop w:val="0"/>
          <w:marBottom w:val="0"/>
          <w:divBdr>
            <w:top w:val="none" w:sz="0" w:space="0" w:color="auto"/>
            <w:left w:val="none" w:sz="0" w:space="0" w:color="auto"/>
            <w:bottom w:val="none" w:sz="0" w:space="0" w:color="auto"/>
            <w:right w:val="none" w:sz="0" w:space="0" w:color="auto"/>
          </w:divBdr>
        </w:div>
        <w:div w:id="1945913786">
          <w:marLeft w:val="640"/>
          <w:marRight w:val="0"/>
          <w:marTop w:val="0"/>
          <w:marBottom w:val="0"/>
          <w:divBdr>
            <w:top w:val="none" w:sz="0" w:space="0" w:color="auto"/>
            <w:left w:val="none" w:sz="0" w:space="0" w:color="auto"/>
            <w:bottom w:val="none" w:sz="0" w:space="0" w:color="auto"/>
            <w:right w:val="none" w:sz="0" w:space="0" w:color="auto"/>
          </w:divBdr>
        </w:div>
        <w:div w:id="86931590">
          <w:marLeft w:val="640"/>
          <w:marRight w:val="0"/>
          <w:marTop w:val="0"/>
          <w:marBottom w:val="0"/>
          <w:divBdr>
            <w:top w:val="none" w:sz="0" w:space="0" w:color="auto"/>
            <w:left w:val="none" w:sz="0" w:space="0" w:color="auto"/>
            <w:bottom w:val="none" w:sz="0" w:space="0" w:color="auto"/>
            <w:right w:val="none" w:sz="0" w:space="0" w:color="auto"/>
          </w:divBdr>
        </w:div>
        <w:div w:id="412241166">
          <w:marLeft w:val="640"/>
          <w:marRight w:val="0"/>
          <w:marTop w:val="0"/>
          <w:marBottom w:val="0"/>
          <w:divBdr>
            <w:top w:val="none" w:sz="0" w:space="0" w:color="auto"/>
            <w:left w:val="none" w:sz="0" w:space="0" w:color="auto"/>
            <w:bottom w:val="none" w:sz="0" w:space="0" w:color="auto"/>
            <w:right w:val="none" w:sz="0" w:space="0" w:color="auto"/>
          </w:divBdr>
        </w:div>
        <w:div w:id="290088372">
          <w:marLeft w:val="640"/>
          <w:marRight w:val="0"/>
          <w:marTop w:val="0"/>
          <w:marBottom w:val="0"/>
          <w:divBdr>
            <w:top w:val="none" w:sz="0" w:space="0" w:color="auto"/>
            <w:left w:val="none" w:sz="0" w:space="0" w:color="auto"/>
            <w:bottom w:val="none" w:sz="0" w:space="0" w:color="auto"/>
            <w:right w:val="none" w:sz="0" w:space="0" w:color="auto"/>
          </w:divBdr>
        </w:div>
        <w:div w:id="2077320876">
          <w:marLeft w:val="640"/>
          <w:marRight w:val="0"/>
          <w:marTop w:val="0"/>
          <w:marBottom w:val="0"/>
          <w:divBdr>
            <w:top w:val="none" w:sz="0" w:space="0" w:color="auto"/>
            <w:left w:val="none" w:sz="0" w:space="0" w:color="auto"/>
            <w:bottom w:val="none" w:sz="0" w:space="0" w:color="auto"/>
            <w:right w:val="none" w:sz="0" w:space="0" w:color="auto"/>
          </w:divBdr>
        </w:div>
        <w:div w:id="387535313">
          <w:marLeft w:val="640"/>
          <w:marRight w:val="0"/>
          <w:marTop w:val="0"/>
          <w:marBottom w:val="0"/>
          <w:divBdr>
            <w:top w:val="none" w:sz="0" w:space="0" w:color="auto"/>
            <w:left w:val="none" w:sz="0" w:space="0" w:color="auto"/>
            <w:bottom w:val="none" w:sz="0" w:space="0" w:color="auto"/>
            <w:right w:val="none" w:sz="0" w:space="0" w:color="auto"/>
          </w:divBdr>
        </w:div>
        <w:div w:id="254024550">
          <w:marLeft w:val="640"/>
          <w:marRight w:val="0"/>
          <w:marTop w:val="0"/>
          <w:marBottom w:val="0"/>
          <w:divBdr>
            <w:top w:val="none" w:sz="0" w:space="0" w:color="auto"/>
            <w:left w:val="none" w:sz="0" w:space="0" w:color="auto"/>
            <w:bottom w:val="none" w:sz="0" w:space="0" w:color="auto"/>
            <w:right w:val="none" w:sz="0" w:space="0" w:color="auto"/>
          </w:divBdr>
        </w:div>
        <w:div w:id="1831480300">
          <w:marLeft w:val="640"/>
          <w:marRight w:val="0"/>
          <w:marTop w:val="0"/>
          <w:marBottom w:val="0"/>
          <w:divBdr>
            <w:top w:val="none" w:sz="0" w:space="0" w:color="auto"/>
            <w:left w:val="none" w:sz="0" w:space="0" w:color="auto"/>
            <w:bottom w:val="none" w:sz="0" w:space="0" w:color="auto"/>
            <w:right w:val="none" w:sz="0" w:space="0" w:color="auto"/>
          </w:divBdr>
        </w:div>
        <w:div w:id="105973269">
          <w:marLeft w:val="640"/>
          <w:marRight w:val="0"/>
          <w:marTop w:val="0"/>
          <w:marBottom w:val="0"/>
          <w:divBdr>
            <w:top w:val="none" w:sz="0" w:space="0" w:color="auto"/>
            <w:left w:val="none" w:sz="0" w:space="0" w:color="auto"/>
            <w:bottom w:val="none" w:sz="0" w:space="0" w:color="auto"/>
            <w:right w:val="none" w:sz="0" w:space="0" w:color="auto"/>
          </w:divBdr>
        </w:div>
        <w:div w:id="457921527">
          <w:marLeft w:val="640"/>
          <w:marRight w:val="0"/>
          <w:marTop w:val="0"/>
          <w:marBottom w:val="0"/>
          <w:divBdr>
            <w:top w:val="none" w:sz="0" w:space="0" w:color="auto"/>
            <w:left w:val="none" w:sz="0" w:space="0" w:color="auto"/>
            <w:bottom w:val="none" w:sz="0" w:space="0" w:color="auto"/>
            <w:right w:val="none" w:sz="0" w:space="0" w:color="auto"/>
          </w:divBdr>
        </w:div>
        <w:div w:id="1627276165">
          <w:marLeft w:val="640"/>
          <w:marRight w:val="0"/>
          <w:marTop w:val="0"/>
          <w:marBottom w:val="0"/>
          <w:divBdr>
            <w:top w:val="none" w:sz="0" w:space="0" w:color="auto"/>
            <w:left w:val="none" w:sz="0" w:space="0" w:color="auto"/>
            <w:bottom w:val="none" w:sz="0" w:space="0" w:color="auto"/>
            <w:right w:val="none" w:sz="0" w:space="0" w:color="auto"/>
          </w:divBdr>
        </w:div>
        <w:div w:id="1540580964">
          <w:marLeft w:val="640"/>
          <w:marRight w:val="0"/>
          <w:marTop w:val="0"/>
          <w:marBottom w:val="0"/>
          <w:divBdr>
            <w:top w:val="none" w:sz="0" w:space="0" w:color="auto"/>
            <w:left w:val="none" w:sz="0" w:space="0" w:color="auto"/>
            <w:bottom w:val="none" w:sz="0" w:space="0" w:color="auto"/>
            <w:right w:val="none" w:sz="0" w:space="0" w:color="auto"/>
          </w:divBdr>
        </w:div>
        <w:div w:id="1384521661">
          <w:marLeft w:val="640"/>
          <w:marRight w:val="0"/>
          <w:marTop w:val="0"/>
          <w:marBottom w:val="0"/>
          <w:divBdr>
            <w:top w:val="none" w:sz="0" w:space="0" w:color="auto"/>
            <w:left w:val="none" w:sz="0" w:space="0" w:color="auto"/>
            <w:bottom w:val="none" w:sz="0" w:space="0" w:color="auto"/>
            <w:right w:val="none" w:sz="0" w:space="0" w:color="auto"/>
          </w:divBdr>
        </w:div>
        <w:div w:id="1938515248">
          <w:marLeft w:val="640"/>
          <w:marRight w:val="0"/>
          <w:marTop w:val="0"/>
          <w:marBottom w:val="0"/>
          <w:divBdr>
            <w:top w:val="none" w:sz="0" w:space="0" w:color="auto"/>
            <w:left w:val="none" w:sz="0" w:space="0" w:color="auto"/>
            <w:bottom w:val="none" w:sz="0" w:space="0" w:color="auto"/>
            <w:right w:val="none" w:sz="0" w:space="0" w:color="auto"/>
          </w:divBdr>
        </w:div>
        <w:div w:id="1726951442">
          <w:marLeft w:val="640"/>
          <w:marRight w:val="0"/>
          <w:marTop w:val="0"/>
          <w:marBottom w:val="0"/>
          <w:divBdr>
            <w:top w:val="none" w:sz="0" w:space="0" w:color="auto"/>
            <w:left w:val="none" w:sz="0" w:space="0" w:color="auto"/>
            <w:bottom w:val="none" w:sz="0" w:space="0" w:color="auto"/>
            <w:right w:val="none" w:sz="0" w:space="0" w:color="auto"/>
          </w:divBdr>
        </w:div>
        <w:div w:id="1113554113">
          <w:marLeft w:val="640"/>
          <w:marRight w:val="0"/>
          <w:marTop w:val="0"/>
          <w:marBottom w:val="0"/>
          <w:divBdr>
            <w:top w:val="none" w:sz="0" w:space="0" w:color="auto"/>
            <w:left w:val="none" w:sz="0" w:space="0" w:color="auto"/>
            <w:bottom w:val="none" w:sz="0" w:space="0" w:color="auto"/>
            <w:right w:val="none" w:sz="0" w:space="0" w:color="auto"/>
          </w:divBdr>
        </w:div>
        <w:div w:id="754981999">
          <w:marLeft w:val="640"/>
          <w:marRight w:val="0"/>
          <w:marTop w:val="0"/>
          <w:marBottom w:val="0"/>
          <w:divBdr>
            <w:top w:val="none" w:sz="0" w:space="0" w:color="auto"/>
            <w:left w:val="none" w:sz="0" w:space="0" w:color="auto"/>
            <w:bottom w:val="none" w:sz="0" w:space="0" w:color="auto"/>
            <w:right w:val="none" w:sz="0" w:space="0" w:color="auto"/>
          </w:divBdr>
        </w:div>
        <w:div w:id="1920749500">
          <w:marLeft w:val="640"/>
          <w:marRight w:val="0"/>
          <w:marTop w:val="0"/>
          <w:marBottom w:val="0"/>
          <w:divBdr>
            <w:top w:val="none" w:sz="0" w:space="0" w:color="auto"/>
            <w:left w:val="none" w:sz="0" w:space="0" w:color="auto"/>
            <w:bottom w:val="none" w:sz="0" w:space="0" w:color="auto"/>
            <w:right w:val="none" w:sz="0" w:space="0" w:color="auto"/>
          </w:divBdr>
        </w:div>
        <w:div w:id="1301501458">
          <w:marLeft w:val="640"/>
          <w:marRight w:val="0"/>
          <w:marTop w:val="0"/>
          <w:marBottom w:val="0"/>
          <w:divBdr>
            <w:top w:val="none" w:sz="0" w:space="0" w:color="auto"/>
            <w:left w:val="none" w:sz="0" w:space="0" w:color="auto"/>
            <w:bottom w:val="none" w:sz="0" w:space="0" w:color="auto"/>
            <w:right w:val="none" w:sz="0" w:space="0" w:color="auto"/>
          </w:divBdr>
        </w:div>
        <w:div w:id="1753693936">
          <w:marLeft w:val="640"/>
          <w:marRight w:val="0"/>
          <w:marTop w:val="0"/>
          <w:marBottom w:val="0"/>
          <w:divBdr>
            <w:top w:val="none" w:sz="0" w:space="0" w:color="auto"/>
            <w:left w:val="none" w:sz="0" w:space="0" w:color="auto"/>
            <w:bottom w:val="none" w:sz="0" w:space="0" w:color="auto"/>
            <w:right w:val="none" w:sz="0" w:space="0" w:color="auto"/>
          </w:divBdr>
        </w:div>
        <w:div w:id="548961327">
          <w:marLeft w:val="640"/>
          <w:marRight w:val="0"/>
          <w:marTop w:val="0"/>
          <w:marBottom w:val="0"/>
          <w:divBdr>
            <w:top w:val="none" w:sz="0" w:space="0" w:color="auto"/>
            <w:left w:val="none" w:sz="0" w:space="0" w:color="auto"/>
            <w:bottom w:val="none" w:sz="0" w:space="0" w:color="auto"/>
            <w:right w:val="none" w:sz="0" w:space="0" w:color="auto"/>
          </w:divBdr>
        </w:div>
        <w:div w:id="1928341249">
          <w:marLeft w:val="640"/>
          <w:marRight w:val="0"/>
          <w:marTop w:val="0"/>
          <w:marBottom w:val="0"/>
          <w:divBdr>
            <w:top w:val="none" w:sz="0" w:space="0" w:color="auto"/>
            <w:left w:val="none" w:sz="0" w:space="0" w:color="auto"/>
            <w:bottom w:val="none" w:sz="0" w:space="0" w:color="auto"/>
            <w:right w:val="none" w:sz="0" w:space="0" w:color="auto"/>
          </w:divBdr>
        </w:div>
        <w:div w:id="1566406406">
          <w:marLeft w:val="640"/>
          <w:marRight w:val="0"/>
          <w:marTop w:val="0"/>
          <w:marBottom w:val="0"/>
          <w:divBdr>
            <w:top w:val="none" w:sz="0" w:space="0" w:color="auto"/>
            <w:left w:val="none" w:sz="0" w:space="0" w:color="auto"/>
            <w:bottom w:val="none" w:sz="0" w:space="0" w:color="auto"/>
            <w:right w:val="none" w:sz="0" w:space="0" w:color="auto"/>
          </w:divBdr>
        </w:div>
        <w:div w:id="931163145">
          <w:marLeft w:val="640"/>
          <w:marRight w:val="0"/>
          <w:marTop w:val="0"/>
          <w:marBottom w:val="0"/>
          <w:divBdr>
            <w:top w:val="none" w:sz="0" w:space="0" w:color="auto"/>
            <w:left w:val="none" w:sz="0" w:space="0" w:color="auto"/>
            <w:bottom w:val="none" w:sz="0" w:space="0" w:color="auto"/>
            <w:right w:val="none" w:sz="0" w:space="0" w:color="auto"/>
          </w:divBdr>
        </w:div>
        <w:div w:id="807432667">
          <w:marLeft w:val="640"/>
          <w:marRight w:val="0"/>
          <w:marTop w:val="0"/>
          <w:marBottom w:val="0"/>
          <w:divBdr>
            <w:top w:val="none" w:sz="0" w:space="0" w:color="auto"/>
            <w:left w:val="none" w:sz="0" w:space="0" w:color="auto"/>
            <w:bottom w:val="none" w:sz="0" w:space="0" w:color="auto"/>
            <w:right w:val="none" w:sz="0" w:space="0" w:color="auto"/>
          </w:divBdr>
        </w:div>
        <w:div w:id="1427387341">
          <w:marLeft w:val="640"/>
          <w:marRight w:val="0"/>
          <w:marTop w:val="0"/>
          <w:marBottom w:val="0"/>
          <w:divBdr>
            <w:top w:val="none" w:sz="0" w:space="0" w:color="auto"/>
            <w:left w:val="none" w:sz="0" w:space="0" w:color="auto"/>
            <w:bottom w:val="none" w:sz="0" w:space="0" w:color="auto"/>
            <w:right w:val="none" w:sz="0" w:space="0" w:color="auto"/>
          </w:divBdr>
        </w:div>
        <w:div w:id="1885751854">
          <w:marLeft w:val="640"/>
          <w:marRight w:val="0"/>
          <w:marTop w:val="0"/>
          <w:marBottom w:val="0"/>
          <w:divBdr>
            <w:top w:val="none" w:sz="0" w:space="0" w:color="auto"/>
            <w:left w:val="none" w:sz="0" w:space="0" w:color="auto"/>
            <w:bottom w:val="none" w:sz="0" w:space="0" w:color="auto"/>
            <w:right w:val="none" w:sz="0" w:space="0" w:color="auto"/>
          </w:divBdr>
        </w:div>
        <w:div w:id="1628001480">
          <w:marLeft w:val="640"/>
          <w:marRight w:val="0"/>
          <w:marTop w:val="0"/>
          <w:marBottom w:val="0"/>
          <w:divBdr>
            <w:top w:val="none" w:sz="0" w:space="0" w:color="auto"/>
            <w:left w:val="none" w:sz="0" w:space="0" w:color="auto"/>
            <w:bottom w:val="none" w:sz="0" w:space="0" w:color="auto"/>
            <w:right w:val="none" w:sz="0" w:space="0" w:color="auto"/>
          </w:divBdr>
        </w:div>
        <w:div w:id="531263708">
          <w:marLeft w:val="640"/>
          <w:marRight w:val="0"/>
          <w:marTop w:val="0"/>
          <w:marBottom w:val="0"/>
          <w:divBdr>
            <w:top w:val="none" w:sz="0" w:space="0" w:color="auto"/>
            <w:left w:val="none" w:sz="0" w:space="0" w:color="auto"/>
            <w:bottom w:val="none" w:sz="0" w:space="0" w:color="auto"/>
            <w:right w:val="none" w:sz="0" w:space="0" w:color="auto"/>
          </w:divBdr>
        </w:div>
        <w:div w:id="1899389583">
          <w:marLeft w:val="640"/>
          <w:marRight w:val="0"/>
          <w:marTop w:val="0"/>
          <w:marBottom w:val="0"/>
          <w:divBdr>
            <w:top w:val="none" w:sz="0" w:space="0" w:color="auto"/>
            <w:left w:val="none" w:sz="0" w:space="0" w:color="auto"/>
            <w:bottom w:val="none" w:sz="0" w:space="0" w:color="auto"/>
            <w:right w:val="none" w:sz="0" w:space="0" w:color="auto"/>
          </w:divBdr>
        </w:div>
        <w:div w:id="300690819">
          <w:marLeft w:val="640"/>
          <w:marRight w:val="0"/>
          <w:marTop w:val="0"/>
          <w:marBottom w:val="0"/>
          <w:divBdr>
            <w:top w:val="none" w:sz="0" w:space="0" w:color="auto"/>
            <w:left w:val="none" w:sz="0" w:space="0" w:color="auto"/>
            <w:bottom w:val="none" w:sz="0" w:space="0" w:color="auto"/>
            <w:right w:val="none" w:sz="0" w:space="0" w:color="auto"/>
          </w:divBdr>
        </w:div>
        <w:div w:id="1271862673">
          <w:marLeft w:val="640"/>
          <w:marRight w:val="0"/>
          <w:marTop w:val="0"/>
          <w:marBottom w:val="0"/>
          <w:divBdr>
            <w:top w:val="none" w:sz="0" w:space="0" w:color="auto"/>
            <w:left w:val="none" w:sz="0" w:space="0" w:color="auto"/>
            <w:bottom w:val="none" w:sz="0" w:space="0" w:color="auto"/>
            <w:right w:val="none" w:sz="0" w:space="0" w:color="auto"/>
          </w:divBdr>
        </w:div>
        <w:div w:id="1713459838">
          <w:marLeft w:val="640"/>
          <w:marRight w:val="0"/>
          <w:marTop w:val="0"/>
          <w:marBottom w:val="0"/>
          <w:divBdr>
            <w:top w:val="none" w:sz="0" w:space="0" w:color="auto"/>
            <w:left w:val="none" w:sz="0" w:space="0" w:color="auto"/>
            <w:bottom w:val="none" w:sz="0" w:space="0" w:color="auto"/>
            <w:right w:val="none" w:sz="0" w:space="0" w:color="auto"/>
          </w:divBdr>
        </w:div>
        <w:div w:id="890381501">
          <w:marLeft w:val="640"/>
          <w:marRight w:val="0"/>
          <w:marTop w:val="0"/>
          <w:marBottom w:val="0"/>
          <w:divBdr>
            <w:top w:val="none" w:sz="0" w:space="0" w:color="auto"/>
            <w:left w:val="none" w:sz="0" w:space="0" w:color="auto"/>
            <w:bottom w:val="none" w:sz="0" w:space="0" w:color="auto"/>
            <w:right w:val="none" w:sz="0" w:space="0" w:color="auto"/>
          </w:divBdr>
        </w:div>
        <w:div w:id="1572959050">
          <w:marLeft w:val="640"/>
          <w:marRight w:val="0"/>
          <w:marTop w:val="0"/>
          <w:marBottom w:val="0"/>
          <w:divBdr>
            <w:top w:val="none" w:sz="0" w:space="0" w:color="auto"/>
            <w:left w:val="none" w:sz="0" w:space="0" w:color="auto"/>
            <w:bottom w:val="none" w:sz="0" w:space="0" w:color="auto"/>
            <w:right w:val="none" w:sz="0" w:space="0" w:color="auto"/>
          </w:divBdr>
        </w:div>
        <w:div w:id="959724471">
          <w:marLeft w:val="640"/>
          <w:marRight w:val="0"/>
          <w:marTop w:val="0"/>
          <w:marBottom w:val="0"/>
          <w:divBdr>
            <w:top w:val="none" w:sz="0" w:space="0" w:color="auto"/>
            <w:left w:val="none" w:sz="0" w:space="0" w:color="auto"/>
            <w:bottom w:val="none" w:sz="0" w:space="0" w:color="auto"/>
            <w:right w:val="none" w:sz="0" w:space="0" w:color="auto"/>
          </w:divBdr>
        </w:div>
        <w:div w:id="2027251136">
          <w:marLeft w:val="640"/>
          <w:marRight w:val="0"/>
          <w:marTop w:val="0"/>
          <w:marBottom w:val="0"/>
          <w:divBdr>
            <w:top w:val="none" w:sz="0" w:space="0" w:color="auto"/>
            <w:left w:val="none" w:sz="0" w:space="0" w:color="auto"/>
            <w:bottom w:val="none" w:sz="0" w:space="0" w:color="auto"/>
            <w:right w:val="none" w:sz="0" w:space="0" w:color="auto"/>
          </w:divBdr>
        </w:div>
        <w:div w:id="1740791204">
          <w:marLeft w:val="640"/>
          <w:marRight w:val="0"/>
          <w:marTop w:val="0"/>
          <w:marBottom w:val="0"/>
          <w:divBdr>
            <w:top w:val="none" w:sz="0" w:space="0" w:color="auto"/>
            <w:left w:val="none" w:sz="0" w:space="0" w:color="auto"/>
            <w:bottom w:val="none" w:sz="0" w:space="0" w:color="auto"/>
            <w:right w:val="none" w:sz="0" w:space="0" w:color="auto"/>
          </w:divBdr>
        </w:div>
        <w:div w:id="254631432">
          <w:marLeft w:val="640"/>
          <w:marRight w:val="0"/>
          <w:marTop w:val="0"/>
          <w:marBottom w:val="0"/>
          <w:divBdr>
            <w:top w:val="none" w:sz="0" w:space="0" w:color="auto"/>
            <w:left w:val="none" w:sz="0" w:space="0" w:color="auto"/>
            <w:bottom w:val="none" w:sz="0" w:space="0" w:color="auto"/>
            <w:right w:val="none" w:sz="0" w:space="0" w:color="auto"/>
          </w:divBdr>
        </w:div>
        <w:div w:id="1993750485">
          <w:marLeft w:val="640"/>
          <w:marRight w:val="0"/>
          <w:marTop w:val="0"/>
          <w:marBottom w:val="0"/>
          <w:divBdr>
            <w:top w:val="none" w:sz="0" w:space="0" w:color="auto"/>
            <w:left w:val="none" w:sz="0" w:space="0" w:color="auto"/>
            <w:bottom w:val="none" w:sz="0" w:space="0" w:color="auto"/>
            <w:right w:val="none" w:sz="0" w:space="0" w:color="auto"/>
          </w:divBdr>
        </w:div>
        <w:div w:id="167453880">
          <w:marLeft w:val="640"/>
          <w:marRight w:val="0"/>
          <w:marTop w:val="0"/>
          <w:marBottom w:val="0"/>
          <w:divBdr>
            <w:top w:val="none" w:sz="0" w:space="0" w:color="auto"/>
            <w:left w:val="none" w:sz="0" w:space="0" w:color="auto"/>
            <w:bottom w:val="none" w:sz="0" w:space="0" w:color="auto"/>
            <w:right w:val="none" w:sz="0" w:space="0" w:color="auto"/>
          </w:divBdr>
        </w:div>
        <w:div w:id="1413625840">
          <w:marLeft w:val="640"/>
          <w:marRight w:val="0"/>
          <w:marTop w:val="0"/>
          <w:marBottom w:val="0"/>
          <w:divBdr>
            <w:top w:val="none" w:sz="0" w:space="0" w:color="auto"/>
            <w:left w:val="none" w:sz="0" w:space="0" w:color="auto"/>
            <w:bottom w:val="none" w:sz="0" w:space="0" w:color="auto"/>
            <w:right w:val="none" w:sz="0" w:space="0" w:color="auto"/>
          </w:divBdr>
        </w:div>
        <w:div w:id="632567532">
          <w:marLeft w:val="640"/>
          <w:marRight w:val="0"/>
          <w:marTop w:val="0"/>
          <w:marBottom w:val="0"/>
          <w:divBdr>
            <w:top w:val="none" w:sz="0" w:space="0" w:color="auto"/>
            <w:left w:val="none" w:sz="0" w:space="0" w:color="auto"/>
            <w:bottom w:val="none" w:sz="0" w:space="0" w:color="auto"/>
            <w:right w:val="none" w:sz="0" w:space="0" w:color="auto"/>
          </w:divBdr>
        </w:div>
        <w:div w:id="415787969">
          <w:marLeft w:val="640"/>
          <w:marRight w:val="0"/>
          <w:marTop w:val="0"/>
          <w:marBottom w:val="0"/>
          <w:divBdr>
            <w:top w:val="none" w:sz="0" w:space="0" w:color="auto"/>
            <w:left w:val="none" w:sz="0" w:space="0" w:color="auto"/>
            <w:bottom w:val="none" w:sz="0" w:space="0" w:color="auto"/>
            <w:right w:val="none" w:sz="0" w:space="0" w:color="auto"/>
          </w:divBdr>
        </w:div>
        <w:div w:id="1729576316">
          <w:marLeft w:val="640"/>
          <w:marRight w:val="0"/>
          <w:marTop w:val="0"/>
          <w:marBottom w:val="0"/>
          <w:divBdr>
            <w:top w:val="none" w:sz="0" w:space="0" w:color="auto"/>
            <w:left w:val="none" w:sz="0" w:space="0" w:color="auto"/>
            <w:bottom w:val="none" w:sz="0" w:space="0" w:color="auto"/>
            <w:right w:val="none" w:sz="0" w:space="0" w:color="auto"/>
          </w:divBdr>
        </w:div>
        <w:div w:id="174613005">
          <w:marLeft w:val="640"/>
          <w:marRight w:val="0"/>
          <w:marTop w:val="0"/>
          <w:marBottom w:val="0"/>
          <w:divBdr>
            <w:top w:val="none" w:sz="0" w:space="0" w:color="auto"/>
            <w:left w:val="none" w:sz="0" w:space="0" w:color="auto"/>
            <w:bottom w:val="none" w:sz="0" w:space="0" w:color="auto"/>
            <w:right w:val="none" w:sz="0" w:space="0" w:color="auto"/>
          </w:divBdr>
        </w:div>
        <w:div w:id="623393563">
          <w:marLeft w:val="640"/>
          <w:marRight w:val="0"/>
          <w:marTop w:val="0"/>
          <w:marBottom w:val="0"/>
          <w:divBdr>
            <w:top w:val="none" w:sz="0" w:space="0" w:color="auto"/>
            <w:left w:val="none" w:sz="0" w:space="0" w:color="auto"/>
            <w:bottom w:val="none" w:sz="0" w:space="0" w:color="auto"/>
            <w:right w:val="none" w:sz="0" w:space="0" w:color="auto"/>
          </w:divBdr>
        </w:div>
        <w:div w:id="1044868940">
          <w:marLeft w:val="640"/>
          <w:marRight w:val="0"/>
          <w:marTop w:val="0"/>
          <w:marBottom w:val="0"/>
          <w:divBdr>
            <w:top w:val="none" w:sz="0" w:space="0" w:color="auto"/>
            <w:left w:val="none" w:sz="0" w:space="0" w:color="auto"/>
            <w:bottom w:val="none" w:sz="0" w:space="0" w:color="auto"/>
            <w:right w:val="none" w:sz="0" w:space="0" w:color="auto"/>
          </w:divBdr>
        </w:div>
        <w:div w:id="215897114">
          <w:marLeft w:val="640"/>
          <w:marRight w:val="0"/>
          <w:marTop w:val="0"/>
          <w:marBottom w:val="0"/>
          <w:divBdr>
            <w:top w:val="none" w:sz="0" w:space="0" w:color="auto"/>
            <w:left w:val="none" w:sz="0" w:space="0" w:color="auto"/>
            <w:bottom w:val="none" w:sz="0" w:space="0" w:color="auto"/>
            <w:right w:val="none" w:sz="0" w:space="0" w:color="auto"/>
          </w:divBdr>
        </w:div>
        <w:div w:id="735012269">
          <w:marLeft w:val="640"/>
          <w:marRight w:val="0"/>
          <w:marTop w:val="0"/>
          <w:marBottom w:val="0"/>
          <w:divBdr>
            <w:top w:val="none" w:sz="0" w:space="0" w:color="auto"/>
            <w:left w:val="none" w:sz="0" w:space="0" w:color="auto"/>
            <w:bottom w:val="none" w:sz="0" w:space="0" w:color="auto"/>
            <w:right w:val="none" w:sz="0" w:space="0" w:color="auto"/>
          </w:divBdr>
        </w:div>
        <w:div w:id="1391228437">
          <w:marLeft w:val="640"/>
          <w:marRight w:val="0"/>
          <w:marTop w:val="0"/>
          <w:marBottom w:val="0"/>
          <w:divBdr>
            <w:top w:val="none" w:sz="0" w:space="0" w:color="auto"/>
            <w:left w:val="none" w:sz="0" w:space="0" w:color="auto"/>
            <w:bottom w:val="none" w:sz="0" w:space="0" w:color="auto"/>
            <w:right w:val="none" w:sz="0" w:space="0" w:color="auto"/>
          </w:divBdr>
        </w:div>
        <w:div w:id="1823739733">
          <w:marLeft w:val="640"/>
          <w:marRight w:val="0"/>
          <w:marTop w:val="0"/>
          <w:marBottom w:val="0"/>
          <w:divBdr>
            <w:top w:val="none" w:sz="0" w:space="0" w:color="auto"/>
            <w:left w:val="none" w:sz="0" w:space="0" w:color="auto"/>
            <w:bottom w:val="none" w:sz="0" w:space="0" w:color="auto"/>
            <w:right w:val="none" w:sz="0" w:space="0" w:color="auto"/>
          </w:divBdr>
        </w:div>
        <w:div w:id="1192065915">
          <w:marLeft w:val="640"/>
          <w:marRight w:val="0"/>
          <w:marTop w:val="0"/>
          <w:marBottom w:val="0"/>
          <w:divBdr>
            <w:top w:val="none" w:sz="0" w:space="0" w:color="auto"/>
            <w:left w:val="none" w:sz="0" w:space="0" w:color="auto"/>
            <w:bottom w:val="none" w:sz="0" w:space="0" w:color="auto"/>
            <w:right w:val="none" w:sz="0" w:space="0" w:color="auto"/>
          </w:divBdr>
        </w:div>
        <w:div w:id="689530958">
          <w:marLeft w:val="640"/>
          <w:marRight w:val="0"/>
          <w:marTop w:val="0"/>
          <w:marBottom w:val="0"/>
          <w:divBdr>
            <w:top w:val="none" w:sz="0" w:space="0" w:color="auto"/>
            <w:left w:val="none" w:sz="0" w:space="0" w:color="auto"/>
            <w:bottom w:val="none" w:sz="0" w:space="0" w:color="auto"/>
            <w:right w:val="none" w:sz="0" w:space="0" w:color="auto"/>
          </w:divBdr>
        </w:div>
        <w:div w:id="1990941123">
          <w:marLeft w:val="640"/>
          <w:marRight w:val="0"/>
          <w:marTop w:val="0"/>
          <w:marBottom w:val="0"/>
          <w:divBdr>
            <w:top w:val="none" w:sz="0" w:space="0" w:color="auto"/>
            <w:left w:val="none" w:sz="0" w:space="0" w:color="auto"/>
            <w:bottom w:val="none" w:sz="0" w:space="0" w:color="auto"/>
            <w:right w:val="none" w:sz="0" w:space="0" w:color="auto"/>
          </w:divBdr>
        </w:div>
        <w:div w:id="1379742330">
          <w:marLeft w:val="640"/>
          <w:marRight w:val="0"/>
          <w:marTop w:val="0"/>
          <w:marBottom w:val="0"/>
          <w:divBdr>
            <w:top w:val="none" w:sz="0" w:space="0" w:color="auto"/>
            <w:left w:val="none" w:sz="0" w:space="0" w:color="auto"/>
            <w:bottom w:val="none" w:sz="0" w:space="0" w:color="auto"/>
            <w:right w:val="none" w:sz="0" w:space="0" w:color="auto"/>
          </w:divBdr>
        </w:div>
        <w:div w:id="553541448">
          <w:marLeft w:val="640"/>
          <w:marRight w:val="0"/>
          <w:marTop w:val="0"/>
          <w:marBottom w:val="0"/>
          <w:divBdr>
            <w:top w:val="none" w:sz="0" w:space="0" w:color="auto"/>
            <w:left w:val="none" w:sz="0" w:space="0" w:color="auto"/>
            <w:bottom w:val="none" w:sz="0" w:space="0" w:color="auto"/>
            <w:right w:val="none" w:sz="0" w:space="0" w:color="auto"/>
          </w:divBdr>
        </w:div>
        <w:div w:id="1029570629">
          <w:marLeft w:val="640"/>
          <w:marRight w:val="0"/>
          <w:marTop w:val="0"/>
          <w:marBottom w:val="0"/>
          <w:divBdr>
            <w:top w:val="none" w:sz="0" w:space="0" w:color="auto"/>
            <w:left w:val="none" w:sz="0" w:space="0" w:color="auto"/>
            <w:bottom w:val="none" w:sz="0" w:space="0" w:color="auto"/>
            <w:right w:val="none" w:sz="0" w:space="0" w:color="auto"/>
          </w:divBdr>
        </w:div>
        <w:div w:id="1253003955">
          <w:marLeft w:val="640"/>
          <w:marRight w:val="0"/>
          <w:marTop w:val="0"/>
          <w:marBottom w:val="0"/>
          <w:divBdr>
            <w:top w:val="none" w:sz="0" w:space="0" w:color="auto"/>
            <w:left w:val="none" w:sz="0" w:space="0" w:color="auto"/>
            <w:bottom w:val="none" w:sz="0" w:space="0" w:color="auto"/>
            <w:right w:val="none" w:sz="0" w:space="0" w:color="auto"/>
          </w:divBdr>
        </w:div>
        <w:div w:id="504367889">
          <w:marLeft w:val="640"/>
          <w:marRight w:val="0"/>
          <w:marTop w:val="0"/>
          <w:marBottom w:val="0"/>
          <w:divBdr>
            <w:top w:val="none" w:sz="0" w:space="0" w:color="auto"/>
            <w:left w:val="none" w:sz="0" w:space="0" w:color="auto"/>
            <w:bottom w:val="none" w:sz="0" w:space="0" w:color="auto"/>
            <w:right w:val="none" w:sz="0" w:space="0" w:color="auto"/>
          </w:divBdr>
        </w:div>
        <w:div w:id="567769810">
          <w:marLeft w:val="640"/>
          <w:marRight w:val="0"/>
          <w:marTop w:val="0"/>
          <w:marBottom w:val="0"/>
          <w:divBdr>
            <w:top w:val="none" w:sz="0" w:space="0" w:color="auto"/>
            <w:left w:val="none" w:sz="0" w:space="0" w:color="auto"/>
            <w:bottom w:val="none" w:sz="0" w:space="0" w:color="auto"/>
            <w:right w:val="none" w:sz="0" w:space="0" w:color="auto"/>
          </w:divBdr>
        </w:div>
        <w:div w:id="673342216">
          <w:marLeft w:val="640"/>
          <w:marRight w:val="0"/>
          <w:marTop w:val="0"/>
          <w:marBottom w:val="0"/>
          <w:divBdr>
            <w:top w:val="none" w:sz="0" w:space="0" w:color="auto"/>
            <w:left w:val="none" w:sz="0" w:space="0" w:color="auto"/>
            <w:bottom w:val="none" w:sz="0" w:space="0" w:color="auto"/>
            <w:right w:val="none" w:sz="0" w:space="0" w:color="auto"/>
          </w:divBdr>
        </w:div>
        <w:div w:id="227885187">
          <w:marLeft w:val="640"/>
          <w:marRight w:val="0"/>
          <w:marTop w:val="0"/>
          <w:marBottom w:val="0"/>
          <w:divBdr>
            <w:top w:val="none" w:sz="0" w:space="0" w:color="auto"/>
            <w:left w:val="none" w:sz="0" w:space="0" w:color="auto"/>
            <w:bottom w:val="none" w:sz="0" w:space="0" w:color="auto"/>
            <w:right w:val="none" w:sz="0" w:space="0" w:color="auto"/>
          </w:divBdr>
        </w:div>
        <w:div w:id="1902708497">
          <w:marLeft w:val="640"/>
          <w:marRight w:val="0"/>
          <w:marTop w:val="0"/>
          <w:marBottom w:val="0"/>
          <w:divBdr>
            <w:top w:val="none" w:sz="0" w:space="0" w:color="auto"/>
            <w:left w:val="none" w:sz="0" w:space="0" w:color="auto"/>
            <w:bottom w:val="none" w:sz="0" w:space="0" w:color="auto"/>
            <w:right w:val="none" w:sz="0" w:space="0" w:color="auto"/>
          </w:divBdr>
        </w:div>
        <w:div w:id="1435008319">
          <w:marLeft w:val="640"/>
          <w:marRight w:val="0"/>
          <w:marTop w:val="0"/>
          <w:marBottom w:val="0"/>
          <w:divBdr>
            <w:top w:val="none" w:sz="0" w:space="0" w:color="auto"/>
            <w:left w:val="none" w:sz="0" w:space="0" w:color="auto"/>
            <w:bottom w:val="none" w:sz="0" w:space="0" w:color="auto"/>
            <w:right w:val="none" w:sz="0" w:space="0" w:color="auto"/>
          </w:divBdr>
        </w:div>
        <w:div w:id="1799689581">
          <w:marLeft w:val="640"/>
          <w:marRight w:val="0"/>
          <w:marTop w:val="0"/>
          <w:marBottom w:val="0"/>
          <w:divBdr>
            <w:top w:val="none" w:sz="0" w:space="0" w:color="auto"/>
            <w:left w:val="none" w:sz="0" w:space="0" w:color="auto"/>
            <w:bottom w:val="none" w:sz="0" w:space="0" w:color="auto"/>
            <w:right w:val="none" w:sz="0" w:space="0" w:color="auto"/>
          </w:divBdr>
        </w:div>
        <w:div w:id="580454237">
          <w:marLeft w:val="640"/>
          <w:marRight w:val="0"/>
          <w:marTop w:val="0"/>
          <w:marBottom w:val="0"/>
          <w:divBdr>
            <w:top w:val="none" w:sz="0" w:space="0" w:color="auto"/>
            <w:left w:val="none" w:sz="0" w:space="0" w:color="auto"/>
            <w:bottom w:val="none" w:sz="0" w:space="0" w:color="auto"/>
            <w:right w:val="none" w:sz="0" w:space="0" w:color="auto"/>
          </w:divBdr>
        </w:div>
        <w:div w:id="555825122">
          <w:marLeft w:val="640"/>
          <w:marRight w:val="0"/>
          <w:marTop w:val="0"/>
          <w:marBottom w:val="0"/>
          <w:divBdr>
            <w:top w:val="none" w:sz="0" w:space="0" w:color="auto"/>
            <w:left w:val="none" w:sz="0" w:space="0" w:color="auto"/>
            <w:bottom w:val="none" w:sz="0" w:space="0" w:color="auto"/>
            <w:right w:val="none" w:sz="0" w:space="0" w:color="auto"/>
          </w:divBdr>
        </w:div>
        <w:div w:id="1295981882">
          <w:marLeft w:val="640"/>
          <w:marRight w:val="0"/>
          <w:marTop w:val="0"/>
          <w:marBottom w:val="0"/>
          <w:divBdr>
            <w:top w:val="none" w:sz="0" w:space="0" w:color="auto"/>
            <w:left w:val="none" w:sz="0" w:space="0" w:color="auto"/>
            <w:bottom w:val="none" w:sz="0" w:space="0" w:color="auto"/>
            <w:right w:val="none" w:sz="0" w:space="0" w:color="auto"/>
          </w:divBdr>
        </w:div>
        <w:div w:id="766923451">
          <w:marLeft w:val="640"/>
          <w:marRight w:val="0"/>
          <w:marTop w:val="0"/>
          <w:marBottom w:val="0"/>
          <w:divBdr>
            <w:top w:val="none" w:sz="0" w:space="0" w:color="auto"/>
            <w:left w:val="none" w:sz="0" w:space="0" w:color="auto"/>
            <w:bottom w:val="none" w:sz="0" w:space="0" w:color="auto"/>
            <w:right w:val="none" w:sz="0" w:space="0" w:color="auto"/>
          </w:divBdr>
        </w:div>
        <w:div w:id="1813402542">
          <w:marLeft w:val="640"/>
          <w:marRight w:val="0"/>
          <w:marTop w:val="0"/>
          <w:marBottom w:val="0"/>
          <w:divBdr>
            <w:top w:val="none" w:sz="0" w:space="0" w:color="auto"/>
            <w:left w:val="none" w:sz="0" w:space="0" w:color="auto"/>
            <w:bottom w:val="none" w:sz="0" w:space="0" w:color="auto"/>
            <w:right w:val="none" w:sz="0" w:space="0" w:color="auto"/>
          </w:divBdr>
        </w:div>
        <w:div w:id="254441605">
          <w:marLeft w:val="640"/>
          <w:marRight w:val="0"/>
          <w:marTop w:val="0"/>
          <w:marBottom w:val="0"/>
          <w:divBdr>
            <w:top w:val="none" w:sz="0" w:space="0" w:color="auto"/>
            <w:left w:val="none" w:sz="0" w:space="0" w:color="auto"/>
            <w:bottom w:val="none" w:sz="0" w:space="0" w:color="auto"/>
            <w:right w:val="none" w:sz="0" w:space="0" w:color="auto"/>
          </w:divBdr>
        </w:div>
        <w:div w:id="1252592186">
          <w:marLeft w:val="640"/>
          <w:marRight w:val="0"/>
          <w:marTop w:val="0"/>
          <w:marBottom w:val="0"/>
          <w:divBdr>
            <w:top w:val="none" w:sz="0" w:space="0" w:color="auto"/>
            <w:left w:val="none" w:sz="0" w:space="0" w:color="auto"/>
            <w:bottom w:val="none" w:sz="0" w:space="0" w:color="auto"/>
            <w:right w:val="none" w:sz="0" w:space="0" w:color="auto"/>
          </w:divBdr>
        </w:div>
        <w:div w:id="954679924">
          <w:marLeft w:val="640"/>
          <w:marRight w:val="0"/>
          <w:marTop w:val="0"/>
          <w:marBottom w:val="0"/>
          <w:divBdr>
            <w:top w:val="none" w:sz="0" w:space="0" w:color="auto"/>
            <w:left w:val="none" w:sz="0" w:space="0" w:color="auto"/>
            <w:bottom w:val="none" w:sz="0" w:space="0" w:color="auto"/>
            <w:right w:val="none" w:sz="0" w:space="0" w:color="auto"/>
          </w:divBdr>
        </w:div>
        <w:div w:id="1789659949">
          <w:marLeft w:val="640"/>
          <w:marRight w:val="0"/>
          <w:marTop w:val="0"/>
          <w:marBottom w:val="0"/>
          <w:divBdr>
            <w:top w:val="none" w:sz="0" w:space="0" w:color="auto"/>
            <w:left w:val="none" w:sz="0" w:space="0" w:color="auto"/>
            <w:bottom w:val="none" w:sz="0" w:space="0" w:color="auto"/>
            <w:right w:val="none" w:sz="0" w:space="0" w:color="auto"/>
          </w:divBdr>
        </w:div>
        <w:div w:id="827407680">
          <w:marLeft w:val="640"/>
          <w:marRight w:val="0"/>
          <w:marTop w:val="0"/>
          <w:marBottom w:val="0"/>
          <w:divBdr>
            <w:top w:val="none" w:sz="0" w:space="0" w:color="auto"/>
            <w:left w:val="none" w:sz="0" w:space="0" w:color="auto"/>
            <w:bottom w:val="none" w:sz="0" w:space="0" w:color="auto"/>
            <w:right w:val="none" w:sz="0" w:space="0" w:color="auto"/>
          </w:divBdr>
        </w:div>
        <w:div w:id="386027341">
          <w:marLeft w:val="640"/>
          <w:marRight w:val="0"/>
          <w:marTop w:val="0"/>
          <w:marBottom w:val="0"/>
          <w:divBdr>
            <w:top w:val="none" w:sz="0" w:space="0" w:color="auto"/>
            <w:left w:val="none" w:sz="0" w:space="0" w:color="auto"/>
            <w:bottom w:val="none" w:sz="0" w:space="0" w:color="auto"/>
            <w:right w:val="none" w:sz="0" w:space="0" w:color="auto"/>
          </w:divBdr>
        </w:div>
        <w:div w:id="1289043571">
          <w:marLeft w:val="640"/>
          <w:marRight w:val="0"/>
          <w:marTop w:val="0"/>
          <w:marBottom w:val="0"/>
          <w:divBdr>
            <w:top w:val="none" w:sz="0" w:space="0" w:color="auto"/>
            <w:left w:val="none" w:sz="0" w:space="0" w:color="auto"/>
            <w:bottom w:val="none" w:sz="0" w:space="0" w:color="auto"/>
            <w:right w:val="none" w:sz="0" w:space="0" w:color="auto"/>
          </w:divBdr>
        </w:div>
        <w:div w:id="1061439970">
          <w:marLeft w:val="640"/>
          <w:marRight w:val="0"/>
          <w:marTop w:val="0"/>
          <w:marBottom w:val="0"/>
          <w:divBdr>
            <w:top w:val="none" w:sz="0" w:space="0" w:color="auto"/>
            <w:left w:val="none" w:sz="0" w:space="0" w:color="auto"/>
            <w:bottom w:val="none" w:sz="0" w:space="0" w:color="auto"/>
            <w:right w:val="none" w:sz="0" w:space="0" w:color="auto"/>
          </w:divBdr>
        </w:div>
        <w:div w:id="1937207884">
          <w:marLeft w:val="640"/>
          <w:marRight w:val="0"/>
          <w:marTop w:val="0"/>
          <w:marBottom w:val="0"/>
          <w:divBdr>
            <w:top w:val="none" w:sz="0" w:space="0" w:color="auto"/>
            <w:left w:val="none" w:sz="0" w:space="0" w:color="auto"/>
            <w:bottom w:val="none" w:sz="0" w:space="0" w:color="auto"/>
            <w:right w:val="none" w:sz="0" w:space="0" w:color="auto"/>
          </w:divBdr>
        </w:div>
        <w:div w:id="185679478">
          <w:marLeft w:val="640"/>
          <w:marRight w:val="0"/>
          <w:marTop w:val="0"/>
          <w:marBottom w:val="0"/>
          <w:divBdr>
            <w:top w:val="none" w:sz="0" w:space="0" w:color="auto"/>
            <w:left w:val="none" w:sz="0" w:space="0" w:color="auto"/>
            <w:bottom w:val="none" w:sz="0" w:space="0" w:color="auto"/>
            <w:right w:val="none" w:sz="0" w:space="0" w:color="auto"/>
          </w:divBdr>
        </w:div>
        <w:div w:id="383717314">
          <w:marLeft w:val="640"/>
          <w:marRight w:val="0"/>
          <w:marTop w:val="0"/>
          <w:marBottom w:val="0"/>
          <w:divBdr>
            <w:top w:val="none" w:sz="0" w:space="0" w:color="auto"/>
            <w:left w:val="none" w:sz="0" w:space="0" w:color="auto"/>
            <w:bottom w:val="none" w:sz="0" w:space="0" w:color="auto"/>
            <w:right w:val="none" w:sz="0" w:space="0" w:color="auto"/>
          </w:divBdr>
        </w:div>
        <w:div w:id="1968464515">
          <w:marLeft w:val="640"/>
          <w:marRight w:val="0"/>
          <w:marTop w:val="0"/>
          <w:marBottom w:val="0"/>
          <w:divBdr>
            <w:top w:val="none" w:sz="0" w:space="0" w:color="auto"/>
            <w:left w:val="none" w:sz="0" w:space="0" w:color="auto"/>
            <w:bottom w:val="none" w:sz="0" w:space="0" w:color="auto"/>
            <w:right w:val="none" w:sz="0" w:space="0" w:color="auto"/>
          </w:divBdr>
        </w:div>
        <w:div w:id="31539882">
          <w:marLeft w:val="640"/>
          <w:marRight w:val="0"/>
          <w:marTop w:val="0"/>
          <w:marBottom w:val="0"/>
          <w:divBdr>
            <w:top w:val="none" w:sz="0" w:space="0" w:color="auto"/>
            <w:left w:val="none" w:sz="0" w:space="0" w:color="auto"/>
            <w:bottom w:val="none" w:sz="0" w:space="0" w:color="auto"/>
            <w:right w:val="none" w:sz="0" w:space="0" w:color="auto"/>
          </w:divBdr>
        </w:div>
        <w:div w:id="788013463">
          <w:marLeft w:val="640"/>
          <w:marRight w:val="0"/>
          <w:marTop w:val="0"/>
          <w:marBottom w:val="0"/>
          <w:divBdr>
            <w:top w:val="none" w:sz="0" w:space="0" w:color="auto"/>
            <w:left w:val="none" w:sz="0" w:space="0" w:color="auto"/>
            <w:bottom w:val="none" w:sz="0" w:space="0" w:color="auto"/>
            <w:right w:val="none" w:sz="0" w:space="0" w:color="auto"/>
          </w:divBdr>
        </w:div>
        <w:div w:id="660155739">
          <w:marLeft w:val="640"/>
          <w:marRight w:val="0"/>
          <w:marTop w:val="0"/>
          <w:marBottom w:val="0"/>
          <w:divBdr>
            <w:top w:val="none" w:sz="0" w:space="0" w:color="auto"/>
            <w:left w:val="none" w:sz="0" w:space="0" w:color="auto"/>
            <w:bottom w:val="none" w:sz="0" w:space="0" w:color="auto"/>
            <w:right w:val="none" w:sz="0" w:space="0" w:color="auto"/>
          </w:divBdr>
        </w:div>
        <w:div w:id="1431855741">
          <w:marLeft w:val="640"/>
          <w:marRight w:val="0"/>
          <w:marTop w:val="0"/>
          <w:marBottom w:val="0"/>
          <w:divBdr>
            <w:top w:val="none" w:sz="0" w:space="0" w:color="auto"/>
            <w:left w:val="none" w:sz="0" w:space="0" w:color="auto"/>
            <w:bottom w:val="none" w:sz="0" w:space="0" w:color="auto"/>
            <w:right w:val="none" w:sz="0" w:space="0" w:color="auto"/>
          </w:divBdr>
        </w:div>
        <w:div w:id="1425882289">
          <w:marLeft w:val="640"/>
          <w:marRight w:val="0"/>
          <w:marTop w:val="0"/>
          <w:marBottom w:val="0"/>
          <w:divBdr>
            <w:top w:val="none" w:sz="0" w:space="0" w:color="auto"/>
            <w:left w:val="none" w:sz="0" w:space="0" w:color="auto"/>
            <w:bottom w:val="none" w:sz="0" w:space="0" w:color="auto"/>
            <w:right w:val="none" w:sz="0" w:space="0" w:color="auto"/>
          </w:divBdr>
        </w:div>
        <w:div w:id="2010522774">
          <w:marLeft w:val="640"/>
          <w:marRight w:val="0"/>
          <w:marTop w:val="0"/>
          <w:marBottom w:val="0"/>
          <w:divBdr>
            <w:top w:val="none" w:sz="0" w:space="0" w:color="auto"/>
            <w:left w:val="none" w:sz="0" w:space="0" w:color="auto"/>
            <w:bottom w:val="none" w:sz="0" w:space="0" w:color="auto"/>
            <w:right w:val="none" w:sz="0" w:space="0" w:color="auto"/>
          </w:divBdr>
        </w:div>
        <w:div w:id="1090195133">
          <w:marLeft w:val="640"/>
          <w:marRight w:val="0"/>
          <w:marTop w:val="0"/>
          <w:marBottom w:val="0"/>
          <w:divBdr>
            <w:top w:val="none" w:sz="0" w:space="0" w:color="auto"/>
            <w:left w:val="none" w:sz="0" w:space="0" w:color="auto"/>
            <w:bottom w:val="none" w:sz="0" w:space="0" w:color="auto"/>
            <w:right w:val="none" w:sz="0" w:space="0" w:color="auto"/>
          </w:divBdr>
        </w:div>
        <w:div w:id="677926833">
          <w:marLeft w:val="640"/>
          <w:marRight w:val="0"/>
          <w:marTop w:val="0"/>
          <w:marBottom w:val="0"/>
          <w:divBdr>
            <w:top w:val="none" w:sz="0" w:space="0" w:color="auto"/>
            <w:left w:val="none" w:sz="0" w:space="0" w:color="auto"/>
            <w:bottom w:val="none" w:sz="0" w:space="0" w:color="auto"/>
            <w:right w:val="none" w:sz="0" w:space="0" w:color="auto"/>
          </w:divBdr>
        </w:div>
        <w:div w:id="868371334">
          <w:marLeft w:val="640"/>
          <w:marRight w:val="0"/>
          <w:marTop w:val="0"/>
          <w:marBottom w:val="0"/>
          <w:divBdr>
            <w:top w:val="none" w:sz="0" w:space="0" w:color="auto"/>
            <w:left w:val="none" w:sz="0" w:space="0" w:color="auto"/>
            <w:bottom w:val="none" w:sz="0" w:space="0" w:color="auto"/>
            <w:right w:val="none" w:sz="0" w:space="0" w:color="auto"/>
          </w:divBdr>
        </w:div>
        <w:div w:id="2062513408">
          <w:marLeft w:val="640"/>
          <w:marRight w:val="0"/>
          <w:marTop w:val="0"/>
          <w:marBottom w:val="0"/>
          <w:divBdr>
            <w:top w:val="none" w:sz="0" w:space="0" w:color="auto"/>
            <w:left w:val="none" w:sz="0" w:space="0" w:color="auto"/>
            <w:bottom w:val="none" w:sz="0" w:space="0" w:color="auto"/>
            <w:right w:val="none" w:sz="0" w:space="0" w:color="auto"/>
          </w:divBdr>
        </w:div>
        <w:div w:id="1179393206">
          <w:marLeft w:val="640"/>
          <w:marRight w:val="0"/>
          <w:marTop w:val="0"/>
          <w:marBottom w:val="0"/>
          <w:divBdr>
            <w:top w:val="none" w:sz="0" w:space="0" w:color="auto"/>
            <w:left w:val="none" w:sz="0" w:space="0" w:color="auto"/>
            <w:bottom w:val="none" w:sz="0" w:space="0" w:color="auto"/>
            <w:right w:val="none" w:sz="0" w:space="0" w:color="auto"/>
          </w:divBdr>
        </w:div>
        <w:div w:id="1957633249">
          <w:marLeft w:val="640"/>
          <w:marRight w:val="0"/>
          <w:marTop w:val="0"/>
          <w:marBottom w:val="0"/>
          <w:divBdr>
            <w:top w:val="none" w:sz="0" w:space="0" w:color="auto"/>
            <w:left w:val="none" w:sz="0" w:space="0" w:color="auto"/>
            <w:bottom w:val="none" w:sz="0" w:space="0" w:color="auto"/>
            <w:right w:val="none" w:sz="0" w:space="0" w:color="auto"/>
          </w:divBdr>
        </w:div>
        <w:div w:id="255017216">
          <w:marLeft w:val="640"/>
          <w:marRight w:val="0"/>
          <w:marTop w:val="0"/>
          <w:marBottom w:val="0"/>
          <w:divBdr>
            <w:top w:val="none" w:sz="0" w:space="0" w:color="auto"/>
            <w:left w:val="none" w:sz="0" w:space="0" w:color="auto"/>
            <w:bottom w:val="none" w:sz="0" w:space="0" w:color="auto"/>
            <w:right w:val="none" w:sz="0" w:space="0" w:color="auto"/>
          </w:divBdr>
        </w:div>
        <w:div w:id="1762680861">
          <w:marLeft w:val="640"/>
          <w:marRight w:val="0"/>
          <w:marTop w:val="0"/>
          <w:marBottom w:val="0"/>
          <w:divBdr>
            <w:top w:val="none" w:sz="0" w:space="0" w:color="auto"/>
            <w:left w:val="none" w:sz="0" w:space="0" w:color="auto"/>
            <w:bottom w:val="none" w:sz="0" w:space="0" w:color="auto"/>
            <w:right w:val="none" w:sz="0" w:space="0" w:color="auto"/>
          </w:divBdr>
        </w:div>
        <w:div w:id="720717441">
          <w:marLeft w:val="640"/>
          <w:marRight w:val="0"/>
          <w:marTop w:val="0"/>
          <w:marBottom w:val="0"/>
          <w:divBdr>
            <w:top w:val="none" w:sz="0" w:space="0" w:color="auto"/>
            <w:left w:val="none" w:sz="0" w:space="0" w:color="auto"/>
            <w:bottom w:val="none" w:sz="0" w:space="0" w:color="auto"/>
            <w:right w:val="none" w:sz="0" w:space="0" w:color="auto"/>
          </w:divBdr>
        </w:div>
        <w:div w:id="649140457">
          <w:marLeft w:val="640"/>
          <w:marRight w:val="0"/>
          <w:marTop w:val="0"/>
          <w:marBottom w:val="0"/>
          <w:divBdr>
            <w:top w:val="none" w:sz="0" w:space="0" w:color="auto"/>
            <w:left w:val="none" w:sz="0" w:space="0" w:color="auto"/>
            <w:bottom w:val="none" w:sz="0" w:space="0" w:color="auto"/>
            <w:right w:val="none" w:sz="0" w:space="0" w:color="auto"/>
          </w:divBdr>
        </w:div>
        <w:div w:id="1332879776">
          <w:marLeft w:val="640"/>
          <w:marRight w:val="0"/>
          <w:marTop w:val="0"/>
          <w:marBottom w:val="0"/>
          <w:divBdr>
            <w:top w:val="none" w:sz="0" w:space="0" w:color="auto"/>
            <w:left w:val="none" w:sz="0" w:space="0" w:color="auto"/>
            <w:bottom w:val="none" w:sz="0" w:space="0" w:color="auto"/>
            <w:right w:val="none" w:sz="0" w:space="0" w:color="auto"/>
          </w:divBdr>
        </w:div>
        <w:div w:id="1166482076">
          <w:marLeft w:val="640"/>
          <w:marRight w:val="0"/>
          <w:marTop w:val="0"/>
          <w:marBottom w:val="0"/>
          <w:divBdr>
            <w:top w:val="none" w:sz="0" w:space="0" w:color="auto"/>
            <w:left w:val="none" w:sz="0" w:space="0" w:color="auto"/>
            <w:bottom w:val="none" w:sz="0" w:space="0" w:color="auto"/>
            <w:right w:val="none" w:sz="0" w:space="0" w:color="auto"/>
          </w:divBdr>
        </w:div>
        <w:div w:id="1670215482">
          <w:marLeft w:val="640"/>
          <w:marRight w:val="0"/>
          <w:marTop w:val="0"/>
          <w:marBottom w:val="0"/>
          <w:divBdr>
            <w:top w:val="none" w:sz="0" w:space="0" w:color="auto"/>
            <w:left w:val="none" w:sz="0" w:space="0" w:color="auto"/>
            <w:bottom w:val="none" w:sz="0" w:space="0" w:color="auto"/>
            <w:right w:val="none" w:sz="0" w:space="0" w:color="auto"/>
          </w:divBdr>
        </w:div>
        <w:div w:id="1434934369">
          <w:marLeft w:val="640"/>
          <w:marRight w:val="0"/>
          <w:marTop w:val="0"/>
          <w:marBottom w:val="0"/>
          <w:divBdr>
            <w:top w:val="none" w:sz="0" w:space="0" w:color="auto"/>
            <w:left w:val="none" w:sz="0" w:space="0" w:color="auto"/>
            <w:bottom w:val="none" w:sz="0" w:space="0" w:color="auto"/>
            <w:right w:val="none" w:sz="0" w:space="0" w:color="auto"/>
          </w:divBdr>
        </w:div>
        <w:div w:id="7611085">
          <w:marLeft w:val="640"/>
          <w:marRight w:val="0"/>
          <w:marTop w:val="0"/>
          <w:marBottom w:val="0"/>
          <w:divBdr>
            <w:top w:val="none" w:sz="0" w:space="0" w:color="auto"/>
            <w:left w:val="none" w:sz="0" w:space="0" w:color="auto"/>
            <w:bottom w:val="none" w:sz="0" w:space="0" w:color="auto"/>
            <w:right w:val="none" w:sz="0" w:space="0" w:color="auto"/>
          </w:divBdr>
        </w:div>
        <w:div w:id="1610969864">
          <w:marLeft w:val="640"/>
          <w:marRight w:val="0"/>
          <w:marTop w:val="0"/>
          <w:marBottom w:val="0"/>
          <w:divBdr>
            <w:top w:val="none" w:sz="0" w:space="0" w:color="auto"/>
            <w:left w:val="none" w:sz="0" w:space="0" w:color="auto"/>
            <w:bottom w:val="none" w:sz="0" w:space="0" w:color="auto"/>
            <w:right w:val="none" w:sz="0" w:space="0" w:color="auto"/>
          </w:divBdr>
        </w:div>
        <w:div w:id="827866481">
          <w:marLeft w:val="640"/>
          <w:marRight w:val="0"/>
          <w:marTop w:val="0"/>
          <w:marBottom w:val="0"/>
          <w:divBdr>
            <w:top w:val="none" w:sz="0" w:space="0" w:color="auto"/>
            <w:left w:val="none" w:sz="0" w:space="0" w:color="auto"/>
            <w:bottom w:val="none" w:sz="0" w:space="0" w:color="auto"/>
            <w:right w:val="none" w:sz="0" w:space="0" w:color="auto"/>
          </w:divBdr>
        </w:div>
        <w:div w:id="750393844">
          <w:marLeft w:val="640"/>
          <w:marRight w:val="0"/>
          <w:marTop w:val="0"/>
          <w:marBottom w:val="0"/>
          <w:divBdr>
            <w:top w:val="none" w:sz="0" w:space="0" w:color="auto"/>
            <w:left w:val="none" w:sz="0" w:space="0" w:color="auto"/>
            <w:bottom w:val="none" w:sz="0" w:space="0" w:color="auto"/>
            <w:right w:val="none" w:sz="0" w:space="0" w:color="auto"/>
          </w:divBdr>
        </w:div>
        <w:div w:id="1244796389">
          <w:marLeft w:val="640"/>
          <w:marRight w:val="0"/>
          <w:marTop w:val="0"/>
          <w:marBottom w:val="0"/>
          <w:divBdr>
            <w:top w:val="none" w:sz="0" w:space="0" w:color="auto"/>
            <w:left w:val="none" w:sz="0" w:space="0" w:color="auto"/>
            <w:bottom w:val="none" w:sz="0" w:space="0" w:color="auto"/>
            <w:right w:val="none" w:sz="0" w:space="0" w:color="auto"/>
          </w:divBdr>
        </w:div>
        <w:div w:id="2058511537">
          <w:marLeft w:val="640"/>
          <w:marRight w:val="0"/>
          <w:marTop w:val="0"/>
          <w:marBottom w:val="0"/>
          <w:divBdr>
            <w:top w:val="none" w:sz="0" w:space="0" w:color="auto"/>
            <w:left w:val="none" w:sz="0" w:space="0" w:color="auto"/>
            <w:bottom w:val="none" w:sz="0" w:space="0" w:color="auto"/>
            <w:right w:val="none" w:sz="0" w:space="0" w:color="auto"/>
          </w:divBdr>
        </w:div>
        <w:div w:id="1527598813">
          <w:marLeft w:val="640"/>
          <w:marRight w:val="0"/>
          <w:marTop w:val="0"/>
          <w:marBottom w:val="0"/>
          <w:divBdr>
            <w:top w:val="none" w:sz="0" w:space="0" w:color="auto"/>
            <w:left w:val="none" w:sz="0" w:space="0" w:color="auto"/>
            <w:bottom w:val="none" w:sz="0" w:space="0" w:color="auto"/>
            <w:right w:val="none" w:sz="0" w:space="0" w:color="auto"/>
          </w:divBdr>
        </w:div>
        <w:div w:id="3362093">
          <w:marLeft w:val="640"/>
          <w:marRight w:val="0"/>
          <w:marTop w:val="0"/>
          <w:marBottom w:val="0"/>
          <w:divBdr>
            <w:top w:val="none" w:sz="0" w:space="0" w:color="auto"/>
            <w:left w:val="none" w:sz="0" w:space="0" w:color="auto"/>
            <w:bottom w:val="none" w:sz="0" w:space="0" w:color="auto"/>
            <w:right w:val="none" w:sz="0" w:space="0" w:color="auto"/>
          </w:divBdr>
        </w:div>
        <w:div w:id="108202540">
          <w:marLeft w:val="640"/>
          <w:marRight w:val="0"/>
          <w:marTop w:val="0"/>
          <w:marBottom w:val="0"/>
          <w:divBdr>
            <w:top w:val="none" w:sz="0" w:space="0" w:color="auto"/>
            <w:left w:val="none" w:sz="0" w:space="0" w:color="auto"/>
            <w:bottom w:val="none" w:sz="0" w:space="0" w:color="auto"/>
            <w:right w:val="none" w:sz="0" w:space="0" w:color="auto"/>
          </w:divBdr>
        </w:div>
        <w:div w:id="2098478361">
          <w:marLeft w:val="640"/>
          <w:marRight w:val="0"/>
          <w:marTop w:val="0"/>
          <w:marBottom w:val="0"/>
          <w:divBdr>
            <w:top w:val="none" w:sz="0" w:space="0" w:color="auto"/>
            <w:left w:val="none" w:sz="0" w:space="0" w:color="auto"/>
            <w:bottom w:val="none" w:sz="0" w:space="0" w:color="auto"/>
            <w:right w:val="none" w:sz="0" w:space="0" w:color="auto"/>
          </w:divBdr>
        </w:div>
        <w:div w:id="1026639746">
          <w:marLeft w:val="640"/>
          <w:marRight w:val="0"/>
          <w:marTop w:val="0"/>
          <w:marBottom w:val="0"/>
          <w:divBdr>
            <w:top w:val="none" w:sz="0" w:space="0" w:color="auto"/>
            <w:left w:val="none" w:sz="0" w:space="0" w:color="auto"/>
            <w:bottom w:val="none" w:sz="0" w:space="0" w:color="auto"/>
            <w:right w:val="none" w:sz="0" w:space="0" w:color="auto"/>
          </w:divBdr>
        </w:div>
        <w:div w:id="1570577196">
          <w:marLeft w:val="640"/>
          <w:marRight w:val="0"/>
          <w:marTop w:val="0"/>
          <w:marBottom w:val="0"/>
          <w:divBdr>
            <w:top w:val="none" w:sz="0" w:space="0" w:color="auto"/>
            <w:left w:val="none" w:sz="0" w:space="0" w:color="auto"/>
            <w:bottom w:val="none" w:sz="0" w:space="0" w:color="auto"/>
            <w:right w:val="none" w:sz="0" w:space="0" w:color="auto"/>
          </w:divBdr>
        </w:div>
        <w:div w:id="1753578878">
          <w:marLeft w:val="640"/>
          <w:marRight w:val="0"/>
          <w:marTop w:val="0"/>
          <w:marBottom w:val="0"/>
          <w:divBdr>
            <w:top w:val="none" w:sz="0" w:space="0" w:color="auto"/>
            <w:left w:val="none" w:sz="0" w:space="0" w:color="auto"/>
            <w:bottom w:val="none" w:sz="0" w:space="0" w:color="auto"/>
            <w:right w:val="none" w:sz="0" w:space="0" w:color="auto"/>
          </w:divBdr>
        </w:div>
        <w:div w:id="1648044639">
          <w:marLeft w:val="640"/>
          <w:marRight w:val="0"/>
          <w:marTop w:val="0"/>
          <w:marBottom w:val="0"/>
          <w:divBdr>
            <w:top w:val="none" w:sz="0" w:space="0" w:color="auto"/>
            <w:left w:val="none" w:sz="0" w:space="0" w:color="auto"/>
            <w:bottom w:val="none" w:sz="0" w:space="0" w:color="auto"/>
            <w:right w:val="none" w:sz="0" w:space="0" w:color="auto"/>
          </w:divBdr>
        </w:div>
        <w:div w:id="1284849940">
          <w:marLeft w:val="640"/>
          <w:marRight w:val="0"/>
          <w:marTop w:val="0"/>
          <w:marBottom w:val="0"/>
          <w:divBdr>
            <w:top w:val="none" w:sz="0" w:space="0" w:color="auto"/>
            <w:left w:val="none" w:sz="0" w:space="0" w:color="auto"/>
            <w:bottom w:val="none" w:sz="0" w:space="0" w:color="auto"/>
            <w:right w:val="none" w:sz="0" w:space="0" w:color="auto"/>
          </w:divBdr>
        </w:div>
        <w:div w:id="1509835071">
          <w:marLeft w:val="640"/>
          <w:marRight w:val="0"/>
          <w:marTop w:val="0"/>
          <w:marBottom w:val="0"/>
          <w:divBdr>
            <w:top w:val="none" w:sz="0" w:space="0" w:color="auto"/>
            <w:left w:val="none" w:sz="0" w:space="0" w:color="auto"/>
            <w:bottom w:val="none" w:sz="0" w:space="0" w:color="auto"/>
            <w:right w:val="none" w:sz="0" w:space="0" w:color="auto"/>
          </w:divBdr>
        </w:div>
        <w:div w:id="1227186079">
          <w:marLeft w:val="640"/>
          <w:marRight w:val="0"/>
          <w:marTop w:val="0"/>
          <w:marBottom w:val="0"/>
          <w:divBdr>
            <w:top w:val="none" w:sz="0" w:space="0" w:color="auto"/>
            <w:left w:val="none" w:sz="0" w:space="0" w:color="auto"/>
            <w:bottom w:val="none" w:sz="0" w:space="0" w:color="auto"/>
            <w:right w:val="none" w:sz="0" w:space="0" w:color="auto"/>
          </w:divBdr>
        </w:div>
        <w:div w:id="446971939">
          <w:marLeft w:val="640"/>
          <w:marRight w:val="0"/>
          <w:marTop w:val="0"/>
          <w:marBottom w:val="0"/>
          <w:divBdr>
            <w:top w:val="none" w:sz="0" w:space="0" w:color="auto"/>
            <w:left w:val="none" w:sz="0" w:space="0" w:color="auto"/>
            <w:bottom w:val="none" w:sz="0" w:space="0" w:color="auto"/>
            <w:right w:val="none" w:sz="0" w:space="0" w:color="auto"/>
          </w:divBdr>
        </w:div>
        <w:div w:id="1076509495">
          <w:marLeft w:val="640"/>
          <w:marRight w:val="0"/>
          <w:marTop w:val="0"/>
          <w:marBottom w:val="0"/>
          <w:divBdr>
            <w:top w:val="none" w:sz="0" w:space="0" w:color="auto"/>
            <w:left w:val="none" w:sz="0" w:space="0" w:color="auto"/>
            <w:bottom w:val="none" w:sz="0" w:space="0" w:color="auto"/>
            <w:right w:val="none" w:sz="0" w:space="0" w:color="auto"/>
          </w:divBdr>
        </w:div>
        <w:div w:id="1846090722">
          <w:marLeft w:val="640"/>
          <w:marRight w:val="0"/>
          <w:marTop w:val="0"/>
          <w:marBottom w:val="0"/>
          <w:divBdr>
            <w:top w:val="none" w:sz="0" w:space="0" w:color="auto"/>
            <w:left w:val="none" w:sz="0" w:space="0" w:color="auto"/>
            <w:bottom w:val="none" w:sz="0" w:space="0" w:color="auto"/>
            <w:right w:val="none" w:sz="0" w:space="0" w:color="auto"/>
          </w:divBdr>
        </w:div>
        <w:div w:id="335688213">
          <w:marLeft w:val="640"/>
          <w:marRight w:val="0"/>
          <w:marTop w:val="0"/>
          <w:marBottom w:val="0"/>
          <w:divBdr>
            <w:top w:val="none" w:sz="0" w:space="0" w:color="auto"/>
            <w:left w:val="none" w:sz="0" w:space="0" w:color="auto"/>
            <w:bottom w:val="none" w:sz="0" w:space="0" w:color="auto"/>
            <w:right w:val="none" w:sz="0" w:space="0" w:color="auto"/>
          </w:divBdr>
        </w:div>
        <w:div w:id="1873106879">
          <w:marLeft w:val="640"/>
          <w:marRight w:val="0"/>
          <w:marTop w:val="0"/>
          <w:marBottom w:val="0"/>
          <w:divBdr>
            <w:top w:val="none" w:sz="0" w:space="0" w:color="auto"/>
            <w:left w:val="none" w:sz="0" w:space="0" w:color="auto"/>
            <w:bottom w:val="none" w:sz="0" w:space="0" w:color="auto"/>
            <w:right w:val="none" w:sz="0" w:space="0" w:color="auto"/>
          </w:divBdr>
        </w:div>
        <w:div w:id="1196039725">
          <w:marLeft w:val="640"/>
          <w:marRight w:val="0"/>
          <w:marTop w:val="0"/>
          <w:marBottom w:val="0"/>
          <w:divBdr>
            <w:top w:val="none" w:sz="0" w:space="0" w:color="auto"/>
            <w:left w:val="none" w:sz="0" w:space="0" w:color="auto"/>
            <w:bottom w:val="none" w:sz="0" w:space="0" w:color="auto"/>
            <w:right w:val="none" w:sz="0" w:space="0" w:color="auto"/>
          </w:divBdr>
        </w:div>
        <w:div w:id="434063402">
          <w:marLeft w:val="640"/>
          <w:marRight w:val="0"/>
          <w:marTop w:val="0"/>
          <w:marBottom w:val="0"/>
          <w:divBdr>
            <w:top w:val="none" w:sz="0" w:space="0" w:color="auto"/>
            <w:left w:val="none" w:sz="0" w:space="0" w:color="auto"/>
            <w:bottom w:val="none" w:sz="0" w:space="0" w:color="auto"/>
            <w:right w:val="none" w:sz="0" w:space="0" w:color="auto"/>
          </w:divBdr>
        </w:div>
        <w:div w:id="2060977926">
          <w:marLeft w:val="640"/>
          <w:marRight w:val="0"/>
          <w:marTop w:val="0"/>
          <w:marBottom w:val="0"/>
          <w:divBdr>
            <w:top w:val="none" w:sz="0" w:space="0" w:color="auto"/>
            <w:left w:val="none" w:sz="0" w:space="0" w:color="auto"/>
            <w:bottom w:val="none" w:sz="0" w:space="0" w:color="auto"/>
            <w:right w:val="none" w:sz="0" w:space="0" w:color="auto"/>
          </w:divBdr>
        </w:div>
        <w:div w:id="754015554">
          <w:marLeft w:val="640"/>
          <w:marRight w:val="0"/>
          <w:marTop w:val="0"/>
          <w:marBottom w:val="0"/>
          <w:divBdr>
            <w:top w:val="none" w:sz="0" w:space="0" w:color="auto"/>
            <w:left w:val="none" w:sz="0" w:space="0" w:color="auto"/>
            <w:bottom w:val="none" w:sz="0" w:space="0" w:color="auto"/>
            <w:right w:val="none" w:sz="0" w:space="0" w:color="auto"/>
          </w:divBdr>
        </w:div>
        <w:div w:id="2120488537">
          <w:marLeft w:val="640"/>
          <w:marRight w:val="0"/>
          <w:marTop w:val="0"/>
          <w:marBottom w:val="0"/>
          <w:divBdr>
            <w:top w:val="none" w:sz="0" w:space="0" w:color="auto"/>
            <w:left w:val="none" w:sz="0" w:space="0" w:color="auto"/>
            <w:bottom w:val="none" w:sz="0" w:space="0" w:color="auto"/>
            <w:right w:val="none" w:sz="0" w:space="0" w:color="auto"/>
          </w:divBdr>
        </w:div>
        <w:div w:id="1715689747">
          <w:marLeft w:val="640"/>
          <w:marRight w:val="0"/>
          <w:marTop w:val="0"/>
          <w:marBottom w:val="0"/>
          <w:divBdr>
            <w:top w:val="none" w:sz="0" w:space="0" w:color="auto"/>
            <w:left w:val="none" w:sz="0" w:space="0" w:color="auto"/>
            <w:bottom w:val="none" w:sz="0" w:space="0" w:color="auto"/>
            <w:right w:val="none" w:sz="0" w:space="0" w:color="auto"/>
          </w:divBdr>
        </w:div>
        <w:div w:id="1417439095">
          <w:marLeft w:val="640"/>
          <w:marRight w:val="0"/>
          <w:marTop w:val="0"/>
          <w:marBottom w:val="0"/>
          <w:divBdr>
            <w:top w:val="none" w:sz="0" w:space="0" w:color="auto"/>
            <w:left w:val="none" w:sz="0" w:space="0" w:color="auto"/>
            <w:bottom w:val="none" w:sz="0" w:space="0" w:color="auto"/>
            <w:right w:val="none" w:sz="0" w:space="0" w:color="auto"/>
          </w:divBdr>
        </w:div>
        <w:div w:id="1312639315">
          <w:marLeft w:val="640"/>
          <w:marRight w:val="0"/>
          <w:marTop w:val="0"/>
          <w:marBottom w:val="0"/>
          <w:divBdr>
            <w:top w:val="none" w:sz="0" w:space="0" w:color="auto"/>
            <w:left w:val="none" w:sz="0" w:space="0" w:color="auto"/>
            <w:bottom w:val="none" w:sz="0" w:space="0" w:color="auto"/>
            <w:right w:val="none" w:sz="0" w:space="0" w:color="auto"/>
          </w:divBdr>
        </w:div>
        <w:div w:id="2058043893">
          <w:marLeft w:val="640"/>
          <w:marRight w:val="0"/>
          <w:marTop w:val="0"/>
          <w:marBottom w:val="0"/>
          <w:divBdr>
            <w:top w:val="none" w:sz="0" w:space="0" w:color="auto"/>
            <w:left w:val="none" w:sz="0" w:space="0" w:color="auto"/>
            <w:bottom w:val="none" w:sz="0" w:space="0" w:color="auto"/>
            <w:right w:val="none" w:sz="0" w:space="0" w:color="auto"/>
          </w:divBdr>
        </w:div>
        <w:div w:id="1178078426">
          <w:marLeft w:val="640"/>
          <w:marRight w:val="0"/>
          <w:marTop w:val="0"/>
          <w:marBottom w:val="0"/>
          <w:divBdr>
            <w:top w:val="none" w:sz="0" w:space="0" w:color="auto"/>
            <w:left w:val="none" w:sz="0" w:space="0" w:color="auto"/>
            <w:bottom w:val="none" w:sz="0" w:space="0" w:color="auto"/>
            <w:right w:val="none" w:sz="0" w:space="0" w:color="auto"/>
          </w:divBdr>
        </w:div>
        <w:div w:id="326178390">
          <w:marLeft w:val="640"/>
          <w:marRight w:val="0"/>
          <w:marTop w:val="0"/>
          <w:marBottom w:val="0"/>
          <w:divBdr>
            <w:top w:val="none" w:sz="0" w:space="0" w:color="auto"/>
            <w:left w:val="none" w:sz="0" w:space="0" w:color="auto"/>
            <w:bottom w:val="none" w:sz="0" w:space="0" w:color="auto"/>
            <w:right w:val="none" w:sz="0" w:space="0" w:color="auto"/>
          </w:divBdr>
        </w:div>
        <w:div w:id="608200437">
          <w:marLeft w:val="640"/>
          <w:marRight w:val="0"/>
          <w:marTop w:val="0"/>
          <w:marBottom w:val="0"/>
          <w:divBdr>
            <w:top w:val="none" w:sz="0" w:space="0" w:color="auto"/>
            <w:left w:val="none" w:sz="0" w:space="0" w:color="auto"/>
            <w:bottom w:val="none" w:sz="0" w:space="0" w:color="auto"/>
            <w:right w:val="none" w:sz="0" w:space="0" w:color="auto"/>
          </w:divBdr>
        </w:div>
        <w:div w:id="1012343550">
          <w:marLeft w:val="640"/>
          <w:marRight w:val="0"/>
          <w:marTop w:val="0"/>
          <w:marBottom w:val="0"/>
          <w:divBdr>
            <w:top w:val="none" w:sz="0" w:space="0" w:color="auto"/>
            <w:left w:val="none" w:sz="0" w:space="0" w:color="auto"/>
            <w:bottom w:val="none" w:sz="0" w:space="0" w:color="auto"/>
            <w:right w:val="none" w:sz="0" w:space="0" w:color="auto"/>
          </w:divBdr>
        </w:div>
        <w:div w:id="1664309631">
          <w:marLeft w:val="640"/>
          <w:marRight w:val="0"/>
          <w:marTop w:val="0"/>
          <w:marBottom w:val="0"/>
          <w:divBdr>
            <w:top w:val="none" w:sz="0" w:space="0" w:color="auto"/>
            <w:left w:val="none" w:sz="0" w:space="0" w:color="auto"/>
            <w:bottom w:val="none" w:sz="0" w:space="0" w:color="auto"/>
            <w:right w:val="none" w:sz="0" w:space="0" w:color="auto"/>
          </w:divBdr>
        </w:div>
        <w:div w:id="450705095">
          <w:marLeft w:val="640"/>
          <w:marRight w:val="0"/>
          <w:marTop w:val="0"/>
          <w:marBottom w:val="0"/>
          <w:divBdr>
            <w:top w:val="none" w:sz="0" w:space="0" w:color="auto"/>
            <w:left w:val="none" w:sz="0" w:space="0" w:color="auto"/>
            <w:bottom w:val="none" w:sz="0" w:space="0" w:color="auto"/>
            <w:right w:val="none" w:sz="0" w:space="0" w:color="auto"/>
          </w:divBdr>
        </w:div>
        <w:div w:id="591279133">
          <w:marLeft w:val="640"/>
          <w:marRight w:val="0"/>
          <w:marTop w:val="0"/>
          <w:marBottom w:val="0"/>
          <w:divBdr>
            <w:top w:val="none" w:sz="0" w:space="0" w:color="auto"/>
            <w:left w:val="none" w:sz="0" w:space="0" w:color="auto"/>
            <w:bottom w:val="none" w:sz="0" w:space="0" w:color="auto"/>
            <w:right w:val="none" w:sz="0" w:space="0" w:color="auto"/>
          </w:divBdr>
        </w:div>
        <w:div w:id="1474133652">
          <w:marLeft w:val="640"/>
          <w:marRight w:val="0"/>
          <w:marTop w:val="0"/>
          <w:marBottom w:val="0"/>
          <w:divBdr>
            <w:top w:val="none" w:sz="0" w:space="0" w:color="auto"/>
            <w:left w:val="none" w:sz="0" w:space="0" w:color="auto"/>
            <w:bottom w:val="none" w:sz="0" w:space="0" w:color="auto"/>
            <w:right w:val="none" w:sz="0" w:space="0" w:color="auto"/>
          </w:divBdr>
        </w:div>
        <w:div w:id="613244797">
          <w:marLeft w:val="640"/>
          <w:marRight w:val="0"/>
          <w:marTop w:val="0"/>
          <w:marBottom w:val="0"/>
          <w:divBdr>
            <w:top w:val="none" w:sz="0" w:space="0" w:color="auto"/>
            <w:left w:val="none" w:sz="0" w:space="0" w:color="auto"/>
            <w:bottom w:val="none" w:sz="0" w:space="0" w:color="auto"/>
            <w:right w:val="none" w:sz="0" w:space="0" w:color="auto"/>
          </w:divBdr>
        </w:div>
        <w:div w:id="1534077407">
          <w:marLeft w:val="640"/>
          <w:marRight w:val="0"/>
          <w:marTop w:val="0"/>
          <w:marBottom w:val="0"/>
          <w:divBdr>
            <w:top w:val="none" w:sz="0" w:space="0" w:color="auto"/>
            <w:left w:val="none" w:sz="0" w:space="0" w:color="auto"/>
            <w:bottom w:val="none" w:sz="0" w:space="0" w:color="auto"/>
            <w:right w:val="none" w:sz="0" w:space="0" w:color="auto"/>
          </w:divBdr>
        </w:div>
        <w:div w:id="1090008251">
          <w:marLeft w:val="640"/>
          <w:marRight w:val="0"/>
          <w:marTop w:val="0"/>
          <w:marBottom w:val="0"/>
          <w:divBdr>
            <w:top w:val="none" w:sz="0" w:space="0" w:color="auto"/>
            <w:left w:val="none" w:sz="0" w:space="0" w:color="auto"/>
            <w:bottom w:val="none" w:sz="0" w:space="0" w:color="auto"/>
            <w:right w:val="none" w:sz="0" w:space="0" w:color="auto"/>
          </w:divBdr>
        </w:div>
        <w:div w:id="2049990907">
          <w:marLeft w:val="640"/>
          <w:marRight w:val="0"/>
          <w:marTop w:val="0"/>
          <w:marBottom w:val="0"/>
          <w:divBdr>
            <w:top w:val="none" w:sz="0" w:space="0" w:color="auto"/>
            <w:left w:val="none" w:sz="0" w:space="0" w:color="auto"/>
            <w:bottom w:val="none" w:sz="0" w:space="0" w:color="auto"/>
            <w:right w:val="none" w:sz="0" w:space="0" w:color="auto"/>
          </w:divBdr>
        </w:div>
        <w:div w:id="1049647214">
          <w:marLeft w:val="640"/>
          <w:marRight w:val="0"/>
          <w:marTop w:val="0"/>
          <w:marBottom w:val="0"/>
          <w:divBdr>
            <w:top w:val="none" w:sz="0" w:space="0" w:color="auto"/>
            <w:left w:val="none" w:sz="0" w:space="0" w:color="auto"/>
            <w:bottom w:val="none" w:sz="0" w:space="0" w:color="auto"/>
            <w:right w:val="none" w:sz="0" w:space="0" w:color="auto"/>
          </w:divBdr>
        </w:div>
        <w:div w:id="643001050">
          <w:marLeft w:val="640"/>
          <w:marRight w:val="0"/>
          <w:marTop w:val="0"/>
          <w:marBottom w:val="0"/>
          <w:divBdr>
            <w:top w:val="none" w:sz="0" w:space="0" w:color="auto"/>
            <w:left w:val="none" w:sz="0" w:space="0" w:color="auto"/>
            <w:bottom w:val="none" w:sz="0" w:space="0" w:color="auto"/>
            <w:right w:val="none" w:sz="0" w:space="0" w:color="auto"/>
          </w:divBdr>
        </w:div>
        <w:div w:id="1494224839">
          <w:marLeft w:val="640"/>
          <w:marRight w:val="0"/>
          <w:marTop w:val="0"/>
          <w:marBottom w:val="0"/>
          <w:divBdr>
            <w:top w:val="none" w:sz="0" w:space="0" w:color="auto"/>
            <w:left w:val="none" w:sz="0" w:space="0" w:color="auto"/>
            <w:bottom w:val="none" w:sz="0" w:space="0" w:color="auto"/>
            <w:right w:val="none" w:sz="0" w:space="0" w:color="auto"/>
          </w:divBdr>
        </w:div>
        <w:div w:id="1387484764">
          <w:marLeft w:val="640"/>
          <w:marRight w:val="0"/>
          <w:marTop w:val="0"/>
          <w:marBottom w:val="0"/>
          <w:divBdr>
            <w:top w:val="none" w:sz="0" w:space="0" w:color="auto"/>
            <w:left w:val="none" w:sz="0" w:space="0" w:color="auto"/>
            <w:bottom w:val="none" w:sz="0" w:space="0" w:color="auto"/>
            <w:right w:val="none" w:sz="0" w:space="0" w:color="auto"/>
          </w:divBdr>
        </w:div>
        <w:div w:id="1939561489">
          <w:marLeft w:val="640"/>
          <w:marRight w:val="0"/>
          <w:marTop w:val="0"/>
          <w:marBottom w:val="0"/>
          <w:divBdr>
            <w:top w:val="none" w:sz="0" w:space="0" w:color="auto"/>
            <w:left w:val="none" w:sz="0" w:space="0" w:color="auto"/>
            <w:bottom w:val="none" w:sz="0" w:space="0" w:color="auto"/>
            <w:right w:val="none" w:sz="0" w:space="0" w:color="auto"/>
          </w:divBdr>
        </w:div>
        <w:div w:id="617490778">
          <w:marLeft w:val="640"/>
          <w:marRight w:val="0"/>
          <w:marTop w:val="0"/>
          <w:marBottom w:val="0"/>
          <w:divBdr>
            <w:top w:val="none" w:sz="0" w:space="0" w:color="auto"/>
            <w:left w:val="none" w:sz="0" w:space="0" w:color="auto"/>
            <w:bottom w:val="none" w:sz="0" w:space="0" w:color="auto"/>
            <w:right w:val="none" w:sz="0" w:space="0" w:color="auto"/>
          </w:divBdr>
        </w:div>
        <w:div w:id="2013677916">
          <w:marLeft w:val="640"/>
          <w:marRight w:val="0"/>
          <w:marTop w:val="0"/>
          <w:marBottom w:val="0"/>
          <w:divBdr>
            <w:top w:val="none" w:sz="0" w:space="0" w:color="auto"/>
            <w:left w:val="none" w:sz="0" w:space="0" w:color="auto"/>
            <w:bottom w:val="none" w:sz="0" w:space="0" w:color="auto"/>
            <w:right w:val="none" w:sz="0" w:space="0" w:color="auto"/>
          </w:divBdr>
        </w:div>
        <w:div w:id="714046912">
          <w:marLeft w:val="640"/>
          <w:marRight w:val="0"/>
          <w:marTop w:val="0"/>
          <w:marBottom w:val="0"/>
          <w:divBdr>
            <w:top w:val="none" w:sz="0" w:space="0" w:color="auto"/>
            <w:left w:val="none" w:sz="0" w:space="0" w:color="auto"/>
            <w:bottom w:val="none" w:sz="0" w:space="0" w:color="auto"/>
            <w:right w:val="none" w:sz="0" w:space="0" w:color="auto"/>
          </w:divBdr>
        </w:div>
        <w:div w:id="182479778">
          <w:marLeft w:val="640"/>
          <w:marRight w:val="0"/>
          <w:marTop w:val="0"/>
          <w:marBottom w:val="0"/>
          <w:divBdr>
            <w:top w:val="none" w:sz="0" w:space="0" w:color="auto"/>
            <w:left w:val="none" w:sz="0" w:space="0" w:color="auto"/>
            <w:bottom w:val="none" w:sz="0" w:space="0" w:color="auto"/>
            <w:right w:val="none" w:sz="0" w:space="0" w:color="auto"/>
          </w:divBdr>
        </w:div>
        <w:div w:id="488711790">
          <w:marLeft w:val="640"/>
          <w:marRight w:val="0"/>
          <w:marTop w:val="0"/>
          <w:marBottom w:val="0"/>
          <w:divBdr>
            <w:top w:val="none" w:sz="0" w:space="0" w:color="auto"/>
            <w:left w:val="none" w:sz="0" w:space="0" w:color="auto"/>
            <w:bottom w:val="none" w:sz="0" w:space="0" w:color="auto"/>
            <w:right w:val="none" w:sz="0" w:space="0" w:color="auto"/>
          </w:divBdr>
        </w:div>
        <w:div w:id="942613067">
          <w:marLeft w:val="640"/>
          <w:marRight w:val="0"/>
          <w:marTop w:val="0"/>
          <w:marBottom w:val="0"/>
          <w:divBdr>
            <w:top w:val="none" w:sz="0" w:space="0" w:color="auto"/>
            <w:left w:val="none" w:sz="0" w:space="0" w:color="auto"/>
            <w:bottom w:val="none" w:sz="0" w:space="0" w:color="auto"/>
            <w:right w:val="none" w:sz="0" w:space="0" w:color="auto"/>
          </w:divBdr>
        </w:div>
        <w:div w:id="285890411">
          <w:marLeft w:val="640"/>
          <w:marRight w:val="0"/>
          <w:marTop w:val="0"/>
          <w:marBottom w:val="0"/>
          <w:divBdr>
            <w:top w:val="none" w:sz="0" w:space="0" w:color="auto"/>
            <w:left w:val="none" w:sz="0" w:space="0" w:color="auto"/>
            <w:bottom w:val="none" w:sz="0" w:space="0" w:color="auto"/>
            <w:right w:val="none" w:sz="0" w:space="0" w:color="auto"/>
          </w:divBdr>
        </w:div>
        <w:div w:id="785855309">
          <w:marLeft w:val="640"/>
          <w:marRight w:val="0"/>
          <w:marTop w:val="0"/>
          <w:marBottom w:val="0"/>
          <w:divBdr>
            <w:top w:val="none" w:sz="0" w:space="0" w:color="auto"/>
            <w:left w:val="none" w:sz="0" w:space="0" w:color="auto"/>
            <w:bottom w:val="none" w:sz="0" w:space="0" w:color="auto"/>
            <w:right w:val="none" w:sz="0" w:space="0" w:color="auto"/>
          </w:divBdr>
        </w:div>
        <w:div w:id="1079329623">
          <w:marLeft w:val="640"/>
          <w:marRight w:val="0"/>
          <w:marTop w:val="0"/>
          <w:marBottom w:val="0"/>
          <w:divBdr>
            <w:top w:val="none" w:sz="0" w:space="0" w:color="auto"/>
            <w:left w:val="none" w:sz="0" w:space="0" w:color="auto"/>
            <w:bottom w:val="none" w:sz="0" w:space="0" w:color="auto"/>
            <w:right w:val="none" w:sz="0" w:space="0" w:color="auto"/>
          </w:divBdr>
        </w:div>
        <w:div w:id="1264194376">
          <w:marLeft w:val="640"/>
          <w:marRight w:val="0"/>
          <w:marTop w:val="0"/>
          <w:marBottom w:val="0"/>
          <w:divBdr>
            <w:top w:val="none" w:sz="0" w:space="0" w:color="auto"/>
            <w:left w:val="none" w:sz="0" w:space="0" w:color="auto"/>
            <w:bottom w:val="none" w:sz="0" w:space="0" w:color="auto"/>
            <w:right w:val="none" w:sz="0" w:space="0" w:color="auto"/>
          </w:divBdr>
        </w:div>
        <w:div w:id="224805838">
          <w:marLeft w:val="640"/>
          <w:marRight w:val="0"/>
          <w:marTop w:val="0"/>
          <w:marBottom w:val="0"/>
          <w:divBdr>
            <w:top w:val="none" w:sz="0" w:space="0" w:color="auto"/>
            <w:left w:val="none" w:sz="0" w:space="0" w:color="auto"/>
            <w:bottom w:val="none" w:sz="0" w:space="0" w:color="auto"/>
            <w:right w:val="none" w:sz="0" w:space="0" w:color="auto"/>
          </w:divBdr>
        </w:div>
        <w:div w:id="2088577271">
          <w:marLeft w:val="640"/>
          <w:marRight w:val="0"/>
          <w:marTop w:val="0"/>
          <w:marBottom w:val="0"/>
          <w:divBdr>
            <w:top w:val="none" w:sz="0" w:space="0" w:color="auto"/>
            <w:left w:val="none" w:sz="0" w:space="0" w:color="auto"/>
            <w:bottom w:val="none" w:sz="0" w:space="0" w:color="auto"/>
            <w:right w:val="none" w:sz="0" w:space="0" w:color="auto"/>
          </w:divBdr>
        </w:div>
        <w:div w:id="357125263">
          <w:marLeft w:val="640"/>
          <w:marRight w:val="0"/>
          <w:marTop w:val="0"/>
          <w:marBottom w:val="0"/>
          <w:divBdr>
            <w:top w:val="none" w:sz="0" w:space="0" w:color="auto"/>
            <w:left w:val="none" w:sz="0" w:space="0" w:color="auto"/>
            <w:bottom w:val="none" w:sz="0" w:space="0" w:color="auto"/>
            <w:right w:val="none" w:sz="0" w:space="0" w:color="auto"/>
          </w:divBdr>
        </w:div>
        <w:div w:id="1843811786">
          <w:marLeft w:val="640"/>
          <w:marRight w:val="0"/>
          <w:marTop w:val="0"/>
          <w:marBottom w:val="0"/>
          <w:divBdr>
            <w:top w:val="none" w:sz="0" w:space="0" w:color="auto"/>
            <w:left w:val="none" w:sz="0" w:space="0" w:color="auto"/>
            <w:bottom w:val="none" w:sz="0" w:space="0" w:color="auto"/>
            <w:right w:val="none" w:sz="0" w:space="0" w:color="auto"/>
          </w:divBdr>
        </w:div>
        <w:div w:id="886141197">
          <w:marLeft w:val="640"/>
          <w:marRight w:val="0"/>
          <w:marTop w:val="0"/>
          <w:marBottom w:val="0"/>
          <w:divBdr>
            <w:top w:val="none" w:sz="0" w:space="0" w:color="auto"/>
            <w:left w:val="none" w:sz="0" w:space="0" w:color="auto"/>
            <w:bottom w:val="none" w:sz="0" w:space="0" w:color="auto"/>
            <w:right w:val="none" w:sz="0" w:space="0" w:color="auto"/>
          </w:divBdr>
        </w:div>
        <w:div w:id="570697291">
          <w:marLeft w:val="640"/>
          <w:marRight w:val="0"/>
          <w:marTop w:val="0"/>
          <w:marBottom w:val="0"/>
          <w:divBdr>
            <w:top w:val="none" w:sz="0" w:space="0" w:color="auto"/>
            <w:left w:val="none" w:sz="0" w:space="0" w:color="auto"/>
            <w:bottom w:val="none" w:sz="0" w:space="0" w:color="auto"/>
            <w:right w:val="none" w:sz="0" w:space="0" w:color="auto"/>
          </w:divBdr>
        </w:div>
        <w:div w:id="538081575">
          <w:marLeft w:val="640"/>
          <w:marRight w:val="0"/>
          <w:marTop w:val="0"/>
          <w:marBottom w:val="0"/>
          <w:divBdr>
            <w:top w:val="none" w:sz="0" w:space="0" w:color="auto"/>
            <w:left w:val="none" w:sz="0" w:space="0" w:color="auto"/>
            <w:bottom w:val="none" w:sz="0" w:space="0" w:color="auto"/>
            <w:right w:val="none" w:sz="0" w:space="0" w:color="auto"/>
          </w:divBdr>
        </w:div>
        <w:div w:id="905997594">
          <w:marLeft w:val="640"/>
          <w:marRight w:val="0"/>
          <w:marTop w:val="0"/>
          <w:marBottom w:val="0"/>
          <w:divBdr>
            <w:top w:val="none" w:sz="0" w:space="0" w:color="auto"/>
            <w:left w:val="none" w:sz="0" w:space="0" w:color="auto"/>
            <w:bottom w:val="none" w:sz="0" w:space="0" w:color="auto"/>
            <w:right w:val="none" w:sz="0" w:space="0" w:color="auto"/>
          </w:divBdr>
        </w:div>
        <w:div w:id="201988149">
          <w:marLeft w:val="640"/>
          <w:marRight w:val="0"/>
          <w:marTop w:val="0"/>
          <w:marBottom w:val="0"/>
          <w:divBdr>
            <w:top w:val="none" w:sz="0" w:space="0" w:color="auto"/>
            <w:left w:val="none" w:sz="0" w:space="0" w:color="auto"/>
            <w:bottom w:val="none" w:sz="0" w:space="0" w:color="auto"/>
            <w:right w:val="none" w:sz="0" w:space="0" w:color="auto"/>
          </w:divBdr>
        </w:div>
        <w:div w:id="1232547666">
          <w:marLeft w:val="640"/>
          <w:marRight w:val="0"/>
          <w:marTop w:val="0"/>
          <w:marBottom w:val="0"/>
          <w:divBdr>
            <w:top w:val="none" w:sz="0" w:space="0" w:color="auto"/>
            <w:left w:val="none" w:sz="0" w:space="0" w:color="auto"/>
            <w:bottom w:val="none" w:sz="0" w:space="0" w:color="auto"/>
            <w:right w:val="none" w:sz="0" w:space="0" w:color="auto"/>
          </w:divBdr>
        </w:div>
        <w:div w:id="89205959">
          <w:marLeft w:val="640"/>
          <w:marRight w:val="0"/>
          <w:marTop w:val="0"/>
          <w:marBottom w:val="0"/>
          <w:divBdr>
            <w:top w:val="none" w:sz="0" w:space="0" w:color="auto"/>
            <w:left w:val="none" w:sz="0" w:space="0" w:color="auto"/>
            <w:bottom w:val="none" w:sz="0" w:space="0" w:color="auto"/>
            <w:right w:val="none" w:sz="0" w:space="0" w:color="auto"/>
          </w:divBdr>
        </w:div>
        <w:div w:id="1721856389">
          <w:marLeft w:val="640"/>
          <w:marRight w:val="0"/>
          <w:marTop w:val="0"/>
          <w:marBottom w:val="0"/>
          <w:divBdr>
            <w:top w:val="none" w:sz="0" w:space="0" w:color="auto"/>
            <w:left w:val="none" w:sz="0" w:space="0" w:color="auto"/>
            <w:bottom w:val="none" w:sz="0" w:space="0" w:color="auto"/>
            <w:right w:val="none" w:sz="0" w:space="0" w:color="auto"/>
          </w:divBdr>
        </w:div>
        <w:div w:id="997341459">
          <w:marLeft w:val="640"/>
          <w:marRight w:val="0"/>
          <w:marTop w:val="0"/>
          <w:marBottom w:val="0"/>
          <w:divBdr>
            <w:top w:val="none" w:sz="0" w:space="0" w:color="auto"/>
            <w:left w:val="none" w:sz="0" w:space="0" w:color="auto"/>
            <w:bottom w:val="none" w:sz="0" w:space="0" w:color="auto"/>
            <w:right w:val="none" w:sz="0" w:space="0" w:color="auto"/>
          </w:divBdr>
        </w:div>
        <w:div w:id="735082169">
          <w:marLeft w:val="640"/>
          <w:marRight w:val="0"/>
          <w:marTop w:val="0"/>
          <w:marBottom w:val="0"/>
          <w:divBdr>
            <w:top w:val="none" w:sz="0" w:space="0" w:color="auto"/>
            <w:left w:val="none" w:sz="0" w:space="0" w:color="auto"/>
            <w:bottom w:val="none" w:sz="0" w:space="0" w:color="auto"/>
            <w:right w:val="none" w:sz="0" w:space="0" w:color="auto"/>
          </w:divBdr>
        </w:div>
        <w:div w:id="1835757516">
          <w:marLeft w:val="640"/>
          <w:marRight w:val="0"/>
          <w:marTop w:val="0"/>
          <w:marBottom w:val="0"/>
          <w:divBdr>
            <w:top w:val="none" w:sz="0" w:space="0" w:color="auto"/>
            <w:left w:val="none" w:sz="0" w:space="0" w:color="auto"/>
            <w:bottom w:val="none" w:sz="0" w:space="0" w:color="auto"/>
            <w:right w:val="none" w:sz="0" w:space="0" w:color="auto"/>
          </w:divBdr>
        </w:div>
        <w:div w:id="1698659996">
          <w:marLeft w:val="640"/>
          <w:marRight w:val="0"/>
          <w:marTop w:val="0"/>
          <w:marBottom w:val="0"/>
          <w:divBdr>
            <w:top w:val="none" w:sz="0" w:space="0" w:color="auto"/>
            <w:left w:val="none" w:sz="0" w:space="0" w:color="auto"/>
            <w:bottom w:val="none" w:sz="0" w:space="0" w:color="auto"/>
            <w:right w:val="none" w:sz="0" w:space="0" w:color="auto"/>
          </w:divBdr>
        </w:div>
        <w:div w:id="493447440">
          <w:marLeft w:val="640"/>
          <w:marRight w:val="0"/>
          <w:marTop w:val="0"/>
          <w:marBottom w:val="0"/>
          <w:divBdr>
            <w:top w:val="none" w:sz="0" w:space="0" w:color="auto"/>
            <w:left w:val="none" w:sz="0" w:space="0" w:color="auto"/>
            <w:bottom w:val="none" w:sz="0" w:space="0" w:color="auto"/>
            <w:right w:val="none" w:sz="0" w:space="0" w:color="auto"/>
          </w:divBdr>
        </w:div>
        <w:div w:id="1248878678">
          <w:marLeft w:val="640"/>
          <w:marRight w:val="0"/>
          <w:marTop w:val="0"/>
          <w:marBottom w:val="0"/>
          <w:divBdr>
            <w:top w:val="none" w:sz="0" w:space="0" w:color="auto"/>
            <w:left w:val="none" w:sz="0" w:space="0" w:color="auto"/>
            <w:bottom w:val="none" w:sz="0" w:space="0" w:color="auto"/>
            <w:right w:val="none" w:sz="0" w:space="0" w:color="auto"/>
          </w:divBdr>
        </w:div>
        <w:div w:id="1137868577">
          <w:marLeft w:val="640"/>
          <w:marRight w:val="0"/>
          <w:marTop w:val="0"/>
          <w:marBottom w:val="0"/>
          <w:divBdr>
            <w:top w:val="none" w:sz="0" w:space="0" w:color="auto"/>
            <w:left w:val="none" w:sz="0" w:space="0" w:color="auto"/>
            <w:bottom w:val="none" w:sz="0" w:space="0" w:color="auto"/>
            <w:right w:val="none" w:sz="0" w:space="0" w:color="auto"/>
          </w:divBdr>
        </w:div>
        <w:div w:id="1803381933">
          <w:marLeft w:val="640"/>
          <w:marRight w:val="0"/>
          <w:marTop w:val="0"/>
          <w:marBottom w:val="0"/>
          <w:divBdr>
            <w:top w:val="none" w:sz="0" w:space="0" w:color="auto"/>
            <w:left w:val="none" w:sz="0" w:space="0" w:color="auto"/>
            <w:bottom w:val="none" w:sz="0" w:space="0" w:color="auto"/>
            <w:right w:val="none" w:sz="0" w:space="0" w:color="auto"/>
          </w:divBdr>
        </w:div>
        <w:div w:id="46497060">
          <w:marLeft w:val="640"/>
          <w:marRight w:val="0"/>
          <w:marTop w:val="0"/>
          <w:marBottom w:val="0"/>
          <w:divBdr>
            <w:top w:val="none" w:sz="0" w:space="0" w:color="auto"/>
            <w:left w:val="none" w:sz="0" w:space="0" w:color="auto"/>
            <w:bottom w:val="none" w:sz="0" w:space="0" w:color="auto"/>
            <w:right w:val="none" w:sz="0" w:space="0" w:color="auto"/>
          </w:divBdr>
        </w:div>
        <w:div w:id="1817448692">
          <w:marLeft w:val="640"/>
          <w:marRight w:val="0"/>
          <w:marTop w:val="0"/>
          <w:marBottom w:val="0"/>
          <w:divBdr>
            <w:top w:val="none" w:sz="0" w:space="0" w:color="auto"/>
            <w:left w:val="none" w:sz="0" w:space="0" w:color="auto"/>
            <w:bottom w:val="none" w:sz="0" w:space="0" w:color="auto"/>
            <w:right w:val="none" w:sz="0" w:space="0" w:color="auto"/>
          </w:divBdr>
        </w:div>
        <w:div w:id="519858710">
          <w:marLeft w:val="640"/>
          <w:marRight w:val="0"/>
          <w:marTop w:val="0"/>
          <w:marBottom w:val="0"/>
          <w:divBdr>
            <w:top w:val="none" w:sz="0" w:space="0" w:color="auto"/>
            <w:left w:val="none" w:sz="0" w:space="0" w:color="auto"/>
            <w:bottom w:val="none" w:sz="0" w:space="0" w:color="auto"/>
            <w:right w:val="none" w:sz="0" w:space="0" w:color="auto"/>
          </w:divBdr>
        </w:div>
        <w:div w:id="738557148">
          <w:marLeft w:val="640"/>
          <w:marRight w:val="0"/>
          <w:marTop w:val="0"/>
          <w:marBottom w:val="0"/>
          <w:divBdr>
            <w:top w:val="none" w:sz="0" w:space="0" w:color="auto"/>
            <w:left w:val="none" w:sz="0" w:space="0" w:color="auto"/>
            <w:bottom w:val="none" w:sz="0" w:space="0" w:color="auto"/>
            <w:right w:val="none" w:sz="0" w:space="0" w:color="auto"/>
          </w:divBdr>
        </w:div>
        <w:div w:id="1666277939">
          <w:marLeft w:val="640"/>
          <w:marRight w:val="0"/>
          <w:marTop w:val="0"/>
          <w:marBottom w:val="0"/>
          <w:divBdr>
            <w:top w:val="none" w:sz="0" w:space="0" w:color="auto"/>
            <w:left w:val="none" w:sz="0" w:space="0" w:color="auto"/>
            <w:bottom w:val="none" w:sz="0" w:space="0" w:color="auto"/>
            <w:right w:val="none" w:sz="0" w:space="0" w:color="auto"/>
          </w:divBdr>
        </w:div>
        <w:div w:id="917834871">
          <w:marLeft w:val="640"/>
          <w:marRight w:val="0"/>
          <w:marTop w:val="0"/>
          <w:marBottom w:val="0"/>
          <w:divBdr>
            <w:top w:val="none" w:sz="0" w:space="0" w:color="auto"/>
            <w:left w:val="none" w:sz="0" w:space="0" w:color="auto"/>
            <w:bottom w:val="none" w:sz="0" w:space="0" w:color="auto"/>
            <w:right w:val="none" w:sz="0" w:space="0" w:color="auto"/>
          </w:divBdr>
        </w:div>
        <w:div w:id="758990430">
          <w:marLeft w:val="640"/>
          <w:marRight w:val="0"/>
          <w:marTop w:val="0"/>
          <w:marBottom w:val="0"/>
          <w:divBdr>
            <w:top w:val="none" w:sz="0" w:space="0" w:color="auto"/>
            <w:left w:val="none" w:sz="0" w:space="0" w:color="auto"/>
            <w:bottom w:val="none" w:sz="0" w:space="0" w:color="auto"/>
            <w:right w:val="none" w:sz="0" w:space="0" w:color="auto"/>
          </w:divBdr>
        </w:div>
        <w:div w:id="713427605">
          <w:marLeft w:val="640"/>
          <w:marRight w:val="0"/>
          <w:marTop w:val="0"/>
          <w:marBottom w:val="0"/>
          <w:divBdr>
            <w:top w:val="none" w:sz="0" w:space="0" w:color="auto"/>
            <w:left w:val="none" w:sz="0" w:space="0" w:color="auto"/>
            <w:bottom w:val="none" w:sz="0" w:space="0" w:color="auto"/>
            <w:right w:val="none" w:sz="0" w:space="0" w:color="auto"/>
          </w:divBdr>
        </w:div>
        <w:div w:id="1147285535">
          <w:marLeft w:val="640"/>
          <w:marRight w:val="0"/>
          <w:marTop w:val="0"/>
          <w:marBottom w:val="0"/>
          <w:divBdr>
            <w:top w:val="none" w:sz="0" w:space="0" w:color="auto"/>
            <w:left w:val="none" w:sz="0" w:space="0" w:color="auto"/>
            <w:bottom w:val="none" w:sz="0" w:space="0" w:color="auto"/>
            <w:right w:val="none" w:sz="0" w:space="0" w:color="auto"/>
          </w:divBdr>
        </w:div>
        <w:div w:id="664012345">
          <w:marLeft w:val="640"/>
          <w:marRight w:val="0"/>
          <w:marTop w:val="0"/>
          <w:marBottom w:val="0"/>
          <w:divBdr>
            <w:top w:val="none" w:sz="0" w:space="0" w:color="auto"/>
            <w:left w:val="none" w:sz="0" w:space="0" w:color="auto"/>
            <w:bottom w:val="none" w:sz="0" w:space="0" w:color="auto"/>
            <w:right w:val="none" w:sz="0" w:space="0" w:color="auto"/>
          </w:divBdr>
        </w:div>
        <w:div w:id="741296322">
          <w:marLeft w:val="640"/>
          <w:marRight w:val="0"/>
          <w:marTop w:val="0"/>
          <w:marBottom w:val="0"/>
          <w:divBdr>
            <w:top w:val="none" w:sz="0" w:space="0" w:color="auto"/>
            <w:left w:val="none" w:sz="0" w:space="0" w:color="auto"/>
            <w:bottom w:val="none" w:sz="0" w:space="0" w:color="auto"/>
            <w:right w:val="none" w:sz="0" w:space="0" w:color="auto"/>
          </w:divBdr>
        </w:div>
        <w:div w:id="1937134538">
          <w:marLeft w:val="640"/>
          <w:marRight w:val="0"/>
          <w:marTop w:val="0"/>
          <w:marBottom w:val="0"/>
          <w:divBdr>
            <w:top w:val="none" w:sz="0" w:space="0" w:color="auto"/>
            <w:left w:val="none" w:sz="0" w:space="0" w:color="auto"/>
            <w:bottom w:val="none" w:sz="0" w:space="0" w:color="auto"/>
            <w:right w:val="none" w:sz="0" w:space="0" w:color="auto"/>
          </w:divBdr>
        </w:div>
        <w:div w:id="1541817508">
          <w:marLeft w:val="640"/>
          <w:marRight w:val="0"/>
          <w:marTop w:val="0"/>
          <w:marBottom w:val="0"/>
          <w:divBdr>
            <w:top w:val="none" w:sz="0" w:space="0" w:color="auto"/>
            <w:left w:val="none" w:sz="0" w:space="0" w:color="auto"/>
            <w:bottom w:val="none" w:sz="0" w:space="0" w:color="auto"/>
            <w:right w:val="none" w:sz="0" w:space="0" w:color="auto"/>
          </w:divBdr>
        </w:div>
        <w:div w:id="1675954677">
          <w:marLeft w:val="640"/>
          <w:marRight w:val="0"/>
          <w:marTop w:val="0"/>
          <w:marBottom w:val="0"/>
          <w:divBdr>
            <w:top w:val="none" w:sz="0" w:space="0" w:color="auto"/>
            <w:left w:val="none" w:sz="0" w:space="0" w:color="auto"/>
            <w:bottom w:val="none" w:sz="0" w:space="0" w:color="auto"/>
            <w:right w:val="none" w:sz="0" w:space="0" w:color="auto"/>
          </w:divBdr>
        </w:div>
        <w:div w:id="2102870599">
          <w:marLeft w:val="640"/>
          <w:marRight w:val="0"/>
          <w:marTop w:val="0"/>
          <w:marBottom w:val="0"/>
          <w:divBdr>
            <w:top w:val="none" w:sz="0" w:space="0" w:color="auto"/>
            <w:left w:val="none" w:sz="0" w:space="0" w:color="auto"/>
            <w:bottom w:val="none" w:sz="0" w:space="0" w:color="auto"/>
            <w:right w:val="none" w:sz="0" w:space="0" w:color="auto"/>
          </w:divBdr>
        </w:div>
        <w:div w:id="1705211214">
          <w:marLeft w:val="640"/>
          <w:marRight w:val="0"/>
          <w:marTop w:val="0"/>
          <w:marBottom w:val="0"/>
          <w:divBdr>
            <w:top w:val="none" w:sz="0" w:space="0" w:color="auto"/>
            <w:left w:val="none" w:sz="0" w:space="0" w:color="auto"/>
            <w:bottom w:val="none" w:sz="0" w:space="0" w:color="auto"/>
            <w:right w:val="none" w:sz="0" w:space="0" w:color="auto"/>
          </w:divBdr>
        </w:div>
        <w:div w:id="1091857499">
          <w:marLeft w:val="640"/>
          <w:marRight w:val="0"/>
          <w:marTop w:val="0"/>
          <w:marBottom w:val="0"/>
          <w:divBdr>
            <w:top w:val="none" w:sz="0" w:space="0" w:color="auto"/>
            <w:left w:val="none" w:sz="0" w:space="0" w:color="auto"/>
            <w:bottom w:val="none" w:sz="0" w:space="0" w:color="auto"/>
            <w:right w:val="none" w:sz="0" w:space="0" w:color="auto"/>
          </w:divBdr>
        </w:div>
        <w:div w:id="1882744578">
          <w:marLeft w:val="640"/>
          <w:marRight w:val="0"/>
          <w:marTop w:val="0"/>
          <w:marBottom w:val="0"/>
          <w:divBdr>
            <w:top w:val="none" w:sz="0" w:space="0" w:color="auto"/>
            <w:left w:val="none" w:sz="0" w:space="0" w:color="auto"/>
            <w:bottom w:val="none" w:sz="0" w:space="0" w:color="auto"/>
            <w:right w:val="none" w:sz="0" w:space="0" w:color="auto"/>
          </w:divBdr>
        </w:div>
        <w:div w:id="862593381">
          <w:marLeft w:val="640"/>
          <w:marRight w:val="0"/>
          <w:marTop w:val="0"/>
          <w:marBottom w:val="0"/>
          <w:divBdr>
            <w:top w:val="none" w:sz="0" w:space="0" w:color="auto"/>
            <w:left w:val="none" w:sz="0" w:space="0" w:color="auto"/>
            <w:bottom w:val="none" w:sz="0" w:space="0" w:color="auto"/>
            <w:right w:val="none" w:sz="0" w:space="0" w:color="auto"/>
          </w:divBdr>
        </w:div>
        <w:div w:id="357511024">
          <w:marLeft w:val="640"/>
          <w:marRight w:val="0"/>
          <w:marTop w:val="0"/>
          <w:marBottom w:val="0"/>
          <w:divBdr>
            <w:top w:val="none" w:sz="0" w:space="0" w:color="auto"/>
            <w:left w:val="none" w:sz="0" w:space="0" w:color="auto"/>
            <w:bottom w:val="none" w:sz="0" w:space="0" w:color="auto"/>
            <w:right w:val="none" w:sz="0" w:space="0" w:color="auto"/>
          </w:divBdr>
        </w:div>
        <w:div w:id="1677348023">
          <w:marLeft w:val="640"/>
          <w:marRight w:val="0"/>
          <w:marTop w:val="0"/>
          <w:marBottom w:val="0"/>
          <w:divBdr>
            <w:top w:val="none" w:sz="0" w:space="0" w:color="auto"/>
            <w:left w:val="none" w:sz="0" w:space="0" w:color="auto"/>
            <w:bottom w:val="none" w:sz="0" w:space="0" w:color="auto"/>
            <w:right w:val="none" w:sz="0" w:space="0" w:color="auto"/>
          </w:divBdr>
        </w:div>
        <w:div w:id="1255701453">
          <w:marLeft w:val="640"/>
          <w:marRight w:val="0"/>
          <w:marTop w:val="0"/>
          <w:marBottom w:val="0"/>
          <w:divBdr>
            <w:top w:val="none" w:sz="0" w:space="0" w:color="auto"/>
            <w:left w:val="none" w:sz="0" w:space="0" w:color="auto"/>
            <w:bottom w:val="none" w:sz="0" w:space="0" w:color="auto"/>
            <w:right w:val="none" w:sz="0" w:space="0" w:color="auto"/>
          </w:divBdr>
        </w:div>
        <w:div w:id="2143304442">
          <w:marLeft w:val="640"/>
          <w:marRight w:val="0"/>
          <w:marTop w:val="0"/>
          <w:marBottom w:val="0"/>
          <w:divBdr>
            <w:top w:val="none" w:sz="0" w:space="0" w:color="auto"/>
            <w:left w:val="none" w:sz="0" w:space="0" w:color="auto"/>
            <w:bottom w:val="none" w:sz="0" w:space="0" w:color="auto"/>
            <w:right w:val="none" w:sz="0" w:space="0" w:color="auto"/>
          </w:divBdr>
        </w:div>
        <w:div w:id="656765505">
          <w:marLeft w:val="640"/>
          <w:marRight w:val="0"/>
          <w:marTop w:val="0"/>
          <w:marBottom w:val="0"/>
          <w:divBdr>
            <w:top w:val="none" w:sz="0" w:space="0" w:color="auto"/>
            <w:left w:val="none" w:sz="0" w:space="0" w:color="auto"/>
            <w:bottom w:val="none" w:sz="0" w:space="0" w:color="auto"/>
            <w:right w:val="none" w:sz="0" w:space="0" w:color="auto"/>
          </w:divBdr>
        </w:div>
        <w:div w:id="822280941">
          <w:marLeft w:val="640"/>
          <w:marRight w:val="0"/>
          <w:marTop w:val="0"/>
          <w:marBottom w:val="0"/>
          <w:divBdr>
            <w:top w:val="none" w:sz="0" w:space="0" w:color="auto"/>
            <w:left w:val="none" w:sz="0" w:space="0" w:color="auto"/>
            <w:bottom w:val="none" w:sz="0" w:space="0" w:color="auto"/>
            <w:right w:val="none" w:sz="0" w:space="0" w:color="auto"/>
          </w:divBdr>
        </w:div>
        <w:div w:id="1833331715">
          <w:marLeft w:val="640"/>
          <w:marRight w:val="0"/>
          <w:marTop w:val="0"/>
          <w:marBottom w:val="0"/>
          <w:divBdr>
            <w:top w:val="none" w:sz="0" w:space="0" w:color="auto"/>
            <w:left w:val="none" w:sz="0" w:space="0" w:color="auto"/>
            <w:bottom w:val="none" w:sz="0" w:space="0" w:color="auto"/>
            <w:right w:val="none" w:sz="0" w:space="0" w:color="auto"/>
          </w:divBdr>
        </w:div>
        <w:div w:id="653997648">
          <w:marLeft w:val="640"/>
          <w:marRight w:val="0"/>
          <w:marTop w:val="0"/>
          <w:marBottom w:val="0"/>
          <w:divBdr>
            <w:top w:val="none" w:sz="0" w:space="0" w:color="auto"/>
            <w:left w:val="none" w:sz="0" w:space="0" w:color="auto"/>
            <w:bottom w:val="none" w:sz="0" w:space="0" w:color="auto"/>
            <w:right w:val="none" w:sz="0" w:space="0" w:color="auto"/>
          </w:divBdr>
        </w:div>
        <w:div w:id="383800423">
          <w:marLeft w:val="640"/>
          <w:marRight w:val="0"/>
          <w:marTop w:val="0"/>
          <w:marBottom w:val="0"/>
          <w:divBdr>
            <w:top w:val="none" w:sz="0" w:space="0" w:color="auto"/>
            <w:left w:val="none" w:sz="0" w:space="0" w:color="auto"/>
            <w:bottom w:val="none" w:sz="0" w:space="0" w:color="auto"/>
            <w:right w:val="none" w:sz="0" w:space="0" w:color="auto"/>
          </w:divBdr>
        </w:div>
        <w:div w:id="1947034251">
          <w:marLeft w:val="640"/>
          <w:marRight w:val="0"/>
          <w:marTop w:val="0"/>
          <w:marBottom w:val="0"/>
          <w:divBdr>
            <w:top w:val="none" w:sz="0" w:space="0" w:color="auto"/>
            <w:left w:val="none" w:sz="0" w:space="0" w:color="auto"/>
            <w:bottom w:val="none" w:sz="0" w:space="0" w:color="auto"/>
            <w:right w:val="none" w:sz="0" w:space="0" w:color="auto"/>
          </w:divBdr>
        </w:div>
        <w:div w:id="2131244894">
          <w:marLeft w:val="640"/>
          <w:marRight w:val="0"/>
          <w:marTop w:val="0"/>
          <w:marBottom w:val="0"/>
          <w:divBdr>
            <w:top w:val="none" w:sz="0" w:space="0" w:color="auto"/>
            <w:left w:val="none" w:sz="0" w:space="0" w:color="auto"/>
            <w:bottom w:val="none" w:sz="0" w:space="0" w:color="auto"/>
            <w:right w:val="none" w:sz="0" w:space="0" w:color="auto"/>
          </w:divBdr>
        </w:div>
        <w:div w:id="521556864">
          <w:marLeft w:val="640"/>
          <w:marRight w:val="0"/>
          <w:marTop w:val="0"/>
          <w:marBottom w:val="0"/>
          <w:divBdr>
            <w:top w:val="none" w:sz="0" w:space="0" w:color="auto"/>
            <w:left w:val="none" w:sz="0" w:space="0" w:color="auto"/>
            <w:bottom w:val="none" w:sz="0" w:space="0" w:color="auto"/>
            <w:right w:val="none" w:sz="0" w:space="0" w:color="auto"/>
          </w:divBdr>
        </w:div>
        <w:div w:id="942804730">
          <w:marLeft w:val="640"/>
          <w:marRight w:val="0"/>
          <w:marTop w:val="0"/>
          <w:marBottom w:val="0"/>
          <w:divBdr>
            <w:top w:val="none" w:sz="0" w:space="0" w:color="auto"/>
            <w:left w:val="none" w:sz="0" w:space="0" w:color="auto"/>
            <w:bottom w:val="none" w:sz="0" w:space="0" w:color="auto"/>
            <w:right w:val="none" w:sz="0" w:space="0" w:color="auto"/>
          </w:divBdr>
        </w:div>
        <w:div w:id="1305310778">
          <w:marLeft w:val="640"/>
          <w:marRight w:val="0"/>
          <w:marTop w:val="0"/>
          <w:marBottom w:val="0"/>
          <w:divBdr>
            <w:top w:val="none" w:sz="0" w:space="0" w:color="auto"/>
            <w:left w:val="none" w:sz="0" w:space="0" w:color="auto"/>
            <w:bottom w:val="none" w:sz="0" w:space="0" w:color="auto"/>
            <w:right w:val="none" w:sz="0" w:space="0" w:color="auto"/>
          </w:divBdr>
        </w:div>
        <w:div w:id="1623071408">
          <w:marLeft w:val="640"/>
          <w:marRight w:val="0"/>
          <w:marTop w:val="0"/>
          <w:marBottom w:val="0"/>
          <w:divBdr>
            <w:top w:val="none" w:sz="0" w:space="0" w:color="auto"/>
            <w:left w:val="none" w:sz="0" w:space="0" w:color="auto"/>
            <w:bottom w:val="none" w:sz="0" w:space="0" w:color="auto"/>
            <w:right w:val="none" w:sz="0" w:space="0" w:color="auto"/>
          </w:divBdr>
        </w:div>
        <w:div w:id="1690134152">
          <w:marLeft w:val="640"/>
          <w:marRight w:val="0"/>
          <w:marTop w:val="0"/>
          <w:marBottom w:val="0"/>
          <w:divBdr>
            <w:top w:val="none" w:sz="0" w:space="0" w:color="auto"/>
            <w:left w:val="none" w:sz="0" w:space="0" w:color="auto"/>
            <w:bottom w:val="none" w:sz="0" w:space="0" w:color="auto"/>
            <w:right w:val="none" w:sz="0" w:space="0" w:color="auto"/>
          </w:divBdr>
        </w:div>
        <w:div w:id="1774285149">
          <w:marLeft w:val="640"/>
          <w:marRight w:val="0"/>
          <w:marTop w:val="0"/>
          <w:marBottom w:val="0"/>
          <w:divBdr>
            <w:top w:val="none" w:sz="0" w:space="0" w:color="auto"/>
            <w:left w:val="none" w:sz="0" w:space="0" w:color="auto"/>
            <w:bottom w:val="none" w:sz="0" w:space="0" w:color="auto"/>
            <w:right w:val="none" w:sz="0" w:space="0" w:color="auto"/>
          </w:divBdr>
        </w:div>
        <w:div w:id="911893198">
          <w:marLeft w:val="640"/>
          <w:marRight w:val="0"/>
          <w:marTop w:val="0"/>
          <w:marBottom w:val="0"/>
          <w:divBdr>
            <w:top w:val="none" w:sz="0" w:space="0" w:color="auto"/>
            <w:left w:val="none" w:sz="0" w:space="0" w:color="auto"/>
            <w:bottom w:val="none" w:sz="0" w:space="0" w:color="auto"/>
            <w:right w:val="none" w:sz="0" w:space="0" w:color="auto"/>
          </w:divBdr>
        </w:div>
        <w:div w:id="852719493">
          <w:marLeft w:val="640"/>
          <w:marRight w:val="0"/>
          <w:marTop w:val="0"/>
          <w:marBottom w:val="0"/>
          <w:divBdr>
            <w:top w:val="none" w:sz="0" w:space="0" w:color="auto"/>
            <w:left w:val="none" w:sz="0" w:space="0" w:color="auto"/>
            <w:bottom w:val="none" w:sz="0" w:space="0" w:color="auto"/>
            <w:right w:val="none" w:sz="0" w:space="0" w:color="auto"/>
          </w:divBdr>
        </w:div>
        <w:div w:id="246037038">
          <w:marLeft w:val="640"/>
          <w:marRight w:val="0"/>
          <w:marTop w:val="0"/>
          <w:marBottom w:val="0"/>
          <w:divBdr>
            <w:top w:val="none" w:sz="0" w:space="0" w:color="auto"/>
            <w:left w:val="none" w:sz="0" w:space="0" w:color="auto"/>
            <w:bottom w:val="none" w:sz="0" w:space="0" w:color="auto"/>
            <w:right w:val="none" w:sz="0" w:space="0" w:color="auto"/>
          </w:divBdr>
        </w:div>
        <w:div w:id="138691184">
          <w:marLeft w:val="640"/>
          <w:marRight w:val="0"/>
          <w:marTop w:val="0"/>
          <w:marBottom w:val="0"/>
          <w:divBdr>
            <w:top w:val="none" w:sz="0" w:space="0" w:color="auto"/>
            <w:left w:val="none" w:sz="0" w:space="0" w:color="auto"/>
            <w:bottom w:val="none" w:sz="0" w:space="0" w:color="auto"/>
            <w:right w:val="none" w:sz="0" w:space="0" w:color="auto"/>
          </w:divBdr>
        </w:div>
        <w:div w:id="617834239">
          <w:marLeft w:val="640"/>
          <w:marRight w:val="0"/>
          <w:marTop w:val="0"/>
          <w:marBottom w:val="0"/>
          <w:divBdr>
            <w:top w:val="none" w:sz="0" w:space="0" w:color="auto"/>
            <w:left w:val="none" w:sz="0" w:space="0" w:color="auto"/>
            <w:bottom w:val="none" w:sz="0" w:space="0" w:color="auto"/>
            <w:right w:val="none" w:sz="0" w:space="0" w:color="auto"/>
          </w:divBdr>
        </w:div>
        <w:div w:id="1512331499">
          <w:marLeft w:val="640"/>
          <w:marRight w:val="0"/>
          <w:marTop w:val="0"/>
          <w:marBottom w:val="0"/>
          <w:divBdr>
            <w:top w:val="none" w:sz="0" w:space="0" w:color="auto"/>
            <w:left w:val="none" w:sz="0" w:space="0" w:color="auto"/>
            <w:bottom w:val="none" w:sz="0" w:space="0" w:color="auto"/>
            <w:right w:val="none" w:sz="0" w:space="0" w:color="auto"/>
          </w:divBdr>
        </w:div>
        <w:div w:id="2120248921">
          <w:marLeft w:val="640"/>
          <w:marRight w:val="0"/>
          <w:marTop w:val="0"/>
          <w:marBottom w:val="0"/>
          <w:divBdr>
            <w:top w:val="none" w:sz="0" w:space="0" w:color="auto"/>
            <w:left w:val="none" w:sz="0" w:space="0" w:color="auto"/>
            <w:bottom w:val="none" w:sz="0" w:space="0" w:color="auto"/>
            <w:right w:val="none" w:sz="0" w:space="0" w:color="auto"/>
          </w:divBdr>
        </w:div>
        <w:div w:id="760759519">
          <w:marLeft w:val="640"/>
          <w:marRight w:val="0"/>
          <w:marTop w:val="0"/>
          <w:marBottom w:val="0"/>
          <w:divBdr>
            <w:top w:val="none" w:sz="0" w:space="0" w:color="auto"/>
            <w:left w:val="none" w:sz="0" w:space="0" w:color="auto"/>
            <w:bottom w:val="none" w:sz="0" w:space="0" w:color="auto"/>
            <w:right w:val="none" w:sz="0" w:space="0" w:color="auto"/>
          </w:divBdr>
        </w:div>
        <w:div w:id="1970814019">
          <w:marLeft w:val="640"/>
          <w:marRight w:val="0"/>
          <w:marTop w:val="0"/>
          <w:marBottom w:val="0"/>
          <w:divBdr>
            <w:top w:val="none" w:sz="0" w:space="0" w:color="auto"/>
            <w:left w:val="none" w:sz="0" w:space="0" w:color="auto"/>
            <w:bottom w:val="none" w:sz="0" w:space="0" w:color="auto"/>
            <w:right w:val="none" w:sz="0" w:space="0" w:color="auto"/>
          </w:divBdr>
        </w:div>
        <w:div w:id="1167021203">
          <w:marLeft w:val="640"/>
          <w:marRight w:val="0"/>
          <w:marTop w:val="0"/>
          <w:marBottom w:val="0"/>
          <w:divBdr>
            <w:top w:val="none" w:sz="0" w:space="0" w:color="auto"/>
            <w:left w:val="none" w:sz="0" w:space="0" w:color="auto"/>
            <w:bottom w:val="none" w:sz="0" w:space="0" w:color="auto"/>
            <w:right w:val="none" w:sz="0" w:space="0" w:color="auto"/>
          </w:divBdr>
        </w:div>
        <w:div w:id="1674870624">
          <w:marLeft w:val="640"/>
          <w:marRight w:val="0"/>
          <w:marTop w:val="0"/>
          <w:marBottom w:val="0"/>
          <w:divBdr>
            <w:top w:val="none" w:sz="0" w:space="0" w:color="auto"/>
            <w:left w:val="none" w:sz="0" w:space="0" w:color="auto"/>
            <w:bottom w:val="none" w:sz="0" w:space="0" w:color="auto"/>
            <w:right w:val="none" w:sz="0" w:space="0" w:color="auto"/>
          </w:divBdr>
        </w:div>
        <w:div w:id="815804161">
          <w:marLeft w:val="640"/>
          <w:marRight w:val="0"/>
          <w:marTop w:val="0"/>
          <w:marBottom w:val="0"/>
          <w:divBdr>
            <w:top w:val="none" w:sz="0" w:space="0" w:color="auto"/>
            <w:left w:val="none" w:sz="0" w:space="0" w:color="auto"/>
            <w:bottom w:val="none" w:sz="0" w:space="0" w:color="auto"/>
            <w:right w:val="none" w:sz="0" w:space="0" w:color="auto"/>
          </w:divBdr>
        </w:div>
        <w:div w:id="1024862297">
          <w:marLeft w:val="640"/>
          <w:marRight w:val="0"/>
          <w:marTop w:val="0"/>
          <w:marBottom w:val="0"/>
          <w:divBdr>
            <w:top w:val="none" w:sz="0" w:space="0" w:color="auto"/>
            <w:left w:val="none" w:sz="0" w:space="0" w:color="auto"/>
            <w:bottom w:val="none" w:sz="0" w:space="0" w:color="auto"/>
            <w:right w:val="none" w:sz="0" w:space="0" w:color="auto"/>
          </w:divBdr>
        </w:div>
        <w:div w:id="15233871">
          <w:marLeft w:val="640"/>
          <w:marRight w:val="0"/>
          <w:marTop w:val="0"/>
          <w:marBottom w:val="0"/>
          <w:divBdr>
            <w:top w:val="none" w:sz="0" w:space="0" w:color="auto"/>
            <w:left w:val="none" w:sz="0" w:space="0" w:color="auto"/>
            <w:bottom w:val="none" w:sz="0" w:space="0" w:color="auto"/>
            <w:right w:val="none" w:sz="0" w:space="0" w:color="auto"/>
          </w:divBdr>
        </w:div>
        <w:div w:id="488130949">
          <w:marLeft w:val="640"/>
          <w:marRight w:val="0"/>
          <w:marTop w:val="0"/>
          <w:marBottom w:val="0"/>
          <w:divBdr>
            <w:top w:val="none" w:sz="0" w:space="0" w:color="auto"/>
            <w:left w:val="none" w:sz="0" w:space="0" w:color="auto"/>
            <w:bottom w:val="none" w:sz="0" w:space="0" w:color="auto"/>
            <w:right w:val="none" w:sz="0" w:space="0" w:color="auto"/>
          </w:divBdr>
        </w:div>
        <w:div w:id="1277060839">
          <w:marLeft w:val="640"/>
          <w:marRight w:val="0"/>
          <w:marTop w:val="0"/>
          <w:marBottom w:val="0"/>
          <w:divBdr>
            <w:top w:val="none" w:sz="0" w:space="0" w:color="auto"/>
            <w:left w:val="none" w:sz="0" w:space="0" w:color="auto"/>
            <w:bottom w:val="none" w:sz="0" w:space="0" w:color="auto"/>
            <w:right w:val="none" w:sz="0" w:space="0" w:color="auto"/>
          </w:divBdr>
        </w:div>
        <w:div w:id="489371531">
          <w:marLeft w:val="640"/>
          <w:marRight w:val="0"/>
          <w:marTop w:val="0"/>
          <w:marBottom w:val="0"/>
          <w:divBdr>
            <w:top w:val="none" w:sz="0" w:space="0" w:color="auto"/>
            <w:left w:val="none" w:sz="0" w:space="0" w:color="auto"/>
            <w:bottom w:val="none" w:sz="0" w:space="0" w:color="auto"/>
            <w:right w:val="none" w:sz="0" w:space="0" w:color="auto"/>
          </w:divBdr>
        </w:div>
        <w:div w:id="1107584679">
          <w:marLeft w:val="640"/>
          <w:marRight w:val="0"/>
          <w:marTop w:val="0"/>
          <w:marBottom w:val="0"/>
          <w:divBdr>
            <w:top w:val="none" w:sz="0" w:space="0" w:color="auto"/>
            <w:left w:val="none" w:sz="0" w:space="0" w:color="auto"/>
            <w:bottom w:val="none" w:sz="0" w:space="0" w:color="auto"/>
            <w:right w:val="none" w:sz="0" w:space="0" w:color="auto"/>
          </w:divBdr>
        </w:div>
        <w:div w:id="1832982094">
          <w:marLeft w:val="640"/>
          <w:marRight w:val="0"/>
          <w:marTop w:val="0"/>
          <w:marBottom w:val="0"/>
          <w:divBdr>
            <w:top w:val="none" w:sz="0" w:space="0" w:color="auto"/>
            <w:left w:val="none" w:sz="0" w:space="0" w:color="auto"/>
            <w:bottom w:val="none" w:sz="0" w:space="0" w:color="auto"/>
            <w:right w:val="none" w:sz="0" w:space="0" w:color="auto"/>
          </w:divBdr>
        </w:div>
        <w:div w:id="1474255940">
          <w:marLeft w:val="640"/>
          <w:marRight w:val="0"/>
          <w:marTop w:val="0"/>
          <w:marBottom w:val="0"/>
          <w:divBdr>
            <w:top w:val="none" w:sz="0" w:space="0" w:color="auto"/>
            <w:left w:val="none" w:sz="0" w:space="0" w:color="auto"/>
            <w:bottom w:val="none" w:sz="0" w:space="0" w:color="auto"/>
            <w:right w:val="none" w:sz="0" w:space="0" w:color="auto"/>
          </w:divBdr>
        </w:div>
        <w:div w:id="2086343000">
          <w:marLeft w:val="640"/>
          <w:marRight w:val="0"/>
          <w:marTop w:val="0"/>
          <w:marBottom w:val="0"/>
          <w:divBdr>
            <w:top w:val="none" w:sz="0" w:space="0" w:color="auto"/>
            <w:left w:val="none" w:sz="0" w:space="0" w:color="auto"/>
            <w:bottom w:val="none" w:sz="0" w:space="0" w:color="auto"/>
            <w:right w:val="none" w:sz="0" w:space="0" w:color="auto"/>
          </w:divBdr>
        </w:div>
        <w:div w:id="1294554339">
          <w:marLeft w:val="640"/>
          <w:marRight w:val="0"/>
          <w:marTop w:val="0"/>
          <w:marBottom w:val="0"/>
          <w:divBdr>
            <w:top w:val="none" w:sz="0" w:space="0" w:color="auto"/>
            <w:left w:val="none" w:sz="0" w:space="0" w:color="auto"/>
            <w:bottom w:val="none" w:sz="0" w:space="0" w:color="auto"/>
            <w:right w:val="none" w:sz="0" w:space="0" w:color="auto"/>
          </w:divBdr>
        </w:div>
        <w:div w:id="1869027420">
          <w:marLeft w:val="640"/>
          <w:marRight w:val="0"/>
          <w:marTop w:val="0"/>
          <w:marBottom w:val="0"/>
          <w:divBdr>
            <w:top w:val="none" w:sz="0" w:space="0" w:color="auto"/>
            <w:left w:val="none" w:sz="0" w:space="0" w:color="auto"/>
            <w:bottom w:val="none" w:sz="0" w:space="0" w:color="auto"/>
            <w:right w:val="none" w:sz="0" w:space="0" w:color="auto"/>
          </w:divBdr>
        </w:div>
        <w:div w:id="2094735026">
          <w:marLeft w:val="640"/>
          <w:marRight w:val="0"/>
          <w:marTop w:val="0"/>
          <w:marBottom w:val="0"/>
          <w:divBdr>
            <w:top w:val="none" w:sz="0" w:space="0" w:color="auto"/>
            <w:left w:val="none" w:sz="0" w:space="0" w:color="auto"/>
            <w:bottom w:val="none" w:sz="0" w:space="0" w:color="auto"/>
            <w:right w:val="none" w:sz="0" w:space="0" w:color="auto"/>
          </w:divBdr>
        </w:div>
        <w:div w:id="1908104715">
          <w:marLeft w:val="640"/>
          <w:marRight w:val="0"/>
          <w:marTop w:val="0"/>
          <w:marBottom w:val="0"/>
          <w:divBdr>
            <w:top w:val="none" w:sz="0" w:space="0" w:color="auto"/>
            <w:left w:val="none" w:sz="0" w:space="0" w:color="auto"/>
            <w:bottom w:val="none" w:sz="0" w:space="0" w:color="auto"/>
            <w:right w:val="none" w:sz="0" w:space="0" w:color="auto"/>
          </w:divBdr>
        </w:div>
        <w:div w:id="324868806">
          <w:marLeft w:val="640"/>
          <w:marRight w:val="0"/>
          <w:marTop w:val="0"/>
          <w:marBottom w:val="0"/>
          <w:divBdr>
            <w:top w:val="none" w:sz="0" w:space="0" w:color="auto"/>
            <w:left w:val="none" w:sz="0" w:space="0" w:color="auto"/>
            <w:bottom w:val="none" w:sz="0" w:space="0" w:color="auto"/>
            <w:right w:val="none" w:sz="0" w:space="0" w:color="auto"/>
          </w:divBdr>
        </w:div>
        <w:div w:id="1099332809">
          <w:marLeft w:val="640"/>
          <w:marRight w:val="0"/>
          <w:marTop w:val="0"/>
          <w:marBottom w:val="0"/>
          <w:divBdr>
            <w:top w:val="none" w:sz="0" w:space="0" w:color="auto"/>
            <w:left w:val="none" w:sz="0" w:space="0" w:color="auto"/>
            <w:bottom w:val="none" w:sz="0" w:space="0" w:color="auto"/>
            <w:right w:val="none" w:sz="0" w:space="0" w:color="auto"/>
          </w:divBdr>
        </w:div>
        <w:div w:id="1442383707">
          <w:marLeft w:val="640"/>
          <w:marRight w:val="0"/>
          <w:marTop w:val="0"/>
          <w:marBottom w:val="0"/>
          <w:divBdr>
            <w:top w:val="none" w:sz="0" w:space="0" w:color="auto"/>
            <w:left w:val="none" w:sz="0" w:space="0" w:color="auto"/>
            <w:bottom w:val="none" w:sz="0" w:space="0" w:color="auto"/>
            <w:right w:val="none" w:sz="0" w:space="0" w:color="auto"/>
          </w:divBdr>
        </w:div>
        <w:div w:id="1145581609">
          <w:marLeft w:val="640"/>
          <w:marRight w:val="0"/>
          <w:marTop w:val="0"/>
          <w:marBottom w:val="0"/>
          <w:divBdr>
            <w:top w:val="none" w:sz="0" w:space="0" w:color="auto"/>
            <w:left w:val="none" w:sz="0" w:space="0" w:color="auto"/>
            <w:bottom w:val="none" w:sz="0" w:space="0" w:color="auto"/>
            <w:right w:val="none" w:sz="0" w:space="0" w:color="auto"/>
          </w:divBdr>
        </w:div>
        <w:div w:id="1821926291">
          <w:marLeft w:val="640"/>
          <w:marRight w:val="0"/>
          <w:marTop w:val="0"/>
          <w:marBottom w:val="0"/>
          <w:divBdr>
            <w:top w:val="none" w:sz="0" w:space="0" w:color="auto"/>
            <w:left w:val="none" w:sz="0" w:space="0" w:color="auto"/>
            <w:bottom w:val="none" w:sz="0" w:space="0" w:color="auto"/>
            <w:right w:val="none" w:sz="0" w:space="0" w:color="auto"/>
          </w:divBdr>
        </w:div>
        <w:div w:id="1373725656">
          <w:marLeft w:val="640"/>
          <w:marRight w:val="0"/>
          <w:marTop w:val="0"/>
          <w:marBottom w:val="0"/>
          <w:divBdr>
            <w:top w:val="none" w:sz="0" w:space="0" w:color="auto"/>
            <w:left w:val="none" w:sz="0" w:space="0" w:color="auto"/>
            <w:bottom w:val="none" w:sz="0" w:space="0" w:color="auto"/>
            <w:right w:val="none" w:sz="0" w:space="0" w:color="auto"/>
          </w:divBdr>
        </w:div>
        <w:div w:id="666714070">
          <w:marLeft w:val="640"/>
          <w:marRight w:val="0"/>
          <w:marTop w:val="0"/>
          <w:marBottom w:val="0"/>
          <w:divBdr>
            <w:top w:val="none" w:sz="0" w:space="0" w:color="auto"/>
            <w:left w:val="none" w:sz="0" w:space="0" w:color="auto"/>
            <w:bottom w:val="none" w:sz="0" w:space="0" w:color="auto"/>
            <w:right w:val="none" w:sz="0" w:space="0" w:color="auto"/>
          </w:divBdr>
        </w:div>
        <w:div w:id="890653157">
          <w:marLeft w:val="640"/>
          <w:marRight w:val="0"/>
          <w:marTop w:val="0"/>
          <w:marBottom w:val="0"/>
          <w:divBdr>
            <w:top w:val="none" w:sz="0" w:space="0" w:color="auto"/>
            <w:left w:val="none" w:sz="0" w:space="0" w:color="auto"/>
            <w:bottom w:val="none" w:sz="0" w:space="0" w:color="auto"/>
            <w:right w:val="none" w:sz="0" w:space="0" w:color="auto"/>
          </w:divBdr>
        </w:div>
        <w:div w:id="910894583">
          <w:marLeft w:val="640"/>
          <w:marRight w:val="0"/>
          <w:marTop w:val="0"/>
          <w:marBottom w:val="0"/>
          <w:divBdr>
            <w:top w:val="none" w:sz="0" w:space="0" w:color="auto"/>
            <w:left w:val="none" w:sz="0" w:space="0" w:color="auto"/>
            <w:bottom w:val="none" w:sz="0" w:space="0" w:color="auto"/>
            <w:right w:val="none" w:sz="0" w:space="0" w:color="auto"/>
          </w:divBdr>
        </w:div>
        <w:div w:id="1961573607">
          <w:marLeft w:val="640"/>
          <w:marRight w:val="0"/>
          <w:marTop w:val="0"/>
          <w:marBottom w:val="0"/>
          <w:divBdr>
            <w:top w:val="none" w:sz="0" w:space="0" w:color="auto"/>
            <w:left w:val="none" w:sz="0" w:space="0" w:color="auto"/>
            <w:bottom w:val="none" w:sz="0" w:space="0" w:color="auto"/>
            <w:right w:val="none" w:sz="0" w:space="0" w:color="auto"/>
          </w:divBdr>
        </w:div>
        <w:div w:id="1284771610">
          <w:marLeft w:val="640"/>
          <w:marRight w:val="0"/>
          <w:marTop w:val="0"/>
          <w:marBottom w:val="0"/>
          <w:divBdr>
            <w:top w:val="none" w:sz="0" w:space="0" w:color="auto"/>
            <w:left w:val="none" w:sz="0" w:space="0" w:color="auto"/>
            <w:bottom w:val="none" w:sz="0" w:space="0" w:color="auto"/>
            <w:right w:val="none" w:sz="0" w:space="0" w:color="auto"/>
          </w:divBdr>
        </w:div>
        <w:div w:id="1372223348">
          <w:marLeft w:val="640"/>
          <w:marRight w:val="0"/>
          <w:marTop w:val="0"/>
          <w:marBottom w:val="0"/>
          <w:divBdr>
            <w:top w:val="none" w:sz="0" w:space="0" w:color="auto"/>
            <w:left w:val="none" w:sz="0" w:space="0" w:color="auto"/>
            <w:bottom w:val="none" w:sz="0" w:space="0" w:color="auto"/>
            <w:right w:val="none" w:sz="0" w:space="0" w:color="auto"/>
          </w:divBdr>
        </w:div>
        <w:div w:id="1392772162">
          <w:marLeft w:val="640"/>
          <w:marRight w:val="0"/>
          <w:marTop w:val="0"/>
          <w:marBottom w:val="0"/>
          <w:divBdr>
            <w:top w:val="none" w:sz="0" w:space="0" w:color="auto"/>
            <w:left w:val="none" w:sz="0" w:space="0" w:color="auto"/>
            <w:bottom w:val="none" w:sz="0" w:space="0" w:color="auto"/>
            <w:right w:val="none" w:sz="0" w:space="0" w:color="auto"/>
          </w:divBdr>
        </w:div>
        <w:div w:id="1662269285">
          <w:marLeft w:val="640"/>
          <w:marRight w:val="0"/>
          <w:marTop w:val="0"/>
          <w:marBottom w:val="0"/>
          <w:divBdr>
            <w:top w:val="none" w:sz="0" w:space="0" w:color="auto"/>
            <w:left w:val="none" w:sz="0" w:space="0" w:color="auto"/>
            <w:bottom w:val="none" w:sz="0" w:space="0" w:color="auto"/>
            <w:right w:val="none" w:sz="0" w:space="0" w:color="auto"/>
          </w:divBdr>
        </w:div>
        <w:div w:id="794250689">
          <w:marLeft w:val="640"/>
          <w:marRight w:val="0"/>
          <w:marTop w:val="0"/>
          <w:marBottom w:val="0"/>
          <w:divBdr>
            <w:top w:val="none" w:sz="0" w:space="0" w:color="auto"/>
            <w:left w:val="none" w:sz="0" w:space="0" w:color="auto"/>
            <w:bottom w:val="none" w:sz="0" w:space="0" w:color="auto"/>
            <w:right w:val="none" w:sz="0" w:space="0" w:color="auto"/>
          </w:divBdr>
        </w:div>
        <w:div w:id="1492794170">
          <w:marLeft w:val="640"/>
          <w:marRight w:val="0"/>
          <w:marTop w:val="0"/>
          <w:marBottom w:val="0"/>
          <w:divBdr>
            <w:top w:val="none" w:sz="0" w:space="0" w:color="auto"/>
            <w:left w:val="none" w:sz="0" w:space="0" w:color="auto"/>
            <w:bottom w:val="none" w:sz="0" w:space="0" w:color="auto"/>
            <w:right w:val="none" w:sz="0" w:space="0" w:color="auto"/>
          </w:divBdr>
        </w:div>
        <w:div w:id="211430717">
          <w:marLeft w:val="640"/>
          <w:marRight w:val="0"/>
          <w:marTop w:val="0"/>
          <w:marBottom w:val="0"/>
          <w:divBdr>
            <w:top w:val="none" w:sz="0" w:space="0" w:color="auto"/>
            <w:left w:val="none" w:sz="0" w:space="0" w:color="auto"/>
            <w:bottom w:val="none" w:sz="0" w:space="0" w:color="auto"/>
            <w:right w:val="none" w:sz="0" w:space="0" w:color="auto"/>
          </w:divBdr>
        </w:div>
        <w:div w:id="102461871">
          <w:marLeft w:val="640"/>
          <w:marRight w:val="0"/>
          <w:marTop w:val="0"/>
          <w:marBottom w:val="0"/>
          <w:divBdr>
            <w:top w:val="none" w:sz="0" w:space="0" w:color="auto"/>
            <w:left w:val="none" w:sz="0" w:space="0" w:color="auto"/>
            <w:bottom w:val="none" w:sz="0" w:space="0" w:color="auto"/>
            <w:right w:val="none" w:sz="0" w:space="0" w:color="auto"/>
          </w:divBdr>
        </w:div>
        <w:div w:id="1261337352">
          <w:marLeft w:val="640"/>
          <w:marRight w:val="0"/>
          <w:marTop w:val="0"/>
          <w:marBottom w:val="0"/>
          <w:divBdr>
            <w:top w:val="none" w:sz="0" w:space="0" w:color="auto"/>
            <w:left w:val="none" w:sz="0" w:space="0" w:color="auto"/>
            <w:bottom w:val="none" w:sz="0" w:space="0" w:color="auto"/>
            <w:right w:val="none" w:sz="0" w:space="0" w:color="auto"/>
          </w:divBdr>
        </w:div>
        <w:div w:id="1607035221">
          <w:marLeft w:val="640"/>
          <w:marRight w:val="0"/>
          <w:marTop w:val="0"/>
          <w:marBottom w:val="0"/>
          <w:divBdr>
            <w:top w:val="none" w:sz="0" w:space="0" w:color="auto"/>
            <w:left w:val="none" w:sz="0" w:space="0" w:color="auto"/>
            <w:bottom w:val="none" w:sz="0" w:space="0" w:color="auto"/>
            <w:right w:val="none" w:sz="0" w:space="0" w:color="auto"/>
          </w:divBdr>
        </w:div>
        <w:div w:id="1329595225">
          <w:marLeft w:val="640"/>
          <w:marRight w:val="0"/>
          <w:marTop w:val="0"/>
          <w:marBottom w:val="0"/>
          <w:divBdr>
            <w:top w:val="none" w:sz="0" w:space="0" w:color="auto"/>
            <w:left w:val="none" w:sz="0" w:space="0" w:color="auto"/>
            <w:bottom w:val="none" w:sz="0" w:space="0" w:color="auto"/>
            <w:right w:val="none" w:sz="0" w:space="0" w:color="auto"/>
          </w:divBdr>
        </w:div>
        <w:div w:id="140738281">
          <w:marLeft w:val="640"/>
          <w:marRight w:val="0"/>
          <w:marTop w:val="0"/>
          <w:marBottom w:val="0"/>
          <w:divBdr>
            <w:top w:val="none" w:sz="0" w:space="0" w:color="auto"/>
            <w:left w:val="none" w:sz="0" w:space="0" w:color="auto"/>
            <w:bottom w:val="none" w:sz="0" w:space="0" w:color="auto"/>
            <w:right w:val="none" w:sz="0" w:space="0" w:color="auto"/>
          </w:divBdr>
        </w:div>
        <w:div w:id="908073211">
          <w:marLeft w:val="640"/>
          <w:marRight w:val="0"/>
          <w:marTop w:val="0"/>
          <w:marBottom w:val="0"/>
          <w:divBdr>
            <w:top w:val="none" w:sz="0" w:space="0" w:color="auto"/>
            <w:left w:val="none" w:sz="0" w:space="0" w:color="auto"/>
            <w:bottom w:val="none" w:sz="0" w:space="0" w:color="auto"/>
            <w:right w:val="none" w:sz="0" w:space="0" w:color="auto"/>
          </w:divBdr>
        </w:div>
        <w:div w:id="2096048443">
          <w:marLeft w:val="640"/>
          <w:marRight w:val="0"/>
          <w:marTop w:val="0"/>
          <w:marBottom w:val="0"/>
          <w:divBdr>
            <w:top w:val="none" w:sz="0" w:space="0" w:color="auto"/>
            <w:left w:val="none" w:sz="0" w:space="0" w:color="auto"/>
            <w:bottom w:val="none" w:sz="0" w:space="0" w:color="auto"/>
            <w:right w:val="none" w:sz="0" w:space="0" w:color="auto"/>
          </w:divBdr>
        </w:div>
        <w:div w:id="2067072045">
          <w:marLeft w:val="640"/>
          <w:marRight w:val="0"/>
          <w:marTop w:val="0"/>
          <w:marBottom w:val="0"/>
          <w:divBdr>
            <w:top w:val="none" w:sz="0" w:space="0" w:color="auto"/>
            <w:left w:val="none" w:sz="0" w:space="0" w:color="auto"/>
            <w:bottom w:val="none" w:sz="0" w:space="0" w:color="auto"/>
            <w:right w:val="none" w:sz="0" w:space="0" w:color="auto"/>
          </w:divBdr>
        </w:div>
        <w:div w:id="1798719086">
          <w:marLeft w:val="640"/>
          <w:marRight w:val="0"/>
          <w:marTop w:val="0"/>
          <w:marBottom w:val="0"/>
          <w:divBdr>
            <w:top w:val="none" w:sz="0" w:space="0" w:color="auto"/>
            <w:left w:val="none" w:sz="0" w:space="0" w:color="auto"/>
            <w:bottom w:val="none" w:sz="0" w:space="0" w:color="auto"/>
            <w:right w:val="none" w:sz="0" w:space="0" w:color="auto"/>
          </w:divBdr>
        </w:div>
        <w:div w:id="814420538">
          <w:marLeft w:val="640"/>
          <w:marRight w:val="0"/>
          <w:marTop w:val="0"/>
          <w:marBottom w:val="0"/>
          <w:divBdr>
            <w:top w:val="none" w:sz="0" w:space="0" w:color="auto"/>
            <w:left w:val="none" w:sz="0" w:space="0" w:color="auto"/>
            <w:bottom w:val="none" w:sz="0" w:space="0" w:color="auto"/>
            <w:right w:val="none" w:sz="0" w:space="0" w:color="auto"/>
          </w:divBdr>
        </w:div>
        <w:div w:id="1456564642">
          <w:marLeft w:val="640"/>
          <w:marRight w:val="0"/>
          <w:marTop w:val="0"/>
          <w:marBottom w:val="0"/>
          <w:divBdr>
            <w:top w:val="none" w:sz="0" w:space="0" w:color="auto"/>
            <w:left w:val="none" w:sz="0" w:space="0" w:color="auto"/>
            <w:bottom w:val="none" w:sz="0" w:space="0" w:color="auto"/>
            <w:right w:val="none" w:sz="0" w:space="0" w:color="auto"/>
          </w:divBdr>
        </w:div>
        <w:div w:id="602761273">
          <w:marLeft w:val="640"/>
          <w:marRight w:val="0"/>
          <w:marTop w:val="0"/>
          <w:marBottom w:val="0"/>
          <w:divBdr>
            <w:top w:val="none" w:sz="0" w:space="0" w:color="auto"/>
            <w:left w:val="none" w:sz="0" w:space="0" w:color="auto"/>
            <w:bottom w:val="none" w:sz="0" w:space="0" w:color="auto"/>
            <w:right w:val="none" w:sz="0" w:space="0" w:color="auto"/>
          </w:divBdr>
        </w:div>
        <w:div w:id="1346402943">
          <w:marLeft w:val="640"/>
          <w:marRight w:val="0"/>
          <w:marTop w:val="0"/>
          <w:marBottom w:val="0"/>
          <w:divBdr>
            <w:top w:val="none" w:sz="0" w:space="0" w:color="auto"/>
            <w:left w:val="none" w:sz="0" w:space="0" w:color="auto"/>
            <w:bottom w:val="none" w:sz="0" w:space="0" w:color="auto"/>
            <w:right w:val="none" w:sz="0" w:space="0" w:color="auto"/>
          </w:divBdr>
        </w:div>
        <w:div w:id="1167791265">
          <w:marLeft w:val="640"/>
          <w:marRight w:val="0"/>
          <w:marTop w:val="0"/>
          <w:marBottom w:val="0"/>
          <w:divBdr>
            <w:top w:val="none" w:sz="0" w:space="0" w:color="auto"/>
            <w:left w:val="none" w:sz="0" w:space="0" w:color="auto"/>
            <w:bottom w:val="none" w:sz="0" w:space="0" w:color="auto"/>
            <w:right w:val="none" w:sz="0" w:space="0" w:color="auto"/>
          </w:divBdr>
        </w:div>
        <w:div w:id="1370759773">
          <w:marLeft w:val="640"/>
          <w:marRight w:val="0"/>
          <w:marTop w:val="0"/>
          <w:marBottom w:val="0"/>
          <w:divBdr>
            <w:top w:val="none" w:sz="0" w:space="0" w:color="auto"/>
            <w:left w:val="none" w:sz="0" w:space="0" w:color="auto"/>
            <w:bottom w:val="none" w:sz="0" w:space="0" w:color="auto"/>
            <w:right w:val="none" w:sz="0" w:space="0" w:color="auto"/>
          </w:divBdr>
        </w:div>
        <w:div w:id="945389267">
          <w:marLeft w:val="640"/>
          <w:marRight w:val="0"/>
          <w:marTop w:val="0"/>
          <w:marBottom w:val="0"/>
          <w:divBdr>
            <w:top w:val="none" w:sz="0" w:space="0" w:color="auto"/>
            <w:left w:val="none" w:sz="0" w:space="0" w:color="auto"/>
            <w:bottom w:val="none" w:sz="0" w:space="0" w:color="auto"/>
            <w:right w:val="none" w:sz="0" w:space="0" w:color="auto"/>
          </w:divBdr>
        </w:div>
        <w:div w:id="1476878047">
          <w:marLeft w:val="640"/>
          <w:marRight w:val="0"/>
          <w:marTop w:val="0"/>
          <w:marBottom w:val="0"/>
          <w:divBdr>
            <w:top w:val="none" w:sz="0" w:space="0" w:color="auto"/>
            <w:left w:val="none" w:sz="0" w:space="0" w:color="auto"/>
            <w:bottom w:val="none" w:sz="0" w:space="0" w:color="auto"/>
            <w:right w:val="none" w:sz="0" w:space="0" w:color="auto"/>
          </w:divBdr>
        </w:div>
        <w:div w:id="1627274412">
          <w:marLeft w:val="640"/>
          <w:marRight w:val="0"/>
          <w:marTop w:val="0"/>
          <w:marBottom w:val="0"/>
          <w:divBdr>
            <w:top w:val="none" w:sz="0" w:space="0" w:color="auto"/>
            <w:left w:val="none" w:sz="0" w:space="0" w:color="auto"/>
            <w:bottom w:val="none" w:sz="0" w:space="0" w:color="auto"/>
            <w:right w:val="none" w:sz="0" w:space="0" w:color="auto"/>
          </w:divBdr>
        </w:div>
        <w:div w:id="434985619">
          <w:marLeft w:val="640"/>
          <w:marRight w:val="0"/>
          <w:marTop w:val="0"/>
          <w:marBottom w:val="0"/>
          <w:divBdr>
            <w:top w:val="none" w:sz="0" w:space="0" w:color="auto"/>
            <w:left w:val="none" w:sz="0" w:space="0" w:color="auto"/>
            <w:bottom w:val="none" w:sz="0" w:space="0" w:color="auto"/>
            <w:right w:val="none" w:sz="0" w:space="0" w:color="auto"/>
          </w:divBdr>
        </w:div>
        <w:div w:id="1655719340">
          <w:marLeft w:val="640"/>
          <w:marRight w:val="0"/>
          <w:marTop w:val="0"/>
          <w:marBottom w:val="0"/>
          <w:divBdr>
            <w:top w:val="none" w:sz="0" w:space="0" w:color="auto"/>
            <w:left w:val="none" w:sz="0" w:space="0" w:color="auto"/>
            <w:bottom w:val="none" w:sz="0" w:space="0" w:color="auto"/>
            <w:right w:val="none" w:sz="0" w:space="0" w:color="auto"/>
          </w:divBdr>
        </w:div>
        <w:div w:id="1927034318">
          <w:marLeft w:val="640"/>
          <w:marRight w:val="0"/>
          <w:marTop w:val="0"/>
          <w:marBottom w:val="0"/>
          <w:divBdr>
            <w:top w:val="none" w:sz="0" w:space="0" w:color="auto"/>
            <w:left w:val="none" w:sz="0" w:space="0" w:color="auto"/>
            <w:bottom w:val="none" w:sz="0" w:space="0" w:color="auto"/>
            <w:right w:val="none" w:sz="0" w:space="0" w:color="auto"/>
          </w:divBdr>
        </w:div>
        <w:div w:id="1757901882">
          <w:marLeft w:val="640"/>
          <w:marRight w:val="0"/>
          <w:marTop w:val="0"/>
          <w:marBottom w:val="0"/>
          <w:divBdr>
            <w:top w:val="none" w:sz="0" w:space="0" w:color="auto"/>
            <w:left w:val="none" w:sz="0" w:space="0" w:color="auto"/>
            <w:bottom w:val="none" w:sz="0" w:space="0" w:color="auto"/>
            <w:right w:val="none" w:sz="0" w:space="0" w:color="auto"/>
          </w:divBdr>
        </w:div>
        <w:div w:id="2039695552">
          <w:marLeft w:val="640"/>
          <w:marRight w:val="0"/>
          <w:marTop w:val="0"/>
          <w:marBottom w:val="0"/>
          <w:divBdr>
            <w:top w:val="none" w:sz="0" w:space="0" w:color="auto"/>
            <w:left w:val="none" w:sz="0" w:space="0" w:color="auto"/>
            <w:bottom w:val="none" w:sz="0" w:space="0" w:color="auto"/>
            <w:right w:val="none" w:sz="0" w:space="0" w:color="auto"/>
          </w:divBdr>
        </w:div>
        <w:div w:id="374887151">
          <w:marLeft w:val="640"/>
          <w:marRight w:val="0"/>
          <w:marTop w:val="0"/>
          <w:marBottom w:val="0"/>
          <w:divBdr>
            <w:top w:val="none" w:sz="0" w:space="0" w:color="auto"/>
            <w:left w:val="none" w:sz="0" w:space="0" w:color="auto"/>
            <w:bottom w:val="none" w:sz="0" w:space="0" w:color="auto"/>
            <w:right w:val="none" w:sz="0" w:space="0" w:color="auto"/>
          </w:divBdr>
        </w:div>
        <w:div w:id="1377311613">
          <w:marLeft w:val="640"/>
          <w:marRight w:val="0"/>
          <w:marTop w:val="0"/>
          <w:marBottom w:val="0"/>
          <w:divBdr>
            <w:top w:val="none" w:sz="0" w:space="0" w:color="auto"/>
            <w:left w:val="none" w:sz="0" w:space="0" w:color="auto"/>
            <w:bottom w:val="none" w:sz="0" w:space="0" w:color="auto"/>
            <w:right w:val="none" w:sz="0" w:space="0" w:color="auto"/>
          </w:divBdr>
        </w:div>
        <w:div w:id="1135294584">
          <w:marLeft w:val="640"/>
          <w:marRight w:val="0"/>
          <w:marTop w:val="0"/>
          <w:marBottom w:val="0"/>
          <w:divBdr>
            <w:top w:val="none" w:sz="0" w:space="0" w:color="auto"/>
            <w:left w:val="none" w:sz="0" w:space="0" w:color="auto"/>
            <w:bottom w:val="none" w:sz="0" w:space="0" w:color="auto"/>
            <w:right w:val="none" w:sz="0" w:space="0" w:color="auto"/>
          </w:divBdr>
        </w:div>
        <w:div w:id="1869875451">
          <w:marLeft w:val="640"/>
          <w:marRight w:val="0"/>
          <w:marTop w:val="0"/>
          <w:marBottom w:val="0"/>
          <w:divBdr>
            <w:top w:val="none" w:sz="0" w:space="0" w:color="auto"/>
            <w:left w:val="none" w:sz="0" w:space="0" w:color="auto"/>
            <w:bottom w:val="none" w:sz="0" w:space="0" w:color="auto"/>
            <w:right w:val="none" w:sz="0" w:space="0" w:color="auto"/>
          </w:divBdr>
        </w:div>
        <w:div w:id="634722477">
          <w:marLeft w:val="640"/>
          <w:marRight w:val="0"/>
          <w:marTop w:val="0"/>
          <w:marBottom w:val="0"/>
          <w:divBdr>
            <w:top w:val="none" w:sz="0" w:space="0" w:color="auto"/>
            <w:left w:val="none" w:sz="0" w:space="0" w:color="auto"/>
            <w:bottom w:val="none" w:sz="0" w:space="0" w:color="auto"/>
            <w:right w:val="none" w:sz="0" w:space="0" w:color="auto"/>
          </w:divBdr>
        </w:div>
        <w:div w:id="883560429">
          <w:marLeft w:val="640"/>
          <w:marRight w:val="0"/>
          <w:marTop w:val="0"/>
          <w:marBottom w:val="0"/>
          <w:divBdr>
            <w:top w:val="none" w:sz="0" w:space="0" w:color="auto"/>
            <w:left w:val="none" w:sz="0" w:space="0" w:color="auto"/>
            <w:bottom w:val="none" w:sz="0" w:space="0" w:color="auto"/>
            <w:right w:val="none" w:sz="0" w:space="0" w:color="auto"/>
          </w:divBdr>
        </w:div>
        <w:div w:id="150372143">
          <w:marLeft w:val="640"/>
          <w:marRight w:val="0"/>
          <w:marTop w:val="0"/>
          <w:marBottom w:val="0"/>
          <w:divBdr>
            <w:top w:val="none" w:sz="0" w:space="0" w:color="auto"/>
            <w:left w:val="none" w:sz="0" w:space="0" w:color="auto"/>
            <w:bottom w:val="none" w:sz="0" w:space="0" w:color="auto"/>
            <w:right w:val="none" w:sz="0" w:space="0" w:color="auto"/>
          </w:divBdr>
        </w:div>
        <w:div w:id="517697461">
          <w:marLeft w:val="640"/>
          <w:marRight w:val="0"/>
          <w:marTop w:val="0"/>
          <w:marBottom w:val="0"/>
          <w:divBdr>
            <w:top w:val="none" w:sz="0" w:space="0" w:color="auto"/>
            <w:left w:val="none" w:sz="0" w:space="0" w:color="auto"/>
            <w:bottom w:val="none" w:sz="0" w:space="0" w:color="auto"/>
            <w:right w:val="none" w:sz="0" w:space="0" w:color="auto"/>
          </w:divBdr>
        </w:div>
        <w:div w:id="1570994207">
          <w:marLeft w:val="640"/>
          <w:marRight w:val="0"/>
          <w:marTop w:val="0"/>
          <w:marBottom w:val="0"/>
          <w:divBdr>
            <w:top w:val="none" w:sz="0" w:space="0" w:color="auto"/>
            <w:left w:val="none" w:sz="0" w:space="0" w:color="auto"/>
            <w:bottom w:val="none" w:sz="0" w:space="0" w:color="auto"/>
            <w:right w:val="none" w:sz="0" w:space="0" w:color="auto"/>
          </w:divBdr>
        </w:div>
        <w:div w:id="1179539761">
          <w:marLeft w:val="640"/>
          <w:marRight w:val="0"/>
          <w:marTop w:val="0"/>
          <w:marBottom w:val="0"/>
          <w:divBdr>
            <w:top w:val="none" w:sz="0" w:space="0" w:color="auto"/>
            <w:left w:val="none" w:sz="0" w:space="0" w:color="auto"/>
            <w:bottom w:val="none" w:sz="0" w:space="0" w:color="auto"/>
            <w:right w:val="none" w:sz="0" w:space="0" w:color="auto"/>
          </w:divBdr>
        </w:div>
        <w:div w:id="1460605912">
          <w:marLeft w:val="640"/>
          <w:marRight w:val="0"/>
          <w:marTop w:val="0"/>
          <w:marBottom w:val="0"/>
          <w:divBdr>
            <w:top w:val="none" w:sz="0" w:space="0" w:color="auto"/>
            <w:left w:val="none" w:sz="0" w:space="0" w:color="auto"/>
            <w:bottom w:val="none" w:sz="0" w:space="0" w:color="auto"/>
            <w:right w:val="none" w:sz="0" w:space="0" w:color="auto"/>
          </w:divBdr>
        </w:div>
        <w:div w:id="234122715">
          <w:marLeft w:val="640"/>
          <w:marRight w:val="0"/>
          <w:marTop w:val="0"/>
          <w:marBottom w:val="0"/>
          <w:divBdr>
            <w:top w:val="none" w:sz="0" w:space="0" w:color="auto"/>
            <w:left w:val="none" w:sz="0" w:space="0" w:color="auto"/>
            <w:bottom w:val="none" w:sz="0" w:space="0" w:color="auto"/>
            <w:right w:val="none" w:sz="0" w:space="0" w:color="auto"/>
          </w:divBdr>
        </w:div>
        <w:div w:id="207108331">
          <w:marLeft w:val="640"/>
          <w:marRight w:val="0"/>
          <w:marTop w:val="0"/>
          <w:marBottom w:val="0"/>
          <w:divBdr>
            <w:top w:val="none" w:sz="0" w:space="0" w:color="auto"/>
            <w:left w:val="none" w:sz="0" w:space="0" w:color="auto"/>
            <w:bottom w:val="none" w:sz="0" w:space="0" w:color="auto"/>
            <w:right w:val="none" w:sz="0" w:space="0" w:color="auto"/>
          </w:divBdr>
        </w:div>
        <w:div w:id="1240866411">
          <w:marLeft w:val="640"/>
          <w:marRight w:val="0"/>
          <w:marTop w:val="0"/>
          <w:marBottom w:val="0"/>
          <w:divBdr>
            <w:top w:val="none" w:sz="0" w:space="0" w:color="auto"/>
            <w:left w:val="none" w:sz="0" w:space="0" w:color="auto"/>
            <w:bottom w:val="none" w:sz="0" w:space="0" w:color="auto"/>
            <w:right w:val="none" w:sz="0" w:space="0" w:color="auto"/>
          </w:divBdr>
        </w:div>
        <w:div w:id="451481876">
          <w:marLeft w:val="640"/>
          <w:marRight w:val="0"/>
          <w:marTop w:val="0"/>
          <w:marBottom w:val="0"/>
          <w:divBdr>
            <w:top w:val="none" w:sz="0" w:space="0" w:color="auto"/>
            <w:left w:val="none" w:sz="0" w:space="0" w:color="auto"/>
            <w:bottom w:val="none" w:sz="0" w:space="0" w:color="auto"/>
            <w:right w:val="none" w:sz="0" w:space="0" w:color="auto"/>
          </w:divBdr>
        </w:div>
        <w:div w:id="1263342395">
          <w:marLeft w:val="640"/>
          <w:marRight w:val="0"/>
          <w:marTop w:val="0"/>
          <w:marBottom w:val="0"/>
          <w:divBdr>
            <w:top w:val="none" w:sz="0" w:space="0" w:color="auto"/>
            <w:left w:val="none" w:sz="0" w:space="0" w:color="auto"/>
            <w:bottom w:val="none" w:sz="0" w:space="0" w:color="auto"/>
            <w:right w:val="none" w:sz="0" w:space="0" w:color="auto"/>
          </w:divBdr>
        </w:div>
        <w:div w:id="1186553190">
          <w:marLeft w:val="640"/>
          <w:marRight w:val="0"/>
          <w:marTop w:val="0"/>
          <w:marBottom w:val="0"/>
          <w:divBdr>
            <w:top w:val="none" w:sz="0" w:space="0" w:color="auto"/>
            <w:left w:val="none" w:sz="0" w:space="0" w:color="auto"/>
            <w:bottom w:val="none" w:sz="0" w:space="0" w:color="auto"/>
            <w:right w:val="none" w:sz="0" w:space="0" w:color="auto"/>
          </w:divBdr>
        </w:div>
        <w:div w:id="266163119">
          <w:marLeft w:val="640"/>
          <w:marRight w:val="0"/>
          <w:marTop w:val="0"/>
          <w:marBottom w:val="0"/>
          <w:divBdr>
            <w:top w:val="none" w:sz="0" w:space="0" w:color="auto"/>
            <w:left w:val="none" w:sz="0" w:space="0" w:color="auto"/>
            <w:bottom w:val="none" w:sz="0" w:space="0" w:color="auto"/>
            <w:right w:val="none" w:sz="0" w:space="0" w:color="auto"/>
          </w:divBdr>
        </w:div>
        <w:div w:id="669479580">
          <w:marLeft w:val="640"/>
          <w:marRight w:val="0"/>
          <w:marTop w:val="0"/>
          <w:marBottom w:val="0"/>
          <w:divBdr>
            <w:top w:val="none" w:sz="0" w:space="0" w:color="auto"/>
            <w:left w:val="none" w:sz="0" w:space="0" w:color="auto"/>
            <w:bottom w:val="none" w:sz="0" w:space="0" w:color="auto"/>
            <w:right w:val="none" w:sz="0" w:space="0" w:color="auto"/>
          </w:divBdr>
        </w:div>
        <w:div w:id="544291322">
          <w:marLeft w:val="640"/>
          <w:marRight w:val="0"/>
          <w:marTop w:val="0"/>
          <w:marBottom w:val="0"/>
          <w:divBdr>
            <w:top w:val="none" w:sz="0" w:space="0" w:color="auto"/>
            <w:left w:val="none" w:sz="0" w:space="0" w:color="auto"/>
            <w:bottom w:val="none" w:sz="0" w:space="0" w:color="auto"/>
            <w:right w:val="none" w:sz="0" w:space="0" w:color="auto"/>
          </w:divBdr>
        </w:div>
        <w:div w:id="1904483559">
          <w:marLeft w:val="640"/>
          <w:marRight w:val="0"/>
          <w:marTop w:val="0"/>
          <w:marBottom w:val="0"/>
          <w:divBdr>
            <w:top w:val="none" w:sz="0" w:space="0" w:color="auto"/>
            <w:left w:val="none" w:sz="0" w:space="0" w:color="auto"/>
            <w:bottom w:val="none" w:sz="0" w:space="0" w:color="auto"/>
            <w:right w:val="none" w:sz="0" w:space="0" w:color="auto"/>
          </w:divBdr>
        </w:div>
        <w:div w:id="1115900778">
          <w:marLeft w:val="640"/>
          <w:marRight w:val="0"/>
          <w:marTop w:val="0"/>
          <w:marBottom w:val="0"/>
          <w:divBdr>
            <w:top w:val="none" w:sz="0" w:space="0" w:color="auto"/>
            <w:left w:val="none" w:sz="0" w:space="0" w:color="auto"/>
            <w:bottom w:val="none" w:sz="0" w:space="0" w:color="auto"/>
            <w:right w:val="none" w:sz="0" w:space="0" w:color="auto"/>
          </w:divBdr>
        </w:div>
        <w:div w:id="1445230432">
          <w:marLeft w:val="640"/>
          <w:marRight w:val="0"/>
          <w:marTop w:val="0"/>
          <w:marBottom w:val="0"/>
          <w:divBdr>
            <w:top w:val="none" w:sz="0" w:space="0" w:color="auto"/>
            <w:left w:val="none" w:sz="0" w:space="0" w:color="auto"/>
            <w:bottom w:val="none" w:sz="0" w:space="0" w:color="auto"/>
            <w:right w:val="none" w:sz="0" w:space="0" w:color="auto"/>
          </w:divBdr>
        </w:div>
        <w:div w:id="1970932261">
          <w:marLeft w:val="640"/>
          <w:marRight w:val="0"/>
          <w:marTop w:val="0"/>
          <w:marBottom w:val="0"/>
          <w:divBdr>
            <w:top w:val="none" w:sz="0" w:space="0" w:color="auto"/>
            <w:left w:val="none" w:sz="0" w:space="0" w:color="auto"/>
            <w:bottom w:val="none" w:sz="0" w:space="0" w:color="auto"/>
            <w:right w:val="none" w:sz="0" w:space="0" w:color="auto"/>
          </w:divBdr>
        </w:div>
        <w:div w:id="2026976172">
          <w:marLeft w:val="640"/>
          <w:marRight w:val="0"/>
          <w:marTop w:val="0"/>
          <w:marBottom w:val="0"/>
          <w:divBdr>
            <w:top w:val="none" w:sz="0" w:space="0" w:color="auto"/>
            <w:left w:val="none" w:sz="0" w:space="0" w:color="auto"/>
            <w:bottom w:val="none" w:sz="0" w:space="0" w:color="auto"/>
            <w:right w:val="none" w:sz="0" w:space="0" w:color="auto"/>
          </w:divBdr>
        </w:div>
        <w:div w:id="33358997">
          <w:marLeft w:val="640"/>
          <w:marRight w:val="0"/>
          <w:marTop w:val="0"/>
          <w:marBottom w:val="0"/>
          <w:divBdr>
            <w:top w:val="none" w:sz="0" w:space="0" w:color="auto"/>
            <w:left w:val="none" w:sz="0" w:space="0" w:color="auto"/>
            <w:bottom w:val="none" w:sz="0" w:space="0" w:color="auto"/>
            <w:right w:val="none" w:sz="0" w:space="0" w:color="auto"/>
          </w:divBdr>
        </w:div>
        <w:div w:id="1866553426">
          <w:marLeft w:val="640"/>
          <w:marRight w:val="0"/>
          <w:marTop w:val="0"/>
          <w:marBottom w:val="0"/>
          <w:divBdr>
            <w:top w:val="none" w:sz="0" w:space="0" w:color="auto"/>
            <w:left w:val="none" w:sz="0" w:space="0" w:color="auto"/>
            <w:bottom w:val="none" w:sz="0" w:space="0" w:color="auto"/>
            <w:right w:val="none" w:sz="0" w:space="0" w:color="auto"/>
          </w:divBdr>
        </w:div>
        <w:div w:id="1733697850">
          <w:marLeft w:val="640"/>
          <w:marRight w:val="0"/>
          <w:marTop w:val="0"/>
          <w:marBottom w:val="0"/>
          <w:divBdr>
            <w:top w:val="none" w:sz="0" w:space="0" w:color="auto"/>
            <w:left w:val="none" w:sz="0" w:space="0" w:color="auto"/>
            <w:bottom w:val="none" w:sz="0" w:space="0" w:color="auto"/>
            <w:right w:val="none" w:sz="0" w:space="0" w:color="auto"/>
          </w:divBdr>
        </w:div>
        <w:div w:id="53432208">
          <w:marLeft w:val="640"/>
          <w:marRight w:val="0"/>
          <w:marTop w:val="0"/>
          <w:marBottom w:val="0"/>
          <w:divBdr>
            <w:top w:val="none" w:sz="0" w:space="0" w:color="auto"/>
            <w:left w:val="none" w:sz="0" w:space="0" w:color="auto"/>
            <w:bottom w:val="none" w:sz="0" w:space="0" w:color="auto"/>
            <w:right w:val="none" w:sz="0" w:space="0" w:color="auto"/>
          </w:divBdr>
        </w:div>
        <w:div w:id="992954087">
          <w:marLeft w:val="640"/>
          <w:marRight w:val="0"/>
          <w:marTop w:val="0"/>
          <w:marBottom w:val="0"/>
          <w:divBdr>
            <w:top w:val="none" w:sz="0" w:space="0" w:color="auto"/>
            <w:left w:val="none" w:sz="0" w:space="0" w:color="auto"/>
            <w:bottom w:val="none" w:sz="0" w:space="0" w:color="auto"/>
            <w:right w:val="none" w:sz="0" w:space="0" w:color="auto"/>
          </w:divBdr>
        </w:div>
        <w:div w:id="509492984">
          <w:marLeft w:val="640"/>
          <w:marRight w:val="0"/>
          <w:marTop w:val="0"/>
          <w:marBottom w:val="0"/>
          <w:divBdr>
            <w:top w:val="none" w:sz="0" w:space="0" w:color="auto"/>
            <w:left w:val="none" w:sz="0" w:space="0" w:color="auto"/>
            <w:bottom w:val="none" w:sz="0" w:space="0" w:color="auto"/>
            <w:right w:val="none" w:sz="0" w:space="0" w:color="auto"/>
          </w:divBdr>
        </w:div>
        <w:div w:id="2028677940">
          <w:marLeft w:val="640"/>
          <w:marRight w:val="0"/>
          <w:marTop w:val="0"/>
          <w:marBottom w:val="0"/>
          <w:divBdr>
            <w:top w:val="none" w:sz="0" w:space="0" w:color="auto"/>
            <w:left w:val="none" w:sz="0" w:space="0" w:color="auto"/>
            <w:bottom w:val="none" w:sz="0" w:space="0" w:color="auto"/>
            <w:right w:val="none" w:sz="0" w:space="0" w:color="auto"/>
          </w:divBdr>
        </w:div>
        <w:div w:id="903492855">
          <w:marLeft w:val="640"/>
          <w:marRight w:val="0"/>
          <w:marTop w:val="0"/>
          <w:marBottom w:val="0"/>
          <w:divBdr>
            <w:top w:val="none" w:sz="0" w:space="0" w:color="auto"/>
            <w:left w:val="none" w:sz="0" w:space="0" w:color="auto"/>
            <w:bottom w:val="none" w:sz="0" w:space="0" w:color="auto"/>
            <w:right w:val="none" w:sz="0" w:space="0" w:color="auto"/>
          </w:divBdr>
        </w:div>
        <w:div w:id="1399478322">
          <w:marLeft w:val="640"/>
          <w:marRight w:val="0"/>
          <w:marTop w:val="0"/>
          <w:marBottom w:val="0"/>
          <w:divBdr>
            <w:top w:val="none" w:sz="0" w:space="0" w:color="auto"/>
            <w:left w:val="none" w:sz="0" w:space="0" w:color="auto"/>
            <w:bottom w:val="none" w:sz="0" w:space="0" w:color="auto"/>
            <w:right w:val="none" w:sz="0" w:space="0" w:color="auto"/>
          </w:divBdr>
        </w:div>
        <w:div w:id="576327638">
          <w:marLeft w:val="640"/>
          <w:marRight w:val="0"/>
          <w:marTop w:val="0"/>
          <w:marBottom w:val="0"/>
          <w:divBdr>
            <w:top w:val="none" w:sz="0" w:space="0" w:color="auto"/>
            <w:left w:val="none" w:sz="0" w:space="0" w:color="auto"/>
            <w:bottom w:val="none" w:sz="0" w:space="0" w:color="auto"/>
            <w:right w:val="none" w:sz="0" w:space="0" w:color="auto"/>
          </w:divBdr>
        </w:div>
        <w:div w:id="1776288455">
          <w:marLeft w:val="640"/>
          <w:marRight w:val="0"/>
          <w:marTop w:val="0"/>
          <w:marBottom w:val="0"/>
          <w:divBdr>
            <w:top w:val="none" w:sz="0" w:space="0" w:color="auto"/>
            <w:left w:val="none" w:sz="0" w:space="0" w:color="auto"/>
            <w:bottom w:val="none" w:sz="0" w:space="0" w:color="auto"/>
            <w:right w:val="none" w:sz="0" w:space="0" w:color="auto"/>
          </w:divBdr>
        </w:div>
        <w:div w:id="1283881314">
          <w:marLeft w:val="640"/>
          <w:marRight w:val="0"/>
          <w:marTop w:val="0"/>
          <w:marBottom w:val="0"/>
          <w:divBdr>
            <w:top w:val="none" w:sz="0" w:space="0" w:color="auto"/>
            <w:left w:val="none" w:sz="0" w:space="0" w:color="auto"/>
            <w:bottom w:val="none" w:sz="0" w:space="0" w:color="auto"/>
            <w:right w:val="none" w:sz="0" w:space="0" w:color="auto"/>
          </w:divBdr>
        </w:div>
        <w:div w:id="1534490243">
          <w:marLeft w:val="640"/>
          <w:marRight w:val="0"/>
          <w:marTop w:val="0"/>
          <w:marBottom w:val="0"/>
          <w:divBdr>
            <w:top w:val="none" w:sz="0" w:space="0" w:color="auto"/>
            <w:left w:val="none" w:sz="0" w:space="0" w:color="auto"/>
            <w:bottom w:val="none" w:sz="0" w:space="0" w:color="auto"/>
            <w:right w:val="none" w:sz="0" w:space="0" w:color="auto"/>
          </w:divBdr>
        </w:div>
        <w:div w:id="1645355590">
          <w:marLeft w:val="640"/>
          <w:marRight w:val="0"/>
          <w:marTop w:val="0"/>
          <w:marBottom w:val="0"/>
          <w:divBdr>
            <w:top w:val="none" w:sz="0" w:space="0" w:color="auto"/>
            <w:left w:val="none" w:sz="0" w:space="0" w:color="auto"/>
            <w:bottom w:val="none" w:sz="0" w:space="0" w:color="auto"/>
            <w:right w:val="none" w:sz="0" w:space="0" w:color="auto"/>
          </w:divBdr>
        </w:div>
        <w:div w:id="1605848459">
          <w:marLeft w:val="640"/>
          <w:marRight w:val="0"/>
          <w:marTop w:val="0"/>
          <w:marBottom w:val="0"/>
          <w:divBdr>
            <w:top w:val="none" w:sz="0" w:space="0" w:color="auto"/>
            <w:left w:val="none" w:sz="0" w:space="0" w:color="auto"/>
            <w:bottom w:val="none" w:sz="0" w:space="0" w:color="auto"/>
            <w:right w:val="none" w:sz="0" w:space="0" w:color="auto"/>
          </w:divBdr>
        </w:div>
        <w:div w:id="1483498525">
          <w:marLeft w:val="640"/>
          <w:marRight w:val="0"/>
          <w:marTop w:val="0"/>
          <w:marBottom w:val="0"/>
          <w:divBdr>
            <w:top w:val="none" w:sz="0" w:space="0" w:color="auto"/>
            <w:left w:val="none" w:sz="0" w:space="0" w:color="auto"/>
            <w:bottom w:val="none" w:sz="0" w:space="0" w:color="auto"/>
            <w:right w:val="none" w:sz="0" w:space="0" w:color="auto"/>
          </w:divBdr>
        </w:div>
        <w:div w:id="820730139">
          <w:marLeft w:val="640"/>
          <w:marRight w:val="0"/>
          <w:marTop w:val="0"/>
          <w:marBottom w:val="0"/>
          <w:divBdr>
            <w:top w:val="none" w:sz="0" w:space="0" w:color="auto"/>
            <w:left w:val="none" w:sz="0" w:space="0" w:color="auto"/>
            <w:bottom w:val="none" w:sz="0" w:space="0" w:color="auto"/>
            <w:right w:val="none" w:sz="0" w:space="0" w:color="auto"/>
          </w:divBdr>
        </w:div>
        <w:div w:id="1297757426">
          <w:marLeft w:val="640"/>
          <w:marRight w:val="0"/>
          <w:marTop w:val="0"/>
          <w:marBottom w:val="0"/>
          <w:divBdr>
            <w:top w:val="none" w:sz="0" w:space="0" w:color="auto"/>
            <w:left w:val="none" w:sz="0" w:space="0" w:color="auto"/>
            <w:bottom w:val="none" w:sz="0" w:space="0" w:color="auto"/>
            <w:right w:val="none" w:sz="0" w:space="0" w:color="auto"/>
          </w:divBdr>
        </w:div>
        <w:div w:id="616716299">
          <w:marLeft w:val="640"/>
          <w:marRight w:val="0"/>
          <w:marTop w:val="0"/>
          <w:marBottom w:val="0"/>
          <w:divBdr>
            <w:top w:val="none" w:sz="0" w:space="0" w:color="auto"/>
            <w:left w:val="none" w:sz="0" w:space="0" w:color="auto"/>
            <w:bottom w:val="none" w:sz="0" w:space="0" w:color="auto"/>
            <w:right w:val="none" w:sz="0" w:space="0" w:color="auto"/>
          </w:divBdr>
        </w:div>
        <w:div w:id="1540967097">
          <w:marLeft w:val="640"/>
          <w:marRight w:val="0"/>
          <w:marTop w:val="0"/>
          <w:marBottom w:val="0"/>
          <w:divBdr>
            <w:top w:val="none" w:sz="0" w:space="0" w:color="auto"/>
            <w:left w:val="none" w:sz="0" w:space="0" w:color="auto"/>
            <w:bottom w:val="none" w:sz="0" w:space="0" w:color="auto"/>
            <w:right w:val="none" w:sz="0" w:space="0" w:color="auto"/>
          </w:divBdr>
        </w:div>
        <w:div w:id="696665603">
          <w:marLeft w:val="640"/>
          <w:marRight w:val="0"/>
          <w:marTop w:val="0"/>
          <w:marBottom w:val="0"/>
          <w:divBdr>
            <w:top w:val="none" w:sz="0" w:space="0" w:color="auto"/>
            <w:left w:val="none" w:sz="0" w:space="0" w:color="auto"/>
            <w:bottom w:val="none" w:sz="0" w:space="0" w:color="auto"/>
            <w:right w:val="none" w:sz="0" w:space="0" w:color="auto"/>
          </w:divBdr>
        </w:div>
        <w:div w:id="318732996">
          <w:marLeft w:val="640"/>
          <w:marRight w:val="0"/>
          <w:marTop w:val="0"/>
          <w:marBottom w:val="0"/>
          <w:divBdr>
            <w:top w:val="none" w:sz="0" w:space="0" w:color="auto"/>
            <w:left w:val="none" w:sz="0" w:space="0" w:color="auto"/>
            <w:bottom w:val="none" w:sz="0" w:space="0" w:color="auto"/>
            <w:right w:val="none" w:sz="0" w:space="0" w:color="auto"/>
          </w:divBdr>
        </w:div>
        <w:div w:id="1521429922">
          <w:marLeft w:val="640"/>
          <w:marRight w:val="0"/>
          <w:marTop w:val="0"/>
          <w:marBottom w:val="0"/>
          <w:divBdr>
            <w:top w:val="none" w:sz="0" w:space="0" w:color="auto"/>
            <w:left w:val="none" w:sz="0" w:space="0" w:color="auto"/>
            <w:bottom w:val="none" w:sz="0" w:space="0" w:color="auto"/>
            <w:right w:val="none" w:sz="0" w:space="0" w:color="auto"/>
          </w:divBdr>
        </w:div>
        <w:div w:id="1094479662">
          <w:marLeft w:val="640"/>
          <w:marRight w:val="0"/>
          <w:marTop w:val="0"/>
          <w:marBottom w:val="0"/>
          <w:divBdr>
            <w:top w:val="none" w:sz="0" w:space="0" w:color="auto"/>
            <w:left w:val="none" w:sz="0" w:space="0" w:color="auto"/>
            <w:bottom w:val="none" w:sz="0" w:space="0" w:color="auto"/>
            <w:right w:val="none" w:sz="0" w:space="0" w:color="auto"/>
          </w:divBdr>
        </w:div>
        <w:div w:id="1853179193">
          <w:marLeft w:val="640"/>
          <w:marRight w:val="0"/>
          <w:marTop w:val="0"/>
          <w:marBottom w:val="0"/>
          <w:divBdr>
            <w:top w:val="none" w:sz="0" w:space="0" w:color="auto"/>
            <w:left w:val="none" w:sz="0" w:space="0" w:color="auto"/>
            <w:bottom w:val="none" w:sz="0" w:space="0" w:color="auto"/>
            <w:right w:val="none" w:sz="0" w:space="0" w:color="auto"/>
          </w:divBdr>
        </w:div>
        <w:div w:id="1749377433">
          <w:marLeft w:val="640"/>
          <w:marRight w:val="0"/>
          <w:marTop w:val="0"/>
          <w:marBottom w:val="0"/>
          <w:divBdr>
            <w:top w:val="none" w:sz="0" w:space="0" w:color="auto"/>
            <w:left w:val="none" w:sz="0" w:space="0" w:color="auto"/>
            <w:bottom w:val="none" w:sz="0" w:space="0" w:color="auto"/>
            <w:right w:val="none" w:sz="0" w:space="0" w:color="auto"/>
          </w:divBdr>
        </w:div>
        <w:div w:id="914633703">
          <w:marLeft w:val="640"/>
          <w:marRight w:val="0"/>
          <w:marTop w:val="0"/>
          <w:marBottom w:val="0"/>
          <w:divBdr>
            <w:top w:val="none" w:sz="0" w:space="0" w:color="auto"/>
            <w:left w:val="none" w:sz="0" w:space="0" w:color="auto"/>
            <w:bottom w:val="none" w:sz="0" w:space="0" w:color="auto"/>
            <w:right w:val="none" w:sz="0" w:space="0" w:color="auto"/>
          </w:divBdr>
        </w:div>
        <w:div w:id="101610283">
          <w:marLeft w:val="640"/>
          <w:marRight w:val="0"/>
          <w:marTop w:val="0"/>
          <w:marBottom w:val="0"/>
          <w:divBdr>
            <w:top w:val="none" w:sz="0" w:space="0" w:color="auto"/>
            <w:left w:val="none" w:sz="0" w:space="0" w:color="auto"/>
            <w:bottom w:val="none" w:sz="0" w:space="0" w:color="auto"/>
            <w:right w:val="none" w:sz="0" w:space="0" w:color="auto"/>
          </w:divBdr>
        </w:div>
        <w:div w:id="121701949">
          <w:marLeft w:val="640"/>
          <w:marRight w:val="0"/>
          <w:marTop w:val="0"/>
          <w:marBottom w:val="0"/>
          <w:divBdr>
            <w:top w:val="none" w:sz="0" w:space="0" w:color="auto"/>
            <w:left w:val="none" w:sz="0" w:space="0" w:color="auto"/>
            <w:bottom w:val="none" w:sz="0" w:space="0" w:color="auto"/>
            <w:right w:val="none" w:sz="0" w:space="0" w:color="auto"/>
          </w:divBdr>
        </w:div>
        <w:div w:id="515390607">
          <w:marLeft w:val="640"/>
          <w:marRight w:val="0"/>
          <w:marTop w:val="0"/>
          <w:marBottom w:val="0"/>
          <w:divBdr>
            <w:top w:val="none" w:sz="0" w:space="0" w:color="auto"/>
            <w:left w:val="none" w:sz="0" w:space="0" w:color="auto"/>
            <w:bottom w:val="none" w:sz="0" w:space="0" w:color="auto"/>
            <w:right w:val="none" w:sz="0" w:space="0" w:color="auto"/>
          </w:divBdr>
        </w:div>
        <w:div w:id="561061648">
          <w:marLeft w:val="640"/>
          <w:marRight w:val="0"/>
          <w:marTop w:val="0"/>
          <w:marBottom w:val="0"/>
          <w:divBdr>
            <w:top w:val="none" w:sz="0" w:space="0" w:color="auto"/>
            <w:left w:val="none" w:sz="0" w:space="0" w:color="auto"/>
            <w:bottom w:val="none" w:sz="0" w:space="0" w:color="auto"/>
            <w:right w:val="none" w:sz="0" w:space="0" w:color="auto"/>
          </w:divBdr>
        </w:div>
        <w:div w:id="1951814651">
          <w:marLeft w:val="640"/>
          <w:marRight w:val="0"/>
          <w:marTop w:val="0"/>
          <w:marBottom w:val="0"/>
          <w:divBdr>
            <w:top w:val="none" w:sz="0" w:space="0" w:color="auto"/>
            <w:left w:val="none" w:sz="0" w:space="0" w:color="auto"/>
            <w:bottom w:val="none" w:sz="0" w:space="0" w:color="auto"/>
            <w:right w:val="none" w:sz="0" w:space="0" w:color="auto"/>
          </w:divBdr>
        </w:div>
        <w:div w:id="1302224249">
          <w:marLeft w:val="640"/>
          <w:marRight w:val="0"/>
          <w:marTop w:val="0"/>
          <w:marBottom w:val="0"/>
          <w:divBdr>
            <w:top w:val="none" w:sz="0" w:space="0" w:color="auto"/>
            <w:left w:val="none" w:sz="0" w:space="0" w:color="auto"/>
            <w:bottom w:val="none" w:sz="0" w:space="0" w:color="auto"/>
            <w:right w:val="none" w:sz="0" w:space="0" w:color="auto"/>
          </w:divBdr>
        </w:div>
        <w:div w:id="1337617319">
          <w:marLeft w:val="640"/>
          <w:marRight w:val="0"/>
          <w:marTop w:val="0"/>
          <w:marBottom w:val="0"/>
          <w:divBdr>
            <w:top w:val="none" w:sz="0" w:space="0" w:color="auto"/>
            <w:left w:val="none" w:sz="0" w:space="0" w:color="auto"/>
            <w:bottom w:val="none" w:sz="0" w:space="0" w:color="auto"/>
            <w:right w:val="none" w:sz="0" w:space="0" w:color="auto"/>
          </w:divBdr>
        </w:div>
        <w:div w:id="1757555382">
          <w:marLeft w:val="640"/>
          <w:marRight w:val="0"/>
          <w:marTop w:val="0"/>
          <w:marBottom w:val="0"/>
          <w:divBdr>
            <w:top w:val="none" w:sz="0" w:space="0" w:color="auto"/>
            <w:left w:val="none" w:sz="0" w:space="0" w:color="auto"/>
            <w:bottom w:val="none" w:sz="0" w:space="0" w:color="auto"/>
            <w:right w:val="none" w:sz="0" w:space="0" w:color="auto"/>
          </w:divBdr>
        </w:div>
        <w:div w:id="72050740">
          <w:marLeft w:val="640"/>
          <w:marRight w:val="0"/>
          <w:marTop w:val="0"/>
          <w:marBottom w:val="0"/>
          <w:divBdr>
            <w:top w:val="none" w:sz="0" w:space="0" w:color="auto"/>
            <w:left w:val="none" w:sz="0" w:space="0" w:color="auto"/>
            <w:bottom w:val="none" w:sz="0" w:space="0" w:color="auto"/>
            <w:right w:val="none" w:sz="0" w:space="0" w:color="auto"/>
          </w:divBdr>
        </w:div>
        <w:div w:id="405494026">
          <w:marLeft w:val="640"/>
          <w:marRight w:val="0"/>
          <w:marTop w:val="0"/>
          <w:marBottom w:val="0"/>
          <w:divBdr>
            <w:top w:val="none" w:sz="0" w:space="0" w:color="auto"/>
            <w:left w:val="none" w:sz="0" w:space="0" w:color="auto"/>
            <w:bottom w:val="none" w:sz="0" w:space="0" w:color="auto"/>
            <w:right w:val="none" w:sz="0" w:space="0" w:color="auto"/>
          </w:divBdr>
        </w:div>
        <w:div w:id="698554037">
          <w:marLeft w:val="640"/>
          <w:marRight w:val="0"/>
          <w:marTop w:val="0"/>
          <w:marBottom w:val="0"/>
          <w:divBdr>
            <w:top w:val="none" w:sz="0" w:space="0" w:color="auto"/>
            <w:left w:val="none" w:sz="0" w:space="0" w:color="auto"/>
            <w:bottom w:val="none" w:sz="0" w:space="0" w:color="auto"/>
            <w:right w:val="none" w:sz="0" w:space="0" w:color="auto"/>
          </w:divBdr>
        </w:div>
        <w:div w:id="496650975">
          <w:marLeft w:val="640"/>
          <w:marRight w:val="0"/>
          <w:marTop w:val="0"/>
          <w:marBottom w:val="0"/>
          <w:divBdr>
            <w:top w:val="none" w:sz="0" w:space="0" w:color="auto"/>
            <w:left w:val="none" w:sz="0" w:space="0" w:color="auto"/>
            <w:bottom w:val="none" w:sz="0" w:space="0" w:color="auto"/>
            <w:right w:val="none" w:sz="0" w:space="0" w:color="auto"/>
          </w:divBdr>
        </w:div>
        <w:div w:id="1693338471">
          <w:marLeft w:val="640"/>
          <w:marRight w:val="0"/>
          <w:marTop w:val="0"/>
          <w:marBottom w:val="0"/>
          <w:divBdr>
            <w:top w:val="none" w:sz="0" w:space="0" w:color="auto"/>
            <w:left w:val="none" w:sz="0" w:space="0" w:color="auto"/>
            <w:bottom w:val="none" w:sz="0" w:space="0" w:color="auto"/>
            <w:right w:val="none" w:sz="0" w:space="0" w:color="auto"/>
          </w:divBdr>
        </w:div>
        <w:div w:id="207032067">
          <w:marLeft w:val="640"/>
          <w:marRight w:val="0"/>
          <w:marTop w:val="0"/>
          <w:marBottom w:val="0"/>
          <w:divBdr>
            <w:top w:val="none" w:sz="0" w:space="0" w:color="auto"/>
            <w:left w:val="none" w:sz="0" w:space="0" w:color="auto"/>
            <w:bottom w:val="none" w:sz="0" w:space="0" w:color="auto"/>
            <w:right w:val="none" w:sz="0" w:space="0" w:color="auto"/>
          </w:divBdr>
        </w:div>
        <w:div w:id="247151629">
          <w:marLeft w:val="640"/>
          <w:marRight w:val="0"/>
          <w:marTop w:val="0"/>
          <w:marBottom w:val="0"/>
          <w:divBdr>
            <w:top w:val="none" w:sz="0" w:space="0" w:color="auto"/>
            <w:left w:val="none" w:sz="0" w:space="0" w:color="auto"/>
            <w:bottom w:val="none" w:sz="0" w:space="0" w:color="auto"/>
            <w:right w:val="none" w:sz="0" w:space="0" w:color="auto"/>
          </w:divBdr>
        </w:div>
        <w:div w:id="1926844722">
          <w:marLeft w:val="640"/>
          <w:marRight w:val="0"/>
          <w:marTop w:val="0"/>
          <w:marBottom w:val="0"/>
          <w:divBdr>
            <w:top w:val="none" w:sz="0" w:space="0" w:color="auto"/>
            <w:left w:val="none" w:sz="0" w:space="0" w:color="auto"/>
            <w:bottom w:val="none" w:sz="0" w:space="0" w:color="auto"/>
            <w:right w:val="none" w:sz="0" w:space="0" w:color="auto"/>
          </w:divBdr>
        </w:div>
        <w:div w:id="1128664539">
          <w:marLeft w:val="640"/>
          <w:marRight w:val="0"/>
          <w:marTop w:val="0"/>
          <w:marBottom w:val="0"/>
          <w:divBdr>
            <w:top w:val="none" w:sz="0" w:space="0" w:color="auto"/>
            <w:left w:val="none" w:sz="0" w:space="0" w:color="auto"/>
            <w:bottom w:val="none" w:sz="0" w:space="0" w:color="auto"/>
            <w:right w:val="none" w:sz="0" w:space="0" w:color="auto"/>
          </w:divBdr>
        </w:div>
        <w:div w:id="1283998713">
          <w:marLeft w:val="640"/>
          <w:marRight w:val="0"/>
          <w:marTop w:val="0"/>
          <w:marBottom w:val="0"/>
          <w:divBdr>
            <w:top w:val="none" w:sz="0" w:space="0" w:color="auto"/>
            <w:left w:val="none" w:sz="0" w:space="0" w:color="auto"/>
            <w:bottom w:val="none" w:sz="0" w:space="0" w:color="auto"/>
            <w:right w:val="none" w:sz="0" w:space="0" w:color="auto"/>
          </w:divBdr>
        </w:div>
        <w:div w:id="772633451">
          <w:marLeft w:val="640"/>
          <w:marRight w:val="0"/>
          <w:marTop w:val="0"/>
          <w:marBottom w:val="0"/>
          <w:divBdr>
            <w:top w:val="none" w:sz="0" w:space="0" w:color="auto"/>
            <w:left w:val="none" w:sz="0" w:space="0" w:color="auto"/>
            <w:bottom w:val="none" w:sz="0" w:space="0" w:color="auto"/>
            <w:right w:val="none" w:sz="0" w:space="0" w:color="auto"/>
          </w:divBdr>
        </w:div>
        <w:div w:id="272447880">
          <w:marLeft w:val="640"/>
          <w:marRight w:val="0"/>
          <w:marTop w:val="0"/>
          <w:marBottom w:val="0"/>
          <w:divBdr>
            <w:top w:val="none" w:sz="0" w:space="0" w:color="auto"/>
            <w:left w:val="none" w:sz="0" w:space="0" w:color="auto"/>
            <w:bottom w:val="none" w:sz="0" w:space="0" w:color="auto"/>
            <w:right w:val="none" w:sz="0" w:space="0" w:color="auto"/>
          </w:divBdr>
        </w:div>
        <w:div w:id="1936939542">
          <w:marLeft w:val="640"/>
          <w:marRight w:val="0"/>
          <w:marTop w:val="0"/>
          <w:marBottom w:val="0"/>
          <w:divBdr>
            <w:top w:val="none" w:sz="0" w:space="0" w:color="auto"/>
            <w:left w:val="none" w:sz="0" w:space="0" w:color="auto"/>
            <w:bottom w:val="none" w:sz="0" w:space="0" w:color="auto"/>
            <w:right w:val="none" w:sz="0" w:space="0" w:color="auto"/>
          </w:divBdr>
        </w:div>
        <w:div w:id="35473959">
          <w:marLeft w:val="640"/>
          <w:marRight w:val="0"/>
          <w:marTop w:val="0"/>
          <w:marBottom w:val="0"/>
          <w:divBdr>
            <w:top w:val="none" w:sz="0" w:space="0" w:color="auto"/>
            <w:left w:val="none" w:sz="0" w:space="0" w:color="auto"/>
            <w:bottom w:val="none" w:sz="0" w:space="0" w:color="auto"/>
            <w:right w:val="none" w:sz="0" w:space="0" w:color="auto"/>
          </w:divBdr>
        </w:div>
        <w:div w:id="639191028">
          <w:marLeft w:val="640"/>
          <w:marRight w:val="0"/>
          <w:marTop w:val="0"/>
          <w:marBottom w:val="0"/>
          <w:divBdr>
            <w:top w:val="none" w:sz="0" w:space="0" w:color="auto"/>
            <w:left w:val="none" w:sz="0" w:space="0" w:color="auto"/>
            <w:bottom w:val="none" w:sz="0" w:space="0" w:color="auto"/>
            <w:right w:val="none" w:sz="0" w:space="0" w:color="auto"/>
          </w:divBdr>
        </w:div>
        <w:div w:id="762916175">
          <w:marLeft w:val="640"/>
          <w:marRight w:val="0"/>
          <w:marTop w:val="0"/>
          <w:marBottom w:val="0"/>
          <w:divBdr>
            <w:top w:val="none" w:sz="0" w:space="0" w:color="auto"/>
            <w:left w:val="none" w:sz="0" w:space="0" w:color="auto"/>
            <w:bottom w:val="none" w:sz="0" w:space="0" w:color="auto"/>
            <w:right w:val="none" w:sz="0" w:space="0" w:color="auto"/>
          </w:divBdr>
        </w:div>
        <w:div w:id="1707028358">
          <w:marLeft w:val="640"/>
          <w:marRight w:val="0"/>
          <w:marTop w:val="0"/>
          <w:marBottom w:val="0"/>
          <w:divBdr>
            <w:top w:val="none" w:sz="0" w:space="0" w:color="auto"/>
            <w:left w:val="none" w:sz="0" w:space="0" w:color="auto"/>
            <w:bottom w:val="none" w:sz="0" w:space="0" w:color="auto"/>
            <w:right w:val="none" w:sz="0" w:space="0" w:color="auto"/>
          </w:divBdr>
        </w:div>
        <w:div w:id="694696471">
          <w:marLeft w:val="640"/>
          <w:marRight w:val="0"/>
          <w:marTop w:val="0"/>
          <w:marBottom w:val="0"/>
          <w:divBdr>
            <w:top w:val="none" w:sz="0" w:space="0" w:color="auto"/>
            <w:left w:val="none" w:sz="0" w:space="0" w:color="auto"/>
            <w:bottom w:val="none" w:sz="0" w:space="0" w:color="auto"/>
            <w:right w:val="none" w:sz="0" w:space="0" w:color="auto"/>
          </w:divBdr>
        </w:div>
        <w:div w:id="255870742">
          <w:marLeft w:val="640"/>
          <w:marRight w:val="0"/>
          <w:marTop w:val="0"/>
          <w:marBottom w:val="0"/>
          <w:divBdr>
            <w:top w:val="none" w:sz="0" w:space="0" w:color="auto"/>
            <w:left w:val="none" w:sz="0" w:space="0" w:color="auto"/>
            <w:bottom w:val="none" w:sz="0" w:space="0" w:color="auto"/>
            <w:right w:val="none" w:sz="0" w:space="0" w:color="auto"/>
          </w:divBdr>
        </w:div>
        <w:div w:id="2088839505">
          <w:marLeft w:val="640"/>
          <w:marRight w:val="0"/>
          <w:marTop w:val="0"/>
          <w:marBottom w:val="0"/>
          <w:divBdr>
            <w:top w:val="none" w:sz="0" w:space="0" w:color="auto"/>
            <w:left w:val="none" w:sz="0" w:space="0" w:color="auto"/>
            <w:bottom w:val="none" w:sz="0" w:space="0" w:color="auto"/>
            <w:right w:val="none" w:sz="0" w:space="0" w:color="auto"/>
          </w:divBdr>
        </w:div>
        <w:div w:id="1006983262">
          <w:marLeft w:val="640"/>
          <w:marRight w:val="0"/>
          <w:marTop w:val="0"/>
          <w:marBottom w:val="0"/>
          <w:divBdr>
            <w:top w:val="none" w:sz="0" w:space="0" w:color="auto"/>
            <w:left w:val="none" w:sz="0" w:space="0" w:color="auto"/>
            <w:bottom w:val="none" w:sz="0" w:space="0" w:color="auto"/>
            <w:right w:val="none" w:sz="0" w:space="0" w:color="auto"/>
          </w:divBdr>
        </w:div>
        <w:div w:id="1339455607">
          <w:marLeft w:val="640"/>
          <w:marRight w:val="0"/>
          <w:marTop w:val="0"/>
          <w:marBottom w:val="0"/>
          <w:divBdr>
            <w:top w:val="none" w:sz="0" w:space="0" w:color="auto"/>
            <w:left w:val="none" w:sz="0" w:space="0" w:color="auto"/>
            <w:bottom w:val="none" w:sz="0" w:space="0" w:color="auto"/>
            <w:right w:val="none" w:sz="0" w:space="0" w:color="auto"/>
          </w:divBdr>
        </w:div>
        <w:div w:id="695039489">
          <w:marLeft w:val="640"/>
          <w:marRight w:val="0"/>
          <w:marTop w:val="0"/>
          <w:marBottom w:val="0"/>
          <w:divBdr>
            <w:top w:val="none" w:sz="0" w:space="0" w:color="auto"/>
            <w:left w:val="none" w:sz="0" w:space="0" w:color="auto"/>
            <w:bottom w:val="none" w:sz="0" w:space="0" w:color="auto"/>
            <w:right w:val="none" w:sz="0" w:space="0" w:color="auto"/>
          </w:divBdr>
        </w:div>
        <w:div w:id="1368867569">
          <w:marLeft w:val="640"/>
          <w:marRight w:val="0"/>
          <w:marTop w:val="0"/>
          <w:marBottom w:val="0"/>
          <w:divBdr>
            <w:top w:val="none" w:sz="0" w:space="0" w:color="auto"/>
            <w:left w:val="none" w:sz="0" w:space="0" w:color="auto"/>
            <w:bottom w:val="none" w:sz="0" w:space="0" w:color="auto"/>
            <w:right w:val="none" w:sz="0" w:space="0" w:color="auto"/>
          </w:divBdr>
        </w:div>
        <w:div w:id="1828788093">
          <w:marLeft w:val="640"/>
          <w:marRight w:val="0"/>
          <w:marTop w:val="0"/>
          <w:marBottom w:val="0"/>
          <w:divBdr>
            <w:top w:val="none" w:sz="0" w:space="0" w:color="auto"/>
            <w:left w:val="none" w:sz="0" w:space="0" w:color="auto"/>
            <w:bottom w:val="none" w:sz="0" w:space="0" w:color="auto"/>
            <w:right w:val="none" w:sz="0" w:space="0" w:color="auto"/>
          </w:divBdr>
        </w:div>
        <w:div w:id="732966301">
          <w:marLeft w:val="640"/>
          <w:marRight w:val="0"/>
          <w:marTop w:val="0"/>
          <w:marBottom w:val="0"/>
          <w:divBdr>
            <w:top w:val="none" w:sz="0" w:space="0" w:color="auto"/>
            <w:left w:val="none" w:sz="0" w:space="0" w:color="auto"/>
            <w:bottom w:val="none" w:sz="0" w:space="0" w:color="auto"/>
            <w:right w:val="none" w:sz="0" w:space="0" w:color="auto"/>
          </w:divBdr>
        </w:div>
        <w:div w:id="11303738">
          <w:marLeft w:val="640"/>
          <w:marRight w:val="0"/>
          <w:marTop w:val="0"/>
          <w:marBottom w:val="0"/>
          <w:divBdr>
            <w:top w:val="none" w:sz="0" w:space="0" w:color="auto"/>
            <w:left w:val="none" w:sz="0" w:space="0" w:color="auto"/>
            <w:bottom w:val="none" w:sz="0" w:space="0" w:color="auto"/>
            <w:right w:val="none" w:sz="0" w:space="0" w:color="auto"/>
          </w:divBdr>
        </w:div>
        <w:div w:id="189344304">
          <w:marLeft w:val="640"/>
          <w:marRight w:val="0"/>
          <w:marTop w:val="0"/>
          <w:marBottom w:val="0"/>
          <w:divBdr>
            <w:top w:val="none" w:sz="0" w:space="0" w:color="auto"/>
            <w:left w:val="none" w:sz="0" w:space="0" w:color="auto"/>
            <w:bottom w:val="none" w:sz="0" w:space="0" w:color="auto"/>
            <w:right w:val="none" w:sz="0" w:space="0" w:color="auto"/>
          </w:divBdr>
        </w:div>
        <w:div w:id="682438924">
          <w:marLeft w:val="640"/>
          <w:marRight w:val="0"/>
          <w:marTop w:val="0"/>
          <w:marBottom w:val="0"/>
          <w:divBdr>
            <w:top w:val="none" w:sz="0" w:space="0" w:color="auto"/>
            <w:left w:val="none" w:sz="0" w:space="0" w:color="auto"/>
            <w:bottom w:val="none" w:sz="0" w:space="0" w:color="auto"/>
            <w:right w:val="none" w:sz="0" w:space="0" w:color="auto"/>
          </w:divBdr>
        </w:div>
        <w:div w:id="354815422">
          <w:marLeft w:val="640"/>
          <w:marRight w:val="0"/>
          <w:marTop w:val="0"/>
          <w:marBottom w:val="0"/>
          <w:divBdr>
            <w:top w:val="none" w:sz="0" w:space="0" w:color="auto"/>
            <w:left w:val="none" w:sz="0" w:space="0" w:color="auto"/>
            <w:bottom w:val="none" w:sz="0" w:space="0" w:color="auto"/>
            <w:right w:val="none" w:sz="0" w:space="0" w:color="auto"/>
          </w:divBdr>
        </w:div>
        <w:div w:id="309484681">
          <w:marLeft w:val="640"/>
          <w:marRight w:val="0"/>
          <w:marTop w:val="0"/>
          <w:marBottom w:val="0"/>
          <w:divBdr>
            <w:top w:val="none" w:sz="0" w:space="0" w:color="auto"/>
            <w:left w:val="none" w:sz="0" w:space="0" w:color="auto"/>
            <w:bottom w:val="none" w:sz="0" w:space="0" w:color="auto"/>
            <w:right w:val="none" w:sz="0" w:space="0" w:color="auto"/>
          </w:divBdr>
        </w:div>
        <w:div w:id="1137187839">
          <w:marLeft w:val="640"/>
          <w:marRight w:val="0"/>
          <w:marTop w:val="0"/>
          <w:marBottom w:val="0"/>
          <w:divBdr>
            <w:top w:val="none" w:sz="0" w:space="0" w:color="auto"/>
            <w:left w:val="none" w:sz="0" w:space="0" w:color="auto"/>
            <w:bottom w:val="none" w:sz="0" w:space="0" w:color="auto"/>
            <w:right w:val="none" w:sz="0" w:space="0" w:color="auto"/>
          </w:divBdr>
        </w:div>
        <w:div w:id="377246776">
          <w:marLeft w:val="640"/>
          <w:marRight w:val="0"/>
          <w:marTop w:val="0"/>
          <w:marBottom w:val="0"/>
          <w:divBdr>
            <w:top w:val="none" w:sz="0" w:space="0" w:color="auto"/>
            <w:left w:val="none" w:sz="0" w:space="0" w:color="auto"/>
            <w:bottom w:val="none" w:sz="0" w:space="0" w:color="auto"/>
            <w:right w:val="none" w:sz="0" w:space="0" w:color="auto"/>
          </w:divBdr>
        </w:div>
        <w:div w:id="783228966">
          <w:marLeft w:val="640"/>
          <w:marRight w:val="0"/>
          <w:marTop w:val="0"/>
          <w:marBottom w:val="0"/>
          <w:divBdr>
            <w:top w:val="none" w:sz="0" w:space="0" w:color="auto"/>
            <w:left w:val="none" w:sz="0" w:space="0" w:color="auto"/>
            <w:bottom w:val="none" w:sz="0" w:space="0" w:color="auto"/>
            <w:right w:val="none" w:sz="0" w:space="0" w:color="auto"/>
          </w:divBdr>
        </w:div>
        <w:div w:id="1061443826">
          <w:marLeft w:val="640"/>
          <w:marRight w:val="0"/>
          <w:marTop w:val="0"/>
          <w:marBottom w:val="0"/>
          <w:divBdr>
            <w:top w:val="none" w:sz="0" w:space="0" w:color="auto"/>
            <w:left w:val="none" w:sz="0" w:space="0" w:color="auto"/>
            <w:bottom w:val="none" w:sz="0" w:space="0" w:color="auto"/>
            <w:right w:val="none" w:sz="0" w:space="0" w:color="auto"/>
          </w:divBdr>
        </w:div>
        <w:div w:id="1700428871">
          <w:marLeft w:val="640"/>
          <w:marRight w:val="0"/>
          <w:marTop w:val="0"/>
          <w:marBottom w:val="0"/>
          <w:divBdr>
            <w:top w:val="none" w:sz="0" w:space="0" w:color="auto"/>
            <w:left w:val="none" w:sz="0" w:space="0" w:color="auto"/>
            <w:bottom w:val="none" w:sz="0" w:space="0" w:color="auto"/>
            <w:right w:val="none" w:sz="0" w:space="0" w:color="auto"/>
          </w:divBdr>
        </w:div>
        <w:div w:id="1215195266">
          <w:marLeft w:val="640"/>
          <w:marRight w:val="0"/>
          <w:marTop w:val="0"/>
          <w:marBottom w:val="0"/>
          <w:divBdr>
            <w:top w:val="none" w:sz="0" w:space="0" w:color="auto"/>
            <w:left w:val="none" w:sz="0" w:space="0" w:color="auto"/>
            <w:bottom w:val="none" w:sz="0" w:space="0" w:color="auto"/>
            <w:right w:val="none" w:sz="0" w:space="0" w:color="auto"/>
          </w:divBdr>
        </w:div>
        <w:div w:id="1096827812">
          <w:marLeft w:val="640"/>
          <w:marRight w:val="0"/>
          <w:marTop w:val="0"/>
          <w:marBottom w:val="0"/>
          <w:divBdr>
            <w:top w:val="none" w:sz="0" w:space="0" w:color="auto"/>
            <w:left w:val="none" w:sz="0" w:space="0" w:color="auto"/>
            <w:bottom w:val="none" w:sz="0" w:space="0" w:color="auto"/>
            <w:right w:val="none" w:sz="0" w:space="0" w:color="auto"/>
          </w:divBdr>
        </w:div>
        <w:div w:id="1422098279">
          <w:marLeft w:val="640"/>
          <w:marRight w:val="0"/>
          <w:marTop w:val="0"/>
          <w:marBottom w:val="0"/>
          <w:divBdr>
            <w:top w:val="none" w:sz="0" w:space="0" w:color="auto"/>
            <w:left w:val="none" w:sz="0" w:space="0" w:color="auto"/>
            <w:bottom w:val="none" w:sz="0" w:space="0" w:color="auto"/>
            <w:right w:val="none" w:sz="0" w:space="0" w:color="auto"/>
          </w:divBdr>
        </w:div>
        <w:div w:id="1885360310">
          <w:marLeft w:val="640"/>
          <w:marRight w:val="0"/>
          <w:marTop w:val="0"/>
          <w:marBottom w:val="0"/>
          <w:divBdr>
            <w:top w:val="none" w:sz="0" w:space="0" w:color="auto"/>
            <w:left w:val="none" w:sz="0" w:space="0" w:color="auto"/>
            <w:bottom w:val="none" w:sz="0" w:space="0" w:color="auto"/>
            <w:right w:val="none" w:sz="0" w:space="0" w:color="auto"/>
          </w:divBdr>
        </w:div>
        <w:div w:id="820122683">
          <w:marLeft w:val="640"/>
          <w:marRight w:val="0"/>
          <w:marTop w:val="0"/>
          <w:marBottom w:val="0"/>
          <w:divBdr>
            <w:top w:val="none" w:sz="0" w:space="0" w:color="auto"/>
            <w:left w:val="none" w:sz="0" w:space="0" w:color="auto"/>
            <w:bottom w:val="none" w:sz="0" w:space="0" w:color="auto"/>
            <w:right w:val="none" w:sz="0" w:space="0" w:color="auto"/>
          </w:divBdr>
        </w:div>
        <w:div w:id="1411848166">
          <w:marLeft w:val="640"/>
          <w:marRight w:val="0"/>
          <w:marTop w:val="0"/>
          <w:marBottom w:val="0"/>
          <w:divBdr>
            <w:top w:val="none" w:sz="0" w:space="0" w:color="auto"/>
            <w:left w:val="none" w:sz="0" w:space="0" w:color="auto"/>
            <w:bottom w:val="none" w:sz="0" w:space="0" w:color="auto"/>
            <w:right w:val="none" w:sz="0" w:space="0" w:color="auto"/>
          </w:divBdr>
        </w:div>
        <w:div w:id="595870942">
          <w:marLeft w:val="640"/>
          <w:marRight w:val="0"/>
          <w:marTop w:val="0"/>
          <w:marBottom w:val="0"/>
          <w:divBdr>
            <w:top w:val="none" w:sz="0" w:space="0" w:color="auto"/>
            <w:left w:val="none" w:sz="0" w:space="0" w:color="auto"/>
            <w:bottom w:val="none" w:sz="0" w:space="0" w:color="auto"/>
            <w:right w:val="none" w:sz="0" w:space="0" w:color="auto"/>
          </w:divBdr>
        </w:div>
        <w:div w:id="186406851">
          <w:marLeft w:val="640"/>
          <w:marRight w:val="0"/>
          <w:marTop w:val="0"/>
          <w:marBottom w:val="0"/>
          <w:divBdr>
            <w:top w:val="none" w:sz="0" w:space="0" w:color="auto"/>
            <w:left w:val="none" w:sz="0" w:space="0" w:color="auto"/>
            <w:bottom w:val="none" w:sz="0" w:space="0" w:color="auto"/>
            <w:right w:val="none" w:sz="0" w:space="0" w:color="auto"/>
          </w:divBdr>
        </w:div>
        <w:div w:id="1762482392">
          <w:marLeft w:val="640"/>
          <w:marRight w:val="0"/>
          <w:marTop w:val="0"/>
          <w:marBottom w:val="0"/>
          <w:divBdr>
            <w:top w:val="none" w:sz="0" w:space="0" w:color="auto"/>
            <w:left w:val="none" w:sz="0" w:space="0" w:color="auto"/>
            <w:bottom w:val="none" w:sz="0" w:space="0" w:color="auto"/>
            <w:right w:val="none" w:sz="0" w:space="0" w:color="auto"/>
          </w:divBdr>
        </w:div>
        <w:div w:id="703019065">
          <w:marLeft w:val="640"/>
          <w:marRight w:val="0"/>
          <w:marTop w:val="0"/>
          <w:marBottom w:val="0"/>
          <w:divBdr>
            <w:top w:val="none" w:sz="0" w:space="0" w:color="auto"/>
            <w:left w:val="none" w:sz="0" w:space="0" w:color="auto"/>
            <w:bottom w:val="none" w:sz="0" w:space="0" w:color="auto"/>
            <w:right w:val="none" w:sz="0" w:space="0" w:color="auto"/>
          </w:divBdr>
        </w:div>
        <w:div w:id="1281571047">
          <w:marLeft w:val="640"/>
          <w:marRight w:val="0"/>
          <w:marTop w:val="0"/>
          <w:marBottom w:val="0"/>
          <w:divBdr>
            <w:top w:val="none" w:sz="0" w:space="0" w:color="auto"/>
            <w:left w:val="none" w:sz="0" w:space="0" w:color="auto"/>
            <w:bottom w:val="none" w:sz="0" w:space="0" w:color="auto"/>
            <w:right w:val="none" w:sz="0" w:space="0" w:color="auto"/>
          </w:divBdr>
        </w:div>
        <w:div w:id="1500734883">
          <w:marLeft w:val="640"/>
          <w:marRight w:val="0"/>
          <w:marTop w:val="0"/>
          <w:marBottom w:val="0"/>
          <w:divBdr>
            <w:top w:val="none" w:sz="0" w:space="0" w:color="auto"/>
            <w:left w:val="none" w:sz="0" w:space="0" w:color="auto"/>
            <w:bottom w:val="none" w:sz="0" w:space="0" w:color="auto"/>
            <w:right w:val="none" w:sz="0" w:space="0" w:color="auto"/>
          </w:divBdr>
        </w:div>
        <w:div w:id="1497648852">
          <w:marLeft w:val="640"/>
          <w:marRight w:val="0"/>
          <w:marTop w:val="0"/>
          <w:marBottom w:val="0"/>
          <w:divBdr>
            <w:top w:val="none" w:sz="0" w:space="0" w:color="auto"/>
            <w:left w:val="none" w:sz="0" w:space="0" w:color="auto"/>
            <w:bottom w:val="none" w:sz="0" w:space="0" w:color="auto"/>
            <w:right w:val="none" w:sz="0" w:space="0" w:color="auto"/>
          </w:divBdr>
        </w:div>
        <w:div w:id="274413652">
          <w:marLeft w:val="640"/>
          <w:marRight w:val="0"/>
          <w:marTop w:val="0"/>
          <w:marBottom w:val="0"/>
          <w:divBdr>
            <w:top w:val="none" w:sz="0" w:space="0" w:color="auto"/>
            <w:left w:val="none" w:sz="0" w:space="0" w:color="auto"/>
            <w:bottom w:val="none" w:sz="0" w:space="0" w:color="auto"/>
            <w:right w:val="none" w:sz="0" w:space="0" w:color="auto"/>
          </w:divBdr>
        </w:div>
        <w:div w:id="424964927">
          <w:marLeft w:val="640"/>
          <w:marRight w:val="0"/>
          <w:marTop w:val="0"/>
          <w:marBottom w:val="0"/>
          <w:divBdr>
            <w:top w:val="none" w:sz="0" w:space="0" w:color="auto"/>
            <w:left w:val="none" w:sz="0" w:space="0" w:color="auto"/>
            <w:bottom w:val="none" w:sz="0" w:space="0" w:color="auto"/>
            <w:right w:val="none" w:sz="0" w:space="0" w:color="auto"/>
          </w:divBdr>
        </w:div>
        <w:div w:id="810370000">
          <w:marLeft w:val="640"/>
          <w:marRight w:val="0"/>
          <w:marTop w:val="0"/>
          <w:marBottom w:val="0"/>
          <w:divBdr>
            <w:top w:val="none" w:sz="0" w:space="0" w:color="auto"/>
            <w:left w:val="none" w:sz="0" w:space="0" w:color="auto"/>
            <w:bottom w:val="none" w:sz="0" w:space="0" w:color="auto"/>
            <w:right w:val="none" w:sz="0" w:space="0" w:color="auto"/>
          </w:divBdr>
        </w:div>
        <w:div w:id="940602531">
          <w:marLeft w:val="640"/>
          <w:marRight w:val="0"/>
          <w:marTop w:val="0"/>
          <w:marBottom w:val="0"/>
          <w:divBdr>
            <w:top w:val="none" w:sz="0" w:space="0" w:color="auto"/>
            <w:left w:val="none" w:sz="0" w:space="0" w:color="auto"/>
            <w:bottom w:val="none" w:sz="0" w:space="0" w:color="auto"/>
            <w:right w:val="none" w:sz="0" w:space="0" w:color="auto"/>
          </w:divBdr>
        </w:div>
        <w:div w:id="1560628085">
          <w:marLeft w:val="640"/>
          <w:marRight w:val="0"/>
          <w:marTop w:val="0"/>
          <w:marBottom w:val="0"/>
          <w:divBdr>
            <w:top w:val="none" w:sz="0" w:space="0" w:color="auto"/>
            <w:left w:val="none" w:sz="0" w:space="0" w:color="auto"/>
            <w:bottom w:val="none" w:sz="0" w:space="0" w:color="auto"/>
            <w:right w:val="none" w:sz="0" w:space="0" w:color="auto"/>
          </w:divBdr>
        </w:div>
        <w:div w:id="1670711568">
          <w:marLeft w:val="640"/>
          <w:marRight w:val="0"/>
          <w:marTop w:val="0"/>
          <w:marBottom w:val="0"/>
          <w:divBdr>
            <w:top w:val="none" w:sz="0" w:space="0" w:color="auto"/>
            <w:left w:val="none" w:sz="0" w:space="0" w:color="auto"/>
            <w:bottom w:val="none" w:sz="0" w:space="0" w:color="auto"/>
            <w:right w:val="none" w:sz="0" w:space="0" w:color="auto"/>
          </w:divBdr>
        </w:div>
        <w:div w:id="1865512713">
          <w:marLeft w:val="640"/>
          <w:marRight w:val="0"/>
          <w:marTop w:val="0"/>
          <w:marBottom w:val="0"/>
          <w:divBdr>
            <w:top w:val="none" w:sz="0" w:space="0" w:color="auto"/>
            <w:left w:val="none" w:sz="0" w:space="0" w:color="auto"/>
            <w:bottom w:val="none" w:sz="0" w:space="0" w:color="auto"/>
            <w:right w:val="none" w:sz="0" w:space="0" w:color="auto"/>
          </w:divBdr>
        </w:div>
        <w:div w:id="864443773">
          <w:marLeft w:val="640"/>
          <w:marRight w:val="0"/>
          <w:marTop w:val="0"/>
          <w:marBottom w:val="0"/>
          <w:divBdr>
            <w:top w:val="none" w:sz="0" w:space="0" w:color="auto"/>
            <w:left w:val="none" w:sz="0" w:space="0" w:color="auto"/>
            <w:bottom w:val="none" w:sz="0" w:space="0" w:color="auto"/>
            <w:right w:val="none" w:sz="0" w:space="0" w:color="auto"/>
          </w:divBdr>
        </w:div>
        <w:div w:id="857887831">
          <w:marLeft w:val="640"/>
          <w:marRight w:val="0"/>
          <w:marTop w:val="0"/>
          <w:marBottom w:val="0"/>
          <w:divBdr>
            <w:top w:val="none" w:sz="0" w:space="0" w:color="auto"/>
            <w:left w:val="none" w:sz="0" w:space="0" w:color="auto"/>
            <w:bottom w:val="none" w:sz="0" w:space="0" w:color="auto"/>
            <w:right w:val="none" w:sz="0" w:space="0" w:color="auto"/>
          </w:divBdr>
        </w:div>
        <w:div w:id="1788426664">
          <w:marLeft w:val="640"/>
          <w:marRight w:val="0"/>
          <w:marTop w:val="0"/>
          <w:marBottom w:val="0"/>
          <w:divBdr>
            <w:top w:val="none" w:sz="0" w:space="0" w:color="auto"/>
            <w:left w:val="none" w:sz="0" w:space="0" w:color="auto"/>
            <w:bottom w:val="none" w:sz="0" w:space="0" w:color="auto"/>
            <w:right w:val="none" w:sz="0" w:space="0" w:color="auto"/>
          </w:divBdr>
        </w:div>
        <w:div w:id="340788939">
          <w:marLeft w:val="640"/>
          <w:marRight w:val="0"/>
          <w:marTop w:val="0"/>
          <w:marBottom w:val="0"/>
          <w:divBdr>
            <w:top w:val="none" w:sz="0" w:space="0" w:color="auto"/>
            <w:left w:val="none" w:sz="0" w:space="0" w:color="auto"/>
            <w:bottom w:val="none" w:sz="0" w:space="0" w:color="auto"/>
            <w:right w:val="none" w:sz="0" w:space="0" w:color="auto"/>
          </w:divBdr>
        </w:div>
        <w:div w:id="490029960">
          <w:marLeft w:val="640"/>
          <w:marRight w:val="0"/>
          <w:marTop w:val="0"/>
          <w:marBottom w:val="0"/>
          <w:divBdr>
            <w:top w:val="none" w:sz="0" w:space="0" w:color="auto"/>
            <w:left w:val="none" w:sz="0" w:space="0" w:color="auto"/>
            <w:bottom w:val="none" w:sz="0" w:space="0" w:color="auto"/>
            <w:right w:val="none" w:sz="0" w:space="0" w:color="auto"/>
          </w:divBdr>
        </w:div>
        <w:div w:id="1706560919">
          <w:marLeft w:val="640"/>
          <w:marRight w:val="0"/>
          <w:marTop w:val="0"/>
          <w:marBottom w:val="0"/>
          <w:divBdr>
            <w:top w:val="none" w:sz="0" w:space="0" w:color="auto"/>
            <w:left w:val="none" w:sz="0" w:space="0" w:color="auto"/>
            <w:bottom w:val="none" w:sz="0" w:space="0" w:color="auto"/>
            <w:right w:val="none" w:sz="0" w:space="0" w:color="auto"/>
          </w:divBdr>
        </w:div>
        <w:div w:id="1887139337">
          <w:marLeft w:val="640"/>
          <w:marRight w:val="0"/>
          <w:marTop w:val="0"/>
          <w:marBottom w:val="0"/>
          <w:divBdr>
            <w:top w:val="none" w:sz="0" w:space="0" w:color="auto"/>
            <w:left w:val="none" w:sz="0" w:space="0" w:color="auto"/>
            <w:bottom w:val="none" w:sz="0" w:space="0" w:color="auto"/>
            <w:right w:val="none" w:sz="0" w:space="0" w:color="auto"/>
          </w:divBdr>
        </w:div>
        <w:div w:id="828209592">
          <w:marLeft w:val="640"/>
          <w:marRight w:val="0"/>
          <w:marTop w:val="0"/>
          <w:marBottom w:val="0"/>
          <w:divBdr>
            <w:top w:val="none" w:sz="0" w:space="0" w:color="auto"/>
            <w:left w:val="none" w:sz="0" w:space="0" w:color="auto"/>
            <w:bottom w:val="none" w:sz="0" w:space="0" w:color="auto"/>
            <w:right w:val="none" w:sz="0" w:space="0" w:color="auto"/>
          </w:divBdr>
        </w:div>
        <w:div w:id="841354884">
          <w:marLeft w:val="640"/>
          <w:marRight w:val="0"/>
          <w:marTop w:val="0"/>
          <w:marBottom w:val="0"/>
          <w:divBdr>
            <w:top w:val="none" w:sz="0" w:space="0" w:color="auto"/>
            <w:left w:val="none" w:sz="0" w:space="0" w:color="auto"/>
            <w:bottom w:val="none" w:sz="0" w:space="0" w:color="auto"/>
            <w:right w:val="none" w:sz="0" w:space="0" w:color="auto"/>
          </w:divBdr>
        </w:div>
        <w:div w:id="896361768">
          <w:marLeft w:val="640"/>
          <w:marRight w:val="0"/>
          <w:marTop w:val="0"/>
          <w:marBottom w:val="0"/>
          <w:divBdr>
            <w:top w:val="none" w:sz="0" w:space="0" w:color="auto"/>
            <w:left w:val="none" w:sz="0" w:space="0" w:color="auto"/>
            <w:bottom w:val="none" w:sz="0" w:space="0" w:color="auto"/>
            <w:right w:val="none" w:sz="0" w:space="0" w:color="auto"/>
          </w:divBdr>
        </w:div>
        <w:div w:id="1089154765">
          <w:marLeft w:val="640"/>
          <w:marRight w:val="0"/>
          <w:marTop w:val="0"/>
          <w:marBottom w:val="0"/>
          <w:divBdr>
            <w:top w:val="none" w:sz="0" w:space="0" w:color="auto"/>
            <w:left w:val="none" w:sz="0" w:space="0" w:color="auto"/>
            <w:bottom w:val="none" w:sz="0" w:space="0" w:color="auto"/>
            <w:right w:val="none" w:sz="0" w:space="0" w:color="auto"/>
          </w:divBdr>
        </w:div>
        <w:div w:id="764687087">
          <w:marLeft w:val="640"/>
          <w:marRight w:val="0"/>
          <w:marTop w:val="0"/>
          <w:marBottom w:val="0"/>
          <w:divBdr>
            <w:top w:val="none" w:sz="0" w:space="0" w:color="auto"/>
            <w:left w:val="none" w:sz="0" w:space="0" w:color="auto"/>
            <w:bottom w:val="none" w:sz="0" w:space="0" w:color="auto"/>
            <w:right w:val="none" w:sz="0" w:space="0" w:color="auto"/>
          </w:divBdr>
        </w:div>
        <w:div w:id="866869593">
          <w:marLeft w:val="640"/>
          <w:marRight w:val="0"/>
          <w:marTop w:val="0"/>
          <w:marBottom w:val="0"/>
          <w:divBdr>
            <w:top w:val="none" w:sz="0" w:space="0" w:color="auto"/>
            <w:left w:val="none" w:sz="0" w:space="0" w:color="auto"/>
            <w:bottom w:val="none" w:sz="0" w:space="0" w:color="auto"/>
            <w:right w:val="none" w:sz="0" w:space="0" w:color="auto"/>
          </w:divBdr>
        </w:div>
        <w:div w:id="1504514373">
          <w:marLeft w:val="640"/>
          <w:marRight w:val="0"/>
          <w:marTop w:val="0"/>
          <w:marBottom w:val="0"/>
          <w:divBdr>
            <w:top w:val="none" w:sz="0" w:space="0" w:color="auto"/>
            <w:left w:val="none" w:sz="0" w:space="0" w:color="auto"/>
            <w:bottom w:val="none" w:sz="0" w:space="0" w:color="auto"/>
            <w:right w:val="none" w:sz="0" w:space="0" w:color="auto"/>
          </w:divBdr>
        </w:div>
        <w:div w:id="543105775">
          <w:marLeft w:val="640"/>
          <w:marRight w:val="0"/>
          <w:marTop w:val="0"/>
          <w:marBottom w:val="0"/>
          <w:divBdr>
            <w:top w:val="none" w:sz="0" w:space="0" w:color="auto"/>
            <w:left w:val="none" w:sz="0" w:space="0" w:color="auto"/>
            <w:bottom w:val="none" w:sz="0" w:space="0" w:color="auto"/>
            <w:right w:val="none" w:sz="0" w:space="0" w:color="auto"/>
          </w:divBdr>
        </w:div>
        <w:div w:id="1428768278">
          <w:marLeft w:val="640"/>
          <w:marRight w:val="0"/>
          <w:marTop w:val="0"/>
          <w:marBottom w:val="0"/>
          <w:divBdr>
            <w:top w:val="none" w:sz="0" w:space="0" w:color="auto"/>
            <w:left w:val="none" w:sz="0" w:space="0" w:color="auto"/>
            <w:bottom w:val="none" w:sz="0" w:space="0" w:color="auto"/>
            <w:right w:val="none" w:sz="0" w:space="0" w:color="auto"/>
          </w:divBdr>
        </w:div>
        <w:div w:id="849293876">
          <w:marLeft w:val="640"/>
          <w:marRight w:val="0"/>
          <w:marTop w:val="0"/>
          <w:marBottom w:val="0"/>
          <w:divBdr>
            <w:top w:val="none" w:sz="0" w:space="0" w:color="auto"/>
            <w:left w:val="none" w:sz="0" w:space="0" w:color="auto"/>
            <w:bottom w:val="none" w:sz="0" w:space="0" w:color="auto"/>
            <w:right w:val="none" w:sz="0" w:space="0" w:color="auto"/>
          </w:divBdr>
        </w:div>
        <w:div w:id="1268929648">
          <w:marLeft w:val="640"/>
          <w:marRight w:val="0"/>
          <w:marTop w:val="0"/>
          <w:marBottom w:val="0"/>
          <w:divBdr>
            <w:top w:val="none" w:sz="0" w:space="0" w:color="auto"/>
            <w:left w:val="none" w:sz="0" w:space="0" w:color="auto"/>
            <w:bottom w:val="none" w:sz="0" w:space="0" w:color="auto"/>
            <w:right w:val="none" w:sz="0" w:space="0" w:color="auto"/>
          </w:divBdr>
        </w:div>
        <w:div w:id="1764573760">
          <w:marLeft w:val="640"/>
          <w:marRight w:val="0"/>
          <w:marTop w:val="0"/>
          <w:marBottom w:val="0"/>
          <w:divBdr>
            <w:top w:val="none" w:sz="0" w:space="0" w:color="auto"/>
            <w:left w:val="none" w:sz="0" w:space="0" w:color="auto"/>
            <w:bottom w:val="none" w:sz="0" w:space="0" w:color="auto"/>
            <w:right w:val="none" w:sz="0" w:space="0" w:color="auto"/>
          </w:divBdr>
        </w:div>
        <w:div w:id="1026099870">
          <w:marLeft w:val="640"/>
          <w:marRight w:val="0"/>
          <w:marTop w:val="0"/>
          <w:marBottom w:val="0"/>
          <w:divBdr>
            <w:top w:val="none" w:sz="0" w:space="0" w:color="auto"/>
            <w:left w:val="none" w:sz="0" w:space="0" w:color="auto"/>
            <w:bottom w:val="none" w:sz="0" w:space="0" w:color="auto"/>
            <w:right w:val="none" w:sz="0" w:space="0" w:color="auto"/>
          </w:divBdr>
        </w:div>
        <w:div w:id="1320766021">
          <w:marLeft w:val="640"/>
          <w:marRight w:val="0"/>
          <w:marTop w:val="0"/>
          <w:marBottom w:val="0"/>
          <w:divBdr>
            <w:top w:val="none" w:sz="0" w:space="0" w:color="auto"/>
            <w:left w:val="none" w:sz="0" w:space="0" w:color="auto"/>
            <w:bottom w:val="none" w:sz="0" w:space="0" w:color="auto"/>
            <w:right w:val="none" w:sz="0" w:space="0" w:color="auto"/>
          </w:divBdr>
        </w:div>
        <w:div w:id="734086075">
          <w:marLeft w:val="640"/>
          <w:marRight w:val="0"/>
          <w:marTop w:val="0"/>
          <w:marBottom w:val="0"/>
          <w:divBdr>
            <w:top w:val="none" w:sz="0" w:space="0" w:color="auto"/>
            <w:left w:val="none" w:sz="0" w:space="0" w:color="auto"/>
            <w:bottom w:val="none" w:sz="0" w:space="0" w:color="auto"/>
            <w:right w:val="none" w:sz="0" w:space="0" w:color="auto"/>
          </w:divBdr>
        </w:div>
        <w:div w:id="1701398281">
          <w:marLeft w:val="640"/>
          <w:marRight w:val="0"/>
          <w:marTop w:val="0"/>
          <w:marBottom w:val="0"/>
          <w:divBdr>
            <w:top w:val="none" w:sz="0" w:space="0" w:color="auto"/>
            <w:left w:val="none" w:sz="0" w:space="0" w:color="auto"/>
            <w:bottom w:val="none" w:sz="0" w:space="0" w:color="auto"/>
            <w:right w:val="none" w:sz="0" w:space="0" w:color="auto"/>
          </w:divBdr>
        </w:div>
        <w:div w:id="521667868">
          <w:marLeft w:val="640"/>
          <w:marRight w:val="0"/>
          <w:marTop w:val="0"/>
          <w:marBottom w:val="0"/>
          <w:divBdr>
            <w:top w:val="none" w:sz="0" w:space="0" w:color="auto"/>
            <w:left w:val="none" w:sz="0" w:space="0" w:color="auto"/>
            <w:bottom w:val="none" w:sz="0" w:space="0" w:color="auto"/>
            <w:right w:val="none" w:sz="0" w:space="0" w:color="auto"/>
          </w:divBdr>
        </w:div>
        <w:div w:id="2099784121">
          <w:marLeft w:val="640"/>
          <w:marRight w:val="0"/>
          <w:marTop w:val="0"/>
          <w:marBottom w:val="0"/>
          <w:divBdr>
            <w:top w:val="none" w:sz="0" w:space="0" w:color="auto"/>
            <w:left w:val="none" w:sz="0" w:space="0" w:color="auto"/>
            <w:bottom w:val="none" w:sz="0" w:space="0" w:color="auto"/>
            <w:right w:val="none" w:sz="0" w:space="0" w:color="auto"/>
          </w:divBdr>
        </w:div>
        <w:div w:id="742067920">
          <w:marLeft w:val="640"/>
          <w:marRight w:val="0"/>
          <w:marTop w:val="0"/>
          <w:marBottom w:val="0"/>
          <w:divBdr>
            <w:top w:val="none" w:sz="0" w:space="0" w:color="auto"/>
            <w:left w:val="none" w:sz="0" w:space="0" w:color="auto"/>
            <w:bottom w:val="none" w:sz="0" w:space="0" w:color="auto"/>
            <w:right w:val="none" w:sz="0" w:space="0" w:color="auto"/>
          </w:divBdr>
        </w:div>
        <w:div w:id="1627739347">
          <w:marLeft w:val="640"/>
          <w:marRight w:val="0"/>
          <w:marTop w:val="0"/>
          <w:marBottom w:val="0"/>
          <w:divBdr>
            <w:top w:val="none" w:sz="0" w:space="0" w:color="auto"/>
            <w:left w:val="none" w:sz="0" w:space="0" w:color="auto"/>
            <w:bottom w:val="none" w:sz="0" w:space="0" w:color="auto"/>
            <w:right w:val="none" w:sz="0" w:space="0" w:color="auto"/>
          </w:divBdr>
        </w:div>
        <w:div w:id="1915583110">
          <w:marLeft w:val="640"/>
          <w:marRight w:val="0"/>
          <w:marTop w:val="0"/>
          <w:marBottom w:val="0"/>
          <w:divBdr>
            <w:top w:val="none" w:sz="0" w:space="0" w:color="auto"/>
            <w:left w:val="none" w:sz="0" w:space="0" w:color="auto"/>
            <w:bottom w:val="none" w:sz="0" w:space="0" w:color="auto"/>
            <w:right w:val="none" w:sz="0" w:space="0" w:color="auto"/>
          </w:divBdr>
        </w:div>
        <w:div w:id="438985064">
          <w:marLeft w:val="640"/>
          <w:marRight w:val="0"/>
          <w:marTop w:val="0"/>
          <w:marBottom w:val="0"/>
          <w:divBdr>
            <w:top w:val="none" w:sz="0" w:space="0" w:color="auto"/>
            <w:left w:val="none" w:sz="0" w:space="0" w:color="auto"/>
            <w:bottom w:val="none" w:sz="0" w:space="0" w:color="auto"/>
            <w:right w:val="none" w:sz="0" w:space="0" w:color="auto"/>
          </w:divBdr>
        </w:div>
        <w:div w:id="652636193">
          <w:marLeft w:val="640"/>
          <w:marRight w:val="0"/>
          <w:marTop w:val="0"/>
          <w:marBottom w:val="0"/>
          <w:divBdr>
            <w:top w:val="none" w:sz="0" w:space="0" w:color="auto"/>
            <w:left w:val="none" w:sz="0" w:space="0" w:color="auto"/>
            <w:bottom w:val="none" w:sz="0" w:space="0" w:color="auto"/>
            <w:right w:val="none" w:sz="0" w:space="0" w:color="auto"/>
          </w:divBdr>
        </w:div>
        <w:div w:id="799618479">
          <w:marLeft w:val="640"/>
          <w:marRight w:val="0"/>
          <w:marTop w:val="0"/>
          <w:marBottom w:val="0"/>
          <w:divBdr>
            <w:top w:val="none" w:sz="0" w:space="0" w:color="auto"/>
            <w:left w:val="none" w:sz="0" w:space="0" w:color="auto"/>
            <w:bottom w:val="none" w:sz="0" w:space="0" w:color="auto"/>
            <w:right w:val="none" w:sz="0" w:space="0" w:color="auto"/>
          </w:divBdr>
        </w:div>
        <w:div w:id="1445156457">
          <w:marLeft w:val="640"/>
          <w:marRight w:val="0"/>
          <w:marTop w:val="0"/>
          <w:marBottom w:val="0"/>
          <w:divBdr>
            <w:top w:val="none" w:sz="0" w:space="0" w:color="auto"/>
            <w:left w:val="none" w:sz="0" w:space="0" w:color="auto"/>
            <w:bottom w:val="none" w:sz="0" w:space="0" w:color="auto"/>
            <w:right w:val="none" w:sz="0" w:space="0" w:color="auto"/>
          </w:divBdr>
        </w:div>
        <w:div w:id="1175420824">
          <w:marLeft w:val="640"/>
          <w:marRight w:val="0"/>
          <w:marTop w:val="0"/>
          <w:marBottom w:val="0"/>
          <w:divBdr>
            <w:top w:val="none" w:sz="0" w:space="0" w:color="auto"/>
            <w:left w:val="none" w:sz="0" w:space="0" w:color="auto"/>
            <w:bottom w:val="none" w:sz="0" w:space="0" w:color="auto"/>
            <w:right w:val="none" w:sz="0" w:space="0" w:color="auto"/>
          </w:divBdr>
        </w:div>
        <w:div w:id="1356693355">
          <w:marLeft w:val="640"/>
          <w:marRight w:val="0"/>
          <w:marTop w:val="0"/>
          <w:marBottom w:val="0"/>
          <w:divBdr>
            <w:top w:val="none" w:sz="0" w:space="0" w:color="auto"/>
            <w:left w:val="none" w:sz="0" w:space="0" w:color="auto"/>
            <w:bottom w:val="none" w:sz="0" w:space="0" w:color="auto"/>
            <w:right w:val="none" w:sz="0" w:space="0" w:color="auto"/>
          </w:divBdr>
        </w:div>
        <w:div w:id="2135320775">
          <w:marLeft w:val="640"/>
          <w:marRight w:val="0"/>
          <w:marTop w:val="0"/>
          <w:marBottom w:val="0"/>
          <w:divBdr>
            <w:top w:val="none" w:sz="0" w:space="0" w:color="auto"/>
            <w:left w:val="none" w:sz="0" w:space="0" w:color="auto"/>
            <w:bottom w:val="none" w:sz="0" w:space="0" w:color="auto"/>
            <w:right w:val="none" w:sz="0" w:space="0" w:color="auto"/>
          </w:divBdr>
        </w:div>
        <w:div w:id="628321284">
          <w:marLeft w:val="640"/>
          <w:marRight w:val="0"/>
          <w:marTop w:val="0"/>
          <w:marBottom w:val="0"/>
          <w:divBdr>
            <w:top w:val="none" w:sz="0" w:space="0" w:color="auto"/>
            <w:left w:val="none" w:sz="0" w:space="0" w:color="auto"/>
            <w:bottom w:val="none" w:sz="0" w:space="0" w:color="auto"/>
            <w:right w:val="none" w:sz="0" w:space="0" w:color="auto"/>
          </w:divBdr>
        </w:div>
        <w:div w:id="654724138">
          <w:marLeft w:val="640"/>
          <w:marRight w:val="0"/>
          <w:marTop w:val="0"/>
          <w:marBottom w:val="0"/>
          <w:divBdr>
            <w:top w:val="none" w:sz="0" w:space="0" w:color="auto"/>
            <w:left w:val="none" w:sz="0" w:space="0" w:color="auto"/>
            <w:bottom w:val="none" w:sz="0" w:space="0" w:color="auto"/>
            <w:right w:val="none" w:sz="0" w:space="0" w:color="auto"/>
          </w:divBdr>
        </w:div>
        <w:div w:id="1235316253">
          <w:marLeft w:val="640"/>
          <w:marRight w:val="0"/>
          <w:marTop w:val="0"/>
          <w:marBottom w:val="0"/>
          <w:divBdr>
            <w:top w:val="none" w:sz="0" w:space="0" w:color="auto"/>
            <w:left w:val="none" w:sz="0" w:space="0" w:color="auto"/>
            <w:bottom w:val="none" w:sz="0" w:space="0" w:color="auto"/>
            <w:right w:val="none" w:sz="0" w:space="0" w:color="auto"/>
          </w:divBdr>
        </w:div>
        <w:div w:id="182210024">
          <w:marLeft w:val="640"/>
          <w:marRight w:val="0"/>
          <w:marTop w:val="0"/>
          <w:marBottom w:val="0"/>
          <w:divBdr>
            <w:top w:val="none" w:sz="0" w:space="0" w:color="auto"/>
            <w:left w:val="none" w:sz="0" w:space="0" w:color="auto"/>
            <w:bottom w:val="none" w:sz="0" w:space="0" w:color="auto"/>
            <w:right w:val="none" w:sz="0" w:space="0" w:color="auto"/>
          </w:divBdr>
        </w:div>
        <w:div w:id="830677935">
          <w:marLeft w:val="640"/>
          <w:marRight w:val="0"/>
          <w:marTop w:val="0"/>
          <w:marBottom w:val="0"/>
          <w:divBdr>
            <w:top w:val="none" w:sz="0" w:space="0" w:color="auto"/>
            <w:left w:val="none" w:sz="0" w:space="0" w:color="auto"/>
            <w:bottom w:val="none" w:sz="0" w:space="0" w:color="auto"/>
            <w:right w:val="none" w:sz="0" w:space="0" w:color="auto"/>
          </w:divBdr>
        </w:div>
        <w:div w:id="1412236627">
          <w:marLeft w:val="640"/>
          <w:marRight w:val="0"/>
          <w:marTop w:val="0"/>
          <w:marBottom w:val="0"/>
          <w:divBdr>
            <w:top w:val="none" w:sz="0" w:space="0" w:color="auto"/>
            <w:left w:val="none" w:sz="0" w:space="0" w:color="auto"/>
            <w:bottom w:val="none" w:sz="0" w:space="0" w:color="auto"/>
            <w:right w:val="none" w:sz="0" w:space="0" w:color="auto"/>
          </w:divBdr>
        </w:div>
        <w:div w:id="1284534429">
          <w:marLeft w:val="640"/>
          <w:marRight w:val="0"/>
          <w:marTop w:val="0"/>
          <w:marBottom w:val="0"/>
          <w:divBdr>
            <w:top w:val="none" w:sz="0" w:space="0" w:color="auto"/>
            <w:left w:val="none" w:sz="0" w:space="0" w:color="auto"/>
            <w:bottom w:val="none" w:sz="0" w:space="0" w:color="auto"/>
            <w:right w:val="none" w:sz="0" w:space="0" w:color="auto"/>
          </w:divBdr>
        </w:div>
        <w:div w:id="355934627">
          <w:marLeft w:val="640"/>
          <w:marRight w:val="0"/>
          <w:marTop w:val="0"/>
          <w:marBottom w:val="0"/>
          <w:divBdr>
            <w:top w:val="none" w:sz="0" w:space="0" w:color="auto"/>
            <w:left w:val="none" w:sz="0" w:space="0" w:color="auto"/>
            <w:bottom w:val="none" w:sz="0" w:space="0" w:color="auto"/>
            <w:right w:val="none" w:sz="0" w:space="0" w:color="auto"/>
          </w:divBdr>
        </w:div>
        <w:div w:id="1490904925">
          <w:marLeft w:val="640"/>
          <w:marRight w:val="0"/>
          <w:marTop w:val="0"/>
          <w:marBottom w:val="0"/>
          <w:divBdr>
            <w:top w:val="none" w:sz="0" w:space="0" w:color="auto"/>
            <w:left w:val="none" w:sz="0" w:space="0" w:color="auto"/>
            <w:bottom w:val="none" w:sz="0" w:space="0" w:color="auto"/>
            <w:right w:val="none" w:sz="0" w:space="0" w:color="auto"/>
          </w:divBdr>
        </w:div>
        <w:div w:id="101733761">
          <w:marLeft w:val="640"/>
          <w:marRight w:val="0"/>
          <w:marTop w:val="0"/>
          <w:marBottom w:val="0"/>
          <w:divBdr>
            <w:top w:val="none" w:sz="0" w:space="0" w:color="auto"/>
            <w:left w:val="none" w:sz="0" w:space="0" w:color="auto"/>
            <w:bottom w:val="none" w:sz="0" w:space="0" w:color="auto"/>
            <w:right w:val="none" w:sz="0" w:space="0" w:color="auto"/>
          </w:divBdr>
        </w:div>
        <w:div w:id="84810623">
          <w:marLeft w:val="640"/>
          <w:marRight w:val="0"/>
          <w:marTop w:val="0"/>
          <w:marBottom w:val="0"/>
          <w:divBdr>
            <w:top w:val="none" w:sz="0" w:space="0" w:color="auto"/>
            <w:left w:val="none" w:sz="0" w:space="0" w:color="auto"/>
            <w:bottom w:val="none" w:sz="0" w:space="0" w:color="auto"/>
            <w:right w:val="none" w:sz="0" w:space="0" w:color="auto"/>
          </w:divBdr>
        </w:div>
        <w:div w:id="1652564186">
          <w:marLeft w:val="640"/>
          <w:marRight w:val="0"/>
          <w:marTop w:val="0"/>
          <w:marBottom w:val="0"/>
          <w:divBdr>
            <w:top w:val="none" w:sz="0" w:space="0" w:color="auto"/>
            <w:left w:val="none" w:sz="0" w:space="0" w:color="auto"/>
            <w:bottom w:val="none" w:sz="0" w:space="0" w:color="auto"/>
            <w:right w:val="none" w:sz="0" w:space="0" w:color="auto"/>
          </w:divBdr>
        </w:div>
        <w:div w:id="954143928">
          <w:marLeft w:val="640"/>
          <w:marRight w:val="0"/>
          <w:marTop w:val="0"/>
          <w:marBottom w:val="0"/>
          <w:divBdr>
            <w:top w:val="none" w:sz="0" w:space="0" w:color="auto"/>
            <w:left w:val="none" w:sz="0" w:space="0" w:color="auto"/>
            <w:bottom w:val="none" w:sz="0" w:space="0" w:color="auto"/>
            <w:right w:val="none" w:sz="0" w:space="0" w:color="auto"/>
          </w:divBdr>
        </w:div>
        <w:div w:id="1082481979">
          <w:marLeft w:val="640"/>
          <w:marRight w:val="0"/>
          <w:marTop w:val="0"/>
          <w:marBottom w:val="0"/>
          <w:divBdr>
            <w:top w:val="none" w:sz="0" w:space="0" w:color="auto"/>
            <w:left w:val="none" w:sz="0" w:space="0" w:color="auto"/>
            <w:bottom w:val="none" w:sz="0" w:space="0" w:color="auto"/>
            <w:right w:val="none" w:sz="0" w:space="0" w:color="auto"/>
          </w:divBdr>
        </w:div>
        <w:div w:id="1194538087">
          <w:marLeft w:val="640"/>
          <w:marRight w:val="0"/>
          <w:marTop w:val="0"/>
          <w:marBottom w:val="0"/>
          <w:divBdr>
            <w:top w:val="none" w:sz="0" w:space="0" w:color="auto"/>
            <w:left w:val="none" w:sz="0" w:space="0" w:color="auto"/>
            <w:bottom w:val="none" w:sz="0" w:space="0" w:color="auto"/>
            <w:right w:val="none" w:sz="0" w:space="0" w:color="auto"/>
          </w:divBdr>
        </w:div>
        <w:div w:id="1945503712">
          <w:marLeft w:val="640"/>
          <w:marRight w:val="0"/>
          <w:marTop w:val="0"/>
          <w:marBottom w:val="0"/>
          <w:divBdr>
            <w:top w:val="none" w:sz="0" w:space="0" w:color="auto"/>
            <w:left w:val="none" w:sz="0" w:space="0" w:color="auto"/>
            <w:bottom w:val="none" w:sz="0" w:space="0" w:color="auto"/>
            <w:right w:val="none" w:sz="0" w:space="0" w:color="auto"/>
          </w:divBdr>
        </w:div>
        <w:div w:id="853882849">
          <w:marLeft w:val="640"/>
          <w:marRight w:val="0"/>
          <w:marTop w:val="0"/>
          <w:marBottom w:val="0"/>
          <w:divBdr>
            <w:top w:val="none" w:sz="0" w:space="0" w:color="auto"/>
            <w:left w:val="none" w:sz="0" w:space="0" w:color="auto"/>
            <w:bottom w:val="none" w:sz="0" w:space="0" w:color="auto"/>
            <w:right w:val="none" w:sz="0" w:space="0" w:color="auto"/>
          </w:divBdr>
        </w:div>
        <w:div w:id="259334514">
          <w:marLeft w:val="640"/>
          <w:marRight w:val="0"/>
          <w:marTop w:val="0"/>
          <w:marBottom w:val="0"/>
          <w:divBdr>
            <w:top w:val="none" w:sz="0" w:space="0" w:color="auto"/>
            <w:left w:val="none" w:sz="0" w:space="0" w:color="auto"/>
            <w:bottom w:val="none" w:sz="0" w:space="0" w:color="auto"/>
            <w:right w:val="none" w:sz="0" w:space="0" w:color="auto"/>
          </w:divBdr>
        </w:div>
        <w:div w:id="1803184950">
          <w:marLeft w:val="640"/>
          <w:marRight w:val="0"/>
          <w:marTop w:val="0"/>
          <w:marBottom w:val="0"/>
          <w:divBdr>
            <w:top w:val="none" w:sz="0" w:space="0" w:color="auto"/>
            <w:left w:val="none" w:sz="0" w:space="0" w:color="auto"/>
            <w:bottom w:val="none" w:sz="0" w:space="0" w:color="auto"/>
            <w:right w:val="none" w:sz="0" w:space="0" w:color="auto"/>
          </w:divBdr>
        </w:div>
        <w:div w:id="212351202">
          <w:marLeft w:val="640"/>
          <w:marRight w:val="0"/>
          <w:marTop w:val="0"/>
          <w:marBottom w:val="0"/>
          <w:divBdr>
            <w:top w:val="none" w:sz="0" w:space="0" w:color="auto"/>
            <w:left w:val="none" w:sz="0" w:space="0" w:color="auto"/>
            <w:bottom w:val="none" w:sz="0" w:space="0" w:color="auto"/>
            <w:right w:val="none" w:sz="0" w:space="0" w:color="auto"/>
          </w:divBdr>
        </w:div>
        <w:div w:id="1352410493">
          <w:marLeft w:val="640"/>
          <w:marRight w:val="0"/>
          <w:marTop w:val="0"/>
          <w:marBottom w:val="0"/>
          <w:divBdr>
            <w:top w:val="none" w:sz="0" w:space="0" w:color="auto"/>
            <w:left w:val="none" w:sz="0" w:space="0" w:color="auto"/>
            <w:bottom w:val="none" w:sz="0" w:space="0" w:color="auto"/>
            <w:right w:val="none" w:sz="0" w:space="0" w:color="auto"/>
          </w:divBdr>
        </w:div>
        <w:div w:id="1362362492">
          <w:marLeft w:val="640"/>
          <w:marRight w:val="0"/>
          <w:marTop w:val="0"/>
          <w:marBottom w:val="0"/>
          <w:divBdr>
            <w:top w:val="none" w:sz="0" w:space="0" w:color="auto"/>
            <w:left w:val="none" w:sz="0" w:space="0" w:color="auto"/>
            <w:bottom w:val="none" w:sz="0" w:space="0" w:color="auto"/>
            <w:right w:val="none" w:sz="0" w:space="0" w:color="auto"/>
          </w:divBdr>
        </w:div>
        <w:div w:id="430661643">
          <w:marLeft w:val="640"/>
          <w:marRight w:val="0"/>
          <w:marTop w:val="0"/>
          <w:marBottom w:val="0"/>
          <w:divBdr>
            <w:top w:val="none" w:sz="0" w:space="0" w:color="auto"/>
            <w:left w:val="none" w:sz="0" w:space="0" w:color="auto"/>
            <w:bottom w:val="none" w:sz="0" w:space="0" w:color="auto"/>
            <w:right w:val="none" w:sz="0" w:space="0" w:color="auto"/>
          </w:divBdr>
        </w:div>
        <w:div w:id="746731637">
          <w:marLeft w:val="640"/>
          <w:marRight w:val="0"/>
          <w:marTop w:val="0"/>
          <w:marBottom w:val="0"/>
          <w:divBdr>
            <w:top w:val="none" w:sz="0" w:space="0" w:color="auto"/>
            <w:left w:val="none" w:sz="0" w:space="0" w:color="auto"/>
            <w:bottom w:val="none" w:sz="0" w:space="0" w:color="auto"/>
            <w:right w:val="none" w:sz="0" w:space="0" w:color="auto"/>
          </w:divBdr>
        </w:div>
        <w:div w:id="247152154">
          <w:marLeft w:val="640"/>
          <w:marRight w:val="0"/>
          <w:marTop w:val="0"/>
          <w:marBottom w:val="0"/>
          <w:divBdr>
            <w:top w:val="none" w:sz="0" w:space="0" w:color="auto"/>
            <w:left w:val="none" w:sz="0" w:space="0" w:color="auto"/>
            <w:bottom w:val="none" w:sz="0" w:space="0" w:color="auto"/>
            <w:right w:val="none" w:sz="0" w:space="0" w:color="auto"/>
          </w:divBdr>
        </w:div>
        <w:div w:id="2118476371">
          <w:marLeft w:val="640"/>
          <w:marRight w:val="0"/>
          <w:marTop w:val="0"/>
          <w:marBottom w:val="0"/>
          <w:divBdr>
            <w:top w:val="none" w:sz="0" w:space="0" w:color="auto"/>
            <w:left w:val="none" w:sz="0" w:space="0" w:color="auto"/>
            <w:bottom w:val="none" w:sz="0" w:space="0" w:color="auto"/>
            <w:right w:val="none" w:sz="0" w:space="0" w:color="auto"/>
          </w:divBdr>
        </w:div>
        <w:div w:id="1904756256">
          <w:marLeft w:val="640"/>
          <w:marRight w:val="0"/>
          <w:marTop w:val="0"/>
          <w:marBottom w:val="0"/>
          <w:divBdr>
            <w:top w:val="none" w:sz="0" w:space="0" w:color="auto"/>
            <w:left w:val="none" w:sz="0" w:space="0" w:color="auto"/>
            <w:bottom w:val="none" w:sz="0" w:space="0" w:color="auto"/>
            <w:right w:val="none" w:sz="0" w:space="0" w:color="auto"/>
          </w:divBdr>
        </w:div>
        <w:div w:id="113409703">
          <w:marLeft w:val="640"/>
          <w:marRight w:val="0"/>
          <w:marTop w:val="0"/>
          <w:marBottom w:val="0"/>
          <w:divBdr>
            <w:top w:val="none" w:sz="0" w:space="0" w:color="auto"/>
            <w:left w:val="none" w:sz="0" w:space="0" w:color="auto"/>
            <w:bottom w:val="none" w:sz="0" w:space="0" w:color="auto"/>
            <w:right w:val="none" w:sz="0" w:space="0" w:color="auto"/>
          </w:divBdr>
        </w:div>
        <w:div w:id="675613307">
          <w:marLeft w:val="640"/>
          <w:marRight w:val="0"/>
          <w:marTop w:val="0"/>
          <w:marBottom w:val="0"/>
          <w:divBdr>
            <w:top w:val="none" w:sz="0" w:space="0" w:color="auto"/>
            <w:left w:val="none" w:sz="0" w:space="0" w:color="auto"/>
            <w:bottom w:val="none" w:sz="0" w:space="0" w:color="auto"/>
            <w:right w:val="none" w:sz="0" w:space="0" w:color="auto"/>
          </w:divBdr>
        </w:div>
        <w:div w:id="38361267">
          <w:marLeft w:val="640"/>
          <w:marRight w:val="0"/>
          <w:marTop w:val="0"/>
          <w:marBottom w:val="0"/>
          <w:divBdr>
            <w:top w:val="none" w:sz="0" w:space="0" w:color="auto"/>
            <w:left w:val="none" w:sz="0" w:space="0" w:color="auto"/>
            <w:bottom w:val="none" w:sz="0" w:space="0" w:color="auto"/>
            <w:right w:val="none" w:sz="0" w:space="0" w:color="auto"/>
          </w:divBdr>
        </w:div>
        <w:div w:id="1804734484">
          <w:marLeft w:val="640"/>
          <w:marRight w:val="0"/>
          <w:marTop w:val="0"/>
          <w:marBottom w:val="0"/>
          <w:divBdr>
            <w:top w:val="none" w:sz="0" w:space="0" w:color="auto"/>
            <w:left w:val="none" w:sz="0" w:space="0" w:color="auto"/>
            <w:bottom w:val="none" w:sz="0" w:space="0" w:color="auto"/>
            <w:right w:val="none" w:sz="0" w:space="0" w:color="auto"/>
          </w:divBdr>
        </w:div>
        <w:div w:id="1367947983">
          <w:marLeft w:val="640"/>
          <w:marRight w:val="0"/>
          <w:marTop w:val="0"/>
          <w:marBottom w:val="0"/>
          <w:divBdr>
            <w:top w:val="none" w:sz="0" w:space="0" w:color="auto"/>
            <w:left w:val="none" w:sz="0" w:space="0" w:color="auto"/>
            <w:bottom w:val="none" w:sz="0" w:space="0" w:color="auto"/>
            <w:right w:val="none" w:sz="0" w:space="0" w:color="auto"/>
          </w:divBdr>
        </w:div>
        <w:div w:id="1342313081">
          <w:marLeft w:val="640"/>
          <w:marRight w:val="0"/>
          <w:marTop w:val="0"/>
          <w:marBottom w:val="0"/>
          <w:divBdr>
            <w:top w:val="none" w:sz="0" w:space="0" w:color="auto"/>
            <w:left w:val="none" w:sz="0" w:space="0" w:color="auto"/>
            <w:bottom w:val="none" w:sz="0" w:space="0" w:color="auto"/>
            <w:right w:val="none" w:sz="0" w:space="0" w:color="auto"/>
          </w:divBdr>
        </w:div>
        <w:div w:id="729498107">
          <w:marLeft w:val="640"/>
          <w:marRight w:val="0"/>
          <w:marTop w:val="0"/>
          <w:marBottom w:val="0"/>
          <w:divBdr>
            <w:top w:val="none" w:sz="0" w:space="0" w:color="auto"/>
            <w:left w:val="none" w:sz="0" w:space="0" w:color="auto"/>
            <w:bottom w:val="none" w:sz="0" w:space="0" w:color="auto"/>
            <w:right w:val="none" w:sz="0" w:space="0" w:color="auto"/>
          </w:divBdr>
        </w:div>
        <w:div w:id="1342394113">
          <w:marLeft w:val="640"/>
          <w:marRight w:val="0"/>
          <w:marTop w:val="0"/>
          <w:marBottom w:val="0"/>
          <w:divBdr>
            <w:top w:val="none" w:sz="0" w:space="0" w:color="auto"/>
            <w:left w:val="none" w:sz="0" w:space="0" w:color="auto"/>
            <w:bottom w:val="none" w:sz="0" w:space="0" w:color="auto"/>
            <w:right w:val="none" w:sz="0" w:space="0" w:color="auto"/>
          </w:divBdr>
        </w:div>
        <w:div w:id="1709336577">
          <w:marLeft w:val="640"/>
          <w:marRight w:val="0"/>
          <w:marTop w:val="0"/>
          <w:marBottom w:val="0"/>
          <w:divBdr>
            <w:top w:val="none" w:sz="0" w:space="0" w:color="auto"/>
            <w:left w:val="none" w:sz="0" w:space="0" w:color="auto"/>
            <w:bottom w:val="none" w:sz="0" w:space="0" w:color="auto"/>
            <w:right w:val="none" w:sz="0" w:space="0" w:color="auto"/>
          </w:divBdr>
        </w:div>
        <w:div w:id="1996374566">
          <w:marLeft w:val="640"/>
          <w:marRight w:val="0"/>
          <w:marTop w:val="0"/>
          <w:marBottom w:val="0"/>
          <w:divBdr>
            <w:top w:val="none" w:sz="0" w:space="0" w:color="auto"/>
            <w:left w:val="none" w:sz="0" w:space="0" w:color="auto"/>
            <w:bottom w:val="none" w:sz="0" w:space="0" w:color="auto"/>
            <w:right w:val="none" w:sz="0" w:space="0" w:color="auto"/>
          </w:divBdr>
        </w:div>
        <w:div w:id="1594044678">
          <w:marLeft w:val="640"/>
          <w:marRight w:val="0"/>
          <w:marTop w:val="0"/>
          <w:marBottom w:val="0"/>
          <w:divBdr>
            <w:top w:val="none" w:sz="0" w:space="0" w:color="auto"/>
            <w:left w:val="none" w:sz="0" w:space="0" w:color="auto"/>
            <w:bottom w:val="none" w:sz="0" w:space="0" w:color="auto"/>
            <w:right w:val="none" w:sz="0" w:space="0" w:color="auto"/>
          </w:divBdr>
        </w:div>
        <w:div w:id="390660537">
          <w:marLeft w:val="640"/>
          <w:marRight w:val="0"/>
          <w:marTop w:val="0"/>
          <w:marBottom w:val="0"/>
          <w:divBdr>
            <w:top w:val="none" w:sz="0" w:space="0" w:color="auto"/>
            <w:left w:val="none" w:sz="0" w:space="0" w:color="auto"/>
            <w:bottom w:val="none" w:sz="0" w:space="0" w:color="auto"/>
            <w:right w:val="none" w:sz="0" w:space="0" w:color="auto"/>
          </w:divBdr>
        </w:div>
        <w:div w:id="36662094">
          <w:marLeft w:val="640"/>
          <w:marRight w:val="0"/>
          <w:marTop w:val="0"/>
          <w:marBottom w:val="0"/>
          <w:divBdr>
            <w:top w:val="none" w:sz="0" w:space="0" w:color="auto"/>
            <w:left w:val="none" w:sz="0" w:space="0" w:color="auto"/>
            <w:bottom w:val="none" w:sz="0" w:space="0" w:color="auto"/>
            <w:right w:val="none" w:sz="0" w:space="0" w:color="auto"/>
          </w:divBdr>
        </w:div>
        <w:div w:id="1281572332">
          <w:marLeft w:val="640"/>
          <w:marRight w:val="0"/>
          <w:marTop w:val="0"/>
          <w:marBottom w:val="0"/>
          <w:divBdr>
            <w:top w:val="none" w:sz="0" w:space="0" w:color="auto"/>
            <w:left w:val="none" w:sz="0" w:space="0" w:color="auto"/>
            <w:bottom w:val="none" w:sz="0" w:space="0" w:color="auto"/>
            <w:right w:val="none" w:sz="0" w:space="0" w:color="auto"/>
          </w:divBdr>
        </w:div>
        <w:div w:id="1721201881">
          <w:marLeft w:val="640"/>
          <w:marRight w:val="0"/>
          <w:marTop w:val="0"/>
          <w:marBottom w:val="0"/>
          <w:divBdr>
            <w:top w:val="none" w:sz="0" w:space="0" w:color="auto"/>
            <w:left w:val="none" w:sz="0" w:space="0" w:color="auto"/>
            <w:bottom w:val="none" w:sz="0" w:space="0" w:color="auto"/>
            <w:right w:val="none" w:sz="0" w:space="0" w:color="auto"/>
          </w:divBdr>
        </w:div>
        <w:div w:id="1409376007">
          <w:marLeft w:val="640"/>
          <w:marRight w:val="0"/>
          <w:marTop w:val="0"/>
          <w:marBottom w:val="0"/>
          <w:divBdr>
            <w:top w:val="none" w:sz="0" w:space="0" w:color="auto"/>
            <w:left w:val="none" w:sz="0" w:space="0" w:color="auto"/>
            <w:bottom w:val="none" w:sz="0" w:space="0" w:color="auto"/>
            <w:right w:val="none" w:sz="0" w:space="0" w:color="auto"/>
          </w:divBdr>
        </w:div>
        <w:div w:id="2058972625">
          <w:marLeft w:val="640"/>
          <w:marRight w:val="0"/>
          <w:marTop w:val="0"/>
          <w:marBottom w:val="0"/>
          <w:divBdr>
            <w:top w:val="none" w:sz="0" w:space="0" w:color="auto"/>
            <w:left w:val="none" w:sz="0" w:space="0" w:color="auto"/>
            <w:bottom w:val="none" w:sz="0" w:space="0" w:color="auto"/>
            <w:right w:val="none" w:sz="0" w:space="0" w:color="auto"/>
          </w:divBdr>
        </w:div>
        <w:div w:id="407964482">
          <w:marLeft w:val="640"/>
          <w:marRight w:val="0"/>
          <w:marTop w:val="0"/>
          <w:marBottom w:val="0"/>
          <w:divBdr>
            <w:top w:val="none" w:sz="0" w:space="0" w:color="auto"/>
            <w:left w:val="none" w:sz="0" w:space="0" w:color="auto"/>
            <w:bottom w:val="none" w:sz="0" w:space="0" w:color="auto"/>
            <w:right w:val="none" w:sz="0" w:space="0" w:color="auto"/>
          </w:divBdr>
        </w:div>
        <w:div w:id="940451837">
          <w:marLeft w:val="640"/>
          <w:marRight w:val="0"/>
          <w:marTop w:val="0"/>
          <w:marBottom w:val="0"/>
          <w:divBdr>
            <w:top w:val="none" w:sz="0" w:space="0" w:color="auto"/>
            <w:left w:val="none" w:sz="0" w:space="0" w:color="auto"/>
            <w:bottom w:val="none" w:sz="0" w:space="0" w:color="auto"/>
            <w:right w:val="none" w:sz="0" w:space="0" w:color="auto"/>
          </w:divBdr>
        </w:div>
        <w:div w:id="926960691">
          <w:marLeft w:val="640"/>
          <w:marRight w:val="0"/>
          <w:marTop w:val="0"/>
          <w:marBottom w:val="0"/>
          <w:divBdr>
            <w:top w:val="none" w:sz="0" w:space="0" w:color="auto"/>
            <w:left w:val="none" w:sz="0" w:space="0" w:color="auto"/>
            <w:bottom w:val="none" w:sz="0" w:space="0" w:color="auto"/>
            <w:right w:val="none" w:sz="0" w:space="0" w:color="auto"/>
          </w:divBdr>
        </w:div>
        <w:div w:id="89744369">
          <w:marLeft w:val="640"/>
          <w:marRight w:val="0"/>
          <w:marTop w:val="0"/>
          <w:marBottom w:val="0"/>
          <w:divBdr>
            <w:top w:val="none" w:sz="0" w:space="0" w:color="auto"/>
            <w:left w:val="none" w:sz="0" w:space="0" w:color="auto"/>
            <w:bottom w:val="none" w:sz="0" w:space="0" w:color="auto"/>
            <w:right w:val="none" w:sz="0" w:space="0" w:color="auto"/>
          </w:divBdr>
        </w:div>
        <w:div w:id="339240806">
          <w:marLeft w:val="640"/>
          <w:marRight w:val="0"/>
          <w:marTop w:val="0"/>
          <w:marBottom w:val="0"/>
          <w:divBdr>
            <w:top w:val="none" w:sz="0" w:space="0" w:color="auto"/>
            <w:left w:val="none" w:sz="0" w:space="0" w:color="auto"/>
            <w:bottom w:val="none" w:sz="0" w:space="0" w:color="auto"/>
            <w:right w:val="none" w:sz="0" w:space="0" w:color="auto"/>
          </w:divBdr>
        </w:div>
        <w:div w:id="234778471">
          <w:marLeft w:val="640"/>
          <w:marRight w:val="0"/>
          <w:marTop w:val="0"/>
          <w:marBottom w:val="0"/>
          <w:divBdr>
            <w:top w:val="none" w:sz="0" w:space="0" w:color="auto"/>
            <w:left w:val="none" w:sz="0" w:space="0" w:color="auto"/>
            <w:bottom w:val="none" w:sz="0" w:space="0" w:color="auto"/>
            <w:right w:val="none" w:sz="0" w:space="0" w:color="auto"/>
          </w:divBdr>
        </w:div>
        <w:div w:id="536084492">
          <w:marLeft w:val="640"/>
          <w:marRight w:val="0"/>
          <w:marTop w:val="0"/>
          <w:marBottom w:val="0"/>
          <w:divBdr>
            <w:top w:val="none" w:sz="0" w:space="0" w:color="auto"/>
            <w:left w:val="none" w:sz="0" w:space="0" w:color="auto"/>
            <w:bottom w:val="none" w:sz="0" w:space="0" w:color="auto"/>
            <w:right w:val="none" w:sz="0" w:space="0" w:color="auto"/>
          </w:divBdr>
        </w:div>
        <w:div w:id="1699814439">
          <w:marLeft w:val="640"/>
          <w:marRight w:val="0"/>
          <w:marTop w:val="0"/>
          <w:marBottom w:val="0"/>
          <w:divBdr>
            <w:top w:val="none" w:sz="0" w:space="0" w:color="auto"/>
            <w:left w:val="none" w:sz="0" w:space="0" w:color="auto"/>
            <w:bottom w:val="none" w:sz="0" w:space="0" w:color="auto"/>
            <w:right w:val="none" w:sz="0" w:space="0" w:color="auto"/>
          </w:divBdr>
        </w:div>
        <w:div w:id="466123400">
          <w:marLeft w:val="640"/>
          <w:marRight w:val="0"/>
          <w:marTop w:val="0"/>
          <w:marBottom w:val="0"/>
          <w:divBdr>
            <w:top w:val="none" w:sz="0" w:space="0" w:color="auto"/>
            <w:left w:val="none" w:sz="0" w:space="0" w:color="auto"/>
            <w:bottom w:val="none" w:sz="0" w:space="0" w:color="auto"/>
            <w:right w:val="none" w:sz="0" w:space="0" w:color="auto"/>
          </w:divBdr>
        </w:div>
        <w:div w:id="1391079604">
          <w:marLeft w:val="640"/>
          <w:marRight w:val="0"/>
          <w:marTop w:val="0"/>
          <w:marBottom w:val="0"/>
          <w:divBdr>
            <w:top w:val="none" w:sz="0" w:space="0" w:color="auto"/>
            <w:left w:val="none" w:sz="0" w:space="0" w:color="auto"/>
            <w:bottom w:val="none" w:sz="0" w:space="0" w:color="auto"/>
            <w:right w:val="none" w:sz="0" w:space="0" w:color="auto"/>
          </w:divBdr>
        </w:div>
        <w:div w:id="648557966">
          <w:marLeft w:val="640"/>
          <w:marRight w:val="0"/>
          <w:marTop w:val="0"/>
          <w:marBottom w:val="0"/>
          <w:divBdr>
            <w:top w:val="none" w:sz="0" w:space="0" w:color="auto"/>
            <w:left w:val="none" w:sz="0" w:space="0" w:color="auto"/>
            <w:bottom w:val="none" w:sz="0" w:space="0" w:color="auto"/>
            <w:right w:val="none" w:sz="0" w:space="0" w:color="auto"/>
          </w:divBdr>
        </w:div>
        <w:div w:id="1198348357">
          <w:marLeft w:val="640"/>
          <w:marRight w:val="0"/>
          <w:marTop w:val="0"/>
          <w:marBottom w:val="0"/>
          <w:divBdr>
            <w:top w:val="none" w:sz="0" w:space="0" w:color="auto"/>
            <w:left w:val="none" w:sz="0" w:space="0" w:color="auto"/>
            <w:bottom w:val="none" w:sz="0" w:space="0" w:color="auto"/>
            <w:right w:val="none" w:sz="0" w:space="0" w:color="auto"/>
          </w:divBdr>
        </w:div>
        <w:div w:id="1811513296">
          <w:marLeft w:val="640"/>
          <w:marRight w:val="0"/>
          <w:marTop w:val="0"/>
          <w:marBottom w:val="0"/>
          <w:divBdr>
            <w:top w:val="none" w:sz="0" w:space="0" w:color="auto"/>
            <w:left w:val="none" w:sz="0" w:space="0" w:color="auto"/>
            <w:bottom w:val="none" w:sz="0" w:space="0" w:color="auto"/>
            <w:right w:val="none" w:sz="0" w:space="0" w:color="auto"/>
          </w:divBdr>
        </w:div>
        <w:div w:id="802037850">
          <w:marLeft w:val="640"/>
          <w:marRight w:val="0"/>
          <w:marTop w:val="0"/>
          <w:marBottom w:val="0"/>
          <w:divBdr>
            <w:top w:val="none" w:sz="0" w:space="0" w:color="auto"/>
            <w:left w:val="none" w:sz="0" w:space="0" w:color="auto"/>
            <w:bottom w:val="none" w:sz="0" w:space="0" w:color="auto"/>
            <w:right w:val="none" w:sz="0" w:space="0" w:color="auto"/>
          </w:divBdr>
        </w:div>
        <w:div w:id="883172354">
          <w:marLeft w:val="640"/>
          <w:marRight w:val="0"/>
          <w:marTop w:val="0"/>
          <w:marBottom w:val="0"/>
          <w:divBdr>
            <w:top w:val="none" w:sz="0" w:space="0" w:color="auto"/>
            <w:left w:val="none" w:sz="0" w:space="0" w:color="auto"/>
            <w:bottom w:val="none" w:sz="0" w:space="0" w:color="auto"/>
            <w:right w:val="none" w:sz="0" w:space="0" w:color="auto"/>
          </w:divBdr>
        </w:div>
        <w:div w:id="1567453208">
          <w:marLeft w:val="640"/>
          <w:marRight w:val="0"/>
          <w:marTop w:val="0"/>
          <w:marBottom w:val="0"/>
          <w:divBdr>
            <w:top w:val="none" w:sz="0" w:space="0" w:color="auto"/>
            <w:left w:val="none" w:sz="0" w:space="0" w:color="auto"/>
            <w:bottom w:val="none" w:sz="0" w:space="0" w:color="auto"/>
            <w:right w:val="none" w:sz="0" w:space="0" w:color="auto"/>
          </w:divBdr>
        </w:div>
        <w:div w:id="411970543">
          <w:marLeft w:val="640"/>
          <w:marRight w:val="0"/>
          <w:marTop w:val="0"/>
          <w:marBottom w:val="0"/>
          <w:divBdr>
            <w:top w:val="none" w:sz="0" w:space="0" w:color="auto"/>
            <w:left w:val="none" w:sz="0" w:space="0" w:color="auto"/>
            <w:bottom w:val="none" w:sz="0" w:space="0" w:color="auto"/>
            <w:right w:val="none" w:sz="0" w:space="0" w:color="auto"/>
          </w:divBdr>
        </w:div>
        <w:div w:id="1245335146">
          <w:marLeft w:val="640"/>
          <w:marRight w:val="0"/>
          <w:marTop w:val="0"/>
          <w:marBottom w:val="0"/>
          <w:divBdr>
            <w:top w:val="none" w:sz="0" w:space="0" w:color="auto"/>
            <w:left w:val="none" w:sz="0" w:space="0" w:color="auto"/>
            <w:bottom w:val="none" w:sz="0" w:space="0" w:color="auto"/>
            <w:right w:val="none" w:sz="0" w:space="0" w:color="auto"/>
          </w:divBdr>
        </w:div>
        <w:div w:id="1921216300">
          <w:marLeft w:val="640"/>
          <w:marRight w:val="0"/>
          <w:marTop w:val="0"/>
          <w:marBottom w:val="0"/>
          <w:divBdr>
            <w:top w:val="none" w:sz="0" w:space="0" w:color="auto"/>
            <w:left w:val="none" w:sz="0" w:space="0" w:color="auto"/>
            <w:bottom w:val="none" w:sz="0" w:space="0" w:color="auto"/>
            <w:right w:val="none" w:sz="0" w:space="0" w:color="auto"/>
          </w:divBdr>
        </w:div>
        <w:div w:id="879315851">
          <w:marLeft w:val="640"/>
          <w:marRight w:val="0"/>
          <w:marTop w:val="0"/>
          <w:marBottom w:val="0"/>
          <w:divBdr>
            <w:top w:val="none" w:sz="0" w:space="0" w:color="auto"/>
            <w:left w:val="none" w:sz="0" w:space="0" w:color="auto"/>
            <w:bottom w:val="none" w:sz="0" w:space="0" w:color="auto"/>
            <w:right w:val="none" w:sz="0" w:space="0" w:color="auto"/>
          </w:divBdr>
        </w:div>
        <w:div w:id="145366522">
          <w:marLeft w:val="640"/>
          <w:marRight w:val="0"/>
          <w:marTop w:val="0"/>
          <w:marBottom w:val="0"/>
          <w:divBdr>
            <w:top w:val="none" w:sz="0" w:space="0" w:color="auto"/>
            <w:left w:val="none" w:sz="0" w:space="0" w:color="auto"/>
            <w:bottom w:val="none" w:sz="0" w:space="0" w:color="auto"/>
            <w:right w:val="none" w:sz="0" w:space="0" w:color="auto"/>
          </w:divBdr>
        </w:div>
        <w:div w:id="1997998548">
          <w:marLeft w:val="640"/>
          <w:marRight w:val="0"/>
          <w:marTop w:val="0"/>
          <w:marBottom w:val="0"/>
          <w:divBdr>
            <w:top w:val="none" w:sz="0" w:space="0" w:color="auto"/>
            <w:left w:val="none" w:sz="0" w:space="0" w:color="auto"/>
            <w:bottom w:val="none" w:sz="0" w:space="0" w:color="auto"/>
            <w:right w:val="none" w:sz="0" w:space="0" w:color="auto"/>
          </w:divBdr>
        </w:div>
        <w:div w:id="1664627711">
          <w:marLeft w:val="640"/>
          <w:marRight w:val="0"/>
          <w:marTop w:val="0"/>
          <w:marBottom w:val="0"/>
          <w:divBdr>
            <w:top w:val="none" w:sz="0" w:space="0" w:color="auto"/>
            <w:left w:val="none" w:sz="0" w:space="0" w:color="auto"/>
            <w:bottom w:val="none" w:sz="0" w:space="0" w:color="auto"/>
            <w:right w:val="none" w:sz="0" w:space="0" w:color="auto"/>
          </w:divBdr>
        </w:div>
        <w:div w:id="802887191">
          <w:marLeft w:val="640"/>
          <w:marRight w:val="0"/>
          <w:marTop w:val="0"/>
          <w:marBottom w:val="0"/>
          <w:divBdr>
            <w:top w:val="none" w:sz="0" w:space="0" w:color="auto"/>
            <w:left w:val="none" w:sz="0" w:space="0" w:color="auto"/>
            <w:bottom w:val="none" w:sz="0" w:space="0" w:color="auto"/>
            <w:right w:val="none" w:sz="0" w:space="0" w:color="auto"/>
          </w:divBdr>
        </w:div>
        <w:div w:id="961230088">
          <w:marLeft w:val="640"/>
          <w:marRight w:val="0"/>
          <w:marTop w:val="0"/>
          <w:marBottom w:val="0"/>
          <w:divBdr>
            <w:top w:val="none" w:sz="0" w:space="0" w:color="auto"/>
            <w:left w:val="none" w:sz="0" w:space="0" w:color="auto"/>
            <w:bottom w:val="none" w:sz="0" w:space="0" w:color="auto"/>
            <w:right w:val="none" w:sz="0" w:space="0" w:color="auto"/>
          </w:divBdr>
        </w:div>
        <w:div w:id="269438286">
          <w:marLeft w:val="640"/>
          <w:marRight w:val="0"/>
          <w:marTop w:val="0"/>
          <w:marBottom w:val="0"/>
          <w:divBdr>
            <w:top w:val="none" w:sz="0" w:space="0" w:color="auto"/>
            <w:left w:val="none" w:sz="0" w:space="0" w:color="auto"/>
            <w:bottom w:val="none" w:sz="0" w:space="0" w:color="auto"/>
            <w:right w:val="none" w:sz="0" w:space="0" w:color="auto"/>
          </w:divBdr>
        </w:div>
        <w:div w:id="1538816834">
          <w:marLeft w:val="640"/>
          <w:marRight w:val="0"/>
          <w:marTop w:val="0"/>
          <w:marBottom w:val="0"/>
          <w:divBdr>
            <w:top w:val="none" w:sz="0" w:space="0" w:color="auto"/>
            <w:left w:val="none" w:sz="0" w:space="0" w:color="auto"/>
            <w:bottom w:val="none" w:sz="0" w:space="0" w:color="auto"/>
            <w:right w:val="none" w:sz="0" w:space="0" w:color="auto"/>
          </w:divBdr>
        </w:div>
        <w:div w:id="1998412036">
          <w:marLeft w:val="640"/>
          <w:marRight w:val="0"/>
          <w:marTop w:val="0"/>
          <w:marBottom w:val="0"/>
          <w:divBdr>
            <w:top w:val="none" w:sz="0" w:space="0" w:color="auto"/>
            <w:left w:val="none" w:sz="0" w:space="0" w:color="auto"/>
            <w:bottom w:val="none" w:sz="0" w:space="0" w:color="auto"/>
            <w:right w:val="none" w:sz="0" w:space="0" w:color="auto"/>
          </w:divBdr>
        </w:div>
        <w:div w:id="1096898534">
          <w:marLeft w:val="640"/>
          <w:marRight w:val="0"/>
          <w:marTop w:val="0"/>
          <w:marBottom w:val="0"/>
          <w:divBdr>
            <w:top w:val="none" w:sz="0" w:space="0" w:color="auto"/>
            <w:left w:val="none" w:sz="0" w:space="0" w:color="auto"/>
            <w:bottom w:val="none" w:sz="0" w:space="0" w:color="auto"/>
            <w:right w:val="none" w:sz="0" w:space="0" w:color="auto"/>
          </w:divBdr>
        </w:div>
        <w:div w:id="1622803141">
          <w:marLeft w:val="640"/>
          <w:marRight w:val="0"/>
          <w:marTop w:val="0"/>
          <w:marBottom w:val="0"/>
          <w:divBdr>
            <w:top w:val="none" w:sz="0" w:space="0" w:color="auto"/>
            <w:left w:val="none" w:sz="0" w:space="0" w:color="auto"/>
            <w:bottom w:val="none" w:sz="0" w:space="0" w:color="auto"/>
            <w:right w:val="none" w:sz="0" w:space="0" w:color="auto"/>
          </w:divBdr>
        </w:div>
        <w:div w:id="259996762">
          <w:marLeft w:val="640"/>
          <w:marRight w:val="0"/>
          <w:marTop w:val="0"/>
          <w:marBottom w:val="0"/>
          <w:divBdr>
            <w:top w:val="none" w:sz="0" w:space="0" w:color="auto"/>
            <w:left w:val="none" w:sz="0" w:space="0" w:color="auto"/>
            <w:bottom w:val="none" w:sz="0" w:space="0" w:color="auto"/>
            <w:right w:val="none" w:sz="0" w:space="0" w:color="auto"/>
          </w:divBdr>
        </w:div>
        <w:div w:id="1841658994">
          <w:marLeft w:val="640"/>
          <w:marRight w:val="0"/>
          <w:marTop w:val="0"/>
          <w:marBottom w:val="0"/>
          <w:divBdr>
            <w:top w:val="none" w:sz="0" w:space="0" w:color="auto"/>
            <w:left w:val="none" w:sz="0" w:space="0" w:color="auto"/>
            <w:bottom w:val="none" w:sz="0" w:space="0" w:color="auto"/>
            <w:right w:val="none" w:sz="0" w:space="0" w:color="auto"/>
          </w:divBdr>
        </w:div>
        <w:div w:id="1174220911">
          <w:marLeft w:val="640"/>
          <w:marRight w:val="0"/>
          <w:marTop w:val="0"/>
          <w:marBottom w:val="0"/>
          <w:divBdr>
            <w:top w:val="none" w:sz="0" w:space="0" w:color="auto"/>
            <w:left w:val="none" w:sz="0" w:space="0" w:color="auto"/>
            <w:bottom w:val="none" w:sz="0" w:space="0" w:color="auto"/>
            <w:right w:val="none" w:sz="0" w:space="0" w:color="auto"/>
          </w:divBdr>
        </w:div>
        <w:div w:id="581960325">
          <w:marLeft w:val="640"/>
          <w:marRight w:val="0"/>
          <w:marTop w:val="0"/>
          <w:marBottom w:val="0"/>
          <w:divBdr>
            <w:top w:val="none" w:sz="0" w:space="0" w:color="auto"/>
            <w:left w:val="none" w:sz="0" w:space="0" w:color="auto"/>
            <w:bottom w:val="none" w:sz="0" w:space="0" w:color="auto"/>
            <w:right w:val="none" w:sz="0" w:space="0" w:color="auto"/>
          </w:divBdr>
        </w:div>
        <w:div w:id="802695687">
          <w:marLeft w:val="640"/>
          <w:marRight w:val="0"/>
          <w:marTop w:val="0"/>
          <w:marBottom w:val="0"/>
          <w:divBdr>
            <w:top w:val="none" w:sz="0" w:space="0" w:color="auto"/>
            <w:left w:val="none" w:sz="0" w:space="0" w:color="auto"/>
            <w:bottom w:val="none" w:sz="0" w:space="0" w:color="auto"/>
            <w:right w:val="none" w:sz="0" w:space="0" w:color="auto"/>
          </w:divBdr>
        </w:div>
        <w:div w:id="1279604015">
          <w:marLeft w:val="640"/>
          <w:marRight w:val="0"/>
          <w:marTop w:val="0"/>
          <w:marBottom w:val="0"/>
          <w:divBdr>
            <w:top w:val="none" w:sz="0" w:space="0" w:color="auto"/>
            <w:left w:val="none" w:sz="0" w:space="0" w:color="auto"/>
            <w:bottom w:val="none" w:sz="0" w:space="0" w:color="auto"/>
            <w:right w:val="none" w:sz="0" w:space="0" w:color="auto"/>
          </w:divBdr>
        </w:div>
        <w:div w:id="2138377898">
          <w:marLeft w:val="640"/>
          <w:marRight w:val="0"/>
          <w:marTop w:val="0"/>
          <w:marBottom w:val="0"/>
          <w:divBdr>
            <w:top w:val="none" w:sz="0" w:space="0" w:color="auto"/>
            <w:left w:val="none" w:sz="0" w:space="0" w:color="auto"/>
            <w:bottom w:val="none" w:sz="0" w:space="0" w:color="auto"/>
            <w:right w:val="none" w:sz="0" w:space="0" w:color="auto"/>
          </w:divBdr>
        </w:div>
        <w:div w:id="729960007">
          <w:marLeft w:val="640"/>
          <w:marRight w:val="0"/>
          <w:marTop w:val="0"/>
          <w:marBottom w:val="0"/>
          <w:divBdr>
            <w:top w:val="none" w:sz="0" w:space="0" w:color="auto"/>
            <w:left w:val="none" w:sz="0" w:space="0" w:color="auto"/>
            <w:bottom w:val="none" w:sz="0" w:space="0" w:color="auto"/>
            <w:right w:val="none" w:sz="0" w:space="0" w:color="auto"/>
          </w:divBdr>
        </w:div>
        <w:div w:id="175002311">
          <w:marLeft w:val="640"/>
          <w:marRight w:val="0"/>
          <w:marTop w:val="0"/>
          <w:marBottom w:val="0"/>
          <w:divBdr>
            <w:top w:val="none" w:sz="0" w:space="0" w:color="auto"/>
            <w:left w:val="none" w:sz="0" w:space="0" w:color="auto"/>
            <w:bottom w:val="none" w:sz="0" w:space="0" w:color="auto"/>
            <w:right w:val="none" w:sz="0" w:space="0" w:color="auto"/>
          </w:divBdr>
        </w:div>
        <w:div w:id="442267549">
          <w:marLeft w:val="640"/>
          <w:marRight w:val="0"/>
          <w:marTop w:val="0"/>
          <w:marBottom w:val="0"/>
          <w:divBdr>
            <w:top w:val="none" w:sz="0" w:space="0" w:color="auto"/>
            <w:left w:val="none" w:sz="0" w:space="0" w:color="auto"/>
            <w:bottom w:val="none" w:sz="0" w:space="0" w:color="auto"/>
            <w:right w:val="none" w:sz="0" w:space="0" w:color="auto"/>
          </w:divBdr>
        </w:div>
        <w:div w:id="44185756">
          <w:marLeft w:val="640"/>
          <w:marRight w:val="0"/>
          <w:marTop w:val="0"/>
          <w:marBottom w:val="0"/>
          <w:divBdr>
            <w:top w:val="none" w:sz="0" w:space="0" w:color="auto"/>
            <w:left w:val="none" w:sz="0" w:space="0" w:color="auto"/>
            <w:bottom w:val="none" w:sz="0" w:space="0" w:color="auto"/>
            <w:right w:val="none" w:sz="0" w:space="0" w:color="auto"/>
          </w:divBdr>
        </w:div>
        <w:div w:id="1033842284">
          <w:marLeft w:val="640"/>
          <w:marRight w:val="0"/>
          <w:marTop w:val="0"/>
          <w:marBottom w:val="0"/>
          <w:divBdr>
            <w:top w:val="none" w:sz="0" w:space="0" w:color="auto"/>
            <w:left w:val="none" w:sz="0" w:space="0" w:color="auto"/>
            <w:bottom w:val="none" w:sz="0" w:space="0" w:color="auto"/>
            <w:right w:val="none" w:sz="0" w:space="0" w:color="auto"/>
          </w:divBdr>
        </w:div>
        <w:div w:id="1191183597">
          <w:marLeft w:val="640"/>
          <w:marRight w:val="0"/>
          <w:marTop w:val="0"/>
          <w:marBottom w:val="0"/>
          <w:divBdr>
            <w:top w:val="none" w:sz="0" w:space="0" w:color="auto"/>
            <w:left w:val="none" w:sz="0" w:space="0" w:color="auto"/>
            <w:bottom w:val="none" w:sz="0" w:space="0" w:color="auto"/>
            <w:right w:val="none" w:sz="0" w:space="0" w:color="auto"/>
          </w:divBdr>
        </w:div>
        <w:div w:id="361975195">
          <w:marLeft w:val="640"/>
          <w:marRight w:val="0"/>
          <w:marTop w:val="0"/>
          <w:marBottom w:val="0"/>
          <w:divBdr>
            <w:top w:val="none" w:sz="0" w:space="0" w:color="auto"/>
            <w:left w:val="none" w:sz="0" w:space="0" w:color="auto"/>
            <w:bottom w:val="none" w:sz="0" w:space="0" w:color="auto"/>
            <w:right w:val="none" w:sz="0" w:space="0" w:color="auto"/>
          </w:divBdr>
        </w:div>
        <w:div w:id="911159622">
          <w:marLeft w:val="640"/>
          <w:marRight w:val="0"/>
          <w:marTop w:val="0"/>
          <w:marBottom w:val="0"/>
          <w:divBdr>
            <w:top w:val="none" w:sz="0" w:space="0" w:color="auto"/>
            <w:left w:val="none" w:sz="0" w:space="0" w:color="auto"/>
            <w:bottom w:val="none" w:sz="0" w:space="0" w:color="auto"/>
            <w:right w:val="none" w:sz="0" w:space="0" w:color="auto"/>
          </w:divBdr>
        </w:div>
        <w:div w:id="535628986">
          <w:marLeft w:val="640"/>
          <w:marRight w:val="0"/>
          <w:marTop w:val="0"/>
          <w:marBottom w:val="0"/>
          <w:divBdr>
            <w:top w:val="none" w:sz="0" w:space="0" w:color="auto"/>
            <w:left w:val="none" w:sz="0" w:space="0" w:color="auto"/>
            <w:bottom w:val="none" w:sz="0" w:space="0" w:color="auto"/>
            <w:right w:val="none" w:sz="0" w:space="0" w:color="auto"/>
          </w:divBdr>
        </w:div>
        <w:div w:id="1714112430">
          <w:marLeft w:val="640"/>
          <w:marRight w:val="0"/>
          <w:marTop w:val="0"/>
          <w:marBottom w:val="0"/>
          <w:divBdr>
            <w:top w:val="none" w:sz="0" w:space="0" w:color="auto"/>
            <w:left w:val="none" w:sz="0" w:space="0" w:color="auto"/>
            <w:bottom w:val="none" w:sz="0" w:space="0" w:color="auto"/>
            <w:right w:val="none" w:sz="0" w:space="0" w:color="auto"/>
          </w:divBdr>
        </w:div>
        <w:div w:id="808476219">
          <w:marLeft w:val="640"/>
          <w:marRight w:val="0"/>
          <w:marTop w:val="0"/>
          <w:marBottom w:val="0"/>
          <w:divBdr>
            <w:top w:val="none" w:sz="0" w:space="0" w:color="auto"/>
            <w:left w:val="none" w:sz="0" w:space="0" w:color="auto"/>
            <w:bottom w:val="none" w:sz="0" w:space="0" w:color="auto"/>
            <w:right w:val="none" w:sz="0" w:space="0" w:color="auto"/>
          </w:divBdr>
        </w:div>
        <w:div w:id="32850845">
          <w:marLeft w:val="640"/>
          <w:marRight w:val="0"/>
          <w:marTop w:val="0"/>
          <w:marBottom w:val="0"/>
          <w:divBdr>
            <w:top w:val="none" w:sz="0" w:space="0" w:color="auto"/>
            <w:left w:val="none" w:sz="0" w:space="0" w:color="auto"/>
            <w:bottom w:val="none" w:sz="0" w:space="0" w:color="auto"/>
            <w:right w:val="none" w:sz="0" w:space="0" w:color="auto"/>
          </w:divBdr>
        </w:div>
        <w:div w:id="935361036">
          <w:marLeft w:val="640"/>
          <w:marRight w:val="0"/>
          <w:marTop w:val="0"/>
          <w:marBottom w:val="0"/>
          <w:divBdr>
            <w:top w:val="none" w:sz="0" w:space="0" w:color="auto"/>
            <w:left w:val="none" w:sz="0" w:space="0" w:color="auto"/>
            <w:bottom w:val="none" w:sz="0" w:space="0" w:color="auto"/>
            <w:right w:val="none" w:sz="0" w:space="0" w:color="auto"/>
          </w:divBdr>
        </w:div>
        <w:div w:id="2138142896">
          <w:marLeft w:val="640"/>
          <w:marRight w:val="0"/>
          <w:marTop w:val="0"/>
          <w:marBottom w:val="0"/>
          <w:divBdr>
            <w:top w:val="none" w:sz="0" w:space="0" w:color="auto"/>
            <w:left w:val="none" w:sz="0" w:space="0" w:color="auto"/>
            <w:bottom w:val="none" w:sz="0" w:space="0" w:color="auto"/>
            <w:right w:val="none" w:sz="0" w:space="0" w:color="auto"/>
          </w:divBdr>
        </w:div>
        <w:div w:id="62876869">
          <w:marLeft w:val="640"/>
          <w:marRight w:val="0"/>
          <w:marTop w:val="0"/>
          <w:marBottom w:val="0"/>
          <w:divBdr>
            <w:top w:val="none" w:sz="0" w:space="0" w:color="auto"/>
            <w:left w:val="none" w:sz="0" w:space="0" w:color="auto"/>
            <w:bottom w:val="none" w:sz="0" w:space="0" w:color="auto"/>
            <w:right w:val="none" w:sz="0" w:space="0" w:color="auto"/>
          </w:divBdr>
        </w:div>
        <w:div w:id="496387174">
          <w:marLeft w:val="640"/>
          <w:marRight w:val="0"/>
          <w:marTop w:val="0"/>
          <w:marBottom w:val="0"/>
          <w:divBdr>
            <w:top w:val="none" w:sz="0" w:space="0" w:color="auto"/>
            <w:left w:val="none" w:sz="0" w:space="0" w:color="auto"/>
            <w:bottom w:val="none" w:sz="0" w:space="0" w:color="auto"/>
            <w:right w:val="none" w:sz="0" w:space="0" w:color="auto"/>
          </w:divBdr>
        </w:div>
        <w:div w:id="1917203022">
          <w:marLeft w:val="640"/>
          <w:marRight w:val="0"/>
          <w:marTop w:val="0"/>
          <w:marBottom w:val="0"/>
          <w:divBdr>
            <w:top w:val="none" w:sz="0" w:space="0" w:color="auto"/>
            <w:left w:val="none" w:sz="0" w:space="0" w:color="auto"/>
            <w:bottom w:val="none" w:sz="0" w:space="0" w:color="auto"/>
            <w:right w:val="none" w:sz="0" w:space="0" w:color="auto"/>
          </w:divBdr>
        </w:div>
        <w:div w:id="1459302236">
          <w:marLeft w:val="640"/>
          <w:marRight w:val="0"/>
          <w:marTop w:val="0"/>
          <w:marBottom w:val="0"/>
          <w:divBdr>
            <w:top w:val="none" w:sz="0" w:space="0" w:color="auto"/>
            <w:left w:val="none" w:sz="0" w:space="0" w:color="auto"/>
            <w:bottom w:val="none" w:sz="0" w:space="0" w:color="auto"/>
            <w:right w:val="none" w:sz="0" w:space="0" w:color="auto"/>
          </w:divBdr>
        </w:div>
        <w:div w:id="1677687332">
          <w:marLeft w:val="640"/>
          <w:marRight w:val="0"/>
          <w:marTop w:val="0"/>
          <w:marBottom w:val="0"/>
          <w:divBdr>
            <w:top w:val="none" w:sz="0" w:space="0" w:color="auto"/>
            <w:left w:val="none" w:sz="0" w:space="0" w:color="auto"/>
            <w:bottom w:val="none" w:sz="0" w:space="0" w:color="auto"/>
            <w:right w:val="none" w:sz="0" w:space="0" w:color="auto"/>
          </w:divBdr>
        </w:div>
        <w:div w:id="2055620419">
          <w:marLeft w:val="640"/>
          <w:marRight w:val="0"/>
          <w:marTop w:val="0"/>
          <w:marBottom w:val="0"/>
          <w:divBdr>
            <w:top w:val="none" w:sz="0" w:space="0" w:color="auto"/>
            <w:left w:val="none" w:sz="0" w:space="0" w:color="auto"/>
            <w:bottom w:val="none" w:sz="0" w:space="0" w:color="auto"/>
            <w:right w:val="none" w:sz="0" w:space="0" w:color="auto"/>
          </w:divBdr>
        </w:div>
        <w:div w:id="183708403">
          <w:marLeft w:val="640"/>
          <w:marRight w:val="0"/>
          <w:marTop w:val="0"/>
          <w:marBottom w:val="0"/>
          <w:divBdr>
            <w:top w:val="none" w:sz="0" w:space="0" w:color="auto"/>
            <w:left w:val="none" w:sz="0" w:space="0" w:color="auto"/>
            <w:bottom w:val="none" w:sz="0" w:space="0" w:color="auto"/>
            <w:right w:val="none" w:sz="0" w:space="0" w:color="auto"/>
          </w:divBdr>
        </w:div>
        <w:div w:id="1964118454">
          <w:marLeft w:val="640"/>
          <w:marRight w:val="0"/>
          <w:marTop w:val="0"/>
          <w:marBottom w:val="0"/>
          <w:divBdr>
            <w:top w:val="none" w:sz="0" w:space="0" w:color="auto"/>
            <w:left w:val="none" w:sz="0" w:space="0" w:color="auto"/>
            <w:bottom w:val="none" w:sz="0" w:space="0" w:color="auto"/>
            <w:right w:val="none" w:sz="0" w:space="0" w:color="auto"/>
          </w:divBdr>
        </w:div>
        <w:div w:id="184639065">
          <w:marLeft w:val="640"/>
          <w:marRight w:val="0"/>
          <w:marTop w:val="0"/>
          <w:marBottom w:val="0"/>
          <w:divBdr>
            <w:top w:val="none" w:sz="0" w:space="0" w:color="auto"/>
            <w:left w:val="none" w:sz="0" w:space="0" w:color="auto"/>
            <w:bottom w:val="none" w:sz="0" w:space="0" w:color="auto"/>
            <w:right w:val="none" w:sz="0" w:space="0" w:color="auto"/>
          </w:divBdr>
        </w:div>
        <w:div w:id="1399479057">
          <w:marLeft w:val="640"/>
          <w:marRight w:val="0"/>
          <w:marTop w:val="0"/>
          <w:marBottom w:val="0"/>
          <w:divBdr>
            <w:top w:val="none" w:sz="0" w:space="0" w:color="auto"/>
            <w:left w:val="none" w:sz="0" w:space="0" w:color="auto"/>
            <w:bottom w:val="none" w:sz="0" w:space="0" w:color="auto"/>
            <w:right w:val="none" w:sz="0" w:space="0" w:color="auto"/>
          </w:divBdr>
        </w:div>
        <w:div w:id="800653563">
          <w:marLeft w:val="640"/>
          <w:marRight w:val="0"/>
          <w:marTop w:val="0"/>
          <w:marBottom w:val="0"/>
          <w:divBdr>
            <w:top w:val="none" w:sz="0" w:space="0" w:color="auto"/>
            <w:left w:val="none" w:sz="0" w:space="0" w:color="auto"/>
            <w:bottom w:val="none" w:sz="0" w:space="0" w:color="auto"/>
            <w:right w:val="none" w:sz="0" w:space="0" w:color="auto"/>
          </w:divBdr>
        </w:div>
        <w:div w:id="1939604884">
          <w:marLeft w:val="640"/>
          <w:marRight w:val="0"/>
          <w:marTop w:val="0"/>
          <w:marBottom w:val="0"/>
          <w:divBdr>
            <w:top w:val="none" w:sz="0" w:space="0" w:color="auto"/>
            <w:left w:val="none" w:sz="0" w:space="0" w:color="auto"/>
            <w:bottom w:val="none" w:sz="0" w:space="0" w:color="auto"/>
            <w:right w:val="none" w:sz="0" w:space="0" w:color="auto"/>
          </w:divBdr>
        </w:div>
        <w:div w:id="706949231">
          <w:marLeft w:val="640"/>
          <w:marRight w:val="0"/>
          <w:marTop w:val="0"/>
          <w:marBottom w:val="0"/>
          <w:divBdr>
            <w:top w:val="none" w:sz="0" w:space="0" w:color="auto"/>
            <w:left w:val="none" w:sz="0" w:space="0" w:color="auto"/>
            <w:bottom w:val="none" w:sz="0" w:space="0" w:color="auto"/>
            <w:right w:val="none" w:sz="0" w:space="0" w:color="auto"/>
          </w:divBdr>
        </w:div>
        <w:div w:id="480778851">
          <w:marLeft w:val="640"/>
          <w:marRight w:val="0"/>
          <w:marTop w:val="0"/>
          <w:marBottom w:val="0"/>
          <w:divBdr>
            <w:top w:val="none" w:sz="0" w:space="0" w:color="auto"/>
            <w:left w:val="none" w:sz="0" w:space="0" w:color="auto"/>
            <w:bottom w:val="none" w:sz="0" w:space="0" w:color="auto"/>
            <w:right w:val="none" w:sz="0" w:space="0" w:color="auto"/>
          </w:divBdr>
        </w:div>
        <w:div w:id="694381001">
          <w:marLeft w:val="640"/>
          <w:marRight w:val="0"/>
          <w:marTop w:val="0"/>
          <w:marBottom w:val="0"/>
          <w:divBdr>
            <w:top w:val="none" w:sz="0" w:space="0" w:color="auto"/>
            <w:left w:val="none" w:sz="0" w:space="0" w:color="auto"/>
            <w:bottom w:val="none" w:sz="0" w:space="0" w:color="auto"/>
            <w:right w:val="none" w:sz="0" w:space="0" w:color="auto"/>
          </w:divBdr>
        </w:div>
        <w:div w:id="637566453">
          <w:marLeft w:val="640"/>
          <w:marRight w:val="0"/>
          <w:marTop w:val="0"/>
          <w:marBottom w:val="0"/>
          <w:divBdr>
            <w:top w:val="none" w:sz="0" w:space="0" w:color="auto"/>
            <w:left w:val="none" w:sz="0" w:space="0" w:color="auto"/>
            <w:bottom w:val="none" w:sz="0" w:space="0" w:color="auto"/>
            <w:right w:val="none" w:sz="0" w:space="0" w:color="auto"/>
          </w:divBdr>
        </w:div>
        <w:div w:id="37560118">
          <w:marLeft w:val="640"/>
          <w:marRight w:val="0"/>
          <w:marTop w:val="0"/>
          <w:marBottom w:val="0"/>
          <w:divBdr>
            <w:top w:val="none" w:sz="0" w:space="0" w:color="auto"/>
            <w:left w:val="none" w:sz="0" w:space="0" w:color="auto"/>
            <w:bottom w:val="none" w:sz="0" w:space="0" w:color="auto"/>
            <w:right w:val="none" w:sz="0" w:space="0" w:color="auto"/>
          </w:divBdr>
        </w:div>
        <w:div w:id="1589189878">
          <w:marLeft w:val="640"/>
          <w:marRight w:val="0"/>
          <w:marTop w:val="0"/>
          <w:marBottom w:val="0"/>
          <w:divBdr>
            <w:top w:val="none" w:sz="0" w:space="0" w:color="auto"/>
            <w:left w:val="none" w:sz="0" w:space="0" w:color="auto"/>
            <w:bottom w:val="none" w:sz="0" w:space="0" w:color="auto"/>
            <w:right w:val="none" w:sz="0" w:space="0" w:color="auto"/>
          </w:divBdr>
        </w:div>
        <w:div w:id="1185483210">
          <w:marLeft w:val="640"/>
          <w:marRight w:val="0"/>
          <w:marTop w:val="0"/>
          <w:marBottom w:val="0"/>
          <w:divBdr>
            <w:top w:val="none" w:sz="0" w:space="0" w:color="auto"/>
            <w:left w:val="none" w:sz="0" w:space="0" w:color="auto"/>
            <w:bottom w:val="none" w:sz="0" w:space="0" w:color="auto"/>
            <w:right w:val="none" w:sz="0" w:space="0" w:color="auto"/>
          </w:divBdr>
        </w:div>
        <w:div w:id="1259755598">
          <w:marLeft w:val="640"/>
          <w:marRight w:val="0"/>
          <w:marTop w:val="0"/>
          <w:marBottom w:val="0"/>
          <w:divBdr>
            <w:top w:val="none" w:sz="0" w:space="0" w:color="auto"/>
            <w:left w:val="none" w:sz="0" w:space="0" w:color="auto"/>
            <w:bottom w:val="none" w:sz="0" w:space="0" w:color="auto"/>
            <w:right w:val="none" w:sz="0" w:space="0" w:color="auto"/>
          </w:divBdr>
        </w:div>
        <w:div w:id="739982001">
          <w:marLeft w:val="640"/>
          <w:marRight w:val="0"/>
          <w:marTop w:val="0"/>
          <w:marBottom w:val="0"/>
          <w:divBdr>
            <w:top w:val="none" w:sz="0" w:space="0" w:color="auto"/>
            <w:left w:val="none" w:sz="0" w:space="0" w:color="auto"/>
            <w:bottom w:val="none" w:sz="0" w:space="0" w:color="auto"/>
            <w:right w:val="none" w:sz="0" w:space="0" w:color="auto"/>
          </w:divBdr>
        </w:div>
        <w:div w:id="109931595">
          <w:marLeft w:val="640"/>
          <w:marRight w:val="0"/>
          <w:marTop w:val="0"/>
          <w:marBottom w:val="0"/>
          <w:divBdr>
            <w:top w:val="none" w:sz="0" w:space="0" w:color="auto"/>
            <w:left w:val="none" w:sz="0" w:space="0" w:color="auto"/>
            <w:bottom w:val="none" w:sz="0" w:space="0" w:color="auto"/>
            <w:right w:val="none" w:sz="0" w:space="0" w:color="auto"/>
          </w:divBdr>
        </w:div>
        <w:div w:id="1245532670">
          <w:marLeft w:val="640"/>
          <w:marRight w:val="0"/>
          <w:marTop w:val="0"/>
          <w:marBottom w:val="0"/>
          <w:divBdr>
            <w:top w:val="none" w:sz="0" w:space="0" w:color="auto"/>
            <w:left w:val="none" w:sz="0" w:space="0" w:color="auto"/>
            <w:bottom w:val="none" w:sz="0" w:space="0" w:color="auto"/>
            <w:right w:val="none" w:sz="0" w:space="0" w:color="auto"/>
          </w:divBdr>
        </w:div>
        <w:div w:id="295189134">
          <w:marLeft w:val="640"/>
          <w:marRight w:val="0"/>
          <w:marTop w:val="0"/>
          <w:marBottom w:val="0"/>
          <w:divBdr>
            <w:top w:val="none" w:sz="0" w:space="0" w:color="auto"/>
            <w:left w:val="none" w:sz="0" w:space="0" w:color="auto"/>
            <w:bottom w:val="none" w:sz="0" w:space="0" w:color="auto"/>
            <w:right w:val="none" w:sz="0" w:space="0" w:color="auto"/>
          </w:divBdr>
        </w:div>
        <w:div w:id="1216815848">
          <w:marLeft w:val="640"/>
          <w:marRight w:val="0"/>
          <w:marTop w:val="0"/>
          <w:marBottom w:val="0"/>
          <w:divBdr>
            <w:top w:val="none" w:sz="0" w:space="0" w:color="auto"/>
            <w:left w:val="none" w:sz="0" w:space="0" w:color="auto"/>
            <w:bottom w:val="none" w:sz="0" w:space="0" w:color="auto"/>
            <w:right w:val="none" w:sz="0" w:space="0" w:color="auto"/>
          </w:divBdr>
        </w:div>
        <w:div w:id="1543470354">
          <w:marLeft w:val="640"/>
          <w:marRight w:val="0"/>
          <w:marTop w:val="0"/>
          <w:marBottom w:val="0"/>
          <w:divBdr>
            <w:top w:val="none" w:sz="0" w:space="0" w:color="auto"/>
            <w:left w:val="none" w:sz="0" w:space="0" w:color="auto"/>
            <w:bottom w:val="none" w:sz="0" w:space="0" w:color="auto"/>
            <w:right w:val="none" w:sz="0" w:space="0" w:color="auto"/>
          </w:divBdr>
        </w:div>
        <w:div w:id="1193151036">
          <w:marLeft w:val="640"/>
          <w:marRight w:val="0"/>
          <w:marTop w:val="0"/>
          <w:marBottom w:val="0"/>
          <w:divBdr>
            <w:top w:val="none" w:sz="0" w:space="0" w:color="auto"/>
            <w:left w:val="none" w:sz="0" w:space="0" w:color="auto"/>
            <w:bottom w:val="none" w:sz="0" w:space="0" w:color="auto"/>
            <w:right w:val="none" w:sz="0" w:space="0" w:color="auto"/>
          </w:divBdr>
        </w:div>
        <w:div w:id="740522843">
          <w:marLeft w:val="640"/>
          <w:marRight w:val="0"/>
          <w:marTop w:val="0"/>
          <w:marBottom w:val="0"/>
          <w:divBdr>
            <w:top w:val="none" w:sz="0" w:space="0" w:color="auto"/>
            <w:left w:val="none" w:sz="0" w:space="0" w:color="auto"/>
            <w:bottom w:val="none" w:sz="0" w:space="0" w:color="auto"/>
            <w:right w:val="none" w:sz="0" w:space="0" w:color="auto"/>
          </w:divBdr>
        </w:div>
        <w:div w:id="479659351">
          <w:marLeft w:val="640"/>
          <w:marRight w:val="0"/>
          <w:marTop w:val="0"/>
          <w:marBottom w:val="0"/>
          <w:divBdr>
            <w:top w:val="none" w:sz="0" w:space="0" w:color="auto"/>
            <w:left w:val="none" w:sz="0" w:space="0" w:color="auto"/>
            <w:bottom w:val="none" w:sz="0" w:space="0" w:color="auto"/>
            <w:right w:val="none" w:sz="0" w:space="0" w:color="auto"/>
          </w:divBdr>
        </w:div>
        <w:div w:id="1663042692">
          <w:marLeft w:val="640"/>
          <w:marRight w:val="0"/>
          <w:marTop w:val="0"/>
          <w:marBottom w:val="0"/>
          <w:divBdr>
            <w:top w:val="none" w:sz="0" w:space="0" w:color="auto"/>
            <w:left w:val="none" w:sz="0" w:space="0" w:color="auto"/>
            <w:bottom w:val="none" w:sz="0" w:space="0" w:color="auto"/>
            <w:right w:val="none" w:sz="0" w:space="0" w:color="auto"/>
          </w:divBdr>
        </w:div>
        <w:div w:id="665741718">
          <w:marLeft w:val="640"/>
          <w:marRight w:val="0"/>
          <w:marTop w:val="0"/>
          <w:marBottom w:val="0"/>
          <w:divBdr>
            <w:top w:val="none" w:sz="0" w:space="0" w:color="auto"/>
            <w:left w:val="none" w:sz="0" w:space="0" w:color="auto"/>
            <w:bottom w:val="none" w:sz="0" w:space="0" w:color="auto"/>
            <w:right w:val="none" w:sz="0" w:space="0" w:color="auto"/>
          </w:divBdr>
        </w:div>
        <w:div w:id="2064257845">
          <w:marLeft w:val="640"/>
          <w:marRight w:val="0"/>
          <w:marTop w:val="0"/>
          <w:marBottom w:val="0"/>
          <w:divBdr>
            <w:top w:val="none" w:sz="0" w:space="0" w:color="auto"/>
            <w:left w:val="none" w:sz="0" w:space="0" w:color="auto"/>
            <w:bottom w:val="none" w:sz="0" w:space="0" w:color="auto"/>
            <w:right w:val="none" w:sz="0" w:space="0" w:color="auto"/>
          </w:divBdr>
        </w:div>
        <w:div w:id="1383671944">
          <w:marLeft w:val="640"/>
          <w:marRight w:val="0"/>
          <w:marTop w:val="0"/>
          <w:marBottom w:val="0"/>
          <w:divBdr>
            <w:top w:val="none" w:sz="0" w:space="0" w:color="auto"/>
            <w:left w:val="none" w:sz="0" w:space="0" w:color="auto"/>
            <w:bottom w:val="none" w:sz="0" w:space="0" w:color="auto"/>
            <w:right w:val="none" w:sz="0" w:space="0" w:color="auto"/>
          </w:divBdr>
        </w:div>
        <w:div w:id="1638336843">
          <w:marLeft w:val="640"/>
          <w:marRight w:val="0"/>
          <w:marTop w:val="0"/>
          <w:marBottom w:val="0"/>
          <w:divBdr>
            <w:top w:val="none" w:sz="0" w:space="0" w:color="auto"/>
            <w:left w:val="none" w:sz="0" w:space="0" w:color="auto"/>
            <w:bottom w:val="none" w:sz="0" w:space="0" w:color="auto"/>
            <w:right w:val="none" w:sz="0" w:space="0" w:color="auto"/>
          </w:divBdr>
        </w:div>
        <w:div w:id="358509181">
          <w:marLeft w:val="640"/>
          <w:marRight w:val="0"/>
          <w:marTop w:val="0"/>
          <w:marBottom w:val="0"/>
          <w:divBdr>
            <w:top w:val="none" w:sz="0" w:space="0" w:color="auto"/>
            <w:left w:val="none" w:sz="0" w:space="0" w:color="auto"/>
            <w:bottom w:val="none" w:sz="0" w:space="0" w:color="auto"/>
            <w:right w:val="none" w:sz="0" w:space="0" w:color="auto"/>
          </w:divBdr>
        </w:div>
        <w:div w:id="54162813">
          <w:marLeft w:val="640"/>
          <w:marRight w:val="0"/>
          <w:marTop w:val="0"/>
          <w:marBottom w:val="0"/>
          <w:divBdr>
            <w:top w:val="none" w:sz="0" w:space="0" w:color="auto"/>
            <w:left w:val="none" w:sz="0" w:space="0" w:color="auto"/>
            <w:bottom w:val="none" w:sz="0" w:space="0" w:color="auto"/>
            <w:right w:val="none" w:sz="0" w:space="0" w:color="auto"/>
          </w:divBdr>
        </w:div>
        <w:div w:id="887836945">
          <w:marLeft w:val="640"/>
          <w:marRight w:val="0"/>
          <w:marTop w:val="0"/>
          <w:marBottom w:val="0"/>
          <w:divBdr>
            <w:top w:val="none" w:sz="0" w:space="0" w:color="auto"/>
            <w:left w:val="none" w:sz="0" w:space="0" w:color="auto"/>
            <w:bottom w:val="none" w:sz="0" w:space="0" w:color="auto"/>
            <w:right w:val="none" w:sz="0" w:space="0" w:color="auto"/>
          </w:divBdr>
        </w:div>
        <w:div w:id="1806192067">
          <w:marLeft w:val="640"/>
          <w:marRight w:val="0"/>
          <w:marTop w:val="0"/>
          <w:marBottom w:val="0"/>
          <w:divBdr>
            <w:top w:val="none" w:sz="0" w:space="0" w:color="auto"/>
            <w:left w:val="none" w:sz="0" w:space="0" w:color="auto"/>
            <w:bottom w:val="none" w:sz="0" w:space="0" w:color="auto"/>
            <w:right w:val="none" w:sz="0" w:space="0" w:color="auto"/>
          </w:divBdr>
        </w:div>
        <w:div w:id="1274437091">
          <w:marLeft w:val="640"/>
          <w:marRight w:val="0"/>
          <w:marTop w:val="0"/>
          <w:marBottom w:val="0"/>
          <w:divBdr>
            <w:top w:val="none" w:sz="0" w:space="0" w:color="auto"/>
            <w:left w:val="none" w:sz="0" w:space="0" w:color="auto"/>
            <w:bottom w:val="none" w:sz="0" w:space="0" w:color="auto"/>
            <w:right w:val="none" w:sz="0" w:space="0" w:color="auto"/>
          </w:divBdr>
        </w:div>
        <w:div w:id="861405315">
          <w:marLeft w:val="640"/>
          <w:marRight w:val="0"/>
          <w:marTop w:val="0"/>
          <w:marBottom w:val="0"/>
          <w:divBdr>
            <w:top w:val="none" w:sz="0" w:space="0" w:color="auto"/>
            <w:left w:val="none" w:sz="0" w:space="0" w:color="auto"/>
            <w:bottom w:val="none" w:sz="0" w:space="0" w:color="auto"/>
            <w:right w:val="none" w:sz="0" w:space="0" w:color="auto"/>
          </w:divBdr>
        </w:div>
        <w:div w:id="1619603840">
          <w:marLeft w:val="640"/>
          <w:marRight w:val="0"/>
          <w:marTop w:val="0"/>
          <w:marBottom w:val="0"/>
          <w:divBdr>
            <w:top w:val="none" w:sz="0" w:space="0" w:color="auto"/>
            <w:left w:val="none" w:sz="0" w:space="0" w:color="auto"/>
            <w:bottom w:val="none" w:sz="0" w:space="0" w:color="auto"/>
            <w:right w:val="none" w:sz="0" w:space="0" w:color="auto"/>
          </w:divBdr>
        </w:div>
        <w:div w:id="1298802967">
          <w:marLeft w:val="640"/>
          <w:marRight w:val="0"/>
          <w:marTop w:val="0"/>
          <w:marBottom w:val="0"/>
          <w:divBdr>
            <w:top w:val="none" w:sz="0" w:space="0" w:color="auto"/>
            <w:left w:val="none" w:sz="0" w:space="0" w:color="auto"/>
            <w:bottom w:val="none" w:sz="0" w:space="0" w:color="auto"/>
            <w:right w:val="none" w:sz="0" w:space="0" w:color="auto"/>
          </w:divBdr>
        </w:div>
        <w:div w:id="1243636408">
          <w:marLeft w:val="640"/>
          <w:marRight w:val="0"/>
          <w:marTop w:val="0"/>
          <w:marBottom w:val="0"/>
          <w:divBdr>
            <w:top w:val="none" w:sz="0" w:space="0" w:color="auto"/>
            <w:left w:val="none" w:sz="0" w:space="0" w:color="auto"/>
            <w:bottom w:val="none" w:sz="0" w:space="0" w:color="auto"/>
            <w:right w:val="none" w:sz="0" w:space="0" w:color="auto"/>
          </w:divBdr>
        </w:div>
        <w:div w:id="1795366860">
          <w:marLeft w:val="640"/>
          <w:marRight w:val="0"/>
          <w:marTop w:val="0"/>
          <w:marBottom w:val="0"/>
          <w:divBdr>
            <w:top w:val="none" w:sz="0" w:space="0" w:color="auto"/>
            <w:left w:val="none" w:sz="0" w:space="0" w:color="auto"/>
            <w:bottom w:val="none" w:sz="0" w:space="0" w:color="auto"/>
            <w:right w:val="none" w:sz="0" w:space="0" w:color="auto"/>
          </w:divBdr>
        </w:div>
        <w:div w:id="926232200">
          <w:marLeft w:val="640"/>
          <w:marRight w:val="0"/>
          <w:marTop w:val="0"/>
          <w:marBottom w:val="0"/>
          <w:divBdr>
            <w:top w:val="none" w:sz="0" w:space="0" w:color="auto"/>
            <w:left w:val="none" w:sz="0" w:space="0" w:color="auto"/>
            <w:bottom w:val="none" w:sz="0" w:space="0" w:color="auto"/>
            <w:right w:val="none" w:sz="0" w:space="0" w:color="auto"/>
          </w:divBdr>
        </w:div>
        <w:div w:id="1554192439">
          <w:marLeft w:val="640"/>
          <w:marRight w:val="0"/>
          <w:marTop w:val="0"/>
          <w:marBottom w:val="0"/>
          <w:divBdr>
            <w:top w:val="none" w:sz="0" w:space="0" w:color="auto"/>
            <w:left w:val="none" w:sz="0" w:space="0" w:color="auto"/>
            <w:bottom w:val="none" w:sz="0" w:space="0" w:color="auto"/>
            <w:right w:val="none" w:sz="0" w:space="0" w:color="auto"/>
          </w:divBdr>
        </w:div>
        <w:div w:id="814293370">
          <w:marLeft w:val="640"/>
          <w:marRight w:val="0"/>
          <w:marTop w:val="0"/>
          <w:marBottom w:val="0"/>
          <w:divBdr>
            <w:top w:val="none" w:sz="0" w:space="0" w:color="auto"/>
            <w:left w:val="none" w:sz="0" w:space="0" w:color="auto"/>
            <w:bottom w:val="none" w:sz="0" w:space="0" w:color="auto"/>
            <w:right w:val="none" w:sz="0" w:space="0" w:color="auto"/>
          </w:divBdr>
        </w:div>
        <w:div w:id="398289933">
          <w:marLeft w:val="640"/>
          <w:marRight w:val="0"/>
          <w:marTop w:val="0"/>
          <w:marBottom w:val="0"/>
          <w:divBdr>
            <w:top w:val="none" w:sz="0" w:space="0" w:color="auto"/>
            <w:left w:val="none" w:sz="0" w:space="0" w:color="auto"/>
            <w:bottom w:val="none" w:sz="0" w:space="0" w:color="auto"/>
            <w:right w:val="none" w:sz="0" w:space="0" w:color="auto"/>
          </w:divBdr>
        </w:div>
        <w:div w:id="1006597453">
          <w:marLeft w:val="640"/>
          <w:marRight w:val="0"/>
          <w:marTop w:val="0"/>
          <w:marBottom w:val="0"/>
          <w:divBdr>
            <w:top w:val="none" w:sz="0" w:space="0" w:color="auto"/>
            <w:left w:val="none" w:sz="0" w:space="0" w:color="auto"/>
            <w:bottom w:val="none" w:sz="0" w:space="0" w:color="auto"/>
            <w:right w:val="none" w:sz="0" w:space="0" w:color="auto"/>
          </w:divBdr>
        </w:div>
        <w:div w:id="203175126">
          <w:marLeft w:val="640"/>
          <w:marRight w:val="0"/>
          <w:marTop w:val="0"/>
          <w:marBottom w:val="0"/>
          <w:divBdr>
            <w:top w:val="none" w:sz="0" w:space="0" w:color="auto"/>
            <w:left w:val="none" w:sz="0" w:space="0" w:color="auto"/>
            <w:bottom w:val="none" w:sz="0" w:space="0" w:color="auto"/>
            <w:right w:val="none" w:sz="0" w:space="0" w:color="auto"/>
          </w:divBdr>
        </w:div>
        <w:div w:id="189026755">
          <w:marLeft w:val="640"/>
          <w:marRight w:val="0"/>
          <w:marTop w:val="0"/>
          <w:marBottom w:val="0"/>
          <w:divBdr>
            <w:top w:val="none" w:sz="0" w:space="0" w:color="auto"/>
            <w:left w:val="none" w:sz="0" w:space="0" w:color="auto"/>
            <w:bottom w:val="none" w:sz="0" w:space="0" w:color="auto"/>
            <w:right w:val="none" w:sz="0" w:space="0" w:color="auto"/>
          </w:divBdr>
        </w:div>
      </w:divsChild>
    </w:div>
    <w:div w:id="358286774">
      <w:marLeft w:val="640"/>
      <w:marRight w:val="0"/>
      <w:marTop w:val="0"/>
      <w:marBottom w:val="0"/>
      <w:divBdr>
        <w:top w:val="none" w:sz="0" w:space="0" w:color="auto"/>
        <w:left w:val="none" w:sz="0" w:space="0" w:color="auto"/>
        <w:bottom w:val="none" w:sz="0" w:space="0" w:color="auto"/>
        <w:right w:val="none" w:sz="0" w:space="0" w:color="auto"/>
      </w:divBdr>
    </w:div>
    <w:div w:id="358745923">
      <w:marLeft w:val="640"/>
      <w:marRight w:val="0"/>
      <w:marTop w:val="0"/>
      <w:marBottom w:val="0"/>
      <w:divBdr>
        <w:top w:val="none" w:sz="0" w:space="0" w:color="auto"/>
        <w:left w:val="none" w:sz="0" w:space="0" w:color="auto"/>
        <w:bottom w:val="none" w:sz="0" w:space="0" w:color="auto"/>
        <w:right w:val="none" w:sz="0" w:space="0" w:color="auto"/>
      </w:divBdr>
    </w:div>
    <w:div w:id="360589450">
      <w:marLeft w:val="640"/>
      <w:marRight w:val="0"/>
      <w:marTop w:val="0"/>
      <w:marBottom w:val="0"/>
      <w:divBdr>
        <w:top w:val="none" w:sz="0" w:space="0" w:color="auto"/>
        <w:left w:val="none" w:sz="0" w:space="0" w:color="auto"/>
        <w:bottom w:val="none" w:sz="0" w:space="0" w:color="auto"/>
        <w:right w:val="none" w:sz="0" w:space="0" w:color="auto"/>
      </w:divBdr>
    </w:div>
    <w:div w:id="360787494">
      <w:marLeft w:val="640"/>
      <w:marRight w:val="0"/>
      <w:marTop w:val="0"/>
      <w:marBottom w:val="0"/>
      <w:divBdr>
        <w:top w:val="none" w:sz="0" w:space="0" w:color="auto"/>
        <w:left w:val="none" w:sz="0" w:space="0" w:color="auto"/>
        <w:bottom w:val="none" w:sz="0" w:space="0" w:color="auto"/>
        <w:right w:val="none" w:sz="0" w:space="0" w:color="auto"/>
      </w:divBdr>
    </w:div>
    <w:div w:id="361133413">
      <w:marLeft w:val="640"/>
      <w:marRight w:val="0"/>
      <w:marTop w:val="0"/>
      <w:marBottom w:val="0"/>
      <w:divBdr>
        <w:top w:val="none" w:sz="0" w:space="0" w:color="auto"/>
        <w:left w:val="none" w:sz="0" w:space="0" w:color="auto"/>
        <w:bottom w:val="none" w:sz="0" w:space="0" w:color="auto"/>
        <w:right w:val="none" w:sz="0" w:space="0" w:color="auto"/>
      </w:divBdr>
    </w:div>
    <w:div w:id="361327934">
      <w:marLeft w:val="640"/>
      <w:marRight w:val="0"/>
      <w:marTop w:val="0"/>
      <w:marBottom w:val="0"/>
      <w:divBdr>
        <w:top w:val="none" w:sz="0" w:space="0" w:color="auto"/>
        <w:left w:val="none" w:sz="0" w:space="0" w:color="auto"/>
        <w:bottom w:val="none" w:sz="0" w:space="0" w:color="auto"/>
        <w:right w:val="none" w:sz="0" w:space="0" w:color="auto"/>
      </w:divBdr>
    </w:div>
    <w:div w:id="361370693">
      <w:marLeft w:val="640"/>
      <w:marRight w:val="0"/>
      <w:marTop w:val="0"/>
      <w:marBottom w:val="0"/>
      <w:divBdr>
        <w:top w:val="none" w:sz="0" w:space="0" w:color="auto"/>
        <w:left w:val="none" w:sz="0" w:space="0" w:color="auto"/>
        <w:bottom w:val="none" w:sz="0" w:space="0" w:color="auto"/>
        <w:right w:val="none" w:sz="0" w:space="0" w:color="auto"/>
      </w:divBdr>
    </w:div>
    <w:div w:id="361437944">
      <w:marLeft w:val="640"/>
      <w:marRight w:val="0"/>
      <w:marTop w:val="0"/>
      <w:marBottom w:val="0"/>
      <w:divBdr>
        <w:top w:val="none" w:sz="0" w:space="0" w:color="auto"/>
        <w:left w:val="none" w:sz="0" w:space="0" w:color="auto"/>
        <w:bottom w:val="none" w:sz="0" w:space="0" w:color="auto"/>
        <w:right w:val="none" w:sz="0" w:space="0" w:color="auto"/>
      </w:divBdr>
    </w:div>
    <w:div w:id="361639933">
      <w:marLeft w:val="640"/>
      <w:marRight w:val="0"/>
      <w:marTop w:val="0"/>
      <w:marBottom w:val="0"/>
      <w:divBdr>
        <w:top w:val="none" w:sz="0" w:space="0" w:color="auto"/>
        <w:left w:val="none" w:sz="0" w:space="0" w:color="auto"/>
        <w:bottom w:val="none" w:sz="0" w:space="0" w:color="auto"/>
        <w:right w:val="none" w:sz="0" w:space="0" w:color="auto"/>
      </w:divBdr>
    </w:div>
    <w:div w:id="361976464">
      <w:marLeft w:val="640"/>
      <w:marRight w:val="0"/>
      <w:marTop w:val="0"/>
      <w:marBottom w:val="0"/>
      <w:divBdr>
        <w:top w:val="none" w:sz="0" w:space="0" w:color="auto"/>
        <w:left w:val="none" w:sz="0" w:space="0" w:color="auto"/>
        <w:bottom w:val="none" w:sz="0" w:space="0" w:color="auto"/>
        <w:right w:val="none" w:sz="0" w:space="0" w:color="auto"/>
      </w:divBdr>
    </w:div>
    <w:div w:id="362023672">
      <w:marLeft w:val="640"/>
      <w:marRight w:val="0"/>
      <w:marTop w:val="0"/>
      <w:marBottom w:val="0"/>
      <w:divBdr>
        <w:top w:val="none" w:sz="0" w:space="0" w:color="auto"/>
        <w:left w:val="none" w:sz="0" w:space="0" w:color="auto"/>
        <w:bottom w:val="none" w:sz="0" w:space="0" w:color="auto"/>
        <w:right w:val="none" w:sz="0" w:space="0" w:color="auto"/>
      </w:divBdr>
    </w:div>
    <w:div w:id="363213859">
      <w:marLeft w:val="640"/>
      <w:marRight w:val="0"/>
      <w:marTop w:val="0"/>
      <w:marBottom w:val="0"/>
      <w:divBdr>
        <w:top w:val="none" w:sz="0" w:space="0" w:color="auto"/>
        <w:left w:val="none" w:sz="0" w:space="0" w:color="auto"/>
        <w:bottom w:val="none" w:sz="0" w:space="0" w:color="auto"/>
        <w:right w:val="none" w:sz="0" w:space="0" w:color="auto"/>
      </w:divBdr>
    </w:div>
    <w:div w:id="364407730">
      <w:marLeft w:val="640"/>
      <w:marRight w:val="0"/>
      <w:marTop w:val="0"/>
      <w:marBottom w:val="0"/>
      <w:divBdr>
        <w:top w:val="none" w:sz="0" w:space="0" w:color="auto"/>
        <w:left w:val="none" w:sz="0" w:space="0" w:color="auto"/>
        <w:bottom w:val="none" w:sz="0" w:space="0" w:color="auto"/>
        <w:right w:val="none" w:sz="0" w:space="0" w:color="auto"/>
      </w:divBdr>
    </w:div>
    <w:div w:id="364714113">
      <w:marLeft w:val="640"/>
      <w:marRight w:val="0"/>
      <w:marTop w:val="0"/>
      <w:marBottom w:val="0"/>
      <w:divBdr>
        <w:top w:val="none" w:sz="0" w:space="0" w:color="auto"/>
        <w:left w:val="none" w:sz="0" w:space="0" w:color="auto"/>
        <w:bottom w:val="none" w:sz="0" w:space="0" w:color="auto"/>
        <w:right w:val="none" w:sz="0" w:space="0" w:color="auto"/>
      </w:divBdr>
    </w:div>
    <w:div w:id="365299519">
      <w:marLeft w:val="640"/>
      <w:marRight w:val="0"/>
      <w:marTop w:val="0"/>
      <w:marBottom w:val="0"/>
      <w:divBdr>
        <w:top w:val="none" w:sz="0" w:space="0" w:color="auto"/>
        <w:left w:val="none" w:sz="0" w:space="0" w:color="auto"/>
        <w:bottom w:val="none" w:sz="0" w:space="0" w:color="auto"/>
        <w:right w:val="none" w:sz="0" w:space="0" w:color="auto"/>
      </w:divBdr>
    </w:div>
    <w:div w:id="365907731">
      <w:marLeft w:val="640"/>
      <w:marRight w:val="0"/>
      <w:marTop w:val="0"/>
      <w:marBottom w:val="0"/>
      <w:divBdr>
        <w:top w:val="none" w:sz="0" w:space="0" w:color="auto"/>
        <w:left w:val="none" w:sz="0" w:space="0" w:color="auto"/>
        <w:bottom w:val="none" w:sz="0" w:space="0" w:color="auto"/>
        <w:right w:val="none" w:sz="0" w:space="0" w:color="auto"/>
      </w:divBdr>
    </w:div>
    <w:div w:id="366420112">
      <w:marLeft w:val="640"/>
      <w:marRight w:val="0"/>
      <w:marTop w:val="0"/>
      <w:marBottom w:val="0"/>
      <w:divBdr>
        <w:top w:val="none" w:sz="0" w:space="0" w:color="auto"/>
        <w:left w:val="none" w:sz="0" w:space="0" w:color="auto"/>
        <w:bottom w:val="none" w:sz="0" w:space="0" w:color="auto"/>
        <w:right w:val="none" w:sz="0" w:space="0" w:color="auto"/>
      </w:divBdr>
    </w:div>
    <w:div w:id="367341347">
      <w:marLeft w:val="640"/>
      <w:marRight w:val="0"/>
      <w:marTop w:val="0"/>
      <w:marBottom w:val="0"/>
      <w:divBdr>
        <w:top w:val="none" w:sz="0" w:space="0" w:color="auto"/>
        <w:left w:val="none" w:sz="0" w:space="0" w:color="auto"/>
        <w:bottom w:val="none" w:sz="0" w:space="0" w:color="auto"/>
        <w:right w:val="none" w:sz="0" w:space="0" w:color="auto"/>
      </w:divBdr>
    </w:div>
    <w:div w:id="367804166">
      <w:marLeft w:val="640"/>
      <w:marRight w:val="0"/>
      <w:marTop w:val="0"/>
      <w:marBottom w:val="0"/>
      <w:divBdr>
        <w:top w:val="none" w:sz="0" w:space="0" w:color="auto"/>
        <w:left w:val="none" w:sz="0" w:space="0" w:color="auto"/>
        <w:bottom w:val="none" w:sz="0" w:space="0" w:color="auto"/>
        <w:right w:val="none" w:sz="0" w:space="0" w:color="auto"/>
      </w:divBdr>
    </w:div>
    <w:div w:id="368067689">
      <w:marLeft w:val="640"/>
      <w:marRight w:val="0"/>
      <w:marTop w:val="0"/>
      <w:marBottom w:val="0"/>
      <w:divBdr>
        <w:top w:val="none" w:sz="0" w:space="0" w:color="auto"/>
        <w:left w:val="none" w:sz="0" w:space="0" w:color="auto"/>
        <w:bottom w:val="none" w:sz="0" w:space="0" w:color="auto"/>
        <w:right w:val="none" w:sz="0" w:space="0" w:color="auto"/>
      </w:divBdr>
    </w:div>
    <w:div w:id="368994879">
      <w:marLeft w:val="640"/>
      <w:marRight w:val="0"/>
      <w:marTop w:val="0"/>
      <w:marBottom w:val="0"/>
      <w:divBdr>
        <w:top w:val="none" w:sz="0" w:space="0" w:color="auto"/>
        <w:left w:val="none" w:sz="0" w:space="0" w:color="auto"/>
        <w:bottom w:val="none" w:sz="0" w:space="0" w:color="auto"/>
        <w:right w:val="none" w:sz="0" w:space="0" w:color="auto"/>
      </w:divBdr>
    </w:div>
    <w:div w:id="369648904">
      <w:marLeft w:val="640"/>
      <w:marRight w:val="0"/>
      <w:marTop w:val="0"/>
      <w:marBottom w:val="0"/>
      <w:divBdr>
        <w:top w:val="none" w:sz="0" w:space="0" w:color="auto"/>
        <w:left w:val="none" w:sz="0" w:space="0" w:color="auto"/>
        <w:bottom w:val="none" w:sz="0" w:space="0" w:color="auto"/>
        <w:right w:val="none" w:sz="0" w:space="0" w:color="auto"/>
      </w:divBdr>
    </w:div>
    <w:div w:id="370111498">
      <w:marLeft w:val="640"/>
      <w:marRight w:val="0"/>
      <w:marTop w:val="0"/>
      <w:marBottom w:val="0"/>
      <w:divBdr>
        <w:top w:val="none" w:sz="0" w:space="0" w:color="auto"/>
        <w:left w:val="none" w:sz="0" w:space="0" w:color="auto"/>
        <w:bottom w:val="none" w:sz="0" w:space="0" w:color="auto"/>
        <w:right w:val="none" w:sz="0" w:space="0" w:color="auto"/>
      </w:divBdr>
    </w:div>
    <w:div w:id="370157489">
      <w:marLeft w:val="640"/>
      <w:marRight w:val="0"/>
      <w:marTop w:val="0"/>
      <w:marBottom w:val="0"/>
      <w:divBdr>
        <w:top w:val="none" w:sz="0" w:space="0" w:color="auto"/>
        <w:left w:val="none" w:sz="0" w:space="0" w:color="auto"/>
        <w:bottom w:val="none" w:sz="0" w:space="0" w:color="auto"/>
        <w:right w:val="none" w:sz="0" w:space="0" w:color="auto"/>
      </w:divBdr>
    </w:div>
    <w:div w:id="370347450">
      <w:marLeft w:val="640"/>
      <w:marRight w:val="0"/>
      <w:marTop w:val="0"/>
      <w:marBottom w:val="0"/>
      <w:divBdr>
        <w:top w:val="none" w:sz="0" w:space="0" w:color="auto"/>
        <w:left w:val="none" w:sz="0" w:space="0" w:color="auto"/>
        <w:bottom w:val="none" w:sz="0" w:space="0" w:color="auto"/>
        <w:right w:val="none" w:sz="0" w:space="0" w:color="auto"/>
      </w:divBdr>
    </w:div>
    <w:div w:id="370880241">
      <w:marLeft w:val="640"/>
      <w:marRight w:val="0"/>
      <w:marTop w:val="0"/>
      <w:marBottom w:val="0"/>
      <w:divBdr>
        <w:top w:val="none" w:sz="0" w:space="0" w:color="auto"/>
        <w:left w:val="none" w:sz="0" w:space="0" w:color="auto"/>
        <w:bottom w:val="none" w:sz="0" w:space="0" w:color="auto"/>
        <w:right w:val="none" w:sz="0" w:space="0" w:color="auto"/>
      </w:divBdr>
    </w:div>
    <w:div w:id="371879307">
      <w:marLeft w:val="640"/>
      <w:marRight w:val="0"/>
      <w:marTop w:val="0"/>
      <w:marBottom w:val="0"/>
      <w:divBdr>
        <w:top w:val="none" w:sz="0" w:space="0" w:color="auto"/>
        <w:left w:val="none" w:sz="0" w:space="0" w:color="auto"/>
        <w:bottom w:val="none" w:sz="0" w:space="0" w:color="auto"/>
        <w:right w:val="none" w:sz="0" w:space="0" w:color="auto"/>
      </w:divBdr>
    </w:div>
    <w:div w:id="372274298">
      <w:marLeft w:val="640"/>
      <w:marRight w:val="0"/>
      <w:marTop w:val="0"/>
      <w:marBottom w:val="0"/>
      <w:divBdr>
        <w:top w:val="none" w:sz="0" w:space="0" w:color="auto"/>
        <w:left w:val="none" w:sz="0" w:space="0" w:color="auto"/>
        <w:bottom w:val="none" w:sz="0" w:space="0" w:color="auto"/>
        <w:right w:val="none" w:sz="0" w:space="0" w:color="auto"/>
      </w:divBdr>
    </w:div>
    <w:div w:id="372466830">
      <w:marLeft w:val="640"/>
      <w:marRight w:val="0"/>
      <w:marTop w:val="0"/>
      <w:marBottom w:val="0"/>
      <w:divBdr>
        <w:top w:val="none" w:sz="0" w:space="0" w:color="auto"/>
        <w:left w:val="none" w:sz="0" w:space="0" w:color="auto"/>
        <w:bottom w:val="none" w:sz="0" w:space="0" w:color="auto"/>
        <w:right w:val="none" w:sz="0" w:space="0" w:color="auto"/>
      </w:divBdr>
    </w:div>
    <w:div w:id="372538176">
      <w:marLeft w:val="640"/>
      <w:marRight w:val="0"/>
      <w:marTop w:val="0"/>
      <w:marBottom w:val="0"/>
      <w:divBdr>
        <w:top w:val="none" w:sz="0" w:space="0" w:color="auto"/>
        <w:left w:val="none" w:sz="0" w:space="0" w:color="auto"/>
        <w:bottom w:val="none" w:sz="0" w:space="0" w:color="auto"/>
        <w:right w:val="none" w:sz="0" w:space="0" w:color="auto"/>
      </w:divBdr>
    </w:div>
    <w:div w:id="372655431">
      <w:marLeft w:val="640"/>
      <w:marRight w:val="0"/>
      <w:marTop w:val="0"/>
      <w:marBottom w:val="0"/>
      <w:divBdr>
        <w:top w:val="none" w:sz="0" w:space="0" w:color="auto"/>
        <w:left w:val="none" w:sz="0" w:space="0" w:color="auto"/>
        <w:bottom w:val="none" w:sz="0" w:space="0" w:color="auto"/>
        <w:right w:val="none" w:sz="0" w:space="0" w:color="auto"/>
      </w:divBdr>
    </w:div>
    <w:div w:id="373235081">
      <w:marLeft w:val="640"/>
      <w:marRight w:val="0"/>
      <w:marTop w:val="0"/>
      <w:marBottom w:val="0"/>
      <w:divBdr>
        <w:top w:val="none" w:sz="0" w:space="0" w:color="auto"/>
        <w:left w:val="none" w:sz="0" w:space="0" w:color="auto"/>
        <w:bottom w:val="none" w:sz="0" w:space="0" w:color="auto"/>
        <w:right w:val="none" w:sz="0" w:space="0" w:color="auto"/>
      </w:divBdr>
    </w:div>
    <w:div w:id="374037901">
      <w:marLeft w:val="640"/>
      <w:marRight w:val="0"/>
      <w:marTop w:val="0"/>
      <w:marBottom w:val="0"/>
      <w:divBdr>
        <w:top w:val="none" w:sz="0" w:space="0" w:color="auto"/>
        <w:left w:val="none" w:sz="0" w:space="0" w:color="auto"/>
        <w:bottom w:val="none" w:sz="0" w:space="0" w:color="auto"/>
        <w:right w:val="none" w:sz="0" w:space="0" w:color="auto"/>
      </w:divBdr>
    </w:div>
    <w:div w:id="374350960">
      <w:marLeft w:val="640"/>
      <w:marRight w:val="0"/>
      <w:marTop w:val="0"/>
      <w:marBottom w:val="0"/>
      <w:divBdr>
        <w:top w:val="none" w:sz="0" w:space="0" w:color="auto"/>
        <w:left w:val="none" w:sz="0" w:space="0" w:color="auto"/>
        <w:bottom w:val="none" w:sz="0" w:space="0" w:color="auto"/>
        <w:right w:val="none" w:sz="0" w:space="0" w:color="auto"/>
      </w:divBdr>
    </w:div>
    <w:div w:id="374352121">
      <w:marLeft w:val="640"/>
      <w:marRight w:val="0"/>
      <w:marTop w:val="0"/>
      <w:marBottom w:val="0"/>
      <w:divBdr>
        <w:top w:val="none" w:sz="0" w:space="0" w:color="auto"/>
        <w:left w:val="none" w:sz="0" w:space="0" w:color="auto"/>
        <w:bottom w:val="none" w:sz="0" w:space="0" w:color="auto"/>
        <w:right w:val="none" w:sz="0" w:space="0" w:color="auto"/>
      </w:divBdr>
    </w:div>
    <w:div w:id="374428532">
      <w:marLeft w:val="640"/>
      <w:marRight w:val="0"/>
      <w:marTop w:val="0"/>
      <w:marBottom w:val="0"/>
      <w:divBdr>
        <w:top w:val="none" w:sz="0" w:space="0" w:color="auto"/>
        <w:left w:val="none" w:sz="0" w:space="0" w:color="auto"/>
        <w:bottom w:val="none" w:sz="0" w:space="0" w:color="auto"/>
        <w:right w:val="none" w:sz="0" w:space="0" w:color="auto"/>
      </w:divBdr>
    </w:div>
    <w:div w:id="375853601">
      <w:marLeft w:val="640"/>
      <w:marRight w:val="0"/>
      <w:marTop w:val="0"/>
      <w:marBottom w:val="0"/>
      <w:divBdr>
        <w:top w:val="none" w:sz="0" w:space="0" w:color="auto"/>
        <w:left w:val="none" w:sz="0" w:space="0" w:color="auto"/>
        <w:bottom w:val="none" w:sz="0" w:space="0" w:color="auto"/>
        <w:right w:val="none" w:sz="0" w:space="0" w:color="auto"/>
      </w:divBdr>
    </w:div>
    <w:div w:id="376509043">
      <w:marLeft w:val="640"/>
      <w:marRight w:val="0"/>
      <w:marTop w:val="0"/>
      <w:marBottom w:val="0"/>
      <w:divBdr>
        <w:top w:val="none" w:sz="0" w:space="0" w:color="auto"/>
        <w:left w:val="none" w:sz="0" w:space="0" w:color="auto"/>
        <w:bottom w:val="none" w:sz="0" w:space="0" w:color="auto"/>
        <w:right w:val="none" w:sz="0" w:space="0" w:color="auto"/>
      </w:divBdr>
    </w:div>
    <w:div w:id="376663116">
      <w:marLeft w:val="640"/>
      <w:marRight w:val="0"/>
      <w:marTop w:val="0"/>
      <w:marBottom w:val="0"/>
      <w:divBdr>
        <w:top w:val="none" w:sz="0" w:space="0" w:color="auto"/>
        <w:left w:val="none" w:sz="0" w:space="0" w:color="auto"/>
        <w:bottom w:val="none" w:sz="0" w:space="0" w:color="auto"/>
        <w:right w:val="none" w:sz="0" w:space="0" w:color="auto"/>
      </w:divBdr>
    </w:div>
    <w:div w:id="377553220">
      <w:marLeft w:val="640"/>
      <w:marRight w:val="0"/>
      <w:marTop w:val="0"/>
      <w:marBottom w:val="0"/>
      <w:divBdr>
        <w:top w:val="none" w:sz="0" w:space="0" w:color="auto"/>
        <w:left w:val="none" w:sz="0" w:space="0" w:color="auto"/>
        <w:bottom w:val="none" w:sz="0" w:space="0" w:color="auto"/>
        <w:right w:val="none" w:sz="0" w:space="0" w:color="auto"/>
      </w:divBdr>
    </w:div>
    <w:div w:id="377625633">
      <w:marLeft w:val="640"/>
      <w:marRight w:val="0"/>
      <w:marTop w:val="0"/>
      <w:marBottom w:val="0"/>
      <w:divBdr>
        <w:top w:val="none" w:sz="0" w:space="0" w:color="auto"/>
        <w:left w:val="none" w:sz="0" w:space="0" w:color="auto"/>
        <w:bottom w:val="none" w:sz="0" w:space="0" w:color="auto"/>
        <w:right w:val="none" w:sz="0" w:space="0" w:color="auto"/>
      </w:divBdr>
    </w:div>
    <w:div w:id="378240764">
      <w:marLeft w:val="640"/>
      <w:marRight w:val="0"/>
      <w:marTop w:val="0"/>
      <w:marBottom w:val="0"/>
      <w:divBdr>
        <w:top w:val="none" w:sz="0" w:space="0" w:color="auto"/>
        <w:left w:val="none" w:sz="0" w:space="0" w:color="auto"/>
        <w:bottom w:val="none" w:sz="0" w:space="0" w:color="auto"/>
        <w:right w:val="none" w:sz="0" w:space="0" w:color="auto"/>
      </w:divBdr>
    </w:div>
    <w:div w:id="378555147">
      <w:marLeft w:val="640"/>
      <w:marRight w:val="0"/>
      <w:marTop w:val="0"/>
      <w:marBottom w:val="0"/>
      <w:divBdr>
        <w:top w:val="none" w:sz="0" w:space="0" w:color="auto"/>
        <w:left w:val="none" w:sz="0" w:space="0" w:color="auto"/>
        <w:bottom w:val="none" w:sz="0" w:space="0" w:color="auto"/>
        <w:right w:val="none" w:sz="0" w:space="0" w:color="auto"/>
      </w:divBdr>
    </w:div>
    <w:div w:id="379015063">
      <w:marLeft w:val="640"/>
      <w:marRight w:val="0"/>
      <w:marTop w:val="0"/>
      <w:marBottom w:val="0"/>
      <w:divBdr>
        <w:top w:val="none" w:sz="0" w:space="0" w:color="auto"/>
        <w:left w:val="none" w:sz="0" w:space="0" w:color="auto"/>
        <w:bottom w:val="none" w:sz="0" w:space="0" w:color="auto"/>
        <w:right w:val="none" w:sz="0" w:space="0" w:color="auto"/>
      </w:divBdr>
    </w:div>
    <w:div w:id="379667503">
      <w:marLeft w:val="640"/>
      <w:marRight w:val="0"/>
      <w:marTop w:val="0"/>
      <w:marBottom w:val="0"/>
      <w:divBdr>
        <w:top w:val="none" w:sz="0" w:space="0" w:color="auto"/>
        <w:left w:val="none" w:sz="0" w:space="0" w:color="auto"/>
        <w:bottom w:val="none" w:sz="0" w:space="0" w:color="auto"/>
        <w:right w:val="none" w:sz="0" w:space="0" w:color="auto"/>
      </w:divBdr>
    </w:div>
    <w:div w:id="380983397">
      <w:marLeft w:val="640"/>
      <w:marRight w:val="0"/>
      <w:marTop w:val="0"/>
      <w:marBottom w:val="0"/>
      <w:divBdr>
        <w:top w:val="none" w:sz="0" w:space="0" w:color="auto"/>
        <w:left w:val="none" w:sz="0" w:space="0" w:color="auto"/>
        <w:bottom w:val="none" w:sz="0" w:space="0" w:color="auto"/>
        <w:right w:val="none" w:sz="0" w:space="0" w:color="auto"/>
      </w:divBdr>
    </w:div>
    <w:div w:id="380985271">
      <w:marLeft w:val="640"/>
      <w:marRight w:val="0"/>
      <w:marTop w:val="0"/>
      <w:marBottom w:val="0"/>
      <w:divBdr>
        <w:top w:val="none" w:sz="0" w:space="0" w:color="auto"/>
        <w:left w:val="none" w:sz="0" w:space="0" w:color="auto"/>
        <w:bottom w:val="none" w:sz="0" w:space="0" w:color="auto"/>
        <w:right w:val="none" w:sz="0" w:space="0" w:color="auto"/>
      </w:divBdr>
    </w:div>
    <w:div w:id="381373295">
      <w:marLeft w:val="640"/>
      <w:marRight w:val="0"/>
      <w:marTop w:val="0"/>
      <w:marBottom w:val="0"/>
      <w:divBdr>
        <w:top w:val="none" w:sz="0" w:space="0" w:color="auto"/>
        <w:left w:val="none" w:sz="0" w:space="0" w:color="auto"/>
        <w:bottom w:val="none" w:sz="0" w:space="0" w:color="auto"/>
        <w:right w:val="none" w:sz="0" w:space="0" w:color="auto"/>
      </w:divBdr>
    </w:div>
    <w:div w:id="381556989">
      <w:marLeft w:val="640"/>
      <w:marRight w:val="0"/>
      <w:marTop w:val="0"/>
      <w:marBottom w:val="0"/>
      <w:divBdr>
        <w:top w:val="none" w:sz="0" w:space="0" w:color="auto"/>
        <w:left w:val="none" w:sz="0" w:space="0" w:color="auto"/>
        <w:bottom w:val="none" w:sz="0" w:space="0" w:color="auto"/>
        <w:right w:val="none" w:sz="0" w:space="0" w:color="auto"/>
      </w:divBdr>
    </w:div>
    <w:div w:id="381707983">
      <w:marLeft w:val="640"/>
      <w:marRight w:val="0"/>
      <w:marTop w:val="0"/>
      <w:marBottom w:val="0"/>
      <w:divBdr>
        <w:top w:val="none" w:sz="0" w:space="0" w:color="auto"/>
        <w:left w:val="none" w:sz="0" w:space="0" w:color="auto"/>
        <w:bottom w:val="none" w:sz="0" w:space="0" w:color="auto"/>
        <w:right w:val="none" w:sz="0" w:space="0" w:color="auto"/>
      </w:divBdr>
    </w:div>
    <w:div w:id="381755639">
      <w:marLeft w:val="640"/>
      <w:marRight w:val="0"/>
      <w:marTop w:val="0"/>
      <w:marBottom w:val="0"/>
      <w:divBdr>
        <w:top w:val="none" w:sz="0" w:space="0" w:color="auto"/>
        <w:left w:val="none" w:sz="0" w:space="0" w:color="auto"/>
        <w:bottom w:val="none" w:sz="0" w:space="0" w:color="auto"/>
        <w:right w:val="none" w:sz="0" w:space="0" w:color="auto"/>
      </w:divBdr>
    </w:div>
    <w:div w:id="382216838">
      <w:marLeft w:val="640"/>
      <w:marRight w:val="0"/>
      <w:marTop w:val="0"/>
      <w:marBottom w:val="0"/>
      <w:divBdr>
        <w:top w:val="none" w:sz="0" w:space="0" w:color="auto"/>
        <w:left w:val="none" w:sz="0" w:space="0" w:color="auto"/>
        <w:bottom w:val="none" w:sz="0" w:space="0" w:color="auto"/>
        <w:right w:val="none" w:sz="0" w:space="0" w:color="auto"/>
      </w:divBdr>
    </w:div>
    <w:div w:id="382408585">
      <w:marLeft w:val="640"/>
      <w:marRight w:val="0"/>
      <w:marTop w:val="0"/>
      <w:marBottom w:val="0"/>
      <w:divBdr>
        <w:top w:val="none" w:sz="0" w:space="0" w:color="auto"/>
        <w:left w:val="none" w:sz="0" w:space="0" w:color="auto"/>
        <w:bottom w:val="none" w:sz="0" w:space="0" w:color="auto"/>
        <w:right w:val="none" w:sz="0" w:space="0" w:color="auto"/>
      </w:divBdr>
    </w:div>
    <w:div w:id="382484024">
      <w:marLeft w:val="640"/>
      <w:marRight w:val="0"/>
      <w:marTop w:val="0"/>
      <w:marBottom w:val="0"/>
      <w:divBdr>
        <w:top w:val="none" w:sz="0" w:space="0" w:color="auto"/>
        <w:left w:val="none" w:sz="0" w:space="0" w:color="auto"/>
        <w:bottom w:val="none" w:sz="0" w:space="0" w:color="auto"/>
        <w:right w:val="none" w:sz="0" w:space="0" w:color="auto"/>
      </w:divBdr>
    </w:div>
    <w:div w:id="382488057">
      <w:marLeft w:val="640"/>
      <w:marRight w:val="0"/>
      <w:marTop w:val="0"/>
      <w:marBottom w:val="0"/>
      <w:divBdr>
        <w:top w:val="none" w:sz="0" w:space="0" w:color="auto"/>
        <w:left w:val="none" w:sz="0" w:space="0" w:color="auto"/>
        <w:bottom w:val="none" w:sz="0" w:space="0" w:color="auto"/>
        <w:right w:val="none" w:sz="0" w:space="0" w:color="auto"/>
      </w:divBdr>
    </w:div>
    <w:div w:id="383062903">
      <w:marLeft w:val="640"/>
      <w:marRight w:val="0"/>
      <w:marTop w:val="0"/>
      <w:marBottom w:val="0"/>
      <w:divBdr>
        <w:top w:val="none" w:sz="0" w:space="0" w:color="auto"/>
        <w:left w:val="none" w:sz="0" w:space="0" w:color="auto"/>
        <w:bottom w:val="none" w:sz="0" w:space="0" w:color="auto"/>
        <w:right w:val="none" w:sz="0" w:space="0" w:color="auto"/>
      </w:divBdr>
    </w:div>
    <w:div w:id="383673696">
      <w:marLeft w:val="640"/>
      <w:marRight w:val="0"/>
      <w:marTop w:val="0"/>
      <w:marBottom w:val="0"/>
      <w:divBdr>
        <w:top w:val="none" w:sz="0" w:space="0" w:color="auto"/>
        <w:left w:val="none" w:sz="0" w:space="0" w:color="auto"/>
        <w:bottom w:val="none" w:sz="0" w:space="0" w:color="auto"/>
        <w:right w:val="none" w:sz="0" w:space="0" w:color="auto"/>
      </w:divBdr>
    </w:div>
    <w:div w:id="384529858">
      <w:marLeft w:val="640"/>
      <w:marRight w:val="0"/>
      <w:marTop w:val="0"/>
      <w:marBottom w:val="0"/>
      <w:divBdr>
        <w:top w:val="none" w:sz="0" w:space="0" w:color="auto"/>
        <w:left w:val="none" w:sz="0" w:space="0" w:color="auto"/>
        <w:bottom w:val="none" w:sz="0" w:space="0" w:color="auto"/>
        <w:right w:val="none" w:sz="0" w:space="0" w:color="auto"/>
      </w:divBdr>
    </w:div>
    <w:div w:id="384790815">
      <w:marLeft w:val="640"/>
      <w:marRight w:val="0"/>
      <w:marTop w:val="0"/>
      <w:marBottom w:val="0"/>
      <w:divBdr>
        <w:top w:val="none" w:sz="0" w:space="0" w:color="auto"/>
        <w:left w:val="none" w:sz="0" w:space="0" w:color="auto"/>
        <w:bottom w:val="none" w:sz="0" w:space="0" w:color="auto"/>
        <w:right w:val="none" w:sz="0" w:space="0" w:color="auto"/>
      </w:divBdr>
    </w:div>
    <w:div w:id="384914536">
      <w:marLeft w:val="640"/>
      <w:marRight w:val="0"/>
      <w:marTop w:val="0"/>
      <w:marBottom w:val="0"/>
      <w:divBdr>
        <w:top w:val="none" w:sz="0" w:space="0" w:color="auto"/>
        <w:left w:val="none" w:sz="0" w:space="0" w:color="auto"/>
        <w:bottom w:val="none" w:sz="0" w:space="0" w:color="auto"/>
        <w:right w:val="none" w:sz="0" w:space="0" w:color="auto"/>
      </w:divBdr>
    </w:div>
    <w:div w:id="385376369">
      <w:marLeft w:val="640"/>
      <w:marRight w:val="0"/>
      <w:marTop w:val="0"/>
      <w:marBottom w:val="0"/>
      <w:divBdr>
        <w:top w:val="none" w:sz="0" w:space="0" w:color="auto"/>
        <w:left w:val="none" w:sz="0" w:space="0" w:color="auto"/>
        <w:bottom w:val="none" w:sz="0" w:space="0" w:color="auto"/>
        <w:right w:val="none" w:sz="0" w:space="0" w:color="auto"/>
      </w:divBdr>
    </w:div>
    <w:div w:id="385493594">
      <w:marLeft w:val="640"/>
      <w:marRight w:val="0"/>
      <w:marTop w:val="0"/>
      <w:marBottom w:val="0"/>
      <w:divBdr>
        <w:top w:val="none" w:sz="0" w:space="0" w:color="auto"/>
        <w:left w:val="none" w:sz="0" w:space="0" w:color="auto"/>
        <w:bottom w:val="none" w:sz="0" w:space="0" w:color="auto"/>
        <w:right w:val="none" w:sz="0" w:space="0" w:color="auto"/>
      </w:divBdr>
    </w:div>
    <w:div w:id="387607836">
      <w:marLeft w:val="640"/>
      <w:marRight w:val="0"/>
      <w:marTop w:val="0"/>
      <w:marBottom w:val="0"/>
      <w:divBdr>
        <w:top w:val="none" w:sz="0" w:space="0" w:color="auto"/>
        <w:left w:val="none" w:sz="0" w:space="0" w:color="auto"/>
        <w:bottom w:val="none" w:sz="0" w:space="0" w:color="auto"/>
        <w:right w:val="none" w:sz="0" w:space="0" w:color="auto"/>
      </w:divBdr>
    </w:div>
    <w:div w:id="387996359">
      <w:marLeft w:val="640"/>
      <w:marRight w:val="0"/>
      <w:marTop w:val="0"/>
      <w:marBottom w:val="0"/>
      <w:divBdr>
        <w:top w:val="none" w:sz="0" w:space="0" w:color="auto"/>
        <w:left w:val="none" w:sz="0" w:space="0" w:color="auto"/>
        <w:bottom w:val="none" w:sz="0" w:space="0" w:color="auto"/>
        <w:right w:val="none" w:sz="0" w:space="0" w:color="auto"/>
      </w:divBdr>
    </w:div>
    <w:div w:id="389041267">
      <w:marLeft w:val="640"/>
      <w:marRight w:val="0"/>
      <w:marTop w:val="0"/>
      <w:marBottom w:val="0"/>
      <w:divBdr>
        <w:top w:val="none" w:sz="0" w:space="0" w:color="auto"/>
        <w:left w:val="none" w:sz="0" w:space="0" w:color="auto"/>
        <w:bottom w:val="none" w:sz="0" w:space="0" w:color="auto"/>
        <w:right w:val="none" w:sz="0" w:space="0" w:color="auto"/>
      </w:divBdr>
    </w:div>
    <w:div w:id="389226950">
      <w:marLeft w:val="640"/>
      <w:marRight w:val="0"/>
      <w:marTop w:val="0"/>
      <w:marBottom w:val="0"/>
      <w:divBdr>
        <w:top w:val="none" w:sz="0" w:space="0" w:color="auto"/>
        <w:left w:val="none" w:sz="0" w:space="0" w:color="auto"/>
        <w:bottom w:val="none" w:sz="0" w:space="0" w:color="auto"/>
        <w:right w:val="none" w:sz="0" w:space="0" w:color="auto"/>
      </w:divBdr>
    </w:div>
    <w:div w:id="389503598">
      <w:marLeft w:val="640"/>
      <w:marRight w:val="0"/>
      <w:marTop w:val="0"/>
      <w:marBottom w:val="0"/>
      <w:divBdr>
        <w:top w:val="none" w:sz="0" w:space="0" w:color="auto"/>
        <w:left w:val="none" w:sz="0" w:space="0" w:color="auto"/>
        <w:bottom w:val="none" w:sz="0" w:space="0" w:color="auto"/>
        <w:right w:val="none" w:sz="0" w:space="0" w:color="auto"/>
      </w:divBdr>
    </w:div>
    <w:div w:id="389965462">
      <w:marLeft w:val="640"/>
      <w:marRight w:val="0"/>
      <w:marTop w:val="0"/>
      <w:marBottom w:val="0"/>
      <w:divBdr>
        <w:top w:val="none" w:sz="0" w:space="0" w:color="auto"/>
        <w:left w:val="none" w:sz="0" w:space="0" w:color="auto"/>
        <w:bottom w:val="none" w:sz="0" w:space="0" w:color="auto"/>
        <w:right w:val="none" w:sz="0" w:space="0" w:color="auto"/>
      </w:divBdr>
    </w:div>
    <w:div w:id="390615008">
      <w:marLeft w:val="640"/>
      <w:marRight w:val="0"/>
      <w:marTop w:val="0"/>
      <w:marBottom w:val="0"/>
      <w:divBdr>
        <w:top w:val="none" w:sz="0" w:space="0" w:color="auto"/>
        <w:left w:val="none" w:sz="0" w:space="0" w:color="auto"/>
        <w:bottom w:val="none" w:sz="0" w:space="0" w:color="auto"/>
        <w:right w:val="none" w:sz="0" w:space="0" w:color="auto"/>
      </w:divBdr>
    </w:div>
    <w:div w:id="390887554">
      <w:marLeft w:val="640"/>
      <w:marRight w:val="0"/>
      <w:marTop w:val="0"/>
      <w:marBottom w:val="0"/>
      <w:divBdr>
        <w:top w:val="none" w:sz="0" w:space="0" w:color="auto"/>
        <w:left w:val="none" w:sz="0" w:space="0" w:color="auto"/>
        <w:bottom w:val="none" w:sz="0" w:space="0" w:color="auto"/>
        <w:right w:val="none" w:sz="0" w:space="0" w:color="auto"/>
      </w:divBdr>
    </w:div>
    <w:div w:id="391199225">
      <w:marLeft w:val="640"/>
      <w:marRight w:val="0"/>
      <w:marTop w:val="0"/>
      <w:marBottom w:val="0"/>
      <w:divBdr>
        <w:top w:val="none" w:sz="0" w:space="0" w:color="auto"/>
        <w:left w:val="none" w:sz="0" w:space="0" w:color="auto"/>
        <w:bottom w:val="none" w:sz="0" w:space="0" w:color="auto"/>
        <w:right w:val="none" w:sz="0" w:space="0" w:color="auto"/>
      </w:divBdr>
    </w:div>
    <w:div w:id="391471162">
      <w:marLeft w:val="640"/>
      <w:marRight w:val="0"/>
      <w:marTop w:val="0"/>
      <w:marBottom w:val="0"/>
      <w:divBdr>
        <w:top w:val="none" w:sz="0" w:space="0" w:color="auto"/>
        <w:left w:val="none" w:sz="0" w:space="0" w:color="auto"/>
        <w:bottom w:val="none" w:sz="0" w:space="0" w:color="auto"/>
        <w:right w:val="none" w:sz="0" w:space="0" w:color="auto"/>
      </w:divBdr>
    </w:div>
    <w:div w:id="391544739">
      <w:marLeft w:val="640"/>
      <w:marRight w:val="0"/>
      <w:marTop w:val="0"/>
      <w:marBottom w:val="0"/>
      <w:divBdr>
        <w:top w:val="none" w:sz="0" w:space="0" w:color="auto"/>
        <w:left w:val="none" w:sz="0" w:space="0" w:color="auto"/>
        <w:bottom w:val="none" w:sz="0" w:space="0" w:color="auto"/>
        <w:right w:val="none" w:sz="0" w:space="0" w:color="auto"/>
      </w:divBdr>
    </w:div>
    <w:div w:id="392587777">
      <w:marLeft w:val="640"/>
      <w:marRight w:val="0"/>
      <w:marTop w:val="0"/>
      <w:marBottom w:val="0"/>
      <w:divBdr>
        <w:top w:val="none" w:sz="0" w:space="0" w:color="auto"/>
        <w:left w:val="none" w:sz="0" w:space="0" w:color="auto"/>
        <w:bottom w:val="none" w:sz="0" w:space="0" w:color="auto"/>
        <w:right w:val="none" w:sz="0" w:space="0" w:color="auto"/>
      </w:divBdr>
    </w:div>
    <w:div w:id="392630426">
      <w:marLeft w:val="640"/>
      <w:marRight w:val="0"/>
      <w:marTop w:val="0"/>
      <w:marBottom w:val="0"/>
      <w:divBdr>
        <w:top w:val="none" w:sz="0" w:space="0" w:color="auto"/>
        <w:left w:val="none" w:sz="0" w:space="0" w:color="auto"/>
        <w:bottom w:val="none" w:sz="0" w:space="0" w:color="auto"/>
        <w:right w:val="none" w:sz="0" w:space="0" w:color="auto"/>
      </w:divBdr>
    </w:div>
    <w:div w:id="393352990">
      <w:marLeft w:val="640"/>
      <w:marRight w:val="0"/>
      <w:marTop w:val="0"/>
      <w:marBottom w:val="0"/>
      <w:divBdr>
        <w:top w:val="none" w:sz="0" w:space="0" w:color="auto"/>
        <w:left w:val="none" w:sz="0" w:space="0" w:color="auto"/>
        <w:bottom w:val="none" w:sz="0" w:space="0" w:color="auto"/>
        <w:right w:val="none" w:sz="0" w:space="0" w:color="auto"/>
      </w:divBdr>
    </w:div>
    <w:div w:id="394088627">
      <w:marLeft w:val="640"/>
      <w:marRight w:val="0"/>
      <w:marTop w:val="0"/>
      <w:marBottom w:val="0"/>
      <w:divBdr>
        <w:top w:val="none" w:sz="0" w:space="0" w:color="auto"/>
        <w:left w:val="none" w:sz="0" w:space="0" w:color="auto"/>
        <w:bottom w:val="none" w:sz="0" w:space="0" w:color="auto"/>
        <w:right w:val="none" w:sz="0" w:space="0" w:color="auto"/>
      </w:divBdr>
    </w:div>
    <w:div w:id="395203449">
      <w:marLeft w:val="640"/>
      <w:marRight w:val="0"/>
      <w:marTop w:val="0"/>
      <w:marBottom w:val="0"/>
      <w:divBdr>
        <w:top w:val="none" w:sz="0" w:space="0" w:color="auto"/>
        <w:left w:val="none" w:sz="0" w:space="0" w:color="auto"/>
        <w:bottom w:val="none" w:sz="0" w:space="0" w:color="auto"/>
        <w:right w:val="none" w:sz="0" w:space="0" w:color="auto"/>
      </w:divBdr>
    </w:div>
    <w:div w:id="395275624">
      <w:marLeft w:val="640"/>
      <w:marRight w:val="0"/>
      <w:marTop w:val="0"/>
      <w:marBottom w:val="0"/>
      <w:divBdr>
        <w:top w:val="none" w:sz="0" w:space="0" w:color="auto"/>
        <w:left w:val="none" w:sz="0" w:space="0" w:color="auto"/>
        <w:bottom w:val="none" w:sz="0" w:space="0" w:color="auto"/>
        <w:right w:val="none" w:sz="0" w:space="0" w:color="auto"/>
      </w:divBdr>
    </w:div>
    <w:div w:id="396709254">
      <w:marLeft w:val="640"/>
      <w:marRight w:val="0"/>
      <w:marTop w:val="0"/>
      <w:marBottom w:val="0"/>
      <w:divBdr>
        <w:top w:val="none" w:sz="0" w:space="0" w:color="auto"/>
        <w:left w:val="none" w:sz="0" w:space="0" w:color="auto"/>
        <w:bottom w:val="none" w:sz="0" w:space="0" w:color="auto"/>
        <w:right w:val="none" w:sz="0" w:space="0" w:color="auto"/>
      </w:divBdr>
    </w:div>
    <w:div w:id="397094509">
      <w:marLeft w:val="640"/>
      <w:marRight w:val="0"/>
      <w:marTop w:val="0"/>
      <w:marBottom w:val="0"/>
      <w:divBdr>
        <w:top w:val="none" w:sz="0" w:space="0" w:color="auto"/>
        <w:left w:val="none" w:sz="0" w:space="0" w:color="auto"/>
        <w:bottom w:val="none" w:sz="0" w:space="0" w:color="auto"/>
        <w:right w:val="none" w:sz="0" w:space="0" w:color="auto"/>
      </w:divBdr>
    </w:div>
    <w:div w:id="397216910">
      <w:marLeft w:val="640"/>
      <w:marRight w:val="0"/>
      <w:marTop w:val="0"/>
      <w:marBottom w:val="0"/>
      <w:divBdr>
        <w:top w:val="none" w:sz="0" w:space="0" w:color="auto"/>
        <w:left w:val="none" w:sz="0" w:space="0" w:color="auto"/>
        <w:bottom w:val="none" w:sz="0" w:space="0" w:color="auto"/>
        <w:right w:val="none" w:sz="0" w:space="0" w:color="auto"/>
      </w:divBdr>
    </w:div>
    <w:div w:id="397679215">
      <w:marLeft w:val="640"/>
      <w:marRight w:val="0"/>
      <w:marTop w:val="0"/>
      <w:marBottom w:val="0"/>
      <w:divBdr>
        <w:top w:val="none" w:sz="0" w:space="0" w:color="auto"/>
        <w:left w:val="none" w:sz="0" w:space="0" w:color="auto"/>
        <w:bottom w:val="none" w:sz="0" w:space="0" w:color="auto"/>
        <w:right w:val="none" w:sz="0" w:space="0" w:color="auto"/>
      </w:divBdr>
    </w:div>
    <w:div w:id="398406880">
      <w:marLeft w:val="640"/>
      <w:marRight w:val="0"/>
      <w:marTop w:val="0"/>
      <w:marBottom w:val="0"/>
      <w:divBdr>
        <w:top w:val="none" w:sz="0" w:space="0" w:color="auto"/>
        <w:left w:val="none" w:sz="0" w:space="0" w:color="auto"/>
        <w:bottom w:val="none" w:sz="0" w:space="0" w:color="auto"/>
        <w:right w:val="none" w:sz="0" w:space="0" w:color="auto"/>
      </w:divBdr>
    </w:div>
    <w:div w:id="398553146">
      <w:marLeft w:val="640"/>
      <w:marRight w:val="0"/>
      <w:marTop w:val="0"/>
      <w:marBottom w:val="0"/>
      <w:divBdr>
        <w:top w:val="none" w:sz="0" w:space="0" w:color="auto"/>
        <w:left w:val="none" w:sz="0" w:space="0" w:color="auto"/>
        <w:bottom w:val="none" w:sz="0" w:space="0" w:color="auto"/>
        <w:right w:val="none" w:sz="0" w:space="0" w:color="auto"/>
      </w:divBdr>
    </w:div>
    <w:div w:id="400106418">
      <w:marLeft w:val="640"/>
      <w:marRight w:val="0"/>
      <w:marTop w:val="0"/>
      <w:marBottom w:val="0"/>
      <w:divBdr>
        <w:top w:val="none" w:sz="0" w:space="0" w:color="auto"/>
        <w:left w:val="none" w:sz="0" w:space="0" w:color="auto"/>
        <w:bottom w:val="none" w:sz="0" w:space="0" w:color="auto"/>
        <w:right w:val="none" w:sz="0" w:space="0" w:color="auto"/>
      </w:divBdr>
    </w:div>
    <w:div w:id="400954385">
      <w:marLeft w:val="640"/>
      <w:marRight w:val="0"/>
      <w:marTop w:val="0"/>
      <w:marBottom w:val="0"/>
      <w:divBdr>
        <w:top w:val="none" w:sz="0" w:space="0" w:color="auto"/>
        <w:left w:val="none" w:sz="0" w:space="0" w:color="auto"/>
        <w:bottom w:val="none" w:sz="0" w:space="0" w:color="auto"/>
        <w:right w:val="none" w:sz="0" w:space="0" w:color="auto"/>
      </w:divBdr>
    </w:div>
    <w:div w:id="401485523">
      <w:marLeft w:val="640"/>
      <w:marRight w:val="0"/>
      <w:marTop w:val="0"/>
      <w:marBottom w:val="0"/>
      <w:divBdr>
        <w:top w:val="none" w:sz="0" w:space="0" w:color="auto"/>
        <w:left w:val="none" w:sz="0" w:space="0" w:color="auto"/>
        <w:bottom w:val="none" w:sz="0" w:space="0" w:color="auto"/>
        <w:right w:val="none" w:sz="0" w:space="0" w:color="auto"/>
      </w:divBdr>
    </w:div>
    <w:div w:id="402068015">
      <w:marLeft w:val="640"/>
      <w:marRight w:val="0"/>
      <w:marTop w:val="0"/>
      <w:marBottom w:val="0"/>
      <w:divBdr>
        <w:top w:val="none" w:sz="0" w:space="0" w:color="auto"/>
        <w:left w:val="none" w:sz="0" w:space="0" w:color="auto"/>
        <w:bottom w:val="none" w:sz="0" w:space="0" w:color="auto"/>
        <w:right w:val="none" w:sz="0" w:space="0" w:color="auto"/>
      </w:divBdr>
    </w:div>
    <w:div w:id="402141550">
      <w:marLeft w:val="640"/>
      <w:marRight w:val="0"/>
      <w:marTop w:val="0"/>
      <w:marBottom w:val="0"/>
      <w:divBdr>
        <w:top w:val="none" w:sz="0" w:space="0" w:color="auto"/>
        <w:left w:val="none" w:sz="0" w:space="0" w:color="auto"/>
        <w:bottom w:val="none" w:sz="0" w:space="0" w:color="auto"/>
        <w:right w:val="none" w:sz="0" w:space="0" w:color="auto"/>
      </w:divBdr>
    </w:div>
    <w:div w:id="402220565">
      <w:marLeft w:val="640"/>
      <w:marRight w:val="0"/>
      <w:marTop w:val="0"/>
      <w:marBottom w:val="0"/>
      <w:divBdr>
        <w:top w:val="none" w:sz="0" w:space="0" w:color="auto"/>
        <w:left w:val="none" w:sz="0" w:space="0" w:color="auto"/>
        <w:bottom w:val="none" w:sz="0" w:space="0" w:color="auto"/>
        <w:right w:val="none" w:sz="0" w:space="0" w:color="auto"/>
      </w:divBdr>
    </w:div>
    <w:div w:id="402339110">
      <w:marLeft w:val="640"/>
      <w:marRight w:val="0"/>
      <w:marTop w:val="0"/>
      <w:marBottom w:val="0"/>
      <w:divBdr>
        <w:top w:val="none" w:sz="0" w:space="0" w:color="auto"/>
        <w:left w:val="none" w:sz="0" w:space="0" w:color="auto"/>
        <w:bottom w:val="none" w:sz="0" w:space="0" w:color="auto"/>
        <w:right w:val="none" w:sz="0" w:space="0" w:color="auto"/>
      </w:divBdr>
    </w:div>
    <w:div w:id="402608878">
      <w:marLeft w:val="640"/>
      <w:marRight w:val="0"/>
      <w:marTop w:val="0"/>
      <w:marBottom w:val="0"/>
      <w:divBdr>
        <w:top w:val="none" w:sz="0" w:space="0" w:color="auto"/>
        <w:left w:val="none" w:sz="0" w:space="0" w:color="auto"/>
        <w:bottom w:val="none" w:sz="0" w:space="0" w:color="auto"/>
        <w:right w:val="none" w:sz="0" w:space="0" w:color="auto"/>
      </w:divBdr>
    </w:div>
    <w:div w:id="403994487">
      <w:marLeft w:val="640"/>
      <w:marRight w:val="0"/>
      <w:marTop w:val="0"/>
      <w:marBottom w:val="0"/>
      <w:divBdr>
        <w:top w:val="none" w:sz="0" w:space="0" w:color="auto"/>
        <w:left w:val="none" w:sz="0" w:space="0" w:color="auto"/>
        <w:bottom w:val="none" w:sz="0" w:space="0" w:color="auto"/>
        <w:right w:val="none" w:sz="0" w:space="0" w:color="auto"/>
      </w:divBdr>
    </w:div>
    <w:div w:id="405031952">
      <w:marLeft w:val="640"/>
      <w:marRight w:val="0"/>
      <w:marTop w:val="0"/>
      <w:marBottom w:val="0"/>
      <w:divBdr>
        <w:top w:val="none" w:sz="0" w:space="0" w:color="auto"/>
        <w:left w:val="none" w:sz="0" w:space="0" w:color="auto"/>
        <w:bottom w:val="none" w:sz="0" w:space="0" w:color="auto"/>
        <w:right w:val="none" w:sz="0" w:space="0" w:color="auto"/>
      </w:divBdr>
    </w:div>
    <w:div w:id="406073647">
      <w:marLeft w:val="640"/>
      <w:marRight w:val="0"/>
      <w:marTop w:val="0"/>
      <w:marBottom w:val="0"/>
      <w:divBdr>
        <w:top w:val="none" w:sz="0" w:space="0" w:color="auto"/>
        <w:left w:val="none" w:sz="0" w:space="0" w:color="auto"/>
        <w:bottom w:val="none" w:sz="0" w:space="0" w:color="auto"/>
        <w:right w:val="none" w:sz="0" w:space="0" w:color="auto"/>
      </w:divBdr>
    </w:div>
    <w:div w:id="407045302">
      <w:marLeft w:val="640"/>
      <w:marRight w:val="0"/>
      <w:marTop w:val="0"/>
      <w:marBottom w:val="0"/>
      <w:divBdr>
        <w:top w:val="none" w:sz="0" w:space="0" w:color="auto"/>
        <w:left w:val="none" w:sz="0" w:space="0" w:color="auto"/>
        <w:bottom w:val="none" w:sz="0" w:space="0" w:color="auto"/>
        <w:right w:val="none" w:sz="0" w:space="0" w:color="auto"/>
      </w:divBdr>
    </w:div>
    <w:div w:id="408117695">
      <w:marLeft w:val="640"/>
      <w:marRight w:val="0"/>
      <w:marTop w:val="0"/>
      <w:marBottom w:val="0"/>
      <w:divBdr>
        <w:top w:val="none" w:sz="0" w:space="0" w:color="auto"/>
        <w:left w:val="none" w:sz="0" w:space="0" w:color="auto"/>
        <w:bottom w:val="none" w:sz="0" w:space="0" w:color="auto"/>
        <w:right w:val="none" w:sz="0" w:space="0" w:color="auto"/>
      </w:divBdr>
    </w:div>
    <w:div w:id="408963506">
      <w:marLeft w:val="640"/>
      <w:marRight w:val="0"/>
      <w:marTop w:val="0"/>
      <w:marBottom w:val="0"/>
      <w:divBdr>
        <w:top w:val="none" w:sz="0" w:space="0" w:color="auto"/>
        <w:left w:val="none" w:sz="0" w:space="0" w:color="auto"/>
        <w:bottom w:val="none" w:sz="0" w:space="0" w:color="auto"/>
        <w:right w:val="none" w:sz="0" w:space="0" w:color="auto"/>
      </w:divBdr>
    </w:div>
    <w:div w:id="409431122">
      <w:marLeft w:val="640"/>
      <w:marRight w:val="0"/>
      <w:marTop w:val="0"/>
      <w:marBottom w:val="0"/>
      <w:divBdr>
        <w:top w:val="none" w:sz="0" w:space="0" w:color="auto"/>
        <w:left w:val="none" w:sz="0" w:space="0" w:color="auto"/>
        <w:bottom w:val="none" w:sz="0" w:space="0" w:color="auto"/>
        <w:right w:val="none" w:sz="0" w:space="0" w:color="auto"/>
      </w:divBdr>
    </w:div>
    <w:div w:id="410124517">
      <w:marLeft w:val="640"/>
      <w:marRight w:val="0"/>
      <w:marTop w:val="0"/>
      <w:marBottom w:val="0"/>
      <w:divBdr>
        <w:top w:val="none" w:sz="0" w:space="0" w:color="auto"/>
        <w:left w:val="none" w:sz="0" w:space="0" w:color="auto"/>
        <w:bottom w:val="none" w:sz="0" w:space="0" w:color="auto"/>
        <w:right w:val="none" w:sz="0" w:space="0" w:color="auto"/>
      </w:divBdr>
    </w:div>
    <w:div w:id="410733173">
      <w:marLeft w:val="640"/>
      <w:marRight w:val="0"/>
      <w:marTop w:val="0"/>
      <w:marBottom w:val="0"/>
      <w:divBdr>
        <w:top w:val="none" w:sz="0" w:space="0" w:color="auto"/>
        <w:left w:val="none" w:sz="0" w:space="0" w:color="auto"/>
        <w:bottom w:val="none" w:sz="0" w:space="0" w:color="auto"/>
        <w:right w:val="none" w:sz="0" w:space="0" w:color="auto"/>
      </w:divBdr>
    </w:div>
    <w:div w:id="411926149">
      <w:marLeft w:val="640"/>
      <w:marRight w:val="0"/>
      <w:marTop w:val="0"/>
      <w:marBottom w:val="0"/>
      <w:divBdr>
        <w:top w:val="none" w:sz="0" w:space="0" w:color="auto"/>
        <w:left w:val="none" w:sz="0" w:space="0" w:color="auto"/>
        <w:bottom w:val="none" w:sz="0" w:space="0" w:color="auto"/>
        <w:right w:val="none" w:sz="0" w:space="0" w:color="auto"/>
      </w:divBdr>
    </w:div>
    <w:div w:id="413012681">
      <w:marLeft w:val="640"/>
      <w:marRight w:val="0"/>
      <w:marTop w:val="0"/>
      <w:marBottom w:val="0"/>
      <w:divBdr>
        <w:top w:val="none" w:sz="0" w:space="0" w:color="auto"/>
        <w:left w:val="none" w:sz="0" w:space="0" w:color="auto"/>
        <w:bottom w:val="none" w:sz="0" w:space="0" w:color="auto"/>
        <w:right w:val="none" w:sz="0" w:space="0" w:color="auto"/>
      </w:divBdr>
    </w:div>
    <w:div w:id="414203173">
      <w:marLeft w:val="640"/>
      <w:marRight w:val="0"/>
      <w:marTop w:val="0"/>
      <w:marBottom w:val="0"/>
      <w:divBdr>
        <w:top w:val="none" w:sz="0" w:space="0" w:color="auto"/>
        <w:left w:val="none" w:sz="0" w:space="0" w:color="auto"/>
        <w:bottom w:val="none" w:sz="0" w:space="0" w:color="auto"/>
        <w:right w:val="none" w:sz="0" w:space="0" w:color="auto"/>
      </w:divBdr>
    </w:div>
    <w:div w:id="415245542">
      <w:marLeft w:val="640"/>
      <w:marRight w:val="0"/>
      <w:marTop w:val="0"/>
      <w:marBottom w:val="0"/>
      <w:divBdr>
        <w:top w:val="none" w:sz="0" w:space="0" w:color="auto"/>
        <w:left w:val="none" w:sz="0" w:space="0" w:color="auto"/>
        <w:bottom w:val="none" w:sz="0" w:space="0" w:color="auto"/>
        <w:right w:val="none" w:sz="0" w:space="0" w:color="auto"/>
      </w:divBdr>
    </w:div>
    <w:div w:id="415589709">
      <w:marLeft w:val="640"/>
      <w:marRight w:val="0"/>
      <w:marTop w:val="0"/>
      <w:marBottom w:val="0"/>
      <w:divBdr>
        <w:top w:val="none" w:sz="0" w:space="0" w:color="auto"/>
        <w:left w:val="none" w:sz="0" w:space="0" w:color="auto"/>
        <w:bottom w:val="none" w:sz="0" w:space="0" w:color="auto"/>
        <w:right w:val="none" w:sz="0" w:space="0" w:color="auto"/>
      </w:divBdr>
    </w:div>
    <w:div w:id="416483062">
      <w:marLeft w:val="640"/>
      <w:marRight w:val="0"/>
      <w:marTop w:val="0"/>
      <w:marBottom w:val="0"/>
      <w:divBdr>
        <w:top w:val="none" w:sz="0" w:space="0" w:color="auto"/>
        <w:left w:val="none" w:sz="0" w:space="0" w:color="auto"/>
        <w:bottom w:val="none" w:sz="0" w:space="0" w:color="auto"/>
        <w:right w:val="none" w:sz="0" w:space="0" w:color="auto"/>
      </w:divBdr>
    </w:div>
    <w:div w:id="416487923">
      <w:marLeft w:val="640"/>
      <w:marRight w:val="0"/>
      <w:marTop w:val="0"/>
      <w:marBottom w:val="0"/>
      <w:divBdr>
        <w:top w:val="none" w:sz="0" w:space="0" w:color="auto"/>
        <w:left w:val="none" w:sz="0" w:space="0" w:color="auto"/>
        <w:bottom w:val="none" w:sz="0" w:space="0" w:color="auto"/>
        <w:right w:val="none" w:sz="0" w:space="0" w:color="auto"/>
      </w:divBdr>
    </w:div>
    <w:div w:id="416636249">
      <w:marLeft w:val="640"/>
      <w:marRight w:val="0"/>
      <w:marTop w:val="0"/>
      <w:marBottom w:val="0"/>
      <w:divBdr>
        <w:top w:val="none" w:sz="0" w:space="0" w:color="auto"/>
        <w:left w:val="none" w:sz="0" w:space="0" w:color="auto"/>
        <w:bottom w:val="none" w:sz="0" w:space="0" w:color="auto"/>
        <w:right w:val="none" w:sz="0" w:space="0" w:color="auto"/>
      </w:divBdr>
    </w:div>
    <w:div w:id="417019579">
      <w:marLeft w:val="640"/>
      <w:marRight w:val="0"/>
      <w:marTop w:val="0"/>
      <w:marBottom w:val="0"/>
      <w:divBdr>
        <w:top w:val="none" w:sz="0" w:space="0" w:color="auto"/>
        <w:left w:val="none" w:sz="0" w:space="0" w:color="auto"/>
        <w:bottom w:val="none" w:sz="0" w:space="0" w:color="auto"/>
        <w:right w:val="none" w:sz="0" w:space="0" w:color="auto"/>
      </w:divBdr>
    </w:div>
    <w:div w:id="417336740">
      <w:marLeft w:val="640"/>
      <w:marRight w:val="0"/>
      <w:marTop w:val="0"/>
      <w:marBottom w:val="0"/>
      <w:divBdr>
        <w:top w:val="none" w:sz="0" w:space="0" w:color="auto"/>
        <w:left w:val="none" w:sz="0" w:space="0" w:color="auto"/>
        <w:bottom w:val="none" w:sz="0" w:space="0" w:color="auto"/>
        <w:right w:val="none" w:sz="0" w:space="0" w:color="auto"/>
      </w:divBdr>
    </w:div>
    <w:div w:id="417406350">
      <w:marLeft w:val="640"/>
      <w:marRight w:val="0"/>
      <w:marTop w:val="0"/>
      <w:marBottom w:val="0"/>
      <w:divBdr>
        <w:top w:val="none" w:sz="0" w:space="0" w:color="auto"/>
        <w:left w:val="none" w:sz="0" w:space="0" w:color="auto"/>
        <w:bottom w:val="none" w:sz="0" w:space="0" w:color="auto"/>
        <w:right w:val="none" w:sz="0" w:space="0" w:color="auto"/>
      </w:divBdr>
    </w:div>
    <w:div w:id="417874702">
      <w:marLeft w:val="640"/>
      <w:marRight w:val="0"/>
      <w:marTop w:val="0"/>
      <w:marBottom w:val="0"/>
      <w:divBdr>
        <w:top w:val="none" w:sz="0" w:space="0" w:color="auto"/>
        <w:left w:val="none" w:sz="0" w:space="0" w:color="auto"/>
        <w:bottom w:val="none" w:sz="0" w:space="0" w:color="auto"/>
        <w:right w:val="none" w:sz="0" w:space="0" w:color="auto"/>
      </w:divBdr>
    </w:div>
    <w:div w:id="418059078">
      <w:marLeft w:val="640"/>
      <w:marRight w:val="0"/>
      <w:marTop w:val="0"/>
      <w:marBottom w:val="0"/>
      <w:divBdr>
        <w:top w:val="none" w:sz="0" w:space="0" w:color="auto"/>
        <w:left w:val="none" w:sz="0" w:space="0" w:color="auto"/>
        <w:bottom w:val="none" w:sz="0" w:space="0" w:color="auto"/>
        <w:right w:val="none" w:sz="0" w:space="0" w:color="auto"/>
      </w:divBdr>
    </w:div>
    <w:div w:id="418914918">
      <w:marLeft w:val="640"/>
      <w:marRight w:val="0"/>
      <w:marTop w:val="0"/>
      <w:marBottom w:val="0"/>
      <w:divBdr>
        <w:top w:val="none" w:sz="0" w:space="0" w:color="auto"/>
        <w:left w:val="none" w:sz="0" w:space="0" w:color="auto"/>
        <w:bottom w:val="none" w:sz="0" w:space="0" w:color="auto"/>
        <w:right w:val="none" w:sz="0" w:space="0" w:color="auto"/>
      </w:divBdr>
    </w:div>
    <w:div w:id="419914682">
      <w:marLeft w:val="640"/>
      <w:marRight w:val="0"/>
      <w:marTop w:val="0"/>
      <w:marBottom w:val="0"/>
      <w:divBdr>
        <w:top w:val="none" w:sz="0" w:space="0" w:color="auto"/>
        <w:left w:val="none" w:sz="0" w:space="0" w:color="auto"/>
        <w:bottom w:val="none" w:sz="0" w:space="0" w:color="auto"/>
        <w:right w:val="none" w:sz="0" w:space="0" w:color="auto"/>
      </w:divBdr>
    </w:div>
    <w:div w:id="421415240">
      <w:marLeft w:val="640"/>
      <w:marRight w:val="0"/>
      <w:marTop w:val="0"/>
      <w:marBottom w:val="0"/>
      <w:divBdr>
        <w:top w:val="none" w:sz="0" w:space="0" w:color="auto"/>
        <w:left w:val="none" w:sz="0" w:space="0" w:color="auto"/>
        <w:bottom w:val="none" w:sz="0" w:space="0" w:color="auto"/>
        <w:right w:val="none" w:sz="0" w:space="0" w:color="auto"/>
      </w:divBdr>
    </w:div>
    <w:div w:id="422919555">
      <w:marLeft w:val="640"/>
      <w:marRight w:val="0"/>
      <w:marTop w:val="0"/>
      <w:marBottom w:val="0"/>
      <w:divBdr>
        <w:top w:val="none" w:sz="0" w:space="0" w:color="auto"/>
        <w:left w:val="none" w:sz="0" w:space="0" w:color="auto"/>
        <w:bottom w:val="none" w:sz="0" w:space="0" w:color="auto"/>
        <w:right w:val="none" w:sz="0" w:space="0" w:color="auto"/>
      </w:divBdr>
    </w:div>
    <w:div w:id="423038112">
      <w:marLeft w:val="640"/>
      <w:marRight w:val="0"/>
      <w:marTop w:val="0"/>
      <w:marBottom w:val="0"/>
      <w:divBdr>
        <w:top w:val="none" w:sz="0" w:space="0" w:color="auto"/>
        <w:left w:val="none" w:sz="0" w:space="0" w:color="auto"/>
        <w:bottom w:val="none" w:sz="0" w:space="0" w:color="auto"/>
        <w:right w:val="none" w:sz="0" w:space="0" w:color="auto"/>
      </w:divBdr>
    </w:div>
    <w:div w:id="423763543">
      <w:marLeft w:val="640"/>
      <w:marRight w:val="0"/>
      <w:marTop w:val="0"/>
      <w:marBottom w:val="0"/>
      <w:divBdr>
        <w:top w:val="none" w:sz="0" w:space="0" w:color="auto"/>
        <w:left w:val="none" w:sz="0" w:space="0" w:color="auto"/>
        <w:bottom w:val="none" w:sz="0" w:space="0" w:color="auto"/>
        <w:right w:val="none" w:sz="0" w:space="0" w:color="auto"/>
      </w:divBdr>
    </w:div>
    <w:div w:id="423964197">
      <w:marLeft w:val="640"/>
      <w:marRight w:val="0"/>
      <w:marTop w:val="0"/>
      <w:marBottom w:val="0"/>
      <w:divBdr>
        <w:top w:val="none" w:sz="0" w:space="0" w:color="auto"/>
        <w:left w:val="none" w:sz="0" w:space="0" w:color="auto"/>
        <w:bottom w:val="none" w:sz="0" w:space="0" w:color="auto"/>
        <w:right w:val="none" w:sz="0" w:space="0" w:color="auto"/>
      </w:divBdr>
    </w:div>
    <w:div w:id="425422191">
      <w:marLeft w:val="640"/>
      <w:marRight w:val="0"/>
      <w:marTop w:val="0"/>
      <w:marBottom w:val="0"/>
      <w:divBdr>
        <w:top w:val="none" w:sz="0" w:space="0" w:color="auto"/>
        <w:left w:val="none" w:sz="0" w:space="0" w:color="auto"/>
        <w:bottom w:val="none" w:sz="0" w:space="0" w:color="auto"/>
        <w:right w:val="none" w:sz="0" w:space="0" w:color="auto"/>
      </w:divBdr>
    </w:div>
    <w:div w:id="426384719">
      <w:marLeft w:val="640"/>
      <w:marRight w:val="0"/>
      <w:marTop w:val="0"/>
      <w:marBottom w:val="0"/>
      <w:divBdr>
        <w:top w:val="none" w:sz="0" w:space="0" w:color="auto"/>
        <w:left w:val="none" w:sz="0" w:space="0" w:color="auto"/>
        <w:bottom w:val="none" w:sz="0" w:space="0" w:color="auto"/>
        <w:right w:val="none" w:sz="0" w:space="0" w:color="auto"/>
      </w:divBdr>
    </w:div>
    <w:div w:id="426585724">
      <w:marLeft w:val="640"/>
      <w:marRight w:val="0"/>
      <w:marTop w:val="0"/>
      <w:marBottom w:val="0"/>
      <w:divBdr>
        <w:top w:val="none" w:sz="0" w:space="0" w:color="auto"/>
        <w:left w:val="none" w:sz="0" w:space="0" w:color="auto"/>
        <w:bottom w:val="none" w:sz="0" w:space="0" w:color="auto"/>
        <w:right w:val="none" w:sz="0" w:space="0" w:color="auto"/>
      </w:divBdr>
    </w:div>
    <w:div w:id="427242121">
      <w:marLeft w:val="640"/>
      <w:marRight w:val="0"/>
      <w:marTop w:val="0"/>
      <w:marBottom w:val="0"/>
      <w:divBdr>
        <w:top w:val="none" w:sz="0" w:space="0" w:color="auto"/>
        <w:left w:val="none" w:sz="0" w:space="0" w:color="auto"/>
        <w:bottom w:val="none" w:sz="0" w:space="0" w:color="auto"/>
        <w:right w:val="none" w:sz="0" w:space="0" w:color="auto"/>
      </w:divBdr>
    </w:div>
    <w:div w:id="427850212">
      <w:marLeft w:val="640"/>
      <w:marRight w:val="0"/>
      <w:marTop w:val="0"/>
      <w:marBottom w:val="0"/>
      <w:divBdr>
        <w:top w:val="none" w:sz="0" w:space="0" w:color="auto"/>
        <w:left w:val="none" w:sz="0" w:space="0" w:color="auto"/>
        <w:bottom w:val="none" w:sz="0" w:space="0" w:color="auto"/>
        <w:right w:val="none" w:sz="0" w:space="0" w:color="auto"/>
      </w:divBdr>
    </w:div>
    <w:div w:id="429473365">
      <w:marLeft w:val="640"/>
      <w:marRight w:val="0"/>
      <w:marTop w:val="0"/>
      <w:marBottom w:val="0"/>
      <w:divBdr>
        <w:top w:val="none" w:sz="0" w:space="0" w:color="auto"/>
        <w:left w:val="none" w:sz="0" w:space="0" w:color="auto"/>
        <w:bottom w:val="none" w:sz="0" w:space="0" w:color="auto"/>
        <w:right w:val="none" w:sz="0" w:space="0" w:color="auto"/>
      </w:divBdr>
    </w:div>
    <w:div w:id="429934053">
      <w:marLeft w:val="640"/>
      <w:marRight w:val="0"/>
      <w:marTop w:val="0"/>
      <w:marBottom w:val="0"/>
      <w:divBdr>
        <w:top w:val="none" w:sz="0" w:space="0" w:color="auto"/>
        <w:left w:val="none" w:sz="0" w:space="0" w:color="auto"/>
        <w:bottom w:val="none" w:sz="0" w:space="0" w:color="auto"/>
        <w:right w:val="none" w:sz="0" w:space="0" w:color="auto"/>
      </w:divBdr>
    </w:div>
    <w:div w:id="431123437">
      <w:marLeft w:val="640"/>
      <w:marRight w:val="0"/>
      <w:marTop w:val="0"/>
      <w:marBottom w:val="0"/>
      <w:divBdr>
        <w:top w:val="none" w:sz="0" w:space="0" w:color="auto"/>
        <w:left w:val="none" w:sz="0" w:space="0" w:color="auto"/>
        <w:bottom w:val="none" w:sz="0" w:space="0" w:color="auto"/>
        <w:right w:val="none" w:sz="0" w:space="0" w:color="auto"/>
      </w:divBdr>
    </w:div>
    <w:div w:id="431897525">
      <w:marLeft w:val="640"/>
      <w:marRight w:val="0"/>
      <w:marTop w:val="0"/>
      <w:marBottom w:val="0"/>
      <w:divBdr>
        <w:top w:val="none" w:sz="0" w:space="0" w:color="auto"/>
        <w:left w:val="none" w:sz="0" w:space="0" w:color="auto"/>
        <w:bottom w:val="none" w:sz="0" w:space="0" w:color="auto"/>
        <w:right w:val="none" w:sz="0" w:space="0" w:color="auto"/>
      </w:divBdr>
    </w:div>
    <w:div w:id="432212864">
      <w:marLeft w:val="640"/>
      <w:marRight w:val="0"/>
      <w:marTop w:val="0"/>
      <w:marBottom w:val="0"/>
      <w:divBdr>
        <w:top w:val="none" w:sz="0" w:space="0" w:color="auto"/>
        <w:left w:val="none" w:sz="0" w:space="0" w:color="auto"/>
        <w:bottom w:val="none" w:sz="0" w:space="0" w:color="auto"/>
        <w:right w:val="none" w:sz="0" w:space="0" w:color="auto"/>
      </w:divBdr>
    </w:div>
    <w:div w:id="432481689">
      <w:marLeft w:val="640"/>
      <w:marRight w:val="0"/>
      <w:marTop w:val="0"/>
      <w:marBottom w:val="0"/>
      <w:divBdr>
        <w:top w:val="none" w:sz="0" w:space="0" w:color="auto"/>
        <w:left w:val="none" w:sz="0" w:space="0" w:color="auto"/>
        <w:bottom w:val="none" w:sz="0" w:space="0" w:color="auto"/>
        <w:right w:val="none" w:sz="0" w:space="0" w:color="auto"/>
      </w:divBdr>
    </w:div>
    <w:div w:id="432553801">
      <w:marLeft w:val="640"/>
      <w:marRight w:val="0"/>
      <w:marTop w:val="0"/>
      <w:marBottom w:val="0"/>
      <w:divBdr>
        <w:top w:val="none" w:sz="0" w:space="0" w:color="auto"/>
        <w:left w:val="none" w:sz="0" w:space="0" w:color="auto"/>
        <w:bottom w:val="none" w:sz="0" w:space="0" w:color="auto"/>
        <w:right w:val="none" w:sz="0" w:space="0" w:color="auto"/>
      </w:divBdr>
    </w:div>
    <w:div w:id="433138376">
      <w:marLeft w:val="640"/>
      <w:marRight w:val="0"/>
      <w:marTop w:val="0"/>
      <w:marBottom w:val="0"/>
      <w:divBdr>
        <w:top w:val="none" w:sz="0" w:space="0" w:color="auto"/>
        <w:left w:val="none" w:sz="0" w:space="0" w:color="auto"/>
        <w:bottom w:val="none" w:sz="0" w:space="0" w:color="auto"/>
        <w:right w:val="none" w:sz="0" w:space="0" w:color="auto"/>
      </w:divBdr>
    </w:div>
    <w:div w:id="433286124">
      <w:marLeft w:val="640"/>
      <w:marRight w:val="0"/>
      <w:marTop w:val="0"/>
      <w:marBottom w:val="0"/>
      <w:divBdr>
        <w:top w:val="none" w:sz="0" w:space="0" w:color="auto"/>
        <w:left w:val="none" w:sz="0" w:space="0" w:color="auto"/>
        <w:bottom w:val="none" w:sz="0" w:space="0" w:color="auto"/>
        <w:right w:val="none" w:sz="0" w:space="0" w:color="auto"/>
      </w:divBdr>
    </w:div>
    <w:div w:id="434326170">
      <w:marLeft w:val="640"/>
      <w:marRight w:val="0"/>
      <w:marTop w:val="0"/>
      <w:marBottom w:val="0"/>
      <w:divBdr>
        <w:top w:val="none" w:sz="0" w:space="0" w:color="auto"/>
        <w:left w:val="none" w:sz="0" w:space="0" w:color="auto"/>
        <w:bottom w:val="none" w:sz="0" w:space="0" w:color="auto"/>
        <w:right w:val="none" w:sz="0" w:space="0" w:color="auto"/>
      </w:divBdr>
    </w:div>
    <w:div w:id="436295747">
      <w:marLeft w:val="640"/>
      <w:marRight w:val="0"/>
      <w:marTop w:val="0"/>
      <w:marBottom w:val="0"/>
      <w:divBdr>
        <w:top w:val="none" w:sz="0" w:space="0" w:color="auto"/>
        <w:left w:val="none" w:sz="0" w:space="0" w:color="auto"/>
        <w:bottom w:val="none" w:sz="0" w:space="0" w:color="auto"/>
        <w:right w:val="none" w:sz="0" w:space="0" w:color="auto"/>
      </w:divBdr>
    </w:div>
    <w:div w:id="436682719">
      <w:marLeft w:val="640"/>
      <w:marRight w:val="0"/>
      <w:marTop w:val="0"/>
      <w:marBottom w:val="0"/>
      <w:divBdr>
        <w:top w:val="none" w:sz="0" w:space="0" w:color="auto"/>
        <w:left w:val="none" w:sz="0" w:space="0" w:color="auto"/>
        <w:bottom w:val="none" w:sz="0" w:space="0" w:color="auto"/>
        <w:right w:val="none" w:sz="0" w:space="0" w:color="auto"/>
      </w:divBdr>
    </w:div>
    <w:div w:id="436757670">
      <w:marLeft w:val="640"/>
      <w:marRight w:val="0"/>
      <w:marTop w:val="0"/>
      <w:marBottom w:val="0"/>
      <w:divBdr>
        <w:top w:val="none" w:sz="0" w:space="0" w:color="auto"/>
        <w:left w:val="none" w:sz="0" w:space="0" w:color="auto"/>
        <w:bottom w:val="none" w:sz="0" w:space="0" w:color="auto"/>
        <w:right w:val="none" w:sz="0" w:space="0" w:color="auto"/>
      </w:divBdr>
    </w:div>
    <w:div w:id="436827945">
      <w:marLeft w:val="640"/>
      <w:marRight w:val="0"/>
      <w:marTop w:val="0"/>
      <w:marBottom w:val="0"/>
      <w:divBdr>
        <w:top w:val="none" w:sz="0" w:space="0" w:color="auto"/>
        <w:left w:val="none" w:sz="0" w:space="0" w:color="auto"/>
        <w:bottom w:val="none" w:sz="0" w:space="0" w:color="auto"/>
        <w:right w:val="none" w:sz="0" w:space="0" w:color="auto"/>
      </w:divBdr>
    </w:div>
    <w:div w:id="437991110">
      <w:marLeft w:val="640"/>
      <w:marRight w:val="0"/>
      <w:marTop w:val="0"/>
      <w:marBottom w:val="0"/>
      <w:divBdr>
        <w:top w:val="none" w:sz="0" w:space="0" w:color="auto"/>
        <w:left w:val="none" w:sz="0" w:space="0" w:color="auto"/>
        <w:bottom w:val="none" w:sz="0" w:space="0" w:color="auto"/>
        <w:right w:val="none" w:sz="0" w:space="0" w:color="auto"/>
      </w:divBdr>
    </w:div>
    <w:div w:id="438138532">
      <w:marLeft w:val="640"/>
      <w:marRight w:val="0"/>
      <w:marTop w:val="0"/>
      <w:marBottom w:val="0"/>
      <w:divBdr>
        <w:top w:val="none" w:sz="0" w:space="0" w:color="auto"/>
        <w:left w:val="none" w:sz="0" w:space="0" w:color="auto"/>
        <w:bottom w:val="none" w:sz="0" w:space="0" w:color="auto"/>
        <w:right w:val="none" w:sz="0" w:space="0" w:color="auto"/>
      </w:divBdr>
    </w:div>
    <w:div w:id="438649167">
      <w:marLeft w:val="640"/>
      <w:marRight w:val="0"/>
      <w:marTop w:val="0"/>
      <w:marBottom w:val="0"/>
      <w:divBdr>
        <w:top w:val="none" w:sz="0" w:space="0" w:color="auto"/>
        <w:left w:val="none" w:sz="0" w:space="0" w:color="auto"/>
        <w:bottom w:val="none" w:sz="0" w:space="0" w:color="auto"/>
        <w:right w:val="none" w:sz="0" w:space="0" w:color="auto"/>
      </w:divBdr>
    </w:div>
    <w:div w:id="438718671">
      <w:marLeft w:val="640"/>
      <w:marRight w:val="0"/>
      <w:marTop w:val="0"/>
      <w:marBottom w:val="0"/>
      <w:divBdr>
        <w:top w:val="none" w:sz="0" w:space="0" w:color="auto"/>
        <w:left w:val="none" w:sz="0" w:space="0" w:color="auto"/>
        <w:bottom w:val="none" w:sz="0" w:space="0" w:color="auto"/>
        <w:right w:val="none" w:sz="0" w:space="0" w:color="auto"/>
      </w:divBdr>
    </w:div>
    <w:div w:id="439296982">
      <w:marLeft w:val="640"/>
      <w:marRight w:val="0"/>
      <w:marTop w:val="0"/>
      <w:marBottom w:val="0"/>
      <w:divBdr>
        <w:top w:val="none" w:sz="0" w:space="0" w:color="auto"/>
        <w:left w:val="none" w:sz="0" w:space="0" w:color="auto"/>
        <w:bottom w:val="none" w:sz="0" w:space="0" w:color="auto"/>
        <w:right w:val="none" w:sz="0" w:space="0" w:color="auto"/>
      </w:divBdr>
    </w:div>
    <w:div w:id="439758796">
      <w:marLeft w:val="640"/>
      <w:marRight w:val="0"/>
      <w:marTop w:val="0"/>
      <w:marBottom w:val="0"/>
      <w:divBdr>
        <w:top w:val="none" w:sz="0" w:space="0" w:color="auto"/>
        <w:left w:val="none" w:sz="0" w:space="0" w:color="auto"/>
        <w:bottom w:val="none" w:sz="0" w:space="0" w:color="auto"/>
        <w:right w:val="none" w:sz="0" w:space="0" w:color="auto"/>
      </w:divBdr>
    </w:div>
    <w:div w:id="440102082">
      <w:marLeft w:val="640"/>
      <w:marRight w:val="0"/>
      <w:marTop w:val="0"/>
      <w:marBottom w:val="0"/>
      <w:divBdr>
        <w:top w:val="none" w:sz="0" w:space="0" w:color="auto"/>
        <w:left w:val="none" w:sz="0" w:space="0" w:color="auto"/>
        <w:bottom w:val="none" w:sz="0" w:space="0" w:color="auto"/>
        <w:right w:val="none" w:sz="0" w:space="0" w:color="auto"/>
      </w:divBdr>
    </w:div>
    <w:div w:id="440226783">
      <w:marLeft w:val="640"/>
      <w:marRight w:val="0"/>
      <w:marTop w:val="0"/>
      <w:marBottom w:val="0"/>
      <w:divBdr>
        <w:top w:val="none" w:sz="0" w:space="0" w:color="auto"/>
        <w:left w:val="none" w:sz="0" w:space="0" w:color="auto"/>
        <w:bottom w:val="none" w:sz="0" w:space="0" w:color="auto"/>
        <w:right w:val="none" w:sz="0" w:space="0" w:color="auto"/>
      </w:divBdr>
    </w:div>
    <w:div w:id="440565291">
      <w:marLeft w:val="640"/>
      <w:marRight w:val="0"/>
      <w:marTop w:val="0"/>
      <w:marBottom w:val="0"/>
      <w:divBdr>
        <w:top w:val="none" w:sz="0" w:space="0" w:color="auto"/>
        <w:left w:val="none" w:sz="0" w:space="0" w:color="auto"/>
        <w:bottom w:val="none" w:sz="0" w:space="0" w:color="auto"/>
        <w:right w:val="none" w:sz="0" w:space="0" w:color="auto"/>
      </w:divBdr>
    </w:div>
    <w:div w:id="441152946">
      <w:marLeft w:val="640"/>
      <w:marRight w:val="0"/>
      <w:marTop w:val="0"/>
      <w:marBottom w:val="0"/>
      <w:divBdr>
        <w:top w:val="none" w:sz="0" w:space="0" w:color="auto"/>
        <w:left w:val="none" w:sz="0" w:space="0" w:color="auto"/>
        <w:bottom w:val="none" w:sz="0" w:space="0" w:color="auto"/>
        <w:right w:val="none" w:sz="0" w:space="0" w:color="auto"/>
      </w:divBdr>
    </w:div>
    <w:div w:id="441193714">
      <w:marLeft w:val="640"/>
      <w:marRight w:val="0"/>
      <w:marTop w:val="0"/>
      <w:marBottom w:val="0"/>
      <w:divBdr>
        <w:top w:val="none" w:sz="0" w:space="0" w:color="auto"/>
        <w:left w:val="none" w:sz="0" w:space="0" w:color="auto"/>
        <w:bottom w:val="none" w:sz="0" w:space="0" w:color="auto"/>
        <w:right w:val="none" w:sz="0" w:space="0" w:color="auto"/>
      </w:divBdr>
    </w:div>
    <w:div w:id="441725384">
      <w:marLeft w:val="640"/>
      <w:marRight w:val="0"/>
      <w:marTop w:val="0"/>
      <w:marBottom w:val="0"/>
      <w:divBdr>
        <w:top w:val="none" w:sz="0" w:space="0" w:color="auto"/>
        <w:left w:val="none" w:sz="0" w:space="0" w:color="auto"/>
        <w:bottom w:val="none" w:sz="0" w:space="0" w:color="auto"/>
        <w:right w:val="none" w:sz="0" w:space="0" w:color="auto"/>
      </w:divBdr>
    </w:div>
    <w:div w:id="442387234">
      <w:marLeft w:val="640"/>
      <w:marRight w:val="0"/>
      <w:marTop w:val="0"/>
      <w:marBottom w:val="0"/>
      <w:divBdr>
        <w:top w:val="none" w:sz="0" w:space="0" w:color="auto"/>
        <w:left w:val="none" w:sz="0" w:space="0" w:color="auto"/>
        <w:bottom w:val="none" w:sz="0" w:space="0" w:color="auto"/>
        <w:right w:val="none" w:sz="0" w:space="0" w:color="auto"/>
      </w:divBdr>
    </w:div>
    <w:div w:id="442963893">
      <w:marLeft w:val="640"/>
      <w:marRight w:val="0"/>
      <w:marTop w:val="0"/>
      <w:marBottom w:val="0"/>
      <w:divBdr>
        <w:top w:val="none" w:sz="0" w:space="0" w:color="auto"/>
        <w:left w:val="none" w:sz="0" w:space="0" w:color="auto"/>
        <w:bottom w:val="none" w:sz="0" w:space="0" w:color="auto"/>
        <w:right w:val="none" w:sz="0" w:space="0" w:color="auto"/>
      </w:divBdr>
    </w:div>
    <w:div w:id="443963626">
      <w:marLeft w:val="640"/>
      <w:marRight w:val="0"/>
      <w:marTop w:val="0"/>
      <w:marBottom w:val="0"/>
      <w:divBdr>
        <w:top w:val="none" w:sz="0" w:space="0" w:color="auto"/>
        <w:left w:val="none" w:sz="0" w:space="0" w:color="auto"/>
        <w:bottom w:val="none" w:sz="0" w:space="0" w:color="auto"/>
        <w:right w:val="none" w:sz="0" w:space="0" w:color="auto"/>
      </w:divBdr>
    </w:div>
    <w:div w:id="444465859">
      <w:marLeft w:val="640"/>
      <w:marRight w:val="0"/>
      <w:marTop w:val="0"/>
      <w:marBottom w:val="0"/>
      <w:divBdr>
        <w:top w:val="none" w:sz="0" w:space="0" w:color="auto"/>
        <w:left w:val="none" w:sz="0" w:space="0" w:color="auto"/>
        <w:bottom w:val="none" w:sz="0" w:space="0" w:color="auto"/>
        <w:right w:val="none" w:sz="0" w:space="0" w:color="auto"/>
      </w:divBdr>
    </w:div>
    <w:div w:id="444813154">
      <w:marLeft w:val="640"/>
      <w:marRight w:val="0"/>
      <w:marTop w:val="0"/>
      <w:marBottom w:val="0"/>
      <w:divBdr>
        <w:top w:val="none" w:sz="0" w:space="0" w:color="auto"/>
        <w:left w:val="none" w:sz="0" w:space="0" w:color="auto"/>
        <w:bottom w:val="none" w:sz="0" w:space="0" w:color="auto"/>
        <w:right w:val="none" w:sz="0" w:space="0" w:color="auto"/>
      </w:divBdr>
    </w:div>
    <w:div w:id="445582753">
      <w:marLeft w:val="640"/>
      <w:marRight w:val="0"/>
      <w:marTop w:val="0"/>
      <w:marBottom w:val="0"/>
      <w:divBdr>
        <w:top w:val="none" w:sz="0" w:space="0" w:color="auto"/>
        <w:left w:val="none" w:sz="0" w:space="0" w:color="auto"/>
        <w:bottom w:val="none" w:sz="0" w:space="0" w:color="auto"/>
        <w:right w:val="none" w:sz="0" w:space="0" w:color="auto"/>
      </w:divBdr>
    </w:div>
    <w:div w:id="446782421">
      <w:marLeft w:val="640"/>
      <w:marRight w:val="0"/>
      <w:marTop w:val="0"/>
      <w:marBottom w:val="0"/>
      <w:divBdr>
        <w:top w:val="none" w:sz="0" w:space="0" w:color="auto"/>
        <w:left w:val="none" w:sz="0" w:space="0" w:color="auto"/>
        <w:bottom w:val="none" w:sz="0" w:space="0" w:color="auto"/>
        <w:right w:val="none" w:sz="0" w:space="0" w:color="auto"/>
      </w:divBdr>
    </w:div>
    <w:div w:id="446848788">
      <w:marLeft w:val="640"/>
      <w:marRight w:val="0"/>
      <w:marTop w:val="0"/>
      <w:marBottom w:val="0"/>
      <w:divBdr>
        <w:top w:val="none" w:sz="0" w:space="0" w:color="auto"/>
        <w:left w:val="none" w:sz="0" w:space="0" w:color="auto"/>
        <w:bottom w:val="none" w:sz="0" w:space="0" w:color="auto"/>
        <w:right w:val="none" w:sz="0" w:space="0" w:color="auto"/>
      </w:divBdr>
    </w:div>
    <w:div w:id="446856674">
      <w:marLeft w:val="640"/>
      <w:marRight w:val="0"/>
      <w:marTop w:val="0"/>
      <w:marBottom w:val="0"/>
      <w:divBdr>
        <w:top w:val="none" w:sz="0" w:space="0" w:color="auto"/>
        <w:left w:val="none" w:sz="0" w:space="0" w:color="auto"/>
        <w:bottom w:val="none" w:sz="0" w:space="0" w:color="auto"/>
        <w:right w:val="none" w:sz="0" w:space="0" w:color="auto"/>
      </w:divBdr>
    </w:div>
    <w:div w:id="447629499">
      <w:marLeft w:val="640"/>
      <w:marRight w:val="0"/>
      <w:marTop w:val="0"/>
      <w:marBottom w:val="0"/>
      <w:divBdr>
        <w:top w:val="none" w:sz="0" w:space="0" w:color="auto"/>
        <w:left w:val="none" w:sz="0" w:space="0" w:color="auto"/>
        <w:bottom w:val="none" w:sz="0" w:space="0" w:color="auto"/>
        <w:right w:val="none" w:sz="0" w:space="0" w:color="auto"/>
      </w:divBdr>
    </w:div>
    <w:div w:id="448551412">
      <w:marLeft w:val="640"/>
      <w:marRight w:val="0"/>
      <w:marTop w:val="0"/>
      <w:marBottom w:val="0"/>
      <w:divBdr>
        <w:top w:val="none" w:sz="0" w:space="0" w:color="auto"/>
        <w:left w:val="none" w:sz="0" w:space="0" w:color="auto"/>
        <w:bottom w:val="none" w:sz="0" w:space="0" w:color="auto"/>
        <w:right w:val="none" w:sz="0" w:space="0" w:color="auto"/>
      </w:divBdr>
    </w:div>
    <w:div w:id="449324974">
      <w:marLeft w:val="640"/>
      <w:marRight w:val="0"/>
      <w:marTop w:val="0"/>
      <w:marBottom w:val="0"/>
      <w:divBdr>
        <w:top w:val="none" w:sz="0" w:space="0" w:color="auto"/>
        <w:left w:val="none" w:sz="0" w:space="0" w:color="auto"/>
        <w:bottom w:val="none" w:sz="0" w:space="0" w:color="auto"/>
        <w:right w:val="none" w:sz="0" w:space="0" w:color="auto"/>
      </w:divBdr>
    </w:div>
    <w:div w:id="449516437">
      <w:marLeft w:val="640"/>
      <w:marRight w:val="0"/>
      <w:marTop w:val="0"/>
      <w:marBottom w:val="0"/>
      <w:divBdr>
        <w:top w:val="none" w:sz="0" w:space="0" w:color="auto"/>
        <w:left w:val="none" w:sz="0" w:space="0" w:color="auto"/>
        <w:bottom w:val="none" w:sz="0" w:space="0" w:color="auto"/>
        <w:right w:val="none" w:sz="0" w:space="0" w:color="auto"/>
      </w:divBdr>
    </w:div>
    <w:div w:id="451024486">
      <w:marLeft w:val="640"/>
      <w:marRight w:val="0"/>
      <w:marTop w:val="0"/>
      <w:marBottom w:val="0"/>
      <w:divBdr>
        <w:top w:val="none" w:sz="0" w:space="0" w:color="auto"/>
        <w:left w:val="none" w:sz="0" w:space="0" w:color="auto"/>
        <w:bottom w:val="none" w:sz="0" w:space="0" w:color="auto"/>
        <w:right w:val="none" w:sz="0" w:space="0" w:color="auto"/>
      </w:divBdr>
    </w:div>
    <w:div w:id="452404023">
      <w:marLeft w:val="640"/>
      <w:marRight w:val="0"/>
      <w:marTop w:val="0"/>
      <w:marBottom w:val="0"/>
      <w:divBdr>
        <w:top w:val="none" w:sz="0" w:space="0" w:color="auto"/>
        <w:left w:val="none" w:sz="0" w:space="0" w:color="auto"/>
        <w:bottom w:val="none" w:sz="0" w:space="0" w:color="auto"/>
        <w:right w:val="none" w:sz="0" w:space="0" w:color="auto"/>
      </w:divBdr>
    </w:div>
    <w:div w:id="452670280">
      <w:marLeft w:val="640"/>
      <w:marRight w:val="0"/>
      <w:marTop w:val="0"/>
      <w:marBottom w:val="0"/>
      <w:divBdr>
        <w:top w:val="none" w:sz="0" w:space="0" w:color="auto"/>
        <w:left w:val="none" w:sz="0" w:space="0" w:color="auto"/>
        <w:bottom w:val="none" w:sz="0" w:space="0" w:color="auto"/>
        <w:right w:val="none" w:sz="0" w:space="0" w:color="auto"/>
      </w:divBdr>
    </w:div>
    <w:div w:id="454179475">
      <w:marLeft w:val="640"/>
      <w:marRight w:val="0"/>
      <w:marTop w:val="0"/>
      <w:marBottom w:val="0"/>
      <w:divBdr>
        <w:top w:val="none" w:sz="0" w:space="0" w:color="auto"/>
        <w:left w:val="none" w:sz="0" w:space="0" w:color="auto"/>
        <w:bottom w:val="none" w:sz="0" w:space="0" w:color="auto"/>
        <w:right w:val="none" w:sz="0" w:space="0" w:color="auto"/>
      </w:divBdr>
    </w:div>
    <w:div w:id="454832277">
      <w:marLeft w:val="640"/>
      <w:marRight w:val="0"/>
      <w:marTop w:val="0"/>
      <w:marBottom w:val="0"/>
      <w:divBdr>
        <w:top w:val="none" w:sz="0" w:space="0" w:color="auto"/>
        <w:left w:val="none" w:sz="0" w:space="0" w:color="auto"/>
        <w:bottom w:val="none" w:sz="0" w:space="0" w:color="auto"/>
        <w:right w:val="none" w:sz="0" w:space="0" w:color="auto"/>
      </w:divBdr>
    </w:div>
    <w:div w:id="456876616">
      <w:marLeft w:val="640"/>
      <w:marRight w:val="0"/>
      <w:marTop w:val="0"/>
      <w:marBottom w:val="0"/>
      <w:divBdr>
        <w:top w:val="none" w:sz="0" w:space="0" w:color="auto"/>
        <w:left w:val="none" w:sz="0" w:space="0" w:color="auto"/>
        <w:bottom w:val="none" w:sz="0" w:space="0" w:color="auto"/>
        <w:right w:val="none" w:sz="0" w:space="0" w:color="auto"/>
      </w:divBdr>
    </w:div>
    <w:div w:id="457073205">
      <w:marLeft w:val="640"/>
      <w:marRight w:val="0"/>
      <w:marTop w:val="0"/>
      <w:marBottom w:val="0"/>
      <w:divBdr>
        <w:top w:val="none" w:sz="0" w:space="0" w:color="auto"/>
        <w:left w:val="none" w:sz="0" w:space="0" w:color="auto"/>
        <w:bottom w:val="none" w:sz="0" w:space="0" w:color="auto"/>
        <w:right w:val="none" w:sz="0" w:space="0" w:color="auto"/>
      </w:divBdr>
    </w:div>
    <w:div w:id="457526586">
      <w:marLeft w:val="640"/>
      <w:marRight w:val="0"/>
      <w:marTop w:val="0"/>
      <w:marBottom w:val="0"/>
      <w:divBdr>
        <w:top w:val="none" w:sz="0" w:space="0" w:color="auto"/>
        <w:left w:val="none" w:sz="0" w:space="0" w:color="auto"/>
        <w:bottom w:val="none" w:sz="0" w:space="0" w:color="auto"/>
        <w:right w:val="none" w:sz="0" w:space="0" w:color="auto"/>
      </w:divBdr>
    </w:div>
    <w:div w:id="457914026">
      <w:marLeft w:val="640"/>
      <w:marRight w:val="0"/>
      <w:marTop w:val="0"/>
      <w:marBottom w:val="0"/>
      <w:divBdr>
        <w:top w:val="none" w:sz="0" w:space="0" w:color="auto"/>
        <w:left w:val="none" w:sz="0" w:space="0" w:color="auto"/>
        <w:bottom w:val="none" w:sz="0" w:space="0" w:color="auto"/>
        <w:right w:val="none" w:sz="0" w:space="0" w:color="auto"/>
      </w:divBdr>
    </w:div>
    <w:div w:id="458374728">
      <w:marLeft w:val="640"/>
      <w:marRight w:val="0"/>
      <w:marTop w:val="0"/>
      <w:marBottom w:val="0"/>
      <w:divBdr>
        <w:top w:val="none" w:sz="0" w:space="0" w:color="auto"/>
        <w:left w:val="none" w:sz="0" w:space="0" w:color="auto"/>
        <w:bottom w:val="none" w:sz="0" w:space="0" w:color="auto"/>
        <w:right w:val="none" w:sz="0" w:space="0" w:color="auto"/>
      </w:divBdr>
    </w:div>
    <w:div w:id="458914280">
      <w:marLeft w:val="640"/>
      <w:marRight w:val="0"/>
      <w:marTop w:val="0"/>
      <w:marBottom w:val="0"/>
      <w:divBdr>
        <w:top w:val="none" w:sz="0" w:space="0" w:color="auto"/>
        <w:left w:val="none" w:sz="0" w:space="0" w:color="auto"/>
        <w:bottom w:val="none" w:sz="0" w:space="0" w:color="auto"/>
        <w:right w:val="none" w:sz="0" w:space="0" w:color="auto"/>
      </w:divBdr>
    </w:div>
    <w:div w:id="459033045">
      <w:marLeft w:val="640"/>
      <w:marRight w:val="0"/>
      <w:marTop w:val="0"/>
      <w:marBottom w:val="0"/>
      <w:divBdr>
        <w:top w:val="none" w:sz="0" w:space="0" w:color="auto"/>
        <w:left w:val="none" w:sz="0" w:space="0" w:color="auto"/>
        <w:bottom w:val="none" w:sz="0" w:space="0" w:color="auto"/>
        <w:right w:val="none" w:sz="0" w:space="0" w:color="auto"/>
      </w:divBdr>
    </w:div>
    <w:div w:id="459418105">
      <w:marLeft w:val="640"/>
      <w:marRight w:val="0"/>
      <w:marTop w:val="0"/>
      <w:marBottom w:val="0"/>
      <w:divBdr>
        <w:top w:val="none" w:sz="0" w:space="0" w:color="auto"/>
        <w:left w:val="none" w:sz="0" w:space="0" w:color="auto"/>
        <w:bottom w:val="none" w:sz="0" w:space="0" w:color="auto"/>
        <w:right w:val="none" w:sz="0" w:space="0" w:color="auto"/>
      </w:divBdr>
    </w:div>
    <w:div w:id="459881203">
      <w:marLeft w:val="640"/>
      <w:marRight w:val="0"/>
      <w:marTop w:val="0"/>
      <w:marBottom w:val="0"/>
      <w:divBdr>
        <w:top w:val="none" w:sz="0" w:space="0" w:color="auto"/>
        <w:left w:val="none" w:sz="0" w:space="0" w:color="auto"/>
        <w:bottom w:val="none" w:sz="0" w:space="0" w:color="auto"/>
        <w:right w:val="none" w:sz="0" w:space="0" w:color="auto"/>
      </w:divBdr>
    </w:div>
    <w:div w:id="459885255">
      <w:marLeft w:val="640"/>
      <w:marRight w:val="0"/>
      <w:marTop w:val="0"/>
      <w:marBottom w:val="0"/>
      <w:divBdr>
        <w:top w:val="none" w:sz="0" w:space="0" w:color="auto"/>
        <w:left w:val="none" w:sz="0" w:space="0" w:color="auto"/>
        <w:bottom w:val="none" w:sz="0" w:space="0" w:color="auto"/>
        <w:right w:val="none" w:sz="0" w:space="0" w:color="auto"/>
      </w:divBdr>
    </w:div>
    <w:div w:id="460466158">
      <w:marLeft w:val="640"/>
      <w:marRight w:val="0"/>
      <w:marTop w:val="0"/>
      <w:marBottom w:val="0"/>
      <w:divBdr>
        <w:top w:val="none" w:sz="0" w:space="0" w:color="auto"/>
        <w:left w:val="none" w:sz="0" w:space="0" w:color="auto"/>
        <w:bottom w:val="none" w:sz="0" w:space="0" w:color="auto"/>
        <w:right w:val="none" w:sz="0" w:space="0" w:color="auto"/>
      </w:divBdr>
    </w:div>
    <w:div w:id="461970466">
      <w:marLeft w:val="640"/>
      <w:marRight w:val="0"/>
      <w:marTop w:val="0"/>
      <w:marBottom w:val="0"/>
      <w:divBdr>
        <w:top w:val="none" w:sz="0" w:space="0" w:color="auto"/>
        <w:left w:val="none" w:sz="0" w:space="0" w:color="auto"/>
        <w:bottom w:val="none" w:sz="0" w:space="0" w:color="auto"/>
        <w:right w:val="none" w:sz="0" w:space="0" w:color="auto"/>
      </w:divBdr>
    </w:div>
    <w:div w:id="462307720">
      <w:marLeft w:val="640"/>
      <w:marRight w:val="0"/>
      <w:marTop w:val="0"/>
      <w:marBottom w:val="0"/>
      <w:divBdr>
        <w:top w:val="none" w:sz="0" w:space="0" w:color="auto"/>
        <w:left w:val="none" w:sz="0" w:space="0" w:color="auto"/>
        <w:bottom w:val="none" w:sz="0" w:space="0" w:color="auto"/>
        <w:right w:val="none" w:sz="0" w:space="0" w:color="auto"/>
      </w:divBdr>
    </w:div>
    <w:div w:id="462382138">
      <w:marLeft w:val="640"/>
      <w:marRight w:val="0"/>
      <w:marTop w:val="0"/>
      <w:marBottom w:val="0"/>
      <w:divBdr>
        <w:top w:val="none" w:sz="0" w:space="0" w:color="auto"/>
        <w:left w:val="none" w:sz="0" w:space="0" w:color="auto"/>
        <w:bottom w:val="none" w:sz="0" w:space="0" w:color="auto"/>
        <w:right w:val="none" w:sz="0" w:space="0" w:color="auto"/>
      </w:divBdr>
    </w:div>
    <w:div w:id="463355179">
      <w:marLeft w:val="640"/>
      <w:marRight w:val="0"/>
      <w:marTop w:val="0"/>
      <w:marBottom w:val="0"/>
      <w:divBdr>
        <w:top w:val="none" w:sz="0" w:space="0" w:color="auto"/>
        <w:left w:val="none" w:sz="0" w:space="0" w:color="auto"/>
        <w:bottom w:val="none" w:sz="0" w:space="0" w:color="auto"/>
        <w:right w:val="none" w:sz="0" w:space="0" w:color="auto"/>
      </w:divBdr>
    </w:div>
    <w:div w:id="463814695">
      <w:marLeft w:val="640"/>
      <w:marRight w:val="0"/>
      <w:marTop w:val="0"/>
      <w:marBottom w:val="0"/>
      <w:divBdr>
        <w:top w:val="none" w:sz="0" w:space="0" w:color="auto"/>
        <w:left w:val="none" w:sz="0" w:space="0" w:color="auto"/>
        <w:bottom w:val="none" w:sz="0" w:space="0" w:color="auto"/>
        <w:right w:val="none" w:sz="0" w:space="0" w:color="auto"/>
      </w:divBdr>
    </w:div>
    <w:div w:id="464154022">
      <w:marLeft w:val="640"/>
      <w:marRight w:val="0"/>
      <w:marTop w:val="0"/>
      <w:marBottom w:val="0"/>
      <w:divBdr>
        <w:top w:val="none" w:sz="0" w:space="0" w:color="auto"/>
        <w:left w:val="none" w:sz="0" w:space="0" w:color="auto"/>
        <w:bottom w:val="none" w:sz="0" w:space="0" w:color="auto"/>
        <w:right w:val="none" w:sz="0" w:space="0" w:color="auto"/>
      </w:divBdr>
    </w:div>
    <w:div w:id="465123342">
      <w:marLeft w:val="640"/>
      <w:marRight w:val="0"/>
      <w:marTop w:val="0"/>
      <w:marBottom w:val="0"/>
      <w:divBdr>
        <w:top w:val="none" w:sz="0" w:space="0" w:color="auto"/>
        <w:left w:val="none" w:sz="0" w:space="0" w:color="auto"/>
        <w:bottom w:val="none" w:sz="0" w:space="0" w:color="auto"/>
        <w:right w:val="none" w:sz="0" w:space="0" w:color="auto"/>
      </w:divBdr>
    </w:div>
    <w:div w:id="465200805">
      <w:marLeft w:val="640"/>
      <w:marRight w:val="0"/>
      <w:marTop w:val="0"/>
      <w:marBottom w:val="0"/>
      <w:divBdr>
        <w:top w:val="none" w:sz="0" w:space="0" w:color="auto"/>
        <w:left w:val="none" w:sz="0" w:space="0" w:color="auto"/>
        <w:bottom w:val="none" w:sz="0" w:space="0" w:color="auto"/>
        <w:right w:val="none" w:sz="0" w:space="0" w:color="auto"/>
      </w:divBdr>
    </w:div>
    <w:div w:id="466120580">
      <w:marLeft w:val="640"/>
      <w:marRight w:val="0"/>
      <w:marTop w:val="0"/>
      <w:marBottom w:val="0"/>
      <w:divBdr>
        <w:top w:val="none" w:sz="0" w:space="0" w:color="auto"/>
        <w:left w:val="none" w:sz="0" w:space="0" w:color="auto"/>
        <w:bottom w:val="none" w:sz="0" w:space="0" w:color="auto"/>
        <w:right w:val="none" w:sz="0" w:space="0" w:color="auto"/>
      </w:divBdr>
    </w:div>
    <w:div w:id="466626529">
      <w:marLeft w:val="640"/>
      <w:marRight w:val="0"/>
      <w:marTop w:val="0"/>
      <w:marBottom w:val="0"/>
      <w:divBdr>
        <w:top w:val="none" w:sz="0" w:space="0" w:color="auto"/>
        <w:left w:val="none" w:sz="0" w:space="0" w:color="auto"/>
        <w:bottom w:val="none" w:sz="0" w:space="0" w:color="auto"/>
        <w:right w:val="none" w:sz="0" w:space="0" w:color="auto"/>
      </w:divBdr>
    </w:div>
    <w:div w:id="467013679">
      <w:marLeft w:val="640"/>
      <w:marRight w:val="0"/>
      <w:marTop w:val="0"/>
      <w:marBottom w:val="0"/>
      <w:divBdr>
        <w:top w:val="none" w:sz="0" w:space="0" w:color="auto"/>
        <w:left w:val="none" w:sz="0" w:space="0" w:color="auto"/>
        <w:bottom w:val="none" w:sz="0" w:space="0" w:color="auto"/>
        <w:right w:val="none" w:sz="0" w:space="0" w:color="auto"/>
      </w:divBdr>
    </w:div>
    <w:div w:id="467170316">
      <w:marLeft w:val="640"/>
      <w:marRight w:val="0"/>
      <w:marTop w:val="0"/>
      <w:marBottom w:val="0"/>
      <w:divBdr>
        <w:top w:val="none" w:sz="0" w:space="0" w:color="auto"/>
        <w:left w:val="none" w:sz="0" w:space="0" w:color="auto"/>
        <w:bottom w:val="none" w:sz="0" w:space="0" w:color="auto"/>
        <w:right w:val="none" w:sz="0" w:space="0" w:color="auto"/>
      </w:divBdr>
    </w:div>
    <w:div w:id="467282894">
      <w:marLeft w:val="640"/>
      <w:marRight w:val="0"/>
      <w:marTop w:val="0"/>
      <w:marBottom w:val="0"/>
      <w:divBdr>
        <w:top w:val="none" w:sz="0" w:space="0" w:color="auto"/>
        <w:left w:val="none" w:sz="0" w:space="0" w:color="auto"/>
        <w:bottom w:val="none" w:sz="0" w:space="0" w:color="auto"/>
        <w:right w:val="none" w:sz="0" w:space="0" w:color="auto"/>
      </w:divBdr>
    </w:div>
    <w:div w:id="467818415">
      <w:marLeft w:val="640"/>
      <w:marRight w:val="0"/>
      <w:marTop w:val="0"/>
      <w:marBottom w:val="0"/>
      <w:divBdr>
        <w:top w:val="none" w:sz="0" w:space="0" w:color="auto"/>
        <w:left w:val="none" w:sz="0" w:space="0" w:color="auto"/>
        <w:bottom w:val="none" w:sz="0" w:space="0" w:color="auto"/>
        <w:right w:val="none" w:sz="0" w:space="0" w:color="auto"/>
      </w:divBdr>
    </w:div>
    <w:div w:id="467937223">
      <w:marLeft w:val="640"/>
      <w:marRight w:val="0"/>
      <w:marTop w:val="0"/>
      <w:marBottom w:val="0"/>
      <w:divBdr>
        <w:top w:val="none" w:sz="0" w:space="0" w:color="auto"/>
        <w:left w:val="none" w:sz="0" w:space="0" w:color="auto"/>
        <w:bottom w:val="none" w:sz="0" w:space="0" w:color="auto"/>
        <w:right w:val="none" w:sz="0" w:space="0" w:color="auto"/>
      </w:divBdr>
    </w:div>
    <w:div w:id="468475051">
      <w:marLeft w:val="640"/>
      <w:marRight w:val="0"/>
      <w:marTop w:val="0"/>
      <w:marBottom w:val="0"/>
      <w:divBdr>
        <w:top w:val="none" w:sz="0" w:space="0" w:color="auto"/>
        <w:left w:val="none" w:sz="0" w:space="0" w:color="auto"/>
        <w:bottom w:val="none" w:sz="0" w:space="0" w:color="auto"/>
        <w:right w:val="none" w:sz="0" w:space="0" w:color="auto"/>
      </w:divBdr>
    </w:div>
    <w:div w:id="468745339">
      <w:marLeft w:val="640"/>
      <w:marRight w:val="0"/>
      <w:marTop w:val="0"/>
      <w:marBottom w:val="0"/>
      <w:divBdr>
        <w:top w:val="none" w:sz="0" w:space="0" w:color="auto"/>
        <w:left w:val="none" w:sz="0" w:space="0" w:color="auto"/>
        <w:bottom w:val="none" w:sz="0" w:space="0" w:color="auto"/>
        <w:right w:val="none" w:sz="0" w:space="0" w:color="auto"/>
      </w:divBdr>
    </w:div>
    <w:div w:id="469251823">
      <w:marLeft w:val="640"/>
      <w:marRight w:val="0"/>
      <w:marTop w:val="0"/>
      <w:marBottom w:val="0"/>
      <w:divBdr>
        <w:top w:val="none" w:sz="0" w:space="0" w:color="auto"/>
        <w:left w:val="none" w:sz="0" w:space="0" w:color="auto"/>
        <w:bottom w:val="none" w:sz="0" w:space="0" w:color="auto"/>
        <w:right w:val="none" w:sz="0" w:space="0" w:color="auto"/>
      </w:divBdr>
    </w:div>
    <w:div w:id="469438717">
      <w:marLeft w:val="640"/>
      <w:marRight w:val="0"/>
      <w:marTop w:val="0"/>
      <w:marBottom w:val="0"/>
      <w:divBdr>
        <w:top w:val="none" w:sz="0" w:space="0" w:color="auto"/>
        <w:left w:val="none" w:sz="0" w:space="0" w:color="auto"/>
        <w:bottom w:val="none" w:sz="0" w:space="0" w:color="auto"/>
        <w:right w:val="none" w:sz="0" w:space="0" w:color="auto"/>
      </w:divBdr>
    </w:div>
    <w:div w:id="469515033">
      <w:marLeft w:val="640"/>
      <w:marRight w:val="0"/>
      <w:marTop w:val="0"/>
      <w:marBottom w:val="0"/>
      <w:divBdr>
        <w:top w:val="none" w:sz="0" w:space="0" w:color="auto"/>
        <w:left w:val="none" w:sz="0" w:space="0" w:color="auto"/>
        <w:bottom w:val="none" w:sz="0" w:space="0" w:color="auto"/>
        <w:right w:val="none" w:sz="0" w:space="0" w:color="auto"/>
      </w:divBdr>
    </w:div>
    <w:div w:id="470444824">
      <w:marLeft w:val="640"/>
      <w:marRight w:val="0"/>
      <w:marTop w:val="0"/>
      <w:marBottom w:val="0"/>
      <w:divBdr>
        <w:top w:val="none" w:sz="0" w:space="0" w:color="auto"/>
        <w:left w:val="none" w:sz="0" w:space="0" w:color="auto"/>
        <w:bottom w:val="none" w:sz="0" w:space="0" w:color="auto"/>
        <w:right w:val="none" w:sz="0" w:space="0" w:color="auto"/>
      </w:divBdr>
    </w:div>
    <w:div w:id="471605546">
      <w:marLeft w:val="640"/>
      <w:marRight w:val="0"/>
      <w:marTop w:val="0"/>
      <w:marBottom w:val="0"/>
      <w:divBdr>
        <w:top w:val="none" w:sz="0" w:space="0" w:color="auto"/>
        <w:left w:val="none" w:sz="0" w:space="0" w:color="auto"/>
        <w:bottom w:val="none" w:sz="0" w:space="0" w:color="auto"/>
        <w:right w:val="none" w:sz="0" w:space="0" w:color="auto"/>
      </w:divBdr>
    </w:div>
    <w:div w:id="471679345">
      <w:marLeft w:val="640"/>
      <w:marRight w:val="0"/>
      <w:marTop w:val="0"/>
      <w:marBottom w:val="0"/>
      <w:divBdr>
        <w:top w:val="none" w:sz="0" w:space="0" w:color="auto"/>
        <w:left w:val="none" w:sz="0" w:space="0" w:color="auto"/>
        <w:bottom w:val="none" w:sz="0" w:space="0" w:color="auto"/>
        <w:right w:val="none" w:sz="0" w:space="0" w:color="auto"/>
      </w:divBdr>
    </w:div>
    <w:div w:id="471871772">
      <w:marLeft w:val="640"/>
      <w:marRight w:val="0"/>
      <w:marTop w:val="0"/>
      <w:marBottom w:val="0"/>
      <w:divBdr>
        <w:top w:val="none" w:sz="0" w:space="0" w:color="auto"/>
        <w:left w:val="none" w:sz="0" w:space="0" w:color="auto"/>
        <w:bottom w:val="none" w:sz="0" w:space="0" w:color="auto"/>
        <w:right w:val="none" w:sz="0" w:space="0" w:color="auto"/>
      </w:divBdr>
    </w:div>
    <w:div w:id="472872660">
      <w:marLeft w:val="640"/>
      <w:marRight w:val="0"/>
      <w:marTop w:val="0"/>
      <w:marBottom w:val="0"/>
      <w:divBdr>
        <w:top w:val="none" w:sz="0" w:space="0" w:color="auto"/>
        <w:left w:val="none" w:sz="0" w:space="0" w:color="auto"/>
        <w:bottom w:val="none" w:sz="0" w:space="0" w:color="auto"/>
        <w:right w:val="none" w:sz="0" w:space="0" w:color="auto"/>
      </w:divBdr>
    </w:div>
    <w:div w:id="472913842">
      <w:marLeft w:val="640"/>
      <w:marRight w:val="0"/>
      <w:marTop w:val="0"/>
      <w:marBottom w:val="0"/>
      <w:divBdr>
        <w:top w:val="none" w:sz="0" w:space="0" w:color="auto"/>
        <w:left w:val="none" w:sz="0" w:space="0" w:color="auto"/>
        <w:bottom w:val="none" w:sz="0" w:space="0" w:color="auto"/>
        <w:right w:val="none" w:sz="0" w:space="0" w:color="auto"/>
      </w:divBdr>
    </w:div>
    <w:div w:id="473378305">
      <w:marLeft w:val="640"/>
      <w:marRight w:val="0"/>
      <w:marTop w:val="0"/>
      <w:marBottom w:val="0"/>
      <w:divBdr>
        <w:top w:val="none" w:sz="0" w:space="0" w:color="auto"/>
        <w:left w:val="none" w:sz="0" w:space="0" w:color="auto"/>
        <w:bottom w:val="none" w:sz="0" w:space="0" w:color="auto"/>
        <w:right w:val="none" w:sz="0" w:space="0" w:color="auto"/>
      </w:divBdr>
    </w:div>
    <w:div w:id="473566620">
      <w:marLeft w:val="640"/>
      <w:marRight w:val="0"/>
      <w:marTop w:val="0"/>
      <w:marBottom w:val="0"/>
      <w:divBdr>
        <w:top w:val="none" w:sz="0" w:space="0" w:color="auto"/>
        <w:left w:val="none" w:sz="0" w:space="0" w:color="auto"/>
        <w:bottom w:val="none" w:sz="0" w:space="0" w:color="auto"/>
        <w:right w:val="none" w:sz="0" w:space="0" w:color="auto"/>
      </w:divBdr>
    </w:div>
    <w:div w:id="473641077">
      <w:marLeft w:val="640"/>
      <w:marRight w:val="0"/>
      <w:marTop w:val="0"/>
      <w:marBottom w:val="0"/>
      <w:divBdr>
        <w:top w:val="none" w:sz="0" w:space="0" w:color="auto"/>
        <w:left w:val="none" w:sz="0" w:space="0" w:color="auto"/>
        <w:bottom w:val="none" w:sz="0" w:space="0" w:color="auto"/>
        <w:right w:val="none" w:sz="0" w:space="0" w:color="auto"/>
      </w:divBdr>
    </w:div>
    <w:div w:id="474563233">
      <w:marLeft w:val="640"/>
      <w:marRight w:val="0"/>
      <w:marTop w:val="0"/>
      <w:marBottom w:val="0"/>
      <w:divBdr>
        <w:top w:val="none" w:sz="0" w:space="0" w:color="auto"/>
        <w:left w:val="none" w:sz="0" w:space="0" w:color="auto"/>
        <w:bottom w:val="none" w:sz="0" w:space="0" w:color="auto"/>
        <w:right w:val="none" w:sz="0" w:space="0" w:color="auto"/>
      </w:divBdr>
    </w:div>
    <w:div w:id="476653187">
      <w:marLeft w:val="640"/>
      <w:marRight w:val="0"/>
      <w:marTop w:val="0"/>
      <w:marBottom w:val="0"/>
      <w:divBdr>
        <w:top w:val="none" w:sz="0" w:space="0" w:color="auto"/>
        <w:left w:val="none" w:sz="0" w:space="0" w:color="auto"/>
        <w:bottom w:val="none" w:sz="0" w:space="0" w:color="auto"/>
        <w:right w:val="none" w:sz="0" w:space="0" w:color="auto"/>
      </w:divBdr>
    </w:div>
    <w:div w:id="476990362">
      <w:marLeft w:val="640"/>
      <w:marRight w:val="0"/>
      <w:marTop w:val="0"/>
      <w:marBottom w:val="0"/>
      <w:divBdr>
        <w:top w:val="none" w:sz="0" w:space="0" w:color="auto"/>
        <w:left w:val="none" w:sz="0" w:space="0" w:color="auto"/>
        <w:bottom w:val="none" w:sz="0" w:space="0" w:color="auto"/>
        <w:right w:val="none" w:sz="0" w:space="0" w:color="auto"/>
      </w:divBdr>
    </w:div>
    <w:div w:id="477066219">
      <w:marLeft w:val="640"/>
      <w:marRight w:val="0"/>
      <w:marTop w:val="0"/>
      <w:marBottom w:val="0"/>
      <w:divBdr>
        <w:top w:val="none" w:sz="0" w:space="0" w:color="auto"/>
        <w:left w:val="none" w:sz="0" w:space="0" w:color="auto"/>
        <w:bottom w:val="none" w:sz="0" w:space="0" w:color="auto"/>
        <w:right w:val="none" w:sz="0" w:space="0" w:color="auto"/>
      </w:divBdr>
    </w:div>
    <w:div w:id="478233468">
      <w:marLeft w:val="640"/>
      <w:marRight w:val="0"/>
      <w:marTop w:val="0"/>
      <w:marBottom w:val="0"/>
      <w:divBdr>
        <w:top w:val="none" w:sz="0" w:space="0" w:color="auto"/>
        <w:left w:val="none" w:sz="0" w:space="0" w:color="auto"/>
        <w:bottom w:val="none" w:sz="0" w:space="0" w:color="auto"/>
        <w:right w:val="none" w:sz="0" w:space="0" w:color="auto"/>
      </w:divBdr>
    </w:div>
    <w:div w:id="478350298">
      <w:marLeft w:val="640"/>
      <w:marRight w:val="0"/>
      <w:marTop w:val="0"/>
      <w:marBottom w:val="0"/>
      <w:divBdr>
        <w:top w:val="none" w:sz="0" w:space="0" w:color="auto"/>
        <w:left w:val="none" w:sz="0" w:space="0" w:color="auto"/>
        <w:bottom w:val="none" w:sz="0" w:space="0" w:color="auto"/>
        <w:right w:val="none" w:sz="0" w:space="0" w:color="auto"/>
      </w:divBdr>
    </w:div>
    <w:div w:id="479620263">
      <w:marLeft w:val="640"/>
      <w:marRight w:val="0"/>
      <w:marTop w:val="0"/>
      <w:marBottom w:val="0"/>
      <w:divBdr>
        <w:top w:val="none" w:sz="0" w:space="0" w:color="auto"/>
        <w:left w:val="none" w:sz="0" w:space="0" w:color="auto"/>
        <w:bottom w:val="none" w:sz="0" w:space="0" w:color="auto"/>
        <w:right w:val="none" w:sz="0" w:space="0" w:color="auto"/>
      </w:divBdr>
    </w:div>
    <w:div w:id="480081309">
      <w:marLeft w:val="640"/>
      <w:marRight w:val="0"/>
      <w:marTop w:val="0"/>
      <w:marBottom w:val="0"/>
      <w:divBdr>
        <w:top w:val="none" w:sz="0" w:space="0" w:color="auto"/>
        <w:left w:val="none" w:sz="0" w:space="0" w:color="auto"/>
        <w:bottom w:val="none" w:sz="0" w:space="0" w:color="auto"/>
        <w:right w:val="none" w:sz="0" w:space="0" w:color="auto"/>
      </w:divBdr>
    </w:div>
    <w:div w:id="481391607">
      <w:marLeft w:val="640"/>
      <w:marRight w:val="0"/>
      <w:marTop w:val="0"/>
      <w:marBottom w:val="0"/>
      <w:divBdr>
        <w:top w:val="none" w:sz="0" w:space="0" w:color="auto"/>
        <w:left w:val="none" w:sz="0" w:space="0" w:color="auto"/>
        <w:bottom w:val="none" w:sz="0" w:space="0" w:color="auto"/>
        <w:right w:val="none" w:sz="0" w:space="0" w:color="auto"/>
      </w:divBdr>
    </w:div>
    <w:div w:id="481771103">
      <w:marLeft w:val="640"/>
      <w:marRight w:val="0"/>
      <w:marTop w:val="0"/>
      <w:marBottom w:val="0"/>
      <w:divBdr>
        <w:top w:val="none" w:sz="0" w:space="0" w:color="auto"/>
        <w:left w:val="none" w:sz="0" w:space="0" w:color="auto"/>
        <w:bottom w:val="none" w:sz="0" w:space="0" w:color="auto"/>
        <w:right w:val="none" w:sz="0" w:space="0" w:color="auto"/>
      </w:divBdr>
    </w:div>
    <w:div w:id="482740257">
      <w:marLeft w:val="640"/>
      <w:marRight w:val="0"/>
      <w:marTop w:val="0"/>
      <w:marBottom w:val="0"/>
      <w:divBdr>
        <w:top w:val="none" w:sz="0" w:space="0" w:color="auto"/>
        <w:left w:val="none" w:sz="0" w:space="0" w:color="auto"/>
        <w:bottom w:val="none" w:sz="0" w:space="0" w:color="auto"/>
        <w:right w:val="none" w:sz="0" w:space="0" w:color="auto"/>
      </w:divBdr>
    </w:div>
    <w:div w:id="483203956">
      <w:marLeft w:val="640"/>
      <w:marRight w:val="0"/>
      <w:marTop w:val="0"/>
      <w:marBottom w:val="0"/>
      <w:divBdr>
        <w:top w:val="none" w:sz="0" w:space="0" w:color="auto"/>
        <w:left w:val="none" w:sz="0" w:space="0" w:color="auto"/>
        <w:bottom w:val="none" w:sz="0" w:space="0" w:color="auto"/>
        <w:right w:val="none" w:sz="0" w:space="0" w:color="auto"/>
      </w:divBdr>
    </w:div>
    <w:div w:id="483788304">
      <w:marLeft w:val="640"/>
      <w:marRight w:val="0"/>
      <w:marTop w:val="0"/>
      <w:marBottom w:val="0"/>
      <w:divBdr>
        <w:top w:val="none" w:sz="0" w:space="0" w:color="auto"/>
        <w:left w:val="none" w:sz="0" w:space="0" w:color="auto"/>
        <w:bottom w:val="none" w:sz="0" w:space="0" w:color="auto"/>
        <w:right w:val="none" w:sz="0" w:space="0" w:color="auto"/>
      </w:divBdr>
    </w:div>
    <w:div w:id="484050186">
      <w:marLeft w:val="640"/>
      <w:marRight w:val="0"/>
      <w:marTop w:val="0"/>
      <w:marBottom w:val="0"/>
      <w:divBdr>
        <w:top w:val="none" w:sz="0" w:space="0" w:color="auto"/>
        <w:left w:val="none" w:sz="0" w:space="0" w:color="auto"/>
        <w:bottom w:val="none" w:sz="0" w:space="0" w:color="auto"/>
        <w:right w:val="none" w:sz="0" w:space="0" w:color="auto"/>
      </w:divBdr>
    </w:div>
    <w:div w:id="484857984">
      <w:marLeft w:val="640"/>
      <w:marRight w:val="0"/>
      <w:marTop w:val="0"/>
      <w:marBottom w:val="0"/>
      <w:divBdr>
        <w:top w:val="none" w:sz="0" w:space="0" w:color="auto"/>
        <w:left w:val="none" w:sz="0" w:space="0" w:color="auto"/>
        <w:bottom w:val="none" w:sz="0" w:space="0" w:color="auto"/>
        <w:right w:val="none" w:sz="0" w:space="0" w:color="auto"/>
      </w:divBdr>
    </w:div>
    <w:div w:id="485123069">
      <w:marLeft w:val="640"/>
      <w:marRight w:val="0"/>
      <w:marTop w:val="0"/>
      <w:marBottom w:val="0"/>
      <w:divBdr>
        <w:top w:val="none" w:sz="0" w:space="0" w:color="auto"/>
        <w:left w:val="none" w:sz="0" w:space="0" w:color="auto"/>
        <w:bottom w:val="none" w:sz="0" w:space="0" w:color="auto"/>
        <w:right w:val="none" w:sz="0" w:space="0" w:color="auto"/>
      </w:divBdr>
    </w:div>
    <w:div w:id="485165996">
      <w:marLeft w:val="640"/>
      <w:marRight w:val="0"/>
      <w:marTop w:val="0"/>
      <w:marBottom w:val="0"/>
      <w:divBdr>
        <w:top w:val="none" w:sz="0" w:space="0" w:color="auto"/>
        <w:left w:val="none" w:sz="0" w:space="0" w:color="auto"/>
        <w:bottom w:val="none" w:sz="0" w:space="0" w:color="auto"/>
        <w:right w:val="none" w:sz="0" w:space="0" w:color="auto"/>
      </w:divBdr>
    </w:div>
    <w:div w:id="487214587">
      <w:marLeft w:val="640"/>
      <w:marRight w:val="0"/>
      <w:marTop w:val="0"/>
      <w:marBottom w:val="0"/>
      <w:divBdr>
        <w:top w:val="none" w:sz="0" w:space="0" w:color="auto"/>
        <w:left w:val="none" w:sz="0" w:space="0" w:color="auto"/>
        <w:bottom w:val="none" w:sz="0" w:space="0" w:color="auto"/>
        <w:right w:val="none" w:sz="0" w:space="0" w:color="auto"/>
      </w:divBdr>
    </w:div>
    <w:div w:id="488248326">
      <w:marLeft w:val="640"/>
      <w:marRight w:val="0"/>
      <w:marTop w:val="0"/>
      <w:marBottom w:val="0"/>
      <w:divBdr>
        <w:top w:val="none" w:sz="0" w:space="0" w:color="auto"/>
        <w:left w:val="none" w:sz="0" w:space="0" w:color="auto"/>
        <w:bottom w:val="none" w:sz="0" w:space="0" w:color="auto"/>
        <w:right w:val="none" w:sz="0" w:space="0" w:color="auto"/>
      </w:divBdr>
    </w:div>
    <w:div w:id="488986594">
      <w:marLeft w:val="640"/>
      <w:marRight w:val="0"/>
      <w:marTop w:val="0"/>
      <w:marBottom w:val="0"/>
      <w:divBdr>
        <w:top w:val="none" w:sz="0" w:space="0" w:color="auto"/>
        <w:left w:val="none" w:sz="0" w:space="0" w:color="auto"/>
        <w:bottom w:val="none" w:sz="0" w:space="0" w:color="auto"/>
        <w:right w:val="none" w:sz="0" w:space="0" w:color="auto"/>
      </w:divBdr>
    </w:div>
    <w:div w:id="489566462">
      <w:marLeft w:val="640"/>
      <w:marRight w:val="0"/>
      <w:marTop w:val="0"/>
      <w:marBottom w:val="0"/>
      <w:divBdr>
        <w:top w:val="none" w:sz="0" w:space="0" w:color="auto"/>
        <w:left w:val="none" w:sz="0" w:space="0" w:color="auto"/>
        <w:bottom w:val="none" w:sz="0" w:space="0" w:color="auto"/>
        <w:right w:val="none" w:sz="0" w:space="0" w:color="auto"/>
      </w:divBdr>
    </w:div>
    <w:div w:id="489830912">
      <w:marLeft w:val="640"/>
      <w:marRight w:val="0"/>
      <w:marTop w:val="0"/>
      <w:marBottom w:val="0"/>
      <w:divBdr>
        <w:top w:val="none" w:sz="0" w:space="0" w:color="auto"/>
        <w:left w:val="none" w:sz="0" w:space="0" w:color="auto"/>
        <w:bottom w:val="none" w:sz="0" w:space="0" w:color="auto"/>
        <w:right w:val="none" w:sz="0" w:space="0" w:color="auto"/>
      </w:divBdr>
    </w:div>
    <w:div w:id="490802714">
      <w:marLeft w:val="640"/>
      <w:marRight w:val="0"/>
      <w:marTop w:val="0"/>
      <w:marBottom w:val="0"/>
      <w:divBdr>
        <w:top w:val="none" w:sz="0" w:space="0" w:color="auto"/>
        <w:left w:val="none" w:sz="0" w:space="0" w:color="auto"/>
        <w:bottom w:val="none" w:sz="0" w:space="0" w:color="auto"/>
        <w:right w:val="none" w:sz="0" w:space="0" w:color="auto"/>
      </w:divBdr>
    </w:div>
    <w:div w:id="491609050">
      <w:marLeft w:val="640"/>
      <w:marRight w:val="0"/>
      <w:marTop w:val="0"/>
      <w:marBottom w:val="0"/>
      <w:divBdr>
        <w:top w:val="none" w:sz="0" w:space="0" w:color="auto"/>
        <w:left w:val="none" w:sz="0" w:space="0" w:color="auto"/>
        <w:bottom w:val="none" w:sz="0" w:space="0" w:color="auto"/>
        <w:right w:val="none" w:sz="0" w:space="0" w:color="auto"/>
      </w:divBdr>
    </w:div>
    <w:div w:id="491722234">
      <w:marLeft w:val="640"/>
      <w:marRight w:val="0"/>
      <w:marTop w:val="0"/>
      <w:marBottom w:val="0"/>
      <w:divBdr>
        <w:top w:val="none" w:sz="0" w:space="0" w:color="auto"/>
        <w:left w:val="none" w:sz="0" w:space="0" w:color="auto"/>
        <w:bottom w:val="none" w:sz="0" w:space="0" w:color="auto"/>
        <w:right w:val="none" w:sz="0" w:space="0" w:color="auto"/>
      </w:divBdr>
    </w:div>
    <w:div w:id="491797331">
      <w:marLeft w:val="640"/>
      <w:marRight w:val="0"/>
      <w:marTop w:val="0"/>
      <w:marBottom w:val="0"/>
      <w:divBdr>
        <w:top w:val="none" w:sz="0" w:space="0" w:color="auto"/>
        <w:left w:val="none" w:sz="0" w:space="0" w:color="auto"/>
        <w:bottom w:val="none" w:sz="0" w:space="0" w:color="auto"/>
        <w:right w:val="none" w:sz="0" w:space="0" w:color="auto"/>
      </w:divBdr>
    </w:div>
    <w:div w:id="492533278">
      <w:marLeft w:val="640"/>
      <w:marRight w:val="0"/>
      <w:marTop w:val="0"/>
      <w:marBottom w:val="0"/>
      <w:divBdr>
        <w:top w:val="none" w:sz="0" w:space="0" w:color="auto"/>
        <w:left w:val="none" w:sz="0" w:space="0" w:color="auto"/>
        <w:bottom w:val="none" w:sz="0" w:space="0" w:color="auto"/>
        <w:right w:val="none" w:sz="0" w:space="0" w:color="auto"/>
      </w:divBdr>
    </w:div>
    <w:div w:id="492645034">
      <w:marLeft w:val="640"/>
      <w:marRight w:val="0"/>
      <w:marTop w:val="0"/>
      <w:marBottom w:val="0"/>
      <w:divBdr>
        <w:top w:val="none" w:sz="0" w:space="0" w:color="auto"/>
        <w:left w:val="none" w:sz="0" w:space="0" w:color="auto"/>
        <w:bottom w:val="none" w:sz="0" w:space="0" w:color="auto"/>
        <w:right w:val="none" w:sz="0" w:space="0" w:color="auto"/>
      </w:divBdr>
    </w:div>
    <w:div w:id="492838105">
      <w:marLeft w:val="640"/>
      <w:marRight w:val="0"/>
      <w:marTop w:val="0"/>
      <w:marBottom w:val="0"/>
      <w:divBdr>
        <w:top w:val="none" w:sz="0" w:space="0" w:color="auto"/>
        <w:left w:val="none" w:sz="0" w:space="0" w:color="auto"/>
        <w:bottom w:val="none" w:sz="0" w:space="0" w:color="auto"/>
        <w:right w:val="none" w:sz="0" w:space="0" w:color="auto"/>
      </w:divBdr>
    </w:div>
    <w:div w:id="493111177">
      <w:marLeft w:val="640"/>
      <w:marRight w:val="0"/>
      <w:marTop w:val="0"/>
      <w:marBottom w:val="0"/>
      <w:divBdr>
        <w:top w:val="none" w:sz="0" w:space="0" w:color="auto"/>
        <w:left w:val="none" w:sz="0" w:space="0" w:color="auto"/>
        <w:bottom w:val="none" w:sz="0" w:space="0" w:color="auto"/>
        <w:right w:val="none" w:sz="0" w:space="0" w:color="auto"/>
      </w:divBdr>
    </w:div>
    <w:div w:id="493836636">
      <w:marLeft w:val="640"/>
      <w:marRight w:val="0"/>
      <w:marTop w:val="0"/>
      <w:marBottom w:val="0"/>
      <w:divBdr>
        <w:top w:val="none" w:sz="0" w:space="0" w:color="auto"/>
        <w:left w:val="none" w:sz="0" w:space="0" w:color="auto"/>
        <w:bottom w:val="none" w:sz="0" w:space="0" w:color="auto"/>
        <w:right w:val="none" w:sz="0" w:space="0" w:color="auto"/>
      </w:divBdr>
    </w:div>
    <w:div w:id="494346585">
      <w:marLeft w:val="640"/>
      <w:marRight w:val="0"/>
      <w:marTop w:val="0"/>
      <w:marBottom w:val="0"/>
      <w:divBdr>
        <w:top w:val="none" w:sz="0" w:space="0" w:color="auto"/>
        <w:left w:val="none" w:sz="0" w:space="0" w:color="auto"/>
        <w:bottom w:val="none" w:sz="0" w:space="0" w:color="auto"/>
        <w:right w:val="none" w:sz="0" w:space="0" w:color="auto"/>
      </w:divBdr>
    </w:div>
    <w:div w:id="494541345">
      <w:marLeft w:val="640"/>
      <w:marRight w:val="0"/>
      <w:marTop w:val="0"/>
      <w:marBottom w:val="0"/>
      <w:divBdr>
        <w:top w:val="none" w:sz="0" w:space="0" w:color="auto"/>
        <w:left w:val="none" w:sz="0" w:space="0" w:color="auto"/>
        <w:bottom w:val="none" w:sz="0" w:space="0" w:color="auto"/>
        <w:right w:val="none" w:sz="0" w:space="0" w:color="auto"/>
      </w:divBdr>
    </w:div>
    <w:div w:id="494611605">
      <w:marLeft w:val="640"/>
      <w:marRight w:val="0"/>
      <w:marTop w:val="0"/>
      <w:marBottom w:val="0"/>
      <w:divBdr>
        <w:top w:val="none" w:sz="0" w:space="0" w:color="auto"/>
        <w:left w:val="none" w:sz="0" w:space="0" w:color="auto"/>
        <w:bottom w:val="none" w:sz="0" w:space="0" w:color="auto"/>
        <w:right w:val="none" w:sz="0" w:space="0" w:color="auto"/>
      </w:divBdr>
    </w:div>
    <w:div w:id="495922900">
      <w:marLeft w:val="640"/>
      <w:marRight w:val="0"/>
      <w:marTop w:val="0"/>
      <w:marBottom w:val="0"/>
      <w:divBdr>
        <w:top w:val="none" w:sz="0" w:space="0" w:color="auto"/>
        <w:left w:val="none" w:sz="0" w:space="0" w:color="auto"/>
        <w:bottom w:val="none" w:sz="0" w:space="0" w:color="auto"/>
        <w:right w:val="none" w:sz="0" w:space="0" w:color="auto"/>
      </w:divBdr>
    </w:div>
    <w:div w:id="496000250">
      <w:marLeft w:val="640"/>
      <w:marRight w:val="0"/>
      <w:marTop w:val="0"/>
      <w:marBottom w:val="0"/>
      <w:divBdr>
        <w:top w:val="none" w:sz="0" w:space="0" w:color="auto"/>
        <w:left w:val="none" w:sz="0" w:space="0" w:color="auto"/>
        <w:bottom w:val="none" w:sz="0" w:space="0" w:color="auto"/>
        <w:right w:val="none" w:sz="0" w:space="0" w:color="auto"/>
      </w:divBdr>
    </w:div>
    <w:div w:id="496116267">
      <w:marLeft w:val="640"/>
      <w:marRight w:val="0"/>
      <w:marTop w:val="0"/>
      <w:marBottom w:val="0"/>
      <w:divBdr>
        <w:top w:val="none" w:sz="0" w:space="0" w:color="auto"/>
        <w:left w:val="none" w:sz="0" w:space="0" w:color="auto"/>
        <w:bottom w:val="none" w:sz="0" w:space="0" w:color="auto"/>
        <w:right w:val="none" w:sz="0" w:space="0" w:color="auto"/>
      </w:divBdr>
    </w:div>
    <w:div w:id="496117210">
      <w:marLeft w:val="640"/>
      <w:marRight w:val="0"/>
      <w:marTop w:val="0"/>
      <w:marBottom w:val="0"/>
      <w:divBdr>
        <w:top w:val="none" w:sz="0" w:space="0" w:color="auto"/>
        <w:left w:val="none" w:sz="0" w:space="0" w:color="auto"/>
        <w:bottom w:val="none" w:sz="0" w:space="0" w:color="auto"/>
        <w:right w:val="none" w:sz="0" w:space="0" w:color="auto"/>
      </w:divBdr>
    </w:div>
    <w:div w:id="496922296">
      <w:marLeft w:val="640"/>
      <w:marRight w:val="0"/>
      <w:marTop w:val="0"/>
      <w:marBottom w:val="0"/>
      <w:divBdr>
        <w:top w:val="none" w:sz="0" w:space="0" w:color="auto"/>
        <w:left w:val="none" w:sz="0" w:space="0" w:color="auto"/>
        <w:bottom w:val="none" w:sz="0" w:space="0" w:color="auto"/>
        <w:right w:val="none" w:sz="0" w:space="0" w:color="auto"/>
      </w:divBdr>
    </w:div>
    <w:div w:id="498422438">
      <w:marLeft w:val="640"/>
      <w:marRight w:val="0"/>
      <w:marTop w:val="0"/>
      <w:marBottom w:val="0"/>
      <w:divBdr>
        <w:top w:val="none" w:sz="0" w:space="0" w:color="auto"/>
        <w:left w:val="none" w:sz="0" w:space="0" w:color="auto"/>
        <w:bottom w:val="none" w:sz="0" w:space="0" w:color="auto"/>
        <w:right w:val="none" w:sz="0" w:space="0" w:color="auto"/>
      </w:divBdr>
    </w:div>
    <w:div w:id="498425985">
      <w:marLeft w:val="640"/>
      <w:marRight w:val="0"/>
      <w:marTop w:val="0"/>
      <w:marBottom w:val="0"/>
      <w:divBdr>
        <w:top w:val="none" w:sz="0" w:space="0" w:color="auto"/>
        <w:left w:val="none" w:sz="0" w:space="0" w:color="auto"/>
        <w:bottom w:val="none" w:sz="0" w:space="0" w:color="auto"/>
        <w:right w:val="none" w:sz="0" w:space="0" w:color="auto"/>
      </w:divBdr>
    </w:div>
    <w:div w:id="499076629">
      <w:marLeft w:val="640"/>
      <w:marRight w:val="0"/>
      <w:marTop w:val="0"/>
      <w:marBottom w:val="0"/>
      <w:divBdr>
        <w:top w:val="none" w:sz="0" w:space="0" w:color="auto"/>
        <w:left w:val="none" w:sz="0" w:space="0" w:color="auto"/>
        <w:bottom w:val="none" w:sz="0" w:space="0" w:color="auto"/>
        <w:right w:val="none" w:sz="0" w:space="0" w:color="auto"/>
      </w:divBdr>
    </w:div>
    <w:div w:id="499469684">
      <w:marLeft w:val="640"/>
      <w:marRight w:val="0"/>
      <w:marTop w:val="0"/>
      <w:marBottom w:val="0"/>
      <w:divBdr>
        <w:top w:val="none" w:sz="0" w:space="0" w:color="auto"/>
        <w:left w:val="none" w:sz="0" w:space="0" w:color="auto"/>
        <w:bottom w:val="none" w:sz="0" w:space="0" w:color="auto"/>
        <w:right w:val="none" w:sz="0" w:space="0" w:color="auto"/>
      </w:divBdr>
    </w:div>
    <w:div w:id="500508539">
      <w:marLeft w:val="640"/>
      <w:marRight w:val="0"/>
      <w:marTop w:val="0"/>
      <w:marBottom w:val="0"/>
      <w:divBdr>
        <w:top w:val="none" w:sz="0" w:space="0" w:color="auto"/>
        <w:left w:val="none" w:sz="0" w:space="0" w:color="auto"/>
        <w:bottom w:val="none" w:sz="0" w:space="0" w:color="auto"/>
        <w:right w:val="none" w:sz="0" w:space="0" w:color="auto"/>
      </w:divBdr>
    </w:div>
    <w:div w:id="500698675">
      <w:marLeft w:val="640"/>
      <w:marRight w:val="0"/>
      <w:marTop w:val="0"/>
      <w:marBottom w:val="0"/>
      <w:divBdr>
        <w:top w:val="none" w:sz="0" w:space="0" w:color="auto"/>
        <w:left w:val="none" w:sz="0" w:space="0" w:color="auto"/>
        <w:bottom w:val="none" w:sz="0" w:space="0" w:color="auto"/>
        <w:right w:val="none" w:sz="0" w:space="0" w:color="auto"/>
      </w:divBdr>
    </w:div>
    <w:div w:id="500893109">
      <w:marLeft w:val="640"/>
      <w:marRight w:val="0"/>
      <w:marTop w:val="0"/>
      <w:marBottom w:val="0"/>
      <w:divBdr>
        <w:top w:val="none" w:sz="0" w:space="0" w:color="auto"/>
        <w:left w:val="none" w:sz="0" w:space="0" w:color="auto"/>
        <w:bottom w:val="none" w:sz="0" w:space="0" w:color="auto"/>
        <w:right w:val="none" w:sz="0" w:space="0" w:color="auto"/>
      </w:divBdr>
    </w:div>
    <w:div w:id="501430246">
      <w:marLeft w:val="640"/>
      <w:marRight w:val="0"/>
      <w:marTop w:val="0"/>
      <w:marBottom w:val="0"/>
      <w:divBdr>
        <w:top w:val="none" w:sz="0" w:space="0" w:color="auto"/>
        <w:left w:val="none" w:sz="0" w:space="0" w:color="auto"/>
        <w:bottom w:val="none" w:sz="0" w:space="0" w:color="auto"/>
        <w:right w:val="none" w:sz="0" w:space="0" w:color="auto"/>
      </w:divBdr>
    </w:div>
    <w:div w:id="501817053">
      <w:marLeft w:val="640"/>
      <w:marRight w:val="0"/>
      <w:marTop w:val="0"/>
      <w:marBottom w:val="0"/>
      <w:divBdr>
        <w:top w:val="none" w:sz="0" w:space="0" w:color="auto"/>
        <w:left w:val="none" w:sz="0" w:space="0" w:color="auto"/>
        <w:bottom w:val="none" w:sz="0" w:space="0" w:color="auto"/>
        <w:right w:val="none" w:sz="0" w:space="0" w:color="auto"/>
      </w:divBdr>
    </w:div>
    <w:div w:id="502012075">
      <w:marLeft w:val="640"/>
      <w:marRight w:val="0"/>
      <w:marTop w:val="0"/>
      <w:marBottom w:val="0"/>
      <w:divBdr>
        <w:top w:val="none" w:sz="0" w:space="0" w:color="auto"/>
        <w:left w:val="none" w:sz="0" w:space="0" w:color="auto"/>
        <w:bottom w:val="none" w:sz="0" w:space="0" w:color="auto"/>
        <w:right w:val="none" w:sz="0" w:space="0" w:color="auto"/>
      </w:divBdr>
    </w:div>
    <w:div w:id="502234646">
      <w:marLeft w:val="640"/>
      <w:marRight w:val="0"/>
      <w:marTop w:val="0"/>
      <w:marBottom w:val="0"/>
      <w:divBdr>
        <w:top w:val="none" w:sz="0" w:space="0" w:color="auto"/>
        <w:left w:val="none" w:sz="0" w:space="0" w:color="auto"/>
        <w:bottom w:val="none" w:sz="0" w:space="0" w:color="auto"/>
        <w:right w:val="none" w:sz="0" w:space="0" w:color="auto"/>
      </w:divBdr>
    </w:div>
    <w:div w:id="504900503">
      <w:marLeft w:val="640"/>
      <w:marRight w:val="0"/>
      <w:marTop w:val="0"/>
      <w:marBottom w:val="0"/>
      <w:divBdr>
        <w:top w:val="none" w:sz="0" w:space="0" w:color="auto"/>
        <w:left w:val="none" w:sz="0" w:space="0" w:color="auto"/>
        <w:bottom w:val="none" w:sz="0" w:space="0" w:color="auto"/>
        <w:right w:val="none" w:sz="0" w:space="0" w:color="auto"/>
      </w:divBdr>
    </w:div>
    <w:div w:id="505171525">
      <w:marLeft w:val="640"/>
      <w:marRight w:val="0"/>
      <w:marTop w:val="0"/>
      <w:marBottom w:val="0"/>
      <w:divBdr>
        <w:top w:val="none" w:sz="0" w:space="0" w:color="auto"/>
        <w:left w:val="none" w:sz="0" w:space="0" w:color="auto"/>
        <w:bottom w:val="none" w:sz="0" w:space="0" w:color="auto"/>
        <w:right w:val="none" w:sz="0" w:space="0" w:color="auto"/>
      </w:divBdr>
    </w:div>
    <w:div w:id="506166269">
      <w:marLeft w:val="640"/>
      <w:marRight w:val="0"/>
      <w:marTop w:val="0"/>
      <w:marBottom w:val="0"/>
      <w:divBdr>
        <w:top w:val="none" w:sz="0" w:space="0" w:color="auto"/>
        <w:left w:val="none" w:sz="0" w:space="0" w:color="auto"/>
        <w:bottom w:val="none" w:sz="0" w:space="0" w:color="auto"/>
        <w:right w:val="none" w:sz="0" w:space="0" w:color="auto"/>
      </w:divBdr>
    </w:div>
    <w:div w:id="506529498">
      <w:marLeft w:val="640"/>
      <w:marRight w:val="0"/>
      <w:marTop w:val="0"/>
      <w:marBottom w:val="0"/>
      <w:divBdr>
        <w:top w:val="none" w:sz="0" w:space="0" w:color="auto"/>
        <w:left w:val="none" w:sz="0" w:space="0" w:color="auto"/>
        <w:bottom w:val="none" w:sz="0" w:space="0" w:color="auto"/>
        <w:right w:val="none" w:sz="0" w:space="0" w:color="auto"/>
      </w:divBdr>
    </w:div>
    <w:div w:id="506798423">
      <w:marLeft w:val="640"/>
      <w:marRight w:val="0"/>
      <w:marTop w:val="0"/>
      <w:marBottom w:val="0"/>
      <w:divBdr>
        <w:top w:val="none" w:sz="0" w:space="0" w:color="auto"/>
        <w:left w:val="none" w:sz="0" w:space="0" w:color="auto"/>
        <w:bottom w:val="none" w:sz="0" w:space="0" w:color="auto"/>
        <w:right w:val="none" w:sz="0" w:space="0" w:color="auto"/>
      </w:divBdr>
    </w:div>
    <w:div w:id="510795775">
      <w:marLeft w:val="640"/>
      <w:marRight w:val="0"/>
      <w:marTop w:val="0"/>
      <w:marBottom w:val="0"/>
      <w:divBdr>
        <w:top w:val="none" w:sz="0" w:space="0" w:color="auto"/>
        <w:left w:val="none" w:sz="0" w:space="0" w:color="auto"/>
        <w:bottom w:val="none" w:sz="0" w:space="0" w:color="auto"/>
        <w:right w:val="none" w:sz="0" w:space="0" w:color="auto"/>
      </w:divBdr>
    </w:div>
    <w:div w:id="510991099">
      <w:marLeft w:val="640"/>
      <w:marRight w:val="0"/>
      <w:marTop w:val="0"/>
      <w:marBottom w:val="0"/>
      <w:divBdr>
        <w:top w:val="none" w:sz="0" w:space="0" w:color="auto"/>
        <w:left w:val="none" w:sz="0" w:space="0" w:color="auto"/>
        <w:bottom w:val="none" w:sz="0" w:space="0" w:color="auto"/>
        <w:right w:val="none" w:sz="0" w:space="0" w:color="auto"/>
      </w:divBdr>
    </w:div>
    <w:div w:id="511798288">
      <w:marLeft w:val="640"/>
      <w:marRight w:val="0"/>
      <w:marTop w:val="0"/>
      <w:marBottom w:val="0"/>
      <w:divBdr>
        <w:top w:val="none" w:sz="0" w:space="0" w:color="auto"/>
        <w:left w:val="none" w:sz="0" w:space="0" w:color="auto"/>
        <w:bottom w:val="none" w:sz="0" w:space="0" w:color="auto"/>
        <w:right w:val="none" w:sz="0" w:space="0" w:color="auto"/>
      </w:divBdr>
    </w:div>
    <w:div w:id="512186877">
      <w:marLeft w:val="640"/>
      <w:marRight w:val="0"/>
      <w:marTop w:val="0"/>
      <w:marBottom w:val="0"/>
      <w:divBdr>
        <w:top w:val="none" w:sz="0" w:space="0" w:color="auto"/>
        <w:left w:val="none" w:sz="0" w:space="0" w:color="auto"/>
        <w:bottom w:val="none" w:sz="0" w:space="0" w:color="auto"/>
        <w:right w:val="none" w:sz="0" w:space="0" w:color="auto"/>
      </w:divBdr>
    </w:div>
    <w:div w:id="512694711">
      <w:marLeft w:val="640"/>
      <w:marRight w:val="0"/>
      <w:marTop w:val="0"/>
      <w:marBottom w:val="0"/>
      <w:divBdr>
        <w:top w:val="none" w:sz="0" w:space="0" w:color="auto"/>
        <w:left w:val="none" w:sz="0" w:space="0" w:color="auto"/>
        <w:bottom w:val="none" w:sz="0" w:space="0" w:color="auto"/>
        <w:right w:val="none" w:sz="0" w:space="0" w:color="auto"/>
      </w:divBdr>
    </w:div>
    <w:div w:id="513422019">
      <w:marLeft w:val="640"/>
      <w:marRight w:val="0"/>
      <w:marTop w:val="0"/>
      <w:marBottom w:val="0"/>
      <w:divBdr>
        <w:top w:val="none" w:sz="0" w:space="0" w:color="auto"/>
        <w:left w:val="none" w:sz="0" w:space="0" w:color="auto"/>
        <w:bottom w:val="none" w:sz="0" w:space="0" w:color="auto"/>
        <w:right w:val="none" w:sz="0" w:space="0" w:color="auto"/>
      </w:divBdr>
    </w:div>
    <w:div w:id="513610520">
      <w:marLeft w:val="640"/>
      <w:marRight w:val="0"/>
      <w:marTop w:val="0"/>
      <w:marBottom w:val="0"/>
      <w:divBdr>
        <w:top w:val="none" w:sz="0" w:space="0" w:color="auto"/>
        <w:left w:val="none" w:sz="0" w:space="0" w:color="auto"/>
        <w:bottom w:val="none" w:sz="0" w:space="0" w:color="auto"/>
        <w:right w:val="none" w:sz="0" w:space="0" w:color="auto"/>
      </w:divBdr>
    </w:div>
    <w:div w:id="513764597">
      <w:marLeft w:val="640"/>
      <w:marRight w:val="0"/>
      <w:marTop w:val="0"/>
      <w:marBottom w:val="0"/>
      <w:divBdr>
        <w:top w:val="none" w:sz="0" w:space="0" w:color="auto"/>
        <w:left w:val="none" w:sz="0" w:space="0" w:color="auto"/>
        <w:bottom w:val="none" w:sz="0" w:space="0" w:color="auto"/>
        <w:right w:val="none" w:sz="0" w:space="0" w:color="auto"/>
      </w:divBdr>
    </w:div>
    <w:div w:id="514006152">
      <w:marLeft w:val="640"/>
      <w:marRight w:val="0"/>
      <w:marTop w:val="0"/>
      <w:marBottom w:val="0"/>
      <w:divBdr>
        <w:top w:val="none" w:sz="0" w:space="0" w:color="auto"/>
        <w:left w:val="none" w:sz="0" w:space="0" w:color="auto"/>
        <w:bottom w:val="none" w:sz="0" w:space="0" w:color="auto"/>
        <w:right w:val="none" w:sz="0" w:space="0" w:color="auto"/>
      </w:divBdr>
    </w:div>
    <w:div w:id="514854410">
      <w:marLeft w:val="640"/>
      <w:marRight w:val="0"/>
      <w:marTop w:val="0"/>
      <w:marBottom w:val="0"/>
      <w:divBdr>
        <w:top w:val="none" w:sz="0" w:space="0" w:color="auto"/>
        <w:left w:val="none" w:sz="0" w:space="0" w:color="auto"/>
        <w:bottom w:val="none" w:sz="0" w:space="0" w:color="auto"/>
        <w:right w:val="none" w:sz="0" w:space="0" w:color="auto"/>
      </w:divBdr>
    </w:div>
    <w:div w:id="516189229">
      <w:marLeft w:val="640"/>
      <w:marRight w:val="0"/>
      <w:marTop w:val="0"/>
      <w:marBottom w:val="0"/>
      <w:divBdr>
        <w:top w:val="none" w:sz="0" w:space="0" w:color="auto"/>
        <w:left w:val="none" w:sz="0" w:space="0" w:color="auto"/>
        <w:bottom w:val="none" w:sz="0" w:space="0" w:color="auto"/>
        <w:right w:val="none" w:sz="0" w:space="0" w:color="auto"/>
      </w:divBdr>
    </w:div>
    <w:div w:id="517812241">
      <w:marLeft w:val="640"/>
      <w:marRight w:val="0"/>
      <w:marTop w:val="0"/>
      <w:marBottom w:val="0"/>
      <w:divBdr>
        <w:top w:val="none" w:sz="0" w:space="0" w:color="auto"/>
        <w:left w:val="none" w:sz="0" w:space="0" w:color="auto"/>
        <w:bottom w:val="none" w:sz="0" w:space="0" w:color="auto"/>
        <w:right w:val="none" w:sz="0" w:space="0" w:color="auto"/>
      </w:divBdr>
    </w:div>
    <w:div w:id="518202865">
      <w:marLeft w:val="640"/>
      <w:marRight w:val="0"/>
      <w:marTop w:val="0"/>
      <w:marBottom w:val="0"/>
      <w:divBdr>
        <w:top w:val="none" w:sz="0" w:space="0" w:color="auto"/>
        <w:left w:val="none" w:sz="0" w:space="0" w:color="auto"/>
        <w:bottom w:val="none" w:sz="0" w:space="0" w:color="auto"/>
        <w:right w:val="none" w:sz="0" w:space="0" w:color="auto"/>
      </w:divBdr>
    </w:div>
    <w:div w:id="518466715">
      <w:marLeft w:val="640"/>
      <w:marRight w:val="0"/>
      <w:marTop w:val="0"/>
      <w:marBottom w:val="0"/>
      <w:divBdr>
        <w:top w:val="none" w:sz="0" w:space="0" w:color="auto"/>
        <w:left w:val="none" w:sz="0" w:space="0" w:color="auto"/>
        <w:bottom w:val="none" w:sz="0" w:space="0" w:color="auto"/>
        <w:right w:val="none" w:sz="0" w:space="0" w:color="auto"/>
      </w:divBdr>
    </w:div>
    <w:div w:id="518471072">
      <w:marLeft w:val="640"/>
      <w:marRight w:val="0"/>
      <w:marTop w:val="0"/>
      <w:marBottom w:val="0"/>
      <w:divBdr>
        <w:top w:val="none" w:sz="0" w:space="0" w:color="auto"/>
        <w:left w:val="none" w:sz="0" w:space="0" w:color="auto"/>
        <w:bottom w:val="none" w:sz="0" w:space="0" w:color="auto"/>
        <w:right w:val="none" w:sz="0" w:space="0" w:color="auto"/>
      </w:divBdr>
    </w:div>
    <w:div w:id="518591384">
      <w:marLeft w:val="640"/>
      <w:marRight w:val="0"/>
      <w:marTop w:val="0"/>
      <w:marBottom w:val="0"/>
      <w:divBdr>
        <w:top w:val="none" w:sz="0" w:space="0" w:color="auto"/>
        <w:left w:val="none" w:sz="0" w:space="0" w:color="auto"/>
        <w:bottom w:val="none" w:sz="0" w:space="0" w:color="auto"/>
        <w:right w:val="none" w:sz="0" w:space="0" w:color="auto"/>
      </w:divBdr>
    </w:div>
    <w:div w:id="518736079">
      <w:marLeft w:val="640"/>
      <w:marRight w:val="0"/>
      <w:marTop w:val="0"/>
      <w:marBottom w:val="0"/>
      <w:divBdr>
        <w:top w:val="none" w:sz="0" w:space="0" w:color="auto"/>
        <w:left w:val="none" w:sz="0" w:space="0" w:color="auto"/>
        <w:bottom w:val="none" w:sz="0" w:space="0" w:color="auto"/>
        <w:right w:val="none" w:sz="0" w:space="0" w:color="auto"/>
      </w:divBdr>
    </w:div>
    <w:div w:id="519315983">
      <w:marLeft w:val="640"/>
      <w:marRight w:val="0"/>
      <w:marTop w:val="0"/>
      <w:marBottom w:val="0"/>
      <w:divBdr>
        <w:top w:val="none" w:sz="0" w:space="0" w:color="auto"/>
        <w:left w:val="none" w:sz="0" w:space="0" w:color="auto"/>
        <w:bottom w:val="none" w:sz="0" w:space="0" w:color="auto"/>
        <w:right w:val="none" w:sz="0" w:space="0" w:color="auto"/>
      </w:divBdr>
    </w:div>
    <w:div w:id="519858267">
      <w:marLeft w:val="640"/>
      <w:marRight w:val="0"/>
      <w:marTop w:val="0"/>
      <w:marBottom w:val="0"/>
      <w:divBdr>
        <w:top w:val="none" w:sz="0" w:space="0" w:color="auto"/>
        <w:left w:val="none" w:sz="0" w:space="0" w:color="auto"/>
        <w:bottom w:val="none" w:sz="0" w:space="0" w:color="auto"/>
        <w:right w:val="none" w:sz="0" w:space="0" w:color="auto"/>
      </w:divBdr>
    </w:div>
    <w:div w:id="520431731">
      <w:marLeft w:val="640"/>
      <w:marRight w:val="0"/>
      <w:marTop w:val="0"/>
      <w:marBottom w:val="0"/>
      <w:divBdr>
        <w:top w:val="none" w:sz="0" w:space="0" w:color="auto"/>
        <w:left w:val="none" w:sz="0" w:space="0" w:color="auto"/>
        <w:bottom w:val="none" w:sz="0" w:space="0" w:color="auto"/>
        <w:right w:val="none" w:sz="0" w:space="0" w:color="auto"/>
      </w:divBdr>
    </w:div>
    <w:div w:id="522671198">
      <w:marLeft w:val="640"/>
      <w:marRight w:val="0"/>
      <w:marTop w:val="0"/>
      <w:marBottom w:val="0"/>
      <w:divBdr>
        <w:top w:val="none" w:sz="0" w:space="0" w:color="auto"/>
        <w:left w:val="none" w:sz="0" w:space="0" w:color="auto"/>
        <w:bottom w:val="none" w:sz="0" w:space="0" w:color="auto"/>
        <w:right w:val="none" w:sz="0" w:space="0" w:color="auto"/>
      </w:divBdr>
    </w:div>
    <w:div w:id="522743511">
      <w:marLeft w:val="640"/>
      <w:marRight w:val="0"/>
      <w:marTop w:val="0"/>
      <w:marBottom w:val="0"/>
      <w:divBdr>
        <w:top w:val="none" w:sz="0" w:space="0" w:color="auto"/>
        <w:left w:val="none" w:sz="0" w:space="0" w:color="auto"/>
        <w:bottom w:val="none" w:sz="0" w:space="0" w:color="auto"/>
        <w:right w:val="none" w:sz="0" w:space="0" w:color="auto"/>
      </w:divBdr>
    </w:div>
    <w:div w:id="524825120">
      <w:marLeft w:val="640"/>
      <w:marRight w:val="0"/>
      <w:marTop w:val="0"/>
      <w:marBottom w:val="0"/>
      <w:divBdr>
        <w:top w:val="none" w:sz="0" w:space="0" w:color="auto"/>
        <w:left w:val="none" w:sz="0" w:space="0" w:color="auto"/>
        <w:bottom w:val="none" w:sz="0" w:space="0" w:color="auto"/>
        <w:right w:val="none" w:sz="0" w:space="0" w:color="auto"/>
      </w:divBdr>
    </w:div>
    <w:div w:id="525019261">
      <w:marLeft w:val="640"/>
      <w:marRight w:val="0"/>
      <w:marTop w:val="0"/>
      <w:marBottom w:val="0"/>
      <w:divBdr>
        <w:top w:val="none" w:sz="0" w:space="0" w:color="auto"/>
        <w:left w:val="none" w:sz="0" w:space="0" w:color="auto"/>
        <w:bottom w:val="none" w:sz="0" w:space="0" w:color="auto"/>
        <w:right w:val="none" w:sz="0" w:space="0" w:color="auto"/>
      </w:divBdr>
    </w:div>
    <w:div w:id="525367717">
      <w:marLeft w:val="640"/>
      <w:marRight w:val="0"/>
      <w:marTop w:val="0"/>
      <w:marBottom w:val="0"/>
      <w:divBdr>
        <w:top w:val="none" w:sz="0" w:space="0" w:color="auto"/>
        <w:left w:val="none" w:sz="0" w:space="0" w:color="auto"/>
        <w:bottom w:val="none" w:sz="0" w:space="0" w:color="auto"/>
        <w:right w:val="none" w:sz="0" w:space="0" w:color="auto"/>
      </w:divBdr>
    </w:div>
    <w:div w:id="525867272">
      <w:marLeft w:val="640"/>
      <w:marRight w:val="0"/>
      <w:marTop w:val="0"/>
      <w:marBottom w:val="0"/>
      <w:divBdr>
        <w:top w:val="none" w:sz="0" w:space="0" w:color="auto"/>
        <w:left w:val="none" w:sz="0" w:space="0" w:color="auto"/>
        <w:bottom w:val="none" w:sz="0" w:space="0" w:color="auto"/>
        <w:right w:val="none" w:sz="0" w:space="0" w:color="auto"/>
      </w:divBdr>
    </w:div>
    <w:div w:id="526413923">
      <w:marLeft w:val="640"/>
      <w:marRight w:val="0"/>
      <w:marTop w:val="0"/>
      <w:marBottom w:val="0"/>
      <w:divBdr>
        <w:top w:val="none" w:sz="0" w:space="0" w:color="auto"/>
        <w:left w:val="none" w:sz="0" w:space="0" w:color="auto"/>
        <w:bottom w:val="none" w:sz="0" w:space="0" w:color="auto"/>
        <w:right w:val="none" w:sz="0" w:space="0" w:color="auto"/>
      </w:divBdr>
    </w:div>
    <w:div w:id="526677639">
      <w:marLeft w:val="640"/>
      <w:marRight w:val="0"/>
      <w:marTop w:val="0"/>
      <w:marBottom w:val="0"/>
      <w:divBdr>
        <w:top w:val="none" w:sz="0" w:space="0" w:color="auto"/>
        <w:left w:val="none" w:sz="0" w:space="0" w:color="auto"/>
        <w:bottom w:val="none" w:sz="0" w:space="0" w:color="auto"/>
        <w:right w:val="none" w:sz="0" w:space="0" w:color="auto"/>
      </w:divBdr>
    </w:div>
    <w:div w:id="527179724">
      <w:marLeft w:val="640"/>
      <w:marRight w:val="0"/>
      <w:marTop w:val="0"/>
      <w:marBottom w:val="0"/>
      <w:divBdr>
        <w:top w:val="none" w:sz="0" w:space="0" w:color="auto"/>
        <w:left w:val="none" w:sz="0" w:space="0" w:color="auto"/>
        <w:bottom w:val="none" w:sz="0" w:space="0" w:color="auto"/>
        <w:right w:val="none" w:sz="0" w:space="0" w:color="auto"/>
      </w:divBdr>
    </w:div>
    <w:div w:id="527573581">
      <w:marLeft w:val="640"/>
      <w:marRight w:val="0"/>
      <w:marTop w:val="0"/>
      <w:marBottom w:val="0"/>
      <w:divBdr>
        <w:top w:val="none" w:sz="0" w:space="0" w:color="auto"/>
        <w:left w:val="none" w:sz="0" w:space="0" w:color="auto"/>
        <w:bottom w:val="none" w:sz="0" w:space="0" w:color="auto"/>
        <w:right w:val="none" w:sz="0" w:space="0" w:color="auto"/>
      </w:divBdr>
    </w:div>
    <w:div w:id="527840577">
      <w:marLeft w:val="640"/>
      <w:marRight w:val="0"/>
      <w:marTop w:val="0"/>
      <w:marBottom w:val="0"/>
      <w:divBdr>
        <w:top w:val="none" w:sz="0" w:space="0" w:color="auto"/>
        <w:left w:val="none" w:sz="0" w:space="0" w:color="auto"/>
        <w:bottom w:val="none" w:sz="0" w:space="0" w:color="auto"/>
        <w:right w:val="none" w:sz="0" w:space="0" w:color="auto"/>
      </w:divBdr>
    </w:div>
    <w:div w:id="528106162">
      <w:marLeft w:val="640"/>
      <w:marRight w:val="0"/>
      <w:marTop w:val="0"/>
      <w:marBottom w:val="0"/>
      <w:divBdr>
        <w:top w:val="none" w:sz="0" w:space="0" w:color="auto"/>
        <w:left w:val="none" w:sz="0" w:space="0" w:color="auto"/>
        <w:bottom w:val="none" w:sz="0" w:space="0" w:color="auto"/>
        <w:right w:val="none" w:sz="0" w:space="0" w:color="auto"/>
      </w:divBdr>
    </w:div>
    <w:div w:id="528837742">
      <w:marLeft w:val="640"/>
      <w:marRight w:val="0"/>
      <w:marTop w:val="0"/>
      <w:marBottom w:val="0"/>
      <w:divBdr>
        <w:top w:val="none" w:sz="0" w:space="0" w:color="auto"/>
        <w:left w:val="none" w:sz="0" w:space="0" w:color="auto"/>
        <w:bottom w:val="none" w:sz="0" w:space="0" w:color="auto"/>
        <w:right w:val="none" w:sz="0" w:space="0" w:color="auto"/>
      </w:divBdr>
    </w:div>
    <w:div w:id="530728938">
      <w:marLeft w:val="640"/>
      <w:marRight w:val="0"/>
      <w:marTop w:val="0"/>
      <w:marBottom w:val="0"/>
      <w:divBdr>
        <w:top w:val="none" w:sz="0" w:space="0" w:color="auto"/>
        <w:left w:val="none" w:sz="0" w:space="0" w:color="auto"/>
        <w:bottom w:val="none" w:sz="0" w:space="0" w:color="auto"/>
        <w:right w:val="none" w:sz="0" w:space="0" w:color="auto"/>
      </w:divBdr>
    </w:div>
    <w:div w:id="531112037">
      <w:marLeft w:val="640"/>
      <w:marRight w:val="0"/>
      <w:marTop w:val="0"/>
      <w:marBottom w:val="0"/>
      <w:divBdr>
        <w:top w:val="none" w:sz="0" w:space="0" w:color="auto"/>
        <w:left w:val="none" w:sz="0" w:space="0" w:color="auto"/>
        <w:bottom w:val="none" w:sz="0" w:space="0" w:color="auto"/>
        <w:right w:val="none" w:sz="0" w:space="0" w:color="auto"/>
      </w:divBdr>
    </w:div>
    <w:div w:id="531573730">
      <w:marLeft w:val="640"/>
      <w:marRight w:val="0"/>
      <w:marTop w:val="0"/>
      <w:marBottom w:val="0"/>
      <w:divBdr>
        <w:top w:val="none" w:sz="0" w:space="0" w:color="auto"/>
        <w:left w:val="none" w:sz="0" w:space="0" w:color="auto"/>
        <w:bottom w:val="none" w:sz="0" w:space="0" w:color="auto"/>
        <w:right w:val="none" w:sz="0" w:space="0" w:color="auto"/>
      </w:divBdr>
    </w:div>
    <w:div w:id="531772087">
      <w:marLeft w:val="640"/>
      <w:marRight w:val="0"/>
      <w:marTop w:val="0"/>
      <w:marBottom w:val="0"/>
      <w:divBdr>
        <w:top w:val="none" w:sz="0" w:space="0" w:color="auto"/>
        <w:left w:val="none" w:sz="0" w:space="0" w:color="auto"/>
        <w:bottom w:val="none" w:sz="0" w:space="0" w:color="auto"/>
        <w:right w:val="none" w:sz="0" w:space="0" w:color="auto"/>
      </w:divBdr>
    </w:div>
    <w:div w:id="532157931">
      <w:marLeft w:val="640"/>
      <w:marRight w:val="0"/>
      <w:marTop w:val="0"/>
      <w:marBottom w:val="0"/>
      <w:divBdr>
        <w:top w:val="none" w:sz="0" w:space="0" w:color="auto"/>
        <w:left w:val="none" w:sz="0" w:space="0" w:color="auto"/>
        <w:bottom w:val="none" w:sz="0" w:space="0" w:color="auto"/>
        <w:right w:val="none" w:sz="0" w:space="0" w:color="auto"/>
      </w:divBdr>
    </w:div>
    <w:div w:id="532812405">
      <w:marLeft w:val="640"/>
      <w:marRight w:val="0"/>
      <w:marTop w:val="0"/>
      <w:marBottom w:val="0"/>
      <w:divBdr>
        <w:top w:val="none" w:sz="0" w:space="0" w:color="auto"/>
        <w:left w:val="none" w:sz="0" w:space="0" w:color="auto"/>
        <w:bottom w:val="none" w:sz="0" w:space="0" w:color="auto"/>
        <w:right w:val="none" w:sz="0" w:space="0" w:color="auto"/>
      </w:divBdr>
    </w:div>
    <w:div w:id="532957111">
      <w:marLeft w:val="640"/>
      <w:marRight w:val="0"/>
      <w:marTop w:val="0"/>
      <w:marBottom w:val="0"/>
      <w:divBdr>
        <w:top w:val="none" w:sz="0" w:space="0" w:color="auto"/>
        <w:left w:val="none" w:sz="0" w:space="0" w:color="auto"/>
        <w:bottom w:val="none" w:sz="0" w:space="0" w:color="auto"/>
        <w:right w:val="none" w:sz="0" w:space="0" w:color="auto"/>
      </w:divBdr>
    </w:div>
    <w:div w:id="533345163">
      <w:marLeft w:val="640"/>
      <w:marRight w:val="0"/>
      <w:marTop w:val="0"/>
      <w:marBottom w:val="0"/>
      <w:divBdr>
        <w:top w:val="none" w:sz="0" w:space="0" w:color="auto"/>
        <w:left w:val="none" w:sz="0" w:space="0" w:color="auto"/>
        <w:bottom w:val="none" w:sz="0" w:space="0" w:color="auto"/>
        <w:right w:val="none" w:sz="0" w:space="0" w:color="auto"/>
      </w:divBdr>
    </w:div>
    <w:div w:id="533930870">
      <w:marLeft w:val="640"/>
      <w:marRight w:val="0"/>
      <w:marTop w:val="0"/>
      <w:marBottom w:val="0"/>
      <w:divBdr>
        <w:top w:val="none" w:sz="0" w:space="0" w:color="auto"/>
        <w:left w:val="none" w:sz="0" w:space="0" w:color="auto"/>
        <w:bottom w:val="none" w:sz="0" w:space="0" w:color="auto"/>
        <w:right w:val="none" w:sz="0" w:space="0" w:color="auto"/>
      </w:divBdr>
    </w:div>
    <w:div w:id="534082576">
      <w:marLeft w:val="640"/>
      <w:marRight w:val="0"/>
      <w:marTop w:val="0"/>
      <w:marBottom w:val="0"/>
      <w:divBdr>
        <w:top w:val="none" w:sz="0" w:space="0" w:color="auto"/>
        <w:left w:val="none" w:sz="0" w:space="0" w:color="auto"/>
        <w:bottom w:val="none" w:sz="0" w:space="0" w:color="auto"/>
        <w:right w:val="none" w:sz="0" w:space="0" w:color="auto"/>
      </w:divBdr>
    </w:div>
    <w:div w:id="534270237">
      <w:marLeft w:val="640"/>
      <w:marRight w:val="0"/>
      <w:marTop w:val="0"/>
      <w:marBottom w:val="0"/>
      <w:divBdr>
        <w:top w:val="none" w:sz="0" w:space="0" w:color="auto"/>
        <w:left w:val="none" w:sz="0" w:space="0" w:color="auto"/>
        <w:bottom w:val="none" w:sz="0" w:space="0" w:color="auto"/>
        <w:right w:val="none" w:sz="0" w:space="0" w:color="auto"/>
      </w:divBdr>
    </w:div>
    <w:div w:id="534393710">
      <w:marLeft w:val="640"/>
      <w:marRight w:val="0"/>
      <w:marTop w:val="0"/>
      <w:marBottom w:val="0"/>
      <w:divBdr>
        <w:top w:val="none" w:sz="0" w:space="0" w:color="auto"/>
        <w:left w:val="none" w:sz="0" w:space="0" w:color="auto"/>
        <w:bottom w:val="none" w:sz="0" w:space="0" w:color="auto"/>
        <w:right w:val="none" w:sz="0" w:space="0" w:color="auto"/>
      </w:divBdr>
    </w:div>
    <w:div w:id="535234417">
      <w:marLeft w:val="640"/>
      <w:marRight w:val="0"/>
      <w:marTop w:val="0"/>
      <w:marBottom w:val="0"/>
      <w:divBdr>
        <w:top w:val="none" w:sz="0" w:space="0" w:color="auto"/>
        <w:left w:val="none" w:sz="0" w:space="0" w:color="auto"/>
        <w:bottom w:val="none" w:sz="0" w:space="0" w:color="auto"/>
        <w:right w:val="none" w:sz="0" w:space="0" w:color="auto"/>
      </w:divBdr>
    </w:div>
    <w:div w:id="535387773">
      <w:marLeft w:val="640"/>
      <w:marRight w:val="0"/>
      <w:marTop w:val="0"/>
      <w:marBottom w:val="0"/>
      <w:divBdr>
        <w:top w:val="none" w:sz="0" w:space="0" w:color="auto"/>
        <w:left w:val="none" w:sz="0" w:space="0" w:color="auto"/>
        <w:bottom w:val="none" w:sz="0" w:space="0" w:color="auto"/>
        <w:right w:val="none" w:sz="0" w:space="0" w:color="auto"/>
      </w:divBdr>
    </w:div>
    <w:div w:id="536235814">
      <w:marLeft w:val="640"/>
      <w:marRight w:val="0"/>
      <w:marTop w:val="0"/>
      <w:marBottom w:val="0"/>
      <w:divBdr>
        <w:top w:val="none" w:sz="0" w:space="0" w:color="auto"/>
        <w:left w:val="none" w:sz="0" w:space="0" w:color="auto"/>
        <w:bottom w:val="none" w:sz="0" w:space="0" w:color="auto"/>
        <w:right w:val="none" w:sz="0" w:space="0" w:color="auto"/>
      </w:divBdr>
    </w:div>
    <w:div w:id="536551346">
      <w:marLeft w:val="640"/>
      <w:marRight w:val="0"/>
      <w:marTop w:val="0"/>
      <w:marBottom w:val="0"/>
      <w:divBdr>
        <w:top w:val="none" w:sz="0" w:space="0" w:color="auto"/>
        <w:left w:val="none" w:sz="0" w:space="0" w:color="auto"/>
        <w:bottom w:val="none" w:sz="0" w:space="0" w:color="auto"/>
        <w:right w:val="none" w:sz="0" w:space="0" w:color="auto"/>
      </w:divBdr>
    </w:div>
    <w:div w:id="536703908">
      <w:marLeft w:val="640"/>
      <w:marRight w:val="0"/>
      <w:marTop w:val="0"/>
      <w:marBottom w:val="0"/>
      <w:divBdr>
        <w:top w:val="none" w:sz="0" w:space="0" w:color="auto"/>
        <w:left w:val="none" w:sz="0" w:space="0" w:color="auto"/>
        <w:bottom w:val="none" w:sz="0" w:space="0" w:color="auto"/>
        <w:right w:val="none" w:sz="0" w:space="0" w:color="auto"/>
      </w:divBdr>
    </w:div>
    <w:div w:id="536822156">
      <w:marLeft w:val="640"/>
      <w:marRight w:val="0"/>
      <w:marTop w:val="0"/>
      <w:marBottom w:val="0"/>
      <w:divBdr>
        <w:top w:val="none" w:sz="0" w:space="0" w:color="auto"/>
        <w:left w:val="none" w:sz="0" w:space="0" w:color="auto"/>
        <w:bottom w:val="none" w:sz="0" w:space="0" w:color="auto"/>
        <w:right w:val="none" w:sz="0" w:space="0" w:color="auto"/>
      </w:divBdr>
    </w:div>
    <w:div w:id="538009390">
      <w:marLeft w:val="640"/>
      <w:marRight w:val="0"/>
      <w:marTop w:val="0"/>
      <w:marBottom w:val="0"/>
      <w:divBdr>
        <w:top w:val="none" w:sz="0" w:space="0" w:color="auto"/>
        <w:left w:val="none" w:sz="0" w:space="0" w:color="auto"/>
        <w:bottom w:val="none" w:sz="0" w:space="0" w:color="auto"/>
        <w:right w:val="none" w:sz="0" w:space="0" w:color="auto"/>
      </w:divBdr>
    </w:div>
    <w:div w:id="538786817">
      <w:marLeft w:val="640"/>
      <w:marRight w:val="0"/>
      <w:marTop w:val="0"/>
      <w:marBottom w:val="0"/>
      <w:divBdr>
        <w:top w:val="none" w:sz="0" w:space="0" w:color="auto"/>
        <w:left w:val="none" w:sz="0" w:space="0" w:color="auto"/>
        <w:bottom w:val="none" w:sz="0" w:space="0" w:color="auto"/>
        <w:right w:val="none" w:sz="0" w:space="0" w:color="auto"/>
      </w:divBdr>
    </w:div>
    <w:div w:id="539128695">
      <w:marLeft w:val="640"/>
      <w:marRight w:val="0"/>
      <w:marTop w:val="0"/>
      <w:marBottom w:val="0"/>
      <w:divBdr>
        <w:top w:val="none" w:sz="0" w:space="0" w:color="auto"/>
        <w:left w:val="none" w:sz="0" w:space="0" w:color="auto"/>
        <w:bottom w:val="none" w:sz="0" w:space="0" w:color="auto"/>
        <w:right w:val="none" w:sz="0" w:space="0" w:color="auto"/>
      </w:divBdr>
    </w:div>
    <w:div w:id="539364917">
      <w:marLeft w:val="640"/>
      <w:marRight w:val="0"/>
      <w:marTop w:val="0"/>
      <w:marBottom w:val="0"/>
      <w:divBdr>
        <w:top w:val="none" w:sz="0" w:space="0" w:color="auto"/>
        <w:left w:val="none" w:sz="0" w:space="0" w:color="auto"/>
        <w:bottom w:val="none" w:sz="0" w:space="0" w:color="auto"/>
        <w:right w:val="none" w:sz="0" w:space="0" w:color="auto"/>
      </w:divBdr>
    </w:div>
    <w:div w:id="540558616">
      <w:marLeft w:val="640"/>
      <w:marRight w:val="0"/>
      <w:marTop w:val="0"/>
      <w:marBottom w:val="0"/>
      <w:divBdr>
        <w:top w:val="none" w:sz="0" w:space="0" w:color="auto"/>
        <w:left w:val="none" w:sz="0" w:space="0" w:color="auto"/>
        <w:bottom w:val="none" w:sz="0" w:space="0" w:color="auto"/>
        <w:right w:val="none" w:sz="0" w:space="0" w:color="auto"/>
      </w:divBdr>
    </w:div>
    <w:div w:id="541291602">
      <w:marLeft w:val="640"/>
      <w:marRight w:val="0"/>
      <w:marTop w:val="0"/>
      <w:marBottom w:val="0"/>
      <w:divBdr>
        <w:top w:val="none" w:sz="0" w:space="0" w:color="auto"/>
        <w:left w:val="none" w:sz="0" w:space="0" w:color="auto"/>
        <w:bottom w:val="none" w:sz="0" w:space="0" w:color="auto"/>
        <w:right w:val="none" w:sz="0" w:space="0" w:color="auto"/>
      </w:divBdr>
    </w:div>
    <w:div w:id="541790421">
      <w:marLeft w:val="640"/>
      <w:marRight w:val="0"/>
      <w:marTop w:val="0"/>
      <w:marBottom w:val="0"/>
      <w:divBdr>
        <w:top w:val="none" w:sz="0" w:space="0" w:color="auto"/>
        <w:left w:val="none" w:sz="0" w:space="0" w:color="auto"/>
        <w:bottom w:val="none" w:sz="0" w:space="0" w:color="auto"/>
        <w:right w:val="none" w:sz="0" w:space="0" w:color="auto"/>
      </w:divBdr>
    </w:div>
    <w:div w:id="542448479">
      <w:marLeft w:val="640"/>
      <w:marRight w:val="0"/>
      <w:marTop w:val="0"/>
      <w:marBottom w:val="0"/>
      <w:divBdr>
        <w:top w:val="none" w:sz="0" w:space="0" w:color="auto"/>
        <w:left w:val="none" w:sz="0" w:space="0" w:color="auto"/>
        <w:bottom w:val="none" w:sz="0" w:space="0" w:color="auto"/>
        <w:right w:val="none" w:sz="0" w:space="0" w:color="auto"/>
      </w:divBdr>
    </w:div>
    <w:div w:id="542866893">
      <w:marLeft w:val="640"/>
      <w:marRight w:val="0"/>
      <w:marTop w:val="0"/>
      <w:marBottom w:val="0"/>
      <w:divBdr>
        <w:top w:val="none" w:sz="0" w:space="0" w:color="auto"/>
        <w:left w:val="none" w:sz="0" w:space="0" w:color="auto"/>
        <w:bottom w:val="none" w:sz="0" w:space="0" w:color="auto"/>
        <w:right w:val="none" w:sz="0" w:space="0" w:color="auto"/>
      </w:divBdr>
    </w:div>
    <w:div w:id="545414798">
      <w:marLeft w:val="640"/>
      <w:marRight w:val="0"/>
      <w:marTop w:val="0"/>
      <w:marBottom w:val="0"/>
      <w:divBdr>
        <w:top w:val="none" w:sz="0" w:space="0" w:color="auto"/>
        <w:left w:val="none" w:sz="0" w:space="0" w:color="auto"/>
        <w:bottom w:val="none" w:sz="0" w:space="0" w:color="auto"/>
        <w:right w:val="none" w:sz="0" w:space="0" w:color="auto"/>
      </w:divBdr>
    </w:div>
    <w:div w:id="545601987">
      <w:marLeft w:val="640"/>
      <w:marRight w:val="0"/>
      <w:marTop w:val="0"/>
      <w:marBottom w:val="0"/>
      <w:divBdr>
        <w:top w:val="none" w:sz="0" w:space="0" w:color="auto"/>
        <w:left w:val="none" w:sz="0" w:space="0" w:color="auto"/>
        <w:bottom w:val="none" w:sz="0" w:space="0" w:color="auto"/>
        <w:right w:val="none" w:sz="0" w:space="0" w:color="auto"/>
      </w:divBdr>
    </w:div>
    <w:div w:id="545991388">
      <w:marLeft w:val="640"/>
      <w:marRight w:val="0"/>
      <w:marTop w:val="0"/>
      <w:marBottom w:val="0"/>
      <w:divBdr>
        <w:top w:val="none" w:sz="0" w:space="0" w:color="auto"/>
        <w:left w:val="none" w:sz="0" w:space="0" w:color="auto"/>
        <w:bottom w:val="none" w:sz="0" w:space="0" w:color="auto"/>
        <w:right w:val="none" w:sz="0" w:space="0" w:color="auto"/>
      </w:divBdr>
    </w:div>
    <w:div w:id="546919600">
      <w:marLeft w:val="640"/>
      <w:marRight w:val="0"/>
      <w:marTop w:val="0"/>
      <w:marBottom w:val="0"/>
      <w:divBdr>
        <w:top w:val="none" w:sz="0" w:space="0" w:color="auto"/>
        <w:left w:val="none" w:sz="0" w:space="0" w:color="auto"/>
        <w:bottom w:val="none" w:sz="0" w:space="0" w:color="auto"/>
        <w:right w:val="none" w:sz="0" w:space="0" w:color="auto"/>
      </w:divBdr>
    </w:div>
    <w:div w:id="548221677">
      <w:marLeft w:val="640"/>
      <w:marRight w:val="0"/>
      <w:marTop w:val="0"/>
      <w:marBottom w:val="0"/>
      <w:divBdr>
        <w:top w:val="none" w:sz="0" w:space="0" w:color="auto"/>
        <w:left w:val="none" w:sz="0" w:space="0" w:color="auto"/>
        <w:bottom w:val="none" w:sz="0" w:space="0" w:color="auto"/>
        <w:right w:val="none" w:sz="0" w:space="0" w:color="auto"/>
      </w:divBdr>
    </w:div>
    <w:div w:id="548305918">
      <w:marLeft w:val="640"/>
      <w:marRight w:val="0"/>
      <w:marTop w:val="0"/>
      <w:marBottom w:val="0"/>
      <w:divBdr>
        <w:top w:val="none" w:sz="0" w:space="0" w:color="auto"/>
        <w:left w:val="none" w:sz="0" w:space="0" w:color="auto"/>
        <w:bottom w:val="none" w:sz="0" w:space="0" w:color="auto"/>
        <w:right w:val="none" w:sz="0" w:space="0" w:color="auto"/>
      </w:divBdr>
    </w:div>
    <w:div w:id="548416628">
      <w:marLeft w:val="640"/>
      <w:marRight w:val="0"/>
      <w:marTop w:val="0"/>
      <w:marBottom w:val="0"/>
      <w:divBdr>
        <w:top w:val="none" w:sz="0" w:space="0" w:color="auto"/>
        <w:left w:val="none" w:sz="0" w:space="0" w:color="auto"/>
        <w:bottom w:val="none" w:sz="0" w:space="0" w:color="auto"/>
        <w:right w:val="none" w:sz="0" w:space="0" w:color="auto"/>
      </w:divBdr>
    </w:div>
    <w:div w:id="548422121">
      <w:marLeft w:val="640"/>
      <w:marRight w:val="0"/>
      <w:marTop w:val="0"/>
      <w:marBottom w:val="0"/>
      <w:divBdr>
        <w:top w:val="none" w:sz="0" w:space="0" w:color="auto"/>
        <w:left w:val="none" w:sz="0" w:space="0" w:color="auto"/>
        <w:bottom w:val="none" w:sz="0" w:space="0" w:color="auto"/>
        <w:right w:val="none" w:sz="0" w:space="0" w:color="auto"/>
      </w:divBdr>
    </w:div>
    <w:div w:id="549272212">
      <w:marLeft w:val="640"/>
      <w:marRight w:val="0"/>
      <w:marTop w:val="0"/>
      <w:marBottom w:val="0"/>
      <w:divBdr>
        <w:top w:val="none" w:sz="0" w:space="0" w:color="auto"/>
        <w:left w:val="none" w:sz="0" w:space="0" w:color="auto"/>
        <w:bottom w:val="none" w:sz="0" w:space="0" w:color="auto"/>
        <w:right w:val="none" w:sz="0" w:space="0" w:color="auto"/>
      </w:divBdr>
    </w:div>
    <w:div w:id="549339349">
      <w:marLeft w:val="640"/>
      <w:marRight w:val="0"/>
      <w:marTop w:val="0"/>
      <w:marBottom w:val="0"/>
      <w:divBdr>
        <w:top w:val="none" w:sz="0" w:space="0" w:color="auto"/>
        <w:left w:val="none" w:sz="0" w:space="0" w:color="auto"/>
        <w:bottom w:val="none" w:sz="0" w:space="0" w:color="auto"/>
        <w:right w:val="none" w:sz="0" w:space="0" w:color="auto"/>
      </w:divBdr>
    </w:div>
    <w:div w:id="549810113">
      <w:marLeft w:val="640"/>
      <w:marRight w:val="0"/>
      <w:marTop w:val="0"/>
      <w:marBottom w:val="0"/>
      <w:divBdr>
        <w:top w:val="none" w:sz="0" w:space="0" w:color="auto"/>
        <w:left w:val="none" w:sz="0" w:space="0" w:color="auto"/>
        <w:bottom w:val="none" w:sz="0" w:space="0" w:color="auto"/>
        <w:right w:val="none" w:sz="0" w:space="0" w:color="auto"/>
      </w:divBdr>
    </w:div>
    <w:div w:id="550271274">
      <w:marLeft w:val="640"/>
      <w:marRight w:val="0"/>
      <w:marTop w:val="0"/>
      <w:marBottom w:val="0"/>
      <w:divBdr>
        <w:top w:val="none" w:sz="0" w:space="0" w:color="auto"/>
        <w:left w:val="none" w:sz="0" w:space="0" w:color="auto"/>
        <w:bottom w:val="none" w:sz="0" w:space="0" w:color="auto"/>
        <w:right w:val="none" w:sz="0" w:space="0" w:color="auto"/>
      </w:divBdr>
    </w:div>
    <w:div w:id="552084665">
      <w:marLeft w:val="640"/>
      <w:marRight w:val="0"/>
      <w:marTop w:val="0"/>
      <w:marBottom w:val="0"/>
      <w:divBdr>
        <w:top w:val="none" w:sz="0" w:space="0" w:color="auto"/>
        <w:left w:val="none" w:sz="0" w:space="0" w:color="auto"/>
        <w:bottom w:val="none" w:sz="0" w:space="0" w:color="auto"/>
        <w:right w:val="none" w:sz="0" w:space="0" w:color="auto"/>
      </w:divBdr>
    </w:div>
    <w:div w:id="552347348">
      <w:marLeft w:val="640"/>
      <w:marRight w:val="0"/>
      <w:marTop w:val="0"/>
      <w:marBottom w:val="0"/>
      <w:divBdr>
        <w:top w:val="none" w:sz="0" w:space="0" w:color="auto"/>
        <w:left w:val="none" w:sz="0" w:space="0" w:color="auto"/>
        <w:bottom w:val="none" w:sz="0" w:space="0" w:color="auto"/>
        <w:right w:val="none" w:sz="0" w:space="0" w:color="auto"/>
      </w:divBdr>
    </w:div>
    <w:div w:id="552352742">
      <w:marLeft w:val="640"/>
      <w:marRight w:val="0"/>
      <w:marTop w:val="0"/>
      <w:marBottom w:val="0"/>
      <w:divBdr>
        <w:top w:val="none" w:sz="0" w:space="0" w:color="auto"/>
        <w:left w:val="none" w:sz="0" w:space="0" w:color="auto"/>
        <w:bottom w:val="none" w:sz="0" w:space="0" w:color="auto"/>
        <w:right w:val="none" w:sz="0" w:space="0" w:color="auto"/>
      </w:divBdr>
    </w:div>
    <w:div w:id="552693364">
      <w:marLeft w:val="640"/>
      <w:marRight w:val="0"/>
      <w:marTop w:val="0"/>
      <w:marBottom w:val="0"/>
      <w:divBdr>
        <w:top w:val="none" w:sz="0" w:space="0" w:color="auto"/>
        <w:left w:val="none" w:sz="0" w:space="0" w:color="auto"/>
        <w:bottom w:val="none" w:sz="0" w:space="0" w:color="auto"/>
        <w:right w:val="none" w:sz="0" w:space="0" w:color="auto"/>
      </w:divBdr>
    </w:div>
    <w:div w:id="553388629">
      <w:marLeft w:val="640"/>
      <w:marRight w:val="0"/>
      <w:marTop w:val="0"/>
      <w:marBottom w:val="0"/>
      <w:divBdr>
        <w:top w:val="none" w:sz="0" w:space="0" w:color="auto"/>
        <w:left w:val="none" w:sz="0" w:space="0" w:color="auto"/>
        <w:bottom w:val="none" w:sz="0" w:space="0" w:color="auto"/>
        <w:right w:val="none" w:sz="0" w:space="0" w:color="auto"/>
      </w:divBdr>
    </w:div>
    <w:div w:id="553928412">
      <w:marLeft w:val="640"/>
      <w:marRight w:val="0"/>
      <w:marTop w:val="0"/>
      <w:marBottom w:val="0"/>
      <w:divBdr>
        <w:top w:val="none" w:sz="0" w:space="0" w:color="auto"/>
        <w:left w:val="none" w:sz="0" w:space="0" w:color="auto"/>
        <w:bottom w:val="none" w:sz="0" w:space="0" w:color="auto"/>
        <w:right w:val="none" w:sz="0" w:space="0" w:color="auto"/>
      </w:divBdr>
    </w:div>
    <w:div w:id="555437328">
      <w:marLeft w:val="640"/>
      <w:marRight w:val="0"/>
      <w:marTop w:val="0"/>
      <w:marBottom w:val="0"/>
      <w:divBdr>
        <w:top w:val="none" w:sz="0" w:space="0" w:color="auto"/>
        <w:left w:val="none" w:sz="0" w:space="0" w:color="auto"/>
        <w:bottom w:val="none" w:sz="0" w:space="0" w:color="auto"/>
        <w:right w:val="none" w:sz="0" w:space="0" w:color="auto"/>
      </w:divBdr>
    </w:div>
    <w:div w:id="555748934">
      <w:marLeft w:val="640"/>
      <w:marRight w:val="0"/>
      <w:marTop w:val="0"/>
      <w:marBottom w:val="0"/>
      <w:divBdr>
        <w:top w:val="none" w:sz="0" w:space="0" w:color="auto"/>
        <w:left w:val="none" w:sz="0" w:space="0" w:color="auto"/>
        <w:bottom w:val="none" w:sz="0" w:space="0" w:color="auto"/>
        <w:right w:val="none" w:sz="0" w:space="0" w:color="auto"/>
      </w:divBdr>
    </w:div>
    <w:div w:id="555896002">
      <w:marLeft w:val="640"/>
      <w:marRight w:val="0"/>
      <w:marTop w:val="0"/>
      <w:marBottom w:val="0"/>
      <w:divBdr>
        <w:top w:val="none" w:sz="0" w:space="0" w:color="auto"/>
        <w:left w:val="none" w:sz="0" w:space="0" w:color="auto"/>
        <w:bottom w:val="none" w:sz="0" w:space="0" w:color="auto"/>
        <w:right w:val="none" w:sz="0" w:space="0" w:color="auto"/>
      </w:divBdr>
    </w:div>
    <w:div w:id="555968590">
      <w:marLeft w:val="640"/>
      <w:marRight w:val="0"/>
      <w:marTop w:val="0"/>
      <w:marBottom w:val="0"/>
      <w:divBdr>
        <w:top w:val="none" w:sz="0" w:space="0" w:color="auto"/>
        <w:left w:val="none" w:sz="0" w:space="0" w:color="auto"/>
        <w:bottom w:val="none" w:sz="0" w:space="0" w:color="auto"/>
        <w:right w:val="none" w:sz="0" w:space="0" w:color="auto"/>
      </w:divBdr>
    </w:div>
    <w:div w:id="556012498">
      <w:marLeft w:val="640"/>
      <w:marRight w:val="0"/>
      <w:marTop w:val="0"/>
      <w:marBottom w:val="0"/>
      <w:divBdr>
        <w:top w:val="none" w:sz="0" w:space="0" w:color="auto"/>
        <w:left w:val="none" w:sz="0" w:space="0" w:color="auto"/>
        <w:bottom w:val="none" w:sz="0" w:space="0" w:color="auto"/>
        <w:right w:val="none" w:sz="0" w:space="0" w:color="auto"/>
      </w:divBdr>
    </w:div>
    <w:div w:id="557521880">
      <w:marLeft w:val="640"/>
      <w:marRight w:val="0"/>
      <w:marTop w:val="0"/>
      <w:marBottom w:val="0"/>
      <w:divBdr>
        <w:top w:val="none" w:sz="0" w:space="0" w:color="auto"/>
        <w:left w:val="none" w:sz="0" w:space="0" w:color="auto"/>
        <w:bottom w:val="none" w:sz="0" w:space="0" w:color="auto"/>
        <w:right w:val="none" w:sz="0" w:space="0" w:color="auto"/>
      </w:divBdr>
    </w:div>
    <w:div w:id="558370823">
      <w:marLeft w:val="640"/>
      <w:marRight w:val="0"/>
      <w:marTop w:val="0"/>
      <w:marBottom w:val="0"/>
      <w:divBdr>
        <w:top w:val="none" w:sz="0" w:space="0" w:color="auto"/>
        <w:left w:val="none" w:sz="0" w:space="0" w:color="auto"/>
        <w:bottom w:val="none" w:sz="0" w:space="0" w:color="auto"/>
        <w:right w:val="none" w:sz="0" w:space="0" w:color="auto"/>
      </w:divBdr>
    </w:div>
    <w:div w:id="559825094">
      <w:marLeft w:val="640"/>
      <w:marRight w:val="0"/>
      <w:marTop w:val="0"/>
      <w:marBottom w:val="0"/>
      <w:divBdr>
        <w:top w:val="none" w:sz="0" w:space="0" w:color="auto"/>
        <w:left w:val="none" w:sz="0" w:space="0" w:color="auto"/>
        <w:bottom w:val="none" w:sz="0" w:space="0" w:color="auto"/>
        <w:right w:val="none" w:sz="0" w:space="0" w:color="auto"/>
      </w:divBdr>
    </w:div>
    <w:div w:id="561214266">
      <w:marLeft w:val="640"/>
      <w:marRight w:val="0"/>
      <w:marTop w:val="0"/>
      <w:marBottom w:val="0"/>
      <w:divBdr>
        <w:top w:val="none" w:sz="0" w:space="0" w:color="auto"/>
        <w:left w:val="none" w:sz="0" w:space="0" w:color="auto"/>
        <w:bottom w:val="none" w:sz="0" w:space="0" w:color="auto"/>
        <w:right w:val="none" w:sz="0" w:space="0" w:color="auto"/>
      </w:divBdr>
    </w:div>
    <w:div w:id="561336271">
      <w:marLeft w:val="640"/>
      <w:marRight w:val="0"/>
      <w:marTop w:val="0"/>
      <w:marBottom w:val="0"/>
      <w:divBdr>
        <w:top w:val="none" w:sz="0" w:space="0" w:color="auto"/>
        <w:left w:val="none" w:sz="0" w:space="0" w:color="auto"/>
        <w:bottom w:val="none" w:sz="0" w:space="0" w:color="auto"/>
        <w:right w:val="none" w:sz="0" w:space="0" w:color="auto"/>
      </w:divBdr>
    </w:div>
    <w:div w:id="562257277">
      <w:marLeft w:val="640"/>
      <w:marRight w:val="0"/>
      <w:marTop w:val="0"/>
      <w:marBottom w:val="0"/>
      <w:divBdr>
        <w:top w:val="none" w:sz="0" w:space="0" w:color="auto"/>
        <w:left w:val="none" w:sz="0" w:space="0" w:color="auto"/>
        <w:bottom w:val="none" w:sz="0" w:space="0" w:color="auto"/>
        <w:right w:val="none" w:sz="0" w:space="0" w:color="auto"/>
      </w:divBdr>
    </w:div>
    <w:div w:id="562563385">
      <w:marLeft w:val="640"/>
      <w:marRight w:val="0"/>
      <w:marTop w:val="0"/>
      <w:marBottom w:val="0"/>
      <w:divBdr>
        <w:top w:val="none" w:sz="0" w:space="0" w:color="auto"/>
        <w:left w:val="none" w:sz="0" w:space="0" w:color="auto"/>
        <w:bottom w:val="none" w:sz="0" w:space="0" w:color="auto"/>
        <w:right w:val="none" w:sz="0" w:space="0" w:color="auto"/>
      </w:divBdr>
    </w:div>
    <w:div w:id="564681627">
      <w:marLeft w:val="640"/>
      <w:marRight w:val="0"/>
      <w:marTop w:val="0"/>
      <w:marBottom w:val="0"/>
      <w:divBdr>
        <w:top w:val="none" w:sz="0" w:space="0" w:color="auto"/>
        <w:left w:val="none" w:sz="0" w:space="0" w:color="auto"/>
        <w:bottom w:val="none" w:sz="0" w:space="0" w:color="auto"/>
        <w:right w:val="none" w:sz="0" w:space="0" w:color="auto"/>
      </w:divBdr>
    </w:div>
    <w:div w:id="565340503">
      <w:marLeft w:val="640"/>
      <w:marRight w:val="0"/>
      <w:marTop w:val="0"/>
      <w:marBottom w:val="0"/>
      <w:divBdr>
        <w:top w:val="none" w:sz="0" w:space="0" w:color="auto"/>
        <w:left w:val="none" w:sz="0" w:space="0" w:color="auto"/>
        <w:bottom w:val="none" w:sz="0" w:space="0" w:color="auto"/>
        <w:right w:val="none" w:sz="0" w:space="0" w:color="auto"/>
      </w:divBdr>
    </w:div>
    <w:div w:id="565382778">
      <w:marLeft w:val="640"/>
      <w:marRight w:val="0"/>
      <w:marTop w:val="0"/>
      <w:marBottom w:val="0"/>
      <w:divBdr>
        <w:top w:val="none" w:sz="0" w:space="0" w:color="auto"/>
        <w:left w:val="none" w:sz="0" w:space="0" w:color="auto"/>
        <w:bottom w:val="none" w:sz="0" w:space="0" w:color="auto"/>
        <w:right w:val="none" w:sz="0" w:space="0" w:color="auto"/>
      </w:divBdr>
    </w:div>
    <w:div w:id="566064442">
      <w:marLeft w:val="640"/>
      <w:marRight w:val="0"/>
      <w:marTop w:val="0"/>
      <w:marBottom w:val="0"/>
      <w:divBdr>
        <w:top w:val="none" w:sz="0" w:space="0" w:color="auto"/>
        <w:left w:val="none" w:sz="0" w:space="0" w:color="auto"/>
        <w:bottom w:val="none" w:sz="0" w:space="0" w:color="auto"/>
        <w:right w:val="none" w:sz="0" w:space="0" w:color="auto"/>
      </w:divBdr>
    </w:div>
    <w:div w:id="566379645">
      <w:marLeft w:val="640"/>
      <w:marRight w:val="0"/>
      <w:marTop w:val="0"/>
      <w:marBottom w:val="0"/>
      <w:divBdr>
        <w:top w:val="none" w:sz="0" w:space="0" w:color="auto"/>
        <w:left w:val="none" w:sz="0" w:space="0" w:color="auto"/>
        <w:bottom w:val="none" w:sz="0" w:space="0" w:color="auto"/>
        <w:right w:val="none" w:sz="0" w:space="0" w:color="auto"/>
      </w:divBdr>
    </w:div>
    <w:div w:id="566570719">
      <w:marLeft w:val="640"/>
      <w:marRight w:val="0"/>
      <w:marTop w:val="0"/>
      <w:marBottom w:val="0"/>
      <w:divBdr>
        <w:top w:val="none" w:sz="0" w:space="0" w:color="auto"/>
        <w:left w:val="none" w:sz="0" w:space="0" w:color="auto"/>
        <w:bottom w:val="none" w:sz="0" w:space="0" w:color="auto"/>
        <w:right w:val="none" w:sz="0" w:space="0" w:color="auto"/>
      </w:divBdr>
    </w:div>
    <w:div w:id="568464610">
      <w:marLeft w:val="640"/>
      <w:marRight w:val="0"/>
      <w:marTop w:val="0"/>
      <w:marBottom w:val="0"/>
      <w:divBdr>
        <w:top w:val="none" w:sz="0" w:space="0" w:color="auto"/>
        <w:left w:val="none" w:sz="0" w:space="0" w:color="auto"/>
        <w:bottom w:val="none" w:sz="0" w:space="0" w:color="auto"/>
        <w:right w:val="none" w:sz="0" w:space="0" w:color="auto"/>
      </w:divBdr>
    </w:div>
    <w:div w:id="569003428">
      <w:marLeft w:val="640"/>
      <w:marRight w:val="0"/>
      <w:marTop w:val="0"/>
      <w:marBottom w:val="0"/>
      <w:divBdr>
        <w:top w:val="none" w:sz="0" w:space="0" w:color="auto"/>
        <w:left w:val="none" w:sz="0" w:space="0" w:color="auto"/>
        <w:bottom w:val="none" w:sz="0" w:space="0" w:color="auto"/>
        <w:right w:val="none" w:sz="0" w:space="0" w:color="auto"/>
      </w:divBdr>
    </w:div>
    <w:div w:id="569313230">
      <w:marLeft w:val="640"/>
      <w:marRight w:val="0"/>
      <w:marTop w:val="0"/>
      <w:marBottom w:val="0"/>
      <w:divBdr>
        <w:top w:val="none" w:sz="0" w:space="0" w:color="auto"/>
        <w:left w:val="none" w:sz="0" w:space="0" w:color="auto"/>
        <w:bottom w:val="none" w:sz="0" w:space="0" w:color="auto"/>
        <w:right w:val="none" w:sz="0" w:space="0" w:color="auto"/>
      </w:divBdr>
    </w:div>
    <w:div w:id="569538418">
      <w:marLeft w:val="640"/>
      <w:marRight w:val="0"/>
      <w:marTop w:val="0"/>
      <w:marBottom w:val="0"/>
      <w:divBdr>
        <w:top w:val="none" w:sz="0" w:space="0" w:color="auto"/>
        <w:left w:val="none" w:sz="0" w:space="0" w:color="auto"/>
        <w:bottom w:val="none" w:sz="0" w:space="0" w:color="auto"/>
        <w:right w:val="none" w:sz="0" w:space="0" w:color="auto"/>
      </w:divBdr>
    </w:div>
    <w:div w:id="570118406">
      <w:marLeft w:val="640"/>
      <w:marRight w:val="0"/>
      <w:marTop w:val="0"/>
      <w:marBottom w:val="0"/>
      <w:divBdr>
        <w:top w:val="none" w:sz="0" w:space="0" w:color="auto"/>
        <w:left w:val="none" w:sz="0" w:space="0" w:color="auto"/>
        <w:bottom w:val="none" w:sz="0" w:space="0" w:color="auto"/>
        <w:right w:val="none" w:sz="0" w:space="0" w:color="auto"/>
      </w:divBdr>
    </w:div>
    <w:div w:id="570507035">
      <w:marLeft w:val="640"/>
      <w:marRight w:val="0"/>
      <w:marTop w:val="0"/>
      <w:marBottom w:val="0"/>
      <w:divBdr>
        <w:top w:val="none" w:sz="0" w:space="0" w:color="auto"/>
        <w:left w:val="none" w:sz="0" w:space="0" w:color="auto"/>
        <w:bottom w:val="none" w:sz="0" w:space="0" w:color="auto"/>
        <w:right w:val="none" w:sz="0" w:space="0" w:color="auto"/>
      </w:divBdr>
    </w:div>
    <w:div w:id="571739063">
      <w:marLeft w:val="640"/>
      <w:marRight w:val="0"/>
      <w:marTop w:val="0"/>
      <w:marBottom w:val="0"/>
      <w:divBdr>
        <w:top w:val="none" w:sz="0" w:space="0" w:color="auto"/>
        <w:left w:val="none" w:sz="0" w:space="0" w:color="auto"/>
        <w:bottom w:val="none" w:sz="0" w:space="0" w:color="auto"/>
        <w:right w:val="none" w:sz="0" w:space="0" w:color="auto"/>
      </w:divBdr>
    </w:div>
    <w:div w:id="571768789">
      <w:marLeft w:val="640"/>
      <w:marRight w:val="0"/>
      <w:marTop w:val="0"/>
      <w:marBottom w:val="0"/>
      <w:divBdr>
        <w:top w:val="none" w:sz="0" w:space="0" w:color="auto"/>
        <w:left w:val="none" w:sz="0" w:space="0" w:color="auto"/>
        <w:bottom w:val="none" w:sz="0" w:space="0" w:color="auto"/>
        <w:right w:val="none" w:sz="0" w:space="0" w:color="auto"/>
      </w:divBdr>
    </w:div>
    <w:div w:id="572013261">
      <w:marLeft w:val="640"/>
      <w:marRight w:val="0"/>
      <w:marTop w:val="0"/>
      <w:marBottom w:val="0"/>
      <w:divBdr>
        <w:top w:val="none" w:sz="0" w:space="0" w:color="auto"/>
        <w:left w:val="none" w:sz="0" w:space="0" w:color="auto"/>
        <w:bottom w:val="none" w:sz="0" w:space="0" w:color="auto"/>
        <w:right w:val="none" w:sz="0" w:space="0" w:color="auto"/>
      </w:divBdr>
    </w:div>
    <w:div w:id="572352176">
      <w:marLeft w:val="640"/>
      <w:marRight w:val="0"/>
      <w:marTop w:val="0"/>
      <w:marBottom w:val="0"/>
      <w:divBdr>
        <w:top w:val="none" w:sz="0" w:space="0" w:color="auto"/>
        <w:left w:val="none" w:sz="0" w:space="0" w:color="auto"/>
        <w:bottom w:val="none" w:sz="0" w:space="0" w:color="auto"/>
        <w:right w:val="none" w:sz="0" w:space="0" w:color="auto"/>
      </w:divBdr>
    </w:div>
    <w:div w:id="573592270">
      <w:marLeft w:val="640"/>
      <w:marRight w:val="0"/>
      <w:marTop w:val="0"/>
      <w:marBottom w:val="0"/>
      <w:divBdr>
        <w:top w:val="none" w:sz="0" w:space="0" w:color="auto"/>
        <w:left w:val="none" w:sz="0" w:space="0" w:color="auto"/>
        <w:bottom w:val="none" w:sz="0" w:space="0" w:color="auto"/>
        <w:right w:val="none" w:sz="0" w:space="0" w:color="auto"/>
      </w:divBdr>
    </w:div>
    <w:div w:id="573861517">
      <w:marLeft w:val="640"/>
      <w:marRight w:val="0"/>
      <w:marTop w:val="0"/>
      <w:marBottom w:val="0"/>
      <w:divBdr>
        <w:top w:val="none" w:sz="0" w:space="0" w:color="auto"/>
        <w:left w:val="none" w:sz="0" w:space="0" w:color="auto"/>
        <w:bottom w:val="none" w:sz="0" w:space="0" w:color="auto"/>
        <w:right w:val="none" w:sz="0" w:space="0" w:color="auto"/>
      </w:divBdr>
    </w:div>
    <w:div w:id="573929361">
      <w:marLeft w:val="640"/>
      <w:marRight w:val="0"/>
      <w:marTop w:val="0"/>
      <w:marBottom w:val="0"/>
      <w:divBdr>
        <w:top w:val="none" w:sz="0" w:space="0" w:color="auto"/>
        <w:left w:val="none" w:sz="0" w:space="0" w:color="auto"/>
        <w:bottom w:val="none" w:sz="0" w:space="0" w:color="auto"/>
        <w:right w:val="none" w:sz="0" w:space="0" w:color="auto"/>
      </w:divBdr>
    </w:div>
    <w:div w:id="574586357">
      <w:marLeft w:val="640"/>
      <w:marRight w:val="0"/>
      <w:marTop w:val="0"/>
      <w:marBottom w:val="0"/>
      <w:divBdr>
        <w:top w:val="none" w:sz="0" w:space="0" w:color="auto"/>
        <w:left w:val="none" w:sz="0" w:space="0" w:color="auto"/>
        <w:bottom w:val="none" w:sz="0" w:space="0" w:color="auto"/>
        <w:right w:val="none" w:sz="0" w:space="0" w:color="auto"/>
      </w:divBdr>
    </w:div>
    <w:div w:id="575017805">
      <w:marLeft w:val="640"/>
      <w:marRight w:val="0"/>
      <w:marTop w:val="0"/>
      <w:marBottom w:val="0"/>
      <w:divBdr>
        <w:top w:val="none" w:sz="0" w:space="0" w:color="auto"/>
        <w:left w:val="none" w:sz="0" w:space="0" w:color="auto"/>
        <w:bottom w:val="none" w:sz="0" w:space="0" w:color="auto"/>
        <w:right w:val="none" w:sz="0" w:space="0" w:color="auto"/>
      </w:divBdr>
    </w:div>
    <w:div w:id="575166427">
      <w:marLeft w:val="640"/>
      <w:marRight w:val="0"/>
      <w:marTop w:val="0"/>
      <w:marBottom w:val="0"/>
      <w:divBdr>
        <w:top w:val="none" w:sz="0" w:space="0" w:color="auto"/>
        <w:left w:val="none" w:sz="0" w:space="0" w:color="auto"/>
        <w:bottom w:val="none" w:sz="0" w:space="0" w:color="auto"/>
        <w:right w:val="none" w:sz="0" w:space="0" w:color="auto"/>
      </w:divBdr>
    </w:div>
    <w:div w:id="575558651">
      <w:marLeft w:val="640"/>
      <w:marRight w:val="0"/>
      <w:marTop w:val="0"/>
      <w:marBottom w:val="0"/>
      <w:divBdr>
        <w:top w:val="none" w:sz="0" w:space="0" w:color="auto"/>
        <w:left w:val="none" w:sz="0" w:space="0" w:color="auto"/>
        <w:bottom w:val="none" w:sz="0" w:space="0" w:color="auto"/>
        <w:right w:val="none" w:sz="0" w:space="0" w:color="auto"/>
      </w:divBdr>
    </w:div>
    <w:div w:id="575942118">
      <w:marLeft w:val="640"/>
      <w:marRight w:val="0"/>
      <w:marTop w:val="0"/>
      <w:marBottom w:val="0"/>
      <w:divBdr>
        <w:top w:val="none" w:sz="0" w:space="0" w:color="auto"/>
        <w:left w:val="none" w:sz="0" w:space="0" w:color="auto"/>
        <w:bottom w:val="none" w:sz="0" w:space="0" w:color="auto"/>
        <w:right w:val="none" w:sz="0" w:space="0" w:color="auto"/>
      </w:divBdr>
    </w:div>
    <w:div w:id="576525474">
      <w:marLeft w:val="640"/>
      <w:marRight w:val="0"/>
      <w:marTop w:val="0"/>
      <w:marBottom w:val="0"/>
      <w:divBdr>
        <w:top w:val="none" w:sz="0" w:space="0" w:color="auto"/>
        <w:left w:val="none" w:sz="0" w:space="0" w:color="auto"/>
        <w:bottom w:val="none" w:sz="0" w:space="0" w:color="auto"/>
        <w:right w:val="none" w:sz="0" w:space="0" w:color="auto"/>
      </w:divBdr>
    </w:div>
    <w:div w:id="577862596">
      <w:marLeft w:val="640"/>
      <w:marRight w:val="0"/>
      <w:marTop w:val="0"/>
      <w:marBottom w:val="0"/>
      <w:divBdr>
        <w:top w:val="none" w:sz="0" w:space="0" w:color="auto"/>
        <w:left w:val="none" w:sz="0" w:space="0" w:color="auto"/>
        <w:bottom w:val="none" w:sz="0" w:space="0" w:color="auto"/>
        <w:right w:val="none" w:sz="0" w:space="0" w:color="auto"/>
      </w:divBdr>
    </w:div>
    <w:div w:id="578364621">
      <w:marLeft w:val="640"/>
      <w:marRight w:val="0"/>
      <w:marTop w:val="0"/>
      <w:marBottom w:val="0"/>
      <w:divBdr>
        <w:top w:val="none" w:sz="0" w:space="0" w:color="auto"/>
        <w:left w:val="none" w:sz="0" w:space="0" w:color="auto"/>
        <w:bottom w:val="none" w:sz="0" w:space="0" w:color="auto"/>
        <w:right w:val="none" w:sz="0" w:space="0" w:color="auto"/>
      </w:divBdr>
    </w:div>
    <w:div w:id="578366863">
      <w:marLeft w:val="640"/>
      <w:marRight w:val="0"/>
      <w:marTop w:val="0"/>
      <w:marBottom w:val="0"/>
      <w:divBdr>
        <w:top w:val="none" w:sz="0" w:space="0" w:color="auto"/>
        <w:left w:val="none" w:sz="0" w:space="0" w:color="auto"/>
        <w:bottom w:val="none" w:sz="0" w:space="0" w:color="auto"/>
        <w:right w:val="none" w:sz="0" w:space="0" w:color="auto"/>
      </w:divBdr>
    </w:div>
    <w:div w:id="579292847">
      <w:marLeft w:val="640"/>
      <w:marRight w:val="0"/>
      <w:marTop w:val="0"/>
      <w:marBottom w:val="0"/>
      <w:divBdr>
        <w:top w:val="none" w:sz="0" w:space="0" w:color="auto"/>
        <w:left w:val="none" w:sz="0" w:space="0" w:color="auto"/>
        <w:bottom w:val="none" w:sz="0" w:space="0" w:color="auto"/>
        <w:right w:val="none" w:sz="0" w:space="0" w:color="auto"/>
      </w:divBdr>
    </w:div>
    <w:div w:id="579369394">
      <w:marLeft w:val="640"/>
      <w:marRight w:val="0"/>
      <w:marTop w:val="0"/>
      <w:marBottom w:val="0"/>
      <w:divBdr>
        <w:top w:val="none" w:sz="0" w:space="0" w:color="auto"/>
        <w:left w:val="none" w:sz="0" w:space="0" w:color="auto"/>
        <w:bottom w:val="none" w:sz="0" w:space="0" w:color="auto"/>
        <w:right w:val="none" w:sz="0" w:space="0" w:color="auto"/>
      </w:divBdr>
    </w:div>
    <w:div w:id="579874219">
      <w:marLeft w:val="640"/>
      <w:marRight w:val="0"/>
      <w:marTop w:val="0"/>
      <w:marBottom w:val="0"/>
      <w:divBdr>
        <w:top w:val="none" w:sz="0" w:space="0" w:color="auto"/>
        <w:left w:val="none" w:sz="0" w:space="0" w:color="auto"/>
        <w:bottom w:val="none" w:sz="0" w:space="0" w:color="auto"/>
        <w:right w:val="none" w:sz="0" w:space="0" w:color="auto"/>
      </w:divBdr>
    </w:div>
    <w:div w:id="581833877">
      <w:marLeft w:val="640"/>
      <w:marRight w:val="0"/>
      <w:marTop w:val="0"/>
      <w:marBottom w:val="0"/>
      <w:divBdr>
        <w:top w:val="none" w:sz="0" w:space="0" w:color="auto"/>
        <w:left w:val="none" w:sz="0" w:space="0" w:color="auto"/>
        <w:bottom w:val="none" w:sz="0" w:space="0" w:color="auto"/>
        <w:right w:val="none" w:sz="0" w:space="0" w:color="auto"/>
      </w:divBdr>
    </w:div>
    <w:div w:id="582374840">
      <w:marLeft w:val="640"/>
      <w:marRight w:val="0"/>
      <w:marTop w:val="0"/>
      <w:marBottom w:val="0"/>
      <w:divBdr>
        <w:top w:val="none" w:sz="0" w:space="0" w:color="auto"/>
        <w:left w:val="none" w:sz="0" w:space="0" w:color="auto"/>
        <w:bottom w:val="none" w:sz="0" w:space="0" w:color="auto"/>
        <w:right w:val="none" w:sz="0" w:space="0" w:color="auto"/>
      </w:divBdr>
    </w:div>
    <w:div w:id="582565047">
      <w:marLeft w:val="640"/>
      <w:marRight w:val="0"/>
      <w:marTop w:val="0"/>
      <w:marBottom w:val="0"/>
      <w:divBdr>
        <w:top w:val="none" w:sz="0" w:space="0" w:color="auto"/>
        <w:left w:val="none" w:sz="0" w:space="0" w:color="auto"/>
        <w:bottom w:val="none" w:sz="0" w:space="0" w:color="auto"/>
        <w:right w:val="none" w:sz="0" w:space="0" w:color="auto"/>
      </w:divBdr>
    </w:div>
    <w:div w:id="582640918">
      <w:marLeft w:val="640"/>
      <w:marRight w:val="0"/>
      <w:marTop w:val="0"/>
      <w:marBottom w:val="0"/>
      <w:divBdr>
        <w:top w:val="none" w:sz="0" w:space="0" w:color="auto"/>
        <w:left w:val="none" w:sz="0" w:space="0" w:color="auto"/>
        <w:bottom w:val="none" w:sz="0" w:space="0" w:color="auto"/>
        <w:right w:val="none" w:sz="0" w:space="0" w:color="auto"/>
      </w:divBdr>
    </w:div>
    <w:div w:id="582908286">
      <w:marLeft w:val="640"/>
      <w:marRight w:val="0"/>
      <w:marTop w:val="0"/>
      <w:marBottom w:val="0"/>
      <w:divBdr>
        <w:top w:val="none" w:sz="0" w:space="0" w:color="auto"/>
        <w:left w:val="none" w:sz="0" w:space="0" w:color="auto"/>
        <w:bottom w:val="none" w:sz="0" w:space="0" w:color="auto"/>
        <w:right w:val="none" w:sz="0" w:space="0" w:color="auto"/>
      </w:divBdr>
    </w:div>
    <w:div w:id="583417033">
      <w:marLeft w:val="640"/>
      <w:marRight w:val="0"/>
      <w:marTop w:val="0"/>
      <w:marBottom w:val="0"/>
      <w:divBdr>
        <w:top w:val="none" w:sz="0" w:space="0" w:color="auto"/>
        <w:left w:val="none" w:sz="0" w:space="0" w:color="auto"/>
        <w:bottom w:val="none" w:sz="0" w:space="0" w:color="auto"/>
        <w:right w:val="none" w:sz="0" w:space="0" w:color="auto"/>
      </w:divBdr>
    </w:div>
    <w:div w:id="584607959">
      <w:marLeft w:val="640"/>
      <w:marRight w:val="0"/>
      <w:marTop w:val="0"/>
      <w:marBottom w:val="0"/>
      <w:divBdr>
        <w:top w:val="none" w:sz="0" w:space="0" w:color="auto"/>
        <w:left w:val="none" w:sz="0" w:space="0" w:color="auto"/>
        <w:bottom w:val="none" w:sz="0" w:space="0" w:color="auto"/>
        <w:right w:val="none" w:sz="0" w:space="0" w:color="auto"/>
      </w:divBdr>
    </w:div>
    <w:div w:id="584805290">
      <w:marLeft w:val="640"/>
      <w:marRight w:val="0"/>
      <w:marTop w:val="0"/>
      <w:marBottom w:val="0"/>
      <w:divBdr>
        <w:top w:val="none" w:sz="0" w:space="0" w:color="auto"/>
        <w:left w:val="none" w:sz="0" w:space="0" w:color="auto"/>
        <w:bottom w:val="none" w:sz="0" w:space="0" w:color="auto"/>
        <w:right w:val="none" w:sz="0" w:space="0" w:color="auto"/>
      </w:divBdr>
    </w:div>
    <w:div w:id="585070682">
      <w:marLeft w:val="640"/>
      <w:marRight w:val="0"/>
      <w:marTop w:val="0"/>
      <w:marBottom w:val="0"/>
      <w:divBdr>
        <w:top w:val="none" w:sz="0" w:space="0" w:color="auto"/>
        <w:left w:val="none" w:sz="0" w:space="0" w:color="auto"/>
        <w:bottom w:val="none" w:sz="0" w:space="0" w:color="auto"/>
        <w:right w:val="none" w:sz="0" w:space="0" w:color="auto"/>
      </w:divBdr>
    </w:div>
    <w:div w:id="585576650">
      <w:marLeft w:val="640"/>
      <w:marRight w:val="0"/>
      <w:marTop w:val="0"/>
      <w:marBottom w:val="0"/>
      <w:divBdr>
        <w:top w:val="none" w:sz="0" w:space="0" w:color="auto"/>
        <w:left w:val="none" w:sz="0" w:space="0" w:color="auto"/>
        <w:bottom w:val="none" w:sz="0" w:space="0" w:color="auto"/>
        <w:right w:val="none" w:sz="0" w:space="0" w:color="auto"/>
      </w:divBdr>
    </w:div>
    <w:div w:id="587465830">
      <w:marLeft w:val="640"/>
      <w:marRight w:val="0"/>
      <w:marTop w:val="0"/>
      <w:marBottom w:val="0"/>
      <w:divBdr>
        <w:top w:val="none" w:sz="0" w:space="0" w:color="auto"/>
        <w:left w:val="none" w:sz="0" w:space="0" w:color="auto"/>
        <w:bottom w:val="none" w:sz="0" w:space="0" w:color="auto"/>
        <w:right w:val="none" w:sz="0" w:space="0" w:color="auto"/>
      </w:divBdr>
    </w:div>
    <w:div w:id="587692972">
      <w:marLeft w:val="640"/>
      <w:marRight w:val="0"/>
      <w:marTop w:val="0"/>
      <w:marBottom w:val="0"/>
      <w:divBdr>
        <w:top w:val="none" w:sz="0" w:space="0" w:color="auto"/>
        <w:left w:val="none" w:sz="0" w:space="0" w:color="auto"/>
        <w:bottom w:val="none" w:sz="0" w:space="0" w:color="auto"/>
        <w:right w:val="none" w:sz="0" w:space="0" w:color="auto"/>
      </w:divBdr>
    </w:div>
    <w:div w:id="588000314">
      <w:marLeft w:val="640"/>
      <w:marRight w:val="0"/>
      <w:marTop w:val="0"/>
      <w:marBottom w:val="0"/>
      <w:divBdr>
        <w:top w:val="none" w:sz="0" w:space="0" w:color="auto"/>
        <w:left w:val="none" w:sz="0" w:space="0" w:color="auto"/>
        <w:bottom w:val="none" w:sz="0" w:space="0" w:color="auto"/>
        <w:right w:val="none" w:sz="0" w:space="0" w:color="auto"/>
      </w:divBdr>
    </w:div>
    <w:div w:id="588006745">
      <w:marLeft w:val="640"/>
      <w:marRight w:val="0"/>
      <w:marTop w:val="0"/>
      <w:marBottom w:val="0"/>
      <w:divBdr>
        <w:top w:val="none" w:sz="0" w:space="0" w:color="auto"/>
        <w:left w:val="none" w:sz="0" w:space="0" w:color="auto"/>
        <w:bottom w:val="none" w:sz="0" w:space="0" w:color="auto"/>
        <w:right w:val="none" w:sz="0" w:space="0" w:color="auto"/>
      </w:divBdr>
    </w:div>
    <w:div w:id="588776165">
      <w:marLeft w:val="640"/>
      <w:marRight w:val="0"/>
      <w:marTop w:val="0"/>
      <w:marBottom w:val="0"/>
      <w:divBdr>
        <w:top w:val="none" w:sz="0" w:space="0" w:color="auto"/>
        <w:left w:val="none" w:sz="0" w:space="0" w:color="auto"/>
        <w:bottom w:val="none" w:sz="0" w:space="0" w:color="auto"/>
        <w:right w:val="none" w:sz="0" w:space="0" w:color="auto"/>
      </w:divBdr>
    </w:div>
    <w:div w:id="588807547">
      <w:marLeft w:val="640"/>
      <w:marRight w:val="0"/>
      <w:marTop w:val="0"/>
      <w:marBottom w:val="0"/>
      <w:divBdr>
        <w:top w:val="none" w:sz="0" w:space="0" w:color="auto"/>
        <w:left w:val="none" w:sz="0" w:space="0" w:color="auto"/>
        <w:bottom w:val="none" w:sz="0" w:space="0" w:color="auto"/>
        <w:right w:val="none" w:sz="0" w:space="0" w:color="auto"/>
      </w:divBdr>
    </w:div>
    <w:div w:id="589967777">
      <w:marLeft w:val="640"/>
      <w:marRight w:val="0"/>
      <w:marTop w:val="0"/>
      <w:marBottom w:val="0"/>
      <w:divBdr>
        <w:top w:val="none" w:sz="0" w:space="0" w:color="auto"/>
        <w:left w:val="none" w:sz="0" w:space="0" w:color="auto"/>
        <w:bottom w:val="none" w:sz="0" w:space="0" w:color="auto"/>
        <w:right w:val="none" w:sz="0" w:space="0" w:color="auto"/>
      </w:divBdr>
    </w:div>
    <w:div w:id="592782189">
      <w:marLeft w:val="640"/>
      <w:marRight w:val="0"/>
      <w:marTop w:val="0"/>
      <w:marBottom w:val="0"/>
      <w:divBdr>
        <w:top w:val="none" w:sz="0" w:space="0" w:color="auto"/>
        <w:left w:val="none" w:sz="0" w:space="0" w:color="auto"/>
        <w:bottom w:val="none" w:sz="0" w:space="0" w:color="auto"/>
        <w:right w:val="none" w:sz="0" w:space="0" w:color="auto"/>
      </w:divBdr>
    </w:div>
    <w:div w:id="592905595">
      <w:marLeft w:val="640"/>
      <w:marRight w:val="0"/>
      <w:marTop w:val="0"/>
      <w:marBottom w:val="0"/>
      <w:divBdr>
        <w:top w:val="none" w:sz="0" w:space="0" w:color="auto"/>
        <w:left w:val="none" w:sz="0" w:space="0" w:color="auto"/>
        <w:bottom w:val="none" w:sz="0" w:space="0" w:color="auto"/>
        <w:right w:val="none" w:sz="0" w:space="0" w:color="auto"/>
      </w:divBdr>
    </w:div>
    <w:div w:id="593589306">
      <w:marLeft w:val="640"/>
      <w:marRight w:val="0"/>
      <w:marTop w:val="0"/>
      <w:marBottom w:val="0"/>
      <w:divBdr>
        <w:top w:val="none" w:sz="0" w:space="0" w:color="auto"/>
        <w:left w:val="none" w:sz="0" w:space="0" w:color="auto"/>
        <w:bottom w:val="none" w:sz="0" w:space="0" w:color="auto"/>
        <w:right w:val="none" w:sz="0" w:space="0" w:color="auto"/>
      </w:divBdr>
    </w:div>
    <w:div w:id="593637925">
      <w:marLeft w:val="640"/>
      <w:marRight w:val="0"/>
      <w:marTop w:val="0"/>
      <w:marBottom w:val="0"/>
      <w:divBdr>
        <w:top w:val="none" w:sz="0" w:space="0" w:color="auto"/>
        <w:left w:val="none" w:sz="0" w:space="0" w:color="auto"/>
        <w:bottom w:val="none" w:sz="0" w:space="0" w:color="auto"/>
        <w:right w:val="none" w:sz="0" w:space="0" w:color="auto"/>
      </w:divBdr>
    </w:div>
    <w:div w:id="594555400">
      <w:marLeft w:val="640"/>
      <w:marRight w:val="0"/>
      <w:marTop w:val="0"/>
      <w:marBottom w:val="0"/>
      <w:divBdr>
        <w:top w:val="none" w:sz="0" w:space="0" w:color="auto"/>
        <w:left w:val="none" w:sz="0" w:space="0" w:color="auto"/>
        <w:bottom w:val="none" w:sz="0" w:space="0" w:color="auto"/>
        <w:right w:val="none" w:sz="0" w:space="0" w:color="auto"/>
      </w:divBdr>
    </w:div>
    <w:div w:id="595138201">
      <w:marLeft w:val="640"/>
      <w:marRight w:val="0"/>
      <w:marTop w:val="0"/>
      <w:marBottom w:val="0"/>
      <w:divBdr>
        <w:top w:val="none" w:sz="0" w:space="0" w:color="auto"/>
        <w:left w:val="none" w:sz="0" w:space="0" w:color="auto"/>
        <w:bottom w:val="none" w:sz="0" w:space="0" w:color="auto"/>
        <w:right w:val="none" w:sz="0" w:space="0" w:color="auto"/>
      </w:divBdr>
    </w:div>
    <w:div w:id="596258755">
      <w:marLeft w:val="640"/>
      <w:marRight w:val="0"/>
      <w:marTop w:val="0"/>
      <w:marBottom w:val="0"/>
      <w:divBdr>
        <w:top w:val="none" w:sz="0" w:space="0" w:color="auto"/>
        <w:left w:val="none" w:sz="0" w:space="0" w:color="auto"/>
        <w:bottom w:val="none" w:sz="0" w:space="0" w:color="auto"/>
        <w:right w:val="none" w:sz="0" w:space="0" w:color="auto"/>
      </w:divBdr>
    </w:div>
    <w:div w:id="596789988">
      <w:marLeft w:val="640"/>
      <w:marRight w:val="0"/>
      <w:marTop w:val="0"/>
      <w:marBottom w:val="0"/>
      <w:divBdr>
        <w:top w:val="none" w:sz="0" w:space="0" w:color="auto"/>
        <w:left w:val="none" w:sz="0" w:space="0" w:color="auto"/>
        <w:bottom w:val="none" w:sz="0" w:space="0" w:color="auto"/>
        <w:right w:val="none" w:sz="0" w:space="0" w:color="auto"/>
      </w:divBdr>
    </w:div>
    <w:div w:id="597062206">
      <w:marLeft w:val="640"/>
      <w:marRight w:val="0"/>
      <w:marTop w:val="0"/>
      <w:marBottom w:val="0"/>
      <w:divBdr>
        <w:top w:val="none" w:sz="0" w:space="0" w:color="auto"/>
        <w:left w:val="none" w:sz="0" w:space="0" w:color="auto"/>
        <w:bottom w:val="none" w:sz="0" w:space="0" w:color="auto"/>
        <w:right w:val="none" w:sz="0" w:space="0" w:color="auto"/>
      </w:divBdr>
    </w:div>
    <w:div w:id="598416688">
      <w:marLeft w:val="640"/>
      <w:marRight w:val="0"/>
      <w:marTop w:val="0"/>
      <w:marBottom w:val="0"/>
      <w:divBdr>
        <w:top w:val="none" w:sz="0" w:space="0" w:color="auto"/>
        <w:left w:val="none" w:sz="0" w:space="0" w:color="auto"/>
        <w:bottom w:val="none" w:sz="0" w:space="0" w:color="auto"/>
        <w:right w:val="none" w:sz="0" w:space="0" w:color="auto"/>
      </w:divBdr>
    </w:div>
    <w:div w:id="599219271">
      <w:marLeft w:val="640"/>
      <w:marRight w:val="0"/>
      <w:marTop w:val="0"/>
      <w:marBottom w:val="0"/>
      <w:divBdr>
        <w:top w:val="none" w:sz="0" w:space="0" w:color="auto"/>
        <w:left w:val="none" w:sz="0" w:space="0" w:color="auto"/>
        <w:bottom w:val="none" w:sz="0" w:space="0" w:color="auto"/>
        <w:right w:val="none" w:sz="0" w:space="0" w:color="auto"/>
      </w:divBdr>
    </w:div>
    <w:div w:id="599292239">
      <w:marLeft w:val="640"/>
      <w:marRight w:val="0"/>
      <w:marTop w:val="0"/>
      <w:marBottom w:val="0"/>
      <w:divBdr>
        <w:top w:val="none" w:sz="0" w:space="0" w:color="auto"/>
        <w:left w:val="none" w:sz="0" w:space="0" w:color="auto"/>
        <w:bottom w:val="none" w:sz="0" w:space="0" w:color="auto"/>
        <w:right w:val="none" w:sz="0" w:space="0" w:color="auto"/>
      </w:divBdr>
    </w:div>
    <w:div w:id="600072231">
      <w:marLeft w:val="640"/>
      <w:marRight w:val="0"/>
      <w:marTop w:val="0"/>
      <w:marBottom w:val="0"/>
      <w:divBdr>
        <w:top w:val="none" w:sz="0" w:space="0" w:color="auto"/>
        <w:left w:val="none" w:sz="0" w:space="0" w:color="auto"/>
        <w:bottom w:val="none" w:sz="0" w:space="0" w:color="auto"/>
        <w:right w:val="none" w:sz="0" w:space="0" w:color="auto"/>
      </w:divBdr>
    </w:div>
    <w:div w:id="600379234">
      <w:marLeft w:val="640"/>
      <w:marRight w:val="0"/>
      <w:marTop w:val="0"/>
      <w:marBottom w:val="0"/>
      <w:divBdr>
        <w:top w:val="none" w:sz="0" w:space="0" w:color="auto"/>
        <w:left w:val="none" w:sz="0" w:space="0" w:color="auto"/>
        <w:bottom w:val="none" w:sz="0" w:space="0" w:color="auto"/>
        <w:right w:val="none" w:sz="0" w:space="0" w:color="auto"/>
      </w:divBdr>
    </w:div>
    <w:div w:id="601687524">
      <w:marLeft w:val="640"/>
      <w:marRight w:val="0"/>
      <w:marTop w:val="0"/>
      <w:marBottom w:val="0"/>
      <w:divBdr>
        <w:top w:val="none" w:sz="0" w:space="0" w:color="auto"/>
        <w:left w:val="none" w:sz="0" w:space="0" w:color="auto"/>
        <w:bottom w:val="none" w:sz="0" w:space="0" w:color="auto"/>
        <w:right w:val="none" w:sz="0" w:space="0" w:color="auto"/>
      </w:divBdr>
    </w:div>
    <w:div w:id="601838984">
      <w:marLeft w:val="640"/>
      <w:marRight w:val="0"/>
      <w:marTop w:val="0"/>
      <w:marBottom w:val="0"/>
      <w:divBdr>
        <w:top w:val="none" w:sz="0" w:space="0" w:color="auto"/>
        <w:left w:val="none" w:sz="0" w:space="0" w:color="auto"/>
        <w:bottom w:val="none" w:sz="0" w:space="0" w:color="auto"/>
        <w:right w:val="none" w:sz="0" w:space="0" w:color="auto"/>
      </w:divBdr>
    </w:div>
    <w:div w:id="602030127">
      <w:marLeft w:val="640"/>
      <w:marRight w:val="0"/>
      <w:marTop w:val="0"/>
      <w:marBottom w:val="0"/>
      <w:divBdr>
        <w:top w:val="none" w:sz="0" w:space="0" w:color="auto"/>
        <w:left w:val="none" w:sz="0" w:space="0" w:color="auto"/>
        <w:bottom w:val="none" w:sz="0" w:space="0" w:color="auto"/>
        <w:right w:val="none" w:sz="0" w:space="0" w:color="auto"/>
      </w:divBdr>
    </w:div>
    <w:div w:id="602424465">
      <w:marLeft w:val="640"/>
      <w:marRight w:val="0"/>
      <w:marTop w:val="0"/>
      <w:marBottom w:val="0"/>
      <w:divBdr>
        <w:top w:val="none" w:sz="0" w:space="0" w:color="auto"/>
        <w:left w:val="none" w:sz="0" w:space="0" w:color="auto"/>
        <w:bottom w:val="none" w:sz="0" w:space="0" w:color="auto"/>
        <w:right w:val="none" w:sz="0" w:space="0" w:color="auto"/>
      </w:divBdr>
    </w:div>
    <w:div w:id="603153876">
      <w:marLeft w:val="640"/>
      <w:marRight w:val="0"/>
      <w:marTop w:val="0"/>
      <w:marBottom w:val="0"/>
      <w:divBdr>
        <w:top w:val="none" w:sz="0" w:space="0" w:color="auto"/>
        <w:left w:val="none" w:sz="0" w:space="0" w:color="auto"/>
        <w:bottom w:val="none" w:sz="0" w:space="0" w:color="auto"/>
        <w:right w:val="none" w:sz="0" w:space="0" w:color="auto"/>
      </w:divBdr>
    </w:div>
    <w:div w:id="603344283">
      <w:marLeft w:val="640"/>
      <w:marRight w:val="0"/>
      <w:marTop w:val="0"/>
      <w:marBottom w:val="0"/>
      <w:divBdr>
        <w:top w:val="none" w:sz="0" w:space="0" w:color="auto"/>
        <w:left w:val="none" w:sz="0" w:space="0" w:color="auto"/>
        <w:bottom w:val="none" w:sz="0" w:space="0" w:color="auto"/>
        <w:right w:val="none" w:sz="0" w:space="0" w:color="auto"/>
      </w:divBdr>
    </w:div>
    <w:div w:id="603344672">
      <w:marLeft w:val="640"/>
      <w:marRight w:val="0"/>
      <w:marTop w:val="0"/>
      <w:marBottom w:val="0"/>
      <w:divBdr>
        <w:top w:val="none" w:sz="0" w:space="0" w:color="auto"/>
        <w:left w:val="none" w:sz="0" w:space="0" w:color="auto"/>
        <w:bottom w:val="none" w:sz="0" w:space="0" w:color="auto"/>
        <w:right w:val="none" w:sz="0" w:space="0" w:color="auto"/>
      </w:divBdr>
    </w:div>
    <w:div w:id="603532742">
      <w:marLeft w:val="640"/>
      <w:marRight w:val="0"/>
      <w:marTop w:val="0"/>
      <w:marBottom w:val="0"/>
      <w:divBdr>
        <w:top w:val="none" w:sz="0" w:space="0" w:color="auto"/>
        <w:left w:val="none" w:sz="0" w:space="0" w:color="auto"/>
        <w:bottom w:val="none" w:sz="0" w:space="0" w:color="auto"/>
        <w:right w:val="none" w:sz="0" w:space="0" w:color="auto"/>
      </w:divBdr>
    </w:div>
    <w:div w:id="604994136">
      <w:marLeft w:val="640"/>
      <w:marRight w:val="0"/>
      <w:marTop w:val="0"/>
      <w:marBottom w:val="0"/>
      <w:divBdr>
        <w:top w:val="none" w:sz="0" w:space="0" w:color="auto"/>
        <w:left w:val="none" w:sz="0" w:space="0" w:color="auto"/>
        <w:bottom w:val="none" w:sz="0" w:space="0" w:color="auto"/>
        <w:right w:val="none" w:sz="0" w:space="0" w:color="auto"/>
      </w:divBdr>
    </w:div>
    <w:div w:id="605191290">
      <w:marLeft w:val="640"/>
      <w:marRight w:val="0"/>
      <w:marTop w:val="0"/>
      <w:marBottom w:val="0"/>
      <w:divBdr>
        <w:top w:val="none" w:sz="0" w:space="0" w:color="auto"/>
        <w:left w:val="none" w:sz="0" w:space="0" w:color="auto"/>
        <w:bottom w:val="none" w:sz="0" w:space="0" w:color="auto"/>
        <w:right w:val="none" w:sz="0" w:space="0" w:color="auto"/>
      </w:divBdr>
    </w:div>
    <w:div w:id="605507696">
      <w:marLeft w:val="640"/>
      <w:marRight w:val="0"/>
      <w:marTop w:val="0"/>
      <w:marBottom w:val="0"/>
      <w:divBdr>
        <w:top w:val="none" w:sz="0" w:space="0" w:color="auto"/>
        <w:left w:val="none" w:sz="0" w:space="0" w:color="auto"/>
        <w:bottom w:val="none" w:sz="0" w:space="0" w:color="auto"/>
        <w:right w:val="none" w:sz="0" w:space="0" w:color="auto"/>
      </w:divBdr>
    </w:div>
    <w:div w:id="605845264">
      <w:marLeft w:val="640"/>
      <w:marRight w:val="0"/>
      <w:marTop w:val="0"/>
      <w:marBottom w:val="0"/>
      <w:divBdr>
        <w:top w:val="none" w:sz="0" w:space="0" w:color="auto"/>
        <w:left w:val="none" w:sz="0" w:space="0" w:color="auto"/>
        <w:bottom w:val="none" w:sz="0" w:space="0" w:color="auto"/>
        <w:right w:val="none" w:sz="0" w:space="0" w:color="auto"/>
      </w:divBdr>
    </w:div>
    <w:div w:id="605891804">
      <w:marLeft w:val="640"/>
      <w:marRight w:val="0"/>
      <w:marTop w:val="0"/>
      <w:marBottom w:val="0"/>
      <w:divBdr>
        <w:top w:val="none" w:sz="0" w:space="0" w:color="auto"/>
        <w:left w:val="none" w:sz="0" w:space="0" w:color="auto"/>
        <w:bottom w:val="none" w:sz="0" w:space="0" w:color="auto"/>
        <w:right w:val="none" w:sz="0" w:space="0" w:color="auto"/>
      </w:divBdr>
    </w:div>
    <w:div w:id="606742847">
      <w:marLeft w:val="640"/>
      <w:marRight w:val="0"/>
      <w:marTop w:val="0"/>
      <w:marBottom w:val="0"/>
      <w:divBdr>
        <w:top w:val="none" w:sz="0" w:space="0" w:color="auto"/>
        <w:left w:val="none" w:sz="0" w:space="0" w:color="auto"/>
        <w:bottom w:val="none" w:sz="0" w:space="0" w:color="auto"/>
        <w:right w:val="none" w:sz="0" w:space="0" w:color="auto"/>
      </w:divBdr>
    </w:div>
    <w:div w:id="607275176">
      <w:marLeft w:val="640"/>
      <w:marRight w:val="0"/>
      <w:marTop w:val="0"/>
      <w:marBottom w:val="0"/>
      <w:divBdr>
        <w:top w:val="none" w:sz="0" w:space="0" w:color="auto"/>
        <w:left w:val="none" w:sz="0" w:space="0" w:color="auto"/>
        <w:bottom w:val="none" w:sz="0" w:space="0" w:color="auto"/>
        <w:right w:val="none" w:sz="0" w:space="0" w:color="auto"/>
      </w:divBdr>
    </w:div>
    <w:div w:id="607346825">
      <w:marLeft w:val="640"/>
      <w:marRight w:val="0"/>
      <w:marTop w:val="0"/>
      <w:marBottom w:val="0"/>
      <w:divBdr>
        <w:top w:val="none" w:sz="0" w:space="0" w:color="auto"/>
        <w:left w:val="none" w:sz="0" w:space="0" w:color="auto"/>
        <w:bottom w:val="none" w:sz="0" w:space="0" w:color="auto"/>
        <w:right w:val="none" w:sz="0" w:space="0" w:color="auto"/>
      </w:divBdr>
    </w:div>
    <w:div w:id="607658323">
      <w:marLeft w:val="640"/>
      <w:marRight w:val="0"/>
      <w:marTop w:val="0"/>
      <w:marBottom w:val="0"/>
      <w:divBdr>
        <w:top w:val="none" w:sz="0" w:space="0" w:color="auto"/>
        <w:left w:val="none" w:sz="0" w:space="0" w:color="auto"/>
        <w:bottom w:val="none" w:sz="0" w:space="0" w:color="auto"/>
        <w:right w:val="none" w:sz="0" w:space="0" w:color="auto"/>
      </w:divBdr>
    </w:div>
    <w:div w:id="608901923">
      <w:marLeft w:val="640"/>
      <w:marRight w:val="0"/>
      <w:marTop w:val="0"/>
      <w:marBottom w:val="0"/>
      <w:divBdr>
        <w:top w:val="none" w:sz="0" w:space="0" w:color="auto"/>
        <w:left w:val="none" w:sz="0" w:space="0" w:color="auto"/>
        <w:bottom w:val="none" w:sz="0" w:space="0" w:color="auto"/>
        <w:right w:val="none" w:sz="0" w:space="0" w:color="auto"/>
      </w:divBdr>
    </w:div>
    <w:div w:id="608977262">
      <w:marLeft w:val="640"/>
      <w:marRight w:val="0"/>
      <w:marTop w:val="0"/>
      <w:marBottom w:val="0"/>
      <w:divBdr>
        <w:top w:val="none" w:sz="0" w:space="0" w:color="auto"/>
        <w:left w:val="none" w:sz="0" w:space="0" w:color="auto"/>
        <w:bottom w:val="none" w:sz="0" w:space="0" w:color="auto"/>
        <w:right w:val="none" w:sz="0" w:space="0" w:color="auto"/>
      </w:divBdr>
    </w:div>
    <w:div w:id="609749317">
      <w:marLeft w:val="640"/>
      <w:marRight w:val="0"/>
      <w:marTop w:val="0"/>
      <w:marBottom w:val="0"/>
      <w:divBdr>
        <w:top w:val="none" w:sz="0" w:space="0" w:color="auto"/>
        <w:left w:val="none" w:sz="0" w:space="0" w:color="auto"/>
        <w:bottom w:val="none" w:sz="0" w:space="0" w:color="auto"/>
        <w:right w:val="none" w:sz="0" w:space="0" w:color="auto"/>
      </w:divBdr>
    </w:div>
    <w:div w:id="609898901">
      <w:marLeft w:val="640"/>
      <w:marRight w:val="0"/>
      <w:marTop w:val="0"/>
      <w:marBottom w:val="0"/>
      <w:divBdr>
        <w:top w:val="none" w:sz="0" w:space="0" w:color="auto"/>
        <w:left w:val="none" w:sz="0" w:space="0" w:color="auto"/>
        <w:bottom w:val="none" w:sz="0" w:space="0" w:color="auto"/>
        <w:right w:val="none" w:sz="0" w:space="0" w:color="auto"/>
      </w:divBdr>
    </w:div>
    <w:div w:id="610016680">
      <w:marLeft w:val="640"/>
      <w:marRight w:val="0"/>
      <w:marTop w:val="0"/>
      <w:marBottom w:val="0"/>
      <w:divBdr>
        <w:top w:val="none" w:sz="0" w:space="0" w:color="auto"/>
        <w:left w:val="none" w:sz="0" w:space="0" w:color="auto"/>
        <w:bottom w:val="none" w:sz="0" w:space="0" w:color="auto"/>
        <w:right w:val="none" w:sz="0" w:space="0" w:color="auto"/>
      </w:divBdr>
    </w:div>
    <w:div w:id="610092907">
      <w:marLeft w:val="640"/>
      <w:marRight w:val="0"/>
      <w:marTop w:val="0"/>
      <w:marBottom w:val="0"/>
      <w:divBdr>
        <w:top w:val="none" w:sz="0" w:space="0" w:color="auto"/>
        <w:left w:val="none" w:sz="0" w:space="0" w:color="auto"/>
        <w:bottom w:val="none" w:sz="0" w:space="0" w:color="auto"/>
        <w:right w:val="none" w:sz="0" w:space="0" w:color="auto"/>
      </w:divBdr>
    </w:div>
    <w:div w:id="611518985">
      <w:marLeft w:val="640"/>
      <w:marRight w:val="0"/>
      <w:marTop w:val="0"/>
      <w:marBottom w:val="0"/>
      <w:divBdr>
        <w:top w:val="none" w:sz="0" w:space="0" w:color="auto"/>
        <w:left w:val="none" w:sz="0" w:space="0" w:color="auto"/>
        <w:bottom w:val="none" w:sz="0" w:space="0" w:color="auto"/>
        <w:right w:val="none" w:sz="0" w:space="0" w:color="auto"/>
      </w:divBdr>
    </w:div>
    <w:div w:id="611674028">
      <w:marLeft w:val="640"/>
      <w:marRight w:val="0"/>
      <w:marTop w:val="0"/>
      <w:marBottom w:val="0"/>
      <w:divBdr>
        <w:top w:val="none" w:sz="0" w:space="0" w:color="auto"/>
        <w:left w:val="none" w:sz="0" w:space="0" w:color="auto"/>
        <w:bottom w:val="none" w:sz="0" w:space="0" w:color="auto"/>
        <w:right w:val="none" w:sz="0" w:space="0" w:color="auto"/>
      </w:divBdr>
    </w:div>
    <w:div w:id="611981372">
      <w:marLeft w:val="640"/>
      <w:marRight w:val="0"/>
      <w:marTop w:val="0"/>
      <w:marBottom w:val="0"/>
      <w:divBdr>
        <w:top w:val="none" w:sz="0" w:space="0" w:color="auto"/>
        <w:left w:val="none" w:sz="0" w:space="0" w:color="auto"/>
        <w:bottom w:val="none" w:sz="0" w:space="0" w:color="auto"/>
        <w:right w:val="none" w:sz="0" w:space="0" w:color="auto"/>
      </w:divBdr>
    </w:div>
    <w:div w:id="612251465">
      <w:marLeft w:val="640"/>
      <w:marRight w:val="0"/>
      <w:marTop w:val="0"/>
      <w:marBottom w:val="0"/>
      <w:divBdr>
        <w:top w:val="none" w:sz="0" w:space="0" w:color="auto"/>
        <w:left w:val="none" w:sz="0" w:space="0" w:color="auto"/>
        <w:bottom w:val="none" w:sz="0" w:space="0" w:color="auto"/>
        <w:right w:val="none" w:sz="0" w:space="0" w:color="auto"/>
      </w:divBdr>
    </w:div>
    <w:div w:id="612441170">
      <w:marLeft w:val="640"/>
      <w:marRight w:val="0"/>
      <w:marTop w:val="0"/>
      <w:marBottom w:val="0"/>
      <w:divBdr>
        <w:top w:val="none" w:sz="0" w:space="0" w:color="auto"/>
        <w:left w:val="none" w:sz="0" w:space="0" w:color="auto"/>
        <w:bottom w:val="none" w:sz="0" w:space="0" w:color="auto"/>
        <w:right w:val="none" w:sz="0" w:space="0" w:color="auto"/>
      </w:divBdr>
    </w:div>
    <w:div w:id="612832258">
      <w:marLeft w:val="640"/>
      <w:marRight w:val="0"/>
      <w:marTop w:val="0"/>
      <w:marBottom w:val="0"/>
      <w:divBdr>
        <w:top w:val="none" w:sz="0" w:space="0" w:color="auto"/>
        <w:left w:val="none" w:sz="0" w:space="0" w:color="auto"/>
        <w:bottom w:val="none" w:sz="0" w:space="0" w:color="auto"/>
        <w:right w:val="none" w:sz="0" w:space="0" w:color="auto"/>
      </w:divBdr>
    </w:div>
    <w:div w:id="613051481">
      <w:marLeft w:val="640"/>
      <w:marRight w:val="0"/>
      <w:marTop w:val="0"/>
      <w:marBottom w:val="0"/>
      <w:divBdr>
        <w:top w:val="none" w:sz="0" w:space="0" w:color="auto"/>
        <w:left w:val="none" w:sz="0" w:space="0" w:color="auto"/>
        <w:bottom w:val="none" w:sz="0" w:space="0" w:color="auto"/>
        <w:right w:val="none" w:sz="0" w:space="0" w:color="auto"/>
      </w:divBdr>
    </w:div>
    <w:div w:id="613095445">
      <w:marLeft w:val="640"/>
      <w:marRight w:val="0"/>
      <w:marTop w:val="0"/>
      <w:marBottom w:val="0"/>
      <w:divBdr>
        <w:top w:val="none" w:sz="0" w:space="0" w:color="auto"/>
        <w:left w:val="none" w:sz="0" w:space="0" w:color="auto"/>
        <w:bottom w:val="none" w:sz="0" w:space="0" w:color="auto"/>
        <w:right w:val="none" w:sz="0" w:space="0" w:color="auto"/>
      </w:divBdr>
    </w:div>
    <w:div w:id="614020835">
      <w:marLeft w:val="640"/>
      <w:marRight w:val="0"/>
      <w:marTop w:val="0"/>
      <w:marBottom w:val="0"/>
      <w:divBdr>
        <w:top w:val="none" w:sz="0" w:space="0" w:color="auto"/>
        <w:left w:val="none" w:sz="0" w:space="0" w:color="auto"/>
        <w:bottom w:val="none" w:sz="0" w:space="0" w:color="auto"/>
        <w:right w:val="none" w:sz="0" w:space="0" w:color="auto"/>
      </w:divBdr>
    </w:div>
    <w:div w:id="614942062">
      <w:marLeft w:val="640"/>
      <w:marRight w:val="0"/>
      <w:marTop w:val="0"/>
      <w:marBottom w:val="0"/>
      <w:divBdr>
        <w:top w:val="none" w:sz="0" w:space="0" w:color="auto"/>
        <w:left w:val="none" w:sz="0" w:space="0" w:color="auto"/>
        <w:bottom w:val="none" w:sz="0" w:space="0" w:color="auto"/>
        <w:right w:val="none" w:sz="0" w:space="0" w:color="auto"/>
      </w:divBdr>
    </w:div>
    <w:div w:id="615715534">
      <w:marLeft w:val="640"/>
      <w:marRight w:val="0"/>
      <w:marTop w:val="0"/>
      <w:marBottom w:val="0"/>
      <w:divBdr>
        <w:top w:val="none" w:sz="0" w:space="0" w:color="auto"/>
        <w:left w:val="none" w:sz="0" w:space="0" w:color="auto"/>
        <w:bottom w:val="none" w:sz="0" w:space="0" w:color="auto"/>
        <w:right w:val="none" w:sz="0" w:space="0" w:color="auto"/>
      </w:divBdr>
    </w:div>
    <w:div w:id="616179466">
      <w:marLeft w:val="640"/>
      <w:marRight w:val="0"/>
      <w:marTop w:val="0"/>
      <w:marBottom w:val="0"/>
      <w:divBdr>
        <w:top w:val="none" w:sz="0" w:space="0" w:color="auto"/>
        <w:left w:val="none" w:sz="0" w:space="0" w:color="auto"/>
        <w:bottom w:val="none" w:sz="0" w:space="0" w:color="auto"/>
        <w:right w:val="none" w:sz="0" w:space="0" w:color="auto"/>
      </w:divBdr>
    </w:div>
    <w:div w:id="616521195">
      <w:marLeft w:val="640"/>
      <w:marRight w:val="0"/>
      <w:marTop w:val="0"/>
      <w:marBottom w:val="0"/>
      <w:divBdr>
        <w:top w:val="none" w:sz="0" w:space="0" w:color="auto"/>
        <w:left w:val="none" w:sz="0" w:space="0" w:color="auto"/>
        <w:bottom w:val="none" w:sz="0" w:space="0" w:color="auto"/>
        <w:right w:val="none" w:sz="0" w:space="0" w:color="auto"/>
      </w:divBdr>
    </w:div>
    <w:div w:id="617953819">
      <w:marLeft w:val="640"/>
      <w:marRight w:val="0"/>
      <w:marTop w:val="0"/>
      <w:marBottom w:val="0"/>
      <w:divBdr>
        <w:top w:val="none" w:sz="0" w:space="0" w:color="auto"/>
        <w:left w:val="none" w:sz="0" w:space="0" w:color="auto"/>
        <w:bottom w:val="none" w:sz="0" w:space="0" w:color="auto"/>
        <w:right w:val="none" w:sz="0" w:space="0" w:color="auto"/>
      </w:divBdr>
    </w:div>
    <w:div w:id="618027499">
      <w:marLeft w:val="640"/>
      <w:marRight w:val="0"/>
      <w:marTop w:val="0"/>
      <w:marBottom w:val="0"/>
      <w:divBdr>
        <w:top w:val="none" w:sz="0" w:space="0" w:color="auto"/>
        <w:left w:val="none" w:sz="0" w:space="0" w:color="auto"/>
        <w:bottom w:val="none" w:sz="0" w:space="0" w:color="auto"/>
        <w:right w:val="none" w:sz="0" w:space="0" w:color="auto"/>
      </w:divBdr>
    </w:div>
    <w:div w:id="618880590">
      <w:marLeft w:val="640"/>
      <w:marRight w:val="0"/>
      <w:marTop w:val="0"/>
      <w:marBottom w:val="0"/>
      <w:divBdr>
        <w:top w:val="none" w:sz="0" w:space="0" w:color="auto"/>
        <w:left w:val="none" w:sz="0" w:space="0" w:color="auto"/>
        <w:bottom w:val="none" w:sz="0" w:space="0" w:color="auto"/>
        <w:right w:val="none" w:sz="0" w:space="0" w:color="auto"/>
      </w:divBdr>
    </w:div>
    <w:div w:id="619340958">
      <w:marLeft w:val="640"/>
      <w:marRight w:val="0"/>
      <w:marTop w:val="0"/>
      <w:marBottom w:val="0"/>
      <w:divBdr>
        <w:top w:val="none" w:sz="0" w:space="0" w:color="auto"/>
        <w:left w:val="none" w:sz="0" w:space="0" w:color="auto"/>
        <w:bottom w:val="none" w:sz="0" w:space="0" w:color="auto"/>
        <w:right w:val="none" w:sz="0" w:space="0" w:color="auto"/>
      </w:divBdr>
    </w:div>
    <w:div w:id="619384616">
      <w:marLeft w:val="640"/>
      <w:marRight w:val="0"/>
      <w:marTop w:val="0"/>
      <w:marBottom w:val="0"/>
      <w:divBdr>
        <w:top w:val="none" w:sz="0" w:space="0" w:color="auto"/>
        <w:left w:val="none" w:sz="0" w:space="0" w:color="auto"/>
        <w:bottom w:val="none" w:sz="0" w:space="0" w:color="auto"/>
        <w:right w:val="none" w:sz="0" w:space="0" w:color="auto"/>
      </w:divBdr>
    </w:div>
    <w:div w:id="620036740">
      <w:marLeft w:val="640"/>
      <w:marRight w:val="0"/>
      <w:marTop w:val="0"/>
      <w:marBottom w:val="0"/>
      <w:divBdr>
        <w:top w:val="none" w:sz="0" w:space="0" w:color="auto"/>
        <w:left w:val="none" w:sz="0" w:space="0" w:color="auto"/>
        <w:bottom w:val="none" w:sz="0" w:space="0" w:color="auto"/>
        <w:right w:val="none" w:sz="0" w:space="0" w:color="auto"/>
      </w:divBdr>
    </w:div>
    <w:div w:id="621110370">
      <w:marLeft w:val="640"/>
      <w:marRight w:val="0"/>
      <w:marTop w:val="0"/>
      <w:marBottom w:val="0"/>
      <w:divBdr>
        <w:top w:val="none" w:sz="0" w:space="0" w:color="auto"/>
        <w:left w:val="none" w:sz="0" w:space="0" w:color="auto"/>
        <w:bottom w:val="none" w:sz="0" w:space="0" w:color="auto"/>
        <w:right w:val="none" w:sz="0" w:space="0" w:color="auto"/>
      </w:divBdr>
    </w:div>
    <w:div w:id="621545301">
      <w:marLeft w:val="640"/>
      <w:marRight w:val="0"/>
      <w:marTop w:val="0"/>
      <w:marBottom w:val="0"/>
      <w:divBdr>
        <w:top w:val="none" w:sz="0" w:space="0" w:color="auto"/>
        <w:left w:val="none" w:sz="0" w:space="0" w:color="auto"/>
        <w:bottom w:val="none" w:sz="0" w:space="0" w:color="auto"/>
        <w:right w:val="none" w:sz="0" w:space="0" w:color="auto"/>
      </w:divBdr>
    </w:div>
    <w:div w:id="622423267">
      <w:marLeft w:val="640"/>
      <w:marRight w:val="0"/>
      <w:marTop w:val="0"/>
      <w:marBottom w:val="0"/>
      <w:divBdr>
        <w:top w:val="none" w:sz="0" w:space="0" w:color="auto"/>
        <w:left w:val="none" w:sz="0" w:space="0" w:color="auto"/>
        <w:bottom w:val="none" w:sz="0" w:space="0" w:color="auto"/>
        <w:right w:val="none" w:sz="0" w:space="0" w:color="auto"/>
      </w:divBdr>
    </w:div>
    <w:div w:id="623274720">
      <w:marLeft w:val="640"/>
      <w:marRight w:val="0"/>
      <w:marTop w:val="0"/>
      <w:marBottom w:val="0"/>
      <w:divBdr>
        <w:top w:val="none" w:sz="0" w:space="0" w:color="auto"/>
        <w:left w:val="none" w:sz="0" w:space="0" w:color="auto"/>
        <w:bottom w:val="none" w:sz="0" w:space="0" w:color="auto"/>
        <w:right w:val="none" w:sz="0" w:space="0" w:color="auto"/>
      </w:divBdr>
    </w:div>
    <w:div w:id="623392572">
      <w:marLeft w:val="640"/>
      <w:marRight w:val="0"/>
      <w:marTop w:val="0"/>
      <w:marBottom w:val="0"/>
      <w:divBdr>
        <w:top w:val="none" w:sz="0" w:space="0" w:color="auto"/>
        <w:left w:val="none" w:sz="0" w:space="0" w:color="auto"/>
        <w:bottom w:val="none" w:sz="0" w:space="0" w:color="auto"/>
        <w:right w:val="none" w:sz="0" w:space="0" w:color="auto"/>
      </w:divBdr>
    </w:div>
    <w:div w:id="624232945">
      <w:marLeft w:val="640"/>
      <w:marRight w:val="0"/>
      <w:marTop w:val="0"/>
      <w:marBottom w:val="0"/>
      <w:divBdr>
        <w:top w:val="none" w:sz="0" w:space="0" w:color="auto"/>
        <w:left w:val="none" w:sz="0" w:space="0" w:color="auto"/>
        <w:bottom w:val="none" w:sz="0" w:space="0" w:color="auto"/>
        <w:right w:val="none" w:sz="0" w:space="0" w:color="auto"/>
      </w:divBdr>
    </w:div>
    <w:div w:id="624624053">
      <w:marLeft w:val="640"/>
      <w:marRight w:val="0"/>
      <w:marTop w:val="0"/>
      <w:marBottom w:val="0"/>
      <w:divBdr>
        <w:top w:val="none" w:sz="0" w:space="0" w:color="auto"/>
        <w:left w:val="none" w:sz="0" w:space="0" w:color="auto"/>
        <w:bottom w:val="none" w:sz="0" w:space="0" w:color="auto"/>
        <w:right w:val="none" w:sz="0" w:space="0" w:color="auto"/>
      </w:divBdr>
    </w:div>
    <w:div w:id="624626116">
      <w:marLeft w:val="640"/>
      <w:marRight w:val="0"/>
      <w:marTop w:val="0"/>
      <w:marBottom w:val="0"/>
      <w:divBdr>
        <w:top w:val="none" w:sz="0" w:space="0" w:color="auto"/>
        <w:left w:val="none" w:sz="0" w:space="0" w:color="auto"/>
        <w:bottom w:val="none" w:sz="0" w:space="0" w:color="auto"/>
        <w:right w:val="none" w:sz="0" w:space="0" w:color="auto"/>
      </w:divBdr>
    </w:div>
    <w:div w:id="625696365">
      <w:marLeft w:val="640"/>
      <w:marRight w:val="0"/>
      <w:marTop w:val="0"/>
      <w:marBottom w:val="0"/>
      <w:divBdr>
        <w:top w:val="none" w:sz="0" w:space="0" w:color="auto"/>
        <w:left w:val="none" w:sz="0" w:space="0" w:color="auto"/>
        <w:bottom w:val="none" w:sz="0" w:space="0" w:color="auto"/>
        <w:right w:val="none" w:sz="0" w:space="0" w:color="auto"/>
      </w:divBdr>
    </w:div>
    <w:div w:id="626399295">
      <w:marLeft w:val="640"/>
      <w:marRight w:val="0"/>
      <w:marTop w:val="0"/>
      <w:marBottom w:val="0"/>
      <w:divBdr>
        <w:top w:val="none" w:sz="0" w:space="0" w:color="auto"/>
        <w:left w:val="none" w:sz="0" w:space="0" w:color="auto"/>
        <w:bottom w:val="none" w:sz="0" w:space="0" w:color="auto"/>
        <w:right w:val="none" w:sz="0" w:space="0" w:color="auto"/>
      </w:divBdr>
    </w:div>
    <w:div w:id="627081192">
      <w:marLeft w:val="640"/>
      <w:marRight w:val="0"/>
      <w:marTop w:val="0"/>
      <w:marBottom w:val="0"/>
      <w:divBdr>
        <w:top w:val="none" w:sz="0" w:space="0" w:color="auto"/>
        <w:left w:val="none" w:sz="0" w:space="0" w:color="auto"/>
        <w:bottom w:val="none" w:sz="0" w:space="0" w:color="auto"/>
        <w:right w:val="none" w:sz="0" w:space="0" w:color="auto"/>
      </w:divBdr>
    </w:div>
    <w:div w:id="627204684">
      <w:marLeft w:val="640"/>
      <w:marRight w:val="0"/>
      <w:marTop w:val="0"/>
      <w:marBottom w:val="0"/>
      <w:divBdr>
        <w:top w:val="none" w:sz="0" w:space="0" w:color="auto"/>
        <w:left w:val="none" w:sz="0" w:space="0" w:color="auto"/>
        <w:bottom w:val="none" w:sz="0" w:space="0" w:color="auto"/>
        <w:right w:val="none" w:sz="0" w:space="0" w:color="auto"/>
      </w:divBdr>
    </w:div>
    <w:div w:id="627391951">
      <w:marLeft w:val="640"/>
      <w:marRight w:val="0"/>
      <w:marTop w:val="0"/>
      <w:marBottom w:val="0"/>
      <w:divBdr>
        <w:top w:val="none" w:sz="0" w:space="0" w:color="auto"/>
        <w:left w:val="none" w:sz="0" w:space="0" w:color="auto"/>
        <w:bottom w:val="none" w:sz="0" w:space="0" w:color="auto"/>
        <w:right w:val="none" w:sz="0" w:space="0" w:color="auto"/>
      </w:divBdr>
    </w:div>
    <w:div w:id="627511029">
      <w:marLeft w:val="640"/>
      <w:marRight w:val="0"/>
      <w:marTop w:val="0"/>
      <w:marBottom w:val="0"/>
      <w:divBdr>
        <w:top w:val="none" w:sz="0" w:space="0" w:color="auto"/>
        <w:left w:val="none" w:sz="0" w:space="0" w:color="auto"/>
        <w:bottom w:val="none" w:sz="0" w:space="0" w:color="auto"/>
        <w:right w:val="none" w:sz="0" w:space="0" w:color="auto"/>
      </w:divBdr>
    </w:div>
    <w:div w:id="628048725">
      <w:marLeft w:val="640"/>
      <w:marRight w:val="0"/>
      <w:marTop w:val="0"/>
      <w:marBottom w:val="0"/>
      <w:divBdr>
        <w:top w:val="none" w:sz="0" w:space="0" w:color="auto"/>
        <w:left w:val="none" w:sz="0" w:space="0" w:color="auto"/>
        <w:bottom w:val="none" w:sz="0" w:space="0" w:color="auto"/>
        <w:right w:val="none" w:sz="0" w:space="0" w:color="auto"/>
      </w:divBdr>
    </w:div>
    <w:div w:id="628324451">
      <w:marLeft w:val="640"/>
      <w:marRight w:val="0"/>
      <w:marTop w:val="0"/>
      <w:marBottom w:val="0"/>
      <w:divBdr>
        <w:top w:val="none" w:sz="0" w:space="0" w:color="auto"/>
        <w:left w:val="none" w:sz="0" w:space="0" w:color="auto"/>
        <w:bottom w:val="none" w:sz="0" w:space="0" w:color="auto"/>
        <w:right w:val="none" w:sz="0" w:space="0" w:color="auto"/>
      </w:divBdr>
    </w:div>
    <w:div w:id="628438204">
      <w:marLeft w:val="640"/>
      <w:marRight w:val="0"/>
      <w:marTop w:val="0"/>
      <w:marBottom w:val="0"/>
      <w:divBdr>
        <w:top w:val="none" w:sz="0" w:space="0" w:color="auto"/>
        <w:left w:val="none" w:sz="0" w:space="0" w:color="auto"/>
        <w:bottom w:val="none" w:sz="0" w:space="0" w:color="auto"/>
        <w:right w:val="none" w:sz="0" w:space="0" w:color="auto"/>
      </w:divBdr>
    </w:div>
    <w:div w:id="628517033">
      <w:marLeft w:val="640"/>
      <w:marRight w:val="0"/>
      <w:marTop w:val="0"/>
      <w:marBottom w:val="0"/>
      <w:divBdr>
        <w:top w:val="none" w:sz="0" w:space="0" w:color="auto"/>
        <w:left w:val="none" w:sz="0" w:space="0" w:color="auto"/>
        <w:bottom w:val="none" w:sz="0" w:space="0" w:color="auto"/>
        <w:right w:val="none" w:sz="0" w:space="0" w:color="auto"/>
      </w:divBdr>
    </w:div>
    <w:div w:id="629286931">
      <w:marLeft w:val="640"/>
      <w:marRight w:val="0"/>
      <w:marTop w:val="0"/>
      <w:marBottom w:val="0"/>
      <w:divBdr>
        <w:top w:val="none" w:sz="0" w:space="0" w:color="auto"/>
        <w:left w:val="none" w:sz="0" w:space="0" w:color="auto"/>
        <w:bottom w:val="none" w:sz="0" w:space="0" w:color="auto"/>
        <w:right w:val="none" w:sz="0" w:space="0" w:color="auto"/>
      </w:divBdr>
    </w:div>
    <w:div w:id="629476249">
      <w:marLeft w:val="640"/>
      <w:marRight w:val="0"/>
      <w:marTop w:val="0"/>
      <w:marBottom w:val="0"/>
      <w:divBdr>
        <w:top w:val="none" w:sz="0" w:space="0" w:color="auto"/>
        <w:left w:val="none" w:sz="0" w:space="0" w:color="auto"/>
        <w:bottom w:val="none" w:sz="0" w:space="0" w:color="auto"/>
        <w:right w:val="none" w:sz="0" w:space="0" w:color="auto"/>
      </w:divBdr>
    </w:div>
    <w:div w:id="630480454">
      <w:marLeft w:val="640"/>
      <w:marRight w:val="0"/>
      <w:marTop w:val="0"/>
      <w:marBottom w:val="0"/>
      <w:divBdr>
        <w:top w:val="none" w:sz="0" w:space="0" w:color="auto"/>
        <w:left w:val="none" w:sz="0" w:space="0" w:color="auto"/>
        <w:bottom w:val="none" w:sz="0" w:space="0" w:color="auto"/>
        <w:right w:val="none" w:sz="0" w:space="0" w:color="auto"/>
      </w:divBdr>
    </w:div>
    <w:div w:id="631404120">
      <w:marLeft w:val="640"/>
      <w:marRight w:val="0"/>
      <w:marTop w:val="0"/>
      <w:marBottom w:val="0"/>
      <w:divBdr>
        <w:top w:val="none" w:sz="0" w:space="0" w:color="auto"/>
        <w:left w:val="none" w:sz="0" w:space="0" w:color="auto"/>
        <w:bottom w:val="none" w:sz="0" w:space="0" w:color="auto"/>
        <w:right w:val="none" w:sz="0" w:space="0" w:color="auto"/>
      </w:divBdr>
    </w:div>
    <w:div w:id="632061573">
      <w:marLeft w:val="640"/>
      <w:marRight w:val="0"/>
      <w:marTop w:val="0"/>
      <w:marBottom w:val="0"/>
      <w:divBdr>
        <w:top w:val="none" w:sz="0" w:space="0" w:color="auto"/>
        <w:left w:val="none" w:sz="0" w:space="0" w:color="auto"/>
        <w:bottom w:val="none" w:sz="0" w:space="0" w:color="auto"/>
        <w:right w:val="none" w:sz="0" w:space="0" w:color="auto"/>
      </w:divBdr>
    </w:div>
    <w:div w:id="632488960">
      <w:marLeft w:val="640"/>
      <w:marRight w:val="0"/>
      <w:marTop w:val="0"/>
      <w:marBottom w:val="0"/>
      <w:divBdr>
        <w:top w:val="none" w:sz="0" w:space="0" w:color="auto"/>
        <w:left w:val="none" w:sz="0" w:space="0" w:color="auto"/>
        <w:bottom w:val="none" w:sz="0" w:space="0" w:color="auto"/>
        <w:right w:val="none" w:sz="0" w:space="0" w:color="auto"/>
      </w:divBdr>
    </w:div>
    <w:div w:id="632832368">
      <w:marLeft w:val="640"/>
      <w:marRight w:val="0"/>
      <w:marTop w:val="0"/>
      <w:marBottom w:val="0"/>
      <w:divBdr>
        <w:top w:val="none" w:sz="0" w:space="0" w:color="auto"/>
        <w:left w:val="none" w:sz="0" w:space="0" w:color="auto"/>
        <w:bottom w:val="none" w:sz="0" w:space="0" w:color="auto"/>
        <w:right w:val="none" w:sz="0" w:space="0" w:color="auto"/>
      </w:divBdr>
    </w:div>
    <w:div w:id="633561580">
      <w:marLeft w:val="640"/>
      <w:marRight w:val="0"/>
      <w:marTop w:val="0"/>
      <w:marBottom w:val="0"/>
      <w:divBdr>
        <w:top w:val="none" w:sz="0" w:space="0" w:color="auto"/>
        <w:left w:val="none" w:sz="0" w:space="0" w:color="auto"/>
        <w:bottom w:val="none" w:sz="0" w:space="0" w:color="auto"/>
        <w:right w:val="none" w:sz="0" w:space="0" w:color="auto"/>
      </w:divBdr>
    </w:div>
    <w:div w:id="634142525">
      <w:marLeft w:val="640"/>
      <w:marRight w:val="0"/>
      <w:marTop w:val="0"/>
      <w:marBottom w:val="0"/>
      <w:divBdr>
        <w:top w:val="none" w:sz="0" w:space="0" w:color="auto"/>
        <w:left w:val="none" w:sz="0" w:space="0" w:color="auto"/>
        <w:bottom w:val="none" w:sz="0" w:space="0" w:color="auto"/>
        <w:right w:val="none" w:sz="0" w:space="0" w:color="auto"/>
      </w:divBdr>
    </w:div>
    <w:div w:id="634990452">
      <w:marLeft w:val="640"/>
      <w:marRight w:val="0"/>
      <w:marTop w:val="0"/>
      <w:marBottom w:val="0"/>
      <w:divBdr>
        <w:top w:val="none" w:sz="0" w:space="0" w:color="auto"/>
        <w:left w:val="none" w:sz="0" w:space="0" w:color="auto"/>
        <w:bottom w:val="none" w:sz="0" w:space="0" w:color="auto"/>
        <w:right w:val="none" w:sz="0" w:space="0" w:color="auto"/>
      </w:divBdr>
    </w:div>
    <w:div w:id="636490491">
      <w:marLeft w:val="640"/>
      <w:marRight w:val="0"/>
      <w:marTop w:val="0"/>
      <w:marBottom w:val="0"/>
      <w:divBdr>
        <w:top w:val="none" w:sz="0" w:space="0" w:color="auto"/>
        <w:left w:val="none" w:sz="0" w:space="0" w:color="auto"/>
        <w:bottom w:val="none" w:sz="0" w:space="0" w:color="auto"/>
        <w:right w:val="none" w:sz="0" w:space="0" w:color="auto"/>
      </w:divBdr>
    </w:div>
    <w:div w:id="636762775">
      <w:marLeft w:val="640"/>
      <w:marRight w:val="0"/>
      <w:marTop w:val="0"/>
      <w:marBottom w:val="0"/>
      <w:divBdr>
        <w:top w:val="none" w:sz="0" w:space="0" w:color="auto"/>
        <w:left w:val="none" w:sz="0" w:space="0" w:color="auto"/>
        <w:bottom w:val="none" w:sz="0" w:space="0" w:color="auto"/>
        <w:right w:val="none" w:sz="0" w:space="0" w:color="auto"/>
      </w:divBdr>
    </w:div>
    <w:div w:id="638729666">
      <w:marLeft w:val="640"/>
      <w:marRight w:val="0"/>
      <w:marTop w:val="0"/>
      <w:marBottom w:val="0"/>
      <w:divBdr>
        <w:top w:val="none" w:sz="0" w:space="0" w:color="auto"/>
        <w:left w:val="none" w:sz="0" w:space="0" w:color="auto"/>
        <w:bottom w:val="none" w:sz="0" w:space="0" w:color="auto"/>
        <w:right w:val="none" w:sz="0" w:space="0" w:color="auto"/>
      </w:divBdr>
    </w:div>
    <w:div w:id="638800895">
      <w:marLeft w:val="640"/>
      <w:marRight w:val="0"/>
      <w:marTop w:val="0"/>
      <w:marBottom w:val="0"/>
      <w:divBdr>
        <w:top w:val="none" w:sz="0" w:space="0" w:color="auto"/>
        <w:left w:val="none" w:sz="0" w:space="0" w:color="auto"/>
        <w:bottom w:val="none" w:sz="0" w:space="0" w:color="auto"/>
        <w:right w:val="none" w:sz="0" w:space="0" w:color="auto"/>
      </w:divBdr>
    </w:div>
    <w:div w:id="639313494">
      <w:marLeft w:val="640"/>
      <w:marRight w:val="0"/>
      <w:marTop w:val="0"/>
      <w:marBottom w:val="0"/>
      <w:divBdr>
        <w:top w:val="none" w:sz="0" w:space="0" w:color="auto"/>
        <w:left w:val="none" w:sz="0" w:space="0" w:color="auto"/>
        <w:bottom w:val="none" w:sz="0" w:space="0" w:color="auto"/>
        <w:right w:val="none" w:sz="0" w:space="0" w:color="auto"/>
      </w:divBdr>
    </w:div>
    <w:div w:id="640187097">
      <w:marLeft w:val="640"/>
      <w:marRight w:val="0"/>
      <w:marTop w:val="0"/>
      <w:marBottom w:val="0"/>
      <w:divBdr>
        <w:top w:val="none" w:sz="0" w:space="0" w:color="auto"/>
        <w:left w:val="none" w:sz="0" w:space="0" w:color="auto"/>
        <w:bottom w:val="none" w:sz="0" w:space="0" w:color="auto"/>
        <w:right w:val="none" w:sz="0" w:space="0" w:color="auto"/>
      </w:divBdr>
    </w:div>
    <w:div w:id="640772190">
      <w:marLeft w:val="640"/>
      <w:marRight w:val="0"/>
      <w:marTop w:val="0"/>
      <w:marBottom w:val="0"/>
      <w:divBdr>
        <w:top w:val="none" w:sz="0" w:space="0" w:color="auto"/>
        <w:left w:val="none" w:sz="0" w:space="0" w:color="auto"/>
        <w:bottom w:val="none" w:sz="0" w:space="0" w:color="auto"/>
        <w:right w:val="none" w:sz="0" w:space="0" w:color="auto"/>
      </w:divBdr>
    </w:div>
    <w:div w:id="642394890">
      <w:marLeft w:val="640"/>
      <w:marRight w:val="0"/>
      <w:marTop w:val="0"/>
      <w:marBottom w:val="0"/>
      <w:divBdr>
        <w:top w:val="none" w:sz="0" w:space="0" w:color="auto"/>
        <w:left w:val="none" w:sz="0" w:space="0" w:color="auto"/>
        <w:bottom w:val="none" w:sz="0" w:space="0" w:color="auto"/>
        <w:right w:val="none" w:sz="0" w:space="0" w:color="auto"/>
      </w:divBdr>
    </w:div>
    <w:div w:id="642732275">
      <w:marLeft w:val="640"/>
      <w:marRight w:val="0"/>
      <w:marTop w:val="0"/>
      <w:marBottom w:val="0"/>
      <w:divBdr>
        <w:top w:val="none" w:sz="0" w:space="0" w:color="auto"/>
        <w:left w:val="none" w:sz="0" w:space="0" w:color="auto"/>
        <w:bottom w:val="none" w:sz="0" w:space="0" w:color="auto"/>
        <w:right w:val="none" w:sz="0" w:space="0" w:color="auto"/>
      </w:divBdr>
    </w:div>
    <w:div w:id="642738959">
      <w:marLeft w:val="640"/>
      <w:marRight w:val="0"/>
      <w:marTop w:val="0"/>
      <w:marBottom w:val="0"/>
      <w:divBdr>
        <w:top w:val="none" w:sz="0" w:space="0" w:color="auto"/>
        <w:left w:val="none" w:sz="0" w:space="0" w:color="auto"/>
        <w:bottom w:val="none" w:sz="0" w:space="0" w:color="auto"/>
        <w:right w:val="none" w:sz="0" w:space="0" w:color="auto"/>
      </w:divBdr>
    </w:div>
    <w:div w:id="646587306">
      <w:marLeft w:val="640"/>
      <w:marRight w:val="0"/>
      <w:marTop w:val="0"/>
      <w:marBottom w:val="0"/>
      <w:divBdr>
        <w:top w:val="none" w:sz="0" w:space="0" w:color="auto"/>
        <w:left w:val="none" w:sz="0" w:space="0" w:color="auto"/>
        <w:bottom w:val="none" w:sz="0" w:space="0" w:color="auto"/>
        <w:right w:val="none" w:sz="0" w:space="0" w:color="auto"/>
      </w:divBdr>
    </w:div>
    <w:div w:id="646588232">
      <w:marLeft w:val="640"/>
      <w:marRight w:val="0"/>
      <w:marTop w:val="0"/>
      <w:marBottom w:val="0"/>
      <w:divBdr>
        <w:top w:val="none" w:sz="0" w:space="0" w:color="auto"/>
        <w:left w:val="none" w:sz="0" w:space="0" w:color="auto"/>
        <w:bottom w:val="none" w:sz="0" w:space="0" w:color="auto"/>
        <w:right w:val="none" w:sz="0" w:space="0" w:color="auto"/>
      </w:divBdr>
    </w:div>
    <w:div w:id="646593560">
      <w:marLeft w:val="640"/>
      <w:marRight w:val="0"/>
      <w:marTop w:val="0"/>
      <w:marBottom w:val="0"/>
      <w:divBdr>
        <w:top w:val="none" w:sz="0" w:space="0" w:color="auto"/>
        <w:left w:val="none" w:sz="0" w:space="0" w:color="auto"/>
        <w:bottom w:val="none" w:sz="0" w:space="0" w:color="auto"/>
        <w:right w:val="none" w:sz="0" w:space="0" w:color="auto"/>
      </w:divBdr>
    </w:div>
    <w:div w:id="646672140">
      <w:marLeft w:val="640"/>
      <w:marRight w:val="0"/>
      <w:marTop w:val="0"/>
      <w:marBottom w:val="0"/>
      <w:divBdr>
        <w:top w:val="none" w:sz="0" w:space="0" w:color="auto"/>
        <w:left w:val="none" w:sz="0" w:space="0" w:color="auto"/>
        <w:bottom w:val="none" w:sz="0" w:space="0" w:color="auto"/>
        <w:right w:val="none" w:sz="0" w:space="0" w:color="auto"/>
      </w:divBdr>
    </w:div>
    <w:div w:id="646786389">
      <w:marLeft w:val="640"/>
      <w:marRight w:val="0"/>
      <w:marTop w:val="0"/>
      <w:marBottom w:val="0"/>
      <w:divBdr>
        <w:top w:val="none" w:sz="0" w:space="0" w:color="auto"/>
        <w:left w:val="none" w:sz="0" w:space="0" w:color="auto"/>
        <w:bottom w:val="none" w:sz="0" w:space="0" w:color="auto"/>
        <w:right w:val="none" w:sz="0" w:space="0" w:color="auto"/>
      </w:divBdr>
    </w:div>
    <w:div w:id="647855856">
      <w:marLeft w:val="640"/>
      <w:marRight w:val="0"/>
      <w:marTop w:val="0"/>
      <w:marBottom w:val="0"/>
      <w:divBdr>
        <w:top w:val="none" w:sz="0" w:space="0" w:color="auto"/>
        <w:left w:val="none" w:sz="0" w:space="0" w:color="auto"/>
        <w:bottom w:val="none" w:sz="0" w:space="0" w:color="auto"/>
        <w:right w:val="none" w:sz="0" w:space="0" w:color="auto"/>
      </w:divBdr>
    </w:div>
    <w:div w:id="648095612">
      <w:marLeft w:val="640"/>
      <w:marRight w:val="0"/>
      <w:marTop w:val="0"/>
      <w:marBottom w:val="0"/>
      <w:divBdr>
        <w:top w:val="none" w:sz="0" w:space="0" w:color="auto"/>
        <w:left w:val="none" w:sz="0" w:space="0" w:color="auto"/>
        <w:bottom w:val="none" w:sz="0" w:space="0" w:color="auto"/>
        <w:right w:val="none" w:sz="0" w:space="0" w:color="auto"/>
      </w:divBdr>
    </w:div>
    <w:div w:id="649137855">
      <w:marLeft w:val="640"/>
      <w:marRight w:val="0"/>
      <w:marTop w:val="0"/>
      <w:marBottom w:val="0"/>
      <w:divBdr>
        <w:top w:val="none" w:sz="0" w:space="0" w:color="auto"/>
        <w:left w:val="none" w:sz="0" w:space="0" w:color="auto"/>
        <w:bottom w:val="none" w:sz="0" w:space="0" w:color="auto"/>
        <w:right w:val="none" w:sz="0" w:space="0" w:color="auto"/>
      </w:divBdr>
    </w:div>
    <w:div w:id="650642678">
      <w:marLeft w:val="640"/>
      <w:marRight w:val="0"/>
      <w:marTop w:val="0"/>
      <w:marBottom w:val="0"/>
      <w:divBdr>
        <w:top w:val="none" w:sz="0" w:space="0" w:color="auto"/>
        <w:left w:val="none" w:sz="0" w:space="0" w:color="auto"/>
        <w:bottom w:val="none" w:sz="0" w:space="0" w:color="auto"/>
        <w:right w:val="none" w:sz="0" w:space="0" w:color="auto"/>
      </w:divBdr>
    </w:div>
    <w:div w:id="650989972">
      <w:marLeft w:val="640"/>
      <w:marRight w:val="0"/>
      <w:marTop w:val="0"/>
      <w:marBottom w:val="0"/>
      <w:divBdr>
        <w:top w:val="none" w:sz="0" w:space="0" w:color="auto"/>
        <w:left w:val="none" w:sz="0" w:space="0" w:color="auto"/>
        <w:bottom w:val="none" w:sz="0" w:space="0" w:color="auto"/>
        <w:right w:val="none" w:sz="0" w:space="0" w:color="auto"/>
      </w:divBdr>
    </w:div>
    <w:div w:id="651562533">
      <w:marLeft w:val="640"/>
      <w:marRight w:val="0"/>
      <w:marTop w:val="0"/>
      <w:marBottom w:val="0"/>
      <w:divBdr>
        <w:top w:val="none" w:sz="0" w:space="0" w:color="auto"/>
        <w:left w:val="none" w:sz="0" w:space="0" w:color="auto"/>
        <w:bottom w:val="none" w:sz="0" w:space="0" w:color="auto"/>
        <w:right w:val="none" w:sz="0" w:space="0" w:color="auto"/>
      </w:divBdr>
    </w:div>
    <w:div w:id="651905696">
      <w:marLeft w:val="640"/>
      <w:marRight w:val="0"/>
      <w:marTop w:val="0"/>
      <w:marBottom w:val="0"/>
      <w:divBdr>
        <w:top w:val="none" w:sz="0" w:space="0" w:color="auto"/>
        <w:left w:val="none" w:sz="0" w:space="0" w:color="auto"/>
        <w:bottom w:val="none" w:sz="0" w:space="0" w:color="auto"/>
        <w:right w:val="none" w:sz="0" w:space="0" w:color="auto"/>
      </w:divBdr>
    </w:div>
    <w:div w:id="652026024">
      <w:marLeft w:val="640"/>
      <w:marRight w:val="0"/>
      <w:marTop w:val="0"/>
      <w:marBottom w:val="0"/>
      <w:divBdr>
        <w:top w:val="none" w:sz="0" w:space="0" w:color="auto"/>
        <w:left w:val="none" w:sz="0" w:space="0" w:color="auto"/>
        <w:bottom w:val="none" w:sz="0" w:space="0" w:color="auto"/>
        <w:right w:val="none" w:sz="0" w:space="0" w:color="auto"/>
      </w:divBdr>
    </w:div>
    <w:div w:id="652684970">
      <w:marLeft w:val="640"/>
      <w:marRight w:val="0"/>
      <w:marTop w:val="0"/>
      <w:marBottom w:val="0"/>
      <w:divBdr>
        <w:top w:val="none" w:sz="0" w:space="0" w:color="auto"/>
        <w:left w:val="none" w:sz="0" w:space="0" w:color="auto"/>
        <w:bottom w:val="none" w:sz="0" w:space="0" w:color="auto"/>
        <w:right w:val="none" w:sz="0" w:space="0" w:color="auto"/>
      </w:divBdr>
    </w:div>
    <w:div w:id="653024564">
      <w:marLeft w:val="640"/>
      <w:marRight w:val="0"/>
      <w:marTop w:val="0"/>
      <w:marBottom w:val="0"/>
      <w:divBdr>
        <w:top w:val="none" w:sz="0" w:space="0" w:color="auto"/>
        <w:left w:val="none" w:sz="0" w:space="0" w:color="auto"/>
        <w:bottom w:val="none" w:sz="0" w:space="0" w:color="auto"/>
        <w:right w:val="none" w:sz="0" w:space="0" w:color="auto"/>
      </w:divBdr>
    </w:div>
    <w:div w:id="653485226">
      <w:marLeft w:val="640"/>
      <w:marRight w:val="0"/>
      <w:marTop w:val="0"/>
      <w:marBottom w:val="0"/>
      <w:divBdr>
        <w:top w:val="none" w:sz="0" w:space="0" w:color="auto"/>
        <w:left w:val="none" w:sz="0" w:space="0" w:color="auto"/>
        <w:bottom w:val="none" w:sz="0" w:space="0" w:color="auto"/>
        <w:right w:val="none" w:sz="0" w:space="0" w:color="auto"/>
      </w:divBdr>
    </w:div>
    <w:div w:id="653871112">
      <w:marLeft w:val="640"/>
      <w:marRight w:val="0"/>
      <w:marTop w:val="0"/>
      <w:marBottom w:val="0"/>
      <w:divBdr>
        <w:top w:val="none" w:sz="0" w:space="0" w:color="auto"/>
        <w:left w:val="none" w:sz="0" w:space="0" w:color="auto"/>
        <w:bottom w:val="none" w:sz="0" w:space="0" w:color="auto"/>
        <w:right w:val="none" w:sz="0" w:space="0" w:color="auto"/>
      </w:divBdr>
    </w:div>
    <w:div w:id="653920635">
      <w:marLeft w:val="640"/>
      <w:marRight w:val="0"/>
      <w:marTop w:val="0"/>
      <w:marBottom w:val="0"/>
      <w:divBdr>
        <w:top w:val="none" w:sz="0" w:space="0" w:color="auto"/>
        <w:left w:val="none" w:sz="0" w:space="0" w:color="auto"/>
        <w:bottom w:val="none" w:sz="0" w:space="0" w:color="auto"/>
        <w:right w:val="none" w:sz="0" w:space="0" w:color="auto"/>
      </w:divBdr>
    </w:div>
    <w:div w:id="654604483">
      <w:marLeft w:val="640"/>
      <w:marRight w:val="0"/>
      <w:marTop w:val="0"/>
      <w:marBottom w:val="0"/>
      <w:divBdr>
        <w:top w:val="none" w:sz="0" w:space="0" w:color="auto"/>
        <w:left w:val="none" w:sz="0" w:space="0" w:color="auto"/>
        <w:bottom w:val="none" w:sz="0" w:space="0" w:color="auto"/>
        <w:right w:val="none" w:sz="0" w:space="0" w:color="auto"/>
      </w:divBdr>
    </w:div>
    <w:div w:id="654796735">
      <w:marLeft w:val="640"/>
      <w:marRight w:val="0"/>
      <w:marTop w:val="0"/>
      <w:marBottom w:val="0"/>
      <w:divBdr>
        <w:top w:val="none" w:sz="0" w:space="0" w:color="auto"/>
        <w:left w:val="none" w:sz="0" w:space="0" w:color="auto"/>
        <w:bottom w:val="none" w:sz="0" w:space="0" w:color="auto"/>
        <w:right w:val="none" w:sz="0" w:space="0" w:color="auto"/>
      </w:divBdr>
    </w:div>
    <w:div w:id="654989651">
      <w:marLeft w:val="640"/>
      <w:marRight w:val="0"/>
      <w:marTop w:val="0"/>
      <w:marBottom w:val="0"/>
      <w:divBdr>
        <w:top w:val="none" w:sz="0" w:space="0" w:color="auto"/>
        <w:left w:val="none" w:sz="0" w:space="0" w:color="auto"/>
        <w:bottom w:val="none" w:sz="0" w:space="0" w:color="auto"/>
        <w:right w:val="none" w:sz="0" w:space="0" w:color="auto"/>
      </w:divBdr>
    </w:div>
    <w:div w:id="655691118">
      <w:marLeft w:val="640"/>
      <w:marRight w:val="0"/>
      <w:marTop w:val="0"/>
      <w:marBottom w:val="0"/>
      <w:divBdr>
        <w:top w:val="none" w:sz="0" w:space="0" w:color="auto"/>
        <w:left w:val="none" w:sz="0" w:space="0" w:color="auto"/>
        <w:bottom w:val="none" w:sz="0" w:space="0" w:color="auto"/>
        <w:right w:val="none" w:sz="0" w:space="0" w:color="auto"/>
      </w:divBdr>
    </w:div>
    <w:div w:id="655840399">
      <w:marLeft w:val="640"/>
      <w:marRight w:val="0"/>
      <w:marTop w:val="0"/>
      <w:marBottom w:val="0"/>
      <w:divBdr>
        <w:top w:val="none" w:sz="0" w:space="0" w:color="auto"/>
        <w:left w:val="none" w:sz="0" w:space="0" w:color="auto"/>
        <w:bottom w:val="none" w:sz="0" w:space="0" w:color="auto"/>
        <w:right w:val="none" w:sz="0" w:space="0" w:color="auto"/>
      </w:divBdr>
    </w:div>
    <w:div w:id="656348980">
      <w:marLeft w:val="640"/>
      <w:marRight w:val="0"/>
      <w:marTop w:val="0"/>
      <w:marBottom w:val="0"/>
      <w:divBdr>
        <w:top w:val="none" w:sz="0" w:space="0" w:color="auto"/>
        <w:left w:val="none" w:sz="0" w:space="0" w:color="auto"/>
        <w:bottom w:val="none" w:sz="0" w:space="0" w:color="auto"/>
        <w:right w:val="none" w:sz="0" w:space="0" w:color="auto"/>
      </w:divBdr>
    </w:div>
    <w:div w:id="656688393">
      <w:marLeft w:val="640"/>
      <w:marRight w:val="0"/>
      <w:marTop w:val="0"/>
      <w:marBottom w:val="0"/>
      <w:divBdr>
        <w:top w:val="none" w:sz="0" w:space="0" w:color="auto"/>
        <w:left w:val="none" w:sz="0" w:space="0" w:color="auto"/>
        <w:bottom w:val="none" w:sz="0" w:space="0" w:color="auto"/>
        <w:right w:val="none" w:sz="0" w:space="0" w:color="auto"/>
      </w:divBdr>
    </w:div>
    <w:div w:id="657151960">
      <w:marLeft w:val="640"/>
      <w:marRight w:val="0"/>
      <w:marTop w:val="0"/>
      <w:marBottom w:val="0"/>
      <w:divBdr>
        <w:top w:val="none" w:sz="0" w:space="0" w:color="auto"/>
        <w:left w:val="none" w:sz="0" w:space="0" w:color="auto"/>
        <w:bottom w:val="none" w:sz="0" w:space="0" w:color="auto"/>
        <w:right w:val="none" w:sz="0" w:space="0" w:color="auto"/>
      </w:divBdr>
    </w:div>
    <w:div w:id="657197393">
      <w:marLeft w:val="640"/>
      <w:marRight w:val="0"/>
      <w:marTop w:val="0"/>
      <w:marBottom w:val="0"/>
      <w:divBdr>
        <w:top w:val="none" w:sz="0" w:space="0" w:color="auto"/>
        <w:left w:val="none" w:sz="0" w:space="0" w:color="auto"/>
        <w:bottom w:val="none" w:sz="0" w:space="0" w:color="auto"/>
        <w:right w:val="none" w:sz="0" w:space="0" w:color="auto"/>
      </w:divBdr>
    </w:div>
    <w:div w:id="657225210">
      <w:marLeft w:val="640"/>
      <w:marRight w:val="0"/>
      <w:marTop w:val="0"/>
      <w:marBottom w:val="0"/>
      <w:divBdr>
        <w:top w:val="none" w:sz="0" w:space="0" w:color="auto"/>
        <w:left w:val="none" w:sz="0" w:space="0" w:color="auto"/>
        <w:bottom w:val="none" w:sz="0" w:space="0" w:color="auto"/>
        <w:right w:val="none" w:sz="0" w:space="0" w:color="auto"/>
      </w:divBdr>
    </w:div>
    <w:div w:id="657349174">
      <w:marLeft w:val="640"/>
      <w:marRight w:val="0"/>
      <w:marTop w:val="0"/>
      <w:marBottom w:val="0"/>
      <w:divBdr>
        <w:top w:val="none" w:sz="0" w:space="0" w:color="auto"/>
        <w:left w:val="none" w:sz="0" w:space="0" w:color="auto"/>
        <w:bottom w:val="none" w:sz="0" w:space="0" w:color="auto"/>
        <w:right w:val="none" w:sz="0" w:space="0" w:color="auto"/>
      </w:divBdr>
    </w:div>
    <w:div w:id="657464119">
      <w:marLeft w:val="640"/>
      <w:marRight w:val="0"/>
      <w:marTop w:val="0"/>
      <w:marBottom w:val="0"/>
      <w:divBdr>
        <w:top w:val="none" w:sz="0" w:space="0" w:color="auto"/>
        <w:left w:val="none" w:sz="0" w:space="0" w:color="auto"/>
        <w:bottom w:val="none" w:sz="0" w:space="0" w:color="auto"/>
        <w:right w:val="none" w:sz="0" w:space="0" w:color="auto"/>
      </w:divBdr>
    </w:div>
    <w:div w:id="657734728">
      <w:marLeft w:val="640"/>
      <w:marRight w:val="0"/>
      <w:marTop w:val="0"/>
      <w:marBottom w:val="0"/>
      <w:divBdr>
        <w:top w:val="none" w:sz="0" w:space="0" w:color="auto"/>
        <w:left w:val="none" w:sz="0" w:space="0" w:color="auto"/>
        <w:bottom w:val="none" w:sz="0" w:space="0" w:color="auto"/>
        <w:right w:val="none" w:sz="0" w:space="0" w:color="auto"/>
      </w:divBdr>
    </w:div>
    <w:div w:id="661397297">
      <w:marLeft w:val="640"/>
      <w:marRight w:val="0"/>
      <w:marTop w:val="0"/>
      <w:marBottom w:val="0"/>
      <w:divBdr>
        <w:top w:val="none" w:sz="0" w:space="0" w:color="auto"/>
        <w:left w:val="none" w:sz="0" w:space="0" w:color="auto"/>
        <w:bottom w:val="none" w:sz="0" w:space="0" w:color="auto"/>
        <w:right w:val="none" w:sz="0" w:space="0" w:color="auto"/>
      </w:divBdr>
    </w:div>
    <w:div w:id="661741468">
      <w:marLeft w:val="640"/>
      <w:marRight w:val="0"/>
      <w:marTop w:val="0"/>
      <w:marBottom w:val="0"/>
      <w:divBdr>
        <w:top w:val="none" w:sz="0" w:space="0" w:color="auto"/>
        <w:left w:val="none" w:sz="0" w:space="0" w:color="auto"/>
        <w:bottom w:val="none" w:sz="0" w:space="0" w:color="auto"/>
        <w:right w:val="none" w:sz="0" w:space="0" w:color="auto"/>
      </w:divBdr>
    </w:div>
    <w:div w:id="661810559">
      <w:marLeft w:val="640"/>
      <w:marRight w:val="0"/>
      <w:marTop w:val="0"/>
      <w:marBottom w:val="0"/>
      <w:divBdr>
        <w:top w:val="none" w:sz="0" w:space="0" w:color="auto"/>
        <w:left w:val="none" w:sz="0" w:space="0" w:color="auto"/>
        <w:bottom w:val="none" w:sz="0" w:space="0" w:color="auto"/>
        <w:right w:val="none" w:sz="0" w:space="0" w:color="auto"/>
      </w:divBdr>
    </w:div>
    <w:div w:id="662246718">
      <w:marLeft w:val="640"/>
      <w:marRight w:val="0"/>
      <w:marTop w:val="0"/>
      <w:marBottom w:val="0"/>
      <w:divBdr>
        <w:top w:val="none" w:sz="0" w:space="0" w:color="auto"/>
        <w:left w:val="none" w:sz="0" w:space="0" w:color="auto"/>
        <w:bottom w:val="none" w:sz="0" w:space="0" w:color="auto"/>
        <w:right w:val="none" w:sz="0" w:space="0" w:color="auto"/>
      </w:divBdr>
    </w:div>
    <w:div w:id="662511087">
      <w:marLeft w:val="640"/>
      <w:marRight w:val="0"/>
      <w:marTop w:val="0"/>
      <w:marBottom w:val="0"/>
      <w:divBdr>
        <w:top w:val="none" w:sz="0" w:space="0" w:color="auto"/>
        <w:left w:val="none" w:sz="0" w:space="0" w:color="auto"/>
        <w:bottom w:val="none" w:sz="0" w:space="0" w:color="auto"/>
        <w:right w:val="none" w:sz="0" w:space="0" w:color="auto"/>
      </w:divBdr>
    </w:div>
    <w:div w:id="663045084">
      <w:marLeft w:val="640"/>
      <w:marRight w:val="0"/>
      <w:marTop w:val="0"/>
      <w:marBottom w:val="0"/>
      <w:divBdr>
        <w:top w:val="none" w:sz="0" w:space="0" w:color="auto"/>
        <w:left w:val="none" w:sz="0" w:space="0" w:color="auto"/>
        <w:bottom w:val="none" w:sz="0" w:space="0" w:color="auto"/>
        <w:right w:val="none" w:sz="0" w:space="0" w:color="auto"/>
      </w:divBdr>
    </w:div>
    <w:div w:id="663775551">
      <w:marLeft w:val="640"/>
      <w:marRight w:val="0"/>
      <w:marTop w:val="0"/>
      <w:marBottom w:val="0"/>
      <w:divBdr>
        <w:top w:val="none" w:sz="0" w:space="0" w:color="auto"/>
        <w:left w:val="none" w:sz="0" w:space="0" w:color="auto"/>
        <w:bottom w:val="none" w:sz="0" w:space="0" w:color="auto"/>
        <w:right w:val="none" w:sz="0" w:space="0" w:color="auto"/>
      </w:divBdr>
    </w:div>
    <w:div w:id="664629723">
      <w:marLeft w:val="640"/>
      <w:marRight w:val="0"/>
      <w:marTop w:val="0"/>
      <w:marBottom w:val="0"/>
      <w:divBdr>
        <w:top w:val="none" w:sz="0" w:space="0" w:color="auto"/>
        <w:left w:val="none" w:sz="0" w:space="0" w:color="auto"/>
        <w:bottom w:val="none" w:sz="0" w:space="0" w:color="auto"/>
        <w:right w:val="none" w:sz="0" w:space="0" w:color="auto"/>
      </w:divBdr>
    </w:div>
    <w:div w:id="666131456">
      <w:marLeft w:val="640"/>
      <w:marRight w:val="0"/>
      <w:marTop w:val="0"/>
      <w:marBottom w:val="0"/>
      <w:divBdr>
        <w:top w:val="none" w:sz="0" w:space="0" w:color="auto"/>
        <w:left w:val="none" w:sz="0" w:space="0" w:color="auto"/>
        <w:bottom w:val="none" w:sz="0" w:space="0" w:color="auto"/>
        <w:right w:val="none" w:sz="0" w:space="0" w:color="auto"/>
      </w:divBdr>
    </w:div>
    <w:div w:id="666716576">
      <w:marLeft w:val="640"/>
      <w:marRight w:val="0"/>
      <w:marTop w:val="0"/>
      <w:marBottom w:val="0"/>
      <w:divBdr>
        <w:top w:val="none" w:sz="0" w:space="0" w:color="auto"/>
        <w:left w:val="none" w:sz="0" w:space="0" w:color="auto"/>
        <w:bottom w:val="none" w:sz="0" w:space="0" w:color="auto"/>
        <w:right w:val="none" w:sz="0" w:space="0" w:color="auto"/>
      </w:divBdr>
    </w:div>
    <w:div w:id="667556988">
      <w:marLeft w:val="640"/>
      <w:marRight w:val="0"/>
      <w:marTop w:val="0"/>
      <w:marBottom w:val="0"/>
      <w:divBdr>
        <w:top w:val="none" w:sz="0" w:space="0" w:color="auto"/>
        <w:left w:val="none" w:sz="0" w:space="0" w:color="auto"/>
        <w:bottom w:val="none" w:sz="0" w:space="0" w:color="auto"/>
        <w:right w:val="none" w:sz="0" w:space="0" w:color="auto"/>
      </w:divBdr>
    </w:div>
    <w:div w:id="667635912">
      <w:marLeft w:val="640"/>
      <w:marRight w:val="0"/>
      <w:marTop w:val="0"/>
      <w:marBottom w:val="0"/>
      <w:divBdr>
        <w:top w:val="none" w:sz="0" w:space="0" w:color="auto"/>
        <w:left w:val="none" w:sz="0" w:space="0" w:color="auto"/>
        <w:bottom w:val="none" w:sz="0" w:space="0" w:color="auto"/>
        <w:right w:val="none" w:sz="0" w:space="0" w:color="auto"/>
      </w:divBdr>
    </w:div>
    <w:div w:id="668019682">
      <w:marLeft w:val="640"/>
      <w:marRight w:val="0"/>
      <w:marTop w:val="0"/>
      <w:marBottom w:val="0"/>
      <w:divBdr>
        <w:top w:val="none" w:sz="0" w:space="0" w:color="auto"/>
        <w:left w:val="none" w:sz="0" w:space="0" w:color="auto"/>
        <w:bottom w:val="none" w:sz="0" w:space="0" w:color="auto"/>
        <w:right w:val="none" w:sz="0" w:space="0" w:color="auto"/>
      </w:divBdr>
    </w:div>
    <w:div w:id="668675371">
      <w:marLeft w:val="640"/>
      <w:marRight w:val="0"/>
      <w:marTop w:val="0"/>
      <w:marBottom w:val="0"/>
      <w:divBdr>
        <w:top w:val="none" w:sz="0" w:space="0" w:color="auto"/>
        <w:left w:val="none" w:sz="0" w:space="0" w:color="auto"/>
        <w:bottom w:val="none" w:sz="0" w:space="0" w:color="auto"/>
        <w:right w:val="none" w:sz="0" w:space="0" w:color="auto"/>
      </w:divBdr>
    </w:div>
    <w:div w:id="668754697">
      <w:marLeft w:val="640"/>
      <w:marRight w:val="0"/>
      <w:marTop w:val="0"/>
      <w:marBottom w:val="0"/>
      <w:divBdr>
        <w:top w:val="none" w:sz="0" w:space="0" w:color="auto"/>
        <w:left w:val="none" w:sz="0" w:space="0" w:color="auto"/>
        <w:bottom w:val="none" w:sz="0" w:space="0" w:color="auto"/>
        <w:right w:val="none" w:sz="0" w:space="0" w:color="auto"/>
      </w:divBdr>
    </w:div>
    <w:div w:id="668870945">
      <w:marLeft w:val="640"/>
      <w:marRight w:val="0"/>
      <w:marTop w:val="0"/>
      <w:marBottom w:val="0"/>
      <w:divBdr>
        <w:top w:val="none" w:sz="0" w:space="0" w:color="auto"/>
        <w:left w:val="none" w:sz="0" w:space="0" w:color="auto"/>
        <w:bottom w:val="none" w:sz="0" w:space="0" w:color="auto"/>
        <w:right w:val="none" w:sz="0" w:space="0" w:color="auto"/>
      </w:divBdr>
    </w:div>
    <w:div w:id="669450244">
      <w:marLeft w:val="640"/>
      <w:marRight w:val="0"/>
      <w:marTop w:val="0"/>
      <w:marBottom w:val="0"/>
      <w:divBdr>
        <w:top w:val="none" w:sz="0" w:space="0" w:color="auto"/>
        <w:left w:val="none" w:sz="0" w:space="0" w:color="auto"/>
        <w:bottom w:val="none" w:sz="0" w:space="0" w:color="auto"/>
        <w:right w:val="none" w:sz="0" w:space="0" w:color="auto"/>
      </w:divBdr>
    </w:div>
    <w:div w:id="669524578">
      <w:marLeft w:val="640"/>
      <w:marRight w:val="0"/>
      <w:marTop w:val="0"/>
      <w:marBottom w:val="0"/>
      <w:divBdr>
        <w:top w:val="none" w:sz="0" w:space="0" w:color="auto"/>
        <w:left w:val="none" w:sz="0" w:space="0" w:color="auto"/>
        <w:bottom w:val="none" w:sz="0" w:space="0" w:color="auto"/>
        <w:right w:val="none" w:sz="0" w:space="0" w:color="auto"/>
      </w:divBdr>
    </w:div>
    <w:div w:id="669987095">
      <w:marLeft w:val="640"/>
      <w:marRight w:val="0"/>
      <w:marTop w:val="0"/>
      <w:marBottom w:val="0"/>
      <w:divBdr>
        <w:top w:val="none" w:sz="0" w:space="0" w:color="auto"/>
        <w:left w:val="none" w:sz="0" w:space="0" w:color="auto"/>
        <w:bottom w:val="none" w:sz="0" w:space="0" w:color="auto"/>
        <w:right w:val="none" w:sz="0" w:space="0" w:color="auto"/>
      </w:divBdr>
    </w:div>
    <w:div w:id="670911761">
      <w:marLeft w:val="640"/>
      <w:marRight w:val="0"/>
      <w:marTop w:val="0"/>
      <w:marBottom w:val="0"/>
      <w:divBdr>
        <w:top w:val="none" w:sz="0" w:space="0" w:color="auto"/>
        <w:left w:val="none" w:sz="0" w:space="0" w:color="auto"/>
        <w:bottom w:val="none" w:sz="0" w:space="0" w:color="auto"/>
        <w:right w:val="none" w:sz="0" w:space="0" w:color="auto"/>
      </w:divBdr>
    </w:div>
    <w:div w:id="670914135">
      <w:marLeft w:val="640"/>
      <w:marRight w:val="0"/>
      <w:marTop w:val="0"/>
      <w:marBottom w:val="0"/>
      <w:divBdr>
        <w:top w:val="none" w:sz="0" w:space="0" w:color="auto"/>
        <w:left w:val="none" w:sz="0" w:space="0" w:color="auto"/>
        <w:bottom w:val="none" w:sz="0" w:space="0" w:color="auto"/>
        <w:right w:val="none" w:sz="0" w:space="0" w:color="auto"/>
      </w:divBdr>
    </w:div>
    <w:div w:id="671448697">
      <w:marLeft w:val="640"/>
      <w:marRight w:val="0"/>
      <w:marTop w:val="0"/>
      <w:marBottom w:val="0"/>
      <w:divBdr>
        <w:top w:val="none" w:sz="0" w:space="0" w:color="auto"/>
        <w:left w:val="none" w:sz="0" w:space="0" w:color="auto"/>
        <w:bottom w:val="none" w:sz="0" w:space="0" w:color="auto"/>
        <w:right w:val="none" w:sz="0" w:space="0" w:color="auto"/>
      </w:divBdr>
    </w:div>
    <w:div w:id="671834081">
      <w:marLeft w:val="640"/>
      <w:marRight w:val="0"/>
      <w:marTop w:val="0"/>
      <w:marBottom w:val="0"/>
      <w:divBdr>
        <w:top w:val="none" w:sz="0" w:space="0" w:color="auto"/>
        <w:left w:val="none" w:sz="0" w:space="0" w:color="auto"/>
        <w:bottom w:val="none" w:sz="0" w:space="0" w:color="auto"/>
        <w:right w:val="none" w:sz="0" w:space="0" w:color="auto"/>
      </w:divBdr>
    </w:div>
    <w:div w:id="672496373">
      <w:marLeft w:val="640"/>
      <w:marRight w:val="0"/>
      <w:marTop w:val="0"/>
      <w:marBottom w:val="0"/>
      <w:divBdr>
        <w:top w:val="none" w:sz="0" w:space="0" w:color="auto"/>
        <w:left w:val="none" w:sz="0" w:space="0" w:color="auto"/>
        <w:bottom w:val="none" w:sz="0" w:space="0" w:color="auto"/>
        <w:right w:val="none" w:sz="0" w:space="0" w:color="auto"/>
      </w:divBdr>
    </w:div>
    <w:div w:id="672533084">
      <w:marLeft w:val="640"/>
      <w:marRight w:val="0"/>
      <w:marTop w:val="0"/>
      <w:marBottom w:val="0"/>
      <w:divBdr>
        <w:top w:val="none" w:sz="0" w:space="0" w:color="auto"/>
        <w:left w:val="none" w:sz="0" w:space="0" w:color="auto"/>
        <w:bottom w:val="none" w:sz="0" w:space="0" w:color="auto"/>
        <w:right w:val="none" w:sz="0" w:space="0" w:color="auto"/>
      </w:divBdr>
    </w:div>
    <w:div w:id="673261147">
      <w:marLeft w:val="640"/>
      <w:marRight w:val="0"/>
      <w:marTop w:val="0"/>
      <w:marBottom w:val="0"/>
      <w:divBdr>
        <w:top w:val="none" w:sz="0" w:space="0" w:color="auto"/>
        <w:left w:val="none" w:sz="0" w:space="0" w:color="auto"/>
        <w:bottom w:val="none" w:sz="0" w:space="0" w:color="auto"/>
        <w:right w:val="none" w:sz="0" w:space="0" w:color="auto"/>
      </w:divBdr>
    </w:div>
    <w:div w:id="674189842">
      <w:marLeft w:val="640"/>
      <w:marRight w:val="0"/>
      <w:marTop w:val="0"/>
      <w:marBottom w:val="0"/>
      <w:divBdr>
        <w:top w:val="none" w:sz="0" w:space="0" w:color="auto"/>
        <w:left w:val="none" w:sz="0" w:space="0" w:color="auto"/>
        <w:bottom w:val="none" w:sz="0" w:space="0" w:color="auto"/>
        <w:right w:val="none" w:sz="0" w:space="0" w:color="auto"/>
      </w:divBdr>
    </w:div>
    <w:div w:id="674234376">
      <w:marLeft w:val="640"/>
      <w:marRight w:val="0"/>
      <w:marTop w:val="0"/>
      <w:marBottom w:val="0"/>
      <w:divBdr>
        <w:top w:val="none" w:sz="0" w:space="0" w:color="auto"/>
        <w:left w:val="none" w:sz="0" w:space="0" w:color="auto"/>
        <w:bottom w:val="none" w:sz="0" w:space="0" w:color="auto"/>
        <w:right w:val="none" w:sz="0" w:space="0" w:color="auto"/>
      </w:divBdr>
    </w:div>
    <w:div w:id="675107903">
      <w:marLeft w:val="640"/>
      <w:marRight w:val="0"/>
      <w:marTop w:val="0"/>
      <w:marBottom w:val="0"/>
      <w:divBdr>
        <w:top w:val="none" w:sz="0" w:space="0" w:color="auto"/>
        <w:left w:val="none" w:sz="0" w:space="0" w:color="auto"/>
        <w:bottom w:val="none" w:sz="0" w:space="0" w:color="auto"/>
        <w:right w:val="none" w:sz="0" w:space="0" w:color="auto"/>
      </w:divBdr>
    </w:div>
    <w:div w:id="675349076">
      <w:marLeft w:val="640"/>
      <w:marRight w:val="0"/>
      <w:marTop w:val="0"/>
      <w:marBottom w:val="0"/>
      <w:divBdr>
        <w:top w:val="none" w:sz="0" w:space="0" w:color="auto"/>
        <w:left w:val="none" w:sz="0" w:space="0" w:color="auto"/>
        <w:bottom w:val="none" w:sz="0" w:space="0" w:color="auto"/>
        <w:right w:val="none" w:sz="0" w:space="0" w:color="auto"/>
      </w:divBdr>
    </w:div>
    <w:div w:id="675689985">
      <w:marLeft w:val="640"/>
      <w:marRight w:val="0"/>
      <w:marTop w:val="0"/>
      <w:marBottom w:val="0"/>
      <w:divBdr>
        <w:top w:val="none" w:sz="0" w:space="0" w:color="auto"/>
        <w:left w:val="none" w:sz="0" w:space="0" w:color="auto"/>
        <w:bottom w:val="none" w:sz="0" w:space="0" w:color="auto"/>
        <w:right w:val="none" w:sz="0" w:space="0" w:color="auto"/>
      </w:divBdr>
    </w:div>
    <w:div w:id="677393544">
      <w:marLeft w:val="640"/>
      <w:marRight w:val="0"/>
      <w:marTop w:val="0"/>
      <w:marBottom w:val="0"/>
      <w:divBdr>
        <w:top w:val="none" w:sz="0" w:space="0" w:color="auto"/>
        <w:left w:val="none" w:sz="0" w:space="0" w:color="auto"/>
        <w:bottom w:val="none" w:sz="0" w:space="0" w:color="auto"/>
        <w:right w:val="none" w:sz="0" w:space="0" w:color="auto"/>
      </w:divBdr>
    </w:div>
    <w:div w:id="678506829">
      <w:marLeft w:val="640"/>
      <w:marRight w:val="0"/>
      <w:marTop w:val="0"/>
      <w:marBottom w:val="0"/>
      <w:divBdr>
        <w:top w:val="none" w:sz="0" w:space="0" w:color="auto"/>
        <w:left w:val="none" w:sz="0" w:space="0" w:color="auto"/>
        <w:bottom w:val="none" w:sz="0" w:space="0" w:color="auto"/>
        <w:right w:val="none" w:sz="0" w:space="0" w:color="auto"/>
      </w:divBdr>
    </w:div>
    <w:div w:id="678891283">
      <w:marLeft w:val="640"/>
      <w:marRight w:val="0"/>
      <w:marTop w:val="0"/>
      <w:marBottom w:val="0"/>
      <w:divBdr>
        <w:top w:val="none" w:sz="0" w:space="0" w:color="auto"/>
        <w:left w:val="none" w:sz="0" w:space="0" w:color="auto"/>
        <w:bottom w:val="none" w:sz="0" w:space="0" w:color="auto"/>
        <w:right w:val="none" w:sz="0" w:space="0" w:color="auto"/>
      </w:divBdr>
    </w:div>
    <w:div w:id="679283549">
      <w:marLeft w:val="640"/>
      <w:marRight w:val="0"/>
      <w:marTop w:val="0"/>
      <w:marBottom w:val="0"/>
      <w:divBdr>
        <w:top w:val="none" w:sz="0" w:space="0" w:color="auto"/>
        <w:left w:val="none" w:sz="0" w:space="0" w:color="auto"/>
        <w:bottom w:val="none" w:sz="0" w:space="0" w:color="auto"/>
        <w:right w:val="none" w:sz="0" w:space="0" w:color="auto"/>
      </w:divBdr>
    </w:div>
    <w:div w:id="679894500">
      <w:marLeft w:val="640"/>
      <w:marRight w:val="0"/>
      <w:marTop w:val="0"/>
      <w:marBottom w:val="0"/>
      <w:divBdr>
        <w:top w:val="none" w:sz="0" w:space="0" w:color="auto"/>
        <w:left w:val="none" w:sz="0" w:space="0" w:color="auto"/>
        <w:bottom w:val="none" w:sz="0" w:space="0" w:color="auto"/>
        <w:right w:val="none" w:sz="0" w:space="0" w:color="auto"/>
      </w:divBdr>
    </w:div>
    <w:div w:id="680012841">
      <w:marLeft w:val="640"/>
      <w:marRight w:val="0"/>
      <w:marTop w:val="0"/>
      <w:marBottom w:val="0"/>
      <w:divBdr>
        <w:top w:val="none" w:sz="0" w:space="0" w:color="auto"/>
        <w:left w:val="none" w:sz="0" w:space="0" w:color="auto"/>
        <w:bottom w:val="none" w:sz="0" w:space="0" w:color="auto"/>
        <w:right w:val="none" w:sz="0" w:space="0" w:color="auto"/>
      </w:divBdr>
    </w:div>
    <w:div w:id="680202325">
      <w:marLeft w:val="640"/>
      <w:marRight w:val="0"/>
      <w:marTop w:val="0"/>
      <w:marBottom w:val="0"/>
      <w:divBdr>
        <w:top w:val="none" w:sz="0" w:space="0" w:color="auto"/>
        <w:left w:val="none" w:sz="0" w:space="0" w:color="auto"/>
        <w:bottom w:val="none" w:sz="0" w:space="0" w:color="auto"/>
        <w:right w:val="none" w:sz="0" w:space="0" w:color="auto"/>
      </w:divBdr>
    </w:div>
    <w:div w:id="680544020">
      <w:marLeft w:val="640"/>
      <w:marRight w:val="0"/>
      <w:marTop w:val="0"/>
      <w:marBottom w:val="0"/>
      <w:divBdr>
        <w:top w:val="none" w:sz="0" w:space="0" w:color="auto"/>
        <w:left w:val="none" w:sz="0" w:space="0" w:color="auto"/>
        <w:bottom w:val="none" w:sz="0" w:space="0" w:color="auto"/>
        <w:right w:val="none" w:sz="0" w:space="0" w:color="auto"/>
      </w:divBdr>
    </w:div>
    <w:div w:id="681393267">
      <w:marLeft w:val="640"/>
      <w:marRight w:val="0"/>
      <w:marTop w:val="0"/>
      <w:marBottom w:val="0"/>
      <w:divBdr>
        <w:top w:val="none" w:sz="0" w:space="0" w:color="auto"/>
        <w:left w:val="none" w:sz="0" w:space="0" w:color="auto"/>
        <w:bottom w:val="none" w:sz="0" w:space="0" w:color="auto"/>
        <w:right w:val="none" w:sz="0" w:space="0" w:color="auto"/>
      </w:divBdr>
    </w:div>
    <w:div w:id="681859773">
      <w:marLeft w:val="640"/>
      <w:marRight w:val="0"/>
      <w:marTop w:val="0"/>
      <w:marBottom w:val="0"/>
      <w:divBdr>
        <w:top w:val="none" w:sz="0" w:space="0" w:color="auto"/>
        <w:left w:val="none" w:sz="0" w:space="0" w:color="auto"/>
        <w:bottom w:val="none" w:sz="0" w:space="0" w:color="auto"/>
        <w:right w:val="none" w:sz="0" w:space="0" w:color="auto"/>
      </w:divBdr>
    </w:div>
    <w:div w:id="682129393">
      <w:marLeft w:val="640"/>
      <w:marRight w:val="0"/>
      <w:marTop w:val="0"/>
      <w:marBottom w:val="0"/>
      <w:divBdr>
        <w:top w:val="none" w:sz="0" w:space="0" w:color="auto"/>
        <w:left w:val="none" w:sz="0" w:space="0" w:color="auto"/>
        <w:bottom w:val="none" w:sz="0" w:space="0" w:color="auto"/>
        <w:right w:val="none" w:sz="0" w:space="0" w:color="auto"/>
      </w:divBdr>
    </w:div>
    <w:div w:id="682245334">
      <w:marLeft w:val="640"/>
      <w:marRight w:val="0"/>
      <w:marTop w:val="0"/>
      <w:marBottom w:val="0"/>
      <w:divBdr>
        <w:top w:val="none" w:sz="0" w:space="0" w:color="auto"/>
        <w:left w:val="none" w:sz="0" w:space="0" w:color="auto"/>
        <w:bottom w:val="none" w:sz="0" w:space="0" w:color="auto"/>
        <w:right w:val="none" w:sz="0" w:space="0" w:color="auto"/>
      </w:divBdr>
    </w:div>
    <w:div w:id="682585103">
      <w:marLeft w:val="640"/>
      <w:marRight w:val="0"/>
      <w:marTop w:val="0"/>
      <w:marBottom w:val="0"/>
      <w:divBdr>
        <w:top w:val="none" w:sz="0" w:space="0" w:color="auto"/>
        <w:left w:val="none" w:sz="0" w:space="0" w:color="auto"/>
        <w:bottom w:val="none" w:sz="0" w:space="0" w:color="auto"/>
        <w:right w:val="none" w:sz="0" w:space="0" w:color="auto"/>
      </w:divBdr>
    </w:div>
    <w:div w:id="683089722">
      <w:marLeft w:val="640"/>
      <w:marRight w:val="0"/>
      <w:marTop w:val="0"/>
      <w:marBottom w:val="0"/>
      <w:divBdr>
        <w:top w:val="none" w:sz="0" w:space="0" w:color="auto"/>
        <w:left w:val="none" w:sz="0" w:space="0" w:color="auto"/>
        <w:bottom w:val="none" w:sz="0" w:space="0" w:color="auto"/>
        <w:right w:val="none" w:sz="0" w:space="0" w:color="auto"/>
      </w:divBdr>
    </w:div>
    <w:div w:id="683826663">
      <w:marLeft w:val="640"/>
      <w:marRight w:val="0"/>
      <w:marTop w:val="0"/>
      <w:marBottom w:val="0"/>
      <w:divBdr>
        <w:top w:val="none" w:sz="0" w:space="0" w:color="auto"/>
        <w:left w:val="none" w:sz="0" w:space="0" w:color="auto"/>
        <w:bottom w:val="none" w:sz="0" w:space="0" w:color="auto"/>
        <w:right w:val="none" w:sz="0" w:space="0" w:color="auto"/>
      </w:divBdr>
    </w:div>
    <w:div w:id="684330072">
      <w:marLeft w:val="640"/>
      <w:marRight w:val="0"/>
      <w:marTop w:val="0"/>
      <w:marBottom w:val="0"/>
      <w:divBdr>
        <w:top w:val="none" w:sz="0" w:space="0" w:color="auto"/>
        <w:left w:val="none" w:sz="0" w:space="0" w:color="auto"/>
        <w:bottom w:val="none" w:sz="0" w:space="0" w:color="auto"/>
        <w:right w:val="none" w:sz="0" w:space="0" w:color="auto"/>
      </w:divBdr>
    </w:div>
    <w:div w:id="684868554">
      <w:marLeft w:val="640"/>
      <w:marRight w:val="0"/>
      <w:marTop w:val="0"/>
      <w:marBottom w:val="0"/>
      <w:divBdr>
        <w:top w:val="none" w:sz="0" w:space="0" w:color="auto"/>
        <w:left w:val="none" w:sz="0" w:space="0" w:color="auto"/>
        <w:bottom w:val="none" w:sz="0" w:space="0" w:color="auto"/>
        <w:right w:val="none" w:sz="0" w:space="0" w:color="auto"/>
      </w:divBdr>
    </w:div>
    <w:div w:id="685717988">
      <w:marLeft w:val="640"/>
      <w:marRight w:val="0"/>
      <w:marTop w:val="0"/>
      <w:marBottom w:val="0"/>
      <w:divBdr>
        <w:top w:val="none" w:sz="0" w:space="0" w:color="auto"/>
        <w:left w:val="none" w:sz="0" w:space="0" w:color="auto"/>
        <w:bottom w:val="none" w:sz="0" w:space="0" w:color="auto"/>
        <w:right w:val="none" w:sz="0" w:space="0" w:color="auto"/>
      </w:divBdr>
    </w:div>
    <w:div w:id="687416632">
      <w:marLeft w:val="640"/>
      <w:marRight w:val="0"/>
      <w:marTop w:val="0"/>
      <w:marBottom w:val="0"/>
      <w:divBdr>
        <w:top w:val="none" w:sz="0" w:space="0" w:color="auto"/>
        <w:left w:val="none" w:sz="0" w:space="0" w:color="auto"/>
        <w:bottom w:val="none" w:sz="0" w:space="0" w:color="auto"/>
        <w:right w:val="none" w:sz="0" w:space="0" w:color="auto"/>
      </w:divBdr>
    </w:div>
    <w:div w:id="687878010">
      <w:marLeft w:val="640"/>
      <w:marRight w:val="0"/>
      <w:marTop w:val="0"/>
      <w:marBottom w:val="0"/>
      <w:divBdr>
        <w:top w:val="none" w:sz="0" w:space="0" w:color="auto"/>
        <w:left w:val="none" w:sz="0" w:space="0" w:color="auto"/>
        <w:bottom w:val="none" w:sz="0" w:space="0" w:color="auto"/>
        <w:right w:val="none" w:sz="0" w:space="0" w:color="auto"/>
      </w:divBdr>
    </w:div>
    <w:div w:id="688214694">
      <w:marLeft w:val="640"/>
      <w:marRight w:val="0"/>
      <w:marTop w:val="0"/>
      <w:marBottom w:val="0"/>
      <w:divBdr>
        <w:top w:val="none" w:sz="0" w:space="0" w:color="auto"/>
        <w:left w:val="none" w:sz="0" w:space="0" w:color="auto"/>
        <w:bottom w:val="none" w:sz="0" w:space="0" w:color="auto"/>
        <w:right w:val="none" w:sz="0" w:space="0" w:color="auto"/>
      </w:divBdr>
    </w:div>
    <w:div w:id="688263717">
      <w:marLeft w:val="640"/>
      <w:marRight w:val="0"/>
      <w:marTop w:val="0"/>
      <w:marBottom w:val="0"/>
      <w:divBdr>
        <w:top w:val="none" w:sz="0" w:space="0" w:color="auto"/>
        <w:left w:val="none" w:sz="0" w:space="0" w:color="auto"/>
        <w:bottom w:val="none" w:sz="0" w:space="0" w:color="auto"/>
        <w:right w:val="none" w:sz="0" w:space="0" w:color="auto"/>
      </w:divBdr>
    </w:div>
    <w:div w:id="689455613">
      <w:marLeft w:val="640"/>
      <w:marRight w:val="0"/>
      <w:marTop w:val="0"/>
      <w:marBottom w:val="0"/>
      <w:divBdr>
        <w:top w:val="none" w:sz="0" w:space="0" w:color="auto"/>
        <w:left w:val="none" w:sz="0" w:space="0" w:color="auto"/>
        <w:bottom w:val="none" w:sz="0" w:space="0" w:color="auto"/>
        <w:right w:val="none" w:sz="0" w:space="0" w:color="auto"/>
      </w:divBdr>
    </w:div>
    <w:div w:id="690184071">
      <w:marLeft w:val="640"/>
      <w:marRight w:val="0"/>
      <w:marTop w:val="0"/>
      <w:marBottom w:val="0"/>
      <w:divBdr>
        <w:top w:val="none" w:sz="0" w:space="0" w:color="auto"/>
        <w:left w:val="none" w:sz="0" w:space="0" w:color="auto"/>
        <w:bottom w:val="none" w:sz="0" w:space="0" w:color="auto"/>
        <w:right w:val="none" w:sz="0" w:space="0" w:color="auto"/>
      </w:divBdr>
    </w:div>
    <w:div w:id="690304924">
      <w:marLeft w:val="640"/>
      <w:marRight w:val="0"/>
      <w:marTop w:val="0"/>
      <w:marBottom w:val="0"/>
      <w:divBdr>
        <w:top w:val="none" w:sz="0" w:space="0" w:color="auto"/>
        <w:left w:val="none" w:sz="0" w:space="0" w:color="auto"/>
        <w:bottom w:val="none" w:sz="0" w:space="0" w:color="auto"/>
        <w:right w:val="none" w:sz="0" w:space="0" w:color="auto"/>
      </w:divBdr>
    </w:div>
    <w:div w:id="691031538">
      <w:marLeft w:val="640"/>
      <w:marRight w:val="0"/>
      <w:marTop w:val="0"/>
      <w:marBottom w:val="0"/>
      <w:divBdr>
        <w:top w:val="none" w:sz="0" w:space="0" w:color="auto"/>
        <w:left w:val="none" w:sz="0" w:space="0" w:color="auto"/>
        <w:bottom w:val="none" w:sz="0" w:space="0" w:color="auto"/>
        <w:right w:val="none" w:sz="0" w:space="0" w:color="auto"/>
      </w:divBdr>
    </w:div>
    <w:div w:id="691734772">
      <w:marLeft w:val="640"/>
      <w:marRight w:val="0"/>
      <w:marTop w:val="0"/>
      <w:marBottom w:val="0"/>
      <w:divBdr>
        <w:top w:val="none" w:sz="0" w:space="0" w:color="auto"/>
        <w:left w:val="none" w:sz="0" w:space="0" w:color="auto"/>
        <w:bottom w:val="none" w:sz="0" w:space="0" w:color="auto"/>
        <w:right w:val="none" w:sz="0" w:space="0" w:color="auto"/>
      </w:divBdr>
    </w:div>
    <w:div w:id="692418619">
      <w:marLeft w:val="640"/>
      <w:marRight w:val="0"/>
      <w:marTop w:val="0"/>
      <w:marBottom w:val="0"/>
      <w:divBdr>
        <w:top w:val="none" w:sz="0" w:space="0" w:color="auto"/>
        <w:left w:val="none" w:sz="0" w:space="0" w:color="auto"/>
        <w:bottom w:val="none" w:sz="0" w:space="0" w:color="auto"/>
        <w:right w:val="none" w:sz="0" w:space="0" w:color="auto"/>
      </w:divBdr>
    </w:div>
    <w:div w:id="692458265">
      <w:marLeft w:val="640"/>
      <w:marRight w:val="0"/>
      <w:marTop w:val="0"/>
      <w:marBottom w:val="0"/>
      <w:divBdr>
        <w:top w:val="none" w:sz="0" w:space="0" w:color="auto"/>
        <w:left w:val="none" w:sz="0" w:space="0" w:color="auto"/>
        <w:bottom w:val="none" w:sz="0" w:space="0" w:color="auto"/>
        <w:right w:val="none" w:sz="0" w:space="0" w:color="auto"/>
      </w:divBdr>
    </w:div>
    <w:div w:id="693582470">
      <w:marLeft w:val="640"/>
      <w:marRight w:val="0"/>
      <w:marTop w:val="0"/>
      <w:marBottom w:val="0"/>
      <w:divBdr>
        <w:top w:val="none" w:sz="0" w:space="0" w:color="auto"/>
        <w:left w:val="none" w:sz="0" w:space="0" w:color="auto"/>
        <w:bottom w:val="none" w:sz="0" w:space="0" w:color="auto"/>
        <w:right w:val="none" w:sz="0" w:space="0" w:color="auto"/>
      </w:divBdr>
    </w:div>
    <w:div w:id="693774298">
      <w:marLeft w:val="640"/>
      <w:marRight w:val="0"/>
      <w:marTop w:val="0"/>
      <w:marBottom w:val="0"/>
      <w:divBdr>
        <w:top w:val="none" w:sz="0" w:space="0" w:color="auto"/>
        <w:left w:val="none" w:sz="0" w:space="0" w:color="auto"/>
        <w:bottom w:val="none" w:sz="0" w:space="0" w:color="auto"/>
        <w:right w:val="none" w:sz="0" w:space="0" w:color="auto"/>
      </w:divBdr>
    </w:div>
    <w:div w:id="694505966">
      <w:marLeft w:val="640"/>
      <w:marRight w:val="0"/>
      <w:marTop w:val="0"/>
      <w:marBottom w:val="0"/>
      <w:divBdr>
        <w:top w:val="none" w:sz="0" w:space="0" w:color="auto"/>
        <w:left w:val="none" w:sz="0" w:space="0" w:color="auto"/>
        <w:bottom w:val="none" w:sz="0" w:space="0" w:color="auto"/>
        <w:right w:val="none" w:sz="0" w:space="0" w:color="auto"/>
      </w:divBdr>
    </w:div>
    <w:div w:id="694691299">
      <w:marLeft w:val="640"/>
      <w:marRight w:val="0"/>
      <w:marTop w:val="0"/>
      <w:marBottom w:val="0"/>
      <w:divBdr>
        <w:top w:val="none" w:sz="0" w:space="0" w:color="auto"/>
        <w:left w:val="none" w:sz="0" w:space="0" w:color="auto"/>
        <w:bottom w:val="none" w:sz="0" w:space="0" w:color="auto"/>
        <w:right w:val="none" w:sz="0" w:space="0" w:color="auto"/>
      </w:divBdr>
    </w:div>
    <w:div w:id="694693269">
      <w:marLeft w:val="640"/>
      <w:marRight w:val="0"/>
      <w:marTop w:val="0"/>
      <w:marBottom w:val="0"/>
      <w:divBdr>
        <w:top w:val="none" w:sz="0" w:space="0" w:color="auto"/>
        <w:left w:val="none" w:sz="0" w:space="0" w:color="auto"/>
        <w:bottom w:val="none" w:sz="0" w:space="0" w:color="auto"/>
        <w:right w:val="none" w:sz="0" w:space="0" w:color="auto"/>
      </w:divBdr>
    </w:div>
    <w:div w:id="694694078">
      <w:marLeft w:val="640"/>
      <w:marRight w:val="0"/>
      <w:marTop w:val="0"/>
      <w:marBottom w:val="0"/>
      <w:divBdr>
        <w:top w:val="none" w:sz="0" w:space="0" w:color="auto"/>
        <w:left w:val="none" w:sz="0" w:space="0" w:color="auto"/>
        <w:bottom w:val="none" w:sz="0" w:space="0" w:color="auto"/>
        <w:right w:val="none" w:sz="0" w:space="0" w:color="auto"/>
      </w:divBdr>
    </w:div>
    <w:div w:id="694966146">
      <w:marLeft w:val="640"/>
      <w:marRight w:val="0"/>
      <w:marTop w:val="0"/>
      <w:marBottom w:val="0"/>
      <w:divBdr>
        <w:top w:val="none" w:sz="0" w:space="0" w:color="auto"/>
        <w:left w:val="none" w:sz="0" w:space="0" w:color="auto"/>
        <w:bottom w:val="none" w:sz="0" w:space="0" w:color="auto"/>
        <w:right w:val="none" w:sz="0" w:space="0" w:color="auto"/>
      </w:divBdr>
    </w:div>
    <w:div w:id="695622607">
      <w:marLeft w:val="640"/>
      <w:marRight w:val="0"/>
      <w:marTop w:val="0"/>
      <w:marBottom w:val="0"/>
      <w:divBdr>
        <w:top w:val="none" w:sz="0" w:space="0" w:color="auto"/>
        <w:left w:val="none" w:sz="0" w:space="0" w:color="auto"/>
        <w:bottom w:val="none" w:sz="0" w:space="0" w:color="auto"/>
        <w:right w:val="none" w:sz="0" w:space="0" w:color="auto"/>
      </w:divBdr>
    </w:div>
    <w:div w:id="697439191">
      <w:marLeft w:val="640"/>
      <w:marRight w:val="0"/>
      <w:marTop w:val="0"/>
      <w:marBottom w:val="0"/>
      <w:divBdr>
        <w:top w:val="none" w:sz="0" w:space="0" w:color="auto"/>
        <w:left w:val="none" w:sz="0" w:space="0" w:color="auto"/>
        <w:bottom w:val="none" w:sz="0" w:space="0" w:color="auto"/>
        <w:right w:val="none" w:sz="0" w:space="0" w:color="auto"/>
      </w:divBdr>
    </w:div>
    <w:div w:id="697777866">
      <w:marLeft w:val="640"/>
      <w:marRight w:val="0"/>
      <w:marTop w:val="0"/>
      <w:marBottom w:val="0"/>
      <w:divBdr>
        <w:top w:val="none" w:sz="0" w:space="0" w:color="auto"/>
        <w:left w:val="none" w:sz="0" w:space="0" w:color="auto"/>
        <w:bottom w:val="none" w:sz="0" w:space="0" w:color="auto"/>
        <w:right w:val="none" w:sz="0" w:space="0" w:color="auto"/>
      </w:divBdr>
    </w:div>
    <w:div w:id="697850661">
      <w:marLeft w:val="640"/>
      <w:marRight w:val="0"/>
      <w:marTop w:val="0"/>
      <w:marBottom w:val="0"/>
      <w:divBdr>
        <w:top w:val="none" w:sz="0" w:space="0" w:color="auto"/>
        <w:left w:val="none" w:sz="0" w:space="0" w:color="auto"/>
        <w:bottom w:val="none" w:sz="0" w:space="0" w:color="auto"/>
        <w:right w:val="none" w:sz="0" w:space="0" w:color="auto"/>
      </w:divBdr>
    </w:div>
    <w:div w:id="698892931">
      <w:marLeft w:val="640"/>
      <w:marRight w:val="0"/>
      <w:marTop w:val="0"/>
      <w:marBottom w:val="0"/>
      <w:divBdr>
        <w:top w:val="none" w:sz="0" w:space="0" w:color="auto"/>
        <w:left w:val="none" w:sz="0" w:space="0" w:color="auto"/>
        <w:bottom w:val="none" w:sz="0" w:space="0" w:color="auto"/>
        <w:right w:val="none" w:sz="0" w:space="0" w:color="auto"/>
      </w:divBdr>
    </w:div>
    <w:div w:id="698967916">
      <w:marLeft w:val="640"/>
      <w:marRight w:val="0"/>
      <w:marTop w:val="0"/>
      <w:marBottom w:val="0"/>
      <w:divBdr>
        <w:top w:val="none" w:sz="0" w:space="0" w:color="auto"/>
        <w:left w:val="none" w:sz="0" w:space="0" w:color="auto"/>
        <w:bottom w:val="none" w:sz="0" w:space="0" w:color="auto"/>
        <w:right w:val="none" w:sz="0" w:space="0" w:color="auto"/>
      </w:divBdr>
    </w:div>
    <w:div w:id="699015609">
      <w:marLeft w:val="640"/>
      <w:marRight w:val="0"/>
      <w:marTop w:val="0"/>
      <w:marBottom w:val="0"/>
      <w:divBdr>
        <w:top w:val="none" w:sz="0" w:space="0" w:color="auto"/>
        <w:left w:val="none" w:sz="0" w:space="0" w:color="auto"/>
        <w:bottom w:val="none" w:sz="0" w:space="0" w:color="auto"/>
        <w:right w:val="none" w:sz="0" w:space="0" w:color="auto"/>
      </w:divBdr>
    </w:div>
    <w:div w:id="699547658">
      <w:marLeft w:val="640"/>
      <w:marRight w:val="0"/>
      <w:marTop w:val="0"/>
      <w:marBottom w:val="0"/>
      <w:divBdr>
        <w:top w:val="none" w:sz="0" w:space="0" w:color="auto"/>
        <w:left w:val="none" w:sz="0" w:space="0" w:color="auto"/>
        <w:bottom w:val="none" w:sz="0" w:space="0" w:color="auto"/>
        <w:right w:val="none" w:sz="0" w:space="0" w:color="auto"/>
      </w:divBdr>
    </w:div>
    <w:div w:id="700395539">
      <w:marLeft w:val="640"/>
      <w:marRight w:val="0"/>
      <w:marTop w:val="0"/>
      <w:marBottom w:val="0"/>
      <w:divBdr>
        <w:top w:val="none" w:sz="0" w:space="0" w:color="auto"/>
        <w:left w:val="none" w:sz="0" w:space="0" w:color="auto"/>
        <w:bottom w:val="none" w:sz="0" w:space="0" w:color="auto"/>
        <w:right w:val="none" w:sz="0" w:space="0" w:color="auto"/>
      </w:divBdr>
    </w:div>
    <w:div w:id="701058511">
      <w:marLeft w:val="640"/>
      <w:marRight w:val="0"/>
      <w:marTop w:val="0"/>
      <w:marBottom w:val="0"/>
      <w:divBdr>
        <w:top w:val="none" w:sz="0" w:space="0" w:color="auto"/>
        <w:left w:val="none" w:sz="0" w:space="0" w:color="auto"/>
        <w:bottom w:val="none" w:sz="0" w:space="0" w:color="auto"/>
        <w:right w:val="none" w:sz="0" w:space="0" w:color="auto"/>
      </w:divBdr>
    </w:div>
    <w:div w:id="701126443">
      <w:marLeft w:val="640"/>
      <w:marRight w:val="0"/>
      <w:marTop w:val="0"/>
      <w:marBottom w:val="0"/>
      <w:divBdr>
        <w:top w:val="none" w:sz="0" w:space="0" w:color="auto"/>
        <w:left w:val="none" w:sz="0" w:space="0" w:color="auto"/>
        <w:bottom w:val="none" w:sz="0" w:space="0" w:color="auto"/>
        <w:right w:val="none" w:sz="0" w:space="0" w:color="auto"/>
      </w:divBdr>
    </w:div>
    <w:div w:id="702286204">
      <w:marLeft w:val="640"/>
      <w:marRight w:val="0"/>
      <w:marTop w:val="0"/>
      <w:marBottom w:val="0"/>
      <w:divBdr>
        <w:top w:val="none" w:sz="0" w:space="0" w:color="auto"/>
        <w:left w:val="none" w:sz="0" w:space="0" w:color="auto"/>
        <w:bottom w:val="none" w:sz="0" w:space="0" w:color="auto"/>
        <w:right w:val="none" w:sz="0" w:space="0" w:color="auto"/>
      </w:divBdr>
    </w:div>
    <w:div w:id="702943963">
      <w:marLeft w:val="640"/>
      <w:marRight w:val="0"/>
      <w:marTop w:val="0"/>
      <w:marBottom w:val="0"/>
      <w:divBdr>
        <w:top w:val="none" w:sz="0" w:space="0" w:color="auto"/>
        <w:left w:val="none" w:sz="0" w:space="0" w:color="auto"/>
        <w:bottom w:val="none" w:sz="0" w:space="0" w:color="auto"/>
        <w:right w:val="none" w:sz="0" w:space="0" w:color="auto"/>
      </w:divBdr>
    </w:div>
    <w:div w:id="703599193">
      <w:marLeft w:val="640"/>
      <w:marRight w:val="0"/>
      <w:marTop w:val="0"/>
      <w:marBottom w:val="0"/>
      <w:divBdr>
        <w:top w:val="none" w:sz="0" w:space="0" w:color="auto"/>
        <w:left w:val="none" w:sz="0" w:space="0" w:color="auto"/>
        <w:bottom w:val="none" w:sz="0" w:space="0" w:color="auto"/>
        <w:right w:val="none" w:sz="0" w:space="0" w:color="auto"/>
      </w:divBdr>
    </w:div>
    <w:div w:id="705253811">
      <w:marLeft w:val="640"/>
      <w:marRight w:val="0"/>
      <w:marTop w:val="0"/>
      <w:marBottom w:val="0"/>
      <w:divBdr>
        <w:top w:val="none" w:sz="0" w:space="0" w:color="auto"/>
        <w:left w:val="none" w:sz="0" w:space="0" w:color="auto"/>
        <w:bottom w:val="none" w:sz="0" w:space="0" w:color="auto"/>
        <w:right w:val="none" w:sz="0" w:space="0" w:color="auto"/>
      </w:divBdr>
    </w:div>
    <w:div w:id="705444559">
      <w:marLeft w:val="640"/>
      <w:marRight w:val="0"/>
      <w:marTop w:val="0"/>
      <w:marBottom w:val="0"/>
      <w:divBdr>
        <w:top w:val="none" w:sz="0" w:space="0" w:color="auto"/>
        <w:left w:val="none" w:sz="0" w:space="0" w:color="auto"/>
        <w:bottom w:val="none" w:sz="0" w:space="0" w:color="auto"/>
        <w:right w:val="none" w:sz="0" w:space="0" w:color="auto"/>
      </w:divBdr>
    </w:div>
    <w:div w:id="705980781">
      <w:marLeft w:val="640"/>
      <w:marRight w:val="0"/>
      <w:marTop w:val="0"/>
      <w:marBottom w:val="0"/>
      <w:divBdr>
        <w:top w:val="none" w:sz="0" w:space="0" w:color="auto"/>
        <w:left w:val="none" w:sz="0" w:space="0" w:color="auto"/>
        <w:bottom w:val="none" w:sz="0" w:space="0" w:color="auto"/>
        <w:right w:val="none" w:sz="0" w:space="0" w:color="auto"/>
      </w:divBdr>
    </w:div>
    <w:div w:id="706686091">
      <w:marLeft w:val="640"/>
      <w:marRight w:val="0"/>
      <w:marTop w:val="0"/>
      <w:marBottom w:val="0"/>
      <w:divBdr>
        <w:top w:val="none" w:sz="0" w:space="0" w:color="auto"/>
        <w:left w:val="none" w:sz="0" w:space="0" w:color="auto"/>
        <w:bottom w:val="none" w:sz="0" w:space="0" w:color="auto"/>
        <w:right w:val="none" w:sz="0" w:space="0" w:color="auto"/>
      </w:divBdr>
    </w:div>
    <w:div w:id="706761163">
      <w:marLeft w:val="640"/>
      <w:marRight w:val="0"/>
      <w:marTop w:val="0"/>
      <w:marBottom w:val="0"/>
      <w:divBdr>
        <w:top w:val="none" w:sz="0" w:space="0" w:color="auto"/>
        <w:left w:val="none" w:sz="0" w:space="0" w:color="auto"/>
        <w:bottom w:val="none" w:sz="0" w:space="0" w:color="auto"/>
        <w:right w:val="none" w:sz="0" w:space="0" w:color="auto"/>
      </w:divBdr>
    </w:div>
    <w:div w:id="706838366">
      <w:marLeft w:val="640"/>
      <w:marRight w:val="0"/>
      <w:marTop w:val="0"/>
      <w:marBottom w:val="0"/>
      <w:divBdr>
        <w:top w:val="none" w:sz="0" w:space="0" w:color="auto"/>
        <w:left w:val="none" w:sz="0" w:space="0" w:color="auto"/>
        <w:bottom w:val="none" w:sz="0" w:space="0" w:color="auto"/>
        <w:right w:val="none" w:sz="0" w:space="0" w:color="auto"/>
      </w:divBdr>
    </w:div>
    <w:div w:id="706879467">
      <w:marLeft w:val="640"/>
      <w:marRight w:val="0"/>
      <w:marTop w:val="0"/>
      <w:marBottom w:val="0"/>
      <w:divBdr>
        <w:top w:val="none" w:sz="0" w:space="0" w:color="auto"/>
        <w:left w:val="none" w:sz="0" w:space="0" w:color="auto"/>
        <w:bottom w:val="none" w:sz="0" w:space="0" w:color="auto"/>
        <w:right w:val="none" w:sz="0" w:space="0" w:color="auto"/>
      </w:divBdr>
    </w:div>
    <w:div w:id="707799768">
      <w:marLeft w:val="640"/>
      <w:marRight w:val="0"/>
      <w:marTop w:val="0"/>
      <w:marBottom w:val="0"/>
      <w:divBdr>
        <w:top w:val="none" w:sz="0" w:space="0" w:color="auto"/>
        <w:left w:val="none" w:sz="0" w:space="0" w:color="auto"/>
        <w:bottom w:val="none" w:sz="0" w:space="0" w:color="auto"/>
        <w:right w:val="none" w:sz="0" w:space="0" w:color="auto"/>
      </w:divBdr>
    </w:div>
    <w:div w:id="707803581">
      <w:marLeft w:val="640"/>
      <w:marRight w:val="0"/>
      <w:marTop w:val="0"/>
      <w:marBottom w:val="0"/>
      <w:divBdr>
        <w:top w:val="none" w:sz="0" w:space="0" w:color="auto"/>
        <w:left w:val="none" w:sz="0" w:space="0" w:color="auto"/>
        <w:bottom w:val="none" w:sz="0" w:space="0" w:color="auto"/>
        <w:right w:val="none" w:sz="0" w:space="0" w:color="auto"/>
      </w:divBdr>
    </w:div>
    <w:div w:id="707922243">
      <w:marLeft w:val="640"/>
      <w:marRight w:val="0"/>
      <w:marTop w:val="0"/>
      <w:marBottom w:val="0"/>
      <w:divBdr>
        <w:top w:val="none" w:sz="0" w:space="0" w:color="auto"/>
        <w:left w:val="none" w:sz="0" w:space="0" w:color="auto"/>
        <w:bottom w:val="none" w:sz="0" w:space="0" w:color="auto"/>
        <w:right w:val="none" w:sz="0" w:space="0" w:color="auto"/>
      </w:divBdr>
    </w:div>
    <w:div w:id="707995629">
      <w:marLeft w:val="640"/>
      <w:marRight w:val="0"/>
      <w:marTop w:val="0"/>
      <w:marBottom w:val="0"/>
      <w:divBdr>
        <w:top w:val="none" w:sz="0" w:space="0" w:color="auto"/>
        <w:left w:val="none" w:sz="0" w:space="0" w:color="auto"/>
        <w:bottom w:val="none" w:sz="0" w:space="0" w:color="auto"/>
        <w:right w:val="none" w:sz="0" w:space="0" w:color="auto"/>
      </w:divBdr>
    </w:div>
    <w:div w:id="708069556">
      <w:marLeft w:val="640"/>
      <w:marRight w:val="0"/>
      <w:marTop w:val="0"/>
      <w:marBottom w:val="0"/>
      <w:divBdr>
        <w:top w:val="none" w:sz="0" w:space="0" w:color="auto"/>
        <w:left w:val="none" w:sz="0" w:space="0" w:color="auto"/>
        <w:bottom w:val="none" w:sz="0" w:space="0" w:color="auto"/>
        <w:right w:val="none" w:sz="0" w:space="0" w:color="auto"/>
      </w:divBdr>
    </w:div>
    <w:div w:id="708265126">
      <w:marLeft w:val="640"/>
      <w:marRight w:val="0"/>
      <w:marTop w:val="0"/>
      <w:marBottom w:val="0"/>
      <w:divBdr>
        <w:top w:val="none" w:sz="0" w:space="0" w:color="auto"/>
        <w:left w:val="none" w:sz="0" w:space="0" w:color="auto"/>
        <w:bottom w:val="none" w:sz="0" w:space="0" w:color="auto"/>
        <w:right w:val="none" w:sz="0" w:space="0" w:color="auto"/>
      </w:divBdr>
    </w:div>
    <w:div w:id="709375416">
      <w:marLeft w:val="640"/>
      <w:marRight w:val="0"/>
      <w:marTop w:val="0"/>
      <w:marBottom w:val="0"/>
      <w:divBdr>
        <w:top w:val="none" w:sz="0" w:space="0" w:color="auto"/>
        <w:left w:val="none" w:sz="0" w:space="0" w:color="auto"/>
        <w:bottom w:val="none" w:sz="0" w:space="0" w:color="auto"/>
        <w:right w:val="none" w:sz="0" w:space="0" w:color="auto"/>
      </w:divBdr>
    </w:div>
    <w:div w:id="709645461">
      <w:marLeft w:val="640"/>
      <w:marRight w:val="0"/>
      <w:marTop w:val="0"/>
      <w:marBottom w:val="0"/>
      <w:divBdr>
        <w:top w:val="none" w:sz="0" w:space="0" w:color="auto"/>
        <w:left w:val="none" w:sz="0" w:space="0" w:color="auto"/>
        <w:bottom w:val="none" w:sz="0" w:space="0" w:color="auto"/>
        <w:right w:val="none" w:sz="0" w:space="0" w:color="auto"/>
      </w:divBdr>
    </w:div>
    <w:div w:id="709837282">
      <w:marLeft w:val="640"/>
      <w:marRight w:val="0"/>
      <w:marTop w:val="0"/>
      <w:marBottom w:val="0"/>
      <w:divBdr>
        <w:top w:val="none" w:sz="0" w:space="0" w:color="auto"/>
        <w:left w:val="none" w:sz="0" w:space="0" w:color="auto"/>
        <w:bottom w:val="none" w:sz="0" w:space="0" w:color="auto"/>
        <w:right w:val="none" w:sz="0" w:space="0" w:color="auto"/>
      </w:divBdr>
    </w:div>
    <w:div w:id="710349651">
      <w:marLeft w:val="640"/>
      <w:marRight w:val="0"/>
      <w:marTop w:val="0"/>
      <w:marBottom w:val="0"/>
      <w:divBdr>
        <w:top w:val="none" w:sz="0" w:space="0" w:color="auto"/>
        <w:left w:val="none" w:sz="0" w:space="0" w:color="auto"/>
        <w:bottom w:val="none" w:sz="0" w:space="0" w:color="auto"/>
        <w:right w:val="none" w:sz="0" w:space="0" w:color="auto"/>
      </w:divBdr>
    </w:div>
    <w:div w:id="710543769">
      <w:marLeft w:val="640"/>
      <w:marRight w:val="0"/>
      <w:marTop w:val="0"/>
      <w:marBottom w:val="0"/>
      <w:divBdr>
        <w:top w:val="none" w:sz="0" w:space="0" w:color="auto"/>
        <w:left w:val="none" w:sz="0" w:space="0" w:color="auto"/>
        <w:bottom w:val="none" w:sz="0" w:space="0" w:color="auto"/>
        <w:right w:val="none" w:sz="0" w:space="0" w:color="auto"/>
      </w:divBdr>
    </w:div>
    <w:div w:id="710884079">
      <w:marLeft w:val="640"/>
      <w:marRight w:val="0"/>
      <w:marTop w:val="0"/>
      <w:marBottom w:val="0"/>
      <w:divBdr>
        <w:top w:val="none" w:sz="0" w:space="0" w:color="auto"/>
        <w:left w:val="none" w:sz="0" w:space="0" w:color="auto"/>
        <w:bottom w:val="none" w:sz="0" w:space="0" w:color="auto"/>
        <w:right w:val="none" w:sz="0" w:space="0" w:color="auto"/>
      </w:divBdr>
    </w:div>
    <w:div w:id="711272562">
      <w:marLeft w:val="640"/>
      <w:marRight w:val="0"/>
      <w:marTop w:val="0"/>
      <w:marBottom w:val="0"/>
      <w:divBdr>
        <w:top w:val="none" w:sz="0" w:space="0" w:color="auto"/>
        <w:left w:val="none" w:sz="0" w:space="0" w:color="auto"/>
        <w:bottom w:val="none" w:sz="0" w:space="0" w:color="auto"/>
        <w:right w:val="none" w:sz="0" w:space="0" w:color="auto"/>
      </w:divBdr>
    </w:div>
    <w:div w:id="711350051">
      <w:marLeft w:val="640"/>
      <w:marRight w:val="0"/>
      <w:marTop w:val="0"/>
      <w:marBottom w:val="0"/>
      <w:divBdr>
        <w:top w:val="none" w:sz="0" w:space="0" w:color="auto"/>
        <w:left w:val="none" w:sz="0" w:space="0" w:color="auto"/>
        <w:bottom w:val="none" w:sz="0" w:space="0" w:color="auto"/>
        <w:right w:val="none" w:sz="0" w:space="0" w:color="auto"/>
      </w:divBdr>
    </w:div>
    <w:div w:id="712386904">
      <w:marLeft w:val="640"/>
      <w:marRight w:val="0"/>
      <w:marTop w:val="0"/>
      <w:marBottom w:val="0"/>
      <w:divBdr>
        <w:top w:val="none" w:sz="0" w:space="0" w:color="auto"/>
        <w:left w:val="none" w:sz="0" w:space="0" w:color="auto"/>
        <w:bottom w:val="none" w:sz="0" w:space="0" w:color="auto"/>
        <w:right w:val="none" w:sz="0" w:space="0" w:color="auto"/>
      </w:divBdr>
    </w:div>
    <w:div w:id="712389216">
      <w:marLeft w:val="640"/>
      <w:marRight w:val="0"/>
      <w:marTop w:val="0"/>
      <w:marBottom w:val="0"/>
      <w:divBdr>
        <w:top w:val="none" w:sz="0" w:space="0" w:color="auto"/>
        <w:left w:val="none" w:sz="0" w:space="0" w:color="auto"/>
        <w:bottom w:val="none" w:sz="0" w:space="0" w:color="auto"/>
        <w:right w:val="none" w:sz="0" w:space="0" w:color="auto"/>
      </w:divBdr>
    </w:div>
    <w:div w:id="713047119">
      <w:marLeft w:val="640"/>
      <w:marRight w:val="0"/>
      <w:marTop w:val="0"/>
      <w:marBottom w:val="0"/>
      <w:divBdr>
        <w:top w:val="none" w:sz="0" w:space="0" w:color="auto"/>
        <w:left w:val="none" w:sz="0" w:space="0" w:color="auto"/>
        <w:bottom w:val="none" w:sz="0" w:space="0" w:color="auto"/>
        <w:right w:val="none" w:sz="0" w:space="0" w:color="auto"/>
      </w:divBdr>
    </w:div>
    <w:div w:id="713888677">
      <w:marLeft w:val="640"/>
      <w:marRight w:val="0"/>
      <w:marTop w:val="0"/>
      <w:marBottom w:val="0"/>
      <w:divBdr>
        <w:top w:val="none" w:sz="0" w:space="0" w:color="auto"/>
        <w:left w:val="none" w:sz="0" w:space="0" w:color="auto"/>
        <w:bottom w:val="none" w:sz="0" w:space="0" w:color="auto"/>
        <w:right w:val="none" w:sz="0" w:space="0" w:color="auto"/>
      </w:divBdr>
    </w:div>
    <w:div w:id="714232523">
      <w:marLeft w:val="640"/>
      <w:marRight w:val="0"/>
      <w:marTop w:val="0"/>
      <w:marBottom w:val="0"/>
      <w:divBdr>
        <w:top w:val="none" w:sz="0" w:space="0" w:color="auto"/>
        <w:left w:val="none" w:sz="0" w:space="0" w:color="auto"/>
        <w:bottom w:val="none" w:sz="0" w:space="0" w:color="auto"/>
        <w:right w:val="none" w:sz="0" w:space="0" w:color="auto"/>
      </w:divBdr>
    </w:div>
    <w:div w:id="714618676">
      <w:marLeft w:val="640"/>
      <w:marRight w:val="0"/>
      <w:marTop w:val="0"/>
      <w:marBottom w:val="0"/>
      <w:divBdr>
        <w:top w:val="none" w:sz="0" w:space="0" w:color="auto"/>
        <w:left w:val="none" w:sz="0" w:space="0" w:color="auto"/>
        <w:bottom w:val="none" w:sz="0" w:space="0" w:color="auto"/>
        <w:right w:val="none" w:sz="0" w:space="0" w:color="auto"/>
      </w:divBdr>
    </w:div>
    <w:div w:id="715272501">
      <w:marLeft w:val="640"/>
      <w:marRight w:val="0"/>
      <w:marTop w:val="0"/>
      <w:marBottom w:val="0"/>
      <w:divBdr>
        <w:top w:val="none" w:sz="0" w:space="0" w:color="auto"/>
        <w:left w:val="none" w:sz="0" w:space="0" w:color="auto"/>
        <w:bottom w:val="none" w:sz="0" w:space="0" w:color="auto"/>
        <w:right w:val="none" w:sz="0" w:space="0" w:color="auto"/>
      </w:divBdr>
    </w:div>
    <w:div w:id="715547206">
      <w:marLeft w:val="640"/>
      <w:marRight w:val="0"/>
      <w:marTop w:val="0"/>
      <w:marBottom w:val="0"/>
      <w:divBdr>
        <w:top w:val="none" w:sz="0" w:space="0" w:color="auto"/>
        <w:left w:val="none" w:sz="0" w:space="0" w:color="auto"/>
        <w:bottom w:val="none" w:sz="0" w:space="0" w:color="auto"/>
        <w:right w:val="none" w:sz="0" w:space="0" w:color="auto"/>
      </w:divBdr>
    </w:div>
    <w:div w:id="716781966">
      <w:marLeft w:val="640"/>
      <w:marRight w:val="0"/>
      <w:marTop w:val="0"/>
      <w:marBottom w:val="0"/>
      <w:divBdr>
        <w:top w:val="none" w:sz="0" w:space="0" w:color="auto"/>
        <w:left w:val="none" w:sz="0" w:space="0" w:color="auto"/>
        <w:bottom w:val="none" w:sz="0" w:space="0" w:color="auto"/>
        <w:right w:val="none" w:sz="0" w:space="0" w:color="auto"/>
      </w:divBdr>
    </w:div>
    <w:div w:id="717516555">
      <w:marLeft w:val="640"/>
      <w:marRight w:val="0"/>
      <w:marTop w:val="0"/>
      <w:marBottom w:val="0"/>
      <w:divBdr>
        <w:top w:val="none" w:sz="0" w:space="0" w:color="auto"/>
        <w:left w:val="none" w:sz="0" w:space="0" w:color="auto"/>
        <w:bottom w:val="none" w:sz="0" w:space="0" w:color="auto"/>
        <w:right w:val="none" w:sz="0" w:space="0" w:color="auto"/>
      </w:divBdr>
    </w:div>
    <w:div w:id="717630753">
      <w:marLeft w:val="640"/>
      <w:marRight w:val="0"/>
      <w:marTop w:val="0"/>
      <w:marBottom w:val="0"/>
      <w:divBdr>
        <w:top w:val="none" w:sz="0" w:space="0" w:color="auto"/>
        <w:left w:val="none" w:sz="0" w:space="0" w:color="auto"/>
        <w:bottom w:val="none" w:sz="0" w:space="0" w:color="auto"/>
        <w:right w:val="none" w:sz="0" w:space="0" w:color="auto"/>
      </w:divBdr>
    </w:div>
    <w:div w:id="718356097">
      <w:marLeft w:val="640"/>
      <w:marRight w:val="0"/>
      <w:marTop w:val="0"/>
      <w:marBottom w:val="0"/>
      <w:divBdr>
        <w:top w:val="none" w:sz="0" w:space="0" w:color="auto"/>
        <w:left w:val="none" w:sz="0" w:space="0" w:color="auto"/>
        <w:bottom w:val="none" w:sz="0" w:space="0" w:color="auto"/>
        <w:right w:val="none" w:sz="0" w:space="0" w:color="auto"/>
      </w:divBdr>
    </w:div>
    <w:div w:id="719593070">
      <w:marLeft w:val="640"/>
      <w:marRight w:val="0"/>
      <w:marTop w:val="0"/>
      <w:marBottom w:val="0"/>
      <w:divBdr>
        <w:top w:val="none" w:sz="0" w:space="0" w:color="auto"/>
        <w:left w:val="none" w:sz="0" w:space="0" w:color="auto"/>
        <w:bottom w:val="none" w:sz="0" w:space="0" w:color="auto"/>
        <w:right w:val="none" w:sz="0" w:space="0" w:color="auto"/>
      </w:divBdr>
    </w:div>
    <w:div w:id="720441766">
      <w:marLeft w:val="640"/>
      <w:marRight w:val="0"/>
      <w:marTop w:val="0"/>
      <w:marBottom w:val="0"/>
      <w:divBdr>
        <w:top w:val="none" w:sz="0" w:space="0" w:color="auto"/>
        <w:left w:val="none" w:sz="0" w:space="0" w:color="auto"/>
        <w:bottom w:val="none" w:sz="0" w:space="0" w:color="auto"/>
        <w:right w:val="none" w:sz="0" w:space="0" w:color="auto"/>
      </w:divBdr>
    </w:div>
    <w:div w:id="720714404">
      <w:marLeft w:val="640"/>
      <w:marRight w:val="0"/>
      <w:marTop w:val="0"/>
      <w:marBottom w:val="0"/>
      <w:divBdr>
        <w:top w:val="none" w:sz="0" w:space="0" w:color="auto"/>
        <w:left w:val="none" w:sz="0" w:space="0" w:color="auto"/>
        <w:bottom w:val="none" w:sz="0" w:space="0" w:color="auto"/>
        <w:right w:val="none" w:sz="0" w:space="0" w:color="auto"/>
      </w:divBdr>
    </w:div>
    <w:div w:id="720908444">
      <w:marLeft w:val="640"/>
      <w:marRight w:val="0"/>
      <w:marTop w:val="0"/>
      <w:marBottom w:val="0"/>
      <w:divBdr>
        <w:top w:val="none" w:sz="0" w:space="0" w:color="auto"/>
        <w:left w:val="none" w:sz="0" w:space="0" w:color="auto"/>
        <w:bottom w:val="none" w:sz="0" w:space="0" w:color="auto"/>
        <w:right w:val="none" w:sz="0" w:space="0" w:color="auto"/>
      </w:divBdr>
    </w:div>
    <w:div w:id="722871335">
      <w:marLeft w:val="640"/>
      <w:marRight w:val="0"/>
      <w:marTop w:val="0"/>
      <w:marBottom w:val="0"/>
      <w:divBdr>
        <w:top w:val="none" w:sz="0" w:space="0" w:color="auto"/>
        <w:left w:val="none" w:sz="0" w:space="0" w:color="auto"/>
        <w:bottom w:val="none" w:sz="0" w:space="0" w:color="auto"/>
        <w:right w:val="none" w:sz="0" w:space="0" w:color="auto"/>
      </w:divBdr>
    </w:div>
    <w:div w:id="723455149">
      <w:marLeft w:val="640"/>
      <w:marRight w:val="0"/>
      <w:marTop w:val="0"/>
      <w:marBottom w:val="0"/>
      <w:divBdr>
        <w:top w:val="none" w:sz="0" w:space="0" w:color="auto"/>
        <w:left w:val="none" w:sz="0" w:space="0" w:color="auto"/>
        <w:bottom w:val="none" w:sz="0" w:space="0" w:color="auto"/>
        <w:right w:val="none" w:sz="0" w:space="0" w:color="auto"/>
      </w:divBdr>
    </w:div>
    <w:div w:id="723793202">
      <w:marLeft w:val="640"/>
      <w:marRight w:val="0"/>
      <w:marTop w:val="0"/>
      <w:marBottom w:val="0"/>
      <w:divBdr>
        <w:top w:val="none" w:sz="0" w:space="0" w:color="auto"/>
        <w:left w:val="none" w:sz="0" w:space="0" w:color="auto"/>
        <w:bottom w:val="none" w:sz="0" w:space="0" w:color="auto"/>
        <w:right w:val="none" w:sz="0" w:space="0" w:color="auto"/>
      </w:divBdr>
    </w:div>
    <w:div w:id="723986531">
      <w:marLeft w:val="640"/>
      <w:marRight w:val="0"/>
      <w:marTop w:val="0"/>
      <w:marBottom w:val="0"/>
      <w:divBdr>
        <w:top w:val="none" w:sz="0" w:space="0" w:color="auto"/>
        <w:left w:val="none" w:sz="0" w:space="0" w:color="auto"/>
        <w:bottom w:val="none" w:sz="0" w:space="0" w:color="auto"/>
        <w:right w:val="none" w:sz="0" w:space="0" w:color="auto"/>
      </w:divBdr>
    </w:div>
    <w:div w:id="724110634">
      <w:marLeft w:val="640"/>
      <w:marRight w:val="0"/>
      <w:marTop w:val="0"/>
      <w:marBottom w:val="0"/>
      <w:divBdr>
        <w:top w:val="none" w:sz="0" w:space="0" w:color="auto"/>
        <w:left w:val="none" w:sz="0" w:space="0" w:color="auto"/>
        <w:bottom w:val="none" w:sz="0" w:space="0" w:color="auto"/>
        <w:right w:val="none" w:sz="0" w:space="0" w:color="auto"/>
      </w:divBdr>
    </w:div>
    <w:div w:id="724331475">
      <w:marLeft w:val="640"/>
      <w:marRight w:val="0"/>
      <w:marTop w:val="0"/>
      <w:marBottom w:val="0"/>
      <w:divBdr>
        <w:top w:val="none" w:sz="0" w:space="0" w:color="auto"/>
        <w:left w:val="none" w:sz="0" w:space="0" w:color="auto"/>
        <w:bottom w:val="none" w:sz="0" w:space="0" w:color="auto"/>
        <w:right w:val="none" w:sz="0" w:space="0" w:color="auto"/>
      </w:divBdr>
    </w:div>
    <w:div w:id="724447899">
      <w:marLeft w:val="640"/>
      <w:marRight w:val="0"/>
      <w:marTop w:val="0"/>
      <w:marBottom w:val="0"/>
      <w:divBdr>
        <w:top w:val="none" w:sz="0" w:space="0" w:color="auto"/>
        <w:left w:val="none" w:sz="0" w:space="0" w:color="auto"/>
        <w:bottom w:val="none" w:sz="0" w:space="0" w:color="auto"/>
        <w:right w:val="none" w:sz="0" w:space="0" w:color="auto"/>
      </w:divBdr>
    </w:div>
    <w:div w:id="724524580">
      <w:marLeft w:val="640"/>
      <w:marRight w:val="0"/>
      <w:marTop w:val="0"/>
      <w:marBottom w:val="0"/>
      <w:divBdr>
        <w:top w:val="none" w:sz="0" w:space="0" w:color="auto"/>
        <w:left w:val="none" w:sz="0" w:space="0" w:color="auto"/>
        <w:bottom w:val="none" w:sz="0" w:space="0" w:color="auto"/>
        <w:right w:val="none" w:sz="0" w:space="0" w:color="auto"/>
      </w:divBdr>
    </w:div>
    <w:div w:id="725420191">
      <w:marLeft w:val="640"/>
      <w:marRight w:val="0"/>
      <w:marTop w:val="0"/>
      <w:marBottom w:val="0"/>
      <w:divBdr>
        <w:top w:val="none" w:sz="0" w:space="0" w:color="auto"/>
        <w:left w:val="none" w:sz="0" w:space="0" w:color="auto"/>
        <w:bottom w:val="none" w:sz="0" w:space="0" w:color="auto"/>
        <w:right w:val="none" w:sz="0" w:space="0" w:color="auto"/>
      </w:divBdr>
    </w:div>
    <w:div w:id="725757027">
      <w:marLeft w:val="640"/>
      <w:marRight w:val="0"/>
      <w:marTop w:val="0"/>
      <w:marBottom w:val="0"/>
      <w:divBdr>
        <w:top w:val="none" w:sz="0" w:space="0" w:color="auto"/>
        <w:left w:val="none" w:sz="0" w:space="0" w:color="auto"/>
        <w:bottom w:val="none" w:sz="0" w:space="0" w:color="auto"/>
        <w:right w:val="none" w:sz="0" w:space="0" w:color="auto"/>
      </w:divBdr>
    </w:div>
    <w:div w:id="726532868">
      <w:marLeft w:val="640"/>
      <w:marRight w:val="0"/>
      <w:marTop w:val="0"/>
      <w:marBottom w:val="0"/>
      <w:divBdr>
        <w:top w:val="none" w:sz="0" w:space="0" w:color="auto"/>
        <w:left w:val="none" w:sz="0" w:space="0" w:color="auto"/>
        <w:bottom w:val="none" w:sz="0" w:space="0" w:color="auto"/>
        <w:right w:val="none" w:sz="0" w:space="0" w:color="auto"/>
      </w:divBdr>
    </w:div>
    <w:div w:id="727459200">
      <w:marLeft w:val="640"/>
      <w:marRight w:val="0"/>
      <w:marTop w:val="0"/>
      <w:marBottom w:val="0"/>
      <w:divBdr>
        <w:top w:val="none" w:sz="0" w:space="0" w:color="auto"/>
        <w:left w:val="none" w:sz="0" w:space="0" w:color="auto"/>
        <w:bottom w:val="none" w:sz="0" w:space="0" w:color="auto"/>
        <w:right w:val="none" w:sz="0" w:space="0" w:color="auto"/>
      </w:divBdr>
    </w:div>
    <w:div w:id="728263284">
      <w:marLeft w:val="640"/>
      <w:marRight w:val="0"/>
      <w:marTop w:val="0"/>
      <w:marBottom w:val="0"/>
      <w:divBdr>
        <w:top w:val="none" w:sz="0" w:space="0" w:color="auto"/>
        <w:left w:val="none" w:sz="0" w:space="0" w:color="auto"/>
        <w:bottom w:val="none" w:sz="0" w:space="0" w:color="auto"/>
        <w:right w:val="none" w:sz="0" w:space="0" w:color="auto"/>
      </w:divBdr>
    </w:div>
    <w:div w:id="729766316">
      <w:marLeft w:val="640"/>
      <w:marRight w:val="0"/>
      <w:marTop w:val="0"/>
      <w:marBottom w:val="0"/>
      <w:divBdr>
        <w:top w:val="none" w:sz="0" w:space="0" w:color="auto"/>
        <w:left w:val="none" w:sz="0" w:space="0" w:color="auto"/>
        <w:bottom w:val="none" w:sz="0" w:space="0" w:color="auto"/>
        <w:right w:val="none" w:sz="0" w:space="0" w:color="auto"/>
      </w:divBdr>
    </w:div>
    <w:div w:id="730273693">
      <w:marLeft w:val="640"/>
      <w:marRight w:val="0"/>
      <w:marTop w:val="0"/>
      <w:marBottom w:val="0"/>
      <w:divBdr>
        <w:top w:val="none" w:sz="0" w:space="0" w:color="auto"/>
        <w:left w:val="none" w:sz="0" w:space="0" w:color="auto"/>
        <w:bottom w:val="none" w:sz="0" w:space="0" w:color="auto"/>
        <w:right w:val="none" w:sz="0" w:space="0" w:color="auto"/>
      </w:divBdr>
    </w:div>
    <w:div w:id="730424832">
      <w:marLeft w:val="640"/>
      <w:marRight w:val="0"/>
      <w:marTop w:val="0"/>
      <w:marBottom w:val="0"/>
      <w:divBdr>
        <w:top w:val="none" w:sz="0" w:space="0" w:color="auto"/>
        <w:left w:val="none" w:sz="0" w:space="0" w:color="auto"/>
        <w:bottom w:val="none" w:sz="0" w:space="0" w:color="auto"/>
        <w:right w:val="none" w:sz="0" w:space="0" w:color="auto"/>
      </w:divBdr>
    </w:div>
    <w:div w:id="731197235">
      <w:marLeft w:val="640"/>
      <w:marRight w:val="0"/>
      <w:marTop w:val="0"/>
      <w:marBottom w:val="0"/>
      <w:divBdr>
        <w:top w:val="none" w:sz="0" w:space="0" w:color="auto"/>
        <w:left w:val="none" w:sz="0" w:space="0" w:color="auto"/>
        <w:bottom w:val="none" w:sz="0" w:space="0" w:color="auto"/>
        <w:right w:val="none" w:sz="0" w:space="0" w:color="auto"/>
      </w:divBdr>
    </w:div>
    <w:div w:id="731319161">
      <w:marLeft w:val="640"/>
      <w:marRight w:val="0"/>
      <w:marTop w:val="0"/>
      <w:marBottom w:val="0"/>
      <w:divBdr>
        <w:top w:val="none" w:sz="0" w:space="0" w:color="auto"/>
        <w:left w:val="none" w:sz="0" w:space="0" w:color="auto"/>
        <w:bottom w:val="none" w:sz="0" w:space="0" w:color="auto"/>
        <w:right w:val="none" w:sz="0" w:space="0" w:color="auto"/>
      </w:divBdr>
    </w:div>
    <w:div w:id="731342952">
      <w:marLeft w:val="640"/>
      <w:marRight w:val="0"/>
      <w:marTop w:val="0"/>
      <w:marBottom w:val="0"/>
      <w:divBdr>
        <w:top w:val="none" w:sz="0" w:space="0" w:color="auto"/>
        <w:left w:val="none" w:sz="0" w:space="0" w:color="auto"/>
        <w:bottom w:val="none" w:sz="0" w:space="0" w:color="auto"/>
        <w:right w:val="none" w:sz="0" w:space="0" w:color="auto"/>
      </w:divBdr>
    </w:div>
    <w:div w:id="731778390">
      <w:marLeft w:val="640"/>
      <w:marRight w:val="0"/>
      <w:marTop w:val="0"/>
      <w:marBottom w:val="0"/>
      <w:divBdr>
        <w:top w:val="none" w:sz="0" w:space="0" w:color="auto"/>
        <w:left w:val="none" w:sz="0" w:space="0" w:color="auto"/>
        <w:bottom w:val="none" w:sz="0" w:space="0" w:color="auto"/>
        <w:right w:val="none" w:sz="0" w:space="0" w:color="auto"/>
      </w:divBdr>
    </w:div>
    <w:div w:id="732198531">
      <w:marLeft w:val="640"/>
      <w:marRight w:val="0"/>
      <w:marTop w:val="0"/>
      <w:marBottom w:val="0"/>
      <w:divBdr>
        <w:top w:val="none" w:sz="0" w:space="0" w:color="auto"/>
        <w:left w:val="none" w:sz="0" w:space="0" w:color="auto"/>
        <w:bottom w:val="none" w:sz="0" w:space="0" w:color="auto"/>
        <w:right w:val="none" w:sz="0" w:space="0" w:color="auto"/>
      </w:divBdr>
    </w:div>
    <w:div w:id="732700505">
      <w:marLeft w:val="640"/>
      <w:marRight w:val="0"/>
      <w:marTop w:val="0"/>
      <w:marBottom w:val="0"/>
      <w:divBdr>
        <w:top w:val="none" w:sz="0" w:space="0" w:color="auto"/>
        <w:left w:val="none" w:sz="0" w:space="0" w:color="auto"/>
        <w:bottom w:val="none" w:sz="0" w:space="0" w:color="auto"/>
        <w:right w:val="none" w:sz="0" w:space="0" w:color="auto"/>
      </w:divBdr>
    </w:div>
    <w:div w:id="733427979">
      <w:marLeft w:val="640"/>
      <w:marRight w:val="0"/>
      <w:marTop w:val="0"/>
      <w:marBottom w:val="0"/>
      <w:divBdr>
        <w:top w:val="none" w:sz="0" w:space="0" w:color="auto"/>
        <w:left w:val="none" w:sz="0" w:space="0" w:color="auto"/>
        <w:bottom w:val="none" w:sz="0" w:space="0" w:color="auto"/>
        <w:right w:val="none" w:sz="0" w:space="0" w:color="auto"/>
      </w:divBdr>
    </w:div>
    <w:div w:id="734398343">
      <w:marLeft w:val="640"/>
      <w:marRight w:val="0"/>
      <w:marTop w:val="0"/>
      <w:marBottom w:val="0"/>
      <w:divBdr>
        <w:top w:val="none" w:sz="0" w:space="0" w:color="auto"/>
        <w:left w:val="none" w:sz="0" w:space="0" w:color="auto"/>
        <w:bottom w:val="none" w:sz="0" w:space="0" w:color="auto"/>
        <w:right w:val="none" w:sz="0" w:space="0" w:color="auto"/>
      </w:divBdr>
    </w:div>
    <w:div w:id="735395203">
      <w:marLeft w:val="640"/>
      <w:marRight w:val="0"/>
      <w:marTop w:val="0"/>
      <w:marBottom w:val="0"/>
      <w:divBdr>
        <w:top w:val="none" w:sz="0" w:space="0" w:color="auto"/>
        <w:left w:val="none" w:sz="0" w:space="0" w:color="auto"/>
        <w:bottom w:val="none" w:sz="0" w:space="0" w:color="auto"/>
        <w:right w:val="none" w:sz="0" w:space="0" w:color="auto"/>
      </w:divBdr>
    </w:div>
    <w:div w:id="735788129">
      <w:marLeft w:val="640"/>
      <w:marRight w:val="0"/>
      <w:marTop w:val="0"/>
      <w:marBottom w:val="0"/>
      <w:divBdr>
        <w:top w:val="none" w:sz="0" w:space="0" w:color="auto"/>
        <w:left w:val="none" w:sz="0" w:space="0" w:color="auto"/>
        <w:bottom w:val="none" w:sz="0" w:space="0" w:color="auto"/>
        <w:right w:val="none" w:sz="0" w:space="0" w:color="auto"/>
      </w:divBdr>
    </w:div>
    <w:div w:id="736362855">
      <w:marLeft w:val="640"/>
      <w:marRight w:val="0"/>
      <w:marTop w:val="0"/>
      <w:marBottom w:val="0"/>
      <w:divBdr>
        <w:top w:val="none" w:sz="0" w:space="0" w:color="auto"/>
        <w:left w:val="none" w:sz="0" w:space="0" w:color="auto"/>
        <w:bottom w:val="none" w:sz="0" w:space="0" w:color="auto"/>
        <w:right w:val="none" w:sz="0" w:space="0" w:color="auto"/>
      </w:divBdr>
    </w:div>
    <w:div w:id="737049998">
      <w:marLeft w:val="640"/>
      <w:marRight w:val="0"/>
      <w:marTop w:val="0"/>
      <w:marBottom w:val="0"/>
      <w:divBdr>
        <w:top w:val="none" w:sz="0" w:space="0" w:color="auto"/>
        <w:left w:val="none" w:sz="0" w:space="0" w:color="auto"/>
        <w:bottom w:val="none" w:sz="0" w:space="0" w:color="auto"/>
        <w:right w:val="none" w:sz="0" w:space="0" w:color="auto"/>
      </w:divBdr>
    </w:div>
    <w:div w:id="737243819">
      <w:marLeft w:val="640"/>
      <w:marRight w:val="0"/>
      <w:marTop w:val="0"/>
      <w:marBottom w:val="0"/>
      <w:divBdr>
        <w:top w:val="none" w:sz="0" w:space="0" w:color="auto"/>
        <w:left w:val="none" w:sz="0" w:space="0" w:color="auto"/>
        <w:bottom w:val="none" w:sz="0" w:space="0" w:color="auto"/>
        <w:right w:val="none" w:sz="0" w:space="0" w:color="auto"/>
      </w:divBdr>
    </w:div>
    <w:div w:id="737480193">
      <w:marLeft w:val="640"/>
      <w:marRight w:val="0"/>
      <w:marTop w:val="0"/>
      <w:marBottom w:val="0"/>
      <w:divBdr>
        <w:top w:val="none" w:sz="0" w:space="0" w:color="auto"/>
        <w:left w:val="none" w:sz="0" w:space="0" w:color="auto"/>
        <w:bottom w:val="none" w:sz="0" w:space="0" w:color="auto"/>
        <w:right w:val="none" w:sz="0" w:space="0" w:color="auto"/>
      </w:divBdr>
    </w:div>
    <w:div w:id="737552671">
      <w:marLeft w:val="640"/>
      <w:marRight w:val="0"/>
      <w:marTop w:val="0"/>
      <w:marBottom w:val="0"/>
      <w:divBdr>
        <w:top w:val="none" w:sz="0" w:space="0" w:color="auto"/>
        <w:left w:val="none" w:sz="0" w:space="0" w:color="auto"/>
        <w:bottom w:val="none" w:sz="0" w:space="0" w:color="auto"/>
        <w:right w:val="none" w:sz="0" w:space="0" w:color="auto"/>
      </w:divBdr>
    </w:div>
    <w:div w:id="739407632">
      <w:marLeft w:val="640"/>
      <w:marRight w:val="0"/>
      <w:marTop w:val="0"/>
      <w:marBottom w:val="0"/>
      <w:divBdr>
        <w:top w:val="none" w:sz="0" w:space="0" w:color="auto"/>
        <w:left w:val="none" w:sz="0" w:space="0" w:color="auto"/>
        <w:bottom w:val="none" w:sz="0" w:space="0" w:color="auto"/>
        <w:right w:val="none" w:sz="0" w:space="0" w:color="auto"/>
      </w:divBdr>
    </w:div>
    <w:div w:id="740325483">
      <w:marLeft w:val="640"/>
      <w:marRight w:val="0"/>
      <w:marTop w:val="0"/>
      <w:marBottom w:val="0"/>
      <w:divBdr>
        <w:top w:val="none" w:sz="0" w:space="0" w:color="auto"/>
        <w:left w:val="none" w:sz="0" w:space="0" w:color="auto"/>
        <w:bottom w:val="none" w:sz="0" w:space="0" w:color="auto"/>
        <w:right w:val="none" w:sz="0" w:space="0" w:color="auto"/>
      </w:divBdr>
    </w:div>
    <w:div w:id="740517569">
      <w:marLeft w:val="640"/>
      <w:marRight w:val="0"/>
      <w:marTop w:val="0"/>
      <w:marBottom w:val="0"/>
      <w:divBdr>
        <w:top w:val="none" w:sz="0" w:space="0" w:color="auto"/>
        <w:left w:val="none" w:sz="0" w:space="0" w:color="auto"/>
        <w:bottom w:val="none" w:sz="0" w:space="0" w:color="auto"/>
        <w:right w:val="none" w:sz="0" w:space="0" w:color="auto"/>
      </w:divBdr>
    </w:div>
    <w:div w:id="740830497">
      <w:marLeft w:val="640"/>
      <w:marRight w:val="0"/>
      <w:marTop w:val="0"/>
      <w:marBottom w:val="0"/>
      <w:divBdr>
        <w:top w:val="none" w:sz="0" w:space="0" w:color="auto"/>
        <w:left w:val="none" w:sz="0" w:space="0" w:color="auto"/>
        <w:bottom w:val="none" w:sz="0" w:space="0" w:color="auto"/>
        <w:right w:val="none" w:sz="0" w:space="0" w:color="auto"/>
      </w:divBdr>
    </w:div>
    <w:div w:id="741610560">
      <w:marLeft w:val="640"/>
      <w:marRight w:val="0"/>
      <w:marTop w:val="0"/>
      <w:marBottom w:val="0"/>
      <w:divBdr>
        <w:top w:val="none" w:sz="0" w:space="0" w:color="auto"/>
        <w:left w:val="none" w:sz="0" w:space="0" w:color="auto"/>
        <w:bottom w:val="none" w:sz="0" w:space="0" w:color="auto"/>
        <w:right w:val="none" w:sz="0" w:space="0" w:color="auto"/>
      </w:divBdr>
    </w:div>
    <w:div w:id="742064169">
      <w:marLeft w:val="640"/>
      <w:marRight w:val="0"/>
      <w:marTop w:val="0"/>
      <w:marBottom w:val="0"/>
      <w:divBdr>
        <w:top w:val="none" w:sz="0" w:space="0" w:color="auto"/>
        <w:left w:val="none" w:sz="0" w:space="0" w:color="auto"/>
        <w:bottom w:val="none" w:sz="0" w:space="0" w:color="auto"/>
        <w:right w:val="none" w:sz="0" w:space="0" w:color="auto"/>
      </w:divBdr>
    </w:div>
    <w:div w:id="742142337">
      <w:marLeft w:val="640"/>
      <w:marRight w:val="0"/>
      <w:marTop w:val="0"/>
      <w:marBottom w:val="0"/>
      <w:divBdr>
        <w:top w:val="none" w:sz="0" w:space="0" w:color="auto"/>
        <w:left w:val="none" w:sz="0" w:space="0" w:color="auto"/>
        <w:bottom w:val="none" w:sz="0" w:space="0" w:color="auto"/>
        <w:right w:val="none" w:sz="0" w:space="0" w:color="auto"/>
      </w:divBdr>
    </w:div>
    <w:div w:id="742609430">
      <w:marLeft w:val="640"/>
      <w:marRight w:val="0"/>
      <w:marTop w:val="0"/>
      <w:marBottom w:val="0"/>
      <w:divBdr>
        <w:top w:val="none" w:sz="0" w:space="0" w:color="auto"/>
        <w:left w:val="none" w:sz="0" w:space="0" w:color="auto"/>
        <w:bottom w:val="none" w:sz="0" w:space="0" w:color="auto"/>
        <w:right w:val="none" w:sz="0" w:space="0" w:color="auto"/>
      </w:divBdr>
    </w:div>
    <w:div w:id="742683850">
      <w:marLeft w:val="640"/>
      <w:marRight w:val="0"/>
      <w:marTop w:val="0"/>
      <w:marBottom w:val="0"/>
      <w:divBdr>
        <w:top w:val="none" w:sz="0" w:space="0" w:color="auto"/>
        <w:left w:val="none" w:sz="0" w:space="0" w:color="auto"/>
        <w:bottom w:val="none" w:sz="0" w:space="0" w:color="auto"/>
        <w:right w:val="none" w:sz="0" w:space="0" w:color="auto"/>
      </w:divBdr>
    </w:div>
    <w:div w:id="742799793">
      <w:marLeft w:val="640"/>
      <w:marRight w:val="0"/>
      <w:marTop w:val="0"/>
      <w:marBottom w:val="0"/>
      <w:divBdr>
        <w:top w:val="none" w:sz="0" w:space="0" w:color="auto"/>
        <w:left w:val="none" w:sz="0" w:space="0" w:color="auto"/>
        <w:bottom w:val="none" w:sz="0" w:space="0" w:color="auto"/>
        <w:right w:val="none" w:sz="0" w:space="0" w:color="auto"/>
      </w:divBdr>
    </w:div>
    <w:div w:id="743375470">
      <w:marLeft w:val="640"/>
      <w:marRight w:val="0"/>
      <w:marTop w:val="0"/>
      <w:marBottom w:val="0"/>
      <w:divBdr>
        <w:top w:val="none" w:sz="0" w:space="0" w:color="auto"/>
        <w:left w:val="none" w:sz="0" w:space="0" w:color="auto"/>
        <w:bottom w:val="none" w:sz="0" w:space="0" w:color="auto"/>
        <w:right w:val="none" w:sz="0" w:space="0" w:color="auto"/>
      </w:divBdr>
    </w:div>
    <w:div w:id="743380574">
      <w:marLeft w:val="640"/>
      <w:marRight w:val="0"/>
      <w:marTop w:val="0"/>
      <w:marBottom w:val="0"/>
      <w:divBdr>
        <w:top w:val="none" w:sz="0" w:space="0" w:color="auto"/>
        <w:left w:val="none" w:sz="0" w:space="0" w:color="auto"/>
        <w:bottom w:val="none" w:sz="0" w:space="0" w:color="auto"/>
        <w:right w:val="none" w:sz="0" w:space="0" w:color="auto"/>
      </w:divBdr>
    </w:div>
    <w:div w:id="743912646">
      <w:marLeft w:val="640"/>
      <w:marRight w:val="0"/>
      <w:marTop w:val="0"/>
      <w:marBottom w:val="0"/>
      <w:divBdr>
        <w:top w:val="none" w:sz="0" w:space="0" w:color="auto"/>
        <w:left w:val="none" w:sz="0" w:space="0" w:color="auto"/>
        <w:bottom w:val="none" w:sz="0" w:space="0" w:color="auto"/>
        <w:right w:val="none" w:sz="0" w:space="0" w:color="auto"/>
      </w:divBdr>
    </w:div>
    <w:div w:id="744298237">
      <w:marLeft w:val="640"/>
      <w:marRight w:val="0"/>
      <w:marTop w:val="0"/>
      <w:marBottom w:val="0"/>
      <w:divBdr>
        <w:top w:val="none" w:sz="0" w:space="0" w:color="auto"/>
        <w:left w:val="none" w:sz="0" w:space="0" w:color="auto"/>
        <w:bottom w:val="none" w:sz="0" w:space="0" w:color="auto"/>
        <w:right w:val="none" w:sz="0" w:space="0" w:color="auto"/>
      </w:divBdr>
    </w:div>
    <w:div w:id="745105265">
      <w:marLeft w:val="640"/>
      <w:marRight w:val="0"/>
      <w:marTop w:val="0"/>
      <w:marBottom w:val="0"/>
      <w:divBdr>
        <w:top w:val="none" w:sz="0" w:space="0" w:color="auto"/>
        <w:left w:val="none" w:sz="0" w:space="0" w:color="auto"/>
        <w:bottom w:val="none" w:sz="0" w:space="0" w:color="auto"/>
        <w:right w:val="none" w:sz="0" w:space="0" w:color="auto"/>
      </w:divBdr>
    </w:div>
    <w:div w:id="745421287">
      <w:marLeft w:val="640"/>
      <w:marRight w:val="0"/>
      <w:marTop w:val="0"/>
      <w:marBottom w:val="0"/>
      <w:divBdr>
        <w:top w:val="none" w:sz="0" w:space="0" w:color="auto"/>
        <w:left w:val="none" w:sz="0" w:space="0" w:color="auto"/>
        <w:bottom w:val="none" w:sz="0" w:space="0" w:color="auto"/>
        <w:right w:val="none" w:sz="0" w:space="0" w:color="auto"/>
      </w:divBdr>
    </w:div>
    <w:div w:id="746465778">
      <w:marLeft w:val="640"/>
      <w:marRight w:val="0"/>
      <w:marTop w:val="0"/>
      <w:marBottom w:val="0"/>
      <w:divBdr>
        <w:top w:val="none" w:sz="0" w:space="0" w:color="auto"/>
        <w:left w:val="none" w:sz="0" w:space="0" w:color="auto"/>
        <w:bottom w:val="none" w:sz="0" w:space="0" w:color="auto"/>
        <w:right w:val="none" w:sz="0" w:space="0" w:color="auto"/>
      </w:divBdr>
    </w:div>
    <w:div w:id="746609714">
      <w:marLeft w:val="640"/>
      <w:marRight w:val="0"/>
      <w:marTop w:val="0"/>
      <w:marBottom w:val="0"/>
      <w:divBdr>
        <w:top w:val="none" w:sz="0" w:space="0" w:color="auto"/>
        <w:left w:val="none" w:sz="0" w:space="0" w:color="auto"/>
        <w:bottom w:val="none" w:sz="0" w:space="0" w:color="auto"/>
        <w:right w:val="none" w:sz="0" w:space="0" w:color="auto"/>
      </w:divBdr>
    </w:div>
    <w:div w:id="747072748">
      <w:marLeft w:val="640"/>
      <w:marRight w:val="0"/>
      <w:marTop w:val="0"/>
      <w:marBottom w:val="0"/>
      <w:divBdr>
        <w:top w:val="none" w:sz="0" w:space="0" w:color="auto"/>
        <w:left w:val="none" w:sz="0" w:space="0" w:color="auto"/>
        <w:bottom w:val="none" w:sz="0" w:space="0" w:color="auto"/>
        <w:right w:val="none" w:sz="0" w:space="0" w:color="auto"/>
      </w:divBdr>
    </w:div>
    <w:div w:id="747113674">
      <w:marLeft w:val="640"/>
      <w:marRight w:val="0"/>
      <w:marTop w:val="0"/>
      <w:marBottom w:val="0"/>
      <w:divBdr>
        <w:top w:val="none" w:sz="0" w:space="0" w:color="auto"/>
        <w:left w:val="none" w:sz="0" w:space="0" w:color="auto"/>
        <w:bottom w:val="none" w:sz="0" w:space="0" w:color="auto"/>
        <w:right w:val="none" w:sz="0" w:space="0" w:color="auto"/>
      </w:divBdr>
    </w:div>
    <w:div w:id="747118110">
      <w:marLeft w:val="640"/>
      <w:marRight w:val="0"/>
      <w:marTop w:val="0"/>
      <w:marBottom w:val="0"/>
      <w:divBdr>
        <w:top w:val="none" w:sz="0" w:space="0" w:color="auto"/>
        <w:left w:val="none" w:sz="0" w:space="0" w:color="auto"/>
        <w:bottom w:val="none" w:sz="0" w:space="0" w:color="auto"/>
        <w:right w:val="none" w:sz="0" w:space="0" w:color="auto"/>
      </w:divBdr>
    </w:div>
    <w:div w:id="749623352">
      <w:marLeft w:val="640"/>
      <w:marRight w:val="0"/>
      <w:marTop w:val="0"/>
      <w:marBottom w:val="0"/>
      <w:divBdr>
        <w:top w:val="none" w:sz="0" w:space="0" w:color="auto"/>
        <w:left w:val="none" w:sz="0" w:space="0" w:color="auto"/>
        <w:bottom w:val="none" w:sz="0" w:space="0" w:color="auto"/>
        <w:right w:val="none" w:sz="0" w:space="0" w:color="auto"/>
      </w:divBdr>
    </w:div>
    <w:div w:id="752431637">
      <w:marLeft w:val="640"/>
      <w:marRight w:val="0"/>
      <w:marTop w:val="0"/>
      <w:marBottom w:val="0"/>
      <w:divBdr>
        <w:top w:val="none" w:sz="0" w:space="0" w:color="auto"/>
        <w:left w:val="none" w:sz="0" w:space="0" w:color="auto"/>
        <w:bottom w:val="none" w:sz="0" w:space="0" w:color="auto"/>
        <w:right w:val="none" w:sz="0" w:space="0" w:color="auto"/>
      </w:divBdr>
    </w:div>
    <w:div w:id="753010092">
      <w:marLeft w:val="640"/>
      <w:marRight w:val="0"/>
      <w:marTop w:val="0"/>
      <w:marBottom w:val="0"/>
      <w:divBdr>
        <w:top w:val="none" w:sz="0" w:space="0" w:color="auto"/>
        <w:left w:val="none" w:sz="0" w:space="0" w:color="auto"/>
        <w:bottom w:val="none" w:sz="0" w:space="0" w:color="auto"/>
        <w:right w:val="none" w:sz="0" w:space="0" w:color="auto"/>
      </w:divBdr>
    </w:div>
    <w:div w:id="753941411">
      <w:marLeft w:val="640"/>
      <w:marRight w:val="0"/>
      <w:marTop w:val="0"/>
      <w:marBottom w:val="0"/>
      <w:divBdr>
        <w:top w:val="none" w:sz="0" w:space="0" w:color="auto"/>
        <w:left w:val="none" w:sz="0" w:space="0" w:color="auto"/>
        <w:bottom w:val="none" w:sz="0" w:space="0" w:color="auto"/>
        <w:right w:val="none" w:sz="0" w:space="0" w:color="auto"/>
      </w:divBdr>
    </w:div>
    <w:div w:id="755134224">
      <w:marLeft w:val="640"/>
      <w:marRight w:val="0"/>
      <w:marTop w:val="0"/>
      <w:marBottom w:val="0"/>
      <w:divBdr>
        <w:top w:val="none" w:sz="0" w:space="0" w:color="auto"/>
        <w:left w:val="none" w:sz="0" w:space="0" w:color="auto"/>
        <w:bottom w:val="none" w:sz="0" w:space="0" w:color="auto"/>
        <w:right w:val="none" w:sz="0" w:space="0" w:color="auto"/>
      </w:divBdr>
    </w:div>
    <w:div w:id="755369806">
      <w:marLeft w:val="640"/>
      <w:marRight w:val="0"/>
      <w:marTop w:val="0"/>
      <w:marBottom w:val="0"/>
      <w:divBdr>
        <w:top w:val="none" w:sz="0" w:space="0" w:color="auto"/>
        <w:left w:val="none" w:sz="0" w:space="0" w:color="auto"/>
        <w:bottom w:val="none" w:sz="0" w:space="0" w:color="auto"/>
        <w:right w:val="none" w:sz="0" w:space="0" w:color="auto"/>
      </w:divBdr>
    </w:div>
    <w:div w:id="756752274">
      <w:marLeft w:val="640"/>
      <w:marRight w:val="0"/>
      <w:marTop w:val="0"/>
      <w:marBottom w:val="0"/>
      <w:divBdr>
        <w:top w:val="none" w:sz="0" w:space="0" w:color="auto"/>
        <w:left w:val="none" w:sz="0" w:space="0" w:color="auto"/>
        <w:bottom w:val="none" w:sz="0" w:space="0" w:color="auto"/>
        <w:right w:val="none" w:sz="0" w:space="0" w:color="auto"/>
      </w:divBdr>
    </w:div>
    <w:div w:id="756826863">
      <w:marLeft w:val="640"/>
      <w:marRight w:val="0"/>
      <w:marTop w:val="0"/>
      <w:marBottom w:val="0"/>
      <w:divBdr>
        <w:top w:val="none" w:sz="0" w:space="0" w:color="auto"/>
        <w:left w:val="none" w:sz="0" w:space="0" w:color="auto"/>
        <w:bottom w:val="none" w:sz="0" w:space="0" w:color="auto"/>
        <w:right w:val="none" w:sz="0" w:space="0" w:color="auto"/>
      </w:divBdr>
    </w:div>
    <w:div w:id="757361589">
      <w:marLeft w:val="640"/>
      <w:marRight w:val="0"/>
      <w:marTop w:val="0"/>
      <w:marBottom w:val="0"/>
      <w:divBdr>
        <w:top w:val="none" w:sz="0" w:space="0" w:color="auto"/>
        <w:left w:val="none" w:sz="0" w:space="0" w:color="auto"/>
        <w:bottom w:val="none" w:sz="0" w:space="0" w:color="auto"/>
        <w:right w:val="none" w:sz="0" w:space="0" w:color="auto"/>
      </w:divBdr>
    </w:div>
    <w:div w:id="757487305">
      <w:marLeft w:val="640"/>
      <w:marRight w:val="0"/>
      <w:marTop w:val="0"/>
      <w:marBottom w:val="0"/>
      <w:divBdr>
        <w:top w:val="none" w:sz="0" w:space="0" w:color="auto"/>
        <w:left w:val="none" w:sz="0" w:space="0" w:color="auto"/>
        <w:bottom w:val="none" w:sz="0" w:space="0" w:color="auto"/>
        <w:right w:val="none" w:sz="0" w:space="0" w:color="auto"/>
      </w:divBdr>
    </w:div>
    <w:div w:id="758021077">
      <w:marLeft w:val="640"/>
      <w:marRight w:val="0"/>
      <w:marTop w:val="0"/>
      <w:marBottom w:val="0"/>
      <w:divBdr>
        <w:top w:val="none" w:sz="0" w:space="0" w:color="auto"/>
        <w:left w:val="none" w:sz="0" w:space="0" w:color="auto"/>
        <w:bottom w:val="none" w:sz="0" w:space="0" w:color="auto"/>
        <w:right w:val="none" w:sz="0" w:space="0" w:color="auto"/>
      </w:divBdr>
    </w:div>
    <w:div w:id="758479498">
      <w:marLeft w:val="640"/>
      <w:marRight w:val="0"/>
      <w:marTop w:val="0"/>
      <w:marBottom w:val="0"/>
      <w:divBdr>
        <w:top w:val="none" w:sz="0" w:space="0" w:color="auto"/>
        <w:left w:val="none" w:sz="0" w:space="0" w:color="auto"/>
        <w:bottom w:val="none" w:sz="0" w:space="0" w:color="auto"/>
        <w:right w:val="none" w:sz="0" w:space="0" w:color="auto"/>
      </w:divBdr>
    </w:div>
    <w:div w:id="758721383">
      <w:marLeft w:val="640"/>
      <w:marRight w:val="0"/>
      <w:marTop w:val="0"/>
      <w:marBottom w:val="0"/>
      <w:divBdr>
        <w:top w:val="none" w:sz="0" w:space="0" w:color="auto"/>
        <w:left w:val="none" w:sz="0" w:space="0" w:color="auto"/>
        <w:bottom w:val="none" w:sz="0" w:space="0" w:color="auto"/>
        <w:right w:val="none" w:sz="0" w:space="0" w:color="auto"/>
      </w:divBdr>
    </w:div>
    <w:div w:id="759713313">
      <w:marLeft w:val="640"/>
      <w:marRight w:val="0"/>
      <w:marTop w:val="0"/>
      <w:marBottom w:val="0"/>
      <w:divBdr>
        <w:top w:val="none" w:sz="0" w:space="0" w:color="auto"/>
        <w:left w:val="none" w:sz="0" w:space="0" w:color="auto"/>
        <w:bottom w:val="none" w:sz="0" w:space="0" w:color="auto"/>
        <w:right w:val="none" w:sz="0" w:space="0" w:color="auto"/>
      </w:divBdr>
    </w:div>
    <w:div w:id="760445555">
      <w:marLeft w:val="640"/>
      <w:marRight w:val="0"/>
      <w:marTop w:val="0"/>
      <w:marBottom w:val="0"/>
      <w:divBdr>
        <w:top w:val="none" w:sz="0" w:space="0" w:color="auto"/>
        <w:left w:val="none" w:sz="0" w:space="0" w:color="auto"/>
        <w:bottom w:val="none" w:sz="0" w:space="0" w:color="auto"/>
        <w:right w:val="none" w:sz="0" w:space="0" w:color="auto"/>
      </w:divBdr>
    </w:div>
    <w:div w:id="760612988">
      <w:marLeft w:val="640"/>
      <w:marRight w:val="0"/>
      <w:marTop w:val="0"/>
      <w:marBottom w:val="0"/>
      <w:divBdr>
        <w:top w:val="none" w:sz="0" w:space="0" w:color="auto"/>
        <w:left w:val="none" w:sz="0" w:space="0" w:color="auto"/>
        <w:bottom w:val="none" w:sz="0" w:space="0" w:color="auto"/>
        <w:right w:val="none" w:sz="0" w:space="0" w:color="auto"/>
      </w:divBdr>
    </w:div>
    <w:div w:id="760759567">
      <w:marLeft w:val="640"/>
      <w:marRight w:val="0"/>
      <w:marTop w:val="0"/>
      <w:marBottom w:val="0"/>
      <w:divBdr>
        <w:top w:val="none" w:sz="0" w:space="0" w:color="auto"/>
        <w:left w:val="none" w:sz="0" w:space="0" w:color="auto"/>
        <w:bottom w:val="none" w:sz="0" w:space="0" w:color="auto"/>
        <w:right w:val="none" w:sz="0" w:space="0" w:color="auto"/>
      </w:divBdr>
    </w:div>
    <w:div w:id="761529957">
      <w:marLeft w:val="640"/>
      <w:marRight w:val="0"/>
      <w:marTop w:val="0"/>
      <w:marBottom w:val="0"/>
      <w:divBdr>
        <w:top w:val="none" w:sz="0" w:space="0" w:color="auto"/>
        <w:left w:val="none" w:sz="0" w:space="0" w:color="auto"/>
        <w:bottom w:val="none" w:sz="0" w:space="0" w:color="auto"/>
        <w:right w:val="none" w:sz="0" w:space="0" w:color="auto"/>
      </w:divBdr>
    </w:div>
    <w:div w:id="761605981">
      <w:marLeft w:val="640"/>
      <w:marRight w:val="0"/>
      <w:marTop w:val="0"/>
      <w:marBottom w:val="0"/>
      <w:divBdr>
        <w:top w:val="none" w:sz="0" w:space="0" w:color="auto"/>
        <w:left w:val="none" w:sz="0" w:space="0" w:color="auto"/>
        <w:bottom w:val="none" w:sz="0" w:space="0" w:color="auto"/>
        <w:right w:val="none" w:sz="0" w:space="0" w:color="auto"/>
      </w:divBdr>
    </w:div>
    <w:div w:id="762338028">
      <w:marLeft w:val="640"/>
      <w:marRight w:val="0"/>
      <w:marTop w:val="0"/>
      <w:marBottom w:val="0"/>
      <w:divBdr>
        <w:top w:val="none" w:sz="0" w:space="0" w:color="auto"/>
        <w:left w:val="none" w:sz="0" w:space="0" w:color="auto"/>
        <w:bottom w:val="none" w:sz="0" w:space="0" w:color="auto"/>
        <w:right w:val="none" w:sz="0" w:space="0" w:color="auto"/>
      </w:divBdr>
    </w:div>
    <w:div w:id="762651209">
      <w:marLeft w:val="640"/>
      <w:marRight w:val="0"/>
      <w:marTop w:val="0"/>
      <w:marBottom w:val="0"/>
      <w:divBdr>
        <w:top w:val="none" w:sz="0" w:space="0" w:color="auto"/>
        <w:left w:val="none" w:sz="0" w:space="0" w:color="auto"/>
        <w:bottom w:val="none" w:sz="0" w:space="0" w:color="auto"/>
        <w:right w:val="none" w:sz="0" w:space="0" w:color="auto"/>
      </w:divBdr>
    </w:div>
    <w:div w:id="762724681">
      <w:marLeft w:val="640"/>
      <w:marRight w:val="0"/>
      <w:marTop w:val="0"/>
      <w:marBottom w:val="0"/>
      <w:divBdr>
        <w:top w:val="none" w:sz="0" w:space="0" w:color="auto"/>
        <w:left w:val="none" w:sz="0" w:space="0" w:color="auto"/>
        <w:bottom w:val="none" w:sz="0" w:space="0" w:color="auto"/>
        <w:right w:val="none" w:sz="0" w:space="0" w:color="auto"/>
      </w:divBdr>
    </w:div>
    <w:div w:id="763574812">
      <w:marLeft w:val="640"/>
      <w:marRight w:val="0"/>
      <w:marTop w:val="0"/>
      <w:marBottom w:val="0"/>
      <w:divBdr>
        <w:top w:val="none" w:sz="0" w:space="0" w:color="auto"/>
        <w:left w:val="none" w:sz="0" w:space="0" w:color="auto"/>
        <w:bottom w:val="none" w:sz="0" w:space="0" w:color="auto"/>
        <w:right w:val="none" w:sz="0" w:space="0" w:color="auto"/>
      </w:divBdr>
    </w:div>
    <w:div w:id="764770369">
      <w:marLeft w:val="640"/>
      <w:marRight w:val="0"/>
      <w:marTop w:val="0"/>
      <w:marBottom w:val="0"/>
      <w:divBdr>
        <w:top w:val="none" w:sz="0" w:space="0" w:color="auto"/>
        <w:left w:val="none" w:sz="0" w:space="0" w:color="auto"/>
        <w:bottom w:val="none" w:sz="0" w:space="0" w:color="auto"/>
        <w:right w:val="none" w:sz="0" w:space="0" w:color="auto"/>
      </w:divBdr>
    </w:div>
    <w:div w:id="765418228">
      <w:marLeft w:val="640"/>
      <w:marRight w:val="0"/>
      <w:marTop w:val="0"/>
      <w:marBottom w:val="0"/>
      <w:divBdr>
        <w:top w:val="none" w:sz="0" w:space="0" w:color="auto"/>
        <w:left w:val="none" w:sz="0" w:space="0" w:color="auto"/>
        <w:bottom w:val="none" w:sz="0" w:space="0" w:color="auto"/>
        <w:right w:val="none" w:sz="0" w:space="0" w:color="auto"/>
      </w:divBdr>
    </w:div>
    <w:div w:id="765657142">
      <w:marLeft w:val="640"/>
      <w:marRight w:val="0"/>
      <w:marTop w:val="0"/>
      <w:marBottom w:val="0"/>
      <w:divBdr>
        <w:top w:val="none" w:sz="0" w:space="0" w:color="auto"/>
        <w:left w:val="none" w:sz="0" w:space="0" w:color="auto"/>
        <w:bottom w:val="none" w:sz="0" w:space="0" w:color="auto"/>
        <w:right w:val="none" w:sz="0" w:space="0" w:color="auto"/>
      </w:divBdr>
    </w:div>
    <w:div w:id="766658847">
      <w:marLeft w:val="640"/>
      <w:marRight w:val="0"/>
      <w:marTop w:val="0"/>
      <w:marBottom w:val="0"/>
      <w:divBdr>
        <w:top w:val="none" w:sz="0" w:space="0" w:color="auto"/>
        <w:left w:val="none" w:sz="0" w:space="0" w:color="auto"/>
        <w:bottom w:val="none" w:sz="0" w:space="0" w:color="auto"/>
        <w:right w:val="none" w:sz="0" w:space="0" w:color="auto"/>
      </w:divBdr>
    </w:div>
    <w:div w:id="767894142">
      <w:marLeft w:val="640"/>
      <w:marRight w:val="0"/>
      <w:marTop w:val="0"/>
      <w:marBottom w:val="0"/>
      <w:divBdr>
        <w:top w:val="none" w:sz="0" w:space="0" w:color="auto"/>
        <w:left w:val="none" w:sz="0" w:space="0" w:color="auto"/>
        <w:bottom w:val="none" w:sz="0" w:space="0" w:color="auto"/>
        <w:right w:val="none" w:sz="0" w:space="0" w:color="auto"/>
      </w:divBdr>
    </w:div>
    <w:div w:id="768163607">
      <w:marLeft w:val="640"/>
      <w:marRight w:val="0"/>
      <w:marTop w:val="0"/>
      <w:marBottom w:val="0"/>
      <w:divBdr>
        <w:top w:val="none" w:sz="0" w:space="0" w:color="auto"/>
        <w:left w:val="none" w:sz="0" w:space="0" w:color="auto"/>
        <w:bottom w:val="none" w:sz="0" w:space="0" w:color="auto"/>
        <w:right w:val="none" w:sz="0" w:space="0" w:color="auto"/>
      </w:divBdr>
    </w:div>
    <w:div w:id="768738568">
      <w:marLeft w:val="640"/>
      <w:marRight w:val="0"/>
      <w:marTop w:val="0"/>
      <w:marBottom w:val="0"/>
      <w:divBdr>
        <w:top w:val="none" w:sz="0" w:space="0" w:color="auto"/>
        <w:left w:val="none" w:sz="0" w:space="0" w:color="auto"/>
        <w:bottom w:val="none" w:sz="0" w:space="0" w:color="auto"/>
        <w:right w:val="none" w:sz="0" w:space="0" w:color="auto"/>
      </w:divBdr>
    </w:div>
    <w:div w:id="768887243">
      <w:marLeft w:val="640"/>
      <w:marRight w:val="0"/>
      <w:marTop w:val="0"/>
      <w:marBottom w:val="0"/>
      <w:divBdr>
        <w:top w:val="none" w:sz="0" w:space="0" w:color="auto"/>
        <w:left w:val="none" w:sz="0" w:space="0" w:color="auto"/>
        <w:bottom w:val="none" w:sz="0" w:space="0" w:color="auto"/>
        <w:right w:val="none" w:sz="0" w:space="0" w:color="auto"/>
      </w:divBdr>
    </w:div>
    <w:div w:id="769399785">
      <w:marLeft w:val="640"/>
      <w:marRight w:val="0"/>
      <w:marTop w:val="0"/>
      <w:marBottom w:val="0"/>
      <w:divBdr>
        <w:top w:val="none" w:sz="0" w:space="0" w:color="auto"/>
        <w:left w:val="none" w:sz="0" w:space="0" w:color="auto"/>
        <w:bottom w:val="none" w:sz="0" w:space="0" w:color="auto"/>
        <w:right w:val="none" w:sz="0" w:space="0" w:color="auto"/>
      </w:divBdr>
    </w:div>
    <w:div w:id="769786315">
      <w:marLeft w:val="640"/>
      <w:marRight w:val="0"/>
      <w:marTop w:val="0"/>
      <w:marBottom w:val="0"/>
      <w:divBdr>
        <w:top w:val="none" w:sz="0" w:space="0" w:color="auto"/>
        <w:left w:val="none" w:sz="0" w:space="0" w:color="auto"/>
        <w:bottom w:val="none" w:sz="0" w:space="0" w:color="auto"/>
        <w:right w:val="none" w:sz="0" w:space="0" w:color="auto"/>
      </w:divBdr>
    </w:div>
    <w:div w:id="770054673">
      <w:marLeft w:val="640"/>
      <w:marRight w:val="0"/>
      <w:marTop w:val="0"/>
      <w:marBottom w:val="0"/>
      <w:divBdr>
        <w:top w:val="none" w:sz="0" w:space="0" w:color="auto"/>
        <w:left w:val="none" w:sz="0" w:space="0" w:color="auto"/>
        <w:bottom w:val="none" w:sz="0" w:space="0" w:color="auto"/>
        <w:right w:val="none" w:sz="0" w:space="0" w:color="auto"/>
      </w:divBdr>
    </w:div>
    <w:div w:id="770513591">
      <w:marLeft w:val="640"/>
      <w:marRight w:val="0"/>
      <w:marTop w:val="0"/>
      <w:marBottom w:val="0"/>
      <w:divBdr>
        <w:top w:val="none" w:sz="0" w:space="0" w:color="auto"/>
        <w:left w:val="none" w:sz="0" w:space="0" w:color="auto"/>
        <w:bottom w:val="none" w:sz="0" w:space="0" w:color="auto"/>
        <w:right w:val="none" w:sz="0" w:space="0" w:color="auto"/>
      </w:divBdr>
    </w:div>
    <w:div w:id="770589464">
      <w:marLeft w:val="640"/>
      <w:marRight w:val="0"/>
      <w:marTop w:val="0"/>
      <w:marBottom w:val="0"/>
      <w:divBdr>
        <w:top w:val="none" w:sz="0" w:space="0" w:color="auto"/>
        <w:left w:val="none" w:sz="0" w:space="0" w:color="auto"/>
        <w:bottom w:val="none" w:sz="0" w:space="0" w:color="auto"/>
        <w:right w:val="none" w:sz="0" w:space="0" w:color="auto"/>
      </w:divBdr>
    </w:div>
    <w:div w:id="770900784">
      <w:marLeft w:val="640"/>
      <w:marRight w:val="0"/>
      <w:marTop w:val="0"/>
      <w:marBottom w:val="0"/>
      <w:divBdr>
        <w:top w:val="none" w:sz="0" w:space="0" w:color="auto"/>
        <w:left w:val="none" w:sz="0" w:space="0" w:color="auto"/>
        <w:bottom w:val="none" w:sz="0" w:space="0" w:color="auto"/>
        <w:right w:val="none" w:sz="0" w:space="0" w:color="auto"/>
      </w:divBdr>
    </w:div>
    <w:div w:id="771978889">
      <w:marLeft w:val="640"/>
      <w:marRight w:val="0"/>
      <w:marTop w:val="0"/>
      <w:marBottom w:val="0"/>
      <w:divBdr>
        <w:top w:val="none" w:sz="0" w:space="0" w:color="auto"/>
        <w:left w:val="none" w:sz="0" w:space="0" w:color="auto"/>
        <w:bottom w:val="none" w:sz="0" w:space="0" w:color="auto"/>
        <w:right w:val="none" w:sz="0" w:space="0" w:color="auto"/>
      </w:divBdr>
    </w:div>
    <w:div w:id="772553081">
      <w:marLeft w:val="640"/>
      <w:marRight w:val="0"/>
      <w:marTop w:val="0"/>
      <w:marBottom w:val="0"/>
      <w:divBdr>
        <w:top w:val="none" w:sz="0" w:space="0" w:color="auto"/>
        <w:left w:val="none" w:sz="0" w:space="0" w:color="auto"/>
        <w:bottom w:val="none" w:sz="0" w:space="0" w:color="auto"/>
        <w:right w:val="none" w:sz="0" w:space="0" w:color="auto"/>
      </w:divBdr>
    </w:div>
    <w:div w:id="773095236">
      <w:marLeft w:val="640"/>
      <w:marRight w:val="0"/>
      <w:marTop w:val="0"/>
      <w:marBottom w:val="0"/>
      <w:divBdr>
        <w:top w:val="none" w:sz="0" w:space="0" w:color="auto"/>
        <w:left w:val="none" w:sz="0" w:space="0" w:color="auto"/>
        <w:bottom w:val="none" w:sz="0" w:space="0" w:color="auto"/>
        <w:right w:val="none" w:sz="0" w:space="0" w:color="auto"/>
      </w:divBdr>
    </w:div>
    <w:div w:id="774329869">
      <w:marLeft w:val="640"/>
      <w:marRight w:val="0"/>
      <w:marTop w:val="0"/>
      <w:marBottom w:val="0"/>
      <w:divBdr>
        <w:top w:val="none" w:sz="0" w:space="0" w:color="auto"/>
        <w:left w:val="none" w:sz="0" w:space="0" w:color="auto"/>
        <w:bottom w:val="none" w:sz="0" w:space="0" w:color="auto"/>
        <w:right w:val="none" w:sz="0" w:space="0" w:color="auto"/>
      </w:divBdr>
    </w:div>
    <w:div w:id="774785904">
      <w:marLeft w:val="640"/>
      <w:marRight w:val="0"/>
      <w:marTop w:val="0"/>
      <w:marBottom w:val="0"/>
      <w:divBdr>
        <w:top w:val="none" w:sz="0" w:space="0" w:color="auto"/>
        <w:left w:val="none" w:sz="0" w:space="0" w:color="auto"/>
        <w:bottom w:val="none" w:sz="0" w:space="0" w:color="auto"/>
        <w:right w:val="none" w:sz="0" w:space="0" w:color="auto"/>
      </w:divBdr>
    </w:div>
    <w:div w:id="775053786">
      <w:marLeft w:val="640"/>
      <w:marRight w:val="0"/>
      <w:marTop w:val="0"/>
      <w:marBottom w:val="0"/>
      <w:divBdr>
        <w:top w:val="none" w:sz="0" w:space="0" w:color="auto"/>
        <w:left w:val="none" w:sz="0" w:space="0" w:color="auto"/>
        <w:bottom w:val="none" w:sz="0" w:space="0" w:color="auto"/>
        <w:right w:val="none" w:sz="0" w:space="0" w:color="auto"/>
      </w:divBdr>
    </w:div>
    <w:div w:id="775171481">
      <w:marLeft w:val="640"/>
      <w:marRight w:val="0"/>
      <w:marTop w:val="0"/>
      <w:marBottom w:val="0"/>
      <w:divBdr>
        <w:top w:val="none" w:sz="0" w:space="0" w:color="auto"/>
        <w:left w:val="none" w:sz="0" w:space="0" w:color="auto"/>
        <w:bottom w:val="none" w:sz="0" w:space="0" w:color="auto"/>
        <w:right w:val="none" w:sz="0" w:space="0" w:color="auto"/>
      </w:divBdr>
    </w:div>
    <w:div w:id="775490988">
      <w:marLeft w:val="640"/>
      <w:marRight w:val="0"/>
      <w:marTop w:val="0"/>
      <w:marBottom w:val="0"/>
      <w:divBdr>
        <w:top w:val="none" w:sz="0" w:space="0" w:color="auto"/>
        <w:left w:val="none" w:sz="0" w:space="0" w:color="auto"/>
        <w:bottom w:val="none" w:sz="0" w:space="0" w:color="auto"/>
        <w:right w:val="none" w:sz="0" w:space="0" w:color="auto"/>
      </w:divBdr>
    </w:div>
    <w:div w:id="775557492">
      <w:marLeft w:val="640"/>
      <w:marRight w:val="0"/>
      <w:marTop w:val="0"/>
      <w:marBottom w:val="0"/>
      <w:divBdr>
        <w:top w:val="none" w:sz="0" w:space="0" w:color="auto"/>
        <w:left w:val="none" w:sz="0" w:space="0" w:color="auto"/>
        <w:bottom w:val="none" w:sz="0" w:space="0" w:color="auto"/>
        <w:right w:val="none" w:sz="0" w:space="0" w:color="auto"/>
      </w:divBdr>
    </w:div>
    <w:div w:id="776488733">
      <w:marLeft w:val="640"/>
      <w:marRight w:val="0"/>
      <w:marTop w:val="0"/>
      <w:marBottom w:val="0"/>
      <w:divBdr>
        <w:top w:val="none" w:sz="0" w:space="0" w:color="auto"/>
        <w:left w:val="none" w:sz="0" w:space="0" w:color="auto"/>
        <w:bottom w:val="none" w:sz="0" w:space="0" w:color="auto"/>
        <w:right w:val="none" w:sz="0" w:space="0" w:color="auto"/>
      </w:divBdr>
    </w:div>
    <w:div w:id="776681397">
      <w:marLeft w:val="640"/>
      <w:marRight w:val="0"/>
      <w:marTop w:val="0"/>
      <w:marBottom w:val="0"/>
      <w:divBdr>
        <w:top w:val="none" w:sz="0" w:space="0" w:color="auto"/>
        <w:left w:val="none" w:sz="0" w:space="0" w:color="auto"/>
        <w:bottom w:val="none" w:sz="0" w:space="0" w:color="auto"/>
        <w:right w:val="none" w:sz="0" w:space="0" w:color="auto"/>
      </w:divBdr>
    </w:div>
    <w:div w:id="776684041">
      <w:marLeft w:val="640"/>
      <w:marRight w:val="0"/>
      <w:marTop w:val="0"/>
      <w:marBottom w:val="0"/>
      <w:divBdr>
        <w:top w:val="none" w:sz="0" w:space="0" w:color="auto"/>
        <w:left w:val="none" w:sz="0" w:space="0" w:color="auto"/>
        <w:bottom w:val="none" w:sz="0" w:space="0" w:color="auto"/>
        <w:right w:val="none" w:sz="0" w:space="0" w:color="auto"/>
      </w:divBdr>
    </w:div>
    <w:div w:id="776751667">
      <w:marLeft w:val="640"/>
      <w:marRight w:val="0"/>
      <w:marTop w:val="0"/>
      <w:marBottom w:val="0"/>
      <w:divBdr>
        <w:top w:val="none" w:sz="0" w:space="0" w:color="auto"/>
        <w:left w:val="none" w:sz="0" w:space="0" w:color="auto"/>
        <w:bottom w:val="none" w:sz="0" w:space="0" w:color="auto"/>
        <w:right w:val="none" w:sz="0" w:space="0" w:color="auto"/>
      </w:divBdr>
    </w:div>
    <w:div w:id="776756574">
      <w:marLeft w:val="640"/>
      <w:marRight w:val="0"/>
      <w:marTop w:val="0"/>
      <w:marBottom w:val="0"/>
      <w:divBdr>
        <w:top w:val="none" w:sz="0" w:space="0" w:color="auto"/>
        <w:left w:val="none" w:sz="0" w:space="0" w:color="auto"/>
        <w:bottom w:val="none" w:sz="0" w:space="0" w:color="auto"/>
        <w:right w:val="none" w:sz="0" w:space="0" w:color="auto"/>
      </w:divBdr>
    </w:div>
    <w:div w:id="776873340">
      <w:marLeft w:val="640"/>
      <w:marRight w:val="0"/>
      <w:marTop w:val="0"/>
      <w:marBottom w:val="0"/>
      <w:divBdr>
        <w:top w:val="none" w:sz="0" w:space="0" w:color="auto"/>
        <w:left w:val="none" w:sz="0" w:space="0" w:color="auto"/>
        <w:bottom w:val="none" w:sz="0" w:space="0" w:color="auto"/>
        <w:right w:val="none" w:sz="0" w:space="0" w:color="auto"/>
      </w:divBdr>
    </w:div>
    <w:div w:id="777257033">
      <w:marLeft w:val="640"/>
      <w:marRight w:val="0"/>
      <w:marTop w:val="0"/>
      <w:marBottom w:val="0"/>
      <w:divBdr>
        <w:top w:val="none" w:sz="0" w:space="0" w:color="auto"/>
        <w:left w:val="none" w:sz="0" w:space="0" w:color="auto"/>
        <w:bottom w:val="none" w:sz="0" w:space="0" w:color="auto"/>
        <w:right w:val="none" w:sz="0" w:space="0" w:color="auto"/>
      </w:divBdr>
    </w:div>
    <w:div w:id="777528355">
      <w:marLeft w:val="640"/>
      <w:marRight w:val="0"/>
      <w:marTop w:val="0"/>
      <w:marBottom w:val="0"/>
      <w:divBdr>
        <w:top w:val="none" w:sz="0" w:space="0" w:color="auto"/>
        <w:left w:val="none" w:sz="0" w:space="0" w:color="auto"/>
        <w:bottom w:val="none" w:sz="0" w:space="0" w:color="auto"/>
        <w:right w:val="none" w:sz="0" w:space="0" w:color="auto"/>
      </w:divBdr>
    </w:div>
    <w:div w:id="777722172">
      <w:marLeft w:val="640"/>
      <w:marRight w:val="0"/>
      <w:marTop w:val="0"/>
      <w:marBottom w:val="0"/>
      <w:divBdr>
        <w:top w:val="none" w:sz="0" w:space="0" w:color="auto"/>
        <w:left w:val="none" w:sz="0" w:space="0" w:color="auto"/>
        <w:bottom w:val="none" w:sz="0" w:space="0" w:color="auto"/>
        <w:right w:val="none" w:sz="0" w:space="0" w:color="auto"/>
      </w:divBdr>
    </w:div>
    <w:div w:id="778138638">
      <w:marLeft w:val="640"/>
      <w:marRight w:val="0"/>
      <w:marTop w:val="0"/>
      <w:marBottom w:val="0"/>
      <w:divBdr>
        <w:top w:val="none" w:sz="0" w:space="0" w:color="auto"/>
        <w:left w:val="none" w:sz="0" w:space="0" w:color="auto"/>
        <w:bottom w:val="none" w:sz="0" w:space="0" w:color="auto"/>
        <w:right w:val="none" w:sz="0" w:space="0" w:color="auto"/>
      </w:divBdr>
    </w:div>
    <w:div w:id="778181567">
      <w:marLeft w:val="640"/>
      <w:marRight w:val="0"/>
      <w:marTop w:val="0"/>
      <w:marBottom w:val="0"/>
      <w:divBdr>
        <w:top w:val="none" w:sz="0" w:space="0" w:color="auto"/>
        <w:left w:val="none" w:sz="0" w:space="0" w:color="auto"/>
        <w:bottom w:val="none" w:sz="0" w:space="0" w:color="auto"/>
        <w:right w:val="none" w:sz="0" w:space="0" w:color="auto"/>
      </w:divBdr>
    </w:div>
    <w:div w:id="778332632">
      <w:marLeft w:val="640"/>
      <w:marRight w:val="0"/>
      <w:marTop w:val="0"/>
      <w:marBottom w:val="0"/>
      <w:divBdr>
        <w:top w:val="none" w:sz="0" w:space="0" w:color="auto"/>
        <w:left w:val="none" w:sz="0" w:space="0" w:color="auto"/>
        <w:bottom w:val="none" w:sz="0" w:space="0" w:color="auto"/>
        <w:right w:val="none" w:sz="0" w:space="0" w:color="auto"/>
      </w:divBdr>
    </w:div>
    <w:div w:id="779759972">
      <w:marLeft w:val="640"/>
      <w:marRight w:val="0"/>
      <w:marTop w:val="0"/>
      <w:marBottom w:val="0"/>
      <w:divBdr>
        <w:top w:val="none" w:sz="0" w:space="0" w:color="auto"/>
        <w:left w:val="none" w:sz="0" w:space="0" w:color="auto"/>
        <w:bottom w:val="none" w:sz="0" w:space="0" w:color="auto"/>
        <w:right w:val="none" w:sz="0" w:space="0" w:color="auto"/>
      </w:divBdr>
    </w:div>
    <w:div w:id="781729593">
      <w:marLeft w:val="640"/>
      <w:marRight w:val="0"/>
      <w:marTop w:val="0"/>
      <w:marBottom w:val="0"/>
      <w:divBdr>
        <w:top w:val="none" w:sz="0" w:space="0" w:color="auto"/>
        <w:left w:val="none" w:sz="0" w:space="0" w:color="auto"/>
        <w:bottom w:val="none" w:sz="0" w:space="0" w:color="auto"/>
        <w:right w:val="none" w:sz="0" w:space="0" w:color="auto"/>
      </w:divBdr>
    </w:div>
    <w:div w:id="781805550">
      <w:marLeft w:val="640"/>
      <w:marRight w:val="0"/>
      <w:marTop w:val="0"/>
      <w:marBottom w:val="0"/>
      <w:divBdr>
        <w:top w:val="none" w:sz="0" w:space="0" w:color="auto"/>
        <w:left w:val="none" w:sz="0" w:space="0" w:color="auto"/>
        <w:bottom w:val="none" w:sz="0" w:space="0" w:color="auto"/>
        <w:right w:val="none" w:sz="0" w:space="0" w:color="auto"/>
      </w:divBdr>
    </w:div>
    <w:div w:id="781849971">
      <w:marLeft w:val="640"/>
      <w:marRight w:val="0"/>
      <w:marTop w:val="0"/>
      <w:marBottom w:val="0"/>
      <w:divBdr>
        <w:top w:val="none" w:sz="0" w:space="0" w:color="auto"/>
        <w:left w:val="none" w:sz="0" w:space="0" w:color="auto"/>
        <w:bottom w:val="none" w:sz="0" w:space="0" w:color="auto"/>
        <w:right w:val="none" w:sz="0" w:space="0" w:color="auto"/>
      </w:divBdr>
    </w:div>
    <w:div w:id="782069907">
      <w:marLeft w:val="640"/>
      <w:marRight w:val="0"/>
      <w:marTop w:val="0"/>
      <w:marBottom w:val="0"/>
      <w:divBdr>
        <w:top w:val="none" w:sz="0" w:space="0" w:color="auto"/>
        <w:left w:val="none" w:sz="0" w:space="0" w:color="auto"/>
        <w:bottom w:val="none" w:sz="0" w:space="0" w:color="auto"/>
        <w:right w:val="none" w:sz="0" w:space="0" w:color="auto"/>
      </w:divBdr>
    </w:div>
    <w:div w:id="782503166">
      <w:marLeft w:val="640"/>
      <w:marRight w:val="0"/>
      <w:marTop w:val="0"/>
      <w:marBottom w:val="0"/>
      <w:divBdr>
        <w:top w:val="none" w:sz="0" w:space="0" w:color="auto"/>
        <w:left w:val="none" w:sz="0" w:space="0" w:color="auto"/>
        <w:bottom w:val="none" w:sz="0" w:space="0" w:color="auto"/>
        <w:right w:val="none" w:sz="0" w:space="0" w:color="auto"/>
      </w:divBdr>
    </w:div>
    <w:div w:id="783502406">
      <w:marLeft w:val="640"/>
      <w:marRight w:val="0"/>
      <w:marTop w:val="0"/>
      <w:marBottom w:val="0"/>
      <w:divBdr>
        <w:top w:val="none" w:sz="0" w:space="0" w:color="auto"/>
        <w:left w:val="none" w:sz="0" w:space="0" w:color="auto"/>
        <w:bottom w:val="none" w:sz="0" w:space="0" w:color="auto"/>
        <w:right w:val="none" w:sz="0" w:space="0" w:color="auto"/>
      </w:divBdr>
    </w:div>
    <w:div w:id="784352653">
      <w:marLeft w:val="640"/>
      <w:marRight w:val="0"/>
      <w:marTop w:val="0"/>
      <w:marBottom w:val="0"/>
      <w:divBdr>
        <w:top w:val="none" w:sz="0" w:space="0" w:color="auto"/>
        <w:left w:val="none" w:sz="0" w:space="0" w:color="auto"/>
        <w:bottom w:val="none" w:sz="0" w:space="0" w:color="auto"/>
        <w:right w:val="none" w:sz="0" w:space="0" w:color="auto"/>
      </w:divBdr>
    </w:div>
    <w:div w:id="784540079">
      <w:marLeft w:val="640"/>
      <w:marRight w:val="0"/>
      <w:marTop w:val="0"/>
      <w:marBottom w:val="0"/>
      <w:divBdr>
        <w:top w:val="none" w:sz="0" w:space="0" w:color="auto"/>
        <w:left w:val="none" w:sz="0" w:space="0" w:color="auto"/>
        <w:bottom w:val="none" w:sz="0" w:space="0" w:color="auto"/>
        <w:right w:val="none" w:sz="0" w:space="0" w:color="auto"/>
      </w:divBdr>
    </w:div>
    <w:div w:id="784739451">
      <w:marLeft w:val="640"/>
      <w:marRight w:val="0"/>
      <w:marTop w:val="0"/>
      <w:marBottom w:val="0"/>
      <w:divBdr>
        <w:top w:val="none" w:sz="0" w:space="0" w:color="auto"/>
        <w:left w:val="none" w:sz="0" w:space="0" w:color="auto"/>
        <w:bottom w:val="none" w:sz="0" w:space="0" w:color="auto"/>
        <w:right w:val="none" w:sz="0" w:space="0" w:color="auto"/>
      </w:divBdr>
    </w:div>
    <w:div w:id="787549800">
      <w:marLeft w:val="640"/>
      <w:marRight w:val="0"/>
      <w:marTop w:val="0"/>
      <w:marBottom w:val="0"/>
      <w:divBdr>
        <w:top w:val="none" w:sz="0" w:space="0" w:color="auto"/>
        <w:left w:val="none" w:sz="0" w:space="0" w:color="auto"/>
        <w:bottom w:val="none" w:sz="0" w:space="0" w:color="auto"/>
        <w:right w:val="none" w:sz="0" w:space="0" w:color="auto"/>
      </w:divBdr>
    </w:div>
    <w:div w:id="787554964">
      <w:marLeft w:val="640"/>
      <w:marRight w:val="0"/>
      <w:marTop w:val="0"/>
      <w:marBottom w:val="0"/>
      <w:divBdr>
        <w:top w:val="none" w:sz="0" w:space="0" w:color="auto"/>
        <w:left w:val="none" w:sz="0" w:space="0" w:color="auto"/>
        <w:bottom w:val="none" w:sz="0" w:space="0" w:color="auto"/>
        <w:right w:val="none" w:sz="0" w:space="0" w:color="auto"/>
      </w:divBdr>
    </w:div>
    <w:div w:id="788400706">
      <w:marLeft w:val="640"/>
      <w:marRight w:val="0"/>
      <w:marTop w:val="0"/>
      <w:marBottom w:val="0"/>
      <w:divBdr>
        <w:top w:val="none" w:sz="0" w:space="0" w:color="auto"/>
        <w:left w:val="none" w:sz="0" w:space="0" w:color="auto"/>
        <w:bottom w:val="none" w:sz="0" w:space="0" w:color="auto"/>
        <w:right w:val="none" w:sz="0" w:space="0" w:color="auto"/>
      </w:divBdr>
    </w:div>
    <w:div w:id="789864056">
      <w:marLeft w:val="640"/>
      <w:marRight w:val="0"/>
      <w:marTop w:val="0"/>
      <w:marBottom w:val="0"/>
      <w:divBdr>
        <w:top w:val="none" w:sz="0" w:space="0" w:color="auto"/>
        <w:left w:val="none" w:sz="0" w:space="0" w:color="auto"/>
        <w:bottom w:val="none" w:sz="0" w:space="0" w:color="auto"/>
        <w:right w:val="none" w:sz="0" w:space="0" w:color="auto"/>
      </w:divBdr>
    </w:div>
    <w:div w:id="790167992">
      <w:marLeft w:val="640"/>
      <w:marRight w:val="0"/>
      <w:marTop w:val="0"/>
      <w:marBottom w:val="0"/>
      <w:divBdr>
        <w:top w:val="none" w:sz="0" w:space="0" w:color="auto"/>
        <w:left w:val="none" w:sz="0" w:space="0" w:color="auto"/>
        <w:bottom w:val="none" w:sz="0" w:space="0" w:color="auto"/>
        <w:right w:val="none" w:sz="0" w:space="0" w:color="auto"/>
      </w:divBdr>
    </w:div>
    <w:div w:id="790247202">
      <w:marLeft w:val="640"/>
      <w:marRight w:val="0"/>
      <w:marTop w:val="0"/>
      <w:marBottom w:val="0"/>
      <w:divBdr>
        <w:top w:val="none" w:sz="0" w:space="0" w:color="auto"/>
        <w:left w:val="none" w:sz="0" w:space="0" w:color="auto"/>
        <w:bottom w:val="none" w:sz="0" w:space="0" w:color="auto"/>
        <w:right w:val="none" w:sz="0" w:space="0" w:color="auto"/>
      </w:divBdr>
    </w:div>
    <w:div w:id="790631918">
      <w:marLeft w:val="640"/>
      <w:marRight w:val="0"/>
      <w:marTop w:val="0"/>
      <w:marBottom w:val="0"/>
      <w:divBdr>
        <w:top w:val="none" w:sz="0" w:space="0" w:color="auto"/>
        <w:left w:val="none" w:sz="0" w:space="0" w:color="auto"/>
        <w:bottom w:val="none" w:sz="0" w:space="0" w:color="auto"/>
        <w:right w:val="none" w:sz="0" w:space="0" w:color="auto"/>
      </w:divBdr>
    </w:div>
    <w:div w:id="792745357">
      <w:marLeft w:val="640"/>
      <w:marRight w:val="0"/>
      <w:marTop w:val="0"/>
      <w:marBottom w:val="0"/>
      <w:divBdr>
        <w:top w:val="none" w:sz="0" w:space="0" w:color="auto"/>
        <w:left w:val="none" w:sz="0" w:space="0" w:color="auto"/>
        <w:bottom w:val="none" w:sz="0" w:space="0" w:color="auto"/>
        <w:right w:val="none" w:sz="0" w:space="0" w:color="auto"/>
      </w:divBdr>
    </w:div>
    <w:div w:id="793331494">
      <w:marLeft w:val="640"/>
      <w:marRight w:val="0"/>
      <w:marTop w:val="0"/>
      <w:marBottom w:val="0"/>
      <w:divBdr>
        <w:top w:val="none" w:sz="0" w:space="0" w:color="auto"/>
        <w:left w:val="none" w:sz="0" w:space="0" w:color="auto"/>
        <w:bottom w:val="none" w:sz="0" w:space="0" w:color="auto"/>
        <w:right w:val="none" w:sz="0" w:space="0" w:color="auto"/>
      </w:divBdr>
    </w:div>
    <w:div w:id="794327048">
      <w:marLeft w:val="640"/>
      <w:marRight w:val="0"/>
      <w:marTop w:val="0"/>
      <w:marBottom w:val="0"/>
      <w:divBdr>
        <w:top w:val="none" w:sz="0" w:space="0" w:color="auto"/>
        <w:left w:val="none" w:sz="0" w:space="0" w:color="auto"/>
        <w:bottom w:val="none" w:sz="0" w:space="0" w:color="auto"/>
        <w:right w:val="none" w:sz="0" w:space="0" w:color="auto"/>
      </w:divBdr>
    </w:div>
    <w:div w:id="794909769">
      <w:marLeft w:val="640"/>
      <w:marRight w:val="0"/>
      <w:marTop w:val="0"/>
      <w:marBottom w:val="0"/>
      <w:divBdr>
        <w:top w:val="none" w:sz="0" w:space="0" w:color="auto"/>
        <w:left w:val="none" w:sz="0" w:space="0" w:color="auto"/>
        <w:bottom w:val="none" w:sz="0" w:space="0" w:color="auto"/>
        <w:right w:val="none" w:sz="0" w:space="0" w:color="auto"/>
      </w:divBdr>
    </w:div>
    <w:div w:id="796491597">
      <w:marLeft w:val="640"/>
      <w:marRight w:val="0"/>
      <w:marTop w:val="0"/>
      <w:marBottom w:val="0"/>
      <w:divBdr>
        <w:top w:val="none" w:sz="0" w:space="0" w:color="auto"/>
        <w:left w:val="none" w:sz="0" w:space="0" w:color="auto"/>
        <w:bottom w:val="none" w:sz="0" w:space="0" w:color="auto"/>
        <w:right w:val="none" w:sz="0" w:space="0" w:color="auto"/>
      </w:divBdr>
    </w:div>
    <w:div w:id="796601914">
      <w:marLeft w:val="640"/>
      <w:marRight w:val="0"/>
      <w:marTop w:val="0"/>
      <w:marBottom w:val="0"/>
      <w:divBdr>
        <w:top w:val="none" w:sz="0" w:space="0" w:color="auto"/>
        <w:left w:val="none" w:sz="0" w:space="0" w:color="auto"/>
        <w:bottom w:val="none" w:sz="0" w:space="0" w:color="auto"/>
        <w:right w:val="none" w:sz="0" w:space="0" w:color="auto"/>
      </w:divBdr>
    </w:div>
    <w:div w:id="796995899">
      <w:marLeft w:val="640"/>
      <w:marRight w:val="0"/>
      <w:marTop w:val="0"/>
      <w:marBottom w:val="0"/>
      <w:divBdr>
        <w:top w:val="none" w:sz="0" w:space="0" w:color="auto"/>
        <w:left w:val="none" w:sz="0" w:space="0" w:color="auto"/>
        <w:bottom w:val="none" w:sz="0" w:space="0" w:color="auto"/>
        <w:right w:val="none" w:sz="0" w:space="0" w:color="auto"/>
      </w:divBdr>
    </w:div>
    <w:div w:id="799764204">
      <w:marLeft w:val="640"/>
      <w:marRight w:val="0"/>
      <w:marTop w:val="0"/>
      <w:marBottom w:val="0"/>
      <w:divBdr>
        <w:top w:val="none" w:sz="0" w:space="0" w:color="auto"/>
        <w:left w:val="none" w:sz="0" w:space="0" w:color="auto"/>
        <w:bottom w:val="none" w:sz="0" w:space="0" w:color="auto"/>
        <w:right w:val="none" w:sz="0" w:space="0" w:color="auto"/>
      </w:divBdr>
    </w:div>
    <w:div w:id="800731111">
      <w:marLeft w:val="640"/>
      <w:marRight w:val="0"/>
      <w:marTop w:val="0"/>
      <w:marBottom w:val="0"/>
      <w:divBdr>
        <w:top w:val="none" w:sz="0" w:space="0" w:color="auto"/>
        <w:left w:val="none" w:sz="0" w:space="0" w:color="auto"/>
        <w:bottom w:val="none" w:sz="0" w:space="0" w:color="auto"/>
        <w:right w:val="none" w:sz="0" w:space="0" w:color="auto"/>
      </w:divBdr>
    </w:div>
    <w:div w:id="801118592">
      <w:marLeft w:val="640"/>
      <w:marRight w:val="0"/>
      <w:marTop w:val="0"/>
      <w:marBottom w:val="0"/>
      <w:divBdr>
        <w:top w:val="none" w:sz="0" w:space="0" w:color="auto"/>
        <w:left w:val="none" w:sz="0" w:space="0" w:color="auto"/>
        <w:bottom w:val="none" w:sz="0" w:space="0" w:color="auto"/>
        <w:right w:val="none" w:sz="0" w:space="0" w:color="auto"/>
      </w:divBdr>
    </w:div>
    <w:div w:id="801271323">
      <w:marLeft w:val="640"/>
      <w:marRight w:val="0"/>
      <w:marTop w:val="0"/>
      <w:marBottom w:val="0"/>
      <w:divBdr>
        <w:top w:val="none" w:sz="0" w:space="0" w:color="auto"/>
        <w:left w:val="none" w:sz="0" w:space="0" w:color="auto"/>
        <w:bottom w:val="none" w:sz="0" w:space="0" w:color="auto"/>
        <w:right w:val="none" w:sz="0" w:space="0" w:color="auto"/>
      </w:divBdr>
    </w:div>
    <w:div w:id="801926149">
      <w:marLeft w:val="640"/>
      <w:marRight w:val="0"/>
      <w:marTop w:val="0"/>
      <w:marBottom w:val="0"/>
      <w:divBdr>
        <w:top w:val="none" w:sz="0" w:space="0" w:color="auto"/>
        <w:left w:val="none" w:sz="0" w:space="0" w:color="auto"/>
        <w:bottom w:val="none" w:sz="0" w:space="0" w:color="auto"/>
        <w:right w:val="none" w:sz="0" w:space="0" w:color="auto"/>
      </w:divBdr>
    </w:div>
    <w:div w:id="801969268">
      <w:marLeft w:val="640"/>
      <w:marRight w:val="0"/>
      <w:marTop w:val="0"/>
      <w:marBottom w:val="0"/>
      <w:divBdr>
        <w:top w:val="none" w:sz="0" w:space="0" w:color="auto"/>
        <w:left w:val="none" w:sz="0" w:space="0" w:color="auto"/>
        <w:bottom w:val="none" w:sz="0" w:space="0" w:color="auto"/>
        <w:right w:val="none" w:sz="0" w:space="0" w:color="auto"/>
      </w:divBdr>
    </w:div>
    <w:div w:id="802230570">
      <w:marLeft w:val="640"/>
      <w:marRight w:val="0"/>
      <w:marTop w:val="0"/>
      <w:marBottom w:val="0"/>
      <w:divBdr>
        <w:top w:val="none" w:sz="0" w:space="0" w:color="auto"/>
        <w:left w:val="none" w:sz="0" w:space="0" w:color="auto"/>
        <w:bottom w:val="none" w:sz="0" w:space="0" w:color="auto"/>
        <w:right w:val="none" w:sz="0" w:space="0" w:color="auto"/>
      </w:divBdr>
    </w:div>
    <w:div w:id="802431612">
      <w:marLeft w:val="640"/>
      <w:marRight w:val="0"/>
      <w:marTop w:val="0"/>
      <w:marBottom w:val="0"/>
      <w:divBdr>
        <w:top w:val="none" w:sz="0" w:space="0" w:color="auto"/>
        <w:left w:val="none" w:sz="0" w:space="0" w:color="auto"/>
        <w:bottom w:val="none" w:sz="0" w:space="0" w:color="auto"/>
        <w:right w:val="none" w:sz="0" w:space="0" w:color="auto"/>
      </w:divBdr>
    </w:div>
    <w:div w:id="802581801">
      <w:marLeft w:val="640"/>
      <w:marRight w:val="0"/>
      <w:marTop w:val="0"/>
      <w:marBottom w:val="0"/>
      <w:divBdr>
        <w:top w:val="none" w:sz="0" w:space="0" w:color="auto"/>
        <w:left w:val="none" w:sz="0" w:space="0" w:color="auto"/>
        <w:bottom w:val="none" w:sz="0" w:space="0" w:color="auto"/>
        <w:right w:val="none" w:sz="0" w:space="0" w:color="auto"/>
      </w:divBdr>
    </w:div>
    <w:div w:id="802960950">
      <w:marLeft w:val="640"/>
      <w:marRight w:val="0"/>
      <w:marTop w:val="0"/>
      <w:marBottom w:val="0"/>
      <w:divBdr>
        <w:top w:val="none" w:sz="0" w:space="0" w:color="auto"/>
        <w:left w:val="none" w:sz="0" w:space="0" w:color="auto"/>
        <w:bottom w:val="none" w:sz="0" w:space="0" w:color="auto"/>
        <w:right w:val="none" w:sz="0" w:space="0" w:color="auto"/>
      </w:divBdr>
    </w:div>
    <w:div w:id="803276326">
      <w:marLeft w:val="640"/>
      <w:marRight w:val="0"/>
      <w:marTop w:val="0"/>
      <w:marBottom w:val="0"/>
      <w:divBdr>
        <w:top w:val="none" w:sz="0" w:space="0" w:color="auto"/>
        <w:left w:val="none" w:sz="0" w:space="0" w:color="auto"/>
        <w:bottom w:val="none" w:sz="0" w:space="0" w:color="auto"/>
        <w:right w:val="none" w:sz="0" w:space="0" w:color="auto"/>
      </w:divBdr>
    </w:div>
    <w:div w:id="803279803">
      <w:marLeft w:val="640"/>
      <w:marRight w:val="0"/>
      <w:marTop w:val="0"/>
      <w:marBottom w:val="0"/>
      <w:divBdr>
        <w:top w:val="none" w:sz="0" w:space="0" w:color="auto"/>
        <w:left w:val="none" w:sz="0" w:space="0" w:color="auto"/>
        <w:bottom w:val="none" w:sz="0" w:space="0" w:color="auto"/>
        <w:right w:val="none" w:sz="0" w:space="0" w:color="auto"/>
      </w:divBdr>
    </w:div>
    <w:div w:id="803809423">
      <w:marLeft w:val="640"/>
      <w:marRight w:val="0"/>
      <w:marTop w:val="0"/>
      <w:marBottom w:val="0"/>
      <w:divBdr>
        <w:top w:val="none" w:sz="0" w:space="0" w:color="auto"/>
        <w:left w:val="none" w:sz="0" w:space="0" w:color="auto"/>
        <w:bottom w:val="none" w:sz="0" w:space="0" w:color="auto"/>
        <w:right w:val="none" w:sz="0" w:space="0" w:color="auto"/>
      </w:divBdr>
    </w:div>
    <w:div w:id="803818562">
      <w:marLeft w:val="640"/>
      <w:marRight w:val="0"/>
      <w:marTop w:val="0"/>
      <w:marBottom w:val="0"/>
      <w:divBdr>
        <w:top w:val="none" w:sz="0" w:space="0" w:color="auto"/>
        <w:left w:val="none" w:sz="0" w:space="0" w:color="auto"/>
        <w:bottom w:val="none" w:sz="0" w:space="0" w:color="auto"/>
        <w:right w:val="none" w:sz="0" w:space="0" w:color="auto"/>
      </w:divBdr>
    </w:div>
    <w:div w:id="804736819">
      <w:marLeft w:val="640"/>
      <w:marRight w:val="0"/>
      <w:marTop w:val="0"/>
      <w:marBottom w:val="0"/>
      <w:divBdr>
        <w:top w:val="none" w:sz="0" w:space="0" w:color="auto"/>
        <w:left w:val="none" w:sz="0" w:space="0" w:color="auto"/>
        <w:bottom w:val="none" w:sz="0" w:space="0" w:color="auto"/>
        <w:right w:val="none" w:sz="0" w:space="0" w:color="auto"/>
      </w:divBdr>
    </w:div>
    <w:div w:id="804933782">
      <w:marLeft w:val="640"/>
      <w:marRight w:val="0"/>
      <w:marTop w:val="0"/>
      <w:marBottom w:val="0"/>
      <w:divBdr>
        <w:top w:val="none" w:sz="0" w:space="0" w:color="auto"/>
        <w:left w:val="none" w:sz="0" w:space="0" w:color="auto"/>
        <w:bottom w:val="none" w:sz="0" w:space="0" w:color="auto"/>
        <w:right w:val="none" w:sz="0" w:space="0" w:color="auto"/>
      </w:divBdr>
    </w:div>
    <w:div w:id="805200545">
      <w:marLeft w:val="640"/>
      <w:marRight w:val="0"/>
      <w:marTop w:val="0"/>
      <w:marBottom w:val="0"/>
      <w:divBdr>
        <w:top w:val="none" w:sz="0" w:space="0" w:color="auto"/>
        <w:left w:val="none" w:sz="0" w:space="0" w:color="auto"/>
        <w:bottom w:val="none" w:sz="0" w:space="0" w:color="auto"/>
        <w:right w:val="none" w:sz="0" w:space="0" w:color="auto"/>
      </w:divBdr>
    </w:div>
    <w:div w:id="806556408">
      <w:marLeft w:val="640"/>
      <w:marRight w:val="0"/>
      <w:marTop w:val="0"/>
      <w:marBottom w:val="0"/>
      <w:divBdr>
        <w:top w:val="none" w:sz="0" w:space="0" w:color="auto"/>
        <w:left w:val="none" w:sz="0" w:space="0" w:color="auto"/>
        <w:bottom w:val="none" w:sz="0" w:space="0" w:color="auto"/>
        <w:right w:val="none" w:sz="0" w:space="0" w:color="auto"/>
      </w:divBdr>
    </w:div>
    <w:div w:id="807169480">
      <w:marLeft w:val="640"/>
      <w:marRight w:val="0"/>
      <w:marTop w:val="0"/>
      <w:marBottom w:val="0"/>
      <w:divBdr>
        <w:top w:val="none" w:sz="0" w:space="0" w:color="auto"/>
        <w:left w:val="none" w:sz="0" w:space="0" w:color="auto"/>
        <w:bottom w:val="none" w:sz="0" w:space="0" w:color="auto"/>
        <w:right w:val="none" w:sz="0" w:space="0" w:color="auto"/>
      </w:divBdr>
    </w:div>
    <w:div w:id="807211059">
      <w:marLeft w:val="640"/>
      <w:marRight w:val="0"/>
      <w:marTop w:val="0"/>
      <w:marBottom w:val="0"/>
      <w:divBdr>
        <w:top w:val="none" w:sz="0" w:space="0" w:color="auto"/>
        <w:left w:val="none" w:sz="0" w:space="0" w:color="auto"/>
        <w:bottom w:val="none" w:sz="0" w:space="0" w:color="auto"/>
        <w:right w:val="none" w:sz="0" w:space="0" w:color="auto"/>
      </w:divBdr>
    </w:div>
    <w:div w:id="807356448">
      <w:marLeft w:val="640"/>
      <w:marRight w:val="0"/>
      <w:marTop w:val="0"/>
      <w:marBottom w:val="0"/>
      <w:divBdr>
        <w:top w:val="none" w:sz="0" w:space="0" w:color="auto"/>
        <w:left w:val="none" w:sz="0" w:space="0" w:color="auto"/>
        <w:bottom w:val="none" w:sz="0" w:space="0" w:color="auto"/>
        <w:right w:val="none" w:sz="0" w:space="0" w:color="auto"/>
      </w:divBdr>
    </w:div>
    <w:div w:id="807892591">
      <w:marLeft w:val="640"/>
      <w:marRight w:val="0"/>
      <w:marTop w:val="0"/>
      <w:marBottom w:val="0"/>
      <w:divBdr>
        <w:top w:val="none" w:sz="0" w:space="0" w:color="auto"/>
        <w:left w:val="none" w:sz="0" w:space="0" w:color="auto"/>
        <w:bottom w:val="none" w:sz="0" w:space="0" w:color="auto"/>
        <w:right w:val="none" w:sz="0" w:space="0" w:color="auto"/>
      </w:divBdr>
    </w:div>
    <w:div w:id="808084953">
      <w:marLeft w:val="640"/>
      <w:marRight w:val="0"/>
      <w:marTop w:val="0"/>
      <w:marBottom w:val="0"/>
      <w:divBdr>
        <w:top w:val="none" w:sz="0" w:space="0" w:color="auto"/>
        <w:left w:val="none" w:sz="0" w:space="0" w:color="auto"/>
        <w:bottom w:val="none" w:sz="0" w:space="0" w:color="auto"/>
        <w:right w:val="none" w:sz="0" w:space="0" w:color="auto"/>
      </w:divBdr>
    </w:div>
    <w:div w:id="808322551">
      <w:marLeft w:val="640"/>
      <w:marRight w:val="0"/>
      <w:marTop w:val="0"/>
      <w:marBottom w:val="0"/>
      <w:divBdr>
        <w:top w:val="none" w:sz="0" w:space="0" w:color="auto"/>
        <w:left w:val="none" w:sz="0" w:space="0" w:color="auto"/>
        <w:bottom w:val="none" w:sz="0" w:space="0" w:color="auto"/>
        <w:right w:val="none" w:sz="0" w:space="0" w:color="auto"/>
      </w:divBdr>
    </w:div>
    <w:div w:id="808589834">
      <w:marLeft w:val="640"/>
      <w:marRight w:val="0"/>
      <w:marTop w:val="0"/>
      <w:marBottom w:val="0"/>
      <w:divBdr>
        <w:top w:val="none" w:sz="0" w:space="0" w:color="auto"/>
        <w:left w:val="none" w:sz="0" w:space="0" w:color="auto"/>
        <w:bottom w:val="none" w:sz="0" w:space="0" w:color="auto"/>
        <w:right w:val="none" w:sz="0" w:space="0" w:color="auto"/>
      </w:divBdr>
    </w:div>
    <w:div w:id="808976752">
      <w:marLeft w:val="640"/>
      <w:marRight w:val="0"/>
      <w:marTop w:val="0"/>
      <w:marBottom w:val="0"/>
      <w:divBdr>
        <w:top w:val="none" w:sz="0" w:space="0" w:color="auto"/>
        <w:left w:val="none" w:sz="0" w:space="0" w:color="auto"/>
        <w:bottom w:val="none" w:sz="0" w:space="0" w:color="auto"/>
        <w:right w:val="none" w:sz="0" w:space="0" w:color="auto"/>
      </w:divBdr>
    </w:div>
    <w:div w:id="809788323">
      <w:marLeft w:val="640"/>
      <w:marRight w:val="0"/>
      <w:marTop w:val="0"/>
      <w:marBottom w:val="0"/>
      <w:divBdr>
        <w:top w:val="none" w:sz="0" w:space="0" w:color="auto"/>
        <w:left w:val="none" w:sz="0" w:space="0" w:color="auto"/>
        <w:bottom w:val="none" w:sz="0" w:space="0" w:color="auto"/>
        <w:right w:val="none" w:sz="0" w:space="0" w:color="auto"/>
      </w:divBdr>
    </w:div>
    <w:div w:id="809975490">
      <w:marLeft w:val="640"/>
      <w:marRight w:val="0"/>
      <w:marTop w:val="0"/>
      <w:marBottom w:val="0"/>
      <w:divBdr>
        <w:top w:val="none" w:sz="0" w:space="0" w:color="auto"/>
        <w:left w:val="none" w:sz="0" w:space="0" w:color="auto"/>
        <w:bottom w:val="none" w:sz="0" w:space="0" w:color="auto"/>
        <w:right w:val="none" w:sz="0" w:space="0" w:color="auto"/>
      </w:divBdr>
    </w:div>
    <w:div w:id="810560036">
      <w:marLeft w:val="640"/>
      <w:marRight w:val="0"/>
      <w:marTop w:val="0"/>
      <w:marBottom w:val="0"/>
      <w:divBdr>
        <w:top w:val="none" w:sz="0" w:space="0" w:color="auto"/>
        <w:left w:val="none" w:sz="0" w:space="0" w:color="auto"/>
        <w:bottom w:val="none" w:sz="0" w:space="0" w:color="auto"/>
        <w:right w:val="none" w:sz="0" w:space="0" w:color="auto"/>
      </w:divBdr>
    </w:div>
    <w:div w:id="810561338">
      <w:marLeft w:val="640"/>
      <w:marRight w:val="0"/>
      <w:marTop w:val="0"/>
      <w:marBottom w:val="0"/>
      <w:divBdr>
        <w:top w:val="none" w:sz="0" w:space="0" w:color="auto"/>
        <w:left w:val="none" w:sz="0" w:space="0" w:color="auto"/>
        <w:bottom w:val="none" w:sz="0" w:space="0" w:color="auto"/>
        <w:right w:val="none" w:sz="0" w:space="0" w:color="auto"/>
      </w:divBdr>
    </w:div>
    <w:div w:id="810707336">
      <w:marLeft w:val="640"/>
      <w:marRight w:val="0"/>
      <w:marTop w:val="0"/>
      <w:marBottom w:val="0"/>
      <w:divBdr>
        <w:top w:val="none" w:sz="0" w:space="0" w:color="auto"/>
        <w:left w:val="none" w:sz="0" w:space="0" w:color="auto"/>
        <w:bottom w:val="none" w:sz="0" w:space="0" w:color="auto"/>
        <w:right w:val="none" w:sz="0" w:space="0" w:color="auto"/>
      </w:divBdr>
    </w:div>
    <w:div w:id="810904515">
      <w:marLeft w:val="640"/>
      <w:marRight w:val="0"/>
      <w:marTop w:val="0"/>
      <w:marBottom w:val="0"/>
      <w:divBdr>
        <w:top w:val="none" w:sz="0" w:space="0" w:color="auto"/>
        <w:left w:val="none" w:sz="0" w:space="0" w:color="auto"/>
        <w:bottom w:val="none" w:sz="0" w:space="0" w:color="auto"/>
        <w:right w:val="none" w:sz="0" w:space="0" w:color="auto"/>
      </w:divBdr>
    </w:div>
    <w:div w:id="811025417">
      <w:marLeft w:val="640"/>
      <w:marRight w:val="0"/>
      <w:marTop w:val="0"/>
      <w:marBottom w:val="0"/>
      <w:divBdr>
        <w:top w:val="none" w:sz="0" w:space="0" w:color="auto"/>
        <w:left w:val="none" w:sz="0" w:space="0" w:color="auto"/>
        <w:bottom w:val="none" w:sz="0" w:space="0" w:color="auto"/>
        <w:right w:val="none" w:sz="0" w:space="0" w:color="auto"/>
      </w:divBdr>
    </w:div>
    <w:div w:id="811026691">
      <w:marLeft w:val="640"/>
      <w:marRight w:val="0"/>
      <w:marTop w:val="0"/>
      <w:marBottom w:val="0"/>
      <w:divBdr>
        <w:top w:val="none" w:sz="0" w:space="0" w:color="auto"/>
        <w:left w:val="none" w:sz="0" w:space="0" w:color="auto"/>
        <w:bottom w:val="none" w:sz="0" w:space="0" w:color="auto"/>
        <w:right w:val="none" w:sz="0" w:space="0" w:color="auto"/>
      </w:divBdr>
    </w:div>
    <w:div w:id="812257788">
      <w:marLeft w:val="640"/>
      <w:marRight w:val="0"/>
      <w:marTop w:val="0"/>
      <w:marBottom w:val="0"/>
      <w:divBdr>
        <w:top w:val="none" w:sz="0" w:space="0" w:color="auto"/>
        <w:left w:val="none" w:sz="0" w:space="0" w:color="auto"/>
        <w:bottom w:val="none" w:sz="0" w:space="0" w:color="auto"/>
        <w:right w:val="none" w:sz="0" w:space="0" w:color="auto"/>
      </w:divBdr>
    </w:div>
    <w:div w:id="812600852">
      <w:marLeft w:val="640"/>
      <w:marRight w:val="0"/>
      <w:marTop w:val="0"/>
      <w:marBottom w:val="0"/>
      <w:divBdr>
        <w:top w:val="none" w:sz="0" w:space="0" w:color="auto"/>
        <w:left w:val="none" w:sz="0" w:space="0" w:color="auto"/>
        <w:bottom w:val="none" w:sz="0" w:space="0" w:color="auto"/>
        <w:right w:val="none" w:sz="0" w:space="0" w:color="auto"/>
      </w:divBdr>
    </w:div>
    <w:div w:id="813372157">
      <w:marLeft w:val="640"/>
      <w:marRight w:val="0"/>
      <w:marTop w:val="0"/>
      <w:marBottom w:val="0"/>
      <w:divBdr>
        <w:top w:val="none" w:sz="0" w:space="0" w:color="auto"/>
        <w:left w:val="none" w:sz="0" w:space="0" w:color="auto"/>
        <w:bottom w:val="none" w:sz="0" w:space="0" w:color="auto"/>
        <w:right w:val="none" w:sz="0" w:space="0" w:color="auto"/>
      </w:divBdr>
    </w:div>
    <w:div w:id="813983282">
      <w:marLeft w:val="640"/>
      <w:marRight w:val="0"/>
      <w:marTop w:val="0"/>
      <w:marBottom w:val="0"/>
      <w:divBdr>
        <w:top w:val="none" w:sz="0" w:space="0" w:color="auto"/>
        <w:left w:val="none" w:sz="0" w:space="0" w:color="auto"/>
        <w:bottom w:val="none" w:sz="0" w:space="0" w:color="auto"/>
        <w:right w:val="none" w:sz="0" w:space="0" w:color="auto"/>
      </w:divBdr>
    </w:div>
    <w:div w:id="815143487">
      <w:marLeft w:val="640"/>
      <w:marRight w:val="0"/>
      <w:marTop w:val="0"/>
      <w:marBottom w:val="0"/>
      <w:divBdr>
        <w:top w:val="none" w:sz="0" w:space="0" w:color="auto"/>
        <w:left w:val="none" w:sz="0" w:space="0" w:color="auto"/>
        <w:bottom w:val="none" w:sz="0" w:space="0" w:color="auto"/>
        <w:right w:val="none" w:sz="0" w:space="0" w:color="auto"/>
      </w:divBdr>
    </w:div>
    <w:div w:id="815878634">
      <w:marLeft w:val="640"/>
      <w:marRight w:val="0"/>
      <w:marTop w:val="0"/>
      <w:marBottom w:val="0"/>
      <w:divBdr>
        <w:top w:val="none" w:sz="0" w:space="0" w:color="auto"/>
        <w:left w:val="none" w:sz="0" w:space="0" w:color="auto"/>
        <w:bottom w:val="none" w:sz="0" w:space="0" w:color="auto"/>
        <w:right w:val="none" w:sz="0" w:space="0" w:color="auto"/>
      </w:divBdr>
    </w:div>
    <w:div w:id="818691621">
      <w:marLeft w:val="640"/>
      <w:marRight w:val="0"/>
      <w:marTop w:val="0"/>
      <w:marBottom w:val="0"/>
      <w:divBdr>
        <w:top w:val="none" w:sz="0" w:space="0" w:color="auto"/>
        <w:left w:val="none" w:sz="0" w:space="0" w:color="auto"/>
        <w:bottom w:val="none" w:sz="0" w:space="0" w:color="auto"/>
        <w:right w:val="none" w:sz="0" w:space="0" w:color="auto"/>
      </w:divBdr>
    </w:div>
    <w:div w:id="819082384">
      <w:marLeft w:val="640"/>
      <w:marRight w:val="0"/>
      <w:marTop w:val="0"/>
      <w:marBottom w:val="0"/>
      <w:divBdr>
        <w:top w:val="none" w:sz="0" w:space="0" w:color="auto"/>
        <w:left w:val="none" w:sz="0" w:space="0" w:color="auto"/>
        <w:bottom w:val="none" w:sz="0" w:space="0" w:color="auto"/>
        <w:right w:val="none" w:sz="0" w:space="0" w:color="auto"/>
      </w:divBdr>
    </w:div>
    <w:div w:id="819733631">
      <w:marLeft w:val="640"/>
      <w:marRight w:val="0"/>
      <w:marTop w:val="0"/>
      <w:marBottom w:val="0"/>
      <w:divBdr>
        <w:top w:val="none" w:sz="0" w:space="0" w:color="auto"/>
        <w:left w:val="none" w:sz="0" w:space="0" w:color="auto"/>
        <w:bottom w:val="none" w:sz="0" w:space="0" w:color="auto"/>
        <w:right w:val="none" w:sz="0" w:space="0" w:color="auto"/>
      </w:divBdr>
    </w:div>
    <w:div w:id="820074187">
      <w:marLeft w:val="640"/>
      <w:marRight w:val="0"/>
      <w:marTop w:val="0"/>
      <w:marBottom w:val="0"/>
      <w:divBdr>
        <w:top w:val="none" w:sz="0" w:space="0" w:color="auto"/>
        <w:left w:val="none" w:sz="0" w:space="0" w:color="auto"/>
        <w:bottom w:val="none" w:sz="0" w:space="0" w:color="auto"/>
        <w:right w:val="none" w:sz="0" w:space="0" w:color="auto"/>
      </w:divBdr>
    </w:div>
    <w:div w:id="820121460">
      <w:marLeft w:val="640"/>
      <w:marRight w:val="0"/>
      <w:marTop w:val="0"/>
      <w:marBottom w:val="0"/>
      <w:divBdr>
        <w:top w:val="none" w:sz="0" w:space="0" w:color="auto"/>
        <w:left w:val="none" w:sz="0" w:space="0" w:color="auto"/>
        <w:bottom w:val="none" w:sz="0" w:space="0" w:color="auto"/>
        <w:right w:val="none" w:sz="0" w:space="0" w:color="auto"/>
      </w:divBdr>
    </w:div>
    <w:div w:id="821117040">
      <w:marLeft w:val="640"/>
      <w:marRight w:val="0"/>
      <w:marTop w:val="0"/>
      <w:marBottom w:val="0"/>
      <w:divBdr>
        <w:top w:val="none" w:sz="0" w:space="0" w:color="auto"/>
        <w:left w:val="none" w:sz="0" w:space="0" w:color="auto"/>
        <w:bottom w:val="none" w:sz="0" w:space="0" w:color="auto"/>
        <w:right w:val="none" w:sz="0" w:space="0" w:color="auto"/>
      </w:divBdr>
    </w:div>
    <w:div w:id="821503598">
      <w:marLeft w:val="640"/>
      <w:marRight w:val="0"/>
      <w:marTop w:val="0"/>
      <w:marBottom w:val="0"/>
      <w:divBdr>
        <w:top w:val="none" w:sz="0" w:space="0" w:color="auto"/>
        <w:left w:val="none" w:sz="0" w:space="0" w:color="auto"/>
        <w:bottom w:val="none" w:sz="0" w:space="0" w:color="auto"/>
        <w:right w:val="none" w:sz="0" w:space="0" w:color="auto"/>
      </w:divBdr>
    </w:div>
    <w:div w:id="821583635">
      <w:marLeft w:val="640"/>
      <w:marRight w:val="0"/>
      <w:marTop w:val="0"/>
      <w:marBottom w:val="0"/>
      <w:divBdr>
        <w:top w:val="none" w:sz="0" w:space="0" w:color="auto"/>
        <w:left w:val="none" w:sz="0" w:space="0" w:color="auto"/>
        <w:bottom w:val="none" w:sz="0" w:space="0" w:color="auto"/>
        <w:right w:val="none" w:sz="0" w:space="0" w:color="auto"/>
      </w:divBdr>
    </w:div>
    <w:div w:id="821695882">
      <w:marLeft w:val="640"/>
      <w:marRight w:val="0"/>
      <w:marTop w:val="0"/>
      <w:marBottom w:val="0"/>
      <w:divBdr>
        <w:top w:val="none" w:sz="0" w:space="0" w:color="auto"/>
        <w:left w:val="none" w:sz="0" w:space="0" w:color="auto"/>
        <w:bottom w:val="none" w:sz="0" w:space="0" w:color="auto"/>
        <w:right w:val="none" w:sz="0" w:space="0" w:color="auto"/>
      </w:divBdr>
    </w:div>
    <w:div w:id="821894480">
      <w:marLeft w:val="640"/>
      <w:marRight w:val="0"/>
      <w:marTop w:val="0"/>
      <w:marBottom w:val="0"/>
      <w:divBdr>
        <w:top w:val="none" w:sz="0" w:space="0" w:color="auto"/>
        <w:left w:val="none" w:sz="0" w:space="0" w:color="auto"/>
        <w:bottom w:val="none" w:sz="0" w:space="0" w:color="auto"/>
        <w:right w:val="none" w:sz="0" w:space="0" w:color="auto"/>
      </w:divBdr>
    </w:div>
    <w:div w:id="821971453">
      <w:marLeft w:val="640"/>
      <w:marRight w:val="0"/>
      <w:marTop w:val="0"/>
      <w:marBottom w:val="0"/>
      <w:divBdr>
        <w:top w:val="none" w:sz="0" w:space="0" w:color="auto"/>
        <w:left w:val="none" w:sz="0" w:space="0" w:color="auto"/>
        <w:bottom w:val="none" w:sz="0" w:space="0" w:color="auto"/>
        <w:right w:val="none" w:sz="0" w:space="0" w:color="auto"/>
      </w:divBdr>
    </w:div>
    <w:div w:id="822114159">
      <w:marLeft w:val="640"/>
      <w:marRight w:val="0"/>
      <w:marTop w:val="0"/>
      <w:marBottom w:val="0"/>
      <w:divBdr>
        <w:top w:val="none" w:sz="0" w:space="0" w:color="auto"/>
        <w:left w:val="none" w:sz="0" w:space="0" w:color="auto"/>
        <w:bottom w:val="none" w:sz="0" w:space="0" w:color="auto"/>
        <w:right w:val="none" w:sz="0" w:space="0" w:color="auto"/>
      </w:divBdr>
    </w:div>
    <w:div w:id="825126300">
      <w:marLeft w:val="640"/>
      <w:marRight w:val="0"/>
      <w:marTop w:val="0"/>
      <w:marBottom w:val="0"/>
      <w:divBdr>
        <w:top w:val="none" w:sz="0" w:space="0" w:color="auto"/>
        <w:left w:val="none" w:sz="0" w:space="0" w:color="auto"/>
        <w:bottom w:val="none" w:sz="0" w:space="0" w:color="auto"/>
        <w:right w:val="none" w:sz="0" w:space="0" w:color="auto"/>
      </w:divBdr>
    </w:div>
    <w:div w:id="825583745">
      <w:marLeft w:val="640"/>
      <w:marRight w:val="0"/>
      <w:marTop w:val="0"/>
      <w:marBottom w:val="0"/>
      <w:divBdr>
        <w:top w:val="none" w:sz="0" w:space="0" w:color="auto"/>
        <w:left w:val="none" w:sz="0" w:space="0" w:color="auto"/>
        <w:bottom w:val="none" w:sz="0" w:space="0" w:color="auto"/>
        <w:right w:val="none" w:sz="0" w:space="0" w:color="auto"/>
      </w:divBdr>
    </w:div>
    <w:div w:id="826474993">
      <w:marLeft w:val="640"/>
      <w:marRight w:val="0"/>
      <w:marTop w:val="0"/>
      <w:marBottom w:val="0"/>
      <w:divBdr>
        <w:top w:val="none" w:sz="0" w:space="0" w:color="auto"/>
        <w:left w:val="none" w:sz="0" w:space="0" w:color="auto"/>
        <w:bottom w:val="none" w:sz="0" w:space="0" w:color="auto"/>
        <w:right w:val="none" w:sz="0" w:space="0" w:color="auto"/>
      </w:divBdr>
    </w:div>
    <w:div w:id="827794876">
      <w:marLeft w:val="640"/>
      <w:marRight w:val="0"/>
      <w:marTop w:val="0"/>
      <w:marBottom w:val="0"/>
      <w:divBdr>
        <w:top w:val="none" w:sz="0" w:space="0" w:color="auto"/>
        <w:left w:val="none" w:sz="0" w:space="0" w:color="auto"/>
        <w:bottom w:val="none" w:sz="0" w:space="0" w:color="auto"/>
        <w:right w:val="none" w:sz="0" w:space="0" w:color="auto"/>
      </w:divBdr>
    </w:div>
    <w:div w:id="828786216">
      <w:marLeft w:val="640"/>
      <w:marRight w:val="0"/>
      <w:marTop w:val="0"/>
      <w:marBottom w:val="0"/>
      <w:divBdr>
        <w:top w:val="none" w:sz="0" w:space="0" w:color="auto"/>
        <w:left w:val="none" w:sz="0" w:space="0" w:color="auto"/>
        <w:bottom w:val="none" w:sz="0" w:space="0" w:color="auto"/>
        <w:right w:val="none" w:sz="0" w:space="0" w:color="auto"/>
      </w:divBdr>
    </w:div>
    <w:div w:id="829179918">
      <w:marLeft w:val="640"/>
      <w:marRight w:val="0"/>
      <w:marTop w:val="0"/>
      <w:marBottom w:val="0"/>
      <w:divBdr>
        <w:top w:val="none" w:sz="0" w:space="0" w:color="auto"/>
        <w:left w:val="none" w:sz="0" w:space="0" w:color="auto"/>
        <w:bottom w:val="none" w:sz="0" w:space="0" w:color="auto"/>
        <w:right w:val="none" w:sz="0" w:space="0" w:color="auto"/>
      </w:divBdr>
    </w:div>
    <w:div w:id="829515409">
      <w:marLeft w:val="640"/>
      <w:marRight w:val="0"/>
      <w:marTop w:val="0"/>
      <w:marBottom w:val="0"/>
      <w:divBdr>
        <w:top w:val="none" w:sz="0" w:space="0" w:color="auto"/>
        <w:left w:val="none" w:sz="0" w:space="0" w:color="auto"/>
        <w:bottom w:val="none" w:sz="0" w:space="0" w:color="auto"/>
        <w:right w:val="none" w:sz="0" w:space="0" w:color="auto"/>
      </w:divBdr>
    </w:div>
    <w:div w:id="831028232">
      <w:marLeft w:val="640"/>
      <w:marRight w:val="0"/>
      <w:marTop w:val="0"/>
      <w:marBottom w:val="0"/>
      <w:divBdr>
        <w:top w:val="none" w:sz="0" w:space="0" w:color="auto"/>
        <w:left w:val="none" w:sz="0" w:space="0" w:color="auto"/>
        <w:bottom w:val="none" w:sz="0" w:space="0" w:color="auto"/>
        <w:right w:val="none" w:sz="0" w:space="0" w:color="auto"/>
      </w:divBdr>
    </w:div>
    <w:div w:id="833028218">
      <w:marLeft w:val="640"/>
      <w:marRight w:val="0"/>
      <w:marTop w:val="0"/>
      <w:marBottom w:val="0"/>
      <w:divBdr>
        <w:top w:val="none" w:sz="0" w:space="0" w:color="auto"/>
        <w:left w:val="none" w:sz="0" w:space="0" w:color="auto"/>
        <w:bottom w:val="none" w:sz="0" w:space="0" w:color="auto"/>
        <w:right w:val="none" w:sz="0" w:space="0" w:color="auto"/>
      </w:divBdr>
    </w:div>
    <w:div w:id="833764146">
      <w:marLeft w:val="640"/>
      <w:marRight w:val="0"/>
      <w:marTop w:val="0"/>
      <w:marBottom w:val="0"/>
      <w:divBdr>
        <w:top w:val="none" w:sz="0" w:space="0" w:color="auto"/>
        <w:left w:val="none" w:sz="0" w:space="0" w:color="auto"/>
        <w:bottom w:val="none" w:sz="0" w:space="0" w:color="auto"/>
        <w:right w:val="none" w:sz="0" w:space="0" w:color="auto"/>
      </w:divBdr>
    </w:div>
    <w:div w:id="834296996">
      <w:marLeft w:val="640"/>
      <w:marRight w:val="0"/>
      <w:marTop w:val="0"/>
      <w:marBottom w:val="0"/>
      <w:divBdr>
        <w:top w:val="none" w:sz="0" w:space="0" w:color="auto"/>
        <w:left w:val="none" w:sz="0" w:space="0" w:color="auto"/>
        <w:bottom w:val="none" w:sz="0" w:space="0" w:color="auto"/>
        <w:right w:val="none" w:sz="0" w:space="0" w:color="auto"/>
      </w:divBdr>
    </w:div>
    <w:div w:id="835002326">
      <w:marLeft w:val="640"/>
      <w:marRight w:val="0"/>
      <w:marTop w:val="0"/>
      <w:marBottom w:val="0"/>
      <w:divBdr>
        <w:top w:val="none" w:sz="0" w:space="0" w:color="auto"/>
        <w:left w:val="none" w:sz="0" w:space="0" w:color="auto"/>
        <w:bottom w:val="none" w:sz="0" w:space="0" w:color="auto"/>
        <w:right w:val="none" w:sz="0" w:space="0" w:color="auto"/>
      </w:divBdr>
    </w:div>
    <w:div w:id="835388900">
      <w:marLeft w:val="640"/>
      <w:marRight w:val="0"/>
      <w:marTop w:val="0"/>
      <w:marBottom w:val="0"/>
      <w:divBdr>
        <w:top w:val="none" w:sz="0" w:space="0" w:color="auto"/>
        <w:left w:val="none" w:sz="0" w:space="0" w:color="auto"/>
        <w:bottom w:val="none" w:sz="0" w:space="0" w:color="auto"/>
        <w:right w:val="none" w:sz="0" w:space="0" w:color="auto"/>
      </w:divBdr>
    </w:div>
    <w:div w:id="836002324">
      <w:marLeft w:val="640"/>
      <w:marRight w:val="0"/>
      <w:marTop w:val="0"/>
      <w:marBottom w:val="0"/>
      <w:divBdr>
        <w:top w:val="none" w:sz="0" w:space="0" w:color="auto"/>
        <w:left w:val="none" w:sz="0" w:space="0" w:color="auto"/>
        <w:bottom w:val="none" w:sz="0" w:space="0" w:color="auto"/>
        <w:right w:val="none" w:sz="0" w:space="0" w:color="auto"/>
      </w:divBdr>
    </w:div>
    <w:div w:id="837765170">
      <w:marLeft w:val="640"/>
      <w:marRight w:val="0"/>
      <w:marTop w:val="0"/>
      <w:marBottom w:val="0"/>
      <w:divBdr>
        <w:top w:val="none" w:sz="0" w:space="0" w:color="auto"/>
        <w:left w:val="none" w:sz="0" w:space="0" w:color="auto"/>
        <w:bottom w:val="none" w:sz="0" w:space="0" w:color="auto"/>
        <w:right w:val="none" w:sz="0" w:space="0" w:color="auto"/>
      </w:divBdr>
    </w:div>
    <w:div w:id="838235878">
      <w:marLeft w:val="640"/>
      <w:marRight w:val="0"/>
      <w:marTop w:val="0"/>
      <w:marBottom w:val="0"/>
      <w:divBdr>
        <w:top w:val="none" w:sz="0" w:space="0" w:color="auto"/>
        <w:left w:val="none" w:sz="0" w:space="0" w:color="auto"/>
        <w:bottom w:val="none" w:sz="0" w:space="0" w:color="auto"/>
        <w:right w:val="none" w:sz="0" w:space="0" w:color="auto"/>
      </w:divBdr>
    </w:div>
    <w:div w:id="838887745">
      <w:marLeft w:val="640"/>
      <w:marRight w:val="0"/>
      <w:marTop w:val="0"/>
      <w:marBottom w:val="0"/>
      <w:divBdr>
        <w:top w:val="none" w:sz="0" w:space="0" w:color="auto"/>
        <w:left w:val="none" w:sz="0" w:space="0" w:color="auto"/>
        <w:bottom w:val="none" w:sz="0" w:space="0" w:color="auto"/>
        <w:right w:val="none" w:sz="0" w:space="0" w:color="auto"/>
      </w:divBdr>
    </w:div>
    <w:div w:id="839543204">
      <w:marLeft w:val="640"/>
      <w:marRight w:val="0"/>
      <w:marTop w:val="0"/>
      <w:marBottom w:val="0"/>
      <w:divBdr>
        <w:top w:val="none" w:sz="0" w:space="0" w:color="auto"/>
        <w:left w:val="none" w:sz="0" w:space="0" w:color="auto"/>
        <w:bottom w:val="none" w:sz="0" w:space="0" w:color="auto"/>
        <w:right w:val="none" w:sz="0" w:space="0" w:color="auto"/>
      </w:divBdr>
    </w:div>
    <w:div w:id="839587053">
      <w:marLeft w:val="640"/>
      <w:marRight w:val="0"/>
      <w:marTop w:val="0"/>
      <w:marBottom w:val="0"/>
      <w:divBdr>
        <w:top w:val="none" w:sz="0" w:space="0" w:color="auto"/>
        <w:left w:val="none" w:sz="0" w:space="0" w:color="auto"/>
        <w:bottom w:val="none" w:sz="0" w:space="0" w:color="auto"/>
        <w:right w:val="none" w:sz="0" w:space="0" w:color="auto"/>
      </w:divBdr>
    </w:div>
    <w:div w:id="839733871">
      <w:marLeft w:val="640"/>
      <w:marRight w:val="0"/>
      <w:marTop w:val="0"/>
      <w:marBottom w:val="0"/>
      <w:divBdr>
        <w:top w:val="none" w:sz="0" w:space="0" w:color="auto"/>
        <w:left w:val="none" w:sz="0" w:space="0" w:color="auto"/>
        <w:bottom w:val="none" w:sz="0" w:space="0" w:color="auto"/>
        <w:right w:val="none" w:sz="0" w:space="0" w:color="auto"/>
      </w:divBdr>
    </w:div>
    <w:div w:id="841703819">
      <w:marLeft w:val="640"/>
      <w:marRight w:val="0"/>
      <w:marTop w:val="0"/>
      <w:marBottom w:val="0"/>
      <w:divBdr>
        <w:top w:val="none" w:sz="0" w:space="0" w:color="auto"/>
        <w:left w:val="none" w:sz="0" w:space="0" w:color="auto"/>
        <w:bottom w:val="none" w:sz="0" w:space="0" w:color="auto"/>
        <w:right w:val="none" w:sz="0" w:space="0" w:color="auto"/>
      </w:divBdr>
    </w:div>
    <w:div w:id="842235767">
      <w:marLeft w:val="640"/>
      <w:marRight w:val="0"/>
      <w:marTop w:val="0"/>
      <w:marBottom w:val="0"/>
      <w:divBdr>
        <w:top w:val="none" w:sz="0" w:space="0" w:color="auto"/>
        <w:left w:val="none" w:sz="0" w:space="0" w:color="auto"/>
        <w:bottom w:val="none" w:sz="0" w:space="0" w:color="auto"/>
        <w:right w:val="none" w:sz="0" w:space="0" w:color="auto"/>
      </w:divBdr>
    </w:div>
    <w:div w:id="843058734">
      <w:marLeft w:val="640"/>
      <w:marRight w:val="0"/>
      <w:marTop w:val="0"/>
      <w:marBottom w:val="0"/>
      <w:divBdr>
        <w:top w:val="none" w:sz="0" w:space="0" w:color="auto"/>
        <w:left w:val="none" w:sz="0" w:space="0" w:color="auto"/>
        <w:bottom w:val="none" w:sz="0" w:space="0" w:color="auto"/>
        <w:right w:val="none" w:sz="0" w:space="0" w:color="auto"/>
      </w:divBdr>
    </w:div>
    <w:div w:id="843713607">
      <w:marLeft w:val="640"/>
      <w:marRight w:val="0"/>
      <w:marTop w:val="0"/>
      <w:marBottom w:val="0"/>
      <w:divBdr>
        <w:top w:val="none" w:sz="0" w:space="0" w:color="auto"/>
        <w:left w:val="none" w:sz="0" w:space="0" w:color="auto"/>
        <w:bottom w:val="none" w:sz="0" w:space="0" w:color="auto"/>
        <w:right w:val="none" w:sz="0" w:space="0" w:color="auto"/>
      </w:divBdr>
    </w:div>
    <w:div w:id="843979407">
      <w:marLeft w:val="640"/>
      <w:marRight w:val="0"/>
      <w:marTop w:val="0"/>
      <w:marBottom w:val="0"/>
      <w:divBdr>
        <w:top w:val="none" w:sz="0" w:space="0" w:color="auto"/>
        <w:left w:val="none" w:sz="0" w:space="0" w:color="auto"/>
        <w:bottom w:val="none" w:sz="0" w:space="0" w:color="auto"/>
        <w:right w:val="none" w:sz="0" w:space="0" w:color="auto"/>
      </w:divBdr>
    </w:div>
    <w:div w:id="844129893">
      <w:marLeft w:val="640"/>
      <w:marRight w:val="0"/>
      <w:marTop w:val="0"/>
      <w:marBottom w:val="0"/>
      <w:divBdr>
        <w:top w:val="none" w:sz="0" w:space="0" w:color="auto"/>
        <w:left w:val="none" w:sz="0" w:space="0" w:color="auto"/>
        <w:bottom w:val="none" w:sz="0" w:space="0" w:color="auto"/>
        <w:right w:val="none" w:sz="0" w:space="0" w:color="auto"/>
      </w:divBdr>
    </w:div>
    <w:div w:id="844323516">
      <w:marLeft w:val="640"/>
      <w:marRight w:val="0"/>
      <w:marTop w:val="0"/>
      <w:marBottom w:val="0"/>
      <w:divBdr>
        <w:top w:val="none" w:sz="0" w:space="0" w:color="auto"/>
        <w:left w:val="none" w:sz="0" w:space="0" w:color="auto"/>
        <w:bottom w:val="none" w:sz="0" w:space="0" w:color="auto"/>
        <w:right w:val="none" w:sz="0" w:space="0" w:color="auto"/>
      </w:divBdr>
    </w:div>
    <w:div w:id="844635677">
      <w:marLeft w:val="640"/>
      <w:marRight w:val="0"/>
      <w:marTop w:val="0"/>
      <w:marBottom w:val="0"/>
      <w:divBdr>
        <w:top w:val="none" w:sz="0" w:space="0" w:color="auto"/>
        <w:left w:val="none" w:sz="0" w:space="0" w:color="auto"/>
        <w:bottom w:val="none" w:sz="0" w:space="0" w:color="auto"/>
        <w:right w:val="none" w:sz="0" w:space="0" w:color="auto"/>
      </w:divBdr>
    </w:div>
    <w:div w:id="844906816">
      <w:marLeft w:val="640"/>
      <w:marRight w:val="0"/>
      <w:marTop w:val="0"/>
      <w:marBottom w:val="0"/>
      <w:divBdr>
        <w:top w:val="none" w:sz="0" w:space="0" w:color="auto"/>
        <w:left w:val="none" w:sz="0" w:space="0" w:color="auto"/>
        <w:bottom w:val="none" w:sz="0" w:space="0" w:color="auto"/>
        <w:right w:val="none" w:sz="0" w:space="0" w:color="auto"/>
      </w:divBdr>
    </w:div>
    <w:div w:id="845904741">
      <w:marLeft w:val="640"/>
      <w:marRight w:val="0"/>
      <w:marTop w:val="0"/>
      <w:marBottom w:val="0"/>
      <w:divBdr>
        <w:top w:val="none" w:sz="0" w:space="0" w:color="auto"/>
        <w:left w:val="none" w:sz="0" w:space="0" w:color="auto"/>
        <w:bottom w:val="none" w:sz="0" w:space="0" w:color="auto"/>
        <w:right w:val="none" w:sz="0" w:space="0" w:color="auto"/>
      </w:divBdr>
    </w:div>
    <w:div w:id="846596662">
      <w:marLeft w:val="640"/>
      <w:marRight w:val="0"/>
      <w:marTop w:val="0"/>
      <w:marBottom w:val="0"/>
      <w:divBdr>
        <w:top w:val="none" w:sz="0" w:space="0" w:color="auto"/>
        <w:left w:val="none" w:sz="0" w:space="0" w:color="auto"/>
        <w:bottom w:val="none" w:sz="0" w:space="0" w:color="auto"/>
        <w:right w:val="none" w:sz="0" w:space="0" w:color="auto"/>
      </w:divBdr>
    </w:div>
    <w:div w:id="847255093">
      <w:marLeft w:val="640"/>
      <w:marRight w:val="0"/>
      <w:marTop w:val="0"/>
      <w:marBottom w:val="0"/>
      <w:divBdr>
        <w:top w:val="none" w:sz="0" w:space="0" w:color="auto"/>
        <w:left w:val="none" w:sz="0" w:space="0" w:color="auto"/>
        <w:bottom w:val="none" w:sz="0" w:space="0" w:color="auto"/>
        <w:right w:val="none" w:sz="0" w:space="0" w:color="auto"/>
      </w:divBdr>
    </w:div>
    <w:div w:id="847601807">
      <w:marLeft w:val="640"/>
      <w:marRight w:val="0"/>
      <w:marTop w:val="0"/>
      <w:marBottom w:val="0"/>
      <w:divBdr>
        <w:top w:val="none" w:sz="0" w:space="0" w:color="auto"/>
        <w:left w:val="none" w:sz="0" w:space="0" w:color="auto"/>
        <w:bottom w:val="none" w:sz="0" w:space="0" w:color="auto"/>
        <w:right w:val="none" w:sz="0" w:space="0" w:color="auto"/>
      </w:divBdr>
    </w:div>
    <w:div w:id="847719780">
      <w:marLeft w:val="640"/>
      <w:marRight w:val="0"/>
      <w:marTop w:val="0"/>
      <w:marBottom w:val="0"/>
      <w:divBdr>
        <w:top w:val="none" w:sz="0" w:space="0" w:color="auto"/>
        <w:left w:val="none" w:sz="0" w:space="0" w:color="auto"/>
        <w:bottom w:val="none" w:sz="0" w:space="0" w:color="auto"/>
        <w:right w:val="none" w:sz="0" w:space="0" w:color="auto"/>
      </w:divBdr>
    </w:div>
    <w:div w:id="847913358">
      <w:marLeft w:val="640"/>
      <w:marRight w:val="0"/>
      <w:marTop w:val="0"/>
      <w:marBottom w:val="0"/>
      <w:divBdr>
        <w:top w:val="none" w:sz="0" w:space="0" w:color="auto"/>
        <w:left w:val="none" w:sz="0" w:space="0" w:color="auto"/>
        <w:bottom w:val="none" w:sz="0" w:space="0" w:color="auto"/>
        <w:right w:val="none" w:sz="0" w:space="0" w:color="auto"/>
      </w:divBdr>
    </w:div>
    <w:div w:id="848526709">
      <w:marLeft w:val="640"/>
      <w:marRight w:val="0"/>
      <w:marTop w:val="0"/>
      <w:marBottom w:val="0"/>
      <w:divBdr>
        <w:top w:val="none" w:sz="0" w:space="0" w:color="auto"/>
        <w:left w:val="none" w:sz="0" w:space="0" w:color="auto"/>
        <w:bottom w:val="none" w:sz="0" w:space="0" w:color="auto"/>
        <w:right w:val="none" w:sz="0" w:space="0" w:color="auto"/>
      </w:divBdr>
    </w:div>
    <w:div w:id="848711906">
      <w:marLeft w:val="640"/>
      <w:marRight w:val="0"/>
      <w:marTop w:val="0"/>
      <w:marBottom w:val="0"/>
      <w:divBdr>
        <w:top w:val="none" w:sz="0" w:space="0" w:color="auto"/>
        <w:left w:val="none" w:sz="0" w:space="0" w:color="auto"/>
        <w:bottom w:val="none" w:sz="0" w:space="0" w:color="auto"/>
        <w:right w:val="none" w:sz="0" w:space="0" w:color="auto"/>
      </w:divBdr>
    </w:div>
    <w:div w:id="848832563">
      <w:marLeft w:val="640"/>
      <w:marRight w:val="0"/>
      <w:marTop w:val="0"/>
      <w:marBottom w:val="0"/>
      <w:divBdr>
        <w:top w:val="none" w:sz="0" w:space="0" w:color="auto"/>
        <w:left w:val="none" w:sz="0" w:space="0" w:color="auto"/>
        <w:bottom w:val="none" w:sz="0" w:space="0" w:color="auto"/>
        <w:right w:val="none" w:sz="0" w:space="0" w:color="auto"/>
      </w:divBdr>
    </w:div>
    <w:div w:id="849150138">
      <w:marLeft w:val="640"/>
      <w:marRight w:val="0"/>
      <w:marTop w:val="0"/>
      <w:marBottom w:val="0"/>
      <w:divBdr>
        <w:top w:val="none" w:sz="0" w:space="0" w:color="auto"/>
        <w:left w:val="none" w:sz="0" w:space="0" w:color="auto"/>
        <w:bottom w:val="none" w:sz="0" w:space="0" w:color="auto"/>
        <w:right w:val="none" w:sz="0" w:space="0" w:color="auto"/>
      </w:divBdr>
    </w:div>
    <w:div w:id="849953781">
      <w:marLeft w:val="640"/>
      <w:marRight w:val="0"/>
      <w:marTop w:val="0"/>
      <w:marBottom w:val="0"/>
      <w:divBdr>
        <w:top w:val="none" w:sz="0" w:space="0" w:color="auto"/>
        <w:left w:val="none" w:sz="0" w:space="0" w:color="auto"/>
        <w:bottom w:val="none" w:sz="0" w:space="0" w:color="auto"/>
        <w:right w:val="none" w:sz="0" w:space="0" w:color="auto"/>
      </w:divBdr>
    </w:div>
    <w:div w:id="850802341">
      <w:marLeft w:val="640"/>
      <w:marRight w:val="0"/>
      <w:marTop w:val="0"/>
      <w:marBottom w:val="0"/>
      <w:divBdr>
        <w:top w:val="none" w:sz="0" w:space="0" w:color="auto"/>
        <w:left w:val="none" w:sz="0" w:space="0" w:color="auto"/>
        <w:bottom w:val="none" w:sz="0" w:space="0" w:color="auto"/>
        <w:right w:val="none" w:sz="0" w:space="0" w:color="auto"/>
      </w:divBdr>
    </w:div>
    <w:div w:id="851141855">
      <w:marLeft w:val="640"/>
      <w:marRight w:val="0"/>
      <w:marTop w:val="0"/>
      <w:marBottom w:val="0"/>
      <w:divBdr>
        <w:top w:val="none" w:sz="0" w:space="0" w:color="auto"/>
        <w:left w:val="none" w:sz="0" w:space="0" w:color="auto"/>
        <w:bottom w:val="none" w:sz="0" w:space="0" w:color="auto"/>
        <w:right w:val="none" w:sz="0" w:space="0" w:color="auto"/>
      </w:divBdr>
    </w:div>
    <w:div w:id="852037333">
      <w:marLeft w:val="640"/>
      <w:marRight w:val="0"/>
      <w:marTop w:val="0"/>
      <w:marBottom w:val="0"/>
      <w:divBdr>
        <w:top w:val="none" w:sz="0" w:space="0" w:color="auto"/>
        <w:left w:val="none" w:sz="0" w:space="0" w:color="auto"/>
        <w:bottom w:val="none" w:sz="0" w:space="0" w:color="auto"/>
        <w:right w:val="none" w:sz="0" w:space="0" w:color="auto"/>
      </w:divBdr>
    </w:div>
    <w:div w:id="853767368">
      <w:marLeft w:val="640"/>
      <w:marRight w:val="0"/>
      <w:marTop w:val="0"/>
      <w:marBottom w:val="0"/>
      <w:divBdr>
        <w:top w:val="none" w:sz="0" w:space="0" w:color="auto"/>
        <w:left w:val="none" w:sz="0" w:space="0" w:color="auto"/>
        <w:bottom w:val="none" w:sz="0" w:space="0" w:color="auto"/>
        <w:right w:val="none" w:sz="0" w:space="0" w:color="auto"/>
      </w:divBdr>
    </w:div>
    <w:div w:id="854421433">
      <w:marLeft w:val="640"/>
      <w:marRight w:val="0"/>
      <w:marTop w:val="0"/>
      <w:marBottom w:val="0"/>
      <w:divBdr>
        <w:top w:val="none" w:sz="0" w:space="0" w:color="auto"/>
        <w:left w:val="none" w:sz="0" w:space="0" w:color="auto"/>
        <w:bottom w:val="none" w:sz="0" w:space="0" w:color="auto"/>
        <w:right w:val="none" w:sz="0" w:space="0" w:color="auto"/>
      </w:divBdr>
    </w:div>
    <w:div w:id="856428463">
      <w:marLeft w:val="640"/>
      <w:marRight w:val="0"/>
      <w:marTop w:val="0"/>
      <w:marBottom w:val="0"/>
      <w:divBdr>
        <w:top w:val="none" w:sz="0" w:space="0" w:color="auto"/>
        <w:left w:val="none" w:sz="0" w:space="0" w:color="auto"/>
        <w:bottom w:val="none" w:sz="0" w:space="0" w:color="auto"/>
        <w:right w:val="none" w:sz="0" w:space="0" w:color="auto"/>
      </w:divBdr>
    </w:div>
    <w:div w:id="857740422">
      <w:marLeft w:val="640"/>
      <w:marRight w:val="0"/>
      <w:marTop w:val="0"/>
      <w:marBottom w:val="0"/>
      <w:divBdr>
        <w:top w:val="none" w:sz="0" w:space="0" w:color="auto"/>
        <w:left w:val="none" w:sz="0" w:space="0" w:color="auto"/>
        <w:bottom w:val="none" w:sz="0" w:space="0" w:color="auto"/>
        <w:right w:val="none" w:sz="0" w:space="0" w:color="auto"/>
      </w:divBdr>
    </w:div>
    <w:div w:id="859003243">
      <w:marLeft w:val="640"/>
      <w:marRight w:val="0"/>
      <w:marTop w:val="0"/>
      <w:marBottom w:val="0"/>
      <w:divBdr>
        <w:top w:val="none" w:sz="0" w:space="0" w:color="auto"/>
        <w:left w:val="none" w:sz="0" w:space="0" w:color="auto"/>
        <w:bottom w:val="none" w:sz="0" w:space="0" w:color="auto"/>
        <w:right w:val="none" w:sz="0" w:space="0" w:color="auto"/>
      </w:divBdr>
    </w:div>
    <w:div w:id="859010431">
      <w:marLeft w:val="640"/>
      <w:marRight w:val="0"/>
      <w:marTop w:val="0"/>
      <w:marBottom w:val="0"/>
      <w:divBdr>
        <w:top w:val="none" w:sz="0" w:space="0" w:color="auto"/>
        <w:left w:val="none" w:sz="0" w:space="0" w:color="auto"/>
        <w:bottom w:val="none" w:sz="0" w:space="0" w:color="auto"/>
        <w:right w:val="none" w:sz="0" w:space="0" w:color="auto"/>
      </w:divBdr>
    </w:div>
    <w:div w:id="859204164">
      <w:marLeft w:val="640"/>
      <w:marRight w:val="0"/>
      <w:marTop w:val="0"/>
      <w:marBottom w:val="0"/>
      <w:divBdr>
        <w:top w:val="none" w:sz="0" w:space="0" w:color="auto"/>
        <w:left w:val="none" w:sz="0" w:space="0" w:color="auto"/>
        <w:bottom w:val="none" w:sz="0" w:space="0" w:color="auto"/>
        <w:right w:val="none" w:sz="0" w:space="0" w:color="auto"/>
      </w:divBdr>
    </w:div>
    <w:div w:id="859244484">
      <w:marLeft w:val="640"/>
      <w:marRight w:val="0"/>
      <w:marTop w:val="0"/>
      <w:marBottom w:val="0"/>
      <w:divBdr>
        <w:top w:val="none" w:sz="0" w:space="0" w:color="auto"/>
        <w:left w:val="none" w:sz="0" w:space="0" w:color="auto"/>
        <w:bottom w:val="none" w:sz="0" w:space="0" w:color="auto"/>
        <w:right w:val="none" w:sz="0" w:space="0" w:color="auto"/>
      </w:divBdr>
    </w:div>
    <w:div w:id="859469611">
      <w:marLeft w:val="640"/>
      <w:marRight w:val="0"/>
      <w:marTop w:val="0"/>
      <w:marBottom w:val="0"/>
      <w:divBdr>
        <w:top w:val="none" w:sz="0" w:space="0" w:color="auto"/>
        <w:left w:val="none" w:sz="0" w:space="0" w:color="auto"/>
        <w:bottom w:val="none" w:sz="0" w:space="0" w:color="auto"/>
        <w:right w:val="none" w:sz="0" w:space="0" w:color="auto"/>
      </w:divBdr>
    </w:div>
    <w:div w:id="859587032">
      <w:marLeft w:val="640"/>
      <w:marRight w:val="0"/>
      <w:marTop w:val="0"/>
      <w:marBottom w:val="0"/>
      <w:divBdr>
        <w:top w:val="none" w:sz="0" w:space="0" w:color="auto"/>
        <w:left w:val="none" w:sz="0" w:space="0" w:color="auto"/>
        <w:bottom w:val="none" w:sz="0" w:space="0" w:color="auto"/>
        <w:right w:val="none" w:sz="0" w:space="0" w:color="auto"/>
      </w:divBdr>
    </w:div>
    <w:div w:id="859663685">
      <w:marLeft w:val="640"/>
      <w:marRight w:val="0"/>
      <w:marTop w:val="0"/>
      <w:marBottom w:val="0"/>
      <w:divBdr>
        <w:top w:val="none" w:sz="0" w:space="0" w:color="auto"/>
        <w:left w:val="none" w:sz="0" w:space="0" w:color="auto"/>
        <w:bottom w:val="none" w:sz="0" w:space="0" w:color="auto"/>
        <w:right w:val="none" w:sz="0" w:space="0" w:color="auto"/>
      </w:divBdr>
    </w:div>
    <w:div w:id="860314137">
      <w:marLeft w:val="640"/>
      <w:marRight w:val="0"/>
      <w:marTop w:val="0"/>
      <w:marBottom w:val="0"/>
      <w:divBdr>
        <w:top w:val="none" w:sz="0" w:space="0" w:color="auto"/>
        <w:left w:val="none" w:sz="0" w:space="0" w:color="auto"/>
        <w:bottom w:val="none" w:sz="0" w:space="0" w:color="auto"/>
        <w:right w:val="none" w:sz="0" w:space="0" w:color="auto"/>
      </w:divBdr>
    </w:div>
    <w:div w:id="861477056">
      <w:marLeft w:val="640"/>
      <w:marRight w:val="0"/>
      <w:marTop w:val="0"/>
      <w:marBottom w:val="0"/>
      <w:divBdr>
        <w:top w:val="none" w:sz="0" w:space="0" w:color="auto"/>
        <w:left w:val="none" w:sz="0" w:space="0" w:color="auto"/>
        <w:bottom w:val="none" w:sz="0" w:space="0" w:color="auto"/>
        <w:right w:val="none" w:sz="0" w:space="0" w:color="auto"/>
      </w:divBdr>
    </w:div>
    <w:div w:id="861667940">
      <w:marLeft w:val="640"/>
      <w:marRight w:val="0"/>
      <w:marTop w:val="0"/>
      <w:marBottom w:val="0"/>
      <w:divBdr>
        <w:top w:val="none" w:sz="0" w:space="0" w:color="auto"/>
        <w:left w:val="none" w:sz="0" w:space="0" w:color="auto"/>
        <w:bottom w:val="none" w:sz="0" w:space="0" w:color="auto"/>
        <w:right w:val="none" w:sz="0" w:space="0" w:color="auto"/>
      </w:divBdr>
    </w:div>
    <w:div w:id="862061259">
      <w:marLeft w:val="640"/>
      <w:marRight w:val="0"/>
      <w:marTop w:val="0"/>
      <w:marBottom w:val="0"/>
      <w:divBdr>
        <w:top w:val="none" w:sz="0" w:space="0" w:color="auto"/>
        <w:left w:val="none" w:sz="0" w:space="0" w:color="auto"/>
        <w:bottom w:val="none" w:sz="0" w:space="0" w:color="auto"/>
        <w:right w:val="none" w:sz="0" w:space="0" w:color="auto"/>
      </w:divBdr>
    </w:div>
    <w:div w:id="862864845">
      <w:marLeft w:val="640"/>
      <w:marRight w:val="0"/>
      <w:marTop w:val="0"/>
      <w:marBottom w:val="0"/>
      <w:divBdr>
        <w:top w:val="none" w:sz="0" w:space="0" w:color="auto"/>
        <w:left w:val="none" w:sz="0" w:space="0" w:color="auto"/>
        <w:bottom w:val="none" w:sz="0" w:space="0" w:color="auto"/>
        <w:right w:val="none" w:sz="0" w:space="0" w:color="auto"/>
      </w:divBdr>
    </w:div>
    <w:div w:id="864560612">
      <w:marLeft w:val="640"/>
      <w:marRight w:val="0"/>
      <w:marTop w:val="0"/>
      <w:marBottom w:val="0"/>
      <w:divBdr>
        <w:top w:val="none" w:sz="0" w:space="0" w:color="auto"/>
        <w:left w:val="none" w:sz="0" w:space="0" w:color="auto"/>
        <w:bottom w:val="none" w:sz="0" w:space="0" w:color="auto"/>
        <w:right w:val="none" w:sz="0" w:space="0" w:color="auto"/>
      </w:divBdr>
    </w:div>
    <w:div w:id="864947041">
      <w:marLeft w:val="640"/>
      <w:marRight w:val="0"/>
      <w:marTop w:val="0"/>
      <w:marBottom w:val="0"/>
      <w:divBdr>
        <w:top w:val="none" w:sz="0" w:space="0" w:color="auto"/>
        <w:left w:val="none" w:sz="0" w:space="0" w:color="auto"/>
        <w:bottom w:val="none" w:sz="0" w:space="0" w:color="auto"/>
        <w:right w:val="none" w:sz="0" w:space="0" w:color="auto"/>
      </w:divBdr>
    </w:div>
    <w:div w:id="865018329">
      <w:marLeft w:val="640"/>
      <w:marRight w:val="0"/>
      <w:marTop w:val="0"/>
      <w:marBottom w:val="0"/>
      <w:divBdr>
        <w:top w:val="none" w:sz="0" w:space="0" w:color="auto"/>
        <w:left w:val="none" w:sz="0" w:space="0" w:color="auto"/>
        <w:bottom w:val="none" w:sz="0" w:space="0" w:color="auto"/>
        <w:right w:val="none" w:sz="0" w:space="0" w:color="auto"/>
      </w:divBdr>
    </w:div>
    <w:div w:id="865214918">
      <w:marLeft w:val="640"/>
      <w:marRight w:val="0"/>
      <w:marTop w:val="0"/>
      <w:marBottom w:val="0"/>
      <w:divBdr>
        <w:top w:val="none" w:sz="0" w:space="0" w:color="auto"/>
        <w:left w:val="none" w:sz="0" w:space="0" w:color="auto"/>
        <w:bottom w:val="none" w:sz="0" w:space="0" w:color="auto"/>
        <w:right w:val="none" w:sz="0" w:space="0" w:color="auto"/>
      </w:divBdr>
    </w:div>
    <w:div w:id="865682024">
      <w:marLeft w:val="640"/>
      <w:marRight w:val="0"/>
      <w:marTop w:val="0"/>
      <w:marBottom w:val="0"/>
      <w:divBdr>
        <w:top w:val="none" w:sz="0" w:space="0" w:color="auto"/>
        <w:left w:val="none" w:sz="0" w:space="0" w:color="auto"/>
        <w:bottom w:val="none" w:sz="0" w:space="0" w:color="auto"/>
        <w:right w:val="none" w:sz="0" w:space="0" w:color="auto"/>
      </w:divBdr>
    </w:div>
    <w:div w:id="866024885">
      <w:marLeft w:val="640"/>
      <w:marRight w:val="0"/>
      <w:marTop w:val="0"/>
      <w:marBottom w:val="0"/>
      <w:divBdr>
        <w:top w:val="none" w:sz="0" w:space="0" w:color="auto"/>
        <w:left w:val="none" w:sz="0" w:space="0" w:color="auto"/>
        <w:bottom w:val="none" w:sz="0" w:space="0" w:color="auto"/>
        <w:right w:val="none" w:sz="0" w:space="0" w:color="auto"/>
      </w:divBdr>
    </w:div>
    <w:div w:id="866986392">
      <w:marLeft w:val="640"/>
      <w:marRight w:val="0"/>
      <w:marTop w:val="0"/>
      <w:marBottom w:val="0"/>
      <w:divBdr>
        <w:top w:val="none" w:sz="0" w:space="0" w:color="auto"/>
        <w:left w:val="none" w:sz="0" w:space="0" w:color="auto"/>
        <w:bottom w:val="none" w:sz="0" w:space="0" w:color="auto"/>
        <w:right w:val="none" w:sz="0" w:space="0" w:color="auto"/>
      </w:divBdr>
    </w:div>
    <w:div w:id="867179061">
      <w:marLeft w:val="640"/>
      <w:marRight w:val="0"/>
      <w:marTop w:val="0"/>
      <w:marBottom w:val="0"/>
      <w:divBdr>
        <w:top w:val="none" w:sz="0" w:space="0" w:color="auto"/>
        <w:left w:val="none" w:sz="0" w:space="0" w:color="auto"/>
        <w:bottom w:val="none" w:sz="0" w:space="0" w:color="auto"/>
        <w:right w:val="none" w:sz="0" w:space="0" w:color="auto"/>
      </w:divBdr>
    </w:div>
    <w:div w:id="867916772">
      <w:marLeft w:val="640"/>
      <w:marRight w:val="0"/>
      <w:marTop w:val="0"/>
      <w:marBottom w:val="0"/>
      <w:divBdr>
        <w:top w:val="none" w:sz="0" w:space="0" w:color="auto"/>
        <w:left w:val="none" w:sz="0" w:space="0" w:color="auto"/>
        <w:bottom w:val="none" w:sz="0" w:space="0" w:color="auto"/>
        <w:right w:val="none" w:sz="0" w:space="0" w:color="auto"/>
      </w:divBdr>
    </w:div>
    <w:div w:id="868101034">
      <w:marLeft w:val="640"/>
      <w:marRight w:val="0"/>
      <w:marTop w:val="0"/>
      <w:marBottom w:val="0"/>
      <w:divBdr>
        <w:top w:val="none" w:sz="0" w:space="0" w:color="auto"/>
        <w:left w:val="none" w:sz="0" w:space="0" w:color="auto"/>
        <w:bottom w:val="none" w:sz="0" w:space="0" w:color="auto"/>
        <w:right w:val="none" w:sz="0" w:space="0" w:color="auto"/>
      </w:divBdr>
    </w:div>
    <w:div w:id="868879847">
      <w:marLeft w:val="640"/>
      <w:marRight w:val="0"/>
      <w:marTop w:val="0"/>
      <w:marBottom w:val="0"/>
      <w:divBdr>
        <w:top w:val="none" w:sz="0" w:space="0" w:color="auto"/>
        <w:left w:val="none" w:sz="0" w:space="0" w:color="auto"/>
        <w:bottom w:val="none" w:sz="0" w:space="0" w:color="auto"/>
        <w:right w:val="none" w:sz="0" w:space="0" w:color="auto"/>
      </w:divBdr>
    </w:div>
    <w:div w:id="869413758">
      <w:marLeft w:val="640"/>
      <w:marRight w:val="0"/>
      <w:marTop w:val="0"/>
      <w:marBottom w:val="0"/>
      <w:divBdr>
        <w:top w:val="none" w:sz="0" w:space="0" w:color="auto"/>
        <w:left w:val="none" w:sz="0" w:space="0" w:color="auto"/>
        <w:bottom w:val="none" w:sz="0" w:space="0" w:color="auto"/>
        <w:right w:val="none" w:sz="0" w:space="0" w:color="auto"/>
      </w:divBdr>
    </w:div>
    <w:div w:id="869688125">
      <w:marLeft w:val="640"/>
      <w:marRight w:val="0"/>
      <w:marTop w:val="0"/>
      <w:marBottom w:val="0"/>
      <w:divBdr>
        <w:top w:val="none" w:sz="0" w:space="0" w:color="auto"/>
        <w:left w:val="none" w:sz="0" w:space="0" w:color="auto"/>
        <w:bottom w:val="none" w:sz="0" w:space="0" w:color="auto"/>
        <w:right w:val="none" w:sz="0" w:space="0" w:color="auto"/>
      </w:divBdr>
    </w:div>
    <w:div w:id="869881868">
      <w:marLeft w:val="640"/>
      <w:marRight w:val="0"/>
      <w:marTop w:val="0"/>
      <w:marBottom w:val="0"/>
      <w:divBdr>
        <w:top w:val="none" w:sz="0" w:space="0" w:color="auto"/>
        <w:left w:val="none" w:sz="0" w:space="0" w:color="auto"/>
        <w:bottom w:val="none" w:sz="0" w:space="0" w:color="auto"/>
        <w:right w:val="none" w:sz="0" w:space="0" w:color="auto"/>
      </w:divBdr>
    </w:div>
    <w:div w:id="870261229">
      <w:marLeft w:val="640"/>
      <w:marRight w:val="0"/>
      <w:marTop w:val="0"/>
      <w:marBottom w:val="0"/>
      <w:divBdr>
        <w:top w:val="none" w:sz="0" w:space="0" w:color="auto"/>
        <w:left w:val="none" w:sz="0" w:space="0" w:color="auto"/>
        <w:bottom w:val="none" w:sz="0" w:space="0" w:color="auto"/>
        <w:right w:val="none" w:sz="0" w:space="0" w:color="auto"/>
      </w:divBdr>
    </w:div>
    <w:div w:id="873156548">
      <w:marLeft w:val="640"/>
      <w:marRight w:val="0"/>
      <w:marTop w:val="0"/>
      <w:marBottom w:val="0"/>
      <w:divBdr>
        <w:top w:val="none" w:sz="0" w:space="0" w:color="auto"/>
        <w:left w:val="none" w:sz="0" w:space="0" w:color="auto"/>
        <w:bottom w:val="none" w:sz="0" w:space="0" w:color="auto"/>
        <w:right w:val="none" w:sz="0" w:space="0" w:color="auto"/>
      </w:divBdr>
    </w:div>
    <w:div w:id="874778306">
      <w:marLeft w:val="640"/>
      <w:marRight w:val="0"/>
      <w:marTop w:val="0"/>
      <w:marBottom w:val="0"/>
      <w:divBdr>
        <w:top w:val="none" w:sz="0" w:space="0" w:color="auto"/>
        <w:left w:val="none" w:sz="0" w:space="0" w:color="auto"/>
        <w:bottom w:val="none" w:sz="0" w:space="0" w:color="auto"/>
        <w:right w:val="none" w:sz="0" w:space="0" w:color="auto"/>
      </w:divBdr>
    </w:div>
    <w:div w:id="875846407">
      <w:marLeft w:val="640"/>
      <w:marRight w:val="0"/>
      <w:marTop w:val="0"/>
      <w:marBottom w:val="0"/>
      <w:divBdr>
        <w:top w:val="none" w:sz="0" w:space="0" w:color="auto"/>
        <w:left w:val="none" w:sz="0" w:space="0" w:color="auto"/>
        <w:bottom w:val="none" w:sz="0" w:space="0" w:color="auto"/>
        <w:right w:val="none" w:sz="0" w:space="0" w:color="auto"/>
      </w:divBdr>
    </w:div>
    <w:div w:id="876619759">
      <w:marLeft w:val="640"/>
      <w:marRight w:val="0"/>
      <w:marTop w:val="0"/>
      <w:marBottom w:val="0"/>
      <w:divBdr>
        <w:top w:val="none" w:sz="0" w:space="0" w:color="auto"/>
        <w:left w:val="none" w:sz="0" w:space="0" w:color="auto"/>
        <w:bottom w:val="none" w:sz="0" w:space="0" w:color="auto"/>
        <w:right w:val="none" w:sz="0" w:space="0" w:color="auto"/>
      </w:divBdr>
    </w:div>
    <w:div w:id="876963966">
      <w:marLeft w:val="640"/>
      <w:marRight w:val="0"/>
      <w:marTop w:val="0"/>
      <w:marBottom w:val="0"/>
      <w:divBdr>
        <w:top w:val="none" w:sz="0" w:space="0" w:color="auto"/>
        <w:left w:val="none" w:sz="0" w:space="0" w:color="auto"/>
        <w:bottom w:val="none" w:sz="0" w:space="0" w:color="auto"/>
        <w:right w:val="none" w:sz="0" w:space="0" w:color="auto"/>
      </w:divBdr>
    </w:div>
    <w:div w:id="877619242">
      <w:marLeft w:val="640"/>
      <w:marRight w:val="0"/>
      <w:marTop w:val="0"/>
      <w:marBottom w:val="0"/>
      <w:divBdr>
        <w:top w:val="none" w:sz="0" w:space="0" w:color="auto"/>
        <w:left w:val="none" w:sz="0" w:space="0" w:color="auto"/>
        <w:bottom w:val="none" w:sz="0" w:space="0" w:color="auto"/>
        <w:right w:val="none" w:sz="0" w:space="0" w:color="auto"/>
      </w:divBdr>
    </w:div>
    <w:div w:id="879822982">
      <w:marLeft w:val="640"/>
      <w:marRight w:val="0"/>
      <w:marTop w:val="0"/>
      <w:marBottom w:val="0"/>
      <w:divBdr>
        <w:top w:val="none" w:sz="0" w:space="0" w:color="auto"/>
        <w:left w:val="none" w:sz="0" w:space="0" w:color="auto"/>
        <w:bottom w:val="none" w:sz="0" w:space="0" w:color="auto"/>
        <w:right w:val="none" w:sz="0" w:space="0" w:color="auto"/>
      </w:divBdr>
    </w:div>
    <w:div w:id="880439739">
      <w:marLeft w:val="640"/>
      <w:marRight w:val="0"/>
      <w:marTop w:val="0"/>
      <w:marBottom w:val="0"/>
      <w:divBdr>
        <w:top w:val="none" w:sz="0" w:space="0" w:color="auto"/>
        <w:left w:val="none" w:sz="0" w:space="0" w:color="auto"/>
        <w:bottom w:val="none" w:sz="0" w:space="0" w:color="auto"/>
        <w:right w:val="none" w:sz="0" w:space="0" w:color="auto"/>
      </w:divBdr>
    </w:div>
    <w:div w:id="880821248">
      <w:marLeft w:val="640"/>
      <w:marRight w:val="0"/>
      <w:marTop w:val="0"/>
      <w:marBottom w:val="0"/>
      <w:divBdr>
        <w:top w:val="none" w:sz="0" w:space="0" w:color="auto"/>
        <w:left w:val="none" w:sz="0" w:space="0" w:color="auto"/>
        <w:bottom w:val="none" w:sz="0" w:space="0" w:color="auto"/>
        <w:right w:val="none" w:sz="0" w:space="0" w:color="auto"/>
      </w:divBdr>
    </w:div>
    <w:div w:id="881289008">
      <w:marLeft w:val="640"/>
      <w:marRight w:val="0"/>
      <w:marTop w:val="0"/>
      <w:marBottom w:val="0"/>
      <w:divBdr>
        <w:top w:val="none" w:sz="0" w:space="0" w:color="auto"/>
        <w:left w:val="none" w:sz="0" w:space="0" w:color="auto"/>
        <w:bottom w:val="none" w:sz="0" w:space="0" w:color="auto"/>
        <w:right w:val="none" w:sz="0" w:space="0" w:color="auto"/>
      </w:divBdr>
    </w:div>
    <w:div w:id="881400893">
      <w:marLeft w:val="640"/>
      <w:marRight w:val="0"/>
      <w:marTop w:val="0"/>
      <w:marBottom w:val="0"/>
      <w:divBdr>
        <w:top w:val="none" w:sz="0" w:space="0" w:color="auto"/>
        <w:left w:val="none" w:sz="0" w:space="0" w:color="auto"/>
        <w:bottom w:val="none" w:sz="0" w:space="0" w:color="auto"/>
        <w:right w:val="none" w:sz="0" w:space="0" w:color="auto"/>
      </w:divBdr>
    </w:div>
    <w:div w:id="881482210">
      <w:marLeft w:val="640"/>
      <w:marRight w:val="0"/>
      <w:marTop w:val="0"/>
      <w:marBottom w:val="0"/>
      <w:divBdr>
        <w:top w:val="none" w:sz="0" w:space="0" w:color="auto"/>
        <w:left w:val="none" w:sz="0" w:space="0" w:color="auto"/>
        <w:bottom w:val="none" w:sz="0" w:space="0" w:color="auto"/>
        <w:right w:val="none" w:sz="0" w:space="0" w:color="auto"/>
      </w:divBdr>
    </w:div>
    <w:div w:id="881745902">
      <w:marLeft w:val="640"/>
      <w:marRight w:val="0"/>
      <w:marTop w:val="0"/>
      <w:marBottom w:val="0"/>
      <w:divBdr>
        <w:top w:val="none" w:sz="0" w:space="0" w:color="auto"/>
        <w:left w:val="none" w:sz="0" w:space="0" w:color="auto"/>
        <w:bottom w:val="none" w:sz="0" w:space="0" w:color="auto"/>
        <w:right w:val="none" w:sz="0" w:space="0" w:color="auto"/>
      </w:divBdr>
    </w:div>
    <w:div w:id="881866440">
      <w:marLeft w:val="640"/>
      <w:marRight w:val="0"/>
      <w:marTop w:val="0"/>
      <w:marBottom w:val="0"/>
      <w:divBdr>
        <w:top w:val="none" w:sz="0" w:space="0" w:color="auto"/>
        <w:left w:val="none" w:sz="0" w:space="0" w:color="auto"/>
        <w:bottom w:val="none" w:sz="0" w:space="0" w:color="auto"/>
        <w:right w:val="none" w:sz="0" w:space="0" w:color="auto"/>
      </w:divBdr>
    </w:div>
    <w:div w:id="882331438">
      <w:marLeft w:val="640"/>
      <w:marRight w:val="0"/>
      <w:marTop w:val="0"/>
      <w:marBottom w:val="0"/>
      <w:divBdr>
        <w:top w:val="none" w:sz="0" w:space="0" w:color="auto"/>
        <w:left w:val="none" w:sz="0" w:space="0" w:color="auto"/>
        <w:bottom w:val="none" w:sz="0" w:space="0" w:color="auto"/>
        <w:right w:val="none" w:sz="0" w:space="0" w:color="auto"/>
      </w:divBdr>
    </w:div>
    <w:div w:id="882670319">
      <w:marLeft w:val="640"/>
      <w:marRight w:val="0"/>
      <w:marTop w:val="0"/>
      <w:marBottom w:val="0"/>
      <w:divBdr>
        <w:top w:val="none" w:sz="0" w:space="0" w:color="auto"/>
        <w:left w:val="none" w:sz="0" w:space="0" w:color="auto"/>
        <w:bottom w:val="none" w:sz="0" w:space="0" w:color="auto"/>
        <w:right w:val="none" w:sz="0" w:space="0" w:color="auto"/>
      </w:divBdr>
    </w:div>
    <w:div w:id="883322954">
      <w:marLeft w:val="640"/>
      <w:marRight w:val="0"/>
      <w:marTop w:val="0"/>
      <w:marBottom w:val="0"/>
      <w:divBdr>
        <w:top w:val="none" w:sz="0" w:space="0" w:color="auto"/>
        <w:left w:val="none" w:sz="0" w:space="0" w:color="auto"/>
        <w:bottom w:val="none" w:sz="0" w:space="0" w:color="auto"/>
        <w:right w:val="none" w:sz="0" w:space="0" w:color="auto"/>
      </w:divBdr>
    </w:div>
    <w:div w:id="884291462">
      <w:marLeft w:val="640"/>
      <w:marRight w:val="0"/>
      <w:marTop w:val="0"/>
      <w:marBottom w:val="0"/>
      <w:divBdr>
        <w:top w:val="none" w:sz="0" w:space="0" w:color="auto"/>
        <w:left w:val="none" w:sz="0" w:space="0" w:color="auto"/>
        <w:bottom w:val="none" w:sz="0" w:space="0" w:color="auto"/>
        <w:right w:val="none" w:sz="0" w:space="0" w:color="auto"/>
      </w:divBdr>
    </w:div>
    <w:div w:id="884486716">
      <w:marLeft w:val="640"/>
      <w:marRight w:val="0"/>
      <w:marTop w:val="0"/>
      <w:marBottom w:val="0"/>
      <w:divBdr>
        <w:top w:val="none" w:sz="0" w:space="0" w:color="auto"/>
        <w:left w:val="none" w:sz="0" w:space="0" w:color="auto"/>
        <w:bottom w:val="none" w:sz="0" w:space="0" w:color="auto"/>
        <w:right w:val="none" w:sz="0" w:space="0" w:color="auto"/>
      </w:divBdr>
    </w:div>
    <w:div w:id="884874295">
      <w:marLeft w:val="640"/>
      <w:marRight w:val="0"/>
      <w:marTop w:val="0"/>
      <w:marBottom w:val="0"/>
      <w:divBdr>
        <w:top w:val="none" w:sz="0" w:space="0" w:color="auto"/>
        <w:left w:val="none" w:sz="0" w:space="0" w:color="auto"/>
        <w:bottom w:val="none" w:sz="0" w:space="0" w:color="auto"/>
        <w:right w:val="none" w:sz="0" w:space="0" w:color="auto"/>
      </w:divBdr>
    </w:div>
    <w:div w:id="885139802">
      <w:marLeft w:val="640"/>
      <w:marRight w:val="0"/>
      <w:marTop w:val="0"/>
      <w:marBottom w:val="0"/>
      <w:divBdr>
        <w:top w:val="none" w:sz="0" w:space="0" w:color="auto"/>
        <w:left w:val="none" w:sz="0" w:space="0" w:color="auto"/>
        <w:bottom w:val="none" w:sz="0" w:space="0" w:color="auto"/>
        <w:right w:val="none" w:sz="0" w:space="0" w:color="auto"/>
      </w:divBdr>
    </w:div>
    <w:div w:id="885721592">
      <w:marLeft w:val="640"/>
      <w:marRight w:val="0"/>
      <w:marTop w:val="0"/>
      <w:marBottom w:val="0"/>
      <w:divBdr>
        <w:top w:val="none" w:sz="0" w:space="0" w:color="auto"/>
        <w:left w:val="none" w:sz="0" w:space="0" w:color="auto"/>
        <w:bottom w:val="none" w:sz="0" w:space="0" w:color="auto"/>
        <w:right w:val="none" w:sz="0" w:space="0" w:color="auto"/>
      </w:divBdr>
    </w:div>
    <w:div w:id="887376349">
      <w:marLeft w:val="640"/>
      <w:marRight w:val="0"/>
      <w:marTop w:val="0"/>
      <w:marBottom w:val="0"/>
      <w:divBdr>
        <w:top w:val="none" w:sz="0" w:space="0" w:color="auto"/>
        <w:left w:val="none" w:sz="0" w:space="0" w:color="auto"/>
        <w:bottom w:val="none" w:sz="0" w:space="0" w:color="auto"/>
        <w:right w:val="none" w:sz="0" w:space="0" w:color="auto"/>
      </w:divBdr>
    </w:div>
    <w:div w:id="888958282">
      <w:marLeft w:val="640"/>
      <w:marRight w:val="0"/>
      <w:marTop w:val="0"/>
      <w:marBottom w:val="0"/>
      <w:divBdr>
        <w:top w:val="none" w:sz="0" w:space="0" w:color="auto"/>
        <w:left w:val="none" w:sz="0" w:space="0" w:color="auto"/>
        <w:bottom w:val="none" w:sz="0" w:space="0" w:color="auto"/>
        <w:right w:val="none" w:sz="0" w:space="0" w:color="auto"/>
      </w:divBdr>
    </w:div>
    <w:div w:id="890458171">
      <w:marLeft w:val="640"/>
      <w:marRight w:val="0"/>
      <w:marTop w:val="0"/>
      <w:marBottom w:val="0"/>
      <w:divBdr>
        <w:top w:val="none" w:sz="0" w:space="0" w:color="auto"/>
        <w:left w:val="none" w:sz="0" w:space="0" w:color="auto"/>
        <w:bottom w:val="none" w:sz="0" w:space="0" w:color="auto"/>
        <w:right w:val="none" w:sz="0" w:space="0" w:color="auto"/>
      </w:divBdr>
    </w:div>
    <w:div w:id="891888005">
      <w:marLeft w:val="640"/>
      <w:marRight w:val="0"/>
      <w:marTop w:val="0"/>
      <w:marBottom w:val="0"/>
      <w:divBdr>
        <w:top w:val="none" w:sz="0" w:space="0" w:color="auto"/>
        <w:left w:val="none" w:sz="0" w:space="0" w:color="auto"/>
        <w:bottom w:val="none" w:sz="0" w:space="0" w:color="auto"/>
        <w:right w:val="none" w:sz="0" w:space="0" w:color="auto"/>
      </w:divBdr>
    </w:div>
    <w:div w:id="892496574">
      <w:marLeft w:val="640"/>
      <w:marRight w:val="0"/>
      <w:marTop w:val="0"/>
      <w:marBottom w:val="0"/>
      <w:divBdr>
        <w:top w:val="none" w:sz="0" w:space="0" w:color="auto"/>
        <w:left w:val="none" w:sz="0" w:space="0" w:color="auto"/>
        <w:bottom w:val="none" w:sz="0" w:space="0" w:color="auto"/>
        <w:right w:val="none" w:sz="0" w:space="0" w:color="auto"/>
      </w:divBdr>
    </w:div>
    <w:div w:id="892694286">
      <w:marLeft w:val="640"/>
      <w:marRight w:val="0"/>
      <w:marTop w:val="0"/>
      <w:marBottom w:val="0"/>
      <w:divBdr>
        <w:top w:val="none" w:sz="0" w:space="0" w:color="auto"/>
        <w:left w:val="none" w:sz="0" w:space="0" w:color="auto"/>
        <w:bottom w:val="none" w:sz="0" w:space="0" w:color="auto"/>
        <w:right w:val="none" w:sz="0" w:space="0" w:color="auto"/>
      </w:divBdr>
    </w:div>
    <w:div w:id="893195947">
      <w:marLeft w:val="640"/>
      <w:marRight w:val="0"/>
      <w:marTop w:val="0"/>
      <w:marBottom w:val="0"/>
      <w:divBdr>
        <w:top w:val="none" w:sz="0" w:space="0" w:color="auto"/>
        <w:left w:val="none" w:sz="0" w:space="0" w:color="auto"/>
        <w:bottom w:val="none" w:sz="0" w:space="0" w:color="auto"/>
        <w:right w:val="none" w:sz="0" w:space="0" w:color="auto"/>
      </w:divBdr>
    </w:div>
    <w:div w:id="894699667">
      <w:marLeft w:val="640"/>
      <w:marRight w:val="0"/>
      <w:marTop w:val="0"/>
      <w:marBottom w:val="0"/>
      <w:divBdr>
        <w:top w:val="none" w:sz="0" w:space="0" w:color="auto"/>
        <w:left w:val="none" w:sz="0" w:space="0" w:color="auto"/>
        <w:bottom w:val="none" w:sz="0" w:space="0" w:color="auto"/>
        <w:right w:val="none" w:sz="0" w:space="0" w:color="auto"/>
      </w:divBdr>
    </w:div>
    <w:div w:id="895432164">
      <w:marLeft w:val="640"/>
      <w:marRight w:val="0"/>
      <w:marTop w:val="0"/>
      <w:marBottom w:val="0"/>
      <w:divBdr>
        <w:top w:val="none" w:sz="0" w:space="0" w:color="auto"/>
        <w:left w:val="none" w:sz="0" w:space="0" w:color="auto"/>
        <w:bottom w:val="none" w:sz="0" w:space="0" w:color="auto"/>
        <w:right w:val="none" w:sz="0" w:space="0" w:color="auto"/>
      </w:divBdr>
    </w:div>
    <w:div w:id="896277477">
      <w:marLeft w:val="640"/>
      <w:marRight w:val="0"/>
      <w:marTop w:val="0"/>
      <w:marBottom w:val="0"/>
      <w:divBdr>
        <w:top w:val="none" w:sz="0" w:space="0" w:color="auto"/>
        <w:left w:val="none" w:sz="0" w:space="0" w:color="auto"/>
        <w:bottom w:val="none" w:sz="0" w:space="0" w:color="auto"/>
        <w:right w:val="none" w:sz="0" w:space="0" w:color="auto"/>
      </w:divBdr>
    </w:div>
    <w:div w:id="897589471">
      <w:marLeft w:val="640"/>
      <w:marRight w:val="0"/>
      <w:marTop w:val="0"/>
      <w:marBottom w:val="0"/>
      <w:divBdr>
        <w:top w:val="none" w:sz="0" w:space="0" w:color="auto"/>
        <w:left w:val="none" w:sz="0" w:space="0" w:color="auto"/>
        <w:bottom w:val="none" w:sz="0" w:space="0" w:color="auto"/>
        <w:right w:val="none" w:sz="0" w:space="0" w:color="auto"/>
      </w:divBdr>
    </w:div>
    <w:div w:id="898248994">
      <w:marLeft w:val="640"/>
      <w:marRight w:val="0"/>
      <w:marTop w:val="0"/>
      <w:marBottom w:val="0"/>
      <w:divBdr>
        <w:top w:val="none" w:sz="0" w:space="0" w:color="auto"/>
        <w:left w:val="none" w:sz="0" w:space="0" w:color="auto"/>
        <w:bottom w:val="none" w:sz="0" w:space="0" w:color="auto"/>
        <w:right w:val="none" w:sz="0" w:space="0" w:color="auto"/>
      </w:divBdr>
    </w:div>
    <w:div w:id="898588742">
      <w:marLeft w:val="640"/>
      <w:marRight w:val="0"/>
      <w:marTop w:val="0"/>
      <w:marBottom w:val="0"/>
      <w:divBdr>
        <w:top w:val="none" w:sz="0" w:space="0" w:color="auto"/>
        <w:left w:val="none" w:sz="0" w:space="0" w:color="auto"/>
        <w:bottom w:val="none" w:sz="0" w:space="0" w:color="auto"/>
        <w:right w:val="none" w:sz="0" w:space="0" w:color="auto"/>
      </w:divBdr>
    </w:div>
    <w:div w:id="899095402">
      <w:marLeft w:val="640"/>
      <w:marRight w:val="0"/>
      <w:marTop w:val="0"/>
      <w:marBottom w:val="0"/>
      <w:divBdr>
        <w:top w:val="none" w:sz="0" w:space="0" w:color="auto"/>
        <w:left w:val="none" w:sz="0" w:space="0" w:color="auto"/>
        <w:bottom w:val="none" w:sz="0" w:space="0" w:color="auto"/>
        <w:right w:val="none" w:sz="0" w:space="0" w:color="auto"/>
      </w:divBdr>
    </w:div>
    <w:div w:id="899947846">
      <w:marLeft w:val="640"/>
      <w:marRight w:val="0"/>
      <w:marTop w:val="0"/>
      <w:marBottom w:val="0"/>
      <w:divBdr>
        <w:top w:val="none" w:sz="0" w:space="0" w:color="auto"/>
        <w:left w:val="none" w:sz="0" w:space="0" w:color="auto"/>
        <w:bottom w:val="none" w:sz="0" w:space="0" w:color="auto"/>
        <w:right w:val="none" w:sz="0" w:space="0" w:color="auto"/>
      </w:divBdr>
    </w:div>
    <w:div w:id="900408532">
      <w:marLeft w:val="640"/>
      <w:marRight w:val="0"/>
      <w:marTop w:val="0"/>
      <w:marBottom w:val="0"/>
      <w:divBdr>
        <w:top w:val="none" w:sz="0" w:space="0" w:color="auto"/>
        <w:left w:val="none" w:sz="0" w:space="0" w:color="auto"/>
        <w:bottom w:val="none" w:sz="0" w:space="0" w:color="auto"/>
        <w:right w:val="none" w:sz="0" w:space="0" w:color="auto"/>
      </w:divBdr>
    </w:div>
    <w:div w:id="901134679">
      <w:marLeft w:val="640"/>
      <w:marRight w:val="0"/>
      <w:marTop w:val="0"/>
      <w:marBottom w:val="0"/>
      <w:divBdr>
        <w:top w:val="none" w:sz="0" w:space="0" w:color="auto"/>
        <w:left w:val="none" w:sz="0" w:space="0" w:color="auto"/>
        <w:bottom w:val="none" w:sz="0" w:space="0" w:color="auto"/>
        <w:right w:val="none" w:sz="0" w:space="0" w:color="auto"/>
      </w:divBdr>
    </w:div>
    <w:div w:id="902301745">
      <w:marLeft w:val="640"/>
      <w:marRight w:val="0"/>
      <w:marTop w:val="0"/>
      <w:marBottom w:val="0"/>
      <w:divBdr>
        <w:top w:val="none" w:sz="0" w:space="0" w:color="auto"/>
        <w:left w:val="none" w:sz="0" w:space="0" w:color="auto"/>
        <w:bottom w:val="none" w:sz="0" w:space="0" w:color="auto"/>
        <w:right w:val="none" w:sz="0" w:space="0" w:color="auto"/>
      </w:divBdr>
    </w:div>
    <w:div w:id="903103466">
      <w:marLeft w:val="640"/>
      <w:marRight w:val="0"/>
      <w:marTop w:val="0"/>
      <w:marBottom w:val="0"/>
      <w:divBdr>
        <w:top w:val="none" w:sz="0" w:space="0" w:color="auto"/>
        <w:left w:val="none" w:sz="0" w:space="0" w:color="auto"/>
        <w:bottom w:val="none" w:sz="0" w:space="0" w:color="auto"/>
        <w:right w:val="none" w:sz="0" w:space="0" w:color="auto"/>
      </w:divBdr>
    </w:div>
    <w:div w:id="903875506">
      <w:marLeft w:val="640"/>
      <w:marRight w:val="0"/>
      <w:marTop w:val="0"/>
      <w:marBottom w:val="0"/>
      <w:divBdr>
        <w:top w:val="none" w:sz="0" w:space="0" w:color="auto"/>
        <w:left w:val="none" w:sz="0" w:space="0" w:color="auto"/>
        <w:bottom w:val="none" w:sz="0" w:space="0" w:color="auto"/>
        <w:right w:val="none" w:sz="0" w:space="0" w:color="auto"/>
      </w:divBdr>
    </w:div>
    <w:div w:id="904070323">
      <w:marLeft w:val="640"/>
      <w:marRight w:val="0"/>
      <w:marTop w:val="0"/>
      <w:marBottom w:val="0"/>
      <w:divBdr>
        <w:top w:val="none" w:sz="0" w:space="0" w:color="auto"/>
        <w:left w:val="none" w:sz="0" w:space="0" w:color="auto"/>
        <w:bottom w:val="none" w:sz="0" w:space="0" w:color="auto"/>
        <w:right w:val="none" w:sz="0" w:space="0" w:color="auto"/>
      </w:divBdr>
    </w:div>
    <w:div w:id="904266760">
      <w:marLeft w:val="640"/>
      <w:marRight w:val="0"/>
      <w:marTop w:val="0"/>
      <w:marBottom w:val="0"/>
      <w:divBdr>
        <w:top w:val="none" w:sz="0" w:space="0" w:color="auto"/>
        <w:left w:val="none" w:sz="0" w:space="0" w:color="auto"/>
        <w:bottom w:val="none" w:sz="0" w:space="0" w:color="auto"/>
        <w:right w:val="none" w:sz="0" w:space="0" w:color="auto"/>
      </w:divBdr>
    </w:div>
    <w:div w:id="905070802">
      <w:marLeft w:val="640"/>
      <w:marRight w:val="0"/>
      <w:marTop w:val="0"/>
      <w:marBottom w:val="0"/>
      <w:divBdr>
        <w:top w:val="none" w:sz="0" w:space="0" w:color="auto"/>
        <w:left w:val="none" w:sz="0" w:space="0" w:color="auto"/>
        <w:bottom w:val="none" w:sz="0" w:space="0" w:color="auto"/>
        <w:right w:val="none" w:sz="0" w:space="0" w:color="auto"/>
      </w:divBdr>
    </w:div>
    <w:div w:id="905842418">
      <w:marLeft w:val="640"/>
      <w:marRight w:val="0"/>
      <w:marTop w:val="0"/>
      <w:marBottom w:val="0"/>
      <w:divBdr>
        <w:top w:val="none" w:sz="0" w:space="0" w:color="auto"/>
        <w:left w:val="none" w:sz="0" w:space="0" w:color="auto"/>
        <w:bottom w:val="none" w:sz="0" w:space="0" w:color="auto"/>
        <w:right w:val="none" w:sz="0" w:space="0" w:color="auto"/>
      </w:divBdr>
    </w:div>
    <w:div w:id="906643707">
      <w:marLeft w:val="640"/>
      <w:marRight w:val="0"/>
      <w:marTop w:val="0"/>
      <w:marBottom w:val="0"/>
      <w:divBdr>
        <w:top w:val="none" w:sz="0" w:space="0" w:color="auto"/>
        <w:left w:val="none" w:sz="0" w:space="0" w:color="auto"/>
        <w:bottom w:val="none" w:sz="0" w:space="0" w:color="auto"/>
        <w:right w:val="none" w:sz="0" w:space="0" w:color="auto"/>
      </w:divBdr>
    </w:div>
    <w:div w:id="906645649">
      <w:marLeft w:val="640"/>
      <w:marRight w:val="0"/>
      <w:marTop w:val="0"/>
      <w:marBottom w:val="0"/>
      <w:divBdr>
        <w:top w:val="none" w:sz="0" w:space="0" w:color="auto"/>
        <w:left w:val="none" w:sz="0" w:space="0" w:color="auto"/>
        <w:bottom w:val="none" w:sz="0" w:space="0" w:color="auto"/>
        <w:right w:val="none" w:sz="0" w:space="0" w:color="auto"/>
      </w:divBdr>
    </w:div>
    <w:div w:id="907155223">
      <w:marLeft w:val="640"/>
      <w:marRight w:val="0"/>
      <w:marTop w:val="0"/>
      <w:marBottom w:val="0"/>
      <w:divBdr>
        <w:top w:val="none" w:sz="0" w:space="0" w:color="auto"/>
        <w:left w:val="none" w:sz="0" w:space="0" w:color="auto"/>
        <w:bottom w:val="none" w:sz="0" w:space="0" w:color="auto"/>
        <w:right w:val="none" w:sz="0" w:space="0" w:color="auto"/>
      </w:divBdr>
    </w:div>
    <w:div w:id="907614830">
      <w:marLeft w:val="640"/>
      <w:marRight w:val="0"/>
      <w:marTop w:val="0"/>
      <w:marBottom w:val="0"/>
      <w:divBdr>
        <w:top w:val="none" w:sz="0" w:space="0" w:color="auto"/>
        <w:left w:val="none" w:sz="0" w:space="0" w:color="auto"/>
        <w:bottom w:val="none" w:sz="0" w:space="0" w:color="auto"/>
        <w:right w:val="none" w:sz="0" w:space="0" w:color="auto"/>
      </w:divBdr>
    </w:div>
    <w:div w:id="908274372">
      <w:marLeft w:val="640"/>
      <w:marRight w:val="0"/>
      <w:marTop w:val="0"/>
      <w:marBottom w:val="0"/>
      <w:divBdr>
        <w:top w:val="none" w:sz="0" w:space="0" w:color="auto"/>
        <w:left w:val="none" w:sz="0" w:space="0" w:color="auto"/>
        <w:bottom w:val="none" w:sz="0" w:space="0" w:color="auto"/>
        <w:right w:val="none" w:sz="0" w:space="0" w:color="auto"/>
      </w:divBdr>
    </w:div>
    <w:div w:id="908461447">
      <w:marLeft w:val="640"/>
      <w:marRight w:val="0"/>
      <w:marTop w:val="0"/>
      <w:marBottom w:val="0"/>
      <w:divBdr>
        <w:top w:val="none" w:sz="0" w:space="0" w:color="auto"/>
        <w:left w:val="none" w:sz="0" w:space="0" w:color="auto"/>
        <w:bottom w:val="none" w:sz="0" w:space="0" w:color="auto"/>
        <w:right w:val="none" w:sz="0" w:space="0" w:color="auto"/>
      </w:divBdr>
    </w:div>
    <w:div w:id="909342522">
      <w:marLeft w:val="640"/>
      <w:marRight w:val="0"/>
      <w:marTop w:val="0"/>
      <w:marBottom w:val="0"/>
      <w:divBdr>
        <w:top w:val="none" w:sz="0" w:space="0" w:color="auto"/>
        <w:left w:val="none" w:sz="0" w:space="0" w:color="auto"/>
        <w:bottom w:val="none" w:sz="0" w:space="0" w:color="auto"/>
        <w:right w:val="none" w:sz="0" w:space="0" w:color="auto"/>
      </w:divBdr>
    </w:div>
    <w:div w:id="909463208">
      <w:marLeft w:val="640"/>
      <w:marRight w:val="0"/>
      <w:marTop w:val="0"/>
      <w:marBottom w:val="0"/>
      <w:divBdr>
        <w:top w:val="none" w:sz="0" w:space="0" w:color="auto"/>
        <w:left w:val="none" w:sz="0" w:space="0" w:color="auto"/>
        <w:bottom w:val="none" w:sz="0" w:space="0" w:color="auto"/>
        <w:right w:val="none" w:sz="0" w:space="0" w:color="auto"/>
      </w:divBdr>
    </w:div>
    <w:div w:id="910118736">
      <w:marLeft w:val="640"/>
      <w:marRight w:val="0"/>
      <w:marTop w:val="0"/>
      <w:marBottom w:val="0"/>
      <w:divBdr>
        <w:top w:val="none" w:sz="0" w:space="0" w:color="auto"/>
        <w:left w:val="none" w:sz="0" w:space="0" w:color="auto"/>
        <w:bottom w:val="none" w:sz="0" w:space="0" w:color="auto"/>
        <w:right w:val="none" w:sz="0" w:space="0" w:color="auto"/>
      </w:divBdr>
    </w:div>
    <w:div w:id="910119667">
      <w:marLeft w:val="640"/>
      <w:marRight w:val="0"/>
      <w:marTop w:val="0"/>
      <w:marBottom w:val="0"/>
      <w:divBdr>
        <w:top w:val="none" w:sz="0" w:space="0" w:color="auto"/>
        <w:left w:val="none" w:sz="0" w:space="0" w:color="auto"/>
        <w:bottom w:val="none" w:sz="0" w:space="0" w:color="auto"/>
        <w:right w:val="none" w:sz="0" w:space="0" w:color="auto"/>
      </w:divBdr>
    </w:div>
    <w:div w:id="910191732">
      <w:marLeft w:val="640"/>
      <w:marRight w:val="0"/>
      <w:marTop w:val="0"/>
      <w:marBottom w:val="0"/>
      <w:divBdr>
        <w:top w:val="none" w:sz="0" w:space="0" w:color="auto"/>
        <w:left w:val="none" w:sz="0" w:space="0" w:color="auto"/>
        <w:bottom w:val="none" w:sz="0" w:space="0" w:color="auto"/>
        <w:right w:val="none" w:sz="0" w:space="0" w:color="auto"/>
      </w:divBdr>
    </w:div>
    <w:div w:id="910193975">
      <w:marLeft w:val="640"/>
      <w:marRight w:val="0"/>
      <w:marTop w:val="0"/>
      <w:marBottom w:val="0"/>
      <w:divBdr>
        <w:top w:val="none" w:sz="0" w:space="0" w:color="auto"/>
        <w:left w:val="none" w:sz="0" w:space="0" w:color="auto"/>
        <w:bottom w:val="none" w:sz="0" w:space="0" w:color="auto"/>
        <w:right w:val="none" w:sz="0" w:space="0" w:color="auto"/>
      </w:divBdr>
    </w:div>
    <w:div w:id="910383634">
      <w:marLeft w:val="640"/>
      <w:marRight w:val="0"/>
      <w:marTop w:val="0"/>
      <w:marBottom w:val="0"/>
      <w:divBdr>
        <w:top w:val="none" w:sz="0" w:space="0" w:color="auto"/>
        <w:left w:val="none" w:sz="0" w:space="0" w:color="auto"/>
        <w:bottom w:val="none" w:sz="0" w:space="0" w:color="auto"/>
        <w:right w:val="none" w:sz="0" w:space="0" w:color="auto"/>
      </w:divBdr>
    </w:div>
    <w:div w:id="911936991">
      <w:marLeft w:val="640"/>
      <w:marRight w:val="0"/>
      <w:marTop w:val="0"/>
      <w:marBottom w:val="0"/>
      <w:divBdr>
        <w:top w:val="none" w:sz="0" w:space="0" w:color="auto"/>
        <w:left w:val="none" w:sz="0" w:space="0" w:color="auto"/>
        <w:bottom w:val="none" w:sz="0" w:space="0" w:color="auto"/>
        <w:right w:val="none" w:sz="0" w:space="0" w:color="auto"/>
      </w:divBdr>
    </w:div>
    <w:div w:id="912854604">
      <w:marLeft w:val="640"/>
      <w:marRight w:val="0"/>
      <w:marTop w:val="0"/>
      <w:marBottom w:val="0"/>
      <w:divBdr>
        <w:top w:val="none" w:sz="0" w:space="0" w:color="auto"/>
        <w:left w:val="none" w:sz="0" w:space="0" w:color="auto"/>
        <w:bottom w:val="none" w:sz="0" w:space="0" w:color="auto"/>
        <w:right w:val="none" w:sz="0" w:space="0" w:color="auto"/>
      </w:divBdr>
    </w:div>
    <w:div w:id="912929044">
      <w:marLeft w:val="640"/>
      <w:marRight w:val="0"/>
      <w:marTop w:val="0"/>
      <w:marBottom w:val="0"/>
      <w:divBdr>
        <w:top w:val="none" w:sz="0" w:space="0" w:color="auto"/>
        <w:left w:val="none" w:sz="0" w:space="0" w:color="auto"/>
        <w:bottom w:val="none" w:sz="0" w:space="0" w:color="auto"/>
        <w:right w:val="none" w:sz="0" w:space="0" w:color="auto"/>
      </w:divBdr>
    </w:div>
    <w:div w:id="913203367">
      <w:marLeft w:val="640"/>
      <w:marRight w:val="0"/>
      <w:marTop w:val="0"/>
      <w:marBottom w:val="0"/>
      <w:divBdr>
        <w:top w:val="none" w:sz="0" w:space="0" w:color="auto"/>
        <w:left w:val="none" w:sz="0" w:space="0" w:color="auto"/>
        <w:bottom w:val="none" w:sz="0" w:space="0" w:color="auto"/>
        <w:right w:val="none" w:sz="0" w:space="0" w:color="auto"/>
      </w:divBdr>
    </w:div>
    <w:div w:id="913244734">
      <w:marLeft w:val="640"/>
      <w:marRight w:val="0"/>
      <w:marTop w:val="0"/>
      <w:marBottom w:val="0"/>
      <w:divBdr>
        <w:top w:val="none" w:sz="0" w:space="0" w:color="auto"/>
        <w:left w:val="none" w:sz="0" w:space="0" w:color="auto"/>
        <w:bottom w:val="none" w:sz="0" w:space="0" w:color="auto"/>
        <w:right w:val="none" w:sz="0" w:space="0" w:color="auto"/>
      </w:divBdr>
    </w:div>
    <w:div w:id="913706250">
      <w:marLeft w:val="640"/>
      <w:marRight w:val="0"/>
      <w:marTop w:val="0"/>
      <w:marBottom w:val="0"/>
      <w:divBdr>
        <w:top w:val="none" w:sz="0" w:space="0" w:color="auto"/>
        <w:left w:val="none" w:sz="0" w:space="0" w:color="auto"/>
        <w:bottom w:val="none" w:sz="0" w:space="0" w:color="auto"/>
        <w:right w:val="none" w:sz="0" w:space="0" w:color="auto"/>
      </w:divBdr>
    </w:div>
    <w:div w:id="914361537">
      <w:marLeft w:val="640"/>
      <w:marRight w:val="0"/>
      <w:marTop w:val="0"/>
      <w:marBottom w:val="0"/>
      <w:divBdr>
        <w:top w:val="none" w:sz="0" w:space="0" w:color="auto"/>
        <w:left w:val="none" w:sz="0" w:space="0" w:color="auto"/>
        <w:bottom w:val="none" w:sz="0" w:space="0" w:color="auto"/>
        <w:right w:val="none" w:sz="0" w:space="0" w:color="auto"/>
      </w:divBdr>
    </w:div>
    <w:div w:id="914433068">
      <w:marLeft w:val="640"/>
      <w:marRight w:val="0"/>
      <w:marTop w:val="0"/>
      <w:marBottom w:val="0"/>
      <w:divBdr>
        <w:top w:val="none" w:sz="0" w:space="0" w:color="auto"/>
        <w:left w:val="none" w:sz="0" w:space="0" w:color="auto"/>
        <w:bottom w:val="none" w:sz="0" w:space="0" w:color="auto"/>
        <w:right w:val="none" w:sz="0" w:space="0" w:color="auto"/>
      </w:divBdr>
    </w:div>
    <w:div w:id="915360350">
      <w:marLeft w:val="640"/>
      <w:marRight w:val="0"/>
      <w:marTop w:val="0"/>
      <w:marBottom w:val="0"/>
      <w:divBdr>
        <w:top w:val="none" w:sz="0" w:space="0" w:color="auto"/>
        <w:left w:val="none" w:sz="0" w:space="0" w:color="auto"/>
        <w:bottom w:val="none" w:sz="0" w:space="0" w:color="auto"/>
        <w:right w:val="none" w:sz="0" w:space="0" w:color="auto"/>
      </w:divBdr>
    </w:div>
    <w:div w:id="915743218">
      <w:marLeft w:val="640"/>
      <w:marRight w:val="0"/>
      <w:marTop w:val="0"/>
      <w:marBottom w:val="0"/>
      <w:divBdr>
        <w:top w:val="none" w:sz="0" w:space="0" w:color="auto"/>
        <w:left w:val="none" w:sz="0" w:space="0" w:color="auto"/>
        <w:bottom w:val="none" w:sz="0" w:space="0" w:color="auto"/>
        <w:right w:val="none" w:sz="0" w:space="0" w:color="auto"/>
      </w:divBdr>
    </w:div>
    <w:div w:id="916137240">
      <w:marLeft w:val="640"/>
      <w:marRight w:val="0"/>
      <w:marTop w:val="0"/>
      <w:marBottom w:val="0"/>
      <w:divBdr>
        <w:top w:val="none" w:sz="0" w:space="0" w:color="auto"/>
        <w:left w:val="none" w:sz="0" w:space="0" w:color="auto"/>
        <w:bottom w:val="none" w:sz="0" w:space="0" w:color="auto"/>
        <w:right w:val="none" w:sz="0" w:space="0" w:color="auto"/>
      </w:divBdr>
    </w:div>
    <w:div w:id="916671172">
      <w:marLeft w:val="640"/>
      <w:marRight w:val="0"/>
      <w:marTop w:val="0"/>
      <w:marBottom w:val="0"/>
      <w:divBdr>
        <w:top w:val="none" w:sz="0" w:space="0" w:color="auto"/>
        <w:left w:val="none" w:sz="0" w:space="0" w:color="auto"/>
        <w:bottom w:val="none" w:sz="0" w:space="0" w:color="auto"/>
        <w:right w:val="none" w:sz="0" w:space="0" w:color="auto"/>
      </w:divBdr>
    </w:div>
    <w:div w:id="916862271">
      <w:marLeft w:val="640"/>
      <w:marRight w:val="0"/>
      <w:marTop w:val="0"/>
      <w:marBottom w:val="0"/>
      <w:divBdr>
        <w:top w:val="none" w:sz="0" w:space="0" w:color="auto"/>
        <w:left w:val="none" w:sz="0" w:space="0" w:color="auto"/>
        <w:bottom w:val="none" w:sz="0" w:space="0" w:color="auto"/>
        <w:right w:val="none" w:sz="0" w:space="0" w:color="auto"/>
      </w:divBdr>
    </w:div>
    <w:div w:id="918249976">
      <w:marLeft w:val="640"/>
      <w:marRight w:val="0"/>
      <w:marTop w:val="0"/>
      <w:marBottom w:val="0"/>
      <w:divBdr>
        <w:top w:val="none" w:sz="0" w:space="0" w:color="auto"/>
        <w:left w:val="none" w:sz="0" w:space="0" w:color="auto"/>
        <w:bottom w:val="none" w:sz="0" w:space="0" w:color="auto"/>
        <w:right w:val="none" w:sz="0" w:space="0" w:color="auto"/>
      </w:divBdr>
    </w:div>
    <w:div w:id="918291362">
      <w:marLeft w:val="640"/>
      <w:marRight w:val="0"/>
      <w:marTop w:val="0"/>
      <w:marBottom w:val="0"/>
      <w:divBdr>
        <w:top w:val="none" w:sz="0" w:space="0" w:color="auto"/>
        <w:left w:val="none" w:sz="0" w:space="0" w:color="auto"/>
        <w:bottom w:val="none" w:sz="0" w:space="0" w:color="auto"/>
        <w:right w:val="none" w:sz="0" w:space="0" w:color="auto"/>
      </w:divBdr>
    </w:div>
    <w:div w:id="918519691">
      <w:marLeft w:val="640"/>
      <w:marRight w:val="0"/>
      <w:marTop w:val="0"/>
      <w:marBottom w:val="0"/>
      <w:divBdr>
        <w:top w:val="none" w:sz="0" w:space="0" w:color="auto"/>
        <w:left w:val="none" w:sz="0" w:space="0" w:color="auto"/>
        <w:bottom w:val="none" w:sz="0" w:space="0" w:color="auto"/>
        <w:right w:val="none" w:sz="0" w:space="0" w:color="auto"/>
      </w:divBdr>
    </w:div>
    <w:div w:id="918556963">
      <w:marLeft w:val="640"/>
      <w:marRight w:val="0"/>
      <w:marTop w:val="0"/>
      <w:marBottom w:val="0"/>
      <w:divBdr>
        <w:top w:val="none" w:sz="0" w:space="0" w:color="auto"/>
        <w:left w:val="none" w:sz="0" w:space="0" w:color="auto"/>
        <w:bottom w:val="none" w:sz="0" w:space="0" w:color="auto"/>
        <w:right w:val="none" w:sz="0" w:space="0" w:color="auto"/>
      </w:divBdr>
    </w:div>
    <w:div w:id="920141770">
      <w:marLeft w:val="640"/>
      <w:marRight w:val="0"/>
      <w:marTop w:val="0"/>
      <w:marBottom w:val="0"/>
      <w:divBdr>
        <w:top w:val="none" w:sz="0" w:space="0" w:color="auto"/>
        <w:left w:val="none" w:sz="0" w:space="0" w:color="auto"/>
        <w:bottom w:val="none" w:sz="0" w:space="0" w:color="auto"/>
        <w:right w:val="none" w:sz="0" w:space="0" w:color="auto"/>
      </w:divBdr>
    </w:div>
    <w:div w:id="920212869">
      <w:marLeft w:val="640"/>
      <w:marRight w:val="0"/>
      <w:marTop w:val="0"/>
      <w:marBottom w:val="0"/>
      <w:divBdr>
        <w:top w:val="none" w:sz="0" w:space="0" w:color="auto"/>
        <w:left w:val="none" w:sz="0" w:space="0" w:color="auto"/>
        <w:bottom w:val="none" w:sz="0" w:space="0" w:color="auto"/>
        <w:right w:val="none" w:sz="0" w:space="0" w:color="auto"/>
      </w:divBdr>
    </w:div>
    <w:div w:id="920217697">
      <w:marLeft w:val="640"/>
      <w:marRight w:val="0"/>
      <w:marTop w:val="0"/>
      <w:marBottom w:val="0"/>
      <w:divBdr>
        <w:top w:val="none" w:sz="0" w:space="0" w:color="auto"/>
        <w:left w:val="none" w:sz="0" w:space="0" w:color="auto"/>
        <w:bottom w:val="none" w:sz="0" w:space="0" w:color="auto"/>
        <w:right w:val="none" w:sz="0" w:space="0" w:color="auto"/>
      </w:divBdr>
    </w:div>
    <w:div w:id="921185658">
      <w:marLeft w:val="640"/>
      <w:marRight w:val="0"/>
      <w:marTop w:val="0"/>
      <w:marBottom w:val="0"/>
      <w:divBdr>
        <w:top w:val="none" w:sz="0" w:space="0" w:color="auto"/>
        <w:left w:val="none" w:sz="0" w:space="0" w:color="auto"/>
        <w:bottom w:val="none" w:sz="0" w:space="0" w:color="auto"/>
        <w:right w:val="none" w:sz="0" w:space="0" w:color="auto"/>
      </w:divBdr>
    </w:div>
    <w:div w:id="921334191">
      <w:marLeft w:val="640"/>
      <w:marRight w:val="0"/>
      <w:marTop w:val="0"/>
      <w:marBottom w:val="0"/>
      <w:divBdr>
        <w:top w:val="none" w:sz="0" w:space="0" w:color="auto"/>
        <w:left w:val="none" w:sz="0" w:space="0" w:color="auto"/>
        <w:bottom w:val="none" w:sz="0" w:space="0" w:color="auto"/>
        <w:right w:val="none" w:sz="0" w:space="0" w:color="auto"/>
      </w:divBdr>
    </w:div>
    <w:div w:id="923343143">
      <w:marLeft w:val="640"/>
      <w:marRight w:val="0"/>
      <w:marTop w:val="0"/>
      <w:marBottom w:val="0"/>
      <w:divBdr>
        <w:top w:val="none" w:sz="0" w:space="0" w:color="auto"/>
        <w:left w:val="none" w:sz="0" w:space="0" w:color="auto"/>
        <w:bottom w:val="none" w:sz="0" w:space="0" w:color="auto"/>
        <w:right w:val="none" w:sz="0" w:space="0" w:color="auto"/>
      </w:divBdr>
    </w:div>
    <w:div w:id="924068645">
      <w:marLeft w:val="640"/>
      <w:marRight w:val="0"/>
      <w:marTop w:val="0"/>
      <w:marBottom w:val="0"/>
      <w:divBdr>
        <w:top w:val="none" w:sz="0" w:space="0" w:color="auto"/>
        <w:left w:val="none" w:sz="0" w:space="0" w:color="auto"/>
        <w:bottom w:val="none" w:sz="0" w:space="0" w:color="auto"/>
        <w:right w:val="none" w:sz="0" w:space="0" w:color="auto"/>
      </w:divBdr>
    </w:div>
    <w:div w:id="924798610">
      <w:marLeft w:val="640"/>
      <w:marRight w:val="0"/>
      <w:marTop w:val="0"/>
      <w:marBottom w:val="0"/>
      <w:divBdr>
        <w:top w:val="none" w:sz="0" w:space="0" w:color="auto"/>
        <w:left w:val="none" w:sz="0" w:space="0" w:color="auto"/>
        <w:bottom w:val="none" w:sz="0" w:space="0" w:color="auto"/>
        <w:right w:val="none" w:sz="0" w:space="0" w:color="auto"/>
      </w:divBdr>
    </w:div>
    <w:div w:id="926229217">
      <w:marLeft w:val="640"/>
      <w:marRight w:val="0"/>
      <w:marTop w:val="0"/>
      <w:marBottom w:val="0"/>
      <w:divBdr>
        <w:top w:val="none" w:sz="0" w:space="0" w:color="auto"/>
        <w:left w:val="none" w:sz="0" w:space="0" w:color="auto"/>
        <w:bottom w:val="none" w:sz="0" w:space="0" w:color="auto"/>
        <w:right w:val="none" w:sz="0" w:space="0" w:color="auto"/>
      </w:divBdr>
    </w:div>
    <w:div w:id="926965293">
      <w:marLeft w:val="640"/>
      <w:marRight w:val="0"/>
      <w:marTop w:val="0"/>
      <w:marBottom w:val="0"/>
      <w:divBdr>
        <w:top w:val="none" w:sz="0" w:space="0" w:color="auto"/>
        <w:left w:val="none" w:sz="0" w:space="0" w:color="auto"/>
        <w:bottom w:val="none" w:sz="0" w:space="0" w:color="auto"/>
        <w:right w:val="none" w:sz="0" w:space="0" w:color="auto"/>
      </w:divBdr>
    </w:div>
    <w:div w:id="928583642">
      <w:marLeft w:val="640"/>
      <w:marRight w:val="0"/>
      <w:marTop w:val="0"/>
      <w:marBottom w:val="0"/>
      <w:divBdr>
        <w:top w:val="none" w:sz="0" w:space="0" w:color="auto"/>
        <w:left w:val="none" w:sz="0" w:space="0" w:color="auto"/>
        <w:bottom w:val="none" w:sz="0" w:space="0" w:color="auto"/>
        <w:right w:val="none" w:sz="0" w:space="0" w:color="auto"/>
      </w:divBdr>
    </w:div>
    <w:div w:id="929001775">
      <w:marLeft w:val="640"/>
      <w:marRight w:val="0"/>
      <w:marTop w:val="0"/>
      <w:marBottom w:val="0"/>
      <w:divBdr>
        <w:top w:val="none" w:sz="0" w:space="0" w:color="auto"/>
        <w:left w:val="none" w:sz="0" w:space="0" w:color="auto"/>
        <w:bottom w:val="none" w:sz="0" w:space="0" w:color="auto"/>
        <w:right w:val="none" w:sz="0" w:space="0" w:color="auto"/>
      </w:divBdr>
    </w:div>
    <w:div w:id="929461094">
      <w:marLeft w:val="640"/>
      <w:marRight w:val="0"/>
      <w:marTop w:val="0"/>
      <w:marBottom w:val="0"/>
      <w:divBdr>
        <w:top w:val="none" w:sz="0" w:space="0" w:color="auto"/>
        <w:left w:val="none" w:sz="0" w:space="0" w:color="auto"/>
        <w:bottom w:val="none" w:sz="0" w:space="0" w:color="auto"/>
        <w:right w:val="none" w:sz="0" w:space="0" w:color="auto"/>
      </w:divBdr>
    </w:div>
    <w:div w:id="930088793">
      <w:marLeft w:val="640"/>
      <w:marRight w:val="0"/>
      <w:marTop w:val="0"/>
      <w:marBottom w:val="0"/>
      <w:divBdr>
        <w:top w:val="none" w:sz="0" w:space="0" w:color="auto"/>
        <w:left w:val="none" w:sz="0" w:space="0" w:color="auto"/>
        <w:bottom w:val="none" w:sz="0" w:space="0" w:color="auto"/>
        <w:right w:val="none" w:sz="0" w:space="0" w:color="auto"/>
      </w:divBdr>
    </w:div>
    <w:div w:id="931279472">
      <w:marLeft w:val="640"/>
      <w:marRight w:val="0"/>
      <w:marTop w:val="0"/>
      <w:marBottom w:val="0"/>
      <w:divBdr>
        <w:top w:val="none" w:sz="0" w:space="0" w:color="auto"/>
        <w:left w:val="none" w:sz="0" w:space="0" w:color="auto"/>
        <w:bottom w:val="none" w:sz="0" w:space="0" w:color="auto"/>
        <w:right w:val="none" w:sz="0" w:space="0" w:color="auto"/>
      </w:divBdr>
    </w:div>
    <w:div w:id="932084602">
      <w:marLeft w:val="640"/>
      <w:marRight w:val="0"/>
      <w:marTop w:val="0"/>
      <w:marBottom w:val="0"/>
      <w:divBdr>
        <w:top w:val="none" w:sz="0" w:space="0" w:color="auto"/>
        <w:left w:val="none" w:sz="0" w:space="0" w:color="auto"/>
        <w:bottom w:val="none" w:sz="0" w:space="0" w:color="auto"/>
        <w:right w:val="none" w:sz="0" w:space="0" w:color="auto"/>
      </w:divBdr>
    </w:div>
    <w:div w:id="932278452">
      <w:marLeft w:val="640"/>
      <w:marRight w:val="0"/>
      <w:marTop w:val="0"/>
      <w:marBottom w:val="0"/>
      <w:divBdr>
        <w:top w:val="none" w:sz="0" w:space="0" w:color="auto"/>
        <w:left w:val="none" w:sz="0" w:space="0" w:color="auto"/>
        <w:bottom w:val="none" w:sz="0" w:space="0" w:color="auto"/>
        <w:right w:val="none" w:sz="0" w:space="0" w:color="auto"/>
      </w:divBdr>
    </w:div>
    <w:div w:id="933323223">
      <w:marLeft w:val="640"/>
      <w:marRight w:val="0"/>
      <w:marTop w:val="0"/>
      <w:marBottom w:val="0"/>
      <w:divBdr>
        <w:top w:val="none" w:sz="0" w:space="0" w:color="auto"/>
        <w:left w:val="none" w:sz="0" w:space="0" w:color="auto"/>
        <w:bottom w:val="none" w:sz="0" w:space="0" w:color="auto"/>
        <w:right w:val="none" w:sz="0" w:space="0" w:color="auto"/>
      </w:divBdr>
    </w:div>
    <w:div w:id="933782008">
      <w:marLeft w:val="640"/>
      <w:marRight w:val="0"/>
      <w:marTop w:val="0"/>
      <w:marBottom w:val="0"/>
      <w:divBdr>
        <w:top w:val="none" w:sz="0" w:space="0" w:color="auto"/>
        <w:left w:val="none" w:sz="0" w:space="0" w:color="auto"/>
        <w:bottom w:val="none" w:sz="0" w:space="0" w:color="auto"/>
        <w:right w:val="none" w:sz="0" w:space="0" w:color="auto"/>
      </w:divBdr>
    </w:div>
    <w:div w:id="934365855">
      <w:marLeft w:val="640"/>
      <w:marRight w:val="0"/>
      <w:marTop w:val="0"/>
      <w:marBottom w:val="0"/>
      <w:divBdr>
        <w:top w:val="none" w:sz="0" w:space="0" w:color="auto"/>
        <w:left w:val="none" w:sz="0" w:space="0" w:color="auto"/>
        <w:bottom w:val="none" w:sz="0" w:space="0" w:color="auto"/>
        <w:right w:val="none" w:sz="0" w:space="0" w:color="auto"/>
      </w:divBdr>
    </w:div>
    <w:div w:id="934636343">
      <w:marLeft w:val="640"/>
      <w:marRight w:val="0"/>
      <w:marTop w:val="0"/>
      <w:marBottom w:val="0"/>
      <w:divBdr>
        <w:top w:val="none" w:sz="0" w:space="0" w:color="auto"/>
        <w:left w:val="none" w:sz="0" w:space="0" w:color="auto"/>
        <w:bottom w:val="none" w:sz="0" w:space="0" w:color="auto"/>
        <w:right w:val="none" w:sz="0" w:space="0" w:color="auto"/>
      </w:divBdr>
    </w:div>
    <w:div w:id="934827283">
      <w:marLeft w:val="640"/>
      <w:marRight w:val="0"/>
      <w:marTop w:val="0"/>
      <w:marBottom w:val="0"/>
      <w:divBdr>
        <w:top w:val="none" w:sz="0" w:space="0" w:color="auto"/>
        <w:left w:val="none" w:sz="0" w:space="0" w:color="auto"/>
        <w:bottom w:val="none" w:sz="0" w:space="0" w:color="auto"/>
        <w:right w:val="none" w:sz="0" w:space="0" w:color="auto"/>
      </w:divBdr>
    </w:div>
    <w:div w:id="935020050">
      <w:marLeft w:val="640"/>
      <w:marRight w:val="0"/>
      <w:marTop w:val="0"/>
      <w:marBottom w:val="0"/>
      <w:divBdr>
        <w:top w:val="none" w:sz="0" w:space="0" w:color="auto"/>
        <w:left w:val="none" w:sz="0" w:space="0" w:color="auto"/>
        <w:bottom w:val="none" w:sz="0" w:space="0" w:color="auto"/>
        <w:right w:val="none" w:sz="0" w:space="0" w:color="auto"/>
      </w:divBdr>
    </w:div>
    <w:div w:id="936056004">
      <w:marLeft w:val="640"/>
      <w:marRight w:val="0"/>
      <w:marTop w:val="0"/>
      <w:marBottom w:val="0"/>
      <w:divBdr>
        <w:top w:val="none" w:sz="0" w:space="0" w:color="auto"/>
        <w:left w:val="none" w:sz="0" w:space="0" w:color="auto"/>
        <w:bottom w:val="none" w:sz="0" w:space="0" w:color="auto"/>
        <w:right w:val="none" w:sz="0" w:space="0" w:color="auto"/>
      </w:divBdr>
    </w:div>
    <w:div w:id="937252783">
      <w:marLeft w:val="640"/>
      <w:marRight w:val="0"/>
      <w:marTop w:val="0"/>
      <w:marBottom w:val="0"/>
      <w:divBdr>
        <w:top w:val="none" w:sz="0" w:space="0" w:color="auto"/>
        <w:left w:val="none" w:sz="0" w:space="0" w:color="auto"/>
        <w:bottom w:val="none" w:sz="0" w:space="0" w:color="auto"/>
        <w:right w:val="none" w:sz="0" w:space="0" w:color="auto"/>
      </w:divBdr>
    </w:div>
    <w:div w:id="938949356">
      <w:marLeft w:val="640"/>
      <w:marRight w:val="0"/>
      <w:marTop w:val="0"/>
      <w:marBottom w:val="0"/>
      <w:divBdr>
        <w:top w:val="none" w:sz="0" w:space="0" w:color="auto"/>
        <w:left w:val="none" w:sz="0" w:space="0" w:color="auto"/>
        <w:bottom w:val="none" w:sz="0" w:space="0" w:color="auto"/>
        <w:right w:val="none" w:sz="0" w:space="0" w:color="auto"/>
      </w:divBdr>
    </w:div>
    <w:div w:id="939724422">
      <w:marLeft w:val="640"/>
      <w:marRight w:val="0"/>
      <w:marTop w:val="0"/>
      <w:marBottom w:val="0"/>
      <w:divBdr>
        <w:top w:val="none" w:sz="0" w:space="0" w:color="auto"/>
        <w:left w:val="none" w:sz="0" w:space="0" w:color="auto"/>
        <w:bottom w:val="none" w:sz="0" w:space="0" w:color="auto"/>
        <w:right w:val="none" w:sz="0" w:space="0" w:color="auto"/>
      </w:divBdr>
    </w:div>
    <w:div w:id="940139326">
      <w:marLeft w:val="640"/>
      <w:marRight w:val="0"/>
      <w:marTop w:val="0"/>
      <w:marBottom w:val="0"/>
      <w:divBdr>
        <w:top w:val="none" w:sz="0" w:space="0" w:color="auto"/>
        <w:left w:val="none" w:sz="0" w:space="0" w:color="auto"/>
        <w:bottom w:val="none" w:sz="0" w:space="0" w:color="auto"/>
        <w:right w:val="none" w:sz="0" w:space="0" w:color="auto"/>
      </w:divBdr>
    </w:div>
    <w:div w:id="940719829">
      <w:marLeft w:val="640"/>
      <w:marRight w:val="0"/>
      <w:marTop w:val="0"/>
      <w:marBottom w:val="0"/>
      <w:divBdr>
        <w:top w:val="none" w:sz="0" w:space="0" w:color="auto"/>
        <w:left w:val="none" w:sz="0" w:space="0" w:color="auto"/>
        <w:bottom w:val="none" w:sz="0" w:space="0" w:color="auto"/>
        <w:right w:val="none" w:sz="0" w:space="0" w:color="auto"/>
      </w:divBdr>
    </w:div>
    <w:div w:id="941184122">
      <w:marLeft w:val="640"/>
      <w:marRight w:val="0"/>
      <w:marTop w:val="0"/>
      <w:marBottom w:val="0"/>
      <w:divBdr>
        <w:top w:val="none" w:sz="0" w:space="0" w:color="auto"/>
        <w:left w:val="none" w:sz="0" w:space="0" w:color="auto"/>
        <w:bottom w:val="none" w:sz="0" w:space="0" w:color="auto"/>
        <w:right w:val="none" w:sz="0" w:space="0" w:color="auto"/>
      </w:divBdr>
    </w:div>
    <w:div w:id="941255628">
      <w:marLeft w:val="640"/>
      <w:marRight w:val="0"/>
      <w:marTop w:val="0"/>
      <w:marBottom w:val="0"/>
      <w:divBdr>
        <w:top w:val="none" w:sz="0" w:space="0" w:color="auto"/>
        <w:left w:val="none" w:sz="0" w:space="0" w:color="auto"/>
        <w:bottom w:val="none" w:sz="0" w:space="0" w:color="auto"/>
        <w:right w:val="none" w:sz="0" w:space="0" w:color="auto"/>
      </w:divBdr>
    </w:div>
    <w:div w:id="941260197">
      <w:marLeft w:val="640"/>
      <w:marRight w:val="0"/>
      <w:marTop w:val="0"/>
      <w:marBottom w:val="0"/>
      <w:divBdr>
        <w:top w:val="none" w:sz="0" w:space="0" w:color="auto"/>
        <w:left w:val="none" w:sz="0" w:space="0" w:color="auto"/>
        <w:bottom w:val="none" w:sz="0" w:space="0" w:color="auto"/>
        <w:right w:val="none" w:sz="0" w:space="0" w:color="auto"/>
      </w:divBdr>
    </w:div>
    <w:div w:id="941885262">
      <w:marLeft w:val="640"/>
      <w:marRight w:val="0"/>
      <w:marTop w:val="0"/>
      <w:marBottom w:val="0"/>
      <w:divBdr>
        <w:top w:val="none" w:sz="0" w:space="0" w:color="auto"/>
        <w:left w:val="none" w:sz="0" w:space="0" w:color="auto"/>
        <w:bottom w:val="none" w:sz="0" w:space="0" w:color="auto"/>
        <w:right w:val="none" w:sz="0" w:space="0" w:color="auto"/>
      </w:divBdr>
    </w:div>
    <w:div w:id="941912030">
      <w:marLeft w:val="640"/>
      <w:marRight w:val="0"/>
      <w:marTop w:val="0"/>
      <w:marBottom w:val="0"/>
      <w:divBdr>
        <w:top w:val="none" w:sz="0" w:space="0" w:color="auto"/>
        <w:left w:val="none" w:sz="0" w:space="0" w:color="auto"/>
        <w:bottom w:val="none" w:sz="0" w:space="0" w:color="auto"/>
        <w:right w:val="none" w:sz="0" w:space="0" w:color="auto"/>
      </w:divBdr>
    </w:div>
    <w:div w:id="942540327">
      <w:marLeft w:val="640"/>
      <w:marRight w:val="0"/>
      <w:marTop w:val="0"/>
      <w:marBottom w:val="0"/>
      <w:divBdr>
        <w:top w:val="none" w:sz="0" w:space="0" w:color="auto"/>
        <w:left w:val="none" w:sz="0" w:space="0" w:color="auto"/>
        <w:bottom w:val="none" w:sz="0" w:space="0" w:color="auto"/>
        <w:right w:val="none" w:sz="0" w:space="0" w:color="auto"/>
      </w:divBdr>
    </w:div>
    <w:div w:id="942880071">
      <w:marLeft w:val="640"/>
      <w:marRight w:val="0"/>
      <w:marTop w:val="0"/>
      <w:marBottom w:val="0"/>
      <w:divBdr>
        <w:top w:val="none" w:sz="0" w:space="0" w:color="auto"/>
        <w:left w:val="none" w:sz="0" w:space="0" w:color="auto"/>
        <w:bottom w:val="none" w:sz="0" w:space="0" w:color="auto"/>
        <w:right w:val="none" w:sz="0" w:space="0" w:color="auto"/>
      </w:divBdr>
    </w:div>
    <w:div w:id="943342517">
      <w:marLeft w:val="640"/>
      <w:marRight w:val="0"/>
      <w:marTop w:val="0"/>
      <w:marBottom w:val="0"/>
      <w:divBdr>
        <w:top w:val="none" w:sz="0" w:space="0" w:color="auto"/>
        <w:left w:val="none" w:sz="0" w:space="0" w:color="auto"/>
        <w:bottom w:val="none" w:sz="0" w:space="0" w:color="auto"/>
        <w:right w:val="none" w:sz="0" w:space="0" w:color="auto"/>
      </w:divBdr>
    </w:div>
    <w:div w:id="943881985">
      <w:marLeft w:val="640"/>
      <w:marRight w:val="0"/>
      <w:marTop w:val="0"/>
      <w:marBottom w:val="0"/>
      <w:divBdr>
        <w:top w:val="none" w:sz="0" w:space="0" w:color="auto"/>
        <w:left w:val="none" w:sz="0" w:space="0" w:color="auto"/>
        <w:bottom w:val="none" w:sz="0" w:space="0" w:color="auto"/>
        <w:right w:val="none" w:sz="0" w:space="0" w:color="auto"/>
      </w:divBdr>
    </w:div>
    <w:div w:id="944194711">
      <w:marLeft w:val="640"/>
      <w:marRight w:val="0"/>
      <w:marTop w:val="0"/>
      <w:marBottom w:val="0"/>
      <w:divBdr>
        <w:top w:val="none" w:sz="0" w:space="0" w:color="auto"/>
        <w:left w:val="none" w:sz="0" w:space="0" w:color="auto"/>
        <w:bottom w:val="none" w:sz="0" w:space="0" w:color="auto"/>
        <w:right w:val="none" w:sz="0" w:space="0" w:color="auto"/>
      </w:divBdr>
    </w:div>
    <w:div w:id="944579958">
      <w:marLeft w:val="640"/>
      <w:marRight w:val="0"/>
      <w:marTop w:val="0"/>
      <w:marBottom w:val="0"/>
      <w:divBdr>
        <w:top w:val="none" w:sz="0" w:space="0" w:color="auto"/>
        <w:left w:val="none" w:sz="0" w:space="0" w:color="auto"/>
        <w:bottom w:val="none" w:sz="0" w:space="0" w:color="auto"/>
        <w:right w:val="none" w:sz="0" w:space="0" w:color="auto"/>
      </w:divBdr>
    </w:div>
    <w:div w:id="944725154">
      <w:marLeft w:val="640"/>
      <w:marRight w:val="0"/>
      <w:marTop w:val="0"/>
      <w:marBottom w:val="0"/>
      <w:divBdr>
        <w:top w:val="none" w:sz="0" w:space="0" w:color="auto"/>
        <w:left w:val="none" w:sz="0" w:space="0" w:color="auto"/>
        <w:bottom w:val="none" w:sz="0" w:space="0" w:color="auto"/>
        <w:right w:val="none" w:sz="0" w:space="0" w:color="auto"/>
      </w:divBdr>
    </w:div>
    <w:div w:id="945229284">
      <w:marLeft w:val="640"/>
      <w:marRight w:val="0"/>
      <w:marTop w:val="0"/>
      <w:marBottom w:val="0"/>
      <w:divBdr>
        <w:top w:val="none" w:sz="0" w:space="0" w:color="auto"/>
        <w:left w:val="none" w:sz="0" w:space="0" w:color="auto"/>
        <w:bottom w:val="none" w:sz="0" w:space="0" w:color="auto"/>
        <w:right w:val="none" w:sz="0" w:space="0" w:color="auto"/>
      </w:divBdr>
    </w:div>
    <w:div w:id="945844547">
      <w:marLeft w:val="640"/>
      <w:marRight w:val="0"/>
      <w:marTop w:val="0"/>
      <w:marBottom w:val="0"/>
      <w:divBdr>
        <w:top w:val="none" w:sz="0" w:space="0" w:color="auto"/>
        <w:left w:val="none" w:sz="0" w:space="0" w:color="auto"/>
        <w:bottom w:val="none" w:sz="0" w:space="0" w:color="auto"/>
        <w:right w:val="none" w:sz="0" w:space="0" w:color="auto"/>
      </w:divBdr>
    </w:div>
    <w:div w:id="946429022">
      <w:marLeft w:val="640"/>
      <w:marRight w:val="0"/>
      <w:marTop w:val="0"/>
      <w:marBottom w:val="0"/>
      <w:divBdr>
        <w:top w:val="none" w:sz="0" w:space="0" w:color="auto"/>
        <w:left w:val="none" w:sz="0" w:space="0" w:color="auto"/>
        <w:bottom w:val="none" w:sz="0" w:space="0" w:color="auto"/>
        <w:right w:val="none" w:sz="0" w:space="0" w:color="auto"/>
      </w:divBdr>
    </w:div>
    <w:div w:id="946698128">
      <w:marLeft w:val="640"/>
      <w:marRight w:val="0"/>
      <w:marTop w:val="0"/>
      <w:marBottom w:val="0"/>
      <w:divBdr>
        <w:top w:val="none" w:sz="0" w:space="0" w:color="auto"/>
        <w:left w:val="none" w:sz="0" w:space="0" w:color="auto"/>
        <w:bottom w:val="none" w:sz="0" w:space="0" w:color="auto"/>
        <w:right w:val="none" w:sz="0" w:space="0" w:color="auto"/>
      </w:divBdr>
    </w:div>
    <w:div w:id="947733074">
      <w:marLeft w:val="640"/>
      <w:marRight w:val="0"/>
      <w:marTop w:val="0"/>
      <w:marBottom w:val="0"/>
      <w:divBdr>
        <w:top w:val="none" w:sz="0" w:space="0" w:color="auto"/>
        <w:left w:val="none" w:sz="0" w:space="0" w:color="auto"/>
        <w:bottom w:val="none" w:sz="0" w:space="0" w:color="auto"/>
        <w:right w:val="none" w:sz="0" w:space="0" w:color="auto"/>
      </w:divBdr>
    </w:div>
    <w:div w:id="948395006">
      <w:marLeft w:val="640"/>
      <w:marRight w:val="0"/>
      <w:marTop w:val="0"/>
      <w:marBottom w:val="0"/>
      <w:divBdr>
        <w:top w:val="none" w:sz="0" w:space="0" w:color="auto"/>
        <w:left w:val="none" w:sz="0" w:space="0" w:color="auto"/>
        <w:bottom w:val="none" w:sz="0" w:space="0" w:color="auto"/>
        <w:right w:val="none" w:sz="0" w:space="0" w:color="auto"/>
      </w:divBdr>
    </w:div>
    <w:div w:id="949356374">
      <w:marLeft w:val="640"/>
      <w:marRight w:val="0"/>
      <w:marTop w:val="0"/>
      <w:marBottom w:val="0"/>
      <w:divBdr>
        <w:top w:val="none" w:sz="0" w:space="0" w:color="auto"/>
        <w:left w:val="none" w:sz="0" w:space="0" w:color="auto"/>
        <w:bottom w:val="none" w:sz="0" w:space="0" w:color="auto"/>
        <w:right w:val="none" w:sz="0" w:space="0" w:color="auto"/>
      </w:divBdr>
    </w:div>
    <w:div w:id="949434162">
      <w:marLeft w:val="640"/>
      <w:marRight w:val="0"/>
      <w:marTop w:val="0"/>
      <w:marBottom w:val="0"/>
      <w:divBdr>
        <w:top w:val="none" w:sz="0" w:space="0" w:color="auto"/>
        <w:left w:val="none" w:sz="0" w:space="0" w:color="auto"/>
        <w:bottom w:val="none" w:sz="0" w:space="0" w:color="auto"/>
        <w:right w:val="none" w:sz="0" w:space="0" w:color="auto"/>
      </w:divBdr>
    </w:div>
    <w:div w:id="949893054">
      <w:marLeft w:val="640"/>
      <w:marRight w:val="0"/>
      <w:marTop w:val="0"/>
      <w:marBottom w:val="0"/>
      <w:divBdr>
        <w:top w:val="none" w:sz="0" w:space="0" w:color="auto"/>
        <w:left w:val="none" w:sz="0" w:space="0" w:color="auto"/>
        <w:bottom w:val="none" w:sz="0" w:space="0" w:color="auto"/>
        <w:right w:val="none" w:sz="0" w:space="0" w:color="auto"/>
      </w:divBdr>
    </w:div>
    <w:div w:id="950206655">
      <w:marLeft w:val="640"/>
      <w:marRight w:val="0"/>
      <w:marTop w:val="0"/>
      <w:marBottom w:val="0"/>
      <w:divBdr>
        <w:top w:val="none" w:sz="0" w:space="0" w:color="auto"/>
        <w:left w:val="none" w:sz="0" w:space="0" w:color="auto"/>
        <w:bottom w:val="none" w:sz="0" w:space="0" w:color="auto"/>
        <w:right w:val="none" w:sz="0" w:space="0" w:color="auto"/>
      </w:divBdr>
    </w:div>
    <w:div w:id="950357468">
      <w:marLeft w:val="640"/>
      <w:marRight w:val="0"/>
      <w:marTop w:val="0"/>
      <w:marBottom w:val="0"/>
      <w:divBdr>
        <w:top w:val="none" w:sz="0" w:space="0" w:color="auto"/>
        <w:left w:val="none" w:sz="0" w:space="0" w:color="auto"/>
        <w:bottom w:val="none" w:sz="0" w:space="0" w:color="auto"/>
        <w:right w:val="none" w:sz="0" w:space="0" w:color="auto"/>
      </w:divBdr>
    </w:div>
    <w:div w:id="950818323">
      <w:marLeft w:val="640"/>
      <w:marRight w:val="0"/>
      <w:marTop w:val="0"/>
      <w:marBottom w:val="0"/>
      <w:divBdr>
        <w:top w:val="none" w:sz="0" w:space="0" w:color="auto"/>
        <w:left w:val="none" w:sz="0" w:space="0" w:color="auto"/>
        <w:bottom w:val="none" w:sz="0" w:space="0" w:color="auto"/>
        <w:right w:val="none" w:sz="0" w:space="0" w:color="auto"/>
      </w:divBdr>
    </w:div>
    <w:div w:id="950939502">
      <w:marLeft w:val="640"/>
      <w:marRight w:val="0"/>
      <w:marTop w:val="0"/>
      <w:marBottom w:val="0"/>
      <w:divBdr>
        <w:top w:val="none" w:sz="0" w:space="0" w:color="auto"/>
        <w:left w:val="none" w:sz="0" w:space="0" w:color="auto"/>
        <w:bottom w:val="none" w:sz="0" w:space="0" w:color="auto"/>
        <w:right w:val="none" w:sz="0" w:space="0" w:color="auto"/>
      </w:divBdr>
    </w:div>
    <w:div w:id="951203842">
      <w:marLeft w:val="640"/>
      <w:marRight w:val="0"/>
      <w:marTop w:val="0"/>
      <w:marBottom w:val="0"/>
      <w:divBdr>
        <w:top w:val="none" w:sz="0" w:space="0" w:color="auto"/>
        <w:left w:val="none" w:sz="0" w:space="0" w:color="auto"/>
        <w:bottom w:val="none" w:sz="0" w:space="0" w:color="auto"/>
        <w:right w:val="none" w:sz="0" w:space="0" w:color="auto"/>
      </w:divBdr>
    </w:div>
    <w:div w:id="951548867">
      <w:marLeft w:val="640"/>
      <w:marRight w:val="0"/>
      <w:marTop w:val="0"/>
      <w:marBottom w:val="0"/>
      <w:divBdr>
        <w:top w:val="none" w:sz="0" w:space="0" w:color="auto"/>
        <w:left w:val="none" w:sz="0" w:space="0" w:color="auto"/>
        <w:bottom w:val="none" w:sz="0" w:space="0" w:color="auto"/>
        <w:right w:val="none" w:sz="0" w:space="0" w:color="auto"/>
      </w:divBdr>
    </w:div>
    <w:div w:id="952633370">
      <w:marLeft w:val="640"/>
      <w:marRight w:val="0"/>
      <w:marTop w:val="0"/>
      <w:marBottom w:val="0"/>
      <w:divBdr>
        <w:top w:val="none" w:sz="0" w:space="0" w:color="auto"/>
        <w:left w:val="none" w:sz="0" w:space="0" w:color="auto"/>
        <w:bottom w:val="none" w:sz="0" w:space="0" w:color="auto"/>
        <w:right w:val="none" w:sz="0" w:space="0" w:color="auto"/>
      </w:divBdr>
    </w:div>
    <w:div w:id="953173633">
      <w:marLeft w:val="640"/>
      <w:marRight w:val="0"/>
      <w:marTop w:val="0"/>
      <w:marBottom w:val="0"/>
      <w:divBdr>
        <w:top w:val="none" w:sz="0" w:space="0" w:color="auto"/>
        <w:left w:val="none" w:sz="0" w:space="0" w:color="auto"/>
        <w:bottom w:val="none" w:sz="0" w:space="0" w:color="auto"/>
        <w:right w:val="none" w:sz="0" w:space="0" w:color="auto"/>
      </w:divBdr>
    </w:div>
    <w:div w:id="953944013">
      <w:marLeft w:val="640"/>
      <w:marRight w:val="0"/>
      <w:marTop w:val="0"/>
      <w:marBottom w:val="0"/>
      <w:divBdr>
        <w:top w:val="none" w:sz="0" w:space="0" w:color="auto"/>
        <w:left w:val="none" w:sz="0" w:space="0" w:color="auto"/>
        <w:bottom w:val="none" w:sz="0" w:space="0" w:color="auto"/>
        <w:right w:val="none" w:sz="0" w:space="0" w:color="auto"/>
      </w:divBdr>
    </w:div>
    <w:div w:id="954367626">
      <w:marLeft w:val="640"/>
      <w:marRight w:val="0"/>
      <w:marTop w:val="0"/>
      <w:marBottom w:val="0"/>
      <w:divBdr>
        <w:top w:val="none" w:sz="0" w:space="0" w:color="auto"/>
        <w:left w:val="none" w:sz="0" w:space="0" w:color="auto"/>
        <w:bottom w:val="none" w:sz="0" w:space="0" w:color="auto"/>
        <w:right w:val="none" w:sz="0" w:space="0" w:color="auto"/>
      </w:divBdr>
    </w:div>
    <w:div w:id="954675938">
      <w:marLeft w:val="640"/>
      <w:marRight w:val="0"/>
      <w:marTop w:val="0"/>
      <w:marBottom w:val="0"/>
      <w:divBdr>
        <w:top w:val="none" w:sz="0" w:space="0" w:color="auto"/>
        <w:left w:val="none" w:sz="0" w:space="0" w:color="auto"/>
        <w:bottom w:val="none" w:sz="0" w:space="0" w:color="auto"/>
        <w:right w:val="none" w:sz="0" w:space="0" w:color="auto"/>
      </w:divBdr>
    </w:div>
    <w:div w:id="955136438">
      <w:marLeft w:val="640"/>
      <w:marRight w:val="0"/>
      <w:marTop w:val="0"/>
      <w:marBottom w:val="0"/>
      <w:divBdr>
        <w:top w:val="none" w:sz="0" w:space="0" w:color="auto"/>
        <w:left w:val="none" w:sz="0" w:space="0" w:color="auto"/>
        <w:bottom w:val="none" w:sz="0" w:space="0" w:color="auto"/>
        <w:right w:val="none" w:sz="0" w:space="0" w:color="auto"/>
      </w:divBdr>
    </w:div>
    <w:div w:id="955328596">
      <w:marLeft w:val="640"/>
      <w:marRight w:val="0"/>
      <w:marTop w:val="0"/>
      <w:marBottom w:val="0"/>
      <w:divBdr>
        <w:top w:val="none" w:sz="0" w:space="0" w:color="auto"/>
        <w:left w:val="none" w:sz="0" w:space="0" w:color="auto"/>
        <w:bottom w:val="none" w:sz="0" w:space="0" w:color="auto"/>
        <w:right w:val="none" w:sz="0" w:space="0" w:color="auto"/>
      </w:divBdr>
    </w:div>
    <w:div w:id="955720730">
      <w:marLeft w:val="640"/>
      <w:marRight w:val="0"/>
      <w:marTop w:val="0"/>
      <w:marBottom w:val="0"/>
      <w:divBdr>
        <w:top w:val="none" w:sz="0" w:space="0" w:color="auto"/>
        <w:left w:val="none" w:sz="0" w:space="0" w:color="auto"/>
        <w:bottom w:val="none" w:sz="0" w:space="0" w:color="auto"/>
        <w:right w:val="none" w:sz="0" w:space="0" w:color="auto"/>
      </w:divBdr>
    </w:div>
    <w:div w:id="955873669">
      <w:marLeft w:val="640"/>
      <w:marRight w:val="0"/>
      <w:marTop w:val="0"/>
      <w:marBottom w:val="0"/>
      <w:divBdr>
        <w:top w:val="none" w:sz="0" w:space="0" w:color="auto"/>
        <w:left w:val="none" w:sz="0" w:space="0" w:color="auto"/>
        <w:bottom w:val="none" w:sz="0" w:space="0" w:color="auto"/>
        <w:right w:val="none" w:sz="0" w:space="0" w:color="auto"/>
      </w:divBdr>
    </w:div>
    <w:div w:id="956374722">
      <w:marLeft w:val="640"/>
      <w:marRight w:val="0"/>
      <w:marTop w:val="0"/>
      <w:marBottom w:val="0"/>
      <w:divBdr>
        <w:top w:val="none" w:sz="0" w:space="0" w:color="auto"/>
        <w:left w:val="none" w:sz="0" w:space="0" w:color="auto"/>
        <w:bottom w:val="none" w:sz="0" w:space="0" w:color="auto"/>
        <w:right w:val="none" w:sz="0" w:space="0" w:color="auto"/>
      </w:divBdr>
    </w:div>
    <w:div w:id="956450685">
      <w:marLeft w:val="640"/>
      <w:marRight w:val="0"/>
      <w:marTop w:val="0"/>
      <w:marBottom w:val="0"/>
      <w:divBdr>
        <w:top w:val="none" w:sz="0" w:space="0" w:color="auto"/>
        <w:left w:val="none" w:sz="0" w:space="0" w:color="auto"/>
        <w:bottom w:val="none" w:sz="0" w:space="0" w:color="auto"/>
        <w:right w:val="none" w:sz="0" w:space="0" w:color="auto"/>
      </w:divBdr>
    </w:div>
    <w:div w:id="957105162">
      <w:marLeft w:val="640"/>
      <w:marRight w:val="0"/>
      <w:marTop w:val="0"/>
      <w:marBottom w:val="0"/>
      <w:divBdr>
        <w:top w:val="none" w:sz="0" w:space="0" w:color="auto"/>
        <w:left w:val="none" w:sz="0" w:space="0" w:color="auto"/>
        <w:bottom w:val="none" w:sz="0" w:space="0" w:color="auto"/>
        <w:right w:val="none" w:sz="0" w:space="0" w:color="auto"/>
      </w:divBdr>
    </w:div>
    <w:div w:id="957218914">
      <w:marLeft w:val="640"/>
      <w:marRight w:val="0"/>
      <w:marTop w:val="0"/>
      <w:marBottom w:val="0"/>
      <w:divBdr>
        <w:top w:val="none" w:sz="0" w:space="0" w:color="auto"/>
        <w:left w:val="none" w:sz="0" w:space="0" w:color="auto"/>
        <w:bottom w:val="none" w:sz="0" w:space="0" w:color="auto"/>
        <w:right w:val="none" w:sz="0" w:space="0" w:color="auto"/>
      </w:divBdr>
    </w:div>
    <w:div w:id="958225440">
      <w:marLeft w:val="640"/>
      <w:marRight w:val="0"/>
      <w:marTop w:val="0"/>
      <w:marBottom w:val="0"/>
      <w:divBdr>
        <w:top w:val="none" w:sz="0" w:space="0" w:color="auto"/>
        <w:left w:val="none" w:sz="0" w:space="0" w:color="auto"/>
        <w:bottom w:val="none" w:sz="0" w:space="0" w:color="auto"/>
        <w:right w:val="none" w:sz="0" w:space="0" w:color="auto"/>
      </w:divBdr>
    </w:div>
    <w:div w:id="958754200">
      <w:marLeft w:val="640"/>
      <w:marRight w:val="0"/>
      <w:marTop w:val="0"/>
      <w:marBottom w:val="0"/>
      <w:divBdr>
        <w:top w:val="none" w:sz="0" w:space="0" w:color="auto"/>
        <w:left w:val="none" w:sz="0" w:space="0" w:color="auto"/>
        <w:bottom w:val="none" w:sz="0" w:space="0" w:color="auto"/>
        <w:right w:val="none" w:sz="0" w:space="0" w:color="auto"/>
      </w:divBdr>
    </w:div>
    <w:div w:id="959650132">
      <w:marLeft w:val="640"/>
      <w:marRight w:val="0"/>
      <w:marTop w:val="0"/>
      <w:marBottom w:val="0"/>
      <w:divBdr>
        <w:top w:val="none" w:sz="0" w:space="0" w:color="auto"/>
        <w:left w:val="none" w:sz="0" w:space="0" w:color="auto"/>
        <w:bottom w:val="none" w:sz="0" w:space="0" w:color="auto"/>
        <w:right w:val="none" w:sz="0" w:space="0" w:color="auto"/>
      </w:divBdr>
    </w:div>
    <w:div w:id="959725155">
      <w:marLeft w:val="640"/>
      <w:marRight w:val="0"/>
      <w:marTop w:val="0"/>
      <w:marBottom w:val="0"/>
      <w:divBdr>
        <w:top w:val="none" w:sz="0" w:space="0" w:color="auto"/>
        <w:left w:val="none" w:sz="0" w:space="0" w:color="auto"/>
        <w:bottom w:val="none" w:sz="0" w:space="0" w:color="auto"/>
        <w:right w:val="none" w:sz="0" w:space="0" w:color="auto"/>
      </w:divBdr>
    </w:div>
    <w:div w:id="960187378">
      <w:marLeft w:val="640"/>
      <w:marRight w:val="0"/>
      <w:marTop w:val="0"/>
      <w:marBottom w:val="0"/>
      <w:divBdr>
        <w:top w:val="none" w:sz="0" w:space="0" w:color="auto"/>
        <w:left w:val="none" w:sz="0" w:space="0" w:color="auto"/>
        <w:bottom w:val="none" w:sz="0" w:space="0" w:color="auto"/>
        <w:right w:val="none" w:sz="0" w:space="0" w:color="auto"/>
      </w:divBdr>
    </w:div>
    <w:div w:id="960644504">
      <w:marLeft w:val="640"/>
      <w:marRight w:val="0"/>
      <w:marTop w:val="0"/>
      <w:marBottom w:val="0"/>
      <w:divBdr>
        <w:top w:val="none" w:sz="0" w:space="0" w:color="auto"/>
        <w:left w:val="none" w:sz="0" w:space="0" w:color="auto"/>
        <w:bottom w:val="none" w:sz="0" w:space="0" w:color="auto"/>
        <w:right w:val="none" w:sz="0" w:space="0" w:color="auto"/>
      </w:divBdr>
    </w:div>
    <w:div w:id="960694824">
      <w:marLeft w:val="640"/>
      <w:marRight w:val="0"/>
      <w:marTop w:val="0"/>
      <w:marBottom w:val="0"/>
      <w:divBdr>
        <w:top w:val="none" w:sz="0" w:space="0" w:color="auto"/>
        <w:left w:val="none" w:sz="0" w:space="0" w:color="auto"/>
        <w:bottom w:val="none" w:sz="0" w:space="0" w:color="auto"/>
        <w:right w:val="none" w:sz="0" w:space="0" w:color="auto"/>
      </w:divBdr>
    </w:div>
    <w:div w:id="961499007">
      <w:marLeft w:val="640"/>
      <w:marRight w:val="0"/>
      <w:marTop w:val="0"/>
      <w:marBottom w:val="0"/>
      <w:divBdr>
        <w:top w:val="none" w:sz="0" w:space="0" w:color="auto"/>
        <w:left w:val="none" w:sz="0" w:space="0" w:color="auto"/>
        <w:bottom w:val="none" w:sz="0" w:space="0" w:color="auto"/>
        <w:right w:val="none" w:sz="0" w:space="0" w:color="auto"/>
      </w:divBdr>
    </w:div>
    <w:div w:id="961767695">
      <w:marLeft w:val="640"/>
      <w:marRight w:val="0"/>
      <w:marTop w:val="0"/>
      <w:marBottom w:val="0"/>
      <w:divBdr>
        <w:top w:val="none" w:sz="0" w:space="0" w:color="auto"/>
        <w:left w:val="none" w:sz="0" w:space="0" w:color="auto"/>
        <w:bottom w:val="none" w:sz="0" w:space="0" w:color="auto"/>
        <w:right w:val="none" w:sz="0" w:space="0" w:color="auto"/>
      </w:divBdr>
    </w:div>
    <w:div w:id="962006187">
      <w:marLeft w:val="640"/>
      <w:marRight w:val="0"/>
      <w:marTop w:val="0"/>
      <w:marBottom w:val="0"/>
      <w:divBdr>
        <w:top w:val="none" w:sz="0" w:space="0" w:color="auto"/>
        <w:left w:val="none" w:sz="0" w:space="0" w:color="auto"/>
        <w:bottom w:val="none" w:sz="0" w:space="0" w:color="auto"/>
        <w:right w:val="none" w:sz="0" w:space="0" w:color="auto"/>
      </w:divBdr>
    </w:div>
    <w:div w:id="962536512">
      <w:marLeft w:val="640"/>
      <w:marRight w:val="0"/>
      <w:marTop w:val="0"/>
      <w:marBottom w:val="0"/>
      <w:divBdr>
        <w:top w:val="none" w:sz="0" w:space="0" w:color="auto"/>
        <w:left w:val="none" w:sz="0" w:space="0" w:color="auto"/>
        <w:bottom w:val="none" w:sz="0" w:space="0" w:color="auto"/>
        <w:right w:val="none" w:sz="0" w:space="0" w:color="auto"/>
      </w:divBdr>
    </w:div>
    <w:div w:id="962610854">
      <w:marLeft w:val="640"/>
      <w:marRight w:val="0"/>
      <w:marTop w:val="0"/>
      <w:marBottom w:val="0"/>
      <w:divBdr>
        <w:top w:val="none" w:sz="0" w:space="0" w:color="auto"/>
        <w:left w:val="none" w:sz="0" w:space="0" w:color="auto"/>
        <w:bottom w:val="none" w:sz="0" w:space="0" w:color="auto"/>
        <w:right w:val="none" w:sz="0" w:space="0" w:color="auto"/>
      </w:divBdr>
    </w:div>
    <w:div w:id="963273371">
      <w:marLeft w:val="640"/>
      <w:marRight w:val="0"/>
      <w:marTop w:val="0"/>
      <w:marBottom w:val="0"/>
      <w:divBdr>
        <w:top w:val="none" w:sz="0" w:space="0" w:color="auto"/>
        <w:left w:val="none" w:sz="0" w:space="0" w:color="auto"/>
        <w:bottom w:val="none" w:sz="0" w:space="0" w:color="auto"/>
        <w:right w:val="none" w:sz="0" w:space="0" w:color="auto"/>
      </w:divBdr>
    </w:div>
    <w:div w:id="963971782">
      <w:marLeft w:val="640"/>
      <w:marRight w:val="0"/>
      <w:marTop w:val="0"/>
      <w:marBottom w:val="0"/>
      <w:divBdr>
        <w:top w:val="none" w:sz="0" w:space="0" w:color="auto"/>
        <w:left w:val="none" w:sz="0" w:space="0" w:color="auto"/>
        <w:bottom w:val="none" w:sz="0" w:space="0" w:color="auto"/>
        <w:right w:val="none" w:sz="0" w:space="0" w:color="auto"/>
      </w:divBdr>
    </w:div>
    <w:div w:id="964122450">
      <w:marLeft w:val="640"/>
      <w:marRight w:val="0"/>
      <w:marTop w:val="0"/>
      <w:marBottom w:val="0"/>
      <w:divBdr>
        <w:top w:val="none" w:sz="0" w:space="0" w:color="auto"/>
        <w:left w:val="none" w:sz="0" w:space="0" w:color="auto"/>
        <w:bottom w:val="none" w:sz="0" w:space="0" w:color="auto"/>
        <w:right w:val="none" w:sz="0" w:space="0" w:color="auto"/>
      </w:divBdr>
    </w:div>
    <w:div w:id="964894890">
      <w:marLeft w:val="640"/>
      <w:marRight w:val="0"/>
      <w:marTop w:val="0"/>
      <w:marBottom w:val="0"/>
      <w:divBdr>
        <w:top w:val="none" w:sz="0" w:space="0" w:color="auto"/>
        <w:left w:val="none" w:sz="0" w:space="0" w:color="auto"/>
        <w:bottom w:val="none" w:sz="0" w:space="0" w:color="auto"/>
        <w:right w:val="none" w:sz="0" w:space="0" w:color="auto"/>
      </w:divBdr>
    </w:div>
    <w:div w:id="966087648">
      <w:marLeft w:val="640"/>
      <w:marRight w:val="0"/>
      <w:marTop w:val="0"/>
      <w:marBottom w:val="0"/>
      <w:divBdr>
        <w:top w:val="none" w:sz="0" w:space="0" w:color="auto"/>
        <w:left w:val="none" w:sz="0" w:space="0" w:color="auto"/>
        <w:bottom w:val="none" w:sz="0" w:space="0" w:color="auto"/>
        <w:right w:val="none" w:sz="0" w:space="0" w:color="auto"/>
      </w:divBdr>
    </w:div>
    <w:div w:id="966592182">
      <w:marLeft w:val="640"/>
      <w:marRight w:val="0"/>
      <w:marTop w:val="0"/>
      <w:marBottom w:val="0"/>
      <w:divBdr>
        <w:top w:val="none" w:sz="0" w:space="0" w:color="auto"/>
        <w:left w:val="none" w:sz="0" w:space="0" w:color="auto"/>
        <w:bottom w:val="none" w:sz="0" w:space="0" w:color="auto"/>
        <w:right w:val="none" w:sz="0" w:space="0" w:color="auto"/>
      </w:divBdr>
    </w:div>
    <w:div w:id="967274105">
      <w:marLeft w:val="640"/>
      <w:marRight w:val="0"/>
      <w:marTop w:val="0"/>
      <w:marBottom w:val="0"/>
      <w:divBdr>
        <w:top w:val="none" w:sz="0" w:space="0" w:color="auto"/>
        <w:left w:val="none" w:sz="0" w:space="0" w:color="auto"/>
        <w:bottom w:val="none" w:sz="0" w:space="0" w:color="auto"/>
        <w:right w:val="none" w:sz="0" w:space="0" w:color="auto"/>
      </w:divBdr>
    </w:div>
    <w:div w:id="968784339">
      <w:marLeft w:val="640"/>
      <w:marRight w:val="0"/>
      <w:marTop w:val="0"/>
      <w:marBottom w:val="0"/>
      <w:divBdr>
        <w:top w:val="none" w:sz="0" w:space="0" w:color="auto"/>
        <w:left w:val="none" w:sz="0" w:space="0" w:color="auto"/>
        <w:bottom w:val="none" w:sz="0" w:space="0" w:color="auto"/>
        <w:right w:val="none" w:sz="0" w:space="0" w:color="auto"/>
      </w:divBdr>
    </w:div>
    <w:div w:id="969286202">
      <w:marLeft w:val="640"/>
      <w:marRight w:val="0"/>
      <w:marTop w:val="0"/>
      <w:marBottom w:val="0"/>
      <w:divBdr>
        <w:top w:val="none" w:sz="0" w:space="0" w:color="auto"/>
        <w:left w:val="none" w:sz="0" w:space="0" w:color="auto"/>
        <w:bottom w:val="none" w:sz="0" w:space="0" w:color="auto"/>
        <w:right w:val="none" w:sz="0" w:space="0" w:color="auto"/>
      </w:divBdr>
    </w:div>
    <w:div w:id="970400858">
      <w:marLeft w:val="640"/>
      <w:marRight w:val="0"/>
      <w:marTop w:val="0"/>
      <w:marBottom w:val="0"/>
      <w:divBdr>
        <w:top w:val="none" w:sz="0" w:space="0" w:color="auto"/>
        <w:left w:val="none" w:sz="0" w:space="0" w:color="auto"/>
        <w:bottom w:val="none" w:sz="0" w:space="0" w:color="auto"/>
        <w:right w:val="none" w:sz="0" w:space="0" w:color="auto"/>
      </w:divBdr>
    </w:div>
    <w:div w:id="970791155">
      <w:marLeft w:val="640"/>
      <w:marRight w:val="0"/>
      <w:marTop w:val="0"/>
      <w:marBottom w:val="0"/>
      <w:divBdr>
        <w:top w:val="none" w:sz="0" w:space="0" w:color="auto"/>
        <w:left w:val="none" w:sz="0" w:space="0" w:color="auto"/>
        <w:bottom w:val="none" w:sz="0" w:space="0" w:color="auto"/>
        <w:right w:val="none" w:sz="0" w:space="0" w:color="auto"/>
      </w:divBdr>
    </w:div>
    <w:div w:id="972756812">
      <w:marLeft w:val="640"/>
      <w:marRight w:val="0"/>
      <w:marTop w:val="0"/>
      <w:marBottom w:val="0"/>
      <w:divBdr>
        <w:top w:val="none" w:sz="0" w:space="0" w:color="auto"/>
        <w:left w:val="none" w:sz="0" w:space="0" w:color="auto"/>
        <w:bottom w:val="none" w:sz="0" w:space="0" w:color="auto"/>
        <w:right w:val="none" w:sz="0" w:space="0" w:color="auto"/>
      </w:divBdr>
    </w:div>
    <w:div w:id="973175451">
      <w:marLeft w:val="640"/>
      <w:marRight w:val="0"/>
      <w:marTop w:val="0"/>
      <w:marBottom w:val="0"/>
      <w:divBdr>
        <w:top w:val="none" w:sz="0" w:space="0" w:color="auto"/>
        <w:left w:val="none" w:sz="0" w:space="0" w:color="auto"/>
        <w:bottom w:val="none" w:sz="0" w:space="0" w:color="auto"/>
        <w:right w:val="none" w:sz="0" w:space="0" w:color="auto"/>
      </w:divBdr>
    </w:div>
    <w:div w:id="974795603">
      <w:marLeft w:val="640"/>
      <w:marRight w:val="0"/>
      <w:marTop w:val="0"/>
      <w:marBottom w:val="0"/>
      <w:divBdr>
        <w:top w:val="none" w:sz="0" w:space="0" w:color="auto"/>
        <w:left w:val="none" w:sz="0" w:space="0" w:color="auto"/>
        <w:bottom w:val="none" w:sz="0" w:space="0" w:color="auto"/>
        <w:right w:val="none" w:sz="0" w:space="0" w:color="auto"/>
      </w:divBdr>
    </w:div>
    <w:div w:id="975061776">
      <w:marLeft w:val="640"/>
      <w:marRight w:val="0"/>
      <w:marTop w:val="0"/>
      <w:marBottom w:val="0"/>
      <w:divBdr>
        <w:top w:val="none" w:sz="0" w:space="0" w:color="auto"/>
        <w:left w:val="none" w:sz="0" w:space="0" w:color="auto"/>
        <w:bottom w:val="none" w:sz="0" w:space="0" w:color="auto"/>
        <w:right w:val="none" w:sz="0" w:space="0" w:color="auto"/>
      </w:divBdr>
    </w:div>
    <w:div w:id="975137779">
      <w:marLeft w:val="640"/>
      <w:marRight w:val="0"/>
      <w:marTop w:val="0"/>
      <w:marBottom w:val="0"/>
      <w:divBdr>
        <w:top w:val="none" w:sz="0" w:space="0" w:color="auto"/>
        <w:left w:val="none" w:sz="0" w:space="0" w:color="auto"/>
        <w:bottom w:val="none" w:sz="0" w:space="0" w:color="auto"/>
        <w:right w:val="none" w:sz="0" w:space="0" w:color="auto"/>
      </w:divBdr>
    </w:div>
    <w:div w:id="976767245">
      <w:marLeft w:val="640"/>
      <w:marRight w:val="0"/>
      <w:marTop w:val="0"/>
      <w:marBottom w:val="0"/>
      <w:divBdr>
        <w:top w:val="none" w:sz="0" w:space="0" w:color="auto"/>
        <w:left w:val="none" w:sz="0" w:space="0" w:color="auto"/>
        <w:bottom w:val="none" w:sz="0" w:space="0" w:color="auto"/>
        <w:right w:val="none" w:sz="0" w:space="0" w:color="auto"/>
      </w:divBdr>
    </w:div>
    <w:div w:id="976837500">
      <w:marLeft w:val="640"/>
      <w:marRight w:val="0"/>
      <w:marTop w:val="0"/>
      <w:marBottom w:val="0"/>
      <w:divBdr>
        <w:top w:val="none" w:sz="0" w:space="0" w:color="auto"/>
        <w:left w:val="none" w:sz="0" w:space="0" w:color="auto"/>
        <w:bottom w:val="none" w:sz="0" w:space="0" w:color="auto"/>
        <w:right w:val="none" w:sz="0" w:space="0" w:color="auto"/>
      </w:divBdr>
    </w:div>
    <w:div w:id="977881323">
      <w:marLeft w:val="640"/>
      <w:marRight w:val="0"/>
      <w:marTop w:val="0"/>
      <w:marBottom w:val="0"/>
      <w:divBdr>
        <w:top w:val="none" w:sz="0" w:space="0" w:color="auto"/>
        <w:left w:val="none" w:sz="0" w:space="0" w:color="auto"/>
        <w:bottom w:val="none" w:sz="0" w:space="0" w:color="auto"/>
        <w:right w:val="none" w:sz="0" w:space="0" w:color="auto"/>
      </w:divBdr>
    </w:div>
    <w:div w:id="979699500">
      <w:marLeft w:val="640"/>
      <w:marRight w:val="0"/>
      <w:marTop w:val="0"/>
      <w:marBottom w:val="0"/>
      <w:divBdr>
        <w:top w:val="none" w:sz="0" w:space="0" w:color="auto"/>
        <w:left w:val="none" w:sz="0" w:space="0" w:color="auto"/>
        <w:bottom w:val="none" w:sz="0" w:space="0" w:color="auto"/>
        <w:right w:val="none" w:sz="0" w:space="0" w:color="auto"/>
      </w:divBdr>
    </w:div>
    <w:div w:id="980037885">
      <w:marLeft w:val="640"/>
      <w:marRight w:val="0"/>
      <w:marTop w:val="0"/>
      <w:marBottom w:val="0"/>
      <w:divBdr>
        <w:top w:val="none" w:sz="0" w:space="0" w:color="auto"/>
        <w:left w:val="none" w:sz="0" w:space="0" w:color="auto"/>
        <w:bottom w:val="none" w:sz="0" w:space="0" w:color="auto"/>
        <w:right w:val="none" w:sz="0" w:space="0" w:color="auto"/>
      </w:divBdr>
    </w:div>
    <w:div w:id="980504945">
      <w:marLeft w:val="640"/>
      <w:marRight w:val="0"/>
      <w:marTop w:val="0"/>
      <w:marBottom w:val="0"/>
      <w:divBdr>
        <w:top w:val="none" w:sz="0" w:space="0" w:color="auto"/>
        <w:left w:val="none" w:sz="0" w:space="0" w:color="auto"/>
        <w:bottom w:val="none" w:sz="0" w:space="0" w:color="auto"/>
        <w:right w:val="none" w:sz="0" w:space="0" w:color="auto"/>
      </w:divBdr>
    </w:div>
    <w:div w:id="980623341">
      <w:marLeft w:val="640"/>
      <w:marRight w:val="0"/>
      <w:marTop w:val="0"/>
      <w:marBottom w:val="0"/>
      <w:divBdr>
        <w:top w:val="none" w:sz="0" w:space="0" w:color="auto"/>
        <w:left w:val="none" w:sz="0" w:space="0" w:color="auto"/>
        <w:bottom w:val="none" w:sz="0" w:space="0" w:color="auto"/>
        <w:right w:val="none" w:sz="0" w:space="0" w:color="auto"/>
      </w:divBdr>
    </w:div>
    <w:div w:id="980697458">
      <w:marLeft w:val="640"/>
      <w:marRight w:val="0"/>
      <w:marTop w:val="0"/>
      <w:marBottom w:val="0"/>
      <w:divBdr>
        <w:top w:val="none" w:sz="0" w:space="0" w:color="auto"/>
        <w:left w:val="none" w:sz="0" w:space="0" w:color="auto"/>
        <w:bottom w:val="none" w:sz="0" w:space="0" w:color="auto"/>
        <w:right w:val="none" w:sz="0" w:space="0" w:color="auto"/>
      </w:divBdr>
    </w:div>
    <w:div w:id="980773903">
      <w:marLeft w:val="640"/>
      <w:marRight w:val="0"/>
      <w:marTop w:val="0"/>
      <w:marBottom w:val="0"/>
      <w:divBdr>
        <w:top w:val="none" w:sz="0" w:space="0" w:color="auto"/>
        <w:left w:val="none" w:sz="0" w:space="0" w:color="auto"/>
        <w:bottom w:val="none" w:sz="0" w:space="0" w:color="auto"/>
        <w:right w:val="none" w:sz="0" w:space="0" w:color="auto"/>
      </w:divBdr>
    </w:div>
    <w:div w:id="981038894">
      <w:marLeft w:val="640"/>
      <w:marRight w:val="0"/>
      <w:marTop w:val="0"/>
      <w:marBottom w:val="0"/>
      <w:divBdr>
        <w:top w:val="none" w:sz="0" w:space="0" w:color="auto"/>
        <w:left w:val="none" w:sz="0" w:space="0" w:color="auto"/>
        <w:bottom w:val="none" w:sz="0" w:space="0" w:color="auto"/>
        <w:right w:val="none" w:sz="0" w:space="0" w:color="auto"/>
      </w:divBdr>
    </w:div>
    <w:div w:id="981156171">
      <w:marLeft w:val="640"/>
      <w:marRight w:val="0"/>
      <w:marTop w:val="0"/>
      <w:marBottom w:val="0"/>
      <w:divBdr>
        <w:top w:val="none" w:sz="0" w:space="0" w:color="auto"/>
        <w:left w:val="none" w:sz="0" w:space="0" w:color="auto"/>
        <w:bottom w:val="none" w:sz="0" w:space="0" w:color="auto"/>
        <w:right w:val="none" w:sz="0" w:space="0" w:color="auto"/>
      </w:divBdr>
    </w:div>
    <w:div w:id="981471790">
      <w:marLeft w:val="640"/>
      <w:marRight w:val="0"/>
      <w:marTop w:val="0"/>
      <w:marBottom w:val="0"/>
      <w:divBdr>
        <w:top w:val="none" w:sz="0" w:space="0" w:color="auto"/>
        <w:left w:val="none" w:sz="0" w:space="0" w:color="auto"/>
        <w:bottom w:val="none" w:sz="0" w:space="0" w:color="auto"/>
        <w:right w:val="none" w:sz="0" w:space="0" w:color="auto"/>
      </w:divBdr>
    </w:div>
    <w:div w:id="981812027">
      <w:marLeft w:val="640"/>
      <w:marRight w:val="0"/>
      <w:marTop w:val="0"/>
      <w:marBottom w:val="0"/>
      <w:divBdr>
        <w:top w:val="none" w:sz="0" w:space="0" w:color="auto"/>
        <w:left w:val="none" w:sz="0" w:space="0" w:color="auto"/>
        <w:bottom w:val="none" w:sz="0" w:space="0" w:color="auto"/>
        <w:right w:val="none" w:sz="0" w:space="0" w:color="auto"/>
      </w:divBdr>
    </w:div>
    <w:div w:id="982395329">
      <w:marLeft w:val="640"/>
      <w:marRight w:val="0"/>
      <w:marTop w:val="0"/>
      <w:marBottom w:val="0"/>
      <w:divBdr>
        <w:top w:val="none" w:sz="0" w:space="0" w:color="auto"/>
        <w:left w:val="none" w:sz="0" w:space="0" w:color="auto"/>
        <w:bottom w:val="none" w:sz="0" w:space="0" w:color="auto"/>
        <w:right w:val="none" w:sz="0" w:space="0" w:color="auto"/>
      </w:divBdr>
    </w:div>
    <w:div w:id="982464006">
      <w:marLeft w:val="640"/>
      <w:marRight w:val="0"/>
      <w:marTop w:val="0"/>
      <w:marBottom w:val="0"/>
      <w:divBdr>
        <w:top w:val="none" w:sz="0" w:space="0" w:color="auto"/>
        <w:left w:val="none" w:sz="0" w:space="0" w:color="auto"/>
        <w:bottom w:val="none" w:sz="0" w:space="0" w:color="auto"/>
        <w:right w:val="none" w:sz="0" w:space="0" w:color="auto"/>
      </w:divBdr>
    </w:div>
    <w:div w:id="985284329">
      <w:marLeft w:val="640"/>
      <w:marRight w:val="0"/>
      <w:marTop w:val="0"/>
      <w:marBottom w:val="0"/>
      <w:divBdr>
        <w:top w:val="none" w:sz="0" w:space="0" w:color="auto"/>
        <w:left w:val="none" w:sz="0" w:space="0" w:color="auto"/>
        <w:bottom w:val="none" w:sz="0" w:space="0" w:color="auto"/>
        <w:right w:val="none" w:sz="0" w:space="0" w:color="auto"/>
      </w:divBdr>
    </w:div>
    <w:div w:id="985399629">
      <w:marLeft w:val="640"/>
      <w:marRight w:val="0"/>
      <w:marTop w:val="0"/>
      <w:marBottom w:val="0"/>
      <w:divBdr>
        <w:top w:val="none" w:sz="0" w:space="0" w:color="auto"/>
        <w:left w:val="none" w:sz="0" w:space="0" w:color="auto"/>
        <w:bottom w:val="none" w:sz="0" w:space="0" w:color="auto"/>
        <w:right w:val="none" w:sz="0" w:space="0" w:color="auto"/>
      </w:divBdr>
    </w:div>
    <w:div w:id="987251092">
      <w:marLeft w:val="640"/>
      <w:marRight w:val="0"/>
      <w:marTop w:val="0"/>
      <w:marBottom w:val="0"/>
      <w:divBdr>
        <w:top w:val="none" w:sz="0" w:space="0" w:color="auto"/>
        <w:left w:val="none" w:sz="0" w:space="0" w:color="auto"/>
        <w:bottom w:val="none" w:sz="0" w:space="0" w:color="auto"/>
        <w:right w:val="none" w:sz="0" w:space="0" w:color="auto"/>
      </w:divBdr>
    </w:div>
    <w:div w:id="988557016">
      <w:marLeft w:val="640"/>
      <w:marRight w:val="0"/>
      <w:marTop w:val="0"/>
      <w:marBottom w:val="0"/>
      <w:divBdr>
        <w:top w:val="none" w:sz="0" w:space="0" w:color="auto"/>
        <w:left w:val="none" w:sz="0" w:space="0" w:color="auto"/>
        <w:bottom w:val="none" w:sz="0" w:space="0" w:color="auto"/>
        <w:right w:val="none" w:sz="0" w:space="0" w:color="auto"/>
      </w:divBdr>
    </w:div>
    <w:div w:id="988747892">
      <w:marLeft w:val="640"/>
      <w:marRight w:val="0"/>
      <w:marTop w:val="0"/>
      <w:marBottom w:val="0"/>
      <w:divBdr>
        <w:top w:val="none" w:sz="0" w:space="0" w:color="auto"/>
        <w:left w:val="none" w:sz="0" w:space="0" w:color="auto"/>
        <w:bottom w:val="none" w:sz="0" w:space="0" w:color="auto"/>
        <w:right w:val="none" w:sz="0" w:space="0" w:color="auto"/>
      </w:divBdr>
    </w:div>
    <w:div w:id="988872908">
      <w:marLeft w:val="640"/>
      <w:marRight w:val="0"/>
      <w:marTop w:val="0"/>
      <w:marBottom w:val="0"/>
      <w:divBdr>
        <w:top w:val="none" w:sz="0" w:space="0" w:color="auto"/>
        <w:left w:val="none" w:sz="0" w:space="0" w:color="auto"/>
        <w:bottom w:val="none" w:sz="0" w:space="0" w:color="auto"/>
        <w:right w:val="none" w:sz="0" w:space="0" w:color="auto"/>
      </w:divBdr>
    </w:div>
    <w:div w:id="988945566">
      <w:marLeft w:val="640"/>
      <w:marRight w:val="0"/>
      <w:marTop w:val="0"/>
      <w:marBottom w:val="0"/>
      <w:divBdr>
        <w:top w:val="none" w:sz="0" w:space="0" w:color="auto"/>
        <w:left w:val="none" w:sz="0" w:space="0" w:color="auto"/>
        <w:bottom w:val="none" w:sz="0" w:space="0" w:color="auto"/>
        <w:right w:val="none" w:sz="0" w:space="0" w:color="auto"/>
      </w:divBdr>
    </w:div>
    <w:div w:id="989362602">
      <w:marLeft w:val="640"/>
      <w:marRight w:val="0"/>
      <w:marTop w:val="0"/>
      <w:marBottom w:val="0"/>
      <w:divBdr>
        <w:top w:val="none" w:sz="0" w:space="0" w:color="auto"/>
        <w:left w:val="none" w:sz="0" w:space="0" w:color="auto"/>
        <w:bottom w:val="none" w:sz="0" w:space="0" w:color="auto"/>
        <w:right w:val="none" w:sz="0" w:space="0" w:color="auto"/>
      </w:divBdr>
    </w:div>
    <w:div w:id="989478494">
      <w:marLeft w:val="640"/>
      <w:marRight w:val="0"/>
      <w:marTop w:val="0"/>
      <w:marBottom w:val="0"/>
      <w:divBdr>
        <w:top w:val="none" w:sz="0" w:space="0" w:color="auto"/>
        <w:left w:val="none" w:sz="0" w:space="0" w:color="auto"/>
        <w:bottom w:val="none" w:sz="0" w:space="0" w:color="auto"/>
        <w:right w:val="none" w:sz="0" w:space="0" w:color="auto"/>
      </w:divBdr>
    </w:div>
    <w:div w:id="990329453">
      <w:marLeft w:val="640"/>
      <w:marRight w:val="0"/>
      <w:marTop w:val="0"/>
      <w:marBottom w:val="0"/>
      <w:divBdr>
        <w:top w:val="none" w:sz="0" w:space="0" w:color="auto"/>
        <w:left w:val="none" w:sz="0" w:space="0" w:color="auto"/>
        <w:bottom w:val="none" w:sz="0" w:space="0" w:color="auto"/>
        <w:right w:val="none" w:sz="0" w:space="0" w:color="auto"/>
      </w:divBdr>
    </w:div>
    <w:div w:id="990451040">
      <w:marLeft w:val="640"/>
      <w:marRight w:val="0"/>
      <w:marTop w:val="0"/>
      <w:marBottom w:val="0"/>
      <w:divBdr>
        <w:top w:val="none" w:sz="0" w:space="0" w:color="auto"/>
        <w:left w:val="none" w:sz="0" w:space="0" w:color="auto"/>
        <w:bottom w:val="none" w:sz="0" w:space="0" w:color="auto"/>
        <w:right w:val="none" w:sz="0" w:space="0" w:color="auto"/>
      </w:divBdr>
    </w:div>
    <w:div w:id="990595282">
      <w:marLeft w:val="640"/>
      <w:marRight w:val="0"/>
      <w:marTop w:val="0"/>
      <w:marBottom w:val="0"/>
      <w:divBdr>
        <w:top w:val="none" w:sz="0" w:space="0" w:color="auto"/>
        <w:left w:val="none" w:sz="0" w:space="0" w:color="auto"/>
        <w:bottom w:val="none" w:sz="0" w:space="0" w:color="auto"/>
        <w:right w:val="none" w:sz="0" w:space="0" w:color="auto"/>
      </w:divBdr>
    </w:div>
    <w:div w:id="991301105">
      <w:marLeft w:val="640"/>
      <w:marRight w:val="0"/>
      <w:marTop w:val="0"/>
      <w:marBottom w:val="0"/>
      <w:divBdr>
        <w:top w:val="none" w:sz="0" w:space="0" w:color="auto"/>
        <w:left w:val="none" w:sz="0" w:space="0" w:color="auto"/>
        <w:bottom w:val="none" w:sz="0" w:space="0" w:color="auto"/>
        <w:right w:val="none" w:sz="0" w:space="0" w:color="auto"/>
      </w:divBdr>
    </w:div>
    <w:div w:id="992291175">
      <w:marLeft w:val="640"/>
      <w:marRight w:val="0"/>
      <w:marTop w:val="0"/>
      <w:marBottom w:val="0"/>
      <w:divBdr>
        <w:top w:val="none" w:sz="0" w:space="0" w:color="auto"/>
        <w:left w:val="none" w:sz="0" w:space="0" w:color="auto"/>
        <w:bottom w:val="none" w:sz="0" w:space="0" w:color="auto"/>
        <w:right w:val="none" w:sz="0" w:space="0" w:color="auto"/>
      </w:divBdr>
    </w:div>
    <w:div w:id="992489726">
      <w:marLeft w:val="640"/>
      <w:marRight w:val="0"/>
      <w:marTop w:val="0"/>
      <w:marBottom w:val="0"/>
      <w:divBdr>
        <w:top w:val="none" w:sz="0" w:space="0" w:color="auto"/>
        <w:left w:val="none" w:sz="0" w:space="0" w:color="auto"/>
        <w:bottom w:val="none" w:sz="0" w:space="0" w:color="auto"/>
        <w:right w:val="none" w:sz="0" w:space="0" w:color="auto"/>
      </w:divBdr>
    </w:div>
    <w:div w:id="992638842">
      <w:marLeft w:val="640"/>
      <w:marRight w:val="0"/>
      <w:marTop w:val="0"/>
      <w:marBottom w:val="0"/>
      <w:divBdr>
        <w:top w:val="none" w:sz="0" w:space="0" w:color="auto"/>
        <w:left w:val="none" w:sz="0" w:space="0" w:color="auto"/>
        <w:bottom w:val="none" w:sz="0" w:space="0" w:color="auto"/>
        <w:right w:val="none" w:sz="0" w:space="0" w:color="auto"/>
      </w:divBdr>
    </w:div>
    <w:div w:id="993796603">
      <w:marLeft w:val="640"/>
      <w:marRight w:val="0"/>
      <w:marTop w:val="0"/>
      <w:marBottom w:val="0"/>
      <w:divBdr>
        <w:top w:val="none" w:sz="0" w:space="0" w:color="auto"/>
        <w:left w:val="none" w:sz="0" w:space="0" w:color="auto"/>
        <w:bottom w:val="none" w:sz="0" w:space="0" w:color="auto"/>
        <w:right w:val="none" w:sz="0" w:space="0" w:color="auto"/>
      </w:divBdr>
    </w:div>
    <w:div w:id="994532424">
      <w:marLeft w:val="640"/>
      <w:marRight w:val="0"/>
      <w:marTop w:val="0"/>
      <w:marBottom w:val="0"/>
      <w:divBdr>
        <w:top w:val="none" w:sz="0" w:space="0" w:color="auto"/>
        <w:left w:val="none" w:sz="0" w:space="0" w:color="auto"/>
        <w:bottom w:val="none" w:sz="0" w:space="0" w:color="auto"/>
        <w:right w:val="none" w:sz="0" w:space="0" w:color="auto"/>
      </w:divBdr>
    </w:div>
    <w:div w:id="995572802">
      <w:marLeft w:val="640"/>
      <w:marRight w:val="0"/>
      <w:marTop w:val="0"/>
      <w:marBottom w:val="0"/>
      <w:divBdr>
        <w:top w:val="none" w:sz="0" w:space="0" w:color="auto"/>
        <w:left w:val="none" w:sz="0" w:space="0" w:color="auto"/>
        <w:bottom w:val="none" w:sz="0" w:space="0" w:color="auto"/>
        <w:right w:val="none" w:sz="0" w:space="0" w:color="auto"/>
      </w:divBdr>
    </w:div>
    <w:div w:id="997341822">
      <w:marLeft w:val="640"/>
      <w:marRight w:val="0"/>
      <w:marTop w:val="0"/>
      <w:marBottom w:val="0"/>
      <w:divBdr>
        <w:top w:val="none" w:sz="0" w:space="0" w:color="auto"/>
        <w:left w:val="none" w:sz="0" w:space="0" w:color="auto"/>
        <w:bottom w:val="none" w:sz="0" w:space="0" w:color="auto"/>
        <w:right w:val="none" w:sz="0" w:space="0" w:color="auto"/>
      </w:divBdr>
    </w:div>
    <w:div w:id="997463520">
      <w:marLeft w:val="640"/>
      <w:marRight w:val="0"/>
      <w:marTop w:val="0"/>
      <w:marBottom w:val="0"/>
      <w:divBdr>
        <w:top w:val="none" w:sz="0" w:space="0" w:color="auto"/>
        <w:left w:val="none" w:sz="0" w:space="0" w:color="auto"/>
        <w:bottom w:val="none" w:sz="0" w:space="0" w:color="auto"/>
        <w:right w:val="none" w:sz="0" w:space="0" w:color="auto"/>
      </w:divBdr>
    </w:div>
    <w:div w:id="997684327">
      <w:marLeft w:val="640"/>
      <w:marRight w:val="0"/>
      <w:marTop w:val="0"/>
      <w:marBottom w:val="0"/>
      <w:divBdr>
        <w:top w:val="none" w:sz="0" w:space="0" w:color="auto"/>
        <w:left w:val="none" w:sz="0" w:space="0" w:color="auto"/>
        <w:bottom w:val="none" w:sz="0" w:space="0" w:color="auto"/>
        <w:right w:val="none" w:sz="0" w:space="0" w:color="auto"/>
      </w:divBdr>
    </w:div>
    <w:div w:id="998071029">
      <w:marLeft w:val="640"/>
      <w:marRight w:val="0"/>
      <w:marTop w:val="0"/>
      <w:marBottom w:val="0"/>
      <w:divBdr>
        <w:top w:val="none" w:sz="0" w:space="0" w:color="auto"/>
        <w:left w:val="none" w:sz="0" w:space="0" w:color="auto"/>
        <w:bottom w:val="none" w:sz="0" w:space="0" w:color="auto"/>
        <w:right w:val="none" w:sz="0" w:space="0" w:color="auto"/>
      </w:divBdr>
    </w:div>
    <w:div w:id="998463751">
      <w:marLeft w:val="640"/>
      <w:marRight w:val="0"/>
      <w:marTop w:val="0"/>
      <w:marBottom w:val="0"/>
      <w:divBdr>
        <w:top w:val="none" w:sz="0" w:space="0" w:color="auto"/>
        <w:left w:val="none" w:sz="0" w:space="0" w:color="auto"/>
        <w:bottom w:val="none" w:sz="0" w:space="0" w:color="auto"/>
        <w:right w:val="none" w:sz="0" w:space="0" w:color="auto"/>
      </w:divBdr>
    </w:div>
    <w:div w:id="998770671">
      <w:marLeft w:val="640"/>
      <w:marRight w:val="0"/>
      <w:marTop w:val="0"/>
      <w:marBottom w:val="0"/>
      <w:divBdr>
        <w:top w:val="none" w:sz="0" w:space="0" w:color="auto"/>
        <w:left w:val="none" w:sz="0" w:space="0" w:color="auto"/>
        <w:bottom w:val="none" w:sz="0" w:space="0" w:color="auto"/>
        <w:right w:val="none" w:sz="0" w:space="0" w:color="auto"/>
      </w:divBdr>
    </w:div>
    <w:div w:id="1000624049">
      <w:marLeft w:val="640"/>
      <w:marRight w:val="0"/>
      <w:marTop w:val="0"/>
      <w:marBottom w:val="0"/>
      <w:divBdr>
        <w:top w:val="none" w:sz="0" w:space="0" w:color="auto"/>
        <w:left w:val="none" w:sz="0" w:space="0" w:color="auto"/>
        <w:bottom w:val="none" w:sz="0" w:space="0" w:color="auto"/>
        <w:right w:val="none" w:sz="0" w:space="0" w:color="auto"/>
      </w:divBdr>
    </w:div>
    <w:div w:id="1000816400">
      <w:marLeft w:val="640"/>
      <w:marRight w:val="0"/>
      <w:marTop w:val="0"/>
      <w:marBottom w:val="0"/>
      <w:divBdr>
        <w:top w:val="none" w:sz="0" w:space="0" w:color="auto"/>
        <w:left w:val="none" w:sz="0" w:space="0" w:color="auto"/>
        <w:bottom w:val="none" w:sz="0" w:space="0" w:color="auto"/>
        <w:right w:val="none" w:sz="0" w:space="0" w:color="auto"/>
      </w:divBdr>
    </w:div>
    <w:div w:id="1001470098">
      <w:marLeft w:val="640"/>
      <w:marRight w:val="0"/>
      <w:marTop w:val="0"/>
      <w:marBottom w:val="0"/>
      <w:divBdr>
        <w:top w:val="none" w:sz="0" w:space="0" w:color="auto"/>
        <w:left w:val="none" w:sz="0" w:space="0" w:color="auto"/>
        <w:bottom w:val="none" w:sz="0" w:space="0" w:color="auto"/>
        <w:right w:val="none" w:sz="0" w:space="0" w:color="auto"/>
      </w:divBdr>
    </w:div>
    <w:div w:id="1003237167">
      <w:marLeft w:val="640"/>
      <w:marRight w:val="0"/>
      <w:marTop w:val="0"/>
      <w:marBottom w:val="0"/>
      <w:divBdr>
        <w:top w:val="none" w:sz="0" w:space="0" w:color="auto"/>
        <w:left w:val="none" w:sz="0" w:space="0" w:color="auto"/>
        <w:bottom w:val="none" w:sz="0" w:space="0" w:color="auto"/>
        <w:right w:val="none" w:sz="0" w:space="0" w:color="auto"/>
      </w:divBdr>
    </w:div>
    <w:div w:id="1003238846">
      <w:marLeft w:val="640"/>
      <w:marRight w:val="0"/>
      <w:marTop w:val="0"/>
      <w:marBottom w:val="0"/>
      <w:divBdr>
        <w:top w:val="none" w:sz="0" w:space="0" w:color="auto"/>
        <w:left w:val="none" w:sz="0" w:space="0" w:color="auto"/>
        <w:bottom w:val="none" w:sz="0" w:space="0" w:color="auto"/>
        <w:right w:val="none" w:sz="0" w:space="0" w:color="auto"/>
      </w:divBdr>
    </w:div>
    <w:div w:id="1003708334">
      <w:marLeft w:val="640"/>
      <w:marRight w:val="0"/>
      <w:marTop w:val="0"/>
      <w:marBottom w:val="0"/>
      <w:divBdr>
        <w:top w:val="none" w:sz="0" w:space="0" w:color="auto"/>
        <w:left w:val="none" w:sz="0" w:space="0" w:color="auto"/>
        <w:bottom w:val="none" w:sz="0" w:space="0" w:color="auto"/>
        <w:right w:val="none" w:sz="0" w:space="0" w:color="auto"/>
      </w:divBdr>
    </w:div>
    <w:div w:id="1004286464">
      <w:marLeft w:val="640"/>
      <w:marRight w:val="0"/>
      <w:marTop w:val="0"/>
      <w:marBottom w:val="0"/>
      <w:divBdr>
        <w:top w:val="none" w:sz="0" w:space="0" w:color="auto"/>
        <w:left w:val="none" w:sz="0" w:space="0" w:color="auto"/>
        <w:bottom w:val="none" w:sz="0" w:space="0" w:color="auto"/>
        <w:right w:val="none" w:sz="0" w:space="0" w:color="auto"/>
      </w:divBdr>
    </w:div>
    <w:div w:id="1004287895">
      <w:marLeft w:val="640"/>
      <w:marRight w:val="0"/>
      <w:marTop w:val="0"/>
      <w:marBottom w:val="0"/>
      <w:divBdr>
        <w:top w:val="none" w:sz="0" w:space="0" w:color="auto"/>
        <w:left w:val="none" w:sz="0" w:space="0" w:color="auto"/>
        <w:bottom w:val="none" w:sz="0" w:space="0" w:color="auto"/>
        <w:right w:val="none" w:sz="0" w:space="0" w:color="auto"/>
      </w:divBdr>
    </w:div>
    <w:div w:id="1005209003">
      <w:marLeft w:val="640"/>
      <w:marRight w:val="0"/>
      <w:marTop w:val="0"/>
      <w:marBottom w:val="0"/>
      <w:divBdr>
        <w:top w:val="none" w:sz="0" w:space="0" w:color="auto"/>
        <w:left w:val="none" w:sz="0" w:space="0" w:color="auto"/>
        <w:bottom w:val="none" w:sz="0" w:space="0" w:color="auto"/>
        <w:right w:val="none" w:sz="0" w:space="0" w:color="auto"/>
      </w:divBdr>
    </w:div>
    <w:div w:id="1006203209">
      <w:marLeft w:val="640"/>
      <w:marRight w:val="0"/>
      <w:marTop w:val="0"/>
      <w:marBottom w:val="0"/>
      <w:divBdr>
        <w:top w:val="none" w:sz="0" w:space="0" w:color="auto"/>
        <w:left w:val="none" w:sz="0" w:space="0" w:color="auto"/>
        <w:bottom w:val="none" w:sz="0" w:space="0" w:color="auto"/>
        <w:right w:val="none" w:sz="0" w:space="0" w:color="auto"/>
      </w:divBdr>
    </w:div>
    <w:div w:id="1006833317">
      <w:marLeft w:val="640"/>
      <w:marRight w:val="0"/>
      <w:marTop w:val="0"/>
      <w:marBottom w:val="0"/>
      <w:divBdr>
        <w:top w:val="none" w:sz="0" w:space="0" w:color="auto"/>
        <w:left w:val="none" w:sz="0" w:space="0" w:color="auto"/>
        <w:bottom w:val="none" w:sz="0" w:space="0" w:color="auto"/>
        <w:right w:val="none" w:sz="0" w:space="0" w:color="auto"/>
      </w:divBdr>
    </w:div>
    <w:div w:id="1006858550">
      <w:marLeft w:val="640"/>
      <w:marRight w:val="0"/>
      <w:marTop w:val="0"/>
      <w:marBottom w:val="0"/>
      <w:divBdr>
        <w:top w:val="none" w:sz="0" w:space="0" w:color="auto"/>
        <w:left w:val="none" w:sz="0" w:space="0" w:color="auto"/>
        <w:bottom w:val="none" w:sz="0" w:space="0" w:color="auto"/>
        <w:right w:val="none" w:sz="0" w:space="0" w:color="auto"/>
      </w:divBdr>
    </w:div>
    <w:div w:id="1007751679">
      <w:marLeft w:val="640"/>
      <w:marRight w:val="0"/>
      <w:marTop w:val="0"/>
      <w:marBottom w:val="0"/>
      <w:divBdr>
        <w:top w:val="none" w:sz="0" w:space="0" w:color="auto"/>
        <w:left w:val="none" w:sz="0" w:space="0" w:color="auto"/>
        <w:bottom w:val="none" w:sz="0" w:space="0" w:color="auto"/>
        <w:right w:val="none" w:sz="0" w:space="0" w:color="auto"/>
      </w:divBdr>
    </w:div>
    <w:div w:id="1008024478">
      <w:marLeft w:val="640"/>
      <w:marRight w:val="0"/>
      <w:marTop w:val="0"/>
      <w:marBottom w:val="0"/>
      <w:divBdr>
        <w:top w:val="none" w:sz="0" w:space="0" w:color="auto"/>
        <w:left w:val="none" w:sz="0" w:space="0" w:color="auto"/>
        <w:bottom w:val="none" w:sz="0" w:space="0" w:color="auto"/>
        <w:right w:val="none" w:sz="0" w:space="0" w:color="auto"/>
      </w:divBdr>
    </w:div>
    <w:div w:id="1008680194">
      <w:marLeft w:val="640"/>
      <w:marRight w:val="0"/>
      <w:marTop w:val="0"/>
      <w:marBottom w:val="0"/>
      <w:divBdr>
        <w:top w:val="none" w:sz="0" w:space="0" w:color="auto"/>
        <w:left w:val="none" w:sz="0" w:space="0" w:color="auto"/>
        <w:bottom w:val="none" w:sz="0" w:space="0" w:color="auto"/>
        <w:right w:val="none" w:sz="0" w:space="0" w:color="auto"/>
      </w:divBdr>
    </w:div>
    <w:div w:id="1009604594">
      <w:marLeft w:val="640"/>
      <w:marRight w:val="0"/>
      <w:marTop w:val="0"/>
      <w:marBottom w:val="0"/>
      <w:divBdr>
        <w:top w:val="none" w:sz="0" w:space="0" w:color="auto"/>
        <w:left w:val="none" w:sz="0" w:space="0" w:color="auto"/>
        <w:bottom w:val="none" w:sz="0" w:space="0" w:color="auto"/>
        <w:right w:val="none" w:sz="0" w:space="0" w:color="auto"/>
      </w:divBdr>
    </w:div>
    <w:div w:id="1009794860">
      <w:marLeft w:val="640"/>
      <w:marRight w:val="0"/>
      <w:marTop w:val="0"/>
      <w:marBottom w:val="0"/>
      <w:divBdr>
        <w:top w:val="none" w:sz="0" w:space="0" w:color="auto"/>
        <w:left w:val="none" w:sz="0" w:space="0" w:color="auto"/>
        <w:bottom w:val="none" w:sz="0" w:space="0" w:color="auto"/>
        <w:right w:val="none" w:sz="0" w:space="0" w:color="auto"/>
      </w:divBdr>
    </w:div>
    <w:div w:id="1010256751">
      <w:marLeft w:val="640"/>
      <w:marRight w:val="0"/>
      <w:marTop w:val="0"/>
      <w:marBottom w:val="0"/>
      <w:divBdr>
        <w:top w:val="none" w:sz="0" w:space="0" w:color="auto"/>
        <w:left w:val="none" w:sz="0" w:space="0" w:color="auto"/>
        <w:bottom w:val="none" w:sz="0" w:space="0" w:color="auto"/>
        <w:right w:val="none" w:sz="0" w:space="0" w:color="auto"/>
      </w:divBdr>
    </w:div>
    <w:div w:id="1010916244">
      <w:marLeft w:val="640"/>
      <w:marRight w:val="0"/>
      <w:marTop w:val="0"/>
      <w:marBottom w:val="0"/>
      <w:divBdr>
        <w:top w:val="none" w:sz="0" w:space="0" w:color="auto"/>
        <w:left w:val="none" w:sz="0" w:space="0" w:color="auto"/>
        <w:bottom w:val="none" w:sz="0" w:space="0" w:color="auto"/>
        <w:right w:val="none" w:sz="0" w:space="0" w:color="auto"/>
      </w:divBdr>
    </w:div>
    <w:div w:id="1011032675">
      <w:marLeft w:val="640"/>
      <w:marRight w:val="0"/>
      <w:marTop w:val="0"/>
      <w:marBottom w:val="0"/>
      <w:divBdr>
        <w:top w:val="none" w:sz="0" w:space="0" w:color="auto"/>
        <w:left w:val="none" w:sz="0" w:space="0" w:color="auto"/>
        <w:bottom w:val="none" w:sz="0" w:space="0" w:color="auto"/>
        <w:right w:val="none" w:sz="0" w:space="0" w:color="auto"/>
      </w:divBdr>
    </w:div>
    <w:div w:id="1011224875">
      <w:marLeft w:val="640"/>
      <w:marRight w:val="0"/>
      <w:marTop w:val="0"/>
      <w:marBottom w:val="0"/>
      <w:divBdr>
        <w:top w:val="none" w:sz="0" w:space="0" w:color="auto"/>
        <w:left w:val="none" w:sz="0" w:space="0" w:color="auto"/>
        <w:bottom w:val="none" w:sz="0" w:space="0" w:color="auto"/>
        <w:right w:val="none" w:sz="0" w:space="0" w:color="auto"/>
      </w:divBdr>
    </w:div>
    <w:div w:id="1012756550">
      <w:marLeft w:val="640"/>
      <w:marRight w:val="0"/>
      <w:marTop w:val="0"/>
      <w:marBottom w:val="0"/>
      <w:divBdr>
        <w:top w:val="none" w:sz="0" w:space="0" w:color="auto"/>
        <w:left w:val="none" w:sz="0" w:space="0" w:color="auto"/>
        <w:bottom w:val="none" w:sz="0" w:space="0" w:color="auto"/>
        <w:right w:val="none" w:sz="0" w:space="0" w:color="auto"/>
      </w:divBdr>
    </w:div>
    <w:div w:id="1013605570">
      <w:marLeft w:val="640"/>
      <w:marRight w:val="0"/>
      <w:marTop w:val="0"/>
      <w:marBottom w:val="0"/>
      <w:divBdr>
        <w:top w:val="none" w:sz="0" w:space="0" w:color="auto"/>
        <w:left w:val="none" w:sz="0" w:space="0" w:color="auto"/>
        <w:bottom w:val="none" w:sz="0" w:space="0" w:color="auto"/>
        <w:right w:val="none" w:sz="0" w:space="0" w:color="auto"/>
      </w:divBdr>
    </w:div>
    <w:div w:id="1015766598">
      <w:marLeft w:val="640"/>
      <w:marRight w:val="0"/>
      <w:marTop w:val="0"/>
      <w:marBottom w:val="0"/>
      <w:divBdr>
        <w:top w:val="none" w:sz="0" w:space="0" w:color="auto"/>
        <w:left w:val="none" w:sz="0" w:space="0" w:color="auto"/>
        <w:bottom w:val="none" w:sz="0" w:space="0" w:color="auto"/>
        <w:right w:val="none" w:sz="0" w:space="0" w:color="auto"/>
      </w:divBdr>
    </w:div>
    <w:div w:id="1016732857">
      <w:marLeft w:val="640"/>
      <w:marRight w:val="0"/>
      <w:marTop w:val="0"/>
      <w:marBottom w:val="0"/>
      <w:divBdr>
        <w:top w:val="none" w:sz="0" w:space="0" w:color="auto"/>
        <w:left w:val="none" w:sz="0" w:space="0" w:color="auto"/>
        <w:bottom w:val="none" w:sz="0" w:space="0" w:color="auto"/>
        <w:right w:val="none" w:sz="0" w:space="0" w:color="auto"/>
      </w:divBdr>
    </w:div>
    <w:div w:id="1017120945">
      <w:marLeft w:val="640"/>
      <w:marRight w:val="0"/>
      <w:marTop w:val="0"/>
      <w:marBottom w:val="0"/>
      <w:divBdr>
        <w:top w:val="none" w:sz="0" w:space="0" w:color="auto"/>
        <w:left w:val="none" w:sz="0" w:space="0" w:color="auto"/>
        <w:bottom w:val="none" w:sz="0" w:space="0" w:color="auto"/>
        <w:right w:val="none" w:sz="0" w:space="0" w:color="auto"/>
      </w:divBdr>
    </w:div>
    <w:div w:id="1017385041">
      <w:marLeft w:val="640"/>
      <w:marRight w:val="0"/>
      <w:marTop w:val="0"/>
      <w:marBottom w:val="0"/>
      <w:divBdr>
        <w:top w:val="none" w:sz="0" w:space="0" w:color="auto"/>
        <w:left w:val="none" w:sz="0" w:space="0" w:color="auto"/>
        <w:bottom w:val="none" w:sz="0" w:space="0" w:color="auto"/>
        <w:right w:val="none" w:sz="0" w:space="0" w:color="auto"/>
      </w:divBdr>
    </w:div>
    <w:div w:id="1019046834">
      <w:marLeft w:val="640"/>
      <w:marRight w:val="0"/>
      <w:marTop w:val="0"/>
      <w:marBottom w:val="0"/>
      <w:divBdr>
        <w:top w:val="none" w:sz="0" w:space="0" w:color="auto"/>
        <w:left w:val="none" w:sz="0" w:space="0" w:color="auto"/>
        <w:bottom w:val="none" w:sz="0" w:space="0" w:color="auto"/>
        <w:right w:val="none" w:sz="0" w:space="0" w:color="auto"/>
      </w:divBdr>
    </w:div>
    <w:div w:id="1019157010">
      <w:marLeft w:val="640"/>
      <w:marRight w:val="0"/>
      <w:marTop w:val="0"/>
      <w:marBottom w:val="0"/>
      <w:divBdr>
        <w:top w:val="none" w:sz="0" w:space="0" w:color="auto"/>
        <w:left w:val="none" w:sz="0" w:space="0" w:color="auto"/>
        <w:bottom w:val="none" w:sz="0" w:space="0" w:color="auto"/>
        <w:right w:val="none" w:sz="0" w:space="0" w:color="auto"/>
      </w:divBdr>
    </w:div>
    <w:div w:id="1019502535">
      <w:marLeft w:val="640"/>
      <w:marRight w:val="0"/>
      <w:marTop w:val="0"/>
      <w:marBottom w:val="0"/>
      <w:divBdr>
        <w:top w:val="none" w:sz="0" w:space="0" w:color="auto"/>
        <w:left w:val="none" w:sz="0" w:space="0" w:color="auto"/>
        <w:bottom w:val="none" w:sz="0" w:space="0" w:color="auto"/>
        <w:right w:val="none" w:sz="0" w:space="0" w:color="auto"/>
      </w:divBdr>
    </w:div>
    <w:div w:id="1019818663">
      <w:marLeft w:val="640"/>
      <w:marRight w:val="0"/>
      <w:marTop w:val="0"/>
      <w:marBottom w:val="0"/>
      <w:divBdr>
        <w:top w:val="none" w:sz="0" w:space="0" w:color="auto"/>
        <w:left w:val="none" w:sz="0" w:space="0" w:color="auto"/>
        <w:bottom w:val="none" w:sz="0" w:space="0" w:color="auto"/>
        <w:right w:val="none" w:sz="0" w:space="0" w:color="auto"/>
      </w:divBdr>
    </w:div>
    <w:div w:id="1021399189">
      <w:marLeft w:val="640"/>
      <w:marRight w:val="0"/>
      <w:marTop w:val="0"/>
      <w:marBottom w:val="0"/>
      <w:divBdr>
        <w:top w:val="none" w:sz="0" w:space="0" w:color="auto"/>
        <w:left w:val="none" w:sz="0" w:space="0" w:color="auto"/>
        <w:bottom w:val="none" w:sz="0" w:space="0" w:color="auto"/>
        <w:right w:val="none" w:sz="0" w:space="0" w:color="auto"/>
      </w:divBdr>
    </w:div>
    <w:div w:id="1021736281">
      <w:marLeft w:val="640"/>
      <w:marRight w:val="0"/>
      <w:marTop w:val="0"/>
      <w:marBottom w:val="0"/>
      <w:divBdr>
        <w:top w:val="none" w:sz="0" w:space="0" w:color="auto"/>
        <w:left w:val="none" w:sz="0" w:space="0" w:color="auto"/>
        <w:bottom w:val="none" w:sz="0" w:space="0" w:color="auto"/>
        <w:right w:val="none" w:sz="0" w:space="0" w:color="auto"/>
      </w:divBdr>
    </w:div>
    <w:div w:id="1022585744">
      <w:marLeft w:val="640"/>
      <w:marRight w:val="0"/>
      <w:marTop w:val="0"/>
      <w:marBottom w:val="0"/>
      <w:divBdr>
        <w:top w:val="none" w:sz="0" w:space="0" w:color="auto"/>
        <w:left w:val="none" w:sz="0" w:space="0" w:color="auto"/>
        <w:bottom w:val="none" w:sz="0" w:space="0" w:color="auto"/>
        <w:right w:val="none" w:sz="0" w:space="0" w:color="auto"/>
      </w:divBdr>
    </w:div>
    <w:div w:id="1023165728">
      <w:marLeft w:val="640"/>
      <w:marRight w:val="0"/>
      <w:marTop w:val="0"/>
      <w:marBottom w:val="0"/>
      <w:divBdr>
        <w:top w:val="none" w:sz="0" w:space="0" w:color="auto"/>
        <w:left w:val="none" w:sz="0" w:space="0" w:color="auto"/>
        <w:bottom w:val="none" w:sz="0" w:space="0" w:color="auto"/>
        <w:right w:val="none" w:sz="0" w:space="0" w:color="auto"/>
      </w:divBdr>
    </w:div>
    <w:div w:id="1023702030">
      <w:marLeft w:val="640"/>
      <w:marRight w:val="0"/>
      <w:marTop w:val="0"/>
      <w:marBottom w:val="0"/>
      <w:divBdr>
        <w:top w:val="none" w:sz="0" w:space="0" w:color="auto"/>
        <w:left w:val="none" w:sz="0" w:space="0" w:color="auto"/>
        <w:bottom w:val="none" w:sz="0" w:space="0" w:color="auto"/>
        <w:right w:val="none" w:sz="0" w:space="0" w:color="auto"/>
      </w:divBdr>
    </w:div>
    <w:div w:id="1025717109">
      <w:marLeft w:val="640"/>
      <w:marRight w:val="0"/>
      <w:marTop w:val="0"/>
      <w:marBottom w:val="0"/>
      <w:divBdr>
        <w:top w:val="none" w:sz="0" w:space="0" w:color="auto"/>
        <w:left w:val="none" w:sz="0" w:space="0" w:color="auto"/>
        <w:bottom w:val="none" w:sz="0" w:space="0" w:color="auto"/>
        <w:right w:val="none" w:sz="0" w:space="0" w:color="auto"/>
      </w:divBdr>
    </w:div>
    <w:div w:id="1025787264">
      <w:marLeft w:val="640"/>
      <w:marRight w:val="0"/>
      <w:marTop w:val="0"/>
      <w:marBottom w:val="0"/>
      <w:divBdr>
        <w:top w:val="none" w:sz="0" w:space="0" w:color="auto"/>
        <w:left w:val="none" w:sz="0" w:space="0" w:color="auto"/>
        <w:bottom w:val="none" w:sz="0" w:space="0" w:color="auto"/>
        <w:right w:val="none" w:sz="0" w:space="0" w:color="auto"/>
      </w:divBdr>
    </w:div>
    <w:div w:id="1025984391">
      <w:marLeft w:val="640"/>
      <w:marRight w:val="0"/>
      <w:marTop w:val="0"/>
      <w:marBottom w:val="0"/>
      <w:divBdr>
        <w:top w:val="none" w:sz="0" w:space="0" w:color="auto"/>
        <w:left w:val="none" w:sz="0" w:space="0" w:color="auto"/>
        <w:bottom w:val="none" w:sz="0" w:space="0" w:color="auto"/>
        <w:right w:val="none" w:sz="0" w:space="0" w:color="auto"/>
      </w:divBdr>
    </w:div>
    <w:div w:id="1027608866">
      <w:marLeft w:val="640"/>
      <w:marRight w:val="0"/>
      <w:marTop w:val="0"/>
      <w:marBottom w:val="0"/>
      <w:divBdr>
        <w:top w:val="none" w:sz="0" w:space="0" w:color="auto"/>
        <w:left w:val="none" w:sz="0" w:space="0" w:color="auto"/>
        <w:bottom w:val="none" w:sz="0" w:space="0" w:color="auto"/>
        <w:right w:val="none" w:sz="0" w:space="0" w:color="auto"/>
      </w:divBdr>
    </w:div>
    <w:div w:id="1027878205">
      <w:marLeft w:val="640"/>
      <w:marRight w:val="0"/>
      <w:marTop w:val="0"/>
      <w:marBottom w:val="0"/>
      <w:divBdr>
        <w:top w:val="none" w:sz="0" w:space="0" w:color="auto"/>
        <w:left w:val="none" w:sz="0" w:space="0" w:color="auto"/>
        <w:bottom w:val="none" w:sz="0" w:space="0" w:color="auto"/>
        <w:right w:val="none" w:sz="0" w:space="0" w:color="auto"/>
      </w:divBdr>
    </w:div>
    <w:div w:id="1027945899">
      <w:marLeft w:val="640"/>
      <w:marRight w:val="0"/>
      <w:marTop w:val="0"/>
      <w:marBottom w:val="0"/>
      <w:divBdr>
        <w:top w:val="none" w:sz="0" w:space="0" w:color="auto"/>
        <w:left w:val="none" w:sz="0" w:space="0" w:color="auto"/>
        <w:bottom w:val="none" w:sz="0" w:space="0" w:color="auto"/>
        <w:right w:val="none" w:sz="0" w:space="0" w:color="auto"/>
      </w:divBdr>
    </w:div>
    <w:div w:id="1028022403">
      <w:marLeft w:val="640"/>
      <w:marRight w:val="0"/>
      <w:marTop w:val="0"/>
      <w:marBottom w:val="0"/>
      <w:divBdr>
        <w:top w:val="none" w:sz="0" w:space="0" w:color="auto"/>
        <w:left w:val="none" w:sz="0" w:space="0" w:color="auto"/>
        <w:bottom w:val="none" w:sz="0" w:space="0" w:color="auto"/>
        <w:right w:val="none" w:sz="0" w:space="0" w:color="auto"/>
      </w:divBdr>
    </w:div>
    <w:div w:id="1028263609">
      <w:marLeft w:val="640"/>
      <w:marRight w:val="0"/>
      <w:marTop w:val="0"/>
      <w:marBottom w:val="0"/>
      <w:divBdr>
        <w:top w:val="none" w:sz="0" w:space="0" w:color="auto"/>
        <w:left w:val="none" w:sz="0" w:space="0" w:color="auto"/>
        <w:bottom w:val="none" w:sz="0" w:space="0" w:color="auto"/>
        <w:right w:val="none" w:sz="0" w:space="0" w:color="auto"/>
      </w:divBdr>
    </w:div>
    <w:div w:id="1028457348">
      <w:marLeft w:val="640"/>
      <w:marRight w:val="0"/>
      <w:marTop w:val="0"/>
      <w:marBottom w:val="0"/>
      <w:divBdr>
        <w:top w:val="none" w:sz="0" w:space="0" w:color="auto"/>
        <w:left w:val="none" w:sz="0" w:space="0" w:color="auto"/>
        <w:bottom w:val="none" w:sz="0" w:space="0" w:color="auto"/>
        <w:right w:val="none" w:sz="0" w:space="0" w:color="auto"/>
      </w:divBdr>
    </w:div>
    <w:div w:id="1028793008">
      <w:marLeft w:val="640"/>
      <w:marRight w:val="0"/>
      <w:marTop w:val="0"/>
      <w:marBottom w:val="0"/>
      <w:divBdr>
        <w:top w:val="none" w:sz="0" w:space="0" w:color="auto"/>
        <w:left w:val="none" w:sz="0" w:space="0" w:color="auto"/>
        <w:bottom w:val="none" w:sz="0" w:space="0" w:color="auto"/>
        <w:right w:val="none" w:sz="0" w:space="0" w:color="auto"/>
      </w:divBdr>
    </w:div>
    <w:div w:id="1030296961">
      <w:marLeft w:val="640"/>
      <w:marRight w:val="0"/>
      <w:marTop w:val="0"/>
      <w:marBottom w:val="0"/>
      <w:divBdr>
        <w:top w:val="none" w:sz="0" w:space="0" w:color="auto"/>
        <w:left w:val="none" w:sz="0" w:space="0" w:color="auto"/>
        <w:bottom w:val="none" w:sz="0" w:space="0" w:color="auto"/>
        <w:right w:val="none" w:sz="0" w:space="0" w:color="auto"/>
      </w:divBdr>
    </w:div>
    <w:div w:id="1030304811">
      <w:marLeft w:val="640"/>
      <w:marRight w:val="0"/>
      <w:marTop w:val="0"/>
      <w:marBottom w:val="0"/>
      <w:divBdr>
        <w:top w:val="none" w:sz="0" w:space="0" w:color="auto"/>
        <w:left w:val="none" w:sz="0" w:space="0" w:color="auto"/>
        <w:bottom w:val="none" w:sz="0" w:space="0" w:color="auto"/>
        <w:right w:val="none" w:sz="0" w:space="0" w:color="auto"/>
      </w:divBdr>
    </w:div>
    <w:div w:id="1030380836">
      <w:marLeft w:val="640"/>
      <w:marRight w:val="0"/>
      <w:marTop w:val="0"/>
      <w:marBottom w:val="0"/>
      <w:divBdr>
        <w:top w:val="none" w:sz="0" w:space="0" w:color="auto"/>
        <w:left w:val="none" w:sz="0" w:space="0" w:color="auto"/>
        <w:bottom w:val="none" w:sz="0" w:space="0" w:color="auto"/>
        <w:right w:val="none" w:sz="0" w:space="0" w:color="auto"/>
      </w:divBdr>
    </w:div>
    <w:div w:id="1030884139">
      <w:marLeft w:val="640"/>
      <w:marRight w:val="0"/>
      <w:marTop w:val="0"/>
      <w:marBottom w:val="0"/>
      <w:divBdr>
        <w:top w:val="none" w:sz="0" w:space="0" w:color="auto"/>
        <w:left w:val="none" w:sz="0" w:space="0" w:color="auto"/>
        <w:bottom w:val="none" w:sz="0" w:space="0" w:color="auto"/>
        <w:right w:val="none" w:sz="0" w:space="0" w:color="auto"/>
      </w:divBdr>
    </w:div>
    <w:div w:id="1031344821">
      <w:marLeft w:val="640"/>
      <w:marRight w:val="0"/>
      <w:marTop w:val="0"/>
      <w:marBottom w:val="0"/>
      <w:divBdr>
        <w:top w:val="none" w:sz="0" w:space="0" w:color="auto"/>
        <w:left w:val="none" w:sz="0" w:space="0" w:color="auto"/>
        <w:bottom w:val="none" w:sz="0" w:space="0" w:color="auto"/>
        <w:right w:val="none" w:sz="0" w:space="0" w:color="auto"/>
      </w:divBdr>
    </w:div>
    <w:div w:id="1031686421">
      <w:marLeft w:val="640"/>
      <w:marRight w:val="0"/>
      <w:marTop w:val="0"/>
      <w:marBottom w:val="0"/>
      <w:divBdr>
        <w:top w:val="none" w:sz="0" w:space="0" w:color="auto"/>
        <w:left w:val="none" w:sz="0" w:space="0" w:color="auto"/>
        <w:bottom w:val="none" w:sz="0" w:space="0" w:color="auto"/>
        <w:right w:val="none" w:sz="0" w:space="0" w:color="auto"/>
      </w:divBdr>
    </w:div>
    <w:div w:id="1031763744">
      <w:marLeft w:val="640"/>
      <w:marRight w:val="0"/>
      <w:marTop w:val="0"/>
      <w:marBottom w:val="0"/>
      <w:divBdr>
        <w:top w:val="none" w:sz="0" w:space="0" w:color="auto"/>
        <w:left w:val="none" w:sz="0" w:space="0" w:color="auto"/>
        <w:bottom w:val="none" w:sz="0" w:space="0" w:color="auto"/>
        <w:right w:val="none" w:sz="0" w:space="0" w:color="auto"/>
      </w:divBdr>
    </w:div>
    <w:div w:id="1032412884">
      <w:marLeft w:val="640"/>
      <w:marRight w:val="0"/>
      <w:marTop w:val="0"/>
      <w:marBottom w:val="0"/>
      <w:divBdr>
        <w:top w:val="none" w:sz="0" w:space="0" w:color="auto"/>
        <w:left w:val="none" w:sz="0" w:space="0" w:color="auto"/>
        <w:bottom w:val="none" w:sz="0" w:space="0" w:color="auto"/>
        <w:right w:val="none" w:sz="0" w:space="0" w:color="auto"/>
      </w:divBdr>
    </w:div>
    <w:div w:id="1032800528">
      <w:marLeft w:val="640"/>
      <w:marRight w:val="0"/>
      <w:marTop w:val="0"/>
      <w:marBottom w:val="0"/>
      <w:divBdr>
        <w:top w:val="none" w:sz="0" w:space="0" w:color="auto"/>
        <w:left w:val="none" w:sz="0" w:space="0" w:color="auto"/>
        <w:bottom w:val="none" w:sz="0" w:space="0" w:color="auto"/>
        <w:right w:val="none" w:sz="0" w:space="0" w:color="auto"/>
      </w:divBdr>
    </w:div>
    <w:div w:id="1032848914">
      <w:marLeft w:val="640"/>
      <w:marRight w:val="0"/>
      <w:marTop w:val="0"/>
      <w:marBottom w:val="0"/>
      <w:divBdr>
        <w:top w:val="none" w:sz="0" w:space="0" w:color="auto"/>
        <w:left w:val="none" w:sz="0" w:space="0" w:color="auto"/>
        <w:bottom w:val="none" w:sz="0" w:space="0" w:color="auto"/>
        <w:right w:val="none" w:sz="0" w:space="0" w:color="auto"/>
      </w:divBdr>
    </w:div>
    <w:div w:id="1033532347">
      <w:marLeft w:val="640"/>
      <w:marRight w:val="0"/>
      <w:marTop w:val="0"/>
      <w:marBottom w:val="0"/>
      <w:divBdr>
        <w:top w:val="none" w:sz="0" w:space="0" w:color="auto"/>
        <w:left w:val="none" w:sz="0" w:space="0" w:color="auto"/>
        <w:bottom w:val="none" w:sz="0" w:space="0" w:color="auto"/>
        <w:right w:val="none" w:sz="0" w:space="0" w:color="auto"/>
      </w:divBdr>
    </w:div>
    <w:div w:id="1033919331">
      <w:marLeft w:val="640"/>
      <w:marRight w:val="0"/>
      <w:marTop w:val="0"/>
      <w:marBottom w:val="0"/>
      <w:divBdr>
        <w:top w:val="none" w:sz="0" w:space="0" w:color="auto"/>
        <w:left w:val="none" w:sz="0" w:space="0" w:color="auto"/>
        <w:bottom w:val="none" w:sz="0" w:space="0" w:color="auto"/>
        <w:right w:val="none" w:sz="0" w:space="0" w:color="auto"/>
      </w:divBdr>
    </w:div>
    <w:div w:id="1034116853">
      <w:marLeft w:val="640"/>
      <w:marRight w:val="0"/>
      <w:marTop w:val="0"/>
      <w:marBottom w:val="0"/>
      <w:divBdr>
        <w:top w:val="none" w:sz="0" w:space="0" w:color="auto"/>
        <w:left w:val="none" w:sz="0" w:space="0" w:color="auto"/>
        <w:bottom w:val="none" w:sz="0" w:space="0" w:color="auto"/>
        <w:right w:val="none" w:sz="0" w:space="0" w:color="auto"/>
      </w:divBdr>
    </w:div>
    <w:div w:id="1034817068">
      <w:marLeft w:val="640"/>
      <w:marRight w:val="0"/>
      <w:marTop w:val="0"/>
      <w:marBottom w:val="0"/>
      <w:divBdr>
        <w:top w:val="none" w:sz="0" w:space="0" w:color="auto"/>
        <w:left w:val="none" w:sz="0" w:space="0" w:color="auto"/>
        <w:bottom w:val="none" w:sz="0" w:space="0" w:color="auto"/>
        <w:right w:val="none" w:sz="0" w:space="0" w:color="auto"/>
      </w:divBdr>
    </w:div>
    <w:div w:id="1035077016">
      <w:marLeft w:val="640"/>
      <w:marRight w:val="0"/>
      <w:marTop w:val="0"/>
      <w:marBottom w:val="0"/>
      <w:divBdr>
        <w:top w:val="none" w:sz="0" w:space="0" w:color="auto"/>
        <w:left w:val="none" w:sz="0" w:space="0" w:color="auto"/>
        <w:bottom w:val="none" w:sz="0" w:space="0" w:color="auto"/>
        <w:right w:val="none" w:sz="0" w:space="0" w:color="auto"/>
      </w:divBdr>
    </w:div>
    <w:div w:id="1035469924">
      <w:marLeft w:val="640"/>
      <w:marRight w:val="0"/>
      <w:marTop w:val="0"/>
      <w:marBottom w:val="0"/>
      <w:divBdr>
        <w:top w:val="none" w:sz="0" w:space="0" w:color="auto"/>
        <w:left w:val="none" w:sz="0" w:space="0" w:color="auto"/>
        <w:bottom w:val="none" w:sz="0" w:space="0" w:color="auto"/>
        <w:right w:val="none" w:sz="0" w:space="0" w:color="auto"/>
      </w:divBdr>
    </w:div>
    <w:div w:id="1036003660">
      <w:marLeft w:val="640"/>
      <w:marRight w:val="0"/>
      <w:marTop w:val="0"/>
      <w:marBottom w:val="0"/>
      <w:divBdr>
        <w:top w:val="none" w:sz="0" w:space="0" w:color="auto"/>
        <w:left w:val="none" w:sz="0" w:space="0" w:color="auto"/>
        <w:bottom w:val="none" w:sz="0" w:space="0" w:color="auto"/>
        <w:right w:val="none" w:sz="0" w:space="0" w:color="auto"/>
      </w:divBdr>
    </w:div>
    <w:div w:id="1037899882">
      <w:marLeft w:val="640"/>
      <w:marRight w:val="0"/>
      <w:marTop w:val="0"/>
      <w:marBottom w:val="0"/>
      <w:divBdr>
        <w:top w:val="none" w:sz="0" w:space="0" w:color="auto"/>
        <w:left w:val="none" w:sz="0" w:space="0" w:color="auto"/>
        <w:bottom w:val="none" w:sz="0" w:space="0" w:color="auto"/>
        <w:right w:val="none" w:sz="0" w:space="0" w:color="auto"/>
      </w:divBdr>
    </w:div>
    <w:div w:id="1038700310">
      <w:marLeft w:val="640"/>
      <w:marRight w:val="0"/>
      <w:marTop w:val="0"/>
      <w:marBottom w:val="0"/>
      <w:divBdr>
        <w:top w:val="none" w:sz="0" w:space="0" w:color="auto"/>
        <w:left w:val="none" w:sz="0" w:space="0" w:color="auto"/>
        <w:bottom w:val="none" w:sz="0" w:space="0" w:color="auto"/>
        <w:right w:val="none" w:sz="0" w:space="0" w:color="auto"/>
      </w:divBdr>
    </w:div>
    <w:div w:id="1039234850">
      <w:marLeft w:val="640"/>
      <w:marRight w:val="0"/>
      <w:marTop w:val="0"/>
      <w:marBottom w:val="0"/>
      <w:divBdr>
        <w:top w:val="none" w:sz="0" w:space="0" w:color="auto"/>
        <w:left w:val="none" w:sz="0" w:space="0" w:color="auto"/>
        <w:bottom w:val="none" w:sz="0" w:space="0" w:color="auto"/>
        <w:right w:val="none" w:sz="0" w:space="0" w:color="auto"/>
      </w:divBdr>
    </w:div>
    <w:div w:id="1040394409">
      <w:marLeft w:val="640"/>
      <w:marRight w:val="0"/>
      <w:marTop w:val="0"/>
      <w:marBottom w:val="0"/>
      <w:divBdr>
        <w:top w:val="none" w:sz="0" w:space="0" w:color="auto"/>
        <w:left w:val="none" w:sz="0" w:space="0" w:color="auto"/>
        <w:bottom w:val="none" w:sz="0" w:space="0" w:color="auto"/>
        <w:right w:val="none" w:sz="0" w:space="0" w:color="auto"/>
      </w:divBdr>
    </w:div>
    <w:div w:id="1040858034">
      <w:marLeft w:val="640"/>
      <w:marRight w:val="0"/>
      <w:marTop w:val="0"/>
      <w:marBottom w:val="0"/>
      <w:divBdr>
        <w:top w:val="none" w:sz="0" w:space="0" w:color="auto"/>
        <w:left w:val="none" w:sz="0" w:space="0" w:color="auto"/>
        <w:bottom w:val="none" w:sz="0" w:space="0" w:color="auto"/>
        <w:right w:val="none" w:sz="0" w:space="0" w:color="auto"/>
      </w:divBdr>
    </w:div>
    <w:div w:id="1041171966">
      <w:marLeft w:val="640"/>
      <w:marRight w:val="0"/>
      <w:marTop w:val="0"/>
      <w:marBottom w:val="0"/>
      <w:divBdr>
        <w:top w:val="none" w:sz="0" w:space="0" w:color="auto"/>
        <w:left w:val="none" w:sz="0" w:space="0" w:color="auto"/>
        <w:bottom w:val="none" w:sz="0" w:space="0" w:color="auto"/>
        <w:right w:val="none" w:sz="0" w:space="0" w:color="auto"/>
      </w:divBdr>
    </w:div>
    <w:div w:id="1041519171">
      <w:marLeft w:val="640"/>
      <w:marRight w:val="0"/>
      <w:marTop w:val="0"/>
      <w:marBottom w:val="0"/>
      <w:divBdr>
        <w:top w:val="none" w:sz="0" w:space="0" w:color="auto"/>
        <w:left w:val="none" w:sz="0" w:space="0" w:color="auto"/>
        <w:bottom w:val="none" w:sz="0" w:space="0" w:color="auto"/>
        <w:right w:val="none" w:sz="0" w:space="0" w:color="auto"/>
      </w:divBdr>
    </w:div>
    <w:div w:id="1041631249">
      <w:marLeft w:val="640"/>
      <w:marRight w:val="0"/>
      <w:marTop w:val="0"/>
      <w:marBottom w:val="0"/>
      <w:divBdr>
        <w:top w:val="none" w:sz="0" w:space="0" w:color="auto"/>
        <w:left w:val="none" w:sz="0" w:space="0" w:color="auto"/>
        <w:bottom w:val="none" w:sz="0" w:space="0" w:color="auto"/>
        <w:right w:val="none" w:sz="0" w:space="0" w:color="auto"/>
      </w:divBdr>
    </w:div>
    <w:div w:id="1042286249">
      <w:marLeft w:val="640"/>
      <w:marRight w:val="0"/>
      <w:marTop w:val="0"/>
      <w:marBottom w:val="0"/>
      <w:divBdr>
        <w:top w:val="none" w:sz="0" w:space="0" w:color="auto"/>
        <w:left w:val="none" w:sz="0" w:space="0" w:color="auto"/>
        <w:bottom w:val="none" w:sz="0" w:space="0" w:color="auto"/>
        <w:right w:val="none" w:sz="0" w:space="0" w:color="auto"/>
      </w:divBdr>
    </w:div>
    <w:div w:id="1044408891">
      <w:marLeft w:val="640"/>
      <w:marRight w:val="0"/>
      <w:marTop w:val="0"/>
      <w:marBottom w:val="0"/>
      <w:divBdr>
        <w:top w:val="none" w:sz="0" w:space="0" w:color="auto"/>
        <w:left w:val="none" w:sz="0" w:space="0" w:color="auto"/>
        <w:bottom w:val="none" w:sz="0" w:space="0" w:color="auto"/>
        <w:right w:val="none" w:sz="0" w:space="0" w:color="auto"/>
      </w:divBdr>
    </w:div>
    <w:div w:id="1045372537">
      <w:marLeft w:val="640"/>
      <w:marRight w:val="0"/>
      <w:marTop w:val="0"/>
      <w:marBottom w:val="0"/>
      <w:divBdr>
        <w:top w:val="none" w:sz="0" w:space="0" w:color="auto"/>
        <w:left w:val="none" w:sz="0" w:space="0" w:color="auto"/>
        <w:bottom w:val="none" w:sz="0" w:space="0" w:color="auto"/>
        <w:right w:val="none" w:sz="0" w:space="0" w:color="auto"/>
      </w:divBdr>
    </w:div>
    <w:div w:id="1045716588">
      <w:marLeft w:val="640"/>
      <w:marRight w:val="0"/>
      <w:marTop w:val="0"/>
      <w:marBottom w:val="0"/>
      <w:divBdr>
        <w:top w:val="none" w:sz="0" w:space="0" w:color="auto"/>
        <w:left w:val="none" w:sz="0" w:space="0" w:color="auto"/>
        <w:bottom w:val="none" w:sz="0" w:space="0" w:color="auto"/>
        <w:right w:val="none" w:sz="0" w:space="0" w:color="auto"/>
      </w:divBdr>
    </w:div>
    <w:div w:id="1046099709">
      <w:marLeft w:val="640"/>
      <w:marRight w:val="0"/>
      <w:marTop w:val="0"/>
      <w:marBottom w:val="0"/>
      <w:divBdr>
        <w:top w:val="none" w:sz="0" w:space="0" w:color="auto"/>
        <w:left w:val="none" w:sz="0" w:space="0" w:color="auto"/>
        <w:bottom w:val="none" w:sz="0" w:space="0" w:color="auto"/>
        <w:right w:val="none" w:sz="0" w:space="0" w:color="auto"/>
      </w:divBdr>
    </w:div>
    <w:div w:id="1046295537">
      <w:marLeft w:val="640"/>
      <w:marRight w:val="0"/>
      <w:marTop w:val="0"/>
      <w:marBottom w:val="0"/>
      <w:divBdr>
        <w:top w:val="none" w:sz="0" w:space="0" w:color="auto"/>
        <w:left w:val="none" w:sz="0" w:space="0" w:color="auto"/>
        <w:bottom w:val="none" w:sz="0" w:space="0" w:color="auto"/>
        <w:right w:val="none" w:sz="0" w:space="0" w:color="auto"/>
      </w:divBdr>
    </w:div>
    <w:div w:id="1046758670">
      <w:marLeft w:val="640"/>
      <w:marRight w:val="0"/>
      <w:marTop w:val="0"/>
      <w:marBottom w:val="0"/>
      <w:divBdr>
        <w:top w:val="none" w:sz="0" w:space="0" w:color="auto"/>
        <w:left w:val="none" w:sz="0" w:space="0" w:color="auto"/>
        <w:bottom w:val="none" w:sz="0" w:space="0" w:color="auto"/>
        <w:right w:val="none" w:sz="0" w:space="0" w:color="auto"/>
      </w:divBdr>
    </w:div>
    <w:div w:id="1046880591">
      <w:marLeft w:val="640"/>
      <w:marRight w:val="0"/>
      <w:marTop w:val="0"/>
      <w:marBottom w:val="0"/>
      <w:divBdr>
        <w:top w:val="none" w:sz="0" w:space="0" w:color="auto"/>
        <w:left w:val="none" w:sz="0" w:space="0" w:color="auto"/>
        <w:bottom w:val="none" w:sz="0" w:space="0" w:color="auto"/>
        <w:right w:val="none" w:sz="0" w:space="0" w:color="auto"/>
      </w:divBdr>
    </w:div>
    <w:div w:id="1046953239">
      <w:marLeft w:val="640"/>
      <w:marRight w:val="0"/>
      <w:marTop w:val="0"/>
      <w:marBottom w:val="0"/>
      <w:divBdr>
        <w:top w:val="none" w:sz="0" w:space="0" w:color="auto"/>
        <w:left w:val="none" w:sz="0" w:space="0" w:color="auto"/>
        <w:bottom w:val="none" w:sz="0" w:space="0" w:color="auto"/>
        <w:right w:val="none" w:sz="0" w:space="0" w:color="auto"/>
      </w:divBdr>
    </w:div>
    <w:div w:id="1047022038">
      <w:marLeft w:val="640"/>
      <w:marRight w:val="0"/>
      <w:marTop w:val="0"/>
      <w:marBottom w:val="0"/>
      <w:divBdr>
        <w:top w:val="none" w:sz="0" w:space="0" w:color="auto"/>
        <w:left w:val="none" w:sz="0" w:space="0" w:color="auto"/>
        <w:bottom w:val="none" w:sz="0" w:space="0" w:color="auto"/>
        <w:right w:val="none" w:sz="0" w:space="0" w:color="auto"/>
      </w:divBdr>
    </w:div>
    <w:div w:id="1047292947">
      <w:marLeft w:val="640"/>
      <w:marRight w:val="0"/>
      <w:marTop w:val="0"/>
      <w:marBottom w:val="0"/>
      <w:divBdr>
        <w:top w:val="none" w:sz="0" w:space="0" w:color="auto"/>
        <w:left w:val="none" w:sz="0" w:space="0" w:color="auto"/>
        <w:bottom w:val="none" w:sz="0" w:space="0" w:color="auto"/>
        <w:right w:val="none" w:sz="0" w:space="0" w:color="auto"/>
      </w:divBdr>
    </w:div>
    <w:div w:id="1048650283">
      <w:marLeft w:val="640"/>
      <w:marRight w:val="0"/>
      <w:marTop w:val="0"/>
      <w:marBottom w:val="0"/>
      <w:divBdr>
        <w:top w:val="none" w:sz="0" w:space="0" w:color="auto"/>
        <w:left w:val="none" w:sz="0" w:space="0" w:color="auto"/>
        <w:bottom w:val="none" w:sz="0" w:space="0" w:color="auto"/>
        <w:right w:val="none" w:sz="0" w:space="0" w:color="auto"/>
      </w:divBdr>
    </w:div>
    <w:div w:id="1048795685">
      <w:marLeft w:val="640"/>
      <w:marRight w:val="0"/>
      <w:marTop w:val="0"/>
      <w:marBottom w:val="0"/>
      <w:divBdr>
        <w:top w:val="none" w:sz="0" w:space="0" w:color="auto"/>
        <w:left w:val="none" w:sz="0" w:space="0" w:color="auto"/>
        <w:bottom w:val="none" w:sz="0" w:space="0" w:color="auto"/>
        <w:right w:val="none" w:sz="0" w:space="0" w:color="auto"/>
      </w:divBdr>
    </w:div>
    <w:div w:id="1048997429">
      <w:marLeft w:val="640"/>
      <w:marRight w:val="0"/>
      <w:marTop w:val="0"/>
      <w:marBottom w:val="0"/>
      <w:divBdr>
        <w:top w:val="none" w:sz="0" w:space="0" w:color="auto"/>
        <w:left w:val="none" w:sz="0" w:space="0" w:color="auto"/>
        <w:bottom w:val="none" w:sz="0" w:space="0" w:color="auto"/>
        <w:right w:val="none" w:sz="0" w:space="0" w:color="auto"/>
      </w:divBdr>
    </w:div>
    <w:div w:id="1049720094">
      <w:marLeft w:val="640"/>
      <w:marRight w:val="0"/>
      <w:marTop w:val="0"/>
      <w:marBottom w:val="0"/>
      <w:divBdr>
        <w:top w:val="none" w:sz="0" w:space="0" w:color="auto"/>
        <w:left w:val="none" w:sz="0" w:space="0" w:color="auto"/>
        <w:bottom w:val="none" w:sz="0" w:space="0" w:color="auto"/>
        <w:right w:val="none" w:sz="0" w:space="0" w:color="auto"/>
      </w:divBdr>
    </w:div>
    <w:div w:id="1050155606">
      <w:marLeft w:val="640"/>
      <w:marRight w:val="0"/>
      <w:marTop w:val="0"/>
      <w:marBottom w:val="0"/>
      <w:divBdr>
        <w:top w:val="none" w:sz="0" w:space="0" w:color="auto"/>
        <w:left w:val="none" w:sz="0" w:space="0" w:color="auto"/>
        <w:bottom w:val="none" w:sz="0" w:space="0" w:color="auto"/>
        <w:right w:val="none" w:sz="0" w:space="0" w:color="auto"/>
      </w:divBdr>
    </w:div>
    <w:div w:id="1050423192">
      <w:marLeft w:val="640"/>
      <w:marRight w:val="0"/>
      <w:marTop w:val="0"/>
      <w:marBottom w:val="0"/>
      <w:divBdr>
        <w:top w:val="none" w:sz="0" w:space="0" w:color="auto"/>
        <w:left w:val="none" w:sz="0" w:space="0" w:color="auto"/>
        <w:bottom w:val="none" w:sz="0" w:space="0" w:color="auto"/>
        <w:right w:val="none" w:sz="0" w:space="0" w:color="auto"/>
      </w:divBdr>
    </w:div>
    <w:div w:id="1050569682">
      <w:marLeft w:val="640"/>
      <w:marRight w:val="0"/>
      <w:marTop w:val="0"/>
      <w:marBottom w:val="0"/>
      <w:divBdr>
        <w:top w:val="none" w:sz="0" w:space="0" w:color="auto"/>
        <w:left w:val="none" w:sz="0" w:space="0" w:color="auto"/>
        <w:bottom w:val="none" w:sz="0" w:space="0" w:color="auto"/>
        <w:right w:val="none" w:sz="0" w:space="0" w:color="auto"/>
      </w:divBdr>
    </w:div>
    <w:div w:id="1051341389">
      <w:marLeft w:val="640"/>
      <w:marRight w:val="0"/>
      <w:marTop w:val="0"/>
      <w:marBottom w:val="0"/>
      <w:divBdr>
        <w:top w:val="none" w:sz="0" w:space="0" w:color="auto"/>
        <w:left w:val="none" w:sz="0" w:space="0" w:color="auto"/>
        <w:bottom w:val="none" w:sz="0" w:space="0" w:color="auto"/>
        <w:right w:val="none" w:sz="0" w:space="0" w:color="auto"/>
      </w:divBdr>
    </w:div>
    <w:div w:id="1052775451">
      <w:marLeft w:val="640"/>
      <w:marRight w:val="0"/>
      <w:marTop w:val="0"/>
      <w:marBottom w:val="0"/>
      <w:divBdr>
        <w:top w:val="none" w:sz="0" w:space="0" w:color="auto"/>
        <w:left w:val="none" w:sz="0" w:space="0" w:color="auto"/>
        <w:bottom w:val="none" w:sz="0" w:space="0" w:color="auto"/>
        <w:right w:val="none" w:sz="0" w:space="0" w:color="auto"/>
      </w:divBdr>
    </w:div>
    <w:div w:id="1052967310">
      <w:marLeft w:val="640"/>
      <w:marRight w:val="0"/>
      <w:marTop w:val="0"/>
      <w:marBottom w:val="0"/>
      <w:divBdr>
        <w:top w:val="none" w:sz="0" w:space="0" w:color="auto"/>
        <w:left w:val="none" w:sz="0" w:space="0" w:color="auto"/>
        <w:bottom w:val="none" w:sz="0" w:space="0" w:color="auto"/>
        <w:right w:val="none" w:sz="0" w:space="0" w:color="auto"/>
      </w:divBdr>
    </w:div>
    <w:div w:id="1053046723">
      <w:marLeft w:val="640"/>
      <w:marRight w:val="0"/>
      <w:marTop w:val="0"/>
      <w:marBottom w:val="0"/>
      <w:divBdr>
        <w:top w:val="none" w:sz="0" w:space="0" w:color="auto"/>
        <w:left w:val="none" w:sz="0" w:space="0" w:color="auto"/>
        <w:bottom w:val="none" w:sz="0" w:space="0" w:color="auto"/>
        <w:right w:val="none" w:sz="0" w:space="0" w:color="auto"/>
      </w:divBdr>
    </w:div>
    <w:div w:id="1053624586">
      <w:marLeft w:val="640"/>
      <w:marRight w:val="0"/>
      <w:marTop w:val="0"/>
      <w:marBottom w:val="0"/>
      <w:divBdr>
        <w:top w:val="none" w:sz="0" w:space="0" w:color="auto"/>
        <w:left w:val="none" w:sz="0" w:space="0" w:color="auto"/>
        <w:bottom w:val="none" w:sz="0" w:space="0" w:color="auto"/>
        <w:right w:val="none" w:sz="0" w:space="0" w:color="auto"/>
      </w:divBdr>
    </w:div>
    <w:div w:id="1054039310">
      <w:marLeft w:val="640"/>
      <w:marRight w:val="0"/>
      <w:marTop w:val="0"/>
      <w:marBottom w:val="0"/>
      <w:divBdr>
        <w:top w:val="none" w:sz="0" w:space="0" w:color="auto"/>
        <w:left w:val="none" w:sz="0" w:space="0" w:color="auto"/>
        <w:bottom w:val="none" w:sz="0" w:space="0" w:color="auto"/>
        <w:right w:val="none" w:sz="0" w:space="0" w:color="auto"/>
      </w:divBdr>
    </w:div>
    <w:div w:id="1054544901">
      <w:marLeft w:val="640"/>
      <w:marRight w:val="0"/>
      <w:marTop w:val="0"/>
      <w:marBottom w:val="0"/>
      <w:divBdr>
        <w:top w:val="none" w:sz="0" w:space="0" w:color="auto"/>
        <w:left w:val="none" w:sz="0" w:space="0" w:color="auto"/>
        <w:bottom w:val="none" w:sz="0" w:space="0" w:color="auto"/>
        <w:right w:val="none" w:sz="0" w:space="0" w:color="auto"/>
      </w:divBdr>
    </w:div>
    <w:div w:id="1056247668">
      <w:marLeft w:val="640"/>
      <w:marRight w:val="0"/>
      <w:marTop w:val="0"/>
      <w:marBottom w:val="0"/>
      <w:divBdr>
        <w:top w:val="none" w:sz="0" w:space="0" w:color="auto"/>
        <w:left w:val="none" w:sz="0" w:space="0" w:color="auto"/>
        <w:bottom w:val="none" w:sz="0" w:space="0" w:color="auto"/>
        <w:right w:val="none" w:sz="0" w:space="0" w:color="auto"/>
      </w:divBdr>
    </w:div>
    <w:div w:id="1056977720">
      <w:marLeft w:val="640"/>
      <w:marRight w:val="0"/>
      <w:marTop w:val="0"/>
      <w:marBottom w:val="0"/>
      <w:divBdr>
        <w:top w:val="none" w:sz="0" w:space="0" w:color="auto"/>
        <w:left w:val="none" w:sz="0" w:space="0" w:color="auto"/>
        <w:bottom w:val="none" w:sz="0" w:space="0" w:color="auto"/>
        <w:right w:val="none" w:sz="0" w:space="0" w:color="auto"/>
      </w:divBdr>
    </w:div>
    <w:div w:id="1057507494">
      <w:marLeft w:val="640"/>
      <w:marRight w:val="0"/>
      <w:marTop w:val="0"/>
      <w:marBottom w:val="0"/>
      <w:divBdr>
        <w:top w:val="none" w:sz="0" w:space="0" w:color="auto"/>
        <w:left w:val="none" w:sz="0" w:space="0" w:color="auto"/>
        <w:bottom w:val="none" w:sz="0" w:space="0" w:color="auto"/>
        <w:right w:val="none" w:sz="0" w:space="0" w:color="auto"/>
      </w:divBdr>
    </w:div>
    <w:div w:id="1057624268">
      <w:marLeft w:val="640"/>
      <w:marRight w:val="0"/>
      <w:marTop w:val="0"/>
      <w:marBottom w:val="0"/>
      <w:divBdr>
        <w:top w:val="none" w:sz="0" w:space="0" w:color="auto"/>
        <w:left w:val="none" w:sz="0" w:space="0" w:color="auto"/>
        <w:bottom w:val="none" w:sz="0" w:space="0" w:color="auto"/>
        <w:right w:val="none" w:sz="0" w:space="0" w:color="auto"/>
      </w:divBdr>
    </w:div>
    <w:div w:id="1058043904">
      <w:marLeft w:val="640"/>
      <w:marRight w:val="0"/>
      <w:marTop w:val="0"/>
      <w:marBottom w:val="0"/>
      <w:divBdr>
        <w:top w:val="none" w:sz="0" w:space="0" w:color="auto"/>
        <w:left w:val="none" w:sz="0" w:space="0" w:color="auto"/>
        <w:bottom w:val="none" w:sz="0" w:space="0" w:color="auto"/>
        <w:right w:val="none" w:sz="0" w:space="0" w:color="auto"/>
      </w:divBdr>
    </w:div>
    <w:div w:id="1058282892">
      <w:marLeft w:val="640"/>
      <w:marRight w:val="0"/>
      <w:marTop w:val="0"/>
      <w:marBottom w:val="0"/>
      <w:divBdr>
        <w:top w:val="none" w:sz="0" w:space="0" w:color="auto"/>
        <w:left w:val="none" w:sz="0" w:space="0" w:color="auto"/>
        <w:bottom w:val="none" w:sz="0" w:space="0" w:color="auto"/>
        <w:right w:val="none" w:sz="0" w:space="0" w:color="auto"/>
      </w:divBdr>
    </w:div>
    <w:div w:id="1058746610">
      <w:marLeft w:val="640"/>
      <w:marRight w:val="0"/>
      <w:marTop w:val="0"/>
      <w:marBottom w:val="0"/>
      <w:divBdr>
        <w:top w:val="none" w:sz="0" w:space="0" w:color="auto"/>
        <w:left w:val="none" w:sz="0" w:space="0" w:color="auto"/>
        <w:bottom w:val="none" w:sz="0" w:space="0" w:color="auto"/>
        <w:right w:val="none" w:sz="0" w:space="0" w:color="auto"/>
      </w:divBdr>
    </w:div>
    <w:div w:id="1059935056">
      <w:marLeft w:val="640"/>
      <w:marRight w:val="0"/>
      <w:marTop w:val="0"/>
      <w:marBottom w:val="0"/>
      <w:divBdr>
        <w:top w:val="none" w:sz="0" w:space="0" w:color="auto"/>
        <w:left w:val="none" w:sz="0" w:space="0" w:color="auto"/>
        <w:bottom w:val="none" w:sz="0" w:space="0" w:color="auto"/>
        <w:right w:val="none" w:sz="0" w:space="0" w:color="auto"/>
      </w:divBdr>
    </w:div>
    <w:div w:id="1060179535">
      <w:marLeft w:val="640"/>
      <w:marRight w:val="0"/>
      <w:marTop w:val="0"/>
      <w:marBottom w:val="0"/>
      <w:divBdr>
        <w:top w:val="none" w:sz="0" w:space="0" w:color="auto"/>
        <w:left w:val="none" w:sz="0" w:space="0" w:color="auto"/>
        <w:bottom w:val="none" w:sz="0" w:space="0" w:color="auto"/>
        <w:right w:val="none" w:sz="0" w:space="0" w:color="auto"/>
      </w:divBdr>
    </w:div>
    <w:div w:id="1060523639">
      <w:marLeft w:val="640"/>
      <w:marRight w:val="0"/>
      <w:marTop w:val="0"/>
      <w:marBottom w:val="0"/>
      <w:divBdr>
        <w:top w:val="none" w:sz="0" w:space="0" w:color="auto"/>
        <w:left w:val="none" w:sz="0" w:space="0" w:color="auto"/>
        <w:bottom w:val="none" w:sz="0" w:space="0" w:color="auto"/>
        <w:right w:val="none" w:sz="0" w:space="0" w:color="auto"/>
      </w:divBdr>
    </w:div>
    <w:div w:id="1061438404">
      <w:marLeft w:val="640"/>
      <w:marRight w:val="0"/>
      <w:marTop w:val="0"/>
      <w:marBottom w:val="0"/>
      <w:divBdr>
        <w:top w:val="none" w:sz="0" w:space="0" w:color="auto"/>
        <w:left w:val="none" w:sz="0" w:space="0" w:color="auto"/>
        <w:bottom w:val="none" w:sz="0" w:space="0" w:color="auto"/>
        <w:right w:val="none" w:sz="0" w:space="0" w:color="auto"/>
      </w:divBdr>
    </w:div>
    <w:div w:id="1061559453">
      <w:marLeft w:val="640"/>
      <w:marRight w:val="0"/>
      <w:marTop w:val="0"/>
      <w:marBottom w:val="0"/>
      <w:divBdr>
        <w:top w:val="none" w:sz="0" w:space="0" w:color="auto"/>
        <w:left w:val="none" w:sz="0" w:space="0" w:color="auto"/>
        <w:bottom w:val="none" w:sz="0" w:space="0" w:color="auto"/>
        <w:right w:val="none" w:sz="0" w:space="0" w:color="auto"/>
      </w:divBdr>
    </w:div>
    <w:div w:id="1061830789">
      <w:marLeft w:val="640"/>
      <w:marRight w:val="0"/>
      <w:marTop w:val="0"/>
      <w:marBottom w:val="0"/>
      <w:divBdr>
        <w:top w:val="none" w:sz="0" w:space="0" w:color="auto"/>
        <w:left w:val="none" w:sz="0" w:space="0" w:color="auto"/>
        <w:bottom w:val="none" w:sz="0" w:space="0" w:color="auto"/>
        <w:right w:val="none" w:sz="0" w:space="0" w:color="auto"/>
      </w:divBdr>
    </w:div>
    <w:div w:id="1062171317">
      <w:marLeft w:val="640"/>
      <w:marRight w:val="0"/>
      <w:marTop w:val="0"/>
      <w:marBottom w:val="0"/>
      <w:divBdr>
        <w:top w:val="none" w:sz="0" w:space="0" w:color="auto"/>
        <w:left w:val="none" w:sz="0" w:space="0" w:color="auto"/>
        <w:bottom w:val="none" w:sz="0" w:space="0" w:color="auto"/>
        <w:right w:val="none" w:sz="0" w:space="0" w:color="auto"/>
      </w:divBdr>
    </w:div>
    <w:div w:id="1062481354">
      <w:marLeft w:val="640"/>
      <w:marRight w:val="0"/>
      <w:marTop w:val="0"/>
      <w:marBottom w:val="0"/>
      <w:divBdr>
        <w:top w:val="none" w:sz="0" w:space="0" w:color="auto"/>
        <w:left w:val="none" w:sz="0" w:space="0" w:color="auto"/>
        <w:bottom w:val="none" w:sz="0" w:space="0" w:color="auto"/>
        <w:right w:val="none" w:sz="0" w:space="0" w:color="auto"/>
      </w:divBdr>
    </w:div>
    <w:div w:id="1062875070">
      <w:marLeft w:val="640"/>
      <w:marRight w:val="0"/>
      <w:marTop w:val="0"/>
      <w:marBottom w:val="0"/>
      <w:divBdr>
        <w:top w:val="none" w:sz="0" w:space="0" w:color="auto"/>
        <w:left w:val="none" w:sz="0" w:space="0" w:color="auto"/>
        <w:bottom w:val="none" w:sz="0" w:space="0" w:color="auto"/>
        <w:right w:val="none" w:sz="0" w:space="0" w:color="auto"/>
      </w:divBdr>
    </w:div>
    <w:div w:id="1062947859">
      <w:marLeft w:val="640"/>
      <w:marRight w:val="0"/>
      <w:marTop w:val="0"/>
      <w:marBottom w:val="0"/>
      <w:divBdr>
        <w:top w:val="none" w:sz="0" w:space="0" w:color="auto"/>
        <w:left w:val="none" w:sz="0" w:space="0" w:color="auto"/>
        <w:bottom w:val="none" w:sz="0" w:space="0" w:color="auto"/>
        <w:right w:val="none" w:sz="0" w:space="0" w:color="auto"/>
      </w:divBdr>
    </w:div>
    <w:div w:id="1063479473">
      <w:marLeft w:val="640"/>
      <w:marRight w:val="0"/>
      <w:marTop w:val="0"/>
      <w:marBottom w:val="0"/>
      <w:divBdr>
        <w:top w:val="none" w:sz="0" w:space="0" w:color="auto"/>
        <w:left w:val="none" w:sz="0" w:space="0" w:color="auto"/>
        <w:bottom w:val="none" w:sz="0" w:space="0" w:color="auto"/>
        <w:right w:val="none" w:sz="0" w:space="0" w:color="auto"/>
      </w:divBdr>
    </w:div>
    <w:div w:id="1063605787">
      <w:marLeft w:val="640"/>
      <w:marRight w:val="0"/>
      <w:marTop w:val="0"/>
      <w:marBottom w:val="0"/>
      <w:divBdr>
        <w:top w:val="none" w:sz="0" w:space="0" w:color="auto"/>
        <w:left w:val="none" w:sz="0" w:space="0" w:color="auto"/>
        <w:bottom w:val="none" w:sz="0" w:space="0" w:color="auto"/>
        <w:right w:val="none" w:sz="0" w:space="0" w:color="auto"/>
      </w:divBdr>
    </w:div>
    <w:div w:id="1063915822">
      <w:marLeft w:val="640"/>
      <w:marRight w:val="0"/>
      <w:marTop w:val="0"/>
      <w:marBottom w:val="0"/>
      <w:divBdr>
        <w:top w:val="none" w:sz="0" w:space="0" w:color="auto"/>
        <w:left w:val="none" w:sz="0" w:space="0" w:color="auto"/>
        <w:bottom w:val="none" w:sz="0" w:space="0" w:color="auto"/>
        <w:right w:val="none" w:sz="0" w:space="0" w:color="auto"/>
      </w:divBdr>
    </w:div>
    <w:div w:id="1063916695">
      <w:marLeft w:val="640"/>
      <w:marRight w:val="0"/>
      <w:marTop w:val="0"/>
      <w:marBottom w:val="0"/>
      <w:divBdr>
        <w:top w:val="none" w:sz="0" w:space="0" w:color="auto"/>
        <w:left w:val="none" w:sz="0" w:space="0" w:color="auto"/>
        <w:bottom w:val="none" w:sz="0" w:space="0" w:color="auto"/>
        <w:right w:val="none" w:sz="0" w:space="0" w:color="auto"/>
      </w:divBdr>
    </w:div>
    <w:div w:id="1064717099">
      <w:marLeft w:val="640"/>
      <w:marRight w:val="0"/>
      <w:marTop w:val="0"/>
      <w:marBottom w:val="0"/>
      <w:divBdr>
        <w:top w:val="none" w:sz="0" w:space="0" w:color="auto"/>
        <w:left w:val="none" w:sz="0" w:space="0" w:color="auto"/>
        <w:bottom w:val="none" w:sz="0" w:space="0" w:color="auto"/>
        <w:right w:val="none" w:sz="0" w:space="0" w:color="auto"/>
      </w:divBdr>
    </w:div>
    <w:div w:id="1064790339">
      <w:marLeft w:val="640"/>
      <w:marRight w:val="0"/>
      <w:marTop w:val="0"/>
      <w:marBottom w:val="0"/>
      <w:divBdr>
        <w:top w:val="none" w:sz="0" w:space="0" w:color="auto"/>
        <w:left w:val="none" w:sz="0" w:space="0" w:color="auto"/>
        <w:bottom w:val="none" w:sz="0" w:space="0" w:color="auto"/>
        <w:right w:val="none" w:sz="0" w:space="0" w:color="auto"/>
      </w:divBdr>
    </w:div>
    <w:div w:id="1064987161">
      <w:marLeft w:val="640"/>
      <w:marRight w:val="0"/>
      <w:marTop w:val="0"/>
      <w:marBottom w:val="0"/>
      <w:divBdr>
        <w:top w:val="none" w:sz="0" w:space="0" w:color="auto"/>
        <w:left w:val="none" w:sz="0" w:space="0" w:color="auto"/>
        <w:bottom w:val="none" w:sz="0" w:space="0" w:color="auto"/>
        <w:right w:val="none" w:sz="0" w:space="0" w:color="auto"/>
      </w:divBdr>
    </w:div>
    <w:div w:id="1064987518">
      <w:marLeft w:val="640"/>
      <w:marRight w:val="0"/>
      <w:marTop w:val="0"/>
      <w:marBottom w:val="0"/>
      <w:divBdr>
        <w:top w:val="none" w:sz="0" w:space="0" w:color="auto"/>
        <w:left w:val="none" w:sz="0" w:space="0" w:color="auto"/>
        <w:bottom w:val="none" w:sz="0" w:space="0" w:color="auto"/>
        <w:right w:val="none" w:sz="0" w:space="0" w:color="auto"/>
      </w:divBdr>
    </w:div>
    <w:div w:id="1065180111">
      <w:marLeft w:val="640"/>
      <w:marRight w:val="0"/>
      <w:marTop w:val="0"/>
      <w:marBottom w:val="0"/>
      <w:divBdr>
        <w:top w:val="none" w:sz="0" w:space="0" w:color="auto"/>
        <w:left w:val="none" w:sz="0" w:space="0" w:color="auto"/>
        <w:bottom w:val="none" w:sz="0" w:space="0" w:color="auto"/>
        <w:right w:val="none" w:sz="0" w:space="0" w:color="auto"/>
      </w:divBdr>
    </w:div>
    <w:div w:id="1065300683">
      <w:marLeft w:val="640"/>
      <w:marRight w:val="0"/>
      <w:marTop w:val="0"/>
      <w:marBottom w:val="0"/>
      <w:divBdr>
        <w:top w:val="none" w:sz="0" w:space="0" w:color="auto"/>
        <w:left w:val="none" w:sz="0" w:space="0" w:color="auto"/>
        <w:bottom w:val="none" w:sz="0" w:space="0" w:color="auto"/>
        <w:right w:val="none" w:sz="0" w:space="0" w:color="auto"/>
      </w:divBdr>
    </w:div>
    <w:div w:id="1066414916">
      <w:marLeft w:val="640"/>
      <w:marRight w:val="0"/>
      <w:marTop w:val="0"/>
      <w:marBottom w:val="0"/>
      <w:divBdr>
        <w:top w:val="none" w:sz="0" w:space="0" w:color="auto"/>
        <w:left w:val="none" w:sz="0" w:space="0" w:color="auto"/>
        <w:bottom w:val="none" w:sz="0" w:space="0" w:color="auto"/>
        <w:right w:val="none" w:sz="0" w:space="0" w:color="auto"/>
      </w:divBdr>
    </w:div>
    <w:div w:id="1066950188">
      <w:marLeft w:val="640"/>
      <w:marRight w:val="0"/>
      <w:marTop w:val="0"/>
      <w:marBottom w:val="0"/>
      <w:divBdr>
        <w:top w:val="none" w:sz="0" w:space="0" w:color="auto"/>
        <w:left w:val="none" w:sz="0" w:space="0" w:color="auto"/>
        <w:bottom w:val="none" w:sz="0" w:space="0" w:color="auto"/>
        <w:right w:val="none" w:sz="0" w:space="0" w:color="auto"/>
      </w:divBdr>
    </w:div>
    <w:div w:id="1067530179">
      <w:marLeft w:val="640"/>
      <w:marRight w:val="0"/>
      <w:marTop w:val="0"/>
      <w:marBottom w:val="0"/>
      <w:divBdr>
        <w:top w:val="none" w:sz="0" w:space="0" w:color="auto"/>
        <w:left w:val="none" w:sz="0" w:space="0" w:color="auto"/>
        <w:bottom w:val="none" w:sz="0" w:space="0" w:color="auto"/>
        <w:right w:val="none" w:sz="0" w:space="0" w:color="auto"/>
      </w:divBdr>
    </w:div>
    <w:div w:id="1067992847">
      <w:marLeft w:val="640"/>
      <w:marRight w:val="0"/>
      <w:marTop w:val="0"/>
      <w:marBottom w:val="0"/>
      <w:divBdr>
        <w:top w:val="none" w:sz="0" w:space="0" w:color="auto"/>
        <w:left w:val="none" w:sz="0" w:space="0" w:color="auto"/>
        <w:bottom w:val="none" w:sz="0" w:space="0" w:color="auto"/>
        <w:right w:val="none" w:sz="0" w:space="0" w:color="auto"/>
      </w:divBdr>
    </w:div>
    <w:div w:id="1068839464">
      <w:marLeft w:val="640"/>
      <w:marRight w:val="0"/>
      <w:marTop w:val="0"/>
      <w:marBottom w:val="0"/>
      <w:divBdr>
        <w:top w:val="none" w:sz="0" w:space="0" w:color="auto"/>
        <w:left w:val="none" w:sz="0" w:space="0" w:color="auto"/>
        <w:bottom w:val="none" w:sz="0" w:space="0" w:color="auto"/>
        <w:right w:val="none" w:sz="0" w:space="0" w:color="auto"/>
      </w:divBdr>
    </w:div>
    <w:div w:id="1069185365">
      <w:marLeft w:val="640"/>
      <w:marRight w:val="0"/>
      <w:marTop w:val="0"/>
      <w:marBottom w:val="0"/>
      <w:divBdr>
        <w:top w:val="none" w:sz="0" w:space="0" w:color="auto"/>
        <w:left w:val="none" w:sz="0" w:space="0" w:color="auto"/>
        <w:bottom w:val="none" w:sz="0" w:space="0" w:color="auto"/>
        <w:right w:val="none" w:sz="0" w:space="0" w:color="auto"/>
      </w:divBdr>
    </w:div>
    <w:div w:id="1069420281">
      <w:marLeft w:val="640"/>
      <w:marRight w:val="0"/>
      <w:marTop w:val="0"/>
      <w:marBottom w:val="0"/>
      <w:divBdr>
        <w:top w:val="none" w:sz="0" w:space="0" w:color="auto"/>
        <w:left w:val="none" w:sz="0" w:space="0" w:color="auto"/>
        <w:bottom w:val="none" w:sz="0" w:space="0" w:color="auto"/>
        <w:right w:val="none" w:sz="0" w:space="0" w:color="auto"/>
      </w:divBdr>
    </w:div>
    <w:div w:id="1070229444">
      <w:marLeft w:val="640"/>
      <w:marRight w:val="0"/>
      <w:marTop w:val="0"/>
      <w:marBottom w:val="0"/>
      <w:divBdr>
        <w:top w:val="none" w:sz="0" w:space="0" w:color="auto"/>
        <w:left w:val="none" w:sz="0" w:space="0" w:color="auto"/>
        <w:bottom w:val="none" w:sz="0" w:space="0" w:color="auto"/>
        <w:right w:val="none" w:sz="0" w:space="0" w:color="auto"/>
      </w:divBdr>
    </w:div>
    <w:div w:id="1070231707">
      <w:marLeft w:val="640"/>
      <w:marRight w:val="0"/>
      <w:marTop w:val="0"/>
      <w:marBottom w:val="0"/>
      <w:divBdr>
        <w:top w:val="none" w:sz="0" w:space="0" w:color="auto"/>
        <w:left w:val="none" w:sz="0" w:space="0" w:color="auto"/>
        <w:bottom w:val="none" w:sz="0" w:space="0" w:color="auto"/>
        <w:right w:val="none" w:sz="0" w:space="0" w:color="auto"/>
      </w:divBdr>
    </w:div>
    <w:div w:id="1070811783">
      <w:marLeft w:val="640"/>
      <w:marRight w:val="0"/>
      <w:marTop w:val="0"/>
      <w:marBottom w:val="0"/>
      <w:divBdr>
        <w:top w:val="none" w:sz="0" w:space="0" w:color="auto"/>
        <w:left w:val="none" w:sz="0" w:space="0" w:color="auto"/>
        <w:bottom w:val="none" w:sz="0" w:space="0" w:color="auto"/>
        <w:right w:val="none" w:sz="0" w:space="0" w:color="auto"/>
      </w:divBdr>
    </w:div>
    <w:div w:id="1072504951">
      <w:marLeft w:val="640"/>
      <w:marRight w:val="0"/>
      <w:marTop w:val="0"/>
      <w:marBottom w:val="0"/>
      <w:divBdr>
        <w:top w:val="none" w:sz="0" w:space="0" w:color="auto"/>
        <w:left w:val="none" w:sz="0" w:space="0" w:color="auto"/>
        <w:bottom w:val="none" w:sz="0" w:space="0" w:color="auto"/>
        <w:right w:val="none" w:sz="0" w:space="0" w:color="auto"/>
      </w:divBdr>
    </w:div>
    <w:div w:id="1072579065">
      <w:marLeft w:val="640"/>
      <w:marRight w:val="0"/>
      <w:marTop w:val="0"/>
      <w:marBottom w:val="0"/>
      <w:divBdr>
        <w:top w:val="none" w:sz="0" w:space="0" w:color="auto"/>
        <w:left w:val="none" w:sz="0" w:space="0" w:color="auto"/>
        <w:bottom w:val="none" w:sz="0" w:space="0" w:color="auto"/>
        <w:right w:val="none" w:sz="0" w:space="0" w:color="auto"/>
      </w:divBdr>
    </w:div>
    <w:div w:id="1072775563">
      <w:marLeft w:val="640"/>
      <w:marRight w:val="0"/>
      <w:marTop w:val="0"/>
      <w:marBottom w:val="0"/>
      <w:divBdr>
        <w:top w:val="none" w:sz="0" w:space="0" w:color="auto"/>
        <w:left w:val="none" w:sz="0" w:space="0" w:color="auto"/>
        <w:bottom w:val="none" w:sz="0" w:space="0" w:color="auto"/>
        <w:right w:val="none" w:sz="0" w:space="0" w:color="auto"/>
      </w:divBdr>
    </w:div>
    <w:div w:id="1072896246">
      <w:marLeft w:val="640"/>
      <w:marRight w:val="0"/>
      <w:marTop w:val="0"/>
      <w:marBottom w:val="0"/>
      <w:divBdr>
        <w:top w:val="none" w:sz="0" w:space="0" w:color="auto"/>
        <w:left w:val="none" w:sz="0" w:space="0" w:color="auto"/>
        <w:bottom w:val="none" w:sz="0" w:space="0" w:color="auto"/>
        <w:right w:val="none" w:sz="0" w:space="0" w:color="auto"/>
      </w:divBdr>
    </w:div>
    <w:div w:id="1073163016">
      <w:marLeft w:val="640"/>
      <w:marRight w:val="0"/>
      <w:marTop w:val="0"/>
      <w:marBottom w:val="0"/>
      <w:divBdr>
        <w:top w:val="none" w:sz="0" w:space="0" w:color="auto"/>
        <w:left w:val="none" w:sz="0" w:space="0" w:color="auto"/>
        <w:bottom w:val="none" w:sz="0" w:space="0" w:color="auto"/>
        <w:right w:val="none" w:sz="0" w:space="0" w:color="auto"/>
      </w:divBdr>
    </w:div>
    <w:div w:id="1073812826">
      <w:marLeft w:val="640"/>
      <w:marRight w:val="0"/>
      <w:marTop w:val="0"/>
      <w:marBottom w:val="0"/>
      <w:divBdr>
        <w:top w:val="none" w:sz="0" w:space="0" w:color="auto"/>
        <w:left w:val="none" w:sz="0" w:space="0" w:color="auto"/>
        <w:bottom w:val="none" w:sz="0" w:space="0" w:color="auto"/>
        <w:right w:val="none" w:sz="0" w:space="0" w:color="auto"/>
      </w:divBdr>
    </w:div>
    <w:div w:id="1074006598">
      <w:marLeft w:val="640"/>
      <w:marRight w:val="0"/>
      <w:marTop w:val="0"/>
      <w:marBottom w:val="0"/>
      <w:divBdr>
        <w:top w:val="none" w:sz="0" w:space="0" w:color="auto"/>
        <w:left w:val="none" w:sz="0" w:space="0" w:color="auto"/>
        <w:bottom w:val="none" w:sz="0" w:space="0" w:color="auto"/>
        <w:right w:val="none" w:sz="0" w:space="0" w:color="auto"/>
      </w:divBdr>
    </w:div>
    <w:div w:id="1074158868">
      <w:marLeft w:val="640"/>
      <w:marRight w:val="0"/>
      <w:marTop w:val="0"/>
      <w:marBottom w:val="0"/>
      <w:divBdr>
        <w:top w:val="none" w:sz="0" w:space="0" w:color="auto"/>
        <w:left w:val="none" w:sz="0" w:space="0" w:color="auto"/>
        <w:bottom w:val="none" w:sz="0" w:space="0" w:color="auto"/>
        <w:right w:val="none" w:sz="0" w:space="0" w:color="auto"/>
      </w:divBdr>
    </w:div>
    <w:div w:id="1074281726">
      <w:marLeft w:val="640"/>
      <w:marRight w:val="0"/>
      <w:marTop w:val="0"/>
      <w:marBottom w:val="0"/>
      <w:divBdr>
        <w:top w:val="none" w:sz="0" w:space="0" w:color="auto"/>
        <w:left w:val="none" w:sz="0" w:space="0" w:color="auto"/>
        <w:bottom w:val="none" w:sz="0" w:space="0" w:color="auto"/>
        <w:right w:val="none" w:sz="0" w:space="0" w:color="auto"/>
      </w:divBdr>
    </w:div>
    <w:div w:id="1074930977">
      <w:marLeft w:val="640"/>
      <w:marRight w:val="0"/>
      <w:marTop w:val="0"/>
      <w:marBottom w:val="0"/>
      <w:divBdr>
        <w:top w:val="none" w:sz="0" w:space="0" w:color="auto"/>
        <w:left w:val="none" w:sz="0" w:space="0" w:color="auto"/>
        <w:bottom w:val="none" w:sz="0" w:space="0" w:color="auto"/>
        <w:right w:val="none" w:sz="0" w:space="0" w:color="auto"/>
      </w:divBdr>
    </w:div>
    <w:div w:id="1075205807">
      <w:marLeft w:val="640"/>
      <w:marRight w:val="0"/>
      <w:marTop w:val="0"/>
      <w:marBottom w:val="0"/>
      <w:divBdr>
        <w:top w:val="none" w:sz="0" w:space="0" w:color="auto"/>
        <w:left w:val="none" w:sz="0" w:space="0" w:color="auto"/>
        <w:bottom w:val="none" w:sz="0" w:space="0" w:color="auto"/>
        <w:right w:val="none" w:sz="0" w:space="0" w:color="auto"/>
      </w:divBdr>
    </w:div>
    <w:div w:id="1075468873">
      <w:marLeft w:val="640"/>
      <w:marRight w:val="0"/>
      <w:marTop w:val="0"/>
      <w:marBottom w:val="0"/>
      <w:divBdr>
        <w:top w:val="none" w:sz="0" w:space="0" w:color="auto"/>
        <w:left w:val="none" w:sz="0" w:space="0" w:color="auto"/>
        <w:bottom w:val="none" w:sz="0" w:space="0" w:color="auto"/>
        <w:right w:val="none" w:sz="0" w:space="0" w:color="auto"/>
      </w:divBdr>
    </w:div>
    <w:div w:id="1075514190">
      <w:marLeft w:val="640"/>
      <w:marRight w:val="0"/>
      <w:marTop w:val="0"/>
      <w:marBottom w:val="0"/>
      <w:divBdr>
        <w:top w:val="none" w:sz="0" w:space="0" w:color="auto"/>
        <w:left w:val="none" w:sz="0" w:space="0" w:color="auto"/>
        <w:bottom w:val="none" w:sz="0" w:space="0" w:color="auto"/>
        <w:right w:val="none" w:sz="0" w:space="0" w:color="auto"/>
      </w:divBdr>
    </w:div>
    <w:div w:id="1075664619">
      <w:marLeft w:val="640"/>
      <w:marRight w:val="0"/>
      <w:marTop w:val="0"/>
      <w:marBottom w:val="0"/>
      <w:divBdr>
        <w:top w:val="none" w:sz="0" w:space="0" w:color="auto"/>
        <w:left w:val="none" w:sz="0" w:space="0" w:color="auto"/>
        <w:bottom w:val="none" w:sz="0" w:space="0" w:color="auto"/>
        <w:right w:val="none" w:sz="0" w:space="0" w:color="auto"/>
      </w:divBdr>
    </w:div>
    <w:div w:id="1076049829">
      <w:marLeft w:val="640"/>
      <w:marRight w:val="0"/>
      <w:marTop w:val="0"/>
      <w:marBottom w:val="0"/>
      <w:divBdr>
        <w:top w:val="none" w:sz="0" w:space="0" w:color="auto"/>
        <w:left w:val="none" w:sz="0" w:space="0" w:color="auto"/>
        <w:bottom w:val="none" w:sz="0" w:space="0" w:color="auto"/>
        <w:right w:val="none" w:sz="0" w:space="0" w:color="auto"/>
      </w:divBdr>
    </w:div>
    <w:div w:id="1076438740">
      <w:marLeft w:val="640"/>
      <w:marRight w:val="0"/>
      <w:marTop w:val="0"/>
      <w:marBottom w:val="0"/>
      <w:divBdr>
        <w:top w:val="none" w:sz="0" w:space="0" w:color="auto"/>
        <w:left w:val="none" w:sz="0" w:space="0" w:color="auto"/>
        <w:bottom w:val="none" w:sz="0" w:space="0" w:color="auto"/>
        <w:right w:val="none" w:sz="0" w:space="0" w:color="auto"/>
      </w:divBdr>
    </w:div>
    <w:div w:id="1076783540">
      <w:marLeft w:val="640"/>
      <w:marRight w:val="0"/>
      <w:marTop w:val="0"/>
      <w:marBottom w:val="0"/>
      <w:divBdr>
        <w:top w:val="none" w:sz="0" w:space="0" w:color="auto"/>
        <w:left w:val="none" w:sz="0" w:space="0" w:color="auto"/>
        <w:bottom w:val="none" w:sz="0" w:space="0" w:color="auto"/>
        <w:right w:val="none" w:sz="0" w:space="0" w:color="auto"/>
      </w:divBdr>
    </w:div>
    <w:div w:id="1077241488">
      <w:marLeft w:val="640"/>
      <w:marRight w:val="0"/>
      <w:marTop w:val="0"/>
      <w:marBottom w:val="0"/>
      <w:divBdr>
        <w:top w:val="none" w:sz="0" w:space="0" w:color="auto"/>
        <w:left w:val="none" w:sz="0" w:space="0" w:color="auto"/>
        <w:bottom w:val="none" w:sz="0" w:space="0" w:color="auto"/>
        <w:right w:val="none" w:sz="0" w:space="0" w:color="auto"/>
      </w:divBdr>
    </w:div>
    <w:div w:id="1077479966">
      <w:marLeft w:val="640"/>
      <w:marRight w:val="0"/>
      <w:marTop w:val="0"/>
      <w:marBottom w:val="0"/>
      <w:divBdr>
        <w:top w:val="none" w:sz="0" w:space="0" w:color="auto"/>
        <w:left w:val="none" w:sz="0" w:space="0" w:color="auto"/>
        <w:bottom w:val="none" w:sz="0" w:space="0" w:color="auto"/>
        <w:right w:val="none" w:sz="0" w:space="0" w:color="auto"/>
      </w:divBdr>
    </w:div>
    <w:div w:id="1078021336">
      <w:marLeft w:val="640"/>
      <w:marRight w:val="0"/>
      <w:marTop w:val="0"/>
      <w:marBottom w:val="0"/>
      <w:divBdr>
        <w:top w:val="none" w:sz="0" w:space="0" w:color="auto"/>
        <w:left w:val="none" w:sz="0" w:space="0" w:color="auto"/>
        <w:bottom w:val="none" w:sz="0" w:space="0" w:color="auto"/>
        <w:right w:val="none" w:sz="0" w:space="0" w:color="auto"/>
      </w:divBdr>
    </w:div>
    <w:div w:id="1079211425">
      <w:marLeft w:val="640"/>
      <w:marRight w:val="0"/>
      <w:marTop w:val="0"/>
      <w:marBottom w:val="0"/>
      <w:divBdr>
        <w:top w:val="none" w:sz="0" w:space="0" w:color="auto"/>
        <w:left w:val="none" w:sz="0" w:space="0" w:color="auto"/>
        <w:bottom w:val="none" w:sz="0" w:space="0" w:color="auto"/>
        <w:right w:val="none" w:sz="0" w:space="0" w:color="auto"/>
      </w:divBdr>
    </w:div>
    <w:div w:id="1079406088">
      <w:marLeft w:val="640"/>
      <w:marRight w:val="0"/>
      <w:marTop w:val="0"/>
      <w:marBottom w:val="0"/>
      <w:divBdr>
        <w:top w:val="none" w:sz="0" w:space="0" w:color="auto"/>
        <w:left w:val="none" w:sz="0" w:space="0" w:color="auto"/>
        <w:bottom w:val="none" w:sz="0" w:space="0" w:color="auto"/>
        <w:right w:val="none" w:sz="0" w:space="0" w:color="auto"/>
      </w:divBdr>
    </w:div>
    <w:div w:id="1080178885">
      <w:marLeft w:val="640"/>
      <w:marRight w:val="0"/>
      <w:marTop w:val="0"/>
      <w:marBottom w:val="0"/>
      <w:divBdr>
        <w:top w:val="none" w:sz="0" w:space="0" w:color="auto"/>
        <w:left w:val="none" w:sz="0" w:space="0" w:color="auto"/>
        <w:bottom w:val="none" w:sz="0" w:space="0" w:color="auto"/>
        <w:right w:val="none" w:sz="0" w:space="0" w:color="auto"/>
      </w:divBdr>
    </w:div>
    <w:div w:id="1082065431">
      <w:marLeft w:val="640"/>
      <w:marRight w:val="0"/>
      <w:marTop w:val="0"/>
      <w:marBottom w:val="0"/>
      <w:divBdr>
        <w:top w:val="none" w:sz="0" w:space="0" w:color="auto"/>
        <w:left w:val="none" w:sz="0" w:space="0" w:color="auto"/>
        <w:bottom w:val="none" w:sz="0" w:space="0" w:color="auto"/>
        <w:right w:val="none" w:sz="0" w:space="0" w:color="auto"/>
      </w:divBdr>
    </w:div>
    <w:div w:id="1082533281">
      <w:marLeft w:val="640"/>
      <w:marRight w:val="0"/>
      <w:marTop w:val="0"/>
      <w:marBottom w:val="0"/>
      <w:divBdr>
        <w:top w:val="none" w:sz="0" w:space="0" w:color="auto"/>
        <w:left w:val="none" w:sz="0" w:space="0" w:color="auto"/>
        <w:bottom w:val="none" w:sz="0" w:space="0" w:color="auto"/>
        <w:right w:val="none" w:sz="0" w:space="0" w:color="auto"/>
      </w:divBdr>
    </w:div>
    <w:div w:id="1082677628">
      <w:marLeft w:val="640"/>
      <w:marRight w:val="0"/>
      <w:marTop w:val="0"/>
      <w:marBottom w:val="0"/>
      <w:divBdr>
        <w:top w:val="none" w:sz="0" w:space="0" w:color="auto"/>
        <w:left w:val="none" w:sz="0" w:space="0" w:color="auto"/>
        <w:bottom w:val="none" w:sz="0" w:space="0" w:color="auto"/>
        <w:right w:val="none" w:sz="0" w:space="0" w:color="auto"/>
      </w:divBdr>
    </w:div>
    <w:div w:id="1082874795">
      <w:marLeft w:val="640"/>
      <w:marRight w:val="0"/>
      <w:marTop w:val="0"/>
      <w:marBottom w:val="0"/>
      <w:divBdr>
        <w:top w:val="none" w:sz="0" w:space="0" w:color="auto"/>
        <w:left w:val="none" w:sz="0" w:space="0" w:color="auto"/>
        <w:bottom w:val="none" w:sz="0" w:space="0" w:color="auto"/>
        <w:right w:val="none" w:sz="0" w:space="0" w:color="auto"/>
      </w:divBdr>
    </w:div>
    <w:div w:id="1083642672">
      <w:marLeft w:val="640"/>
      <w:marRight w:val="0"/>
      <w:marTop w:val="0"/>
      <w:marBottom w:val="0"/>
      <w:divBdr>
        <w:top w:val="none" w:sz="0" w:space="0" w:color="auto"/>
        <w:left w:val="none" w:sz="0" w:space="0" w:color="auto"/>
        <w:bottom w:val="none" w:sz="0" w:space="0" w:color="auto"/>
        <w:right w:val="none" w:sz="0" w:space="0" w:color="auto"/>
      </w:divBdr>
    </w:div>
    <w:div w:id="1083836402">
      <w:marLeft w:val="640"/>
      <w:marRight w:val="0"/>
      <w:marTop w:val="0"/>
      <w:marBottom w:val="0"/>
      <w:divBdr>
        <w:top w:val="none" w:sz="0" w:space="0" w:color="auto"/>
        <w:left w:val="none" w:sz="0" w:space="0" w:color="auto"/>
        <w:bottom w:val="none" w:sz="0" w:space="0" w:color="auto"/>
        <w:right w:val="none" w:sz="0" w:space="0" w:color="auto"/>
      </w:divBdr>
    </w:div>
    <w:div w:id="1085222044">
      <w:marLeft w:val="640"/>
      <w:marRight w:val="0"/>
      <w:marTop w:val="0"/>
      <w:marBottom w:val="0"/>
      <w:divBdr>
        <w:top w:val="none" w:sz="0" w:space="0" w:color="auto"/>
        <w:left w:val="none" w:sz="0" w:space="0" w:color="auto"/>
        <w:bottom w:val="none" w:sz="0" w:space="0" w:color="auto"/>
        <w:right w:val="none" w:sz="0" w:space="0" w:color="auto"/>
      </w:divBdr>
    </w:div>
    <w:div w:id="1086878518">
      <w:marLeft w:val="640"/>
      <w:marRight w:val="0"/>
      <w:marTop w:val="0"/>
      <w:marBottom w:val="0"/>
      <w:divBdr>
        <w:top w:val="none" w:sz="0" w:space="0" w:color="auto"/>
        <w:left w:val="none" w:sz="0" w:space="0" w:color="auto"/>
        <w:bottom w:val="none" w:sz="0" w:space="0" w:color="auto"/>
        <w:right w:val="none" w:sz="0" w:space="0" w:color="auto"/>
      </w:divBdr>
    </w:div>
    <w:div w:id="1087114581">
      <w:marLeft w:val="640"/>
      <w:marRight w:val="0"/>
      <w:marTop w:val="0"/>
      <w:marBottom w:val="0"/>
      <w:divBdr>
        <w:top w:val="none" w:sz="0" w:space="0" w:color="auto"/>
        <w:left w:val="none" w:sz="0" w:space="0" w:color="auto"/>
        <w:bottom w:val="none" w:sz="0" w:space="0" w:color="auto"/>
        <w:right w:val="none" w:sz="0" w:space="0" w:color="auto"/>
      </w:divBdr>
    </w:div>
    <w:div w:id="1087968409">
      <w:marLeft w:val="640"/>
      <w:marRight w:val="0"/>
      <w:marTop w:val="0"/>
      <w:marBottom w:val="0"/>
      <w:divBdr>
        <w:top w:val="none" w:sz="0" w:space="0" w:color="auto"/>
        <w:left w:val="none" w:sz="0" w:space="0" w:color="auto"/>
        <w:bottom w:val="none" w:sz="0" w:space="0" w:color="auto"/>
        <w:right w:val="none" w:sz="0" w:space="0" w:color="auto"/>
      </w:divBdr>
    </w:div>
    <w:div w:id="1091438706">
      <w:marLeft w:val="640"/>
      <w:marRight w:val="0"/>
      <w:marTop w:val="0"/>
      <w:marBottom w:val="0"/>
      <w:divBdr>
        <w:top w:val="none" w:sz="0" w:space="0" w:color="auto"/>
        <w:left w:val="none" w:sz="0" w:space="0" w:color="auto"/>
        <w:bottom w:val="none" w:sz="0" w:space="0" w:color="auto"/>
        <w:right w:val="none" w:sz="0" w:space="0" w:color="auto"/>
      </w:divBdr>
    </w:div>
    <w:div w:id="1092313682">
      <w:marLeft w:val="640"/>
      <w:marRight w:val="0"/>
      <w:marTop w:val="0"/>
      <w:marBottom w:val="0"/>
      <w:divBdr>
        <w:top w:val="none" w:sz="0" w:space="0" w:color="auto"/>
        <w:left w:val="none" w:sz="0" w:space="0" w:color="auto"/>
        <w:bottom w:val="none" w:sz="0" w:space="0" w:color="auto"/>
        <w:right w:val="none" w:sz="0" w:space="0" w:color="auto"/>
      </w:divBdr>
    </w:div>
    <w:div w:id="1092822225">
      <w:marLeft w:val="640"/>
      <w:marRight w:val="0"/>
      <w:marTop w:val="0"/>
      <w:marBottom w:val="0"/>
      <w:divBdr>
        <w:top w:val="none" w:sz="0" w:space="0" w:color="auto"/>
        <w:left w:val="none" w:sz="0" w:space="0" w:color="auto"/>
        <w:bottom w:val="none" w:sz="0" w:space="0" w:color="auto"/>
        <w:right w:val="none" w:sz="0" w:space="0" w:color="auto"/>
      </w:divBdr>
    </w:div>
    <w:div w:id="1094204597">
      <w:marLeft w:val="640"/>
      <w:marRight w:val="0"/>
      <w:marTop w:val="0"/>
      <w:marBottom w:val="0"/>
      <w:divBdr>
        <w:top w:val="none" w:sz="0" w:space="0" w:color="auto"/>
        <w:left w:val="none" w:sz="0" w:space="0" w:color="auto"/>
        <w:bottom w:val="none" w:sz="0" w:space="0" w:color="auto"/>
        <w:right w:val="none" w:sz="0" w:space="0" w:color="auto"/>
      </w:divBdr>
    </w:div>
    <w:div w:id="1095177186">
      <w:marLeft w:val="640"/>
      <w:marRight w:val="0"/>
      <w:marTop w:val="0"/>
      <w:marBottom w:val="0"/>
      <w:divBdr>
        <w:top w:val="none" w:sz="0" w:space="0" w:color="auto"/>
        <w:left w:val="none" w:sz="0" w:space="0" w:color="auto"/>
        <w:bottom w:val="none" w:sz="0" w:space="0" w:color="auto"/>
        <w:right w:val="none" w:sz="0" w:space="0" w:color="auto"/>
      </w:divBdr>
    </w:div>
    <w:div w:id="1095786115">
      <w:marLeft w:val="640"/>
      <w:marRight w:val="0"/>
      <w:marTop w:val="0"/>
      <w:marBottom w:val="0"/>
      <w:divBdr>
        <w:top w:val="none" w:sz="0" w:space="0" w:color="auto"/>
        <w:left w:val="none" w:sz="0" w:space="0" w:color="auto"/>
        <w:bottom w:val="none" w:sz="0" w:space="0" w:color="auto"/>
        <w:right w:val="none" w:sz="0" w:space="0" w:color="auto"/>
      </w:divBdr>
    </w:div>
    <w:div w:id="1096175685">
      <w:marLeft w:val="640"/>
      <w:marRight w:val="0"/>
      <w:marTop w:val="0"/>
      <w:marBottom w:val="0"/>
      <w:divBdr>
        <w:top w:val="none" w:sz="0" w:space="0" w:color="auto"/>
        <w:left w:val="none" w:sz="0" w:space="0" w:color="auto"/>
        <w:bottom w:val="none" w:sz="0" w:space="0" w:color="auto"/>
        <w:right w:val="none" w:sz="0" w:space="0" w:color="auto"/>
      </w:divBdr>
    </w:div>
    <w:div w:id="1096629396">
      <w:marLeft w:val="640"/>
      <w:marRight w:val="0"/>
      <w:marTop w:val="0"/>
      <w:marBottom w:val="0"/>
      <w:divBdr>
        <w:top w:val="none" w:sz="0" w:space="0" w:color="auto"/>
        <w:left w:val="none" w:sz="0" w:space="0" w:color="auto"/>
        <w:bottom w:val="none" w:sz="0" w:space="0" w:color="auto"/>
        <w:right w:val="none" w:sz="0" w:space="0" w:color="auto"/>
      </w:divBdr>
    </w:div>
    <w:div w:id="1096708668">
      <w:marLeft w:val="640"/>
      <w:marRight w:val="0"/>
      <w:marTop w:val="0"/>
      <w:marBottom w:val="0"/>
      <w:divBdr>
        <w:top w:val="none" w:sz="0" w:space="0" w:color="auto"/>
        <w:left w:val="none" w:sz="0" w:space="0" w:color="auto"/>
        <w:bottom w:val="none" w:sz="0" w:space="0" w:color="auto"/>
        <w:right w:val="none" w:sz="0" w:space="0" w:color="auto"/>
      </w:divBdr>
    </w:div>
    <w:div w:id="1097094500">
      <w:marLeft w:val="640"/>
      <w:marRight w:val="0"/>
      <w:marTop w:val="0"/>
      <w:marBottom w:val="0"/>
      <w:divBdr>
        <w:top w:val="none" w:sz="0" w:space="0" w:color="auto"/>
        <w:left w:val="none" w:sz="0" w:space="0" w:color="auto"/>
        <w:bottom w:val="none" w:sz="0" w:space="0" w:color="auto"/>
        <w:right w:val="none" w:sz="0" w:space="0" w:color="auto"/>
      </w:divBdr>
    </w:div>
    <w:div w:id="1097097433">
      <w:marLeft w:val="640"/>
      <w:marRight w:val="0"/>
      <w:marTop w:val="0"/>
      <w:marBottom w:val="0"/>
      <w:divBdr>
        <w:top w:val="none" w:sz="0" w:space="0" w:color="auto"/>
        <w:left w:val="none" w:sz="0" w:space="0" w:color="auto"/>
        <w:bottom w:val="none" w:sz="0" w:space="0" w:color="auto"/>
        <w:right w:val="none" w:sz="0" w:space="0" w:color="auto"/>
      </w:divBdr>
    </w:div>
    <w:div w:id="1097558858">
      <w:marLeft w:val="640"/>
      <w:marRight w:val="0"/>
      <w:marTop w:val="0"/>
      <w:marBottom w:val="0"/>
      <w:divBdr>
        <w:top w:val="none" w:sz="0" w:space="0" w:color="auto"/>
        <w:left w:val="none" w:sz="0" w:space="0" w:color="auto"/>
        <w:bottom w:val="none" w:sz="0" w:space="0" w:color="auto"/>
        <w:right w:val="none" w:sz="0" w:space="0" w:color="auto"/>
      </w:divBdr>
    </w:div>
    <w:div w:id="1097949364">
      <w:marLeft w:val="640"/>
      <w:marRight w:val="0"/>
      <w:marTop w:val="0"/>
      <w:marBottom w:val="0"/>
      <w:divBdr>
        <w:top w:val="none" w:sz="0" w:space="0" w:color="auto"/>
        <w:left w:val="none" w:sz="0" w:space="0" w:color="auto"/>
        <w:bottom w:val="none" w:sz="0" w:space="0" w:color="auto"/>
        <w:right w:val="none" w:sz="0" w:space="0" w:color="auto"/>
      </w:divBdr>
    </w:div>
    <w:div w:id="1098253885">
      <w:marLeft w:val="640"/>
      <w:marRight w:val="0"/>
      <w:marTop w:val="0"/>
      <w:marBottom w:val="0"/>
      <w:divBdr>
        <w:top w:val="none" w:sz="0" w:space="0" w:color="auto"/>
        <w:left w:val="none" w:sz="0" w:space="0" w:color="auto"/>
        <w:bottom w:val="none" w:sz="0" w:space="0" w:color="auto"/>
        <w:right w:val="none" w:sz="0" w:space="0" w:color="auto"/>
      </w:divBdr>
    </w:div>
    <w:div w:id="1098255849">
      <w:marLeft w:val="640"/>
      <w:marRight w:val="0"/>
      <w:marTop w:val="0"/>
      <w:marBottom w:val="0"/>
      <w:divBdr>
        <w:top w:val="none" w:sz="0" w:space="0" w:color="auto"/>
        <w:left w:val="none" w:sz="0" w:space="0" w:color="auto"/>
        <w:bottom w:val="none" w:sz="0" w:space="0" w:color="auto"/>
        <w:right w:val="none" w:sz="0" w:space="0" w:color="auto"/>
      </w:divBdr>
    </w:div>
    <w:div w:id="1098283697">
      <w:marLeft w:val="640"/>
      <w:marRight w:val="0"/>
      <w:marTop w:val="0"/>
      <w:marBottom w:val="0"/>
      <w:divBdr>
        <w:top w:val="none" w:sz="0" w:space="0" w:color="auto"/>
        <w:left w:val="none" w:sz="0" w:space="0" w:color="auto"/>
        <w:bottom w:val="none" w:sz="0" w:space="0" w:color="auto"/>
        <w:right w:val="none" w:sz="0" w:space="0" w:color="auto"/>
      </w:divBdr>
    </w:div>
    <w:div w:id="1098326563">
      <w:marLeft w:val="640"/>
      <w:marRight w:val="0"/>
      <w:marTop w:val="0"/>
      <w:marBottom w:val="0"/>
      <w:divBdr>
        <w:top w:val="none" w:sz="0" w:space="0" w:color="auto"/>
        <w:left w:val="none" w:sz="0" w:space="0" w:color="auto"/>
        <w:bottom w:val="none" w:sz="0" w:space="0" w:color="auto"/>
        <w:right w:val="none" w:sz="0" w:space="0" w:color="auto"/>
      </w:divBdr>
    </w:div>
    <w:div w:id="1099252136">
      <w:marLeft w:val="640"/>
      <w:marRight w:val="0"/>
      <w:marTop w:val="0"/>
      <w:marBottom w:val="0"/>
      <w:divBdr>
        <w:top w:val="none" w:sz="0" w:space="0" w:color="auto"/>
        <w:left w:val="none" w:sz="0" w:space="0" w:color="auto"/>
        <w:bottom w:val="none" w:sz="0" w:space="0" w:color="auto"/>
        <w:right w:val="none" w:sz="0" w:space="0" w:color="auto"/>
      </w:divBdr>
    </w:div>
    <w:div w:id="1099718419">
      <w:marLeft w:val="640"/>
      <w:marRight w:val="0"/>
      <w:marTop w:val="0"/>
      <w:marBottom w:val="0"/>
      <w:divBdr>
        <w:top w:val="none" w:sz="0" w:space="0" w:color="auto"/>
        <w:left w:val="none" w:sz="0" w:space="0" w:color="auto"/>
        <w:bottom w:val="none" w:sz="0" w:space="0" w:color="auto"/>
        <w:right w:val="none" w:sz="0" w:space="0" w:color="auto"/>
      </w:divBdr>
    </w:div>
    <w:div w:id="1100299509">
      <w:marLeft w:val="640"/>
      <w:marRight w:val="0"/>
      <w:marTop w:val="0"/>
      <w:marBottom w:val="0"/>
      <w:divBdr>
        <w:top w:val="none" w:sz="0" w:space="0" w:color="auto"/>
        <w:left w:val="none" w:sz="0" w:space="0" w:color="auto"/>
        <w:bottom w:val="none" w:sz="0" w:space="0" w:color="auto"/>
        <w:right w:val="none" w:sz="0" w:space="0" w:color="auto"/>
      </w:divBdr>
    </w:div>
    <w:div w:id="1100763516">
      <w:marLeft w:val="640"/>
      <w:marRight w:val="0"/>
      <w:marTop w:val="0"/>
      <w:marBottom w:val="0"/>
      <w:divBdr>
        <w:top w:val="none" w:sz="0" w:space="0" w:color="auto"/>
        <w:left w:val="none" w:sz="0" w:space="0" w:color="auto"/>
        <w:bottom w:val="none" w:sz="0" w:space="0" w:color="auto"/>
        <w:right w:val="none" w:sz="0" w:space="0" w:color="auto"/>
      </w:divBdr>
    </w:div>
    <w:div w:id="1100835193">
      <w:marLeft w:val="640"/>
      <w:marRight w:val="0"/>
      <w:marTop w:val="0"/>
      <w:marBottom w:val="0"/>
      <w:divBdr>
        <w:top w:val="none" w:sz="0" w:space="0" w:color="auto"/>
        <w:left w:val="none" w:sz="0" w:space="0" w:color="auto"/>
        <w:bottom w:val="none" w:sz="0" w:space="0" w:color="auto"/>
        <w:right w:val="none" w:sz="0" w:space="0" w:color="auto"/>
      </w:divBdr>
    </w:div>
    <w:div w:id="1100875533">
      <w:marLeft w:val="640"/>
      <w:marRight w:val="0"/>
      <w:marTop w:val="0"/>
      <w:marBottom w:val="0"/>
      <w:divBdr>
        <w:top w:val="none" w:sz="0" w:space="0" w:color="auto"/>
        <w:left w:val="none" w:sz="0" w:space="0" w:color="auto"/>
        <w:bottom w:val="none" w:sz="0" w:space="0" w:color="auto"/>
        <w:right w:val="none" w:sz="0" w:space="0" w:color="auto"/>
      </w:divBdr>
    </w:div>
    <w:div w:id="1101220384">
      <w:marLeft w:val="640"/>
      <w:marRight w:val="0"/>
      <w:marTop w:val="0"/>
      <w:marBottom w:val="0"/>
      <w:divBdr>
        <w:top w:val="none" w:sz="0" w:space="0" w:color="auto"/>
        <w:left w:val="none" w:sz="0" w:space="0" w:color="auto"/>
        <w:bottom w:val="none" w:sz="0" w:space="0" w:color="auto"/>
        <w:right w:val="none" w:sz="0" w:space="0" w:color="auto"/>
      </w:divBdr>
    </w:div>
    <w:div w:id="1101334822">
      <w:marLeft w:val="640"/>
      <w:marRight w:val="0"/>
      <w:marTop w:val="0"/>
      <w:marBottom w:val="0"/>
      <w:divBdr>
        <w:top w:val="none" w:sz="0" w:space="0" w:color="auto"/>
        <w:left w:val="none" w:sz="0" w:space="0" w:color="auto"/>
        <w:bottom w:val="none" w:sz="0" w:space="0" w:color="auto"/>
        <w:right w:val="none" w:sz="0" w:space="0" w:color="auto"/>
      </w:divBdr>
    </w:div>
    <w:div w:id="1102385370">
      <w:marLeft w:val="640"/>
      <w:marRight w:val="0"/>
      <w:marTop w:val="0"/>
      <w:marBottom w:val="0"/>
      <w:divBdr>
        <w:top w:val="none" w:sz="0" w:space="0" w:color="auto"/>
        <w:left w:val="none" w:sz="0" w:space="0" w:color="auto"/>
        <w:bottom w:val="none" w:sz="0" w:space="0" w:color="auto"/>
        <w:right w:val="none" w:sz="0" w:space="0" w:color="auto"/>
      </w:divBdr>
    </w:div>
    <w:div w:id="1102803558">
      <w:marLeft w:val="640"/>
      <w:marRight w:val="0"/>
      <w:marTop w:val="0"/>
      <w:marBottom w:val="0"/>
      <w:divBdr>
        <w:top w:val="none" w:sz="0" w:space="0" w:color="auto"/>
        <w:left w:val="none" w:sz="0" w:space="0" w:color="auto"/>
        <w:bottom w:val="none" w:sz="0" w:space="0" w:color="auto"/>
        <w:right w:val="none" w:sz="0" w:space="0" w:color="auto"/>
      </w:divBdr>
    </w:div>
    <w:div w:id="1102915419">
      <w:marLeft w:val="640"/>
      <w:marRight w:val="0"/>
      <w:marTop w:val="0"/>
      <w:marBottom w:val="0"/>
      <w:divBdr>
        <w:top w:val="none" w:sz="0" w:space="0" w:color="auto"/>
        <w:left w:val="none" w:sz="0" w:space="0" w:color="auto"/>
        <w:bottom w:val="none" w:sz="0" w:space="0" w:color="auto"/>
        <w:right w:val="none" w:sz="0" w:space="0" w:color="auto"/>
      </w:divBdr>
    </w:div>
    <w:div w:id="1103037623">
      <w:marLeft w:val="640"/>
      <w:marRight w:val="0"/>
      <w:marTop w:val="0"/>
      <w:marBottom w:val="0"/>
      <w:divBdr>
        <w:top w:val="none" w:sz="0" w:space="0" w:color="auto"/>
        <w:left w:val="none" w:sz="0" w:space="0" w:color="auto"/>
        <w:bottom w:val="none" w:sz="0" w:space="0" w:color="auto"/>
        <w:right w:val="none" w:sz="0" w:space="0" w:color="auto"/>
      </w:divBdr>
    </w:div>
    <w:div w:id="1103694145">
      <w:marLeft w:val="640"/>
      <w:marRight w:val="0"/>
      <w:marTop w:val="0"/>
      <w:marBottom w:val="0"/>
      <w:divBdr>
        <w:top w:val="none" w:sz="0" w:space="0" w:color="auto"/>
        <w:left w:val="none" w:sz="0" w:space="0" w:color="auto"/>
        <w:bottom w:val="none" w:sz="0" w:space="0" w:color="auto"/>
        <w:right w:val="none" w:sz="0" w:space="0" w:color="auto"/>
      </w:divBdr>
    </w:div>
    <w:div w:id="1104610468">
      <w:marLeft w:val="640"/>
      <w:marRight w:val="0"/>
      <w:marTop w:val="0"/>
      <w:marBottom w:val="0"/>
      <w:divBdr>
        <w:top w:val="none" w:sz="0" w:space="0" w:color="auto"/>
        <w:left w:val="none" w:sz="0" w:space="0" w:color="auto"/>
        <w:bottom w:val="none" w:sz="0" w:space="0" w:color="auto"/>
        <w:right w:val="none" w:sz="0" w:space="0" w:color="auto"/>
      </w:divBdr>
    </w:div>
    <w:div w:id="1104761425">
      <w:marLeft w:val="640"/>
      <w:marRight w:val="0"/>
      <w:marTop w:val="0"/>
      <w:marBottom w:val="0"/>
      <w:divBdr>
        <w:top w:val="none" w:sz="0" w:space="0" w:color="auto"/>
        <w:left w:val="none" w:sz="0" w:space="0" w:color="auto"/>
        <w:bottom w:val="none" w:sz="0" w:space="0" w:color="auto"/>
        <w:right w:val="none" w:sz="0" w:space="0" w:color="auto"/>
      </w:divBdr>
    </w:div>
    <w:div w:id="1105032677">
      <w:marLeft w:val="640"/>
      <w:marRight w:val="0"/>
      <w:marTop w:val="0"/>
      <w:marBottom w:val="0"/>
      <w:divBdr>
        <w:top w:val="none" w:sz="0" w:space="0" w:color="auto"/>
        <w:left w:val="none" w:sz="0" w:space="0" w:color="auto"/>
        <w:bottom w:val="none" w:sz="0" w:space="0" w:color="auto"/>
        <w:right w:val="none" w:sz="0" w:space="0" w:color="auto"/>
      </w:divBdr>
    </w:div>
    <w:div w:id="1106269146">
      <w:marLeft w:val="640"/>
      <w:marRight w:val="0"/>
      <w:marTop w:val="0"/>
      <w:marBottom w:val="0"/>
      <w:divBdr>
        <w:top w:val="none" w:sz="0" w:space="0" w:color="auto"/>
        <w:left w:val="none" w:sz="0" w:space="0" w:color="auto"/>
        <w:bottom w:val="none" w:sz="0" w:space="0" w:color="auto"/>
        <w:right w:val="none" w:sz="0" w:space="0" w:color="auto"/>
      </w:divBdr>
    </w:div>
    <w:div w:id="1106466937">
      <w:marLeft w:val="640"/>
      <w:marRight w:val="0"/>
      <w:marTop w:val="0"/>
      <w:marBottom w:val="0"/>
      <w:divBdr>
        <w:top w:val="none" w:sz="0" w:space="0" w:color="auto"/>
        <w:left w:val="none" w:sz="0" w:space="0" w:color="auto"/>
        <w:bottom w:val="none" w:sz="0" w:space="0" w:color="auto"/>
        <w:right w:val="none" w:sz="0" w:space="0" w:color="auto"/>
      </w:divBdr>
    </w:div>
    <w:div w:id="1106730592">
      <w:marLeft w:val="640"/>
      <w:marRight w:val="0"/>
      <w:marTop w:val="0"/>
      <w:marBottom w:val="0"/>
      <w:divBdr>
        <w:top w:val="none" w:sz="0" w:space="0" w:color="auto"/>
        <w:left w:val="none" w:sz="0" w:space="0" w:color="auto"/>
        <w:bottom w:val="none" w:sz="0" w:space="0" w:color="auto"/>
        <w:right w:val="none" w:sz="0" w:space="0" w:color="auto"/>
      </w:divBdr>
    </w:div>
    <w:div w:id="1109277512">
      <w:marLeft w:val="640"/>
      <w:marRight w:val="0"/>
      <w:marTop w:val="0"/>
      <w:marBottom w:val="0"/>
      <w:divBdr>
        <w:top w:val="none" w:sz="0" w:space="0" w:color="auto"/>
        <w:left w:val="none" w:sz="0" w:space="0" w:color="auto"/>
        <w:bottom w:val="none" w:sz="0" w:space="0" w:color="auto"/>
        <w:right w:val="none" w:sz="0" w:space="0" w:color="auto"/>
      </w:divBdr>
    </w:div>
    <w:div w:id="1109661706">
      <w:marLeft w:val="640"/>
      <w:marRight w:val="0"/>
      <w:marTop w:val="0"/>
      <w:marBottom w:val="0"/>
      <w:divBdr>
        <w:top w:val="none" w:sz="0" w:space="0" w:color="auto"/>
        <w:left w:val="none" w:sz="0" w:space="0" w:color="auto"/>
        <w:bottom w:val="none" w:sz="0" w:space="0" w:color="auto"/>
        <w:right w:val="none" w:sz="0" w:space="0" w:color="auto"/>
      </w:divBdr>
    </w:div>
    <w:div w:id="1109813244">
      <w:marLeft w:val="640"/>
      <w:marRight w:val="0"/>
      <w:marTop w:val="0"/>
      <w:marBottom w:val="0"/>
      <w:divBdr>
        <w:top w:val="none" w:sz="0" w:space="0" w:color="auto"/>
        <w:left w:val="none" w:sz="0" w:space="0" w:color="auto"/>
        <w:bottom w:val="none" w:sz="0" w:space="0" w:color="auto"/>
        <w:right w:val="none" w:sz="0" w:space="0" w:color="auto"/>
      </w:divBdr>
    </w:div>
    <w:div w:id="1110054157">
      <w:marLeft w:val="640"/>
      <w:marRight w:val="0"/>
      <w:marTop w:val="0"/>
      <w:marBottom w:val="0"/>
      <w:divBdr>
        <w:top w:val="none" w:sz="0" w:space="0" w:color="auto"/>
        <w:left w:val="none" w:sz="0" w:space="0" w:color="auto"/>
        <w:bottom w:val="none" w:sz="0" w:space="0" w:color="auto"/>
        <w:right w:val="none" w:sz="0" w:space="0" w:color="auto"/>
      </w:divBdr>
    </w:div>
    <w:div w:id="1110735406">
      <w:marLeft w:val="640"/>
      <w:marRight w:val="0"/>
      <w:marTop w:val="0"/>
      <w:marBottom w:val="0"/>
      <w:divBdr>
        <w:top w:val="none" w:sz="0" w:space="0" w:color="auto"/>
        <w:left w:val="none" w:sz="0" w:space="0" w:color="auto"/>
        <w:bottom w:val="none" w:sz="0" w:space="0" w:color="auto"/>
        <w:right w:val="none" w:sz="0" w:space="0" w:color="auto"/>
      </w:divBdr>
    </w:div>
    <w:div w:id="1111046887">
      <w:marLeft w:val="640"/>
      <w:marRight w:val="0"/>
      <w:marTop w:val="0"/>
      <w:marBottom w:val="0"/>
      <w:divBdr>
        <w:top w:val="none" w:sz="0" w:space="0" w:color="auto"/>
        <w:left w:val="none" w:sz="0" w:space="0" w:color="auto"/>
        <w:bottom w:val="none" w:sz="0" w:space="0" w:color="auto"/>
        <w:right w:val="none" w:sz="0" w:space="0" w:color="auto"/>
      </w:divBdr>
    </w:div>
    <w:div w:id="1111970189">
      <w:marLeft w:val="640"/>
      <w:marRight w:val="0"/>
      <w:marTop w:val="0"/>
      <w:marBottom w:val="0"/>
      <w:divBdr>
        <w:top w:val="none" w:sz="0" w:space="0" w:color="auto"/>
        <w:left w:val="none" w:sz="0" w:space="0" w:color="auto"/>
        <w:bottom w:val="none" w:sz="0" w:space="0" w:color="auto"/>
        <w:right w:val="none" w:sz="0" w:space="0" w:color="auto"/>
      </w:divBdr>
    </w:div>
    <w:div w:id="1113326840">
      <w:marLeft w:val="640"/>
      <w:marRight w:val="0"/>
      <w:marTop w:val="0"/>
      <w:marBottom w:val="0"/>
      <w:divBdr>
        <w:top w:val="none" w:sz="0" w:space="0" w:color="auto"/>
        <w:left w:val="none" w:sz="0" w:space="0" w:color="auto"/>
        <w:bottom w:val="none" w:sz="0" w:space="0" w:color="auto"/>
        <w:right w:val="none" w:sz="0" w:space="0" w:color="auto"/>
      </w:divBdr>
    </w:div>
    <w:div w:id="1114060946">
      <w:marLeft w:val="640"/>
      <w:marRight w:val="0"/>
      <w:marTop w:val="0"/>
      <w:marBottom w:val="0"/>
      <w:divBdr>
        <w:top w:val="none" w:sz="0" w:space="0" w:color="auto"/>
        <w:left w:val="none" w:sz="0" w:space="0" w:color="auto"/>
        <w:bottom w:val="none" w:sz="0" w:space="0" w:color="auto"/>
        <w:right w:val="none" w:sz="0" w:space="0" w:color="auto"/>
      </w:divBdr>
    </w:div>
    <w:div w:id="1115902914">
      <w:marLeft w:val="640"/>
      <w:marRight w:val="0"/>
      <w:marTop w:val="0"/>
      <w:marBottom w:val="0"/>
      <w:divBdr>
        <w:top w:val="none" w:sz="0" w:space="0" w:color="auto"/>
        <w:left w:val="none" w:sz="0" w:space="0" w:color="auto"/>
        <w:bottom w:val="none" w:sz="0" w:space="0" w:color="auto"/>
        <w:right w:val="none" w:sz="0" w:space="0" w:color="auto"/>
      </w:divBdr>
    </w:div>
    <w:div w:id="1116603481">
      <w:marLeft w:val="640"/>
      <w:marRight w:val="0"/>
      <w:marTop w:val="0"/>
      <w:marBottom w:val="0"/>
      <w:divBdr>
        <w:top w:val="none" w:sz="0" w:space="0" w:color="auto"/>
        <w:left w:val="none" w:sz="0" w:space="0" w:color="auto"/>
        <w:bottom w:val="none" w:sz="0" w:space="0" w:color="auto"/>
        <w:right w:val="none" w:sz="0" w:space="0" w:color="auto"/>
      </w:divBdr>
    </w:div>
    <w:div w:id="1116603817">
      <w:marLeft w:val="640"/>
      <w:marRight w:val="0"/>
      <w:marTop w:val="0"/>
      <w:marBottom w:val="0"/>
      <w:divBdr>
        <w:top w:val="none" w:sz="0" w:space="0" w:color="auto"/>
        <w:left w:val="none" w:sz="0" w:space="0" w:color="auto"/>
        <w:bottom w:val="none" w:sz="0" w:space="0" w:color="auto"/>
        <w:right w:val="none" w:sz="0" w:space="0" w:color="auto"/>
      </w:divBdr>
    </w:div>
    <w:div w:id="1116874971">
      <w:marLeft w:val="640"/>
      <w:marRight w:val="0"/>
      <w:marTop w:val="0"/>
      <w:marBottom w:val="0"/>
      <w:divBdr>
        <w:top w:val="none" w:sz="0" w:space="0" w:color="auto"/>
        <w:left w:val="none" w:sz="0" w:space="0" w:color="auto"/>
        <w:bottom w:val="none" w:sz="0" w:space="0" w:color="auto"/>
        <w:right w:val="none" w:sz="0" w:space="0" w:color="auto"/>
      </w:divBdr>
    </w:div>
    <w:div w:id="1117066976">
      <w:marLeft w:val="640"/>
      <w:marRight w:val="0"/>
      <w:marTop w:val="0"/>
      <w:marBottom w:val="0"/>
      <w:divBdr>
        <w:top w:val="none" w:sz="0" w:space="0" w:color="auto"/>
        <w:left w:val="none" w:sz="0" w:space="0" w:color="auto"/>
        <w:bottom w:val="none" w:sz="0" w:space="0" w:color="auto"/>
        <w:right w:val="none" w:sz="0" w:space="0" w:color="auto"/>
      </w:divBdr>
    </w:div>
    <w:div w:id="1117484808">
      <w:marLeft w:val="640"/>
      <w:marRight w:val="0"/>
      <w:marTop w:val="0"/>
      <w:marBottom w:val="0"/>
      <w:divBdr>
        <w:top w:val="none" w:sz="0" w:space="0" w:color="auto"/>
        <w:left w:val="none" w:sz="0" w:space="0" w:color="auto"/>
        <w:bottom w:val="none" w:sz="0" w:space="0" w:color="auto"/>
        <w:right w:val="none" w:sz="0" w:space="0" w:color="auto"/>
      </w:divBdr>
    </w:div>
    <w:div w:id="1117486469">
      <w:marLeft w:val="640"/>
      <w:marRight w:val="0"/>
      <w:marTop w:val="0"/>
      <w:marBottom w:val="0"/>
      <w:divBdr>
        <w:top w:val="none" w:sz="0" w:space="0" w:color="auto"/>
        <w:left w:val="none" w:sz="0" w:space="0" w:color="auto"/>
        <w:bottom w:val="none" w:sz="0" w:space="0" w:color="auto"/>
        <w:right w:val="none" w:sz="0" w:space="0" w:color="auto"/>
      </w:divBdr>
    </w:div>
    <w:div w:id="1118135623">
      <w:marLeft w:val="640"/>
      <w:marRight w:val="0"/>
      <w:marTop w:val="0"/>
      <w:marBottom w:val="0"/>
      <w:divBdr>
        <w:top w:val="none" w:sz="0" w:space="0" w:color="auto"/>
        <w:left w:val="none" w:sz="0" w:space="0" w:color="auto"/>
        <w:bottom w:val="none" w:sz="0" w:space="0" w:color="auto"/>
        <w:right w:val="none" w:sz="0" w:space="0" w:color="auto"/>
      </w:divBdr>
    </w:div>
    <w:div w:id="1119029524">
      <w:marLeft w:val="640"/>
      <w:marRight w:val="0"/>
      <w:marTop w:val="0"/>
      <w:marBottom w:val="0"/>
      <w:divBdr>
        <w:top w:val="none" w:sz="0" w:space="0" w:color="auto"/>
        <w:left w:val="none" w:sz="0" w:space="0" w:color="auto"/>
        <w:bottom w:val="none" w:sz="0" w:space="0" w:color="auto"/>
        <w:right w:val="none" w:sz="0" w:space="0" w:color="auto"/>
      </w:divBdr>
    </w:div>
    <w:div w:id="1119296802">
      <w:marLeft w:val="640"/>
      <w:marRight w:val="0"/>
      <w:marTop w:val="0"/>
      <w:marBottom w:val="0"/>
      <w:divBdr>
        <w:top w:val="none" w:sz="0" w:space="0" w:color="auto"/>
        <w:left w:val="none" w:sz="0" w:space="0" w:color="auto"/>
        <w:bottom w:val="none" w:sz="0" w:space="0" w:color="auto"/>
        <w:right w:val="none" w:sz="0" w:space="0" w:color="auto"/>
      </w:divBdr>
    </w:div>
    <w:div w:id="1119422093">
      <w:marLeft w:val="640"/>
      <w:marRight w:val="0"/>
      <w:marTop w:val="0"/>
      <w:marBottom w:val="0"/>
      <w:divBdr>
        <w:top w:val="none" w:sz="0" w:space="0" w:color="auto"/>
        <w:left w:val="none" w:sz="0" w:space="0" w:color="auto"/>
        <w:bottom w:val="none" w:sz="0" w:space="0" w:color="auto"/>
        <w:right w:val="none" w:sz="0" w:space="0" w:color="auto"/>
      </w:divBdr>
    </w:div>
    <w:div w:id="1120301160">
      <w:marLeft w:val="640"/>
      <w:marRight w:val="0"/>
      <w:marTop w:val="0"/>
      <w:marBottom w:val="0"/>
      <w:divBdr>
        <w:top w:val="none" w:sz="0" w:space="0" w:color="auto"/>
        <w:left w:val="none" w:sz="0" w:space="0" w:color="auto"/>
        <w:bottom w:val="none" w:sz="0" w:space="0" w:color="auto"/>
        <w:right w:val="none" w:sz="0" w:space="0" w:color="auto"/>
      </w:divBdr>
    </w:div>
    <w:div w:id="1120345144">
      <w:marLeft w:val="640"/>
      <w:marRight w:val="0"/>
      <w:marTop w:val="0"/>
      <w:marBottom w:val="0"/>
      <w:divBdr>
        <w:top w:val="none" w:sz="0" w:space="0" w:color="auto"/>
        <w:left w:val="none" w:sz="0" w:space="0" w:color="auto"/>
        <w:bottom w:val="none" w:sz="0" w:space="0" w:color="auto"/>
        <w:right w:val="none" w:sz="0" w:space="0" w:color="auto"/>
      </w:divBdr>
    </w:div>
    <w:div w:id="1120492838">
      <w:marLeft w:val="640"/>
      <w:marRight w:val="0"/>
      <w:marTop w:val="0"/>
      <w:marBottom w:val="0"/>
      <w:divBdr>
        <w:top w:val="none" w:sz="0" w:space="0" w:color="auto"/>
        <w:left w:val="none" w:sz="0" w:space="0" w:color="auto"/>
        <w:bottom w:val="none" w:sz="0" w:space="0" w:color="auto"/>
        <w:right w:val="none" w:sz="0" w:space="0" w:color="auto"/>
      </w:divBdr>
    </w:div>
    <w:div w:id="1120535225">
      <w:marLeft w:val="640"/>
      <w:marRight w:val="0"/>
      <w:marTop w:val="0"/>
      <w:marBottom w:val="0"/>
      <w:divBdr>
        <w:top w:val="none" w:sz="0" w:space="0" w:color="auto"/>
        <w:left w:val="none" w:sz="0" w:space="0" w:color="auto"/>
        <w:bottom w:val="none" w:sz="0" w:space="0" w:color="auto"/>
        <w:right w:val="none" w:sz="0" w:space="0" w:color="auto"/>
      </w:divBdr>
    </w:div>
    <w:div w:id="1120539832">
      <w:marLeft w:val="640"/>
      <w:marRight w:val="0"/>
      <w:marTop w:val="0"/>
      <w:marBottom w:val="0"/>
      <w:divBdr>
        <w:top w:val="none" w:sz="0" w:space="0" w:color="auto"/>
        <w:left w:val="none" w:sz="0" w:space="0" w:color="auto"/>
        <w:bottom w:val="none" w:sz="0" w:space="0" w:color="auto"/>
        <w:right w:val="none" w:sz="0" w:space="0" w:color="auto"/>
      </w:divBdr>
    </w:div>
    <w:div w:id="1123576905">
      <w:marLeft w:val="640"/>
      <w:marRight w:val="0"/>
      <w:marTop w:val="0"/>
      <w:marBottom w:val="0"/>
      <w:divBdr>
        <w:top w:val="none" w:sz="0" w:space="0" w:color="auto"/>
        <w:left w:val="none" w:sz="0" w:space="0" w:color="auto"/>
        <w:bottom w:val="none" w:sz="0" w:space="0" w:color="auto"/>
        <w:right w:val="none" w:sz="0" w:space="0" w:color="auto"/>
      </w:divBdr>
    </w:div>
    <w:div w:id="1123772585">
      <w:marLeft w:val="640"/>
      <w:marRight w:val="0"/>
      <w:marTop w:val="0"/>
      <w:marBottom w:val="0"/>
      <w:divBdr>
        <w:top w:val="none" w:sz="0" w:space="0" w:color="auto"/>
        <w:left w:val="none" w:sz="0" w:space="0" w:color="auto"/>
        <w:bottom w:val="none" w:sz="0" w:space="0" w:color="auto"/>
        <w:right w:val="none" w:sz="0" w:space="0" w:color="auto"/>
      </w:divBdr>
    </w:div>
    <w:div w:id="1124343718">
      <w:marLeft w:val="640"/>
      <w:marRight w:val="0"/>
      <w:marTop w:val="0"/>
      <w:marBottom w:val="0"/>
      <w:divBdr>
        <w:top w:val="none" w:sz="0" w:space="0" w:color="auto"/>
        <w:left w:val="none" w:sz="0" w:space="0" w:color="auto"/>
        <w:bottom w:val="none" w:sz="0" w:space="0" w:color="auto"/>
        <w:right w:val="none" w:sz="0" w:space="0" w:color="auto"/>
      </w:divBdr>
    </w:div>
    <w:div w:id="1126004258">
      <w:marLeft w:val="640"/>
      <w:marRight w:val="0"/>
      <w:marTop w:val="0"/>
      <w:marBottom w:val="0"/>
      <w:divBdr>
        <w:top w:val="none" w:sz="0" w:space="0" w:color="auto"/>
        <w:left w:val="none" w:sz="0" w:space="0" w:color="auto"/>
        <w:bottom w:val="none" w:sz="0" w:space="0" w:color="auto"/>
        <w:right w:val="none" w:sz="0" w:space="0" w:color="auto"/>
      </w:divBdr>
    </w:div>
    <w:div w:id="1126006625">
      <w:marLeft w:val="640"/>
      <w:marRight w:val="0"/>
      <w:marTop w:val="0"/>
      <w:marBottom w:val="0"/>
      <w:divBdr>
        <w:top w:val="none" w:sz="0" w:space="0" w:color="auto"/>
        <w:left w:val="none" w:sz="0" w:space="0" w:color="auto"/>
        <w:bottom w:val="none" w:sz="0" w:space="0" w:color="auto"/>
        <w:right w:val="none" w:sz="0" w:space="0" w:color="auto"/>
      </w:divBdr>
    </w:div>
    <w:div w:id="1126659283">
      <w:marLeft w:val="640"/>
      <w:marRight w:val="0"/>
      <w:marTop w:val="0"/>
      <w:marBottom w:val="0"/>
      <w:divBdr>
        <w:top w:val="none" w:sz="0" w:space="0" w:color="auto"/>
        <w:left w:val="none" w:sz="0" w:space="0" w:color="auto"/>
        <w:bottom w:val="none" w:sz="0" w:space="0" w:color="auto"/>
        <w:right w:val="none" w:sz="0" w:space="0" w:color="auto"/>
      </w:divBdr>
    </w:div>
    <w:div w:id="1126848990">
      <w:marLeft w:val="640"/>
      <w:marRight w:val="0"/>
      <w:marTop w:val="0"/>
      <w:marBottom w:val="0"/>
      <w:divBdr>
        <w:top w:val="none" w:sz="0" w:space="0" w:color="auto"/>
        <w:left w:val="none" w:sz="0" w:space="0" w:color="auto"/>
        <w:bottom w:val="none" w:sz="0" w:space="0" w:color="auto"/>
        <w:right w:val="none" w:sz="0" w:space="0" w:color="auto"/>
      </w:divBdr>
    </w:div>
    <w:div w:id="1127817280">
      <w:marLeft w:val="640"/>
      <w:marRight w:val="0"/>
      <w:marTop w:val="0"/>
      <w:marBottom w:val="0"/>
      <w:divBdr>
        <w:top w:val="none" w:sz="0" w:space="0" w:color="auto"/>
        <w:left w:val="none" w:sz="0" w:space="0" w:color="auto"/>
        <w:bottom w:val="none" w:sz="0" w:space="0" w:color="auto"/>
        <w:right w:val="none" w:sz="0" w:space="0" w:color="auto"/>
      </w:divBdr>
    </w:div>
    <w:div w:id="1129201222">
      <w:marLeft w:val="640"/>
      <w:marRight w:val="0"/>
      <w:marTop w:val="0"/>
      <w:marBottom w:val="0"/>
      <w:divBdr>
        <w:top w:val="none" w:sz="0" w:space="0" w:color="auto"/>
        <w:left w:val="none" w:sz="0" w:space="0" w:color="auto"/>
        <w:bottom w:val="none" w:sz="0" w:space="0" w:color="auto"/>
        <w:right w:val="none" w:sz="0" w:space="0" w:color="auto"/>
      </w:divBdr>
    </w:div>
    <w:div w:id="1130440331">
      <w:marLeft w:val="640"/>
      <w:marRight w:val="0"/>
      <w:marTop w:val="0"/>
      <w:marBottom w:val="0"/>
      <w:divBdr>
        <w:top w:val="none" w:sz="0" w:space="0" w:color="auto"/>
        <w:left w:val="none" w:sz="0" w:space="0" w:color="auto"/>
        <w:bottom w:val="none" w:sz="0" w:space="0" w:color="auto"/>
        <w:right w:val="none" w:sz="0" w:space="0" w:color="auto"/>
      </w:divBdr>
    </w:div>
    <w:div w:id="1132407525">
      <w:marLeft w:val="640"/>
      <w:marRight w:val="0"/>
      <w:marTop w:val="0"/>
      <w:marBottom w:val="0"/>
      <w:divBdr>
        <w:top w:val="none" w:sz="0" w:space="0" w:color="auto"/>
        <w:left w:val="none" w:sz="0" w:space="0" w:color="auto"/>
        <w:bottom w:val="none" w:sz="0" w:space="0" w:color="auto"/>
        <w:right w:val="none" w:sz="0" w:space="0" w:color="auto"/>
      </w:divBdr>
    </w:div>
    <w:div w:id="1132863201">
      <w:marLeft w:val="640"/>
      <w:marRight w:val="0"/>
      <w:marTop w:val="0"/>
      <w:marBottom w:val="0"/>
      <w:divBdr>
        <w:top w:val="none" w:sz="0" w:space="0" w:color="auto"/>
        <w:left w:val="none" w:sz="0" w:space="0" w:color="auto"/>
        <w:bottom w:val="none" w:sz="0" w:space="0" w:color="auto"/>
        <w:right w:val="none" w:sz="0" w:space="0" w:color="auto"/>
      </w:divBdr>
    </w:div>
    <w:div w:id="1133791115">
      <w:marLeft w:val="640"/>
      <w:marRight w:val="0"/>
      <w:marTop w:val="0"/>
      <w:marBottom w:val="0"/>
      <w:divBdr>
        <w:top w:val="none" w:sz="0" w:space="0" w:color="auto"/>
        <w:left w:val="none" w:sz="0" w:space="0" w:color="auto"/>
        <w:bottom w:val="none" w:sz="0" w:space="0" w:color="auto"/>
        <w:right w:val="none" w:sz="0" w:space="0" w:color="auto"/>
      </w:divBdr>
    </w:div>
    <w:div w:id="1134249128">
      <w:marLeft w:val="640"/>
      <w:marRight w:val="0"/>
      <w:marTop w:val="0"/>
      <w:marBottom w:val="0"/>
      <w:divBdr>
        <w:top w:val="none" w:sz="0" w:space="0" w:color="auto"/>
        <w:left w:val="none" w:sz="0" w:space="0" w:color="auto"/>
        <w:bottom w:val="none" w:sz="0" w:space="0" w:color="auto"/>
        <w:right w:val="none" w:sz="0" w:space="0" w:color="auto"/>
      </w:divBdr>
    </w:div>
    <w:div w:id="1134252184">
      <w:marLeft w:val="640"/>
      <w:marRight w:val="0"/>
      <w:marTop w:val="0"/>
      <w:marBottom w:val="0"/>
      <w:divBdr>
        <w:top w:val="none" w:sz="0" w:space="0" w:color="auto"/>
        <w:left w:val="none" w:sz="0" w:space="0" w:color="auto"/>
        <w:bottom w:val="none" w:sz="0" w:space="0" w:color="auto"/>
        <w:right w:val="none" w:sz="0" w:space="0" w:color="auto"/>
      </w:divBdr>
    </w:div>
    <w:div w:id="1134297489">
      <w:marLeft w:val="640"/>
      <w:marRight w:val="0"/>
      <w:marTop w:val="0"/>
      <w:marBottom w:val="0"/>
      <w:divBdr>
        <w:top w:val="none" w:sz="0" w:space="0" w:color="auto"/>
        <w:left w:val="none" w:sz="0" w:space="0" w:color="auto"/>
        <w:bottom w:val="none" w:sz="0" w:space="0" w:color="auto"/>
        <w:right w:val="none" w:sz="0" w:space="0" w:color="auto"/>
      </w:divBdr>
    </w:div>
    <w:div w:id="1134560053">
      <w:marLeft w:val="640"/>
      <w:marRight w:val="0"/>
      <w:marTop w:val="0"/>
      <w:marBottom w:val="0"/>
      <w:divBdr>
        <w:top w:val="none" w:sz="0" w:space="0" w:color="auto"/>
        <w:left w:val="none" w:sz="0" w:space="0" w:color="auto"/>
        <w:bottom w:val="none" w:sz="0" w:space="0" w:color="auto"/>
        <w:right w:val="none" w:sz="0" w:space="0" w:color="auto"/>
      </w:divBdr>
    </w:div>
    <w:div w:id="1134567075">
      <w:marLeft w:val="640"/>
      <w:marRight w:val="0"/>
      <w:marTop w:val="0"/>
      <w:marBottom w:val="0"/>
      <w:divBdr>
        <w:top w:val="none" w:sz="0" w:space="0" w:color="auto"/>
        <w:left w:val="none" w:sz="0" w:space="0" w:color="auto"/>
        <w:bottom w:val="none" w:sz="0" w:space="0" w:color="auto"/>
        <w:right w:val="none" w:sz="0" w:space="0" w:color="auto"/>
      </w:divBdr>
    </w:div>
    <w:div w:id="1135830587">
      <w:marLeft w:val="640"/>
      <w:marRight w:val="0"/>
      <w:marTop w:val="0"/>
      <w:marBottom w:val="0"/>
      <w:divBdr>
        <w:top w:val="none" w:sz="0" w:space="0" w:color="auto"/>
        <w:left w:val="none" w:sz="0" w:space="0" w:color="auto"/>
        <w:bottom w:val="none" w:sz="0" w:space="0" w:color="auto"/>
        <w:right w:val="none" w:sz="0" w:space="0" w:color="auto"/>
      </w:divBdr>
    </w:div>
    <w:div w:id="1136144649">
      <w:marLeft w:val="640"/>
      <w:marRight w:val="0"/>
      <w:marTop w:val="0"/>
      <w:marBottom w:val="0"/>
      <w:divBdr>
        <w:top w:val="none" w:sz="0" w:space="0" w:color="auto"/>
        <w:left w:val="none" w:sz="0" w:space="0" w:color="auto"/>
        <w:bottom w:val="none" w:sz="0" w:space="0" w:color="auto"/>
        <w:right w:val="none" w:sz="0" w:space="0" w:color="auto"/>
      </w:divBdr>
    </w:div>
    <w:div w:id="1136340125">
      <w:marLeft w:val="640"/>
      <w:marRight w:val="0"/>
      <w:marTop w:val="0"/>
      <w:marBottom w:val="0"/>
      <w:divBdr>
        <w:top w:val="none" w:sz="0" w:space="0" w:color="auto"/>
        <w:left w:val="none" w:sz="0" w:space="0" w:color="auto"/>
        <w:bottom w:val="none" w:sz="0" w:space="0" w:color="auto"/>
        <w:right w:val="none" w:sz="0" w:space="0" w:color="auto"/>
      </w:divBdr>
    </w:div>
    <w:div w:id="1136408120">
      <w:marLeft w:val="640"/>
      <w:marRight w:val="0"/>
      <w:marTop w:val="0"/>
      <w:marBottom w:val="0"/>
      <w:divBdr>
        <w:top w:val="none" w:sz="0" w:space="0" w:color="auto"/>
        <w:left w:val="none" w:sz="0" w:space="0" w:color="auto"/>
        <w:bottom w:val="none" w:sz="0" w:space="0" w:color="auto"/>
        <w:right w:val="none" w:sz="0" w:space="0" w:color="auto"/>
      </w:divBdr>
    </w:div>
    <w:div w:id="1136411707">
      <w:marLeft w:val="640"/>
      <w:marRight w:val="0"/>
      <w:marTop w:val="0"/>
      <w:marBottom w:val="0"/>
      <w:divBdr>
        <w:top w:val="none" w:sz="0" w:space="0" w:color="auto"/>
        <w:left w:val="none" w:sz="0" w:space="0" w:color="auto"/>
        <w:bottom w:val="none" w:sz="0" w:space="0" w:color="auto"/>
        <w:right w:val="none" w:sz="0" w:space="0" w:color="auto"/>
      </w:divBdr>
    </w:div>
    <w:div w:id="1136944806">
      <w:marLeft w:val="640"/>
      <w:marRight w:val="0"/>
      <w:marTop w:val="0"/>
      <w:marBottom w:val="0"/>
      <w:divBdr>
        <w:top w:val="none" w:sz="0" w:space="0" w:color="auto"/>
        <w:left w:val="none" w:sz="0" w:space="0" w:color="auto"/>
        <w:bottom w:val="none" w:sz="0" w:space="0" w:color="auto"/>
        <w:right w:val="none" w:sz="0" w:space="0" w:color="auto"/>
      </w:divBdr>
    </w:div>
    <w:div w:id="1137139221">
      <w:marLeft w:val="640"/>
      <w:marRight w:val="0"/>
      <w:marTop w:val="0"/>
      <w:marBottom w:val="0"/>
      <w:divBdr>
        <w:top w:val="none" w:sz="0" w:space="0" w:color="auto"/>
        <w:left w:val="none" w:sz="0" w:space="0" w:color="auto"/>
        <w:bottom w:val="none" w:sz="0" w:space="0" w:color="auto"/>
        <w:right w:val="none" w:sz="0" w:space="0" w:color="auto"/>
      </w:divBdr>
    </w:div>
    <w:div w:id="1137457875">
      <w:marLeft w:val="640"/>
      <w:marRight w:val="0"/>
      <w:marTop w:val="0"/>
      <w:marBottom w:val="0"/>
      <w:divBdr>
        <w:top w:val="none" w:sz="0" w:space="0" w:color="auto"/>
        <w:left w:val="none" w:sz="0" w:space="0" w:color="auto"/>
        <w:bottom w:val="none" w:sz="0" w:space="0" w:color="auto"/>
        <w:right w:val="none" w:sz="0" w:space="0" w:color="auto"/>
      </w:divBdr>
    </w:div>
    <w:div w:id="1140077890">
      <w:marLeft w:val="640"/>
      <w:marRight w:val="0"/>
      <w:marTop w:val="0"/>
      <w:marBottom w:val="0"/>
      <w:divBdr>
        <w:top w:val="none" w:sz="0" w:space="0" w:color="auto"/>
        <w:left w:val="none" w:sz="0" w:space="0" w:color="auto"/>
        <w:bottom w:val="none" w:sz="0" w:space="0" w:color="auto"/>
        <w:right w:val="none" w:sz="0" w:space="0" w:color="auto"/>
      </w:divBdr>
    </w:div>
    <w:div w:id="1140196548">
      <w:marLeft w:val="640"/>
      <w:marRight w:val="0"/>
      <w:marTop w:val="0"/>
      <w:marBottom w:val="0"/>
      <w:divBdr>
        <w:top w:val="none" w:sz="0" w:space="0" w:color="auto"/>
        <w:left w:val="none" w:sz="0" w:space="0" w:color="auto"/>
        <w:bottom w:val="none" w:sz="0" w:space="0" w:color="auto"/>
        <w:right w:val="none" w:sz="0" w:space="0" w:color="auto"/>
      </w:divBdr>
    </w:div>
    <w:div w:id="1140342013">
      <w:marLeft w:val="640"/>
      <w:marRight w:val="0"/>
      <w:marTop w:val="0"/>
      <w:marBottom w:val="0"/>
      <w:divBdr>
        <w:top w:val="none" w:sz="0" w:space="0" w:color="auto"/>
        <w:left w:val="none" w:sz="0" w:space="0" w:color="auto"/>
        <w:bottom w:val="none" w:sz="0" w:space="0" w:color="auto"/>
        <w:right w:val="none" w:sz="0" w:space="0" w:color="auto"/>
      </w:divBdr>
    </w:div>
    <w:div w:id="1142113326">
      <w:marLeft w:val="640"/>
      <w:marRight w:val="0"/>
      <w:marTop w:val="0"/>
      <w:marBottom w:val="0"/>
      <w:divBdr>
        <w:top w:val="none" w:sz="0" w:space="0" w:color="auto"/>
        <w:left w:val="none" w:sz="0" w:space="0" w:color="auto"/>
        <w:bottom w:val="none" w:sz="0" w:space="0" w:color="auto"/>
        <w:right w:val="none" w:sz="0" w:space="0" w:color="auto"/>
      </w:divBdr>
    </w:div>
    <w:div w:id="1142650293">
      <w:marLeft w:val="640"/>
      <w:marRight w:val="0"/>
      <w:marTop w:val="0"/>
      <w:marBottom w:val="0"/>
      <w:divBdr>
        <w:top w:val="none" w:sz="0" w:space="0" w:color="auto"/>
        <w:left w:val="none" w:sz="0" w:space="0" w:color="auto"/>
        <w:bottom w:val="none" w:sz="0" w:space="0" w:color="auto"/>
        <w:right w:val="none" w:sz="0" w:space="0" w:color="auto"/>
      </w:divBdr>
    </w:div>
    <w:div w:id="1142846396">
      <w:marLeft w:val="640"/>
      <w:marRight w:val="0"/>
      <w:marTop w:val="0"/>
      <w:marBottom w:val="0"/>
      <w:divBdr>
        <w:top w:val="none" w:sz="0" w:space="0" w:color="auto"/>
        <w:left w:val="none" w:sz="0" w:space="0" w:color="auto"/>
        <w:bottom w:val="none" w:sz="0" w:space="0" w:color="auto"/>
        <w:right w:val="none" w:sz="0" w:space="0" w:color="auto"/>
      </w:divBdr>
    </w:div>
    <w:div w:id="1143081132">
      <w:marLeft w:val="640"/>
      <w:marRight w:val="0"/>
      <w:marTop w:val="0"/>
      <w:marBottom w:val="0"/>
      <w:divBdr>
        <w:top w:val="none" w:sz="0" w:space="0" w:color="auto"/>
        <w:left w:val="none" w:sz="0" w:space="0" w:color="auto"/>
        <w:bottom w:val="none" w:sz="0" w:space="0" w:color="auto"/>
        <w:right w:val="none" w:sz="0" w:space="0" w:color="auto"/>
      </w:divBdr>
    </w:div>
    <w:div w:id="1143351648">
      <w:marLeft w:val="640"/>
      <w:marRight w:val="0"/>
      <w:marTop w:val="0"/>
      <w:marBottom w:val="0"/>
      <w:divBdr>
        <w:top w:val="none" w:sz="0" w:space="0" w:color="auto"/>
        <w:left w:val="none" w:sz="0" w:space="0" w:color="auto"/>
        <w:bottom w:val="none" w:sz="0" w:space="0" w:color="auto"/>
        <w:right w:val="none" w:sz="0" w:space="0" w:color="auto"/>
      </w:divBdr>
    </w:div>
    <w:div w:id="1143355747">
      <w:marLeft w:val="640"/>
      <w:marRight w:val="0"/>
      <w:marTop w:val="0"/>
      <w:marBottom w:val="0"/>
      <w:divBdr>
        <w:top w:val="none" w:sz="0" w:space="0" w:color="auto"/>
        <w:left w:val="none" w:sz="0" w:space="0" w:color="auto"/>
        <w:bottom w:val="none" w:sz="0" w:space="0" w:color="auto"/>
        <w:right w:val="none" w:sz="0" w:space="0" w:color="auto"/>
      </w:divBdr>
    </w:div>
    <w:div w:id="1144002911">
      <w:marLeft w:val="640"/>
      <w:marRight w:val="0"/>
      <w:marTop w:val="0"/>
      <w:marBottom w:val="0"/>
      <w:divBdr>
        <w:top w:val="none" w:sz="0" w:space="0" w:color="auto"/>
        <w:left w:val="none" w:sz="0" w:space="0" w:color="auto"/>
        <w:bottom w:val="none" w:sz="0" w:space="0" w:color="auto"/>
        <w:right w:val="none" w:sz="0" w:space="0" w:color="auto"/>
      </w:divBdr>
    </w:div>
    <w:div w:id="1144277342">
      <w:marLeft w:val="640"/>
      <w:marRight w:val="0"/>
      <w:marTop w:val="0"/>
      <w:marBottom w:val="0"/>
      <w:divBdr>
        <w:top w:val="none" w:sz="0" w:space="0" w:color="auto"/>
        <w:left w:val="none" w:sz="0" w:space="0" w:color="auto"/>
        <w:bottom w:val="none" w:sz="0" w:space="0" w:color="auto"/>
        <w:right w:val="none" w:sz="0" w:space="0" w:color="auto"/>
      </w:divBdr>
    </w:div>
    <w:div w:id="1144350973">
      <w:marLeft w:val="640"/>
      <w:marRight w:val="0"/>
      <w:marTop w:val="0"/>
      <w:marBottom w:val="0"/>
      <w:divBdr>
        <w:top w:val="none" w:sz="0" w:space="0" w:color="auto"/>
        <w:left w:val="none" w:sz="0" w:space="0" w:color="auto"/>
        <w:bottom w:val="none" w:sz="0" w:space="0" w:color="auto"/>
        <w:right w:val="none" w:sz="0" w:space="0" w:color="auto"/>
      </w:divBdr>
    </w:div>
    <w:div w:id="1145125743">
      <w:marLeft w:val="640"/>
      <w:marRight w:val="0"/>
      <w:marTop w:val="0"/>
      <w:marBottom w:val="0"/>
      <w:divBdr>
        <w:top w:val="none" w:sz="0" w:space="0" w:color="auto"/>
        <w:left w:val="none" w:sz="0" w:space="0" w:color="auto"/>
        <w:bottom w:val="none" w:sz="0" w:space="0" w:color="auto"/>
        <w:right w:val="none" w:sz="0" w:space="0" w:color="auto"/>
      </w:divBdr>
    </w:div>
    <w:div w:id="1145585318">
      <w:marLeft w:val="640"/>
      <w:marRight w:val="0"/>
      <w:marTop w:val="0"/>
      <w:marBottom w:val="0"/>
      <w:divBdr>
        <w:top w:val="none" w:sz="0" w:space="0" w:color="auto"/>
        <w:left w:val="none" w:sz="0" w:space="0" w:color="auto"/>
        <w:bottom w:val="none" w:sz="0" w:space="0" w:color="auto"/>
        <w:right w:val="none" w:sz="0" w:space="0" w:color="auto"/>
      </w:divBdr>
    </w:div>
    <w:div w:id="1146781398">
      <w:marLeft w:val="640"/>
      <w:marRight w:val="0"/>
      <w:marTop w:val="0"/>
      <w:marBottom w:val="0"/>
      <w:divBdr>
        <w:top w:val="none" w:sz="0" w:space="0" w:color="auto"/>
        <w:left w:val="none" w:sz="0" w:space="0" w:color="auto"/>
        <w:bottom w:val="none" w:sz="0" w:space="0" w:color="auto"/>
        <w:right w:val="none" w:sz="0" w:space="0" w:color="auto"/>
      </w:divBdr>
    </w:div>
    <w:div w:id="1147355074">
      <w:marLeft w:val="640"/>
      <w:marRight w:val="0"/>
      <w:marTop w:val="0"/>
      <w:marBottom w:val="0"/>
      <w:divBdr>
        <w:top w:val="none" w:sz="0" w:space="0" w:color="auto"/>
        <w:left w:val="none" w:sz="0" w:space="0" w:color="auto"/>
        <w:bottom w:val="none" w:sz="0" w:space="0" w:color="auto"/>
        <w:right w:val="none" w:sz="0" w:space="0" w:color="auto"/>
      </w:divBdr>
    </w:div>
    <w:div w:id="1147552010">
      <w:marLeft w:val="640"/>
      <w:marRight w:val="0"/>
      <w:marTop w:val="0"/>
      <w:marBottom w:val="0"/>
      <w:divBdr>
        <w:top w:val="none" w:sz="0" w:space="0" w:color="auto"/>
        <w:left w:val="none" w:sz="0" w:space="0" w:color="auto"/>
        <w:bottom w:val="none" w:sz="0" w:space="0" w:color="auto"/>
        <w:right w:val="none" w:sz="0" w:space="0" w:color="auto"/>
      </w:divBdr>
    </w:div>
    <w:div w:id="1148202142">
      <w:marLeft w:val="640"/>
      <w:marRight w:val="0"/>
      <w:marTop w:val="0"/>
      <w:marBottom w:val="0"/>
      <w:divBdr>
        <w:top w:val="none" w:sz="0" w:space="0" w:color="auto"/>
        <w:left w:val="none" w:sz="0" w:space="0" w:color="auto"/>
        <w:bottom w:val="none" w:sz="0" w:space="0" w:color="auto"/>
        <w:right w:val="none" w:sz="0" w:space="0" w:color="auto"/>
      </w:divBdr>
    </w:div>
    <w:div w:id="1148286539">
      <w:marLeft w:val="640"/>
      <w:marRight w:val="0"/>
      <w:marTop w:val="0"/>
      <w:marBottom w:val="0"/>
      <w:divBdr>
        <w:top w:val="none" w:sz="0" w:space="0" w:color="auto"/>
        <w:left w:val="none" w:sz="0" w:space="0" w:color="auto"/>
        <w:bottom w:val="none" w:sz="0" w:space="0" w:color="auto"/>
        <w:right w:val="none" w:sz="0" w:space="0" w:color="auto"/>
      </w:divBdr>
    </w:div>
    <w:div w:id="1149320574">
      <w:marLeft w:val="640"/>
      <w:marRight w:val="0"/>
      <w:marTop w:val="0"/>
      <w:marBottom w:val="0"/>
      <w:divBdr>
        <w:top w:val="none" w:sz="0" w:space="0" w:color="auto"/>
        <w:left w:val="none" w:sz="0" w:space="0" w:color="auto"/>
        <w:bottom w:val="none" w:sz="0" w:space="0" w:color="auto"/>
        <w:right w:val="none" w:sz="0" w:space="0" w:color="auto"/>
      </w:divBdr>
    </w:div>
    <w:div w:id="1150555783">
      <w:marLeft w:val="640"/>
      <w:marRight w:val="0"/>
      <w:marTop w:val="0"/>
      <w:marBottom w:val="0"/>
      <w:divBdr>
        <w:top w:val="none" w:sz="0" w:space="0" w:color="auto"/>
        <w:left w:val="none" w:sz="0" w:space="0" w:color="auto"/>
        <w:bottom w:val="none" w:sz="0" w:space="0" w:color="auto"/>
        <w:right w:val="none" w:sz="0" w:space="0" w:color="auto"/>
      </w:divBdr>
    </w:div>
    <w:div w:id="1150755786">
      <w:marLeft w:val="640"/>
      <w:marRight w:val="0"/>
      <w:marTop w:val="0"/>
      <w:marBottom w:val="0"/>
      <w:divBdr>
        <w:top w:val="none" w:sz="0" w:space="0" w:color="auto"/>
        <w:left w:val="none" w:sz="0" w:space="0" w:color="auto"/>
        <w:bottom w:val="none" w:sz="0" w:space="0" w:color="auto"/>
        <w:right w:val="none" w:sz="0" w:space="0" w:color="auto"/>
      </w:divBdr>
    </w:div>
    <w:div w:id="1150825615">
      <w:marLeft w:val="640"/>
      <w:marRight w:val="0"/>
      <w:marTop w:val="0"/>
      <w:marBottom w:val="0"/>
      <w:divBdr>
        <w:top w:val="none" w:sz="0" w:space="0" w:color="auto"/>
        <w:left w:val="none" w:sz="0" w:space="0" w:color="auto"/>
        <w:bottom w:val="none" w:sz="0" w:space="0" w:color="auto"/>
        <w:right w:val="none" w:sz="0" w:space="0" w:color="auto"/>
      </w:divBdr>
    </w:div>
    <w:div w:id="1151292928">
      <w:marLeft w:val="640"/>
      <w:marRight w:val="0"/>
      <w:marTop w:val="0"/>
      <w:marBottom w:val="0"/>
      <w:divBdr>
        <w:top w:val="none" w:sz="0" w:space="0" w:color="auto"/>
        <w:left w:val="none" w:sz="0" w:space="0" w:color="auto"/>
        <w:bottom w:val="none" w:sz="0" w:space="0" w:color="auto"/>
        <w:right w:val="none" w:sz="0" w:space="0" w:color="auto"/>
      </w:divBdr>
    </w:div>
    <w:div w:id="1151362301">
      <w:marLeft w:val="640"/>
      <w:marRight w:val="0"/>
      <w:marTop w:val="0"/>
      <w:marBottom w:val="0"/>
      <w:divBdr>
        <w:top w:val="none" w:sz="0" w:space="0" w:color="auto"/>
        <w:left w:val="none" w:sz="0" w:space="0" w:color="auto"/>
        <w:bottom w:val="none" w:sz="0" w:space="0" w:color="auto"/>
        <w:right w:val="none" w:sz="0" w:space="0" w:color="auto"/>
      </w:divBdr>
    </w:div>
    <w:div w:id="1151600695">
      <w:marLeft w:val="640"/>
      <w:marRight w:val="0"/>
      <w:marTop w:val="0"/>
      <w:marBottom w:val="0"/>
      <w:divBdr>
        <w:top w:val="none" w:sz="0" w:space="0" w:color="auto"/>
        <w:left w:val="none" w:sz="0" w:space="0" w:color="auto"/>
        <w:bottom w:val="none" w:sz="0" w:space="0" w:color="auto"/>
        <w:right w:val="none" w:sz="0" w:space="0" w:color="auto"/>
      </w:divBdr>
    </w:div>
    <w:div w:id="1153255571">
      <w:marLeft w:val="640"/>
      <w:marRight w:val="0"/>
      <w:marTop w:val="0"/>
      <w:marBottom w:val="0"/>
      <w:divBdr>
        <w:top w:val="none" w:sz="0" w:space="0" w:color="auto"/>
        <w:left w:val="none" w:sz="0" w:space="0" w:color="auto"/>
        <w:bottom w:val="none" w:sz="0" w:space="0" w:color="auto"/>
        <w:right w:val="none" w:sz="0" w:space="0" w:color="auto"/>
      </w:divBdr>
    </w:div>
    <w:div w:id="1153567518">
      <w:marLeft w:val="640"/>
      <w:marRight w:val="0"/>
      <w:marTop w:val="0"/>
      <w:marBottom w:val="0"/>
      <w:divBdr>
        <w:top w:val="none" w:sz="0" w:space="0" w:color="auto"/>
        <w:left w:val="none" w:sz="0" w:space="0" w:color="auto"/>
        <w:bottom w:val="none" w:sz="0" w:space="0" w:color="auto"/>
        <w:right w:val="none" w:sz="0" w:space="0" w:color="auto"/>
      </w:divBdr>
    </w:div>
    <w:div w:id="1153721360">
      <w:marLeft w:val="640"/>
      <w:marRight w:val="0"/>
      <w:marTop w:val="0"/>
      <w:marBottom w:val="0"/>
      <w:divBdr>
        <w:top w:val="none" w:sz="0" w:space="0" w:color="auto"/>
        <w:left w:val="none" w:sz="0" w:space="0" w:color="auto"/>
        <w:bottom w:val="none" w:sz="0" w:space="0" w:color="auto"/>
        <w:right w:val="none" w:sz="0" w:space="0" w:color="auto"/>
      </w:divBdr>
    </w:div>
    <w:div w:id="1153789684">
      <w:marLeft w:val="640"/>
      <w:marRight w:val="0"/>
      <w:marTop w:val="0"/>
      <w:marBottom w:val="0"/>
      <w:divBdr>
        <w:top w:val="none" w:sz="0" w:space="0" w:color="auto"/>
        <w:left w:val="none" w:sz="0" w:space="0" w:color="auto"/>
        <w:bottom w:val="none" w:sz="0" w:space="0" w:color="auto"/>
        <w:right w:val="none" w:sz="0" w:space="0" w:color="auto"/>
      </w:divBdr>
    </w:div>
    <w:div w:id="1154106334">
      <w:marLeft w:val="640"/>
      <w:marRight w:val="0"/>
      <w:marTop w:val="0"/>
      <w:marBottom w:val="0"/>
      <w:divBdr>
        <w:top w:val="none" w:sz="0" w:space="0" w:color="auto"/>
        <w:left w:val="none" w:sz="0" w:space="0" w:color="auto"/>
        <w:bottom w:val="none" w:sz="0" w:space="0" w:color="auto"/>
        <w:right w:val="none" w:sz="0" w:space="0" w:color="auto"/>
      </w:divBdr>
    </w:div>
    <w:div w:id="1154419676">
      <w:marLeft w:val="640"/>
      <w:marRight w:val="0"/>
      <w:marTop w:val="0"/>
      <w:marBottom w:val="0"/>
      <w:divBdr>
        <w:top w:val="none" w:sz="0" w:space="0" w:color="auto"/>
        <w:left w:val="none" w:sz="0" w:space="0" w:color="auto"/>
        <w:bottom w:val="none" w:sz="0" w:space="0" w:color="auto"/>
        <w:right w:val="none" w:sz="0" w:space="0" w:color="auto"/>
      </w:divBdr>
    </w:div>
    <w:div w:id="1154686419">
      <w:marLeft w:val="640"/>
      <w:marRight w:val="0"/>
      <w:marTop w:val="0"/>
      <w:marBottom w:val="0"/>
      <w:divBdr>
        <w:top w:val="none" w:sz="0" w:space="0" w:color="auto"/>
        <w:left w:val="none" w:sz="0" w:space="0" w:color="auto"/>
        <w:bottom w:val="none" w:sz="0" w:space="0" w:color="auto"/>
        <w:right w:val="none" w:sz="0" w:space="0" w:color="auto"/>
      </w:divBdr>
    </w:div>
    <w:div w:id="1154762620">
      <w:marLeft w:val="640"/>
      <w:marRight w:val="0"/>
      <w:marTop w:val="0"/>
      <w:marBottom w:val="0"/>
      <w:divBdr>
        <w:top w:val="none" w:sz="0" w:space="0" w:color="auto"/>
        <w:left w:val="none" w:sz="0" w:space="0" w:color="auto"/>
        <w:bottom w:val="none" w:sz="0" w:space="0" w:color="auto"/>
        <w:right w:val="none" w:sz="0" w:space="0" w:color="auto"/>
      </w:divBdr>
    </w:div>
    <w:div w:id="1154907525">
      <w:marLeft w:val="640"/>
      <w:marRight w:val="0"/>
      <w:marTop w:val="0"/>
      <w:marBottom w:val="0"/>
      <w:divBdr>
        <w:top w:val="none" w:sz="0" w:space="0" w:color="auto"/>
        <w:left w:val="none" w:sz="0" w:space="0" w:color="auto"/>
        <w:bottom w:val="none" w:sz="0" w:space="0" w:color="auto"/>
        <w:right w:val="none" w:sz="0" w:space="0" w:color="auto"/>
      </w:divBdr>
    </w:div>
    <w:div w:id="1155031511">
      <w:marLeft w:val="640"/>
      <w:marRight w:val="0"/>
      <w:marTop w:val="0"/>
      <w:marBottom w:val="0"/>
      <w:divBdr>
        <w:top w:val="none" w:sz="0" w:space="0" w:color="auto"/>
        <w:left w:val="none" w:sz="0" w:space="0" w:color="auto"/>
        <w:bottom w:val="none" w:sz="0" w:space="0" w:color="auto"/>
        <w:right w:val="none" w:sz="0" w:space="0" w:color="auto"/>
      </w:divBdr>
    </w:div>
    <w:div w:id="1156068582">
      <w:marLeft w:val="640"/>
      <w:marRight w:val="0"/>
      <w:marTop w:val="0"/>
      <w:marBottom w:val="0"/>
      <w:divBdr>
        <w:top w:val="none" w:sz="0" w:space="0" w:color="auto"/>
        <w:left w:val="none" w:sz="0" w:space="0" w:color="auto"/>
        <w:bottom w:val="none" w:sz="0" w:space="0" w:color="auto"/>
        <w:right w:val="none" w:sz="0" w:space="0" w:color="auto"/>
      </w:divBdr>
    </w:div>
    <w:div w:id="1156188443">
      <w:marLeft w:val="640"/>
      <w:marRight w:val="0"/>
      <w:marTop w:val="0"/>
      <w:marBottom w:val="0"/>
      <w:divBdr>
        <w:top w:val="none" w:sz="0" w:space="0" w:color="auto"/>
        <w:left w:val="none" w:sz="0" w:space="0" w:color="auto"/>
        <w:bottom w:val="none" w:sz="0" w:space="0" w:color="auto"/>
        <w:right w:val="none" w:sz="0" w:space="0" w:color="auto"/>
      </w:divBdr>
    </w:div>
    <w:div w:id="1156610682">
      <w:marLeft w:val="640"/>
      <w:marRight w:val="0"/>
      <w:marTop w:val="0"/>
      <w:marBottom w:val="0"/>
      <w:divBdr>
        <w:top w:val="none" w:sz="0" w:space="0" w:color="auto"/>
        <w:left w:val="none" w:sz="0" w:space="0" w:color="auto"/>
        <w:bottom w:val="none" w:sz="0" w:space="0" w:color="auto"/>
        <w:right w:val="none" w:sz="0" w:space="0" w:color="auto"/>
      </w:divBdr>
    </w:div>
    <w:div w:id="1156651047">
      <w:marLeft w:val="640"/>
      <w:marRight w:val="0"/>
      <w:marTop w:val="0"/>
      <w:marBottom w:val="0"/>
      <w:divBdr>
        <w:top w:val="none" w:sz="0" w:space="0" w:color="auto"/>
        <w:left w:val="none" w:sz="0" w:space="0" w:color="auto"/>
        <w:bottom w:val="none" w:sz="0" w:space="0" w:color="auto"/>
        <w:right w:val="none" w:sz="0" w:space="0" w:color="auto"/>
      </w:divBdr>
    </w:div>
    <w:div w:id="1156915524">
      <w:marLeft w:val="640"/>
      <w:marRight w:val="0"/>
      <w:marTop w:val="0"/>
      <w:marBottom w:val="0"/>
      <w:divBdr>
        <w:top w:val="none" w:sz="0" w:space="0" w:color="auto"/>
        <w:left w:val="none" w:sz="0" w:space="0" w:color="auto"/>
        <w:bottom w:val="none" w:sz="0" w:space="0" w:color="auto"/>
        <w:right w:val="none" w:sz="0" w:space="0" w:color="auto"/>
      </w:divBdr>
    </w:div>
    <w:div w:id="1157571322">
      <w:marLeft w:val="640"/>
      <w:marRight w:val="0"/>
      <w:marTop w:val="0"/>
      <w:marBottom w:val="0"/>
      <w:divBdr>
        <w:top w:val="none" w:sz="0" w:space="0" w:color="auto"/>
        <w:left w:val="none" w:sz="0" w:space="0" w:color="auto"/>
        <w:bottom w:val="none" w:sz="0" w:space="0" w:color="auto"/>
        <w:right w:val="none" w:sz="0" w:space="0" w:color="auto"/>
      </w:divBdr>
    </w:div>
    <w:div w:id="1158493547">
      <w:marLeft w:val="640"/>
      <w:marRight w:val="0"/>
      <w:marTop w:val="0"/>
      <w:marBottom w:val="0"/>
      <w:divBdr>
        <w:top w:val="none" w:sz="0" w:space="0" w:color="auto"/>
        <w:left w:val="none" w:sz="0" w:space="0" w:color="auto"/>
        <w:bottom w:val="none" w:sz="0" w:space="0" w:color="auto"/>
        <w:right w:val="none" w:sz="0" w:space="0" w:color="auto"/>
      </w:divBdr>
    </w:div>
    <w:div w:id="1160393181">
      <w:marLeft w:val="640"/>
      <w:marRight w:val="0"/>
      <w:marTop w:val="0"/>
      <w:marBottom w:val="0"/>
      <w:divBdr>
        <w:top w:val="none" w:sz="0" w:space="0" w:color="auto"/>
        <w:left w:val="none" w:sz="0" w:space="0" w:color="auto"/>
        <w:bottom w:val="none" w:sz="0" w:space="0" w:color="auto"/>
        <w:right w:val="none" w:sz="0" w:space="0" w:color="auto"/>
      </w:divBdr>
    </w:div>
    <w:div w:id="1161628056">
      <w:marLeft w:val="640"/>
      <w:marRight w:val="0"/>
      <w:marTop w:val="0"/>
      <w:marBottom w:val="0"/>
      <w:divBdr>
        <w:top w:val="none" w:sz="0" w:space="0" w:color="auto"/>
        <w:left w:val="none" w:sz="0" w:space="0" w:color="auto"/>
        <w:bottom w:val="none" w:sz="0" w:space="0" w:color="auto"/>
        <w:right w:val="none" w:sz="0" w:space="0" w:color="auto"/>
      </w:divBdr>
    </w:div>
    <w:div w:id="1162893078">
      <w:marLeft w:val="640"/>
      <w:marRight w:val="0"/>
      <w:marTop w:val="0"/>
      <w:marBottom w:val="0"/>
      <w:divBdr>
        <w:top w:val="none" w:sz="0" w:space="0" w:color="auto"/>
        <w:left w:val="none" w:sz="0" w:space="0" w:color="auto"/>
        <w:bottom w:val="none" w:sz="0" w:space="0" w:color="auto"/>
        <w:right w:val="none" w:sz="0" w:space="0" w:color="auto"/>
      </w:divBdr>
    </w:div>
    <w:div w:id="1163468231">
      <w:marLeft w:val="640"/>
      <w:marRight w:val="0"/>
      <w:marTop w:val="0"/>
      <w:marBottom w:val="0"/>
      <w:divBdr>
        <w:top w:val="none" w:sz="0" w:space="0" w:color="auto"/>
        <w:left w:val="none" w:sz="0" w:space="0" w:color="auto"/>
        <w:bottom w:val="none" w:sz="0" w:space="0" w:color="auto"/>
        <w:right w:val="none" w:sz="0" w:space="0" w:color="auto"/>
      </w:divBdr>
    </w:div>
    <w:div w:id="1163665593">
      <w:marLeft w:val="640"/>
      <w:marRight w:val="0"/>
      <w:marTop w:val="0"/>
      <w:marBottom w:val="0"/>
      <w:divBdr>
        <w:top w:val="none" w:sz="0" w:space="0" w:color="auto"/>
        <w:left w:val="none" w:sz="0" w:space="0" w:color="auto"/>
        <w:bottom w:val="none" w:sz="0" w:space="0" w:color="auto"/>
        <w:right w:val="none" w:sz="0" w:space="0" w:color="auto"/>
      </w:divBdr>
    </w:div>
    <w:div w:id="1164973653">
      <w:marLeft w:val="640"/>
      <w:marRight w:val="0"/>
      <w:marTop w:val="0"/>
      <w:marBottom w:val="0"/>
      <w:divBdr>
        <w:top w:val="none" w:sz="0" w:space="0" w:color="auto"/>
        <w:left w:val="none" w:sz="0" w:space="0" w:color="auto"/>
        <w:bottom w:val="none" w:sz="0" w:space="0" w:color="auto"/>
        <w:right w:val="none" w:sz="0" w:space="0" w:color="auto"/>
      </w:divBdr>
    </w:div>
    <w:div w:id="1164978740">
      <w:marLeft w:val="640"/>
      <w:marRight w:val="0"/>
      <w:marTop w:val="0"/>
      <w:marBottom w:val="0"/>
      <w:divBdr>
        <w:top w:val="none" w:sz="0" w:space="0" w:color="auto"/>
        <w:left w:val="none" w:sz="0" w:space="0" w:color="auto"/>
        <w:bottom w:val="none" w:sz="0" w:space="0" w:color="auto"/>
        <w:right w:val="none" w:sz="0" w:space="0" w:color="auto"/>
      </w:divBdr>
    </w:div>
    <w:div w:id="1165244530">
      <w:marLeft w:val="640"/>
      <w:marRight w:val="0"/>
      <w:marTop w:val="0"/>
      <w:marBottom w:val="0"/>
      <w:divBdr>
        <w:top w:val="none" w:sz="0" w:space="0" w:color="auto"/>
        <w:left w:val="none" w:sz="0" w:space="0" w:color="auto"/>
        <w:bottom w:val="none" w:sz="0" w:space="0" w:color="auto"/>
        <w:right w:val="none" w:sz="0" w:space="0" w:color="auto"/>
      </w:divBdr>
    </w:div>
    <w:div w:id="1165979454">
      <w:marLeft w:val="640"/>
      <w:marRight w:val="0"/>
      <w:marTop w:val="0"/>
      <w:marBottom w:val="0"/>
      <w:divBdr>
        <w:top w:val="none" w:sz="0" w:space="0" w:color="auto"/>
        <w:left w:val="none" w:sz="0" w:space="0" w:color="auto"/>
        <w:bottom w:val="none" w:sz="0" w:space="0" w:color="auto"/>
        <w:right w:val="none" w:sz="0" w:space="0" w:color="auto"/>
      </w:divBdr>
    </w:div>
    <w:div w:id="1167406869">
      <w:marLeft w:val="640"/>
      <w:marRight w:val="0"/>
      <w:marTop w:val="0"/>
      <w:marBottom w:val="0"/>
      <w:divBdr>
        <w:top w:val="none" w:sz="0" w:space="0" w:color="auto"/>
        <w:left w:val="none" w:sz="0" w:space="0" w:color="auto"/>
        <w:bottom w:val="none" w:sz="0" w:space="0" w:color="auto"/>
        <w:right w:val="none" w:sz="0" w:space="0" w:color="auto"/>
      </w:divBdr>
    </w:div>
    <w:div w:id="1168447190">
      <w:marLeft w:val="640"/>
      <w:marRight w:val="0"/>
      <w:marTop w:val="0"/>
      <w:marBottom w:val="0"/>
      <w:divBdr>
        <w:top w:val="none" w:sz="0" w:space="0" w:color="auto"/>
        <w:left w:val="none" w:sz="0" w:space="0" w:color="auto"/>
        <w:bottom w:val="none" w:sz="0" w:space="0" w:color="auto"/>
        <w:right w:val="none" w:sz="0" w:space="0" w:color="auto"/>
      </w:divBdr>
    </w:div>
    <w:div w:id="1169174596">
      <w:marLeft w:val="640"/>
      <w:marRight w:val="0"/>
      <w:marTop w:val="0"/>
      <w:marBottom w:val="0"/>
      <w:divBdr>
        <w:top w:val="none" w:sz="0" w:space="0" w:color="auto"/>
        <w:left w:val="none" w:sz="0" w:space="0" w:color="auto"/>
        <w:bottom w:val="none" w:sz="0" w:space="0" w:color="auto"/>
        <w:right w:val="none" w:sz="0" w:space="0" w:color="auto"/>
      </w:divBdr>
    </w:div>
    <w:div w:id="1169297138">
      <w:marLeft w:val="640"/>
      <w:marRight w:val="0"/>
      <w:marTop w:val="0"/>
      <w:marBottom w:val="0"/>
      <w:divBdr>
        <w:top w:val="none" w:sz="0" w:space="0" w:color="auto"/>
        <w:left w:val="none" w:sz="0" w:space="0" w:color="auto"/>
        <w:bottom w:val="none" w:sz="0" w:space="0" w:color="auto"/>
        <w:right w:val="none" w:sz="0" w:space="0" w:color="auto"/>
      </w:divBdr>
    </w:div>
    <w:div w:id="1169949645">
      <w:marLeft w:val="640"/>
      <w:marRight w:val="0"/>
      <w:marTop w:val="0"/>
      <w:marBottom w:val="0"/>
      <w:divBdr>
        <w:top w:val="none" w:sz="0" w:space="0" w:color="auto"/>
        <w:left w:val="none" w:sz="0" w:space="0" w:color="auto"/>
        <w:bottom w:val="none" w:sz="0" w:space="0" w:color="auto"/>
        <w:right w:val="none" w:sz="0" w:space="0" w:color="auto"/>
      </w:divBdr>
    </w:div>
    <w:div w:id="1170214276">
      <w:marLeft w:val="640"/>
      <w:marRight w:val="0"/>
      <w:marTop w:val="0"/>
      <w:marBottom w:val="0"/>
      <w:divBdr>
        <w:top w:val="none" w:sz="0" w:space="0" w:color="auto"/>
        <w:left w:val="none" w:sz="0" w:space="0" w:color="auto"/>
        <w:bottom w:val="none" w:sz="0" w:space="0" w:color="auto"/>
        <w:right w:val="none" w:sz="0" w:space="0" w:color="auto"/>
      </w:divBdr>
    </w:div>
    <w:div w:id="1171023605">
      <w:marLeft w:val="640"/>
      <w:marRight w:val="0"/>
      <w:marTop w:val="0"/>
      <w:marBottom w:val="0"/>
      <w:divBdr>
        <w:top w:val="none" w:sz="0" w:space="0" w:color="auto"/>
        <w:left w:val="none" w:sz="0" w:space="0" w:color="auto"/>
        <w:bottom w:val="none" w:sz="0" w:space="0" w:color="auto"/>
        <w:right w:val="none" w:sz="0" w:space="0" w:color="auto"/>
      </w:divBdr>
    </w:div>
    <w:div w:id="1172187872">
      <w:marLeft w:val="640"/>
      <w:marRight w:val="0"/>
      <w:marTop w:val="0"/>
      <w:marBottom w:val="0"/>
      <w:divBdr>
        <w:top w:val="none" w:sz="0" w:space="0" w:color="auto"/>
        <w:left w:val="none" w:sz="0" w:space="0" w:color="auto"/>
        <w:bottom w:val="none" w:sz="0" w:space="0" w:color="auto"/>
        <w:right w:val="none" w:sz="0" w:space="0" w:color="auto"/>
      </w:divBdr>
    </w:div>
    <w:div w:id="1172330111">
      <w:marLeft w:val="640"/>
      <w:marRight w:val="0"/>
      <w:marTop w:val="0"/>
      <w:marBottom w:val="0"/>
      <w:divBdr>
        <w:top w:val="none" w:sz="0" w:space="0" w:color="auto"/>
        <w:left w:val="none" w:sz="0" w:space="0" w:color="auto"/>
        <w:bottom w:val="none" w:sz="0" w:space="0" w:color="auto"/>
        <w:right w:val="none" w:sz="0" w:space="0" w:color="auto"/>
      </w:divBdr>
    </w:div>
    <w:div w:id="1172992841">
      <w:marLeft w:val="640"/>
      <w:marRight w:val="0"/>
      <w:marTop w:val="0"/>
      <w:marBottom w:val="0"/>
      <w:divBdr>
        <w:top w:val="none" w:sz="0" w:space="0" w:color="auto"/>
        <w:left w:val="none" w:sz="0" w:space="0" w:color="auto"/>
        <w:bottom w:val="none" w:sz="0" w:space="0" w:color="auto"/>
        <w:right w:val="none" w:sz="0" w:space="0" w:color="auto"/>
      </w:divBdr>
    </w:div>
    <w:div w:id="1173645489">
      <w:marLeft w:val="640"/>
      <w:marRight w:val="0"/>
      <w:marTop w:val="0"/>
      <w:marBottom w:val="0"/>
      <w:divBdr>
        <w:top w:val="none" w:sz="0" w:space="0" w:color="auto"/>
        <w:left w:val="none" w:sz="0" w:space="0" w:color="auto"/>
        <w:bottom w:val="none" w:sz="0" w:space="0" w:color="auto"/>
        <w:right w:val="none" w:sz="0" w:space="0" w:color="auto"/>
      </w:divBdr>
    </w:div>
    <w:div w:id="1174566767">
      <w:marLeft w:val="640"/>
      <w:marRight w:val="0"/>
      <w:marTop w:val="0"/>
      <w:marBottom w:val="0"/>
      <w:divBdr>
        <w:top w:val="none" w:sz="0" w:space="0" w:color="auto"/>
        <w:left w:val="none" w:sz="0" w:space="0" w:color="auto"/>
        <w:bottom w:val="none" w:sz="0" w:space="0" w:color="auto"/>
        <w:right w:val="none" w:sz="0" w:space="0" w:color="auto"/>
      </w:divBdr>
    </w:div>
    <w:div w:id="1175026809">
      <w:marLeft w:val="640"/>
      <w:marRight w:val="0"/>
      <w:marTop w:val="0"/>
      <w:marBottom w:val="0"/>
      <w:divBdr>
        <w:top w:val="none" w:sz="0" w:space="0" w:color="auto"/>
        <w:left w:val="none" w:sz="0" w:space="0" w:color="auto"/>
        <w:bottom w:val="none" w:sz="0" w:space="0" w:color="auto"/>
        <w:right w:val="none" w:sz="0" w:space="0" w:color="auto"/>
      </w:divBdr>
    </w:div>
    <w:div w:id="1175877463">
      <w:marLeft w:val="640"/>
      <w:marRight w:val="0"/>
      <w:marTop w:val="0"/>
      <w:marBottom w:val="0"/>
      <w:divBdr>
        <w:top w:val="none" w:sz="0" w:space="0" w:color="auto"/>
        <w:left w:val="none" w:sz="0" w:space="0" w:color="auto"/>
        <w:bottom w:val="none" w:sz="0" w:space="0" w:color="auto"/>
        <w:right w:val="none" w:sz="0" w:space="0" w:color="auto"/>
      </w:divBdr>
    </w:div>
    <w:div w:id="1176725853">
      <w:marLeft w:val="640"/>
      <w:marRight w:val="0"/>
      <w:marTop w:val="0"/>
      <w:marBottom w:val="0"/>
      <w:divBdr>
        <w:top w:val="none" w:sz="0" w:space="0" w:color="auto"/>
        <w:left w:val="none" w:sz="0" w:space="0" w:color="auto"/>
        <w:bottom w:val="none" w:sz="0" w:space="0" w:color="auto"/>
        <w:right w:val="none" w:sz="0" w:space="0" w:color="auto"/>
      </w:divBdr>
    </w:div>
    <w:div w:id="1176847919">
      <w:marLeft w:val="640"/>
      <w:marRight w:val="0"/>
      <w:marTop w:val="0"/>
      <w:marBottom w:val="0"/>
      <w:divBdr>
        <w:top w:val="none" w:sz="0" w:space="0" w:color="auto"/>
        <w:left w:val="none" w:sz="0" w:space="0" w:color="auto"/>
        <w:bottom w:val="none" w:sz="0" w:space="0" w:color="auto"/>
        <w:right w:val="none" w:sz="0" w:space="0" w:color="auto"/>
      </w:divBdr>
    </w:div>
    <w:div w:id="1176918270">
      <w:marLeft w:val="640"/>
      <w:marRight w:val="0"/>
      <w:marTop w:val="0"/>
      <w:marBottom w:val="0"/>
      <w:divBdr>
        <w:top w:val="none" w:sz="0" w:space="0" w:color="auto"/>
        <w:left w:val="none" w:sz="0" w:space="0" w:color="auto"/>
        <w:bottom w:val="none" w:sz="0" w:space="0" w:color="auto"/>
        <w:right w:val="none" w:sz="0" w:space="0" w:color="auto"/>
      </w:divBdr>
    </w:div>
    <w:div w:id="1177501101">
      <w:marLeft w:val="640"/>
      <w:marRight w:val="0"/>
      <w:marTop w:val="0"/>
      <w:marBottom w:val="0"/>
      <w:divBdr>
        <w:top w:val="none" w:sz="0" w:space="0" w:color="auto"/>
        <w:left w:val="none" w:sz="0" w:space="0" w:color="auto"/>
        <w:bottom w:val="none" w:sz="0" w:space="0" w:color="auto"/>
        <w:right w:val="none" w:sz="0" w:space="0" w:color="auto"/>
      </w:divBdr>
    </w:div>
    <w:div w:id="1179000637">
      <w:marLeft w:val="640"/>
      <w:marRight w:val="0"/>
      <w:marTop w:val="0"/>
      <w:marBottom w:val="0"/>
      <w:divBdr>
        <w:top w:val="none" w:sz="0" w:space="0" w:color="auto"/>
        <w:left w:val="none" w:sz="0" w:space="0" w:color="auto"/>
        <w:bottom w:val="none" w:sz="0" w:space="0" w:color="auto"/>
        <w:right w:val="none" w:sz="0" w:space="0" w:color="auto"/>
      </w:divBdr>
    </w:div>
    <w:div w:id="1179351945">
      <w:marLeft w:val="640"/>
      <w:marRight w:val="0"/>
      <w:marTop w:val="0"/>
      <w:marBottom w:val="0"/>
      <w:divBdr>
        <w:top w:val="none" w:sz="0" w:space="0" w:color="auto"/>
        <w:left w:val="none" w:sz="0" w:space="0" w:color="auto"/>
        <w:bottom w:val="none" w:sz="0" w:space="0" w:color="auto"/>
        <w:right w:val="none" w:sz="0" w:space="0" w:color="auto"/>
      </w:divBdr>
    </w:div>
    <w:div w:id="1179656480">
      <w:marLeft w:val="640"/>
      <w:marRight w:val="0"/>
      <w:marTop w:val="0"/>
      <w:marBottom w:val="0"/>
      <w:divBdr>
        <w:top w:val="none" w:sz="0" w:space="0" w:color="auto"/>
        <w:left w:val="none" w:sz="0" w:space="0" w:color="auto"/>
        <w:bottom w:val="none" w:sz="0" w:space="0" w:color="auto"/>
        <w:right w:val="none" w:sz="0" w:space="0" w:color="auto"/>
      </w:divBdr>
    </w:div>
    <w:div w:id="1180705809">
      <w:marLeft w:val="640"/>
      <w:marRight w:val="0"/>
      <w:marTop w:val="0"/>
      <w:marBottom w:val="0"/>
      <w:divBdr>
        <w:top w:val="none" w:sz="0" w:space="0" w:color="auto"/>
        <w:left w:val="none" w:sz="0" w:space="0" w:color="auto"/>
        <w:bottom w:val="none" w:sz="0" w:space="0" w:color="auto"/>
        <w:right w:val="none" w:sz="0" w:space="0" w:color="auto"/>
      </w:divBdr>
    </w:div>
    <w:div w:id="1181163577">
      <w:marLeft w:val="640"/>
      <w:marRight w:val="0"/>
      <w:marTop w:val="0"/>
      <w:marBottom w:val="0"/>
      <w:divBdr>
        <w:top w:val="none" w:sz="0" w:space="0" w:color="auto"/>
        <w:left w:val="none" w:sz="0" w:space="0" w:color="auto"/>
        <w:bottom w:val="none" w:sz="0" w:space="0" w:color="auto"/>
        <w:right w:val="none" w:sz="0" w:space="0" w:color="auto"/>
      </w:divBdr>
    </w:div>
    <w:div w:id="1181164331">
      <w:marLeft w:val="640"/>
      <w:marRight w:val="0"/>
      <w:marTop w:val="0"/>
      <w:marBottom w:val="0"/>
      <w:divBdr>
        <w:top w:val="none" w:sz="0" w:space="0" w:color="auto"/>
        <w:left w:val="none" w:sz="0" w:space="0" w:color="auto"/>
        <w:bottom w:val="none" w:sz="0" w:space="0" w:color="auto"/>
        <w:right w:val="none" w:sz="0" w:space="0" w:color="auto"/>
      </w:divBdr>
    </w:div>
    <w:div w:id="1181239664">
      <w:marLeft w:val="640"/>
      <w:marRight w:val="0"/>
      <w:marTop w:val="0"/>
      <w:marBottom w:val="0"/>
      <w:divBdr>
        <w:top w:val="none" w:sz="0" w:space="0" w:color="auto"/>
        <w:left w:val="none" w:sz="0" w:space="0" w:color="auto"/>
        <w:bottom w:val="none" w:sz="0" w:space="0" w:color="auto"/>
        <w:right w:val="none" w:sz="0" w:space="0" w:color="auto"/>
      </w:divBdr>
    </w:div>
    <w:div w:id="1181436690">
      <w:marLeft w:val="640"/>
      <w:marRight w:val="0"/>
      <w:marTop w:val="0"/>
      <w:marBottom w:val="0"/>
      <w:divBdr>
        <w:top w:val="none" w:sz="0" w:space="0" w:color="auto"/>
        <w:left w:val="none" w:sz="0" w:space="0" w:color="auto"/>
        <w:bottom w:val="none" w:sz="0" w:space="0" w:color="auto"/>
        <w:right w:val="none" w:sz="0" w:space="0" w:color="auto"/>
      </w:divBdr>
    </w:div>
    <w:div w:id="1181549577">
      <w:marLeft w:val="640"/>
      <w:marRight w:val="0"/>
      <w:marTop w:val="0"/>
      <w:marBottom w:val="0"/>
      <w:divBdr>
        <w:top w:val="none" w:sz="0" w:space="0" w:color="auto"/>
        <w:left w:val="none" w:sz="0" w:space="0" w:color="auto"/>
        <w:bottom w:val="none" w:sz="0" w:space="0" w:color="auto"/>
        <w:right w:val="none" w:sz="0" w:space="0" w:color="auto"/>
      </w:divBdr>
    </w:div>
    <w:div w:id="1182014353">
      <w:marLeft w:val="640"/>
      <w:marRight w:val="0"/>
      <w:marTop w:val="0"/>
      <w:marBottom w:val="0"/>
      <w:divBdr>
        <w:top w:val="none" w:sz="0" w:space="0" w:color="auto"/>
        <w:left w:val="none" w:sz="0" w:space="0" w:color="auto"/>
        <w:bottom w:val="none" w:sz="0" w:space="0" w:color="auto"/>
        <w:right w:val="none" w:sz="0" w:space="0" w:color="auto"/>
      </w:divBdr>
    </w:div>
    <w:div w:id="1182860447">
      <w:marLeft w:val="640"/>
      <w:marRight w:val="0"/>
      <w:marTop w:val="0"/>
      <w:marBottom w:val="0"/>
      <w:divBdr>
        <w:top w:val="none" w:sz="0" w:space="0" w:color="auto"/>
        <w:left w:val="none" w:sz="0" w:space="0" w:color="auto"/>
        <w:bottom w:val="none" w:sz="0" w:space="0" w:color="auto"/>
        <w:right w:val="none" w:sz="0" w:space="0" w:color="auto"/>
      </w:divBdr>
    </w:div>
    <w:div w:id="1183593165">
      <w:marLeft w:val="640"/>
      <w:marRight w:val="0"/>
      <w:marTop w:val="0"/>
      <w:marBottom w:val="0"/>
      <w:divBdr>
        <w:top w:val="none" w:sz="0" w:space="0" w:color="auto"/>
        <w:left w:val="none" w:sz="0" w:space="0" w:color="auto"/>
        <w:bottom w:val="none" w:sz="0" w:space="0" w:color="auto"/>
        <w:right w:val="none" w:sz="0" w:space="0" w:color="auto"/>
      </w:divBdr>
    </w:div>
    <w:div w:id="1183785378">
      <w:marLeft w:val="640"/>
      <w:marRight w:val="0"/>
      <w:marTop w:val="0"/>
      <w:marBottom w:val="0"/>
      <w:divBdr>
        <w:top w:val="none" w:sz="0" w:space="0" w:color="auto"/>
        <w:left w:val="none" w:sz="0" w:space="0" w:color="auto"/>
        <w:bottom w:val="none" w:sz="0" w:space="0" w:color="auto"/>
        <w:right w:val="none" w:sz="0" w:space="0" w:color="auto"/>
      </w:divBdr>
    </w:div>
    <w:div w:id="1183978055">
      <w:marLeft w:val="640"/>
      <w:marRight w:val="0"/>
      <w:marTop w:val="0"/>
      <w:marBottom w:val="0"/>
      <w:divBdr>
        <w:top w:val="none" w:sz="0" w:space="0" w:color="auto"/>
        <w:left w:val="none" w:sz="0" w:space="0" w:color="auto"/>
        <w:bottom w:val="none" w:sz="0" w:space="0" w:color="auto"/>
        <w:right w:val="none" w:sz="0" w:space="0" w:color="auto"/>
      </w:divBdr>
    </w:div>
    <w:div w:id="1184126866">
      <w:marLeft w:val="640"/>
      <w:marRight w:val="0"/>
      <w:marTop w:val="0"/>
      <w:marBottom w:val="0"/>
      <w:divBdr>
        <w:top w:val="none" w:sz="0" w:space="0" w:color="auto"/>
        <w:left w:val="none" w:sz="0" w:space="0" w:color="auto"/>
        <w:bottom w:val="none" w:sz="0" w:space="0" w:color="auto"/>
        <w:right w:val="none" w:sz="0" w:space="0" w:color="auto"/>
      </w:divBdr>
    </w:div>
    <w:div w:id="1184319027">
      <w:marLeft w:val="640"/>
      <w:marRight w:val="0"/>
      <w:marTop w:val="0"/>
      <w:marBottom w:val="0"/>
      <w:divBdr>
        <w:top w:val="none" w:sz="0" w:space="0" w:color="auto"/>
        <w:left w:val="none" w:sz="0" w:space="0" w:color="auto"/>
        <w:bottom w:val="none" w:sz="0" w:space="0" w:color="auto"/>
        <w:right w:val="none" w:sz="0" w:space="0" w:color="auto"/>
      </w:divBdr>
    </w:div>
    <w:div w:id="1184780531">
      <w:marLeft w:val="640"/>
      <w:marRight w:val="0"/>
      <w:marTop w:val="0"/>
      <w:marBottom w:val="0"/>
      <w:divBdr>
        <w:top w:val="none" w:sz="0" w:space="0" w:color="auto"/>
        <w:left w:val="none" w:sz="0" w:space="0" w:color="auto"/>
        <w:bottom w:val="none" w:sz="0" w:space="0" w:color="auto"/>
        <w:right w:val="none" w:sz="0" w:space="0" w:color="auto"/>
      </w:divBdr>
    </w:div>
    <w:div w:id="1185827269">
      <w:marLeft w:val="640"/>
      <w:marRight w:val="0"/>
      <w:marTop w:val="0"/>
      <w:marBottom w:val="0"/>
      <w:divBdr>
        <w:top w:val="none" w:sz="0" w:space="0" w:color="auto"/>
        <w:left w:val="none" w:sz="0" w:space="0" w:color="auto"/>
        <w:bottom w:val="none" w:sz="0" w:space="0" w:color="auto"/>
        <w:right w:val="none" w:sz="0" w:space="0" w:color="auto"/>
      </w:divBdr>
    </w:div>
    <w:div w:id="1185945527">
      <w:marLeft w:val="640"/>
      <w:marRight w:val="0"/>
      <w:marTop w:val="0"/>
      <w:marBottom w:val="0"/>
      <w:divBdr>
        <w:top w:val="none" w:sz="0" w:space="0" w:color="auto"/>
        <w:left w:val="none" w:sz="0" w:space="0" w:color="auto"/>
        <w:bottom w:val="none" w:sz="0" w:space="0" w:color="auto"/>
        <w:right w:val="none" w:sz="0" w:space="0" w:color="auto"/>
      </w:divBdr>
    </w:div>
    <w:div w:id="1186017541">
      <w:marLeft w:val="640"/>
      <w:marRight w:val="0"/>
      <w:marTop w:val="0"/>
      <w:marBottom w:val="0"/>
      <w:divBdr>
        <w:top w:val="none" w:sz="0" w:space="0" w:color="auto"/>
        <w:left w:val="none" w:sz="0" w:space="0" w:color="auto"/>
        <w:bottom w:val="none" w:sz="0" w:space="0" w:color="auto"/>
        <w:right w:val="none" w:sz="0" w:space="0" w:color="auto"/>
      </w:divBdr>
    </w:div>
    <w:div w:id="1186020832">
      <w:marLeft w:val="640"/>
      <w:marRight w:val="0"/>
      <w:marTop w:val="0"/>
      <w:marBottom w:val="0"/>
      <w:divBdr>
        <w:top w:val="none" w:sz="0" w:space="0" w:color="auto"/>
        <w:left w:val="none" w:sz="0" w:space="0" w:color="auto"/>
        <w:bottom w:val="none" w:sz="0" w:space="0" w:color="auto"/>
        <w:right w:val="none" w:sz="0" w:space="0" w:color="auto"/>
      </w:divBdr>
    </w:div>
    <w:div w:id="1187791687">
      <w:marLeft w:val="640"/>
      <w:marRight w:val="0"/>
      <w:marTop w:val="0"/>
      <w:marBottom w:val="0"/>
      <w:divBdr>
        <w:top w:val="none" w:sz="0" w:space="0" w:color="auto"/>
        <w:left w:val="none" w:sz="0" w:space="0" w:color="auto"/>
        <w:bottom w:val="none" w:sz="0" w:space="0" w:color="auto"/>
        <w:right w:val="none" w:sz="0" w:space="0" w:color="auto"/>
      </w:divBdr>
    </w:div>
    <w:div w:id="1188368180">
      <w:marLeft w:val="640"/>
      <w:marRight w:val="0"/>
      <w:marTop w:val="0"/>
      <w:marBottom w:val="0"/>
      <w:divBdr>
        <w:top w:val="none" w:sz="0" w:space="0" w:color="auto"/>
        <w:left w:val="none" w:sz="0" w:space="0" w:color="auto"/>
        <w:bottom w:val="none" w:sz="0" w:space="0" w:color="auto"/>
        <w:right w:val="none" w:sz="0" w:space="0" w:color="auto"/>
      </w:divBdr>
    </w:div>
    <w:div w:id="1188720592">
      <w:marLeft w:val="640"/>
      <w:marRight w:val="0"/>
      <w:marTop w:val="0"/>
      <w:marBottom w:val="0"/>
      <w:divBdr>
        <w:top w:val="none" w:sz="0" w:space="0" w:color="auto"/>
        <w:left w:val="none" w:sz="0" w:space="0" w:color="auto"/>
        <w:bottom w:val="none" w:sz="0" w:space="0" w:color="auto"/>
        <w:right w:val="none" w:sz="0" w:space="0" w:color="auto"/>
      </w:divBdr>
    </w:div>
    <w:div w:id="1188761870">
      <w:marLeft w:val="640"/>
      <w:marRight w:val="0"/>
      <w:marTop w:val="0"/>
      <w:marBottom w:val="0"/>
      <w:divBdr>
        <w:top w:val="none" w:sz="0" w:space="0" w:color="auto"/>
        <w:left w:val="none" w:sz="0" w:space="0" w:color="auto"/>
        <w:bottom w:val="none" w:sz="0" w:space="0" w:color="auto"/>
        <w:right w:val="none" w:sz="0" w:space="0" w:color="auto"/>
      </w:divBdr>
    </w:div>
    <w:div w:id="1189180145">
      <w:marLeft w:val="640"/>
      <w:marRight w:val="0"/>
      <w:marTop w:val="0"/>
      <w:marBottom w:val="0"/>
      <w:divBdr>
        <w:top w:val="none" w:sz="0" w:space="0" w:color="auto"/>
        <w:left w:val="none" w:sz="0" w:space="0" w:color="auto"/>
        <w:bottom w:val="none" w:sz="0" w:space="0" w:color="auto"/>
        <w:right w:val="none" w:sz="0" w:space="0" w:color="auto"/>
      </w:divBdr>
    </w:div>
    <w:div w:id="1189611389">
      <w:marLeft w:val="640"/>
      <w:marRight w:val="0"/>
      <w:marTop w:val="0"/>
      <w:marBottom w:val="0"/>
      <w:divBdr>
        <w:top w:val="none" w:sz="0" w:space="0" w:color="auto"/>
        <w:left w:val="none" w:sz="0" w:space="0" w:color="auto"/>
        <w:bottom w:val="none" w:sz="0" w:space="0" w:color="auto"/>
        <w:right w:val="none" w:sz="0" w:space="0" w:color="auto"/>
      </w:divBdr>
    </w:div>
    <w:div w:id="1189635278">
      <w:marLeft w:val="640"/>
      <w:marRight w:val="0"/>
      <w:marTop w:val="0"/>
      <w:marBottom w:val="0"/>
      <w:divBdr>
        <w:top w:val="none" w:sz="0" w:space="0" w:color="auto"/>
        <w:left w:val="none" w:sz="0" w:space="0" w:color="auto"/>
        <w:bottom w:val="none" w:sz="0" w:space="0" w:color="auto"/>
        <w:right w:val="none" w:sz="0" w:space="0" w:color="auto"/>
      </w:divBdr>
    </w:div>
    <w:div w:id="1190145888">
      <w:marLeft w:val="640"/>
      <w:marRight w:val="0"/>
      <w:marTop w:val="0"/>
      <w:marBottom w:val="0"/>
      <w:divBdr>
        <w:top w:val="none" w:sz="0" w:space="0" w:color="auto"/>
        <w:left w:val="none" w:sz="0" w:space="0" w:color="auto"/>
        <w:bottom w:val="none" w:sz="0" w:space="0" w:color="auto"/>
        <w:right w:val="none" w:sz="0" w:space="0" w:color="auto"/>
      </w:divBdr>
    </w:div>
    <w:div w:id="1190529368">
      <w:marLeft w:val="640"/>
      <w:marRight w:val="0"/>
      <w:marTop w:val="0"/>
      <w:marBottom w:val="0"/>
      <w:divBdr>
        <w:top w:val="none" w:sz="0" w:space="0" w:color="auto"/>
        <w:left w:val="none" w:sz="0" w:space="0" w:color="auto"/>
        <w:bottom w:val="none" w:sz="0" w:space="0" w:color="auto"/>
        <w:right w:val="none" w:sz="0" w:space="0" w:color="auto"/>
      </w:divBdr>
    </w:div>
    <w:div w:id="1190755642">
      <w:marLeft w:val="640"/>
      <w:marRight w:val="0"/>
      <w:marTop w:val="0"/>
      <w:marBottom w:val="0"/>
      <w:divBdr>
        <w:top w:val="none" w:sz="0" w:space="0" w:color="auto"/>
        <w:left w:val="none" w:sz="0" w:space="0" w:color="auto"/>
        <w:bottom w:val="none" w:sz="0" w:space="0" w:color="auto"/>
        <w:right w:val="none" w:sz="0" w:space="0" w:color="auto"/>
      </w:divBdr>
    </w:div>
    <w:div w:id="1191148246">
      <w:marLeft w:val="640"/>
      <w:marRight w:val="0"/>
      <w:marTop w:val="0"/>
      <w:marBottom w:val="0"/>
      <w:divBdr>
        <w:top w:val="none" w:sz="0" w:space="0" w:color="auto"/>
        <w:left w:val="none" w:sz="0" w:space="0" w:color="auto"/>
        <w:bottom w:val="none" w:sz="0" w:space="0" w:color="auto"/>
        <w:right w:val="none" w:sz="0" w:space="0" w:color="auto"/>
      </w:divBdr>
    </w:div>
    <w:div w:id="1191993914">
      <w:marLeft w:val="640"/>
      <w:marRight w:val="0"/>
      <w:marTop w:val="0"/>
      <w:marBottom w:val="0"/>
      <w:divBdr>
        <w:top w:val="none" w:sz="0" w:space="0" w:color="auto"/>
        <w:left w:val="none" w:sz="0" w:space="0" w:color="auto"/>
        <w:bottom w:val="none" w:sz="0" w:space="0" w:color="auto"/>
        <w:right w:val="none" w:sz="0" w:space="0" w:color="auto"/>
      </w:divBdr>
    </w:div>
    <w:div w:id="1192262290">
      <w:marLeft w:val="640"/>
      <w:marRight w:val="0"/>
      <w:marTop w:val="0"/>
      <w:marBottom w:val="0"/>
      <w:divBdr>
        <w:top w:val="none" w:sz="0" w:space="0" w:color="auto"/>
        <w:left w:val="none" w:sz="0" w:space="0" w:color="auto"/>
        <w:bottom w:val="none" w:sz="0" w:space="0" w:color="auto"/>
        <w:right w:val="none" w:sz="0" w:space="0" w:color="auto"/>
      </w:divBdr>
    </w:div>
    <w:div w:id="1192914181">
      <w:marLeft w:val="640"/>
      <w:marRight w:val="0"/>
      <w:marTop w:val="0"/>
      <w:marBottom w:val="0"/>
      <w:divBdr>
        <w:top w:val="none" w:sz="0" w:space="0" w:color="auto"/>
        <w:left w:val="none" w:sz="0" w:space="0" w:color="auto"/>
        <w:bottom w:val="none" w:sz="0" w:space="0" w:color="auto"/>
        <w:right w:val="none" w:sz="0" w:space="0" w:color="auto"/>
      </w:divBdr>
    </w:div>
    <w:div w:id="1193687018">
      <w:marLeft w:val="640"/>
      <w:marRight w:val="0"/>
      <w:marTop w:val="0"/>
      <w:marBottom w:val="0"/>
      <w:divBdr>
        <w:top w:val="none" w:sz="0" w:space="0" w:color="auto"/>
        <w:left w:val="none" w:sz="0" w:space="0" w:color="auto"/>
        <w:bottom w:val="none" w:sz="0" w:space="0" w:color="auto"/>
        <w:right w:val="none" w:sz="0" w:space="0" w:color="auto"/>
      </w:divBdr>
    </w:div>
    <w:div w:id="1194033019">
      <w:marLeft w:val="640"/>
      <w:marRight w:val="0"/>
      <w:marTop w:val="0"/>
      <w:marBottom w:val="0"/>
      <w:divBdr>
        <w:top w:val="none" w:sz="0" w:space="0" w:color="auto"/>
        <w:left w:val="none" w:sz="0" w:space="0" w:color="auto"/>
        <w:bottom w:val="none" w:sz="0" w:space="0" w:color="auto"/>
        <w:right w:val="none" w:sz="0" w:space="0" w:color="auto"/>
      </w:divBdr>
    </w:div>
    <w:div w:id="1194460796">
      <w:marLeft w:val="640"/>
      <w:marRight w:val="0"/>
      <w:marTop w:val="0"/>
      <w:marBottom w:val="0"/>
      <w:divBdr>
        <w:top w:val="none" w:sz="0" w:space="0" w:color="auto"/>
        <w:left w:val="none" w:sz="0" w:space="0" w:color="auto"/>
        <w:bottom w:val="none" w:sz="0" w:space="0" w:color="auto"/>
        <w:right w:val="none" w:sz="0" w:space="0" w:color="auto"/>
      </w:divBdr>
    </w:div>
    <w:div w:id="1194926582">
      <w:marLeft w:val="640"/>
      <w:marRight w:val="0"/>
      <w:marTop w:val="0"/>
      <w:marBottom w:val="0"/>
      <w:divBdr>
        <w:top w:val="none" w:sz="0" w:space="0" w:color="auto"/>
        <w:left w:val="none" w:sz="0" w:space="0" w:color="auto"/>
        <w:bottom w:val="none" w:sz="0" w:space="0" w:color="auto"/>
        <w:right w:val="none" w:sz="0" w:space="0" w:color="auto"/>
      </w:divBdr>
    </w:div>
    <w:div w:id="1196503129">
      <w:marLeft w:val="640"/>
      <w:marRight w:val="0"/>
      <w:marTop w:val="0"/>
      <w:marBottom w:val="0"/>
      <w:divBdr>
        <w:top w:val="none" w:sz="0" w:space="0" w:color="auto"/>
        <w:left w:val="none" w:sz="0" w:space="0" w:color="auto"/>
        <w:bottom w:val="none" w:sz="0" w:space="0" w:color="auto"/>
        <w:right w:val="none" w:sz="0" w:space="0" w:color="auto"/>
      </w:divBdr>
    </w:div>
    <w:div w:id="1196503188">
      <w:marLeft w:val="640"/>
      <w:marRight w:val="0"/>
      <w:marTop w:val="0"/>
      <w:marBottom w:val="0"/>
      <w:divBdr>
        <w:top w:val="none" w:sz="0" w:space="0" w:color="auto"/>
        <w:left w:val="none" w:sz="0" w:space="0" w:color="auto"/>
        <w:bottom w:val="none" w:sz="0" w:space="0" w:color="auto"/>
        <w:right w:val="none" w:sz="0" w:space="0" w:color="auto"/>
      </w:divBdr>
    </w:div>
    <w:div w:id="1196505012">
      <w:marLeft w:val="640"/>
      <w:marRight w:val="0"/>
      <w:marTop w:val="0"/>
      <w:marBottom w:val="0"/>
      <w:divBdr>
        <w:top w:val="none" w:sz="0" w:space="0" w:color="auto"/>
        <w:left w:val="none" w:sz="0" w:space="0" w:color="auto"/>
        <w:bottom w:val="none" w:sz="0" w:space="0" w:color="auto"/>
        <w:right w:val="none" w:sz="0" w:space="0" w:color="auto"/>
      </w:divBdr>
    </w:div>
    <w:div w:id="1197348321">
      <w:marLeft w:val="640"/>
      <w:marRight w:val="0"/>
      <w:marTop w:val="0"/>
      <w:marBottom w:val="0"/>
      <w:divBdr>
        <w:top w:val="none" w:sz="0" w:space="0" w:color="auto"/>
        <w:left w:val="none" w:sz="0" w:space="0" w:color="auto"/>
        <w:bottom w:val="none" w:sz="0" w:space="0" w:color="auto"/>
        <w:right w:val="none" w:sz="0" w:space="0" w:color="auto"/>
      </w:divBdr>
    </w:div>
    <w:div w:id="1197691815">
      <w:marLeft w:val="640"/>
      <w:marRight w:val="0"/>
      <w:marTop w:val="0"/>
      <w:marBottom w:val="0"/>
      <w:divBdr>
        <w:top w:val="none" w:sz="0" w:space="0" w:color="auto"/>
        <w:left w:val="none" w:sz="0" w:space="0" w:color="auto"/>
        <w:bottom w:val="none" w:sz="0" w:space="0" w:color="auto"/>
        <w:right w:val="none" w:sz="0" w:space="0" w:color="auto"/>
      </w:divBdr>
    </w:div>
    <w:div w:id="1198278601">
      <w:marLeft w:val="640"/>
      <w:marRight w:val="0"/>
      <w:marTop w:val="0"/>
      <w:marBottom w:val="0"/>
      <w:divBdr>
        <w:top w:val="none" w:sz="0" w:space="0" w:color="auto"/>
        <w:left w:val="none" w:sz="0" w:space="0" w:color="auto"/>
        <w:bottom w:val="none" w:sz="0" w:space="0" w:color="auto"/>
        <w:right w:val="none" w:sz="0" w:space="0" w:color="auto"/>
      </w:divBdr>
    </w:div>
    <w:div w:id="1199050158">
      <w:marLeft w:val="640"/>
      <w:marRight w:val="0"/>
      <w:marTop w:val="0"/>
      <w:marBottom w:val="0"/>
      <w:divBdr>
        <w:top w:val="none" w:sz="0" w:space="0" w:color="auto"/>
        <w:left w:val="none" w:sz="0" w:space="0" w:color="auto"/>
        <w:bottom w:val="none" w:sz="0" w:space="0" w:color="auto"/>
        <w:right w:val="none" w:sz="0" w:space="0" w:color="auto"/>
      </w:divBdr>
    </w:div>
    <w:div w:id="1199732513">
      <w:marLeft w:val="640"/>
      <w:marRight w:val="0"/>
      <w:marTop w:val="0"/>
      <w:marBottom w:val="0"/>
      <w:divBdr>
        <w:top w:val="none" w:sz="0" w:space="0" w:color="auto"/>
        <w:left w:val="none" w:sz="0" w:space="0" w:color="auto"/>
        <w:bottom w:val="none" w:sz="0" w:space="0" w:color="auto"/>
        <w:right w:val="none" w:sz="0" w:space="0" w:color="auto"/>
      </w:divBdr>
    </w:div>
    <w:div w:id="1200817722">
      <w:marLeft w:val="640"/>
      <w:marRight w:val="0"/>
      <w:marTop w:val="0"/>
      <w:marBottom w:val="0"/>
      <w:divBdr>
        <w:top w:val="none" w:sz="0" w:space="0" w:color="auto"/>
        <w:left w:val="none" w:sz="0" w:space="0" w:color="auto"/>
        <w:bottom w:val="none" w:sz="0" w:space="0" w:color="auto"/>
        <w:right w:val="none" w:sz="0" w:space="0" w:color="auto"/>
      </w:divBdr>
    </w:div>
    <w:div w:id="1202591378">
      <w:marLeft w:val="640"/>
      <w:marRight w:val="0"/>
      <w:marTop w:val="0"/>
      <w:marBottom w:val="0"/>
      <w:divBdr>
        <w:top w:val="none" w:sz="0" w:space="0" w:color="auto"/>
        <w:left w:val="none" w:sz="0" w:space="0" w:color="auto"/>
        <w:bottom w:val="none" w:sz="0" w:space="0" w:color="auto"/>
        <w:right w:val="none" w:sz="0" w:space="0" w:color="auto"/>
      </w:divBdr>
    </w:div>
    <w:div w:id="1203133555">
      <w:marLeft w:val="640"/>
      <w:marRight w:val="0"/>
      <w:marTop w:val="0"/>
      <w:marBottom w:val="0"/>
      <w:divBdr>
        <w:top w:val="none" w:sz="0" w:space="0" w:color="auto"/>
        <w:left w:val="none" w:sz="0" w:space="0" w:color="auto"/>
        <w:bottom w:val="none" w:sz="0" w:space="0" w:color="auto"/>
        <w:right w:val="none" w:sz="0" w:space="0" w:color="auto"/>
      </w:divBdr>
    </w:div>
    <w:div w:id="1203979410">
      <w:marLeft w:val="640"/>
      <w:marRight w:val="0"/>
      <w:marTop w:val="0"/>
      <w:marBottom w:val="0"/>
      <w:divBdr>
        <w:top w:val="none" w:sz="0" w:space="0" w:color="auto"/>
        <w:left w:val="none" w:sz="0" w:space="0" w:color="auto"/>
        <w:bottom w:val="none" w:sz="0" w:space="0" w:color="auto"/>
        <w:right w:val="none" w:sz="0" w:space="0" w:color="auto"/>
      </w:divBdr>
    </w:div>
    <w:div w:id="1205212301">
      <w:marLeft w:val="640"/>
      <w:marRight w:val="0"/>
      <w:marTop w:val="0"/>
      <w:marBottom w:val="0"/>
      <w:divBdr>
        <w:top w:val="none" w:sz="0" w:space="0" w:color="auto"/>
        <w:left w:val="none" w:sz="0" w:space="0" w:color="auto"/>
        <w:bottom w:val="none" w:sz="0" w:space="0" w:color="auto"/>
        <w:right w:val="none" w:sz="0" w:space="0" w:color="auto"/>
      </w:divBdr>
    </w:div>
    <w:div w:id="1205288343">
      <w:marLeft w:val="640"/>
      <w:marRight w:val="0"/>
      <w:marTop w:val="0"/>
      <w:marBottom w:val="0"/>
      <w:divBdr>
        <w:top w:val="none" w:sz="0" w:space="0" w:color="auto"/>
        <w:left w:val="none" w:sz="0" w:space="0" w:color="auto"/>
        <w:bottom w:val="none" w:sz="0" w:space="0" w:color="auto"/>
        <w:right w:val="none" w:sz="0" w:space="0" w:color="auto"/>
      </w:divBdr>
    </w:div>
    <w:div w:id="1205755925">
      <w:marLeft w:val="640"/>
      <w:marRight w:val="0"/>
      <w:marTop w:val="0"/>
      <w:marBottom w:val="0"/>
      <w:divBdr>
        <w:top w:val="none" w:sz="0" w:space="0" w:color="auto"/>
        <w:left w:val="none" w:sz="0" w:space="0" w:color="auto"/>
        <w:bottom w:val="none" w:sz="0" w:space="0" w:color="auto"/>
        <w:right w:val="none" w:sz="0" w:space="0" w:color="auto"/>
      </w:divBdr>
    </w:div>
    <w:div w:id="1206913598">
      <w:marLeft w:val="640"/>
      <w:marRight w:val="0"/>
      <w:marTop w:val="0"/>
      <w:marBottom w:val="0"/>
      <w:divBdr>
        <w:top w:val="none" w:sz="0" w:space="0" w:color="auto"/>
        <w:left w:val="none" w:sz="0" w:space="0" w:color="auto"/>
        <w:bottom w:val="none" w:sz="0" w:space="0" w:color="auto"/>
        <w:right w:val="none" w:sz="0" w:space="0" w:color="auto"/>
      </w:divBdr>
    </w:div>
    <w:div w:id="1208109784">
      <w:marLeft w:val="640"/>
      <w:marRight w:val="0"/>
      <w:marTop w:val="0"/>
      <w:marBottom w:val="0"/>
      <w:divBdr>
        <w:top w:val="none" w:sz="0" w:space="0" w:color="auto"/>
        <w:left w:val="none" w:sz="0" w:space="0" w:color="auto"/>
        <w:bottom w:val="none" w:sz="0" w:space="0" w:color="auto"/>
        <w:right w:val="none" w:sz="0" w:space="0" w:color="auto"/>
      </w:divBdr>
    </w:div>
    <w:div w:id="1208369024">
      <w:marLeft w:val="640"/>
      <w:marRight w:val="0"/>
      <w:marTop w:val="0"/>
      <w:marBottom w:val="0"/>
      <w:divBdr>
        <w:top w:val="none" w:sz="0" w:space="0" w:color="auto"/>
        <w:left w:val="none" w:sz="0" w:space="0" w:color="auto"/>
        <w:bottom w:val="none" w:sz="0" w:space="0" w:color="auto"/>
        <w:right w:val="none" w:sz="0" w:space="0" w:color="auto"/>
      </w:divBdr>
    </w:div>
    <w:div w:id="1209145050">
      <w:marLeft w:val="640"/>
      <w:marRight w:val="0"/>
      <w:marTop w:val="0"/>
      <w:marBottom w:val="0"/>
      <w:divBdr>
        <w:top w:val="none" w:sz="0" w:space="0" w:color="auto"/>
        <w:left w:val="none" w:sz="0" w:space="0" w:color="auto"/>
        <w:bottom w:val="none" w:sz="0" w:space="0" w:color="auto"/>
        <w:right w:val="none" w:sz="0" w:space="0" w:color="auto"/>
      </w:divBdr>
    </w:div>
    <w:div w:id="1209609067">
      <w:marLeft w:val="640"/>
      <w:marRight w:val="0"/>
      <w:marTop w:val="0"/>
      <w:marBottom w:val="0"/>
      <w:divBdr>
        <w:top w:val="none" w:sz="0" w:space="0" w:color="auto"/>
        <w:left w:val="none" w:sz="0" w:space="0" w:color="auto"/>
        <w:bottom w:val="none" w:sz="0" w:space="0" w:color="auto"/>
        <w:right w:val="none" w:sz="0" w:space="0" w:color="auto"/>
      </w:divBdr>
    </w:div>
    <w:div w:id="1209957590">
      <w:marLeft w:val="640"/>
      <w:marRight w:val="0"/>
      <w:marTop w:val="0"/>
      <w:marBottom w:val="0"/>
      <w:divBdr>
        <w:top w:val="none" w:sz="0" w:space="0" w:color="auto"/>
        <w:left w:val="none" w:sz="0" w:space="0" w:color="auto"/>
        <w:bottom w:val="none" w:sz="0" w:space="0" w:color="auto"/>
        <w:right w:val="none" w:sz="0" w:space="0" w:color="auto"/>
      </w:divBdr>
    </w:div>
    <w:div w:id="1211458813">
      <w:marLeft w:val="640"/>
      <w:marRight w:val="0"/>
      <w:marTop w:val="0"/>
      <w:marBottom w:val="0"/>
      <w:divBdr>
        <w:top w:val="none" w:sz="0" w:space="0" w:color="auto"/>
        <w:left w:val="none" w:sz="0" w:space="0" w:color="auto"/>
        <w:bottom w:val="none" w:sz="0" w:space="0" w:color="auto"/>
        <w:right w:val="none" w:sz="0" w:space="0" w:color="auto"/>
      </w:divBdr>
    </w:div>
    <w:div w:id="1211767868">
      <w:marLeft w:val="640"/>
      <w:marRight w:val="0"/>
      <w:marTop w:val="0"/>
      <w:marBottom w:val="0"/>
      <w:divBdr>
        <w:top w:val="none" w:sz="0" w:space="0" w:color="auto"/>
        <w:left w:val="none" w:sz="0" w:space="0" w:color="auto"/>
        <w:bottom w:val="none" w:sz="0" w:space="0" w:color="auto"/>
        <w:right w:val="none" w:sz="0" w:space="0" w:color="auto"/>
      </w:divBdr>
    </w:div>
    <w:div w:id="1213271567">
      <w:marLeft w:val="640"/>
      <w:marRight w:val="0"/>
      <w:marTop w:val="0"/>
      <w:marBottom w:val="0"/>
      <w:divBdr>
        <w:top w:val="none" w:sz="0" w:space="0" w:color="auto"/>
        <w:left w:val="none" w:sz="0" w:space="0" w:color="auto"/>
        <w:bottom w:val="none" w:sz="0" w:space="0" w:color="auto"/>
        <w:right w:val="none" w:sz="0" w:space="0" w:color="auto"/>
      </w:divBdr>
    </w:div>
    <w:div w:id="1214732613">
      <w:marLeft w:val="640"/>
      <w:marRight w:val="0"/>
      <w:marTop w:val="0"/>
      <w:marBottom w:val="0"/>
      <w:divBdr>
        <w:top w:val="none" w:sz="0" w:space="0" w:color="auto"/>
        <w:left w:val="none" w:sz="0" w:space="0" w:color="auto"/>
        <w:bottom w:val="none" w:sz="0" w:space="0" w:color="auto"/>
        <w:right w:val="none" w:sz="0" w:space="0" w:color="auto"/>
      </w:divBdr>
    </w:div>
    <w:div w:id="1214807255">
      <w:marLeft w:val="640"/>
      <w:marRight w:val="0"/>
      <w:marTop w:val="0"/>
      <w:marBottom w:val="0"/>
      <w:divBdr>
        <w:top w:val="none" w:sz="0" w:space="0" w:color="auto"/>
        <w:left w:val="none" w:sz="0" w:space="0" w:color="auto"/>
        <w:bottom w:val="none" w:sz="0" w:space="0" w:color="auto"/>
        <w:right w:val="none" w:sz="0" w:space="0" w:color="auto"/>
      </w:divBdr>
    </w:div>
    <w:div w:id="1217202732">
      <w:marLeft w:val="640"/>
      <w:marRight w:val="0"/>
      <w:marTop w:val="0"/>
      <w:marBottom w:val="0"/>
      <w:divBdr>
        <w:top w:val="none" w:sz="0" w:space="0" w:color="auto"/>
        <w:left w:val="none" w:sz="0" w:space="0" w:color="auto"/>
        <w:bottom w:val="none" w:sz="0" w:space="0" w:color="auto"/>
        <w:right w:val="none" w:sz="0" w:space="0" w:color="auto"/>
      </w:divBdr>
    </w:div>
    <w:div w:id="1217358181">
      <w:marLeft w:val="640"/>
      <w:marRight w:val="0"/>
      <w:marTop w:val="0"/>
      <w:marBottom w:val="0"/>
      <w:divBdr>
        <w:top w:val="none" w:sz="0" w:space="0" w:color="auto"/>
        <w:left w:val="none" w:sz="0" w:space="0" w:color="auto"/>
        <w:bottom w:val="none" w:sz="0" w:space="0" w:color="auto"/>
        <w:right w:val="none" w:sz="0" w:space="0" w:color="auto"/>
      </w:divBdr>
    </w:div>
    <w:div w:id="1221401865">
      <w:marLeft w:val="640"/>
      <w:marRight w:val="0"/>
      <w:marTop w:val="0"/>
      <w:marBottom w:val="0"/>
      <w:divBdr>
        <w:top w:val="none" w:sz="0" w:space="0" w:color="auto"/>
        <w:left w:val="none" w:sz="0" w:space="0" w:color="auto"/>
        <w:bottom w:val="none" w:sz="0" w:space="0" w:color="auto"/>
        <w:right w:val="none" w:sz="0" w:space="0" w:color="auto"/>
      </w:divBdr>
    </w:div>
    <w:div w:id="1221405224">
      <w:marLeft w:val="640"/>
      <w:marRight w:val="0"/>
      <w:marTop w:val="0"/>
      <w:marBottom w:val="0"/>
      <w:divBdr>
        <w:top w:val="none" w:sz="0" w:space="0" w:color="auto"/>
        <w:left w:val="none" w:sz="0" w:space="0" w:color="auto"/>
        <w:bottom w:val="none" w:sz="0" w:space="0" w:color="auto"/>
        <w:right w:val="none" w:sz="0" w:space="0" w:color="auto"/>
      </w:divBdr>
    </w:div>
    <w:div w:id="1221750128">
      <w:marLeft w:val="640"/>
      <w:marRight w:val="0"/>
      <w:marTop w:val="0"/>
      <w:marBottom w:val="0"/>
      <w:divBdr>
        <w:top w:val="none" w:sz="0" w:space="0" w:color="auto"/>
        <w:left w:val="none" w:sz="0" w:space="0" w:color="auto"/>
        <w:bottom w:val="none" w:sz="0" w:space="0" w:color="auto"/>
        <w:right w:val="none" w:sz="0" w:space="0" w:color="auto"/>
      </w:divBdr>
    </w:div>
    <w:div w:id="1222134831">
      <w:marLeft w:val="640"/>
      <w:marRight w:val="0"/>
      <w:marTop w:val="0"/>
      <w:marBottom w:val="0"/>
      <w:divBdr>
        <w:top w:val="none" w:sz="0" w:space="0" w:color="auto"/>
        <w:left w:val="none" w:sz="0" w:space="0" w:color="auto"/>
        <w:bottom w:val="none" w:sz="0" w:space="0" w:color="auto"/>
        <w:right w:val="none" w:sz="0" w:space="0" w:color="auto"/>
      </w:divBdr>
    </w:div>
    <w:div w:id="1223905537">
      <w:marLeft w:val="640"/>
      <w:marRight w:val="0"/>
      <w:marTop w:val="0"/>
      <w:marBottom w:val="0"/>
      <w:divBdr>
        <w:top w:val="none" w:sz="0" w:space="0" w:color="auto"/>
        <w:left w:val="none" w:sz="0" w:space="0" w:color="auto"/>
        <w:bottom w:val="none" w:sz="0" w:space="0" w:color="auto"/>
        <w:right w:val="none" w:sz="0" w:space="0" w:color="auto"/>
      </w:divBdr>
    </w:div>
    <w:div w:id="1224371866">
      <w:marLeft w:val="640"/>
      <w:marRight w:val="0"/>
      <w:marTop w:val="0"/>
      <w:marBottom w:val="0"/>
      <w:divBdr>
        <w:top w:val="none" w:sz="0" w:space="0" w:color="auto"/>
        <w:left w:val="none" w:sz="0" w:space="0" w:color="auto"/>
        <w:bottom w:val="none" w:sz="0" w:space="0" w:color="auto"/>
        <w:right w:val="none" w:sz="0" w:space="0" w:color="auto"/>
      </w:divBdr>
    </w:div>
    <w:div w:id="1225337666">
      <w:marLeft w:val="640"/>
      <w:marRight w:val="0"/>
      <w:marTop w:val="0"/>
      <w:marBottom w:val="0"/>
      <w:divBdr>
        <w:top w:val="none" w:sz="0" w:space="0" w:color="auto"/>
        <w:left w:val="none" w:sz="0" w:space="0" w:color="auto"/>
        <w:bottom w:val="none" w:sz="0" w:space="0" w:color="auto"/>
        <w:right w:val="none" w:sz="0" w:space="0" w:color="auto"/>
      </w:divBdr>
    </w:div>
    <w:div w:id="1225488339">
      <w:marLeft w:val="640"/>
      <w:marRight w:val="0"/>
      <w:marTop w:val="0"/>
      <w:marBottom w:val="0"/>
      <w:divBdr>
        <w:top w:val="none" w:sz="0" w:space="0" w:color="auto"/>
        <w:left w:val="none" w:sz="0" w:space="0" w:color="auto"/>
        <w:bottom w:val="none" w:sz="0" w:space="0" w:color="auto"/>
        <w:right w:val="none" w:sz="0" w:space="0" w:color="auto"/>
      </w:divBdr>
    </w:div>
    <w:div w:id="1226181363">
      <w:marLeft w:val="640"/>
      <w:marRight w:val="0"/>
      <w:marTop w:val="0"/>
      <w:marBottom w:val="0"/>
      <w:divBdr>
        <w:top w:val="none" w:sz="0" w:space="0" w:color="auto"/>
        <w:left w:val="none" w:sz="0" w:space="0" w:color="auto"/>
        <w:bottom w:val="none" w:sz="0" w:space="0" w:color="auto"/>
        <w:right w:val="none" w:sz="0" w:space="0" w:color="auto"/>
      </w:divBdr>
    </w:div>
    <w:div w:id="1226338600">
      <w:marLeft w:val="640"/>
      <w:marRight w:val="0"/>
      <w:marTop w:val="0"/>
      <w:marBottom w:val="0"/>
      <w:divBdr>
        <w:top w:val="none" w:sz="0" w:space="0" w:color="auto"/>
        <w:left w:val="none" w:sz="0" w:space="0" w:color="auto"/>
        <w:bottom w:val="none" w:sz="0" w:space="0" w:color="auto"/>
        <w:right w:val="none" w:sz="0" w:space="0" w:color="auto"/>
      </w:divBdr>
    </w:div>
    <w:div w:id="1226382091">
      <w:marLeft w:val="640"/>
      <w:marRight w:val="0"/>
      <w:marTop w:val="0"/>
      <w:marBottom w:val="0"/>
      <w:divBdr>
        <w:top w:val="none" w:sz="0" w:space="0" w:color="auto"/>
        <w:left w:val="none" w:sz="0" w:space="0" w:color="auto"/>
        <w:bottom w:val="none" w:sz="0" w:space="0" w:color="auto"/>
        <w:right w:val="none" w:sz="0" w:space="0" w:color="auto"/>
      </w:divBdr>
    </w:div>
    <w:div w:id="1226914725">
      <w:marLeft w:val="640"/>
      <w:marRight w:val="0"/>
      <w:marTop w:val="0"/>
      <w:marBottom w:val="0"/>
      <w:divBdr>
        <w:top w:val="none" w:sz="0" w:space="0" w:color="auto"/>
        <w:left w:val="none" w:sz="0" w:space="0" w:color="auto"/>
        <w:bottom w:val="none" w:sz="0" w:space="0" w:color="auto"/>
        <w:right w:val="none" w:sz="0" w:space="0" w:color="auto"/>
      </w:divBdr>
    </w:div>
    <w:div w:id="1227834787">
      <w:marLeft w:val="640"/>
      <w:marRight w:val="0"/>
      <w:marTop w:val="0"/>
      <w:marBottom w:val="0"/>
      <w:divBdr>
        <w:top w:val="none" w:sz="0" w:space="0" w:color="auto"/>
        <w:left w:val="none" w:sz="0" w:space="0" w:color="auto"/>
        <w:bottom w:val="none" w:sz="0" w:space="0" w:color="auto"/>
        <w:right w:val="none" w:sz="0" w:space="0" w:color="auto"/>
      </w:divBdr>
    </w:div>
    <w:div w:id="1228684607">
      <w:marLeft w:val="640"/>
      <w:marRight w:val="0"/>
      <w:marTop w:val="0"/>
      <w:marBottom w:val="0"/>
      <w:divBdr>
        <w:top w:val="none" w:sz="0" w:space="0" w:color="auto"/>
        <w:left w:val="none" w:sz="0" w:space="0" w:color="auto"/>
        <w:bottom w:val="none" w:sz="0" w:space="0" w:color="auto"/>
        <w:right w:val="none" w:sz="0" w:space="0" w:color="auto"/>
      </w:divBdr>
    </w:div>
    <w:div w:id="1229607014">
      <w:marLeft w:val="640"/>
      <w:marRight w:val="0"/>
      <w:marTop w:val="0"/>
      <w:marBottom w:val="0"/>
      <w:divBdr>
        <w:top w:val="none" w:sz="0" w:space="0" w:color="auto"/>
        <w:left w:val="none" w:sz="0" w:space="0" w:color="auto"/>
        <w:bottom w:val="none" w:sz="0" w:space="0" w:color="auto"/>
        <w:right w:val="none" w:sz="0" w:space="0" w:color="auto"/>
      </w:divBdr>
    </w:div>
    <w:div w:id="1229921005">
      <w:marLeft w:val="640"/>
      <w:marRight w:val="0"/>
      <w:marTop w:val="0"/>
      <w:marBottom w:val="0"/>
      <w:divBdr>
        <w:top w:val="none" w:sz="0" w:space="0" w:color="auto"/>
        <w:left w:val="none" w:sz="0" w:space="0" w:color="auto"/>
        <w:bottom w:val="none" w:sz="0" w:space="0" w:color="auto"/>
        <w:right w:val="none" w:sz="0" w:space="0" w:color="auto"/>
      </w:divBdr>
    </w:div>
    <w:div w:id="1230312638">
      <w:marLeft w:val="640"/>
      <w:marRight w:val="0"/>
      <w:marTop w:val="0"/>
      <w:marBottom w:val="0"/>
      <w:divBdr>
        <w:top w:val="none" w:sz="0" w:space="0" w:color="auto"/>
        <w:left w:val="none" w:sz="0" w:space="0" w:color="auto"/>
        <w:bottom w:val="none" w:sz="0" w:space="0" w:color="auto"/>
        <w:right w:val="none" w:sz="0" w:space="0" w:color="auto"/>
      </w:divBdr>
    </w:div>
    <w:div w:id="1231035372">
      <w:marLeft w:val="640"/>
      <w:marRight w:val="0"/>
      <w:marTop w:val="0"/>
      <w:marBottom w:val="0"/>
      <w:divBdr>
        <w:top w:val="none" w:sz="0" w:space="0" w:color="auto"/>
        <w:left w:val="none" w:sz="0" w:space="0" w:color="auto"/>
        <w:bottom w:val="none" w:sz="0" w:space="0" w:color="auto"/>
        <w:right w:val="none" w:sz="0" w:space="0" w:color="auto"/>
      </w:divBdr>
    </w:div>
    <w:div w:id="1231422745">
      <w:marLeft w:val="640"/>
      <w:marRight w:val="0"/>
      <w:marTop w:val="0"/>
      <w:marBottom w:val="0"/>
      <w:divBdr>
        <w:top w:val="none" w:sz="0" w:space="0" w:color="auto"/>
        <w:left w:val="none" w:sz="0" w:space="0" w:color="auto"/>
        <w:bottom w:val="none" w:sz="0" w:space="0" w:color="auto"/>
        <w:right w:val="none" w:sz="0" w:space="0" w:color="auto"/>
      </w:divBdr>
    </w:div>
    <w:div w:id="1231576935">
      <w:marLeft w:val="640"/>
      <w:marRight w:val="0"/>
      <w:marTop w:val="0"/>
      <w:marBottom w:val="0"/>
      <w:divBdr>
        <w:top w:val="none" w:sz="0" w:space="0" w:color="auto"/>
        <w:left w:val="none" w:sz="0" w:space="0" w:color="auto"/>
        <w:bottom w:val="none" w:sz="0" w:space="0" w:color="auto"/>
        <w:right w:val="none" w:sz="0" w:space="0" w:color="auto"/>
      </w:divBdr>
    </w:div>
    <w:div w:id="1231578370">
      <w:marLeft w:val="640"/>
      <w:marRight w:val="0"/>
      <w:marTop w:val="0"/>
      <w:marBottom w:val="0"/>
      <w:divBdr>
        <w:top w:val="none" w:sz="0" w:space="0" w:color="auto"/>
        <w:left w:val="none" w:sz="0" w:space="0" w:color="auto"/>
        <w:bottom w:val="none" w:sz="0" w:space="0" w:color="auto"/>
        <w:right w:val="none" w:sz="0" w:space="0" w:color="auto"/>
      </w:divBdr>
    </w:div>
    <w:div w:id="1232153685">
      <w:marLeft w:val="640"/>
      <w:marRight w:val="0"/>
      <w:marTop w:val="0"/>
      <w:marBottom w:val="0"/>
      <w:divBdr>
        <w:top w:val="none" w:sz="0" w:space="0" w:color="auto"/>
        <w:left w:val="none" w:sz="0" w:space="0" w:color="auto"/>
        <w:bottom w:val="none" w:sz="0" w:space="0" w:color="auto"/>
        <w:right w:val="none" w:sz="0" w:space="0" w:color="auto"/>
      </w:divBdr>
    </w:div>
    <w:div w:id="1232882964">
      <w:marLeft w:val="640"/>
      <w:marRight w:val="0"/>
      <w:marTop w:val="0"/>
      <w:marBottom w:val="0"/>
      <w:divBdr>
        <w:top w:val="none" w:sz="0" w:space="0" w:color="auto"/>
        <w:left w:val="none" w:sz="0" w:space="0" w:color="auto"/>
        <w:bottom w:val="none" w:sz="0" w:space="0" w:color="auto"/>
        <w:right w:val="none" w:sz="0" w:space="0" w:color="auto"/>
      </w:divBdr>
    </w:div>
    <w:div w:id="1233202979">
      <w:marLeft w:val="640"/>
      <w:marRight w:val="0"/>
      <w:marTop w:val="0"/>
      <w:marBottom w:val="0"/>
      <w:divBdr>
        <w:top w:val="none" w:sz="0" w:space="0" w:color="auto"/>
        <w:left w:val="none" w:sz="0" w:space="0" w:color="auto"/>
        <w:bottom w:val="none" w:sz="0" w:space="0" w:color="auto"/>
        <w:right w:val="none" w:sz="0" w:space="0" w:color="auto"/>
      </w:divBdr>
    </w:div>
    <w:div w:id="1233544566">
      <w:marLeft w:val="640"/>
      <w:marRight w:val="0"/>
      <w:marTop w:val="0"/>
      <w:marBottom w:val="0"/>
      <w:divBdr>
        <w:top w:val="none" w:sz="0" w:space="0" w:color="auto"/>
        <w:left w:val="none" w:sz="0" w:space="0" w:color="auto"/>
        <w:bottom w:val="none" w:sz="0" w:space="0" w:color="auto"/>
        <w:right w:val="none" w:sz="0" w:space="0" w:color="auto"/>
      </w:divBdr>
    </w:div>
    <w:div w:id="1234270435">
      <w:marLeft w:val="640"/>
      <w:marRight w:val="0"/>
      <w:marTop w:val="0"/>
      <w:marBottom w:val="0"/>
      <w:divBdr>
        <w:top w:val="none" w:sz="0" w:space="0" w:color="auto"/>
        <w:left w:val="none" w:sz="0" w:space="0" w:color="auto"/>
        <w:bottom w:val="none" w:sz="0" w:space="0" w:color="auto"/>
        <w:right w:val="none" w:sz="0" w:space="0" w:color="auto"/>
      </w:divBdr>
    </w:div>
    <w:div w:id="1234895155">
      <w:marLeft w:val="640"/>
      <w:marRight w:val="0"/>
      <w:marTop w:val="0"/>
      <w:marBottom w:val="0"/>
      <w:divBdr>
        <w:top w:val="none" w:sz="0" w:space="0" w:color="auto"/>
        <w:left w:val="none" w:sz="0" w:space="0" w:color="auto"/>
        <w:bottom w:val="none" w:sz="0" w:space="0" w:color="auto"/>
        <w:right w:val="none" w:sz="0" w:space="0" w:color="auto"/>
      </w:divBdr>
    </w:div>
    <w:div w:id="1234966764">
      <w:marLeft w:val="640"/>
      <w:marRight w:val="0"/>
      <w:marTop w:val="0"/>
      <w:marBottom w:val="0"/>
      <w:divBdr>
        <w:top w:val="none" w:sz="0" w:space="0" w:color="auto"/>
        <w:left w:val="none" w:sz="0" w:space="0" w:color="auto"/>
        <w:bottom w:val="none" w:sz="0" w:space="0" w:color="auto"/>
        <w:right w:val="none" w:sz="0" w:space="0" w:color="auto"/>
      </w:divBdr>
    </w:div>
    <w:div w:id="1235512424">
      <w:marLeft w:val="640"/>
      <w:marRight w:val="0"/>
      <w:marTop w:val="0"/>
      <w:marBottom w:val="0"/>
      <w:divBdr>
        <w:top w:val="none" w:sz="0" w:space="0" w:color="auto"/>
        <w:left w:val="none" w:sz="0" w:space="0" w:color="auto"/>
        <w:bottom w:val="none" w:sz="0" w:space="0" w:color="auto"/>
        <w:right w:val="none" w:sz="0" w:space="0" w:color="auto"/>
      </w:divBdr>
    </w:div>
    <w:div w:id="1235581652">
      <w:marLeft w:val="640"/>
      <w:marRight w:val="0"/>
      <w:marTop w:val="0"/>
      <w:marBottom w:val="0"/>
      <w:divBdr>
        <w:top w:val="none" w:sz="0" w:space="0" w:color="auto"/>
        <w:left w:val="none" w:sz="0" w:space="0" w:color="auto"/>
        <w:bottom w:val="none" w:sz="0" w:space="0" w:color="auto"/>
        <w:right w:val="none" w:sz="0" w:space="0" w:color="auto"/>
      </w:divBdr>
    </w:div>
    <w:div w:id="1235891687">
      <w:marLeft w:val="640"/>
      <w:marRight w:val="0"/>
      <w:marTop w:val="0"/>
      <w:marBottom w:val="0"/>
      <w:divBdr>
        <w:top w:val="none" w:sz="0" w:space="0" w:color="auto"/>
        <w:left w:val="none" w:sz="0" w:space="0" w:color="auto"/>
        <w:bottom w:val="none" w:sz="0" w:space="0" w:color="auto"/>
        <w:right w:val="none" w:sz="0" w:space="0" w:color="auto"/>
      </w:divBdr>
    </w:div>
    <w:div w:id="1236627817">
      <w:marLeft w:val="640"/>
      <w:marRight w:val="0"/>
      <w:marTop w:val="0"/>
      <w:marBottom w:val="0"/>
      <w:divBdr>
        <w:top w:val="none" w:sz="0" w:space="0" w:color="auto"/>
        <w:left w:val="none" w:sz="0" w:space="0" w:color="auto"/>
        <w:bottom w:val="none" w:sz="0" w:space="0" w:color="auto"/>
        <w:right w:val="none" w:sz="0" w:space="0" w:color="auto"/>
      </w:divBdr>
    </w:div>
    <w:div w:id="1237010178">
      <w:marLeft w:val="640"/>
      <w:marRight w:val="0"/>
      <w:marTop w:val="0"/>
      <w:marBottom w:val="0"/>
      <w:divBdr>
        <w:top w:val="none" w:sz="0" w:space="0" w:color="auto"/>
        <w:left w:val="none" w:sz="0" w:space="0" w:color="auto"/>
        <w:bottom w:val="none" w:sz="0" w:space="0" w:color="auto"/>
        <w:right w:val="none" w:sz="0" w:space="0" w:color="auto"/>
      </w:divBdr>
    </w:div>
    <w:div w:id="1237013615">
      <w:marLeft w:val="640"/>
      <w:marRight w:val="0"/>
      <w:marTop w:val="0"/>
      <w:marBottom w:val="0"/>
      <w:divBdr>
        <w:top w:val="none" w:sz="0" w:space="0" w:color="auto"/>
        <w:left w:val="none" w:sz="0" w:space="0" w:color="auto"/>
        <w:bottom w:val="none" w:sz="0" w:space="0" w:color="auto"/>
        <w:right w:val="none" w:sz="0" w:space="0" w:color="auto"/>
      </w:divBdr>
    </w:div>
    <w:div w:id="1237663664">
      <w:marLeft w:val="640"/>
      <w:marRight w:val="0"/>
      <w:marTop w:val="0"/>
      <w:marBottom w:val="0"/>
      <w:divBdr>
        <w:top w:val="none" w:sz="0" w:space="0" w:color="auto"/>
        <w:left w:val="none" w:sz="0" w:space="0" w:color="auto"/>
        <w:bottom w:val="none" w:sz="0" w:space="0" w:color="auto"/>
        <w:right w:val="none" w:sz="0" w:space="0" w:color="auto"/>
      </w:divBdr>
    </w:div>
    <w:div w:id="1237976483">
      <w:marLeft w:val="640"/>
      <w:marRight w:val="0"/>
      <w:marTop w:val="0"/>
      <w:marBottom w:val="0"/>
      <w:divBdr>
        <w:top w:val="none" w:sz="0" w:space="0" w:color="auto"/>
        <w:left w:val="none" w:sz="0" w:space="0" w:color="auto"/>
        <w:bottom w:val="none" w:sz="0" w:space="0" w:color="auto"/>
        <w:right w:val="none" w:sz="0" w:space="0" w:color="auto"/>
      </w:divBdr>
    </w:div>
    <w:div w:id="1239361229">
      <w:marLeft w:val="640"/>
      <w:marRight w:val="0"/>
      <w:marTop w:val="0"/>
      <w:marBottom w:val="0"/>
      <w:divBdr>
        <w:top w:val="none" w:sz="0" w:space="0" w:color="auto"/>
        <w:left w:val="none" w:sz="0" w:space="0" w:color="auto"/>
        <w:bottom w:val="none" w:sz="0" w:space="0" w:color="auto"/>
        <w:right w:val="none" w:sz="0" w:space="0" w:color="auto"/>
      </w:divBdr>
    </w:div>
    <w:div w:id="1240600944">
      <w:marLeft w:val="640"/>
      <w:marRight w:val="0"/>
      <w:marTop w:val="0"/>
      <w:marBottom w:val="0"/>
      <w:divBdr>
        <w:top w:val="none" w:sz="0" w:space="0" w:color="auto"/>
        <w:left w:val="none" w:sz="0" w:space="0" w:color="auto"/>
        <w:bottom w:val="none" w:sz="0" w:space="0" w:color="auto"/>
        <w:right w:val="none" w:sz="0" w:space="0" w:color="auto"/>
      </w:divBdr>
    </w:div>
    <w:div w:id="1240948662">
      <w:marLeft w:val="640"/>
      <w:marRight w:val="0"/>
      <w:marTop w:val="0"/>
      <w:marBottom w:val="0"/>
      <w:divBdr>
        <w:top w:val="none" w:sz="0" w:space="0" w:color="auto"/>
        <w:left w:val="none" w:sz="0" w:space="0" w:color="auto"/>
        <w:bottom w:val="none" w:sz="0" w:space="0" w:color="auto"/>
        <w:right w:val="none" w:sz="0" w:space="0" w:color="auto"/>
      </w:divBdr>
    </w:div>
    <w:div w:id="1241522281">
      <w:marLeft w:val="640"/>
      <w:marRight w:val="0"/>
      <w:marTop w:val="0"/>
      <w:marBottom w:val="0"/>
      <w:divBdr>
        <w:top w:val="none" w:sz="0" w:space="0" w:color="auto"/>
        <w:left w:val="none" w:sz="0" w:space="0" w:color="auto"/>
        <w:bottom w:val="none" w:sz="0" w:space="0" w:color="auto"/>
        <w:right w:val="none" w:sz="0" w:space="0" w:color="auto"/>
      </w:divBdr>
    </w:div>
    <w:div w:id="1241601241">
      <w:marLeft w:val="640"/>
      <w:marRight w:val="0"/>
      <w:marTop w:val="0"/>
      <w:marBottom w:val="0"/>
      <w:divBdr>
        <w:top w:val="none" w:sz="0" w:space="0" w:color="auto"/>
        <w:left w:val="none" w:sz="0" w:space="0" w:color="auto"/>
        <w:bottom w:val="none" w:sz="0" w:space="0" w:color="auto"/>
        <w:right w:val="none" w:sz="0" w:space="0" w:color="auto"/>
      </w:divBdr>
    </w:div>
    <w:div w:id="1242906448">
      <w:marLeft w:val="640"/>
      <w:marRight w:val="0"/>
      <w:marTop w:val="0"/>
      <w:marBottom w:val="0"/>
      <w:divBdr>
        <w:top w:val="none" w:sz="0" w:space="0" w:color="auto"/>
        <w:left w:val="none" w:sz="0" w:space="0" w:color="auto"/>
        <w:bottom w:val="none" w:sz="0" w:space="0" w:color="auto"/>
        <w:right w:val="none" w:sz="0" w:space="0" w:color="auto"/>
      </w:divBdr>
    </w:div>
    <w:div w:id="1243566229">
      <w:marLeft w:val="640"/>
      <w:marRight w:val="0"/>
      <w:marTop w:val="0"/>
      <w:marBottom w:val="0"/>
      <w:divBdr>
        <w:top w:val="none" w:sz="0" w:space="0" w:color="auto"/>
        <w:left w:val="none" w:sz="0" w:space="0" w:color="auto"/>
        <w:bottom w:val="none" w:sz="0" w:space="0" w:color="auto"/>
        <w:right w:val="none" w:sz="0" w:space="0" w:color="auto"/>
      </w:divBdr>
    </w:div>
    <w:div w:id="1243567396">
      <w:marLeft w:val="640"/>
      <w:marRight w:val="0"/>
      <w:marTop w:val="0"/>
      <w:marBottom w:val="0"/>
      <w:divBdr>
        <w:top w:val="none" w:sz="0" w:space="0" w:color="auto"/>
        <w:left w:val="none" w:sz="0" w:space="0" w:color="auto"/>
        <w:bottom w:val="none" w:sz="0" w:space="0" w:color="auto"/>
        <w:right w:val="none" w:sz="0" w:space="0" w:color="auto"/>
      </w:divBdr>
    </w:div>
    <w:div w:id="1243876151">
      <w:marLeft w:val="640"/>
      <w:marRight w:val="0"/>
      <w:marTop w:val="0"/>
      <w:marBottom w:val="0"/>
      <w:divBdr>
        <w:top w:val="none" w:sz="0" w:space="0" w:color="auto"/>
        <w:left w:val="none" w:sz="0" w:space="0" w:color="auto"/>
        <w:bottom w:val="none" w:sz="0" w:space="0" w:color="auto"/>
        <w:right w:val="none" w:sz="0" w:space="0" w:color="auto"/>
      </w:divBdr>
    </w:div>
    <w:div w:id="1244029847">
      <w:marLeft w:val="640"/>
      <w:marRight w:val="0"/>
      <w:marTop w:val="0"/>
      <w:marBottom w:val="0"/>
      <w:divBdr>
        <w:top w:val="none" w:sz="0" w:space="0" w:color="auto"/>
        <w:left w:val="none" w:sz="0" w:space="0" w:color="auto"/>
        <w:bottom w:val="none" w:sz="0" w:space="0" w:color="auto"/>
        <w:right w:val="none" w:sz="0" w:space="0" w:color="auto"/>
      </w:divBdr>
    </w:div>
    <w:div w:id="1245603112">
      <w:marLeft w:val="640"/>
      <w:marRight w:val="0"/>
      <w:marTop w:val="0"/>
      <w:marBottom w:val="0"/>
      <w:divBdr>
        <w:top w:val="none" w:sz="0" w:space="0" w:color="auto"/>
        <w:left w:val="none" w:sz="0" w:space="0" w:color="auto"/>
        <w:bottom w:val="none" w:sz="0" w:space="0" w:color="auto"/>
        <w:right w:val="none" w:sz="0" w:space="0" w:color="auto"/>
      </w:divBdr>
    </w:div>
    <w:div w:id="1245723561">
      <w:marLeft w:val="640"/>
      <w:marRight w:val="0"/>
      <w:marTop w:val="0"/>
      <w:marBottom w:val="0"/>
      <w:divBdr>
        <w:top w:val="none" w:sz="0" w:space="0" w:color="auto"/>
        <w:left w:val="none" w:sz="0" w:space="0" w:color="auto"/>
        <w:bottom w:val="none" w:sz="0" w:space="0" w:color="auto"/>
        <w:right w:val="none" w:sz="0" w:space="0" w:color="auto"/>
      </w:divBdr>
    </w:div>
    <w:div w:id="1246723708">
      <w:marLeft w:val="640"/>
      <w:marRight w:val="0"/>
      <w:marTop w:val="0"/>
      <w:marBottom w:val="0"/>
      <w:divBdr>
        <w:top w:val="none" w:sz="0" w:space="0" w:color="auto"/>
        <w:left w:val="none" w:sz="0" w:space="0" w:color="auto"/>
        <w:bottom w:val="none" w:sz="0" w:space="0" w:color="auto"/>
        <w:right w:val="none" w:sz="0" w:space="0" w:color="auto"/>
      </w:divBdr>
    </w:div>
    <w:div w:id="1246919704">
      <w:marLeft w:val="640"/>
      <w:marRight w:val="0"/>
      <w:marTop w:val="0"/>
      <w:marBottom w:val="0"/>
      <w:divBdr>
        <w:top w:val="none" w:sz="0" w:space="0" w:color="auto"/>
        <w:left w:val="none" w:sz="0" w:space="0" w:color="auto"/>
        <w:bottom w:val="none" w:sz="0" w:space="0" w:color="auto"/>
        <w:right w:val="none" w:sz="0" w:space="0" w:color="auto"/>
      </w:divBdr>
    </w:div>
    <w:div w:id="1247572914">
      <w:marLeft w:val="640"/>
      <w:marRight w:val="0"/>
      <w:marTop w:val="0"/>
      <w:marBottom w:val="0"/>
      <w:divBdr>
        <w:top w:val="none" w:sz="0" w:space="0" w:color="auto"/>
        <w:left w:val="none" w:sz="0" w:space="0" w:color="auto"/>
        <w:bottom w:val="none" w:sz="0" w:space="0" w:color="auto"/>
        <w:right w:val="none" w:sz="0" w:space="0" w:color="auto"/>
      </w:divBdr>
    </w:div>
    <w:div w:id="1247694765">
      <w:marLeft w:val="640"/>
      <w:marRight w:val="0"/>
      <w:marTop w:val="0"/>
      <w:marBottom w:val="0"/>
      <w:divBdr>
        <w:top w:val="none" w:sz="0" w:space="0" w:color="auto"/>
        <w:left w:val="none" w:sz="0" w:space="0" w:color="auto"/>
        <w:bottom w:val="none" w:sz="0" w:space="0" w:color="auto"/>
        <w:right w:val="none" w:sz="0" w:space="0" w:color="auto"/>
      </w:divBdr>
    </w:div>
    <w:div w:id="1247883113">
      <w:marLeft w:val="640"/>
      <w:marRight w:val="0"/>
      <w:marTop w:val="0"/>
      <w:marBottom w:val="0"/>
      <w:divBdr>
        <w:top w:val="none" w:sz="0" w:space="0" w:color="auto"/>
        <w:left w:val="none" w:sz="0" w:space="0" w:color="auto"/>
        <w:bottom w:val="none" w:sz="0" w:space="0" w:color="auto"/>
        <w:right w:val="none" w:sz="0" w:space="0" w:color="auto"/>
      </w:divBdr>
    </w:div>
    <w:div w:id="1248227401">
      <w:marLeft w:val="640"/>
      <w:marRight w:val="0"/>
      <w:marTop w:val="0"/>
      <w:marBottom w:val="0"/>
      <w:divBdr>
        <w:top w:val="none" w:sz="0" w:space="0" w:color="auto"/>
        <w:left w:val="none" w:sz="0" w:space="0" w:color="auto"/>
        <w:bottom w:val="none" w:sz="0" w:space="0" w:color="auto"/>
        <w:right w:val="none" w:sz="0" w:space="0" w:color="auto"/>
      </w:divBdr>
    </w:div>
    <w:div w:id="1248346103">
      <w:marLeft w:val="640"/>
      <w:marRight w:val="0"/>
      <w:marTop w:val="0"/>
      <w:marBottom w:val="0"/>
      <w:divBdr>
        <w:top w:val="none" w:sz="0" w:space="0" w:color="auto"/>
        <w:left w:val="none" w:sz="0" w:space="0" w:color="auto"/>
        <w:bottom w:val="none" w:sz="0" w:space="0" w:color="auto"/>
        <w:right w:val="none" w:sz="0" w:space="0" w:color="auto"/>
      </w:divBdr>
    </w:div>
    <w:div w:id="1249383773">
      <w:marLeft w:val="640"/>
      <w:marRight w:val="0"/>
      <w:marTop w:val="0"/>
      <w:marBottom w:val="0"/>
      <w:divBdr>
        <w:top w:val="none" w:sz="0" w:space="0" w:color="auto"/>
        <w:left w:val="none" w:sz="0" w:space="0" w:color="auto"/>
        <w:bottom w:val="none" w:sz="0" w:space="0" w:color="auto"/>
        <w:right w:val="none" w:sz="0" w:space="0" w:color="auto"/>
      </w:divBdr>
    </w:div>
    <w:div w:id="1249920741">
      <w:marLeft w:val="640"/>
      <w:marRight w:val="0"/>
      <w:marTop w:val="0"/>
      <w:marBottom w:val="0"/>
      <w:divBdr>
        <w:top w:val="none" w:sz="0" w:space="0" w:color="auto"/>
        <w:left w:val="none" w:sz="0" w:space="0" w:color="auto"/>
        <w:bottom w:val="none" w:sz="0" w:space="0" w:color="auto"/>
        <w:right w:val="none" w:sz="0" w:space="0" w:color="auto"/>
      </w:divBdr>
    </w:div>
    <w:div w:id="1250579920">
      <w:marLeft w:val="640"/>
      <w:marRight w:val="0"/>
      <w:marTop w:val="0"/>
      <w:marBottom w:val="0"/>
      <w:divBdr>
        <w:top w:val="none" w:sz="0" w:space="0" w:color="auto"/>
        <w:left w:val="none" w:sz="0" w:space="0" w:color="auto"/>
        <w:bottom w:val="none" w:sz="0" w:space="0" w:color="auto"/>
        <w:right w:val="none" w:sz="0" w:space="0" w:color="auto"/>
      </w:divBdr>
    </w:div>
    <w:div w:id="1251040717">
      <w:marLeft w:val="640"/>
      <w:marRight w:val="0"/>
      <w:marTop w:val="0"/>
      <w:marBottom w:val="0"/>
      <w:divBdr>
        <w:top w:val="none" w:sz="0" w:space="0" w:color="auto"/>
        <w:left w:val="none" w:sz="0" w:space="0" w:color="auto"/>
        <w:bottom w:val="none" w:sz="0" w:space="0" w:color="auto"/>
        <w:right w:val="none" w:sz="0" w:space="0" w:color="auto"/>
      </w:divBdr>
    </w:div>
    <w:div w:id="1251160200">
      <w:marLeft w:val="640"/>
      <w:marRight w:val="0"/>
      <w:marTop w:val="0"/>
      <w:marBottom w:val="0"/>
      <w:divBdr>
        <w:top w:val="none" w:sz="0" w:space="0" w:color="auto"/>
        <w:left w:val="none" w:sz="0" w:space="0" w:color="auto"/>
        <w:bottom w:val="none" w:sz="0" w:space="0" w:color="auto"/>
        <w:right w:val="none" w:sz="0" w:space="0" w:color="auto"/>
      </w:divBdr>
    </w:div>
    <w:div w:id="1252348876">
      <w:marLeft w:val="640"/>
      <w:marRight w:val="0"/>
      <w:marTop w:val="0"/>
      <w:marBottom w:val="0"/>
      <w:divBdr>
        <w:top w:val="none" w:sz="0" w:space="0" w:color="auto"/>
        <w:left w:val="none" w:sz="0" w:space="0" w:color="auto"/>
        <w:bottom w:val="none" w:sz="0" w:space="0" w:color="auto"/>
        <w:right w:val="none" w:sz="0" w:space="0" w:color="auto"/>
      </w:divBdr>
    </w:div>
    <w:div w:id="1252621429">
      <w:marLeft w:val="640"/>
      <w:marRight w:val="0"/>
      <w:marTop w:val="0"/>
      <w:marBottom w:val="0"/>
      <w:divBdr>
        <w:top w:val="none" w:sz="0" w:space="0" w:color="auto"/>
        <w:left w:val="none" w:sz="0" w:space="0" w:color="auto"/>
        <w:bottom w:val="none" w:sz="0" w:space="0" w:color="auto"/>
        <w:right w:val="none" w:sz="0" w:space="0" w:color="auto"/>
      </w:divBdr>
    </w:div>
    <w:div w:id="1252932646">
      <w:marLeft w:val="640"/>
      <w:marRight w:val="0"/>
      <w:marTop w:val="0"/>
      <w:marBottom w:val="0"/>
      <w:divBdr>
        <w:top w:val="none" w:sz="0" w:space="0" w:color="auto"/>
        <w:left w:val="none" w:sz="0" w:space="0" w:color="auto"/>
        <w:bottom w:val="none" w:sz="0" w:space="0" w:color="auto"/>
        <w:right w:val="none" w:sz="0" w:space="0" w:color="auto"/>
      </w:divBdr>
    </w:div>
    <w:div w:id="1254389116">
      <w:marLeft w:val="640"/>
      <w:marRight w:val="0"/>
      <w:marTop w:val="0"/>
      <w:marBottom w:val="0"/>
      <w:divBdr>
        <w:top w:val="none" w:sz="0" w:space="0" w:color="auto"/>
        <w:left w:val="none" w:sz="0" w:space="0" w:color="auto"/>
        <w:bottom w:val="none" w:sz="0" w:space="0" w:color="auto"/>
        <w:right w:val="none" w:sz="0" w:space="0" w:color="auto"/>
      </w:divBdr>
    </w:div>
    <w:div w:id="1254784353">
      <w:marLeft w:val="640"/>
      <w:marRight w:val="0"/>
      <w:marTop w:val="0"/>
      <w:marBottom w:val="0"/>
      <w:divBdr>
        <w:top w:val="none" w:sz="0" w:space="0" w:color="auto"/>
        <w:left w:val="none" w:sz="0" w:space="0" w:color="auto"/>
        <w:bottom w:val="none" w:sz="0" w:space="0" w:color="auto"/>
        <w:right w:val="none" w:sz="0" w:space="0" w:color="auto"/>
      </w:divBdr>
    </w:div>
    <w:div w:id="1255362201">
      <w:marLeft w:val="640"/>
      <w:marRight w:val="0"/>
      <w:marTop w:val="0"/>
      <w:marBottom w:val="0"/>
      <w:divBdr>
        <w:top w:val="none" w:sz="0" w:space="0" w:color="auto"/>
        <w:left w:val="none" w:sz="0" w:space="0" w:color="auto"/>
        <w:bottom w:val="none" w:sz="0" w:space="0" w:color="auto"/>
        <w:right w:val="none" w:sz="0" w:space="0" w:color="auto"/>
      </w:divBdr>
    </w:div>
    <w:div w:id="1255435155">
      <w:marLeft w:val="640"/>
      <w:marRight w:val="0"/>
      <w:marTop w:val="0"/>
      <w:marBottom w:val="0"/>
      <w:divBdr>
        <w:top w:val="none" w:sz="0" w:space="0" w:color="auto"/>
        <w:left w:val="none" w:sz="0" w:space="0" w:color="auto"/>
        <w:bottom w:val="none" w:sz="0" w:space="0" w:color="auto"/>
        <w:right w:val="none" w:sz="0" w:space="0" w:color="auto"/>
      </w:divBdr>
    </w:div>
    <w:div w:id="1255819963">
      <w:marLeft w:val="640"/>
      <w:marRight w:val="0"/>
      <w:marTop w:val="0"/>
      <w:marBottom w:val="0"/>
      <w:divBdr>
        <w:top w:val="none" w:sz="0" w:space="0" w:color="auto"/>
        <w:left w:val="none" w:sz="0" w:space="0" w:color="auto"/>
        <w:bottom w:val="none" w:sz="0" w:space="0" w:color="auto"/>
        <w:right w:val="none" w:sz="0" w:space="0" w:color="auto"/>
      </w:divBdr>
    </w:div>
    <w:div w:id="1256013410">
      <w:marLeft w:val="640"/>
      <w:marRight w:val="0"/>
      <w:marTop w:val="0"/>
      <w:marBottom w:val="0"/>
      <w:divBdr>
        <w:top w:val="none" w:sz="0" w:space="0" w:color="auto"/>
        <w:left w:val="none" w:sz="0" w:space="0" w:color="auto"/>
        <w:bottom w:val="none" w:sz="0" w:space="0" w:color="auto"/>
        <w:right w:val="none" w:sz="0" w:space="0" w:color="auto"/>
      </w:divBdr>
    </w:div>
    <w:div w:id="1256129674">
      <w:marLeft w:val="640"/>
      <w:marRight w:val="0"/>
      <w:marTop w:val="0"/>
      <w:marBottom w:val="0"/>
      <w:divBdr>
        <w:top w:val="none" w:sz="0" w:space="0" w:color="auto"/>
        <w:left w:val="none" w:sz="0" w:space="0" w:color="auto"/>
        <w:bottom w:val="none" w:sz="0" w:space="0" w:color="auto"/>
        <w:right w:val="none" w:sz="0" w:space="0" w:color="auto"/>
      </w:divBdr>
    </w:div>
    <w:div w:id="1256401950">
      <w:marLeft w:val="640"/>
      <w:marRight w:val="0"/>
      <w:marTop w:val="0"/>
      <w:marBottom w:val="0"/>
      <w:divBdr>
        <w:top w:val="none" w:sz="0" w:space="0" w:color="auto"/>
        <w:left w:val="none" w:sz="0" w:space="0" w:color="auto"/>
        <w:bottom w:val="none" w:sz="0" w:space="0" w:color="auto"/>
        <w:right w:val="none" w:sz="0" w:space="0" w:color="auto"/>
      </w:divBdr>
    </w:div>
    <w:div w:id="1256786525">
      <w:marLeft w:val="640"/>
      <w:marRight w:val="0"/>
      <w:marTop w:val="0"/>
      <w:marBottom w:val="0"/>
      <w:divBdr>
        <w:top w:val="none" w:sz="0" w:space="0" w:color="auto"/>
        <w:left w:val="none" w:sz="0" w:space="0" w:color="auto"/>
        <w:bottom w:val="none" w:sz="0" w:space="0" w:color="auto"/>
        <w:right w:val="none" w:sz="0" w:space="0" w:color="auto"/>
      </w:divBdr>
    </w:div>
    <w:div w:id="1257056882">
      <w:marLeft w:val="640"/>
      <w:marRight w:val="0"/>
      <w:marTop w:val="0"/>
      <w:marBottom w:val="0"/>
      <w:divBdr>
        <w:top w:val="none" w:sz="0" w:space="0" w:color="auto"/>
        <w:left w:val="none" w:sz="0" w:space="0" w:color="auto"/>
        <w:bottom w:val="none" w:sz="0" w:space="0" w:color="auto"/>
        <w:right w:val="none" w:sz="0" w:space="0" w:color="auto"/>
      </w:divBdr>
    </w:div>
    <w:div w:id="1257596839">
      <w:marLeft w:val="640"/>
      <w:marRight w:val="0"/>
      <w:marTop w:val="0"/>
      <w:marBottom w:val="0"/>
      <w:divBdr>
        <w:top w:val="none" w:sz="0" w:space="0" w:color="auto"/>
        <w:left w:val="none" w:sz="0" w:space="0" w:color="auto"/>
        <w:bottom w:val="none" w:sz="0" w:space="0" w:color="auto"/>
        <w:right w:val="none" w:sz="0" w:space="0" w:color="auto"/>
      </w:divBdr>
    </w:div>
    <w:div w:id="1257637977">
      <w:marLeft w:val="640"/>
      <w:marRight w:val="0"/>
      <w:marTop w:val="0"/>
      <w:marBottom w:val="0"/>
      <w:divBdr>
        <w:top w:val="none" w:sz="0" w:space="0" w:color="auto"/>
        <w:left w:val="none" w:sz="0" w:space="0" w:color="auto"/>
        <w:bottom w:val="none" w:sz="0" w:space="0" w:color="auto"/>
        <w:right w:val="none" w:sz="0" w:space="0" w:color="auto"/>
      </w:divBdr>
    </w:div>
    <w:div w:id="1258060774">
      <w:marLeft w:val="640"/>
      <w:marRight w:val="0"/>
      <w:marTop w:val="0"/>
      <w:marBottom w:val="0"/>
      <w:divBdr>
        <w:top w:val="none" w:sz="0" w:space="0" w:color="auto"/>
        <w:left w:val="none" w:sz="0" w:space="0" w:color="auto"/>
        <w:bottom w:val="none" w:sz="0" w:space="0" w:color="auto"/>
        <w:right w:val="none" w:sz="0" w:space="0" w:color="auto"/>
      </w:divBdr>
    </w:div>
    <w:div w:id="1258439879">
      <w:marLeft w:val="640"/>
      <w:marRight w:val="0"/>
      <w:marTop w:val="0"/>
      <w:marBottom w:val="0"/>
      <w:divBdr>
        <w:top w:val="none" w:sz="0" w:space="0" w:color="auto"/>
        <w:left w:val="none" w:sz="0" w:space="0" w:color="auto"/>
        <w:bottom w:val="none" w:sz="0" w:space="0" w:color="auto"/>
        <w:right w:val="none" w:sz="0" w:space="0" w:color="auto"/>
      </w:divBdr>
    </w:div>
    <w:div w:id="1258514947">
      <w:marLeft w:val="640"/>
      <w:marRight w:val="0"/>
      <w:marTop w:val="0"/>
      <w:marBottom w:val="0"/>
      <w:divBdr>
        <w:top w:val="none" w:sz="0" w:space="0" w:color="auto"/>
        <w:left w:val="none" w:sz="0" w:space="0" w:color="auto"/>
        <w:bottom w:val="none" w:sz="0" w:space="0" w:color="auto"/>
        <w:right w:val="none" w:sz="0" w:space="0" w:color="auto"/>
      </w:divBdr>
    </w:div>
    <w:div w:id="1258752283">
      <w:marLeft w:val="640"/>
      <w:marRight w:val="0"/>
      <w:marTop w:val="0"/>
      <w:marBottom w:val="0"/>
      <w:divBdr>
        <w:top w:val="none" w:sz="0" w:space="0" w:color="auto"/>
        <w:left w:val="none" w:sz="0" w:space="0" w:color="auto"/>
        <w:bottom w:val="none" w:sz="0" w:space="0" w:color="auto"/>
        <w:right w:val="none" w:sz="0" w:space="0" w:color="auto"/>
      </w:divBdr>
    </w:div>
    <w:div w:id="1258976119">
      <w:marLeft w:val="640"/>
      <w:marRight w:val="0"/>
      <w:marTop w:val="0"/>
      <w:marBottom w:val="0"/>
      <w:divBdr>
        <w:top w:val="none" w:sz="0" w:space="0" w:color="auto"/>
        <w:left w:val="none" w:sz="0" w:space="0" w:color="auto"/>
        <w:bottom w:val="none" w:sz="0" w:space="0" w:color="auto"/>
        <w:right w:val="none" w:sz="0" w:space="0" w:color="auto"/>
      </w:divBdr>
    </w:div>
    <w:div w:id="1259100629">
      <w:marLeft w:val="640"/>
      <w:marRight w:val="0"/>
      <w:marTop w:val="0"/>
      <w:marBottom w:val="0"/>
      <w:divBdr>
        <w:top w:val="none" w:sz="0" w:space="0" w:color="auto"/>
        <w:left w:val="none" w:sz="0" w:space="0" w:color="auto"/>
        <w:bottom w:val="none" w:sz="0" w:space="0" w:color="auto"/>
        <w:right w:val="none" w:sz="0" w:space="0" w:color="auto"/>
      </w:divBdr>
    </w:div>
    <w:div w:id="1259872880">
      <w:marLeft w:val="640"/>
      <w:marRight w:val="0"/>
      <w:marTop w:val="0"/>
      <w:marBottom w:val="0"/>
      <w:divBdr>
        <w:top w:val="none" w:sz="0" w:space="0" w:color="auto"/>
        <w:left w:val="none" w:sz="0" w:space="0" w:color="auto"/>
        <w:bottom w:val="none" w:sz="0" w:space="0" w:color="auto"/>
        <w:right w:val="none" w:sz="0" w:space="0" w:color="auto"/>
      </w:divBdr>
    </w:div>
    <w:div w:id="1260260217">
      <w:marLeft w:val="640"/>
      <w:marRight w:val="0"/>
      <w:marTop w:val="0"/>
      <w:marBottom w:val="0"/>
      <w:divBdr>
        <w:top w:val="none" w:sz="0" w:space="0" w:color="auto"/>
        <w:left w:val="none" w:sz="0" w:space="0" w:color="auto"/>
        <w:bottom w:val="none" w:sz="0" w:space="0" w:color="auto"/>
        <w:right w:val="none" w:sz="0" w:space="0" w:color="auto"/>
      </w:divBdr>
    </w:div>
    <w:div w:id="1260990861">
      <w:marLeft w:val="640"/>
      <w:marRight w:val="0"/>
      <w:marTop w:val="0"/>
      <w:marBottom w:val="0"/>
      <w:divBdr>
        <w:top w:val="none" w:sz="0" w:space="0" w:color="auto"/>
        <w:left w:val="none" w:sz="0" w:space="0" w:color="auto"/>
        <w:bottom w:val="none" w:sz="0" w:space="0" w:color="auto"/>
        <w:right w:val="none" w:sz="0" w:space="0" w:color="auto"/>
      </w:divBdr>
    </w:div>
    <w:div w:id="1261064044">
      <w:marLeft w:val="640"/>
      <w:marRight w:val="0"/>
      <w:marTop w:val="0"/>
      <w:marBottom w:val="0"/>
      <w:divBdr>
        <w:top w:val="none" w:sz="0" w:space="0" w:color="auto"/>
        <w:left w:val="none" w:sz="0" w:space="0" w:color="auto"/>
        <w:bottom w:val="none" w:sz="0" w:space="0" w:color="auto"/>
        <w:right w:val="none" w:sz="0" w:space="0" w:color="auto"/>
      </w:divBdr>
    </w:div>
    <w:div w:id="1261184265">
      <w:marLeft w:val="640"/>
      <w:marRight w:val="0"/>
      <w:marTop w:val="0"/>
      <w:marBottom w:val="0"/>
      <w:divBdr>
        <w:top w:val="none" w:sz="0" w:space="0" w:color="auto"/>
        <w:left w:val="none" w:sz="0" w:space="0" w:color="auto"/>
        <w:bottom w:val="none" w:sz="0" w:space="0" w:color="auto"/>
        <w:right w:val="none" w:sz="0" w:space="0" w:color="auto"/>
      </w:divBdr>
    </w:div>
    <w:div w:id="1261447505">
      <w:marLeft w:val="640"/>
      <w:marRight w:val="0"/>
      <w:marTop w:val="0"/>
      <w:marBottom w:val="0"/>
      <w:divBdr>
        <w:top w:val="none" w:sz="0" w:space="0" w:color="auto"/>
        <w:left w:val="none" w:sz="0" w:space="0" w:color="auto"/>
        <w:bottom w:val="none" w:sz="0" w:space="0" w:color="auto"/>
        <w:right w:val="none" w:sz="0" w:space="0" w:color="auto"/>
      </w:divBdr>
    </w:div>
    <w:div w:id="1261834085">
      <w:marLeft w:val="640"/>
      <w:marRight w:val="0"/>
      <w:marTop w:val="0"/>
      <w:marBottom w:val="0"/>
      <w:divBdr>
        <w:top w:val="none" w:sz="0" w:space="0" w:color="auto"/>
        <w:left w:val="none" w:sz="0" w:space="0" w:color="auto"/>
        <w:bottom w:val="none" w:sz="0" w:space="0" w:color="auto"/>
        <w:right w:val="none" w:sz="0" w:space="0" w:color="auto"/>
      </w:divBdr>
    </w:div>
    <w:div w:id="1262107398">
      <w:marLeft w:val="640"/>
      <w:marRight w:val="0"/>
      <w:marTop w:val="0"/>
      <w:marBottom w:val="0"/>
      <w:divBdr>
        <w:top w:val="none" w:sz="0" w:space="0" w:color="auto"/>
        <w:left w:val="none" w:sz="0" w:space="0" w:color="auto"/>
        <w:bottom w:val="none" w:sz="0" w:space="0" w:color="auto"/>
        <w:right w:val="none" w:sz="0" w:space="0" w:color="auto"/>
      </w:divBdr>
    </w:div>
    <w:div w:id="1262883546">
      <w:marLeft w:val="640"/>
      <w:marRight w:val="0"/>
      <w:marTop w:val="0"/>
      <w:marBottom w:val="0"/>
      <w:divBdr>
        <w:top w:val="none" w:sz="0" w:space="0" w:color="auto"/>
        <w:left w:val="none" w:sz="0" w:space="0" w:color="auto"/>
        <w:bottom w:val="none" w:sz="0" w:space="0" w:color="auto"/>
        <w:right w:val="none" w:sz="0" w:space="0" w:color="auto"/>
      </w:divBdr>
    </w:div>
    <w:div w:id="1263034317">
      <w:marLeft w:val="640"/>
      <w:marRight w:val="0"/>
      <w:marTop w:val="0"/>
      <w:marBottom w:val="0"/>
      <w:divBdr>
        <w:top w:val="none" w:sz="0" w:space="0" w:color="auto"/>
        <w:left w:val="none" w:sz="0" w:space="0" w:color="auto"/>
        <w:bottom w:val="none" w:sz="0" w:space="0" w:color="auto"/>
        <w:right w:val="none" w:sz="0" w:space="0" w:color="auto"/>
      </w:divBdr>
    </w:div>
    <w:div w:id="1263805655">
      <w:marLeft w:val="640"/>
      <w:marRight w:val="0"/>
      <w:marTop w:val="0"/>
      <w:marBottom w:val="0"/>
      <w:divBdr>
        <w:top w:val="none" w:sz="0" w:space="0" w:color="auto"/>
        <w:left w:val="none" w:sz="0" w:space="0" w:color="auto"/>
        <w:bottom w:val="none" w:sz="0" w:space="0" w:color="auto"/>
        <w:right w:val="none" w:sz="0" w:space="0" w:color="auto"/>
      </w:divBdr>
    </w:div>
    <w:div w:id="1264413321">
      <w:marLeft w:val="640"/>
      <w:marRight w:val="0"/>
      <w:marTop w:val="0"/>
      <w:marBottom w:val="0"/>
      <w:divBdr>
        <w:top w:val="none" w:sz="0" w:space="0" w:color="auto"/>
        <w:left w:val="none" w:sz="0" w:space="0" w:color="auto"/>
        <w:bottom w:val="none" w:sz="0" w:space="0" w:color="auto"/>
        <w:right w:val="none" w:sz="0" w:space="0" w:color="auto"/>
      </w:divBdr>
    </w:div>
    <w:div w:id="1264418459">
      <w:marLeft w:val="640"/>
      <w:marRight w:val="0"/>
      <w:marTop w:val="0"/>
      <w:marBottom w:val="0"/>
      <w:divBdr>
        <w:top w:val="none" w:sz="0" w:space="0" w:color="auto"/>
        <w:left w:val="none" w:sz="0" w:space="0" w:color="auto"/>
        <w:bottom w:val="none" w:sz="0" w:space="0" w:color="auto"/>
        <w:right w:val="none" w:sz="0" w:space="0" w:color="auto"/>
      </w:divBdr>
    </w:div>
    <w:div w:id="1264727595">
      <w:marLeft w:val="640"/>
      <w:marRight w:val="0"/>
      <w:marTop w:val="0"/>
      <w:marBottom w:val="0"/>
      <w:divBdr>
        <w:top w:val="none" w:sz="0" w:space="0" w:color="auto"/>
        <w:left w:val="none" w:sz="0" w:space="0" w:color="auto"/>
        <w:bottom w:val="none" w:sz="0" w:space="0" w:color="auto"/>
        <w:right w:val="none" w:sz="0" w:space="0" w:color="auto"/>
      </w:divBdr>
    </w:div>
    <w:div w:id="1266814863">
      <w:marLeft w:val="640"/>
      <w:marRight w:val="0"/>
      <w:marTop w:val="0"/>
      <w:marBottom w:val="0"/>
      <w:divBdr>
        <w:top w:val="none" w:sz="0" w:space="0" w:color="auto"/>
        <w:left w:val="none" w:sz="0" w:space="0" w:color="auto"/>
        <w:bottom w:val="none" w:sz="0" w:space="0" w:color="auto"/>
        <w:right w:val="none" w:sz="0" w:space="0" w:color="auto"/>
      </w:divBdr>
    </w:div>
    <w:div w:id="1266890194">
      <w:marLeft w:val="640"/>
      <w:marRight w:val="0"/>
      <w:marTop w:val="0"/>
      <w:marBottom w:val="0"/>
      <w:divBdr>
        <w:top w:val="none" w:sz="0" w:space="0" w:color="auto"/>
        <w:left w:val="none" w:sz="0" w:space="0" w:color="auto"/>
        <w:bottom w:val="none" w:sz="0" w:space="0" w:color="auto"/>
        <w:right w:val="none" w:sz="0" w:space="0" w:color="auto"/>
      </w:divBdr>
    </w:div>
    <w:div w:id="1267037751">
      <w:marLeft w:val="640"/>
      <w:marRight w:val="0"/>
      <w:marTop w:val="0"/>
      <w:marBottom w:val="0"/>
      <w:divBdr>
        <w:top w:val="none" w:sz="0" w:space="0" w:color="auto"/>
        <w:left w:val="none" w:sz="0" w:space="0" w:color="auto"/>
        <w:bottom w:val="none" w:sz="0" w:space="0" w:color="auto"/>
        <w:right w:val="none" w:sz="0" w:space="0" w:color="auto"/>
      </w:divBdr>
    </w:div>
    <w:div w:id="1267080771">
      <w:marLeft w:val="640"/>
      <w:marRight w:val="0"/>
      <w:marTop w:val="0"/>
      <w:marBottom w:val="0"/>
      <w:divBdr>
        <w:top w:val="none" w:sz="0" w:space="0" w:color="auto"/>
        <w:left w:val="none" w:sz="0" w:space="0" w:color="auto"/>
        <w:bottom w:val="none" w:sz="0" w:space="0" w:color="auto"/>
        <w:right w:val="none" w:sz="0" w:space="0" w:color="auto"/>
      </w:divBdr>
    </w:div>
    <w:div w:id="1267468154">
      <w:marLeft w:val="640"/>
      <w:marRight w:val="0"/>
      <w:marTop w:val="0"/>
      <w:marBottom w:val="0"/>
      <w:divBdr>
        <w:top w:val="none" w:sz="0" w:space="0" w:color="auto"/>
        <w:left w:val="none" w:sz="0" w:space="0" w:color="auto"/>
        <w:bottom w:val="none" w:sz="0" w:space="0" w:color="auto"/>
        <w:right w:val="none" w:sz="0" w:space="0" w:color="auto"/>
      </w:divBdr>
    </w:div>
    <w:div w:id="1267545105">
      <w:marLeft w:val="640"/>
      <w:marRight w:val="0"/>
      <w:marTop w:val="0"/>
      <w:marBottom w:val="0"/>
      <w:divBdr>
        <w:top w:val="none" w:sz="0" w:space="0" w:color="auto"/>
        <w:left w:val="none" w:sz="0" w:space="0" w:color="auto"/>
        <w:bottom w:val="none" w:sz="0" w:space="0" w:color="auto"/>
        <w:right w:val="none" w:sz="0" w:space="0" w:color="auto"/>
      </w:divBdr>
    </w:div>
    <w:div w:id="1267810337">
      <w:marLeft w:val="640"/>
      <w:marRight w:val="0"/>
      <w:marTop w:val="0"/>
      <w:marBottom w:val="0"/>
      <w:divBdr>
        <w:top w:val="none" w:sz="0" w:space="0" w:color="auto"/>
        <w:left w:val="none" w:sz="0" w:space="0" w:color="auto"/>
        <w:bottom w:val="none" w:sz="0" w:space="0" w:color="auto"/>
        <w:right w:val="none" w:sz="0" w:space="0" w:color="auto"/>
      </w:divBdr>
    </w:div>
    <w:div w:id="1268730224">
      <w:marLeft w:val="640"/>
      <w:marRight w:val="0"/>
      <w:marTop w:val="0"/>
      <w:marBottom w:val="0"/>
      <w:divBdr>
        <w:top w:val="none" w:sz="0" w:space="0" w:color="auto"/>
        <w:left w:val="none" w:sz="0" w:space="0" w:color="auto"/>
        <w:bottom w:val="none" w:sz="0" w:space="0" w:color="auto"/>
        <w:right w:val="none" w:sz="0" w:space="0" w:color="auto"/>
      </w:divBdr>
    </w:div>
    <w:div w:id="1269192018">
      <w:marLeft w:val="640"/>
      <w:marRight w:val="0"/>
      <w:marTop w:val="0"/>
      <w:marBottom w:val="0"/>
      <w:divBdr>
        <w:top w:val="none" w:sz="0" w:space="0" w:color="auto"/>
        <w:left w:val="none" w:sz="0" w:space="0" w:color="auto"/>
        <w:bottom w:val="none" w:sz="0" w:space="0" w:color="auto"/>
        <w:right w:val="none" w:sz="0" w:space="0" w:color="auto"/>
      </w:divBdr>
    </w:div>
    <w:div w:id="1269892713">
      <w:marLeft w:val="640"/>
      <w:marRight w:val="0"/>
      <w:marTop w:val="0"/>
      <w:marBottom w:val="0"/>
      <w:divBdr>
        <w:top w:val="none" w:sz="0" w:space="0" w:color="auto"/>
        <w:left w:val="none" w:sz="0" w:space="0" w:color="auto"/>
        <w:bottom w:val="none" w:sz="0" w:space="0" w:color="auto"/>
        <w:right w:val="none" w:sz="0" w:space="0" w:color="auto"/>
      </w:divBdr>
    </w:div>
    <w:div w:id="1272933906">
      <w:marLeft w:val="640"/>
      <w:marRight w:val="0"/>
      <w:marTop w:val="0"/>
      <w:marBottom w:val="0"/>
      <w:divBdr>
        <w:top w:val="none" w:sz="0" w:space="0" w:color="auto"/>
        <w:left w:val="none" w:sz="0" w:space="0" w:color="auto"/>
        <w:bottom w:val="none" w:sz="0" w:space="0" w:color="auto"/>
        <w:right w:val="none" w:sz="0" w:space="0" w:color="auto"/>
      </w:divBdr>
    </w:div>
    <w:div w:id="1273198700">
      <w:marLeft w:val="640"/>
      <w:marRight w:val="0"/>
      <w:marTop w:val="0"/>
      <w:marBottom w:val="0"/>
      <w:divBdr>
        <w:top w:val="none" w:sz="0" w:space="0" w:color="auto"/>
        <w:left w:val="none" w:sz="0" w:space="0" w:color="auto"/>
        <w:bottom w:val="none" w:sz="0" w:space="0" w:color="auto"/>
        <w:right w:val="none" w:sz="0" w:space="0" w:color="auto"/>
      </w:divBdr>
    </w:div>
    <w:div w:id="1273249951">
      <w:marLeft w:val="640"/>
      <w:marRight w:val="0"/>
      <w:marTop w:val="0"/>
      <w:marBottom w:val="0"/>
      <w:divBdr>
        <w:top w:val="none" w:sz="0" w:space="0" w:color="auto"/>
        <w:left w:val="none" w:sz="0" w:space="0" w:color="auto"/>
        <w:bottom w:val="none" w:sz="0" w:space="0" w:color="auto"/>
        <w:right w:val="none" w:sz="0" w:space="0" w:color="auto"/>
      </w:divBdr>
    </w:div>
    <w:div w:id="1273516373">
      <w:marLeft w:val="640"/>
      <w:marRight w:val="0"/>
      <w:marTop w:val="0"/>
      <w:marBottom w:val="0"/>
      <w:divBdr>
        <w:top w:val="none" w:sz="0" w:space="0" w:color="auto"/>
        <w:left w:val="none" w:sz="0" w:space="0" w:color="auto"/>
        <w:bottom w:val="none" w:sz="0" w:space="0" w:color="auto"/>
        <w:right w:val="none" w:sz="0" w:space="0" w:color="auto"/>
      </w:divBdr>
    </w:div>
    <w:div w:id="1273590331">
      <w:marLeft w:val="640"/>
      <w:marRight w:val="0"/>
      <w:marTop w:val="0"/>
      <w:marBottom w:val="0"/>
      <w:divBdr>
        <w:top w:val="none" w:sz="0" w:space="0" w:color="auto"/>
        <w:left w:val="none" w:sz="0" w:space="0" w:color="auto"/>
        <w:bottom w:val="none" w:sz="0" w:space="0" w:color="auto"/>
        <w:right w:val="none" w:sz="0" w:space="0" w:color="auto"/>
      </w:divBdr>
    </w:div>
    <w:div w:id="1273592283">
      <w:marLeft w:val="640"/>
      <w:marRight w:val="0"/>
      <w:marTop w:val="0"/>
      <w:marBottom w:val="0"/>
      <w:divBdr>
        <w:top w:val="none" w:sz="0" w:space="0" w:color="auto"/>
        <w:left w:val="none" w:sz="0" w:space="0" w:color="auto"/>
        <w:bottom w:val="none" w:sz="0" w:space="0" w:color="auto"/>
        <w:right w:val="none" w:sz="0" w:space="0" w:color="auto"/>
      </w:divBdr>
    </w:div>
    <w:div w:id="1275094234">
      <w:marLeft w:val="640"/>
      <w:marRight w:val="0"/>
      <w:marTop w:val="0"/>
      <w:marBottom w:val="0"/>
      <w:divBdr>
        <w:top w:val="none" w:sz="0" w:space="0" w:color="auto"/>
        <w:left w:val="none" w:sz="0" w:space="0" w:color="auto"/>
        <w:bottom w:val="none" w:sz="0" w:space="0" w:color="auto"/>
        <w:right w:val="none" w:sz="0" w:space="0" w:color="auto"/>
      </w:divBdr>
    </w:div>
    <w:div w:id="1277254143">
      <w:marLeft w:val="640"/>
      <w:marRight w:val="0"/>
      <w:marTop w:val="0"/>
      <w:marBottom w:val="0"/>
      <w:divBdr>
        <w:top w:val="none" w:sz="0" w:space="0" w:color="auto"/>
        <w:left w:val="none" w:sz="0" w:space="0" w:color="auto"/>
        <w:bottom w:val="none" w:sz="0" w:space="0" w:color="auto"/>
        <w:right w:val="none" w:sz="0" w:space="0" w:color="auto"/>
      </w:divBdr>
    </w:div>
    <w:div w:id="1277365986">
      <w:marLeft w:val="640"/>
      <w:marRight w:val="0"/>
      <w:marTop w:val="0"/>
      <w:marBottom w:val="0"/>
      <w:divBdr>
        <w:top w:val="none" w:sz="0" w:space="0" w:color="auto"/>
        <w:left w:val="none" w:sz="0" w:space="0" w:color="auto"/>
        <w:bottom w:val="none" w:sz="0" w:space="0" w:color="auto"/>
        <w:right w:val="none" w:sz="0" w:space="0" w:color="auto"/>
      </w:divBdr>
    </w:div>
    <w:div w:id="1277444604">
      <w:marLeft w:val="640"/>
      <w:marRight w:val="0"/>
      <w:marTop w:val="0"/>
      <w:marBottom w:val="0"/>
      <w:divBdr>
        <w:top w:val="none" w:sz="0" w:space="0" w:color="auto"/>
        <w:left w:val="none" w:sz="0" w:space="0" w:color="auto"/>
        <w:bottom w:val="none" w:sz="0" w:space="0" w:color="auto"/>
        <w:right w:val="none" w:sz="0" w:space="0" w:color="auto"/>
      </w:divBdr>
    </w:div>
    <w:div w:id="1277759464">
      <w:marLeft w:val="640"/>
      <w:marRight w:val="0"/>
      <w:marTop w:val="0"/>
      <w:marBottom w:val="0"/>
      <w:divBdr>
        <w:top w:val="none" w:sz="0" w:space="0" w:color="auto"/>
        <w:left w:val="none" w:sz="0" w:space="0" w:color="auto"/>
        <w:bottom w:val="none" w:sz="0" w:space="0" w:color="auto"/>
        <w:right w:val="none" w:sz="0" w:space="0" w:color="auto"/>
      </w:divBdr>
    </w:div>
    <w:div w:id="1278296142">
      <w:marLeft w:val="640"/>
      <w:marRight w:val="0"/>
      <w:marTop w:val="0"/>
      <w:marBottom w:val="0"/>
      <w:divBdr>
        <w:top w:val="none" w:sz="0" w:space="0" w:color="auto"/>
        <w:left w:val="none" w:sz="0" w:space="0" w:color="auto"/>
        <w:bottom w:val="none" w:sz="0" w:space="0" w:color="auto"/>
        <w:right w:val="none" w:sz="0" w:space="0" w:color="auto"/>
      </w:divBdr>
    </w:div>
    <w:div w:id="1280600547">
      <w:marLeft w:val="640"/>
      <w:marRight w:val="0"/>
      <w:marTop w:val="0"/>
      <w:marBottom w:val="0"/>
      <w:divBdr>
        <w:top w:val="none" w:sz="0" w:space="0" w:color="auto"/>
        <w:left w:val="none" w:sz="0" w:space="0" w:color="auto"/>
        <w:bottom w:val="none" w:sz="0" w:space="0" w:color="auto"/>
        <w:right w:val="none" w:sz="0" w:space="0" w:color="auto"/>
      </w:divBdr>
    </w:div>
    <w:div w:id="1281106297">
      <w:marLeft w:val="640"/>
      <w:marRight w:val="0"/>
      <w:marTop w:val="0"/>
      <w:marBottom w:val="0"/>
      <w:divBdr>
        <w:top w:val="none" w:sz="0" w:space="0" w:color="auto"/>
        <w:left w:val="none" w:sz="0" w:space="0" w:color="auto"/>
        <w:bottom w:val="none" w:sz="0" w:space="0" w:color="auto"/>
        <w:right w:val="none" w:sz="0" w:space="0" w:color="auto"/>
      </w:divBdr>
    </w:div>
    <w:div w:id="1281188127">
      <w:marLeft w:val="640"/>
      <w:marRight w:val="0"/>
      <w:marTop w:val="0"/>
      <w:marBottom w:val="0"/>
      <w:divBdr>
        <w:top w:val="none" w:sz="0" w:space="0" w:color="auto"/>
        <w:left w:val="none" w:sz="0" w:space="0" w:color="auto"/>
        <w:bottom w:val="none" w:sz="0" w:space="0" w:color="auto"/>
        <w:right w:val="none" w:sz="0" w:space="0" w:color="auto"/>
      </w:divBdr>
    </w:div>
    <w:div w:id="1281718191">
      <w:marLeft w:val="640"/>
      <w:marRight w:val="0"/>
      <w:marTop w:val="0"/>
      <w:marBottom w:val="0"/>
      <w:divBdr>
        <w:top w:val="none" w:sz="0" w:space="0" w:color="auto"/>
        <w:left w:val="none" w:sz="0" w:space="0" w:color="auto"/>
        <w:bottom w:val="none" w:sz="0" w:space="0" w:color="auto"/>
        <w:right w:val="none" w:sz="0" w:space="0" w:color="auto"/>
      </w:divBdr>
    </w:div>
    <w:div w:id="1281765790">
      <w:marLeft w:val="640"/>
      <w:marRight w:val="0"/>
      <w:marTop w:val="0"/>
      <w:marBottom w:val="0"/>
      <w:divBdr>
        <w:top w:val="none" w:sz="0" w:space="0" w:color="auto"/>
        <w:left w:val="none" w:sz="0" w:space="0" w:color="auto"/>
        <w:bottom w:val="none" w:sz="0" w:space="0" w:color="auto"/>
        <w:right w:val="none" w:sz="0" w:space="0" w:color="auto"/>
      </w:divBdr>
    </w:div>
    <w:div w:id="1282879938">
      <w:marLeft w:val="640"/>
      <w:marRight w:val="0"/>
      <w:marTop w:val="0"/>
      <w:marBottom w:val="0"/>
      <w:divBdr>
        <w:top w:val="none" w:sz="0" w:space="0" w:color="auto"/>
        <w:left w:val="none" w:sz="0" w:space="0" w:color="auto"/>
        <w:bottom w:val="none" w:sz="0" w:space="0" w:color="auto"/>
        <w:right w:val="none" w:sz="0" w:space="0" w:color="auto"/>
      </w:divBdr>
    </w:div>
    <w:div w:id="1283612707">
      <w:marLeft w:val="640"/>
      <w:marRight w:val="0"/>
      <w:marTop w:val="0"/>
      <w:marBottom w:val="0"/>
      <w:divBdr>
        <w:top w:val="none" w:sz="0" w:space="0" w:color="auto"/>
        <w:left w:val="none" w:sz="0" w:space="0" w:color="auto"/>
        <w:bottom w:val="none" w:sz="0" w:space="0" w:color="auto"/>
        <w:right w:val="none" w:sz="0" w:space="0" w:color="auto"/>
      </w:divBdr>
    </w:div>
    <w:div w:id="1283922692">
      <w:marLeft w:val="640"/>
      <w:marRight w:val="0"/>
      <w:marTop w:val="0"/>
      <w:marBottom w:val="0"/>
      <w:divBdr>
        <w:top w:val="none" w:sz="0" w:space="0" w:color="auto"/>
        <w:left w:val="none" w:sz="0" w:space="0" w:color="auto"/>
        <w:bottom w:val="none" w:sz="0" w:space="0" w:color="auto"/>
        <w:right w:val="none" w:sz="0" w:space="0" w:color="auto"/>
      </w:divBdr>
    </w:div>
    <w:div w:id="1284338830">
      <w:marLeft w:val="640"/>
      <w:marRight w:val="0"/>
      <w:marTop w:val="0"/>
      <w:marBottom w:val="0"/>
      <w:divBdr>
        <w:top w:val="none" w:sz="0" w:space="0" w:color="auto"/>
        <w:left w:val="none" w:sz="0" w:space="0" w:color="auto"/>
        <w:bottom w:val="none" w:sz="0" w:space="0" w:color="auto"/>
        <w:right w:val="none" w:sz="0" w:space="0" w:color="auto"/>
      </w:divBdr>
    </w:div>
    <w:div w:id="1284579041">
      <w:marLeft w:val="640"/>
      <w:marRight w:val="0"/>
      <w:marTop w:val="0"/>
      <w:marBottom w:val="0"/>
      <w:divBdr>
        <w:top w:val="none" w:sz="0" w:space="0" w:color="auto"/>
        <w:left w:val="none" w:sz="0" w:space="0" w:color="auto"/>
        <w:bottom w:val="none" w:sz="0" w:space="0" w:color="auto"/>
        <w:right w:val="none" w:sz="0" w:space="0" w:color="auto"/>
      </w:divBdr>
    </w:div>
    <w:div w:id="1284651392">
      <w:marLeft w:val="640"/>
      <w:marRight w:val="0"/>
      <w:marTop w:val="0"/>
      <w:marBottom w:val="0"/>
      <w:divBdr>
        <w:top w:val="none" w:sz="0" w:space="0" w:color="auto"/>
        <w:left w:val="none" w:sz="0" w:space="0" w:color="auto"/>
        <w:bottom w:val="none" w:sz="0" w:space="0" w:color="auto"/>
        <w:right w:val="none" w:sz="0" w:space="0" w:color="auto"/>
      </w:divBdr>
    </w:div>
    <w:div w:id="1285162328">
      <w:marLeft w:val="640"/>
      <w:marRight w:val="0"/>
      <w:marTop w:val="0"/>
      <w:marBottom w:val="0"/>
      <w:divBdr>
        <w:top w:val="none" w:sz="0" w:space="0" w:color="auto"/>
        <w:left w:val="none" w:sz="0" w:space="0" w:color="auto"/>
        <w:bottom w:val="none" w:sz="0" w:space="0" w:color="auto"/>
        <w:right w:val="none" w:sz="0" w:space="0" w:color="auto"/>
      </w:divBdr>
    </w:div>
    <w:div w:id="1285696987">
      <w:marLeft w:val="640"/>
      <w:marRight w:val="0"/>
      <w:marTop w:val="0"/>
      <w:marBottom w:val="0"/>
      <w:divBdr>
        <w:top w:val="none" w:sz="0" w:space="0" w:color="auto"/>
        <w:left w:val="none" w:sz="0" w:space="0" w:color="auto"/>
        <w:bottom w:val="none" w:sz="0" w:space="0" w:color="auto"/>
        <w:right w:val="none" w:sz="0" w:space="0" w:color="auto"/>
      </w:divBdr>
    </w:div>
    <w:div w:id="1286083908">
      <w:marLeft w:val="640"/>
      <w:marRight w:val="0"/>
      <w:marTop w:val="0"/>
      <w:marBottom w:val="0"/>
      <w:divBdr>
        <w:top w:val="none" w:sz="0" w:space="0" w:color="auto"/>
        <w:left w:val="none" w:sz="0" w:space="0" w:color="auto"/>
        <w:bottom w:val="none" w:sz="0" w:space="0" w:color="auto"/>
        <w:right w:val="none" w:sz="0" w:space="0" w:color="auto"/>
      </w:divBdr>
    </w:div>
    <w:div w:id="1286615979">
      <w:marLeft w:val="640"/>
      <w:marRight w:val="0"/>
      <w:marTop w:val="0"/>
      <w:marBottom w:val="0"/>
      <w:divBdr>
        <w:top w:val="none" w:sz="0" w:space="0" w:color="auto"/>
        <w:left w:val="none" w:sz="0" w:space="0" w:color="auto"/>
        <w:bottom w:val="none" w:sz="0" w:space="0" w:color="auto"/>
        <w:right w:val="none" w:sz="0" w:space="0" w:color="auto"/>
      </w:divBdr>
    </w:div>
    <w:div w:id="1286698901">
      <w:marLeft w:val="640"/>
      <w:marRight w:val="0"/>
      <w:marTop w:val="0"/>
      <w:marBottom w:val="0"/>
      <w:divBdr>
        <w:top w:val="none" w:sz="0" w:space="0" w:color="auto"/>
        <w:left w:val="none" w:sz="0" w:space="0" w:color="auto"/>
        <w:bottom w:val="none" w:sz="0" w:space="0" w:color="auto"/>
        <w:right w:val="none" w:sz="0" w:space="0" w:color="auto"/>
      </w:divBdr>
    </w:div>
    <w:div w:id="1287084242">
      <w:marLeft w:val="640"/>
      <w:marRight w:val="0"/>
      <w:marTop w:val="0"/>
      <w:marBottom w:val="0"/>
      <w:divBdr>
        <w:top w:val="none" w:sz="0" w:space="0" w:color="auto"/>
        <w:left w:val="none" w:sz="0" w:space="0" w:color="auto"/>
        <w:bottom w:val="none" w:sz="0" w:space="0" w:color="auto"/>
        <w:right w:val="none" w:sz="0" w:space="0" w:color="auto"/>
      </w:divBdr>
    </w:div>
    <w:div w:id="1287543226">
      <w:marLeft w:val="640"/>
      <w:marRight w:val="0"/>
      <w:marTop w:val="0"/>
      <w:marBottom w:val="0"/>
      <w:divBdr>
        <w:top w:val="none" w:sz="0" w:space="0" w:color="auto"/>
        <w:left w:val="none" w:sz="0" w:space="0" w:color="auto"/>
        <w:bottom w:val="none" w:sz="0" w:space="0" w:color="auto"/>
        <w:right w:val="none" w:sz="0" w:space="0" w:color="auto"/>
      </w:divBdr>
    </w:div>
    <w:div w:id="1287587303">
      <w:marLeft w:val="640"/>
      <w:marRight w:val="0"/>
      <w:marTop w:val="0"/>
      <w:marBottom w:val="0"/>
      <w:divBdr>
        <w:top w:val="none" w:sz="0" w:space="0" w:color="auto"/>
        <w:left w:val="none" w:sz="0" w:space="0" w:color="auto"/>
        <w:bottom w:val="none" w:sz="0" w:space="0" w:color="auto"/>
        <w:right w:val="none" w:sz="0" w:space="0" w:color="auto"/>
      </w:divBdr>
    </w:div>
    <w:div w:id="1287664514">
      <w:marLeft w:val="640"/>
      <w:marRight w:val="0"/>
      <w:marTop w:val="0"/>
      <w:marBottom w:val="0"/>
      <w:divBdr>
        <w:top w:val="none" w:sz="0" w:space="0" w:color="auto"/>
        <w:left w:val="none" w:sz="0" w:space="0" w:color="auto"/>
        <w:bottom w:val="none" w:sz="0" w:space="0" w:color="auto"/>
        <w:right w:val="none" w:sz="0" w:space="0" w:color="auto"/>
      </w:divBdr>
    </w:div>
    <w:div w:id="1288926346">
      <w:marLeft w:val="640"/>
      <w:marRight w:val="0"/>
      <w:marTop w:val="0"/>
      <w:marBottom w:val="0"/>
      <w:divBdr>
        <w:top w:val="none" w:sz="0" w:space="0" w:color="auto"/>
        <w:left w:val="none" w:sz="0" w:space="0" w:color="auto"/>
        <w:bottom w:val="none" w:sz="0" w:space="0" w:color="auto"/>
        <w:right w:val="none" w:sz="0" w:space="0" w:color="auto"/>
      </w:divBdr>
    </w:div>
    <w:div w:id="1289244860">
      <w:marLeft w:val="640"/>
      <w:marRight w:val="0"/>
      <w:marTop w:val="0"/>
      <w:marBottom w:val="0"/>
      <w:divBdr>
        <w:top w:val="none" w:sz="0" w:space="0" w:color="auto"/>
        <w:left w:val="none" w:sz="0" w:space="0" w:color="auto"/>
        <w:bottom w:val="none" w:sz="0" w:space="0" w:color="auto"/>
        <w:right w:val="none" w:sz="0" w:space="0" w:color="auto"/>
      </w:divBdr>
    </w:div>
    <w:div w:id="1289552046">
      <w:marLeft w:val="640"/>
      <w:marRight w:val="0"/>
      <w:marTop w:val="0"/>
      <w:marBottom w:val="0"/>
      <w:divBdr>
        <w:top w:val="none" w:sz="0" w:space="0" w:color="auto"/>
        <w:left w:val="none" w:sz="0" w:space="0" w:color="auto"/>
        <w:bottom w:val="none" w:sz="0" w:space="0" w:color="auto"/>
        <w:right w:val="none" w:sz="0" w:space="0" w:color="auto"/>
      </w:divBdr>
    </w:div>
    <w:div w:id="1290360260">
      <w:marLeft w:val="640"/>
      <w:marRight w:val="0"/>
      <w:marTop w:val="0"/>
      <w:marBottom w:val="0"/>
      <w:divBdr>
        <w:top w:val="none" w:sz="0" w:space="0" w:color="auto"/>
        <w:left w:val="none" w:sz="0" w:space="0" w:color="auto"/>
        <w:bottom w:val="none" w:sz="0" w:space="0" w:color="auto"/>
        <w:right w:val="none" w:sz="0" w:space="0" w:color="auto"/>
      </w:divBdr>
    </w:div>
    <w:div w:id="1291786845">
      <w:marLeft w:val="640"/>
      <w:marRight w:val="0"/>
      <w:marTop w:val="0"/>
      <w:marBottom w:val="0"/>
      <w:divBdr>
        <w:top w:val="none" w:sz="0" w:space="0" w:color="auto"/>
        <w:left w:val="none" w:sz="0" w:space="0" w:color="auto"/>
        <w:bottom w:val="none" w:sz="0" w:space="0" w:color="auto"/>
        <w:right w:val="none" w:sz="0" w:space="0" w:color="auto"/>
      </w:divBdr>
    </w:div>
    <w:div w:id="1292512877">
      <w:marLeft w:val="640"/>
      <w:marRight w:val="0"/>
      <w:marTop w:val="0"/>
      <w:marBottom w:val="0"/>
      <w:divBdr>
        <w:top w:val="none" w:sz="0" w:space="0" w:color="auto"/>
        <w:left w:val="none" w:sz="0" w:space="0" w:color="auto"/>
        <w:bottom w:val="none" w:sz="0" w:space="0" w:color="auto"/>
        <w:right w:val="none" w:sz="0" w:space="0" w:color="auto"/>
      </w:divBdr>
    </w:div>
    <w:div w:id="1293251206">
      <w:marLeft w:val="640"/>
      <w:marRight w:val="0"/>
      <w:marTop w:val="0"/>
      <w:marBottom w:val="0"/>
      <w:divBdr>
        <w:top w:val="none" w:sz="0" w:space="0" w:color="auto"/>
        <w:left w:val="none" w:sz="0" w:space="0" w:color="auto"/>
        <w:bottom w:val="none" w:sz="0" w:space="0" w:color="auto"/>
        <w:right w:val="none" w:sz="0" w:space="0" w:color="auto"/>
      </w:divBdr>
    </w:div>
    <w:div w:id="1293440116">
      <w:marLeft w:val="640"/>
      <w:marRight w:val="0"/>
      <w:marTop w:val="0"/>
      <w:marBottom w:val="0"/>
      <w:divBdr>
        <w:top w:val="none" w:sz="0" w:space="0" w:color="auto"/>
        <w:left w:val="none" w:sz="0" w:space="0" w:color="auto"/>
        <w:bottom w:val="none" w:sz="0" w:space="0" w:color="auto"/>
        <w:right w:val="none" w:sz="0" w:space="0" w:color="auto"/>
      </w:divBdr>
    </w:div>
    <w:div w:id="1293555313">
      <w:marLeft w:val="640"/>
      <w:marRight w:val="0"/>
      <w:marTop w:val="0"/>
      <w:marBottom w:val="0"/>
      <w:divBdr>
        <w:top w:val="none" w:sz="0" w:space="0" w:color="auto"/>
        <w:left w:val="none" w:sz="0" w:space="0" w:color="auto"/>
        <w:bottom w:val="none" w:sz="0" w:space="0" w:color="auto"/>
        <w:right w:val="none" w:sz="0" w:space="0" w:color="auto"/>
      </w:divBdr>
    </w:div>
    <w:div w:id="1295406691">
      <w:marLeft w:val="640"/>
      <w:marRight w:val="0"/>
      <w:marTop w:val="0"/>
      <w:marBottom w:val="0"/>
      <w:divBdr>
        <w:top w:val="none" w:sz="0" w:space="0" w:color="auto"/>
        <w:left w:val="none" w:sz="0" w:space="0" w:color="auto"/>
        <w:bottom w:val="none" w:sz="0" w:space="0" w:color="auto"/>
        <w:right w:val="none" w:sz="0" w:space="0" w:color="auto"/>
      </w:divBdr>
    </w:div>
    <w:div w:id="1295521173">
      <w:marLeft w:val="640"/>
      <w:marRight w:val="0"/>
      <w:marTop w:val="0"/>
      <w:marBottom w:val="0"/>
      <w:divBdr>
        <w:top w:val="none" w:sz="0" w:space="0" w:color="auto"/>
        <w:left w:val="none" w:sz="0" w:space="0" w:color="auto"/>
        <w:bottom w:val="none" w:sz="0" w:space="0" w:color="auto"/>
        <w:right w:val="none" w:sz="0" w:space="0" w:color="auto"/>
      </w:divBdr>
    </w:div>
    <w:div w:id="1295870363">
      <w:marLeft w:val="640"/>
      <w:marRight w:val="0"/>
      <w:marTop w:val="0"/>
      <w:marBottom w:val="0"/>
      <w:divBdr>
        <w:top w:val="none" w:sz="0" w:space="0" w:color="auto"/>
        <w:left w:val="none" w:sz="0" w:space="0" w:color="auto"/>
        <w:bottom w:val="none" w:sz="0" w:space="0" w:color="auto"/>
        <w:right w:val="none" w:sz="0" w:space="0" w:color="auto"/>
      </w:divBdr>
    </w:div>
    <w:div w:id="1296137618">
      <w:marLeft w:val="640"/>
      <w:marRight w:val="0"/>
      <w:marTop w:val="0"/>
      <w:marBottom w:val="0"/>
      <w:divBdr>
        <w:top w:val="none" w:sz="0" w:space="0" w:color="auto"/>
        <w:left w:val="none" w:sz="0" w:space="0" w:color="auto"/>
        <w:bottom w:val="none" w:sz="0" w:space="0" w:color="auto"/>
        <w:right w:val="none" w:sz="0" w:space="0" w:color="auto"/>
      </w:divBdr>
    </w:div>
    <w:div w:id="1296330531">
      <w:marLeft w:val="640"/>
      <w:marRight w:val="0"/>
      <w:marTop w:val="0"/>
      <w:marBottom w:val="0"/>
      <w:divBdr>
        <w:top w:val="none" w:sz="0" w:space="0" w:color="auto"/>
        <w:left w:val="none" w:sz="0" w:space="0" w:color="auto"/>
        <w:bottom w:val="none" w:sz="0" w:space="0" w:color="auto"/>
        <w:right w:val="none" w:sz="0" w:space="0" w:color="auto"/>
      </w:divBdr>
    </w:div>
    <w:div w:id="1297226333">
      <w:marLeft w:val="640"/>
      <w:marRight w:val="0"/>
      <w:marTop w:val="0"/>
      <w:marBottom w:val="0"/>
      <w:divBdr>
        <w:top w:val="none" w:sz="0" w:space="0" w:color="auto"/>
        <w:left w:val="none" w:sz="0" w:space="0" w:color="auto"/>
        <w:bottom w:val="none" w:sz="0" w:space="0" w:color="auto"/>
        <w:right w:val="none" w:sz="0" w:space="0" w:color="auto"/>
      </w:divBdr>
    </w:div>
    <w:div w:id="1299066288">
      <w:marLeft w:val="640"/>
      <w:marRight w:val="0"/>
      <w:marTop w:val="0"/>
      <w:marBottom w:val="0"/>
      <w:divBdr>
        <w:top w:val="none" w:sz="0" w:space="0" w:color="auto"/>
        <w:left w:val="none" w:sz="0" w:space="0" w:color="auto"/>
        <w:bottom w:val="none" w:sz="0" w:space="0" w:color="auto"/>
        <w:right w:val="none" w:sz="0" w:space="0" w:color="auto"/>
      </w:divBdr>
    </w:div>
    <w:div w:id="1299068875">
      <w:marLeft w:val="640"/>
      <w:marRight w:val="0"/>
      <w:marTop w:val="0"/>
      <w:marBottom w:val="0"/>
      <w:divBdr>
        <w:top w:val="none" w:sz="0" w:space="0" w:color="auto"/>
        <w:left w:val="none" w:sz="0" w:space="0" w:color="auto"/>
        <w:bottom w:val="none" w:sz="0" w:space="0" w:color="auto"/>
        <w:right w:val="none" w:sz="0" w:space="0" w:color="auto"/>
      </w:divBdr>
    </w:div>
    <w:div w:id="1300452436">
      <w:marLeft w:val="640"/>
      <w:marRight w:val="0"/>
      <w:marTop w:val="0"/>
      <w:marBottom w:val="0"/>
      <w:divBdr>
        <w:top w:val="none" w:sz="0" w:space="0" w:color="auto"/>
        <w:left w:val="none" w:sz="0" w:space="0" w:color="auto"/>
        <w:bottom w:val="none" w:sz="0" w:space="0" w:color="auto"/>
        <w:right w:val="none" w:sz="0" w:space="0" w:color="auto"/>
      </w:divBdr>
    </w:div>
    <w:div w:id="1300845928">
      <w:marLeft w:val="640"/>
      <w:marRight w:val="0"/>
      <w:marTop w:val="0"/>
      <w:marBottom w:val="0"/>
      <w:divBdr>
        <w:top w:val="none" w:sz="0" w:space="0" w:color="auto"/>
        <w:left w:val="none" w:sz="0" w:space="0" w:color="auto"/>
        <w:bottom w:val="none" w:sz="0" w:space="0" w:color="auto"/>
        <w:right w:val="none" w:sz="0" w:space="0" w:color="auto"/>
      </w:divBdr>
    </w:div>
    <w:div w:id="1300918458">
      <w:marLeft w:val="640"/>
      <w:marRight w:val="0"/>
      <w:marTop w:val="0"/>
      <w:marBottom w:val="0"/>
      <w:divBdr>
        <w:top w:val="none" w:sz="0" w:space="0" w:color="auto"/>
        <w:left w:val="none" w:sz="0" w:space="0" w:color="auto"/>
        <w:bottom w:val="none" w:sz="0" w:space="0" w:color="auto"/>
        <w:right w:val="none" w:sz="0" w:space="0" w:color="auto"/>
      </w:divBdr>
    </w:div>
    <w:div w:id="1300960759">
      <w:marLeft w:val="640"/>
      <w:marRight w:val="0"/>
      <w:marTop w:val="0"/>
      <w:marBottom w:val="0"/>
      <w:divBdr>
        <w:top w:val="none" w:sz="0" w:space="0" w:color="auto"/>
        <w:left w:val="none" w:sz="0" w:space="0" w:color="auto"/>
        <w:bottom w:val="none" w:sz="0" w:space="0" w:color="auto"/>
        <w:right w:val="none" w:sz="0" w:space="0" w:color="auto"/>
      </w:divBdr>
    </w:div>
    <w:div w:id="1301615918">
      <w:marLeft w:val="640"/>
      <w:marRight w:val="0"/>
      <w:marTop w:val="0"/>
      <w:marBottom w:val="0"/>
      <w:divBdr>
        <w:top w:val="none" w:sz="0" w:space="0" w:color="auto"/>
        <w:left w:val="none" w:sz="0" w:space="0" w:color="auto"/>
        <w:bottom w:val="none" w:sz="0" w:space="0" w:color="auto"/>
        <w:right w:val="none" w:sz="0" w:space="0" w:color="auto"/>
      </w:divBdr>
    </w:div>
    <w:div w:id="1302074922">
      <w:marLeft w:val="640"/>
      <w:marRight w:val="0"/>
      <w:marTop w:val="0"/>
      <w:marBottom w:val="0"/>
      <w:divBdr>
        <w:top w:val="none" w:sz="0" w:space="0" w:color="auto"/>
        <w:left w:val="none" w:sz="0" w:space="0" w:color="auto"/>
        <w:bottom w:val="none" w:sz="0" w:space="0" w:color="auto"/>
        <w:right w:val="none" w:sz="0" w:space="0" w:color="auto"/>
      </w:divBdr>
    </w:div>
    <w:div w:id="1303659122">
      <w:marLeft w:val="640"/>
      <w:marRight w:val="0"/>
      <w:marTop w:val="0"/>
      <w:marBottom w:val="0"/>
      <w:divBdr>
        <w:top w:val="none" w:sz="0" w:space="0" w:color="auto"/>
        <w:left w:val="none" w:sz="0" w:space="0" w:color="auto"/>
        <w:bottom w:val="none" w:sz="0" w:space="0" w:color="auto"/>
        <w:right w:val="none" w:sz="0" w:space="0" w:color="auto"/>
      </w:divBdr>
    </w:div>
    <w:div w:id="1304434327">
      <w:marLeft w:val="640"/>
      <w:marRight w:val="0"/>
      <w:marTop w:val="0"/>
      <w:marBottom w:val="0"/>
      <w:divBdr>
        <w:top w:val="none" w:sz="0" w:space="0" w:color="auto"/>
        <w:left w:val="none" w:sz="0" w:space="0" w:color="auto"/>
        <w:bottom w:val="none" w:sz="0" w:space="0" w:color="auto"/>
        <w:right w:val="none" w:sz="0" w:space="0" w:color="auto"/>
      </w:divBdr>
    </w:div>
    <w:div w:id="1304576527">
      <w:marLeft w:val="640"/>
      <w:marRight w:val="0"/>
      <w:marTop w:val="0"/>
      <w:marBottom w:val="0"/>
      <w:divBdr>
        <w:top w:val="none" w:sz="0" w:space="0" w:color="auto"/>
        <w:left w:val="none" w:sz="0" w:space="0" w:color="auto"/>
        <w:bottom w:val="none" w:sz="0" w:space="0" w:color="auto"/>
        <w:right w:val="none" w:sz="0" w:space="0" w:color="auto"/>
      </w:divBdr>
    </w:div>
    <w:div w:id="1305232698">
      <w:marLeft w:val="640"/>
      <w:marRight w:val="0"/>
      <w:marTop w:val="0"/>
      <w:marBottom w:val="0"/>
      <w:divBdr>
        <w:top w:val="none" w:sz="0" w:space="0" w:color="auto"/>
        <w:left w:val="none" w:sz="0" w:space="0" w:color="auto"/>
        <w:bottom w:val="none" w:sz="0" w:space="0" w:color="auto"/>
        <w:right w:val="none" w:sz="0" w:space="0" w:color="auto"/>
      </w:divBdr>
    </w:div>
    <w:div w:id="1306928512">
      <w:marLeft w:val="640"/>
      <w:marRight w:val="0"/>
      <w:marTop w:val="0"/>
      <w:marBottom w:val="0"/>
      <w:divBdr>
        <w:top w:val="none" w:sz="0" w:space="0" w:color="auto"/>
        <w:left w:val="none" w:sz="0" w:space="0" w:color="auto"/>
        <w:bottom w:val="none" w:sz="0" w:space="0" w:color="auto"/>
        <w:right w:val="none" w:sz="0" w:space="0" w:color="auto"/>
      </w:divBdr>
    </w:div>
    <w:div w:id="1307465911">
      <w:marLeft w:val="640"/>
      <w:marRight w:val="0"/>
      <w:marTop w:val="0"/>
      <w:marBottom w:val="0"/>
      <w:divBdr>
        <w:top w:val="none" w:sz="0" w:space="0" w:color="auto"/>
        <w:left w:val="none" w:sz="0" w:space="0" w:color="auto"/>
        <w:bottom w:val="none" w:sz="0" w:space="0" w:color="auto"/>
        <w:right w:val="none" w:sz="0" w:space="0" w:color="auto"/>
      </w:divBdr>
    </w:div>
    <w:div w:id="1307468014">
      <w:marLeft w:val="640"/>
      <w:marRight w:val="0"/>
      <w:marTop w:val="0"/>
      <w:marBottom w:val="0"/>
      <w:divBdr>
        <w:top w:val="none" w:sz="0" w:space="0" w:color="auto"/>
        <w:left w:val="none" w:sz="0" w:space="0" w:color="auto"/>
        <w:bottom w:val="none" w:sz="0" w:space="0" w:color="auto"/>
        <w:right w:val="none" w:sz="0" w:space="0" w:color="auto"/>
      </w:divBdr>
    </w:div>
    <w:div w:id="1308583180">
      <w:marLeft w:val="640"/>
      <w:marRight w:val="0"/>
      <w:marTop w:val="0"/>
      <w:marBottom w:val="0"/>
      <w:divBdr>
        <w:top w:val="none" w:sz="0" w:space="0" w:color="auto"/>
        <w:left w:val="none" w:sz="0" w:space="0" w:color="auto"/>
        <w:bottom w:val="none" w:sz="0" w:space="0" w:color="auto"/>
        <w:right w:val="none" w:sz="0" w:space="0" w:color="auto"/>
      </w:divBdr>
    </w:div>
    <w:div w:id="1309673928">
      <w:marLeft w:val="640"/>
      <w:marRight w:val="0"/>
      <w:marTop w:val="0"/>
      <w:marBottom w:val="0"/>
      <w:divBdr>
        <w:top w:val="none" w:sz="0" w:space="0" w:color="auto"/>
        <w:left w:val="none" w:sz="0" w:space="0" w:color="auto"/>
        <w:bottom w:val="none" w:sz="0" w:space="0" w:color="auto"/>
        <w:right w:val="none" w:sz="0" w:space="0" w:color="auto"/>
      </w:divBdr>
    </w:div>
    <w:div w:id="1309674956">
      <w:marLeft w:val="640"/>
      <w:marRight w:val="0"/>
      <w:marTop w:val="0"/>
      <w:marBottom w:val="0"/>
      <w:divBdr>
        <w:top w:val="none" w:sz="0" w:space="0" w:color="auto"/>
        <w:left w:val="none" w:sz="0" w:space="0" w:color="auto"/>
        <w:bottom w:val="none" w:sz="0" w:space="0" w:color="auto"/>
        <w:right w:val="none" w:sz="0" w:space="0" w:color="auto"/>
      </w:divBdr>
    </w:div>
    <w:div w:id="1309869999">
      <w:marLeft w:val="640"/>
      <w:marRight w:val="0"/>
      <w:marTop w:val="0"/>
      <w:marBottom w:val="0"/>
      <w:divBdr>
        <w:top w:val="none" w:sz="0" w:space="0" w:color="auto"/>
        <w:left w:val="none" w:sz="0" w:space="0" w:color="auto"/>
        <w:bottom w:val="none" w:sz="0" w:space="0" w:color="auto"/>
        <w:right w:val="none" w:sz="0" w:space="0" w:color="auto"/>
      </w:divBdr>
    </w:div>
    <w:div w:id="1309897620">
      <w:marLeft w:val="640"/>
      <w:marRight w:val="0"/>
      <w:marTop w:val="0"/>
      <w:marBottom w:val="0"/>
      <w:divBdr>
        <w:top w:val="none" w:sz="0" w:space="0" w:color="auto"/>
        <w:left w:val="none" w:sz="0" w:space="0" w:color="auto"/>
        <w:bottom w:val="none" w:sz="0" w:space="0" w:color="auto"/>
        <w:right w:val="none" w:sz="0" w:space="0" w:color="auto"/>
      </w:divBdr>
    </w:div>
    <w:div w:id="1311329262">
      <w:marLeft w:val="640"/>
      <w:marRight w:val="0"/>
      <w:marTop w:val="0"/>
      <w:marBottom w:val="0"/>
      <w:divBdr>
        <w:top w:val="none" w:sz="0" w:space="0" w:color="auto"/>
        <w:left w:val="none" w:sz="0" w:space="0" w:color="auto"/>
        <w:bottom w:val="none" w:sz="0" w:space="0" w:color="auto"/>
        <w:right w:val="none" w:sz="0" w:space="0" w:color="auto"/>
      </w:divBdr>
    </w:div>
    <w:div w:id="1312170932">
      <w:marLeft w:val="640"/>
      <w:marRight w:val="0"/>
      <w:marTop w:val="0"/>
      <w:marBottom w:val="0"/>
      <w:divBdr>
        <w:top w:val="none" w:sz="0" w:space="0" w:color="auto"/>
        <w:left w:val="none" w:sz="0" w:space="0" w:color="auto"/>
        <w:bottom w:val="none" w:sz="0" w:space="0" w:color="auto"/>
        <w:right w:val="none" w:sz="0" w:space="0" w:color="auto"/>
      </w:divBdr>
    </w:div>
    <w:div w:id="1312365692">
      <w:marLeft w:val="640"/>
      <w:marRight w:val="0"/>
      <w:marTop w:val="0"/>
      <w:marBottom w:val="0"/>
      <w:divBdr>
        <w:top w:val="none" w:sz="0" w:space="0" w:color="auto"/>
        <w:left w:val="none" w:sz="0" w:space="0" w:color="auto"/>
        <w:bottom w:val="none" w:sz="0" w:space="0" w:color="auto"/>
        <w:right w:val="none" w:sz="0" w:space="0" w:color="auto"/>
      </w:divBdr>
    </w:div>
    <w:div w:id="1312714024">
      <w:marLeft w:val="640"/>
      <w:marRight w:val="0"/>
      <w:marTop w:val="0"/>
      <w:marBottom w:val="0"/>
      <w:divBdr>
        <w:top w:val="none" w:sz="0" w:space="0" w:color="auto"/>
        <w:left w:val="none" w:sz="0" w:space="0" w:color="auto"/>
        <w:bottom w:val="none" w:sz="0" w:space="0" w:color="auto"/>
        <w:right w:val="none" w:sz="0" w:space="0" w:color="auto"/>
      </w:divBdr>
    </w:div>
    <w:div w:id="1313098049">
      <w:marLeft w:val="640"/>
      <w:marRight w:val="0"/>
      <w:marTop w:val="0"/>
      <w:marBottom w:val="0"/>
      <w:divBdr>
        <w:top w:val="none" w:sz="0" w:space="0" w:color="auto"/>
        <w:left w:val="none" w:sz="0" w:space="0" w:color="auto"/>
        <w:bottom w:val="none" w:sz="0" w:space="0" w:color="auto"/>
        <w:right w:val="none" w:sz="0" w:space="0" w:color="auto"/>
      </w:divBdr>
    </w:div>
    <w:div w:id="1314334094">
      <w:marLeft w:val="640"/>
      <w:marRight w:val="0"/>
      <w:marTop w:val="0"/>
      <w:marBottom w:val="0"/>
      <w:divBdr>
        <w:top w:val="none" w:sz="0" w:space="0" w:color="auto"/>
        <w:left w:val="none" w:sz="0" w:space="0" w:color="auto"/>
        <w:bottom w:val="none" w:sz="0" w:space="0" w:color="auto"/>
        <w:right w:val="none" w:sz="0" w:space="0" w:color="auto"/>
      </w:divBdr>
    </w:div>
    <w:div w:id="1314601083">
      <w:marLeft w:val="640"/>
      <w:marRight w:val="0"/>
      <w:marTop w:val="0"/>
      <w:marBottom w:val="0"/>
      <w:divBdr>
        <w:top w:val="none" w:sz="0" w:space="0" w:color="auto"/>
        <w:left w:val="none" w:sz="0" w:space="0" w:color="auto"/>
        <w:bottom w:val="none" w:sz="0" w:space="0" w:color="auto"/>
        <w:right w:val="none" w:sz="0" w:space="0" w:color="auto"/>
      </w:divBdr>
    </w:div>
    <w:div w:id="1314792298">
      <w:marLeft w:val="640"/>
      <w:marRight w:val="0"/>
      <w:marTop w:val="0"/>
      <w:marBottom w:val="0"/>
      <w:divBdr>
        <w:top w:val="none" w:sz="0" w:space="0" w:color="auto"/>
        <w:left w:val="none" w:sz="0" w:space="0" w:color="auto"/>
        <w:bottom w:val="none" w:sz="0" w:space="0" w:color="auto"/>
        <w:right w:val="none" w:sz="0" w:space="0" w:color="auto"/>
      </w:divBdr>
    </w:div>
    <w:div w:id="1315337345">
      <w:marLeft w:val="640"/>
      <w:marRight w:val="0"/>
      <w:marTop w:val="0"/>
      <w:marBottom w:val="0"/>
      <w:divBdr>
        <w:top w:val="none" w:sz="0" w:space="0" w:color="auto"/>
        <w:left w:val="none" w:sz="0" w:space="0" w:color="auto"/>
        <w:bottom w:val="none" w:sz="0" w:space="0" w:color="auto"/>
        <w:right w:val="none" w:sz="0" w:space="0" w:color="auto"/>
      </w:divBdr>
    </w:div>
    <w:div w:id="1315527872">
      <w:marLeft w:val="640"/>
      <w:marRight w:val="0"/>
      <w:marTop w:val="0"/>
      <w:marBottom w:val="0"/>
      <w:divBdr>
        <w:top w:val="none" w:sz="0" w:space="0" w:color="auto"/>
        <w:left w:val="none" w:sz="0" w:space="0" w:color="auto"/>
        <w:bottom w:val="none" w:sz="0" w:space="0" w:color="auto"/>
        <w:right w:val="none" w:sz="0" w:space="0" w:color="auto"/>
      </w:divBdr>
    </w:div>
    <w:div w:id="1316648361">
      <w:marLeft w:val="640"/>
      <w:marRight w:val="0"/>
      <w:marTop w:val="0"/>
      <w:marBottom w:val="0"/>
      <w:divBdr>
        <w:top w:val="none" w:sz="0" w:space="0" w:color="auto"/>
        <w:left w:val="none" w:sz="0" w:space="0" w:color="auto"/>
        <w:bottom w:val="none" w:sz="0" w:space="0" w:color="auto"/>
        <w:right w:val="none" w:sz="0" w:space="0" w:color="auto"/>
      </w:divBdr>
    </w:div>
    <w:div w:id="1317996546">
      <w:marLeft w:val="640"/>
      <w:marRight w:val="0"/>
      <w:marTop w:val="0"/>
      <w:marBottom w:val="0"/>
      <w:divBdr>
        <w:top w:val="none" w:sz="0" w:space="0" w:color="auto"/>
        <w:left w:val="none" w:sz="0" w:space="0" w:color="auto"/>
        <w:bottom w:val="none" w:sz="0" w:space="0" w:color="auto"/>
        <w:right w:val="none" w:sz="0" w:space="0" w:color="auto"/>
      </w:divBdr>
    </w:div>
    <w:div w:id="1318681696">
      <w:marLeft w:val="640"/>
      <w:marRight w:val="0"/>
      <w:marTop w:val="0"/>
      <w:marBottom w:val="0"/>
      <w:divBdr>
        <w:top w:val="none" w:sz="0" w:space="0" w:color="auto"/>
        <w:left w:val="none" w:sz="0" w:space="0" w:color="auto"/>
        <w:bottom w:val="none" w:sz="0" w:space="0" w:color="auto"/>
        <w:right w:val="none" w:sz="0" w:space="0" w:color="auto"/>
      </w:divBdr>
    </w:div>
    <w:div w:id="1319261945">
      <w:marLeft w:val="640"/>
      <w:marRight w:val="0"/>
      <w:marTop w:val="0"/>
      <w:marBottom w:val="0"/>
      <w:divBdr>
        <w:top w:val="none" w:sz="0" w:space="0" w:color="auto"/>
        <w:left w:val="none" w:sz="0" w:space="0" w:color="auto"/>
        <w:bottom w:val="none" w:sz="0" w:space="0" w:color="auto"/>
        <w:right w:val="none" w:sz="0" w:space="0" w:color="auto"/>
      </w:divBdr>
    </w:div>
    <w:div w:id="1321041593">
      <w:marLeft w:val="640"/>
      <w:marRight w:val="0"/>
      <w:marTop w:val="0"/>
      <w:marBottom w:val="0"/>
      <w:divBdr>
        <w:top w:val="none" w:sz="0" w:space="0" w:color="auto"/>
        <w:left w:val="none" w:sz="0" w:space="0" w:color="auto"/>
        <w:bottom w:val="none" w:sz="0" w:space="0" w:color="auto"/>
        <w:right w:val="none" w:sz="0" w:space="0" w:color="auto"/>
      </w:divBdr>
    </w:div>
    <w:div w:id="1321807775">
      <w:marLeft w:val="640"/>
      <w:marRight w:val="0"/>
      <w:marTop w:val="0"/>
      <w:marBottom w:val="0"/>
      <w:divBdr>
        <w:top w:val="none" w:sz="0" w:space="0" w:color="auto"/>
        <w:left w:val="none" w:sz="0" w:space="0" w:color="auto"/>
        <w:bottom w:val="none" w:sz="0" w:space="0" w:color="auto"/>
        <w:right w:val="none" w:sz="0" w:space="0" w:color="auto"/>
      </w:divBdr>
    </w:div>
    <w:div w:id="1321814358">
      <w:marLeft w:val="640"/>
      <w:marRight w:val="0"/>
      <w:marTop w:val="0"/>
      <w:marBottom w:val="0"/>
      <w:divBdr>
        <w:top w:val="none" w:sz="0" w:space="0" w:color="auto"/>
        <w:left w:val="none" w:sz="0" w:space="0" w:color="auto"/>
        <w:bottom w:val="none" w:sz="0" w:space="0" w:color="auto"/>
        <w:right w:val="none" w:sz="0" w:space="0" w:color="auto"/>
      </w:divBdr>
    </w:div>
    <w:div w:id="1322156009">
      <w:marLeft w:val="640"/>
      <w:marRight w:val="0"/>
      <w:marTop w:val="0"/>
      <w:marBottom w:val="0"/>
      <w:divBdr>
        <w:top w:val="none" w:sz="0" w:space="0" w:color="auto"/>
        <w:left w:val="none" w:sz="0" w:space="0" w:color="auto"/>
        <w:bottom w:val="none" w:sz="0" w:space="0" w:color="auto"/>
        <w:right w:val="none" w:sz="0" w:space="0" w:color="auto"/>
      </w:divBdr>
    </w:div>
    <w:div w:id="1322349007">
      <w:marLeft w:val="640"/>
      <w:marRight w:val="0"/>
      <w:marTop w:val="0"/>
      <w:marBottom w:val="0"/>
      <w:divBdr>
        <w:top w:val="none" w:sz="0" w:space="0" w:color="auto"/>
        <w:left w:val="none" w:sz="0" w:space="0" w:color="auto"/>
        <w:bottom w:val="none" w:sz="0" w:space="0" w:color="auto"/>
        <w:right w:val="none" w:sz="0" w:space="0" w:color="auto"/>
      </w:divBdr>
    </w:div>
    <w:div w:id="1324361098">
      <w:marLeft w:val="640"/>
      <w:marRight w:val="0"/>
      <w:marTop w:val="0"/>
      <w:marBottom w:val="0"/>
      <w:divBdr>
        <w:top w:val="none" w:sz="0" w:space="0" w:color="auto"/>
        <w:left w:val="none" w:sz="0" w:space="0" w:color="auto"/>
        <w:bottom w:val="none" w:sz="0" w:space="0" w:color="auto"/>
        <w:right w:val="none" w:sz="0" w:space="0" w:color="auto"/>
      </w:divBdr>
    </w:div>
    <w:div w:id="1324553615">
      <w:marLeft w:val="640"/>
      <w:marRight w:val="0"/>
      <w:marTop w:val="0"/>
      <w:marBottom w:val="0"/>
      <w:divBdr>
        <w:top w:val="none" w:sz="0" w:space="0" w:color="auto"/>
        <w:left w:val="none" w:sz="0" w:space="0" w:color="auto"/>
        <w:bottom w:val="none" w:sz="0" w:space="0" w:color="auto"/>
        <w:right w:val="none" w:sz="0" w:space="0" w:color="auto"/>
      </w:divBdr>
    </w:div>
    <w:div w:id="1325088486">
      <w:marLeft w:val="640"/>
      <w:marRight w:val="0"/>
      <w:marTop w:val="0"/>
      <w:marBottom w:val="0"/>
      <w:divBdr>
        <w:top w:val="none" w:sz="0" w:space="0" w:color="auto"/>
        <w:left w:val="none" w:sz="0" w:space="0" w:color="auto"/>
        <w:bottom w:val="none" w:sz="0" w:space="0" w:color="auto"/>
        <w:right w:val="none" w:sz="0" w:space="0" w:color="auto"/>
      </w:divBdr>
    </w:div>
    <w:div w:id="1326589164">
      <w:marLeft w:val="640"/>
      <w:marRight w:val="0"/>
      <w:marTop w:val="0"/>
      <w:marBottom w:val="0"/>
      <w:divBdr>
        <w:top w:val="none" w:sz="0" w:space="0" w:color="auto"/>
        <w:left w:val="none" w:sz="0" w:space="0" w:color="auto"/>
        <w:bottom w:val="none" w:sz="0" w:space="0" w:color="auto"/>
        <w:right w:val="none" w:sz="0" w:space="0" w:color="auto"/>
      </w:divBdr>
    </w:div>
    <w:div w:id="1327198752">
      <w:marLeft w:val="640"/>
      <w:marRight w:val="0"/>
      <w:marTop w:val="0"/>
      <w:marBottom w:val="0"/>
      <w:divBdr>
        <w:top w:val="none" w:sz="0" w:space="0" w:color="auto"/>
        <w:left w:val="none" w:sz="0" w:space="0" w:color="auto"/>
        <w:bottom w:val="none" w:sz="0" w:space="0" w:color="auto"/>
        <w:right w:val="none" w:sz="0" w:space="0" w:color="auto"/>
      </w:divBdr>
    </w:div>
    <w:div w:id="1327320821">
      <w:marLeft w:val="640"/>
      <w:marRight w:val="0"/>
      <w:marTop w:val="0"/>
      <w:marBottom w:val="0"/>
      <w:divBdr>
        <w:top w:val="none" w:sz="0" w:space="0" w:color="auto"/>
        <w:left w:val="none" w:sz="0" w:space="0" w:color="auto"/>
        <w:bottom w:val="none" w:sz="0" w:space="0" w:color="auto"/>
        <w:right w:val="none" w:sz="0" w:space="0" w:color="auto"/>
      </w:divBdr>
    </w:div>
    <w:div w:id="1328443540">
      <w:marLeft w:val="640"/>
      <w:marRight w:val="0"/>
      <w:marTop w:val="0"/>
      <w:marBottom w:val="0"/>
      <w:divBdr>
        <w:top w:val="none" w:sz="0" w:space="0" w:color="auto"/>
        <w:left w:val="none" w:sz="0" w:space="0" w:color="auto"/>
        <w:bottom w:val="none" w:sz="0" w:space="0" w:color="auto"/>
        <w:right w:val="none" w:sz="0" w:space="0" w:color="auto"/>
      </w:divBdr>
    </w:div>
    <w:div w:id="1328484892">
      <w:marLeft w:val="640"/>
      <w:marRight w:val="0"/>
      <w:marTop w:val="0"/>
      <w:marBottom w:val="0"/>
      <w:divBdr>
        <w:top w:val="none" w:sz="0" w:space="0" w:color="auto"/>
        <w:left w:val="none" w:sz="0" w:space="0" w:color="auto"/>
        <w:bottom w:val="none" w:sz="0" w:space="0" w:color="auto"/>
        <w:right w:val="none" w:sz="0" w:space="0" w:color="auto"/>
      </w:divBdr>
    </w:div>
    <w:div w:id="1328900057">
      <w:marLeft w:val="640"/>
      <w:marRight w:val="0"/>
      <w:marTop w:val="0"/>
      <w:marBottom w:val="0"/>
      <w:divBdr>
        <w:top w:val="none" w:sz="0" w:space="0" w:color="auto"/>
        <w:left w:val="none" w:sz="0" w:space="0" w:color="auto"/>
        <w:bottom w:val="none" w:sz="0" w:space="0" w:color="auto"/>
        <w:right w:val="none" w:sz="0" w:space="0" w:color="auto"/>
      </w:divBdr>
    </w:div>
    <w:div w:id="1330670459">
      <w:marLeft w:val="640"/>
      <w:marRight w:val="0"/>
      <w:marTop w:val="0"/>
      <w:marBottom w:val="0"/>
      <w:divBdr>
        <w:top w:val="none" w:sz="0" w:space="0" w:color="auto"/>
        <w:left w:val="none" w:sz="0" w:space="0" w:color="auto"/>
        <w:bottom w:val="none" w:sz="0" w:space="0" w:color="auto"/>
        <w:right w:val="none" w:sz="0" w:space="0" w:color="auto"/>
      </w:divBdr>
    </w:div>
    <w:div w:id="1330715588">
      <w:marLeft w:val="640"/>
      <w:marRight w:val="0"/>
      <w:marTop w:val="0"/>
      <w:marBottom w:val="0"/>
      <w:divBdr>
        <w:top w:val="none" w:sz="0" w:space="0" w:color="auto"/>
        <w:left w:val="none" w:sz="0" w:space="0" w:color="auto"/>
        <w:bottom w:val="none" w:sz="0" w:space="0" w:color="auto"/>
        <w:right w:val="none" w:sz="0" w:space="0" w:color="auto"/>
      </w:divBdr>
    </w:div>
    <w:div w:id="1330716509">
      <w:marLeft w:val="640"/>
      <w:marRight w:val="0"/>
      <w:marTop w:val="0"/>
      <w:marBottom w:val="0"/>
      <w:divBdr>
        <w:top w:val="none" w:sz="0" w:space="0" w:color="auto"/>
        <w:left w:val="none" w:sz="0" w:space="0" w:color="auto"/>
        <w:bottom w:val="none" w:sz="0" w:space="0" w:color="auto"/>
        <w:right w:val="none" w:sz="0" w:space="0" w:color="auto"/>
      </w:divBdr>
    </w:div>
    <w:div w:id="1331249589">
      <w:marLeft w:val="640"/>
      <w:marRight w:val="0"/>
      <w:marTop w:val="0"/>
      <w:marBottom w:val="0"/>
      <w:divBdr>
        <w:top w:val="none" w:sz="0" w:space="0" w:color="auto"/>
        <w:left w:val="none" w:sz="0" w:space="0" w:color="auto"/>
        <w:bottom w:val="none" w:sz="0" w:space="0" w:color="auto"/>
        <w:right w:val="none" w:sz="0" w:space="0" w:color="auto"/>
      </w:divBdr>
    </w:div>
    <w:div w:id="1333070061">
      <w:marLeft w:val="640"/>
      <w:marRight w:val="0"/>
      <w:marTop w:val="0"/>
      <w:marBottom w:val="0"/>
      <w:divBdr>
        <w:top w:val="none" w:sz="0" w:space="0" w:color="auto"/>
        <w:left w:val="none" w:sz="0" w:space="0" w:color="auto"/>
        <w:bottom w:val="none" w:sz="0" w:space="0" w:color="auto"/>
        <w:right w:val="none" w:sz="0" w:space="0" w:color="auto"/>
      </w:divBdr>
    </w:div>
    <w:div w:id="1333139237">
      <w:marLeft w:val="640"/>
      <w:marRight w:val="0"/>
      <w:marTop w:val="0"/>
      <w:marBottom w:val="0"/>
      <w:divBdr>
        <w:top w:val="none" w:sz="0" w:space="0" w:color="auto"/>
        <w:left w:val="none" w:sz="0" w:space="0" w:color="auto"/>
        <w:bottom w:val="none" w:sz="0" w:space="0" w:color="auto"/>
        <w:right w:val="none" w:sz="0" w:space="0" w:color="auto"/>
      </w:divBdr>
    </w:div>
    <w:div w:id="1333142396">
      <w:marLeft w:val="640"/>
      <w:marRight w:val="0"/>
      <w:marTop w:val="0"/>
      <w:marBottom w:val="0"/>
      <w:divBdr>
        <w:top w:val="none" w:sz="0" w:space="0" w:color="auto"/>
        <w:left w:val="none" w:sz="0" w:space="0" w:color="auto"/>
        <w:bottom w:val="none" w:sz="0" w:space="0" w:color="auto"/>
        <w:right w:val="none" w:sz="0" w:space="0" w:color="auto"/>
      </w:divBdr>
    </w:div>
    <w:div w:id="1333603092">
      <w:marLeft w:val="640"/>
      <w:marRight w:val="0"/>
      <w:marTop w:val="0"/>
      <w:marBottom w:val="0"/>
      <w:divBdr>
        <w:top w:val="none" w:sz="0" w:space="0" w:color="auto"/>
        <w:left w:val="none" w:sz="0" w:space="0" w:color="auto"/>
        <w:bottom w:val="none" w:sz="0" w:space="0" w:color="auto"/>
        <w:right w:val="none" w:sz="0" w:space="0" w:color="auto"/>
      </w:divBdr>
    </w:div>
    <w:div w:id="1334455826">
      <w:marLeft w:val="640"/>
      <w:marRight w:val="0"/>
      <w:marTop w:val="0"/>
      <w:marBottom w:val="0"/>
      <w:divBdr>
        <w:top w:val="none" w:sz="0" w:space="0" w:color="auto"/>
        <w:left w:val="none" w:sz="0" w:space="0" w:color="auto"/>
        <w:bottom w:val="none" w:sz="0" w:space="0" w:color="auto"/>
        <w:right w:val="none" w:sz="0" w:space="0" w:color="auto"/>
      </w:divBdr>
    </w:div>
    <w:div w:id="1334645951">
      <w:marLeft w:val="640"/>
      <w:marRight w:val="0"/>
      <w:marTop w:val="0"/>
      <w:marBottom w:val="0"/>
      <w:divBdr>
        <w:top w:val="none" w:sz="0" w:space="0" w:color="auto"/>
        <w:left w:val="none" w:sz="0" w:space="0" w:color="auto"/>
        <w:bottom w:val="none" w:sz="0" w:space="0" w:color="auto"/>
        <w:right w:val="none" w:sz="0" w:space="0" w:color="auto"/>
      </w:divBdr>
    </w:div>
    <w:div w:id="1335183026">
      <w:marLeft w:val="640"/>
      <w:marRight w:val="0"/>
      <w:marTop w:val="0"/>
      <w:marBottom w:val="0"/>
      <w:divBdr>
        <w:top w:val="none" w:sz="0" w:space="0" w:color="auto"/>
        <w:left w:val="none" w:sz="0" w:space="0" w:color="auto"/>
        <w:bottom w:val="none" w:sz="0" w:space="0" w:color="auto"/>
        <w:right w:val="none" w:sz="0" w:space="0" w:color="auto"/>
      </w:divBdr>
    </w:div>
    <w:div w:id="1337003592">
      <w:marLeft w:val="640"/>
      <w:marRight w:val="0"/>
      <w:marTop w:val="0"/>
      <w:marBottom w:val="0"/>
      <w:divBdr>
        <w:top w:val="none" w:sz="0" w:space="0" w:color="auto"/>
        <w:left w:val="none" w:sz="0" w:space="0" w:color="auto"/>
        <w:bottom w:val="none" w:sz="0" w:space="0" w:color="auto"/>
        <w:right w:val="none" w:sz="0" w:space="0" w:color="auto"/>
      </w:divBdr>
    </w:div>
    <w:div w:id="1337338930">
      <w:marLeft w:val="640"/>
      <w:marRight w:val="0"/>
      <w:marTop w:val="0"/>
      <w:marBottom w:val="0"/>
      <w:divBdr>
        <w:top w:val="none" w:sz="0" w:space="0" w:color="auto"/>
        <w:left w:val="none" w:sz="0" w:space="0" w:color="auto"/>
        <w:bottom w:val="none" w:sz="0" w:space="0" w:color="auto"/>
        <w:right w:val="none" w:sz="0" w:space="0" w:color="auto"/>
      </w:divBdr>
    </w:div>
    <w:div w:id="1337616971">
      <w:marLeft w:val="640"/>
      <w:marRight w:val="0"/>
      <w:marTop w:val="0"/>
      <w:marBottom w:val="0"/>
      <w:divBdr>
        <w:top w:val="none" w:sz="0" w:space="0" w:color="auto"/>
        <w:left w:val="none" w:sz="0" w:space="0" w:color="auto"/>
        <w:bottom w:val="none" w:sz="0" w:space="0" w:color="auto"/>
        <w:right w:val="none" w:sz="0" w:space="0" w:color="auto"/>
      </w:divBdr>
    </w:div>
    <w:div w:id="1338465379">
      <w:marLeft w:val="640"/>
      <w:marRight w:val="0"/>
      <w:marTop w:val="0"/>
      <w:marBottom w:val="0"/>
      <w:divBdr>
        <w:top w:val="none" w:sz="0" w:space="0" w:color="auto"/>
        <w:left w:val="none" w:sz="0" w:space="0" w:color="auto"/>
        <w:bottom w:val="none" w:sz="0" w:space="0" w:color="auto"/>
        <w:right w:val="none" w:sz="0" w:space="0" w:color="auto"/>
      </w:divBdr>
    </w:div>
    <w:div w:id="1339044775">
      <w:marLeft w:val="640"/>
      <w:marRight w:val="0"/>
      <w:marTop w:val="0"/>
      <w:marBottom w:val="0"/>
      <w:divBdr>
        <w:top w:val="none" w:sz="0" w:space="0" w:color="auto"/>
        <w:left w:val="none" w:sz="0" w:space="0" w:color="auto"/>
        <w:bottom w:val="none" w:sz="0" w:space="0" w:color="auto"/>
        <w:right w:val="none" w:sz="0" w:space="0" w:color="auto"/>
      </w:divBdr>
    </w:div>
    <w:div w:id="1340307338">
      <w:marLeft w:val="640"/>
      <w:marRight w:val="0"/>
      <w:marTop w:val="0"/>
      <w:marBottom w:val="0"/>
      <w:divBdr>
        <w:top w:val="none" w:sz="0" w:space="0" w:color="auto"/>
        <w:left w:val="none" w:sz="0" w:space="0" w:color="auto"/>
        <w:bottom w:val="none" w:sz="0" w:space="0" w:color="auto"/>
        <w:right w:val="none" w:sz="0" w:space="0" w:color="auto"/>
      </w:divBdr>
    </w:div>
    <w:div w:id="1340430756">
      <w:marLeft w:val="640"/>
      <w:marRight w:val="0"/>
      <w:marTop w:val="0"/>
      <w:marBottom w:val="0"/>
      <w:divBdr>
        <w:top w:val="none" w:sz="0" w:space="0" w:color="auto"/>
        <w:left w:val="none" w:sz="0" w:space="0" w:color="auto"/>
        <w:bottom w:val="none" w:sz="0" w:space="0" w:color="auto"/>
        <w:right w:val="none" w:sz="0" w:space="0" w:color="auto"/>
      </w:divBdr>
    </w:div>
    <w:div w:id="1340933749">
      <w:marLeft w:val="640"/>
      <w:marRight w:val="0"/>
      <w:marTop w:val="0"/>
      <w:marBottom w:val="0"/>
      <w:divBdr>
        <w:top w:val="none" w:sz="0" w:space="0" w:color="auto"/>
        <w:left w:val="none" w:sz="0" w:space="0" w:color="auto"/>
        <w:bottom w:val="none" w:sz="0" w:space="0" w:color="auto"/>
        <w:right w:val="none" w:sz="0" w:space="0" w:color="auto"/>
      </w:divBdr>
    </w:div>
    <w:div w:id="1341080961">
      <w:marLeft w:val="640"/>
      <w:marRight w:val="0"/>
      <w:marTop w:val="0"/>
      <w:marBottom w:val="0"/>
      <w:divBdr>
        <w:top w:val="none" w:sz="0" w:space="0" w:color="auto"/>
        <w:left w:val="none" w:sz="0" w:space="0" w:color="auto"/>
        <w:bottom w:val="none" w:sz="0" w:space="0" w:color="auto"/>
        <w:right w:val="none" w:sz="0" w:space="0" w:color="auto"/>
      </w:divBdr>
    </w:div>
    <w:div w:id="1341544100">
      <w:marLeft w:val="640"/>
      <w:marRight w:val="0"/>
      <w:marTop w:val="0"/>
      <w:marBottom w:val="0"/>
      <w:divBdr>
        <w:top w:val="none" w:sz="0" w:space="0" w:color="auto"/>
        <w:left w:val="none" w:sz="0" w:space="0" w:color="auto"/>
        <w:bottom w:val="none" w:sz="0" w:space="0" w:color="auto"/>
        <w:right w:val="none" w:sz="0" w:space="0" w:color="auto"/>
      </w:divBdr>
    </w:div>
    <w:div w:id="1341855194">
      <w:marLeft w:val="640"/>
      <w:marRight w:val="0"/>
      <w:marTop w:val="0"/>
      <w:marBottom w:val="0"/>
      <w:divBdr>
        <w:top w:val="none" w:sz="0" w:space="0" w:color="auto"/>
        <w:left w:val="none" w:sz="0" w:space="0" w:color="auto"/>
        <w:bottom w:val="none" w:sz="0" w:space="0" w:color="auto"/>
        <w:right w:val="none" w:sz="0" w:space="0" w:color="auto"/>
      </w:divBdr>
    </w:div>
    <w:div w:id="1342317129">
      <w:marLeft w:val="640"/>
      <w:marRight w:val="0"/>
      <w:marTop w:val="0"/>
      <w:marBottom w:val="0"/>
      <w:divBdr>
        <w:top w:val="none" w:sz="0" w:space="0" w:color="auto"/>
        <w:left w:val="none" w:sz="0" w:space="0" w:color="auto"/>
        <w:bottom w:val="none" w:sz="0" w:space="0" w:color="auto"/>
        <w:right w:val="none" w:sz="0" w:space="0" w:color="auto"/>
      </w:divBdr>
    </w:div>
    <w:div w:id="1342586013">
      <w:marLeft w:val="640"/>
      <w:marRight w:val="0"/>
      <w:marTop w:val="0"/>
      <w:marBottom w:val="0"/>
      <w:divBdr>
        <w:top w:val="none" w:sz="0" w:space="0" w:color="auto"/>
        <w:left w:val="none" w:sz="0" w:space="0" w:color="auto"/>
        <w:bottom w:val="none" w:sz="0" w:space="0" w:color="auto"/>
        <w:right w:val="none" w:sz="0" w:space="0" w:color="auto"/>
      </w:divBdr>
    </w:div>
    <w:div w:id="1342970985">
      <w:marLeft w:val="640"/>
      <w:marRight w:val="0"/>
      <w:marTop w:val="0"/>
      <w:marBottom w:val="0"/>
      <w:divBdr>
        <w:top w:val="none" w:sz="0" w:space="0" w:color="auto"/>
        <w:left w:val="none" w:sz="0" w:space="0" w:color="auto"/>
        <w:bottom w:val="none" w:sz="0" w:space="0" w:color="auto"/>
        <w:right w:val="none" w:sz="0" w:space="0" w:color="auto"/>
      </w:divBdr>
    </w:div>
    <w:div w:id="1343706124">
      <w:marLeft w:val="640"/>
      <w:marRight w:val="0"/>
      <w:marTop w:val="0"/>
      <w:marBottom w:val="0"/>
      <w:divBdr>
        <w:top w:val="none" w:sz="0" w:space="0" w:color="auto"/>
        <w:left w:val="none" w:sz="0" w:space="0" w:color="auto"/>
        <w:bottom w:val="none" w:sz="0" w:space="0" w:color="auto"/>
        <w:right w:val="none" w:sz="0" w:space="0" w:color="auto"/>
      </w:divBdr>
    </w:div>
    <w:div w:id="1344546865">
      <w:marLeft w:val="640"/>
      <w:marRight w:val="0"/>
      <w:marTop w:val="0"/>
      <w:marBottom w:val="0"/>
      <w:divBdr>
        <w:top w:val="none" w:sz="0" w:space="0" w:color="auto"/>
        <w:left w:val="none" w:sz="0" w:space="0" w:color="auto"/>
        <w:bottom w:val="none" w:sz="0" w:space="0" w:color="auto"/>
        <w:right w:val="none" w:sz="0" w:space="0" w:color="auto"/>
      </w:divBdr>
    </w:div>
    <w:div w:id="1344673783">
      <w:marLeft w:val="640"/>
      <w:marRight w:val="0"/>
      <w:marTop w:val="0"/>
      <w:marBottom w:val="0"/>
      <w:divBdr>
        <w:top w:val="none" w:sz="0" w:space="0" w:color="auto"/>
        <w:left w:val="none" w:sz="0" w:space="0" w:color="auto"/>
        <w:bottom w:val="none" w:sz="0" w:space="0" w:color="auto"/>
        <w:right w:val="none" w:sz="0" w:space="0" w:color="auto"/>
      </w:divBdr>
    </w:div>
    <w:div w:id="1345281308">
      <w:marLeft w:val="640"/>
      <w:marRight w:val="0"/>
      <w:marTop w:val="0"/>
      <w:marBottom w:val="0"/>
      <w:divBdr>
        <w:top w:val="none" w:sz="0" w:space="0" w:color="auto"/>
        <w:left w:val="none" w:sz="0" w:space="0" w:color="auto"/>
        <w:bottom w:val="none" w:sz="0" w:space="0" w:color="auto"/>
        <w:right w:val="none" w:sz="0" w:space="0" w:color="auto"/>
      </w:divBdr>
    </w:div>
    <w:div w:id="1345593056">
      <w:marLeft w:val="640"/>
      <w:marRight w:val="0"/>
      <w:marTop w:val="0"/>
      <w:marBottom w:val="0"/>
      <w:divBdr>
        <w:top w:val="none" w:sz="0" w:space="0" w:color="auto"/>
        <w:left w:val="none" w:sz="0" w:space="0" w:color="auto"/>
        <w:bottom w:val="none" w:sz="0" w:space="0" w:color="auto"/>
        <w:right w:val="none" w:sz="0" w:space="0" w:color="auto"/>
      </w:divBdr>
    </w:div>
    <w:div w:id="1345672055">
      <w:marLeft w:val="640"/>
      <w:marRight w:val="0"/>
      <w:marTop w:val="0"/>
      <w:marBottom w:val="0"/>
      <w:divBdr>
        <w:top w:val="none" w:sz="0" w:space="0" w:color="auto"/>
        <w:left w:val="none" w:sz="0" w:space="0" w:color="auto"/>
        <w:bottom w:val="none" w:sz="0" w:space="0" w:color="auto"/>
        <w:right w:val="none" w:sz="0" w:space="0" w:color="auto"/>
      </w:divBdr>
    </w:div>
    <w:div w:id="1345672828">
      <w:marLeft w:val="640"/>
      <w:marRight w:val="0"/>
      <w:marTop w:val="0"/>
      <w:marBottom w:val="0"/>
      <w:divBdr>
        <w:top w:val="none" w:sz="0" w:space="0" w:color="auto"/>
        <w:left w:val="none" w:sz="0" w:space="0" w:color="auto"/>
        <w:bottom w:val="none" w:sz="0" w:space="0" w:color="auto"/>
        <w:right w:val="none" w:sz="0" w:space="0" w:color="auto"/>
      </w:divBdr>
    </w:div>
    <w:div w:id="1345934522">
      <w:marLeft w:val="640"/>
      <w:marRight w:val="0"/>
      <w:marTop w:val="0"/>
      <w:marBottom w:val="0"/>
      <w:divBdr>
        <w:top w:val="none" w:sz="0" w:space="0" w:color="auto"/>
        <w:left w:val="none" w:sz="0" w:space="0" w:color="auto"/>
        <w:bottom w:val="none" w:sz="0" w:space="0" w:color="auto"/>
        <w:right w:val="none" w:sz="0" w:space="0" w:color="auto"/>
      </w:divBdr>
    </w:div>
    <w:div w:id="1346178138">
      <w:marLeft w:val="640"/>
      <w:marRight w:val="0"/>
      <w:marTop w:val="0"/>
      <w:marBottom w:val="0"/>
      <w:divBdr>
        <w:top w:val="none" w:sz="0" w:space="0" w:color="auto"/>
        <w:left w:val="none" w:sz="0" w:space="0" w:color="auto"/>
        <w:bottom w:val="none" w:sz="0" w:space="0" w:color="auto"/>
        <w:right w:val="none" w:sz="0" w:space="0" w:color="auto"/>
      </w:divBdr>
    </w:div>
    <w:div w:id="1346634913">
      <w:marLeft w:val="640"/>
      <w:marRight w:val="0"/>
      <w:marTop w:val="0"/>
      <w:marBottom w:val="0"/>
      <w:divBdr>
        <w:top w:val="none" w:sz="0" w:space="0" w:color="auto"/>
        <w:left w:val="none" w:sz="0" w:space="0" w:color="auto"/>
        <w:bottom w:val="none" w:sz="0" w:space="0" w:color="auto"/>
        <w:right w:val="none" w:sz="0" w:space="0" w:color="auto"/>
      </w:divBdr>
    </w:div>
    <w:div w:id="1346789191">
      <w:marLeft w:val="640"/>
      <w:marRight w:val="0"/>
      <w:marTop w:val="0"/>
      <w:marBottom w:val="0"/>
      <w:divBdr>
        <w:top w:val="none" w:sz="0" w:space="0" w:color="auto"/>
        <w:left w:val="none" w:sz="0" w:space="0" w:color="auto"/>
        <w:bottom w:val="none" w:sz="0" w:space="0" w:color="auto"/>
        <w:right w:val="none" w:sz="0" w:space="0" w:color="auto"/>
      </w:divBdr>
    </w:div>
    <w:div w:id="1346979649">
      <w:marLeft w:val="640"/>
      <w:marRight w:val="0"/>
      <w:marTop w:val="0"/>
      <w:marBottom w:val="0"/>
      <w:divBdr>
        <w:top w:val="none" w:sz="0" w:space="0" w:color="auto"/>
        <w:left w:val="none" w:sz="0" w:space="0" w:color="auto"/>
        <w:bottom w:val="none" w:sz="0" w:space="0" w:color="auto"/>
        <w:right w:val="none" w:sz="0" w:space="0" w:color="auto"/>
      </w:divBdr>
    </w:div>
    <w:div w:id="1347054145">
      <w:marLeft w:val="640"/>
      <w:marRight w:val="0"/>
      <w:marTop w:val="0"/>
      <w:marBottom w:val="0"/>
      <w:divBdr>
        <w:top w:val="none" w:sz="0" w:space="0" w:color="auto"/>
        <w:left w:val="none" w:sz="0" w:space="0" w:color="auto"/>
        <w:bottom w:val="none" w:sz="0" w:space="0" w:color="auto"/>
        <w:right w:val="none" w:sz="0" w:space="0" w:color="auto"/>
      </w:divBdr>
    </w:div>
    <w:div w:id="1347177537">
      <w:marLeft w:val="640"/>
      <w:marRight w:val="0"/>
      <w:marTop w:val="0"/>
      <w:marBottom w:val="0"/>
      <w:divBdr>
        <w:top w:val="none" w:sz="0" w:space="0" w:color="auto"/>
        <w:left w:val="none" w:sz="0" w:space="0" w:color="auto"/>
        <w:bottom w:val="none" w:sz="0" w:space="0" w:color="auto"/>
        <w:right w:val="none" w:sz="0" w:space="0" w:color="auto"/>
      </w:divBdr>
    </w:div>
    <w:div w:id="1347557264">
      <w:marLeft w:val="640"/>
      <w:marRight w:val="0"/>
      <w:marTop w:val="0"/>
      <w:marBottom w:val="0"/>
      <w:divBdr>
        <w:top w:val="none" w:sz="0" w:space="0" w:color="auto"/>
        <w:left w:val="none" w:sz="0" w:space="0" w:color="auto"/>
        <w:bottom w:val="none" w:sz="0" w:space="0" w:color="auto"/>
        <w:right w:val="none" w:sz="0" w:space="0" w:color="auto"/>
      </w:divBdr>
    </w:div>
    <w:div w:id="1347975361">
      <w:marLeft w:val="640"/>
      <w:marRight w:val="0"/>
      <w:marTop w:val="0"/>
      <w:marBottom w:val="0"/>
      <w:divBdr>
        <w:top w:val="none" w:sz="0" w:space="0" w:color="auto"/>
        <w:left w:val="none" w:sz="0" w:space="0" w:color="auto"/>
        <w:bottom w:val="none" w:sz="0" w:space="0" w:color="auto"/>
        <w:right w:val="none" w:sz="0" w:space="0" w:color="auto"/>
      </w:divBdr>
    </w:div>
    <w:div w:id="1348171310">
      <w:marLeft w:val="640"/>
      <w:marRight w:val="0"/>
      <w:marTop w:val="0"/>
      <w:marBottom w:val="0"/>
      <w:divBdr>
        <w:top w:val="none" w:sz="0" w:space="0" w:color="auto"/>
        <w:left w:val="none" w:sz="0" w:space="0" w:color="auto"/>
        <w:bottom w:val="none" w:sz="0" w:space="0" w:color="auto"/>
        <w:right w:val="none" w:sz="0" w:space="0" w:color="auto"/>
      </w:divBdr>
    </w:div>
    <w:div w:id="1348631585">
      <w:marLeft w:val="640"/>
      <w:marRight w:val="0"/>
      <w:marTop w:val="0"/>
      <w:marBottom w:val="0"/>
      <w:divBdr>
        <w:top w:val="none" w:sz="0" w:space="0" w:color="auto"/>
        <w:left w:val="none" w:sz="0" w:space="0" w:color="auto"/>
        <w:bottom w:val="none" w:sz="0" w:space="0" w:color="auto"/>
        <w:right w:val="none" w:sz="0" w:space="0" w:color="auto"/>
      </w:divBdr>
    </w:div>
    <w:div w:id="1349605144">
      <w:marLeft w:val="640"/>
      <w:marRight w:val="0"/>
      <w:marTop w:val="0"/>
      <w:marBottom w:val="0"/>
      <w:divBdr>
        <w:top w:val="none" w:sz="0" w:space="0" w:color="auto"/>
        <w:left w:val="none" w:sz="0" w:space="0" w:color="auto"/>
        <w:bottom w:val="none" w:sz="0" w:space="0" w:color="auto"/>
        <w:right w:val="none" w:sz="0" w:space="0" w:color="auto"/>
      </w:divBdr>
    </w:div>
    <w:div w:id="1350370443">
      <w:marLeft w:val="640"/>
      <w:marRight w:val="0"/>
      <w:marTop w:val="0"/>
      <w:marBottom w:val="0"/>
      <w:divBdr>
        <w:top w:val="none" w:sz="0" w:space="0" w:color="auto"/>
        <w:left w:val="none" w:sz="0" w:space="0" w:color="auto"/>
        <w:bottom w:val="none" w:sz="0" w:space="0" w:color="auto"/>
        <w:right w:val="none" w:sz="0" w:space="0" w:color="auto"/>
      </w:divBdr>
    </w:div>
    <w:div w:id="1350909895">
      <w:marLeft w:val="640"/>
      <w:marRight w:val="0"/>
      <w:marTop w:val="0"/>
      <w:marBottom w:val="0"/>
      <w:divBdr>
        <w:top w:val="none" w:sz="0" w:space="0" w:color="auto"/>
        <w:left w:val="none" w:sz="0" w:space="0" w:color="auto"/>
        <w:bottom w:val="none" w:sz="0" w:space="0" w:color="auto"/>
        <w:right w:val="none" w:sz="0" w:space="0" w:color="auto"/>
      </w:divBdr>
    </w:div>
    <w:div w:id="1352029732">
      <w:marLeft w:val="640"/>
      <w:marRight w:val="0"/>
      <w:marTop w:val="0"/>
      <w:marBottom w:val="0"/>
      <w:divBdr>
        <w:top w:val="none" w:sz="0" w:space="0" w:color="auto"/>
        <w:left w:val="none" w:sz="0" w:space="0" w:color="auto"/>
        <w:bottom w:val="none" w:sz="0" w:space="0" w:color="auto"/>
        <w:right w:val="none" w:sz="0" w:space="0" w:color="auto"/>
      </w:divBdr>
    </w:div>
    <w:div w:id="1352223897">
      <w:marLeft w:val="640"/>
      <w:marRight w:val="0"/>
      <w:marTop w:val="0"/>
      <w:marBottom w:val="0"/>
      <w:divBdr>
        <w:top w:val="none" w:sz="0" w:space="0" w:color="auto"/>
        <w:left w:val="none" w:sz="0" w:space="0" w:color="auto"/>
        <w:bottom w:val="none" w:sz="0" w:space="0" w:color="auto"/>
        <w:right w:val="none" w:sz="0" w:space="0" w:color="auto"/>
      </w:divBdr>
    </w:div>
    <w:div w:id="1353385804">
      <w:marLeft w:val="640"/>
      <w:marRight w:val="0"/>
      <w:marTop w:val="0"/>
      <w:marBottom w:val="0"/>
      <w:divBdr>
        <w:top w:val="none" w:sz="0" w:space="0" w:color="auto"/>
        <w:left w:val="none" w:sz="0" w:space="0" w:color="auto"/>
        <w:bottom w:val="none" w:sz="0" w:space="0" w:color="auto"/>
        <w:right w:val="none" w:sz="0" w:space="0" w:color="auto"/>
      </w:divBdr>
    </w:div>
    <w:div w:id="1353414610">
      <w:marLeft w:val="640"/>
      <w:marRight w:val="0"/>
      <w:marTop w:val="0"/>
      <w:marBottom w:val="0"/>
      <w:divBdr>
        <w:top w:val="none" w:sz="0" w:space="0" w:color="auto"/>
        <w:left w:val="none" w:sz="0" w:space="0" w:color="auto"/>
        <w:bottom w:val="none" w:sz="0" w:space="0" w:color="auto"/>
        <w:right w:val="none" w:sz="0" w:space="0" w:color="auto"/>
      </w:divBdr>
    </w:div>
    <w:div w:id="1354187990">
      <w:marLeft w:val="640"/>
      <w:marRight w:val="0"/>
      <w:marTop w:val="0"/>
      <w:marBottom w:val="0"/>
      <w:divBdr>
        <w:top w:val="none" w:sz="0" w:space="0" w:color="auto"/>
        <w:left w:val="none" w:sz="0" w:space="0" w:color="auto"/>
        <w:bottom w:val="none" w:sz="0" w:space="0" w:color="auto"/>
        <w:right w:val="none" w:sz="0" w:space="0" w:color="auto"/>
      </w:divBdr>
    </w:div>
    <w:div w:id="1354572180">
      <w:marLeft w:val="640"/>
      <w:marRight w:val="0"/>
      <w:marTop w:val="0"/>
      <w:marBottom w:val="0"/>
      <w:divBdr>
        <w:top w:val="none" w:sz="0" w:space="0" w:color="auto"/>
        <w:left w:val="none" w:sz="0" w:space="0" w:color="auto"/>
        <w:bottom w:val="none" w:sz="0" w:space="0" w:color="auto"/>
        <w:right w:val="none" w:sz="0" w:space="0" w:color="auto"/>
      </w:divBdr>
    </w:div>
    <w:div w:id="1354845459">
      <w:marLeft w:val="640"/>
      <w:marRight w:val="0"/>
      <w:marTop w:val="0"/>
      <w:marBottom w:val="0"/>
      <w:divBdr>
        <w:top w:val="none" w:sz="0" w:space="0" w:color="auto"/>
        <w:left w:val="none" w:sz="0" w:space="0" w:color="auto"/>
        <w:bottom w:val="none" w:sz="0" w:space="0" w:color="auto"/>
        <w:right w:val="none" w:sz="0" w:space="0" w:color="auto"/>
      </w:divBdr>
    </w:div>
    <w:div w:id="1355156814">
      <w:marLeft w:val="640"/>
      <w:marRight w:val="0"/>
      <w:marTop w:val="0"/>
      <w:marBottom w:val="0"/>
      <w:divBdr>
        <w:top w:val="none" w:sz="0" w:space="0" w:color="auto"/>
        <w:left w:val="none" w:sz="0" w:space="0" w:color="auto"/>
        <w:bottom w:val="none" w:sz="0" w:space="0" w:color="auto"/>
        <w:right w:val="none" w:sz="0" w:space="0" w:color="auto"/>
      </w:divBdr>
    </w:div>
    <w:div w:id="1355617123">
      <w:marLeft w:val="640"/>
      <w:marRight w:val="0"/>
      <w:marTop w:val="0"/>
      <w:marBottom w:val="0"/>
      <w:divBdr>
        <w:top w:val="none" w:sz="0" w:space="0" w:color="auto"/>
        <w:left w:val="none" w:sz="0" w:space="0" w:color="auto"/>
        <w:bottom w:val="none" w:sz="0" w:space="0" w:color="auto"/>
        <w:right w:val="none" w:sz="0" w:space="0" w:color="auto"/>
      </w:divBdr>
    </w:div>
    <w:div w:id="1355889190">
      <w:marLeft w:val="640"/>
      <w:marRight w:val="0"/>
      <w:marTop w:val="0"/>
      <w:marBottom w:val="0"/>
      <w:divBdr>
        <w:top w:val="none" w:sz="0" w:space="0" w:color="auto"/>
        <w:left w:val="none" w:sz="0" w:space="0" w:color="auto"/>
        <w:bottom w:val="none" w:sz="0" w:space="0" w:color="auto"/>
        <w:right w:val="none" w:sz="0" w:space="0" w:color="auto"/>
      </w:divBdr>
    </w:div>
    <w:div w:id="1356808633">
      <w:marLeft w:val="640"/>
      <w:marRight w:val="0"/>
      <w:marTop w:val="0"/>
      <w:marBottom w:val="0"/>
      <w:divBdr>
        <w:top w:val="none" w:sz="0" w:space="0" w:color="auto"/>
        <w:left w:val="none" w:sz="0" w:space="0" w:color="auto"/>
        <w:bottom w:val="none" w:sz="0" w:space="0" w:color="auto"/>
        <w:right w:val="none" w:sz="0" w:space="0" w:color="auto"/>
      </w:divBdr>
    </w:div>
    <w:div w:id="1357001420">
      <w:marLeft w:val="640"/>
      <w:marRight w:val="0"/>
      <w:marTop w:val="0"/>
      <w:marBottom w:val="0"/>
      <w:divBdr>
        <w:top w:val="none" w:sz="0" w:space="0" w:color="auto"/>
        <w:left w:val="none" w:sz="0" w:space="0" w:color="auto"/>
        <w:bottom w:val="none" w:sz="0" w:space="0" w:color="auto"/>
        <w:right w:val="none" w:sz="0" w:space="0" w:color="auto"/>
      </w:divBdr>
    </w:div>
    <w:div w:id="1357003045">
      <w:marLeft w:val="640"/>
      <w:marRight w:val="0"/>
      <w:marTop w:val="0"/>
      <w:marBottom w:val="0"/>
      <w:divBdr>
        <w:top w:val="none" w:sz="0" w:space="0" w:color="auto"/>
        <w:left w:val="none" w:sz="0" w:space="0" w:color="auto"/>
        <w:bottom w:val="none" w:sz="0" w:space="0" w:color="auto"/>
        <w:right w:val="none" w:sz="0" w:space="0" w:color="auto"/>
      </w:divBdr>
    </w:div>
    <w:div w:id="1357149846">
      <w:marLeft w:val="640"/>
      <w:marRight w:val="0"/>
      <w:marTop w:val="0"/>
      <w:marBottom w:val="0"/>
      <w:divBdr>
        <w:top w:val="none" w:sz="0" w:space="0" w:color="auto"/>
        <w:left w:val="none" w:sz="0" w:space="0" w:color="auto"/>
        <w:bottom w:val="none" w:sz="0" w:space="0" w:color="auto"/>
        <w:right w:val="none" w:sz="0" w:space="0" w:color="auto"/>
      </w:divBdr>
    </w:div>
    <w:div w:id="1357581579">
      <w:marLeft w:val="640"/>
      <w:marRight w:val="0"/>
      <w:marTop w:val="0"/>
      <w:marBottom w:val="0"/>
      <w:divBdr>
        <w:top w:val="none" w:sz="0" w:space="0" w:color="auto"/>
        <w:left w:val="none" w:sz="0" w:space="0" w:color="auto"/>
        <w:bottom w:val="none" w:sz="0" w:space="0" w:color="auto"/>
        <w:right w:val="none" w:sz="0" w:space="0" w:color="auto"/>
      </w:divBdr>
    </w:div>
    <w:div w:id="1357654772">
      <w:marLeft w:val="640"/>
      <w:marRight w:val="0"/>
      <w:marTop w:val="0"/>
      <w:marBottom w:val="0"/>
      <w:divBdr>
        <w:top w:val="none" w:sz="0" w:space="0" w:color="auto"/>
        <w:left w:val="none" w:sz="0" w:space="0" w:color="auto"/>
        <w:bottom w:val="none" w:sz="0" w:space="0" w:color="auto"/>
        <w:right w:val="none" w:sz="0" w:space="0" w:color="auto"/>
      </w:divBdr>
    </w:div>
    <w:div w:id="1358120559">
      <w:marLeft w:val="640"/>
      <w:marRight w:val="0"/>
      <w:marTop w:val="0"/>
      <w:marBottom w:val="0"/>
      <w:divBdr>
        <w:top w:val="none" w:sz="0" w:space="0" w:color="auto"/>
        <w:left w:val="none" w:sz="0" w:space="0" w:color="auto"/>
        <w:bottom w:val="none" w:sz="0" w:space="0" w:color="auto"/>
        <w:right w:val="none" w:sz="0" w:space="0" w:color="auto"/>
      </w:divBdr>
    </w:div>
    <w:div w:id="1358890047">
      <w:marLeft w:val="640"/>
      <w:marRight w:val="0"/>
      <w:marTop w:val="0"/>
      <w:marBottom w:val="0"/>
      <w:divBdr>
        <w:top w:val="none" w:sz="0" w:space="0" w:color="auto"/>
        <w:left w:val="none" w:sz="0" w:space="0" w:color="auto"/>
        <w:bottom w:val="none" w:sz="0" w:space="0" w:color="auto"/>
        <w:right w:val="none" w:sz="0" w:space="0" w:color="auto"/>
      </w:divBdr>
    </w:div>
    <w:div w:id="1359159367">
      <w:marLeft w:val="640"/>
      <w:marRight w:val="0"/>
      <w:marTop w:val="0"/>
      <w:marBottom w:val="0"/>
      <w:divBdr>
        <w:top w:val="none" w:sz="0" w:space="0" w:color="auto"/>
        <w:left w:val="none" w:sz="0" w:space="0" w:color="auto"/>
        <w:bottom w:val="none" w:sz="0" w:space="0" w:color="auto"/>
        <w:right w:val="none" w:sz="0" w:space="0" w:color="auto"/>
      </w:divBdr>
    </w:div>
    <w:div w:id="1359162276">
      <w:marLeft w:val="640"/>
      <w:marRight w:val="0"/>
      <w:marTop w:val="0"/>
      <w:marBottom w:val="0"/>
      <w:divBdr>
        <w:top w:val="none" w:sz="0" w:space="0" w:color="auto"/>
        <w:left w:val="none" w:sz="0" w:space="0" w:color="auto"/>
        <w:bottom w:val="none" w:sz="0" w:space="0" w:color="auto"/>
        <w:right w:val="none" w:sz="0" w:space="0" w:color="auto"/>
      </w:divBdr>
    </w:div>
    <w:div w:id="1359235968">
      <w:marLeft w:val="640"/>
      <w:marRight w:val="0"/>
      <w:marTop w:val="0"/>
      <w:marBottom w:val="0"/>
      <w:divBdr>
        <w:top w:val="none" w:sz="0" w:space="0" w:color="auto"/>
        <w:left w:val="none" w:sz="0" w:space="0" w:color="auto"/>
        <w:bottom w:val="none" w:sz="0" w:space="0" w:color="auto"/>
        <w:right w:val="none" w:sz="0" w:space="0" w:color="auto"/>
      </w:divBdr>
    </w:div>
    <w:div w:id="1359432190">
      <w:marLeft w:val="640"/>
      <w:marRight w:val="0"/>
      <w:marTop w:val="0"/>
      <w:marBottom w:val="0"/>
      <w:divBdr>
        <w:top w:val="none" w:sz="0" w:space="0" w:color="auto"/>
        <w:left w:val="none" w:sz="0" w:space="0" w:color="auto"/>
        <w:bottom w:val="none" w:sz="0" w:space="0" w:color="auto"/>
        <w:right w:val="none" w:sz="0" w:space="0" w:color="auto"/>
      </w:divBdr>
    </w:div>
    <w:div w:id="1359624525">
      <w:marLeft w:val="640"/>
      <w:marRight w:val="0"/>
      <w:marTop w:val="0"/>
      <w:marBottom w:val="0"/>
      <w:divBdr>
        <w:top w:val="none" w:sz="0" w:space="0" w:color="auto"/>
        <w:left w:val="none" w:sz="0" w:space="0" w:color="auto"/>
        <w:bottom w:val="none" w:sz="0" w:space="0" w:color="auto"/>
        <w:right w:val="none" w:sz="0" w:space="0" w:color="auto"/>
      </w:divBdr>
    </w:div>
    <w:div w:id="1360398775">
      <w:marLeft w:val="640"/>
      <w:marRight w:val="0"/>
      <w:marTop w:val="0"/>
      <w:marBottom w:val="0"/>
      <w:divBdr>
        <w:top w:val="none" w:sz="0" w:space="0" w:color="auto"/>
        <w:left w:val="none" w:sz="0" w:space="0" w:color="auto"/>
        <w:bottom w:val="none" w:sz="0" w:space="0" w:color="auto"/>
        <w:right w:val="none" w:sz="0" w:space="0" w:color="auto"/>
      </w:divBdr>
    </w:div>
    <w:div w:id="1360473532">
      <w:marLeft w:val="640"/>
      <w:marRight w:val="0"/>
      <w:marTop w:val="0"/>
      <w:marBottom w:val="0"/>
      <w:divBdr>
        <w:top w:val="none" w:sz="0" w:space="0" w:color="auto"/>
        <w:left w:val="none" w:sz="0" w:space="0" w:color="auto"/>
        <w:bottom w:val="none" w:sz="0" w:space="0" w:color="auto"/>
        <w:right w:val="none" w:sz="0" w:space="0" w:color="auto"/>
      </w:divBdr>
    </w:div>
    <w:div w:id="1361470540">
      <w:marLeft w:val="640"/>
      <w:marRight w:val="0"/>
      <w:marTop w:val="0"/>
      <w:marBottom w:val="0"/>
      <w:divBdr>
        <w:top w:val="none" w:sz="0" w:space="0" w:color="auto"/>
        <w:left w:val="none" w:sz="0" w:space="0" w:color="auto"/>
        <w:bottom w:val="none" w:sz="0" w:space="0" w:color="auto"/>
        <w:right w:val="none" w:sz="0" w:space="0" w:color="auto"/>
      </w:divBdr>
    </w:div>
    <w:div w:id="1361971390">
      <w:marLeft w:val="640"/>
      <w:marRight w:val="0"/>
      <w:marTop w:val="0"/>
      <w:marBottom w:val="0"/>
      <w:divBdr>
        <w:top w:val="none" w:sz="0" w:space="0" w:color="auto"/>
        <w:left w:val="none" w:sz="0" w:space="0" w:color="auto"/>
        <w:bottom w:val="none" w:sz="0" w:space="0" w:color="auto"/>
        <w:right w:val="none" w:sz="0" w:space="0" w:color="auto"/>
      </w:divBdr>
    </w:div>
    <w:div w:id="1362589272">
      <w:marLeft w:val="640"/>
      <w:marRight w:val="0"/>
      <w:marTop w:val="0"/>
      <w:marBottom w:val="0"/>
      <w:divBdr>
        <w:top w:val="none" w:sz="0" w:space="0" w:color="auto"/>
        <w:left w:val="none" w:sz="0" w:space="0" w:color="auto"/>
        <w:bottom w:val="none" w:sz="0" w:space="0" w:color="auto"/>
        <w:right w:val="none" w:sz="0" w:space="0" w:color="auto"/>
      </w:divBdr>
    </w:div>
    <w:div w:id="1363632960">
      <w:marLeft w:val="640"/>
      <w:marRight w:val="0"/>
      <w:marTop w:val="0"/>
      <w:marBottom w:val="0"/>
      <w:divBdr>
        <w:top w:val="none" w:sz="0" w:space="0" w:color="auto"/>
        <w:left w:val="none" w:sz="0" w:space="0" w:color="auto"/>
        <w:bottom w:val="none" w:sz="0" w:space="0" w:color="auto"/>
        <w:right w:val="none" w:sz="0" w:space="0" w:color="auto"/>
      </w:divBdr>
    </w:div>
    <w:div w:id="1365641386">
      <w:marLeft w:val="640"/>
      <w:marRight w:val="0"/>
      <w:marTop w:val="0"/>
      <w:marBottom w:val="0"/>
      <w:divBdr>
        <w:top w:val="none" w:sz="0" w:space="0" w:color="auto"/>
        <w:left w:val="none" w:sz="0" w:space="0" w:color="auto"/>
        <w:bottom w:val="none" w:sz="0" w:space="0" w:color="auto"/>
        <w:right w:val="none" w:sz="0" w:space="0" w:color="auto"/>
      </w:divBdr>
    </w:div>
    <w:div w:id="1366446823">
      <w:marLeft w:val="640"/>
      <w:marRight w:val="0"/>
      <w:marTop w:val="0"/>
      <w:marBottom w:val="0"/>
      <w:divBdr>
        <w:top w:val="none" w:sz="0" w:space="0" w:color="auto"/>
        <w:left w:val="none" w:sz="0" w:space="0" w:color="auto"/>
        <w:bottom w:val="none" w:sz="0" w:space="0" w:color="auto"/>
        <w:right w:val="none" w:sz="0" w:space="0" w:color="auto"/>
      </w:divBdr>
    </w:div>
    <w:div w:id="1366828154">
      <w:marLeft w:val="640"/>
      <w:marRight w:val="0"/>
      <w:marTop w:val="0"/>
      <w:marBottom w:val="0"/>
      <w:divBdr>
        <w:top w:val="none" w:sz="0" w:space="0" w:color="auto"/>
        <w:left w:val="none" w:sz="0" w:space="0" w:color="auto"/>
        <w:bottom w:val="none" w:sz="0" w:space="0" w:color="auto"/>
        <w:right w:val="none" w:sz="0" w:space="0" w:color="auto"/>
      </w:divBdr>
    </w:div>
    <w:div w:id="1367097605">
      <w:marLeft w:val="640"/>
      <w:marRight w:val="0"/>
      <w:marTop w:val="0"/>
      <w:marBottom w:val="0"/>
      <w:divBdr>
        <w:top w:val="none" w:sz="0" w:space="0" w:color="auto"/>
        <w:left w:val="none" w:sz="0" w:space="0" w:color="auto"/>
        <w:bottom w:val="none" w:sz="0" w:space="0" w:color="auto"/>
        <w:right w:val="none" w:sz="0" w:space="0" w:color="auto"/>
      </w:divBdr>
    </w:div>
    <w:div w:id="1367409048">
      <w:marLeft w:val="640"/>
      <w:marRight w:val="0"/>
      <w:marTop w:val="0"/>
      <w:marBottom w:val="0"/>
      <w:divBdr>
        <w:top w:val="none" w:sz="0" w:space="0" w:color="auto"/>
        <w:left w:val="none" w:sz="0" w:space="0" w:color="auto"/>
        <w:bottom w:val="none" w:sz="0" w:space="0" w:color="auto"/>
        <w:right w:val="none" w:sz="0" w:space="0" w:color="auto"/>
      </w:divBdr>
    </w:div>
    <w:div w:id="1369574767">
      <w:marLeft w:val="640"/>
      <w:marRight w:val="0"/>
      <w:marTop w:val="0"/>
      <w:marBottom w:val="0"/>
      <w:divBdr>
        <w:top w:val="none" w:sz="0" w:space="0" w:color="auto"/>
        <w:left w:val="none" w:sz="0" w:space="0" w:color="auto"/>
        <w:bottom w:val="none" w:sz="0" w:space="0" w:color="auto"/>
        <w:right w:val="none" w:sz="0" w:space="0" w:color="auto"/>
      </w:divBdr>
    </w:div>
    <w:div w:id="1370061175">
      <w:marLeft w:val="640"/>
      <w:marRight w:val="0"/>
      <w:marTop w:val="0"/>
      <w:marBottom w:val="0"/>
      <w:divBdr>
        <w:top w:val="none" w:sz="0" w:space="0" w:color="auto"/>
        <w:left w:val="none" w:sz="0" w:space="0" w:color="auto"/>
        <w:bottom w:val="none" w:sz="0" w:space="0" w:color="auto"/>
        <w:right w:val="none" w:sz="0" w:space="0" w:color="auto"/>
      </w:divBdr>
    </w:div>
    <w:div w:id="1370489205">
      <w:marLeft w:val="640"/>
      <w:marRight w:val="0"/>
      <w:marTop w:val="0"/>
      <w:marBottom w:val="0"/>
      <w:divBdr>
        <w:top w:val="none" w:sz="0" w:space="0" w:color="auto"/>
        <w:left w:val="none" w:sz="0" w:space="0" w:color="auto"/>
        <w:bottom w:val="none" w:sz="0" w:space="0" w:color="auto"/>
        <w:right w:val="none" w:sz="0" w:space="0" w:color="auto"/>
      </w:divBdr>
    </w:div>
    <w:div w:id="1371344616">
      <w:marLeft w:val="640"/>
      <w:marRight w:val="0"/>
      <w:marTop w:val="0"/>
      <w:marBottom w:val="0"/>
      <w:divBdr>
        <w:top w:val="none" w:sz="0" w:space="0" w:color="auto"/>
        <w:left w:val="none" w:sz="0" w:space="0" w:color="auto"/>
        <w:bottom w:val="none" w:sz="0" w:space="0" w:color="auto"/>
        <w:right w:val="none" w:sz="0" w:space="0" w:color="auto"/>
      </w:divBdr>
    </w:div>
    <w:div w:id="1371614187">
      <w:marLeft w:val="640"/>
      <w:marRight w:val="0"/>
      <w:marTop w:val="0"/>
      <w:marBottom w:val="0"/>
      <w:divBdr>
        <w:top w:val="none" w:sz="0" w:space="0" w:color="auto"/>
        <w:left w:val="none" w:sz="0" w:space="0" w:color="auto"/>
        <w:bottom w:val="none" w:sz="0" w:space="0" w:color="auto"/>
        <w:right w:val="none" w:sz="0" w:space="0" w:color="auto"/>
      </w:divBdr>
    </w:div>
    <w:div w:id="1371685977">
      <w:marLeft w:val="640"/>
      <w:marRight w:val="0"/>
      <w:marTop w:val="0"/>
      <w:marBottom w:val="0"/>
      <w:divBdr>
        <w:top w:val="none" w:sz="0" w:space="0" w:color="auto"/>
        <w:left w:val="none" w:sz="0" w:space="0" w:color="auto"/>
        <w:bottom w:val="none" w:sz="0" w:space="0" w:color="auto"/>
        <w:right w:val="none" w:sz="0" w:space="0" w:color="auto"/>
      </w:divBdr>
    </w:div>
    <w:div w:id="1371759993">
      <w:marLeft w:val="640"/>
      <w:marRight w:val="0"/>
      <w:marTop w:val="0"/>
      <w:marBottom w:val="0"/>
      <w:divBdr>
        <w:top w:val="none" w:sz="0" w:space="0" w:color="auto"/>
        <w:left w:val="none" w:sz="0" w:space="0" w:color="auto"/>
        <w:bottom w:val="none" w:sz="0" w:space="0" w:color="auto"/>
        <w:right w:val="none" w:sz="0" w:space="0" w:color="auto"/>
      </w:divBdr>
    </w:div>
    <w:div w:id="1372195855">
      <w:marLeft w:val="640"/>
      <w:marRight w:val="0"/>
      <w:marTop w:val="0"/>
      <w:marBottom w:val="0"/>
      <w:divBdr>
        <w:top w:val="none" w:sz="0" w:space="0" w:color="auto"/>
        <w:left w:val="none" w:sz="0" w:space="0" w:color="auto"/>
        <w:bottom w:val="none" w:sz="0" w:space="0" w:color="auto"/>
        <w:right w:val="none" w:sz="0" w:space="0" w:color="auto"/>
      </w:divBdr>
    </w:div>
    <w:div w:id="1373113020">
      <w:marLeft w:val="640"/>
      <w:marRight w:val="0"/>
      <w:marTop w:val="0"/>
      <w:marBottom w:val="0"/>
      <w:divBdr>
        <w:top w:val="none" w:sz="0" w:space="0" w:color="auto"/>
        <w:left w:val="none" w:sz="0" w:space="0" w:color="auto"/>
        <w:bottom w:val="none" w:sz="0" w:space="0" w:color="auto"/>
        <w:right w:val="none" w:sz="0" w:space="0" w:color="auto"/>
      </w:divBdr>
    </w:div>
    <w:div w:id="1373379519">
      <w:marLeft w:val="640"/>
      <w:marRight w:val="0"/>
      <w:marTop w:val="0"/>
      <w:marBottom w:val="0"/>
      <w:divBdr>
        <w:top w:val="none" w:sz="0" w:space="0" w:color="auto"/>
        <w:left w:val="none" w:sz="0" w:space="0" w:color="auto"/>
        <w:bottom w:val="none" w:sz="0" w:space="0" w:color="auto"/>
        <w:right w:val="none" w:sz="0" w:space="0" w:color="auto"/>
      </w:divBdr>
    </w:div>
    <w:div w:id="1373655554">
      <w:marLeft w:val="640"/>
      <w:marRight w:val="0"/>
      <w:marTop w:val="0"/>
      <w:marBottom w:val="0"/>
      <w:divBdr>
        <w:top w:val="none" w:sz="0" w:space="0" w:color="auto"/>
        <w:left w:val="none" w:sz="0" w:space="0" w:color="auto"/>
        <w:bottom w:val="none" w:sz="0" w:space="0" w:color="auto"/>
        <w:right w:val="none" w:sz="0" w:space="0" w:color="auto"/>
      </w:divBdr>
    </w:div>
    <w:div w:id="1374232349">
      <w:marLeft w:val="640"/>
      <w:marRight w:val="0"/>
      <w:marTop w:val="0"/>
      <w:marBottom w:val="0"/>
      <w:divBdr>
        <w:top w:val="none" w:sz="0" w:space="0" w:color="auto"/>
        <w:left w:val="none" w:sz="0" w:space="0" w:color="auto"/>
        <w:bottom w:val="none" w:sz="0" w:space="0" w:color="auto"/>
        <w:right w:val="none" w:sz="0" w:space="0" w:color="auto"/>
      </w:divBdr>
    </w:div>
    <w:div w:id="1375615523">
      <w:marLeft w:val="640"/>
      <w:marRight w:val="0"/>
      <w:marTop w:val="0"/>
      <w:marBottom w:val="0"/>
      <w:divBdr>
        <w:top w:val="none" w:sz="0" w:space="0" w:color="auto"/>
        <w:left w:val="none" w:sz="0" w:space="0" w:color="auto"/>
        <w:bottom w:val="none" w:sz="0" w:space="0" w:color="auto"/>
        <w:right w:val="none" w:sz="0" w:space="0" w:color="auto"/>
      </w:divBdr>
    </w:div>
    <w:div w:id="1375735026">
      <w:marLeft w:val="640"/>
      <w:marRight w:val="0"/>
      <w:marTop w:val="0"/>
      <w:marBottom w:val="0"/>
      <w:divBdr>
        <w:top w:val="none" w:sz="0" w:space="0" w:color="auto"/>
        <w:left w:val="none" w:sz="0" w:space="0" w:color="auto"/>
        <w:bottom w:val="none" w:sz="0" w:space="0" w:color="auto"/>
        <w:right w:val="none" w:sz="0" w:space="0" w:color="auto"/>
      </w:divBdr>
    </w:div>
    <w:div w:id="1376781587">
      <w:marLeft w:val="640"/>
      <w:marRight w:val="0"/>
      <w:marTop w:val="0"/>
      <w:marBottom w:val="0"/>
      <w:divBdr>
        <w:top w:val="none" w:sz="0" w:space="0" w:color="auto"/>
        <w:left w:val="none" w:sz="0" w:space="0" w:color="auto"/>
        <w:bottom w:val="none" w:sz="0" w:space="0" w:color="auto"/>
        <w:right w:val="none" w:sz="0" w:space="0" w:color="auto"/>
      </w:divBdr>
    </w:div>
    <w:div w:id="1377197363">
      <w:marLeft w:val="640"/>
      <w:marRight w:val="0"/>
      <w:marTop w:val="0"/>
      <w:marBottom w:val="0"/>
      <w:divBdr>
        <w:top w:val="none" w:sz="0" w:space="0" w:color="auto"/>
        <w:left w:val="none" w:sz="0" w:space="0" w:color="auto"/>
        <w:bottom w:val="none" w:sz="0" w:space="0" w:color="auto"/>
        <w:right w:val="none" w:sz="0" w:space="0" w:color="auto"/>
      </w:divBdr>
    </w:div>
    <w:div w:id="1378507344">
      <w:marLeft w:val="640"/>
      <w:marRight w:val="0"/>
      <w:marTop w:val="0"/>
      <w:marBottom w:val="0"/>
      <w:divBdr>
        <w:top w:val="none" w:sz="0" w:space="0" w:color="auto"/>
        <w:left w:val="none" w:sz="0" w:space="0" w:color="auto"/>
        <w:bottom w:val="none" w:sz="0" w:space="0" w:color="auto"/>
        <w:right w:val="none" w:sz="0" w:space="0" w:color="auto"/>
      </w:divBdr>
    </w:div>
    <w:div w:id="1378582196">
      <w:marLeft w:val="640"/>
      <w:marRight w:val="0"/>
      <w:marTop w:val="0"/>
      <w:marBottom w:val="0"/>
      <w:divBdr>
        <w:top w:val="none" w:sz="0" w:space="0" w:color="auto"/>
        <w:left w:val="none" w:sz="0" w:space="0" w:color="auto"/>
        <w:bottom w:val="none" w:sz="0" w:space="0" w:color="auto"/>
        <w:right w:val="none" w:sz="0" w:space="0" w:color="auto"/>
      </w:divBdr>
    </w:div>
    <w:div w:id="1378704568">
      <w:marLeft w:val="640"/>
      <w:marRight w:val="0"/>
      <w:marTop w:val="0"/>
      <w:marBottom w:val="0"/>
      <w:divBdr>
        <w:top w:val="none" w:sz="0" w:space="0" w:color="auto"/>
        <w:left w:val="none" w:sz="0" w:space="0" w:color="auto"/>
        <w:bottom w:val="none" w:sz="0" w:space="0" w:color="auto"/>
        <w:right w:val="none" w:sz="0" w:space="0" w:color="auto"/>
      </w:divBdr>
    </w:div>
    <w:div w:id="1379554318">
      <w:marLeft w:val="640"/>
      <w:marRight w:val="0"/>
      <w:marTop w:val="0"/>
      <w:marBottom w:val="0"/>
      <w:divBdr>
        <w:top w:val="none" w:sz="0" w:space="0" w:color="auto"/>
        <w:left w:val="none" w:sz="0" w:space="0" w:color="auto"/>
        <w:bottom w:val="none" w:sz="0" w:space="0" w:color="auto"/>
        <w:right w:val="none" w:sz="0" w:space="0" w:color="auto"/>
      </w:divBdr>
    </w:div>
    <w:div w:id="1380280993">
      <w:marLeft w:val="640"/>
      <w:marRight w:val="0"/>
      <w:marTop w:val="0"/>
      <w:marBottom w:val="0"/>
      <w:divBdr>
        <w:top w:val="none" w:sz="0" w:space="0" w:color="auto"/>
        <w:left w:val="none" w:sz="0" w:space="0" w:color="auto"/>
        <w:bottom w:val="none" w:sz="0" w:space="0" w:color="auto"/>
        <w:right w:val="none" w:sz="0" w:space="0" w:color="auto"/>
      </w:divBdr>
    </w:div>
    <w:div w:id="1382172722">
      <w:marLeft w:val="640"/>
      <w:marRight w:val="0"/>
      <w:marTop w:val="0"/>
      <w:marBottom w:val="0"/>
      <w:divBdr>
        <w:top w:val="none" w:sz="0" w:space="0" w:color="auto"/>
        <w:left w:val="none" w:sz="0" w:space="0" w:color="auto"/>
        <w:bottom w:val="none" w:sz="0" w:space="0" w:color="auto"/>
        <w:right w:val="none" w:sz="0" w:space="0" w:color="auto"/>
      </w:divBdr>
    </w:div>
    <w:div w:id="1382829630">
      <w:marLeft w:val="640"/>
      <w:marRight w:val="0"/>
      <w:marTop w:val="0"/>
      <w:marBottom w:val="0"/>
      <w:divBdr>
        <w:top w:val="none" w:sz="0" w:space="0" w:color="auto"/>
        <w:left w:val="none" w:sz="0" w:space="0" w:color="auto"/>
        <w:bottom w:val="none" w:sz="0" w:space="0" w:color="auto"/>
        <w:right w:val="none" w:sz="0" w:space="0" w:color="auto"/>
      </w:divBdr>
    </w:div>
    <w:div w:id="1383098349">
      <w:marLeft w:val="640"/>
      <w:marRight w:val="0"/>
      <w:marTop w:val="0"/>
      <w:marBottom w:val="0"/>
      <w:divBdr>
        <w:top w:val="none" w:sz="0" w:space="0" w:color="auto"/>
        <w:left w:val="none" w:sz="0" w:space="0" w:color="auto"/>
        <w:bottom w:val="none" w:sz="0" w:space="0" w:color="auto"/>
        <w:right w:val="none" w:sz="0" w:space="0" w:color="auto"/>
      </w:divBdr>
    </w:div>
    <w:div w:id="1383166112">
      <w:marLeft w:val="640"/>
      <w:marRight w:val="0"/>
      <w:marTop w:val="0"/>
      <w:marBottom w:val="0"/>
      <w:divBdr>
        <w:top w:val="none" w:sz="0" w:space="0" w:color="auto"/>
        <w:left w:val="none" w:sz="0" w:space="0" w:color="auto"/>
        <w:bottom w:val="none" w:sz="0" w:space="0" w:color="auto"/>
        <w:right w:val="none" w:sz="0" w:space="0" w:color="auto"/>
      </w:divBdr>
    </w:div>
    <w:div w:id="1383209014">
      <w:marLeft w:val="640"/>
      <w:marRight w:val="0"/>
      <w:marTop w:val="0"/>
      <w:marBottom w:val="0"/>
      <w:divBdr>
        <w:top w:val="none" w:sz="0" w:space="0" w:color="auto"/>
        <w:left w:val="none" w:sz="0" w:space="0" w:color="auto"/>
        <w:bottom w:val="none" w:sz="0" w:space="0" w:color="auto"/>
        <w:right w:val="none" w:sz="0" w:space="0" w:color="auto"/>
      </w:divBdr>
    </w:div>
    <w:div w:id="1383628462">
      <w:marLeft w:val="640"/>
      <w:marRight w:val="0"/>
      <w:marTop w:val="0"/>
      <w:marBottom w:val="0"/>
      <w:divBdr>
        <w:top w:val="none" w:sz="0" w:space="0" w:color="auto"/>
        <w:left w:val="none" w:sz="0" w:space="0" w:color="auto"/>
        <w:bottom w:val="none" w:sz="0" w:space="0" w:color="auto"/>
        <w:right w:val="none" w:sz="0" w:space="0" w:color="auto"/>
      </w:divBdr>
    </w:div>
    <w:div w:id="1384913732">
      <w:marLeft w:val="640"/>
      <w:marRight w:val="0"/>
      <w:marTop w:val="0"/>
      <w:marBottom w:val="0"/>
      <w:divBdr>
        <w:top w:val="none" w:sz="0" w:space="0" w:color="auto"/>
        <w:left w:val="none" w:sz="0" w:space="0" w:color="auto"/>
        <w:bottom w:val="none" w:sz="0" w:space="0" w:color="auto"/>
        <w:right w:val="none" w:sz="0" w:space="0" w:color="auto"/>
      </w:divBdr>
    </w:div>
    <w:div w:id="1385983291">
      <w:marLeft w:val="640"/>
      <w:marRight w:val="0"/>
      <w:marTop w:val="0"/>
      <w:marBottom w:val="0"/>
      <w:divBdr>
        <w:top w:val="none" w:sz="0" w:space="0" w:color="auto"/>
        <w:left w:val="none" w:sz="0" w:space="0" w:color="auto"/>
        <w:bottom w:val="none" w:sz="0" w:space="0" w:color="auto"/>
        <w:right w:val="none" w:sz="0" w:space="0" w:color="auto"/>
      </w:divBdr>
    </w:div>
    <w:div w:id="1387072983">
      <w:marLeft w:val="640"/>
      <w:marRight w:val="0"/>
      <w:marTop w:val="0"/>
      <w:marBottom w:val="0"/>
      <w:divBdr>
        <w:top w:val="none" w:sz="0" w:space="0" w:color="auto"/>
        <w:left w:val="none" w:sz="0" w:space="0" w:color="auto"/>
        <w:bottom w:val="none" w:sz="0" w:space="0" w:color="auto"/>
        <w:right w:val="none" w:sz="0" w:space="0" w:color="auto"/>
      </w:divBdr>
    </w:div>
    <w:div w:id="1388185224">
      <w:marLeft w:val="640"/>
      <w:marRight w:val="0"/>
      <w:marTop w:val="0"/>
      <w:marBottom w:val="0"/>
      <w:divBdr>
        <w:top w:val="none" w:sz="0" w:space="0" w:color="auto"/>
        <w:left w:val="none" w:sz="0" w:space="0" w:color="auto"/>
        <w:bottom w:val="none" w:sz="0" w:space="0" w:color="auto"/>
        <w:right w:val="none" w:sz="0" w:space="0" w:color="auto"/>
      </w:divBdr>
    </w:div>
    <w:div w:id="1388186413">
      <w:marLeft w:val="640"/>
      <w:marRight w:val="0"/>
      <w:marTop w:val="0"/>
      <w:marBottom w:val="0"/>
      <w:divBdr>
        <w:top w:val="none" w:sz="0" w:space="0" w:color="auto"/>
        <w:left w:val="none" w:sz="0" w:space="0" w:color="auto"/>
        <w:bottom w:val="none" w:sz="0" w:space="0" w:color="auto"/>
        <w:right w:val="none" w:sz="0" w:space="0" w:color="auto"/>
      </w:divBdr>
    </w:div>
    <w:div w:id="1388719862">
      <w:marLeft w:val="640"/>
      <w:marRight w:val="0"/>
      <w:marTop w:val="0"/>
      <w:marBottom w:val="0"/>
      <w:divBdr>
        <w:top w:val="none" w:sz="0" w:space="0" w:color="auto"/>
        <w:left w:val="none" w:sz="0" w:space="0" w:color="auto"/>
        <w:bottom w:val="none" w:sz="0" w:space="0" w:color="auto"/>
        <w:right w:val="none" w:sz="0" w:space="0" w:color="auto"/>
      </w:divBdr>
    </w:div>
    <w:div w:id="1389375140">
      <w:marLeft w:val="640"/>
      <w:marRight w:val="0"/>
      <w:marTop w:val="0"/>
      <w:marBottom w:val="0"/>
      <w:divBdr>
        <w:top w:val="none" w:sz="0" w:space="0" w:color="auto"/>
        <w:left w:val="none" w:sz="0" w:space="0" w:color="auto"/>
        <w:bottom w:val="none" w:sz="0" w:space="0" w:color="auto"/>
        <w:right w:val="none" w:sz="0" w:space="0" w:color="auto"/>
      </w:divBdr>
    </w:div>
    <w:div w:id="1390154720">
      <w:marLeft w:val="640"/>
      <w:marRight w:val="0"/>
      <w:marTop w:val="0"/>
      <w:marBottom w:val="0"/>
      <w:divBdr>
        <w:top w:val="none" w:sz="0" w:space="0" w:color="auto"/>
        <w:left w:val="none" w:sz="0" w:space="0" w:color="auto"/>
        <w:bottom w:val="none" w:sz="0" w:space="0" w:color="auto"/>
        <w:right w:val="none" w:sz="0" w:space="0" w:color="auto"/>
      </w:divBdr>
    </w:div>
    <w:div w:id="1390305331">
      <w:marLeft w:val="640"/>
      <w:marRight w:val="0"/>
      <w:marTop w:val="0"/>
      <w:marBottom w:val="0"/>
      <w:divBdr>
        <w:top w:val="none" w:sz="0" w:space="0" w:color="auto"/>
        <w:left w:val="none" w:sz="0" w:space="0" w:color="auto"/>
        <w:bottom w:val="none" w:sz="0" w:space="0" w:color="auto"/>
        <w:right w:val="none" w:sz="0" w:space="0" w:color="auto"/>
      </w:divBdr>
    </w:div>
    <w:div w:id="1390378000">
      <w:marLeft w:val="640"/>
      <w:marRight w:val="0"/>
      <w:marTop w:val="0"/>
      <w:marBottom w:val="0"/>
      <w:divBdr>
        <w:top w:val="none" w:sz="0" w:space="0" w:color="auto"/>
        <w:left w:val="none" w:sz="0" w:space="0" w:color="auto"/>
        <w:bottom w:val="none" w:sz="0" w:space="0" w:color="auto"/>
        <w:right w:val="none" w:sz="0" w:space="0" w:color="auto"/>
      </w:divBdr>
    </w:div>
    <w:div w:id="1390883648">
      <w:marLeft w:val="640"/>
      <w:marRight w:val="0"/>
      <w:marTop w:val="0"/>
      <w:marBottom w:val="0"/>
      <w:divBdr>
        <w:top w:val="none" w:sz="0" w:space="0" w:color="auto"/>
        <w:left w:val="none" w:sz="0" w:space="0" w:color="auto"/>
        <w:bottom w:val="none" w:sz="0" w:space="0" w:color="auto"/>
        <w:right w:val="none" w:sz="0" w:space="0" w:color="auto"/>
      </w:divBdr>
    </w:div>
    <w:div w:id="1392004144">
      <w:marLeft w:val="640"/>
      <w:marRight w:val="0"/>
      <w:marTop w:val="0"/>
      <w:marBottom w:val="0"/>
      <w:divBdr>
        <w:top w:val="none" w:sz="0" w:space="0" w:color="auto"/>
        <w:left w:val="none" w:sz="0" w:space="0" w:color="auto"/>
        <w:bottom w:val="none" w:sz="0" w:space="0" w:color="auto"/>
        <w:right w:val="none" w:sz="0" w:space="0" w:color="auto"/>
      </w:divBdr>
    </w:div>
    <w:div w:id="1393697483">
      <w:marLeft w:val="640"/>
      <w:marRight w:val="0"/>
      <w:marTop w:val="0"/>
      <w:marBottom w:val="0"/>
      <w:divBdr>
        <w:top w:val="none" w:sz="0" w:space="0" w:color="auto"/>
        <w:left w:val="none" w:sz="0" w:space="0" w:color="auto"/>
        <w:bottom w:val="none" w:sz="0" w:space="0" w:color="auto"/>
        <w:right w:val="none" w:sz="0" w:space="0" w:color="auto"/>
      </w:divBdr>
    </w:div>
    <w:div w:id="1394503790">
      <w:marLeft w:val="640"/>
      <w:marRight w:val="0"/>
      <w:marTop w:val="0"/>
      <w:marBottom w:val="0"/>
      <w:divBdr>
        <w:top w:val="none" w:sz="0" w:space="0" w:color="auto"/>
        <w:left w:val="none" w:sz="0" w:space="0" w:color="auto"/>
        <w:bottom w:val="none" w:sz="0" w:space="0" w:color="auto"/>
        <w:right w:val="none" w:sz="0" w:space="0" w:color="auto"/>
      </w:divBdr>
    </w:div>
    <w:div w:id="1395395413">
      <w:marLeft w:val="640"/>
      <w:marRight w:val="0"/>
      <w:marTop w:val="0"/>
      <w:marBottom w:val="0"/>
      <w:divBdr>
        <w:top w:val="none" w:sz="0" w:space="0" w:color="auto"/>
        <w:left w:val="none" w:sz="0" w:space="0" w:color="auto"/>
        <w:bottom w:val="none" w:sz="0" w:space="0" w:color="auto"/>
        <w:right w:val="none" w:sz="0" w:space="0" w:color="auto"/>
      </w:divBdr>
    </w:div>
    <w:div w:id="1395423852">
      <w:marLeft w:val="640"/>
      <w:marRight w:val="0"/>
      <w:marTop w:val="0"/>
      <w:marBottom w:val="0"/>
      <w:divBdr>
        <w:top w:val="none" w:sz="0" w:space="0" w:color="auto"/>
        <w:left w:val="none" w:sz="0" w:space="0" w:color="auto"/>
        <w:bottom w:val="none" w:sz="0" w:space="0" w:color="auto"/>
        <w:right w:val="none" w:sz="0" w:space="0" w:color="auto"/>
      </w:divBdr>
    </w:div>
    <w:div w:id="1396506920">
      <w:marLeft w:val="640"/>
      <w:marRight w:val="0"/>
      <w:marTop w:val="0"/>
      <w:marBottom w:val="0"/>
      <w:divBdr>
        <w:top w:val="none" w:sz="0" w:space="0" w:color="auto"/>
        <w:left w:val="none" w:sz="0" w:space="0" w:color="auto"/>
        <w:bottom w:val="none" w:sz="0" w:space="0" w:color="auto"/>
        <w:right w:val="none" w:sz="0" w:space="0" w:color="auto"/>
      </w:divBdr>
    </w:div>
    <w:div w:id="1396925830">
      <w:marLeft w:val="640"/>
      <w:marRight w:val="0"/>
      <w:marTop w:val="0"/>
      <w:marBottom w:val="0"/>
      <w:divBdr>
        <w:top w:val="none" w:sz="0" w:space="0" w:color="auto"/>
        <w:left w:val="none" w:sz="0" w:space="0" w:color="auto"/>
        <w:bottom w:val="none" w:sz="0" w:space="0" w:color="auto"/>
        <w:right w:val="none" w:sz="0" w:space="0" w:color="auto"/>
      </w:divBdr>
    </w:div>
    <w:div w:id="1397164733">
      <w:marLeft w:val="640"/>
      <w:marRight w:val="0"/>
      <w:marTop w:val="0"/>
      <w:marBottom w:val="0"/>
      <w:divBdr>
        <w:top w:val="none" w:sz="0" w:space="0" w:color="auto"/>
        <w:left w:val="none" w:sz="0" w:space="0" w:color="auto"/>
        <w:bottom w:val="none" w:sz="0" w:space="0" w:color="auto"/>
        <w:right w:val="none" w:sz="0" w:space="0" w:color="auto"/>
      </w:divBdr>
    </w:div>
    <w:div w:id="1398092376">
      <w:marLeft w:val="640"/>
      <w:marRight w:val="0"/>
      <w:marTop w:val="0"/>
      <w:marBottom w:val="0"/>
      <w:divBdr>
        <w:top w:val="none" w:sz="0" w:space="0" w:color="auto"/>
        <w:left w:val="none" w:sz="0" w:space="0" w:color="auto"/>
        <w:bottom w:val="none" w:sz="0" w:space="0" w:color="auto"/>
        <w:right w:val="none" w:sz="0" w:space="0" w:color="auto"/>
      </w:divBdr>
    </w:div>
    <w:div w:id="1398161748">
      <w:marLeft w:val="640"/>
      <w:marRight w:val="0"/>
      <w:marTop w:val="0"/>
      <w:marBottom w:val="0"/>
      <w:divBdr>
        <w:top w:val="none" w:sz="0" w:space="0" w:color="auto"/>
        <w:left w:val="none" w:sz="0" w:space="0" w:color="auto"/>
        <w:bottom w:val="none" w:sz="0" w:space="0" w:color="auto"/>
        <w:right w:val="none" w:sz="0" w:space="0" w:color="auto"/>
      </w:divBdr>
    </w:div>
    <w:div w:id="1399134135">
      <w:marLeft w:val="640"/>
      <w:marRight w:val="0"/>
      <w:marTop w:val="0"/>
      <w:marBottom w:val="0"/>
      <w:divBdr>
        <w:top w:val="none" w:sz="0" w:space="0" w:color="auto"/>
        <w:left w:val="none" w:sz="0" w:space="0" w:color="auto"/>
        <w:bottom w:val="none" w:sz="0" w:space="0" w:color="auto"/>
        <w:right w:val="none" w:sz="0" w:space="0" w:color="auto"/>
      </w:divBdr>
    </w:div>
    <w:div w:id="1399280388">
      <w:marLeft w:val="640"/>
      <w:marRight w:val="0"/>
      <w:marTop w:val="0"/>
      <w:marBottom w:val="0"/>
      <w:divBdr>
        <w:top w:val="none" w:sz="0" w:space="0" w:color="auto"/>
        <w:left w:val="none" w:sz="0" w:space="0" w:color="auto"/>
        <w:bottom w:val="none" w:sz="0" w:space="0" w:color="auto"/>
        <w:right w:val="none" w:sz="0" w:space="0" w:color="auto"/>
      </w:divBdr>
    </w:div>
    <w:div w:id="1399354354">
      <w:marLeft w:val="640"/>
      <w:marRight w:val="0"/>
      <w:marTop w:val="0"/>
      <w:marBottom w:val="0"/>
      <w:divBdr>
        <w:top w:val="none" w:sz="0" w:space="0" w:color="auto"/>
        <w:left w:val="none" w:sz="0" w:space="0" w:color="auto"/>
        <w:bottom w:val="none" w:sz="0" w:space="0" w:color="auto"/>
        <w:right w:val="none" w:sz="0" w:space="0" w:color="auto"/>
      </w:divBdr>
    </w:div>
    <w:div w:id="1399665115">
      <w:marLeft w:val="640"/>
      <w:marRight w:val="0"/>
      <w:marTop w:val="0"/>
      <w:marBottom w:val="0"/>
      <w:divBdr>
        <w:top w:val="none" w:sz="0" w:space="0" w:color="auto"/>
        <w:left w:val="none" w:sz="0" w:space="0" w:color="auto"/>
        <w:bottom w:val="none" w:sz="0" w:space="0" w:color="auto"/>
        <w:right w:val="none" w:sz="0" w:space="0" w:color="auto"/>
      </w:divBdr>
    </w:div>
    <w:div w:id="1399942629">
      <w:marLeft w:val="640"/>
      <w:marRight w:val="0"/>
      <w:marTop w:val="0"/>
      <w:marBottom w:val="0"/>
      <w:divBdr>
        <w:top w:val="none" w:sz="0" w:space="0" w:color="auto"/>
        <w:left w:val="none" w:sz="0" w:space="0" w:color="auto"/>
        <w:bottom w:val="none" w:sz="0" w:space="0" w:color="auto"/>
        <w:right w:val="none" w:sz="0" w:space="0" w:color="auto"/>
      </w:divBdr>
    </w:div>
    <w:div w:id="1400787005">
      <w:marLeft w:val="640"/>
      <w:marRight w:val="0"/>
      <w:marTop w:val="0"/>
      <w:marBottom w:val="0"/>
      <w:divBdr>
        <w:top w:val="none" w:sz="0" w:space="0" w:color="auto"/>
        <w:left w:val="none" w:sz="0" w:space="0" w:color="auto"/>
        <w:bottom w:val="none" w:sz="0" w:space="0" w:color="auto"/>
        <w:right w:val="none" w:sz="0" w:space="0" w:color="auto"/>
      </w:divBdr>
    </w:div>
    <w:div w:id="1401441397">
      <w:marLeft w:val="640"/>
      <w:marRight w:val="0"/>
      <w:marTop w:val="0"/>
      <w:marBottom w:val="0"/>
      <w:divBdr>
        <w:top w:val="none" w:sz="0" w:space="0" w:color="auto"/>
        <w:left w:val="none" w:sz="0" w:space="0" w:color="auto"/>
        <w:bottom w:val="none" w:sz="0" w:space="0" w:color="auto"/>
        <w:right w:val="none" w:sz="0" w:space="0" w:color="auto"/>
      </w:divBdr>
    </w:div>
    <w:div w:id="1402219097">
      <w:marLeft w:val="640"/>
      <w:marRight w:val="0"/>
      <w:marTop w:val="0"/>
      <w:marBottom w:val="0"/>
      <w:divBdr>
        <w:top w:val="none" w:sz="0" w:space="0" w:color="auto"/>
        <w:left w:val="none" w:sz="0" w:space="0" w:color="auto"/>
        <w:bottom w:val="none" w:sz="0" w:space="0" w:color="auto"/>
        <w:right w:val="none" w:sz="0" w:space="0" w:color="auto"/>
      </w:divBdr>
    </w:div>
    <w:div w:id="1404523481">
      <w:marLeft w:val="640"/>
      <w:marRight w:val="0"/>
      <w:marTop w:val="0"/>
      <w:marBottom w:val="0"/>
      <w:divBdr>
        <w:top w:val="none" w:sz="0" w:space="0" w:color="auto"/>
        <w:left w:val="none" w:sz="0" w:space="0" w:color="auto"/>
        <w:bottom w:val="none" w:sz="0" w:space="0" w:color="auto"/>
        <w:right w:val="none" w:sz="0" w:space="0" w:color="auto"/>
      </w:divBdr>
    </w:div>
    <w:div w:id="1404765898">
      <w:marLeft w:val="640"/>
      <w:marRight w:val="0"/>
      <w:marTop w:val="0"/>
      <w:marBottom w:val="0"/>
      <w:divBdr>
        <w:top w:val="none" w:sz="0" w:space="0" w:color="auto"/>
        <w:left w:val="none" w:sz="0" w:space="0" w:color="auto"/>
        <w:bottom w:val="none" w:sz="0" w:space="0" w:color="auto"/>
        <w:right w:val="none" w:sz="0" w:space="0" w:color="auto"/>
      </w:divBdr>
    </w:div>
    <w:div w:id="1406103764">
      <w:marLeft w:val="640"/>
      <w:marRight w:val="0"/>
      <w:marTop w:val="0"/>
      <w:marBottom w:val="0"/>
      <w:divBdr>
        <w:top w:val="none" w:sz="0" w:space="0" w:color="auto"/>
        <w:left w:val="none" w:sz="0" w:space="0" w:color="auto"/>
        <w:bottom w:val="none" w:sz="0" w:space="0" w:color="auto"/>
        <w:right w:val="none" w:sz="0" w:space="0" w:color="auto"/>
      </w:divBdr>
    </w:div>
    <w:div w:id="1406609373">
      <w:marLeft w:val="640"/>
      <w:marRight w:val="0"/>
      <w:marTop w:val="0"/>
      <w:marBottom w:val="0"/>
      <w:divBdr>
        <w:top w:val="none" w:sz="0" w:space="0" w:color="auto"/>
        <w:left w:val="none" w:sz="0" w:space="0" w:color="auto"/>
        <w:bottom w:val="none" w:sz="0" w:space="0" w:color="auto"/>
        <w:right w:val="none" w:sz="0" w:space="0" w:color="auto"/>
      </w:divBdr>
    </w:div>
    <w:div w:id="1406760970">
      <w:marLeft w:val="640"/>
      <w:marRight w:val="0"/>
      <w:marTop w:val="0"/>
      <w:marBottom w:val="0"/>
      <w:divBdr>
        <w:top w:val="none" w:sz="0" w:space="0" w:color="auto"/>
        <w:left w:val="none" w:sz="0" w:space="0" w:color="auto"/>
        <w:bottom w:val="none" w:sz="0" w:space="0" w:color="auto"/>
        <w:right w:val="none" w:sz="0" w:space="0" w:color="auto"/>
      </w:divBdr>
    </w:div>
    <w:div w:id="1407413949">
      <w:marLeft w:val="640"/>
      <w:marRight w:val="0"/>
      <w:marTop w:val="0"/>
      <w:marBottom w:val="0"/>
      <w:divBdr>
        <w:top w:val="none" w:sz="0" w:space="0" w:color="auto"/>
        <w:left w:val="none" w:sz="0" w:space="0" w:color="auto"/>
        <w:bottom w:val="none" w:sz="0" w:space="0" w:color="auto"/>
        <w:right w:val="none" w:sz="0" w:space="0" w:color="auto"/>
      </w:divBdr>
    </w:div>
    <w:div w:id="1407721687">
      <w:marLeft w:val="640"/>
      <w:marRight w:val="0"/>
      <w:marTop w:val="0"/>
      <w:marBottom w:val="0"/>
      <w:divBdr>
        <w:top w:val="none" w:sz="0" w:space="0" w:color="auto"/>
        <w:left w:val="none" w:sz="0" w:space="0" w:color="auto"/>
        <w:bottom w:val="none" w:sz="0" w:space="0" w:color="auto"/>
        <w:right w:val="none" w:sz="0" w:space="0" w:color="auto"/>
      </w:divBdr>
    </w:div>
    <w:div w:id="1409037088">
      <w:marLeft w:val="640"/>
      <w:marRight w:val="0"/>
      <w:marTop w:val="0"/>
      <w:marBottom w:val="0"/>
      <w:divBdr>
        <w:top w:val="none" w:sz="0" w:space="0" w:color="auto"/>
        <w:left w:val="none" w:sz="0" w:space="0" w:color="auto"/>
        <w:bottom w:val="none" w:sz="0" w:space="0" w:color="auto"/>
        <w:right w:val="none" w:sz="0" w:space="0" w:color="auto"/>
      </w:divBdr>
    </w:div>
    <w:div w:id="1410344789">
      <w:marLeft w:val="640"/>
      <w:marRight w:val="0"/>
      <w:marTop w:val="0"/>
      <w:marBottom w:val="0"/>
      <w:divBdr>
        <w:top w:val="none" w:sz="0" w:space="0" w:color="auto"/>
        <w:left w:val="none" w:sz="0" w:space="0" w:color="auto"/>
        <w:bottom w:val="none" w:sz="0" w:space="0" w:color="auto"/>
        <w:right w:val="none" w:sz="0" w:space="0" w:color="auto"/>
      </w:divBdr>
    </w:div>
    <w:div w:id="1412120729">
      <w:marLeft w:val="640"/>
      <w:marRight w:val="0"/>
      <w:marTop w:val="0"/>
      <w:marBottom w:val="0"/>
      <w:divBdr>
        <w:top w:val="none" w:sz="0" w:space="0" w:color="auto"/>
        <w:left w:val="none" w:sz="0" w:space="0" w:color="auto"/>
        <w:bottom w:val="none" w:sz="0" w:space="0" w:color="auto"/>
        <w:right w:val="none" w:sz="0" w:space="0" w:color="auto"/>
      </w:divBdr>
    </w:div>
    <w:div w:id="1413160829">
      <w:marLeft w:val="640"/>
      <w:marRight w:val="0"/>
      <w:marTop w:val="0"/>
      <w:marBottom w:val="0"/>
      <w:divBdr>
        <w:top w:val="none" w:sz="0" w:space="0" w:color="auto"/>
        <w:left w:val="none" w:sz="0" w:space="0" w:color="auto"/>
        <w:bottom w:val="none" w:sz="0" w:space="0" w:color="auto"/>
        <w:right w:val="none" w:sz="0" w:space="0" w:color="auto"/>
      </w:divBdr>
    </w:div>
    <w:div w:id="1413352843">
      <w:marLeft w:val="640"/>
      <w:marRight w:val="0"/>
      <w:marTop w:val="0"/>
      <w:marBottom w:val="0"/>
      <w:divBdr>
        <w:top w:val="none" w:sz="0" w:space="0" w:color="auto"/>
        <w:left w:val="none" w:sz="0" w:space="0" w:color="auto"/>
        <w:bottom w:val="none" w:sz="0" w:space="0" w:color="auto"/>
        <w:right w:val="none" w:sz="0" w:space="0" w:color="auto"/>
      </w:divBdr>
    </w:div>
    <w:div w:id="1413966629">
      <w:marLeft w:val="640"/>
      <w:marRight w:val="0"/>
      <w:marTop w:val="0"/>
      <w:marBottom w:val="0"/>
      <w:divBdr>
        <w:top w:val="none" w:sz="0" w:space="0" w:color="auto"/>
        <w:left w:val="none" w:sz="0" w:space="0" w:color="auto"/>
        <w:bottom w:val="none" w:sz="0" w:space="0" w:color="auto"/>
        <w:right w:val="none" w:sz="0" w:space="0" w:color="auto"/>
      </w:divBdr>
    </w:div>
    <w:div w:id="1414738158">
      <w:marLeft w:val="640"/>
      <w:marRight w:val="0"/>
      <w:marTop w:val="0"/>
      <w:marBottom w:val="0"/>
      <w:divBdr>
        <w:top w:val="none" w:sz="0" w:space="0" w:color="auto"/>
        <w:left w:val="none" w:sz="0" w:space="0" w:color="auto"/>
        <w:bottom w:val="none" w:sz="0" w:space="0" w:color="auto"/>
        <w:right w:val="none" w:sz="0" w:space="0" w:color="auto"/>
      </w:divBdr>
    </w:div>
    <w:div w:id="1415204506">
      <w:marLeft w:val="640"/>
      <w:marRight w:val="0"/>
      <w:marTop w:val="0"/>
      <w:marBottom w:val="0"/>
      <w:divBdr>
        <w:top w:val="none" w:sz="0" w:space="0" w:color="auto"/>
        <w:left w:val="none" w:sz="0" w:space="0" w:color="auto"/>
        <w:bottom w:val="none" w:sz="0" w:space="0" w:color="auto"/>
        <w:right w:val="none" w:sz="0" w:space="0" w:color="auto"/>
      </w:divBdr>
    </w:div>
    <w:div w:id="1416125468">
      <w:marLeft w:val="640"/>
      <w:marRight w:val="0"/>
      <w:marTop w:val="0"/>
      <w:marBottom w:val="0"/>
      <w:divBdr>
        <w:top w:val="none" w:sz="0" w:space="0" w:color="auto"/>
        <w:left w:val="none" w:sz="0" w:space="0" w:color="auto"/>
        <w:bottom w:val="none" w:sz="0" w:space="0" w:color="auto"/>
        <w:right w:val="none" w:sz="0" w:space="0" w:color="auto"/>
      </w:divBdr>
    </w:div>
    <w:div w:id="1417241794">
      <w:marLeft w:val="640"/>
      <w:marRight w:val="0"/>
      <w:marTop w:val="0"/>
      <w:marBottom w:val="0"/>
      <w:divBdr>
        <w:top w:val="none" w:sz="0" w:space="0" w:color="auto"/>
        <w:left w:val="none" w:sz="0" w:space="0" w:color="auto"/>
        <w:bottom w:val="none" w:sz="0" w:space="0" w:color="auto"/>
        <w:right w:val="none" w:sz="0" w:space="0" w:color="auto"/>
      </w:divBdr>
    </w:div>
    <w:div w:id="1418599985">
      <w:marLeft w:val="640"/>
      <w:marRight w:val="0"/>
      <w:marTop w:val="0"/>
      <w:marBottom w:val="0"/>
      <w:divBdr>
        <w:top w:val="none" w:sz="0" w:space="0" w:color="auto"/>
        <w:left w:val="none" w:sz="0" w:space="0" w:color="auto"/>
        <w:bottom w:val="none" w:sz="0" w:space="0" w:color="auto"/>
        <w:right w:val="none" w:sz="0" w:space="0" w:color="auto"/>
      </w:divBdr>
    </w:div>
    <w:div w:id="1421297985">
      <w:marLeft w:val="640"/>
      <w:marRight w:val="0"/>
      <w:marTop w:val="0"/>
      <w:marBottom w:val="0"/>
      <w:divBdr>
        <w:top w:val="none" w:sz="0" w:space="0" w:color="auto"/>
        <w:left w:val="none" w:sz="0" w:space="0" w:color="auto"/>
        <w:bottom w:val="none" w:sz="0" w:space="0" w:color="auto"/>
        <w:right w:val="none" w:sz="0" w:space="0" w:color="auto"/>
      </w:divBdr>
    </w:div>
    <w:div w:id="1421559371">
      <w:marLeft w:val="640"/>
      <w:marRight w:val="0"/>
      <w:marTop w:val="0"/>
      <w:marBottom w:val="0"/>
      <w:divBdr>
        <w:top w:val="none" w:sz="0" w:space="0" w:color="auto"/>
        <w:left w:val="none" w:sz="0" w:space="0" w:color="auto"/>
        <w:bottom w:val="none" w:sz="0" w:space="0" w:color="auto"/>
        <w:right w:val="none" w:sz="0" w:space="0" w:color="auto"/>
      </w:divBdr>
    </w:div>
    <w:div w:id="1423380058">
      <w:marLeft w:val="640"/>
      <w:marRight w:val="0"/>
      <w:marTop w:val="0"/>
      <w:marBottom w:val="0"/>
      <w:divBdr>
        <w:top w:val="none" w:sz="0" w:space="0" w:color="auto"/>
        <w:left w:val="none" w:sz="0" w:space="0" w:color="auto"/>
        <w:bottom w:val="none" w:sz="0" w:space="0" w:color="auto"/>
        <w:right w:val="none" w:sz="0" w:space="0" w:color="auto"/>
      </w:divBdr>
    </w:div>
    <w:div w:id="1423648162">
      <w:marLeft w:val="640"/>
      <w:marRight w:val="0"/>
      <w:marTop w:val="0"/>
      <w:marBottom w:val="0"/>
      <w:divBdr>
        <w:top w:val="none" w:sz="0" w:space="0" w:color="auto"/>
        <w:left w:val="none" w:sz="0" w:space="0" w:color="auto"/>
        <w:bottom w:val="none" w:sz="0" w:space="0" w:color="auto"/>
        <w:right w:val="none" w:sz="0" w:space="0" w:color="auto"/>
      </w:divBdr>
    </w:div>
    <w:div w:id="1424105615">
      <w:marLeft w:val="640"/>
      <w:marRight w:val="0"/>
      <w:marTop w:val="0"/>
      <w:marBottom w:val="0"/>
      <w:divBdr>
        <w:top w:val="none" w:sz="0" w:space="0" w:color="auto"/>
        <w:left w:val="none" w:sz="0" w:space="0" w:color="auto"/>
        <w:bottom w:val="none" w:sz="0" w:space="0" w:color="auto"/>
        <w:right w:val="none" w:sz="0" w:space="0" w:color="auto"/>
      </w:divBdr>
    </w:div>
    <w:div w:id="1424691984">
      <w:marLeft w:val="640"/>
      <w:marRight w:val="0"/>
      <w:marTop w:val="0"/>
      <w:marBottom w:val="0"/>
      <w:divBdr>
        <w:top w:val="none" w:sz="0" w:space="0" w:color="auto"/>
        <w:left w:val="none" w:sz="0" w:space="0" w:color="auto"/>
        <w:bottom w:val="none" w:sz="0" w:space="0" w:color="auto"/>
        <w:right w:val="none" w:sz="0" w:space="0" w:color="auto"/>
      </w:divBdr>
    </w:div>
    <w:div w:id="1424955032">
      <w:marLeft w:val="640"/>
      <w:marRight w:val="0"/>
      <w:marTop w:val="0"/>
      <w:marBottom w:val="0"/>
      <w:divBdr>
        <w:top w:val="none" w:sz="0" w:space="0" w:color="auto"/>
        <w:left w:val="none" w:sz="0" w:space="0" w:color="auto"/>
        <w:bottom w:val="none" w:sz="0" w:space="0" w:color="auto"/>
        <w:right w:val="none" w:sz="0" w:space="0" w:color="auto"/>
      </w:divBdr>
    </w:div>
    <w:div w:id="1425497541">
      <w:marLeft w:val="640"/>
      <w:marRight w:val="0"/>
      <w:marTop w:val="0"/>
      <w:marBottom w:val="0"/>
      <w:divBdr>
        <w:top w:val="none" w:sz="0" w:space="0" w:color="auto"/>
        <w:left w:val="none" w:sz="0" w:space="0" w:color="auto"/>
        <w:bottom w:val="none" w:sz="0" w:space="0" w:color="auto"/>
        <w:right w:val="none" w:sz="0" w:space="0" w:color="auto"/>
      </w:divBdr>
    </w:div>
    <w:div w:id="1425613504">
      <w:marLeft w:val="640"/>
      <w:marRight w:val="0"/>
      <w:marTop w:val="0"/>
      <w:marBottom w:val="0"/>
      <w:divBdr>
        <w:top w:val="none" w:sz="0" w:space="0" w:color="auto"/>
        <w:left w:val="none" w:sz="0" w:space="0" w:color="auto"/>
        <w:bottom w:val="none" w:sz="0" w:space="0" w:color="auto"/>
        <w:right w:val="none" w:sz="0" w:space="0" w:color="auto"/>
      </w:divBdr>
    </w:div>
    <w:div w:id="1426417276">
      <w:marLeft w:val="640"/>
      <w:marRight w:val="0"/>
      <w:marTop w:val="0"/>
      <w:marBottom w:val="0"/>
      <w:divBdr>
        <w:top w:val="none" w:sz="0" w:space="0" w:color="auto"/>
        <w:left w:val="none" w:sz="0" w:space="0" w:color="auto"/>
        <w:bottom w:val="none" w:sz="0" w:space="0" w:color="auto"/>
        <w:right w:val="none" w:sz="0" w:space="0" w:color="auto"/>
      </w:divBdr>
    </w:div>
    <w:div w:id="1426920735">
      <w:marLeft w:val="640"/>
      <w:marRight w:val="0"/>
      <w:marTop w:val="0"/>
      <w:marBottom w:val="0"/>
      <w:divBdr>
        <w:top w:val="none" w:sz="0" w:space="0" w:color="auto"/>
        <w:left w:val="none" w:sz="0" w:space="0" w:color="auto"/>
        <w:bottom w:val="none" w:sz="0" w:space="0" w:color="auto"/>
        <w:right w:val="none" w:sz="0" w:space="0" w:color="auto"/>
      </w:divBdr>
    </w:div>
    <w:div w:id="1427966380">
      <w:marLeft w:val="640"/>
      <w:marRight w:val="0"/>
      <w:marTop w:val="0"/>
      <w:marBottom w:val="0"/>
      <w:divBdr>
        <w:top w:val="none" w:sz="0" w:space="0" w:color="auto"/>
        <w:left w:val="none" w:sz="0" w:space="0" w:color="auto"/>
        <w:bottom w:val="none" w:sz="0" w:space="0" w:color="auto"/>
        <w:right w:val="none" w:sz="0" w:space="0" w:color="auto"/>
      </w:divBdr>
    </w:div>
    <w:div w:id="1428037928">
      <w:marLeft w:val="640"/>
      <w:marRight w:val="0"/>
      <w:marTop w:val="0"/>
      <w:marBottom w:val="0"/>
      <w:divBdr>
        <w:top w:val="none" w:sz="0" w:space="0" w:color="auto"/>
        <w:left w:val="none" w:sz="0" w:space="0" w:color="auto"/>
        <w:bottom w:val="none" w:sz="0" w:space="0" w:color="auto"/>
        <w:right w:val="none" w:sz="0" w:space="0" w:color="auto"/>
      </w:divBdr>
    </w:div>
    <w:div w:id="1428038176">
      <w:marLeft w:val="640"/>
      <w:marRight w:val="0"/>
      <w:marTop w:val="0"/>
      <w:marBottom w:val="0"/>
      <w:divBdr>
        <w:top w:val="none" w:sz="0" w:space="0" w:color="auto"/>
        <w:left w:val="none" w:sz="0" w:space="0" w:color="auto"/>
        <w:bottom w:val="none" w:sz="0" w:space="0" w:color="auto"/>
        <w:right w:val="none" w:sz="0" w:space="0" w:color="auto"/>
      </w:divBdr>
    </w:div>
    <w:div w:id="1429423321">
      <w:marLeft w:val="640"/>
      <w:marRight w:val="0"/>
      <w:marTop w:val="0"/>
      <w:marBottom w:val="0"/>
      <w:divBdr>
        <w:top w:val="none" w:sz="0" w:space="0" w:color="auto"/>
        <w:left w:val="none" w:sz="0" w:space="0" w:color="auto"/>
        <w:bottom w:val="none" w:sz="0" w:space="0" w:color="auto"/>
        <w:right w:val="none" w:sz="0" w:space="0" w:color="auto"/>
      </w:divBdr>
    </w:div>
    <w:div w:id="1430080876">
      <w:marLeft w:val="640"/>
      <w:marRight w:val="0"/>
      <w:marTop w:val="0"/>
      <w:marBottom w:val="0"/>
      <w:divBdr>
        <w:top w:val="none" w:sz="0" w:space="0" w:color="auto"/>
        <w:left w:val="none" w:sz="0" w:space="0" w:color="auto"/>
        <w:bottom w:val="none" w:sz="0" w:space="0" w:color="auto"/>
        <w:right w:val="none" w:sz="0" w:space="0" w:color="auto"/>
      </w:divBdr>
    </w:div>
    <w:div w:id="1430156762">
      <w:marLeft w:val="640"/>
      <w:marRight w:val="0"/>
      <w:marTop w:val="0"/>
      <w:marBottom w:val="0"/>
      <w:divBdr>
        <w:top w:val="none" w:sz="0" w:space="0" w:color="auto"/>
        <w:left w:val="none" w:sz="0" w:space="0" w:color="auto"/>
        <w:bottom w:val="none" w:sz="0" w:space="0" w:color="auto"/>
        <w:right w:val="none" w:sz="0" w:space="0" w:color="auto"/>
      </w:divBdr>
    </w:div>
    <w:div w:id="1430736565">
      <w:marLeft w:val="640"/>
      <w:marRight w:val="0"/>
      <w:marTop w:val="0"/>
      <w:marBottom w:val="0"/>
      <w:divBdr>
        <w:top w:val="none" w:sz="0" w:space="0" w:color="auto"/>
        <w:left w:val="none" w:sz="0" w:space="0" w:color="auto"/>
        <w:bottom w:val="none" w:sz="0" w:space="0" w:color="auto"/>
        <w:right w:val="none" w:sz="0" w:space="0" w:color="auto"/>
      </w:divBdr>
    </w:div>
    <w:div w:id="1430739007">
      <w:marLeft w:val="640"/>
      <w:marRight w:val="0"/>
      <w:marTop w:val="0"/>
      <w:marBottom w:val="0"/>
      <w:divBdr>
        <w:top w:val="none" w:sz="0" w:space="0" w:color="auto"/>
        <w:left w:val="none" w:sz="0" w:space="0" w:color="auto"/>
        <w:bottom w:val="none" w:sz="0" w:space="0" w:color="auto"/>
        <w:right w:val="none" w:sz="0" w:space="0" w:color="auto"/>
      </w:divBdr>
    </w:div>
    <w:div w:id="1432164587">
      <w:marLeft w:val="640"/>
      <w:marRight w:val="0"/>
      <w:marTop w:val="0"/>
      <w:marBottom w:val="0"/>
      <w:divBdr>
        <w:top w:val="none" w:sz="0" w:space="0" w:color="auto"/>
        <w:left w:val="none" w:sz="0" w:space="0" w:color="auto"/>
        <w:bottom w:val="none" w:sz="0" w:space="0" w:color="auto"/>
        <w:right w:val="none" w:sz="0" w:space="0" w:color="auto"/>
      </w:divBdr>
    </w:div>
    <w:div w:id="1432436602">
      <w:marLeft w:val="640"/>
      <w:marRight w:val="0"/>
      <w:marTop w:val="0"/>
      <w:marBottom w:val="0"/>
      <w:divBdr>
        <w:top w:val="none" w:sz="0" w:space="0" w:color="auto"/>
        <w:left w:val="none" w:sz="0" w:space="0" w:color="auto"/>
        <w:bottom w:val="none" w:sz="0" w:space="0" w:color="auto"/>
        <w:right w:val="none" w:sz="0" w:space="0" w:color="auto"/>
      </w:divBdr>
    </w:div>
    <w:div w:id="1432699106">
      <w:marLeft w:val="640"/>
      <w:marRight w:val="0"/>
      <w:marTop w:val="0"/>
      <w:marBottom w:val="0"/>
      <w:divBdr>
        <w:top w:val="none" w:sz="0" w:space="0" w:color="auto"/>
        <w:left w:val="none" w:sz="0" w:space="0" w:color="auto"/>
        <w:bottom w:val="none" w:sz="0" w:space="0" w:color="auto"/>
        <w:right w:val="none" w:sz="0" w:space="0" w:color="auto"/>
      </w:divBdr>
    </w:div>
    <w:div w:id="1432968753">
      <w:marLeft w:val="640"/>
      <w:marRight w:val="0"/>
      <w:marTop w:val="0"/>
      <w:marBottom w:val="0"/>
      <w:divBdr>
        <w:top w:val="none" w:sz="0" w:space="0" w:color="auto"/>
        <w:left w:val="none" w:sz="0" w:space="0" w:color="auto"/>
        <w:bottom w:val="none" w:sz="0" w:space="0" w:color="auto"/>
        <w:right w:val="none" w:sz="0" w:space="0" w:color="auto"/>
      </w:divBdr>
    </w:div>
    <w:div w:id="1433167360">
      <w:marLeft w:val="640"/>
      <w:marRight w:val="0"/>
      <w:marTop w:val="0"/>
      <w:marBottom w:val="0"/>
      <w:divBdr>
        <w:top w:val="none" w:sz="0" w:space="0" w:color="auto"/>
        <w:left w:val="none" w:sz="0" w:space="0" w:color="auto"/>
        <w:bottom w:val="none" w:sz="0" w:space="0" w:color="auto"/>
        <w:right w:val="none" w:sz="0" w:space="0" w:color="auto"/>
      </w:divBdr>
    </w:div>
    <w:div w:id="1433471627">
      <w:marLeft w:val="640"/>
      <w:marRight w:val="0"/>
      <w:marTop w:val="0"/>
      <w:marBottom w:val="0"/>
      <w:divBdr>
        <w:top w:val="none" w:sz="0" w:space="0" w:color="auto"/>
        <w:left w:val="none" w:sz="0" w:space="0" w:color="auto"/>
        <w:bottom w:val="none" w:sz="0" w:space="0" w:color="auto"/>
        <w:right w:val="none" w:sz="0" w:space="0" w:color="auto"/>
      </w:divBdr>
    </w:div>
    <w:div w:id="1433622782">
      <w:marLeft w:val="640"/>
      <w:marRight w:val="0"/>
      <w:marTop w:val="0"/>
      <w:marBottom w:val="0"/>
      <w:divBdr>
        <w:top w:val="none" w:sz="0" w:space="0" w:color="auto"/>
        <w:left w:val="none" w:sz="0" w:space="0" w:color="auto"/>
        <w:bottom w:val="none" w:sz="0" w:space="0" w:color="auto"/>
        <w:right w:val="none" w:sz="0" w:space="0" w:color="auto"/>
      </w:divBdr>
    </w:div>
    <w:div w:id="1434478236">
      <w:marLeft w:val="640"/>
      <w:marRight w:val="0"/>
      <w:marTop w:val="0"/>
      <w:marBottom w:val="0"/>
      <w:divBdr>
        <w:top w:val="none" w:sz="0" w:space="0" w:color="auto"/>
        <w:left w:val="none" w:sz="0" w:space="0" w:color="auto"/>
        <w:bottom w:val="none" w:sz="0" w:space="0" w:color="auto"/>
        <w:right w:val="none" w:sz="0" w:space="0" w:color="auto"/>
      </w:divBdr>
    </w:div>
    <w:div w:id="1435007090">
      <w:marLeft w:val="640"/>
      <w:marRight w:val="0"/>
      <w:marTop w:val="0"/>
      <w:marBottom w:val="0"/>
      <w:divBdr>
        <w:top w:val="none" w:sz="0" w:space="0" w:color="auto"/>
        <w:left w:val="none" w:sz="0" w:space="0" w:color="auto"/>
        <w:bottom w:val="none" w:sz="0" w:space="0" w:color="auto"/>
        <w:right w:val="none" w:sz="0" w:space="0" w:color="auto"/>
      </w:divBdr>
    </w:div>
    <w:div w:id="1436051675">
      <w:marLeft w:val="640"/>
      <w:marRight w:val="0"/>
      <w:marTop w:val="0"/>
      <w:marBottom w:val="0"/>
      <w:divBdr>
        <w:top w:val="none" w:sz="0" w:space="0" w:color="auto"/>
        <w:left w:val="none" w:sz="0" w:space="0" w:color="auto"/>
        <w:bottom w:val="none" w:sz="0" w:space="0" w:color="auto"/>
        <w:right w:val="none" w:sz="0" w:space="0" w:color="auto"/>
      </w:divBdr>
    </w:div>
    <w:div w:id="1436054279">
      <w:marLeft w:val="640"/>
      <w:marRight w:val="0"/>
      <w:marTop w:val="0"/>
      <w:marBottom w:val="0"/>
      <w:divBdr>
        <w:top w:val="none" w:sz="0" w:space="0" w:color="auto"/>
        <w:left w:val="none" w:sz="0" w:space="0" w:color="auto"/>
        <w:bottom w:val="none" w:sz="0" w:space="0" w:color="auto"/>
        <w:right w:val="none" w:sz="0" w:space="0" w:color="auto"/>
      </w:divBdr>
    </w:div>
    <w:div w:id="1436942679">
      <w:marLeft w:val="640"/>
      <w:marRight w:val="0"/>
      <w:marTop w:val="0"/>
      <w:marBottom w:val="0"/>
      <w:divBdr>
        <w:top w:val="none" w:sz="0" w:space="0" w:color="auto"/>
        <w:left w:val="none" w:sz="0" w:space="0" w:color="auto"/>
        <w:bottom w:val="none" w:sz="0" w:space="0" w:color="auto"/>
        <w:right w:val="none" w:sz="0" w:space="0" w:color="auto"/>
      </w:divBdr>
    </w:div>
    <w:div w:id="1437864227">
      <w:marLeft w:val="640"/>
      <w:marRight w:val="0"/>
      <w:marTop w:val="0"/>
      <w:marBottom w:val="0"/>
      <w:divBdr>
        <w:top w:val="none" w:sz="0" w:space="0" w:color="auto"/>
        <w:left w:val="none" w:sz="0" w:space="0" w:color="auto"/>
        <w:bottom w:val="none" w:sz="0" w:space="0" w:color="auto"/>
        <w:right w:val="none" w:sz="0" w:space="0" w:color="auto"/>
      </w:divBdr>
    </w:div>
    <w:div w:id="1438213540">
      <w:marLeft w:val="640"/>
      <w:marRight w:val="0"/>
      <w:marTop w:val="0"/>
      <w:marBottom w:val="0"/>
      <w:divBdr>
        <w:top w:val="none" w:sz="0" w:space="0" w:color="auto"/>
        <w:left w:val="none" w:sz="0" w:space="0" w:color="auto"/>
        <w:bottom w:val="none" w:sz="0" w:space="0" w:color="auto"/>
        <w:right w:val="none" w:sz="0" w:space="0" w:color="auto"/>
      </w:divBdr>
    </w:div>
    <w:div w:id="1438407148">
      <w:marLeft w:val="640"/>
      <w:marRight w:val="0"/>
      <w:marTop w:val="0"/>
      <w:marBottom w:val="0"/>
      <w:divBdr>
        <w:top w:val="none" w:sz="0" w:space="0" w:color="auto"/>
        <w:left w:val="none" w:sz="0" w:space="0" w:color="auto"/>
        <w:bottom w:val="none" w:sz="0" w:space="0" w:color="auto"/>
        <w:right w:val="none" w:sz="0" w:space="0" w:color="auto"/>
      </w:divBdr>
    </w:div>
    <w:div w:id="1439177574">
      <w:marLeft w:val="640"/>
      <w:marRight w:val="0"/>
      <w:marTop w:val="0"/>
      <w:marBottom w:val="0"/>
      <w:divBdr>
        <w:top w:val="none" w:sz="0" w:space="0" w:color="auto"/>
        <w:left w:val="none" w:sz="0" w:space="0" w:color="auto"/>
        <w:bottom w:val="none" w:sz="0" w:space="0" w:color="auto"/>
        <w:right w:val="none" w:sz="0" w:space="0" w:color="auto"/>
      </w:divBdr>
    </w:div>
    <w:div w:id="1439449066">
      <w:marLeft w:val="640"/>
      <w:marRight w:val="0"/>
      <w:marTop w:val="0"/>
      <w:marBottom w:val="0"/>
      <w:divBdr>
        <w:top w:val="none" w:sz="0" w:space="0" w:color="auto"/>
        <w:left w:val="none" w:sz="0" w:space="0" w:color="auto"/>
        <w:bottom w:val="none" w:sz="0" w:space="0" w:color="auto"/>
        <w:right w:val="none" w:sz="0" w:space="0" w:color="auto"/>
      </w:divBdr>
    </w:div>
    <w:div w:id="1439833481">
      <w:marLeft w:val="640"/>
      <w:marRight w:val="0"/>
      <w:marTop w:val="0"/>
      <w:marBottom w:val="0"/>
      <w:divBdr>
        <w:top w:val="none" w:sz="0" w:space="0" w:color="auto"/>
        <w:left w:val="none" w:sz="0" w:space="0" w:color="auto"/>
        <w:bottom w:val="none" w:sz="0" w:space="0" w:color="auto"/>
        <w:right w:val="none" w:sz="0" w:space="0" w:color="auto"/>
      </w:divBdr>
    </w:div>
    <w:div w:id="1440030064">
      <w:marLeft w:val="640"/>
      <w:marRight w:val="0"/>
      <w:marTop w:val="0"/>
      <w:marBottom w:val="0"/>
      <w:divBdr>
        <w:top w:val="none" w:sz="0" w:space="0" w:color="auto"/>
        <w:left w:val="none" w:sz="0" w:space="0" w:color="auto"/>
        <w:bottom w:val="none" w:sz="0" w:space="0" w:color="auto"/>
        <w:right w:val="none" w:sz="0" w:space="0" w:color="auto"/>
      </w:divBdr>
    </w:div>
    <w:div w:id="1440175955">
      <w:marLeft w:val="640"/>
      <w:marRight w:val="0"/>
      <w:marTop w:val="0"/>
      <w:marBottom w:val="0"/>
      <w:divBdr>
        <w:top w:val="none" w:sz="0" w:space="0" w:color="auto"/>
        <w:left w:val="none" w:sz="0" w:space="0" w:color="auto"/>
        <w:bottom w:val="none" w:sz="0" w:space="0" w:color="auto"/>
        <w:right w:val="none" w:sz="0" w:space="0" w:color="auto"/>
      </w:divBdr>
    </w:div>
    <w:div w:id="1441100165">
      <w:marLeft w:val="640"/>
      <w:marRight w:val="0"/>
      <w:marTop w:val="0"/>
      <w:marBottom w:val="0"/>
      <w:divBdr>
        <w:top w:val="none" w:sz="0" w:space="0" w:color="auto"/>
        <w:left w:val="none" w:sz="0" w:space="0" w:color="auto"/>
        <w:bottom w:val="none" w:sz="0" w:space="0" w:color="auto"/>
        <w:right w:val="none" w:sz="0" w:space="0" w:color="auto"/>
      </w:divBdr>
    </w:div>
    <w:div w:id="1441726594">
      <w:marLeft w:val="640"/>
      <w:marRight w:val="0"/>
      <w:marTop w:val="0"/>
      <w:marBottom w:val="0"/>
      <w:divBdr>
        <w:top w:val="none" w:sz="0" w:space="0" w:color="auto"/>
        <w:left w:val="none" w:sz="0" w:space="0" w:color="auto"/>
        <w:bottom w:val="none" w:sz="0" w:space="0" w:color="auto"/>
        <w:right w:val="none" w:sz="0" w:space="0" w:color="auto"/>
      </w:divBdr>
    </w:div>
    <w:div w:id="1441802408">
      <w:marLeft w:val="640"/>
      <w:marRight w:val="0"/>
      <w:marTop w:val="0"/>
      <w:marBottom w:val="0"/>
      <w:divBdr>
        <w:top w:val="none" w:sz="0" w:space="0" w:color="auto"/>
        <w:left w:val="none" w:sz="0" w:space="0" w:color="auto"/>
        <w:bottom w:val="none" w:sz="0" w:space="0" w:color="auto"/>
        <w:right w:val="none" w:sz="0" w:space="0" w:color="auto"/>
      </w:divBdr>
    </w:div>
    <w:div w:id="1441876330">
      <w:marLeft w:val="640"/>
      <w:marRight w:val="0"/>
      <w:marTop w:val="0"/>
      <w:marBottom w:val="0"/>
      <w:divBdr>
        <w:top w:val="none" w:sz="0" w:space="0" w:color="auto"/>
        <w:left w:val="none" w:sz="0" w:space="0" w:color="auto"/>
        <w:bottom w:val="none" w:sz="0" w:space="0" w:color="auto"/>
        <w:right w:val="none" w:sz="0" w:space="0" w:color="auto"/>
      </w:divBdr>
    </w:div>
    <w:div w:id="1442189039">
      <w:marLeft w:val="640"/>
      <w:marRight w:val="0"/>
      <w:marTop w:val="0"/>
      <w:marBottom w:val="0"/>
      <w:divBdr>
        <w:top w:val="none" w:sz="0" w:space="0" w:color="auto"/>
        <w:left w:val="none" w:sz="0" w:space="0" w:color="auto"/>
        <w:bottom w:val="none" w:sz="0" w:space="0" w:color="auto"/>
        <w:right w:val="none" w:sz="0" w:space="0" w:color="auto"/>
      </w:divBdr>
    </w:div>
    <w:div w:id="1444298759">
      <w:marLeft w:val="640"/>
      <w:marRight w:val="0"/>
      <w:marTop w:val="0"/>
      <w:marBottom w:val="0"/>
      <w:divBdr>
        <w:top w:val="none" w:sz="0" w:space="0" w:color="auto"/>
        <w:left w:val="none" w:sz="0" w:space="0" w:color="auto"/>
        <w:bottom w:val="none" w:sz="0" w:space="0" w:color="auto"/>
        <w:right w:val="none" w:sz="0" w:space="0" w:color="auto"/>
      </w:divBdr>
    </w:div>
    <w:div w:id="1444618687">
      <w:marLeft w:val="640"/>
      <w:marRight w:val="0"/>
      <w:marTop w:val="0"/>
      <w:marBottom w:val="0"/>
      <w:divBdr>
        <w:top w:val="none" w:sz="0" w:space="0" w:color="auto"/>
        <w:left w:val="none" w:sz="0" w:space="0" w:color="auto"/>
        <w:bottom w:val="none" w:sz="0" w:space="0" w:color="auto"/>
        <w:right w:val="none" w:sz="0" w:space="0" w:color="auto"/>
      </w:divBdr>
    </w:div>
    <w:div w:id="1446117462">
      <w:marLeft w:val="640"/>
      <w:marRight w:val="0"/>
      <w:marTop w:val="0"/>
      <w:marBottom w:val="0"/>
      <w:divBdr>
        <w:top w:val="none" w:sz="0" w:space="0" w:color="auto"/>
        <w:left w:val="none" w:sz="0" w:space="0" w:color="auto"/>
        <w:bottom w:val="none" w:sz="0" w:space="0" w:color="auto"/>
        <w:right w:val="none" w:sz="0" w:space="0" w:color="auto"/>
      </w:divBdr>
    </w:div>
    <w:div w:id="1446266847">
      <w:marLeft w:val="640"/>
      <w:marRight w:val="0"/>
      <w:marTop w:val="0"/>
      <w:marBottom w:val="0"/>
      <w:divBdr>
        <w:top w:val="none" w:sz="0" w:space="0" w:color="auto"/>
        <w:left w:val="none" w:sz="0" w:space="0" w:color="auto"/>
        <w:bottom w:val="none" w:sz="0" w:space="0" w:color="auto"/>
        <w:right w:val="none" w:sz="0" w:space="0" w:color="auto"/>
      </w:divBdr>
    </w:div>
    <w:div w:id="1446731575">
      <w:marLeft w:val="640"/>
      <w:marRight w:val="0"/>
      <w:marTop w:val="0"/>
      <w:marBottom w:val="0"/>
      <w:divBdr>
        <w:top w:val="none" w:sz="0" w:space="0" w:color="auto"/>
        <w:left w:val="none" w:sz="0" w:space="0" w:color="auto"/>
        <w:bottom w:val="none" w:sz="0" w:space="0" w:color="auto"/>
        <w:right w:val="none" w:sz="0" w:space="0" w:color="auto"/>
      </w:divBdr>
    </w:div>
    <w:div w:id="1447428978">
      <w:marLeft w:val="640"/>
      <w:marRight w:val="0"/>
      <w:marTop w:val="0"/>
      <w:marBottom w:val="0"/>
      <w:divBdr>
        <w:top w:val="none" w:sz="0" w:space="0" w:color="auto"/>
        <w:left w:val="none" w:sz="0" w:space="0" w:color="auto"/>
        <w:bottom w:val="none" w:sz="0" w:space="0" w:color="auto"/>
        <w:right w:val="none" w:sz="0" w:space="0" w:color="auto"/>
      </w:divBdr>
    </w:div>
    <w:div w:id="1447768485">
      <w:marLeft w:val="640"/>
      <w:marRight w:val="0"/>
      <w:marTop w:val="0"/>
      <w:marBottom w:val="0"/>
      <w:divBdr>
        <w:top w:val="none" w:sz="0" w:space="0" w:color="auto"/>
        <w:left w:val="none" w:sz="0" w:space="0" w:color="auto"/>
        <w:bottom w:val="none" w:sz="0" w:space="0" w:color="auto"/>
        <w:right w:val="none" w:sz="0" w:space="0" w:color="auto"/>
      </w:divBdr>
    </w:div>
    <w:div w:id="1447847086">
      <w:marLeft w:val="640"/>
      <w:marRight w:val="0"/>
      <w:marTop w:val="0"/>
      <w:marBottom w:val="0"/>
      <w:divBdr>
        <w:top w:val="none" w:sz="0" w:space="0" w:color="auto"/>
        <w:left w:val="none" w:sz="0" w:space="0" w:color="auto"/>
        <w:bottom w:val="none" w:sz="0" w:space="0" w:color="auto"/>
        <w:right w:val="none" w:sz="0" w:space="0" w:color="auto"/>
      </w:divBdr>
    </w:div>
    <w:div w:id="1448162277">
      <w:marLeft w:val="640"/>
      <w:marRight w:val="0"/>
      <w:marTop w:val="0"/>
      <w:marBottom w:val="0"/>
      <w:divBdr>
        <w:top w:val="none" w:sz="0" w:space="0" w:color="auto"/>
        <w:left w:val="none" w:sz="0" w:space="0" w:color="auto"/>
        <w:bottom w:val="none" w:sz="0" w:space="0" w:color="auto"/>
        <w:right w:val="none" w:sz="0" w:space="0" w:color="auto"/>
      </w:divBdr>
    </w:div>
    <w:div w:id="1448739208">
      <w:marLeft w:val="640"/>
      <w:marRight w:val="0"/>
      <w:marTop w:val="0"/>
      <w:marBottom w:val="0"/>
      <w:divBdr>
        <w:top w:val="none" w:sz="0" w:space="0" w:color="auto"/>
        <w:left w:val="none" w:sz="0" w:space="0" w:color="auto"/>
        <w:bottom w:val="none" w:sz="0" w:space="0" w:color="auto"/>
        <w:right w:val="none" w:sz="0" w:space="0" w:color="auto"/>
      </w:divBdr>
    </w:div>
    <w:div w:id="1448740201">
      <w:marLeft w:val="640"/>
      <w:marRight w:val="0"/>
      <w:marTop w:val="0"/>
      <w:marBottom w:val="0"/>
      <w:divBdr>
        <w:top w:val="none" w:sz="0" w:space="0" w:color="auto"/>
        <w:left w:val="none" w:sz="0" w:space="0" w:color="auto"/>
        <w:bottom w:val="none" w:sz="0" w:space="0" w:color="auto"/>
        <w:right w:val="none" w:sz="0" w:space="0" w:color="auto"/>
      </w:divBdr>
    </w:div>
    <w:div w:id="1449661887">
      <w:marLeft w:val="640"/>
      <w:marRight w:val="0"/>
      <w:marTop w:val="0"/>
      <w:marBottom w:val="0"/>
      <w:divBdr>
        <w:top w:val="none" w:sz="0" w:space="0" w:color="auto"/>
        <w:left w:val="none" w:sz="0" w:space="0" w:color="auto"/>
        <w:bottom w:val="none" w:sz="0" w:space="0" w:color="auto"/>
        <w:right w:val="none" w:sz="0" w:space="0" w:color="auto"/>
      </w:divBdr>
    </w:div>
    <w:div w:id="1449935696">
      <w:marLeft w:val="640"/>
      <w:marRight w:val="0"/>
      <w:marTop w:val="0"/>
      <w:marBottom w:val="0"/>
      <w:divBdr>
        <w:top w:val="none" w:sz="0" w:space="0" w:color="auto"/>
        <w:left w:val="none" w:sz="0" w:space="0" w:color="auto"/>
        <w:bottom w:val="none" w:sz="0" w:space="0" w:color="auto"/>
        <w:right w:val="none" w:sz="0" w:space="0" w:color="auto"/>
      </w:divBdr>
    </w:div>
    <w:div w:id="1450666436">
      <w:marLeft w:val="640"/>
      <w:marRight w:val="0"/>
      <w:marTop w:val="0"/>
      <w:marBottom w:val="0"/>
      <w:divBdr>
        <w:top w:val="none" w:sz="0" w:space="0" w:color="auto"/>
        <w:left w:val="none" w:sz="0" w:space="0" w:color="auto"/>
        <w:bottom w:val="none" w:sz="0" w:space="0" w:color="auto"/>
        <w:right w:val="none" w:sz="0" w:space="0" w:color="auto"/>
      </w:divBdr>
    </w:div>
    <w:div w:id="1451511208">
      <w:marLeft w:val="640"/>
      <w:marRight w:val="0"/>
      <w:marTop w:val="0"/>
      <w:marBottom w:val="0"/>
      <w:divBdr>
        <w:top w:val="none" w:sz="0" w:space="0" w:color="auto"/>
        <w:left w:val="none" w:sz="0" w:space="0" w:color="auto"/>
        <w:bottom w:val="none" w:sz="0" w:space="0" w:color="auto"/>
        <w:right w:val="none" w:sz="0" w:space="0" w:color="auto"/>
      </w:divBdr>
    </w:div>
    <w:div w:id="1452673483">
      <w:marLeft w:val="640"/>
      <w:marRight w:val="0"/>
      <w:marTop w:val="0"/>
      <w:marBottom w:val="0"/>
      <w:divBdr>
        <w:top w:val="none" w:sz="0" w:space="0" w:color="auto"/>
        <w:left w:val="none" w:sz="0" w:space="0" w:color="auto"/>
        <w:bottom w:val="none" w:sz="0" w:space="0" w:color="auto"/>
        <w:right w:val="none" w:sz="0" w:space="0" w:color="auto"/>
      </w:divBdr>
    </w:div>
    <w:div w:id="1453206724">
      <w:marLeft w:val="640"/>
      <w:marRight w:val="0"/>
      <w:marTop w:val="0"/>
      <w:marBottom w:val="0"/>
      <w:divBdr>
        <w:top w:val="none" w:sz="0" w:space="0" w:color="auto"/>
        <w:left w:val="none" w:sz="0" w:space="0" w:color="auto"/>
        <w:bottom w:val="none" w:sz="0" w:space="0" w:color="auto"/>
        <w:right w:val="none" w:sz="0" w:space="0" w:color="auto"/>
      </w:divBdr>
    </w:div>
    <w:div w:id="1453210116">
      <w:marLeft w:val="640"/>
      <w:marRight w:val="0"/>
      <w:marTop w:val="0"/>
      <w:marBottom w:val="0"/>
      <w:divBdr>
        <w:top w:val="none" w:sz="0" w:space="0" w:color="auto"/>
        <w:left w:val="none" w:sz="0" w:space="0" w:color="auto"/>
        <w:bottom w:val="none" w:sz="0" w:space="0" w:color="auto"/>
        <w:right w:val="none" w:sz="0" w:space="0" w:color="auto"/>
      </w:divBdr>
    </w:div>
    <w:div w:id="1453279080">
      <w:marLeft w:val="640"/>
      <w:marRight w:val="0"/>
      <w:marTop w:val="0"/>
      <w:marBottom w:val="0"/>
      <w:divBdr>
        <w:top w:val="none" w:sz="0" w:space="0" w:color="auto"/>
        <w:left w:val="none" w:sz="0" w:space="0" w:color="auto"/>
        <w:bottom w:val="none" w:sz="0" w:space="0" w:color="auto"/>
        <w:right w:val="none" w:sz="0" w:space="0" w:color="auto"/>
      </w:divBdr>
    </w:div>
    <w:div w:id="1455559544">
      <w:marLeft w:val="640"/>
      <w:marRight w:val="0"/>
      <w:marTop w:val="0"/>
      <w:marBottom w:val="0"/>
      <w:divBdr>
        <w:top w:val="none" w:sz="0" w:space="0" w:color="auto"/>
        <w:left w:val="none" w:sz="0" w:space="0" w:color="auto"/>
        <w:bottom w:val="none" w:sz="0" w:space="0" w:color="auto"/>
        <w:right w:val="none" w:sz="0" w:space="0" w:color="auto"/>
      </w:divBdr>
    </w:div>
    <w:div w:id="1455713072">
      <w:marLeft w:val="640"/>
      <w:marRight w:val="0"/>
      <w:marTop w:val="0"/>
      <w:marBottom w:val="0"/>
      <w:divBdr>
        <w:top w:val="none" w:sz="0" w:space="0" w:color="auto"/>
        <w:left w:val="none" w:sz="0" w:space="0" w:color="auto"/>
        <w:bottom w:val="none" w:sz="0" w:space="0" w:color="auto"/>
        <w:right w:val="none" w:sz="0" w:space="0" w:color="auto"/>
      </w:divBdr>
    </w:div>
    <w:div w:id="1455979160">
      <w:marLeft w:val="640"/>
      <w:marRight w:val="0"/>
      <w:marTop w:val="0"/>
      <w:marBottom w:val="0"/>
      <w:divBdr>
        <w:top w:val="none" w:sz="0" w:space="0" w:color="auto"/>
        <w:left w:val="none" w:sz="0" w:space="0" w:color="auto"/>
        <w:bottom w:val="none" w:sz="0" w:space="0" w:color="auto"/>
        <w:right w:val="none" w:sz="0" w:space="0" w:color="auto"/>
      </w:divBdr>
    </w:div>
    <w:div w:id="1456098419">
      <w:marLeft w:val="640"/>
      <w:marRight w:val="0"/>
      <w:marTop w:val="0"/>
      <w:marBottom w:val="0"/>
      <w:divBdr>
        <w:top w:val="none" w:sz="0" w:space="0" w:color="auto"/>
        <w:left w:val="none" w:sz="0" w:space="0" w:color="auto"/>
        <w:bottom w:val="none" w:sz="0" w:space="0" w:color="auto"/>
        <w:right w:val="none" w:sz="0" w:space="0" w:color="auto"/>
      </w:divBdr>
    </w:div>
    <w:div w:id="1456363048">
      <w:marLeft w:val="640"/>
      <w:marRight w:val="0"/>
      <w:marTop w:val="0"/>
      <w:marBottom w:val="0"/>
      <w:divBdr>
        <w:top w:val="none" w:sz="0" w:space="0" w:color="auto"/>
        <w:left w:val="none" w:sz="0" w:space="0" w:color="auto"/>
        <w:bottom w:val="none" w:sz="0" w:space="0" w:color="auto"/>
        <w:right w:val="none" w:sz="0" w:space="0" w:color="auto"/>
      </w:divBdr>
    </w:div>
    <w:div w:id="1456633909">
      <w:marLeft w:val="640"/>
      <w:marRight w:val="0"/>
      <w:marTop w:val="0"/>
      <w:marBottom w:val="0"/>
      <w:divBdr>
        <w:top w:val="none" w:sz="0" w:space="0" w:color="auto"/>
        <w:left w:val="none" w:sz="0" w:space="0" w:color="auto"/>
        <w:bottom w:val="none" w:sz="0" w:space="0" w:color="auto"/>
        <w:right w:val="none" w:sz="0" w:space="0" w:color="auto"/>
      </w:divBdr>
    </w:div>
    <w:div w:id="1458182783">
      <w:marLeft w:val="640"/>
      <w:marRight w:val="0"/>
      <w:marTop w:val="0"/>
      <w:marBottom w:val="0"/>
      <w:divBdr>
        <w:top w:val="none" w:sz="0" w:space="0" w:color="auto"/>
        <w:left w:val="none" w:sz="0" w:space="0" w:color="auto"/>
        <w:bottom w:val="none" w:sz="0" w:space="0" w:color="auto"/>
        <w:right w:val="none" w:sz="0" w:space="0" w:color="auto"/>
      </w:divBdr>
    </w:div>
    <w:div w:id="1459060721">
      <w:marLeft w:val="640"/>
      <w:marRight w:val="0"/>
      <w:marTop w:val="0"/>
      <w:marBottom w:val="0"/>
      <w:divBdr>
        <w:top w:val="none" w:sz="0" w:space="0" w:color="auto"/>
        <w:left w:val="none" w:sz="0" w:space="0" w:color="auto"/>
        <w:bottom w:val="none" w:sz="0" w:space="0" w:color="auto"/>
        <w:right w:val="none" w:sz="0" w:space="0" w:color="auto"/>
      </w:divBdr>
    </w:div>
    <w:div w:id="1459107160">
      <w:marLeft w:val="640"/>
      <w:marRight w:val="0"/>
      <w:marTop w:val="0"/>
      <w:marBottom w:val="0"/>
      <w:divBdr>
        <w:top w:val="none" w:sz="0" w:space="0" w:color="auto"/>
        <w:left w:val="none" w:sz="0" w:space="0" w:color="auto"/>
        <w:bottom w:val="none" w:sz="0" w:space="0" w:color="auto"/>
        <w:right w:val="none" w:sz="0" w:space="0" w:color="auto"/>
      </w:divBdr>
    </w:div>
    <w:div w:id="1459183566">
      <w:marLeft w:val="640"/>
      <w:marRight w:val="0"/>
      <w:marTop w:val="0"/>
      <w:marBottom w:val="0"/>
      <w:divBdr>
        <w:top w:val="none" w:sz="0" w:space="0" w:color="auto"/>
        <w:left w:val="none" w:sz="0" w:space="0" w:color="auto"/>
        <w:bottom w:val="none" w:sz="0" w:space="0" w:color="auto"/>
        <w:right w:val="none" w:sz="0" w:space="0" w:color="auto"/>
      </w:divBdr>
    </w:div>
    <w:div w:id="1460223555">
      <w:marLeft w:val="640"/>
      <w:marRight w:val="0"/>
      <w:marTop w:val="0"/>
      <w:marBottom w:val="0"/>
      <w:divBdr>
        <w:top w:val="none" w:sz="0" w:space="0" w:color="auto"/>
        <w:left w:val="none" w:sz="0" w:space="0" w:color="auto"/>
        <w:bottom w:val="none" w:sz="0" w:space="0" w:color="auto"/>
        <w:right w:val="none" w:sz="0" w:space="0" w:color="auto"/>
      </w:divBdr>
    </w:div>
    <w:div w:id="1461217953">
      <w:marLeft w:val="640"/>
      <w:marRight w:val="0"/>
      <w:marTop w:val="0"/>
      <w:marBottom w:val="0"/>
      <w:divBdr>
        <w:top w:val="none" w:sz="0" w:space="0" w:color="auto"/>
        <w:left w:val="none" w:sz="0" w:space="0" w:color="auto"/>
        <w:bottom w:val="none" w:sz="0" w:space="0" w:color="auto"/>
        <w:right w:val="none" w:sz="0" w:space="0" w:color="auto"/>
      </w:divBdr>
    </w:div>
    <w:div w:id="1461654007">
      <w:marLeft w:val="640"/>
      <w:marRight w:val="0"/>
      <w:marTop w:val="0"/>
      <w:marBottom w:val="0"/>
      <w:divBdr>
        <w:top w:val="none" w:sz="0" w:space="0" w:color="auto"/>
        <w:left w:val="none" w:sz="0" w:space="0" w:color="auto"/>
        <w:bottom w:val="none" w:sz="0" w:space="0" w:color="auto"/>
        <w:right w:val="none" w:sz="0" w:space="0" w:color="auto"/>
      </w:divBdr>
    </w:div>
    <w:div w:id="1462192192">
      <w:marLeft w:val="640"/>
      <w:marRight w:val="0"/>
      <w:marTop w:val="0"/>
      <w:marBottom w:val="0"/>
      <w:divBdr>
        <w:top w:val="none" w:sz="0" w:space="0" w:color="auto"/>
        <w:left w:val="none" w:sz="0" w:space="0" w:color="auto"/>
        <w:bottom w:val="none" w:sz="0" w:space="0" w:color="auto"/>
        <w:right w:val="none" w:sz="0" w:space="0" w:color="auto"/>
      </w:divBdr>
    </w:div>
    <w:div w:id="1462528564">
      <w:marLeft w:val="640"/>
      <w:marRight w:val="0"/>
      <w:marTop w:val="0"/>
      <w:marBottom w:val="0"/>
      <w:divBdr>
        <w:top w:val="none" w:sz="0" w:space="0" w:color="auto"/>
        <w:left w:val="none" w:sz="0" w:space="0" w:color="auto"/>
        <w:bottom w:val="none" w:sz="0" w:space="0" w:color="auto"/>
        <w:right w:val="none" w:sz="0" w:space="0" w:color="auto"/>
      </w:divBdr>
    </w:div>
    <w:div w:id="1462846146">
      <w:marLeft w:val="640"/>
      <w:marRight w:val="0"/>
      <w:marTop w:val="0"/>
      <w:marBottom w:val="0"/>
      <w:divBdr>
        <w:top w:val="none" w:sz="0" w:space="0" w:color="auto"/>
        <w:left w:val="none" w:sz="0" w:space="0" w:color="auto"/>
        <w:bottom w:val="none" w:sz="0" w:space="0" w:color="auto"/>
        <w:right w:val="none" w:sz="0" w:space="0" w:color="auto"/>
      </w:divBdr>
    </w:div>
    <w:div w:id="1463378623">
      <w:marLeft w:val="640"/>
      <w:marRight w:val="0"/>
      <w:marTop w:val="0"/>
      <w:marBottom w:val="0"/>
      <w:divBdr>
        <w:top w:val="none" w:sz="0" w:space="0" w:color="auto"/>
        <w:left w:val="none" w:sz="0" w:space="0" w:color="auto"/>
        <w:bottom w:val="none" w:sz="0" w:space="0" w:color="auto"/>
        <w:right w:val="none" w:sz="0" w:space="0" w:color="auto"/>
      </w:divBdr>
    </w:div>
    <w:div w:id="1464149946">
      <w:marLeft w:val="640"/>
      <w:marRight w:val="0"/>
      <w:marTop w:val="0"/>
      <w:marBottom w:val="0"/>
      <w:divBdr>
        <w:top w:val="none" w:sz="0" w:space="0" w:color="auto"/>
        <w:left w:val="none" w:sz="0" w:space="0" w:color="auto"/>
        <w:bottom w:val="none" w:sz="0" w:space="0" w:color="auto"/>
        <w:right w:val="none" w:sz="0" w:space="0" w:color="auto"/>
      </w:divBdr>
    </w:div>
    <w:div w:id="1464612253">
      <w:marLeft w:val="640"/>
      <w:marRight w:val="0"/>
      <w:marTop w:val="0"/>
      <w:marBottom w:val="0"/>
      <w:divBdr>
        <w:top w:val="none" w:sz="0" w:space="0" w:color="auto"/>
        <w:left w:val="none" w:sz="0" w:space="0" w:color="auto"/>
        <w:bottom w:val="none" w:sz="0" w:space="0" w:color="auto"/>
        <w:right w:val="none" w:sz="0" w:space="0" w:color="auto"/>
      </w:divBdr>
    </w:div>
    <w:div w:id="1464927248">
      <w:marLeft w:val="640"/>
      <w:marRight w:val="0"/>
      <w:marTop w:val="0"/>
      <w:marBottom w:val="0"/>
      <w:divBdr>
        <w:top w:val="none" w:sz="0" w:space="0" w:color="auto"/>
        <w:left w:val="none" w:sz="0" w:space="0" w:color="auto"/>
        <w:bottom w:val="none" w:sz="0" w:space="0" w:color="auto"/>
        <w:right w:val="none" w:sz="0" w:space="0" w:color="auto"/>
      </w:divBdr>
    </w:div>
    <w:div w:id="1464928445">
      <w:marLeft w:val="640"/>
      <w:marRight w:val="0"/>
      <w:marTop w:val="0"/>
      <w:marBottom w:val="0"/>
      <w:divBdr>
        <w:top w:val="none" w:sz="0" w:space="0" w:color="auto"/>
        <w:left w:val="none" w:sz="0" w:space="0" w:color="auto"/>
        <w:bottom w:val="none" w:sz="0" w:space="0" w:color="auto"/>
        <w:right w:val="none" w:sz="0" w:space="0" w:color="auto"/>
      </w:divBdr>
    </w:div>
    <w:div w:id="1464956141">
      <w:marLeft w:val="640"/>
      <w:marRight w:val="0"/>
      <w:marTop w:val="0"/>
      <w:marBottom w:val="0"/>
      <w:divBdr>
        <w:top w:val="none" w:sz="0" w:space="0" w:color="auto"/>
        <w:left w:val="none" w:sz="0" w:space="0" w:color="auto"/>
        <w:bottom w:val="none" w:sz="0" w:space="0" w:color="auto"/>
        <w:right w:val="none" w:sz="0" w:space="0" w:color="auto"/>
      </w:divBdr>
    </w:div>
    <w:div w:id="1465083576">
      <w:marLeft w:val="640"/>
      <w:marRight w:val="0"/>
      <w:marTop w:val="0"/>
      <w:marBottom w:val="0"/>
      <w:divBdr>
        <w:top w:val="none" w:sz="0" w:space="0" w:color="auto"/>
        <w:left w:val="none" w:sz="0" w:space="0" w:color="auto"/>
        <w:bottom w:val="none" w:sz="0" w:space="0" w:color="auto"/>
        <w:right w:val="none" w:sz="0" w:space="0" w:color="auto"/>
      </w:divBdr>
    </w:div>
    <w:div w:id="1466699282">
      <w:marLeft w:val="640"/>
      <w:marRight w:val="0"/>
      <w:marTop w:val="0"/>
      <w:marBottom w:val="0"/>
      <w:divBdr>
        <w:top w:val="none" w:sz="0" w:space="0" w:color="auto"/>
        <w:left w:val="none" w:sz="0" w:space="0" w:color="auto"/>
        <w:bottom w:val="none" w:sz="0" w:space="0" w:color="auto"/>
        <w:right w:val="none" w:sz="0" w:space="0" w:color="auto"/>
      </w:divBdr>
    </w:div>
    <w:div w:id="1466964887">
      <w:marLeft w:val="640"/>
      <w:marRight w:val="0"/>
      <w:marTop w:val="0"/>
      <w:marBottom w:val="0"/>
      <w:divBdr>
        <w:top w:val="none" w:sz="0" w:space="0" w:color="auto"/>
        <w:left w:val="none" w:sz="0" w:space="0" w:color="auto"/>
        <w:bottom w:val="none" w:sz="0" w:space="0" w:color="auto"/>
        <w:right w:val="none" w:sz="0" w:space="0" w:color="auto"/>
      </w:divBdr>
    </w:div>
    <w:div w:id="1467121568">
      <w:marLeft w:val="640"/>
      <w:marRight w:val="0"/>
      <w:marTop w:val="0"/>
      <w:marBottom w:val="0"/>
      <w:divBdr>
        <w:top w:val="none" w:sz="0" w:space="0" w:color="auto"/>
        <w:left w:val="none" w:sz="0" w:space="0" w:color="auto"/>
        <w:bottom w:val="none" w:sz="0" w:space="0" w:color="auto"/>
        <w:right w:val="none" w:sz="0" w:space="0" w:color="auto"/>
      </w:divBdr>
    </w:div>
    <w:div w:id="1467433339">
      <w:marLeft w:val="640"/>
      <w:marRight w:val="0"/>
      <w:marTop w:val="0"/>
      <w:marBottom w:val="0"/>
      <w:divBdr>
        <w:top w:val="none" w:sz="0" w:space="0" w:color="auto"/>
        <w:left w:val="none" w:sz="0" w:space="0" w:color="auto"/>
        <w:bottom w:val="none" w:sz="0" w:space="0" w:color="auto"/>
        <w:right w:val="none" w:sz="0" w:space="0" w:color="auto"/>
      </w:divBdr>
    </w:div>
    <w:div w:id="1467698371">
      <w:marLeft w:val="640"/>
      <w:marRight w:val="0"/>
      <w:marTop w:val="0"/>
      <w:marBottom w:val="0"/>
      <w:divBdr>
        <w:top w:val="none" w:sz="0" w:space="0" w:color="auto"/>
        <w:left w:val="none" w:sz="0" w:space="0" w:color="auto"/>
        <w:bottom w:val="none" w:sz="0" w:space="0" w:color="auto"/>
        <w:right w:val="none" w:sz="0" w:space="0" w:color="auto"/>
      </w:divBdr>
    </w:div>
    <w:div w:id="1468085642">
      <w:marLeft w:val="640"/>
      <w:marRight w:val="0"/>
      <w:marTop w:val="0"/>
      <w:marBottom w:val="0"/>
      <w:divBdr>
        <w:top w:val="none" w:sz="0" w:space="0" w:color="auto"/>
        <w:left w:val="none" w:sz="0" w:space="0" w:color="auto"/>
        <w:bottom w:val="none" w:sz="0" w:space="0" w:color="auto"/>
        <w:right w:val="none" w:sz="0" w:space="0" w:color="auto"/>
      </w:divBdr>
    </w:div>
    <w:div w:id="1468204217">
      <w:marLeft w:val="640"/>
      <w:marRight w:val="0"/>
      <w:marTop w:val="0"/>
      <w:marBottom w:val="0"/>
      <w:divBdr>
        <w:top w:val="none" w:sz="0" w:space="0" w:color="auto"/>
        <w:left w:val="none" w:sz="0" w:space="0" w:color="auto"/>
        <w:bottom w:val="none" w:sz="0" w:space="0" w:color="auto"/>
        <w:right w:val="none" w:sz="0" w:space="0" w:color="auto"/>
      </w:divBdr>
    </w:div>
    <w:div w:id="1468206251">
      <w:marLeft w:val="640"/>
      <w:marRight w:val="0"/>
      <w:marTop w:val="0"/>
      <w:marBottom w:val="0"/>
      <w:divBdr>
        <w:top w:val="none" w:sz="0" w:space="0" w:color="auto"/>
        <w:left w:val="none" w:sz="0" w:space="0" w:color="auto"/>
        <w:bottom w:val="none" w:sz="0" w:space="0" w:color="auto"/>
        <w:right w:val="none" w:sz="0" w:space="0" w:color="auto"/>
      </w:divBdr>
    </w:div>
    <w:div w:id="1468233228">
      <w:marLeft w:val="640"/>
      <w:marRight w:val="0"/>
      <w:marTop w:val="0"/>
      <w:marBottom w:val="0"/>
      <w:divBdr>
        <w:top w:val="none" w:sz="0" w:space="0" w:color="auto"/>
        <w:left w:val="none" w:sz="0" w:space="0" w:color="auto"/>
        <w:bottom w:val="none" w:sz="0" w:space="0" w:color="auto"/>
        <w:right w:val="none" w:sz="0" w:space="0" w:color="auto"/>
      </w:divBdr>
    </w:div>
    <w:div w:id="1470322285">
      <w:marLeft w:val="640"/>
      <w:marRight w:val="0"/>
      <w:marTop w:val="0"/>
      <w:marBottom w:val="0"/>
      <w:divBdr>
        <w:top w:val="none" w:sz="0" w:space="0" w:color="auto"/>
        <w:left w:val="none" w:sz="0" w:space="0" w:color="auto"/>
        <w:bottom w:val="none" w:sz="0" w:space="0" w:color="auto"/>
        <w:right w:val="none" w:sz="0" w:space="0" w:color="auto"/>
      </w:divBdr>
    </w:div>
    <w:div w:id="1471173804">
      <w:marLeft w:val="640"/>
      <w:marRight w:val="0"/>
      <w:marTop w:val="0"/>
      <w:marBottom w:val="0"/>
      <w:divBdr>
        <w:top w:val="none" w:sz="0" w:space="0" w:color="auto"/>
        <w:left w:val="none" w:sz="0" w:space="0" w:color="auto"/>
        <w:bottom w:val="none" w:sz="0" w:space="0" w:color="auto"/>
        <w:right w:val="none" w:sz="0" w:space="0" w:color="auto"/>
      </w:divBdr>
    </w:div>
    <w:div w:id="1471247162">
      <w:marLeft w:val="640"/>
      <w:marRight w:val="0"/>
      <w:marTop w:val="0"/>
      <w:marBottom w:val="0"/>
      <w:divBdr>
        <w:top w:val="none" w:sz="0" w:space="0" w:color="auto"/>
        <w:left w:val="none" w:sz="0" w:space="0" w:color="auto"/>
        <w:bottom w:val="none" w:sz="0" w:space="0" w:color="auto"/>
        <w:right w:val="none" w:sz="0" w:space="0" w:color="auto"/>
      </w:divBdr>
    </w:div>
    <w:div w:id="1471284592">
      <w:marLeft w:val="640"/>
      <w:marRight w:val="0"/>
      <w:marTop w:val="0"/>
      <w:marBottom w:val="0"/>
      <w:divBdr>
        <w:top w:val="none" w:sz="0" w:space="0" w:color="auto"/>
        <w:left w:val="none" w:sz="0" w:space="0" w:color="auto"/>
        <w:bottom w:val="none" w:sz="0" w:space="0" w:color="auto"/>
        <w:right w:val="none" w:sz="0" w:space="0" w:color="auto"/>
      </w:divBdr>
    </w:div>
    <w:div w:id="1471676934">
      <w:marLeft w:val="640"/>
      <w:marRight w:val="0"/>
      <w:marTop w:val="0"/>
      <w:marBottom w:val="0"/>
      <w:divBdr>
        <w:top w:val="none" w:sz="0" w:space="0" w:color="auto"/>
        <w:left w:val="none" w:sz="0" w:space="0" w:color="auto"/>
        <w:bottom w:val="none" w:sz="0" w:space="0" w:color="auto"/>
        <w:right w:val="none" w:sz="0" w:space="0" w:color="auto"/>
      </w:divBdr>
    </w:div>
    <w:div w:id="1471827925">
      <w:marLeft w:val="640"/>
      <w:marRight w:val="0"/>
      <w:marTop w:val="0"/>
      <w:marBottom w:val="0"/>
      <w:divBdr>
        <w:top w:val="none" w:sz="0" w:space="0" w:color="auto"/>
        <w:left w:val="none" w:sz="0" w:space="0" w:color="auto"/>
        <w:bottom w:val="none" w:sz="0" w:space="0" w:color="auto"/>
        <w:right w:val="none" w:sz="0" w:space="0" w:color="auto"/>
      </w:divBdr>
    </w:div>
    <w:div w:id="1472165685">
      <w:marLeft w:val="640"/>
      <w:marRight w:val="0"/>
      <w:marTop w:val="0"/>
      <w:marBottom w:val="0"/>
      <w:divBdr>
        <w:top w:val="none" w:sz="0" w:space="0" w:color="auto"/>
        <w:left w:val="none" w:sz="0" w:space="0" w:color="auto"/>
        <w:bottom w:val="none" w:sz="0" w:space="0" w:color="auto"/>
        <w:right w:val="none" w:sz="0" w:space="0" w:color="auto"/>
      </w:divBdr>
    </w:div>
    <w:div w:id="1474298803">
      <w:marLeft w:val="640"/>
      <w:marRight w:val="0"/>
      <w:marTop w:val="0"/>
      <w:marBottom w:val="0"/>
      <w:divBdr>
        <w:top w:val="none" w:sz="0" w:space="0" w:color="auto"/>
        <w:left w:val="none" w:sz="0" w:space="0" w:color="auto"/>
        <w:bottom w:val="none" w:sz="0" w:space="0" w:color="auto"/>
        <w:right w:val="none" w:sz="0" w:space="0" w:color="auto"/>
      </w:divBdr>
    </w:div>
    <w:div w:id="1474566191">
      <w:marLeft w:val="640"/>
      <w:marRight w:val="0"/>
      <w:marTop w:val="0"/>
      <w:marBottom w:val="0"/>
      <w:divBdr>
        <w:top w:val="none" w:sz="0" w:space="0" w:color="auto"/>
        <w:left w:val="none" w:sz="0" w:space="0" w:color="auto"/>
        <w:bottom w:val="none" w:sz="0" w:space="0" w:color="auto"/>
        <w:right w:val="none" w:sz="0" w:space="0" w:color="auto"/>
      </w:divBdr>
    </w:div>
    <w:div w:id="1474836797">
      <w:marLeft w:val="640"/>
      <w:marRight w:val="0"/>
      <w:marTop w:val="0"/>
      <w:marBottom w:val="0"/>
      <w:divBdr>
        <w:top w:val="none" w:sz="0" w:space="0" w:color="auto"/>
        <w:left w:val="none" w:sz="0" w:space="0" w:color="auto"/>
        <w:bottom w:val="none" w:sz="0" w:space="0" w:color="auto"/>
        <w:right w:val="none" w:sz="0" w:space="0" w:color="auto"/>
      </w:divBdr>
    </w:div>
    <w:div w:id="1475413801">
      <w:marLeft w:val="640"/>
      <w:marRight w:val="0"/>
      <w:marTop w:val="0"/>
      <w:marBottom w:val="0"/>
      <w:divBdr>
        <w:top w:val="none" w:sz="0" w:space="0" w:color="auto"/>
        <w:left w:val="none" w:sz="0" w:space="0" w:color="auto"/>
        <w:bottom w:val="none" w:sz="0" w:space="0" w:color="auto"/>
        <w:right w:val="none" w:sz="0" w:space="0" w:color="auto"/>
      </w:divBdr>
    </w:div>
    <w:div w:id="1476144883">
      <w:marLeft w:val="640"/>
      <w:marRight w:val="0"/>
      <w:marTop w:val="0"/>
      <w:marBottom w:val="0"/>
      <w:divBdr>
        <w:top w:val="none" w:sz="0" w:space="0" w:color="auto"/>
        <w:left w:val="none" w:sz="0" w:space="0" w:color="auto"/>
        <w:bottom w:val="none" w:sz="0" w:space="0" w:color="auto"/>
        <w:right w:val="none" w:sz="0" w:space="0" w:color="auto"/>
      </w:divBdr>
    </w:div>
    <w:div w:id="1477532063">
      <w:marLeft w:val="640"/>
      <w:marRight w:val="0"/>
      <w:marTop w:val="0"/>
      <w:marBottom w:val="0"/>
      <w:divBdr>
        <w:top w:val="none" w:sz="0" w:space="0" w:color="auto"/>
        <w:left w:val="none" w:sz="0" w:space="0" w:color="auto"/>
        <w:bottom w:val="none" w:sz="0" w:space="0" w:color="auto"/>
        <w:right w:val="none" w:sz="0" w:space="0" w:color="auto"/>
      </w:divBdr>
    </w:div>
    <w:div w:id="1479107547">
      <w:marLeft w:val="640"/>
      <w:marRight w:val="0"/>
      <w:marTop w:val="0"/>
      <w:marBottom w:val="0"/>
      <w:divBdr>
        <w:top w:val="none" w:sz="0" w:space="0" w:color="auto"/>
        <w:left w:val="none" w:sz="0" w:space="0" w:color="auto"/>
        <w:bottom w:val="none" w:sz="0" w:space="0" w:color="auto"/>
        <w:right w:val="none" w:sz="0" w:space="0" w:color="auto"/>
      </w:divBdr>
    </w:div>
    <w:div w:id="1479221879">
      <w:marLeft w:val="640"/>
      <w:marRight w:val="0"/>
      <w:marTop w:val="0"/>
      <w:marBottom w:val="0"/>
      <w:divBdr>
        <w:top w:val="none" w:sz="0" w:space="0" w:color="auto"/>
        <w:left w:val="none" w:sz="0" w:space="0" w:color="auto"/>
        <w:bottom w:val="none" w:sz="0" w:space="0" w:color="auto"/>
        <w:right w:val="none" w:sz="0" w:space="0" w:color="auto"/>
      </w:divBdr>
    </w:div>
    <w:div w:id="1479418129">
      <w:marLeft w:val="640"/>
      <w:marRight w:val="0"/>
      <w:marTop w:val="0"/>
      <w:marBottom w:val="0"/>
      <w:divBdr>
        <w:top w:val="none" w:sz="0" w:space="0" w:color="auto"/>
        <w:left w:val="none" w:sz="0" w:space="0" w:color="auto"/>
        <w:bottom w:val="none" w:sz="0" w:space="0" w:color="auto"/>
        <w:right w:val="none" w:sz="0" w:space="0" w:color="auto"/>
      </w:divBdr>
    </w:div>
    <w:div w:id="1481727316">
      <w:marLeft w:val="640"/>
      <w:marRight w:val="0"/>
      <w:marTop w:val="0"/>
      <w:marBottom w:val="0"/>
      <w:divBdr>
        <w:top w:val="none" w:sz="0" w:space="0" w:color="auto"/>
        <w:left w:val="none" w:sz="0" w:space="0" w:color="auto"/>
        <w:bottom w:val="none" w:sz="0" w:space="0" w:color="auto"/>
        <w:right w:val="none" w:sz="0" w:space="0" w:color="auto"/>
      </w:divBdr>
    </w:div>
    <w:div w:id="1482038259">
      <w:marLeft w:val="640"/>
      <w:marRight w:val="0"/>
      <w:marTop w:val="0"/>
      <w:marBottom w:val="0"/>
      <w:divBdr>
        <w:top w:val="none" w:sz="0" w:space="0" w:color="auto"/>
        <w:left w:val="none" w:sz="0" w:space="0" w:color="auto"/>
        <w:bottom w:val="none" w:sz="0" w:space="0" w:color="auto"/>
        <w:right w:val="none" w:sz="0" w:space="0" w:color="auto"/>
      </w:divBdr>
    </w:div>
    <w:div w:id="1482190757">
      <w:marLeft w:val="640"/>
      <w:marRight w:val="0"/>
      <w:marTop w:val="0"/>
      <w:marBottom w:val="0"/>
      <w:divBdr>
        <w:top w:val="none" w:sz="0" w:space="0" w:color="auto"/>
        <w:left w:val="none" w:sz="0" w:space="0" w:color="auto"/>
        <w:bottom w:val="none" w:sz="0" w:space="0" w:color="auto"/>
        <w:right w:val="none" w:sz="0" w:space="0" w:color="auto"/>
      </w:divBdr>
    </w:div>
    <w:div w:id="1482425506">
      <w:marLeft w:val="640"/>
      <w:marRight w:val="0"/>
      <w:marTop w:val="0"/>
      <w:marBottom w:val="0"/>
      <w:divBdr>
        <w:top w:val="none" w:sz="0" w:space="0" w:color="auto"/>
        <w:left w:val="none" w:sz="0" w:space="0" w:color="auto"/>
        <w:bottom w:val="none" w:sz="0" w:space="0" w:color="auto"/>
        <w:right w:val="none" w:sz="0" w:space="0" w:color="auto"/>
      </w:divBdr>
    </w:div>
    <w:div w:id="1483043440">
      <w:marLeft w:val="640"/>
      <w:marRight w:val="0"/>
      <w:marTop w:val="0"/>
      <w:marBottom w:val="0"/>
      <w:divBdr>
        <w:top w:val="none" w:sz="0" w:space="0" w:color="auto"/>
        <w:left w:val="none" w:sz="0" w:space="0" w:color="auto"/>
        <w:bottom w:val="none" w:sz="0" w:space="0" w:color="auto"/>
        <w:right w:val="none" w:sz="0" w:space="0" w:color="auto"/>
      </w:divBdr>
    </w:div>
    <w:div w:id="1483085013">
      <w:marLeft w:val="640"/>
      <w:marRight w:val="0"/>
      <w:marTop w:val="0"/>
      <w:marBottom w:val="0"/>
      <w:divBdr>
        <w:top w:val="none" w:sz="0" w:space="0" w:color="auto"/>
        <w:left w:val="none" w:sz="0" w:space="0" w:color="auto"/>
        <w:bottom w:val="none" w:sz="0" w:space="0" w:color="auto"/>
        <w:right w:val="none" w:sz="0" w:space="0" w:color="auto"/>
      </w:divBdr>
    </w:div>
    <w:div w:id="1483234933">
      <w:marLeft w:val="640"/>
      <w:marRight w:val="0"/>
      <w:marTop w:val="0"/>
      <w:marBottom w:val="0"/>
      <w:divBdr>
        <w:top w:val="none" w:sz="0" w:space="0" w:color="auto"/>
        <w:left w:val="none" w:sz="0" w:space="0" w:color="auto"/>
        <w:bottom w:val="none" w:sz="0" w:space="0" w:color="auto"/>
        <w:right w:val="none" w:sz="0" w:space="0" w:color="auto"/>
      </w:divBdr>
    </w:div>
    <w:div w:id="1483618620">
      <w:marLeft w:val="640"/>
      <w:marRight w:val="0"/>
      <w:marTop w:val="0"/>
      <w:marBottom w:val="0"/>
      <w:divBdr>
        <w:top w:val="none" w:sz="0" w:space="0" w:color="auto"/>
        <w:left w:val="none" w:sz="0" w:space="0" w:color="auto"/>
        <w:bottom w:val="none" w:sz="0" w:space="0" w:color="auto"/>
        <w:right w:val="none" w:sz="0" w:space="0" w:color="auto"/>
      </w:divBdr>
    </w:div>
    <w:div w:id="1484540199">
      <w:marLeft w:val="640"/>
      <w:marRight w:val="0"/>
      <w:marTop w:val="0"/>
      <w:marBottom w:val="0"/>
      <w:divBdr>
        <w:top w:val="none" w:sz="0" w:space="0" w:color="auto"/>
        <w:left w:val="none" w:sz="0" w:space="0" w:color="auto"/>
        <w:bottom w:val="none" w:sz="0" w:space="0" w:color="auto"/>
        <w:right w:val="none" w:sz="0" w:space="0" w:color="auto"/>
      </w:divBdr>
    </w:div>
    <w:div w:id="1484665768">
      <w:marLeft w:val="640"/>
      <w:marRight w:val="0"/>
      <w:marTop w:val="0"/>
      <w:marBottom w:val="0"/>
      <w:divBdr>
        <w:top w:val="none" w:sz="0" w:space="0" w:color="auto"/>
        <w:left w:val="none" w:sz="0" w:space="0" w:color="auto"/>
        <w:bottom w:val="none" w:sz="0" w:space="0" w:color="auto"/>
        <w:right w:val="none" w:sz="0" w:space="0" w:color="auto"/>
      </w:divBdr>
    </w:div>
    <w:div w:id="1485273531">
      <w:marLeft w:val="640"/>
      <w:marRight w:val="0"/>
      <w:marTop w:val="0"/>
      <w:marBottom w:val="0"/>
      <w:divBdr>
        <w:top w:val="none" w:sz="0" w:space="0" w:color="auto"/>
        <w:left w:val="none" w:sz="0" w:space="0" w:color="auto"/>
        <w:bottom w:val="none" w:sz="0" w:space="0" w:color="auto"/>
        <w:right w:val="none" w:sz="0" w:space="0" w:color="auto"/>
      </w:divBdr>
    </w:div>
    <w:div w:id="1486967951">
      <w:marLeft w:val="640"/>
      <w:marRight w:val="0"/>
      <w:marTop w:val="0"/>
      <w:marBottom w:val="0"/>
      <w:divBdr>
        <w:top w:val="none" w:sz="0" w:space="0" w:color="auto"/>
        <w:left w:val="none" w:sz="0" w:space="0" w:color="auto"/>
        <w:bottom w:val="none" w:sz="0" w:space="0" w:color="auto"/>
        <w:right w:val="none" w:sz="0" w:space="0" w:color="auto"/>
      </w:divBdr>
    </w:div>
    <w:div w:id="1487239459">
      <w:marLeft w:val="640"/>
      <w:marRight w:val="0"/>
      <w:marTop w:val="0"/>
      <w:marBottom w:val="0"/>
      <w:divBdr>
        <w:top w:val="none" w:sz="0" w:space="0" w:color="auto"/>
        <w:left w:val="none" w:sz="0" w:space="0" w:color="auto"/>
        <w:bottom w:val="none" w:sz="0" w:space="0" w:color="auto"/>
        <w:right w:val="none" w:sz="0" w:space="0" w:color="auto"/>
      </w:divBdr>
    </w:div>
    <w:div w:id="1487478263">
      <w:marLeft w:val="640"/>
      <w:marRight w:val="0"/>
      <w:marTop w:val="0"/>
      <w:marBottom w:val="0"/>
      <w:divBdr>
        <w:top w:val="none" w:sz="0" w:space="0" w:color="auto"/>
        <w:left w:val="none" w:sz="0" w:space="0" w:color="auto"/>
        <w:bottom w:val="none" w:sz="0" w:space="0" w:color="auto"/>
        <w:right w:val="none" w:sz="0" w:space="0" w:color="auto"/>
      </w:divBdr>
    </w:div>
    <w:div w:id="1488010720">
      <w:marLeft w:val="640"/>
      <w:marRight w:val="0"/>
      <w:marTop w:val="0"/>
      <w:marBottom w:val="0"/>
      <w:divBdr>
        <w:top w:val="none" w:sz="0" w:space="0" w:color="auto"/>
        <w:left w:val="none" w:sz="0" w:space="0" w:color="auto"/>
        <w:bottom w:val="none" w:sz="0" w:space="0" w:color="auto"/>
        <w:right w:val="none" w:sz="0" w:space="0" w:color="auto"/>
      </w:divBdr>
    </w:div>
    <w:div w:id="1488478844">
      <w:marLeft w:val="640"/>
      <w:marRight w:val="0"/>
      <w:marTop w:val="0"/>
      <w:marBottom w:val="0"/>
      <w:divBdr>
        <w:top w:val="none" w:sz="0" w:space="0" w:color="auto"/>
        <w:left w:val="none" w:sz="0" w:space="0" w:color="auto"/>
        <w:bottom w:val="none" w:sz="0" w:space="0" w:color="auto"/>
        <w:right w:val="none" w:sz="0" w:space="0" w:color="auto"/>
      </w:divBdr>
    </w:div>
    <w:div w:id="1488520452">
      <w:marLeft w:val="640"/>
      <w:marRight w:val="0"/>
      <w:marTop w:val="0"/>
      <w:marBottom w:val="0"/>
      <w:divBdr>
        <w:top w:val="none" w:sz="0" w:space="0" w:color="auto"/>
        <w:left w:val="none" w:sz="0" w:space="0" w:color="auto"/>
        <w:bottom w:val="none" w:sz="0" w:space="0" w:color="auto"/>
        <w:right w:val="none" w:sz="0" w:space="0" w:color="auto"/>
      </w:divBdr>
    </w:div>
    <w:div w:id="1488548377">
      <w:marLeft w:val="640"/>
      <w:marRight w:val="0"/>
      <w:marTop w:val="0"/>
      <w:marBottom w:val="0"/>
      <w:divBdr>
        <w:top w:val="none" w:sz="0" w:space="0" w:color="auto"/>
        <w:left w:val="none" w:sz="0" w:space="0" w:color="auto"/>
        <w:bottom w:val="none" w:sz="0" w:space="0" w:color="auto"/>
        <w:right w:val="none" w:sz="0" w:space="0" w:color="auto"/>
      </w:divBdr>
    </w:div>
    <w:div w:id="1488859535">
      <w:marLeft w:val="640"/>
      <w:marRight w:val="0"/>
      <w:marTop w:val="0"/>
      <w:marBottom w:val="0"/>
      <w:divBdr>
        <w:top w:val="none" w:sz="0" w:space="0" w:color="auto"/>
        <w:left w:val="none" w:sz="0" w:space="0" w:color="auto"/>
        <w:bottom w:val="none" w:sz="0" w:space="0" w:color="auto"/>
        <w:right w:val="none" w:sz="0" w:space="0" w:color="auto"/>
      </w:divBdr>
    </w:div>
    <w:div w:id="1489445060">
      <w:marLeft w:val="640"/>
      <w:marRight w:val="0"/>
      <w:marTop w:val="0"/>
      <w:marBottom w:val="0"/>
      <w:divBdr>
        <w:top w:val="none" w:sz="0" w:space="0" w:color="auto"/>
        <w:left w:val="none" w:sz="0" w:space="0" w:color="auto"/>
        <w:bottom w:val="none" w:sz="0" w:space="0" w:color="auto"/>
        <w:right w:val="none" w:sz="0" w:space="0" w:color="auto"/>
      </w:divBdr>
    </w:div>
    <w:div w:id="1490633012">
      <w:marLeft w:val="640"/>
      <w:marRight w:val="0"/>
      <w:marTop w:val="0"/>
      <w:marBottom w:val="0"/>
      <w:divBdr>
        <w:top w:val="none" w:sz="0" w:space="0" w:color="auto"/>
        <w:left w:val="none" w:sz="0" w:space="0" w:color="auto"/>
        <w:bottom w:val="none" w:sz="0" w:space="0" w:color="auto"/>
        <w:right w:val="none" w:sz="0" w:space="0" w:color="auto"/>
      </w:divBdr>
    </w:div>
    <w:div w:id="1491365801">
      <w:marLeft w:val="640"/>
      <w:marRight w:val="0"/>
      <w:marTop w:val="0"/>
      <w:marBottom w:val="0"/>
      <w:divBdr>
        <w:top w:val="none" w:sz="0" w:space="0" w:color="auto"/>
        <w:left w:val="none" w:sz="0" w:space="0" w:color="auto"/>
        <w:bottom w:val="none" w:sz="0" w:space="0" w:color="auto"/>
        <w:right w:val="none" w:sz="0" w:space="0" w:color="auto"/>
      </w:divBdr>
    </w:div>
    <w:div w:id="1491754780">
      <w:marLeft w:val="640"/>
      <w:marRight w:val="0"/>
      <w:marTop w:val="0"/>
      <w:marBottom w:val="0"/>
      <w:divBdr>
        <w:top w:val="none" w:sz="0" w:space="0" w:color="auto"/>
        <w:left w:val="none" w:sz="0" w:space="0" w:color="auto"/>
        <w:bottom w:val="none" w:sz="0" w:space="0" w:color="auto"/>
        <w:right w:val="none" w:sz="0" w:space="0" w:color="auto"/>
      </w:divBdr>
    </w:div>
    <w:div w:id="1492408777">
      <w:marLeft w:val="640"/>
      <w:marRight w:val="0"/>
      <w:marTop w:val="0"/>
      <w:marBottom w:val="0"/>
      <w:divBdr>
        <w:top w:val="none" w:sz="0" w:space="0" w:color="auto"/>
        <w:left w:val="none" w:sz="0" w:space="0" w:color="auto"/>
        <w:bottom w:val="none" w:sz="0" w:space="0" w:color="auto"/>
        <w:right w:val="none" w:sz="0" w:space="0" w:color="auto"/>
      </w:divBdr>
    </w:div>
    <w:div w:id="1493332917">
      <w:marLeft w:val="640"/>
      <w:marRight w:val="0"/>
      <w:marTop w:val="0"/>
      <w:marBottom w:val="0"/>
      <w:divBdr>
        <w:top w:val="none" w:sz="0" w:space="0" w:color="auto"/>
        <w:left w:val="none" w:sz="0" w:space="0" w:color="auto"/>
        <w:bottom w:val="none" w:sz="0" w:space="0" w:color="auto"/>
        <w:right w:val="none" w:sz="0" w:space="0" w:color="auto"/>
      </w:divBdr>
    </w:div>
    <w:div w:id="1493983231">
      <w:marLeft w:val="640"/>
      <w:marRight w:val="0"/>
      <w:marTop w:val="0"/>
      <w:marBottom w:val="0"/>
      <w:divBdr>
        <w:top w:val="none" w:sz="0" w:space="0" w:color="auto"/>
        <w:left w:val="none" w:sz="0" w:space="0" w:color="auto"/>
        <w:bottom w:val="none" w:sz="0" w:space="0" w:color="auto"/>
        <w:right w:val="none" w:sz="0" w:space="0" w:color="auto"/>
      </w:divBdr>
    </w:div>
    <w:div w:id="1493983514">
      <w:marLeft w:val="640"/>
      <w:marRight w:val="0"/>
      <w:marTop w:val="0"/>
      <w:marBottom w:val="0"/>
      <w:divBdr>
        <w:top w:val="none" w:sz="0" w:space="0" w:color="auto"/>
        <w:left w:val="none" w:sz="0" w:space="0" w:color="auto"/>
        <w:bottom w:val="none" w:sz="0" w:space="0" w:color="auto"/>
        <w:right w:val="none" w:sz="0" w:space="0" w:color="auto"/>
      </w:divBdr>
    </w:div>
    <w:div w:id="1493983867">
      <w:marLeft w:val="640"/>
      <w:marRight w:val="0"/>
      <w:marTop w:val="0"/>
      <w:marBottom w:val="0"/>
      <w:divBdr>
        <w:top w:val="none" w:sz="0" w:space="0" w:color="auto"/>
        <w:left w:val="none" w:sz="0" w:space="0" w:color="auto"/>
        <w:bottom w:val="none" w:sz="0" w:space="0" w:color="auto"/>
        <w:right w:val="none" w:sz="0" w:space="0" w:color="auto"/>
      </w:divBdr>
    </w:div>
    <w:div w:id="1494374591">
      <w:marLeft w:val="640"/>
      <w:marRight w:val="0"/>
      <w:marTop w:val="0"/>
      <w:marBottom w:val="0"/>
      <w:divBdr>
        <w:top w:val="none" w:sz="0" w:space="0" w:color="auto"/>
        <w:left w:val="none" w:sz="0" w:space="0" w:color="auto"/>
        <w:bottom w:val="none" w:sz="0" w:space="0" w:color="auto"/>
        <w:right w:val="none" w:sz="0" w:space="0" w:color="auto"/>
      </w:divBdr>
    </w:div>
    <w:div w:id="1494489517">
      <w:marLeft w:val="640"/>
      <w:marRight w:val="0"/>
      <w:marTop w:val="0"/>
      <w:marBottom w:val="0"/>
      <w:divBdr>
        <w:top w:val="none" w:sz="0" w:space="0" w:color="auto"/>
        <w:left w:val="none" w:sz="0" w:space="0" w:color="auto"/>
        <w:bottom w:val="none" w:sz="0" w:space="0" w:color="auto"/>
        <w:right w:val="none" w:sz="0" w:space="0" w:color="auto"/>
      </w:divBdr>
    </w:div>
    <w:div w:id="1494683062">
      <w:marLeft w:val="640"/>
      <w:marRight w:val="0"/>
      <w:marTop w:val="0"/>
      <w:marBottom w:val="0"/>
      <w:divBdr>
        <w:top w:val="none" w:sz="0" w:space="0" w:color="auto"/>
        <w:left w:val="none" w:sz="0" w:space="0" w:color="auto"/>
        <w:bottom w:val="none" w:sz="0" w:space="0" w:color="auto"/>
        <w:right w:val="none" w:sz="0" w:space="0" w:color="auto"/>
      </w:divBdr>
    </w:div>
    <w:div w:id="1496610789">
      <w:marLeft w:val="640"/>
      <w:marRight w:val="0"/>
      <w:marTop w:val="0"/>
      <w:marBottom w:val="0"/>
      <w:divBdr>
        <w:top w:val="none" w:sz="0" w:space="0" w:color="auto"/>
        <w:left w:val="none" w:sz="0" w:space="0" w:color="auto"/>
        <w:bottom w:val="none" w:sz="0" w:space="0" w:color="auto"/>
        <w:right w:val="none" w:sz="0" w:space="0" w:color="auto"/>
      </w:divBdr>
    </w:div>
    <w:div w:id="1496649607">
      <w:marLeft w:val="640"/>
      <w:marRight w:val="0"/>
      <w:marTop w:val="0"/>
      <w:marBottom w:val="0"/>
      <w:divBdr>
        <w:top w:val="none" w:sz="0" w:space="0" w:color="auto"/>
        <w:left w:val="none" w:sz="0" w:space="0" w:color="auto"/>
        <w:bottom w:val="none" w:sz="0" w:space="0" w:color="auto"/>
        <w:right w:val="none" w:sz="0" w:space="0" w:color="auto"/>
      </w:divBdr>
    </w:div>
    <w:div w:id="1497260617">
      <w:marLeft w:val="640"/>
      <w:marRight w:val="0"/>
      <w:marTop w:val="0"/>
      <w:marBottom w:val="0"/>
      <w:divBdr>
        <w:top w:val="none" w:sz="0" w:space="0" w:color="auto"/>
        <w:left w:val="none" w:sz="0" w:space="0" w:color="auto"/>
        <w:bottom w:val="none" w:sz="0" w:space="0" w:color="auto"/>
        <w:right w:val="none" w:sz="0" w:space="0" w:color="auto"/>
      </w:divBdr>
    </w:div>
    <w:div w:id="1497263316">
      <w:marLeft w:val="640"/>
      <w:marRight w:val="0"/>
      <w:marTop w:val="0"/>
      <w:marBottom w:val="0"/>
      <w:divBdr>
        <w:top w:val="none" w:sz="0" w:space="0" w:color="auto"/>
        <w:left w:val="none" w:sz="0" w:space="0" w:color="auto"/>
        <w:bottom w:val="none" w:sz="0" w:space="0" w:color="auto"/>
        <w:right w:val="none" w:sz="0" w:space="0" w:color="auto"/>
      </w:divBdr>
    </w:div>
    <w:div w:id="1497763892">
      <w:marLeft w:val="640"/>
      <w:marRight w:val="0"/>
      <w:marTop w:val="0"/>
      <w:marBottom w:val="0"/>
      <w:divBdr>
        <w:top w:val="none" w:sz="0" w:space="0" w:color="auto"/>
        <w:left w:val="none" w:sz="0" w:space="0" w:color="auto"/>
        <w:bottom w:val="none" w:sz="0" w:space="0" w:color="auto"/>
        <w:right w:val="none" w:sz="0" w:space="0" w:color="auto"/>
      </w:divBdr>
    </w:div>
    <w:div w:id="1497844587">
      <w:marLeft w:val="640"/>
      <w:marRight w:val="0"/>
      <w:marTop w:val="0"/>
      <w:marBottom w:val="0"/>
      <w:divBdr>
        <w:top w:val="none" w:sz="0" w:space="0" w:color="auto"/>
        <w:left w:val="none" w:sz="0" w:space="0" w:color="auto"/>
        <w:bottom w:val="none" w:sz="0" w:space="0" w:color="auto"/>
        <w:right w:val="none" w:sz="0" w:space="0" w:color="auto"/>
      </w:divBdr>
    </w:div>
    <w:div w:id="1497916020">
      <w:marLeft w:val="640"/>
      <w:marRight w:val="0"/>
      <w:marTop w:val="0"/>
      <w:marBottom w:val="0"/>
      <w:divBdr>
        <w:top w:val="none" w:sz="0" w:space="0" w:color="auto"/>
        <w:left w:val="none" w:sz="0" w:space="0" w:color="auto"/>
        <w:bottom w:val="none" w:sz="0" w:space="0" w:color="auto"/>
        <w:right w:val="none" w:sz="0" w:space="0" w:color="auto"/>
      </w:divBdr>
    </w:div>
    <w:div w:id="1498375787">
      <w:marLeft w:val="640"/>
      <w:marRight w:val="0"/>
      <w:marTop w:val="0"/>
      <w:marBottom w:val="0"/>
      <w:divBdr>
        <w:top w:val="none" w:sz="0" w:space="0" w:color="auto"/>
        <w:left w:val="none" w:sz="0" w:space="0" w:color="auto"/>
        <w:bottom w:val="none" w:sz="0" w:space="0" w:color="auto"/>
        <w:right w:val="none" w:sz="0" w:space="0" w:color="auto"/>
      </w:divBdr>
    </w:div>
    <w:div w:id="1498885509">
      <w:marLeft w:val="640"/>
      <w:marRight w:val="0"/>
      <w:marTop w:val="0"/>
      <w:marBottom w:val="0"/>
      <w:divBdr>
        <w:top w:val="none" w:sz="0" w:space="0" w:color="auto"/>
        <w:left w:val="none" w:sz="0" w:space="0" w:color="auto"/>
        <w:bottom w:val="none" w:sz="0" w:space="0" w:color="auto"/>
        <w:right w:val="none" w:sz="0" w:space="0" w:color="auto"/>
      </w:divBdr>
    </w:div>
    <w:div w:id="1499345963">
      <w:marLeft w:val="640"/>
      <w:marRight w:val="0"/>
      <w:marTop w:val="0"/>
      <w:marBottom w:val="0"/>
      <w:divBdr>
        <w:top w:val="none" w:sz="0" w:space="0" w:color="auto"/>
        <w:left w:val="none" w:sz="0" w:space="0" w:color="auto"/>
        <w:bottom w:val="none" w:sz="0" w:space="0" w:color="auto"/>
        <w:right w:val="none" w:sz="0" w:space="0" w:color="auto"/>
      </w:divBdr>
    </w:div>
    <w:div w:id="1500196969">
      <w:marLeft w:val="640"/>
      <w:marRight w:val="0"/>
      <w:marTop w:val="0"/>
      <w:marBottom w:val="0"/>
      <w:divBdr>
        <w:top w:val="none" w:sz="0" w:space="0" w:color="auto"/>
        <w:left w:val="none" w:sz="0" w:space="0" w:color="auto"/>
        <w:bottom w:val="none" w:sz="0" w:space="0" w:color="auto"/>
        <w:right w:val="none" w:sz="0" w:space="0" w:color="auto"/>
      </w:divBdr>
    </w:div>
    <w:div w:id="1501432611">
      <w:marLeft w:val="640"/>
      <w:marRight w:val="0"/>
      <w:marTop w:val="0"/>
      <w:marBottom w:val="0"/>
      <w:divBdr>
        <w:top w:val="none" w:sz="0" w:space="0" w:color="auto"/>
        <w:left w:val="none" w:sz="0" w:space="0" w:color="auto"/>
        <w:bottom w:val="none" w:sz="0" w:space="0" w:color="auto"/>
        <w:right w:val="none" w:sz="0" w:space="0" w:color="auto"/>
      </w:divBdr>
    </w:div>
    <w:div w:id="1501626953">
      <w:marLeft w:val="640"/>
      <w:marRight w:val="0"/>
      <w:marTop w:val="0"/>
      <w:marBottom w:val="0"/>
      <w:divBdr>
        <w:top w:val="none" w:sz="0" w:space="0" w:color="auto"/>
        <w:left w:val="none" w:sz="0" w:space="0" w:color="auto"/>
        <w:bottom w:val="none" w:sz="0" w:space="0" w:color="auto"/>
        <w:right w:val="none" w:sz="0" w:space="0" w:color="auto"/>
      </w:divBdr>
    </w:div>
    <w:div w:id="1501893645">
      <w:marLeft w:val="640"/>
      <w:marRight w:val="0"/>
      <w:marTop w:val="0"/>
      <w:marBottom w:val="0"/>
      <w:divBdr>
        <w:top w:val="none" w:sz="0" w:space="0" w:color="auto"/>
        <w:left w:val="none" w:sz="0" w:space="0" w:color="auto"/>
        <w:bottom w:val="none" w:sz="0" w:space="0" w:color="auto"/>
        <w:right w:val="none" w:sz="0" w:space="0" w:color="auto"/>
      </w:divBdr>
    </w:div>
    <w:div w:id="1502047040">
      <w:marLeft w:val="640"/>
      <w:marRight w:val="0"/>
      <w:marTop w:val="0"/>
      <w:marBottom w:val="0"/>
      <w:divBdr>
        <w:top w:val="none" w:sz="0" w:space="0" w:color="auto"/>
        <w:left w:val="none" w:sz="0" w:space="0" w:color="auto"/>
        <w:bottom w:val="none" w:sz="0" w:space="0" w:color="auto"/>
        <w:right w:val="none" w:sz="0" w:space="0" w:color="auto"/>
      </w:divBdr>
    </w:div>
    <w:div w:id="1502311188">
      <w:marLeft w:val="640"/>
      <w:marRight w:val="0"/>
      <w:marTop w:val="0"/>
      <w:marBottom w:val="0"/>
      <w:divBdr>
        <w:top w:val="none" w:sz="0" w:space="0" w:color="auto"/>
        <w:left w:val="none" w:sz="0" w:space="0" w:color="auto"/>
        <w:bottom w:val="none" w:sz="0" w:space="0" w:color="auto"/>
        <w:right w:val="none" w:sz="0" w:space="0" w:color="auto"/>
      </w:divBdr>
    </w:div>
    <w:div w:id="1502357819">
      <w:marLeft w:val="640"/>
      <w:marRight w:val="0"/>
      <w:marTop w:val="0"/>
      <w:marBottom w:val="0"/>
      <w:divBdr>
        <w:top w:val="none" w:sz="0" w:space="0" w:color="auto"/>
        <w:left w:val="none" w:sz="0" w:space="0" w:color="auto"/>
        <w:bottom w:val="none" w:sz="0" w:space="0" w:color="auto"/>
        <w:right w:val="none" w:sz="0" w:space="0" w:color="auto"/>
      </w:divBdr>
    </w:div>
    <w:div w:id="1502426320">
      <w:marLeft w:val="640"/>
      <w:marRight w:val="0"/>
      <w:marTop w:val="0"/>
      <w:marBottom w:val="0"/>
      <w:divBdr>
        <w:top w:val="none" w:sz="0" w:space="0" w:color="auto"/>
        <w:left w:val="none" w:sz="0" w:space="0" w:color="auto"/>
        <w:bottom w:val="none" w:sz="0" w:space="0" w:color="auto"/>
        <w:right w:val="none" w:sz="0" w:space="0" w:color="auto"/>
      </w:divBdr>
    </w:div>
    <w:div w:id="1502626863">
      <w:marLeft w:val="640"/>
      <w:marRight w:val="0"/>
      <w:marTop w:val="0"/>
      <w:marBottom w:val="0"/>
      <w:divBdr>
        <w:top w:val="none" w:sz="0" w:space="0" w:color="auto"/>
        <w:left w:val="none" w:sz="0" w:space="0" w:color="auto"/>
        <w:bottom w:val="none" w:sz="0" w:space="0" w:color="auto"/>
        <w:right w:val="none" w:sz="0" w:space="0" w:color="auto"/>
      </w:divBdr>
    </w:div>
    <w:div w:id="1502890341">
      <w:marLeft w:val="640"/>
      <w:marRight w:val="0"/>
      <w:marTop w:val="0"/>
      <w:marBottom w:val="0"/>
      <w:divBdr>
        <w:top w:val="none" w:sz="0" w:space="0" w:color="auto"/>
        <w:left w:val="none" w:sz="0" w:space="0" w:color="auto"/>
        <w:bottom w:val="none" w:sz="0" w:space="0" w:color="auto"/>
        <w:right w:val="none" w:sz="0" w:space="0" w:color="auto"/>
      </w:divBdr>
    </w:div>
    <w:div w:id="1502962812">
      <w:marLeft w:val="640"/>
      <w:marRight w:val="0"/>
      <w:marTop w:val="0"/>
      <w:marBottom w:val="0"/>
      <w:divBdr>
        <w:top w:val="none" w:sz="0" w:space="0" w:color="auto"/>
        <w:left w:val="none" w:sz="0" w:space="0" w:color="auto"/>
        <w:bottom w:val="none" w:sz="0" w:space="0" w:color="auto"/>
        <w:right w:val="none" w:sz="0" w:space="0" w:color="auto"/>
      </w:divBdr>
    </w:div>
    <w:div w:id="1503397453">
      <w:marLeft w:val="640"/>
      <w:marRight w:val="0"/>
      <w:marTop w:val="0"/>
      <w:marBottom w:val="0"/>
      <w:divBdr>
        <w:top w:val="none" w:sz="0" w:space="0" w:color="auto"/>
        <w:left w:val="none" w:sz="0" w:space="0" w:color="auto"/>
        <w:bottom w:val="none" w:sz="0" w:space="0" w:color="auto"/>
        <w:right w:val="none" w:sz="0" w:space="0" w:color="auto"/>
      </w:divBdr>
    </w:div>
    <w:div w:id="1503543651">
      <w:marLeft w:val="640"/>
      <w:marRight w:val="0"/>
      <w:marTop w:val="0"/>
      <w:marBottom w:val="0"/>
      <w:divBdr>
        <w:top w:val="none" w:sz="0" w:space="0" w:color="auto"/>
        <w:left w:val="none" w:sz="0" w:space="0" w:color="auto"/>
        <w:bottom w:val="none" w:sz="0" w:space="0" w:color="auto"/>
        <w:right w:val="none" w:sz="0" w:space="0" w:color="auto"/>
      </w:divBdr>
    </w:div>
    <w:div w:id="1504466072">
      <w:marLeft w:val="640"/>
      <w:marRight w:val="0"/>
      <w:marTop w:val="0"/>
      <w:marBottom w:val="0"/>
      <w:divBdr>
        <w:top w:val="none" w:sz="0" w:space="0" w:color="auto"/>
        <w:left w:val="none" w:sz="0" w:space="0" w:color="auto"/>
        <w:bottom w:val="none" w:sz="0" w:space="0" w:color="auto"/>
        <w:right w:val="none" w:sz="0" w:space="0" w:color="auto"/>
      </w:divBdr>
    </w:div>
    <w:div w:id="1506095549">
      <w:marLeft w:val="640"/>
      <w:marRight w:val="0"/>
      <w:marTop w:val="0"/>
      <w:marBottom w:val="0"/>
      <w:divBdr>
        <w:top w:val="none" w:sz="0" w:space="0" w:color="auto"/>
        <w:left w:val="none" w:sz="0" w:space="0" w:color="auto"/>
        <w:bottom w:val="none" w:sz="0" w:space="0" w:color="auto"/>
        <w:right w:val="none" w:sz="0" w:space="0" w:color="auto"/>
      </w:divBdr>
    </w:div>
    <w:div w:id="1508638937">
      <w:marLeft w:val="640"/>
      <w:marRight w:val="0"/>
      <w:marTop w:val="0"/>
      <w:marBottom w:val="0"/>
      <w:divBdr>
        <w:top w:val="none" w:sz="0" w:space="0" w:color="auto"/>
        <w:left w:val="none" w:sz="0" w:space="0" w:color="auto"/>
        <w:bottom w:val="none" w:sz="0" w:space="0" w:color="auto"/>
        <w:right w:val="none" w:sz="0" w:space="0" w:color="auto"/>
      </w:divBdr>
    </w:div>
    <w:div w:id="1509638179">
      <w:marLeft w:val="640"/>
      <w:marRight w:val="0"/>
      <w:marTop w:val="0"/>
      <w:marBottom w:val="0"/>
      <w:divBdr>
        <w:top w:val="none" w:sz="0" w:space="0" w:color="auto"/>
        <w:left w:val="none" w:sz="0" w:space="0" w:color="auto"/>
        <w:bottom w:val="none" w:sz="0" w:space="0" w:color="auto"/>
        <w:right w:val="none" w:sz="0" w:space="0" w:color="auto"/>
      </w:divBdr>
    </w:div>
    <w:div w:id="1510146050">
      <w:marLeft w:val="640"/>
      <w:marRight w:val="0"/>
      <w:marTop w:val="0"/>
      <w:marBottom w:val="0"/>
      <w:divBdr>
        <w:top w:val="none" w:sz="0" w:space="0" w:color="auto"/>
        <w:left w:val="none" w:sz="0" w:space="0" w:color="auto"/>
        <w:bottom w:val="none" w:sz="0" w:space="0" w:color="auto"/>
        <w:right w:val="none" w:sz="0" w:space="0" w:color="auto"/>
      </w:divBdr>
    </w:div>
    <w:div w:id="1512332353">
      <w:marLeft w:val="640"/>
      <w:marRight w:val="0"/>
      <w:marTop w:val="0"/>
      <w:marBottom w:val="0"/>
      <w:divBdr>
        <w:top w:val="none" w:sz="0" w:space="0" w:color="auto"/>
        <w:left w:val="none" w:sz="0" w:space="0" w:color="auto"/>
        <w:bottom w:val="none" w:sz="0" w:space="0" w:color="auto"/>
        <w:right w:val="none" w:sz="0" w:space="0" w:color="auto"/>
      </w:divBdr>
    </w:div>
    <w:div w:id="1512526486">
      <w:marLeft w:val="640"/>
      <w:marRight w:val="0"/>
      <w:marTop w:val="0"/>
      <w:marBottom w:val="0"/>
      <w:divBdr>
        <w:top w:val="none" w:sz="0" w:space="0" w:color="auto"/>
        <w:left w:val="none" w:sz="0" w:space="0" w:color="auto"/>
        <w:bottom w:val="none" w:sz="0" w:space="0" w:color="auto"/>
        <w:right w:val="none" w:sz="0" w:space="0" w:color="auto"/>
      </w:divBdr>
    </w:div>
    <w:div w:id="1515415295">
      <w:marLeft w:val="640"/>
      <w:marRight w:val="0"/>
      <w:marTop w:val="0"/>
      <w:marBottom w:val="0"/>
      <w:divBdr>
        <w:top w:val="none" w:sz="0" w:space="0" w:color="auto"/>
        <w:left w:val="none" w:sz="0" w:space="0" w:color="auto"/>
        <w:bottom w:val="none" w:sz="0" w:space="0" w:color="auto"/>
        <w:right w:val="none" w:sz="0" w:space="0" w:color="auto"/>
      </w:divBdr>
    </w:div>
    <w:div w:id="1516841224">
      <w:marLeft w:val="640"/>
      <w:marRight w:val="0"/>
      <w:marTop w:val="0"/>
      <w:marBottom w:val="0"/>
      <w:divBdr>
        <w:top w:val="none" w:sz="0" w:space="0" w:color="auto"/>
        <w:left w:val="none" w:sz="0" w:space="0" w:color="auto"/>
        <w:bottom w:val="none" w:sz="0" w:space="0" w:color="auto"/>
        <w:right w:val="none" w:sz="0" w:space="0" w:color="auto"/>
      </w:divBdr>
    </w:div>
    <w:div w:id="1517889105">
      <w:marLeft w:val="640"/>
      <w:marRight w:val="0"/>
      <w:marTop w:val="0"/>
      <w:marBottom w:val="0"/>
      <w:divBdr>
        <w:top w:val="none" w:sz="0" w:space="0" w:color="auto"/>
        <w:left w:val="none" w:sz="0" w:space="0" w:color="auto"/>
        <w:bottom w:val="none" w:sz="0" w:space="0" w:color="auto"/>
        <w:right w:val="none" w:sz="0" w:space="0" w:color="auto"/>
      </w:divBdr>
    </w:div>
    <w:div w:id="1517958184">
      <w:marLeft w:val="640"/>
      <w:marRight w:val="0"/>
      <w:marTop w:val="0"/>
      <w:marBottom w:val="0"/>
      <w:divBdr>
        <w:top w:val="none" w:sz="0" w:space="0" w:color="auto"/>
        <w:left w:val="none" w:sz="0" w:space="0" w:color="auto"/>
        <w:bottom w:val="none" w:sz="0" w:space="0" w:color="auto"/>
        <w:right w:val="none" w:sz="0" w:space="0" w:color="auto"/>
      </w:divBdr>
    </w:div>
    <w:div w:id="1518422197">
      <w:marLeft w:val="640"/>
      <w:marRight w:val="0"/>
      <w:marTop w:val="0"/>
      <w:marBottom w:val="0"/>
      <w:divBdr>
        <w:top w:val="none" w:sz="0" w:space="0" w:color="auto"/>
        <w:left w:val="none" w:sz="0" w:space="0" w:color="auto"/>
        <w:bottom w:val="none" w:sz="0" w:space="0" w:color="auto"/>
        <w:right w:val="none" w:sz="0" w:space="0" w:color="auto"/>
      </w:divBdr>
    </w:div>
    <w:div w:id="1518537668">
      <w:marLeft w:val="640"/>
      <w:marRight w:val="0"/>
      <w:marTop w:val="0"/>
      <w:marBottom w:val="0"/>
      <w:divBdr>
        <w:top w:val="none" w:sz="0" w:space="0" w:color="auto"/>
        <w:left w:val="none" w:sz="0" w:space="0" w:color="auto"/>
        <w:bottom w:val="none" w:sz="0" w:space="0" w:color="auto"/>
        <w:right w:val="none" w:sz="0" w:space="0" w:color="auto"/>
      </w:divBdr>
    </w:div>
    <w:div w:id="1518613348">
      <w:marLeft w:val="640"/>
      <w:marRight w:val="0"/>
      <w:marTop w:val="0"/>
      <w:marBottom w:val="0"/>
      <w:divBdr>
        <w:top w:val="none" w:sz="0" w:space="0" w:color="auto"/>
        <w:left w:val="none" w:sz="0" w:space="0" w:color="auto"/>
        <w:bottom w:val="none" w:sz="0" w:space="0" w:color="auto"/>
        <w:right w:val="none" w:sz="0" w:space="0" w:color="auto"/>
      </w:divBdr>
    </w:div>
    <w:div w:id="1521166900">
      <w:marLeft w:val="640"/>
      <w:marRight w:val="0"/>
      <w:marTop w:val="0"/>
      <w:marBottom w:val="0"/>
      <w:divBdr>
        <w:top w:val="none" w:sz="0" w:space="0" w:color="auto"/>
        <w:left w:val="none" w:sz="0" w:space="0" w:color="auto"/>
        <w:bottom w:val="none" w:sz="0" w:space="0" w:color="auto"/>
        <w:right w:val="none" w:sz="0" w:space="0" w:color="auto"/>
      </w:divBdr>
    </w:div>
    <w:div w:id="1521309992">
      <w:marLeft w:val="640"/>
      <w:marRight w:val="0"/>
      <w:marTop w:val="0"/>
      <w:marBottom w:val="0"/>
      <w:divBdr>
        <w:top w:val="none" w:sz="0" w:space="0" w:color="auto"/>
        <w:left w:val="none" w:sz="0" w:space="0" w:color="auto"/>
        <w:bottom w:val="none" w:sz="0" w:space="0" w:color="auto"/>
        <w:right w:val="none" w:sz="0" w:space="0" w:color="auto"/>
      </w:divBdr>
    </w:div>
    <w:div w:id="1524245738">
      <w:marLeft w:val="640"/>
      <w:marRight w:val="0"/>
      <w:marTop w:val="0"/>
      <w:marBottom w:val="0"/>
      <w:divBdr>
        <w:top w:val="none" w:sz="0" w:space="0" w:color="auto"/>
        <w:left w:val="none" w:sz="0" w:space="0" w:color="auto"/>
        <w:bottom w:val="none" w:sz="0" w:space="0" w:color="auto"/>
        <w:right w:val="none" w:sz="0" w:space="0" w:color="auto"/>
      </w:divBdr>
    </w:div>
    <w:div w:id="1525703200">
      <w:marLeft w:val="640"/>
      <w:marRight w:val="0"/>
      <w:marTop w:val="0"/>
      <w:marBottom w:val="0"/>
      <w:divBdr>
        <w:top w:val="none" w:sz="0" w:space="0" w:color="auto"/>
        <w:left w:val="none" w:sz="0" w:space="0" w:color="auto"/>
        <w:bottom w:val="none" w:sz="0" w:space="0" w:color="auto"/>
        <w:right w:val="none" w:sz="0" w:space="0" w:color="auto"/>
      </w:divBdr>
    </w:div>
    <w:div w:id="1527644704">
      <w:marLeft w:val="640"/>
      <w:marRight w:val="0"/>
      <w:marTop w:val="0"/>
      <w:marBottom w:val="0"/>
      <w:divBdr>
        <w:top w:val="none" w:sz="0" w:space="0" w:color="auto"/>
        <w:left w:val="none" w:sz="0" w:space="0" w:color="auto"/>
        <w:bottom w:val="none" w:sz="0" w:space="0" w:color="auto"/>
        <w:right w:val="none" w:sz="0" w:space="0" w:color="auto"/>
      </w:divBdr>
    </w:div>
    <w:div w:id="1529173105">
      <w:marLeft w:val="640"/>
      <w:marRight w:val="0"/>
      <w:marTop w:val="0"/>
      <w:marBottom w:val="0"/>
      <w:divBdr>
        <w:top w:val="none" w:sz="0" w:space="0" w:color="auto"/>
        <w:left w:val="none" w:sz="0" w:space="0" w:color="auto"/>
        <w:bottom w:val="none" w:sz="0" w:space="0" w:color="auto"/>
        <w:right w:val="none" w:sz="0" w:space="0" w:color="auto"/>
      </w:divBdr>
    </w:div>
    <w:div w:id="1529180279">
      <w:marLeft w:val="640"/>
      <w:marRight w:val="0"/>
      <w:marTop w:val="0"/>
      <w:marBottom w:val="0"/>
      <w:divBdr>
        <w:top w:val="none" w:sz="0" w:space="0" w:color="auto"/>
        <w:left w:val="none" w:sz="0" w:space="0" w:color="auto"/>
        <w:bottom w:val="none" w:sz="0" w:space="0" w:color="auto"/>
        <w:right w:val="none" w:sz="0" w:space="0" w:color="auto"/>
      </w:divBdr>
    </w:div>
    <w:div w:id="1529370884">
      <w:marLeft w:val="640"/>
      <w:marRight w:val="0"/>
      <w:marTop w:val="0"/>
      <w:marBottom w:val="0"/>
      <w:divBdr>
        <w:top w:val="none" w:sz="0" w:space="0" w:color="auto"/>
        <w:left w:val="none" w:sz="0" w:space="0" w:color="auto"/>
        <w:bottom w:val="none" w:sz="0" w:space="0" w:color="auto"/>
        <w:right w:val="none" w:sz="0" w:space="0" w:color="auto"/>
      </w:divBdr>
    </w:div>
    <w:div w:id="1530947275">
      <w:marLeft w:val="640"/>
      <w:marRight w:val="0"/>
      <w:marTop w:val="0"/>
      <w:marBottom w:val="0"/>
      <w:divBdr>
        <w:top w:val="none" w:sz="0" w:space="0" w:color="auto"/>
        <w:left w:val="none" w:sz="0" w:space="0" w:color="auto"/>
        <w:bottom w:val="none" w:sz="0" w:space="0" w:color="auto"/>
        <w:right w:val="none" w:sz="0" w:space="0" w:color="auto"/>
      </w:divBdr>
    </w:div>
    <w:div w:id="1531576375">
      <w:marLeft w:val="640"/>
      <w:marRight w:val="0"/>
      <w:marTop w:val="0"/>
      <w:marBottom w:val="0"/>
      <w:divBdr>
        <w:top w:val="none" w:sz="0" w:space="0" w:color="auto"/>
        <w:left w:val="none" w:sz="0" w:space="0" w:color="auto"/>
        <w:bottom w:val="none" w:sz="0" w:space="0" w:color="auto"/>
        <w:right w:val="none" w:sz="0" w:space="0" w:color="auto"/>
      </w:divBdr>
    </w:div>
    <w:div w:id="1532453291">
      <w:marLeft w:val="640"/>
      <w:marRight w:val="0"/>
      <w:marTop w:val="0"/>
      <w:marBottom w:val="0"/>
      <w:divBdr>
        <w:top w:val="none" w:sz="0" w:space="0" w:color="auto"/>
        <w:left w:val="none" w:sz="0" w:space="0" w:color="auto"/>
        <w:bottom w:val="none" w:sz="0" w:space="0" w:color="auto"/>
        <w:right w:val="none" w:sz="0" w:space="0" w:color="auto"/>
      </w:divBdr>
    </w:div>
    <w:div w:id="1532574187">
      <w:marLeft w:val="640"/>
      <w:marRight w:val="0"/>
      <w:marTop w:val="0"/>
      <w:marBottom w:val="0"/>
      <w:divBdr>
        <w:top w:val="none" w:sz="0" w:space="0" w:color="auto"/>
        <w:left w:val="none" w:sz="0" w:space="0" w:color="auto"/>
        <w:bottom w:val="none" w:sz="0" w:space="0" w:color="auto"/>
        <w:right w:val="none" w:sz="0" w:space="0" w:color="auto"/>
      </w:divBdr>
    </w:div>
    <w:div w:id="1535733726">
      <w:marLeft w:val="640"/>
      <w:marRight w:val="0"/>
      <w:marTop w:val="0"/>
      <w:marBottom w:val="0"/>
      <w:divBdr>
        <w:top w:val="none" w:sz="0" w:space="0" w:color="auto"/>
        <w:left w:val="none" w:sz="0" w:space="0" w:color="auto"/>
        <w:bottom w:val="none" w:sz="0" w:space="0" w:color="auto"/>
        <w:right w:val="none" w:sz="0" w:space="0" w:color="auto"/>
      </w:divBdr>
    </w:div>
    <w:div w:id="1537426813">
      <w:marLeft w:val="640"/>
      <w:marRight w:val="0"/>
      <w:marTop w:val="0"/>
      <w:marBottom w:val="0"/>
      <w:divBdr>
        <w:top w:val="none" w:sz="0" w:space="0" w:color="auto"/>
        <w:left w:val="none" w:sz="0" w:space="0" w:color="auto"/>
        <w:bottom w:val="none" w:sz="0" w:space="0" w:color="auto"/>
        <w:right w:val="none" w:sz="0" w:space="0" w:color="auto"/>
      </w:divBdr>
    </w:div>
    <w:div w:id="1538086835">
      <w:marLeft w:val="640"/>
      <w:marRight w:val="0"/>
      <w:marTop w:val="0"/>
      <w:marBottom w:val="0"/>
      <w:divBdr>
        <w:top w:val="none" w:sz="0" w:space="0" w:color="auto"/>
        <w:left w:val="none" w:sz="0" w:space="0" w:color="auto"/>
        <w:bottom w:val="none" w:sz="0" w:space="0" w:color="auto"/>
        <w:right w:val="none" w:sz="0" w:space="0" w:color="auto"/>
      </w:divBdr>
    </w:div>
    <w:div w:id="1538158423">
      <w:marLeft w:val="640"/>
      <w:marRight w:val="0"/>
      <w:marTop w:val="0"/>
      <w:marBottom w:val="0"/>
      <w:divBdr>
        <w:top w:val="none" w:sz="0" w:space="0" w:color="auto"/>
        <w:left w:val="none" w:sz="0" w:space="0" w:color="auto"/>
        <w:bottom w:val="none" w:sz="0" w:space="0" w:color="auto"/>
        <w:right w:val="none" w:sz="0" w:space="0" w:color="auto"/>
      </w:divBdr>
    </w:div>
    <w:div w:id="1538740857">
      <w:marLeft w:val="640"/>
      <w:marRight w:val="0"/>
      <w:marTop w:val="0"/>
      <w:marBottom w:val="0"/>
      <w:divBdr>
        <w:top w:val="none" w:sz="0" w:space="0" w:color="auto"/>
        <w:left w:val="none" w:sz="0" w:space="0" w:color="auto"/>
        <w:bottom w:val="none" w:sz="0" w:space="0" w:color="auto"/>
        <w:right w:val="none" w:sz="0" w:space="0" w:color="auto"/>
      </w:divBdr>
    </w:div>
    <w:div w:id="1539049799">
      <w:marLeft w:val="640"/>
      <w:marRight w:val="0"/>
      <w:marTop w:val="0"/>
      <w:marBottom w:val="0"/>
      <w:divBdr>
        <w:top w:val="none" w:sz="0" w:space="0" w:color="auto"/>
        <w:left w:val="none" w:sz="0" w:space="0" w:color="auto"/>
        <w:bottom w:val="none" w:sz="0" w:space="0" w:color="auto"/>
        <w:right w:val="none" w:sz="0" w:space="0" w:color="auto"/>
      </w:divBdr>
    </w:div>
    <w:div w:id="1540050574">
      <w:marLeft w:val="640"/>
      <w:marRight w:val="0"/>
      <w:marTop w:val="0"/>
      <w:marBottom w:val="0"/>
      <w:divBdr>
        <w:top w:val="none" w:sz="0" w:space="0" w:color="auto"/>
        <w:left w:val="none" w:sz="0" w:space="0" w:color="auto"/>
        <w:bottom w:val="none" w:sz="0" w:space="0" w:color="auto"/>
        <w:right w:val="none" w:sz="0" w:space="0" w:color="auto"/>
      </w:divBdr>
    </w:div>
    <w:div w:id="1540319756">
      <w:marLeft w:val="640"/>
      <w:marRight w:val="0"/>
      <w:marTop w:val="0"/>
      <w:marBottom w:val="0"/>
      <w:divBdr>
        <w:top w:val="none" w:sz="0" w:space="0" w:color="auto"/>
        <w:left w:val="none" w:sz="0" w:space="0" w:color="auto"/>
        <w:bottom w:val="none" w:sz="0" w:space="0" w:color="auto"/>
        <w:right w:val="none" w:sz="0" w:space="0" w:color="auto"/>
      </w:divBdr>
    </w:div>
    <w:div w:id="1541866265">
      <w:marLeft w:val="640"/>
      <w:marRight w:val="0"/>
      <w:marTop w:val="0"/>
      <w:marBottom w:val="0"/>
      <w:divBdr>
        <w:top w:val="none" w:sz="0" w:space="0" w:color="auto"/>
        <w:left w:val="none" w:sz="0" w:space="0" w:color="auto"/>
        <w:bottom w:val="none" w:sz="0" w:space="0" w:color="auto"/>
        <w:right w:val="none" w:sz="0" w:space="0" w:color="auto"/>
      </w:divBdr>
    </w:div>
    <w:div w:id="1542664345">
      <w:marLeft w:val="640"/>
      <w:marRight w:val="0"/>
      <w:marTop w:val="0"/>
      <w:marBottom w:val="0"/>
      <w:divBdr>
        <w:top w:val="none" w:sz="0" w:space="0" w:color="auto"/>
        <w:left w:val="none" w:sz="0" w:space="0" w:color="auto"/>
        <w:bottom w:val="none" w:sz="0" w:space="0" w:color="auto"/>
        <w:right w:val="none" w:sz="0" w:space="0" w:color="auto"/>
      </w:divBdr>
    </w:div>
    <w:div w:id="1543402050">
      <w:marLeft w:val="640"/>
      <w:marRight w:val="0"/>
      <w:marTop w:val="0"/>
      <w:marBottom w:val="0"/>
      <w:divBdr>
        <w:top w:val="none" w:sz="0" w:space="0" w:color="auto"/>
        <w:left w:val="none" w:sz="0" w:space="0" w:color="auto"/>
        <w:bottom w:val="none" w:sz="0" w:space="0" w:color="auto"/>
        <w:right w:val="none" w:sz="0" w:space="0" w:color="auto"/>
      </w:divBdr>
    </w:div>
    <w:div w:id="1543790148">
      <w:marLeft w:val="640"/>
      <w:marRight w:val="0"/>
      <w:marTop w:val="0"/>
      <w:marBottom w:val="0"/>
      <w:divBdr>
        <w:top w:val="none" w:sz="0" w:space="0" w:color="auto"/>
        <w:left w:val="none" w:sz="0" w:space="0" w:color="auto"/>
        <w:bottom w:val="none" w:sz="0" w:space="0" w:color="auto"/>
        <w:right w:val="none" w:sz="0" w:space="0" w:color="auto"/>
      </w:divBdr>
    </w:div>
    <w:div w:id="1543831687">
      <w:marLeft w:val="640"/>
      <w:marRight w:val="0"/>
      <w:marTop w:val="0"/>
      <w:marBottom w:val="0"/>
      <w:divBdr>
        <w:top w:val="none" w:sz="0" w:space="0" w:color="auto"/>
        <w:left w:val="none" w:sz="0" w:space="0" w:color="auto"/>
        <w:bottom w:val="none" w:sz="0" w:space="0" w:color="auto"/>
        <w:right w:val="none" w:sz="0" w:space="0" w:color="auto"/>
      </w:divBdr>
    </w:div>
    <w:div w:id="1544095848">
      <w:marLeft w:val="640"/>
      <w:marRight w:val="0"/>
      <w:marTop w:val="0"/>
      <w:marBottom w:val="0"/>
      <w:divBdr>
        <w:top w:val="none" w:sz="0" w:space="0" w:color="auto"/>
        <w:left w:val="none" w:sz="0" w:space="0" w:color="auto"/>
        <w:bottom w:val="none" w:sz="0" w:space="0" w:color="auto"/>
        <w:right w:val="none" w:sz="0" w:space="0" w:color="auto"/>
      </w:divBdr>
    </w:div>
    <w:div w:id="1544176838">
      <w:marLeft w:val="640"/>
      <w:marRight w:val="0"/>
      <w:marTop w:val="0"/>
      <w:marBottom w:val="0"/>
      <w:divBdr>
        <w:top w:val="none" w:sz="0" w:space="0" w:color="auto"/>
        <w:left w:val="none" w:sz="0" w:space="0" w:color="auto"/>
        <w:bottom w:val="none" w:sz="0" w:space="0" w:color="auto"/>
        <w:right w:val="none" w:sz="0" w:space="0" w:color="auto"/>
      </w:divBdr>
    </w:div>
    <w:div w:id="1544369757">
      <w:marLeft w:val="640"/>
      <w:marRight w:val="0"/>
      <w:marTop w:val="0"/>
      <w:marBottom w:val="0"/>
      <w:divBdr>
        <w:top w:val="none" w:sz="0" w:space="0" w:color="auto"/>
        <w:left w:val="none" w:sz="0" w:space="0" w:color="auto"/>
        <w:bottom w:val="none" w:sz="0" w:space="0" w:color="auto"/>
        <w:right w:val="none" w:sz="0" w:space="0" w:color="auto"/>
      </w:divBdr>
    </w:div>
    <w:div w:id="1544437057">
      <w:marLeft w:val="640"/>
      <w:marRight w:val="0"/>
      <w:marTop w:val="0"/>
      <w:marBottom w:val="0"/>
      <w:divBdr>
        <w:top w:val="none" w:sz="0" w:space="0" w:color="auto"/>
        <w:left w:val="none" w:sz="0" w:space="0" w:color="auto"/>
        <w:bottom w:val="none" w:sz="0" w:space="0" w:color="auto"/>
        <w:right w:val="none" w:sz="0" w:space="0" w:color="auto"/>
      </w:divBdr>
    </w:div>
    <w:div w:id="1544781493">
      <w:marLeft w:val="640"/>
      <w:marRight w:val="0"/>
      <w:marTop w:val="0"/>
      <w:marBottom w:val="0"/>
      <w:divBdr>
        <w:top w:val="none" w:sz="0" w:space="0" w:color="auto"/>
        <w:left w:val="none" w:sz="0" w:space="0" w:color="auto"/>
        <w:bottom w:val="none" w:sz="0" w:space="0" w:color="auto"/>
        <w:right w:val="none" w:sz="0" w:space="0" w:color="auto"/>
      </w:divBdr>
    </w:div>
    <w:div w:id="1545363461">
      <w:marLeft w:val="640"/>
      <w:marRight w:val="0"/>
      <w:marTop w:val="0"/>
      <w:marBottom w:val="0"/>
      <w:divBdr>
        <w:top w:val="none" w:sz="0" w:space="0" w:color="auto"/>
        <w:left w:val="none" w:sz="0" w:space="0" w:color="auto"/>
        <w:bottom w:val="none" w:sz="0" w:space="0" w:color="auto"/>
        <w:right w:val="none" w:sz="0" w:space="0" w:color="auto"/>
      </w:divBdr>
    </w:div>
    <w:div w:id="1545369908">
      <w:marLeft w:val="640"/>
      <w:marRight w:val="0"/>
      <w:marTop w:val="0"/>
      <w:marBottom w:val="0"/>
      <w:divBdr>
        <w:top w:val="none" w:sz="0" w:space="0" w:color="auto"/>
        <w:left w:val="none" w:sz="0" w:space="0" w:color="auto"/>
        <w:bottom w:val="none" w:sz="0" w:space="0" w:color="auto"/>
        <w:right w:val="none" w:sz="0" w:space="0" w:color="auto"/>
      </w:divBdr>
    </w:div>
    <w:div w:id="1545604730">
      <w:marLeft w:val="640"/>
      <w:marRight w:val="0"/>
      <w:marTop w:val="0"/>
      <w:marBottom w:val="0"/>
      <w:divBdr>
        <w:top w:val="none" w:sz="0" w:space="0" w:color="auto"/>
        <w:left w:val="none" w:sz="0" w:space="0" w:color="auto"/>
        <w:bottom w:val="none" w:sz="0" w:space="0" w:color="auto"/>
        <w:right w:val="none" w:sz="0" w:space="0" w:color="auto"/>
      </w:divBdr>
    </w:div>
    <w:div w:id="1545798720">
      <w:marLeft w:val="640"/>
      <w:marRight w:val="0"/>
      <w:marTop w:val="0"/>
      <w:marBottom w:val="0"/>
      <w:divBdr>
        <w:top w:val="none" w:sz="0" w:space="0" w:color="auto"/>
        <w:left w:val="none" w:sz="0" w:space="0" w:color="auto"/>
        <w:bottom w:val="none" w:sz="0" w:space="0" w:color="auto"/>
        <w:right w:val="none" w:sz="0" w:space="0" w:color="auto"/>
      </w:divBdr>
    </w:div>
    <w:div w:id="1545870171">
      <w:marLeft w:val="640"/>
      <w:marRight w:val="0"/>
      <w:marTop w:val="0"/>
      <w:marBottom w:val="0"/>
      <w:divBdr>
        <w:top w:val="none" w:sz="0" w:space="0" w:color="auto"/>
        <w:left w:val="none" w:sz="0" w:space="0" w:color="auto"/>
        <w:bottom w:val="none" w:sz="0" w:space="0" w:color="auto"/>
        <w:right w:val="none" w:sz="0" w:space="0" w:color="auto"/>
      </w:divBdr>
    </w:div>
    <w:div w:id="1546019567">
      <w:marLeft w:val="640"/>
      <w:marRight w:val="0"/>
      <w:marTop w:val="0"/>
      <w:marBottom w:val="0"/>
      <w:divBdr>
        <w:top w:val="none" w:sz="0" w:space="0" w:color="auto"/>
        <w:left w:val="none" w:sz="0" w:space="0" w:color="auto"/>
        <w:bottom w:val="none" w:sz="0" w:space="0" w:color="auto"/>
        <w:right w:val="none" w:sz="0" w:space="0" w:color="auto"/>
      </w:divBdr>
    </w:div>
    <w:div w:id="1546523285">
      <w:marLeft w:val="640"/>
      <w:marRight w:val="0"/>
      <w:marTop w:val="0"/>
      <w:marBottom w:val="0"/>
      <w:divBdr>
        <w:top w:val="none" w:sz="0" w:space="0" w:color="auto"/>
        <w:left w:val="none" w:sz="0" w:space="0" w:color="auto"/>
        <w:bottom w:val="none" w:sz="0" w:space="0" w:color="auto"/>
        <w:right w:val="none" w:sz="0" w:space="0" w:color="auto"/>
      </w:divBdr>
    </w:div>
    <w:div w:id="1547328048">
      <w:marLeft w:val="640"/>
      <w:marRight w:val="0"/>
      <w:marTop w:val="0"/>
      <w:marBottom w:val="0"/>
      <w:divBdr>
        <w:top w:val="none" w:sz="0" w:space="0" w:color="auto"/>
        <w:left w:val="none" w:sz="0" w:space="0" w:color="auto"/>
        <w:bottom w:val="none" w:sz="0" w:space="0" w:color="auto"/>
        <w:right w:val="none" w:sz="0" w:space="0" w:color="auto"/>
      </w:divBdr>
    </w:div>
    <w:div w:id="1547521232">
      <w:marLeft w:val="640"/>
      <w:marRight w:val="0"/>
      <w:marTop w:val="0"/>
      <w:marBottom w:val="0"/>
      <w:divBdr>
        <w:top w:val="none" w:sz="0" w:space="0" w:color="auto"/>
        <w:left w:val="none" w:sz="0" w:space="0" w:color="auto"/>
        <w:bottom w:val="none" w:sz="0" w:space="0" w:color="auto"/>
        <w:right w:val="none" w:sz="0" w:space="0" w:color="auto"/>
      </w:divBdr>
    </w:div>
    <w:div w:id="1547764432">
      <w:marLeft w:val="640"/>
      <w:marRight w:val="0"/>
      <w:marTop w:val="0"/>
      <w:marBottom w:val="0"/>
      <w:divBdr>
        <w:top w:val="none" w:sz="0" w:space="0" w:color="auto"/>
        <w:left w:val="none" w:sz="0" w:space="0" w:color="auto"/>
        <w:bottom w:val="none" w:sz="0" w:space="0" w:color="auto"/>
        <w:right w:val="none" w:sz="0" w:space="0" w:color="auto"/>
      </w:divBdr>
    </w:div>
    <w:div w:id="1547765120">
      <w:marLeft w:val="640"/>
      <w:marRight w:val="0"/>
      <w:marTop w:val="0"/>
      <w:marBottom w:val="0"/>
      <w:divBdr>
        <w:top w:val="none" w:sz="0" w:space="0" w:color="auto"/>
        <w:left w:val="none" w:sz="0" w:space="0" w:color="auto"/>
        <w:bottom w:val="none" w:sz="0" w:space="0" w:color="auto"/>
        <w:right w:val="none" w:sz="0" w:space="0" w:color="auto"/>
      </w:divBdr>
    </w:div>
    <w:div w:id="1548681628">
      <w:marLeft w:val="640"/>
      <w:marRight w:val="0"/>
      <w:marTop w:val="0"/>
      <w:marBottom w:val="0"/>
      <w:divBdr>
        <w:top w:val="none" w:sz="0" w:space="0" w:color="auto"/>
        <w:left w:val="none" w:sz="0" w:space="0" w:color="auto"/>
        <w:bottom w:val="none" w:sz="0" w:space="0" w:color="auto"/>
        <w:right w:val="none" w:sz="0" w:space="0" w:color="auto"/>
      </w:divBdr>
    </w:div>
    <w:div w:id="1549534283">
      <w:marLeft w:val="640"/>
      <w:marRight w:val="0"/>
      <w:marTop w:val="0"/>
      <w:marBottom w:val="0"/>
      <w:divBdr>
        <w:top w:val="none" w:sz="0" w:space="0" w:color="auto"/>
        <w:left w:val="none" w:sz="0" w:space="0" w:color="auto"/>
        <w:bottom w:val="none" w:sz="0" w:space="0" w:color="auto"/>
        <w:right w:val="none" w:sz="0" w:space="0" w:color="auto"/>
      </w:divBdr>
    </w:div>
    <w:div w:id="1550804522">
      <w:marLeft w:val="640"/>
      <w:marRight w:val="0"/>
      <w:marTop w:val="0"/>
      <w:marBottom w:val="0"/>
      <w:divBdr>
        <w:top w:val="none" w:sz="0" w:space="0" w:color="auto"/>
        <w:left w:val="none" w:sz="0" w:space="0" w:color="auto"/>
        <w:bottom w:val="none" w:sz="0" w:space="0" w:color="auto"/>
        <w:right w:val="none" w:sz="0" w:space="0" w:color="auto"/>
      </w:divBdr>
    </w:div>
    <w:div w:id="1552498442">
      <w:marLeft w:val="640"/>
      <w:marRight w:val="0"/>
      <w:marTop w:val="0"/>
      <w:marBottom w:val="0"/>
      <w:divBdr>
        <w:top w:val="none" w:sz="0" w:space="0" w:color="auto"/>
        <w:left w:val="none" w:sz="0" w:space="0" w:color="auto"/>
        <w:bottom w:val="none" w:sz="0" w:space="0" w:color="auto"/>
        <w:right w:val="none" w:sz="0" w:space="0" w:color="auto"/>
      </w:divBdr>
    </w:div>
    <w:div w:id="1554342377">
      <w:marLeft w:val="640"/>
      <w:marRight w:val="0"/>
      <w:marTop w:val="0"/>
      <w:marBottom w:val="0"/>
      <w:divBdr>
        <w:top w:val="none" w:sz="0" w:space="0" w:color="auto"/>
        <w:left w:val="none" w:sz="0" w:space="0" w:color="auto"/>
        <w:bottom w:val="none" w:sz="0" w:space="0" w:color="auto"/>
        <w:right w:val="none" w:sz="0" w:space="0" w:color="auto"/>
      </w:divBdr>
    </w:div>
    <w:div w:id="1554535590">
      <w:marLeft w:val="640"/>
      <w:marRight w:val="0"/>
      <w:marTop w:val="0"/>
      <w:marBottom w:val="0"/>
      <w:divBdr>
        <w:top w:val="none" w:sz="0" w:space="0" w:color="auto"/>
        <w:left w:val="none" w:sz="0" w:space="0" w:color="auto"/>
        <w:bottom w:val="none" w:sz="0" w:space="0" w:color="auto"/>
        <w:right w:val="none" w:sz="0" w:space="0" w:color="auto"/>
      </w:divBdr>
    </w:div>
    <w:div w:id="1555235275">
      <w:marLeft w:val="640"/>
      <w:marRight w:val="0"/>
      <w:marTop w:val="0"/>
      <w:marBottom w:val="0"/>
      <w:divBdr>
        <w:top w:val="none" w:sz="0" w:space="0" w:color="auto"/>
        <w:left w:val="none" w:sz="0" w:space="0" w:color="auto"/>
        <w:bottom w:val="none" w:sz="0" w:space="0" w:color="auto"/>
        <w:right w:val="none" w:sz="0" w:space="0" w:color="auto"/>
      </w:divBdr>
    </w:div>
    <w:div w:id="1555464185">
      <w:marLeft w:val="640"/>
      <w:marRight w:val="0"/>
      <w:marTop w:val="0"/>
      <w:marBottom w:val="0"/>
      <w:divBdr>
        <w:top w:val="none" w:sz="0" w:space="0" w:color="auto"/>
        <w:left w:val="none" w:sz="0" w:space="0" w:color="auto"/>
        <w:bottom w:val="none" w:sz="0" w:space="0" w:color="auto"/>
        <w:right w:val="none" w:sz="0" w:space="0" w:color="auto"/>
      </w:divBdr>
    </w:div>
    <w:div w:id="1556239326">
      <w:marLeft w:val="640"/>
      <w:marRight w:val="0"/>
      <w:marTop w:val="0"/>
      <w:marBottom w:val="0"/>
      <w:divBdr>
        <w:top w:val="none" w:sz="0" w:space="0" w:color="auto"/>
        <w:left w:val="none" w:sz="0" w:space="0" w:color="auto"/>
        <w:bottom w:val="none" w:sz="0" w:space="0" w:color="auto"/>
        <w:right w:val="none" w:sz="0" w:space="0" w:color="auto"/>
      </w:divBdr>
    </w:div>
    <w:div w:id="1557355894">
      <w:marLeft w:val="640"/>
      <w:marRight w:val="0"/>
      <w:marTop w:val="0"/>
      <w:marBottom w:val="0"/>
      <w:divBdr>
        <w:top w:val="none" w:sz="0" w:space="0" w:color="auto"/>
        <w:left w:val="none" w:sz="0" w:space="0" w:color="auto"/>
        <w:bottom w:val="none" w:sz="0" w:space="0" w:color="auto"/>
        <w:right w:val="none" w:sz="0" w:space="0" w:color="auto"/>
      </w:divBdr>
    </w:div>
    <w:div w:id="1557929873">
      <w:marLeft w:val="640"/>
      <w:marRight w:val="0"/>
      <w:marTop w:val="0"/>
      <w:marBottom w:val="0"/>
      <w:divBdr>
        <w:top w:val="none" w:sz="0" w:space="0" w:color="auto"/>
        <w:left w:val="none" w:sz="0" w:space="0" w:color="auto"/>
        <w:bottom w:val="none" w:sz="0" w:space="0" w:color="auto"/>
        <w:right w:val="none" w:sz="0" w:space="0" w:color="auto"/>
      </w:divBdr>
    </w:div>
    <w:div w:id="1560047042">
      <w:marLeft w:val="640"/>
      <w:marRight w:val="0"/>
      <w:marTop w:val="0"/>
      <w:marBottom w:val="0"/>
      <w:divBdr>
        <w:top w:val="none" w:sz="0" w:space="0" w:color="auto"/>
        <w:left w:val="none" w:sz="0" w:space="0" w:color="auto"/>
        <w:bottom w:val="none" w:sz="0" w:space="0" w:color="auto"/>
        <w:right w:val="none" w:sz="0" w:space="0" w:color="auto"/>
      </w:divBdr>
    </w:div>
    <w:div w:id="1560357180">
      <w:marLeft w:val="640"/>
      <w:marRight w:val="0"/>
      <w:marTop w:val="0"/>
      <w:marBottom w:val="0"/>
      <w:divBdr>
        <w:top w:val="none" w:sz="0" w:space="0" w:color="auto"/>
        <w:left w:val="none" w:sz="0" w:space="0" w:color="auto"/>
        <w:bottom w:val="none" w:sz="0" w:space="0" w:color="auto"/>
        <w:right w:val="none" w:sz="0" w:space="0" w:color="auto"/>
      </w:divBdr>
    </w:div>
    <w:div w:id="1560477939">
      <w:marLeft w:val="640"/>
      <w:marRight w:val="0"/>
      <w:marTop w:val="0"/>
      <w:marBottom w:val="0"/>
      <w:divBdr>
        <w:top w:val="none" w:sz="0" w:space="0" w:color="auto"/>
        <w:left w:val="none" w:sz="0" w:space="0" w:color="auto"/>
        <w:bottom w:val="none" w:sz="0" w:space="0" w:color="auto"/>
        <w:right w:val="none" w:sz="0" w:space="0" w:color="auto"/>
      </w:divBdr>
    </w:div>
    <w:div w:id="1560943333">
      <w:marLeft w:val="640"/>
      <w:marRight w:val="0"/>
      <w:marTop w:val="0"/>
      <w:marBottom w:val="0"/>
      <w:divBdr>
        <w:top w:val="none" w:sz="0" w:space="0" w:color="auto"/>
        <w:left w:val="none" w:sz="0" w:space="0" w:color="auto"/>
        <w:bottom w:val="none" w:sz="0" w:space="0" w:color="auto"/>
        <w:right w:val="none" w:sz="0" w:space="0" w:color="auto"/>
      </w:divBdr>
    </w:div>
    <w:div w:id="1561096005">
      <w:marLeft w:val="640"/>
      <w:marRight w:val="0"/>
      <w:marTop w:val="0"/>
      <w:marBottom w:val="0"/>
      <w:divBdr>
        <w:top w:val="none" w:sz="0" w:space="0" w:color="auto"/>
        <w:left w:val="none" w:sz="0" w:space="0" w:color="auto"/>
        <w:bottom w:val="none" w:sz="0" w:space="0" w:color="auto"/>
        <w:right w:val="none" w:sz="0" w:space="0" w:color="auto"/>
      </w:divBdr>
    </w:div>
    <w:div w:id="1562331949">
      <w:marLeft w:val="640"/>
      <w:marRight w:val="0"/>
      <w:marTop w:val="0"/>
      <w:marBottom w:val="0"/>
      <w:divBdr>
        <w:top w:val="none" w:sz="0" w:space="0" w:color="auto"/>
        <w:left w:val="none" w:sz="0" w:space="0" w:color="auto"/>
        <w:bottom w:val="none" w:sz="0" w:space="0" w:color="auto"/>
        <w:right w:val="none" w:sz="0" w:space="0" w:color="auto"/>
      </w:divBdr>
    </w:div>
    <w:div w:id="1562403403">
      <w:marLeft w:val="640"/>
      <w:marRight w:val="0"/>
      <w:marTop w:val="0"/>
      <w:marBottom w:val="0"/>
      <w:divBdr>
        <w:top w:val="none" w:sz="0" w:space="0" w:color="auto"/>
        <w:left w:val="none" w:sz="0" w:space="0" w:color="auto"/>
        <w:bottom w:val="none" w:sz="0" w:space="0" w:color="auto"/>
        <w:right w:val="none" w:sz="0" w:space="0" w:color="auto"/>
      </w:divBdr>
    </w:div>
    <w:div w:id="1562784524">
      <w:marLeft w:val="640"/>
      <w:marRight w:val="0"/>
      <w:marTop w:val="0"/>
      <w:marBottom w:val="0"/>
      <w:divBdr>
        <w:top w:val="none" w:sz="0" w:space="0" w:color="auto"/>
        <w:left w:val="none" w:sz="0" w:space="0" w:color="auto"/>
        <w:bottom w:val="none" w:sz="0" w:space="0" w:color="auto"/>
        <w:right w:val="none" w:sz="0" w:space="0" w:color="auto"/>
      </w:divBdr>
    </w:div>
    <w:div w:id="1562860500">
      <w:marLeft w:val="640"/>
      <w:marRight w:val="0"/>
      <w:marTop w:val="0"/>
      <w:marBottom w:val="0"/>
      <w:divBdr>
        <w:top w:val="none" w:sz="0" w:space="0" w:color="auto"/>
        <w:left w:val="none" w:sz="0" w:space="0" w:color="auto"/>
        <w:bottom w:val="none" w:sz="0" w:space="0" w:color="auto"/>
        <w:right w:val="none" w:sz="0" w:space="0" w:color="auto"/>
      </w:divBdr>
    </w:div>
    <w:div w:id="1562866145">
      <w:marLeft w:val="640"/>
      <w:marRight w:val="0"/>
      <w:marTop w:val="0"/>
      <w:marBottom w:val="0"/>
      <w:divBdr>
        <w:top w:val="none" w:sz="0" w:space="0" w:color="auto"/>
        <w:left w:val="none" w:sz="0" w:space="0" w:color="auto"/>
        <w:bottom w:val="none" w:sz="0" w:space="0" w:color="auto"/>
        <w:right w:val="none" w:sz="0" w:space="0" w:color="auto"/>
      </w:divBdr>
    </w:div>
    <w:div w:id="1563902305">
      <w:marLeft w:val="640"/>
      <w:marRight w:val="0"/>
      <w:marTop w:val="0"/>
      <w:marBottom w:val="0"/>
      <w:divBdr>
        <w:top w:val="none" w:sz="0" w:space="0" w:color="auto"/>
        <w:left w:val="none" w:sz="0" w:space="0" w:color="auto"/>
        <w:bottom w:val="none" w:sz="0" w:space="0" w:color="auto"/>
        <w:right w:val="none" w:sz="0" w:space="0" w:color="auto"/>
      </w:divBdr>
    </w:div>
    <w:div w:id="1564834225">
      <w:marLeft w:val="640"/>
      <w:marRight w:val="0"/>
      <w:marTop w:val="0"/>
      <w:marBottom w:val="0"/>
      <w:divBdr>
        <w:top w:val="none" w:sz="0" w:space="0" w:color="auto"/>
        <w:left w:val="none" w:sz="0" w:space="0" w:color="auto"/>
        <w:bottom w:val="none" w:sz="0" w:space="0" w:color="auto"/>
        <w:right w:val="none" w:sz="0" w:space="0" w:color="auto"/>
      </w:divBdr>
    </w:div>
    <w:div w:id="1565067809">
      <w:marLeft w:val="640"/>
      <w:marRight w:val="0"/>
      <w:marTop w:val="0"/>
      <w:marBottom w:val="0"/>
      <w:divBdr>
        <w:top w:val="none" w:sz="0" w:space="0" w:color="auto"/>
        <w:left w:val="none" w:sz="0" w:space="0" w:color="auto"/>
        <w:bottom w:val="none" w:sz="0" w:space="0" w:color="auto"/>
        <w:right w:val="none" w:sz="0" w:space="0" w:color="auto"/>
      </w:divBdr>
    </w:div>
    <w:div w:id="1565413335">
      <w:marLeft w:val="640"/>
      <w:marRight w:val="0"/>
      <w:marTop w:val="0"/>
      <w:marBottom w:val="0"/>
      <w:divBdr>
        <w:top w:val="none" w:sz="0" w:space="0" w:color="auto"/>
        <w:left w:val="none" w:sz="0" w:space="0" w:color="auto"/>
        <w:bottom w:val="none" w:sz="0" w:space="0" w:color="auto"/>
        <w:right w:val="none" w:sz="0" w:space="0" w:color="auto"/>
      </w:divBdr>
    </w:div>
    <w:div w:id="1566139574">
      <w:marLeft w:val="640"/>
      <w:marRight w:val="0"/>
      <w:marTop w:val="0"/>
      <w:marBottom w:val="0"/>
      <w:divBdr>
        <w:top w:val="none" w:sz="0" w:space="0" w:color="auto"/>
        <w:left w:val="none" w:sz="0" w:space="0" w:color="auto"/>
        <w:bottom w:val="none" w:sz="0" w:space="0" w:color="auto"/>
        <w:right w:val="none" w:sz="0" w:space="0" w:color="auto"/>
      </w:divBdr>
    </w:div>
    <w:div w:id="1566532109">
      <w:marLeft w:val="640"/>
      <w:marRight w:val="0"/>
      <w:marTop w:val="0"/>
      <w:marBottom w:val="0"/>
      <w:divBdr>
        <w:top w:val="none" w:sz="0" w:space="0" w:color="auto"/>
        <w:left w:val="none" w:sz="0" w:space="0" w:color="auto"/>
        <w:bottom w:val="none" w:sz="0" w:space="0" w:color="auto"/>
        <w:right w:val="none" w:sz="0" w:space="0" w:color="auto"/>
      </w:divBdr>
    </w:div>
    <w:div w:id="1566842125">
      <w:marLeft w:val="640"/>
      <w:marRight w:val="0"/>
      <w:marTop w:val="0"/>
      <w:marBottom w:val="0"/>
      <w:divBdr>
        <w:top w:val="none" w:sz="0" w:space="0" w:color="auto"/>
        <w:left w:val="none" w:sz="0" w:space="0" w:color="auto"/>
        <w:bottom w:val="none" w:sz="0" w:space="0" w:color="auto"/>
        <w:right w:val="none" w:sz="0" w:space="0" w:color="auto"/>
      </w:divBdr>
    </w:div>
    <w:div w:id="1567103504">
      <w:marLeft w:val="640"/>
      <w:marRight w:val="0"/>
      <w:marTop w:val="0"/>
      <w:marBottom w:val="0"/>
      <w:divBdr>
        <w:top w:val="none" w:sz="0" w:space="0" w:color="auto"/>
        <w:left w:val="none" w:sz="0" w:space="0" w:color="auto"/>
        <w:bottom w:val="none" w:sz="0" w:space="0" w:color="auto"/>
        <w:right w:val="none" w:sz="0" w:space="0" w:color="auto"/>
      </w:divBdr>
    </w:div>
    <w:div w:id="1567229583">
      <w:marLeft w:val="640"/>
      <w:marRight w:val="0"/>
      <w:marTop w:val="0"/>
      <w:marBottom w:val="0"/>
      <w:divBdr>
        <w:top w:val="none" w:sz="0" w:space="0" w:color="auto"/>
        <w:left w:val="none" w:sz="0" w:space="0" w:color="auto"/>
        <w:bottom w:val="none" w:sz="0" w:space="0" w:color="auto"/>
        <w:right w:val="none" w:sz="0" w:space="0" w:color="auto"/>
      </w:divBdr>
    </w:div>
    <w:div w:id="1567498357">
      <w:marLeft w:val="640"/>
      <w:marRight w:val="0"/>
      <w:marTop w:val="0"/>
      <w:marBottom w:val="0"/>
      <w:divBdr>
        <w:top w:val="none" w:sz="0" w:space="0" w:color="auto"/>
        <w:left w:val="none" w:sz="0" w:space="0" w:color="auto"/>
        <w:bottom w:val="none" w:sz="0" w:space="0" w:color="auto"/>
        <w:right w:val="none" w:sz="0" w:space="0" w:color="auto"/>
      </w:divBdr>
    </w:div>
    <w:div w:id="1568302428">
      <w:marLeft w:val="640"/>
      <w:marRight w:val="0"/>
      <w:marTop w:val="0"/>
      <w:marBottom w:val="0"/>
      <w:divBdr>
        <w:top w:val="none" w:sz="0" w:space="0" w:color="auto"/>
        <w:left w:val="none" w:sz="0" w:space="0" w:color="auto"/>
        <w:bottom w:val="none" w:sz="0" w:space="0" w:color="auto"/>
        <w:right w:val="none" w:sz="0" w:space="0" w:color="auto"/>
      </w:divBdr>
    </w:div>
    <w:div w:id="1570073173">
      <w:marLeft w:val="640"/>
      <w:marRight w:val="0"/>
      <w:marTop w:val="0"/>
      <w:marBottom w:val="0"/>
      <w:divBdr>
        <w:top w:val="none" w:sz="0" w:space="0" w:color="auto"/>
        <w:left w:val="none" w:sz="0" w:space="0" w:color="auto"/>
        <w:bottom w:val="none" w:sz="0" w:space="0" w:color="auto"/>
        <w:right w:val="none" w:sz="0" w:space="0" w:color="auto"/>
      </w:divBdr>
    </w:div>
    <w:div w:id="1570116875">
      <w:marLeft w:val="640"/>
      <w:marRight w:val="0"/>
      <w:marTop w:val="0"/>
      <w:marBottom w:val="0"/>
      <w:divBdr>
        <w:top w:val="none" w:sz="0" w:space="0" w:color="auto"/>
        <w:left w:val="none" w:sz="0" w:space="0" w:color="auto"/>
        <w:bottom w:val="none" w:sz="0" w:space="0" w:color="auto"/>
        <w:right w:val="none" w:sz="0" w:space="0" w:color="auto"/>
      </w:divBdr>
    </w:div>
    <w:div w:id="1570264632">
      <w:marLeft w:val="640"/>
      <w:marRight w:val="0"/>
      <w:marTop w:val="0"/>
      <w:marBottom w:val="0"/>
      <w:divBdr>
        <w:top w:val="none" w:sz="0" w:space="0" w:color="auto"/>
        <w:left w:val="none" w:sz="0" w:space="0" w:color="auto"/>
        <w:bottom w:val="none" w:sz="0" w:space="0" w:color="auto"/>
        <w:right w:val="none" w:sz="0" w:space="0" w:color="auto"/>
      </w:divBdr>
    </w:div>
    <w:div w:id="1570849221">
      <w:marLeft w:val="640"/>
      <w:marRight w:val="0"/>
      <w:marTop w:val="0"/>
      <w:marBottom w:val="0"/>
      <w:divBdr>
        <w:top w:val="none" w:sz="0" w:space="0" w:color="auto"/>
        <w:left w:val="none" w:sz="0" w:space="0" w:color="auto"/>
        <w:bottom w:val="none" w:sz="0" w:space="0" w:color="auto"/>
        <w:right w:val="none" w:sz="0" w:space="0" w:color="auto"/>
      </w:divBdr>
    </w:div>
    <w:div w:id="1571190285">
      <w:marLeft w:val="640"/>
      <w:marRight w:val="0"/>
      <w:marTop w:val="0"/>
      <w:marBottom w:val="0"/>
      <w:divBdr>
        <w:top w:val="none" w:sz="0" w:space="0" w:color="auto"/>
        <w:left w:val="none" w:sz="0" w:space="0" w:color="auto"/>
        <w:bottom w:val="none" w:sz="0" w:space="0" w:color="auto"/>
        <w:right w:val="none" w:sz="0" w:space="0" w:color="auto"/>
      </w:divBdr>
    </w:div>
    <w:div w:id="1571378088">
      <w:marLeft w:val="640"/>
      <w:marRight w:val="0"/>
      <w:marTop w:val="0"/>
      <w:marBottom w:val="0"/>
      <w:divBdr>
        <w:top w:val="none" w:sz="0" w:space="0" w:color="auto"/>
        <w:left w:val="none" w:sz="0" w:space="0" w:color="auto"/>
        <w:bottom w:val="none" w:sz="0" w:space="0" w:color="auto"/>
        <w:right w:val="none" w:sz="0" w:space="0" w:color="auto"/>
      </w:divBdr>
    </w:div>
    <w:div w:id="1571888702">
      <w:marLeft w:val="640"/>
      <w:marRight w:val="0"/>
      <w:marTop w:val="0"/>
      <w:marBottom w:val="0"/>
      <w:divBdr>
        <w:top w:val="none" w:sz="0" w:space="0" w:color="auto"/>
        <w:left w:val="none" w:sz="0" w:space="0" w:color="auto"/>
        <w:bottom w:val="none" w:sz="0" w:space="0" w:color="auto"/>
        <w:right w:val="none" w:sz="0" w:space="0" w:color="auto"/>
      </w:divBdr>
    </w:div>
    <w:div w:id="1572227592">
      <w:marLeft w:val="640"/>
      <w:marRight w:val="0"/>
      <w:marTop w:val="0"/>
      <w:marBottom w:val="0"/>
      <w:divBdr>
        <w:top w:val="none" w:sz="0" w:space="0" w:color="auto"/>
        <w:left w:val="none" w:sz="0" w:space="0" w:color="auto"/>
        <w:bottom w:val="none" w:sz="0" w:space="0" w:color="auto"/>
        <w:right w:val="none" w:sz="0" w:space="0" w:color="auto"/>
      </w:divBdr>
    </w:div>
    <w:div w:id="1572302050">
      <w:marLeft w:val="640"/>
      <w:marRight w:val="0"/>
      <w:marTop w:val="0"/>
      <w:marBottom w:val="0"/>
      <w:divBdr>
        <w:top w:val="none" w:sz="0" w:space="0" w:color="auto"/>
        <w:left w:val="none" w:sz="0" w:space="0" w:color="auto"/>
        <w:bottom w:val="none" w:sz="0" w:space="0" w:color="auto"/>
        <w:right w:val="none" w:sz="0" w:space="0" w:color="auto"/>
      </w:divBdr>
    </w:div>
    <w:div w:id="1573462981">
      <w:marLeft w:val="640"/>
      <w:marRight w:val="0"/>
      <w:marTop w:val="0"/>
      <w:marBottom w:val="0"/>
      <w:divBdr>
        <w:top w:val="none" w:sz="0" w:space="0" w:color="auto"/>
        <w:left w:val="none" w:sz="0" w:space="0" w:color="auto"/>
        <w:bottom w:val="none" w:sz="0" w:space="0" w:color="auto"/>
        <w:right w:val="none" w:sz="0" w:space="0" w:color="auto"/>
      </w:divBdr>
    </w:div>
    <w:div w:id="1575359693">
      <w:marLeft w:val="640"/>
      <w:marRight w:val="0"/>
      <w:marTop w:val="0"/>
      <w:marBottom w:val="0"/>
      <w:divBdr>
        <w:top w:val="none" w:sz="0" w:space="0" w:color="auto"/>
        <w:left w:val="none" w:sz="0" w:space="0" w:color="auto"/>
        <w:bottom w:val="none" w:sz="0" w:space="0" w:color="auto"/>
        <w:right w:val="none" w:sz="0" w:space="0" w:color="auto"/>
      </w:divBdr>
    </w:div>
    <w:div w:id="1575506729">
      <w:marLeft w:val="640"/>
      <w:marRight w:val="0"/>
      <w:marTop w:val="0"/>
      <w:marBottom w:val="0"/>
      <w:divBdr>
        <w:top w:val="none" w:sz="0" w:space="0" w:color="auto"/>
        <w:left w:val="none" w:sz="0" w:space="0" w:color="auto"/>
        <w:bottom w:val="none" w:sz="0" w:space="0" w:color="auto"/>
        <w:right w:val="none" w:sz="0" w:space="0" w:color="auto"/>
      </w:divBdr>
    </w:div>
    <w:div w:id="1577401510">
      <w:marLeft w:val="640"/>
      <w:marRight w:val="0"/>
      <w:marTop w:val="0"/>
      <w:marBottom w:val="0"/>
      <w:divBdr>
        <w:top w:val="none" w:sz="0" w:space="0" w:color="auto"/>
        <w:left w:val="none" w:sz="0" w:space="0" w:color="auto"/>
        <w:bottom w:val="none" w:sz="0" w:space="0" w:color="auto"/>
        <w:right w:val="none" w:sz="0" w:space="0" w:color="auto"/>
      </w:divBdr>
    </w:div>
    <w:div w:id="1577477131">
      <w:marLeft w:val="640"/>
      <w:marRight w:val="0"/>
      <w:marTop w:val="0"/>
      <w:marBottom w:val="0"/>
      <w:divBdr>
        <w:top w:val="none" w:sz="0" w:space="0" w:color="auto"/>
        <w:left w:val="none" w:sz="0" w:space="0" w:color="auto"/>
        <w:bottom w:val="none" w:sz="0" w:space="0" w:color="auto"/>
        <w:right w:val="none" w:sz="0" w:space="0" w:color="auto"/>
      </w:divBdr>
    </w:div>
    <w:div w:id="1577787502">
      <w:marLeft w:val="640"/>
      <w:marRight w:val="0"/>
      <w:marTop w:val="0"/>
      <w:marBottom w:val="0"/>
      <w:divBdr>
        <w:top w:val="none" w:sz="0" w:space="0" w:color="auto"/>
        <w:left w:val="none" w:sz="0" w:space="0" w:color="auto"/>
        <w:bottom w:val="none" w:sz="0" w:space="0" w:color="auto"/>
        <w:right w:val="none" w:sz="0" w:space="0" w:color="auto"/>
      </w:divBdr>
    </w:div>
    <w:div w:id="1578438060">
      <w:marLeft w:val="640"/>
      <w:marRight w:val="0"/>
      <w:marTop w:val="0"/>
      <w:marBottom w:val="0"/>
      <w:divBdr>
        <w:top w:val="none" w:sz="0" w:space="0" w:color="auto"/>
        <w:left w:val="none" w:sz="0" w:space="0" w:color="auto"/>
        <w:bottom w:val="none" w:sz="0" w:space="0" w:color="auto"/>
        <w:right w:val="none" w:sz="0" w:space="0" w:color="auto"/>
      </w:divBdr>
    </w:div>
    <w:div w:id="1578588079">
      <w:marLeft w:val="640"/>
      <w:marRight w:val="0"/>
      <w:marTop w:val="0"/>
      <w:marBottom w:val="0"/>
      <w:divBdr>
        <w:top w:val="none" w:sz="0" w:space="0" w:color="auto"/>
        <w:left w:val="none" w:sz="0" w:space="0" w:color="auto"/>
        <w:bottom w:val="none" w:sz="0" w:space="0" w:color="auto"/>
        <w:right w:val="none" w:sz="0" w:space="0" w:color="auto"/>
      </w:divBdr>
    </w:div>
    <w:div w:id="1578898907">
      <w:marLeft w:val="640"/>
      <w:marRight w:val="0"/>
      <w:marTop w:val="0"/>
      <w:marBottom w:val="0"/>
      <w:divBdr>
        <w:top w:val="none" w:sz="0" w:space="0" w:color="auto"/>
        <w:left w:val="none" w:sz="0" w:space="0" w:color="auto"/>
        <w:bottom w:val="none" w:sz="0" w:space="0" w:color="auto"/>
        <w:right w:val="none" w:sz="0" w:space="0" w:color="auto"/>
      </w:divBdr>
    </w:div>
    <w:div w:id="1578905550">
      <w:marLeft w:val="640"/>
      <w:marRight w:val="0"/>
      <w:marTop w:val="0"/>
      <w:marBottom w:val="0"/>
      <w:divBdr>
        <w:top w:val="none" w:sz="0" w:space="0" w:color="auto"/>
        <w:left w:val="none" w:sz="0" w:space="0" w:color="auto"/>
        <w:bottom w:val="none" w:sz="0" w:space="0" w:color="auto"/>
        <w:right w:val="none" w:sz="0" w:space="0" w:color="auto"/>
      </w:divBdr>
    </w:div>
    <w:div w:id="1579486383">
      <w:marLeft w:val="640"/>
      <w:marRight w:val="0"/>
      <w:marTop w:val="0"/>
      <w:marBottom w:val="0"/>
      <w:divBdr>
        <w:top w:val="none" w:sz="0" w:space="0" w:color="auto"/>
        <w:left w:val="none" w:sz="0" w:space="0" w:color="auto"/>
        <w:bottom w:val="none" w:sz="0" w:space="0" w:color="auto"/>
        <w:right w:val="none" w:sz="0" w:space="0" w:color="auto"/>
      </w:divBdr>
    </w:div>
    <w:div w:id="1581135098">
      <w:marLeft w:val="640"/>
      <w:marRight w:val="0"/>
      <w:marTop w:val="0"/>
      <w:marBottom w:val="0"/>
      <w:divBdr>
        <w:top w:val="none" w:sz="0" w:space="0" w:color="auto"/>
        <w:left w:val="none" w:sz="0" w:space="0" w:color="auto"/>
        <w:bottom w:val="none" w:sz="0" w:space="0" w:color="auto"/>
        <w:right w:val="none" w:sz="0" w:space="0" w:color="auto"/>
      </w:divBdr>
    </w:div>
    <w:div w:id="1581211904">
      <w:marLeft w:val="640"/>
      <w:marRight w:val="0"/>
      <w:marTop w:val="0"/>
      <w:marBottom w:val="0"/>
      <w:divBdr>
        <w:top w:val="none" w:sz="0" w:space="0" w:color="auto"/>
        <w:left w:val="none" w:sz="0" w:space="0" w:color="auto"/>
        <w:bottom w:val="none" w:sz="0" w:space="0" w:color="auto"/>
        <w:right w:val="none" w:sz="0" w:space="0" w:color="auto"/>
      </w:divBdr>
    </w:div>
    <w:div w:id="1581326476">
      <w:marLeft w:val="640"/>
      <w:marRight w:val="0"/>
      <w:marTop w:val="0"/>
      <w:marBottom w:val="0"/>
      <w:divBdr>
        <w:top w:val="none" w:sz="0" w:space="0" w:color="auto"/>
        <w:left w:val="none" w:sz="0" w:space="0" w:color="auto"/>
        <w:bottom w:val="none" w:sz="0" w:space="0" w:color="auto"/>
        <w:right w:val="none" w:sz="0" w:space="0" w:color="auto"/>
      </w:divBdr>
    </w:div>
    <w:div w:id="1581712137">
      <w:marLeft w:val="640"/>
      <w:marRight w:val="0"/>
      <w:marTop w:val="0"/>
      <w:marBottom w:val="0"/>
      <w:divBdr>
        <w:top w:val="none" w:sz="0" w:space="0" w:color="auto"/>
        <w:left w:val="none" w:sz="0" w:space="0" w:color="auto"/>
        <w:bottom w:val="none" w:sz="0" w:space="0" w:color="auto"/>
        <w:right w:val="none" w:sz="0" w:space="0" w:color="auto"/>
      </w:divBdr>
    </w:div>
    <w:div w:id="1582177818">
      <w:marLeft w:val="640"/>
      <w:marRight w:val="0"/>
      <w:marTop w:val="0"/>
      <w:marBottom w:val="0"/>
      <w:divBdr>
        <w:top w:val="none" w:sz="0" w:space="0" w:color="auto"/>
        <w:left w:val="none" w:sz="0" w:space="0" w:color="auto"/>
        <w:bottom w:val="none" w:sz="0" w:space="0" w:color="auto"/>
        <w:right w:val="none" w:sz="0" w:space="0" w:color="auto"/>
      </w:divBdr>
    </w:div>
    <w:div w:id="1585185841">
      <w:marLeft w:val="640"/>
      <w:marRight w:val="0"/>
      <w:marTop w:val="0"/>
      <w:marBottom w:val="0"/>
      <w:divBdr>
        <w:top w:val="none" w:sz="0" w:space="0" w:color="auto"/>
        <w:left w:val="none" w:sz="0" w:space="0" w:color="auto"/>
        <w:bottom w:val="none" w:sz="0" w:space="0" w:color="auto"/>
        <w:right w:val="none" w:sz="0" w:space="0" w:color="auto"/>
      </w:divBdr>
    </w:div>
    <w:div w:id="1585798002">
      <w:marLeft w:val="640"/>
      <w:marRight w:val="0"/>
      <w:marTop w:val="0"/>
      <w:marBottom w:val="0"/>
      <w:divBdr>
        <w:top w:val="none" w:sz="0" w:space="0" w:color="auto"/>
        <w:left w:val="none" w:sz="0" w:space="0" w:color="auto"/>
        <w:bottom w:val="none" w:sz="0" w:space="0" w:color="auto"/>
        <w:right w:val="none" w:sz="0" w:space="0" w:color="auto"/>
      </w:divBdr>
    </w:div>
    <w:div w:id="1585803392">
      <w:marLeft w:val="640"/>
      <w:marRight w:val="0"/>
      <w:marTop w:val="0"/>
      <w:marBottom w:val="0"/>
      <w:divBdr>
        <w:top w:val="none" w:sz="0" w:space="0" w:color="auto"/>
        <w:left w:val="none" w:sz="0" w:space="0" w:color="auto"/>
        <w:bottom w:val="none" w:sz="0" w:space="0" w:color="auto"/>
        <w:right w:val="none" w:sz="0" w:space="0" w:color="auto"/>
      </w:divBdr>
    </w:div>
    <w:div w:id="1586260556">
      <w:marLeft w:val="640"/>
      <w:marRight w:val="0"/>
      <w:marTop w:val="0"/>
      <w:marBottom w:val="0"/>
      <w:divBdr>
        <w:top w:val="none" w:sz="0" w:space="0" w:color="auto"/>
        <w:left w:val="none" w:sz="0" w:space="0" w:color="auto"/>
        <w:bottom w:val="none" w:sz="0" w:space="0" w:color="auto"/>
        <w:right w:val="none" w:sz="0" w:space="0" w:color="auto"/>
      </w:divBdr>
    </w:div>
    <w:div w:id="1586652316">
      <w:marLeft w:val="640"/>
      <w:marRight w:val="0"/>
      <w:marTop w:val="0"/>
      <w:marBottom w:val="0"/>
      <w:divBdr>
        <w:top w:val="none" w:sz="0" w:space="0" w:color="auto"/>
        <w:left w:val="none" w:sz="0" w:space="0" w:color="auto"/>
        <w:bottom w:val="none" w:sz="0" w:space="0" w:color="auto"/>
        <w:right w:val="none" w:sz="0" w:space="0" w:color="auto"/>
      </w:divBdr>
    </w:div>
    <w:div w:id="1587035661">
      <w:marLeft w:val="640"/>
      <w:marRight w:val="0"/>
      <w:marTop w:val="0"/>
      <w:marBottom w:val="0"/>
      <w:divBdr>
        <w:top w:val="none" w:sz="0" w:space="0" w:color="auto"/>
        <w:left w:val="none" w:sz="0" w:space="0" w:color="auto"/>
        <w:bottom w:val="none" w:sz="0" w:space="0" w:color="auto"/>
        <w:right w:val="none" w:sz="0" w:space="0" w:color="auto"/>
      </w:divBdr>
    </w:div>
    <w:div w:id="1587112603">
      <w:marLeft w:val="640"/>
      <w:marRight w:val="0"/>
      <w:marTop w:val="0"/>
      <w:marBottom w:val="0"/>
      <w:divBdr>
        <w:top w:val="none" w:sz="0" w:space="0" w:color="auto"/>
        <w:left w:val="none" w:sz="0" w:space="0" w:color="auto"/>
        <w:bottom w:val="none" w:sz="0" w:space="0" w:color="auto"/>
        <w:right w:val="none" w:sz="0" w:space="0" w:color="auto"/>
      </w:divBdr>
    </w:div>
    <w:div w:id="1587492528">
      <w:marLeft w:val="640"/>
      <w:marRight w:val="0"/>
      <w:marTop w:val="0"/>
      <w:marBottom w:val="0"/>
      <w:divBdr>
        <w:top w:val="none" w:sz="0" w:space="0" w:color="auto"/>
        <w:left w:val="none" w:sz="0" w:space="0" w:color="auto"/>
        <w:bottom w:val="none" w:sz="0" w:space="0" w:color="auto"/>
        <w:right w:val="none" w:sz="0" w:space="0" w:color="auto"/>
      </w:divBdr>
    </w:div>
    <w:div w:id="1587767484">
      <w:marLeft w:val="640"/>
      <w:marRight w:val="0"/>
      <w:marTop w:val="0"/>
      <w:marBottom w:val="0"/>
      <w:divBdr>
        <w:top w:val="none" w:sz="0" w:space="0" w:color="auto"/>
        <w:left w:val="none" w:sz="0" w:space="0" w:color="auto"/>
        <w:bottom w:val="none" w:sz="0" w:space="0" w:color="auto"/>
        <w:right w:val="none" w:sz="0" w:space="0" w:color="auto"/>
      </w:divBdr>
    </w:div>
    <w:div w:id="1588728466">
      <w:marLeft w:val="640"/>
      <w:marRight w:val="0"/>
      <w:marTop w:val="0"/>
      <w:marBottom w:val="0"/>
      <w:divBdr>
        <w:top w:val="none" w:sz="0" w:space="0" w:color="auto"/>
        <w:left w:val="none" w:sz="0" w:space="0" w:color="auto"/>
        <w:bottom w:val="none" w:sz="0" w:space="0" w:color="auto"/>
        <w:right w:val="none" w:sz="0" w:space="0" w:color="auto"/>
      </w:divBdr>
    </w:div>
    <w:div w:id="1589654916">
      <w:marLeft w:val="640"/>
      <w:marRight w:val="0"/>
      <w:marTop w:val="0"/>
      <w:marBottom w:val="0"/>
      <w:divBdr>
        <w:top w:val="none" w:sz="0" w:space="0" w:color="auto"/>
        <w:left w:val="none" w:sz="0" w:space="0" w:color="auto"/>
        <w:bottom w:val="none" w:sz="0" w:space="0" w:color="auto"/>
        <w:right w:val="none" w:sz="0" w:space="0" w:color="auto"/>
      </w:divBdr>
    </w:div>
    <w:div w:id="1590237600">
      <w:marLeft w:val="640"/>
      <w:marRight w:val="0"/>
      <w:marTop w:val="0"/>
      <w:marBottom w:val="0"/>
      <w:divBdr>
        <w:top w:val="none" w:sz="0" w:space="0" w:color="auto"/>
        <w:left w:val="none" w:sz="0" w:space="0" w:color="auto"/>
        <w:bottom w:val="none" w:sz="0" w:space="0" w:color="auto"/>
        <w:right w:val="none" w:sz="0" w:space="0" w:color="auto"/>
      </w:divBdr>
    </w:div>
    <w:div w:id="1590430724">
      <w:marLeft w:val="640"/>
      <w:marRight w:val="0"/>
      <w:marTop w:val="0"/>
      <w:marBottom w:val="0"/>
      <w:divBdr>
        <w:top w:val="none" w:sz="0" w:space="0" w:color="auto"/>
        <w:left w:val="none" w:sz="0" w:space="0" w:color="auto"/>
        <w:bottom w:val="none" w:sz="0" w:space="0" w:color="auto"/>
        <w:right w:val="none" w:sz="0" w:space="0" w:color="auto"/>
      </w:divBdr>
    </w:div>
    <w:div w:id="1591427194">
      <w:marLeft w:val="640"/>
      <w:marRight w:val="0"/>
      <w:marTop w:val="0"/>
      <w:marBottom w:val="0"/>
      <w:divBdr>
        <w:top w:val="none" w:sz="0" w:space="0" w:color="auto"/>
        <w:left w:val="none" w:sz="0" w:space="0" w:color="auto"/>
        <w:bottom w:val="none" w:sz="0" w:space="0" w:color="auto"/>
        <w:right w:val="none" w:sz="0" w:space="0" w:color="auto"/>
      </w:divBdr>
    </w:div>
    <w:div w:id="1591768692">
      <w:marLeft w:val="640"/>
      <w:marRight w:val="0"/>
      <w:marTop w:val="0"/>
      <w:marBottom w:val="0"/>
      <w:divBdr>
        <w:top w:val="none" w:sz="0" w:space="0" w:color="auto"/>
        <w:left w:val="none" w:sz="0" w:space="0" w:color="auto"/>
        <w:bottom w:val="none" w:sz="0" w:space="0" w:color="auto"/>
        <w:right w:val="none" w:sz="0" w:space="0" w:color="auto"/>
      </w:divBdr>
    </w:div>
    <w:div w:id="1594128936">
      <w:marLeft w:val="640"/>
      <w:marRight w:val="0"/>
      <w:marTop w:val="0"/>
      <w:marBottom w:val="0"/>
      <w:divBdr>
        <w:top w:val="none" w:sz="0" w:space="0" w:color="auto"/>
        <w:left w:val="none" w:sz="0" w:space="0" w:color="auto"/>
        <w:bottom w:val="none" w:sz="0" w:space="0" w:color="auto"/>
        <w:right w:val="none" w:sz="0" w:space="0" w:color="auto"/>
      </w:divBdr>
    </w:div>
    <w:div w:id="1594515017">
      <w:marLeft w:val="640"/>
      <w:marRight w:val="0"/>
      <w:marTop w:val="0"/>
      <w:marBottom w:val="0"/>
      <w:divBdr>
        <w:top w:val="none" w:sz="0" w:space="0" w:color="auto"/>
        <w:left w:val="none" w:sz="0" w:space="0" w:color="auto"/>
        <w:bottom w:val="none" w:sz="0" w:space="0" w:color="auto"/>
        <w:right w:val="none" w:sz="0" w:space="0" w:color="auto"/>
      </w:divBdr>
    </w:div>
    <w:div w:id="1595095340">
      <w:marLeft w:val="640"/>
      <w:marRight w:val="0"/>
      <w:marTop w:val="0"/>
      <w:marBottom w:val="0"/>
      <w:divBdr>
        <w:top w:val="none" w:sz="0" w:space="0" w:color="auto"/>
        <w:left w:val="none" w:sz="0" w:space="0" w:color="auto"/>
        <w:bottom w:val="none" w:sz="0" w:space="0" w:color="auto"/>
        <w:right w:val="none" w:sz="0" w:space="0" w:color="auto"/>
      </w:divBdr>
    </w:div>
    <w:div w:id="1595213206">
      <w:marLeft w:val="640"/>
      <w:marRight w:val="0"/>
      <w:marTop w:val="0"/>
      <w:marBottom w:val="0"/>
      <w:divBdr>
        <w:top w:val="none" w:sz="0" w:space="0" w:color="auto"/>
        <w:left w:val="none" w:sz="0" w:space="0" w:color="auto"/>
        <w:bottom w:val="none" w:sz="0" w:space="0" w:color="auto"/>
        <w:right w:val="none" w:sz="0" w:space="0" w:color="auto"/>
      </w:divBdr>
    </w:div>
    <w:div w:id="1595625820">
      <w:marLeft w:val="640"/>
      <w:marRight w:val="0"/>
      <w:marTop w:val="0"/>
      <w:marBottom w:val="0"/>
      <w:divBdr>
        <w:top w:val="none" w:sz="0" w:space="0" w:color="auto"/>
        <w:left w:val="none" w:sz="0" w:space="0" w:color="auto"/>
        <w:bottom w:val="none" w:sz="0" w:space="0" w:color="auto"/>
        <w:right w:val="none" w:sz="0" w:space="0" w:color="auto"/>
      </w:divBdr>
    </w:div>
    <w:div w:id="1596355487">
      <w:marLeft w:val="640"/>
      <w:marRight w:val="0"/>
      <w:marTop w:val="0"/>
      <w:marBottom w:val="0"/>
      <w:divBdr>
        <w:top w:val="none" w:sz="0" w:space="0" w:color="auto"/>
        <w:left w:val="none" w:sz="0" w:space="0" w:color="auto"/>
        <w:bottom w:val="none" w:sz="0" w:space="0" w:color="auto"/>
        <w:right w:val="none" w:sz="0" w:space="0" w:color="auto"/>
      </w:divBdr>
    </w:div>
    <w:div w:id="1596595942">
      <w:marLeft w:val="640"/>
      <w:marRight w:val="0"/>
      <w:marTop w:val="0"/>
      <w:marBottom w:val="0"/>
      <w:divBdr>
        <w:top w:val="none" w:sz="0" w:space="0" w:color="auto"/>
        <w:left w:val="none" w:sz="0" w:space="0" w:color="auto"/>
        <w:bottom w:val="none" w:sz="0" w:space="0" w:color="auto"/>
        <w:right w:val="none" w:sz="0" w:space="0" w:color="auto"/>
      </w:divBdr>
    </w:div>
    <w:div w:id="1596743955">
      <w:marLeft w:val="640"/>
      <w:marRight w:val="0"/>
      <w:marTop w:val="0"/>
      <w:marBottom w:val="0"/>
      <w:divBdr>
        <w:top w:val="none" w:sz="0" w:space="0" w:color="auto"/>
        <w:left w:val="none" w:sz="0" w:space="0" w:color="auto"/>
        <w:bottom w:val="none" w:sz="0" w:space="0" w:color="auto"/>
        <w:right w:val="none" w:sz="0" w:space="0" w:color="auto"/>
      </w:divBdr>
    </w:div>
    <w:div w:id="1597398003">
      <w:marLeft w:val="640"/>
      <w:marRight w:val="0"/>
      <w:marTop w:val="0"/>
      <w:marBottom w:val="0"/>
      <w:divBdr>
        <w:top w:val="none" w:sz="0" w:space="0" w:color="auto"/>
        <w:left w:val="none" w:sz="0" w:space="0" w:color="auto"/>
        <w:bottom w:val="none" w:sz="0" w:space="0" w:color="auto"/>
        <w:right w:val="none" w:sz="0" w:space="0" w:color="auto"/>
      </w:divBdr>
    </w:div>
    <w:div w:id="1597664904">
      <w:marLeft w:val="640"/>
      <w:marRight w:val="0"/>
      <w:marTop w:val="0"/>
      <w:marBottom w:val="0"/>
      <w:divBdr>
        <w:top w:val="none" w:sz="0" w:space="0" w:color="auto"/>
        <w:left w:val="none" w:sz="0" w:space="0" w:color="auto"/>
        <w:bottom w:val="none" w:sz="0" w:space="0" w:color="auto"/>
        <w:right w:val="none" w:sz="0" w:space="0" w:color="auto"/>
      </w:divBdr>
    </w:div>
    <w:div w:id="1598365510">
      <w:marLeft w:val="640"/>
      <w:marRight w:val="0"/>
      <w:marTop w:val="0"/>
      <w:marBottom w:val="0"/>
      <w:divBdr>
        <w:top w:val="none" w:sz="0" w:space="0" w:color="auto"/>
        <w:left w:val="none" w:sz="0" w:space="0" w:color="auto"/>
        <w:bottom w:val="none" w:sz="0" w:space="0" w:color="auto"/>
        <w:right w:val="none" w:sz="0" w:space="0" w:color="auto"/>
      </w:divBdr>
    </w:div>
    <w:div w:id="1598559562">
      <w:marLeft w:val="640"/>
      <w:marRight w:val="0"/>
      <w:marTop w:val="0"/>
      <w:marBottom w:val="0"/>
      <w:divBdr>
        <w:top w:val="none" w:sz="0" w:space="0" w:color="auto"/>
        <w:left w:val="none" w:sz="0" w:space="0" w:color="auto"/>
        <w:bottom w:val="none" w:sz="0" w:space="0" w:color="auto"/>
        <w:right w:val="none" w:sz="0" w:space="0" w:color="auto"/>
      </w:divBdr>
    </w:div>
    <w:div w:id="1598715000">
      <w:marLeft w:val="640"/>
      <w:marRight w:val="0"/>
      <w:marTop w:val="0"/>
      <w:marBottom w:val="0"/>
      <w:divBdr>
        <w:top w:val="none" w:sz="0" w:space="0" w:color="auto"/>
        <w:left w:val="none" w:sz="0" w:space="0" w:color="auto"/>
        <w:bottom w:val="none" w:sz="0" w:space="0" w:color="auto"/>
        <w:right w:val="none" w:sz="0" w:space="0" w:color="auto"/>
      </w:divBdr>
    </w:div>
    <w:div w:id="1599220097">
      <w:marLeft w:val="640"/>
      <w:marRight w:val="0"/>
      <w:marTop w:val="0"/>
      <w:marBottom w:val="0"/>
      <w:divBdr>
        <w:top w:val="none" w:sz="0" w:space="0" w:color="auto"/>
        <w:left w:val="none" w:sz="0" w:space="0" w:color="auto"/>
        <w:bottom w:val="none" w:sz="0" w:space="0" w:color="auto"/>
        <w:right w:val="none" w:sz="0" w:space="0" w:color="auto"/>
      </w:divBdr>
    </w:div>
    <w:div w:id="1599481093">
      <w:marLeft w:val="640"/>
      <w:marRight w:val="0"/>
      <w:marTop w:val="0"/>
      <w:marBottom w:val="0"/>
      <w:divBdr>
        <w:top w:val="none" w:sz="0" w:space="0" w:color="auto"/>
        <w:left w:val="none" w:sz="0" w:space="0" w:color="auto"/>
        <w:bottom w:val="none" w:sz="0" w:space="0" w:color="auto"/>
        <w:right w:val="none" w:sz="0" w:space="0" w:color="auto"/>
      </w:divBdr>
    </w:div>
    <w:div w:id="1599874631">
      <w:marLeft w:val="640"/>
      <w:marRight w:val="0"/>
      <w:marTop w:val="0"/>
      <w:marBottom w:val="0"/>
      <w:divBdr>
        <w:top w:val="none" w:sz="0" w:space="0" w:color="auto"/>
        <w:left w:val="none" w:sz="0" w:space="0" w:color="auto"/>
        <w:bottom w:val="none" w:sz="0" w:space="0" w:color="auto"/>
        <w:right w:val="none" w:sz="0" w:space="0" w:color="auto"/>
      </w:divBdr>
    </w:div>
    <w:div w:id="1600287581">
      <w:marLeft w:val="640"/>
      <w:marRight w:val="0"/>
      <w:marTop w:val="0"/>
      <w:marBottom w:val="0"/>
      <w:divBdr>
        <w:top w:val="none" w:sz="0" w:space="0" w:color="auto"/>
        <w:left w:val="none" w:sz="0" w:space="0" w:color="auto"/>
        <w:bottom w:val="none" w:sz="0" w:space="0" w:color="auto"/>
        <w:right w:val="none" w:sz="0" w:space="0" w:color="auto"/>
      </w:divBdr>
    </w:div>
    <w:div w:id="1600796140">
      <w:marLeft w:val="640"/>
      <w:marRight w:val="0"/>
      <w:marTop w:val="0"/>
      <w:marBottom w:val="0"/>
      <w:divBdr>
        <w:top w:val="none" w:sz="0" w:space="0" w:color="auto"/>
        <w:left w:val="none" w:sz="0" w:space="0" w:color="auto"/>
        <w:bottom w:val="none" w:sz="0" w:space="0" w:color="auto"/>
        <w:right w:val="none" w:sz="0" w:space="0" w:color="auto"/>
      </w:divBdr>
    </w:div>
    <w:div w:id="1600870738">
      <w:marLeft w:val="640"/>
      <w:marRight w:val="0"/>
      <w:marTop w:val="0"/>
      <w:marBottom w:val="0"/>
      <w:divBdr>
        <w:top w:val="none" w:sz="0" w:space="0" w:color="auto"/>
        <w:left w:val="none" w:sz="0" w:space="0" w:color="auto"/>
        <w:bottom w:val="none" w:sz="0" w:space="0" w:color="auto"/>
        <w:right w:val="none" w:sz="0" w:space="0" w:color="auto"/>
      </w:divBdr>
    </w:div>
    <w:div w:id="1602184110">
      <w:marLeft w:val="640"/>
      <w:marRight w:val="0"/>
      <w:marTop w:val="0"/>
      <w:marBottom w:val="0"/>
      <w:divBdr>
        <w:top w:val="none" w:sz="0" w:space="0" w:color="auto"/>
        <w:left w:val="none" w:sz="0" w:space="0" w:color="auto"/>
        <w:bottom w:val="none" w:sz="0" w:space="0" w:color="auto"/>
        <w:right w:val="none" w:sz="0" w:space="0" w:color="auto"/>
      </w:divBdr>
    </w:div>
    <w:div w:id="1602879698">
      <w:marLeft w:val="640"/>
      <w:marRight w:val="0"/>
      <w:marTop w:val="0"/>
      <w:marBottom w:val="0"/>
      <w:divBdr>
        <w:top w:val="none" w:sz="0" w:space="0" w:color="auto"/>
        <w:left w:val="none" w:sz="0" w:space="0" w:color="auto"/>
        <w:bottom w:val="none" w:sz="0" w:space="0" w:color="auto"/>
        <w:right w:val="none" w:sz="0" w:space="0" w:color="auto"/>
      </w:divBdr>
    </w:div>
    <w:div w:id="1603143129">
      <w:marLeft w:val="640"/>
      <w:marRight w:val="0"/>
      <w:marTop w:val="0"/>
      <w:marBottom w:val="0"/>
      <w:divBdr>
        <w:top w:val="none" w:sz="0" w:space="0" w:color="auto"/>
        <w:left w:val="none" w:sz="0" w:space="0" w:color="auto"/>
        <w:bottom w:val="none" w:sz="0" w:space="0" w:color="auto"/>
        <w:right w:val="none" w:sz="0" w:space="0" w:color="auto"/>
      </w:divBdr>
    </w:div>
    <w:div w:id="1603342282">
      <w:marLeft w:val="640"/>
      <w:marRight w:val="0"/>
      <w:marTop w:val="0"/>
      <w:marBottom w:val="0"/>
      <w:divBdr>
        <w:top w:val="none" w:sz="0" w:space="0" w:color="auto"/>
        <w:left w:val="none" w:sz="0" w:space="0" w:color="auto"/>
        <w:bottom w:val="none" w:sz="0" w:space="0" w:color="auto"/>
        <w:right w:val="none" w:sz="0" w:space="0" w:color="auto"/>
      </w:divBdr>
    </w:div>
    <w:div w:id="1603689355">
      <w:marLeft w:val="640"/>
      <w:marRight w:val="0"/>
      <w:marTop w:val="0"/>
      <w:marBottom w:val="0"/>
      <w:divBdr>
        <w:top w:val="none" w:sz="0" w:space="0" w:color="auto"/>
        <w:left w:val="none" w:sz="0" w:space="0" w:color="auto"/>
        <w:bottom w:val="none" w:sz="0" w:space="0" w:color="auto"/>
        <w:right w:val="none" w:sz="0" w:space="0" w:color="auto"/>
      </w:divBdr>
    </w:div>
    <w:div w:id="1604260584">
      <w:marLeft w:val="640"/>
      <w:marRight w:val="0"/>
      <w:marTop w:val="0"/>
      <w:marBottom w:val="0"/>
      <w:divBdr>
        <w:top w:val="none" w:sz="0" w:space="0" w:color="auto"/>
        <w:left w:val="none" w:sz="0" w:space="0" w:color="auto"/>
        <w:bottom w:val="none" w:sz="0" w:space="0" w:color="auto"/>
        <w:right w:val="none" w:sz="0" w:space="0" w:color="auto"/>
      </w:divBdr>
    </w:div>
    <w:div w:id="1604412855">
      <w:marLeft w:val="640"/>
      <w:marRight w:val="0"/>
      <w:marTop w:val="0"/>
      <w:marBottom w:val="0"/>
      <w:divBdr>
        <w:top w:val="none" w:sz="0" w:space="0" w:color="auto"/>
        <w:left w:val="none" w:sz="0" w:space="0" w:color="auto"/>
        <w:bottom w:val="none" w:sz="0" w:space="0" w:color="auto"/>
        <w:right w:val="none" w:sz="0" w:space="0" w:color="auto"/>
      </w:divBdr>
    </w:div>
    <w:div w:id="1605108291">
      <w:marLeft w:val="640"/>
      <w:marRight w:val="0"/>
      <w:marTop w:val="0"/>
      <w:marBottom w:val="0"/>
      <w:divBdr>
        <w:top w:val="none" w:sz="0" w:space="0" w:color="auto"/>
        <w:left w:val="none" w:sz="0" w:space="0" w:color="auto"/>
        <w:bottom w:val="none" w:sz="0" w:space="0" w:color="auto"/>
        <w:right w:val="none" w:sz="0" w:space="0" w:color="auto"/>
      </w:divBdr>
    </w:div>
    <w:div w:id="1606159424">
      <w:marLeft w:val="640"/>
      <w:marRight w:val="0"/>
      <w:marTop w:val="0"/>
      <w:marBottom w:val="0"/>
      <w:divBdr>
        <w:top w:val="none" w:sz="0" w:space="0" w:color="auto"/>
        <w:left w:val="none" w:sz="0" w:space="0" w:color="auto"/>
        <w:bottom w:val="none" w:sz="0" w:space="0" w:color="auto"/>
        <w:right w:val="none" w:sz="0" w:space="0" w:color="auto"/>
      </w:divBdr>
    </w:div>
    <w:div w:id="1606881279">
      <w:marLeft w:val="640"/>
      <w:marRight w:val="0"/>
      <w:marTop w:val="0"/>
      <w:marBottom w:val="0"/>
      <w:divBdr>
        <w:top w:val="none" w:sz="0" w:space="0" w:color="auto"/>
        <w:left w:val="none" w:sz="0" w:space="0" w:color="auto"/>
        <w:bottom w:val="none" w:sz="0" w:space="0" w:color="auto"/>
        <w:right w:val="none" w:sz="0" w:space="0" w:color="auto"/>
      </w:divBdr>
    </w:div>
    <w:div w:id="1607730633">
      <w:marLeft w:val="640"/>
      <w:marRight w:val="0"/>
      <w:marTop w:val="0"/>
      <w:marBottom w:val="0"/>
      <w:divBdr>
        <w:top w:val="none" w:sz="0" w:space="0" w:color="auto"/>
        <w:left w:val="none" w:sz="0" w:space="0" w:color="auto"/>
        <w:bottom w:val="none" w:sz="0" w:space="0" w:color="auto"/>
        <w:right w:val="none" w:sz="0" w:space="0" w:color="auto"/>
      </w:divBdr>
    </w:div>
    <w:div w:id="1608004901">
      <w:marLeft w:val="640"/>
      <w:marRight w:val="0"/>
      <w:marTop w:val="0"/>
      <w:marBottom w:val="0"/>
      <w:divBdr>
        <w:top w:val="none" w:sz="0" w:space="0" w:color="auto"/>
        <w:left w:val="none" w:sz="0" w:space="0" w:color="auto"/>
        <w:bottom w:val="none" w:sz="0" w:space="0" w:color="auto"/>
        <w:right w:val="none" w:sz="0" w:space="0" w:color="auto"/>
      </w:divBdr>
    </w:div>
    <w:div w:id="1609313765">
      <w:marLeft w:val="640"/>
      <w:marRight w:val="0"/>
      <w:marTop w:val="0"/>
      <w:marBottom w:val="0"/>
      <w:divBdr>
        <w:top w:val="none" w:sz="0" w:space="0" w:color="auto"/>
        <w:left w:val="none" w:sz="0" w:space="0" w:color="auto"/>
        <w:bottom w:val="none" w:sz="0" w:space="0" w:color="auto"/>
        <w:right w:val="none" w:sz="0" w:space="0" w:color="auto"/>
      </w:divBdr>
    </w:div>
    <w:div w:id="1610551714">
      <w:marLeft w:val="640"/>
      <w:marRight w:val="0"/>
      <w:marTop w:val="0"/>
      <w:marBottom w:val="0"/>
      <w:divBdr>
        <w:top w:val="none" w:sz="0" w:space="0" w:color="auto"/>
        <w:left w:val="none" w:sz="0" w:space="0" w:color="auto"/>
        <w:bottom w:val="none" w:sz="0" w:space="0" w:color="auto"/>
        <w:right w:val="none" w:sz="0" w:space="0" w:color="auto"/>
      </w:divBdr>
    </w:div>
    <w:div w:id="1610813775">
      <w:marLeft w:val="640"/>
      <w:marRight w:val="0"/>
      <w:marTop w:val="0"/>
      <w:marBottom w:val="0"/>
      <w:divBdr>
        <w:top w:val="none" w:sz="0" w:space="0" w:color="auto"/>
        <w:left w:val="none" w:sz="0" w:space="0" w:color="auto"/>
        <w:bottom w:val="none" w:sz="0" w:space="0" w:color="auto"/>
        <w:right w:val="none" w:sz="0" w:space="0" w:color="auto"/>
      </w:divBdr>
    </w:div>
    <w:div w:id="1611283724">
      <w:marLeft w:val="640"/>
      <w:marRight w:val="0"/>
      <w:marTop w:val="0"/>
      <w:marBottom w:val="0"/>
      <w:divBdr>
        <w:top w:val="none" w:sz="0" w:space="0" w:color="auto"/>
        <w:left w:val="none" w:sz="0" w:space="0" w:color="auto"/>
        <w:bottom w:val="none" w:sz="0" w:space="0" w:color="auto"/>
        <w:right w:val="none" w:sz="0" w:space="0" w:color="auto"/>
      </w:divBdr>
    </w:div>
    <w:div w:id="1611738684">
      <w:marLeft w:val="640"/>
      <w:marRight w:val="0"/>
      <w:marTop w:val="0"/>
      <w:marBottom w:val="0"/>
      <w:divBdr>
        <w:top w:val="none" w:sz="0" w:space="0" w:color="auto"/>
        <w:left w:val="none" w:sz="0" w:space="0" w:color="auto"/>
        <w:bottom w:val="none" w:sz="0" w:space="0" w:color="auto"/>
        <w:right w:val="none" w:sz="0" w:space="0" w:color="auto"/>
      </w:divBdr>
    </w:div>
    <w:div w:id="1613514025">
      <w:marLeft w:val="640"/>
      <w:marRight w:val="0"/>
      <w:marTop w:val="0"/>
      <w:marBottom w:val="0"/>
      <w:divBdr>
        <w:top w:val="none" w:sz="0" w:space="0" w:color="auto"/>
        <w:left w:val="none" w:sz="0" w:space="0" w:color="auto"/>
        <w:bottom w:val="none" w:sz="0" w:space="0" w:color="auto"/>
        <w:right w:val="none" w:sz="0" w:space="0" w:color="auto"/>
      </w:divBdr>
    </w:div>
    <w:div w:id="1613635443">
      <w:marLeft w:val="640"/>
      <w:marRight w:val="0"/>
      <w:marTop w:val="0"/>
      <w:marBottom w:val="0"/>
      <w:divBdr>
        <w:top w:val="none" w:sz="0" w:space="0" w:color="auto"/>
        <w:left w:val="none" w:sz="0" w:space="0" w:color="auto"/>
        <w:bottom w:val="none" w:sz="0" w:space="0" w:color="auto"/>
        <w:right w:val="none" w:sz="0" w:space="0" w:color="auto"/>
      </w:divBdr>
    </w:div>
    <w:div w:id="1613786696">
      <w:marLeft w:val="640"/>
      <w:marRight w:val="0"/>
      <w:marTop w:val="0"/>
      <w:marBottom w:val="0"/>
      <w:divBdr>
        <w:top w:val="none" w:sz="0" w:space="0" w:color="auto"/>
        <w:left w:val="none" w:sz="0" w:space="0" w:color="auto"/>
        <w:bottom w:val="none" w:sz="0" w:space="0" w:color="auto"/>
        <w:right w:val="none" w:sz="0" w:space="0" w:color="auto"/>
      </w:divBdr>
    </w:div>
    <w:div w:id="1614093948">
      <w:marLeft w:val="640"/>
      <w:marRight w:val="0"/>
      <w:marTop w:val="0"/>
      <w:marBottom w:val="0"/>
      <w:divBdr>
        <w:top w:val="none" w:sz="0" w:space="0" w:color="auto"/>
        <w:left w:val="none" w:sz="0" w:space="0" w:color="auto"/>
        <w:bottom w:val="none" w:sz="0" w:space="0" w:color="auto"/>
        <w:right w:val="none" w:sz="0" w:space="0" w:color="auto"/>
      </w:divBdr>
    </w:div>
    <w:div w:id="1614897246">
      <w:marLeft w:val="640"/>
      <w:marRight w:val="0"/>
      <w:marTop w:val="0"/>
      <w:marBottom w:val="0"/>
      <w:divBdr>
        <w:top w:val="none" w:sz="0" w:space="0" w:color="auto"/>
        <w:left w:val="none" w:sz="0" w:space="0" w:color="auto"/>
        <w:bottom w:val="none" w:sz="0" w:space="0" w:color="auto"/>
        <w:right w:val="none" w:sz="0" w:space="0" w:color="auto"/>
      </w:divBdr>
    </w:div>
    <w:div w:id="1615596600">
      <w:marLeft w:val="640"/>
      <w:marRight w:val="0"/>
      <w:marTop w:val="0"/>
      <w:marBottom w:val="0"/>
      <w:divBdr>
        <w:top w:val="none" w:sz="0" w:space="0" w:color="auto"/>
        <w:left w:val="none" w:sz="0" w:space="0" w:color="auto"/>
        <w:bottom w:val="none" w:sz="0" w:space="0" w:color="auto"/>
        <w:right w:val="none" w:sz="0" w:space="0" w:color="auto"/>
      </w:divBdr>
    </w:div>
    <w:div w:id="1616130235">
      <w:marLeft w:val="640"/>
      <w:marRight w:val="0"/>
      <w:marTop w:val="0"/>
      <w:marBottom w:val="0"/>
      <w:divBdr>
        <w:top w:val="none" w:sz="0" w:space="0" w:color="auto"/>
        <w:left w:val="none" w:sz="0" w:space="0" w:color="auto"/>
        <w:bottom w:val="none" w:sz="0" w:space="0" w:color="auto"/>
        <w:right w:val="none" w:sz="0" w:space="0" w:color="auto"/>
      </w:divBdr>
    </w:div>
    <w:div w:id="1616523644">
      <w:marLeft w:val="640"/>
      <w:marRight w:val="0"/>
      <w:marTop w:val="0"/>
      <w:marBottom w:val="0"/>
      <w:divBdr>
        <w:top w:val="none" w:sz="0" w:space="0" w:color="auto"/>
        <w:left w:val="none" w:sz="0" w:space="0" w:color="auto"/>
        <w:bottom w:val="none" w:sz="0" w:space="0" w:color="auto"/>
        <w:right w:val="none" w:sz="0" w:space="0" w:color="auto"/>
      </w:divBdr>
    </w:div>
    <w:div w:id="1618482308">
      <w:marLeft w:val="640"/>
      <w:marRight w:val="0"/>
      <w:marTop w:val="0"/>
      <w:marBottom w:val="0"/>
      <w:divBdr>
        <w:top w:val="none" w:sz="0" w:space="0" w:color="auto"/>
        <w:left w:val="none" w:sz="0" w:space="0" w:color="auto"/>
        <w:bottom w:val="none" w:sz="0" w:space="0" w:color="auto"/>
        <w:right w:val="none" w:sz="0" w:space="0" w:color="auto"/>
      </w:divBdr>
    </w:div>
    <w:div w:id="1619067039">
      <w:marLeft w:val="640"/>
      <w:marRight w:val="0"/>
      <w:marTop w:val="0"/>
      <w:marBottom w:val="0"/>
      <w:divBdr>
        <w:top w:val="none" w:sz="0" w:space="0" w:color="auto"/>
        <w:left w:val="none" w:sz="0" w:space="0" w:color="auto"/>
        <w:bottom w:val="none" w:sz="0" w:space="0" w:color="auto"/>
        <w:right w:val="none" w:sz="0" w:space="0" w:color="auto"/>
      </w:divBdr>
    </w:div>
    <w:div w:id="1620070596">
      <w:marLeft w:val="640"/>
      <w:marRight w:val="0"/>
      <w:marTop w:val="0"/>
      <w:marBottom w:val="0"/>
      <w:divBdr>
        <w:top w:val="none" w:sz="0" w:space="0" w:color="auto"/>
        <w:left w:val="none" w:sz="0" w:space="0" w:color="auto"/>
        <w:bottom w:val="none" w:sz="0" w:space="0" w:color="auto"/>
        <w:right w:val="none" w:sz="0" w:space="0" w:color="auto"/>
      </w:divBdr>
    </w:div>
    <w:div w:id="1621884961">
      <w:marLeft w:val="640"/>
      <w:marRight w:val="0"/>
      <w:marTop w:val="0"/>
      <w:marBottom w:val="0"/>
      <w:divBdr>
        <w:top w:val="none" w:sz="0" w:space="0" w:color="auto"/>
        <w:left w:val="none" w:sz="0" w:space="0" w:color="auto"/>
        <w:bottom w:val="none" w:sz="0" w:space="0" w:color="auto"/>
        <w:right w:val="none" w:sz="0" w:space="0" w:color="auto"/>
      </w:divBdr>
    </w:div>
    <w:div w:id="1622035673">
      <w:marLeft w:val="640"/>
      <w:marRight w:val="0"/>
      <w:marTop w:val="0"/>
      <w:marBottom w:val="0"/>
      <w:divBdr>
        <w:top w:val="none" w:sz="0" w:space="0" w:color="auto"/>
        <w:left w:val="none" w:sz="0" w:space="0" w:color="auto"/>
        <w:bottom w:val="none" w:sz="0" w:space="0" w:color="auto"/>
        <w:right w:val="none" w:sz="0" w:space="0" w:color="auto"/>
      </w:divBdr>
    </w:div>
    <w:div w:id="1622540478">
      <w:marLeft w:val="640"/>
      <w:marRight w:val="0"/>
      <w:marTop w:val="0"/>
      <w:marBottom w:val="0"/>
      <w:divBdr>
        <w:top w:val="none" w:sz="0" w:space="0" w:color="auto"/>
        <w:left w:val="none" w:sz="0" w:space="0" w:color="auto"/>
        <w:bottom w:val="none" w:sz="0" w:space="0" w:color="auto"/>
        <w:right w:val="none" w:sz="0" w:space="0" w:color="auto"/>
      </w:divBdr>
    </w:div>
    <w:div w:id="1622691942">
      <w:marLeft w:val="640"/>
      <w:marRight w:val="0"/>
      <w:marTop w:val="0"/>
      <w:marBottom w:val="0"/>
      <w:divBdr>
        <w:top w:val="none" w:sz="0" w:space="0" w:color="auto"/>
        <w:left w:val="none" w:sz="0" w:space="0" w:color="auto"/>
        <w:bottom w:val="none" w:sz="0" w:space="0" w:color="auto"/>
        <w:right w:val="none" w:sz="0" w:space="0" w:color="auto"/>
      </w:divBdr>
    </w:div>
    <w:div w:id="1622951361">
      <w:marLeft w:val="640"/>
      <w:marRight w:val="0"/>
      <w:marTop w:val="0"/>
      <w:marBottom w:val="0"/>
      <w:divBdr>
        <w:top w:val="none" w:sz="0" w:space="0" w:color="auto"/>
        <w:left w:val="none" w:sz="0" w:space="0" w:color="auto"/>
        <w:bottom w:val="none" w:sz="0" w:space="0" w:color="auto"/>
        <w:right w:val="none" w:sz="0" w:space="0" w:color="auto"/>
      </w:divBdr>
    </w:div>
    <w:div w:id="1623148656">
      <w:marLeft w:val="640"/>
      <w:marRight w:val="0"/>
      <w:marTop w:val="0"/>
      <w:marBottom w:val="0"/>
      <w:divBdr>
        <w:top w:val="none" w:sz="0" w:space="0" w:color="auto"/>
        <w:left w:val="none" w:sz="0" w:space="0" w:color="auto"/>
        <w:bottom w:val="none" w:sz="0" w:space="0" w:color="auto"/>
        <w:right w:val="none" w:sz="0" w:space="0" w:color="auto"/>
      </w:divBdr>
    </w:div>
    <w:div w:id="1623851740">
      <w:marLeft w:val="640"/>
      <w:marRight w:val="0"/>
      <w:marTop w:val="0"/>
      <w:marBottom w:val="0"/>
      <w:divBdr>
        <w:top w:val="none" w:sz="0" w:space="0" w:color="auto"/>
        <w:left w:val="none" w:sz="0" w:space="0" w:color="auto"/>
        <w:bottom w:val="none" w:sz="0" w:space="0" w:color="auto"/>
        <w:right w:val="none" w:sz="0" w:space="0" w:color="auto"/>
      </w:divBdr>
    </w:div>
    <w:div w:id="1624077441">
      <w:marLeft w:val="640"/>
      <w:marRight w:val="0"/>
      <w:marTop w:val="0"/>
      <w:marBottom w:val="0"/>
      <w:divBdr>
        <w:top w:val="none" w:sz="0" w:space="0" w:color="auto"/>
        <w:left w:val="none" w:sz="0" w:space="0" w:color="auto"/>
        <w:bottom w:val="none" w:sz="0" w:space="0" w:color="auto"/>
        <w:right w:val="none" w:sz="0" w:space="0" w:color="auto"/>
      </w:divBdr>
    </w:div>
    <w:div w:id="1624267617">
      <w:marLeft w:val="640"/>
      <w:marRight w:val="0"/>
      <w:marTop w:val="0"/>
      <w:marBottom w:val="0"/>
      <w:divBdr>
        <w:top w:val="none" w:sz="0" w:space="0" w:color="auto"/>
        <w:left w:val="none" w:sz="0" w:space="0" w:color="auto"/>
        <w:bottom w:val="none" w:sz="0" w:space="0" w:color="auto"/>
        <w:right w:val="none" w:sz="0" w:space="0" w:color="auto"/>
      </w:divBdr>
    </w:div>
    <w:div w:id="1624337617">
      <w:marLeft w:val="640"/>
      <w:marRight w:val="0"/>
      <w:marTop w:val="0"/>
      <w:marBottom w:val="0"/>
      <w:divBdr>
        <w:top w:val="none" w:sz="0" w:space="0" w:color="auto"/>
        <w:left w:val="none" w:sz="0" w:space="0" w:color="auto"/>
        <w:bottom w:val="none" w:sz="0" w:space="0" w:color="auto"/>
        <w:right w:val="none" w:sz="0" w:space="0" w:color="auto"/>
      </w:divBdr>
    </w:div>
    <w:div w:id="1624460331">
      <w:marLeft w:val="640"/>
      <w:marRight w:val="0"/>
      <w:marTop w:val="0"/>
      <w:marBottom w:val="0"/>
      <w:divBdr>
        <w:top w:val="none" w:sz="0" w:space="0" w:color="auto"/>
        <w:left w:val="none" w:sz="0" w:space="0" w:color="auto"/>
        <w:bottom w:val="none" w:sz="0" w:space="0" w:color="auto"/>
        <w:right w:val="none" w:sz="0" w:space="0" w:color="auto"/>
      </w:divBdr>
    </w:div>
    <w:div w:id="1624534033">
      <w:marLeft w:val="640"/>
      <w:marRight w:val="0"/>
      <w:marTop w:val="0"/>
      <w:marBottom w:val="0"/>
      <w:divBdr>
        <w:top w:val="none" w:sz="0" w:space="0" w:color="auto"/>
        <w:left w:val="none" w:sz="0" w:space="0" w:color="auto"/>
        <w:bottom w:val="none" w:sz="0" w:space="0" w:color="auto"/>
        <w:right w:val="none" w:sz="0" w:space="0" w:color="auto"/>
      </w:divBdr>
    </w:div>
    <w:div w:id="1624771677">
      <w:marLeft w:val="640"/>
      <w:marRight w:val="0"/>
      <w:marTop w:val="0"/>
      <w:marBottom w:val="0"/>
      <w:divBdr>
        <w:top w:val="none" w:sz="0" w:space="0" w:color="auto"/>
        <w:left w:val="none" w:sz="0" w:space="0" w:color="auto"/>
        <w:bottom w:val="none" w:sz="0" w:space="0" w:color="auto"/>
        <w:right w:val="none" w:sz="0" w:space="0" w:color="auto"/>
      </w:divBdr>
    </w:div>
    <w:div w:id="1624993369">
      <w:marLeft w:val="640"/>
      <w:marRight w:val="0"/>
      <w:marTop w:val="0"/>
      <w:marBottom w:val="0"/>
      <w:divBdr>
        <w:top w:val="none" w:sz="0" w:space="0" w:color="auto"/>
        <w:left w:val="none" w:sz="0" w:space="0" w:color="auto"/>
        <w:bottom w:val="none" w:sz="0" w:space="0" w:color="auto"/>
        <w:right w:val="none" w:sz="0" w:space="0" w:color="auto"/>
      </w:divBdr>
    </w:div>
    <w:div w:id="1626109799">
      <w:marLeft w:val="640"/>
      <w:marRight w:val="0"/>
      <w:marTop w:val="0"/>
      <w:marBottom w:val="0"/>
      <w:divBdr>
        <w:top w:val="none" w:sz="0" w:space="0" w:color="auto"/>
        <w:left w:val="none" w:sz="0" w:space="0" w:color="auto"/>
        <w:bottom w:val="none" w:sz="0" w:space="0" w:color="auto"/>
        <w:right w:val="none" w:sz="0" w:space="0" w:color="auto"/>
      </w:divBdr>
    </w:div>
    <w:div w:id="1626346914">
      <w:marLeft w:val="640"/>
      <w:marRight w:val="0"/>
      <w:marTop w:val="0"/>
      <w:marBottom w:val="0"/>
      <w:divBdr>
        <w:top w:val="none" w:sz="0" w:space="0" w:color="auto"/>
        <w:left w:val="none" w:sz="0" w:space="0" w:color="auto"/>
        <w:bottom w:val="none" w:sz="0" w:space="0" w:color="auto"/>
        <w:right w:val="none" w:sz="0" w:space="0" w:color="auto"/>
      </w:divBdr>
    </w:div>
    <w:div w:id="1626497574">
      <w:marLeft w:val="640"/>
      <w:marRight w:val="0"/>
      <w:marTop w:val="0"/>
      <w:marBottom w:val="0"/>
      <w:divBdr>
        <w:top w:val="none" w:sz="0" w:space="0" w:color="auto"/>
        <w:left w:val="none" w:sz="0" w:space="0" w:color="auto"/>
        <w:bottom w:val="none" w:sz="0" w:space="0" w:color="auto"/>
        <w:right w:val="none" w:sz="0" w:space="0" w:color="auto"/>
      </w:divBdr>
    </w:div>
    <w:div w:id="1626735181">
      <w:marLeft w:val="640"/>
      <w:marRight w:val="0"/>
      <w:marTop w:val="0"/>
      <w:marBottom w:val="0"/>
      <w:divBdr>
        <w:top w:val="none" w:sz="0" w:space="0" w:color="auto"/>
        <w:left w:val="none" w:sz="0" w:space="0" w:color="auto"/>
        <w:bottom w:val="none" w:sz="0" w:space="0" w:color="auto"/>
        <w:right w:val="none" w:sz="0" w:space="0" w:color="auto"/>
      </w:divBdr>
    </w:div>
    <w:div w:id="1626767177">
      <w:marLeft w:val="640"/>
      <w:marRight w:val="0"/>
      <w:marTop w:val="0"/>
      <w:marBottom w:val="0"/>
      <w:divBdr>
        <w:top w:val="none" w:sz="0" w:space="0" w:color="auto"/>
        <w:left w:val="none" w:sz="0" w:space="0" w:color="auto"/>
        <w:bottom w:val="none" w:sz="0" w:space="0" w:color="auto"/>
        <w:right w:val="none" w:sz="0" w:space="0" w:color="auto"/>
      </w:divBdr>
    </w:div>
    <w:div w:id="1626887186">
      <w:marLeft w:val="640"/>
      <w:marRight w:val="0"/>
      <w:marTop w:val="0"/>
      <w:marBottom w:val="0"/>
      <w:divBdr>
        <w:top w:val="none" w:sz="0" w:space="0" w:color="auto"/>
        <w:left w:val="none" w:sz="0" w:space="0" w:color="auto"/>
        <w:bottom w:val="none" w:sz="0" w:space="0" w:color="auto"/>
        <w:right w:val="none" w:sz="0" w:space="0" w:color="auto"/>
      </w:divBdr>
    </w:div>
    <w:div w:id="1627009649">
      <w:marLeft w:val="640"/>
      <w:marRight w:val="0"/>
      <w:marTop w:val="0"/>
      <w:marBottom w:val="0"/>
      <w:divBdr>
        <w:top w:val="none" w:sz="0" w:space="0" w:color="auto"/>
        <w:left w:val="none" w:sz="0" w:space="0" w:color="auto"/>
        <w:bottom w:val="none" w:sz="0" w:space="0" w:color="auto"/>
        <w:right w:val="none" w:sz="0" w:space="0" w:color="auto"/>
      </w:divBdr>
    </w:div>
    <w:div w:id="1627199143">
      <w:marLeft w:val="640"/>
      <w:marRight w:val="0"/>
      <w:marTop w:val="0"/>
      <w:marBottom w:val="0"/>
      <w:divBdr>
        <w:top w:val="none" w:sz="0" w:space="0" w:color="auto"/>
        <w:left w:val="none" w:sz="0" w:space="0" w:color="auto"/>
        <w:bottom w:val="none" w:sz="0" w:space="0" w:color="auto"/>
        <w:right w:val="none" w:sz="0" w:space="0" w:color="auto"/>
      </w:divBdr>
    </w:div>
    <w:div w:id="1627396642">
      <w:marLeft w:val="640"/>
      <w:marRight w:val="0"/>
      <w:marTop w:val="0"/>
      <w:marBottom w:val="0"/>
      <w:divBdr>
        <w:top w:val="none" w:sz="0" w:space="0" w:color="auto"/>
        <w:left w:val="none" w:sz="0" w:space="0" w:color="auto"/>
        <w:bottom w:val="none" w:sz="0" w:space="0" w:color="auto"/>
        <w:right w:val="none" w:sz="0" w:space="0" w:color="auto"/>
      </w:divBdr>
    </w:div>
    <w:div w:id="1627466422">
      <w:marLeft w:val="640"/>
      <w:marRight w:val="0"/>
      <w:marTop w:val="0"/>
      <w:marBottom w:val="0"/>
      <w:divBdr>
        <w:top w:val="none" w:sz="0" w:space="0" w:color="auto"/>
        <w:left w:val="none" w:sz="0" w:space="0" w:color="auto"/>
        <w:bottom w:val="none" w:sz="0" w:space="0" w:color="auto"/>
        <w:right w:val="none" w:sz="0" w:space="0" w:color="auto"/>
      </w:divBdr>
    </w:div>
    <w:div w:id="1629162862">
      <w:marLeft w:val="640"/>
      <w:marRight w:val="0"/>
      <w:marTop w:val="0"/>
      <w:marBottom w:val="0"/>
      <w:divBdr>
        <w:top w:val="none" w:sz="0" w:space="0" w:color="auto"/>
        <w:left w:val="none" w:sz="0" w:space="0" w:color="auto"/>
        <w:bottom w:val="none" w:sz="0" w:space="0" w:color="auto"/>
        <w:right w:val="none" w:sz="0" w:space="0" w:color="auto"/>
      </w:divBdr>
    </w:div>
    <w:div w:id="1629166735">
      <w:marLeft w:val="640"/>
      <w:marRight w:val="0"/>
      <w:marTop w:val="0"/>
      <w:marBottom w:val="0"/>
      <w:divBdr>
        <w:top w:val="none" w:sz="0" w:space="0" w:color="auto"/>
        <w:left w:val="none" w:sz="0" w:space="0" w:color="auto"/>
        <w:bottom w:val="none" w:sz="0" w:space="0" w:color="auto"/>
        <w:right w:val="none" w:sz="0" w:space="0" w:color="auto"/>
      </w:divBdr>
    </w:div>
    <w:div w:id="1630621248">
      <w:marLeft w:val="640"/>
      <w:marRight w:val="0"/>
      <w:marTop w:val="0"/>
      <w:marBottom w:val="0"/>
      <w:divBdr>
        <w:top w:val="none" w:sz="0" w:space="0" w:color="auto"/>
        <w:left w:val="none" w:sz="0" w:space="0" w:color="auto"/>
        <w:bottom w:val="none" w:sz="0" w:space="0" w:color="auto"/>
        <w:right w:val="none" w:sz="0" w:space="0" w:color="auto"/>
      </w:divBdr>
    </w:div>
    <w:div w:id="1630625313">
      <w:marLeft w:val="640"/>
      <w:marRight w:val="0"/>
      <w:marTop w:val="0"/>
      <w:marBottom w:val="0"/>
      <w:divBdr>
        <w:top w:val="none" w:sz="0" w:space="0" w:color="auto"/>
        <w:left w:val="none" w:sz="0" w:space="0" w:color="auto"/>
        <w:bottom w:val="none" w:sz="0" w:space="0" w:color="auto"/>
        <w:right w:val="none" w:sz="0" w:space="0" w:color="auto"/>
      </w:divBdr>
    </w:div>
    <w:div w:id="1631204518">
      <w:marLeft w:val="640"/>
      <w:marRight w:val="0"/>
      <w:marTop w:val="0"/>
      <w:marBottom w:val="0"/>
      <w:divBdr>
        <w:top w:val="none" w:sz="0" w:space="0" w:color="auto"/>
        <w:left w:val="none" w:sz="0" w:space="0" w:color="auto"/>
        <w:bottom w:val="none" w:sz="0" w:space="0" w:color="auto"/>
        <w:right w:val="none" w:sz="0" w:space="0" w:color="auto"/>
      </w:divBdr>
    </w:div>
    <w:div w:id="1632593750">
      <w:marLeft w:val="640"/>
      <w:marRight w:val="0"/>
      <w:marTop w:val="0"/>
      <w:marBottom w:val="0"/>
      <w:divBdr>
        <w:top w:val="none" w:sz="0" w:space="0" w:color="auto"/>
        <w:left w:val="none" w:sz="0" w:space="0" w:color="auto"/>
        <w:bottom w:val="none" w:sz="0" w:space="0" w:color="auto"/>
        <w:right w:val="none" w:sz="0" w:space="0" w:color="auto"/>
      </w:divBdr>
    </w:div>
    <w:div w:id="1633363606">
      <w:marLeft w:val="640"/>
      <w:marRight w:val="0"/>
      <w:marTop w:val="0"/>
      <w:marBottom w:val="0"/>
      <w:divBdr>
        <w:top w:val="none" w:sz="0" w:space="0" w:color="auto"/>
        <w:left w:val="none" w:sz="0" w:space="0" w:color="auto"/>
        <w:bottom w:val="none" w:sz="0" w:space="0" w:color="auto"/>
        <w:right w:val="none" w:sz="0" w:space="0" w:color="auto"/>
      </w:divBdr>
    </w:div>
    <w:div w:id="1633707292">
      <w:marLeft w:val="640"/>
      <w:marRight w:val="0"/>
      <w:marTop w:val="0"/>
      <w:marBottom w:val="0"/>
      <w:divBdr>
        <w:top w:val="none" w:sz="0" w:space="0" w:color="auto"/>
        <w:left w:val="none" w:sz="0" w:space="0" w:color="auto"/>
        <w:bottom w:val="none" w:sz="0" w:space="0" w:color="auto"/>
        <w:right w:val="none" w:sz="0" w:space="0" w:color="auto"/>
      </w:divBdr>
    </w:div>
    <w:div w:id="1634015354">
      <w:marLeft w:val="640"/>
      <w:marRight w:val="0"/>
      <w:marTop w:val="0"/>
      <w:marBottom w:val="0"/>
      <w:divBdr>
        <w:top w:val="none" w:sz="0" w:space="0" w:color="auto"/>
        <w:left w:val="none" w:sz="0" w:space="0" w:color="auto"/>
        <w:bottom w:val="none" w:sz="0" w:space="0" w:color="auto"/>
        <w:right w:val="none" w:sz="0" w:space="0" w:color="auto"/>
      </w:divBdr>
    </w:div>
    <w:div w:id="1634360441">
      <w:marLeft w:val="640"/>
      <w:marRight w:val="0"/>
      <w:marTop w:val="0"/>
      <w:marBottom w:val="0"/>
      <w:divBdr>
        <w:top w:val="none" w:sz="0" w:space="0" w:color="auto"/>
        <w:left w:val="none" w:sz="0" w:space="0" w:color="auto"/>
        <w:bottom w:val="none" w:sz="0" w:space="0" w:color="auto"/>
        <w:right w:val="none" w:sz="0" w:space="0" w:color="auto"/>
      </w:divBdr>
    </w:div>
    <w:div w:id="1634746314">
      <w:marLeft w:val="640"/>
      <w:marRight w:val="0"/>
      <w:marTop w:val="0"/>
      <w:marBottom w:val="0"/>
      <w:divBdr>
        <w:top w:val="none" w:sz="0" w:space="0" w:color="auto"/>
        <w:left w:val="none" w:sz="0" w:space="0" w:color="auto"/>
        <w:bottom w:val="none" w:sz="0" w:space="0" w:color="auto"/>
        <w:right w:val="none" w:sz="0" w:space="0" w:color="auto"/>
      </w:divBdr>
    </w:div>
    <w:div w:id="1637223034">
      <w:marLeft w:val="640"/>
      <w:marRight w:val="0"/>
      <w:marTop w:val="0"/>
      <w:marBottom w:val="0"/>
      <w:divBdr>
        <w:top w:val="none" w:sz="0" w:space="0" w:color="auto"/>
        <w:left w:val="none" w:sz="0" w:space="0" w:color="auto"/>
        <w:bottom w:val="none" w:sz="0" w:space="0" w:color="auto"/>
        <w:right w:val="none" w:sz="0" w:space="0" w:color="auto"/>
      </w:divBdr>
    </w:div>
    <w:div w:id="1637252107">
      <w:marLeft w:val="640"/>
      <w:marRight w:val="0"/>
      <w:marTop w:val="0"/>
      <w:marBottom w:val="0"/>
      <w:divBdr>
        <w:top w:val="none" w:sz="0" w:space="0" w:color="auto"/>
        <w:left w:val="none" w:sz="0" w:space="0" w:color="auto"/>
        <w:bottom w:val="none" w:sz="0" w:space="0" w:color="auto"/>
        <w:right w:val="none" w:sz="0" w:space="0" w:color="auto"/>
      </w:divBdr>
    </w:div>
    <w:div w:id="1638148822">
      <w:marLeft w:val="640"/>
      <w:marRight w:val="0"/>
      <w:marTop w:val="0"/>
      <w:marBottom w:val="0"/>
      <w:divBdr>
        <w:top w:val="none" w:sz="0" w:space="0" w:color="auto"/>
        <w:left w:val="none" w:sz="0" w:space="0" w:color="auto"/>
        <w:bottom w:val="none" w:sz="0" w:space="0" w:color="auto"/>
        <w:right w:val="none" w:sz="0" w:space="0" w:color="auto"/>
      </w:divBdr>
    </w:div>
    <w:div w:id="1638412847">
      <w:marLeft w:val="640"/>
      <w:marRight w:val="0"/>
      <w:marTop w:val="0"/>
      <w:marBottom w:val="0"/>
      <w:divBdr>
        <w:top w:val="none" w:sz="0" w:space="0" w:color="auto"/>
        <w:left w:val="none" w:sz="0" w:space="0" w:color="auto"/>
        <w:bottom w:val="none" w:sz="0" w:space="0" w:color="auto"/>
        <w:right w:val="none" w:sz="0" w:space="0" w:color="auto"/>
      </w:divBdr>
    </w:div>
    <w:div w:id="1638604372">
      <w:marLeft w:val="640"/>
      <w:marRight w:val="0"/>
      <w:marTop w:val="0"/>
      <w:marBottom w:val="0"/>
      <w:divBdr>
        <w:top w:val="none" w:sz="0" w:space="0" w:color="auto"/>
        <w:left w:val="none" w:sz="0" w:space="0" w:color="auto"/>
        <w:bottom w:val="none" w:sz="0" w:space="0" w:color="auto"/>
        <w:right w:val="none" w:sz="0" w:space="0" w:color="auto"/>
      </w:divBdr>
    </w:div>
    <w:div w:id="1638992380">
      <w:marLeft w:val="640"/>
      <w:marRight w:val="0"/>
      <w:marTop w:val="0"/>
      <w:marBottom w:val="0"/>
      <w:divBdr>
        <w:top w:val="none" w:sz="0" w:space="0" w:color="auto"/>
        <w:left w:val="none" w:sz="0" w:space="0" w:color="auto"/>
        <w:bottom w:val="none" w:sz="0" w:space="0" w:color="auto"/>
        <w:right w:val="none" w:sz="0" w:space="0" w:color="auto"/>
      </w:divBdr>
    </w:div>
    <w:div w:id="1639262093">
      <w:marLeft w:val="640"/>
      <w:marRight w:val="0"/>
      <w:marTop w:val="0"/>
      <w:marBottom w:val="0"/>
      <w:divBdr>
        <w:top w:val="none" w:sz="0" w:space="0" w:color="auto"/>
        <w:left w:val="none" w:sz="0" w:space="0" w:color="auto"/>
        <w:bottom w:val="none" w:sz="0" w:space="0" w:color="auto"/>
        <w:right w:val="none" w:sz="0" w:space="0" w:color="auto"/>
      </w:divBdr>
    </w:div>
    <w:div w:id="1639338193">
      <w:marLeft w:val="640"/>
      <w:marRight w:val="0"/>
      <w:marTop w:val="0"/>
      <w:marBottom w:val="0"/>
      <w:divBdr>
        <w:top w:val="none" w:sz="0" w:space="0" w:color="auto"/>
        <w:left w:val="none" w:sz="0" w:space="0" w:color="auto"/>
        <w:bottom w:val="none" w:sz="0" w:space="0" w:color="auto"/>
        <w:right w:val="none" w:sz="0" w:space="0" w:color="auto"/>
      </w:divBdr>
    </w:div>
    <w:div w:id="1639456218">
      <w:marLeft w:val="640"/>
      <w:marRight w:val="0"/>
      <w:marTop w:val="0"/>
      <w:marBottom w:val="0"/>
      <w:divBdr>
        <w:top w:val="none" w:sz="0" w:space="0" w:color="auto"/>
        <w:left w:val="none" w:sz="0" w:space="0" w:color="auto"/>
        <w:bottom w:val="none" w:sz="0" w:space="0" w:color="auto"/>
        <w:right w:val="none" w:sz="0" w:space="0" w:color="auto"/>
      </w:divBdr>
    </w:div>
    <w:div w:id="1639920450">
      <w:marLeft w:val="640"/>
      <w:marRight w:val="0"/>
      <w:marTop w:val="0"/>
      <w:marBottom w:val="0"/>
      <w:divBdr>
        <w:top w:val="none" w:sz="0" w:space="0" w:color="auto"/>
        <w:left w:val="none" w:sz="0" w:space="0" w:color="auto"/>
        <w:bottom w:val="none" w:sz="0" w:space="0" w:color="auto"/>
        <w:right w:val="none" w:sz="0" w:space="0" w:color="auto"/>
      </w:divBdr>
    </w:div>
    <w:div w:id="1640111925">
      <w:marLeft w:val="640"/>
      <w:marRight w:val="0"/>
      <w:marTop w:val="0"/>
      <w:marBottom w:val="0"/>
      <w:divBdr>
        <w:top w:val="none" w:sz="0" w:space="0" w:color="auto"/>
        <w:left w:val="none" w:sz="0" w:space="0" w:color="auto"/>
        <w:bottom w:val="none" w:sz="0" w:space="0" w:color="auto"/>
        <w:right w:val="none" w:sz="0" w:space="0" w:color="auto"/>
      </w:divBdr>
    </w:div>
    <w:div w:id="1640762908">
      <w:marLeft w:val="640"/>
      <w:marRight w:val="0"/>
      <w:marTop w:val="0"/>
      <w:marBottom w:val="0"/>
      <w:divBdr>
        <w:top w:val="none" w:sz="0" w:space="0" w:color="auto"/>
        <w:left w:val="none" w:sz="0" w:space="0" w:color="auto"/>
        <w:bottom w:val="none" w:sz="0" w:space="0" w:color="auto"/>
        <w:right w:val="none" w:sz="0" w:space="0" w:color="auto"/>
      </w:divBdr>
    </w:div>
    <w:div w:id="1642269672">
      <w:marLeft w:val="640"/>
      <w:marRight w:val="0"/>
      <w:marTop w:val="0"/>
      <w:marBottom w:val="0"/>
      <w:divBdr>
        <w:top w:val="none" w:sz="0" w:space="0" w:color="auto"/>
        <w:left w:val="none" w:sz="0" w:space="0" w:color="auto"/>
        <w:bottom w:val="none" w:sz="0" w:space="0" w:color="auto"/>
        <w:right w:val="none" w:sz="0" w:space="0" w:color="auto"/>
      </w:divBdr>
    </w:div>
    <w:div w:id="1642885893">
      <w:marLeft w:val="640"/>
      <w:marRight w:val="0"/>
      <w:marTop w:val="0"/>
      <w:marBottom w:val="0"/>
      <w:divBdr>
        <w:top w:val="none" w:sz="0" w:space="0" w:color="auto"/>
        <w:left w:val="none" w:sz="0" w:space="0" w:color="auto"/>
        <w:bottom w:val="none" w:sz="0" w:space="0" w:color="auto"/>
        <w:right w:val="none" w:sz="0" w:space="0" w:color="auto"/>
      </w:divBdr>
    </w:div>
    <w:div w:id="1643460676">
      <w:marLeft w:val="640"/>
      <w:marRight w:val="0"/>
      <w:marTop w:val="0"/>
      <w:marBottom w:val="0"/>
      <w:divBdr>
        <w:top w:val="none" w:sz="0" w:space="0" w:color="auto"/>
        <w:left w:val="none" w:sz="0" w:space="0" w:color="auto"/>
        <w:bottom w:val="none" w:sz="0" w:space="0" w:color="auto"/>
        <w:right w:val="none" w:sz="0" w:space="0" w:color="auto"/>
      </w:divBdr>
    </w:div>
    <w:div w:id="1643608972">
      <w:marLeft w:val="640"/>
      <w:marRight w:val="0"/>
      <w:marTop w:val="0"/>
      <w:marBottom w:val="0"/>
      <w:divBdr>
        <w:top w:val="none" w:sz="0" w:space="0" w:color="auto"/>
        <w:left w:val="none" w:sz="0" w:space="0" w:color="auto"/>
        <w:bottom w:val="none" w:sz="0" w:space="0" w:color="auto"/>
        <w:right w:val="none" w:sz="0" w:space="0" w:color="auto"/>
      </w:divBdr>
    </w:div>
    <w:div w:id="1644431017">
      <w:marLeft w:val="640"/>
      <w:marRight w:val="0"/>
      <w:marTop w:val="0"/>
      <w:marBottom w:val="0"/>
      <w:divBdr>
        <w:top w:val="none" w:sz="0" w:space="0" w:color="auto"/>
        <w:left w:val="none" w:sz="0" w:space="0" w:color="auto"/>
        <w:bottom w:val="none" w:sz="0" w:space="0" w:color="auto"/>
        <w:right w:val="none" w:sz="0" w:space="0" w:color="auto"/>
      </w:divBdr>
    </w:div>
    <w:div w:id="1645281572">
      <w:marLeft w:val="640"/>
      <w:marRight w:val="0"/>
      <w:marTop w:val="0"/>
      <w:marBottom w:val="0"/>
      <w:divBdr>
        <w:top w:val="none" w:sz="0" w:space="0" w:color="auto"/>
        <w:left w:val="none" w:sz="0" w:space="0" w:color="auto"/>
        <w:bottom w:val="none" w:sz="0" w:space="0" w:color="auto"/>
        <w:right w:val="none" w:sz="0" w:space="0" w:color="auto"/>
      </w:divBdr>
    </w:div>
    <w:div w:id="1646007372">
      <w:marLeft w:val="640"/>
      <w:marRight w:val="0"/>
      <w:marTop w:val="0"/>
      <w:marBottom w:val="0"/>
      <w:divBdr>
        <w:top w:val="none" w:sz="0" w:space="0" w:color="auto"/>
        <w:left w:val="none" w:sz="0" w:space="0" w:color="auto"/>
        <w:bottom w:val="none" w:sz="0" w:space="0" w:color="auto"/>
        <w:right w:val="none" w:sz="0" w:space="0" w:color="auto"/>
      </w:divBdr>
    </w:div>
    <w:div w:id="1646281038">
      <w:marLeft w:val="640"/>
      <w:marRight w:val="0"/>
      <w:marTop w:val="0"/>
      <w:marBottom w:val="0"/>
      <w:divBdr>
        <w:top w:val="none" w:sz="0" w:space="0" w:color="auto"/>
        <w:left w:val="none" w:sz="0" w:space="0" w:color="auto"/>
        <w:bottom w:val="none" w:sz="0" w:space="0" w:color="auto"/>
        <w:right w:val="none" w:sz="0" w:space="0" w:color="auto"/>
      </w:divBdr>
    </w:div>
    <w:div w:id="1646618660">
      <w:marLeft w:val="640"/>
      <w:marRight w:val="0"/>
      <w:marTop w:val="0"/>
      <w:marBottom w:val="0"/>
      <w:divBdr>
        <w:top w:val="none" w:sz="0" w:space="0" w:color="auto"/>
        <w:left w:val="none" w:sz="0" w:space="0" w:color="auto"/>
        <w:bottom w:val="none" w:sz="0" w:space="0" w:color="auto"/>
        <w:right w:val="none" w:sz="0" w:space="0" w:color="auto"/>
      </w:divBdr>
    </w:div>
    <w:div w:id="1647276357">
      <w:marLeft w:val="640"/>
      <w:marRight w:val="0"/>
      <w:marTop w:val="0"/>
      <w:marBottom w:val="0"/>
      <w:divBdr>
        <w:top w:val="none" w:sz="0" w:space="0" w:color="auto"/>
        <w:left w:val="none" w:sz="0" w:space="0" w:color="auto"/>
        <w:bottom w:val="none" w:sz="0" w:space="0" w:color="auto"/>
        <w:right w:val="none" w:sz="0" w:space="0" w:color="auto"/>
      </w:divBdr>
    </w:div>
    <w:div w:id="1647859162">
      <w:marLeft w:val="640"/>
      <w:marRight w:val="0"/>
      <w:marTop w:val="0"/>
      <w:marBottom w:val="0"/>
      <w:divBdr>
        <w:top w:val="none" w:sz="0" w:space="0" w:color="auto"/>
        <w:left w:val="none" w:sz="0" w:space="0" w:color="auto"/>
        <w:bottom w:val="none" w:sz="0" w:space="0" w:color="auto"/>
        <w:right w:val="none" w:sz="0" w:space="0" w:color="auto"/>
      </w:divBdr>
    </w:div>
    <w:div w:id="1649166852">
      <w:marLeft w:val="640"/>
      <w:marRight w:val="0"/>
      <w:marTop w:val="0"/>
      <w:marBottom w:val="0"/>
      <w:divBdr>
        <w:top w:val="none" w:sz="0" w:space="0" w:color="auto"/>
        <w:left w:val="none" w:sz="0" w:space="0" w:color="auto"/>
        <w:bottom w:val="none" w:sz="0" w:space="0" w:color="auto"/>
        <w:right w:val="none" w:sz="0" w:space="0" w:color="auto"/>
      </w:divBdr>
    </w:div>
    <w:div w:id="1649435391">
      <w:marLeft w:val="640"/>
      <w:marRight w:val="0"/>
      <w:marTop w:val="0"/>
      <w:marBottom w:val="0"/>
      <w:divBdr>
        <w:top w:val="none" w:sz="0" w:space="0" w:color="auto"/>
        <w:left w:val="none" w:sz="0" w:space="0" w:color="auto"/>
        <w:bottom w:val="none" w:sz="0" w:space="0" w:color="auto"/>
        <w:right w:val="none" w:sz="0" w:space="0" w:color="auto"/>
      </w:divBdr>
    </w:div>
    <w:div w:id="1650287075">
      <w:marLeft w:val="640"/>
      <w:marRight w:val="0"/>
      <w:marTop w:val="0"/>
      <w:marBottom w:val="0"/>
      <w:divBdr>
        <w:top w:val="none" w:sz="0" w:space="0" w:color="auto"/>
        <w:left w:val="none" w:sz="0" w:space="0" w:color="auto"/>
        <w:bottom w:val="none" w:sz="0" w:space="0" w:color="auto"/>
        <w:right w:val="none" w:sz="0" w:space="0" w:color="auto"/>
      </w:divBdr>
    </w:div>
    <w:div w:id="1651055076">
      <w:marLeft w:val="640"/>
      <w:marRight w:val="0"/>
      <w:marTop w:val="0"/>
      <w:marBottom w:val="0"/>
      <w:divBdr>
        <w:top w:val="none" w:sz="0" w:space="0" w:color="auto"/>
        <w:left w:val="none" w:sz="0" w:space="0" w:color="auto"/>
        <w:bottom w:val="none" w:sz="0" w:space="0" w:color="auto"/>
        <w:right w:val="none" w:sz="0" w:space="0" w:color="auto"/>
      </w:divBdr>
    </w:div>
    <w:div w:id="1651403770">
      <w:marLeft w:val="640"/>
      <w:marRight w:val="0"/>
      <w:marTop w:val="0"/>
      <w:marBottom w:val="0"/>
      <w:divBdr>
        <w:top w:val="none" w:sz="0" w:space="0" w:color="auto"/>
        <w:left w:val="none" w:sz="0" w:space="0" w:color="auto"/>
        <w:bottom w:val="none" w:sz="0" w:space="0" w:color="auto"/>
        <w:right w:val="none" w:sz="0" w:space="0" w:color="auto"/>
      </w:divBdr>
    </w:div>
    <w:div w:id="1651711866">
      <w:marLeft w:val="640"/>
      <w:marRight w:val="0"/>
      <w:marTop w:val="0"/>
      <w:marBottom w:val="0"/>
      <w:divBdr>
        <w:top w:val="none" w:sz="0" w:space="0" w:color="auto"/>
        <w:left w:val="none" w:sz="0" w:space="0" w:color="auto"/>
        <w:bottom w:val="none" w:sz="0" w:space="0" w:color="auto"/>
        <w:right w:val="none" w:sz="0" w:space="0" w:color="auto"/>
      </w:divBdr>
    </w:div>
    <w:div w:id="1651864574">
      <w:marLeft w:val="640"/>
      <w:marRight w:val="0"/>
      <w:marTop w:val="0"/>
      <w:marBottom w:val="0"/>
      <w:divBdr>
        <w:top w:val="none" w:sz="0" w:space="0" w:color="auto"/>
        <w:left w:val="none" w:sz="0" w:space="0" w:color="auto"/>
        <w:bottom w:val="none" w:sz="0" w:space="0" w:color="auto"/>
        <w:right w:val="none" w:sz="0" w:space="0" w:color="auto"/>
      </w:divBdr>
    </w:div>
    <w:div w:id="1652514056">
      <w:marLeft w:val="640"/>
      <w:marRight w:val="0"/>
      <w:marTop w:val="0"/>
      <w:marBottom w:val="0"/>
      <w:divBdr>
        <w:top w:val="none" w:sz="0" w:space="0" w:color="auto"/>
        <w:left w:val="none" w:sz="0" w:space="0" w:color="auto"/>
        <w:bottom w:val="none" w:sz="0" w:space="0" w:color="auto"/>
        <w:right w:val="none" w:sz="0" w:space="0" w:color="auto"/>
      </w:divBdr>
    </w:div>
    <w:div w:id="1652557935">
      <w:marLeft w:val="640"/>
      <w:marRight w:val="0"/>
      <w:marTop w:val="0"/>
      <w:marBottom w:val="0"/>
      <w:divBdr>
        <w:top w:val="none" w:sz="0" w:space="0" w:color="auto"/>
        <w:left w:val="none" w:sz="0" w:space="0" w:color="auto"/>
        <w:bottom w:val="none" w:sz="0" w:space="0" w:color="auto"/>
        <w:right w:val="none" w:sz="0" w:space="0" w:color="auto"/>
      </w:divBdr>
    </w:div>
    <w:div w:id="1652980203">
      <w:marLeft w:val="640"/>
      <w:marRight w:val="0"/>
      <w:marTop w:val="0"/>
      <w:marBottom w:val="0"/>
      <w:divBdr>
        <w:top w:val="none" w:sz="0" w:space="0" w:color="auto"/>
        <w:left w:val="none" w:sz="0" w:space="0" w:color="auto"/>
        <w:bottom w:val="none" w:sz="0" w:space="0" w:color="auto"/>
        <w:right w:val="none" w:sz="0" w:space="0" w:color="auto"/>
      </w:divBdr>
    </w:div>
    <w:div w:id="1653833376">
      <w:marLeft w:val="640"/>
      <w:marRight w:val="0"/>
      <w:marTop w:val="0"/>
      <w:marBottom w:val="0"/>
      <w:divBdr>
        <w:top w:val="none" w:sz="0" w:space="0" w:color="auto"/>
        <w:left w:val="none" w:sz="0" w:space="0" w:color="auto"/>
        <w:bottom w:val="none" w:sz="0" w:space="0" w:color="auto"/>
        <w:right w:val="none" w:sz="0" w:space="0" w:color="auto"/>
      </w:divBdr>
    </w:div>
    <w:div w:id="1654139867">
      <w:marLeft w:val="640"/>
      <w:marRight w:val="0"/>
      <w:marTop w:val="0"/>
      <w:marBottom w:val="0"/>
      <w:divBdr>
        <w:top w:val="none" w:sz="0" w:space="0" w:color="auto"/>
        <w:left w:val="none" w:sz="0" w:space="0" w:color="auto"/>
        <w:bottom w:val="none" w:sz="0" w:space="0" w:color="auto"/>
        <w:right w:val="none" w:sz="0" w:space="0" w:color="auto"/>
      </w:divBdr>
    </w:div>
    <w:div w:id="1654484665">
      <w:marLeft w:val="640"/>
      <w:marRight w:val="0"/>
      <w:marTop w:val="0"/>
      <w:marBottom w:val="0"/>
      <w:divBdr>
        <w:top w:val="none" w:sz="0" w:space="0" w:color="auto"/>
        <w:left w:val="none" w:sz="0" w:space="0" w:color="auto"/>
        <w:bottom w:val="none" w:sz="0" w:space="0" w:color="auto"/>
        <w:right w:val="none" w:sz="0" w:space="0" w:color="auto"/>
      </w:divBdr>
    </w:div>
    <w:div w:id="1654601758">
      <w:marLeft w:val="640"/>
      <w:marRight w:val="0"/>
      <w:marTop w:val="0"/>
      <w:marBottom w:val="0"/>
      <w:divBdr>
        <w:top w:val="none" w:sz="0" w:space="0" w:color="auto"/>
        <w:left w:val="none" w:sz="0" w:space="0" w:color="auto"/>
        <w:bottom w:val="none" w:sz="0" w:space="0" w:color="auto"/>
        <w:right w:val="none" w:sz="0" w:space="0" w:color="auto"/>
      </w:divBdr>
    </w:div>
    <w:div w:id="1656060517">
      <w:marLeft w:val="640"/>
      <w:marRight w:val="0"/>
      <w:marTop w:val="0"/>
      <w:marBottom w:val="0"/>
      <w:divBdr>
        <w:top w:val="none" w:sz="0" w:space="0" w:color="auto"/>
        <w:left w:val="none" w:sz="0" w:space="0" w:color="auto"/>
        <w:bottom w:val="none" w:sz="0" w:space="0" w:color="auto"/>
        <w:right w:val="none" w:sz="0" w:space="0" w:color="auto"/>
      </w:divBdr>
    </w:div>
    <w:div w:id="1656253672">
      <w:marLeft w:val="640"/>
      <w:marRight w:val="0"/>
      <w:marTop w:val="0"/>
      <w:marBottom w:val="0"/>
      <w:divBdr>
        <w:top w:val="none" w:sz="0" w:space="0" w:color="auto"/>
        <w:left w:val="none" w:sz="0" w:space="0" w:color="auto"/>
        <w:bottom w:val="none" w:sz="0" w:space="0" w:color="auto"/>
        <w:right w:val="none" w:sz="0" w:space="0" w:color="auto"/>
      </w:divBdr>
    </w:div>
    <w:div w:id="1657303100">
      <w:marLeft w:val="640"/>
      <w:marRight w:val="0"/>
      <w:marTop w:val="0"/>
      <w:marBottom w:val="0"/>
      <w:divBdr>
        <w:top w:val="none" w:sz="0" w:space="0" w:color="auto"/>
        <w:left w:val="none" w:sz="0" w:space="0" w:color="auto"/>
        <w:bottom w:val="none" w:sz="0" w:space="0" w:color="auto"/>
        <w:right w:val="none" w:sz="0" w:space="0" w:color="auto"/>
      </w:divBdr>
    </w:div>
    <w:div w:id="1658070307">
      <w:marLeft w:val="640"/>
      <w:marRight w:val="0"/>
      <w:marTop w:val="0"/>
      <w:marBottom w:val="0"/>
      <w:divBdr>
        <w:top w:val="none" w:sz="0" w:space="0" w:color="auto"/>
        <w:left w:val="none" w:sz="0" w:space="0" w:color="auto"/>
        <w:bottom w:val="none" w:sz="0" w:space="0" w:color="auto"/>
        <w:right w:val="none" w:sz="0" w:space="0" w:color="auto"/>
      </w:divBdr>
    </w:div>
    <w:div w:id="1658681979">
      <w:marLeft w:val="640"/>
      <w:marRight w:val="0"/>
      <w:marTop w:val="0"/>
      <w:marBottom w:val="0"/>
      <w:divBdr>
        <w:top w:val="none" w:sz="0" w:space="0" w:color="auto"/>
        <w:left w:val="none" w:sz="0" w:space="0" w:color="auto"/>
        <w:bottom w:val="none" w:sz="0" w:space="0" w:color="auto"/>
        <w:right w:val="none" w:sz="0" w:space="0" w:color="auto"/>
      </w:divBdr>
    </w:div>
    <w:div w:id="1658916837">
      <w:marLeft w:val="640"/>
      <w:marRight w:val="0"/>
      <w:marTop w:val="0"/>
      <w:marBottom w:val="0"/>
      <w:divBdr>
        <w:top w:val="none" w:sz="0" w:space="0" w:color="auto"/>
        <w:left w:val="none" w:sz="0" w:space="0" w:color="auto"/>
        <w:bottom w:val="none" w:sz="0" w:space="0" w:color="auto"/>
        <w:right w:val="none" w:sz="0" w:space="0" w:color="auto"/>
      </w:divBdr>
    </w:div>
    <w:div w:id="1660186835">
      <w:marLeft w:val="640"/>
      <w:marRight w:val="0"/>
      <w:marTop w:val="0"/>
      <w:marBottom w:val="0"/>
      <w:divBdr>
        <w:top w:val="none" w:sz="0" w:space="0" w:color="auto"/>
        <w:left w:val="none" w:sz="0" w:space="0" w:color="auto"/>
        <w:bottom w:val="none" w:sz="0" w:space="0" w:color="auto"/>
        <w:right w:val="none" w:sz="0" w:space="0" w:color="auto"/>
      </w:divBdr>
    </w:div>
    <w:div w:id="1660840925">
      <w:marLeft w:val="640"/>
      <w:marRight w:val="0"/>
      <w:marTop w:val="0"/>
      <w:marBottom w:val="0"/>
      <w:divBdr>
        <w:top w:val="none" w:sz="0" w:space="0" w:color="auto"/>
        <w:left w:val="none" w:sz="0" w:space="0" w:color="auto"/>
        <w:bottom w:val="none" w:sz="0" w:space="0" w:color="auto"/>
        <w:right w:val="none" w:sz="0" w:space="0" w:color="auto"/>
      </w:divBdr>
    </w:div>
    <w:div w:id="1660963002">
      <w:marLeft w:val="640"/>
      <w:marRight w:val="0"/>
      <w:marTop w:val="0"/>
      <w:marBottom w:val="0"/>
      <w:divBdr>
        <w:top w:val="none" w:sz="0" w:space="0" w:color="auto"/>
        <w:left w:val="none" w:sz="0" w:space="0" w:color="auto"/>
        <w:bottom w:val="none" w:sz="0" w:space="0" w:color="auto"/>
        <w:right w:val="none" w:sz="0" w:space="0" w:color="auto"/>
      </w:divBdr>
    </w:div>
    <w:div w:id="1662272921">
      <w:marLeft w:val="640"/>
      <w:marRight w:val="0"/>
      <w:marTop w:val="0"/>
      <w:marBottom w:val="0"/>
      <w:divBdr>
        <w:top w:val="none" w:sz="0" w:space="0" w:color="auto"/>
        <w:left w:val="none" w:sz="0" w:space="0" w:color="auto"/>
        <w:bottom w:val="none" w:sz="0" w:space="0" w:color="auto"/>
        <w:right w:val="none" w:sz="0" w:space="0" w:color="auto"/>
      </w:divBdr>
    </w:div>
    <w:div w:id="1662275423">
      <w:marLeft w:val="640"/>
      <w:marRight w:val="0"/>
      <w:marTop w:val="0"/>
      <w:marBottom w:val="0"/>
      <w:divBdr>
        <w:top w:val="none" w:sz="0" w:space="0" w:color="auto"/>
        <w:left w:val="none" w:sz="0" w:space="0" w:color="auto"/>
        <w:bottom w:val="none" w:sz="0" w:space="0" w:color="auto"/>
        <w:right w:val="none" w:sz="0" w:space="0" w:color="auto"/>
      </w:divBdr>
    </w:div>
    <w:div w:id="1662347767">
      <w:marLeft w:val="640"/>
      <w:marRight w:val="0"/>
      <w:marTop w:val="0"/>
      <w:marBottom w:val="0"/>
      <w:divBdr>
        <w:top w:val="none" w:sz="0" w:space="0" w:color="auto"/>
        <w:left w:val="none" w:sz="0" w:space="0" w:color="auto"/>
        <w:bottom w:val="none" w:sz="0" w:space="0" w:color="auto"/>
        <w:right w:val="none" w:sz="0" w:space="0" w:color="auto"/>
      </w:divBdr>
    </w:div>
    <w:div w:id="1663200287">
      <w:marLeft w:val="640"/>
      <w:marRight w:val="0"/>
      <w:marTop w:val="0"/>
      <w:marBottom w:val="0"/>
      <w:divBdr>
        <w:top w:val="none" w:sz="0" w:space="0" w:color="auto"/>
        <w:left w:val="none" w:sz="0" w:space="0" w:color="auto"/>
        <w:bottom w:val="none" w:sz="0" w:space="0" w:color="auto"/>
        <w:right w:val="none" w:sz="0" w:space="0" w:color="auto"/>
      </w:divBdr>
    </w:div>
    <w:div w:id="1664315017">
      <w:marLeft w:val="640"/>
      <w:marRight w:val="0"/>
      <w:marTop w:val="0"/>
      <w:marBottom w:val="0"/>
      <w:divBdr>
        <w:top w:val="none" w:sz="0" w:space="0" w:color="auto"/>
        <w:left w:val="none" w:sz="0" w:space="0" w:color="auto"/>
        <w:bottom w:val="none" w:sz="0" w:space="0" w:color="auto"/>
        <w:right w:val="none" w:sz="0" w:space="0" w:color="auto"/>
      </w:divBdr>
    </w:div>
    <w:div w:id="1664356913">
      <w:marLeft w:val="640"/>
      <w:marRight w:val="0"/>
      <w:marTop w:val="0"/>
      <w:marBottom w:val="0"/>
      <w:divBdr>
        <w:top w:val="none" w:sz="0" w:space="0" w:color="auto"/>
        <w:left w:val="none" w:sz="0" w:space="0" w:color="auto"/>
        <w:bottom w:val="none" w:sz="0" w:space="0" w:color="auto"/>
        <w:right w:val="none" w:sz="0" w:space="0" w:color="auto"/>
      </w:divBdr>
    </w:div>
    <w:div w:id="1665432725">
      <w:marLeft w:val="640"/>
      <w:marRight w:val="0"/>
      <w:marTop w:val="0"/>
      <w:marBottom w:val="0"/>
      <w:divBdr>
        <w:top w:val="none" w:sz="0" w:space="0" w:color="auto"/>
        <w:left w:val="none" w:sz="0" w:space="0" w:color="auto"/>
        <w:bottom w:val="none" w:sz="0" w:space="0" w:color="auto"/>
        <w:right w:val="none" w:sz="0" w:space="0" w:color="auto"/>
      </w:divBdr>
    </w:div>
    <w:div w:id="1665695133">
      <w:marLeft w:val="640"/>
      <w:marRight w:val="0"/>
      <w:marTop w:val="0"/>
      <w:marBottom w:val="0"/>
      <w:divBdr>
        <w:top w:val="none" w:sz="0" w:space="0" w:color="auto"/>
        <w:left w:val="none" w:sz="0" w:space="0" w:color="auto"/>
        <w:bottom w:val="none" w:sz="0" w:space="0" w:color="auto"/>
        <w:right w:val="none" w:sz="0" w:space="0" w:color="auto"/>
      </w:divBdr>
    </w:div>
    <w:div w:id="1665742065">
      <w:marLeft w:val="640"/>
      <w:marRight w:val="0"/>
      <w:marTop w:val="0"/>
      <w:marBottom w:val="0"/>
      <w:divBdr>
        <w:top w:val="none" w:sz="0" w:space="0" w:color="auto"/>
        <w:left w:val="none" w:sz="0" w:space="0" w:color="auto"/>
        <w:bottom w:val="none" w:sz="0" w:space="0" w:color="auto"/>
        <w:right w:val="none" w:sz="0" w:space="0" w:color="auto"/>
      </w:divBdr>
    </w:div>
    <w:div w:id="1665939807">
      <w:marLeft w:val="640"/>
      <w:marRight w:val="0"/>
      <w:marTop w:val="0"/>
      <w:marBottom w:val="0"/>
      <w:divBdr>
        <w:top w:val="none" w:sz="0" w:space="0" w:color="auto"/>
        <w:left w:val="none" w:sz="0" w:space="0" w:color="auto"/>
        <w:bottom w:val="none" w:sz="0" w:space="0" w:color="auto"/>
        <w:right w:val="none" w:sz="0" w:space="0" w:color="auto"/>
      </w:divBdr>
    </w:div>
    <w:div w:id="1666471040">
      <w:marLeft w:val="640"/>
      <w:marRight w:val="0"/>
      <w:marTop w:val="0"/>
      <w:marBottom w:val="0"/>
      <w:divBdr>
        <w:top w:val="none" w:sz="0" w:space="0" w:color="auto"/>
        <w:left w:val="none" w:sz="0" w:space="0" w:color="auto"/>
        <w:bottom w:val="none" w:sz="0" w:space="0" w:color="auto"/>
        <w:right w:val="none" w:sz="0" w:space="0" w:color="auto"/>
      </w:divBdr>
    </w:div>
    <w:div w:id="1666593197">
      <w:marLeft w:val="640"/>
      <w:marRight w:val="0"/>
      <w:marTop w:val="0"/>
      <w:marBottom w:val="0"/>
      <w:divBdr>
        <w:top w:val="none" w:sz="0" w:space="0" w:color="auto"/>
        <w:left w:val="none" w:sz="0" w:space="0" w:color="auto"/>
        <w:bottom w:val="none" w:sz="0" w:space="0" w:color="auto"/>
        <w:right w:val="none" w:sz="0" w:space="0" w:color="auto"/>
      </w:divBdr>
    </w:div>
    <w:div w:id="1666668598">
      <w:marLeft w:val="640"/>
      <w:marRight w:val="0"/>
      <w:marTop w:val="0"/>
      <w:marBottom w:val="0"/>
      <w:divBdr>
        <w:top w:val="none" w:sz="0" w:space="0" w:color="auto"/>
        <w:left w:val="none" w:sz="0" w:space="0" w:color="auto"/>
        <w:bottom w:val="none" w:sz="0" w:space="0" w:color="auto"/>
        <w:right w:val="none" w:sz="0" w:space="0" w:color="auto"/>
      </w:divBdr>
    </w:div>
    <w:div w:id="1666977006">
      <w:marLeft w:val="640"/>
      <w:marRight w:val="0"/>
      <w:marTop w:val="0"/>
      <w:marBottom w:val="0"/>
      <w:divBdr>
        <w:top w:val="none" w:sz="0" w:space="0" w:color="auto"/>
        <w:left w:val="none" w:sz="0" w:space="0" w:color="auto"/>
        <w:bottom w:val="none" w:sz="0" w:space="0" w:color="auto"/>
        <w:right w:val="none" w:sz="0" w:space="0" w:color="auto"/>
      </w:divBdr>
    </w:div>
    <w:div w:id="1667053160">
      <w:marLeft w:val="640"/>
      <w:marRight w:val="0"/>
      <w:marTop w:val="0"/>
      <w:marBottom w:val="0"/>
      <w:divBdr>
        <w:top w:val="none" w:sz="0" w:space="0" w:color="auto"/>
        <w:left w:val="none" w:sz="0" w:space="0" w:color="auto"/>
        <w:bottom w:val="none" w:sz="0" w:space="0" w:color="auto"/>
        <w:right w:val="none" w:sz="0" w:space="0" w:color="auto"/>
      </w:divBdr>
    </w:div>
    <w:div w:id="1667124807">
      <w:marLeft w:val="640"/>
      <w:marRight w:val="0"/>
      <w:marTop w:val="0"/>
      <w:marBottom w:val="0"/>
      <w:divBdr>
        <w:top w:val="none" w:sz="0" w:space="0" w:color="auto"/>
        <w:left w:val="none" w:sz="0" w:space="0" w:color="auto"/>
        <w:bottom w:val="none" w:sz="0" w:space="0" w:color="auto"/>
        <w:right w:val="none" w:sz="0" w:space="0" w:color="auto"/>
      </w:divBdr>
    </w:div>
    <w:div w:id="1667171389">
      <w:marLeft w:val="640"/>
      <w:marRight w:val="0"/>
      <w:marTop w:val="0"/>
      <w:marBottom w:val="0"/>
      <w:divBdr>
        <w:top w:val="none" w:sz="0" w:space="0" w:color="auto"/>
        <w:left w:val="none" w:sz="0" w:space="0" w:color="auto"/>
        <w:bottom w:val="none" w:sz="0" w:space="0" w:color="auto"/>
        <w:right w:val="none" w:sz="0" w:space="0" w:color="auto"/>
      </w:divBdr>
    </w:div>
    <w:div w:id="1668636182">
      <w:marLeft w:val="640"/>
      <w:marRight w:val="0"/>
      <w:marTop w:val="0"/>
      <w:marBottom w:val="0"/>
      <w:divBdr>
        <w:top w:val="none" w:sz="0" w:space="0" w:color="auto"/>
        <w:left w:val="none" w:sz="0" w:space="0" w:color="auto"/>
        <w:bottom w:val="none" w:sz="0" w:space="0" w:color="auto"/>
        <w:right w:val="none" w:sz="0" w:space="0" w:color="auto"/>
      </w:divBdr>
    </w:div>
    <w:div w:id="1668678243">
      <w:marLeft w:val="640"/>
      <w:marRight w:val="0"/>
      <w:marTop w:val="0"/>
      <w:marBottom w:val="0"/>
      <w:divBdr>
        <w:top w:val="none" w:sz="0" w:space="0" w:color="auto"/>
        <w:left w:val="none" w:sz="0" w:space="0" w:color="auto"/>
        <w:bottom w:val="none" w:sz="0" w:space="0" w:color="auto"/>
        <w:right w:val="none" w:sz="0" w:space="0" w:color="auto"/>
      </w:divBdr>
    </w:div>
    <w:div w:id="1668972213">
      <w:marLeft w:val="640"/>
      <w:marRight w:val="0"/>
      <w:marTop w:val="0"/>
      <w:marBottom w:val="0"/>
      <w:divBdr>
        <w:top w:val="none" w:sz="0" w:space="0" w:color="auto"/>
        <w:left w:val="none" w:sz="0" w:space="0" w:color="auto"/>
        <w:bottom w:val="none" w:sz="0" w:space="0" w:color="auto"/>
        <w:right w:val="none" w:sz="0" w:space="0" w:color="auto"/>
      </w:divBdr>
    </w:div>
    <w:div w:id="1669475603">
      <w:marLeft w:val="640"/>
      <w:marRight w:val="0"/>
      <w:marTop w:val="0"/>
      <w:marBottom w:val="0"/>
      <w:divBdr>
        <w:top w:val="none" w:sz="0" w:space="0" w:color="auto"/>
        <w:left w:val="none" w:sz="0" w:space="0" w:color="auto"/>
        <w:bottom w:val="none" w:sz="0" w:space="0" w:color="auto"/>
        <w:right w:val="none" w:sz="0" w:space="0" w:color="auto"/>
      </w:divBdr>
    </w:div>
    <w:div w:id="1669550963">
      <w:marLeft w:val="640"/>
      <w:marRight w:val="0"/>
      <w:marTop w:val="0"/>
      <w:marBottom w:val="0"/>
      <w:divBdr>
        <w:top w:val="none" w:sz="0" w:space="0" w:color="auto"/>
        <w:left w:val="none" w:sz="0" w:space="0" w:color="auto"/>
        <w:bottom w:val="none" w:sz="0" w:space="0" w:color="auto"/>
        <w:right w:val="none" w:sz="0" w:space="0" w:color="auto"/>
      </w:divBdr>
    </w:div>
    <w:div w:id="1669672946">
      <w:marLeft w:val="640"/>
      <w:marRight w:val="0"/>
      <w:marTop w:val="0"/>
      <w:marBottom w:val="0"/>
      <w:divBdr>
        <w:top w:val="none" w:sz="0" w:space="0" w:color="auto"/>
        <w:left w:val="none" w:sz="0" w:space="0" w:color="auto"/>
        <w:bottom w:val="none" w:sz="0" w:space="0" w:color="auto"/>
        <w:right w:val="none" w:sz="0" w:space="0" w:color="auto"/>
      </w:divBdr>
    </w:div>
    <w:div w:id="1670060050">
      <w:marLeft w:val="640"/>
      <w:marRight w:val="0"/>
      <w:marTop w:val="0"/>
      <w:marBottom w:val="0"/>
      <w:divBdr>
        <w:top w:val="none" w:sz="0" w:space="0" w:color="auto"/>
        <w:left w:val="none" w:sz="0" w:space="0" w:color="auto"/>
        <w:bottom w:val="none" w:sz="0" w:space="0" w:color="auto"/>
        <w:right w:val="none" w:sz="0" w:space="0" w:color="auto"/>
      </w:divBdr>
    </w:div>
    <w:div w:id="1671985801">
      <w:marLeft w:val="640"/>
      <w:marRight w:val="0"/>
      <w:marTop w:val="0"/>
      <w:marBottom w:val="0"/>
      <w:divBdr>
        <w:top w:val="none" w:sz="0" w:space="0" w:color="auto"/>
        <w:left w:val="none" w:sz="0" w:space="0" w:color="auto"/>
        <w:bottom w:val="none" w:sz="0" w:space="0" w:color="auto"/>
        <w:right w:val="none" w:sz="0" w:space="0" w:color="auto"/>
      </w:divBdr>
    </w:div>
    <w:div w:id="1672366617">
      <w:marLeft w:val="640"/>
      <w:marRight w:val="0"/>
      <w:marTop w:val="0"/>
      <w:marBottom w:val="0"/>
      <w:divBdr>
        <w:top w:val="none" w:sz="0" w:space="0" w:color="auto"/>
        <w:left w:val="none" w:sz="0" w:space="0" w:color="auto"/>
        <w:bottom w:val="none" w:sz="0" w:space="0" w:color="auto"/>
        <w:right w:val="none" w:sz="0" w:space="0" w:color="auto"/>
      </w:divBdr>
    </w:div>
    <w:div w:id="1673413676">
      <w:marLeft w:val="640"/>
      <w:marRight w:val="0"/>
      <w:marTop w:val="0"/>
      <w:marBottom w:val="0"/>
      <w:divBdr>
        <w:top w:val="none" w:sz="0" w:space="0" w:color="auto"/>
        <w:left w:val="none" w:sz="0" w:space="0" w:color="auto"/>
        <w:bottom w:val="none" w:sz="0" w:space="0" w:color="auto"/>
        <w:right w:val="none" w:sz="0" w:space="0" w:color="auto"/>
      </w:divBdr>
    </w:div>
    <w:div w:id="1674839845">
      <w:marLeft w:val="640"/>
      <w:marRight w:val="0"/>
      <w:marTop w:val="0"/>
      <w:marBottom w:val="0"/>
      <w:divBdr>
        <w:top w:val="none" w:sz="0" w:space="0" w:color="auto"/>
        <w:left w:val="none" w:sz="0" w:space="0" w:color="auto"/>
        <w:bottom w:val="none" w:sz="0" w:space="0" w:color="auto"/>
        <w:right w:val="none" w:sz="0" w:space="0" w:color="auto"/>
      </w:divBdr>
    </w:div>
    <w:div w:id="1675187250">
      <w:marLeft w:val="640"/>
      <w:marRight w:val="0"/>
      <w:marTop w:val="0"/>
      <w:marBottom w:val="0"/>
      <w:divBdr>
        <w:top w:val="none" w:sz="0" w:space="0" w:color="auto"/>
        <w:left w:val="none" w:sz="0" w:space="0" w:color="auto"/>
        <w:bottom w:val="none" w:sz="0" w:space="0" w:color="auto"/>
        <w:right w:val="none" w:sz="0" w:space="0" w:color="auto"/>
      </w:divBdr>
    </w:div>
    <w:div w:id="1675379120">
      <w:marLeft w:val="640"/>
      <w:marRight w:val="0"/>
      <w:marTop w:val="0"/>
      <w:marBottom w:val="0"/>
      <w:divBdr>
        <w:top w:val="none" w:sz="0" w:space="0" w:color="auto"/>
        <w:left w:val="none" w:sz="0" w:space="0" w:color="auto"/>
        <w:bottom w:val="none" w:sz="0" w:space="0" w:color="auto"/>
        <w:right w:val="none" w:sz="0" w:space="0" w:color="auto"/>
      </w:divBdr>
    </w:div>
    <w:div w:id="1675835660">
      <w:marLeft w:val="640"/>
      <w:marRight w:val="0"/>
      <w:marTop w:val="0"/>
      <w:marBottom w:val="0"/>
      <w:divBdr>
        <w:top w:val="none" w:sz="0" w:space="0" w:color="auto"/>
        <w:left w:val="none" w:sz="0" w:space="0" w:color="auto"/>
        <w:bottom w:val="none" w:sz="0" w:space="0" w:color="auto"/>
        <w:right w:val="none" w:sz="0" w:space="0" w:color="auto"/>
      </w:divBdr>
    </w:div>
    <w:div w:id="1675841045">
      <w:marLeft w:val="640"/>
      <w:marRight w:val="0"/>
      <w:marTop w:val="0"/>
      <w:marBottom w:val="0"/>
      <w:divBdr>
        <w:top w:val="none" w:sz="0" w:space="0" w:color="auto"/>
        <w:left w:val="none" w:sz="0" w:space="0" w:color="auto"/>
        <w:bottom w:val="none" w:sz="0" w:space="0" w:color="auto"/>
        <w:right w:val="none" w:sz="0" w:space="0" w:color="auto"/>
      </w:divBdr>
    </w:div>
    <w:div w:id="1676804774">
      <w:marLeft w:val="640"/>
      <w:marRight w:val="0"/>
      <w:marTop w:val="0"/>
      <w:marBottom w:val="0"/>
      <w:divBdr>
        <w:top w:val="none" w:sz="0" w:space="0" w:color="auto"/>
        <w:left w:val="none" w:sz="0" w:space="0" w:color="auto"/>
        <w:bottom w:val="none" w:sz="0" w:space="0" w:color="auto"/>
        <w:right w:val="none" w:sz="0" w:space="0" w:color="auto"/>
      </w:divBdr>
    </w:div>
    <w:div w:id="1677422348">
      <w:marLeft w:val="640"/>
      <w:marRight w:val="0"/>
      <w:marTop w:val="0"/>
      <w:marBottom w:val="0"/>
      <w:divBdr>
        <w:top w:val="none" w:sz="0" w:space="0" w:color="auto"/>
        <w:left w:val="none" w:sz="0" w:space="0" w:color="auto"/>
        <w:bottom w:val="none" w:sz="0" w:space="0" w:color="auto"/>
        <w:right w:val="none" w:sz="0" w:space="0" w:color="auto"/>
      </w:divBdr>
    </w:div>
    <w:div w:id="1677688344">
      <w:marLeft w:val="640"/>
      <w:marRight w:val="0"/>
      <w:marTop w:val="0"/>
      <w:marBottom w:val="0"/>
      <w:divBdr>
        <w:top w:val="none" w:sz="0" w:space="0" w:color="auto"/>
        <w:left w:val="none" w:sz="0" w:space="0" w:color="auto"/>
        <w:bottom w:val="none" w:sz="0" w:space="0" w:color="auto"/>
        <w:right w:val="none" w:sz="0" w:space="0" w:color="auto"/>
      </w:divBdr>
    </w:div>
    <w:div w:id="1677803842">
      <w:marLeft w:val="640"/>
      <w:marRight w:val="0"/>
      <w:marTop w:val="0"/>
      <w:marBottom w:val="0"/>
      <w:divBdr>
        <w:top w:val="none" w:sz="0" w:space="0" w:color="auto"/>
        <w:left w:val="none" w:sz="0" w:space="0" w:color="auto"/>
        <w:bottom w:val="none" w:sz="0" w:space="0" w:color="auto"/>
        <w:right w:val="none" w:sz="0" w:space="0" w:color="auto"/>
      </w:divBdr>
    </w:div>
    <w:div w:id="1678917651">
      <w:marLeft w:val="640"/>
      <w:marRight w:val="0"/>
      <w:marTop w:val="0"/>
      <w:marBottom w:val="0"/>
      <w:divBdr>
        <w:top w:val="none" w:sz="0" w:space="0" w:color="auto"/>
        <w:left w:val="none" w:sz="0" w:space="0" w:color="auto"/>
        <w:bottom w:val="none" w:sz="0" w:space="0" w:color="auto"/>
        <w:right w:val="none" w:sz="0" w:space="0" w:color="auto"/>
      </w:divBdr>
    </w:div>
    <w:div w:id="1679038356">
      <w:marLeft w:val="640"/>
      <w:marRight w:val="0"/>
      <w:marTop w:val="0"/>
      <w:marBottom w:val="0"/>
      <w:divBdr>
        <w:top w:val="none" w:sz="0" w:space="0" w:color="auto"/>
        <w:left w:val="none" w:sz="0" w:space="0" w:color="auto"/>
        <w:bottom w:val="none" w:sz="0" w:space="0" w:color="auto"/>
        <w:right w:val="none" w:sz="0" w:space="0" w:color="auto"/>
      </w:divBdr>
    </w:div>
    <w:div w:id="1679843291">
      <w:marLeft w:val="640"/>
      <w:marRight w:val="0"/>
      <w:marTop w:val="0"/>
      <w:marBottom w:val="0"/>
      <w:divBdr>
        <w:top w:val="none" w:sz="0" w:space="0" w:color="auto"/>
        <w:left w:val="none" w:sz="0" w:space="0" w:color="auto"/>
        <w:bottom w:val="none" w:sz="0" w:space="0" w:color="auto"/>
        <w:right w:val="none" w:sz="0" w:space="0" w:color="auto"/>
      </w:divBdr>
    </w:div>
    <w:div w:id="1681619842">
      <w:marLeft w:val="640"/>
      <w:marRight w:val="0"/>
      <w:marTop w:val="0"/>
      <w:marBottom w:val="0"/>
      <w:divBdr>
        <w:top w:val="none" w:sz="0" w:space="0" w:color="auto"/>
        <w:left w:val="none" w:sz="0" w:space="0" w:color="auto"/>
        <w:bottom w:val="none" w:sz="0" w:space="0" w:color="auto"/>
        <w:right w:val="none" w:sz="0" w:space="0" w:color="auto"/>
      </w:divBdr>
    </w:div>
    <w:div w:id="1681657305">
      <w:marLeft w:val="640"/>
      <w:marRight w:val="0"/>
      <w:marTop w:val="0"/>
      <w:marBottom w:val="0"/>
      <w:divBdr>
        <w:top w:val="none" w:sz="0" w:space="0" w:color="auto"/>
        <w:left w:val="none" w:sz="0" w:space="0" w:color="auto"/>
        <w:bottom w:val="none" w:sz="0" w:space="0" w:color="auto"/>
        <w:right w:val="none" w:sz="0" w:space="0" w:color="auto"/>
      </w:divBdr>
    </w:div>
    <w:div w:id="1682049430">
      <w:marLeft w:val="640"/>
      <w:marRight w:val="0"/>
      <w:marTop w:val="0"/>
      <w:marBottom w:val="0"/>
      <w:divBdr>
        <w:top w:val="none" w:sz="0" w:space="0" w:color="auto"/>
        <w:left w:val="none" w:sz="0" w:space="0" w:color="auto"/>
        <w:bottom w:val="none" w:sz="0" w:space="0" w:color="auto"/>
        <w:right w:val="none" w:sz="0" w:space="0" w:color="auto"/>
      </w:divBdr>
    </w:div>
    <w:div w:id="1683162956">
      <w:marLeft w:val="640"/>
      <w:marRight w:val="0"/>
      <w:marTop w:val="0"/>
      <w:marBottom w:val="0"/>
      <w:divBdr>
        <w:top w:val="none" w:sz="0" w:space="0" w:color="auto"/>
        <w:left w:val="none" w:sz="0" w:space="0" w:color="auto"/>
        <w:bottom w:val="none" w:sz="0" w:space="0" w:color="auto"/>
        <w:right w:val="none" w:sz="0" w:space="0" w:color="auto"/>
      </w:divBdr>
    </w:div>
    <w:div w:id="1683164200">
      <w:marLeft w:val="640"/>
      <w:marRight w:val="0"/>
      <w:marTop w:val="0"/>
      <w:marBottom w:val="0"/>
      <w:divBdr>
        <w:top w:val="none" w:sz="0" w:space="0" w:color="auto"/>
        <w:left w:val="none" w:sz="0" w:space="0" w:color="auto"/>
        <w:bottom w:val="none" w:sz="0" w:space="0" w:color="auto"/>
        <w:right w:val="none" w:sz="0" w:space="0" w:color="auto"/>
      </w:divBdr>
    </w:div>
    <w:div w:id="1684550715">
      <w:marLeft w:val="640"/>
      <w:marRight w:val="0"/>
      <w:marTop w:val="0"/>
      <w:marBottom w:val="0"/>
      <w:divBdr>
        <w:top w:val="none" w:sz="0" w:space="0" w:color="auto"/>
        <w:left w:val="none" w:sz="0" w:space="0" w:color="auto"/>
        <w:bottom w:val="none" w:sz="0" w:space="0" w:color="auto"/>
        <w:right w:val="none" w:sz="0" w:space="0" w:color="auto"/>
      </w:divBdr>
    </w:div>
    <w:div w:id="1687823922">
      <w:marLeft w:val="640"/>
      <w:marRight w:val="0"/>
      <w:marTop w:val="0"/>
      <w:marBottom w:val="0"/>
      <w:divBdr>
        <w:top w:val="none" w:sz="0" w:space="0" w:color="auto"/>
        <w:left w:val="none" w:sz="0" w:space="0" w:color="auto"/>
        <w:bottom w:val="none" w:sz="0" w:space="0" w:color="auto"/>
        <w:right w:val="none" w:sz="0" w:space="0" w:color="auto"/>
      </w:divBdr>
    </w:div>
    <w:div w:id="1688480006">
      <w:marLeft w:val="640"/>
      <w:marRight w:val="0"/>
      <w:marTop w:val="0"/>
      <w:marBottom w:val="0"/>
      <w:divBdr>
        <w:top w:val="none" w:sz="0" w:space="0" w:color="auto"/>
        <w:left w:val="none" w:sz="0" w:space="0" w:color="auto"/>
        <w:bottom w:val="none" w:sz="0" w:space="0" w:color="auto"/>
        <w:right w:val="none" w:sz="0" w:space="0" w:color="auto"/>
      </w:divBdr>
    </w:div>
    <w:div w:id="1691028788">
      <w:marLeft w:val="640"/>
      <w:marRight w:val="0"/>
      <w:marTop w:val="0"/>
      <w:marBottom w:val="0"/>
      <w:divBdr>
        <w:top w:val="none" w:sz="0" w:space="0" w:color="auto"/>
        <w:left w:val="none" w:sz="0" w:space="0" w:color="auto"/>
        <w:bottom w:val="none" w:sz="0" w:space="0" w:color="auto"/>
        <w:right w:val="none" w:sz="0" w:space="0" w:color="auto"/>
      </w:divBdr>
    </w:div>
    <w:div w:id="1691569664">
      <w:marLeft w:val="640"/>
      <w:marRight w:val="0"/>
      <w:marTop w:val="0"/>
      <w:marBottom w:val="0"/>
      <w:divBdr>
        <w:top w:val="none" w:sz="0" w:space="0" w:color="auto"/>
        <w:left w:val="none" w:sz="0" w:space="0" w:color="auto"/>
        <w:bottom w:val="none" w:sz="0" w:space="0" w:color="auto"/>
        <w:right w:val="none" w:sz="0" w:space="0" w:color="auto"/>
      </w:divBdr>
    </w:div>
    <w:div w:id="1692343186">
      <w:marLeft w:val="640"/>
      <w:marRight w:val="0"/>
      <w:marTop w:val="0"/>
      <w:marBottom w:val="0"/>
      <w:divBdr>
        <w:top w:val="none" w:sz="0" w:space="0" w:color="auto"/>
        <w:left w:val="none" w:sz="0" w:space="0" w:color="auto"/>
        <w:bottom w:val="none" w:sz="0" w:space="0" w:color="auto"/>
        <w:right w:val="none" w:sz="0" w:space="0" w:color="auto"/>
      </w:divBdr>
    </w:div>
    <w:div w:id="1692493298">
      <w:marLeft w:val="640"/>
      <w:marRight w:val="0"/>
      <w:marTop w:val="0"/>
      <w:marBottom w:val="0"/>
      <w:divBdr>
        <w:top w:val="none" w:sz="0" w:space="0" w:color="auto"/>
        <w:left w:val="none" w:sz="0" w:space="0" w:color="auto"/>
        <w:bottom w:val="none" w:sz="0" w:space="0" w:color="auto"/>
        <w:right w:val="none" w:sz="0" w:space="0" w:color="auto"/>
      </w:divBdr>
    </w:div>
    <w:div w:id="1692685346">
      <w:marLeft w:val="640"/>
      <w:marRight w:val="0"/>
      <w:marTop w:val="0"/>
      <w:marBottom w:val="0"/>
      <w:divBdr>
        <w:top w:val="none" w:sz="0" w:space="0" w:color="auto"/>
        <w:left w:val="none" w:sz="0" w:space="0" w:color="auto"/>
        <w:bottom w:val="none" w:sz="0" w:space="0" w:color="auto"/>
        <w:right w:val="none" w:sz="0" w:space="0" w:color="auto"/>
      </w:divBdr>
    </w:div>
    <w:div w:id="1692996277">
      <w:marLeft w:val="640"/>
      <w:marRight w:val="0"/>
      <w:marTop w:val="0"/>
      <w:marBottom w:val="0"/>
      <w:divBdr>
        <w:top w:val="none" w:sz="0" w:space="0" w:color="auto"/>
        <w:left w:val="none" w:sz="0" w:space="0" w:color="auto"/>
        <w:bottom w:val="none" w:sz="0" w:space="0" w:color="auto"/>
        <w:right w:val="none" w:sz="0" w:space="0" w:color="auto"/>
      </w:divBdr>
    </w:div>
    <w:div w:id="1693070517">
      <w:marLeft w:val="640"/>
      <w:marRight w:val="0"/>
      <w:marTop w:val="0"/>
      <w:marBottom w:val="0"/>
      <w:divBdr>
        <w:top w:val="none" w:sz="0" w:space="0" w:color="auto"/>
        <w:left w:val="none" w:sz="0" w:space="0" w:color="auto"/>
        <w:bottom w:val="none" w:sz="0" w:space="0" w:color="auto"/>
        <w:right w:val="none" w:sz="0" w:space="0" w:color="auto"/>
      </w:divBdr>
    </w:div>
    <w:div w:id="1693190509">
      <w:marLeft w:val="640"/>
      <w:marRight w:val="0"/>
      <w:marTop w:val="0"/>
      <w:marBottom w:val="0"/>
      <w:divBdr>
        <w:top w:val="none" w:sz="0" w:space="0" w:color="auto"/>
        <w:left w:val="none" w:sz="0" w:space="0" w:color="auto"/>
        <w:bottom w:val="none" w:sz="0" w:space="0" w:color="auto"/>
        <w:right w:val="none" w:sz="0" w:space="0" w:color="auto"/>
      </w:divBdr>
    </w:div>
    <w:div w:id="1694108580">
      <w:marLeft w:val="640"/>
      <w:marRight w:val="0"/>
      <w:marTop w:val="0"/>
      <w:marBottom w:val="0"/>
      <w:divBdr>
        <w:top w:val="none" w:sz="0" w:space="0" w:color="auto"/>
        <w:left w:val="none" w:sz="0" w:space="0" w:color="auto"/>
        <w:bottom w:val="none" w:sz="0" w:space="0" w:color="auto"/>
        <w:right w:val="none" w:sz="0" w:space="0" w:color="auto"/>
      </w:divBdr>
    </w:div>
    <w:div w:id="1695886730">
      <w:marLeft w:val="640"/>
      <w:marRight w:val="0"/>
      <w:marTop w:val="0"/>
      <w:marBottom w:val="0"/>
      <w:divBdr>
        <w:top w:val="none" w:sz="0" w:space="0" w:color="auto"/>
        <w:left w:val="none" w:sz="0" w:space="0" w:color="auto"/>
        <w:bottom w:val="none" w:sz="0" w:space="0" w:color="auto"/>
        <w:right w:val="none" w:sz="0" w:space="0" w:color="auto"/>
      </w:divBdr>
    </w:div>
    <w:div w:id="1696273708">
      <w:marLeft w:val="640"/>
      <w:marRight w:val="0"/>
      <w:marTop w:val="0"/>
      <w:marBottom w:val="0"/>
      <w:divBdr>
        <w:top w:val="none" w:sz="0" w:space="0" w:color="auto"/>
        <w:left w:val="none" w:sz="0" w:space="0" w:color="auto"/>
        <w:bottom w:val="none" w:sz="0" w:space="0" w:color="auto"/>
        <w:right w:val="none" w:sz="0" w:space="0" w:color="auto"/>
      </w:divBdr>
    </w:div>
    <w:div w:id="1696619392">
      <w:marLeft w:val="640"/>
      <w:marRight w:val="0"/>
      <w:marTop w:val="0"/>
      <w:marBottom w:val="0"/>
      <w:divBdr>
        <w:top w:val="none" w:sz="0" w:space="0" w:color="auto"/>
        <w:left w:val="none" w:sz="0" w:space="0" w:color="auto"/>
        <w:bottom w:val="none" w:sz="0" w:space="0" w:color="auto"/>
        <w:right w:val="none" w:sz="0" w:space="0" w:color="auto"/>
      </w:divBdr>
    </w:div>
    <w:div w:id="1697192466">
      <w:marLeft w:val="640"/>
      <w:marRight w:val="0"/>
      <w:marTop w:val="0"/>
      <w:marBottom w:val="0"/>
      <w:divBdr>
        <w:top w:val="none" w:sz="0" w:space="0" w:color="auto"/>
        <w:left w:val="none" w:sz="0" w:space="0" w:color="auto"/>
        <w:bottom w:val="none" w:sz="0" w:space="0" w:color="auto"/>
        <w:right w:val="none" w:sz="0" w:space="0" w:color="auto"/>
      </w:divBdr>
    </w:div>
    <w:div w:id="1699695195">
      <w:marLeft w:val="640"/>
      <w:marRight w:val="0"/>
      <w:marTop w:val="0"/>
      <w:marBottom w:val="0"/>
      <w:divBdr>
        <w:top w:val="none" w:sz="0" w:space="0" w:color="auto"/>
        <w:left w:val="none" w:sz="0" w:space="0" w:color="auto"/>
        <w:bottom w:val="none" w:sz="0" w:space="0" w:color="auto"/>
        <w:right w:val="none" w:sz="0" w:space="0" w:color="auto"/>
      </w:divBdr>
    </w:div>
    <w:div w:id="1700163277">
      <w:marLeft w:val="640"/>
      <w:marRight w:val="0"/>
      <w:marTop w:val="0"/>
      <w:marBottom w:val="0"/>
      <w:divBdr>
        <w:top w:val="none" w:sz="0" w:space="0" w:color="auto"/>
        <w:left w:val="none" w:sz="0" w:space="0" w:color="auto"/>
        <w:bottom w:val="none" w:sz="0" w:space="0" w:color="auto"/>
        <w:right w:val="none" w:sz="0" w:space="0" w:color="auto"/>
      </w:divBdr>
    </w:div>
    <w:div w:id="1701007129">
      <w:marLeft w:val="640"/>
      <w:marRight w:val="0"/>
      <w:marTop w:val="0"/>
      <w:marBottom w:val="0"/>
      <w:divBdr>
        <w:top w:val="none" w:sz="0" w:space="0" w:color="auto"/>
        <w:left w:val="none" w:sz="0" w:space="0" w:color="auto"/>
        <w:bottom w:val="none" w:sz="0" w:space="0" w:color="auto"/>
        <w:right w:val="none" w:sz="0" w:space="0" w:color="auto"/>
      </w:divBdr>
    </w:div>
    <w:div w:id="1701658922">
      <w:marLeft w:val="640"/>
      <w:marRight w:val="0"/>
      <w:marTop w:val="0"/>
      <w:marBottom w:val="0"/>
      <w:divBdr>
        <w:top w:val="none" w:sz="0" w:space="0" w:color="auto"/>
        <w:left w:val="none" w:sz="0" w:space="0" w:color="auto"/>
        <w:bottom w:val="none" w:sz="0" w:space="0" w:color="auto"/>
        <w:right w:val="none" w:sz="0" w:space="0" w:color="auto"/>
      </w:divBdr>
    </w:div>
    <w:div w:id="1702972243">
      <w:marLeft w:val="640"/>
      <w:marRight w:val="0"/>
      <w:marTop w:val="0"/>
      <w:marBottom w:val="0"/>
      <w:divBdr>
        <w:top w:val="none" w:sz="0" w:space="0" w:color="auto"/>
        <w:left w:val="none" w:sz="0" w:space="0" w:color="auto"/>
        <w:bottom w:val="none" w:sz="0" w:space="0" w:color="auto"/>
        <w:right w:val="none" w:sz="0" w:space="0" w:color="auto"/>
      </w:divBdr>
    </w:div>
    <w:div w:id="1703285200">
      <w:marLeft w:val="640"/>
      <w:marRight w:val="0"/>
      <w:marTop w:val="0"/>
      <w:marBottom w:val="0"/>
      <w:divBdr>
        <w:top w:val="none" w:sz="0" w:space="0" w:color="auto"/>
        <w:left w:val="none" w:sz="0" w:space="0" w:color="auto"/>
        <w:bottom w:val="none" w:sz="0" w:space="0" w:color="auto"/>
        <w:right w:val="none" w:sz="0" w:space="0" w:color="auto"/>
      </w:divBdr>
    </w:div>
    <w:div w:id="1704093277">
      <w:marLeft w:val="640"/>
      <w:marRight w:val="0"/>
      <w:marTop w:val="0"/>
      <w:marBottom w:val="0"/>
      <w:divBdr>
        <w:top w:val="none" w:sz="0" w:space="0" w:color="auto"/>
        <w:left w:val="none" w:sz="0" w:space="0" w:color="auto"/>
        <w:bottom w:val="none" w:sz="0" w:space="0" w:color="auto"/>
        <w:right w:val="none" w:sz="0" w:space="0" w:color="auto"/>
      </w:divBdr>
    </w:div>
    <w:div w:id="1705864759">
      <w:marLeft w:val="640"/>
      <w:marRight w:val="0"/>
      <w:marTop w:val="0"/>
      <w:marBottom w:val="0"/>
      <w:divBdr>
        <w:top w:val="none" w:sz="0" w:space="0" w:color="auto"/>
        <w:left w:val="none" w:sz="0" w:space="0" w:color="auto"/>
        <w:bottom w:val="none" w:sz="0" w:space="0" w:color="auto"/>
        <w:right w:val="none" w:sz="0" w:space="0" w:color="auto"/>
      </w:divBdr>
    </w:div>
    <w:div w:id="1706246642">
      <w:marLeft w:val="640"/>
      <w:marRight w:val="0"/>
      <w:marTop w:val="0"/>
      <w:marBottom w:val="0"/>
      <w:divBdr>
        <w:top w:val="none" w:sz="0" w:space="0" w:color="auto"/>
        <w:left w:val="none" w:sz="0" w:space="0" w:color="auto"/>
        <w:bottom w:val="none" w:sz="0" w:space="0" w:color="auto"/>
        <w:right w:val="none" w:sz="0" w:space="0" w:color="auto"/>
      </w:divBdr>
    </w:div>
    <w:div w:id="1707098638">
      <w:marLeft w:val="640"/>
      <w:marRight w:val="0"/>
      <w:marTop w:val="0"/>
      <w:marBottom w:val="0"/>
      <w:divBdr>
        <w:top w:val="none" w:sz="0" w:space="0" w:color="auto"/>
        <w:left w:val="none" w:sz="0" w:space="0" w:color="auto"/>
        <w:bottom w:val="none" w:sz="0" w:space="0" w:color="auto"/>
        <w:right w:val="none" w:sz="0" w:space="0" w:color="auto"/>
      </w:divBdr>
    </w:div>
    <w:div w:id="1707869848">
      <w:marLeft w:val="640"/>
      <w:marRight w:val="0"/>
      <w:marTop w:val="0"/>
      <w:marBottom w:val="0"/>
      <w:divBdr>
        <w:top w:val="none" w:sz="0" w:space="0" w:color="auto"/>
        <w:left w:val="none" w:sz="0" w:space="0" w:color="auto"/>
        <w:bottom w:val="none" w:sz="0" w:space="0" w:color="auto"/>
        <w:right w:val="none" w:sz="0" w:space="0" w:color="auto"/>
      </w:divBdr>
    </w:div>
    <w:div w:id="1708096725">
      <w:marLeft w:val="640"/>
      <w:marRight w:val="0"/>
      <w:marTop w:val="0"/>
      <w:marBottom w:val="0"/>
      <w:divBdr>
        <w:top w:val="none" w:sz="0" w:space="0" w:color="auto"/>
        <w:left w:val="none" w:sz="0" w:space="0" w:color="auto"/>
        <w:bottom w:val="none" w:sz="0" w:space="0" w:color="auto"/>
        <w:right w:val="none" w:sz="0" w:space="0" w:color="auto"/>
      </w:divBdr>
    </w:div>
    <w:div w:id="1711420689">
      <w:marLeft w:val="640"/>
      <w:marRight w:val="0"/>
      <w:marTop w:val="0"/>
      <w:marBottom w:val="0"/>
      <w:divBdr>
        <w:top w:val="none" w:sz="0" w:space="0" w:color="auto"/>
        <w:left w:val="none" w:sz="0" w:space="0" w:color="auto"/>
        <w:bottom w:val="none" w:sz="0" w:space="0" w:color="auto"/>
        <w:right w:val="none" w:sz="0" w:space="0" w:color="auto"/>
      </w:divBdr>
    </w:div>
    <w:div w:id="1711493952">
      <w:marLeft w:val="640"/>
      <w:marRight w:val="0"/>
      <w:marTop w:val="0"/>
      <w:marBottom w:val="0"/>
      <w:divBdr>
        <w:top w:val="none" w:sz="0" w:space="0" w:color="auto"/>
        <w:left w:val="none" w:sz="0" w:space="0" w:color="auto"/>
        <w:bottom w:val="none" w:sz="0" w:space="0" w:color="auto"/>
        <w:right w:val="none" w:sz="0" w:space="0" w:color="auto"/>
      </w:divBdr>
    </w:div>
    <w:div w:id="1711606945">
      <w:marLeft w:val="640"/>
      <w:marRight w:val="0"/>
      <w:marTop w:val="0"/>
      <w:marBottom w:val="0"/>
      <w:divBdr>
        <w:top w:val="none" w:sz="0" w:space="0" w:color="auto"/>
        <w:left w:val="none" w:sz="0" w:space="0" w:color="auto"/>
        <w:bottom w:val="none" w:sz="0" w:space="0" w:color="auto"/>
        <w:right w:val="none" w:sz="0" w:space="0" w:color="auto"/>
      </w:divBdr>
    </w:div>
    <w:div w:id="1712026048">
      <w:marLeft w:val="640"/>
      <w:marRight w:val="0"/>
      <w:marTop w:val="0"/>
      <w:marBottom w:val="0"/>
      <w:divBdr>
        <w:top w:val="none" w:sz="0" w:space="0" w:color="auto"/>
        <w:left w:val="none" w:sz="0" w:space="0" w:color="auto"/>
        <w:bottom w:val="none" w:sz="0" w:space="0" w:color="auto"/>
        <w:right w:val="none" w:sz="0" w:space="0" w:color="auto"/>
      </w:divBdr>
    </w:div>
    <w:div w:id="1713309540">
      <w:marLeft w:val="640"/>
      <w:marRight w:val="0"/>
      <w:marTop w:val="0"/>
      <w:marBottom w:val="0"/>
      <w:divBdr>
        <w:top w:val="none" w:sz="0" w:space="0" w:color="auto"/>
        <w:left w:val="none" w:sz="0" w:space="0" w:color="auto"/>
        <w:bottom w:val="none" w:sz="0" w:space="0" w:color="auto"/>
        <w:right w:val="none" w:sz="0" w:space="0" w:color="auto"/>
      </w:divBdr>
    </w:div>
    <w:div w:id="1713309642">
      <w:marLeft w:val="640"/>
      <w:marRight w:val="0"/>
      <w:marTop w:val="0"/>
      <w:marBottom w:val="0"/>
      <w:divBdr>
        <w:top w:val="none" w:sz="0" w:space="0" w:color="auto"/>
        <w:left w:val="none" w:sz="0" w:space="0" w:color="auto"/>
        <w:bottom w:val="none" w:sz="0" w:space="0" w:color="auto"/>
        <w:right w:val="none" w:sz="0" w:space="0" w:color="auto"/>
      </w:divBdr>
    </w:div>
    <w:div w:id="1713572303">
      <w:marLeft w:val="640"/>
      <w:marRight w:val="0"/>
      <w:marTop w:val="0"/>
      <w:marBottom w:val="0"/>
      <w:divBdr>
        <w:top w:val="none" w:sz="0" w:space="0" w:color="auto"/>
        <w:left w:val="none" w:sz="0" w:space="0" w:color="auto"/>
        <w:bottom w:val="none" w:sz="0" w:space="0" w:color="auto"/>
        <w:right w:val="none" w:sz="0" w:space="0" w:color="auto"/>
      </w:divBdr>
    </w:div>
    <w:div w:id="1714110041">
      <w:marLeft w:val="640"/>
      <w:marRight w:val="0"/>
      <w:marTop w:val="0"/>
      <w:marBottom w:val="0"/>
      <w:divBdr>
        <w:top w:val="none" w:sz="0" w:space="0" w:color="auto"/>
        <w:left w:val="none" w:sz="0" w:space="0" w:color="auto"/>
        <w:bottom w:val="none" w:sz="0" w:space="0" w:color="auto"/>
        <w:right w:val="none" w:sz="0" w:space="0" w:color="auto"/>
      </w:divBdr>
    </w:div>
    <w:div w:id="1714576189">
      <w:marLeft w:val="640"/>
      <w:marRight w:val="0"/>
      <w:marTop w:val="0"/>
      <w:marBottom w:val="0"/>
      <w:divBdr>
        <w:top w:val="none" w:sz="0" w:space="0" w:color="auto"/>
        <w:left w:val="none" w:sz="0" w:space="0" w:color="auto"/>
        <w:bottom w:val="none" w:sz="0" w:space="0" w:color="auto"/>
        <w:right w:val="none" w:sz="0" w:space="0" w:color="auto"/>
      </w:divBdr>
    </w:div>
    <w:div w:id="1714619288">
      <w:marLeft w:val="640"/>
      <w:marRight w:val="0"/>
      <w:marTop w:val="0"/>
      <w:marBottom w:val="0"/>
      <w:divBdr>
        <w:top w:val="none" w:sz="0" w:space="0" w:color="auto"/>
        <w:left w:val="none" w:sz="0" w:space="0" w:color="auto"/>
        <w:bottom w:val="none" w:sz="0" w:space="0" w:color="auto"/>
        <w:right w:val="none" w:sz="0" w:space="0" w:color="auto"/>
      </w:divBdr>
    </w:div>
    <w:div w:id="1714847132">
      <w:marLeft w:val="640"/>
      <w:marRight w:val="0"/>
      <w:marTop w:val="0"/>
      <w:marBottom w:val="0"/>
      <w:divBdr>
        <w:top w:val="none" w:sz="0" w:space="0" w:color="auto"/>
        <w:left w:val="none" w:sz="0" w:space="0" w:color="auto"/>
        <w:bottom w:val="none" w:sz="0" w:space="0" w:color="auto"/>
        <w:right w:val="none" w:sz="0" w:space="0" w:color="auto"/>
      </w:divBdr>
    </w:div>
    <w:div w:id="1715347395">
      <w:marLeft w:val="640"/>
      <w:marRight w:val="0"/>
      <w:marTop w:val="0"/>
      <w:marBottom w:val="0"/>
      <w:divBdr>
        <w:top w:val="none" w:sz="0" w:space="0" w:color="auto"/>
        <w:left w:val="none" w:sz="0" w:space="0" w:color="auto"/>
        <w:bottom w:val="none" w:sz="0" w:space="0" w:color="auto"/>
        <w:right w:val="none" w:sz="0" w:space="0" w:color="auto"/>
      </w:divBdr>
    </w:div>
    <w:div w:id="1715352790">
      <w:marLeft w:val="640"/>
      <w:marRight w:val="0"/>
      <w:marTop w:val="0"/>
      <w:marBottom w:val="0"/>
      <w:divBdr>
        <w:top w:val="none" w:sz="0" w:space="0" w:color="auto"/>
        <w:left w:val="none" w:sz="0" w:space="0" w:color="auto"/>
        <w:bottom w:val="none" w:sz="0" w:space="0" w:color="auto"/>
        <w:right w:val="none" w:sz="0" w:space="0" w:color="auto"/>
      </w:divBdr>
    </w:div>
    <w:div w:id="1715736650">
      <w:marLeft w:val="640"/>
      <w:marRight w:val="0"/>
      <w:marTop w:val="0"/>
      <w:marBottom w:val="0"/>
      <w:divBdr>
        <w:top w:val="none" w:sz="0" w:space="0" w:color="auto"/>
        <w:left w:val="none" w:sz="0" w:space="0" w:color="auto"/>
        <w:bottom w:val="none" w:sz="0" w:space="0" w:color="auto"/>
        <w:right w:val="none" w:sz="0" w:space="0" w:color="auto"/>
      </w:divBdr>
    </w:div>
    <w:div w:id="1715883310">
      <w:marLeft w:val="640"/>
      <w:marRight w:val="0"/>
      <w:marTop w:val="0"/>
      <w:marBottom w:val="0"/>
      <w:divBdr>
        <w:top w:val="none" w:sz="0" w:space="0" w:color="auto"/>
        <w:left w:val="none" w:sz="0" w:space="0" w:color="auto"/>
        <w:bottom w:val="none" w:sz="0" w:space="0" w:color="auto"/>
        <w:right w:val="none" w:sz="0" w:space="0" w:color="auto"/>
      </w:divBdr>
    </w:div>
    <w:div w:id="1716351905">
      <w:marLeft w:val="640"/>
      <w:marRight w:val="0"/>
      <w:marTop w:val="0"/>
      <w:marBottom w:val="0"/>
      <w:divBdr>
        <w:top w:val="none" w:sz="0" w:space="0" w:color="auto"/>
        <w:left w:val="none" w:sz="0" w:space="0" w:color="auto"/>
        <w:bottom w:val="none" w:sz="0" w:space="0" w:color="auto"/>
        <w:right w:val="none" w:sz="0" w:space="0" w:color="auto"/>
      </w:divBdr>
    </w:div>
    <w:div w:id="1717315536">
      <w:marLeft w:val="640"/>
      <w:marRight w:val="0"/>
      <w:marTop w:val="0"/>
      <w:marBottom w:val="0"/>
      <w:divBdr>
        <w:top w:val="none" w:sz="0" w:space="0" w:color="auto"/>
        <w:left w:val="none" w:sz="0" w:space="0" w:color="auto"/>
        <w:bottom w:val="none" w:sz="0" w:space="0" w:color="auto"/>
        <w:right w:val="none" w:sz="0" w:space="0" w:color="auto"/>
      </w:divBdr>
    </w:div>
    <w:div w:id="1717460517">
      <w:marLeft w:val="640"/>
      <w:marRight w:val="0"/>
      <w:marTop w:val="0"/>
      <w:marBottom w:val="0"/>
      <w:divBdr>
        <w:top w:val="none" w:sz="0" w:space="0" w:color="auto"/>
        <w:left w:val="none" w:sz="0" w:space="0" w:color="auto"/>
        <w:bottom w:val="none" w:sz="0" w:space="0" w:color="auto"/>
        <w:right w:val="none" w:sz="0" w:space="0" w:color="auto"/>
      </w:divBdr>
    </w:div>
    <w:div w:id="1717469027">
      <w:marLeft w:val="640"/>
      <w:marRight w:val="0"/>
      <w:marTop w:val="0"/>
      <w:marBottom w:val="0"/>
      <w:divBdr>
        <w:top w:val="none" w:sz="0" w:space="0" w:color="auto"/>
        <w:left w:val="none" w:sz="0" w:space="0" w:color="auto"/>
        <w:bottom w:val="none" w:sz="0" w:space="0" w:color="auto"/>
        <w:right w:val="none" w:sz="0" w:space="0" w:color="auto"/>
      </w:divBdr>
    </w:div>
    <w:div w:id="1717512454">
      <w:marLeft w:val="640"/>
      <w:marRight w:val="0"/>
      <w:marTop w:val="0"/>
      <w:marBottom w:val="0"/>
      <w:divBdr>
        <w:top w:val="none" w:sz="0" w:space="0" w:color="auto"/>
        <w:left w:val="none" w:sz="0" w:space="0" w:color="auto"/>
        <w:bottom w:val="none" w:sz="0" w:space="0" w:color="auto"/>
        <w:right w:val="none" w:sz="0" w:space="0" w:color="auto"/>
      </w:divBdr>
    </w:div>
    <w:div w:id="1717849546">
      <w:marLeft w:val="640"/>
      <w:marRight w:val="0"/>
      <w:marTop w:val="0"/>
      <w:marBottom w:val="0"/>
      <w:divBdr>
        <w:top w:val="none" w:sz="0" w:space="0" w:color="auto"/>
        <w:left w:val="none" w:sz="0" w:space="0" w:color="auto"/>
        <w:bottom w:val="none" w:sz="0" w:space="0" w:color="auto"/>
        <w:right w:val="none" w:sz="0" w:space="0" w:color="auto"/>
      </w:divBdr>
    </w:div>
    <w:div w:id="1718626233">
      <w:marLeft w:val="640"/>
      <w:marRight w:val="0"/>
      <w:marTop w:val="0"/>
      <w:marBottom w:val="0"/>
      <w:divBdr>
        <w:top w:val="none" w:sz="0" w:space="0" w:color="auto"/>
        <w:left w:val="none" w:sz="0" w:space="0" w:color="auto"/>
        <w:bottom w:val="none" w:sz="0" w:space="0" w:color="auto"/>
        <w:right w:val="none" w:sz="0" w:space="0" w:color="auto"/>
      </w:divBdr>
    </w:div>
    <w:div w:id="1718700603">
      <w:marLeft w:val="640"/>
      <w:marRight w:val="0"/>
      <w:marTop w:val="0"/>
      <w:marBottom w:val="0"/>
      <w:divBdr>
        <w:top w:val="none" w:sz="0" w:space="0" w:color="auto"/>
        <w:left w:val="none" w:sz="0" w:space="0" w:color="auto"/>
        <w:bottom w:val="none" w:sz="0" w:space="0" w:color="auto"/>
        <w:right w:val="none" w:sz="0" w:space="0" w:color="auto"/>
      </w:divBdr>
    </w:div>
    <w:div w:id="1719082551">
      <w:marLeft w:val="640"/>
      <w:marRight w:val="0"/>
      <w:marTop w:val="0"/>
      <w:marBottom w:val="0"/>
      <w:divBdr>
        <w:top w:val="none" w:sz="0" w:space="0" w:color="auto"/>
        <w:left w:val="none" w:sz="0" w:space="0" w:color="auto"/>
        <w:bottom w:val="none" w:sz="0" w:space="0" w:color="auto"/>
        <w:right w:val="none" w:sz="0" w:space="0" w:color="auto"/>
      </w:divBdr>
    </w:div>
    <w:div w:id="1719090633">
      <w:marLeft w:val="640"/>
      <w:marRight w:val="0"/>
      <w:marTop w:val="0"/>
      <w:marBottom w:val="0"/>
      <w:divBdr>
        <w:top w:val="none" w:sz="0" w:space="0" w:color="auto"/>
        <w:left w:val="none" w:sz="0" w:space="0" w:color="auto"/>
        <w:bottom w:val="none" w:sz="0" w:space="0" w:color="auto"/>
        <w:right w:val="none" w:sz="0" w:space="0" w:color="auto"/>
      </w:divBdr>
    </w:div>
    <w:div w:id="1719091405">
      <w:marLeft w:val="640"/>
      <w:marRight w:val="0"/>
      <w:marTop w:val="0"/>
      <w:marBottom w:val="0"/>
      <w:divBdr>
        <w:top w:val="none" w:sz="0" w:space="0" w:color="auto"/>
        <w:left w:val="none" w:sz="0" w:space="0" w:color="auto"/>
        <w:bottom w:val="none" w:sz="0" w:space="0" w:color="auto"/>
        <w:right w:val="none" w:sz="0" w:space="0" w:color="auto"/>
      </w:divBdr>
    </w:div>
    <w:div w:id="1719207382">
      <w:marLeft w:val="640"/>
      <w:marRight w:val="0"/>
      <w:marTop w:val="0"/>
      <w:marBottom w:val="0"/>
      <w:divBdr>
        <w:top w:val="none" w:sz="0" w:space="0" w:color="auto"/>
        <w:left w:val="none" w:sz="0" w:space="0" w:color="auto"/>
        <w:bottom w:val="none" w:sz="0" w:space="0" w:color="auto"/>
        <w:right w:val="none" w:sz="0" w:space="0" w:color="auto"/>
      </w:divBdr>
    </w:div>
    <w:div w:id="1719473016">
      <w:marLeft w:val="640"/>
      <w:marRight w:val="0"/>
      <w:marTop w:val="0"/>
      <w:marBottom w:val="0"/>
      <w:divBdr>
        <w:top w:val="none" w:sz="0" w:space="0" w:color="auto"/>
        <w:left w:val="none" w:sz="0" w:space="0" w:color="auto"/>
        <w:bottom w:val="none" w:sz="0" w:space="0" w:color="auto"/>
        <w:right w:val="none" w:sz="0" w:space="0" w:color="auto"/>
      </w:divBdr>
    </w:div>
    <w:div w:id="1720588258">
      <w:marLeft w:val="640"/>
      <w:marRight w:val="0"/>
      <w:marTop w:val="0"/>
      <w:marBottom w:val="0"/>
      <w:divBdr>
        <w:top w:val="none" w:sz="0" w:space="0" w:color="auto"/>
        <w:left w:val="none" w:sz="0" w:space="0" w:color="auto"/>
        <w:bottom w:val="none" w:sz="0" w:space="0" w:color="auto"/>
        <w:right w:val="none" w:sz="0" w:space="0" w:color="auto"/>
      </w:divBdr>
    </w:div>
    <w:div w:id="1720591150">
      <w:marLeft w:val="640"/>
      <w:marRight w:val="0"/>
      <w:marTop w:val="0"/>
      <w:marBottom w:val="0"/>
      <w:divBdr>
        <w:top w:val="none" w:sz="0" w:space="0" w:color="auto"/>
        <w:left w:val="none" w:sz="0" w:space="0" w:color="auto"/>
        <w:bottom w:val="none" w:sz="0" w:space="0" w:color="auto"/>
        <w:right w:val="none" w:sz="0" w:space="0" w:color="auto"/>
      </w:divBdr>
    </w:div>
    <w:div w:id="1721857140">
      <w:marLeft w:val="640"/>
      <w:marRight w:val="0"/>
      <w:marTop w:val="0"/>
      <w:marBottom w:val="0"/>
      <w:divBdr>
        <w:top w:val="none" w:sz="0" w:space="0" w:color="auto"/>
        <w:left w:val="none" w:sz="0" w:space="0" w:color="auto"/>
        <w:bottom w:val="none" w:sz="0" w:space="0" w:color="auto"/>
        <w:right w:val="none" w:sz="0" w:space="0" w:color="auto"/>
      </w:divBdr>
    </w:div>
    <w:div w:id="1722513088">
      <w:marLeft w:val="640"/>
      <w:marRight w:val="0"/>
      <w:marTop w:val="0"/>
      <w:marBottom w:val="0"/>
      <w:divBdr>
        <w:top w:val="none" w:sz="0" w:space="0" w:color="auto"/>
        <w:left w:val="none" w:sz="0" w:space="0" w:color="auto"/>
        <w:bottom w:val="none" w:sz="0" w:space="0" w:color="auto"/>
        <w:right w:val="none" w:sz="0" w:space="0" w:color="auto"/>
      </w:divBdr>
    </w:div>
    <w:div w:id="1722633811">
      <w:marLeft w:val="640"/>
      <w:marRight w:val="0"/>
      <w:marTop w:val="0"/>
      <w:marBottom w:val="0"/>
      <w:divBdr>
        <w:top w:val="none" w:sz="0" w:space="0" w:color="auto"/>
        <w:left w:val="none" w:sz="0" w:space="0" w:color="auto"/>
        <w:bottom w:val="none" w:sz="0" w:space="0" w:color="auto"/>
        <w:right w:val="none" w:sz="0" w:space="0" w:color="auto"/>
      </w:divBdr>
    </w:div>
    <w:div w:id="1722634728">
      <w:marLeft w:val="640"/>
      <w:marRight w:val="0"/>
      <w:marTop w:val="0"/>
      <w:marBottom w:val="0"/>
      <w:divBdr>
        <w:top w:val="none" w:sz="0" w:space="0" w:color="auto"/>
        <w:left w:val="none" w:sz="0" w:space="0" w:color="auto"/>
        <w:bottom w:val="none" w:sz="0" w:space="0" w:color="auto"/>
        <w:right w:val="none" w:sz="0" w:space="0" w:color="auto"/>
      </w:divBdr>
    </w:div>
    <w:div w:id="1722750887">
      <w:marLeft w:val="640"/>
      <w:marRight w:val="0"/>
      <w:marTop w:val="0"/>
      <w:marBottom w:val="0"/>
      <w:divBdr>
        <w:top w:val="none" w:sz="0" w:space="0" w:color="auto"/>
        <w:left w:val="none" w:sz="0" w:space="0" w:color="auto"/>
        <w:bottom w:val="none" w:sz="0" w:space="0" w:color="auto"/>
        <w:right w:val="none" w:sz="0" w:space="0" w:color="auto"/>
      </w:divBdr>
    </w:div>
    <w:div w:id="1722904386">
      <w:marLeft w:val="640"/>
      <w:marRight w:val="0"/>
      <w:marTop w:val="0"/>
      <w:marBottom w:val="0"/>
      <w:divBdr>
        <w:top w:val="none" w:sz="0" w:space="0" w:color="auto"/>
        <w:left w:val="none" w:sz="0" w:space="0" w:color="auto"/>
        <w:bottom w:val="none" w:sz="0" w:space="0" w:color="auto"/>
        <w:right w:val="none" w:sz="0" w:space="0" w:color="auto"/>
      </w:divBdr>
    </w:div>
    <w:div w:id="1722945665">
      <w:marLeft w:val="640"/>
      <w:marRight w:val="0"/>
      <w:marTop w:val="0"/>
      <w:marBottom w:val="0"/>
      <w:divBdr>
        <w:top w:val="none" w:sz="0" w:space="0" w:color="auto"/>
        <w:left w:val="none" w:sz="0" w:space="0" w:color="auto"/>
        <w:bottom w:val="none" w:sz="0" w:space="0" w:color="auto"/>
        <w:right w:val="none" w:sz="0" w:space="0" w:color="auto"/>
      </w:divBdr>
    </w:div>
    <w:div w:id="1723094119">
      <w:marLeft w:val="640"/>
      <w:marRight w:val="0"/>
      <w:marTop w:val="0"/>
      <w:marBottom w:val="0"/>
      <w:divBdr>
        <w:top w:val="none" w:sz="0" w:space="0" w:color="auto"/>
        <w:left w:val="none" w:sz="0" w:space="0" w:color="auto"/>
        <w:bottom w:val="none" w:sz="0" w:space="0" w:color="auto"/>
        <w:right w:val="none" w:sz="0" w:space="0" w:color="auto"/>
      </w:divBdr>
    </w:div>
    <w:div w:id="1723819897">
      <w:marLeft w:val="640"/>
      <w:marRight w:val="0"/>
      <w:marTop w:val="0"/>
      <w:marBottom w:val="0"/>
      <w:divBdr>
        <w:top w:val="none" w:sz="0" w:space="0" w:color="auto"/>
        <w:left w:val="none" w:sz="0" w:space="0" w:color="auto"/>
        <w:bottom w:val="none" w:sz="0" w:space="0" w:color="auto"/>
        <w:right w:val="none" w:sz="0" w:space="0" w:color="auto"/>
      </w:divBdr>
    </w:div>
    <w:div w:id="1723937861">
      <w:marLeft w:val="640"/>
      <w:marRight w:val="0"/>
      <w:marTop w:val="0"/>
      <w:marBottom w:val="0"/>
      <w:divBdr>
        <w:top w:val="none" w:sz="0" w:space="0" w:color="auto"/>
        <w:left w:val="none" w:sz="0" w:space="0" w:color="auto"/>
        <w:bottom w:val="none" w:sz="0" w:space="0" w:color="auto"/>
        <w:right w:val="none" w:sz="0" w:space="0" w:color="auto"/>
      </w:divBdr>
    </w:div>
    <w:div w:id="1726291634">
      <w:marLeft w:val="640"/>
      <w:marRight w:val="0"/>
      <w:marTop w:val="0"/>
      <w:marBottom w:val="0"/>
      <w:divBdr>
        <w:top w:val="none" w:sz="0" w:space="0" w:color="auto"/>
        <w:left w:val="none" w:sz="0" w:space="0" w:color="auto"/>
        <w:bottom w:val="none" w:sz="0" w:space="0" w:color="auto"/>
        <w:right w:val="none" w:sz="0" w:space="0" w:color="auto"/>
      </w:divBdr>
    </w:div>
    <w:div w:id="1728184831">
      <w:marLeft w:val="640"/>
      <w:marRight w:val="0"/>
      <w:marTop w:val="0"/>
      <w:marBottom w:val="0"/>
      <w:divBdr>
        <w:top w:val="none" w:sz="0" w:space="0" w:color="auto"/>
        <w:left w:val="none" w:sz="0" w:space="0" w:color="auto"/>
        <w:bottom w:val="none" w:sz="0" w:space="0" w:color="auto"/>
        <w:right w:val="none" w:sz="0" w:space="0" w:color="auto"/>
      </w:divBdr>
    </w:div>
    <w:div w:id="1728525808">
      <w:marLeft w:val="640"/>
      <w:marRight w:val="0"/>
      <w:marTop w:val="0"/>
      <w:marBottom w:val="0"/>
      <w:divBdr>
        <w:top w:val="none" w:sz="0" w:space="0" w:color="auto"/>
        <w:left w:val="none" w:sz="0" w:space="0" w:color="auto"/>
        <w:bottom w:val="none" w:sz="0" w:space="0" w:color="auto"/>
        <w:right w:val="none" w:sz="0" w:space="0" w:color="auto"/>
      </w:divBdr>
    </w:div>
    <w:div w:id="1728801107">
      <w:marLeft w:val="640"/>
      <w:marRight w:val="0"/>
      <w:marTop w:val="0"/>
      <w:marBottom w:val="0"/>
      <w:divBdr>
        <w:top w:val="none" w:sz="0" w:space="0" w:color="auto"/>
        <w:left w:val="none" w:sz="0" w:space="0" w:color="auto"/>
        <w:bottom w:val="none" w:sz="0" w:space="0" w:color="auto"/>
        <w:right w:val="none" w:sz="0" w:space="0" w:color="auto"/>
      </w:divBdr>
    </w:div>
    <w:div w:id="1728914399">
      <w:marLeft w:val="640"/>
      <w:marRight w:val="0"/>
      <w:marTop w:val="0"/>
      <w:marBottom w:val="0"/>
      <w:divBdr>
        <w:top w:val="none" w:sz="0" w:space="0" w:color="auto"/>
        <w:left w:val="none" w:sz="0" w:space="0" w:color="auto"/>
        <w:bottom w:val="none" w:sz="0" w:space="0" w:color="auto"/>
        <w:right w:val="none" w:sz="0" w:space="0" w:color="auto"/>
      </w:divBdr>
    </w:div>
    <w:div w:id="1729760436">
      <w:marLeft w:val="640"/>
      <w:marRight w:val="0"/>
      <w:marTop w:val="0"/>
      <w:marBottom w:val="0"/>
      <w:divBdr>
        <w:top w:val="none" w:sz="0" w:space="0" w:color="auto"/>
        <w:left w:val="none" w:sz="0" w:space="0" w:color="auto"/>
        <w:bottom w:val="none" w:sz="0" w:space="0" w:color="auto"/>
        <w:right w:val="none" w:sz="0" w:space="0" w:color="auto"/>
      </w:divBdr>
    </w:div>
    <w:div w:id="1730227041">
      <w:marLeft w:val="640"/>
      <w:marRight w:val="0"/>
      <w:marTop w:val="0"/>
      <w:marBottom w:val="0"/>
      <w:divBdr>
        <w:top w:val="none" w:sz="0" w:space="0" w:color="auto"/>
        <w:left w:val="none" w:sz="0" w:space="0" w:color="auto"/>
        <w:bottom w:val="none" w:sz="0" w:space="0" w:color="auto"/>
        <w:right w:val="none" w:sz="0" w:space="0" w:color="auto"/>
      </w:divBdr>
    </w:div>
    <w:div w:id="1731810210">
      <w:marLeft w:val="640"/>
      <w:marRight w:val="0"/>
      <w:marTop w:val="0"/>
      <w:marBottom w:val="0"/>
      <w:divBdr>
        <w:top w:val="none" w:sz="0" w:space="0" w:color="auto"/>
        <w:left w:val="none" w:sz="0" w:space="0" w:color="auto"/>
        <w:bottom w:val="none" w:sz="0" w:space="0" w:color="auto"/>
        <w:right w:val="none" w:sz="0" w:space="0" w:color="auto"/>
      </w:divBdr>
    </w:div>
    <w:div w:id="1733232426">
      <w:marLeft w:val="640"/>
      <w:marRight w:val="0"/>
      <w:marTop w:val="0"/>
      <w:marBottom w:val="0"/>
      <w:divBdr>
        <w:top w:val="none" w:sz="0" w:space="0" w:color="auto"/>
        <w:left w:val="none" w:sz="0" w:space="0" w:color="auto"/>
        <w:bottom w:val="none" w:sz="0" w:space="0" w:color="auto"/>
        <w:right w:val="none" w:sz="0" w:space="0" w:color="auto"/>
      </w:divBdr>
    </w:div>
    <w:div w:id="1733501016">
      <w:marLeft w:val="640"/>
      <w:marRight w:val="0"/>
      <w:marTop w:val="0"/>
      <w:marBottom w:val="0"/>
      <w:divBdr>
        <w:top w:val="none" w:sz="0" w:space="0" w:color="auto"/>
        <w:left w:val="none" w:sz="0" w:space="0" w:color="auto"/>
        <w:bottom w:val="none" w:sz="0" w:space="0" w:color="auto"/>
        <w:right w:val="none" w:sz="0" w:space="0" w:color="auto"/>
      </w:divBdr>
    </w:div>
    <w:div w:id="1734039302">
      <w:marLeft w:val="640"/>
      <w:marRight w:val="0"/>
      <w:marTop w:val="0"/>
      <w:marBottom w:val="0"/>
      <w:divBdr>
        <w:top w:val="none" w:sz="0" w:space="0" w:color="auto"/>
        <w:left w:val="none" w:sz="0" w:space="0" w:color="auto"/>
        <w:bottom w:val="none" w:sz="0" w:space="0" w:color="auto"/>
        <w:right w:val="none" w:sz="0" w:space="0" w:color="auto"/>
      </w:divBdr>
    </w:div>
    <w:div w:id="1734044192">
      <w:marLeft w:val="640"/>
      <w:marRight w:val="0"/>
      <w:marTop w:val="0"/>
      <w:marBottom w:val="0"/>
      <w:divBdr>
        <w:top w:val="none" w:sz="0" w:space="0" w:color="auto"/>
        <w:left w:val="none" w:sz="0" w:space="0" w:color="auto"/>
        <w:bottom w:val="none" w:sz="0" w:space="0" w:color="auto"/>
        <w:right w:val="none" w:sz="0" w:space="0" w:color="auto"/>
      </w:divBdr>
    </w:div>
    <w:div w:id="1734811898">
      <w:marLeft w:val="640"/>
      <w:marRight w:val="0"/>
      <w:marTop w:val="0"/>
      <w:marBottom w:val="0"/>
      <w:divBdr>
        <w:top w:val="none" w:sz="0" w:space="0" w:color="auto"/>
        <w:left w:val="none" w:sz="0" w:space="0" w:color="auto"/>
        <w:bottom w:val="none" w:sz="0" w:space="0" w:color="auto"/>
        <w:right w:val="none" w:sz="0" w:space="0" w:color="auto"/>
      </w:divBdr>
    </w:div>
    <w:div w:id="1735858199">
      <w:marLeft w:val="640"/>
      <w:marRight w:val="0"/>
      <w:marTop w:val="0"/>
      <w:marBottom w:val="0"/>
      <w:divBdr>
        <w:top w:val="none" w:sz="0" w:space="0" w:color="auto"/>
        <w:left w:val="none" w:sz="0" w:space="0" w:color="auto"/>
        <w:bottom w:val="none" w:sz="0" w:space="0" w:color="auto"/>
        <w:right w:val="none" w:sz="0" w:space="0" w:color="auto"/>
      </w:divBdr>
    </w:div>
    <w:div w:id="1736050204">
      <w:marLeft w:val="640"/>
      <w:marRight w:val="0"/>
      <w:marTop w:val="0"/>
      <w:marBottom w:val="0"/>
      <w:divBdr>
        <w:top w:val="none" w:sz="0" w:space="0" w:color="auto"/>
        <w:left w:val="none" w:sz="0" w:space="0" w:color="auto"/>
        <w:bottom w:val="none" w:sz="0" w:space="0" w:color="auto"/>
        <w:right w:val="none" w:sz="0" w:space="0" w:color="auto"/>
      </w:divBdr>
    </w:div>
    <w:div w:id="1736316101">
      <w:marLeft w:val="640"/>
      <w:marRight w:val="0"/>
      <w:marTop w:val="0"/>
      <w:marBottom w:val="0"/>
      <w:divBdr>
        <w:top w:val="none" w:sz="0" w:space="0" w:color="auto"/>
        <w:left w:val="none" w:sz="0" w:space="0" w:color="auto"/>
        <w:bottom w:val="none" w:sz="0" w:space="0" w:color="auto"/>
        <w:right w:val="none" w:sz="0" w:space="0" w:color="auto"/>
      </w:divBdr>
    </w:div>
    <w:div w:id="1736708167">
      <w:marLeft w:val="640"/>
      <w:marRight w:val="0"/>
      <w:marTop w:val="0"/>
      <w:marBottom w:val="0"/>
      <w:divBdr>
        <w:top w:val="none" w:sz="0" w:space="0" w:color="auto"/>
        <w:left w:val="none" w:sz="0" w:space="0" w:color="auto"/>
        <w:bottom w:val="none" w:sz="0" w:space="0" w:color="auto"/>
        <w:right w:val="none" w:sz="0" w:space="0" w:color="auto"/>
      </w:divBdr>
    </w:div>
    <w:div w:id="1736778009">
      <w:marLeft w:val="640"/>
      <w:marRight w:val="0"/>
      <w:marTop w:val="0"/>
      <w:marBottom w:val="0"/>
      <w:divBdr>
        <w:top w:val="none" w:sz="0" w:space="0" w:color="auto"/>
        <w:left w:val="none" w:sz="0" w:space="0" w:color="auto"/>
        <w:bottom w:val="none" w:sz="0" w:space="0" w:color="auto"/>
        <w:right w:val="none" w:sz="0" w:space="0" w:color="auto"/>
      </w:divBdr>
    </w:div>
    <w:div w:id="1737167377">
      <w:marLeft w:val="640"/>
      <w:marRight w:val="0"/>
      <w:marTop w:val="0"/>
      <w:marBottom w:val="0"/>
      <w:divBdr>
        <w:top w:val="none" w:sz="0" w:space="0" w:color="auto"/>
        <w:left w:val="none" w:sz="0" w:space="0" w:color="auto"/>
        <w:bottom w:val="none" w:sz="0" w:space="0" w:color="auto"/>
        <w:right w:val="none" w:sz="0" w:space="0" w:color="auto"/>
      </w:divBdr>
    </w:div>
    <w:div w:id="1737439188">
      <w:marLeft w:val="640"/>
      <w:marRight w:val="0"/>
      <w:marTop w:val="0"/>
      <w:marBottom w:val="0"/>
      <w:divBdr>
        <w:top w:val="none" w:sz="0" w:space="0" w:color="auto"/>
        <w:left w:val="none" w:sz="0" w:space="0" w:color="auto"/>
        <w:bottom w:val="none" w:sz="0" w:space="0" w:color="auto"/>
        <w:right w:val="none" w:sz="0" w:space="0" w:color="auto"/>
      </w:divBdr>
    </w:div>
    <w:div w:id="1737585572">
      <w:marLeft w:val="640"/>
      <w:marRight w:val="0"/>
      <w:marTop w:val="0"/>
      <w:marBottom w:val="0"/>
      <w:divBdr>
        <w:top w:val="none" w:sz="0" w:space="0" w:color="auto"/>
        <w:left w:val="none" w:sz="0" w:space="0" w:color="auto"/>
        <w:bottom w:val="none" w:sz="0" w:space="0" w:color="auto"/>
        <w:right w:val="none" w:sz="0" w:space="0" w:color="auto"/>
      </w:divBdr>
    </w:div>
    <w:div w:id="1737631531">
      <w:marLeft w:val="640"/>
      <w:marRight w:val="0"/>
      <w:marTop w:val="0"/>
      <w:marBottom w:val="0"/>
      <w:divBdr>
        <w:top w:val="none" w:sz="0" w:space="0" w:color="auto"/>
        <w:left w:val="none" w:sz="0" w:space="0" w:color="auto"/>
        <w:bottom w:val="none" w:sz="0" w:space="0" w:color="auto"/>
        <w:right w:val="none" w:sz="0" w:space="0" w:color="auto"/>
      </w:divBdr>
    </w:div>
    <w:div w:id="1739471373">
      <w:marLeft w:val="640"/>
      <w:marRight w:val="0"/>
      <w:marTop w:val="0"/>
      <w:marBottom w:val="0"/>
      <w:divBdr>
        <w:top w:val="none" w:sz="0" w:space="0" w:color="auto"/>
        <w:left w:val="none" w:sz="0" w:space="0" w:color="auto"/>
        <w:bottom w:val="none" w:sz="0" w:space="0" w:color="auto"/>
        <w:right w:val="none" w:sz="0" w:space="0" w:color="auto"/>
      </w:divBdr>
    </w:div>
    <w:div w:id="1740865217">
      <w:marLeft w:val="640"/>
      <w:marRight w:val="0"/>
      <w:marTop w:val="0"/>
      <w:marBottom w:val="0"/>
      <w:divBdr>
        <w:top w:val="none" w:sz="0" w:space="0" w:color="auto"/>
        <w:left w:val="none" w:sz="0" w:space="0" w:color="auto"/>
        <w:bottom w:val="none" w:sz="0" w:space="0" w:color="auto"/>
        <w:right w:val="none" w:sz="0" w:space="0" w:color="auto"/>
      </w:divBdr>
    </w:div>
    <w:div w:id="1741243473">
      <w:marLeft w:val="640"/>
      <w:marRight w:val="0"/>
      <w:marTop w:val="0"/>
      <w:marBottom w:val="0"/>
      <w:divBdr>
        <w:top w:val="none" w:sz="0" w:space="0" w:color="auto"/>
        <w:left w:val="none" w:sz="0" w:space="0" w:color="auto"/>
        <w:bottom w:val="none" w:sz="0" w:space="0" w:color="auto"/>
        <w:right w:val="none" w:sz="0" w:space="0" w:color="auto"/>
      </w:divBdr>
    </w:div>
    <w:div w:id="1741364200">
      <w:marLeft w:val="640"/>
      <w:marRight w:val="0"/>
      <w:marTop w:val="0"/>
      <w:marBottom w:val="0"/>
      <w:divBdr>
        <w:top w:val="none" w:sz="0" w:space="0" w:color="auto"/>
        <w:left w:val="none" w:sz="0" w:space="0" w:color="auto"/>
        <w:bottom w:val="none" w:sz="0" w:space="0" w:color="auto"/>
        <w:right w:val="none" w:sz="0" w:space="0" w:color="auto"/>
      </w:divBdr>
    </w:div>
    <w:div w:id="1742144203">
      <w:marLeft w:val="640"/>
      <w:marRight w:val="0"/>
      <w:marTop w:val="0"/>
      <w:marBottom w:val="0"/>
      <w:divBdr>
        <w:top w:val="none" w:sz="0" w:space="0" w:color="auto"/>
        <w:left w:val="none" w:sz="0" w:space="0" w:color="auto"/>
        <w:bottom w:val="none" w:sz="0" w:space="0" w:color="auto"/>
        <w:right w:val="none" w:sz="0" w:space="0" w:color="auto"/>
      </w:divBdr>
    </w:div>
    <w:div w:id="1742407635">
      <w:marLeft w:val="640"/>
      <w:marRight w:val="0"/>
      <w:marTop w:val="0"/>
      <w:marBottom w:val="0"/>
      <w:divBdr>
        <w:top w:val="none" w:sz="0" w:space="0" w:color="auto"/>
        <w:left w:val="none" w:sz="0" w:space="0" w:color="auto"/>
        <w:bottom w:val="none" w:sz="0" w:space="0" w:color="auto"/>
        <w:right w:val="none" w:sz="0" w:space="0" w:color="auto"/>
      </w:divBdr>
    </w:div>
    <w:div w:id="1743020332">
      <w:marLeft w:val="640"/>
      <w:marRight w:val="0"/>
      <w:marTop w:val="0"/>
      <w:marBottom w:val="0"/>
      <w:divBdr>
        <w:top w:val="none" w:sz="0" w:space="0" w:color="auto"/>
        <w:left w:val="none" w:sz="0" w:space="0" w:color="auto"/>
        <w:bottom w:val="none" w:sz="0" w:space="0" w:color="auto"/>
        <w:right w:val="none" w:sz="0" w:space="0" w:color="auto"/>
      </w:divBdr>
    </w:div>
    <w:div w:id="1743332380">
      <w:marLeft w:val="640"/>
      <w:marRight w:val="0"/>
      <w:marTop w:val="0"/>
      <w:marBottom w:val="0"/>
      <w:divBdr>
        <w:top w:val="none" w:sz="0" w:space="0" w:color="auto"/>
        <w:left w:val="none" w:sz="0" w:space="0" w:color="auto"/>
        <w:bottom w:val="none" w:sz="0" w:space="0" w:color="auto"/>
        <w:right w:val="none" w:sz="0" w:space="0" w:color="auto"/>
      </w:divBdr>
    </w:div>
    <w:div w:id="1743404933">
      <w:marLeft w:val="640"/>
      <w:marRight w:val="0"/>
      <w:marTop w:val="0"/>
      <w:marBottom w:val="0"/>
      <w:divBdr>
        <w:top w:val="none" w:sz="0" w:space="0" w:color="auto"/>
        <w:left w:val="none" w:sz="0" w:space="0" w:color="auto"/>
        <w:bottom w:val="none" w:sz="0" w:space="0" w:color="auto"/>
        <w:right w:val="none" w:sz="0" w:space="0" w:color="auto"/>
      </w:divBdr>
    </w:div>
    <w:div w:id="1743867762">
      <w:marLeft w:val="640"/>
      <w:marRight w:val="0"/>
      <w:marTop w:val="0"/>
      <w:marBottom w:val="0"/>
      <w:divBdr>
        <w:top w:val="none" w:sz="0" w:space="0" w:color="auto"/>
        <w:left w:val="none" w:sz="0" w:space="0" w:color="auto"/>
        <w:bottom w:val="none" w:sz="0" w:space="0" w:color="auto"/>
        <w:right w:val="none" w:sz="0" w:space="0" w:color="auto"/>
      </w:divBdr>
    </w:div>
    <w:div w:id="1743986790">
      <w:marLeft w:val="640"/>
      <w:marRight w:val="0"/>
      <w:marTop w:val="0"/>
      <w:marBottom w:val="0"/>
      <w:divBdr>
        <w:top w:val="none" w:sz="0" w:space="0" w:color="auto"/>
        <w:left w:val="none" w:sz="0" w:space="0" w:color="auto"/>
        <w:bottom w:val="none" w:sz="0" w:space="0" w:color="auto"/>
        <w:right w:val="none" w:sz="0" w:space="0" w:color="auto"/>
      </w:divBdr>
    </w:div>
    <w:div w:id="1743987554">
      <w:marLeft w:val="640"/>
      <w:marRight w:val="0"/>
      <w:marTop w:val="0"/>
      <w:marBottom w:val="0"/>
      <w:divBdr>
        <w:top w:val="none" w:sz="0" w:space="0" w:color="auto"/>
        <w:left w:val="none" w:sz="0" w:space="0" w:color="auto"/>
        <w:bottom w:val="none" w:sz="0" w:space="0" w:color="auto"/>
        <w:right w:val="none" w:sz="0" w:space="0" w:color="auto"/>
      </w:divBdr>
    </w:div>
    <w:div w:id="1744528552">
      <w:marLeft w:val="640"/>
      <w:marRight w:val="0"/>
      <w:marTop w:val="0"/>
      <w:marBottom w:val="0"/>
      <w:divBdr>
        <w:top w:val="none" w:sz="0" w:space="0" w:color="auto"/>
        <w:left w:val="none" w:sz="0" w:space="0" w:color="auto"/>
        <w:bottom w:val="none" w:sz="0" w:space="0" w:color="auto"/>
        <w:right w:val="none" w:sz="0" w:space="0" w:color="auto"/>
      </w:divBdr>
    </w:div>
    <w:div w:id="1744598963">
      <w:marLeft w:val="640"/>
      <w:marRight w:val="0"/>
      <w:marTop w:val="0"/>
      <w:marBottom w:val="0"/>
      <w:divBdr>
        <w:top w:val="none" w:sz="0" w:space="0" w:color="auto"/>
        <w:left w:val="none" w:sz="0" w:space="0" w:color="auto"/>
        <w:bottom w:val="none" w:sz="0" w:space="0" w:color="auto"/>
        <w:right w:val="none" w:sz="0" w:space="0" w:color="auto"/>
      </w:divBdr>
    </w:div>
    <w:div w:id="1744797487">
      <w:marLeft w:val="640"/>
      <w:marRight w:val="0"/>
      <w:marTop w:val="0"/>
      <w:marBottom w:val="0"/>
      <w:divBdr>
        <w:top w:val="none" w:sz="0" w:space="0" w:color="auto"/>
        <w:left w:val="none" w:sz="0" w:space="0" w:color="auto"/>
        <w:bottom w:val="none" w:sz="0" w:space="0" w:color="auto"/>
        <w:right w:val="none" w:sz="0" w:space="0" w:color="auto"/>
      </w:divBdr>
    </w:div>
    <w:div w:id="1745254084">
      <w:marLeft w:val="640"/>
      <w:marRight w:val="0"/>
      <w:marTop w:val="0"/>
      <w:marBottom w:val="0"/>
      <w:divBdr>
        <w:top w:val="none" w:sz="0" w:space="0" w:color="auto"/>
        <w:left w:val="none" w:sz="0" w:space="0" w:color="auto"/>
        <w:bottom w:val="none" w:sz="0" w:space="0" w:color="auto"/>
        <w:right w:val="none" w:sz="0" w:space="0" w:color="auto"/>
      </w:divBdr>
    </w:div>
    <w:div w:id="1745295853">
      <w:marLeft w:val="640"/>
      <w:marRight w:val="0"/>
      <w:marTop w:val="0"/>
      <w:marBottom w:val="0"/>
      <w:divBdr>
        <w:top w:val="none" w:sz="0" w:space="0" w:color="auto"/>
        <w:left w:val="none" w:sz="0" w:space="0" w:color="auto"/>
        <w:bottom w:val="none" w:sz="0" w:space="0" w:color="auto"/>
        <w:right w:val="none" w:sz="0" w:space="0" w:color="auto"/>
      </w:divBdr>
    </w:div>
    <w:div w:id="1745954449">
      <w:marLeft w:val="640"/>
      <w:marRight w:val="0"/>
      <w:marTop w:val="0"/>
      <w:marBottom w:val="0"/>
      <w:divBdr>
        <w:top w:val="none" w:sz="0" w:space="0" w:color="auto"/>
        <w:left w:val="none" w:sz="0" w:space="0" w:color="auto"/>
        <w:bottom w:val="none" w:sz="0" w:space="0" w:color="auto"/>
        <w:right w:val="none" w:sz="0" w:space="0" w:color="auto"/>
      </w:divBdr>
    </w:div>
    <w:div w:id="1746293338">
      <w:marLeft w:val="640"/>
      <w:marRight w:val="0"/>
      <w:marTop w:val="0"/>
      <w:marBottom w:val="0"/>
      <w:divBdr>
        <w:top w:val="none" w:sz="0" w:space="0" w:color="auto"/>
        <w:left w:val="none" w:sz="0" w:space="0" w:color="auto"/>
        <w:bottom w:val="none" w:sz="0" w:space="0" w:color="auto"/>
        <w:right w:val="none" w:sz="0" w:space="0" w:color="auto"/>
      </w:divBdr>
    </w:div>
    <w:div w:id="1747072657">
      <w:marLeft w:val="640"/>
      <w:marRight w:val="0"/>
      <w:marTop w:val="0"/>
      <w:marBottom w:val="0"/>
      <w:divBdr>
        <w:top w:val="none" w:sz="0" w:space="0" w:color="auto"/>
        <w:left w:val="none" w:sz="0" w:space="0" w:color="auto"/>
        <w:bottom w:val="none" w:sz="0" w:space="0" w:color="auto"/>
        <w:right w:val="none" w:sz="0" w:space="0" w:color="auto"/>
      </w:divBdr>
    </w:div>
    <w:div w:id="1747259431">
      <w:marLeft w:val="640"/>
      <w:marRight w:val="0"/>
      <w:marTop w:val="0"/>
      <w:marBottom w:val="0"/>
      <w:divBdr>
        <w:top w:val="none" w:sz="0" w:space="0" w:color="auto"/>
        <w:left w:val="none" w:sz="0" w:space="0" w:color="auto"/>
        <w:bottom w:val="none" w:sz="0" w:space="0" w:color="auto"/>
        <w:right w:val="none" w:sz="0" w:space="0" w:color="auto"/>
      </w:divBdr>
    </w:div>
    <w:div w:id="1747533281">
      <w:marLeft w:val="640"/>
      <w:marRight w:val="0"/>
      <w:marTop w:val="0"/>
      <w:marBottom w:val="0"/>
      <w:divBdr>
        <w:top w:val="none" w:sz="0" w:space="0" w:color="auto"/>
        <w:left w:val="none" w:sz="0" w:space="0" w:color="auto"/>
        <w:bottom w:val="none" w:sz="0" w:space="0" w:color="auto"/>
        <w:right w:val="none" w:sz="0" w:space="0" w:color="auto"/>
      </w:divBdr>
    </w:div>
    <w:div w:id="1747921368">
      <w:marLeft w:val="640"/>
      <w:marRight w:val="0"/>
      <w:marTop w:val="0"/>
      <w:marBottom w:val="0"/>
      <w:divBdr>
        <w:top w:val="none" w:sz="0" w:space="0" w:color="auto"/>
        <w:left w:val="none" w:sz="0" w:space="0" w:color="auto"/>
        <w:bottom w:val="none" w:sz="0" w:space="0" w:color="auto"/>
        <w:right w:val="none" w:sz="0" w:space="0" w:color="auto"/>
      </w:divBdr>
    </w:div>
    <w:div w:id="1749495268">
      <w:marLeft w:val="640"/>
      <w:marRight w:val="0"/>
      <w:marTop w:val="0"/>
      <w:marBottom w:val="0"/>
      <w:divBdr>
        <w:top w:val="none" w:sz="0" w:space="0" w:color="auto"/>
        <w:left w:val="none" w:sz="0" w:space="0" w:color="auto"/>
        <w:bottom w:val="none" w:sz="0" w:space="0" w:color="auto"/>
        <w:right w:val="none" w:sz="0" w:space="0" w:color="auto"/>
      </w:divBdr>
    </w:div>
    <w:div w:id="1750617342">
      <w:marLeft w:val="640"/>
      <w:marRight w:val="0"/>
      <w:marTop w:val="0"/>
      <w:marBottom w:val="0"/>
      <w:divBdr>
        <w:top w:val="none" w:sz="0" w:space="0" w:color="auto"/>
        <w:left w:val="none" w:sz="0" w:space="0" w:color="auto"/>
        <w:bottom w:val="none" w:sz="0" w:space="0" w:color="auto"/>
        <w:right w:val="none" w:sz="0" w:space="0" w:color="auto"/>
      </w:divBdr>
    </w:div>
    <w:div w:id="1750736634">
      <w:marLeft w:val="640"/>
      <w:marRight w:val="0"/>
      <w:marTop w:val="0"/>
      <w:marBottom w:val="0"/>
      <w:divBdr>
        <w:top w:val="none" w:sz="0" w:space="0" w:color="auto"/>
        <w:left w:val="none" w:sz="0" w:space="0" w:color="auto"/>
        <w:bottom w:val="none" w:sz="0" w:space="0" w:color="auto"/>
        <w:right w:val="none" w:sz="0" w:space="0" w:color="auto"/>
      </w:divBdr>
    </w:div>
    <w:div w:id="1751389769">
      <w:marLeft w:val="640"/>
      <w:marRight w:val="0"/>
      <w:marTop w:val="0"/>
      <w:marBottom w:val="0"/>
      <w:divBdr>
        <w:top w:val="none" w:sz="0" w:space="0" w:color="auto"/>
        <w:left w:val="none" w:sz="0" w:space="0" w:color="auto"/>
        <w:bottom w:val="none" w:sz="0" w:space="0" w:color="auto"/>
        <w:right w:val="none" w:sz="0" w:space="0" w:color="auto"/>
      </w:divBdr>
    </w:div>
    <w:div w:id="1752698633">
      <w:marLeft w:val="640"/>
      <w:marRight w:val="0"/>
      <w:marTop w:val="0"/>
      <w:marBottom w:val="0"/>
      <w:divBdr>
        <w:top w:val="none" w:sz="0" w:space="0" w:color="auto"/>
        <w:left w:val="none" w:sz="0" w:space="0" w:color="auto"/>
        <w:bottom w:val="none" w:sz="0" w:space="0" w:color="auto"/>
        <w:right w:val="none" w:sz="0" w:space="0" w:color="auto"/>
      </w:divBdr>
    </w:div>
    <w:div w:id="1752893185">
      <w:marLeft w:val="640"/>
      <w:marRight w:val="0"/>
      <w:marTop w:val="0"/>
      <w:marBottom w:val="0"/>
      <w:divBdr>
        <w:top w:val="none" w:sz="0" w:space="0" w:color="auto"/>
        <w:left w:val="none" w:sz="0" w:space="0" w:color="auto"/>
        <w:bottom w:val="none" w:sz="0" w:space="0" w:color="auto"/>
        <w:right w:val="none" w:sz="0" w:space="0" w:color="auto"/>
      </w:divBdr>
    </w:div>
    <w:div w:id="1753118949">
      <w:marLeft w:val="640"/>
      <w:marRight w:val="0"/>
      <w:marTop w:val="0"/>
      <w:marBottom w:val="0"/>
      <w:divBdr>
        <w:top w:val="none" w:sz="0" w:space="0" w:color="auto"/>
        <w:left w:val="none" w:sz="0" w:space="0" w:color="auto"/>
        <w:bottom w:val="none" w:sz="0" w:space="0" w:color="auto"/>
        <w:right w:val="none" w:sz="0" w:space="0" w:color="auto"/>
      </w:divBdr>
    </w:div>
    <w:div w:id="1753237859">
      <w:marLeft w:val="640"/>
      <w:marRight w:val="0"/>
      <w:marTop w:val="0"/>
      <w:marBottom w:val="0"/>
      <w:divBdr>
        <w:top w:val="none" w:sz="0" w:space="0" w:color="auto"/>
        <w:left w:val="none" w:sz="0" w:space="0" w:color="auto"/>
        <w:bottom w:val="none" w:sz="0" w:space="0" w:color="auto"/>
        <w:right w:val="none" w:sz="0" w:space="0" w:color="auto"/>
      </w:divBdr>
    </w:div>
    <w:div w:id="1753424907">
      <w:marLeft w:val="640"/>
      <w:marRight w:val="0"/>
      <w:marTop w:val="0"/>
      <w:marBottom w:val="0"/>
      <w:divBdr>
        <w:top w:val="none" w:sz="0" w:space="0" w:color="auto"/>
        <w:left w:val="none" w:sz="0" w:space="0" w:color="auto"/>
        <w:bottom w:val="none" w:sz="0" w:space="0" w:color="auto"/>
        <w:right w:val="none" w:sz="0" w:space="0" w:color="auto"/>
      </w:divBdr>
    </w:div>
    <w:div w:id="1754353482">
      <w:marLeft w:val="640"/>
      <w:marRight w:val="0"/>
      <w:marTop w:val="0"/>
      <w:marBottom w:val="0"/>
      <w:divBdr>
        <w:top w:val="none" w:sz="0" w:space="0" w:color="auto"/>
        <w:left w:val="none" w:sz="0" w:space="0" w:color="auto"/>
        <w:bottom w:val="none" w:sz="0" w:space="0" w:color="auto"/>
        <w:right w:val="none" w:sz="0" w:space="0" w:color="auto"/>
      </w:divBdr>
    </w:div>
    <w:div w:id="1754400973">
      <w:marLeft w:val="640"/>
      <w:marRight w:val="0"/>
      <w:marTop w:val="0"/>
      <w:marBottom w:val="0"/>
      <w:divBdr>
        <w:top w:val="none" w:sz="0" w:space="0" w:color="auto"/>
        <w:left w:val="none" w:sz="0" w:space="0" w:color="auto"/>
        <w:bottom w:val="none" w:sz="0" w:space="0" w:color="auto"/>
        <w:right w:val="none" w:sz="0" w:space="0" w:color="auto"/>
      </w:divBdr>
    </w:div>
    <w:div w:id="1756055509">
      <w:marLeft w:val="640"/>
      <w:marRight w:val="0"/>
      <w:marTop w:val="0"/>
      <w:marBottom w:val="0"/>
      <w:divBdr>
        <w:top w:val="none" w:sz="0" w:space="0" w:color="auto"/>
        <w:left w:val="none" w:sz="0" w:space="0" w:color="auto"/>
        <w:bottom w:val="none" w:sz="0" w:space="0" w:color="auto"/>
        <w:right w:val="none" w:sz="0" w:space="0" w:color="auto"/>
      </w:divBdr>
    </w:div>
    <w:div w:id="1757363882">
      <w:marLeft w:val="640"/>
      <w:marRight w:val="0"/>
      <w:marTop w:val="0"/>
      <w:marBottom w:val="0"/>
      <w:divBdr>
        <w:top w:val="none" w:sz="0" w:space="0" w:color="auto"/>
        <w:left w:val="none" w:sz="0" w:space="0" w:color="auto"/>
        <w:bottom w:val="none" w:sz="0" w:space="0" w:color="auto"/>
        <w:right w:val="none" w:sz="0" w:space="0" w:color="auto"/>
      </w:divBdr>
    </w:div>
    <w:div w:id="1757634159">
      <w:marLeft w:val="640"/>
      <w:marRight w:val="0"/>
      <w:marTop w:val="0"/>
      <w:marBottom w:val="0"/>
      <w:divBdr>
        <w:top w:val="none" w:sz="0" w:space="0" w:color="auto"/>
        <w:left w:val="none" w:sz="0" w:space="0" w:color="auto"/>
        <w:bottom w:val="none" w:sz="0" w:space="0" w:color="auto"/>
        <w:right w:val="none" w:sz="0" w:space="0" w:color="auto"/>
      </w:divBdr>
    </w:div>
    <w:div w:id="1758213532">
      <w:marLeft w:val="640"/>
      <w:marRight w:val="0"/>
      <w:marTop w:val="0"/>
      <w:marBottom w:val="0"/>
      <w:divBdr>
        <w:top w:val="none" w:sz="0" w:space="0" w:color="auto"/>
        <w:left w:val="none" w:sz="0" w:space="0" w:color="auto"/>
        <w:bottom w:val="none" w:sz="0" w:space="0" w:color="auto"/>
        <w:right w:val="none" w:sz="0" w:space="0" w:color="auto"/>
      </w:divBdr>
    </w:div>
    <w:div w:id="1758674171">
      <w:marLeft w:val="640"/>
      <w:marRight w:val="0"/>
      <w:marTop w:val="0"/>
      <w:marBottom w:val="0"/>
      <w:divBdr>
        <w:top w:val="none" w:sz="0" w:space="0" w:color="auto"/>
        <w:left w:val="none" w:sz="0" w:space="0" w:color="auto"/>
        <w:bottom w:val="none" w:sz="0" w:space="0" w:color="auto"/>
        <w:right w:val="none" w:sz="0" w:space="0" w:color="auto"/>
      </w:divBdr>
    </w:div>
    <w:div w:id="1758790833">
      <w:marLeft w:val="640"/>
      <w:marRight w:val="0"/>
      <w:marTop w:val="0"/>
      <w:marBottom w:val="0"/>
      <w:divBdr>
        <w:top w:val="none" w:sz="0" w:space="0" w:color="auto"/>
        <w:left w:val="none" w:sz="0" w:space="0" w:color="auto"/>
        <w:bottom w:val="none" w:sz="0" w:space="0" w:color="auto"/>
        <w:right w:val="none" w:sz="0" w:space="0" w:color="auto"/>
      </w:divBdr>
    </w:div>
    <w:div w:id="1758866169">
      <w:marLeft w:val="640"/>
      <w:marRight w:val="0"/>
      <w:marTop w:val="0"/>
      <w:marBottom w:val="0"/>
      <w:divBdr>
        <w:top w:val="none" w:sz="0" w:space="0" w:color="auto"/>
        <w:left w:val="none" w:sz="0" w:space="0" w:color="auto"/>
        <w:bottom w:val="none" w:sz="0" w:space="0" w:color="auto"/>
        <w:right w:val="none" w:sz="0" w:space="0" w:color="auto"/>
      </w:divBdr>
    </w:div>
    <w:div w:id="1759398339">
      <w:marLeft w:val="640"/>
      <w:marRight w:val="0"/>
      <w:marTop w:val="0"/>
      <w:marBottom w:val="0"/>
      <w:divBdr>
        <w:top w:val="none" w:sz="0" w:space="0" w:color="auto"/>
        <w:left w:val="none" w:sz="0" w:space="0" w:color="auto"/>
        <w:bottom w:val="none" w:sz="0" w:space="0" w:color="auto"/>
        <w:right w:val="none" w:sz="0" w:space="0" w:color="auto"/>
      </w:divBdr>
    </w:div>
    <w:div w:id="1759788403">
      <w:marLeft w:val="640"/>
      <w:marRight w:val="0"/>
      <w:marTop w:val="0"/>
      <w:marBottom w:val="0"/>
      <w:divBdr>
        <w:top w:val="none" w:sz="0" w:space="0" w:color="auto"/>
        <w:left w:val="none" w:sz="0" w:space="0" w:color="auto"/>
        <w:bottom w:val="none" w:sz="0" w:space="0" w:color="auto"/>
        <w:right w:val="none" w:sz="0" w:space="0" w:color="auto"/>
      </w:divBdr>
    </w:div>
    <w:div w:id="1759863519">
      <w:marLeft w:val="640"/>
      <w:marRight w:val="0"/>
      <w:marTop w:val="0"/>
      <w:marBottom w:val="0"/>
      <w:divBdr>
        <w:top w:val="none" w:sz="0" w:space="0" w:color="auto"/>
        <w:left w:val="none" w:sz="0" w:space="0" w:color="auto"/>
        <w:bottom w:val="none" w:sz="0" w:space="0" w:color="auto"/>
        <w:right w:val="none" w:sz="0" w:space="0" w:color="auto"/>
      </w:divBdr>
    </w:div>
    <w:div w:id="1760828072">
      <w:marLeft w:val="640"/>
      <w:marRight w:val="0"/>
      <w:marTop w:val="0"/>
      <w:marBottom w:val="0"/>
      <w:divBdr>
        <w:top w:val="none" w:sz="0" w:space="0" w:color="auto"/>
        <w:left w:val="none" w:sz="0" w:space="0" w:color="auto"/>
        <w:bottom w:val="none" w:sz="0" w:space="0" w:color="auto"/>
        <w:right w:val="none" w:sz="0" w:space="0" w:color="auto"/>
      </w:divBdr>
    </w:div>
    <w:div w:id="1760831001">
      <w:marLeft w:val="640"/>
      <w:marRight w:val="0"/>
      <w:marTop w:val="0"/>
      <w:marBottom w:val="0"/>
      <w:divBdr>
        <w:top w:val="none" w:sz="0" w:space="0" w:color="auto"/>
        <w:left w:val="none" w:sz="0" w:space="0" w:color="auto"/>
        <w:bottom w:val="none" w:sz="0" w:space="0" w:color="auto"/>
        <w:right w:val="none" w:sz="0" w:space="0" w:color="auto"/>
      </w:divBdr>
    </w:div>
    <w:div w:id="1760831876">
      <w:marLeft w:val="640"/>
      <w:marRight w:val="0"/>
      <w:marTop w:val="0"/>
      <w:marBottom w:val="0"/>
      <w:divBdr>
        <w:top w:val="none" w:sz="0" w:space="0" w:color="auto"/>
        <w:left w:val="none" w:sz="0" w:space="0" w:color="auto"/>
        <w:bottom w:val="none" w:sz="0" w:space="0" w:color="auto"/>
        <w:right w:val="none" w:sz="0" w:space="0" w:color="auto"/>
      </w:divBdr>
    </w:div>
    <w:div w:id="1761440801">
      <w:marLeft w:val="640"/>
      <w:marRight w:val="0"/>
      <w:marTop w:val="0"/>
      <w:marBottom w:val="0"/>
      <w:divBdr>
        <w:top w:val="none" w:sz="0" w:space="0" w:color="auto"/>
        <w:left w:val="none" w:sz="0" w:space="0" w:color="auto"/>
        <w:bottom w:val="none" w:sz="0" w:space="0" w:color="auto"/>
        <w:right w:val="none" w:sz="0" w:space="0" w:color="auto"/>
      </w:divBdr>
    </w:div>
    <w:div w:id="1761682738">
      <w:marLeft w:val="640"/>
      <w:marRight w:val="0"/>
      <w:marTop w:val="0"/>
      <w:marBottom w:val="0"/>
      <w:divBdr>
        <w:top w:val="none" w:sz="0" w:space="0" w:color="auto"/>
        <w:left w:val="none" w:sz="0" w:space="0" w:color="auto"/>
        <w:bottom w:val="none" w:sz="0" w:space="0" w:color="auto"/>
        <w:right w:val="none" w:sz="0" w:space="0" w:color="auto"/>
      </w:divBdr>
    </w:div>
    <w:div w:id="1761752762">
      <w:marLeft w:val="640"/>
      <w:marRight w:val="0"/>
      <w:marTop w:val="0"/>
      <w:marBottom w:val="0"/>
      <w:divBdr>
        <w:top w:val="none" w:sz="0" w:space="0" w:color="auto"/>
        <w:left w:val="none" w:sz="0" w:space="0" w:color="auto"/>
        <w:bottom w:val="none" w:sz="0" w:space="0" w:color="auto"/>
        <w:right w:val="none" w:sz="0" w:space="0" w:color="auto"/>
      </w:divBdr>
    </w:div>
    <w:div w:id="1762068181">
      <w:marLeft w:val="640"/>
      <w:marRight w:val="0"/>
      <w:marTop w:val="0"/>
      <w:marBottom w:val="0"/>
      <w:divBdr>
        <w:top w:val="none" w:sz="0" w:space="0" w:color="auto"/>
        <w:left w:val="none" w:sz="0" w:space="0" w:color="auto"/>
        <w:bottom w:val="none" w:sz="0" w:space="0" w:color="auto"/>
        <w:right w:val="none" w:sz="0" w:space="0" w:color="auto"/>
      </w:divBdr>
    </w:div>
    <w:div w:id="1762334960">
      <w:marLeft w:val="640"/>
      <w:marRight w:val="0"/>
      <w:marTop w:val="0"/>
      <w:marBottom w:val="0"/>
      <w:divBdr>
        <w:top w:val="none" w:sz="0" w:space="0" w:color="auto"/>
        <w:left w:val="none" w:sz="0" w:space="0" w:color="auto"/>
        <w:bottom w:val="none" w:sz="0" w:space="0" w:color="auto"/>
        <w:right w:val="none" w:sz="0" w:space="0" w:color="auto"/>
      </w:divBdr>
    </w:div>
    <w:div w:id="1763449989">
      <w:marLeft w:val="640"/>
      <w:marRight w:val="0"/>
      <w:marTop w:val="0"/>
      <w:marBottom w:val="0"/>
      <w:divBdr>
        <w:top w:val="none" w:sz="0" w:space="0" w:color="auto"/>
        <w:left w:val="none" w:sz="0" w:space="0" w:color="auto"/>
        <w:bottom w:val="none" w:sz="0" w:space="0" w:color="auto"/>
        <w:right w:val="none" w:sz="0" w:space="0" w:color="auto"/>
      </w:divBdr>
    </w:div>
    <w:div w:id="1764060093">
      <w:marLeft w:val="640"/>
      <w:marRight w:val="0"/>
      <w:marTop w:val="0"/>
      <w:marBottom w:val="0"/>
      <w:divBdr>
        <w:top w:val="none" w:sz="0" w:space="0" w:color="auto"/>
        <w:left w:val="none" w:sz="0" w:space="0" w:color="auto"/>
        <w:bottom w:val="none" w:sz="0" w:space="0" w:color="auto"/>
        <w:right w:val="none" w:sz="0" w:space="0" w:color="auto"/>
      </w:divBdr>
    </w:div>
    <w:div w:id="1764300135">
      <w:marLeft w:val="640"/>
      <w:marRight w:val="0"/>
      <w:marTop w:val="0"/>
      <w:marBottom w:val="0"/>
      <w:divBdr>
        <w:top w:val="none" w:sz="0" w:space="0" w:color="auto"/>
        <w:left w:val="none" w:sz="0" w:space="0" w:color="auto"/>
        <w:bottom w:val="none" w:sz="0" w:space="0" w:color="auto"/>
        <w:right w:val="none" w:sz="0" w:space="0" w:color="auto"/>
      </w:divBdr>
    </w:div>
    <w:div w:id="1764494841">
      <w:marLeft w:val="640"/>
      <w:marRight w:val="0"/>
      <w:marTop w:val="0"/>
      <w:marBottom w:val="0"/>
      <w:divBdr>
        <w:top w:val="none" w:sz="0" w:space="0" w:color="auto"/>
        <w:left w:val="none" w:sz="0" w:space="0" w:color="auto"/>
        <w:bottom w:val="none" w:sz="0" w:space="0" w:color="auto"/>
        <w:right w:val="none" w:sz="0" w:space="0" w:color="auto"/>
      </w:divBdr>
    </w:div>
    <w:div w:id="1765108434">
      <w:marLeft w:val="640"/>
      <w:marRight w:val="0"/>
      <w:marTop w:val="0"/>
      <w:marBottom w:val="0"/>
      <w:divBdr>
        <w:top w:val="none" w:sz="0" w:space="0" w:color="auto"/>
        <w:left w:val="none" w:sz="0" w:space="0" w:color="auto"/>
        <w:bottom w:val="none" w:sz="0" w:space="0" w:color="auto"/>
        <w:right w:val="none" w:sz="0" w:space="0" w:color="auto"/>
      </w:divBdr>
    </w:div>
    <w:div w:id="1765418911">
      <w:marLeft w:val="640"/>
      <w:marRight w:val="0"/>
      <w:marTop w:val="0"/>
      <w:marBottom w:val="0"/>
      <w:divBdr>
        <w:top w:val="none" w:sz="0" w:space="0" w:color="auto"/>
        <w:left w:val="none" w:sz="0" w:space="0" w:color="auto"/>
        <w:bottom w:val="none" w:sz="0" w:space="0" w:color="auto"/>
        <w:right w:val="none" w:sz="0" w:space="0" w:color="auto"/>
      </w:divBdr>
    </w:div>
    <w:div w:id="1767187991">
      <w:marLeft w:val="640"/>
      <w:marRight w:val="0"/>
      <w:marTop w:val="0"/>
      <w:marBottom w:val="0"/>
      <w:divBdr>
        <w:top w:val="none" w:sz="0" w:space="0" w:color="auto"/>
        <w:left w:val="none" w:sz="0" w:space="0" w:color="auto"/>
        <w:bottom w:val="none" w:sz="0" w:space="0" w:color="auto"/>
        <w:right w:val="none" w:sz="0" w:space="0" w:color="auto"/>
      </w:divBdr>
    </w:div>
    <w:div w:id="1767381451">
      <w:marLeft w:val="640"/>
      <w:marRight w:val="0"/>
      <w:marTop w:val="0"/>
      <w:marBottom w:val="0"/>
      <w:divBdr>
        <w:top w:val="none" w:sz="0" w:space="0" w:color="auto"/>
        <w:left w:val="none" w:sz="0" w:space="0" w:color="auto"/>
        <w:bottom w:val="none" w:sz="0" w:space="0" w:color="auto"/>
        <w:right w:val="none" w:sz="0" w:space="0" w:color="auto"/>
      </w:divBdr>
    </w:div>
    <w:div w:id="1767461249">
      <w:marLeft w:val="640"/>
      <w:marRight w:val="0"/>
      <w:marTop w:val="0"/>
      <w:marBottom w:val="0"/>
      <w:divBdr>
        <w:top w:val="none" w:sz="0" w:space="0" w:color="auto"/>
        <w:left w:val="none" w:sz="0" w:space="0" w:color="auto"/>
        <w:bottom w:val="none" w:sz="0" w:space="0" w:color="auto"/>
        <w:right w:val="none" w:sz="0" w:space="0" w:color="auto"/>
      </w:divBdr>
    </w:div>
    <w:div w:id="1771469794">
      <w:marLeft w:val="640"/>
      <w:marRight w:val="0"/>
      <w:marTop w:val="0"/>
      <w:marBottom w:val="0"/>
      <w:divBdr>
        <w:top w:val="none" w:sz="0" w:space="0" w:color="auto"/>
        <w:left w:val="none" w:sz="0" w:space="0" w:color="auto"/>
        <w:bottom w:val="none" w:sz="0" w:space="0" w:color="auto"/>
        <w:right w:val="none" w:sz="0" w:space="0" w:color="auto"/>
      </w:divBdr>
    </w:div>
    <w:div w:id="1771505613">
      <w:marLeft w:val="640"/>
      <w:marRight w:val="0"/>
      <w:marTop w:val="0"/>
      <w:marBottom w:val="0"/>
      <w:divBdr>
        <w:top w:val="none" w:sz="0" w:space="0" w:color="auto"/>
        <w:left w:val="none" w:sz="0" w:space="0" w:color="auto"/>
        <w:bottom w:val="none" w:sz="0" w:space="0" w:color="auto"/>
        <w:right w:val="none" w:sz="0" w:space="0" w:color="auto"/>
      </w:divBdr>
    </w:div>
    <w:div w:id="1771729873">
      <w:marLeft w:val="640"/>
      <w:marRight w:val="0"/>
      <w:marTop w:val="0"/>
      <w:marBottom w:val="0"/>
      <w:divBdr>
        <w:top w:val="none" w:sz="0" w:space="0" w:color="auto"/>
        <w:left w:val="none" w:sz="0" w:space="0" w:color="auto"/>
        <w:bottom w:val="none" w:sz="0" w:space="0" w:color="auto"/>
        <w:right w:val="none" w:sz="0" w:space="0" w:color="auto"/>
      </w:divBdr>
    </w:div>
    <w:div w:id="1772047477">
      <w:marLeft w:val="640"/>
      <w:marRight w:val="0"/>
      <w:marTop w:val="0"/>
      <w:marBottom w:val="0"/>
      <w:divBdr>
        <w:top w:val="none" w:sz="0" w:space="0" w:color="auto"/>
        <w:left w:val="none" w:sz="0" w:space="0" w:color="auto"/>
        <w:bottom w:val="none" w:sz="0" w:space="0" w:color="auto"/>
        <w:right w:val="none" w:sz="0" w:space="0" w:color="auto"/>
      </w:divBdr>
    </w:div>
    <w:div w:id="1772430307">
      <w:marLeft w:val="640"/>
      <w:marRight w:val="0"/>
      <w:marTop w:val="0"/>
      <w:marBottom w:val="0"/>
      <w:divBdr>
        <w:top w:val="none" w:sz="0" w:space="0" w:color="auto"/>
        <w:left w:val="none" w:sz="0" w:space="0" w:color="auto"/>
        <w:bottom w:val="none" w:sz="0" w:space="0" w:color="auto"/>
        <w:right w:val="none" w:sz="0" w:space="0" w:color="auto"/>
      </w:divBdr>
    </w:div>
    <w:div w:id="1773087256">
      <w:marLeft w:val="640"/>
      <w:marRight w:val="0"/>
      <w:marTop w:val="0"/>
      <w:marBottom w:val="0"/>
      <w:divBdr>
        <w:top w:val="none" w:sz="0" w:space="0" w:color="auto"/>
        <w:left w:val="none" w:sz="0" w:space="0" w:color="auto"/>
        <w:bottom w:val="none" w:sz="0" w:space="0" w:color="auto"/>
        <w:right w:val="none" w:sz="0" w:space="0" w:color="auto"/>
      </w:divBdr>
    </w:div>
    <w:div w:id="1773091528">
      <w:marLeft w:val="640"/>
      <w:marRight w:val="0"/>
      <w:marTop w:val="0"/>
      <w:marBottom w:val="0"/>
      <w:divBdr>
        <w:top w:val="none" w:sz="0" w:space="0" w:color="auto"/>
        <w:left w:val="none" w:sz="0" w:space="0" w:color="auto"/>
        <w:bottom w:val="none" w:sz="0" w:space="0" w:color="auto"/>
        <w:right w:val="none" w:sz="0" w:space="0" w:color="auto"/>
      </w:divBdr>
    </w:div>
    <w:div w:id="1774127043">
      <w:marLeft w:val="640"/>
      <w:marRight w:val="0"/>
      <w:marTop w:val="0"/>
      <w:marBottom w:val="0"/>
      <w:divBdr>
        <w:top w:val="none" w:sz="0" w:space="0" w:color="auto"/>
        <w:left w:val="none" w:sz="0" w:space="0" w:color="auto"/>
        <w:bottom w:val="none" w:sz="0" w:space="0" w:color="auto"/>
        <w:right w:val="none" w:sz="0" w:space="0" w:color="auto"/>
      </w:divBdr>
    </w:div>
    <w:div w:id="1774856704">
      <w:marLeft w:val="640"/>
      <w:marRight w:val="0"/>
      <w:marTop w:val="0"/>
      <w:marBottom w:val="0"/>
      <w:divBdr>
        <w:top w:val="none" w:sz="0" w:space="0" w:color="auto"/>
        <w:left w:val="none" w:sz="0" w:space="0" w:color="auto"/>
        <w:bottom w:val="none" w:sz="0" w:space="0" w:color="auto"/>
        <w:right w:val="none" w:sz="0" w:space="0" w:color="auto"/>
      </w:divBdr>
    </w:div>
    <w:div w:id="1775049957">
      <w:marLeft w:val="640"/>
      <w:marRight w:val="0"/>
      <w:marTop w:val="0"/>
      <w:marBottom w:val="0"/>
      <w:divBdr>
        <w:top w:val="none" w:sz="0" w:space="0" w:color="auto"/>
        <w:left w:val="none" w:sz="0" w:space="0" w:color="auto"/>
        <w:bottom w:val="none" w:sz="0" w:space="0" w:color="auto"/>
        <w:right w:val="none" w:sz="0" w:space="0" w:color="auto"/>
      </w:divBdr>
    </w:div>
    <w:div w:id="1775587956">
      <w:marLeft w:val="640"/>
      <w:marRight w:val="0"/>
      <w:marTop w:val="0"/>
      <w:marBottom w:val="0"/>
      <w:divBdr>
        <w:top w:val="none" w:sz="0" w:space="0" w:color="auto"/>
        <w:left w:val="none" w:sz="0" w:space="0" w:color="auto"/>
        <w:bottom w:val="none" w:sz="0" w:space="0" w:color="auto"/>
        <w:right w:val="none" w:sz="0" w:space="0" w:color="auto"/>
      </w:divBdr>
    </w:div>
    <w:div w:id="1775977724">
      <w:marLeft w:val="640"/>
      <w:marRight w:val="0"/>
      <w:marTop w:val="0"/>
      <w:marBottom w:val="0"/>
      <w:divBdr>
        <w:top w:val="none" w:sz="0" w:space="0" w:color="auto"/>
        <w:left w:val="none" w:sz="0" w:space="0" w:color="auto"/>
        <w:bottom w:val="none" w:sz="0" w:space="0" w:color="auto"/>
        <w:right w:val="none" w:sz="0" w:space="0" w:color="auto"/>
      </w:divBdr>
    </w:div>
    <w:div w:id="1776248117">
      <w:marLeft w:val="640"/>
      <w:marRight w:val="0"/>
      <w:marTop w:val="0"/>
      <w:marBottom w:val="0"/>
      <w:divBdr>
        <w:top w:val="none" w:sz="0" w:space="0" w:color="auto"/>
        <w:left w:val="none" w:sz="0" w:space="0" w:color="auto"/>
        <w:bottom w:val="none" w:sz="0" w:space="0" w:color="auto"/>
        <w:right w:val="none" w:sz="0" w:space="0" w:color="auto"/>
      </w:divBdr>
    </w:div>
    <w:div w:id="1776902025">
      <w:marLeft w:val="640"/>
      <w:marRight w:val="0"/>
      <w:marTop w:val="0"/>
      <w:marBottom w:val="0"/>
      <w:divBdr>
        <w:top w:val="none" w:sz="0" w:space="0" w:color="auto"/>
        <w:left w:val="none" w:sz="0" w:space="0" w:color="auto"/>
        <w:bottom w:val="none" w:sz="0" w:space="0" w:color="auto"/>
        <w:right w:val="none" w:sz="0" w:space="0" w:color="auto"/>
      </w:divBdr>
    </w:div>
    <w:div w:id="1778284498">
      <w:marLeft w:val="640"/>
      <w:marRight w:val="0"/>
      <w:marTop w:val="0"/>
      <w:marBottom w:val="0"/>
      <w:divBdr>
        <w:top w:val="none" w:sz="0" w:space="0" w:color="auto"/>
        <w:left w:val="none" w:sz="0" w:space="0" w:color="auto"/>
        <w:bottom w:val="none" w:sz="0" w:space="0" w:color="auto"/>
        <w:right w:val="none" w:sz="0" w:space="0" w:color="auto"/>
      </w:divBdr>
    </w:div>
    <w:div w:id="1778328986">
      <w:marLeft w:val="640"/>
      <w:marRight w:val="0"/>
      <w:marTop w:val="0"/>
      <w:marBottom w:val="0"/>
      <w:divBdr>
        <w:top w:val="none" w:sz="0" w:space="0" w:color="auto"/>
        <w:left w:val="none" w:sz="0" w:space="0" w:color="auto"/>
        <w:bottom w:val="none" w:sz="0" w:space="0" w:color="auto"/>
        <w:right w:val="none" w:sz="0" w:space="0" w:color="auto"/>
      </w:divBdr>
    </w:div>
    <w:div w:id="1778407402">
      <w:marLeft w:val="640"/>
      <w:marRight w:val="0"/>
      <w:marTop w:val="0"/>
      <w:marBottom w:val="0"/>
      <w:divBdr>
        <w:top w:val="none" w:sz="0" w:space="0" w:color="auto"/>
        <w:left w:val="none" w:sz="0" w:space="0" w:color="auto"/>
        <w:bottom w:val="none" w:sz="0" w:space="0" w:color="auto"/>
        <w:right w:val="none" w:sz="0" w:space="0" w:color="auto"/>
      </w:divBdr>
    </w:div>
    <w:div w:id="1779907021">
      <w:marLeft w:val="640"/>
      <w:marRight w:val="0"/>
      <w:marTop w:val="0"/>
      <w:marBottom w:val="0"/>
      <w:divBdr>
        <w:top w:val="none" w:sz="0" w:space="0" w:color="auto"/>
        <w:left w:val="none" w:sz="0" w:space="0" w:color="auto"/>
        <w:bottom w:val="none" w:sz="0" w:space="0" w:color="auto"/>
        <w:right w:val="none" w:sz="0" w:space="0" w:color="auto"/>
      </w:divBdr>
    </w:div>
    <w:div w:id="1780249682">
      <w:marLeft w:val="640"/>
      <w:marRight w:val="0"/>
      <w:marTop w:val="0"/>
      <w:marBottom w:val="0"/>
      <w:divBdr>
        <w:top w:val="none" w:sz="0" w:space="0" w:color="auto"/>
        <w:left w:val="none" w:sz="0" w:space="0" w:color="auto"/>
        <w:bottom w:val="none" w:sz="0" w:space="0" w:color="auto"/>
        <w:right w:val="none" w:sz="0" w:space="0" w:color="auto"/>
      </w:divBdr>
    </w:div>
    <w:div w:id="1780291398">
      <w:marLeft w:val="640"/>
      <w:marRight w:val="0"/>
      <w:marTop w:val="0"/>
      <w:marBottom w:val="0"/>
      <w:divBdr>
        <w:top w:val="none" w:sz="0" w:space="0" w:color="auto"/>
        <w:left w:val="none" w:sz="0" w:space="0" w:color="auto"/>
        <w:bottom w:val="none" w:sz="0" w:space="0" w:color="auto"/>
        <w:right w:val="none" w:sz="0" w:space="0" w:color="auto"/>
      </w:divBdr>
    </w:div>
    <w:div w:id="1781103828">
      <w:marLeft w:val="640"/>
      <w:marRight w:val="0"/>
      <w:marTop w:val="0"/>
      <w:marBottom w:val="0"/>
      <w:divBdr>
        <w:top w:val="none" w:sz="0" w:space="0" w:color="auto"/>
        <w:left w:val="none" w:sz="0" w:space="0" w:color="auto"/>
        <w:bottom w:val="none" w:sz="0" w:space="0" w:color="auto"/>
        <w:right w:val="none" w:sz="0" w:space="0" w:color="auto"/>
      </w:divBdr>
    </w:div>
    <w:div w:id="1781873353">
      <w:marLeft w:val="640"/>
      <w:marRight w:val="0"/>
      <w:marTop w:val="0"/>
      <w:marBottom w:val="0"/>
      <w:divBdr>
        <w:top w:val="none" w:sz="0" w:space="0" w:color="auto"/>
        <w:left w:val="none" w:sz="0" w:space="0" w:color="auto"/>
        <w:bottom w:val="none" w:sz="0" w:space="0" w:color="auto"/>
        <w:right w:val="none" w:sz="0" w:space="0" w:color="auto"/>
      </w:divBdr>
    </w:div>
    <w:div w:id="1782069203">
      <w:marLeft w:val="640"/>
      <w:marRight w:val="0"/>
      <w:marTop w:val="0"/>
      <w:marBottom w:val="0"/>
      <w:divBdr>
        <w:top w:val="none" w:sz="0" w:space="0" w:color="auto"/>
        <w:left w:val="none" w:sz="0" w:space="0" w:color="auto"/>
        <w:bottom w:val="none" w:sz="0" w:space="0" w:color="auto"/>
        <w:right w:val="none" w:sz="0" w:space="0" w:color="auto"/>
      </w:divBdr>
    </w:div>
    <w:div w:id="1782456576">
      <w:marLeft w:val="640"/>
      <w:marRight w:val="0"/>
      <w:marTop w:val="0"/>
      <w:marBottom w:val="0"/>
      <w:divBdr>
        <w:top w:val="none" w:sz="0" w:space="0" w:color="auto"/>
        <w:left w:val="none" w:sz="0" w:space="0" w:color="auto"/>
        <w:bottom w:val="none" w:sz="0" w:space="0" w:color="auto"/>
        <w:right w:val="none" w:sz="0" w:space="0" w:color="auto"/>
      </w:divBdr>
    </w:div>
    <w:div w:id="1782845650">
      <w:marLeft w:val="640"/>
      <w:marRight w:val="0"/>
      <w:marTop w:val="0"/>
      <w:marBottom w:val="0"/>
      <w:divBdr>
        <w:top w:val="none" w:sz="0" w:space="0" w:color="auto"/>
        <w:left w:val="none" w:sz="0" w:space="0" w:color="auto"/>
        <w:bottom w:val="none" w:sz="0" w:space="0" w:color="auto"/>
        <w:right w:val="none" w:sz="0" w:space="0" w:color="auto"/>
      </w:divBdr>
    </w:div>
    <w:div w:id="1783302033">
      <w:marLeft w:val="640"/>
      <w:marRight w:val="0"/>
      <w:marTop w:val="0"/>
      <w:marBottom w:val="0"/>
      <w:divBdr>
        <w:top w:val="none" w:sz="0" w:space="0" w:color="auto"/>
        <w:left w:val="none" w:sz="0" w:space="0" w:color="auto"/>
        <w:bottom w:val="none" w:sz="0" w:space="0" w:color="auto"/>
        <w:right w:val="none" w:sz="0" w:space="0" w:color="auto"/>
      </w:divBdr>
    </w:div>
    <w:div w:id="1783723506">
      <w:marLeft w:val="640"/>
      <w:marRight w:val="0"/>
      <w:marTop w:val="0"/>
      <w:marBottom w:val="0"/>
      <w:divBdr>
        <w:top w:val="none" w:sz="0" w:space="0" w:color="auto"/>
        <w:left w:val="none" w:sz="0" w:space="0" w:color="auto"/>
        <w:bottom w:val="none" w:sz="0" w:space="0" w:color="auto"/>
        <w:right w:val="none" w:sz="0" w:space="0" w:color="auto"/>
      </w:divBdr>
    </w:div>
    <w:div w:id="1784030444">
      <w:marLeft w:val="640"/>
      <w:marRight w:val="0"/>
      <w:marTop w:val="0"/>
      <w:marBottom w:val="0"/>
      <w:divBdr>
        <w:top w:val="none" w:sz="0" w:space="0" w:color="auto"/>
        <w:left w:val="none" w:sz="0" w:space="0" w:color="auto"/>
        <w:bottom w:val="none" w:sz="0" w:space="0" w:color="auto"/>
        <w:right w:val="none" w:sz="0" w:space="0" w:color="auto"/>
      </w:divBdr>
    </w:div>
    <w:div w:id="1784767558">
      <w:marLeft w:val="640"/>
      <w:marRight w:val="0"/>
      <w:marTop w:val="0"/>
      <w:marBottom w:val="0"/>
      <w:divBdr>
        <w:top w:val="none" w:sz="0" w:space="0" w:color="auto"/>
        <w:left w:val="none" w:sz="0" w:space="0" w:color="auto"/>
        <w:bottom w:val="none" w:sz="0" w:space="0" w:color="auto"/>
        <w:right w:val="none" w:sz="0" w:space="0" w:color="auto"/>
      </w:divBdr>
    </w:div>
    <w:div w:id="1784957570">
      <w:marLeft w:val="640"/>
      <w:marRight w:val="0"/>
      <w:marTop w:val="0"/>
      <w:marBottom w:val="0"/>
      <w:divBdr>
        <w:top w:val="none" w:sz="0" w:space="0" w:color="auto"/>
        <w:left w:val="none" w:sz="0" w:space="0" w:color="auto"/>
        <w:bottom w:val="none" w:sz="0" w:space="0" w:color="auto"/>
        <w:right w:val="none" w:sz="0" w:space="0" w:color="auto"/>
      </w:divBdr>
    </w:div>
    <w:div w:id="1785223989">
      <w:marLeft w:val="640"/>
      <w:marRight w:val="0"/>
      <w:marTop w:val="0"/>
      <w:marBottom w:val="0"/>
      <w:divBdr>
        <w:top w:val="none" w:sz="0" w:space="0" w:color="auto"/>
        <w:left w:val="none" w:sz="0" w:space="0" w:color="auto"/>
        <w:bottom w:val="none" w:sz="0" w:space="0" w:color="auto"/>
        <w:right w:val="none" w:sz="0" w:space="0" w:color="auto"/>
      </w:divBdr>
    </w:div>
    <w:div w:id="1785684085">
      <w:marLeft w:val="640"/>
      <w:marRight w:val="0"/>
      <w:marTop w:val="0"/>
      <w:marBottom w:val="0"/>
      <w:divBdr>
        <w:top w:val="none" w:sz="0" w:space="0" w:color="auto"/>
        <w:left w:val="none" w:sz="0" w:space="0" w:color="auto"/>
        <w:bottom w:val="none" w:sz="0" w:space="0" w:color="auto"/>
        <w:right w:val="none" w:sz="0" w:space="0" w:color="auto"/>
      </w:divBdr>
    </w:div>
    <w:div w:id="1785882079">
      <w:marLeft w:val="640"/>
      <w:marRight w:val="0"/>
      <w:marTop w:val="0"/>
      <w:marBottom w:val="0"/>
      <w:divBdr>
        <w:top w:val="none" w:sz="0" w:space="0" w:color="auto"/>
        <w:left w:val="none" w:sz="0" w:space="0" w:color="auto"/>
        <w:bottom w:val="none" w:sz="0" w:space="0" w:color="auto"/>
        <w:right w:val="none" w:sz="0" w:space="0" w:color="auto"/>
      </w:divBdr>
    </w:div>
    <w:div w:id="1785926995">
      <w:marLeft w:val="640"/>
      <w:marRight w:val="0"/>
      <w:marTop w:val="0"/>
      <w:marBottom w:val="0"/>
      <w:divBdr>
        <w:top w:val="none" w:sz="0" w:space="0" w:color="auto"/>
        <w:left w:val="none" w:sz="0" w:space="0" w:color="auto"/>
        <w:bottom w:val="none" w:sz="0" w:space="0" w:color="auto"/>
        <w:right w:val="none" w:sz="0" w:space="0" w:color="auto"/>
      </w:divBdr>
    </w:div>
    <w:div w:id="1786846291">
      <w:marLeft w:val="640"/>
      <w:marRight w:val="0"/>
      <w:marTop w:val="0"/>
      <w:marBottom w:val="0"/>
      <w:divBdr>
        <w:top w:val="none" w:sz="0" w:space="0" w:color="auto"/>
        <w:left w:val="none" w:sz="0" w:space="0" w:color="auto"/>
        <w:bottom w:val="none" w:sz="0" w:space="0" w:color="auto"/>
        <w:right w:val="none" w:sz="0" w:space="0" w:color="auto"/>
      </w:divBdr>
    </w:div>
    <w:div w:id="1788351605">
      <w:marLeft w:val="640"/>
      <w:marRight w:val="0"/>
      <w:marTop w:val="0"/>
      <w:marBottom w:val="0"/>
      <w:divBdr>
        <w:top w:val="none" w:sz="0" w:space="0" w:color="auto"/>
        <w:left w:val="none" w:sz="0" w:space="0" w:color="auto"/>
        <w:bottom w:val="none" w:sz="0" w:space="0" w:color="auto"/>
        <w:right w:val="none" w:sz="0" w:space="0" w:color="auto"/>
      </w:divBdr>
    </w:div>
    <w:div w:id="1788886621">
      <w:marLeft w:val="640"/>
      <w:marRight w:val="0"/>
      <w:marTop w:val="0"/>
      <w:marBottom w:val="0"/>
      <w:divBdr>
        <w:top w:val="none" w:sz="0" w:space="0" w:color="auto"/>
        <w:left w:val="none" w:sz="0" w:space="0" w:color="auto"/>
        <w:bottom w:val="none" w:sz="0" w:space="0" w:color="auto"/>
        <w:right w:val="none" w:sz="0" w:space="0" w:color="auto"/>
      </w:divBdr>
    </w:div>
    <w:div w:id="1788967463">
      <w:marLeft w:val="640"/>
      <w:marRight w:val="0"/>
      <w:marTop w:val="0"/>
      <w:marBottom w:val="0"/>
      <w:divBdr>
        <w:top w:val="none" w:sz="0" w:space="0" w:color="auto"/>
        <w:left w:val="none" w:sz="0" w:space="0" w:color="auto"/>
        <w:bottom w:val="none" w:sz="0" w:space="0" w:color="auto"/>
        <w:right w:val="none" w:sz="0" w:space="0" w:color="auto"/>
      </w:divBdr>
    </w:div>
    <w:div w:id="1790659071">
      <w:marLeft w:val="640"/>
      <w:marRight w:val="0"/>
      <w:marTop w:val="0"/>
      <w:marBottom w:val="0"/>
      <w:divBdr>
        <w:top w:val="none" w:sz="0" w:space="0" w:color="auto"/>
        <w:left w:val="none" w:sz="0" w:space="0" w:color="auto"/>
        <w:bottom w:val="none" w:sz="0" w:space="0" w:color="auto"/>
        <w:right w:val="none" w:sz="0" w:space="0" w:color="auto"/>
      </w:divBdr>
    </w:div>
    <w:div w:id="1790665803">
      <w:marLeft w:val="640"/>
      <w:marRight w:val="0"/>
      <w:marTop w:val="0"/>
      <w:marBottom w:val="0"/>
      <w:divBdr>
        <w:top w:val="none" w:sz="0" w:space="0" w:color="auto"/>
        <w:left w:val="none" w:sz="0" w:space="0" w:color="auto"/>
        <w:bottom w:val="none" w:sz="0" w:space="0" w:color="auto"/>
        <w:right w:val="none" w:sz="0" w:space="0" w:color="auto"/>
      </w:divBdr>
    </w:div>
    <w:div w:id="1791321980">
      <w:marLeft w:val="640"/>
      <w:marRight w:val="0"/>
      <w:marTop w:val="0"/>
      <w:marBottom w:val="0"/>
      <w:divBdr>
        <w:top w:val="none" w:sz="0" w:space="0" w:color="auto"/>
        <w:left w:val="none" w:sz="0" w:space="0" w:color="auto"/>
        <w:bottom w:val="none" w:sz="0" w:space="0" w:color="auto"/>
        <w:right w:val="none" w:sz="0" w:space="0" w:color="auto"/>
      </w:divBdr>
    </w:div>
    <w:div w:id="1791362778">
      <w:marLeft w:val="640"/>
      <w:marRight w:val="0"/>
      <w:marTop w:val="0"/>
      <w:marBottom w:val="0"/>
      <w:divBdr>
        <w:top w:val="none" w:sz="0" w:space="0" w:color="auto"/>
        <w:left w:val="none" w:sz="0" w:space="0" w:color="auto"/>
        <w:bottom w:val="none" w:sz="0" w:space="0" w:color="auto"/>
        <w:right w:val="none" w:sz="0" w:space="0" w:color="auto"/>
      </w:divBdr>
    </w:div>
    <w:div w:id="1792361964">
      <w:marLeft w:val="640"/>
      <w:marRight w:val="0"/>
      <w:marTop w:val="0"/>
      <w:marBottom w:val="0"/>
      <w:divBdr>
        <w:top w:val="none" w:sz="0" w:space="0" w:color="auto"/>
        <w:left w:val="none" w:sz="0" w:space="0" w:color="auto"/>
        <w:bottom w:val="none" w:sz="0" w:space="0" w:color="auto"/>
        <w:right w:val="none" w:sz="0" w:space="0" w:color="auto"/>
      </w:divBdr>
    </w:div>
    <w:div w:id="1795563692">
      <w:marLeft w:val="640"/>
      <w:marRight w:val="0"/>
      <w:marTop w:val="0"/>
      <w:marBottom w:val="0"/>
      <w:divBdr>
        <w:top w:val="none" w:sz="0" w:space="0" w:color="auto"/>
        <w:left w:val="none" w:sz="0" w:space="0" w:color="auto"/>
        <w:bottom w:val="none" w:sz="0" w:space="0" w:color="auto"/>
        <w:right w:val="none" w:sz="0" w:space="0" w:color="auto"/>
      </w:divBdr>
    </w:div>
    <w:div w:id="1798137211">
      <w:marLeft w:val="640"/>
      <w:marRight w:val="0"/>
      <w:marTop w:val="0"/>
      <w:marBottom w:val="0"/>
      <w:divBdr>
        <w:top w:val="none" w:sz="0" w:space="0" w:color="auto"/>
        <w:left w:val="none" w:sz="0" w:space="0" w:color="auto"/>
        <w:bottom w:val="none" w:sz="0" w:space="0" w:color="auto"/>
        <w:right w:val="none" w:sz="0" w:space="0" w:color="auto"/>
      </w:divBdr>
    </w:div>
    <w:div w:id="1798570576">
      <w:marLeft w:val="640"/>
      <w:marRight w:val="0"/>
      <w:marTop w:val="0"/>
      <w:marBottom w:val="0"/>
      <w:divBdr>
        <w:top w:val="none" w:sz="0" w:space="0" w:color="auto"/>
        <w:left w:val="none" w:sz="0" w:space="0" w:color="auto"/>
        <w:bottom w:val="none" w:sz="0" w:space="0" w:color="auto"/>
        <w:right w:val="none" w:sz="0" w:space="0" w:color="auto"/>
      </w:divBdr>
    </w:div>
    <w:div w:id="1800222700">
      <w:marLeft w:val="640"/>
      <w:marRight w:val="0"/>
      <w:marTop w:val="0"/>
      <w:marBottom w:val="0"/>
      <w:divBdr>
        <w:top w:val="none" w:sz="0" w:space="0" w:color="auto"/>
        <w:left w:val="none" w:sz="0" w:space="0" w:color="auto"/>
        <w:bottom w:val="none" w:sz="0" w:space="0" w:color="auto"/>
        <w:right w:val="none" w:sz="0" w:space="0" w:color="auto"/>
      </w:divBdr>
    </w:div>
    <w:div w:id="1800371586">
      <w:marLeft w:val="640"/>
      <w:marRight w:val="0"/>
      <w:marTop w:val="0"/>
      <w:marBottom w:val="0"/>
      <w:divBdr>
        <w:top w:val="none" w:sz="0" w:space="0" w:color="auto"/>
        <w:left w:val="none" w:sz="0" w:space="0" w:color="auto"/>
        <w:bottom w:val="none" w:sz="0" w:space="0" w:color="auto"/>
        <w:right w:val="none" w:sz="0" w:space="0" w:color="auto"/>
      </w:divBdr>
    </w:div>
    <w:div w:id="1800802169">
      <w:marLeft w:val="640"/>
      <w:marRight w:val="0"/>
      <w:marTop w:val="0"/>
      <w:marBottom w:val="0"/>
      <w:divBdr>
        <w:top w:val="none" w:sz="0" w:space="0" w:color="auto"/>
        <w:left w:val="none" w:sz="0" w:space="0" w:color="auto"/>
        <w:bottom w:val="none" w:sz="0" w:space="0" w:color="auto"/>
        <w:right w:val="none" w:sz="0" w:space="0" w:color="auto"/>
      </w:divBdr>
    </w:div>
    <w:div w:id="1800957360">
      <w:marLeft w:val="640"/>
      <w:marRight w:val="0"/>
      <w:marTop w:val="0"/>
      <w:marBottom w:val="0"/>
      <w:divBdr>
        <w:top w:val="none" w:sz="0" w:space="0" w:color="auto"/>
        <w:left w:val="none" w:sz="0" w:space="0" w:color="auto"/>
        <w:bottom w:val="none" w:sz="0" w:space="0" w:color="auto"/>
        <w:right w:val="none" w:sz="0" w:space="0" w:color="auto"/>
      </w:divBdr>
    </w:div>
    <w:div w:id="1801027520">
      <w:marLeft w:val="640"/>
      <w:marRight w:val="0"/>
      <w:marTop w:val="0"/>
      <w:marBottom w:val="0"/>
      <w:divBdr>
        <w:top w:val="none" w:sz="0" w:space="0" w:color="auto"/>
        <w:left w:val="none" w:sz="0" w:space="0" w:color="auto"/>
        <w:bottom w:val="none" w:sz="0" w:space="0" w:color="auto"/>
        <w:right w:val="none" w:sz="0" w:space="0" w:color="auto"/>
      </w:divBdr>
    </w:div>
    <w:div w:id="1801148679">
      <w:marLeft w:val="640"/>
      <w:marRight w:val="0"/>
      <w:marTop w:val="0"/>
      <w:marBottom w:val="0"/>
      <w:divBdr>
        <w:top w:val="none" w:sz="0" w:space="0" w:color="auto"/>
        <w:left w:val="none" w:sz="0" w:space="0" w:color="auto"/>
        <w:bottom w:val="none" w:sz="0" w:space="0" w:color="auto"/>
        <w:right w:val="none" w:sz="0" w:space="0" w:color="auto"/>
      </w:divBdr>
    </w:div>
    <w:div w:id="1802190508">
      <w:marLeft w:val="640"/>
      <w:marRight w:val="0"/>
      <w:marTop w:val="0"/>
      <w:marBottom w:val="0"/>
      <w:divBdr>
        <w:top w:val="none" w:sz="0" w:space="0" w:color="auto"/>
        <w:left w:val="none" w:sz="0" w:space="0" w:color="auto"/>
        <w:bottom w:val="none" w:sz="0" w:space="0" w:color="auto"/>
        <w:right w:val="none" w:sz="0" w:space="0" w:color="auto"/>
      </w:divBdr>
    </w:div>
    <w:div w:id="1802991802">
      <w:marLeft w:val="640"/>
      <w:marRight w:val="0"/>
      <w:marTop w:val="0"/>
      <w:marBottom w:val="0"/>
      <w:divBdr>
        <w:top w:val="none" w:sz="0" w:space="0" w:color="auto"/>
        <w:left w:val="none" w:sz="0" w:space="0" w:color="auto"/>
        <w:bottom w:val="none" w:sz="0" w:space="0" w:color="auto"/>
        <w:right w:val="none" w:sz="0" w:space="0" w:color="auto"/>
      </w:divBdr>
    </w:div>
    <w:div w:id="1803187984">
      <w:marLeft w:val="640"/>
      <w:marRight w:val="0"/>
      <w:marTop w:val="0"/>
      <w:marBottom w:val="0"/>
      <w:divBdr>
        <w:top w:val="none" w:sz="0" w:space="0" w:color="auto"/>
        <w:left w:val="none" w:sz="0" w:space="0" w:color="auto"/>
        <w:bottom w:val="none" w:sz="0" w:space="0" w:color="auto"/>
        <w:right w:val="none" w:sz="0" w:space="0" w:color="auto"/>
      </w:divBdr>
    </w:div>
    <w:div w:id="1804738798">
      <w:marLeft w:val="640"/>
      <w:marRight w:val="0"/>
      <w:marTop w:val="0"/>
      <w:marBottom w:val="0"/>
      <w:divBdr>
        <w:top w:val="none" w:sz="0" w:space="0" w:color="auto"/>
        <w:left w:val="none" w:sz="0" w:space="0" w:color="auto"/>
        <w:bottom w:val="none" w:sz="0" w:space="0" w:color="auto"/>
        <w:right w:val="none" w:sz="0" w:space="0" w:color="auto"/>
      </w:divBdr>
    </w:div>
    <w:div w:id="1805536292">
      <w:marLeft w:val="640"/>
      <w:marRight w:val="0"/>
      <w:marTop w:val="0"/>
      <w:marBottom w:val="0"/>
      <w:divBdr>
        <w:top w:val="none" w:sz="0" w:space="0" w:color="auto"/>
        <w:left w:val="none" w:sz="0" w:space="0" w:color="auto"/>
        <w:bottom w:val="none" w:sz="0" w:space="0" w:color="auto"/>
        <w:right w:val="none" w:sz="0" w:space="0" w:color="auto"/>
      </w:divBdr>
    </w:div>
    <w:div w:id="1806775775">
      <w:marLeft w:val="640"/>
      <w:marRight w:val="0"/>
      <w:marTop w:val="0"/>
      <w:marBottom w:val="0"/>
      <w:divBdr>
        <w:top w:val="none" w:sz="0" w:space="0" w:color="auto"/>
        <w:left w:val="none" w:sz="0" w:space="0" w:color="auto"/>
        <w:bottom w:val="none" w:sz="0" w:space="0" w:color="auto"/>
        <w:right w:val="none" w:sz="0" w:space="0" w:color="auto"/>
      </w:divBdr>
    </w:div>
    <w:div w:id="1807042178">
      <w:marLeft w:val="640"/>
      <w:marRight w:val="0"/>
      <w:marTop w:val="0"/>
      <w:marBottom w:val="0"/>
      <w:divBdr>
        <w:top w:val="none" w:sz="0" w:space="0" w:color="auto"/>
        <w:left w:val="none" w:sz="0" w:space="0" w:color="auto"/>
        <w:bottom w:val="none" w:sz="0" w:space="0" w:color="auto"/>
        <w:right w:val="none" w:sz="0" w:space="0" w:color="auto"/>
      </w:divBdr>
    </w:div>
    <w:div w:id="1807163923">
      <w:marLeft w:val="640"/>
      <w:marRight w:val="0"/>
      <w:marTop w:val="0"/>
      <w:marBottom w:val="0"/>
      <w:divBdr>
        <w:top w:val="none" w:sz="0" w:space="0" w:color="auto"/>
        <w:left w:val="none" w:sz="0" w:space="0" w:color="auto"/>
        <w:bottom w:val="none" w:sz="0" w:space="0" w:color="auto"/>
        <w:right w:val="none" w:sz="0" w:space="0" w:color="auto"/>
      </w:divBdr>
    </w:div>
    <w:div w:id="1807771643">
      <w:marLeft w:val="640"/>
      <w:marRight w:val="0"/>
      <w:marTop w:val="0"/>
      <w:marBottom w:val="0"/>
      <w:divBdr>
        <w:top w:val="none" w:sz="0" w:space="0" w:color="auto"/>
        <w:left w:val="none" w:sz="0" w:space="0" w:color="auto"/>
        <w:bottom w:val="none" w:sz="0" w:space="0" w:color="auto"/>
        <w:right w:val="none" w:sz="0" w:space="0" w:color="auto"/>
      </w:divBdr>
    </w:div>
    <w:div w:id="1807774057">
      <w:marLeft w:val="640"/>
      <w:marRight w:val="0"/>
      <w:marTop w:val="0"/>
      <w:marBottom w:val="0"/>
      <w:divBdr>
        <w:top w:val="none" w:sz="0" w:space="0" w:color="auto"/>
        <w:left w:val="none" w:sz="0" w:space="0" w:color="auto"/>
        <w:bottom w:val="none" w:sz="0" w:space="0" w:color="auto"/>
        <w:right w:val="none" w:sz="0" w:space="0" w:color="auto"/>
      </w:divBdr>
    </w:div>
    <w:div w:id="1807966898">
      <w:marLeft w:val="640"/>
      <w:marRight w:val="0"/>
      <w:marTop w:val="0"/>
      <w:marBottom w:val="0"/>
      <w:divBdr>
        <w:top w:val="none" w:sz="0" w:space="0" w:color="auto"/>
        <w:left w:val="none" w:sz="0" w:space="0" w:color="auto"/>
        <w:bottom w:val="none" w:sz="0" w:space="0" w:color="auto"/>
        <w:right w:val="none" w:sz="0" w:space="0" w:color="auto"/>
      </w:divBdr>
    </w:div>
    <w:div w:id="1807971644">
      <w:marLeft w:val="640"/>
      <w:marRight w:val="0"/>
      <w:marTop w:val="0"/>
      <w:marBottom w:val="0"/>
      <w:divBdr>
        <w:top w:val="none" w:sz="0" w:space="0" w:color="auto"/>
        <w:left w:val="none" w:sz="0" w:space="0" w:color="auto"/>
        <w:bottom w:val="none" w:sz="0" w:space="0" w:color="auto"/>
        <w:right w:val="none" w:sz="0" w:space="0" w:color="auto"/>
      </w:divBdr>
    </w:div>
    <w:div w:id="1808621282">
      <w:marLeft w:val="640"/>
      <w:marRight w:val="0"/>
      <w:marTop w:val="0"/>
      <w:marBottom w:val="0"/>
      <w:divBdr>
        <w:top w:val="none" w:sz="0" w:space="0" w:color="auto"/>
        <w:left w:val="none" w:sz="0" w:space="0" w:color="auto"/>
        <w:bottom w:val="none" w:sz="0" w:space="0" w:color="auto"/>
        <w:right w:val="none" w:sz="0" w:space="0" w:color="auto"/>
      </w:divBdr>
    </w:div>
    <w:div w:id="1808739606">
      <w:marLeft w:val="640"/>
      <w:marRight w:val="0"/>
      <w:marTop w:val="0"/>
      <w:marBottom w:val="0"/>
      <w:divBdr>
        <w:top w:val="none" w:sz="0" w:space="0" w:color="auto"/>
        <w:left w:val="none" w:sz="0" w:space="0" w:color="auto"/>
        <w:bottom w:val="none" w:sz="0" w:space="0" w:color="auto"/>
        <w:right w:val="none" w:sz="0" w:space="0" w:color="auto"/>
      </w:divBdr>
    </w:div>
    <w:div w:id="1810711683">
      <w:marLeft w:val="640"/>
      <w:marRight w:val="0"/>
      <w:marTop w:val="0"/>
      <w:marBottom w:val="0"/>
      <w:divBdr>
        <w:top w:val="none" w:sz="0" w:space="0" w:color="auto"/>
        <w:left w:val="none" w:sz="0" w:space="0" w:color="auto"/>
        <w:bottom w:val="none" w:sz="0" w:space="0" w:color="auto"/>
        <w:right w:val="none" w:sz="0" w:space="0" w:color="auto"/>
      </w:divBdr>
    </w:div>
    <w:div w:id="1813056613">
      <w:marLeft w:val="640"/>
      <w:marRight w:val="0"/>
      <w:marTop w:val="0"/>
      <w:marBottom w:val="0"/>
      <w:divBdr>
        <w:top w:val="none" w:sz="0" w:space="0" w:color="auto"/>
        <w:left w:val="none" w:sz="0" w:space="0" w:color="auto"/>
        <w:bottom w:val="none" w:sz="0" w:space="0" w:color="auto"/>
        <w:right w:val="none" w:sz="0" w:space="0" w:color="auto"/>
      </w:divBdr>
    </w:div>
    <w:div w:id="1813059406">
      <w:marLeft w:val="640"/>
      <w:marRight w:val="0"/>
      <w:marTop w:val="0"/>
      <w:marBottom w:val="0"/>
      <w:divBdr>
        <w:top w:val="none" w:sz="0" w:space="0" w:color="auto"/>
        <w:left w:val="none" w:sz="0" w:space="0" w:color="auto"/>
        <w:bottom w:val="none" w:sz="0" w:space="0" w:color="auto"/>
        <w:right w:val="none" w:sz="0" w:space="0" w:color="auto"/>
      </w:divBdr>
    </w:div>
    <w:div w:id="1813404712">
      <w:marLeft w:val="640"/>
      <w:marRight w:val="0"/>
      <w:marTop w:val="0"/>
      <w:marBottom w:val="0"/>
      <w:divBdr>
        <w:top w:val="none" w:sz="0" w:space="0" w:color="auto"/>
        <w:left w:val="none" w:sz="0" w:space="0" w:color="auto"/>
        <w:bottom w:val="none" w:sz="0" w:space="0" w:color="auto"/>
        <w:right w:val="none" w:sz="0" w:space="0" w:color="auto"/>
      </w:divBdr>
    </w:div>
    <w:div w:id="1813447364">
      <w:marLeft w:val="640"/>
      <w:marRight w:val="0"/>
      <w:marTop w:val="0"/>
      <w:marBottom w:val="0"/>
      <w:divBdr>
        <w:top w:val="none" w:sz="0" w:space="0" w:color="auto"/>
        <w:left w:val="none" w:sz="0" w:space="0" w:color="auto"/>
        <w:bottom w:val="none" w:sz="0" w:space="0" w:color="auto"/>
        <w:right w:val="none" w:sz="0" w:space="0" w:color="auto"/>
      </w:divBdr>
    </w:div>
    <w:div w:id="1813909680">
      <w:marLeft w:val="640"/>
      <w:marRight w:val="0"/>
      <w:marTop w:val="0"/>
      <w:marBottom w:val="0"/>
      <w:divBdr>
        <w:top w:val="none" w:sz="0" w:space="0" w:color="auto"/>
        <w:left w:val="none" w:sz="0" w:space="0" w:color="auto"/>
        <w:bottom w:val="none" w:sz="0" w:space="0" w:color="auto"/>
        <w:right w:val="none" w:sz="0" w:space="0" w:color="auto"/>
      </w:divBdr>
    </w:div>
    <w:div w:id="1814104349">
      <w:marLeft w:val="640"/>
      <w:marRight w:val="0"/>
      <w:marTop w:val="0"/>
      <w:marBottom w:val="0"/>
      <w:divBdr>
        <w:top w:val="none" w:sz="0" w:space="0" w:color="auto"/>
        <w:left w:val="none" w:sz="0" w:space="0" w:color="auto"/>
        <w:bottom w:val="none" w:sz="0" w:space="0" w:color="auto"/>
        <w:right w:val="none" w:sz="0" w:space="0" w:color="auto"/>
      </w:divBdr>
    </w:div>
    <w:div w:id="1814175257">
      <w:marLeft w:val="640"/>
      <w:marRight w:val="0"/>
      <w:marTop w:val="0"/>
      <w:marBottom w:val="0"/>
      <w:divBdr>
        <w:top w:val="none" w:sz="0" w:space="0" w:color="auto"/>
        <w:left w:val="none" w:sz="0" w:space="0" w:color="auto"/>
        <w:bottom w:val="none" w:sz="0" w:space="0" w:color="auto"/>
        <w:right w:val="none" w:sz="0" w:space="0" w:color="auto"/>
      </w:divBdr>
    </w:div>
    <w:div w:id="1814254993">
      <w:marLeft w:val="640"/>
      <w:marRight w:val="0"/>
      <w:marTop w:val="0"/>
      <w:marBottom w:val="0"/>
      <w:divBdr>
        <w:top w:val="none" w:sz="0" w:space="0" w:color="auto"/>
        <w:left w:val="none" w:sz="0" w:space="0" w:color="auto"/>
        <w:bottom w:val="none" w:sz="0" w:space="0" w:color="auto"/>
        <w:right w:val="none" w:sz="0" w:space="0" w:color="auto"/>
      </w:divBdr>
    </w:div>
    <w:div w:id="1814636162">
      <w:marLeft w:val="640"/>
      <w:marRight w:val="0"/>
      <w:marTop w:val="0"/>
      <w:marBottom w:val="0"/>
      <w:divBdr>
        <w:top w:val="none" w:sz="0" w:space="0" w:color="auto"/>
        <w:left w:val="none" w:sz="0" w:space="0" w:color="auto"/>
        <w:bottom w:val="none" w:sz="0" w:space="0" w:color="auto"/>
        <w:right w:val="none" w:sz="0" w:space="0" w:color="auto"/>
      </w:divBdr>
    </w:div>
    <w:div w:id="1814757598">
      <w:marLeft w:val="640"/>
      <w:marRight w:val="0"/>
      <w:marTop w:val="0"/>
      <w:marBottom w:val="0"/>
      <w:divBdr>
        <w:top w:val="none" w:sz="0" w:space="0" w:color="auto"/>
        <w:left w:val="none" w:sz="0" w:space="0" w:color="auto"/>
        <w:bottom w:val="none" w:sz="0" w:space="0" w:color="auto"/>
        <w:right w:val="none" w:sz="0" w:space="0" w:color="auto"/>
      </w:divBdr>
    </w:div>
    <w:div w:id="1815829995">
      <w:marLeft w:val="640"/>
      <w:marRight w:val="0"/>
      <w:marTop w:val="0"/>
      <w:marBottom w:val="0"/>
      <w:divBdr>
        <w:top w:val="none" w:sz="0" w:space="0" w:color="auto"/>
        <w:left w:val="none" w:sz="0" w:space="0" w:color="auto"/>
        <w:bottom w:val="none" w:sz="0" w:space="0" w:color="auto"/>
        <w:right w:val="none" w:sz="0" w:space="0" w:color="auto"/>
      </w:divBdr>
    </w:div>
    <w:div w:id="1815946789">
      <w:marLeft w:val="640"/>
      <w:marRight w:val="0"/>
      <w:marTop w:val="0"/>
      <w:marBottom w:val="0"/>
      <w:divBdr>
        <w:top w:val="none" w:sz="0" w:space="0" w:color="auto"/>
        <w:left w:val="none" w:sz="0" w:space="0" w:color="auto"/>
        <w:bottom w:val="none" w:sz="0" w:space="0" w:color="auto"/>
        <w:right w:val="none" w:sz="0" w:space="0" w:color="auto"/>
      </w:divBdr>
    </w:div>
    <w:div w:id="1815949521">
      <w:marLeft w:val="640"/>
      <w:marRight w:val="0"/>
      <w:marTop w:val="0"/>
      <w:marBottom w:val="0"/>
      <w:divBdr>
        <w:top w:val="none" w:sz="0" w:space="0" w:color="auto"/>
        <w:left w:val="none" w:sz="0" w:space="0" w:color="auto"/>
        <w:bottom w:val="none" w:sz="0" w:space="0" w:color="auto"/>
        <w:right w:val="none" w:sz="0" w:space="0" w:color="auto"/>
      </w:divBdr>
    </w:div>
    <w:div w:id="1820072286">
      <w:marLeft w:val="640"/>
      <w:marRight w:val="0"/>
      <w:marTop w:val="0"/>
      <w:marBottom w:val="0"/>
      <w:divBdr>
        <w:top w:val="none" w:sz="0" w:space="0" w:color="auto"/>
        <w:left w:val="none" w:sz="0" w:space="0" w:color="auto"/>
        <w:bottom w:val="none" w:sz="0" w:space="0" w:color="auto"/>
        <w:right w:val="none" w:sz="0" w:space="0" w:color="auto"/>
      </w:divBdr>
    </w:div>
    <w:div w:id="1820075647">
      <w:marLeft w:val="640"/>
      <w:marRight w:val="0"/>
      <w:marTop w:val="0"/>
      <w:marBottom w:val="0"/>
      <w:divBdr>
        <w:top w:val="none" w:sz="0" w:space="0" w:color="auto"/>
        <w:left w:val="none" w:sz="0" w:space="0" w:color="auto"/>
        <w:bottom w:val="none" w:sz="0" w:space="0" w:color="auto"/>
        <w:right w:val="none" w:sz="0" w:space="0" w:color="auto"/>
      </w:divBdr>
    </w:div>
    <w:div w:id="1820420180">
      <w:marLeft w:val="640"/>
      <w:marRight w:val="0"/>
      <w:marTop w:val="0"/>
      <w:marBottom w:val="0"/>
      <w:divBdr>
        <w:top w:val="none" w:sz="0" w:space="0" w:color="auto"/>
        <w:left w:val="none" w:sz="0" w:space="0" w:color="auto"/>
        <w:bottom w:val="none" w:sz="0" w:space="0" w:color="auto"/>
        <w:right w:val="none" w:sz="0" w:space="0" w:color="auto"/>
      </w:divBdr>
    </w:div>
    <w:div w:id="1820609922">
      <w:marLeft w:val="640"/>
      <w:marRight w:val="0"/>
      <w:marTop w:val="0"/>
      <w:marBottom w:val="0"/>
      <w:divBdr>
        <w:top w:val="none" w:sz="0" w:space="0" w:color="auto"/>
        <w:left w:val="none" w:sz="0" w:space="0" w:color="auto"/>
        <w:bottom w:val="none" w:sz="0" w:space="0" w:color="auto"/>
        <w:right w:val="none" w:sz="0" w:space="0" w:color="auto"/>
      </w:divBdr>
    </w:div>
    <w:div w:id="1822110673">
      <w:marLeft w:val="640"/>
      <w:marRight w:val="0"/>
      <w:marTop w:val="0"/>
      <w:marBottom w:val="0"/>
      <w:divBdr>
        <w:top w:val="none" w:sz="0" w:space="0" w:color="auto"/>
        <w:left w:val="none" w:sz="0" w:space="0" w:color="auto"/>
        <w:bottom w:val="none" w:sz="0" w:space="0" w:color="auto"/>
        <w:right w:val="none" w:sz="0" w:space="0" w:color="auto"/>
      </w:divBdr>
    </w:div>
    <w:div w:id="1822194649">
      <w:marLeft w:val="640"/>
      <w:marRight w:val="0"/>
      <w:marTop w:val="0"/>
      <w:marBottom w:val="0"/>
      <w:divBdr>
        <w:top w:val="none" w:sz="0" w:space="0" w:color="auto"/>
        <w:left w:val="none" w:sz="0" w:space="0" w:color="auto"/>
        <w:bottom w:val="none" w:sz="0" w:space="0" w:color="auto"/>
        <w:right w:val="none" w:sz="0" w:space="0" w:color="auto"/>
      </w:divBdr>
    </w:div>
    <w:div w:id="1823501411">
      <w:marLeft w:val="640"/>
      <w:marRight w:val="0"/>
      <w:marTop w:val="0"/>
      <w:marBottom w:val="0"/>
      <w:divBdr>
        <w:top w:val="none" w:sz="0" w:space="0" w:color="auto"/>
        <w:left w:val="none" w:sz="0" w:space="0" w:color="auto"/>
        <w:bottom w:val="none" w:sz="0" w:space="0" w:color="auto"/>
        <w:right w:val="none" w:sz="0" w:space="0" w:color="auto"/>
      </w:divBdr>
    </w:div>
    <w:div w:id="1823501658">
      <w:marLeft w:val="640"/>
      <w:marRight w:val="0"/>
      <w:marTop w:val="0"/>
      <w:marBottom w:val="0"/>
      <w:divBdr>
        <w:top w:val="none" w:sz="0" w:space="0" w:color="auto"/>
        <w:left w:val="none" w:sz="0" w:space="0" w:color="auto"/>
        <w:bottom w:val="none" w:sz="0" w:space="0" w:color="auto"/>
        <w:right w:val="none" w:sz="0" w:space="0" w:color="auto"/>
      </w:divBdr>
    </w:div>
    <w:div w:id="1823621390">
      <w:marLeft w:val="640"/>
      <w:marRight w:val="0"/>
      <w:marTop w:val="0"/>
      <w:marBottom w:val="0"/>
      <w:divBdr>
        <w:top w:val="none" w:sz="0" w:space="0" w:color="auto"/>
        <w:left w:val="none" w:sz="0" w:space="0" w:color="auto"/>
        <w:bottom w:val="none" w:sz="0" w:space="0" w:color="auto"/>
        <w:right w:val="none" w:sz="0" w:space="0" w:color="auto"/>
      </w:divBdr>
    </w:div>
    <w:div w:id="1823698212">
      <w:marLeft w:val="640"/>
      <w:marRight w:val="0"/>
      <w:marTop w:val="0"/>
      <w:marBottom w:val="0"/>
      <w:divBdr>
        <w:top w:val="none" w:sz="0" w:space="0" w:color="auto"/>
        <w:left w:val="none" w:sz="0" w:space="0" w:color="auto"/>
        <w:bottom w:val="none" w:sz="0" w:space="0" w:color="auto"/>
        <w:right w:val="none" w:sz="0" w:space="0" w:color="auto"/>
      </w:divBdr>
    </w:div>
    <w:div w:id="1824272608">
      <w:marLeft w:val="640"/>
      <w:marRight w:val="0"/>
      <w:marTop w:val="0"/>
      <w:marBottom w:val="0"/>
      <w:divBdr>
        <w:top w:val="none" w:sz="0" w:space="0" w:color="auto"/>
        <w:left w:val="none" w:sz="0" w:space="0" w:color="auto"/>
        <w:bottom w:val="none" w:sz="0" w:space="0" w:color="auto"/>
        <w:right w:val="none" w:sz="0" w:space="0" w:color="auto"/>
      </w:divBdr>
    </w:div>
    <w:div w:id="1824540448">
      <w:marLeft w:val="640"/>
      <w:marRight w:val="0"/>
      <w:marTop w:val="0"/>
      <w:marBottom w:val="0"/>
      <w:divBdr>
        <w:top w:val="none" w:sz="0" w:space="0" w:color="auto"/>
        <w:left w:val="none" w:sz="0" w:space="0" w:color="auto"/>
        <w:bottom w:val="none" w:sz="0" w:space="0" w:color="auto"/>
        <w:right w:val="none" w:sz="0" w:space="0" w:color="auto"/>
      </w:divBdr>
    </w:div>
    <w:div w:id="1824811899">
      <w:marLeft w:val="640"/>
      <w:marRight w:val="0"/>
      <w:marTop w:val="0"/>
      <w:marBottom w:val="0"/>
      <w:divBdr>
        <w:top w:val="none" w:sz="0" w:space="0" w:color="auto"/>
        <w:left w:val="none" w:sz="0" w:space="0" w:color="auto"/>
        <w:bottom w:val="none" w:sz="0" w:space="0" w:color="auto"/>
        <w:right w:val="none" w:sz="0" w:space="0" w:color="auto"/>
      </w:divBdr>
    </w:div>
    <w:div w:id="1825048322">
      <w:marLeft w:val="640"/>
      <w:marRight w:val="0"/>
      <w:marTop w:val="0"/>
      <w:marBottom w:val="0"/>
      <w:divBdr>
        <w:top w:val="none" w:sz="0" w:space="0" w:color="auto"/>
        <w:left w:val="none" w:sz="0" w:space="0" w:color="auto"/>
        <w:bottom w:val="none" w:sz="0" w:space="0" w:color="auto"/>
        <w:right w:val="none" w:sz="0" w:space="0" w:color="auto"/>
      </w:divBdr>
    </w:div>
    <w:div w:id="1825269985">
      <w:marLeft w:val="640"/>
      <w:marRight w:val="0"/>
      <w:marTop w:val="0"/>
      <w:marBottom w:val="0"/>
      <w:divBdr>
        <w:top w:val="none" w:sz="0" w:space="0" w:color="auto"/>
        <w:left w:val="none" w:sz="0" w:space="0" w:color="auto"/>
        <w:bottom w:val="none" w:sz="0" w:space="0" w:color="auto"/>
        <w:right w:val="none" w:sz="0" w:space="0" w:color="auto"/>
      </w:divBdr>
    </w:div>
    <w:div w:id="1825928313">
      <w:marLeft w:val="640"/>
      <w:marRight w:val="0"/>
      <w:marTop w:val="0"/>
      <w:marBottom w:val="0"/>
      <w:divBdr>
        <w:top w:val="none" w:sz="0" w:space="0" w:color="auto"/>
        <w:left w:val="none" w:sz="0" w:space="0" w:color="auto"/>
        <w:bottom w:val="none" w:sz="0" w:space="0" w:color="auto"/>
        <w:right w:val="none" w:sz="0" w:space="0" w:color="auto"/>
      </w:divBdr>
    </w:div>
    <w:div w:id="1825974989">
      <w:marLeft w:val="640"/>
      <w:marRight w:val="0"/>
      <w:marTop w:val="0"/>
      <w:marBottom w:val="0"/>
      <w:divBdr>
        <w:top w:val="none" w:sz="0" w:space="0" w:color="auto"/>
        <w:left w:val="none" w:sz="0" w:space="0" w:color="auto"/>
        <w:bottom w:val="none" w:sz="0" w:space="0" w:color="auto"/>
        <w:right w:val="none" w:sz="0" w:space="0" w:color="auto"/>
      </w:divBdr>
    </w:div>
    <w:div w:id="1826362312">
      <w:marLeft w:val="640"/>
      <w:marRight w:val="0"/>
      <w:marTop w:val="0"/>
      <w:marBottom w:val="0"/>
      <w:divBdr>
        <w:top w:val="none" w:sz="0" w:space="0" w:color="auto"/>
        <w:left w:val="none" w:sz="0" w:space="0" w:color="auto"/>
        <w:bottom w:val="none" w:sz="0" w:space="0" w:color="auto"/>
        <w:right w:val="none" w:sz="0" w:space="0" w:color="auto"/>
      </w:divBdr>
    </w:div>
    <w:div w:id="1826819092">
      <w:marLeft w:val="640"/>
      <w:marRight w:val="0"/>
      <w:marTop w:val="0"/>
      <w:marBottom w:val="0"/>
      <w:divBdr>
        <w:top w:val="none" w:sz="0" w:space="0" w:color="auto"/>
        <w:left w:val="none" w:sz="0" w:space="0" w:color="auto"/>
        <w:bottom w:val="none" w:sz="0" w:space="0" w:color="auto"/>
        <w:right w:val="none" w:sz="0" w:space="0" w:color="auto"/>
      </w:divBdr>
    </w:div>
    <w:div w:id="1827088551">
      <w:marLeft w:val="640"/>
      <w:marRight w:val="0"/>
      <w:marTop w:val="0"/>
      <w:marBottom w:val="0"/>
      <w:divBdr>
        <w:top w:val="none" w:sz="0" w:space="0" w:color="auto"/>
        <w:left w:val="none" w:sz="0" w:space="0" w:color="auto"/>
        <w:bottom w:val="none" w:sz="0" w:space="0" w:color="auto"/>
        <w:right w:val="none" w:sz="0" w:space="0" w:color="auto"/>
      </w:divBdr>
    </w:div>
    <w:div w:id="1828284916">
      <w:marLeft w:val="640"/>
      <w:marRight w:val="0"/>
      <w:marTop w:val="0"/>
      <w:marBottom w:val="0"/>
      <w:divBdr>
        <w:top w:val="none" w:sz="0" w:space="0" w:color="auto"/>
        <w:left w:val="none" w:sz="0" w:space="0" w:color="auto"/>
        <w:bottom w:val="none" w:sz="0" w:space="0" w:color="auto"/>
        <w:right w:val="none" w:sz="0" w:space="0" w:color="auto"/>
      </w:divBdr>
    </w:div>
    <w:div w:id="1828520387">
      <w:marLeft w:val="640"/>
      <w:marRight w:val="0"/>
      <w:marTop w:val="0"/>
      <w:marBottom w:val="0"/>
      <w:divBdr>
        <w:top w:val="none" w:sz="0" w:space="0" w:color="auto"/>
        <w:left w:val="none" w:sz="0" w:space="0" w:color="auto"/>
        <w:bottom w:val="none" w:sz="0" w:space="0" w:color="auto"/>
        <w:right w:val="none" w:sz="0" w:space="0" w:color="auto"/>
      </w:divBdr>
    </w:div>
    <w:div w:id="1829439669">
      <w:marLeft w:val="640"/>
      <w:marRight w:val="0"/>
      <w:marTop w:val="0"/>
      <w:marBottom w:val="0"/>
      <w:divBdr>
        <w:top w:val="none" w:sz="0" w:space="0" w:color="auto"/>
        <w:left w:val="none" w:sz="0" w:space="0" w:color="auto"/>
        <w:bottom w:val="none" w:sz="0" w:space="0" w:color="auto"/>
        <w:right w:val="none" w:sz="0" w:space="0" w:color="auto"/>
      </w:divBdr>
    </w:div>
    <w:div w:id="1830173851">
      <w:marLeft w:val="640"/>
      <w:marRight w:val="0"/>
      <w:marTop w:val="0"/>
      <w:marBottom w:val="0"/>
      <w:divBdr>
        <w:top w:val="none" w:sz="0" w:space="0" w:color="auto"/>
        <w:left w:val="none" w:sz="0" w:space="0" w:color="auto"/>
        <w:bottom w:val="none" w:sz="0" w:space="0" w:color="auto"/>
        <w:right w:val="none" w:sz="0" w:space="0" w:color="auto"/>
      </w:divBdr>
    </w:div>
    <w:div w:id="1832528920">
      <w:marLeft w:val="640"/>
      <w:marRight w:val="0"/>
      <w:marTop w:val="0"/>
      <w:marBottom w:val="0"/>
      <w:divBdr>
        <w:top w:val="none" w:sz="0" w:space="0" w:color="auto"/>
        <w:left w:val="none" w:sz="0" w:space="0" w:color="auto"/>
        <w:bottom w:val="none" w:sz="0" w:space="0" w:color="auto"/>
        <w:right w:val="none" w:sz="0" w:space="0" w:color="auto"/>
      </w:divBdr>
    </w:div>
    <w:div w:id="1833375172">
      <w:marLeft w:val="640"/>
      <w:marRight w:val="0"/>
      <w:marTop w:val="0"/>
      <w:marBottom w:val="0"/>
      <w:divBdr>
        <w:top w:val="none" w:sz="0" w:space="0" w:color="auto"/>
        <w:left w:val="none" w:sz="0" w:space="0" w:color="auto"/>
        <w:bottom w:val="none" w:sz="0" w:space="0" w:color="auto"/>
        <w:right w:val="none" w:sz="0" w:space="0" w:color="auto"/>
      </w:divBdr>
    </w:div>
    <w:div w:id="1833451650">
      <w:marLeft w:val="640"/>
      <w:marRight w:val="0"/>
      <w:marTop w:val="0"/>
      <w:marBottom w:val="0"/>
      <w:divBdr>
        <w:top w:val="none" w:sz="0" w:space="0" w:color="auto"/>
        <w:left w:val="none" w:sz="0" w:space="0" w:color="auto"/>
        <w:bottom w:val="none" w:sz="0" w:space="0" w:color="auto"/>
        <w:right w:val="none" w:sz="0" w:space="0" w:color="auto"/>
      </w:divBdr>
    </w:div>
    <w:div w:id="1834485222">
      <w:marLeft w:val="640"/>
      <w:marRight w:val="0"/>
      <w:marTop w:val="0"/>
      <w:marBottom w:val="0"/>
      <w:divBdr>
        <w:top w:val="none" w:sz="0" w:space="0" w:color="auto"/>
        <w:left w:val="none" w:sz="0" w:space="0" w:color="auto"/>
        <w:bottom w:val="none" w:sz="0" w:space="0" w:color="auto"/>
        <w:right w:val="none" w:sz="0" w:space="0" w:color="auto"/>
      </w:divBdr>
    </w:div>
    <w:div w:id="1835142719">
      <w:marLeft w:val="640"/>
      <w:marRight w:val="0"/>
      <w:marTop w:val="0"/>
      <w:marBottom w:val="0"/>
      <w:divBdr>
        <w:top w:val="none" w:sz="0" w:space="0" w:color="auto"/>
        <w:left w:val="none" w:sz="0" w:space="0" w:color="auto"/>
        <w:bottom w:val="none" w:sz="0" w:space="0" w:color="auto"/>
        <w:right w:val="none" w:sz="0" w:space="0" w:color="auto"/>
      </w:divBdr>
    </w:div>
    <w:div w:id="1835877151">
      <w:marLeft w:val="640"/>
      <w:marRight w:val="0"/>
      <w:marTop w:val="0"/>
      <w:marBottom w:val="0"/>
      <w:divBdr>
        <w:top w:val="none" w:sz="0" w:space="0" w:color="auto"/>
        <w:left w:val="none" w:sz="0" w:space="0" w:color="auto"/>
        <w:bottom w:val="none" w:sz="0" w:space="0" w:color="auto"/>
        <w:right w:val="none" w:sz="0" w:space="0" w:color="auto"/>
      </w:divBdr>
    </w:div>
    <w:div w:id="1836920642">
      <w:marLeft w:val="640"/>
      <w:marRight w:val="0"/>
      <w:marTop w:val="0"/>
      <w:marBottom w:val="0"/>
      <w:divBdr>
        <w:top w:val="none" w:sz="0" w:space="0" w:color="auto"/>
        <w:left w:val="none" w:sz="0" w:space="0" w:color="auto"/>
        <w:bottom w:val="none" w:sz="0" w:space="0" w:color="auto"/>
        <w:right w:val="none" w:sz="0" w:space="0" w:color="auto"/>
      </w:divBdr>
    </w:div>
    <w:div w:id="1837375550">
      <w:marLeft w:val="640"/>
      <w:marRight w:val="0"/>
      <w:marTop w:val="0"/>
      <w:marBottom w:val="0"/>
      <w:divBdr>
        <w:top w:val="none" w:sz="0" w:space="0" w:color="auto"/>
        <w:left w:val="none" w:sz="0" w:space="0" w:color="auto"/>
        <w:bottom w:val="none" w:sz="0" w:space="0" w:color="auto"/>
        <w:right w:val="none" w:sz="0" w:space="0" w:color="auto"/>
      </w:divBdr>
    </w:div>
    <w:div w:id="1838769523">
      <w:marLeft w:val="640"/>
      <w:marRight w:val="0"/>
      <w:marTop w:val="0"/>
      <w:marBottom w:val="0"/>
      <w:divBdr>
        <w:top w:val="none" w:sz="0" w:space="0" w:color="auto"/>
        <w:left w:val="none" w:sz="0" w:space="0" w:color="auto"/>
        <w:bottom w:val="none" w:sz="0" w:space="0" w:color="auto"/>
        <w:right w:val="none" w:sz="0" w:space="0" w:color="auto"/>
      </w:divBdr>
    </w:div>
    <w:div w:id="1838841444">
      <w:marLeft w:val="640"/>
      <w:marRight w:val="0"/>
      <w:marTop w:val="0"/>
      <w:marBottom w:val="0"/>
      <w:divBdr>
        <w:top w:val="none" w:sz="0" w:space="0" w:color="auto"/>
        <w:left w:val="none" w:sz="0" w:space="0" w:color="auto"/>
        <w:bottom w:val="none" w:sz="0" w:space="0" w:color="auto"/>
        <w:right w:val="none" w:sz="0" w:space="0" w:color="auto"/>
      </w:divBdr>
    </w:div>
    <w:div w:id="1839618190">
      <w:marLeft w:val="640"/>
      <w:marRight w:val="0"/>
      <w:marTop w:val="0"/>
      <w:marBottom w:val="0"/>
      <w:divBdr>
        <w:top w:val="none" w:sz="0" w:space="0" w:color="auto"/>
        <w:left w:val="none" w:sz="0" w:space="0" w:color="auto"/>
        <w:bottom w:val="none" w:sz="0" w:space="0" w:color="auto"/>
        <w:right w:val="none" w:sz="0" w:space="0" w:color="auto"/>
      </w:divBdr>
    </w:div>
    <w:div w:id="1841775127">
      <w:marLeft w:val="640"/>
      <w:marRight w:val="0"/>
      <w:marTop w:val="0"/>
      <w:marBottom w:val="0"/>
      <w:divBdr>
        <w:top w:val="none" w:sz="0" w:space="0" w:color="auto"/>
        <w:left w:val="none" w:sz="0" w:space="0" w:color="auto"/>
        <w:bottom w:val="none" w:sz="0" w:space="0" w:color="auto"/>
        <w:right w:val="none" w:sz="0" w:space="0" w:color="auto"/>
      </w:divBdr>
    </w:div>
    <w:div w:id="1843084273">
      <w:marLeft w:val="640"/>
      <w:marRight w:val="0"/>
      <w:marTop w:val="0"/>
      <w:marBottom w:val="0"/>
      <w:divBdr>
        <w:top w:val="none" w:sz="0" w:space="0" w:color="auto"/>
        <w:left w:val="none" w:sz="0" w:space="0" w:color="auto"/>
        <w:bottom w:val="none" w:sz="0" w:space="0" w:color="auto"/>
        <w:right w:val="none" w:sz="0" w:space="0" w:color="auto"/>
      </w:divBdr>
    </w:div>
    <w:div w:id="1843621528">
      <w:marLeft w:val="640"/>
      <w:marRight w:val="0"/>
      <w:marTop w:val="0"/>
      <w:marBottom w:val="0"/>
      <w:divBdr>
        <w:top w:val="none" w:sz="0" w:space="0" w:color="auto"/>
        <w:left w:val="none" w:sz="0" w:space="0" w:color="auto"/>
        <w:bottom w:val="none" w:sz="0" w:space="0" w:color="auto"/>
        <w:right w:val="none" w:sz="0" w:space="0" w:color="auto"/>
      </w:divBdr>
    </w:div>
    <w:div w:id="1844272381">
      <w:marLeft w:val="640"/>
      <w:marRight w:val="0"/>
      <w:marTop w:val="0"/>
      <w:marBottom w:val="0"/>
      <w:divBdr>
        <w:top w:val="none" w:sz="0" w:space="0" w:color="auto"/>
        <w:left w:val="none" w:sz="0" w:space="0" w:color="auto"/>
        <w:bottom w:val="none" w:sz="0" w:space="0" w:color="auto"/>
        <w:right w:val="none" w:sz="0" w:space="0" w:color="auto"/>
      </w:divBdr>
    </w:div>
    <w:div w:id="1846091174">
      <w:marLeft w:val="640"/>
      <w:marRight w:val="0"/>
      <w:marTop w:val="0"/>
      <w:marBottom w:val="0"/>
      <w:divBdr>
        <w:top w:val="none" w:sz="0" w:space="0" w:color="auto"/>
        <w:left w:val="none" w:sz="0" w:space="0" w:color="auto"/>
        <w:bottom w:val="none" w:sz="0" w:space="0" w:color="auto"/>
        <w:right w:val="none" w:sz="0" w:space="0" w:color="auto"/>
      </w:divBdr>
    </w:div>
    <w:div w:id="1846896400">
      <w:marLeft w:val="640"/>
      <w:marRight w:val="0"/>
      <w:marTop w:val="0"/>
      <w:marBottom w:val="0"/>
      <w:divBdr>
        <w:top w:val="none" w:sz="0" w:space="0" w:color="auto"/>
        <w:left w:val="none" w:sz="0" w:space="0" w:color="auto"/>
        <w:bottom w:val="none" w:sz="0" w:space="0" w:color="auto"/>
        <w:right w:val="none" w:sz="0" w:space="0" w:color="auto"/>
      </w:divBdr>
    </w:div>
    <w:div w:id="1847016367">
      <w:marLeft w:val="640"/>
      <w:marRight w:val="0"/>
      <w:marTop w:val="0"/>
      <w:marBottom w:val="0"/>
      <w:divBdr>
        <w:top w:val="none" w:sz="0" w:space="0" w:color="auto"/>
        <w:left w:val="none" w:sz="0" w:space="0" w:color="auto"/>
        <w:bottom w:val="none" w:sz="0" w:space="0" w:color="auto"/>
        <w:right w:val="none" w:sz="0" w:space="0" w:color="auto"/>
      </w:divBdr>
    </w:div>
    <w:div w:id="1847210900">
      <w:marLeft w:val="640"/>
      <w:marRight w:val="0"/>
      <w:marTop w:val="0"/>
      <w:marBottom w:val="0"/>
      <w:divBdr>
        <w:top w:val="none" w:sz="0" w:space="0" w:color="auto"/>
        <w:left w:val="none" w:sz="0" w:space="0" w:color="auto"/>
        <w:bottom w:val="none" w:sz="0" w:space="0" w:color="auto"/>
        <w:right w:val="none" w:sz="0" w:space="0" w:color="auto"/>
      </w:divBdr>
    </w:div>
    <w:div w:id="1847480103">
      <w:marLeft w:val="640"/>
      <w:marRight w:val="0"/>
      <w:marTop w:val="0"/>
      <w:marBottom w:val="0"/>
      <w:divBdr>
        <w:top w:val="none" w:sz="0" w:space="0" w:color="auto"/>
        <w:left w:val="none" w:sz="0" w:space="0" w:color="auto"/>
        <w:bottom w:val="none" w:sz="0" w:space="0" w:color="auto"/>
        <w:right w:val="none" w:sz="0" w:space="0" w:color="auto"/>
      </w:divBdr>
    </w:div>
    <w:div w:id="1847934498">
      <w:marLeft w:val="640"/>
      <w:marRight w:val="0"/>
      <w:marTop w:val="0"/>
      <w:marBottom w:val="0"/>
      <w:divBdr>
        <w:top w:val="none" w:sz="0" w:space="0" w:color="auto"/>
        <w:left w:val="none" w:sz="0" w:space="0" w:color="auto"/>
        <w:bottom w:val="none" w:sz="0" w:space="0" w:color="auto"/>
        <w:right w:val="none" w:sz="0" w:space="0" w:color="auto"/>
      </w:divBdr>
    </w:div>
    <w:div w:id="1848323773">
      <w:marLeft w:val="640"/>
      <w:marRight w:val="0"/>
      <w:marTop w:val="0"/>
      <w:marBottom w:val="0"/>
      <w:divBdr>
        <w:top w:val="none" w:sz="0" w:space="0" w:color="auto"/>
        <w:left w:val="none" w:sz="0" w:space="0" w:color="auto"/>
        <w:bottom w:val="none" w:sz="0" w:space="0" w:color="auto"/>
        <w:right w:val="none" w:sz="0" w:space="0" w:color="auto"/>
      </w:divBdr>
    </w:div>
    <w:div w:id="1848443197">
      <w:marLeft w:val="640"/>
      <w:marRight w:val="0"/>
      <w:marTop w:val="0"/>
      <w:marBottom w:val="0"/>
      <w:divBdr>
        <w:top w:val="none" w:sz="0" w:space="0" w:color="auto"/>
        <w:left w:val="none" w:sz="0" w:space="0" w:color="auto"/>
        <w:bottom w:val="none" w:sz="0" w:space="0" w:color="auto"/>
        <w:right w:val="none" w:sz="0" w:space="0" w:color="auto"/>
      </w:divBdr>
    </w:div>
    <w:div w:id="1848597468">
      <w:marLeft w:val="640"/>
      <w:marRight w:val="0"/>
      <w:marTop w:val="0"/>
      <w:marBottom w:val="0"/>
      <w:divBdr>
        <w:top w:val="none" w:sz="0" w:space="0" w:color="auto"/>
        <w:left w:val="none" w:sz="0" w:space="0" w:color="auto"/>
        <w:bottom w:val="none" w:sz="0" w:space="0" w:color="auto"/>
        <w:right w:val="none" w:sz="0" w:space="0" w:color="auto"/>
      </w:divBdr>
    </w:div>
    <w:div w:id="1849446464">
      <w:marLeft w:val="640"/>
      <w:marRight w:val="0"/>
      <w:marTop w:val="0"/>
      <w:marBottom w:val="0"/>
      <w:divBdr>
        <w:top w:val="none" w:sz="0" w:space="0" w:color="auto"/>
        <w:left w:val="none" w:sz="0" w:space="0" w:color="auto"/>
        <w:bottom w:val="none" w:sz="0" w:space="0" w:color="auto"/>
        <w:right w:val="none" w:sz="0" w:space="0" w:color="auto"/>
      </w:divBdr>
    </w:div>
    <w:div w:id="1850825669">
      <w:marLeft w:val="640"/>
      <w:marRight w:val="0"/>
      <w:marTop w:val="0"/>
      <w:marBottom w:val="0"/>
      <w:divBdr>
        <w:top w:val="none" w:sz="0" w:space="0" w:color="auto"/>
        <w:left w:val="none" w:sz="0" w:space="0" w:color="auto"/>
        <w:bottom w:val="none" w:sz="0" w:space="0" w:color="auto"/>
        <w:right w:val="none" w:sz="0" w:space="0" w:color="auto"/>
      </w:divBdr>
    </w:div>
    <w:div w:id="1851526310">
      <w:marLeft w:val="640"/>
      <w:marRight w:val="0"/>
      <w:marTop w:val="0"/>
      <w:marBottom w:val="0"/>
      <w:divBdr>
        <w:top w:val="none" w:sz="0" w:space="0" w:color="auto"/>
        <w:left w:val="none" w:sz="0" w:space="0" w:color="auto"/>
        <w:bottom w:val="none" w:sz="0" w:space="0" w:color="auto"/>
        <w:right w:val="none" w:sz="0" w:space="0" w:color="auto"/>
      </w:divBdr>
    </w:div>
    <w:div w:id="1851599587">
      <w:marLeft w:val="640"/>
      <w:marRight w:val="0"/>
      <w:marTop w:val="0"/>
      <w:marBottom w:val="0"/>
      <w:divBdr>
        <w:top w:val="none" w:sz="0" w:space="0" w:color="auto"/>
        <w:left w:val="none" w:sz="0" w:space="0" w:color="auto"/>
        <w:bottom w:val="none" w:sz="0" w:space="0" w:color="auto"/>
        <w:right w:val="none" w:sz="0" w:space="0" w:color="auto"/>
      </w:divBdr>
    </w:div>
    <w:div w:id="1852181858">
      <w:marLeft w:val="640"/>
      <w:marRight w:val="0"/>
      <w:marTop w:val="0"/>
      <w:marBottom w:val="0"/>
      <w:divBdr>
        <w:top w:val="none" w:sz="0" w:space="0" w:color="auto"/>
        <w:left w:val="none" w:sz="0" w:space="0" w:color="auto"/>
        <w:bottom w:val="none" w:sz="0" w:space="0" w:color="auto"/>
        <w:right w:val="none" w:sz="0" w:space="0" w:color="auto"/>
      </w:divBdr>
    </w:div>
    <w:div w:id="1853185014">
      <w:marLeft w:val="640"/>
      <w:marRight w:val="0"/>
      <w:marTop w:val="0"/>
      <w:marBottom w:val="0"/>
      <w:divBdr>
        <w:top w:val="none" w:sz="0" w:space="0" w:color="auto"/>
        <w:left w:val="none" w:sz="0" w:space="0" w:color="auto"/>
        <w:bottom w:val="none" w:sz="0" w:space="0" w:color="auto"/>
        <w:right w:val="none" w:sz="0" w:space="0" w:color="auto"/>
      </w:divBdr>
    </w:div>
    <w:div w:id="1853453992">
      <w:marLeft w:val="640"/>
      <w:marRight w:val="0"/>
      <w:marTop w:val="0"/>
      <w:marBottom w:val="0"/>
      <w:divBdr>
        <w:top w:val="none" w:sz="0" w:space="0" w:color="auto"/>
        <w:left w:val="none" w:sz="0" w:space="0" w:color="auto"/>
        <w:bottom w:val="none" w:sz="0" w:space="0" w:color="auto"/>
        <w:right w:val="none" w:sz="0" w:space="0" w:color="auto"/>
      </w:divBdr>
    </w:div>
    <w:div w:id="1853688230">
      <w:marLeft w:val="640"/>
      <w:marRight w:val="0"/>
      <w:marTop w:val="0"/>
      <w:marBottom w:val="0"/>
      <w:divBdr>
        <w:top w:val="none" w:sz="0" w:space="0" w:color="auto"/>
        <w:left w:val="none" w:sz="0" w:space="0" w:color="auto"/>
        <w:bottom w:val="none" w:sz="0" w:space="0" w:color="auto"/>
        <w:right w:val="none" w:sz="0" w:space="0" w:color="auto"/>
      </w:divBdr>
    </w:div>
    <w:div w:id="1854345715">
      <w:marLeft w:val="640"/>
      <w:marRight w:val="0"/>
      <w:marTop w:val="0"/>
      <w:marBottom w:val="0"/>
      <w:divBdr>
        <w:top w:val="none" w:sz="0" w:space="0" w:color="auto"/>
        <w:left w:val="none" w:sz="0" w:space="0" w:color="auto"/>
        <w:bottom w:val="none" w:sz="0" w:space="0" w:color="auto"/>
        <w:right w:val="none" w:sz="0" w:space="0" w:color="auto"/>
      </w:divBdr>
    </w:div>
    <w:div w:id="1854832269">
      <w:marLeft w:val="640"/>
      <w:marRight w:val="0"/>
      <w:marTop w:val="0"/>
      <w:marBottom w:val="0"/>
      <w:divBdr>
        <w:top w:val="none" w:sz="0" w:space="0" w:color="auto"/>
        <w:left w:val="none" w:sz="0" w:space="0" w:color="auto"/>
        <w:bottom w:val="none" w:sz="0" w:space="0" w:color="auto"/>
        <w:right w:val="none" w:sz="0" w:space="0" w:color="auto"/>
      </w:divBdr>
    </w:div>
    <w:div w:id="1854875670">
      <w:marLeft w:val="640"/>
      <w:marRight w:val="0"/>
      <w:marTop w:val="0"/>
      <w:marBottom w:val="0"/>
      <w:divBdr>
        <w:top w:val="none" w:sz="0" w:space="0" w:color="auto"/>
        <w:left w:val="none" w:sz="0" w:space="0" w:color="auto"/>
        <w:bottom w:val="none" w:sz="0" w:space="0" w:color="auto"/>
        <w:right w:val="none" w:sz="0" w:space="0" w:color="auto"/>
      </w:divBdr>
    </w:div>
    <w:div w:id="1856070059">
      <w:marLeft w:val="640"/>
      <w:marRight w:val="0"/>
      <w:marTop w:val="0"/>
      <w:marBottom w:val="0"/>
      <w:divBdr>
        <w:top w:val="none" w:sz="0" w:space="0" w:color="auto"/>
        <w:left w:val="none" w:sz="0" w:space="0" w:color="auto"/>
        <w:bottom w:val="none" w:sz="0" w:space="0" w:color="auto"/>
        <w:right w:val="none" w:sz="0" w:space="0" w:color="auto"/>
      </w:divBdr>
    </w:div>
    <w:div w:id="1857159826">
      <w:marLeft w:val="640"/>
      <w:marRight w:val="0"/>
      <w:marTop w:val="0"/>
      <w:marBottom w:val="0"/>
      <w:divBdr>
        <w:top w:val="none" w:sz="0" w:space="0" w:color="auto"/>
        <w:left w:val="none" w:sz="0" w:space="0" w:color="auto"/>
        <w:bottom w:val="none" w:sz="0" w:space="0" w:color="auto"/>
        <w:right w:val="none" w:sz="0" w:space="0" w:color="auto"/>
      </w:divBdr>
    </w:div>
    <w:div w:id="1857233368">
      <w:marLeft w:val="640"/>
      <w:marRight w:val="0"/>
      <w:marTop w:val="0"/>
      <w:marBottom w:val="0"/>
      <w:divBdr>
        <w:top w:val="none" w:sz="0" w:space="0" w:color="auto"/>
        <w:left w:val="none" w:sz="0" w:space="0" w:color="auto"/>
        <w:bottom w:val="none" w:sz="0" w:space="0" w:color="auto"/>
        <w:right w:val="none" w:sz="0" w:space="0" w:color="auto"/>
      </w:divBdr>
    </w:div>
    <w:div w:id="1857887456">
      <w:marLeft w:val="640"/>
      <w:marRight w:val="0"/>
      <w:marTop w:val="0"/>
      <w:marBottom w:val="0"/>
      <w:divBdr>
        <w:top w:val="none" w:sz="0" w:space="0" w:color="auto"/>
        <w:left w:val="none" w:sz="0" w:space="0" w:color="auto"/>
        <w:bottom w:val="none" w:sz="0" w:space="0" w:color="auto"/>
        <w:right w:val="none" w:sz="0" w:space="0" w:color="auto"/>
      </w:divBdr>
    </w:div>
    <w:div w:id="1859615028">
      <w:marLeft w:val="640"/>
      <w:marRight w:val="0"/>
      <w:marTop w:val="0"/>
      <w:marBottom w:val="0"/>
      <w:divBdr>
        <w:top w:val="none" w:sz="0" w:space="0" w:color="auto"/>
        <w:left w:val="none" w:sz="0" w:space="0" w:color="auto"/>
        <w:bottom w:val="none" w:sz="0" w:space="0" w:color="auto"/>
        <w:right w:val="none" w:sz="0" w:space="0" w:color="auto"/>
      </w:divBdr>
    </w:div>
    <w:div w:id="1860586617">
      <w:marLeft w:val="640"/>
      <w:marRight w:val="0"/>
      <w:marTop w:val="0"/>
      <w:marBottom w:val="0"/>
      <w:divBdr>
        <w:top w:val="none" w:sz="0" w:space="0" w:color="auto"/>
        <w:left w:val="none" w:sz="0" w:space="0" w:color="auto"/>
        <w:bottom w:val="none" w:sz="0" w:space="0" w:color="auto"/>
        <w:right w:val="none" w:sz="0" w:space="0" w:color="auto"/>
      </w:divBdr>
    </w:div>
    <w:div w:id="1860968621">
      <w:marLeft w:val="640"/>
      <w:marRight w:val="0"/>
      <w:marTop w:val="0"/>
      <w:marBottom w:val="0"/>
      <w:divBdr>
        <w:top w:val="none" w:sz="0" w:space="0" w:color="auto"/>
        <w:left w:val="none" w:sz="0" w:space="0" w:color="auto"/>
        <w:bottom w:val="none" w:sz="0" w:space="0" w:color="auto"/>
        <w:right w:val="none" w:sz="0" w:space="0" w:color="auto"/>
      </w:divBdr>
    </w:div>
    <w:div w:id="1861817944">
      <w:marLeft w:val="640"/>
      <w:marRight w:val="0"/>
      <w:marTop w:val="0"/>
      <w:marBottom w:val="0"/>
      <w:divBdr>
        <w:top w:val="none" w:sz="0" w:space="0" w:color="auto"/>
        <w:left w:val="none" w:sz="0" w:space="0" w:color="auto"/>
        <w:bottom w:val="none" w:sz="0" w:space="0" w:color="auto"/>
        <w:right w:val="none" w:sz="0" w:space="0" w:color="auto"/>
      </w:divBdr>
    </w:div>
    <w:div w:id="1862163380">
      <w:marLeft w:val="640"/>
      <w:marRight w:val="0"/>
      <w:marTop w:val="0"/>
      <w:marBottom w:val="0"/>
      <w:divBdr>
        <w:top w:val="none" w:sz="0" w:space="0" w:color="auto"/>
        <w:left w:val="none" w:sz="0" w:space="0" w:color="auto"/>
        <w:bottom w:val="none" w:sz="0" w:space="0" w:color="auto"/>
        <w:right w:val="none" w:sz="0" w:space="0" w:color="auto"/>
      </w:divBdr>
    </w:div>
    <w:div w:id="1862163495">
      <w:marLeft w:val="640"/>
      <w:marRight w:val="0"/>
      <w:marTop w:val="0"/>
      <w:marBottom w:val="0"/>
      <w:divBdr>
        <w:top w:val="none" w:sz="0" w:space="0" w:color="auto"/>
        <w:left w:val="none" w:sz="0" w:space="0" w:color="auto"/>
        <w:bottom w:val="none" w:sz="0" w:space="0" w:color="auto"/>
        <w:right w:val="none" w:sz="0" w:space="0" w:color="auto"/>
      </w:divBdr>
    </w:div>
    <w:div w:id="1862666815">
      <w:marLeft w:val="640"/>
      <w:marRight w:val="0"/>
      <w:marTop w:val="0"/>
      <w:marBottom w:val="0"/>
      <w:divBdr>
        <w:top w:val="none" w:sz="0" w:space="0" w:color="auto"/>
        <w:left w:val="none" w:sz="0" w:space="0" w:color="auto"/>
        <w:bottom w:val="none" w:sz="0" w:space="0" w:color="auto"/>
        <w:right w:val="none" w:sz="0" w:space="0" w:color="auto"/>
      </w:divBdr>
    </w:div>
    <w:div w:id="1864249747">
      <w:marLeft w:val="640"/>
      <w:marRight w:val="0"/>
      <w:marTop w:val="0"/>
      <w:marBottom w:val="0"/>
      <w:divBdr>
        <w:top w:val="none" w:sz="0" w:space="0" w:color="auto"/>
        <w:left w:val="none" w:sz="0" w:space="0" w:color="auto"/>
        <w:bottom w:val="none" w:sz="0" w:space="0" w:color="auto"/>
        <w:right w:val="none" w:sz="0" w:space="0" w:color="auto"/>
      </w:divBdr>
    </w:div>
    <w:div w:id="1864634677">
      <w:marLeft w:val="640"/>
      <w:marRight w:val="0"/>
      <w:marTop w:val="0"/>
      <w:marBottom w:val="0"/>
      <w:divBdr>
        <w:top w:val="none" w:sz="0" w:space="0" w:color="auto"/>
        <w:left w:val="none" w:sz="0" w:space="0" w:color="auto"/>
        <w:bottom w:val="none" w:sz="0" w:space="0" w:color="auto"/>
        <w:right w:val="none" w:sz="0" w:space="0" w:color="auto"/>
      </w:divBdr>
    </w:div>
    <w:div w:id="1865167485">
      <w:marLeft w:val="640"/>
      <w:marRight w:val="0"/>
      <w:marTop w:val="0"/>
      <w:marBottom w:val="0"/>
      <w:divBdr>
        <w:top w:val="none" w:sz="0" w:space="0" w:color="auto"/>
        <w:left w:val="none" w:sz="0" w:space="0" w:color="auto"/>
        <w:bottom w:val="none" w:sz="0" w:space="0" w:color="auto"/>
        <w:right w:val="none" w:sz="0" w:space="0" w:color="auto"/>
      </w:divBdr>
    </w:div>
    <w:div w:id="1865439584">
      <w:marLeft w:val="640"/>
      <w:marRight w:val="0"/>
      <w:marTop w:val="0"/>
      <w:marBottom w:val="0"/>
      <w:divBdr>
        <w:top w:val="none" w:sz="0" w:space="0" w:color="auto"/>
        <w:left w:val="none" w:sz="0" w:space="0" w:color="auto"/>
        <w:bottom w:val="none" w:sz="0" w:space="0" w:color="auto"/>
        <w:right w:val="none" w:sz="0" w:space="0" w:color="auto"/>
      </w:divBdr>
    </w:div>
    <w:div w:id="1866089379">
      <w:marLeft w:val="640"/>
      <w:marRight w:val="0"/>
      <w:marTop w:val="0"/>
      <w:marBottom w:val="0"/>
      <w:divBdr>
        <w:top w:val="none" w:sz="0" w:space="0" w:color="auto"/>
        <w:left w:val="none" w:sz="0" w:space="0" w:color="auto"/>
        <w:bottom w:val="none" w:sz="0" w:space="0" w:color="auto"/>
        <w:right w:val="none" w:sz="0" w:space="0" w:color="auto"/>
      </w:divBdr>
    </w:div>
    <w:div w:id="1866091043">
      <w:marLeft w:val="640"/>
      <w:marRight w:val="0"/>
      <w:marTop w:val="0"/>
      <w:marBottom w:val="0"/>
      <w:divBdr>
        <w:top w:val="none" w:sz="0" w:space="0" w:color="auto"/>
        <w:left w:val="none" w:sz="0" w:space="0" w:color="auto"/>
        <w:bottom w:val="none" w:sz="0" w:space="0" w:color="auto"/>
        <w:right w:val="none" w:sz="0" w:space="0" w:color="auto"/>
      </w:divBdr>
    </w:div>
    <w:div w:id="1866282403">
      <w:marLeft w:val="640"/>
      <w:marRight w:val="0"/>
      <w:marTop w:val="0"/>
      <w:marBottom w:val="0"/>
      <w:divBdr>
        <w:top w:val="none" w:sz="0" w:space="0" w:color="auto"/>
        <w:left w:val="none" w:sz="0" w:space="0" w:color="auto"/>
        <w:bottom w:val="none" w:sz="0" w:space="0" w:color="auto"/>
        <w:right w:val="none" w:sz="0" w:space="0" w:color="auto"/>
      </w:divBdr>
    </w:div>
    <w:div w:id="1866404835">
      <w:marLeft w:val="640"/>
      <w:marRight w:val="0"/>
      <w:marTop w:val="0"/>
      <w:marBottom w:val="0"/>
      <w:divBdr>
        <w:top w:val="none" w:sz="0" w:space="0" w:color="auto"/>
        <w:left w:val="none" w:sz="0" w:space="0" w:color="auto"/>
        <w:bottom w:val="none" w:sz="0" w:space="0" w:color="auto"/>
        <w:right w:val="none" w:sz="0" w:space="0" w:color="auto"/>
      </w:divBdr>
    </w:div>
    <w:div w:id="1867329341">
      <w:marLeft w:val="640"/>
      <w:marRight w:val="0"/>
      <w:marTop w:val="0"/>
      <w:marBottom w:val="0"/>
      <w:divBdr>
        <w:top w:val="none" w:sz="0" w:space="0" w:color="auto"/>
        <w:left w:val="none" w:sz="0" w:space="0" w:color="auto"/>
        <w:bottom w:val="none" w:sz="0" w:space="0" w:color="auto"/>
        <w:right w:val="none" w:sz="0" w:space="0" w:color="auto"/>
      </w:divBdr>
    </w:div>
    <w:div w:id="1867451295">
      <w:marLeft w:val="640"/>
      <w:marRight w:val="0"/>
      <w:marTop w:val="0"/>
      <w:marBottom w:val="0"/>
      <w:divBdr>
        <w:top w:val="none" w:sz="0" w:space="0" w:color="auto"/>
        <w:left w:val="none" w:sz="0" w:space="0" w:color="auto"/>
        <w:bottom w:val="none" w:sz="0" w:space="0" w:color="auto"/>
        <w:right w:val="none" w:sz="0" w:space="0" w:color="auto"/>
      </w:divBdr>
    </w:div>
    <w:div w:id="1867870468">
      <w:marLeft w:val="640"/>
      <w:marRight w:val="0"/>
      <w:marTop w:val="0"/>
      <w:marBottom w:val="0"/>
      <w:divBdr>
        <w:top w:val="none" w:sz="0" w:space="0" w:color="auto"/>
        <w:left w:val="none" w:sz="0" w:space="0" w:color="auto"/>
        <w:bottom w:val="none" w:sz="0" w:space="0" w:color="auto"/>
        <w:right w:val="none" w:sz="0" w:space="0" w:color="auto"/>
      </w:divBdr>
    </w:div>
    <w:div w:id="1868172410">
      <w:marLeft w:val="640"/>
      <w:marRight w:val="0"/>
      <w:marTop w:val="0"/>
      <w:marBottom w:val="0"/>
      <w:divBdr>
        <w:top w:val="none" w:sz="0" w:space="0" w:color="auto"/>
        <w:left w:val="none" w:sz="0" w:space="0" w:color="auto"/>
        <w:bottom w:val="none" w:sz="0" w:space="0" w:color="auto"/>
        <w:right w:val="none" w:sz="0" w:space="0" w:color="auto"/>
      </w:divBdr>
    </w:div>
    <w:div w:id="1868833994">
      <w:marLeft w:val="640"/>
      <w:marRight w:val="0"/>
      <w:marTop w:val="0"/>
      <w:marBottom w:val="0"/>
      <w:divBdr>
        <w:top w:val="none" w:sz="0" w:space="0" w:color="auto"/>
        <w:left w:val="none" w:sz="0" w:space="0" w:color="auto"/>
        <w:bottom w:val="none" w:sz="0" w:space="0" w:color="auto"/>
        <w:right w:val="none" w:sz="0" w:space="0" w:color="auto"/>
      </w:divBdr>
    </w:div>
    <w:div w:id="1870097555">
      <w:marLeft w:val="640"/>
      <w:marRight w:val="0"/>
      <w:marTop w:val="0"/>
      <w:marBottom w:val="0"/>
      <w:divBdr>
        <w:top w:val="none" w:sz="0" w:space="0" w:color="auto"/>
        <w:left w:val="none" w:sz="0" w:space="0" w:color="auto"/>
        <w:bottom w:val="none" w:sz="0" w:space="0" w:color="auto"/>
        <w:right w:val="none" w:sz="0" w:space="0" w:color="auto"/>
      </w:divBdr>
    </w:div>
    <w:div w:id="1870334207">
      <w:marLeft w:val="640"/>
      <w:marRight w:val="0"/>
      <w:marTop w:val="0"/>
      <w:marBottom w:val="0"/>
      <w:divBdr>
        <w:top w:val="none" w:sz="0" w:space="0" w:color="auto"/>
        <w:left w:val="none" w:sz="0" w:space="0" w:color="auto"/>
        <w:bottom w:val="none" w:sz="0" w:space="0" w:color="auto"/>
        <w:right w:val="none" w:sz="0" w:space="0" w:color="auto"/>
      </w:divBdr>
    </w:div>
    <w:div w:id="1870339076">
      <w:marLeft w:val="640"/>
      <w:marRight w:val="0"/>
      <w:marTop w:val="0"/>
      <w:marBottom w:val="0"/>
      <w:divBdr>
        <w:top w:val="none" w:sz="0" w:space="0" w:color="auto"/>
        <w:left w:val="none" w:sz="0" w:space="0" w:color="auto"/>
        <w:bottom w:val="none" w:sz="0" w:space="0" w:color="auto"/>
        <w:right w:val="none" w:sz="0" w:space="0" w:color="auto"/>
      </w:divBdr>
    </w:div>
    <w:div w:id="1870528820">
      <w:marLeft w:val="640"/>
      <w:marRight w:val="0"/>
      <w:marTop w:val="0"/>
      <w:marBottom w:val="0"/>
      <w:divBdr>
        <w:top w:val="none" w:sz="0" w:space="0" w:color="auto"/>
        <w:left w:val="none" w:sz="0" w:space="0" w:color="auto"/>
        <w:bottom w:val="none" w:sz="0" w:space="0" w:color="auto"/>
        <w:right w:val="none" w:sz="0" w:space="0" w:color="auto"/>
      </w:divBdr>
    </w:div>
    <w:div w:id="1870561200">
      <w:marLeft w:val="640"/>
      <w:marRight w:val="0"/>
      <w:marTop w:val="0"/>
      <w:marBottom w:val="0"/>
      <w:divBdr>
        <w:top w:val="none" w:sz="0" w:space="0" w:color="auto"/>
        <w:left w:val="none" w:sz="0" w:space="0" w:color="auto"/>
        <w:bottom w:val="none" w:sz="0" w:space="0" w:color="auto"/>
        <w:right w:val="none" w:sz="0" w:space="0" w:color="auto"/>
      </w:divBdr>
    </w:div>
    <w:div w:id="1870991583">
      <w:marLeft w:val="640"/>
      <w:marRight w:val="0"/>
      <w:marTop w:val="0"/>
      <w:marBottom w:val="0"/>
      <w:divBdr>
        <w:top w:val="none" w:sz="0" w:space="0" w:color="auto"/>
        <w:left w:val="none" w:sz="0" w:space="0" w:color="auto"/>
        <w:bottom w:val="none" w:sz="0" w:space="0" w:color="auto"/>
        <w:right w:val="none" w:sz="0" w:space="0" w:color="auto"/>
      </w:divBdr>
    </w:div>
    <w:div w:id="1871530676">
      <w:marLeft w:val="640"/>
      <w:marRight w:val="0"/>
      <w:marTop w:val="0"/>
      <w:marBottom w:val="0"/>
      <w:divBdr>
        <w:top w:val="none" w:sz="0" w:space="0" w:color="auto"/>
        <w:left w:val="none" w:sz="0" w:space="0" w:color="auto"/>
        <w:bottom w:val="none" w:sz="0" w:space="0" w:color="auto"/>
        <w:right w:val="none" w:sz="0" w:space="0" w:color="auto"/>
      </w:divBdr>
    </w:div>
    <w:div w:id="1871840098">
      <w:marLeft w:val="640"/>
      <w:marRight w:val="0"/>
      <w:marTop w:val="0"/>
      <w:marBottom w:val="0"/>
      <w:divBdr>
        <w:top w:val="none" w:sz="0" w:space="0" w:color="auto"/>
        <w:left w:val="none" w:sz="0" w:space="0" w:color="auto"/>
        <w:bottom w:val="none" w:sz="0" w:space="0" w:color="auto"/>
        <w:right w:val="none" w:sz="0" w:space="0" w:color="auto"/>
      </w:divBdr>
    </w:div>
    <w:div w:id="1872496238">
      <w:marLeft w:val="640"/>
      <w:marRight w:val="0"/>
      <w:marTop w:val="0"/>
      <w:marBottom w:val="0"/>
      <w:divBdr>
        <w:top w:val="none" w:sz="0" w:space="0" w:color="auto"/>
        <w:left w:val="none" w:sz="0" w:space="0" w:color="auto"/>
        <w:bottom w:val="none" w:sz="0" w:space="0" w:color="auto"/>
        <w:right w:val="none" w:sz="0" w:space="0" w:color="auto"/>
      </w:divBdr>
    </w:div>
    <w:div w:id="1872526240">
      <w:marLeft w:val="640"/>
      <w:marRight w:val="0"/>
      <w:marTop w:val="0"/>
      <w:marBottom w:val="0"/>
      <w:divBdr>
        <w:top w:val="none" w:sz="0" w:space="0" w:color="auto"/>
        <w:left w:val="none" w:sz="0" w:space="0" w:color="auto"/>
        <w:bottom w:val="none" w:sz="0" w:space="0" w:color="auto"/>
        <w:right w:val="none" w:sz="0" w:space="0" w:color="auto"/>
      </w:divBdr>
    </w:div>
    <w:div w:id="1873106676">
      <w:marLeft w:val="640"/>
      <w:marRight w:val="0"/>
      <w:marTop w:val="0"/>
      <w:marBottom w:val="0"/>
      <w:divBdr>
        <w:top w:val="none" w:sz="0" w:space="0" w:color="auto"/>
        <w:left w:val="none" w:sz="0" w:space="0" w:color="auto"/>
        <w:bottom w:val="none" w:sz="0" w:space="0" w:color="auto"/>
        <w:right w:val="none" w:sz="0" w:space="0" w:color="auto"/>
      </w:divBdr>
    </w:div>
    <w:div w:id="1873690359">
      <w:marLeft w:val="640"/>
      <w:marRight w:val="0"/>
      <w:marTop w:val="0"/>
      <w:marBottom w:val="0"/>
      <w:divBdr>
        <w:top w:val="none" w:sz="0" w:space="0" w:color="auto"/>
        <w:left w:val="none" w:sz="0" w:space="0" w:color="auto"/>
        <w:bottom w:val="none" w:sz="0" w:space="0" w:color="auto"/>
        <w:right w:val="none" w:sz="0" w:space="0" w:color="auto"/>
      </w:divBdr>
    </w:div>
    <w:div w:id="1874734127">
      <w:marLeft w:val="640"/>
      <w:marRight w:val="0"/>
      <w:marTop w:val="0"/>
      <w:marBottom w:val="0"/>
      <w:divBdr>
        <w:top w:val="none" w:sz="0" w:space="0" w:color="auto"/>
        <w:left w:val="none" w:sz="0" w:space="0" w:color="auto"/>
        <w:bottom w:val="none" w:sz="0" w:space="0" w:color="auto"/>
        <w:right w:val="none" w:sz="0" w:space="0" w:color="auto"/>
      </w:divBdr>
    </w:div>
    <w:div w:id="1874802823">
      <w:marLeft w:val="640"/>
      <w:marRight w:val="0"/>
      <w:marTop w:val="0"/>
      <w:marBottom w:val="0"/>
      <w:divBdr>
        <w:top w:val="none" w:sz="0" w:space="0" w:color="auto"/>
        <w:left w:val="none" w:sz="0" w:space="0" w:color="auto"/>
        <w:bottom w:val="none" w:sz="0" w:space="0" w:color="auto"/>
        <w:right w:val="none" w:sz="0" w:space="0" w:color="auto"/>
      </w:divBdr>
    </w:div>
    <w:div w:id="1874804160">
      <w:marLeft w:val="640"/>
      <w:marRight w:val="0"/>
      <w:marTop w:val="0"/>
      <w:marBottom w:val="0"/>
      <w:divBdr>
        <w:top w:val="none" w:sz="0" w:space="0" w:color="auto"/>
        <w:left w:val="none" w:sz="0" w:space="0" w:color="auto"/>
        <w:bottom w:val="none" w:sz="0" w:space="0" w:color="auto"/>
        <w:right w:val="none" w:sz="0" w:space="0" w:color="auto"/>
      </w:divBdr>
    </w:div>
    <w:div w:id="1876502150">
      <w:marLeft w:val="640"/>
      <w:marRight w:val="0"/>
      <w:marTop w:val="0"/>
      <w:marBottom w:val="0"/>
      <w:divBdr>
        <w:top w:val="none" w:sz="0" w:space="0" w:color="auto"/>
        <w:left w:val="none" w:sz="0" w:space="0" w:color="auto"/>
        <w:bottom w:val="none" w:sz="0" w:space="0" w:color="auto"/>
        <w:right w:val="none" w:sz="0" w:space="0" w:color="auto"/>
      </w:divBdr>
    </w:div>
    <w:div w:id="1876579221">
      <w:marLeft w:val="640"/>
      <w:marRight w:val="0"/>
      <w:marTop w:val="0"/>
      <w:marBottom w:val="0"/>
      <w:divBdr>
        <w:top w:val="none" w:sz="0" w:space="0" w:color="auto"/>
        <w:left w:val="none" w:sz="0" w:space="0" w:color="auto"/>
        <w:bottom w:val="none" w:sz="0" w:space="0" w:color="auto"/>
        <w:right w:val="none" w:sz="0" w:space="0" w:color="auto"/>
      </w:divBdr>
    </w:div>
    <w:div w:id="1878471526">
      <w:marLeft w:val="640"/>
      <w:marRight w:val="0"/>
      <w:marTop w:val="0"/>
      <w:marBottom w:val="0"/>
      <w:divBdr>
        <w:top w:val="none" w:sz="0" w:space="0" w:color="auto"/>
        <w:left w:val="none" w:sz="0" w:space="0" w:color="auto"/>
        <w:bottom w:val="none" w:sz="0" w:space="0" w:color="auto"/>
        <w:right w:val="none" w:sz="0" w:space="0" w:color="auto"/>
      </w:divBdr>
    </w:div>
    <w:div w:id="1878882751">
      <w:marLeft w:val="640"/>
      <w:marRight w:val="0"/>
      <w:marTop w:val="0"/>
      <w:marBottom w:val="0"/>
      <w:divBdr>
        <w:top w:val="none" w:sz="0" w:space="0" w:color="auto"/>
        <w:left w:val="none" w:sz="0" w:space="0" w:color="auto"/>
        <w:bottom w:val="none" w:sz="0" w:space="0" w:color="auto"/>
        <w:right w:val="none" w:sz="0" w:space="0" w:color="auto"/>
      </w:divBdr>
    </w:div>
    <w:div w:id="1879125461">
      <w:marLeft w:val="640"/>
      <w:marRight w:val="0"/>
      <w:marTop w:val="0"/>
      <w:marBottom w:val="0"/>
      <w:divBdr>
        <w:top w:val="none" w:sz="0" w:space="0" w:color="auto"/>
        <w:left w:val="none" w:sz="0" w:space="0" w:color="auto"/>
        <w:bottom w:val="none" w:sz="0" w:space="0" w:color="auto"/>
        <w:right w:val="none" w:sz="0" w:space="0" w:color="auto"/>
      </w:divBdr>
    </w:div>
    <w:div w:id="1880629585">
      <w:marLeft w:val="640"/>
      <w:marRight w:val="0"/>
      <w:marTop w:val="0"/>
      <w:marBottom w:val="0"/>
      <w:divBdr>
        <w:top w:val="none" w:sz="0" w:space="0" w:color="auto"/>
        <w:left w:val="none" w:sz="0" w:space="0" w:color="auto"/>
        <w:bottom w:val="none" w:sz="0" w:space="0" w:color="auto"/>
        <w:right w:val="none" w:sz="0" w:space="0" w:color="auto"/>
      </w:divBdr>
    </w:div>
    <w:div w:id="1880817694">
      <w:marLeft w:val="640"/>
      <w:marRight w:val="0"/>
      <w:marTop w:val="0"/>
      <w:marBottom w:val="0"/>
      <w:divBdr>
        <w:top w:val="none" w:sz="0" w:space="0" w:color="auto"/>
        <w:left w:val="none" w:sz="0" w:space="0" w:color="auto"/>
        <w:bottom w:val="none" w:sz="0" w:space="0" w:color="auto"/>
        <w:right w:val="none" w:sz="0" w:space="0" w:color="auto"/>
      </w:divBdr>
    </w:div>
    <w:div w:id="1881623855">
      <w:marLeft w:val="640"/>
      <w:marRight w:val="0"/>
      <w:marTop w:val="0"/>
      <w:marBottom w:val="0"/>
      <w:divBdr>
        <w:top w:val="none" w:sz="0" w:space="0" w:color="auto"/>
        <w:left w:val="none" w:sz="0" w:space="0" w:color="auto"/>
        <w:bottom w:val="none" w:sz="0" w:space="0" w:color="auto"/>
        <w:right w:val="none" w:sz="0" w:space="0" w:color="auto"/>
      </w:divBdr>
    </w:div>
    <w:div w:id="1881672744">
      <w:marLeft w:val="640"/>
      <w:marRight w:val="0"/>
      <w:marTop w:val="0"/>
      <w:marBottom w:val="0"/>
      <w:divBdr>
        <w:top w:val="none" w:sz="0" w:space="0" w:color="auto"/>
        <w:left w:val="none" w:sz="0" w:space="0" w:color="auto"/>
        <w:bottom w:val="none" w:sz="0" w:space="0" w:color="auto"/>
        <w:right w:val="none" w:sz="0" w:space="0" w:color="auto"/>
      </w:divBdr>
    </w:div>
    <w:div w:id="1881747538">
      <w:marLeft w:val="640"/>
      <w:marRight w:val="0"/>
      <w:marTop w:val="0"/>
      <w:marBottom w:val="0"/>
      <w:divBdr>
        <w:top w:val="none" w:sz="0" w:space="0" w:color="auto"/>
        <w:left w:val="none" w:sz="0" w:space="0" w:color="auto"/>
        <w:bottom w:val="none" w:sz="0" w:space="0" w:color="auto"/>
        <w:right w:val="none" w:sz="0" w:space="0" w:color="auto"/>
      </w:divBdr>
    </w:div>
    <w:div w:id="1882668847">
      <w:marLeft w:val="640"/>
      <w:marRight w:val="0"/>
      <w:marTop w:val="0"/>
      <w:marBottom w:val="0"/>
      <w:divBdr>
        <w:top w:val="none" w:sz="0" w:space="0" w:color="auto"/>
        <w:left w:val="none" w:sz="0" w:space="0" w:color="auto"/>
        <w:bottom w:val="none" w:sz="0" w:space="0" w:color="auto"/>
        <w:right w:val="none" w:sz="0" w:space="0" w:color="auto"/>
      </w:divBdr>
    </w:div>
    <w:div w:id="1882672852">
      <w:marLeft w:val="640"/>
      <w:marRight w:val="0"/>
      <w:marTop w:val="0"/>
      <w:marBottom w:val="0"/>
      <w:divBdr>
        <w:top w:val="none" w:sz="0" w:space="0" w:color="auto"/>
        <w:left w:val="none" w:sz="0" w:space="0" w:color="auto"/>
        <w:bottom w:val="none" w:sz="0" w:space="0" w:color="auto"/>
        <w:right w:val="none" w:sz="0" w:space="0" w:color="auto"/>
      </w:divBdr>
    </w:div>
    <w:div w:id="1883517926">
      <w:marLeft w:val="640"/>
      <w:marRight w:val="0"/>
      <w:marTop w:val="0"/>
      <w:marBottom w:val="0"/>
      <w:divBdr>
        <w:top w:val="none" w:sz="0" w:space="0" w:color="auto"/>
        <w:left w:val="none" w:sz="0" w:space="0" w:color="auto"/>
        <w:bottom w:val="none" w:sz="0" w:space="0" w:color="auto"/>
        <w:right w:val="none" w:sz="0" w:space="0" w:color="auto"/>
      </w:divBdr>
    </w:div>
    <w:div w:id="1883712655">
      <w:marLeft w:val="640"/>
      <w:marRight w:val="0"/>
      <w:marTop w:val="0"/>
      <w:marBottom w:val="0"/>
      <w:divBdr>
        <w:top w:val="none" w:sz="0" w:space="0" w:color="auto"/>
        <w:left w:val="none" w:sz="0" w:space="0" w:color="auto"/>
        <w:bottom w:val="none" w:sz="0" w:space="0" w:color="auto"/>
        <w:right w:val="none" w:sz="0" w:space="0" w:color="auto"/>
      </w:divBdr>
    </w:div>
    <w:div w:id="1884250402">
      <w:marLeft w:val="640"/>
      <w:marRight w:val="0"/>
      <w:marTop w:val="0"/>
      <w:marBottom w:val="0"/>
      <w:divBdr>
        <w:top w:val="none" w:sz="0" w:space="0" w:color="auto"/>
        <w:left w:val="none" w:sz="0" w:space="0" w:color="auto"/>
        <w:bottom w:val="none" w:sz="0" w:space="0" w:color="auto"/>
        <w:right w:val="none" w:sz="0" w:space="0" w:color="auto"/>
      </w:divBdr>
    </w:div>
    <w:div w:id="1884252373">
      <w:marLeft w:val="640"/>
      <w:marRight w:val="0"/>
      <w:marTop w:val="0"/>
      <w:marBottom w:val="0"/>
      <w:divBdr>
        <w:top w:val="none" w:sz="0" w:space="0" w:color="auto"/>
        <w:left w:val="none" w:sz="0" w:space="0" w:color="auto"/>
        <w:bottom w:val="none" w:sz="0" w:space="0" w:color="auto"/>
        <w:right w:val="none" w:sz="0" w:space="0" w:color="auto"/>
      </w:divBdr>
    </w:div>
    <w:div w:id="1884904662">
      <w:marLeft w:val="640"/>
      <w:marRight w:val="0"/>
      <w:marTop w:val="0"/>
      <w:marBottom w:val="0"/>
      <w:divBdr>
        <w:top w:val="none" w:sz="0" w:space="0" w:color="auto"/>
        <w:left w:val="none" w:sz="0" w:space="0" w:color="auto"/>
        <w:bottom w:val="none" w:sz="0" w:space="0" w:color="auto"/>
        <w:right w:val="none" w:sz="0" w:space="0" w:color="auto"/>
      </w:divBdr>
    </w:div>
    <w:div w:id="1885601803">
      <w:marLeft w:val="640"/>
      <w:marRight w:val="0"/>
      <w:marTop w:val="0"/>
      <w:marBottom w:val="0"/>
      <w:divBdr>
        <w:top w:val="none" w:sz="0" w:space="0" w:color="auto"/>
        <w:left w:val="none" w:sz="0" w:space="0" w:color="auto"/>
        <w:bottom w:val="none" w:sz="0" w:space="0" w:color="auto"/>
        <w:right w:val="none" w:sz="0" w:space="0" w:color="auto"/>
      </w:divBdr>
    </w:div>
    <w:div w:id="1886213993">
      <w:marLeft w:val="640"/>
      <w:marRight w:val="0"/>
      <w:marTop w:val="0"/>
      <w:marBottom w:val="0"/>
      <w:divBdr>
        <w:top w:val="none" w:sz="0" w:space="0" w:color="auto"/>
        <w:left w:val="none" w:sz="0" w:space="0" w:color="auto"/>
        <w:bottom w:val="none" w:sz="0" w:space="0" w:color="auto"/>
        <w:right w:val="none" w:sz="0" w:space="0" w:color="auto"/>
      </w:divBdr>
    </w:div>
    <w:div w:id="1886602878">
      <w:marLeft w:val="640"/>
      <w:marRight w:val="0"/>
      <w:marTop w:val="0"/>
      <w:marBottom w:val="0"/>
      <w:divBdr>
        <w:top w:val="none" w:sz="0" w:space="0" w:color="auto"/>
        <w:left w:val="none" w:sz="0" w:space="0" w:color="auto"/>
        <w:bottom w:val="none" w:sz="0" w:space="0" w:color="auto"/>
        <w:right w:val="none" w:sz="0" w:space="0" w:color="auto"/>
      </w:divBdr>
    </w:div>
    <w:div w:id="1886721186">
      <w:marLeft w:val="640"/>
      <w:marRight w:val="0"/>
      <w:marTop w:val="0"/>
      <w:marBottom w:val="0"/>
      <w:divBdr>
        <w:top w:val="none" w:sz="0" w:space="0" w:color="auto"/>
        <w:left w:val="none" w:sz="0" w:space="0" w:color="auto"/>
        <w:bottom w:val="none" w:sz="0" w:space="0" w:color="auto"/>
        <w:right w:val="none" w:sz="0" w:space="0" w:color="auto"/>
      </w:divBdr>
    </w:div>
    <w:div w:id="1886869789">
      <w:marLeft w:val="640"/>
      <w:marRight w:val="0"/>
      <w:marTop w:val="0"/>
      <w:marBottom w:val="0"/>
      <w:divBdr>
        <w:top w:val="none" w:sz="0" w:space="0" w:color="auto"/>
        <w:left w:val="none" w:sz="0" w:space="0" w:color="auto"/>
        <w:bottom w:val="none" w:sz="0" w:space="0" w:color="auto"/>
        <w:right w:val="none" w:sz="0" w:space="0" w:color="auto"/>
      </w:divBdr>
    </w:div>
    <w:div w:id="1887905837">
      <w:marLeft w:val="640"/>
      <w:marRight w:val="0"/>
      <w:marTop w:val="0"/>
      <w:marBottom w:val="0"/>
      <w:divBdr>
        <w:top w:val="none" w:sz="0" w:space="0" w:color="auto"/>
        <w:left w:val="none" w:sz="0" w:space="0" w:color="auto"/>
        <w:bottom w:val="none" w:sz="0" w:space="0" w:color="auto"/>
        <w:right w:val="none" w:sz="0" w:space="0" w:color="auto"/>
      </w:divBdr>
    </w:div>
    <w:div w:id="1888684927">
      <w:marLeft w:val="640"/>
      <w:marRight w:val="0"/>
      <w:marTop w:val="0"/>
      <w:marBottom w:val="0"/>
      <w:divBdr>
        <w:top w:val="none" w:sz="0" w:space="0" w:color="auto"/>
        <w:left w:val="none" w:sz="0" w:space="0" w:color="auto"/>
        <w:bottom w:val="none" w:sz="0" w:space="0" w:color="auto"/>
        <w:right w:val="none" w:sz="0" w:space="0" w:color="auto"/>
      </w:divBdr>
    </w:div>
    <w:div w:id="1888835269">
      <w:marLeft w:val="640"/>
      <w:marRight w:val="0"/>
      <w:marTop w:val="0"/>
      <w:marBottom w:val="0"/>
      <w:divBdr>
        <w:top w:val="none" w:sz="0" w:space="0" w:color="auto"/>
        <w:left w:val="none" w:sz="0" w:space="0" w:color="auto"/>
        <w:bottom w:val="none" w:sz="0" w:space="0" w:color="auto"/>
        <w:right w:val="none" w:sz="0" w:space="0" w:color="auto"/>
      </w:divBdr>
    </w:div>
    <w:div w:id="1889414814">
      <w:marLeft w:val="640"/>
      <w:marRight w:val="0"/>
      <w:marTop w:val="0"/>
      <w:marBottom w:val="0"/>
      <w:divBdr>
        <w:top w:val="none" w:sz="0" w:space="0" w:color="auto"/>
        <w:left w:val="none" w:sz="0" w:space="0" w:color="auto"/>
        <w:bottom w:val="none" w:sz="0" w:space="0" w:color="auto"/>
        <w:right w:val="none" w:sz="0" w:space="0" w:color="auto"/>
      </w:divBdr>
    </w:div>
    <w:div w:id="1889994289">
      <w:marLeft w:val="640"/>
      <w:marRight w:val="0"/>
      <w:marTop w:val="0"/>
      <w:marBottom w:val="0"/>
      <w:divBdr>
        <w:top w:val="none" w:sz="0" w:space="0" w:color="auto"/>
        <w:left w:val="none" w:sz="0" w:space="0" w:color="auto"/>
        <w:bottom w:val="none" w:sz="0" w:space="0" w:color="auto"/>
        <w:right w:val="none" w:sz="0" w:space="0" w:color="auto"/>
      </w:divBdr>
    </w:div>
    <w:div w:id="1890216352">
      <w:marLeft w:val="640"/>
      <w:marRight w:val="0"/>
      <w:marTop w:val="0"/>
      <w:marBottom w:val="0"/>
      <w:divBdr>
        <w:top w:val="none" w:sz="0" w:space="0" w:color="auto"/>
        <w:left w:val="none" w:sz="0" w:space="0" w:color="auto"/>
        <w:bottom w:val="none" w:sz="0" w:space="0" w:color="auto"/>
        <w:right w:val="none" w:sz="0" w:space="0" w:color="auto"/>
      </w:divBdr>
    </w:div>
    <w:div w:id="1890727819">
      <w:marLeft w:val="640"/>
      <w:marRight w:val="0"/>
      <w:marTop w:val="0"/>
      <w:marBottom w:val="0"/>
      <w:divBdr>
        <w:top w:val="none" w:sz="0" w:space="0" w:color="auto"/>
        <w:left w:val="none" w:sz="0" w:space="0" w:color="auto"/>
        <w:bottom w:val="none" w:sz="0" w:space="0" w:color="auto"/>
        <w:right w:val="none" w:sz="0" w:space="0" w:color="auto"/>
      </w:divBdr>
    </w:div>
    <w:div w:id="1891457168">
      <w:marLeft w:val="640"/>
      <w:marRight w:val="0"/>
      <w:marTop w:val="0"/>
      <w:marBottom w:val="0"/>
      <w:divBdr>
        <w:top w:val="none" w:sz="0" w:space="0" w:color="auto"/>
        <w:left w:val="none" w:sz="0" w:space="0" w:color="auto"/>
        <w:bottom w:val="none" w:sz="0" w:space="0" w:color="auto"/>
        <w:right w:val="none" w:sz="0" w:space="0" w:color="auto"/>
      </w:divBdr>
    </w:div>
    <w:div w:id="1891529781">
      <w:marLeft w:val="640"/>
      <w:marRight w:val="0"/>
      <w:marTop w:val="0"/>
      <w:marBottom w:val="0"/>
      <w:divBdr>
        <w:top w:val="none" w:sz="0" w:space="0" w:color="auto"/>
        <w:left w:val="none" w:sz="0" w:space="0" w:color="auto"/>
        <w:bottom w:val="none" w:sz="0" w:space="0" w:color="auto"/>
        <w:right w:val="none" w:sz="0" w:space="0" w:color="auto"/>
      </w:divBdr>
    </w:div>
    <w:div w:id="1892038722">
      <w:marLeft w:val="640"/>
      <w:marRight w:val="0"/>
      <w:marTop w:val="0"/>
      <w:marBottom w:val="0"/>
      <w:divBdr>
        <w:top w:val="none" w:sz="0" w:space="0" w:color="auto"/>
        <w:left w:val="none" w:sz="0" w:space="0" w:color="auto"/>
        <w:bottom w:val="none" w:sz="0" w:space="0" w:color="auto"/>
        <w:right w:val="none" w:sz="0" w:space="0" w:color="auto"/>
      </w:divBdr>
    </w:div>
    <w:div w:id="1893039576">
      <w:marLeft w:val="640"/>
      <w:marRight w:val="0"/>
      <w:marTop w:val="0"/>
      <w:marBottom w:val="0"/>
      <w:divBdr>
        <w:top w:val="none" w:sz="0" w:space="0" w:color="auto"/>
        <w:left w:val="none" w:sz="0" w:space="0" w:color="auto"/>
        <w:bottom w:val="none" w:sz="0" w:space="0" w:color="auto"/>
        <w:right w:val="none" w:sz="0" w:space="0" w:color="auto"/>
      </w:divBdr>
    </w:div>
    <w:div w:id="1893225610">
      <w:marLeft w:val="640"/>
      <w:marRight w:val="0"/>
      <w:marTop w:val="0"/>
      <w:marBottom w:val="0"/>
      <w:divBdr>
        <w:top w:val="none" w:sz="0" w:space="0" w:color="auto"/>
        <w:left w:val="none" w:sz="0" w:space="0" w:color="auto"/>
        <w:bottom w:val="none" w:sz="0" w:space="0" w:color="auto"/>
        <w:right w:val="none" w:sz="0" w:space="0" w:color="auto"/>
      </w:divBdr>
    </w:div>
    <w:div w:id="1893298752">
      <w:marLeft w:val="640"/>
      <w:marRight w:val="0"/>
      <w:marTop w:val="0"/>
      <w:marBottom w:val="0"/>
      <w:divBdr>
        <w:top w:val="none" w:sz="0" w:space="0" w:color="auto"/>
        <w:left w:val="none" w:sz="0" w:space="0" w:color="auto"/>
        <w:bottom w:val="none" w:sz="0" w:space="0" w:color="auto"/>
        <w:right w:val="none" w:sz="0" w:space="0" w:color="auto"/>
      </w:divBdr>
    </w:div>
    <w:div w:id="1893930513">
      <w:marLeft w:val="640"/>
      <w:marRight w:val="0"/>
      <w:marTop w:val="0"/>
      <w:marBottom w:val="0"/>
      <w:divBdr>
        <w:top w:val="none" w:sz="0" w:space="0" w:color="auto"/>
        <w:left w:val="none" w:sz="0" w:space="0" w:color="auto"/>
        <w:bottom w:val="none" w:sz="0" w:space="0" w:color="auto"/>
        <w:right w:val="none" w:sz="0" w:space="0" w:color="auto"/>
      </w:divBdr>
    </w:div>
    <w:div w:id="1894852680">
      <w:marLeft w:val="640"/>
      <w:marRight w:val="0"/>
      <w:marTop w:val="0"/>
      <w:marBottom w:val="0"/>
      <w:divBdr>
        <w:top w:val="none" w:sz="0" w:space="0" w:color="auto"/>
        <w:left w:val="none" w:sz="0" w:space="0" w:color="auto"/>
        <w:bottom w:val="none" w:sz="0" w:space="0" w:color="auto"/>
        <w:right w:val="none" w:sz="0" w:space="0" w:color="auto"/>
      </w:divBdr>
    </w:div>
    <w:div w:id="1894997313">
      <w:marLeft w:val="640"/>
      <w:marRight w:val="0"/>
      <w:marTop w:val="0"/>
      <w:marBottom w:val="0"/>
      <w:divBdr>
        <w:top w:val="none" w:sz="0" w:space="0" w:color="auto"/>
        <w:left w:val="none" w:sz="0" w:space="0" w:color="auto"/>
        <w:bottom w:val="none" w:sz="0" w:space="0" w:color="auto"/>
        <w:right w:val="none" w:sz="0" w:space="0" w:color="auto"/>
      </w:divBdr>
    </w:div>
    <w:div w:id="1895506166">
      <w:marLeft w:val="640"/>
      <w:marRight w:val="0"/>
      <w:marTop w:val="0"/>
      <w:marBottom w:val="0"/>
      <w:divBdr>
        <w:top w:val="none" w:sz="0" w:space="0" w:color="auto"/>
        <w:left w:val="none" w:sz="0" w:space="0" w:color="auto"/>
        <w:bottom w:val="none" w:sz="0" w:space="0" w:color="auto"/>
        <w:right w:val="none" w:sz="0" w:space="0" w:color="auto"/>
      </w:divBdr>
    </w:div>
    <w:div w:id="1895773551">
      <w:marLeft w:val="640"/>
      <w:marRight w:val="0"/>
      <w:marTop w:val="0"/>
      <w:marBottom w:val="0"/>
      <w:divBdr>
        <w:top w:val="none" w:sz="0" w:space="0" w:color="auto"/>
        <w:left w:val="none" w:sz="0" w:space="0" w:color="auto"/>
        <w:bottom w:val="none" w:sz="0" w:space="0" w:color="auto"/>
        <w:right w:val="none" w:sz="0" w:space="0" w:color="auto"/>
      </w:divBdr>
    </w:div>
    <w:div w:id="1896693694">
      <w:marLeft w:val="640"/>
      <w:marRight w:val="0"/>
      <w:marTop w:val="0"/>
      <w:marBottom w:val="0"/>
      <w:divBdr>
        <w:top w:val="none" w:sz="0" w:space="0" w:color="auto"/>
        <w:left w:val="none" w:sz="0" w:space="0" w:color="auto"/>
        <w:bottom w:val="none" w:sz="0" w:space="0" w:color="auto"/>
        <w:right w:val="none" w:sz="0" w:space="0" w:color="auto"/>
      </w:divBdr>
    </w:div>
    <w:div w:id="1897082220">
      <w:marLeft w:val="640"/>
      <w:marRight w:val="0"/>
      <w:marTop w:val="0"/>
      <w:marBottom w:val="0"/>
      <w:divBdr>
        <w:top w:val="none" w:sz="0" w:space="0" w:color="auto"/>
        <w:left w:val="none" w:sz="0" w:space="0" w:color="auto"/>
        <w:bottom w:val="none" w:sz="0" w:space="0" w:color="auto"/>
        <w:right w:val="none" w:sz="0" w:space="0" w:color="auto"/>
      </w:divBdr>
    </w:div>
    <w:div w:id="1897541681">
      <w:marLeft w:val="640"/>
      <w:marRight w:val="0"/>
      <w:marTop w:val="0"/>
      <w:marBottom w:val="0"/>
      <w:divBdr>
        <w:top w:val="none" w:sz="0" w:space="0" w:color="auto"/>
        <w:left w:val="none" w:sz="0" w:space="0" w:color="auto"/>
        <w:bottom w:val="none" w:sz="0" w:space="0" w:color="auto"/>
        <w:right w:val="none" w:sz="0" w:space="0" w:color="auto"/>
      </w:divBdr>
    </w:div>
    <w:div w:id="1897934466">
      <w:marLeft w:val="640"/>
      <w:marRight w:val="0"/>
      <w:marTop w:val="0"/>
      <w:marBottom w:val="0"/>
      <w:divBdr>
        <w:top w:val="none" w:sz="0" w:space="0" w:color="auto"/>
        <w:left w:val="none" w:sz="0" w:space="0" w:color="auto"/>
        <w:bottom w:val="none" w:sz="0" w:space="0" w:color="auto"/>
        <w:right w:val="none" w:sz="0" w:space="0" w:color="auto"/>
      </w:divBdr>
    </w:div>
    <w:div w:id="1898541410">
      <w:marLeft w:val="640"/>
      <w:marRight w:val="0"/>
      <w:marTop w:val="0"/>
      <w:marBottom w:val="0"/>
      <w:divBdr>
        <w:top w:val="none" w:sz="0" w:space="0" w:color="auto"/>
        <w:left w:val="none" w:sz="0" w:space="0" w:color="auto"/>
        <w:bottom w:val="none" w:sz="0" w:space="0" w:color="auto"/>
        <w:right w:val="none" w:sz="0" w:space="0" w:color="auto"/>
      </w:divBdr>
    </w:div>
    <w:div w:id="1898586445">
      <w:marLeft w:val="640"/>
      <w:marRight w:val="0"/>
      <w:marTop w:val="0"/>
      <w:marBottom w:val="0"/>
      <w:divBdr>
        <w:top w:val="none" w:sz="0" w:space="0" w:color="auto"/>
        <w:left w:val="none" w:sz="0" w:space="0" w:color="auto"/>
        <w:bottom w:val="none" w:sz="0" w:space="0" w:color="auto"/>
        <w:right w:val="none" w:sz="0" w:space="0" w:color="auto"/>
      </w:divBdr>
    </w:div>
    <w:div w:id="1898741218">
      <w:marLeft w:val="640"/>
      <w:marRight w:val="0"/>
      <w:marTop w:val="0"/>
      <w:marBottom w:val="0"/>
      <w:divBdr>
        <w:top w:val="none" w:sz="0" w:space="0" w:color="auto"/>
        <w:left w:val="none" w:sz="0" w:space="0" w:color="auto"/>
        <w:bottom w:val="none" w:sz="0" w:space="0" w:color="auto"/>
        <w:right w:val="none" w:sz="0" w:space="0" w:color="auto"/>
      </w:divBdr>
    </w:div>
    <w:div w:id="1899046244">
      <w:marLeft w:val="640"/>
      <w:marRight w:val="0"/>
      <w:marTop w:val="0"/>
      <w:marBottom w:val="0"/>
      <w:divBdr>
        <w:top w:val="none" w:sz="0" w:space="0" w:color="auto"/>
        <w:left w:val="none" w:sz="0" w:space="0" w:color="auto"/>
        <w:bottom w:val="none" w:sz="0" w:space="0" w:color="auto"/>
        <w:right w:val="none" w:sz="0" w:space="0" w:color="auto"/>
      </w:divBdr>
    </w:div>
    <w:div w:id="1899394272">
      <w:marLeft w:val="640"/>
      <w:marRight w:val="0"/>
      <w:marTop w:val="0"/>
      <w:marBottom w:val="0"/>
      <w:divBdr>
        <w:top w:val="none" w:sz="0" w:space="0" w:color="auto"/>
        <w:left w:val="none" w:sz="0" w:space="0" w:color="auto"/>
        <w:bottom w:val="none" w:sz="0" w:space="0" w:color="auto"/>
        <w:right w:val="none" w:sz="0" w:space="0" w:color="auto"/>
      </w:divBdr>
    </w:div>
    <w:div w:id="1899435149">
      <w:marLeft w:val="640"/>
      <w:marRight w:val="0"/>
      <w:marTop w:val="0"/>
      <w:marBottom w:val="0"/>
      <w:divBdr>
        <w:top w:val="none" w:sz="0" w:space="0" w:color="auto"/>
        <w:left w:val="none" w:sz="0" w:space="0" w:color="auto"/>
        <w:bottom w:val="none" w:sz="0" w:space="0" w:color="auto"/>
        <w:right w:val="none" w:sz="0" w:space="0" w:color="auto"/>
      </w:divBdr>
    </w:div>
    <w:div w:id="1900171767">
      <w:marLeft w:val="640"/>
      <w:marRight w:val="0"/>
      <w:marTop w:val="0"/>
      <w:marBottom w:val="0"/>
      <w:divBdr>
        <w:top w:val="none" w:sz="0" w:space="0" w:color="auto"/>
        <w:left w:val="none" w:sz="0" w:space="0" w:color="auto"/>
        <w:bottom w:val="none" w:sz="0" w:space="0" w:color="auto"/>
        <w:right w:val="none" w:sz="0" w:space="0" w:color="auto"/>
      </w:divBdr>
    </w:div>
    <w:div w:id="1900245295">
      <w:marLeft w:val="640"/>
      <w:marRight w:val="0"/>
      <w:marTop w:val="0"/>
      <w:marBottom w:val="0"/>
      <w:divBdr>
        <w:top w:val="none" w:sz="0" w:space="0" w:color="auto"/>
        <w:left w:val="none" w:sz="0" w:space="0" w:color="auto"/>
        <w:bottom w:val="none" w:sz="0" w:space="0" w:color="auto"/>
        <w:right w:val="none" w:sz="0" w:space="0" w:color="auto"/>
      </w:divBdr>
    </w:div>
    <w:div w:id="1902129212">
      <w:marLeft w:val="640"/>
      <w:marRight w:val="0"/>
      <w:marTop w:val="0"/>
      <w:marBottom w:val="0"/>
      <w:divBdr>
        <w:top w:val="none" w:sz="0" w:space="0" w:color="auto"/>
        <w:left w:val="none" w:sz="0" w:space="0" w:color="auto"/>
        <w:bottom w:val="none" w:sz="0" w:space="0" w:color="auto"/>
        <w:right w:val="none" w:sz="0" w:space="0" w:color="auto"/>
      </w:divBdr>
    </w:div>
    <w:div w:id="1902865148">
      <w:marLeft w:val="640"/>
      <w:marRight w:val="0"/>
      <w:marTop w:val="0"/>
      <w:marBottom w:val="0"/>
      <w:divBdr>
        <w:top w:val="none" w:sz="0" w:space="0" w:color="auto"/>
        <w:left w:val="none" w:sz="0" w:space="0" w:color="auto"/>
        <w:bottom w:val="none" w:sz="0" w:space="0" w:color="auto"/>
        <w:right w:val="none" w:sz="0" w:space="0" w:color="auto"/>
      </w:divBdr>
    </w:div>
    <w:div w:id="1903443207">
      <w:marLeft w:val="640"/>
      <w:marRight w:val="0"/>
      <w:marTop w:val="0"/>
      <w:marBottom w:val="0"/>
      <w:divBdr>
        <w:top w:val="none" w:sz="0" w:space="0" w:color="auto"/>
        <w:left w:val="none" w:sz="0" w:space="0" w:color="auto"/>
        <w:bottom w:val="none" w:sz="0" w:space="0" w:color="auto"/>
        <w:right w:val="none" w:sz="0" w:space="0" w:color="auto"/>
      </w:divBdr>
    </w:div>
    <w:div w:id="1904558063">
      <w:marLeft w:val="640"/>
      <w:marRight w:val="0"/>
      <w:marTop w:val="0"/>
      <w:marBottom w:val="0"/>
      <w:divBdr>
        <w:top w:val="none" w:sz="0" w:space="0" w:color="auto"/>
        <w:left w:val="none" w:sz="0" w:space="0" w:color="auto"/>
        <w:bottom w:val="none" w:sz="0" w:space="0" w:color="auto"/>
        <w:right w:val="none" w:sz="0" w:space="0" w:color="auto"/>
      </w:divBdr>
    </w:div>
    <w:div w:id="1904682449">
      <w:marLeft w:val="640"/>
      <w:marRight w:val="0"/>
      <w:marTop w:val="0"/>
      <w:marBottom w:val="0"/>
      <w:divBdr>
        <w:top w:val="none" w:sz="0" w:space="0" w:color="auto"/>
        <w:left w:val="none" w:sz="0" w:space="0" w:color="auto"/>
        <w:bottom w:val="none" w:sz="0" w:space="0" w:color="auto"/>
        <w:right w:val="none" w:sz="0" w:space="0" w:color="auto"/>
      </w:divBdr>
    </w:div>
    <w:div w:id="1904758816">
      <w:marLeft w:val="640"/>
      <w:marRight w:val="0"/>
      <w:marTop w:val="0"/>
      <w:marBottom w:val="0"/>
      <w:divBdr>
        <w:top w:val="none" w:sz="0" w:space="0" w:color="auto"/>
        <w:left w:val="none" w:sz="0" w:space="0" w:color="auto"/>
        <w:bottom w:val="none" w:sz="0" w:space="0" w:color="auto"/>
        <w:right w:val="none" w:sz="0" w:space="0" w:color="auto"/>
      </w:divBdr>
    </w:div>
    <w:div w:id="1905527679">
      <w:marLeft w:val="640"/>
      <w:marRight w:val="0"/>
      <w:marTop w:val="0"/>
      <w:marBottom w:val="0"/>
      <w:divBdr>
        <w:top w:val="none" w:sz="0" w:space="0" w:color="auto"/>
        <w:left w:val="none" w:sz="0" w:space="0" w:color="auto"/>
        <w:bottom w:val="none" w:sz="0" w:space="0" w:color="auto"/>
        <w:right w:val="none" w:sz="0" w:space="0" w:color="auto"/>
      </w:divBdr>
    </w:div>
    <w:div w:id="1905876134">
      <w:marLeft w:val="640"/>
      <w:marRight w:val="0"/>
      <w:marTop w:val="0"/>
      <w:marBottom w:val="0"/>
      <w:divBdr>
        <w:top w:val="none" w:sz="0" w:space="0" w:color="auto"/>
        <w:left w:val="none" w:sz="0" w:space="0" w:color="auto"/>
        <w:bottom w:val="none" w:sz="0" w:space="0" w:color="auto"/>
        <w:right w:val="none" w:sz="0" w:space="0" w:color="auto"/>
      </w:divBdr>
    </w:div>
    <w:div w:id="1906256566">
      <w:marLeft w:val="640"/>
      <w:marRight w:val="0"/>
      <w:marTop w:val="0"/>
      <w:marBottom w:val="0"/>
      <w:divBdr>
        <w:top w:val="none" w:sz="0" w:space="0" w:color="auto"/>
        <w:left w:val="none" w:sz="0" w:space="0" w:color="auto"/>
        <w:bottom w:val="none" w:sz="0" w:space="0" w:color="auto"/>
        <w:right w:val="none" w:sz="0" w:space="0" w:color="auto"/>
      </w:divBdr>
    </w:div>
    <w:div w:id="1906257603">
      <w:marLeft w:val="640"/>
      <w:marRight w:val="0"/>
      <w:marTop w:val="0"/>
      <w:marBottom w:val="0"/>
      <w:divBdr>
        <w:top w:val="none" w:sz="0" w:space="0" w:color="auto"/>
        <w:left w:val="none" w:sz="0" w:space="0" w:color="auto"/>
        <w:bottom w:val="none" w:sz="0" w:space="0" w:color="auto"/>
        <w:right w:val="none" w:sz="0" w:space="0" w:color="auto"/>
      </w:divBdr>
    </w:div>
    <w:div w:id="1907841838">
      <w:marLeft w:val="640"/>
      <w:marRight w:val="0"/>
      <w:marTop w:val="0"/>
      <w:marBottom w:val="0"/>
      <w:divBdr>
        <w:top w:val="none" w:sz="0" w:space="0" w:color="auto"/>
        <w:left w:val="none" w:sz="0" w:space="0" w:color="auto"/>
        <w:bottom w:val="none" w:sz="0" w:space="0" w:color="auto"/>
        <w:right w:val="none" w:sz="0" w:space="0" w:color="auto"/>
      </w:divBdr>
    </w:div>
    <w:div w:id="1907954626">
      <w:marLeft w:val="640"/>
      <w:marRight w:val="0"/>
      <w:marTop w:val="0"/>
      <w:marBottom w:val="0"/>
      <w:divBdr>
        <w:top w:val="none" w:sz="0" w:space="0" w:color="auto"/>
        <w:left w:val="none" w:sz="0" w:space="0" w:color="auto"/>
        <w:bottom w:val="none" w:sz="0" w:space="0" w:color="auto"/>
        <w:right w:val="none" w:sz="0" w:space="0" w:color="auto"/>
      </w:divBdr>
    </w:div>
    <w:div w:id="1908030736">
      <w:marLeft w:val="640"/>
      <w:marRight w:val="0"/>
      <w:marTop w:val="0"/>
      <w:marBottom w:val="0"/>
      <w:divBdr>
        <w:top w:val="none" w:sz="0" w:space="0" w:color="auto"/>
        <w:left w:val="none" w:sz="0" w:space="0" w:color="auto"/>
        <w:bottom w:val="none" w:sz="0" w:space="0" w:color="auto"/>
        <w:right w:val="none" w:sz="0" w:space="0" w:color="auto"/>
      </w:divBdr>
    </w:div>
    <w:div w:id="1908177698">
      <w:marLeft w:val="640"/>
      <w:marRight w:val="0"/>
      <w:marTop w:val="0"/>
      <w:marBottom w:val="0"/>
      <w:divBdr>
        <w:top w:val="none" w:sz="0" w:space="0" w:color="auto"/>
        <w:left w:val="none" w:sz="0" w:space="0" w:color="auto"/>
        <w:bottom w:val="none" w:sz="0" w:space="0" w:color="auto"/>
        <w:right w:val="none" w:sz="0" w:space="0" w:color="auto"/>
      </w:divBdr>
    </w:div>
    <w:div w:id="1908571508">
      <w:marLeft w:val="640"/>
      <w:marRight w:val="0"/>
      <w:marTop w:val="0"/>
      <w:marBottom w:val="0"/>
      <w:divBdr>
        <w:top w:val="none" w:sz="0" w:space="0" w:color="auto"/>
        <w:left w:val="none" w:sz="0" w:space="0" w:color="auto"/>
        <w:bottom w:val="none" w:sz="0" w:space="0" w:color="auto"/>
        <w:right w:val="none" w:sz="0" w:space="0" w:color="auto"/>
      </w:divBdr>
    </w:div>
    <w:div w:id="1908806219">
      <w:marLeft w:val="640"/>
      <w:marRight w:val="0"/>
      <w:marTop w:val="0"/>
      <w:marBottom w:val="0"/>
      <w:divBdr>
        <w:top w:val="none" w:sz="0" w:space="0" w:color="auto"/>
        <w:left w:val="none" w:sz="0" w:space="0" w:color="auto"/>
        <w:bottom w:val="none" w:sz="0" w:space="0" w:color="auto"/>
        <w:right w:val="none" w:sz="0" w:space="0" w:color="auto"/>
      </w:divBdr>
    </w:div>
    <w:div w:id="1909147846">
      <w:marLeft w:val="640"/>
      <w:marRight w:val="0"/>
      <w:marTop w:val="0"/>
      <w:marBottom w:val="0"/>
      <w:divBdr>
        <w:top w:val="none" w:sz="0" w:space="0" w:color="auto"/>
        <w:left w:val="none" w:sz="0" w:space="0" w:color="auto"/>
        <w:bottom w:val="none" w:sz="0" w:space="0" w:color="auto"/>
        <w:right w:val="none" w:sz="0" w:space="0" w:color="auto"/>
      </w:divBdr>
    </w:div>
    <w:div w:id="1909220340">
      <w:marLeft w:val="640"/>
      <w:marRight w:val="0"/>
      <w:marTop w:val="0"/>
      <w:marBottom w:val="0"/>
      <w:divBdr>
        <w:top w:val="none" w:sz="0" w:space="0" w:color="auto"/>
        <w:left w:val="none" w:sz="0" w:space="0" w:color="auto"/>
        <w:bottom w:val="none" w:sz="0" w:space="0" w:color="auto"/>
        <w:right w:val="none" w:sz="0" w:space="0" w:color="auto"/>
      </w:divBdr>
    </w:div>
    <w:div w:id="1909882591">
      <w:marLeft w:val="640"/>
      <w:marRight w:val="0"/>
      <w:marTop w:val="0"/>
      <w:marBottom w:val="0"/>
      <w:divBdr>
        <w:top w:val="none" w:sz="0" w:space="0" w:color="auto"/>
        <w:left w:val="none" w:sz="0" w:space="0" w:color="auto"/>
        <w:bottom w:val="none" w:sz="0" w:space="0" w:color="auto"/>
        <w:right w:val="none" w:sz="0" w:space="0" w:color="auto"/>
      </w:divBdr>
    </w:div>
    <w:div w:id="1911579040">
      <w:marLeft w:val="640"/>
      <w:marRight w:val="0"/>
      <w:marTop w:val="0"/>
      <w:marBottom w:val="0"/>
      <w:divBdr>
        <w:top w:val="none" w:sz="0" w:space="0" w:color="auto"/>
        <w:left w:val="none" w:sz="0" w:space="0" w:color="auto"/>
        <w:bottom w:val="none" w:sz="0" w:space="0" w:color="auto"/>
        <w:right w:val="none" w:sz="0" w:space="0" w:color="auto"/>
      </w:divBdr>
    </w:div>
    <w:div w:id="1912038654">
      <w:marLeft w:val="640"/>
      <w:marRight w:val="0"/>
      <w:marTop w:val="0"/>
      <w:marBottom w:val="0"/>
      <w:divBdr>
        <w:top w:val="none" w:sz="0" w:space="0" w:color="auto"/>
        <w:left w:val="none" w:sz="0" w:space="0" w:color="auto"/>
        <w:bottom w:val="none" w:sz="0" w:space="0" w:color="auto"/>
        <w:right w:val="none" w:sz="0" w:space="0" w:color="auto"/>
      </w:divBdr>
    </w:div>
    <w:div w:id="1912689415">
      <w:marLeft w:val="640"/>
      <w:marRight w:val="0"/>
      <w:marTop w:val="0"/>
      <w:marBottom w:val="0"/>
      <w:divBdr>
        <w:top w:val="none" w:sz="0" w:space="0" w:color="auto"/>
        <w:left w:val="none" w:sz="0" w:space="0" w:color="auto"/>
        <w:bottom w:val="none" w:sz="0" w:space="0" w:color="auto"/>
        <w:right w:val="none" w:sz="0" w:space="0" w:color="auto"/>
      </w:divBdr>
    </w:div>
    <w:div w:id="1913158710">
      <w:marLeft w:val="640"/>
      <w:marRight w:val="0"/>
      <w:marTop w:val="0"/>
      <w:marBottom w:val="0"/>
      <w:divBdr>
        <w:top w:val="none" w:sz="0" w:space="0" w:color="auto"/>
        <w:left w:val="none" w:sz="0" w:space="0" w:color="auto"/>
        <w:bottom w:val="none" w:sz="0" w:space="0" w:color="auto"/>
        <w:right w:val="none" w:sz="0" w:space="0" w:color="auto"/>
      </w:divBdr>
    </w:div>
    <w:div w:id="1913350417">
      <w:marLeft w:val="640"/>
      <w:marRight w:val="0"/>
      <w:marTop w:val="0"/>
      <w:marBottom w:val="0"/>
      <w:divBdr>
        <w:top w:val="none" w:sz="0" w:space="0" w:color="auto"/>
        <w:left w:val="none" w:sz="0" w:space="0" w:color="auto"/>
        <w:bottom w:val="none" w:sz="0" w:space="0" w:color="auto"/>
        <w:right w:val="none" w:sz="0" w:space="0" w:color="auto"/>
      </w:divBdr>
    </w:div>
    <w:div w:id="1913848743">
      <w:marLeft w:val="640"/>
      <w:marRight w:val="0"/>
      <w:marTop w:val="0"/>
      <w:marBottom w:val="0"/>
      <w:divBdr>
        <w:top w:val="none" w:sz="0" w:space="0" w:color="auto"/>
        <w:left w:val="none" w:sz="0" w:space="0" w:color="auto"/>
        <w:bottom w:val="none" w:sz="0" w:space="0" w:color="auto"/>
        <w:right w:val="none" w:sz="0" w:space="0" w:color="auto"/>
      </w:divBdr>
    </w:div>
    <w:div w:id="1914003781">
      <w:marLeft w:val="640"/>
      <w:marRight w:val="0"/>
      <w:marTop w:val="0"/>
      <w:marBottom w:val="0"/>
      <w:divBdr>
        <w:top w:val="none" w:sz="0" w:space="0" w:color="auto"/>
        <w:left w:val="none" w:sz="0" w:space="0" w:color="auto"/>
        <w:bottom w:val="none" w:sz="0" w:space="0" w:color="auto"/>
        <w:right w:val="none" w:sz="0" w:space="0" w:color="auto"/>
      </w:divBdr>
    </w:div>
    <w:div w:id="1915233774">
      <w:marLeft w:val="640"/>
      <w:marRight w:val="0"/>
      <w:marTop w:val="0"/>
      <w:marBottom w:val="0"/>
      <w:divBdr>
        <w:top w:val="none" w:sz="0" w:space="0" w:color="auto"/>
        <w:left w:val="none" w:sz="0" w:space="0" w:color="auto"/>
        <w:bottom w:val="none" w:sz="0" w:space="0" w:color="auto"/>
        <w:right w:val="none" w:sz="0" w:space="0" w:color="auto"/>
      </w:divBdr>
    </w:div>
    <w:div w:id="1915316088">
      <w:marLeft w:val="640"/>
      <w:marRight w:val="0"/>
      <w:marTop w:val="0"/>
      <w:marBottom w:val="0"/>
      <w:divBdr>
        <w:top w:val="none" w:sz="0" w:space="0" w:color="auto"/>
        <w:left w:val="none" w:sz="0" w:space="0" w:color="auto"/>
        <w:bottom w:val="none" w:sz="0" w:space="0" w:color="auto"/>
        <w:right w:val="none" w:sz="0" w:space="0" w:color="auto"/>
      </w:divBdr>
    </w:div>
    <w:div w:id="1915509835">
      <w:marLeft w:val="640"/>
      <w:marRight w:val="0"/>
      <w:marTop w:val="0"/>
      <w:marBottom w:val="0"/>
      <w:divBdr>
        <w:top w:val="none" w:sz="0" w:space="0" w:color="auto"/>
        <w:left w:val="none" w:sz="0" w:space="0" w:color="auto"/>
        <w:bottom w:val="none" w:sz="0" w:space="0" w:color="auto"/>
        <w:right w:val="none" w:sz="0" w:space="0" w:color="auto"/>
      </w:divBdr>
    </w:div>
    <w:div w:id="1915578934">
      <w:marLeft w:val="640"/>
      <w:marRight w:val="0"/>
      <w:marTop w:val="0"/>
      <w:marBottom w:val="0"/>
      <w:divBdr>
        <w:top w:val="none" w:sz="0" w:space="0" w:color="auto"/>
        <w:left w:val="none" w:sz="0" w:space="0" w:color="auto"/>
        <w:bottom w:val="none" w:sz="0" w:space="0" w:color="auto"/>
        <w:right w:val="none" w:sz="0" w:space="0" w:color="auto"/>
      </w:divBdr>
    </w:div>
    <w:div w:id="1916163149">
      <w:marLeft w:val="640"/>
      <w:marRight w:val="0"/>
      <w:marTop w:val="0"/>
      <w:marBottom w:val="0"/>
      <w:divBdr>
        <w:top w:val="none" w:sz="0" w:space="0" w:color="auto"/>
        <w:left w:val="none" w:sz="0" w:space="0" w:color="auto"/>
        <w:bottom w:val="none" w:sz="0" w:space="0" w:color="auto"/>
        <w:right w:val="none" w:sz="0" w:space="0" w:color="auto"/>
      </w:divBdr>
    </w:div>
    <w:div w:id="1916666404">
      <w:marLeft w:val="640"/>
      <w:marRight w:val="0"/>
      <w:marTop w:val="0"/>
      <w:marBottom w:val="0"/>
      <w:divBdr>
        <w:top w:val="none" w:sz="0" w:space="0" w:color="auto"/>
        <w:left w:val="none" w:sz="0" w:space="0" w:color="auto"/>
        <w:bottom w:val="none" w:sz="0" w:space="0" w:color="auto"/>
        <w:right w:val="none" w:sz="0" w:space="0" w:color="auto"/>
      </w:divBdr>
    </w:div>
    <w:div w:id="1917084328">
      <w:marLeft w:val="640"/>
      <w:marRight w:val="0"/>
      <w:marTop w:val="0"/>
      <w:marBottom w:val="0"/>
      <w:divBdr>
        <w:top w:val="none" w:sz="0" w:space="0" w:color="auto"/>
        <w:left w:val="none" w:sz="0" w:space="0" w:color="auto"/>
        <w:bottom w:val="none" w:sz="0" w:space="0" w:color="auto"/>
        <w:right w:val="none" w:sz="0" w:space="0" w:color="auto"/>
      </w:divBdr>
    </w:div>
    <w:div w:id="1917399029">
      <w:marLeft w:val="640"/>
      <w:marRight w:val="0"/>
      <w:marTop w:val="0"/>
      <w:marBottom w:val="0"/>
      <w:divBdr>
        <w:top w:val="none" w:sz="0" w:space="0" w:color="auto"/>
        <w:left w:val="none" w:sz="0" w:space="0" w:color="auto"/>
        <w:bottom w:val="none" w:sz="0" w:space="0" w:color="auto"/>
        <w:right w:val="none" w:sz="0" w:space="0" w:color="auto"/>
      </w:divBdr>
    </w:div>
    <w:div w:id="1917402137">
      <w:marLeft w:val="640"/>
      <w:marRight w:val="0"/>
      <w:marTop w:val="0"/>
      <w:marBottom w:val="0"/>
      <w:divBdr>
        <w:top w:val="none" w:sz="0" w:space="0" w:color="auto"/>
        <w:left w:val="none" w:sz="0" w:space="0" w:color="auto"/>
        <w:bottom w:val="none" w:sz="0" w:space="0" w:color="auto"/>
        <w:right w:val="none" w:sz="0" w:space="0" w:color="auto"/>
      </w:divBdr>
    </w:div>
    <w:div w:id="1917594644">
      <w:marLeft w:val="640"/>
      <w:marRight w:val="0"/>
      <w:marTop w:val="0"/>
      <w:marBottom w:val="0"/>
      <w:divBdr>
        <w:top w:val="none" w:sz="0" w:space="0" w:color="auto"/>
        <w:left w:val="none" w:sz="0" w:space="0" w:color="auto"/>
        <w:bottom w:val="none" w:sz="0" w:space="0" w:color="auto"/>
        <w:right w:val="none" w:sz="0" w:space="0" w:color="auto"/>
      </w:divBdr>
    </w:div>
    <w:div w:id="1917864459">
      <w:marLeft w:val="640"/>
      <w:marRight w:val="0"/>
      <w:marTop w:val="0"/>
      <w:marBottom w:val="0"/>
      <w:divBdr>
        <w:top w:val="none" w:sz="0" w:space="0" w:color="auto"/>
        <w:left w:val="none" w:sz="0" w:space="0" w:color="auto"/>
        <w:bottom w:val="none" w:sz="0" w:space="0" w:color="auto"/>
        <w:right w:val="none" w:sz="0" w:space="0" w:color="auto"/>
      </w:divBdr>
    </w:div>
    <w:div w:id="1918518153">
      <w:marLeft w:val="640"/>
      <w:marRight w:val="0"/>
      <w:marTop w:val="0"/>
      <w:marBottom w:val="0"/>
      <w:divBdr>
        <w:top w:val="none" w:sz="0" w:space="0" w:color="auto"/>
        <w:left w:val="none" w:sz="0" w:space="0" w:color="auto"/>
        <w:bottom w:val="none" w:sz="0" w:space="0" w:color="auto"/>
        <w:right w:val="none" w:sz="0" w:space="0" w:color="auto"/>
      </w:divBdr>
    </w:div>
    <w:div w:id="1918586882">
      <w:marLeft w:val="640"/>
      <w:marRight w:val="0"/>
      <w:marTop w:val="0"/>
      <w:marBottom w:val="0"/>
      <w:divBdr>
        <w:top w:val="none" w:sz="0" w:space="0" w:color="auto"/>
        <w:left w:val="none" w:sz="0" w:space="0" w:color="auto"/>
        <w:bottom w:val="none" w:sz="0" w:space="0" w:color="auto"/>
        <w:right w:val="none" w:sz="0" w:space="0" w:color="auto"/>
      </w:divBdr>
    </w:div>
    <w:div w:id="1919552778">
      <w:marLeft w:val="640"/>
      <w:marRight w:val="0"/>
      <w:marTop w:val="0"/>
      <w:marBottom w:val="0"/>
      <w:divBdr>
        <w:top w:val="none" w:sz="0" w:space="0" w:color="auto"/>
        <w:left w:val="none" w:sz="0" w:space="0" w:color="auto"/>
        <w:bottom w:val="none" w:sz="0" w:space="0" w:color="auto"/>
        <w:right w:val="none" w:sz="0" w:space="0" w:color="auto"/>
      </w:divBdr>
    </w:div>
    <w:div w:id="1919555331">
      <w:marLeft w:val="640"/>
      <w:marRight w:val="0"/>
      <w:marTop w:val="0"/>
      <w:marBottom w:val="0"/>
      <w:divBdr>
        <w:top w:val="none" w:sz="0" w:space="0" w:color="auto"/>
        <w:left w:val="none" w:sz="0" w:space="0" w:color="auto"/>
        <w:bottom w:val="none" w:sz="0" w:space="0" w:color="auto"/>
        <w:right w:val="none" w:sz="0" w:space="0" w:color="auto"/>
      </w:divBdr>
    </w:div>
    <w:div w:id="1919972723">
      <w:marLeft w:val="640"/>
      <w:marRight w:val="0"/>
      <w:marTop w:val="0"/>
      <w:marBottom w:val="0"/>
      <w:divBdr>
        <w:top w:val="none" w:sz="0" w:space="0" w:color="auto"/>
        <w:left w:val="none" w:sz="0" w:space="0" w:color="auto"/>
        <w:bottom w:val="none" w:sz="0" w:space="0" w:color="auto"/>
        <w:right w:val="none" w:sz="0" w:space="0" w:color="auto"/>
      </w:divBdr>
    </w:div>
    <w:div w:id="1920286345">
      <w:marLeft w:val="640"/>
      <w:marRight w:val="0"/>
      <w:marTop w:val="0"/>
      <w:marBottom w:val="0"/>
      <w:divBdr>
        <w:top w:val="none" w:sz="0" w:space="0" w:color="auto"/>
        <w:left w:val="none" w:sz="0" w:space="0" w:color="auto"/>
        <w:bottom w:val="none" w:sz="0" w:space="0" w:color="auto"/>
        <w:right w:val="none" w:sz="0" w:space="0" w:color="auto"/>
      </w:divBdr>
    </w:div>
    <w:div w:id="1920409395">
      <w:marLeft w:val="640"/>
      <w:marRight w:val="0"/>
      <w:marTop w:val="0"/>
      <w:marBottom w:val="0"/>
      <w:divBdr>
        <w:top w:val="none" w:sz="0" w:space="0" w:color="auto"/>
        <w:left w:val="none" w:sz="0" w:space="0" w:color="auto"/>
        <w:bottom w:val="none" w:sz="0" w:space="0" w:color="auto"/>
        <w:right w:val="none" w:sz="0" w:space="0" w:color="auto"/>
      </w:divBdr>
    </w:div>
    <w:div w:id="1920485150">
      <w:marLeft w:val="640"/>
      <w:marRight w:val="0"/>
      <w:marTop w:val="0"/>
      <w:marBottom w:val="0"/>
      <w:divBdr>
        <w:top w:val="none" w:sz="0" w:space="0" w:color="auto"/>
        <w:left w:val="none" w:sz="0" w:space="0" w:color="auto"/>
        <w:bottom w:val="none" w:sz="0" w:space="0" w:color="auto"/>
        <w:right w:val="none" w:sz="0" w:space="0" w:color="auto"/>
      </w:divBdr>
    </w:div>
    <w:div w:id="1920866400">
      <w:marLeft w:val="640"/>
      <w:marRight w:val="0"/>
      <w:marTop w:val="0"/>
      <w:marBottom w:val="0"/>
      <w:divBdr>
        <w:top w:val="none" w:sz="0" w:space="0" w:color="auto"/>
        <w:left w:val="none" w:sz="0" w:space="0" w:color="auto"/>
        <w:bottom w:val="none" w:sz="0" w:space="0" w:color="auto"/>
        <w:right w:val="none" w:sz="0" w:space="0" w:color="auto"/>
      </w:divBdr>
    </w:div>
    <w:div w:id="1922173180">
      <w:marLeft w:val="640"/>
      <w:marRight w:val="0"/>
      <w:marTop w:val="0"/>
      <w:marBottom w:val="0"/>
      <w:divBdr>
        <w:top w:val="none" w:sz="0" w:space="0" w:color="auto"/>
        <w:left w:val="none" w:sz="0" w:space="0" w:color="auto"/>
        <w:bottom w:val="none" w:sz="0" w:space="0" w:color="auto"/>
        <w:right w:val="none" w:sz="0" w:space="0" w:color="auto"/>
      </w:divBdr>
    </w:div>
    <w:div w:id="1922178702">
      <w:marLeft w:val="640"/>
      <w:marRight w:val="0"/>
      <w:marTop w:val="0"/>
      <w:marBottom w:val="0"/>
      <w:divBdr>
        <w:top w:val="none" w:sz="0" w:space="0" w:color="auto"/>
        <w:left w:val="none" w:sz="0" w:space="0" w:color="auto"/>
        <w:bottom w:val="none" w:sz="0" w:space="0" w:color="auto"/>
        <w:right w:val="none" w:sz="0" w:space="0" w:color="auto"/>
      </w:divBdr>
    </w:div>
    <w:div w:id="1923443707">
      <w:marLeft w:val="640"/>
      <w:marRight w:val="0"/>
      <w:marTop w:val="0"/>
      <w:marBottom w:val="0"/>
      <w:divBdr>
        <w:top w:val="none" w:sz="0" w:space="0" w:color="auto"/>
        <w:left w:val="none" w:sz="0" w:space="0" w:color="auto"/>
        <w:bottom w:val="none" w:sz="0" w:space="0" w:color="auto"/>
        <w:right w:val="none" w:sz="0" w:space="0" w:color="auto"/>
      </w:divBdr>
    </w:div>
    <w:div w:id="1923447932">
      <w:marLeft w:val="640"/>
      <w:marRight w:val="0"/>
      <w:marTop w:val="0"/>
      <w:marBottom w:val="0"/>
      <w:divBdr>
        <w:top w:val="none" w:sz="0" w:space="0" w:color="auto"/>
        <w:left w:val="none" w:sz="0" w:space="0" w:color="auto"/>
        <w:bottom w:val="none" w:sz="0" w:space="0" w:color="auto"/>
        <w:right w:val="none" w:sz="0" w:space="0" w:color="auto"/>
      </w:divBdr>
    </w:div>
    <w:div w:id="1923490108">
      <w:marLeft w:val="640"/>
      <w:marRight w:val="0"/>
      <w:marTop w:val="0"/>
      <w:marBottom w:val="0"/>
      <w:divBdr>
        <w:top w:val="none" w:sz="0" w:space="0" w:color="auto"/>
        <w:left w:val="none" w:sz="0" w:space="0" w:color="auto"/>
        <w:bottom w:val="none" w:sz="0" w:space="0" w:color="auto"/>
        <w:right w:val="none" w:sz="0" w:space="0" w:color="auto"/>
      </w:divBdr>
    </w:div>
    <w:div w:id="1923946742">
      <w:marLeft w:val="640"/>
      <w:marRight w:val="0"/>
      <w:marTop w:val="0"/>
      <w:marBottom w:val="0"/>
      <w:divBdr>
        <w:top w:val="none" w:sz="0" w:space="0" w:color="auto"/>
        <w:left w:val="none" w:sz="0" w:space="0" w:color="auto"/>
        <w:bottom w:val="none" w:sz="0" w:space="0" w:color="auto"/>
        <w:right w:val="none" w:sz="0" w:space="0" w:color="auto"/>
      </w:divBdr>
    </w:div>
    <w:div w:id="1925646197">
      <w:marLeft w:val="640"/>
      <w:marRight w:val="0"/>
      <w:marTop w:val="0"/>
      <w:marBottom w:val="0"/>
      <w:divBdr>
        <w:top w:val="none" w:sz="0" w:space="0" w:color="auto"/>
        <w:left w:val="none" w:sz="0" w:space="0" w:color="auto"/>
        <w:bottom w:val="none" w:sz="0" w:space="0" w:color="auto"/>
        <w:right w:val="none" w:sz="0" w:space="0" w:color="auto"/>
      </w:divBdr>
    </w:div>
    <w:div w:id="1926650074">
      <w:marLeft w:val="640"/>
      <w:marRight w:val="0"/>
      <w:marTop w:val="0"/>
      <w:marBottom w:val="0"/>
      <w:divBdr>
        <w:top w:val="none" w:sz="0" w:space="0" w:color="auto"/>
        <w:left w:val="none" w:sz="0" w:space="0" w:color="auto"/>
        <w:bottom w:val="none" w:sz="0" w:space="0" w:color="auto"/>
        <w:right w:val="none" w:sz="0" w:space="0" w:color="auto"/>
      </w:divBdr>
    </w:div>
    <w:div w:id="1927492763">
      <w:marLeft w:val="640"/>
      <w:marRight w:val="0"/>
      <w:marTop w:val="0"/>
      <w:marBottom w:val="0"/>
      <w:divBdr>
        <w:top w:val="none" w:sz="0" w:space="0" w:color="auto"/>
        <w:left w:val="none" w:sz="0" w:space="0" w:color="auto"/>
        <w:bottom w:val="none" w:sz="0" w:space="0" w:color="auto"/>
        <w:right w:val="none" w:sz="0" w:space="0" w:color="auto"/>
      </w:divBdr>
    </w:div>
    <w:div w:id="1928155244">
      <w:marLeft w:val="640"/>
      <w:marRight w:val="0"/>
      <w:marTop w:val="0"/>
      <w:marBottom w:val="0"/>
      <w:divBdr>
        <w:top w:val="none" w:sz="0" w:space="0" w:color="auto"/>
        <w:left w:val="none" w:sz="0" w:space="0" w:color="auto"/>
        <w:bottom w:val="none" w:sz="0" w:space="0" w:color="auto"/>
        <w:right w:val="none" w:sz="0" w:space="0" w:color="auto"/>
      </w:divBdr>
    </w:div>
    <w:div w:id="1928341432">
      <w:marLeft w:val="640"/>
      <w:marRight w:val="0"/>
      <w:marTop w:val="0"/>
      <w:marBottom w:val="0"/>
      <w:divBdr>
        <w:top w:val="none" w:sz="0" w:space="0" w:color="auto"/>
        <w:left w:val="none" w:sz="0" w:space="0" w:color="auto"/>
        <w:bottom w:val="none" w:sz="0" w:space="0" w:color="auto"/>
        <w:right w:val="none" w:sz="0" w:space="0" w:color="auto"/>
      </w:divBdr>
    </w:div>
    <w:div w:id="1929076458">
      <w:marLeft w:val="640"/>
      <w:marRight w:val="0"/>
      <w:marTop w:val="0"/>
      <w:marBottom w:val="0"/>
      <w:divBdr>
        <w:top w:val="none" w:sz="0" w:space="0" w:color="auto"/>
        <w:left w:val="none" w:sz="0" w:space="0" w:color="auto"/>
        <w:bottom w:val="none" w:sz="0" w:space="0" w:color="auto"/>
        <w:right w:val="none" w:sz="0" w:space="0" w:color="auto"/>
      </w:divBdr>
    </w:div>
    <w:div w:id="1930962703">
      <w:marLeft w:val="640"/>
      <w:marRight w:val="0"/>
      <w:marTop w:val="0"/>
      <w:marBottom w:val="0"/>
      <w:divBdr>
        <w:top w:val="none" w:sz="0" w:space="0" w:color="auto"/>
        <w:left w:val="none" w:sz="0" w:space="0" w:color="auto"/>
        <w:bottom w:val="none" w:sz="0" w:space="0" w:color="auto"/>
        <w:right w:val="none" w:sz="0" w:space="0" w:color="auto"/>
      </w:divBdr>
    </w:div>
    <w:div w:id="1931281136">
      <w:marLeft w:val="640"/>
      <w:marRight w:val="0"/>
      <w:marTop w:val="0"/>
      <w:marBottom w:val="0"/>
      <w:divBdr>
        <w:top w:val="none" w:sz="0" w:space="0" w:color="auto"/>
        <w:left w:val="none" w:sz="0" w:space="0" w:color="auto"/>
        <w:bottom w:val="none" w:sz="0" w:space="0" w:color="auto"/>
        <w:right w:val="none" w:sz="0" w:space="0" w:color="auto"/>
      </w:divBdr>
    </w:div>
    <w:div w:id="1931309177">
      <w:marLeft w:val="640"/>
      <w:marRight w:val="0"/>
      <w:marTop w:val="0"/>
      <w:marBottom w:val="0"/>
      <w:divBdr>
        <w:top w:val="none" w:sz="0" w:space="0" w:color="auto"/>
        <w:left w:val="none" w:sz="0" w:space="0" w:color="auto"/>
        <w:bottom w:val="none" w:sz="0" w:space="0" w:color="auto"/>
        <w:right w:val="none" w:sz="0" w:space="0" w:color="auto"/>
      </w:divBdr>
    </w:div>
    <w:div w:id="1932080705">
      <w:marLeft w:val="640"/>
      <w:marRight w:val="0"/>
      <w:marTop w:val="0"/>
      <w:marBottom w:val="0"/>
      <w:divBdr>
        <w:top w:val="none" w:sz="0" w:space="0" w:color="auto"/>
        <w:left w:val="none" w:sz="0" w:space="0" w:color="auto"/>
        <w:bottom w:val="none" w:sz="0" w:space="0" w:color="auto"/>
        <w:right w:val="none" w:sz="0" w:space="0" w:color="auto"/>
      </w:divBdr>
    </w:div>
    <w:div w:id="1932352763">
      <w:marLeft w:val="640"/>
      <w:marRight w:val="0"/>
      <w:marTop w:val="0"/>
      <w:marBottom w:val="0"/>
      <w:divBdr>
        <w:top w:val="none" w:sz="0" w:space="0" w:color="auto"/>
        <w:left w:val="none" w:sz="0" w:space="0" w:color="auto"/>
        <w:bottom w:val="none" w:sz="0" w:space="0" w:color="auto"/>
        <w:right w:val="none" w:sz="0" w:space="0" w:color="auto"/>
      </w:divBdr>
    </w:div>
    <w:div w:id="1932812879">
      <w:marLeft w:val="640"/>
      <w:marRight w:val="0"/>
      <w:marTop w:val="0"/>
      <w:marBottom w:val="0"/>
      <w:divBdr>
        <w:top w:val="none" w:sz="0" w:space="0" w:color="auto"/>
        <w:left w:val="none" w:sz="0" w:space="0" w:color="auto"/>
        <w:bottom w:val="none" w:sz="0" w:space="0" w:color="auto"/>
        <w:right w:val="none" w:sz="0" w:space="0" w:color="auto"/>
      </w:divBdr>
    </w:div>
    <w:div w:id="1933272623">
      <w:marLeft w:val="640"/>
      <w:marRight w:val="0"/>
      <w:marTop w:val="0"/>
      <w:marBottom w:val="0"/>
      <w:divBdr>
        <w:top w:val="none" w:sz="0" w:space="0" w:color="auto"/>
        <w:left w:val="none" w:sz="0" w:space="0" w:color="auto"/>
        <w:bottom w:val="none" w:sz="0" w:space="0" w:color="auto"/>
        <w:right w:val="none" w:sz="0" w:space="0" w:color="auto"/>
      </w:divBdr>
    </w:div>
    <w:div w:id="1933778561">
      <w:marLeft w:val="640"/>
      <w:marRight w:val="0"/>
      <w:marTop w:val="0"/>
      <w:marBottom w:val="0"/>
      <w:divBdr>
        <w:top w:val="none" w:sz="0" w:space="0" w:color="auto"/>
        <w:left w:val="none" w:sz="0" w:space="0" w:color="auto"/>
        <w:bottom w:val="none" w:sz="0" w:space="0" w:color="auto"/>
        <w:right w:val="none" w:sz="0" w:space="0" w:color="auto"/>
      </w:divBdr>
    </w:div>
    <w:div w:id="1933782957">
      <w:marLeft w:val="640"/>
      <w:marRight w:val="0"/>
      <w:marTop w:val="0"/>
      <w:marBottom w:val="0"/>
      <w:divBdr>
        <w:top w:val="none" w:sz="0" w:space="0" w:color="auto"/>
        <w:left w:val="none" w:sz="0" w:space="0" w:color="auto"/>
        <w:bottom w:val="none" w:sz="0" w:space="0" w:color="auto"/>
        <w:right w:val="none" w:sz="0" w:space="0" w:color="auto"/>
      </w:divBdr>
    </w:div>
    <w:div w:id="1933859058">
      <w:marLeft w:val="640"/>
      <w:marRight w:val="0"/>
      <w:marTop w:val="0"/>
      <w:marBottom w:val="0"/>
      <w:divBdr>
        <w:top w:val="none" w:sz="0" w:space="0" w:color="auto"/>
        <w:left w:val="none" w:sz="0" w:space="0" w:color="auto"/>
        <w:bottom w:val="none" w:sz="0" w:space="0" w:color="auto"/>
        <w:right w:val="none" w:sz="0" w:space="0" w:color="auto"/>
      </w:divBdr>
    </w:div>
    <w:div w:id="1933927828">
      <w:marLeft w:val="640"/>
      <w:marRight w:val="0"/>
      <w:marTop w:val="0"/>
      <w:marBottom w:val="0"/>
      <w:divBdr>
        <w:top w:val="none" w:sz="0" w:space="0" w:color="auto"/>
        <w:left w:val="none" w:sz="0" w:space="0" w:color="auto"/>
        <w:bottom w:val="none" w:sz="0" w:space="0" w:color="auto"/>
        <w:right w:val="none" w:sz="0" w:space="0" w:color="auto"/>
      </w:divBdr>
    </w:div>
    <w:div w:id="1934892085">
      <w:marLeft w:val="640"/>
      <w:marRight w:val="0"/>
      <w:marTop w:val="0"/>
      <w:marBottom w:val="0"/>
      <w:divBdr>
        <w:top w:val="none" w:sz="0" w:space="0" w:color="auto"/>
        <w:left w:val="none" w:sz="0" w:space="0" w:color="auto"/>
        <w:bottom w:val="none" w:sz="0" w:space="0" w:color="auto"/>
        <w:right w:val="none" w:sz="0" w:space="0" w:color="auto"/>
      </w:divBdr>
    </w:div>
    <w:div w:id="1935164813">
      <w:marLeft w:val="640"/>
      <w:marRight w:val="0"/>
      <w:marTop w:val="0"/>
      <w:marBottom w:val="0"/>
      <w:divBdr>
        <w:top w:val="none" w:sz="0" w:space="0" w:color="auto"/>
        <w:left w:val="none" w:sz="0" w:space="0" w:color="auto"/>
        <w:bottom w:val="none" w:sz="0" w:space="0" w:color="auto"/>
        <w:right w:val="none" w:sz="0" w:space="0" w:color="auto"/>
      </w:divBdr>
    </w:div>
    <w:div w:id="1935279455">
      <w:marLeft w:val="640"/>
      <w:marRight w:val="0"/>
      <w:marTop w:val="0"/>
      <w:marBottom w:val="0"/>
      <w:divBdr>
        <w:top w:val="none" w:sz="0" w:space="0" w:color="auto"/>
        <w:left w:val="none" w:sz="0" w:space="0" w:color="auto"/>
        <w:bottom w:val="none" w:sz="0" w:space="0" w:color="auto"/>
        <w:right w:val="none" w:sz="0" w:space="0" w:color="auto"/>
      </w:divBdr>
    </w:div>
    <w:div w:id="1935625334">
      <w:marLeft w:val="640"/>
      <w:marRight w:val="0"/>
      <w:marTop w:val="0"/>
      <w:marBottom w:val="0"/>
      <w:divBdr>
        <w:top w:val="none" w:sz="0" w:space="0" w:color="auto"/>
        <w:left w:val="none" w:sz="0" w:space="0" w:color="auto"/>
        <w:bottom w:val="none" w:sz="0" w:space="0" w:color="auto"/>
        <w:right w:val="none" w:sz="0" w:space="0" w:color="auto"/>
      </w:divBdr>
    </w:div>
    <w:div w:id="1935742279">
      <w:marLeft w:val="640"/>
      <w:marRight w:val="0"/>
      <w:marTop w:val="0"/>
      <w:marBottom w:val="0"/>
      <w:divBdr>
        <w:top w:val="none" w:sz="0" w:space="0" w:color="auto"/>
        <w:left w:val="none" w:sz="0" w:space="0" w:color="auto"/>
        <w:bottom w:val="none" w:sz="0" w:space="0" w:color="auto"/>
        <w:right w:val="none" w:sz="0" w:space="0" w:color="auto"/>
      </w:divBdr>
    </w:div>
    <w:div w:id="1935899471">
      <w:marLeft w:val="640"/>
      <w:marRight w:val="0"/>
      <w:marTop w:val="0"/>
      <w:marBottom w:val="0"/>
      <w:divBdr>
        <w:top w:val="none" w:sz="0" w:space="0" w:color="auto"/>
        <w:left w:val="none" w:sz="0" w:space="0" w:color="auto"/>
        <w:bottom w:val="none" w:sz="0" w:space="0" w:color="auto"/>
        <w:right w:val="none" w:sz="0" w:space="0" w:color="auto"/>
      </w:divBdr>
    </w:div>
    <w:div w:id="1937590527">
      <w:marLeft w:val="640"/>
      <w:marRight w:val="0"/>
      <w:marTop w:val="0"/>
      <w:marBottom w:val="0"/>
      <w:divBdr>
        <w:top w:val="none" w:sz="0" w:space="0" w:color="auto"/>
        <w:left w:val="none" w:sz="0" w:space="0" w:color="auto"/>
        <w:bottom w:val="none" w:sz="0" w:space="0" w:color="auto"/>
        <w:right w:val="none" w:sz="0" w:space="0" w:color="auto"/>
      </w:divBdr>
    </w:div>
    <w:div w:id="1937908091">
      <w:marLeft w:val="640"/>
      <w:marRight w:val="0"/>
      <w:marTop w:val="0"/>
      <w:marBottom w:val="0"/>
      <w:divBdr>
        <w:top w:val="none" w:sz="0" w:space="0" w:color="auto"/>
        <w:left w:val="none" w:sz="0" w:space="0" w:color="auto"/>
        <w:bottom w:val="none" w:sz="0" w:space="0" w:color="auto"/>
        <w:right w:val="none" w:sz="0" w:space="0" w:color="auto"/>
      </w:divBdr>
    </w:div>
    <w:div w:id="1938518133">
      <w:marLeft w:val="640"/>
      <w:marRight w:val="0"/>
      <w:marTop w:val="0"/>
      <w:marBottom w:val="0"/>
      <w:divBdr>
        <w:top w:val="none" w:sz="0" w:space="0" w:color="auto"/>
        <w:left w:val="none" w:sz="0" w:space="0" w:color="auto"/>
        <w:bottom w:val="none" w:sz="0" w:space="0" w:color="auto"/>
        <w:right w:val="none" w:sz="0" w:space="0" w:color="auto"/>
      </w:divBdr>
    </w:div>
    <w:div w:id="1939481621">
      <w:marLeft w:val="640"/>
      <w:marRight w:val="0"/>
      <w:marTop w:val="0"/>
      <w:marBottom w:val="0"/>
      <w:divBdr>
        <w:top w:val="none" w:sz="0" w:space="0" w:color="auto"/>
        <w:left w:val="none" w:sz="0" w:space="0" w:color="auto"/>
        <w:bottom w:val="none" w:sz="0" w:space="0" w:color="auto"/>
        <w:right w:val="none" w:sz="0" w:space="0" w:color="auto"/>
      </w:divBdr>
    </w:div>
    <w:div w:id="1940138397">
      <w:marLeft w:val="640"/>
      <w:marRight w:val="0"/>
      <w:marTop w:val="0"/>
      <w:marBottom w:val="0"/>
      <w:divBdr>
        <w:top w:val="none" w:sz="0" w:space="0" w:color="auto"/>
        <w:left w:val="none" w:sz="0" w:space="0" w:color="auto"/>
        <w:bottom w:val="none" w:sz="0" w:space="0" w:color="auto"/>
        <w:right w:val="none" w:sz="0" w:space="0" w:color="auto"/>
      </w:divBdr>
    </w:div>
    <w:div w:id="1940791887">
      <w:marLeft w:val="640"/>
      <w:marRight w:val="0"/>
      <w:marTop w:val="0"/>
      <w:marBottom w:val="0"/>
      <w:divBdr>
        <w:top w:val="none" w:sz="0" w:space="0" w:color="auto"/>
        <w:left w:val="none" w:sz="0" w:space="0" w:color="auto"/>
        <w:bottom w:val="none" w:sz="0" w:space="0" w:color="auto"/>
        <w:right w:val="none" w:sz="0" w:space="0" w:color="auto"/>
      </w:divBdr>
    </w:div>
    <w:div w:id="1941523944">
      <w:marLeft w:val="640"/>
      <w:marRight w:val="0"/>
      <w:marTop w:val="0"/>
      <w:marBottom w:val="0"/>
      <w:divBdr>
        <w:top w:val="none" w:sz="0" w:space="0" w:color="auto"/>
        <w:left w:val="none" w:sz="0" w:space="0" w:color="auto"/>
        <w:bottom w:val="none" w:sz="0" w:space="0" w:color="auto"/>
        <w:right w:val="none" w:sz="0" w:space="0" w:color="auto"/>
      </w:divBdr>
    </w:div>
    <w:div w:id="1942099853">
      <w:marLeft w:val="640"/>
      <w:marRight w:val="0"/>
      <w:marTop w:val="0"/>
      <w:marBottom w:val="0"/>
      <w:divBdr>
        <w:top w:val="none" w:sz="0" w:space="0" w:color="auto"/>
        <w:left w:val="none" w:sz="0" w:space="0" w:color="auto"/>
        <w:bottom w:val="none" w:sz="0" w:space="0" w:color="auto"/>
        <w:right w:val="none" w:sz="0" w:space="0" w:color="auto"/>
      </w:divBdr>
    </w:div>
    <w:div w:id="1942489201">
      <w:marLeft w:val="640"/>
      <w:marRight w:val="0"/>
      <w:marTop w:val="0"/>
      <w:marBottom w:val="0"/>
      <w:divBdr>
        <w:top w:val="none" w:sz="0" w:space="0" w:color="auto"/>
        <w:left w:val="none" w:sz="0" w:space="0" w:color="auto"/>
        <w:bottom w:val="none" w:sz="0" w:space="0" w:color="auto"/>
        <w:right w:val="none" w:sz="0" w:space="0" w:color="auto"/>
      </w:divBdr>
    </w:div>
    <w:div w:id="1942688853">
      <w:marLeft w:val="640"/>
      <w:marRight w:val="0"/>
      <w:marTop w:val="0"/>
      <w:marBottom w:val="0"/>
      <w:divBdr>
        <w:top w:val="none" w:sz="0" w:space="0" w:color="auto"/>
        <w:left w:val="none" w:sz="0" w:space="0" w:color="auto"/>
        <w:bottom w:val="none" w:sz="0" w:space="0" w:color="auto"/>
        <w:right w:val="none" w:sz="0" w:space="0" w:color="auto"/>
      </w:divBdr>
    </w:div>
    <w:div w:id="1943101266">
      <w:marLeft w:val="640"/>
      <w:marRight w:val="0"/>
      <w:marTop w:val="0"/>
      <w:marBottom w:val="0"/>
      <w:divBdr>
        <w:top w:val="none" w:sz="0" w:space="0" w:color="auto"/>
        <w:left w:val="none" w:sz="0" w:space="0" w:color="auto"/>
        <w:bottom w:val="none" w:sz="0" w:space="0" w:color="auto"/>
        <w:right w:val="none" w:sz="0" w:space="0" w:color="auto"/>
      </w:divBdr>
    </w:div>
    <w:div w:id="1943419058">
      <w:marLeft w:val="640"/>
      <w:marRight w:val="0"/>
      <w:marTop w:val="0"/>
      <w:marBottom w:val="0"/>
      <w:divBdr>
        <w:top w:val="none" w:sz="0" w:space="0" w:color="auto"/>
        <w:left w:val="none" w:sz="0" w:space="0" w:color="auto"/>
        <w:bottom w:val="none" w:sz="0" w:space="0" w:color="auto"/>
        <w:right w:val="none" w:sz="0" w:space="0" w:color="auto"/>
      </w:divBdr>
    </w:div>
    <w:div w:id="1943486537">
      <w:marLeft w:val="640"/>
      <w:marRight w:val="0"/>
      <w:marTop w:val="0"/>
      <w:marBottom w:val="0"/>
      <w:divBdr>
        <w:top w:val="none" w:sz="0" w:space="0" w:color="auto"/>
        <w:left w:val="none" w:sz="0" w:space="0" w:color="auto"/>
        <w:bottom w:val="none" w:sz="0" w:space="0" w:color="auto"/>
        <w:right w:val="none" w:sz="0" w:space="0" w:color="auto"/>
      </w:divBdr>
    </w:div>
    <w:div w:id="1944025564">
      <w:marLeft w:val="640"/>
      <w:marRight w:val="0"/>
      <w:marTop w:val="0"/>
      <w:marBottom w:val="0"/>
      <w:divBdr>
        <w:top w:val="none" w:sz="0" w:space="0" w:color="auto"/>
        <w:left w:val="none" w:sz="0" w:space="0" w:color="auto"/>
        <w:bottom w:val="none" w:sz="0" w:space="0" w:color="auto"/>
        <w:right w:val="none" w:sz="0" w:space="0" w:color="auto"/>
      </w:divBdr>
    </w:div>
    <w:div w:id="1944607680">
      <w:marLeft w:val="640"/>
      <w:marRight w:val="0"/>
      <w:marTop w:val="0"/>
      <w:marBottom w:val="0"/>
      <w:divBdr>
        <w:top w:val="none" w:sz="0" w:space="0" w:color="auto"/>
        <w:left w:val="none" w:sz="0" w:space="0" w:color="auto"/>
        <w:bottom w:val="none" w:sz="0" w:space="0" w:color="auto"/>
        <w:right w:val="none" w:sz="0" w:space="0" w:color="auto"/>
      </w:divBdr>
    </w:div>
    <w:div w:id="1944654830">
      <w:marLeft w:val="640"/>
      <w:marRight w:val="0"/>
      <w:marTop w:val="0"/>
      <w:marBottom w:val="0"/>
      <w:divBdr>
        <w:top w:val="none" w:sz="0" w:space="0" w:color="auto"/>
        <w:left w:val="none" w:sz="0" w:space="0" w:color="auto"/>
        <w:bottom w:val="none" w:sz="0" w:space="0" w:color="auto"/>
        <w:right w:val="none" w:sz="0" w:space="0" w:color="auto"/>
      </w:divBdr>
    </w:div>
    <w:div w:id="1945727264">
      <w:marLeft w:val="640"/>
      <w:marRight w:val="0"/>
      <w:marTop w:val="0"/>
      <w:marBottom w:val="0"/>
      <w:divBdr>
        <w:top w:val="none" w:sz="0" w:space="0" w:color="auto"/>
        <w:left w:val="none" w:sz="0" w:space="0" w:color="auto"/>
        <w:bottom w:val="none" w:sz="0" w:space="0" w:color="auto"/>
        <w:right w:val="none" w:sz="0" w:space="0" w:color="auto"/>
      </w:divBdr>
    </w:div>
    <w:div w:id="1950965750">
      <w:marLeft w:val="640"/>
      <w:marRight w:val="0"/>
      <w:marTop w:val="0"/>
      <w:marBottom w:val="0"/>
      <w:divBdr>
        <w:top w:val="none" w:sz="0" w:space="0" w:color="auto"/>
        <w:left w:val="none" w:sz="0" w:space="0" w:color="auto"/>
        <w:bottom w:val="none" w:sz="0" w:space="0" w:color="auto"/>
        <w:right w:val="none" w:sz="0" w:space="0" w:color="auto"/>
      </w:divBdr>
    </w:div>
    <w:div w:id="1951471022">
      <w:marLeft w:val="640"/>
      <w:marRight w:val="0"/>
      <w:marTop w:val="0"/>
      <w:marBottom w:val="0"/>
      <w:divBdr>
        <w:top w:val="none" w:sz="0" w:space="0" w:color="auto"/>
        <w:left w:val="none" w:sz="0" w:space="0" w:color="auto"/>
        <w:bottom w:val="none" w:sz="0" w:space="0" w:color="auto"/>
        <w:right w:val="none" w:sz="0" w:space="0" w:color="auto"/>
      </w:divBdr>
    </w:div>
    <w:div w:id="1951737444">
      <w:marLeft w:val="640"/>
      <w:marRight w:val="0"/>
      <w:marTop w:val="0"/>
      <w:marBottom w:val="0"/>
      <w:divBdr>
        <w:top w:val="none" w:sz="0" w:space="0" w:color="auto"/>
        <w:left w:val="none" w:sz="0" w:space="0" w:color="auto"/>
        <w:bottom w:val="none" w:sz="0" w:space="0" w:color="auto"/>
        <w:right w:val="none" w:sz="0" w:space="0" w:color="auto"/>
      </w:divBdr>
    </w:div>
    <w:div w:id="1952127392">
      <w:marLeft w:val="640"/>
      <w:marRight w:val="0"/>
      <w:marTop w:val="0"/>
      <w:marBottom w:val="0"/>
      <w:divBdr>
        <w:top w:val="none" w:sz="0" w:space="0" w:color="auto"/>
        <w:left w:val="none" w:sz="0" w:space="0" w:color="auto"/>
        <w:bottom w:val="none" w:sz="0" w:space="0" w:color="auto"/>
        <w:right w:val="none" w:sz="0" w:space="0" w:color="auto"/>
      </w:divBdr>
    </w:div>
    <w:div w:id="1952973658">
      <w:marLeft w:val="640"/>
      <w:marRight w:val="0"/>
      <w:marTop w:val="0"/>
      <w:marBottom w:val="0"/>
      <w:divBdr>
        <w:top w:val="none" w:sz="0" w:space="0" w:color="auto"/>
        <w:left w:val="none" w:sz="0" w:space="0" w:color="auto"/>
        <w:bottom w:val="none" w:sz="0" w:space="0" w:color="auto"/>
        <w:right w:val="none" w:sz="0" w:space="0" w:color="auto"/>
      </w:divBdr>
    </w:div>
    <w:div w:id="1953589755">
      <w:marLeft w:val="640"/>
      <w:marRight w:val="0"/>
      <w:marTop w:val="0"/>
      <w:marBottom w:val="0"/>
      <w:divBdr>
        <w:top w:val="none" w:sz="0" w:space="0" w:color="auto"/>
        <w:left w:val="none" w:sz="0" w:space="0" w:color="auto"/>
        <w:bottom w:val="none" w:sz="0" w:space="0" w:color="auto"/>
        <w:right w:val="none" w:sz="0" w:space="0" w:color="auto"/>
      </w:divBdr>
    </w:div>
    <w:div w:id="1955087998">
      <w:marLeft w:val="640"/>
      <w:marRight w:val="0"/>
      <w:marTop w:val="0"/>
      <w:marBottom w:val="0"/>
      <w:divBdr>
        <w:top w:val="none" w:sz="0" w:space="0" w:color="auto"/>
        <w:left w:val="none" w:sz="0" w:space="0" w:color="auto"/>
        <w:bottom w:val="none" w:sz="0" w:space="0" w:color="auto"/>
        <w:right w:val="none" w:sz="0" w:space="0" w:color="auto"/>
      </w:divBdr>
    </w:div>
    <w:div w:id="1955090161">
      <w:marLeft w:val="640"/>
      <w:marRight w:val="0"/>
      <w:marTop w:val="0"/>
      <w:marBottom w:val="0"/>
      <w:divBdr>
        <w:top w:val="none" w:sz="0" w:space="0" w:color="auto"/>
        <w:left w:val="none" w:sz="0" w:space="0" w:color="auto"/>
        <w:bottom w:val="none" w:sz="0" w:space="0" w:color="auto"/>
        <w:right w:val="none" w:sz="0" w:space="0" w:color="auto"/>
      </w:divBdr>
    </w:div>
    <w:div w:id="1955093944">
      <w:marLeft w:val="640"/>
      <w:marRight w:val="0"/>
      <w:marTop w:val="0"/>
      <w:marBottom w:val="0"/>
      <w:divBdr>
        <w:top w:val="none" w:sz="0" w:space="0" w:color="auto"/>
        <w:left w:val="none" w:sz="0" w:space="0" w:color="auto"/>
        <w:bottom w:val="none" w:sz="0" w:space="0" w:color="auto"/>
        <w:right w:val="none" w:sz="0" w:space="0" w:color="auto"/>
      </w:divBdr>
    </w:div>
    <w:div w:id="1956061743">
      <w:marLeft w:val="640"/>
      <w:marRight w:val="0"/>
      <w:marTop w:val="0"/>
      <w:marBottom w:val="0"/>
      <w:divBdr>
        <w:top w:val="none" w:sz="0" w:space="0" w:color="auto"/>
        <w:left w:val="none" w:sz="0" w:space="0" w:color="auto"/>
        <w:bottom w:val="none" w:sz="0" w:space="0" w:color="auto"/>
        <w:right w:val="none" w:sz="0" w:space="0" w:color="auto"/>
      </w:divBdr>
    </w:div>
    <w:div w:id="1956717110">
      <w:marLeft w:val="640"/>
      <w:marRight w:val="0"/>
      <w:marTop w:val="0"/>
      <w:marBottom w:val="0"/>
      <w:divBdr>
        <w:top w:val="none" w:sz="0" w:space="0" w:color="auto"/>
        <w:left w:val="none" w:sz="0" w:space="0" w:color="auto"/>
        <w:bottom w:val="none" w:sz="0" w:space="0" w:color="auto"/>
        <w:right w:val="none" w:sz="0" w:space="0" w:color="auto"/>
      </w:divBdr>
    </w:div>
    <w:div w:id="1957326191">
      <w:marLeft w:val="640"/>
      <w:marRight w:val="0"/>
      <w:marTop w:val="0"/>
      <w:marBottom w:val="0"/>
      <w:divBdr>
        <w:top w:val="none" w:sz="0" w:space="0" w:color="auto"/>
        <w:left w:val="none" w:sz="0" w:space="0" w:color="auto"/>
        <w:bottom w:val="none" w:sz="0" w:space="0" w:color="auto"/>
        <w:right w:val="none" w:sz="0" w:space="0" w:color="auto"/>
      </w:divBdr>
    </w:div>
    <w:div w:id="1957370409">
      <w:marLeft w:val="640"/>
      <w:marRight w:val="0"/>
      <w:marTop w:val="0"/>
      <w:marBottom w:val="0"/>
      <w:divBdr>
        <w:top w:val="none" w:sz="0" w:space="0" w:color="auto"/>
        <w:left w:val="none" w:sz="0" w:space="0" w:color="auto"/>
        <w:bottom w:val="none" w:sz="0" w:space="0" w:color="auto"/>
        <w:right w:val="none" w:sz="0" w:space="0" w:color="auto"/>
      </w:divBdr>
    </w:div>
    <w:div w:id="1957982643">
      <w:marLeft w:val="640"/>
      <w:marRight w:val="0"/>
      <w:marTop w:val="0"/>
      <w:marBottom w:val="0"/>
      <w:divBdr>
        <w:top w:val="none" w:sz="0" w:space="0" w:color="auto"/>
        <w:left w:val="none" w:sz="0" w:space="0" w:color="auto"/>
        <w:bottom w:val="none" w:sz="0" w:space="0" w:color="auto"/>
        <w:right w:val="none" w:sz="0" w:space="0" w:color="auto"/>
      </w:divBdr>
    </w:div>
    <w:div w:id="1958218232">
      <w:marLeft w:val="640"/>
      <w:marRight w:val="0"/>
      <w:marTop w:val="0"/>
      <w:marBottom w:val="0"/>
      <w:divBdr>
        <w:top w:val="none" w:sz="0" w:space="0" w:color="auto"/>
        <w:left w:val="none" w:sz="0" w:space="0" w:color="auto"/>
        <w:bottom w:val="none" w:sz="0" w:space="0" w:color="auto"/>
        <w:right w:val="none" w:sz="0" w:space="0" w:color="auto"/>
      </w:divBdr>
    </w:div>
    <w:div w:id="1959798230">
      <w:marLeft w:val="640"/>
      <w:marRight w:val="0"/>
      <w:marTop w:val="0"/>
      <w:marBottom w:val="0"/>
      <w:divBdr>
        <w:top w:val="none" w:sz="0" w:space="0" w:color="auto"/>
        <w:left w:val="none" w:sz="0" w:space="0" w:color="auto"/>
        <w:bottom w:val="none" w:sz="0" w:space="0" w:color="auto"/>
        <w:right w:val="none" w:sz="0" w:space="0" w:color="auto"/>
      </w:divBdr>
    </w:div>
    <w:div w:id="1960255991">
      <w:marLeft w:val="640"/>
      <w:marRight w:val="0"/>
      <w:marTop w:val="0"/>
      <w:marBottom w:val="0"/>
      <w:divBdr>
        <w:top w:val="none" w:sz="0" w:space="0" w:color="auto"/>
        <w:left w:val="none" w:sz="0" w:space="0" w:color="auto"/>
        <w:bottom w:val="none" w:sz="0" w:space="0" w:color="auto"/>
        <w:right w:val="none" w:sz="0" w:space="0" w:color="auto"/>
      </w:divBdr>
    </w:div>
    <w:div w:id="1960257205">
      <w:marLeft w:val="640"/>
      <w:marRight w:val="0"/>
      <w:marTop w:val="0"/>
      <w:marBottom w:val="0"/>
      <w:divBdr>
        <w:top w:val="none" w:sz="0" w:space="0" w:color="auto"/>
        <w:left w:val="none" w:sz="0" w:space="0" w:color="auto"/>
        <w:bottom w:val="none" w:sz="0" w:space="0" w:color="auto"/>
        <w:right w:val="none" w:sz="0" w:space="0" w:color="auto"/>
      </w:divBdr>
    </w:div>
    <w:div w:id="1960261502">
      <w:marLeft w:val="640"/>
      <w:marRight w:val="0"/>
      <w:marTop w:val="0"/>
      <w:marBottom w:val="0"/>
      <w:divBdr>
        <w:top w:val="none" w:sz="0" w:space="0" w:color="auto"/>
        <w:left w:val="none" w:sz="0" w:space="0" w:color="auto"/>
        <w:bottom w:val="none" w:sz="0" w:space="0" w:color="auto"/>
        <w:right w:val="none" w:sz="0" w:space="0" w:color="auto"/>
      </w:divBdr>
    </w:div>
    <w:div w:id="1961107352">
      <w:marLeft w:val="640"/>
      <w:marRight w:val="0"/>
      <w:marTop w:val="0"/>
      <w:marBottom w:val="0"/>
      <w:divBdr>
        <w:top w:val="none" w:sz="0" w:space="0" w:color="auto"/>
        <w:left w:val="none" w:sz="0" w:space="0" w:color="auto"/>
        <w:bottom w:val="none" w:sz="0" w:space="0" w:color="auto"/>
        <w:right w:val="none" w:sz="0" w:space="0" w:color="auto"/>
      </w:divBdr>
    </w:div>
    <w:div w:id="1962493470">
      <w:marLeft w:val="640"/>
      <w:marRight w:val="0"/>
      <w:marTop w:val="0"/>
      <w:marBottom w:val="0"/>
      <w:divBdr>
        <w:top w:val="none" w:sz="0" w:space="0" w:color="auto"/>
        <w:left w:val="none" w:sz="0" w:space="0" w:color="auto"/>
        <w:bottom w:val="none" w:sz="0" w:space="0" w:color="auto"/>
        <w:right w:val="none" w:sz="0" w:space="0" w:color="auto"/>
      </w:divBdr>
    </w:div>
    <w:div w:id="1963725796">
      <w:marLeft w:val="640"/>
      <w:marRight w:val="0"/>
      <w:marTop w:val="0"/>
      <w:marBottom w:val="0"/>
      <w:divBdr>
        <w:top w:val="none" w:sz="0" w:space="0" w:color="auto"/>
        <w:left w:val="none" w:sz="0" w:space="0" w:color="auto"/>
        <w:bottom w:val="none" w:sz="0" w:space="0" w:color="auto"/>
        <w:right w:val="none" w:sz="0" w:space="0" w:color="auto"/>
      </w:divBdr>
    </w:div>
    <w:div w:id="1963807897">
      <w:marLeft w:val="640"/>
      <w:marRight w:val="0"/>
      <w:marTop w:val="0"/>
      <w:marBottom w:val="0"/>
      <w:divBdr>
        <w:top w:val="none" w:sz="0" w:space="0" w:color="auto"/>
        <w:left w:val="none" w:sz="0" w:space="0" w:color="auto"/>
        <w:bottom w:val="none" w:sz="0" w:space="0" w:color="auto"/>
        <w:right w:val="none" w:sz="0" w:space="0" w:color="auto"/>
      </w:divBdr>
    </w:div>
    <w:div w:id="1964457177">
      <w:marLeft w:val="640"/>
      <w:marRight w:val="0"/>
      <w:marTop w:val="0"/>
      <w:marBottom w:val="0"/>
      <w:divBdr>
        <w:top w:val="none" w:sz="0" w:space="0" w:color="auto"/>
        <w:left w:val="none" w:sz="0" w:space="0" w:color="auto"/>
        <w:bottom w:val="none" w:sz="0" w:space="0" w:color="auto"/>
        <w:right w:val="none" w:sz="0" w:space="0" w:color="auto"/>
      </w:divBdr>
    </w:div>
    <w:div w:id="1964533169">
      <w:marLeft w:val="640"/>
      <w:marRight w:val="0"/>
      <w:marTop w:val="0"/>
      <w:marBottom w:val="0"/>
      <w:divBdr>
        <w:top w:val="none" w:sz="0" w:space="0" w:color="auto"/>
        <w:left w:val="none" w:sz="0" w:space="0" w:color="auto"/>
        <w:bottom w:val="none" w:sz="0" w:space="0" w:color="auto"/>
        <w:right w:val="none" w:sz="0" w:space="0" w:color="auto"/>
      </w:divBdr>
    </w:div>
    <w:div w:id="1964841818">
      <w:marLeft w:val="640"/>
      <w:marRight w:val="0"/>
      <w:marTop w:val="0"/>
      <w:marBottom w:val="0"/>
      <w:divBdr>
        <w:top w:val="none" w:sz="0" w:space="0" w:color="auto"/>
        <w:left w:val="none" w:sz="0" w:space="0" w:color="auto"/>
        <w:bottom w:val="none" w:sz="0" w:space="0" w:color="auto"/>
        <w:right w:val="none" w:sz="0" w:space="0" w:color="auto"/>
      </w:divBdr>
    </w:div>
    <w:div w:id="1965041676">
      <w:marLeft w:val="640"/>
      <w:marRight w:val="0"/>
      <w:marTop w:val="0"/>
      <w:marBottom w:val="0"/>
      <w:divBdr>
        <w:top w:val="none" w:sz="0" w:space="0" w:color="auto"/>
        <w:left w:val="none" w:sz="0" w:space="0" w:color="auto"/>
        <w:bottom w:val="none" w:sz="0" w:space="0" w:color="auto"/>
        <w:right w:val="none" w:sz="0" w:space="0" w:color="auto"/>
      </w:divBdr>
    </w:div>
    <w:div w:id="1965186138">
      <w:marLeft w:val="640"/>
      <w:marRight w:val="0"/>
      <w:marTop w:val="0"/>
      <w:marBottom w:val="0"/>
      <w:divBdr>
        <w:top w:val="none" w:sz="0" w:space="0" w:color="auto"/>
        <w:left w:val="none" w:sz="0" w:space="0" w:color="auto"/>
        <w:bottom w:val="none" w:sz="0" w:space="0" w:color="auto"/>
        <w:right w:val="none" w:sz="0" w:space="0" w:color="auto"/>
      </w:divBdr>
    </w:div>
    <w:div w:id="1966811829">
      <w:marLeft w:val="640"/>
      <w:marRight w:val="0"/>
      <w:marTop w:val="0"/>
      <w:marBottom w:val="0"/>
      <w:divBdr>
        <w:top w:val="none" w:sz="0" w:space="0" w:color="auto"/>
        <w:left w:val="none" w:sz="0" w:space="0" w:color="auto"/>
        <w:bottom w:val="none" w:sz="0" w:space="0" w:color="auto"/>
        <w:right w:val="none" w:sz="0" w:space="0" w:color="auto"/>
      </w:divBdr>
    </w:div>
    <w:div w:id="1966816142">
      <w:marLeft w:val="640"/>
      <w:marRight w:val="0"/>
      <w:marTop w:val="0"/>
      <w:marBottom w:val="0"/>
      <w:divBdr>
        <w:top w:val="none" w:sz="0" w:space="0" w:color="auto"/>
        <w:left w:val="none" w:sz="0" w:space="0" w:color="auto"/>
        <w:bottom w:val="none" w:sz="0" w:space="0" w:color="auto"/>
        <w:right w:val="none" w:sz="0" w:space="0" w:color="auto"/>
      </w:divBdr>
    </w:div>
    <w:div w:id="1967928163">
      <w:marLeft w:val="640"/>
      <w:marRight w:val="0"/>
      <w:marTop w:val="0"/>
      <w:marBottom w:val="0"/>
      <w:divBdr>
        <w:top w:val="none" w:sz="0" w:space="0" w:color="auto"/>
        <w:left w:val="none" w:sz="0" w:space="0" w:color="auto"/>
        <w:bottom w:val="none" w:sz="0" w:space="0" w:color="auto"/>
        <w:right w:val="none" w:sz="0" w:space="0" w:color="auto"/>
      </w:divBdr>
    </w:div>
    <w:div w:id="1968468848">
      <w:marLeft w:val="640"/>
      <w:marRight w:val="0"/>
      <w:marTop w:val="0"/>
      <w:marBottom w:val="0"/>
      <w:divBdr>
        <w:top w:val="none" w:sz="0" w:space="0" w:color="auto"/>
        <w:left w:val="none" w:sz="0" w:space="0" w:color="auto"/>
        <w:bottom w:val="none" w:sz="0" w:space="0" w:color="auto"/>
        <w:right w:val="none" w:sz="0" w:space="0" w:color="auto"/>
      </w:divBdr>
    </w:div>
    <w:div w:id="1968513286">
      <w:marLeft w:val="640"/>
      <w:marRight w:val="0"/>
      <w:marTop w:val="0"/>
      <w:marBottom w:val="0"/>
      <w:divBdr>
        <w:top w:val="none" w:sz="0" w:space="0" w:color="auto"/>
        <w:left w:val="none" w:sz="0" w:space="0" w:color="auto"/>
        <w:bottom w:val="none" w:sz="0" w:space="0" w:color="auto"/>
        <w:right w:val="none" w:sz="0" w:space="0" w:color="auto"/>
      </w:divBdr>
    </w:div>
    <w:div w:id="1968580155">
      <w:marLeft w:val="640"/>
      <w:marRight w:val="0"/>
      <w:marTop w:val="0"/>
      <w:marBottom w:val="0"/>
      <w:divBdr>
        <w:top w:val="none" w:sz="0" w:space="0" w:color="auto"/>
        <w:left w:val="none" w:sz="0" w:space="0" w:color="auto"/>
        <w:bottom w:val="none" w:sz="0" w:space="0" w:color="auto"/>
        <w:right w:val="none" w:sz="0" w:space="0" w:color="auto"/>
      </w:divBdr>
    </w:div>
    <w:div w:id="1968730544">
      <w:marLeft w:val="640"/>
      <w:marRight w:val="0"/>
      <w:marTop w:val="0"/>
      <w:marBottom w:val="0"/>
      <w:divBdr>
        <w:top w:val="none" w:sz="0" w:space="0" w:color="auto"/>
        <w:left w:val="none" w:sz="0" w:space="0" w:color="auto"/>
        <w:bottom w:val="none" w:sz="0" w:space="0" w:color="auto"/>
        <w:right w:val="none" w:sz="0" w:space="0" w:color="auto"/>
      </w:divBdr>
    </w:div>
    <w:div w:id="1968777432">
      <w:marLeft w:val="640"/>
      <w:marRight w:val="0"/>
      <w:marTop w:val="0"/>
      <w:marBottom w:val="0"/>
      <w:divBdr>
        <w:top w:val="none" w:sz="0" w:space="0" w:color="auto"/>
        <w:left w:val="none" w:sz="0" w:space="0" w:color="auto"/>
        <w:bottom w:val="none" w:sz="0" w:space="0" w:color="auto"/>
        <w:right w:val="none" w:sz="0" w:space="0" w:color="auto"/>
      </w:divBdr>
    </w:div>
    <w:div w:id="1968973277">
      <w:marLeft w:val="640"/>
      <w:marRight w:val="0"/>
      <w:marTop w:val="0"/>
      <w:marBottom w:val="0"/>
      <w:divBdr>
        <w:top w:val="none" w:sz="0" w:space="0" w:color="auto"/>
        <w:left w:val="none" w:sz="0" w:space="0" w:color="auto"/>
        <w:bottom w:val="none" w:sz="0" w:space="0" w:color="auto"/>
        <w:right w:val="none" w:sz="0" w:space="0" w:color="auto"/>
      </w:divBdr>
    </w:div>
    <w:div w:id="1969967396">
      <w:marLeft w:val="640"/>
      <w:marRight w:val="0"/>
      <w:marTop w:val="0"/>
      <w:marBottom w:val="0"/>
      <w:divBdr>
        <w:top w:val="none" w:sz="0" w:space="0" w:color="auto"/>
        <w:left w:val="none" w:sz="0" w:space="0" w:color="auto"/>
        <w:bottom w:val="none" w:sz="0" w:space="0" w:color="auto"/>
        <w:right w:val="none" w:sz="0" w:space="0" w:color="auto"/>
      </w:divBdr>
    </w:div>
    <w:div w:id="1970087095">
      <w:marLeft w:val="640"/>
      <w:marRight w:val="0"/>
      <w:marTop w:val="0"/>
      <w:marBottom w:val="0"/>
      <w:divBdr>
        <w:top w:val="none" w:sz="0" w:space="0" w:color="auto"/>
        <w:left w:val="none" w:sz="0" w:space="0" w:color="auto"/>
        <w:bottom w:val="none" w:sz="0" w:space="0" w:color="auto"/>
        <w:right w:val="none" w:sz="0" w:space="0" w:color="auto"/>
      </w:divBdr>
    </w:div>
    <w:div w:id="1970353242">
      <w:marLeft w:val="640"/>
      <w:marRight w:val="0"/>
      <w:marTop w:val="0"/>
      <w:marBottom w:val="0"/>
      <w:divBdr>
        <w:top w:val="none" w:sz="0" w:space="0" w:color="auto"/>
        <w:left w:val="none" w:sz="0" w:space="0" w:color="auto"/>
        <w:bottom w:val="none" w:sz="0" w:space="0" w:color="auto"/>
        <w:right w:val="none" w:sz="0" w:space="0" w:color="auto"/>
      </w:divBdr>
    </w:div>
    <w:div w:id="1971279463">
      <w:marLeft w:val="640"/>
      <w:marRight w:val="0"/>
      <w:marTop w:val="0"/>
      <w:marBottom w:val="0"/>
      <w:divBdr>
        <w:top w:val="none" w:sz="0" w:space="0" w:color="auto"/>
        <w:left w:val="none" w:sz="0" w:space="0" w:color="auto"/>
        <w:bottom w:val="none" w:sz="0" w:space="0" w:color="auto"/>
        <w:right w:val="none" w:sz="0" w:space="0" w:color="auto"/>
      </w:divBdr>
    </w:div>
    <w:div w:id="1971669593">
      <w:marLeft w:val="640"/>
      <w:marRight w:val="0"/>
      <w:marTop w:val="0"/>
      <w:marBottom w:val="0"/>
      <w:divBdr>
        <w:top w:val="none" w:sz="0" w:space="0" w:color="auto"/>
        <w:left w:val="none" w:sz="0" w:space="0" w:color="auto"/>
        <w:bottom w:val="none" w:sz="0" w:space="0" w:color="auto"/>
        <w:right w:val="none" w:sz="0" w:space="0" w:color="auto"/>
      </w:divBdr>
    </w:div>
    <w:div w:id="1971814004">
      <w:marLeft w:val="640"/>
      <w:marRight w:val="0"/>
      <w:marTop w:val="0"/>
      <w:marBottom w:val="0"/>
      <w:divBdr>
        <w:top w:val="none" w:sz="0" w:space="0" w:color="auto"/>
        <w:left w:val="none" w:sz="0" w:space="0" w:color="auto"/>
        <w:bottom w:val="none" w:sz="0" w:space="0" w:color="auto"/>
        <w:right w:val="none" w:sz="0" w:space="0" w:color="auto"/>
      </w:divBdr>
    </w:div>
    <w:div w:id="1972860535">
      <w:marLeft w:val="640"/>
      <w:marRight w:val="0"/>
      <w:marTop w:val="0"/>
      <w:marBottom w:val="0"/>
      <w:divBdr>
        <w:top w:val="none" w:sz="0" w:space="0" w:color="auto"/>
        <w:left w:val="none" w:sz="0" w:space="0" w:color="auto"/>
        <w:bottom w:val="none" w:sz="0" w:space="0" w:color="auto"/>
        <w:right w:val="none" w:sz="0" w:space="0" w:color="auto"/>
      </w:divBdr>
    </w:div>
    <w:div w:id="1972862728">
      <w:marLeft w:val="640"/>
      <w:marRight w:val="0"/>
      <w:marTop w:val="0"/>
      <w:marBottom w:val="0"/>
      <w:divBdr>
        <w:top w:val="none" w:sz="0" w:space="0" w:color="auto"/>
        <w:left w:val="none" w:sz="0" w:space="0" w:color="auto"/>
        <w:bottom w:val="none" w:sz="0" w:space="0" w:color="auto"/>
        <w:right w:val="none" w:sz="0" w:space="0" w:color="auto"/>
      </w:divBdr>
    </w:div>
    <w:div w:id="1973367824">
      <w:marLeft w:val="640"/>
      <w:marRight w:val="0"/>
      <w:marTop w:val="0"/>
      <w:marBottom w:val="0"/>
      <w:divBdr>
        <w:top w:val="none" w:sz="0" w:space="0" w:color="auto"/>
        <w:left w:val="none" w:sz="0" w:space="0" w:color="auto"/>
        <w:bottom w:val="none" w:sz="0" w:space="0" w:color="auto"/>
        <w:right w:val="none" w:sz="0" w:space="0" w:color="auto"/>
      </w:divBdr>
    </w:div>
    <w:div w:id="1973753765">
      <w:marLeft w:val="640"/>
      <w:marRight w:val="0"/>
      <w:marTop w:val="0"/>
      <w:marBottom w:val="0"/>
      <w:divBdr>
        <w:top w:val="none" w:sz="0" w:space="0" w:color="auto"/>
        <w:left w:val="none" w:sz="0" w:space="0" w:color="auto"/>
        <w:bottom w:val="none" w:sz="0" w:space="0" w:color="auto"/>
        <w:right w:val="none" w:sz="0" w:space="0" w:color="auto"/>
      </w:divBdr>
    </w:div>
    <w:div w:id="1973944377">
      <w:marLeft w:val="640"/>
      <w:marRight w:val="0"/>
      <w:marTop w:val="0"/>
      <w:marBottom w:val="0"/>
      <w:divBdr>
        <w:top w:val="none" w:sz="0" w:space="0" w:color="auto"/>
        <w:left w:val="none" w:sz="0" w:space="0" w:color="auto"/>
        <w:bottom w:val="none" w:sz="0" w:space="0" w:color="auto"/>
        <w:right w:val="none" w:sz="0" w:space="0" w:color="auto"/>
      </w:divBdr>
    </w:div>
    <w:div w:id="1974410475">
      <w:marLeft w:val="640"/>
      <w:marRight w:val="0"/>
      <w:marTop w:val="0"/>
      <w:marBottom w:val="0"/>
      <w:divBdr>
        <w:top w:val="none" w:sz="0" w:space="0" w:color="auto"/>
        <w:left w:val="none" w:sz="0" w:space="0" w:color="auto"/>
        <w:bottom w:val="none" w:sz="0" w:space="0" w:color="auto"/>
        <w:right w:val="none" w:sz="0" w:space="0" w:color="auto"/>
      </w:divBdr>
    </w:div>
    <w:div w:id="1976257411">
      <w:marLeft w:val="640"/>
      <w:marRight w:val="0"/>
      <w:marTop w:val="0"/>
      <w:marBottom w:val="0"/>
      <w:divBdr>
        <w:top w:val="none" w:sz="0" w:space="0" w:color="auto"/>
        <w:left w:val="none" w:sz="0" w:space="0" w:color="auto"/>
        <w:bottom w:val="none" w:sz="0" w:space="0" w:color="auto"/>
        <w:right w:val="none" w:sz="0" w:space="0" w:color="auto"/>
      </w:divBdr>
    </w:div>
    <w:div w:id="1976326598">
      <w:marLeft w:val="640"/>
      <w:marRight w:val="0"/>
      <w:marTop w:val="0"/>
      <w:marBottom w:val="0"/>
      <w:divBdr>
        <w:top w:val="none" w:sz="0" w:space="0" w:color="auto"/>
        <w:left w:val="none" w:sz="0" w:space="0" w:color="auto"/>
        <w:bottom w:val="none" w:sz="0" w:space="0" w:color="auto"/>
        <w:right w:val="none" w:sz="0" w:space="0" w:color="auto"/>
      </w:divBdr>
    </w:div>
    <w:div w:id="1976332638">
      <w:marLeft w:val="640"/>
      <w:marRight w:val="0"/>
      <w:marTop w:val="0"/>
      <w:marBottom w:val="0"/>
      <w:divBdr>
        <w:top w:val="none" w:sz="0" w:space="0" w:color="auto"/>
        <w:left w:val="none" w:sz="0" w:space="0" w:color="auto"/>
        <w:bottom w:val="none" w:sz="0" w:space="0" w:color="auto"/>
        <w:right w:val="none" w:sz="0" w:space="0" w:color="auto"/>
      </w:divBdr>
    </w:div>
    <w:div w:id="1976636757">
      <w:marLeft w:val="640"/>
      <w:marRight w:val="0"/>
      <w:marTop w:val="0"/>
      <w:marBottom w:val="0"/>
      <w:divBdr>
        <w:top w:val="none" w:sz="0" w:space="0" w:color="auto"/>
        <w:left w:val="none" w:sz="0" w:space="0" w:color="auto"/>
        <w:bottom w:val="none" w:sz="0" w:space="0" w:color="auto"/>
        <w:right w:val="none" w:sz="0" w:space="0" w:color="auto"/>
      </w:divBdr>
    </w:div>
    <w:div w:id="1978412376">
      <w:marLeft w:val="640"/>
      <w:marRight w:val="0"/>
      <w:marTop w:val="0"/>
      <w:marBottom w:val="0"/>
      <w:divBdr>
        <w:top w:val="none" w:sz="0" w:space="0" w:color="auto"/>
        <w:left w:val="none" w:sz="0" w:space="0" w:color="auto"/>
        <w:bottom w:val="none" w:sz="0" w:space="0" w:color="auto"/>
        <w:right w:val="none" w:sz="0" w:space="0" w:color="auto"/>
      </w:divBdr>
    </w:div>
    <w:div w:id="1978873268">
      <w:marLeft w:val="640"/>
      <w:marRight w:val="0"/>
      <w:marTop w:val="0"/>
      <w:marBottom w:val="0"/>
      <w:divBdr>
        <w:top w:val="none" w:sz="0" w:space="0" w:color="auto"/>
        <w:left w:val="none" w:sz="0" w:space="0" w:color="auto"/>
        <w:bottom w:val="none" w:sz="0" w:space="0" w:color="auto"/>
        <w:right w:val="none" w:sz="0" w:space="0" w:color="auto"/>
      </w:divBdr>
    </w:div>
    <w:div w:id="1979453614">
      <w:marLeft w:val="640"/>
      <w:marRight w:val="0"/>
      <w:marTop w:val="0"/>
      <w:marBottom w:val="0"/>
      <w:divBdr>
        <w:top w:val="none" w:sz="0" w:space="0" w:color="auto"/>
        <w:left w:val="none" w:sz="0" w:space="0" w:color="auto"/>
        <w:bottom w:val="none" w:sz="0" w:space="0" w:color="auto"/>
        <w:right w:val="none" w:sz="0" w:space="0" w:color="auto"/>
      </w:divBdr>
    </w:div>
    <w:div w:id="1982615290">
      <w:marLeft w:val="640"/>
      <w:marRight w:val="0"/>
      <w:marTop w:val="0"/>
      <w:marBottom w:val="0"/>
      <w:divBdr>
        <w:top w:val="none" w:sz="0" w:space="0" w:color="auto"/>
        <w:left w:val="none" w:sz="0" w:space="0" w:color="auto"/>
        <w:bottom w:val="none" w:sz="0" w:space="0" w:color="auto"/>
        <w:right w:val="none" w:sz="0" w:space="0" w:color="auto"/>
      </w:divBdr>
    </w:div>
    <w:div w:id="1983193180">
      <w:marLeft w:val="640"/>
      <w:marRight w:val="0"/>
      <w:marTop w:val="0"/>
      <w:marBottom w:val="0"/>
      <w:divBdr>
        <w:top w:val="none" w:sz="0" w:space="0" w:color="auto"/>
        <w:left w:val="none" w:sz="0" w:space="0" w:color="auto"/>
        <w:bottom w:val="none" w:sz="0" w:space="0" w:color="auto"/>
        <w:right w:val="none" w:sz="0" w:space="0" w:color="auto"/>
      </w:divBdr>
    </w:div>
    <w:div w:id="1983538986">
      <w:marLeft w:val="640"/>
      <w:marRight w:val="0"/>
      <w:marTop w:val="0"/>
      <w:marBottom w:val="0"/>
      <w:divBdr>
        <w:top w:val="none" w:sz="0" w:space="0" w:color="auto"/>
        <w:left w:val="none" w:sz="0" w:space="0" w:color="auto"/>
        <w:bottom w:val="none" w:sz="0" w:space="0" w:color="auto"/>
        <w:right w:val="none" w:sz="0" w:space="0" w:color="auto"/>
      </w:divBdr>
    </w:div>
    <w:div w:id="1985347869">
      <w:marLeft w:val="640"/>
      <w:marRight w:val="0"/>
      <w:marTop w:val="0"/>
      <w:marBottom w:val="0"/>
      <w:divBdr>
        <w:top w:val="none" w:sz="0" w:space="0" w:color="auto"/>
        <w:left w:val="none" w:sz="0" w:space="0" w:color="auto"/>
        <w:bottom w:val="none" w:sz="0" w:space="0" w:color="auto"/>
        <w:right w:val="none" w:sz="0" w:space="0" w:color="auto"/>
      </w:divBdr>
    </w:div>
    <w:div w:id="1985426553">
      <w:marLeft w:val="640"/>
      <w:marRight w:val="0"/>
      <w:marTop w:val="0"/>
      <w:marBottom w:val="0"/>
      <w:divBdr>
        <w:top w:val="none" w:sz="0" w:space="0" w:color="auto"/>
        <w:left w:val="none" w:sz="0" w:space="0" w:color="auto"/>
        <w:bottom w:val="none" w:sz="0" w:space="0" w:color="auto"/>
        <w:right w:val="none" w:sz="0" w:space="0" w:color="auto"/>
      </w:divBdr>
    </w:div>
    <w:div w:id="1985574118">
      <w:marLeft w:val="640"/>
      <w:marRight w:val="0"/>
      <w:marTop w:val="0"/>
      <w:marBottom w:val="0"/>
      <w:divBdr>
        <w:top w:val="none" w:sz="0" w:space="0" w:color="auto"/>
        <w:left w:val="none" w:sz="0" w:space="0" w:color="auto"/>
        <w:bottom w:val="none" w:sz="0" w:space="0" w:color="auto"/>
        <w:right w:val="none" w:sz="0" w:space="0" w:color="auto"/>
      </w:divBdr>
    </w:div>
    <w:div w:id="1985768119">
      <w:marLeft w:val="640"/>
      <w:marRight w:val="0"/>
      <w:marTop w:val="0"/>
      <w:marBottom w:val="0"/>
      <w:divBdr>
        <w:top w:val="none" w:sz="0" w:space="0" w:color="auto"/>
        <w:left w:val="none" w:sz="0" w:space="0" w:color="auto"/>
        <w:bottom w:val="none" w:sz="0" w:space="0" w:color="auto"/>
        <w:right w:val="none" w:sz="0" w:space="0" w:color="auto"/>
      </w:divBdr>
    </w:div>
    <w:div w:id="1985813198">
      <w:marLeft w:val="640"/>
      <w:marRight w:val="0"/>
      <w:marTop w:val="0"/>
      <w:marBottom w:val="0"/>
      <w:divBdr>
        <w:top w:val="none" w:sz="0" w:space="0" w:color="auto"/>
        <w:left w:val="none" w:sz="0" w:space="0" w:color="auto"/>
        <w:bottom w:val="none" w:sz="0" w:space="0" w:color="auto"/>
        <w:right w:val="none" w:sz="0" w:space="0" w:color="auto"/>
      </w:divBdr>
    </w:div>
    <w:div w:id="1986160208">
      <w:marLeft w:val="640"/>
      <w:marRight w:val="0"/>
      <w:marTop w:val="0"/>
      <w:marBottom w:val="0"/>
      <w:divBdr>
        <w:top w:val="none" w:sz="0" w:space="0" w:color="auto"/>
        <w:left w:val="none" w:sz="0" w:space="0" w:color="auto"/>
        <w:bottom w:val="none" w:sz="0" w:space="0" w:color="auto"/>
        <w:right w:val="none" w:sz="0" w:space="0" w:color="auto"/>
      </w:divBdr>
    </w:div>
    <w:div w:id="1986467493">
      <w:marLeft w:val="640"/>
      <w:marRight w:val="0"/>
      <w:marTop w:val="0"/>
      <w:marBottom w:val="0"/>
      <w:divBdr>
        <w:top w:val="none" w:sz="0" w:space="0" w:color="auto"/>
        <w:left w:val="none" w:sz="0" w:space="0" w:color="auto"/>
        <w:bottom w:val="none" w:sz="0" w:space="0" w:color="auto"/>
        <w:right w:val="none" w:sz="0" w:space="0" w:color="auto"/>
      </w:divBdr>
    </w:div>
    <w:div w:id="1986467537">
      <w:marLeft w:val="640"/>
      <w:marRight w:val="0"/>
      <w:marTop w:val="0"/>
      <w:marBottom w:val="0"/>
      <w:divBdr>
        <w:top w:val="none" w:sz="0" w:space="0" w:color="auto"/>
        <w:left w:val="none" w:sz="0" w:space="0" w:color="auto"/>
        <w:bottom w:val="none" w:sz="0" w:space="0" w:color="auto"/>
        <w:right w:val="none" w:sz="0" w:space="0" w:color="auto"/>
      </w:divBdr>
    </w:div>
    <w:div w:id="1987466566">
      <w:marLeft w:val="640"/>
      <w:marRight w:val="0"/>
      <w:marTop w:val="0"/>
      <w:marBottom w:val="0"/>
      <w:divBdr>
        <w:top w:val="none" w:sz="0" w:space="0" w:color="auto"/>
        <w:left w:val="none" w:sz="0" w:space="0" w:color="auto"/>
        <w:bottom w:val="none" w:sz="0" w:space="0" w:color="auto"/>
        <w:right w:val="none" w:sz="0" w:space="0" w:color="auto"/>
      </w:divBdr>
    </w:div>
    <w:div w:id="1987970074">
      <w:marLeft w:val="640"/>
      <w:marRight w:val="0"/>
      <w:marTop w:val="0"/>
      <w:marBottom w:val="0"/>
      <w:divBdr>
        <w:top w:val="none" w:sz="0" w:space="0" w:color="auto"/>
        <w:left w:val="none" w:sz="0" w:space="0" w:color="auto"/>
        <w:bottom w:val="none" w:sz="0" w:space="0" w:color="auto"/>
        <w:right w:val="none" w:sz="0" w:space="0" w:color="auto"/>
      </w:divBdr>
    </w:div>
    <w:div w:id="1987978046">
      <w:marLeft w:val="640"/>
      <w:marRight w:val="0"/>
      <w:marTop w:val="0"/>
      <w:marBottom w:val="0"/>
      <w:divBdr>
        <w:top w:val="none" w:sz="0" w:space="0" w:color="auto"/>
        <w:left w:val="none" w:sz="0" w:space="0" w:color="auto"/>
        <w:bottom w:val="none" w:sz="0" w:space="0" w:color="auto"/>
        <w:right w:val="none" w:sz="0" w:space="0" w:color="auto"/>
      </w:divBdr>
    </w:div>
    <w:div w:id="1988392989">
      <w:marLeft w:val="640"/>
      <w:marRight w:val="0"/>
      <w:marTop w:val="0"/>
      <w:marBottom w:val="0"/>
      <w:divBdr>
        <w:top w:val="none" w:sz="0" w:space="0" w:color="auto"/>
        <w:left w:val="none" w:sz="0" w:space="0" w:color="auto"/>
        <w:bottom w:val="none" w:sz="0" w:space="0" w:color="auto"/>
        <w:right w:val="none" w:sz="0" w:space="0" w:color="auto"/>
      </w:divBdr>
    </w:div>
    <w:div w:id="1988701040">
      <w:marLeft w:val="640"/>
      <w:marRight w:val="0"/>
      <w:marTop w:val="0"/>
      <w:marBottom w:val="0"/>
      <w:divBdr>
        <w:top w:val="none" w:sz="0" w:space="0" w:color="auto"/>
        <w:left w:val="none" w:sz="0" w:space="0" w:color="auto"/>
        <w:bottom w:val="none" w:sz="0" w:space="0" w:color="auto"/>
        <w:right w:val="none" w:sz="0" w:space="0" w:color="auto"/>
      </w:divBdr>
    </w:div>
    <w:div w:id="1990667639">
      <w:marLeft w:val="640"/>
      <w:marRight w:val="0"/>
      <w:marTop w:val="0"/>
      <w:marBottom w:val="0"/>
      <w:divBdr>
        <w:top w:val="none" w:sz="0" w:space="0" w:color="auto"/>
        <w:left w:val="none" w:sz="0" w:space="0" w:color="auto"/>
        <w:bottom w:val="none" w:sz="0" w:space="0" w:color="auto"/>
        <w:right w:val="none" w:sz="0" w:space="0" w:color="auto"/>
      </w:divBdr>
    </w:div>
    <w:div w:id="1992325250">
      <w:marLeft w:val="640"/>
      <w:marRight w:val="0"/>
      <w:marTop w:val="0"/>
      <w:marBottom w:val="0"/>
      <w:divBdr>
        <w:top w:val="none" w:sz="0" w:space="0" w:color="auto"/>
        <w:left w:val="none" w:sz="0" w:space="0" w:color="auto"/>
        <w:bottom w:val="none" w:sz="0" w:space="0" w:color="auto"/>
        <w:right w:val="none" w:sz="0" w:space="0" w:color="auto"/>
      </w:divBdr>
    </w:div>
    <w:div w:id="1992562586">
      <w:marLeft w:val="640"/>
      <w:marRight w:val="0"/>
      <w:marTop w:val="0"/>
      <w:marBottom w:val="0"/>
      <w:divBdr>
        <w:top w:val="none" w:sz="0" w:space="0" w:color="auto"/>
        <w:left w:val="none" w:sz="0" w:space="0" w:color="auto"/>
        <w:bottom w:val="none" w:sz="0" w:space="0" w:color="auto"/>
        <w:right w:val="none" w:sz="0" w:space="0" w:color="auto"/>
      </w:divBdr>
    </w:div>
    <w:div w:id="1993944428">
      <w:marLeft w:val="640"/>
      <w:marRight w:val="0"/>
      <w:marTop w:val="0"/>
      <w:marBottom w:val="0"/>
      <w:divBdr>
        <w:top w:val="none" w:sz="0" w:space="0" w:color="auto"/>
        <w:left w:val="none" w:sz="0" w:space="0" w:color="auto"/>
        <w:bottom w:val="none" w:sz="0" w:space="0" w:color="auto"/>
        <w:right w:val="none" w:sz="0" w:space="0" w:color="auto"/>
      </w:divBdr>
    </w:div>
    <w:div w:id="1994287265">
      <w:marLeft w:val="640"/>
      <w:marRight w:val="0"/>
      <w:marTop w:val="0"/>
      <w:marBottom w:val="0"/>
      <w:divBdr>
        <w:top w:val="none" w:sz="0" w:space="0" w:color="auto"/>
        <w:left w:val="none" w:sz="0" w:space="0" w:color="auto"/>
        <w:bottom w:val="none" w:sz="0" w:space="0" w:color="auto"/>
        <w:right w:val="none" w:sz="0" w:space="0" w:color="auto"/>
      </w:divBdr>
    </w:div>
    <w:div w:id="1994523341">
      <w:marLeft w:val="640"/>
      <w:marRight w:val="0"/>
      <w:marTop w:val="0"/>
      <w:marBottom w:val="0"/>
      <w:divBdr>
        <w:top w:val="none" w:sz="0" w:space="0" w:color="auto"/>
        <w:left w:val="none" w:sz="0" w:space="0" w:color="auto"/>
        <w:bottom w:val="none" w:sz="0" w:space="0" w:color="auto"/>
        <w:right w:val="none" w:sz="0" w:space="0" w:color="auto"/>
      </w:divBdr>
    </w:div>
    <w:div w:id="1994866590">
      <w:marLeft w:val="640"/>
      <w:marRight w:val="0"/>
      <w:marTop w:val="0"/>
      <w:marBottom w:val="0"/>
      <w:divBdr>
        <w:top w:val="none" w:sz="0" w:space="0" w:color="auto"/>
        <w:left w:val="none" w:sz="0" w:space="0" w:color="auto"/>
        <w:bottom w:val="none" w:sz="0" w:space="0" w:color="auto"/>
        <w:right w:val="none" w:sz="0" w:space="0" w:color="auto"/>
      </w:divBdr>
    </w:div>
    <w:div w:id="1995405981">
      <w:marLeft w:val="640"/>
      <w:marRight w:val="0"/>
      <w:marTop w:val="0"/>
      <w:marBottom w:val="0"/>
      <w:divBdr>
        <w:top w:val="none" w:sz="0" w:space="0" w:color="auto"/>
        <w:left w:val="none" w:sz="0" w:space="0" w:color="auto"/>
        <w:bottom w:val="none" w:sz="0" w:space="0" w:color="auto"/>
        <w:right w:val="none" w:sz="0" w:space="0" w:color="auto"/>
      </w:divBdr>
    </w:div>
    <w:div w:id="1996297244">
      <w:marLeft w:val="640"/>
      <w:marRight w:val="0"/>
      <w:marTop w:val="0"/>
      <w:marBottom w:val="0"/>
      <w:divBdr>
        <w:top w:val="none" w:sz="0" w:space="0" w:color="auto"/>
        <w:left w:val="none" w:sz="0" w:space="0" w:color="auto"/>
        <w:bottom w:val="none" w:sz="0" w:space="0" w:color="auto"/>
        <w:right w:val="none" w:sz="0" w:space="0" w:color="auto"/>
      </w:divBdr>
    </w:div>
    <w:div w:id="1996453283">
      <w:marLeft w:val="640"/>
      <w:marRight w:val="0"/>
      <w:marTop w:val="0"/>
      <w:marBottom w:val="0"/>
      <w:divBdr>
        <w:top w:val="none" w:sz="0" w:space="0" w:color="auto"/>
        <w:left w:val="none" w:sz="0" w:space="0" w:color="auto"/>
        <w:bottom w:val="none" w:sz="0" w:space="0" w:color="auto"/>
        <w:right w:val="none" w:sz="0" w:space="0" w:color="auto"/>
      </w:divBdr>
    </w:div>
    <w:div w:id="1996685562">
      <w:marLeft w:val="640"/>
      <w:marRight w:val="0"/>
      <w:marTop w:val="0"/>
      <w:marBottom w:val="0"/>
      <w:divBdr>
        <w:top w:val="none" w:sz="0" w:space="0" w:color="auto"/>
        <w:left w:val="none" w:sz="0" w:space="0" w:color="auto"/>
        <w:bottom w:val="none" w:sz="0" w:space="0" w:color="auto"/>
        <w:right w:val="none" w:sz="0" w:space="0" w:color="auto"/>
      </w:divBdr>
    </w:div>
    <w:div w:id="1997954819">
      <w:marLeft w:val="640"/>
      <w:marRight w:val="0"/>
      <w:marTop w:val="0"/>
      <w:marBottom w:val="0"/>
      <w:divBdr>
        <w:top w:val="none" w:sz="0" w:space="0" w:color="auto"/>
        <w:left w:val="none" w:sz="0" w:space="0" w:color="auto"/>
        <w:bottom w:val="none" w:sz="0" w:space="0" w:color="auto"/>
        <w:right w:val="none" w:sz="0" w:space="0" w:color="auto"/>
      </w:divBdr>
    </w:div>
    <w:div w:id="1998338185">
      <w:marLeft w:val="640"/>
      <w:marRight w:val="0"/>
      <w:marTop w:val="0"/>
      <w:marBottom w:val="0"/>
      <w:divBdr>
        <w:top w:val="none" w:sz="0" w:space="0" w:color="auto"/>
        <w:left w:val="none" w:sz="0" w:space="0" w:color="auto"/>
        <w:bottom w:val="none" w:sz="0" w:space="0" w:color="auto"/>
        <w:right w:val="none" w:sz="0" w:space="0" w:color="auto"/>
      </w:divBdr>
    </w:div>
    <w:div w:id="1998338480">
      <w:marLeft w:val="640"/>
      <w:marRight w:val="0"/>
      <w:marTop w:val="0"/>
      <w:marBottom w:val="0"/>
      <w:divBdr>
        <w:top w:val="none" w:sz="0" w:space="0" w:color="auto"/>
        <w:left w:val="none" w:sz="0" w:space="0" w:color="auto"/>
        <w:bottom w:val="none" w:sz="0" w:space="0" w:color="auto"/>
        <w:right w:val="none" w:sz="0" w:space="0" w:color="auto"/>
      </w:divBdr>
    </w:div>
    <w:div w:id="1999068475">
      <w:marLeft w:val="640"/>
      <w:marRight w:val="0"/>
      <w:marTop w:val="0"/>
      <w:marBottom w:val="0"/>
      <w:divBdr>
        <w:top w:val="none" w:sz="0" w:space="0" w:color="auto"/>
        <w:left w:val="none" w:sz="0" w:space="0" w:color="auto"/>
        <w:bottom w:val="none" w:sz="0" w:space="0" w:color="auto"/>
        <w:right w:val="none" w:sz="0" w:space="0" w:color="auto"/>
      </w:divBdr>
    </w:div>
    <w:div w:id="1999767835">
      <w:marLeft w:val="640"/>
      <w:marRight w:val="0"/>
      <w:marTop w:val="0"/>
      <w:marBottom w:val="0"/>
      <w:divBdr>
        <w:top w:val="none" w:sz="0" w:space="0" w:color="auto"/>
        <w:left w:val="none" w:sz="0" w:space="0" w:color="auto"/>
        <w:bottom w:val="none" w:sz="0" w:space="0" w:color="auto"/>
        <w:right w:val="none" w:sz="0" w:space="0" w:color="auto"/>
      </w:divBdr>
    </w:div>
    <w:div w:id="2000034897">
      <w:marLeft w:val="640"/>
      <w:marRight w:val="0"/>
      <w:marTop w:val="0"/>
      <w:marBottom w:val="0"/>
      <w:divBdr>
        <w:top w:val="none" w:sz="0" w:space="0" w:color="auto"/>
        <w:left w:val="none" w:sz="0" w:space="0" w:color="auto"/>
        <w:bottom w:val="none" w:sz="0" w:space="0" w:color="auto"/>
        <w:right w:val="none" w:sz="0" w:space="0" w:color="auto"/>
      </w:divBdr>
    </w:div>
    <w:div w:id="2003729248">
      <w:marLeft w:val="640"/>
      <w:marRight w:val="0"/>
      <w:marTop w:val="0"/>
      <w:marBottom w:val="0"/>
      <w:divBdr>
        <w:top w:val="none" w:sz="0" w:space="0" w:color="auto"/>
        <w:left w:val="none" w:sz="0" w:space="0" w:color="auto"/>
        <w:bottom w:val="none" w:sz="0" w:space="0" w:color="auto"/>
        <w:right w:val="none" w:sz="0" w:space="0" w:color="auto"/>
      </w:divBdr>
    </w:div>
    <w:div w:id="2004619745">
      <w:marLeft w:val="640"/>
      <w:marRight w:val="0"/>
      <w:marTop w:val="0"/>
      <w:marBottom w:val="0"/>
      <w:divBdr>
        <w:top w:val="none" w:sz="0" w:space="0" w:color="auto"/>
        <w:left w:val="none" w:sz="0" w:space="0" w:color="auto"/>
        <w:bottom w:val="none" w:sz="0" w:space="0" w:color="auto"/>
        <w:right w:val="none" w:sz="0" w:space="0" w:color="auto"/>
      </w:divBdr>
    </w:div>
    <w:div w:id="2004772569">
      <w:marLeft w:val="640"/>
      <w:marRight w:val="0"/>
      <w:marTop w:val="0"/>
      <w:marBottom w:val="0"/>
      <w:divBdr>
        <w:top w:val="none" w:sz="0" w:space="0" w:color="auto"/>
        <w:left w:val="none" w:sz="0" w:space="0" w:color="auto"/>
        <w:bottom w:val="none" w:sz="0" w:space="0" w:color="auto"/>
        <w:right w:val="none" w:sz="0" w:space="0" w:color="auto"/>
      </w:divBdr>
    </w:div>
    <w:div w:id="2004888396">
      <w:marLeft w:val="640"/>
      <w:marRight w:val="0"/>
      <w:marTop w:val="0"/>
      <w:marBottom w:val="0"/>
      <w:divBdr>
        <w:top w:val="none" w:sz="0" w:space="0" w:color="auto"/>
        <w:left w:val="none" w:sz="0" w:space="0" w:color="auto"/>
        <w:bottom w:val="none" w:sz="0" w:space="0" w:color="auto"/>
        <w:right w:val="none" w:sz="0" w:space="0" w:color="auto"/>
      </w:divBdr>
    </w:div>
    <w:div w:id="2005430187">
      <w:marLeft w:val="640"/>
      <w:marRight w:val="0"/>
      <w:marTop w:val="0"/>
      <w:marBottom w:val="0"/>
      <w:divBdr>
        <w:top w:val="none" w:sz="0" w:space="0" w:color="auto"/>
        <w:left w:val="none" w:sz="0" w:space="0" w:color="auto"/>
        <w:bottom w:val="none" w:sz="0" w:space="0" w:color="auto"/>
        <w:right w:val="none" w:sz="0" w:space="0" w:color="auto"/>
      </w:divBdr>
    </w:div>
    <w:div w:id="2006080307">
      <w:marLeft w:val="640"/>
      <w:marRight w:val="0"/>
      <w:marTop w:val="0"/>
      <w:marBottom w:val="0"/>
      <w:divBdr>
        <w:top w:val="none" w:sz="0" w:space="0" w:color="auto"/>
        <w:left w:val="none" w:sz="0" w:space="0" w:color="auto"/>
        <w:bottom w:val="none" w:sz="0" w:space="0" w:color="auto"/>
        <w:right w:val="none" w:sz="0" w:space="0" w:color="auto"/>
      </w:divBdr>
    </w:div>
    <w:div w:id="2007247414">
      <w:marLeft w:val="640"/>
      <w:marRight w:val="0"/>
      <w:marTop w:val="0"/>
      <w:marBottom w:val="0"/>
      <w:divBdr>
        <w:top w:val="none" w:sz="0" w:space="0" w:color="auto"/>
        <w:left w:val="none" w:sz="0" w:space="0" w:color="auto"/>
        <w:bottom w:val="none" w:sz="0" w:space="0" w:color="auto"/>
        <w:right w:val="none" w:sz="0" w:space="0" w:color="auto"/>
      </w:divBdr>
    </w:div>
    <w:div w:id="2009476773">
      <w:marLeft w:val="640"/>
      <w:marRight w:val="0"/>
      <w:marTop w:val="0"/>
      <w:marBottom w:val="0"/>
      <w:divBdr>
        <w:top w:val="none" w:sz="0" w:space="0" w:color="auto"/>
        <w:left w:val="none" w:sz="0" w:space="0" w:color="auto"/>
        <w:bottom w:val="none" w:sz="0" w:space="0" w:color="auto"/>
        <w:right w:val="none" w:sz="0" w:space="0" w:color="auto"/>
      </w:divBdr>
    </w:div>
    <w:div w:id="2010137289">
      <w:marLeft w:val="640"/>
      <w:marRight w:val="0"/>
      <w:marTop w:val="0"/>
      <w:marBottom w:val="0"/>
      <w:divBdr>
        <w:top w:val="none" w:sz="0" w:space="0" w:color="auto"/>
        <w:left w:val="none" w:sz="0" w:space="0" w:color="auto"/>
        <w:bottom w:val="none" w:sz="0" w:space="0" w:color="auto"/>
        <w:right w:val="none" w:sz="0" w:space="0" w:color="auto"/>
      </w:divBdr>
    </w:div>
    <w:div w:id="2010405994">
      <w:marLeft w:val="640"/>
      <w:marRight w:val="0"/>
      <w:marTop w:val="0"/>
      <w:marBottom w:val="0"/>
      <w:divBdr>
        <w:top w:val="none" w:sz="0" w:space="0" w:color="auto"/>
        <w:left w:val="none" w:sz="0" w:space="0" w:color="auto"/>
        <w:bottom w:val="none" w:sz="0" w:space="0" w:color="auto"/>
        <w:right w:val="none" w:sz="0" w:space="0" w:color="auto"/>
      </w:divBdr>
    </w:div>
    <w:div w:id="2011332176">
      <w:marLeft w:val="640"/>
      <w:marRight w:val="0"/>
      <w:marTop w:val="0"/>
      <w:marBottom w:val="0"/>
      <w:divBdr>
        <w:top w:val="none" w:sz="0" w:space="0" w:color="auto"/>
        <w:left w:val="none" w:sz="0" w:space="0" w:color="auto"/>
        <w:bottom w:val="none" w:sz="0" w:space="0" w:color="auto"/>
        <w:right w:val="none" w:sz="0" w:space="0" w:color="auto"/>
      </w:divBdr>
    </w:div>
    <w:div w:id="2011565609">
      <w:marLeft w:val="640"/>
      <w:marRight w:val="0"/>
      <w:marTop w:val="0"/>
      <w:marBottom w:val="0"/>
      <w:divBdr>
        <w:top w:val="none" w:sz="0" w:space="0" w:color="auto"/>
        <w:left w:val="none" w:sz="0" w:space="0" w:color="auto"/>
        <w:bottom w:val="none" w:sz="0" w:space="0" w:color="auto"/>
        <w:right w:val="none" w:sz="0" w:space="0" w:color="auto"/>
      </w:divBdr>
    </w:div>
    <w:div w:id="2011981476">
      <w:marLeft w:val="640"/>
      <w:marRight w:val="0"/>
      <w:marTop w:val="0"/>
      <w:marBottom w:val="0"/>
      <w:divBdr>
        <w:top w:val="none" w:sz="0" w:space="0" w:color="auto"/>
        <w:left w:val="none" w:sz="0" w:space="0" w:color="auto"/>
        <w:bottom w:val="none" w:sz="0" w:space="0" w:color="auto"/>
        <w:right w:val="none" w:sz="0" w:space="0" w:color="auto"/>
      </w:divBdr>
    </w:div>
    <w:div w:id="2012096213">
      <w:marLeft w:val="640"/>
      <w:marRight w:val="0"/>
      <w:marTop w:val="0"/>
      <w:marBottom w:val="0"/>
      <w:divBdr>
        <w:top w:val="none" w:sz="0" w:space="0" w:color="auto"/>
        <w:left w:val="none" w:sz="0" w:space="0" w:color="auto"/>
        <w:bottom w:val="none" w:sz="0" w:space="0" w:color="auto"/>
        <w:right w:val="none" w:sz="0" w:space="0" w:color="auto"/>
      </w:divBdr>
    </w:div>
    <w:div w:id="2012102838">
      <w:marLeft w:val="640"/>
      <w:marRight w:val="0"/>
      <w:marTop w:val="0"/>
      <w:marBottom w:val="0"/>
      <w:divBdr>
        <w:top w:val="none" w:sz="0" w:space="0" w:color="auto"/>
        <w:left w:val="none" w:sz="0" w:space="0" w:color="auto"/>
        <w:bottom w:val="none" w:sz="0" w:space="0" w:color="auto"/>
        <w:right w:val="none" w:sz="0" w:space="0" w:color="auto"/>
      </w:divBdr>
    </w:div>
    <w:div w:id="2012444936">
      <w:marLeft w:val="640"/>
      <w:marRight w:val="0"/>
      <w:marTop w:val="0"/>
      <w:marBottom w:val="0"/>
      <w:divBdr>
        <w:top w:val="none" w:sz="0" w:space="0" w:color="auto"/>
        <w:left w:val="none" w:sz="0" w:space="0" w:color="auto"/>
        <w:bottom w:val="none" w:sz="0" w:space="0" w:color="auto"/>
        <w:right w:val="none" w:sz="0" w:space="0" w:color="auto"/>
      </w:divBdr>
    </w:div>
    <w:div w:id="2012562686">
      <w:marLeft w:val="640"/>
      <w:marRight w:val="0"/>
      <w:marTop w:val="0"/>
      <w:marBottom w:val="0"/>
      <w:divBdr>
        <w:top w:val="none" w:sz="0" w:space="0" w:color="auto"/>
        <w:left w:val="none" w:sz="0" w:space="0" w:color="auto"/>
        <w:bottom w:val="none" w:sz="0" w:space="0" w:color="auto"/>
        <w:right w:val="none" w:sz="0" w:space="0" w:color="auto"/>
      </w:divBdr>
    </w:div>
    <w:div w:id="2012946976">
      <w:marLeft w:val="640"/>
      <w:marRight w:val="0"/>
      <w:marTop w:val="0"/>
      <w:marBottom w:val="0"/>
      <w:divBdr>
        <w:top w:val="none" w:sz="0" w:space="0" w:color="auto"/>
        <w:left w:val="none" w:sz="0" w:space="0" w:color="auto"/>
        <w:bottom w:val="none" w:sz="0" w:space="0" w:color="auto"/>
        <w:right w:val="none" w:sz="0" w:space="0" w:color="auto"/>
      </w:divBdr>
    </w:div>
    <w:div w:id="2013142339">
      <w:marLeft w:val="640"/>
      <w:marRight w:val="0"/>
      <w:marTop w:val="0"/>
      <w:marBottom w:val="0"/>
      <w:divBdr>
        <w:top w:val="none" w:sz="0" w:space="0" w:color="auto"/>
        <w:left w:val="none" w:sz="0" w:space="0" w:color="auto"/>
        <w:bottom w:val="none" w:sz="0" w:space="0" w:color="auto"/>
        <w:right w:val="none" w:sz="0" w:space="0" w:color="auto"/>
      </w:divBdr>
    </w:div>
    <w:div w:id="2013336503">
      <w:marLeft w:val="640"/>
      <w:marRight w:val="0"/>
      <w:marTop w:val="0"/>
      <w:marBottom w:val="0"/>
      <w:divBdr>
        <w:top w:val="none" w:sz="0" w:space="0" w:color="auto"/>
        <w:left w:val="none" w:sz="0" w:space="0" w:color="auto"/>
        <w:bottom w:val="none" w:sz="0" w:space="0" w:color="auto"/>
        <w:right w:val="none" w:sz="0" w:space="0" w:color="auto"/>
      </w:divBdr>
    </w:div>
    <w:div w:id="2013608852">
      <w:marLeft w:val="640"/>
      <w:marRight w:val="0"/>
      <w:marTop w:val="0"/>
      <w:marBottom w:val="0"/>
      <w:divBdr>
        <w:top w:val="none" w:sz="0" w:space="0" w:color="auto"/>
        <w:left w:val="none" w:sz="0" w:space="0" w:color="auto"/>
        <w:bottom w:val="none" w:sz="0" w:space="0" w:color="auto"/>
        <w:right w:val="none" w:sz="0" w:space="0" w:color="auto"/>
      </w:divBdr>
    </w:div>
    <w:div w:id="2013793508">
      <w:marLeft w:val="640"/>
      <w:marRight w:val="0"/>
      <w:marTop w:val="0"/>
      <w:marBottom w:val="0"/>
      <w:divBdr>
        <w:top w:val="none" w:sz="0" w:space="0" w:color="auto"/>
        <w:left w:val="none" w:sz="0" w:space="0" w:color="auto"/>
        <w:bottom w:val="none" w:sz="0" w:space="0" w:color="auto"/>
        <w:right w:val="none" w:sz="0" w:space="0" w:color="auto"/>
      </w:divBdr>
    </w:div>
    <w:div w:id="2013874992">
      <w:marLeft w:val="640"/>
      <w:marRight w:val="0"/>
      <w:marTop w:val="0"/>
      <w:marBottom w:val="0"/>
      <w:divBdr>
        <w:top w:val="none" w:sz="0" w:space="0" w:color="auto"/>
        <w:left w:val="none" w:sz="0" w:space="0" w:color="auto"/>
        <w:bottom w:val="none" w:sz="0" w:space="0" w:color="auto"/>
        <w:right w:val="none" w:sz="0" w:space="0" w:color="auto"/>
      </w:divBdr>
    </w:div>
    <w:div w:id="2014604167">
      <w:marLeft w:val="640"/>
      <w:marRight w:val="0"/>
      <w:marTop w:val="0"/>
      <w:marBottom w:val="0"/>
      <w:divBdr>
        <w:top w:val="none" w:sz="0" w:space="0" w:color="auto"/>
        <w:left w:val="none" w:sz="0" w:space="0" w:color="auto"/>
        <w:bottom w:val="none" w:sz="0" w:space="0" w:color="auto"/>
        <w:right w:val="none" w:sz="0" w:space="0" w:color="auto"/>
      </w:divBdr>
    </w:div>
    <w:div w:id="2016420723">
      <w:marLeft w:val="640"/>
      <w:marRight w:val="0"/>
      <w:marTop w:val="0"/>
      <w:marBottom w:val="0"/>
      <w:divBdr>
        <w:top w:val="none" w:sz="0" w:space="0" w:color="auto"/>
        <w:left w:val="none" w:sz="0" w:space="0" w:color="auto"/>
        <w:bottom w:val="none" w:sz="0" w:space="0" w:color="auto"/>
        <w:right w:val="none" w:sz="0" w:space="0" w:color="auto"/>
      </w:divBdr>
    </w:div>
    <w:div w:id="2016688956">
      <w:marLeft w:val="640"/>
      <w:marRight w:val="0"/>
      <w:marTop w:val="0"/>
      <w:marBottom w:val="0"/>
      <w:divBdr>
        <w:top w:val="none" w:sz="0" w:space="0" w:color="auto"/>
        <w:left w:val="none" w:sz="0" w:space="0" w:color="auto"/>
        <w:bottom w:val="none" w:sz="0" w:space="0" w:color="auto"/>
        <w:right w:val="none" w:sz="0" w:space="0" w:color="auto"/>
      </w:divBdr>
    </w:div>
    <w:div w:id="2016835502">
      <w:marLeft w:val="640"/>
      <w:marRight w:val="0"/>
      <w:marTop w:val="0"/>
      <w:marBottom w:val="0"/>
      <w:divBdr>
        <w:top w:val="none" w:sz="0" w:space="0" w:color="auto"/>
        <w:left w:val="none" w:sz="0" w:space="0" w:color="auto"/>
        <w:bottom w:val="none" w:sz="0" w:space="0" w:color="auto"/>
        <w:right w:val="none" w:sz="0" w:space="0" w:color="auto"/>
      </w:divBdr>
    </w:div>
    <w:div w:id="2017413972">
      <w:marLeft w:val="640"/>
      <w:marRight w:val="0"/>
      <w:marTop w:val="0"/>
      <w:marBottom w:val="0"/>
      <w:divBdr>
        <w:top w:val="none" w:sz="0" w:space="0" w:color="auto"/>
        <w:left w:val="none" w:sz="0" w:space="0" w:color="auto"/>
        <w:bottom w:val="none" w:sz="0" w:space="0" w:color="auto"/>
        <w:right w:val="none" w:sz="0" w:space="0" w:color="auto"/>
      </w:divBdr>
    </w:div>
    <w:div w:id="2017608059">
      <w:marLeft w:val="640"/>
      <w:marRight w:val="0"/>
      <w:marTop w:val="0"/>
      <w:marBottom w:val="0"/>
      <w:divBdr>
        <w:top w:val="none" w:sz="0" w:space="0" w:color="auto"/>
        <w:left w:val="none" w:sz="0" w:space="0" w:color="auto"/>
        <w:bottom w:val="none" w:sz="0" w:space="0" w:color="auto"/>
        <w:right w:val="none" w:sz="0" w:space="0" w:color="auto"/>
      </w:divBdr>
    </w:div>
    <w:div w:id="2017882636">
      <w:marLeft w:val="640"/>
      <w:marRight w:val="0"/>
      <w:marTop w:val="0"/>
      <w:marBottom w:val="0"/>
      <w:divBdr>
        <w:top w:val="none" w:sz="0" w:space="0" w:color="auto"/>
        <w:left w:val="none" w:sz="0" w:space="0" w:color="auto"/>
        <w:bottom w:val="none" w:sz="0" w:space="0" w:color="auto"/>
        <w:right w:val="none" w:sz="0" w:space="0" w:color="auto"/>
      </w:divBdr>
    </w:div>
    <w:div w:id="2018074150">
      <w:marLeft w:val="640"/>
      <w:marRight w:val="0"/>
      <w:marTop w:val="0"/>
      <w:marBottom w:val="0"/>
      <w:divBdr>
        <w:top w:val="none" w:sz="0" w:space="0" w:color="auto"/>
        <w:left w:val="none" w:sz="0" w:space="0" w:color="auto"/>
        <w:bottom w:val="none" w:sz="0" w:space="0" w:color="auto"/>
        <w:right w:val="none" w:sz="0" w:space="0" w:color="auto"/>
      </w:divBdr>
    </w:div>
    <w:div w:id="2019769004">
      <w:marLeft w:val="640"/>
      <w:marRight w:val="0"/>
      <w:marTop w:val="0"/>
      <w:marBottom w:val="0"/>
      <w:divBdr>
        <w:top w:val="none" w:sz="0" w:space="0" w:color="auto"/>
        <w:left w:val="none" w:sz="0" w:space="0" w:color="auto"/>
        <w:bottom w:val="none" w:sz="0" w:space="0" w:color="auto"/>
        <w:right w:val="none" w:sz="0" w:space="0" w:color="auto"/>
      </w:divBdr>
    </w:div>
    <w:div w:id="2020350525">
      <w:marLeft w:val="640"/>
      <w:marRight w:val="0"/>
      <w:marTop w:val="0"/>
      <w:marBottom w:val="0"/>
      <w:divBdr>
        <w:top w:val="none" w:sz="0" w:space="0" w:color="auto"/>
        <w:left w:val="none" w:sz="0" w:space="0" w:color="auto"/>
        <w:bottom w:val="none" w:sz="0" w:space="0" w:color="auto"/>
        <w:right w:val="none" w:sz="0" w:space="0" w:color="auto"/>
      </w:divBdr>
    </w:div>
    <w:div w:id="2020498679">
      <w:marLeft w:val="640"/>
      <w:marRight w:val="0"/>
      <w:marTop w:val="0"/>
      <w:marBottom w:val="0"/>
      <w:divBdr>
        <w:top w:val="none" w:sz="0" w:space="0" w:color="auto"/>
        <w:left w:val="none" w:sz="0" w:space="0" w:color="auto"/>
        <w:bottom w:val="none" w:sz="0" w:space="0" w:color="auto"/>
        <w:right w:val="none" w:sz="0" w:space="0" w:color="auto"/>
      </w:divBdr>
    </w:div>
    <w:div w:id="2021661476">
      <w:marLeft w:val="640"/>
      <w:marRight w:val="0"/>
      <w:marTop w:val="0"/>
      <w:marBottom w:val="0"/>
      <w:divBdr>
        <w:top w:val="none" w:sz="0" w:space="0" w:color="auto"/>
        <w:left w:val="none" w:sz="0" w:space="0" w:color="auto"/>
        <w:bottom w:val="none" w:sz="0" w:space="0" w:color="auto"/>
        <w:right w:val="none" w:sz="0" w:space="0" w:color="auto"/>
      </w:divBdr>
    </w:div>
    <w:div w:id="2022318456">
      <w:marLeft w:val="640"/>
      <w:marRight w:val="0"/>
      <w:marTop w:val="0"/>
      <w:marBottom w:val="0"/>
      <w:divBdr>
        <w:top w:val="none" w:sz="0" w:space="0" w:color="auto"/>
        <w:left w:val="none" w:sz="0" w:space="0" w:color="auto"/>
        <w:bottom w:val="none" w:sz="0" w:space="0" w:color="auto"/>
        <w:right w:val="none" w:sz="0" w:space="0" w:color="auto"/>
      </w:divBdr>
    </w:div>
    <w:div w:id="2023123248">
      <w:marLeft w:val="640"/>
      <w:marRight w:val="0"/>
      <w:marTop w:val="0"/>
      <w:marBottom w:val="0"/>
      <w:divBdr>
        <w:top w:val="none" w:sz="0" w:space="0" w:color="auto"/>
        <w:left w:val="none" w:sz="0" w:space="0" w:color="auto"/>
        <w:bottom w:val="none" w:sz="0" w:space="0" w:color="auto"/>
        <w:right w:val="none" w:sz="0" w:space="0" w:color="auto"/>
      </w:divBdr>
    </w:div>
    <w:div w:id="2023166200">
      <w:marLeft w:val="640"/>
      <w:marRight w:val="0"/>
      <w:marTop w:val="0"/>
      <w:marBottom w:val="0"/>
      <w:divBdr>
        <w:top w:val="none" w:sz="0" w:space="0" w:color="auto"/>
        <w:left w:val="none" w:sz="0" w:space="0" w:color="auto"/>
        <w:bottom w:val="none" w:sz="0" w:space="0" w:color="auto"/>
        <w:right w:val="none" w:sz="0" w:space="0" w:color="auto"/>
      </w:divBdr>
    </w:div>
    <w:div w:id="2023819594">
      <w:marLeft w:val="640"/>
      <w:marRight w:val="0"/>
      <w:marTop w:val="0"/>
      <w:marBottom w:val="0"/>
      <w:divBdr>
        <w:top w:val="none" w:sz="0" w:space="0" w:color="auto"/>
        <w:left w:val="none" w:sz="0" w:space="0" w:color="auto"/>
        <w:bottom w:val="none" w:sz="0" w:space="0" w:color="auto"/>
        <w:right w:val="none" w:sz="0" w:space="0" w:color="auto"/>
      </w:divBdr>
    </w:div>
    <w:div w:id="2027292666">
      <w:marLeft w:val="640"/>
      <w:marRight w:val="0"/>
      <w:marTop w:val="0"/>
      <w:marBottom w:val="0"/>
      <w:divBdr>
        <w:top w:val="none" w:sz="0" w:space="0" w:color="auto"/>
        <w:left w:val="none" w:sz="0" w:space="0" w:color="auto"/>
        <w:bottom w:val="none" w:sz="0" w:space="0" w:color="auto"/>
        <w:right w:val="none" w:sz="0" w:space="0" w:color="auto"/>
      </w:divBdr>
    </w:div>
    <w:div w:id="2027780544">
      <w:marLeft w:val="640"/>
      <w:marRight w:val="0"/>
      <w:marTop w:val="0"/>
      <w:marBottom w:val="0"/>
      <w:divBdr>
        <w:top w:val="none" w:sz="0" w:space="0" w:color="auto"/>
        <w:left w:val="none" w:sz="0" w:space="0" w:color="auto"/>
        <w:bottom w:val="none" w:sz="0" w:space="0" w:color="auto"/>
        <w:right w:val="none" w:sz="0" w:space="0" w:color="auto"/>
      </w:divBdr>
    </w:div>
    <w:div w:id="2028092197">
      <w:marLeft w:val="640"/>
      <w:marRight w:val="0"/>
      <w:marTop w:val="0"/>
      <w:marBottom w:val="0"/>
      <w:divBdr>
        <w:top w:val="none" w:sz="0" w:space="0" w:color="auto"/>
        <w:left w:val="none" w:sz="0" w:space="0" w:color="auto"/>
        <w:bottom w:val="none" w:sz="0" w:space="0" w:color="auto"/>
        <w:right w:val="none" w:sz="0" w:space="0" w:color="auto"/>
      </w:divBdr>
    </w:div>
    <w:div w:id="2029481779">
      <w:marLeft w:val="640"/>
      <w:marRight w:val="0"/>
      <w:marTop w:val="0"/>
      <w:marBottom w:val="0"/>
      <w:divBdr>
        <w:top w:val="none" w:sz="0" w:space="0" w:color="auto"/>
        <w:left w:val="none" w:sz="0" w:space="0" w:color="auto"/>
        <w:bottom w:val="none" w:sz="0" w:space="0" w:color="auto"/>
        <w:right w:val="none" w:sz="0" w:space="0" w:color="auto"/>
      </w:divBdr>
    </w:div>
    <w:div w:id="2029746692">
      <w:marLeft w:val="640"/>
      <w:marRight w:val="0"/>
      <w:marTop w:val="0"/>
      <w:marBottom w:val="0"/>
      <w:divBdr>
        <w:top w:val="none" w:sz="0" w:space="0" w:color="auto"/>
        <w:left w:val="none" w:sz="0" w:space="0" w:color="auto"/>
        <w:bottom w:val="none" w:sz="0" w:space="0" w:color="auto"/>
        <w:right w:val="none" w:sz="0" w:space="0" w:color="auto"/>
      </w:divBdr>
    </w:div>
    <w:div w:id="2029989826">
      <w:marLeft w:val="640"/>
      <w:marRight w:val="0"/>
      <w:marTop w:val="0"/>
      <w:marBottom w:val="0"/>
      <w:divBdr>
        <w:top w:val="none" w:sz="0" w:space="0" w:color="auto"/>
        <w:left w:val="none" w:sz="0" w:space="0" w:color="auto"/>
        <w:bottom w:val="none" w:sz="0" w:space="0" w:color="auto"/>
        <w:right w:val="none" w:sz="0" w:space="0" w:color="auto"/>
      </w:divBdr>
    </w:div>
    <w:div w:id="2031568660">
      <w:marLeft w:val="640"/>
      <w:marRight w:val="0"/>
      <w:marTop w:val="0"/>
      <w:marBottom w:val="0"/>
      <w:divBdr>
        <w:top w:val="none" w:sz="0" w:space="0" w:color="auto"/>
        <w:left w:val="none" w:sz="0" w:space="0" w:color="auto"/>
        <w:bottom w:val="none" w:sz="0" w:space="0" w:color="auto"/>
        <w:right w:val="none" w:sz="0" w:space="0" w:color="auto"/>
      </w:divBdr>
    </w:div>
    <w:div w:id="2031952267">
      <w:marLeft w:val="640"/>
      <w:marRight w:val="0"/>
      <w:marTop w:val="0"/>
      <w:marBottom w:val="0"/>
      <w:divBdr>
        <w:top w:val="none" w:sz="0" w:space="0" w:color="auto"/>
        <w:left w:val="none" w:sz="0" w:space="0" w:color="auto"/>
        <w:bottom w:val="none" w:sz="0" w:space="0" w:color="auto"/>
        <w:right w:val="none" w:sz="0" w:space="0" w:color="auto"/>
      </w:divBdr>
    </w:div>
    <w:div w:id="2032609874">
      <w:marLeft w:val="640"/>
      <w:marRight w:val="0"/>
      <w:marTop w:val="0"/>
      <w:marBottom w:val="0"/>
      <w:divBdr>
        <w:top w:val="none" w:sz="0" w:space="0" w:color="auto"/>
        <w:left w:val="none" w:sz="0" w:space="0" w:color="auto"/>
        <w:bottom w:val="none" w:sz="0" w:space="0" w:color="auto"/>
        <w:right w:val="none" w:sz="0" w:space="0" w:color="auto"/>
      </w:divBdr>
    </w:div>
    <w:div w:id="2032805224">
      <w:marLeft w:val="640"/>
      <w:marRight w:val="0"/>
      <w:marTop w:val="0"/>
      <w:marBottom w:val="0"/>
      <w:divBdr>
        <w:top w:val="none" w:sz="0" w:space="0" w:color="auto"/>
        <w:left w:val="none" w:sz="0" w:space="0" w:color="auto"/>
        <w:bottom w:val="none" w:sz="0" w:space="0" w:color="auto"/>
        <w:right w:val="none" w:sz="0" w:space="0" w:color="auto"/>
      </w:divBdr>
    </w:div>
    <w:div w:id="2033535588">
      <w:marLeft w:val="640"/>
      <w:marRight w:val="0"/>
      <w:marTop w:val="0"/>
      <w:marBottom w:val="0"/>
      <w:divBdr>
        <w:top w:val="none" w:sz="0" w:space="0" w:color="auto"/>
        <w:left w:val="none" w:sz="0" w:space="0" w:color="auto"/>
        <w:bottom w:val="none" w:sz="0" w:space="0" w:color="auto"/>
        <w:right w:val="none" w:sz="0" w:space="0" w:color="auto"/>
      </w:divBdr>
    </w:div>
    <w:div w:id="2033798194">
      <w:marLeft w:val="640"/>
      <w:marRight w:val="0"/>
      <w:marTop w:val="0"/>
      <w:marBottom w:val="0"/>
      <w:divBdr>
        <w:top w:val="none" w:sz="0" w:space="0" w:color="auto"/>
        <w:left w:val="none" w:sz="0" w:space="0" w:color="auto"/>
        <w:bottom w:val="none" w:sz="0" w:space="0" w:color="auto"/>
        <w:right w:val="none" w:sz="0" w:space="0" w:color="auto"/>
      </w:divBdr>
    </w:div>
    <w:div w:id="2034379772">
      <w:marLeft w:val="640"/>
      <w:marRight w:val="0"/>
      <w:marTop w:val="0"/>
      <w:marBottom w:val="0"/>
      <w:divBdr>
        <w:top w:val="none" w:sz="0" w:space="0" w:color="auto"/>
        <w:left w:val="none" w:sz="0" w:space="0" w:color="auto"/>
        <w:bottom w:val="none" w:sz="0" w:space="0" w:color="auto"/>
        <w:right w:val="none" w:sz="0" w:space="0" w:color="auto"/>
      </w:divBdr>
    </w:div>
    <w:div w:id="2034921291">
      <w:marLeft w:val="640"/>
      <w:marRight w:val="0"/>
      <w:marTop w:val="0"/>
      <w:marBottom w:val="0"/>
      <w:divBdr>
        <w:top w:val="none" w:sz="0" w:space="0" w:color="auto"/>
        <w:left w:val="none" w:sz="0" w:space="0" w:color="auto"/>
        <w:bottom w:val="none" w:sz="0" w:space="0" w:color="auto"/>
        <w:right w:val="none" w:sz="0" w:space="0" w:color="auto"/>
      </w:divBdr>
    </w:div>
    <w:div w:id="2035227338">
      <w:marLeft w:val="640"/>
      <w:marRight w:val="0"/>
      <w:marTop w:val="0"/>
      <w:marBottom w:val="0"/>
      <w:divBdr>
        <w:top w:val="none" w:sz="0" w:space="0" w:color="auto"/>
        <w:left w:val="none" w:sz="0" w:space="0" w:color="auto"/>
        <w:bottom w:val="none" w:sz="0" w:space="0" w:color="auto"/>
        <w:right w:val="none" w:sz="0" w:space="0" w:color="auto"/>
      </w:divBdr>
    </w:div>
    <w:div w:id="2035492202">
      <w:marLeft w:val="640"/>
      <w:marRight w:val="0"/>
      <w:marTop w:val="0"/>
      <w:marBottom w:val="0"/>
      <w:divBdr>
        <w:top w:val="none" w:sz="0" w:space="0" w:color="auto"/>
        <w:left w:val="none" w:sz="0" w:space="0" w:color="auto"/>
        <w:bottom w:val="none" w:sz="0" w:space="0" w:color="auto"/>
        <w:right w:val="none" w:sz="0" w:space="0" w:color="auto"/>
      </w:divBdr>
    </w:div>
    <w:div w:id="2036075727">
      <w:marLeft w:val="640"/>
      <w:marRight w:val="0"/>
      <w:marTop w:val="0"/>
      <w:marBottom w:val="0"/>
      <w:divBdr>
        <w:top w:val="none" w:sz="0" w:space="0" w:color="auto"/>
        <w:left w:val="none" w:sz="0" w:space="0" w:color="auto"/>
        <w:bottom w:val="none" w:sz="0" w:space="0" w:color="auto"/>
        <w:right w:val="none" w:sz="0" w:space="0" w:color="auto"/>
      </w:divBdr>
    </w:div>
    <w:div w:id="2038119148">
      <w:marLeft w:val="640"/>
      <w:marRight w:val="0"/>
      <w:marTop w:val="0"/>
      <w:marBottom w:val="0"/>
      <w:divBdr>
        <w:top w:val="none" w:sz="0" w:space="0" w:color="auto"/>
        <w:left w:val="none" w:sz="0" w:space="0" w:color="auto"/>
        <w:bottom w:val="none" w:sz="0" w:space="0" w:color="auto"/>
        <w:right w:val="none" w:sz="0" w:space="0" w:color="auto"/>
      </w:divBdr>
    </w:div>
    <w:div w:id="2038698966">
      <w:marLeft w:val="640"/>
      <w:marRight w:val="0"/>
      <w:marTop w:val="0"/>
      <w:marBottom w:val="0"/>
      <w:divBdr>
        <w:top w:val="none" w:sz="0" w:space="0" w:color="auto"/>
        <w:left w:val="none" w:sz="0" w:space="0" w:color="auto"/>
        <w:bottom w:val="none" w:sz="0" w:space="0" w:color="auto"/>
        <w:right w:val="none" w:sz="0" w:space="0" w:color="auto"/>
      </w:divBdr>
    </w:div>
    <w:div w:id="2040011696">
      <w:marLeft w:val="640"/>
      <w:marRight w:val="0"/>
      <w:marTop w:val="0"/>
      <w:marBottom w:val="0"/>
      <w:divBdr>
        <w:top w:val="none" w:sz="0" w:space="0" w:color="auto"/>
        <w:left w:val="none" w:sz="0" w:space="0" w:color="auto"/>
        <w:bottom w:val="none" w:sz="0" w:space="0" w:color="auto"/>
        <w:right w:val="none" w:sz="0" w:space="0" w:color="auto"/>
      </w:divBdr>
    </w:div>
    <w:div w:id="2041012307">
      <w:marLeft w:val="640"/>
      <w:marRight w:val="0"/>
      <w:marTop w:val="0"/>
      <w:marBottom w:val="0"/>
      <w:divBdr>
        <w:top w:val="none" w:sz="0" w:space="0" w:color="auto"/>
        <w:left w:val="none" w:sz="0" w:space="0" w:color="auto"/>
        <w:bottom w:val="none" w:sz="0" w:space="0" w:color="auto"/>
        <w:right w:val="none" w:sz="0" w:space="0" w:color="auto"/>
      </w:divBdr>
    </w:div>
    <w:div w:id="2041779792">
      <w:marLeft w:val="640"/>
      <w:marRight w:val="0"/>
      <w:marTop w:val="0"/>
      <w:marBottom w:val="0"/>
      <w:divBdr>
        <w:top w:val="none" w:sz="0" w:space="0" w:color="auto"/>
        <w:left w:val="none" w:sz="0" w:space="0" w:color="auto"/>
        <w:bottom w:val="none" w:sz="0" w:space="0" w:color="auto"/>
        <w:right w:val="none" w:sz="0" w:space="0" w:color="auto"/>
      </w:divBdr>
    </w:div>
    <w:div w:id="2041781579">
      <w:marLeft w:val="640"/>
      <w:marRight w:val="0"/>
      <w:marTop w:val="0"/>
      <w:marBottom w:val="0"/>
      <w:divBdr>
        <w:top w:val="none" w:sz="0" w:space="0" w:color="auto"/>
        <w:left w:val="none" w:sz="0" w:space="0" w:color="auto"/>
        <w:bottom w:val="none" w:sz="0" w:space="0" w:color="auto"/>
        <w:right w:val="none" w:sz="0" w:space="0" w:color="auto"/>
      </w:divBdr>
    </w:div>
    <w:div w:id="2042241652">
      <w:marLeft w:val="640"/>
      <w:marRight w:val="0"/>
      <w:marTop w:val="0"/>
      <w:marBottom w:val="0"/>
      <w:divBdr>
        <w:top w:val="none" w:sz="0" w:space="0" w:color="auto"/>
        <w:left w:val="none" w:sz="0" w:space="0" w:color="auto"/>
        <w:bottom w:val="none" w:sz="0" w:space="0" w:color="auto"/>
        <w:right w:val="none" w:sz="0" w:space="0" w:color="auto"/>
      </w:divBdr>
    </w:div>
    <w:div w:id="2042364999">
      <w:marLeft w:val="640"/>
      <w:marRight w:val="0"/>
      <w:marTop w:val="0"/>
      <w:marBottom w:val="0"/>
      <w:divBdr>
        <w:top w:val="none" w:sz="0" w:space="0" w:color="auto"/>
        <w:left w:val="none" w:sz="0" w:space="0" w:color="auto"/>
        <w:bottom w:val="none" w:sz="0" w:space="0" w:color="auto"/>
        <w:right w:val="none" w:sz="0" w:space="0" w:color="auto"/>
      </w:divBdr>
    </w:div>
    <w:div w:id="2044213428">
      <w:marLeft w:val="640"/>
      <w:marRight w:val="0"/>
      <w:marTop w:val="0"/>
      <w:marBottom w:val="0"/>
      <w:divBdr>
        <w:top w:val="none" w:sz="0" w:space="0" w:color="auto"/>
        <w:left w:val="none" w:sz="0" w:space="0" w:color="auto"/>
        <w:bottom w:val="none" w:sz="0" w:space="0" w:color="auto"/>
        <w:right w:val="none" w:sz="0" w:space="0" w:color="auto"/>
      </w:divBdr>
    </w:div>
    <w:div w:id="2045402949">
      <w:marLeft w:val="640"/>
      <w:marRight w:val="0"/>
      <w:marTop w:val="0"/>
      <w:marBottom w:val="0"/>
      <w:divBdr>
        <w:top w:val="none" w:sz="0" w:space="0" w:color="auto"/>
        <w:left w:val="none" w:sz="0" w:space="0" w:color="auto"/>
        <w:bottom w:val="none" w:sz="0" w:space="0" w:color="auto"/>
        <w:right w:val="none" w:sz="0" w:space="0" w:color="auto"/>
      </w:divBdr>
    </w:div>
    <w:div w:id="2046326784">
      <w:marLeft w:val="640"/>
      <w:marRight w:val="0"/>
      <w:marTop w:val="0"/>
      <w:marBottom w:val="0"/>
      <w:divBdr>
        <w:top w:val="none" w:sz="0" w:space="0" w:color="auto"/>
        <w:left w:val="none" w:sz="0" w:space="0" w:color="auto"/>
        <w:bottom w:val="none" w:sz="0" w:space="0" w:color="auto"/>
        <w:right w:val="none" w:sz="0" w:space="0" w:color="auto"/>
      </w:divBdr>
    </w:div>
    <w:div w:id="2046637223">
      <w:marLeft w:val="640"/>
      <w:marRight w:val="0"/>
      <w:marTop w:val="0"/>
      <w:marBottom w:val="0"/>
      <w:divBdr>
        <w:top w:val="none" w:sz="0" w:space="0" w:color="auto"/>
        <w:left w:val="none" w:sz="0" w:space="0" w:color="auto"/>
        <w:bottom w:val="none" w:sz="0" w:space="0" w:color="auto"/>
        <w:right w:val="none" w:sz="0" w:space="0" w:color="auto"/>
      </w:divBdr>
    </w:div>
    <w:div w:id="2046706981">
      <w:marLeft w:val="640"/>
      <w:marRight w:val="0"/>
      <w:marTop w:val="0"/>
      <w:marBottom w:val="0"/>
      <w:divBdr>
        <w:top w:val="none" w:sz="0" w:space="0" w:color="auto"/>
        <w:left w:val="none" w:sz="0" w:space="0" w:color="auto"/>
        <w:bottom w:val="none" w:sz="0" w:space="0" w:color="auto"/>
        <w:right w:val="none" w:sz="0" w:space="0" w:color="auto"/>
      </w:divBdr>
    </w:div>
    <w:div w:id="2047244496">
      <w:marLeft w:val="640"/>
      <w:marRight w:val="0"/>
      <w:marTop w:val="0"/>
      <w:marBottom w:val="0"/>
      <w:divBdr>
        <w:top w:val="none" w:sz="0" w:space="0" w:color="auto"/>
        <w:left w:val="none" w:sz="0" w:space="0" w:color="auto"/>
        <w:bottom w:val="none" w:sz="0" w:space="0" w:color="auto"/>
        <w:right w:val="none" w:sz="0" w:space="0" w:color="auto"/>
      </w:divBdr>
    </w:div>
    <w:div w:id="2047677070">
      <w:marLeft w:val="640"/>
      <w:marRight w:val="0"/>
      <w:marTop w:val="0"/>
      <w:marBottom w:val="0"/>
      <w:divBdr>
        <w:top w:val="none" w:sz="0" w:space="0" w:color="auto"/>
        <w:left w:val="none" w:sz="0" w:space="0" w:color="auto"/>
        <w:bottom w:val="none" w:sz="0" w:space="0" w:color="auto"/>
        <w:right w:val="none" w:sz="0" w:space="0" w:color="auto"/>
      </w:divBdr>
    </w:div>
    <w:div w:id="2048215383">
      <w:marLeft w:val="640"/>
      <w:marRight w:val="0"/>
      <w:marTop w:val="0"/>
      <w:marBottom w:val="0"/>
      <w:divBdr>
        <w:top w:val="none" w:sz="0" w:space="0" w:color="auto"/>
        <w:left w:val="none" w:sz="0" w:space="0" w:color="auto"/>
        <w:bottom w:val="none" w:sz="0" w:space="0" w:color="auto"/>
        <w:right w:val="none" w:sz="0" w:space="0" w:color="auto"/>
      </w:divBdr>
    </w:div>
    <w:div w:id="2048529131">
      <w:marLeft w:val="640"/>
      <w:marRight w:val="0"/>
      <w:marTop w:val="0"/>
      <w:marBottom w:val="0"/>
      <w:divBdr>
        <w:top w:val="none" w:sz="0" w:space="0" w:color="auto"/>
        <w:left w:val="none" w:sz="0" w:space="0" w:color="auto"/>
        <w:bottom w:val="none" w:sz="0" w:space="0" w:color="auto"/>
        <w:right w:val="none" w:sz="0" w:space="0" w:color="auto"/>
      </w:divBdr>
    </w:div>
    <w:div w:id="2048556692">
      <w:marLeft w:val="640"/>
      <w:marRight w:val="0"/>
      <w:marTop w:val="0"/>
      <w:marBottom w:val="0"/>
      <w:divBdr>
        <w:top w:val="none" w:sz="0" w:space="0" w:color="auto"/>
        <w:left w:val="none" w:sz="0" w:space="0" w:color="auto"/>
        <w:bottom w:val="none" w:sz="0" w:space="0" w:color="auto"/>
        <w:right w:val="none" w:sz="0" w:space="0" w:color="auto"/>
      </w:divBdr>
    </w:div>
    <w:div w:id="2048607011">
      <w:marLeft w:val="640"/>
      <w:marRight w:val="0"/>
      <w:marTop w:val="0"/>
      <w:marBottom w:val="0"/>
      <w:divBdr>
        <w:top w:val="none" w:sz="0" w:space="0" w:color="auto"/>
        <w:left w:val="none" w:sz="0" w:space="0" w:color="auto"/>
        <w:bottom w:val="none" w:sz="0" w:space="0" w:color="auto"/>
        <w:right w:val="none" w:sz="0" w:space="0" w:color="auto"/>
      </w:divBdr>
    </w:div>
    <w:div w:id="2049186210">
      <w:marLeft w:val="640"/>
      <w:marRight w:val="0"/>
      <w:marTop w:val="0"/>
      <w:marBottom w:val="0"/>
      <w:divBdr>
        <w:top w:val="none" w:sz="0" w:space="0" w:color="auto"/>
        <w:left w:val="none" w:sz="0" w:space="0" w:color="auto"/>
        <w:bottom w:val="none" w:sz="0" w:space="0" w:color="auto"/>
        <w:right w:val="none" w:sz="0" w:space="0" w:color="auto"/>
      </w:divBdr>
    </w:div>
    <w:div w:id="2049378286">
      <w:marLeft w:val="640"/>
      <w:marRight w:val="0"/>
      <w:marTop w:val="0"/>
      <w:marBottom w:val="0"/>
      <w:divBdr>
        <w:top w:val="none" w:sz="0" w:space="0" w:color="auto"/>
        <w:left w:val="none" w:sz="0" w:space="0" w:color="auto"/>
        <w:bottom w:val="none" w:sz="0" w:space="0" w:color="auto"/>
        <w:right w:val="none" w:sz="0" w:space="0" w:color="auto"/>
      </w:divBdr>
    </w:div>
    <w:div w:id="2049913927">
      <w:marLeft w:val="640"/>
      <w:marRight w:val="0"/>
      <w:marTop w:val="0"/>
      <w:marBottom w:val="0"/>
      <w:divBdr>
        <w:top w:val="none" w:sz="0" w:space="0" w:color="auto"/>
        <w:left w:val="none" w:sz="0" w:space="0" w:color="auto"/>
        <w:bottom w:val="none" w:sz="0" w:space="0" w:color="auto"/>
        <w:right w:val="none" w:sz="0" w:space="0" w:color="auto"/>
      </w:divBdr>
    </w:div>
    <w:div w:id="2050257882">
      <w:marLeft w:val="640"/>
      <w:marRight w:val="0"/>
      <w:marTop w:val="0"/>
      <w:marBottom w:val="0"/>
      <w:divBdr>
        <w:top w:val="none" w:sz="0" w:space="0" w:color="auto"/>
        <w:left w:val="none" w:sz="0" w:space="0" w:color="auto"/>
        <w:bottom w:val="none" w:sz="0" w:space="0" w:color="auto"/>
        <w:right w:val="none" w:sz="0" w:space="0" w:color="auto"/>
      </w:divBdr>
    </w:div>
    <w:div w:id="2050495700">
      <w:marLeft w:val="640"/>
      <w:marRight w:val="0"/>
      <w:marTop w:val="0"/>
      <w:marBottom w:val="0"/>
      <w:divBdr>
        <w:top w:val="none" w:sz="0" w:space="0" w:color="auto"/>
        <w:left w:val="none" w:sz="0" w:space="0" w:color="auto"/>
        <w:bottom w:val="none" w:sz="0" w:space="0" w:color="auto"/>
        <w:right w:val="none" w:sz="0" w:space="0" w:color="auto"/>
      </w:divBdr>
    </w:div>
    <w:div w:id="2050569287">
      <w:marLeft w:val="640"/>
      <w:marRight w:val="0"/>
      <w:marTop w:val="0"/>
      <w:marBottom w:val="0"/>
      <w:divBdr>
        <w:top w:val="none" w:sz="0" w:space="0" w:color="auto"/>
        <w:left w:val="none" w:sz="0" w:space="0" w:color="auto"/>
        <w:bottom w:val="none" w:sz="0" w:space="0" w:color="auto"/>
        <w:right w:val="none" w:sz="0" w:space="0" w:color="auto"/>
      </w:divBdr>
    </w:div>
    <w:div w:id="2052415085">
      <w:marLeft w:val="640"/>
      <w:marRight w:val="0"/>
      <w:marTop w:val="0"/>
      <w:marBottom w:val="0"/>
      <w:divBdr>
        <w:top w:val="none" w:sz="0" w:space="0" w:color="auto"/>
        <w:left w:val="none" w:sz="0" w:space="0" w:color="auto"/>
        <w:bottom w:val="none" w:sz="0" w:space="0" w:color="auto"/>
        <w:right w:val="none" w:sz="0" w:space="0" w:color="auto"/>
      </w:divBdr>
    </w:div>
    <w:div w:id="2052607912">
      <w:marLeft w:val="640"/>
      <w:marRight w:val="0"/>
      <w:marTop w:val="0"/>
      <w:marBottom w:val="0"/>
      <w:divBdr>
        <w:top w:val="none" w:sz="0" w:space="0" w:color="auto"/>
        <w:left w:val="none" w:sz="0" w:space="0" w:color="auto"/>
        <w:bottom w:val="none" w:sz="0" w:space="0" w:color="auto"/>
        <w:right w:val="none" w:sz="0" w:space="0" w:color="auto"/>
      </w:divBdr>
    </w:div>
    <w:div w:id="2054424718">
      <w:marLeft w:val="640"/>
      <w:marRight w:val="0"/>
      <w:marTop w:val="0"/>
      <w:marBottom w:val="0"/>
      <w:divBdr>
        <w:top w:val="none" w:sz="0" w:space="0" w:color="auto"/>
        <w:left w:val="none" w:sz="0" w:space="0" w:color="auto"/>
        <w:bottom w:val="none" w:sz="0" w:space="0" w:color="auto"/>
        <w:right w:val="none" w:sz="0" w:space="0" w:color="auto"/>
      </w:divBdr>
    </w:div>
    <w:div w:id="2056461024">
      <w:marLeft w:val="640"/>
      <w:marRight w:val="0"/>
      <w:marTop w:val="0"/>
      <w:marBottom w:val="0"/>
      <w:divBdr>
        <w:top w:val="none" w:sz="0" w:space="0" w:color="auto"/>
        <w:left w:val="none" w:sz="0" w:space="0" w:color="auto"/>
        <w:bottom w:val="none" w:sz="0" w:space="0" w:color="auto"/>
        <w:right w:val="none" w:sz="0" w:space="0" w:color="auto"/>
      </w:divBdr>
    </w:div>
    <w:div w:id="2057192270">
      <w:marLeft w:val="640"/>
      <w:marRight w:val="0"/>
      <w:marTop w:val="0"/>
      <w:marBottom w:val="0"/>
      <w:divBdr>
        <w:top w:val="none" w:sz="0" w:space="0" w:color="auto"/>
        <w:left w:val="none" w:sz="0" w:space="0" w:color="auto"/>
        <w:bottom w:val="none" w:sz="0" w:space="0" w:color="auto"/>
        <w:right w:val="none" w:sz="0" w:space="0" w:color="auto"/>
      </w:divBdr>
    </w:div>
    <w:div w:id="2057511895">
      <w:marLeft w:val="640"/>
      <w:marRight w:val="0"/>
      <w:marTop w:val="0"/>
      <w:marBottom w:val="0"/>
      <w:divBdr>
        <w:top w:val="none" w:sz="0" w:space="0" w:color="auto"/>
        <w:left w:val="none" w:sz="0" w:space="0" w:color="auto"/>
        <w:bottom w:val="none" w:sz="0" w:space="0" w:color="auto"/>
        <w:right w:val="none" w:sz="0" w:space="0" w:color="auto"/>
      </w:divBdr>
    </w:div>
    <w:div w:id="2058314597">
      <w:marLeft w:val="640"/>
      <w:marRight w:val="0"/>
      <w:marTop w:val="0"/>
      <w:marBottom w:val="0"/>
      <w:divBdr>
        <w:top w:val="none" w:sz="0" w:space="0" w:color="auto"/>
        <w:left w:val="none" w:sz="0" w:space="0" w:color="auto"/>
        <w:bottom w:val="none" w:sz="0" w:space="0" w:color="auto"/>
        <w:right w:val="none" w:sz="0" w:space="0" w:color="auto"/>
      </w:divBdr>
    </w:div>
    <w:div w:id="2058506405">
      <w:marLeft w:val="640"/>
      <w:marRight w:val="0"/>
      <w:marTop w:val="0"/>
      <w:marBottom w:val="0"/>
      <w:divBdr>
        <w:top w:val="none" w:sz="0" w:space="0" w:color="auto"/>
        <w:left w:val="none" w:sz="0" w:space="0" w:color="auto"/>
        <w:bottom w:val="none" w:sz="0" w:space="0" w:color="auto"/>
        <w:right w:val="none" w:sz="0" w:space="0" w:color="auto"/>
      </w:divBdr>
    </w:div>
    <w:div w:id="2060081666">
      <w:marLeft w:val="640"/>
      <w:marRight w:val="0"/>
      <w:marTop w:val="0"/>
      <w:marBottom w:val="0"/>
      <w:divBdr>
        <w:top w:val="none" w:sz="0" w:space="0" w:color="auto"/>
        <w:left w:val="none" w:sz="0" w:space="0" w:color="auto"/>
        <w:bottom w:val="none" w:sz="0" w:space="0" w:color="auto"/>
        <w:right w:val="none" w:sz="0" w:space="0" w:color="auto"/>
      </w:divBdr>
    </w:div>
    <w:div w:id="2060202841">
      <w:marLeft w:val="640"/>
      <w:marRight w:val="0"/>
      <w:marTop w:val="0"/>
      <w:marBottom w:val="0"/>
      <w:divBdr>
        <w:top w:val="none" w:sz="0" w:space="0" w:color="auto"/>
        <w:left w:val="none" w:sz="0" w:space="0" w:color="auto"/>
        <w:bottom w:val="none" w:sz="0" w:space="0" w:color="auto"/>
        <w:right w:val="none" w:sz="0" w:space="0" w:color="auto"/>
      </w:divBdr>
    </w:div>
    <w:div w:id="2060739130">
      <w:marLeft w:val="640"/>
      <w:marRight w:val="0"/>
      <w:marTop w:val="0"/>
      <w:marBottom w:val="0"/>
      <w:divBdr>
        <w:top w:val="none" w:sz="0" w:space="0" w:color="auto"/>
        <w:left w:val="none" w:sz="0" w:space="0" w:color="auto"/>
        <w:bottom w:val="none" w:sz="0" w:space="0" w:color="auto"/>
        <w:right w:val="none" w:sz="0" w:space="0" w:color="auto"/>
      </w:divBdr>
    </w:div>
    <w:div w:id="2061205398">
      <w:marLeft w:val="640"/>
      <w:marRight w:val="0"/>
      <w:marTop w:val="0"/>
      <w:marBottom w:val="0"/>
      <w:divBdr>
        <w:top w:val="none" w:sz="0" w:space="0" w:color="auto"/>
        <w:left w:val="none" w:sz="0" w:space="0" w:color="auto"/>
        <w:bottom w:val="none" w:sz="0" w:space="0" w:color="auto"/>
        <w:right w:val="none" w:sz="0" w:space="0" w:color="auto"/>
      </w:divBdr>
    </w:div>
    <w:div w:id="2061590309">
      <w:marLeft w:val="640"/>
      <w:marRight w:val="0"/>
      <w:marTop w:val="0"/>
      <w:marBottom w:val="0"/>
      <w:divBdr>
        <w:top w:val="none" w:sz="0" w:space="0" w:color="auto"/>
        <w:left w:val="none" w:sz="0" w:space="0" w:color="auto"/>
        <w:bottom w:val="none" w:sz="0" w:space="0" w:color="auto"/>
        <w:right w:val="none" w:sz="0" w:space="0" w:color="auto"/>
      </w:divBdr>
    </w:div>
    <w:div w:id="2062633869">
      <w:marLeft w:val="640"/>
      <w:marRight w:val="0"/>
      <w:marTop w:val="0"/>
      <w:marBottom w:val="0"/>
      <w:divBdr>
        <w:top w:val="none" w:sz="0" w:space="0" w:color="auto"/>
        <w:left w:val="none" w:sz="0" w:space="0" w:color="auto"/>
        <w:bottom w:val="none" w:sz="0" w:space="0" w:color="auto"/>
        <w:right w:val="none" w:sz="0" w:space="0" w:color="auto"/>
      </w:divBdr>
    </w:div>
    <w:div w:id="2062749719">
      <w:marLeft w:val="640"/>
      <w:marRight w:val="0"/>
      <w:marTop w:val="0"/>
      <w:marBottom w:val="0"/>
      <w:divBdr>
        <w:top w:val="none" w:sz="0" w:space="0" w:color="auto"/>
        <w:left w:val="none" w:sz="0" w:space="0" w:color="auto"/>
        <w:bottom w:val="none" w:sz="0" w:space="0" w:color="auto"/>
        <w:right w:val="none" w:sz="0" w:space="0" w:color="auto"/>
      </w:divBdr>
    </w:div>
    <w:div w:id="2064329690">
      <w:marLeft w:val="640"/>
      <w:marRight w:val="0"/>
      <w:marTop w:val="0"/>
      <w:marBottom w:val="0"/>
      <w:divBdr>
        <w:top w:val="none" w:sz="0" w:space="0" w:color="auto"/>
        <w:left w:val="none" w:sz="0" w:space="0" w:color="auto"/>
        <w:bottom w:val="none" w:sz="0" w:space="0" w:color="auto"/>
        <w:right w:val="none" w:sz="0" w:space="0" w:color="auto"/>
      </w:divBdr>
    </w:div>
    <w:div w:id="2065831113">
      <w:marLeft w:val="640"/>
      <w:marRight w:val="0"/>
      <w:marTop w:val="0"/>
      <w:marBottom w:val="0"/>
      <w:divBdr>
        <w:top w:val="none" w:sz="0" w:space="0" w:color="auto"/>
        <w:left w:val="none" w:sz="0" w:space="0" w:color="auto"/>
        <w:bottom w:val="none" w:sz="0" w:space="0" w:color="auto"/>
        <w:right w:val="none" w:sz="0" w:space="0" w:color="auto"/>
      </w:divBdr>
    </w:div>
    <w:div w:id="2065904214">
      <w:marLeft w:val="640"/>
      <w:marRight w:val="0"/>
      <w:marTop w:val="0"/>
      <w:marBottom w:val="0"/>
      <w:divBdr>
        <w:top w:val="none" w:sz="0" w:space="0" w:color="auto"/>
        <w:left w:val="none" w:sz="0" w:space="0" w:color="auto"/>
        <w:bottom w:val="none" w:sz="0" w:space="0" w:color="auto"/>
        <w:right w:val="none" w:sz="0" w:space="0" w:color="auto"/>
      </w:divBdr>
    </w:div>
    <w:div w:id="2067217804">
      <w:marLeft w:val="640"/>
      <w:marRight w:val="0"/>
      <w:marTop w:val="0"/>
      <w:marBottom w:val="0"/>
      <w:divBdr>
        <w:top w:val="none" w:sz="0" w:space="0" w:color="auto"/>
        <w:left w:val="none" w:sz="0" w:space="0" w:color="auto"/>
        <w:bottom w:val="none" w:sz="0" w:space="0" w:color="auto"/>
        <w:right w:val="none" w:sz="0" w:space="0" w:color="auto"/>
      </w:divBdr>
    </w:div>
    <w:div w:id="2067676483">
      <w:marLeft w:val="640"/>
      <w:marRight w:val="0"/>
      <w:marTop w:val="0"/>
      <w:marBottom w:val="0"/>
      <w:divBdr>
        <w:top w:val="none" w:sz="0" w:space="0" w:color="auto"/>
        <w:left w:val="none" w:sz="0" w:space="0" w:color="auto"/>
        <w:bottom w:val="none" w:sz="0" w:space="0" w:color="auto"/>
        <w:right w:val="none" w:sz="0" w:space="0" w:color="auto"/>
      </w:divBdr>
    </w:div>
    <w:div w:id="2069255817">
      <w:marLeft w:val="640"/>
      <w:marRight w:val="0"/>
      <w:marTop w:val="0"/>
      <w:marBottom w:val="0"/>
      <w:divBdr>
        <w:top w:val="none" w:sz="0" w:space="0" w:color="auto"/>
        <w:left w:val="none" w:sz="0" w:space="0" w:color="auto"/>
        <w:bottom w:val="none" w:sz="0" w:space="0" w:color="auto"/>
        <w:right w:val="none" w:sz="0" w:space="0" w:color="auto"/>
      </w:divBdr>
    </w:div>
    <w:div w:id="2069955473">
      <w:marLeft w:val="640"/>
      <w:marRight w:val="0"/>
      <w:marTop w:val="0"/>
      <w:marBottom w:val="0"/>
      <w:divBdr>
        <w:top w:val="none" w:sz="0" w:space="0" w:color="auto"/>
        <w:left w:val="none" w:sz="0" w:space="0" w:color="auto"/>
        <w:bottom w:val="none" w:sz="0" w:space="0" w:color="auto"/>
        <w:right w:val="none" w:sz="0" w:space="0" w:color="auto"/>
      </w:divBdr>
    </w:div>
    <w:div w:id="2070032765">
      <w:marLeft w:val="640"/>
      <w:marRight w:val="0"/>
      <w:marTop w:val="0"/>
      <w:marBottom w:val="0"/>
      <w:divBdr>
        <w:top w:val="none" w:sz="0" w:space="0" w:color="auto"/>
        <w:left w:val="none" w:sz="0" w:space="0" w:color="auto"/>
        <w:bottom w:val="none" w:sz="0" w:space="0" w:color="auto"/>
        <w:right w:val="none" w:sz="0" w:space="0" w:color="auto"/>
      </w:divBdr>
    </w:div>
    <w:div w:id="2070423005">
      <w:marLeft w:val="640"/>
      <w:marRight w:val="0"/>
      <w:marTop w:val="0"/>
      <w:marBottom w:val="0"/>
      <w:divBdr>
        <w:top w:val="none" w:sz="0" w:space="0" w:color="auto"/>
        <w:left w:val="none" w:sz="0" w:space="0" w:color="auto"/>
        <w:bottom w:val="none" w:sz="0" w:space="0" w:color="auto"/>
        <w:right w:val="none" w:sz="0" w:space="0" w:color="auto"/>
      </w:divBdr>
    </w:div>
    <w:div w:id="2070497854">
      <w:marLeft w:val="640"/>
      <w:marRight w:val="0"/>
      <w:marTop w:val="0"/>
      <w:marBottom w:val="0"/>
      <w:divBdr>
        <w:top w:val="none" w:sz="0" w:space="0" w:color="auto"/>
        <w:left w:val="none" w:sz="0" w:space="0" w:color="auto"/>
        <w:bottom w:val="none" w:sz="0" w:space="0" w:color="auto"/>
        <w:right w:val="none" w:sz="0" w:space="0" w:color="auto"/>
      </w:divBdr>
    </w:div>
    <w:div w:id="2070566157">
      <w:marLeft w:val="640"/>
      <w:marRight w:val="0"/>
      <w:marTop w:val="0"/>
      <w:marBottom w:val="0"/>
      <w:divBdr>
        <w:top w:val="none" w:sz="0" w:space="0" w:color="auto"/>
        <w:left w:val="none" w:sz="0" w:space="0" w:color="auto"/>
        <w:bottom w:val="none" w:sz="0" w:space="0" w:color="auto"/>
        <w:right w:val="none" w:sz="0" w:space="0" w:color="auto"/>
      </w:divBdr>
    </w:div>
    <w:div w:id="2070613230">
      <w:marLeft w:val="640"/>
      <w:marRight w:val="0"/>
      <w:marTop w:val="0"/>
      <w:marBottom w:val="0"/>
      <w:divBdr>
        <w:top w:val="none" w:sz="0" w:space="0" w:color="auto"/>
        <w:left w:val="none" w:sz="0" w:space="0" w:color="auto"/>
        <w:bottom w:val="none" w:sz="0" w:space="0" w:color="auto"/>
        <w:right w:val="none" w:sz="0" w:space="0" w:color="auto"/>
      </w:divBdr>
    </w:div>
    <w:div w:id="2070766934">
      <w:marLeft w:val="640"/>
      <w:marRight w:val="0"/>
      <w:marTop w:val="0"/>
      <w:marBottom w:val="0"/>
      <w:divBdr>
        <w:top w:val="none" w:sz="0" w:space="0" w:color="auto"/>
        <w:left w:val="none" w:sz="0" w:space="0" w:color="auto"/>
        <w:bottom w:val="none" w:sz="0" w:space="0" w:color="auto"/>
        <w:right w:val="none" w:sz="0" w:space="0" w:color="auto"/>
      </w:divBdr>
    </w:div>
    <w:div w:id="2071346191">
      <w:marLeft w:val="640"/>
      <w:marRight w:val="0"/>
      <w:marTop w:val="0"/>
      <w:marBottom w:val="0"/>
      <w:divBdr>
        <w:top w:val="none" w:sz="0" w:space="0" w:color="auto"/>
        <w:left w:val="none" w:sz="0" w:space="0" w:color="auto"/>
        <w:bottom w:val="none" w:sz="0" w:space="0" w:color="auto"/>
        <w:right w:val="none" w:sz="0" w:space="0" w:color="auto"/>
      </w:divBdr>
    </w:div>
    <w:div w:id="2072076557">
      <w:marLeft w:val="640"/>
      <w:marRight w:val="0"/>
      <w:marTop w:val="0"/>
      <w:marBottom w:val="0"/>
      <w:divBdr>
        <w:top w:val="none" w:sz="0" w:space="0" w:color="auto"/>
        <w:left w:val="none" w:sz="0" w:space="0" w:color="auto"/>
        <w:bottom w:val="none" w:sz="0" w:space="0" w:color="auto"/>
        <w:right w:val="none" w:sz="0" w:space="0" w:color="auto"/>
      </w:divBdr>
    </w:div>
    <w:div w:id="2072149424">
      <w:marLeft w:val="640"/>
      <w:marRight w:val="0"/>
      <w:marTop w:val="0"/>
      <w:marBottom w:val="0"/>
      <w:divBdr>
        <w:top w:val="none" w:sz="0" w:space="0" w:color="auto"/>
        <w:left w:val="none" w:sz="0" w:space="0" w:color="auto"/>
        <w:bottom w:val="none" w:sz="0" w:space="0" w:color="auto"/>
        <w:right w:val="none" w:sz="0" w:space="0" w:color="auto"/>
      </w:divBdr>
    </w:div>
    <w:div w:id="2072385511">
      <w:marLeft w:val="640"/>
      <w:marRight w:val="0"/>
      <w:marTop w:val="0"/>
      <w:marBottom w:val="0"/>
      <w:divBdr>
        <w:top w:val="none" w:sz="0" w:space="0" w:color="auto"/>
        <w:left w:val="none" w:sz="0" w:space="0" w:color="auto"/>
        <w:bottom w:val="none" w:sz="0" w:space="0" w:color="auto"/>
        <w:right w:val="none" w:sz="0" w:space="0" w:color="auto"/>
      </w:divBdr>
    </w:div>
    <w:div w:id="2072532524">
      <w:marLeft w:val="640"/>
      <w:marRight w:val="0"/>
      <w:marTop w:val="0"/>
      <w:marBottom w:val="0"/>
      <w:divBdr>
        <w:top w:val="none" w:sz="0" w:space="0" w:color="auto"/>
        <w:left w:val="none" w:sz="0" w:space="0" w:color="auto"/>
        <w:bottom w:val="none" w:sz="0" w:space="0" w:color="auto"/>
        <w:right w:val="none" w:sz="0" w:space="0" w:color="auto"/>
      </w:divBdr>
    </w:div>
    <w:div w:id="2072656693">
      <w:marLeft w:val="640"/>
      <w:marRight w:val="0"/>
      <w:marTop w:val="0"/>
      <w:marBottom w:val="0"/>
      <w:divBdr>
        <w:top w:val="none" w:sz="0" w:space="0" w:color="auto"/>
        <w:left w:val="none" w:sz="0" w:space="0" w:color="auto"/>
        <w:bottom w:val="none" w:sz="0" w:space="0" w:color="auto"/>
        <w:right w:val="none" w:sz="0" w:space="0" w:color="auto"/>
      </w:divBdr>
    </w:div>
    <w:div w:id="2072919880">
      <w:marLeft w:val="640"/>
      <w:marRight w:val="0"/>
      <w:marTop w:val="0"/>
      <w:marBottom w:val="0"/>
      <w:divBdr>
        <w:top w:val="none" w:sz="0" w:space="0" w:color="auto"/>
        <w:left w:val="none" w:sz="0" w:space="0" w:color="auto"/>
        <w:bottom w:val="none" w:sz="0" w:space="0" w:color="auto"/>
        <w:right w:val="none" w:sz="0" w:space="0" w:color="auto"/>
      </w:divBdr>
    </w:div>
    <w:div w:id="2074159812">
      <w:marLeft w:val="640"/>
      <w:marRight w:val="0"/>
      <w:marTop w:val="0"/>
      <w:marBottom w:val="0"/>
      <w:divBdr>
        <w:top w:val="none" w:sz="0" w:space="0" w:color="auto"/>
        <w:left w:val="none" w:sz="0" w:space="0" w:color="auto"/>
        <w:bottom w:val="none" w:sz="0" w:space="0" w:color="auto"/>
        <w:right w:val="none" w:sz="0" w:space="0" w:color="auto"/>
      </w:divBdr>
    </w:div>
    <w:div w:id="2075157565">
      <w:marLeft w:val="640"/>
      <w:marRight w:val="0"/>
      <w:marTop w:val="0"/>
      <w:marBottom w:val="0"/>
      <w:divBdr>
        <w:top w:val="none" w:sz="0" w:space="0" w:color="auto"/>
        <w:left w:val="none" w:sz="0" w:space="0" w:color="auto"/>
        <w:bottom w:val="none" w:sz="0" w:space="0" w:color="auto"/>
        <w:right w:val="none" w:sz="0" w:space="0" w:color="auto"/>
      </w:divBdr>
    </w:div>
    <w:div w:id="2075278607">
      <w:marLeft w:val="640"/>
      <w:marRight w:val="0"/>
      <w:marTop w:val="0"/>
      <w:marBottom w:val="0"/>
      <w:divBdr>
        <w:top w:val="none" w:sz="0" w:space="0" w:color="auto"/>
        <w:left w:val="none" w:sz="0" w:space="0" w:color="auto"/>
        <w:bottom w:val="none" w:sz="0" w:space="0" w:color="auto"/>
        <w:right w:val="none" w:sz="0" w:space="0" w:color="auto"/>
      </w:divBdr>
    </w:div>
    <w:div w:id="2076198468">
      <w:marLeft w:val="640"/>
      <w:marRight w:val="0"/>
      <w:marTop w:val="0"/>
      <w:marBottom w:val="0"/>
      <w:divBdr>
        <w:top w:val="none" w:sz="0" w:space="0" w:color="auto"/>
        <w:left w:val="none" w:sz="0" w:space="0" w:color="auto"/>
        <w:bottom w:val="none" w:sz="0" w:space="0" w:color="auto"/>
        <w:right w:val="none" w:sz="0" w:space="0" w:color="auto"/>
      </w:divBdr>
    </w:div>
    <w:div w:id="2076589721">
      <w:marLeft w:val="640"/>
      <w:marRight w:val="0"/>
      <w:marTop w:val="0"/>
      <w:marBottom w:val="0"/>
      <w:divBdr>
        <w:top w:val="none" w:sz="0" w:space="0" w:color="auto"/>
        <w:left w:val="none" w:sz="0" w:space="0" w:color="auto"/>
        <w:bottom w:val="none" w:sz="0" w:space="0" w:color="auto"/>
        <w:right w:val="none" w:sz="0" w:space="0" w:color="auto"/>
      </w:divBdr>
    </w:div>
    <w:div w:id="2076664402">
      <w:marLeft w:val="640"/>
      <w:marRight w:val="0"/>
      <w:marTop w:val="0"/>
      <w:marBottom w:val="0"/>
      <w:divBdr>
        <w:top w:val="none" w:sz="0" w:space="0" w:color="auto"/>
        <w:left w:val="none" w:sz="0" w:space="0" w:color="auto"/>
        <w:bottom w:val="none" w:sz="0" w:space="0" w:color="auto"/>
        <w:right w:val="none" w:sz="0" w:space="0" w:color="auto"/>
      </w:divBdr>
    </w:div>
    <w:div w:id="2077512553">
      <w:marLeft w:val="640"/>
      <w:marRight w:val="0"/>
      <w:marTop w:val="0"/>
      <w:marBottom w:val="0"/>
      <w:divBdr>
        <w:top w:val="none" w:sz="0" w:space="0" w:color="auto"/>
        <w:left w:val="none" w:sz="0" w:space="0" w:color="auto"/>
        <w:bottom w:val="none" w:sz="0" w:space="0" w:color="auto"/>
        <w:right w:val="none" w:sz="0" w:space="0" w:color="auto"/>
      </w:divBdr>
    </w:div>
    <w:div w:id="2078280689">
      <w:marLeft w:val="640"/>
      <w:marRight w:val="0"/>
      <w:marTop w:val="0"/>
      <w:marBottom w:val="0"/>
      <w:divBdr>
        <w:top w:val="none" w:sz="0" w:space="0" w:color="auto"/>
        <w:left w:val="none" w:sz="0" w:space="0" w:color="auto"/>
        <w:bottom w:val="none" w:sz="0" w:space="0" w:color="auto"/>
        <w:right w:val="none" w:sz="0" w:space="0" w:color="auto"/>
      </w:divBdr>
    </w:div>
    <w:div w:id="2078697192">
      <w:marLeft w:val="640"/>
      <w:marRight w:val="0"/>
      <w:marTop w:val="0"/>
      <w:marBottom w:val="0"/>
      <w:divBdr>
        <w:top w:val="none" w:sz="0" w:space="0" w:color="auto"/>
        <w:left w:val="none" w:sz="0" w:space="0" w:color="auto"/>
        <w:bottom w:val="none" w:sz="0" w:space="0" w:color="auto"/>
        <w:right w:val="none" w:sz="0" w:space="0" w:color="auto"/>
      </w:divBdr>
    </w:div>
    <w:div w:id="2080133572">
      <w:marLeft w:val="640"/>
      <w:marRight w:val="0"/>
      <w:marTop w:val="0"/>
      <w:marBottom w:val="0"/>
      <w:divBdr>
        <w:top w:val="none" w:sz="0" w:space="0" w:color="auto"/>
        <w:left w:val="none" w:sz="0" w:space="0" w:color="auto"/>
        <w:bottom w:val="none" w:sz="0" w:space="0" w:color="auto"/>
        <w:right w:val="none" w:sz="0" w:space="0" w:color="auto"/>
      </w:divBdr>
    </w:div>
    <w:div w:id="2080590050">
      <w:marLeft w:val="640"/>
      <w:marRight w:val="0"/>
      <w:marTop w:val="0"/>
      <w:marBottom w:val="0"/>
      <w:divBdr>
        <w:top w:val="none" w:sz="0" w:space="0" w:color="auto"/>
        <w:left w:val="none" w:sz="0" w:space="0" w:color="auto"/>
        <w:bottom w:val="none" w:sz="0" w:space="0" w:color="auto"/>
        <w:right w:val="none" w:sz="0" w:space="0" w:color="auto"/>
      </w:divBdr>
    </w:div>
    <w:div w:id="2081245540">
      <w:marLeft w:val="640"/>
      <w:marRight w:val="0"/>
      <w:marTop w:val="0"/>
      <w:marBottom w:val="0"/>
      <w:divBdr>
        <w:top w:val="none" w:sz="0" w:space="0" w:color="auto"/>
        <w:left w:val="none" w:sz="0" w:space="0" w:color="auto"/>
        <w:bottom w:val="none" w:sz="0" w:space="0" w:color="auto"/>
        <w:right w:val="none" w:sz="0" w:space="0" w:color="auto"/>
      </w:divBdr>
    </w:div>
    <w:div w:id="2081319901">
      <w:marLeft w:val="640"/>
      <w:marRight w:val="0"/>
      <w:marTop w:val="0"/>
      <w:marBottom w:val="0"/>
      <w:divBdr>
        <w:top w:val="none" w:sz="0" w:space="0" w:color="auto"/>
        <w:left w:val="none" w:sz="0" w:space="0" w:color="auto"/>
        <w:bottom w:val="none" w:sz="0" w:space="0" w:color="auto"/>
        <w:right w:val="none" w:sz="0" w:space="0" w:color="auto"/>
      </w:divBdr>
    </w:div>
    <w:div w:id="2081973978">
      <w:marLeft w:val="640"/>
      <w:marRight w:val="0"/>
      <w:marTop w:val="0"/>
      <w:marBottom w:val="0"/>
      <w:divBdr>
        <w:top w:val="none" w:sz="0" w:space="0" w:color="auto"/>
        <w:left w:val="none" w:sz="0" w:space="0" w:color="auto"/>
        <w:bottom w:val="none" w:sz="0" w:space="0" w:color="auto"/>
        <w:right w:val="none" w:sz="0" w:space="0" w:color="auto"/>
      </w:divBdr>
    </w:div>
    <w:div w:id="2082364446">
      <w:marLeft w:val="640"/>
      <w:marRight w:val="0"/>
      <w:marTop w:val="0"/>
      <w:marBottom w:val="0"/>
      <w:divBdr>
        <w:top w:val="none" w:sz="0" w:space="0" w:color="auto"/>
        <w:left w:val="none" w:sz="0" w:space="0" w:color="auto"/>
        <w:bottom w:val="none" w:sz="0" w:space="0" w:color="auto"/>
        <w:right w:val="none" w:sz="0" w:space="0" w:color="auto"/>
      </w:divBdr>
    </w:div>
    <w:div w:id="2082487861">
      <w:marLeft w:val="640"/>
      <w:marRight w:val="0"/>
      <w:marTop w:val="0"/>
      <w:marBottom w:val="0"/>
      <w:divBdr>
        <w:top w:val="none" w:sz="0" w:space="0" w:color="auto"/>
        <w:left w:val="none" w:sz="0" w:space="0" w:color="auto"/>
        <w:bottom w:val="none" w:sz="0" w:space="0" w:color="auto"/>
        <w:right w:val="none" w:sz="0" w:space="0" w:color="auto"/>
      </w:divBdr>
    </w:div>
    <w:div w:id="2083286520">
      <w:marLeft w:val="640"/>
      <w:marRight w:val="0"/>
      <w:marTop w:val="0"/>
      <w:marBottom w:val="0"/>
      <w:divBdr>
        <w:top w:val="none" w:sz="0" w:space="0" w:color="auto"/>
        <w:left w:val="none" w:sz="0" w:space="0" w:color="auto"/>
        <w:bottom w:val="none" w:sz="0" w:space="0" w:color="auto"/>
        <w:right w:val="none" w:sz="0" w:space="0" w:color="auto"/>
      </w:divBdr>
    </w:div>
    <w:div w:id="2083331587">
      <w:marLeft w:val="640"/>
      <w:marRight w:val="0"/>
      <w:marTop w:val="0"/>
      <w:marBottom w:val="0"/>
      <w:divBdr>
        <w:top w:val="none" w:sz="0" w:space="0" w:color="auto"/>
        <w:left w:val="none" w:sz="0" w:space="0" w:color="auto"/>
        <w:bottom w:val="none" w:sz="0" w:space="0" w:color="auto"/>
        <w:right w:val="none" w:sz="0" w:space="0" w:color="auto"/>
      </w:divBdr>
    </w:div>
    <w:div w:id="2083677558">
      <w:marLeft w:val="640"/>
      <w:marRight w:val="0"/>
      <w:marTop w:val="0"/>
      <w:marBottom w:val="0"/>
      <w:divBdr>
        <w:top w:val="none" w:sz="0" w:space="0" w:color="auto"/>
        <w:left w:val="none" w:sz="0" w:space="0" w:color="auto"/>
        <w:bottom w:val="none" w:sz="0" w:space="0" w:color="auto"/>
        <w:right w:val="none" w:sz="0" w:space="0" w:color="auto"/>
      </w:divBdr>
    </w:div>
    <w:div w:id="2083717322">
      <w:marLeft w:val="640"/>
      <w:marRight w:val="0"/>
      <w:marTop w:val="0"/>
      <w:marBottom w:val="0"/>
      <w:divBdr>
        <w:top w:val="none" w:sz="0" w:space="0" w:color="auto"/>
        <w:left w:val="none" w:sz="0" w:space="0" w:color="auto"/>
        <w:bottom w:val="none" w:sz="0" w:space="0" w:color="auto"/>
        <w:right w:val="none" w:sz="0" w:space="0" w:color="auto"/>
      </w:divBdr>
    </w:div>
    <w:div w:id="2084254991">
      <w:marLeft w:val="640"/>
      <w:marRight w:val="0"/>
      <w:marTop w:val="0"/>
      <w:marBottom w:val="0"/>
      <w:divBdr>
        <w:top w:val="none" w:sz="0" w:space="0" w:color="auto"/>
        <w:left w:val="none" w:sz="0" w:space="0" w:color="auto"/>
        <w:bottom w:val="none" w:sz="0" w:space="0" w:color="auto"/>
        <w:right w:val="none" w:sz="0" w:space="0" w:color="auto"/>
      </w:divBdr>
    </w:div>
    <w:div w:id="2084403264">
      <w:marLeft w:val="640"/>
      <w:marRight w:val="0"/>
      <w:marTop w:val="0"/>
      <w:marBottom w:val="0"/>
      <w:divBdr>
        <w:top w:val="none" w:sz="0" w:space="0" w:color="auto"/>
        <w:left w:val="none" w:sz="0" w:space="0" w:color="auto"/>
        <w:bottom w:val="none" w:sz="0" w:space="0" w:color="auto"/>
        <w:right w:val="none" w:sz="0" w:space="0" w:color="auto"/>
      </w:divBdr>
    </w:div>
    <w:div w:id="2085027916">
      <w:marLeft w:val="640"/>
      <w:marRight w:val="0"/>
      <w:marTop w:val="0"/>
      <w:marBottom w:val="0"/>
      <w:divBdr>
        <w:top w:val="none" w:sz="0" w:space="0" w:color="auto"/>
        <w:left w:val="none" w:sz="0" w:space="0" w:color="auto"/>
        <w:bottom w:val="none" w:sz="0" w:space="0" w:color="auto"/>
        <w:right w:val="none" w:sz="0" w:space="0" w:color="auto"/>
      </w:divBdr>
    </w:div>
    <w:div w:id="2085368543">
      <w:marLeft w:val="640"/>
      <w:marRight w:val="0"/>
      <w:marTop w:val="0"/>
      <w:marBottom w:val="0"/>
      <w:divBdr>
        <w:top w:val="none" w:sz="0" w:space="0" w:color="auto"/>
        <w:left w:val="none" w:sz="0" w:space="0" w:color="auto"/>
        <w:bottom w:val="none" w:sz="0" w:space="0" w:color="auto"/>
        <w:right w:val="none" w:sz="0" w:space="0" w:color="auto"/>
      </w:divBdr>
    </w:div>
    <w:div w:id="2085488606">
      <w:marLeft w:val="640"/>
      <w:marRight w:val="0"/>
      <w:marTop w:val="0"/>
      <w:marBottom w:val="0"/>
      <w:divBdr>
        <w:top w:val="none" w:sz="0" w:space="0" w:color="auto"/>
        <w:left w:val="none" w:sz="0" w:space="0" w:color="auto"/>
        <w:bottom w:val="none" w:sz="0" w:space="0" w:color="auto"/>
        <w:right w:val="none" w:sz="0" w:space="0" w:color="auto"/>
      </w:divBdr>
    </w:div>
    <w:div w:id="2085909020">
      <w:marLeft w:val="640"/>
      <w:marRight w:val="0"/>
      <w:marTop w:val="0"/>
      <w:marBottom w:val="0"/>
      <w:divBdr>
        <w:top w:val="none" w:sz="0" w:space="0" w:color="auto"/>
        <w:left w:val="none" w:sz="0" w:space="0" w:color="auto"/>
        <w:bottom w:val="none" w:sz="0" w:space="0" w:color="auto"/>
        <w:right w:val="none" w:sz="0" w:space="0" w:color="auto"/>
      </w:divBdr>
    </w:div>
    <w:div w:id="2086217322">
      <w:marLeft w:val="640"/>
      <w:marRight w:val="0"/>
      <w:marTop w:val="0"/>
      <w:marBottom w:val="0"/>
      <w:divBdr>
        <w:top w:val="none" w:sz="0" w:space="0" w:color="auto"/>
        <w:left w:val="none" w:sz="0" w:space="0" w:color="auto"/>
        <w:bottom w:val="none" w:sz="0" w:space="0" w:color="auto"/>
        <w:right w:val="none" w:sz="0" w:space="0" w:color="auto"/>
      </w:divBdr>
    </w:div>
    <w:div w:id="2086805254">
      <w:marLeft w:val="640"/>
      <w:marRight w:val="0"/>
      <w:marTop w:val="0"/>
      <w:marBottom w:val="0"/>
      <w:divBdr>
        <w:top w:val="none" w:sz="0" w:space="0" w:color="auto"/>
        <w:left w:val="none" w:sz="0" w:space="0" w:color="auto"/>
        <w:bottom w:val="none" w:sz="0" w:space="0" w:color="auto"/>
        <w:right w:val="none" w:sz="0" w:space="0" w:color="auto"/>
      </w:divBdr>
    </w:div>
    <w:div w:id="2087454500">
      <w:marLeft w:val="640"/>
      <w:marRight w:val="0"/>
      <w:marTop w:val="0"/>
      <w:marBottom w:val="0"/>
      <w:divBdr>
        <w:top w:val="none" w:sz="0" w:space="0" w:color="auto"/>
        <w:left w:val="none" w:sz="0" w:space="0" w:color="auto"/>
        <w:bottom w:val="none" w:sz="0" w:space="0" w:color="auto"/>
        <w:right w:val="none" w:sz="0" w:space="0" w:color="auto"/>
      </w:divBdr>
    </w:div>
    <w:div w:id="2087604562">
      <w:marLeft w:val="640"/>
      <w:marRight w:val="0"/>
      <w:marTop w:val="0"/>
      <w:marBottom w:val="0"/>
      <w:divBdr>
        <w:top w:val="none" w:sz="0" w:space="0" w:color="auto"/>
        <w:left w:val="none" w:sz="0" w:space="0" w:color="auto"/>
        <w:bottom w:val="none" w:sz="0" w:space="0" w:color="auto"/>
        <w:right w:val="none" w:sz="0" w:space="0" w:color="auto"/>
      </w:divBdr>
    </w:div>
    <w:div w:id="2087727257">
      <w:marLeft w:val="640"/>
      <w:marRight w:val="0"/>
      <w:marTop w:val="0"/>
      <w:marBottom w:val="0"/>
      <w:divBdr>
        <w:top w:val="none" w:sz="0" w:space="0" w:color="auto"/>
        <w:left w:val="none" w:sz="0" w:space="0" w:color="auto"/>
        <w:bottom w:val="none" w:sz="0" w:space="0" w:color="auto"/>
        <w:right w:val="none" w:sz="0" w:space="0" w:color="auto"/>
      </w:divBdr>
    </w:div>
    <w:div w:id="2087920018">
      <w:marLeft w:val="640"/>
      <w:marRight w:val="0"/>
      <w:marTop w:val="0"/>
      <w:marBottom w:val="0"/>
      <w:divBdr>
        <w:top w:val="none" w:sz="0" w:space="0" w:color="auto"/>
        <w:left w:val="none" w:sz="0" w:space="0" w:color="auto"/>
        <w:bottom w:val="none" w:sz="0" w:space="0" w:color="auto"/>
        <w:right w:val="none" w:sz="0" w:space="0" w:color="auto"/>
      </w:divBdr>
    </w:div>
    <w:div w:id="2088724951">
      <w:marLeft w:val="640"/>
      <w:marRight w:val="0"/>
      <w:marTop w:val="0"/>
      <w:marBottom w:val="0"/>
      <w:divBdr>
        <w:top w:val="none" w:sz="0" w:space="0" w:color="auto"/>
        <w:left w:val="none" w:sz="0" w:space="0" w:color="auto"/>
        <w:bottom w:val="none" w:sz="0" w:space="0" w:color="auto"/>
        <w:right w:val="none" w:sz="0" w:space="0" w:color="auto"/>
      </w:divBdr>
    </w:div>
    <w:div w:id="2089227769">
      <w:marLeft w:val="640"/>
      <w:marRight w:val="0"/>
      <w:marTop w:val="0"/>
      <w:marBottom w:val="0"/>
      <w:divBdr>
        <w:top w:val="none" w:sz="0" w:space="0" w:color="auto"/>
        <w:left w:val="none" w:sz="0" w:space="0" w:color="auto"/>
        <w:bottom w:val="none" w:sz="0" w:space="0" w:color="auto"/>
        <w:right w:val="none" w:sz="0" w:space="0" w:color="auto"/>
      </w:divBdr>
    </w:div>
    <w:div w:id="2089496480">
      <w:marLeft w:val="640"/>
      <w:marRight w:val="0"/>
      <w:marTop w:val="0"/>
      <w:marBottom w:val="0"/>
      <w:divBdr>
        <w:top w:val="none" w:sz="0" w:space="0" w:color="auto"/>
        <w:left w:val="none" w:sz="0" w:space="0" w:color="auto"/>
        <w:bottom w:val="none" w:sz="0" w:space="0" w:color="auto"/>
        <w:right w:val="none" w:sz="0" w:space="0" w:color="auto"/>
      </w:divBdr>
    </w:div>
    <w:div w:id="2090419336">
      <w:marLeft w:val="640"/>
      <w:marRight w:val="0"/>
      <w:marTop w:val="0"/>
      <w:marBottom w:val="0"/>
      <w:divBdr>
        <w:top w:val="none" w:sz="0" w:space="0" w:color="auto"/>
        <w:left w:val="none" w:sz="0" w:space="0" w:color="auto"/>
        <w:bottom w:val="none" w:sz="0" w:space="0" w:color="auto"/>
        <w:right w:val="none" w:sz="0" w:space="0" w:color="auto"/>
      </w:divBdr>
    </w:div>
    <w:div w:id="2090685526">
      <w:marLeft w:val="640"/>
      <w:marRight w:val="0"/>
      <w:marTop w:val="0"/>
      <w:marBottom w:val="0"/>
      <w:divBdr>
        <w:top w:val="none" w:sz="0" w:space="0" w:color="auto"/>
        <w:left w:val="none" w:sz="0" w:space="0" w:color="auto"/>
        <w:bottom w:val="none" w:sz="0" w:space="0" w:color="auto"/>
        <w:right w:val="none" w:sz="0" w:space="0" w:color="auto"/>
      </w:divBdr>
    </w:div>
    <w:div w:id="2090736386">
      <w:marLeft w:val="640"/>
      <w:marRight w:val="0"/>
      <w:marTop w:val="0"/>
      <w:marBottom w:val="0"/>
      <w:divBdr>
        <w:top w:val="none" w:sz="0" w:space="0" w:color="auto"/>
        <w:left w:val="none" w:sz="0" w:space="0" w:color="auto"/>
        <w:bottom w:val="none" w:sz="0" w:space="0" w:color="auto"/>
        <w:right w:val="none" w:sz="0" w:space="0" w:color="auto"/>
      </w:divBdr>
    </w:div>
    <w:div w:id="2091729946">
      <w:marLeft w:val="640"/>
      <w:marRight w:val="0"/>
      <w:marTop w:val="0"/>
      <w:marBottom w:val="0"/>
      <w:divBdr>
        <w:top w:val="none" w:sz="0" w:space="0" w:color="auto"/>
        <w:left w:val="none" w:sz="0" w:space="0" w:color="auto"/>
        <w:bottom w:val="none" w:sz="0" w:space="0" w:color="auto"/>
        <w:right w:val="none" w:sz="0" w:space="0" w:color="auto"/>
      </w:divBdr>
    </w:div>
    <w:div w:id="2091778569">
      <w:marLeft w:val="640"/>
      <w:marRight w:val="0"/>
      <w:marTop w:val="0"/>
      <w:marBottom w:val="0"/>
      <w:divBdr>
        <w:top w:val="none" w:sz="0" w:space="0" w:color="auto"/>
        <w:left w:val="none" w:sz="0" w:space="0" w:color="auto"/>
        <w:bottom w:val="none" w:sz="0" w:space="0" w:color="auto"/>
        <w:right w:val="none" w:sz="0" w:space="0" w:color="auto"/>
      </w:divBdr>
    </w:div>
    <w:div w:id="2092508956">
      <w:marLeft w:val="640"/>
      <w:marRight w:val="0"/>
      <w:marTop w:val="0"/>
      <w:marBottom w:val="0"/>
      <w:divBdr>
        <w:top w:val="none" w:sz="0" w:space="0" w:color="auto"/>
        <w:left w:val="none" w:sz="0" w:space="0" w:color="auto"/>
        <w:bottom w:val="none" w:sz="0" w:space="0" w:color="auto"/>
        <w:right w:val="none" w:sz="0" w:space="0" w:color="auto"/>
      </w:divBdr>
    </w:div>
    <w:div w:id="2092578972">
      <w:marLeft w:val="640"/>
      <w:marRight w:val="0"/>
      <w:marTop w:val="0"/>
      <w:marBottom w:val="0"/>
      <w:divBdr>
        <w:top w:val="none" w:sz="0" w:space="0" w:color="auto"/>
        <w:left w:val="none" w:sz="0" w:space="0" w:color="auto"/>
        <w:bottom w:val="none" w:sz="0" w:space="0" w:color="auto"/>
        <w:right w:val="none" w:sz="0" w:space="0" w:color="auto"/>
      </w:divBdr>
    </w:div>
    <w:div w:id="2093115581">
      <w:marLeft w:val="640"/>
      <w:marRight w:val="0"/>
      <w:marTop w:val="0"/>
      <w:marBottom w:val="0"/>
      <w:divBdr>
        <w:top w:val="none" w:sz="0" w:space="0" w:color="auto"/>
        <w:left w:val="none" w:sz="0" w:space="0" w:color="auto"/>
        <w:bottom w:val="none" w:sz="0" w:space="0" w:color="auto"/>
        <w:right w:val="none" w:sz="0" w:space="0" w:color="auto"/>
      </w:divBdr>
    </w:div>
    <w:div w:id="2093429022">
      <w:marLeft w:val="640"/>
      <w:marRight w:val="0"/>
      <w:marTop w:val="0"/>
      <w:marBottom w:val="0"/>
      <w:divBdr>
        <w:top w:val="none" w:sz="0" w:space="0" w:color="auto"/>
        <w:left w:val="none" w:sz="0" w:space="0" w:color="auto"/>
        <w:bottom w:val="none" w:sz="0" w:space="0" w:color="auto"/>
        <w:right w:val="none" w:sz="0" w:space="0" w:color="auto"/>
      </w:divBdr>
    </w:div>
    <w:div w:id="2093429693">
      <w:marLeft w:val="640"/>
      <w:marRight w:val="0"/>
      <w:marTop w:val="0"/>
      <w:marBottom w:val="0"/>
      <w:divBdr>
        <w:top w:val="none" w:sz="0" w:space="0" w:color="auto"/>
        <w:left w:val="none" w:sz="0" w:space="0" w:color="auto"/>
        <w:bottom w:val="none" w:sz="0" w:space="0" w:color="auto"/>
        <w:right w:val="none" w:sz="0" w:space="0" w:color="auto"/>
      </w:divBdr>
    </w:div>
    <w:div w:id="2093576996">
      <w:marLeft w:val="640"/>
      <w:marRight w:val="0"/>
      <w:marTop w:val="0"/>
      <w:marBottom w:val="0"/>
      <w:divBdr>
        <w:top w:val="none" w:sz="0" w:space="0" w:color="auto"/>
        <w:left w:val="none" w:sz="0" w:space="0" w:color="auto"/>
        <w:bottom w:val="none" w:sz="0" w:space="0" w:color="auto"/>
        <w:right w:val="none" w:sz="0" w:space="0" w:color="auto"/>
      </w:divBdr>
    </w:div>
    <w:div w:id="2095777651">
      <w:marLeft w:val="640"/>
      <w:marRight w:val="0"/>
      <w:marTop w:val="0"/>
      <w:marBottom w:val="0"/>
      <w:divBdr>
        <w:top w:val="none" w:sz="0" w:space="0" w:color="auto"/>
        <w:left w:val="none" w:sz="0" w:space="0" w:color="auto"/>
        <w:bottom w:val="none" w:sz="0" w:space="0" w:color="auto"/>
        <w:right w:val="none" w:sz="0" w:space="0" w:color="auto"/>
      </w:divBdr>
    </w:div>
    <w:div w:id="2096319047">
      <w:marLeft w:val="640"/>
      <w:marRight w:val="0"/>
      <w:marTop w:val="0"/>
      <w:marBottom w:val="0"/>
      <w:divBdr>
        <w:top w:val="none" w:sz="0" w:space="0" w:color="auto"/>
        <w:left w:val="none" w:sz="0" w:space="0" w:color="auto"/>
        <w:bottom w:val="none" w:sz="0" w:space="0" w:color="auto"/>
        <w:right w:val="none" w:sz="0" w:space="0" w:color="auto"/>
      </w:divBdr>
    </w:div>
    <w:div w:id="2098363764">
      <w:marLeft w:val="640"/>
      <w:marRight w:val="0"/>
      <w:marTop w:val="0"/>
      <w:marBottom w:val="0"/>
      <w:divBdr>
        <w:top w:val="none" w:sz="0" w:space="0" w:color="auto"/>
        <w:left w:val="none" w:sz="0" w:space="0" w:color="auto"/>
        <w:bottom w:val="none" w:sz="0" w:space="0" w:color="auto"/>
        <w:right w:val="none" w:sz="0" w:space="0" w:color="auto"/>
      </w:divBdr>
    </w:div>
    <w:div w:id="2099935371">
      <w:marLeft w:val="640"/>
      <w:marRight w:val="0"/>
      <w:marTop w:val="0"/>
      <w:marBottom w:val="0"/>
      <w:divBdr>
        <w:top w:val="none" w:sz="0" w:space="0" w:color="auto"/>
        <w:left w:val="none" w:sz="0" w:space="0" w:color="auto"/>
        <w:bottom w:val="none" w:sz="0" w:space="0" w:color="auto"/>
        <w:right w:val="none" w:sz="0" w:space="0" w:color="auto"/>
      </w:divBdr>
    </w:div>
    <w:div w:id="2101097034">
      <w:marLeft w:val="640"/>
      <w:marRight w:val="0"/>
      <w:marTop w:val="0"/>
      <w:marBottom w:val="0"/>
      <w:divBdr>
        <w:top w:val="none" w:sz="0" w:space="0" w:color="auto"/>
        <w:left w:val="none" w:sz="0" w:space="0" w:color="auto"/>
        <w:bottom w:val="none" w:sz="0" w:space="0" w:color="auto"/>
        <w:right w:val="none" w:sz="0" w:space="0" w:color="auto"/>
      </w:divBdr>
    </w:div>
    <w:div w:id="2102950651">
      <w:marLeft w:val="640"/>
      <w:marRight w:val="0"/>
      <w:marTop w:val="0"/>
      <w:marBottom w:val="0"/>
      <w:divBdr>
        <w:top w:val="none" w:sz="0" w:space="0" w:color="auto"/>
        <w:left w:val="none" w:sz="0" w:space="0" w:color="auto"/>
        <w:bottom w:val="none" w:sz="0" w:space="0" w:color="auto"/>
        <w:right w:val="none" w:sz="0" w:space="0" w:color="auto"/>
      </w:divBdr>
    </w:div>
    <w:div w:id="2103798596">
      <w:marLeft w:val="640"/>
      <w:marRight w:val="0"/>
      <w:marTop w:val="0"/>
      <w:marBottom w:val="0"/>
      <w:divBdr>
        <w:top w:val="none" w:sz="0" w:space="0" w:color="auto"/>
        <w:left w:val="none" w:sz="0" w:space="0" w:color="auto"/>
        <w:bottom w:val="none" w:sz="0" w:space="0" w:color="auto"/>
        <w:right w:val="none" w:sz="0" w:space="0" w:color="auto"/>
      </w:divBdr>
    </w:div>
    <w:div w:id="2103992747">
      <w:marLeft w:val="640"/>
      <w:marRight w:val="0"/>
      <w:marTop w:val="0"/>
      <w:marBottom w:val="0"/>
      <w:divBdr>
        <w:top w:val="none" w:sz="0" w:space="0" w:color="auto"/>
        <w:left w:val="none" w:sz="0" w:space="0" w:color="auto"/>
        <w:bottom w:val="none" w:sz="0" w:space="0" w:color="auto"/>
        <w:right w:val="none" w:sz="0" w:space="0" w:color="auto"/>
      </w:divBdr>
    </w:div>
    <w:div w:id="2105147828">
      <w:marLeft w:val="640"/>
      <w:marRight w:val="0"/>
      <w:marTop w:val="0"/>
      <w:marBottom w:val="0"/>
      <w:divBdr>
        <w:top w:val="none" w:sz="0" w:space="0" w:color="auto"/>
        <w:left w:val="none" w:sz="0" w:space="0" w:color="auto"/>
        <w:bottom w:val="none" w:sz="0" w:space="0" w:color="auto"/>
        <w:right w:val="none" w:sz="0" w:space="0" w:color="auto"/>
      </w:divBdr>
    </w:div>
    <w:div w:id="2105688946">
      <w:marLeft w:val="640"/>
      <w:marRight w:val="0"/>
      <w:marTop w:val="0"/>
      <w:marBottom w:val="0"/>
      <w:divBdr>
        <w:top w:val="none" w:sz="0" w:space="0" w:color="auto"/>
        <w:left w:val="none" w:sz="0" w:space="0" w:color="auto"/>
        <w:bottom w:val="none" w:sz="0" w:space="0" w:color="auto"/>
        <w:right w:val="none" w:sz="0" w:space="0" w:color="auto"/>
      </w:divBdr>
    </w:div>
    <w:div w:id="2106220178">
      <w:marLeft w:val="640"/>
      <w:marRight w:val="0"/>
      <w:marTop w:val="0"/>
      <w:marBottom w:val="0"/>
      <w:divBdr>
        <w:top w:val="none" w:sz="0" w:space="0" w:color="auto"/>
        <w:left w:val="none" w:sz="0" w:space="0" w:color="auto"/>
        <w:bottom w:val="none" w:sz="0" w:space="0" w:color="auto"/>
        <w:right w:val="none" w:sz="0" w:space="0" w:color="auto"/>
      </w:divBdr>
    </w:div>
    <w:div w:id="2106656045">
      <w:marLeft w:val="640"/>
      <w:marRight w:val="0"/>
      <w:marTop w:val="0"/>
      <w:marBottom w:val="0"/>
      <w:divBdr>
        <w:top w:val="none" w:sz="0" w:space="0" w:color="auto"/>
        <w:left w:val="none" w:sz="0" w:space="0" w:color="auto"/>
        <w:bottom w:val="none" w:sz="0" w:space="0" w:color="auto"/>
        <w:right w:val="none" w:sz="0" w:space="0" w:color="auto"/>
      </w:divBdr>
    </w:div>
    <w:div w:id="2107460995">
      <w:marLeft w:val="640"/>
      <w:marRight w:val="0"/>
      <w:marTop w:val="0"/>
      <w:marBottom w:val="0"/>
      <w:divBdr>
        <w:top w:val="none" w:sz="0" w:space="0" w:color="auto"/>
        <w:left w:val="none" w:sz="0" w:space="0" w:color="auto"/>
        <w:bottom w:val="none" w:sz="0" w:space="0" w:color="auto"/>
        <w:right w:val="none" w:sz="0" w:space="0" w:color="auto"/>
      </w:divBdr>
    </w:div>
    <w:div w:id="2107461691">
      <w:marLeft w:val="640"/>
      <w:marRight w:val="0"/>
      <w:marTop w:val="0"/>
      <w:marBottom w:val="0"/>
      <w:divBdr>
        <w:top w:val="none" w:sz="0" w:space="0" w:color="auto"/>
        <w:left w:val="none" w:sz="0" w:space="0" w:color="auto"/>
        <w:bottom w:val="none" w:sz="0" w:space="0" w:color="auto"/>
        <w:right w:val="none" w:sz="0" w:space="0" w:color="auto"/>
      </w:divBdr>
    </w:div>
    <w:div w:id="2108384802">
      <w:marLeft w:val="640"/>
      <w:marRight w:val="0"/>
      <w:marTop w:val="0"/>
      <w:marBottom w:val="0"/>
      <w:divBdr>
        <w:top w:val="none" w:sz="0" w:space="0" w:color="auto"/>
        <w:left w:val="none" w:sz="0" w:space="0" w:color="auto"/>
        <w:bottom w:val="none" w:sz="0" w:space="0" w:color="auto"/>
        <w:right w:val="none" w:sz="0" w:space="0" w:color="auto"/>
      </w:divBdr>
    </w:div>
    <w:div w:id="2108646707">
      <w:marLeft w:val="640"/>
      <w:marRight w:val="0"/>
      <w:marTop w:val="0"/>
      <w:marBottom w:val="0"/>
      <w:divBdr>
        <w:top w:val="none" w:sz="0" w:space="0" w:color="auto"/>
        <w:left w:val="none" w:sz="0" w:space="0" w:color="auto"/>
        <w:bottom w:val="none" w:sz="0" w:space="0" w:color="auto"/>
        <w:right w:val="none" w:sz="0" w:space="0" w:color="auto"/>
      </w:divBdr>
    </w:div>
    <w:div w:id="2108647327">
      <w:marLeft w:val="640"/>
      <w:marRight w:val="0"/>
      <w:marTop w:val="0"/>
      <w:marBottom w:val="0"/>
      <w:divBdr>
        <w:top w:val="none" w:sz="0" w:space="0" w:color="auto"/>
        <w:left w:val="none" w:sz="0" w:space="0" w:color="auto"/>
        <w:bottom w:val="none" w:sz="0" w:space="0" w:color="auto"/>
        <w:right w:val="none" w:sz="0" w:space="0" w:color="auto"/>
      </w:divBdr>
    </w:div>
    <w:div w:id="2109694924">
      <w:marLeft w:val="640"/>
      <w:marRight w:val="0"/>
      <w:marTop w:val="0"/>
      <w:marBottom w:val="0"/>
      <w:divBdr>
        <w:top w:val="none" w:sz="0" w:space="0" w:color="auto"/>
        <w:left w:val="none" w:sz="0" w:space="0" w:color="auto"/>
        <w:bottom w:val="none" w:sz="0" w:space="0" w:color="auto"/>
        <w:right w:val="none" w:sz="0" w:space="0" w:color="auto"/>
      </w:divBdr>
    </w:div>
    <w:div w:id="2109889216">
      <w:marLeft w:val="640"/>
      <w:marRight w:val="0"/>
      <w:marTop w:val="0"/>
      <w:marBottom w:val="0"/>
      <w:divBdr>
        <w:top w:val="none" w:sz="0" w:space="0" w:color="auto"/>
        <w:left w:val="none" w:sz="0" w:space="0" w:color="auto"/>
        <w:bottom w:val="none" w:sz="0" w:space="0" w:color="auto"/>
        <w:right w:val="none" w:sz="0" w:space="0" w:color="auto"/>
      </w:divBdr>
    </w:div>
    <w:div w:id="2110350950">
      <w:marLeft w:val="640"/>
      <w:marRight w:val="0"/>
      <w:marTop w:val="0"/>
      <w:marBottom w:val="0"/>
      <w:divBdr>
        <w:top w:val="none" w:sz="0" w:space="0" w:color="auto"/>
        <w:left w:val="none" w:sz="0" w:space="0" w:color="auto"/>
        <w:bottom w:val="none" w:sz="0" w:space="0" w:color="auto"/>
        <w:right w:val="none" w:sz="0" w:space="0" w:color="auto"/>
      </w:divBdr>
    </w:div>
    <w:div w:id="2110924846">
      <w:marLeft w:val="640"/>
      <w:marRight w:val="0"/>
      <w:marTop w:val="0"/>
      <w:marBottom w:val="0"/>
      <w:divBdr>
        <w:top w:val="none" w:sz="0" w:space="0" w:color="auto"/>
        <w:left w:val="none" w:sz="0" w:space="0" w:color="auto"/>
        <w:bottom w:val="none" w:sz="0" w:space="0" w:color="auto"/>
        <w:right w:val="none" w:sz="0" w:space="0" w:color="auto"/>
      </w:divBdr>
    </w:div>
    <w:div w:id="2111201637">
      <w:marLeft w:val="640"/>
      <w:marRight w:val="0"/>
      <w:marTop w:val="0"/>
      <w:marBottom w:val="0"/>
      <w:divBdr>
        <w:top w:val="none" w:sz="0" w:space="0" w:color="auto"/>
        <w:left w:val="none" w:sz="0" w:space="0" w:color="auto"/>
        <w:bottom w:val="none" w:sz="0" w:space="0" w:color="auto"/>
        <w:right w:val="none" w:sz="0" w:space="0" w:color="auto"/>
      </w:divBdr>
    </w:div>
    <w:div w:id="2111657966">
      <w:marLeft w:val="640"/>
      <w:marRight w:val="0"/>
      <w:marTop w:val="0"/>
      <w:marBottom w:val="0"/>
      <w:divBdr>
        <w:top w:val="none" w:sz="0" w:space="0" w:color="auto"/>
        <w:left w:val="none" w:sz="0" w:space="0" w:color="auto"/>
        <w:bottom w:val="none" w:sz="0" w:space="0" w:color="auto"/>
        <w:right w:val="none" w:sz="0" w:space="0" w:color="auto"/>
      </w:divBdr>
    </w:div>
    <w:div w:id="2112314564">
      <w:marLeft w:val="640"/>
      <w:marRight w:val="0"/>
      <w:marTop w:val="0"/>
      <w:marBottom w:val="0"/>
      <w:divBdr>
        <w:top w:val="none" w:sz="0" w:space="0" w:color="auto"/>
        <w:left w:val="none" w:sz="0" w:space="0" w:color="auto"/>
        <w:bottom w:val="none" w:sz="0" w:space="0" w:color="auto"/>
        <w:right w:val="none" w:sz="0" w:space="0" w:color="auto"/>
      </w:divBdr>
    </w:div>
    <w:div w:id="2113435568">
      <w:marLeft w:val="640"/>
      <w:marRight w:val="0"/>
      <w:marTop w:val="0"/>
      <w:marBottom w:val="0"/>
      <w:divBdr>
        <w:top w:val="none" w:sz="0" w:space="0" w:color="auto"/>
        <w:left w:val="none" w:sz="0" w:space="0" w:color="auto"/>
        <w:bottom w:val="none" w:sz="0" w:space="0" w:color="auto"/>
        <w:right w:val="none" w:sz="0" w:space="0" w:color="auto"/>
      </w:divBdr>
    </w:div>
    <w:div w:id="2114085473">
      <w:marLeft w:val="640"/>
      <w:marRight w:val="0"/>
      <w:marTop w:val="0"/>
      <w:marBottom w:val="0"/>
      <w:divBdr>
        <w:top w:val="none" w:sz="0" w:space="0" w:color="auto"/>
        <w:left w:val="none" w:sz="0" w:space="0" w:color="auto"/>
        <w:bottom w:val="none" w:sz="0" w:space="0" w:color="auto"/>
        <w:right w:val="none" w:sz="0" w:space="0" w:color="auto"/>
      </w:divBdr>
    </w:div>
    <w:div w:id="2114200944">
      <w:marLeft w:val="640"/>
      <w:marRight w:val="0"/>
      <w:marTop w:val="0"/>
      <w:marBottom w:val="0"/>
      <w:divBdr>
        <w:top w:val="none" w:sz="0" w:space="0" w:color="auto"/>
        <w:left w:val="none" w:sz="0" w:space="0" w:color="auto"/>
        <w:bottom w:val="none" w:sz="0" w:space="0" w:color="auto"/>
        <w:right w:val="none" w:sz="0" w:space="0" w:color="auto"/>
      </w:divBdr>
    </w:div>
    <w:div w:id="2114280079">
      <w:marLeft w:val="640"/>
      <w:marRight w:val="0"/>
      <w:marTop w:val="0"/>
      <w:marBottom w:val="0"/>
      <w:divBdr>
        <w:top w:val="none" w:sz="0" w:space="0" w:color="auto"/>
        <w:left w:val="none" w:sz="0" w:space="0" w:color="auto"/>
        <w:bottom w:val="none" w:sz="0" w:space="0" w:color="auto"/>
        <w:right w:val="none" w:sz="0" w:space="0" w:color="auto"/>
      </w:divBdr>
    </w:div>
    <w:div w:id="2115052561">
      <w:marLeft w:val="640"/>
      <w:marRight w:val="0"/>
      <w:marTop w:val="0"/>
      <w:marBottom w:val="0"/>
      <w:divBdr>
        <w:top w:val="none" w:sz="0" w:space="0" w:color="auto"/>
        <w:left w:val="none" w:sz="0" w:space="0" w:color="auto"/>
        <w:bottom w:val="none" w:sz="0" w:space="0" w:color="auto"/>
        <w:right w:val="none" w:sz="0" w:space="0" w:color="auto"/>
      </w:divBdr>
    </w:div>
    <w:div w:id="2115590095">
      <w:marLeft w:val="640"/>
      <w:marRight w:val="0"/>
      <w:marTop w:val="0"/>
      <w:marBottom w:val="0"/>
      <w:divBdr>
        <w:top w:val="none" w:sz="0" w:space="0" w:color="auto"/>
        <w:left w:val="none" w:sz="0" w:space="0" w:color="auto"/>
        <w:bottom w:val="none" w:sz="0" w:space="0" w:color="auto"/>
        <w:right w:val="none" w:sz="0" w:space="0" w:color="auto"/>
      </w:divBdr>
    </w:div>
    <w:div w:id="2117287136">
      <w:marLeft w:val="640"/>
      <w:marRight w:val="0"/>
      <w:marTop w:val="0"/>
      <w:marBottom w:val="0"/>
      <w:divBdr>
        <w:top w:val="none" w:sz="0" w:space="0" w:color="auto"/>
        <w:left w:val="none" w:sz="0" w:space="0" w:color="auto"/>
        <w:bottom w:val="none" w:sz="0" w:space="0" w:color="auto"/>
        <w:right w:val="none" w:sz="0" w:space="0" w:color="auto"/>
      </w:divBdr>
    </w:div>
    <w:div w:id="2117405430">
      <w:marLeft w:val="640"/>
      <w:marRight w:val="0"/>
      <w:marTop w:val="0"/>
      <w:marBottom w:val="0"/>
      <w:divBdr>
        <w:top w:val="none" w:sz="0" w:space="0" w:color="auto"/>
        <w:left w:val="none" w:sz="0" w:space="0" w:color="auto"/>
        <w:bottom w:val="none" w:sz="0" w:space="0" w:color="auto"/>
        <w:right w:val="none" w:sz="0" w:space="0" w:color="auto"/>
      </w:divBdr>
    </w:div>
    <w:div w:id="2119251421">
      <w:marLeft w:val="640"/>
      <w:marRight w:val="0"/>
      <w:marTop w:val="0"/>
      <w:marBottom w:val="0"/>
      <w:divBdr>
        <w:top w:val="none" w:sz="0" w:space="0" w:color="auto"/>
        <w:left w:val="none" w:sz="0" w:space="0" w:color="auto"/>
        <w:bottom w:val="none" w:sz="0" w:space="0" w:color="auto"/>
        <w:right w:val="none" w:sz="0" w:space="0" w:color="auto"/>
      </w:divBdr>
    </w:div>
    <w:div w:id="2120174318">
      <w:marLeft w:val="640"/>
      <w:marRight w:val="0"/>
      <w:marTop w:val="0"/>
      <w:marBottom w:val="0"/>
      <w:divBdr>
        <w:top w:val="none" w:sz="0" w:space="0" w:color="auto"/>
        <w:left w:val="none" w:sz="0" w:space="0" w:color="auto"/>
        <w:bottom w:val="none" w:sz="0" w:space="0" w:color="auto"/>
        <w:right w:val="none" w:sz="0" w:space="0" w:color="auto"/>
      </w:divBdr>
    </w:div>
    <w:div w:id="2120251658">
      <w:marLeft w:val="640"/>
      <w:marRight w:val="0"/>
      <w:marTop w:val="0"/>
      <w:marBottom w:val="0"/>
      <w:divBdr>
        <w:top w:val="none" w:sz="0" w:space="0" w:color="auto"/>
        <w:left w:val="none" w:sz="0" w:space="0" w:color="auto"/>
        <w:bottom w:val="none" w:sz="0" w:space="0" w:color="auto"/>
        <w:right w:val="none" w:sz="0" w:space="0" w:color="auto"/>
      </w:divBdr>
    </w:div>
    <w:div w:id="2121147136">
      <w:marLeft w:val="640"/>
      <w:marRight w:val="0"/>
      <w:marTop w:val="0"/>
      <w:marBottom w:val="0"/>
      <w:divBdr>
        <w:top w:val="none" w:sz="0" w:space="0" w:color="auto"/>
        <w:left w:val="none" w:sz="0" w:space="0" w:color="auto"/>
        <w:bottom w:val="none" w:sz="0" w:space="0" w:color="auto"/>
        <w:right w:val="none" w:sz="0" w:space="0" w:color="auto"/>
      </w:divBdr>
    </w:div>
    <w:div w:id="2121335904">
      <w:marLeft w:val="640"/>
      <w:marRight w:val="0"/>
      <w:marTop w:val="0"/>
      <w:marBottom w:val="0"/>
      <w:divBdr>
        <w:top w:val="none" w:sz="0" w:space="0" w:color="auto"/>
        <w:left w:val="none" w:sz="0" w:space="0" w:color="auto"/>
        <w:bottom w:val="none" w:sz="0" w:space="0" w:color="auto"/>
        <w:right w:val="none" w:sz="0" w:space="0" w:color="auto"/>
      </w:divBdr>
    </w:div>
    <w:div w:id="2121753165">
      <w:marLeft w:val="640"/>
      <w:marRight w:val="0"/>
      <w:marTop w:val="0"/>
      <w:marBottom w:val="0"/>
      <w:divBdr>
        <w:top w:val="none" w:sz="0" w:space="0" w:color="auto"/>
        <w:left w:val="none" w:sz="0" w:space="0" w:color="auto"/>
        <w:bottom w:val="none" w:sz="0" w:space="0" w:color="auto"/>
        <w:right w:val="none" w:sz="0" w:space="0" w:color="auto"/>
      </w:divBdr>
    </w:div>
    <w:div w:id="2122412247">
      <w:marLeft w:val="640"/>
      <w:marRight w:val="0"/>
      <w:marTop w:val="0"/>
      <w:marBottom w:val="0"/>
      <w:divBdr>
        <w:top w:val="none" w:sz="0" w:space="0" w:color="auto"/>
        <w:left w:val="none" w:sz="0" w:space="0" w:color="auto"/>
        <w:bottom w:val="none" w:sz="0" w:space="0" w:color="auto"/>
        <w:right w:val="none" w:sz="0" w:space="0" w:color="auto"/>
      </w:divBdr>
    </w:div>
    <w:div w:id="2122454936">
      <w:marLeft w:val="640"/>
      <w:marRight w:val="0"/>
      <w:marTop w:val="0"/>
      <w:marBottom w:val="0"/>
      <w:divBdr>
        <w:top w:val="none" w:sz="0" w:space="0" w:color="auto"/>
        <w:left w:val="none" w:sz="0" w:space="0" w:color="auto"/>
        <w:bottom w:val="none" w:sz="0" w:space="0" w:color="auto"/>
        <w:right w:val="none" w:sz="0" w:space="0" w:color="auto"/>
      </w:divBdr>
    </w:div>
    <w:div w:id="2122994265">
      <w:marLeft w:val="640"/>
      <w:marRight w:val="0"/>
      <w:marTop w:val="0"/>
      <w:marBottom w:val="0"/>
      <w:divBdr>
        <w:top w:val="none" w:sz="0" w:space="0" w:color="auto"/>
        <w:left w:val="none" w:sz="0" w:space="0" w:color="auto"/>
        <w:bottom w:val="none" w:sz="0" w:space="0" w:color="auto"/>
        <w:right w:val="none" w:sz="0" w:space="0" w:color="auto"/>
      </w:divBdr>
    </w:div>
    <w:div w:id="2122996343">
      <w:marLeft w:val="640"/>
      <w:marRight w:val="0"/>
      <w:marTop w:val="0"/>
      <w:marBottom w:val="0"/>
      <w:divBdr>
        <w:top w:val="none" w:sz="0" w:space="0" w:color="auto"/>
        <w:left w:val="none" w:sz="0" w:space="0" w:color="auto"/>
        <w:bottom w:val="none" w:sz="0" w:space="0" w:color="auto"/>
        <w:right w:val="none" w:sz="0" w:space="0" w:color="auto"/>
      </w:divBdr>
    </w:div>
    <w:div w:id="2123694175">
      <w:marLeft w:val="640"/>
      <w:marRight w:val="0"/>
      <w:marTop w:val="0"/>
      <w:marBottom w:val="0"/>
      <w:divBdr>
        <w:top w:val="none" w:sz="0" w:space="0" w:color="auto"/>
        <w:left w:val="none" w:sz="0" w:space="0" w:color="auto"/>
        <w:bottom w:val="none" w:sz="0" w:space="0" w:color="auto"/>
        <w:right w:val="none" w:sz="0" w:space="0" w:color="auto"/>
      </w:divBdr>
    </w:div>
    <w:div w:id="2124761567">
      <w:marLeft w:val="640"/>
      <w:marRight w:val="0"/>
      <w:marTop w:val="0"/>
      <w:marBottom w:val="0"/>
      <w:divBdr>
        <w:top w:val="none" w:sz="0" w:space="0" w:color="auto"/>
        <w:left w:val="none" w:sz="0" w:space="0" w:color="auto"/>
        <w:bottom w:val="none" w:sz="0" w:space="0" w:color="auto"/>
        <w:right w:val="none" w:sz="0" w:space="0" w:color="auto"/>
      </w:divBdr>
    </w:div>
    <w:div w:id="2124769031">
      <w:marLeft w:val="640"/>
      <w:marRight w:val="0"/>
      <w:marTop w:val="0"/>
      <w:marBottom w:val="0"/>
      <w:divBdr>
        <w:top w:val="none" w:sz="0" w:space="0" w:color="auto"/>
        <w:left w:val="none" w:sz="0" w:space="0" w:color="auto"/>
        <w:bottom w:val="none" w:sz="0" w:space="0" w:color="auto"/>
        <w:right w:val="none" w:sz="0" w:space="0" w:color="auto"/>
      </w:divBdr>
    </w:div>
    <w:div w:id="2125029097">
      <w:marLeft w:val="640"/>
      <w:marRight w:val="0"/>
      <w:marTop w:val="0"/>
      <w:marBottom w:val="0"/>
      <w:divBdr>
        <w:top w:val="none" w:sz="0" w:space="0" w:color="auto"/>
        <w:left w:val="none" w:sz="0" w:space="0" w:color="auto"/>
        <w:bottom w:val="none" w:sz="0" w:space="0" w:color="auto"/>
        <w:right w:val="none" w:sz="0" w:space="0" w:color="auto"/>
      </w:divBdr>
    </w:div>
    <w:div w:id="2125079211">
      <w:marLeft w:val="640"/>
      <w:marRight w:val="0"/>
      <w:marTop w:val="0"/>
      <w:marBottom w:val="0"/>
      <w:divBdr>
        <w:top w:val="none" w:sz="0" w:space="0" w:color="auto"/>
        <w:left w:val="none" w:sz="0" w:space="0" w:color="auto"/>
        <w:bottom w:val="none" w:sz="0" w:space="0" w:color="auto"/>
        <w:right w:val="none" w:sz="0" w:space="0" w:color="auto"/>
      </w:divBdr>
    </w:div>
    <w:div w:id="2125422711">
      <w:marLeft w:val="640"/>
      <w:marRight w:val="0"/>
      <w:marTop w:val="0"/>
      <w:marBottom w:val="0"/>
      <w:divBdr>
        <w:top w:val="none" w:sz="0" w:space="0" w:color="auto"/>
        <w:left w:val="none" w:sz="0" w:space="0" w:color="auto"/>
        <w:bottom w:val="none" w:sz="0" w:space="0" w:color="auto"/>
        <w:right w:val="none" w:sz="0" w:space="0" w:color="auto"/>
      </w:divBdr>
    </w:div>
    <w:div w:id="2126002796">
      <w:marLeft w:val="640"/>
      <w:marRight w:val="0"/>
      <w:marTop w:val="0"/>
      <w:marBottom w:val="0"/>
      <w:divBdr>
        <w:top w:val="none" w:sz="0" w:space="0" w:color="auto"/>
        <w:left w:val="none" w:sz="0" w:space="0" w:color="auto"/>
        <w:bottom w:val="none" w:sz="0" w:space="0" w:color="auto"/>
        <w:right w:val="none" w:sz="0" w:space="0" w:color="auto"/>
      </w:divBdr>
    </w:div>
    <w:div w:id="2126999481">
      <w:marLeft w:val="640"/>
      <w:marRight w:val="0"/>
      <w:marTop w:val="0"/>
      <w:marBottom w:val="0"/>
      <w:divBdr>
        <w:top w:val="none" w:sz="0" w:space="0" w:color="auto"/>
        <w:left w:val="none" w:sz="0" w:space="0" w:color="auto"/>
        <w:bottom w:val="none" w:sz="0" w:space="0" w:color="auto"/>
        <w:right w:val="none" w:sz="0" w:space="0" w:color="auto"/>
      </w:divBdr>
    </w:div>
    <w:div w:id="2128234211">
      <w:marLeft w:val="640"/>
      <w:marRight w:val="0"/>
      <w:marTop w:val="0"/>
      <w:marBottom w:val="0"/>
      <w:divBdr>
        <w:top w:val="none" w:sz="0" w:space="0" w:color="auto"/>
        <w:left w:val="none" w:sz="0" w:space="0" w:color="auto"/>
        <w:bottom w:val="none" w:sz="0" w:space="0" w:color="auto"/>
        <w:right w:val="none" w:sz="0" w:space="0" w:color="auto"/>
      </w:divBdr>
    </w:div>
    <w:div w:id="2128698916">
      <w:marLeft w:val="640"/>
      <w:marRight w:val="0"/>
      <w:marTop w:val="0"/>
      <w:marBottom w:val="0"/>
      <w:divBdr>
        <w:top w:val="none" w:sz="0" w:space="0" w:color="auto"/>
        <w:left w:val="none" w:sz="0" w:space="0" w:color="auto"/>
        <w:bottom w:val="none" w:sz="0" w:space="0" w:color="auto"/>
        <w:right w:val="none" w:sz="0" w:space="0" w:color="auto"/>
      </w:divBdr>
    </w:div>
    <w:div w:id="2130657676">
      <w:marLeft w:val="640"/>
      <w:marRight w:val="0"/>
      <w:marTop w:val="0"/>
      <w:marBottom w:val="0"/>
      <w:divBdr>
        <w:top w:val="none" w:sz="0" w:space="0" w:color="auto"/>
        <w:left w:val="none" w:sz="0" w:space="0" w:color="auto"/>
        <w:bottom w:val="none" w:sz="0" w:space="0" w:color="auto"/>
        <w:right w:val="none" w:sz="0" w:space="0" w:color="auto"/>
      </w:divBdr>
    </w:div>
    <w:div w:id="2130930477">
      <w:marLeft w:val="640"/>
      <w:marRight w:val="0"/>
      <w:marTop w:val="0"/>
      <w:marBottom w:val="0"/>
      <w:divBdr>
        <w:top w:val="none" w:sz="0" w:space="0" w:color="auto"/>
        <w:left w:val="none" w:sz="0" w:space="0" w:color="auto"/>
        <w:bottom w:val="none" w:sz="0" w:space="0" w:color="auto"/>
        <w:right w:val="none" w:sz="0" w:space="0" w:color="auto"/>
      </w:divBdr>
    </w:div>
    <w:div w:id="2130976417">
      <w:marLeft w:val="640"/>
      <w:marRight w:val="0"/>
      <w:marTop w:val="0"/>
      <w:marBottom w:val="0"/>
      <w:divBdr>
        <w:top w:val="none" w:sz="0" w:space="0" w:color="auto"/>
        <w:left w:val="none" w:sz="0" w:space="0" w:color="auto"/>
        <w:bottom w:val="none" w:sz="0" w:space="0" w:color="auto"/>
        <w:right w:val="none" w:sz="0" w:space="0" w:color="auto"/>
      </w:divBdr>
    </w:div>
    <w:div w:id="2131128463">
      <w:marLeft w:val="640"/>
      <w:marRight w:val="0"/>
      <w:marTop w:val="0"/>
      <w:marBottom w:val="0"/>
      <w:divBdr>
        <w:top w:val="none" w:sz="0" w:space="0" w:color="auto"/>
        <w:left w:val="none" w:sz="0" w:space="0" w:color="auto"/>
        <w:bottom w:val="none" w:sz="0" w:space="0" w:color="auto"/>
        <w:right w:val="none" w:sz="0" w:space="0" w:color="auto"/>
      </w:divBdr>
    </w:div>
    <w:div w:id="2131319427">
      <w:marLeft w:val="640"/>
      <w:marRight w:val="0"/>
      <w:marTop w:val="0"/>
      <w:marBottom w:val="0"/>
      <w:divBdr>
        <w:top w:val="none" w:sz="0" w:space="0" w:color="auto"/>
        <w:left w:val="none" w:sz="0" w:space="0" w:color="auto"/>
        <w:bottom w:val="none" w:sz="0" w:space="0" w:color="auto"/>
        <w:right w:val="none" w:sz="0" w:space="0" w:color="auto"/>
      </w:divBdr>
    </w:div>
    <w:div w:id="2131363510">
      <w:marLeft w:val="640"/>
      <w:marRight w:val="0"/>
      <w:marTop w:val="0"/>
      <w:marBottom w:val="0"/>
      <w:divBdr>
        <w:top w:val="none" w:sz="0" w:space="0" w:color="auto"/>
        <w:left w:val="none" w:sz="0" w:space="0" w:color="auto"/>
        <w:bottom w:val="none" w:sz="0" w:space="0" w:color="auto"/>
        <w:right w:val="none" w:sz="0" w:space="0" w:color="auto"/>
      </w:divBdr>
    </w:div>
    <w:div w:id="2132164924">
      <w:marLeft w:val="640"/>
      <w:marRight w:val="0"/>
      <w:marTop w:val="0"/>
      <w:marBottom w:val="0"/>
      <w:divBdr>
        <w:top w:val="none" w:sz="0" w:space="0" w:color="auto"/>
        <w:left w:val="none" w:sz="0" w:space="0" w:color="auto"/>
        <w:bottom w:val="none" w:sz="0" w:space="0" w:color="auto"/>
        <w:right w:val="none" w:sz="0" w:space="0" w:color="auto"/>
      </w:divBdr>
    </w:div>
    <w:div w:id="2132547954">
      <w:marLeft w:val="640"/>
      <w:marRight w:val="0"/>
      <w:marTop w:val="0"/>
      <w:marBottom w:val="0"/>
      <w:divBdr>
        <w:top w:val="none" w:sz="0" w:space="0" w:color="auto"/>
        <w:left w:val="none" w:sz="0" w:space="0" w:color="auto"/>
        <w:bottom w:val="none" w:sz="0" w:space="0" w:color="auto"/>
        <w:right w:val="none" w:sz="0" w:space="0" w:color="auto"/>
      </w:divBdr>
    </w:div>
    <w:div w:id="2132630555">
      <w:marLeft w:val="640"/>
      <w:marRight w:val="0"/>
      <w:marTop w:val="0"/>
      <w:marBottom w:val="0"/>
      <w:divBdr>
        <w:top w:val="none" w:sz="0" w:space="0" w:color="auto"/>
        <w:left w:val="none" w:sz="0" w:space="0" w:color="auto"/>
        <w:bottom w:val="none" w:sz="0" w:space="0" w:color="auto"/>
        <w:right w:val="none" w:sz="0" w:space="0" w:color="auto"/>
      </w:divBdr>
    </w:div>
    <w:div w:id="2133284508">
      <w:marLeft w:val="640"/>
      <w:marRight w:val="0"/>
      <w:marTop w:val="0"/>
      <w:marBottom w:val="0"/>
      <w:divBdr>
        <w:top w:val="none" w:sz="0" w:space="0" w:color="auto"/>
        <w:left w:val="none" w:sz="0" w:space="0" w:color="auto"/>
        <w:bottom w:val="none" w:sz="0" w:space="0" w:color="auto"/>
        <w:right w:val="none" w:sz="0" w:space="0" w:color="auto"/>
      </w:divBdr>
    </w:div>
    <w:div w:id="2133399589">
      <w:marLeft w:val="640"/>
      <w:marRight w:val="0"/>
      <w:marTop w:val="0"/>
      <w:marBottom w:val="0"/>
      <w:divBdr>
        <w:top w:val="none" w:sz="0" w:space="0" w:color="auto"/>
        <w:left w:val="none" w:sz="0" w:space="0" w:color="auto"/>
        <w:bottom w:val="none" w:sz="0" w:space="0" w:color="auto"/>
        <w:right w:val="none" w:sz="0" w:space="0" w:color="auto"/>
      </w:divBdr>
    </w:div>
    <w:div w:id="2133789273">
      <w:marLeft w:val="640"/>
      <w:marRight w:val="0"/>
      <w:marTop w:val="0"/>
      <w:marBottom w:val="0"/>
      <w:divBdr>
        <w:top w:val="none" w:sz="0" w:space="0" w:color="auto"/>
        <w:left w:val="none" w:sz="0" w:space="0" w:color="auto"/>
        <w:bottom w:val="none" w:sz="0" w:space="0" w:color="auto"/>
        <w:right w:val="none" w:sz="0" w:space="0" w:color="auto"/>
      </w:divBdr>
    </w:div>
    <w:div w:id="2135319288">
      <w:marLeft w:val="640"/>
      <w:marRight w:val="0"/>
      <w:marTop w:val="0"/>
      <w:marBottom w:val="0"/>
      <w:divBdr>
        <w:top w:val="none" w:sz="0" w:space="0" w:color="auto"/>
        <w:left w:val="none" w:sz="0" w:space="0" w:color="auto"/>
        <w:bottom w:val="none" w:sz="0" w:space="0" w:color="auto"/>
        <w:right w:val="none" w:sz="0" w:space="0" w:color="auto"/>
      </w:divBdr>
    </w:div>
    <w:div w:id="2136482782">
      <w:marLeft w:val="640"/>
      <w:marRight w:val="0"/>
      <w:marTop w:val="0"/>
      <w:marBottom w:val="0"/>
      <w:divBdr>
        <w:top w:val="none" w:sz="0" w:space="0" w:color="auto"/>
        <w:left w:val="none" w:sz="0" w:space="0" w:color="auto"/>
        <w:bottom w:val="none" w:sz="0" w:space="0" w:color="auto"/>
        <w:right w:val="none" w:sz="0" w:space="0" w:color="auto"/>
      </w:divBdr>
    </w:div>
    <w:div w:id="2137095119">
      <w:marLeft w:val="640"/>
      <w:marRight w:val="0"/>
      <w:marTop w:val="0"/>
      <w:marBottom w:val="0"/>
      <w:divBdr>
        <w:top w:val="none" w:sz="0" w:space="0" w:color="auto"/>
        <w:left w:val="none" w:sz="0" w:space="0" w:color="auto"/>
        <w:bottom w:val="none" w:sz="0" w:space="0" w:color="auto"/>
        <w:right w:val="none" w:sz="0" w:space="0" w:color="auto"/>
      </w:divBdr>
    </w:div>
    <w:div w:id="2137865607">
      <w:marLeft w:val="640"/>
      <w:marRight w:val="0"/>
      <w:marTop w:val="0"/>
      <w:marBottom w:val="0"/>
      <w:divBdr>
        <w:top w:val="none" w:sz="0" w:space="0" w:color="auto"/>
        <w:left w:val="none" w:sz="0" w:space="0" w:color="auto"/>
        <w:bottom w:val="none" w:sz="0" w:space="0" w:color="auto"/>
        <w:right w:val="none" w:sz="0" w:space="0" w:color="auto"/>
      </w:divBdr>
    </w:div>
    <w:div w:id="2139183488">
      <w:marLeft w:val="640"/>
      <w:marRight w:val="0"/>
      <w:marTop w:val="0"/>
      <w:marBottom w:val="0"/>
      <w:divBdr>
        <w:top w:val="none" w:sz="0" w:space="0" w:color="auto"/>
        <w:left w:val="none" w:sz="0" w:space="0" w:color="auto"/>
        <w:bottom w:val="none" w:sz="0" w:space="0" w:color="auto"/>
        <w:right w:val="none" w:sz="0" w:space="0" w:color="auto"/>
      </w:divBdr>
    </w:div>
    <w:div w:id="2139226958">
      <w:marLeft w:val="640"/>
      <w:marRight w:val="0"/>
      <w:marTop w:val="0"/>
      <w:marBottom w:val="0"/>
      <w:divBdr>
        <w:top w:val="none" w:sz="0" w:space="0" w:color="auto"/>
        <w:left w:val="none" w:sz="0" w:space="0" w:color="auto"/>
        <w:bottom w:val="none" w:sz="0" w:space="0" w:color="auto"/>
        <w:right w:val="none" w:sz="0" w:space="0" w:color="auto"/>
      </w:divBdr>
    </w:div>
    <w:div w:id="2139490060">
      <w:marLeft w:val="640"/>
      <w:marRight w:val="0"/>
      <w:marTop w:val="0"/>
      <w:marBottom w:val="0"/>
      <w:divBdr>
        <w:top w:val="none" w:sz="0" w:space="0" w:color="auto"/>
        <w:left w:val="none" w:sz="0" w:space="0" w:color="auto"/>
        <w:bottom w:val="none" w:sz="0" w:space="0" w:color="auto"/>
        <w:right w:val="none" w:sz="0" w:space="0" w:color="auto"/>
      </w:divBdr>
    </w:div>
    <w:div w:id="2139520560">
      <w:marLeft w:val="640"/>
      <w:marRight w:val="0"/>
      <w:marTop w:val="0"/>
      <w:marBottom w:val="0"/>
      <w:divBdr>
        <w:top w:val="none" w:sz="0" w:space="0" w:color="auto"/>
        <w:left w:val="none" w:sz="0" w:space="0" w:color="auto"/>
        <w:bottom w:val="none" w:sz="0" w:space="0" w:color="auto"/>
        <w:right w:val="none" w:sz="0" w:space="0" w:color="auto"/>
      </w:divBdr>
    </w:div>
    <w:div w:id="2140562581">
      <w:marLeft w:val="640"/>
      <w:marRight w:val="0"/>
      <w:marTop w:val="0"/>
      <w:marBottom w:val="0"/>
      <w:divBdr>
        <w:top w:val="none" w:sz="0" w:space="0" w:color="auto"/>
        <w:left w:val="none" w:sz="0" w:space="0" w:color="auto"/>
        <w:bottom w:val="none" w:sz="0" w:space="0" w:color="auto"/>
        <w:right w:val="none" w:sz="0" w:space="0" w:color="auto"/>
      </w:divBdr>
    </w:div>
    <w:div w:id="2140568007">
      <w:marLeft w:val="640"/>
      <w:marRight w:val="0"/>
      <w:marTop w:val="0"/>
      <w:marBottom w:val="0"/>
      <w:divBdr>
        <w:top w:val="none" w:sz="0" w:space="0" w:color="auto"/>
        <w:left w:val="none" w:sz="0" w:space="0" w:color="auto"/>
        <w:bottom w:val="none" w:sz="0" w:space="0" w:color="auto"/>
        <w:right w:val="none" w:sz="0" w:space="0" w:color="auto"/>
      </w:divBdr>
    </w:div>
    <w:div w:id="2140682297">
      <w:marLeft w:val="640"/>
      <w:marRight w:val="0"/>
      <w:marTop w:val="0"/>
      <w:marBottom w:val="0"/>
      <w:divBdr>
        <w:top w:val="none" w:sz="0" w:space="0" w:color="auto"/>
        <w:left w:val="none" w:sz="0" w:space="0" w:color="auto"/>
        <w:bottom w:val="none" w:sz="0" w:space="0" w:color="auto"/>
        <w:right w:val="none" w:sz="0" w:space="0" w:color="auto"/>
      </w:divBdr>
    </w:div>
    <w:div w:id="2141070388">
      <w:marLeft w:val="640"/>
      <w:marRight w:val="0"/>
      <w:marTop w:val="0"/>
      <w:marBottom w:val="0"/>
      <w:divBdr>
        <w:top w:val="none" w:sz="0" w:space="0" w:color="auto"/>
        <w:left w:val="none" w:sz="0" w:space="0" w:color="auto"/>
        <w:bottom w:val="none" w:sz="0" w:space="0" w:color="auto"/>
        <w:right w:val="none" w:sz="0" w:space="0" w:color="auto"/>
      </w:divBdr>
    </w:div>
    <w:div w:id="2141267313">
      <w:marLeft w:val="640"/>
      <w:marRight w:val="0"/>
      <w:marTop w:val="0"/>
      <w:marBottom w:val="0"/>
      <w:divBdr>
        <w:top w:val="none" w:sz="0" w:space="0" w:color="auto"/>
        <w:left w:val="none" w:sz="0" w:space="0" w:color="auto"/>
        <w:bottom w:val="none" w:sz="0" w:space="0" w:color="auto"/>
        <w:right w:val="none" w:sz="0" w:space="0" w:color="auto"/>
      </w:divBdr>
    </w:div>
    <w:div w:id="2141726235">
      <w:marLeft w:val="640"/>
      <w:marRight w:val="0"/>
      <w:marTop w:val="0"/>
      <w:marBottom w:val="0"/>
      <w:divBdr>
        <w:top w:val="none" w:sz="0" w:space="0" w:color="auto"/>
        <w:left w:val="none" w:sz="0" w:space="0" w:color="auto"/>
        <w:bottom w:val="none" w:sz="0" w:space="0" w:color="auto"/>
        <w:right w:val="none" w:sz="0" w:space="0" w:color="auto"/>
      </w:divBdr>
    </w:div>
    <w:div w:id="2142116997">
      <w:marLeft w:val="640"/>
      <w:marRight w:val="0"/>
      <w:marTop w:val="0"/>
      <w:marBottom w:val="0"/>
      <w:divBdr>
        <w:top w:val="none" w:sz="0" w:space="0" w:color="auto"/>
        <w:left w:val="none" w:sz="0" w:space="0" w:color="auto"/>
        <w:bottom w:val="none" w:sz="0" w:space="0" w:color="auto"/>
        <w:right w:val="none" w:sz="0" w:space="0" w:color="auto"/>
      </w:divBdr>
    </w:div>
    <w:div w:id="2142838322">
      <w:marLeft w:val="640"/>
      <w:marRight w:val="0"/>
      <w:marTop w:val="0"/>
      <w:marBottom w:val="0"/>
      <w:divBdr>
        <w:top w:val="none" w:sz="0" w:space="0" w:color="auto"/>
        <w:left w:val="none" w:sz="0" w:space="0" w:color="auto"/>
        <w:bottom w:val="none" w:sz="0" w:space="0" w:color="auto"/>
        <w:right w:val="none" w:sz="0" w:space="0" w:color="auto"/>
      </w:divBdr>
    </w:div>
    <w:div w:id="2143230080">
      <w:marLeft w:val="640"/>
      <w:marRight w:val="0"/>
      <w:marTop w:val="0"/>
      <w:marBottom w:val="0"/>
      <w:divBdr>
        <w:top w:val="none" w:sz="0" w:space="0" w:color="auto"/>
        <w:left w:val="none" w:sz="0" w:space="0" w:color="auto"/>
        <w:bottom w:val="none" w:sz="0" w:space="0" w:color="auto"/>
        <w:right w:val="none" w:sz="0" w:space="0" w:color="auto"/>
      </w:divBdr>
    </w:div>
    <w:div w:id="2143687581">
      <w:marLeft w:val="640"/>
      <w:marRight w:val="0"/>
      <w:marTop w:val="0"/>
      <w:marBottom w:val="0"/>
      <w:divBdr>
        <w:top w:val="none" w:sz="0" w:space="0" w:color="auto"/>
        <w:left w:val="none" w:sz="0" w:space="0" w:color="auto"/>
        <w:bottom w:val="none" w:sz="0" w:space="0" w:color="auto"/>
        <w:right w:val="none" w:sz="0" w:space="0" w:color="auto"/>
      </w:divBdr>
    </w:div>
    <w:div w:id="2144349042">
      <w:marLeft w:val="640"/>
      <w:marRight w:val="0"/>
      <w:marTop w:val="0"/>
      <w:marBottom w:val="0"/>
      <w:divBdr>
        <w:top w:val="none" w:sz="0" w:space="0" w:color="auto"/>
        <w:left w:val="none" w:sz="0" w:space="0" w:color="auto"/>
        <w:bottom w:val="none" w:sz="0" w:space="0" w:color="auto"/>
        <w:right w:val="none" w:sz="0" w:space="0" w:color="auto"/>
      </w:divBdr>
    </w:div>
    <w:div w:id="2144499796">
      <w:marLeft w:val="640"/>
      <w:marRight w:val="0"/>
      <w:marTop w:val="0"/>
      <w:marBottom w:val="0"/>
      <w:divBdr>
        <w:top w:val="none" w:sz="0" w:space="0" w:color="auto"/>
        <w:left w:val="none" w:sz="0" w:space="0" w:color="auto"/>
        <w:bottom w:val="none" w:sz="0" w:space="0" w:color="auto"/>
        <w:right w:val="none" w:sz="0" w:space="0" w:color="auto"/>
      </w:divBdr>
    </w:div>
    <w:div w:id="2144620430">
      <w:marLeft w:val="640"/>
      <w:marRight w:val="0"/>
      <w:marTop w:val="0"/>
      <w:marBottom w:val="0"/>
      <w:divBdr>
        <w:top w:val="none" w:sz="0" w:space="0" w:color="auto"/>
        <w:left w:val="none" w:sz="0" w:space="0" w:color="auto"/>
        <w:bottom w:val="none" w:sz="0" w:space="0" w:color="auto"/>
        <w:right w:val="none" w:sz="0" w:space="0" w:color="auto"/>
      </w:divBdr>
    </w:div>
    <w:div w:id="2145152833">
      <w:marLeft w:val="640"/>
      <w:marRight w:val="0"/>
      <w:marTop w:val="0"/>
      <w:marBottom w:val="0"/>
      <w:divBdr>
        <w:top w:val="none" w:sz="0" w:space="0" w:color="auto"/>
        <w:left w:val="none" w:sz="0" w:space="0" w:color="auto"/>
        <w:bottom w:val="none" w:sz="0" w:space="0" w:color="auto"/>
        <w:right w:val="none" w:sz="0" w:space="0" w:color="auto"/>
      </w:divBdr>
    </w:div>
    <w:div w:id="214711931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87F67F-655B-4DF6-9435-B50030409CDD}"/>
      </w:docPartPr>
      <w:docPartBody>
        <w:p w:rsidR="00DF4976" w:rsidRDefault="00DC2739">
          <w:r w:rsidRPr="00D67605">
            <w:rPr>
              <w:rStyle w:val="PlaceholderText"/>
            </w:rPr>
            <w:t>Click or tap here to enter text.</w:t>
          </w:r>
        </w:p>
      </w:docPartBody>
    </w:docPart>
    <w:docPart>
      <w:docPartPr>
        <w:name w:val="B700A94C13C9464BA82929F49DFA3C29"/>
        <w:category>
          <w:name w:val="General"/>
          <w:gallery w:val="placeholder"/>
        </w:category>
        <w:types>
          <w:type w:val="bbPlcHdr"/>
        </w:types>
        <w:behaviors>
          <w:behavior w:val="content"/>
        </w:behaviors>
        <w:guid w:val="{A8CEC635-22D4-4C89-8193-4363160FE393}"/>
      </w:docPartPr>
      <w:docPartBody>
        <w:p w:rsidR="00DF4976" w:rsidRDefault="00DC2739" w:rsidP="00DC2739">
          <w:pPr>
            <w:pStyle w:val="B700A94C13C9464BA82929F49DFA3C29"/>
          </w:pPr>
          <w:r w:rsidRPr="00D67605">
            <w:rPr>
              <w:rStyle w:val="PlaceholderText"/>
            </w:rPr>
            <w:t>Click or tap here to enter text.</w:t>
          </w:r>
        </w:p>
      </w:docPartBody>
    </w:docPart>
    <w:docPart>
      <w:docPartPr>
        <w:name w:val="BFD6DBFA62D2471D9F7A7F387D1358A0"/>
        <w:category>
          <w:name w:val="General"/>
          <w:gallery w:val="placeholder"/>
        </w:category>
        <w:types>
          <w:type w:val="bbPlcHdr"/>
        </w:types>
        <w:behaviors>
          <w:behavior w:val="content"/>
        </w:behaviors>
        <w:guid w:val="{49CAEB89-A0C5-44BC-8629-9E3607FCDD6E}"/>
      </w:docPartPr>
      <w:docPartBody>
        <w:p w:rsidR="0013318F" w:rsidRDefault="009C6D01" w:rsidP="009C6D01">
          <w:pPr>
            <w:pStyle w:val="BFD6DBFA62D2471D9F7A7F387D1358A0"/>
          </w:pPr>
          <w:r w:rsidRPr="00D676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39"/>
    <w:rsid w:val="000028E1"/>
    <w:rsid w:val="000260C9"/>
    <w:rsid w:val="0013318F"/>
    <w:rsid w:val="001560B8"/>
    <w:rsid w:val="004527B7"/>
    <w:rsid w:val="004C1C79"/>
    <w:rsid w:val="004C2A20"/>
    <w:rsid w:val="007A3BF1"/>
    <w:rsid w:val="007B51AD"/>
    <w:rsid w:val="009C6D01"/>
    <w:rsid w:val="00A83AB7"/>
    <w:rsid w:val="00A90B89"/>
    <w:rsid w:val="00CA5248"/>
    <w:rsid w:val="00D30094"/>
    <w:rsid w:val="00D73E0C"/>
    <w:rsid w:val="00DC2739"/>
    <w:rsid w:val="00DF4976"/>
    <w:rsid w:val="00DF6EAF"/>
    <w:rsid w:val="00EC3B4B"/>
    <w:rsid w:val="00F05E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6D01"/>
    <w:rPr>
      <w:color w:val="666666"/>
    </w:rPr>
  </w:style>
  <w:style w:type="paragraph" w:customStyle="1" w:styleId="B700A94C13C9464BA82929F49DFA3C29">
    <w:name w:val="B700A94C13C9464BA82929F49DFA3C29"/>
    <w:rsid w:val="00DC2739"/>
  </w:style>
  <w:style w:type="paragraph" w:customStyle="1" w:styleId="BFD6DBFA62D2471D9F7A7F387D1358A0">
    <w:name w:val="BFD6DBFA62D2471D9F7A7F387D1358A0"/>
    <w:rsid w:val="009C6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280A88F-454C-454E-A190-8BB9B8041477}">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1E3F1DE-A653-4FA9-B566-D81EEEBD6D9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400698641"/>
    <we:property name="MENDELEY_CITATIONS_LOCALE_CODE" value="&quot;en-US&quot;"/>
    <we:property name="MENDELEY_CITATIONS_STYLE" value="{&quot;id&quot;:&quot;https://www.zotero.org/styles/building-and-environment&quot;,&quot;title&quot;:&quot;Building and Environment&quot;,&quot;format&quot;:&quot;numeric&quot;,&quot;defaultLocale&quot;:&quot;en-US&quot;,&quot;isLocaleCodeValid&quot;:true}"/>
    <we:property name="MENDELEY_CITATIONS" value="[{&quot;citationID&quot;:&quot;MENDELEY_CITATION_2281f0c4-f7a6-4514-926a-8cdf8c52ab5a&quot;,&quot;properties&quot;:{&quot;noteIndex&quot;:0},&quot;isEdited&quot;:false,&quot;manualOverride&quot;:{&quot;citeprocText&quot;:&quot;[1–3]&quot;,&quot;isManuallyOverridden&quot;:false,&quot;manualOverrideText&quot;:&quot;&quot;},&quot;citationTag&quot;:&quot;MENDELEY_CITATION_v3_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V19&quot;,&quot;citationItems&quot;:[{&quot;id&quot;:&quot;c115198c-8302-57bd-9dee-46524a6f5754&quot;,&quot;itemData&quot;:{&quot;DOI&quot;:&quot;10.1201/9780203302620-10&quot;,&quot;ISBN&quot;:&quot;9781466596009&quot;,&quot;author&quot;:[{&quot;dropping-particle&quot;:&quot;&quot;,&quot;family&quot;:&quot;Parsons&quot;,&quot;given&quot;:&quot;Ken&quot;,&quot;non-dropping-particle&quot;:&quot;&quot;,&quot;parse-names&quot;:false,&quot;suffix&quot;:&quot;&quot;}],&quot;container-title&quot;:&quot;Human Thermal Environments&quot;,&quot;id&quot;:&quot;c115198c-8302-57bd-9dee-46524a6f5754&quot;,&quot;issued&quot;:{&quot;date-parts&quot;:[[&quot;1993&quot;,&quot;10&quot;,&quot;27&quot;]]},&quot;page&quot;:&quot;22-49&quot;,&quot;publisher&quot;:&quot;CRC Press&quot;,&quot;title&quot;:&quot;Human thermal environments&quot;,&quot;type&quot;:&quot;chapter&quot;,&quot;container-title-short&quot;:&quot;&quot;},&quot;uris&quot;:[&quot;http://www.mendeley.com/documents/?uuid=83485391-1634-4e30-91b4-842c10424a74&quot;],&quot;isTemporary&quot;:false,&quot;legacyDesktopId&quot;:&quot;83485391-1634-4e30-91b4-842c10424a74&quot;},{&quot;id&quot;:&quot;1d9af1cf-93c0-5f72-bcde-21f8eceab3ce&quot;,&quot;itemData&quot;:{&quot;DOI&quot;:&quot;10.2741/3620&quot;,&quot;ISSN&quot;:&quot;10939946&quot;,&quot;author&quot;:[{&quot;dropping-particle&quot;:&quot;&quot;,&quot;family&quot;:&quot;Kenny&quot;,&quot;given&quot;:&quot;Glen P.&quot;,&quot;non-dropping-particle&quot;:&quot;&quot;,&quot;parse-names&quot;:false,&quot;suffix&quot;:&quot;&quot;}],&quot;container-title&quot;:&quot;Frontiers in Bioscience&quot;,&quot;id&quot;:&quot;1d9af1cf-93c0-5f72-bcde-21f8eceab3ce&quot;,&quot;issue&quot;:&quot;1&quot;,&quot;issued&quot;:{&quot;date-parts&quot;:[[&quot;2010&quot;]]},&quot;page&quot;:&quot;259&quot;,&quot;title&quot;:&quot;Human thermoregulation: separating thermal and nonthermal effects on heat loss&quot;,&quot;type&quot;:&quot;article-journal&quot;,&quot;volume&quot;:&quot;15&quot;,&quot;container-title-short&quot;:&quot;&quot;},&quot;uris&quot;:[&quot;http://www.mendeley.com/documents/?uuid=1a10119a-2522-4b38-8141-d83c10cee8e2&quot;],&quot;isTemporary&quot;:false,&quot;legacyDesktopId&quot;:&quot;1a10119a-2522-4b38-8141-d83c10cee8e2&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27e109df-c302-4ee5-a2cf-302a9ed108d8&quot;,&quot;properties&quot;:{&quot;noteIndex&quot;:0},&quot;isEdited&quot;:false,&quot;manualOverride&quot;:{&quot;citeprocText&quot;:&quot;[1,4]&quot;,&quot;isManuallyOverridden&quot;:false,&quot;manualOverrideText&quot;:&quot;&quot;},&quot;citationTag&quot;:&quot;MENDELEY_CITATION_v3_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1dfQ==&quot;,&quot;citationItems&quot;:[{&quot;id&quot;:&quot;c115198c-8302-57bd-9dee-46524a6f5754&quot;,&quot;itemData&quot;:{&quot;DOI&quot;:&quot;10.1201/9780203302620-10&quot;,&quot;ISBN&quot;:&quot;9781466596009&quot;,&quot;author&quot;:[{&quot;dropping-particle&quot;:&quot;&quot;,&quot;family&quot;:&quot;Parsons&quot;,&quot;given&quot;:&quot;Ken&quot;,&quot;non-dropping-particle&quot;:&quot;&quot;,&quot;parse-names&quot;:false,&quot;suffix&quot;:&quot;&quot;}],&quot;container-title&quot;:&quot;Human Thermal Environments&quot;,&quot;id&quot;:&quot;c115198c-8302-57bd-9dee-46524a6f5754&quot;,&quot;issued&quot;:{&quot;date-parts&quot;:[[&quot;1993&quot;,&quot;10&quot;,&quot;27&quot;]]},&quot;page&quot;:&quot;22-49&quot;,&quot;publisher&quot;:&quot;CRC Press&quot;,&quot;title&quot;:&quot;Human thermal environments&quot;,&quot;type&quot;:&quot;chapter&quot;,&quot;container-title-short&quot;:&quot;&quot;},&quot;uris&quot;:[&quot;http://www.mendeley.com/documents/?uuid=83485391-1634-4e30-91b4-842c10424a74&quot;],&quot;isTemporary&quot;:false,&quot;legacyDesktopId&quot;:&quot;83485391-1634-4e30-91b4-842c10424a74&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citationID&quot;:&quot;MENDELEY_CITATION_e890e255-8abe-40df-94fc-4ff91e8a87b7&quot;,&quot;properties&quot;:{&quot;noteIndex&quot;:0},&quot;isEdited&quot;:false,&quot;manualOverride&quot;:{&quot;citeprocText&quot;:&quot;[5,6]&quot;,&quot;isManuallyOverridden&quot;:false,&quot;manualOverrideText&quot;:&quot;&quot;},&quot;citationTag&quot;:&quot;MENDELEY_CITATION_v3_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quot;,&quot;citationItems&quot;:[{&quot;id&quot;:&quot;e89138f9-4dce-58d9-bc2c-3abfa9c2f9d4&quot;,&quot;itemData&quot;:{&quot;DOI&quot;:&quot;10.1111/apha.12231&quot;,&quot;ISSN&quot;:&quot;1748-1708&quot;,&quot;author&quot;:[{&quot;dropping-particle&quot;:&quot;&quot;,&quot;family&quot;:&quot;Romanovsky&quot;,&quot;given&quot;:&quot;A A&quot;,&quot;non-dropping-particle&quot;:&quot;&quot;,&quot;parse-names&quot;:false,&quot;suffix&quot;:&quot;&quot;}],&quot;container-title&quot;:&quot;Acta Physiologica&quot;,&quot;id&quot;:&quot;e89138f9-4dce-58d9-bc2c-3abfa9c2f9d4&quot;,&quot;issue&quot;:&quot;3&quot;,&quot;issued&quot;:{&quot;date-parts&quot;:[[&quot;2014&quot;,&quot;3&quot;,&quot;6&quot;]]},&quot;page&quot;:&quot;498-507&quot;,&quot;title&quot;:&quot;Skin temperature: its role in thermoregulation&quot;,&quot;type&quot;:&quot;article-journal&quot;,&quot;volume&quot;:&quot;210&quot;,&quot;container-title-short&quot;:&quot;&quot;},&quot;uris&quot;:[&quot;http://www.mendeley.com/documents/?uuid=6b202fa6-0ae9-4a65-99bc-e42d00cfb185&quot;],&quot;isTemporary&quot;:false,&quot;legacyDesktopId&quot;:&quot;6b202fa6-0ae9-4a65-99bc-e42d00cfb185&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citationID&quot;:&quot;MENDELEY_CITATION_bdf31d92-d2da-4dd8-aebc-e04dfc96911f&quot;,&quot;properties&quot;:{&quot;noteIndex&quot;:0},&quot;isEdited&quot;:false,&quot;manualOverride&quot;:{&quot;citeprocText&quot;:&quot;[4,7,8]&quot;,&quot;isManuallyOverridden&quot;:false,&quot;manualOverrideText&quot;:&quot;&quot;},&quot;citationTag&quot;:&quot;MENDELEY_CITATION_v3_eyJjaXRhdGlvbklEIjoiTUVOREVMRVlfQ0lUQVRJT05fYmRmMzFkOTItZDJkYS00ZGQ4LWFlYmMtZTA0ZGZjOTY5MTFmIiwicHJvcGVydGllcyI6eyJub3RlSW5kZXgiOjB9LCJpc0VkaXRlZCI6ZmFsc2UsIm1hbnVhbE92ZXJyaWRlIjp7ImNpdGVwcm9jVGV4dCI6Ils0LDcsOF0iLCJpc01hbnVhbGx5T3ZlcnJpZGRlbiI6ZmFsc2UsIm1hbnVhbE92ZXJyaWRlVGV4dCI6IiJ9LCJjaXRhdGlvbkl0ZW1zIjpb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&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4ddbe130-a9b3-59c6-a590-a1493411dfb5&quot;,&quot;itemData&quot;:{&quot;DOI&quot;:&quot;10.1016/j.buildenv.2009.06.020&quot;,&quot;ISSN&quot;:&quot;03601323&quot;,&quot;abstract&quot;:&quot;A three-part series presents the development of models for predicting the local thermal sensation (Part I) and local thermal comfort (Part II) of different parts of the human body, and also the whole-body sensation and comfort (Part III) that result from combinations of local sensation and comfort. The models apply to sedentary activities in a range of environments: uniform and non-uniform, stable and transient. They are based on diverse findings from the literature and from body-part-specific human subject tests in a climate chamber. They were validated against a test of automobile passengers. The series is intended to present the models' rationale, structure, and coefficients, so that others can test them and develop them further as additional empirical data becomes available. A) The whole-body (overall) sensation model has two forms, depending on whether all of the body's segments have sensations effectively in the same direction (e.g warm or cool), or whether some segments have sensations opposite to those of the rest of the body. For each, individual body parts have different weights for warm versus cool sensations, and strong local sensations dominate the overall sensation. If all sensations are near neutral, the overall sensation is close to the average of all body sensations. B) The overall comfort model also has two forms. Under stable conditions, people evaluate their overall comfort by a complaint-driven process, meaning that when two body parts are strongly uncomfortable, no matter how comfortable the other body parts might be, the overall comfort will be near the discomfort level of the two most uncomfortable parts. When the environmental conditions are transient, or people have control over their environments, overall comfort is better than that of the two most uncomfortable body parts. This can be accounted for by adding the most comfortable vote to the two most uncomfortable ones. © 2009 Elsevier Ltd. All rights reserved.&quot;,&quot;author&quot;:[{&quot;dropping-particle&quot;:&quot;&quot;,&quot;family&quot;:&quot;Zhang&quot;,&quot;given&quot;:&quot;Hui&quot;,&quot;non-dropping-particle&quot;:&quot;&quot;,&quot;parse-names&quot;:false,&quot;suffix&quot;:&quot;&quot;},{&quot;dropping-particle&quot;:&quot;&quot;,&quot;family&quot;:&quot;Arens&quot;,&quot;given&quot;:&quot;Edward&quot;,&quot;non-dropping-particle&quot;:&quot;&quot;,&quot;parse-names&quot;:false,&quot;suffix&quot;:&quot;&quot;},{&quot;dropping-particle&quot;:&quot;&quot;,&quot;family&quot;:&quot;Huizenga&quot;,&quot;given&quot;:&quot;Charlie&quot;,&quot;non-dropping-particle&quot;:&quot;&quot;,&quot;parse-names&quot;:false,&quot;suffix&quot;:&quot;&quot;},{&quot;dropping-particle&quot;:&quot;&quot;,&quot;family&quot;:&quot;Han&quot;,&quot;given&quot;:&quot;Taeyoung&quot;,&quot;non-dropping-particle&quot;:&quot;&quot;,&quot;parse-names&quot;:false,&quot;suffix&quot;:&quot;&quot;}],&quot;container-title&quot;:&quot;Building and Environment&quot;,&quot;id&quot;:&quot;4ddbe130-a9b3-59c6-a590-a1493411dfb5&quot;,&quot;issue&quot;:&quot;2&quot;,&quot;issued&quot;:{&quot;date-parts&quot;:[[&quot;2010&quot;]]},&quot;page&quot;:&quot;399-410&quot;,&quot;title&quot;:&quot;Thermal sensation and comfort models for non-uniform and transient environments, part III: Whole-body sensation and comfort&quot;,&quot;type&quot;:&quot;article-journal&quot;,&quot;volume&quot;:&quot;45&quot;,&quot;container-title-short&quot;:&quot;Build. Environ.&quot;},&quot;uris&quot;:[&quot;http://www.mendeley.com/documents/?uuid=f4234b05-49af-49a4-98f0-f61ce2df00e7&quot;],&quot;isTemporary&quot;:false,&quot;legacyDesktopId&quot;:&quot;f4234b05-49af-49a4-98f0-f61ce2df00e7&quot;},{&quot;id&quot;:&quot;fcbbffcb-dcd7-5e95-9552-8c099c9a42ab&quot;,&quot;itemData&quot;:{&quot;DOI&quot;:&quot;10.1007/s00421-004-1137-y&quot;,&quot;ISSN&quot;:&quot;14396319&quot;,&quot;PMID&quot;:&quot;15221406&quot;,&quot;abstract&quot;:&quot;Most existing thermal comfort models are applicable only to steady-state, uniform thermal environments. This paper presents summary results from 109 human tests that were performed under non-uniform and transient conditions. In these tests, local body areas were independently heated or cooled while the rest of the body was exposed to a warm, neutral or cool environment. Skin temperatures, core temperature, thermal sensation and comfort responses were collected at 1- to 3-min intervals. Based on these tests, we have developed predictive models of local and overall thermal sensation and comfort. © Springer-Verlag 2004.&quot;,&quot;author&quot;:[{&quot;dropping-particle&quot;:&quot;&quot;,&quot;family&quot;:&quot;Zhang&quot;,&quot;given&quot;:&quot;Hui&quot;,&quot;non-dropping-particle&quot;:&quot;&quot;,&quot;parse-names&quot;:false,&quot;suffix&quot;:&quot;&quot;},{&quot;dropping-particle&quot;:&quot;&quot;,&quot;family&quot;:&quot;Huizenga&quot;,&quot;given&quot;:&quot;C.&quot;,&quot;non-dropping-particle&quot;:&quot;&quot;,&quot;parse-names&quot;:false,&quot;suffix&quot;:&quot;&quot;},{&quot;dropping-particle&quot;:&quot;&quot;,&quot;family&quot;:&quot;Arenas&quot;,&quot;given&quot;:&quot;E.&quot;,&quot;non-dropping-particle&quot;:&quot;&quot;,&quot;parse-names&quot;:false,&quot;suffix&quot;:&quot;&quot;},{&quot;dropping-particle&quot;:&quot;&quot;,&quot;family&quot;:&quot;Wang&quot;,&quot;given&quot;:&quot;D.&quot;,&quot;non-dropping-particle&quot;:&quot;&quot;,&quot;parse-names&quot;:false,&quot;suffix&quot;:&quot;&quot;}],&quot;container-title&quot;:&quot;European Journal of Applied Physiology&quot;,&quot;id&quot;:&quot;fcbbffcb-dcd7-5e95-9552-8c099c9a42ab&quot;,&quot;issue&quot;:&quot;6&quot;,&quot;issued&quot;:{&quot;date-parts&quot;:[[&quot;2004&quot;]]},&quot;page&quot;:&quot;728-733&quot;,&quot;title&quot;:&quot;Thermal sensation and comfort in transient non-uniform thermal environments&quot;,&quot;type&quot;:&quot;article-journal&quot;,&quot;volume&quot;:&quot;92&quot;,&quot;container-title-short&quot;:&quot;Eur. J. Appl. Physiol.&quot;},&quot;uris&quot;:[&quot;http://www.mendeley.com/documents/?uuid=7815582b-852a-4899-a927-b652c92c5d00&quot;],&quot;isTemporary&quot;:false,&quot;legacyDesktopId&quot;:&quot;7815582b-852a-4899-a927-b652c92c5d00&quot;}]},{&quot;citationID&quot;:&quot;MENDELEY_CITATION_81c21033-3350-4326-8903-eb62024cdd22&quot;,&quot;properties&quot;:{&quot;noteIndex&quot;:0},&quot;isEdited&quot;:false,&quot;manualOverride&quot;:{&quot;citeprocText&quot;:&quot;[9]&quot;,&quot;isManuallyOverridden&quot;:false,&quot;manualOverrideText&quot;:&quot;&quot;},&quot;citationTag&quot;:&quot;MENDELEY_CITATION_v3_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&quot;,&quot;citationItems&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e4cf0a72-ae5b-4769-be75-60f641e5e6b5&quot;,&quot;properties&quot;:{&quot;noteIndex&quot;:0},&quot;isEdited&quot;:false,&quot;manualOverride&quot;:{&quot;citeprocText&quot;:&quot;[10–13]&quot;,&quot;isManuallyOverridden&quot;:false,&quot;manualOverrideText&quot;:&quot;&quot;},&quot;citationTag&quot;:&quot;MENDELEY_CITATION_v3_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lMWIyMDFiYS1iNWJiLTVkN2UtYjNkMC01ZjI4MGY0ODUxNmMiLCJpdGVtRGF0YSI6eyJET0kiOiIxMC4xMTUyL2phcHBsLjE5NzEuMzEuNi44MjgiLCJJU1NOIjoiODc1MC03NTg3IiwiUE1JRCI6IjUxMjM2NTk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&quot;,&quot;citationItems&quot;:[{&quot;id&quot;:&quot;a04cfe86-67d3-5e8a-a6fc-575851e7389a&quot;,&quot;itemData&quot;:{&quot;DOI&quot;:&quot;10.1046/j.1365-201x.1998.00379.x&quot;,&quot;ISSN&quot;:&quot;00016772&quot;,&quot;PMID&quot;:&quot;9715741&quot;,&quot;abstract&quot;:&quot;The influence of local skin temperature (T(skl)) on the control of local and whole-body sweating was evaluated in eight healthy males. A water- perfusion garment (37°C) and a climatic chamber (36.45 ± 0.78°C; [±SD]; relative humidity 60.3 ± 1.6%) were used to raise and clamp skin and core temperatures. Warm and cool stimuli were applied to four upper-body skin regions (face, arm, forearm, hand) using perfusion patches (249.0 ± 0.2 cm2). Heating elevated, while cooling suppressed sweat rate (ṁ(sw)) locally, and at other skin surfaces. However, the tendency for T(skl) manipulations to induce localized sweat responses was no more powerful than it was at stimulating sweating in non-treated regions (P &gt; 0.05). Accordingly, neither thermal stimulus produced significantly greater local sudomotor influences than were elicited contralaterally (P &gt; 0.05). No statistical support was found for the notion of inter-regional differences in upper-body cutaneous thermal sensitivity for sudomotor control, and, regardless of the stimulation site, whole-body sudomotor responses to localized thermal treatments were equivalent (P &gt; 0.05).&quot;,&quot;author&quot;:[{&quot;dropping-particle&quot;:&quot;&quot;,&quot;family&quot;:&quot;Patterson&quot;,&quot;given&quot;:&quot;M. J.&quot;,&quot;non-dropping-particle&quot;:&quot;&quot;,&quot;parse-names&quot;:false,&quot;suffix&quot;:&quot;&quot;},{&quot;dropping-particle&quot;:&quot;&quot;,&quot;family&quot;:&quot;Cotter&quot;,&quot;given&quot;:&quot;J. D.&quot;,&quot;non-dropping-particle&quot;:&quot;&quot;,&quot;parse-names&quot;:false,&quot;suffix&quot;:&quot;&quot;},{&quot;dropping-particle&quot;:&quot;&quot;,&quot;family&quot;:&quot;Taylor&quot;,&quot;given&quot;:&quot;N. A.S.&quot;,&quot;non-dropping-particle&quot;:&quot;&quot;,&quot;parse-names&quot;:false,&quot;suffix&quot;:&quot;&quot;}],&quot;container-title&quot;:&quot;Acta Physiologica Scandinavica&quot;,&quot;id&quot;:&quot;a04cfe86-67d3-5e8a-a6fc-575851e7389a&quot;,&quot;issue&quot;:&quot;3&quot;,&quot;issued&quot;:{&quot;date-parts&quot;:[[&quot;1998&quot;]]},&quot;page&quot;:&quot;289-296&quot;,&quot;title&quot;:&quot;Human sudomotor responses to heating and cooling upper-body skin surfaces: Cutaneous thermal sensitivity&quot;,&quot;type&quot;:&quot;article-journal&quot;,&quot;volume&quot;:&quot;163&quot;,&quot;container-title-short&quot;:&quot;Acta Physiol. Scand.&quot;},&quot;uris&quot;:[&quot;http://www.mendeley.com/documents/?uuid=cbe7ca4c-9aec-4072-9ebe-c206ba8641c8&quot;],&quot;isTemporary&quot;:false,&quot;legacyDesktopId&quot;:&quot;cbe7ca4c-9aec-4072-9ebe-c206ba8641c8&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e1b201ba-b5bb-5d7e-b3d0-5f280f48516c&quot;,&quot;itemData&quot;:{&quot;DOI&quot;:&quot;10.1152/jappl.1971.31.6.828&quot;,&quot;ISSN&quot;:&quot;8750-7587&quot;,&quot;PMID&quot;:&quot;5123659&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altin&quot;,&quot;given&quot;:&quot;B.&quot;,&quot;non-dropping-particle&quot;:&quot;&quot;,&quot;parse-names&quot;:false,&quot;suffix&quot;:&quot;&quot;},{&quot;dropping-particle&quot;:&quot;&quot;,&quot;family&quot;:&quot;Stolwijk&quot;,&quot;given&quot;:&quot;J. A.&quot;,&quot;non-dropping-particle&quot;:&quot;&quot;,&quot;parse-names&quot;:false,&quot;suffix&quot;:&quot;&quot;}],&quot;container-title&quot;:&quot;Journal of Applied Physiology&quot;,&quot;id&quot;:&quot;e1b201ba-b5bb-5d7e-b3d0-5f280f48516c&quot;,&quot;issue&quot;:&quot;6&quot;,&quot;issued&quot;:{&quot;date-parts&quot;:[[&quot;1971&quot;,&quot;12&quot;,&quot;1&quot;]]},&quot;page&quot;:&quot;828-833&quot;,&quot;title&quot;:&quot;Peripheral modifications to the central drive for sweating&quot;,&quot;type&quot;:&quot;article-journal&quot;,&quot;volume&quot;:&quot;31&quot;,&quot;container-title-short&quot;:&quot;J. Appl. Physiol.&quot;},&quot;uris&quot;:[&quot;http://www.mendeley.com/documents/?uuid=37442a86-16f2-4e2d-8273-7352efedcc63&quot;],&quot;isTemporary&quot;:false,&quot;legacyDesktopId&quot;:&quot;37442a86-16f2-4e2d-8273-7352efedcc63&quot;},{&quot;id&quot;:&quot;0f5ba7cb-9b2e-5369-82f1-520db473b153&quot;,&quot;itemData&quot;:{&quot;DOI&quot;:&quot;10.1152/ajpregu.1984.246.3.r321&quot;,&quot;ISSN&quot;:&quot;03636119&quot;,&quot;PMID&quot;:&quot;6703085&quot;,&quot;abstract&quot;:&quot;To characterize the changes in the control of the heat loss responses associated with the circadian variation in body temperature, we studied five men during 20 min of exercise in 25°C on 6 separate days. Experiments were conducted at six times equally spaced over the 24-h day. Esophageal temperature [T(es)] and chest sweat rate [mE{sw)] were measured continuously, and forearm blood flow (FBF) was measured one to two times per minute. The thresholds for sweating and forearm vasodilation were significantly higher at 1600 and 2000 than at 2400 and 0400, averaging 0.57 and 0.65°C higher, respectively, at 1600 than at 0400. resting T(es) and the T(es) thresholds for cutaneous vasodilation and sweating during exercise all showed a similar circadian rhythm. The level at which core temperature is regulated therefore varies over the 24-h day with the zenith occurring around 1600 and the nadir at 0400. However, whereas the slope of the ṁ(sw)-to-T(es) relation did not change over the 24-h day, the slope of the FBF-to-T(es) relation tended to increae between 0400 and 2400, implying that the circadian rhythm may be more complex than just a shift in the central reference temperature.&quot;,&quot;author&quot;:[{&quot;dropping-particle&quot;:&quot;&quot;,&quot;family&quot;:&quot;Stephenson&quot;,&quot;given&quot;:&quot;L. A.&quot;,&quot;non-dropping-particle&quot;:&quot;&quot;,&quot;parse-names&quot;:false,&quot;suffix&quot;:&quot;&quot;},{&quot;dropping-particle&quot;:&quot;&quot;,&quot;family&quot;:&quot;Wenger&quot;,&quot;given&quot;:&quot;C. B.&quot;,&quot;non-dropping-particle&quot;:&quot;&quot;,&quot;parse-names&quot;:false,&quot;suffix&quot;:&quot;&quot;},{&quot;dropping-particle&quot;:&quot;&quot;,&quot;family&quot;:&quot;O'Donovan&quot;,&quot;given&quot;:&quot;B. H.&quot;,&quot;non-dropping-particle&quot;:&quot;&quot;,&quot;parse-names&quot;:false,&quot;suffix&quot;:&quot;&quot;},{&quot;dropping-particle&quot;:&quot;&quot;,&quot;family&quot;:&quot;Nadel&quot;,&quot;given&quot;:&quot;E. R.&quot;,&quot;non-dropping-particle&quot;:&quot;&quot;,&quot;parse-names&quot;:false,&quot;suffix&quot;:&quot;&quot;}],&quot;container-title&quot;:&quot;American Journal of Physiology - Regulatory Integrative and Comparative Physiology&quot;,&quot;id&quot;:&quot;0f5ba7cb-9b2e-5369-82f1-520db473b153&quot;,&quot;issue&quot;:&quot;3&quot;,&quot;issued&quot;:{&quot;date-parts&quot;:[[&quot;1984&quot;]]},&quot;page&quot;:&quot;321-324&quot;,&quot;title&quot;:&quot;Circadian rhythm in sweating and cutaneous blood flow&quot;,&quot;type&quot;:&quot;article-journal&quot;,&quot;volume&quot;:&quot;15&quot;,&quot;container-title-short&quot;:&quot;Am. J. Physiol. Regul. Integr. Comp. Physiol.&quot;},&quot;uris&quot;:[&quot;http://www.mendeley.com/documents/?uuid=79ee31eb-6070-4149-9f80-a8d260c2dd80&quot;],&quot;isTemporary&quot;:false,&quot;legacyDesktopId&quot;:&quot;79ee31eb-6070-4149-9f80-a8d260c2dd80&quot;}]},{&quot;citationID&quot;:&quot;MENDELEY_CITATION_9a303658-f8d5-4f8e-8d49-ea26224aa328&quot;,&quot;properties&quot;:{&quot;noteIndex&quot;:0},&quot;isEdited&quot;:false,&quot;manualOverride&quot;:{&quot;citeprocText&quot;:&quot;[14]&quot;,&quot;isManuallyOverridden&quot;:false,&quot;manualOverrideText&quot;:&quot;&quot;},&quot;citationTag&quot;:&quot;MENDELEY_CITATION_v3_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&quot;,&quot;citationItems&quot;:[{&quot;id&quot;:&quot;5dd1c5c5-4280-52fa-8827-3aa4da7e4acf&quot;,&quot;itemData&quot;:{&quot;DOI&quot;:&quot;10.1007/s00421-009-1216-1&quot;,&quot;ISSN&quot;:&quot;14396319&quot;,&quot;PMID&quot;:&quot;19787369&quot;,&quot;abstract&quot;:&quot;The aim of human temperature regulation is to protect body processes by establishing a relative constancy of deep body temperature (regulated variable), in spite of external and internal influences on it. This is basically achieved by a distributed multi-sensor, multi-processor, multi-effector proportional feedback control system. The paper explains why proportional control implies inherent deviations of the regulated variable from the value in the thermoneutral zone. The concept of feedback of the thermal state of the body, conveniently represented by a high-weighted core temperature (T c) and low-weighted peripheral temperatures (T s) is equivalent to the control concept of \&quot;auxiliary feedback control\&quot;, using a main (regulated) variable (T c), supported by an auxiliary variable (T s). This concept implies neither regulation of T s nor feedforward control. Steady-states result in the closed control-loop, when the open-loop properties of the (heat transfer) process are compatible with those of the thermoregulatory processors. They are called operating points or balance points and are achieved due to the inherent property of dynamical stability of the thermoregulatory feedback loop. No set-point and no comparison of signals (e.g. actual-set value) are necessary. Metabolic heat production and sweat production, though receiving the same information about the thermal state of the body, are independent effectors with different thresholds and gains. Coordination between one of these effectors and the vasomotor effector is achieved by the fact that changes in the (heat transfer) process evoked by vasomotor control are taken into account by the metabolic/sweat processor. © 2009 Springer-Verlag.&quot;,&quot;author&quot;:[{&quot;dropping-particle&quot;:&quot;&quot;,&quot;family&quot;:&quot;Werner&quot;,&quot;given&quot;:&quot;Jürgen&quot;,&quot;non-dropping-particle&quot;:&quot;&quot;,&quot;parse-names&quot;:false,&quot;suffix&quot;:&quot;&quot;}],&quot;container-title&quot;:&quot;European Journal of Applied Physiology&quot;,&quot;id&quot;:&quot;5dd1c5c5-4280-52fa-8827-3aa4da7e4acf&quot;,&quot;issue&quot;:&quot;1&quot;,&quot;issued&quot;:{&quot;date-parts&quot;:[[&quot;2010&quot;]]},&quot;page&quot;:&quot;13-25&quot;,&quot;title&quot;:&quot;System properties, feedback control and effector coordination of human temperature regulation&quot;,&quot;type&quot;:&quot;article-journal&quot;,&quot;volume&quot;:&quot;109&quot;,&quot;container-title-short&quot;:&quot;Eur. J. Appl. Physiol.&quot;},&quot;uris&quot;:[&quot;http://www.mendeley.com/documents/?uuid=26addaef-10c3-45c3-93af-f5aa0d8d6f09&quot;],&quot;isTemporary&quot;:false,&quot;legacyDesktopId&quot;:&quot;26addaef-10c3-45c3-93af-f5aa0d8d6f09&quot;}]},{&quot;citationID&quot;:&quot;MENDELEY_CITATION_fc59964c-199e-44fe-a145-70dc91226ab3&quot;,&quot;properties&quot;:{&quot;noteIndex&quot;:0},&quot;isEdited&quot;:false,&quot;manualOverride&quot;:{&quot;citeprocText&quot;:&quot;[6]&quot;,&quot;isManuallyOverridden&quot;:false,&quot;manualOverrideText&quot;:&quot;&quot;},&quot;citationTag&quot;:&quot;MENDELEY_CITATION_v3_eyJjaXRhdGlvbklEIjoiTUVOREVMRVlfQ0lUQVRJT05fZmM1OTk2NGMtMTk5ZS00NGZlLWExNDUtNzBkYzkxMjI2YWIzIiwicHJvcGVydGllcyI6eyJub3RlSW5kZXgiOjB9LCJpc0VkaXRlZCI6ZmFsc2UsIm1hbnVhbE92ZXJyaWRlIjp7ImNpdGVwcm9jVGV4dCI6Ils2XSIsImlzTWFudWFsbHlPdmVycmlkZGVuIjpmYWxzZSwibWFudWFsT3ZlcnJpZGVUZXh0IjoiIn0sImNpdGF0aW9uSXRlbXMiOlt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quot;,&quot;citationItems&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citationID&quot;:&quot;MENDELEY_CITATION_7c57afcd-816c-4b14-afb5-fe2f77062614&quot;,&quot;properties&quot;:{&quot;noteIndex&quot;:0},&quot;isEdited&quot;:false,&quot;manualOverride&quot;:{&quot;citeprocText&quot;:&quot;[15,16]&quot;,&quot;isManuallyOverridden&quot;:false,&quot;manualOverrideText&quot;:&quot;&quot;},&quot;citationTag&quot;:&quot;MENDELEY_CITATION_v3_eyJjaXRhdGlvbklEIjoiTUVOREVMRVlfQ0lUQVRJT05fN2M1N2FmY2QtODE2Yy00YjE0LWFmYjUtZmUyZjc3MDYyNjE0IiwicHJvcGVydGllcyI6eyJub3RlSW5kZXgiOjB9LCJpc0VkaXRlZCI6ZmFsc2UsIm1hbnVhbE92ZXJyaWRlIjp7ImNpdGVwcm9jVGV4dCI6IlsxNSwxNl0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&quot;,&quot;citationItems&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id&quot;:&quot;1f19696b-029a-5ea3-beb1-6f2f75ad994f&quot;,&quot;itemData&quot;:{&quot;DOI&quot;:&quot;10.1016/j.neuron.2018.02.022&quot;,&quot;ISSN&quot;:&quot;08966273&quot;,&quot;PMID&quot;:&quot;29621489&quot;,&quot;abstract&quot;:&quot;The regulation of body temperature is one of the most critical functions of the nervous system. Here we review our current understanding of thermoregulation in mammals. We outline the molecules and cells that measure body temperature in the periphery, the neural pathways that communicate this information to the brain, and the central circuits that coordinate the homeostatic response. We also discuss some of the key unresolved issues in this field, including the following: the role of temperature sensing in the brain, the molecular identity of the warm sensor, the central representation of the labeled line for cold, and the neural substrates of thermoregulatory behavior. We suggest that approaches for molecularly defined circuit analysis will provide new insight into these topics in the near future. Tan and Knight review the neural mechanisms that regulate body temperature in mammals. They describe the molecules and cells that sense temperature, the afferent pathways that transmit this information to the brain, and efferent pathways that coordinate the homeostatic response.&quot;,&quot;author&quot;:[{&quot;dropping-particle&quot;:&quot;&quot;,&quot;family&quot;:&quot;Tan&quot;,&quot;given&quot;:&quot;Chan Lek&quot;,&quot;non-dropping-particle&quot;:&quot;&quot;,&quot;parse-names&quot;:false,&quot;suffix&quot;:&quot;&quot;},{&quot;dropping-particle&quot;:&quot;&quot;,&quot;family&quot;:&quot;Knight&quot;,&quot;given&quot;:&quot;Zachary A.&quot;,&quot;non-dropping-particle&quot;:&quot;&quot;,&quot;parse-names&quot;:false,&quot;suffix&quot;:&quot;&quot;}],&quot;container-title&quot;:&quot;Neuron&quot;,&quot;id&quot;:&quot;1f19696b-029a-5ea3-beb1-6f2f75ad994f&quot;,&quot;issue&quot;:&quot;1&quot;,&quot;issued&quot;:{&quot;date-parts&quot;:[[&quot;2018&quot;,&quot;4&quot;]]},&quot;page&quot;:&quot;31-48&quot;,&quot;publisher&quot;:&quot;Elsevier Inc.&quot;,&quot;title&quot;:&quot;Regulation of Body Temperature by the Nervous System&quot;,&quot;type&quot;:&quot;article-journal&quot;,&quot;volume&quot;:&quot;98&quot;,&quot;container-title-short&quot;:&quot;Neuron&quot;},&quot;uris&quot;:[&quot;http://www.mendeley.com/documents/?uuid=6be0d979-609e-4c6c-ab54-7dda7c1d6459&quot;],&quot;isTemporary&quot;:false,&quot;legacyDesktopId&quot;:&quot;6be0d979-609e-4c6c-ab54-7dda7c1d6459&quot;}]},{&quot;citationID&quot;:&quot;MENDELEY_CITATION_599f6655-3639-446c-b216-8cef932b59eb&quot;,&quot;properties&quot;:{&quot;noteIndex&quot;:0},&quot;isEdited&quot;:false,&quot;manualOverride&quot;:{&quot;citeprocText&quot;:&quot;[3]&quot;,&quot;isManuallyOverridden&quot;:false,&quot;manualOverrideText&quot;:&quot;&quot;},&quot;citationTag&quot;:&quot;MENDELEY_CITATION_v3_eyJjaXRhdGlvbklEIjoiTUVOREVMRVlfQ0lUQVRJT05fNTk5ZjY2NTUtMzYzOS00NDZjLWIyMTYtOGNlZjkzMmI1OWVi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b1b3cd4f-edda-4f58-a782-684ed0223bbb&quot;,&quot;properties&quot;:{&quot;noteIndex&quot;:0},&quot;isEdited&quot;:false,&quot;manualOverride&quot;:{&quot;citeprocText&quot;:&quot;[17]&quot;,&quot;isManuallyOverridden&quot;:false,&quot;manualOverrideText&quot;:&quot;&quot;},&quot;citationTag&quot;:&quot;MENDELEY_CITATION_v3_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&quot;,&quot;citationItems&quot;:[{&quot;id&quot;:&quot;0b7b4c81-b983-5457-9619-0971c0aebe91&quot;,&quot;itemData&quot;:{&quot;DOI&quot;:&quot;10.1249/MSS.0b013e31802fa199&quot;,&quot;ISSN&quot;:&quot;01959131&quot;,&quot;PMID&quot;:&quot;17473783&quot;,&quot;abstract&quot;:&quot;Exertional heat illness can affect athletes during high-intensity or longduration exercise and result in withdrawal from activity or collapse during or soon after activity. These maladies include exercise associated muscle cramping, heat exhaustion, or exertional heatstroke. While certain individuals are more prone to collapse from exhaustion in the heat (i.e., not acclimatized, using certain medications, dehydrated, or recently ill), exertional heatstroke (EHS) can affect seemingly healthy athletes even when the environment is relatively cool. EHS is defined as a rectal temperature greater than 40-C accompanied by symptoms or signs of organ system failure, most frequently central nervous system dysfunction. Early recognition and rapid cooling can reduce both the morbidity and mortality associated with EHS. The clinical changes associated with EHS can be subtle and easy to miss if coaches, medical personnel, and athletes do not maintain a high level of awareness and monitor at-risk athletes closely. Fatigue and exhaustion during exercise occur more rapidly as heat stress increases and are the most common causes of withdrawal from activity in hot conditions. When athletes collapse from exhaustion in hot conditions, the term heat exhaustion is often applied. In some cases, rectal temperature is the only discernable difference between severe heat exhaustion and EHS in on-site evaluations. Heat exhaustion will generally resolve with symptomatic care and oral fluid support. Exercise associated muscle cramping can occur with exhaustive work in any temperature range, but appears to be more prevalent in hot and humid conditions. Muscle cramping usually responds to rest and replacement of fluid and salt (sodium). Prevention strategies are essential to reducing the incidence of EHS, heat exhaustion, and exercise associated muscle cramping. ©2007The American College of Sports Medicine.&quot;,&quot;author&quot;:[{&quot;dropping-particle&quot;:&quot;&quot;,&quot;family&quot;:&quot;Armstrong&quot;,&quot;given&quot;:&quot;Lawrence E.&quot;,&quot;non-dropping-particle&quot;:&quot;&quot;,&quot;parse-names&quot;:false,&quot;suffix&quot;:&quot;&quot;},{&quot;dropping-particle&quot;:&quot;&quot;,&quot;family&quot;:&quot;Casa&quot;,&quot;given&quot;:&quot;Douglas J.&quot;,&quot;non-dropping-particle&quot;:&quot;&quot;,&quot;parse-names&quot;:false,&quot;suffix&quot;:&quot;&quot;},{&quot;dropping-particle&quot;:&quot;&quot;,&quot;family&quot;:&quot;Millard-Stafford&quot;,&quot;given&quot;:&quot;Mindy&quot;,&quot;non-dropping-particle&quot;:&quot;&quot;,&quot;parse-names&quot;:false,&quot;suffix&quot;:&quot;&quot;},{&quot;dropping-particle&quot;:&quot;&quot;,&quot;family&quot;:&quot;Moran&quot;,&quot;given&quot;:&quot;Daniel S.&quot;,&quot;non-dropping-particle&quot;:&quot;&quot;,&quot;parse-names&quot;:false,&quot;suffix&quot;:&quot;&quot;},{&quot;dropping-particle&quot;:&quot;&quot;,&quot;family&quot;:&quot;Pyne&quot;,&quot;given&quot;:&quot;Scott W.&quot;,&quot;non-dropping-particle&quot;:&quot;&quot;,&quot;parse-names&quot;:false,&quot;suffix&quot;:&quot;&quot;},{&quot;dropping-particle&quot;:&quot;&quot;,&quot;family&quot;:&quot;Roberts&quot;,&quot;given&quot;:&quot;William O.&quot;,&quot;non-dropping-particle&quot;:&quot;&quot;,&quot;parse-names&quot;:false,&quot;suffix&quot;:&quot;&quot;}],&quot;container-title&quot;:&quot;Medicine and Science in Sports and Exercise&quot;,&quot;id&quot;:&quot;0b7b4c81-b983-5457-9619-0971c0aebe91&quot;,&quot;issue&quot;:&quot;3&quot;,&quot;issued&quot;:{&quot;date-parts&quot;:[[&quot;2007&quot;]]},&quot;page&quot;:&quot;556-572&quot;,&quot;title&quot;:&quot;Exertional heat illness during training and competition&quot;,&quot;type&quot;:&quot;article-journal&quot;,&quot;volume&quot;:&quot;39&quot;,&quot;container-title-short&quot;:&quot;Med. Sci. Sports Exerc.&quot;},&quot;uris&quot;:[&quot;http://www.mendeley.com/documents/?uuid=8bfe2144-e7aa-4452-b698-62a2a848aa68&quot;,&quot;http://www.mendeley.com/documents/?uuid=0e297448-02c6-4e91-bc03-7724a14f2d99&quot;],&quot;isTemporary&quot;:false,&quot;legacyDesktopId&quot;:&quot;8bfe2144-e7aa-4452-b698-62a2a848aa68&quot;}]},{&quot;citationID&quot;:&quot;MENDELEY_CITATION_57ea02f1-66a7-47be-9128-975915dda26b&quot;,&quot;properties&quot;:{&quot;noteIndex&quot;:0},&quot;isEdited&quot;:false,&quot;manualOverride&quot;:{&quot;citeprocText&quot;:&quot;[18]&quot;,&quot;isManuallyOverridden&quot;:false,&quot;manualOverrideText&quot;:&quot;&quot;},&quot;citationTag&quot;:&quot;MENDELEY_CITATION_v3_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&quot;,&quot;citationItems&quot;:[{&quot;id&quot;:&quot;d1d13cea-0108-5926-bab2-1109d78f2323&quot;,&quot;itemData&quot;:{&quot;DOI&quot;:&quot;10.4085/1062-6050-52.2.10&quot;,&quot;ISSN&quot;:&quot;1938162X&quot;,&quot;PMID&quot;:&quot;28207294&quot;,&quot;abstract&quot;:&quot;Context: No evidence-based recommendation exists regarding how far clinicians should insert a rectal thermistor to obtain the most valid estimate of core temperature. Knowing the validity of temperatures at different rectal depths has implications for exertional heat-stroke (EHS) management. Objective: To determine whether rectal temperature (TREC) taken at 4 cm, 10 cm, or 15 cm from the anal sphincter provides the most valid estimate of core temperature (as determined by esophageal temperature [Teso]) during similar stressors an athlete with EHS may experience. Design: Cross-sectional study. Setting: Laboratory. Patients or Other Participants: Seventeen individuals (14 men, 3 women: Age = 23 6 2 years, mass = 79.7 6 12.4 kg, height=177.8 6 9.8 cm, body fat=9.4% 6 4.1%, body surface area = 1.97 6 0.19 m2). Intervention(s): Rectal temperatures taken at 4 cm, 10 cm, and 15 cm from the anal sphincter were compared with Teso during a 10-minute rest period; exercise until the participant's Teso reached 39.58C; cold-water immersion (~108C) until all temperatures were 388C; and a 30-minute postimmersion recovery period. The Teso and TREC were compared every minute during rest and recovery. Because exercise and cooling times varied, we compared temperatures at 10% intervals of total exercise and cooling durations for these periods. Main Outcome Measure(s): The Teso and TREC were used to calculate bias (ie, the difference in temperatures between sites). Results: Rectal depth affected bias (F2,24 = 6.8, P = .008). Bias at 4 cm (0.858C 6 0.788C) was higher than at 15 cm (0.658C 6 0.688C, P , .05) but not higher than at 10 cm (0.758C 6 0.768C, P . .05). Bias varied over time (F2,34 = 79.5, P , .001). Bias during rest (0.428C 6 0.278C), exercise (0.238C 6 0.538C), and recovery (0.658C 6 0.358C) was less than during cooling (1.728C 6 0.658C, P , .05). Bias during exercise was less than during postimmersion recovery (0.658C 6 0.358C, P , .05). Conclusions: When EHS is suspected, clinicians should insert the flexible rectal thermistor to 15 cm (6 in) because it is the most valid depth. The low level of bias during exercise suggests TREC is valid for diagnosing hyperthermia. Rectal temperature is a better indicator of pelvic organ temperature during cold-water immersion than is Teso.&quot;,&quot;author&quot;:[{&quot;dropping-particle&quot;:&quot;&quot;,&quot;family&quot;:&quot;Miller&quot;,&quot;given&quot;:&quot;Kevin C.&quot;,&quot;non-dropping-particle&quot;:&quot;&quot;,&quot;parse-names&quot;:false,&quot;suffix&quot;:&quot;&quot;},{&quot;dropping-particle&quot;:&quot;&quot;,&quot;family&quot;:&quot;Hughes&quot;,&quot;given&quot;:&quot;Lexie E.&quot;,&quot;non-dropping-particle&quot;:&quot;&quot;,&quot;parse-names&quot;:false,&quot;suffix&quot;:&quot;&quot;},{&quot;dropping-particle&quot;:&quot;&quot;,&quot;family&quot;:&quot;Long&quot;,&quot;given&quot;:&quot;Blaine C.&quot;,&quot;non-dropping-particle&quot;:&quot;&quot;,&quot;parse-names&quot;:false,&quot;suffix&quot;:&quot;&quot;},{&quot;dropping-particle&quot;:&quot;&quot;,&quot;family&quot;:&quot;Adams&quot;,&quot;given&quot;:&quot;William M.&quot;,&quot;non-dropping-particle&quot;:&quot;&quot;,&quot;parse-names&quot;:false,&quot;suffix&quot;:&quot;&quot;},{&quot;dropping-particle&quot;:&quot;&quot;,&quot;family&quot;:&quot;Casa&quot;,&quot;given&quot;:&quot;Douglas J.&quot;,&quot;non-dropping-particle&quot;:&quot;&quot;,&quot;parse-names&quot;:false,&quot;suffix&quot;:&quot;&quot;}],&quot;container-title&quot;:&quot;Journal of Athletic Training&quot;,&quot;id&quot;:&quot;d1d13cea-0108-5926-bab2-1109d78f2323&quot;,&quot;issue&quot;:&quot;4&quot;,&quot;issued&quot;:{&quot;date-parts&quot;:[[&quot;2017&quot;]]},&quot;page&quot;:&quot;332-338&quot;,&quot;title&quot;:&quot;Validity of core temperature measurements at 3 rectal depths during rest, exercise, cold-water immersion, and recovery&quot;,&quot;type&quot;:&quot;article-journal&quot;,&quot;volume&quot;:&quot;52&quot;,&quot;container-title-short&quot;:&quot;J. Athl. Train.&quot;},&quot;uris&quot;:[&quot;http://www.mendeley.com/documents/?uuid=cc24cdc3-d9b5-4500-b971-7e8fe22c1a70&quot;,&quot;http://www.mendeley.com/documents/?uuid=20967c9a-45e4-451f-b604-3ff4c8737965&quot;],&quot;isTemporary&quot;:false,&quot;legacyDesktopId&quot;:&quot;cc24cdc3-d9b5-4500-b971-7e8fe22c1a70&quot;}]},{&quot;citationID&quot;:&quot;MENDELEY_CITATION_e97c8d8f-2d94-4f58-9ff1-30194ac92c93&quot;,&quot;properties&quot;:{&quot;noteIndex&quot;:0},&quot;isEdited&quot;:false,&quot;manualOverride&quot;:{&quot;citeprocText&quot;:&quot;[19]&quot;,&quot;isManuallyOverridden&quot;:false,&quot;manualOverrideText&quot;:&quot;&quot;},&quot;citationTag&quot;:&quot;MENDELEY_CITATION_v3_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&quot;,&quot;citationItems&quot;:[{&quot;id&quot;:&quot;a504b345-08ac-5a07-a9be-58c76ce56c54&quot;,&quot;itemData&quot;:{&quot;DOI&quot;:&quot;10.3390/ijerph182010606&quot;,&quot;ISSN&quot;:&quot;16604601&quot;,&quot;PMID&quot;:&quot;34682351&quot;,&quot;abstract&quot;:&quot;Core temperature reflects the temperature of the internal organs. Proper temperature measurement is essential to diagnose and treat temperature impairment in patients. However, an accurate approach has yet to be established. Depending on the method used, the obtained values may vary and differ from the actual core temperature. There is an ongoing debate regarding the most appropriate anatomical site for core temperature measurement. Although the measurement of body core temperature through a pulmonary artery catheter is commonly cited as the gold standard, the esophageal temperature measurement appears to be a reasonable and functional alternative in the clinical setting. This article provides an integrative review of invasive and noninvasive body temperature measurements and their relations to core temperature.&quot;,&quot;author&quot;:[{&quot;dropping-particle&quot;:&quot;&quot;,&quot;family&quot;:&quot;Hymczak&quot;,&quot;given&quot;:&quot;Hubert&quot;,&quot;non-dropping-particle&quot;:&quot;&quot;,&quot;parse-names&quot;:false,&quot;suffix&quot;:&quot;&quot;},{&quot;dropping-particle&quot;:&quot;&quot;,&quot;family&quot;:&quot;Gołąb&quot;,&quot;given&quot;:&quot;Aleksandra&quot;,&quot;non-dropping-particle&quot;:&quot;&quot;,&quot;parse-names&quot;:false,&quot;suffix&quot;:&quot;&quot;},{&quot;dropping-particle&quot;:&quot;&quot;,&quot;family&quot;:&quot;Mendrala&quot;,&quot;given&quot;:&quot;Konrad&quot;,&quot;non-dropping-particle&quot;:&quot;&quot;,&quot;parse-names&quot;:false,&quot;suffix&quot;:&quot;&quot;},{&quot;dropping-particle&quot;:&quot;&quot;,&quot;family&quot;:&quot;Plicner&quot;,&quot;given&quot;:&quot;Dariusz&quot;,&quot;non-dropping-particle&quot;:&quot;&quot;,&quot;parse-names&quot;:false,&quot;suffix&quot;:&quot;&quot;},{&quot;dropping-particle&quot;:&quot;&quot;,&quot;family&quot;:&quot;Darocha&quot;,&quot;given&quot;:&quot;Tomasz&quot;,&quot;non-dropping-particle&quot;:&quot;&quot;,&quot;parse-names&quot;:false,&quot;suffix&quot;:&quot;&quot;},{&quot;dropping-particle&quot;:&quot;&quot;,&quot;family&quot;:&quot;Podsiadło&quot;,&quot;given&quot;:&quot;Paweł&quot;,&quot;non-dropping-particle&quot;:&quot;&quot;,&quot;parse-names&quot;:false,&quot;suffix&quot;:&quot;&quot;},{&quot;dropping-particle&quot;:&quot;&quot;,&quot;family&quot;:&quot;Hudziak&quot;,&quot;given&quot;:&quot;Damian&quot;,&quot;non-dropping-particle&quot;:&quot;&quot;,&quot;parse-names&quot;:false,&quot;suffix&quot;:&quot;&quot;},{&quot;dropping-particle&quot;:&quot;&quot;,&quot;family&quot;:&quot;Gocoł&quot;,&quot;given&quot;:&quot;Radosław&quot;,&quot;non-dropping-particle&quot;:&quot;&quot;,&quot;parse-names&quot;:false,&quot;suffix&quot;:&quot;&quot;},{&quot;dropping-particle&quot;:&quot;&quot;,&quot;family&quot;:&quot;Kosiński&quot;,&quot;given&quot;:&quot;Sylweriusz&quot;,&quot;non-dropping-particle&quot;:&quot;&quot;,&quot;parse-names&quot;:false,&quot;suffix&quot;:&quot;&quot;}],&quot;container-title&quot;:&quot;International Journal of Environmental Research and Public Health&quot;,&quot;id&quot;:&quot;a504b345-08ac-5a07-a9be-58c76ce56c54&quot;,&quot;issue&quot;:&quot;20&quot;,&quot;issued&quot;:{&quot;date-parts&quot;:[[&quot;2021&quot;]]},&quot;title&quot;:&quot;Core temperature measurement—principles of correct measurement, problems, and complications&quot;,&quot;type&quot;:&quot;article-journal&quot;,&quot;volume&quot;:&quot;18&quot;,&quot;container-title-short&quot;:&quot;Int. J. Environ. Res. Public Health&quot;},&quot;uris&quot;:[&quot;http://www.mendeley.com/documents/?uuid=4d27aa93-6865-4cc3-b855-6dab12a7534d&quot;],&quot;isTemporary&quot;:false,&quot;legacyDesktopId&quot;:&quot;4d27aa93-6865-4cc3-b855-6dab12a7534d&quot;}]},{&quot;citationID&quot;:&quot;MENDELEY_CITATION_e8383eef-ae99-4ef6-9831-8f51ed0a736a&quot;,&quot;properties&quot;:{&quot;noteIndex&quot;:0},&quot;isEdited&quot;:false,&quot;manualOverride&quot;:{&quot;citeprocText&quot;:&quot;[20]&quot;,&quot;isManuallyOverridden&quot;:false,&quot;manualOverrideText&quot;:&quot;&quot;},&quot;citationTag&quot;:&quot;MENDELEY_CITATION_v3_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&quot;,&quot;citationItems&quot;:[{&quot;id&quot;:&quot;47355e68-16ec-565c-9e82-ba892cff32d0&quot;,&quot;itemData&quot;:{&quot;DOI&quot;:&quot;10.1016/j.jpeds.2004.02.037&quot;,&quot;ISSN&quot;:&quot;00223476&quot;,&quot;PMID&quot;:&quot;15192635&quot;,&quot;abstract&quot;:&quot;By using temporal artery and rectal thermometers, we followed temperatures in 45 febrile (&gt;38.5°C) infants given an antipyretic drug. Sixty and 90 minutes after drug administration, temporal artery temperatures had decreased significantly more than rectal temperatures. When body arterial temperature changes rapidly, changes in rectal temperature may lag.&quot;,&quot;author&quot;:[{&quot;dropping-particle&quot;:&quot;&quot;,&quot;family&quot;:&quot;Greenes&quot;,&quot;given&quot;:&quot;David S.&quot;,&quot;non-dropping-particle&quot;:&quot;&quot;,&quot;parse-names&quot;:false,&quot;suffix&quot;:&quot;&quot;},{&quot;dropping-particle&quot;:&quot;&quot;,&quot;family&quot;:&quot;Fleisher&quot;,&quot;given&quot;:&quot;Gary R.&quot;,&quot;non-dropping-particle&quot;:&quot;&quot;,&quot;parse-names&quot;:false,&quot;suffix&quot;:&quot;&quot;}],&quot;container-title&quot;:&quot;Journal of Pediatrics&quot;,&quot;id&quot;:&quot;47355e68-16ec-565c-9e82-ba892cff32d0&quot;,&quot;issue&quot;:&quot;6&quot;,&quot;issued&quot;:{&quot;date-parts&quot;:[[&quot;2004&quot;]]},&quot;page&quot;:&quot;824-826&quot;,&quot;title&quot;:&quot;When body temperature changes, does rectal temperature lag?&quot;,&quot;type&quot;:&quot;article-journal&quot;,&quot;volume&quot;:&quot;144&quot;,&quot;container-title-short&quot;:&quot;&quot;},&quot;uris&quot;:[&quot;http://www.mendeley.com/documents/?uuid=78d893ea-a574-405e-be67-c0912c76cf3d&quot;],&quot;isTemporary&quot;:false,&quot;legacyDesktopId&quot;:&quot;78d893ea-a574-405e-be67-c0912c76cf3d&quot;}]},{&quot;citationID&quot;:&quot;MENDELEY_CITATION_457cfe61-5f84-41e5-9407-3ea8a22448a0&quot;,&quot;properties&quot;:{&quot;noteIndex&quot;:0},&quot;isEdited&quot;:false,&quot;manualOverride&quot;:{&quot;citeprocText&quot;:&quot;[21]&quot;,&quot;isManuallyOverridden&quot;:false,&quot;manualOverrideText&quot;:&quot;&quot;},&quot;citationTag&quot;:&quot;MENDELEY_CITATION_v3_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&quot;,&quot;citationItems&quot;:[{&quot;id&quot;:&quot;fd12cdd9-14b2-5b78-af10-8f9b2b80c206&quot;,&quot;itemData&quot;:{&quot;DOI&quot;:&quot;10.1152/jappl.1990.69.1.376&quot;,&quot;ISSN&quot;:&quot;01617567&quot;,&quot;PMID&quot;:&quot;2394660&quot;,&quot;abstract&quot;:&quot;The present study derives simple formulas for the prediction of optimal insertion length of an esophageal temperature-sensitive probe from the measurement of either standing or sitting height. The formulas assume that the optimal site for an esophageal temperature probe is in the region of the esophagus bounded by the left ventricle and aorta, corresponding to the level of the eighth and ninth thoracic vertebrae (T8 and T9, respectively). An esophageal probe was constructed of polyethylene tubing containing 1-cm segments of alternating radiopaque and nonradiopaque tubing in the distal 20 cm of the probe. The probe was inserted through a nostril into the esophagus of 20 subjects (12 males and 8 females) of various heights (range 163-194.6 cm) and weights (range 52.2-100.8 kg), and lateral chest radiograms were obtained for determination of the insertion length of the probe (L) required to situate the probe in the retrocardiac esophagus. Analysis of the radiograms demonstrated that, at the level of the intervertebral disc between T8 and T9, the probe was below the tracheal bifurcation and close to the left ventricle. The distance from the nasal flare to this level showed a good correlation with the subjects' stretched stature (r2 = 0.71) and sitting height (r2 = 0.86). The following equations were derived to predict the placement of the esophageal probe at the T8/T9 level based on standing height: L (cm) = 0.228 x (standing height) -0.194, and sitting height: L (cm) = 0.479 x (sitting height) -4.44.&quot;,&quot;author&quot;:[{&quot;dropping-particle&quot;:&quot;&quot;,&quot;family&quot;:&quot;Mekjavic&quot;,&quot;given&quot;:&quot;I. B.&quot;,&quot;non-dropping-particle&quot;:&quot;&quot;,&quot;parse-names&quot;:false,&quot;suffix&quot;:&quot;&quot;},{&quot;dropping-particle&quot;:&quot;&quot;,&quot;family&quot;:&quot;Rempel&quot;,&quot;given&quot;:&quot;M. E.&quot;,&quot;non-dropping-particle&quot;:&quot;&quot;,&quot;parse-names&quot;:false,&quot;suffix&quot;:&quot;&quot;}],&quot;container-title&quot;:&quot;Journal of Applied Physiology&quot;,&quot;id&quot;:&quot;fd12cdd9-14b2-5b78-af10-8f9b2b80c206&quot;,&quot;issue&quot;:&quot;1&quot;,&quot;issued&quot;:{&quot;date-parts&quot;:[[&quot;1990&quot;]]},&quot;page&quot;:&quot;376-379&quot;,&quot;title&quot;:&quot;Determination of esophageal probe insertion length based on standing and sitting height&quot;,&quot;type&quot;:&quot;article-journal&quot;,&quot;volume&quot;:&quot;69&quot;,&quot;container-title-short&quot;:&quot;J. Appl. Physiol.&quot;},&quot;uris&quot;:[&quot;http://www.mendeley.com/documents/?uuid=5e4b848f-5af0-4ebc-ae52-750f4bba2f4d&quot;],&quot;isTemporary&quot;:false,&quot;legacyDesktopId&quot;:&quot;5e4b848f-5af0-4ebc-ae52-750f4bba2f4d&quot;}]},{&quot;citationID&quot;:&quot;MENDELEY_CITATION_fa79f71d-c79e-44ee-9084-6ca6db894800&quot;,&quot;properties&quot;:{&quot;noteIndex&quot;:0},&quot;isEdited&quot;:false,&quot;manualOverride&quot;:{&quot;citeprocText&quot;:&quot;[22]&quot;,&quot;isManuallyOverridden&quot;:false,&quot;manualOverrideText&quot;:&quot;&quot;},&quot;citationTag&quot;:&quot;MENDELEY_CITATION_v3_eyJjaXRhdGlvbklEIjoiTUVOREVMRVlfQ0lUQVRJT05fZmE3OWY3MWQtYzc5ZS00NGVlLTkwODQtNmNhNmRiODk0ODAwIiwicHJvcGVydGllcyI6eyJub3RlSW5kZXgiOjB9LCJpc0VkaXRlZCI6ZmFsc2UsIm1hbnVhbE92ZXJyaWRlIjp7ImNpdGVwcm9jVGV4dCI6IlsyMl0iLCJpc01hbnVhbGx5T3ZlcnJpZGRlbiI6ZmFsc2UsIm1hbnVhbE92ZXJyaWRlVGV4dCI6IiJ9LCJjaXRhdGlvbkl0ZW1zIjpb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XX0=&quot;,&quot;citationItems&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citationID&quot;:&quot;MENDELEY_CITATION_0430f6ae-cba8-42f5-beae-db22b8f418ff&quot;,&quot;properties&quot;:{&quot;noteIndex&quot;:0},&quot;isEdited&quot;:false,&quot;manualOverride&quot;:{&quot;citeprocText&quot;:&quot;[23]&quot;,&quot;isManuallyOverridden&quot;:false,&quot;manualOverrideText&quot;:&quot;&quot;},&quot;citationTag&quot;:&quot;MENDELEY_CITATION_v3_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&quot;,&quot;citationItems&quot;:[{&quot;id&quot;:&quot;074f5cb3-21b1-5235-9f2b-ca869224d8ff&quot;,&quot;itemData&quot;:{&quot;DOI&quot;:&quot;10.1097/00005768-199803000-00020&quot;,&quot;ISBN&quot;:&quot;8006383030&quot;,&quot;ISSN&quot;:&quot;0195-9131&quot;,&quot;PMID&quot;:&quot;9526896&quot;,&quot;abstract&quot;:&quot;Purpose: This study compared the agreement between core temperature measurements obtained using an ingestible temperature pill telemetry system (T(pi11)) with those obtained from rectal (T(re) and esophageal (T(es)) thermocouples under conditions of increasing and decreasing body temperature. Methods: Four men and five women (age 25 ± 2 yr, BSA 1.81 ± 0.05 m2, V̇O2 peak 3.1 ± 0.4 L · min-1) participated in four 3-h trials: cold (18°C) water rest (CW), cold water exercise (CWE), warm (36°C) water rest (WWR), and warm water exercise (WWE). Subjects were immersed to the neck for each trial. During resting trials, subjects sat quietly. During exercise trials, subjects completed three bouts of 15 min of rest, followed by 45 min of exercise on a cycle ergometer at 50% of peak oxygen uptake. The temperature pill was taken 10-12 h before testing, after which the subjects fasted. Results: The trials created conditions of constantly decreasing (CWR) or increasing (WWR) core temperature, as well as periods of oscillating core temperature (CWE and WWE). Root mean squared deviation (RMSD) was calculated for each pair of measurements (Tv(pi11) vs T(re), T(pi11) vs T(es), T(re) vs T(es) for each trial. An RMSD of '0' indicates perfect agreement; as RMSD increases, agreement worsens. On CWR, the RMSD for T(pi11)-T(es) (0.23 ± 0.04) was lower (P &lt; 0.05) than for T(pi11)-T(re) (0.43 ± 0.10) or T(re)- T(es) (0.46 ± 0.09). There were no significant differences in RMSD between measurement pairs on any other trial (average RMSD = 0.26°C). Telemetry pill temperature and response time tended to be intermediate between T(re) and T(es). Conclusion: These results suggest the telemetry pill system provides a valid measurement of core temperature during conditions of detreating as well as increasing body temperature and during steady state.&quot;,&quot;author&quot;:[{&quot;dropping-particle&quot;:&quot;&quot;,&quot;family&quot;:&quot;O'BRIEN&quot;,&quot;given&quot;:&quot;CATHERINE&quot;,&quot;non-dropping-particle&quot;:&quot;&quot;,&quot;parse-names&quot;:false,&quot;suffix&quot;:&quot;&quot;},{&quot;dropping-particle&quot;:&quot;&quot;,&quot;family&quot;:&quot;HOYT&quot;,&quot;given&quot;:&quot;REED W.&quot;,&quot;non-dropping-particle&quot;:&quot;&quot;,&quot;parse-names&quot;:false,&quot;suffix&quot;:&quot;&quot;},{&quot;dropping-particle&quot;:&quot;&quot;,&quot;family&quot;:&quot;BULLER&quot;,&quot;given&quot;:&quot;MARK J.&quot;,&quot;non-dropping-particle&quot;:&quot;&quot;,&quot;parse-names&quot;:false,&quot;suffix&quot;:&quot;&quot;},{&quot;dropping-particle&quot;:&quot;&quot;,&quot;family&quot;:&quot;CASTELLANI&quot;,&quot;given&quot;:&quot;JOHN W.&quot;,&quot;non-dropping-particle&quot;:&quot;&quot;,&quot;parse-names&quot;:false,&quot;suffix&quot;:&quot;&quot;},{&quot;dropping-particle&quot;:&quot;&quot;,&quot;family&quot;:&quot;YOUNG&quot;,&quot;given&quot;:&quot;ANDREW J.&quot;,&quot;non-dropping-particle&quot;:&quot;&quot;,&quot;parse-names&quot;:false,&quot;suffix&quot;:&quot;&quot;}],&quot;container-title&quot;:&quot;Medicine &amp;amp Science in Sports &amp;amp Exercise&quot;,&quot;id&quot;:&quot;074f5cb3-21b1-5235-9f2b-ca869224d8ff&quot;,&quot;issue&quot;:&quot;3&quot;,&quot;issued&quot;:{&quot;date-parts&quot;:[[&quot;1998&quot;,&quot;3&quot;]]},&quot;page&quot;:&quot;468-472&quot;,&quot;title&quot;:&quot;Telemetry pill measurement of core temperature in humans during active heating and cooling&quot;,&quot;type&quot;:&quot;article-journal&quot;,&quot;volume&quot;:&quot;30&quot;,&quot;container-title-short&quot;:&quot;&quot;},&quot;uris&quot;:[&quot;http://www.mendeley.com/documents/?uuid=522bf455-2477-4549-b08c-8c50de5242fd&quot;],&quot;isTemporary&quot;:false,&quot;legacyDesktopId&quot;:&quot;522bf455-2477-4549-b08c-8c50de5242fd&quot;}]},{&quot;citationID&quot;:&quot;MENDELEY_CITATION_d1896636-19b1-4679-a4c5-ed00f617e449&quot;,&quot;properties&quot;:{&quot;noteIndex&quot;:0},&quot;isEdited&quot;:false,&quot;manualOverride&quot;:{&quot;citeprocText&quot;:&quot;[24]&quot;,&quot;isManuallyOverridden&quot;:false,&quot;manualOverrideText&quot;:&quot;&quot;},&quot;citationTag&quot;:&quot;MENDELEY_CITATION_v3_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&quot;,&quot;citationItems&quot;:[{&quot;id&quot;:&quot;bd09e7c7-1908-5a49-ac63-a6e40bb228de&quot;,&quot;itemData&quot;:{&quot;DOI&quot;:&quot;10.1088/0967-3334/33/6/915&quot;,&quot;ISSN&quot;:&quot;13616579&quot;,&quot;abstract&quot;:&quot;Core temperature measurement with an ingestible telemetry pill has been scarcely investigated during extreme rates of temperature change, induced by short high-intensity exercise in the heat. Therefore, nine participants performed a protocol of rest, (sub)maximal cycling and recovery at 30 °C. The pill temperature (Tpill) was compared with the rectal temperature (Tre) and esophageal temperature (Tes). T pillcorresponded well to Treduring the entire trial, but deviated considerably from Tesduring the exercise and recovery periods. During maximal exercise, the average ΔTpillT reand ΔTpillTeswere 0.13 ± 0.26 and0.57 ± 0.53 °C, respectively. The response time from the start of exercise, the rate of change during exercise and the peak temperature were similar for Tpilland Tre.Tesresponded 5 min earlier, increased more than twice as fast and its peak value was 0.42 ± 0.46 °C higher than Tpill. In conclusion, also during considerable temperature changes at a very high rate, Tpillis still a representative of Tre. The extent of the deviation in the pattern and peak values between Tpilland Tes(up to &gt;1 °C) strengthens the assumption that Tpillis unsuited to evaluate central blood temperature when body temperatures change rapidly. © 2012 Institute of Physics and Engineering in Medicine.&quot;,&quot;author&quot;:[{&quot;dropping-particle&quot;:&quot;&quot;,&quot;family&quot;:&quot;Teunissen&quot;,&quot;given&quot;:&quot;L. P.J.&quot;,&quot;non-dropping-particle&quot;:&quot;&quot;,&quot;parse-names&quot;:false,&quot;suffix&quot;:&quot;&quot;},{&quot;dropping-particle&quot;:&quot;&quot;,&quot;family&quot;:&quot;Haan&quot;,&quot;given&quot;:&quot;A.&quot;,&quot;non-dropping-particle&quot;:&quot;De&quot;,&quot;parse-names&quot;:false,&quot;suffix&quot;:&quot;&quot;},{&quot;dropping-particle&quot;:&quot;&quot;,&quot;family&quot;:&quot;Koning&quot;,&quot;given&quot;:&quot;J. J.&quot;,&quot;non-dropping-particle&quot;:&quot;De&quot;,&quot;parse-names&quot;:false,&quot;suffix&quot;:&quot;&quot;},{&quot;dropping-particle&quot;:&quot;&quot;,&quot;family&quot;:&quot;Daanen&quot;,&quot;given&quot;:&quot;H. A.M.&quot;,&quot;non-dropping-particle&quot;:&quot;&quot;,&quot;parse-names&quot;:false,&quot;suffix&quot;:&quot;&quot;}],&quot;container-title&quot;:&quot;Physiological Measurement&quot;,&quot;id&quot;:&quot;bd09e7c7-1908-5a49-ac63-a6e40bb228de&quot;,&quot;issue&quot;:&quot;6&quot;,&quot;issued&quot;:{&quot;date-parts&quot;:[[&quot;2012&quot;]]},&quot;page&quot;:&quot;915-924&quot;,&quot;title&quot;:&quot;Telemetry pill versus rectal and esophageal temperature during extreme rates of exercise-induced core temperature change&quot;,&quot;type&quot;:&quot;article-journal&quot;,&quot;volume&quot;:&quot;33&quot;,&quot;container-title-short&quot;:&quot;Physiol. Meas.&quot;},&quot;uris&quot;:[&quot;http://www.mendeley.com/documents/?uuid=68c986ce-0bc0-49c1-a5c6-e7c4819ae733&quot;],&quot;isTemporary&quot;:false,&quot;legacyDesktopId&quot;:&quot;68c986ce-0bc0-49c1-a5c6-e7c4819ae733&quot;}]},{&quot;citationID&quot;:&quot;MENDELEY_CITATION_617bb2d5-f858-4b06-b5d0-d9e4da46a083&quot;,&quot;properties&quot;:{&quot;noteIndex&quot;:0},&quot;isEdited&quot;:false,&quot;manualOverride&quot;:{&quot;citeprocText&quot;:&quot;[23]&quot;,&quot;isManuallyOverridden&quot;:false,&quot;manualOverrideText&quot;:&quot;&quot;},&quot;citationTag&quot;:&quot;MENDELEY_CITATION_v3_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&quot;,&quot;citationItems&quot;:[{&quot;id&quot;:&quot;074f5cb3-21b1-5235-9f2b-ca869224d8ff&quot;,&quot;itemData&quot;:{&quot;DOI&quot;:&quot;10.1097/00005768-199803000-00020&quot;,&quot;ISBN&quot;:&quot;8006383030&quot;,&quot;ISSN&quot;:&quot;0195-9131&quot;,&quot;PMID&quot;:&quot;9526896&quot;,&quot;abstract&quot;:&quot;Purpose: This study compared the agreement between core temperature measurements obtained using an ingestible temperature pill telemetry system (T(pi11)) with those obtained from rectal (T(re) and esophageal (T(es)) thermocouples under conditions of increasing and decreasing body temperature. Methods: Four men and five women (age 25 ± 2 yr, BSA 1.81 ± 0.05 m2, V̇O2 peak 3.1 ± 0.4 L · min-1) participated in four 3-h trials: cold (18°C) water rest (CW), cold water exercise (CWE), warm (36°C) water rest (WWR), and warm water exercise (WWE). Subjects were immersed to the neck for each trial. During resting trials, subjects sat quietly. During exercise trials, subjects completed three bouts of 15 min of rest, followed by 45 min of exercise on a cycle ergometer at 50% of peak oxygen uptake. The temperature pill was taken 10-12 h before testing, after which the subjects fasted. Results: The trials created conditions of constantly decreasing (CWR) or increasing (WWR) core temperature, as well as periods of oscillating core temperature (CWE and WWE). Root mean squared deviation (RMSD) was calculated for each pair of measurements (Tv(pi11) vs T(re), T(pi11) vs T(es), T(re) vs T(es) for each trial. An RMSD of '0' indicates perfect agreement; as RMSD increases, agreement worsens. On CWR, the RMSD for T(pi11)-T(es) (0.23 ± 0.04) was lower (P &lt; 0.05) than for T(pi11)-T(re) (0.43 ± 0.10) or T(re)- T(es) (0.46 ± 0.09). There were no significant differences in RMSD between measurement pairs on any other trial (average RMSD = 0.26°C). Telemetry pill temperature and response time tended to be intermediate between T(re) and T(es). Conclusion: These results suggest the telemetry pill system provides a valid measurement of core temperature during conditions of detreating as well as increasing body temperature and during steady state.&quot;,&quot;author&quot;:[{&quot;dropping-particle&quot;:&quot;&quot;,&quot;family&quot;:&quot;O'BRIEN&quot;,&quot;given&quot;:&quot;CATHERINE&quot;,&quot;non-dropping-particle&quot;:&quot;&quot;,&quot;parse-names&quot;:false,&quot;suffix&quot;:&quot;&quot;},{&quot;dropping-particle&quot;:&quot;&quot;,&quot;family&quot;:&quot;HOYT&quot;,&quot;given&quot;:&quot;REED W.&quot;,&quot;non-dropping-particle&quot;:&quot;&quot;,&quot;parse-names&quot;:false,&quot;suffix&quot;:&quot;&quot;},{&quot;dropping-particle&quot;:&quot;&quot;,&quot;family&quot;:&quot;BULLER&quot;,&quot;given&quot;:&quot;MARK J.&quot;,&quot;non-dropping-particle&quot;:&quot;&quot;,&quot;parse-names&quot;:false,&quot;suffix&quot;:&quot;&quot;},{&quot;dropping-particle&quot;:&quot;&quot;,&quot;family&quot;:&quot;CASTELLANI&quot;,&quot;given&quot;:&quot;JOHN W.&quot;,&quot;non-dropping-particle&quot;:&quot;&quot;,&quot;parse-names&quot;:false,&quot;suffix&quot;:&quot;&quot;},{&quot;dropping-particle&quot;:&quot;&quot;,&quot;family&quot;:&quot;YOUNG&quot;,&quot;given&quot;:&quot;ANDREW J.&quot;,&quot;non-dropping-particle&quot;:&quot;&quot;,&quot;parse-names&quot;:false,&quot;suffix&quot;:&quot;&quot;}],&quot;container-title&quot;:&quot;Medicine &amp;amp Science in Sports &amp;amp Exercise&quot;,&quot;id&quot;:&quot;074f5cb3-21b1-5235-9f2b-ca869224d8ff&quot;,&quot;issue&quot;:&quot;3&quot;,&quot;issued&quot;:{&quot;date-parts&quot;:[[&quot;1998&quot;,&quot;3&quot;]]},&quot;page&quot;:&quot;468-472&quot;,&quot;title&quot;:&quot;Telemetry pill measurement of core temperature in humans during active heating and cooling&quot;,&quot;type&quot;:&quot;article-journal&quot;,&quot;volume&quot;:&quot;30&quot;,&quot;container-title-short&quot;:&quot;&quot;},&quot;uris&quot;:[&quot;http://www.mendeley.com/documents/?uuid=522bf455-2477-4549-b08c-8c50de5242fd&quot;],&quot;isTemporary&quot;:false,&quot;legacyDesktopId&quot;:&quot;522bf455-2477-4549-b08c-8c50de5242fd&quot;}]},{&quot;citationID&quot;:&quot;MENDELEY_CITATION_777828a1-72cb-4a55-ae6b-00f1bcdc3b01&quot;,&quot;properties&quot;:{&quot;noteIndex&quot;:0},&quot;isEdited&quot;:false,&quot;manualOverride&quot;:{&quot;citeprocText&quot;:&quot;[25]&quot;,&quot;isManuallyOverridden&quot;:false,&quot;manualOverrideText&quot;:&quot;&quot;},&quot;citationTag&quot;:&quot;MENDELEY_CITATION_v3_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&quot;,&quot;citationItems&quot;:[{&quot;id&quot;:&quot;ac14c70b-79c2-50c4-85c1-33b519a46921&quot;,&quot;itemData&quot;:{&quot;DOI&quot;:&quot;10.1136/adc.80.3.262&quot;,&quot;ISSN&quot;:&quot;14682044&quot;,&quot;abstract&quot;:&quot;Background - Ear thermometers are becoming popular as a method for measuring deep body (core) temperature. Aim - To determine the variability of a single user's tympanic membrane (ear) temperature measurements. Subjects - Forty two, afebrile, healthy children, and 20 febrile children with acute burns. Results - In afebrile children measurements made in both ears (and within just a few minutes of each other) differed by as much as 0.6°C. Operator measurement error, s(w) of three consecutive measurements, in the same ear, was 0.13°C. In the group of febrile, burned children, core temperature was measured hourly at a number of sites (ear, rectum, axilla, bladder). A peak in core temperature occurred approximately 10-12 hours after the burn. Measurement error was calculated in 14 febrile, burned children with a peak temperature in excess of 38°C. For the left ear, measurement error was 0.19°C and for the right ear, 0.11°C. In the febrile children agreement between the ears was poor. The limits of agreement were 0.4°C to - 0.8°C. It was not possible to predict the occasions when the temperature differences between the ears would be large or small. Conclusions - The measurement error of one recording from the next is probably acceptable at about 0.1 to 0.2°C. To limit the variations in temperature of one ear to the other, measurements should be restricted to one of the ears whenever possible and the same ear used throughout the temperature monitoring period. Nurses and parents should take more than one temperature reading from the same ear whenever possible.&quot;,&quot;author&quot;:[{&quot;dropping-particle&quot;:&quot;&quot;,&quot;family&quot;:&quot;Childs&quot;,&quot;given&quot;:&quot;Charmaine&quot;,&quot;non-dropping-particle&quot;:&quot;&quot;,&quot;parse-names&quot;:false,&quot;suffix&quot;:&quot;&quot;},{&quot;dropping-particle&quot;:&quot;&quot;,&quot;family&quot;:&quot;Harrison&quot;,&quot;given&quot;:&quot;Ruth&quot;,&quot;non-dropping-particle&quot;:&quot;&quot;,&quot;parse-names&quot;:false,&quot;suffix&quot;:&quot;&quot;},{&quot;dropping-particle&quot;:&quot;&quot;,&quot;family&quot;:&quot;Hodkinson&quot;,&quot;given&quot;:&quot;Claire&quot;,&quot;non-dropping-particle&quot;:&quot;&quot;,&quot;parse-names&quot;:false,&quot;suffix&quot;:&quot;&quot;}],&quot;container-title&quot;:&quot;Archives of Disease in Childhood&quot;,&quot;id&quot;:&quot;ac14c70b-79c2-50c4-85c1-33b519a46921&quot;,&quot;issue&quot;:&quot;3&quot;,&quot;issued&quot;:{&quot;date-parts&quot;:[[&quot;1999&quot;]]},&quot;page&quot;:&quot;262-266&quot;,&quot;title&quot;:&quot;Tympanic membrane temperature as a measure of core temperature&quot;,&quot;type&quot;:&quot;article-journal&quot;,&quot;volume&quot;:&quot;80&quot;,&quot;container-title-short&quot;:&quot;Arch. Dis. Child.&quot;},&quot;uris&quot;:[&quot;http://www.mendeley.com/documents/?uuid=eb58f023-c41e-409d-bac3-8002e63bc281&quot;],&quot;isTemporary&quot;:false,&quot;legacyDesktopId&quot;:&quot;eb58f023-c41e-409d-bac3-8002e63bc281&quot;}]},{&quot;citationID&quot;:&quot;MENDELEY_CITATION_326e6dd2-be1b-4be3-9ba8-0d13f6a3b728&quot;,&quot;properties&quot;:{&quot;noteIndex&quot;:0},&quot;isEdited&quot;:false,&quot;manualOverride&quot;:{&quot;citeprocText&quot;:&quot;[26]&quot;,&quot;isManuallyOverridden&quot;:false,&quot;manualOverrideText&quot;:&quot;&quot;},&quot;citationTag&quot;:&quot;MENDELEY_CITATION_v3_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&quot;,&quot;citationItems&quot;:[{&quot;id&quot;:&quot;2b885895-767a-580f-92da-53ca862f56d4&quot;,&quot;itemData&quot;:{&quot;DOI&quot;:&quot;10.4085/1062-6050-45.2.157&quot;,&quot;ISSN&quot;:&quot;10626050&quot;,&quot;PMID&quot;:&quot;20210619&quot;,&quot;abstract&quot;:&quot;Context: The measurement of body temperature is crucial for the initial diagnosis of exertional heat injury and for monitoring purposes during a subsequent treatment strategy. However, little information is available about how different measurements of body temperature respond during and after exertional heat stress. Objective: To present the temporal responses of aural canal (Tac), esophageal (Tes), and rectal (Tre) temperatures during 2 different scenarios (S1, S2) involving exertional heat stress and a subsequent recovery period. Design: Randomized controlled trial. Setting: University research laboratory. Patients or Other Participants: Twenty-four healthy volunteers, with 12 (5 men, 7 women) participating in S1 and 12 (7 men, 5 women) participating in S2. Intervention(s): The participants exercised in the heat (42°C, 30% relative humidity) until they reached a 39.5°C cutoff criterion, which was determined by Tre in S1 and by Tes in S2. As such, participants attained different levels of hyperthermia (as determined by Tre) at the end of exercise. Participants in S1 were subsequently immersed in cold water (2°C) until Tre reached 37.5°C, and participants in S2 recovered in a temperate environment (30°C, 30% relative humidity) for 60 minutes. Main Outcome Measure(s): We measured Tac, Tes, and T re throughout both scenarios. Results: The Tes (S1 = 40.19 ± 0.41 °C, S2 = 39.50 ± 0.02°C) was higher at the end of exercise compared with both Tas (S1 = 39.74 ± 0.42°C, S2 = 38.89 ± 0.32°C) and Tre (S1 = 39.41 ± 0.04°C, S2 = 38.74 ± 0.28°C) (for both comparisons in each scenario, P &lt; .001). Conversely, Tes (S1 = 36.26 ± 0.74°C, S2 = 37.36 ± 0.34°C) and Tas (S1 = 36.48 ± 1.07°C, S2 = 36.97 ± 0.38°C) were lower compared with Tre (S1 = 37.54 ± 0.04°C, S2 = 37.78 ± 0.31°C) at the end of both scenarios (for both comparisons in each scenario, P &lt; .001). Conclusions: We found that Tas, Tes, and Tre presented different temporal responses during and after both scenarios of exertional heat stress and a subsequent recovery period. Although these results may not have direct practical implications in the field monitoring and treatment of individuals with exertional heat injury, they do quantify the extent to which these body temperature measurements differ in such scenarios. © by the National Athletic Trainers' Association, Inc.&quot;,&quot;author&quot;:[{&quot;dropping-particle&quot;:&quot;&quot;,&quot;family&quot;:&quot;Gagnon&quot;,&quot;given&quot;:&quot;Daniel&quot;,&quot;non-dropping-particle&quot;:&quot;&quot;,&quot;parse-names&quot;:false,&quot;suffix&quot;:&quot;&quot;},{&quot;dropping-particle&quot;:&quot;&quot;,&quot;family&quot;:&quot;Lemire&quot;,&quot;given&quot;:&quot;Bruno B.&quot;,&quot;non-dropping-particle&quot;:&quot;&quot;,&quot;parse-names&quot;:false,&quot;suffix&quot;:&quot;&quot;},{&quot;dropping-particle&quot;:&quot;&quot;,&quot;family&quot;:&quot;Jay&quot;,&quot;given&quot;:&quot;Ollie&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thletic Training&quot;,&quot;id&quot;:&quot;2b885895-767a-580f-92da-53ca862f56d4&quot;,&quot;issue&quot;:&quot;2&quot;,&quot;issued&quot;:{&quot;date-parts&quot;:[[&quot;2010&quot;]]},&quot;page&quot;:&quot;157-163&quot;,&quot;title&quot;:&quot;Aural canal, esophageal, and rectal temperatures during exertional heat stress and the subsequent recovery period&quot;,&quot;type&quot;:&quot;article-journal&quot;,&quot;volume&quot;:&quot;45&quot;,&quot;container-title-short&quot;:&quot;J. Athl. Train.&quot;},&quot;uris&quot;:[&quot;http://www.mendeley.com/documents/?uuid=461b046a-feba-4f14-b9f2-436961027b6b&quot;],&quot;isTemporary&quot;:false,&quot;legacyDesktopId&quot;:&quot;461b046a-feba-4f14-b9f2-436961027b6b&quot;}]},{&quot;citationID&quot;:&quot;MENDELEY_CITATION_d4456f4e-4ec3-457a-a13f-88a2dacfe328&quot;,&quot;properties&quot;:{&quot;noteIndex&quot;:0},&quot;isEdited&quot;:false,&quot;manualOverride&quot;:{&quot;citeprocText&quot;:&quot;[27]&quot;,&quot;isManuallyOverridden&quot;:false,&quot;manualOverrideText&quot;:&quot;&quot;},&quot;citationTag&quot;:&quot;MENDELEY_CITATION_v3_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&quot;,&quot;citationItems&quot;:[{&quot;id&quot;:&quot;68280dfe-4131-535e-a48b-4d0135430666&quot;,&quot;itemData&quot;:{&quot;DOI&quot;:&quot;10.1016/j.medengphy.2009.09.004&quot;,&quot;ISSN&quot;:&quot;13504533&quot;,&quot;PMID&quot;:&quot;19906554&quot;,&quot;abstract&quot;:&quot;The conventional zero-heat-flow thermometer, which measures the deep body temperature from the skin surface, is widely used at present. However, this thermometer requires considerable electricity to power the electric heater that compensates for heat loss from the probe; thus, AC power is indispensable for its use. Therefore, this conventional thermometer is inconvenient for unconstrained monitoring. We have developed a new dual-heat-flux method that can measure the deep body temperature from the skin surface without a heater. Our method is convenient for unconstrained and long-term measurement because the instrument is driven by a battery and its design promotes energy conservation. Its probe consists of dual-heat-flow channels with different thermal resistances, and each heat-flow-channel has a pair of IC sensors attached on its top and bottom. The average deep body temperature measurements taken using both the dual-heat-flux and then the zero-heat-flow thermometers from the foreheads of 17 healthy subjects were 37.08 °C and 37.02 °C, respectively. In addition, the correlation coefficient between the values obtained by the 2 methods was 0.970 (p &lt; 0.001). These results show that our method can be used for monitoring the deep body temperature as accurately as the conventional method, and it overcomes the disadvantage of the necessity of AC power supply. © 2009 IPEM.&quot;,&quot;author&quot;:[{&quot;dropping-particle&quot;:&quot;&quot;,&quot;family&quot;:&quot;Kitamura&quot;,&quot;given&quot;:&quot;Kei Ichiro&quot;,&quot;non-dropping-particle&quot;:&quot;&quot;,&quot;parse-names&quot;:false,&quot;suffix&quot;:&quot;&quot;},{&quot;dropping-particle&quot;:&quot;&quot;,&quot;family&quot;:&quot;Zhu&quot;,&quot;given&quot;:&quot;Xin&quot;,&quot;non-dropping-particle&quot;:&quot;&quot;,&quot;parse-names&quot;:false,&quot;suffix&quot;:&quot;&quot;},{&quot;dropping-particle&quot;:&quot;&quot;,&quot;family&quot;:&quot;Chen&quot;,&quot;given&quot;:&quot;Wenxi&quot;,&quot;non-dropping-particle&quot;:&quot;&quot;,&quot;parse-names&quot;:false,&quot;suffix&quot;:&quot;&quot;},{&quot;dropping-particle&quot;:&quot;&quot;,&quot;family&quot;:&quot;Nemoto&quot;,&quot;given&quot;:&quot;Tetsu&quot;,&quot;non-dropping-particle&quot;:&quot;&quot;,&quot;parse-names&quot;:false,&quot;suffix&quot;:&quot;&quot;}],&quot;container-title&quot;:&quot;Medical Engineering and Physics&quot;,&quot;id&quot;:&quot;68280dfe-4131-535e-a48b-4d0135430666&quot;,&quot;issue&quot;:&quot;1&quot;,&quot;issued&quot;:{&quot;date-parts&quot;:[[&quot;2010&quot;]]},&quot;page&quot;:&quot;1-6&quot;,&quot;title&quot;:&quot;Development of a new method for the noninvasive measurement of deep body temperature without a heater&quot;,&quot;type&quot;:&quot;article-journal&quot;,&quot;volume&quot;:&quot;32&quot;,&quot;container-title-short&quot;:&quot;Med. Eng. Phys.&quot;},&quot;uris&quot;:[&quot;http://www.mendeley.com/documents/?uuid=9e0ae6ab-3d6f-4489-a798-18f7a15f9654&quot;],&quot;isTemporary&quot;:false,&quot;legacyDesktopId&quot;:&quot;9e0ae6ab-3d6f-4489-a798-18f7a15f9654&quot;}]},{&quot;citationID&quot;:&quot;MENDELEY_CITATION_e3b5770d-b24c-4b37-906e-cbe8f71f8c2c&quot;,&quot;properties&quot;:{&quot;noteIndex&quot;:0},&quot;isEdited&quot;:false,&quot;manualOverride&quot;:{&quot;citeprocText&quot;:&quot;[28]&quot;,&quot;isManuallyOverridden&quot;:false,&quot;manualOverrideText&quot;:&quot;&quot;},&quot;citationTag&quot;:&quot;MENDELEY_CITATION_v3_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&quot;,&quot;citationItems&quot;:[{&quot;id&quot;:&quot;12888f77-fb37-507b-8bb7-bd3abb4bbf94&quot;,&quot;itemData&quot;:{&quot;DOI&quot;:&quot;10.1038/s41598-020-78753-w&quot;,&quot;ISBN&quot;:&quot;0123456789&quot;,&quot;ISSN&quot;:&quot;20452322&quot;,&quot;PMID&quot;:&quot;33303884&quot;,&quot;abstract&quot;:&quot;Core temperature (TCore) monitoring is essential in intensive care medicine. Bladder temperature is the standard of care in many institutions, but not possible in all patients. We therefore compared core temperature measured with a zero-heat flux thermometer (TZHF) and with a bladder catheter (TBladder) against blood temperature (TBlood) as a gold standard in 50 critically ill patients in a prospective, observational study. Every 30 min TBlood, TBladder and TZHF were documented simultaneously. Bland–Altman statistics were used for interpretation. 7018 pairs of measurements for the comparison of TBlood with TZHF and 7265 pairs of measurements for the comparison of TBlood with TBladder could be used. TBladder represented TBlood more accurate than TZHF. In the Bland Altman analyses the bias was smaller (0.05 °C vs. − 0.12 °C) and limits of agreement were narrower (0.64 °C to − 0.54 °C vs. 0.51 °C to – 0.76 °C), but not in clinically meaningful amounts. In conclusion the results for zero-heat-flux and bladder temperatures were virtually identical within about a tenth of a degree, although TZHF tended to underestimate TBlood. Therefore, either is suitable for clinical use. German Clinical Trials Register, DRKS00015482, Registered on 20th September 2018, http://apps.who.int/trialsearch/Trial2.aspx?TrialID=DRKS00015482.&quot;,&quot;author&quot;:[{&quot;dropping-particle&quot;:&quot;&quot;,&quot;family&quot;:&quot;Bräuer&quot;,&quot;given&quot;:&quot;Anselm&quot;,&quot;non-dropping-particle&quot;:&quot;&quot;,&quot;parse-names&quot;:false,&quot;suffix&quot;:&quot;&quot;},{&quot;dropping-particle&quot;:&quot;&quot;,&quot;family&quot;:&quot;Fazliu&quot;,&quot;given&quot;:&quot;Albulena&quot;,&quot;non-dropping-particle&quot;:&quot;&quot;,&quot;parse-names&quot;:false,&quot;suffix&quot;:&quot;&quot;},{&quot;dropping-particle&quot;:&quot;&quot;,&quot;family&quot;:&quot;Perl&quot;,&quot;given&quot;:&quot;Thorsten&quot;,&quot;non-dropping-particle&quot;:&quot;&quot;,&quot;parse-names&quot;:false,&quot;suffix&quot;:&quot;&quot;},{&quot;dropping-particle&quot;:&quot;&quot;,&quot;family&quot;:&quot;Heise&quot;,&quot;given&quot;:&quot;Daniel&quot;,&quot;non-dropping-particle&quot;:&quot;&quot;,&quot;parse-names&quot;:false,&quot;suffix&quot;:&quot;&quot;},{&quot;dropping-particle&quot;:&quot;&quot;,&quot;family&quot;:&quot;Meissner&quot;,&quot;given&quot;:&quot;Konrad&quot;,&quot;non-dropping-particle&quot;:&quot;&quot;,&quot;parse-names&quot;:false,&quot;suffix&quot;:&quot;&quot;},{&quot;dropping-particle&quot;:&quot;&quot;,&quot;family&quot;:&quot;Brandes&quot;,&quot;given&quot;:&quot;Ivo Florian&quot;,&quot;non-dropping-particle&quot;:&quot;&quot;,&quot;parse-names&quot;:false,&quot;suffix&quot;:&quot;&quot;}],&quot;container-title&quot;:&quot;Scientific Reports&quot;,&quot;id&quot;:&quot;12888f77-fb37-507b-8bb7-bd3abb4bbf94&quot;,&quot;issue&quot;:&quot;1&quot;,&quot;issued&quot;:{&quot;date-parts&quot;:[[&quot;2020&quot;]]},&quot;page&quot;:&quot;1-7&quot;,&quot;publisher&quot;:&quot;Nature Publishing Group UK&quot;,&quot;title&quot;:&quot;Accuracy of zero-heat-flux thermometry and bladder temperature measurement in critically ill patients&quot;,&quot;type&quot;:&quot;article-journal&quot;,&quot;volume&quot;:&quot;10&quot;,&quot;container-title-short&quot;:&quot;Sci. Rep.&quot;},&quot;uris&quot;:[&quot;http://www.mendeley.com/documents/?uuid=d1412bd7-cc54-4f8f-acb5-3476098d2abf&quot;],&quot;isTemporary&quot;:false,&quot;legacyDesktopId&quot;:&quot;d1412bd7-cc54-4f8f-acb5-3476098d2abf&quot;}]},{&quot;citationID&quot;:&quot;MENDELEY_CITATION_acab3c8a-37e7-4f0c-b478-c1b775257b8e&quot;,&quot;properties&quot;:{&quot;noteIndex&quot;:0},&quot;isEdited&quot;:false,&quot;manualOverride&quot;:{&quot;citeprocText&quot;:&quot;[29]&quot;,&quot;isManuallyOverridden&quot;:false,&quot;manualOverrideText&quot;:&quot;&quot;},&quot;citationTag&quot;:&quot;MENDELEY_CITATION_v3_eyJjaXRhdGlvbklEIjoiTUVOREVMRVlfQ0lUQVRJT05fYWNhYjNjOGEtMzdlNy00ZjBjLWI0NzgtYzFiNzc1MjU3YjhlIiwicHJvcGVydGllcyI6eyJub3RlSW5kZXgiOjB9LCJpc0VkaXRlZCI6ZmFsc2UsIm1hbnVhbE92ZXJyaWRlIjp7ImNpdGVwcm9jVGV4dCI6IlsyOV0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quot;,&quot;citationItems&quot;:[{&quot;id&quot;:&quot;3b2baef9-40f5-5ac7-9201-119e1a7af983&quot;,&quot;itemData&quot;:{&quot;DOI&quot;:&quot;10.1007/s00134-002-1619-5&quot;,&quot;ISSN&quot;:&quot;03424642&quot;,&quot;PMID&quot;:&quot;12577157&quot;,&quot;abstract&quot;:&quot;Objective: Comparisons of urinary bladder, oesophageal, rectal, axillary, and inguinal temperatures versus pulmonary artery temperature. Design: Prospective cohort study. Setting: Intensive Care Unit of a University-Hospital. Patients: Forty-two intensive care patients requiring a pulmonary artery catheter (PAC). Intervention: Patients requiring PAC and without oesophageal, urinary bladder, and/or rectal disease or recent surgery were included in the study. Temperature was simultaneously monitored with PAC, urinary, oesophageal, and rectal electronic thermometers and with axillary and inguinal gallium-in-glass thermometers. Comparisons used a Bland and Altman method. Measurements and main results: The pulmonary arterial temperature ranged from 33.7°C to 40.2°C. Urinary bladder temperature was assessed in the last 22 patients. A total of 529 temperature measurement comparisons were carried out (252 comparisons of esophageal, rectal, inguinal, axillary, and pulmonary artery temperature measurements in the first 20 patients, and 277 comparisons with overall methods in the last patients). Nine to 18 temperature measurement comparisons were carried out per patient (median=13). The mean differences between pulmonary artery temperatures and those of the different methods studied were: oesophageal (0.11±0.30°C), rectal (-0.07±0.40°C), axillary (0.27±0.45°C), inguinal (0.17±0.48°C), urinary bladder (-0.21±0.20°C). Conclusion: In critically ill patients, urinary bladder and oesophageal electronic thermometers are more reliable than the electronic rectal thermometer which is better than inguinal and axillary gallium-in-glass thermometers to measure core temperature.&quot;,&quot;author&quot;:[{&quot;dropping-particle&quot;:&quot;&quot;,&quot;family&quot;:&quot;Lefrant&quot;,&quot;given&quot;:&quot;J. Y.&quot;,&quot;non-dropping-particle&quot;:&quot;&quot;,&quot;parse-names&quot;:false,&quot;suffix&quot;:&quot;&quot;},{&quot;dropping-particle&quot;:&quot;&quot;,&quot;family&quot;:&quot;Muller&quot;,&quot;given&quot;:&quot;L.&quot;,&quot;non-dropping-particle&quot;:&quot;&quot;,&quot;parse-names&quot;:false,&quot;suffix&quot;:&quot;&quot;},{&quot;dropping-particle&quot;:&quot;&quot;,&quot;family&quot;:&quot;Emmanuel Coussaye&quot;,&quot;given&quot;:&quot;J.&quot;,&quot;non-dropping-particle&quot;:&quot;&quot;,&quot;parse-names&quot;:false,&quot;suffix&quot;:&quot;&quot;},{&quot;dropping-particle&quot;:&quot;&quot;,&quot;family&quot;:&quot;Benbabaali&quot;,&quot;given&quot;:&quot;M.&quot;,&quot;non-dropping-particle&quot;:&quot;&quot;,&quot;parse-names&quot;:false,&quot;suffix&quot;:&quot;&quot;},{&quot;dropping-particle&quot;:&quot;&quot;,&quot;family&quot;:&quot;Lebris&quot;,&quot;given&quot;:&quot;C.&quot;,&quot;non-dropping-particle&quot;:&quot;&quot;,&quot;parse-names&quot;:false,&quot;suffix&quot;:&quot;&quot;},{&quot;dropping-particle&quot;:&quot;&quot;,&quot;family&quot;:&quot;Zeitoun&quot;,&quot;given&quot;:&quot;N.&quot;,&quot;non-dropping-particle&quot;:&quot;&quot;,&quot;parse-names&quot;:false,&quot;suffix&quot;:&quot;&quot;},{&quot;dropping-particle&quot;:&quot;&quot;,&quot;family&quot;:&quot;Mari&quot;,&quot;given&quot;:&quot;C.&quot;,&quot;non-dropping-particle&quot;:&quot;&quot;,&quot;parse-names&quot;:false,&quot;suffix&quot;:&quot;&quot;},{&quot;dropping-particle&quot;:&quot;&quot;,&quot;family&quot;:&quot;Saïssi&quot;,&quot;given&quot;:&quot;G.&quot;,&quot;non-dropping-particle&quot;:&quot;&quot;,&quot;parse-names&quot;:false,&quot;suffix&quot;:&quot;&quot;},{&quot;dropping-particle&quot;:&quot;&quot;,&quot;family&quot;:&quot;Ripart&quot;,&quot;given&quot;:&quot;J.&quot;,&quot;non-dropping-particle&quot;:&quot;&quot;,&quot;parse-names&quot;:false,&quot;suffix&quot;:&quot;&quot;},{&quot;dropping-particle&quot;:&quot;&quot;,&quot;family&quot;:&quot;Eledjam&quot;,&quot;given&quot;:&quot;J. J.&quot;,&quot;non-dropping-particle&quot;:&quot;&quot;,&quot;parse-names&quot;:false,&quot;suffix&quot;:&quot;&quot;}],&quot;container-title&quot;:&quot;Intensive Care Medicine&quot;,&quot;id&quot;:&quot;3b2baef9-40f5-5ac7-9201-119e1a7af983&quot;,&quot;issue&quot;:&quot;3&quot;,&quot;issued&quot;:{&quot;date-parts&quot;:[[&quot;2003&quot;]]},&quot;page&quot;:&quot;414-418&quot;,&quot;title&quot;:&quot;Temperature measurement in intensive care patients: Comparison of urinary bladder, oesophageal, rectal, axillary, and inguinal methods versus pulmonary artery core method&quot;,&quot;type&quot;:&quot;article-journal&quot;,&quot;volume&quot;:&quot;29&quot;,&quot;container-title-short&quot;:&quot;Intensive Care Med.&quot;},&quot;uris&quot;:[&quot;http://www.mendeley.com/documents/?uuid=0fc84026-9ee8-4d85-82f8-04722289cad5&quot;],&quot;isTemporary&quot;:false,&quot;legacyDesktopId&quot;:&quot;0fc84026-9ee8-4d85-82f8-04722289cad5&quot;}]},{&quot;citationID&quot;:&quot;MENDELEY_CITATION_a646b414-664c-4639-8d24-558aaaa58a06&quot;,&quot;properties&quot;:{&quot;noteIndex&quot;:0},&quot;isEdited&quot;:false,&quot;manualOverride&quot;:{&quot;citeprocText&quot;:&quot;[29,30]&quot;,&quot;isManuallyOverridden&quot;:false,&quot;manualOverrideText&quot;:&quot;&quot;},&quot;citationTag&quot;:&quot;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&quot;,&quot;citationItems&quot;:[{&quot;id&quot;:&quot;560c0101-c1bf-5acb-afb0-fb783593f233&quot;,&quot;itemData&quot;:{&quot;DOI&quot;:&quot;10.1007/BF03012021&quot;,&quot;ISSN&quot;:&quot;0832-610X&quot;,&quot;PMID&quot;:&quot;9597204&quot;,&quot;abstract&quot;:&quot;Purpose: The gradient between temperatures measured at different body sites is not constant; one factor which will change this gradient is rapid changes in body temperature. Measurement of this gradient was done in patients undergoing rapid changes in body temperature to establish the best site to measure temperature and to compare two brands of commercial tympanic thermometers. Method: A total of 228 sets of temperatures were measured from probes in the oesophagus, rectum, and axilla and from two brands of tympanic thermometer and compared with pulmonary artery (PA) temperature in 18 adults during cardiac surgery. Results: Measurements from the oesophageal site was closest to PA readings (mean difference 0.0 ± 0.5°C) compared with IVAC tympanic thermometer (mean difference -0.3 ± 0.5°C), Genius tympanic thermometer (mean difference -0.4 ± 0.5°C), axillary (mean difference 0.2 ± 1.0°C) and rectal (mean difference -0.4 ± 1.0°C) readings. When data during cooling were analysed separately, all sites had similar gradients from PA except for rectal, which was larger. On rewarming, oesophageal readings were closest to PA readings; tympanic readings were doser to PA than were rectal or axillary readings. Readings from the two brands of tympanic thermometer were equivalent. Conclusion: Oesophageal temperature is more accurate and will reflect rapid changes in body temperature better than tympanic, axillary, or rectal temperature. When oesophageal temperature cannot be measured, tympanic temperature done by a trained operator should become the reading of choice.&quot;,&quot;author&quot;:[{&quot;dropping-particle&quot;:&quot;&quot;,&quot;family&quot;:&quot;Robinson&quot;,&quot;given&quot;:&quot;Joan&quot;,&quot;non-dropping-particle&quot;:&quot;&quot;,&quot;parse-names&quot;:false,&quot;suffix&quot;:&quot;&quot;},{&quot;dropping-particle&quot;:&quot;&quot;,&quot;family&quot;:&quot;Charlton&quot;,&quot;given&quot;:&quot;Jeff&quot;,&quot;non-dropping-particle&quot;:&quot;&quot;,&quot;parse-names&quot;:false,&quot;suffix&quot;:&quot;&quot;},{&quot;dropping-particle&quot;:&quot;&quot;,&quot;family&quot;:&quot;Seal&quot;,&quot;given&quot;:&quot;Robert&quot;,&quot;non-dropping-particle&quot;:&quot;&quot;,&quot;parse-names&quot;:false,&quot;suffix&quot;:&quot;&quot;},{&quot;dropping-particle&quot;:&quot;&quot;,&quot;family&quot;:&quot;Spady&quot;,&quot;given&quot;:&quot;Donald&quot;,&quot;non-dropping-particle&quot;:&quot;&quot;,&quot;parse-names&quot;:false,&quot;suffix&quot;:&quot;&quot;},{&quot;dropping-particle&quot;:&quot;&quot;,&quot;family&quot;:&quot;Joffres&quot;,&quot;given&quot;:&quot;Michel R.&quot;,&quot;non-dropping-particle&quot;:&quot;&quot;,&quot;parse-names&quot;:false,&quot;suffix&quot;:&quot;&quot;}],&quot;container-title&quot;:&quot;Canadian Journal of Anaesthesia&quot;,&quot;id&quot;:&quot;560c0101-c1bf-5acb-afb0-fb783593f233&quot;,&quot;issue&quot;:&quot;4&quot;,&quot;issued&quot;:{&quot;date-parts&quot;:[[&quot;1998&quot;,&quot;4&quot;]]},&quot;page&quot;:&quot;317-323&quot;,&quot;title&quot;:&quot;Oesophageal, rectal, axillary, tympanic and pulmonary artery temperatures during cardiac surgery&quot;,&quot;type&quot;:&quot;article-journal&quot;,&quot;volume&quot;:&quot;45&quot;,&quot;container-title-short&quot;:&quot;&quot;},&quot;uris&quot;:[&quot;http://www.mendeley.com/documents/?uuid=a43c498c-7d21-4530-9a30-87475a998775&quot;],&quot;isTemporary&quot;:false,&quot;legacyDesktopId&quot;:&quot;a43c498c-7d21-4530-9a30-87475a998775&quot;},{&quot;id&quot;:&quot;3b2baef9-40f5-5ac7-9201-119e1a7af983&quot;,&quot;itemData&quot;:{&quot;DOI&quot;:&quot;10.1007/s00134-002-1619-5&quot;,&quot;ISSN&quot;:&quot;03424642&quot;,&quot;PMID&quot;:&quot;12577157&quot;,&quot;abstract&quot;:&quot;Objective: Comparisons of urinary bladder, oesophageal, rectal, axillary, and inguinal temperatures versus pulmonary artery temperature. Design: Prospective cohort study. Setting: Intensive Care Unit of a University-Hospital. Patients: Forty-two intensive care patients requiring a pulmonary artery catheter (PAC). Intervention: Patients requiring PAC and without oesophageal, urinary bladder, and/or rectal disease or recent surgery were included in the study. Temperature was simultaneously monitored with PAC, urinary, oesophageal, and rectal electronic thermometers and with axillary and inguinal gallium-in-glass thermometers. Comparisons used a Bland and Altman method. Measurements and main results: The pulmonary arterial temperature ranged from 33.7°C to 40.2°C. Urinary bladder temperature was assessed in the last 22 patients. A total of 529 temperature measurement comparisons were carried out (252 comparisons of esophageal, rectal, inguinal, axillary, and pulmonary artery temperature measurements in the first 20 patients, and 277 comparisons with overall methods in the last patients). Nine to 18 temperature measurement comparisons were carried out per patient (median=13). The mean differences between pulmonary artery temperatures and those of the different methods studied were: oesophageal (0.11±0.30°C), rectal (-0.07±0.40°C), axillary (0.27±0.45°C), inguinal (0.17±0.48°C), urinary bladder (-0.21±0.20°C). Conclusion: In critically ill patients, urinary bladder and oesophageal electronic thermometers are more reliable than the electronic rectal thermometer which is better than inguinal and axillary gallium-in-glass thermometers to measure core temperature.&quot;,&quot;author&quot;:[{&quot;dropping-particle&quot;:&quot;&quot;,&quot;family&quot;:&quot;Lefrant&quot;,&quot;given&quot;:&quot;J. Y.&quot;,&quot;non-dropping-particle&quot;:&quot;&quot;,&quot;parse-names&quot;:false,&quot;suffix&quot;:&quot;&quot;},{&quot;dropping-particle&quot;:&quot;&quot;,&quot;family&quot;:&quot;Muller&quot;,&quot;given&quot;:&quot;L.&quot;,&quot;non-dropping-particle&quot;:&quot;&quot;,&quot;parse-names&quot;:false,&quot;suffix&quot;:&quot;&quot;},{&quot;dropping-particle&quot;:&quot;&quot;,&quot;family&quot;:&quot;Emmanuel Coussaye&quot;,&quot;given&quot;:&quot;J.&quot;,&quot;non-dropping-particle&quot;:&quot;&quot;,&quot;parse-names&quot;:false,&quot;suffix&quot;:&quot;&quot;},{&quot;dropping-particle&quot;:&quot;&quot;,&quot;family&quot;:&quot;Benbabaali&quot;,&quot;given&quot;:&quot;M.&quot;,&quot;non-dropping-particle&quot;:&quot;&quot;,&quot;parse-names&quot;:false,&quot;suffix&quot;:&quot;&quot;},{&quot;dropping-particle&quot;:&quot;&quot;,&quot;family&quot;:&quot;Lebris&quot;,&quot;given&quot;:&quot;C.&quot;,&quot;non-dropping-particle&quot;:&quot;&quot;,&quot;parse-names&quot;:false,&quot;suffix&quot;:&quot;&quot;},{&quot;dropping-particle&quot;:&quot;&quot;,&quot;family&quot;:&quot;Zeitoun&quot;,&quot;given&quot;:&quot;N.&quot;,&quot;non-dropping-particle&quot;:&quot;&quot;,&quot;parse-names&quot;:false,&quot;suffix&quot;:&quot;&quot;},{&quot;dropping-particle&quot;:&quot;&quot;,&quot;family&quot;:&quot;Mari&quot;,&quot;given&quot;:&quot;C.&quot;,&quot;non-dropping-particle&quot;:&quot;&quot;,&quot;parse-names&quot;:false,&quot;suffix&quot;:&quot;&quot;},{&quot;dropping-particle&quot;:&quot;&quot;,&quot;family&quot;:&quot;Saïssi&quot;,&quot;given&quot;:&quot;G.&quot;,&quot;non-dropping-particle&quot;:&quot;&quot;,&quot;parse-names&quot;:false,&quot;suffix&quot;:&quot;&quot;},{&quot;dropping-particle&quot;:&quot;&quot;,&quot;family&quot;:&quot;Ripart&quot;,&quot;given&quot;:&quot;J.&quot;,&quot;non-dropping-particle&quot;:&quot;&quot;,&quot;parse-names&quot;:false,&quot;suffix&quot;:&quot;&quot;},{&quot;dropping-particle&quot;:&quot;&quot;,&quot;family&quot;:&quot;Eledjam&quot;,&quot;given&quot;:&quot;J. J.&quot;,&quot;non-dropping-particle&quot;:&quot;&quot;,&quot;parse-names&quot;:false,&quot;suffix&quot;:&quot;&quot;}],&quot;container-title&quot;:&quot;Intensive Care Medicine&quot;,&quot;id&quot;:&quot;3b2baef9-40f5-5ac7-9201-119e1a7af983&quot;,&quot;issue&quot;:&quot;3&quot;,&quot;issued&quot;:{&quot;date-parts&quot;:[[&quot;2003&quot;]]},&quot;page&quot;:&quot;414-418&quot;,&quot;title&quot;:&quot;Temperature measurement in intensive care patients: Comparison of urinary bladder, oesophageal, rectal, axillary, and inguinal methods versus pulmonary artery core method&quot;,&quot;type&quot;:&quot;article-journal&quot;,&quot;volume&quot;:&quot;29&quot;,&quot;container-title-short&quot;:&quot;Intensive Care Med.&quot;},&quot;uris&quot;:[&quot;http://www.mendeley.com/documents/?uuid=0fc84026-9ee8-4d85-82f8-04722289cad5&quot;],&quot;isTemporary&quot;:false,&quot;legacyDesktopId&quot;:&quot;0fc84026-9ee8-4d85-82f8-04722289cad5&quot;}]},{&quot;citationID&quot;:&quot;MENDELEY_CITATION_d795fa3d-9be3-4d1c-8b21-6ececed91689&quot;,&quot;properties&quot;:{&quot;noteIndex&quot;:0},&quot;isEdited&quot;:false,&quot;manualOverride&quot;:{&quot;citeprocText&quot;:&quot;[22]&quot;,&quot;isManuallyOverridden&quot;:false,&quot;manualOverrideText&quot;:&quot;&quot;},&quot;citationTag&quot;:&quot;MENDELEY_CITATION_v3_eyJjaXRhdGlvbklEIjoiTUVOREVMRVlfQ0lUQVRJT05fZDc5NWZhM2QtOWJlMy00ZDFjLThiMjEtNmVjZWNlZDkxNjg5IiwicHJvcGVydGllcyI6eyJub3RlSW5kZXgiOjB9LCJpc0VkaXRlZCI6ZmFsc2UsIm1hbnVhbE92ZXJyaWRlIjp7ImNpdGVwcm9jVGV4dCI6IlsyMl0iLCJpc01hbnVhbGx5T3ZlcnJpZGRlbiI6ZmFsc2UsIm1hbnVhbE92ZXJyaWRlVGV4dCI6IiJ9LCJjaXRhdGlvbkl0ZW1zIjpb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XX0=&quot;,&quot;citationItems&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citationID&quot;:&quot;MENDELEY_CITATION_29ef7fbc-0b7c-4c0d-ad7d-82584b7dc670&quot;,&quot;properties&quot;:{&quot;noteIndex&quot;:0},&quot;isEdited&quot;:false,&quot;manualOverride&quot;:{&quot;citeprocText&quot;:&quot;[24,31,32]&quot;,&quot;isManuallyOverridden&quot;:false,&quot;manualOverrideText&quot;:&quot;&quot;},&quot;citationTag&quot;:&quot;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&quot;,&quot;citationItems&quot;:[{&quot;id&quot;:&quot;ca9dfda6-ae81-5f38-9f12-415e067d8b10&quot;,&quot;itemData&quot;:{&quot;ISSN&quot;:&quot;00956562&quot;,&quot;PMID&quot;:&quot;8368992&quot;,&quot;abstract&quot;:&quot;A telemetry monitoring system using an ingestible temperature sensor has recently become available commercially, but to our knowledge no published data on exercise applications have been reported. Consequently, core temperature was measured by both ingestible capsule sensors and standard rectal thermistors in six trained subjects (three cyclists, three runners) during 30 to 90 min of progressive cycling or treadmill exercise. Testing was conducted 3-9 h after ingestion of the capsule. The telemetered temperature was lower than the rectal temperature both at rest and during exercise in every subject, with resulting significant (p &lt; 0.005) mean differences (±S.D.) of 36.91 (±0.41) vs. 37.50 (±0.21) and 38.01 (±0.33) vs. 38.94°C (±0.24), respectively. The mean temperature difference increased by 58% from rest (0.59°C) to peak exercise (0.93°C). These preliminary findings demonstrate a consistently lower temperature from the capsule sensor located within the GI tract compared to rectal thermistors. Replication of these results and investigation into this disparity are necessary before these ingestible capsules should be used for routine monitoring of core temperature.&quot;,&quot;author&quot;:[{&quot;dropping-particle&quot;:&quot;&quot;,&quot;family&quot;:&quot;Sparling&quot;,&quot;given&quot;:&quot;P. B.&quot;,&quot;non-dropping-particle&quot;:&quot;&quot;,&quot;parse-names&quot;:false,&quot;suffix&quot;:&quot;&quot;},{&quot;dropping-particle&quot;:&quot;&quot;,&quot;family&quot;:&quot;Snow&quot;,&quot;given&quot;:&quot;T. K.&quot;,&quot;non-dropping-particle&quot;:&quot;&quot;,&quot;parse-names&quot;:false,&quot;suffix&quot;:&quot;&quot;},{&quot;dropping-particle&quot;:&quot;&quot;,&quot;family&quot;:&quot;Millard-Stafford&quot;,&quot;given&quot;:&quot;M. L.&quot;,&quot;non-dropping-particle&quot;:&quot;&quot;,&quot;parse-names&quot;:false,&quot;suffix&quot;:&quot;&quot;}],&quot;container-title&quot;:&quot;Aviation Space and Environmental Medicine&quot;,&quot;id&quot;:&quot;ca9dfda6-ae81-5f38-9f12-415e067d8b10&quot;,&quot;issue&quot;:&quot;8&quot;,&quot;issued&quot;:{&quot;date-parts&quot;:[[&quot;1993&quot;]]},&quot;page&quot;:&quot;760-763&quot;,&quot;title&quot;:&quot;Monitoring core temperature during exercise: Ingestible sensor vs. rectal thermistor&quot;,&quot;type&quot;:&quot;article-journal&quot;,&quot;volume&quot;:&quot;64&quot;,&quot;container-title-short&quot;:&quot;Aviat. Space Environ. Med.&quot;},&quot;uris&quot;:[&quot;http://www.mendeley.com/documents/?uuid=fd6cc5df-fd45-4dcf-8055-d7c62a93acc4&quot;],&quot;isTemporary&quot;:false,&quot;legacyDesktopId&quot;:&quot;fd6cc5df-fd45-4dcf-8055-d7c62a93acc4&quot;},{&quot;id&quot;:&quot;bd09e7c7-1908-5a49-ac63-a6e40bb228de&quot;,&quot;itemData&quot;:{&quot;DOI&quot;:&quot;10.1088/0967-3334/33/6/915&quot;,&quot;ISSN&quot;:&quot;13616579&quot;,&quot;abstract&quot;:&quot;Core temperature measurement with an ingestible telemetry pill has been scarcely investigated during extreme rates of temperature change, induced by short high-intensity exercise in the heat. Therefore, nine participants performed a protocol of rest, (sub)maximal cycling and recovery at 30 °C. The pill temperature (Tpill) was compared with the rectal temperature (Tre) and esophageal temperature (Tes). T pillcorresponded well to Treduring the entire trial, but deviated considerably from Tesduring the exercise and recovery periods. During maximal exercise, the average ΔTpillT reand ΔTpillTeswere 0.13 ± 0.26 and0.57 ± 0.53 °C, respectively. The response time from the start of exercise, the rate of change during exercise and the peak temperature were similar for Tpilland Tre.Tesresponded 5 min earlier, increased more than twice as fast and its peak value was 0.42 ± 0.46 °C higher than Tpill. In conclusion, also during considerable temperature changes at a very high rate, Tpillis still a representative of Tre. The extent of the deviation in the pattern and peak values between Tpilland Tes(up to &gt;1 °C) strengthens the assumption that Tpillis unsuited to evaluate central blood temperature when body temperatures change rapidly. © 2012 Institute of Physics and Engineering in Medicine.&quot;,&quot;author&quot;:[{&quot;dropping-particle&quot;:&quot;&quot;,&quot;family&quot;:&quot;Teunissen&quot;,&quot;given&quot;:&quot;L. P.J.&quot;,&quot;non-dropping-particle&quot;:&quot;&quot;,&quot;parse-names&quot;:false,&quot;suffix&quot;:&quot;&quot;},{&quot;dropping-particle&quot;:&quot;&quot;,&quot;family&quot;:&quot;Haan&quot;,&quot;given&quot;:&quot;A.&quot;,&quot;non-dropping-particle&quot;:&quot;De&quot;,&quot;parse-names&quot;:false,&quot;suffix&quot;:&quot;&quot;},{&quot;dropping-particle&quot;:&quot;&quot;,&quot;family&quot;:&quot;Koning&quot;,&quot;given&quot;:&quot;J. J.&quot;,&quot;non-dropping-particle&quot;:&quot;De&quot;,&quot;parse-names&quot;:false,&quot;suffix&quot;:&quot;&quot;},{&quot;dropping-particle&quot;:&quot;&quot;,&quot;family&quot;:&quot;Daanen&quot;,&quot;given&quot;:&quot;H. A.M.&quot;,&quot;non-dropping-particle&quot;:&quot;&quot;,&quot;parse-names&quot;:false,&quot;suffix&quot;:&quot;&quot;}],&quot;container-title&quot;:&quot;Physiological Measurement&quot;,&quot;id&quot;:&quot;bd09e7c7-1908-5a49-ac63-a6e40bb228de&quot;,&quot;issue&quot;:&quot;6&quot;,&quot;issued&quot;:{&quot;date-parts&quot;:[[&quot;2012&quot;]]},&quot;page&quot;:&quot;915-924&quot;,&quot;title&quot;:&quot;Telemetry pill versus rectal and esophageal temperature during extreme rates of exercise-induced core temperature change&quot;,&quot;type&quot;:&quot;article-journal&quot;,&quot;volume&quot;:&quot;33&quot;,&quot;container-title-short&quot;:&quot;Physiol. Meas.&quot;},&quot;uris&quot;:[&quot;http://www.mendeley.com/documents/?uuid=68c986ce-0bc0-49c1-a5c6-e7c4819ae733&quot;],&quot;isTemporary&quot;:false,&quot;legacyDesktopId&quot;:&quot;68c986ce-0bc0-49c1-a5c6-e7c4819ae733&quot;},{&quot;id&quot;:&quot;204cb7ae-dd8a-5d0d-a74e-a135659286ff&quot;,&quot;itemData&quot;:{&quot;DOI&quot;:&quot;10.1080/23328940.2020.1801119&quot;,&quot;ISSN&quot;:&quot;23328959&quot;,&quot;abstract&quot;:&quot;In studies of human thermoregulation, ingestible temperature pills are being increasingly used as a convenient alternative to more clinically relevant indices of deep-body (core) temperature (e.g., rectal temperature). It remains unclear whether the time between pill ingestion and the measurement period influences the validity of telemetry pills as a surrogate index of core temperature. We therefore assessed the influence of pill ingestion timing on the agreement between rectal temperature (criterion method) and ingestible pill temperature during exercise-heat stress. To achieve this, nine young men (21–31 years) completed two trials involving 15-min rest, 90-min exercise at an average metabolic heat production of 200 W/m2 (~40% peak oxygen consumption), and 45-min recovery. Core temperature was measured throughout using rectal temperature and four telemetric temperature pills (VitalSense®) ingested 12, 6, 3 and 1 h(s) prior to the start of each trial. Data from the two trials were combined and averaged over the final 10-min of rest, exercise, and recovery for analysis. Our primary finding was that the mean squared difference between rectal temperature and each pill did not differ significantly across ingestion times during rest, exercise or recovery (p = 0.056), with those errors ranging from 0.1–0.2°C, 0.2–0.2°C, 0.1–0.2°C, and 0.1–0.2°C for the pills ingested 12, 6, 3, and 1 h(s) before data collection, respectively. While there is a need for larger confirmatory studies, our findings indicate that pill ingestion timing does not significantly influence the validity of telemetry pill temperature as an index of core temperature.&quot;,&quot;author&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Kenny&quot;,&quot;given&quot;:&quot;Glen P.&quot;,&quot;non-dropping-particle&quot;:&quot;&quot;,&quot;parse-names&quot;:false,&quot;suffix&quot;:&quot;&quot;}],&quot;container-title&quot;:&quot;Temperature&quot;,&quot;id&quot;:&quot;204cb7ae-dd8a-5d0d-a74e-a135659286ff&quot;,&quot;issue&quot;:&quot;1&quot;,&quot;issued&quot;:{&quot;date-parts&quot;:[[&quot;2021&quot;]]},&quot;page&quot;:&quot;12-20&quot;,&quot;publisher&quot;:&quot;Taylor &amp; Francis&quot;,&quot;title&quot;:&quot;Time following ingestion does not influence the validity of telemetry pill measurements of core temperature during exercise-heat stress: The journal Temperature toolbox&quot;,&quot;type&quot;:&quot;article-journal&quot;,&quot;volume&quot;:&quot;8&quot;,&quot;container-title-short&quot;:&quot;&quot;},&quot;uris&quot;:[&quot;http://www.mendeley.com/documents/?uuid=4bbce5b4-83b8-4e74-a138-f1e2f4d21df6&quot;],&quot;isTemporary&quot;:false,&quot;legacyDesktopId&quot;:&quot;4bbce5b4-83b8-4e74-a138-f1e2f4d21df6&quot;}]},{&quot;citationID&quot;:&quot;MENDELEY_CITATION_8664a276-0bae-4b46-a627-4eb46325082d&quot;,&quot;properties&quot;:{&quot;noteIndex&quot;:0},&quot;isEdited&quot;:false,&quot;manualOverride&quot;:{&quot;citeprocText&quot;:&quot;[29]&quot;,&quot;isManuallyOverridden&quot;:false,&quot;manualOverrideText&quot;:&quot;&quot;},&quot;citationTag&quot;:&quot;MENDELEY_CITATION_v3_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&quot;,&quot;citationItems&quot;:[{&quot;id&quot;:&quot;3b2baef9-40f5-5ac7-9201-119e1a7af983&quot;,&quot;itemData&quot;:{&quot;DOI&quot;:&quot;10.1007/s00134-002-1619-5&quot;,&quot;ISSN&quot;:&quot;03424642&quot;,&quot;PMID&quot;:&quot;12577157&quot;,&quot;abstract&quot;:&quot;Objective: Comparisons of urinary bladder, oesophageal, rectal, axillary, and inguinal temperatures versus pulmonary artery temperature. Design: Prospective cohort study. Setting: Intensive Care Unit of a University-Hospital. Patients: Forty-two intensive care patients requiring a pulmonary artery catheter (PAC). Intervention: Patients requiring PAC and without oesophageal, urinary bladder, and/or rectal disease or recent surgery were included in the study. Temperature was simultaneously monitored with PAC, urinary, oesophageal, and rectal electronic thermometers and with axillary and inguinal gallium-in-glass thermometers. Comparisons used a Bland and Altman method. Measurements and main results: The pulmonary arterial temperature ranged from 33.7°C to 40.2°C. Urinary bladder temperature was assessed in the last 22 patients. A total of 529 temperature measurement comparisons were carried out (252 comparisons of esophageal, rectal, inguinal, axillary, and pulmonary artery temperature measurements in the first 20 patients, and 277 comparisons with overall methods in the last patients). Nine to 18 temperature measurement comparisons were carried out per patient (median=13). The mean differences between pulmonary artery temperatures and those of the different methods studied were: oesophageal (0.11±0.30°C), rectal (-0.07±0.40°C), axillary (0.27±0.45°C), inguinal (0.17±0.48°C), urinary bladder (-0.21±0.20°C). Conclusion: In critically ill patients, urinary bladder and oesophageal electronic thermometers are more reliable than the electronic rectal thermometer which is better than inguinal and axillary gallium-in-glass thermometers to measure core temperature.&quot;,&quot;author&quot;:[{&quot;dropping-particle&quot;:&quot;&quot;,&quot;family&quot;:&quot;Lefrant&quot;,&quot;given&quot;:&quot;J. Y.&quot;,&quot;non-dropping-particle&quot;:&quot;&quot;,&quot;parse-names&quot;:false,&quot;suffix&quot;:&quot;&quot;},{&quot;dropping-particle&quot;:&quot;&quot;,&quot;family&quot;:&quot;Muller&quot;,&quot;given&quot;:&quot;L.&quot;,&quot;non-dropping-particle&quot;:&quot;&quot;,&quot;parse-names&quot;:false,&quot;suffix&quot;:&quot;&quot;},{&quot;dropping-particle&quot;:&quot;&quot;,&quot;family&quot;:&quot;Emmanuel Coussaye&quot;,&quot;given&quot;:&quot;J.&quot;,&quot;non-dropping-particle&quot;:&quot;&quot;,&quot;parse-names&quot;:false,&quot;suffix&quot;:&quot;&quot;},{&quot;dropping-particle&quot;:&quot;&quot;,&quot;family&quot;:&quot;Benbabaali&quot;,&quot;given&quot;:&quot;M.&quot;,&quot;non-dropping-particle&quot;:&quot;&quot;,&quot;parse-names&quot;:false,&quot;suffix&quot;:&quot;&quot;},{&quot;dropping-particle&quot;:&quot;&quot;,&quot;family&quot;:&quot;Lebris&quot;,&quot;given&quot;:&quot;C.&quot;,&quot;non-dropping-particle&quot;:&quot;&quot;,&quot;parse-names&quot;:false,&quot;suffix&quot;:&quot;&quot;},{&quot;dropping-particle&quot;:&quot;&quot;,&quot;family&quot;:&quot;Zeitoun&quot;,&quot;given&quot;:&quot;N.&quot;,&quot;non-dropping-particle&quot;:&quot;&quot;,&quot;parse-names&quot;:false,&quot;suffix&quot;:&quot;&quot;},{&quot;dropping-particle&quot;:&quot;&quot;,&quot;family&quot;:&quot;Mari&quot;,&quot;given&quot;:&quot;C.&quot;,&quot;non-dropping-particle&quot;:&quot;&quot;,&quot;parse-names&quot;:false,&quot;suffix&quot;:&quot;&quot;},{&quot;dropping-particle&quot;:&quot;&quot;,&quot;family&quot;:&quot;Saïssi&quot;,&quot;given&quot;:&quot;G.&quot;,&quot;non-dropping-particle&quot;:&quot;&quot;,&quot;parse-names&quot;:false,&quot;suffix&quot;:&quot;&quot;},{&quot;dropping-particle&quot;:&quot;&quot;,&quot;family&quot;:&quot;Ripart&quot;,&quot;given&quot;:&quot;J.&quot;,&quot;non-dropping-particle&quot;:&quot;&quot;,&quot;parse-names&quot;:false,&quot;suffix&quot;:&quot;&quot;},{&quot;dropping-particle&quot;:&quot;&quot;,&quot;family&quot;:&quot;Eledjam&quot;,&quot;given&quot;:&quot;J. J.&quot;,&quot;non-dropping-particle&quot;:&quot;&quot;,&quot;parse-names&quot;:false,&quot;suffix&quot;:&quot;&quot;}],&quot;container-title&quot;:&quot;Intensive Care Medicine&quot;,&quot;id&quot;:&quot;3b2baef9-40f5-5ac7-9201-119e1a7af983&quot;,&quot;issue&quot;:&quot;3&quot;,&quot;issued&quot;:{&quot;date-parts&quot;:[[&quot;2003&quot;]]},&quot;page&quot;:&quot;414-418&quot;,&quot;title&quot;:&quot;Temperature measurement in intensive care patients: Comparison of urinary bladder, oesophageal, rectal, axillary, and inguinal methods versus pulmonary artery core method&quot;,&quot;type&quot;:&quot;article-journal&quot;,&quot;volume&quot;:&quot;29&quot;,&quot;container-title-short&quot;:&quot;Intensive Care Med.&quot;},&quot;uris&quot;:[&quot;http://www.mendeley.com/documents/?uuid=0fc84026-9ee8-4d85-82f8-04722289cad5&quot;],&quot;isTemporary&quot;:false,&quot;legacyDesktopId&quot;:&quot;0fc84026-9ee8-4d85-82f8-04722289cad5&quot;}]},{&quot;citationID&quot;:&quot;MENDELEY_CITATION_09e1c3bc-9d68-496f-8bee-2d57a80685f9&quot;,&quot;properties&quot;:{&quot;noteIndex&quot;:0},&quot;isEdited&quot;:false,&quot;manualOverride&quot;:{&quot;citeprocText&quot;:&quot;[30]&quot;,&quot;isManuallyOverridden&quot;:false,&quot;manualOverrideText&quot;:&quot;&quot;},&quot;citationTag&quot;:&quot;MENDELEY_CITATION_v3_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&quot;,&quot;citationItems&quot;:[{&quot;id&quot;:&quot;560c0101-c1bf-5acb-afb0-fb783593f233&quot;,&quot;itemData&quot;:{&quot;DOI&quot;:&quot;10.1007/BF03012021&quot;,&quot;ISSN&quot;:&quot;0832-610X&quot;,&quot;PMID&quot;:&quot;9597204&quot;,&quot;abstract&quot;:&quot;Purpose: The gradient between temperatures measured at different body sites is not constant; one factor which will change this gradient is rapid changes in body temperature. Measurement of this gradient was done in patients undergoing rapid changes in body temperature to establish the best site to measure temperature and to compare two brands of commercial tympanic thermometers. Method: A total of 228 sets of temperatures were measured from probes in the oesophagus, rectum, and axilla and from two brands of tympanic thermometer and compared with pulmonary artery (PA) temperature in 18 adults during cardiac surgery. Results: Measurements from the oesophageal site was closest to PA readings (mean difference 0.0 ± 0.5°C) compared with IVAC tympanic thermometer (mean difference -0.3 ± 0.5°C), Genius tympanic thermometer (mean difference -0.4 ± 0.5°C), axillary (mean difference 0.2 ± 1.0°C) and rectal (mean difference -0.4 ± 1.0°C) readings. When data during cooling were analysed separately, all sites had similar gradients from PA except for rectal, which was larger. On rewarming, oesophageal readings were closest to PA readings; tympanic readings were doser to PA than were rectal or axillary readings. Readings from the two brands of tympanic thermometer were equivalent. Conclusion: Oesophageal temperature is more accurate and will reflect rapid changes in body temperature better than tympanic, axillary, or rectal temperature. When oesophageal temperature cannot be measured, tympanic temperature done by a trained operator should become the reading of choice.&quot;,&quot;author&quot;:[{&quot;dropping-particle&quot;:&quot;&quot;,&quot;family&quot;:&quot;Robinson&quot;,&quot;given&quot;:&quot;Joan&quot;,&quot;non-dropping-particle&quot;:&quot;&quot;,&quot;parse-names&quot;:false,&quot;suffix&quot;:&quot;&quot;},{&quot;dropping-particle&quot;:&quot;&quot;,&quot;family&quot;:&quot;Charlton&quot;,&quot;given&quot;:&quot;Jeff&quot;,&quot;non-dropping-particle&quot;:&quot;&quot;,&quot;parse-names&quot;:false,&quot;suffix&quot;:&quot;&quot;},{&quot;dropping-particle&quot;:&quot;&quot;,&quot;family&quot;:&quot;Seal&quot;,&quot;given&quot;:&quot;Robert&quot;,&quot;non-dropping-particle&quot;:&quot;&quot;,&quot;parse-names&quot;:false,&quot;suffix&quot;:&quot;&quot;},{&quot;dropping-particle&quot;:&quot;&quot;,&quot;family&quot;:&quot;Spady&quot;,&quot;given&quot;:&quot;Donald&quot;,&quot;non-dropping-particle&quot;:&quot;&quot;,&quot;parse-names&quot;:false,&quot;suffix&quot;:&quot;&quot;},{&quot;dropping-particle&quot;:&quot;&quot;,&quot;family&quot;:&quot;Joffres&quot;,&quot;given&quot;:&quot;Michel R.&quot;,&quot;non-dropping-particle&quot;:&quot;&quot;,&quot;parse-names&quot;:false,&quot;suffix&quot;:&quot;&quot;}],&quot;container-title&quot;:&quot;Canadian Journal of Anaesthesia&quot;,&quot;id&quot;:&quot;560c0101-c1bf-5acb-afb0-fb783593f233&quot;,&quot;issue&quot;:&quot;4&quot;,&quot;issued&quot;:{&quot;date-parts&quot;:[[&quot;1998&quot;,&quot;4&quot;]]},&quot;page&quot;:&quot;317-323&quot;,&quot;title&quot;:&quot;Oesophageal, rectal, axillary, tympanic and pulmonary artery temperatures during cardiac surgery&quot;,&quot;type&quot;:&quot;article-journal&quot;,&quot;volume&quot;:&quot;45&quot;,&quot;container-title-short&quot;:&quot;&quot;},&quot;uris&quot;:[&quot;http://www.mendeley.com/documents/?uuid=a43c498c-7d21-4530-9a30-87475a998775&quot;],&quot;isTemporary&quot;:false,&quot;legacyDesktopId&quot;:&quot;a43c498c-7d21-4530-9a30-87475a998775&quot;}]},{&quot;citationID&quot;:&quot;MENDELEY_CITATION_d338b0eb-b652-4eea-95a2-78050b14c581&quot;,&quot;properties&quot;:{&quot;noteIndex&quot;:0},&quot;isEdited&quot;:false,&quot;manualOverride&quot;:{&quot;citeprocText&quot;:&quot;[33,34]&quot;,&quot;isManuallyOverridden&quot;:false,&quot;manualOverrideText&quot;:&quot;&quot;},&quot;citationTag&quot;:&quot;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&quot;,&quot;citationItems&quot;:[{&quot;id&quot;:&quot;5ddde75f-9e76-5754-bb09-dc5fc17e3d31&quot;,&quot;itemData&quot;:{&quot;DOI&quot;:&quot;10.4085/1062-6050-47.3.09&quot;,&quot;ISBN&quot;:&quot;1062605047&quot;,&quot;ISSN&quot;:&quot;10626050&quot;,&quot;PMID&quot;:&quot;22892415&quot;,&quot;abstract&quot;:&quot;Objective: To compare mean differences in core body temperature (Tcore) as assessed via rectal thermometry (Tre) and aural thermometry (Tau) in hyperthermic exercising individuals. Data Sources: PubMed, Ovid MEDLINE, SPORTDiscus, CINAHL, and Cochrane Library in English from the earliest entry points to August 2009 using the search terms aural, core body temperature, core temperature, exercise, rectal, temperature, thermistor, thermometer, thermometry, and tympanic. Study Selection: Original research articles that met these criteria were included: (1) concurrent measurement of Tre and Tau in participants during exercise, (2) minimum mean temperature that reached 386C by at least 1 technique during or after exercise, and (3) report of means, standard deviations, and sample sizes. Data Extraction: Nine articles were included, and 3 independent reviewers scored these articles using the Physiotherapy Evidence Database (PEDro) scale (mean = 5.1 ± 0.4). Data were divided into time periods pre-exercise, during exercise (30 to 180 minutes), and postexercise, as well as Tre ranges &lt;37.99°C, 38.00°C to 38.996C, and &gt;39.00°C. Means and standard deviations for both measurement techniques were provided at all time intervals reported. Meta-analysis was performed to determine pooled and weighted mean differences between Tre and Tau. Data Synthesis: The Tre was conclusively higher than the Tau pre-exercise (mean difference [MD] 5 , 95% confidence interval [CI] 5 0.156C, 0.39°C), during exercise (MD 5 0.96°C, 95% CI 5 0.84°C, 1.08°C), and postexercise (MD 5 0.71°C, 95% CI 5 0.65°C, 0.78°C). As Tre measures increased, the magnitude of difference between the techniques also increased with an MD of 0.59°C (95% CI 5 0.53°C, 0.656C) when Tre was &lt;38°C; 0.79°C (95% CI 5 0.72°C, 0.86°C) when Tre was between 38.0°C and 38.99°0.276CC; and 1.72°C (95% CI 5 1.54°, 1.91°C) when Tre was &gt;39.0°C. Conclusions: The Tre was consistently greater than Tau when Tcore was measured in hyperthermic individuals before, during, and postexercise. As Tcore increased, Tau appeared to underestimate Tcore as determined by Tre. Clinicians should be aware of this critical difference in temperature magnitude between these measurement techniques when assessing Tcore in hyperthermic individuals during or postexercise. © by the National Athletic Trainers' Association, Inc.&quot;,&quot;author&quot;:[{&quot;dropping-particle&quot;:&quot;&quot;,&quot;family&quot;:&quot;Huggins&quot;,&quot;given&quot;:&quot;Robert&quot;,&quot;non-dropping-particle&quot;:&quot;&quot;,&quot;parse-names&quot;:false,&quot;suffix&quot;:&quot;&quot;},{&quot;dropping-particle&quot;:&quot;&quot;,&quot;family&quot;:&quot;Glaviano&quot;,&quot;given&quot;:&quot;Neal&quot;,&quot;non-dropping-particle&quot;:&quot;&quot;,&quot;parse-names&quot;:false,&quot;suffix&quot;:&quot;&quot;},{&quot;dropping-particle&quot;:&quot;&quot;,&quot;family&quot;:&quot;Negishi&quot;,&quot;given&quot;:&quot;Naoki&quot;,&quot;non-dropping-particle&quot;:&quot;&quot;,&quot;parse-names&quot;:false,&quot;suffix&quot;:&quot;&quot;},{&quot;dropping-particle&quot;:&quot;&quot;,&quot;family&quot;:&quot;Casa&quot;,&quot;given&quot;:&quot;Douglas J.&quot;,&quot;non-dropping-particle&quot;:&quot;&quot;,&quot;parse-names&quot;:false,&quot;suffix&quot;:&quot;&quot;},{&quot;dropping-particle&quot;:&quot;&quot;,&quot;family&quot;:&quot;Hertel&quot;,&quot;given&quot;:&quot;Jay&quot;,&quot;non-dropping-particle&quot;:&quot;&quot;,&quot;parse-names&quot;:false,&quot;suffix&quot;:&quot;&quot;}],&quot;container-title&quot;:&quot;Journal of Athletic Training&quot;,&quot;id&quot;:&quot;5ddde75f-9e76-5754-bb09-dc5fc17e3d31&quot;,&quot;issue&quot;:&quot;3&quot;,&quot;issued&quot;:{&quot;date-parts&quot;:[[&quot;2012&quot;]]},&quot;page&quot;:&quot;329-338&quot;,&quot;title&quot;:&quot;Comparison of rectal and aural core body temperature thermometry in hyperthermic, exercising individuals: A meta-analysis&quot;,&quot;type&quot;:&quot;article-journal&quot;,&quot;volume&quot;:&quot;47&quot;,&quot;container-title-short&quot;:&quot;J. Athl. Train.&quot;},&quot;uris&quot;:[&quot;http://www.mendeley.com/documents/?uuid=67e2ba50-bfd0-4d6d-9a1e-7ae3ea3fd25c&quot;],&quot;isTemporary&quot;:false,&quot;legacyDesktopId&quot;:&quot;67e2ba50-bfd0-4d6d-9a1e-7ae3ea3fd25c&quot;},{&quot;id&quot;:&quot;6b81468d-9dd1-5fe9-9844-9ce5702c6327&quot;,&quot;itemData&quot;:{&quot;DOI&quot;:&quot;10.1016/S0140-6736(02)09783-0&quot;,&quot;ISSN&quot;:&quot;01406736&quot;,&quot;PMID&quot;:&quot;12241932&quot;,&quot;abstract&quot;:&quot;Background: Infrared ear thermometry is frequently used in children, because this is a quick method of taking temperature and the ear is easily accessible. Our aim was to evaluate agreement between temperature measured at the rectum and ear in children. Methods: We did a systematic review of studies comparing temperature measured at the rectum (the reference site) using mercury, electronic, or indwelling probe thermometers, with temperature measured at the ear (the test site) using infrared ear thermometers. Heterogeneity between studies was investigated by exploring subgroups according to the mode of the infrared ear thermometer. Findings: 44 studies containing 58 comparisons (5935 children) were eligible for inclusion in this review. Outcome data were available in reports from 12 comparisons (2312 [39%] children), and data on individual patients were obtained for a further 19 comparisons (2129 [36%] children). 31 comparisons (4441 [75%] children) were therefore included in the meta-analysis. The pooled mean temperature difference (rectal minus ear) was 0.29°C (95% limits of agreement -0.74 to 1.32). We pooled data by ear device mode and the mean temperature differences were rectal mode 0.15°C (-0.95 to 1.25), actual 0.70°C (-0.20 to 1.60), core 0.25°C (-0.78 to 1.27), oral 0.34°C (-0.86 to 1.54), tympanic 0.62°C (-0.40 to 1.64) and mode not stated 0.32°C (-0.57 to 1.21). There was significant residual heterogeneity in both mean differences and sample SDs within the groups of ear device mode. Interpretation: Although the mean differences between rectal and ear temperature measurements were small, the wide limits of agreement mean that ear temperature is not a good approximation of rectal temperature, even when the ear thermometer is used in rectal mode. Our finding suggests that infrared ear thermometry does not show sufficient agreement with an established method of temperature measurement to be used in situations where body temperature needs to be measured with precision.&quot;,&quot;author&quot;:[{&quot;dropping-particle&quot;:&quot;V.&quot;,&quot;family&quot;:&quot;Craig&quot;,&quot;given&quot;:&quot;Jean&quot;,&quot;non-dropping-particle&quot;:&quot;&quot;,&quot;parse-names&quot;:false,&quot;suffix&quot;:&quot;&quot;},{&quot;dropping-particle&quot;:&quot;&quot;,&quot;family&quot;:&quot;Lancaster&quot;,&quot;given&quot;:&quot;Gillian A.&quot;,&quot;non-dropping-particle&quot;:&quot;&quot;,&quot;parse-names&quot;:false,&quot;suffix&quot;:&quot;&quot;},{&quot;dropping-particle&quot;:&quot;&quot;,&quot;family&quot;:&quot;Taylor&quot;,&quot;given&quot;:&quot;Stephen&quot;,&quot;non-dropping-particle&quot;:&quot;&quot;,&quot;parse-names&quot;:false,&quot;suffix&quot;:&quot;&quot;},{&quot;dropping-particle&quot;:&quot;&quot;,&quot;family&quot;:&quot;Williamson&quot;,&quot;given&quot;:&quot;Paula R.&quot;,&quot;non-dropping-particle&quot;:&quot;&quot;,&quot;parse-names&quot;:false,&quot;suffix&quot;:&quot;&quot;},{&quot;dropping-particle&quot;:&quot;&quot;,&quot;family&quot;:&quot;Smyth&quot;,&quot;given&quot;:&quot;Rosalind L.&quot;,&quot;non-dropping-particle&quot;:&quot;&quot;,&quot;parse-names&quot;:false,&quot;suffix&quot;:&quot;&quot;}],&quot;container-title&quot;:&quot;Lancet&quot;,&quot;id&quot;:&quot;6b81468d-9dd1-5fe9-9844-9ce5702c6327&quot;,&quot;issue&quot;:&quot;9333&quot;,&quot;issued&quot;:{&quot;date-parts&quot;:[[&quot;2002&quot;]]},&quot;page&quot;:&quot;603-609&quot;,&quot;title&quot;:&quot;Infrared ear thermometry compared with rectal thermometry in children: A systematic review&quot;,&quot;type&quot;:&quot;article-journal&quot;,&quot;volume&quot;:&quot;360&quot;,&quot;container-title-short&quot;:&quot;&quot;},&quot;uris&quot;:[&quot;http://www.mendeley.com/documents/?uuid=8c4e3ed1-4c01-4e44-a025-2ad63eda22d0&quot;],&quot;isTemporary&quot;:false,&quot;legacyDesktopId&quot;:&quot;8c4e3ed1-4c01-4e44-a025-2ad63eda22d0&quot;}]},{&quot;citationID&quot;:&quot;MENDELEY_CITATION_97fb1588-d462-4e4e-acbc-1c2fee577901&quot;,&quot;properties&quot;:{&quot;noteIndex&quot;:0},&quot;isEdited&quot;:false,&quot;manualOverride&quot;:{&quot;citeprocText&quot;:&quot;[34]&quot;,&quot;isManuallyOverridden&quot;:false,&quot;manualOverrideText&quot;:&quot;&quot;},&quot;citationTag&quot;:&quot;MENDELEY_CITATION_v3_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&quot;,&quot;citationItems&quot;:[{&quot;id&quot;:&quot;6b81468d-9dd1-5fe9-9844-9ce5702c6327&quot;,&quot;itemData&quot;:{&quot;DOI&quot;:&quot;10.1016/S0140-6736(02)09783-0&quot;,&quot;ISSN&quot;:&quot;01406736&quot;,&quot;PMID&quot;:&quot;12241932&quot;,&quot;abstract&quot;:&quot;Background: Infrared ear thermometry is frequently used in children, because this is a quick method of taking temperature and the ear is easily accessible. Our aim was to evaluate agreement between temperature measured at the rectum and ear in children. Methods: We did a systematic review of studies comparing temperature measured at the rectum (the reference site) using mercury, electronic, or indwelling probe thermometers, with temperature measured at the ear (the test site) using infrared ear thermometers. Heterogeneity between studies was investigated by exploring subgroups according to the mode of the infrared ear thermometer. Findings: 44 studies containing 58 comparisons (5935 children) were eligible for inclusion in this review. Outcome data were available in reports from 12 comparisons (2312 [39%] children), and data on individual patients were obtained for a further 19 comparisons (2129 [36%] children). 31 comparisons (4441 [75%] children) were therefore included in the meta-analysis. The pooled mean temperature difference (rectal minus ear) was 0.29°C (95% limits of agreement -0.74 to 1.32). We pooled data by ear device mode and the mean temperature differences were rectal mode 0.15°C (-0.95 to 1.25), actual 0.70°C (-0.20 to 1.60), core 0.25°C (-0.78 to 1.27), oral 0.34°C (-0.86 to 1.54), tympanic 0.62°C (-0.40 to 1.64) and mode not stated 0.32°C (-0.57 to 1.21). There was significant residual heterogeneity in both mean differences and sample SDs within the groups of ear device mode. Interpretation: Although the mean differences between rectal and ear temperature measurements were small, the wide limits of agreement mean that ear temperature is not a good approximation of rectal temperature, even when the ear thermometer is used in rectal mode. Our finding suggests that infrared ear thermometry does not show sufficient agreement with an established method of temperature measurement to be used in situations where body temperature needs to be measured with precision.&quot;,&quot;author&quot;:[{&quot;dropping-particle&quot;:&quot;V.&quot;,&quot;family&quot;:&quot;Craig&quot;,&quot;given&quot;:&quot;Jean&quot;,&quot;non-dropping-particle&quot;:&quot;&quot;,&quot;parse-names&quot;:false,&quot;suffix&quot;:&quot;&quot;},{&quot;dropping-particle&quot;:&quot;&quot;,&quot;family&quot;:&quot;Lancaster&quot;,&quot;given&quot;:&quot;Gillian A.&quot;,&quot;non-dropping-particle&quot;:&quot;&quot;,&quot;parse-names&quot;:false,&quot;suffix&quot;:&quot;&quot;},{&quot;dropping-particle&quot;:&quot;&quot;,&quot;family&quot;:&quot;Taylor&quot;,&quot;given&quot;:&quot;Stephen&quot;,&quot;non-dropping-particle&quot;:&quot;&quot;,&quot;parse-names&quot;:false,&quot;suffix&quot;:&quot;&quot;},{&quot;dropping-particle&quot;:&quot;&quot;,&quot;family&quot;:&quot;Williamson&quot;,&quot;given&quot;:&quot;Paula R.&quot;,&quot;non-dropping-particle&quot;:&quot;&quot;,&quot;parse-names&quot;:false,&quot;suffix&quot;:&quot;&quot;},{&quot;dropping-particle&quot;:&quot;&quot;,&quot;family&quot;:&quot;Smyth&quot;,&quot;given&quot;:&quot;Rosalind L.&quot;,&quot;non-dropping-particle&quot;:&quot;&quot;,&quot;parse-names&quot;:false,&quot;suffix&quot;:&quot;&quot;}],&quot;container-title&quot;:&quot;Lancet&quot;,&quot;id&quot;:&quot;6b81468d-9dd1-5fe9-9844-9ce5702c6327&quot;,&quot;issue&quot;:&quot;9333&quot;,&quot;issued&quot;:{&quot;date-parts&quot;:[[&quot;2002&quot;]]},&quot;page&quot;:&quot;603-609&quot;,&quot;title&quot;:&quot;Infrared ear thermometry compared with rectal thermometry in children: A systematic review&quot;,&quot;type&quot;:&quot;article-journal&quot;,&quot;volume&quot;:&quot;360&quot;,&quot;container-title-short&quot;:&quot;&quot;},&quot;uris&quot;:[&quot;http://www.mendeley.com/documents/?uuid=8c4e3ed1-4c01-4e44-a025-2ad63eda22d0&quot;],&quot;isTemporary&quot;:false,&quot;legacyDesktopId&quot;:&quot;8c4e3ed1-4c01-4e44-a025-2ad63eda22d0&quot;}]},{&quot;citationID&quot;:&quot;MENDELEY_CITATION_6cb6ba57-154c-44eb-acbe-5866d9d3173d&quot;,&quot;properties&quot;:{&quot;noteIndex&quot;:0},&quot;isEdited&quot;:false,&quot;manualOverride&quot;:{&quot;citeprocText&quot;:&quot;[30]&quot;,&quot;isManuallyOverridden&quot;:false,&quot;manualOverrideText&quot;:&quot;&quot;},&quot;citationTag&quot;:&quot;MENDELEY_CITATION_v3_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&quot;,&quot;citationItems&quot;:[{&quot;id&quot;:&quot;560c0101-c1bf-5acb-afb0-fb783593f233&quot;,&quot;itemData&quot;:{&quot;DOI&quot;:&quot;10.1007/BF03012021&quot;,&quot;ISSN&quot;:&quot;0832-610X&quot;,&quot;PMID&quot;:&quot;9597204&quot;,&quot;abstract&quot;:&quot;Purpose: The gradient between temperatures measured at different body sites is not constant; one factor which will change this gradient is rapid changes in body temperature. Measurement of this gradient was done in patients undergoing rapid changes in body temperature to establish the best site to measure temperature and to compare two brands of commercial tympanic thermometers. Method: A total of 228 sets of temperatures were measured from probes in the oesophagus, rectum, and axilla and from two brands of tympanic thermometer and compared with pulmonary artery (PA) temperature in 18 adults during cardiac surgery. Results: Measurements from the oesophageal site was closest to PA readings (mean difference 0.0 ± 0.5°C) compared with IVAC tympanic thermometer (mean difference -0.3 ± 0.5°C), Genius tympanic thermometer (mean difference -0.4 ± 0.5°C), axillary (mean difference 0.2 ± 1.0°C) and rectal (mean difference -0.4 ± 1.0°C) readings. When data during cooling were analysed separately, all sites had similar gradients from PA except for rectal, which was larger. On rewarming, oesophageal readings were closest to PA readings; tympanic readings were doser to PA than were rectal or axillary readings. Readings from the two brands of tympanic thermometer were equivalent. Conclusion: Oesophageal temperature is more accurate and will reflect rapid changes in body temperature better than tympanic, axillary, or rectal temperature. When oesophageal temperature cannot be measured, tympanic temperature done by a trained operator should become the reading of choice.&quot;,&quot;author&quot;:[{&quot;dropping-particle&quot;:&quot;&quot;,&quot;family&quot;:&quot;Robinson&quot;,&quot;given&quot;:&quot;Joan&quot;,&quot;non-dropping-particle&quot;:&quot;&quot;,&quot;parse-names&quot;:false,&quot;suffix&quot;:&quot;&quot;},{&quot;dropping-particle&quot;:&quot;&quot;,&quot;family&quot;:&quot;Charlton&quot;,&quot;given&quot;:&quot;Jeff&quot;,&quot;non-dropping-particle&quot;:&quot;&quot;,&quot;parse-names&quot;:false,&quot;suffix&quot;:&quot;&quot;},{&quot;dropping-particle&quot;:&quot;&quot;,&quot;family&quot;:&quot;Seal&quot;,&quot;given&quot;:&quot;Robert&quot;,&quot;non-dropping-particle&quot;:&quot;&quot;,&quot;parse-names&quot;:false,&quot;suffix&quot;:&quot;&quot;},{&quot;dropping-particle&quot;:&quot;&quot;,&quot;family&quot;:&quot;Spady&quot;,&quot;given&quot;:&quot;Donald&quot;,&quot;non-dropping-particle&quot;:&quot;&quot;,&quot;parse-names&quot;:false,&quot;suffix&quot;:&quot;&quot;},{&quot;dropping-particle&quot;:&quot;&quot;,&quot;family&quot;:&quot;Joffres&quot;,&quot;given&quot;:&quot;Michel R.&quot;,&quot;non-dropping-particle&quot;:&quot;&quot;,&quot;parse-names&quot;:false,&quot;suffix&quot;:&quot;&quot;}],&quot;container-title&quot;:&quot;Canadian Journal of Anaesthesia&quot;,&quot;id&quot;:&quot;560c0101-c1bf-5acb-afb0-fb783593f233&quot;,&quot;issue&quot;:&quot;4&quot;,&quot;issued&quot;:{&quot;date-parts&quot;:[[&quot;1998&quot;,&quot;4&quot;]]},&quot;page&quot;:&quot;317-323&quot;,&quot;title&quot;:&quot;Oesophageal, rectal, axillary, tympanic and pulmonary artery temperatures during cardiac surgery&quot;,&quot;type&quot;:&quot;article-journal&quot;,&quot;volume&quot;:&quot;45&quot;,&quot;container-title-short&quot;:&quot;&quot;},&quot;uris&quot;:[&quot;http://www.mendeley.com/documents/?uuid=a43c498c-7d21-4530-9a30-87475a998775&quot;],&quot;isTemporary&quot;:false,&quot;legacyDesktopId&quot;:&quot;a43c498c-7d21-4530-9a30-87475a998775&quot;}]},{&quot;citationID&quot;:&quot;MENDELEY_CITATION_fea0278f-a92a-4ad6-a057-975d0dae16fe&quot;,&quot;properties&quot;:{&quot;noteIndex&quot;:0},&quot;isEdited&quot;:false,&quot;manualOverride&quot;:{&quot;citeprocText&quot;:&quot;[35]&quot;,&quot;isManuallyOverridden&quot;:false,&quot;manualOverrideText&quot;:&quot;&quot;},&quot;citationTag&quot;:&quot;MENDELEY_CITATION_v3_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&quot;,&quot;citationItems&quot;:[{&quot;id&quot;:&quot;c3ee3411-443c-5202-9897-7eebc14ff756&quot;,&quot;itemData&quot;:{&quot;DOI&quot;:&quot;10.1007/s10877-021-00758-1&quot;,&quot;ISBN&quot;:&quot;1087702100&quot;,&quot;ISSN&quot;:&quot;15732614&quot;,&quot;PMID&quot;:&quot;34559326&quot;,&quot;abstract&quot;:&quot;We evaluated the disposable non-invasive SpotOn™ thermometer relying on the zero-heat-flux technology. We tested the hypothesis that this technology may accurately estimate the core temperature. The primary objective was to compare cutaneous temperature measurements from this device with blood temperatures measured with the pulmonary artery catheter. Secondary objective was to compare measurements from the zero-heat-flux thermometer indirectly with other routinely used thermometers (nasopharyngeal, bladder, rectal). We included 40 patients electively scheduled for either off-pump coronary artery bypass surgery or pulmonary thromboendarterectomy. Temperatures were measured using zero-heat-flux (SpotOn™), pulmonary artery catheter, nasopharyngeal, rectal, and bladder thermometers. Agreement was assessed using the Bland and Altman random effects method for repeated measures data, and Lin’s concordance correlation coefficient. Accuracy was estimated (defined as &lt;0.5° difference with the gold standard), with a 95% confidence interval considering the multiple pairs of measurements per patient. 17 850 sets of temperature measurements were analyzed from 40 patients. The mean overall difference between zero-heat-flux and pulmonary artery catheter thermometer was -0.06 °C (95% limits of agreement of ± 0.89 °C). In addition, 14 968 sets of temperature measurements were analyzed from 34 patients with all thermometers in situ. Results from the zero-heat-flux thermometer showed better agreement with the pulmonary artery catheter than the other secondary core thermometers assessed. In conclusion, the SpotOn™ thermometer reliably assessed core temperature during cardiac surgery. It could be considered an alternative for other secondary thermometers in the assessment of core temperature during general anesthesia.&quot;,&quot;author&quot;:[{&quot;dropping-particle&quot;:&quot;&quot;,&quot;family&quot;:&quot;Verheyden&quot;,&quot;given&quot;:&quot;Christophe&quot;,&quot;non-dropping-particle&quot;:&quot;&quot;,&quot;parse-names&quot;:false,&quot;suffix&quot;:&quot;&quot;},{&quot;dropping-particle&quot;:&quot;&quot;,&quot;family&quot;:&quot;Neyrinck&quot;,&quot;given&quot;:&quot;Arne&quot;,&quot;non-dropping-particle&quot;:&quot;&quot;,&quot;parse-names&quot;:false,&quot;suffix&quot;:&quot;&quot;},{&quot;dropping-particle&quot;:&quot;&quot;,&quot;family&quot;:&quot;Laenen&quot;,&quot;given&quot;:&quot;Annouschka&quot;,&quot;non-dropping-particle&quot;:&quot;&quot;,&quot;parse-names&quot;:false,&quot;suffix&quot;:&quot;&quot;},{&quot;dropping-particle&quot;:&quot;&quot;,&quot;family&quot;:&quot;Rex&quot;,&quot;given&quot;:&quot;Steffen&quot;,&quot;non-dropping-particle&quot;:&quot;&quot;,&quot;parse-names&quot;:false,&quot;suffix&quot;:&quot;&quot;},{&quot;dropping-particle&quot;:&quot;&quot;,&quot;family&quot;:&quot;Gerven&quot;,&quot;given&quot;:&quot;Elke&quot;,&quot;non-dropping-particle&quot;:&quot;Van&quot;,&quot;parse-names&quot;:false,&quot;suffix&quot;:&quot;&quot;}],&quot;container-title&quot;:&quot;Journal of Clinical Monitoring and Computing&quot;,&quot;id&quot;:&quot;c3ee3411-443c-5202-9897-7eebc14ff756&quot;,&quot;issue&quot;:&quot;5&quot;,&quot;issued&quot;:{&quot;date-parts&quot;:[[&quot;2022&quot;]]},&quot;page&quot;:&quot;1279-1287&quot;,&quot;publisher&quot;:&quot;Springer Netherlands&quot;,&quot;title&quot;:&quot;Clinical evaluation of a cutaneous zero-heat-flux thermometer during cardiac surgery&quot;,&quot;type&quot;:&quot;article-journal&quot;,&quot;volume&quot;:&quot;36&quot;,&quot;container-title-short&quot;:&quot;J. Clin. Monit. Comput.&quot;},&quot;uris&quot;:[&quot;http://www.mendeley.com/documents/?uuid=e07dad73-381f-4076-b23c-07e3728b5be4&quot;],&quot;isTemporary&quot;:false,&quot;legacyDesktopId&quot;:&quot;e07dad73-381f-4076-b23c-07e3728b5be4&quot;}]},{&quot;citationID&quot;:&quot;MENDELEY_CITATION_4cb4b9a2-db73-4a0e-a3bf-93a4cb981cc6&quot;,&quot;properties&quot;:{&quot;noteIndex&quot;:0},&quot;isEdited&quot;:false,&quot;manualOverride&quot;:{&quot;citeprocText&quot;:&quot;[36,37]&quot;,&quot;isManuallyOverridden&quot;:false,&quot;manualOverrideText&quot;:&quot;&quot;},&quot;citationTag&quot;:&quot;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&quot;,&quot;citationItems&quot;:[{&quot;id&quot;:&quot;e0b07871-0a52-5641-a2b0-0113e0d8c693&quot;,&quot;itemData&quot;:{&quot;DOI&quot;:&quot;10.1038/s41598-023-49929-x&quot;,&quot;ISBN&quot;:&quot;0123456789&quot;,&quot;ISSN&quot;:&quot;20452322&quot;,&quot;PMID&quot;:&quot;38110650&quot;,&quot;abstract&quot;:&quot;Rectal core temperature monitoring can help fire services mitigate heat injury but can be invasive and impractical. EQ02 + LifeMonitor provides a non-invasive estimation of core temperature. Therefore, the primary purpose of this study was to determine the validity of the EQ02 + LifeMonitor compared to the gold standard rectal thermometer core temperature assessment, as well as the potential influence of turnout gear on the estimated and physiological strain experienced during these activities. Thirteen participants completed simulated firefighting tasks with and without turnout gear, involving four rounds of a 5-min walk on a treadmill at 2.8 mph/2.5% grade and 20 deadlifts over 5 min in an environmental chamber set to 40.6 °C; 50% humidity. During each trial participants wore both an EQ02 + LifeMonitor and DataTherm II rectal thermometer. The results from the devices were statistically equivalent (p &lt; 0.001), yet there was a statistically significant difference in the value (~ 0.1 °C; p &lt; 0.001). There was a significant effect of devices [p &lt; 0.001] and time [p &lt; 0.001], but no interaction effect [p = 0.70] on core temperature drift. Estimated core temperature was marginally different from that measured via the DataTherm II. The EQ02 on average overestimated core temperature. Heart rate, rating of perceived exertion, and area under the curve of core temperature were significantly elevated due to turnout gear [ps &lt; 0.025], but not core temperature skin temperature, or ventilatory rate [ps &gt; 0.372]. These results suggest the EQ02 + LifeMonitor may be a viable, non-invasive alternative for assessing core temperature compared to rectal temperature monitoring, especially during rigorous, intermittent activities. Turnout gear does however increase heart rate, cumulative core temperature, and perceived exertion. Additionally, the validity of the estimated core temperature is not impacted by the use turnout gear. This is likely due to significant changes in heart rate, which allowed the heart-rate derived estimate of core temperature to remain consistent with changes in DataTherm II rectal temperatures.&quot;,&quot;author&quot;:[{&quot;dropping-particle&quot;:&quot;&quot;,&quot;family&quot;:&quot;Agostinelli&quot;,&quot;given&quot;:&quot;Philip J.&quot;,&quot;non-dropping-particle&quot;:&quot;&quot;,&quot;parse-names&quot;:false,&quot;suffix&quot;:&quot;&quot;},{&quot;dropping-particle&quot;:&quot;&quot;,&quot;family&quot;:&quot;Linder&quot;,&quot;given&quot;:&quot;Braxton A.&quot;,&quot;non-dropping-particle&quot;:&quot;&quot;,&quot;parse-names&quot;:false,&quot;suffix&quot;:&quot;&quot;},{&quot;dropping-particle&quot;:&quot;&quot;,&quot;family&quot;:&quot;Frick&quot;,&quot;given&quot;:&quot;Katherine A.&quot;,&quot;non-dropping-particle&quot;:&quot;&quot;,&quot;parse-names&quot;:false,&quot;suffix&quot;:&quot;&quot;},{&quot;dropping-particle&quot;:&quot;&quot;,&quot;family&quot;:&quot;Bordonie&quot;,&quot;given&quot;:&quot;Nicholas C.&quot;,&quot;non-dropping-particle&quot;:&quot;&quot;,&quot;parse-names&quot;:false,&quot;suffix&quot;:&quot;&quot;},{&quot;dropping-particle&quot;:&quot;&quot;,&quot;family&quot;:&quot;Neal&quot;,&quot;given&quot;:&quot;Frances K.&quot;,&quot;non-dropping-particle&quot;:&quot;&quot;,&quot;parse-names&quot;:false,&quot;suffix&quot;:&quot;&quot;},{&quot;dropping-particle&quot;:&quot;&quot;,&quot;family&quot;:&quot;Sefton&quot;,&quot;given&quot;:&quot;Jo Ellen M.&quot;,&quot;non-dropping-particle&quot;:&quot;&quot;,&quot;parse-names&quot;:false,&quot;suffix&quot;:&quot;&quot;}],&quot;container-title&quot;:&quot;Scientific Reports&quot;,&quot;id&quot;:&quot;e0b07871-0a52-5641-a2b0-0113e0d8c693&quot;,&quot;issue&quot;:&quot;1&quot;,&quot;issued&quot;:{&quot;date-parts&quot;:[[&quot;2023&quot;]]},&quot;page&quot;:&quot;1-11&quot;,&quot;publisher&quot;:&quot;Nature Publishing Group UK&quot;,&quot;title&quot;:&quot;Validity of heart rate derived core temperature estimation during simulated firefighting tasks&quot;,&quot;type&quot;:&quot;article-journal&quot;,&quot;volume&quot;:&quot;13&quot;,&quot;container-title-short&quot;:&quot;Sci. Rep.&quot;},&quot;uris&quot;:[&quot;http://www.mendeley.com/documents/?uuid=4953af70-c009-46dc-ae8e-f5f018599c3a&quot;],&quot;isTemporary&quot;:false,&quot;legacyDesktopId&quot;:&quot;4953af70-c009-46dc-ae8e-f5f018599c3a&quot;},{&quot;id&quot;:&quot;103c8a13-dc80-541b-b59c-57283d6b691d&quot;,&quot;itemData&quot;:{&quot;DOI&quot;:&quot;10.3390/s21175932&quot;,&quot;ISSN&quot;:&quot;14248220&quot;,&quot;PMID&quot;:&quot;34502822&quot;,&quot;abstract&quot;:&quot;Monitoring core body temperature (Tc) during training and competitions, especially in a hot environment, can help enhance an athlete’s performance, as well as lower the risk for heat stroke. Accordingly, a noninvasive sensor that allows reliable monitoring of Tc would be highly beneficial in this context. One such novel non‐invasive sensor was recently introduced onto the market (CORE, greenTEG, Rümlang, Switzerland), but, to our knowledge, a validation study of this device has not yet been reported. Therefore, the purpose of this study was to evaluate the validity and reliability of the CORE sensor. In Study I, 12 males were subjected to a low‐to‐moderate heat load by performing, on two separate occasions several days apart, two identical 60‐min bouts of steady‐state cycling in the laboratory at 19 °C and 30% relative humidity. In Study II, 13 males were subjected to moderate‐to‐high heat load by performing 90 min of cycling in the laboratory at 31 °C and 39% relative humidity. In both cases the core body temperatures indicated by the CORE sensor were compared to the corresponding values obtained using a rectal sensor (Trec). The first major finding was that the reliability of the CORE sensor is acceptable, since the mean bias between the two identical trials of exercise (0.02 °C) was not statistically significant. However, under both levels of heat load, the body temperature indicated by the CORE sensor did not agree well with Trec, with approximately 50% of all paired measurements differing by more than the predefined threshold for validity of ≤ 0.3 °C. In conclusion, the results obtained do not support the manufacturer’s claim that the CORE sensor provides a valid measure of core body temperature.&quot;,&quot;author&quot;:[{&quot;dropping-particle&quot;:&quot;&quot;,&quot;family&quot;:&quot;Verdel&quot;,&quot;given&quot;:&quot;Nina&quot;,&quot;non-dropping-particle&quot;:&quot;&quot;,&quot;parse-names&quot;:false,&quot;suffix&quot;:&quot;&quot;},{&quot;dropping-particle&quot;:&quot;&quot;,&quot;family&quot;:&quot;Podlogar&quot;,&quot;given&quot;:&quot;Tim&quot;,&quot;non-dropping-particle&quot;:&quot;&quot;,&quot;parse-names&quot;:false,&quot;suffix&quot;:&quot;&quot;},{&quot;dropping-particle&quot;:&quot;&quot;,&quot;family&quot;:&quot;Ciuha&quot;,&quot;given&quot;:&quot;Urša&quot;,&quot;non-dropping-particle&quot;:&quot;&quot;,&quot;parse-names&quot;:false,&quot;suffix&quot;:&quot;&quot;},{&quot;dropping-particle&quot;:&quot;&quot;,&quot;family&quot;:&quot;Holmberg&quot;,&quot;given&quot;:&quot;Hans Christer&quot;,&quot;non-dropping-particle&quot;:&quot;&quot;,&quot;parse-names&quot;:false,&quot;suffix&quot;:&quot;&quot;},{&quot;dropping-particle&quot;:&quot;&quot;,&quot;family&quot;:&quot;Debevec&quot;,&quot;given&quot;:&quot;Tadej&quot;,&quot;non-dropping-particle&quot;:&quot;&quot;,&quot;parse-names&quot;:false,&quot;suffix&quot;:&quot;&quot;},{&quot;dropping-particle&quot;:&quot;&quot;,&quot;family&quot;:&quot;Supej&quot;,&quot;given&quot;:&quot;Matej&quot;,&quot;non-dropping-particle&quot;:&quot;&quot;,&quot;parse-names&quot;:false,&quot;suffix&quot;:&quot;&quot;}],&quot;container-title&quot;:&quot;Sensors&quot;,&quot;id&quot;:&quot;103c8a13-dc80-541b-b59c-57283d6b691d&quot;,&quot;issue&quot;:&quot;17&quot;,&quot;issued&quot;:{&quot;date-parts&quot;:[[&quot;2021&quot;]]},&quot;page&quot;:&quot;1-13&quot;,&quot;title&quot;:&quot;Reliability and validity of the core sensor to assess core body temperature during cycling exercise&quot;,&quot;type&quot;:&quot;article-journal&quot;,&quot;volume&quot;:&quot;21&quot;,&quot;container-title-short&quot;:&quot;&quot;},&quot;uris&quot;:[&quot;http://www.mendeley.com/documents/?uuid=8b4f54b9-3aac-4147-bf69-0fa3be0dc663&quot;],&quot;isTemporary&quot;:false,&quot;legacyDesktopId&quot;:&quot;8b4f54b9-3aac-4147-bf69-0fa3be0dc663&quot;}]},{&quot;citationID&quot;:&quot;MENDELEY_CITATION_87fd1d3d-ae4a-4678-8e76-d05ea82ecbe8&quot;,&quot;properties&quot;:{&quot;noteIndex&quot;:0},&quot;isEdited&quot;:false,&quot;manualOverride&quot;:{&quot;citeprocText&quot;:&quot;[38,39]&quot;,&quot;isManuallyOverridden&quot;:false,&quot;manualOverrideText&quot;:&quot;&quot;},&quot;citationTag&quot;:&quot;MENDELEY_CITATION_v3_eyJjaXRhdGlvbklEIjoiTUVOREVMRVlfQ0lUQVRJT05fODdmZDFkM2QtYWU0YS00Njc4LThlNzYtZDA1ZWE4MmVjYmU4IiwicHJvcGVydGllcyI6eyJub3RlSW5kZXgiOjB9LCJpc0VkaXRlZCI6ZmFsc2UsIm1hbnVhbE92ZXJyaWRlIjp7ImNpdGVwcm9jVGV4dCI6IlszOCwzOV0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&quot;,&quot;citationItems&quot;:[{&quot;id&quot;:&quot;a28b6bf6-51dd-52dc-b476-f24079ec137d&quot;,&quot;itemData&quot;:{&quot;DOI&quot;:&quot;10.1007/s10286-002-0043-9&quot;,&quot;ISSN&quot;:&quot;09599851&quot;,&quot;PMID&quot;:&quot;12269545&quot;,&quot;author&quot;:[{&quot;dropping-particle&quot;:&quot;&quot;,&quot;family&quot;:&quot;Kräuchi&quot;,&quot;given&quot;:&quot;Kurt&quot;,&quot;non-dropping-particle&quot;:&quot;&quot;,&quot;parse-names&quot;:false,&quot;suffix&quot;:&quot;&quot;}],&quot;container-title&quot;:&quot;Clinical Autonomic Research&quot;,&quot;id&quot;:&quot;a28b6bf6-51dd-52dc-b476-f24079ec137d&quot;,&quot;issue&quot;:&quot;3&quot;,&quot;issued&quot;:{&quot;date-parts&quot;:[[&quot;2002&quot;]]},&quot;page&quot;:&quot;147-149&quot;,&quot;title&quot;:&quot;How is the circadian rhythm of core body temperature regulated?&quot;,&quot;type&quot;:&quot;article-journal&quot;,&quot;volume&quot;:&quot;12&quot;,&quot;container-title-short&quot;:&quot;&quot;},&quot;uris&quot;:[&quot;http://www.mendeley.com/documents/?uuid=42c07cb6-8f92-4af9-a06c-a5fe4e218f0b&quot;],&quot;isTemporary&quot;:false,&quot;legacyDesktopId&quot;:&quot;42c07cb6-8f92-4af9-a06c-a5fe4e218f0b&quot;},{&quot;id&quot;:&quot;a49978f2-0421-5f18-8a7b-cfc187ca6e1a&quot;,&quot;itemData&quot;:{&quot;DOI&quot;:&quot;http://dx.doi.org/10.1152/ajpregu.1994.267.3.R819&quot;,&quot;author&quot;:[{&quot;dropping-particle&quot;:&quot;&quot;,&quot;family&quot;:&quot;Kräuchi&quot;,&quot;given&quot;:&quot;Kurt&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The American journal of physiology&quot;,&quot;id&quot;:&quot;a49978f2-0421-5f18-8a7b-cfc187ca6e1a&quot;,&quot;issue&quot;:&quot;3 Pt 2&quot;,&quot;issued&quot;:{&quot;date-parts&quot;:[[&quot;1994&quot;]]},&quot;page&quot;:&quot;R819-29&quot;,&quot;title&quot;:&quot;Circadian rhythm of heat production, heart rate , and skin and core temperature under unmasking conditions in men&quot;,&quot;type&quot;:&quot;article-journal&quot;,&quot;volume&quot;:&quot;267&quot;,&quot;container-title-short&quot;:&quot;Am. J. Physiol.&quot;},&quot;uris&quot;:[&quot;http://www.mendeley.com/documents/?uuid=a6bb2531-74a2-49b2-8503-e64161aa2446&quot;],&quot;isTemporary&quot;:false,&quot;legacyDesktopId&quot;:&quot;a6bb2531-74a2-49b2-8503-e64161aa2446&quot;}]},{&quot;citationID&quot;:&quot;MENDELEY_CITATION_9bbce735-500e-413a-a793-4ceefbe9d1f3&quot;,&quot;properties&quot;:{&quot;noteIndex&quot;:0},&quot;isEdited&quot;:false,&quot;manualOverride&quot;:{&quot;citeprocText&quot;:&quot;[38,40,41]&quot;,&quot;isManuallyOverridden&quot;:false,&quot;manualOverrideText&quot;:&quot;&quot;},&quot;citationTag&quot;:&quot;MENDELEY_CITATION_v3_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&quot;,&quot;citationItems&quot;:[{&quot;id&quot;:&quot;a28b6bf6-51dd-52dc-b476-f24079ec137d&quot;,&quot;itemData&quot;:{&quot;DOI&quot;:&quot;10.1007/s10286-002-0043-9&quot;,&quot;ISSN&quot;:&quot;09599851&quot;,&quot;PMID&quot;:&quot;12269545&quot;,&quot;author&quot;:[{&quot;dropping-particle&quot;:&quot;&quot;,&quot;family&quot;:&quot;Kräuchi&quot;,&quot;given&quot;:&quot;Kurt&quot;,&quot;non-dropping-particle&quot;:&quot;&quot;,&quot;parse-names&quot;:false,&quot;suffix&quot;:&quot;&quot;}],&quot;container-title&quot;:&quot;Clinical Autonomic Research&quot;,&quot;id&quot;:&quot;a28b6bf6-51dd-52dc-b476-f24079ec137d&quot;,&quot;issue&quot;:&quot;3&quot;,&quot;issued&quot;:{&quot;date-parts&quot;:[[&quot;2002&quot;]]},&quot;page&quot;:&quot;147-149&quot;,&quot;title&quot;:&quot;How is the circadian rhythm of core body temperature regulated?&quot;,&quot;type&quot;:&quot;article-journal&quot;,&quot;volume&quot;:&quot;12&quot;,&quot;container-title-short&quot;:&quot;&quot;},&quot;uris&quot;:[&quot;http://www.mendeley.com/documents/?uuid=42c07cb6-8f92-4af9-a06c-a5fe4e218f0b&quot;],&quot;isTemporary&quot;:false,&quot;legacyDesktopId&quot;:&quot;42c07cb6-8f92-4af9-a06c-a5fe4e218f0b&quot;},{&quot;id&quot;:&quot;5eedb2e2-4d76-5bf9-9a82-b50fba1bd88b&quot;,&quot;itemData&quot;:{&quot;DOI&quot;:&quot;10.3758/BF03203466&quot;,&quot;ISSN&quot;:&quot;07433808&quot;,&quot;abstract&quot;:&quot;Currently available methods for the analysis of circadian rhythms provide little help in the evaluation of the circadian rhythm of body temperature because they either assume that the circadian rhythm of body temperature approximates a cosine wave (which for many species is not true) or simply do not address important parameters, such as the amplitude and the shape of the temperature rhythm. The present paper presents methods for the computation and statistical evaluation of the period, amplitude, mean level, and general shape of the circadian rhythm of body temperature. The period is analyzed by the periodogram procedure, whereas the other parameters are analyzed by the histogram method. Both procedures are simple to implement and relatively insensitive to spurious data points. A simplified but fully operational program in BASIC is provided. © 1992 Psychonomic Society, Inc.&quot;,&quot;author&quot;:[{&quot;dropping-particle&quot;:&quot;&quot;,&quot;family&quot;:&quot;Refinetti&quot;,&quot;given&quot;:&quot;Roberto&quot;,&quot;non-dropping-particle&quot;:&quot;&quot;,&quot;parse-names&quot;:false,&quot;suffix&quot;:&quot;&quot;}],&quot;container-title&quot;:&quot;Behavior Research Methods, Instruments, &amp; Computers&quot;,&quot;id&quot;:&quot;5eedb2e2-4d76-5bf9-9a82-b50fba1bd88b&quot;,&quot;issue&quot;:&quot;1&quot;,&quot;issued&quot;:{&quot;date-parts&quot;:[[&quot;1992&quot;]]},&quot;page&quot;:&quot;28-36&quot;,&quot;title&quot;:&quot;Analysis of the circadian rhythm of body temperature&quot;,&quot;type&quot;:&quot;article-journal&quot;,&quot;volume&quot;:&quot;24&quot;,&quot;container-title-short&quot;:&quot;&quot;},&quot;uris&quot;:[&quot;http://www.mendeley.com/documents/?uuid=5bbf60ba-2ecd-4a38-9645-f880e6d9cdb3&quot;],&quot;isTemporary&quot;:false,&quot;legacyDesktopId&quot;:&quot;5bbf60ba-2ecd-4a38-9645-f880e6d9cdb3&quot;},{&quot;id&quot;:&quot;0b798318-f037-51c9-9f85-9dc9849e95a1&quot;,&quot;itemData&quot;:{&quot;author&quot;:[{&quot;dropping-particle&quot;:&quot;&quot;,&quot;family&quot;:&quot;Kelly&quot;,&quot;given&quot;:&quot;G&quot;,&quot;non-dropping-particle&quot;:&quot;&quot;,&quot;parse-names&quot;:false,&quot;suffix&quot;:&quot;&quot;}],&quot;container-title&quot;:&quot;Alternative Medicine Review&quot;,&quot;id&quot;:&quot;0b798318-f037-51c9-9f85-9dc9849e95a1&quot;,&quot;issue&quot;:&quot;04&quot;,&quot;issued&quot;:{&quot;date-parts&quot;:[[&quot;2006&quot;]]},&quot;page&quot;:&quot;278-293&quot;,&quot;title&quot;:&quot;Body temperature variability (Part 1): a review of the history of body temperature and its variability due to site selection, biological rhythms, fitness, and aging.&quot;,&quot;type&quot;:&quot;article-journal&quot;,&quot;volume&quot;:&quot;11&quot;,&quot;container-title-short&quot;:&quot;&quot;},&quot;uris&quot;:[&quot;http://www.mendeley.com/documents/?uuid=f96bb8ef-6f7b-4728-955e-a11e73681050&quot;],&quot;isTemporary&quot;:false,&quot;legacyDesktopId&quot;:&quot;f96bb8ef-6f7b-4728-955e-a11e73681050&quot;}]},{&quot;citationID&quot;:&quot;MENDELEY_CITATION_86e98537-4b71-401f-a06d-915afe54ffde&quot;,&quot;properties&quot;:{&quot;noteIndex&quot;:0},&quot;isEdited&quot;:false,&quot;manualOverride&quot;:{&quot;citeprocText&quot;:&quot;[42,43]&quot;,&quot;isManuallyOverridden&quot;:false,&quot;manualOverrideText&quot;:&quot;&quot;},&quot;citationTag&quot;:&quot;MENDELEY_CITATION_v3_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&quot;,&quot;citationItems&quot;:[{&quot;id&quot;:&quot;4f8e87ab-8c4b-5a13-8c06-5b66065e372e&quot;,&quot;itemData&quot;:{&quot;DOI&quot;:&quot;10.1016/0304-3940(91)90649-E&quot;,&quot;ISSN&quot;:&quot;03043940&quot;,&quot;PMID&quot;:&quot;2020391&quot;,&quot;abstract&quot;:&quot;Seven human subjects were exposed to bright light (BL, approx, 2500 lux) and dim light (DL, approx, 6 lux) during 3 h prior to nocturnal sleep, in a cross-over design. At the end of the BL exposure period core body temperature was significantly higher than at the end of the DL exposure period. The difference in core body temperature persisted during the first 4 h of sleep. The latency to sleep onset was increased after BL exposure. Rapid-eye movement sleep (REMS) and slow-wave sleep (SWS; stage 3 + 4 of non-REMS) were not significantly changed. Eight subjects were exposed to BL from 20.30 to 23.30 h while their eyes were covered or uncovered. During BL exposure with uncovered eyes, core body temperature decreased significantly less than during exposure with covered eyes. We conclude that bright light immediately affects core body temperature and that this effect is mediated via the eyes. © 1991.&quot;,&quot;author&quot;:[{&quot;dropping-particle&quot;:&quot;&quot;,&quot;family&quot;:&quot;Dijk&quot;,&quot;given&quot;:&quot;Derk-Jan&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Borbély&quot;,&quot;given&quot;:&quot;Alexander A.&quot;,&quot;non-dropping-particle&quot;:&quot;&quot;,&quot;parse-names&quot;:false,&quot;suffix&quot;:&quot;&quot;}],&quot;container-title&quot;:&quot;Neuroscience Letters&quot;,&quot;id&quot;:&quot;4f8e87ab-8c4b-5a13-8c06-5b66065e372e&quot;,&quot;issue&quot;:&quot;1-2&quot;,&quot;issued&quot;:{&quot;date-parts&quot;:[[&quot;1991&quot;,&quot;1&quot;]]},&quot;page&quot;:&quot;59-62&quot;,&quot;title&quot;:&quot;Effect of a single 3-hour exposure to bright light on core body temperature and sleep in humans&quot;,&quot;type&quot;:&quot;article-journal&quot;,&quot;volume&quot;:&quot;121&quot;,&quot;container-title-short&quot;:&quot;Neurosci. Lett.&quot;},&quot;uris&quot;:[&quot;http://www.mendeley.com/documents/?uuid=df3e20f6-4788-4416-99e4-85aee88ddd75&quot;],&quot;isTemporary&quot;:false,&quot;legacyDesktopId&quot;:&quot;df3e20f6-4788-4416-99e4-85aee88ddd75&quot;},{&quot;id&quot;:&quot;fed2169a-9f15-539c-b715-87a32e700c45&quot;,&quot;itemData&quot;:{&quot;DOI&quot;:&quot;10.1038/s41598-025-22542-w&quot;,&quot;ISSN&quot;:&quot;2045-2322&quot;,&quot;PMID&quot;:&quot;41188435&quot;,&quot;abstract&quot;:&quot;Implementing novel, human-centric building control strategies that account for the interaction of multidomain factors, light, temperature, and time of day, can enhance occupant comfort and promote energy savings. However, their successful implementations require a robust framework that clearly explains the physiological mechanisms through which light exposure influences thermal perception and evaluation. To date, most studies have primarily relied on the hue-heat hypothesis, which attributes changes in thermal assessment solely to visual color associations, overlooking the physiological impact of light, particularly blue-enriched bright light, on the circadian rhythm and thermoregulation. In this study, we investigated the influence of light intensity on thermal physiology, perception, and behavior within a circadian context, employing skin temperature measurements, subjective questionnaires, and fan-use behavior as outcome measures. 20 healthy adults participated in four experimental sessions combining two illuminance levels (bright vs. dim, with identical spectral composition) at two times of day (07:00 and 14:00) under warm conditions, both steady-state and fan-induced dynamic ones. Results showed that skin temperature followed its natural circadian rhythm, being lower in the early morning than at midday. Notably, bright light exposure significantly suppressed the circadian rise in skin temperature in the morning, shifted thermal sensation votes from slightly warm towards neutral, and improved thermal comfort votes compared to dim light or midday exposure. This effect was evident under steady-state warm conditions and persisted following fan use. In contrast, under the fan-induced slightly cool condition, neither light intensity nor time of day significantly affected thermal assessment. These findings underscore the fundamental role of circadian physiology in thermal comfort and suggest that strategically timed light and thermal exposure can optimize comfort by aligning ambient conditions with the body’s internal rhythms.&quot;,&quot;author&quot;:[{&quot;dropping-particle&quot;:&quot;&quot;,&quot;family&quot;:&quot;Elkounni&quot;,&quot;given&quot;:&quot;Abdelkader&quot;,&quot;non-dropping-particle&quot;:&quot;&quot;,&quot;parse-names&quot;:false,&quot;suffix&quot;:&quot;&quot;},{&quot;dropping-particle&quot;:&quot;&quot;,&quot;family&quot;:&quot;Vellei&quot;,&quot;given&quot;:&quot;Marika&quot;,&quot;non-dropping-particle&quot;:&quot;&quot;,&quot;parse-names&quot;:false,&quot;suffix&quot;:&quot;&quot;},{&quot;dropping-particle&quot;:&quot;&quot;,&quot;family&quot;:&quot;Dréau&quot;,&quot;given&quot;:&quot;Jérôme&quot;,&quot;non-dropping-particle&quot;:&quot;Le&quot;,&quot;parse-names&quot;:false,&quot;suffix&quot;:&quot;&quot;},{&quot;dropping-particle&quot;:&quot;&quot;,&quot;family&quot;:&quot;Schweiker&quot;,&quot;given&quot;:&quot;Marcel&quot;,&quot;non-dropping-particle&quot;:&quot;&quot;,&quot;parse-names&quot;:false,&quot;suffix&quot;:&quot;&quot;},{&quot;dropping-particle&quot;:&quot;&quot;,&quot;family&quot;:&quot;Inard&quot;,&quot;given&quot;:&quot;Christian&quot;,&quot;non-dropping-particle&quot;:&quot;&quot;,&quot;parse-names&quot;:false,&quot;suffix&quot;:&quot;&quot;}],&quot;container-title&quot;:&quot;Scientific Reports&quot;,&quot;id&quot;:&quot;fed2169a-9f15-539c-b715-87a32e700c45&quot;,&quot;issue&quot;:&quot;1&quot;,&quot;issued&quot;:{&quot;date-parts&quot;:[[&quot;2025&quot;,&quot;11&quot;,&quot;4&quot;]]},&quot;page&quot;:&quot;38640&quot;,&quot;title&quot;:&quot;Acute effect of light and time of day on thermal physiology, perception, and behavior&quot;,&quot;type&quot;:&quot;article-journal&quot;,&quot;volume&quot;:&quot;15&quot;,&quot;container-title-short&quot;:&quot;Sci. Rep.&quot;},&quot;uris&quot;:[&quot;http://www.mendeley.com/documents/?uuid=04c62b7e-9fe9-481c-9c47-9cf80a7cbfdd&quot;],&quot;isTemporary&quot;:false,&quot;legacyDesktopId&quot;:&quot;04c62b7e-9fe9-481c-9c47-9cf80a7cbfdd&quot;}]},{&quot;citationID&quot;:&quot;MENDELEY_CITATION_01ddc931-56f7-4959-8db3-8e565c285631&quot;,&quot;properties&quot;:{&quot;noteIndex&quot;:0},&quot;isEdited&quot;:false,&quot;manualOverride&quot;:{&quot;citeprocText&quot;:&quot;[44,45]&quot;,&quot;isManuallyOverridden&quot;:false,&quot;manualOverrideText&quot;:&quot;&quot;},&quot;citationTag&quot;:&quot;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&quot;,&quot;citationItems&quot;:[{&quot;id&quot;:&quot;f9ecad77-8e4d-5241-b7ea-3bc90006d749&quot;,&quot;itemData&quot;:{&quot;DOI&quot;:&quot;10.1093/gerona/glr001&quot;,&quot;ISSN&quot;:&quot;1079-5006&quot;,&quot;PMID&quot;:&quot;21324956&quot;,&quot;abstract&quot;:&quot;In animal studies, caloric restriction resulting in increased longevity is associated with a reduction in body temperature, which is strain specific and likely under genetic control. Small studies in humans have suggested that temperatures may be lower among elderly populations, usually attributed to loss of thermoregulation. We analyzed cross-sectional data from 18,630 white adults aged 20-98 years (mean 58.3 years) who underwent oral temperature measurement as part of a standardized health appraisal at a large U.S. health maintenance organization. Overall, women had higher mean temperatures (97.5 ± 1.2°F) than men (97.2 ± 1.1°F; p &lt; .0001). Mean temperature decreased with age, with a difference of 0.3°F between oldest and youngest groups after controlling for sex, body mass index, and white blood cell count. The results are consistent with low body temperature as a biomarker for longevity. Prospective studies are needed to confirm whether this represents a survival advantage associated with lifetime low steady state temperature. © The Author 2011. Published by Oxford University Press on behalf of The Gerontological Society of America. All rights reserved.&quot;,&quot;author&quot;:[{&quot;dropping-particle&quot;:&quot;&quot;,&quot;family&quot;:&quot;Waalen&quot;,&quot;given&quot;:&quot;Jill&quot;,&quot;non-dropping-particle&quot;:&quot;&quot;,&quot;parse-names&quot;:false,&quot;suffix&quot;:&quot;&quot;},{&quot;dropping-particle&quot;:&quot;&quot;,&quot;family&quot;:&quot;Buxbaum&quot;,&quot;given&quot;:&quot;Joel N.&quot;,&quot;non-dropping-particle&quot;:&quot;&quot;,&quot;parse-names&quot;:false,&quot;suffix&quot;:&quot;&quot;}],&quot;container-title&quot;:&quot;The Journals of Gerontology Series A: Biological Sciences and Medical Sciences&quot;,&quot;id&quot;:&quot;f9ecad77-8e4d-5241-b7ea-3bc90006d749&quot;,&quot;issue&quot;:&quot;5&quot;,&quot;issued&quot;:{&quot;date-parts&quot;:[[&quot;2011&quot;,&quot;5&quot;,&quot;1&quot;]]},&quot;page&quot;:&quot;487-492&quot;,&quot;title&quot;:&quot;Is Older Colder or Colder Older? The Association of Age With Body Temperature in 18,630 Individuals&quot;,&quot;type&quot;:&quot;article-journal&quot;,&quot;volume&quot;:&quot;66A&quot;,&quot;container-title-short&quot;:&quot;J. Gerontol. A Biol. Sci. Med. Sci.&quot;},&quot;uris&quot;:[&quot;http://www.mendeley.com/documents/?uuid=4cfec10c-c988-43f3-bd56-9dec87965377&quot;],&quot;isTemporary&quot;:false,&quot;legacyDesktopId&quot;:&quot;4cfec10c-c988-43f3-bd56-9dec87965377&quot;},{&quot;id&quot;:&quot;6282586d-d761-5107-b90d-c5d795058122&quot;,&quot;itemData&quot;:{&quot;DOI&quot;:&quot;10.1371/journal.pone.0245257&quot;,&quot;ISBN&quot;:&quot;1111111111&quot;,&quot;ISSN&quot;:&quot;19326203&quot;,&quot;PMID&quot;:&quot;33534845&quot;,&quot;abstract&quot;:&quot;Despite the increasing personalization of medicine, surprisingly ~37.0ºC (98.6ºF) continues as the estimate of normal temperature. We investigated between-subject and within-subject thermal variability, whether a significant percentage of individuals have a low mean oral temperature, and whether these differ by sex, age, time of day, ethnicity, body mass index (BMI), or menstrual phase. Oral temperature was measured by Life Brand® Fast-Read Digital Oral Thermometers and sampled 14 times over two weeks, seven morning and seven evening readings. The volunteer sample consisted of 96 adults (42 men, 54 women; 27 couples, 42 singletons), ages 18–67 years. We found sizeable individual differences in body temperature and that the normal temperature of many individuals is considerably lower than 37.0ºC (98.6ºF). Mean temperatures ranged from 35.2ºC (95.4ºF) to 37.4ºC (99.3ºF). The mean temperature across all participants was 36.1ºC (97.0ºF)—lower than most studies have reported, consistent with recent evidence of temperature declining over decades. 77% had mean temperatures at least 0.55ºC (1ºF) lower than 37.0ºC (98.6ºF). Mean temperature did not differ by age, but women had higher temperatures than men, even within a couple with room temperature and warmth of clothing equated. Although oral temperature varied widely across individuals, it showed marked stability within individuals over days. Variability of temperature over days did not differ by sex, but was larger among younger adults. Using 37.0ºC (98.6ºF) as the assumed normal temperature for everyone can result in healthcare professionals failing to detect a serious fever in individuals with a low normal temperature or obtaining false negatives for those individuals when using temperature to screen for COVID-19, mistaking their elevated temperature as normal. Some have called for lowering the estimate of normal temperature slightly (e.g., 0.2ºC [0.36ºF]). That still seems an overly high estimate. More important, using any standardized “normal” temperature will lead to errors for many people. Individual differences are simply too great. Personalizing body temperature is needed. Temperature could be measured at yearly doctor visits, as blood pressure is now. That would be simple to implement. Since our results show marked thermal stability within an individual, sampling temperature only once yearly could provide an accurate indication of a person’s normal temperature at that time of day. Such records over t…&quot;,&quot;author&quot;:[{&quot;dropping-particle&quot;:&quot;&quot;,&quot;family&quot;:&quot;Diamond&quot;,&quot;given&quot;:&quot;Adele&quot;,&quot;non-dropping-particle&quot;:&quot;&quot;,&quot;parse-names&quot;:false,&quot;suffix&quot;:&quot;&quot;},{&quot;dropping-particle&quot;:&quot;&quot;,&quot;family&quot;:&quot;Lye&quot;,&quot;given&quot;:&quot;Carolyn T.&quot;,&quot;non-dropping-particle&quot;:&quot;&quot;,&quot;parse-names&quot;:false,&quot;suffix&quot;:&quot;&quot;},{&quot;dropping-particle&quot;:&quot;&quot;,&quot;family&quot;:&quot;Prasad&quot;,&quot;given&quot;:&quot;Deepali&quot;,&quot;non-dropping-particle&quot;:&quot;&quot;,&quot;parse-names&quot;:false,&quot;suffix&quot;:&quot;&quot;},{&quot;dropping-particle&quot;:&quot;&quot;,&quot;family&quot;:&quot;Abbott&quot;,&quot;given&quot;:&quot;David&quot;,&quot;non-dropping-particle&quot;:&quot;&quot;,&quot;parse-names&quot;:false,&quot;suffix&quot;:&quot;&quot;}],&quot;container-title&quot;:&quot;PLoS ONE&quot;,&quot;id&quot;:&quot;6282586d-d761-5107-b90d-c5d795058122&quot;,&quot;issue&quot;:&quot;2 February&quot;,&quot;issued&quot;:{&quot;date-parts&quot;:[[&quot;2021&quot;]]},&quot;page&quot;:&quot;1-13&quot;,&quot;title&quot;:&quot;One size does not fit all: Assuming the same normal body temperature for everyone is not justified&quot;,&quot;type&quot;:&quot;article-journal&quot;,&quot;volume&quot;:&quot;16&quot;,&quot;container-title-short&quot;:&quot;PLoS One&quot;},&quot;uris&quot;:[&quot;http://www.mendeley.com/documents/?uuid=657db3c8-bda5-4c5b-9e3d-051dc65a32bf&quot;],&quot;isTemporary&quot;:false,&quot;legacyDesktopId&quot;:&quot;657db3c8-bda5-4c5b-9e3d-051dc65a32bf&quot;}]},{&quot;citationID&quot;:&quot;MENDELEY_CITATION_43fe10ed-a367-43fd-906b-27ea0f9662f3&quot;,&quot;properties&quot;:{&quot;noteIndex&quot;:0},&quot;isEdited&quot;:false,&quot;manualOverride&quot;:{&quot;citeprocText&quot;:&quot;[46–48]&quot;,&quot;isManuallyOverridden&quot;:false,&quot;manualOverrideText&quot;:&quot;&quot;},&quot;citationTag&quot;:&quot;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&quot;,&quot;citationItems&quot;:[{&quot;id&quot;:&quot;59fbbdd2-5984-52f2-9fec-a57581f30a9a&quot;,&quot;itemData&quot;:{&quot;DOI&quot;:&quot;10.1016/j.autneu.2025.103294&quot;,&quot;ISSN&quot;:&quot;15660702&quot;,&quot;PMID&quot;:&quot;40460598&quot;,&quot;abstract&quot;:&quot;Epidemiological studies have observed that female sex is associated with a greater risk of adverse health outcomes during heat extremes. It remains unclear if sex-related differences in autonomic temperature regulation contribute to these observations. This narrative review article provides an overview of studies that compared autonomic temperature regulation during heat stress between males and females across the lifespan. Our literature search focused on studies that investigated components of heat loss thermoeffector loops and/or that accounted for confounding differences in body morphology and metabolic heat production between males and females. Guided by this framework, we present studies that compared autonomic temperature regulation between males and females during childhood to adolescence, adulthood, middle-age, and older age. The review highlights that few studies have specifically studied sex-related differences in autonomic temperature regulation during heat stress. Most studies have focused on thermoeffector output and core temperature. In contrast, little is known regarding thermoafferent signalling, central integration of thermoafferent feedback, thermoefferent signalling and thermoeffector organ structure and function. Additional research is needed to understand how biological sex modulates autonomic temperature regulation during heat stress and how any sex-related difference may contribute to the greater health risks observed in females during heat extremes.&quot;,&quot;author&quot;:[{&quot;dropping-particle&quot;:&quot;&quot;,&quot;family&quot;:&quot;Debray&quot;,&quot;given&quot;:&quot;Amélie&quot;,&quot;non-dropping-particle&quot;:&quot;&quot;,&quot;parse-names&quot;:false,&quot;suffix&quot;:&quot;&quot;},{&quot;dropping-particle&quot;:&quot;&quot;,&quot;family&quot;:&quot;Sardar&quot;,&quot;given&quot;:&quot;Soha&quot;,&quot;non-dropping-particle&quot;:&quot;&quot;,&quot;parse-names&quot;:false,&quot;suffix&quot;:&quot;&quot;},{&quot;dropping-particle&quot;:&quot;&quot;,&quot;family&quot;:&quot;Deshayes&quot;,&quot;given&quot;:&quot;Thomas A.&quot;,&quot;non-dropping-particle&quot;:&quot;&quot;,&quot;parse-names&quot;:false,&quot;suffix&quot;:&quot;&quot;},{&quot;dropping-particle&quot;:&quot;&quot;,&quot;family&quot;:&quot;Mornas&quot;,&quot;given&quot;:&quot;Adèle&quot;,&quot;non-dropping-particle&quot;:&quot;&quot;,&quot;parse-names&quot;:false,&quot;suffix&quot;:&quot;&quot;},{&quot;dropping-particle&quot;:&quot;&quot;,&quot;family&quot;:&quot;Oubouchou&quot;,&quot;given&quot;:&quot;Katia&quot;,&quot;non-dropping-particle&quot;:&quot;&quot;,&quot;parse-names&quot;:false,&quot;suffix&quot;:&quot;&quot;},{&quot;dropping-particle&quot;:&quot;&quot;,&quot;family&quot;:&quot;Ouazaa&quot;,&quot;given&quot;:&quot;Yousra&quot;,&quot;non-dropping-particle&quot;:&quot;&quot;,&quot;parse-names&quot;:false,&quot;suffix&quot;:&quot;&quot;},{&quot;dropping-particle&quot;:&quot;&quot;,&quot;family&quot;:&quot;Gagnon&quot;,&quot;given&quot;:&quot;Daniel&quot;,&quot;non-dropping-particle&quot;:&quot;&quot;,&quot;parse-names&quot;:false,&quot;suffix&quot;:&quot;&quot;}],&quot;container-title&quot;:&quot;Autonomic Neuroscience&quot;,&quot;id&quot;:&quot;59fbbdd2-5984-52f2-9fec-a57581f30a9a&quot;,&quot;issue&quot;:&quot;April&quot;,&quot;issued&quot;:{&quot;date-parts&quot;:[[&quot;2025&quot;,&quot;8&quot;]]},&quot;page&quot;:&quot;103294&quot;,&quot;title&quot;:&quot;Sex-related differences in temperature regulation during heat stress from childhood to older age&quot;,&quot;type&quot;:&quot;article-journal&quot;,&quot;volume&quot;:&quot;260&quot;,&quot;container-title-short&quot;:&quot;&quot;},&quot;uris&quot;:[&quot;http://www.mendeley.com/documents/?uuid=86e0e0c1-f3c3-43e8-ada0-bc5ab7dddb00&quot;],&quot;isTemporary&quot;:false,&quot;legacyDesktopId&quot;:&quot;86e0e0c1-f3c3-43e8-ada0-bc5ab7dddb00&quot;},{&quot;id&quot;:&quot;758cec88-bd80-591e-baee-a5de517a07fe&quot;,&quot;itemData&quot;:{&quot;DOI&quot;:&quot;10.1152/japplphysiol.00637.2012&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758cec88-bd80-591e-baee-a5de517a07fe&quot;,&quot;issued&quot;:{&quot;date-parts&quot;:[[&quot;2012&quot;]]},&quot;page&quot;:&quot;746-757&quot;,&quot;title&quot;:&quot;Sex differences in thermoeffector responses during exercise at fixed requirements for heat loss&quot;,&quot;type&quot;:&quot;article-journal&quot;,&quot;volume&quot;:&quot;113&quot;,&quot;container-title-short&quot;:&quot;J. Appl. Physiol.&quot;},&quot;uris&quot;:[&quot;http://www.mendeley.com/documents/?uuid=c7ef40ff-3656-4fe2-8c75-2afbf3e90630&quot;],&quot;isTemporary&quot;:false,&quot;legacyDesktopId&quot;:&quot;c7ef40ff-3656-4fe2-8c75-2afbf3e90630&quot;},{&quot;id&quot;:&quot;6adb4c53-3a3f-5fe8-a318-28686a149826&quot;,&quot;itemData&quot;:{&quot;DOI&quot;:&quot;10.1152/japplphysiol.00906.2015&quot;,&quot;ISSN&quot;:&quot;8750-7587&quot;,&quot;PMID&quot;:&quot;26702025&quot;,&quot;abstract&quot;:&quot;We sought to determine 1) the influence of adiposity on thermoregulatory responses independently of the confounding biophysical factors of body mass and metabolic heat production (H prod ); and 2) whether differences in adiposity should be accounted for by prescribing an exercise intensity eliciting a fixed H prod per kilogram of lean body mass (LBM). Nine low (LO-BF) and nine high (HI-BF) body fat males matched in pairs for total body mass (TBM; LO-BF: 88.7 ± 8.4 kg, HI-BF: 90.1 ± 7.9 kg; P = 0.72), but with distinctly different percentage body fat (%BF; LO-BF: 10.8 ± 3.6%; HI-BF: 32.0 ± 5.6%; P &lt; 0.001), cycled for 60 min at 28.1 ± 0.2°C, 26 ± 8% relative humidity (RH), at a target H prod of 1) 550 W (FHP trial) and 2) 7.5 W/kg LBM (LBM trial). Changes in rectal temperature (ΔT re ) and local sweat rate (LSR) were measured continuously while whole body sweat loss (WBSL) and net heat loss (H loss ) were estimated over 60 min. In the FHP trial, ΔT re (LO-BF: 0.66 ± 0.21°C, HI-BF: 0.87 ± 0.18°C; P = 0.02) was greater in HI-BF, whereas mean LSR (LO-BF 0.52 ± 0.19, HI-BF 0.43 ± 0.15 mg·cm −2 ·min −1 ; P = 0.19), WBSL (LO-BF 586 ± 82 ml, HI-BF 559 ± 75 ml; P = 0.47) and H loss (LO-BF 1,867 ± 208 kJ, HI-BF 1,826 ± 224 kJ; P = 0.69) were all similar. In the LBM trial, ΔT re (LO-BF 0.82 ± 0.18°C, HI-BF 0.54 ± 0.19°C; P &lt; 0.001), mean LSR (LO-BF 0.59 ± 0.20, HI-BF 0.38 ± 0.12 mg·cm −2 ·min −1 ; P = 0.04), WBSL (LO-BF 580 ± 106 ml, HI-BF 381 ± 68 ml; P &lt; 0.001), and H loss (LO-BF 1,884 ± 277 kJ, HI-BF 1,341 ± 184 kJ; P &lt; 0.001) were all greater at end-exercise in LO-BF. In conclusion, high %BF individuals demonstrate a greater ΔT re independently of differences in mass and H prod , possibly due to a lower mean specific heat capacity or impaired sudomotor control. However, thermoregulatory responses of groups with different adiposity levels should not be compared using a fixed H prod in watts per kilogram lean body mass.&quot;,&quot;author&quot;:[{&quot;dropping-particle&quot;:&quot;&quot;,&quot;family&quot;:&quot;Dervis&quot;,&quot;given&quot;:&quot;Sheila&quot;,&quot;non-dropping-particle&quot;:&quot;&quot;,&quot;parse-names&quot;:false,&quot;suffix&quot;:&quot;&quot;},{&quot;dropping-particle&quot;:&quot;&quot;,&quot;family&quot;:&quot;Coombs&quot;,&quot;given&quot;:&quot;Geoff B.&quot;,&quot;non-dropping-particle&quot;:&quot;&quot;,&quot;parse-names&quot;:false,&quot;suffix&quot;:&quot;&quot;},{&quot;dropping-particle&quot;:&quot;&quot;,&quot;family&quot;:&quot;Chaseling&quot;,&quot;given&quot;:&quot;Georgia K.&quot;,&quot;non-dropping-particle&quot;:&quot;&quot;,&quot;parse-names&quot;:false,&quot;suffix&quot;:&quot;&quot;},{&quot;dropping-particle&quot;:&quot;&quot;,&quot;family&quot;:&quot;Filingeri&quot;,&quot;given&quot;:&quot;Davide&quot;,&quot;non-dropping-particle&quot;:&quot;&quot;,&quot;parse-names&quot;:false,&quot;suffix&quot;:&quot;&quot;},{&quot;dropping-particle&quot;:&quot;&quot;,&quot;family&quot;:&quot;Smoljanic&quot;,&quot;given&quot;:&quot;Jovana&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6adb4c53-3a3f-5fe8-a318-28686a149826&quot;,&quot;issue&quot;:&quot;6&quot;,&quot;issued&quot;:{&quot;date-parts&quot;:[[&quot;2016&quot;,&quot;3&quot;,&quot;15&quot;]]},&quot;page&quot;:&quot;615-623&quot;,&quot;title&quot;:&quot;A comparison of thermoregulatory responses to exercise between mass-matched groups with large differences in body fat&quot;,&quot;type&quot;:&quot;article-journal&quot;,&quot;volume&quot;:&quot;120&quot;,&quot;container-title-short&quot;:&quot;J. Appl. Physiol.&quot;},&quot;uris&quot;:[&quot;http://www.mendeley.com/documents/?uuid=01465af9-29d7-423e-85bf-f747fb4b0fca&quot;],&quot;isTemporary&quot;:false,&quot;legacyDesktopId&quot;:&quot;01465af9-29d7-423e-85bf-f747fb4b0fca&quot;}]},{&quot;citationID&quot;:&quot;MENDELEY_CITATION_32194964-411f-40a9-a309-5cc759117ff2&quot;,&quot;properties&quot;:{&quot;noteIndex&quot;:0},&quot;isEdited&quot;:false,&quot;manualOverride&quot;:{&quot;citeprocText&quot;:&quot;[49]&quot;,&quot;isManuallyOverridden&quot;:false,&quot;manualOverrideText&quot;:&quot;&quot;},&quot;citationTag&quot;:&quot;MENDELEY_CITATION_v3_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&quot;,&quot;citationItems&quot;:[{&quot;id&quot;:&quot;2f41cec1-e4b2-5707-ad6d-58ec8a456012&quot;,&quot;itemData&quot;:{&quot;DOI&quot;:&quot;10.1113/JP273176&quot;,&quot;ISSN&quot;:&quot;14697793&quot;,&quot;PMID&quot;:&quot;27900769&quot;,&quot;abstract&quot;:&quot;Key points: Despite an attenuated fluctuation in ovarian hormone concentrations in well-trained women, one in two of such women believe their menstrual cycle negatively impacts training and performance. Forthcoming large international events will expose female athletes to hot environments, and studies evaluating aerobic exercise performance in such environments across the menstrual cycle are sparse, with mixed findings. We have identified that autonomic heat loss responses at rest and during fixed-intensity exercise in well-trained women are not affected by menstrual cycle phase, but differ between dry and humid heat. Furthermore, exercise performance is not different across the menstrual cycle, yet is lower in humid heat, in conjunction with reduced evaporative cooling. Menstrual cycle phase does not appear to affect exercise performance in the heat in well-trained women, but humidity impairs performance, probably due to reduced evaporative power. Abstract: We studied thermoregulatory responses of ten well-trained [VO2max, 57 (7) ml min−1 kg−1] eumenorrheic women exercising in dry and humid heat, across their menstrual cycle. They completed four trials, each of resting and cycling at fixed intensities (125 and 150 W), to assess autonomic regulation, then self-paced intensity (30 min work trial), to assess behavioural regulation. Trials were in early-follicular (EF) and mid-luteal (ML) phases in dry (DRY) and humid (HUM) heat matched for wet bulb globe temperature (WBGT, 27°C). During rest and fixed-intensity exercise, rectal temperature was ∼0.2°C higher in ML than EF (P &lt; 0.01) independent of environment (P = 0.66). Mean skin temperature did not differ between menstrual phases (P ≥ 0.13) but was higher in DRY than HUM (P &lt; 0.01). Local sweat rate and/or forearm blood flow differed as a function of menstrual phase and environment (interaction: P ≤ 0.01). Exercise performance did not differ between phases [EF: 257 (37), ML: 255 (43) kJ, P = 0.62], but was 7 (9)% higher in DRY than HUM [263 (39), 248 (40) kJ; P &lt; 0.01] in conjunction with equivalent autonomic regulation and thermal strain but higher evaporative cooling [16 (6) W m2; P &lt; 0.01]. In well-trained women exercising in the heat: (1) menstrual phase did not affect performance, (2) humidity impaired performance due to reduced evaporative cooling despite matched WBGT and (3) behavioural responses nullified thermodynamic and autonomic differences associated with menstrual phase and dry vs. humid heat.&quot;,&quot;author&quot;:[{&quot;dropping-particle&quot;:&quot;&quot;,&quot;family&quot;:&quot;Lei&quot;,&quot;given&quot;:&quot;Tze Huan&quot;,&quot;non-dropping-particle&quot;:&quot;&quot;,&quot;parse-names&quot;:false,&quot;suffix&quot;:&quot;&quot;},{&quot;dropping-particle&quot;:&quot;&quot;,&quot;family&quot;:&quot;Stannard&quot;,&quot;given&quot;:&quot;Stephen R.&quot;,&quot;non-dropping-particle&quot;:&quot;&quot;,&quot;parse-names&quot;:false,&quot;suffix&quot;:&quot;&quot;},{&quot;dropping-particle&quot;:&quot;&quot;,&quot;family&quot;:&quot;Perry&quot;,&quot;given&quot;:&quot;Blake G.&quot;,&quot;non-dropping-particle&quot;:&quot;&quot;,&quot;parse-names&quot;:false,&quot;suffix&quot;:&quot;&quot;},{&quot;dropping-particle&quot;:&quot;&quot;,&quot;family&quot;:&quot;Schlader&quot;,&quot;given&quot;:&quot;Zachary J.&quot;,&quot;non-dropping-particle&quot;:&quot;&quot;,&quot;parse-names&quot;:false,&quot;suffix&quot;:&quot;&quot;},{&quot;dropping-particle&quot;:&quot;&quot;,&quot;family&quot;:&quot;Cotter&quot;,&quot;given&quot;:&quot;James D.&quot;,&quot;non-dropping-particle&quot;:&quot;&quot;,&quot;parse-names&quot;:false,&quot;suffix&quot;:&quot;&quot;},{&quot;dropping-particle&quot;:&quot;&quot;,&quot;family&quot;:&quot;Mündel&quot;,&quot;given&quot;:&quot;Toby&quot;,&quot;non-dropping-particle&quot;:&quot;&quot;,&quot;parse-names&quot;:false,&quot;suffix&quot;:&quot;&quot;}],&quot;container-title&quot;:&quot;Journal of Physiology&quot;,&quot;id&quot;:&quot;2f41cec1-e4b2-5707-ad6d-58ec8a456012&quot;,&quot;issue&quot;:&quot;9&quot;,&quot;issued&quot;:{&quot;date-parts&quot;:[[&quot;2017&quot;]]},&quot;page&quot;:&quot;2823-2837&quot;,&quot;title&quot;:&quot;Influence of menstrual phase and arid vs. humid heat stress on autonomic and behavioural thermoregulation during exercise in trained but unacclimated women&quot;,&quot;type&quot;:&quot;article-journal&quot;,&quot;volume&quot;:&quot;595&quot;,&quot;container-title-short&quot;:&quot;&quot;},&quot;uris&quot;:[&quot;http://www.mendeley.com/documents/?uuid=cd4fb14a-0d9e-4af6-9dd0-be6ff23d1d49&quot;],&quot;isTemporary&quot;:false,&quot;legacyDesktopId&quot;:&quot;cd4fb14a-0d9e-4af6-9dd0-be6ff23d1d49&quot;}]},{&quot;citationID&quot;:&quot;MENDELEY_CITATION_7802af92-8745-4fcc-b334-bd782ce30ad6&quot;,&quot;properties&quot;:{&quot;noteIndex&quot;:0},&quot;isEdited&quot;:false,&quot;manualOverride&quot;:{&quot;citeprocText&quot;:&quot;[50]&quot;,&quot;isManuallyOverridden&quot;:false,&quot;manualOverrideText&quot;:&quot;&quot;},&quot;citationTag&quot;:&quot;MENDELEY_CITATION_v3_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&quot;,&quot;citationItems&quot;:[{&quot;id&quot;:&quot;23fea04e-b2dd-5cb6-b471-ba58eda941ad&quot;,&quot;itemData&quot;:{&quot;DOI&quot;:&quot;10.1113/EP091455&quot;,&quot;ISSN&quot;:&quot;1469445X&quot;,&quot;PMID&quot;:&quot;38607298&quot;,&quot;abstract&quot;:&quot;Increasing global temperatures due to ongoing climate change phenomena have resulted in increased risk of exertional heat illness in otherwise healthy, young individuals who work or play in the heat. With increasing participation of women in athletic, military and industrial activities that involve exertion in the heat, there is a growing need to study female physiology in this context. Mechanisms controlling blood pressure and body temperature have substantial overlap in humans, largely due to autonomic mechanisms which contribute to both. Similarly, illnesses that result from excessive heat exposure can often be traced back to imbalances in one or more of these autonomic mechanisms. In recent years, there has been increased recognition of the importance of sex as a biological variable for basic and applied research in these areas. The goal of this paper is to present an update on the integrative physiology and pathophysiology of responses to heat stress in women (thermoregulation and blood pressure regulation). In this context, it is often the case that differences between sexes are presented as ‘advantages’ and ‘disadvantages’ of one sex over the other. In our opinion, this is an over-simplification of the physiology which ignores the nuances and complexities of the integrative physiology of responses to heat exposure and exercise, and their relevance for practical outcomes.&quot;,&quot;author&quot;:[{&quot;dropping-particle&quot;:&quot;&quot;,&quot;family&quot;:&quot;Giersch&quot;,&quot;given&quot;:&quot;Gabrielle E.W.&quot;,&quot;non-dropping-particle&quot;:&quot;&quot;,&quot;parse-names&quot;:false,&quot;suffix&quot;:&quot;&quot;},{&quot;dropping-particle&quot;:&quot;&quot;,&quot;family&quot;:&quot;Charkoudian&quot;,&quot;given&quot;:&quot;Nisha&quot;,&quot;non-dropping-particle&quot;:&quot;&quot;,&quot;parse-names&quot;:false,&quot;suffix&quot;:&quot;&quot;}],&quot;container-title&quot;:&quot;Experimental Physiology&quot;,&quot;id&quot;:&quot;23fea04e-b2dd-5cb6-b471-ba58eda941ad&quot;,&quot;issue&quot;:&quot;2&quot;,&quot;issued&quot;:{&quot;date-parts&quot;:[[&quot;2025&quot;]]},&quot;page&quot;:&quot;196-199&quot;,&quot;title&quot;:&quot;Regulation of body temperature and blood pressure in women: Mechanisms and implications for heat illness risk&quot;,&quot;type&quot;:&quot;article-journal&quot;,&quot;volume&quot;:&quot;110&quot;,&quot;container-title-short&quot;:&quot;Exp. Physiol.&quot;},&quot;uris&quot;:[&quot;http://www.mendeley.com/documents/?uuid=b52f96f2-40b1-4d57-b54a-abfa3ab5baed&quot;],&quot;isTemporary&quot;:false,&quot;legacyDesktopId&quot;:&quot;b52f96f2-40b1-4d57-b54a-abfa3ab5baed&quot;}]},{&quot;citationID&quot;:&quot;MENDELEY_CITATION_738b2432-1b1f-46d5-b71c-2611073d41ac&quot;,&quot;properties&quot;:{&quot;noteIndex&quot;:0},&quot;isEdited&quot;:false,&quot;manualOverride&quot;:{&quot;citeprocText&quot;:&quot;[51]&quot;,&quot;isManuallyOverridden&quot;:false,&quot;manualOverrideText&quot;:&quot;&quot;},&quot;citationTag&quot;:&quot;MENDELEY_CITATION_v3_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&quot;,&quot;citationItems&quot;:[{&quot;id&quot;:&quot;6f44d39d-de59-5cf3-8c51-069a3019710e&quot;,&quot;itemData&quot;:{&quot;DOI&quot;:&quot;10.1016/j.autneu.2015.11.004&quot;,&quot;ISSN&quot;:&quot;18727484&quot;,&quot;PMID&quot;:&quot;26674572&quot;,&quot;abstract&quot;:&quot;Autonomic mechanisms are fundamental to human physiological thermoregulation, and female reproductive hormones have substantial influences on several aspects of these mechanisms. Of these, the best recognized are the thermoregulatory responses that occur at menopause (hot flushes) and the changes in body temperature within the menstrual cycle which may help couples predict ovulation. Our goal in this brief review is to summarize current knowledge regarding the influences of reproductive hormones on autonomic mechanisms in human thermoregulation. In general, estrogens tend to promote lower body temperatures via augmentation of heat dissipation responses, whereas progesterone tends to promote higher body temperatures. Recent evidence suggests specific influences of estrogens on central autonomic nuclei involved in control of skin blood flow and sweating. Estrogens also augment vasodilation by direct effects on peripheral blood vessels. Influences of progesterone are less well understood, but include both centrally regulated changes in thermoregulatory set-point as well as and peripheral effects, including augmented vasoconstriction in the skin. We conclude with a brief discussion of thermoregulatory adjustments associated with changing hormone levels during menopause, pregnancy and polycystic ovary syndrome.&quot;,&quot;author&quot;:[{&quot;dropping-particle&quot;:&quot;&quot;,&quot;family&quot;:&quot;Charkoudian&quot;,&quot;given&quot;:&quot;Nisha&quot;,&quot;non-dropping-particle&quot;:&quot;&quot;,&quot;parse-names&quot;:false,&quot;suffix&quot;:&quot;&quot;},{&quot;dropping-particle&quot;:&quot;&quot;,&quot;family&quot;:&quot;Stachenfeld&quot;,&quot;given&quot;:&quot;Nina&quot;,&quot;non-dropping-particle&quot;:&quot;&quot;,&quot;parse-names&quot;:false,&quot;suffix&quot;:&quot;&quot;}],&quot;container-title&quot;:&quot;Autonomic Neuroscience: Basic and Clinical&quot;,&quot;id&quot;:&quot;6f44d39d-de59-5cf3-8c51-069a3019710e&quot;,&quot;issued&quot;:{&quot;date-parts&quot;:[[&quot;2016&quot;]]},&quot;page&quot;:&quot;75-80&quot;,&quot;publisher&quot;:&quot;Elsevier B.V.&quot;,&quot;title&quot;:&quot;Sex hormone effects on autonomic mechanisms of thermoregulation in humans&quot;,&quot;type&quot;:&quot;article-journal&quot;,&quot;volume&quot;:&quot;196&quot;,&quot;container-title-short&quot;:&quot;Auton. Neurosci.&quot;},&quot;uris&quot;:[&quot;http://www.mendeley.com/documents/?uuid=43f7884a-6f08-421f-b175-d65e973ec70c&quot;],&quot;isTemporary&quot;:false,&quot;legacyDesktopId&quot;:&quot;43f7884a-6f08-421f-b175-d65e973ec70c&quot;}]},{&quot;citationID&quot;:&quot;MENDELEY_CITATION_016ebdc3-cefa-47ab-9891-223d35aa8d06&quot;,&quot;properties&quot;:{&quot;noteIndex&quot;:0},&quot;isEdited&quot;:false,&quot;manualOverride&quot;:{&quot;citeprocText&quot;:&quot;[52–54]&quot;,&quot;isManuallyOverridden&quot;:false,&quot;manualOverrideText&quot;:&quot;&quot;},&quot;citationTag&quot;:&quot;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&quot;,&quot;citationItems&quot;:[{&quot;id&quot;:&quot;9e6536ed-b6ba-5645-91f4-1a9876900b75&quot;,&quot;itemData&quot;:{&quot;DOI&quot;:&quot;10.1249/00003677-199301000-00008&quot;,&quot;ISSN&quot;:&quot;0091-6331&quot;,&quot;author&quot;:[{&quot;dropping-particle&quot;:&quot;&quot;,&quot;family&quot;:&quot;Stephenson&quot;,&quot;given&quot;:&quot;Lou A.&quot;,&quot;non-dropping-particle&quot;:&quot;&quot;,&quot;parse-names&quot;:false,&quot;suffix&quot;:&quot;&quot;},{&quot;dropping-particle&quot;:&quot;&quot;,&quot;family&quot;:&quot;Kolka&quot;,&quot;given&quot;:&quot;Margaret A.&quot;,&quot;non-dropping-particle&quot;:&quot;&quot;,&quot;parse-names&quot;:false,&quot;suffix&quot;:&quot;&quot;}],&quot;container-title&quot;:&quot;Exercise and Sport Sciences Reviews&quot;,&quot;id&quot;:&quot;9e6536ed-b6ba-5645-91f4-1a9876900b75&quot;,&quot;issue&quot;:&quot;1&quot;,&quot;issued&quot;:{&quot;date-parts&quot;:[[&quot;1993&quot;,&quot;1&quot;]]},&quot;page&quot;:&quot;231???262&quot;,&quot;title&quot;:&quot;Thermoregulation in Women&quot;,&quot;type&quot;:&quot;article-journal&quot;,&quot;volume&quot;:&quot;21&quot;,&quot;container-title-short&quot;:&quot;Exerc. Sport Sci. Rev.&quot;},&quot;uris&quot;:[&quot;http://www.mendeley.com/documents/?uuid=eed38bcd-04f7-4c5e-969e-30b2bf5e6d45&quot;],&quot;isTemporary&quot;:false,&quot;legacyDesktopId&quot;:&quot;eed38bcd-04f7-4c5e-969e-30b2bf5e6d45&quot;},{&quot;id&quot;:&quot;3c2e0c78-4410-58c2-b2d1-7a1d5bc3c891&quot;,&quot;itemData&quot;:{&quot;DOI&quot;:&quot;10.1007/s004240100582&quot;,&quot;ISSN&quot;:&quot;00316768&quot;,&quot;PMID&quot;:&quot;11512029&quot;,&quot;abstract&quot;:&quot;Female reproductive steroids, oestrogen and progesterone, not only affect reproductive function, but also thermoregulation and sleep. Chronic administration of synthetic steroids, as occurs in women taking oral contraceptives, may affect these regulatory systems differently from endogenous oestrogen and progesterone. We therefore investigated body temperature and sleep in ten young women taking oral contraceptives, in the active and placebo phases of the contraceptive pack, and compared them to a group of nine women with ovulatory cycles, in the mid-follicular and mid-luteal phases. Body temperature was raised throughout 24 h in the women taking oral contraceptives in the active phase, and in the naturally cycling women in the luteal phase, compared to the follicular phase. The women taking oral contraceptives in the placebo phase, however, continued to have raised body temperatures, similar to those in the active phase, indicating a prolonged action of synthetic reproductive steroids on body temperature. Sleep also was influenced by the endogenous and synthetic reproductive steroids, but independently of body temperature. The women taking oral contraceptives had more stage-2 non-rapid eye movement sleep in the active phase, both compared to their placebo phase and the naturally cycling women. The naturally cycling women, however, had more slow wave sleep in the luteal phase compared to the contraceptive group of women. Exogenous reproductive steroids therefore influence body temperature and sleep differently from endogenous progesterone and oestrogen.&quot;,&quot;author&quot;:[{&quot;dropping-particle&quot;:&quot;&quot;,&quot;family&quot;:&quot;Baker&quot;,&quot;given&quot;:&quot;Fiona C.&quot;,&quot;non-dropping-particle&quot;:&quot;&quot;,&quot;parse-names&quot;:false,&quot;suffix&quot;:&quot;&quot;},{&quot;dropping-particle&quot;:&quot;&quot;,&quot;family&quot;:&quot;Mitchell&quot;,&quot;given&quot;:&quot;Duncan&quot;,&quot;non-dropping-particle&quot;:&quot;&quot;,&quot;parse-names&quot;:false,&quot;suffix&quot;:&quot;&quot;},{&quot;dropping-particle&quot;:&quot;&quot;,&quot;family&quot;:&quot;Driver&quot;,&quot;given&quot;:&quot;Helen S.&quot;,&quot;non-dropping-particle&quot;:&quot;&quot;,&quot;parse-names&quot;:false,&quot;suffix&quot;:&quot;&quot;}],&quot;container-title&quot;:&quot;Pflugers Archiv European Journal of Physiology&quot;,&quot;id&quot;:&quot;3c2e0c78-4410-58c2-b2d1-7a1d5bc3c891&quot;,&quot;issue&quot;:&quot;5&quot;,&quot;issued&quot;:{&quot;date-parts&quot;:[[&quot;2001&quot;]]},&quot;page&quot;:&quot;729-737&quot;,&quot;title&quot;:&quot;Oral contraceptives alter sleep and raise body temperature in young women&quot;,&quot;type&quot;:&quot;article-journal&quot;,&quot;volume&quot;:&quot;442&quot;,&quot;container-title-short&quot;:&quot;Pflugers Arch.&quot;},&quot;uris&quot;:[&quot;http://www.mendeley.com/documents/?uuid=7856907a-10af-4fef-891d-607c01770950&quot;],&quot;isTemporary&quot;:false,&quot;legacyDesktopId&quot;:&quot;7856907a-10af-4fef-891d-607c01770950&quot;},{&quot;id&quot;:&quot;1260a31a-edb4-51cb-9856-d2acfb2868ad&quot;,&quot;itemData&quot;:{&quot;DOI&quot;:&quot;10.1016/j.sleep.2006.09.011&quot;,&quot;ISSN&quot;:&quot;13899457&quot;,&quot;PMID&quot;:&quot;17383933&quot;,&quot;abstract&quot;:&quot;Women with ovulatory menstrual cycles have a circadian rhythm superimposed on the menstrual-associated rhythm; in turn, menstrual events affect the circadian rhythm. In this paper, we review circadian rhythms in temperature, selected hormone profiles, and sleep-wake behavior in healthy women at different phases of the menstrual cycle. The effects on menstrual cycle rhythmicity of disrupted circadian rhythms, for example, with shiftwork and altered circadian rhythms in women with menstrual-related mood disturbances, are discussed. Compared to the follicular phase, in the post-ovulation luteal phase, body temperature is elevated, but the amplitude of the temperature rhythm is reduced. Evidence indicates that the amplitude of other rhythms, such as melatonin and cortisol, may also be blunted in the luteal phase. Subjective sleep quality is lowest around menses, but the timing and composition of sleep remains relatively stable across the menstrual cycle in healthy women, apart from an increase in spindle frequency activity and a minor decrease in rapid eye movement (REM) sleep during the luteal phase. Disruption of circadian rhythms is associated with disturbances in menstrual function. Female shiftworkers compared to non-shiftworkers are more likely to report menstrual irregularity and longer menstrual cycles. There also is accumulating evidence that circadian disruption increases the risk of breast cancer in women, possibly due to altered light exposure and reduced melatonin secretion. Further investigations into the biological consequences of circadian disruption in women will offer insight into some menstrual-associated disorders, including mood changes, as well as reproductive function and possible links with breast cancer. © 2006 Elsevier B.V. All rights reserved.&quot;,&quot;author&quot;:[{&quot;dropping-particle&quot;:&quot;&quot;,&quot;family&quot;:&quot;Baker&quot;,&quot;given&quot;:&quot;Fiona C.&quot;,&quot;non-dropping-particle&quot;:&quot;&quot;,&quot;parse-names&quot;:false,&quot;suffix&quot;:&quot;&quot;},{&quot;dropping-particle&quot;:&quot;&quot;,&quot;family&quot;:&quot;Driver&quot;,&quot;given&quot;:&quot;Helen S.&quot;,&quot;non-dropping-particle&quot;:&quot;&quot;,&quot;parse-names&quot;:false,&quot;suffix&quot;:&quot;&quot;}],&quot;container-title&quot;:&quot;Sleep Medicine&quot;,&quot;id&quot;:&quot;1260a31a-edb4-51cb-9856-d2acfb2868ad&quot;,&quot;issue&quot;:&quot;6&quot;,&quot;issued&quot;:{&quot;date-parts&quot;:[[&quot;2007&quot;]]},&quot;page&quot;:&quot;613-622&quot;,&quot;title&quot;:&quot;Circadian rhythms, sleep, and the menstrual cycle&quot;,&quot;type&quot;:&quot;article-journal&quot;,&quot;volume&quot;:&quot;8&quot;,&quot;container-title-short&quot;:&quot;Sleep Med.&quot;},&quot;uris&quot;:[&quot;http://www.mendeley.com/documents/?uuid=952bffb3-6a9a-4d92-a4cb-7f73f03c9d4d&quot;],&quot;isTemporary&quot;:false,&quot;legacyDesktopId&quot;:&quot;952bffb3-6a9a-4d92-a4cb-7f73f03c9d4d&quot;}]},{&quot;citationID&quot;:&quot;MENDELEY_CITATION_69cbeae2-f15e-4a9c-afc3-12c3550fde54&quot;,&quot;properties&quot;:{&quot;noteIndex&quot;:0},&quot;isEdited&quot;:false,&quot;manualOverride&quot;:{&quot;citeprocText&quot;:&quot;[55]&quot;,&quot;isManuallyOverridden&quot;:false,&quot;manualOverrideText&quot;:&quot;&quot;},&quot;citationTag&quot;:&quot;MENDELEY_CITATION_v3_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&quot;,&quot;citationItems&quot;:[{&quot;id&quot;:&quot;8004cab2-9249-5b00-a070-b10151045c37&quot;,&quot;itemData&quot;:{&quot;DOI&quot;:&quot;10.1016/j.jsbmb.2013.08.010.MENOPAUSAL&quot;,&quot;ISBN&quot;:&quot;6314442508&quot;,&quot;ISSN&quot;:&quot;0036-8075&quot;,&quot;PMID&quot;:&quot;25792328&quot;,&quot;author&quot;:[{&quot;dropping-particle&quot;:&quot;&quot;,&quot;family&quot;:&quot;Freedman&quot;,&quot;given&quot;:&quot;Robert R.&quot;,&quot;non-dropping-particle&quot;:&quot;&quot;,&quot;parse-names&quot;:false,&quot;suffix&quot;:&quot;&quot;}],&quot;container-title&quot;:&quot;J Steroid Biochem Mol Biol&quot;,&quot;id&quot;:&quot;8004cab2-9249-5b00-a070-b10151045c37&quot;,&quot;issued&quot;:{&quot;date-parts&quot;:[[&quot;2014&quot;]]},&quot;page&quot;:&quot;115-120&quot;,&quot;title&quot;:&quot;Menopausal Related Hot flashes: Mechanisms, Endocrinology and Treatment&quot;,&quot;type&quot;:&quot;article-journal&quot;,&quot;volume&quot;:&quot;142&quot;,&quot;container-title-short&quot;:&quot;&quot;},&quot;uris&quot;:[&quot;http://www.mendeley.com/documents/?uuid=2ba0f72e-9fbe-491b-bfd5-04a79598f949&quot;],&quot;isTemporary&quot;:false,&quot;legacyDesktopId&quot;:&quot;2ba0f72e-9fbe-491b-bfd5-04a79598f949&quot;}]},{&quot;citationID&quot;:&quot;MENDELEY_CITATION_8008a764-c218-4e66-9041-baec99bc0c14&quot;,&quot;properties&quot;:{&quot;noteIndex&quot;:0},&quot;isEdited&quot;:false,&quot;manualOverride&quot;:{&quot;citeprocText&quot;:&quot;[56,57]&quot;,&quot;isManuallyOverridden&quot;:false,&quot;manualOverrideText&quot;:&quot;&quot;},&quot;citationTag&quot;:&quot;MENDELEY_CITATION_v3_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&quot;,&quot;citationItems&quot;:[{&quot;id&quot;:&quot;a5fe4e9f-d14a-526e-99e6-77082f9bcf86&quot;,&quot;itemData&quot;:{&quot;DOI&quot;:&quot;10.1016/S0306-4565(99)00053-4&quot;,&quot;ISSN&quot;:&quot;03064565&quot;,&quot;abstract&quot;:&quot;To determine the thermoregulatory effects of hormone replacement in postmenopausal women, we measured core, skin, mean body temperatures, vasomotor changes, metabolic heat production, and sweat rate during warm and cold thermal challenges. The shivering to vasodilation interthreshold range was smaller in women taking estrogen (0.8 ± 0.2°C) than in women taking no hormones (1.5 ± 0.2°C, P = 0.02). The vasodilation threshold was lower in the estrogen group (36.4 ± 0.2°C) than in the no hormone (37.0 ± 0.3°C, P = 0.04) and combined estrogen/progesterone (36.9 ± 0.1°C, P = 0.03) groups. Baseline core temperature was higher in women on combined estrogen/progesterone therapy (37.5 ± 0.1°C) compared to those on no hormones (37.0 ± 0.2°C, P = 0.02) or estrogen alone (36.9 ± 0.1°C, P = 0.004). Estrogen therapy in postmenopausal women lowers heat response thresholds and narrows the interthreshold response range for thermoregulation. Adding progesterone to estrogen therapy elevates the heat response thresholds and increases core temperature setpoint.&quot;,&quot;author&quot;:[{&quot;dropping-particle&quot;:&quot;&quot;,&quot;family&quot;:&quot;Gupta&quot;,&quot;given&quot;:&quot;N.&quot;,&quot;non-dropping-particle&quot;:&quot;&quot;,&quot;parse-names&quot;:false,&quot;suffix&quot;:&quot;&quot;},{&quot;dropping-particle&quot;:&quot;&quot;,&quot;family&quot;:&quot;Frank&quot;,&quot;given&quot;:&quot;S. M.&quot;,&quot;non-dropping-particle&quot;:&quot;&quot;,&quot;parse-names&quot;:false,&quot;suffix&quot;:&quot;&quot;},{&quot;dropping-particle&quot;:&quot;&quot;,&quot;family&quot;:&quot;Ghoneim&quot;,&quot;given&quot;:&quot;N.&quot;,&quot;non-dropping-particle&quot;:&quot;&quot;,&quot;parse-names&quot;:false,&quot;suffix&quot;:&quot;&quot;},{&quot;dropping-particle&quot;:&quot;&quot;,&quot;family&quot;:&quot;El-Rahmany&quot;,&quot;given&quot;:&quot;H. K.&quot;,&quot;non-dropping-particle&quot;:&quot;&quot;,&quot;parse-names&quot;:false,&quot;suffix&quot;:&quot;&quot;},{&quot;dropping-particle&quot;:&quot;&quot;,&quot;family&quot;:&quot;Talamini&quot;,&quot;given&quot;:&quot;M. A.&quot;,&quot;non-dropping-particle&quot;:&quot;&quot;,&quot;parse-names&quot;:false,&quot;suffix&quot;:&quot;&quot;},{&quot;dropping-particle&quot;:&quot;&quot;,&quot;family&quot;:&quot;Zacur&quot;,&quot;given&quot;:&quot;H. A.&quot;,&quot;non-dropping-particle&quot;:&quot;&quot;,&quot;parse-names&quot;:false,&quot;suffix&quot;:&quot;&quot;},{&quot;dropping-particle&quot;:&quot;&quot;,&quot;family&quot;:&quot;Raja&quot;,&quot;given&quot;:&quot;S. N.&quot;,&quot;non-dropping-particle&quot;:&quot;&quot;,&quot;parse-names&quot;:false,&quot;suffix&quot;:&quot;&quot;}],&quot;container-title&quot;:&quot;Journal of Thermal Biology&quot;,&quot;id&quot;:&quot;a5fe4e9f-d14a-526e-99e6-77082f9bcf86&quot;,&quot;issue&quot;:&quot;1-2&quot;,&quot;issued&quot;:{&quot;date-parts&quot;:[[&quot;2000&quot;]]},&quot;page&quot;:&quot;165-169&quot;,&quot;title&quot;:&quot;Thermoregulation and hormone replacement in postmenopausal women&quot;,&quot;type&quot;:&quot;article-journal&quot;,&quot;volume&quot;:&quot;25&quot;,&quot;container-title-short&quot;:&quot;J. Therm. Biol.&quot;},&quot;uris&quot;:[&quot;http://www.mendeley.com/documents/?uuid=f1d1d139-cebd-4a2f-b500-0f9b135f1930&quot;,&quot;http://www.mendeley.com/documents/?uuid=88f3b832-9b50-4564-a866-d23158fef27e&quot;],&quot;isTemporary&quot;:false,&quot;legacyDesktopId&quot;:&quot;f1d1d139-cebd-4a2f-b500-0f9b135f1930&quot;},{&quot;id&quot;:&quot;ba06286a-6ed8-5743-b227-48fc3f4376d0&quot;,&quot;itemData&quot;:{&quot;DOI&quot;:&quot;10.1016/S0002-9378(99)70437-0&quot;,&quot;ISSN&quot;:&quot;00029378&quot;,&quot;PMID&quot;:&quot;10411797&quot;,&quot;abstract&quot;:&quot;OBJECTIVE: Most menopausal hot flashes are preceded by small elevations in core body temperature. If the thermoneutral zone between the thresholds for sweating and shivering is reduced in women with symptoms, the triggering mechanism for hot flashes could be explained. STUDY DESIGN: We studied 12 postmenopausal women with symptoms and 8 without symptoms. We measured body temperatures with a rectal probe, an ingested telemetry pill, and a weighted average of rectal and skin temperatures. Each woman underwent 3 experimental sessions: determination of the sweating threshold by body heating, determination of the shivering threshold by body cooling, and replication of the sweating threshold with exercise. RESULTS: The women with symptoms had significantly smaller interthreshold zones than did the symptom-free women for all 3 measures of body temperature: rectal temperature, 0.0°C ± 0.06°C versus 0.4°C ± 0.18°C (P &lt; .005); telemetry pill temperature, 0.0°C ± 0.11°C versus 0.4°C ± 0.18°C (P &lt; .005); and mean body temperature, 0.8°C ± 0.09°C versus 1.5°C ± 0.20°C (P &lt; .0006). Sweat rates were significantly higher among the women with symptoms (0.06 ± 0.002 mg · cm-2 · min-1) than among the women without symptoms (0.03 ± 0.001 mg · cm-2 · min-1, P &lt; .05). Sweating thresholds during exercise did not significantly differ from those during body heating. During exercise all the women with symptoms and none of the women without symptoms had hot flashes. CONCLUSIONS: Menopausal hot flashes in women with symptoms may be triggered by small elevations in body temperature acting within a reduced thermoneutral zone.&quot;,&quot;author&quot;:[{&quot;dropping-particle&quot;:&quot;&quot;,&quot;family&quot;:&quot;Freedman&quot;,&quot;given&quot;:&quot;Robert R.&quot;,&quot;non-dropping-particle&quot;:&quot;&quot;,&quot;parse-names&quot;:false,&quot;suffix&quot;:&quot;&quot;},{&quot;dropping-particle&quot;:&quot;&quot;,&quot;family&quot;:&quot;Krell&quot;,&quot;given&quot;:&quot;Willane&quot;,&quot;non-dropping-particle&quot;:&quot;&quot;,&quot;parse-names&quot;:false,&quot;suffix&quot;:&quot;&quot;}],&quot;container-title&quot;:&quot;American Journal of Obstetrics and Gynecology&quot;,&quot;id&quot;:&quot;ba06286a-6ed8-5743-b227-48fc3f4376d0&quot;,&quot;issue&quot;:&quot;1&quot;,&quot;issued&quot;:{&quot;date-parts&quot;:[[&quot;1999&quot;]]},&quot;page&quot;:&quot;66-70&quot;,&quot;title&quot;:&quot;Reduced thermoregulatory null zone in postmenopausal women with hot flashes&quot;,&quot;type&quot;:&quot;article-journal&quot;,&quot;volume&quot;:&quot;181&quot;,&quot;container-title-short&quot;:&quot;Am. J. Obstet. Gynecol.&quot;},&quot;uris&quot;:[&quot;http://www.mendeley.com/documents/?uuid=5bfdf7da-3972-4d77-b5e8-dbf6fc5b079f&quot;,&quot;http://www.mendeley.com/documents/?uuid=54b19e0a-af9f-47cf-a7c6-64297a602def&quot;],&quot;isTemporary&quot;:false,&quot;legacyDesktopId&quot;:&quot;5bfdf7da-3972-4d77-b5e8-dbf6fc5b079f&quot;}]},{&quot;citationID&quot;:&quot;MENDELEY_CITATION_c224b126-c367-45d1-b193-0788e1720011&quot;,&quot;properties&quot;:{&quot;noteIndex&quot;:0},&quot;isEdited&quot;:false,&quot;manualOverride&quot;:{&quot;citeprocText&quot;:&quot;[58,59]&quot;,&quot;isManuallyOverridden&quot;:false,&quot;manualOverrideText&quot;:&quot;&quot;},&quot;citationTag&quot;:&quot;MENDELEY_CITATION_v3_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&quot;,&quot;citationItems&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id&quot;:&quot;000d3e4f-bd53-31d0-b391-99fd32a92066&quot;,&quot;itemData&quot;:{&quot;type&quot;:&quot;article-journal&quot;,&quot;id&quot;:&quot;000d3e4f-bd53-31d0-b391-99fd32a92066&quot;,&quot;title&quot;:&quot;Temperature regulation in women: Effects of the menstrual cycle&quot;,&quot;groupId&quot;:&quot;2d3873d7-e261-3da9-86b8-2cfa8990086d&quot;,&quot;author&quot;:[{&quot;family&quot;:&quot;Baker&quot;,&quot;given&quot;:&quot;Fiona C.&quot;,&quot;parse-names&quot;:false,&quot;dropping-particle&quot;:&quot;&quot;,&quot;non-dropping-particle&quot;:&quot;&quot;},{&quot;family&quot;:&quot;Siboza&quot;,&quot;given&quot;:&quot;Felicia&quot;,&quot;parse-names&quot;:false,&quot;dropping-particle&quot;:&quot;&quot;,&quot;non-dropping-particle&quot;:&quot;&quot;},{&quot;family&quot;:&quot;Fuller&quot;,&quot;given&quot;:&quot;Andrea&quot;,&quot;parse-names&quot;:false,&quot;dropping-particle&quot;:&quot;&quot;,&quot;non-dropping-particle&quot;:&quot;&quot;}],&quot;container-title&quot;:&quot;Temperature&quot;,&quot;DOI&quot;:&quot;10.1080/23328940.2020.1735927&quot;,&quot;ISSN&quot;:&quot;23328959&quot;,&quot;URL&quot;:&quot;https://doi.org/10.1080/23328940.2020.1735927&quot;,&quot;issued&quot;:{&quot;date-parts&quot;:[[2020]]},&quot;page&quot;:&quot;226-262&quot;,&quot;abstract&quot;:&quot;Core body temperature changes across the ovulatory menstrual cycle, such that it is 0.3°C to 0.7°C higher in the post-ovulatory luteal phase when progesterone is high compared with the pre-ovulatory follicular phase. This temperature difference, which is most evident during sleep or immediately upon waking before any activity, is used by women as a retrospective indicator of an ovulatory cycle. Here, we review both historical and current literature aimed at characterizing changes in core body temperature across the menstrual cycle, considering the assessment of the circadian rhythm of core body temperature and thermoregulatory responses to challenges, including heat and cold exposure, exercise, and fever. We discuss potential mechanisms for the thermogenic effect of progesterone and the temperature-lowering effect of estrogen, and discuss effects on body temperature of exogenous formulations of these hormones as contained in oral contraceptives. We review new wearable temperature sensors aimed at tracking daily temperature changes of women across multiple menstrual cycles and highlight the need for future research on the validity and reliability of these devices. Despite the change in core body temperature across the menstrual cycle being so well identified, there remain gaps in our current understanding, particularly about the underlying mechanisms and microcircuitry involved in the temperature changes.&quot;,&quot;publisher&quot;:&quot;Taylor &amp; Francis&quot;,&quot;issue&quot;:&quot;3&quot;,&quot;volume&quot;:&quot;7&quot;},&quot;isTemporary&quot;:false}]},{&quot;citationID&quot;:&quot;MENDELEY_CITATION_6ea9474f-219c-4c7d-9492-561d58ed87f4&quot;,&quot;properties&quot;:{&quot;noteIndex&quot;:0},&quot;isEdited&quot;:false,&quot;manualOverride&quot;:{&quot;citeprocText&quot;:&quot;[59–61]&quot;,&quot;isManuallyOverridden&quot;:false,&quot;manualOverrideText&quot;:&quot;&quot;},&quot;citationTag&quot;:&quot;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&quot;,&quot;citationItems&quot;:[{&quot;id&quot;:&quot;ce5e1f52-f3a5-5b80-a04f-545832dffb6e&quot;,&quot;itemData&quot;:{&quot;DOI&quot;:&quot;10.1016/S0015-0282(01)03009-6&quot;,&quot;ISSN&quot;:&quot;00150282&quot;,&quot;PMID&quot;:&quot;11872200&quot;,&quot;abstract&quot;:&quot;Objective: To determine if estrogen ameliorates hot flashes by raising the core body temperature sweating threshold, by reducing core body temperature fluctuations, and/or by reducing sympathetic activation (as measured by plasma 3-methoxy-4-hydroxyphenylglycol). Design: Laboratory physiological study. Setting: University medical center. Patient(s): Twenty-four healthy postmenopausal women reporting frequent hot flashes. Intervention(s): Participants were randomly assigned, in double-blind fashion, to receive 1 mg/d 17β-estradiol orally or placebo for 90 days. Main Outcome Measure(s): Core body temperature, core body temperature fluctuations, mean skin temperature, sternal sweat rate, laboratory hot flash counts (sternal skin conductance), plasma 3-methoxy-4-hydroxyphenylglycol. Result(s): The E2 group had significant increases in plasma E2 (8 ± 2 vs. 132 ± 22 pg/mL) and core body temperature sweating threshold (37.98 ± 0.09 vs. 38.14 ± 0.09°C) and decreases in plasma FSH (58.8 ± 8.9 vs. 40.1 ± 7.6 mIU/mL) and hot flashes (1.4 ± 0.5 vs. 0.6 ± 0.6). These changes did not occur in the placebo group. There were no significant changes in any other measure. Conclusion(s): E2 ameliorates hot flashes by raising the core body temperature sweating threshold, but does not affect core temperature fluctuations or plasma 3-methoxy-4-hydroxyphenylglycol. Copyright © 2002 American Society for Reproductive Medicine.&quot;,&quot;author&quot;:[{&quot;dropping-particle&quot;:&quot;&quot;,&quot;family&quot;:&quot;Freedman&quot;,&quot;given&quot;:&quot;Robert R.&quot;,&quot;non-dropping-particle&quot;:&quot;&quot;,&quot;parse-names&quot;:false,&quot;suffix&quot;:&quot;&quot;},{&quot;dropping-particle&quot;:&quot;&quot;,&quot;family&quot;:&quot;Blacker&quot;,&quot;given&quot;:&quot;Charla M.&quot;,&quot;non-dropping-particle&quot;:&quot;&quot;,&quot;parse-names&quot;:false,&quot;suffix&quot;:&quot;&quot;}],&quot;container-title&quot;:&quot;Fertility and Sterility&quot;,&quot;id&quot;:&quot;ce5e1f52-f3a5-5b80-a04f-545832dffb6e&quot;,&quot;issue&quot;:&quot;3&quot;,&quot;issued&quot;:{&quot;date-parts&quot;:[[&quot;2002&quot;]]},&quot;page&quot;:&quot;487-490&quot;,&quot;title&quot;:&quot;Estrogen raises the sweating threshold in postmenopausal women with hot flashes&quot;,&quot;type&quot;:&quot;article-journal&quot;,&quot;volume&quot;:&quot;77&quot;,&quot;container-title-short&quot;:&quot;Fertil. Steril.&quot;},&quot;uris&quot;:[&quot;http://www.mendeley.com/documents/?uuid=585ede39-a8ff-4e87-b77a-2d8b419c7568&quot;,&quot;http://www.mendeley.com/documents/?uuid=c73e1fc7-771e-4f6c-b532-26f984d2d8b7&quot;],&quot;isTemporary&quot;:false,&quot;legacyDesktopId&quot;:&quot;585ede39-a8ff-4e87-b77a-2d8b419c7568&quot;},{&quot;id&quot;:&quot;bbf4a27d-4af0-58e4-b88e-28ebc07996c5&quot;,&quot;itemData&quot;:{&quot;DOI&quot;:&quot;10.1080/23328940.2025.2484499&quot;,&quot;ISSN&quot;:&quot;23328959&quot;,&quot;abstract&quot;:&quot;Changes in thermoregulation, notably the emergence of hot flashes, occur during the menopause transition in association with reproductive hormonal changes. Hot flashes constitute the most characteristic symptom of menopause (prevalence of 50–80%), and have a substantial negative effect on quality of life. Here, we review the endocrine changes associated with menopause and the thermoregulatory system and its sensitivity to female sex hormones. We then review current knowledge on the underlying neural mechanisms of hot flashes and how the reproductive and thermoregulatory systems interact in females. We consider the kisspeptin-neurokinin B-dynorphin (KNDy) neuron complex, which becomes hyperactive when estradiol levels decrease. KNDy neurons project from the arcuate nucleus to thermoregulatory areas within the hypothalamic preoptic area, where heat loss mechanisms are triggered, including cutaneous vasodilation and sweating–characteristics of the hot flash. We describe the physiology and measurement of hot flashes and discuss the mixed research findings about thresholds for sweating in symptomatic individuals. We consider the unique situation of hot flashes that arise during sleep, and discuss the relationships between the environment, exercise, and body mass index with hot flashes. We also discuss the unique situation of surgical menopause (with oophorectomy) and cancer therapy, conditions that are associated with frequent, severe, hot flashes. We then provide an overview of treatments of hot flashes, including hormone therapy and targeted neurokinin B-antagonists, recently developed to target the neural mechanism of hot flashes. Finally, we highlight gaps in knowledge about menopausal thermoregulation and hot flashes and suggest future directions for research.&quot;,&quot;author&quot;:[{&quot;dropping-particle&quot;:&quot;&quot;,&quot;family&quot;:&quot;Gombert-Labedens&quot;,&quot;given&quot;:&quot;Marie&quot;,&quot;non-dropping-particle&quot;:&quot;&quot;,&quot;parse-names&quot;:false,&quot;suffix&quot;:&quot;&quot;},{&quot;dropping-particle&quot;:&quot;&quot;,&quot;family&quot;:&quot;Vesterdorf&quot;,&quot;given&quot;:&quot;Kristine&quot;,&quot;non-dropping-particle&quot;:&quot;&quot;,&quot;parse-names&quot;:false,&quot;suffix&quot;:&quot;&quot;},{&quot;dropping-particle&quot;:&quot;&quot;,&quot;family&quot;:&quot;Fuller&quot;,&quot;given&quot;:&quot;Andrea&quot;,&quot;non-dropping-particle&quot;:&quot;&quot;,&quot;parse-names&quot;:false,&quot;suffix&quot;:&quot;&quot;},{&quot;dropping-particle&quot;:&quot;&quot;,&quot;family&quot;:&quot;Maloney&quot;,&quot;given&quot;:&quot;Shane K.&quot;,&quot;non-dropping-particle&quot;:&quot;&quot;,&quot;parse-names&quot;:false,&quot;suffix&quot;:&quot;&quot;},{&quot;dropping-particle&quot;:&quot;&quot;,&quot;family&quot;:&quot;Baker&quot;,&quot;given&quot;:&quot;Fiona C.&quot;,&quot;non-dropping-particle&quot;:&quot;&quot;,&quot;parse-names&quot;:false,&quot;suffix&quot;:&quot;&quot;}],&quot;container-title&quot;:&quot;Temperature&quot;,&quot;id&quot;:&quot;bbf4a27d-4af0-58e4-b88e-28ebc07996c5&quot;,&quot;issue&quot;:&quot;2&quot;,&quot;issued&quot;:{&quot;date-parts&quot;:[[&quot;2025&quot;]]},&quot;page&quot;:&quot;92-132&quot;,&quot;publisher&quot;:&quot;Taylor &amp; Francis&quot;,&quot;title&quot;:&quot;Effects of menopause on temperature regulation&quot;,&quot;type&quot;:&quot;article-journal&quot;,&quot;volume&quot;:&quot;12&quot;,&quot;container-title-short&quot;:&quot;&quot;},&quot;uris&quot;:[&quot;http://www.mendeley.com/documents/?uuid=99d0e7ba-2a1e-4fc2-94e3-8a2c607f596d&quot;,&quot;http://www.mendeley.com/documents/?uuid=cf7d64d6-b21e-445a-b532-ab03a1353dec&quot;],&quot;isTemporary&quot;:false,&quot;legacyDesktopId&quot;:&quot;99d0e7ba-2a1e-4fc2-94e3-8a2c607f596d&quot;},{&quot;id&quot;:&quot;000d3e4f-bd53-31d0-b391-99fd32a92066&quot;,&quot;itemData&quot;:{&quot;type&quot;:&quot;article-journal&quot;,&quot;id&quot;:&quot;000d3e4f-bd53-31d0-b391-99fd32a92066&quot;,&quot;title&quot;:&quot;Temperature regulation in women: Effects of the menstrual cycle&quot;,&quot;groupId&quot;:&quot;2d3873d7-e261-3da9-86b8-2cfa8990086d&quot;,&quot;author&quot;:[{&quot;family&quot;:&quot;Baker&quot;,&quot;given&quot;:&quot;Fiona C.&quot;,&quot;parse-names&quot;:false,&quot;dropping-particle&quot;:&quot;&quot;,&quot;non-dropping-particle&quot;:&quot;&quot;},{&quot;family&quot;:&quot;Siboza&quot;,&quot;given&quot;:&quot;Felicia&quot;,&quot;parse-names&quot;:false,&quot;dropping-particle&quot;:&quot;&quot;,&quot;non-dropping-particle&quot;:&quot;&quot;},{&quot;family&quot;:&quot;Fuller&quot;,&quot;given&quot;:&quot;Andrea&quot;,&quot;parse-names&quot;:false,&quot;dropping-particle&quot;:&quot;&quot;,&quot;non-dropping-particle&quot;:&quot;&quot;}],&quot;container-title&quot;:&quot;Temperature&quot;,&quot;DOI&quot;:&quot;10.1080/23328940.2020.1735927&quot;,&quot;ISSN&quot;:&quot;23328959&quot;,&quot;URL&quot;:&quot;https://doi.org/10.1080/23328940.2020.1735927&quot;,&quot;issued&quot;:{&quot;date-parts&quot;:[[2020]]},&quot;page&quot;:&quot;226-262&quot;,&quot;abstract&quot;:&quot;Core body temperature changes across the ovulatory menstrual cycle, such that it is 0.3°C to 0.7°C higher in the post-ovulatory luteal phase when progesterone is high compared with the pre-ovulatory follicular phase. This temperature difference, which is most evident during sleep or immediately upon waking before any activity, is used by women as a retrospective indicator of an ovulatory cycle. Here, we review both historical and current literature aimed at characterizing changes in core body temperature across the menstrual cycle, considering the assessment of the circadian rhythm of core body temperature and thermoregulatory responses to challenges, including heat and cold exposure, exercise, and fever. We discuss potential mechanisms for the thermogenic effect of progesterone and the temperature-lowering effect of estrogen, and discuss effects on body temperature of exogenous formulations of these hormones as contained in oral contraceptives. We review new wearable temperature sensors aimed at tracking daily temperature changes of women across multiple menstrual cycles and highlight the need for future research on the validity and reliability of these devices. Despite the change in core body temperature across the menstrual cycle being so well identified, there remain gaps in our current understanding, particularly about the underlying mechanisms and microcircuitry involved in the temperature changes.&quot;,&quot;publisher&quot;:&quot;Taylor &amp; Francis&quot;,&quot;issue&quot;:&quot;3&quot;,&quot;volume&quot;:&quot;7&quot;},&quot;isTemporary&quot;:false}]},{&quot;citationID&quot;:&quot;MENDELEY_CITATION_53fd9816-dc2d-4d3f-91a1-887ff5bea24d&quot;,&quot;properties&quot;:{&quot;noteIndex&quot;:0},&quot;isEdited&quot;:false,&quot;manualOverride&quot;:{&quot;citeprocText&quot;:&quot;[62]&quot;,&quot;isManuallyOverridden&quot;:false,&quot;manualOverrideText&quot;:&quot;&quot;},&quot;citationTag&quot;:&quot;MENDELEY_CITATION_v3_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&quot;,&quot;citationItems&quot;:[{&quot;id&quot;:&quot;1f5a5ee9-910b-5af9-9999-3a28707ee927&quot;,&quot;itemData&quot;:{&quot;DOI&quot;:&quot;10.1152/japplphysiol.00202.2003&quot;,&quot;ISSN&quot;:&quot;8750-7587&quot;,&quot;abstract&quot;:&quot;This mini-review focuses on the effects of aging on human temperature regulation. Although comprehensive reviews have been published on this topic (Kenney WL. Exercise and Sport Sciences Reviews, Baltimore: Williams &amp; Wilkins, 1997, p. 41-76; Pandolf KB. Exp Aging Res 17: 189-204, 1991; Van Someren EJ, Raymann RJ, Scherder EJ, Daanen HA, and Swaab DF. Ageing Res Rev 1: 721-778, 2002; and Young AJ. Exp Aging Res 17: 205-213, 1991), this mini-review concisely summarizes the present state of knowledge about human temperature regulation and aging in thermoneutral conditions, as well as during hypo- and hyperthermic challenges. First, we discuss age-related effects on baseline body core temperature and phasing rhythms of the circadian temperature cycle. We then examine the altered physiological responses to cold stress that result from aging, including attenuated peripheral vasoconstriction and reduced cold-induced metabolic heat production. Finally, we present the age-related changes in sweating and cardiovascular function associated with heat stress. Although epidemiological evidence of increased mortality among older adults from hypo- and hyperthermia exists, this outcome does not reflect an inability to thermoregulate with advanced age. In fact, studies that have attempted to separate the effects of chronological age from concurrent factors, such as fitness level, body composition, and the effects of chronic disease, have shown that thermal tolerance appears to be minimally compromised by age.&quot;,&quot;author&quot;:[{&quot;dropping-particle&quot;:&quot;&quot;,&quot;family&quot;:&quot;Kenney&quot;,&quot;given&quot;:&quot;W Larry&quot;,&quot;non-dropping-particle&quot;:&quot;&quot;,&quot;parse-names&quot;:false,&quot;suffix&quot;:&quot;&quot;},{&quot;dropping-particle&quot;:&quot;&quot;,&quot;family&quot;:&quot;Munce&quot;,&quot;given&quot;:&quot;Thayne A&quot;,&quot;non-dropping-particle&quot;:&quot;&quot;,&quot;parse-names&quot;:false,&quot;suffix&quot;:&quot;&quot;}],&quot;container-title&quot;:&quot;Journal of Applied Physiology&quot;,&quot;id&quot;:&quot;1f5a5ee9-910b-5af9-9999-3a28707ee927&quot;,&quot;issue&quot;:&quot;6&quot;,&quot;issued&quot;:{&quot;date-parts&quot;:[[&quot;2003&quot;,&quot;12&quot;]]},&quot;page&quot;:&quot;2598-2603&quot;,&quot;title&quot;:&quot;Aging and human temperature regulation&quot;,&quot;type&quot;:&quot;article-journal&quot;,&quot;volume&quot;:&quot;95&quot;,&quot;container-title-short&quot;:&quot;J. Appl. Physiol.&quot;},&quot;uris&quot;:[&quot;http://www.mendeley.com/documents/?uuid=7715f1c4-4cbc-4136-a6de-ca31c23325e1&quot;],&quot;isTemporary&quot;:false,&quot;legacyDesktopId&quot;:&quot;7715f1c4-4cbc-4136-a6de-ca31c23325e1&quot;}]},{&quot;citationID&quot;:&quot;MENDELEY_CITATION_01135305-9fac-41ae-aa41-c4d277333da0&quot;,&quot;properties&quot;:{&quot;noteIndex&quot;:0},&quot;isEdited&quot;:false,&quot;manualOverride&quot;:{&quot;citeprocText&quot;:&quot;[44]&quot;,&quot;isManuallyOverridden&quot;:false,&quot;manualOverrideText&quot;:&quot;&quot;},&quot;citationTag&quot;:&quot;MENDELEY_CITATION_v3_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&quot;,&quot;citationItems&quot;:[{&quot;id&quot;:&quot;f9ecad77-8e4d-5241-b7ea-3bc90006d749&quot;,&quot;itemData&quot;:{&quot;DOI&quot;:&quot;10.1093/gerona/glr001&quot;,&quot;ISSN&quot;:&quot;1079-5006&quot;,&quot;PMID&quot;:&quot;21324956&quot;,&quot;abstract&quot;:&quot;In animal studies, caloric restriction resulting in increased longevity is associated with a reduction in body temperature, which is strain specific and likely under genetic control. Small studies in humans have suggested that temperatures may be lower among elderly populations, usually attributed to loss of thermoregulation. We analyzed cross-sectional data from 18,630 white adults aged 20-98 years (mean 58.3 years) who underwent oral temperature measurement as part of a standardized health appraisal at a large U.S. health maintenance organization. Overall, women had higher mean temperatures (97.5 ± 1.2°F) than men (97.2 ± 1.1°F; p &lt; .0001). Mean temperature decreased with age, with a difference of 0.3°F between oldest and youngest groups after controlling for sex, body mass index, and white blood cell count. The results are consistent with low body temperature as a biomarker for longevity. Prospective studies are needed to confirm whether this represents a survival advantage associated with lifetime low steady state temperature. © The Author 2011. Published by Oxford University Press on behalf of The Gerontological Society of America. All rights reserved.&quot;,&quot;author&quot;:[{&quot;dropping-particle&quot;:&quot;&quot;,&quot;family&quot;:&quot;Waalen&quot;,&quot;given&quot;:&quot;Jill&quot;,&quot;non-dropping-particle&quot;:&quot;&quot;,&quot;parse-names&quot;:false,&quot;suffix&quot;:&quot;&quot;},{&quot;dropping-particle&quot;:&quot;&quot;,&quot;family&quot;:&quot;Buxbaum&quot;,&quot;given&quot;:&quot;Joel N.&quot;,&quot;non-dropping-particle&quot;:&quot;&quot;,&quot;parse-names&quot;:false,&quot;suffix&quot;:&quot;&quot;}],&quot;container-title&quot;:&quot;The Journals of Gerontology Series A: Biological Sciences and Medical Sciences&quot;,&quot;id&quot;:&quot;f9ecad77-8e4d-5241-b7ea-3bc90006d749&quot;,&quot;issue&quot;:&quot;5&quot;,&quot;issued&quot;:{&quot;date-parts&quot;:[[&quot;2011&quot;,&quot;5&quot;,&quot;1&quot;]]},&quot;page&quot;:&quot;487-492&quot;,&quot;title&quot;:&quot;Is Older Colder or Colder Older? The Association of Age With Body Temperature in 18,630 Individuals&quot;,&quot;type&quot;:&quot;article-journal&quot;,&quot;volume&quot;:&quot;66A&quot;,&quot;container-title-short&quot;:&quot;J. Gerontol. A Biol. Sci. Med. Sci.&quot;},&quot;uris&quot;:[&quot;http://www.mendeley.com/documents/?uuid=4cfec10c-c988-43f3-bd56-9dec87965377&quot;],&quot;isTemporary&quot;:false,&quot;legacyDesktopId&quot;:&quot;4cfec10c-c988-43f3-bd56-9dec87965377&quot;}]},{&quot;citationID&quot;:&quot;MENDELEY_CITATION_4f38d5ca-4104-475f-b454-855f8a0cccbd&quot;,&quot;properties&quot;:{&quot;noteIndex&quot;:0},&quot;isEdited&quot;:false,&quot;manualOverride&quot;:{&quot;citeprocText&quot;:&quot;[63]&quot;,&quot;isManuallyOverridden&quot;:false,&quot;manualOverrideText&quot;:&quot;&quot;},&quot;citationTag&quot;:&quot;MENDELEY_CITATION_v3_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&quot;,&quot;citationItems&quot;:[{&quot;id&quot;:&quot;29f283b8-7d5d-526c-b636-ad4ebc8a5f2a&quot;,&quot;itemData&quot;:{&quot;DOI&quot;:&quot;10.1152/physrev.00038.2020&quot;,&quot;ISSN&quot;:&quot;15221210&quot;,&quot;PMID&quot;:&quot;33829868&quot;,&quot;abstract&quot;:&quot;A rise in body core temperature and loss of body water via sweating are natural consequences of prolonged exercise in the heat. This review provides a comprehensive and integrative overview of how the human body responds to exercise under heat stress and the countermeasures that can be adopted to enhance aerobic performance under such environmental conditions. The fundamental concepts and physiological processes associated with thermoregulation and fluid balance are initially described, followed by a summary of methods to determine thermal strain and hydration status. An outline is provided on how exercise-heat stress disrupts these homeostatic processes, leading to hyperthermia, hypohydration, sodium disturbances, and in some cases exertional heat illness. The impact of heat stress on human performance is also examined, including the underlying physiological mechanisms that mediate the impairment of exercise performance. Similarly, the influence of hydration status on performance in the heat and how systemic and peripheral hemodynamic adjustments contribute to fatigue development is elucidated. This review also discusses strategies to mitigate the effects of hyperthermia and hypohydration on exercise performance in the heat by examining the benefits of heat acclimation, cooling strategies, and hyperhydration. Finally, contemporary controversies are summarized and future research directions are provided.&quot;,&quot;author&quot;:[{&quot;dropping-particle&quot;:&quot;&quot;,&quot;family&quot;:&quot;Périard&quot;,&quot;given&quot;:&quot;Julien D.&quot;,&quot;non-dropping-particle&quot;:&quot;&quot;,&quot;parse-names&quot;:false,&quot;suffix&quot;:&quot;&quot;},{&quot;dropping-particle&quot;:&quot;&quot;,&quot;family&quot;:&quot;Eijsvogels&quot;,&quot;given&quot;:&quot;Thijs M.H.&quot;,&quot;non-dropping-particle&quot;:&quot;&quot;,&quot;parse-names&quot;:false,&quot;suffix&quot;:&quot;&quot;},{&quot;dropping-particle&quot;:&quot;&quot;,&quot;family&quot;:&quot;Daanen&quot;,&quot;given&quot;:&quot;Hein A.M.&quot;,&quot;non-dropping-particle&quot;:&quot;&quot;,&quot;parse-names&quot;:false,&quot;suffix&quot;:&quot;&quot;}],&quot;container-title&quot;:&quot;Physiological Reviews&quot;,&quot;id&quot;:&quot;29f283b8-7d5d-526c-b636-ad4ebc8a5f2a&quot;,&quot;issue&quot;:&quot;4&quot;,&quot;issued&quot;:{&quot;date-parts&quot;:[[&quot;2021&quot;,&quot;10&quot;]]},&quot;page&quot;:&quot;1873-1979&quot;,&quot;publisher&quot;:&quot;American Physiological Society&quot;,&quot;title&quot;:&quot;Exercise under heat stress: Thermoregulation, hydration, performance implications, and mitigation strategies&quot;,&quot;type&quot;:&quot;article&quot;,&quot;volume&quot;:&quot;101&quot;,&quot;container-title-short&quot;:&quot;Physiol. Rev.&quot;},&quot;uris&quot;:[&quot;http://www.mendeley.com/documents/?uuid=ecd04911-556f-4a22-ac8d-1fd67b07ad28&quot;],&quot;isTemporary&quot;:false,&quot;legacyDesktopId&quot;:&quot;ecd04911-556f-4a22-ac8d-1fd67b07ad28&quot;}]},{&quot;citationID&quot;:&quot;MENDELEY_CITATION_daecf9ec-dcfd-41ef-955f-c0a2c5f38e53&quot;,&quot;properties&quot;:{&quot;noteIndex&quot;:0},&quot;isEdited&quot;:false,&quot;manualOverride&quot;:{&quot;citeprocText&quot;:&quot;[6,64]&quot;,&quot;isManuallyOverridden&quot;:false,&quot;manualOverrideText&quot;:&quot;&quot;},&quot;citationTag&quot;:&quot;MENDELEY_CITATION_v3_eyJjaXRhdGlvbklEIjoiTUVOREVMRVlfQ0lUQVRJT05fZGFlY2Y5ZWMtZGNmZC00MWVmLTk1NWYtYzBhMmM1ZjM4ZTUzIiwicHJvcGVydGllcyI6eyJub3RlSW5kZXgiOjB9LCJpc0VkaXRlZCI6ZmFsc2UsIm1hbnVhbE92ZXJyaWRlIjp7ImNpdGVwcm9jVGV4dCI6Ils2LDY0XSIsImlzTWFudWFsbHlPdmVycmlkZGVuIjpmYWxzZSwibWFudWFsT3ZlcnJpZGVUZXh0IjoiIn0sImNpdGF0aW9uSXRlbXMiOlt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&quot;,&quot;citationItems&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id&quot;:&quot;e7e40a84-ca99-5d89-bda2-28f267da4c4a&quot;,&quot;itemData&quot;:{&quot;DOI&quot;:&quot;10.1007/s40279-017-0808-x&quot;,&quot;ISSN&quot;:&quot;0112-1642&quot;,&quot;PMID&quot;:&quot;29129022&quot;,&quot;abstract&quot;:&quot;Background: Although the acquisition of heat acclimation (HA) is well-documented, less is known about HA decay (HAD) and heat re-acclimation (HRA). The available literature suggests 1 day of HA is lost following 2 days of HAD. Understanding this relationship has the potential to impact upon the manner in which athletes prepare for major competitions, as a HA regimen may be disruptive during final preparations (i.e., taper). Objective: The aim of this systematic review and meta-analysis was to determine the rate of HAD and HRA in three of the main physiological adaptations occurring during HA: heart rate (HR), core temperature (Tc), and sweat rate (SR). Data Sources: Data for this systematic review were retrieved from Scopus and critical review of the cited references. Study Selection: Studies were included when they met the following criteria: HA, HAD, and HRA (when available) were quantified in terms of exposure and duration. HA had to be for at least 5 days and HAD for at least 7 days for longitudinal studies. HR, Tc, or SR had to be monitored in human participants. Study Appraisal: The level of bias in each study was assessed using the McMaster critical review form. Multiple linear regression techniques were used to determine the dependency of HAD in HR, Tc, and SR from the number of HA and HAD days, daily HA exposure duration, and intensity. Results: Twelve studies met the criteria and were systematically reviewed. HAD was quantified as a percentage change relative to HA (0% = HA, 100% = unacclimated state). Adaptations in end-exercise HR decreased by 2.3% (P &lt; 0.001) for every day of HAD. For end-exercise Tc, the daily decrease was 2.6% (P &lt; 0.01). The adaptations in Tc during the HA period were more sustainable when the daily heat exposure duration was increased and heat exposure intensity decreased. The decay in SR was not related to the number of decay days. However, protracted HA-regimens seem to induce longer-lasting adaptations in SR. High heat exposure intensities during HA seem to evoke more sustained adaptations in SR than lower heat stress. Only eight studies investigated HRA. HRA was 8–12 times faster than HAD at inducing adaptations in HR and Tc, but no differences could be established for SR. Limitations: The available studies lacked standardization in the protocols for HA and HAD. Conclusions: HAD and HRA differ considerably between physiological systems. Five or more HA days are sufficient to cause adaptations in HR and Tc; however, …&quot;,&quot;author&quot;:[{&quot;dropping-particle&quot;:&quot;&quot;,&quot;family&quot;:&quot;Daanen&quot;,&quot;given&quot;:&quot;Hein A. M.&quot;,&quot;non-dropping-particle&quot;:&quot;&quot;,&quot;parse-names&quot;:false,&quot;suffix&quot;:&quot;&quot;},{&quot;dropping-particle&quot;:&quot;&quot;,&quot;family&quot;:&quot;Racinais&quot;,&quot;given&quot;:&quot;Sebastien&quot;,&quot;non-dropping-particle&quot;:&quot;&quot;,&quot;parse-names&quot;:false,&quot;suffix&quot;:&quot;&quot;},{&quot;dropping-particle&quot;:&quot;&quot;,&quot;family&quot;:&quot;Périard&quot;,&quot;given&quot;:&quot;Julien D.&quot;,&quot;non-dropping-particle&quot;:&quot;&quot;,&quot;parse-names&quot;:false,&quot;suffix&quot;:&quot;&quot;}],&quot;container-title&quot;:&quot;Sports Medicine&quot;,&quot;id&quot;:&quot;e7e40a84-ca99-5d89-bda2-28f267da4c4a&quot;,&quot;issue&quot;:&quot;2&quot;,&quot;issued&quot;:{&quot;date-parts&quot;:[[&quot;2018&quot;,&quot;2&quot;,&quot;11&quot;]]},&quot;page&quot;:&quot;409-430&quot;,&quot;title&quot;:&quot;Heat Acclimation Decay and Re-Induction: A Systematic Review and Meta-Analysis&quot;,&quot;type&quot;:&quot;article-journal&quot;,&quot;volume&quot;:&quot;48&quot;,&quot;container-title-short&quot;:&quot;&quot;},&quot;uris&quot;:[&quot;http://www.mendeley.com/documents/?uuid=e0b3e421-743b-497e-b970-bd031c0d0e0d&quot;],&quot;isTemporary&quot;:false,&quot;legacyDesktopId&quot;:&quot;e0b3e421-743b-497e-b970-bd031c0d0e0d&quot;}]},{&quot;citationID&quot;:&quot;MENDELEY_CITATION_bcd90ed2-f081-42e4-8a3e-015a7b2dc6d7&quot;,&quot;properties&quot;:{&quot;noteIndex&quot;:0},&quot;isEdited&quot;:false,&quot;manualOverride&quot;:{&quot;citeprocText&quot;:&quot;[65]&quot;,&quot;isManuallyOverridden&quot;:false,&quot;manualOverrideText&quot;:&quot;&quot;},&quot;citationTag&quot;:&quot;MENDELEY_CITATION_v3_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&quot;,&quot;citationItems&quot;:[{&quot;id&quot;:&quot;266a654e-e497-52fb-b04d-4349c3269719&quot;,&quot;itemData&quot;:{&quot;DOI&quot;:&quot;10.1007/s00421-009-1182-7&quot;,&quot;ISSN&quot;:&quot;14396319&quot;,&quot;PMID&quot;:&quot;19727796&quot;,&quot;abstract&quot;:&quot;The purpose of this work was to investigate adaptation and decay from short-term (5-day) heat acclimation (STHA). Ten moderately trained males (mean ± SD age 28 ± 7 years; body mass 74.6 ± 4.4 kg; V O2peak 4.26 ± 0.37 l min-1) underwent heat acclimation (Acc) for 90-min on 5-days consecutively (Ta = 39.5°C, 60% RH), under controlled hyperthermia (rectal temperature 38.5°C). Participants completed a heat stress test (HST) 1 week before acclimation (Acc), then on the 2nd and 8th day (1 week) following Acc (Ta = 35°C, 60% RH). Seven participants completed HSTs 2 and 3 weeks after Acc. HST consisted of 90-min cycling at 40% peak power output before an incremental performance test. Rectal temperature at rest (37.1 ± 0.4°C) was not lowered by Acc (95% CI -0.3 to 0.2°C), after 90-min exercise (38.6 ± 0.5°C) it reduced 0.3°C (-0.5 to -0.1°C) and remained at this level 1 week later (-0.5 to -0.1°C), but not two (0.1°C -0.4 to 0.5°C; n = 7) or 3 weeks. Similarly, heart rate after 90-min exercise (146 ± 21 b min-1) was reduced (-13: -6 to -20 b min-1) and remained at this level after 1 week (-13: -6 to -20 b min-1) but not two (-9: 6 to -23 b min -1; n = 7) or 3 weeks. Performance (746 s) increased 106 s: 59 to 152 s after Acc and remained higher after one (76 s: 31 to 122) but not two (15 s: -88 to 142 s; n = 7) or 3 weeks. Therefore, STHA (5-day) induced adaptations permitting increased heat loss and this persisted 1 week but not 2 weeks following Acc. © 2009 Springer-Verlag.&quot;,&quot;author&quot;:[{&quot;dropping-particle&quot;:&quot;&quot;,&quot;family&quot;:&quot;Garrett&quot;,&quot;given&quot;:&quot;Andrew T.&quot;,&quot;non-dropping-particle&quot;:&quot;&quot;,&quot;parse-names&quot;:false,&quot;suffix&quot;:&quot;&quot;},{&quot;dropping-particle&quot;:&quot;&quot;,&quot;family&quot;:&quot;Goosens&quot;,&quot;given&quot;:&quot;Niels G.&quot;,&quot;non-dropping-particle&quot;:&quot;&quot;,&quot;parse-names&quot;:false,&quot;suffix&quot;:&quot;&quot;},{&quot;dropping-particle&quot;:&quot;&quot;,&quot;family&quot;:&quot;Rehrer&quot;,&quot;given&quot;:&quot;Nancy G.&quot;,&quot;non-dropping-particle&quot;:&quot;&quot;,&quot;parse-names&quot;:false,&quot;suffix&quot;:&quot;&quot;},{&quot;dropping-particle&quot;:&quot;&quot;,&quot;family&quot;:&quot;Patterson&quot;,&quot;given&quot;:&quot;Mark J.&quot;,&quot;non-dropping-particle&quot;:&quot;&quot;,&quot;parse-names&quot;:false,&quot;suffix&quot;:&quot;&quot;},{&quot;dropping-particle&quot;:&quot;&quot;,&quot;family&quot;:&quot;Cotter&quot;,&quot;given&quot;:&quot;James D.&quot;,&quot;non-dropping-particle&quot;:&quot;&quot;,&quot;parse-names&quot;:false,&quot;suffix&quot;:&quot;&quot;}],&quot;container-title&quot;:&quot;European Journal of Applied Physiology&quot;,&quot;id&quot;:&quot;266a654e-e497-52fb-b04d-4349c3269719&quot;,&quot;issue&quot;:&quot;6&quot;,&quot;issued&quot;:{&quot;date-parts&quot;:[[&quot;2009&quot;]]},&quot;page&quot;:&quot;659-670&quot;,&quot;title&quot;:&quot;Induction and decay of short-term heat acclimation&quot;,&quot;type&quot;:&quot;article-journal&quot;,&quot;volume&quot;:&quot;107&quot;,&quot;container-title-short&quot;:&quot;Eur. J. Appl. Physiol.&quot;},&quot;uris&quot;:[&quot;http://www.mendeley.com/documents/?uuid=c06b2e3f-a739-4c13-8e20-0c7634d7ba60&quot;],&quot;isTemporary&quot;:false,&quot;legacyDesktopId&quot;:&quot;c06b2e3f-a739-4c13-8e20-0c7634d7ba60&quot;}]},{&quot;citationID&quot;:&quot;MENDELEY_CITATION_aceabfef-f5ff-4239-bbac-e54121837f56&quot;,&quot;properties&quot;:{&quot;noteIndex&quot;:0},&quot;isEdited&quot;:false,&quot;manualOverride&quot;:{&quot;citeprocText&quot;:&quot;[64]&quot;,&quot;isManuallyOverridden&quot;:false,&quot;manualOverrideText&quot;:&quot;&quot;},&quot;citationTag&quot;:&quot;MENDELEY_CITATION_v3_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&quot;,&quot;citationItems&quot;:[{&quot;id&quot;:&quot;e7e40a84-ca99-5d89-bda2-28f267da4c4a&quot;,&quot;itemData&quot;:{&quot;DOI&quot;:&quot;10.1007/s40279-017-0808-x&quot;,&quot;ISSN&quot;:&quot;0112-1642&quot;,&quot;PMID&quot;:&quot;29129022&quot;,&quot;abstract&quot;:&quot;Background: Although the acquisition of heat acclimation (HA) is well-documented, less is known about HA decay (HAD) and heat re-acclimation (HRA). The available literature suggests 1 day of HA is lost following 2 days of HAD. Understanding this relationship has the potential to impact upon the manner in which athletes prepare for major competitions, as a HA regimen may be disruptive during final preparations (i.e., taper). Objective: The aim of this systematic review and meta-analysis was to determine the rate of HAD and HRA in three of the main physiological adaptations occurring during HA: heart rate (HR), core temperature (Tc), and sweat rate (SR). Data Sources: Data for this systematic review were retrieved from Scopus and critical review of the cited references. Study Selection: Studies were included when they met the following criteria: HA, HAD, and HRA (when available) were quantified in terms of exposure and duration. HA had to be for at least 5 days and HAD for at least 7 days for longitudinal studies. HR, Tc, or SR had to be monitored in human participants. Study Appraisal: The level of bias in each study was assessed using the McMaster critical review form. Multiple linear regression techniques were used to determine the dependency of HAD in HR, Tc, and SR from the number of HA and HAD days, daily HA exposure duration, and intensity. Results: Twelve studies met the criteria and were systematically reviewed. HAD was quantified as a percentage change relative to HA (0% = HA, 100% = unacclimated state). Adaptations in end-exercise HR decreased by 2.3% (P &lt; 0.001) for every day of HAD. For end-exercise Tc, the daily decrease was 2.6% (P &lt; 0.01). The adaptations in Tc during the HA period were more sustainable when the daily heat exposure duration was increased and heat exposure intensity decreased. The decay in SR was not related to the number of decay days. However, protracted HA-regimens seem to induce longer-lasting adaptations in SR. High heat exposure intensities during HA seem to evoke more sustained adaptations in SR than lower heat stress. Only eight studies investigated HRA. HRA was 8–12 times faster than HAD at inducing adaptations in HR and Tc, but no differences could be established for SR. Limitations: The available studies lacked standardization in the protocols for HA and HAD. Conclusions: HAD and HRA differ considerably between physiological systems. Five or more HA days are sufficient to cause adaptations in HR and Tc; however, …&quot;,&quot;author&quot;:[{&quot;dropping-particle&quot;:&quot;&quot;,&quot;family&quot;:&quot;Daanen&quot;,&quot;given&quot;:&quot;Hein A. M.&quot;,&quot;non-dropping-particle&quot;:&quot;&quot;,&quot;parse-names&quot;:false,&quot;suffix&quot;:&quot;&quot;},{&quot;dropping-particle&quot;:&quot;&quot;,&quot;family&quot;:&quot;Racinais&quot;,&quot;given&quot;:&quot;Sebastien&quot;,&quot;non-dropping-particle&quot;:&quot;&quot;,&quot;parse-names&quot;:false,&quot;suffix&quot;:&quot;&quot;},{&quot;dropping-particle&quot;:&quot;&quot;,&quot;family&quot;:&quot;Périard&quot;,&quot;given&quot;:&quot;Julien D.&quot;,&quot;non-dropping-particle&quot;:&quot;&quot;,&quot;parse-names&quot;:false,&quot;suffix&quot;:&quot;&quot;}],&quot;container-title&quot;:&quot;Sports Medicine&quot;,&quot;id&quot;:&quot;e7e40a84-ca99-5d89-bda2-28f267da4c4a&quot;,&quot;issue&quot;:&quot;2&quot;,&quot;issued&quot;:{&quot;date-parts&quot;:[[&quot;2018&quot;,&quot;2&quot;,&quot;11&quot;]]},&quot;page&quot;:&quot;409-430&quot;,&quot;title&quot;:&quot;Heat Acclimation Decay and Re-Induction: A Systematic Review and Meta-Analysis&quot;,&quot;type&quot;:&quot;article-journal&quot;,&quot;volume&quot;:&quot;48&quot;,&quot;container-title-short&quot;:&quot;&quot;},&quot;uris&quot;:[&quot;http://www.mendeley.com/documents/?uuid=e0b3e421-743b-497e-b970-bd031c0d0e0d&quot;],&quot;isTemporary&quot;:false,&quot;legacyDesktopId&quot;:&quot;e0b3e421-743b-497e-b970-bd031c0d0e0d&quot;}]},{&quot;citationID&quot;:&quot;MENDELEY_CITATION_a7d9c673-6e13-4a6c-96eb-83909f318f6c&quot;,&quot;properties&quot;:{&quot;noteIndex&quot;:0},&quot;isEdited&quot;:false,&quot;manualOverride&quot;:{&quot;citeprocText&quot;:&quot;[66]&quot;,&quot;isManuallyOverridden&quot;:false,&quot;manualOverrideText&quot;:&quot;&quot;},&quot;citationTag&quot;:&quot;MENDELEY_CITATION_v3_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&quot;,&quot;citationItems&quot;:[{&quot;id&quot;:&quot;f7522360-9ede-525e-97cc-88341091f6b2&quot;,&quot;itemData&quot;:{&quot;DOI&quot;:&quot;10.1016/S1095-6433(01)00274-4&quot;,&quot;ISSN&quot;:&quot;10956433&quot;,&quot;PMID&quot;:&quot;11282312&quot;,&quot;abstract&quot;:&quot;During exercise, sweat output often exceeds water intake, producing a water deficit or hypohydration. The water deficit lowers both intracellular and extracellular fluid volumes, and causes a hypotonic-hypovolemia of the blood. Aerobic exercise tasks are likely to be adversely effected by hypohydration (even in the absence of heat strain), with the potential affect being greater in hot environments. Hypohydration increases heat storage by reducing sweating rate and skin blood flow responses for a given core temperature. Hypertonicity and hypovolemia both contribute to reduced heat loss and increased heat storage. In addition, hypovolemia and the displacement of blood to the skin make it difficult to maintain central venous pressure and thus cardiac output to simultaneously support metabolism and thermoregulation. Hyperhydration provides no advantages over euhydration regarding thermoregulation and exercise performance in the heat.&quot;,&quot;author&quot;:[{&quot;dropping-particle&quot;:&quot;&quot;,&quot;family&quot;:&quot;Sawka&quot;,&quot;given&quot;:&quot;Michael N.&quot;,&quot;non-dropping-particle&quot;:&quot;&quot;,&quot;parse-names&quot;:false,&quot;suffix&quot;:&quot;&quot;},{&quot;dropping-particle&quot;:&quot;&quot;,&quot;family&quot;:&quot;Montain&quot;,&quot;given&quot;:&quot;Scott J.&quot;,&quot;non-dropping-particle&quot;:&quot;&quot;,&quot;parse-names&quot;:false,&quot;suffix&quot;:&quot;&quot;},{&quot;dropping-particle&quot;:&quot;&quot;,&quot;family&quot;:&quot;Latzka&quot;,&quot;given&quot;:&quot;William A.&quot;,&quot;non-dropping-particle&quot;:&quot;&quot;,&quot;parse-names&quot;:false,&quot;suffix&quot;:&quot;&quot;}],&quot;container-title&quot;:&quot;Comparative Biochemistry and Physiology - A Molecular and Integrative Physiology&quot;,&quot;id&quot;:&quot;f7522360-9ede-525e-97cc-88341091f6b2&quot;,&quot;issue&quot;:&quot;4&quot;,&quot;issued&quot;:{&quot;date-parts&quot;:[[&quot;2001&quot;]]},&quot;page&quot;:&quot;679-690&quot;,&quot;title&quot;:&quot;Hydration effects on thermoregulation and performance in the heat&quot;,&quot;type&quot;:&quot;article-journal&quot;,&quot;volume&quot;:&quot;128&quot;,&quot;container-title-short&quot;:&quot;&quot;},&quot;uris&quot;:[&quot;http://www.mendeley.com/documents/?uuid=bbd7732b-eb5f-4204-8855-3eceb7aad8ed&quot;],&quot;isTemporary&quot;:false,&quot;legacyDesktopId&quot;:&quot;bbd7732b-eb5f-4204-8855-3eceb7aad8ed&quot;}]},{&quot;citationID&quot;:&quot;MENDELEY_CITATION_6dee59d9-3448-44d6-bba7-a24de13cbf55&quot;,&quot;properties&quot;:{&quot;noteIndex&quot;:0},&quot;isEdited&quot;:false,&quot;manualOverride&quot;:{&quot;citeprocText&quot;:&quot;[67]&quot;,&quot;isManuallyOverridden&quot;:false,&quot;manualOverrideText&quot;:&quot;&quot;},&quot;citationTag&quot;:&quot;MENDELEY_CITATION_v3_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&quot;,&quot;citationItems&quot;:[{&quot;id&quot;:&quot;12e32dbe-5f5b-5c86-946c-763437ad8618&quot;,&quot;itemData&quot;:{&quot;DOI&quot;:&quot;10.1186/1743-7075-1-5&quot;,&quot;ISSN&quot;:&quot;17437075&quot;,&quot;abstract&quot;:&quot;Objective: Daily energy expenditure consists of three components: basal metabolic rate, diet-induced thermogenesis and the energy cost of physical activity. Here, data on diet-induced thermogenesis are reviewed in relation to measuring conditions and characteristics of the diet. Methods: Measuring conditions include nutritional status of the subject, physical activity and duration of the observation. Diet characteristics are energy content and macronutrient composition. Results: Most studies measure diet-induced thermogenesis as the increase in energy expenditure above basal metabolic rate. Generally, the hierarchy in macronutrient oxidation in the postprandial state is reflected similarly in diet-induced thermogenesis, with the sequence alcohol, protein, carbohydrate, and fat. A mixed diet consumed at energy balance results in a diet induced energy expenditure of 5 to 15 % of daily energy expenditure. Values are higher at a relatively high protein and alcohol consumption and lower at a high fat consumption. Protein induced thermogenesis has an important effect on satiety. In conclusion, the main determinants of diet-induced thermogenesis are the energy content and the protein- and alcohol fraction of the diet. Protein plays a key role in body weight regulation through satiety related to diet-induced thermogenesis. © 2004 Westerterp; licensee BioMed Central Ltd.&quot;,&quot;author&quot;:[{&quot;dropping-particle&quot;:&quot;&quot;,&quot;family&quot;:&quot;Westerterp&quot;,&quot;given&quot;:&quot;Klaas R.&quot;,&quot;non-dropping-particle&quot;:&quot;&quot;,&quot;parse-names&quot;:false,&quot;suffix&quot;:&quot;&quot;}],&quot;container-title&quot;:&quot;Nutrition and Metabolism&quot;,&quot;id&quot;:&quot;12e32dbe-5f5b-5c86-946c-763437ad8618&quot;,&quot;issued&quot;:{&quot;date-parts&quot;:[[&quot;2004&quot;]]},&quot;page&quot;:&quot;1-5&quot;,&quot;title&quot;:&quot;Diet induced thermogenesis&quot;,&quot;type&quot;:&quot;article-journal&quot;,&quot;volume&quot;:&quot;1&quot;,&quot;container-title-short&quot;:&quot;Nutr. Metab. (Lond).&quot;},&quot;uris&quot;:[&quot;http://www.mendeley.com/documents/?uuid=a7561025-9d2e-4f87-925d-b727ece38f2c&quot;],&quot;isTemporary&quot;:false,&quot;legacyDesktopId&quot;:&quot;a7561025-9d2e-4f87-925d-b727ece38f2c&quot;}]},{&quot;citationID&quot;:&quot;MENDELEY_CITATION_07c65f05-d68b-41f0-ab8b-29bd9e5fe753&quot;,&quot;properties&quot;:{&quot;noteIndex&quot;:0},&quot;isEdited&quot;:false,&quot;manualOverride&quot;:{&quot;citeprocText&quot;:&quot;[68]&quot;,&quot;isManuallyOverridden&quot;:false,&quot;manualOverrideText&quot;:&quot;&quot;},&quot;citationTag&quot;:&quot;MENDELEY_CITATION_v3_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&quot;,&quot;citationItems&quot;:[{&quot;id&quot;:&quot;4a305548-80d8-5e9a-9ede-29a11a7edd17&quot;,&quot;itemData&quot;:{&quot;DOI&quot;:&quot;10.1016/j.metop.2024.100291&quot;,&quot;ISSN&quot;:&quot;25899368&quot;,&quot;abstract&quot;:&quot;Obesity is a major public health problem with a prevalence increasing at an alarming rate worldwide. There is an urgent need for efficient approaches to weight management. Diet induced thermogenesis (DIT) is the process by which the body increases its energy expenditure in response to a meal. It is estimated to account for approximately 10 % of total energy expenditure and is considered a potentially modifiable component of energy expenditure. The palatability of food, meal's composition in macronutrients, the circadian rhythm and sleep, as well as individual's characteristics such as age, the presence of obesity or diabetes mellitus, and the proportion of physical activity are the main factors that affect DIT. However, studies examining DIT are mostly characterized by small sample size and the methodology varies considerably between studies. It seems that even today there is a lot of contradiction between the relative studies. Inspite of that, future research might lead to the modification of DIT in order to achieve some weight loss in obese people.&quot;,&quot;author&quot;:[{&quot;dropping-particle&quot;:&quot;&quot;,&quot;family&quot;:&quot;Tzeravini&quot;,&quot;given&quot;:&quot;Evangelia&quot;,&quot;non-dropping-particle&quot;:&quot;&quot;,&quot;parse-names&quot;:false,&quot;suffix&quot;:&quot;&quot;},{&quot;dropping-particle&quot;:&quot;&quot;,&quot;family&quot;:&quot;Tentolouris&quot;,&quot;given&quot;:&quot;Anastasios&quot;,&quot;non-dropping-particle&quot;:&quot;&quot;,&quot;parse-names&quot;:false,&quot;suffix&quot;:&quot;&quot;},{&quot;dropping-particle&quot;:&quot;&quot;,&quot;family&quot;:&quot;Kokkinos&quot;,&quot;given&quot;:&quot;Alexander&quot;,&quot;non-dropping-particle&quot;:&quot;&quot;,&quot;parse-names&quot;:false,&quot;suffix&quot;:&quot;&quot;},{&quot;dropping-particle&quot;:&quot;&quot;,&quot;family&quot;:&quot;Tentolouris&quot;,&quot;given&quot;:&quot;Nikolaos&quot;,&quot;non-dropping-particle&quot;:&quot;&quot;,&quot;parse-names&quot;:false,&quot;suffix&quot;:&quot;&quot;},{&quot;dropping-particle&quot;:&quot;&quot;,&quot;family&quot;:&quot;Katsilambros&quot;,&quot;given&quot;:&quot;Nikolaos&quot;,&quot;non-dropping-particle&quot;:&quot;&quot;,&quot;parse-names&quot;:false,&quot;suffix&quot;:&quot;&quot;}],&quot;container-title&quot;:&quot;Metabolism Open&quot;,&quot;id&quot;:&quot;4a305548-80d8-5e9a-9ede-29a11a7edd17&quot;,&quot;issue&quot;:&quot;May&quot;,&quot;issued&quot;:{&quot;date-parts&quot;:[[&quot;2024&quot;]]},&quot;page&quot;:&quot;100291&quot;,&quot;publisher&quot;:&quot;Elsevier Inc.&quot;,&quot;title&quot;:&quot;Diet induced thermogenesis, older and newer data with emphasis on obesity and diabetes mellitus - A narrative review&quot;,&quot;type&quot;:&quot;article-journal&quot;,&quot;volume&quot;:&quot;22&quot;,&quot;container-title-short&quot;:&quot;Metabol. Open&quot;},&quot;uris&quot;:[&quot;http://www.mendeley.com/documents/?uuid=e2f6edbe-b6be-4c59-879c-f0fb9bc60ad5&quot;],&quot;isTemporary&quot;:false,&quot;legacyDesktopId&quot;:&quot;e2f6edbe-b6be-4c59-879c-f0fb9bc60ad5&quot;}]},{&quot;citationID&quot;:&quot;MENDELEY_CITATION_22118a45-5528-4609-98c2-aaa8c0c7cf0c&quot;,&quot;properties&quot;:{&quot;noteIndex&quot;:0},&quot;isEdited&quot;:false,&quot;manualOverride&quot;:{&quot;citeprocText&quot;:&quot;[15,69]&quot;,&quot;isManuallyOverridden&quot;:false,&quot;manualOverrideText&quot;:&quot;&quot;},&quot;citationTag&quot;:&quot;MENDELEY_CITATION_v3_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quot;,&quot;citationItems&quot;:[{&quot;id&quot;:&quot;f5d89802-2dc9-5502-8ca6-a456a01619a3&quot;,&quot;itemData&quot;:{&quot;DOI&quot;:&quot;10.1038/srep20795&quot;,&quot;ISSN&quot;:&quot;20452322&quot;,&quot;PMID&quot;:&quot;26883089&quot;,&quot;abstract&quot;:&quot;Various lines of published evidence have already demonstrated the impact of TRPV1 agonists on energetic metabolism through the stimulation of the sympathetic nervous system (SNS). This study presents a trial investigating if stimulation of the two related sensory receptors TRPA1 and TRPM8 could also stimulate the SNS and impact the energetic metabolism of healthy subjects. The trial was designed to be double-blinded, randomized, cross-over, placebo-controlled with healthy subjects and the impact on the energetic metabolism and the autonomic nervous system (ANS) of cinnamaldehyde, capsaicin and a cooling flavor was measured during the 90 min after ingestion. Energy expenditure and substrate oxidation were measured by indirect calorimetry. An exploratory method to measure ANS activity was by facial thermography and power spectral analysis of heart rate variability using ECG was also used. Following cinnamaldehyde ingestion, energy expenditure was increased as compared to placebo. Furthermore, postprandial fat oxidation was maintained higher compared to placebo after cinnamaldehyde and capsaicin ingestion. Similar peripheral thermoregulation was observed after capsaicin and cinnamaldehyde ingestion. Unlike capsaicin, the dose of cinnamaldehyde was not judged to be sensorially too intens' by participants suggesting that Cinnamaldehyde would be a more tolerable solution to improve thermogenesis via spicy ingredients as compared to capsaicin.&quot;,&quot;author&quot;:[{&quot;dropping-particle&quot;:&quot;&quot;,&quot;family&quot;:&quot;Michlig&quot;,&quot;given&quot;:&quot;Stéphanie&quot;,&quot;non-dropping-particle&quot;:&quot;&quot;,&quot;parse-names&quot;:false,&quot;suffix&quot;:&quot;&quot;},{&quot;dropping-particle&quot;:&quot;&quot;,&quot;family&quot;:&quot;Merlini&quot;,&quot;given&quot;:&quot;Jenny Meylan&quot;,&quot;non-dropping-particle&quot;:&quot;&quot;,&quot;parse-names&quot;:false,&quot;suffix&quot;:&quot;&quot;},{&quot;dropping-particle&quot;:&quot;&quot;,&quot;family&quot;:&quot;Beaumont&quot;,&quot;given&quot;:&quot;Maurice&quot;,&quot;non-dropping-particle&quot;:&quot;&quot;,&quot;parse-names&quot;:false,&quot;suffix&quot;:&quot;&quot;},{&quot;dropping-particle&quot;:&quot;&quot;,&quot;family&quot;:&quot;Ledda&quot;,&quot;given&quot;:&quot;Mirko&quot;,&quot;non-dropping-particle&quot;:&quot;&quot;,&quot;parse-names&quot;:false,&quot;suffix&quot;:&quot;&quot;},{&quot;dropping-particle&quot;:&quot;&quot;,&quot;family&quot;:&quot;Tavenard&quot;,&quot;given&quot;:&quot;Aude&quot;,&quot;non-dropping-particle&quot;:&quot;&quot;,&quot;parse-names&quot;:false,&quot;suffix&quot;:&quot;&quot;},{&quot;dropping-particle&quot;:&quot;&quot;,&quot;family&quot;:&quot;Mukherjee&quot;,&quot;given&quot;:&quot;Rajat&quot;,&quot;non-dropping-particle&quot;:&quot;&quot;,&quot;parse-names&quot;:false,&quot;suffix&quot;:&quot;&quot;},{&quot;dropping-particle&quot;:&quot;&quot;,&quot;family&quot;:&quot;Camacho&quot;,&quot;given&quot;:&quot;Susana&quot;,&quot;non-dropping-particle&quot;:&quot;&quot;,&quot;parse-names&quot;:false,&quot;suffix&quot;:&quot;&quot;},{&quot;dropping-particle&quot;:&quot;&quot;,&quot;family&quot;:&quot;Coutre&quot;,&quot;given&quot;:&quot;Johannes&quot;,&quot;non-dropping-particle&quot;:&quot;Le&quot;,&quot;parse-names&quot;:false,&quot;suffix&quot;:&quot;&quot;}],&quot;container-title&quot;:&quot;Scientific Reports&quot;,&quot;id&quot;:&quot;f5d89802-2dc9-5502-8ca6-a456a01619a3&quot;,&quot;issue&quot;:&quot;January&quot;,&quot;issued&quot;:{&quot;date-parts&quot;:[[&quot;2016&quot;]]},&quot;page&quot;:&quot;1-12&quot;,&quot;publisher&quot;:&quot;Nature Publishing Group&quot;,&quot;title&quot;:&quot;Effects of TRP channel agonist ingestion on metabolism and autonomic nervous system in a randomized clinical trial of healthy subjects&quot;,&quot;type&quot;:&quot;article-journal&quot;,&quot;volume&quot;:&quot;6&quot;,&quot;container-title-short&quot;:&quot;Sci. Rep.&quot;},&quot;uris&quot;:[&quot;http://www.mendeley.com/documents/?uuid=bbcb1e58-8d96-42c1-9cf4-99fe35989aa1&quot;],&quot;isTemporary&quot;:false,&quot;legacyDesktopId&quot;:&quot;bbcb1e58-8d96-42c1-9cf4-99fe35989aa1&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citationID&quot;:&quot;MENDELEY_CITATION_78637175-cb69-4c18-9cd8-33b58ca02df1&quot;,&quot;properties&quot;:{&quot;noteIndex&quot;:0},&quot;isEdited&quot;:false,&quot;manualOverride&quot;:{&quot;citeprocText&quot;:&quot;[4]&quot;,&quot;isManuallyOverridden&quot;:false,&quot;manualOverrideText&quot;:&quot;&quot;},&quot;citationTag&quot;:&quot;MENDELEY_CITATION_v3_eyJjaXRhdGlvbklEIjoiTUVOREVMRVlfQ0lUQVRJT05fNzg2MzcxNzUtY2I2OS00YzE4LTljZDgtMzNiNThjYTAyZGYxIiwicHJvcGVydGllcyI6eyJub3RlSW5kZXgiOjB9LCJpc0VkaXRlZCI6ZmFsc2UsIm1hbnVhbE92ZXJyaWRlIjp7ImNpdGVwcm9jVGV4dCI6Ils0X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1dfQ==&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citationID&quot;:&quot;MENDELEY_CITATION_0ceec195-e322-414c-9357-a831a611d163&quot;,&quot;properties&quot;:{&quot;noteIndex&quot;:0},&quot;isEdited&quot;:false,&quot;manualOverride&quot;:{&quot;citeprocText&quot;:&quot;[70,71]&quot;,&quot;isManuallyOverridden&quot;:false,&quot;manualOverrideText&quot;:&quot;&quot;},&quot;citationTag&quot;:&quot;MENDELEY_CITATION_v3_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&quot;,&quot;citationItems&quot;:[{&quot;id&quot;:&quot;aeb34250-805d-5978-8c2a-774f3cebfd73&quot;,&quot;itemData&quot;:{&quot;DOI&quot;:&quot;10.1007/BF02425494&quot;,&quot;ISSN&quot;:&quot;0301-5548&quot;,&quot;PMID&quot;:&quot;8781864&quot;,&quot;abstract&quot;:&quot;We studied eight young adult men to see whether a supine posture caused a fall in body core temperature in the cold, as it does in thermoneutral conditions. In air at 31°C (thermoneutral), a supine posture for 3 h reduced mean aural, gastric, oesophageal and rectal temperatures by 0.2-0.4°C, compared to upright and increased femoral artery blood flow from 278 (SEM 42) ml·min-1 whilst upright to 437 (SEM 42) ml·min-1 whilst supine. In cold air (8°C) the supine posture failed to reduce these temperature differences significantly, or to increase femoral blood flow; it reduced heart rate, and increased arterial systolic and pulse pressures adjusted to carotid sinus level, less than in thermoneutral conditions. However, the behaviour of core temperature at the four sites was significantly nonuniform between the two postures in the cold, mainly because the supine posture tended to reduce rectal temperature. It may have done so by reducing heat production in the muscles of the pelvis, since it reduced overall metabolic rate from 105 (SEM 8) to 87 (SEM 4)W·m-2 in the cold. In other respects the results indicated that posture ceased to have an important effect on body core temperatures during cold stress.&quot;,&quot;author&quot;:[{&quot;dropping-particle&quot;:&quot;&quot;,&quot;family&quot;:&quot;Donaldson&quot;,&quot;given&quot;:&quot;G. C.&quot;,&quot;non-dropping-particle&quot;:&quot;&quot;,&quot;parse-names&quot;:false,&quot;suffix&quot;:&quot;&quot;},{&quot;dropping-particle&quot;:&quot;&quot;,&quot;family&quot;:&quot;Scarborough&quot;,&quot;given&quot;:&quot;M.&quot;,&quot;non-dropping-particle&quot;:&quot;&quot;,&quot;parse-names&quot;:false,&quot;suffix&quot;:&quot;&quot;},{&quot;dropping-particle&quot;:&quot;&quot;,&quot;family&quot;:&quot;Mridha&quot;,&quot;given&quot;:&quot;K.&quot;,&quot;non-dropping-particle&quot;:&quot;&quot;,&quot;parse-names&quot;:false,&quot;suffix&quot;:&quot;&quot;},{&quot;dropping-particle&quot;:&quot;&quot;,&quot;family&quot;:&quot;Whelan&quot;,&quot;given&quot;:&quot;L.&quot;,&quot;non-dropping-particle&quot;:&quot;&quot;,&quot;parse-names&quot;:false,&quot;suffix&quot;:&quot;&quot;},{&quot;dropping-particle&quot;:&quot;&quot;,&quot;family&quot;:&quot;Caunce&quot;,&quot;given&quot;:&quot;M.&quot;,&quot;non-dropping-particle&quot;:&quot;&quot;,&quot;parse-names&quot;:false,&quot;suffix&quot;:&quot;&quot;},{&quot;dropping-particle&quot;:&quot;&quot;,&quot;family&quot;:&quot;Keatinge&quot;,&quot;given&quot;:&quot;W. R.&quot;,&quot;non-dropping-particle&quot;:&quot;&quot;,&quot;parse-names&quot;:false,&quot;suffix&quot;:&quot;&quot;}],&quot;container-title&quot;:&quot;European Journal of Applied Physiology and Occupational Physiology&quot;,&quot;id&quot;:&quot;aeb34250-805d-5978-8c2a-774f3cebfd73&quot;,&quot;issue&quot;:&quot;3-4&quot;,&quot;issued&quot;:{&quot;date-parts&quot;:[[&quot;1996&quot;,&quot;5&quot;]]},&quot;page&quot;:&quot;326-331&quot;,&quot;title&quot;:&quot;Effect of posture on body temperature of young men in cold air&quot;,&quot;type&quot;:&quot;article-journal&quot;,&quot;volume&quot;:&quot;73&quot;,&quot;container-title-short&quot;:&quot;Eur. J. Appl. Physiol. Occup. Physiol.&quot;},&quot;uris&quot;:[&quot;http://www.mendeley.com/documents/?uuid=d7ee0965-e3cf-4dbc-9aa7-7aab0b1d771a&quot;],&quot;isTemporary&quot;:false,&quot;legacyDesktopId&quot;:&quot;d7ee0965-e3cf-4dbc-9aa7-7aab0b1d771a&quot;},{&quot;id&quot;:&quot;3bb9b2c3-5ddd-52fc-a479-54354ad1a1d6&quot;,&quot;itemData&quot;:{&quot;DOI&quot;:&quot;10.1007/BF00242275&quot;,&quot;ISSN&quot;:&quot;0301-5548&quot;,&quot;PMID&quot;:&quot;8925816&quot;,&quot;abstract&quot;:&quot;Early studies have demonstrated that rectal temperature (T(re)) decreases and mean skin temperature (T̄(sk)) increases in subjects changing their posture from standing to supine, and vice versa. Such changes have important implications insofar as thermal stress experiments are conducted and interpreted. However, the extent of these changes between steady-state conditions is not known. In addition, it is not known whether thermal balance is also affected by postural changes. To examine these questions, 11 healthy males were exposed to a thermoneutral air environment (28.2-28.5°C and 40% relative humidity) in various postures at rest. Body temperatures, heat losses, and metabolic rate were measured. Subjects wore shorts only and began in an upright posture (standing or sitting at an inclination of 7.5°) on a customized tilt-table. They were tilted twice, once into a supine position and then back to the original upright position. Each tilt occurred after steady state was satisfied based on the subject's circadian variation of T(re) determined previously in a 4.25 h control supine trial. Times to supine steady state following the first tilt were [mean (SE)] 92.6 (6.4) and 116.6 (5.1) min for the standing and sitting trials, respectively. Times to upright steady state following the second tilt were 107.9 (11.4) and 124.1 (9.0) min. Mean steady-state T(re) and T̄(sk) were 36.87 (0.07) and 34.04 (0.14), 37.47 (0.09) and 33.48 (0.14), and 37.26 (0.05) and 33.49 (0.10)°C for supine, standing, and sitting, respectively. Thermal balance was attained in all steady-state conditions, and allowing for a decrease in the weighting factor of T(re) for mean body temperature in the upright postures, it also appears that thermal balance was preserved between changes in posture. These results are consistent with no perceived changes by the subjects in their thermal comfort and skin wetness.&quot;,&quot;author&quot;:[{&quot;dropping-particle&quot;:&quot;&quot;,&quot;family&quot;:&quot;Tikuisis&quot;,&quot;given&quot;:&quot;Peter&quot;,&quot;non-dropping-particle&quot;:&quot;&quot;,&quot;parse-names&quot;:false,&quot;suffix&quot;:&quot;&quot;},{&quot;dropping-particle&quot;:&quot;&quot;,&quot;family&quot;:&quot;Ducharme&quot;,&quot;given&quot;:&quot;Michel B.&quot;,&quot;non-dropping-particle&quot;:&quot;&quot;,&quot;parse-names&quot;:false,&quot;suffix&quot;:&quot;&quot;}],&quot;container-title&quot;:&quot;European Journal of Applied Physiology and Occupational Physiology&quot;,&quot;id&quot;:&quot;3bb9b2c3-5ddd-52fc-a479-54354ad1a1d6&quot;,&quot;issue&quot;:&quot;5-6&quot;,&quot;issued&quot;:{&quot;date-parts&quot;:[[&quot;1996&quot;,&quot;3&quot;]]},&quot;page&quot;:&quot;451-459&quot;,&quot;title&quot;:&quot;The effect of postural changes on body temperatures and heat balance&quot;,&quot;type&quot;:&quot;article-journal&quot;,&quot;volume&quot;:&quot;72-72&quot;,&quot;container-title-short&quot;:&quot;Eur. J. Appl. Physiol. Occup. Physiol.&quot;},&quot;uris&quot;:[&quot;http://www.mendeley.com/documents/?uuid=f2cd7798-7656-47d5-8ca6-63aa93fe29fe&quot;],&quot;isTemporary&quot;:false,&quot;legacyDesktopId&quot;:&quot;f2cd7798-7656-47d5-8ca6-63aa93fe29fe&quot;}]},{&quot;citationID&quot;:&quot;MENDELEY_CITATION_362246f6-0f65-4baa-8943-c5eb7d367583&quot;,&quot;properties&quot;:{&quot;noteIndex&quot;:0},&quot;isEdited&quot;:false,&quot;manualOverride&quot;:{&quot;citeprocText&quot;:&quot;[72]&quot;,&quot;isManuallyOverridden&quot;:false,&quot;manualOverrideText&quot;:&quot;&quot;},&quot;citationTag&quot;:&quot;MENDELEY_CITATION_v3_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&quot;,&quot;citationItems&quot;:[{&quot;id&quot;:&quot;4af00831-9d99-5964-b388-7e08000719a3&quot;,&quot;itemData&quot;:{&quot;DOI&quot;:&quot;10.1046/j.0962-1105.2003.00369.x&quot;,&quot;ISSN&quot;:&quot;09621105&quot;,&quot;PMID&quot;:&quot;14633238&quot;,&quot;abstract&quot;:&quot;The purpose of this study was to evaluate homeostatic and circadian sleep process in 'larks' and 'owls' under daily life conditions. Core body temperature, subjective sleepiness and waking electroencephalogram (EEG) theta-alpha activity (6.25-9 Hz) were assessed in 18 healthy men (nine morning and nine evening chronotypes, 21.4 ± 1.9 years) during a 36-h constant routine that followed a week of a normal 'working' sleep-wake schedule (bedtime: 23.30 h, wake time: 07.30 h). The phase of the circadian rhythm of temperature and sleepiness occurred respectively, 1.5 h (P = 0.01) and 2 h (P = 0.009) later in evening- than in morning-type subjects. Only morning-type subjects showed a bimodal rhythm of sleep-wake propensity. The buildup of subjective sleepiness, as quantified by linear regression, was slower in evening than in morning types (P = 0.04). The time course of EEG theta-alpha activity of both chronotypes could be closely fitted by an exponential curve. The time constant of evening types was longer than that of morning types (P = 0.03), indicating a slower increase in sleep pressure during extended wakefulness. These results suggest that both the circadian signal and the kinetics of sleep pressure buildup differ between the two chronotypes even under prior naturalistic conditions mimicking the usual working day.&quot;,&quot;author&quot;:[{&quot;dropping-particle&quot;:&quot;&quot;,&quot;family&quot;:&quot;Taillard&quot;,&quot;given&quot;:&quot;Jacques&quot;,&quot;non-dropping-particle&quot;:&quot;&quot;,&quot;parse-names&quot;:false,&quot;suffix&quot;:&quot;&quot;},{&quot;dropping-particle&quot;:&quot;&quot;,&quot;family&quot;:&quot;Philip&quot;,&quot;given&quot;:&quot;Pierre&quot;,&quot;non-dropping-particle&quot;:&quot;&quot;,&quot;parse-names&quot;:false,&quot;suffix&quot;:&quot;&quot;},{&quot;dropping-particle&quot;:&quot;&quot;,&quot;family&quot;:&quot;Coste&quot;,&quot;given&quot;:&quot;Olivier&quot;,&quot;non-dropping-particle&quot;:&quot;&quot;,&quot;parse-names&quot;:false,&quot;suffix&quot;:&quot;&quot;},{&quot;dropping-particle&quot;:&quot;&quot;,&quot;family&quot;:&quot;Sagaspe&quot;,&quot;given&quot;:&quot;Patricia&quot;,&quot;non-dropping-particle&quot;:&quot;&quot;,&quot;parse-names&quot;:false,&quot;suffix&quot;:&quot;&quot;},{&quot;dropping-particle&quot;:&quot;&quot;,&quot;family&quot;:&quot;Bioulac&quot;,&quot;given&quot;:&quot;Bernard&quot;,&quot;non-dropping-particle&quot;:&quot;&quot;,&quot;parse-names&quot;:false,&quot;suffix&quot;:&quot;&quot;}],&quot;container-title&quot;:&quot;Journal of Sleep Research&quot;,&quot;id&quot;:&quot;4af00831-9d99-5964-b388-7e08000719a3&quot;,&quot;issue&quot;:&quot;4&quot;,&quot;issued&quot;:{&quot;date-parts&quot;:[[&quot;2003&quot;]]},&quot;page&quot;:&quot;275-282&quot;,&quot;title&quot;:&quot;The circadian and homeostatic modulation of sleep pressure during wakefulness differs between morning and evening chronotypes&quot;,&quot;type&quot;:&quot;article-journal&quot;,&quot;volume&quot;:&quot;12&quot;,&quot;container-title-short&quot;:&quot;J. Sleep Res.&quot;},&quot;uris&quot;:[&quot;http://www.mendeley.com/documents/?uuid=e875818f-a0f2-413e-a79b-c0033e481563&quot;],&quot;isTemporary&quot;:false,&quot;legacyDesktopId&quot;:&quot;e875818f-a0f2-413e-a79b-c0033e481563&quot;}]},{&quot;citationID&quot;:&quot;MENDELEY_CITATION_fc56ada8-8898-424f-8fed-0640110ed192&quot;,&quot;properties&quot;:{&quot;noteIndex&quot;:0},&quot;isEdited&quot;:false,&quot;manualOverride&quot;:{&quot;citeprocText&quot;:&quot;[73,74]&quot;,&quot;isManuallyOverridden&quot;:false,&quot;manualOverrideText&quot;:&quot;&quot;},&quot;citationTag&quot;:&quot;MENDELEY_CITATION_v3_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&quot;,&quot;citationItems&quot;:[{&quot;id&quot;:&quot;f55fa936-f5a5-5d97-a83c-7ef09d70c3df&quot;,&quot;itemData&quot;:{&quot;DOI&quot;:&quot;10.1046/j.1365-2869.2000.00196.x&quot;,&quot;ISSN&quot;:&quot;0962-1105&quot;,&quot;abstract&quot;:&quot;We studied the relationship between the phase and the amplitude of the circadian temperature rhythm using questionnaires that measure individual differences in personality variables, variables that relate to circadian rhythms, age and sex. The ambulatory core body temperature of 101 young men and 71 young women was recorded continuously over 6 days. The temperature minimum ( T min ) and amplitude ( T amp ) were derived by fitting a complex cosine curve to each day’s data for each subject. Participants completed the Horne–Ostberg Morningness–Eveningness Questionnaire (MEQ), the Circadian Type Inventory (CTI) and the MMPI‐2, scored for the Psychopathology‐5 (PSY‐5) personality variables. We found that the average T min occurred at 03.50 h for morning‐types (M‐types), 05.02 h for the neither‐types and 06.01 h for evening‐types (E‐types). Figures were presented that could provide an estimate of T min given an individual’s morningness–eveningness score or weekend wake time. The T min occurred at approximately the middle of the 8‐h sleep period, but it occurred closer to wake in subjects with later T min values and increasing eveningness. In other words, E‐types slept on an earlier part of their temperature cycle than M‐types. This difference in the phase‐relationship between temperature and sleep may explain why E‐types are more alert at bedtime and sleepier after waking than M‐types. The T min occurred about a half‐hour later for men than women. Another interesting finding included an association between circadian rhythm temperature phase and amplitude, in that subjects with more delayed phases had larger amplitudes. The greater amplitude was due to lower nocturnal temperature.&quot;,&quot;author&quot;:[{&quot;dropping-particle&quot;:&quot;&quot;,&quot;family&quot;:&quot;Baehr&quot;,&quot;given&quot;:&quot;Erin K.&quot;,&quot;non-dropping-particle&quot;:&quot;&quot;,&quot;parse-names&quot;:false,&quot;suffix&quot;:&quot;&quot;},{&quot;dropping-particle&quot;:&quot;&quot;,&quot;family&quot;:&quot;Revelle&quot;,&quot;given&quot;:&quot;William&quot;,&quot;non-dropping-particle&quot;:&quot;&quot;,&quot;parse-names&quot;:false,&quot;suffix&quot;:&quot;&quot;},{&quot;dropping-particle&quot;:&quot;&quot;,&quot;family&quot;:&quot;Eastman&quot;,&quot;given&quot;:&quot;Charmane I.&quot;,&quot;non-dropping-particle&quot;:&quot;&quot;,&quot;parse-names&quot;:false,&quot;suffix&quot;:&quot;&quot;}],&quot;container-title&quot;:&quot;Journal of Sleep Research&quot;,&quot;id&quot;:&quot;f55fa936-f5a5-5d97-a83c-7ef09d70c3df&quot;,&quot;issue&quot;:&quot;2&quot;,&quot;issued&quot;:{&quot;date-parts&quot;:[[&quot;2000&quot;,&quot;6&quot;,&quot;24&quot;]]},&quot;page&quot;:&quot;117-127&quot;,&quot;title&quot;:&quot;Individual differences in the phase and amplitude of the human circadian temperature rhythm: with an emphasis on morningness–eveningness&quot;,&quot;type&quot;:&quot;article-journal&quot;,&quot;volume&quot;:&quot;9&quot;,&quot;container-title-short&quot;:&quot;J. Sleep Res.&quot;},&quot;uris&quot;:[&quot;http://www.mendeley.com/documents/?uuid=7dc1854b-d6fc-4bc0-b3e3-06213a32da0f&quot;],&quot;isTemporary&quot;:false,&quot;legacyDesktopId&quot;:&quot;7dc1854b-d6fc-4bc0-b3e3-06213a32da0f&quot;},{&quot;id&quot;:&quot;9261f3af-0852-5eb1-92ed-c39ea9c16aef&quot;,&quot;itemData&quot;:{&quot;DOI&quot;:&quot;10.1016/S0304-3940(96)13140-2&quot;,&quot;ISSN&quot;:&quot;03043940&quot;,&quot;author&quot;:[{&quot;dropping-particle&quot;:&quot;&quot;,&quot;family&quot;:&quot;Kerkhof&quot;,&quot;given&quot;:&quot;Gerard A.&quot;,&quot;non-dropping-particle&quot;:&quot;&quot;,&quot;parse-names&quot;:false,&quot;suffix&quot;:&quot;&quot;},{&quot;dropping-particle&quot;:&quot;&quot;,&quot;family&quot;:&quot;Dongen&quot;,&quot;given&quot;:&quot;Hans P.A.&quot;,&quot;non-dropping-particle&quot;:&quot;Van&quot;,&quot;parse-names&quot;:false,&quot;suffix&quot;:&quot;&quot;}],&quot;container-title&quot;:&quot;Neuroscience Letters&quot;,&quot;id&quot;:&quot;9261f3af-0852-5eb1-92ed-c39ea9c16aef&quot;,&quot;issue&quot;:&quot;3&quot;,&quot;issued&quot;:{&quot;date-parts&quot;:[[&quot;1996&quot;,&quot;11&quot;]]},&quot;page&quot;:&quot;153-156&quot;,&quot;title&quot;:&quot;Morning-type and evening-type individuals differ in the phase position of their endogenous circadian oscillator&quot;,&quot;type&quot;:&quot;article-journal&quot;,&quot;volume&quot;:&quot;218&quot;,&quot;container-title-short&quot;:&quot;Neurosci. Lett.&quot;},&quot;uris&quot;:[&quot;http://www.mendeley.com/documents/?uuid=0d66528c-e9d3-4b50-90d5-af88b45b47f3&quot;],&quot;isTemporary&quot;:false,&quot;legacyDesktopId&quot;:&quot;0d66528c-e9d3-4b50-90d5-af88b45b47f3&quot;}]},{&quot;citationID&quot;:&quot;MENDELEY_CITATION_30f5c193-e112-4697-a90e-b1386df1c4ab&quot;,&quot;properties&quot;:{&quot;noteIndex&quot;:0},&quot;isEdited&quot;:false,&quot;manualOverride&quot;:{&quot;citeprocText&quot;:&quot;[75]&quot;,&quot;isManuallyOverridden&quot;:false,&quot;manualOverrideText&quot;:&quot;&quot;},&quot;citationTag&quot;:&quot;MENDELEY_CITATION_v3_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&quot;,&quot;citationItems&quot;:[{&quot;id&quot;:&quot;ba2b6310-557c-5e30-9ba1-5ac2209dac12&quot;,&quot;itemData&quot;:{&quot;DOI&quot;:&quot;10.1038/srep39640&quot;,&quot;ISSN&quot;:&quot;2045-2322&quot;,&quot;PMID&quot;:&quot;28071649&quot;,&quot;abstract&quot;:&quot;The effects of sleep restriction on energy metabolism and appetite remain controversial. We examined the effects of shortened sleep duration on energy metabolism, core body temperature (CBT), and appetite profiles. Nine healthy men were evaluated in a randomised crossover study under two conditions: a 3.5-h sleep duration and a 7-h sleep duration for three consecutive nights followed by one 7-h recovery sleep night. The subjects’ energy expenditure (EE), substrate utilisation, and CBT were continually measured for 48 h using a whole-room calorimeter. The subjects completed an appetite questionnaire every hour while in the calorimeter. Sleep restriction did not affect total EE or substrate utilisation. The 48-h mean CBT decreased significantly during the 3.5-h sleep condition compared with the 7-h sleep condition (7-h sleep, 36.75 ± 0.11 °C; 3.5-h sleep, 36.68 ± 0.14 °C; p = 0.016). After three consecutive nights of sleep restriction, fasting peptide YY levels and fullness were significantly decreased (p = 0.011), whereas hunger and prospective food consumption were significantly increased, compared to those under the 7-h sleep condition. Shortened sleep increased appetite by decreasing gastric hormone levels, but did not affect EE, suggesting that greater caloric intake during a shortened sleep cycle increases the risk of weight gain.&quot;,&quot;author&quot;:[{&quot;dropping-particle&quot;:&quot;&quot;,&quot;family&quot;:&quot;Hibi&quot;,&quot;given&quot;:&quot;Masanobu&quot;,&quot;non-dropping-particle&quot;:&quot;&quot;,&quot;parse-names&quot;:false,&quot;suffix&quot;:&quot;&quot;},{&quot;dropping-particle&quot;:&quot;&quot;,&quot;family&quot;:&quot;Kubota&quot;,&quot;given&quot;:&quot;Chie&quot;,&quot;non-dropping-particle&quot;:&quot;&quot;,&quot;parse-names&quot;:false,&quot;suffix&quot;:&quot;&quot;},{&quot;dropping-particle&quot;:&quot;&quot;,&quot;family&quot;:&quot;Mizuno&quot;,&quot;given&quot;:&quot;Tomohito&quot;,&quot;non-dropping-particle&quot;:&quot;&quot;,&quot;parse-names&quot;:false,&quot;suffix&quot;:&quot;&quot;},{&quot;dropping-particle&quot;:&quot;&quot;,&quot;family&quot;:&quot;Aritake&quot;,&quot;given&quot;:&quot;Sayaka&quot;,&quot;non-dropping-particle&quot;:&quot;&quot;,&quot;parse-names&quot;:false,&quot;suffix&quot;:&quot;&quot;},{&quot;dropping-particle&quot;:&quot;&quot;,&quot;family&quot;:&quot;Mitsui&quot;,&quot;given&quot;:&quot;Yuki&quot;,&quot;non-dropping-particle&quot;:&quot;&quot;,&quot;parse-names&quot;:false,&quot;suffix&quot;:&quot;&quot;},{&quot;dropping-particle&quot;:&quot;&quot;,&quot;family&quot;:&quot;Katashima&quot;,&quot;given&quot;:&quot;Mitsuhiro&quot;,&quot;non-dropping-particle&quot;:&quot;&quot;,&quot;parse-names&quot;:false,&quot;suffix&quot;:&quot;&quot;},{&quot;dropping-particle&quot;:&quot;&quot;,&quot;family&quot;:&quot;Uchida&quot;,&quot;given&quot;:&quot;Sunao&quot;,&quot;non-dropping-particle&quot;:&quot;&quot;,&quot;parse-names&quot;:false,&quot;suffix&quot;:&quot;&quot;}],&quot;container-title&quot;:&quot;Scientific Reports&quot;,&quot;id&quot;:&quot;ba2b6310-557c-5e30-9ba1-5ac2209dac12&quot;,&quot;issue&quot;:&quot;1&quot;,&quot;issued&quot;:{&quot;date-parts&quot;:[[&quot;2017&quot;,&quot;1&quot;,&quot;10&quot;]]},&quot;page&quot;:&quot;39640&quot;,&quot;title&quot;:&quot;Effect of shortened sleep on energy expenditure, core body temperature, and appetite: a human randomised crossover trial&quot;,&quot;type&quot;:&quot;article-journal&quot;,&quot;volume&quot;:&quot;7&quot;,&quot;container-title-short&quot;:&quot;Sci. Rep.&quot;},&quot;uris&quot;:[&quot;http://www.mendeley.com/documents/?uuid=4693fbc2-951f-4c5b-82ee-67248386b530&quot;],&quot;isTemporary&quot;:false,&quot;legacyDesktopId&quot;:&quot;4693fbc2-951f-4c5b-82ee-67248386b530&quot;}]},{&quot;citationID&quot;:&quot;MENDELEY_CITATION_37323c33-7c43-4ebe-911e-21e224af59b5&quot;,&quot;properties&quot;:{&quot;noteIndex&quot;:0},&quot;isEdited&quot;:false,&quot;manualOverride&quot;:{&quot;citeprocText&quot;:&quot;[76]&quot;,&quot;isManuallyOverridden&quot;:false,&quot;manualOverrideText&quot;:&quot;&quot;},&quot;citationTag&quot;:&quot;MENDELEY_CITATION_v3_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&quot;,&quot;citationItems&quot;:[{&quot;id&quot;:&quot;242f4ce0-cba0-58f3-93e1-edc9bffb7fb4&quot;,&quot;itemData&quot;:{&quot;DOI&quot;:&quot;10.1186/s12991-022-00390-6&quot;,&quot;ISSN&quot;:&quot;1744859X&quot;,&quot;abstract&quot;:&quot;Autism spectrum disorder (ASD) is a neurodevelopmental condition characterized by a complex and multifaceted neurobehavioral syndrome. In the last decades, several studies highlighted an increased prevalence of sleep problems in ASD, which would be associated with autonomic system and circadian rhythm disruption. The present review aimed to summarize the available literature about sleep problems in ASD subjects and about the possible biological factors implicated in circadian rhythm and autonomic system deregulation in this population, as well as possible therapeutic approaches. Shared biological underpinnings between ASD symptoms and altered circadian rhythms/autonomic functions are also discussed. Studies on sleep showed how ASD subjects typically report more problems regarding insufficient sleep time, bedtime resistance and reduced sleep pressure. A link between sleep difficulties and irritability, deficits in social skills and behavioral problems was also highlighted. Among the mechanisms implicated, alteration in genes related to circadian rhythms, such as CLOCK genes, and in melatonin levels were reported. ASD subjects also showed altered hypothalamic pituitary adrenal (HPA) axis and autonomic functions, generally with a tendency towards hyperarousal and hyper sympathetic state. Intriguingly, some of these biological alterations in ASD individuals were not associated only with sleep problems but also with more autism-specific clusters of symptoms, such as communication impairment or repetitive behaviors Although among the available treatments melatonin showed promising results, pharmacological studies for sleep problems in ASD need to follow more standardized protocols to reach more repeatable and reliable results. Further research should investigate the issue of sleep problems in ASD in a broader perspective, taking into account shared pathophysiological mechanisms for core and associated symptoms of ASD.&quot;,&quot;author&quot;:[{&quot;dropping-particle&quot;:&quot;&quot;,&quot;family&quot;:&quot;Dell’Osso&quot;,&quot;given&quot;:&quot;Liliana&quot;,&quot;non-dropping-particle&quot;:&quot;&quot;,&quot;parse-names&quot;:false,&quot;suffix&quot;:&quot;&quot;},{&quot;dropping-particle&quot;:&quot;&quot;,&quot;family&quot;:&quot;Massoni&quot;,&quot;given&quot;:&quot;Leonardo&quot;,&quot;non-dropping-particle&quot;:&quot;&quot;,&quot;parse-names&quot;:false,&quot;suffix&quot;:&quot;&quot;},{&quot;dropping-particle&quot;:&quot;&quot;,&quot;family&quot;:&quot;Battaglini&quot;,&quot;given&quot;:&quot;Simone&quot;,&quot;non-dropping-particle&quot;:&quot;&quot;,&quot;parse-names&quot;:false,&quot;suffix&quot;:&quot;&quot;},{&quot;dropping-particle&quot;:&quot;&quot;,&quot;family&quot;:&quot;Cremone&quot;,&quot;given&quot;:&quot;Ivan Mirko&quot;,&quot;non-dropping-particle&quot;:&quot;&quot;,&quot;parse-names&quot;:false,&quot;suffix&quot;:&quot;&quot;},{&quot;dropping-particle&quot;:&quot;&quot;,&quot;family&quot;:&quot;Carmassi&quot;,&quot;given&quot;:&quot;Claudia&quot;,&quot;non-dropping-particle&quot;:&quot;&quot;,&quot;parse-names&quot;:false,&quot;suffix&quot;:&quot;&quot;},{&quot;dropping-particle&quot;:&quot;&quot;,&quot;family&quot;:&quot;Carpita&quot;,&quot;given&quot;:&quot;Barbara&quot;,&quot;non-dropping-particle&quot;:&quot;&quot;,&quot;parse-names&quot;:false,&quot;suffix&quot;:&quot;&quot;}],&quot;container-title&quot;:&quot;Annals of General Psychiatry&quot;,&quot;id&quot;:&quot;242f4ce0-cba0-58f3-93e1-edc9bffb7fb4&quot;,&quot;issue&quot;:&quot;1&quot;,&quot;issued&quot;:{&quot;date-parts&quot;:[[&quot;2022&quot;]]},&quot;page&quot;:&quot;1-28&quot;,&quot;publisher&quot;:&quot;BioMed Central&quot;,&quot;title&quot;:&quot;Biological correlates of altered circadian rhythms, autonomic functions and sleep problems in autism spectrum disorder&quot;,&quot;type&quot;:&quot;article-journal&quot;,&quot;volume&quot;:&quot;21&quot;,&quot;container-title-short&quot;:&quot;Ann. Gen. Psychiatry&quot;},&quot;uris&quot;:[&quot;http://www.mendeley.com/documents/?uuid=da4643c0-4459-4b40-9907-172324282bf6&quot;],&quot;isTemporary&quot;:false,&quot;legacyDesktopId&quot;:&quot;da4643c0-4459-4b40-9907-172324282bf6&quot;}]},{&quot;citationID&quot;:&quot;MENDELEY_CITATION_495d8122-2d2c-42fa-9819-05004a4cf240&quot;,&quot;properties&quot;:{&quot;noteIndex&quot;:0},&quot;isEdited&quot;:false,&quot;manualOverride&quot;:{&quot;citeprocText&quot;:&quot;[77]&quot;,&quot;isManuallyOverridden&quot;:false,&quot;manualOverrideText&quot;:&quot;&quot;},&quot;citationTag&quot;:&quot;MENDELEY_CITATION_v3_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&quot;,&quot;citationItems&quot;:[{&quot;id&quot;:&quot;ca0f13ee-9fb3-5928-b1e3-4dd4b29f0a04&quot;,&quot;itemData&quot;:{&quot;DOI&quot;:&quot;10.1016/j.biopha.2020.110496&quot;,&quot;ISSN&quot;:&quot;07533322&quot;,&quot;PMID&quot;:&quot;32682113&quot;,&quot;abstract&quot;:&quot;The molecular mechanisms underlying autism spectrum disorder (ASD) remain elusive, which limits the management options available in the clinic. Accumulating evidence indicates that the pineal gland/melatonin system is associated with the progression of ASD. Here, we review recent advances in our understanding of various mechanisms involving pathological process of ASD, including the abnormal breakdown of melatonin synthesis, the disturbance of intracellular MTNR1A signaling, the effects exerted by melatonin on hippocampal protein serine/threonine kinases, and immune dysregulation/inflammation during ASD. We believe that an in-depth understanding of the interplay between the action of the melatonin system and the onset of autism could promote the development of novel therapeutic strategies against ASD. We anticipate that targeting the neurotransmitters upstream pathway and downstream of melatonin in brain will lead to potential therapeutic treatment for ASD.&quot;,&quot;author&quot;:[{&quot;dropping-particle&quot;:&quot;&quot;,&quot;family&quot;:&quot;Wu&quot;,&quot;given&quot;:&quot;Zhou-yue&quot;,&quot;non-dropping-particle&quot;:&quot;&quot;,&quot;parse-names&quot;:false,&quot;suffix&quot;:&quot;&quot;},{&quot;dropping-particle&quot;:&quot;&quot;,&quot;family&quot;:&quot;Huang&quot;,&quot;given&quot;:&quot;Shu-dai&quot;,&quot;non-dropping-particle&quot;:&quot;&quot;,&quot;parse-names&quot;:false,&quot;suffix&quot;:&quot;&quot;},{&quot;dropping-particle&quot;:&quot;&quot;,&quot;family&quot;:&quot;Zou&quot;,&quot;given&quot;:&quot;Jin-jun&quot;,&quot;non-dropping-particle&quot;:&quot;&quot;,&quot;parse-names&quot;:false,&quot;suffix&quot;:&quot;&quot;},{&quot;dropping-particle&quot;:&quot;&quot;,&quot;family&quot;:&quot;Wang&quot;,&quot;given&quot;:&quot;Qin-xin&quot;,&quot;non-dropping-particle&quot;:&quot;&quot;,&quot;parse-names&quot;:false,&quot;suffix&quot;:&quot;&quot;},{&quot;dropping-particle&quot;:&quot;&quot;,&quot;family&quot;:&quot;Naveed&quot;,&quot;given&quot;:&quot;Muhammad&quot;,&quot;non-dropping-particle&quot;:&quot;&quot;,&quot;parse-names&quot;:false,&quot;suffix&quot;:&quot;&quot;},{&quot;dropping-particle&quot;:&quot;&quot;,&quot;family&quot;:&quot;Bao&quot;,&quot;given&quot;:&quot;Hai-nan&quot;,&quot;non-dropping-particle&quot;:&quot;&quot;,&quot;parse-names&quot;:false,&quot;suffix&quot;:&quot;&quot;},{&quot;dropping-particle&quot;:&quot;&quot;,&quot;family&quot;:&quot;Wang&quot;,&quot;given&quot;:&quot;Wei&quot;,&quot;non-dropping-particle&quot;:&quot;&quot;,&quot;parse-names&quot;:false,&quot;suffix&quot;:&quot;&quot;},{&quot;dropping-particle&quot;:&quot;&quot;,&quot;family&quot;:&quot;Fukunaga&quot;,&quot;given&quot;:&quot;Kohji&quot;,&quot;non-dropping-particle&quot;:&quot;&quot;,&quot;parse-names&quot;:false,&quot;suffix&quot;:&quot;&quot;},{&quot;dropping-particle&quot;:&quot;&quot;,&quot;family&quot;:&quot;Han&quot;,&quot;given&quot;:&quot;Feng&quot;,&quot;non-dropping-particle&quot;:&quot;&quot;,&quot;parse-names&quot;:false,&quot;suffix&quot;:&quot;&quot;}],&quot;container-title&quot;:&quot;Biomedicine &amp; Pharmacotherapy&quot;,&quot;id&quot;:&quot;ca0f13ee-9fb3-5928-b1e3-4dd4b29f0a04&quot;,&quot;issue&quot;:&quot;January&quot;,&quot;issued&quot;:{&quot;date-parts&quot;:[[&quot;2020&quot;,&quot;10&quot;]]},&quot;page&quot;:&quot;110496&quot;,&quot;publisher&quot;:&quot;Elsevier&quot;,&quot;title&quot;:&quot;Autism spectrum disorder (ASD): Disturbance of the melatonin system and its implications&quot;,&quot;type&quot;:&quot;article-journal&quot;,&quot;volume&quot;:&quot;130&quot;,&quot;container-title-short&quot;:&quot;&quot;},&quot;uris&quot;:[&quot;http://www.mendeley.com/documents/?uuid=093cf75c-01c0-4b54-8226-5bc45ffbf0fd&quot;],&quot;isTemporary&quot;:false,&quot;legacyDesktopId&quot;:&quot;093cf75c-01c0-4b54-8226-5bc45ffbf0fd&quot;}]},{&quot;citationID&quot;:&quot;MENDELEY_CITATION_16631f2a-b66a-4f25-abaa-aa9bde5de578&quot;,&quot;properties&quot;:{&quot;noteIndex&quot;:0},&quot;isEdited&quot;:false,&quot;manualOverride&quot;:{&quot;citeprocText&quot;:&quot;[78]&quot;,&quot;isManuallyOverridden&quot;:false,&quot;manualOverrideText&quot;:&quot;&quot;},&quot;citationTag&quot;:&quot;MENDELEY_CITATION_v3_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&quot;,&quot;citationItems&quot;:[{&quot;id&quot;:&quot;4b4cbdba-dd08-55fb-9b58-6457661142f4&quot;,&quot;itemData&quot;:{&quot;DOI&quot;:&quot;10.1111/j.1469-8749.2011.03980.x&quot;,&quot;ISSN&quot;:&quot;00121622&quot;,&quot;PMID&quot;:&quot;21518346&quot;,&quot;abstract&quot;:&quot;Aim The aim of this study was to investigate melatonin-related findings in autism spectrum disorders (ASD), including autistic disorder, Asperger syndrome, Rett syndrome, and pervasive developmental disorders, not otherwise specified. Method Comprehensive searches were conducted in the PubMed, Google Scholar, CINAHL, EMBASE, Scopus, and ERIC databases from their inception to October 2010. Two reviewers independently assessed 35 studies that met the inclusion criteria. Of these, meta-analysis was performed on five randomized double-blind, placebo-controlled studies, and the quality of these trials was assessed using the Downs and Black checklist. Results Nine studies measured melatonin or melatonin metabolites in ASD and all reported at least one abnormality, including an abnormal melatonin circadian rhythm in four studies, below average physiological levels of melatonin and/or melatonin derivates in seven studies, and a positive correlation between these levels and autistic behaviors in four studies. Five studies reported gene abnormalities that could contribute to decreased melatonin production or adversely affect melatonin receptor function in a small percentage of children with ASD. Six studies reported improved daytime behavior with melatonin use. Eighteen studies on melatonin treatment in ASD were identified; these studies reported improvements in sleep duration, sleep onset latency, and night-time awakenings. Five of these studies were randomized double-blind, placebo-controlled crossover studies; two of the studies contained blended samples of children with ASD and other developmental disorders, but only data for children with ASD were used in the meta-analysis. The meta-analysis found significant improvements with large effect sizes in sleep duration (73min compared with baseline, Hedge's g 1.97 [95% confidence interval {CI} CI 1.10-2.84], Glass's Δ 1.54 [95% CI 0.64-2.44]; 44min compared with placebo, Hedge's g 1.07 [95% CI 0.49-1.65], Glass's Δ 0.93 [95% CI 0.33-1.53]) and sleep onset latency (66min compared with baseline, Hedge's g-2.42 [95% CI -1.67 to -3.17], Glass's Δ-2.18 [95% CI -1.58 to -2.76]; 39min compared with placebo, Hedge's g-2.46 [95% CI -1.96 to -2.98], Glass's Δ-1.28 [95% CI -0.67 to -1.89]) but not in night-time awakenings. The effect size varied significantly across studies but funnel plots did not indicate publication bias. The reported side effects of melatonin were minimal to none. Some studies were affected by limitation…&quot;,&quot;author&quot;:[{&quot;dropping-particle&quot;:&quot;&quot;,&quot;family&quot;:&quot;Rossignol&quot;,&quot;given&quot;:&quot;Daniel A.&quot;,&quot;non-dropping-particle&quot;:&quot;&quot;,&quot;parse-names&quot;:false,&quot;suffix&quot;:&quot;&quot;},{&quot;dropping-particle&quot;:&quot;&quot;,&quot;family&quot;:&quot;Frye&quot;,&quot;given&quot;:&quot;Richard E.&quot;,&quot;non-dropping-particle&quot;:&quot;&quot;,&quot;parse-names&quot;:false,&quot;suffix&quot;:&quot;&quot;}],&quot;container-title&quot;:&quot;Developmental Medicine and Child Neurology&quot;,&quot;id&quot;:&quot;4b4cbdba-dd08-55fb-9b58-6457661142f4&quot;,&quot;issue&quot;:&quot;9&quot;,&quot;issued&quot;:{&quot;date-parts&quot;:[[&quot;2011&quot;]]},&quot;page&quot;:&quot;783-792&quot;,&quot;title&quot;:&quot;Melatonin in autism spectrum disorders: A systematic review and meta-analysis&quot;,&quot;type&quot;:&quot;article-journal&quot;,&quot;volume&quot;:&quot;53&quot;,&quot;container-title-short&quot;:&quot;Dev. Med. Child Neurol.&quot;},&quot;uris&quot;:[&quot;http://www.mendeley.com/documents/?uuid=8431a121-26f5-420b-a89d-4ae17db93bad&quot;],&quot;isTemporary&quot;:false,&quot;legacyDesktopId&quot;:&quot;8431a121-26f5-420b-a89d-4ae17db93bad&quot;}]},{&quot;citationID&quot;:&quot;MENDELEY_CITATION_030d7802-0429-4b93-a674-a181112f1ede&quot;,&quot;properties&quot;:{&quot;noteIndex&quot;:0},&quot;isEdited&quot;:false,&quot;manualOverride&quot;:{&quot;citeprocText&quot;:&quot;[79]&quot;,&quot;isManuallyOverridden&quot;:false,&quot;manualOverrideText&quot;:&quot;&quot;},&quot;citationTag&quot;:&quot;MENDELEY_CITATION_v3_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&quot;,&quot;citationItems&quot;:[{&quot;id&quot;:&quot;be648769-a7b5-5951-ab94-a9d575504ae5&quot;,&quot;itemData&quot;:{&quot;DOI&quot;:&quot;10.1177/1087054713479663&quot;,&quot;ISSN&quot;:&quot;15571246&quot;,&quot;PMID&quot;:&quot;23509113&quot;,&quot;abstract&quot;:&quot;Objective: This review updates information on sleep and circadian rhythmicity in adult ADHD, especially circadian rhythmicity and the influence of stimulants. Method: Investigations into sleep, chronotype, and circadian rhythm in adult ADHD were searched in the Cochrane Library, Embase, Medline, and PsycInfo databases. Results: ADHD in adults is associated with longer objective sleep latency, irrespective of insomnia complaints. Sleep maintenance is disturbed and waking up time is delayed. Adult ADHD is associated with increased eveningness, delayed dim light melatonin onset (DLMO), and later waking up time. Stimulant treatment induces delay of nonparametric circadian parameters, whereas light therapy (LT) induces shifts toward morningness, which is associated with a reduction of ADHD symptoms. Conclusion: Adult ADHD is associated with delayed circadian rhythmicity and analogous sleep characteristics, which are typical of a delayed sleep phase disorder. Stimulants induce delay of circadian rhythmicity.&quot;,&quot;author&quot;:[{&quot;dropping-particle&quot;:&quot;&quot;,&quot;family&quot;:&quot;Snitselaar&quot;,&quot;given&quot;:&quot;Mark A.&quot;,&quot;non-dropping-particle&quot;:&quot;&quot;,&quot;parse-names&quot;:false,&quot;suffix&quot;:&quot;&quot;},{&quot;dropping-particle&quot;:&quot;&quot;,&quot;family&quot;:&quot;Smits&quot;,&quot;given&quot;:&quot;Marcel G.&quot;,&quot;non-dropping-particle&quot;:&quot;&quot;,&quot;parse-names&quot;:false,&quot;suffix&quot;:&quot;&quot;},{&quot;dropping-particle&quot;:&quot;&quot;,&quot;family&quot;:&quot;Heijden&quot;,&quot;given&quot;:&quot;Kristiaan B.&quot;,&quot;non-dropping-particle&quot;:&quot;van der&quot;,&quot;parse-names&quot;:false,&quot;suffix&quot;:&quot;&quot;},{&quot;dropping-particle&quot;:&quot;&quot;,&quot;family&quot;:&quot;Spijker&quot;,&quot;given&quot;:&quot;Jan&quot;,&quot;non-dropping-particle&quot;:&quot;&quot;,&quot;parse-names&quot;:false,&quot;suffix&quot;:&quot;&quot;}],&quot;container-title&quot;:&quot;Journal of Attention Disorders&quot;,&quot;id&quot;:&quot;be648769-a7b5-5951-ab94-a9d575504ae5&quot;,&quot;issue&quot;:&quot;1&quot;,&quot;issued&quot;:{&quot;date-parts&quot;:[[&quot;2017&quot;]]},&quot;page&quot;:&quot;14-26&quot;,&quot;title&quot;:&quot;Sleep and Circadian Rhythmicity in Adult ADHD and the Effect of Stimulants: A Review of the Current Literature&quot;,&quot;type&quot;:&quot;article-journal&quot;,&quot;volume&quot;:&quot;21&quot;,&quot;container-title-short&quot;:&quot;J. Atten. Disord.&quot;},&quot;uris&quot;:[&quot;http://www.mendeley.com/documents/?uuid=53b14794-1570-40d2-9970-ea7b85e18e3d&quot;],&quot;isTemporary&quot;:false,&quot;legacyDesktopId&quot;:&quot;53b14794-1570-40d2-9970-ea7b85e18e3d&quot;}]},{&quot;citationID&quot;:&quot;MENDELEY_CITATION_122ed797-7185-4f9e-91f0-808a135ba738&quot;,&quot;properties&quot;:{&quot;noteIndex&quot;:0},&quot;isEdited&quot;:false,&quot;manualOverride&quot;:{&quot;citeprocText&quot;:&quot;[80]&quot;,&quot;isManuallyOverridden&quot;:false,&quot;manualOverrideText&quot;:&quot;&quot;},&quot;citationTag&quot;:&quot;MENDELEY_CITATION_v3_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&quot;,&quot;citationItems&quot;:[{&quot;id&quot;:&quot;1ce9f076-0fb3-528b-a863-2bc7856129b8&quot;,&quot;itemData&quot;:{&quot;DOI&quot;:&quot;10.1111/jsr.12075&quot;,&quot;ISSN&quot;:&quot;09621105&quot;,&quot;PMID&quot;:&quot;23952346&quot;,&quot;abstract&quot;:&quot;Irregular sleep-wake patterns and delayed sleep times are common in adults with attention-deficit/hyperactivity disorder, but mechanisms underlying these problems are unknown. The present case-control study examined whether circadian abnormalities underlie these sleep problems in a naturalistic home setting. We included 12 medication-naïve patients with attention-deficit/hyperactivity disorder and delayed sleep phase syndrome, and 12 matched healthy controls. We examined associations between sleep/wake rhythm in attention-deficit/hyperactivity disorder and circadian parameters (i.e. salivary melatonin concentrations, core and skin temperatures, and activity patterns) of the patients and controls during five consecutive days and nights. Daily bedtimes were more variable within patients compared with controls (F = 8.19, P &lt; 0.001), but melatonin profiles were equally stable within individuals. Dim-light melatonin onset was about 1.5 h later in the patient group (U = 771, Z = -4.63, P &lt; 0.001). Patients slept about 1 h less on nights before work days compared with controls (F = 11.21, P = 0.002). The interval between dim-light melatonin onset and sleep onset was on average 1 h longer in patients compared with controls (U = 1117, Z = -2.62, P = 0.009). This interval was even longer in patients with extremely late chronotype. Melatonin, activity and body temperatures were delayed to comparable degrees in patients. Overall temperatures were lower in patients than controls. Sleep-onset difficulties correlated with greater distal-proximal temperature gradient (DPG; i.e. colder hands, r2 = -0.32, P = 0.028) in patients. Observed day-to-day bedtime variability of individuals with attention-deficit/hyperactivity disorder and delayed sleep phase syndrome were not reflected in their melatonin profiles. Irregular sleep-wake patterns and delayed sleep in individuals with attention-deficit/hyperactivity disorder and delayed sleep phase syndrome are associated with delays and dysregulations of the core and skin temperatures. © 2013 European Sleep Research Society.&quot;,&quot;author&quot;:[{&quot;dropping-particle&quot;:&quot;&quot;,&quot;family&quot;:&quot;Bijlenga&quot;,&quot;given&quot;:&quot;Denise&quot;,&quot;non-dropping-particle&quot;:&quot;&quot;,&quot;parse-names&quot;:false,&quot;suffix&quot;:&quot;&quot;},{&quot;dropping-particle&quot;:&quot;&quot;,&quot;family&quot;:&quot;Someren&quot;,&quot;given&quot;:&quot;Eus J.W.&quot;,&quot;non-dropping-particle&quot;:&quot;Van&quot;,&quot;parse-names&quot;:false,&quot;suffix&quot;:&quot;&quot;},{&quot;dropping-particle&quot;:&quot;&quot;,&quot;family&quot;:&quot;Gruber&quot;,&quot;given&quot;:&quot;Reut&quot;,&quot;non-dropping-particle&quot;:&quot;&quot;,&quot;parse-names&quot;:false,&quot;suffix&quot;:&quot;&quot;},{&quot;dropping-particle&quot;:&quot;&quot;,&quot;family&quot;:&quot;Bron&quot;,&quot;given&quot;:&quot;Tannetje I.&quot;,&quot;non-dropping-particle&quot;:&quot;&quot;,&quot;parse-names&quot;:false,&quot;suffix&quot;:&quot;&quot;},{&quot;dropping-particle&quot;:&quot;&quot;,&quot;family&quot;:&quot;Kruithof&quot;,&quot;given&quot;:&quot;I. Femke&quot;,&quot;non-dropping-particle&quot;:&quot;&quot;,&quot;parse-names&quot;:false,&quot;suffix&quot;:&quot;&quot;},{&quot;dropping-particle&quot;:&quot;&quot;,&quot;family&quot;:&quot;Spanbroek&quot;,&quot;given&quot;:&quot;Elise C.A.&quot;,&quot;non-dropping-particle&quot;:&quot;&quot;,&quot;parse-names&quot;:false,&quot;suffix&quot;:&quot;&quot;},{&quot;dropping-particle&quot;:&quot;&quot;,&quot;family&quot;:&quot;Kooij&quot;,&quot;given&quot;:&quot;J. J.Sandra&quot;,&quot;non-dropping-particle&quot;:&quot;&quot;,&quot;parse-names&quot;:false,&quot;suffix&quot;:&quot;&quot;}],&quot;container-title&quot;:&quot;Journal of Sleep Research&quot;,&quot;id&quot;:&quot;1ce9f076-0fb3-528b-a863-2bc7856129b8&quot;,&quot;issue&quot;:&quot;6&quot;,&quot;issued&quot;:{&quot;date-parts&quot;:[[&quot;2013&quot;]]},&quot;page&quot;:&quot;607-616&quot;,&quot;title&quot;:&quot;Body temperature, activity and melatonin profiles in adults with attention-deficit/hyperactivity disorder and delayed sleep: A case-control study&quot;,&quot;type&quot;:&quot;article-journal&quot;,&quot;volume&quot;:&quot;22&quot;,&quot;container-title-short&quot;:&quot;J. Sleep Res.&quot;},&quot;uris&quot;:[&quot;http://www.mendeley.com/documents/?uuid=484ff8a8-19bc-4abf-af04-1ad75c186d29&quot;],&quot;isTemporary&quot;:false,&quot;legacyDesktopId&quot;:&quot;484ff8a8-19bc-4abf-af04-1ad75c186d29&quot;}]},{&quot;citationID&quot;:&quot;MENDELEY_CITATION_873c2343-9466-44ba-9c66-dce9c645aa3f&quot;,&quot;properties&quot;:{&quot;noteIndex&quot;:0},&quot;isEdited&quot;:false,&quot;manualOverride&quot;:{&quot;citeprocText&quot;:&quot;[15]&quot;,&quot;isManuallyOverridden&quot;:false,&quot;manualOverrideText&quot;:&quot;&quot;},&quot;citationTag&quot;:&quot;MENDELEY_CITATION_v3_eyJjaXRhdGlvbklEIjoiTUVOREVMRVlfQ0lUQVRJT05fODczYzIzNDMtOTQ2Ni00NGJhLTljNjYtZGNlOWM2NDVhYTNmIiwicHJvcGVydGllcyI6eyJub3RlSW5kZXgiOjB9LCJpc0VkaXRlZCI6ZmFsc2UsIm1hbnVhbE92ZXJyaWRlIjp7ImNpdGVwcm9jVGV4dCI6IlsxNV0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quot;,&quot;citationItems&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citationID&quot;:&quot;MENDELEY_CITATION_b28c8319-84b7-40f0-ae64-d3dbe9f7ca7d&quot;,&quot;properties&quot;:{&quot;noteIndex&quot;:0},&quot;isEdited&quot;:false,&quot;manualOverride&quot;:{&quot;citeprocText&quot;:&quot;[81]&quot;,&quot;isManuallyOverridden&quot;:false,&quot;manualOverrideText&quot;:&quot;&quot;},&quot;citationTag&quot;:&quot;MENDELEY_CITATION_v3_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&quot;,&quot;citationItems&quot;:[{&quot;id&quot;:&quot;ed669d2c-65cd-5b90-a45f-8427a6a00b92&quot;,&quot;itemData&quot;:{&quot;DOI&quot;:&quot;10.1530/JME-17-0319&quot;,&quot;ISSN&quot;:&quot;14796813&quot;,&quot;PMID&quot;:&quot;29434028&quot;,&quot;abstract&quot;:&quot;Thyroid hormones (TH) are of central importance for thermogenesis, energy homeostasis and metabolism. Here, we will discuss these aspects by focussing on the physiological aspects of TH-dependent regulation in response to cold exposure and fasting, which will be compared to alterations in primary hyperthyroidism and hypothyroidism. In particular, we will summarise current knowledge on regional thyroid hormone status in the central nervous system (CNS) and in peripheral cells. In contrast to hyperthyroidism and hypothyroidism, where parallel changes are observed, local alterations in the CNS differ to peripheral compartments when induced by cold exposure or fasting. Cold exposure is associated with low hypothalamic TH concentrations but increased TH levels in the periphery. Fasting results in a reversed TH pattern. Primary hypothyroidism and hyperthyroidism disrupt these fine-tuned adaptive mechanisms and both, the hypothalamus and the periphery, will have the same TH status. These important mechanisms need to be considered when discussing thyroid hormone replacement and other therapeutical interventions to modulate TH status.&quot;,&quot;author&quot;:[{&quot;dropping-particle&quot;:&quot;&quot;,&quot;family&quot;:&quot;Iwen&quot;,&quot;given&quot;:&quot;K. Alexander&quot;,&quot;non-dropping-particle&quot;:&quot;&quot;,&quot;parse-names&quot;:false,&quot;suffix&quot;:&quot;&quot;},{&quot;dropping-particle&quot;:&quot;&quot;,&quot;family&quot;:&quot;Oelkrug&quot;,&quot;given&quot;:&quot;Rebecca&quot;,&quot;non-dropping-particle&quot;:&quot;&quot;,&quot;parse-names&quot;:false,&quot;suffix&quot;:&quot;&quot;},{&quot;dropping-particle&quot;:&quot;&quot;,&quot;family&quot;:&quot;Brabant&quot;,&quot;given&quot;:&quot;Georg&quot;,&quot;non-dropping-particle&quot;:&quot;&quot;,&quot;parse-names&quot;:false,&quot;suffix&quot;:&quot;&quot;}],&quot;container-title&quot;:&quot;Journal of Molecular Endocrinology&quot;,&quot;id&quot;:&quot;ed669d2c-65cd-5b90-a45f-8427a6a00b92&quot;,&quot;issue&quot;:&quot;3&quot;,&quot;issued&quot;:{&quot;date-parts&quot;:[[&quot;2018&quot;]]},&quot;page&quot;:&quot;R157-R170&quot;,&quot;title&quot;:&quot;Effects of thyroid hormones on thermogenesis and energy partitioning&quot;,&quot;type&quot;:&quot;article-journal&quot;,&quot;volume&quot;:&quot;60&quot;,&quot;container-title-short&quot;:&quot;J. Mol. Endocrinol.&quot;},&quot;uris&quot;:[&quot;http://www.mendeley.com/documents/?uuid=21b62f70-d75f-43c9-9527-db9271591f34&quot;],&quot;isTemporary&quot;:false,&quot;legacyDesktopId&quot;:&quot;21b62f70-d75f-43c9-9527-db9271591f34&quot;}]},{&quot;citationID&quot;:&quot;MENDELEY_CITATION_9f9ca4e3-e49b-4a9b-99c3-c6a443f0aa02&quot;,&quot;properties&quot;:{&quot;noteIndex&quot;:0},&quot;isEdited&quot;:false,&quot;manualOverride&quot;:{&quot;citeprocText&quot;:&quot;[82]&quot;,&quot;isManuallyOverridden&quot;:false,&quot;manualOverrideText&quot;:&quot;&quot;},&quot;citationTag&quot;:&quot;MENDELEY_CITATION_v3_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&quot;,&quot;citationItems&quot;:[{&quot;id&quot;:&quot;1b000560-cc9f-5a03-b06f-b4aa5d240a91&quot;,&quot;itemData&quot;:{&quot;DOI&quot;:&quot;10.1016/j.autneu.2016.01.001&quot;,&quot;ISSN&quot;:&quot;18727484&quot;,&quot;PMID&quot;:&quot;26794588&quot;,&quot;abstract&quot;:&quot;Thermoregulation is a vital function of the autonomic nervous system in response to cold and heat stress. Thermoregulatory physiology sustains health by keeping body core temperature within a degree or two of 37 °C, which enables normal cellular function. Heat production and dissipation are dependent on a coordinated set of autonomic responses. The clinical detection of thermoregulatory impairment provides important diagnostic and localizing information in the evaluation of disorders that impair thermoregulatory pathways, including autonomic neuropathies and ganglionopathies. Failure of neural thermoregulatory mechanisms or exposure to extreme or sustained temperatures that overwhelm the body's thermoregulatory capacity can also result in potentially life-threatening departures from normothermia. Hypothermia, defined as a core temperature of &lt;. 35.0 °C, may present with shivering, respiratory depression, cardiac dysrhythmias, impaired mental function, mydriasis, hypotension, and muscle dysfunction, which can progress to cardiac arrest or coma. Management includes warming measures, hydration, and cardiovascular support. Deaths from hypothermia are twice as frequent as deaths from hyperthermia. Hyperthermia, defined as a core temperature of &gt;. 40.5 °C, may present with sweating, flushing, tachycardia, fatigue, lightheadedness, headache, and paresthesia, progressing to weakness, muscle cramps, oliguria, nausea, agitation, hypotension, syncope, confusion, delirium, seizures, and coma. Mental status changes and core temperature distinguish potentially fatal heat stroke from heat exhaustion. Management requires the immediate reduction of core temperature. Ice water immersion has been shown to be superior to alternative cooling measures. Avoidance of thermal risk and early recognition of cold or heat stress are the cornerstones of preventive therapy.&quot;,&quot;author&quot;:[{&quot;dropping-particle&quot;:&quot;&quot;,&quot;family&quot;:&quot;Cheshire&quot;,&quot;given&quot;:&quot;William P.&quot;,&quot;non-dropping-particle&quot;:&quot;&quot;,&quot;parse-names&quot;:false,&quot;suffix&quot;:&quot;&quot;}],&quot;container-title&quot;:&quot;Autonomic Neuroscience: Basic and Clinical&quot;,&quot;id&quot;:&quot;1b000560-cc9f-5a03-b06f-b4aa5d240a91&quot;,&quot;issued&quot;:{&quot;date-parts&quot;:[[&quot;2016&quot;]]},&quot;page&quot;:&quot;91-104&quot;,&quot;publisher&quot;:&quot;The Author&quot;,&quot;title&quot;:&quot;Thermoregulatory disorders and illness related to heat and cold stress&quot;,&quot;type&quot;:&quot;article-journal&quot;,&quot;volume&quot;:&quot;196&quot;,&quot;container-title-short&quot;:&quot;Auton. Neurosci.&quot;},&quot;uris&quot;:[&quot;http://www.mendeley.com/documents/?uuid=a5a83b50-a604-408e-a2b2-53d336b98b5f&quot;],&quot;isTemporary&quot;:false,&quot;legacyDesktopId&quot;:&quot;a5a83b50-a604-408e-a2b2-53d336b98b5f&quot;}]},{&quot;citationID&quot;:&quot;MENDELEY_CITATION_c06931e7-7aaf-4fe5-9d93-faf9d034d8d4&quot;,&quot;properties&quot;:{&quot;noteIndex&quot;:0},&quot;isEdited&quot;:false,&quot;manualOverride&quot;:{&quot;citeprocText&quot;:&quot;[83,84]&quot;,&quot;isManuallyOverridden&quot;:false,&quot;manualOverrideText&quot;:&quot;&quot;},&quot;citationTag&quot;:&quot;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&quot;,&quot;citationItems&quot;:[{&quot;id&quot;:&quot;41cf5961-bdef-53fe-937f-78517b76851c&quot;,&quot;itemData&quot;:{&quot;DOI&quot;:&quot;10.1080/23328940.2015.1131506&quot;,&quot;ISSN&quot;:&quot;23328959&quot;,&quot;abstract&quot;:&quot;The effects of type 1 and type 2 diabetes on the body's physiological response to thermal stress is a relatively new topic in research. Diabetes tends to place individuals at greater risk for heat-related illness during heat waves and physical activity due to an impaired capacity to dissipate heat. Specifically, individuals with diabetes have been reported to have lower skin blood flow and sweating responses during heat exposure and this can have important consequences on cardiovascular regulation and glycemic control. Those who are particularly vulnerable include individuals with poor glycemic control and who are affected by diabetes-related complications. On the other hand, good glycemic control and maintenance of aerobic fitness can often delay the diabetes-related complications and possibly the impairments in heat loss. Despite this, it is alarming to note the lack of information regarding diabetes and heat stress given the vulnerability of this population. In contrast, few studies have examined the effects of cold exposure on individuals with diabetes with the exception of its therapeutic potential, particularly for type 2 diabetes. This review summarizes the current state of knowledge regarding the impact of diabetes on heat and cold exposure with respect to the core temperature regulation, cardiovascular adjustments and glycemic control while also considering the beneficial effects of maintaining aerobic fitness.&quot;,&quot;author&quot;:[{&quot;dropping-particle&quot;:&quot;&quot;,&quot;family&quot;:&quot;Kenny&quot;,&quot;given&quot;:&quot;Glen P.&quot;,&quot;non-dropping-particle&quot;:&quot;&quot;,&quot;parse-names&quot;:false,&quot;suffix&quot;:&quot;&quot;},{&quot;dropping-particle&quot;:&quot;&quot;,&quot;family&quot;:&quot;Sigal&quot;,&quot;given&quot;:&quot;Ronald J.&quot;,&quot;non-dropping-particle&quot;:&quot;&quot;,&quot;parse-names&quot;:false,&quot;suffix&quot;:&quot;&quot;},{&quot;dropping-particle&quot;:&quot;&quot;,&quot;family&quot;:&quot;McGinn&quot;,&quot;given&quot;:&quot;Ryan&quot;,&quot;non-dropping-particle&quot;:&quot;&quot;,&quot;parse-names&quot;:false,&quot;suffix&quot;:&quot;&quot;}],&quot;container-title&quot;:&quot;Temperature&quot;,&quot;id&quot;:&quot;41cf5961-bdef-53fe-937f-78517b76851c&quot;,&quot;issue&quot;:&quot;1&quot;,&quot;issued&quot;:{&quot;date-parts&quot;:[[&quot;2016&quot;]]},&quot;page&quot;:&quot;119-145&quot;,&quot;publisher&quot;:&quot;Taylor &amp; Francis&quot;,&quot;title&quot;:&quot;Body temperature regulation in diabetes&quot;,&quot;type&quot;:&quot;article-journal&quot;,&quot;volume&quot;:&quot;3&quot;,&quot;container-title-short&quot;:&quot;&quot;},&quot;uris&quot;:[&quot;http://www.mendeley.com/documents/?uuid=a8373a24-ccc1-42a4-84dc-b80af693c209&quot;],&quot;isTemporary&quot;:false,&quot;legacyDesktopId&quot;:&quot;a8373a24-ccc1-42a4-84dc-b80af693c209&quot;},{&quot;id&quot;:&quot;2bde65ba-6936-52e4-9512-1309d8791b48&quot;,&quot;itemData&quot;:{&quot;DOI&quot;:&quot;10.2337/dc08-1844&quot;,&quot;ISSN&quot;:&quot;01495992&quot;,&quot;PMID&quot;:&quot;19196899&quot;,&quot;abstract&quot;:&quot;OBJECTIVE- To determine how thermoregulation of the feet is affected by diabetes and diabetic polyneuropathy in both wakefulness and sleep RESEARCH DESIGN AND METHODS- Normal subjects, diabetic subjects without neuropathy, diabetic subjects with small-fiber diabetic polyneuropathy, and those with advanced diabetic polyneuropathy were categorized based on neurological examination, nerve conduction studies, and quantitative sensory testing. Subjects underwent foot temperature monitoring using an iButton device attached to the foot and a second iButton for recording of ambient temperature. Socks and footwear were standardized, and subjects maintained an activity diary. Data were collected over a 32-h period and analyzed. RESULTS- A total of 39 normal subjects, 28 patients with diabetes but without diabetic polyneuropathy, 14 patients with isolated small-fiber diabetic polyneuropathy, and 27 patients with more advanced diabetic polyneuropathy participated. No consistent differences in foot temperature regulation between the four groups were identified during wakefulness. During sleep, however, multiple metrics revealed significant abnormalities in the diabetic patients. These included reduced mean foot temperature (P &lt; 0.001), reduced maximal temperature (P &gt; 0.001), increased rate of cooling (P &lt; 0.001), as well as increased frequency of variation (P = 0.005), supporting that patients with diabetic polyneuropathy and even those with only diabetes but no diabetic polyneuropathy have impaired nocturnal thermoregulation. CONCLUSIONS- Nocturnal foot thermoregulation is impaired in patients with diabetes and diabetic polyneuropathy. Because neurons are highly temperature sensitive and because foot warming is part of the normal biology of sleep onset and maintenance, these findings suggest new potentially treatable mechanisms of diabetes-associated nocturnal pain and sleep disturbance. © 2009 by the American Diabetes Association.&quot;,&quot;author&quot;:[{&quot;dropping-particle&quot;:&quot;&quot;,&quot;family&quot;:&quot;Rutkove&quot;,&quot;given&quot;:&quot;Seward B.&quot;,&quot;non-dropping-particle&quot;:&quot;&quot;,&quot;parse-names&quot;:false,&quot;suffix&quot;:&quot;&quot;},{&quot;dropping-particle&quot;:&quot;&quot;,&quot;family&quot;:&quot;Veves&quot;,&quot;given&quot;:&quot;Aristidis&quot;,&quot;non-dropping-particle&quot;:&quot;&quot;,&quot;parse-names&quot;:false,&quot;suffix&quot;:&quot;&quot;},{&quot;dropping-particle&quot;:&quot;&quot;,&quot;family&quot;:&quot;Mitsa&quot;,&quot;given&quot;:&quot;Theophano&quot;,&quot;non-dropping-particle&quot;:&quot;&quot;,&quot;parse-names&quot;:false,&quot;suffix&quot;:&quot;&quot;},{&quot;dropping-particle&quot;:&quot;&quot;,&quot;family&quot;:&quot;Nie&quot;,&quot;given&quot;:&quot;Rui&quot;,&quot;non-dropping-particle&quot;:&quot;&quot;,&quot;parse-names&quot;:false,&quot;suffix&quot;:&quot;&quot;},{&quot;dropping-particle&quot;:&quot;&quot;,&quot;family&quot;:&quot;Fogerson&quot;,&quot;given&quot;:&quot;Patricia M.&quot;,&quot;non-dropping-particle&quot;:&quot;&quot;,&quot;parse-names&quot;:false,&quot;suffix&quot;:&quot;&quot;},{&quot;dropping-particle&quot;:&quot;&quot;,&quot;family&quot;:&quot;Garmirian&quot;,&quot;given&quot;:&quot;Lindsay P.&quot;,&quot;non-dropping-particle&quot;:&quot;&quot;,&quot;parse-names&quot;:false,&quot;suffix&quot;:&quot;&quot;},{&quot;dropping-particle&quot;:&quot;&quot;,&quot;family&quot;:&quot;Nardin&quot;,&quot;given&quot;:&quot;Rachel A.&quot;,&quot;non-dropping-particle&quot;:&quot;&quot;,&quot;parse-names&quot;:false,&quot;suffix&quot;:&quot;&quot;}],&quot;container-title&quot;:&quot;Diabetes Care&quot;,&quot;id&quot;:&quot;2bde65ba-6936-52e4-9512-1309d8791b48&quot;,&quot;issue&quot;:&quot;4&quot;,&quot;issued&quot;:{&quot;date-parts&quot;:[[&quot;2009&quot;]]},&quot;page&quot;:&quot;671-676&quot;,&quot;title&quot;:&quot;Impaired distal thermoregulation in diabetes and diabetic polyneuropathy&quot;,&quot;type&quot;:&quot;article-journal&quot;,&quot;volume&quot;:&quot;32&quot;,&quot;container-title-short&quot;:&quot;Diabetes Care&quot;},&quot;uris&quot;:[&quot;http://www.mendeley.com/documents/?uuid=04507488-94ce-4b25-b6d7-a7bdd857938e&quot;],&quot;isTemporary&quot;:false,&quot;legacyDesktopId&quot;:&quot;04507488-94ce-4b25-b6d7-a7bdd857938e&quot;}]},{&quot;citationID&quot;:&quot;MENDELEY_CITATION_b320de62-b9bc-454f-835d-914638c1b050&quot;,&quot;properties&quot;:{&quot;noteIndex&quot;:0},&quot;isEdited&quot;:false,&quot;manualOverride&quot;:{&quot;citeprocText&quot;:&quot;[85]&quot;,&quot;isManuallyOverridden&quot;:false,&quot;manualOverrideText&quot;:&quot;&quot;},&quot;citationTag&quot;:&quot;MENDELEY_CITATION_v3_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&quot;,&quot;citationItems&quot;:[{&quot;id&quot;:&quot;da3eeb18-6ccf-5249-a2cb-2bd785f8de45&quot;,&quot;itemData&quot;:{&quot;DOI&quot;:&quot;10.1371/journal.pone.0072661&quot;,&quot;ISSN&quot;:&quot;1932-6203&quot;,&quot;PMID&quot;:&quot;23991135&quot;,&quot;abstract&quot;:&quot;Background:This study explored the relationship between symptoms of rapid eye movement sleep behaviour disorder, thermoregulation and sleep in Parkinson's Disease.Methods:The study group comprised 12 patients with Parkinson's Disease and 11 healthy age-matched controls. We investigated markers of thermoregulation (core-body temperature profile), circadian rhythm (locomotor actigraphy) and sleep (polysomnography).Results:The mesor (the mean value around which the core temperature rhythm oscillates) of the core-body temperature in patients with Parkinson's Disease was significantly lower than that of controls. In addition, the nocturnal fall in CBT (the difference between the mesor and the nadir temperature) was also significantly reduced in PD patients relative to controls. Furthermore, in patients the reduction in the amplitude of their core-body temperature profile was strongly correlated with the severity of self-reported rapid eye movement sleep behaviour disorder symptom, reduction in the percentage of REM sleep and prolonged sleep latency. By contrast, these disturbances of thermoregulation and sleep architecture were not found in controls and were not related to other markers of circadian rhythm or times of sleep onset and offset.Conclusions:These findings suggest that the brainstem pathology associated with disruption of thermoregulation in Parkinson's disease may also contribute to rapid eye movement sleep behavioural disorder. It is possible that detailed analysis of the core-body temperature profile in at risk populations such as those patients with idiopathic rapid eye movement sleep behaviour disorder might help identify those who are at high risk of transitioning to Parkinson's Disease. © 2013 Zhong et al.&quot;,&quot;author&quot;:[{&quot;dropping-particle&quot;:&quot;&quot;,&quot;family&quot;:&quot;Zhong&quot;,&quot;given&quot;:&quot;George&quot;,&quot;non-dropping-particle&quot;:&quot;&quot;,&quot;parse-names&quot;:false,&quot;suffix&quot;:&quot;&quot;},{&quot;dropping-particle&quot;:&quot;&quot;,&quot;family&quot;:&quot;Bolitho&quot;,&quot;given&quot;:&quot;Samuel&quot;,&quot;non-dropping-particle&quot;:&quot;&quot;,&quot;parse-names&quot;:false,&quot;suffix&quot;:&quot;&quot;},{&quot;dropping-particle&quot;:&quot;&quot;,&quot;family&quot;:&quot;Grunstein&quot;,&quot;given&quot;:&quot;Ronald&quot;,&quot;non-dropping-particle&quot;:&quot;&quot;,&quot;parse-names&quot;:false,&quot;suffix&quot;:&quot;&quot;},{&quot;dropping-particle&quot;:&quot;&quot;,&quot;family&quot;:&quot;Naismith&quot;,&quot;given&quot;:&quot;Sharon Linda&quot;,&quot;non-dropping-particle&quot;:&quot;&quot;,&quot;parse-names&quot;:false,&quot;suffix&quot;:&quot;&quot;},{&quot;dropping-particle&quot;:&quot;&quot;,&quot;family&quot;:&quot;Lewis&quot;,&quot;given&quot;:&quot;Simon John Geoffrey&quot;,&quot;non-dropping-particle&quot;:&quot;&quot;,&quot;parse-names&quot;:false,&quot;suffix&quot;:&quot;&quot;}],&quot;container-title&quot;:&quot;PLoS ONE&quot;,&quot;editor&quot;:[{&quot;dropping-particle&quot;:&quot;&quot;,&quot;family&quot;:&quot;Planel&quot;,&quot;given&quot;:&quot;Emmanuel&quot;,&quot;non-dropping-particle&quot;:&quot;&quot;,&quot;parse-names&quot;:false,&quot;suffix&quot;:&quot;&quot;}],&quot;id&quot;:&quot;da3eeb18-6ccf-5249-a2cb-2bd785f8de45&quot;,&quot;issue&quot;:&quot;8&quot;,&quot;issued&quot;:{&quot;date-parts&quot;:[[&quot;2013&quot;,&quot;8&quot;,&quot;21&quot;]]},&quot;page&quot;:&quot;e72661&quot;,&quot;title&quot;:&quot;The Relationship between Thermoregulation and REM Sleep Behaviour Disorder in Parkinson’s Disease&quot;,&quot;type&quot;:&quot;article-journal&quot;,&quot;volume&quot;:&quot;8&quot;,&quot;container-title-short&quot;:&quot;PLoS One&quot;},&quot;uris&quot;:[&quot;http://www.mendeley.com/documents/?uuid=e7152b7f-81db-4e75-b130-745bd9f5d14b&quot;],&quot;isTemporary&quot;:false,&quot;legacyDesktopId&quot;:&quot;e7152b7f-81db-4e75-b130-745bd9f5d14b&quot;}]},{&quot;citationID&quot;:&quot;MENDELEY_CITATION_befa3359-0ddb-4381-9595-0f603dd97b49&quot;,&quot;properties&quot;:{&quot;noteIndex&quot;:0},&quot;isEdited&quot;:false,&quot;manualOverride&quot;:{&quot;citeprocText&quot;:&quot;[86,87]&quot;,&quot;isManuallyOverridden&quot;:false,&quot;manualOverrideText&quot;:&quot;&quot;},&quot;citationTag&quot;:&quot;MENDELEY_CITATION_v3_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&quot;,&quot;citationItems&quot;:[{&quot;id&quot;:&quot;3960decf-5040-5681-85a6-5f8680f5e324&quot;,&quot;itemData&quot;:{&quot;DOI&quot;:&quot;10.1016/S0079-6123(05)52034-X&quot;,&quot;ISSN&quot;:&quot;00796123&quot;,&quot;PMID&quot;:&quot;16198689&quot;,&quot;abstract&quot;:&quot;Spinal cord injury and especially cervical spinal cord injury implies serious disturbances in autonomic nervous system function. The clinical effects of these disturbances are striking. In the acute phase, the autonomic imbalance and its effect on cardiovascular, respiratory system and temperature regulation may be life threatening. Serious complications such as over-hydration with the risk of pulmonary edema or hyponatremia are seen. The cord-injured person suffers from autonomic nervous system dysfunction also affecting bladder and bowel control, renal and sexual function. Paralytic ileus may cause vomiting and aspiration, which in turn interferes with respiratory function in those with cervical spinal cord injury. The cord-injured person is at risk to develop pressure sores from the moment of the accident. Two to three months post-injury the cord-injured person with a lesion level above the fifth thoracic segment may develop autonomic dysreflexia, characterised by sympathetically mediated vasoconstriction in muscular, skin, renal and presumably gastrointestinal vascular beds induced by an afferent peripheral stimulation below lesion level. The reaction might cause cerebrovascular complications and has effects on metabolism. Some of the autonomic disturbances are transient and a new balance is reached months post-injury, while others persist for life. Copyright © 2006 Elsevier B.V. All rights reserved.&quot;,&quot;author&quot;:[{&quot;dropping-particle&quot;:&quot;&quot;,&quot;family&quot;:&quot;Karlsson&quot;,&quot;given&quot;:&quot;Ann Katrin&quot;,&quot;non-dropping-particle&quot;:&quot;&quot;,&quot;parse-names&quot;:false,&quot;suffix&quot;:&quot;&quot;}],&quot;container-title&quot;:&quot;Progress in Brain Research&quot;,&quot;id&quot;:&quot;3960decf-5040-5681-85a6-5f8680f5e324&quot;,&quot;issued&quot;:{&quot;date-parts&quot;:[[&quot;2006&quot;]]},&quot;page&quot;:&quot;1-8&quot;,&quot;title&quot;:&quot;Autonomic dysfunction in spinal cord injury: Clinical presentation of symptoms and signs&quot;,&quot;type&quot;:&quot;article-journal&quot;,&quot;volume&quot;:&quot;152&quot;,&quot;container-title-short&quot;:&quot;Prog. Brain Res.&quot;},&quot;uris&quot;:[&quot;http://www.mendeley.com/documents/?uuid=f32314bd-247e-49f1-8904-0cf40b842092&quot;],&quot;isTemporary&quot;:false,&quot;legacyDesktopId&quot;:&quot;f32314bd-247e-49f1-8904-0cf40b842092&quot;},{&quot;id&quot;:&quot;800c6e21-fb75-5166-82ab-19fbb6a88f63&quot;,&quot;itemData&quot;:{&quot;DOI&quot;:&quot;10.1038/S41394-017-0026-7&quot;,&quot;ISBN&quot;:&quot;4139401700267&quot;,&quot;ISSN&quot;:&quot;14765624&quot;,&quot;PMID&quot;:&quot;29423292&quot;,&quot;abstract&quot;:&quot;Introduction The ability to maintain core body temperature (Tcore) within a narrow range (37 ± 0.6 °C), despite exposure to a wide range of ambient temperatures, is essential in order to provide an optimal environment for vital organs, the central nervous system (CNS), and cellular processes to function. High-level (above T6) spinal cord injury (SCI) interrupts the autonomic nervous system’s ability to carry out hypothalamic regulation of thermoregulatory mechanisms for both heat dissipation and conservation. This interruption leaves persons with high-level SCI vulnerable to hyper and hypothermia even during exposure to relatively mild ambient temperatures. The goal of the Autonomic Standards is to enable the clinician to quickly identify those individuals with SCI who may be most at risk for thermoregulatory dysfunction. Case presentation Case 1: Heat Exhaustion, Case 2: Heat Stroke in absence of CNS symptoms, Case 3: Heat Exhaustion. Discussion The three cases demonstrate the signs and symptoms that may accompany hyperthermia in persons with SCI. The onset may be quite rapid and the condition persistent, despite ambient temperatures being much less intense than expected to be necessary to induce similar conditions in able-bodied (AB) persons. The responses of the persons in the case studies to the temperature regulation and autonomic control of sweating sections of the Autonomic Standards would identify them as being vulnerable and warrant providing appropriate exposure guidelines and precautions to them and their caregivers.&quot;,&quot;author&quot;:[{&quot;dropping-particle&quot;:&quot;&quot;,&quot;family&quot;:&quot;Handrakis&quot;,&quot;given&quot;:&quot;John P.&quot;,&quot;non-dropping-particle&quot;:&quot;&quot;,&quot;parse-names&quot;:false,&quot;suffix&quot;:&quot;&quot;},{&quot;dropping-particle&quot;:&quot;&quot;,&quot;family&quot;:&quot;Trbovich&quot;,&quot;given&quot;:&quot;Michelle&quot;,&quot;non-dropping-particle&quot;:&quot;&quot;,&quot;parse-names&quot;:false,&quot;suffix&quot;:&quot;&quot;},{&quot;dropping-particle&quot;:&quot;&quot;,&quot;family&quot;:&quot;Hagen&quot;,&quot;given&quot;:&quot;Ellen Merete&quot;,&quot;non-dropping-particle&quot;:&quot;&quot;,&quot;parse-names&quot;:false,&quot;suffix&quot;:&quot;&quot;},{&quot;dropping-particle&quot;:&quot;&quot;,&quot;family&quot;:&quot;Price&quot;,&quot;given&quot;:&quot;Michael&quot;,&quot;non-dropping-particle&quot;:&quot;&quot;,&quot;parse-names&quot;:false,&quot;suffix&quot;:&quot;&quot;}],&quot;container-title&quot;:&quot;Spinal Cord&quot;,&quot;id&quot;:&quot;800c6e21-fb75-5166-82ab-19fbb6a88f63&quot;,&quot;issue&quot;:&quot;1&quot;,&quot;issued&quot;:{&quot;date-parts&quot;:[[&quot;2017&quot;]]},&quot;page&quot;:&quot;1-7&quot;,&quot;publisher&quot;:&quot;Springer US&quot;,&quot;title&quot;:&quot;Thermodysregulation in persons with spinal cord injury: case series on use of the autonomic standards&quot;,&quot;type&quot;:&quot;article-journal&quot;,&quot;volume&quot;:&quot;3&quot;,&quot;container-title-short&quot;:&quot;Spinal Cord&quot;},&quot;uris&quot;:[&quot;http://www.mendeley.com/documents/?uuid=779b798b-cd61-438d-880f-6743da797131&quot;],&quot;isTemporary&quot;:false,&quot;legacyDesktopId&quot;:&quot;779b798b-cd61-438d-880f-6743da797131&quot;}]},{&quot;citationID&quot;:&quot;MENDELEY_CITATION_5d6e98c1-7b51-447e-b95f-5e3e47c40e07&quot;,&quot;properties&quot;:{&quot;noteIndex&quot;:0},&quot;isEdited&quot;:false,&quot;manualOverride&quot;:{&quot;citeprocText&quot;:&quot;[15]&quot;,&quot;isManuallyOverridden&quot;:false,&quot;manualOverrideText&quot;:&quot;&quot;},&quot;citationTag&quot;:&quot;MENDELEY_CITATION_v3_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&quot;,&quot;citationItems&quot;:[{&quot;id&quot;:&quot;b9425e53-273d-5a98-9b34-bf0ebcef9f0a&quot;,&quot;itemData&quot;:{&quot;DOI&quot;:&quot;10.1152/ajpregu.00668.2006&quot;,&quot;ISSN&quot;:&quot;03636119&quot;,&quot;PMID&quot;:&quot;17008453&quot;,&quot;abstract&quot;:&quot;While summarizing the current understanding of how body temperature (T b) is regulated, this review discusses the recent progress in the following areas: central and peripheral thermosensitivity and temperature-activated transient receptor potential (TRP) channels; afferent neuronal pathways from peripheral thermosensors; and efferent thermoeffector pathways. It is proposed that activation of temperature-sensitive TRP channels is a mechanism of peripheral thermosensitivity. Special attention is paid to the functional architecture of the thermoregulatory system. The notion that deep Tb is regulated by a unified system with a single controller is rejected. It is proposed that Tb is regulated by independent thermoeffector loops, each having its own afferent and efferent branches. The activity of each thermoeffector is triggered by a unique combination of shell and core Tbs. Temperature-dependent phase transitions in thermosensory neurons cause sequential activation of all neurons of the corresponding thermoeffector loop and eventually a thermoeffector response. No computation of an integrated Tb or its comparison with an obvious or hidden set point of a unified system is necessary. Coordination between thermoeffectors is achieved through their common controlled variable, T b. The described model incorporates Kobayashi's views, but Kobayashi's proposal to eliminate the term sensor is rejected. A case against the term set point is also made. Because this term is historically associated with a unified control system, it is more misleading than informative. The term balance point is proposed to designate the regulated level of Tb and to attract attention to the multiple feedback, feedforward, and open-loop components that contribute to thermal balance. Copyright © 2007 the American Physiological Society.&quot;,&quot;author&quot;:[{&quot;dropping-particle&quot;:&quot;&quot;,&quot;family&quot;:&quot;Romanovsky&quot;,&quot;given&quot;:&quot;Andrej A.&quot;,&quot;non-dropping-particle&quot;:&quot;&quot;,&quot;parse-names&quot;:false,&quot;suffix&quot;:&quot;&quot;}],&quot;container-title&quot;:&quot;American Journal of Physiology - Regulatory Integrative and Comparative Physiology&quot;,&quot;id&quot;:&quot;b9425e53-273d-5a98-9b34-bf0ebcef9f0a&quot;,&quot;issue&quot;:&quot;1&quot;,&quot;issued&quot;:{&quot;date-parts&quot;:[[&quot;2007&quot;]]},&quot;page&quot;:&quot;64-66&quot;,&quot;title&quot;:&quot;Thermoregulation: Some concepts have changed. Functional architecture of the thermoregulatory system&quot;,&quot;type&quot;:&quot;article-journal&quot;,&quot;volume&quot;:&quot;292&quot;,&quot;container-title-short&quot;:&quot;Am. J. Physiol. Regul. Integr. Comp. Physiol.&quot;},&quot;uris&quot;:[&quot;http://www.mendeley.com/documents/?uuid=aca8b090-376a-41a9-a120-ab99ccbd1be5&quot;],&quot;isTemporary&quot;:false,&quot;legacyDesktopId&quot;:&quot;aca8b090-376a-41a9-a120-ab99ccbd1be5&quot;}]},{&quot;citationID&quot;:&quot;MENDELEY_CITATION_fbc4f42c-b336-4747-9d7b-6dda89f841ad&quot;,&quot;properties&quot;:{&quot;noteIndex&quot;:0},&quot;isEdited&quot;:false,&quot;manualOverride&quot;:{&quot;citeprocText&quot;:&quot;[3,25,88,89]&quot;,&quot;isManuallyOverridden&quot;:false,&quot;manualOverrideText&quot;:&quot;&quot;},&quot;citationTag&quot;:&quot;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&quot;,&quot;citationItems&quot;:[{&quot;id&quot;:&quot;ac14c70b-79c2-50c4-85c1-33b519a46921&quot;,&quot;itemData&quot;:{&quot;DOI&quot;:&quot;10.1136/adc.80.3.262&quot;,&quot;ISSN&quot;:&quot;14682044&quot;,&quot;abstract&quot;:&quot;Background - Ear thermometers are becoming popular as a method for measuring deep body (core) temperature. Aim - To determine the variability of a single user's tympanic membrane (ear) temperature measurements. Subjects - Forty two, afebrile, healthy children, and 20 febrile children with acute burns. Results - In afebrile children measurements made in both ears (and within just a few minutes of each other) differed by as much as 0.6°C. Operator measurement error, s(w) of three consecutive measurements, in the same ear, was 0.13°C. In the group of febrile, burned children, core temperature was measured hourly at a number of sites (ear, rectum, axilla, bladder). A peak in core temperature occurred approximately 10-12 hours after the burn. Measurement error was calculated in 14 febrile, burned children with a peak temperature in excess of 38°C. For the left ear, measurement error was 0.19°C and for the right ear, 0.11°C. In the febrile children agreement between the ears was poor. The limits of agreement were 0.4°C to - 0.8°C. It was not possible to predict the occasions when the temperature differences between the ears would be large or small. Conclusions - The measurement error of one recording from the next is probably acceptable at about 0.1 to 0.2°C. To limit the variations in temperature of one ear to the other, measurements should be restricted to one of the ears whenever possible and the same ear used throughout the temperature monitoring period. Nurses and parents should take more than one temperature reading from the same ear whenever possible.&quot;,&quot;author&quot;:[{&quot;dropping-particle&quot;:&quot;&quot;,&quot;family&quot;:&quot;Childs&quot;,&quot;given&quot;:&quot;Charmaine&quot;,&quot;non-dropping-particle&quot;:&quot;&quot;,&quot;parse-names&quot;:false,&quot;suffix&quot;:&quot;&quot;},{&quot;dropping-particle&quot;:&quot;&quot;,&quot;family&quot;:&quot;Harrison&quot;,&quot;given&quot;:&quot;Ruth&quot;,&quot;non-dropping-particle&quot;:&quot;&quot;,&quot;parse-names&quot;:false,&quot;suffix&quot;:&quot;&quot;},{&quot;dropping-particle&quot;:&quot;&quot;,&quot;family&quot;:&quot;Hodkinson&quot;,&quot;given&quot;:&quot;Claire&quot;,&quot;non-dropping-particle&quot;:&quot;&quot;,&quot;parse-names&quot;:false,&quot;suffix&quot;:&quot;&quot;}],&quot;container-title&quot;:&quot;Archives of Disease in Childhood&quot;,&quot;id&quot;:&quot;ac14c70b-79c2-50c4-85c1-33b519a46921&quot;,&quot;issue&quot;:&quot;3&quot;,&quot;issued&quot;:{&quot;date-parts&quot;:[[&quot;1999&quot;]]},&quot;page&quot;:&quot;262-266&quot;,&quot;title&quot;:&quot;Tympanic membrane temperature as a measure of core temperature&quot;,&quot;type&quot;:&quot;article-journal&quot;,&quot;volume&quot;:&quot;80&quot;,&quot;container-title-short&quot;:&quot;Arch. Dis. Child.&quot;},&quot;uris&quot;:[&quot;http://www.mendeley.com/documents/?uuid=eb58f023-c41e-409d-bac3-8002e63bc281&quot;],&quot;isTemporary&quot;:false,&quot;legacyDesktopId&quot;:&quot;eb58f023-c41e-409d-bac3-8002e63bc281&quot;},{&quot;id&quot;:&quot;545242d0-38ce-58d8-a287-2041a9545472&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545242d0-38ce-58d8-a287-2041a9545472&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8a2c19d5-798c-492f-bc77-880ab90a4ad7&quot;,&quot;http://www.mendeley.com/documents/?uuid=ca416486-2662-466e-a54b-ae3117ac1562&quot;],&quot;isTemporary&quot;:false,&quot;legacyDesktopId&quot;:&quot;8a2c19d5-798c-492f-bc77-880ab90a4ad7&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43ce015c-85f7-58d4-bc2b-ba6caa922708&quot;,&quot;itemData&quot;:{&quot;DOI&quot;:&quot;10.3389/fphys.2017.00260&quot;,&quot;ISSN&quot;:&quot;1664-042X&quot;,&quot;abstract&quot;:&quot;An accurate measure of core body temperature is critical for monitoring individuals, groups and teams undertaking physical activity in situations of high heat stress or prolonged cold exposure. This study examined the range in systematic bias of ingestible temperature sensors compared to a certified and traceable reference thermometer. A total of 119 ingestible temperature sensors were immersed in a circulated water bath at five water temperatures (TEMP A: 35.12 ± 0.60°C, TEMP B: 37.33 ± 0.56°C, TEMP C: 39.48 ± 0.73°C, TEMP D: 41.58 ± 0.97°C, and TEMP E: 43.47 ± 1.07°C) along with a certified traceable reference thermometer. Thirteen sensors (10.9%) demonstrated a systematic bias &gt; ±0.1°C, of which 4 (3.3%) were &gt; ± 0.5°C. Limits of agreement (95%) indicated that systematic bias would likely fall in the range of -0.14 to 0.26°C, highlighting that it is possible for temperatures measured between sensors to differ by more than 0.4°C. The proportion of sensors with systematic bias &gt; ±0.1°C (10.9%) confirms that ingestible temperature sensors require correction to ensure their accuracy. An individualized linear correction achieved a mean systematic bias of 0.00°C, and limits of agreement (95%) to 0.00-0.00°C, with 100% of sensors achieving ±0.1°C accuracy. Alternatively, a generalized linear function (Corrected Temperature (°C) = 1.00375 × Sensor Temperature (°C) - 0.205549), produced as the average slope and intercept of a sub-set of 51 sensors and excluding sensors with accuracy outside ±0.5°C, reduced the systematic bias to &lt; ±0.1°C in 98.4% of the remaining sensors (n = 64). In conclusion, these data show that using an uncalibrated ingestible temperature sensor may provide inaccurate data that still appears to be statistically, physiologically, and clinically meaningful. Correction of sensor temperature to a reference thermometer by linear function eliminates this systematic bias (individualized functions) or ensures systematic bias is within ±0.1°C in 98% of the sensors (generalized function).&quot;,&quot;author&quot;:[{&quot;dropping-particle&quot;:&quot;&quot;,&quot;family&quot;:&quot;Hunt&quot;,&quot;given&quot;:&quot;Andrew P.&quot;,&quot;non-dropping-particle&quot;:&quot;&quot;,&quot;parse-names&quot;:false,&quot;suffix&quot;:&quot;&quot;},{&quot;dropping-particle&quot;:&quot;&quot;,&quot;family&quot;:&quot;Bach&quot;,&quot;given&quot;:&quot;Aaron J. E.&quot;,&quot;non-dropping-particle&quot;:&quot;&quot;,&quot;parse-names&quot;:false,&quot;suffix&quot;:&quot;&quot;},{&quot;dropping-particle&quot;:&quot;&quot;,&quot;family&quot;:&quot;Borg&quot;,&quot;given&quot;:&quot;David N.&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Stewart&quot;,&quot;given&quot;:&quot;Ian B.&quot;,&quot;non-dropping-particle&quot;:&quot;&quot;,&quot;parse-names&quot;:false,&quot;suffix&quot;:&quot;&quot;}],&quot;container-title&quot;:&quot;Frontiers in Physiology&quot;,&quot;id&quot;:&quot;43ce015c-85f7-58d4-bc2b-ba6caa922708&quot;,&quot;issue&quot;:&quot;APR&quot;,&quot;issued&quot;:{&quot;date-parts&quot;:[[&quot;2017&quot;,&quot;4&quot;,&quot;27&quot;]]},&quot;page&quot;:&quot;1-7&quot;,&quot;title&quot;:&quot;The Systematic Bias of Ingestible Core Temperature Sensors Requires a Correction by Linear Regression&quot;,&quot;type&quot;:&quot;article-journal&quot;,&quot;volume&quot;:&quot;8&quot;,&quot;container-title-short&quot;:&quot;Front. Physiol.&quot;},&quot;uris&quot;:[&quot;http://www.mendeley.com/documents/?uuid=e3f92c82-91ec-4ff0-81e4-47bcf3876082&quot;],&quot;isTemporary&quot;:false,&quot;legacyDesktopId&quot;:&quot;e3f92c82-91ec-4ff0-81e4-47bcf3876082&quot;}]},{&quot;citationID&quot;:&quot;MENDELEY_CITATION_ed8eeb9a-496d-400a-8a70-c850a9306de6&quot;,&quot;properties&quot;:{&quot;noteIndex&quot;:0},&quot;isEdited&quot;:false,&quot;manualOverride&quot;:{&quot;citeprocText&quot;:&quot;[90]&quot;,&quot;isManuallyOverridden&quot;:false,&quot;manualOverrideText&quot;:&quot;&quot;},&quot;citationTag&quot;:&quot;MENDELEY_CITATION_v3_eyJjaXRhdGlvbklEIjoiTUVOREVMRVlfQ0lUQVRJT05fZWQ4ZWViOWEtNDk2ZC00MDBhLThhNzAtYzg1MGE5MzA2ZGU2IiwicHJvcGVydGllcyI6eyJub3RlSW5kZXgiOjB9LCJpc0VkaXRlZCI6ZmFsc2UsIm1hbnVhbE92ZXJyaWRlIjp7ImNpdGVwcm9jVGV4dCI6Ils5MF0iLCJpc01hbnVhbGx5T3ZlcnJpZGRlbiI6ZmFsc2UsIm1hbnVhbE92ZXJyaWRlVGV4dCI6IiJ9LCJjaXRhdGlvbkl0ZW1zIjpbeyJpZCI6ImI1ODFkZTk1LTc1ODgtNWNlOS04OGM3LTU1MjViYWU0NTE3OS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YjU4MWRlOTUtNzU4OC01Y2U5LTg4YzctNTUyNWJhZTQ1MTc5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E2Y2YyZjJlLTE4YjctNDRhNy04OTgwLWY4OTcwNDE1NDBiMCJdLCJpc1RlbXBvcmFyeSI6ZmFsc2UsImxlZ2FjeURlc2t0b3BJZCI6IjE2Y2YyZjJlLTE4YjctNDRhNy04OTgwLWY4OTcwNDE1NDBiMCJ9XX0=&quot;,&quot;citationItems&quot;:[{&quot;id&quot;:&quot;b581de95-7588-5ce9-88c7-5525bae45179&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b581de95-7588-5ce9-88c7-5525bae45179&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16cf2f2e-18b7-44a7-8980-f897041540b0&quot;],&quot;isTemporary&quot;:false,&quot;legacyDesktopId&quot;:&quot;16cf2f2e-18b7-44a7-8980-f897041540b0&quot;}]},{&quot;citationID&quot;:&quot;MENDELEY_CITATION_01eceb32-de29-4c7f-a2c1-02ea30b3d872&quot;,&quot;properties&quot;:{&quot;noteIndex&quot;:0},&quot;isEdited&quot;:false,&quot;manualOverride&quot;:{&quot;citeprocText&quot;:&quot;[22,89,91,92]&quot;,&quot;isManuallyOverridden&quot;:false,&quot;manualOverrideText&quot;:&quot;&quot;},&quot;citationTag&quot;:&quot;MENDELEY_CITATION_v3_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&quot;,&quot;citationItems&quot;:[{&quot;id&quot;:&quot;2b3889ec-d8e1-5bd9-9054-77b60826d9ed&quot;,&quot;itemData&quot;:{&quot;DOI&quot;:&quot;10.1080/03091900600711530&quot;,&quot;ISSN&quot;:&quot;0309-1902&quot;,&quot;PMID&quot;:&quot;16864232&quot;,&quot;abstract&quot;:&quot;Patient temperature is a fundamental physiological measurement used primarily for observation and diagnosis, for example during surgery, intensive care, recuperation, or treatment. A variety of thermometers are used clinically and these can be separated into two categories, either contact (oral thermometers, rectal thermometers and temporal strips), or non-contact (ear thermometers, temporal thermometers and thermal imagers). To have the maximum confidence in the clinical performance of the temperature measurement instrument it is strongly desirable that the device be traceably calibrated to the International Temperature Scale of 1990 (ITS-90). Lack of traceable calibrations accredited to ISO17025 can lead to unreliability in temperature measurement and in some cases can have a deleterious effect on patient care. The National Physical Laboratory (NPL) maintains and disseminates the ITS-90 for contact and non-contact thermometry in the UK. The importance of accredited traceable calibrations and an outline of contact and non-contact thermometry standards are given here. © Crown copyright 2006.&quot;,&quot;author&quot;:[{&quot;dropping-particle&quot;:&quot;&quot;,&quot;family&quot;:&quot;Simpson&quot;,&quot;given&quot;:&quot;R.&quot;,&quot;non-dropping-particle&quot;:&quot;&quot;,&quot;parse-names&quot;:false,&quot;suffix&quot;:&quot;&quot;},{&quot;dropping-particle&quot;:&quot;&quot;,&quot;family&quot;:&quot;Machin&quot;,&quot;given&quot;:&quot;G.&quot;,&quot;non-dropping-particle&quot;:&quot;&quot;,&quot;parse-names&quot;:false,&quot;suffix&quot;:&quot;&quot;},{&quot;dropping-particle&quot;:&quot;&quot;,&quot;family&quot;:&quot;McEvoy&quot;,&quot;given&quot;:&quot;H.&quot;,&quot;non-dropping-particle&quot;:&quot;&quot;,&quot;parse-names&quot;:false,&quot;suffix&quot;:&quot;&quot;},{&quot;dropping-particle&quot;:&quot;&quot;,&quot;family&quot;:&quot;Rusby&quot;,&quot;given&quot;:&quot;R.&quot;,&quot;non-dropping-particle&quot;:&quot;&quot;,&quot;parse-names&quot;:false,&quot;suffix&quot;:&quot;&quot;}],&quot;container-title&quot;:&quot;Journal of Medical Engineering &amp; Technology&quot;,&quot;id&quot;:&quot;2b3889ec-d8e1-5bd9-9054-77b60826d9ed&quot;,&quot;issue&quot;:&quot;4&quot;,&quot;issued&quot;:{&quot;date-parts&quot;:[[&quot;2006&quot;,&quot;1&quot;,&quot;9&quot;]]},&quot;page&quot;:&quot;212-217&quot;,&quot;title&quot;:&quot;Traceability and calibration in temperature measurement: a clinical necessity&quot;,&quot;type&quot;:&quot;article-journal&quot;,&quot;volume&quot;:&quot;30&quot;,&quot;container-title-short&quot;:&quot;J. Med. Eng. Technol.&quot;},&quot;uris&quot;:[&quot;http://www.mendeley.com/documents/?uuid=318044ab-e657-4571-a685-7c9b882e48a4&quot;],&quot;isTemporary&quot;:false,&quot;legacyDesktopId&quot;:&quot;318044ab-e657-4571-a685-7c9b882e48a4&quot;},{&quot;id&quot;:&quot;43ce015c-85f7-58d4-bc2b-ba6caa922708&quot;,&quot;itemData&quot;:{&quot;DOI&quot;:&quot;10.3389/fphys.2017.00260&quot;,&quot;ISSN&quot;:&quot;1664-042X&quot;,&quot;abstract&quot;:&quot;An accurate measure of core body temperature is critical for monitoring individuals, groups and teams undertaking physical activity in situations of high heat stress or prolonged cold exposure. This study examined the range in systematic bias of ingestible temperature sensors compared to a certified and traceable reference thermometer. A total of 119 ingestible temperature sensors were immersed in a circulated water bath at five water temperatures (TEMP A: 35.12 ± 0.60°C, TEMP B: 37.33 ± 0.56°C, TEMP C: 39.48 ± 0.73°C, TEMP D: 41.58 ± 0.97°C, and TEMP E: 43.47 ± 1.07°C) along with a certified traceable reference thermometer. Thirteen sensors (10.9%) demonstrated a systematic bias &gt; ±0.1°C, of which 4 (3.3%) were &gt; ± 0.5°C. Limits of agreement (95%) indicated that systematic bias would likely fall in the range of -0.14 to 0.26°C, highlighting that it is possible for temperatures measured between sensors to differ by more than 0.4°C. The proportion of sensors with systematic bias &gt; ±0.1°C (10.9%) confirms that ingestible temperature sensors require correction to ensure their accuracy. An individualized linear correction achieved a mean systematic bias of 0.00°C, and limits of agreement (95%) to 0.00-0.00°C, with 100% of sensors achieving ±0.1°C accuracy. Alternatively, a generalized linear function (Corrected Temperature (°C) = 1.00375 × Sensor Temperature (°C) - 0.205549), produced as the average slope and intercept of a sub-set of 51 sensors and excluding sensors with accuracy outside ±0.5°C, reduced the systematic bias to &lt; ±0.1°C in 98.4% of the remaining sensors (n = 64). In conclusion, these data show that using an uncalibrated ingestible temperature sensor may provide inaccurate data that still appears to be statistically, physiologically, and clinically meaningful. Correction of sensor temperature to a reference thermometer by linear function eliminates this systematic bias (individualized functions) or ensures systematic bias is within ±0.1°C in 98% of the sensors (generalized function).&quot;,&quot;author&quot;:[{&quot;dropping-particle&quot;:&quot;&quot;,&quot;family&quot;:&quot;Hunt&quot;,&quot;given&quot;:&quot;Andrew P.&quot;,&quot;non-dropping-particle&quot;:&quot;&quot;,&quot;parse-names&quot;:false,&quot;suffix&quot;:&quot;&quot;},{&quot;dropping-particle&quot;:&quot;&quot;,&quot;family&quot;:&quot;Bach&quot;,&quot;given&quot;:&quot;Aaron J. E.&quot;,&quot;non-dropping-particle&quot;:&quot;&quot;,&quot;parse-names&quot;:false,&quot;suffix&quot;:&quot;&quot;},{&quot;dropping-particle&quot;:&quot;&quot;,&quot;family&quot;:&quot;Borg&quot;,&quot;given&quot;:&quot;David N.&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Stewart&quot;,&quot;given&quot;:&quot;Ian B.&quot;,&quot;non-dropping-particle&quot;:&quot;&quot;,&quot;parse-names&quot;:false,&quot;suffix&quot;:&quot;&quot;}],&quot;container-title&quot;:&quot;Frontiers in Physiology&quot;,&quot;id&quot;:&quot;43ce015c-85f7-58d4-bc2b-ba6caa922708&quot;,&quot;issue&quot;:&quot;APR&quot;,&quot;issued&quot;:{&quot;date-parts&quot;:[[&quot;2017&quot;,&quot;4&quot;,&quot;27&quot;]]},&quot;page&quot;:&quot;1-7&quot;,&quot;title&quot;:&quot;The Systematic Bias of Ingestible Core Temperature Sensors Requires a Correction by Linear Regression&quot;,&quot;type&quot;:&quot;article-journal&quot;,&quot;volume&quot;:&quot;8&quot;,&quot;container-title-short&quot;:&quot;Front. Physiol.&quot;},&quot;uris&quot;:[&quot;http://www.mendeley.com/documents/?uuid=e3f92c82-91ec-4ff0-81e4-47bcf3876082&quot;],&quot;isTemporary&quot;:false,&quot;legacyDesktopId&quot;:&quot;e3f92c82-91ec-4ff0-81e4-47bcf3876082&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id&quot;:&quot;4f2b29b1-7868-570d-bbb6-00a7c495a2d8&quot;,&quot;itemData&quot;:{&quot;DOI&quot;:&quot;10.1097/00005768-199803000-00020&quot;,&quot;ISBN&quot;:&quot;8006383030&quot;,&quot;ISSN&quot;:&quot;01959131&quot;,&quot;PMID&quot;:&quot;9526896&quot;,&quot;abstract&quot;:&quot;Purpose: This study compared the agreement between core temperature measurements obtained using an ingestible temperature pill telemetry system (T(pi11)) with those obtained from rectal (T(re) and esophageal (T(es)) thermocouples under conditions of increasing and decreasing body temperature. Methods: Four men and five women (age 25 ± 2 yr, BSA 1.81 ± 0.05 m2, V̇O2 peak 3.1 ± 0.4 L · min-1) participated in four 3-h trials: cold (18°C) water rest (CW), cold water exercise (CWE), warm (36°C) water rest (WWR), and warm water exercise (WWE). Subjects were immersed to the neck for each trial. During resting trials, subjects sat quietly. During exercise trials, subjects completed three bouts of 15 min of rest, followed by 45 min of exercise on a cycle ergometer at 50% of peak oxygen uptake. The temperature pill was taken 10-12 h before testing, after which the subjects fasted. Results: The trials created conditions of constantly decreasing (CWR) or increasing (WWR) core temperature, as well as periods of oscillating core temperature (CWE and WWE). Root mean squared deviation (RMSD) was calculated for each pair of measurements (Tv(pi11) vs T(re), T(pi11) vs T(es), T(re) vs T(es) for each trial. An RMSD of '0' indicates perfect agreement; as RMSD increases, agreement worsens. On CWR, the RMSD for T(pi11)-T(es) (0.23 ± 0.04) was lower (P &lt; 0.05) than for T(pi11)-T(re) (0.43 ± 0.10) or T(re)- T(es) (0.46 ± 0.09). There were no significant differences in RMSD between measurement pairs on any other trial (average RMSD = 0.26°C). Telemetry pill temperature and response time tended to be intermediate between T(re) and T(es). Conclusion: These results suggest the telemetry pill system provides a valid measurement of core temperature during conditions of detreating as well as increasing body temperature and during steady state.&quot;,&quot;author&quot;:[{&quot;dropping-particle&quot;:&quot;&quot;,&quot;family&quot;:&quot;O'Brien&quot;,&quot;given&quot;:&quot;Catherine&quot;,&quot;non-dropping-particle&quot;:&quot;&quot;,&quot;parse-names&quot;:false,&quot;suffix&quot;:&quot;&quot;},{&quot;dropping-particle&quot;:&quot;&quot;,&quot;family&quot;:&quot;Hoyt&quot;,&quot;given&quot;:&quot;Reed W.&quot;,&quot;non-dropping-particle&quot;:&quot;&quot;,&quot;parse-names&quot;:false,&quot;suffix&quot;:&quot;&quot;},{&quot;dropping-particle&quot;:&quot;&quot;,&quot;family&quot;:&quot;Buller&quot;,&quot;given&quot;:&quot;Mark J.&quot;,&quot;non-dropping-particle&quot;:&quot;&quot;,&quot;parse-names&quot;:false,&quot;suffix&quot;:&quot;&quot;},{&quot;dropping-particle&quot;:&quot;&quot;,&quot;family&quot;:&quot;Castellani&quot;,&quot;given&quot;:&quot;John W.&quot;,&quot;non-dropping-particle&quot;:&quot;&quot;,&quot;parse-names&quot;:false,&quot;suffix&quot;:&quot;&quot;},{&quot;dropping-particle&quot;:&quot;&quot;,&quot;family&quot;:&quot;Young&quot;,&quot;given&quot;:&quot;Andrew J.&quot;,&quot;non-dropping-particle&quot;:&quot;&quot;,&quot;parse-names&quot;:false,&quot;suffix&quot;:&quot;&quot;}],&quot;container-title&quot;:&quot;Medicine and Science in Sports and Exercise&quot;,&quot;id&quot;:&quot;4f2b29b1-7868-570d-bbb6-00a7c495a2d8&quot;,&quot;issue&quot;:&quot;3&quot;,&quot;issued&quot;:{&quot;date-parts&quot;:[[&quot;1998&quot;]]},&quot;page&quot;:&quot;468-472&quot;,&quot;title&quot;:&quot;Telemetry pill measurement of core temperature in humans during active heating and cooling&quot;,&quot;type&quot;:&quot;article-journal&quot;,&quot;volume&quot;:&quot;30&quot;,&quot;container-title-short&quot;:&quot;Med. Sci. Sports Exerc.&quot;},&quot;uris&quot;:[&quot;http://www.mendeley.com/documents/?uuid=9bfb391a-9b9b-4640-b238-1b4d30668c74&quot;],&quot;isTemporary&quot;:false,&quot;legacyDesktopId&quot;:&quot;9bfb391a-9b9b-4640-b238-1b4d30668c74&quot;}]},{&quot;citationID&quot;:&quot;MENDELEY_CITATION_1da11ba3-8d87-44f9-9dee-9b4fa685e042&quot;,&quot;properties&quot;:{&quot;noteIndex&quot;:0},&quot;isEdited&quot;:false,&quot;manualOverride&quot;:{&quot;citeprocText&quot;:&quot;[89]&quot;,&quot;isManuallyOverridden&quot;:false,&quot;manualOverrideText&quot;:&quot;&quot;},&quot;citationTag&quot;:&quot;MENDELEY_CITATION_v3_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&quot;,&quot;citationItems&quot;:[{&quot;id&quot;:&quot;43ce015c-85f7-58d4-bc2b-ba6caa922708&quot;,&quot;itemData&quot;:{&quot;DOI&quot;:&quot;10.3389/fphys.2017.00260&quot;,&quot;ISSN&quot;:&quot;1664-042X&quot;,&quot;abstract&quot;:&quot;An accurate measure of core body temperature is critical for monitoring individuals, groups and teams undertaking physical activity in situations of high heat stress or prolonged cold exposure. This study examined the range in systematic bias of ingestible temperature sensors compared to a certified and traceable reference thermometer. A total of 119 ingestible temperature sensors were immersed in a circulated water bath at five water temperatures (TEMP A: 35.12 ± 0.60°C, TEMP B: 37.33 ± 0.56°C, TEMP C: 39.48 ± 0.73°C, TEMP D: 41.58 ± 0.97°C, and TEMP E: 43.47 ± 1.07°C) along with a certified traceable reference thermometer. Thirteen sensors (10.9%) demonstrated a systematic bias &gt; ±0.1°C, of which 4 (3.3%) were &gt; ± 0.5°C. Limits of agreement (95%) indicated that systematic bias would likely fall in the range of -0.14 to 0.26°C, highlighting that it is possible for temperatures measured between sensors to differ by more than 0.4°C. The proportion of sensors with systematic bias &gt; ±0.1°C (10.9%) confirms that ingestible temperature sensors require correction to ensure their accuracy. An individualized linear correction achieved a mean systematic bias of 0.00°C, and limits of agreement (95%) to 0.00-0.00°C, with 100% of sensors achieving ±0.1°C accuracy. Alternatively, a generalized linear function (Corrected Temperature (°C) = 1.00375 × Sensor Temperature (°C) - 0.205549), produced as the average slope and intercept of a sub-set of 51 sensors and excluding sensors with accuracy outside ±0.5°C, reduced the systematic bias to &lt; ±0.1°C in 98.4% of the remaining sensors (n = 64). In conclusion, these data show that using an uncalibrated ingestible temperature sensor may provide inaccurate data that still appears to be statistically, physiologically, and clinically meaningful. Correction of sensor temperature to a reference thermometer by linear function eliminates this systematic bias (individualized functions) or ensures systematic bias is within ±0.1°C in 98% of the sensors (generalized function).&quot;,&quot;author&quot;:[{&quot;dropping-particle&quot;:&quot;&quot;,&quot;family&quot;:&quot;Hunt&quot;,&quot;given&quot;:&quot;Andrew P.&quot;,&quot;non-dropping-particle&quot;:&quot;&quot;,&quot;parse-names&quot;:false,&quot;suffix&quot;:&quot;&quot;},{&quot;dropping-particle&quot;:&quot;&quot;,&quot;family&quot;:&quot;Bach&quot;,&quot;given&quot;:&quot;Aaron J. E.&quot;,&quot;non-dropping-particle&quot;:&quot;&quot;,&quot;parse-names&quot;:false,&quot;suffix&quot;:&quot;&quot;},{&quot;dropping-particle&quot;:&quot;&quot;,&quot;family&quot;:&quot;Borg&quot;,&quot;given&quot;:&quot;David N.&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Stewart&quot;,&quot;given&quot;:&quot;Ian B.&quot;,&quot;non-dropping-particle&quot;:&quot;&quot;,&quot;parse-names&quot;:false,&quot;suffix&quot;:&quot;&quot;}],&quot;container-title&quot;:&quot;Frontiers in Physiology&quot;,&quot;id&quot;:&quot;43ce015c-85f7-58d4-bc2b-ba6caa922708&quot;,&quot;issue&quot;:&quot;APR&quot;,&quot;issued&quot;:{&quot;date-parts&quot;:[[&quot;2017&quot;,&quot;4&quot;,&quot;27&quot;]]},&quot;page&quot;:&quot;1-7&quot;,&quot;title&quot;:&quot;The Systematic Bias of Ingestible Core Temperature Sensors Requires a Correction by Linear Regression&quot;,&quot;type&quot;:&quot;article-journal&quot;,&quot;volume&quot;:&quot;8&quot;,&quot;container-title-short&quot;:&quot;Front. Physiol.&quot;},&quot;uris&quot;:[&quot;http://www.mendeley.com/documents/?uuid=e3f92c82-91ec-4ff0-81e4-47bcf3876082&quot;],&quot;isTemporary&quot;:false,&quot;legacyDesktopId&quot;:&quot;e3f92c82-91ec-4ff0-81e4-47bcf3876082&quot;}]},{&quot;citationID&quot;:&quot;MENDELEY_CITATION_4e62f101-774d-4207-a1d8-27dea2f59de9&quot;,&quot;properties&quot;:{&quot;noteIndex&quot;:0},&quot;isEdited&quot;:false,&quot;manualOverride&quot;:{&quot;citeprocText&quot;:&quot;[93,94]&quot;,&quot;isManuallyOverridden&quot;:false,&quot;manualOverrideText&quot;:&quot;&quot;},&quot;citationTag&quot;:&quot;MENDELEY_CITATION_v3_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ZGRlMmU2OGUtNzZmZi01MzA3LTljYzYtZTM5MjRjMDkwMTE0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WNhNDE2NDg2LTI2NjItNDY2ZS1hNTRiLWFlMzExN2FjMTU2MiIsImh0dHA6Ly93d3cubWVuZGVsZXkuY29tL2RvY3VtZW50cy8/dXVpZD04YTJjMTlkNS03OThjLTQ5MmYtYmM3Ny04ODBhYjkwYTRhZDciXSwiaXNUZW1wb3JhcnkiOmZhbHNlLCJsZWdhY3lEZXNrdG9wSWQiOiJjYTQxNjQ4Ni0yNjYyLTQ2NmUtYTU0Yi1hZTMxMTdhYzE1NjIifV19&quot;,&quot;citationItems&quot;:[{&quot;id&quot;:&quot;96d3a40e-ad87-5617-bd5e-53bf4a297a4c&quot;,&quot;itemData&quot;:{&quot;DOI&quot;:&quot;10.3791/53258&quot;,&quot;ISSN&quot;:&quot;1940087X&quot;,&quot;PMID&quot;:&quot;26485169&quot;,&quot;abstract&quot;:&quot;Exercise results in an increase in core body temperature (Tc), which may reduce exercise performance and eventually can lead to the development of heat-related disorders. Therefore, accurate measurement of Tc during exercise is of great importance, especially in athletes who have to perform in challenging ambient conditions. In the current literature a number of methods have been described to measure the Tc (esophageal, external tympanic membrane, mouth or rectum). However, these methods are suboptimal to measure Tc during exercise since they are invasive, have a slow response or are influenced by environmental conditions. Studies described the use of an ingestible telemetric temperature pill as a reliable and valid method to assess gastrointestinal temperature (Tgi), which is a representative measurement of Tc. Therefore, the goal of this study was to provide a detailed description of the measurement of Tgi using an ingestible telemetric temperature pill. This study addresses important methodological factors that must be taken into account for an accurate measurement. It is recommended to read the instructions carefully in order to ensure that the ingestible telemetric temperature pill is a reliable method to assess Tgi at rest and during exercise.&quot;,&quot;author&quot;:[{&quot;dropping-particle&quot;:&quot;&quot;,&quot;family&quot;:&quot;Bongers&quot;,&quot;given&quot;:&quot;Coen C.W.G.&quot;,&quot;non-dropping-particle&quot;:&quot;&quot;,&quot;parse-names&quot;:false,&quot;suffix&quot;:&quot;&quot;},{&quot;dropping-particle&quot;:&quot;&quot;,&quot;family&quot;:&quot;Hopman&quot;,&quot;given&quot;:&quot;Maria T.E.&quot;,&quot;non-dropping-particle&quot;:&quot;&quot;,&quot;parse-names&quot;:false,&quot;suffix&quot;:&quot;&quot;},{&quot;dropping-particle&quot;:&quot;&quot;,&quot;family&quot;:&quot;Eijsvogels&quot;,&quot;given&quot;:&quot;Thijs M.H.&quot;,&quot;non-dropping-particle&quot;:&quot;&quot;,&quot;parse-names&quot;:false,&quot;suffix&quot;:&quot;&quot;}],&quot;container-title&quot;:&quot;Journal of Visualized Experiments&quot;,&quot;id&quot;:&quot;96d3a40e-ad87-5617-bd5e-53bf4a297a4c&quot;,&quot;issue&quot;:&quot;104&quot;,&quot;issued&quot;:{&quot;date-parts&quot;:[[&quot;2015&quot;]]},&quot;page&quot;:&quot;1-9&quot;,&quot;title&quot;:&quot;Using an ingestible telemetric temperature pill to assess gastrointestinal temperature during exercise&quot;,&quot;type&quot;:&quot;article-journal&quot;,&quot;volume&quot;:&quot;2015&quot;,&quot;container-title-short&quot;:&quot;&quot;},&quot;uris&quot;:[&quot;http://www.mendeley.com/documents/?uuid=eb2a74b0-eb55-47ff-bf3b-a73969078479&quot;],&quot;isTemporary&quot;:false,&quot;legacyDesktopId&quot;:&quot;eb2a74b0-eb55-47ff-bf3b-a73969078479&quot;},{&quot;id&quot;:&quot;dde2e68e-76ff-5307-9cc6-e3924c090114&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dde2e68e-76ff-5307-9cc6-e3924c090114&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ca416486-2662-466e-a54b-ae3117ac1562&quot;,&quot;http://www.mendeley.com/documents/?uuid=8a2c19d5-798c-492f-bc77-880ab90a4ad7&quot;],&quot;isTemporary&quot;:false,&quot;legacyDesktopId&quot;:&quot;ca416486-2662-466e-a54b-ae3117ac1562&quot;}]},{&quot;citationID&quot;:&quot;MENDELEY_CITATION_28c888f2-300f-4361-8ca4-e914d87a1af5&quot;,&quot;properties&quot;:{&quot;noteIndex&quot;:0},&quot;isEdited&quot;:false,&quot;manualOverride&quot;:{&quot;citeprocText&quot;:&quot;[93]&quot;,&quot;isManuallyOverridden&quot;:false,&quot;manualOverrideText&quot;:&quot;&quot;},&quot;citationTag&quot;:&quot;MENDELEY_CITATION_v3_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&quot;,&quot;citationItems&quot;:[{&quot;id&quot;:&quot;96d3a40e-ad87-5617-bd5e-53bf4a297a4c&quot;,&quot;itemData&quot;:{&quot;DOI&quot;:&quot;10.3791/53258&quot;,&quot;ISSN&quot;:&quot;1940087X&quot;,&quot;PMID&quot;:&quot;26485169&quot;,&quot;abstract&quot;:&quot;Exercise results in an increase in core body temperature (Tc), which may reduce exercise performance and eventually can lead to the development of heat-related disorders. Therefore, accurate measurement of Tc during exercise is of great importance, especially in athletes who have to perform in challenging ambient conditions. In the current literature a number of methods have been described to measure the Tc (esophageal, external tympanic membrane, mouth or rectum). However, these methods are suboptimal to measure Tc during exercise since they are invasive, have a slow response or are influenced by environmental conditions. Studies described the use of an ingestible telemetric temperature pill as a reliable and valid method to assess gastrointestinal temperature (Tgi), which is a representative measurement of Tc. Therefore, the goal of this study was to provide a detailed description of the measurement of Tgi using an ingestible telemetric temperature pill. This study addresses important methodological factors that must be taken into account for an accurate measurement. It is recommended to read the instructions carefully in order to ensure that the ingestible telemetric temperature pill is a reliable method to assess Tgi at rest and during exercise.&quot;,&quot;author&quot;:[{&quot;dropping-particle&quot;:&quot;&quot;,&quot;family&quot;:&quot;Bongers&quot;,&quot;given&quot;:&quot;Coen C.W.G.&quot;,&quot;non-dropping-particle&quot;:&quot;&quot;,&quot;parse-names&quot;:false,&quot;suffix&quot;:&quot;&quot;},{&quot;dropping-particle&quot;:&quot;&quot;,&quot;family&quot;:&quot;Hopman&quot;,&quot;given&quot;:&quot;Maria T.E.&quot;,&quot;non-dropping-particle&quot;:&quot;&quot;,&quot;parse-names&quot;:false,&quot;suffix&quot;:&quot;&quot;},{&quot;dropping-particle&quot;:&quot;&quot;,&quot;family&quot;:&quot;Eijsvogels&quot;,&quot;given&quot;:&quot;Thijs M.H.&quot;,&quot;non-dropping-particle&quot;:&quot;&quot;,&quot;parse-names&quot;:false,&quot;suffix&quot;:&quot;&quot;}],&quot;container-title&quot;:&quot;Journal of Visualized Experiments&quot;,&quot;id&quot;:&quot;96d3a40e-ad87-5617-bd5e-53bf4a297a4c&quot;,&quot;issue&quot;:&quot;104&quot;,&quot;issued&quot;:{&quot;date-parts&quot;:[[&quot;2015&quot;]]},&quot;page&quot;:&quot;1-9&quot;,&quot;title&quot;:&quot;Using an ingestible telemetric temperature pill to assess gastrointestinal temperature during exercise&quot;,&quot;type&quot;:&quot;article-journal&quot;,&quot;volume&quot;:&quot;2015&quot;,&quot;container-title-short&quot;:&quot;&quot;},&quot;uris&quot;:[&quot;http://www.mendeley.com/documents/?uuid=eb2a74b0-eb55-47ff-bf3b-a73969078479&quot;],&quot;isTemporary&quot;:false,&quot;legacyDesktopId&quot;:&quot;eb2a74b0-eb55-47ff-bf3b-a73969078479&quot;}]},{&quot;citationID&quot;:&quot;MENDELEY_CITATION_7ff97640-1aee-418b-a7f3-9012f7f6c692&quot;,&quot;properties&quot;:{&quot;noteIndex&quot;:0},&quot;isEdited&quot;:false,&quot;manualOverride&quot;:{&quot;citeprocText&quot;:&quot;[95]&quot;,&quot;isManuallyOverridden&quot;:false,&quot;manualOverrideText&quot;:&quot;&quot;},&quot;citationTag&quot;:&quot;MENDELEY_CITATION_v3_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&quot;,&quot;citationItems&quot;:[{&quot;id&quot;:&quot;5c17f09e-0851-521e-8caa-ec0c6960b8d6&quot;,&quot;itemData&quot;:{&quot;DOI&quot;:&quot;10.1136/bjsm.2006.026344&quot;,&quot;ISSN&quot;:&quot;03063674&quot;,&quot;PMID&quot;:&quot;17178778&quot;,&quot;abstract&quot;:&quot;An ingestible telemetric temperature sensor for measuring body core temperature (Tc) was first described 45 years ago, although the method has only recently gained widespread use for exercise applications. This review aims to (1) use Bland and Altaian's limits of agreement (LoA) method as a basis for quantitatively reviewing the agreement between intestinal sensor temperature (Tintestinal), oesophageal temperature (T oesophageal) and rectal temperature (Trectal) across numerous previously published validation studies; (2) review factors that may affect agreement; and (3) review the application of this technology in field-based exercise studies. The agreement between Tintestinal and Toesophageal is suggested to meet our delimitation for an acceptable level of agreement (ie, systematic bias &lt;0.1°C and 95% LoA within ±0.4°C). The agreement between Tintestinal and T rectal shows a significant systematic bias &gt;0.1°C, although the 95% LoA is acceptable. Tintestinal responds less rapidly than Toesophageal at the start or cessation of exercise or to a change in exercise intensity, but more rapidly than Trectal. When using this technology, care should be taken to ensure adequate control over sensor calibration and data correction, timing of ingestion and electromagnetic interference. The ingestible sensor has been applied successfully in numerous sport and occupational applications such as the continuous measurement of T c in deep sea saturation divers, distance runners and soldiers undertaking sustained military training exercises. It is concluded that the ingestible telemetric temperature sensor represents a valid index of T c and shows excellent utility for ambulatory field-based applications.&quot;,&quot;author&quot;:[{&quot;dropping-particle&quot;:&quot;&quot;,&quot;family&quot;:&quot;Byrne&quot;,&quot;given&quot;:&quot;Christopher&quot;,&quot;non-dropping-particle&quot;:&quot;&quot;,&quot;parse-names&quot;:false,&quot;suffix&quot;:&quot;&quot;},{&quot;dropping-particle&quot;:&quot;&quot;,&quot;family&quot;:&quot;Lim&quot;,&quot;given&quot;:&quot;Chin Leong&quot;,&quot;non-dropping-particle&quot;:&quot;&quot;,&quot;parse-names&quot;:false,&quot;suffix&quot;:&quot;&quot;}],&quot;container-title&quot;:&quot;British Journal of Sports Medicine&quot;,&quot;id&quot;:&quot;5c17f09e-0851-521e-8caa-ec0c6960b8d6&quot;,&quot;issue&quot;:&quot;3&quot;,&quot;issued&quot;:{&quot;date-parts&quot;:[[&quot;2007&quot;]]},&quot;page&quot;:&quot;126-133&quot;,&quot;title&quot;:&quot;The ingestible telemetric body core temperature sensor: A review of validity and exercise applications&quot;,&quot;type&quot;:&quot;article-journal&quot;,&quot;volume&quot;:&quot;41&quot;,&quot;container-title-short&quot;:&quot;Br. J. Sports Med.&quot;},&quot;uris&quot;:[&quot;http://www.mendeley.com/documents/?uuid=9ceabb0c-d7de-4904-9fc7-e5a4d7544db1&quot;],&quot;isTemporary&quot;:false,&quot;legacyDesktopId&quot;:&quot;9ceabb0c-d7de-4904-9fc7-e5a4d7544db1&quot;}]},{&quot;citationID&quot;:&quot;MENDELEY_CITATION_ad871bd6-87e6-440b-81a8-664563d587f8&quot;,&quot;properties&quot;:{&quot;noteIndex&quot;:0},&quot;isEdited&quot;:false,&quot;manualOverride&quot;:{&quot;citeprocText&quot;:&quot;[22]&quot;,&quot;isManuallyOverridden&quot;:false,&quot;manualOverrideText&quot;:&quot;&quot;},&quot;citationTag&quot;:&quot;MENDELEY_CITATION_v3_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&quot;,&quot;citationItems&quot;:[{&quot;id&quot;:&quot;571a030d-d2b0-53c5-a2bd-979eb2e8f418&quot;,&quot;itemData&quot;:{&quot;ISSN&quot;:&quot;00956562&quot;,&quot;PMID&quot;:&quot;11001349&quot;,&quot;abstract&quot;:&quot;Background: The purpose of this study was to characterize intestinal temperature (Tin) in comparison to esophageal (Tes) and rectal temperature (Tre) during supine exercise. Methods: Seven subjects completed a continuous supine protocol of 20 min of rest, 20 min of cycle exercise at 40% peak oxygen consumption (VO2peak), 20 min of cycle exercise at 65% VO2peak, and 20 min of recovery. Tes, Tre, and Tin were recorded each min. Results: Temperatures were not different after 20 min of rest, but Tes and Tin were greater than Tre at the end of the 40% (Tes: 37.38 ± 0.11; Tin: 37.35 ± 0.06; Tre: 37.20 ± 0.10°C) and 65% VO2peak stages (Tes: 37.83 ± 0.10; Tin: 37.75 ± 0.05; Tre: 37.63 ± 0.08°C). After 20 min of recovery, Tes (37.24 ± 0.011°C) was less than either Tre or Tin, which were not different from each other (Tin: 37.39 ± 0.09; Tre: 37.44 ± 0.09°C). Time to threshold for increased temperature from rest (+0.10°C) for Tes (10.0 ± 1.1 min) was not different from Tin (14.0 ± 1.2 min) but less than Tre (15.7 ± 1.6 min). Time to reach peak temperature was less for Tes (36.6 ± 1.8 min) than Tin (40.6 ± 0.9 min) and Tre (41.4 ± 0.5 min). Similarly, time to a decrease in temperature (-0.10°C) after exercise was less for Tes (3.7 ± 0.4 min) than Tin (7.1 ± 1.5 min) and Tre (10.6 ± 1.9). Conclusions: Measurement of Tin may be an alternative to Tes to measure Tcore specific time points during exercise with an understanding of the slower response of Tin compared with Tes.&quot;,&quot;author&quot;:[{&quot;dropping-particle&quot;:&quot;&quot;,&quot;family&quot;:&quot;Lee&quot;,&quot;given&quot;:&quot;S. M.C.&quot;,&quot;non-dropping-particle&quot;:&quot;&quot;,&quot;parse-names&quot;:false,&quot;suffix&quot;:&quot;&quot;},{&quot;dropping-particle&quot;:&quot;&quot;,&quot;family&quot;:&quot;Jon Williams&quot;,&quot;given&quot;:&quot;W.&quot;,&quot;non-dropping-particle&quot;:&quot;&quot;,&quot;parse-names&quot;:false,&quot;suffix&quot;:&quot;&quot;},{&quot;dropping-particle&quot;:&quot;&quot;,&quot;family&quot;:&quot;Fortney Schneider&quot;,&quot;given&quot;:&quot;S. M.&quot;,&quot;non-dropping-particle&quot;:&quot;&quot;,&quot;parse-names&quot;:false,&quot;suffix&quot;:&quot;&quot;}],&quot;container-title&quot;:&quot;Aviation Space and Environmental Medicine&quot;,&quot;id&quot;:&quot;571a030d-d2b0-53c5-a2bd-979eb2e8f418&quot;,&quot;issue&quot;:&quot;9 I&quot;,&quot;issued&quot;:{&quot;date-parts&quot;:[[&quot;2000&quot;]]},&quot;page&quot;:&quot;939-945&quot;,&quot;title&quot;:&quot;Core temperature measurement during supine exercise: Esophageal, rectal, and intestinal temperatures&quot;,&quot;type&quot;:&quot;article-journal&quot;,&quot;volume&quot;:&quot;71&quot;,&quot;container-title-short&quot;:&quot;Aviat. Space Environ. Med.&quot;},&quot;uris&quot;:[&quot;http://www.mendeley.com/documents/?uuid=7b193364-a598-41c2-a109-52fbddeb5f39&quot;],&quot;isTemporary&quot;:false,&quot;legacyDesktopId&quot;:&quot;7b193364-a598-41c2-a109-52fbddeb5f39&quot;}]},{&quot;citationID&quot;:&quot;MENDELEY_CITATION_b71bbcd1-e5ca-426e-b69e-302bcd87ade3&quot;,&quot;properties&quot;:{&quot;noteIndex&quot;:0},&quot;isEdited&quot;:false,&quot;manualOverride&quot;:{&quot;citeprocText&quot;:&quot;[45,96]&quot;,&quot;isManuallyOverridden&quot;:false,&quot;manualOverrideText&quot;:&quot;&quot;},&quot;citationTag&quot;:&quot;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&quot;,&quot;citationItems&quot;:[{&quot;id&quot;:&quot;6282586d-d761-5107-b90d-c5d795058122&quot;,&quot;itemData&quot;:{&quot;DOI&quot;:&quot;10.1371/journal.pone.0245257&quot;,&quot;ISBN&quot;:&quot;1111111111&quot;,&quot;ISSN&quot;:&quot;19326203&quot;,&quot;PMID&quot;:&quot;33534845&quot;,&quot;abstract&quot;:&quot;Despite the increasing personalization of medicine, surprisingly ~37.0ºC (98.6ºF) continues as the estimate of normal temperature. We investigated between-subject and within-subject thermal variability, whether a significant percentage of individuals have a low mean oral temperature, and whether these differ by sex, age, time of day, ethnicity, body mass index (BMI), or menstrual phase. Oral temperature was measured by Life Brand® Fast-Read Digital Oral Thermometers and sampled 14 times over two weeks, seven morning and seven evening readings. The volunteer sample consisted of 96 adults (42 men, 54 women; 27 couples, 42 singletons), ages 18–67 years. We found sizeable individual differences in body temperature and that the normal temperature of many individuals is considerably lower than 37.0ºC (98.6ºF). Mean temperatures ranged from 35.2ºC (95.4ºF) to 37.4ºC (99.3ºF). The mean temperature across all participants was 36.1ºC (97.0ºF)—lower than most studies have reported, consistent with recent evidence of temperature declining over decades. 77% had mean temperatures at least 0.55ºC (1ºF) lower than 37.0ºC (98.6ºF). Mean temperature did not differ by age, but women had higher temperatures than men, even within a couple with room temperature and warmth of clothing equated. Although oral temperature varied widely across individuals, it showed marked stability within individuals over days. Variability of temperature over days did not differ by sex, but was larger among younger adults. Using 37.0ºC (98.6ºF) as the assumed normal temperature for everyone can result in healthcare professionals failing to detect a serious fever in individuals with a low normal temperature or obtaining false negatives for those individuals when using temperature to screen for COVID-19, mistaking their elevated temperature as normal. Some have called for lowering the estimate of normal temperature slightly (e.g., 0.2ºC [0.36ºF]). That still seems an overly high estimate. More important, using any standardized “normal” temperature will lead to errors for many people. Individual differences are simply too great. Personalizing body temperature is needed. Temperature could be measured at yearly doctor visits, as blood pressure is now. That would be simple to implement. Since our results show marked thermal stability within an individual, sampling temperature only once yearly could provide an accurate indication of a person’s normal temperature at that time of day. Such records over t…&quot;,&quot;author&quot;:[{&quot;dropping-particle&quot;:&quot;&quot;,&quot;family&quot;:&quot;Diamond&quot;,&quot;given&quot;:&quot;Adele&quot;,&quot;non-dropping-particle&quot;:&quot;&quot;,&quot;parse-names&quot;:false,&quot;suffix&quot;:&quot;&quot;},{&quot;dropping-particle&quot;:&quot;&quot;,&quot;family&quot;:&quot;Lye&quot;,&quot;given&quot;:&quot;Carolyn T.&quot;,&quot;non-dropping-particle&quot;:&quot;&quot;,&quot;parse-names&quot;:false,&quot;suffix&quot;:&quot;&quot;},{&quot;dropping-particle&quot;:&quot;&quot;,&quot;family&quot;:&quot;Prasad&quot;,&quot;given&quot;:&quot;Deepali&quot;,&quot;non-dropping-particle&quot;:&quot;&quot;,&quot;parse-names&quot;:false,&quot;suffix&quot;:&quot;&quot;},{&quot;dropping-particle&quot;:&quot;&quot;,&quot;family&quot;:&quot;Abbott&quot;,&quot;given&quot;:&quot;David&quot;,&quot;non-dropping-particle&quot;:&quot;&quot;,&quot;parse-names&quot;:false,&quot;suffix&quot;:&quot;&quot;}],&quot;container-title&quot;:&quot;PLoS ONE&quot;,&quot;id&quot;:&quot;6282586d-d761-5107-b90d-c5d795058122&quot;,&quot;issue&quot;:&quot;2 February&quot;,&quot;issued&quot;:{&quot;date-parts&quot;:[[&quot;2021&quot;]]},&quot;page&quot;:&quot;1-13&quot;,&quot;title&quot;:&quot;One size does not fit all: Assuming the same normal body temperature for everyone is not justified&quot;,&quot;type&quot;:&quot;article-journal&quot;,&quot;volume&quot;:&quot;16&quot;,&quot;container-title-short&quot;:&quot;PLoS One&quot;},&quot;uris&quot;:[&quot;http://www.mendeley.com/documents/?uuid=657db3c8-bda5-4c5b-9e3d-051dc65a32bf&quot;],&quot;isTemporary&quot;:false,&quot;legacyDesktopId&quot;:&quot;657db3c8-bda5-4c5b-9e3d-051dc65a32bf&quot;},{&quot;id&quot;:&quot;ca2a4b6f-ab3f-526b-8965-1f419035bcff&quot;,&quot;itemData&quot;:{&quot;DOI&quot;:&quot;10.1001/jama.1992.03490120092034&quot;,&quot;ISSN&quot;:&quot;15383598&quot;,&quot;PMID&quot;:&quot;1302471&quot;,&quot;abstract&quot;:&quot;Objective.—To evaluate critically Carl Wunderlich’s axioms on clinical thermometry. Design.—Descriptive analysis of baseline oral temperature data from volunteers participating in Shigella vaccine trials conducted at the University of Maryland Center for Vaccine Development, Baltimore. Setting.—Inpatient clinical research unit. Participants.—One hundred forty-eight healthy men and women aged 18 through 40 years. Main Measurements.—Oral temperatures were measured one to four times daily for 3 consecutive days using an electronic digital thermometer. Results.—Our findings conflicted with Wunderlich’s in that 36.8°C (98.2°F) rather than 37.0°C (98.6°F) was the mean oral temperature of our subjects; 37.7°C (99.9°F) rather than 38.0°C (100.4°F) was the upper limit of the normal temperature range; maximum temperatures, like mean temperatures, varied with time of day; and men and women exhibited comparable thermal variability. Our data corroborated Wunderlich’s in that mean temperature varied diurnally, with a 6 AM nadir, a 4 to 6 PM zenith, and a mean amplitude of variability of 0.5°C (0.9°F); women had slightly higher normal temperatures than men; and there was a trend toward higher temperatures among black than among white subjects. Conclusions.—Thirty-seven degrees centigrade (98.6°F) should be abandoned as a concept relevant to clinical thermometry; 37.2°C (98.9°F) in the early morning and 37.7°C (99.9°F) overall should be regarded as the upper limit of the normal oral temperature range in healthy adults aged 40 years or younger, and several of Wunderlich’s other cherished dictums should be revised. © 1992, American Medical Association. All rights reserved.&quot;,&quot;author&quot;:[{&quot;dropping-particle&quot;:&quot;&quot;,&quot;family&quot;:&quot;Mackowiak&quot;,&quot;given&quot;:&quot;Philip A.&quot;,&quot;non-dropping-particle&quot;:&quot;&quot;,&quot;parse-names&quot;:false,&quot;suffix&quot;:&quot;&quot;},{&quot;dropping-particle&quot;:&quot;&quot;,&quot;family&quot;:&quot;Wasserman&quot;,&quot;given&quot;:&quot;Steven S.&quot;,&quot;non-dropping-particle&quot;:&quot;&quot;,&quot;parse-names&quot;:false,&quot;suffix&quot;:&quot;&quot;},{&quot;dropping-particle&quot;:&quot;&quot;,&quot;family&quot;:&quot;Levine&quot;,&quot;given&quot;:&quot;Myron M.&quot;,&quot;non-dropping-particle&quot;:&quot;&quot;,&quot;parse-names&quot;:false,&quot;suffix&quot;:&quot;&quot;}],&quot;container-title&quot;:&quot;JAMA: The Journal of the American Medical Association&quot;,&quot;id&quot;:&quot;ca2a4b6f-ab3f-526b-8965-1f419035bcff&quot;,&quot;issue&quot;:&quot;12&quot;,&quot;issued&quot;:{&quot;date-parts&quot;:[[&quot;1992&quot;]]},&quot;page&quot;:&quot;1578-1580&quot;,&quot;title&quot;:&quot;A Critical Appraisal of 98.6°F, the Upper Limit of the Normal Body Temperature, and Other Legacies of Carl Reinhold August Wunderlich&quot;,&quot;type&quot;:&quot;article-journal&quot;,&quot;volume&quot;:&quot;268&quot;,&quot;container-title-short&quot;:&quot;&quot;},&quot;uris&quot;:[&quot;http://www.mendeley.com/documents/?uuid=8b601eb6-3d58-4382-97d6-17732893abf0&quot;],&quot;isTemporary&quot;:false,&quot;legacyDesktopId&quot;:&quot;8b601eb6-3d58-4382-97d6-17732893abf0&quot;}]},{&quot;citationID&quot;:&quot;MENDELEY_CITATION_7b7598d5-d290-42c9-b549-9daee4c60a6c&quot;,&quot;properties&quot;:{&quot;noteIndex&quot;:0},&quot;isEdited&quot;:false,&quot;manualOverride&quot;:{&quot;citeprocText&quot;:&quot;[63]&quot;,&quot;isManuallyOverridden&quot;:false,&quot;manualOverrideText&quot;:&quot;&quot;},&quot;citationTag&quot;:&quot;MENDELEY_CITATION_v3_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&quot;,&quot;citationItems&quot;:[{&quot;id&quot;:&quot;29f283b8-7d5d-526c-b636-ad4ebc8a5f2a&quot;,&quot;itemData&quot;:{&quot;DOI&quot;:&quot;10.1152/physrev.00038.2020&quot;,&quot;ISSN&quot;:&quot;15221210&quot;,&quot;PMID&quot;:&quot;33829868&quot;,&quot;abstract&quot;:&quot;A rise in body core temperature and loss of body water via sweating are natural consequences of prolonged exercise in the heat. This review provides a comprehensive and integrative overview of how the human body responds to exercise under heat stress and the countermeasures that can be adopted to enhance aerobic performance under such environmental conditions. The fundamental concepts and physiological processes associated with thermoregulation and fluid balance are initially described, followed by a summary of methods to determine thermal strain and hydration status. An outline is provided on how exercise-heat stress disrupts these homeostatic processes, leading to hyperthermia, hypohydration, sodium disturbances, and in some cases exertional heat illness. The impact of heat stress on human performance is also examined, including the underlying physiological mechanisms that mediate the impairment of exercise performance. Similarly, the influence of hydration status on performance in the heat and how systemic and peripheral hemodynamic adjustments contribute to fatigue development is elucidated. This review also discusses strategies to mitigate the effects of hyperthermia and hypohydration on exercise performance in the heat by examining the benefits of heat acclimation, cooling strategies, and hyperhydration. Finally, contemporary controversies are summarized and future research directions are provided.&quot;,&quot;author&quot;:[{&quot;dropping-particle&quot;:&quot;&quot;,&quot;family&quot;:&quot;Périard&quot;,&quot;given&quot;:&quot;Julien D.&quot;,&quot;non-dropping-particle&quot;:&quot;&quot;,&quot;parse-names&quot;:false,&quot;suffix&quot;:&quot;&quot;},{&quot;dropping-particle&quot;:&quot;&quot;,&quot;family&quot;:&quot;Eijsvogels&quot;,&quot;given&quot;:&quot;Thijs M.H.&quot;,&quot;non-dropping-particle&quot;:&quot;&quot;,&quot;parse-names&quot;:false,&quot;suffix&quot;:&quot;&quot;},{&quot;dropping-particle&quot;:&quot;&quot;,&quot;family&quot;:&quot;Daanen&quot;,&quot;given&quot;:&quot;Hein A.M.&quot;,&quot;non-dropping-particle&quot;:&quot;&quot;,&quot;parse-names&quot;:false,&quot;suffix&quot;:&quot;&quot;}],&quot;container-title&quot;:&quot;Physiological Reviews&quot;,&quot;id&quot;:&quot;29f283b8-7d5d-526c-b636-ad4ebc8a5f2a&quot;,&quot;issue&quot;:&quot;4&quot;,&quot;issued&quot;:{&quot;date-parts&quot;:[[&quot;2021&quot;,&quot;10&quot;]]},&quot;page&quot;:&quot;1873-1979&quot;,&quot;publisher&quot;:&quot;American Physiological Society&quot;,&quot;title&quot;:&quot;Exercise under heat stress: Thermoregulation, hydration, performance implications, and mitigation strategies&quot;,&quot;type&quot;:&quot;article&quot;,&quot;volume&quot;:&quot;101&quot;,&quot;container-title-short&quot;:&quot;Physiol. Rev.&quot;},&quot;uris&quot;:[&quot;http://www.mendeley.com/documents/?uuid=ecd04911-556f-4a22-ac8d-1fd67b07ad28&quot;],&quot;isTemporary&quot;:false,&quot;legacyDesktopId&quot;:&quot;ecd04911-556f-4a22-ac8d-1fd67b07ad28&quot;}]},{&quot;citationID&quot;:&quot;MENDELEY_CITATION_7552be08-a0d5-42ed-899a-67a2f5a290a1&quot;,&quot;properties&quot;:{&quot;noteIndex&quot;:0},&quot;isEdited&quot;:false,&quot;manualOverride&quot;:{&quot;citeprocText&quot;:&quot;[97]&quot;,&quot;isManuallyOverridden&quot;:false,&quot;manualOverrideText&quot;:&quot;&quot;},&quot;citationTag&quot;:&quot;MENDELEY_CITATION_v3_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&quot;,&quot;citationItems&quot;:[{&quot;id&quot;:&quot;fe7368f1-afac-542b-b48e-e4063e6eba40&quot;,&quot;itemData&quot;:{&quot;DOI&quot;:&quot;10.1080/02656736.2021.1875060&quot;,&quot;ISSN&quot;:&quot;14645157&quot;,&quot;PMID&quot;:&quot;33627018&quot;,&quot;abstract&quot;:&quot;Background: Thermal dose in clinical hyperthermia reported as cumulative equivalent minutes (CEM) at 43 °C (CEM43) and its variants are based on direct thermal cytotoxicity assuming Arrhenius ‘break’ at 43 °C. An alternative method centered on the actual time–temperature plot during each hyperthermia session and its prognostic feasibility is explored. Methods and materials: Patients with bladder cancer treated with weekly deep hyperthermia followed by radiotherapy were evaluated. From intravesical temperature (T) recordings obtained every 10 secs, the area under the curve (AUC) was computed for each session for T &gt; 37 °C (AUC &gt; 37 °C) and T ≥ 39 °C (AUC ≥ 39 °C). These along with CEM43, CEM43(&gt;37 °C), CEM43(≥39 °C), T mean, T min and T max were evaluated for bladder tumor control. Results: Seventy-four hyperthermia sessions were delivered in 18 patients (median: 4 sessions/patient). Two patients failed in the bladder. For both individual and summated hyperthermia sessions, the T mean, CEM43, CEM43(&gt;37 °C), CEM43(≥39 °C), AUC &gt; 37 °C and AUC ≥ 39 °C were significantly lower in patients who had a local relapse. Individual AUC ≥ 39 °C for patients with/without local bladder failure were 105.9 ± 58.3 °C-min and 177.9 ± 58.0 °C-min, respectively (p = 0.01). Corresponding summated AUC ≥ 39 °C were 423.7 ± 27.8 °C-min vs. 734.1 ± 194.6 °C-min (p &lt; 0.001), respectively. The median AUC ≥ 39 °C for each hyperthermia session in patients with bladder tumor control was 190 °C-min. Conclusion: AUC ≥ 39 °C for each hyperthermia session represents the cumulative time–temperature distribution at clinically defined moderate hyperthermia in the range of 39 °C to 45 °C. It is a simple, mathematically computable parameter without any prior assumptions and appears to predict treatment outcome as evident from this study. However, its predictive ability as a thermal dose parameter merits further evaluation in a larger patient cohort.&quot;,&quot;author&quot;:[{&quot;dropping-particle&quot;:&quot;&quot;,&quot;family&quot;:&quot;Datta&quot;,&quot;given&quot;:&quot;Niloy R.&quot;,&quot;non-dropping-particle&quot;:&quot;&quot;,&quot;parse-names&quot;:false,&quot;suffix&quot;:&quot;&quot;},{&quot;dropping-particle&quot;:&quot;&quot;,&quot;family&quot;:&quot;Marder&quot;,&quot;given&quot;:&quot;Dietmar&quot;,&quot;non-dropping-particle&quot;:&quot;&quot;,&quot;parse-names&quot;:false,&quot;suffix&quot;:&quot;&quot;},{&quot;dropping-particle&quot;:&quot;&quot;,&quot;family&quot;:&quot;Datta&quot;,&quot;given&quot;:&quot;Sneha&quot;,&quot;non-dropping-particle&quot;:&quot;&quot;,&quot;parse-names&quot;:false,&quot;suffix&quot;:&quot;&quot;},{&quot;dropping-particle&quot;:&quot;&quot;,&quot;family&quot;:&quot;Meister&quot;,&quot;given&quot;:&quot;Andreas&quot;,&quot;non-dropping-particle&quot;:&quot;&quot;,&quot;parse-names&quot;:false,&quot;suffix&quot;:&quot;&quot;},{&quot;dropping-particle&quot;:&quot;&quot;,&quot;family&quot;:&quot;Puric&quot;,&quot;given&quot;:&quot;Emsad&quot;,&quot;non-dropping-particle&quot;:&quot;&quot;,&quot;parse-names&quot;:false,&quot;suffix&quot;:&quot;&quot;},{&quot;dropping-particle&quot;:&quot;&quot;,&quot;family&quot;:&quot;Stutz&quot;,&quot;given&quot;:&quot;Emanuel&quot;,&quot;non-dropping-particle&quot;:&quot;&quot;,&quot;parse-names&quot;:false,&quot;suffix&quot;:&quot;&quot;},{&quot;dropping-particle&quot;:&quot;&quot;,&quot;family&quot;:&quot;Rogers&quot;,&quot;given&quot;:&quot;Susanne&quot;,&quot;non-dropping-particle&quot;:&quot;&quot;,&quot;parse-names&quot;:false,&quot;suffix&quot;:&quot;&quot;},{&quot;dropping-particle&quot;:&quot;&quot;,&quot;family&quot;:&quot;Eberle&quot;,&quot;given&quot;:&quot;Brigitte&quot;,&quot;non-dropping-particle&quot;:&quot;&quot;,&quot;parse-names&quot;:false,&quot;suffix&quot;:&quot;&quot;},{&quot;dropping-particle&quot;:&quot;&quot;,&quot;family&quot;:&quot;Timm&quot;,&quot;given&quot;:&quot;Olaf&quot;,&quot;non-dropping-particle&quot;:&quot;&quot;,&quot;parse-names&quot;:false,&quot;suffix&quot;:&quot;&quot;},{&quot;dropping-particle&quot;:&quot;&quot;,&quot;family&quot;:&quot;Staruch&quot;,&quot;given&quot;:&quot;Michal&quot;,&quot;non-dropping-particle&quot;:&quot;&quot;,&quot;parse-names&quot;:false,&quot;suffix&quot;:&quot;&quot;},{&quot;dropping-particle&quot;:&quot;&quot;,&quot;family&quot;:&quot;Riesterer&quot;,&quot;given&quot;:&quot;Oliver&quot;,&quot;non-dropping-particle&quot;:&quot;&quot;,&quot;parse-names&quot;:false,&quot;suffix&quot;:&quot;&quot;},{&quot;dropping-particle&quot;:&quot;&quot;,&quot;family&quot;:&quot;Bodis&quot;,&quot;given&quot;:&quot;Stephan&quot;,&quot;non-dropping-particle&quot;:&quot;&quot;,&quot;parse-names&quot;:false,&quot;suffix&quot;:&quot;&quot;}],&quot;container-title&quot;:&quot;International Journal of Hyperthermia&quot;,&quot;id&quot;:&quot;fe7368f1-afac-542b-b48e-e4063e6eba40&quot;,&quot;issue&quot;:&quot;1&quot;,&quot;issued&quot;:{&quot;date-parts&quot;:[[&quot;2021&quot;]]},&quot;page&quot;:&quot;296-307&quot;,&quot;publisher&quot;:&quot;Taylor &amp; Francis&quot;,&quot;title&quot;:&quot;Quantification of thermal dose in moderate clinical hyperthermia with radiotherapy: a relook using temperature–time area under the curve (AUC)&quot;,&quot;type&quot;:&quot;article-journal&quot;,&quot;volume&quot;:&quot;38&quot;,&quot;container-title-short&quot;:&quot;&quot;},&quot;uris&quot;:[&quot;http://www.mendeley.com/documents/?uuid=aeaed975-9e40-4f62-bb43-ded7c6139c85&quot;],&quot;isTemporary&quot;:false,&quot;legacyDesktopId&quot;:&quot;aeaed975-9e40-4f62-bb43-ded7c6139c85&quot;}]},{&quot;citationID&quot;:&quot;MENDELEY_CITATION_dd867a08-70cd-459e-a69b-b432f942a2b7&quot;,&quot;properties&quot;:{&quot;noteIndex&quot;:0},&quot;isEdited&quot;:false,&quot;manualOverride&quot;:{&quot;citeprocText&quot;:&quot;[4,98]&quot;,&quot;isManuallyOverridden&quot;:false,&quot;manualOverrideText&quot;:&quot;&quot;},&quot;citationTag&quot;:&quot;MENDELEY_CITATION_v3_eyJjaXRhdGlvbklEIjoiTUVOREVMRVlfQ0lUQVRJT05fZGQ4NjdhMDgtNzBjZC00NTllLWE2OWItYjQzMmY5NDJhMmI3IiwicHJvcGVydGllcyI6eyJub3RlSW5kZXgiOjB9LCJpc0VkaXRlZCI6ZmFsc2UsIm1hbnVhbE92ZXJyaWRlIjp7ImNpdGVwcm9jVGV4dCI6Ils0LDk4X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&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b839d0bb-ec05-57e2-aded-c46b15353ade&quot;,&quot;itemData&quot;:{&quot;DOI&quot;:&quot;10.1533/9781845692261.3.560&quot;,&quot;abstract&quot;:&quot;What is Cronbach's Alpha? - Explained Simply&quot;,&quot;author&quot;:[{&quot;dropping-particle&quot;:&quot;&quot;,&quot;family&quot;:&quot;Arens&quot;,&quot;given&quot;:&quot;E.&quot;,&quot;non-dropping-particle&quot;:&quot;&quot;,&quot;parse-names&quot;:false,&quot;suffix&quot;:&quot;&quot;},{&quot;dropping-particle&quot;:&quot;&quot;,&quot;family&quot;:&quot;Zhang&quot;,&quot;given&quot;:&quot;H.&quot;,&quot;non-dropping-particle&quot;:&quot;&quot;,&quot;parse-names&quot;:false,&quot;suffix&quot;:&quot;&quot;}],&quot;container-title&quot;:&quot;Thermal and Moisture Transport in Fibrous Materials&quot;,&quot;id&quot;:&quot;b839d0bb-ec05-57e2-aded-c46b15353ade&quot;,&quot;issued&quot;:{&quot;date-parts&quot;:[[&quot;2006&quot;]]},&quot;page&quot;:&quot;560-602&quot;,&quot;publisher&quot;:&quot;Elsevier&quot;,&quot;title&quot;:&quot;The skin’s role in human thermoregulation and comfort&quot;,&quot;type&quot;:&quot;chapter&quot;,&quot;container-title-short&quot;:&quot;&quot;},&quot;uris&quot;:[&quot;http://www.mendeley.com/documents/?uuid=93317730-bbee-407b-a398-7f5ec0db0af2&quot;],&quot;isTemporary&quot;:false,&quot;legacyDesktopId&quot;:&quot;93317730-bbee-407b-a398-7f5ec0db0af2&quot;}]},{&quot;citationID&quot;:&quot;MENDELEY_CITATION_0c4fa882-4242-4abb-8928-dc394d88a204&quot;,&quot;properties&quot;:{&quot;noteIndex&quot;:0},&quot;isEdited&quot;:false,&quot;manualOverride&quot;:{&quot;citeprocText&quot;:&quot;[6]&quot;,&quot;isManuallyOverridden&quot;:false,&quot;manualOverrideText&quot;:&quot;&quot;},&quot;citationTag&quot;:&quot;MENDELEY_CITATION_v3_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&quot;,&quot;citationItems&quot;:[{&quot;id&quot;:&quot;bd566231-080d-5e8b-be53-d4c3fd0ac24f&quot;,&quot;itemData&quot;:{&quot;DOI&quot;:&quot;10.1002/j.2040-4603.2014.tb00547.x&quot;,&quot;ISSN&quot;:&quot;2040-4603&quot;,&quot;abstract&quot;:&quo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quot;,&quot;author&quot;:[{&quot;dropping-particle&quot;:&quot;&quot;,&quot;family&quot;:&quot;Taylor&quot;,&quot;given&quot;:&quot;Nigel A.S.&quot;,&quot;non-dropping-particle&quot;:&quot;&quot;,&quot;parse-names&quot;:false,&quot;suffix&quot;:&quot;&quot;}],&quot;container-title&quot;:&quot;Comprehensive Physiology&quot;,&quot;id&quot;:&quot;bd566231-080d-5e8b-be53-d4c3fd0ac24f&quot;,&quot;issue&quot;:&quot;1&quot;,&quot;issued&quot;:{&quot;date-parts&quot;:[[&quot;2014&quot;,&quot;1&quot;]]},&quot;page&quot;:&quot;325-365&quot;,&quot;title&quot;:&quot;Human Heat Adaptation&quot;,&quot;type&quot;:&quot;article-journal&quot;,&quot;volume&quot;:&quot;4&quot;,&quot;container-title-short&quot;:&quot;Compr. Physiol.&quot;},&quot;uris&quot;:[&quot;http://www.mendeley.com/documents/?uuid=f61a0bcf-96ea-4dba-acd7-edddd6f5b7c8&quot;],&quot;isTemporary&quot;:false,&quot;legacyDesktopId&quot;:&quot;f61a0bcf-96ea-4dba-acd7-edddd6f5b7c8&quot;}]},{&quot;citationID&quot;:&quot;MENDELEY_CITATION_7dcca48d-4e6d-4b76-beec-7249300ba36e&quot;,&quot;properties&quot;:{&quot;noteIndex&quot;:0},&quot;isEdited&quot;:false,&quot;manualOverride&quot;:{&quot;citeprocText&quot;:&quot;[8,99,100]&quot;,&quot;isManuallyOverridden&quot;:false,&quot;manualOverrideText&quot;:&quot;&quot;},&quot;citationTag&quot;:&quot;MENDELEY_CITATION_v3_eyJjaXRhdGlvbklEIjoiTUVOREVMRVlfQ0lUQVRJT05fN2RjY2E0OGQtNGU2ZC00Yjc2LWJlZWMtNzI0OTMwMGJhMzZlIiwicHJvcGVydGllcyI6eyJub3RlSW5kZXgiOjB9LCJpc0VkaXRlZCI6ZmFsc2UsIm1hbnVhbE92ZXJyaWRlIjp7ImNpdGVwcm9jVGV4dCI6Ils4LDk5LDEwMF0iLCJpc01hbnVhbGx5T3ZlcnJpZGRlbiI6ZmFsc2UsIm1hbnVhbE92ZXJyaWRlVGV4dCI6IiJ9LCJjaXRhdGlvbkl0ZW1zIjpb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&quot;,&quot;citationItems&quot;:[{&quot;id&quot;:&quot;615db002-d800-58e2-8c38-7f41e42fae3c&quot;,&quot;itemData&quot;:{&quot;DOI&quot;:&quot;10.1007/BF00592198&quot;,&quot;ISSN&quot;:&quot;14322013&quot;,&quot;PMID&quot;:&quot;4735965&quot;,&quot;abstract&quot;:&quot;Thermal irradiation was applied to selected skin areas to determine whether particular areas demonstrate a greater thermal sensitivity than others in determination of a physiological thermoregulatory response. Modifications in thigh sweating rate were related to the change in temperature of the irradiated skin and the area of skin irradiated by computing a sensitivity coefficient for each skin area. Thermal sensitivity of the face, as measured by its effect on sweating rate change from the thigh, was found to be approximately three times that of the chest, abdomen men and thigh. Lower legs were found to have about one-half the thermal sensitivity of the thigh. A table of weighting factors for calculation of physiological mean skin temperature, based upon thermal sensitivity and area, is presented. © 1973, Springer-Verlag. All rights reserved.&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tolwijk&quot;,&quot;given&quot;:&quot;J. A.J.&quot;,&quot;non-dropping-particle&quot;:&quot;&quot;,&quot;parse-names&quot;:false,&quot;suffix&quot;:&quot;&quot;}],&quot;container-title&quot;:&quot;Pflügers Archiv: European Journal of Physiology&quot;,&quot;id&quot;:&quot;615db002-d800-58e2-8c38-7f41e42fae3c&quot;,&quot;issue&quot;:&quot;1&quot;,&quot;issued&quot;:{&quot;date-parts&quot;:[[&quot;1973&quot;]]},&quot;page&quot;:&quot;71-76&quot;,&quot;title&quot;:&quot;Differential thermal sensitivity in the human skin&quot;,&quot;type&quot;:&quot;article-journal&quot;,&quot;volume&quot;:&quot;340&quot;,&quot;container-title-short&quot;:&quot;Pflugers Arch.&quot;},&quot;uris&quot;:[&quot;http://www.mendeley.com/documents/?uuid=03bae1c7-ae8a-46a8-a13e-fe87323367bf&quot;],&quot;isTemporary&quot;:false,&quot;legacyDesktopId&quot;:&quot;03bae1c7-ae8a-46a8-a13e-fe87323367bf&quot;},{&quot;id&quot;:&quot;fcbbffcb-dcd7-5e95-9552-8c099c9a42ab&quot;,&quot;itemData&quot;:{&quot;DOI&quot;:&quot;10.1007/s00421-004-1137-y&quot;,&quot;ISSN&quot;:&quot;14396319&quot;,&quot;PMID&quot;:&quot;15221406&quot;,&quot;abstract&quot;:&quot;Most existing thermal comfort models are applicable only to steady-state, uniform thermal environments. This paper presents summary results from 109 human tests that were performed under non-uniform and transient conditions. In these tests, local body areas were independently heated or cooled while the rest of the body was exposed to a warm, neutral or cool environment. Skin temperatures, core temperature, thermal sensation and comfort responses were collected at 1- to 3-min intervals. Based on these tests, we have developed predictive models of local and overall thermal sensation and comfort. © Springer-Verlag 2004.&quot;,&quot;author&quot;:[{&quot;dropping-particle&quot;:&quot;&quot;,&quot;family&quot;:&quot;Zhang&quot;,&quot;given&quot;:&quot;Hui&quot;,&quot;non-dropping-particle&quot;:&quot;&quot;,&quot;parse-names&quot;:false,&quot;suffix&quot;:&quot;&quot;},{&quot;dropping-particle&quot;:&quot;&quot;,&quot;family&quot;:&quot;Huizenga&quot;,&quot;given&quot;:&quot;C.&quot;,&quot;non-dropping-particle&quot;:&quot;&quot;,&quot;parse-names&quot;:false,&quot;suffix&quot;:&quot;&quot;},{&quot;dropping-particle&quot;:&quot;&quot;,&quot;family&quot;:&quot;Arenas&quot;,&quot;given&quot;:&quot;E.&quot;,&quot;non-dropping-particle&quot;:&quot;&quot;,&quot;parse-names&quot;:false,&quot;suffix&quot;:&quot;&quot;},{&quot;dropping-particle&quot;:&quot;&quot;,&quot;family&quot;:&quot;Wang&quot;,&quot;given&quot;:&quot;D.&quot;,&quot;non-dropping-particle&quot;:&quot;&quot;,&quot;parse-names&quot;:false,&quot;suffix&quot;:&quot;&quot;}],&quot;container-title&quot;:&quot;European Journal of Applied Physiology&quot;,&quot;id&quot;:&quot;fcbbffcb-dcd7-5e95-9552-8c099c9a42ab&quot;,&quot;issue&quot;:&quot;6&quot;,&quot;issued&quot;:{&quot;date-parts&quot;:[[&quot;2004&quot;]]},&quot;page&quot;:&quot;728-733&quot;,&quot;title&quot;:&quot;Thermal sensation and comfort in transient non-uniform thermal environments&quot;,&quot;type&quot;:&quot;article-journal&quot;,&quot;volume&quot;:&quot;92&quot;,&quot;container-title-short&quot;:&quot;Eur. J. Appl. Physiol.&quot;},&quot;uris&quot;:[&quot;http://www.mendeley.com/documents/?uuid=7815582b-852a-4899-a927-b652c92c5d00&quot;],&quot;isTemporary&quot;:false,&quot;legacyDesktopId&quot;:&quot;7815582b-852a-4899-a927-b652c92c5d00&quot;},{&quot;id&quot;:&quot;4979e093-0dda-527a-af9f-4fbac2c9d1b7&quot;,&quot;itemData&quot;:{&quot;DOI&quot;:&quot;10.1016/j.physbeh.2014.01.025&quot;,&quot;ISSN&quot;:&quot;1873507X&quot;,&quot;PMID&quot;:&quot;24518871&quot;,&quot;abstract&quot;:&quot;Predicted energy use of dwellings often deviates from the actual energy use. Thermoregulatory behavior of the occupant might explain this difference. Such behavior is influenced by thermal sensation and thermal comfort. These subjective ratings in turn are linked to physiological parameters such as core and skin temperatures. However, it is unclear which physiological parameters best predict thermoregulatory behavior.The objective of this research was to study physiological parameters that potentially can be used to predict thermoregulatory behavior. Sixteen healthy females (18-30years) were exposed to two dynamic temperature protocols: a gradual increase (+4K/h, ranging from 24°C to 32°C) and a gradual decrease in ambient temperature (-4K/h, ranging from 24°C to 16°C). During the experiments physiological responses, thermal sensation, thermal preference and the intention of thermoregulatory behavior were measured. Thermal sensation is highly correlated with thermal preference (r=-0.933, P&lt;0.001). The skin temperature of the wrist best predicts thermal sensation (R2=0.558, P&lt;0.001) and therefore seems useful as a physiological parameter to predict the intention of thermoregulatory behavior. When the subjects are categorized based on their thermal sensation votes, more precise predictions of thermal sensation can be made. This categorization therefore can be of value for the determination of the actual energy use of occupant in dwellings. © 2014 Elsevier Inc.&quot;,&quot;author&quot;:[{&quot;dropping-particle&quot;:&quot;&quot;,&quot;family&quot;:&quot;Jacquot&quot;,&quot;given&quot;:&quot;Christel M.C.&quot;,&quot;non-dropping-particle&quot;:&quot;&quot;,&quot;parse-names&quot;:false,&quot;suffix&quot;:&quot;&quot;},{&quot;dropping-particle&quot;:&quot;&quot;,&quot;family&quot;:&quot;Schellen&quot;,&quot;given&quot;:&quot;Lisje&quot;,&quot;non-dropping-particle&quot;:&quot;&quot;,&quot;parse-names&quot;:false,&quot;suffix&quot;:&quot;&quot;},{&quot;dropping-particle&quot;:&quot;&quot;,&quot;family&quot;:&quot;Kingma&quot;,&quot;given&quot;:&quot;Boris R.&quot;,&quot;non-dropping-particle&quot;:&quot;&quot;,&quot;parse-names&quot;:false,&quot;suffix&quot;:&quot;&quot;},{&quot;dropping-particle&quot;:&quot;&quot;,&quot;family&quot;:&quot;Baak&quot;,&quot;given&quot;:&quot;Marleen A.&quot;,&quot;non-dropping-particle&quot;:&quot;van&quot;,&quot;parse-names&quot;:false,&quot;suffix&quot;:&quot;&quot;},{&quot;dropping-particle&quot;:&quot;&quot;,&quot;family&quot;:&quot;Marken Lichtenbelt&quot;,&quot;given&quot;:&quot;Wouter D.&quot;,&quot;non-dropping-particle&quot;:&quot;Van&quot;,&quot;parse-names&quot;:false,&quot;suffix&quot;:&quot;&quot;}],&quot;container-title&quot;:&quot;Physiology and Behavior&quot;,&quot;id&quot;:&quot;4979e093-0dda-527a-af9f-4fbac2c9d1b7&quot;,&quot;issued&quot;:{&quot;date-parts&quot;:[[&quot;2014&quot;]]},&quot;page&quot;:&quot;180-187&quot;,&quot;publisher&quot;:&quot;Elsevier Inc.&quot;,&quot;title&quot;:&quot;Influence of thermophysiology on thermal behavior: The essentials of categorization&quot;,&quot;type&quot;:&quot;article-journal&quot;,&quot;volume&quot;:&quot;128&quot;,&quot;container-title-short&quot;:&quot;Physiol. Behav.&quot;},&quot;uris&quot;:[&quot;http://www.mendeley.com/documents/?uuid=220b65f5-dcb2-45a5-b9bf-df126c98244f&quot;,&quot;http://www.mendeley.com/documents/?uuid=758774a0-48c5-4201-926a-b1c65c0d2620&quot;],&quot;isTemporary&quot;:false,&quot;legacyDesktopId&quot;:&quot;220b65f5-dcb2-45a5-b9bf-df126c98244f&quot;}]},{&quot;citationID&quot;:&quot;MENDELEY_CITATION_24fd3b4f-a09f-4cde-a628-6f8a62a371db&quot;,&quot;properties&quot;:{&quot;noteIndex&quot;:0},&quot;isEdited&quot;:false,&quot;manualOverride&quot;:{&quot;citeprocText&quot;:&quot;[101,102]&quot;,&quot;isManuallyOverridden&quot;:false,&quot;manualOverrideText&quot;:&quot;&quot;},&quot;citationTag&quot;:&quot;MENDELEY_CITATION_v3_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&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id&quot;:&quot;aff79992-50d0-576c-adbc-ac93bf1e8c0b&quot;,&quot;itemData&quot;:{&quot;DOI&quot;:&quot;10.1007/s00484-013-0669-4&quot;,&quot;ISSN&quot;:&quot;00207128&quot;,&quot;PMID&quot;:&quot;23686110&quot;,&quot;abstract&quot;:&quot;Accurate measurement of skin surface temperature is essential in both thermo-physiological and clinical applications. However, a literature review of the last two decades of physiological or clinical research revealed an inconsistency or a lack of information on how temperature sensors were attached to the skin surface. The purpose of this study was to systematically compare and quantify the performance of different commercially available temperature sensors and their typical attachment methods, and, secondly, to provide a time-efficient and reliable method for testing any sensor-tape combination. In conclusion, both the sensor type and the attachment method influenced the results of temperature measurements (both its absolute and relative dimensions). The sensor shape and the contact of its sensing area to the surface, as well as the conductance of the tape were the most important parameters to minimise the influence of environmental conditions on surface temperature measurement. These results suggest that temperature sensors and attachment methods for human subject and manikin trials should be selected carefully, with a systematic evaluation of the sensor-tape system under conditions of use, and emphasise the need to report these parameters in publications. © 2013 ISB.&quot;,&quot;author&quot;:[{&quot;dropping-particle&quot;:&quot;&quot;,&quot;family&quot;:&quot;Psikuta&quot;,&quot;given&quot;:&quot;Agnes&quot;,&quot;non-dropping-particle&quot;:&quot;&quot;,&quot;parse-names&quot;:false,&quot;suffix&quot;:&quot;&quot;},{&quot;dropping-particle&quot;:&quot;&quot;,&quot;family&quot;:&quot;Niedermann&quot;,&quot;given&quot;:&quot;Reto&quot;,&quot;non-dropping-particle&quot;:&quot;&quot;,&quot;parse-names&quot;:false,&quot;suffix&quot;:&quot;&quot;},{&quot;dropping-particle&quot;:&quot;&quot;,&quot;family&quot;:&quot;Rossi&quot;,&quot;given&quot;:&quot;René M.&quot;,&quot;non-dropping-particle&quot;:&quot;&quot;,&quot;parse-names&quot;:false,&quot;suffix&quot;:&quot;&quot;}],&quot;container-title&quot;:&quot;International Journal of Biometeorology&quot;,&quot;id&quot;:&quot;aff79992-50d0-576c-adbc-ac93bf1e8c0b&quot;,&quot;issue&quot;:&quot;5&quot;,&quot;issued&quot;:{&quot;date-parts&quot;:[[&quot;2014&quot;]]},&quot;page&quot;:&quot;877-885&quot;,&quot;title&quot;:&quot;Effect of ambient temperature and attachment method on surface temperature measurements&quot;,&quot;type&quot;:&quot;article-journal&quot;,&quot;volume&quot;:&quot;58&quot;,&quot;container-title-short&quot;:&quot;Int. J. Biometeorol.&quot;},&quot;uris&quot;:[&quot;http://www.mendeley.com/documents/?uuid=620124c0-502d-4ef9-85de-1dc34462eb4f&quot;],&quot;isTemporary&quot;:false,&quot;legacyDesktopId&quot;:&quot;620124c0-502d-4ef9-85de-1dc34462eb4f&quot;}]},{&quot;citationID&quot;:&quot;MENDELEY_CITATION_636ea602-722d-4b3f-be39-563291089b1c&quot;,&quot;properties&quot;:{&quot;noteIndex&quot;:0},&quot;isEdited&quot;:false,&quot;manualOverride&quot;:{&quot;citeprocText&quot;:&quot;[103]&quot;,&quot;isManuallyOverridden&quot;:false,&quot;manualOverrideText&quot;:&quot;&quot;},&quot;citationTag&quot;:&quot;MENDELEY_CITATION_v3_eyJjaXRhdGlvbklEIjoiTUVOREVMRVlfQ0lUQVRJT05fNjM2ZWE2MDItNzIyZC00YjNmLWJlMzktNTYzMjkxMDg5YjFjIiwicHJvcGVydGllcyI6eyJub3RlSW5kZXgiOjB9LCJpc0VkaXRlZCI6ZmFsc2UsIm1hbnVhbE92ZXJyaWRlIjp7ImNpdGVwcm9jVGV4dCI6IlsxMDNd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quot;,&quot;citationItems&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citationID&quot;:&quot;MENDELEY_CITATION_eb127240-5351-4922-bc64-c793c054369f&quot;,&quot;properties&quot;:{&quot;noteIndex&quot;:0},&quot;isEdited&quot;:false,&quot;manualOverride&quot;:{&quot;citeprocText&quot;:&quot;[104–106]&quot;,&quot;isManuallyOverridden&quot;:false,&quot;manualOverrideText&quot;:&quot;&quot;},&quot;citationTag&quot;:&quot;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quot;,&quot;citationItems&quot;:[{&quot;id&quot;:&quot;04b25606-68b3-5e99-a596-ee51ee2afa10&quot;,&quot;itemData&quot;:{&quot;DOI&quot;:&quot;10.1016/j.physbeh.2006.04.026&quot;,&quot;ISSN&quot;:&quot;00319384&quot;,&quot;PMID&quot;:&quot;16797616&quot;,&quot;abstract&quot;:&quot;Measurements of skin temperatures are often complicated because of the use of wired sensors. This is so in field studies, but also holds for many laboratory conditions. This article describes a wireless temperature system for human skin temperature measurements, i.e. the Thermochron iButton DS1291H. The study deals with validation of the iButton and its application on the human skin, and describes clinical and field measurements. The validation study shows that iButtons have a mean accuracy of - 0.09 °C (- 0.4 °C at most) with a precision of 0.05 °C (0.09 °C at most). These properties can be improved by using calibration. Due to the size of the device the response time is longer than that of conventional sensors, with a τ in water of 19 s. On the human skin under transient conditions the response time is significantly longer, revealing momentary deviations with a magnitude of 1 °C. The use of iButtons has been described in studies on circadian rhythms, sleep and cardiac surgery. With respect to circadian rhythm and sleep research, skin temperature assessment by iButtons is of significant value in laboratory, clinical and home situations. We demonstrate that differences in laboratory and field measurements add to our understanding of thermophysiology under natural living conditions. The advantage of iButtons in surgery research is that they are easy to sterilize and wireless so that they do not hinder the surgical procedure. In conclusion, the application of iButtons is advantageous for measuring skin temperatures in those situations in which wired instruments are unpractical and fast responses are not required. © 2006 Elsevier Inc. All rights reserved.&quot;,&quot;author&quot;:[{&quot;dropping-particle&quot;:&quot;&quot;,&quot;family&quot;:&quot;Marken Lichtenbelt&quot;,&quot;given&quot;:&quot;Wouter D.&quot;,&quot;non-dropping-particle&quot;:&quot;van&quot;,&quot;parse-names&quot;:false,&quot;suffix&quot;:&quot;&quot;},{&quot;dropping-particle&quot;:&quot;&quot;,&quot;family&quot;:&quot;Daanen&quot;,&quot;given&quot;:&quot;Hein A.M.&quot;,&quot;non-dropping-particle&quot;:&quot;&quot;,&quot;parse-names&quot;:false,&quot;suffix&quot;:&quot;&quot;},{&quot;dropping-particle&quot;:&quot;&quot;,&quot;family&quot;:&quot;Wouters&quot;,&quot;given&quot;:&quot;Loek&quot;,&quot;non-dropping-particle&quot;:&quot;&quot;,&quot;parse-names&quot;:false,&quot;suffix&quot;:&quot;&quot;},{&quot;dropping-particle&quot;:&quot;&quot;,&quot;family&quot;:&quot;Fronczek&quot;,&quot;given&quot;:&quot;Rolf&quot;,&quot;non-dropping-particle&quot;:&quot;&quot;,&quot;parse-names&quot;:false,&quot;suffix&quot;:&quot;&quot;},{&quot;dropping-particle&quot;:&quot;&quot;,&quot;family&quot;:&quot;Raymann&quot;,&quot;given&quot;:&quot;Roy J.E.M.&quot;,&quot;non-dropping-particle&quot;:&quot;&quot;,&quot;parse-names&quot;:false,&quot;suffix&quot;:&quot;&quot;},{&quot;dropping-particle&quot;:&quot;&quot;,&quot;family&quot;:&quot;Severens&quot;,&quot;given&quot;:&quot;Natascha M.W.&quot;,&quot;non-dropping-particle&quot;:&quot;&quot;,&quot;parse-names&quot;:false,&quot;suffix&quot;:&quot;&quot;},{&quot;dropping-particle&quot;:&quot;&quot;,&quot;family&quot;:&quot;Someren&quot;,&quot;given&quot;:&quot;Eus J.W.&quot;,&quot;non-dropping-particle&quot;:&quot;Van&quot;,&quot;parse-names&quot;:false,&quot;suffix&quot;:&quot;&quot;}],&quot;container-title&quot;:&quot;Physiology and Behavior&quot;,&quot;id&quot;:&quot;04b25606-68b3-5e99-a596-ee51ee2afa10&quot;,&quot;issue&quot;:&quot;4-5&quot;,&quot;issued&quot;:{&quot;date-parts&quot;:[[&quot;2006&quot;]]},&quot;page&quot;:&quot;489-497&quot;,&quot;title&quot;:&quot;Evaluation of wireless determination of skin temperature using iButtons&quot;,&quot;type&quot;:&quot;article-journal&quot;,&quot;volume&quot;:&quot;88&quot;,&quot;container-title-short&quot;:&quot;Physiol. Behav.&quot;},&quot;uris&quot;:[&quot;http://www.mendeley.com/documents/?uuid=01bc3c42-d5b1-4a01-b9e6-4b45dd84cb3c&quot;],&quot;isTemporary&quot;:false,&quot;legacyDesktopId&quot;:&quot;01bc3c42-d5b1-4a01-b9e6-4b45dd84cb3c&quot;},{&quot;id&quot;:&quot;55016633-e61e-5bba-8792-9be3c5c9f6db&quot;,&quot;itemData&quot;:{&quot;DOI&quot;:&quot;10.1016/j.sleep.2010.12.011&quot;,&quot;ISSN&quot;:&quot;13899457&quot;,&quot;PMID&quot;:&quot;21470909&quot;,&quot;abstract&quot;:&quot;Objective: Changes in core body temperature due to heat transfer through the skin have a major influence on sleep regulation. Traditional measures of skin temperature are often complicated by extensive wiring and are not practical for use in normal living conditions. This review describes studies examining the reliability, validity and utility of the iButton®, a wireless peripheral thermometry device, in sleep/wake research. Methods: A review was conducted of English language literature on the iButton as a measure of circadian body temperature rhythms associated with the sleep/wake cycle. Results: Seven studies of the iButtton as a measure of human body temperature were included. The iButton was found to be a reliable and valid measure of body temperature. Its application to human skin was shown to be comfortable and tolerable with no significant adverse reactions. Distal skin temperatures were negatively correlated with sleep/wake activity, and the temperature gradient between the distal and proximal skin (DPG) was identified as an accurate physiological correlate of sleep propensity. Methodological issues included site of data logger placement, temperature masking factors, and temperature data analysis. Conclusions: The iButton is an inexpensive, wireless data logger that can be used to obtain a valid measurement of human skin temperature. It is a practical alternative to traditional measures of circadian rhythms in sleep/wake research. Further research is needed to determine the utility of the iButton in vulnerable populations, including those with neurodegenerative disorders and memory impairment and pediatric populations. © 2011 Elsevier B.V.&quot;,&quot;author&quot;:[{&quot;dropping-particle&quot;:&quot;&quot;,&quot;family&quot;:&quot;Hasselberg&quot;,&quot;given&quot;:&quot;Michael J.&quot;,&quot;non-dropping-particle&quot;:&quot;&quot;,&quot;parse-names&quot;:false,&quot;suffix&quot;:&quot;&quot;},{&quot;dropping-particle&quot;:&quot;&quot;,&quot;family&quot;:&quot;McMahon&quot;,&quot;given&quot;:&quot;James&quot;,&quot;non-dropping-particle&quot;:&quot;&quot;,&quot;parse-names&quot;:false,&quot;suffix&quot;:&quot;&quot;},{&quot;dropping-particle&quot;:&quot;&quot;,&quot;family&quot;:&quot;Parker&quot;,&quot;given&quot;:&quot;Kathy&quot;,&quot;non-dropping-particle&quot;:&quot;&quot;,&quot;parse-names&quot;:false,&quot;suffix&quot;:&quot;&quot;}],&quot;container-title&quot;:&quot;Sleep Medicine&quot;,&quot;id&quot;:&quot;55016633-e61e-5bba-8792-9be3c5c9f6db&quot;,&quot;issue&quot;:&quot;1&quot;,&quot;issued&quot;:{&quot;date-parts&quot;:[[&quot;2013&quot;]]},&quot;page&quot;:&quot;5-11&quot;,&quot;publisher&quot;:&quot;Elsevier B.V.&quot;,&quot;title&quot;:&quot;The validity, reliability, and utility of the iButton® for measurement of body temperature circadian rhythms in sleep/wake research&quot;,&quot;type&quot;:&quot;article-journal&quot;,&quot;volume&quot;:&quot;14&quot;,&quot;container-title-short&quot;:&quot;Sleep Med.&quot;},&quot;uris&quot;:[&quot;http://www.mendeley.com/documents/?uuid=1ec94123-6b66-41b1-add6-24b85cfea0fe&quot;],&quot;isTemporary&quot;:false,&quot;legacyDesktopId&quot;:&quot;1ec94123-6b66-41b1-add6-24b85cfea0fe&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d5bd1953-0d20-419f-96e6-d351d7f9f49c&quot;,&quot;properties&quot;:{&quot;noteIndex&quot;:0},&quot;isEdited&quot;:false,&quot;manualOverride&quot;:{&quot;citeprocText&quot;:&quot;[107]&quot;,&quot;isManuallyOverridden&quot;:false,&quot;manualOverrideText&quot;:&quot;&quot;},&quot;citationTag&quot;:&quot;MENDELEY_CITATION_v3_eyJjaXRhdGlvbklEIjoiTUVOREVMRVlfQ0lUQVRJT05fZDViZDE5NTMtMGQyMC00MTlmLTk2ZTYtZDM1MWQ3ZjlmNDljIiwicHJvcGVydGllcyI6eyJub3RlSW5kZXgiOjB9LCJpc0VkaXRlZCI6ZmFsc2UsIm1hbnVhbE92ZXJyaWRlIjp7ImNpdGVwcm9jVGV4dCI6IlsxMDddIiwiaXNNYW51YWxseU92ZXJyaWRkZW4iOmZhbHNlLCJtYW51YWxPdmVycmlkZVRleHQiOiIifSwiY2l0YXRpb25JdGVtcyI6W3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1dfQ==&quot;,&quot;citationItems&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citationID&quot;:&quot;MENDELEY_CITATION_def457d0-50e4-4ee9-94df-3ea90bfce82f&quot;,&quot;properties&quot;:{&quot;noteIndex&quot;:0},&quot;isEdited&quot;:false,&quot;manualOverride&quot;:{&quot;citeprocText&quot;:&quot;[108]&quot;,&quot;isManuallyOverridden&quot;:false,&quot;manualOverrideText&quot;:&quot;&quot;},&quot;citationTag&quot;:&quot;MENDELEY_CITATION_v3_eyJjaXRhdGlvbklEIjoiTUVOREVMRVlfQ0lUQVRJT05fZGVmNDU3ZDAtNTBlNC00ZWU5LTk0ZGYtM2VhOTBiZmNlODJmIiwicHJvcGVydGllcyI6eyJub3RlSW5kZXgiOjB9LCJpc0VkaXRlZCI6ZmFsc2UsIm1hbnVhbE92ZXJyaWRlIjp7ImNpdGVwcm9jVGV4dCI6IlsxMDhdIiwiaXNNYW51YWxseU92ZXJyaWRkZW4iOmZhbHNlLCJtYW51YWxPdmVycmlkZVRleHQiOiIifSwiY2l0YXRpb25JdGVtcyI6W3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1dfQ==&quot;,&quot;citationItems&quot;:[{&quot;id&quot;:&quot;b6b120d9-0af5-5a7b-b2ed-d078d7bd7f51&quot;,&quot;itemData&quot;:{&quot;DOI&quot;:&quot;10.1088/0967-3334/28/8/008&quot;,&quot;ISSN&quot;:&quot;13616579&quot;,&quot;PMID&quot;:&quot;17664677&quot;,&quot;abstract&quot;:&quot;The purpose of this study was to determine the validity of non-contact infrared thermometry to measure mean skin temperature in resting and exercising subjects in cold, thermo-neutral and hot environments. The subjects for the study were six healthy volunteers. Skin temperature was measured at three sites: the forearm, chest and calf on each subject using both contact thermistors and a non-contact infrared thermometer. Data were collected at rest and during exercise in three different air temperatures (15, 25 and 35°C). The correlation of resting mean skin temperature using infrared thermometry and contact thermistors was r = 0.95, while the correlation obtained during exercise was r = 0.98. The results of the current study strongly suggest that infrared thermometry is a valid measure of skin temperature during rest and exercise in both hot and cold environments. It is hoped that the results of this study will encourage the use of non-contact infrared thermometry by both clinicians and exercise, environmental, and sleep researchers in the future. © 2007 IOP Publishing Ltd.&quot;,&quot;author&quot;:[{&quot;dropping-particle&quot;:&quot;&quot;,&quot;family&quot;:&quot;Buono&quot;,&quot;given&quot;:&quot;Michael J.&quot;,&quot;non-dropping-particle&quot;:&quot;&quot;,&quot;parse-names&quot;:false,&quot;suffix&quot;:&quot;&quot;},{&quot;dropping-particle&quot;:&quot;&quot;,&quot;family&quot;:&quot;Jechort&quot;,&quot;given&quot;:&quot;Amy&quot;,&quot;non-dropping-particle&quot;:&quot;&quot;,&quot;parse-names&quot;:false,&quot;suffix&quot;:&quot;&quot;},{&quot;dropping-particle&quot;:&quot;&quot;,&quot;family&quot;:&quot;Marques&quot;,&quot;given&quot;:&quot;Raquel&quot;,&quot;non-dropping-particle&quot;:&quot;&quot;,&quot;parse-names&quot;:false,&quot;suffix&quot;:&quot;&quot;},{&quot;dropping-particle&quot;:&quot;&quot;,&quot;family&quot;:&quot;Smith&quot;,&quot;given&quot;:&quot;Carrie&quot;,&quot;non-dropping-particle&quot;:&quot;&quot;,&quot;parse-names&quot;:false,&quot;suffix&quot;:&quot;&quot;},{&quot;dropping-particle&quot;:&quot;&quot;,&quot;family&quot;:&quot;Welch&quot;,&quot;given&quot;:&quot;Jessica&quot;,&quot;non-dropping-particle&quot;:&quot;&quot;,&quot;parse-names&quot;:false,&quot;suffix&quot;:&quot;&quot;}],&quot;container-title&quot;:&quot;Physiological Measurement&quot;,&quot;id&quot;:&quot;b6b120d9-0af5-5a7b-b2ed-d078d7bd7f51&quot;,&quot;issue&quot;:&quot;8&quot;,&quot;issued&quot;:{&quot;date-parts&quot;:[[&quot;2007&quot;]]},&quot;page&quot;:&quot;855-859&quot;,&quot;title&quot;:&quot;Comparison of infrared versus contact thermometry for measuring skin temperature during exercise in the heat&quot;,&quot;type&quot;:&quot;article-journal&quot;,&quot;volume&quot;:&quot;28&quot;,&quot;container-title-short&quot;:&quot;Physiol. Meas.&quot;},&quot;uris&quot;:[&quot;http://www.mendeley.com/documents/?uuid=e1303884-d7de-4be1-ba7e-aae0edb06c2a&quot;],&quot;isTemporary&quot;:false,&quot;legacyDesktopId&quot;:&quot;e1303884-d7de-4be1-ba7e-aae0edb06c2a&quot;}]},{&quot;citationID&quot;:&quot;MENDELEY_CITATION_dd3b3c5d-62d5-47fd-a492-a33ffc0e6888&quot;,&quot;properties&quot;:{&quot;noteIndex&quot;:0},&quot;isEdited&quot;:false,&quot;manualOverride&quot;:{&quot;citeprocText&quot;:&quot;[103,107]&quot;,&quot;isManuallyOverridden&quot;:false,&quot;manualOverrideText&quot;:&quot;&quot;},&quot;citationTag&quot;:&quot;MENDELEY_CITATION_v3_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quot;,&quot;citationItems&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citationID&quot;:&quot;MENDELEY_CITATION_0029c2d0-9f4f-4431-ac73-a1df4f399f6a&quot;,&quot;properties&quot;:{&quot;noteIndex&quot;:0},&quot;isEdited&quot;:false,&quot;manualOverride&quot;:{&quot;citeprocText&quot;:&quot;[109,110]&quot;,&quot;isManuallyOverridden&quot;:false,&quot;manualOverrideText&quot;:&quot;&quot;},&quot;citationTag&quot;:&quot;MENDELEY_CITATION_v3_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&quot;,&quot;citationItems&quot;:[{&quot;id&quot;:&quot;b55b67cd-24ed-5149-85d5-38d484e35948&quot;,&quot;itemData&quot;:{&quot;DOI&quot;:&quot;10.1016/j.infrared.2012.03.007&quot;,&quot;ISSN&quot;:&quot;13504495&quot;,&quot;abstract&quot;:&quot;Abnormal body temperature is a natural indicator of illness. Infrared thermography (IRT) is a fast, passive, non-contact and non-invasive alternative to conventional clinical thermometers for monitoring body temperature. Besides, IRT can also map body surface temperature remotely. Last five decades witnessed a steady increase in the utility of thermal imaging cameras to obtain correlations between the thermal physiology and skin temperature. IRT has been successfully used in diagnosis of breast cancer, diabetes neuropathy and peripheral vascular disorders. It has also been used to detect problems associated with gynecology, kidney transplantation, dermatology, heart, neonatal physiology, fever screening and brain imaging. With the advent of modern infrared cameras, data acquisition and processing techniques, it is now possible to have real time high resolution thermographic images, which is likely to surge further research in this field. The present efforts are focused on automatic analysis of temperature distribution of regions of interest and their statistical analysis for detection of abnormalities. This critical review focuses on advances in the area of medical IRT. The basics of IRT, essential theoretical background, the procedures adopted for various measurements and applications of IRT in various medical fields are discussed in this review. Besides background information is provided for beginners for better understanding of the subject. © 2012 Elsevier B.V. All rights reserved.&quot;,&quot;author&quot;:[{&quot;dropping-particle&quot;:&quot;&quot;,&quot;family&quot;:&quot;Lahiri&quot;,&quot;given&quot;:&quot;B. B.&quot;,&quot;non-dropping-particle&quot;:&quot;&quot;,&quot;parse-names&quot;:false,&quot;suffix&quot;:&quot;&quot;},{&quot;dropping-particle&quot;:&quot;&quot;,&quot;family&quot;:&quot;Bagavathiappan&quot;,&quot;given&quot;:&quot;S.&quot;,&quot;non-dropping-particle&quot;:&quot;&quot;,&quot;parse-names&quot;:false,&quot;suffix&quot;:&quot;&quot;},{&quot;dropping-particle&quot;:&quot;&quot;,&quot;family&quot;:&quot;Jayakumar&quot;,&quot;given&quot;:&quot;T.&quot;,&quot;non-dropping-particle&quot;:&quot;&quot;,&quot;parse-names&quot;:false,&quot;suffix&quot;:&quot;&quot;},{&quot;dropping-particle&quot;:&quot;&quot;,&quot;family&quot;:&quot;Philip&quot;,&quot;given&quot;:&quot;John&quot;,&quot;non-dropping-particle&quot;:&quot;&quot;,&quot;parse-names&quot;:false,&quot;suffix&quot;:&quot;&quot;}],&quot;container-title&quot;:&quot;Infrared Physics and Technology&quot;,&quot;id&quot;:&quot;b55b67cd-24ed-5149-85d5-38d484e35948&quot;,&quot;issue&quot;:&quot;4&quot;,&quot;issued&quot;:{&quot;date-parts&quot;:[[&quot;2012&quot;]]},&quot;page&quot;:&quot;221-235&quot;,&quot;publisher&quot;:&quot;Elsevier B.V.&quot;,&quot;title&quot;:&quot;Medical applications of infrared thermography: A review&quot;,&quot;type&quot;:&quot;article-journal&quot;,&quot;volume&quot;:&quot;55&quot;,&quot;container-title-short&quot;:&quot;Infrared Phys. Technol.&quot;},&quot;uris&quot;:[&quot;http://www.mendeley.com/documents/?uuid=b919302c-38f4-4267-afd5-8d26c2dcac3a&quot;],&quot;isTemporary&quot;:false,&quot;legacyDesktopId&quot;:&quot;b919302c-38f4-4267-afd5-8d26c2dcac3a&quot;},{&quot;id&quot;:&quot;95a7b742-61c8-5e34-83f5-53542f0d965b&quot;,&quot;itemData&quot;:{&quot;DOI&quot;:&quot;10.3390/app122312105&quot;,&quot;ISSN&quot;:&quot;20763417&quot;,&quot;abstract&quot;:&quot;Infrared thermography (IRT) is often used to assess body temperature and can be useful as a diagnostic tool to detect human diseases. Despite this clear application in medicine, some studies can be found in the literature pointing to the use of IRT to measure body temperature as a parameter to evaluate thermal comfort inside buildings. However, there are still some issues that are understudied that this paper tried to address. For this purpose, an intensive experimental campaign was carried out, in which different combinations of temperature and relative humidity were implemented. Thermal images were taken of the face of a young adult, while the air temperature and relative humidity were assessed, as well as the body temperature, using traditional means. The results confirmed that different IR cameras and different ambient conditions (air temperature) impact the image resolution and definition. A linear correlation between the IRT results and the PMV was found for six subregions of the face. This correlation was higher in the forehead, cheekbones, and chin, and less interesting when measuring the temperature of the nose. However, if the overall temperature of the face is assessed, a good agreement between the PMV and the IRT results can still be found, indicating that the average facial temperature can be used as an indicator for the determination of thermal comfort. A prediction model for PMV based on IRT was proposed, with a root mean square error close to 0.70, when applied in a face temperature range between 28.9 °C and 34.4 °C.&quot;,&quot;author&quot;:[{&quot;dropping-particle&quot;:&quot;&quot;,&quot;family&quot;:&quot;Almeida&quot;,&quot;given&quot;:&quot;Ricardo M.S.F.&quot;,&quot;non-dropping-particle&quot;:&quot;&quot;,&quot;parse-names&quot;:false,&quot;suffix&quot;:&quot;&quot;},{&quot;dropping-particle&quot;:&quot;&quot;,&quot;family&quot;:&quot;Barreira&quot;,&quot;given&quot;:&quot;Eva&quot;,&quot;non-dropping-particle&quot;:&quot;&quot;,&quot;parse-names&quot;:false,&quot;suffix&quot;:&quot;&quot;},{&quot;dropping-particle&quot;:&quot;&quot;,&quot;family&quot;:&quot;Simões&quot;,&quot;given&quot;:&quot;Maria Lurdes&quot;,&quot;non-dropping-particle&quot;:&quot;&quot;,&quot;parse-names&quot;:false,&quot;suffix&quot;:&quot;&quot;},{&quot;dropping-particle&quot;:&quot;&quot;,&quot;family&quot;:&quot;Sousa&quot;,&quot;given&quot;:&quot;Tiago S.F.&quot;,&quot;non-dropping-particle&quot;:&quot;&quot;,&quot;parse-names&quot;:false,&quot;suffix&quot;:&quot;&quot;}],&quot;container-title&quot;:&quot;Applied Sciences (Switzerland)&quot;,&quot;id&quot;:&quot;95a7b742-61c8-5e34-83f5-53542f0d965b&quot;,&quot;issue&quot;:&quot;23&quot;,&quot;issued&quot;:{&quot;date-parts&quot;:[[&quot;2022&quot;]]},&quot;title&quot;:&quot;Infrared Thermography to Evaluate Thermal Comfort under Controlled Ambient Conditions&quot;,&quot;type&quot;:&quot;article-journal&quot;,&quot;volume&quot;:&quot;12&quot;,&quot;container-title-short&quot;:&quot;&quot;},&quot;uris&quot;:[&quot;http://www.mendeley.com/documents/?uuid=39696a66-0c65-48de-82d3-4d588c98c9b6&quot;],&quot;isTemporary&quot;:false,&quot;legacyDesktopId&quot;:&quot;39696a66-0c65-48de-82d3-4d588c98c9b6&quot;}]},{&quot;citationID&quot;:&quot;MENDELEY_CITATION_d403d02f-1247-4ab6-bdb9-c1a65a4c19b6&quot;,&quot;properties&quot;:{&quot;noteIndex&quot;:0},&quot;isEdited&quot;:false,&quot;manualOverride&quot;:{&quot;citeprocText&quot;:&quot;[111]&quot;,&quot;isManuallyOverridden&quot;:false,&quot;manualOverrideText&quot;:&quot;&quot;},&quot;citationTag&quot;:&quot;MENDELEY_CITATION_v3_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&quot;,&quot;citationItems&quot;:[{&quot;id&quot;:&quot;2fa21ccd-fb62-5daa-82c1-0613a1e4811e&quot;,&quot;itemData&quot;:{&quot;DOI&quot;:&quot;10.1016/j.ejmp.2012.09.003&quot;,&quot;ISSN&quot;:&quot;11201797&quot;,&quot;PMID&quot;:&quot;23084004&quot;,&quot;abstract&quot;:&quot;Infrared thermoimaging is one of the options for object temperature analysis. Infrared thermoimaging is unique due to the non-contact principle of measurement. So it is often used in medicine and for scientific experimental measurements. The presented work aims to determine whether the measurement results could be influenced by topical treatment of the hand surface by various substances. The authors attempted to determine whether the emissivity can be neglected or not in situations of topical application of substances such as ultrasound gel, ointment, disinfection, etc. The results of experiments showed that the value of surface temperature is more or less distorted by the topically applied substance. Our findings demonstrate the effect of emissivity of applied substances on resulting temperature and showed the necessity to integrate the emissivity into calculation of the final surface temperature. Infrared thermoimaging can be an appropriate method for determining the temperature of organisms, if this is understood as the surface temperature, and the surrounding environment and its temperature is taken into account. © 2012 Associazione Italiana di Fisica Medica.&quot;,&quot;author&quot;:[{&quot;dropping-particle&quot;:&quot;&quot;,&quot;family&quot;:&quot;Bernard&quot;,&quot;given&quot;:&quot;V.&quot;,&quot;non-dropping-particle&quot;:&quot;&quot;,&quot;parse-names&quot;:false,&quot;suffix&quot;:&quot;&quot;},{&quot;dropping-particle&quot;:&quot;&quot;,&quot;family&quot;:&quot;Staffa&quot;,&quot;given&quot;:&quot;E.&quot;,&quot;non-dropping-particle&quot;:&quot;&quot;,&quot;parse-names&quot;:false,&quot;suffix&quot;:&quot;&quot;},{&quot;dropping-particle&quot;:&quot;&quot;,&quot;family&quot;:&quot;Mornstein&quot;,&quot;given&quot;:&quot;V.&quot;,&quot;non-dropping-particle&quot;:&quot;&quot;,&quot;parse-names&quot;:false,&quot;suffix&quot;:&quot;&quot;},{&quot;dropping-particle&quot;:&quot;&quot;,&quot;family&quot;:&quot;Bourek&quot;,&quot;given&quot;:&quot;A.&quot;,&quot;non-dropping-particle&quot;:&quot;&quot;,&quot;parse-names&quot;:false,&quot;suffix&quot;:&quot;&quot;}],&quot;container-title&quot;:&quot;Physica Medica&quot;,&quot;id&quot;:&quot;2fa21ccd-fb62-5daa-82c1-0613a1e4811e&quot;,&quot;issue&quot;:&quot;6&quot;,&quot;issued&quot;:{&quot;date-parts&quot;:[[&quot;2013&quot;]]},&quot;page&quot;:&quot;583-591&quot;,&quot;publisher&quot;:&quot;Elsevier Ltd&quot;,&quot;title&quot;:&quot;Infrared camera assessment of skin surface temperature - Effect of emissivity&quot;,&quot;type&quot;:&quot;article-journal&quot;,&quot;volume&quot;:&quot;29&quot;,&quot;container-title-short&quot;:&quot;&quot;},&quot;uris&quot;:[&quot;http://www.mendeley.com/documents/?uuid=f86ccb66-3417-45cc-86a9-31a25ab3dbec&quot;],&quot;isTemporary&quot;:false,&quot;legacyDesktopId&quot;:&quot;f86ccb66-3417-45cc-86a9-31a25ab3dbec&quot;}]},{&quot;citationID&quot;:&quot;MENDELEY_CITATION_d3872e08-3c21-4eb0-8554-4cc551d5b3bc&quot;,&quot;properties&quot;:{&quot;noteIndex&quot;:0},&quot;isEdited&quot;:false,&quot;manualOverride&quot;:{&quot;citeprocText&quot;:&quot;[98,112,113]&quot;,&quot;isManuallyOverridden&quot;:false,&quot;manualOverrideText&quot;:&quot;&quot;},&quot;citationTag&quot;:&quot;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&quot;,&quot;citationItems&quot;:[{&quot;id&quot;:&quot;c0f6df01-9497-5b6e-b5c3-bf1473c71e83&quot;,&quot;itemData&quot;:{&quot;DOI&quot;:&quot;10.1093/jn/15.5.461&quot;,&quot;ISSN&quot;:&quot;00223166&quot;,&quot;abstract&quot;:&quot;For thermal physiologists, calorimetry is an important methodological tool to assess human heat balance during heat or cold exposures. A whole body direct calorimeter remains the gold standard instrument for assessing human heat balance; however, this equipment is rarely available to most researchers. A more widely accessible substitute is partitional calorimetry, a method by which all components of the conceptual heat balance equation-metabolic heat production, conduction, radiation , convection, and evaporation-are calculated separately based on fundamental properties of energy exchange. Since partitional calorimetry requires relatively inexpensive equipment (vs. direct calorimetry) and can be used over a wider range of experimental conditions (i.e., different physical activities, laboratory or field settings, clothed or seminude), it allows investigators to address a wide range of problems such as predicting human responses to thermal stress, developing climatic exposure limits and fluid replacement guidelines, estimating clothing properties, evaluating cooling/warming interventions, and identifying potential thermoregula-tory dysfunction in unique populations. In this Cores of Reproducibility in Physiology (CORP) review, we summarize the fundamental principles underlying the use of partitional calorimetry, present the various methodological and arithmetic requirements, and provide typical examples of its use. Strategies to minimize estimation error of specific heat balance components, as well as the limitations of the method, are also discussed. The goal of this CORP paper is to present a standardized methodology and thus improve the accuracy and reproducibility of research employing partitional calorimetry.&quot;,&quot;author&quot;:[{&quot;dropping-particle&quot;:&quot;&quot;,&quot;family&quot;:&quot;Hardy&quot;,&quot;given&quot;:&quot;James D.&quot;,&quot;non-dropping-particle&quot;:&quot;&quot;,&quot;parse-names&quot;:false,&quot;suffix&quot;:&quot;&quot;},{&quot;dropping-particle&quot;:&quot;&quot;,&quot;family&quot;:&quot;Bois&quot;,&quot;given&quot;:&quot;Eugene F.&quot;,&quot;non-dropping-particle&quot;:&quot;Du&quot;,&quot;parse-names&quot;:false,&quot;suffix&quot;:&quot;&quot;},{&quot;dropping-particle&quot;:&quot;&quot;,&quot;family&quot;:&quot;Soderstrom&quot;,&quot;given&quot;:&quot;G.F.&quot;,&quot;non-dropping-particle&quot;:&quot;&quot;,&quot;parse-names&quot;:false,&quot;suffix&quot;:&quot;&quot;}],&quot;container-title&quot;:&quot;The Journal of Nutrition&quot;,&quot;id&quot;:&quot;c0f6df01-9497-5b6e-b5c3-bf1473c71e83&quot;,&quot;issue&quot;:&quot;5&quot;,&quot;issued&quot;:{&quot;date-parts&quot;:[[&quot;1938&quot;,&quot;5&quot;]]},&quot;page&quot;:&quot;461-475&quot;,&quot;title&quot;:&quot;The Technic of Measuring Radiation and Convection&quot;,&quot;type&quot;:&quot;article-journal&quot;,&quot;volume&quot;:&quot;15&quot;,&quot;container-title-short&quot;:&quot;J. Nutr.&quot;},&quot;uris&quot;:[&quot;http://www.mendeley.com/documents/?uuid=b6b3595c-1587-4220-a747-1353ea4afa6c&quot;],&quot;isTemporary&quot;:false,&quot;legacyDesktopId&quot;:&quot;b6b3595c-1587-4220-a747-1353ea4afa6c&quot;},{&quot;id&quot;:&quot;df920801-069f-5d09-9db0-6b9e780cf65b&quot;,&quot;itemData&quot;:{&quot;DOI&quot;:&quot;10.1152/jappl.1971.31.1.80&quot;,&quot;ISSN&quot;:&quot;8750-7587&quot;,&quot;abstract&quot;:&quot;The major thermal in- puts to the thermoregulatory center, internal and skin tem- peratures, were independently varied to evaluate their interac- tion and relative contributions toward the regulation of sweating in resting man. Average skin temperature (Ts) was modified by rapid application and removal of radiant heat. Sweating rate from the thigh, measured by resistance hygrometry, was found to be directly related to the T, during skin heating; during skin cooling, however, local sweating rate was a function of the rate of change of T, as well. Increased internal temperatures were achieved by interposing a brief bout of heavy exercise between heating intervals. The relationship between internal and mean skin temperatures in the control of sweating rate was described by a summation model, where sweating rate was linearly related to internal (esophageal) temperature and the level of ?F, shifted this relationship in the appropriate direction. Clamping local skin temperature at different levels during skin heating revealed the local skin temperature as exerting a modifying effect on the output from the central controller, acting as a multiplier in the determination of local sweating rate. The following model de- scribed the major influences on local sweating rate: local sweating rate = b(‘Ls - Lo&gt; + P(Ts - Tso + yCdT,/dt - ro])]e(Ts z-Tso)/a&quot;,&quot;author&quot;:[{&quot;dropping-particle&quot;:&quot;&quot;,&quot;family&quot;:&quot;Nadel&quot;,&quot;given&quot;:&quot;E R&quot;,&quot;non-dropping-particle&quot;:&quot;&quot;,&quot;parse-names&quot;:false,&quot;suffix&quot;:&quot;&quot;},{&quot;dropping-particle&quot;:&quot;&quot;,&quot;family&quot;:&quot;Bullard&quot;,&quot;given&quot;:&quot;R W&quot;,&quot;non-dropping-particle&quot;:&quot;&quot;,&quot;parse-names&quot;:false,&quot;suffix&quot;:&quot;&quot;},{&quot;dropping-particle&quot;:&quot;&quot;,&quot;family&quot;:&quot;Stolwijk&quot;,&quot;given&quot;:&quot;J A&quot;,&quot;non-dropping-particle&quot;:&quot;&quot;,&quot;parse-names&quot;:false,&quot;suffix&quot;:&quot;&quot;}],&quot;container-title&quot;:&quot;Journal of Applied Physiology&quot;,&quot;id&quot;:&quot;df920801-069f-5d09-9db0-6b9e780cf65b&quot;,&quot;issue&quot;:&quot;1&quot;,&quot;issued&quot;:{&quot;date-parts&quot;:[[&quot;1971&quot;,&quot;7&quot;]]},&quot;page&quot;:&quot;80-87&quot;,&quot;title&quot;:&quot;Importance of skin temperature in the regulation of sweating.&quot;,&quot;type&quot;:&quot;article-journal&quot;,&quot;volume&quot;:&quot;31&quot;,&quot;container-title-short&quot;:&quot;J. Appl. Physiol.&quot;},&quot;uris&quot;:[&quot;http://www.mendeley.com/documents/?uuid=94bc3d6b-ff49-4ae0-8fd2-7e1136ec1b96&quot;],&quot;isTemporary&quot;:false,&quot;legacyDesktopId&quot;:&quot;94bc3d6b-ff49-4ae0-8fd2-7e1136ec1b96&quot;},{&quot;id&quot;:&quot;b839d0bb-ec05-57e2-aded-c46b15353ade&quot;,&quot;itemData&quot;:{&quot;DOI&quot;:&quot;10.1533/9781845692261.3.560&quot;,&quot;abstract&quot;:&quot;What is Cronbach's Alpha? - Explained Simply&quot;,&quot;author&quot;:[{&quot;dropping-particle&quot;:&quot;&quot;,&quot;family&quot;:&quot;Arens&quot;,&quot;given&quot;:&quot;E.&quot;,&quot;non-dropping-particle&quot;:&quot;&quot;,&quot;parse-names&quot;:false,&quot;suffix&quot;:&quot;&quot;},{&quot;dropping-particle&quot;:&quot;&quot;,&quot;family&quot;:&quot;Zhang&quot;,&quot;given&quot;:&quot;H.&quot;,&quot;non-dropping-particle&quot;:&quot;&quot;,&quot;parse-names&quot;:false,&quot;suffix&quot;:&quot;&quot;}],&quot;container-title&quot;:&quot;Thermal and Moisture Transport in Fibrous Materials&quot;,&quot;id&quot;:&quot;b839d0bb-ec05-57e2-aded-c46b15353ade&quot;,&quot;issued&quot;:{&quot;date-parts&quot;:[[&quot;2006&quot;]]},&quot;page&quot;:&quot;560-602&quot;,&quot;publisher&quot;:&quot;Elsevier&quot;,&quot;title&quot;:&quot;The skin’s role in human thermoregulation and comfort&quot;,&quot;type&quot;:&quot;chapter&quot;,&quot;container-title-short&quot;:&quot;&quot;},&quot;uris&quot;:[&quot;http://www.mendeley.com/documents/?uuid=93317730-bbee-407b-a398-7f5ec0db0af2&quot;],&quot;isTemporary&quot;:false,&quot;legacyDesktopId&quot;:&quot;93317730-bbee-407b-a398-7f5ec0db0af2&quot;}]},{&quot;citationID&quot;:&quot;MENDELEY_CITATION_19323652-93ea-4030-bd5f-d7c2830c39d0&quot;,&quot;properties&quot;:{&quot;noteIndex&quot;:0},&quot;isEdited&quot;:false,&quot;manualOverride&quot;:{&quot;citeprocText&quot;:&quot;[3,114–118]&quot;,&quot;isManuallyOverridden&quot;:false,&quot;manualOverrideText&quot;:&quot;&quot;},&quot;citationTag&quot;:&quot;MENDELEY_CITATION_v3_eyJjaXRhdGlvbklEIjoiTUVOREVMRVlfQ0lUQVRJT05fMTkzMjM2NTItOTNlYS00MDMwLWJkNWYtZDdjMjgzMGMzOWQwIiwicHJvcGVydGllcyI6eyJub3RlSW5kZXgiOjB9LCJpc0VkaXRlZCI6ZmFsc2UsIm1hbnVhbE92ZXJyaWRlIjp7ImNpdGVwcm9jVGV4dCI6IlszLDExNOKAkzExOF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&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4890222a-c833-5246-a1e5-02b3d781831a&quot;,&quot;itemData&quot;:{&quot;DOI&quot;:&quot;10.1016/j.enbenv.2024.03.002&quot;,&quot;ISSN&quot;:&quot;26661233&quot;,&quot;abstract&quot;:&quot;The role of skin temperature as a determinant of human thermal sensation and comfort has gained increasing recognition, prompting a need for a systematic review. This review examines the relationship between skin temperature and thermal sensation, synthesizing insights from 172 studies published since 2000. It uniquely focuses on the indispensable roles of local and mean skin temperatures, a perspective not comprehensively explored in previous literature. The review reveals that the most common measurement points for skin temperature are the face and hands, attributed to their higher thermal sensitivity and the practical ease of measurement. It establishes a clear linear relationship between mean skin temperature and user thermal sensation, though affected by the choice of measurement locations and number of points. A notable finding is the varying impact of local skin temperature on overall thermal sensation in changing environments, with local heating less influential than cooling. The review also uncovers demographic variations in thermal sensation, strongly influenced by differing skin temperatures across age groups, genders, and climatic regions. For example, elderly populations exhibit a decreased temperature sensitivity, especially towards warmth. Gender differences are also significant, with females experiencing higher skin temperatures in warmer environments and lower in colder ones. Machine learning (ML)-based methods, particularly those using classification tree and support vector machine (SVM) techniques, are increasingly used to predict thermal sensation and comfort by leveraging skin temperature data. While ML methods are prevalent, statistical regression-based approaches offer valuable empirical insights. Thermo-physiological model-based methods provide reliable results by incorporating detailed skin temperature dynamics. The review highlights a gap in understanding the influence of gender, age, and regional differences on thermal comfort across various environments. The study recommends conducting more detailed experiments to examine the impact of these factors more closely. It also suggests integrating individual demographic variables into ML models to personalize thermal comfort predictions.&quot;,&quot;author&quot;:[{&quot;dropping-particle&quot;:&quot;&quot;,&quot;family&quot;:&quot;Song&quot;,&quot;given&quot;:&quot;Wenjie&quot;,&quot;non-dropping-particle&quot;:&quot;&quot;,&quot;parse-names&quot;:false,&quot;suffix&quot;:&quot;&quot;},{&quot;dropping-particle&quot;:&quot;&quot;,&quot;family&quot;:&quot;Zhong&quot;,&quot;given&quot;:&quot;Fangliang&quot;,&quot;non-dropping-particle&quot;:&quot;&quot;,&quot;parse-names&quot;:false,&quot;suffix&quot;:&quot;&quot;},{&quot;dropping-particle&quot;:&quot;&quot;,&quot;family&quot;:&quot;Calautit&quot;,&quot;given&quot;:&quot;John Kaiser&quot;,&quot;non-dropping-particle&quot;:&quot;&quot;,&quot;parse-names&quot;:false,&quot;suffix&quot;:&quot;&quot;},{&quot;dropping-particle&quot;:&quot;&quot;,&quot;family&quot;:&quot;Li&quot;,&quot;given&quot;:&quot;Jiaxiang&quot;,&quot;non-dropping-particle&quot;:&quot;&quot;,&quot;parse-names&quot;:false,&quot;suffix&quot;:&quot;&quot;}],&quot;container-title&quot;:&quot;Energy and Built Environment&quot;,&quot;id&quot;:&quot;4890222a-c833-5246-a1e5-02b3d781831a&quot;,&quot;issue&quot;:&quot;January&quot;,&quot;issued&quot;:{&quot;date-parts&quot;:[[&quot;2024&quot;]]},&quot;publisher&quot;:&quot;Elsevier B.V.&quot;,&quot;title&quot;:&quot;Exploring the role of skin temperature in thermal sensation and thermal comfort: A comprehensive review&quot;,&quot;type&quot;:&quot;article-journal&quot;,&quot;container-title-short&quot;:&quot;&quot;},&quot;uris&quot;:[&quot;http://www.mendeley.com/documents/?uuid=1e8895f6-7c2e-4439-a53d-c439d620ae0c&quot;],&quot;isTemporary&quot;:false,&quot;legacyDesktopId&quot;:&quot;1e8895f6-7c2e-4439-a53d-c439d620ae0c&quot;},{&quot;id&quot;:&quot;6ee8ed2c-f2e1-5e76-9e24-eb4b97af52ab&quot;,&quot;itemData&quot;:{&quot;DOI&quot;:&quot;10.1016/j.buildenv.2010.08.011&quot;,&quot;ISSN&quot;:&quot;03601323&quot;,&quot;abstract&quot;:&quot;A method was established to evaluate calculation methods of mean skin temperature, in order to find appropriate ones for use in human thermal comfort study. In this method three indexes, including reliability, sensitivity and number of measurement sites, were proposed. Under air temperatures of 21 °C, 24 °C, 26 °C, and 29 °C, 22 subjects' local skin temperatures (21 sites) and electrocardiograms were measured, and their thermal sensation and thermal comfort were inquired. Human heart rate variability indicated the physiological relation between mean skin temperature and ambient temperature for the sensitivity evaluation. Adopting the evaluation method, 26 types of mean skin temperature calculation methods were evaluated based on the experimental data. The results indicate that a calculation method of mean skin temperature with 10 sites is the most appropriate one, due to its high reliability, excellent sensitivity and fewer measuring sites. When it was applied to reflect thermal comfort, the performance was good. © 2010 Elsevier Ltd.&quot;,&quot;author&quot;:[{&quot;dropping-particle&quot;:&quot;&quot;,&quot;family&quot;:&quot;Liu&quot;,&quot;given&quot;:&quot;Weiwei&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Deng&quot;,&quot;given&quot;:&quot;Qihong&quot;,&quot;non-dropping-particle&quot;:&quot;&quot;,&quot;parse-names&quot;:false,&quot;suffix&quot;:&quot;&quot;},{&quot;dropping-particle&quot;:&quot;&quot;,&quot;family&quot;:&quot;Liu&quot;,&quot;given&quot;:&quot;Yuanmou&quot;,&quot;non-dropping-particle&quot;:&quot;&quot;,&quot;parse-names&quot;:false,&quot;suffix&quot;:&quot;&quot;}],&quot;container-title&quot;:&quot;Building and Environment&quot;,&quot;id&quot;:&quot;6ee8ed2c-f2e1-5e76-9e24-eb4b97af52ab&quot;,&quot;issue&quot;:&quot;2&quot;,&quot;issued&quot;:{&quot;date-parts&quot;:[[&quot;2011&quot;]]},&quot;page&quot;:&quot;478-488&quot;,&quot;publisher&quot;:&quot;Elsevier Ltd&quot;,&quot;title&quot;:&quot;Evaluation of calculation methods of mean skin temperature for use in thermal comfort study&quot;,&quot;type&quot;:&quot;article-journal&quot;,&quot;volume&quot;:&quot;46&quot;,&quot;container-title-short&quot;:&quot;Build. Environ.&quot;},&quot;uris&quot;:[&quot;http://www.mendeley.com/documents/?uuid=35d254dc-2aab-4a22-8c5e-e27a581d8162&quot;],&quot;isTemporary&quot;:false,&quot;legacyDesktopId&quot;:&quot;35d254dc-2aab-4a22-8c5e-e27a581d8162&quot;},{&quot;id&quot;:&quot;557a9a84-0899-5b15-a07f-c5f58f98616f&quot;,&quot;itemData&quot;:{&quot;DOI&quot;:&quot;10.1618/jhes.9.35&quot;,&quot;ISSN&quot;:&quot;1345-1324&quot;,&quot;author&quot;:[{&quot;dropping-particle&quot;:&quot;&quot;,&quot;family&quot;:&quot;Kuwabara&quot;,&quot;given&quot;:&quot;Kouhei&quot;,&quot;non-dropping-particle&quot;:&quot;&quot;,&quot;parse-names&quot;:false,&quot;suffix&quot;:&quot;&quot;},{&quot;dropping-particle&quot;:&quot;&quot;,&quot;family&quot;:&quot;Mochida&quot;,&quot;given&quot;:&quot;Tohru&quot;,&quot;non-dropping-particle&quot;:&quot;&quot;,&quot;parse-names&quot;:false,&quot;suffix&quot;:&quot;&quot;},{&quot;dropping-particle&quot;:&quot;&quot;,&quot;family&quot;:&quot;Nagano&quot;,&quot;given&quot;:&quot;Katsunori&quot;,&quot;non-dropping-particle&quot;:&quot;&quot;,&quot;parse-names&quot;:false,&quot;suffix&quot;:&quot;&quot;},{&quot;dropping-particle&quot;:&quot;&quot;,&quot;family&quot;:&quot;Shimakura&quot;,&quot;given&quot;:&quot;Kazumi&quot;,&quot;non-dropping-particle&quot;:&quot;&quot;,&quot;parse-names&quot;:false,&quot;suffix&quot;:&quot;&quot;}],&quot;container-title&quot;:&quot;Journal of the Human-Environment System&quot;,&quot;id&quot;:&quot;557a9a84-0899-5b15-a07f-c5f58f98616f&quot;,&quot;issue&quot;:&quot;1&quot;,&quot;issued&quot;:{&quot;date-parts&quot;:[[&quot;2006&quot;]]},&quot;page&quot;:&quot;35-42&quot;,&quot;title&quot;:&quot;Fundamental Study of Weighting Factors for Calculating Mean Skin Temperature&quot;,&quot;type&quot;:&quot;article-journal&quot;,&quot;volume&quot;:&quot;9&quot;,&quot;container-title-short&quot;:&quot;J. Hum. Environ. Syst.&quot;},&quot;uris&quot;:[&quot;http://www.mendeley.com/documents/?uuid=d066ac17-da35-4adf-ac95-91f7ab78644b&quot;],&quot;isTemporary&quot;:false,&quot;legacyDesktopId&quot;:&quot;d066ac17-da35-4adf-ac95-91f7ab78644b&quot;},{&quot;id&quot;:&quot;f156b56c-8bb2-5d83-bbd2-8706b9c282a9&quot;,&quot;itemData&quot;:{&quot;DOI&quot;:&quot;10.1152/ajplegacy.1936.116.3.641&quot;,&quot;ISSN&quot;:&quot;0002-9513&quot;,&quot;author&quot;:[{&quot;dropping-particle&quot;:&quot;&quot;,&quot;family&quot;:&quot;Winslow&quot;,&quot;given&quot;:&quot;C. -E. A.&quot;,&quot;non-dropping-particle&quot;:&quot;&quot;,&quot;parse-names&quot;:false,&quot;suffix&quot;:&quot;&quot;},{&quot;dropping-particle&quot;:&quot;&quot;,&quot;family&quot;:&quot;Herrington&quot;,&quot;given&quot;:&quot;L P&quot;,&quot;non-dropping-particle&quot;:&quot;&quot;,&quot;parse-names&quot;:false,&quot;suffix&quot;:&quot;&quot;},{&quot;dropping-particle&quot;:&quot;&quot;,&quot;family&quot;:&quot;Gagge&quot;,&quot;given&quot;:&quot;A P&quot;,&quot;non-dropping-particle&quot;:&quot;&quot;,&quot;parse-names&quot;:false,&quot;suffix&quot;:&quot;&quot;}],&quot;container-title&quot;:&quot;American Journal of Physiology-Legacy Content&quot;,&quot;id&quot;:&quot;f156b56c-8bb2-5d83-bbd2-8706b9c282a9&quot;,&quot;issue&quot;:&quot;3&quot;,&quot;issued&quot;:{&quot;date-parts&quot;:[[&quot;1936&quot;,&quot;7&quot;,&quot;31&quot;]]},&quot;page&quot;:&quot;641-655&quot;,&quot;title&quot;:&quot;A NEW METHOD OF PARTITIONAL CALORIMETRY&quot;,&quot;type&quot;:&quot;article-journal&quot;,&quot;volume&quot;:&quot;116&quot;,&quot;container-title-short&quot;:&quot;&quot;},&quot;uris&quot;:[&quot;http://www.mendeley.com/documents/?uuid=d1ab1893-54ff-4a17-ab95-5e191df51b91&quot;],&quot;isTemporary&quot;:false,&quot;legacyDesktopId&quot;:&quot;d1ab1893-54ff-4a17-ab95-5e191df51b91&quot;},{&quot;id&quot;:&quot;87b8eded-e2d0-5337-ba7f-580b71fd022f&quot;,&quot;itemData&quot;:{&quot;DOI&quot;:&quot;10.1007/s004840050056&quot;,&quot;ISSN&quot;:&quot;0020-7128&quot;,&quot;author&quot;:[{&quot;dropping-particle&quot;:&quot;&quot;,&quot;family&quot;:&quot;Choi&quot;,&quot;given&quot;:&quot;J. K.&quot;,&quot;non-dropping-particle&quot;:&quot;&quot;,&quot;parse-names&quot;:false,&quot;suffix&quot;:&quot;&quot;},{&quot;dropping-particle&quot;:&quot;&quot;,&quot;family&quot;:&quot;Miki&quot;,&quot;given&quot;:&quot;K.&quot;,&quot;non-dropping-particle&quot;:&quot;&quot;,&quot;parse-names&quot;:false,&quot;suffix&quot;:&quot;&quot;},{&quot;dropping-particle&quot;:&quot;&quot;,&quot;family&quot;:&quot;Sagawa&quot;,&quot;given&quot;:&quot;S.&quot;,&quot;non-dropping-particle&quot;:&quot;&quot;,&quot;parse-names&quot;:false,&quot;suffix&quot;:&quot;&quot;},{&quot;dropping-particle&quot;:&quot;&quot;,&quot;family&quot;:&quot;Shiraki&quot;,&quot;given&quot;:&quot;K.&quot;,&quot;non-dropping-particle&quot;:&quot;&quot;,&quot;parse-names&quot;:false,&quot;suffix&quot;:&quot;&quot;}],&quot;container-title&quot;:&quot;International Journal of Biometeorology&quot;,&quot;id&quot;:&quot;87b8eded-e2d0-5337-ba7f-580b71fd022f&quot;,&quot;issue&quot;:&quot;2&quot;,&quot;issued&quot;:{&quot;date-parts&quot;:[[&quot;1997&quot;,&quot;11&quot;,&quot;26&quot;]]},&quot;page&quot;:&quot;68-75&quot;,&quot;title&quot;:&quot;Evaluation of mean skin temperature formulas by infrared thermography&quot;,&quot;type&quot;:&quot;article-journal&quot;,&quot;volume&quot;:&quot;41&quot;,&quot;container-title-short&quot;:&quot;Int. J. Biometeorol.&quot;},&quot;uris&quot;:[&quot;http://www.mendeley.com/documents/?uuid=50649e81-fd38-406a-9ec0-5e6115bcdceb&quot;],&quot;isTemporary&quot;:false,&quot;legacyDesktopId&quot;:&quot;50649e81-fd38-406a-9ec0-5e6115bcdceb&quot;}]},{&quot;citationID&quot;:&quot;MENDELEY_CITATION_35b5c9dd-90fa-4cbe-98ba-cffc5139300b&quot;,&quot;properties&quot;:{&quot;noteIndex&quot;:0},&quot;isEdited&quot;:false,&quot;manualOverride&quot;:{&quot;citeprocText&quot;:&quot;[119]&quot;,&quot;isManuallyOverridden&quot;:false,&quot;manualOverrideText&quot;:&quot;&quot;},&quot;citationTag&quot;:&quot;MENDELEY_CITATION_v3_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&quot;,&quot;citationItems&quot;:[{&quot;id&quot;:&quot;ff769e07-3abe-5123-aee1-b9fc02761296&quot;,&quot;itemData&quot;:{&quot;DOI&quot;:&quot;10.1152/ajpregu.2000.278.3.r741&quot;,&quot;ISSN&quot;:&quot;03636119&quot;,&quot;PMID&quot;:&quot;10712296&quot;,&quot;abstract&quot;:&quot;Thermoregulatory processes have long been implicated in initiation of human sleep. The purpose of this study was to evaluate the role of heat loss in sleep initiation, under the controlled conditions of a constant-routine protocol modified to permit nocturnal sleep. Heat loss was indirectly measured by means of the distal-to-proximal skin temperature gradient (DPG). A stepwise regression analysis revealed that the DPG was the best predictor variable for sleep-onset latency (compared with core body temperature or its rate of change, heart rate, melatonin onset, and subjective sleepiness ratings). This study provides evidence that selective vasodilation of distal skin regions (and hence heat loss) promotes the rapid onset of sleep.&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erth&quot;,&quot;given&quot;:&quot;Esther&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American Journal of Physiology - Regulatory Integrative and Comparative Physiology&quot;,&quot;id&quot;:&quot;ff769e07-3abe-5123-aee1-b9fc02761296&quot;,&quot;issue&quot;:&quot;3 47-3&quot;,&quot;issued&quot;:{&quot;date-parts&quot;:[[&quot;2000&quot;]]},&quot;page&quot;:&quot;741-748&quot;,&quot;title&quot;:&quot;Functional link between distal vasodilation and sleep-onset latency?&quot;,&quot;type&quot;:&quot;article-journal&quot;,&quot;volume&quot;:&quot;278&quot;,&quot;container-title-short&quot;:&quot;Am. J. Physiol. Regul. Integr. Comp. Physiol.&quot;},&quot;uris&quot;:[&quot;http://www.mendeley.com/documents/?uuid=4df04e53-f632-49e5-8363-a329dcf714a4&quot;],&quot;isTemporary&quot;:false,&quot;legacyDesktopId&quot;:&quot;4df04e53-f632-49e5-8363-a329dcf714a4&quot;}]},{&quot;citationID&quot;:&quot;MENDELEY_CITATION_4ea0b4f9-ed4f-4c0d-aedd-d37240045f21&quot;,&quot;properties&quot;:{&quot;noteIndex&quot;:0},&quot;isEdited&quot;:false,&quot;manualOverride&quot;:{&quot;citeprocText&quot;:&quot;[3]&quot;,&quot;isManuallyOverridden&quot;:false,&quot;manualOverrideText&quot;:&quot;&quot;},&quot;citationTag&quot;:&quot;MENDELEY_CITATION_v3_eyJjaXRhdGlvbklEIjoiTUVOREVMRVlfQ0lUQVRJT05fNGVhMGI0ZjktZWQ0Zi00YzBkLWFlZGQtZDM3MjQwMDQ1ZjIx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73d6fd06-dab6-4d05-a66d-b161a6ed874d&quot;,&quot;properties&quot;:{&quot;noteIndex&quot;:0},&quot;isEdited&quot;:false,&quot;manualOverride&quot;:{&quot;citeprocText&quot;:&quot;[120]&quot;,&quot;isManuallyOverridden&quot;:false,&quot;manualOverrideText&quot;:&quot;&quot;},&quot;citationTag&quot;:&quot;MENDELEY_CITATION_v3_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&quot;,&quot;citationItems&quot;:[{&quot;id&quot;:&quot;c4c7fe31-dbef-5f1c-93fa-761fd2787945&quot;,&quot;itemData&quot;:{&quot;DOI&quot;:&quot;10.3389/fpsyg.2014.00845&quot;,&quot;ISSN&quot;:&quot;16641078&quot;,&quot;abstract&quot;:&quot;Direct gaze and interpersonal proximity are known to lead to changes in psycho-physiology, behavior and brain function. We know little, however, about subtler facial reactions such as rise and fall in temperature, which may be sensitive to contextual effects and functional in social interactions. Using thermal infrared imaging cameras 18 female adult participants were filmed at two interpersonal distances (intimate and social) and two gaze conditions (averted and direct). The order of variation in distance was counterbalanced: half the participants experienced a female experimenter's gaze at the social distance first before the intimate distance (a socially \&quot;normal\&quot; order) and half experienced the intimate distance first and then the social distance (an odd social order). At both distances averted gaze always preceded direct gaze. We found strong correlations in thermal changes between six areas of the face (forehead, chin, cheeks, nose, maxilliary, and periorbital regions) for all experimental conditions and developed a composite measure of thermal shifts for all analyses. Interpersonal proximity led to a thermal rise, but only in the \&quot;normal\&quot; social order. Direct gaze, compared to averted gaze, led to a thermal increase at both distances with a stronger effect at intimate distance, in both orders of distance variation. Participants reported direct gaze as more intrusive than averted gaze, especially at the intimate distance. These results demonstrate the powerful effects of another person's gaze on psycho-physiological responses, even at a distance and independent of context. © 2014 Ioannou, Morris, Mercer, Baker, Gallese and Reddy.&quot;,&quot;author&quot;:[{&quot;dropping-particle&quot;:&quot;&quot;,&quot;family&quot;:&quot;Ioannou&quot;,&quot;given&quot;:&quot;Stephanos&quot;,&quot;non-dropping-particle&quot;:&quot;&quot;,&quot;parse-names&quot;:false,&quot;suffix&quot;:&quot;&quot;},{&quot;dropping-particle&quot;:&quot;&quot;,&quot;family&quot;:&quot;Morris&quot;,&quot;given&quot;:&quot;Paul&quot;,&quot;non-dropping-particle&quot;:&quot;&quot;,&quot;parse-names&quot;:false,&quot;suffix&quot;:&quot;&quot;},{&quot;dropping-particle&quot;:&quot;&quot;,&quot;family&quot;:&quot;Mercer&quot;,&quot;given&quot;:&quot;Hayley&quot;,&quot;non-dropping-particle&quot;:&quot;&quot;,&quot;parse-names&quot;:false,&quot;suffix&quot;:&quot;&quot;},{&quot;dropping-particle&quot;:&quot;&quot;,&quot;family&quot;:&quot;Baker&quot;,&quot;given&quot;:&quot;Marc&quot;,&quot;non-dropping-particle&quot;:&quot;&quot;,&quot;parse-names&quot;:false,&quot;suffix&quot;:&quot;&quot;},{&quot;dropping-particle&quot;:&quot;&quot;,&quot;family&quot;:&quot;Gallese&quot;,&quot;given&quot;:&quot;Vittorio&quot;,&quot;non-dropping-particle&quot;:&quot;&quot;,&quot;parse-names&quot;:false,&quot;suffix&quot;:&quot;&quot;},{&quot;dropping-particle&quot;:&quot;&quot;,&quot;family&quot;:&quot;Reddy&quot;,&quot;given&quot;:&quot;Vasudevi&quot;,&quot;non-dropping-particle&quot;:&quot;&quot;,&quot;parse-names&quot;:false,&quot;suffix&quot;:&quot;&quot;}],&quot;container-title&quot;:&quot;Frontiers in Psychology&quot;,&quot;id&quot;:&quot;c4c7fe31-dbef-5f1c-93fa-761fd2787945&quot;,&quot;issue&quot;:&quot;AUG&quot;,&quot;issued&quot;:{&quot;date-parts&quot;:[[&quot;2014&quot;]]},&quot;page&quot;:&quot;1-12&quot;,&quot;title&quot;:&quot;Proximity and gaze influences facial temperature: A thermal infrared imaging study&quot;,&quot;type&quot;:&quot;article-journal&quot;,&quot;volume&quot;:&quot;5&quot;,&quot;container-title-short&quot;:&quot;Front. Psychol.&quot;},&quot;uris&quot;:[&quot;http://www.mendeley.com/documents/?uuid=2f5a0bda-61ea-4b78-937f-9154f9dc3318&quot;],&quot;isTemporary&quot;:false,&quot;legacyDesktopId&quot;:&quot;2f5a0bda-61ea-4b78-937f-9154f9dc3318&quot;}]},{&quot;citationID&quot;:&quot;MENDELEY_CITATION_4fa95f0d-eedb-4e80-a555-d3dc6a8d3069&quot;,&quot;properties&quot;:{&quot;noteIndex&quot;:0},&quot;isEdited&quot;:false,&quot;manualOverride&quot;:{&quot;citeprocText&quot;:&quot;[121,122]&quot;,&quot;isManuallyOverridden&quot;:false,&quot;manualOverrideText&quot;:&quot;&quot;},&quot;citationTag&quot;:&quot;MENDELEY_CITATION_v3_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I4MzA1MjU0Mi00YWExLTUyMTQtYjUzYi0xNmQ1NTY2YjA3ZGY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ZGJkMTFjM2ItZGEyMS00ZWZiLWEyOGItMzZjY2EyN2NlMzMzIiwiaHR0cDovL3d3dy5tZW5kZWxleS5jb20vZG9jdW1lbnRzLz91dWlkPTc1YWVjMTlhLWI3MzEtNGRmYi1iNGE0LTE4ODM1NTk5OGJmMyJdLCJpc1RlbXBvcmFyeSI6ZmFsc2UsImxlZ2FjeURlc2t0b3BJZCI6ImRiZDExYzNiLWRhMjEtNGVmYi1hMjhiLTM2Y2NhMjdjZTMzMyJ9XX0=&quot;,&quot;citationItems&quot;:[{&quot;id&quot;:&quot;380a2f85-d89e-5235-a413-73d5ffe3817a&quot;,&quot;itemData&quot;:{&quot;DOI&quot;:&quot;10.1891/1061-3749.19.1.55&quot;,&quot;ISSN&quot;:&quot;10613749&quot;,&quot;PMID&quot;:&quot;21560901&quot;,&quot;abstract&quot;:&quot;Recently, manufacturers have devised thermometers for home use by patients, such as the TempTouch Infrared Thermometer (TTIR; Diabetica Solutions, San Antonio, TX), which is designed with a long handle that can be used for self-monitoring localized skin temperature of the feet and legs. This study assessed the level of agreement and repeatability of the TTIR compared to a thermistor-type thermometer (TT; PeriFlux, 5020 Temperature Unit, Perimed, Stockholm, Sweden), the reference standard. In 17 healthy subjects, localized skin temperature was measured 8 cm above the right medial malleolus at baseline (Time 1), after a 10-minute rest period (Time 2), and after 10 minutes of cold provocation (Time 3) with a cryotherapy gel wrap placed around the lower legs using the TTIR and TT for temperature measurement. Scatter plots and correlation coefficients showed strong positive relationships between the two measurement methods at all three time points (Time 1: r = 0.95; Time 2: r = 0.97; and, Time 3: r = 0.87). Results showed a reasonable level of agreement between the two methods at Times 1 and 2 but not after cold provocation. Agreement between the methods appears to be better than repeatability within each method. Results for repeatability from both the TT and TTIR were very similar suggesting that there was a systematic bias with increasing temperatures between Time 1 and Time 2. © 2011 Springer Publishing Company.&quot;,&quot;author&quot;:[{&quot;dropping-particle&quot;:&quot;&quot;,&quot;family&quot;:&quot;Kelechi&quot;,&quot;given&quot;:&quot;Teresa J.&quot;,&quot;non-dropping-particle&quot;:&quot;&quot;,&quot;parse-names&quot;:false,&quot;suffix&quot;:&quot;&quot;},{&quot;dropping-particle&quot;:&quot;&quot;,&quot;family&quot;:&quot;Good&quot;,&quot;given&quot;:&quot;Angela&quot;,&quot;non-dropping-particle&quot;:&quot;&quot;,&quot;parse-names&quot;:false,&quot;suffix&quot;:&quot;&quot;},{&quot;dropping-particle&quot;:&quot;&quot;,&quot;family&quot;:&quot;Mueller&quot;,&quot;given&quot;:&quot;Martina&quot;,&quot;non-dropping-particle&quot;:&quot;&quot;,&quot;parse-names&quot;:false,&quot;suffix&quot;:&quot;&quot;}],&quot;container-title&quot;:&quot;Journal of Nursing Measurement&quot;,&quot;id&quot;:&quot;380a2f85-d89e-5235-a413-73d5ffe3817a&quot;,&quot;issue&quot;:&quot;1&quot;,&quot;issued&quot;:{&quot;date-parts&quot;:[[&quot;2011&quot;]]},&quot;page&quot;:&quot;55-64&quot;,&quot;title&quot;:&quot;Agreement and repeatability of an infrared thermometer&quot;,&quot;type&quot;:&quot;article-journal&quot;,&quot;volume&quot;:&quot;19&quot;,&quot;container-title-short&quot;:&quot;J. Nurs. Meas.&quot;},&quot;uris&quot;:[&quot;http://www.mendeley.com/documents/?uuid=72ce7a2b-fed2-4c23-9505-6d659f5573ee&quot;,&quot;http://www.mendeley.com/documents/?uuid=e362a18b-9f4e-46f4-b297-dc9e19dadff0&quot;],&quot;isTemporary&quot;:false,&quot;legacyDesktopId&quot;:&quot;72ce7a2b-fed2-4c23-9505-6d659f5573ee&quot;},{&quot;id&quot;:&quot;83052542-4aa1-5214-b53b-16d5566b07df&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83052542-4aa1-5214-b53b-16d5566b07df&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dbd11c3b-da21-4efb-a28b-36cca27ce333&quot;,&quot;http://www.mendeley.com/documents/?uuid=75aec19a-b731-4dfb-b4a4-188355998bf3&quot;],&quot;isTemporary&quot;:false,&quot;legacyDesktopId&quot;:&quot;dbd11c3b-da21-4efb-a28b-36cca27ce333&quot;}]},{&quot;citationID&quot;:&quot;MENDELEY_CITATION_7c952025-cd74-4f83-9720-f38057e7ad1a&quot;,&quot;properties&quot;:{&quot;noteIndex&quot;:0},&quot;isEdited&quot;:false,&quot;manualOverride&quot;:{&quot;citeprocText&quot;:&quot;[123]&quot;,&quot;isManuallyOverridden&quot;:false,&quot;manualOverrideText&quot;:&quot;&quot;},&quot;citationTag&quot;:&quot;MENDELEY_CITATION_v3_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&quot;,&quot;citationItems&quot;:[{&quot;id&quot;:&quot;5910688f-93ab-5cbf-b42d-31e1d0d0a629&quot;,&quot;itemData&quot;:{&quot;DOI&quot;:&quot;10.1088/0967-3334/19/2/016&quot;,&quot;ISSN&quot;:&quot;09673334&quot;,&quot;PMID&quot;:&quot;9626693&quot;,&quot;abstract&quot;:&quot;The purpose of this study was to compare the mean skin temperature (T̄(sk)) obtained using 'covered' versus 'uncovered' contact thermistors in a variety of environmental conditions. Ten male subjects walked on a treadmill at 6.4 kph for 30 min in three different environments: thermoneutral (23 °C/50% RH), hot-humid (35 °C/80%), and hot-dry (42 °C/20%). T̄(sk) was measured using three 'uncovered' contact thermistors, and three 'covered' thermistors. The 'uncovered' probes were attached using acrylic rings that allowed the outer surface of the thermistors to have free exchange with the environment. The 'covered' probes were affixed to the skin using foam patches and tape. The latter procedure is commonly used in many research and clinical laboratories. The 'covered' probes resulted in a significantly (p &lt; 0.05) higher T̄(sk) under all three environmental conditions. The largest difference occurred in the thermoneutral condition with the 'covered' T̄(sk) being 1.3 °C higher than the 'uncovered' T̄(sk). These results suggest that covering a contact skin thermistor hinders heat loss and results in an artificially high T̄(sk). It is hoped that the results of this study will encourage the adoption of 'uncovered' contact skin thermistors in the future.&quot;,&quot;author&quot;:[{&quot;dropping-particle&quot;:&quot;&quot;,&quot;family&quot;:&quot;Buono&quot;,&quot;given&quot;:&quot;Michael J.&quot;,&quot;non-dropping-particle&quot;:&quot;&quot;,&quot;parse-names&quot;:false,&quot;suffix&quot;:&quot;&quot;},{&quot;dropping-particle&quot;:&quot;&quot;,&quot;family&quot;:&quot;Ulrich&quot;,&quot;given&quot;:&quot;Rachel L.&quot;,&quot;non-dropping-particle&quot;:&quot;&quot;,&quot;parse-names&quot;:false,&quot;suffix&quot;:&quot;&quot;}],&quot;container-title&quot;:&quot;Physiological Measurement&quot;,&quot;id&quot;:&quot;5910688f-93ab-5cbf-b42d-31e1d0d0a629&quot;,&quot;issue&quot;:&quot;2&quot;,&quot;issued&quot;:{&quot;date-parts&quot;:[[&quot;1998&quot;]]},&quot;page&quot;:&quot;297-300&quot;,&quot;title&quot;:&quot;Comparison of mean skin temperature using 'covered' versus 'uncovered' contact thermistors&quot;,&quot;type&quot;:&quot;article-journal&quot;,&quot;volume&quot;:&quot;19&quot;,&quot;container-title-short&quot;:&quot;Physiol. Meas.&quot;},&quot;uris&quot;:[&quot;http://www.mendeley.com/documents/?uuid=c355caae-25e7-4523-beb5-46f13f3a0495&quot;,&quot;http://www.mendeley.com/documents/?uuid=66ff385b-e155-4e54-93f9-4c3a2f90df3d&quot;],&quot;isTemporary&quot;:false,&quot;legacyDesktopId&quot;:&quot;c355caae-25e7-4523-beb5-46f13f3a0495&quot;}]},{&quot;citationID&quot;:&quot;MENDELEY_CITATION_47437b3f-1ea8-475e-b7a3-215e5c5d6f97&quot;,&quot;properties&quot;:{&quot;noteIndex&quot;:0},&quot;isEdited&quot;:false,&quot;manualOverride&quot;:{&quot;isManuallyOverridden&quot;:false,&quot;citeprocText&quot;:&quot;[124]&quot;,&quot;manualOverrideText&quot;:&quot;&quot;},&quot;citationTag&quot;:&quot;MENDELEY_CITATION_v3_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&quot;,&quot;citationItems&quot;:[{&quot;id&quot;:&quot;50c8c682-c26f-3634-8619-9b0c212cd5dd&quot;,&quot;itemData&quot;:{&quot;type&quot;:&quot;article-journal&quot;,&quot;id&quot;:&quot;50c8c682-c26f-3634-8619-9b0c212cd5dd&quot;,&quot;title&quot;:&quot;Effect of ambient temperature and attachment method on surface temperature measurements&quot;,&quot;groupId&quot;:&quot;2d3873d7-e261-3da9-86b8-2cfa8990086d&quot;,&quot;author&quot;:[{&quot;family&quot;:&quot;Psikuta&quot;,&quot;given&quot;:&quot;Agnes&quot;,&quot;parse-names&quot;:false,&quot;dropping-particle&quot;:&quot;&quot;,&quot;non-dropping-particle&quot;:&quot;&quot;},{&quot;family&quot;:&quot;Niedermann&quot;,&quot;given&quot;:&quot;Reto&quot;,&quot;parse-names&quot;:false,&quot;dropping-particle&quot;:&quot;&quot;,&quot;non-dropping-particle&quot;:&quot;&quot;},{&quot;family&quot;:&quot;Rossi&quot;,&quot;given&quot;:&quot;René M.&quot;,&quot;parse-names&quot;:false,&quot;dropping-particle&quot;:&quot;&quot;,&quot;non-dropping-particle&quot;:&quot;&quot;}],&quot;container-title&quot;:&quot;International Journal of Biometeorology&quot;,&quot;container-title-short&quot;:&quot;Int. J. Biometeorol.&quot;,&quot;DOI&quot;:&quot;10.1007/s00484-013-0669-4&quot;,&quot;ISSN&quot;:&quot;00207128&quot;,&quot;PMID&quot;:&quot;23686110&quot;,&quot;issued&quot;:{&quot;date-parts&quot;:[[2014]]},&quot;page&quot;:&quot;877-885&quot;,&quot;abstract&quot;:&quot;Accurate measurement of skin surface temperature is essential in both thermo-physiological and clinical applications. However, a literature review of the last two decades of physiological or clinical research revealed an inconsistency or a lack of information on how temperature sensors were attached to the skin surface. The purpose of this study was to systematically compare and quantify the performance of different commercially available temperature sensors and their typical attachment methods, and, secondly, to provide a time-efficient and reliable method for testing any sensor-tape combination. In conclusion, both the sensor type and the attachment method influenced the results of temperature measurements (both its absolute and relative dimensions). The sensor shape and the contact of its sensing area to the surface, as well as the conductance of the tape were the most important parameters to minimise the influence of environmental conditions on surface temperature measurement. These results suggest that temperature sensors and attachment methods for human subject and manikin trials should be selected carefully, with a systematic evaluation of the sensor-tape system under conditions of use, and emphasise the need to report these parameters in publications. © 2013 ISB.&quot;,&quot;issue&quot;:&quot;5&quot;,&quot;volume&quot;:&quot;58&quot;},&quot;isTemporary&quot;:false}]},{&quot;citationID&quot;:&quot;MENDELEY_CITATION_7c103887-b290-47d2-a015-bd35bbcc8975&quot;,&quot;properties&quot;:{&quot;noteIndex&quot;:0},&quot;isEdited&quot;:false,&quot;manualOverride&quot;:{&quot;citeprocText&quot;:&quot;[125]&quot;,&quot;isManuallyOverridden&quot;:false,&quot;manualOverrideText&quot;:&quot;&quot;},&quot;citationTag&quot;:&quot;MENDELEY_CITATION_v3_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&quot;,&quot;citationItems&quot;:[{&quot;id&quot;:&quot;1920f737-27f8-59ae-9521-bb49f4d162f3&quot;,&quot;itemData&quot;:{&quot;DOI&quot;:&quot;10.1016/j.ijheatmasstransfer.2009.02.011&quot;,&quot;ISSN&quot;:&quot;00179310&quot;,&quot;abstract&quot;:&quot;Numerical simulations have been performed to determine the performance characteristics of direct-contact devices for the measurement of skin-surface temperature. Such devices consist of a thin metallic foil which serves as a heat spreader backed by a foam insulation pad. The sensor, either a miniature thermocouple or thermistor, is adhered to the heat-spreading foil. In practice, such devices operate in the transient mode, and the numerical simulations were performed in that mode. Special focus was given to three relevant parameters which contribute significantly to the accuracy of the temperature measurements: (a) the thickness of the foam pad, (b) the thermal conductivity of the pad material, and (c) the contact resistance between the device and the skin surface. It was found that the presence of the foam pad significantly degraded the accuracy of the measured temperature. Diminishing the thickness or, in the limit, elimination of the pad is believed necessary to enable the device to provide temperatures of acceptable accuracy. An alternative and suitable approach to the achievement of satisfactory accuracy is to use pad materials of higher thermal conductivity than those presently being utilized. With regard to contact resistance, the presence of an air gap between the device and the skin surface of the thickness of a sheet of paper did not cause a significant error in the temperature indicated by the device. © 2009 Elsevier Ltd. All rights reserved.&quot;,&quot;author&quot;:[{&quot;dropping-particle&quot;:&quot;&quot;,&quot;family&quot;:&quot;Boetcher&quot;,&quot;given&quot;:&quot;S. K.S.&quot;,&quot;non-dropping-particle&quot;:&quot;&quot;,&quot;parse-names&quot;:false,&quot;suffix&quot;:&quot;&quot;},{&quot;dropping-particle&quot;:&quot;&quot;,&quot;family&quot;:&quot;Sparrow&quot;,&quot;given&quot;:&quot;E. M.&quot;,&quot;non-dropping-particle&quot;:&quot;&quot;,&quot;parse-names&quot;:false,&quot;suffix&quot;:&quot;&quot;},{&quot;dropping-particle&quot;:&quot;V.&quot;,&quot;family&quot;:&quot;Dugay&quot;,&quot;given&quot;:&quot;M.&quot;,&quot;non-dropping-particle&quot;:&quot;&quot;,&quot;parse-names&quot;:false,&quot;suffix&quot;:&quot;&quot;}],&quot;container-title&quot;:&quot;International Journal of Heat and Mass Transfer&quot;,&quot;id&quot;:&quot;1920f737-27f8-59ae-9521-bb49f4d162f3&quot;,&quot;issue&quot;:&quot;15-16&quot;,&quot;issued&quot;:{&quot;date-parts&quot;:[[&quot;2009&quot;]]},&quot;page&quot;:&quot;3799-3804&quot;,&quot;publisher&quot;:&quot;Elsevier Ltd&quot;,&quot;title&quot;:&quot;Characteristics of direct-contact, skin-surface temperature sensors&quot;,&quot;type&quot;:&quot;article-journal&quot;,&quot;volume&quot;:&quot;52&quot;,&quot;container-title-short&quot;:&quot;Int. J. Heat Mass Transf.&quot;},&quot;uris&quot;:[&quot;http://www.mendeley.com/documents/?uuid=72d8f319-1a85-4a2a-b3b5-288f541dff47&quot;],&quot;isTemporary&quot;:false,&quot;legacyDesktopId&quot;:&quot;72d8f319-1a85-4a2a-b3b5-288f541dff47&quot;}]},{&quot;citationID&quot;:&quot;MENDELEY_CITATION_499a2ab4-78a9-4ce9-be1d-eab0aa5187d9&quot;,&quot;properties&quot;:{&quot;noteIndex&quot;:0},&quot;isEdited&quot;:false,&quot;manualOverride&quot;:{&quot;citeprocText&quot;:&quot;[101]&quot;,&quot;isManuallyOverridden&quot;:false,&quot;manualOverrideText&quot;:&quot;&quot;},&quot;citationTag&quot;:&quot;MENDELEY_CITATION_v3_eyJjaXRhdGlvbklEIjoiTUVOREVMRVlfQ0lUQVRJT05fNDk5YTJhYjQtNzhhOS00Y2U5LWJlMWQtZWFiMGFhNTE4N2Q5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59c7b644-92c9-458e-80f2-0d0a1737fa17&quot;,&quot;properties&quot;:{&quot;noteIndex&quot;:0},&quot;isEdited&quot;:false,&quot;manualOverride&quot;:{&quot;citeprocText&quot;:&quot;[107,108,126,127]&quot;,&quot;isManuallyOverridden&quot;:false,&quot;manualOverrideText&quot;:&quot;&quot;},&quot;citationTag&quot;:&quot;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&quot;,&quot;citationItems&quot;:[{&quot;id&quot;:&quot;b6b120d9-0af5-5a7b-b2ed-d078d7bd7f51&quot;,&quot;itemData&quot;:{&quot;DOI&quot;:&quot;10.1088/0967-3334/28/8/008&quot;,&quot;ISSN&quot;:&quot;13616579&quot;,&quot;PMID&quot;:&quot;17664677&quot;,&quot;abstract&quot;:&quot;The purpose of this study was to determine the validity of non-contact infrared thermometry to measure mean skin temperature in resting and exercising subjects in cold, thermo-neutral and hot environments. The subjects for the study were six healthy volunteers. Skin temperature was measured at three sites: the forearm, chest and calf on each subject using both contact thermistors and a non-contact infrared thermometer. Data were collected at rest and during exercise in three different air temperatures (15, 25 and 35°C). The correlation of resting mean skin temperature using infrared thermometry and contact thermistors was r = 0.95, while the correlation obtained during exercise was r = 0.98. The results of the current study strongly suggest that infrared thermometry is a valid measure of skin temperature during rest and exercise in both hot and cold environments. It is hoped that the results of this study will encourage the use of non-contact infrared thermometry by both clinicians and exercise, environmental, and sleep researchers in the future. © 2007 IOP Publishing Ltd.&quot;,&quot;author&quot;:[{&quot;dropping-particle&quot;:&quot;&quot;,&quot;family&quot;:&quot;Buono&quot;,&quot;given&quot;:&quot;Michael J.&quot;,&quot;non-dropping-particle&quot;:&quot;&quot;,&quot;parse-names&quot;:false,&quot;suffix&quot;:&quot;&quot;},{&quot;dropping-particle&quot;:&quot;&quot;,&quot;family&quot;:&quot;Jechort&quot;,&quot;given&quot;:&quot;Amy&quot;,&quot;non-dropping-particle&quot;:&quot;&quot;,&quot;parse-names&quot;:false,&quot;suffix&quot;:&quot;&quot;},{&quot;dropping-particle&quot;:&quot;&quot;,&quot;family&quot;:&quot;Marques&quot;,&quot;given&quot;:&quot;Raquel&quot;,&quot;non-dropping-particle&quot;:&quot;&quot;,&quot;parse-names&quot;:false,&quot;suffix&quot;:&quot;&quot;},{&quot;dropping-particle&quot;:&quot;&quot;,&quot;family&quot;:&quot;Smith&quot;,&quot;given&quot;:&quot;Carrie&quot;,&quot;non-dropping-particle&quot;:&quot;&quot;,&quot;parse-names&quot;:false,&quot;suffix&quot;:&quot;&quot;},{&quot;dropping-particle&quot;:&quot;&quot;,&quot;family&quot;:&quot;Welch&quot;,&quot;given&quot;:&quot;Jessica&quot;,&quot;non-dropping-particle&quot;:&quot;&quot;,&quot;parse-names&quot;:false,&quot;suffix&quot;:&quot;&quot;}],&quot;container-title&quot;:&quot;Physiological Measurement&quot;,&quot;id&quot;:&quot;b6b120d9-0af5-5a7b-b2ed-d078d7bd7f51&quot;,&quot;issue&quot;:&quot;8&quot;,&quot;issued&quot;:{&quot;date-parts&quot;:[[&quot;2007&quot;]]},&quot;page&quot;:&quot;855-859&quot;,&quot;title&quot;:&quot;Comparison of infrared versus contact thermometry for measuring skin temperature during exercise in the heat&quot;,&quot;type&quot;:&quot;article-journal&quot;,&quot;volume&quot;:&quot;28&quot;,&quot;container-title-short&quot;:&quot;Physiol. Meas.&quot;},&quot;uris&quot;:[&quot;http://www.mendeley.com/documents/?uuid=e1303884-d7de-4be1-ba7e-aae0edb06c2a&quot;],&quot;isTemporary&quot;:false,&quot;legacyDesktopId&quot;:&quot;e1303884-d7de-4be1-ba7e-aae0edb06c2a&quot;},{&quot;id&quot;:&quot;0016563a-716f-5de3-ba02-ad86eee0a53d&quot;,&quot;itemData&quot;:{&quot;DOI&quot;:&quot;10.1016/j.jtherbio.2020.102614&quot;,&quot;ISSN&quot;:&quot;18790992&quot;,&quot;PMID&quot;:&quot;32716864&quot;,&quot;abstract&quot;:&quot;Objective: The primary aim of this study was to assess the accuracy of an infrared camera and that of a skin thermistor, both commercially available. The study aimed to assess the agreement over a wide range of skin temperatures following cold exposure. Methods: Fifty-two males placed their right hand in a thin plastic bag and immersed it in 8 °C water for 30 min whilst seated in an air temperature of 30 °C. Following hand immersion, participants removed the bag and rested their hand at heart level for 10 min. Index finger skin temperature (Tsk) was measured with a thermistor, affixed to the finger pad, and an infrared camera measured 1 cm distally to the thermistor. Agreement between the infrared camera and thermistor was assessed by mean difference (infrared camera minus thermistor) and 95% limits of agreement analysis, accounting for the repeated measures over time. The clinically significant threshold for Tsk differences was set at ±0.5 °C and limits of agreement ±1 °C. Results: As an average across all time points, the infrared camera recorded Tsk 1.80 (SD 1.16) °C warmer than the thermistor, with 95% limits of agreement ranging from −0.46 °C to 4.07 °C. Conclusion: Collectively, the results show the infrared camera overestimated Tsk at every time point following local cooling. Further, measurement of finger Tsk from the infrared camera consistently fell outside the acceptable level of agreement (i.e. mean difference exceeding ±0.5 °C). Considering these results, infrared cameras may overestimate peripheral Tsk following cold exposure and clinicians and practitioners should, therefore, adjust their risk/withdrawal criteria accordingly.&quot;,&quot;author&quot;:[{&quot;dropping-particle&quot;:&quot;&quot;,&quot;family&quot;:&quot;Maley&quot;,&quot;given&quot;:&quot;Matthew J.&quot;,&quot;non-dropping-particle&quot;:&quot;&quot;,&quot;parse-names&quot;:false,&quot;suffix&quot;:&quot;&quot;},{&quot;dropping-particle&quot;:&quot;&quot;,&quot;family&quot;:&quot;Hunt&quot;,&quot;given&quot;:&quot;Andrew P.&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Eglin&quot;,&quot;given&quot;:&quot;Clare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0016563a-716f-5de3-ba02-ad86eee0a53d&quot;,&quot;issue&quot;:&quot;May&quot;,&quot;issued&quot;:{&quot;date-parts&quot;:[[&quot;2020&quot;]]},&quot;page&quot;:&quot;102614&quot;,&quot;publisher&quot;:&quot;Elsevier Ltd&quot;,&quot;title&quot;:&quot;Infrared cameras overestimate skin temperature during rewarming from cold exposure&quot;,&quot;type&quot;:&quot;article-journal&quot;,&quot;volume&quot;:&quot;91&quot;,&quot;container-title-short&quot;:&quot;J. Therm. Biol.&quot;},&quot;uris&quot;:[&quot;http://www.mendeley.com/documents/?uuid=1ddc7c8a-0154-477e-b0a9-8ce792b3d2aa&quot;],&quot;isTemporary&quot;:false,&quot;legacyDesktopId&quot;:&quot;1ddc7c8a-0154-477e-b0a9-8ce792b3d2aa&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id&quot;:&quot;6e94410c-f58b-52b6-9e7b-ea47437e066d&quot;,&quot;itemData&quot;:{&quot;DOI&quot;:&quot;10.1097/00003246-200002000-00041&quot;,&quot;ISSN&quot;:&quot;00903493&quot;,&quot;PMID&quot;:&quot;10708196&quot;,&quot;abstract&quot;:&quot;Objective: To test the hypothesis that the infrared thermometer (Genius) is comparably useful with thermocouples that are routinely used for skin temperature monitoring. Design: Prospective, controlled, not blinded study. Setting: Operating room of a university hospital. Subjects: Ten healthy male volunteers. Interventions: Volunteers were minimally clothed and were initially warmed by a forced air warmer until they became vasodilated at the finger and the foot for ~30 mins. Subsequently, they were kept in the room with no blanket. Measurements and Main Results: Skin temperatures were measured continuously with the Mon-a-Therm thermocouple and were also measured with the Genius thermometer just before and after the warming and subsequently every 10 mins for 70 mins. Forearm and finger-tip skin temperatures and skin-surface temperature gradients (from arm to finger and from calf to toe) measured by the Genius thermometer were compared with those measured by the Mon-a-Therm thermocouple using linear regression and Bland and Altman statistics. Forearm temperature and finger-tip temperature ranged from ≃31°to ≃36.5°C (87.8-97.7°F) and ≃22.5°to ≃36°C (72.5- 96.8°F), respectively. Gradients (from arm to finger and from calf to toe) ranged from ≃-3°to ≃10°C (26.6-50.0°F) and ≃-3°to ≃11°C (26.6- 51.8°F), respectively. Correlations between the temperatures measured by the Genius thermometer and those by the Mon-a-Therm thermocouple were similar and reliable. The correlation coefficients were as follows: 0.78 at forearm, 0.97 at finger-tip, and 0.97 at skin-surface temperature gradients. Conclusions: The infrared thermometer with a special probe is useful to measure the change of skin-surface temperatures and to evaluate the severity of shock in patients.&quot;,&quot;author&quot;:[{&quot;dropping-particle&quot;:&quot;&quot;,&quot;family&quot;:&quot;Matsukawa&quot;,&quot;given&quot;:&quot;Takashi&quot;,&quot;non-dropping-particle&quot;:&quot;&quot;,&quot;parse-names&quot;:false,&quot;suffix&quot;:&quot;&quot;},{&quot;dropping-particle&quot;:&quot;&quot;,&quot;family&quot;:&quot;Ozaki&quot;,&quot;given&quot;:&quot;Makoto&quot;,&quot;non-dropping-particle&quot;:&quot;&quot;,&quot;parse-names&quot;:false,&quot;suffix&quot;:&quot;&quot;},{&quot;dropping-particle&quot;:&quot;&quot;,&quot;family&quot;:&quot;Nishiyama&quot;,&quot;given&quot;:&quot;Tomoki&quot;,&quot;non-dropping-particle&quot;:&quot;&quot;,&quot;parse-names&quot;:false,&quot;suffix&quot;:&quot;&quot;},{&quot;dropping-particle&quot;:&quot;&quot;,&quot;family&quot;:&quot;Imamura&quot;,&quot;given&quot;:&quot;Makoto&quot;,&quot;non-dropping-particle&quot;:&quot;&quot;,&quot;parse-names&quot;:false,&quot;suffix&quot;:&quot;&quot;},{&quot;dropping-particle&quot;:&quot;&quot;,&quot;family&quot;:&quot;Kumazawa&quot;,&quot;given&quot;:&quot;Teruo&quot;,&quot;non-dropping-particle&quot;:&quot;&quot;,&quot;parse-names&quot;:false,&quot;suffix&quot;:&quot;&quot;}],&quot;container-title&quot;:&quot;Critical Care Medicine&quot;,&quot;id&quot;:&quot;6e94410c-f58b-52b6-9e7b-ea47437e066d&quot;,&quot;issue&quot;:&quot;2&quot;,&quot;issued&quot;:{&quot;date-parts&quot;:[[&quot;2000&quot;]]},&quot;page&quot;:&quot;532-536&quot;,&quot;title&quot;:&quot;Comparison of infrared thermometer with thermocouple for monitoring skin temperature&quot;,&quot;type&quot;:&quot;article-journal&quot;,&quot;volume&quot;:&quot;28&quot;,&quot;container-title-short&quot;:&quot;Crit. Care Med.&quot;},&quot;uris&quot;:[&quot;http://www.mendeley.com/documents/?uuid=15f5d454-0060-4e81-8a6e-4b4ac48db2d5&quot;],&quot;isTemporary&quot;:false,&quot;legacyDesktopId&quot;:&quot;15f5d454-0060-4e81-8a6e-4b4ac48db2d5&quot;}]},{&quot;citationID&quot;:&quot;MENDELEY_CITATION_0b603402-3738-49c7-9c4a-fb62939cb6ea&quot;,&quot;properties&quot;:{&quot;noteIndex&quot;:0},&quot;isEdited&quot;:false,&quot;manualOverride&quot;:{&quot;citeprocText&quot;:&quot;[126]&quot;,&quot;isManuallyOverridden&quot;:false,&quot;manualOverrideText&quot;:&quot;&quot;},&quot;citationTag&quot;:&quot;MENDELEY_CITATION_v3_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&quot;,&quot;citationItems&quot;:[{&quot;id&quot;:&quot;0016563a-716f-5de3-ba02-ad86eee0a53d&quot;,&quot;itemData&quot;:{&quot;DOI&quot;:&quot;10.1016/j.jtherbio.2020.102614&quot;,&quot;ISSN&quot;:&quot;18790992&quot;,&quot;PMID&quot;:&quot;32716864&quot;,&quot;abstract&quot;:&quot;Objective: The primary aim of this study was to assess the accuracy of an infrared camera and that of a skin thermistor, both commercially available. The study aimed to assess the agreement over a wide range of skin temperatures following cold exposure. Methods: Fifty-two males placed their right hand in a thin plastic bag and immersed it in 8 °C water for 30 min whilst seated in an air temperature of 30 °C. Following hand immersion, participants removed the bag and rested their hand at heart level for 10 min. Index finger skin temperature (Tsk) was measured with a thermistor, affixed to the finger pad, and an infrared camera measured 1 cm distally to the thermistor. Agreement between the infrared camera and thermistor was assessed by mean difference (infrared camera minus thermistor) and 95% limits of agreement analysis, accounting for the repeated measures over time. The clinically significant threshold for Tsk differences was set at ±0.5 °C and limits of agreement ±1 °C. Results: As an average across all time points, the infrared camera recorded Tsk 1.80 (SD 1.16) °C warmer than the thermistor, with 95% limits of agreement ranging from −0.46 °C to 4.07 °C. Conclusion: Collectively, the results show the infrared camera overestimated Tsk at every time point following local cooling. Further, measurement of finger Tsk from the infrared camera consistently fell outside the acceptable level of agreement (i.e. mean difference exceeding ±0.5 °C). Considering these results, infrared cameras may overestimate peripheral Tsk following cold exposure and clinicians and practitioners should, therefore, adjust their risk/withdrawal criteria accordingly.&quot;,&quot;author&quot;:[{&quot;dropping-particle&quot;:&quot;&quot;,&quot;family&quot;:&quot;Maley&quot;,&quot;given&quot;:&quot;Matthew J.&quot;,&quot;non-dropping-particle&quot;:&quot;&quot;,&quot;parse-names&quot;:false,&quot;suffix&quot;:&quot;&quot;},{&quot;dropping-particle&quot;:&quot;&quot;,&quot;family&quot;:&quot;Hunt&quot;,&quot;given&quot;:&quot;Andrew P.&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Eglin&quot;,&quot;given&quot;:&quot;Clare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0016563a-716f-5de3-ba02-ad86eee0a53d&quot;,&quot;issue&quot;:&quot;May&quot;,&quot;issued&quot;:{&quot;date-parts&quot;:[[&quot;2020&quot;]]},&quot;page&quot;:&quot;102614&quot;,&quot;publisher&quot;:&quot;Elsevier Ltd&quot;,&quot;title&quot;:&quot;Infrared cameras overestimate skin temperature during rewarming from cold exposure&quot;,&quot;type&quot;:&quot;article-journal&quot;,&quot;volume&quot;:&quot;91&quot;,&quot;container-title-short&quot;:&quot;J. Therm. Biol.&quot;},&quot;uris&quot;:[&quot;http://www.mendeley.com/documents/?uuid=1ddc7c8a-0154-477e-b0a9-8ce792b3d2aa&quot;],&quot;isTemporary&quot;:false,&quot;legacyDesktopId&quot;:&quot;1ddc7c8a-0154-477e-b0a9-8ce792b3d2aa&quot;}]},{&quot;citationID&quot;:&quot;MENDELEY_CITATION_35d7f351-e6d7-406f-9eae-111b8369affa&quot;,&quot;properties&quot;:{&quot;noteIndex&quot;:0},&quot;isEdited&quot;:false,&quot;manualOverride&quot;:{&quot;citeprocText&quot;:&quot;[128]&quot;,&quot;isManuallyOverridden&quot;:false,&quot;manualOverrideText&quot;:&quot;&quot;},&quot;citationTag&quot;:&quot;MENDELEY_CITATION_v3_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&quot;,&quot;citationItems&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33d1db27-f3d8-4b33-a39b-5d1ba47c6660&quot;,&quot;properties&quot;:{&quot;noteIndex&quot;:0},&quot;isEdited&quot;:false,&quot;manualOverride&quot;:{&quot;citeprocText&quot;:&quot;[129–131]&quot;,&quot;isManuallyOverridden&quot;:false,&quot;manualOverrideText&quot;:&quot;&quot;},&quot;citationTag&quot;:&quot;MENDELEY_CITATION_v3_eyJjaXRhdGlvbklEIjoiTUVOREVMRVlfQ0lUQVRJT05fMzNkMWRiMjctZjNkOC00YjMzLWEzOWItNWQxYmE0N2M2NjYwIiwicHJvcGVydGllcyI6eyJub3RlSW5kZXgiOjB9LCJpc0VkaXRlZCI6ZmFsc2UsIm1hbnVhbE92ZXJyaWRlIjp7ImNpdGVwcm9jVGV4dCI6IlsxMjnigJMxMzFd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&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id&quot;:&quot;dcdccc1e-1adb-5209-a0b1-151702a93d7b&quot;,&quot;itemData&quot;:{&quot;DOI&quot;:&quot;10.1016/j.jtherbio.2015.01.008&quot;,&quot;ISSN&quot;:&quot;18790992&quot;,&quot;PMID&quot;:&quot;25774024&quot;,&quot;abstract&quot;:&quot;The dynamic nature of tissue temperature and the subcutaneous properties, such as blood flow, fatness, and metabolic rate, leads to variation in local skin temperature. Therefore, we investigated the effects of using multiple regions of interest when calculating weighted mean skin temperature from four local sites. Twenty-six healthy males completed a single trial in a thermonetural laboratory (mean±SD): 24.0 (1.2). °C; 56 (8%) relative humidity; &lt;0.1. m/s air speed). Mean skin temperature was calculated from four local sites (neck, scapula, hand and shin) in accordance with International Standards using digital infrared thermography. A 50. mm×50. mm, defined by strips of aluminium tape, created six unique regions of interest, top left quadrant, top right quadrant, bottom left quadrant, bottom right quadrant, centre quadrant and the entire region of interest, at each of the local sites. The largest potential error in weighted mean skin temperature was calculated using a combination of a) the coolest and b) the warmest regions of interest at each of the local sites. Significant differences between the six regions interest were observed at the neck (. P&lt;0.01), scapula (. P&lt;0.001) and shin (. P&lt;0.05); but not at the hand (. P=0.482). The largest difference (±SEM) at each site was as follows: neck 0.2 (0.1). °C; scapula 0.2 (0.0). °C; shin 0.1 (0.0). °C and hand 0.1 (0.1). °C. The largest potential error (mean±SD) in weighted mean skin temperature was 0.4 (0.1). °C (. P&lt;0.001) and the associated 95% limits of agreement for these differences was 0.2-0.5. °C. Although we observed differences in local and mean skin temperature based on the region of interest employed, these differences were minimal and are not considered physiologically meaningful.&quot;,&quot;author&quot;:[{&quot;dropping-particle&quot;:&quot;&quot;,&quot;family&quot;:&quot;Maniar&quot;,&quot;given&quot;:&quot;Nirav&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dcdccc1e-1adb-5209-a0b1-151702a93d7b&quot;,&quot;issued&quot;:{&quot;date-parts&quot;:[[&quot;2015&quot;]]},&quot;page&quot;:&quot;33-38&quot;,&quot;publisher&quot;:&quot;Elsevier&quot;,&quot;title&quot;:&quot;The effect of using different regions of interest on local and mean skin temperature&quot;,&quot;type&quot;:&quot;article-journal&quot;,&quot;volume&quot;:&quot;49-50&quot;,&quot;container-title-short&quot;:&quot;J. Therm. Biol.&quot;},&quot;uris&quot;:[&quot;http://www.mendeley.com/documents/?uuid=28a6e73e-750e-4dd7-a78a-332372adb79b&quot;],&quot;isTemporary&quot;:false,&quot;legacyDesktopId&quot;:&quot;28a6e73e-750e-4dd7-a78a-332372adb79b&quot;},{&quot;id&quot;:&quot;b581675e-a919-5103-97d8-ee5333e2171f&quot;,&quot;itemData&quot;:{&quot;DOI&quot;:&quot;10.1016/j.jtherbio.2017.07.006&quot;,&quot;ISSN&quot;:&quot;18790992&quot;,&quot;PMID&quot;:&quot;29037377&quot;,&quot;abstract&quot;:&quot;The importance of using infrared thermography (IRT) to assess skin temperature (tsk) is increasing in clinical settings. Recently, its use has been increasing in sports and exercise medicine; however, no consensus guideline exists to address the methods for collecting data in such situations. The aim of this study was to develop a checklist for the collection of tsk using IRT in sports and exercise medicine. We carried out a Delphi study to set a checklist based on consensus agreement from leading experts in the field. Panelists (n  =  24) representing the areas of sport science (n = 8; 33%), physiology (n = 7; 29%), physiotherapy (n = 3; 13%) and medicine (n = 6; 25%), from 13 different countries completed the Delphi process. An initial list of 16 points was proposed which was rated and commented on by panelists in three rounds of anonymous surveys following a standard Delphi procedure. The panel reached consensus on 15 items which encompassed the participants’ demographic information, camera/room or environment setup and recording/analysis of tsk using IRT. The results of the Delphi produced the checklist entitled “Thermographic Imaging in Sports and Exercise Medicine (TISEM)” which is a proposal to standardize the collection and analysis of tsk data using IRT. It is intended that the TISEM can also be applied to evaluate bias in thermographic studies and to guide practitioners in the use of this technique.&quot;,&quot;author&quot;:[{&quot;dropping-particle&quot;:&quot;&quot;,&quot;family&quot;:&quot;Moreira&quot;,&quot;given&quot;:&quot;Danilo Gomes&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Brito&quot;,&quot;given&quot;:&quot;Ciro J.&quot;,&quot;non-dropping-particle&quot;:&quot;&quot;,&quot;parse-names&quot;:false,&quot;suffix&quot;:&quot;&quot;},{&quot;dropping-particle&quot;:&quot;&quot;,&quot;family&quot;:&quot;Adamczyk&quot;,&quot;given&quot;:&quot;Jakub G.&quot;,&quot;non-dropping-particle&quot;:&quot;&quot;,&quot;parse-names&quot;:false,&quot;suffix&quot;:&quot;&quot;},{&quot;dropping-particle&quot;:&quot;&quot;,&quot;family&quot;:&quot;Ammer&quot;,&quot;given&quot;:&quot;Kurt&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Costa&quot;,&quot;given&quot;:&quot;Carlos M.A.&quot;,&quot;non-dropping-particle&quot;:&quot;&quot;,&quot;parse-names&quot;:false,&quot;suffix&quot;:&quot;&quot;},{&quot;dropping-particle&quot;:&quot;&quot;,&quot;family&quot;:&quot;Eglin&quot;,&quot;given&quot;:&quot;Clare&quot;,&quot;non-dropping-particle&quot;:&quot;&quot;,&quot;parse-names&quot;:false,&quot;suffix&quot;:&quot;&quot;},{&quot;dropping-particle&quot;:&quot;&quot;,&quot;family&quot;:&quot;Fernandes&quot;,&quot;given&quot;:&quot;Alex A.&quot;,&quot;non-dropping-particle&quot;:&quot;&quot;,&quot;parse-names&quot;:false,&quot;suffix&quot;:&quot;&quot;},{&quot;dropping-particle&quot;:&quot;&quot;,&quot;family&quot;:&quot;Fernández-Cuevas&quot;,&quot;given&quot;:&quot;Ismael&quot;,&quot;non-dropping-particle&quot;:&quot;&quot;,&quot;parse-names&quot;:false,&quot;suffix&quot;:&quot;&quot;},{&quot;dropping-particle&quot;:&quot;&quot;,&quot;family&quot;:&quot;Ferreira&quot;,&quot;given&quot;:&quot;José J.A.&quot;,&quot;non-dropping-particle&quot;:&quot;&quot;,&quot;parse-names&quot;:false,&quot;suffix&quot;:&quot;&quot;},{&quot;dropping-particle&quot;:&quot;&quot;,&quot;family&quot;:&quot;Formenti&quot;,&quot;given&quot;:&quot;Damiano&quot;,&quot;non-dropping-particle&quot;:&quot;&quot;,&quot;parse-names&quot;:false,&quot;suffix&quot;:&quot;&quot;},{&quot;dropping-particle&quot;:&quot;&quot;,&quot;family&quot;:&quot;Fournet&quot;,&quot;given&quot;:&quot;Damien&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Howell&quot;,&quot;given&quot;:&quot;Kevin&quot;,&quot;non-dropping-particle&quot;:&quot;&quot;,&quot;parse-names&quot;:false,&quot;suffix&quot;:&quot;&quot;},{&quot;dropping-particle&quot;:&quot;&quot;,&quot;family&quot;:&quot;Jung&quot;,&quot;given&quot;:&quot;Anna&quot;,&quot;non-dropping-particle&quot;:&quot;&quot;,&quot;parse-names&quot;:false,&quot;suffix&quot;:&quot;&quot;},{&quot;dropping-particle&quot;:&quot;&quot;,&quot;family&quot;:&quot;Kenny&quot;,&quot;given&quot;:&quot;Glen P.&quot;,&quot;non-dropping-particle&quot;:&quot;&quot;,&quot;parse-names&quot;:false,&quot;suffix&quot;:&quot;&quot;},{&quot;dropping-particle&quot;:&quot;&quot;,&quot;family&quot;:&quot;Kolosovas-Machuca&quot;,&quot;given&quot;:&quot;Eleazar S.&quot;,&quot;non-dropping-particle&quot;:&quot;&quot;,&quot;parse-names&quot;:false,&quot;suffix&quot;:&quot;&quot;},{&quot;dropping-particle&quot;:&quot;&quot;,&quot;family&quot;:&quot;Maley&quot;,&quot;given&quot;:&quot;Matthew J.&quot;,&quot;non-dropping-particle&quot;:&quot;&quot;,&quot;parse-names&quot;:false,&quot;suffix&quot;:&quot;&quot;},{&quot;dropping-particle&quot;:&quot;&quot;,&quot;family&quot;:&quot;Merla&quot;,&quot;given&quot;:&quot;Arcangelo&quot;,&quot;non-dropping-particle&quot;:&quot;&quot;,&quot;parse-names&quot;:false,&quot;suffix&quot;:&quot;&quot;},{&quot;dropping-particle&quot;:&quot;&quot;,&quot;family&quot;:&quot;Pascoe&quot;,&quot;given&quot;:&quot;David D.&quot;,&quot;non-dropping-particle&quot;:&quot;&quot;,&quot;parse-names&quot;:false,&quot;suffix&quot;:&quot;&quot;},{&quot;dropping-particle&quot;:&quot;&quot;,&quot;family&quot;:&quot;Priego Quesada&quot;,&quot;given&quot;:&quot;Jose I.&quot;,&quot;non-dropping-particle&quot;:&quot;&quot;,&quot;parse-names&quot;:false,&quot;suffix&quot;:&quot;&quot;},{&quot;dropping-particle&quot;:&quot;&quot;,&quot;family&quot;:&quot;Schwartz&quot;,&quot;given&quot;:&quot;Robert G.&quot;,&quot;non-dropping-particle&quot;:&quot;&quot;,&quot;parse-names&quot;:false,&quot;suffix&quot;:&quot;&quot;},{&quot;dropping-particle&quot;:&quot;&quot;,&quot;family&quot;:&quot;Seixas&quot;,&quot;given&quot;:&quot;Adérito R.D.&quot;,&quot;non-dropping-particle&quot;:&quot;&quot;,&quot;parse-names&quot;:false,&quot;suffix&quot;:&quot;&quot;},{&quot;dropping-particle&quot;:&quot;&quot;,&quot;family&quot;:&quot;Selfe&quot;,&quot;given&quot;:&quot;James&quot;,&quot;non-dropping-particle&quot;:&quot;&quot;,&quot;parse-names&quot;:false,&quot;suffix&quot;:&quot;&quot;},{&quot;dropping-particle&quot;:&quot;&quot;,&quot;family&quot;:&quot;Vainer&quot;,&quot;given&quot;:&quot;Boris G.&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Journal of Thermal Biology&quot;,&quot;id&quot;:&quot;b581675e-a919-5103-97d8-ee5333e2171f&quot;,&quot;issue&quot;:&quot;5189&quot;,&quot;issued&quot;:{&quot;date-parts&quot;:[[&quot;2017&quot;]]},&quot;page&quot;:&quot;155-162&quot;,&quot;publisher&quot;:&quot;Elsevier Ltd&quot;,&quot;title&quot;:&quot;Thermographic imaging in sports and exercise medicine: A Delphi study and consensus statement on the measurement of human skin temperature&quot;,&quot;type&quot;:&quot;article-journal&quot;,&quot;volume&quot;:&quot;69&quot;,&quot;container-title-short&quot;:&quot;J. Therm. Biol.&quot;},&quot;uris&quot;:[&quot;http://www.mendeley.com/documents/?uuid=f9a9918f-8518-41ee-9db1-7e8123382025&quot;],&quot;isTemporary&quot;:false,&quot;legacyDesktopId&quot;:&quot;f9a9918f-8518-41ee-9db1-7e8123382025&quot;}]},{&quot;citationID&quot;:&quot;MENDELEY_CITATION_7b3d6d24-d326-43ce-b4e6-4706cc7225f0&quot;,&quot;properties&quot;:{&quot;noteIndex&quot;:0},&quot;isEdited&quot;:false,&quot;manualOverride&quot;:{&quot;citeprocText&quot;:&quot;[131]&quot;,&quot;isManuallyOverridden&quot;:false,&quot;manualOverrideText&quot;:&quot;&quot;},&quot;citationTag&quot;:&quot;MENDELEY_CITATION_v3_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&quot;,&quot;citationItems&quot;:[{&quot;id&quot;:&quot;b581675e-a919-5103-97d8-ee5333e2171f&quot;,&quot;itemData&quot;:{&quot;DOI&quot;:&quot;10.1016/j.jtherbio.2017.07.006&quot;,&quot;ISSN&quot;:&quot;18790992&quot;,&quot;PMID&quot;:&quot;29037377&quot;,&quot;abstract&quot;:&quot;The importance of using infrared thermography (IRT) to assess skin temperature (tsk) is increasing in clinical settings. Recently, its use has been increasing in sports and exercise medicine; however, no consensus guideline exists to address the methods for collecting data in such situations. The aim of this study was to develop a checklist for the collection of tsk using IRT in sports and exercise medicine. We carried out a Delphi study to set a checklist based on consensus agreement from leading experts in the field. Panelists (n  =  24) representing the areas of sport science (n = 8; 33%), physiology (n = 7; 29%), physiotherapy (n = 3; 13%) and medicine (n = 6; 25%), from 13 different countries completed the Delphi process. An initial list of 16 points was proposed which was rated and commented on by panelists in three rounds of anonymous surveys following a standard Delphi procedure. The panel reached consensus on 15 items which encompassed the participants’ demographic information, camera/room or environment setup and recording/analysis of tsk using IRT. The results of the Delphi produced the checklist entitled “Thermographic Imaging in Sports and Exercise Medicine (TISEM)” which is a proposal to standardize the collection and analysis of tsk data using IRT. It is intended that the TISEM can also be applied to evaluate bias in thermographic studies and to guide practitioners in the use of this technique.&quot;,&quot;author&quot;:[{&quot;dropping-particle&quot;:&quot;&quot;,&quot;family&quot;:&quot;Moreira&quot;,&quot;given&quot;:&quot;Danilo Gomes&quot;,&quot;non-dropping-particle&quot;:&quot;&quot;,&quot;parse-names&quot;:false,&quot;suffix&quot;:&quot;&quot;},{&quot;dropping-particle&quot;:&quot;&quot;,&quot;family&quot;:&quot;Costello&quot;,&quot;given&quot;:&quot;Joseph T.&quot;,&quot;non-dropping-particle&quot;:&quot;&quot;,&quot;parse-names&quot;:false,&quot;suffix&quot;:&quot;&quot;},{&quot;dropping-particle&quot;:&quot;&quot;,&quot;family&quot;:&quot;Brito&quot;,&quot;given&quot;:&quot;Ciro J.&quot;,&quot;non-dropping-particle&quot;:&quot;&quot;,&quot;parse-names&quot;:false,&quot;suffix&quot;:&quot;&quot;},{&quot;dropping-particle&quot;:&quot;&quot;,&quot;family&quot;:&quot;Adamczyk&quot;,&quot;given&quot;:&quot;Jakub G.&quot;,&quot;non-dropping-particle&quot;:&quot;&quot;,&quot;parse-names&quot;:false,&quot;suffix&quot;:&quot;&quot;},{&quot;dropping-particle&quot;:&quot;&quot;,&quot;family&quot;:&quot;Ammer&quot;,&quot;given&quot;:&quot;Kurt&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Costa&quot;,&quot;given&quot;:&quot;Carlos M.A.&quot;,&quot;non-dropping-particle&quot;:&quot;&quot;,&quot;parse-names&quot;:false,&quot;suffix&quot;:&quot;&quot;},{&quot;dropping-particle&quot;:&quot;&quot;,&quot;family&quot;:&quot;Eglin&quot;,&quot;given&quot;:&quot;Clare&quot;,&quot;non-dropping-particle&quot;:&quot;&quot;,&quot;parse-names&quot;:false,&quot;suffix&quot;:&quot;&quot;},{&quot;dropping-particle&quot;:&quot;&quot;,&quot;family&quot;:&quot;Fernandes&quot;,&quot;given&quot;:&quot;Alex A.&quot;,&quot;non-dropping-particle&quot;:&quot;&quot;,&quot;parse-names&quot;:false,&quot;suffix&quot;:&quot;&quot;},{&quot;dropping-particle&quot;:&quot;&quot;,&quot;family&quot;:&quot;Fernández-Cuevas&quot;,&quot;given&quot;:&quot;Ismael&quot;,&quot;non-dropping-particle&quot;:&quot;&quot;,&quot;parse-names&quot;:false,&quot;suffix&quot;:&quot;&quot;},{&quot;dropping-particle&quot;:&quot;&quot;,&quot;family&quot;:&quot;Ferreira&quot;,&quot;given&quot;:&quot;José J.A.&quot;,&quot;non-dropping-particle&quot;:&quot;&quot;,&quot;parse-names&quot;:false,&quot;suffix&quot;:&quot;&quot;},{&quot;dropping-particle&quot;:&quot;&quot;,&quot;family&quot;:&quot;Formenti&quot;,&quot;given&quot;:&quot;Damiano&quot;,&quot;non-dropping-particle&quot;:&quot;&quot;,&quot;parse-names&quot;:false,&quot;suffix&quot;:&quot;&quot;},{&quot;dropping-particle&quot;:&quot;&quot;,&quot;family&quot;:&quot;Fournet&quot;,&quot;given&quot;:&quot;Damien&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Howell&quot;,&quot;given&quot;:&quot;Kevin&quot;,&quot;non-dropping-particle&quot;:&quot;&quot;,&quot;parse-names&quot;:false,&quot;suffix&quot;:&quot;&quot;},{&quot;dropping-particle&quot;:&quot;&quot;,&quot;family&quot;:&quot;Jung&quot;,&quot;given&quot;:&quot;Anna&quot;,&quot;non-dropping-particle&quot;:&quot;&quot;,&quot;parse-names&quot;:false,&quot;suffix&quot;:&quot;&quot;},{&quot;dropping-particle&quot;:&quot;&quot;,&quot;family&quot;:&quot;Kenny&quot;,&quot;given&quot;:&quot;Glen P.&quot;,&quot;non-dropping-particle&quot;:&quot;&quot;,&quot;parse-names&quot;:false,&quot;suffix&quot;:&quot;&quot;},{&quot;dropping-particle&quot;:&quot;&quot;,&quot;family&quot;:&quot;Kolosovas-Machuca&quot;,&quot;given&quot;:&quot;Eleazar S.&quot;,&quot;non-dropping-particle&quot;:&quot;&quot;,&quot;parse-names&quot;:false,&quot;suffix&quot;:&quot;&quot;},{&quot;dropping-particle&quot;:&quot;&quot;,&quot;family&quot;:&quot;Maley&quot;,&quot;given&quot;:&quot;Matthew J.&quot;,&quot;non-dropping-particle&quot;:&quot;&quot;,&quot;parse-names&quot;:false,&quot;suffix&quot;:&quot;&quot;},{&quot;dropping-particle&quot;:&quot;&quot;,&quot;family&quot;:&quot;Merla&quot;,&quot;given&quot;:&quot;Arcangelo&quot;,&quot;non-dropping-particle&quot;:&quot;&quot;,&quot;parse-names&quot;:false,&quot;suffix&quot;:&quot;&quot;},{&quot;dropping-particle&quot;:&quot;&quot;,&quot;family&quot;:&quot;Pascoe&quot;,&quot;given&quot;:&quot;David D.&quot;,&quot;non-dropping-particle&quot;:&quot;&quot;,&quot;parse-names&quot;:false,&quot;suffix&quot;:&quot;&quot;},{&quot;dropping-particle&quot;:&quot;&quot;,&quot;family&quot;:&quot;Priego Quesada&quot;,&quot;given&quot;:&quot;Jose I.&quot;,&quot;non-dropping-particle&quot;:&quot;&quot;,&quot;parse-names&quot;:false,&quot;suffix&quot;:&quot;&quot;},{&quot;dropping-particle&quot;:&quot;&quot;,&quot;family&quot;:&quot;Schwartz&quot;,&quot;given&quot;:&quot;Robert G.&quot;,&quot;non-dropping-particle&quot;:&quot;&quot;,&quot;parse-names&quot;:false,&quot;suffix&quot;:&quot;&quot;},{&quot;dropping-particle&quot;:&quot;&quot;,&quot;family&quot;:&quot;Seixas&quot;,&quot;given&quot;:&quot;Adérito R.D.&quot;,&quot;non-dropping-particle&quot;:&quot;&quot;,&quot;parse-names&quot;:false,&quot;suffix&quot;:&quot;&quot;},{&quot;dropping-particle&quot;:&quot;&quot;,&quot;family&quot;:&quot;Selfe&quot;,&quot;given&quot;:&quot;James&quot;,&quot;non-dropping-particle&quot;:&quot;&quot;,&quot;parse-names&quot;:false,&quot;suffix&quot;:&quot;&quot;},{&quot;dropping-particle&quot;:&quot;&quot;,&quot;family&quot;:&quot;Vainer&quot;,&quot;given&quot;:&quot;Boris G.&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Journal of Thermal Biology&quot;,&quot;id&quot;:&quot;b581675e-a919-5103-97d8-ee5333e2171f&quot;,&quot;issue&quot;:&quot;5189&quot;,&quot;issued&quot;:{&quot;date-parts&quot;:[[&quot;2017&quot;]]},&quot;page&quot;:&quot;155-162&quot;,&quot;publisher&quot;:&quot;Elsevier Ltd&quot;,&quot;title&quot;:&quot;Thermographic imaging in sports and exercise medicine: A Delphi study and consensus statement on the measurement of human skin temperature&quot;,&quot;type&quot;:&quot;article-journal&quot;,&quot;volume&quot;:&quot;69&quot;,&quot;container-title-short&quot;:&quot;J. Therm. Biol.&quot;},&quot;uris&quot;:[&quot;http://www.mendeley.com/documents/?uuid=f9a9918f-8518-41ee-9db1-7e8123382025&quot;],&quot;isTemporary&quot;:false,&quot;legacyDesktopId&quot;:&quot;f9a9918f-8518-41ee-9db1-7e8123382025&quot;}]},{&quot;citationID&quot;:&quot;MENDELEY_CITATION_28509a1a-284a-4f4d-92ee-5b780241b037&quot;,&quot;properties&quot;:{&quot;noteIndex&quot;:0},&quot;isEdited&quot;:false,&quot;manualOverride&quot;:{&quot;citeprocText&quot;:&quot;[125,128,132,133]&quot;,&quot;isManuallyOverridden&quot;:false,&quot;manualOverrideText&quot;:&quot;&quot;},&quot;citationTag&quot;:&quot;MENDELEY_CITATION_v3_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quot;,&quot;citationItems&quot;:[{&quot;id&quot;:&quot;30cc6c3b-2656-5f17-86ee-1edf7b992c4f&quot;,&quot;itemData&quot;:{&quot;DOI&quot;:&quot;10.1088/0967-3334/19/2/016&quot;,&quot;ISSN&quot;:&quot;09673334&quot;,&quot;PMID&quot;:&quot;9626693&quot;,&quot;abstract&quot;:&quot;The purpose of this study was to compare the mean skin temperature (T̄(sk)) obtained using 'covered' versus 'uncovered' contact thermistors in a variety of environmental conditions. Ten male subjects walked on a treadmill at 6.4 kph for 30 min in three different environments: thermoneutral (23 °C/50% RH), hot-humid (35 °C/80%), and hot-dry (42 °C/20%). T̄(sk) was measured using three 'uncovered' contact thermistors, and three 'covered' thermistors. The 'uncovered' probes were attached using acrylic rings that allowed the outer surface of the thermistors to have free exchange with the environment. The 'covered' probes were affixed to the skin using foam patches and tape. The latter procedure is commonly used in many research and clinical laboratories. The 'covered' probes resulted in a significantly (p &lt; 0.05) higher T̄(sk) under all three environmental conditions. The largest difference occurred in the thermoneutral condition with the 'covered' T̄(sk) being 1.3 °C higher than the 'uncovered' T̄(sk). These results suggest that covering a contact skin thermistor hinders heat loss and results in an artificially high T̄(sk). It is hoped that the results of this study will encourage the adoption of 'uncovered' contact skin thermistors in the future.&quot;,&quot;author&quot;:[{&quot;dropping-particle&quot;:&quot;&quot;,&quot;family&quot;:&quot;Buono&quot;,&quot;given&quot;:&quot;Michael J.&quot;,&quot;non-dropping-particle&quot;:&quot;&quot;,&quot;parse-names&quot;:false,&quot;suffix&quot;:&quot;&quot;},{&quot;dropping-particle&quot;:&quot;&quot;,&quot;family&quot;:&quot;Ulrich&quot;,&quot;given&quot;:&quot;Rachel L.&quot;,&quot;non-dropping-particle&quot;:&quot;&quot;,&quot;parse-names&quot;:false,&quot;suffix&quot;:&quot;&quot;}],&quot;container-title&quot;:&quot;Physiological Measurement&quot;,&quot;id&quot;:&quot;30cc6c3b-2656-5f17-86ee-1edf7b992c4f&quot;,&quot;issue&quot;:&quot;2&quot;,&quot;issued&quot;:{&quot;date-parts&quot;:[[&quot;1998&quot;]]},&quot;page&quot;:&quot;297-300&quot;,&quot;title&quot;:&quot;Comparison of mean skin temperature using 'covered' versus 'uncovered' contact thermistors&quot;,&quot;type&quot;:&quot;article-journal&quot;,&quot;volume&quot;:&quot;19&quot;,&quot;container-title-short&quot;:&quot;Physiol. Meas.&quot;},&quot;uris&quot;:[&quot;http://www.mendeley.com/documents/?uuid=f6f6f754-3007-415e-bbd3-61121c8cf63a&quot;],&quot;isTemporary&quot;:false,&quot;legacyDesktopId&quot;:&quot;f6f6f754-3007-415e-bbd3-61121c8cf63a&quot;},{&quot;id&quot;:&quot;a2779917-0898-5ac1-b2cd-875a91a98a9d&quot;,&quot;itemData&quot;:{&quot;ISBN&quot;:&quot;8006383030&quot;,&quot;author&quot;:[{&quot;dropping-particle&quot;:&quot;&quot;,&quot;family&quot;:&quot;Cheung&quot;,&quot;given&quot;:&quot;S.S&quot;,&quot;non-dropping-particle&quot;:&quot;&quot;,&quot;parse-names&quot;:false,&quot;suffix&quot;:&quot;&quot;},{&quot;dropping-particle&quot;:&quot;&quot;,&quot;family&quot;:&quot;Sweeney&quot;,&quot;given&quot;:&quot;D.H.&quot;,&quot;non-dropping-particle&quot;:&quot;&quot;,&quot;parse-names&quot;:false,&quot;suffix&quot;:&quot;&quot;}],&quot;container-title&quot;:&quot;Medicine &amp; Science in Sports &amp; Exercise&quot;,&quot;id&quot;:&quot;a2779917-0898-5ac1-b2cd-875a91a98a9d&quot;,&quot;issue&quot;:&quot;5&quot;,&quot;issued&quot;:{&quot;date-parts&quot;:[[&quot;2001&quot;]]},&quot;page&quot;:&quot;S161&quot;,&quot;title&quot;:&quot;Influence of attachment method and clothing on skin temperature sensor accuracy&quot;,&quot;type&quot;:&quot;article-journal&quot;,&quot;volume&quot;:&quot;33&quot;,&quot;container-title-short&quot;:&quot;Med. Sci. Sports Exerc.&quot;},&quot;uris&quot;:[&quot;http://www.mendeley.com/documents/?uuid=c4d5a561-fe9e-4faa-9d76-3564c166fe78&quot;],&quot;isTemporary&quot;:false,&quot;legacyDesktopId&quot;:&quot;c4d5a561-fe9e-4faa-9d76-3564c166fe78&quot;},{&quot;id&quot;:&quot;1920f737-27f8-59ae-9521-bb49f4d162f3&quot;,&quot;itemData&quot;:{&quot;DOI&quot;:&quot;10.1016/j.ijheatmasstransfer.2009.02.011&quot;,&quot;ISSN&quot;:&quot;00179310&quot;,&quot;abstract&quot;:&quot;Numerical simulations have been performed to determine the performance characteristics of direct-contact devices for the measurement of skin-surface temperature. Such devices consist of a thin metallic foil which serves as a heat spreader backed by a foam insulation pad. The sensor, either a miniature thermocouple or thermistor, is adhered to the heat-spreading foil. In practice, such devices operate in the transient mode, and the numerical simulations were performed in that mode. Special focus was given to three relevant parameters which contribute significantly to the accuracy of the temperature measurements: (a) the thickness of the foam pad, (b) the thermal conductivity of the pad material, and (c) the contact resistance between the device and the skin surface. It was found that the presence of the foam pad significantly degraded the accuracy of the measured temperature. Diminishing the thickness or, in the limit, elimination of the pad is believed necessary to enable the device to provide temperatures of acceptable accuracy. An alternative and suitable approach to the achievement of satisfactory accuracy is to use pad materials of higher thermal conductivity than those presently being utilized. With regard to contact resistance, the presence of an air gap between the device and the skin surface of the thickness of a sheet of paper did not cause a significant error in the temperature indicated by the device. © 2009 Elsevier Ltd. All rights reserved.&quot;,&quot;author&quot;:[{&quot;dropping-particle&quot;:&quot;&quot;,&quot;family&quot;:&quot;Boetcher&quot;,&quot;given&quot;:&quot;S. K.S.&quot;,&quot;non-dropping-particle&quot;:&quot;&quot;,&quot;parse-names&quot;:false,&quot;suffix&quot;:&quot;&quot;},{&quot;dropping-particle&quot;:&quot;&quot;,&quot;family&quot;:&quot;Sparrow&quot;,&quot;given&quot;:&quot;E. M.&quot;,&quot;non-dropping-particle&quot;:&quot;&quot;,&quot;parse-names&quot;:false,&quot;suffix&quot;:&quot;&quot;},{&quot;dropping-particle&quot;:&quot;V.&quot;,&quot;family&quot;:&quot;Dugay&quot;,&quot;given&quot;:&quot;M.&quot;,&quot;non-dropping-particle&quot;:&quot;&quot;,&quot;parse-names&quot;:false,&quot;suffix&quot;:&quot;&quot;}],&quot;container-title&quot;:&quot;International Journal of Heat and Mass Transfer&quot;,&quot;id&quot;:&quot;1920f737-27f8-59ae-9521-bb49f4d162f3&quot;,&quot;issue&quot;:&quot;15-16&quot;,&quot;issued&quot;:{&quot;date-parts&quot;:[[&quot;2009&quot;]]},&quot;page&quot;:&quot;3799-3804&quot;,&quot;publisher&quot;:&quot;Elsevier Ltd&quot;,&quot;title&quot;:&quot;Characteristics of direct-contact, skin-surface temperature sensors&quot;,&quot;type&quot;:&quot;article-journal&quot;,&quot;volume&quot;:&quot;52&quot;,&quot;container-title-short&quot;:&quot;Int. J. Heat Mass Transf.&quot;},&quot;uris&quot;:[&quot;http://www.mendeley.com/documents/?uuid=72d8f319-1a85-4a2a-b3b5-288f541dff47&quot;],&quot;isTemporary&quot;:false,&quot;legacyDesktopId&quot;:&quot;72d8f319-1a85-4a2a-b3b5-288f541dff47&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e3d38c23-5b65-46b1-9b44-8a91fc6002ff&quot;,&quot;properties&quot;:{&quot;noteIndex&quot;:0},&quot;isEdited&quot;:false,&quot;manualOverride&quot;:{&quot;citeprocText&quot;:&quot;[134]&quot;,&quot;isManuallyOverridden&quot;:false,&quot;manualOverrideText&quot;:&quot;&quot;},&quot;citationTag&quot;:&quot;MENDELEY_CITATION_v3_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&quot;,&quot;citationItems&quot;:[{&quot;id&quot;:&quot;c996f2c9-ee29-544b-a339-6c9a7c604900&quot;,&quot;itemData&quot;:{&quot;DOI&quot;:&quot;10.1016/S0893-133X(01)00315-3&quot;,&quot;ISSN&quot;:&quot;1740634X&quot;,&quot;PMID&quot;:&quot;11682282&quot;,&quot;abstract&quot;:&quot;Thermoregulatory processes have long been implicated in initiation of human sleep. A meta-analysis of studies carried out under the controlled conditions of a constant routine protocol followed by nocturnal sleep revealed that heat loss, indirectly measured by the distal-proximal skin temperature gradient, was the best predictor variable for sleep onset latency (compared with core body temperature or its rate of change, heart rate, melatonin onset, and subjective sleepiness ratings). The cognitive signal of \&quot;lights out\&quot; induced relaxation, with a consequent shift in heat redistribution fromthe core to the periphery (as measured by an abrupt increase in skin temperatures and a rapid fall in heart rate). These thermoregulatory changes took place before sleep onset: sleep itself had minorfurther effects. Thus, when the confounding, long-lasting masking effects of lying down are controlled for, circadian thermoregulation initiates sleep, but does not appear to play a major role in its maintenance. © 2001 American College of Neuropsychopharmacology.&quot;,&quot;author&quot;:[{&quot;dropping-particle&quot;:&quot;&quot;,&quot;family&quot;:&quot;Kräuchi&quot;,&quot;given&quot;:&quot;Kurt&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Neuropsychopharmacology&quot;,&quot;id&quot;:&quot;c996f2c9-ee29-544b-a339-6c9a7c604900&quot;,&quot;issue&quot;:&quot;5&quot;,&quot;issued&quot;:{&quot;date-parts&quot;:[[&quot;2001&quot;]]},&quot;page&quot;:&quot;S92-S96&quot;,&quot;title&quot;:&quot;Circadian clues to sleep onset mechanisms&quot;,&quot;type&quot;:&quot;article-journal&quot;,&quot;volume&quot;:&quot;25&quot;,&quot;container-title-short&quot;:&quot;&quot;},&quot;uris&quot;:[&quot;http://www.mendeley.com/documents/?uuid=8c981ec7-6784-445a-b439-5ad69fb2bdb4&quot;],&quot;isTemporary&quot;:false,&quot;legacyDesktopId&quot;:&quot;8c981ec7-6784-445a-b439-5ad69fb2bdb4&quot;}]},{&quot;citationID&quot;:&quot;MENDELEY_CITATION_f5dac635-5be7-4c7d-8e02-999959cb156b&quot;,&quot;properties&quot;:{&quot;noteIndex&quot;:0},&quot;isEdited&quot;:false,&quot;manualOverride&quot;:{&quot;citeprocText&quot;:&quot;[135–137]&quot;,&quot;isManuallyOverridden&quot;:false,&quot;manualOverrideText&quot;:&quot;&quot;},&quot;citationTag&quot;:&quot;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&quot;,&quot;citationItems&quot;:[{&quot;id&quot;:&quot;b2019b4a-43ed-5e67-a367-c35e0d998dc1&quot;,&quot;itemData&quot;:{&quot;DOI&quot;:&quot;10.1111/ped.12473&quot;,&quot;ISSN&quot;:&quot;1442200X&quot;,&quot;PMID&quot;:&quot;25142182&quot;,&quot;abstract&quot;:&quot;Background The objective of this study was to explore the possibility of using distal-proximal skin temperature gradient (DPG) to predict sleep-onset latency of night-time sleep for infants at home. Methods Foot (for distal) and abdominal (for proximal) skin temperature during sleep onset in healthy infants, aged 4-9 months, was continuously recorded using a temperature logger at home. Sleep-onset latency during each study night was defined as the interval from lights-off to sleep onset, determined on actigraphy. Association of DPG profile after lights-off with sleep-onset latency on the study nights was evaluated. Results Data for 43 nights from 28 infants were available for analysis. With regard to low DPG (&lt;-2.5°C) at lights-off, &gt;60% of infants fell asleep within 30 min if DPG was increased to ≥-2.5°C within 15 min after lights-off. If DPG remained at &lt;-2.5°C at 15 min after lights-off, however, only 20% of infants fell asleep within 30 min. In addition, if infants were still awake at 15 min after lights-off and the DPG at that time was &lt;-2.5°C, they were not likely to quickly fall asleep (predictive value was 0.875). Conclusions Increase in DPG by 15 min after lights-off is a key determinant for sleep-onset latency.&quot;,&quot;author&quot;:[{&quot;dropping-particle&quot;:&quot;&quot;,&quot;family&quot;:&quot;Abe&quot;,&quot;given&quot;:&quot;Noriko&quot;,&quot;non-dropping-particle&quot;:&quot;&quot;,&quot;parse-names&quot;:false,&quot;suffix&quot;:&quot;&quot;},{&quot;dropping-particle&quot;:&quot;&quot;,&quot;family&quot;:&quot;Kodama&quot;,&quot;given&quot;:&quot;Hideya&quot;,&quot;non-dropping-particle&quot;:&quot;&quot;,&quot;parse-names&quot;:false,&quot;suffix&quot;:&quot;&quot;}],&quot;container-title&quot;:&quot;Pediatrics International&quot;,&quot;id&quot;:&quot;b2019b4a-43ed-5e67-a367-c35e0d998dc1&quot;,&quot;issue&quot;:&quot;2&quot;,&quot;issued&quot;:{&quot;date-parts&quot;:[[&quot;2015&quot;]]},&quot;page&quot;:&quot;227-233&quot;,&quot;title&quot;:&quot;Distal-proximal skin temperature gradient prior to sleep onset in infants for clinical use&quot;,&quot;type&quot;:&quot;article-journal&quot;,&quot;volume&quot;:&quot;57&quot;,&quot;container-title-short&quot;:&quot;&quot;},&quot;uris&quot;:[&quot;http://www.mendeley.com/documents/?uuid=8c5a59a5-df72-4ddc-9f75-2fd35d07b397&quot;],&quot;isTemporary&quot;:false,&quot;legacyDesktopId&quot;:&quot;8c5a59a5-df72-4ddc-9f75-2fd35d07b397&quot;},{&quot;id&quot;:&quot;0064d09a-e5a1-55f6-b94e-06903fac1ede&quot;,&quot;itemData&quot;:{&quot;DOI&quot;:&quot;10.1038/43366&quot;,&quot;ISSN&quot;:&quot;0028-0836&quot;,&quot;abstract&quot;:&quot;there is a long-period sinusoidally modulated structure like that of erbium. The value of the exchange stabilization energy of the helix, J(q m)J(0), may be estimated from the peak susceptibility using max 0 Nm 2 /{S 2 [J(q m)J(0)]} (ref. 7), where 0 is the permeability of free space, m is the atomic moment of gadolinium, S7/2, J is the exchange energy and q m is the reduced wave vector in the c-direction; max 75 gives J(q m)J(0)0.013 K. Extrapolating from the heavy rare-earth metals, where J(q m)J(0)q m 4 , we estimate that q m 0.029 Å 1 ; the corresponding wavelength, m , is 70 Å. Examination of gadolinium close to T C , using techniques to observe the long-period modulation directly, may confirm that gadolinium is not really ferromagnetic.&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erth&quot;,&quot;given&quot;:&quot;Esther&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Nature&quot;,&quot;id&quot;:&quot;0064d09a-e5a1-55f6-b94e-06903fac1ede&quot;,&quot;issue&quot;:&quot;6748&quot;,&quot;issued&quot;:{&quot;date-parts&quot;:[[&quot;1999&quot;,&quot;9&quot;]]},&quot;page&quot;:&quot;36-37&quot;,&quot;title&quot;:&quot;Warm feet promote the rapid onset of sleep&quot;,&quot;type&quot;:&quot;article-journal&quot;,&quot;volume&quot;:&quot;401&quot;,&quot;container-title-short&quot;:&quot;Nature&quot;},&quot;uris&quot;:[&quot;http://www.mendeley.com/documents/?uuid=25f758f4-5129-47cf-8269-061d9dc90469&quot;],&quot;isTemporary&quot;:false,&quot;legacyDesktopId&quot;:&quot;25f758f4-5129-47cf-8269-061d9dc90469&quot;},{&quot;id&quot;:&quot;d1c42e8c-64b2-5b59-8da3-d4c1779064ba&quot;,&quot;itemData&quot;:{&quot;DOI&quot;:&quot;10.1152/jappl.1997.83.1.134&quot;,&quot;ISSN&quot;:&quot;87507587&quot;,&quot;PMID&quot;:&quot;9216955&quot;,&quot;abstract&quot;:&quot;Both the pineal hormone melatonin (Mel) and postural changes have thermoregulatory sequelae. The purpose of the study was to evaluate their relationship to subjective sleepiness. Eight healthy young men were investigated under the unmasking conditions of a constant routine protocol. Heart rate, rectal temperature (T(re)), skin temperatures (foot, T(fo); and stomach), and subjective sleepiness ratings were continuously recorded from 1000 to 1700. Mel (5 mg po) was administered at 1300, a time when Mel should not phase shift the circadian system. Both the postural change at 1000 from upright to a supine position (lying down in bed) and Mel administration at 1300 reduced T(re) and increased T(fo) in parallel with increased sleepiness. These findings suggest that under comfortable ambient temperature conditions, heat loss via the distal skin regions (e.g., feet) is a key mechanism for induction of sleepiness as core body temperature declines.&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Journal of Applied Physiology&quot;,&quot;id&quot;:&quot;d1c42e8c-64b2-5b59-8da3-d4c1779064ba&quot;,&quot;issue&quot;:&quot;1&quot;,&quot;issued&quot;:{&quot;date-parts&quot;:[[&quot;1997&quot;]]},&quot;page&quot;:&quot;134-139&quot;,&quot;title&quot;:&quot;A relationship between heat loss and sleepiness: Effects of postural change and melatonin administration&quot;,&quot;type&quot;:&quot;article-journal&quot;,&quot;volume&quot;:&quot;83&quot;,&quot;container-title-short&quot;:&quot;J. Appl. Physiol.&quot;},&quot;uris&quot;:[&quot;http://www.mendeley.com/documents/?uuid=3d91e5b6-3e46-430d-a0a7-3e1f07fe6429&quot;],&quot;isTemporary&quot;:false,&quot;legacyDesktopId&quot;:&quot;3d91e5b6-3e46-430d-a0a7-3e1f07fe6429&quot;}]},{&quot;citationID&quot;:&quot;MENDELEY_CITATION_1ac87860-caa8-4fe5-836c-669ce21cb7e5&quot;,&quot;properties&quot;:{&quot;noteIndex&quot;:0},&quot;isEdited&quot;:false,&quot;manualOverride&quot;:{&quot;citeprocText&quot;:&quot;[138]&quot;,&quot;isManuallyOverridden&quot;:false,&quot;manualOverrideText&quot;:&quot;&quot;},&quot;citationTag&quot;:&quot;MENDELEY_CITATION_v3_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&quot;,&quot;citationItems&quot;:[{&quot;id&quot;:&quot;87030d99-1c47-53ff-b6e3-104b0716104f&quot;,&quot;itemData&quot;:{&quot;DOI&quot;:&quot;10.1038/s41467-023-40977-5&quot;,&quot;ISSN&quot;:&quot;2041-1723&quot;,&quot;PMID&quot;:&quot;37620332&quot;,&quot;abstract&quot;:&quot;Many chronic disease symptomatologies involve desynchronized sleep-wake cycles, indicative of disrupted biorhythms. This can be interrogated using body temperature rhythms, which have circadian as well as sleep-wake behavior/environmental evoked components. Here, we investigated the association of wrist temperature amplitudes with a future onset of disease in the UK Biobank one year after actigraphy. Among 425 disease conditions (range n = 200-6728) compared to controls (range n = 62,107-91,134), a total of 73 (17%) disease phenotypes were significantly associated with decreased amplitudes of wrist temperature (Benjamini-Hochberg FDR q &lt; 0.05) and 26 (6.1%) PheCODEs passed a more stringent significance level (Bonferroni-correction α &lt; 0.05). A two-standard deviation (1.8° Celsius) lower wrist temperature amplitude corresponded to hazard ratios of 1.91 (1.58-2.31 95% CI) for NAFLD, 1.69 (1.53-1.88) for type 2 diabetes, 1.25 (1.14-1.37) for renal failure, 1.23 (1.17-1.3) for hypertension, and 1.22 (1.11-1.33) for pneumonia (phenome-wide atlas available at http://bioinf.itmat.upenn.edu/biorhythm_atlas/ ). This work suggests peripheral thermoregulation as a digital biomarker.&quot;,&quot;author&quot;:[{&quot;dropping-particle&quot;:&quot;&quot;,&quot;family&quot;:&quot;Brooks&quot;,&quot;given&quot;:&quot;Thomas G.&quot;,&quot;non-dropping-particle&quot;:&quot;&quot;,&quot;parse-names&quot;:false,&quot;suffix&quot;:&quot;&quot;},{&quot;dropping-particle&quot;:&quot;&quot;,&quot;family&quot;:&quot;Lahens&quot;,&quot;given&quot;:&quot;Nicholas F.&quot;,&quot;non-dropping-particle&quot;:&quot;&quot;,&quot;parse-names&quot;:false,&quot;suffix&quot;:&quot;&quot;},{&quot;dropping-particle&quot;:&quot;&quot;,&quot;family&quot;:&quot;Grant&quot;,&quot;given&quot;:&quot;Gregory R.&quot;,&quot;non-dropping-particle&quot;:&quot;&quot;,&quot;parse-names&quot;:false,&quot;suffix&quot;:&quot;&quot;},{&quot;dropping-particle&quot;:&quot;&quot;,&quot;family&quot;:&quot;Sheline&quot;,&quot;given&quot;:&quot;Yvette I.&quot;,&quot;non-dropping-particle&quot;:&quot;&quot;,&quot;parse-names&quot;:false,&quot;suffix&quot;:&quot;&quot;},{&quot;dropping-particle&quot;:&quot;&quot;,&quot;family&quot;:&quot;FitzGerald&quot;,&quot;given&quot;:&quot;Garret A.&quot;,&quot;non-dropping-particle&quot;:&quot;&quot;,&quot;parse-names&quot;:false,&quot;suffix&quot;:&quot;&quot;},{&quot;dropping-particle&quot;:&quot;&quot;,&quot;family&quot;:&quot;Skarke&quot;,&quot;given&quot;:&quot;Carsten&quot;,&quot;non-dropping-particle&quot;:&quot;&quot;,&quot;parse-names&quot;:false,&quot;suffix&quot;:&quot;&quot;}],&quot;container-title&quot;:&quot;Nature Communications&quot;,&quot;id&quot;:&quot;87030d99-1c47-53ff-b6e3-104b0716104f&quot;,&quot;issue&quot;:&quot;1&quot;,&quot;issued&quot;:{&quot;date-parts&quot;:[[&quot;2023&quot;,&quot;8&quot;,&quot;24&quot;]]},&quot;page&quot;:&quot;5172&quot;,&quot;publisher&quot;:&quot;Springer US&quot;,&quot;title&quot;:&quot;Diurnal rhythms of wrist temperature are associated with future disease risk in the UK Biobank&quot;,&quot;type&quot;:&quot;article-journal&quot;,&quot;volume&quot;:&quot;14&quot;,&quot;container-title-short&quot;:&quot;Nat. Commun.&quot;},&quot;uris&quot;:[&quot;http://www.mendeley.com/documents/?uuid=833f5f31-1c5f-465b-8a96-a9929279722c&quot;],&quot;isTemporary&quot;:false,&quot;legacyDesktopId&quot;:&quot;833f5f31-1c5f-465b-8a96-a9929279722c&quot;}]},{&quot;citationID&quot;:&quot;MENDELEY_CITATION_583f3d1e-f5a8-4d88-9fac-f6aa2d638dda&quot;,&quot;properties&quot;:{&quot;noteIndex&quot;:0},&quot;isEdited&quot;:false,&quot;manualOverride&quot;:{&quot;citeprocText&quot;:&quot;[139]&quot;,&quot;isManuallyOverridden&quot;:false,&quot;manualOverrideText&quot;:&quot;&quot;},&quot;citationTag&quot;:&quot;MENDELEY_CITATION_v3_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&quot;,&quot;citationItems&quot;:[{&quot;id&quot;:&quot;2e95e36c-c5f8-508d-80fb-e6f25bc12913&quot;,&quot;itemData&quot;:{&quot;DOI&quot;:&quot;10.1016/j.ijnurstu.2004.11.011&quot;,&quot;ISSN&quot;:&quot;00207489&quot;,&quot;PMID&quot;:&quot;16084919&quot;,&quot;abstract&quot;:&quot;Increased distal (foot)-proximal (abdominal) skin temperature gradient (DPG) has been associated with better sleep initiation. Warm footbath can affect distal skin temperature to change DPG. However, the optimum water temperature and duration necessary to raise DPG has not been established. This study explored the effects of 1-h foot bathing at two water temperatures of 40 and 41°C, respectively, on DPG in Taiwanese elders (n=6, ages 60-73 years). Each subject's feet and legs were immersed in a temperature-controlled water tub to 20 cm above the ankles for 60 min in each of two water temperatures. Oral, abdominal, and foot temperatures were taken during (at 10-min intervals), and after (at 1-min intervals) foot bathing. DPG was calculated by subtracting abdominal temperature from foot temperature. Results showed the value of DPG was significantly increased in the 10th min bathing at both water temperatures and maintained above 0°C. DPG gradually declined after bathing at both water temperatures. The value of DPG with 41°C water was slightly higher than 40°C. All subjects tolerated both bathing temperatures well for 1 h. Both 40 and 41°C foot bathing for 1 h can increase the DPG and may be an effective way to affect whole body skin blood flow and trigger heat dissipation. © 2005 Elsevier Ltd. All rights reserved.&quot;,&quot;author&quot;:[{&quot;dropping-particle&quot;:&quot;&quot;,&quot;family&quot;:&quot;Liao&quot;,&quot;given&quot;:&quot;Wen-Chun&quot;,&quot;non-dropping-particle&quot;:&quot;&quot;,&quot;parse-names&quot;:false,&quot;suffix&quot;:&quot;&quot;},{&quot;dropping-particle&quot;:&quot;&quot;,&quot;family&quot;:&quot;Landis&quot;,&quot;given&quot;:&quot;Carol A.&quot;,&quot;non-dropping-particle&quot;:&quot;&quot;,&quot;parse-names&quot;:false,&quot;suffix&quot;:&quot;&quot;},{&quot;dropping-particle&quot;:&quot;&quot;,&quot;family&quot;:&quot;Lentz&quot;,&quot;given&quot;:&quot;Martha J.&quot;,&quot;non-dropping-particle&quot;:&quot;&quot;,&quot;parse-names&quot;:false,&quot;suffix&quot;:&quot;&quot;},{&quot;dropping-particle&quot;:&quot;&quot;,&quot;family&quot;:&quot;Chiu&quot;,&quot;given&quot;:&quot;Ming-Jang&quot;,&quot;non-dropping-particle&quot;:&quot;&quot;,&quot;parse-names&quot;:false,&quot;suffix&quot;:&quot;&quot;}],&quot;container-title&quot;:&quot;International Journal of Nursing Studies&quot;,&quot;id&quot;:&quot;2e95e36c-c5f8-508d-80fb-e6f25bc12913&quot;,&quot;issue&quot;:&quot;7&quot;,&quot;issued&quot;:{&quot;date-parts&quot;:[[&quot;2005&quot;,&quot;9&quot;]]},&quot;page&quot;:&quot;717-722&quot;,&quot;title&quot;:&quot;Effect of foot bathing on distal-proximal skin temperature gradient in elders&quot;,&quot;type&quot;:&quot;article-journal&quot;,&quot;volume&quot;:&quot;42&quot;,&quot;container-title-short&quot;:&quot;Int. J. Nurs. Stud.&quot;},&quot;uris&quot;:[&quot;http://www.mendeley.com/documents/?uuid=333b371b-44bb-4de4-9d59-32f8d44d0b4d&quot;],&quot;isTemporary&quot;:false,&quot;legacyDesktopId&quot;:&quot;333b371b-44bb-4de4-9d59-32f8d44d0b4d&quot;}]},{&quot;citationID&quot;:&quot;MENDELEY_CITATION_1cfc2cb0-b840-4aa7-8d45-4061daacc74d&quot;,&quot;properties&quot;:{&quot;noteIndex&quot;:0},&quot;isEdited&quot;:false,&quot;manualOverride&quot;:{&quot;citeprocText&quot;:&quot;[140]&quot;,&quot;isManuallyOverridden&quot;:false,&quot;manualOverrideText&quot;:&quot;&quot;},&quot;citationTag&quot;:&quot;MENDELEY_CITATION_v3_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&quot;,&quot;citationItems&quot;:[{&quot;id&quot;:&quot;0fa26b36-3ea3-5f47-ac73-0e7fd0b45ff9&quot;,&quot;itemData&quot;:{&quot;DOI&quot;:&quot;10.1016/j.infrared.2015.05.008&quot;,&quot;ISSN&quot;:&quot;13504495&quot;,&quot;abstract&quot;:&quot;Aim The purpose of this study was to determine gender differences in skin temperature (T&lt;inf&gt;sk&lt;/inf&gt;) for 21 regions of interest (ROIs) of the body throughout the day in a military sample using infrared thermography. Methods The T&lt;inf&gt;sk&lt;/inf&gt; of 20 male (23.2 ± 2.9 yr) and 20 female (20.5 ± 1.3 yr) Brazilian Air Force Military members were evaluated with four thermograms collected at 7:00 AM (T&lt;inf&gt;sk7&lt;/inf&gt;) and 7:00 PM (T&lt;inf&gt;sk19&lt;/inf&gt;) by a Fluke® thermal camera. The ROIs analyzed included the abdomen and bilateral anterior and posterior views of the hands, forearms, arms, thighs, and legs. Student's t-tests were performed on independent samples (α = 0.05). Results With the exception of the hands, men's T&lt;inf&gt;sk7&lt;/inf&gt; was significantly higher than that of women (p &lt; 0.05). However, in the late evening (T&lt;inf&gt;sk19&lt;/inf&gt;), only the temperatures of the posterior side of the thigh and leg were significantly lower (p &lt; 0.05) in women. Conclusions In the early morning, men present a greater average T&lt;inf&gt;sk&lt;/inf&gt; than women across all evaluated ROIs; however, those differences disappear after 12 h, except for the posterior thighs and legs. The hands were the sole areas showing similar temperatures at both time points.&quot;,&quot;author&quot;:[{&quot;dropping-particle&quot;:&quot;&quot;,&quot;family&quot;:&quot;Marins&quot;,&quot;given&quot;:&quot;João Carlos Bouzas&quot;,&quot;non-dropping-particle&quot;:&quot;&quot;,&quot;parse-names&quot;:false,&quot;suffix&quot;:&quot;&quot;},{&quot;dropping-particle&quot;:&quot;&quot;,&quot;family&quot;:&quot;Formenti&quot;,&quot;given&quot;:&quot;Damiano&quot;,&quot;non-dropping-particle&quot;:&quot;&quot;,&quot;parse-names&quot;:false,&quot;suffix&quot;:&quot;&quot;},{&quot;dropping-particle&quot;:&quot;&quot;,&quot;family&quot;:&quot;Costa&quot;,&quot;given&quot;:&quot;Carlos Magno Amaral&quot;,&quot;non-dropping-particle&quot;:&quot;&quot;,&quot;parse-names&quot;:false,&quot;suffix&quot;:&quot;&quot;},{&quot;dropping-particle&quot;:&quot;&quot;,&quot;family&quot;:&quot;Andrade Fernandes&quot;,&quot;given&quot;:&quot;Alex&quot;,&quot;non-dropping-particle&quot;:&quot;De&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0fa26b36-3ea3-5f47-ac73-0e7fd0b45ff9&quot;,&quot;issued&quot;:{&quot;date-parts&quot;:[[&quot;2015&quot;]]},&quot;page&quot;:&quot;322-328&quot;,&quot;publisher&quot;:&quot;Elsevier B.V.&quot;,&quot;title&quot;:&quot;Circadian and gender differences in skin temperature in militaries by thermography&quot;,&quot;type&quot;:&quot;article-journal&quot;,&quot;volume&quot;:&quot;71&quot;,&quot;container-title-short&quot;:&quot;Infrared Phys. Technol.&quot;},&quot;uris&quot;:[&quot;http://www.mendeley.com/documents/?uuid=8cbe0aa1-e5b2-43d7-a45c-c8f53dd20c77&quot;],&quot;isTemporary&quot;:false,&quot;legacyDesktopId&quot;:&quot;8cbe0aa1-e5b2-43d7-a45c-c8f53dd20c77&quot;}]},{&quot;citationID&quot;:&quot;MENDELEY_CITATION_f2f5a5fb-77b5-4e35-bfbc-9e5ef15ba598&quot;,&quot;properties&quot;:{&quot;noteIndex&quot;:0},&quot;isEdited&quot;:false,&quot;manualOverride&quot;:{&quot;citeprocText&quot;:&quot;[141]&quot;,&quot;isManuallyOverridden&quot;:false,&quot;manualOverrideText&quot;:&quot;&quot;},&quot;citationTag&quot;:&quot;MENDELEY_CITATION_v3_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&quot;,&quot;citationItems&quot;:[{&quot;id&quot;:&quot;09c5b003-1343-5594-852e-9d68d200ccf1&quot;,&quot;itemData&quot;:{&quot;DOI&quot;:&quot;10.1016/j.scitotenv.2024.175323&quot;,&quot;ISSN&quot;:&quot;00489697&quot;,&quot;PMID&quot;:&quot;39128529&quot;,&quot;abstract&quot;:&quot;Sex difference stands as a crucial factor necessitating consideration in personalized thermal environment control, with the mechanisms of its emergence potentially differing across different thermal environments. However, a comparative analysis of sex differences regarding body temperature (skin and core body temperature) and thermal perception across different environments is lacking. A stable environmental experiment (comprising three conditions: 16 °C, 20 °C, and 24 °C) and a transient environmental experiment (involving a whole-body step-change from 19 °C to 35 °C and back to 19 °C) were conducted, with participation from 20 young males and 20 young females. Skin temperature and core body temperature were continuously recorded during the experiments, and three types of thermal perceptions were regularly collected. The results showed that: (1) The impact of thermal environment on females' skin temperature surpassed that on males, in stable environment, with every 1 °C rise in ambient temperature, the mean skin temperature increased by 0.28 °C for males and 0.35 °C for females respectively; in transient environment, females' mean skin temperature raise and fell at a faster rate. (2) Males exhibited stronger thermal regulation abilities than females, particularly evident during sudden increase in ambient temperature (from 19 °C to 35 °C), where the reduction magnitude of males' core body temperature was notably larger. (3) Whether in stable or transient environments, significant sex differences often occurred in skin temperature and thermal sensation at distal parts, particularly at the hand. (4) Males typically fed back higher levels of thermal comfort and thermal acceptability than females, suggesting that in addition to physiological sex differences, psychological sex distinctions also play a role. In summary, personalized design for stable thermal environment can focus on sex differences in skin temperature, while transient thermal environment requires consideration of both skin temperature and core body temperature. A comprehensive consideration of physiological and psychological sex differences aids in creating personalized thermal environments with greater precision.&quot;,&quot;author&quot;:[{&quot;dropping-particle&quot;:&quot;&quot;,&quot;family&quot;:&quot;Xu&quot;,&quot;given&quot;:&quot;Xinbo&quot;,&quot;non-dropping-particle&quot;:&quot;&quot;,&quot;parse-names&quot;:false,&quot;suffix&quot;:&quot;&quot;},{&quot;dropping-particle&quot;:&quot;&quot;,&quot;family&quot;:&quot;Zhang&quot;,&quot;given&quot;:&quot;Hui&quot;,&quot;non-dropping-particle&quot;:&quot;&quot;,&quot;parse-names&quot;:false,&quot;suffix&quot;:&quot;&quot;},{&quot;dropping-particle&quot;:&quot;&quot;,&quot;family&quot;:&quot;Wu&quot;,&quot;given&quot;:&quot;Gang&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Xu&quot;,&quot;given&quot;:&quot;Hongzhi&quot;,&quot;non-dropping-particle&quot;:&quot;&quot;,&quot;parse-names&quot;:false,&quot;suffix&quot;:&quot;&quot;}],&quot;container-title&quot;:&quot;Science of The Total Environment&quot;,&quot;id&quot;:&quot;09c5b003-1343-5594-852e-9d68d200ccf1&quot;,&quot;issue&quot;:&quot;August&quot;,&quot;issued&quot;:{&quot;date-parts&quot;:[[&quot;2024&quot;,&quot;11&quot;]]},&quot;page&quot;:&quot;175323&quot;,&quot;publisher&quot;:&quot;Elsevier B.V.&quot;,&quot;title&quot;:&quot;Sex differences in body temperature and thermal perception under stable and transient thermal environments: A comparative study&quot;,&quot;type&quot;:&quot;article-journal&quot;,&quot;volume&quot;:&quot;951&quot;,&quot;container-title-short&quot;:&quot;&quot;},&quot;uris&quot;:[&quot;http://www.mendeley.com/documents/?uuid=bb49b435-2bdd-40ee-ba08-637dc02e0907&quot;],&quot;isTemporary&quot;:false,&quot;legacyDesktopId&quot;:&quot;bb49b435-2bdd-40ee-ba08-637dc02e0907&quot;}]},{&quot;citationID&quot;:&quot;MENDELEY_CITATION_f8d99868-8306-4209-9929-aa4668c7e845&quot;,&quot;properties&quot;:{&quot;noteIndex&quot;:0},&quot;isEdited&quot;:false,&quot;manualOverride&quot;:{&quot;citeprocText&quot;:&quot;[142]&quot;,&quot;isManuallyOverridden&quot;:false,&quot;manualOverrideText&quot;:&quot;&quot;},&quot;citationTag&quot;:&quot;MENDELEY_CITATION_v3_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&quot;,&quot;citationItems&quot;:[{&quot;id&quot;:&quot;69ba41ab-0ffa-5587-a999-0d7d3a0e4f4b&quot;,&quot;itemData&quot;:{&quot;DOI&quot;:&quot;10.1016/j.enbuild.2025.115995&quot;,&quot;ISSN&quot;:&quot;03787788&quot;,&quot;abstract&quot;:&quot;Sex difference stands as a crucial factor necessitating consideration in personalized sleeping thermal environment control. However, there has been little exploration about sex differences in body temperature and thermal perception during sleep. Based on data from a winter sleep experiment (16, 20, 24°C) involving 14 young participants (7 males, 7 females), a time series analysis of the dynamic body temperature rhythms throughout the night was conducted, revealing sex-specific patterns in local skin temperature and core body temperature. Additionally, the sex difference in the thermal perception votes recalled by subjects after waking was analyzed. The results showed that: (1) For both sexes, the skin temperatures reached to stable condition in 2–3 h after getting into bed, and core temperatures changed over the entire night. The average value and maximum increase value of overnight skin temperature at distal parts (hands and feet) were prone to sex differences, which become more pronounced at lower ambient temperature. (2) Females’ core body temperature was generally higher than that of males at the same time points. Due to the influence of estrogenic hormones, the maximum reduction in core body temperature during sleep was typically smaller in females than in males, with significant differences (p &lt; 0.05) observed under the 16 °C and 24 °C conditions. (3) Females exhibited higher psychological demands for the sleeping thermal environment than males. Males reported feeling more comfortable than females in the 16 °C and 20 °C conditions. Additionally, males generally showed greater acceptance and satisfaction with all thermal environments compared to females. Overall, the creation of personalized sleeping thermal environments must account for sex differences in both skin temperature and core body temperature. This study provides a theoretical foundation for personalized sleeping thermal environment design from the perspective of thermo-physiology.&quot;,&quot;author&quot;:[{&quot;dropping-particle&quot;:&quot;&quot;,&quot;family&quot;:&quot;Xu&quot;,&quot;given&quot;:&quot;Xinbo&quot;,&quot;non-dropping-particle&quot;:&quot;&quot;,&quot;parse-names&quot;:false,&quot;suffix&quot;:&quot;&quot;},{&quot;dropping-particle&quot;:&quot;&quot;,&quot;family&quot;:&quot;Zhang&quot;,&quot;given&quot;:&quot;Hui&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Xu&quot;,&quot;given&quot;:&quot;Hongzhi&quot;,&quot;non-dropping-particle&quot;:&quot;&quot;,&quot;parse-names&quot;:false,&quot;suffix&quot;:&quot;&quot;}],&quot;container-title&quot;:&quot;Energy and Buildings&quot;,&quot;id&quot;:&quot;69ba41ab-0ffa-5587-a999-0d7d3a0e4f4b&quot;,&quot;issue&quot;:&quot;June&quot;,&quot;issued&quot;:{&quot;date-parts&quot;:[[&quot;2025&quot;]]},&quot;page&quot;:&quot;115995&quot;,&quot;publisher&quot;:&quot;Elsevier B.V.&quot;,&quot;title&quot;:&quot;Sex difference in body temperature and thermal perception during nighttime sleep: A time series analysis&quot;,&quot;type&quot;:&quot;article-journal&quot;,&quot;volume&quot;:&quot;344&quot;,&quot;container-title-short&quot;:&quot;Energy Build.&quot;},&quot;uris&quot;:[&quot;http://www.mendeley.com/documents/?uuid=e4fec462-2a73-43d6-a8d1-6b6da6c0a008&quot;],&quot;isTemporary&quot;:false,&quot;legacyDesktopId&quot;:&quot;e4fec462-2a73-43d6-a8d1-6b6da6c0a008&quot;}]},{&quot;citationID&quot;:&quot;MENDELEY_CITATION_3f2ad002-bfd2-48d0-9275-febe9fc16a66&quot;,&quot;properties&quot;:{&quot;noteIndex&quot;:0},&quot;isEdited&quot;:false,&quot;manualOverride&quot;:{&quot;citeprocText&quot;:&quot;[143–145]&quot;,&quot;isManuallyOverridden&quot;:false,&quot;manualOverrideText&quot;:&quot;&quot;},&quot;citationTag&quot;:&quot;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&quot;,&quot;citationItems&quot;:[{&quot;id&quot;:&quot;9ec262f6-442c-5a2e-8e1b-0a43e296dda0&quot;,&quot;itemData&quot;:{&quot;DOI&quot;:&quot;10.1113/jphysiol.2010.194563&quot;,&quot;ISSN&quot;:&quot;00223751&quot;,&quot;PMID&quot;:&quot;21173076&quot;,&quot;abstract&quot;:&quot;Women are more susceptible to orthostatic intolerance. Peripheral α-adrenergic responsiveness is important in orthostasis and is lower in women compared to men, and is modulated by female sex hormones. We tested the hypothesis that oestradiol attenuates peripheral cutaneous adrenergic responses in women with low orthostatic tolerance (LT), whereas progesterone enhances adrenergic responses in women with high orthostatic tolerance (HT). After completing a maximal lower body negative pressure test to determine level of orthostatic tolerance (cumulative stress index, CSI), women self administered a gonadotropin releasing hormone (GnRH) antagonist for 16 days to suppress endogenous sex hormone production. Oestradiol (E 2, 0.2 mg day -1, patch; days 4-16), and progesterone (P 4, 200 mg day -1, oral; days 12-16) were administered. Skin blood flow responses to graded intradermal microdialysis infusions of noradrenaline (NA) were measured during GnRH antagonist, E 2, and E 2+P 4, in eight HT (s.e.m.=22 ± 1 years, CSI -871 ± 86 mmHg min) and eight LT (21 ± 1 years, CSI -397 ± 65 mmHg min) women. In separate probes, NA was infused alone, and co-infused with the nitric oxide synthase inhibitor N G-monomethyl-l-arginine (l-NMMA, 10 mm), the non-selective cyclooxygenase inhibitor ketorolac tromethamine (Keto, 10 mm), and combined l-NMMA + Keto (10 mm each). Progesterone administration enhanced adrenergic responses in HT women (logEC 50 GnRH -4.02 ± 0.39, E 2+P 4-5.18 ± 0.31, P &lt; 0.05); this response was reversed with Keto (E 2+P 4 logEC 50 NA+Keto -3.82 ± 0.35, P &lt; 0.05). In contrast, no change in adrenergic responsiveness occurred in LT women during any hormone condition. These data indicate differential regulation of cutaneous adrenergic responses by progesterone via the cyclooxygenase pathway in women with high and low orthostatic tolerance. © 2011 The Authors. Journal compilation © 2011 The Physiological Society.&quot;,&quot;author&quot;:[{&quot;dropping-particle&quot;:&quot;&quot;,&quot;family&quot;:&quot;Wenner&quot;,&quot;given&quot;:&quot;Megan M.&quot;,&quot;non-dropping-particle&quot;:&quot;&quot;,&quot;parse-names&quot;:false,&quot;suffix&quot;:&quot;&quot;},{&quot;dropping-particle&quot;:&quot;&quot;,&quot;family&quot;:&quot;Taylor&quot;,&quot;given&quot;:&quot;Hugh S.&quot;,&quot;non-dropping-particle&quot;:&quot;&quot;,&quot;parse-names&quot;:false,&quot;suffix&quot;:&quot;&quot;},{&quot;dropping-particle&quot;:&quot;&quot;,&quot;family&quot;:&quot;Stachenfeld&quot;,&quot;given&quot;:&quot;Nina S.&quot;,&quot;non-dropping-particle&quot;:&quot;&quot;,&quot;parse-names&quot;:false,&quot;suffix&quot;:&quot;&quot;}],&quot;container-title&quot;:&quot;Journal of Physiology&quot;,&quot;id&quot;:&quot;9ec262f6-442c-5a2e-8e1b-0a43e296dda0&quot;,&quot;issue&quot;:&quot;4&quot;,&quot;issued&quot;:{&quot;date-parts&quot;:[[&quot;2011&quot;]]},&quot;page&quot;:&quot;975-986&quot;,&quot;title&quot;:&quot;Progesterone enhances adrenergic control of skin blood flow in women with high but not low orthostatic tolerance&quot;,&quot;type&quot;:&quot;article-journal&quot;,&quot;volume&quot;:&quot;589&quot;,&quot;container-title-short&quot;:&quot;&quot;},&quot;uris&quot;:[&quot;http://www.mendeley.com/documents/?uuid=6aa1af46-f5c6-43f3-a509-7d7996ac3edf&quot;],&quot;isTemporary&quot;:false,&quot;legacyDesktopId&quot;:&quot;6aa1af46-f5c6-43f3-a509-7d7996ac3edf&quot;},{&quot;id&quot;:&quot;8cbe3d57-f440-5bff-b2b1-da39aef0d7da&quot;,&quot;itemData&quot;:{&quot;DOI&quot;:&quot;10.1080/23328940.2020.1735927&quot;,&quot;ISSN&quot;:&quot;23328959&quot;,&quot;abstract&quot;:&quot;Core body temperature changes across the ovulatory menstrual cycle, such that it is 0.3°C to 0.7°C higher in the post-ovulatory luteal phase when progesterone is high compared with the pre-ovulatory follicular phase. This temperature difference, which is most evident during sleep or immediately upon waking before any activity, is used by women as a retrospective indicator of an ovulatory cycle. Here, we review both historical and current literature aimed at characterizing changes in core body temperature across the menstrual cycle, considering the assessment of the circadian rhythm of core body temperature and thermoregulatory responses to challenges, including heat and cold exposure, exercise, and fever. We discuss potential mechanisms for the thermogenic effect of progesterone and the temperature-lowering effect of estrogen, and discuss effects on body temperature of exogenous formulations of these hormones as contained in oral contraceptives. We review new wearable temperature sensors aimed at tracking daily temperature changes of women across multiple menstrual cycles and highlight the need for future research on the validity and reliability of these devices. Despite the change in core body temperature across the menstrual cycle being so well identified, there remain gaps in our current understanding, particularly about the underlying mechanisms and microcircuitry involved in the temperature changes.&quot;,&quot;author&quot;:[{&quot;dropping-particle&quot;:&quot;&quot;,&quot;family&quot;:&quot;Baker&quot;,&quot;given&quot;:&quot;Fiona C.&quot;,&quot;non-dropping-particle&quot;:&quot;&quot;,&quot;parse-names&quot;:false,&quot;suffix&quot;:&quot;&quot;},{&quot;dropping-particle&quot;:&quot;&quot;,&quot;family&quot;:&quot;Siboza&quot;,&quot;given&quot;:&quot;Felicia&quot;,&quot;non-dropping-particle&quot;:&quot;&quot;,&quot;parse-names&quot;:false,&quot;suffix&quot;:&quot;&quot;},{&quot;dropping-particle&quot;:&quot;&quot;,&quot;family&quot;:&quot;Fuller&quot;,&quot;given&quot;:&quot;Andrea&quot;,&quot;non-dropping-particle&quot;:&quot;&quot;,&quot;parse-names&quot;:false,&quot;suffix&quot;:&quot;&quot;}],&quot;container-title&quot;:&quot;Temperature&quot;,&quot;id&quot;:&quot;8cbe3d57-f440-5bff-b2b1-da39aef0d7da&quot;,&quot;issue&quot;:&quot;3&quot;,&quot;issued&quot;:{&quot;date-parts&quot;:[[&quot;2020&quot;]]},&quot;page&quot;:&quot;226-262&quot;,&quot;publisher&quot;:&quot;Taylor &amp; Francis&quot;,&quot;title&quot;:&quot;Temperature regulation in women: Effects of the menstrual cycle&quot;,&quot;type&quot;:&quot;article-journal&quot;,&quot;volume&quot;:&quot;7&quot;,&quot;container-title-short&quot;:&quot;&quot;},&quot;uris&quot;:[&quot;http://www.mendeley.com/documents/?uuid=22da5dc9-8124-42db-b627-77ae88e1e3b2&quot;],&quot;isTemporary&quot;:false,&quot;legacyDesktopId&quot;:&quot;22da5dc9-8124-42db-b627-77ae88e1e3b2&quot;},{&quot;id&quot;:&quot;4e08663c-be8d-58ba-9f3f-d2a88eeaf88f&quot;,&quot;itemData&quot;:{&quot;DOI&quot;:&quot;10.1096/fasebj.2022.36.S1.R5592&quot;,&quot;ISSN&quot;:&quot;0892-6638&quot;,&quot;abstract&quot;:&quot;The mid‐luteal phase of the menstrual cycle is characterized by an upward shift in basal body core temperature secondary to elevated circulating estradiol and progesterone levels as compared to the early‐follicular phase. This elevation in body core temperature, perhaps together with increased estradiol‐mediated cutaneous vasodilation, may increase convective and radiative (dry) heat loss by improving core‐to‐skin heat transfer. This increase in dry heat loss may, in turn, reduce the need for sweat secretion (evaporative heat loss) without necessarily altering the relative contribution of these avenues to total heat exchange. Thus, the purpose of this study was to evaluate the hypothesis that females in the mid‐luteal phase would exhibit a greater contribution of dry heat loss to total heat loss as compared to the early‐follicular phase during exercise in warm‐dry conditions.&quot;,&quot;author&quot;:[{&quot;dropping-particle&quot;:&quot;V.&quot;,&quot;family&quot;:&quot;Kirby&quot;,&quot;given&quot;:&quot;Nathalie&quot;,&quot;non-dropping-particle&quot;:&quot;&quot;,&quot;parse-names&quot;:false,&quot;suffix&quot;:&quot;&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Richards&quot;,&quot;given&quot;:&quot;Brodie J.&quot;,&quot;non-dropping-particle&quot;:&quot;&quot;,&quot;parse-names&quot;:false,&quot;suffix&quot;:&quot;&quot;},{&quot;dropping-particle&quot;:&quot;&quot;,&quot;family&quot;:&quot;Kenny&quot;,&quot;given&quot;:&quot;Glen P.&quot;,&quot;non-dropping-particle&quot;:&quot;&quot;,&quot;parse-names&quot;:false,&quot;suffix&quot;:&quot;&quot;}],&quot;container-title&quot;:&quot;The FASEB Journal&quot;,&quot;id&quot;:&quot;4e08663c-be8d-58ba-9f3f-d2a88eeaf88f&quot;,&quot;issue&quot;:&quot;S1&quot;,&quot;issued&quot;:{&quot;date-parts&quot;:[[&quot;2022&quot;,&quot;5&quot;,&quot;13&quot;]]},&quot;title&quot;:&quot;Menstrual Cycle Modulates the Contribution of Dry Heat Loss to Total Heat Loss During Exercise in Warm‐Dry Conditions in Young, Recreationally Active Females: Preliminary Findings&quot;,&quot;type&quot;:&quot;article-journal&quot;,&quot;volume&quot;:&quot;36&quot;,&quot;container-title-short&quot;:&quot;&quot;},&quot;uris&quot;:[&quot;http://www.mendeley.com/documents/?uuid=7b5cbe49-22f4-4ca6-aced-a5e8633758a2&quot;],&quot;isTemporary&quot;:false,&quot;legacyDesktopId&quot;:&quot;7b5cbe49-22f4-4ca6-aced-a5e8633758a2&quot;}]},{&quot;citationID&quot;:&quot;MENDELEY_CITATION_002d4231-02f1-4fa9-ac5d-5c2db7e17ac3&quot;,&quot;properties&quot;:{&quot;noteIndex&quot;:0},&quot;isEdited&quot;:false,&quot;manualOverride&quot;:{&quot;citeprocText&quot;:&quot;[146,147]&quot;,&quot;isManuallyOverridden&quot;:false,&quot;manualOverrideText&quot;:&quot;&quot;},&quot;citationTag&quot;:&quot;MENDELEY_CITATION_v3_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&quot;,&quot;citationItems&quot;:[{&quot;id&quot;:&quot;718f5279-b9f9-5b71-87ff-f1878be3e968&quot;,&quot;itemData&quot;:{&quot;DOI&quot;:&quot;10.1152/jappl.1999.86.4.1185&quot;,&quot;ISSN&quot;:&quot;87507587&quot;,&quot;PMID&quot;:&quot;10194201&quot;,&quot;abstract&quot;:&quot;Local warming of skin induces vasodilation by unknown mechanisms. To test whether nitric oxide (NO) is involved, we examined effects of NO synthase (NOS) inhibition with N(G)-nitro-L-arginine methyl ester (L-NAME) on vasodilation induced by local warming of skin in six subjects. Two adjacent sites on the forearm were instrumented with intradermal microdialysis probes for delivery of L-NAME and sodium nitroprusside. Skin blood flow was monitored by laser-Doppler flowmetry (LDF) at microdialysis sites. Local temperature (T(loc)) of the skin at both sites was controlled with special LDF probe holders. Mean arterial pressure (MAP; Finapres) was measured and cutaneous vascular conductance calculated (CVC = LDF/MAP = mV/mmHg). Data collection began with a control period (T(loc) at both sites = 34°C). One site was then warmed to 41°C while the second was maintained at 34°C. Local warming increased CVC from 1.44 ± 0.41 to 4.28 ± 0.60 mV/mmHg (P &lt; 0.05). Subsequent L-NAME administration reduced CVC to 2.28 ± 0.47 mV/mmHg (P &lt; 0.05 vs. heating), despite the continued elevation of T(loc). At a T(loc) of 34°C, L-NAME reduced CVC from 1.17 ± 0.23 to 0.75 ± 0.11 mV/mmHg (P &lt; 0.05). Administration of sodium nitroprusside increased CVC to levels no different from those induced by local warming. Thus NOS inhibition attenuated, and sodium nitroprusside restored, the cutaneous vasodilation induced by elevation of T(loc); therefore, the mechanism of cutaneous vasodilation by local warming requires NOS generation of NO.&quot;,&quot;author&quot;:[{&quot;dropping-particle&quot;:&quot;&quot;,&quot;family&quot;:&quot;Kellogg&quot;,&quot;given&quot;:&quot;D. L.&quot;,&quot;non-dropping-particle&quot;:&quot;&quot;,&quot;parse-names&quot;:false,&quot;suffix&quot;:&quot;&quot;},{&quot;dropping-particle&quot;:&quot;&quot;,&quot;family&quot;:&quot;Liu&quot;,&quot;given&quot;:&quot;Y.&quot;,&quot;non-dropping-particle&quot;:&quot;&quot;,&quot;parse-names&quot;:false,&quot;suffix&quot;:&quot;&quot;},{&quot;dropping-particle&quot;:&quot;&quot;,&quot;family&quot;:&quot;Kosiba&quot;,&quot;given&quot;:&quot;I. F.&quot;,&quot;non-dropping-particle&quot;:&quot;&quot;,&quot;parse-names&quot;:false,&quot;suffix&quot;:&quot;&quot;},{&quot;dropping-particle&quot;:&quot;&quot;,&quot;family&quot;:&quot;O'Donnell&quot;,&quot;given&quot;:&quot;D.&quot;,&quot;non-dropping-particle&quot;:&quot;&quot;,&quot;parse-names&quot;:false,&quot;suffix&quot;:&quot;&quot;}],&quot;container-title&quot;:&quot;Journal of Applied Physiology&quot;,&quot;id&quot;:&quot;718f5279-b9f9-5b71-87ff-f1878be3e968&quot;,&quot;issue&quot;:&quot;4&quot;,&quot;issued&quot;:{&quot;date-parts&quot;:[[&quot;1999&quot;]]},&quot;page&quot;:&quot;1185-1190&quot;,&quot;title&quot;:&quot;Role of nitric oxide in the vascular effects of local warming of the skin in humans&quot;,&quot;type&quot;:&quot;article-journal&quot;,&quot;volume&quot;:&quot;86&quot;,&quot;container-title-short&quot;:&quot;J. Appl. Physiol.&quot;},&quot;uris&quot;:[&quot;http://www.mendeley.com/documents/?uuid=c0f6bb75-bcbc-4316-9579-2346a5f0182b&quot;],&quot;isTemporary&quot;:false,&quot;legacyDesktopId&quot;:&quot;c0f6bb75-bcbc-4316-9579-2346a5f0182b&quot;},{&quot;id&quot;:&quot;781f538a-9704-5d45-bbc9-f2d127ae61a5&quot;,&quot;itemData&quot;:{&quot;DOI&quot;:&quot;10.1152/japplphysiol.00298.2010&quot;,&quot;ISSN&quot;:&quot;8750-7587&quot;,&quot;abstract&quot;:&quot;Human skin blood flow responses to body heating and cooling are essential to the normal processes of physiological thermoregulation. Large increases in skin blood flow provide the necessary augmentation of convective heat loss during environmental heat exposure and/or exercise, just as reflex cutaneous vasoconstriction is key to preventing excessive heat dissipation during cold exposure. In humans, reflex sympathetic innervation of the cutaneous circulation has two branches: a sympathetic noradrenergic vasoconstrictor system, and a non-noradrenergic active vasodilator system. Noradrenergic vasoconstrictor nerves are tonically active in normothermic environments and increase their activity during cold exposure, releasing both norepinephrine and cotransmitters (including neuropeptide Y) to decrease skin blood flow. The active vasodilator system in human skin does not exhibit resting tone and is only activated during increases in body temperature, such as those brought about by heat exposure or exercise. Active cutaneous vasodilation occurs via cholinergic nerve cotransmission and has been shown to include potential roles for nitric oxide, vasoactive intestinal peptide, prostaglandins, and substance P (and/or neurokinin-1 receptors). It has proven both interesting and challenging that no one substance has been identified as the sole mediator of active cutaneous vasodilation. The processes of reflex cutaneous vasodilation and vasoconstriction are both modified by acute factors, such as exercise and hydration, and more long-term factors, such as aging, reproductive hormones, and disease. This review will highlight some of the recent findings in these areas, as well as interesting areas of ongoing and future work.&quot;,&quot;author&quot;:[{&quot;dropping-particle&quot;:&quot;&quot;,&quot;family&quot;:&quot;Charkoudian&quot;,&quot;given&quot;:&quot;Nisha&quot;,&quot;non-dropping-particle&quot;:&quot;&quot;,&quot;parse-names&quot;:false,&quot;suffix&quot;:&quot;&quot;}],&quot;container-title&quot;:&quot;Journal of Applied Physiology&quot;,&quot;id&quot;:&quot;781f538a-9704-5d45-bbc9-f2d127ae61a5&quot;,&quot;issue&quot;:&quot;4&quot;,&quot;issued&quot;:{&quot;date-parts&quot;:[[&quot;2010&quot;,&quot;10&quot;]]},&quot;page&quot;:&quot;1221-1228&quot;,&quot;title&quot;:&quot;Mechanisms and modifiers of reflex induced cutaneous vasodilation and vasoconstriction in humans&quot;,&quot;type&quot;:&quot;article-journal&quot;,&quot;volume&quot;:&quot;109&quot;,&quot;container-title-short&quot;:&quot;J. Appl. Physiol.&quot;},&quot;uris&quot;:[&quot;http://www.mendeley.com/documents/?uuid=d325c999-390f-471b-9d29-0b3af6ffae17&quot;],&quot;isTemporary&quot;:false,&quot;legacyDesktopId&quot;:&quot;d325c999-390f-471b-9d29-0b3af6ffae17&quot;}]},{&quot;citationID&quot;:&quot;MENDELEY_CITATION_2134aac5-3fb8-4114-8aa7-03d38ddd2a64&quot;,&quot;properties&quot;:{&quot;noteIndex&quot;:0},&quot;isEdited&quot;:false,&quot;manualOverride&quot;:{&quot;citeprocText&quot;:&quot;[51]&quot;,&quot;isManuallyOverridden&quot;:false,&quot;manualOverrideText&quot;:&quot;&quot;},&quot;citationTag&quot;:&quot;MENDELEY_CITATION_v3_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&quot;,&quot;citationItems&quot;:[{&quot;id&quot;:&quot;6f44d39d-de59-5cf3-8c51-069a3019710e&quot;,&quot;itemData&quot;:{&quot;DOI&quot;:&quot;10.1016/j.autneu.2015.11.004&quot;,&quot;ISSN&quot;:&quot;18727484&quot;,&quot;PMID&quot;:&quot;26674572&quot;,&quot;abstract&quot;:&quot;Autonomic mechanisms are fundamental to human physiological thermoregulation, and female reproductive hormones have substantial influences on several aspects of these mechanisms. Of these, the best recognized are the thermoregulatory responses that occur at menopause (hot flushes) and the changes in body temperature within the menstrual cycle which may help couples predict ovulation. Our goal in this brief review is to summarize current knowledge regarding the influences of reproductive hormones on autonomic mechanisms in human thermoregulation. In general, estrogens tend to promote lower body temperatures via augmentation of heat dissipation responses, whereas progesterone tends to promote higher body temperatures. Recent evidence suggests specific influences of estrogens on central autonomic nuclei involved in control of skin blood flow and sweating. Estrogens also augment vasodilation by direct effects on peripheral blood vessels. Influences of progesterone are less well understood, but include both centrally regulated changes in thermoregulatory set-point as well as and peripheral effects, including augmented vasoconstriction in the skin. We conclude with a brief discussion of thermoregulatory adjustments associated with changing hormone levels during menopause, pregnancy and polycystic ovary syndrome.&quot;,&quot;author&quot;:[{&quot;dropping-particle&quot;:&quot;&quot;,&quot;family&quot;:&quot;Charkoudian&quot;,&quot;given&quot;:&quot;Nisha&quot;,&quot;non-dropping-particle&quot;:&quot;&quot;,&quot;parse-names&quot;:false,&quot;suffix&quot;:&quot;&quot;},{&quot;dropping-particle&quot;:&quot;&quot;,&quot;family&quot;:&quot;Stachenfeld&quot;,&quot;given&quot;:&quot;Nina&quot;,&quot;non-dropping-particle&quot;:&quot;&quot;,&quot;parse-names&quot;:false,&quot;suffix&quot;:&quot;&quot;}],&quot;container-title&quot;:&quot;Autonomic Neuroscience: Basic and Clinical&quot;,&quot;id&quot;:&quot;6f44d39d-de59-5cf3-8c51-069a3019710e&quot;,&quot;issued&quot;:{&quot;date-parts&quot;:[[&quot;2016&quot;]]},&quot;page&quot;:&quot;75-80&quot;,&quot;publisher&quot;:&quot;Elsevier B.V.&quot;,&quot;title&quot;:&quot;Sex hormone effects on autonomic mechanisms of thermoregulation in humans&quot;,&quot;type&quot;:&quot;article-journal&quot;,&quot;volume&quot;:&quot;196&quot;,&quot;container-title-short&quot;:&quot;Auton. Neurosci.&quot;},&quot;uris&quot;:[&quot;http://www.mendeley.com/documents/?uuid=43f7884a-6f08-421f-b175-d65e973ec70c&quot;],&quot;isTemporary&quot;:false,&quot;legacyDesktopId&quot;:&quot;43f7884a-6f08-421f-b175-d65e973ec70c&quot;}]},{&quot;citationID&quot;:&quot;MENDELEY_CITATION_4a89e057-f478-4863-beb7-e15e13cc9bf0&quot;,&quot;properties&quot;:{&quot;noteIndex&quot;:0},&quot;isEdited&quot;:false,&quot;manualOverride&quot;:{&quot;citeprocText&quot;:&quot;[148]&quot;,&quot;isManuallyOverridden&quot;:false,&quot;manualOverrideText&quot;:&quot;&quot;},&quot;citationTag&quot;:&quot;MENDELEY_CITATION_v3_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&quot;,&quot;citationItems&quot;:[{&quot;id&quot;:&quot;72cb50bb-b01c-56a3-8da7-d1506dc45e28&quot;,&quot;itemData&quot;:{&quot;DOI&quot;:&quot;10.1152/japplphysiol.00586.2022&quot;,&quot;ISSN&quot;:&quot;8750-7587&quot;,&quot;PMID&quot;:&quot;36861674&quot;,&quot;abstract&quot;:&quot;This study supports differences in microvascular endothelial function and nitric oxide (NO)-dependent vasodilation between women in low hormone phases of two hormonal exposures and men. However, when separated into subgroups of hormonal exposure, women during placebo pills of oral contraceptive pill (OCP) use have greater NO-dependent vasodilation than naturally cycling women in their menstrual phase and men. These data improve knowledge of sex differences and the effect of OCP use on microvascular endothelial function.&quot;,&quot;author&quot;:[{&quot;dropping-particle&quot;:&quot;&quot;,&quot;family&quot;:&quot;Turner&quot;,&quot;given&quot;:&quot;Casey G.&quot;,&quot;non-dropping-particle&quot;:&quot;&quot;,&quot;parse-names&quot;:false,&quot;suffix&quot;:&quot;&quot;},{&quot;dropping-particle&quot;:&quot;&quot;,&quot;family&quot;:&quot;Stanhewicz&quot;,&quot;given&quot;:&quot;Anna E.&quot;,&quot;non-dropping-particle&quot;:&quot;&quot;,&quot;parse-names&quot;:false,&quot;suffix&quot;:&quot;&quot;},{&quot;dropping-particle&quot;:&quot;&quot;,&quot;family&quot;:&quot;Nielsen&quot;,&quot;given&quot;:&quot;Karen E.&quot;,&quot;non-dropping-particle&quot;:&quot;&quot;,&quot;parse-names&quot;:false,&quot;suffix&quot;:&quot;&quot;},{&quot;dropping-particle&quot;:&quot;&quot;,&quot;family&quot;:&quot;Otis&quot;,&quot;given&quot;:&quot;Jeffrey S.&quot;,&quot;non-dropping-particle&quot;:&quot;&quot;,&quot;parse-names&quot;:false,&quot;suffix&quot;:&quot;&quot;},{&quot;dropping-particle&quot;:&quot;&quot;,&quot;family&quot;:&quot;Feresin&quot;,&quot;given&quot;:&quot;Rafaela G.&quot;,&quot;non-dropping-particle&quot;:&quot;&quot;,&quot;parse-names&quot;:false,&quot;suffix&quot;:&quot;&quot;},{&quot;dropping-particle&quot;:&quot;&quot;,&quot;family&quot;:&quot;Wong&quot;,&quot;given&quot;:&quot;Brett J.&quot;,&quot;non-dropping-particle&quot;:&quot;&quot;,&quot;parse-names&quot;:false,&quot;suffix&quot;:&quot;&quot;}],&quot;container-title&quot;:&quot;Journal of Applied Physiology&quot;,&quot;id&quot;:&quot;72cb50bb-b01c-56a3-8da7-d1506dc45e28&quot;,&quot;issue&quot;:&quot;4&quot;,&quot;issued&quot;:{&quot;date-parts&quot;:[[&quot;2023&quot;,&quot;4&quot;,&quot;1&quot;]]},&quot;page&quot;:&quot;858-867&quot;,&quot;title&quot;:&quot;Effects of biological sex and oral contraceptive pill use on cutaneous microvascular endothelial function and nitric oxide-dependent vasodilation in humans&quot;,&quot;type&quot;:&quot;article-journal&quot;,&quot;volume&quot;:&quot;134&quot;,&quot;container-title-short&quot;:&quot;J. Appl. Physiol.&quot;},&quot;uris&quot;:[&quot;http://www.mendeley.com/documents/?uuid=3550ac9f-7490-4d8b-aa65-43635f7111e3&quot;],&quot;isTemporary&quot;:false,&quot;legacyDesktopId&quot;:&quot;3550ac9f-7490-4d8b-aa65-43635f7111e3&quot;}]},{&quot;citationID&quot;:&quot;MENDELEY_CITATION_8b2c14ef-a910-42f6-b46b-8f3e064ab778&quot;,&quot;properties&quot;:{&quot;noteIndex&quot;:0},&quot;isEdited&quot;:false,&quot;manualOverride&quot;:{&quot;citeprocText&quot;:&quot;[53]&quot;,&quot;isManuallyOverridden&quot;:false,&quot;manualOverrideText&quot;:&quot;&quot;},&quot;citationTag&quot;:&quot;MENDELEY_CITATION_v3_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&quot;,&quot;citationItems&quot;:[{&quot;id&quot;:&quot;3c2e0c78-4410-58c2-b2d1-7a1d5bc3c891&quot;,&quot;itemData&quot;:{&quot;DOI&quot;:&quot;10.1007/s004240100582&quot;,&quot;ISSN&quot;:&quot;00316768&quot;,&quot;PMID&quot;:&quot;11512029&quot;,&quot;abstract&quot;:&quot;Female reproductive steroids, oestrogen and progesterone, not only affect reproductive function, but also thermoregulation and sleep. Chronic administration of synthetic steroids, as occurs in women taking oral contraceptives, may affect these regulatory systems differently from endogenous oestrogen and progesterone. We therefore investigated body temperature and sleep in ten young women taking oral contraceptives, in the active and placebo phases of the contraceptive pack, and compared them to a group of nine women with ovulatory cycles, in the mid-follicular and mid-luteal phases. Body temperature was raised throughout 24 h in the women taking oral contraceptives in the active phase, and in the naturally cycling women in the luteal phase, compared to the follicular phase. The women taking oral contraceptives in the placebo phase, however, continued to have raised body temperatures, similar to those in the active phase, indicating a prolonged action of synthetic reproductive steroids on body temperature. Sleep also was influenced by the endogenous and synthetic reproductive steroids, but independently of body temperature. The women taking oral contraceptives had more stage-2 non-rapid eye movement sleep in the active phase, both compared to their placebo phase and the naturally cycling women. The naturally cycling women, however, had more slow wave sleep in the luteal phase compared to the contraceptive group of women. Exogenous reproductive steroids therefore influence body temperature and sleep differently from endogenous progesterone and oestrogen.&quot;,&quot;author&quot;:[{&quot;dropping-particle&quot;:&quot;&quot;,&quot;family&quot;:&quot;Baker&quot;,&quot;given&quot;:&quot;Fiona C.&quot;,&quot;non-dropping-particle&quot;:&quot;&quot;,&quot;parse-names&quot;:false,&quot;suffix&quot;:&quot;&quot;},{&quot;dropping-particle&quot;:&quot;&quot;,&quot;family&quot;:&quot;Mitchell&quot;,&quot;given&quot;:&quot;Duncan&quot;,&quot;non-dropping-particle&quot;:&quot;&quot;,&quot;parse-names&quot;:false,&quot;suffix&quot;:&quot;&quot;},{&quot;dropping-particle&quot;:&quot;&quot;,&quot;family&quot;:&quot;Driver&quot;,&quot;given&quot;:&quot;Helen S.&quot;,&quot;non-dropping-particle&quot;:&quot;&quot;,&quot;parse-names&quot;:false,&quot;suffix&quot;:&quot;&quot;}],&quot;container-title&quot;:&quot;Pflugers Archiv European Journal of Physiology&quot;,&quot;id&quot;:&quot;3c2e0c78-4410-58c2-b2d1-7a1d5bc3c891&quot;,&quot;issue&quot;:&quot;5&quot;,&quot;issued&quot;:{&quot;date-parts&quot;:[[&quot;2001&quot;]]},&quot;page&quot;:&quot;729-737&quot;,&quot;title&quot;:&quot;Oral contraceptives alter sleep and raise body temperature in young women&quot;,&quot;type&quot;:&quot;article-journal&quot;,&quot;volume&quot;:&quot;442&quot;,&quot;container-title-short&quot;:&quot;Pflugers Arch.&quot;},&quot;uris&quot;:[&quot;http://www.mendeley.com/documents/?uuid=7856907a-10af-4fef-891d-607c01770950&quot;],&quot;isTemporary&quot;:false,&quot;legacyDesktopId&quot;:&quot;7856907a-10af-4fef-891d-607c01770950&quot;}]},{&quot;citationID&quot;:&quot;MENDELEY_CITATION_9c217801-847a-4e6f-8fc6-0546a5b49fa2&quot;,&quot;properties&quot;:{&quot;noteIndex&quot;:0},&quot;isEdited&quot;:false,&quot;manualOverride&quot;:{&quot;citeprocText&quot;:&quot;[149]&quot;,&quot;isManuallyOverridden&quot;:false,&quot;manualOverrideText&quot;:&quot;&quot;},&quot;citationTag&quot;:&quot;MENDELEY_CITATION_v3_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&quot;,&quot;citationItems&quot;:[{&quot;id&quot;:&quot;24c9500b-f2be-52dd-89bd-20d232ddf911&quot;,&quot;itemData&quot;:{&quot;DOI&quot;:&quot;10.1152/jappl.1999.87.1.381&quot;,&quot;ISSN&quot;:&quot;87507587&quot;,&quot;PMID&quot;:&quot;10409598&quot;,&quot;abstract&quot;:&quot;To determine whether cardiovascular influences of exogenous female steroid hormones include effects on reflex thermoregulatory control of the adrenergic cutaneous vasoconstrictor system, we conducted ramp decreases in skin temperature (T(sk)) in eight women in both high- and low (placebo)- progesterone/estrogen phases of oral contraceptive use. With the use of water-perfused suits, T(sk) was held at 36°C for 10 min (to minimize initial vasoconstrictor activity) and was then decreased in a ramp, ~0.2°C/min for 12-15 min. Subjects rested supine for 30-40 min before each experiment, and the protocol was terminated before the onset of shivering. Skin blood flow was monitored by laser-Doppler flowmetry and arterial pressure by finger photoplethysmography. In all experiments, cutaneous vasoconstriction began immediately with the onset of cooling, and cutaneous vascular conductance (CVC) decreased progressively with decreasing T(sk). Regression analysis of the relationship of CVC to T(sk) showed no difference in slope between phases (lowhormone phase: 17.67 ± 5.57; high-hormone phase: 17.40 8.00 %baseline/°C; P &gt; 0.05). Additional studies involving local blockade confirmed this response as being solely due to the adrenergic vasoconstrictor system. Waking oral temperature (T(or)) was significantly higher on high- hormone vs. lowhormone days (36.60 ± 0.11 vs. 36.37 ± 0.09 °C, respectively; P &lt; 0.02). Integrative analysis of CVC in terms of simultaneous values for T(sk) and T(or) showed that the cutaneous vasoconstrictor response was shifted in the high-hormone phase such that a higher T(or) was maintained throughout cooling (P &lt; 0.05). Thus reflex thermoregulatory control of the cutaneous vasoconstrictor system is shifted to higher internal temperatures by exogenous female reproductive hormones.&quot;,&quot;author&quot;:[{&quot;dropping-particle&quot;:&quot;&quot;,&quot;family&quot;:&quot;Charkoudian&quot;,&quot;given&quot;:&quot;Nisha&quot;,&quot;non-dropping-particle&quot;:&quot;&quot;,&quot;parse-names&quot;:false,&quot;suffix&quot;:&quot;&quot;},{&quot;dropping-particle&quot;:&quot;&quot;,&quot;family&quot;:&quot;Johnson&quot;,&quot;given&quot;:&quot;John M.&quot;,&quot;non-dropping-particle&quot;:&quot;&quot;,&quot;parse-names&quot;:false,&quot;suffix&quot;:&quot;&quot;}],&quot;container-title&quot;:&quot;Journal of Applied Physiology&quot;,&quot;id&quot;:&quot;24c9500b-f2be-52dd-89bd-20d232ddf911&quot;,&quot;issue&quot;:&quot;1&quot;,&quot;issued&quot;:{&quot;date-parts&quot;:[[&quot;1999&quot;]]},&quot;page&quot;:&quot;381-385&quot;,&quot;title&quot;:&quot;Reflex control of cutaneous vasoconstrictor system is reset by exogenous female reproductive hormones&quot;,&quot;type&quot;:&quot;article-journal&quot;,&quot;volume&quot;:&quot;87&quot;,&quot;container-title-short&quot;:&quot;J. Appl. Physiol.&quot;},&quot;uris&quot;:[&quot;http://www.mendeley.com/documents/?uuid=501b6b70-9e6f-4c3f-9287-03f4f9f8631c&quot;],&quot;isTemporary&quot;:false,&quot;legacyDesktopId&quot;:&quot;501b6b70-9e6f-4c3f-9287-03f4f9f8631c&quot;}]},{&quot;citationID&quot;:&quot;MENDELEY_CITATION_5d2f881b-554a-4ba7-8cec-e7edc294f039&quot;,&quot;properties&quot;:{&quot;noteIndex&quot;:0},&quot;isEdited&quot;:false,&quot;manualOverride&quot;:{&quot;citeprocText&quot;:&quot;[150–153]&quot;,&quot;isManuallyOverridden&quot;:false,&quot;manualOverrideText&quot;:&quot;&quot;},&quot;citationTag&quot;:&quot;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&quot;,&quot;citationItems&quot;:[{&quot;id&quot;:&quot;bda63f74-f325-5081-b656-90b5fcb25949&quot;,&quot;itemData&quot;:{&quot;DOI&quot;:&quot;10.1152/japplphysiol.00527.2015&quot;,&quot;ISSN&quot;:&quot;8750-7587&quot;,&quot;PMID&quot;:&quot;26272321&quot;,&quot;abstract&quot;:&quot;This Synthesis highlights a series of recent studies that has systematically interrogated age-related deficits in cold-induced skin vasoconstriction. In response to cold stress, a reflex increase in sympathetic nervous system activity mediates reductions in skin blood flow. Reflex vasoconstriction during cold exposure is markedly impaired in aged skin, contributing to the relative inability of healthy older adults to maintain core temperature during mild cold stress in the absence of appropriate behavioral thermoregulation. This compromised reflex cutaneous vasoconstriction in healthy aging can occur as a result of functional deficits at multiple points along the efferent sympathetic reflex axis, including blunted sympathetic outflow directed to the skin vasculature, reduced presynaptic neurotransmitter synthesis and/or release, and altered end-organ responsiveness at several loci, in addition to potential alterations in afferent thermoreceptor function. Arguments have been made that the relative inability of aged skin to appropriately constrict is due to the aging cutaneous arterioles themselves, whereas other data point to the neural circuitry controlling those vessels. The argument presented herein provides strong evidence for impaired efferent sympathetic control of the peripheral cutaneous vasculature during whole body cold exposure as the primary mechanism responsible for attenuated vasoconstriction.&quot;,&quot;author&quot;:[{&quot;dropping-particle&quot;:&quot;&quot;,&quot;family&quot;:&quot;Greaney&quot;,&quot;given&quot;:&quot;Jody L.&quot;,&quot;non-dropping-particle&quot;:&quot;&quot;,&quot;parse-names&quot;:false,&quot;suffix&quot;:&quot;&quot;},{&quot;dropping-particle&quot;:&quot;&quot;,&quot;family&quot;:&quot;Alexander&quot;,&quot;given&quot;:&quot;Lacy M.&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bda63f74-f325-5081-b656-90b5fcb25949&quot;,&quot;issue&quot;:&quot;7&quot;,&quot;issued&quot;:{&quot;date-parts&quot;:[[&quot;2015&quot;,&quot;10&quot;,&quot;1&quot;]]},&quot;page&quot;:&quot;771-782&quot;,&quot;title&quot;:&quot;Sympathetic control of reflex cutaneous vasoconstriction in human aging&quot;,&quot;type&quot;:&quot;article-journal&quot;,&quot;volume&quot;:&quot;119&quot;,&quot;container-title-short&quot;:&quot;J. Appl. Physiol.&quot;},&quot;uris&quot;:[&quot;http://www.mendeley.com/documents/?uuid=c429165c-1956-4084-a82f-11390f65bcf1&quot;],&quot;isTemporary&quot;:false,&quot;legacyDesktopId&quot;:&quot;c429165c-1956-4084-a82f-11390f65bcf1&quot;},{&quot;id&quot;:&quot;97b7d45c-3455-5a4c-8560-0d8beb8bb3be&quot;,&quot;itemData&quot;:{&quot;DOI&quot;:&quot;10.1152/japplphysiol.00338.2010&quot;,&quot;ISSN&quot;:&quot;87507587&quot;,&quot;PMID&quot;:&quot;20413421&quot;,&quot;abstract&quot;:&quot;Human skin blood flow is controlled via dual innervation from the sympathetic nervous system. Reflex cutaneous vasoconstriction and vasodilation are both impaired with primary aging, rendering the aged more vulnerable to hypothermia and cardiovascular complications from heat-related illness. Age-related alterations in the thermoregulatory control of skin blood flow occur at multiple points along the efferent arm of the reflex, including 1) diminished sympathetic outflow, 2) altered presynaptic neurotransmitter synthesis, 3) reduced vascular responsiveness, and 4) impairments in downstream (endothelial and vascular smooth muscle) second-messenger signaling. This mechanistic review highlights some of the recent findings in the area of aging and the thermoregulatory control of skin blood flow. © 2010 the American Physiological Society.&quot;,&quot;author&quot;:[{&quot;dropping-particle&quot;:&quot;&quot;,&quot;family&quot;:&quot;Holowatz&quot;,&quot;given&quot;:&quot;Lacy A.&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97b7d45c-3455-5a4c-8560-0d8beb8bb3be&quot;,&quot;issue&quot;:&quot;5&quot;,&quot;issued&quot;:{&quot;date-parts&quot;:[[&quot;2010&quot;]]},&quot;page&quot;:&quot;1538-1544&quot;,&quot;title&quot;:&quot;Peripheral mechanisms of thermoregulatory control of skin blood flow in aged humans&quot;,&quot;type&quot;:&quot;article-journal&quot;,&quot;volume&quot;:&quot;109&quot;,&quot;container-title-short&quot;:&quot;J. Appl. Physiol.&quot;},&quot;uris&quot;:[&quot;http://www.mendeley.com/documents/?uuid=79da45ee-7bcb-4e06-8b02-954730c16259&quot;],&quot;isTemporary&quot;:false,&quot;legacyDesktopId&quot;:&quot;79da45ee-7bcb-4e06-8b02-954730c16259&quot;},{&quot;id&quot;:&quot;466f39c6-3707-521a-98af-2e6981878b81&quot;,&quot;itemData&quot;:{&quot;DOI&quot;:&quot;10.1249/MSS.0000000000000325&quot;,&quot;ISBN&quot;:&quot;0000000000000&quot;,&quot;ISSN&quot;:&quot;0195-9131&quot;,&quot;PMID&quot;:&quot;24598696&quot;,&quot;abstract&quot;:&quot;This brief review is based on a President's Lecture presented at the AnnualMeeting of the American College of Sports Medicine in 2013. The purpose of this review was to assess the effects of climate change and consequent increases in environmental heat stress on the aging cardiovascular system. The earth's average global temperature is slowly but consistently increasing, and along with mean temperature changes come increases in heat wave frequency and severity. Extreme passive thermal stress resulting from prolonged elevations in ambient temperature and prolonged physical activity in hot environments creates a high demand on the left ventricle to pump blood to the skin to dissipate heat. Even healthy aging is accompanied by altered cardiovascular function, which limits the extent to which older individuals can maintain stroke volume, increase cardiac output, and increase skin blood flow when exposed to environmental extremes. In the elderly, the increased cardiovascular demand during heat waves is often fatal because of increased strain on an already compromised left ventricle. Not surprisingly, excess deaths during heat waves 1) occur predominantly in older individuals and 2) are overwhelmingly cardiovascular in origin. Increasing frequency and severity of heat waves coupled with a rapidly growing at-risk population dramatically increase the extent of future untoward health outcomes.&quot;,&quot;author&quot;:[{&quot;dropping-particle&quot;:&quot;&quot;,&quot;family&quot;:&quot;Kenney&quot;,&quot;given&quot;:&quot;W. Larry&quot;,&quot;non-dropping-particle&quot;:&quot;&quot;,&quot;parse-names&quot;:false,&quot;suffix&quot;:&quot;&quot;},{&quot;dropping-particle&quot;:&quot;&quot;,&quot;family&quot;:&quot;Craighead&quot;,&quot;given&quot;:&quot;Daniel H.&quot;,&quot;non-dropping-particle&quot;:&quot;&quot;,&quot;parse-names&quot;:false,&quot;suffix&quot;:&quot;&quot;},{&quot;dropping-particle&quot;:&quot;&quot;,&quot;family&quot;:&quot;Alexander&quot;,&quot;given&quot;:&quot;Lacy M.&quot;,&quot;non-dropping-particle&quot;:&quot;&quot;,&quot;parse-names&quot;:false,&quot;suffix&quot;:&quot;&quot;}],&quot;container-title&quot;:&quot;Medicine &amp; Science in Sports &amp; Exercise&quot;,&quot;id&quot;:&quot;466f39c6-3707-521a-98af-2e6981878b81&quot;,&quot;issue&quot;:&quot;10&quot;,&quot;issued&quot;:{&quot;date-parts&quot;:[[&quot;2014&quot;,&quot;10&quot;]]},&quot;page&quot;:&quot;1891-1899&quot;,&quot;title&quot;:&quot;Heat Waves, Aging, and Human Cardiovascular Health&quot;,&quot;type&quot;:&quot;article-journal&quot;,&quot;volume&quot;:&quot;46&quot;,&quot;container-title-short&quot;:&quot;Med. Sci. Sports Exerc.&quot;},&quot;uris&quot;:[&quot;http://www.mendeley.com/documents/?uuid=9084f156-589f-4905-ba15-98b5c60b35da&quot;],&quot;isTemporary&quot;:false,&quot;legacyDesktopId&quot;:&quot;9084f156-589f-4905-ba15-98b5c60b35da&quot;},{&quot;id&quot;:&quot;8c18b514-10cb-533d-89df-176b6a0ddfa6&quot;,&quot;itemData&quot;:{&quot;DOI&quot;:&quot;10.1016/j.jsams.2020.12.007&quot;,&quot;ISSN&quot;:&quot;18781861&quot;,&quot;PMID&quot;:&quot;33358656&quot;,&quot;abstract&quot;:&quot;Objective: The purpose of this review is to evaluate the currently-available literature regarding the impact of both primary aging and age-related fitness on thermoregulatory function during exercise in the heat. In so doing, we aim to (1) characterize the influence of fitness in mitigating age-related declines in thermoregulation, (2) address the limitations of prior experimental approaches for investigating age-related thermoregulatory impairments, (3) examine to what extent aerobic fitness can be maintained in the aging athlete, and (4) begin to address the specific environmental conditions in which age-related impairments in thermoregulatory function may place highly active older adults at increased risk for heat-related illness and injury and/or limited performance. Design: Mini-review. Methods: Review and synthesis of available information. Results: The earth's climate is warming, accompanied by a consequently greater frequency and severity of extreme heat events. At the same time, lifespan is increasing and people of all ages are staying increasingly active. Age-related impairments in thermoregulatory function are well-documented, leading to increased heat-related health risks and reduced exercise/athletic performance for older adults in hot environmental conditions. High aerobic fitness improves body temperature regulation during exercise via augmented sweating and improved cardiovascular function, including cardiac output and skin blood flow, in humans of all ages. Conclusions: The masters athlete is better suited for exercise/heat-stress compared to his or her less fit peers. However, while age and thermoregulation in general has been studied extensively, research on the most fit older adults, including highly competitive athletes, is generally lacking.&quot;,&quot;author&quot;:[{&quot;dropping-particle&quot;:&quot;&quot;,&quot;family&quot;:&quot;Kenney&quot;,&quot;given&quot;:&quot;W. Larry&quot;,&quot;non-dropping-particle&quot;:&quot;&quot;,&quot;parse-names&quot;:false,&quot;suffix&quot;:&quot;&quot;},{&quot;dropping-particle&quot;:&quot;&quot;,&quot;family&quot;:&quot;Wolf&quot;,&quot;given&quot;:&quot;S. Tony&quot;,&quot;non-dropping-particle&quot;:&quot;&quot;,&quot;parse-names&quot;:false,&quot;suffix&quot;:&quot;&quot;},{&quot;dropping-particle&quot;:&quot;&quot;,&quot;family&quot;:&quot;Dillon&quot;,&quot;given&quot;:&quot;Gabrielle A.&quot;,&quot;non-dropping-particle&quot;:&quot;&quot;,&quot;parse-names&quot;:false,&quot;suffix&quot;:&quot;&quot;},{&quot;dropping-particle&quot;:&quot;&quot;,&quot;family&quot;:&quot;Berry&quot;,&quot;given&quot;:&quot;Craig W.&quot;,&quot;non-dropping-particle&quot;:&quot;&quot;,&quot;parse-names&quot;:false,&quot;suffix&quot;:&quot;&quot;},{&quot;dropping-particle&quot;:&quot;&quot;,&quot;family&quot;:&quot;Alexander&quot;,&quot;given&quot;:&quot;Lacy M.&quot;,&quot;non-dropping-particle&quot;:&quot;&quot;,&quot;parse-names&quot;:false,&quot;suffix&quot;:&quot;&quot;}],&quot;container-title&quot;:&quot;Journal of Science and Medicine in Sport&quot;,&quot;id&quot;:&quot;8c18b514-10cb-533d-89df-176b6a0ddfa6&quot;,&quot;issue&quot;:&quot;8&quot;,&quot;issued&quot;:{&quot;date-parts&quot;:[[&quot;2021&quot;]]},&quot;page&quot;:&quot;739-746&quot;,&quot;publisher&quot;:&quot;Sports Medicine Australia&quot;,&quot;title&quot;:&quot;Temperature regulation during exercise in the heat: Insights for the aging athlete&quot;,&quot;type&quot;:&quot;article-journal&quot;,&quot;volume&quot;:&quot;24&quot;,&quot;container-title-short&quot;:&quot;J. Sci. Med. Sport&quot;},&quot;uris&quot;:[&quot;http://www.mendeley.com/documents/?uuid=e898b78a-6de4-4885-9c89-09d8239c5b29&quot;],&quot;isTemporary&quot;:false,&quot;legacyDesktopId&quot;:&quot;e898b78a-6de4-4885-9c89-09d8239c5b29&quot;}]},{&quot;citationID&quot;:&quot;MENDELEY_CITATION_0de2b16e-3649-4a4a-8e80-85e71c2c0b89&quot;,&quot;properties&quot;:{&quot;noteIndex&quot;:0},&quot;isEdited&quot;:false,&quot;manualOverride&quot;:{&quot;citeprocText&quot;:&quot;[62,150,154]&quot;,&quot;isManuallyOverridden&quot;:false,&quot;manualOverrideText&quot;:&quot;&quot;},&quot;citationTag&quot;:&quot;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&quot;,&quot;citationItems&quot;:[{&quot;id&quot;:&quot;1f5a5ee9-910b-5af9-9999-3a28707ee927&quot;,&quot;itemData&quot;:{&quot;DOI&quot;:&quot;10.1152/japplphysiol.00202.2003&quot;,&quot;ISSN&quot;:&quot;8750-7587&quot;,&quot;abstract&quot;:&quot;This mini-review focuses on the effects of aging on human temperature regulation. Although comprehensive reviews have been published on this topic (Kenney WL. Exercise and Sport Sciences Reviews, Baltimore: Williams &amp; Wilkins, 1997, p. 41-76; Pandolf KB. Exp Aging Res 17: 189-204, 1991; Van Someren EJ, Raymann RJ, Scherder EJ, Daanen HA, and Swaab DF. Ageing Res Rev 1: 721-778, 2002; and Young AJ. Exp Aging Res 17: 205-213, 1991), this mini-review concisely summarizes the present state of knowledge about human temperature regulation and aging in thermoneutral conditions, as well as during hypo- and hyperthermic challenges. First, we discuss age-related effects on baseline body core temperature and phasing rhythms of the circadian temperature cycle. We then examine the altered physiological responses to cold stress that result from aging, including attenuated peripheral vasoconstriction and reduced cold-induced metabolic heat production. Finally, we present the age-related changes in sweating and cardiovascular function associated with heat stress. Although epidemiological evidence of increased mortality among older adults from hypo- and hyperthermia exists, this outcome does not reflect an inability to thermoregulate with advanced age. In fact, studies that have attempted to separate the effects of chronological age from concurrent factors, such as fitness level, body composition, and the effects of chronic disease, have shown that thermal tolerance appears to be minimally compromised by age.&quot;,&quot;author&quot;:[{&quot;dropping-particle&quot;:&quot;&quot;,&quot;family&quot;:&quot;Kenney&quot;,&quot;given&quot;:&quot;W Larry&quot;,&quot;non-dropping-particle&quot;:&quot;&quot;,&quot;parse-names&quot;:false,&quot;suffix&quot;:&quot;&quot;},{&quot;dropping-particle&quot;:&quot;&quot;,&quot;family&quot;:&quot;Munce&quot;,&quot;given&quot;:&quot;Thayne A&quot;,&quot;non-dropping-particle&quot;:&quot;&quot;,&quot;parse-names&quot;:false,&quot;suffix&quot;:&quot;&quot;}],&quot;container-title&quot;:&quot;Journal of Applied Physiology&quot;,&quot;id&quot;:&quot;1f5a5ee9-910b-5af9-9999-3a28707ee927&quot;,&quot;issue&quot;:&quot;6&quot;,&quot;issued&quot;:{&quot;date-parts&quot;:[[&quot;2003&quot;,&quot;12&quot;]]},&quot;page&quot;:&quot;2598-2603&quot;,&quot;title&quot;:&quot;Aging and human temperature regulation&quot;,&quot;type&quot;:&quot;article-journal&quot;,&quot;volume&quot;:&quot;95&quot;,&quot;container-title-short&quot;:&quot;J. Appl. Physiol.&quot;},&quot;uris&quot;:[&quot;http://www.mendeley.com/documents/?uuid=7715f1c4-4cbc-4136-a6de-ca31c23325e1&quot;],&quot;isTemporary&quot;:false,&quot;legacyDesktopId&quot;:&quot;7715f1c4-4cbc-4136-a6de-ca31c23325e1&quot;},{&quot;id&quot;:&quot;bda63f74-f325-5081-b656-90b5fcb25949&quot;,&quot;itemData&quot;:{&quot;DOI&quot;:&quot;10.1152/japplphysiol.00527.2015&quot;,&quot;ISSN&quot;:&quot;8750-7587&quot;,&quot;PMID&quot;:&quot;26272321&quot;,&quot;abstract&quot;:&quot;This Synthesis highlights a series of recent studies that has systematically interrogated age-related deficits in cold-induced skin vasoconstriction. In response to cold stress, a reflex increase in sympathetic nervous system activity mediates reductions in skin blood flow. Reflex vasoconstriction during cold exposure is markedly impaired in aged skin, contributing to the relative inability of healthy older adults to maintain core temperature during mild cold stress in the absence of appropriate behavioral thermoregulation. This compromised reflex cutaneous vasoconstriction in healthy aging can occur as a result of functional deficits at multiple points along the efferent sympathetic reflex axis, including blunted sympathetic outflow directed to the skin vasculature, reduced presynaptic neurotransmitter synthesis and/or release, and altered end-organ responsiveness at several loci, in addition to potential alterations in afferent thermoreceptor function. Arguments have been made that the relative inability of aged skin to appropriately constrict is due to the aging cutaneous arterioles themselves, whereas other data point to the neural circuitry controlling those vessels. The argument presented herein provides strong evidence for impaired efferent sympathetic control of the peripheral cutaneous vasculature during whole body cold exposure as the primary mechanism responsible for attenuated vasoconstriction.&quot;,&quot;author&quot;:[{&quot;dropping-particle&quot;:&quot;&quot;,&quot;family&quot;:&quot;Greaney&quot;,&quot;given&quot;:&quot;Jody L.&quot;,&quot;non-dropping-particle&quot;:&quot;&quot;,&quot;parse-names&quot;:false,&quot;suffix&quot;:&quot;&quot;},{&quot;dropping-particle&quot;:&quot;&quot;,&quot;family&quot;:&quot;Alexander&quot;,&quot;given&quot;:&quot;Lacy M.&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bda63f74-f325-5081-b656-90b5fcb25949&quot;,&quot;issue&quot;:&quot;7&quot;,&quot;issued&quot;:{&quot;date-parts&quot;:[[&quot;2015&quot;,&quot;10&quot;,&quot;1&quot;]]},&quot;page&quot;:&quot;771-782&quot;,&quot;title&quot;:&quot;Sympathetic control of reflex cutaneous vasoconstriction in human aging&quot;,&quot;type&quot;:&quot;article-journal&quot;,&quot;volume&quot;:&quot;119&quot;,&quot;container-title-short&quot;:&quot;J. Appl. Physiol.&quot;},&quot;uris&quot;:[&quot;http://www.mendeley.com/documents/?uuid=c429165c-1956-4084-a82f-11390f65bcf1&quot;],&quot;isTemporary&quot;:false,&quot;legacyDesktopId&quot;:&quot;c429165c-1956-4084-a82f-11390f65bcf1&quot;},{&quot;id&quot;:&quot;12a9ccb1-b982-5148-b533-93ee1e518514&quot;,&quot;itemData&quot;:{&quot;DOI&quot;:&quot;10.1016/S1568-1637(02)00030-2&quot;,&quot;ISSN&quot;:&quot;15681637&quot;,&quot;PMID&quot;:&quot;12208240&quot;,&quot;abstract&quot;:&quot;At older ages, the circadian rhythm of body temperature shows a decreased amplitude, an advanced phase, and decreased stability. The present review evaluates to what extent these changes may result from age-related deficiencies at several levels of the thermoregulatory system, including thermoreception, thermogenesis and conservation, heat loss, and central regulation. Whereas some changes are related to the aging process per se, others appear to be secondary to other factors, for which the risk increases with aging, notably a decreased level of fitness and physical activity. Moreover, functional implications of the body temperature rhythm are discussed. For example, the relation between circadian rhythm and thermoregulation has hardly been investigated, while evidence showed that sleep quality is dependent on both aspects. It is proposed that the circadian rhythm in temperature in homeotherms should not be regarded as a leftover of ectothermy in early evolution, but appears to be of functional significance for physiology from the level of molecules to cognition. A new view on the functional significance of the circadian rhythm in peripheral vasodilation and the consequent out-of-phase rhythms in skin and core temperature is presented. It is unlikely that the strong, daily occurring, peripheral vasodilation primarily represents heat loss in response to a lowering of set point, since behavioral measures are simultaneously taken in order to prevent heat loss. Several indications rather point towards a supportive role in immunological host defense mechanisms. Given the functional significance of the temperature rhythm, research should focus on the feasibility and effectiveness of methods that can in principle be applied in order to enhance the weakened circadian temperature rhythm in the elderly. © 2002 Elsevier Science Ireland Ltd. All rights reserved.&quot;,&quot;author&quot;:[{&quot;dropping-particle&quot;:&quot;&quot;,&quot;family&quot;:&quot;Someren&quot;,&quot;given&quot;:&quot;Eus J.W.&quot;,&quot;non-dropping-particle&quot;:&quot;Van&quot;,&quot;parse-names&quot;:false,&quot;suffix&quot;:&quot;&quot;},{&quot;dropping-particle&quot;:&quot;&quot;,&quot;family&quot;:&quot;Raymann&quot;,&quot;given&quot;:&quot;Roy J.E.M.&quot;,&quot;non-dropping-particle&quot;:&quot;&quot;,&quot;parse-names&quot;:false,&quot;suffix&quot;:&quot;&quot;},{&quot;dropping-particle&quot;:&quot;&quot;,&quot;family&quot;:&quot;Scherder&quot;,&quot;given&quot;:&quot;Erik J.A.&quot;,&quot;non-dropping-particle&quot;:&quot;&quot;,&quot;parse-names&quot;:false,&quot;suffix&quot;:&quot;&quot;},{&quot;dropping-particle&quot;:&quot;&quot;,&quot;family&quot;:&quot;Daanen&quot;,&quot;given&quot;:&quot;Hein A.M.&quot;,&quot;non-dropping-particle&quot;:&quot;&quot;,&quot;parse-names&quot;:false,&quot;suffix&quot;:&quot;&quot;},{&quot;dropping-particle&quot;:&quot;&quot;,&quot;family&quot;:&quot;Swaab&quot;,&quot;given&quot;:&quot;Dick F.&quot;,&quot;non-dropping-particle&quot;:&quot;&quot;,&quot;parse-names&quot;:false,&quot;suffix&quot;:&quot;&quot;}],&quot;container-title&quot;:&quot;Ageing Research Reviews&quot;,&quot;id&quot;:&quot;12a9ccb1-b982-5148-b533-93ee1e518514&quot;,&quot;issue&quot;:&quot;4&quot;,&quot;issued&quot;:{&quot;date-parts&quot;:[[&quot;2002&quot;]]},&quot;page&quot;:&quot;721-778&quot;,&quot;title&quot;:&quot;Circadian and age-related modulation of thermoreception and temperature regulation: Mechanisms and functional implications&quot;,&quot;type&quot;:&quot;article-journal&quot;,&quot;volume&quot;:&quot;1&quot;,&quot;container-title-short&quot;:&quot;Ageing Res. Rev.&quot;},&quot;uris&quot;:[&quot;http://www.mendeley.com/documents/?uuid=3c9a8aab-5d65-4a0a-893e-76b2100218ca&quot;],&quot;isTemporary&quot;:false,&quot;legacyDesktopId&quot;:&quot;3c9a8aab-5d65-4a0a-893e-76b2100218ca&quot;}]},{&quot;citationID&quot;:&quot;MENDELEY_CITATION_74e7108c-2b04-4de3-bffe-374753328e81&quot;,&quot;properties&quot;:{&quot;noteIndex&quot;:0},&quot;isEdited&quot;:false,&quot;manualOverride&quot;:{&quot;citeprocText&quot;:&quot;[147]&quot;,&quot;isManuallyOverridden&quot;:false,&quot;manualOverrideText&quot;:&quot;&quot;},&quot;citationTag&quot;:&quot;MENDELEY_CITATION_v3_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&quot;,&quot;citationItems&quot;:[{&quot;id&quot;:&quot;781f538a-9704-5d45-bbc9-f2d127ae61a5&quot;,&quot;itemData&quot;:{&quot;DOI&quot;:&quot;10.1152/japplphysiol.00298.2010&quot;,&quot;ISSN&quot;:&quot;8750-7587&quot;,&quot;abstract&quot;:&quot;Human skin blood flow responses to body heating and cooling are essential to the normal processes of physiological thermoregulation. Large increases in skin blood flow provide the necessary augmentation of convective heat loss during environmental heat exposure and/or exercise, just as reflex cutaneous vasoconstriction is key to preventing excessive heat dissipation during cold exposure. In humans, reflex sympathetic innervation of the cutaneous circulation has two branches: a sympathetic noradrenergic vasoconstrictor system, and a non-noradrenergic active vasodilator system. Noradrenergic vasoconstrictor nerves are tonically active in normothermic environments and increase their activity during cold exposure, releasing both norepinephrine and cotransmitters (including neuropeptide Y) to decrease skin blood flow. The active vasodilator system in human skin does not exhibit resting tone and is only activated during increases in body temperature, such as those brought about by heat exposure or exercise. Active cutaneous vasodilation occurs via cholinergic nerve cotransmission and has been shown to include potential roles for nitric oxide, vasoactive intestinal peptide, prostaglandins, and substance P (and/or neurokinin-1 receptors). It has proven both interesting and challenging that no one substance has been identified as the sole mediator of active cutaneous vasodilation. The processes of reflex cutaneous vasodilation and vasoconstriction are both modified by acute factors, such as exercise and hydration, and more long-term factors, such as aging, reproductive hormones, and disease. This review will highlight some of the recent findings in these areas, as well as interesting areas of ongoing and future work.&quot;,&quot;author&quot;:[{&quot;dropping-particle&quot;:&quot;&quot;,&quot;family&quot;:&quot;Charkoudian&quot;,&quot;given&quot;:&quot;Nisha&quot;,&quot;non-dropping-particle&quot;:&quot;&quot;,&quot;parse-names&quot;:false,&quot;suffix&quot;:&quot;&quot;}],&quot;container-title&quot;:&quot;Journal of Applied Physiology&quot;,&quot;id&quot;:&quot;781f538a-9704-5d45-bbc9-f2d127ae61a5&quot;,&quot;issue&quot;:&quot;4&quot;,&quot;issued&quot;:{&quot;date-parts&quot;:[[&quot;2010&quot;,&quot;10&quot;]]},&quot;page&quot;:&quot;1221-1228&quot;,&quot;title&quot;:&quot;Mechanisms and modifiers of reflex induced cutaneous vasodilation and vasoconstriction in humans&quot;,&quot;type&quot;:&quot;article-journal&quot;,&quot;volume&quot;:&quot;109&quot;,&quot;container-title-short&quot;:&quot;J. Appl. Physiol.&quot;},&quot;uris&quot;:[&quot;http://www.mendeley.com/documents/?uuid=d325c999-390f-471b-9d29-0b3af6ffae17&quot;],&quot;isTemporary&quot;:false,&quot;legacyDesktopId&quot;:&quot;d325c999-390f-471b-9d29-0b3af6ffae17&quot;}]},{&quot;citationID&quot;:&quot;MENDELEY_CITATION_f888786b-c2fb-4819-b88e-0f25182c9b36&quot;,&quot;properties&quot;:{&quot;noteIndex&quot;:0},&quot;isEdited&quot;:false,&quot;manualOverride&quot;:{&quot;citeprocText&quot;:&quot;[155,156]&quot;,&quot;isManuallyOverridden&quot;:false,&quot;manualOverrideText&quot;:&quot;&quot;},&quot;citationTag&quot;:&quot;MENDELEY_CITATION_v3_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&quot;,&quot;citationItems&quot;:[{&quot;id&quot;:&quot;d8b1ec1d-1660-5ca0-ac77-751cb2b08ba4&quot;,&quot;itemData&quot;:{&quot;DOI&quot;:&quot;10.1007/BF00696387&quot;,&quot;ISSN&quot;:&quot;0301-5548&quot;,&quot;PMID&quot;:&quot;3830136&quot;,&quot;abstract&quot;:&quot;The problem associated with using measurements from a small number of sites to determine mean skin temperature was investigated by studying variations in distributions of skin temperatures of the bare torsos of humans exposed to ambient temperatures of 18, 23, and 28° C. Following a 60 minute equilibration period the temperatures of four regions (chest, abdomen, upper back, and lower back) were measured using both thermistors and an infra-red thermographic system. Regions of the torso usually represented by a single temperature exhibited significant point-to-point temperature variations especially in chilled subjects. Also an earlier finding was confirmed: in that larger variations in skin temperature distributions occur as body fat content increases. Caution must therefore be used in applying the concept of a mean skin temperature derived from a few select sites, especially with nude subjects who are chilled or have a high body fat content. © 1987 Springer-Verlag.&quot;,&quot;author&quot;:[{&quot;dropping-particle&quot;:&quot;&quot;,&quot;family&quot;:&quot;Livingstone&quot;,&quot;given&quot;:&quot;S. D.&quot;,&quot;non-dropping-particle&quot;:&quot;&quot;,&quot;parse-names&quot;:false,&quot;suffix&quot;:&quot;&quot;},{&quot;dropping-particle&quot;:&quot;&quot;,&quot;family&quot;:&quot;Nolan&quot;,&quot;given&quot;:&quot;R. W.&quot;,&quot;non-dropping-particle&quot;:&quot;&quot;,&quot;parse-names&quot;:false,&quot;suffix&quot;:&quot;&quot;},{&quot;dropping-particle&quot;:&quot;&quot;,&quot;family&quot;:&quot;Frim&quot;,&quot;given&quot;:&quot;J.&quot;,&quot;non-dropping-particle&quot;:&quot;&quot;,&quot;parse-names&quot;:false,&quot;suffix&quot;:&quot;&quot;},{&quot;dropping-particle&quot;:&quot;&quot;,&quot;family&quot;:&quot;Reed&quot;,&quot;given&quot;:&quot;L. D.&quot;,&quot;non-dropping-particle&quot;:&quot;&quot;,&quot;parse-names&quot;:false,&quot;suffix&quot;:&quot;&quot;},{&quot;dropping-particle&quot;:&quot;&quot;,&quot;family&quot;:&quot;Limmer&quot;,&quot;given&quot;:&quot;R. E.&quot;,&quot;non-dropping-particle&quot;:&quot;&quot;,&quot;parse-names&quot;:false,&quot;suffix&quot;:&quot;&quot;}],&quot;container-title&quot;:&quot;European Journal of Applied Physiology and Occupational Physiology&quot;,&quot;id&quot;:&quot;d8b1ec1d-1660-5ca0-ac77-751cb2b08ba4&quot;,&quot;issue&quot;:&quot;1&quot;,&quot;issued&quot;:{&quot;date-parts&quot;:[[&quot;1987&quot;]]},&quot;page&quot;:&quot;120-125&quot;,&quot;title&quot;:&quot;A thermographic study of the effect of body composition and ambient temperature on the accuracy of mean skin temperature calculations&quot;,&quot;type&quot;:&quot;article-journal&quot;,&quot;volume&quot;:&quot;56&quot;,&quot;container-title-short&quot;:&quot;Eur. J. Appl. Physiol. Occup. Physiol.&quot;},&quot;uris&quot;:[&quot;http://www.mendeley.com/documents/?uuid=5e779ee8-92b6-4035-9e9e-ab19e09a4ef8&quot;],&quot;isTemporary&quot;:false,&quot;legacyDesktopId&quot;:&quot;5e779ee8-92b6-4035-9e9e-ab19e09a4ef8&quot;},{&quot;id&quot;:&quot;319f1764-efb9-5580-bca7-3347acd7d730&quot;,&quot;itemData&quot;:{&quot;DOI&quot;:&quot;10.1016/j.jtherbio.2017.03.006&quot;,&quot;ISSN&quot;:&quot;18790992&quot;,&quot;PMID&quot;:&quot;28477901&quot;,&quot;abstract&quot;:&quot;This study aimed to search for relations between body fat percentage and skin temperature and to describe possible effects on skin temperature as a result of fat percentage in each anatomical site. Women (26.11±4.41 years old) (n =123) were tested for: body circumferences; skin temperatures (thermal camera); fat percentage and lean mass from trunk, upper and lower limbs; and body fat percentage (Dual-Energy X-Ray Absorptiometry). Values of minimum (TMi), maximum (TMa), and mean temperatures (TMe) were acquired in 30 regions of interest. Pearson's correlation was estimated for body circumferences and skin temperature variables with body fat percentage. Participants were divided into groups of high and low fat percentage of each body segment, of which TMevalues were compared with Student's t-test. Linear regression models for predicting body fat percentage were tested. Body fat percentage was positively correlated with body circumferences and palm temperatures, while it was negatively correlated with most temperatures, such as TMaand TMeof posterior thighs (r =−0.495 and −0.432), TMeof posterior lower limbs (r =−0.488), TMaof anterior thighs (r =−0.406) and TMiand TMeof posterior arms (r =−0.447 and −0.430). Higher fat percentages in the specific anatomical sites tended to decrease TMe, especially in posterior thighs, shanks and arms. Skin temperatures and body circumferences predicted body fat percentage with 58.3% accuracy (R =0.764 and R2=0.583). This study clarifies that skin temperature distribution is influenced by the fat percentage of each body segment.&quot;,&quot;author&quot;:[{&quot;dropping-particle&quot;:&quot;&quot;,&quot;family&quot;:&quot;Neves&quot;,&quot;given&quot;:&quot;Eduardo Borba&quot;,&quot;non-dropping-particle&quot;:&quot;&quot;,&quot;parse-names&quot;:false,&quot;suffix&quot;:&quot;&quot;}],&quot;container-title&quot;:&quot;Journal of Thermal Biology&quot;,&quot;id&quot;:&quot;319f1764-efb9-5580-bca7-3347acd7d730&quot;,&quot;issue&quot;:&quot;November 2016&quot;,&quot;issued&quot;:{&quot;date-parts&quot;:[[&quot;2017&quot;]]},&quot;page&quot;:&quot;1-9&quot;,&quot;publisher&quot;:&quot;Elsevier Ltd&quot;,&quot;title&quot;:&quot;The effect of body fat percentage and body fat distribution on skin surface temperature with infrared thermography&quot;,&quot;type&quot;:&quot;article-journal&quot;,&quot;volume&quot;:&quot;66&quot;,&quot;container-title-short&quot;:&quot;J. Therm. Biol.&quot;},&quot;uris&quot;:[&quot;http://www.mendeley.com/documents/?uuid=4d961f69-c6c5-46a7-94b7-75f191c546b6&quot;],&quot;isTemporary&quot;:false,&quot;legacyDesktopId&quot;:&quot;4d961f69-c6c5-46a7-94b7-75f191c546b6&quot;}]},{&quot;citationID&quot;:&quot;MENDELEY_CITATION_7d44ce2f-7ea4-4e02-8c5a-ac2dde0fe6cc&quot;,&quot;properties&quot;:{&quot;noteIndex&quot;:0},&quot;isEdited&quot;:false,&quot;manualOverride&quot;:{&quot;citeprocText&quot;:&quot;[157]&quot;,&quot;isManuallyOverridden&quot;:false,&quot;manualOverrideText&quot;:&quot;&quot;},&quot;citationTag&quot;:&quot;MENDELEY_CITATION_v3_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&quot;,&quot;citationItems&quot;:[{&quot;id&quot;:&quot;650cb208-9564-5b5b-bbb5-763b0861323a&quot;,&quot;itemData&quot;:{&quot;DOI&quot;:&quot;10.1016/j.bjpt.2024.100969&quot;,&quot;ISSN&quot;:&quot;14133555&quot;,&quot;author&quot;:[{&quot;dropping-particle&quot;:&quot;&quot;,&quot;family&quot;:&quot;Silva&quot;,&quot;given&quot;:&quot;Rayanne Kethleen do Nascimento&quot;,&quot;non-dropping-particle&quot;:&quot;&quot;,&quot;parse-names&quot;:false,&quot;suffix&quot;:&quot;&quot;},{&quot;dropping-particle&quot;:&quot;&quot;,&quot;family&quot;:&quot;Matias&quot;,&quot;given&quot;:&quot;Francilene Lira&quot;,&quot;non-dropping-particle&quot;:&quot;&quot;,&quot;parse-names&quot;:false,&quot;suffix&quot;:&quot;&quot;},{&quot;dropping-particle&quot;:&quot;&quot;,&quot;family&quot;:&quot;Gonçalves&quot;,&quot;given&quot;:&quot;Alessandra Feitosa&quot;,&quot;non-dropping-particle&quot;:&quot;&quot;,&quot;parse-names&quot;:false,&quot;suffix&quot;:&quot;&quot;},{&quot;dropping-particle&quot;:&quot;&quot;,&quot;family&quot;:&quot;Santos&quot;,&quot;given&quot;:&quot;Francielly Natanaelly Andrade&quot;,&quot;non-dropping-particle&quot;:&quot;dos&quot;,&quot;parse-names&quot;:false,&quot;suffix&quot;:&quot;&quot;},{&quot;dropping-particle&quot;:&quot;&quot;,&quot;family&quot;:&quot;Eduardo&quot;,&quot;given&quot;:&quot;Graziela Nogueira&quot;,&quot;non-dropping-particle&quot;:&quot;&quot;,&quot;parse-names&quot;:false,&quot;suffix&quot;:&quot;&quot;},{&quot;dropping-particle&quot;:&quot;de&quot;,&quot;family&quot;:&quot;Andrade&quot;,&quot;given&quot;:&quot;Palloma Rodrigues&quot;,&quot;non-dropping-particle&quot;:&quot;&quot;,&quot;parse-names&quot;:false,&quot;suffix&quot;:&quot;&quot;}],&quot;container-title&quot;:&quot;Brazilian Journal of Physical Therapy&quot;,&quot;id&quot;:&quot;650cb208-9564-5b5b-bbb5-763b0861323a&quot;,&quot;issued&quot;:{&quot;date-parts&quot;:[[&quot;2024&quot;,&quot;4&quot;]]},&quot;page&quot;:&quot;100969&quot;,&quot;title&quot;:&quot;RELATIONSHIO BETWEEN SKIN TEMPERATURE AND BODY COMPOSITION WOMEN&quot;,&quot;type&quot;:&quot;article-journal&quot;,&quot;volume&quot;:&quot;28&quot;,&quot;container-title-short&quot;:&quot;Braz. J. Phys. Ther.&quot;},&quot;uris&quot;:[&quot;http://www.mendeley.com/documents/?uuid=6cf68359-56af-4ef9-accd-6bde60369285&quot;],&quot;isTemporary&quot;:false,&quot;legacyDesktopId&quot;:&quot;6cf68359-56af-4ef9-accd-6bde60369285&quot;}]},{&quot;citationID&quot;:&quot;MENDELEY_CITATION_3315fa45-74ef-4211-a337-4879bb881837&quot;,&quot;properties&quot;:{&quot;noteIndex&quot;:0},&quot;isEdited&quot;:false,&quot;manualOverride&quot;:{&quot;citeprocText&quot;:&quot;[158,159]&quot;,&quot;isManuallyOverridden&quot;:false,&quot;manualOverrideText&quot;:&quot;&quot;},&quot;citationTag&quot;:&quot;MENDELEY_CITATION_v3_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&quot;,&quot;citationItems&quot;:[{&quot;id&quot;:&quot;523d72af-1e61-572c-b630-f64484cc3d18&quot;,&quot;itemData&quot;:{&quot;DOI&quot;:&quot;10.1055/s-2007-971971&quot;,&quot;ISSN&quot;:&quot;0172-4622&quot;,&quot;PMID&quot;:&quot;9694412&quot;,&quot;abstract&quot;:&quot;During exercise in the heat, sweat output often exceeds water intake which results in a body water deficit (hypohydration) and electrolyte losses. Daily water losses can be substantial and persons need to emphasize drinking during exercise as well as at mealtime. Aerobic exercise tasks are likely to be adversely affected by heat stress and hypohydration; and the warmer the climate the greater the potential for performance decrements. Hypohydration increases heat storage and reduces one's ability to tolerate heat strain. The increased heat storage is mediated by reduced sweating rate (evaporative heat loss) and reduced skin blood flow (dry heat loss) for a given core temperature. Hyperhydration (increased total body water) has been suggested to reduce physiologic strain during exercise - heat stress, however, data supporting that notion are not robust. © Georg Thieme Verlag Stuttgart.&quot;,&quot;author&quot;:[{&quot;dropping-particle&quot;:&quot;&quot;,&quot;family&quot;:&quot;Sawka&quot;,&quot;given&quot;:&quot;M.&quot;,&quot;non-dropping-particle&quot;:&quot;&quot;,&quot;parse-names&quot;:false,&quot;suffix&quot;:&quot;&quot;},{&quot;dropping-particle&quot;:&quot;&quot;,&quot;family&quot;:&quot;Latzka&quot;,&quot;given&quot;:&quot;W.&quot;,&quot;non-dropping-particle&quot;:&quot;&quot;,&quot;parse-names&quot;:false,&quot;suffix&quot;:&quot;&quot;},{&quot;dropping-particle&quot;:&quot;&quot;,&quot;family&quot;:&quot;Matott&quot;,&quot;given&quot;:&quot;R.&quot;,&quot;non-dropping-particle&quot;:&quot;&quot;,&quot;parse-names&quot;:false,&quot;suffix&quot;:&quot;&quot;},{&quot;dropping-particle&quot;:&quot;&quot;,&quot;family&quot;:&quot;Montain&quot;,&quot;given&quot;:&quot;S.&quot;,&quot;non-dropping-particle&quot;:&quot;&quot;,&quot;parse-names&quot;:false,&quot;suffix&quot;:&quot;&quot;}],&quot;container-title&quot;:&quot;International Journal of Sports Medicine&quot;,&quot;id&quot;:&quot;523d72af-1e61-572c-b630-f64484cc3d18&quot;,&quot;issue&quot;:&quot;S 2&quot;,&quot;issued&quot;:{&quot;date-parts&quot;:[[&quot;1998&quot;,&quot;6&quot;,&quot;9&quot;]]},&quot;page&quot;:&quot;S108-S110&quot;,&quot;title&quot;:&quot;Hydration Effects on Temperature Regulation&quot;,&quot;type&quot;:&quot;article-journal&quot;,&quot;volume&quot;:&quot;19&quot;,&quot;container-title-short&quot;:&quot;Int. J. Sports Med.&quot;},&quot;uris&quot;:[&quot;http://www.mendeley.com/documents/?uuid=4380d538-d7af-4327-ae3d-3026d3e8b5a5&quot;],&quot;isTemporary&quot;:false,&quot;legacyDesktopId&quot;:&quot;4380d538-d7af-4327-ae3d-3026d3e8b5a5&quot;},{&quot;id&quot;:&quot;4a4ae027-2373-537f-865c-8ae59fc51641&quot;,&quot;itemData&quot;:{&quot;DOI&quot;:&quot;10.1002/j.2040-4603.2014.tb00543.x&quot;,&quot;ISSN&quot;:&quot;2040-4603&quot;,&quot;abstract&quot;:&quot; This article provides a comprehensive review of dehydration assessment and presents a unique evaluation of the dehydration and performance literature. The importance of osmolality and volume are emphasized when discussing the physiology, assessment, and performance effects of dehydration. The underappreciated physiologic distinction between a loss of hypo‐osmotic body water (intracellular dehydration) and an iso‐osmotic loss of body water (extracellular dehydration) is presented and argued as the single most essential aspect of dehydration assessment. The importance of diagnostic and biological variation analyses to dehydration assessment methods is reviewed and their use in gauging the true potential of any dehydration assessment method highlighted. The necessity for establishing proper baselines is discussed, as is the magnitude of dehydration required to elicit reliable and detectable osmotic or volume‐mediated compensatory physiologic responses. The discussion of physiologic responses further helps inform and explain our analysis of the literature suggesting a ≥2% dehydration threshold for impaired endurance exercise performance mediated by volume loss. In contrast, no clear threshold or plausible mechanism(s) support the marginal, but potentially important, impairment in strength, and power observed with dehydration. Similarly, the potential for dehydration to impair cognition appears small and related primarily to distraction or discomfort. The impact of dehydration on any particular sport skill or task is therefore likely dependent upon the makeup of the task itself (e.g., endurance, strength, cognitive, and motor skill). © 2014 American Physiological Society. Compr Physiol 4:257‐285, 2014. &quot;,&quot;author&quot;:[{&quot;dropping-particle&quot;:&quot;&quot;,&quot;family&quot;:&quot;Cheuvront&quot;,&quot;given&quot;:&quot;Samuel N.&quot;,&quot;non-dropping-particle&quot;:&quot;&quot;,&quot;parse-names&quot;:false,&quot;suffix&quot;:&quot;&quot;},{&quot;dropping-particle&quot;:&quot;&quot;,&quot;family&quot;:&quot;Kenefick&quot;,&quot;given&quot;:&quot;Robert W.&quot;,&quot;non-dropping-particle&quot;:&quot;&quot;,&quot;parse-names&quot;:false,&quot;suffix&quot;:&quot;&quot;}],&quot;container-title&quot;:&quot;Comprehensive Physiology&quot;,&quot;id&quot;:&quot;4a4ae027-2373-537f-865c-8ae59fc51641&quot;,&quot;issue&quot;:&quot;1&quot;,&quot;issued&quot;:{&quot;date-parts&quot;:[[&quot;2014&quot;]]},&quot;page&quot;:&quot;257-285&quot;,&quot;title&quot;:&quot;Dehydration: Physiology, Assessment, and Performance Effects&quot;,&quot;type&quot;:&quot;article-journal&quot;,&quot;volume&quot;:&quot;4&quot;,&quot;container-title-short&quot;:&quot;Compr. Physiol.&quot;},&quot;uris&quot;:[&quot;http://www.mendeley.com/documents/?uuid=8071c4f4-4361-4dec-93fe-a6c62e87889f&quot;],&quot;isTemporary&quot;:false,&quot;legacyDesktopId&quot;:&quot;8071c4f4-4361-4dec-93fe-a6c62e87889f&quot;}]},{&quot;citationID&quot;:&quot;MENDELEY_CITATION_e4c3e441-c214-4b01-a5e5-a1fc26ab2b69&quot;,&quot;properties&quot;:{&quot;noteIndex&quot;:0},&quot;isEdited&quot;:false,&quot;manualOverride&quot;:{&quot;citeprocText&quot;:&quot;[160]&quot;,&quot;isManuallyOverridden&quot;:false,&quot;manualOverrideText&quot;:&quot;&quot;},&quot;citationTag&quot;:&quot;MENDELEY_CITATION_v3_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&quot;,&quot;citationItems&quot;:[{&quot;id&quot;:&quot;0552a16e-bb4b-5f58-bec8-3b7bbc269579&quot;,&quot;itemData&quot;:{&quot;DOI&quot;:&quot;10.1016/j.clnu.2018.05.026&quot;,&quot;ISSN&quot;:&quot;15321983&quot;,&quot;PMID&quot;:&quot;29907354&quot;,&quot;abstract&quot;:&quot;Background &amp; aim: The thermic effect of food (TEF) refers to the increase of the metabolic rate and body temperature in response to a single meal. To date, most of the studies have focused to determine the TEF in terms of energy expenditure, but little is known about which is the response in terms of skin temperature. The aim of this study was to analyze whether the thermic effect of food (TEF) on the skin temperature with a standardized and individualized liquid meal test is different in young adult men than in young adult women. Methods: A total of 104 young adults (36 men and 68 women, age: 18–25 years old) consumed a standardized and individualized liquid meal (energy intake: 50% of measured basal metabolic rate, 50% carbohydrates, 35% fat, 15% protein). The skin temperature was measured by means of 17 iButtons during 3 h and 20 min. The mean, proximal, distal, and supraclavicular skin temperature, as well as the peripheral gradient, were determined as a proxy of a peripheral vasoconstriction. The participants reported the thermal sensation of the whole body, clavicular, feet, and hands zones. The body composition was measured by dual X-ray absorptiometry. Results: The overall, mean, proximal, and supraclavicular skin temperature significantly increased after the meal intake (all P &lt; 0.05 vs. the baseline temperature). There was a postprandial peripheral vasoconstriction right after the meal intake and over the first hour and a peripheral vasodilatation during the second and third hour. Women had a higher increase in all skin temperature parameters in comparison to men (all, P &lt; 0.05), whereas there were no sex differences in the proximal skin temperature (P = 0.279). The pattern of thermal sensation was similar between sexes, but women always felt colder than men. All of the results persisted after adjusting the analyses for body composition or menstrual cycle. Conclusion: A standardized and individualized liquid meal test increases the skin temperature in young adults, being the thermic effect higher in women than in men.&quot;,&quot;author&quot;:[{&quot;dropping-particle&quot;:&quot;&quot;,&quot;family&quot;:&quot;Martinez-Tellez&quot;,&quot;given&quot;:&quot;Borja&quot;,&quot;non-dropping-particle&quot;:&quot;&quot;,&quot;parse-names&quot;:false,&quot;suffix&quot;:&quot;&quot;},{&quot;dropping-particle&quot;:&quot;&quot;,&quot;family&quot;:&quot;Ortiz-Alvarez&quot;,&quot;given&quot;:&quot;Lourdes&quot;,&quot;non-dropping-particle&quot;:&quot;&quot;,&quot;parse-names&quot;:false,&quot;suffix&quot;:&quot;&quot;},{&quot;dropping-particle&quot;:&quot;&quot;,&quot;family&quot;:&quot;Sanchez-Delgado&quot;,&quot;given&quot;:&quot;Guillermo&quot;,&quot;non-dropping-particle&quot;:&quot;&quot;,&quot;parse-names&quot;:false,&quot;suffix&quot;:&quot;&quot;},{&quot;dropping-particle&quot;:&quot;&quot;,&quot;family&quot;:&quot;Xu&quot;,&quot;given&quot;:&quot;Huiwen&quot;,&quot;non-dropping-particle&quot;:&quot;&quot;,&quot;parse-names&quot;:false,&quot;suffix&quot;:&quot;&quot;},{&quot;dropping-particle&quot;:&quot;&quot;,&quot;family&quot;:&quot;Acosta&quot;,&quot;given&quot;:&quot;Francisco M.&quot;,&quot;non-dropping-particle&quot;:&quot;&quot;,&quot;parse-names&quot;:false,&quot;suffix&quot;:&quot;&quot;},{&quot;dropping-particle&quot;:&quot;&quot;,&quot;family&quot;:&quot;Merchan-Ramirez&quot;,&quot;given&quot;:&quot;Elisa&quot;,&quot;non-dropping-particle&quot;:&quot;&quot;,&quot;parse-names&quot;:false,&quot;suffix&quot;:&quot;&quot;},{&quot;dropping-particle&quot;:&quot;&quot;,&quot;family&quot;:&quot;Muñoz-Hernandez&quot;,&quot;given&quot;:&quot;Victoria&quot;,&quot;non-dropping-particle&quot;:&quot;&quot;,&quot;parse-names&quot;:false,&quot;suffix&quot;:&quot;&quot;},{&quot;dropping-particle&quot;:&quot;&quot;,&quot;family&quot;:&quot;Martinez-Avila&quot;,&quot;given&quot;:&quot;Wendy D.&quot;,&quot;non-dropping-particle&quot;:&quot;&quot;,&quot;parse-names&quot;:false,&quot;suffix&quot;:&quot;&quot;},{&quot;dropping-particle&quot;:&quot;&quot;,&quot;family&quot;:&quot;Contreras-Gomez&quot;,&quot;given&quot;:&quot;Miguel A.&quot;,&quot;non-dropping-particle&quot;:&quot;&quot;,&quot;parse-names&quot;:false,&quot;suffix&quot;:&quot;&quot;},{&quot;dropping-particle&quot;:&quot;&quot;,&quot;family&quot;:&quot;Gil&quot;,&quot;given&quot;:&quot;Angel&quot;,&quot;non-dropping-particle&quot;:&quot;&quot;,&quot;parse-names&quot;:false,&quot;suffix&quot;:&quot;&quot;},{&quot;dropping-particle&quot;:&quot;&quot;,&quot;family&quot;:&quot;Labayen&quot;,&quot;given&quot;:&quot;Idoia&quot;,&quot;non-dropping-particle&quot;:&quot;&quot;,&quot;parse-names&quot;:false,&quot;suffix&quot;:&quot;&quot;},{&quot;dropping-particle&quot;:&quot;&quot;,&quot;family&quot;:&quot;Ruiz&quot;,&quot;given&quot;:&quot;Jonatan R.&quot;,&quot;non-dropping-particle&quot;:&quot;&quot;,&quot;parse-names&quot;:false,&quot;suffix&quot;:&quot;&quot;}],&quot;container-title&quot;:&quot;Clinical Nutrition&quot;,&quot;id&quot;:&quot;0552a16e-bb4b-5f58-bec8-3b7bbc269579&quot;,&quot;issue&quot;:&quot;3&quot;,&quot;issued&quot;:{&quot;date-parts&quot;:[[&quot;2019&quot;]]},&quot;page&quot;:&quot;1339-1347&quot;,&quot;title&quot;:&quot;Skin temperature response to a liquid meal intake is different in men than in women&quot;,&quot;type&quot;:&quot;article-journal&quot;,&quot;volume&quot;:&quot;38&quot;,&quot;container-title-short&quot;:&quot;&quot;},&quot;uris&quot;:[&quot;http://www.mendeley.com/documents/?uuid=c494b8fd-49e6-4411-9259-34b7d37877bb&quot;],&quot;isTemporary&quot;:false,&quot;legacyDesktopId&quot;:&quot;c494b8fd-49e6-4411-9259-34b7d37877bb&quot;}]},{&quot;citationID&quot;:&quot;MENDELEY_CITATION_79f52891-d1d9-416f-9dbe-06b0f0b8a35a&quot;,&quot;properties&quot;:{&quot;noteIndex&quot;:0},&quot;isEdited&quot;:false,&quot;manualOverride&quot;:{&quot;citeprocText&quot;:&quot;[161]&quot;,&quot;isManuallyOverridden&quot;:false,&quot;manualOverrideText&quot;:&quot;&quot;},&quot;citationTag&quot;:&quot;MENDELEY_CITATION_v3_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&quot;,&quot;citationItems&quot;:[{&quot;id&quot;:&quot;efa3d384-1b91-561b-9072-941701c7318f&quot;,&quot;itemData&quot;:{&quot;DOI&quot;:&quot;10.1177/0748730414523078&quot;,&quot;ISSN&quot;:&quot;15524531&quot;,&quot;PMID&quot;:&quot;24682207&quot;,&quot;abstract&quot;:&quot;Caffeine promotes wakefulness during night shift work, although it also disturbs subsequent daytime sleep. Increased alertness by caffeine is associated with a higher core body temperature (CBT). A lower CBT and a narrow distal-to-proximal skin temperature gradient (DPG) have been reported to be associated with improved sleep, yet whether caffeine influences the DPG is unknown. We tested the hypothesis that the use caffeine during nighttime total sleep deprivation would reduce the DPG, increase CBT and alertness, and disturb subsequent daytime recovery sleep. We also expected that a greater widening of the DPG prior to sleep would be associated with a greater degree of sleep disturbance. Thirty healthy adults (9 females) aged 21.6 ± 3.5 years participated in a double-blind, 28-h modified constant routine protocol. At 23 h of wakefulness, participants in the treatment condition (n = 10) were given 2.9 mg/kg caffeine, equivalent to ∼200 mg (or 2 espressos) for a 70-kg adult, 5 h before a daytime recovery sleep episode. Throughout the protocol, core and skin body temperatures, DPG, sleep architecture, and subjective alertness and mood were measured. Prior to sleep, caffeine significantly widened the DPG and increased CBT, alertness, and clear-headedness (p &lt; 0.05). Caffeine also disturbed daytime recovery sleep (p &lt; 0.05). Increased CBT and a wider DPG prior to sleep were associated with a longer latency to sleep, and a wider DPG was associated with disturbed recovery sleep (i.e., increased wakefulness after sleep onset, increased stage 1 sleep, decreased sleep efficiency, and decreased slow wave sleep) (p &lt; 0.05). A widening of the DPG following nighttime caffeine may represent a component of the integrated physiological response by which caffeine improves alertness and disturbs subsequent daytime recovery sleep. Furthermore, our findings highlight that sleep disturbances associated with caffeine consumed near the circadian trough of alertness are still present when daytime recovery sleep occurs 5 h or approximately 1 half-life later. © 2014 The Author(s).&quot;,&quot;author&quot;:[{&quot;dropping-particle&quot;:&quot;&quot;,&quot;family&quot;:&quot;Mchill&quot;,&quot;given&quot;:&quot;Andrew W.&quot;,&quot;non-dropping-particle&quot;:&quot;&quot;,&quot;parse-names&quot;:false,&quot;suffix&quot;:&quot;&quot;},{&quot;dropping-particle&quot;:&quot;&quot;,&quot;family&quot;:&quot;Smith&quot;,&quot;given&quot;:&quot;Benjamin J.&quot;,&quot;non-dropping-particle&quot;:&quot;&quot;,&quot;parse-names&quot;:false,&quot;suffix&quot;:&quot;&quot;},{&quot;dropping-particle&quot;:&quot;&quot;,&quot;family&quot;:&quot;Wright&quot;,&quot;given&quot;:&quot;Kenneth P.&quot;,&quot;non-dropping-particle&quot;:&quot;&quot;,&quot;parse-names&quot;:false,&quot;suffix&quot;:&quot;&quot;}],&quot;container-title&quot;:&quot;Journal of Biological Rhythms&quot;,&quot;id&quot;:&quot;efa3d384-1b91-561b-9072-941701c7318f&quot;,&quot;issue&quot;:&quot;2&quot;,&quot;issued&quot;:{&quot;date-parts&quot;:[[&quot;2014&quot;]]},&quot;page&quot;:&quot;131-143&quot;,&quot;title&quot;:&quot;Effects of caffeine on skin and core temperatures, alertness, and recovery sleep during circadian misalignment&quot;,&quot;type&quot;:&quot;article-journal&quot;,&quot;volume&quot;:&quot;29&quot;,&quot;container-title-short&quot;:&quot;J. Biol. Rhythms&quot;},&quot;uris&quot;:[&quot;http://www.mendeley.com/documents/?uuid=034ab604-340f-4517-9eac-7a6102a27b06&quot;],&quot;isTemporary&quot;:false,&quot;legacyDesktopId&quot;:&quot;034ab604-340f-4517-9eac-7a6102a27b06&quot;}]},{&quot;citationID&quot;:&quot;MENDELEY_CITATION_e253f5ec-60c0-4780-baa3-558a18de1339&quot;,&quot;properties&quot;:{&quot;noteIndex&quot;:0},&quot;isEdited&quot;:false,&quot;manualOverride&quot;:{&quot;citeprocText&quot;:&quot;[162]&quot;,&quot;isManuallyOverridden&quot;:false,&quot;manualOverrideText&quot;:&quot;&quot;},&quot;citationTag&quot;:&quot;MENDELEY_CITATION_v3_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&quot;,&quot;citationItems&quot;:[{&quot;id&quot;:&quot;bb64568b-4cb3-54a0-88ad-acb06a1c4476&quot;,&quot;itemData&quot;:{&quot;DOI&quot;:&quot;10.1016/S0167-8760(97)00087-1&quot;,&quot;ISSN&quot;:&quot;01678760&quot;,&quot;PMID&quot;:&quot;9641246&quot;,&quot;abstract&quot;:&quot;Changes of acral skin blood flow are a commonly used indicator for sympathetic reflex responses to various stimuli. The goal of the present study was to determine whether decreases in fingertip temperature are indicative for sympathetic induced changes in microcirculation. Infrared thermography demonstrated that various stimuli triggering the sympathetic nervous system induced decreases in cutaneous microcirculation, most prominently in fingertip skin. Various such stimuli induced almost immediate temporary vasoconstriction, measured by laser Doppler flux and photoplethysmography. With a lag phase of approximately 15 s, reduced microcirculation was also reflected by a transient decrease in fingertip temperature. Vasoconstrictions were easily demonstrable by fingertip temperature when the starting fingertip temperature was above 32°C and vasoconstriction lasted at least 5 s. Temperature measurement offers the advantages of ease and simplicity of performance and analysis, compared with the more complex analyses of flux and pulse volume.&quot;,&quot;author&quot;:[{&quot;dropping-particle&quot;:&quot;&quot;,&quot;family&quot;:&quot;Kistler&quot;,&quot;given&quot;:&quot;Andreas&quot;,&quot;non-dropping-particle&quot;:&quot;&quot;,&quot;parse-names&quot;:false,&quot;suffix&quot;:&quot;&quot;},{&quot;dropping-particle&quot;:&quot;&quot;,&quot;family&quot;:&quot;Mariauzouls&quot;,&quot;given&quot;:&quot;Charles&quot;,&quot;non-dropping-particle&quot;:&quot;&quot;,&quot;parse-names&quot;:false,&quot;suffix&quot;:&quot;&quot;},{&quot;dropping-particle&quot;:&quot;&quot;,&quot;family&quot;:&quot;Berlepsch&quot;,&quot;given&quot;:&quot;Klaus&quot;,&quot;non-dropping-particle&quot;:&quot;Von&quot;,&quot;parse-names&quot;:false,&quot;suffix&quot;:&quot;&quot;}],&quot;container-title&quot;:&quot;International Journal of Psychophysiology&quot;,&quot;id&quot;:&quot;bb64568b-4cb3-54a0-88ad-acb06a1c4476&quot;,&quot;issue&quot;:&quot;1&quot;,&quot;issued&quot;:{&quot;date-parts&quot;:[[&quot;1998&quot;]]},&quot;page&quot;:&quot;35-41&quot;,&quot;title&quot;:&quot;Fingertip temperature as an indicator for sympathetic responses&quot;,&quot;type&quot;:&quot;article-journal&quot;,&quot;volume&quot;:&quot;29&quot;,&quot;container-title-short&quot;:&quot;&quot;},&quot;uris&quot;:[&quot;http://www.mendeley.com/documents/?uuid=c4807f29-357c-47e4-b49e-eadcba3514dc&quot;],&quot;isTemporary&quot;:false,&quot;legacyDesktopId&quot;:&quot;c4807f29-357c-47e4-b49e-eadcba3514dc&quot;}]},{&quot;citationID&quot;:&quot;MENDELEY_CITATION_3f0ac154-80cf-4e61-9c94-6b6191b74459&quot;,&quot;properties&quot;:{&quot;noteIndex&quot;:0},&quot;isEdited&quot;:false,&quot;manualOverride&quot;:{&quot;citeprocText&quot;:&quot;[76,77,163]&quot;,&quot;isManuallyOverridden&quot;:false,&quot;manualOverrideText&quot;:&quot;&quot;},&quot;citationTag&quot;:&quot;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&quot;,&quot;citationItems&quot;:[{&quot;id&quot;:&quot;35113a9e-d19e-5d01-bdb6-9f387162ef90&quot;,&quot;itemData&quot;:{&quot;DOI&quot;:&quot;10.3390/ijms141020508&quot;,&quot;ISBN&quot;:&quot;2050820542&quot;,&quot;ISSN&quot;:&quot;1422-0067&quot;,&quot;PMID&quot;:&quot;24129182&quot;,&quot;abstract&quot;:&quot;Abnormalities in melatonin physiology may be involved or closely linked to the pathophysiology and behavioral expression of autistic disorder, given its role in neurodevelopment and reports of sleep-wake rhythm disturbances, decreased nocturnal melatonin production, and beneficial therapeutic effects of melatonin in individuals with autism. In addition, melatonin, as a pineal gland hormone produced from serotonin, is of special interest in autistic disorder given reported alterations in central and peripheral serotonin neurobiology. More specifically, the role of melatonin in the ontogenetic establishment of circadian rhythms and the synchronization of peripheral oscillators opens interesting perspectives to ascertain better the mechanisms underlying the significant relationship found between lower nocturnal melatonin excretion and increased severity of autistic social communication impairments, especially for verbal communication and social imitative play. In this article, first we review the studies on melatonin levels and the treatment studies of melatonin in autistic disorder. Then, we discuss the relationships between melatonin and autistic behavioral impairments with regard to social communication (verbal and non-verbal communication, social interaction), and repetitive behaviors or interests with difficulties adapting to change. In conclusion, we emphasize that randomized clinical trials in autism spectrum disorders are warranted to establish potential therapeutic efficacy of melatonin for social communication impairments and stereotyped behaviors or interests.&quot;,&quot;author&quot;:[{&quot;dropping-particle&quot;:&quot;&quot;,&quot;family&quot;:&quot;Tordjman&quot;,&quot;given&quot;:&quot;Sylvie&quot;,&quot;non-dropping-particle&quot;:&quot;&quot;,&quot;parse-names&quot;:false,&quot;suffix&quot;:&quot;&quot;},{&quot;dropping-particle&quot;:&quot;&quot;,&quot;family&quot;:&quot;Najjar&quot;,&quot;given&quot;:&quot;Imen&quot;,&quot;non-dropping-particle&quot;:&quot;&quot;,&quot;parse-names&quot;:false,&quot;suffix&quot;:&quot;&quot;},{&quot;dropping-particle&quot;:&quot;&quot;,&quot;family&quot;:&quot;Bellissant&quot;,&quot;given&quot;:&quot;Eric&quot;,&quot;non-dropping-particle&quot;:&quot;&quot;,&quot;parse-names&quot;:false,&quot;suffix&quot;:&quot;&quot;},{&quot;dropping-particle&quot;:&quot;&quot;,&quot;family&quot;:&quot;Anderson&quot;,&quot;given&quot;:&quot;George&quot;,&quot;non-dropping-particle&quot;:&quot;&quot;,&quot;parse-names&quot;:false,&quot;suffix&quot;:&quot;&quot;},{&quot;dropping-particle&quot;:&quot;&quot;,&quot;family&quot;:&quot;Barburoth&quot;,&quot;given&quot;:&quot;Marianne&quot;,&quot;non-dropping-particle&quot;:&quot;&quot;,&quot;parse-names&quot;:false,&quot;suffix&quot;:&quot;&quot;},{&quot;dropping-particle&quot;:&quot;&quot;,&quot;family&quot;:&quot;Cohen&quot;,&quot;given&quot;:&quot;David&quot;,&quot;non-dropping-particle&quot;:&quot;&quot;,&quot;parse-names&quot;:false,&quot;suffix&quot;:&quot;&quot;},{&quot;dropping-particle&quot;:&quot;&quot;,&quot;family&quot;:&quot;Jaafari&quot;,&quot;given&quot;:&quot;Nemat&quot;,&quot;non-dropping-particle&quot;:&quot;&quot;,&quot;parse-names&quot;:false,&quot;suffix&quot;:&quot;&quot;},{&quot;dropping-particle&quot;:&quot;&quot;,&quot;family&quot;:&quot;Schischmanoff&quot;,&quot;given&quot;:&quot;Olivier&quot;,&quot;non-dropping-particle&quot;:&quot;&quot;,&quot;parse-names&quot;:false,&quot;suffix&quot;:&quot;&quot;},{&quot;dropping-particle&quot;:&quot;&quot;,&quot;family&quot;:&quot;Fagard&quot;,&quot;given&quot;:&quot;Rémi&quot;,&quot;non-dropping-particle&quot;:&quot;&quot;,&quot;parse-names&quot;:false,&quot;suffix&quot;:&quot;&quot;},{&quot;dropping-particle&quot;:&quot;&quot;,&quot;family&quot;:&quot;Lagdas&quot;,&quot;given&quot;:&quot;Enas&quot;,&quot;non-dropping-particle&quot;:&quot;&quot;,&quot;parse-names&quot;:false,&quot;suffix&quot;:&quot;&quot;},{&quot;dropping-particle&quot;:&quot;&quot;,&quot;family&quot;:&quot;Kermarrec&quot;,&quot;given&quot;:&quot;Solenn&quot;,&quot;non-dropping-particle&quot;:&quot;&quot;,&quot;parse-names&quot;:false,&quot;suffix&quot;:&quot;&quot;},{&quot;dropping-particle&quot;:&quot;&quot;,&quot;family&quot;:&quot;Ribardiere&quot;,&quot;given&quot;:&quot;Sophie&quot;,&quot;non-dropping-particle&quot;:&quot;&quot;,&quot;parse-names&quot;:false,&quot;suffix&quot;:&quot;&quot;},{&quot;dropping-particle&quot;:&quot;&quot;,&quot;family&quot;:&quot;Botbol&quot;,&quot;given&quot;:&quot;Michel&quot;,&quot;non-dropping-particle&quot;:&quot;&quot;,&quot;parse-names&quot;:false,&quot;suffix&quot;:&quot;&quot;},{&quot;dropping-particle&quot;:&quot;&quot;,&quot;family&quot;:&quot;Fougerou&quot;,&quot;given&quot;:&quot;Claire&quot;,&quot;non-dropping-particle&quot;:&quot;&quot;,&quot;parse-names&quot;:false,&quot;suffix&quot;:&quot;&quot;},{&quot;dropping-particle&quot;:&quot;&quot;,&quot;family&quot;:&quot;Bronsard&quot;,&quot;given&quot;:&quot;Guillaume&quot;,&quot;non-dropping-particle&quot;:&quot;&quot;,&quot;parse-names&quot;:false,&quot;suffix&quot;:&quot;&quot;},{&quot;dropping-particle&quot;:&quot;&quot;,&quot;family&quot;:&quot;Vernay-Leconte&quot;,&quot;given&quot;:&quot;Julie&quot;,&quot;non-dropping-particle&quot;:&quot;&quot;,&quot;parse-names&quot;:false,&quot;suffix&quot;:&quot;&quot;}],&quot;container-title&quot;:&quot;International Journal of Molecular Sciences&quot;,&quot;id&quot;:&quot;35113a9e-d19e-5d01-bdb6-9f387162ef90&quot;,&quot;issue&quot;:&quot;10&quot;,&quot;issued&quot;:{&quot;date-parts&quot;:[[&quot;2013&quot;,&quot;10&quot;,&quot;14&quot;]]},&quot;page&quot;:&quot;20508-20542&quot;,&quot;title&quot;:&quot;Advances in the Research of Melatonin in Autism Spectrum Disorders: Literature Review and New Perspectives&quot;,&quot;type&quot;:&quot;article-journal&quot;,&quot;volume&quot;:&quot;14&quot;,&quot;container-title-short&quot;:&quot;Int. J. Mol. Sci.&quot;},&quot;uris&quot;:[&quot;http://www.mendeley.com/documents/?uuid=612266b4-6611-4a21-965a-6b6cc4fca3a2&quot;],&quot;isTemporary&quot;:false,&quot;legacyDesktopId&quot;:&quot;612266b4-6611-4a21-965a-6b6cc4fca3a2&quot;},{&quot;id&quot;:&quot;ca0f13ee-9fb3-5928-b1e3-4dd4b29f0a04&quot;,&quot;itemData&quot;:{&quot;DOI&quot;:&quot;10.1016/j.biopha.2020.110496&quot;,&quot;ISSN&quot;:&quot;07533322&quot;,&quot;PMID&quot;:&quot;32682113&quot;,&quot;abstract&quot;:&quot;The molecular mechanisms underlying autism spectrum disorder (ASD) remain elusive, which limits the management options available in the clinic. Accumulating evidence indicates that the pineal gland/melatonin system is associated with the progression of ASD. Here, we review recent advances in our understanding of various mechanisms involving pathological process of ASD, including the abnormal breakdown of melatonin synthesis, the disturbance of intracellular MTNR1A signaling, the effects exerted by melatonin on hippocampal protein serine/threonine kinases, and immune dysregulation/inflammation during ASD. We believe that an in-depth understanding of the interplay between the action of the melatonin system and the onset of autism could promote the development of novel therapeutic strategies against ASD. We anticipate that targeting the neurotransmitters upstream pathway and downstream of melatonin in brain will lead to potential therapeutic treatment for ASD.&quot;,&quot;author&quot;:[{&quot;dropping-particle&quot;:&quot;&quot;,&quot;family&quot;:&quot;Wu&quot;,&quot;given&quot;:&quot;Zhou-yue&quot;,&quot;non-dropping-particle&quot;:&quot;&quot;,&quot;parse-names&quot;:false,&quot;suffix&quot;:&quot;&quot;},{&quot;dropping-particle&quot;:&quot;&quot;,&quot;family&quot;:&quot;Huang&quot;,&quot;given&quot;:&quot;Shu-dai&quot;,&quot;non-dropping-particle&quot;:&quot;&quot;,&quot;parse-names&quot;:false,&quot;suffix&quot;:&quot;&quot;},{&quot;dropping-particle&quot;:&quot;&quot;,&quot;family&quot;:&quot;Zou&quot;,&quot;given&quot;:&quot;Jin-jun&quot;,&quot;non-dropping-particle&quot;:&quot;&quot;,&quot;parse-names&quot;:false,&quot;suffix&quot;:&quot;&quot;},{&quot;dropping-particle&quot;:&quot;&quot;,&quot;family&quot;:&quot;Wang&quot;,&quot;given&quot;:&quot;Qin-xin&quot;,&quot;non-dropping-particle&quot;:&quot;&quot;,&quot;parse-names&quot;:false,&quot;suffix&quot;:&quot;&quot;},{&quot;dropping-particle&quot;:&quot;&quot;,&quot;family&quot;:&quot;Naveed&quot;,&quot;given&quot;:&quot;Muhammad&quot;,&quot;non-dropping-particle&quot;:&quot;&quot;,&quot;parse-names&quot;:false,&quot;suffix&quot;:&quot;&quot;},{&quot;dropping-particle&quot;:&quot;&quot;,&quot;family&quot;:&quot;Bao&quot;,&quot;given&quot;:&quot;Hai-nan&quot;,&quot;non-dropping-particle&quot;:&quot;&quot;,&quot;parse-names&quot;:false,&quot;suffix&quot;:&quot;&quot;},{&quot;dropping-particle&quot;:&quot;&quot;,&quot;family&quot;:&quot;Wang&quot;,&quot;given&quot;:&quot;Wei&quot;,&quot;non-dropping-particle&quot;:&quot;&quot;,&quot;parse-names&quot;:false,&quot;suffix&quot;:&quot;&quot;},{&quot;dropping-particle&quot;:&quot;&quot;,&quot;family&quot;:&quot;Fukunaga&quot;,&quot;given&quot;:&quot;Kohji&quot;,&quot;non-dropping-particle&quot;:&quot;&quot;,&quot;parse-names&quot;:false,&quot;suffix&quot;:&quot;&quot;},{&quot;dropping-particle&quot;:&quot;&quot;,&quot;family&quot;:&quot;Han&quot;,&quot;given&quot;:&quot;Feng&quot;,&quot;non-dropping-particle&quot;:&quot;&quot;,&quot;parse-names&quot;:false,&quot;suffix&quot;:&quot;&quot;}],&quot;container-title&quot;:&quot;Biomedicine &amp; Pharmacotherapy&quot;,&quot;id&quot;:&quot;ca0f13ee-9fb3-5928-b1e3-4dd4b29f0a04&quot;,&quot;issue&quot;:&quot;January&quot;,&quot;issued&quot;:{&quot;date-parts&quot;:[[&quot;2020&quot;,&quot;10&quot;]]},&quot;page&quot;:&quot;110496&quot;,&quot;publisher&quot;:&quot;Elsevier&quot;,&quot;title&quot;:&quot;Autism spectrum disorder (ASD): Disturbance of the melatonin system and its implications&quot;,&quot;type&quot;:&quot;article-journal&quot;,&quot;volume&quot;:&quot;130&quot;,&quot;container-title-short&quot;:&quot;&quot;},&quot;uris&quot;:[&quot;http://www.mendeley.com/documents/?uuid=093cf75c-01c0-4b54-8226-5bc45ffbf0fd&quot;],&quot;isTemporary&quot;:false,&quot;legacyDesktopId&quot;:&quot;093cf75c-01c0-4b54-8226-5bc45ffbf0fd&quot;},{&quot;id&quot;:&quot;242f4ce0-cba0-58f3-93e1-edc9bffb7fb4&quot;,&quot;itemData&quot;:{&quot;DOI&quot;:&quot;10.1186/s12991-022-00390-6&quot;,&quot;ISSN&quot;:&quot;1744859X&quot;,&quot;abstract&quot;:&quot;Autism spectrum disorder (ASD) is a neurodevelopmental condition characterized by a complex and multifaceted neurobehavioral syndrome. In the last decades, several studies highlighted an increased prevalence of sleep problems in ASD, which would be associated with autonomic system and circadian rhythm disruption. The present review aimed to summarize the available literature about sleep problems in ASD subjects and about the possible biological factors implicated in circadian rhythm and autonomic system deregulation in this population, as well as possible therapeutic approaches. Shared biological underpinnings between ASD symptoms and altered circadian rhythms/autonomic functions are also discussed. Studies on sleep showed how ASD subjects typically report more problems regarding insufficient sleep time, bedtime resistance and reduced sleep pressure. A link between sleep difficulties and irritability, deficits in social skills and behavioral problems was also highlighted. Among the mechanisms implicated, alteration in genes related to circadian rhythms, such as CLOCK genes, and in melatonin levels were reported. ASD subjects also showed altered hypothalamic pituitary adrenal (HPA) axis and autonomic functions, generally with a tendency towards hyperarousal and hyper sympathetic state. Intriguingly, some of these biological alterations in ASD individuals were not associated only with sleep problems but also with more autism-specific clusters of symptoms, such as communication impairment or repetitive behaviors Although among the available treatments melatonin showed promising results, pharmacological studies for sleep problems in ASD need to follow more standardized protocols to reach more repeatable and reliable results. Further research should investigate the issue of sleep problems in ASD in a broader perspective, taking into account shared pathophysiological mechanisms for core and associated symptoms of ASD.&quot;,&quot;author&quot;:[{&quot;dropping-particle&quot;:&quot;&quot;,&quot;family&quot;:&quot;Dell’Osso&quot;,&quot;given&quot;:&quot;Liliana&quot;,&quot;non-dropping-particle&quot;:&quot;&quot;,&quot;parse-names&quot;:false,&quot;suffix&quot;:&quot;&quot;},{&quot;dropping-particle&quot;:&quot;&quot;,&quot;family&quot;:&quot;Massoni&quot;,&quot;given&quot;:&quot;Leonardo&quot;,&quot;non-dropping-particle&quot;:&quot;&quot;,&quot;parse-names&quot;:false,&quot;suffix&quot;:&quot;&quot;},{&quot;dropping-particle&quot;:&quot;&quot;,&quot;family&quot;:&quot;Battaglini&quot;,&quot;given&quot;:&quot;Simone&quot;,&quot;non-dropping-particle&quot;:&quot;&quot;,&quot;parse-names&quot;:false,&quot;suffix&quot;:&quot;&quot;},{&quot;dropping-particle&quot;:&quot;&quot;,&quot;family&quot;:&quot;Cremone&quot;,&quot;given&quot;:&quot;Ivan Mirko&quot;,&quot;non-dropping-particle&quot;:&quot;&quot;,&quot;parse-names&quot;:false,&quot;suffix&quot;:&quot;&quot;},{&quot;dropping-particle&quot;:&quot;&quot;,&quot;family&quot;:&quot;Carmassi&quot;,&quot;given&quot;:&quot;Claudia&quot;,&quot;non-dropping-particle&quot;:&quot;&quot;,&quot;parse-names&quot;:false,&quot;suffix&quot;:&quot;&quot;},{&quot;dropping-particle&quot;:&quot;&quot;,&quot;family&quot;:&quot;Carpita&quot;,&quot;given&quot;:&quot;Barbara&quot;,&quot;non-dropping-particle&quot;:&quot;&quot;,&quot;parse-names&quot;:false,&quot;suffix&quot;:&quot;&quot;}],&quot;container-title&quot;:&quot;Annals of General Psychiatry&quot;,&quot;id&quot;:&quot;242f4ce0-cba0-58f3-93e1-edc9bffb7fb4&quot;,&quot;issue&quot;:&quot;1&quot;,&quot;issued&quot;:{&quot;date-parts&quot;:[[&quot;2022&quot;]]},&quot;page&quot;:&quot;1-28&quot;,&quot;publisher&quot;:&quot;BioMed Central&quot;,&quot;title&quot;:&quot;Biological correlates of altered circadian rhythms, autonomic functions and sleep problems in autism spectrum disorder&quot;,&quot;type&quot;:&quot;article-journal&quot;,&quot;volume&quot;:&quot;21&quot;,&quot;container-title-short&quot;:&quot;Ann. Gen. Psychiatry&quot;},&quot;uris&quot;:[&quot;http://www.mendeley.com/documents/?uuid=da4643c0-4459-4b40-9907-172324282bf6&quot;],&quot;isTemporary&quot;:false,&quot;legacyDesktopId&quot;:&quot;da4643c0-4459-4b40-9907-172324282bf6&quot;}]},{&quot;citationID&quot;:&quot;MENDELEY_CITATION_39bd3f97-f2fd-414d-b07e-59a3b1c29244&quot;,&quot;properties&quot;:{&quot;noteIndex&quot;:0},&quot;isEdited&quot;:false,&quot;manualOverride&quot;:{&quot;citeprocText&quot;:&quot;[164]&quot;,&quot;isManuallyOverridden&quot;:false,&quot;manualOverrideText&quot;:&quot;&quot;},&quot;citationTag&quot;:&quot;MENDELEY_CITATION_v3_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&quot;,&quot;citationItems&quot;:[{&quot;id&quot;:&quot;4476bfe9-ebeb-55b4-87ca-782e4eef4b9f&quot;,&quot;itemData&quot;:{&quot;DOI&quot;:&quot;10.1038/s41398-022-02188-2&quot;,&quot;ISSN&quot;:&quot;21583188&quot;,&quot;PMID&quot;:&quot;36192372&quot;,&quot;abstract&quot;:&quot;Sleep disturbance is prevalent in youth with Autism Spectrum Disorder (ASD). Researchers have posited that circadian dysfunction may contribute to sleep problems or exacerbate ASD symptomatology. However, there is limited genetic evidence of this. It is also unclear how insomnia risk genes identified through GWAS in general populations are related to ASD and common sleep problems like insomnia traits in ASD. We investigated the contribution of copy number variants (CNVs) encompassing circadian pathway genes and insomnia risk genes to ASD risk as well as sleep disturbances in children with ASD. We studied 5860 ASD probands and 2092 unaffected siblings from the Simons Simplex Collection (SSC) and MSSNG database, as well as 7509 individuals from two unselected populations (IMAGEN and Generation Scotland). Sleep duration and insomnia symptoms were parent reported for SSC probands. We identified 335 and 616 rare CNVs encompassing circadian and insomnia risk genes respectively. Deletions and duplications with circadian genes were overrepresented in ASD probands compared to siblings and unselected controls. For insomnia-risk genes, deletions (not duplications) were associated with ASD in both cohorts. Results remained significant after adjusting for cognitive ability. CNVs containing circadian pathway and insomnia risk genes showed a stronger association with ASD, compared to CNVs containing other genes. Circadian genes did not influence sleep duration or insomnia traits in ASD. Insomnia risk genes intolerant to haploinsufficiency increased risk for insomnia when duplicated. CNVs encompassing circadian and insomnia risk genes increase ASD liability with little to no observable impacts on sleep disturbances.&quot;,&quot;author&quot;:[{&quot;dropping-particle&quot;:&quot;&quot;,&quot;family&quot;:&quot;Tesfaye&quot;,&quot;given&quot;:&quot;Rackeb&quot;,&quot;non-dropping-particle&quot;:&quot;&quot;,&quot;parse-names&quot;:false,&quot;suffix&quot;:&quot;&quot;},{&quot;dropping-particle&quot;:&quot;&quot;,&quot;family&quot;:&quot;Huguet&quot;,&quot;given&quot;:&quot;Guillaume&quot;,&quot;non-dropping-particle&quot;:&quot;&quot;,&quot;parse-names&quot;:false,&quot;suffix&quot;:&quot;&quot;},{&quot;dropping-particle&quot;:&quot;&quot;,&quot;family&quot;:&quot;Schmilovich&quot;,&quot;given&quot;:&quot;Zoe&quot;,&quot;non-dropping-particle&quot;:&quot;&quot;,&quot;parse-names&quot;:false,&quot;suffix&quot;:&quot;&quot;},{&quot;dropping-particle&quot;:&quot;&quot;,&quot;family&quot;:&quot;Renne&quot;,&quot;given&quot;:&quot;Thomas&quot;,&quot;non-dropping-particle&quot;:&quot;&quot;,&quot;parse-names&quot;:false,&quot;suffix&quot;:&quot;&quot;},{&quot;dropping-particle&quot;:&quot;&quot;,&quot;family&quot;:&quot;Loum&quot;,&quot;given&quot;:&quot;Mor Absa&quot;,&quot;non-dropping-particle&quot;:&quot;&quot;,&quot;parse-names&quot;:false,&quot;suffix&quot;:&quot;&quot;},{&quot;dropping-particle&quot;:&quot;&quot;,&quot;family&quot;:&quot;Douard&quot;,&quot;given&quot;:&quot;Elise&quot;,&quot;non-dropping-particle&quot;:&quot;&quot;,&quot;parse-names&quot;:false,&quot;suffix&quot;:&quot;&quot;},{&quot;dropping-particle&quot;:&quot;&quot;,&quot;family&quot;:&quot;Saci&quot;,&quot;given&quot;:&quot;Zohra&quot;,&quot;non-dropping-particle&quot;:&quot;&quot;,&quot;parse-names&quot;:false,&quot;suffix&quot;:&quot;&quot;},{&quot;dropping-particle&quot;:&quot;&quot;,&quot;family&quot;:&quot;Jean-Louis&quot;,&quot;given&quot;:&quot;Martineau&quot;,&quot;non-dropping-particle&quot;:&quot;&quot;,&quot;parse-names&quot;:false,&quot;suffix&quot;:&quot;&quot;},{&quot;dropping-particle&quot;:&quot;&quot;,&quot;family&quot;:&quot;Martineau&quot;,&quot;given&quot;:&quot;Jean Luc&quot;,&quot;non-dropping-particle&quot;:&quot;&quot;,&quot;parse-names&quot;:false,&quot;suffix&quot;:&quot;&quot;},{&quot;dropping-particle&quot;:&quot;&quot;,&quot;family&quot;:&quot;Whelan&quot;,&quot;given&quot;:&quot;Rob&quot;,&quot;non-dropping-particle&quot;:&quot;&quot;,&quot;parse-names&quot;:false,&quot;suffix&quot;:&quot;&quot;},{&quot;dropping-particle&quot;:&quot;&quot;,&quot;family&quot;:&quot;Desrivieres&quot;,&quot;given&quot;:&quot;Sylvane&quot;,&quot;non-dropping-particle&quot;:&quot;&quot;,&quot;parse-names&quot;:false,&quot;suffix&quot;:&quot;&quot;},{&quot;dropping-particle&quot;:&quot;&quot;,&quot;family&quot;:&quot;Heinz&quot;,&quot;given&quot;:&quot;Andreas&quot;,&quot;non-dropping-particle&quot;:&quot;&quot;,&quot;parse-names&quot;:false,&quot;suffix&quot;:&quot;&quot;},{&quot;dropping-particle&quot;:&quot;&quot;,&quot;family&quot;:&quot;Schumann&quot;,&quot;given&quot;:&quot;Gunter&quot;,&quot;non-dropping-particle&quot;:&quot;&quot;,&quot;parse-names&quot;:false,&quot;suffix&quot;:&quot;&quot;},{&quot;dropping-particle&quot;:&quot;&quot;,&quot;family&quot;:&quot;Hayward&quot;,&quot;given&quot;:&quot;Caroline&quot;,&quot;non-dropping-particle&quot;:&quot;&quot;,&quot;parse-names&quot;:false,&quot;suffix&quot;:&quot;&quot;},{&quot;dropping-particle&quot;:&quot;&quot;,&quot;family&quot;:&quot;Elsabbagh&quot;,&quot;given&quot;:&quot;Mayada&quot;,&quot;non-dropping-particle&quot;:&quot;&quot;,&quot;parse-names&quot;:false,&quot;suffix&quot;:&quot;&quot;},{&quot;dropping-particle&quot;:&quot;&quot;,&quot;family&quot;:&quot;Jacquemont&quot;,&quot;given&quot;:&quot;Sebastien&quot;,&quot;non-dropping-particle&quot;:&quot;&quot;,&quot;parse-names&quot;:false,&quot;suffix&quot;:&quot;&quot;}],&quot;container-title&quot;:&quot;Translational Psychiatry&quot;,&quot;id&quot;:&quot;4476bfe9-ebeb-55b4-87ca-782e4eef4b9f&quot;,&quot;issue&quot;:&quot;1&quot;,&quot;issued&quot;:{&quot;date-parts&quot;:[[&quot;2022&quot;]]},&quot;publisher&quot;:&quot;Springer US&quot;,&quot;title&quot;:&quot;Investigating the contributions of circadian pathway and insomnia risk genes to autism and sleep disturbances&quot;,&quot;type&quot;:&quot;article-journal&quot;,&quot;volume&quot;:&quot;12&quot;,&quot;container-title-short&quot;:&quot;Transl. Psychiatry&quot;},&quot;uris&quot;:[&quot;http://www.mendeley.com/documents/?uuid=f243b598-6b38-4a5e-8681-0aedd03c5c3d&quot;],&quot;isTemporary&quot;:false,&quot;legacyDesktopId&quot;:&quot;f243b598-6b38-4a5e-8681-0aedd03c5c3d&quot;}]},{&quot;citationID&quot;:&quot;MENDELEY_CITATION_0baba7ae-ff4b-4e73-84a9-68bee5e10841&quot;,&quot;properties&quot;:{&quot;noteIndex&quot;:0},&quot;isEdited&quot;:false,&quot;manualOverride&quot;:{&quot;citeprocText&quot;:&quot;[80]&quot;,&quot;isManuallyOverridden&quot;:false,&quot;manualOverrideText&quot;:&quot;&quot;},&quot;citationTag&quot;:&quot;MENDELEY_CITATION_v3_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&quot;,&quot;citationItems&quot;:[{&quot;id&quot;:&quot;1ce9f076-0fb3-528b-a863-2bc7856129b8&quot;,&quot;itemData&quot;:{&quot;DOI&quot;:&quot;10.1111/jsr.12075&quot;,&quot;ISSN&quot;:&quot;09621105&quot;,&quot;PMID&quot;:&quot;23952346&quot;,&quot;abstract&quot;:&quot;Irregular sleep-wake patterns and delayed sleep times are common in adults with attention-deficit/hyperactivity disorder, but mechanisms underlying these problems are unknown. The present case-control study examined whether circadian abnormalities underlie these sleep problems in a naturalistic home setting. We included 12 medication-naïve patients with attention-deficit/hyperactivity disorder and delayed sleep phase syndrome, and 12 matched healthy controls. We examined associations between sleep/wake rhythm in attention-deficit/hyperactivity disorder and circadian parameters (i.e. salivary melatonin concentrations, core and skin temperatures, and activity patterns) of the patients and controls during five consecutive days and nights. Daily bedtimes were more variable within patients compared with controls (F = 8.19, P &lt; 0.001), but melatonin profiles were equally stable within individuals. Dim-light melatonin onset was about 1.5 h later in the patient group (U = 771, Z = -4.63, P &lt; 0.001). Patients slept about 1 h less on nights before work days compared with controls (F = 11.21, P = 0.002). The interval between dim-light melatonin onset and sleep onset was on average 1 h longer in patients compared with controls (U = 1117, Z = -2.62, P = 0.009). This interval was even longer in patients with extremely late chronotype. Melatonin, activity and body temperatures were delayed to comparable degrees in patients. Overall temperatures were lower in patients than controls. Sleep-onset difficulties correlated with greater distal-proximal temperature gradient (DPG; i.e. colder hands, r2 = -0.32, P = 0.028) in patients. Observed day-to-day bedtime variability of individuals with attention-deficit/hyperactivity disorder and delayed sleep phase syndrome were not reflected in their melatonin profiles. Irregular sleep-wake patterns and delayed sleep in individuals with attention-deficit/hyperactivity disorder and delayed sleep phase syndrome are associated with delays and dysregulations of the core and skin temperatures. © 2013 European Sleep Research Society.&quot;,&quot;author&quot;:[{&quot;dropping-particle&quot;:&quot;&quot;,&quot;family&quot;:&quot;Bijlenga&quot;,&quot;given&quot;:&quot;Denise&quot;,&quot;non-dropping-particle&quot;:&quot;&quot;,&quot;parse-names&quot;:false,&quot;suffix&quot;:&quot;&quot;},{&quot;dropping-particle&quot;:&quot;&quot;,&quot;family&quot;:&quot;Someren&quot;,&quot;given&quot;:&quot;Eus J.W.&quot;,&quot;non-dropping-particle&quot;:&quot;Van&quot;,&quot;parse-names&quot;:false,&quot;suffix&quot;:&quot;&quot;},{&quot;dropping-particle&quot;:&quot;&quot;,&quot;family&quot;:&quot;Gruber&quot;,&quot;given&quot;:&quot;Reut&quot;,&quot;non-dropping-particle&quot;:&quot;&quot;,&quot;parse-names&quot;:false,&quot;suffix&quot;:&quot;&quot;},{&quot;dropping-particle&quot;:&quot;&quot;,&quot;family&quot;:&quot;Bron&quot;,&quot;given&quot;:&quot;Tannetje I.&quot;,&quot;non-dropping-particle&quot;:&quot;&quot;,&quot;parse-names&quot;:false,&quot;suffix&quot;:&quot;&quot;},{&quot;dropping-particle&quot;:&quot;&quot;,&quot;family&quot;:&quot;Kruithof&quot;,&quot;given&quot;:&quot;I. Femke&quot;,&quot;non-dropping-particle&quot;:&quot;&quot;,&quot;parse-names&quot;:false,&quot;suffix&quot;:&quot;&quot;},{&quot;dropping-particle&quot;:&quot;&quot;,&quot;family&quot;:&quot;Spanbroek&quot;,&quot;given&quot;:&quot;Elise C.A.&quot;,&quot;non-dropping-particle&quot;:&quot;&quot;,&quot;parse-names&quot;:false,&quot;suffix&quot;:&quot;&quot;},{&quot;dropping-particle&quot;:&quot;&quot;,&quot;family&quot;:&quot;Kooij&quot;,&quot;given&quot;:&quot;J. J.Sandra&quot;,&quot;non-dropping-particle&quot;:&quot;&quot;,&quot;parse-names&quot;:false,&quot;suffix&quot;:&quot;&quot;}],&quot;container-title&quot;:&quot;Journal of Sleep Research&quot;,&quot;id&quot;:&quot;1ce9f076-0fb3-528b-a863-2bc7856129b8&quot;,&quot;issue&quot;:&quot;6&quot;,&quot;issued&quot;:{&quot;date-parts&quot;:[[&quot;2013&quot;]]},&quot;page&quot;:&quot;607-616&quot;,&quot;title&quot;:&quot;Body temperature, activity and melatonin profiles in adults with attention-deficit/hyperactivity disorder and delayed sleep: A case-control study&quot;,&quot;type&quot;:&quot;article-journal&quot;,&quot;volume&quot;:&quot;22&quot;,&quot;container-title-short&quot;:&quot;J. Sleep Res.&quot;},&quot;uris&quot;:[&quot;http://www.mendeley.com/documents/?uuid=484ff8a8-19bc-4abf-af04-1ad75c186d29&quot;],&quot;isTemporary&quot;:false,&quot;legacyDesktopId&quot;:&quot;484ff8a8-19bc-4abf-af04-1ad75c186d29&quot;}]},{&quot;citationID&quot;:&quot;MENDELEY_CITATION_f975766e-b2ae-46cb-9be5-2e573f480330&quot;,&quot;properties&quot;:{&quot;noteIndex&quot;:0},&quot;isEdited&quot;:false,&quot;manualOverride&quot;:{&quot;citeprocText&quot;:&quot;[147,165]&quot;,&quot;isManuallyOverridden&quot;:false,&quot;manualOverrideText&quot;:&quot;&quot;},&quot;citationTag&quot;:&quot;MENDELEY_CITATION_v3_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&quot;,&quot;citationItems&quot;:[{&quot;id&quot;:&quot;8732f4c2-bd57-5f6d-a722-5620fc681e19&quot;,&quot;itemData&quot;:{&quot;DOI&quot;:&quot;10.1152/japplphysiol.00943.2005&quot;,&quot;ISSN&quot;:&quot;87507587&quot;,&quot;PMID&quot;:&quot;16210432&quot;,&quot;abstract&quot;:&quot;Epidemiological evidence suggests decreased heat tolerance in patients with Type 2 diabetes mellitus (T2DM), but it is not known whether the mechanisms involved in thermoregulatory control of skin blood flow are altered in these patients. We tested the hypothesis that individuals with T2DM have a delayed internal temperature threshold for active cutaneous vasodilation during whole body heating compared with healthy control subjects. We measured skin blood flow using laser-Doppler flowmetry (LDF), internal temperature (Tor) via sublingual thermocouple, and mean arterial pressure via Finometer at baseline and during whole body heating in 9 T2DM patients and 10 control subjects of similar age, height, and weight. At one LDF site, sympathetic noradrenergic neurotransmission was blocked by local pretreatment with bretylium tosylate (BT) to isolate the cutaneous active vasodilator system. Whole body heating was conducted using a water-perfused suit. There were no differences in preheating Tor between groups (P &gt; 0.10). Patients with T2DM exhibited an increased internal temperature threshold for the onset of vasodilation at both untreated and BT-treated sites. At BT-treated sites, Tor thresholds were 36.28 ± 0.07°C in controls and 36.55 ± 0.05°C in T2DM patients (P &lt; 0.05), indicating delayed onset of active vasodilation in patients. Sensitivity of vasodilation was variable in both groups, with no consistent difference between groups (P &gt; 0.05). We conclude that altered control of active cutaneous vasodilation may contribute to impaired thermoregulation in patients with T2DM. Copyright © 2006 the American Physiological Society.&quot;,&quot;author&quot;:[{&quot;dropping-particle&quot;:&quot;&quot;,&quot;family&quot;:&quot;Wick&quot;,&quot;given&quot;:&quot;Diane E.&quot;,&quot;non-dropping-particle&quot;:&quot;&quot;,&quot;parse-names&quot;:false,&quot;suffix&quot;:&quot;&quot;},{&quot;dropping-particle&quot;:&quot;&quot;,&quot;family&quot;:&quot;Roberts&quot;,&quot;given&quot;:&quot;Shelly K.&quot;,&quot;non-dropping-particle&quot;:&quot;&quot;,&quot;parse-names&quot;:false,&quot;suffix&quot;:&quot;&quot;},{&quot;dropping-particle&quot;:&quot;&quot;,&quot;family&quot;:&quot;Basu&quot;,&quot;given&quot;:&quot;Ananda&quot;,&quot;non-dropping-particle&quot;:&quot;&quot;,&quot;parse-names&quot;:false,&quot;suffix&quot;:&quot;&quot;},{&quot;dropping-particle&quot;:&quot;&quot;,&quot;family&quot;:&quot;Sandroni&quot;,&quot;given&quot;:&quot;Paola&quot;,&quot;non-dropping-particle&quot;:&quot;&quot;,&quot;parse-names&quot;:false,&quot;suffix&quot;:&quot;&quot;},{&quot;dropping-particle&quot;:&quot;&quot;,&quot;family&quot;:&quot;Fealey&quot;,&quot;given&quot;:&quot;Robert D.&quot;,&quot;non-dropping-particle&quot;:&quot;&quot;,&quot;parse-names&quot;:false,&quot;suffix&quot;:&quot;&quot;},{&quot;dropping-particle&quot;:&quot;&quot;,&quot;family&quot;:&quot;Sletten&quot;,&quot;given&quot;:&quot;David&quot;,&quot;non-dropping-particle&quot;:&quot;&quot;,&quot;parse-names&quot;:false,&quot;suffix&quot;:&quot;&quot;},{&quot;dropping-particle&quot;:&quot;&quot;,&quot;family&quot;:&quot;Charkoudian&quot;,&quot;given&quot;:&quot;Nisha&quot;,&quot;non-dropping-particle&quot;:&quot;&quot;,&quot;parse-names&quot;:false,&quot;suffix&quot;:&quot;&quot;}],&quot;container-title&quot;:&quot;Journal of Applied Physiology&quot;,&quot;id&quot;:&quot;8732f4c2-bd57-5f6d-a722-5620fc681e19&quot;,&quot;issue&quot;:&quot;2&quot;,&quot;issued&quot;:{&quot;date-parts&quot;:[[&quot;2006&quot;]]},&quot;page&quot;:&quot;637-641&quot;,&quot;title&quot;:&quot;Delayed threshold for active cutaneous vasodilation in patients with Type 2 diabetes mellitus&quot;,&quot;type&quot;:&quot;article-journal&quot;,&quot;volume&quot;:&quot;100&quot;,&quot;container-title-short&quot;:&quot;J. Appl. Physiol.&quot;},&quot;uris&quot;:[&quot;http://www.mendeley.com/documents/?uuid=6281ffdf-429a-4f8c-80a7-d66c40a11848&quot;],&quot;isTemporary&quot;:false,&quot;legacyDesktopId&quot;:&quot;6281ffdf-429a-4f8c-80a7-d66c40a11848&quot;},{&quot;id&quot;:&quot;781f538a-9704-5d45-bbc9-f2d127ae61a5&quot;,&quot;itemData&quot;:{&quot;DOI&quot;:&quot;10.1152/japplphysiol.00298.2010&quot;,&quot;ISSN&quot;:&quot;8750-7587&quot;,&quot;abstract&quot;:&quot;Human skin blood flow responses to body heating and cooling are essential to the normal processes of physiological thermoregulation. Large increases in skin blood flow provide the necessary augmentation of convective heat loss during environmental heat exposure and/or exercise, just as reflex cutaneous vasoconstriction is key to preventing excessive heat dissipation during cold exposure. In humans, reflex sympathetic innervation of the cutaneous circulation has two branches: a sympathetic noradrenergic vasoconstrictor system, and a non-noradrenergic active vasodilator system. Noradrenergic vasoconstrictor nerves are tonically active in normothermic environments and increase their activity during cold exposure, releasing both norepinephrine and cotransmitters (including neuropeptide Y) to decrease skin blood flow. The active vasodilator system in human skin does not exhibit resting tone and is only activated during increases in body temperature, such as those brought about by heat exposure or exercise. Active cutaneous vasodilation occurs via cholinergic nerve cotransmission and has been shown to include potential roles for nitric oxide, vasoactive intestinal peptide, prostaglandins, and substance P (and/or neurokinin-1 receptors). It has proven both interesting and challenging that no one substance has been identified as the sole mediator of active cutaneous vasodilation. The processes of reflex cutaneous vasodilation and vasoconstriction are both modified by acute factors, such as exercise and hydration, and more long-term factors, such as aging, reproductive hormones, and disease. This review will highlight some of the recent findings in these areas, as well as interesting areas of ongoing and future work.&quot;,&quot;author&quot;:[{&quot;dropping-particle&quot;:&quot;&quot;,&quot;family&quot;:&quot;Charkoudian&quot;,&quot;given&quot;:&quot;Nisha&quot;,&quot;non-dropping-particle&quot;:&quot;&quot;,&quot;parse-names&quot;:false,&quot;suffix&quot;:&quot;&quot;}],&quot;container-title&quot;:&quot;Journal of Applied Physiology&quot;,&quot;id&quot;:&quot;781f538a-9704-5d45-bbc9-f2d127ae61a5&quot;,&quot;issue&quot;:&quot;4&quot;,&quot;issued&quot;:{&quot;date-parts&quot;:[[&quot;2010&quot;,&quot;10&quot;]]},&quot;page&quot;:&quot;1221-1228&quot;,&quot;title&quot;:&quot;Mechanisms and modifiers of reflex induced cutaneous vasodilation and vasoconstriction in humans&quot;,&quot;type&quot;:&quot;article-journal&quot;,&quot;volume&quot;:&quot;109&quot;,&quot;container-title-short&quot;:&quot;J. Appl. Physiol.&quot;},&quot;uris&quot;:[&quot;http://www.mendeley.com/documents/?uuid=d325c999-390f-471b-9d29-0b3af6ffae17&quot;],&quot;isTemporary&quot;:false,&quot;legacyDesktopId&quot;:&quot;d325c999-390f-471b-9d29-0b3af6ffae17&quot;}]},{&quot;citationID&quot;:&quot;MENDELEY_CITATION_821f265d-9790-4aaf-8e4d-753d389e3e66&quot;,&quot;properties&quot;:{&quot;noteIndex&quot;:0},&quot;isEdited&quot;:false,&quot;manualOverride&quot;:{&quot;citeprocText&quot;:&quot;[166–168]&quot;,&quot;isManuallyOverridden&quot;:false,&quot;manualOverrideText&quot;:&quot;&quot;},&quot;citationTag&quot;:&quot;MENDELEY_CITATION_v3_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&quot;,&quot;citationItems&quot;:[{&quot;id&quot;:&quot;c754e4f2-1563-5c65-989c-a2f628d9055a&quot;,&quot;itemData&quot;:{&quot;DOI&quot;:&quot;10.1210/jcem.76.3.8445026&quot;,&quot;ISSN&quot;:&quot;0021972X&quot;,&quot;PMID&quot;:&quot;8445026&quot;,&quot;abstract&quot;:&quot;Clinical observations have long suggested that skin perfusion (SP), among other factors, depends on thyroid status. However, quantitative data concerning this relationship are rather sparse. This study char-acterizes SP by means of laser Doppler flowmetry (LDF) in various thyroid dysfunctional states. The data reveal that mean capillary flow velocity, capillary pulse wave amplitude, and capillary flow oscillation amplitude, but not capillary flow oscillation frequency, are increased in hyperthyroid patients and decreased in hypothyroid patients. Regaining the euthyroid state is accompanied by normalization of LDF parameters only in hyperthyroid patients. It is concluded that LDF is useful in monitoring the thyroid effect on SP. However, it may not be used as a biological marker for the thyroid status of a given individual.&quot;,&quot;author&quot;:[{&quot;dropping-particle&quot;:&quot;&quot;,&quot;family&quot;:&quot;Weiss&quot;,&quot;given&quot;:&quot;Mordechai&quot;,&quot;non-dropping-particle&quot;:&quot;&quot;,&quot;parse-names&quot;:false,&quot;suffix&quot;:&quot;&quot;},{&quot;dropping-particle&quot;:&quot;&quot;,&quot;family&quot;:&quot;Milman&quot;,&quot;given&quot;:&quot;Breno&quot;,&quot;non-dropping-particle&quot;:&quot;&quot;,&quot;parse-names&quot;:false,&quot;suffix&quot;:&quot;&quot;},{&quot;dropping-particle&quot;:&quot;&quot;,&quot;family&quot;:&quot;Rosen&quot;,&quot;given&quot;:&quot;Boaz&quot;,&quot;non-dropping-particle&quot;:&quot;&quot;,&quot;parse-names&quot;:false,&quot;suffix&quot;:&quot;&quot;},{&quot;dropping-particle&quot;:&quot;&quot;,&quot;family&quot;:&quot;Zimlichman&quot;,&quot;given&quot;:&quot;Reuven&quot;,&quot;non-dropping-particle&quot;:&quot;&quot;,&quot;parse-names&quot;:false,&quot;suffix&quot;:&quot;&quot;}],&quot;container-title&quot;:&quot;Journal of Clinical Endocrinology and Metabolism&quot;,&quot;id&quot;:&quot;c754e4f2-1563-5c65-989c-a2f628d9055a&quot;,&quot;issue&quot;:&quot;3&quot;,&quot;issued&quot;:{&quot;date-parts&quot;:[[&quot;1993&quot;]]},&quot;page&quot;:&quot;680-682&quot;,&quot;title&quot;:&quot;Quantitation of thyroid hormone effect on skin perfusion by laser Doppler flowmetry&quot;,&quot;type&quot;:&quot;article-journal&quot;,&quot;volume&quot;:&quot;76&quot;,&quot;container-title-short&quot;:&quot;&quot;},&quot;uris&quot;:[&quot;http://www.mendeley.com/documents/?uuid=7a2d9863-0472-496b-a4f3-e24fee6fcf4b&quot;],&quot;isTemporary&quot;:false,&quot;legacyDesktopId&quot;:&quot;7a2d9863-0472-496b-a4f3-e24fee6fcf4b&quot;},{&quot;id&quot;:&quot;e691aac9-c533-5ecc-937e-fffa4dba315e&quot;,&quot;itemData&quot;:{&quot;DOI&quot;:&quot;https://doi.org/10.4161/derm.3.3.17027&quot;,&quot;author&quot;:[{&quot;dropping-particle&quot;:&quot;&quot;,&quot;family&quot;:&quot;Safer&quot;,&quot;given&quot;:&quot;Joshua D&quot;,&quot;non-dropping-particle&quot;:&quot;&quot;,&quot;parse-names&quot;:false,&quot;suffix&quot;:&quot;&quot;}],&quot;container-title&quot;:&quot;Dermato-endocrinology&quot;,&quot;id&quot;:&quot;e691aac9-c533-5ecc-937e-fffa4dba315e&quot;,&quot;issue&quot;:&quot;September&quot;,&quot;issued&quot;:{&quot;date-parts&quot;:[[&quot;2011&quot;]]},&quot;page&quot;:&quot;211-215&quot;,&quot;title&quot;:&quot;Thyroid hormone action on skin&quot;,&quot;type&quot;:&quot;article-journal&quot;,&quot;volume&quot;:&quot;3&quot;,&quot;container-title-short&quot;:&quot;Dermatoendocrinol.&quot;},&quot;uris&quot;:[&quot;http://www.mendeley.com/documents/?uuid=5c124c60-adc6-4916-9669-7548f838e5b9&quot;],&quot;isTemporary&quot;:false,&quot;legacyDesktopId&quot;:&quot;5c124c60-adc6-4916-9669-7548f838e5b9&quot;},{&quot;id&quot;:&quot;e668f672-978f-57a6-a11e-a7d2d946d0cd&quot;,&quot;itemData&quot;:{&quot;DOI&quot;:&quot;10.3389/fendo.2023.1167890&quot;,&quot;ISSN&quot;:&quot;16642392&quot;,&quot;abstract&quot;:&quot;Introduction: Thyroid hormone is considered one of the key regulatory hormones for skin homeostasis. Multiple organs are affected by the release of peripheral thyroid hormones (T4 and T3) further regulating various functions at a cellular level. Specifically, skin is considered an important target organ in which the thyroid hormone has a significant impact. Multiple skin diseases are associated with thyroid hormone dysregulation. However, other striking dermatologic manifestations are seen in nails and hair as well. Hypothyroidism, hyperthyroidism, and thyroid cancer can have an array of cutaneous manifestations, and we present the recent updates in this field. Methods: A PubMed search was performed for updates in any new skin disease findings and treatments between 2010 and 2022. Research published in the past decade and previously known foundational skin findings associated with thyroid disease were presented in this review. Conclusion: Cutaneous manifestations of thyroid disease is one of the first notable signs of thyroid hormone dysregulation. This article reviews the recent updates on the thyroid and skin interplay, and it further discusses overt visible findings and various available treatment modalities.&quot;,&quot;author&quot;:[{&quot;dropping-particle&quot;:&quot;&quot;,&quot;family&quot;:&quot;Cohen&quot;,&quot;given&quot;:&quot;Benjamin&quot;,&quot;non-dropping-particle&quot;:&quot;&quot;,&quot;parse-names&quot;:false,&quot;suffix&quot;:&quot;&quot;},{&quot;dropping-particle&quot;:&quot;&quot;,&quot;family&quot;:&quot;Cadesky&quot;,&quot;given&quot;:&quot;Adam&quot;,&quot;non-dropping-particle&quot;:&quot;&quot;,&quot;parse-names&quot;:false,&quot;suffix&quot;:&quot;&quot;},{&quot;dropping-particle&quot;:&quot;&quot;,&quot;family&quot;:&quot;Jaggi&quot;,&quot;given&quot;:&quot;Shuchie&quot;,&quot;non-dropping-particle&quot;:&quot;&quot;,&quot;parse-names&quot;:false,&quot;suffix&quot;:&quot;&quot;}],&quot;container-title&quot;:&quot;Frontiers in Endocrinology&quot;,&quot;id&quot;:&quot;e668f672-978f-57a6-a11e-a7d2d946d0cd&quot;,&quot;issue&quot;:&quot;May&quot;,&quot;issued&quot;:{&quot;date-parts&quot;:[[&quot;2023&quot;]]},&quot;page&quot;:&quot;1-20&quot;,&quot;title&quot;:&quot;Dermatologic manifestations of thyroid disease: a literature review&quot;,&quot;type&quot;:&quot;article-journal&quot;,&quot;volume&quot;:&quot;14&quot;,&quot;container-title-short&quot;:&quot;Front. Endocrinol. (Lausanne).&quot;},&quot;uris&quot;:[&quot;http://www.mendeley.com/documents/?uuid=22d9aaab-52c9-48ac-a1fa-209d7b7692de&quot;],&quot;isTemporary&quot;:false,&quot;legacyDesktopId&quot;:&quot;22d9aaab-52c9-48ac-a1fa-209d7b7692de&quot;}]},{&quot;citationID&quot;:&quot;MENDELEY_CITATION_42b1fce7-dbd5-4efd-a31e-871fa9b904b2&quot;,&quot;properties&quot;:{&quot;noteIndex&quot;:0},&quot;isEdited&quot;:false,&quot;manualOverride&quot;:{&quot;citeprocText&quot;:&quot;[169]&quot;,&quot;isManuallyOverridden&quot;:false,&quot;manualOverrideText&quot;:&quot;&quot;},&quot;citationTag&quot;:&quot;MENDELEY_CITATION_v3_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&quot;,&quot;citationItems&quot;:[{&quot;id&quot;:&quot;5f06406e-4b63-5396-aac7-d56d6c66c662&quot;,&quot;itemData&quot;:{&quot;DOI&quot;:&quot;10.1111/liv.13525&quot;,&quot;ISSN&quot;:&quot;14783231&quot;,&quot;PMID&quot;:&quot;28732130&quot;,&quot;abstract&quot;:&quot;Background &amp; Aims: Sleep preparation/onset are associated with peripheral vasodilatation and a decrease in body temperature. The hyperdynamic syndrome exhibited by patients with cirrhosis may impinge on sleep preparation, thus contributing to their difficulties falling asleep. The aim of this study was the assessment of skin temperature, in relation to sleep-wake patterns, in patients with cirrhosis. Methods: Fifty-three subjects were initially recruited, and 46 completed the study. Of the final 46, 12 were outpatients with cirrhosis, 13 inpatients with cirrhosis, 11 inpatients without cirrhosis and 10 healthy volunteers. All underwent baseline sleep-wake evaluation and blood sampling for inflammatory markers and morning melatonin levels. Distal/proximal skin temperature and their gradient (DPG) were recorded for 24 hours by a wireless device. Over this period subjects kept a sleep-wake diary. Results: Inpatients with cirrhosis slept significantly less well than the other groups. Inpatients and outpatients with cirrhosis had higher proximal temperature and blunted rhythmicity compared to the other groups. Inpatients with/without cirrhosis had higher distal temperature values and blunted rhythmicity compared to the other groups. Inpatients and outpatients with cirrhosis had significantly lower DPG values compared to the other groups, and DPG reached near-zero values several hours later. Significant correlations were observed between temperature and sleep-wake variables and inflammatory markers. Conclusions: Alterations of distal/proximal skin temperature, their gradient and their time-course were observed in patients with cirrhosis, which may contribute to their sleep disturbances.&quot;,&quot;author&quot;:[{&quot;dropping-particle&quot;:&quot;&quot;,&quot;family&quot;:&quot;Garrido&quot;,&quot;given&quot;:&quot;Maria&quot;,&quot;non-dropping-particle&quot;:&quot;&quot;,&quot;parse-names&quot;:false,&quot;suffix&quot;:&quot;&quot;},{&quot;dropping-particle&quot;:&quot;&quot;,&quot;family&quot;:&quot;Saccardo&quot;,&quot;given&quot;:&quot;Desy&quot;,&quot;non-dropping-particle&quot;:&quot;&quot;,&quot;parse-names&quot;:false,&quot;suffix&quot;:&quot;&quot;},{&quot;dropping-particle&quot;:&quot;&quot;,&quot;family&quot;:&quot;Rui&quot;,&quot;given&quot;:&quot;Michele&quot;,&quot;non-dropping-particle&quot;:&quot;De&quot;,&quot;parse-names&quot;:false,&quot;suffix&quot;:&quot;&quot;},{&quot;dropping-particle&quot;:&quot;&quot;,&quot;family&quot;:&quot;Vettore&quot;,&quot;given&quot;:&quot;Elia&quot;,&quot;non-dropping-particle&quot;:&quot;&quot;,&quot;parse-names&quot;:false,&quot;suffix&quot;:&quot;&quot;},{&quot;dropping-particle&quot;:&quot;&quot;,&quot;family&quot;:&quot;Verardo&quot;,&quot;given&quot;:&quot;Alberto&quot;,&quot;non-dropping-particle&quot;:&quot;&quot;,&quot;parse-names&quot;:false,&quot;suffix&quot;:&quot;&quot;},{&quot;dropping-particle&quot;:&quot;&quot;,&quot;family&quot;:&quot;Carraro&quot;,&quot;given&quot;:&quot;Paolo&quot;,&quot;non-dropping-particle&quot;:&quot;&quot;,&quot;parse-names&quot;:false,&quot;suffix&quot;:&quot;&quot;},{&quot;dropping-particle&quot;:&quot;&quot;,&quot;family&quot;:&quot;Vitofrancesco&quot;,&quot;given&quot;:&quot;Nicola&quot;,&quot;non-dropping-particle&quot;:&quot;Di&quot;,&quot;parse-names&quot;:false,&quot;suffix&quot;:&quot;&quot;},{&quot;dropping-particle&quot;:&quot;&quot;,&quot;family&quot;:&quot;Mani&quot;,&quot;given&quot;:&quot;Ali R.&quot;,&quot;non-dropping-particle&quot;:&quot;&quot;,&quot;parse-names&quot;:false,&quot;suffix&quot;:&quot;&quot;},{&quot;dropping-particle&quot;:&quot;&quot;,&quot;family&quot;:&quot;Angeli&quot;,&quot;given&quot;:&quot;Paolo&quot;,&quot;non-dropping-particle&quot;:&quot;&quot;,&quot;parse-names&quot;:false,&quot;suffix&quot;:&quot;&quot;},{&quot;dropping-particle&quot;:&quot;&quot;,&quot;family&quot;:&quot;Bolognesi&quot;,&quot;given&quot;:&quot;Massimo&quot;,&quot;non-dropping-particle&quot;:&quot;&quot;,&quot;parse-names&quot;:false,&quot;suffix&quot;:&quot;&quot;},{&quot;dropping-particle&quot;:&quot;&quot;,&quot;family&quot;:&quot;Montagnese&quot;,&quot;given&quot;:&quot;Sara&quot;,&quot;non-dropping-particle&quot;:&quot;&quot;,&quot;parse-names&quot;:false,&quot;suffix&quot;:&quot;&quot;}],&quot;container-title&quot;:&quot;Liver International&quot;,&quot;id&quot;:&quot;5f06406e-4b63-5396-aac7-d56d6c66c662&quot;,&quot;issue&quot;:&quot;12&quot;,&quot;issued&quot;:{&quot;date-parts&quot;:[[&quot;2017&quot;]]},&quot;page&quot;:&quot;1833-1842&quot;,&quot;title&quot;:&quot;Abnormalities in the 24-hour rhythm of skin temperature in cirrhosis: Sleep-wake and general clinical implications&quot;,&quot;type&quot;:&quot;article-journal&quot;,&quot;volume&quot;:&quot;37&quot;,&quot;container-title-short&quot;:&quot;&quot;},&quot;uris&quot;:[&quot;http://www.mendeley.com/documents/?uuid=c116f871-7654-4694-9353-6a845f4da1d4&quot;],&quot;isTemporary&quot;:false,&quot;legacyDesktopId&quot;:&quot;c116f871-7654-4694-9353-6a845f4da1d4&quot;}]},{&quot;citationID&quot;:&quot;MENDELEY_CITATION_ed6c29b3-de31-4f38-b334-73ed2f848721&quot;,&quot;properties&quot;:{&quot;noteIndex&quot;:0},&quot;isEdited&quot;:false,&quot;manualOverride&quot;:{&quot;citeprocText&quot;:&quot;[166,167]&quot;,&quot;isManuallyOverridden&quot;:false,&quot;manualOverrideText&quot;:&quot;&quot;},&quot;citationTag&quot;:&quot;MENDELEY_CITATION_v3_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&quot;,&quot;citationItems&quot;:[{&quot;id&quot;:&quot;c754e4f2-1563-5c65-989c-a2f628d9055a&quot;,&quot;itemData&quot;:{&quot;DOI&quot;:&quot;10.1210/jcem.76.3.8445026&quot;,&quot;ISSN&quot;:&quot;0021972X&quot;,&quot;PMID&quot;:&quot;8445026&quot;,&quot;abstract&quot;:&quot;Clinical observations have long suggested that skin perfusion (SP), among other factors, depends on thyroid status. However, quantitative data concerning this relationship are rather sparse. This study char-acterizes SP by means of laser Doppler flowmetry (LDF) in various thyroid dysfunctional states. The data reveal that mean capillary flow velocity, capillary pulse wave amplitude, and capillary flow oscillation amplitude, but not capillary flow oscillation frequency, are increased in hyperthyroid patients and decreased in hypothyroid patients. Regaining the euthyroid state is accompanied by normalization of LDF parameters only in hyperthyroid patients. It is concluded that LDF is useful in monitoring the thyroid effect on SP. However, it may not be used as a biological marker for the thyroid status of a given individual.&quot;,&quot;author&quot;:[{&quot;dropping-particle&quot;:&quot;&quot;,&quot;family&quot;:&quot;Weiss&quot;,&quot;given&quot;:&quot;Mordechai&quot;,&quot;non-dropping-particle&quot;:&quot;&quot;,&quot;parse-names&quot;:false,&quot;suffix&quot;:&quot;&quot;},{&quot;dropping-particle&quot;:&quot;&quot;,&quot;family&quot;:&quot;Milman&quot;,&quot;given&quot;:&quot;Breno&quot;,&quot;non-dropping-particle&quot;:&quot;&quot;,&quot;parse-names&quot;:false,&quot;suffix&quot;:&quot;&quot;},{&quot;dropping-particle&quot;:&quot;&quot;,&quot;family&quot;:&quot;Rosen&quot;,&quot;given&quot;:&quot;Boaz&quot;,&quot;non-dropping-particle&quot;:&quot;&quot;,&quot;parse-names&quot;:false,&quot;suffix&quot;:&quot;&quot;},{&quot;dropping-particle&quot;:&quot;&quot;,&quot;family&quot;:&quot;Zimlichman&quot;,&quot;given&quot;:&quot;Reuven&quot;,&quot;non-dropping-particle&quot;:&quot;&quot;,&quot;parse-names&quot;:false,&quot;suffix&quot;:&quot;&quot;}],&quot;container-title&quot;:&quot;Journal of Clinical Endocrinology and Metabolism&quot;,&quot;id&quot;:&quot;c754e4f2-1563-5c65-989c-a2f628d9055a&quot;,&quot;issue&quot;:&quot;3&quot;,&quot;issued&quot;:{&quot;date-parts&quot;:[[&quot;1993&quot;]]},&quot;page&quot;:&quot;680-682&quot;,&quot;title&quot;:&quot;Quantitation of thyroid hormone effect on skin perfusion by laser Doppler flowmetry&quot;,&quot;type&quot;:&quot;article-journal&quot;,&quot;volume&quot;:&quot;76&quot;,&quot;container-title-short&quot;:&quot;&quot;},&quot;uris&quot;:[&quot;http://www.mendeley.com/documents/?uuid=7a2d9863-0472-496b-a4f3-e24fee6fcf4b&quot;],&quot;isTemporary&quot;:false,&quot;legacyDesktopId&quot;:&quot;7a2d9863-0472-496b-a4f3-e24fee6fcf4b&quot;},{&quot;id&quot;:&quot;e691aac9-c533-5ecc-937e-fffa4dba315e&quot;,&quot;itemData&quot;:{&quot;DOI&quot;:&quot;https://doi.org/10.4161/derm.3.3.17027&quot;,&quot;author&quot;:[{&quot;dropping-particle&quot;:&quot;&quot;,&quot;family&quot;:&quot;Safer&quot;,&quot;given&quot;:&quot;Joshua D&quot;,&quot;non-dropping-particle&quot;:&quot;&quot;,&quot;parse-names&quot;:false,&quot;suffix&quot;:&quot;&quot;}],&quot;container-title&quot;:&quot;Dermato-endocrinology&quot;,&quot;id&quot;:&quot;e691aac9-c533-5ecc-937e-fffa4dba315e&quot;,&quot;issue&quot;:&quot;September&quot;,&quot;issued&quot;:{&quot;date-parts&quot;:[[&quot;2011&quot;]]},&quot;page&quot;:&quot;211-215&quot;,&quot;title&quot;:&quot;Thyroid hormone action on skin&quot;,&quot;type&quot;:&quot;article-journal&quot;,&quot;volume&quot;:&quot;3&quot;,&quot;container-title-short&quot;:&quot;Dermatoendocrinol.&quot;},&quot;uris&quot;:[&quot;http://www.mendeley.com/documents/?uuid=5c124c60-adc6-4916-9669-7548f838e5b9&quot;],&quot;isTemporary&quot;:false,&quot;legacyDesktopId&quot;:&quot;5c124c60-adc6-4916-9669-7548f838e5b9&quot;}]},{&quot;citationID&quot;:&quot;MENDELEY_CITATION_0a1afbd3-da65-4a2b-bf61-60a25a65eff5&quot;,&quot;properties&quot;:{&quot;noteIndex&quot;:0},&quot;isEdited&quot;:false,&quot;manualOverride&quot;:{&quot;citeprocText&quot;:&quot;[101,170,171]&quot;,&quot;isManuallyOverridden&quot;:false,&quot;manualOverrideText&quot;:&quot;&quot;},&quot;citationTag&quot;:&quot;MENDELEY_CITATION_v3_eyJjaXRhdGlvbklEIjoiTUVOREVMRVlfQ0lUQVRJT05fMGExYWZiZDMtZGE2NS00YTJiLWJmNjEtNjBhMjVhNjVlZmY1IiwicHJvcGVydGllcyI6eyJub3RlSW5kZXgiOjB9LCJpc0VkaXRlZCI6ZmFsc2UsIm1hbnVhbE92ZXJyaWRlIjp7ImNpdGVwcm9jVGV4dCI6IlsxMDEsMTcwLDE3MV0iLCJpc01hbnVhbGx5T3ZlcnJpZGRlbiI6ZmFsc2UsIm1hbnVhbE92ZXJyaWRlVGV4dCI6IiJ9LCJjaXRhdGlvbkl0ZW1zIjpbeyJpZCI6ImNhOGFiYzYyLTkyMmEtNTk1Mi1hMzU2LTJlZjA2MjNiZDZmMi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mNhOGFiYzYyLTkyMmEtNTk1Mi1hMzU2LTJlZjA2MjNiZDZmMi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XX0=&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id&quot;:&quot;ac128d3d-36bf-5186-9043-e1a1659c36f2&quot;,&quot;itemData&quot;:{&quot;DOI&quot;:&quot;10.1111/2041-210X.13563&quot;,&quot;ISSN&quot;:&quot;2041210X&quot;,&quot;abstract&quot;:&quot;Infrared thermography is increasingly emerging as an analytical approach within the thermal ecology research community, providing unique and rapid temperature information crucial to understanding how plants and animals exchange heat with their environment. What is difficult to appreciate are the numerous ways in which thermography may still yield inaccurate (i.e. deviation from the ‘correct’ value) information if certain tenets are not followed. In this paper, we examine, demonstrate and discuss these tenets with an aim to provide methodological advice to ecologists interested in employing thermography. We found that spot size and distance strongly influenced the surface temperature estimates of known, calibrated temperature sources, with similar results observed in maximum eye temperature measurements in wild birds. We also report on how the angle of incidence affects the apparent emissivity of various biological surfaces (fur, feather, skin, leaves), another source of uncertainty in thermography. The variation in temperature caused by variation in distance and uncertainty in emissivity are large enough to raise flags for field applications of thermography where accuracy is necessary but control over study subjects is limited. Since accurate emissivity and distance parameters are crucial to thermography calculations, our results should serve as a framework to assist ecologists in better experimental design with respect to the use of thermography.&quot;,&quot;author&quot;:[{&quot;dropping-particle&quot;:&quot;&quot;,&quot;family&quot;:&quot;Playà-Montmany&quot;,&quot;given&quot;:&quot;Núria&quot;,&quot;non-dropping-particle&quot;:&quot;&quot;,&quot;parse-names&quot;:false,&quot;suffix&quot;:&quot;&quot;},{&quot;dropping-particle&quot;:&quot;&quot;,&quot;family&quot;:&quot;Tattersall&quot;,&quot;given&quot;:&quot;Glenn J.&quot;,&quot;non-dropping-particle&quot;:&quot;&quot;,&quot;parse-names&quot;:false,&quot;suffix&quot;:&quot;&quot;}],&quot;container-title&quot;:&quot;Methods in Ecology and Evolution&quot;,&quot;id&quot;:&quot;ac128d3d-36bf-5186-9043-e1a1659c36f2&quot;,&quot;issue&quot;:&quot;5&quot;,&quot;issued&quot;:{&quot;date-parts&quot;:[[&quot;2021&quot;]]},&quot;page&quot;:&quot;828-840&quot;,&quot;title&quot;:&quot;Spot size, distance and emissivity errors in field applications of infrared thermography&quot;,&quot;type&quot;:&quot;article-journal&quot;,&quot;volume&quot;:&quot;12&quot;,&quot;container-title-short&quot;:&quot;Methods Ecol. Evol.&quot;},&quot;uris&quot;:[&quot;http://www.mendeley.com/documents/?uuid=1ffa8920-3e61-4483-8299-b266c0f1f7e5&quot;],&quot;isTemporary&quot;:false,&quot;legacyDesktopId&quot;:&quot;1ffa8920-3e61-4483-8299-b266c0f1f7e5&quot;},{&quot;id&quot;:&quot;d21f20c1-a6fc-5501-8db7-8495f5acbfec&quot;,&quot;itemData&quot;:{&quot;DOI&quot;:&quot;10.1088/0967-3334/33/3/R33&quot;,&quot;ISSN&quot;:&quot;13616579&quot;,&quot;abstract&quot;:&quot;This review describes the features of modern infrared imaging technology and the standardization protocols for thermal imaging in medicine. The technique essentially uses naturally emitted infrared radiation from the skin surface. Recent studies have investigated the influence of equipment and the methods of image recording. The credibility and acceptance of thermal imaging in medicine is subject to critical use of the technology and proper understanding of thermal physiology. Finally, we review established and evolving medical applications for thermal imaging, including inflammatory diseases, complex regional pain syndrome and Raynaud's phenomenon. Recent interest in the potential applications for fever screening is described, and some other areas of medicine where some research papers have included thermal imaging as an assessment modality. In certain applications thermal imaging is shown to provide objective measurement of temperature changes that are clinically significant. © 2012 Institute of Physics and Engineering in Medicine.&quot;,&quot;author&quot;:[{&quot;dropping-particle&quot;:&quot;&quot;,&quot;family&quot;:&quot;Ring&quot;,&quot;given&quot;:&quot;E. F.J.&quot;,&quot;non-dropping-particle&quot;:&quot;&quot;,&quot;parse-names&quot;:false,&quot;suffix&quot;:&quot;&quot;},{&quot;dropping-particle&quot;:&quot;&quot;,&quot;family&quot;:&quot;Ammer&quot;,&quot;given&quot;:&quot;K.&quot;,&quot;non-dropping-particle&quot;:&quot;&quot;,&quot;parse-names&quot;:false,&quot;suffix&quot;:&quot;&quot;}],&quot;container-title&quot;:&quot;Physiological Measurement&quot;,&quot;id&quot;:&quot;d21f20c1-a6fc-5501-8db7-8495f5acbfec&quot;,&quot;issue&quot;:&quot;3&quot;,&quot;issued&quot;:{&quot;date-parts&quot;:[[&quot;2012&quot;]]},&quot;title&quot;:&quot;Infrared thermal imaging in medicine&quot;,&quot;type&quot;:&quot;article-journal&quot;,&quot;volume&quot;:&quot;33&quot;,&quot;container-title-short&quot;:&quot;Physiol. Meas.&quot;},&quot;uris&quot;:[&quot;http://www.mendeley.com/documents/?uuid=f7a503c1-2435-4730-8751-ad1e9a77fc7e&quot;],&quot;isTemporary&quot;:false,&quot;legacyDesktopId&quot;:&quot;f7a503c1-2435-4730-8751-ad1e9a77fc7e&quot;}]},{&quot;citationID&quot;:&quot;MENDELEY_CITATION_75aaf34a-e589-4025-b500-6c55c252173c&quot;,&quot;properties&quot;:{&quot;noteIndex&quot;:0},&quot;isEdited&quot;:false,&quot;manualOverride&quot;:{&quot;citeprocText&quot;:&quot;[111]&quot;,&quot;isManuallyOverridden&quot;:false,&quot;manualOverrideText&quot;:&quot;&quot;},&quot;citationTag&quot;:&quot;MENDELEY_CITATION_v3_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&quot;,&quot;citationItems&quot;:[{&quot;id&quot;:&quot;2fa21ccd-fb62-5daa-82c1-0613a1e4811e&quot;,&quot;itemData&quot;:{&quot;DOI&quot;:&quot;10.1016/j.ejmp.2012.09.003&quot;,&quot;ISSN&quot;:&quot;11201797&quot;,&quot;PMID&quot;:&quot;23084004&quot;,&quot;abstract&quot;:&quot;Infrared thermoimaging is one of the options for object temperature analysis. Infrared thermoimaging is unique due to the non-contact principle of measurement. So it is often used in medicine and for scientific experimental measurements. The presented work aims to determine whether the measurement results could be influenced by topical treatment of the hand surface by various substances. The authors attempted to determine whether the emissivity can be neglected or not in situations of topical application of substances such as ultrasound gel, ointment, disinfection, etc. The results of experiments showed that the value of surface temperature is more or less distorted by the topically applied substance. Our findings demonstrate the effect of emissivity of applied substances on resulting temperature and showed the necessity to integrate the emissivity into calculation of the final surface temperature. Infrared thermoimaging can be an appropriate method for determining the temperature of organisms, if this is understood as the surface temperature, and the surrounding environment and its temperature is taken into account. © 2012 Associazione Italiana di Fisica Medica.&quot;,&quot;author&quot;:[{&quot;dropping-particle&quot;:&quot;&quot;,&quot;family&quot;:&quot;Bernard&quot;,&quot;given&quot;:&quot;V.&quot;,&quot;non-dropping-particle&quot;:&quot;&quot;,&quot;parse-names&quot;:false,&quot;suffix&quot;:&quot;&quot;},{&quot;dropping-particle&quot;:&quot;&quot;,&quot;family&quot;:&quot;Staffa&quot;,&quot;given&quot;:&quot;E.&quot;,&quot;non-dropping-particle&quot;:&quot;&quot;,&quot;parse-names&quot;:false,&quot;suffix&quot;:&quot;&quot;},{&quot;dropping-particle&quot;:&quot;&quot;,&quot;family&quot;:&quot;Mornstein&quot;,&quot;given&quot;:&quot;V.&quot;,&quot;non-dropping-particle&quot;:&quot;&quot;,&quot;parse-names&quot;:false,&quot;suffix&quot;:&quot;&quot;},{&quot;dropping-particle&quot;:&quot;&quot;,&quot;family&quot;:&quot;Bourek&quot;,&quot;given&quot;:&quot;A.&quot;,&quot;non-dropping-particle&quot;:&quot;&quot;,&quot;parse-names&quot;:false,&quot;suffix&quot;:&quot;&quot;}],&quot;container-title&quot;:&quot;Physica Medica&quot;,&quot;id&quot;:&quot;2fa21ccd-fb62-5daa-82c1-0613a1e4811e&quot;,&quot;issue&quot;:&quot;6&quot;,&quot;issued&quot;:{&quot;date-parts&quot;:[[&quot;2013&quot;]]},&quot;page&quot;:&quot;583-591&quot;,&quot;publisher&quot;:&quot;Elsevier Ltd&quot;,&quot;title&quot;:&quot;Infrared camera assessment of skin surface temperature - Effect of emissivity&quot;,&quot;type&quot;:&quot;article-journal&quot;,&quot;volume&quot;:&quot;29&quot;,&quot;container-title-short&quot;:&quot;&quot;},&quot;uris&quot;:[&quot;http://www.mendeley.com/documents/?uuid=f86ccb66-3417-45cc-86a9-31a25ab3dbec&quot;],&quot;isTemporary&quot;:false,&quot;legacyDesktopId&quot;:&quot;f86ccb66-3417-45cc-86a9-31a25ab3dbec&quot;}]},{&quot;citationID&quot;:&quot;MENDELEY_CITATION_11041002-95b5-4a27-8841-43fb303432f9&quot;,&quot;properties&quot;:{&quot;noteIndex&quot;:0},&quot;isEdited&quot;:false,&quot;manualOverride&quot;:{&quot;citeprocText&quot;:&quot;[129]&quot;,&quot;isManuallyOverridden&quot;:false,&quot;manualOverrideText&quot;:&quot;&quot;},&quot;citationTag&quot;:&quot;MENDELEY_CITATION_v3_eyJjaXRhdGlvbklEIjoiTUVOREVMRVlfQ0lUQVRJT05fMTEwNDEwMDItOTViNS00YTI3LTg4NDEtNDNmYjMwMzQzMmY5IiwicHJvcGVydGllcyI6eyJub3RlSW5kZXgiOjB9LCJpc0VkaXRlZCI6ZmFsc2UsIm1hbnVhbE92ZXJyaWRlIjp7ImNpdGVwcm9jVGV4dCI6IlsxMjld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citationID&quot;:&quot;MENDELEY_CITATION_17b5951c-4af3-4ebc-946a-55d5292932ca&quot;,&quot;properties&quot;:{&quot;noteIndex&quot;:0},&quot;isEdited&quot;:false,&quot;manualOverride&quot;:{&quot;citeprocText&quot;:&quot;[106,132]&quot;,&quot;isManuallyOverridden&quot;:false,&quot;manualOverrideText&quot;:&quot;&quot;},&quot;citationTag&quot;:&quot;MENDELEY_CITATION_v3_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V19&quot;,&quot;citationItems&quot;:[{&quot;id&quot;:&quot;30cc6c3b-2656-5f17-86ee-1edf7b992c4f&quot;,&quot;itemData&quot;:{&quot;DOI&quot;:&quot;10.1088/0967-3334/19/2/016&quot;,&quot;ISSN&quot;:&quot;09673334&quot;,&quot;PMID&quot;:&quot;9626693&quot;,&quot;abstract&quot;:&quot;The purpose of this study was to compare the mean skin temperature (T̄(sk)) obtained using 'covered' versus 'uncovered' contact thermistors in a variety of environmental conditions. Ten male subjects walked on a treadmill at 6.4 kph for 30 min in three different environments: thermoneutral (23 °C/50% RH), hot-humid (35 °C/80%), and hot-dry (42 °C/20%). T̄(sk) was measured using three 'uncovered' contact thermistors, and three 'covered' thermistors. The 'uncovered' probes were attached using acrylic rings that allowed the outer surface of the thermistors to have free exchange with the environment. The 'covered' probes were affixed to the skin using foam patches and tape. The latter procedure is commonly used in many research and clinical laboratories. The 'covered' probes resulted in a significantly (p &lt; 0.05) higher T̄(sk) under all three environmental conditions. The largest difference occurred in the thermoneutral condition with the 'covered' T̄(sk) being 1.3 °C higher than the 'uncovered' T̄(sk). These results suggest that covering a contact skin thermistor hinders heat loss and results in an artificially high T̄(sk). It is hoped that the results of this study will encourage the adoption of 'uncovered' contact skin thermistors in the future.&quot;,&quot;author&quot;:[{&quot;dropping-particle&quot;:&quot;&quot;,&quot;family&quot;:&quot;Buono&quot;,&quot;given&quot;:&quot;Michael J.&quot;,&quot;non-dropping-particle&quot;:&quot;&quot;,&quot;parse-names&quot;:false,&quot;suffix&quot;:&quot;&quot;},{&quot;dropping-particle&quot;:&quot;&quot;,&quot;family&quot;:&quot;Ulrich&quot;,&quot;given&quot;:&quot;Rachel L.&quot;,&quot;non-dropping-particle&quot;:&quot;&quot;,&quot;parse-names&quot;:false,&quot;suffix&quot;:&quot;&quot;}],&quot;container-title&quot;:&quot;Physiological Measurement&quot;,&quot;id&quot;:&quot;30cc6c3b-2656-5f17-86ee-1edf7b992c4f&quot;,&quot;issue&quot;:&quot;2&quot;,&quot;issued&quot;:{&quot;date-parts&quot;:[[&quot;1998&quot;]]},&quot;page&quot;:&quot;297-300&quot;,&quot;title&quot;:&quot;Comparison of mean skin temperature using 'covered' versus 'uncovered' contact thermistors&quot;,&quot;type&quot;:&quot;article-journal&quot;,&quot;volume&quot;:&quot;19&quot;,&quot;container-title-short&quot;:&quot;Physiol. Meas.&quot;},&quot;uris&quot;:[&quot;http://www.mendeley.com/documents/?uuid=f6f6f754-3007-415e-bbd3-61121c8cf63a&quot;],&quot;isTemporary&quot;:false,&quot;legacyDesktopId&quot;:&quot;f6f6f754-3007-415e-bbd3-61121c8cf63a&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d3662ee3-36fc-4910-8560-685de4ee1163&quot;,&quot;properties&quot;:{&quot;noteIndex&quot;:0},&quot;isEdited&quot;:false,&quot;manualOverride&quot;:{&quot;citeprocText&quot;:&quot;[106]&quot;,&quot;isManuallyOverridden&quot;:false,&quot;manualOverrideText&quot;:&quot;&quot;},&quot;citationTag&quot;:&quot;MENDELEY_CITATION_v3_eyJjaXRhdGlvbklEIjoiTUVOREVMRVlfQ0lUQVRJT05fZDM2NjJlZTMtMzZmYy00OTEwLTg1NjAtNjg1ZGU0ZWUxMTYzIiwicHJvcGVydGllcyI6eyJub3RlSW5kZXgiOjB9LCJpc0VkaXRlZCI6ZmFsc2UsIm1hbnVhbE92ZXJyaWRlIjp7ImNpdGVwcm9jVGV4dCI6IlsxMDZdIiwiaXNNYW51YWxseU92ZXJyaWRkZW4iOmZhbHNlLCJtYW51YWxPdmVycmlkZVRleHQiOiIifSwiY2l0YXRpb25JdGVtcyI6W3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quot;,&quot;citationItems&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81ab5a0f-2d90-4390-af44-5398a7619cd3&quot;,&quot;properties&quot;:{&quot;noteIndex&quot;:0},&quot;isEdited&quot;:false,&quot;manualOverride&quot;:{&quot;citeprocText&quot;:&quot;[103,172]&quot;,&quot;isManuallyOverridden&quot;:false,&quot;manualOverrideText&quot;:&quot;&quot;},&quot;citationTag&quot;:&quot;MENDELEY_CITATION_v3_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&quot;,&quot;citationItems&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id&quot;:&quot;350c07ab-d82d-568f-b7f0-9d59f6d7668f&quot;,&quot;itemData&quot;:{&quot;DOI&quot;:&quot;10.1016/j.jtherbio.2014.10.006&quot;,&quot;ISSN&quot;:&quot;03064565&quot;,&quot;PMID&quot;:&quot;25455943&quot;,&quot;abstract&quot;:&quot;Despite previous reviews and commentaries, significant misconceptions remain concerning deep-body (core) and skin temperature measurement in humans. Therefore, the authors have assembled the pertinent Laws of Thermodynamics and other first principles that govern physical and physiological heat exchanges. The resulting review is aimed at providing theoretical and empirical justifications for collecting and interpreting these data. The primary emphasis is upon deep-body temperatures, with discussions of intramuscular, subcutaneous, transcutaneous and skin temperatures included. These are all turnover indices resulting from variations in local metabolism, tissue conduction and blood flow. Consequently, inter-site differences and similarities may have no mechanistic relationship unless those sites have similar metabolic rates, are in close proximity and are perfused by the same blood vessels. Therefore, it is proposed that a gold standard deep-body temperature does not exist. Instead, the validity of each measurement must be evaluated relative to one's research objectives, whilst satisfying equilibration and positioning requirements. When using thermometric computations of heat storage, the establishment of steady-state conditions is essential, but for clinically relevant states, targeted temperature monitoring becomes paramount. However, when investigating temperature regulation, the response characteristics of each temperature measurement must match the forcing function applied during experimentation. Thus, during dynamic phases, deep-body temperatures must be measured from sites that track temperature changes in the central blood volume.&quot;,&quot;author&quot;:[{&quot;dropping-particle&quot;:&quot;&quot;,&quot;family&quot;:&quot;Taylor&quot;,&quot;given&quot;:&quot;Nigel A.S.&quot;,&quot;non-dropping-particle&quot;:&quot;&quot;,&quot;parse-names&quot;:false,&quot;suffix&quot;:&quot;&quot;},{&quot;dropping-particle&quot;:&quot;&quot;,&quot;family&quot;:&quot;Tipton&quot;,&quot;given&quot;:&quot;Michael J.&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Thermal Biology&quot;,&quot;id&quot;:&quot;350c07ab-d82d-568f-b7f0-9d59f6d7668f&quot;,&quot;issued&quot;:{&quot;date-parts&quot;:[[&quot;2014&quot;,&quot;12&quot;]]},&quot;page&quot;:&quot;72-101&quot;,&quot;publisher&quot;:&quot;Elsevier&quot;,&quot;title&quot;:&quot;Considerations for the measurement of core, skin and mean body temperatures&quot;,&quot;type&quot;:&quot;article-journal&quot;,&quot;volume&quot;:&quot;46&quot;,&quot;container-title-short&quot;:&quot;J. Therm. Biol.&quot;},&quot;uris&quot;:[&quot;http://www.mendeley.com/documents/?uuid=f9895e7a-67d2-4da3-9e2f-d33f631f3bde&quot;],&quot;isTemporary&quot;:false,&quot;legacyDesktopId&quot;:&quot;f9895e7a-67d2-4da3-9e2f-d33f631f3bde&quot;}]},{&quot;citationID&quot;:&quot;MENDELEY_CITATION_4fb38c71-44b2-4a28-8b12-615669d0576f&quot;,&quot;properties&quot;:{&quot;noteIndex&quot;:0},&quot;isEdited&quot;:false,&quot;manualOverride&quot;:{&quot;citeprocText&quot;:&quot;[173,174]&quot;,&quot;isManuallyOverridden&quot;:false,&quot;manualOverrideText&quot;:&quot;&quot;},&quot;citationTag&quot;:&quot;MENDELEY_CITATION_v3_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&quot;,&quot;citationItems&quot;:[{&quot;id&quot;:&quot;c51f461f-24cd-56a5-8850-be2e343ffc93&quot;,&quot;itemData&quot;:{&quot;author&quot;:[{&quot;dropping-particle&quot;:&quot;&quot;,&quot;family&quot;:&quot;Maxim Integrated Products&quot;,&quot;given&quot;:&quot;&quot;,&quot;non-dropping-particle&quot;:&quot;&quot;,&quot;parse-names&quot;:false,&quot;suffix&quot;:&quot;&quot;}],&quot;id&quot;:&quot;c51f461f-24cd-56a5-8850-be2e343ffc93&quot;,&quot;issued&quot;:{&quot;date-parts&quot;:[[&quot;2015&quot;]]},&quot;number-of-pages&quot;:&quot;1-52&quot;,&quot;title&quot;:&quot;DS1922L DS1922T iButton Temperature Loggers with 8KB Datalog Memory DS1922L / DS1922T iButton Temperature Loggers with 8KB Datalog Memory Absolute Maximum Ratings&quot;,&quot;type&quot;:&quot;report&quot;,&quot;container-title-short&quot;:&quot;&quot;},&quot;uris&quot;:[&quot;http://www.mendeley.com/documents/?uuid=8ae83c78-d718-4303-93d1-477e86746666&quot;,&quot;http://www.mendeley.com/documents/?uuid=b393b23b-99a4-41d5-ad54-25f7853471da&quot;],&quot;isTemporary&quot;:false,&quot;legacyDesktopId&quot;:&quot;8ae83c78-d718-4303-93d1-477e86746666&quot;},{&quot;id&quot;:&quot;80e47ce9-0d3b-56d2-ace0-af0e6ebb647d&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80e47ce9-0d3b-56d2-ace0-af0e6ebb647d&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75aec19a-b731-4dfb-b4a4-188355998bf3&quot;,&quot;http://www.mendeley.com/documents/?uuid=dbd11c3b-da21-4efb-a28b-36cca27ce333&quot;],&quot;isTemporary&quot;:false,&quot;legacyDesktopId&quot;:&quot;75aec19a-b731-4dfb-b4a4-188355998bf3&quot;}]},{&quot;citationID&quot;:&quot;MENDELEY_CITATION_ff168131-2fba-4044-8505-8adfebf70e6e&quot;,&quot;properties&quot;:{&quot;noteIndex&quot;:0},&quot;isEdited&quot;:false,&quot;manualOverride&quot;:{&quot;citeprocText&quot;:&quot;[106,175]&quot;,&quot;isManuallyOverridden&quot;:false,&quot;manualOverrideText&quot;:&quot;&quot;},&quot;citationTag&quot;:&quot;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&quot;,&quot;citationItems&quot;:[{&quot;id&quot;:&quot;99e4deed-4fe6-518a-bcbc-92231aa4c9dc&quot;,&quot;itemData&quot;:{&quot;DOI&quot;:&quot;10.1016/j.enbuild.2025.115809&quot;,&quot;ISSN&quot;:&quot;03787788&quot;,&quot;abstract&quot;:&quot;Mean skin temperature of the body is an important physiological parameter reflecting human thermal sensation and state of heat exchange between human body and its surrounding thermal environment. There is limited research on the mean skin temperature distinguishing the cool and warm sensation, even though the sensitivity of local body parts to cold and warm is not identical. Therefore, a novel method of calculating mean skin temperatures (tnsk) with the weighted mean of the influential body parts was established to reflect personal thermal sensation in moderate cool and warm environments. An experimental study was conducted in a climate chamber where sedentary occupants were exposed to the temperatures between 18 °C to 28 °C with different clothing ensembles to maintain thermal statuses of being between “slightly cool” to “slightly warm”. Thermal sensations and local skin temperatures of occupants were compared between neutral and non-neutral conditions to determine the influential body sites for tnsk. It was found that in slightly cool conditions with the winter clothing of 1.0 clo, tnsk could be explained by the weighted mean of instep (coefficient of 0.28), back lower leg (0.23), front thigh (0.18), low arm (0.16) and upper arm (0.15), while in slightly warm conditions with the summer clothes of 0.5 clo, tnsk could be explained by the weighted mean of instep (0.15), hand (0.17), front thigh (0.19), neck (0.14), low arm (0.20) and upper arm (0.15). The results of this study could guide designs of personal thermal comfort systems by preserving individual body temperature homeostasis.&quot;,&quot;author&quot;:[{&quot;dropping-particle&quot;:&quot;&quot;,&quot;family&quot;:&quot;Su&quot;,&quot;given&quot;:&quot;Xiaowen&quot;,&quot;non-dropping-particle&quot;:&quot;&quot;,&quot;parse-names&quot;:false,&quot;suffix&quot;:&quot;&quot;},{&quot;dropping-particle&quot;:&quot;&quot;,&quot;family&quot;:&quot;Kazanci&quot;,&quot;given&quot;:&quot;Ongun Berk&quot;,&quot;non-dropping-particle&quot;:&quot;&quot;,&quot;parse-names&quot;:false,&quot;suffix&quot;:&quot;&quot;},{&quot;dropping-particle&quot;:&quot;&quot;,&quot;family&quot;:&quot;Olesen&quot;,&quot;given&quot;:&quot;Bjarne W.&quot;,&quot;non-dropping-particle&quot;:&quot;&quot;,&quot;parse-names&quot;:false,&quot;suffix&quot;:&quot;&quot;},{&quot;dropping-particle&quot;:&quot;&quot;,&quot;family&quot;:&quot;Sun&quot;,&quot;given&quot;:&quot;Liangliang&quot;,&quot;non-dropping-particle&quot;:&quot;&quot;,&quot;parse-names&quot;:false,&quot;suffix&quot;:&quot;&quot;},{&quot;dropping-particle&quot;:&quot;&quot;,&quot;family&quot;:&quot;Yuan&quot;,&quot;given&quot;:&quot;Yanping&quot;,&quot;non-dropping-particle&quot;:&quot;&quot;,&quot;parse-names&quot;:false,&quot;suffix&quot;:&quot;&quot;}],&quot;container-title&quot;:&quot;Energy and Buildings&quot;,&quot;id&quot;:&quot;99e4deed-4fe6-518a-bcbc-92231aa4c9dc&quot;,&quot;issue&quot;:&quot;December 2024&quot;,&quot;issued&quot;:{&quot;date-parts&quot;:[[&quot;2025&quot;]]},&quot;publisher&quot;:&quot;Elsevier B.V.&quot;,&quot;title&quot;:&quot;A novel method of calculating mean skin temperature with high thermal sensitivity for thermal sensation evaluation&quot;,&quot;type&quot;:&quot;article-journal&quot;,&quot;volume&quot;:&quot;340&quot;,&quot;container-title-short&quot;:&quot;Energy Build.&quot;},&quot;uris&quot;:[&quot;http://www.mendeley.com/documents/?uuid=656b0e73-2169-4da4-99f8-804c537200d5&quot;],&quot;isTemporary&quot;:false,&quot;legacyDesktopId&quot;:&quot;656b0e73-2169-4da4-99f8-804c537200d5&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citationID&quot;:&quot;MENDELEY_CITATION_df2b53f0-4c36-460b-b1bd-fb70eb13b75c&quot;,&quot;properties&quot;:{&quot;noteIndex&quot;:0},&quot;isEdited&quot;:false,&quot;manualOverride&quot;:{&quot;citeprocText&quot;:&quot;[129,171,176]&quot;,&quot;isManuallyOverridden&quot;:false,&quot;manualOverrideText&quot;:&quot;&quot;},&quot;citationTag&quot;:&quot;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&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id&quot;:&quot;d21f20c1-a6fc-5501-8db7-8495f5acbfec&quot;,&quot;itemData&quot;:{&quot;DOI&quot;:&quot;10.1088/0967-3334/33/3/R33&quot;,&quot;ISSN&quot;:&quot;13616579&quot;,&quot;abstract&quot;:&quot;This review describes the features of modern infrared imaging technology and the standardization protocols for thermal imaging in medicine. The technique essentially uses naturally emitted infrared radiation from the skin surface. Recent studies have investigated the influence of equipment and the methods of image recording. The credibility and acceptance of thermal imaging in medicine is subject to critical use of the technology and proper understanding of thermal physiology. Finally, we review established and evolving medical applications for thermal imaging, including inflammatory diseases, complex regional pain syndrome and Raynaud's phenomenon. Recent interest in the potential applications for fever screening is described, and some other areas of medicine where some research papers have included thermal imaging as an assessment modality. In certain applications thermal imaging is shown to provide objective measurement of temperature changes that are clinically significant. © 2012 Institute of Physics and Engineering in Medicine.&quot;,&quot;author&quot;:[{&quot;dropping-particle&quot;:&quot;&quot;,&quot;family&quot;:&quot;Ring&quot;,&quot;given&quot;:&quot;E. F.J.&quot;,&quot;non-dropping-particle&quot;:&quot;&quot;,&quot;parse-names&quot;:false,&quot;suffix&quot;:&quot;&quot;},{&quot;dropping-particle&quot;:&quot;&quot;,&quot;family&quot;:&quot;Ammer&quot;,&quot;given&quot;:&quot;K.&quot;,&quot;non-dropping-particle&quot;:&quot;&quot;,&quot;parse-names&quot;:false,&quot;suffix&quot;:&quot;&quot;}],&quot;container-title&quot;:&quot;Physiological Measurement&quot;,&quot;id&quot;:&quot;d21f20c1-a6fc-5501-8db7-8495f5acbfec&quot;,&quot;issue&quot;:&quot;3&quot;,&quot;issued&quot;:{&quot;date-parts&quot;:[[&quot;2012&quot;]]},&quot;title&quot;:&quot;Infrared thermal imaging in medicine&quot;,&quot;type&quot;:&quot;article-journal&quot;,&quot;volume&quot;:&quot;33&quot;,&quot;container-title-short&quot;:&quot;Physiol. Meas.&quot;},&quot;uris&quot;:[&quot;http://www.mendeley.com/documents/?uuid=f7a503c1-2435-4730-8751-ad1e9a77fc7e&quot;],&quot;isTemporary&quot;:false,&quot;legacyDesktopId&quot;:&quot;f7a503c1-2435-4730-8751-ad1e9a77fc7e&quot;},{&quot;id&quot;:&quot;a992ef67-7d2a-5ad9-b6b1-13f36eb5dd25&quot;,&quot;itemData&quot;:{&quot;author&quot;:[{&quot;dropping-particle&quot;:&quot;&quot;,&quot;family&quot;:&quot;Ul&quot;,&quot;given&quot;:&quot;I Pusnik&quot;,&quot;non-dropping-particle&quot;:&quot;&quot;,&quot;parse-names&quot;:false,&quot;suffix&quot;:&quot;&quot;},{&quot;dropping-particle&quot;:&quot;&quot;,&quot;family&quot;:&quot;Msl&quot;,&quot;given&quot;:&quot;P Saunders&quot;,&quot;non-dropping-particle&quot;:&quot;&quot;,&quot;parse-names&quot;:false,&quot;suffix&quot;:&quot;&quot;},{&quot;dropping-particle&quot;:&quot;&quot;,&quot;family&quot;:&quot;Zealand&quot;,&quot;given&quot;:&quot;New&quot;,&quot;non-dropping-particle&quot;:&quot;&quot;,&quot;parse-names&quot;:false,&quot;suffix&quot;:&quot;&quot;},{&quot;dropping-particle&quot;:&quot;&quot;,&quot;family&quot;:&quot;Inrim&quot;,&quot;given&quot;:&quot;Girard&quot;,&quot;non-dropping-particle&quot;:&quot;&quot;,&quot;parse-names&quot;:false,&quot;suffix&quot;:&quot;&quot;},{&quot;dropping-particle&quot;:&quot;&quot;,&quot;family&quot;:&quot;Cmi&quot;,&quot;given&quot;:&quot;L Knazovicka&quot;,&quot;non-dropping-particle&quot;:&quot;&quot;,&quot;parse-names&quot;:false,&quot;suffix&quot;:&quot;&quot;},{&quot;dropping-particle&quot;:&quot;&quot;,&quot;family&quot;:&quot;Republic&quot;,&quot;given&quot;:&quot;Czech&quot;,&quot;non-dropping-particle&quot;:&quot;&quot;,&quot;parse-names&quot;:false,&quot;suffix&quot;:&quot;&quot;},{&quot;dropping-particle&quot;:&quot;&quot;,&quot;family&quot;:&quot;Npl&quot;,&quot;given&quot;:&quot;Simpson&quot;,&quot;non-dropping-particle&quot;:&quot;&quot;,&quot;parse-names&quot;:false,&quot;suffix&quot;:&quot;&quot;},{&quot;dropping-particle&quot;:&quot;&quot;,&quot;family&quot;:&quot;Npl&quot;,&quot;given&quot;:&quot;G Machin&quot;,&quot;non-dropping-particle&quot;:&quot;&quot;,&quot;parse-names&quot;:false,&quot;suffix&quot;:&quot;&quot;},{&quot;dropping-particle&quot;:&quot;&quot;,&quot;family&quot;:&quot;Garcia&quot;,&quot;given&quot;:&quot;D Cardenas&quot;,&quot;non-dropping-particle&quot;:&quot;&quot;,&quot;parse-names&quot;:false,&quot;suffix&quot;:&quot;&quot;},{&quot;dropping-particle&quot;:&quot;&quot;,&quot;family&quot;:&quot;Fda&quot;,&quot;given&quot;:&quot;Q Wang&quot;,&quot;non-dropping-particle&quot;:&quot;&quot;,&quot;parse-names&quot;:false,&quot;suffix&quot;:&quot;&quot;},{&quot;dropping-particle&quot;:&quot;&quot;,&quot;family&quot;:&quot;Inmetro&quot;,&quot;given&quot;:&quot;K Kuelhas&quot;,&quot;non-dropping-particle&quot;:&quot;&quot;,&quot;parse-names&quot;:false,&quot;suffix&quot;:&quot;&quot;},{&quot;dropping-particle&quot;:&quot;&quot;,&quot;family&quot;:&quot;Cnam&quot;,&quot;given&quot;:&quot;M Sadli&quot;,&quot;non-dropping-particle&quot;:&quot;&quot;,&quot;parse-names&quot;:false,&quot;suffix&quot;:&quot;&quot;},{&quot;dropping-particle&quot;:&quot;&quot;,&quot;family&quot;:&quot;Tubİtak&quot;,&quot;given&quot;:&quot;Ö Pehlivan Yildirim&quot;,&quot;non-dropping-particle&quot;:&quot;&quot;,&quot;parse-names&quot;:false,&quot;suffix&quot;:&quot;&quot;}],&quot;id&quot;:&quot;a992ef67-7d2a-5ad9-b6b1-13f36eb5dd25&quot;,&quot;issue&quot;:&quot;July&quot;,&quot;issued&quot;:{&quot;date-parts&quot;:[[&quot;2023&quot;]]},&quot;title&quot;:&quot;BEST PRACTICE GUIDE USE OF THERMAL IMAGERS TO PERFORM TRACEABLE NON- CONTACT SCREENING OF HUMAN BODY TEMPERATURE Prepared by : UME , Turkey ) F . E . Liebmann ( Fluke , USA ), J . Gust ( Fluke , USA ), K . Howell ( EAT , UK ) Version 3 , July 2023&quot;,&quot;type&quot;:&quot;report&quot;,&quot;container-title-short&quot;:&quot;&quot;},&quot;uris&quot;:[&quot;http://www.mendeley.com/documents/?uuid=46b5edeb-8a06-4a80-8055-36b480524e6a&quot;],&quot;isTemporary&quot;:false,&quot;legacyDesktopId&quot;:&quot;46b5edeb-8a06-4a80-8055-36b480524e6a&quot;}]},{&quot;citationID&quot;:&quot;MENDELEY_CITATION_e4d6f1c2-ff72-436a-b20e-fae338f4917b&quot;,&quot;properties&quot;:{&quot;noteIndex&quot;:0},&quot;isEdited&quot;:false,&quot;manualOverride&quot;:{&quot;citeprocText&quot;:&quot;[176]&quot;,&quot;isManuallyOverridden&quot;:false,&quot;manualOverrideText&quot;:&quot;&quot;},&quot;citationTag&quot;:&quot;MENDELEY_CITATION_v3_eyJjaXRhdGlvbklEIjoiTUVOREVMRVlfQ0lUQVRJT05fZTRkNmYxYzItZmY3Mi00MzZhLWIyMGUtZmFlMzM4ZjQ5MTdiIiwicHJvcGVydGllcyI6eyJub3RlSW5kZXgiOjB9LCJpc0VkaXRlZCI6ZmFsc2UsIm1hbnVhbE92ZXJyaWRlIjp7ImNpdGVwcm9jVGV4dCI6IlsxNzZd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quot;,&quot;citationItems&quot;:[{&quot;id&quot;:&quot;a992ef67-7d2a-5ad9-b6b1-13f36eb5dd25&quot;,&quot;itemData&quot;:{&quot;author&quot;:[{&quot;dropping-particle&quot;:&quot;&quot;,&quot;family&quot;:&quot;Ul&quot;,&quot;given&quot;:&quot;I Pusnik&quot;,&quot;non-dropping-particle&quot;:&quot;&quot;,&quot;parse-names&quot;:false,&quot;suffix&quot;:&quot;&quot;},{&quot;dropping-particle&quot;:&quot;&quot;,&quot;family&quot;:&quot;Msl&quot;,&quot;given&quot;:&quot;P Saunders&quot;,&quot;non-dropping-particle&quot;:&quot;&quot;,&quot;parse-names&quot;:false,&quot;suffix&quot;:&quot;&quot;},{&quot;dropping-particle&quot;:&quot;&quot;,&quot;family&quot;:&quot;Zealand&quot;,&quot;given&quot;:&quot;New&quot;,&quot;non-dropping-particle&quot;:&quot;&quot;,&quot;parse-names&quot;:false,&quot;suffix&quot;:&quot;&quot;},{&quot;dropping-particle&quot;:&quot;&quot;,&quot;family&quot;:&quot;Inrim&quot;,&quot;given&quot;:&quot;Girard&quot;,&quot;non-dropping-particle&quot;:&quot;&quot;,&quot;parse-names&quot;:false,&quot;suffix&quot;:&quot;&quot;},{&quot;dropping-particle&quot;:&quot;&quot;,&quot;family&quot;:&quot;Cmi&quot;,&quot;given&quot;:&quot;L Knazovicka&quot;,&quot;non-dropping-particle&quot;:&quot;&quot;,&quot;parse-names&quot;:false,&quot;suffix&quot;:&quot;&quot;},{&quot;dropping-particle&quot;:&quot;&quot;,&quot;family&quot;:&quot;Republic&quot;,&quot;given&quot;:&quot;Czech&quot;,&quot;non-dropping-particle&quot;:&quot;&quot;,&quot;parse-names&quot;:false,&quot;suffix&quot;:&quot;&quot;},{&quot;dropping-particle&quot;:&quot;&quot;,&quot;family&quot;:&quot;Npl&quot;,&quot;given&quot;:&quot;Simpson&quot;,&quot;non-dropping-particle&quot;:&quot;&quot;,&quot;parse-names&quot;:false,&quot;suffix&quot;:&quot;&quot;},{&quot;dropping-particle&quot;:&quot;&quot;,&quot;family&quot;:&quot;Npl&quot;,&quot;given&quot;:&quot;G Machin&quot;,&quot;non-dropping-particle&quot;:&quot;&quot;,&quot;parse-names&quot;:false,&quot;suffix&quot;:&quot;&quot;},{&quot;dropping-particle&quot;:&quot;&quot;,&quot;family&quot;:&quot;Garcia&quot;,&quot;given&quot;:&quot;D Cardenas&quot;,&quot;non-dropping-particle&quot;:&quot;&quot;,&quot;parse-names&quot;:false,&quot;suffix&quot;:&quot;&quot;},{&quot;dropping-particle&quot;:&quot;&quot;,&quot;family&quot;:&quot;Fda&quot;,&quot;given&quot;:&quot;Q Wang&quot;,&quot;non-dropping-particle&quot;:&quot;&quot;,&quot;parse-names&quot;:false,&quot;suffix&quot;:&quot;&quot;},{&quot;dropping-particle&quot;:&quot;&quot;,&quot;family&quot;:&quot;Inmetro&quot;,&quot;given&quot;:&quot;K Kuelhas&quot;,&quot;non-dropping-particle&quot;:&quot;&quot;,&quot;parse-names&quot;:false,&quot;suffix&quot;:&quot;&quot;},{&quot;dropping-particle&quot;:&quot;&quot;,&quot;family&quot;:&quot;Cnam&quot;,&quot;given&quot;:&quot;M Sadli&quot;,&quot;non-dropping-particle&quot;:&quot;&quot;,&quot;parse-names&quot;:false,&quot;suffix&quot;:&quot;&quot;},{&quot;dropping-particle&quot;:&quot;&quot;,&quot;family&quot;:&quot;Tubİtak&quot;,&quot;given&quot;:&quot;Ö Pehlivan Yildirim&quot;,&quot;non-dropping-particle&quot;:&quot;&quot;,&quot;parse-names&quot;:false,&quot;suffix&quot;:&quot;&quot;}],&quot;id&quot;:&quot;a992ef67-7d2a-5ad9-b6b1-13f36eb5dd25&quot;,&quot;issue&quot;:&quot;July&quot;,&quot;issued&quot;:{&quot;date-parts&quot;:[[&quot;2023&quot;]]},&quot;title&quot;:&quot;BEST PRACTICE GUIDE USE OF THERMAL IMAGERS TO PERFORM TRACEABLE NON- CONTACT SCREENING OF HUMAN BODY TEMPERATURE Prepared by : UME , Turkey ) F . E . Liebmann ( Fluke , USA ), J . Gust ( Fluke , USA ), K . Howell ( EAT , UK ) Version 3 , July 2023&quot;,&quot;type&quot;:&quot;report&quot;,&quot;container-title-short&quot;:&quot;&quot;},&quot;uris&quot;:[&quot;http://www.mendeley.com/documents/?uuid=46b5edeb-8a06-4a80-8055-36b480524e6a&quot;],&quot;isTemporary&quot;:false,&quot;legacyDesktopId&quot;:&quot;46b5edeb-8a06-4a80-8055-36b480524e6a&quot;}]},{&quot;citationID&quot;:&quot;MENDELEY_CITATION_2a8f48f3-9bed-45aa-a93e-2fca1b93c396&quot;,&quot;properties&quot;:{&quot;noteIndex&quot;:0},&quot;isEdited&quot;:false,&quot;manualOverride&quot;:{&quot;citeprocText&quot;:&quot;[101]&quot;,&quot;isManuallyOverridden&quot;:false,&quot;manualOverrideText&quot;:&quot;&quot;},&quot;citationTag&quot;:&quot;MENDELEY_CITATION_v3_eyJjaXRhdGlvbklEIjoiTUVOREVMRVlfQ0lUQVRJT05fMmE4ZjQ4ZjMtOWJlZC00NWFhLWE5M2UtMmZjYTFiOTNjMzk2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1128e457-5aeb-4b8d-b77d-ba816ca2ae40&quot;,&quot;properties&quot;:{&quot;noteIndex&quot;:0},&quot;isEdited&quot;:false,&quot;manualOverride&quot;:{&quot;citeprocText&quot;:&quot;[172]&quot;,&quot;isManuallyOverridden&quot;:false,&quot;manualOverrideText&quot;:&quot;&quot;},&quot;citationTag&quot;:&quot;MENDELEY_CITATION_v3_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&quot;,&quot;citationItems&quot;:[{&quot;id&quot;:&quot;350c07ab-d82d-568f-b7f0-9d59f6d7668f&quot;,&quot;itemData&quot;:{&quot;DOI&quot;:&quot;10.1016/j.jtherbio.2014.10.006&quot;,&quot;ISSN&quot;:&quot;03064565&quot;,&quot;PMID&quot;:&quot;25455943&quot;,&quot;abstract&quot;:&quot;Despite previous reviews and commentaries, significant misconceptions remain concerning deep-body (core) and skin temperature measurement in humans. Therefore, the authors have assembled the pertinent Laws of Thermodynamics and other first principles that govern physical and physiological heat exchanges. The resulting review is aimed at providing theoretical and empirical justifications for collecting and interpreting these data. The primary emphasis is upon deep-body temperatures, with discussions of intramuscular, subcutaneous, transcutaneous and skin temperatures included. These are all turnover indices resulting from variations in local metabolism, tissue conduction and blood flow. Consequently, inter-site differences and similarities may have no mechanistic relationship unless those sites have similar metabolic rates, are in close proximity and are perfused by the same blood vessels. Therefore, it is proposed that a gold standard deep-body temperature does not exist. Instead, the validity of each measurement must be evaluated relative to one's research objectives, whilst satisfying equilibration and positioning requirements. When using thermometric computations of heat storage, the establishment of steady-state conditions is essential, but for clinically relevant states, targeted temperature monitoring becomes paramount. However, when investigating temperature regulation, the response characteristics of each temperature measurement must match the forcing function applied during experimentation. Thus, during dynamic phases, deep-body temperatures must be measured from sites that track temperature changes in the central blood volume.&quot;,&quot;author&quot;:[{&quot;dropping-particle&quot;:&quot;&quot;,&quot;family&quot;:&quot;Taylor&quot;,&quot;given&quot;:&quot;Nigel A.S.&quot;,&quot;non-dropping-particle&quot;:&quot;&quot;,&quot;parse-names&quot;:false,&quot;suffix&quot;:&quot;&quot;},{&quot;dropping-particle&quot;:&quot;&quot;,&quot;family&quot;:&quot;Tipton&quot;,&quot;given&quot;:&quot;Michael J.&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Thermal Biology&quot;,&quot;id&quot;:&quot;350c07ab-d82d-568f-b7f0-9d59f6d7668f&quot;,&quot;issued&quot;:{&quot;date-parts&quot;:[[&quot;2014&quot;,&quot;12&quot;]]},&quot;page&quot;:&quot;72-101&quot;,&quot;publisher&quot;:&quot;Elsevier&quot;,&quot;title&quot;:&quot;Considerations for the measurement of core, skin and mean body temperatures&quot;,&quot;type&quot;:&quot;article-journal&quot;,&quot;volume&quot;:&quot;46&quot;,&quot;container-title-short&quot;:&quot;J. Therm. Biol.&quot;},&quot;uris&quot;:[&quot;http://www.mendeley.com/documents/?uuid=f9895e7a-67d2-4da3-9e2f-d33f631f3bde&quot;],&quot;isTemporary&quot;:false,&quot;legacyDesktopId&quot;:&quot;f9895e7a-67d2-4da3-9e2f-d33f631f3bde&quot;}]},{&quot;citationID&quot;:&quot;MENDELEY_CITATION_009e32cb-6c41-43f7-ab30-ce4444f115e0&quot;,&quot;properties&quot;:{&quot;noteIndex&quot;:0},&quot;isEdited&quot;:false,&quot;manualOverride&quot;:{&quot;citeprocText&quot;:&quot;[111]&quot;,&quot;isManuallyOverridden&quot;:false,&quot;manualOverrideText&quot;:&quot;&quot;},&quot;citationTag&quot;:&quot;MENDELEY_CITATION_v3_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&quot;,&quot;citationItems&quot;:[{&quot;id&quot;:&quot;2fa21ccd-fb62-5daa-82c1-0613a1e4811e&quot;,&quot;itemData&quot;:{&quot;DOI&quot;:&quot;10.1016/j.ejmp.2012.09.003&quot;,&quot;ISSN&quot;:&quot;11201797&quot;,&quot;PMID&quot;:&quot;23084004&quot;,&quot;abstract&quot;:&quot;Infrared thermoimaging is one of the options for object temperature analysis. Infrared thermoimaging is unique due to the non-contact principle of measurement. So it is often used in medicine and for scientific experimental measurements. The presented work aims to determine whether the measurement results could be influenced by topical treatment of the hand surface by various substances. The authors attempted to determine whether the emissivity can be neglected or not in situations of topical application of substances such as ultrasound gel, ointment, disinfection, etc. The results of experiments showed that the value of surface temperature is more or less distorted by the topically applied substance. Our findings demonstrate the effect of emissivity of applied substances on resulting temperature and showed the necessity to integrate the emissivity into calculation of the final surface temperature. Infrared thermoimaging can be an appropriate method for determining the temperature of organisms, if this is understood as the surface temperature, and the surrounding environment and its temperature is taken into account. © 2012 Associazione Italiana di Fisica Medica.&quot;,&quot;author&quot;:[{&quot;dropping-particle&quot;:&quot;&quot;,&quot;family&quot;:&quot;Bernard&quot;,&quot;given&quot;:&quot;V.&quot;,&quot;non-dropping-particle&quot;:&quot;&quot;,&quot;parse-names&quot;:false,&quot;suffix&quot;:&quot;&quot;},{&quot;dropping-particle&quot;:&quot;&quot;,&quot;family&quot;:&quot;Staffa&quot;,&quot;given&quot;:&quot;E.&quot;,&quot;non-dropping-particle&quot;:&quot;&quot;,&quot;parse-names&quot;:false,&quot;suffix&quot;:&quot;&quot;},{&quot;dropping-particle&quot;:&quot;&quot;,&quot;family&quot;:&quot;Mornstein&quot;,&quot;given&quot;:&quot;V.&quot;,&quot;non-dropping-particle&quot;:&quot;&quot;,&quot;parse-names&quot;:false,&quot;suffix&quot;:&quot;&quot;},{&quot;dropping-particle&quot;:&quot;&quot;,&quot;family&quot;:&quot;Bourek&quot;,&quot;given&quot;:&quot;A.&quot;,&quot;non-dropping-particle&quot;:&quot;&quot;,&quot;parse-names&quot;:false,&quot;suffix&quot;:&quot;&quot;}],&quot;container-title&quot;:&quot;Physica Medica&quot;,&quot;id&quot;:&quot;2fa21ccd-fb62-5daa-82c1-0613a1e4811e&quot;,&quot;issue&quot;:&quot;6&quot;,&quot;issued&quot;:{&quot;date-parts&quot;:[[&quot;2013&quot;]]},&quot;page&quot;:&quot;583-591&quot;,&quot;publisher&quot;:&quot;Elsevier Ltd&quot;,&quot;title&quot;:&quot;Infrared camera assessment of skin surface temperature - Effect of emissivity&quot;,&quot;type&quot;:&quot;article-journal&quot;,&quot;volume&quot;:&quot;29&quot;,&quot;container-title-short&quot;:&quot;&quot;},&quot;uris&quot;:[&quot;http://www.mendeley.com/documents/?uuid=f86ccb66-3417-45cc-86a9-31a25ab3dbec&quot;],&quot;isTemporary&quot;:false,&quot;legacyDesktopId&quot;:&quot;f86ccb66-3417-45cc-86a9-31a25ab3dbec&quot;}]},{&quot;citationID&quot;:&quot;MENDELEY_CITATION_e37ca94c-32e5-4967-8147-b025144f7d21&quot;,&quot;properties&quot;:{&quot;noteIndex&quot;:0},&quot;isEdited&quot;:false,&quot;manualOverride&quot;:{&quot;citeprocText&quot;:&quot;[129]&quot;,&quot;isManuallyOverridden&quot;:false,&quot;manualOverrideText&quot;:&quot;&quot;},&quot;citationTag&quot;:&quot;MENDELEY_CITATION_v3_eyJjaXRhdGlvbklEIjoiTUVOREVMRVlfQ0lUQVRJT05fZTM3Y2E5NGMtMzJlNS00OTY3LTgxNDctYjAyNTE0NGY3ZDIxIiwicHJvcGVydGllcyI6eyJub3RlSW5kZXgiOjB9LCJpc0VkaXRlZCI6ZmFsc2UsIm1hbnVhbE92ZXJyaWRlIjp7ImNpdGVwcm9jVGV4dCI6IlsxMjldIiwiaXNNYW51YWxseU92ZXJyaWRkZW4iOmZhbHNlLCJtYW51YWxPdmVycmlkZVRleHQiOiIifSwiY2l0YXRpb25JdGVtcyI6W3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XX0=&quot;,&quot;citationItems&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citationID&quot;:&quot;MENDELEY_CITATION_edbac0cb-1978-41a2-8db4-8da903e365ac&quot;,&quot;properties&quot;:{&quot;noteIndex&quot;:0},&quot;isEdited&quot;:false,&quot;manualOverride&quot;:{&quot;citeprocText&quot;:&quot;[107,128,129,171]&quot;,&quot;isManuallyOverridden&quot;:false,&quot;manualOverrideText&quot;:&quot;&quot;},&quot;citationTag&quot;:&quot;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&quot;,&quot;citationItems&quot;:[{&quot;id&quot;:&quot;d21f20c1-a6fc-5501-8db7-8495f5acbfec&quot;,&quot;itemData&quot;:{&quot;DOI&quot;:&quot;10.1088/0967-3334/33/3/R33&quot;,&quot;ISSN&quot;:&quot;13616579&quot;,&quot;abstract&quot;:&quot;This review describes the features of modern infrared imaging technology and the standardization protocols for thermal imaging in medicine. The technique essentially uses naturally emitted infrared radiation from the skin surface. Recent studies have investigated the influence of equipment and the methods of image recording. The credibility and acceptance of thermal imaging in medicine is subject to critical use of the technology and proper understanding of thermal physiology. Finally, we review established and evolving medical applications for thermal imaging, including inflammatory diseases, complex regional pain syndrome and Raynaud's phenomenon. Recent interest in the potential applications for fever screening is described, and some other areas of medicine where some research papers have included thermal imaging as an assessment modality. In certain applications thermal imaging is shown to provide objective measurement of temperature changes that are clinically significant. © 2012 Institute of Physics and Engineering in Medicine.&quot;,&quot;author&quot;:[{&quot;dropping-particle&quot;:&quot;&quot;,&quot;family&quot;:&quot;Ring&quot;,&quot;given&quot;:&quot;E. F.J.&quot;,&quot;non-dropping-particle&quot;:&quot;&quot;,&quot;parse-names&quot;:false,&quot;suffix&quot;:&quot;&quot;},{&quot;dropping-particle&quot;:&quot;&quot;,&quot;family&quot;:&quot;Ammer&quot;,&quot;given&quot;:&quot;K.&quot;,&quot;non-dropping-particle&quot;:&quot;&quot;,&quot;parse-names&quot;:false,&quot;suffix&quot;:&quot;&quot;}],&quot;container-title&quot;:&quot;Physiological Measurement&quot;,&quot;id&quot;:&quot;d21f20c1-a6fc-5501-8db7-8495f5acbfec&quot;,&quot;issue&quot;:&quot;3&quot;,&quot;issued&quot;:{&quot;date-parts&quot;:[[&quot;2012&quot;]]},&quot;title&quot;:&quot;Infrared thermal imaging in medicine&quot;,&quot;type&quot;:&quot;article-journal&quot;,&quot;volume&quot;:&quot;33&quot;,&quot;container-title-short&quot;:&quot;Physiol. Meas.&quot;},&quot;uris&quot;:[&quot;http://www.mendeley.com/documents/?uuid=f7a503c1-2435-4730-8751-ad1e9a77fc7e&quot;],&quot;isTemporary&quot;:false,&quot;legacyDesktopId&quot;:&quot;f7a503c1-2435-4730-8751-ad1e9a77fc7e&quot;},{&quot;id&quot;:&quot;683ea773-7105-572b-bea1-6edac92ed3cd&quot;,&quot;itemData&quot;:{&quot;DOI&quot;:&quot;10.1016/j.infrared.2015.02.007&quot;,&quot;ISSN&quot;:&quot;13504495&quot;,&quot;abstract&quot;:&quot;Abstract Body temperature is one of the most commonly used indicators of health status in humans. Infrared thermography (IRT) is a safe, non-invasive and low-cost technique that allows for the rapid and non-invasive recording of radiating energy that is released from the body. IRT measures this radiation, directly related to skin temperature (Tsk) and has been widely used since the early 1960s in different areas. Recent technical advances in infrared cameras have made new human applications of IRT (beyond diagnostic techniques) possible. This review focuses on the lack of comprehensive information about the factors influencing the use of IRT in humans, and proposes a comprehensive classification in three primary groups: environmental, individual and technical factors. We aim: to propose a common framework for further investigations; to reinforce the accuracy of human IRT; to summarise and discuss the results from the studies carried out on each factor and to identify areas requiring further research to determine their effects on human IRT.&quot;,&quot;author&quot;:[{&quot;dropping-particle&quot;:&quot;&quot;,&quot;family&quot;:&quot;Fernández-Cuevas&quot;,&quot;given&quot;:&quot;Ismael&quot;,&quot;non-dropping-particle&quot;:&quot;&quot;,&quot;parse-names&quot;:false,&quot;suffix&quot;:&quot;&quot;},{&quot;dropping-particle&quot;:&quot;&quot;,&quot;family&quot;:&quot;Bouzas Marins&quot;,&quot;given&quot;:&quot;Joao Carlos&quot;,&quot;non-dropping-particle&quot;:&quot;&quot;,&quot;parse-names&quot;:false,&quot;suffix&quot;:&quot;&quot;},{&quot;dropping-particle&quot;:&quot;&quot;,&quot;family&quot;:&quot;Arnáiz Lastras&quot;,&quot;given&quot;:&quot;Javier&quot;,&quot;non-dropping-particle&quot;:&quot;&quot;,&quot;parse-names&quot;:false,&quot;suffix&quot;:&quot;&quot;},{&quot;dropping-particle&quot;:&quot;&quot;,&quot;family&quot;:&quot;Gómez Carmona&quot;,&quot;given&quot;:&quot;Pedro María&quot;,&quot;non-dropping-particle&quot;:&quot;&quot;,&quot;parse-names&quot;:false,&quot;suffix&quot;:&quot;&quot;},{&quot;dropping-particle&quot;:&quot;&quot;,&quot;family&quot;:&quot;Piñonosa Cano&quot;,&quot;given&quot;:&quot;Sergio&quot;,&quot;non-dropping-particle&quot;:&quot;&quot;,&quot;parse-names&quot;:false,&quot;suffix&quot;:&quot;&quot;},{&quot;dropping-particle&quot;:&quot;&quot;,&quot;family&quot;:&quot;García-Concepción&quot;,&quot;given&quot;:&quot;Miguel Ángel&quot;,&quot;non-dropping-particle&quot;:&quot;&quot;,&quot;parse-names&quot;:false,&quot;suffix&quot;:&quot;&quot;},{&quot;dropping-particle&quot;:&quot;&quot;,&quot;family&quot;:&quot;Sillero-Quintana&quot;,&quot;given&quot;:&quot;Manuel&quot;,&quot;non-dropping-particle&quot;:&quot;&quot;,&quot;parse-names&quot;:false,&quot;suffix&quot;:&quot;&quot;}],&quot;container-title&quot;:&quot;Infrared Physics and Technology&quot;,&quot;id&quot;:&quot;683ea773-7105-572b-bea1-6edac92ed3cd&quot;,&quot;issue&quot;:&quot;October 2017&quot;,&quot;issued&quot;:{&quot;date-parts&quot;:[[&quot;2015&quot;]]},&quot;page&quot;:&quot;28-55&quot;,&quot;title&quot;:&quot;Classification of factors influencing the use of infrared thermography in humans: A review&quot;,&quot;type&quot;:&quot;article-journal&quot;,&quot;volume&quot;:&quot;71&quot;,&quot;container-title-short&quot;:&quot;Infrared Phys. Technol.&quot;},&quot;uris&quot;:[&quot;http://www.mendeley.com/documents/?uuid=8295ae90-135b-4c59-8ed9-4bc4a831595b&quot;],&quot;isTemporary&quot;:false,&quot;legacyDesktopId&quot;:&quot;8295ae90-135b-4c59-8ed9-4bc4a831595b&quot;},{&quot;id&quot;:&quot;8c2af072-2cb3-5c91-bf59-3f6ac4fc4311&quot;,&quot;itemData&quot;:{&quot;DOI&quot;:&quot;10.1371/journal.pone.0117907&quot;,&quot;ISSN&quot;:&quot;1932-6203&quot;,&quot;PMID&quot;:&quot;25659140&quot;,&quot;abstract&quot;:&quot;PURPOSE Skin temperature assessment has historically been undertaken with conductive devices affixed to the skin. With the development of technology, infrared devices are increasingly utilised in the measurement of skin temperature. Therefore, our purpose was to evaluate the agreement between four skin temperature devices at rest, during exercise in the heat, and recovery. METHODS Mean skin temperature ([Formula: see text]) was assessed in thirty healthy males during 30 min rest (24.0 ± 1.2°C, 56 ± 8%), 30 min cycle in the heat (38.0 ± 0.5°C, 41 ± 2%), and 45 min recovery (24.0 ± 1.3°C, 56 ± 9%). [Formula: see text] was assessed at four sites using two conductive devices (thermistors, iButtons) and two infrared devices (infrared thermometer, infrared camera). RESULTS Bland-Altman plots demonstrated mean bias ± limits of agreement between the thermistors and iButtons as follows (rest, exercise, recovery): -0.01 ± 0.04, 0.26 ± 0.85, -0.37 ± 0.98°C; thermistors and infrared thermometer: 0.34 ± 0.44, -0.44 ± 1.23, -1.04 ± 1.75°C; thermistors and infrared camera (rest, recovery): 0.83 ± 0.77, 1.88 ± 1.87°C. Pairwise comparisons of [Formula: see text] found significant differences (p &lt; 0.05) between thermistors and both infrared devices during resting conditions, and significant differences between the thermistors and all other devices tested during exercise in the heat and recovery. CONCLUSIONS These results indicate poor agreement between conductive and infrared devices at rest, during exercise in the heat, and subsequent recovery. Infrared devices may not be suitable for monitoring [Formula: see text] in the presence of, or following, metabolic and environmental induced heat stress.&quot;,&quot;author&quot;:[{&quot;dropping-particle&quot;:&quot;&quot;,&quot;family&quot;:&quot;Bach&quot;,&quot;given&quot;:&quot;Aaron J 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Disher&quot;,&quot;given&quot;:&quot;Alice E.&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loS one&quot;,&quot;id&quot;:&quot;8c2af072-2cb3-5c91-bf59-3f6ac4fc4311&quot;,&quot;issue&quot;:&quot;2&quot;,&quot;issued&quot;:{&quot;date-parts&quot;:[[&quot;2015&quot;]]},&quot;page&quot;:&quot;e0117907&quot;,&quot;title&quot;:&quot;A comparison between conductive and infrared devices for measuring mean skin temperature at rest, during exercise in the heat, and recovery.&quot;,&quot;type&quot;:&quot;article-journal&quot;,&quot;volume&quot;:&quot;10&quot;,&quot;container-title-short&quot;:&quot;PLoS One&quot;},&quot;uris&quot;:[&quot;http://www.mendeley.com/documents/?uuid=a0de8f40-0417-4f58-88bd-7b5be12715fa&quot;],&quot;isTemporary&quot;:false,&quot;legacyDesktopId&quot;:&quot;a0de8f40-0417-4f58-88bd-7b5be12715fa&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81251679-00fe-4fb1-ad75-0a3a2058eb51&quot;,&quot;properties&quot;:{&quot;noteIndex&quot;:0},&quot;isEdited&quot;:false,&quot;manualOverride&quot;:{&quot;citeprocText&quot;:&quot;[101]&quot;,&quot;isManuallyOverridden&quot;:false,&quot;manualOverrideText&quot;:&quot;&quot;},&quot;citationTag&quot;:&quot;MENDELEY_CITATION_v3_eyJjaXRhdGlvbklEIjoiTUVOREVMRVlfQ0lUQVRJT05fODEyNTE2NzktMDBmZS00ZmIxLWFkNzUtMGEzYTIwNThlYjUx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a6479e3a-fef6-4ed0-9d26-fb27c8e2305a&quot;,&quot;properties&quot;:{&quot;noteIndex&quot;:0},&quot;isEdited&quot;:false,&quot;manualOverride&quot;:{&quot;citeprocText&quot;:&quot;[103]&quot;,&quot;isManuallyOverridden&quot;:false,&quot;manualOverrideText&quot;:&quot;&quot;},&quot;citationTag&quot;:&quot;MENDELEY_CITATION_v3_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&quot;,&quot;citationItems&quot;:[{&quot;id&quot;:&quot;cbf542f6-8962-53a6-a431-9ac6b271141c&quot;,&quot;itemData&quot;:{&quot;DOI&quot;:&quot;10.1016/j.jtherbio.2014.08.010&quot;,&quot;ISSN&quot;:&quot;18790992&quot;,&quot;PMID&quot;:&quot;25436963&quot;,&quot;abstract&quot;:&quot;New technologies afford convenient modalities for skin temperature (TSKIN) measurement, notably involving wireless telemetry and non-contact infrared thermometry. The purpose of this study was to investigate the validity and reliability of skin temperature measurements using a telemetry thermistor system (TT) and thermal camera (TC) during exercise in a hot environment. Each system was compared against a certified thermocouple, measuring the surface temperature of a metal block in a thermostatically controlled waterbath. Fourteen recreational athletes completed two incremental running tests, separated by one week. Skin temperatures were measured simultaneously with TT and TC compared against a hard-wired thermistor system (HW) throughout rest and exercise. Post hoc calibration based on waterbath results displayed good validity for TT (mean bias [MB]=-0.18°C, typical error [TE]=0.18°C) and reliability (MB=-0.05°C, TE=0.31°C) throughout rest and exercise. Poor validity (MB=-1.4°C, TE=0.35°C) and reliability (MB=-0.65°C, TE=0.52°C) was observed for TC, suggesting it may be best suited to controlled, static situations. These findings indicate TT systems provide a convenient, valid and reliable alternative to HW, useful for measurements in the field where traditional methods may be impractical.&quot;,&quot;author&quot;:[{&quot;dropping-particle&quot;:&quot;&quot;,&quot;family&quot;:&quot;James&quot;,&quot;given&quot;:&quot;C. A.&quot;,&quot;non-dropping-particle&quot;:&quot;&quot;,&quot;parse-names&quot;:false,&quot;suffix&quot;:&quot;&quot;},{&quot;dropping-particle&quot;:&quot;&quot;,&quot;family&quot;:&quot;Richardson&quot;,&quot;given&quot;:&quot;A. J.&quot;,&quot;non-dropping-particle&quot;:&quot;&quot;,&quot;parse-names&quot;:false,&quot;suffix&quot;:&quot;&quot;},{&quot;dropping-particle&quot;:&quot;&quot;,&quot;family&quot;:&quot;Watt&quot;,&quot;given&quot;:&quot;P. W.&quot;,&quot;non-dropping-particle&quot;:&quot;&quot;,&quot;parse-names&quot;:false,&quot;suffix&quot;:&quot;&quot;},{&quot;dropping-particle&quot;:&quot;&quot;,&quot;family&quot;:&quot;Maxwell&quot;,&quot;given&quot;:&quot;N. S.&quot;,&quot;non-dropping-particle&quot;:&quot;&quot;,&quot;parse-names&quot;:false,&quot;suffix&quot;:&quot;&quot;}],&quot;container-title&quot;:&quot;Journal of Thermal Biology&quot;,&quot;id&quot;:&quot;cbf542f6-8962-53a6-a431-9ac6b271141c&quot;,&quot;issued&quot;:{&quot;date-parts&quot;:[[&quot;2014&quot;]]},&quot;page&quot;:&quot;141-149&quot;,&quot;publisher&quot;:&quot;Elsevier&quot;,&quot;title&quot;:&quot;Reliability and validity of skin temperature measurement by telemetry thermistors and a thermal camera during exercise in the heat&quot;,&quot;type&quot;:&quot;article-journal&quot;,&quot;volume&quot;:&quot;45&quot;,&quot;container-title-short&quot;:&quot;J. Therm. Biol.&quot;},&quot;uris&quot;:[&quot;http://www.mendeley.com/documents/?uuid=8fbb6280-8f13-464d-b116-23399d0988de&quot;],&quot;isTemporary&quot;:false,&quot;legacyDesktopId&quot;:&quot;8fbb6280-8f13-464d-b116-23399d0988de&quot;}]},{&quot;citationID&quot;:&quot;MENDELEY_CITATION_0c3bb410-11be-4925-9446-e3f31ff47cc3&quot;,&quot;properties&quot;:{&quot;noteIndex&quot;:0},&quot;isEdited&quot;:false,&quot;manualOverride&quot;:{&quot;citeprocText&quot;:&quot;[104]&quot;,&quot;isManuallyOverridden&quot;:false,&quot;manualOverrideText&quot;:&quot;&quot;},&quot;citationTag&quot;:&quot;MENDELEY_CITATION_v3_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&quot;,&quot;citationItems&quot;:[{&quot;id&quot;:&quot;04b25606-68b3-5e99-a596-ee51ee2afa10&quot;,&quot;itemData&quot;:{&quot;DOI&quot;:&quot;10.1016/j.physbeh.2006.04.026&quot;,&quot;ISSN&quot;:&quot;00319384&quot;,&quot;PMID&quot;:&quot;16797616&quot;,&quot;abstract&quot;:&quot;Measurements of skin temperatures are often complicated because of the use of wired sensors. This is so in field studies, but also holds for many laboratory conditions. This article describes a wireless temperature system for human skin temperature measurements, i.e. the Thermochron iButton DS1291H. The study deals with validation of the iButton and its application on the human skin, and describes clinical and field measurements. The validation study shows that iButtons have a mean accuracy of - 0.09 °C (- 0.4 °C at most) with a precision of 0.05 °C (0.09 °C at most). These properties can be improved by using calibration. Due to the size of the device the response time is longer than that of conventional sensors, with a τ in water of 19 s. On the human skin under transient conditions the response time is significantly longer, revealing momentary deviations with a magnitude of 1 °C. The use of iButtons has been described in studies on circadian rhythms, sleep and cardiac surgery. With respect to circadian rhythm and sleep research, skin temperature assessment by iButtons is of significant value in laboratory, clinical and home situations. We demonstrate that differences in laboratory and field measurements add to our understanding of thermophysiology under natural living conditions. The advantage of iButtons in surgery research is that they are easy to sterilize and wireless so that they do not hinder the surgical procedure. In conclusion, the application of iButtons is advantageous for measuring skin temperatures in those situations in which wired instruments are unpractical and fast responses are not required. © 2006 Elsevier Inc. All rights reserved.&quot;,&quot;author&quot;:[{&quot;dropping-particle&quot;:&quot;&quot;,&quot;family&quot;:&quot;Marken Lichtenbelt&quot;,&quot;given&quot;:&quot;Wouter D.&quot;,&quot;non-dropping-particle&quot;:&quot;van&quot;,&quot;parse-names&quot;:false,&quot;suffix&quot;:&quot;&quot;},{&quot;dropping-particle&quot;:&quot;&quot;,&quot;family&quot;:&quot;Daanen&quot;,&quot;given&quot;:&quot;Hein A.M.&quot;,&quot;non-dropping-particle&quot;:&quot;&quot;,&quot;parse-names&quot;:false,&quot;suffix&quot;:&quot;&quot;},{&quot;dropping-particle&quot;:&quot;&quot;,&quot;family&quot;:&quot;Wouters&quot;,&quot;given&quot;:&quot;Loek&quot;,&quot;non-dropping-particle&quot;:&quot;&quot;,&quot;parse-names&quot;:false,&quot;suffix&quot;:&quot;&quot;},{&quot;dropping-particle&quot;:&quot;&quot;,&quot;family&quot;:&quot;Fronczek&quot;,&quot;given&quot;:&quot;Rolf&quot;,&quot;non-dropping-particle&quot;:&quot;&quot;,&quot;parse-names&quot;:false,&quot;suffix&quot;:&quot;&quot;},{&quot;dropping-particle&quot;:&quot;&quot;,&quot;family&quot;:&quot;Raymann&quot;,&quot;given&quot;:&quot;Roy J.E.M.&quot;,&quot;non-dropping-particle&quot;:&quot;&quot;,&quot;parse-names&quot;:false,&quot;suffix&quot;:&quot;&quot;},{&quot;dropping-particle&quot;:&quot;&quot;,&quot;family&quot;:&quot;Severens&quot;,&quot;given&quot;:&quot;Natascha M.W.&quot;,&quot;non-dropping-particle&quot;:&quot;&quot;,&quot;parse-names&quot;:false,&quot;suffix&quot;:&quot;&quot;},{&quot;dropping-particle&quot;:&quot;&quot;,&quot;family&quot;:&quot;Someren&quot;,&quot;given&quot;:&quot;Eus J.W.&quot;,&quot;non-dropping-particle&quot;:&quot;Van&quot;,&quot;parse-names&quot;:false,&quot;suffix&quot;:&quot;&quot;}],&quot;container-title&quot;:&quot;Physiology and Behavior&quot;,&quot;id&quot;:&quot;04b25606-68b3-5e99-a596-ee51ee2afa10&quot;,&quot;issue&quot;:&quot;4-5&quot;,&quot;issued&quot;:{&quot;date-parts&quot;:[[&quot;2006&quot;]]},&quot;page&quot;:&quot;489-497&quot;,&quot;title&quot;:&quot;Evaluation of wireless determination of skin temperature using iButtons&quot;,&quot;type&quot;:&quot;article-journal&quot;,&quot;volume&quot;:&quot;88&quot;,&quot;container-title-short&quot;:&quot;Physiol. Behav.&quot;},&quot;uris&quot;:[&quot;http://www.mendeley.com/documents/?uuid=01bc3c42-d5b1-4a01-b9e6-4b45dd84cb3c&quot;],&quot;isTemporary&quot;:false,&quot;legacyDesktopId&quot;:&quot;01bc3c42-d5b1-4a01-b9e6-4b45dd84cb3c&quot;}]},{&quot;citationID&quot;:&quot;MENDELEY_CITATION_f91066a3-2bbf-4052-afbb-21f6ddf198dc&quot;,&quot;properties&quot;:{&quot;noteIndex&quot;:0},&quot;isEdited&quot;:false,&quot;manualOverride&quot;:{&quot;citeprocText&quot;:&quot;[101]&quot;,&quot;isManuallyOverridden&quot;:false,&quot;manualOverrideText&quot;:&quot;&quot;},&quot;citationTag&quot;:&quot;MENDELEY_CITATION_v3_eyJjaXRhdGlvbklEIjoiTUVOREVMRVlfQ0lUQVRJT05fZjkxMDY2YTMtMmJiZi00MDUyLWFmYmItMjFmNmRkZjE5OGRjIiwicHJvcGVydGllcyI6eyJub3RlSW5kZXgiOjB9LCJpc0VkaXRlZCI6ZmFsc2UsIm1hbnVhbE92ZXJyaWRlIjp7ImNpdGVwcm9jVGV4dCI6IlsxMDFdIiwiaXNNYW51YWxseU92ZXJyaWRkZW4iOmZhbHNlLCJtYW51YWxPdmVycmlkZVRleHQiOiIifSwiY2l0YXRpb25JdGVtcyI6W3siaWQiOiJjYThhYmM2Mi05MjJhLTU5NTItYTM1Ni0yZWYwNjIzYmQ2ZjI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JjYThhYmM2Mi05MjJhLTU5NTItYTM1Ni0yZWYwNjIzYmQ2ZjI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YTQ0NTgwMzAtNjgyYS00OGE5LTlhYzMtYmQ1NTNjZmM1OWNmIl0sImlzVGVtcG9yYXJ5IjpmYWxzZSwibGVnYWN5RGVza3RvcElkIjoiYTQ0NTgwMzAtNjgyYS00OGE5LTlhYzMtYmQ1NTNjZmM1OWNmIn1dfQ==&quot;,&quot;citationItems&quot;:[{&quot;id&quot;:&quot;ca8abc62-922a-5952-a356-2ef0623bd6f2&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ca8abc62-922a-5952-a356-2ef0623bd6f2&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a4458030-682a-48a9-9ac3-bd553cfc59cf&quot;],&quot;isTemporary&quot;:false,&quot;legacyDesktopId&quot;:&quot;a4458030-682a-48a9-9ac3-bd553cfc59cf&quot;}]},{&quot;citationID&quot;:&quot;MENDELEY_CITATION_fd34a58d-29fc-431b-9ed8-9f7e6299df26&quot;,&quot;properties&quot;:{&quot;noteIndex&quot;:0},&quot;isEdited&quot;:false,&quot;manualOverride&quot;:{&quot;citeprocText&quot;:&quot;[176]&quot;,&quot;isManuallyOverridden&quot;:false,&quot;manualOverrideText&quot;:&quot;&quot;},&quot;citationTag&quot;:&quot;MENDELEY_CITATION_v3_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&quot;,&quot;citationItems&quot;:[{&quot;id&quot;:&quot;a992ef67-7d2a-5ad9-b6b1-13f36eb5dd25&quot;,&quot;itemData&quot;:{&quot;author&quot;:[{&quot;dropping-particle&quot;:&quot;&quot;,&quot;family&quot;:&quot;Ul&quot;,&quot;given&quot;:&quot;I Pusnik&quot;,&quot;non-dropping-particle&quot;:&quot;&quot;,&quot;parse-names&quot;:false,&quot;suffix&quot;:&quot;&quot;},{&quot;dropping-particle&quot;:&quot;&quot;,&quot;family&quot;:&quot;Msl&quot;,&quot;given&quot;:&quot;P Saunders&quot;,&quot;non-dropping-particle&quot;:&quot;&quot;,&quot;parse-names&quot;:false,&quot;suffix&quot;:&quot;&quot;},{&quot;dropping-particle&quot;:&quot;&quot;,&quot;family&quot;:&quot;Zealand&quot;,&quot;given&quot;:&quot;New&quot;,&quot;non-dropping-particle&quot;:&quot;&quot;,&quot;parse-names&quot;:false,&quot;suffix&quot;:&quot;&quot;},{&quot;dropping-particle&quot;:&quot;&quot;,&quot;family&quot;:&quot;Inrim&quot;,&quot;given&quot;:&quot;Girard&quot;,&quot;non-dropping-particle&quot;:&quot;&quot;,&quot;parse-names&quot;:false,&quot;suffix&quot;:&quot;&quot;},{&quot;dropping-particle&quot;:&quot;&quot;,&quot;family&quot;:&quot;Cmi&quot;,&quot;given&quot;:&quot;L Knazovicka&quot;,&quot;non-dropping-particle&quot;:&quot;&quot;,&quot;parse-names&quot;:false,&quot;suffix&quot;:&quot;&quot;},{&quot;dropping-particle&quot;:&quot;&quot;,&quot;family&quot;:&quot;Republic&quot;,&quot;given&quot;:&quot;Czech&quot;,&quot;non-dropping-particle&quot;:&quot;&quot;,&quot;parse-names&quot;:false,&quot;suffix&quot;:&quot;&quot;},{&quot;dropping-particle&quot;:&quot;&quot;,&quot;family&quot;:&quot;Npl&quot;,&quot;given&quot;:&quot;Simpson&quot;,&quot;non-dropping-particle&quot;:&quot;&quot;,&quot;parse-names&quot;:false,&quot;suffix&quot;:&quot;&quot;},{&quot;dropping-particle&quot;:&quot;&quot;,&quot;family&quot;:&quot;Npl&quot;,&quot;given&quot;:&quot;G Machin&quot;,&quot;non-dropping-particle&quot;:&quot;&quot;,&quot;parse-names&quot;:false,&quot;suffix&quot;:&quot;&quot;},{&quot;dropping-particle&quot;:&quot;&quot;,&quot;family&quot;:&quot;Garcia&quot;,&quot;given&quot;:&quot;D Cardenas&quot;,&quot;non-dropping-particle&quot;:&quot;&quot;,&quot;parse-names&quot;:false,&quot;suffix&quot;:&quot;&quot;},{&quot;dropping-particle&quot;:&quot;&quot;,&quot;family&quot;:&quot;Fda&quot;,&quot;given&quot;:&quot;Q Wang&quot;,&quot;non-dropping-particle&quot;:&quot;&quot;,&quot;parse-names&quot;:false,&quot;suffix&quot;:&quot;&quot;},{&quot;dropping-particle&quot;:&quot;&quot;,&quot;family&quot;:&quot;Inmetro&quot;,&quot;given&quot;:&quot;K Kuelhas&quot;,&quot;non-dropping-particle&quot;:&quot;&quot;,&quot;parse-names&quot;:false,&quot;suffix&quot;:&quot;&quot;},{&quot;dropping-particle&quot;:&quot;&quot;,&quot;family&quot;:&quot;Cnam&quot;,&quot;given&quot;:&quot;M Sadli&quot;,&quot;non-dropping-particle&quot;:&quot;&quot;,&quot;parse-names&quot;:false,&quot;suffix&quot;:&quot;&quot;},{&quot;dropping-particle&quot;:&quot;&quot;,&quot;family&quot;:&quot;Tubİtak&quot;,&quot;given&quot;:&quot;Ö Pehlivan Yildirim&quot;,&quot;non-dropping-particle&quot;:&quot;&quot;,&quot;parse-names&quot;:false,&quot;suffix&quot;:&quot;&quot;}],&quot;id&quot;:&quot;a992ef67-7d2a-5ad9-b6b1-13f36eb5dd25&quot;,&quot;issue&quot;:&quot;July&quot;,&quot;issued&quot;:{&quot;date-parts&quot;:[[&quot;2023&quot;]]},&quot;title&quot;:&quot;BEST PRACTICE GUIDE USE OF THERMAL IMAGERS TO PERFORM TRACEABLE NON- CONTACT SCREENING OF HUMAN BODY TEMPERATURE Prepared by : UME , Turkey ) F . E . Liebmann ( Fluke , USA ), J . Gust ( Fluke , USA ), K . Howell ( EAT , UK ) Version 3 , July 2023&quot;,&quot;type&quot;:&quot;report&quot;,&quot;container-title-short&quot;:&quot;&quot;},&quot;uris&quot;:[&quot;http://www.mendeley.com/documents/?uuid=46b5edeb-8a06-4a80-8055-36b480524e6a&quot;],&quot;isTemporary&quot;:false,&quot;legacyDesktopId&quot;:&quot;46b5edeb-8a06-4a80-8055-36b480524e6a&quot;}]},{&quot;citationID&quot;:&quot;MENDELEY_CITATION_94370412-1297-43b7-bcb4-0f92ae9d028c&quot;,&quot;properties&quot;:{&quot;noteIndex&quot;:0},&quot;isEdited&quot;:false,&quot;manualOverride&quot;:{&quot;citeprocText&quot;:&quot;[108,155]&quot;,&quot;isManuallyOverridden&quot;:false,&quot;manualOverrideText&quot;:&quot;&quot;},&quot;citationTag&quot;:&quot;MENDELEY_CITATION_v3_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&quot;,&quot;citationItems&quot;:[{&quot;id&quot;:&quot;d8b1ec1d-1660-5ca0-ac77-751cb2b08ba4&quot;,&quot;itemData&quot;:{&quot;DOI&quot;:&quot;10.1007/BF00696387&quot;,&quot;ISSN&quot;:&quot;0301-5548&quot;,&quot;PMID&quot;:&quot;3830136&quot;,&quot;abstract&quot;:&quot;The problem associated with using measurements from a small number of sites to determine mean skin temperature was investigated by studying variations in distributions of skin temperatures of the bare torsos of humans exposed to ambient temperatures of 18, 23, and 28° C. Following a 60 minute equilibration period the temperatures of four regions (chest, abdomen, upper back, and lower back) were measured using both thermistors and an infra-red thermographic system. Regions of the torso usually represented by a single temperature exhibited significant point-to-point temperature variations especially in chilled subjects. Also an earlier finding was confirmed: in that larger variations in skin temperature distributions occur as body fat content increases. Caution must therefore be used in applying the concept of a mean skin temperature derived from a few select sites, especially with nude subjects who are chilled or have a high body fat content. © 1987 Springer-Verlag.&quot;,&quot;author&quot;:[{&quot;dropping-particle&quot;:&quot;&quot;,&quot;family&quot;:&quot;Livingstone&quot;,&quot;given&quot;:&quot;S. D.&quot;,&quot;non-dropping-particle&quot;:&quot;&quot;,&quot;parse-names&quot;:false,&quot;suffix&quot;:&quot;&quot;},{&quot;dropping-particle&quot;:&quot;&quot;,&quot;family&quot;:&quot;Nolan&quot;,&quot;given&quot;:&quot;R. W.&quot;,&quot;non-dropping-particle&quot;:&quot;&quot;,&quot;parse-names&quot;:false,&quot;suffix&quot;:&quot;&quot;},{&quot;dropping-particle&quot;:&quot;&quot;,&quot;family&quot;:&quot;Frim&quot;,&quot;given&quot;:&quot;J.&quot;,&quot;non-dropping-particle&quot;:&quot;&quot;,&quot;parse-names&quot;:false,&quot;suffix&quot;:&quot;&quot;},{&quot;dropping-particle&quot;:&quot;&quot;,&quot;family&quot;:&quot;Reed&quot;,&quot;given&quot;:&quot;L. D.&quot;,&quot;non-dropping-particle&quot;:&quot;&quot;,&quot;parse-names&quot;:false,&quot;suffix&quot;:&quot;&quot;},{&quot;dropping-particle&quot;:&quot;&quot;,&quot;family&quot;:&quot;Limmer&quot;,&quot;given&quot;:&quot;R. E.&quot;,&quot;non-dropping-particle&quot;:&quot;&quot;,&quot;parse-names&quot;:false,&quot;suffix&quot;:&quot;&quot;}],&quot;container-title&quot;:&quot;European Journal of Applied Physiology and Occupational Physiology&quot;,&quot;id&quot;:&quot;d8b1ec1d-1660-5ca0-ac77-751cb2b08ba4&quot;,&quot;issue&quot;:&quot;1&quot;,&quot;issued&quot;:{&quot;date-parts&quot;:[[&quot;1987&quot;]]},&quot;page&quot;:&quot;120-125&quot;,&quot;title&quot;:&quot;A thermographic study of the effect of body composition and ambient temperature on the accuracy of mean skin temperature calculations&quot;,&quot;type&quot;:&quot;article-journal&quot;,&quot;volume&quot;:&quot;56&quot;,&quot;container-title-short&quot;:&quot;Eur. J. Appl. Physiol. Occup. Physiol.&quot;},&quot;uris&quot;:[&quot;http://www.mendeley.com/documents/?uuid=5e779ee8-92b6-4035-9e9e-ab19e09a4ef8&quot;],&quot;isTemporary&quot;:false,&quot;legacyDesktopId&quot;:&quot;5e779ee8-92b6-4035-9e9e-ab19e09a4ef8&quot;},{&quot;id&quot;:&quot;b6b120d9-0af5-5a7b-b2ed-d078d7bd7f51&quot;,&quot;itemData&quot;:{&quot;DOI&quot;:&quot;10.1088/0967-3334/28/8/008&quot;,&quot;ISSN&quot;:&quot;13616579&quot;,&quot;PMID&quot;:&quot;17664677&quot;,&quot;abstract&quot;:&quot;The purpose of this study was to determine the validity of non-contact infrared thermometry to measure mean skin temperature in resting and exercising subjects in cold, thermo-neutral and hot environments. The subjects for the study were six healthy volunteers. Skin temperature was measured at three sites: the forearm, chest and calf on each subject using both contact thermistors and a non-contact infrared thermometer. Data were collected at rest and during exercise in three different air temperatures (15, 25 and 35°C). The correlation of resting mean skin temperature using infrared thermometry and contact thermistors was r = 0.95, while the correlation obtained during exercise was r = 0.98. The results of the current study strongly suggest that infrared thermometry is a valid measure of skin temperature during rest and exercise in both hot and cold environments. It is hoped that the results of this study will encourage the use of non-contact infrared thermometry by both clinicians and exercise, environmental, and sleep researchers in the future. © 2007 IOP Publishing Ltd.&quot;,&quot;author&quot;:[{&quot;dropping-particle&quot;:&quot;&quot;,&quot;family&quot;:&quot;Buono&quot;,&quot;given&quot;:&quot;Michael J.&quot;,&quot;non-dropping-particle&quot;:&quot;&quot;,&quot;parse-names&quot;:false,&quot;suffix&quot;:&quot;&quot;},{&quot;dropping-particle&quot;:&quot;&quot;,&quot;family&quot;:&quot;Jechort&quot;,&quot;given&quot;:&quot;Amy&quot;,&quot;non-dropping-particle&quot;:&quot;&quot;,&quot;parse-names&quot;:false,&quot;suffix&quot;:&quot;&quot;},{&quot;dropping-particle&quot;:&quot;&quot;,&quot;family&quot;:&quot;Marques&quot;,&quot;given&quot;:&quot;Raquel&quot;,&quot;non-dropping-particle&quot;:&quot;&quot;,&quot;parse-names&quot;:false,&quot;suffix&quot;:&quot;&quot;},{&quot;dropping-particle&quot;:&quot;&quot;,&quot;family&quot;:&quot;Smith&quot;,&quot;given&quot;:&quot;Carrie&quot;,&quot;non-dropping-particle&quot;:&quot;&quot;,&quot;parse-names&quot;:false,&quot;suffix&quot;:&quot;&quot;},{&quot;dropping-particle&quot;:&quot;&quot;,&quot;family&quot;:&quot;Welch&quot;,&quot;given&quot;:&quot;Jessica&quot;,&quot;non-dropping-particle&quot;:&quot;&quot;,&quot;parse-names&quot;:false,&quot;suffix&quot;:&quot;&quot;}],&quot;container-title&quot;:&quot;Physiological Measurement&quot;,&quot;id&quot;:&quot;b6b120d9-0af5-5a7b-b2ed-d078d7bd7f51&quot;,&quot;issue&quot;:&quot;8&quot;,&quot;issued&quot;:{&quot;date-parts&quot;:[[&quot;2007&quot;]]},&quot;page&quot;:&quot;855-859&quot;,&quot;title&quot;:&quot;Comparison of infrared versus contact thermometry for measuring skin temperature during exercise in the heat&quot;,&quot;type&quot;:&quot;article-journal&quot;,&quot;volume&quot;:&quot;28&quot;,&quot;container-title-short&quot;:&quot;Physiol. Meas.&quot;},&quot;uris&quot;:[&quot;http://www.mendeley.com/documents/?uuid=e1303884-d7de-4be1-ba7e-aae0edb06c2a&quot;],&quot;isTemporary&quot;:false,&quot;legacyDesktopId&quot;:&quot;e1303884-d7de-4be1-ba7e-aae0edb06c2a&quot;}]},{&quot;citationID&quot;:&quot;MENDELEY_CITATION_cb4767c5-9657-4413-9424-cfa8fe2a2975&quot;,&quot;properties&quot;:{&quot;noteIndex&quot;:0},&quot;isEdited&quot;:false,&quot;manualOverride&quot;:{&quot;citeprocText&quot;:&quot;[130,142]&quot;,&quot;isManuallyOverridden&quot;:false,&quot;manualOverrideText&quot;:&quot;&quot;},&quot;citationTag&quot;:&quot;MENDELEY_CITATION_v3_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&quot;,&quot;citationItems&quot;:[{&quot;id&quot;:&quot;dcdccc1e-1adb-5209-a0b1-151702a93d7b&quot;,&quot;itemData&quot;:{&quot;DOI&quot;:&quot;10.1016/j.jtherbio.2015.01.008&quot;,&quot;ISSN&quot;:&quot;18790992&quot;,&quot;PMID&quot;:&quot;25774024&quot;,&quot;abstract&quot;:&quot;The dynamic nature of tissue temperature and the subcutaneous properties, such as blood flow, fatness, and metabolic rate, leads to variation in local skin temperature. Therefore, we investigated the effects of using multiple regions of interest when calculating weighted mean skin temperature from four local sites. Twenty-six healthy males completed a single trial in a thermonetural laboratory (mean±SD): 24.0 (1.2). °C; 56 (8%) relative humidity; &lt;0.1. m/s air speed). Mean skin temperature was calculated from four local sites (neck, scapula, hand and shin) in accordance with International Standards using digital infrared thermography. A 50. mm×50. mm, defined by strips of aluminium tape, created six unique regions of interest, top left quadrant, top right quadrant, bottom left quadrant, bottom right quadrant, centre quadrant and the entire region of interest, at each of the local sites. The largest potential error in weighted mean skin temperature was calculated using a combination of a) the coolest and b) the warmest regions of interest at each of the local sites. Significant differences between the six regions interest were observed at the neck (. P&lt;0.01), scapula (. P&lt;0.001) and shin (. P&lt;0.05); but not at the hand (. P=0.482). The largest difference (±SEM) at each site was as follows: neck 0.2 (0.1). °C; scapula 0.2 (0.0). °C; shin 0.1 (0.0). °C and hand 0.1 (0.1). °C. The largest potential error (mean±SD) in weighted mean skin temperature was 0.4 (0.1). °C (. P&lt;0.001) and the associated 95% limits of agreement for these differences was 0.2-0.5. °C. Although we observed differences in local and mean skin temperature based on the region of interest employed, these differences were minimal and are not considered physiologically meaningful.&quot;,&quot;author&quot;:[{&quot;dropping-particle&quot;:&quot;&quot;,&quot;family&quot;:&quot;Maniar&quot;,&quot;given&quot;:&quot;Nirav&quot;,&quot;non-dropping-particle&quot;:&quot;&quot;,&quot;parse-names&quot;:false,&quot;suffix&quot;:&quot;&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Journal of Thermal Biology&quot;,&quot;id&quot;:&quot;dcdccc1e-1adb-5209-a0b1-151702a93d7b&quot;,&quot;issued&quot;:{&quot;date-parts&quot;:[[&quot;2015&quot;]]},&quot;page&quot;:&quot;33-38&quot;,&quot;publisher&quot;:&quot;Elsevier&quot;,&quot;title&quot;:&quot;The effect of using different regions of interest on local and mean skin temperature&quot;,&quot;type&quot;:&quot;article-journal&quot;,&quot;volume&quot;:&quot;49-50&quot;,&quot;container-title-short&quot;:&quot;J. Therm. Biol.&quot;},&quot;uris&quot;:[&quot;http://www.mendeley.com/documents/?uuid=28a6e73e-750e-4dd7-a78a-332372adb79b&quot;],&quot;isTemporary&quot;:false,&quot;legacyDesktopId&quot;:&quot;28a6e73e-750e-4dd7-a78a-332372adb79b&quot;},{&quot;id&quot;:&quot;69ba41ab-0ffa-5587-a999-0d7d3a0e4f4b&quot;,&quot;itemData&quot;:{&quot;DOI&quot;:&quot;10.1016/j.enbuild.2025.115995&quot;,&quot;ISSN&quot;:&quot;03787788&quot;,&quot;abstract&quot;:&quot;Sex difference stands as a crucial factor necessitating consideration in personalized sleeping thermal environment control. However, there has been little exploration about sex differences in body temperature and thermal perception during sleep. Based on data from a winter sleep experiment (16, 20, 24°C) involving 14 young participants (7 males, 7 females), a time series analysis of the dynamic body temperature rhythms throughout the night was conducted, revealing sex-specific patterns in local skin temperature and core body temperature. Additionally, the sex difference in the thermal perception votes recalled by subjects after waking was analyzed. The results showed that: (1) For both sexes, the skin temperatures reached to stable condition in 2–3 h after getting into bed, and core temperatures changed over the entire night. The average value and maximum increase value of overnight skin temperature at distal parts (hands and feet) were prone to sex differences, which become more pronounced at lower ambient temperature. (2) Females’ core body temperature was generally higher than that of males at the same time points. Due to the influence of estrogenic hormones, the maximum reduction in core body temperature during sleep was typically smaller in females than in males, with significant differences (p &lt; 0.05) observed under the 16 °C and 24 °C conditions. (3) Females exhibited higher psychological demands for the sleeping thermal environment than males. Males reported feeling more comfortable than females in the 16 °C and 20 °C conditions. Additionally, males generally showed greater acceptance and satisfaction with all thermal environments compared to females. Overall, the creation of personalized sleeping thermal environments must account for sex differences in both skin temperature and core body temperature. This study provides a theoretical foundation for personalized sleeping thermal environment design from the perspective of thermo-physiology.&quot;,&quot;author&quot;:[{&quot;dropping-particle&quot;:&quot;&quot;,&quot;family&quot;:&quot;Xu&quot;,&quot;given&quot;:&quot;Xinbo&quot;,&quot;non-dropping-particle&quot;:&quot;&quot;,&quot;parse-names&quot;:false,&quot;suffix&quot;:&quot;&quot;},{&quot;dropping-particle&quot;:&quot;&quot;,&quot;family&quot;:&quot;Zhang&quot;,&quot;given&quot;:&quot;Hui&quot;,&quot;non-dropping-particle&quot;:&quot;&quot;,&quot;parse-names&quot;:false,&quot;suffix&quot;:&quot;&quot;},{&quot;dropping-particle&quot;:&quot;&quot;,&quot;family&quot;:&quot;Lian&quot;,&quot;given&quot;:&quot;Zhiwei&quot;,&quot;non-dropping-particle&quot;:&quot;&quot;,&quot;parse-names&quot;:false,&quot;suffix&quot;:&quot;&quot;},{&quot;dropping-particle&quot;:&quot;&quot;,&quot;family&quot;:&quot;Xu&quot;,&quot;given&quot;:&quot;Hongzhi&quot;,&quot;non-dropping-particle&quot;:&quot;&quot;,&quot;parse-names&quot;:false,&quot;suffix&quot;:&quot;&quot;}],&quot;container-title&quot;:&quot;Energy and Buildings&quot;,&quot;id&quot;:&quot;69ba41ab-0ffa-5587-a999-0d7d3a0e4f4b&quot;,&quot;issue&quot;:&quot;June&quot;,&quot;issued&quot;:{&quot;date-parts&quot;:[[&quot;2025&quot;]]},&quot;page&quot;:&quot;115995&quot;,&quot;publisher&quot;:&quot;Elsevier B.V.&quot;,&quot;title&quot;:&quot;Sex difference in body temperature and thermal perception during nighttime sleep: A time series analysis&quot;,&quot;type&quot;:&quot;article-journal&quot;,&quot;volume&quot;:&quot;344&quot;,&quot;container-title-short&quot;:&quot;Energy Build.&quot;},&quot;uris&quot;:[&quot;http://www.mendeley.com/documents/?uuid=e4fec462-2a73-43d6-a8d1-6b6da6c0a008&quot;],&quot;isTemporary&quot;:false,&quot;legacyDesktopId&quot;:&quot;e4fec462-2a73-43d6-a8d1-6b6da6c0a008&quot;}]},{&quot;citationID&quot;:&quot;MENDELEY_CITATION_2ec85cbd-8c33-4f2c-9ff0-714232c024d5&quot;,&quot;properties&quot;:{&quot;noteIndex&quot;:0},&quot;isEdited&quot;:false,&quot;manualOverride&quot;:{&quot;citeprocText&quot;:&quot;[127]&quot;,&quot;isManuallyOverridden&quot;:false,&quot;manualOverrideText&quot;:&quot;&quot;},&quot;citationTag&quot;:&quot;MENDELEY_CITATION_v3_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&quot;,&quot;citationItems&quot;:[{&quot;id&quot;:&quot;6e94410c-f58b-52b6-9e7b-ea47437e066d&quot;,&quot;itemData&quot;:{&quot;DOI&quot;:&quot;10.1097/00003246-200002000-00041&quot;,&quot;ISSN&quot;:&quot;00903493&quot;,&quot;PMID&quot;:&quot;10708196&quot;,&quot;abstract&quot;:&quot;Objective: To test the hypothesis that the infrared thermometer (Genius) is comparably useful with thermocouples that are routinely used for skin temperature monitoring. Design: Prospective, controlled, not blinded study. Setting: Operating room of a university hospital. Subjects: Ten healthy male volunteers. Interventions: Volunteers were minimally clothed and were initially warmed by a forced air warmer until they became vasodilated at the finger and the foot for ~30 mins. Subsequently, they were kept in the room with no blanket. Measurements and Main Results: Skin temperatures were measured continuously with the Mon-a-Therm thermocouple and were also measured with the Genius thermometer just before and after the warming and subsequently every 10 mins for 70 mins. Forearm and finger-tip skin temperatures and skin-surface temperature gradients (from arm to finger and from calf to toe) measured by the Genius thermometer were compared with those measured by the Mon-a-Therm thermocouple using linear regression and Bland and Altman statistics. Forearm temperature and finger-tip temperature ranged from ≃31°to ≃36.5°C (87.8-97.7°F) and ≃22.5°to ≃36°C (72.5- 96.8°F), respectively. Gradients (from arm to finger and from calf to toe) ranged from ≃-3°to ≃10°C (26.6-50.0°F) and ≃-3°to ≃11°C (26.6- 51.8°F), respectively. Correlations between the temperatures measured by the Genius thermometer and those by the Mon-a-Therm thermocouple were similar and reliable. The correlation coefficients were as follows: 0.78 at forearm, 0.97 at finger-tip, and 0.97 at skin-surface temperature gradients. Conclusions: The infrared thermometer with a special probe is useful to measure the change of skin-surface temperatures and to evaluate the severity of shock in patients.&quot;,&quot;author&quot;:[{&quot;dropping-particle&quot;:&quot;&quot;,&quot;family&quot;:&quot;Matsukawa&quot;,&quot;given&quot;:&quot;Takashi&quot;,&quot;non-dropping-particle&quot;:&quot;&quot;,&quot;parse-names&quot;:false,&quot;suffix&quot;:&quot;&quot;},{&quot;dropping-particle&quot;:&quot;&quot;,&quot;family&quot;:&quot;Ozaki&quot;,&quot;given&quot;:&quot;Makoto&quot;,&quot;non-dropping-particle&quot;:&quot;&quot;,&quot;parse-names&quot;:false,&quot;suffix&quot;:&quot;&quot;},{&quot;dropping-particle&quot;:&quot;&quot;,&quot;family&quot;:&quot;Nishiyama&quot;,&quot;given&quot;:&quot;Tomoki&quot;,&quot;non-dropping-particle&quot;:&quot;&quot;,&quot;parse-names&quot;:false,&quot;suffix&quot;:&quot;&quot;},{&quot;dropping-particle&quot;:&quot;&quot;,&quot;family&quot;:&quot;Imamura&quot;,&quot;given&quot;:&quot;Makoto&quot;,&quot;non-dropping-particle&quot;:&quot;&quot;,&quot;parse-names&quot;:false,&quot;suffix&quot;:&quot;&quot;},{&quot;dropping-particle&quot;:&quot;&quot;,&quot;family&quot;:&quot;Kumazawa&quot;,&quot;given&quot;:&quot;Teruo&quot;,&quot;non-dropping-particle&quot;:&quot;&quot;,&quot;parse-names&quot;:false,&quot;suffix&quot;:&quot;&quot;}],&quot;container-title&quot;:&quot;Critical Care Medicine&quot;,&quot;id&quot;:&quot;6e94410c-f58b-52b6-9e7b-ea47437e066d&quot;,&quot;issue&quot;:&quot;2&quot;,&quot;issued&quot;:{&quot;date-parts&quot;:[[&quot;2000&quot;]]},&quot;page&quot;:&quot;532-536&quot;,&quot;title&quot;:&quot;Comparison of infrared thermometer with thermocouple for monitoring skin temperature&quot;,&quot;type&quot;:&quot;article-journal&quot;,&quot;volume&quot;:&quot;28&quot;,&quot;container-title-short&quot;:&quot;Crit. Care Med.&quot;},&quot;uris&quot;:[&quot;http://www.mendeley.com/documents/?uuid=15f5d454-0060-4e81-8a6e-4b4ac48db2d5&quot;],&quot;isTemporary&quot;:false,&quot;legacyDesktopId&quot;:&quot;15f5d454-0060-4e81-8a6e-4b4ac48db2d5&quot;}]},{&quot;citationID&quot;:&quot;MENDELEY_CITATION_149f7c58-3cc0-4fdc-8b16-1cd532ed705a&quot;,&quot;properties&quot;:{&quot;noteIndex&quot;:0},&quot;isEdited&quot;:false,&quot;manualOverride&quot;:{&quot;citeprocText&quot;:&quot;[106,128]&quot;,&quot;isManuallyOverridden&quot;:false,&quot;manualOverrideText&quot;:&quot;&quot;},&quot;citationTag&quot;:&quot;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&quot;,&quot;citationItems&quot;:[{&quot;id&quot;:&quot;24c54e99-5460-5358-9da3-395de42b2a8e&quot;,&quot;itemData&quot;:{&quot;DOI&quot;:&quot;10.1088/0967-3334/31/1/007&quot;,&quot;ISSN&quot;:&quot;13616579&quot;,&quot;abstract&quot;:&quot;Skin temperature is a fundamental variable in human thermo-physiology, and yet skin temperature measurement remains impractical in most free-living, exercise and clinical settings, using currently available hard-wired methods. The purpose of this study was to compare wireless iButtons® and hard-wired thermistors for human skin temperature measurement. In the first of two investigations, iButtons® and thermistors monitored temperature in a controlled water bath (range: 10-40 °C) and were referenced against a certified, mercury thermometer. In the second investigation, eight healthy males completed three randomize trials (ambient temperature = 10 °C, 20 °C and 30 °C) while both devices recorded skin temperature at rest (in low and high wind velocities) and during cycle-ergometry exercise. The results are as follows; Investigation 1: both devices displayed very high validity correlation with the reference thermometer (r &gt; 0.999). Prior to correction, the mean bias was +0.121 °C for iButtons® and +0.045 °C for thermistors. Upon calibration correction the mean bias for iButtons® and thermistors was not significantly different from zero bias. Interestingly, the typical error of the estimate of iButtons® (0.043 °C) was 1.5 times less than that of thermistors (0.062 °C), demonstrating iButtons®' lower random error. Investigation 2: the offset between iButton and thermistor readings was generally consistent across conditions; however, thermistor responses gave readings that were always closer to ambient temperature than those given by iButtons®, suggesting potential thermistor drift towards environmental conditions. Mean temperature differences between iButtons® and thermistors during resting trials ranged from 0.261 °C to 1.356 °C. Mean temperature differences between iButtons® and thermistors during exercise were 0.989 °C (ambient temperature = 10 °C), 0.415 °C (ambient temperature = 20 °C) and 0.318 °C (ambient temperature = 30 °C). Observed error estimates were within the acceptable limits for the skin temperature method comparison, with typical errors &lt;0.3 °C, correlation coefficients &gt;0.9 and CV &lt;1% under all conditions. These findings indicate that wireless iButtons® provide a valid alternative for human skin temperature measurement during laboratory and field investigations particularly when skin temperature measurement using other currently available methods may prove problematic. © 2010 Institute of Physics and Engineering in Medicine.&quot;,&quot;author&quot;:[{&quot;dropping-particle&quot;:&quot;&quot;,&quot;family&quot;:&quot;Smith&quot;,&quot;given&quot;:&quot;A. D.Harper&quot;,&quot;non-dropping-particle&quot;:&quot;&quot;,&quot;parse-names&quot;:false,&quot;suffix&quot;:&quot;&quot;},{&quot;dropping-particle&quot;:&quot;&quot;,&quot;family&quot;:&quot;Crabtree&quot;,&quot;given&quot;:&quot;D. R.&quot;,&quot;non-dropping-particle&quot;:&quot;&quot;,&quot;parse-names&quot;:false,&quot;suffix&quot;:&quot;&quot;},{&quot;dropping-particle&quot;:&quot;&quot;,&quot;family&quot;:&quot;Bilzon&quot;,&quot;given&quot;:&quot;J. L.J.&quot;,&quot;non-dropping-particle&quot;:&quot;&quot;,&quot;parse-names&quot;:false,&quot;suffix&quot;:&quot;&quot;},{&quot;dropping-particle&quot;:&quot;&quot;,&quot;family&quot;:&quot;Walsh&quot;,&quot;given&quot;:&quot;N. P.&quot;,&quot;non-dropping-particle&quot;:&quot;&quot;,&quot;parse-names&quot;:false,&quot;suffix&quot;:&quot;&quot;}],&quot;container-title&quot;:&quot;Physiological Measurement&quot;,&quot;id&quot;:&quot;24c54e99-5460-5358-9da3-395de42b2a8e&quot;,&quot;issue&quot;:&quot;1&quot;,&quot;issued&quot;:{&quot;date-parts&quot;:[[&quot;2010&quot;]]},&quot;page&quot;:&quot;95-114&quot;,&quot;title&quot;:&quot;The validity of wireless iButtons® and thermistors for human skin temperature measurement&quot;,&quot;type&quot;:&quot;article-journal&quot;,&quot;volume&quot;:&quot;31&quot;,&quot;container-title-short&quot;:&quot;Physiol. Meas.&quot;},&quot;uris&quot;:[&quot;http://www.mendeley.com/documents/?uuid=f6fc2e31-c227-4f42-8b9f-71d039e80bf0&quot;],&quot;isTemporary&quot;:false,&quot;legacyDesktopId&quot;:&quot;f6fc2e31-c227-4f42-8b9f-71d039e80bf0&quot;},{&quot;id&quot;:&quot;0941acdf-7959-5380-856a-1070d1a03069&quot;,&quot;itemData&quot;:{&quot;DOI&quot;:&quot;10.1088/0967-3334/36/9/R27&quot;,&quot;ISSN&quot;:&quot;13616579&quot;,&quot;PMID&quot;:&quot;26261099&quot;,&quot;abstract&quot;:&quot;Skin temperature is an important physiological measure that can reflect the presence of illness and injury as well as provide insight into the localised interactions between the body and the environment. The aim of this systematic review was to analyse the agreement between conductive and infrared means of assessing skin temperature which are commonly employed in in clinical, occupational, sports medicine, public health and research settings. Full-text eligibility was determined independently by two reviewers. Studies meeting the following criteria were included in the review: (1) the literature was written in English, (2) participants were human (in vivo), (3) skin surface temperature was assessed at the same site, (4) with at least two commercially available devices employed - one conductive and one infrared - and (5) had skin temperature data reported in the study. A computerised search of four electronic databases, using a combination of 21 keywords, and citation tracking was performed in January 2015. A total of 8,602 were returned. Methodology quality was assessed by two authors independently, using the Cochrane risk of bias tool. A total of 16 articles (n = 245) met the inclusion criteria. Devices are classified to be in agreement if they met the clinically meaningful recommendations of mean differences within ±0.5 °C and limits of agreement of ±1.0 °C. Twelve of the included studies found mean differences greater than ±0.5 °C between conductive and infrared devices. In the presence of external stimulus (e.g. exercise and/or heat) five studies found exacerbated measurement differences between conductive and infrared devices. This is the first review that has attempted to investigate presence of any systemic bias between infrared and conductive measures by collectively evaluating the current evidence base. There was also a consistently high risk of bias across the studies, in terms of sample size, random sequence generation, allocation concealment, blinding and incomplete outcome data. This systematic review questions the suitability of using infrared cameras in stable, resting, laboratory conditions. Furthermore, both infrared cameras and thermometers in the presence of sweat and environmental heat demonstrate poor agreement when compared to conductive devices. These findings have implications for clinical, occupational, public health, sports science and research fields.&quot;,&quot;author&quot;:[{&quot;dropping-particle&quot;:&quot;&quot;,&quot;family&quot;:&quot;Bach&quot;,&quot;given&quot;:&quot;Aaron J.E.&quot;,&quot;non-dropping-particle&quot;:&quot;&quot;,&quot;parse-names&quot;:false,&quot;suffix&quot;:&quot;&quot;},{&quot;dropping-particle&quot;:&quot;&quot;,&quot;family&quot;:&quot;Stewart&quot;,&quot;given&quot;:&quot;Ian B.&quot;,&quot;non-dropping-particle&quot;:&quot;&quot;,&quot;parse-names&quot;:false,&quot;suffix&quot;:&quot;&quot;},{&quot;dropping-particle&quot;:&quot;&quot;,&quot;family&quot;:&quot;Minett&quot;,&quot;given&quot;:&quot;Geoffrey M.&quot;,&quot;non-dropping-particle&quot;:&quot;&quot;,&quot;parse-names&quot;:false,&quot;suffix&quot;:&quot;&quot;},{&quot;dropping-particle&quot;:&quot;&quot;,&quot;family&quot;:&quot;Costello&quot;,&quot;given&quot;:&quot;Joseph T.&quot;,&quot;non-dropping-particle&quot;:&quot;&quot;,&quot;parse-names&quot;:false,&quot;suffix&quot;:&quot;&quot;}],&quot;container-title&quot;:&quot;Physiological Measurement&quot;,&quot;id&quot;:&quot;0941acdf-7959-5380-856a-1070d1a03069&quot;,&quot;issue&quot;:&quot;9&quot;,&quot;issued&quot;:{&quot;date-parts&quot;:[[&quot;2015&quot;]]},&quot;page&quot;:&quot;R27-R51&quot;,&quot;publisher&quot;:&quot;IOP Publishing&quot;,&quot;title&quot;:&quot;Does the technique employed for skin temperature assessment alter outcomes? A systematic review&quot;,&quot;type&quot;:&quot;article-journal&quot;,&quot;volume&quot;:&quot;36&quot;,&quot;container-title-short&quot;:&quot;Physiol. Meas.&quot;},&quot;uris&quot;:[&quot;http://www.mendeley.com/documents/?uuid=5c7b1908-48f3-4bd9-8cf3-6979b626ce40&quot;],&quot;isTemporary&quot;:false,&quot;legacyDesktopId&quot;:&quot;5c7b1908-48f3-4bd9-8cf3-6979b626ce40&quot;}]},{&quot;citationID&quot;:&quot;MENDELEY_CITATION_dd576a11-db0e-4dd6-b4c6-a1f02fc46cb9&quot;,&quot;properties&quot;:{&quot;noteIndex&quot;:0},&quot;isEdited&quot;:false,&quot;manualOverride&quot;:{&quot;citeprocText&quot;:&quot;[174]&quot;,&quot;isManuallyOverridden&quot;:false,&quot;manualOverrideText&quot;:&quot;&quot;},&quot;citationTag&quot;:&quot;MENDELEY_CITATION_v3_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&quot;,&quot;citationItems&quot;:[{&quot;id&quot;:&quot;80e47ce9-0d3b-56d2-ace0-af0e6ebb647d&quot;,&quot;itemData&quot;:{&quot;DOI&quot;:&quot;10.3389/fphys.2018.00029&quot;,&quot;ISSN&quot;:&quot;1664042X&quot;,&quot;abstract&quot;:&quot;Background: Skin temperature (Tskin) is commonly measured using Tskin sensors affixed directly to the skin surface, although the influence of setup variables on the measured outcome requires clarification. Objectives: The two distinct objectives of this systematic review were (1) to examine measurements from contact Tskin sensors considering equilibrium temperature and temperature disturbance, sensor attachments, pressure, environmental temperature, and sensor type, and (2) to characterise the contact Tskin sensors used, conditions of use, and subsequent reporting in studies investigating sports, exercise, and other physical activity. Data sources and study selection: For the measurement comparison objective, Ovid Medline and Scopus were used (1960 to July 2016) and studies comparing contact Tskin sensor measurements in vivo or using appropriate physical models were included. For the survey of use, Ovid Medline was used (2011 to July 2016) and studies using contact temperature sensors for the measurement of human Tskin in vivo during sport, exercise, and other physical activity were included. Study appraisal and synthesis methods: For measurement comparisons, assessments of risk of bias were made according to an adapted version of the Cochrane Collaboration's risk of bias tool. Comparisons of temperature measurements were expressed, where possible, as mean difference and 95% limits of agreement (LoA). Meta-analyses were not performed due to the lack of a common reference condition. For the survey of use, extracted information was summarised in text and tabular form. Results: For measurement comparisons, 21 studies were included. Results from these studies indicated minor (&lt;0.5°C) to practically meaningful (&gt;0.5°C) measurement bias within the subgroups of attachment type, applied pressure, environmental conditions, and sensor type. The 95% LoA were often within 1.0°C for in vivo studies and 0.5°C for physical models. For the survey of use, 172 studies were included. Details about Tskin sensor setup were often poorly reported and, from those reporting setup information, it was evident that setups widely varied in terms of type of sensors, attachments, and locations used. Conclusions: Setup variables and conditions of use can influence the measured temperature from contact Tskin sensors and thus key setup variables need to be appropriately considered and consistently reported.&quot;,&quot;author&quot;:[{&quot;dropping-particle&quot;:&quot;&quot;,&quot;family&quot;:&quot;MacRae&quot;,&quot;given&quot;:&quot;Braid A.&quot;,&quot;non-dropping-particle&quot;:&quot;&quot;,&quot;parse-names&quot;:false,&quot;suffix&quot;:&quot;&quot;},{&quot;dropping-particle&quot;:&quot;&quot;,&quot;family&quot;:&quot;Annaheim&quot;,&quot;given&quot;:&quot;Simon&quot;,&quot;non-dropping-particle&quot;:&quot;&quot;,&quot;parse-names&quot;:false,&quot;suffix&quot;:&quot;&quot;},{&quot;dropping-particle&quot;:&quot;&quot;,&quot;family&quot;:&quot;Spengler&quot;,&quot;given&quot;:&quot;Christina M.&quot;,&quot;non-dropping-particle&quot;:&quot;&quot;,&quot;parse-names&quot;:false,&quot;suffix&quot;:&quot;&quot;},{&quot;dropping-particle&quot;:&quot;&quot;,&quot;family&quot;:&quot;Rossi&quot;,&quot;given&quot;:&quot;René M.&quot;,&quot;non-dropping-particle&quot;:&quot;&quot;,&quot;parse-names&quot;:false,&quot;suffix&quot;:&quot;&quot;}],&quot;container-title&quot;:&quot;Frontiers in Physiology&quot;,&quot;id&quot;:&quot;80e47ce9-0d3b-56d2-ace0-af0e6ebb647d&quot;,&quot;issue&quot;:&quot;JAN&quot;,&quot;issued&quot;:{&quot;date-parts&quot;:[[&quot;2018&quot;]]},&quot;page&quot;:&quot;1-24&quot;,&quot;title&quot;:&quot;Skin temperature measurement using contact thermometry: A systematic review of setup variables and their effects on measured values&quot;,&quot;type&quot;:&quot;article-journal&quot;,&quot;volume&quot;:&quot;9&quot;,&quot;container-title-short&quot;:&quot;Front. Physiol.&quot;},&quot;uris&quot;:[&quot;http://www.mendeley.com/documents/?uuid=75aec19a-b731-4dfb-b4a4-188355998bf3&quot;,&quot;http://www.mendeley.com/documents/?uuid=dbd11c3b-da21-4efb-a28b-36cca27ce333&quot;],&quot;isTemporary&quot;:false,&quot;legacyDesktopId&quot;:&quot;75aec19a-b731-4dfb-b4a4-188355998bf3&quot;}]},{&quot;citationID&quot;:&quot;MENDELEY_CITATION_c3564e0e-69b7-4838-8b97-111a702370d2&quot;,&quot;properties&quot;:{&quot;noteIndex&quot;:0},&quot;isEdited&quot;:false,&quot;manualOverride&quot;:{&quot;citeprocText&quot;:&quot;[175]&quot;,&quot;isManuallyOverridden&quot;:false,&quot;manualOverrideText&quot;:&quot;&quot;},&quot;citationTag&quot;:&quot;MENDELEY_CITATION_v3_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&quot;,&quot;citationItems&quot;:[{&quot;id&quot;:&quot;99e4deed-4fe6-518a-bcbc-92231aa4c9dc&quot;,&quot;itemData&quot;:{&quot;DOI&quot;:&quot;10.1016/j.enbuild.2025.115809&quot;,&quot;ISSN&quot;:&quot;03787788&quot;,&quot;abstract&quot;:&quot;Mean skin temperature of the body is an important physiological parameter reflecting human thermal sensation and state of heat exchange between human body and its surrounding thermal environment. There is limited research on the mean skin temperature distinguishing the cool and warm sensation, even though the sensitivity of local body parts to cold and warm is not identical. Therefore, a novel method of calculating mean skin temperatures (tnsk) with the weighted mean of the influential body parts was established to reflect personal thermal sensation in moderate cool and warm environments. An experimental study was conducted in a climate chamber where sedentary occupants were exposed to the temperatures between 18 °C to 28 °C with different clothing ensembles to maintain thermal statuses of being between “slightly cool” to “slightly warm”. Thermal sensations and local skin temperatures of occupants were compared between neutral and non-neutral conditions to determine the influential body sites for tnsk. It was found that in slightly cool conditions with the winter clothing of 1.0 clo, tnsk could be explained by the weighted mean of instep (coefficient of 0.28), back lower leg (0.23), front thigh (0.18), low arm (0.16) and upper arm (0.15), while in slightly warm conditions with the summer clothes of 0.5 clo, tnsk could be explained by the weighted mean of instep (0.15), hand (0.17), front thigh (0.19), neck (0.14), low arm (0.20) and upper arm (0.15). The results of this study could guide designs of personal thermal comfort systems by preserving individual body temperature homeostasis.&quot;,&quot;author&quot;:[{&quot;dropping-particle&quot;:&quot;&quot;,&quot;family&quot;:&quot;Su&quot;,&quot;given&quot;:&quot;Xiaowen&quot;,&quot;non-dropping-particle&quot;:&quot;&quot;,&quot;parse-names&quot;:false,&quot;suffix&quot;:&quot;&quot;},{&quot;dropping-particle&quot;:&quot;&quot;,&quot;family&quot;:&quot;Kazanci&quot;,&quot;given&quot;:&quot;Ongun Berk&quot;,&quot;non-dropping-particle&quot;:&quot;&quot;,&quot;parse-names&quot;:false,&quot;suffix&quot;:&quot;&quot;},{&quot;dropping-particle&quot;:&quot;&quot;,&quot;family&quot;:&quot;Olesen&quot;,&quot;given&quot;:&quot;Bjarne W.&quot;,&quot;non-dropping-particle&quot;:&quot;&quot;,&quot;parse-names&quot;:false,&quot;suffix&quot;:&quot;&quot;},{&quot;dropping-particle&quot;:&quot;&quot;,&quot;family&quot;:&quot;Sun&quot;,&quot;given&quot;:&quot;Liangliang&quot;,&quot;non-dropping-particle&quot;:&quot;&quot;,&quot;parse-names&quot;:false,&quot;suffix&quot;:&quot;&quot;},{&quot;dropping-particle&quot;:&quot;&quot;,&quot;family&quot;:&quot;Yuan&quot;,&quot;given&quot;:&quot;Yanping&quot;,&quot;non-dropping-particle&quot;:&quot;&quot;,&quot;parse-names&quot;:false,&quot;suffix&quot;:&quot;&quot;}],&quot;container-title&quot;:&quot;Energy and Buildings&quot;,&quot;id&quot;:&quot;99e4deed-4fe6-518a-bcbc-92231aa4c9dc&quot;,&quot;issue&quot;:&quot;December 2024&quot;,&quot;issued&quot;:{&quot;date-parts&quot;:[[&quot;2025&quot;]]},&quot;publisher&quot;:&quot;Elsevier B.V.&quot;,&quot;title&quot;:&quot;A novel method of calculating mean skin temperature with high thermal sensitivity for thermal sensation evaluation&quot;,&quot;type&quot;:&quot;article-journal&quot;,&quot;volume&quot;:&quot;340&quot;,&quot;container-title-short&quot;:&quot;Energy Build.&quot;},&quot;uris&quot;:[&quot;http://www.mendeley.com/documents/?uuid=656b0e73-2169-4da4-99f8-804c537200d5&quot;],&quot;isTemporary&quot;:false,&quot;legacyDesktopId&quot;:&quot;656b0e73-2169-4da4-99f8-804c537200d5&quot;}]},{&quot;citationID&quot;:&quot;MENDELEY_CITATION_3a6d24e2-3e1f-4796-973a-5f570e35da36&quot;,&quot;properties&quot;:{&quot;noteIndex&quot;:0},&quot;isEdited&quot;:false,&quot;manualOverride&quot;:{&quot;citeprocText&quot;:&quot;[177]&quot;,&quot;isManuallyOverridden&quot;:false,&quot;manualOverrideText&quot;:&quot;&quot;},&quot;citationTag&quot;:&quot;MENDELEY_CITATION_v3_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&quot;,&quot;citationItems&quot;:[{&quot;id&quot;:&quot;43740431-38b1-5d41-8ece-191f33667be4&quot;,&quot;itemData&quot;:{&quot;DOI&quot;:&quot;10.1038/s41598-017-10444-5&quot;,&quot;ISBN&quot;:&quot;4159801710444&quot;,&quot;ISSN&quot;:&quot;20452322&quot;,&quot;PMID&quot;:&quot;28874709&quot;,&quot;abstract&quot;:&quot;Cold exposure is necessary to activate human brown adipose tissue (BAT), resulting in heat production. Skin temperature is an indirect measure to monitor the body's reaction to cold. The aim of this research was to study whether the most used equations to estimate parameters of skin temperature in BAT-human studies measure the same values of temperature in young lean men (n = 11: 23.4 ± 0.5 years, fat mass: 19.9 ± 1.2%). Skin temperature was measured with 26 ibuttons at 1-minute intervals in warm and cold room conditions. We used 12 equations to estimate parameters of mean, proximal, and distal skin temperature as well as skin temperature gradients. Data were analysed with Temperatus software. Significant differences were found across equations to measure the same parameters of skin temperature in warm and cold room conditions, hampering comparison across studies. Based on these findings, we suggest to use a set of 14 ibuttons at anatomical positions reported by ISO STANDARD 9886:2004 plus five ibuttons placed on the right supraclavicular fossa, right middle clavicular bone, right middle upper forearm, right top of forefinger, and right upper chest.&quot;,&quot;author&quot;:[{&quot;dropping-particle&quot;:&quot;&quot;,&quot;family&quot;:&quot;Martinez-Tellez&quot;,&quot;given&quot;:&quot;Borja&quot;,&quot;non-dropping-particle&quot;:&quot;&quot;,&quot;parse-names&quot;:false,&quot;suffix&quot;:&quot;&quot;},{&quot;dropping-particle&quot;:&quot;&quot;,&quot;family&quot;:&quot;Sanchez-Delgado&quot;,&quot;given&quot;:&quot;Guillermo&quot;,&quot;non-dropping-particle&quot;:&quot;&quot;,&quot;parse-names&quot;:false,&quot;suffix&quot;:&quot;&quot;},{&quot;dropping-particle&quot;:&quot;&quot;,&quot;family&quot;:&quot;Acosta&quot;,&quot;given&quot;:&quot;Francisco M.&quot;,&quot;non-dropping-particle&quot;:&quot;&quot;,&quot;parse-names&quot;:false,&quot;suffix&quot;:&quot;&quot;},{&quot;dropping-particle&quot;:&quot;&quot;,&quot;family&quot;:&quot;Alcantara&quot;,&quot;given&quot;:&quot;Juan M.A.&quot;,&quot;non-dropping-particle&quot;:&quot;&quot;,&quot;parse-names&quot;:false,&quot;suffix&quot;:&quot;&quot;},{&quot;dropping-particle&quot;:&quot;&quot;,&quot;family&quot;:&quot;Boon&quot;,&quot;given&quot;:&quot;Mariëtte R.&quot;,&quot;non-dropping-particle&quot;:&quot;&quot;,&quot;parse-names&quot;:false,&quot;suffix&quot;:&quot;&quot;},{&quot;dropping-particle&quot;:&quot;&quot;,&quot;family&quot;:&quot;Rensen&quot;,&quot;given&quot;:&quot;Patrick C.N.&quot;,&quot;non-dropping-particle&quot;:&quot;&quot;,&quot;parse-names&quot;:false,&quot;suffix&quot;:&quot;&quot;},{&quot;dropping-particle&quot;:&quot;&quot;,&quot;family&quot;:&quot;Ruiz&quot;,&quot;given&quot;:&quot;Jonatan R.&quot;,&quot;non-dropping-particle&quot;:&quot;&quot;,&quot;parse-names&quot;:false,&quot;suffix&quot;:&quot;&quot;}],&quot;container-title&quot;:&quot;Scientific Reports&quot;,&quot;id&quot;:&quot;43740431-38b1-5d41-8ece-191f33667be4&quot;,&quot;issue&quot;:&quot;1&quot;,&quot;issued&quot;:{&quot;date-parts&quot;:[[&quot;2017&quot;]]},&quot;page&quot;:&quot;1-12&quot;,&quot;title&quot;:&quot;Differences between the most used equations in BAT-human studies to estimate parameters of skin temperature in young lean men&quot;,&quot;type&quot;:&quot;article-journal&quot;,&quot;volume&quot;:&quot;7&quot;,&quot;container-title-short&quot;:&quot;Sci. Rep.&quot;},&quot;uris&quot;:[&quot;http://www.mendeley.com/documents/?uuid=a70324bf-9aba-455d-a167-b1142da1a2bb&quot;],&quot;isTemporary&quot;:false,&quot;legacyDesktopId&quot;:&quot;a70324bf-9aba-455d-a167-b1142da1a2bb&quot;}]},{&quot;citationID&quot;:&quot;MENDELEY_CITATION_b2608426-e15f-413c-951b-5716cbe89f7f&quot;,&quot;properties&quot;:{&quot;noteIndex&quot;:0},&quot;isEdited&quot;:false,&quot;manualOverride&quot;:{&quot;citeprocText&quot;:&quot;[178,179]&quot;,&quot;isManuallyOverridden&quot;:false,&quot;manualOverrideText&quot;:&quot;&quot;},&quot;citationTag&quot;:&quot;MENDELEY_CITATION_v3_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&quot;,&quot;citationItems&quot;:[{&quot;id&quot;:&quot;f4c3244d-77ba-5015-a57d-0d36d26c5267&quot;,&quot;itemData&quot;:{&quot;DOI&quot;:&quot;10.1016/j.buildenv.2024.111231&quot;,&quot;ISSN&quot;:&quot;03601323&quot;,&quot;abstract&quot;:&quot;Mean skin temperature (MST) is one of the most important physiological metrics in sleep-environment research. Commonly used MST formulas are mainly derived from heat transfer calculations at non-sleeping postures, but not theoretically suitable for the purposes of sleep researches. A winter sleep experiment was carried out in three stable thermal environments (16 °C/20 °C/24 °C), and its data were used to establish two kinds of MST formulas. Based on the heat transfer process of different body parts at supine posture, a new calculating formula for mean skin temperature of covered body (CMST) which applicable to sleeping heat transfer evaluation was presented; comparing the heat transfer value calculated by the new formula with traditional formula, it can be found that the differences significantly increased as the ambient temperature decreased (p &lt; 0.001). Based on the calculated thermal sensitivities and area proportions of 10 body parts, a new MST formula suitable for assessing sleeping thermal sensation was established; the new TSV-MST formula exhibited a larger regression coefficient (0.75) in comparison to the traditional formula (0.67), which means that the MST calculated with new formula can be more predictive of sleeping thermal sensation. In overall, the newly proposed CMST and MST formulas are able to theoretically explain and satisfy the application needs of current sleep researches, and this study supports the viewpoint that different MST formulas should be adopted for different research purposes.&quot;,&quot;author&quot;:[{&quot;dropping-particle&quot;:&quot;&quot;,&quot;family&quot;:&quot;Xu&quot;,&quot;given&quot;:&quot;Xinbo&quot;,&quot;non-dropping-particle&quot;:&quot;&quot;,&quot;parse-names&quot;:false,&quot;suffix&quot;:&quot;&quot;},{&quot;dropping-particle&quot;:&quot;&quot;,&quot;family&quot;:&quot;Lian&quot;,&quot;given&quot;:&quot;Zhiwei&quot;,&quot;non-dropping-particle&quot;:&quot;&quot;,&quot;parse-names&quot;:false,&quot;suffix&quot;:&quot;&quot;}],&quot;container-title&quot;:&quot;Building and Environment&quot;,&quot;id&quot;:&quot;f4c3244d-77ba-5015-a57d-0d36d26c5267&quot;,&quot;issue&quot;:&quot;November 2023&quot;,&quot;issued&quot;:{&quot;date-parts&quot;:[[&quot;2024&quot;,&quot;3&quot;]]},&quot;page&quot;:&quot;111231&quot;,&quot;publisher&quot;:&quot;Elsevier Ltd&quot;,&quot;title&quot;:&quot;Rethinking the calculation method of mean skin temperature in sleep research: Different formulas apply to different purposes&quot;,&quot;type&quot;:&quot;article-journal&quot;,&quot;volume&quot;:&quot;251&quot;,&quot;container-title-short&quot;:&quot;Build. Environ.&quot;},&quot;uris&quot;:[&quot;http://www.mendeley.com/documents/?uuid=2e09fae7-a05f-4625-860f-d2bc6b44bfc7&quot;],&quot;isTemporary&quot;:false,&quot;legacyDesktopId&quot;:&quot;2e09fae7-a05f-4625-860f-d2bc6b44bfc7&quot;},{&quot;id&quot;:&quot;6fa22257-a009-5da5-9a88-fcb997dce191&quot;,&quot;itemData&quot;:{&quot;DOI&quot;:&quot;10.1016/j.buildenv.2019.106292&quot;,&quot;ISSN&quot;:&quot;03601323&quot;,&quot;abstract&quot;:&quot;Sensory input from the skin appears to be of crucial importance in the regulation of sleep but there has been limited research on human skin temperature during sleep. The present study was undertaken to validate calculation of the mean skin temperature (MST) of sleeping subjects from measurements at only three locations: forehead, chest, and foot, by means of an analysis of skin temperature data obtained from four human experiments that investigated the effects of thermal environment on the sleep quality and thermal comfort of a total of 64 sleeping subjects. The results show that skin temperatures were more evenly distributed across the body surface of sleeping subjects than they are when subjects are awake. The skin temperature of the forehead was highly correlated with thermal sensation in long-term measurements. MST values calculated using the three-point method were found to predict thermal sensation while sleeping better than those calculated using the normally accepted Hardy and Dubois's seven-point method. The validity, convenience and reliability of this approach, which also causes less sleep disturbance, makes it a suitable choice for obtaining estimates of mean skin temperature in sleep studies.&quot;,&quot;author&quot;:[{&quot;dropping-particle&quot;:&quot;&quot;,&quot;family&quot;:&quot;Lan&quot;,&quot;given&quot;:&quot;Li&quot;,&quot;non-dropping-particle&quot;:&quot;&quot;,&quot;parse-names&quot;:false,&quot;suffix&quot;:&quot;&quot;},{&quot;dropping-particle&quot;:&quot;&quot;,&quot;family&quot;:&quot;Xia&quot;,&quot;given&quot;:&quot;Lulu&quot;,&quot;non-dropping-particle&quot;:&quot;&quot;,&quot;parse-names&quot;:false,&quot;suffix&quot;:&quot;&quot;},{&quot;dropping-particle&quot;:&quot;&quot;,&quot;family&quot;:&quot;Tang&quot;,&quot;given&quot;:&quot;Jieyu&quot;,&quot;non-dropping-particle&quot;:&quot;&quot;,&quot;parse-names&quot;:false,&quot;suffix&quot;:&quot;&quot;},{&quot;dropping-particle&quot;:&quot;&quot;,&quot;family&quot;:&quot;Wyon&quot;,&quot;given&quot;:&quot;David P.&quot;,&quot;non-dropping-particle&quot;:&quot;&quot;,&quot;parse-names&quot;:false,&quot;suffix&quot;:&quot;&quot;},{&quot;dropping-particle&quot;:&quot;&quot;,&quot;family&quot;:&quot;Liu&quot;,&quot;given&quot;:&quot;Hua&quot;,&quot;non-dropping-particle&quot;:&quot;&quot;,&quot;parse-names&quot;:false,&quot;suffix&quot;:&quot;&quot;}],&quot;container-title&quot;:&quot;Building and Environment&quot;,&quot;id&quot;:&quot;6fa22257-a009-5da5-9a88-fcb997dce191&quot;,&quot;issued&quot;:{&quot;date-parts&quot;:[[&quot;2019&quot;,&quot;9&quot;]]},&quot;page&quot;:&quot;106292&quot;,&quot;title&quot;:&quot;Mean skin temperature estimated from 3 measuring points can predict sleeping thermal sensation&quot;,&quot;type&quot;:&quot;article-journal&quot;,&quot;volume&quot;:&quot;162&quot;,&quot;container-title-short&quot;:&quot;Build. Environ.&quot;},&quot;uris&quot;:[&quot;http://www.mendeley.com/documents/?uuid=63978777-ee5b-4c9e-898b-5aacc00660cf&quot;],&quot;isTemporary&quot;:false,&quot;legacyDesktopId&quot;:&quot;63978777-ee5b-4c9e-898b-5aacc00660cf&quot;}]},{&quot;citationID&quot;:&quot;MENDELEY_CITATION_6c885b48-e6e4-407b-b0ed-3cb23eb28423&quot;,&quot;properties&quot;:{&quot;noteIndex&quot;:0},&quot;isEdited&quot;:false,&quot;manualOverride&quot;:{&quot;citeprocText&quot;:&quot;[4,12,13]&quot;,&quot;isManuallyOverridden&quot;:false,&quot;manualOverrideText&quot;:&quot;&quot;},&quot;citationTag&quot;:&quot;MENDELEY_CITATION_v3_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&quot;,&quot;citationItems&quot;:[{&quot;id&quot;:&quot;0f5ba7cb-9b2e-5369-82f1-520db473b153&quot;,&quot;itemData&quot;:{&quot;DOI&quot;:&quot;10.1152/ajpregu.1984.246.3.r321&quot;,&quot;ISSN&quot;:&quot;03636119&quot;,&quot;PMID&quot;:&quot;6703085&quot;,&quot;abstract&quot;:&quot;To characterize the changes in the control of the heat loss responses associated with the circadian variation in body temperature, we studied five men during 20 min of exercise in 25°C on 6 separate days. Experiments were conducted at six times equally spaced over the 24-h day. Esophageal temperature [T(es)] and chest sweat rate [mE{sw)] were measured continuously, and forearm blood flow (FBF) was measured one to two times per minute. The thresholds for sweating and forearm vasodilation were significantly higher at 1600 and 2000 than at 2400 and 0400, averaging 0.57 and 0.65°C higher, respectively, at 1600 than at 0400. resting T(es) and the T(es) thresholds for cutaneous vasodilation and sweating during exercise all showed a similar circadian rhythm. The level at which core temperature is regulated therefore varies over the 24-h day with the zenith occurring around 1600 and the nadir at 0400. However, whereas the slope of the ṁ(sw)-to-T(es) relation did not change over the 24-h day, the slope of the FBF-to-T(es) relation tended to increae between 0400 and 2400, implying that the circadian rhythm may be more complex than just a shift in the central reference temperature.&quot;,&quot;author&quot;:[{&quot;dropping-particle&quot;:&quot;&quot;,&quot;family&quot;:&quot;Stephenson&quot;,&quot;given&quot;:&quot;L. A.&quot;,&quot;non-dropping-particle&quot;:&quot;&quot;,&quot;parse-names&quot;:false,&quot;suffix&quot;:&quot;&quot;},{&quot;dropping-particle&quot;:&quot;&quot;,&quot;family&quot;:&quot;Wenger&quot;,&quot;given&quot;:&quot;C. B.&quot;,&quot;non-dropping-particle&quot;:&quot;&quot;,&quot;parse-names&quot;:false,&quot;suffix&quot;:&quot;&quot;},{&quot;dropping-particle&quot;:&quot;&quot;,&quot;family&quot;:&quot;O'Donovan&quot;,&quot;given&quot;:&quot;B. H.&quot;,&quot;non-dropping-particle&quot;:&quot;&quot;,&quot;parse-names&quot;:false,&quot;suffix&quot;:&quot;&quot;},{&quot;dropping-particle&quot;:&quot;&quot;,&quot;family&quot;:&quot;Nadel&quot;,&quot;given&quot;:&quot;E. R.&quot;,&quot;non-dropping-particle&quot;:&quot;&quot;,&quot;parse-names&quot;:false,&quot;suffix&quot;:&quot;&quot;}],&quot;container-title&quot;:&quot;American Journal of Physiology - Regulatory Integrative and Comparative Physiology&quot;,&quot;id&quot;:&quot;0f5ba7cb-9b2e-5369-82f1-520db473b153&quot;,&quot;issue&quot;:&quot;3&quot;,&quot;issued&quot;:{&quot;date-parts&quot;:[[&quot;1984&quot;]]},&quot;page&quot;:&quot;321-324&quot;,&quot;title&quot;:&quot;Circadian rhythm in sweating and cutaneous blood flow&quot;,&quot;type&quot;:&quot;article-journal&quot;,&quot;volume&quot;:&quot;15&quot;,&quot;container-title-short&quot;:&quot;Am. J. Physiol. Regul. Integr. Comp. Physiol.&quot;},&quot;uris&quot;:[&quot;http://www.mendeley.com/documents/?uuid=79ee31eb-6070-4149-9f80-a8d260c2dd80&quot;],&quot;isTemporary&quot;:false,&quot;legacyDesktopId&quot;:&quot;79ee31eb-6070-4149-9f80-a8d260c2dd80&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e1b201ba-b5bb-5d7e-b3d0-5f280f48516c&quot;,&quot;itemData&quot;:{&quot;DOI&quot;:&quot;10.1152/jappl.1971.31.6.828&quot;,&quot;ISSN&quot;:&quot;8750-7587&quot;,&quot;PMID&quot;:&quot;5123659&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altin&quot;,&quot;given&quot;:&quot;B.&quot;,&quot;non-dropping-particle&quot;:&quot;&quot;,&quot;parse-names&quot;:false,&quot;suffix&quot;:&quot;&quot;},{&quot;dropping-particle&quot;:&quot;&quot;,&quot;family&quot;:&quot;Stolwijk&quot;,&quot;given&quot;:&quot;J. A.&quot;,&quot;non-dropping-particle&quot;:&quot;&quot;,&quot;parse-names&quot;:false,&quot;suffix&quot;:&quot;&quot;}],&quot;container-title&quot;:&quot;Journal of Applied Physiology&quot;,&quot;id&quot;:&quot;e1b201ba-b5bb-5d7e-b3d0-5f280f48516c&quot;,&quot;issue&quot;:&quot;6&quot;,&quot;issued&quot;:{&quot;date-parts&quot;:[[&quot;1971&quot;,&quot;12&quot;,&quot;1&quot;]]},&quot;page&quot;:&quot;828-833&quot;,&quot;title&quot;:&quot;Peripheral modifications to the central drive for sweating&quot;,&quot;type&quot;:&quot;article-journal&quot;,&quot;volume&quot;:&quot;31&quot;,&quot;container-title-short&quot;:&quot;J. Appl. Physiol.&quot;},&quot;uris&quot;:[&quot;http://www.mendeley.com/documents/?uuid=37442a86-16f2-4e2d-8273-7352efedcc63&quot;],&quot;isTemporary&quot;:false,&quot;legacyDesktopId&quot;:&quot;37442a86-16f2-4e2d-8273-7352efedcc63&quot;}]},{&quot;citationID&quot;:&quot;MENDELEY_CITATION_b4d055bc-72ee-4ca2-935c-9d02a328d2b5&quot;,&quot;properties&quot;:{&quot;noteIndex&quot;:0},&quot;isEdited&quot;:false,&quot;manualOverride&quot;:{&quot;citeprocText&quot;:&quot;[98,180]&quot;,&quot;isManuallyOverridden&quot;:false,&quot;manualOverrideText&quot;:&quot;&quot;},&quot;citationTag&quot;:&quot;MENDELEY_CITATION_v3_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&quot;,&quot;citationItems&quot;:[{&quot;id&quot;:&quot;b839d0bb-ec05-57e2-aded-c46b15353ade&quot;,&quot;itemData&quot;:{&quot;DOI&quot;:&quot;10.1533/9781845692261.3.560&quot;,&quot;abstract&quot;:&quot;What is Cronbach's Alpha? - Explained Simply&quot;,&quot;author&quot;:[{&quot;dropping-particle&quot;:&quot;&quot;,&quot;family&quot;:&quot;Arens&quot;,&quot;given&quot;:&quot;E.&quot;,&quot;non-dropping-particle&quot;:&quot;&quot;,&quot;parse-names&quot;:false,&quot;suffix&quot;:&quot;&quot;},{&quot;dropping-particle&quot;:&quot;&quot;,&quot;family&quot;:&quot;Zhang&quot;,&quot;given&quot;:&quot;H.&quot;,&quot;non-dropping-particle&quot;:&quot;&quot;,&quot;parse-names&quot;:false,&quot;suffix&quot;:&quot;&quot;}],&quot;container-title&quot;:&quot;Thermal and Moisture Transport in Fibrous Materials&quot;,&quot;id&quot;:&quot;b839d0bb-ec05-57e2-aded-c46b15353ade&quot;,&quot;issued&quot;:{&quot;date-parts&quot;:[[&quot;2006&quot;]]},&quot;page&quot;:&quot;560-602&quot;,&quot;publisher&quot;:&quot;Elsevier&quot;,&quot;title&quot;:&quot;The skin’s role in human thermoregulation and comfort&quot;,&quot;type&quot;:&quot;chapter&quot;,&quot;container-title-short&quot;:&quot;&quot;},&quot;uris&quot;:[&quot;http://www.mendeley.com/documents/?uuid=93317730-bbee-407b-a398-7f5ec0db0af2&quot;],&quot;isTemporary&quot;:false,&quot;legacyDesktopId&quot;:&quot;93317730-bbee-407b-a398-7f5ec0db0af2&quot;},{&quot;id&quot;:&quot;3ab54c72-d964-54f3-9162-4a23d22c818f&quot;,&quot;itemData&quot;:{&quot;DOI&quot;:&quot;10.2741/s94&quot;,&quot;ISSN&quot;:&quot;1945-0516&quot;,&quot;PMID&quot;:&quot;20036977&quot;,&quot;abstract&quot;:&quot;Human body temperature is regulated within a very narrow range. When exposed to hyperthermic conditions, via environmental factors and/or increased metabolism, heat dissipation becomes vital for survival. In humans, the primary mechanism of heat dissipation, particularly when ambient temperature is higher than skin temperature, is evaporative heat loss secondary to sweat secretion from eccrine glands. While the primary controller of sweating is the integration between internal and skin temperatures, a number of non-thermal factors modulate the sweating response. In addition to summarizing the current understanding of the neural pathways from the brain to the sweat gland, as well as responses at the sweat gland, this review will highlight findings pertaining to studies of proposed non-thermal modifiers of sweating, namely, exercise, baroreceptor loading state, and body fluid status. Information from these studies not only provides important insight pertaining to the basic mechanisms of sweating, but also perhaps could be useful towards a greater understanding of potential mechanisms and consequences of disease states as well as aging in altering sweating responses and thus temperature regulation.&quot;,&quot;author&quot;:[{&quot;dropping-particle&quot;:&quot;&quot;,&quot;family&quot;:&quot;Shibasaki&quot;,&quot;given&quot;:&quot;Manabu&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Frontiers in Bioscience&quot;,&quot;id&quot;:&quot;3ab54c72-d964-54f3-9162-4a23d22c818f&quot;,&quot;issue&quot;:&quot;2&quot;,&quot;issued&quot;:{&quot;date-parts&quot;:[[&quot;2010&quot;]]},&quot;page&quot;:&quot;94&quot;,&quot;title&quot;:&quot;Mechanisms and controllers of eccrine sweating in humans&quot;,&quot;type&quot;:&quot;article-journal&quot;,&quot;volume&quot;:&quot;S2&quot;,&quot;container-title-short&quot;:&quot;&quot;},&quot;uris&quot;:[&quot;http://www.mendeley.com/documents/?uuid=bd9c2501-0364-4bd8-a6c6-35437f7f628f&quot;],&quot;isTemporary&quot;:false,&quot;legacyDesktopId&quot;:&quot;bd9c2501-0364-4bd8-a6c6-35437f7f628f&quot;}]},{&quot;citationID&quot;:&quot;MENDELEY_CITATION_ca3b1672-12b2-4864-b1d3-4117508462e4&quot;,&quot;properties&quot;:{&quot;noteIndex&quot;:0},&quot;isEdited&quot;:false,&quot;manualOverride&quot;:{&quot;citeprocText&quot;:&quot;[4,181]&quot;,&quot;isManuallyOverridden&quot;:false,&quot;manualOverrideText&quot;:&quot;&quot;},&quot;citationTag&quot;:&quot;MENDELEY_CITATION_v3_eyJjaXRhdGlvbklEIjoiTUVOREVMRVlfQ0lUQVRJT05fY2EzYjE2NzItMTJiMi00ODY0LWIxZDMtNDExNzUwODQ2MmU0IiwicHJvcGVydGllcyI6eyJub3RlSW5kZXgiOjB9LCJpc0VkaXRlZCI6ZmFsc2UsIm1hbnVhbE92ZXJyaWRlIjp7ImNpdGVwcm9jVGV4dCI6Ils0LDE4MV0iLCJpc01hbnVhbGx5T3ZlcnJpZGRlbiI6ZmFsc2UsIm1hbnVhbE92ZXJyaWRlVGV4dCI6IiJ9LCJjaXRhdGlvbkl0ZW1zIjpb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QW9raSIsImdpdmVuIjoiSy4iLCJub24tZHJvcHBpbmctcGFydGljbGUiOiIiLCJwYXJzZS1uYW1lcyI6ZmFsc2UsInN1ZmZpeCI6IiJ9LHsiZHJvcHBpbmctcGFydGljbGUiOiIiLCJmYW1pbHkiOiJTaGliYXNha2kiLCJnaXZlbiI6Ik0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&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df31e520-2bd4-5f0a-adde-0306b34fec31&quot;,&quot;itemData&quot;:{&quot;DOI&quot;:&quot;10.1046/j.1365-201X.1998.00407.x&quot;,&quot;ISSN&quot;:&quot;00016772&quot;,&quot;PMID&quot;:&quot;9777027&quot;,&quot;abstract&quot;:&quot;To investigate regional body differences in the effect of exercise intensity on the thermoregulatory sweating response, nine healthy male subjects (23.2 ± 0.4 year) cycled at 35, 50 and 65% of their maximal O2 uptake (V̇O(2max)0) for 30 min at an ambient temperature of 28.3 ± 0.2°C and a relative humidity of 42.6 ± 2.4%. Local sweating rate (ṁ(sw)) on the forehead, chest, back, forearm and thigh increased significantly with increases in the exercise intensity from 35 to 50% V̇O(2max) and from 50 to 65% V̇O(2max) (P &lt; 0.05). The mean values for the density of activated sweat glands (ASG) at 50 and 65% V̇O(2max) at the five sites were significantly greater than at 35% V̇O(2max). The mean value of the sweat output per gland (SGO) also increased significantly with the increase in exercise intensity (P &lt; 0.05). The patterns of changes in ASG and SGO with an increase in exercise intensity differed from one region of the body to another. Although esophageal temperature (T(es)) threshold for the onset of sweating at each site was not altered by exercise intensity, the sensitivity of the sweating response on the forehead increased significantly from 35 to 50 and 65% V̇O(2max) (P &lt; 0.05). The threshold for cutaneous vasodilation tend to increase with exercise intensity, although the exercise intensity did not affect the sensitivity (the slope in the relationship T(es) vs. percentage of the maximal skin blood flow) at each site. T(es) threshold for cutaneous vasodilation on the forearm was significantly higher at 65% V̇O(2max) than at either 35 or 50% V̇O(2max) but this was not observed at the other sites, such as on the forehead and chest. These results suggest that the increase in ṁ(sw) seen with an increasing intensity of exercise depends first on ASG, and then on SGO, and the dependence of ASG and SGO on the increase in ṁ(sw) differs for different body sites. In addition, there are regional differences in the T(es) threshold for vasodilation in response to an increase in exercise intensity.&quot;,&quot;author&quot;:[{&quot;dropping-particle&quot;:&quot;&quot;,&quot;family&quot;:&quot;Kondo&quot;,&quot;given&quot;:&quot;N.&quot;,&quot;non-dropping-particle&quot;:&quot;&quot;,&quot;parse-names&quot;:false,&quot;suffix&quot;:&quot;&quot;},{&quot;dropping-particle&quot;:&quot;&quot;,&quot;family&quot;:&quot;Takano&quot;,&quot;given&quot;:&quot;S.&quot;,&quot;non-dropping-particle&quot;:&quot;&quot;,&quot;parse-names&quot;:false,&quot;suffix&quot;:&quot;&quot;},{&quot;dropping-particle&quot;:&quot;&quot;,&quot;family&quot;:&quot;Aoki&quot;,&quot;given&quot;:&quot;K.&quot;,&quot;non-dropping-particle&quot;:&quot;&quot;,&quot;parse-names&quot;:false,&quot;suffix&quot;:&quot;&quot;},{&quot;dropping-particle&quot;:&quot;&quot;,&quot;family&quot;:&quot;Shibasaki&quot;,&quot;given&quot;:&quot;M.&quot;,&quot;non-dropping-particle&quot;:&quot;&quot;,&quot;parse-names&quot;:false,&quot;suffix&quot;:&quot;&quot;},{&quot;dropping-particle&quot;:&quot;&quot;,&quot;family&quot;:&quot;Tominaga&quot;,&quot;given&quot;:&quot;H.&quot;,&quot;non-dropping-particle&quot;:&quot;&quot;,&quot;parse-names&quot;:false,&quot;suffix&quot;:&quot;&quot;},{&quot;dropping-particle&quot;:&quot;&quot;,&quot;family&quot;:&quot;Inoue&quot;,&quot;given&quot;:&quot;Y.&quot;,&quot;non-dropping-particle&quot;:&quot;&quot;,&quot;parse-names&quot;:false,&quot;suffix&quot;:&quot;&quot;}],&quot;container-title&quot;:&quot;Acta Physiologica Scandinavica&quot;,&quot;id&quot;:&quot;df31e520-2bd4-5f0a-adde-0306b34fec31&quot;,&quot;issue&quot;:&quot;1&quot;,&quot;issued&quot;:{&quot;date-parts&quot;:[[&quot;1998&quot;]]},&quot;page&quot;:&quot;71-78&quot;,&quot;title&quot;:&quot;Regional differences in the effect of exercise intensity on thermoregulatory sweating and cutaneous vasodilation&quot;,&quot;type&quot;:&quot;article-journal&quot;,&quot;volume&quot;:&quot;164&quot;,&quot;container-title-short&quot;:&quot;Acta Physiol. Scand.&quot;},&quot;uris&quot;:[&quot;http://www.mendeley.com/documents/?uuid=f1db47e6-2078-4b98-9d2a-bde91825aa08&quot;],&quot;isTemporary&quot;:false,&quot;legacyDesktopId&quot;:&quot;f1db47e6-2078-4b98-9d2a-bde91825aa08&quot;}]},{&quot;citationID&quot;:&quot;MENDELEY_CITATION_63f047fa-1806-4e33-b384-bcad4eb7e08c&quot;,&quot;properties&quot;:{&quot;noteIndex&quot;:0},&quot;isEdited&quot;:false,&quot;manualOverride&quot;:{&quot;citeprocText&quot;:&quot;[3,182]&quot;,&quot;isManuallyOverridden&quot;:false,&quot;manualOverrideText&quot;:&quot;&quot;},&quot;citationTag&quot;:&quot;MENDELEY_CITATION_v3_eyJjaXRhdGlvbklEIjoiTUVOREVMRVlfQ0lUQVRJT05fNjNmMDQ3ZmEtMTgwNi00ZTMzLWIzODQtYmNhZDRlYjdlMDhjIiwicHJvcGVydGllcyI6eyJub3RlSW5kZXgiOjB9LCJpc0VkaXRlZCI6ZmFsc2UsIm1hbnVhbE92ZXJyaWRlIjp7ImNpdGVwcm9jVGV4dCI6IlszLDE4Ml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&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2217b26f-ef03-534b-985a-6e670db22e25&quot;,&quot;itemData&quot;:{&quot;DOI&quot;:&quot;10.1007/BF00236062&quot;,&quot;ISSN&quot;:&quot;0301-5548&quot;,&quot;PMID&quot;:&quot;2079061&quot;,&quot;abstract&quot;:&quot;An experiment was set up to quantify the relative influence of fitness, acclimatization, gender and anthropometric measures on physiological responses to heat stress. For this purpose, 12 male and 12 female subjects were exposed to a neutral [ambient temperature (Ta) 21°C, relative humidity (r.h. 50%)], a warm, humid (Ta 34°C, r.h. 80%) and a hot, dry (Ta 45°C, r.h. 20%) climate at rest and at two exercise intensities [25%, and 45% maximal O2 intake (VO2max)], seated seminude in a net chair behind a cycle ergometer. Their physiological responses were recorded and the data submitted to a multiple regression analysis. It was shown that for the variance in heat storage, the percentage of body fat and the surface to mass ratio had relatively the largest influence of all the individual parameters, followed by VO2max and the sweat rate versus increase in core temperature (total r2=92%). For the skin temperature variation, the relative influence of individual parameters (sweat gain, VO2max) was small. For body core temperatures, individual parameters had a large influence. The largest effect was due to the percentage of fat and the surface to mass ratio, followed by the sweating setpoint and, finally, VO2max (total r2 = 54%-70%). For the variance in heart rate the VO2max was the most relevant parameter, followed by the setpoint of the sweat rate:rectal temperature relationship (total r2=88%). Blood pressure and skin blood flow predictions were also shown to improve by the addition of individual characteristics to the model. Body surface area, VO2max and the sweating setpoint were shown to have a large influence but the proportion of the variance explained by these variables was too small (r2 &lt; 70%) to use them as strain predictors, however. For all the predicted variables, it was shown that gender lost its influence, once VO2max or anthropometric data were introduced into the prediction equation. © 1990 Springer-Verlag.&quot;,&quot;author&quot;:[{&quot;dropping-particle&quot;:&quot;&quot;,&quot;family&quot;:&quot;Havenith&quot;,&quot;given&quot;:&quot;George&quot;,&quot;non-dropping-particle&quot;:&quot;&quot;,&quot;parse-names&quot;:false,&quot;suffix&quot;:&quot;&quot;},{&quot;dropping-particle&quot;:&quot;&quot;,&quot;family&quot;:&quot;Middendorp&quot;,&quot;given&quot;:&quot;Henk&quot;,&quot;non-dropping-particle&quot;:&quot;van&quot;,&quot;parse-names&quot;:false,&quot;suffix&quot;:&quot;&quot;}],&quot;container-title&quot;:&quot;European Journal of Applied Physiology and Occupational Physiology&quot;,&quot;id&quot;:&quot;2217b26f-ef03-534b-985a-6e670db22e25&quot;,&quot;issue&quot;:&quot;5-6&quot;,&quot;issued&quot;:{&quot;date-parts&quot;:[[&quot;1990&quot;,&quot;12&quot;]]},&quot;page&quot;:&quot;419-427&quot;,&quot;title&quot;:&quot;The relative influence of physical fitness, acclimatization state, anthropometric measures and gender on individual reactions to heat stress&quot;,&quot;type&quot;:&quot;article-journal&quot;,&quot;volume&quot;:&quot;61&quot;,&quot;container-title-short&quot;:&quot;Eur. J. Appl. Physiol. Occup. Physiol.&quot;},&quot;uris&quot;:[&quot;http://www.mendeley.com/documents/?uuid=b90f3d3a-ebc7-4922-8cb6-0a89f211fdec&quot;],&quot;isTemporary&quot;:false,&quot;legacyDesktopId&quot;:&quot;b90f3d3a-ebc7-4922-8cb6-0a89f211fdec&quot;}]},{&quot;citationID&quot;:&quot;MENDELEY_CITATION_d235d413-94fe-40a7-99ff-81a19ddee9bb&quot;,&quot;properties&quot;:{&quot;noteIndex&quot;:0},&quot;isEdited&quot;:false,&quot;manualOverride&quot;:{&quot;citeprocText&quot;:&quot;[11,183]&quot;,&quot;isManuallyOverridden&quot;:false,&quot;manualOverrideText&quot;:&quot;&quot;},&quot;citationTag&quot;:&quot;MENDELEY_CITATION_v3_eyJjaXRhdGlvbklEIjoiTUVOREVMRVlfQ0lUQVRJT05fZDIzNWQ0MTMtOTRmZS00MGE3LTk5ZmYtODFhMTlkZGVlOWJiIiwicHJvcGVydGllcyI6eyJub3RlSW5kZXgiOjB9LCJpc0VkaXRlZCI6ZmFsc2UsIm1hbnVhbE92ZXJyaWRlIjp7ImNpdGVwcm9jVGV4dCI6IlsxMSwxODNd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citationID&quot;:&quot;MENDELEY_CITATION_2ec6022e-64ec-415b-9b24-d425656bd351&quot;,&quot;properties&quot;:{&quot;noteIndex&quot;:0},&quot;isEdited&quot;:false,&quot;manualOverride&quot;:{&quot;citeprocText&quot;:&quot;[184,185]&quot;,&quot;isManuallyOverridden&quot;:false,&quot;manualOverrideText&quot;:&quot;&quot;},&quot;citationTag&quot;:&quot;MENDELEY_CITATION_v3_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&quot;,&quot;citationItems&quot;:[{&quot;id&quot;:&quot;13b7c04d-8c6f-524d-bc3e-3a42d9b00ad5&quot;,&quot;itemData&quot;:{&quot;DOI&quot;:&quot;10.1152/japplphysiol.00872.2017&quot;,&quot;ISSN&quot;:&quot;8750-7587&quot;,&quot;PMID&quot;:&quot;29745799&quot;,&quot;abstract&quot;:&quot;By combining galvanic skin conductance (GSC), stratum corneum hydration (HYD) and regional surface sweat rate (RSR) measurements at the arm, thigh, back and chest, we closely monitored the passage of sweat from gland to skin surface. Through a varied exercise-rest protocol, sweating was increased slowly and decreased in 16 male and female human participants (25.3 ± 4.7 yr, 174.6 ± 10.1 cm, 71.3 ± 12.0 kg, 53.0 ± 6.8 ml·kg −1 ·min −1 ). ∆GSC and HYD increased before RSR, indicating pre-secretory sweat gland activity and skin hydration. ∆GSC and HYD typically increased concomitantly during rest in a warm environment (30.1 ± 1.0°C, 30.0 ± 4.7% relative humidity) and only at the arm did ∆GSC increase before an increase in HYD. HYD increased before RSR, before sweat was visible on the skin, but not to full saturation, contradicting earlier hypotheses. Maximal skin hydration did occur, as demonstrated by a plateau in all regions. Post exercise rest resulted in a rapid decrease in HYD and RSR but a delayed decline in ∆GSC. Evidence for reabsorption of surface sweat into the skin following a decline in sweating, as hypothesized in the literature, was not found. This suggests that skin surface sweat, after sweating is decreased, may not diffuse back into the dermis, but is only evaporated. These data, showing distinctly different responses for the three measured variables, provide useful information about the fate of sweat from gland to surface that is relevant across numerous research fields (e.g., thermoregulation, dermatology, ergonomics and material design).&quot;,&quot;author&quot;:[{&quot;dropping-particle&quot;:&quot;&quot;,&quot;family&quot;:&quot;Gerrett&quot;,&quot;given&quot;:&quot;Nicola&quot;,&quot;non-dropping-particle&quot;:&quot;&quot;,&quot;parse-names&quot;:false,&quot;suffix&quot;:&quot;&quot;},{&quot;dropping-particle&quot;:&quot;&quot;,&quot;family&quot;:&quot;Griggs&quot;,&quot;given&quot;:&quot;Katy&quot;,&quot;non-dropping-particle&quot;:&quot;&quot;,&quot;parse-names&quot;:false,&quot;suffix&quot;:&quot;&quot;},{&quot;dropping-particle&quot;:&quot;&quot;,&quot;family&quot;:&quot;Redortier&quot;,&quot;given&quot;:&quot;Bernard&quot;,&quot;non-dropping-particle&quot;:&quot;&quot;,&quot;parse-names&quot;:false,&quot;suffix&quot;:&quot;&quot;},{&quot;dropping-particle&quot;:&quot;&quot;,&quot;family&quot;:&quot;Voelcker&quot;,&quot;given&quot;:&quot;Thomas&quot;,&quot;non-dropping-particle&quot;:&quot;&quot;,&quot;parse-names&quot;:false,&quot;suffix&quot;:&quot;&quot;},{&quot;dropping-particle&quot;:&quot;&quot;,&quot;family&quot;:&quot;Kondo&quot;,&quot;given&quot;:&quot;Narihiko&quot;,&quot;non-dropping-particle&quot;:&quot;&quot;,&quot;parse-names&quot;:false,&quot;suffix&quot;:&quot;&quot;},{&quot;dropping-particle&quot;:&quot;&quot;,&quot;family&quot;:&quot;Havenith&quot;,&quot;given&quot;:&quot;George&quot;,&quot;non-dropping-particle&quot;:&quot;&quot;,&quot;parse-names&quot;:false,&quot;suffix&quot;:&quot;&quot;}],&quot;container-title&quot;:&quot;Journal of Applied Physiology&quot;,&quot;id&quot;:&quot;13b7c04d-8c6f-524d-bc3e-3a42d9b00ad5&quot;,&quot;issue&quot;:&quot;2&quot;,&quot;issued&quot;:{&quot;date-parts&quot;:[[&quot;2018&quot;,&quot;8&quot;,&quot;1&quot;]]},&quot;page&quot;:&quot;459-469&quot;,&quot;title&quot;:&quot;Sweat from gland to skin surface: production, transport, and skin absorption&quot;,&quot;type&quot;:&quot;article-journal&quot;,&quot;volume&quot;:&quot;125&quot;,&quot;container-title-short&quot;:&quot;J. Appl. Physiol.&quot;},&quot;uris&quot;:[&quot;http://www.mendeley.com/documents/?uuid=dc93e8ad-afb2-49a0-92cf-bb78943185aa&quot;],&quot;isTemporary&quot;:false,&quot;legacyDesktopId&quot;:&quot;dc93e8ad-afb2-49a0-92cf-bb78943185aa&quot;},{&quot;id&quot;:&quot;059ac35c-5432-5ba5-90fe-15f6aad7742e&quot;,&quot;itemData&quot;:{&quot;DOI&quot;:&quot;10.1177/107385840200800209&quot;,&quot;ISSN&quot;:&quot;1073-8584&quot;,&quot;PMID&quot;:&quot;11954558&quot;,&quot;abstract&quot;:&quot;Electrodermal activity (EDA) is now the preferred term for changes in electrical conductance of the skin, including phasic changes that have been referred to as galvanic skin responses (GSR), that result from sympathetic neuronal activity. EDA is a sensitive psychophysiological index of changes in autonomic sympathetic arousal that are integrated with emotional and cognitive states. Until recently there was little direct knowledge of brain mechanisms governing generation and control of EDA in humans. However, studies of patients with discrete brain lesions and, more recently, functional imaging techniques have clarified the contribution of brain regions implicated in emotion, attention, and cognition to peripheral EDA responses. Moreover, such studies enable an understanding of mechanisms by which states of bodily arousal, indexed by EDA, influence cognition and bias motivational behavior.&quot;,&quot;author&quot;:[{&quot;dropping-particle&quot;:&quot;&quot;,&quot;family&quot;:&quot;Critchley&quot;,&quot;given&quot;:&quot;Hugo D.&quot;,&quot;non-dropping-particle&quot;:&quot;&quot;,&quot;parse-names&quot;:false,&quot;suffix&quot;:&quot;&quot;}],&quot;container-title&quot;:&quot;The Neuroscientist&quot;,&quot;id&quot;:&quot;059ac35c-5432-5ba5-90fe-15f6aad7742e&quot;,&quot;issue&quot;:&quot;2&quot;,&quot;issued&quot;:{&quot;date-parts&quot;:[[&quot;2002&quot;,&quot;4&quot;,&quot;1&quot;]]},&quot;page&quot;:&quot;132-142&quot;,&quot;title&quot;:&quot;Review: Electrodermal Responses: What Happens in the Brain&quot;,&quot;type&quot;:&quot;article-journal&quot;,&quot;volume&quot;:&quot;8&quot;,&quot;container-title-short&quot;:&quot;&quot;},&quot;uris&quot;:[&quot;http://www.mendeley.com/documents/?uuid=7c71ed79-0089-4339-a84b-a72395bf9ea0&quot;],&quot;isTemporary&quot;:false,&quot;legacyDesktopId&quot;:&quot;7c71ed79-0089-4339-a84b-a72395bf9ea0&quot;}]},{&quot;citationID&quot;:&quot;MENDELEY_CITATION_56bec8cc-485d-4615-bbb4-f6ff8da2c128&quot;,&quot;properties&quot;:{&quot;noteIndex&quot;:0},&quot;isEdited&quot;:false,&quot;manualOverride&quot;:{&quot;citeprocText&quot;:&quot;[4,99,186]&quot;,&quot;isManuallyOverridden&quot;:false,&quot;manualOverrideText&quot;:&quot;&quot;},&quot;citationTag&quot;:&quot;MENDELEY_CITATION_v3_eyJjaXRhdGlvbklEIjoiTUVOREVMRVlfQ0lUQVRJT05fNTZiZWM4Y2MtNDg1ZC00NjE1LWJiYjQtZjZmZjhkYTJjMTI4IiwicHJvcGVydGllcyI6eyJub3RlSW5kZXgiOjB9LCJpc0VkaXRlZCI6ZmFsc2UsIm1hbnVhbE92ZXJyaWRlIjp7ImNpdGVwcm9jVGV4dCI6Ils0LDk5LDE4Nl0iLCJpc01hbnVhbGx5T3ZlcnJpZGRlbiI6ZmFsc2UsIm1hbnVhbE92ZXJyaWRlVGV4dCI6IiJ9LCJjaXRhdGlvbkl0ZW1zIjpb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&quot;,&quot;citationItems&quot;:[{&quot;id&quot;:&quot;615db002-d800-58e2-8c38-7f41e42fae3c&quot;,&quot;itemData&quot;:{&quot;DOI&quot;:&quot;10.1007/BF00592198&quot;,&quot;ISSN&quot;:&quot;14322013&quot;,&quot;PMID&quot;:&quot;4735965&quot;,&quot;abstract&quot;:&quot;Thermal irradiation was applied to selected skin areas to determine whether particular areas demonstrate a greater thermal sensitivity than others in determination of a physiological thermoregulatory response. Modifications in thigh sweating rate were related to the change in temperature of the irradiated skin and the area of skin irradiated by computing a sensitivity coefficient for each skin area. Thermal sensitivity of the face, as measured by its effect on sweating rate change from the thigh, was found to be approximately three times that of the chest, abdomen men and thigh. Lower legs were found to have about one-half the thermal sensitivity of the thigh. A table of weighting factors for calculation of physiological mean skin temperature, based upon thermal sensitivity and area, is presented. © 1973, Springer-Verlag. All rights reserved.&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tolwijk&quot;,&quot;given&quot;:&quot;J. A.J.&quot;,&quot;non-dropping-particle&quot;:&quot;&quot;,&quot;parse-names&quot;:false,&quot;suffix&quot;:&quot;&quot;}],&quot;container-title&quot;:&quot;Pflügers Archiv: European Journal of Physiology&quot;,&quot;id&quot;:&quot;615db002-d800-58e2-8c38-7f41e42fae3c&quot;,&quot;issue&quot;:&quot;1&quot;,&quot;issued&quot;:{&quot;date-parts&quot;:[[&quot;1973&quot;]]},&quot;page&quot;:&quot;71-76&quot;,&quot;title&quot;:&quot;Differential thermal sensitivity in the human skin&quot;,&quot;type&quot;:&quot;article-journal&quot;,&quot;volume&quot;:&quot;340&quot;,&quot;container-title-short&quot;:&quot;Pflugers Arch.&quot;},&quot;uris&quot;:[&quot;http://www.mendeley.com/documents/?uuid=03bae1c7-ae8a-46a8-a13e-fe87323367bf&quot;],&quot;isTemporary&quot;:false,&quot;legacyDesktopId&quot;:&quot;03bae1c7-ae8a-46a8-a13e-fe87323367bf&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013d4eb0-3408-5794-a2b5-d67f8a8457c2&quot;,&quot;itemData&quot;:{&quot;DOI&quot;:&quot;10.1007/BF00584500&quot;,&quot;ISSN&quot;:&quot;00316768&quot;,&quot;PMID&quot;:&quot;1169755&quot;,&quot;abstract&quot;:&quot;Subjects resting in a 39°C environment were stimulated in different skin regions with a water cooled thermode. This local cooling produced decreases in sweating rate measured at the thigh and increases in magnitude estimates of the cold sensation. The area of cold stimulation varied from 122 cm2 to 384 cm2. Sensitivity coefficients of the changes in sweating rate and magnitude estimate were corrected for differences in size of the area of stimulation and change in skin temperature and were normalized to the responses of the chest. The normalized coefficients showed the following relative sensitivities for changes in sweat rate and magnitude estimate respectively: forehead 3.3, 2.2; bach 1.2, 1.4; lower leg 1.1, 0.9; chest 1.0, 1.0; thigh 0.9, 1.0; abdomen 0.8, 0.8. Varying the area stimulated from 122 cm2 to 384 cm2 produced greater changes in the sweating response than in the magnitude estimate. Rate of skin cooling during the period of stimulation had more effect on the sweating response than on the magnitude estimate. We conclude that cooling different body regions produces generally equivalent changes in the sweat rate and sensation, with the forehead showing a much greater sensitivity per unit area and temperature decrease than other areas. © 1975 Springer-Verlag.&quot;,&quot;author&quot;:[{&quot;dropping-particle&quot;:&quot;&quot;,&quot;family&quot;:&quot;Crawshaw&quot;,&quot;given&quot;:&quot;L. I.&quot;,&quot;non-dropping-particle&quot;:&quot;&quot;,&quot;parse-names&quot;:false,&quot;suffix&quot;:&quot;&quot;},{&quot;dropping-particle&quot;:&quot;&quot;,&quot;family&quot;:&quot;Nadel&quot;,&quot;given&quot;:&quot;E. R.&quot;,&quot;non-dropping-particle&quot;:&quot;&quot;,&quot;parse-names&quot;:false,&quot;suffix&quot;:&quot;&quot;},{&quot;dropping-particle&quot;:&quot;&quot;,&quot;family&quot;:&quot;Stolwijk&quot;,&quot;given&quot;:&quot;J. A.J.&quot;,&quot;non-dropping-particle&quot;:&quot;&quot;,&quot;parse-names&quot;:false,&quot;suffix&quot;:&quot;&quot;},{&quot;dropping-particle&quot;:&quot;&quot;,&quot;family&quot;:&quot;Stamford&quot;,&quot;given&quot;:&quot;B. A.&quot;,&quot;non-dropping-particle&quot;:&quot;&quot;,&quot;parse-names&quot;:false,&quot;suffix&quot;:&quot;&quot;}],&quot;container-title&quot;:&quot;Pflügers Archiv European Journal of Physiology&quot;,&quot;id&quot;:&quot;013d4eb0-3408-5794-a2b5-d67f8a8457c2&quot;,&quot;issue&quot;:&quot;1&quot;,&quot;issued&quot;:{&quot;date-parts&quot;:[[&quot;1975&quot;]]},&quot;page&quot;:&quot;19-27&quot;,&quot;title&quot;:&quot;Effect of local cooling on sweating rate and cold sensation&quot;,&quot;type&quot;:&quot;article-journal&quot;,&quot;volume&quot;:&quot;354&quot;,&quot;container-title-short&quot;:&quot;Pflugers Arch.&quot;},&quot;uris&quot;:[&quot;http://www.mendeley.com/documents/?uuid=ef71e4b6-99b0-41b3-8d36-d37a8c53009d&quot;],&quot;isTemporary&quot;:false,&quot;legacyDesktopId&quot;:&quot;ef71e4b6-99b0-41b3-8d36-d37a8c53009d&quot;}]},{&quot;citationID&quot;:&quot;MENDELEY_CITATION_78197370-983f-4635-a43d-dc27df0ae657&quot;,&quot;properties&quot;:{&quot;noteIndex&quot;:0},&quot;isEdited&quot;:false,&quot;manualOverride&quot;:{&quot;citeprocText&quot;:&quot;[3]&quot;,&quot;isManuallyOverridden&quot;:false,&quot;manualOverrideText&quot;:&quot;&quot;},&quot;citationTag&quot;:&quot;MENDELEY_CITATION_v3_eyJjaXRhdGlvbklEIjoiTUVOREVMRVlfQ0lUQVRJT05fNzgxOTczNzAtOTgzZi00NjM1LWE0M2QtZGMyN2RmMGFlNjU3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ec898948-5f61-49a8-9509-4df1fc648b40&quot;,&quot;properties&quot;:{&quot;noteIndex&quot;:0},&quot;isEdited&quot;:false,&quot;manualOverride&quot;:{&quot;citeprocText&quot;:&quot;[187,188]&quot;,&quot;isManuallyOverridden&quot;:false,&quot;manualOverrideText&quot;:&quot;&quot;},&quot;citationTag&quot;:&quot;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&quot;,&quot;citationItems&quot;:[{&quot;id&quot;:&quot;8d590402-5cd0-5f1d-b9c2-1bd8234da48c&quot;,&quot;itemData&quot;:{&quot;DOI&quot;:&quot;10.14814/phy2.12007&quot;,&quot;ISSN&quot;:&quot;2051817X&quot;,&quot;abstract&quot;:&quot;This study compared a field versus reference laboratory technique for extracting (syringe vs. centrifuge) and analyzing sweat [Na+] and [K+] (compact Horiba B-722 and B-731, HORIBA vs. ion chromatography, HPLC) collected with regional absorbent patches during exercise in a hot-humid environment. Sweat samples were collected from seven anatomical sites on 30 athletes during 1-h cycling in a heat chamber (33°C, 67% rh). Ten minutes into exercise, skin was cleaned/dried and two sweat patches were applied per anatomical site. After removal, one patch per site was centrifuged and sweat was analyzed with HORIBA in the heat chamber (CENTRIFUGE HORIBA) versus HPLC (CENTRIFUGE HPLC). Sweat from the second patch per site was extracted using a 5-mL syringe and analyzed with HORIBA in the heat chamber (SYRINGE HORIBA) versus HPLC (SYRINGE HPLC). CENTRIFUGE HORIBA, SYRINGE HPLC, and SYRINGE HORIBA were highly related to CENTRIFUGE HPLC ([Na+]: ICC = 0.96, 0.94, and 0.93, respectively; [K+]: ICC = 0.87, 0.92, and 0.84, respectively), while mean differences from CENTRIFUGE HPLC were small but usually significant ([Na+]: 4.7 ± 7.9 mEql/L, -2.5 ± 9.3 mEq/L, 4.0 ± 10.9 mEq/L (all P &lt; 0.001), respectively; [K+]: 0.44 ± 0.52 mEq/L (P &lt; 0.001), 0.01 ± 0.49 mEq/L (P = 0.77), 0.50 ± 0.48 mEq/L (P &lt; 0.001), respectively). On the basis of typical error of the measurement results, sweat [Na+] and [K+] obtained with SYRINGE HORIBA falls within ± 15.4 mEq/L and ± 0.68 mEq/L, respectively, of CENTRIFUGE HPLC 95% of the time. The field (SYRINGE HORIBA) method of extracting and analyzing sweat from regional absorbent patches may be useful in obtaining sweat [Na+] when rapid estimates in a hot-humid field setting are needed.&quot;,&quot;author&quot;:[{&quot;dropping-particle&quot;:&quot;&quot;,&quot;family&quot;:&quot;Baker&quot;,&quot;given&quot;:&quot;Lindsay B.&quot;,&quot;non-dropping-particle&quot;:&quot;&quot;,&quot;parse-names&quot;:false,&quot;suffix&quot;:&quot;&quot;},{&quot;dropping-particle&quot;:&quot;&quot;,&quot;family&quot;:&quot;Ungaro&quot;,&quot;given&quot;:&quot;Corey T.&quot;,&quot;non-dropping-particle&quot;:&quot;&quot;,&quot;parse-names&quot;:false,&quot;suffix&quot;:&quot;&quot;},{&quot;dropping-particle&quot;:&quot;&quot;,&quot;family&quot;:&quot;Barnes&quot;,&quot;given&quot;:&quot;Kelly A.&quot;,&quot;non-dropping-particle&quot;:&quot;&quot;,&quot;parse-names&quot;:false,&quot;suffix&quot;:&quot;&quot;},{&quot;dropping-particle&quot;:&quot;&quot;,&quot;family&quot;:&quot;Nuccio&quot;,&quot;given&quot;:&quot;Ryan P.&quot;,&quot;non-dropping-particle&quot;:&quot;&quot;,&quot;parse-names&quot;:false,&quot;suffix&quot;:&quot;&quot;},{&quot;dropping-particle&quot;:&quot;&quot;,&quot;family&quot;:&quot;Reimel&quot;,&quot;given&quot;:&quot;Adam J.&quot;,&quot;non-dropping-particle&quot;:&quot;&quot;,&quot;parse-names&quot;:false,&quot;suffix&quot;:&quot;&quot;},{&quot;dropping-particle&quot;:&quot;&quot;,&quot;family&quot;:&quot;Stofan&quot;,&quot;given&quot;:&quot;John R.&quot;,&quot;non-dropping-particle&quot;:&quot;&quot;,&quot;parse-names&quot;:false,&quot;suffix&quot;:&quot;&quot;}],&quot;container-title&quot;:&quot;Physiological Reports&quot;,&quot;id&quot;:&quot;8d590402-5cd0-5f1d-b9c2-1bd8234da48c&quot;,&quot;issue&quot;:&quot;5&quot;,&quot;issued&quot;:{&quot;date-parts&quot;:[[&quot;2014&quot;]]},&quot;title&quot;:&quot;Validity and reliability of a field technique for sweat Na+ and K+ analysis during exercise in a hot-humid environment&quot;,&quot;type&quot;:&quot;article-journal&quot;,&quot;volume&quot;:&quot;2&quot;,&quot;container-title-short&quot;:&quot;Physiol. Rep.&quot;},&quot;uris&quot;:[&quot;http://www.mendeley.com/documents/?uuid=8b6809dc-b558-4b93-a6cd-b75ddcda99bd&quot;],&quot;isTemporary&quot;:false,&quot;legacyDesktopId&quot;:&quot;8b6809dc-b558-4b93-a6cd-b75ddcda99bd&quot;},{&quot;id&quot;:&quot;b09f0ebf-35e6-5d00-85a7-6dc580c71c9c&quot;,&quot;itemData&quot;:{&quot;DOI&quot;:&quot;10.1152/japplphysiol.00197.2009&quot;,&quot;ISSN&quot;:&quot;87507587&quot;,&quot;PMID&quot;:&quot;19541738&quot;,&quot;abstract&quot;:&quot;This study compared simultaneous whole body washdown (WBW) and regional skin surface (REG) sweat collections to generate regression equations to predict WBW sweat Na+ concentration ([Na+]) and K+ concentration ([K+]) from single- and five-site REG sweat patch collections. Athletes (10 men, 10 women) cycled in a plastic chamber for 90 min in the heat. Before exercise, the subject and bike were washed with deionized water. After the onset of sweating, sterile patches were attached to the forearm, back, chest, forehead, and thigh and removed on saturation. After exercise, the subject and bike were washed with ammonium sulfate solution to collect all sweat electrolyte loss and determine the volume of unevaporated sweat. All individual patch sites and five-site REG (weighted for local sweat rate and body surface area) were significantly (P = 0.000) correlated with WBW sweat [Na+]. The equation for predicting WBW sweat [Na+] from five-site REG was y = 0.68x + 0.44 [r = 0.97, intraclass correlation coefficient (ICC) = 0.70] and did not differ between sexes. There were sex differences in the regression results between five-site REG and WBW sweat [K+] (men: y = 0.74x + 0.30, r = 0.89, ICC = 0.73; women: y = 0.04x + 3.18, r = 0.03, ICC = 0.00). Five-site REG sweat [Na+] and [K +] significantly overestimated that of WBW sweat (59 ± 27 vs. 41 ± 19 meq/l, P = 0.000 and 4.4 ± 0.7 vs. 3.6 ± 0.7 meq/l, P = 0.000, respectively). For both sexes, the best sites for predicting WBW sweat [Na+] and [K+] were the thigh (1 ± 8 meq/l &lt; WBW, P = 1.000, y = 0.75x + 11.37, r = 0.96, ICC = 0.93) and chest (0.2 + 0.3 meq/l &gt; WBW, P = 1.000, y = 0.76x + 0.55, r = 0.89, ICC = 0.87), respectively. In conclusion, regression equations can be used to accurately and reliably predict WBW sweat [Na+] and [K+] from REG sweat collections when study conditions and techniques are similar to that of the present protocol. Copyright © 2009 the American Physiological Society.&quot;,&quot;author&quot;:[{&quot;dropping-particle&quot;:&quot;&quot;,&quot;family&quot;:&quot;Baker&quot;,&quot;given&quot;:&quot;Lindsay B.&quot;,&quot;non-dropping-particle&quot;:&quot;&quot;,&quot;parse-names&quot;:false,&quot;suffix&quot;:&quot;&quot;},{&quot;dropping-particle&quot;:&quot;&quot;,&quot;family&quot;:&quot;Stofan&quot;,&quot;given&quot;:&quot;John R.&quot;,&quot;non-dropping-particle&quot;:&quot;&quot;,&quot;parse-names&quot;:false,&quot;suffix&quot;:&quot;&quot;},{&quot;dropping-particle&quot;:&quot;&quot;,&quot;family&quot;:&quot;Hamilton&quot;,&quot;given&quot;:&quot;Adam A.&quot;,&quot;non-dropping-particle&quot;:&quot;&quot;,&quot;parse-names&quot;:false,&quot;suffix&quot;:&quot;&quot;},{&quot;dropping-particle&quot;:&quot;&quot;,&quot;family&quot;:&quot;Horswill&quot;,&quot;given&quot;:&quot;Craig A.&quot;,&quot;non-dropping-particle&quot;:&quot;&quot;,&quot;parse-names&quot;:false,&quot;suffix&quot;:&quot;&quot;}],&quot;container-title&quot;:&quot;Journal of Applied Physiology&quot;,&quot;id&quot;:&quot;b09f0ebf-35e6-5d00-85a7-6dc580c71c9c&quot;,&quot;issue&quot;:&quot;3&quot;,&quot;issued&quot;:{&quot;date-parts&quot;:[[&quot;2009&quot;]]},&quot;page&quot;:&quot;887-895&quot;,&quot;title&quot;:&quot;Comparison of regional patch collection vs. whole body washdown for measuring sweat sodium and potassium loss during exercise&quot;,&quot;type&quot;:&quot;article-journal&quot;,&quot;volume&quot;:&quot;107&quot;,&quot;container-title-short&quot;:&quot;J. Appl. Physiol.&quot;},&quot;uris&quot;:[&quot;http://www.mendeley.com/documents/?uuid=f43fb4bf-87df-4b47-9b6d-3dd792a9db34&quot;],&quot;isTemporary&quot;:false,&quot;legacyDesktopId&quot;:&quot;f43fb4bf-87df-4b47-9b6d-3dd792a9db34&quot;}]},{&quot;citationID&quot;:&quot;MENDELEY_CITATION_026b797b-3e3c-4b91-9641-b2df6cf4aa52&quot;,&quot;properties&quot;:{&quot;noteIndex&quot;:0},&quot;isEdited&quot;:false,&quot;manualOverride&quot;:{&quot;citeprocText&quot;:&quot;[189–192]&quot;,&quot;isManuallyOverridden&quot;:false,&quot;manualOverrideText&quot;:&quot;&quot;},&quot;citationTag&quot;:&quot;MENDELEY_CITATION_v3_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&quot;,&quot;citationItems&quot;:[{&quot;id&quot;:&quot;406d9ea8-9f7a-55c3-90bf-160cac12383c&quot;,&quot;itemData&quot;:{&quot;DOI&quot;:&quot;10.1016/j.npe.2020.08.003&quot;,&quot;ISSN&quot;:&quot;25895540&quot;,&quot;abstract&quot;:&quot;In recent years, analyses of sweat have become more popular since it doesn't require invasive sampling procedures. Although blood still remains the golden standards in clinical, analyses of other common body fluids, such as sweat, have become increasingly important. Because the compositions of sweat and blood are osmotically related, the content of certainmetabolites in sweat can directly reflect the disease. Sweat detection can be used as an alternative to blood detection and allows continuous monitoring. Increased development of wearable sensors makes it possible for continuous sweat detection. Here, this paper gave a review about the sweat detection methods, such as fluorescence sensing, electrochemical sensing and colorimetric sensing. The advantages and disadvantages of each method and their developing trend in sweat detection were summarized. Then, for the problem of continuous sweat sampling, three methods (capillary force, hydrogel osmotic pump, evaporationdriven micropump) were introduced through different structures of microfluidic chip, and the level of sweat collection and transport achieved by related research was demonstrated. This review aims to provide guidance for future research in sweat detection and stimulate further interest in continuous monitoring of sweat using microfluidic chip.&quot;,&quot;author&quot;:[{&quot;dropping-particle&quot;:&quot;&quot;,&quot;family&quot;:&quot;Yu&quot;,&quot;given&quot;:&quot;Haixia&quot;,&quot;non-dropping-particle&quot;:&quot;&quot;,&quot;parse-names&quot;:false,&quot;suffix&quot;:&quot;&quot;},{&quot;dropping-particle&quot;:&quot;&quot;,&quot;family&quot;:&quot;Sun&quot;,&quot;given&quot;:&quot;Jintao&quot;,&quot;non-dropping-particle&quot;:&quot;&quot;,&quot;parse-names&quot;:false,&quot;suffix&quot;:&quot;&quot;}],&quot;container-title&quot;:&quot;Nanotechnology and Precision Engineering&quot;,&quot;id&quot;:&quot;406d9ea8-9f7a-55c3-90bf-160cac12383c&quot;,&quot;issue&quot;:&quot;3&quot;,&quot;issued&quot;:{&quot;date-parts&quot;:[[&quot;2020&quot;]]},&quot;page&quot;:&quot;126-140&quot;,&quot;publisher&quot;:&quot;Elsevier B.V.&quot;,&quot;title&quot;:&quot;Sweat detection theory and fluid driven methods: A review&quot;,&quot;type&quot;:&quot;article-journal&quot;,&quot;volume&quot;:&quot;3&quot;,&quot;container-title-short&quot;:&quot;&quot;},&quot;uris&quot;:[&quot;http://www.mendeley.com/documents/?uuid=6681caa7-c579-43a4-9a60-216dad08a9fd&quot;],&quot;isTemporary&quot;:false,&quot;legacyDesktopId&quot;:&quot;6681caa7-c579-43a4-9a60-216dad08a9fd&quot;},{&quot;id&quot;:&quot;31463796-138b-5472-8dc2-a9736cca397e&quot;,&quot;itemData&quot;:{&quot;DOI&quot;:&quot;10.1016/j.cej.2024.158979&quot;,&quot;ISSN&quot;:&quot;13858947&quot;,&quot;abstract&quot;:&quot;Wearable sweat sensors enable continuous, real-time, non-invasive detection of sweat analytes, providing valuable insights for personalized health monitoring. Despite recent advances, non-invasive sweat monitoring has yet to reach its full analytical potential. The amalgamation of electrochemical and colorimetric sensors with microfluidics has emerged as a promising approach for detecting various sweat analytes. This report demonstrates a fabric-based, skin-mounted microfluidic wearable device for continuous, real-time electrochemical pH monitoring and colorimetric chloride estimation in sweat. The pH sensor integrated into the microfluidics, utilizing electrodeposited polyaniline (PANI) on carbon cloth (CC), exhibits a significant sensitivity of 75.15 mV/pH, within a pH range of 2–9, closely matching Nernstian behavior. The sensor exhibited excellent repeatability, selectivity for target ions, and stretchability, with accuracy confirmed through a commercial pH meter. Additionally, the colorimetric sweat chloride concentration was estimated using image processing, covering a wide linear range of 10–125 mM with a detection limit of 8.3 mM in real-time. An array of skin-mounted microfluidic devices integrated with a miniaturized circuit module for smartphone readout successfully monitored sweat pH, chloride levels, and local sweat loss/rate in volunteers during their physical activity. This sustainable and non-invasive sensor demonstrates reliability and unveils promising applications in real-time human health monitoring systems.&quot;,&quot;author&quot;:[{&quot;dropping-particle&quot;:&quot;&quot;,&quot;family&quot;:&quot;Madhu&quot;,&quot;given&quot;:&quot;Sekar&quot;,&quot;non-dropping-particle&quot;:&quot;&quot;,&quot;parse-names&quot;:false,&quot;suffix&quot;:&quot;&quot;},{&quot;dropping-particle&quot;:&quot;&quot;,&quot;family&quot;:&quot;Alam&quot;,&quot;given&quot;:&quot;Md Sajjad&quot;,&quot;non-dropping-particle&quot;:&quot;&quot;,&quot;parse-names&quot;:false,&quot;suffix&quot;:&quot;&quot;},{&quot;dropping-particle&quot;:&quot;&quot;,&quot;family&quot;:&quot;Ramasamy&quot;,&quot;given&quot;:&quot;Sriramprabha&quot;,&quot;non-dropping-particle&quot;:&quot;&quot;,&quot;parse-names&quot;:false,&quot;suffix&quot;:&quot;&quot;},{&quot;dropping-particle&quot;:&quot;&quot;,&quot;family&quot;:&quot;Choi&quot;,&quot;given&quot;:&quot;Jungil&quot;,&quot;non-dropping-particle&quot;:&quot;&quot;,&quot;parse-names&quot;:false,&quot;suffix&quot;:&quot;&quot;}],&quot;container-title&quot;:&quot;Chemical Engineering Journal&quot;,&quot;id&quot;:&quot;31463796-138b-5472-8dc2-a9736cca397e&quot;,&quot;issue&quot;:&quot;November 2024&quot;,&quot;issued&quot;:{&quot;date-parts&quot;:[[&quot;2025&quot;]]},&quot;page&quot;:&quot;158979&quot;,&quot;publisher&quot;:&quot;Elsevier B.V.&quot;,&quot;title&quot;:&quot;Wearable, fabric-based microfluidic systems with integrated electrochemical and colorimetric sensing array for multiplex sweat analysis&quot;,&quot;type&quot;:&quot;article-journal&quot;,&quot;volume&quot;:&quot;504&quot;,&quot;container-title-short&quot;:&quot;&quot;},&quot;uris&quot;:[&quot;http://www.mendeley.com/documents/?uuid=e97f798d-2aab-48a7-9c5c-9960f46262bc&quot;],&quot;isTemporary&quot;:false,&quot;legacyDesktopId&quot;:&quot;e97f798d-2aab-48a7-9c5c-9960f46262bc&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id&quot;:&quot;505ac833-8de1-566c-b8c7-1b78a3bef9ca&quot;,&quot;itemData&quot;:{&quot;DOI&quot;:&quot;10.1126/sciadv.aau6356&quot;,&quot;ISSN&quot;:&quot;2375-2548&quot;,&quot;abstract&quot;:&quot;Waterproof epidermal microfluidics enable collection and analysis of sweat during aquatic exercise.&quot;,&quot;author&quot;:[{&quot;dropping-particle&quot;:&quot;&quot;,&quot;family&quot;:&quot;Reeder&quot;,&quot;given&quot;:&quot;Jonathan T&quot;,&quot;non-dropping-particle&quot;:&quot;&quot;,&quot;parse-names&quot;:false,&quot;suffix&quot;:&quot;&quot;},{&quot;dropping-particle&quot;:&quot;&quot;,&quot;family&quot;:&quot;Choi&quot;,&quot;given&quot;:&quot;Jungil&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Gutruf&quot;,&quot;given&quot;:&quot;Philipp&quot;,&quot;non-dropping-particle&quot;:&quot;&quot;,&quot;parse-names&quot;:false,&quot;suffix&quot;:&quot;&quot;},{&quot;dropping-particle&quot;:&quot;&quot;,&quot;family&quot;:&quot;Hanson&quot;,&quot;given&quot;:&quot;Justin&quot;,&quot;non-dropping-particle&quot;:&quot;&quot;,&quot;parse-names&quot;:false,&quot;suffix&quot;:&quot;&quot;},{&quot;dropping-particle&quot;:&quot;&quot;,&quot;family&quot;:&quot;Liu&quot;,&quot;given&quot;:&quot;Mark&quot;,&quot;non-dropping-particle&quot;:&quot;&quot;,&quot;parse-names&quot;:false,&quot;suffix&quot;:&quot;&quot;},{&quot;dropping-particle&quot;:&quot;&quot;,&quot;family&quot;:&quot;Ray&quot;,&quot;given&quot;:&quot;Tyler&quot;,&quot;non-dropping-particle&quot;:&quot;&quot;,&quot;parse-names&quot;:false,&quot;suffix&quot;:&quot;&quot;},{&quot;dropping-particle&quot;:&quot;&quot;,&quot;family&quot;:&quot;Bandodkar&quot;,&quot;given&quot;:&quot;Amay J&quot;,&quot;non-dropping-particle&quot;:&quot;&quot;,&quot;parse-names&quot;:false,&quot;suffix&quot;:&quot;&quot;},{&quot;dropping-particle&quot;:&quot;&quot;,&quot;family&quot;:&quot;Avila&quot;,&quot;given&quot;:&quot;Raudel&quot;,&quot;non-dropping-particle&quot;:&quot;&quot;,&quot;parse-names&quot;:false,&quot;suffix&quot;:&quot;&quot;},{&quot;dropping-particle&quot;:&quot;&quot;,&quot;family&quot;:&quot;Xia&quot;,&quot;given&quot;:&quot;Wei&quot;,&quot;non-dropping-particle&quot;:&quot;&quot;,&quot;parse-names&quot;:false,&quot;suffix&quot;:&quot;&quot;},{&quot;dropping-particle&quot;:&quot;&quot;,&quot;family&quot;:&quot;Krishnan&quot;,&quot;given&quot;:&quot;Siddharth&quot;,&quot;non-dropping-particle&quot;:&quot;&quot;,&quot;parse-names&quot;:false,&quot;suffix&quot;:&quot;&quot;},{&quot;dropping-particle&quot;:&quot;&quot;,&quot;family&quot;:&quot;Xu&quot;,&quot;given&quot;:&quot;Shuai&quot;,&quot;non-dropping-particle&quot;:&quot;&quot;,&quot;parse-names&quot;:false,&quot;suffix&quot;:&quot;&quot;},{&quot;dropping-particle&quot;:&quot;&quot;,&quot;family&quot;:&quot;Barnes&quot;,&quot;given&quot;:&quot;Kelly&quot;,&quot;non-dropping-particle&quot;:&quot;&quot;,&quot;parse-names&quot;:false,&quot;suffix&quot;:&quot;&quot;},{&quot;dropping-particle&quot;:&quot;&quot;,&quot;family&quot;:&quot;Pahnke&quot;,&quot;given&quot;:&quot;Matthew&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505ac833-8de1-566c-b8c7-1b78a3bef9ca&quot;,&quot;issue&quot;:&quot;1&quot;,&quot;issued&quot;:{&quot;date-parts&quot;:[[&quot;2019&quot;,&quot;1&quot;,&quot;4&quot;]]},&quot;title&quot;:&quot;Waterproof, electronics-enabled, epidermal microfluidic devices for sweat collection, biomarker analysis, and thermography in aquatic settings&quot;,&quot;type&quot;:&quot;article-journal&quot;,&quot;volume&quot;:&quot;5&quot;,&quot;container-title-short&quot;:&quot;Sci. Adv.&quot;},&quot;uris&quot;:[&quot;http://www.mendeley.com/documents/?uuid=34fecc02-f62d-43d7-a4a2-948758cc98a7&quot;],&quot;isTemporary&quot;:false,&quot;legacyDesktopId&quot;:&quot;34fecc02-f62d-43d7-a4a2-948758cc98a7&quot;}]},{&quot;citationID&quot;:&quot;MENDELEY_CITATION_e4401532-64a8-41d7-8b44-90cf1fc75f8a&quot;,&quot;properties&quot;:{&quot;noteIndex&quot;:0},&quot;isEdited&quot;:false,&quot;manualOverride&quot;:{&quot;citeprocText&quot;:&quot;[159]&quot;,&quot;isManuallyOverridden&quot;:false,&quot;manualOverrideText&quot;:&quot;&quot;},&quot;citationTag&quot;:&quot;MENDELEY_CITATION_v3_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&quot;,&quot;citationItems&quot;:[{&quot;id&quot;:&quot;4a4ae027-2373-537f-865c-8ae59fc51641&quot;,&quot;itemData&quot;:{&quot;DOI&quot;:&quot;10.1002/j.2040-4603.2014.tb00543.x&quot;,&quot;ISSN&quot;:&quot;2040-4603&quot;,&quot;abstract&quot;:&quot; This article provides a comprehensive review of dehydration assessment and presents a unique evaluation of the dehydration and performance literature. The importance of osmolality and volume are emphasized when discussing the physiology, assessment, and performance effects of dehydration. The underappreciated physiologic distinction between a loss of hypo‐osmotic body water (intracellular dehydration) and an iso‐osmotic loss of body water (extracellular dehydration) is presented and argued as the single most essential aspect of dehydration assessment. The importance of diagnostic and biological variation analyses to dehydration assessment methods is reviewed and their use in gauging the true potential of any dehydration assessment method highlighted. The necessity for establishing proper baselines is discussed, as is the magnitude of dehydration required to elicit reliable and detectable osmotic or volume‐mediated compensatory physiologic responses. The discussion of physiologic responses further helps inform and explain our analysis of the literature suggesting a ≥2% dehydration threshold for impaired endurance exercise performance mediated by volume loss. In contrast, no clear threshold or plausible mechanism(s) support the marginal, but potentially important, impairment in strength, and power observed with dehydration. Similarly, the potential for dehydration to impair cognition appears small and related primarily to distraction or discomfort. The impact of dehydration on any particular sport skill or task is therefore likely dependent upon the makeup of the task itself (e.g., endurance, strength, cognitive, and motor skill). © 2014 American Physiological Society. Compr Physiol 4:257‐285, 2014. &quot;,&quot;author&quot;:[{&quot;dropping-particle&quot;:&quot;&quot;,&quot;family&quot;:&quot;Cheuvront&quot;,&quot;given&quot;:&quot;Samuel N.&quot;,&quot;non-dropping-particle&quot;:&quot;&quot;,&quot;parse-names&quot;:false,&quot;suffix&quot;:&quot;&quot;},{&quot;dropping-particle&quot;:&quot;&quot;,&quot;family&quot;:&quot;Kenefick&quot;,&quot;given&quot;:&quot;Robert W.&quot;,&quot;non-dropping-particle&quot;:&quot;&quot;,&quot;parse-names&quot;:false,&quot;suffix&quot;:&quot;&quot;}],&quot;container-title&quot;:&quot;Comprehensive Physiology&quot;,&quot;id&quot;:&quot;4a4ae027-2373-537f-865c-8ae59fc51641&quot;,&quot;issue&quot;:&quot;1&quot;,&quot;issued&quot;:{&quot;date-parts&quot;:[[&quot;2014&quot;]]},&quot;page&quot;:&quot;257-285&quot;,&quot;title&quot;:&quot;Dehydration: Physiology, Assessment, and Performance Effects&quot;,&quot;type&quot;:&quot;article-journal&quot;,&quot;volume&quot;:&quot;4&quot;,&quot;container-title-short&quot;:&quot;Compr. Physiol.&quot;},&quot;uris&quot;:[&quot;http://www.mendeley.com/documents/?uuid=8071c4f4-4361-4dec-93fe-a6c62e87889f&quot;],&quot;isTemporary&quot;:false,&quot;legacyDesktopId&quot;:&quot;8071c4f4-4361-4dec-93fe-a6c62e87889f&quot;}]},{&quot;citationID&quot;:&quot;MENDELEY_CITATION_a96e7d3d-76c4-4147-b9c4-4ceea6dd7c31&quot;,&quot;properties&quot;:{&quot;noteIndex&quot;:0},&quot;isEdited&quot;:false,&quot;manualOverride&quot;:{&quot;citeprocText&quot;:&quot;[11,183,185]&quot;,&quot;isManuallyOverridden&quot;:false,&quot;manualOverrideText&quot;:&quot;&quot;},&quot;citationTag&quot;:&quot;MENDELEY_CITATION_v3_eyJjaXRhdGlvbklEIjoiTUVOREVMRVlfQ0lUQVRJT05fYTk2ZTdkM2QtNzZjNC00MTQ3LWI5YzQtNGNlZWE2ZGQ3YzMxIiwicHJvcGVydGllcyI6eyJub3RlSW5kZXgiOjB9LCJpc0VkaXRlZCI6ZmFsc2UsIm1hbnVhbE92ZXJyaWRlIjp7ImNpdGVwcm9jVGV4dCI6IlsxMSwxODMsMTg1X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&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id&quot;:&quot;059ac35c-5432-5ba5-90fe-15f6aad7742e&quot;,&quot;itemData&quot;:{&quot;DOI&quot;:&quot;10.1177/107385840200800209&quot;,&quot;ISSN&quot;:&quot;1073-8584&quot;,&quot;PMID&quot;:&quot;11954558&quot;,&quot;abstract&quot;:&quot;Electrodermal activity (EDA) is now the preferred term for changes in electrical conductance of the skin, including phasic changes that have been referred to as galvanic skin responses (GSR), that result from sympathetic neuronal activity. EDA is a sensitive psychophysiological index of changes in autonomic sympathetic arousal that are integrated with emotional and cognitive states. Until recently there was little direct knowledge of brain mechanisms governing generation and control of EDA in humans. However, studies of patients with discrete brain lesions and, more recently, functional imaging techniques have clarified the contribution of brain regions implicated in emotion, attention, and cognition to peripheral EDA responses. Moreover, such studies enable an understanding of mechanisms by which states of bodily arousal, indexed by EDA, influence cognition and bias motivational behavior.&quot;,&quot;author&quot;:[{&quot;dropping-particle&quot;:&quot;&quot;,&quot;family&quot;:&quot;Critchley&quot;,&quot;given&quot;:&quot;Hugo D.&quot;,&quot;non-dropping-particle&quot;:&quot;&quot;,&quot;parse-names&quot;:false,&quot;suffix&quot;:&quot;&quot;}],&quot;container-title&quot;:&quot;The Neuroscientist&quot;,&quot;id&quot;:&quot;059ac35c-5432-5ba5-90fe-15f6aad7742e&quot;,&quot;issue&quot;:&quot;2&quot;,&quot;issued&quot;:{&quot;date-parts&quot;:[[&quot;2002&quot;,&quot;4&quot;,&quot;1&quot;]]},&quot;page&quot;:&quot;132-142&quot;,&quot;title&quot;:&quot;Review: Electrodermal Responses: What Happens in the Brain&quot;,&quot;type&quot;:&quot;article-journal&quot;,&quot;volume&quot;:&quot;8&quot;,&quot;container-title-short&quot;:&quot;&quot;},&quot;uris&quot;:[&quot;http://www.mendeley.com/documents/?uuid=7c71ed79-0089-4339-a84b-a72395bf9ea0&quot;],&quot;isTemporary&quot;:false,&quot;legacyDesktopId&quot;:&quot;7c71ed79-0089-4339-a84b-a72395bf9ea0&quot;}]},{&quot;citationID&quot;:&quot;MENDELEY_CITATION_649f9d5a-bf97-409e-a18b-2f611af69531&quot;,&quot;properties&quot;:{&quot;noteIndex&quot;:0},&quot;isEdited&quot;:false,&quot;manualOverride&quot;:{&quot;citeprocText&quot;:&quot;[193,194]&quot;,&quot;isManuallyOverridden&quot;:false,&quot;manualOverrideText&quot;:&quot;&quot;},&quot;citationTag&quot;:&quot;MENDELEY_CITATION_v3_eyJjaXRhdGlvbklEIjoiTUVOREVMRVlfQ0lUQVRJT05fNjQ5ZjlkNWEtYmY5Ny00MDllLWExOGItMmY2MTFhZjY5NTMxIiwicHJvcGVydGllcyI6eyJub3RlSW5kZXgiOjB9LCJpc0VkaXRlZCI6ZmFsc2UsIm1hbnVhbE92ZXJyaWRlIjp7ImNpdGVwcm9jVGV4dCI6IlsxOTMsMTk0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&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citationID&quot;:&quot;MENDELEY_CITATION_40a8b7da-9e88-4256-a17a-80a94d017382&quot;,&quot;properties&quot;:{&quot;noteIndex&quot;:0},&quot;isEdited&quot;:false,&quot;manualOverride&quot;:{&quot;citeprocText&quot;:&quot;[195]&quot;,&quot;isManuallyOverridden&quot;:false,&quot;manualOverrideText&quot;:&quot;&quot;},&quot;citationTag&quot;:&quot;MENDELEY_CITATION_v3_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&quot;,&quot;citationItems&quot;:[{&quot;id&quot;:&quot;ecca68a7-55e4-5a2d-afcc-e5ad4d607647&quot;,&quot;itemData&quot;:{&quot;DOI&quot;:&quot;10.1007/s00421-020-04503-5&quot;,&quot;ISBN&quot;:&quot;0123456789&quot;,&quot;ISSN&quot;:&quot;1439-6319&quot;,&quot;PMID&quot;:&quot;32990756&quot;,&quot;abstract&quot;:&quot;Purpose: Given the pressing impact of global warming and its detrimental effect on the health of older populations, understanding age-related changes in thermoregulatory function is essential. Age differences in regional sweat distribution have been observed previously, but given the typically small measurement areas assessed, the development of whole body sweat maps for older individuals is required. Therefore, this study investigated age-related differences in regional sweat distribution in a hot environment (32 °C/50%RH) in young and older adults, using a body mapping approach. Methods: Technical absorbent pads were applied to the skin of 14 young (age 24 ± 2 years) and 14 older (68 ± 5 years) males to measure regional sweat rate (RSR) at rest (30 min) and during exercise (30 min), at a fixed heat production (200 W m−2). Gastrointestinal (Tgi) and skin temperature (Tsk), heart rate, thermal sensation, and thermal comfort were also measured. Results: Whole body sweat maps showed that despite equal heat production, healthy older males had significantly lower gross sweat loss (GSL) than the young and significantly lower RSR at almost all body regions at rest and at the hands, legs, ankles, and feet during exercise. The lower sweat loss in the older group coincided with a greater increase in Tgi and a consistently higher Tsk at the legs, despite subjectively feeling slightly cooler than younger individuals. Conclusion: These findings support the evidence of age-related deterioration in both autonomic and subjective responses in the heat and highlight the lower extremities as the most affected body region.&quot;,&quot;author&quot;:[{&quot;dropping-particle&quot;:&quot;&quot;,&quot;family&quot;:&quot;Coull&quot;,&quot;given&quot;:&quot;Nicole A.&quot;,&quot;non-dropping-particle&quot;:&quot;&quot;,&quot;parse-names&quot;:false,&quot;suffix&quot;:&quot;&quot;},{&quot;dropping-particle&quot;:&quot;&quot;,&quot;family&quot;:&quot;West&quot;,&quot;given&quot;:&quot;Anna M.&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Wheeler&quot;,&quot;given&quot;:&quot;Patrick&quot;,&quot;non-dropping-particle&quot;:&quot;&quot;,&quot;parse-names&quot;:false,&quot;suffix&quot;:&quot;&quot;},{&quot;dropping-particle&quot;:&quot;&quot;,&quot;family&quot;:&quot;Havenith&quot;,&quot;given&quot;:&quot;George&quot;,&quot;non-dropping-particle&quot;:&quot;&quot;,&quot;parse-names&quot;:false,&quot;suffix&quot;:&quot;&quot;}],&quot;container-title&quot;:&quot;European Journal of Applied Physiology&quot;,&quot;id&quot;:&quot;ecca68a7-55e4-5a2d-afcc-e5ad4d607647&quot;,&quot;issue&quot;:&quot;1&quot;,&quot;issued&quot;:{&quot;date-parts&quot;:[[&quot;2021&quot;,&quot;1&quot;,&quot;29&quot;]]},&quot;page&quot;:&quot;109-125&quot;,&quot;publisher&quot;:&quot;Springer Berlin Heidelberg&quot;,&quot;title&quot;:&quot;Body mapping of regional sweat distribution in young and older males&quot;,&quot;type&quot;:&quot;article-journal&quot;,&quot;volume&quot;:&quot;121&quot;,&quot;container-title-short&quot;:&quot;Eur. J. Appl. Physiol.&quot;},&quot;uris&quot;:[&quot;http://www.mendeley.com/documents/?uuid=9e1796f2-c2b3-4d8b-9d5e-9aff30f951dd&quot;],&quot;isTemporary&quot;:false,&quot;legacyDesktopId&quot;:&quot;9e1796f2-c2b3-4d8b-9d5e-9aff30f951dd&quot;}]},{&quot;citationID&quot;:&quot;MENDELEY_CITATION_5f8cc161-a37b-43e4-98b1-4d540e291160&quot;,&quot;properties&quot;:{&quot;noteIndex&quot;:0},&quot;isEdited&quot;:false,&quot;manualOverride&quot;:{&quot;citeprocText&quot;:&quot;[196]&quot;,&quot;isManuallyOverridden&quot;:false,&quot;manualOverrideText&quot;:&quot;&quot;},&quot;citationTag&quot;:&quot;MENDELEY_CITATION_v3_eyJjaXRhdGlvbklEIjoiTUVOREVMRVlfQ0lUQVRJT05fNWY4Y2MxNjEtYTM3Yi00M2U0LTk4YjEtNGQ1NDBlMjkxMTYwIiwicHJvcGVydGllcyI6eyJub3RlSW5kZXgiOjB9LCJpc0VkaXRlZCI6ZmFsc2UsIm1hbnVhbE92ZXJyaWRlIjp7ImNpdGVwcm9jVGV4dCI6IlsxOTZd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quot;,&quot;citationItems&quot;:[{&quot;id&quot;:&quot;1022316a-8956-5d46-a592-ed34ee74e61b&quot;,&quot;itemData&quot;:{&quot;DOI&quot;:&quot;10.1152/ajpregu.00456.2011&quot;,&quot;ISSN&quot;:&quot;03636119&quot;,&quot;PMID&quot;:&quot;22071159&quot;,&quot;abstract&quot;:&quot;Appropriate quantification of analytical and biological variation of thermoregulatory sweating has important practical utility for research design and statistical analysis. We sought to examine contributors to variability in local forearm sweating rate (SR) and sweating onset (SO) and to evaluate the potential for using bilateral measurements. Two women and eight men (26 ± 9 yr; 79 ± 12 kg) completed 5 days of heat acclimation and walked (1.8 l/min Vo 2) on three occasions for 30 min in 40°C, 20% RH, while local SR and SO were measured. Local SR measures among days were not different (2.14 ± 0.72 vs. 2.02 ± 0.79 vs. 2.31 ± 0.72 mg·cm 2·min -1, P = 0.19) nor was SO (10.47 ± 2.54 vs. 10.04 ± 2.97 vs. 9.87 ± 3.44 min P = 0.82). Bilateral SR (2.14 ± 0.72 vs. 2.16 ± 0.71 mg·cm 2·min -1, P = 0.56) and SO (10.47 ± 2.54 vs. 10.83 ± 2.48 min, P = 0.09) were similar and differences were ≤ 1 SD of day-to-day differences for a single forearm. Analytical imprecision (CV a), within (CV i)-, and between (CV g)-subjects' coefficient of variation for local SR were 2.4%, 22.3%, and 56.4%, respectively, and were 0%, 9.6%, and 41%, respectively, for SO. We conclude: 1) technologically, sweat capsules contribute negligibly to sweat measurement variation; 2) bilateral measures of SR and SO appear interchangeable; 3) when studying potential factors affecting sweating, changes in SO afford a more favorable signal-to-noise ratio vs. changes in SR. These findings provide a quantitative basis for study design and optimization of power/sample size analysis in the evaluation of thermoregulatory sweating. © 2012 the American Physiological Society.&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dropping-particle&quot;:&quot;&quot;,&quot;family&quot;:&quot;Elliott&quot;,&quot;given&quot;:&quot;Leonard D.&quot;,&quot;non-dropping-particle&quot;:&quot;&quot;,&quot;parse-names&quot;:false,&quot;suffix&quot;:&quot;&quot;},{&quot;dropping-particle&quot;:&quot;&quot;,&quot;family&quot;:&quot;Ely&quot;,&quot;given&quot;:&quot;Brett R.&quot;,&quot;non-dropping-particle&quot;:&quot;&quot;,&quot;parse-names&quot;:false,&quot;suffix&quot;:&quot;&quot;},{&quot;dropping-particle&quot;:&quot;&quot;,&quot;family&quot;:&quot;Sawka&quot;,&quot;given&quot;:&quot;Michael N.&quot;,&quot;non-dropping-particle&quot;:&quot;&quot;,&quot;parse-names&quot;:false,&quot;suffix&quot;:&quot;&quot;}],&quot;container-title&quot;:&quot;American Journal of Physiology - Regulatory Integrative and Comparative Physiology&quot;,&quot;id&quot;:&quot;1022316a-8956-5d46-a592-ed34ee74e61b&quot;,&quot;issue&quot;:&quot;2&quot;,&quot;issued&quot;:{&quot;date-parts&quot;:[[&quot;2012&quot;]]},&quot;page&quot;:&quot;252-258&quot;,&quot;title&quot;:&quot;Biological and analytical variation of the human sweating response: Implications for study design and analysis&quot;,&quot;type&quot;:&quot;article-journal&quot;,&quot;volume&quot;:&quot;302&quot;,&quot;container-title-short&quot;:&quot;Am. J. Physiol. Regul. Integr. Comp. Physiol.&quot;},&quot;uris&quot;:[&quot;http://www.mendeley.com/documents/?uuid=8702d5d2-8d51-47a9-aef5-97be66b5bdf0&quot;],&quot;isTemporary&quot;:false,&quot;legacyDesktopId&quot;:&quot;8702d5d2-8d51-47a9-aef5-97be66b5bdf0&quot;}]},{&quot;citationID&quot;:&quot;MENDELEY_CITATION_13e5995e-7ca4-4d8a-9769-26ab2f20072e&quot;,&quot;properties&quot;:{&quot;noteIndex&quot;:0},&quot;isEdited&quot;:false,&quot;manualOverride&quot;:{&quot;citeprocText&quot;:&quot;[197]&quot;,&quot;isManuallyOverridden&quot;:false,&quot;manualOverrideText&quot;:&quot;&quot;},&quot;citationTag&quot;:&quot;MENDELEY_CITATION_v3_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&quot;,&quot;citationItems&quot;:[{&quot;id&quot;:&quot;11c0c912-009f-5d08-bca1-bc2847502af3&quot;,&quot;itemData&quot;:{&quot;DOI&quot;:&quot;10.1113/EP089074&quot;,&quot;ISSN&quot;:&quot;1469445X&quot;,&quot;PMID&quot;:&quot;33230911&quot;,&quot;abstract&quot;:&quot;The ventilated capsule technique is widely used to measure time-dependent changes in sweating in humans. However, evaluations of its reliability (consistency) have been restricted to the forearm, despite extensive regional heterogeneity in the sweating response. Given the importance of such information for experimental design, statistical analysis and interpretation, we determined the reliability of local sweat rate at nine sites during whole-body passive (resting) heating. On three separate occasions, a water-perfused suit was used to increase and clamp oesophageal temperature 0.6, 1.2 and 1.8°C above baseline in 14 young men [24 (SD 5) years of age], while sweat rate was measured at the forehead, chest, abdomen, biceps, forearm, hand, quadriceps, calf and foot using ventilated capsules (3.8 cm2). Absolute and relative reliability were determined via the coefficient of variation (CV) and intraclass correlation coefficient (ICC), respectively. At low heat strain (0.6°C), almost all sites had acceptable relative reliability (ICC ≥ 0.70) and moderate absolute reliability (CV &lt; 25%). At moderate heat strain (1.2°C), only the abdomen, hand, quadriceps and foot had acceptable relative reliability, whereas the forehead, abdomen, forearm, hand and quadriceps had moderate absolute reliability. At high heat strain (1.8°C), relative reliability was acceptable at the abdomen, quadriceps, calf and foot, whereas the chest, abdomen, forearm, hand, quadriceps, calf and foot had moderate absolute reliability. Our findings indicate that the measurement site and level of heat strain impact the consistency of local sweat rate measured via the ventilated capsule technique, and we demonstrate the possible implications for research design and data interpretation.&quot;,&quot;author&quot;:[{&quot;dropping-particle&quot;:&quot;&quot;,&quot;family&quot;:&quot;Rutherford&quot;,&quot;given&quot;:&quot;Maura M.&quot;,&quot;non-dropping-particle&quot;:&quot;&quot;,&quot;parse-names&quot;:false,&quot;suffix&quot;:&quot;&quot;},{&quot;dropping-particle&quot;:&quot;&quot;,&quot;family&quot;:&quot;Akerman&quot;,&quot;given&quot;:&quot;Ashley P.&quot;,&quot;non-dropping-particle&quot;:&quot;&quot;,&quot;parse-names&quot;:false,&quot;suffix&quot;:&quot;&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Schmidt&quot;,&quot;given&quot;:&quot;Madison D.&quot;,&quot;non-dropping-particle&quot;:&quot;&quot;,&quot;parse-names&quot;:false,&quot;suffix&quot;:&quot;&quot;},{&quot;dropping-particle&quot;:&quot;&quot;,&quot;family&quot;:&quot;Kenny&quot;,&quot;given&quot;:&quot;Glen P.&quot;,&quot;non-dropping-particle&quot;:&quot;&quot;,&quot;parse-names&quot;:false,&quot;suffix&quot;:&quot;&quot;}],&quot;container-title&quot;:&quot;Experimental Physiology&quot;,&quot;id&quot;:&quot;11c0c912-009f-5d08-bca1-bc2847502af3&quot;,&quot;issue&quot;:&quot;3&quot;,&quot;issued&quot;:{&quot;date-parts&quot;:[[&quot;2021&quot;]]},&quot;page&quot;:&quot;615-633&quot;,&quot;title&quot;:&quot;Regional variation in the reliability of sweat rate measured via the ventilated capsule technique during passive heating&quot;,&quot;type&quot;:&quot;article-journal&quot;,&quot;volume&quot;:&quot;106&quot;,&quot;container-title-short&quot;:&quot;Exp. Physiol.&quot;},&quot;uris&quot;:[&quot;http://www.mendeley.com/documents/?uuid=2ac67621-3bca-4510-82d4-e1cbcdd14f1e&quot;],&quot;isTemporary&quot;:false,&quot;legacyDesktopId&quot;:&quot;2ac67621-3bca-4510-82d4-e1cbcdd14f1e&quot;}]},{&quot;citationID&quot;:&quot;MENDELEY_CITATION_bade0c43-8888-4954-97f6-35487fb2e27b&quot;,&quot;properties&quot;:{&quot;noteIndex&quot;:0},&quot;isEdited&quot;:false,&quot;manualOverride&quot;:{&quot;citeprocText&quot;:&quot;[198]&quot;,&quot;isManuallyOverridden&quot;:false,&quot;manualOverrideText&quot;:&quot;&quot;},&quot;citationTag&quot;:&quot;MENDELEY_CITATION_v3_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&quot;,&quot;citationItems&quot;:[{&quot;id&quot;:&quot;ddd8339e-3a1a-5719-b01b-d17c8394409c&quot;,&quot;itemData&quot;:{&quot;DOI&quot;:&quot;10.1152/japplphysiol.01088.2012&quot;,&quot;ISSN&quot;:&quot;8750-7587&quot;,&quot;PMID&quot;:&quot;23305986&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author&quot;:[{&quot;dropping-particle&quot;:&quot;&quot;,&quot;family&quot;:&quot;Morris&quot;,&quot;given&quot;:&quot;Nathan B.&quot;,&quot;non-dropping-particle&quot;:&quot;&quot;,&quot;parse-names&quot;:false,&quot;suffix&quot;:&quot;&quot;},{&quot;dropping-particle&quot;:&quot;&quot;,&quot;family&quot;:&quot;Cramer&quot;,&quot;given&quot;:&quot;Matthew N.&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ddd8339e-3a1a-5719-b01b-d17c8394409c&quot;,&quot;issue&quot;:&quot;6&quot;,&quot;issued&quot;:{&quot;date-parts&quot;:[[&quot;2013&quot;,&quot;3&quot;,&quot;15&quot;]]},&quot;page&quot;:&quot;816-823&quot;,&quot;title&quot;:&quot;A comparison between the technical absorbent and ventilated capsule methods for measuring local sweat rate&quot;,&quot;type&quot;:&quot;article-journal&quot;,&quot;volume&quot;:&quot;114&quot;,&quot;container-title-short&quot;:&quot;J. Appl. Physiol.&quot;},&quot;uris&quot;:[&quot;http://www.mendeley.com/documents/?uuid=de97f66d-52f2-42df-be03-f44b6f7585e7&quot;],&quot;isTemporary&quot;:false,&quot;legacyDesktopId&quot;:&quot;de97f66d-52f2-42df-be03-f44b6f7585e7&quot;}]},{&quot;citationID&quot;:&quot;MENDELEY_CITATION_56017067-f7d6-4eb6-a194-293e27249bbf&quot;,&quot;properties&quot;:{&quot;noteIndex&quot;:0},&quot;isEdited&quot;:false,&quot;manualOverride&quot;:{&quot;citeprocText&quot;:&quot;[194]&quot;,&quot;isManuallyOverridden&quot;:false,&quot;manualOverrideText&quot;:&quot;&quot;},&quot;citationTag&quot;:&quot;MENDELEY_CITATION_v3_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&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citationID&quot;:&quot;MENDELEY_CITATION_0a83f450-c93d-4d46-9231-deae670e5f00&quot;,&quot;properties&quot;:{&quot;noteIndex&quot;:0},&quot;isEdited&quot;:false,&quot;manualOverride&quot;:{&quot;citeprocText&quot;:&quot;[199]&quot;,&quot;isManuallyOverridden&quot;:false,&quot;manualOverrideText&quot;:&quot;&quot;},&quot;citationTag&quot;:&quot;MENDELEY_CITATION_v3_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&quot;,&quot;citationItems&quot;:[{&quot;id&quot;:&quot;3ee2103d-79eb-509b-9899-65bf3ce5a432&quot;,&quot;itemData&quot;:{&quot;DOI&quot;:&quot;10.3390/s22093177&quot;,&quot;ISSN&quot;:&quot;1424-8220&quot;,&quot;PMID&quot;:&quot;35590866&quot;,&quot;abstract&quot;:&quot;The most traditional sites for electrodermal activity (EDA) data collection, palmar locations such as fingers or palms, are not usually recommended for ambulatory monitoring given that subjects have to use their hands regularly during their daily activities, and therefore, alternative sites are often sought for EDA data collection. In this study, we collected EDA signals (n = 23 subjects, 19 male) from four measurement sites (forehead, back of neck, finger, and inner edge of foot) during cognitive stress and induction of mild motion artifacts by walking and one-handed weightlifting. Furthermore, we computed several EDA indices from the EDA signals obtained from different sites and evaluated their efficiency to classify cognitive stress from the baseline state. We found a high within-subject correlation between the EDA signals obtained from the finger and the feet. Consistently high correlation was also found between the finger and the foot EDA in both the phasic and tonic components. Statistically significant differences were obtained between the baseline and cognitive stress stage only for the EDA indices computed from the finger and the foot EDA. Moreover, the receiver operating characteristic curve for cognitive stress detection showed a higher area-under-the-curve for the EDA indices computed from the finger and foot EDA. We also evaluated the robustness of the different body sites against motion artifacts and found that the foot EDA location was the best alternative to other sites.&quot;,&quot;author&quot;:[{&quot;dropping-particle&quot;:&quot;&quot;,&quot;family&quot;:&quot;Hossain&quot;,&quot;given&quot;:&quot;Md-Billal&quot;,&quot;non-dropping-particle&quot;:&quot;&quot;,&quot;parse-names&quot;:false,&quot;suffix&quot;:&quot;&quot;},{&quot;dropping-particle&quot;:&quot;&quot;,&quot;family&quot;:&quot;Kong&quot;,&quot;given&quot;:&quot;Youngsun&quot;,&quot;non-dropping-particle&quot;:&quot;&quot;,&quot;parse-names&quot;:false,&quot;suffix&quot;:&quot;&quot;},{&quot;dropping-particle&quot;:&quot;&quot;,&quot;family&quot;:&quot;Posada-Quintero&quot;,&quot;given&quot;:&quot;Hugo F.&quot;,&quot;non-dropping-particle&quot;:&quot;&quot;,&quot;parse-names&quot;:false,&quot;suffix&quot;:&quot;&quot;},{&quot;dropping-particle&quot;:&quot;&quot;,&quot;family&quot;:&quot;Chon&quot;,&quot;given&quot;:&quot;Ki H.&quot;,&quot;non-dropping-particle&quot;:&quot;&quot;,&quot;parse-names&quot;:false,&quot;suffix&quot;:&quot;&quot;}],&quot;container-title&quot;:&quot;Sensors&quot;,&quot;id&quot;:&quot;3ee2103d-79eb-509b-9899-65bf3ce5a432&quot;,&quot;issue&quot;:&quot;9&quot;,&quot;issued&quot;:{&quot;date-parts&quot;:[[&quot;2022&quot;,&quot;4&quot;,&quot;21&quot;]]},&quot;page&quot;:&quot;3177&quot;,&quot;title&quot;:&quot;Comparison of Electrodermal Activity from Multiple Body Locations Based on Standard EDA Indices’ Quality and Robustness against Motion Artifact&quot;,&quot;type&quot;:&quot;article-journal&quot;,&quot;volume&quot;:&quot;22&quot;,&quot;container-title-short&quot;:&quot;&quot;},&quot;uris&quot;:[&quot;http://www.mendeley.com/documents/?uuid=aee30d29-251e-4b43-a06e-26a41ec0659c&quot;],&quot;isTemporary&quot;:false,&quot;legacyDesktopId&quot;:&quot;aee30d29-251e-4b43-a06e-26a41ec0659c&quot;}]},{&quot;citationID&quot;:&quot;MENDELEY_CITATION_08972d64-8380-4901-8ad0-885bec1d8eb0&quot;,&quot;properties&quot;:{&quot;noteIndex&quot;:0},&quot;isEdited&quot;:false,&quot;manualOverride&quot;:{&quot;citeprocText&quot;:&quot;[200,201]&quot;,&quot;isManuallyOverridden&quot;:false,&quot;manualOverrideText&quot;:&quot;&quot;},&quot;citationTag&quot;:&quot;MENDELEY_CITATION_v3_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&quot;,&quot;citationItems&quot;:[{&quot;id&quot;:&quot;3761dc77-5aae-563c-9037-efc9c3720570&quot;,&quot;itemData&quot;:{&quot;DOI&quot;:&quot;10.1159/000346930&quot;,&quot;ISSN&quot;:&quot;1660-5527&quot;,&quot;PMID&quot;:&quot;23428634&quot;,&quot;abstract&quot;:&quot;Psychological sweating in response to emotive stimuli like stress, anxiety and pain occurs over the whole body surface, but is most evident on the palms, soles, face and axilla. This is primarily a consequence of high eccrine sweat gland densities at these body sites. Cholinergic innervation is the primary effector eliciting activation of eccrine sweat glands during periods of acute psychological stress. A dual innervation pathway for eccrine glands (adrenergic and cholinergic) may augment increased sweat output, but this remains to be substantiated. Circulating catecholamines appear not to mediate eccrine gland activity, but may play a role in the activation of apocrine sweat glands. Apocrine sweating is strongly regulated by psychological stimuli and localised to those body sites hosting apocrine glands, with adrenergic peripheral pathways being the primary effector. Accordingly, in the axilla psychological sweating leads to increased sweat output and malodour formation, although this form of sweating at this body site is not observed until puberty.&quot;,&quot;author&quot;:[{&quot;dropping-particle&quot;:&quot;&quot;,&quot;family&quot;:&quot;Harker&quot;,&quot;given&quot;:&quot;M.&quot;,&quot;non-dropping-particle&quot;:&quot;&quot;,&quot;parse-names&quot;:false,&quot;suffix&quot;:&quot;&quot;}],&quot;container-title&quot;:&quot;Skin Pharmacology and Physiology&quot;,&quot;id&quot;:&quot;3761dc77-5aae-563c-9037-efc9c3720570&quot;,&quot;issue&quot;:&quot;2&quot;,&quot;issued&quot;:{&quot;date-parts&quot;:[[&quot;2013&quot;]]},&quot;page&quot;:&quot;92-100&quot;,&quot;title&quot;:&quot;Psychological Sweating: A Systematic Review Focused on Aetiology and Cutaneous Response&quot;,&quot;type&quot;:&quot;article-journal&quot;,&quot;volume&quot;:&quot;26&quot;,&quot;container-title-short&quot;:&quot;Skin Pharmacol. Physiol.&quot;},&quot;uris&quot;:[&quot;http://www.mendeley.com/documents/?uuid=a2133f62-a3f6-4fd4-ad7d-6c724d6dfd0a&quot;],&quot;isTemporary&quot;:false,&quot;legacyDesktopId&quot;:&quot;a2133f62-a3f6-4fd4-ad7d-6c724d6dfd0a&quot;},{&quot;id&quot;:&quot;b0a15a0c-383f-5438-b4a9-8e226277e866&quot;,&quot;itemData&quot;:{&quot;DOI&quot;:&quot;10.1007/s13555-022-00885-w&quot;,&quot;ISBN&quot;:&quot;1355502200885&quot;,&quot;ISSN&quot;:&quot;2193-8210&quot;,&quot;abstract&quot;:&quot;Hyperhidrosis (HH) is a central nervous dysfunction characterized by abnormally increased sweating due to a central dysregulation of sweat secretion. HH significantly affects the quality of life of patients in their private, social and professional environments. Physiologically, sweating is a mechanism that regulates body temperature, but it may also be triggered by emotional or gustatory stimuli. There are two main types of sweat glands: eccrine and apocrine glands. The central nervous system controls sweat secretion through the release of neurotransmitters into the autonomous nervous system (ANS) that activate the sweat glands. The hypothalamus has two separate neuronal pathways, one for thermoregulation and one for emotions. HH may thus be due to either a neuronal dysfunction of ANS regulation leading to a hyperactivity of the sympathetic nervous system, or to abnormal central processing of emotions. Crucially, there is no dysfunction of the sweat glands themselves. Various pathogenic mechanisms have been proposed to be involved in pathological sweat secretion in HH, ranging from structural changes within the ANS to increased expression of aquaporin 5 and upregulation of activin A receptor type 1 in eccrine sweat glands. Although a genetic predisposition has been demonstrated, it remains unclear exactly which genes are involved. To identify new, potential therapeutic targets and to improve treatment options, a good understanding of the signaling pathways involved, the underlying mechanisms, and the genetic components is essential. In this review we discuss the various aspects of sweat physiology and function that are necessary to explain pathological sweating. Our aim is to raise awareness of the complexity of HH to promote a better understanding of the disorder.&quot;,&quot;author&quot;:[{&quot;dropping-particle&quot;:&quot;&quot;,&quot;family&quot;:&quot;Wohlrab&quot;,&quot;given&quot;:&quot;Johannes&quot;,&quot;non-dropping-particle&quot;:&quot;&quot;,&quot;parse-names&quot;:false,&quot;suffix&quot;:&quot;&quot;},{&quot;dropping-particle&quot;:&quot;&quot;,&quot;family&quot;:&quot;Bechara&quot;,&quot;given&quot;:&quot;Falk G.&quot;,&quot;non-dropping-particle&quot;:&quot;&quot;,&quot;parse-names&quot;:false,&quot;suffix&quot;:&quot;&quot;},{&quot;dropping-particle&quot;:&quot;&quot;,&quot;family&quot;:&quot;Schick&quot;,&quot;given&quot;:&quot;Christoph&quot;,&quot;non-dropping-particle&quot;:&quot;&quot;,&quot;parse-names&quot;:false,&quot;suffix&quot;:&quot;&quot;},{&quot;dropping-particle&quot;:&quot;&quot;,&quot;family&quot;:&quot;Naumann&quot;,&quot;given&quot;:&quot;Markus&quot;,&quot;non-dropping-particle&quot;:&quot;&quot;,&quot;parse-names&quot;:false,&quot;suffix&quot;:&quot;&quot;}],&quot;container-title&quot;:&quot;Dermatology and Therapy&quot;,&quot;id&quot;:&quot;b0a15a0c-383f-5438-b4a9-8e226277e866&quot;,&quot;issue&quot;:&quot;2&quot;,&quot;issued&quot;:{&quot;date-parts&quot;:[[&quot;2023&quot;,&quot;2&quot;,&quot;10&quot;]]},&quot;page&quot;:&quot;453-463&quot;,&quot;publisher&quot;:&quot;Springer Healthcare&quot;,&quot;title&quot;:&quot;Hyperhidrosis: A Central Nervous Dysfunction of Sweat Secretion&quot;,&quot;type&quot;:&quot;article-journal&quot;,&quot;volume&quot;:&quot;13&quot;,&quot;container-title-short&quot;:&quot;Dermatol. Ther. (Heidelb).&quot;},&quot;uris&quot;:[&quot;http://www.mendeley.com/documents/?uuid=f2fb8117-4290-4c06-a5ad-c45fa670245e&quot;],&quot;isTemporary&quot;:false,&quot;legacyDesktopId&quot;:&quot;f2fb8117-4290-4c06-a5ad-c45fa670245e&quot;}]},{&quot;citationID&quot;:&quot;MENDELEY_CITATION_6f718131-3ff0-4b10-9d47-a49e0a215a77&quot;,&quot;properties&quot;:{&quot;noteIndex&quot;:0},&quot;isEdited&quot;:false,&quot;manualOverride&quot;:{&quot;citeprocText&quot;:&quot;[202]&quot;,&quot;isManuallyOverridden&quot;:false,&quot;manualOverrideText&quot;:&quot;&quot;},&quot;citationTag&quot;:&quot;MENDELEY_CITATION_v3_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&quot;,&quot;citationItems&quot;:[{&quot;id&quot;:&quot;25518ba8-a4df-5592-88fa-9ec512b10eba&quot;,&quot;itemData&quot;:{&quot;DOI&quot;:&quot;10.1016/S0278-2391(99)90420-2&quot;,&quot;ISSN&quot;:&quot;02782391&quot;,&quot;PMID&quot;:&quot;10368086&quot;,&quot;abstract&quot;:&quot;Purpose: It was the aim of this study to provide detailed general information on the clinical picture of different kinds of gustatory sweating, including reevaluation of a series of patients who underwent parotidectomy, removal of the submandibular gland, or neck dissection. Patients and Methods: This study summarizes the statements of 548 patients questioned about the occurrence of gustatory sweating after parotidectomy (n = 296), extirpation of the submandibular gland (n = 79), and neck dissection (n = 173). Results: After parotidectomy, 45% of the patients had noticed gustatory sweating. In most of them (70%), the symptoms began within 6 months after surgery. Gustatory sweating developed in only one patient with submandibular extirpation (1.5%), and not at all after neck dissection. Most patients (52%) reported that the symptoms occurred independent of the kind of food ingested. These results show that the 'masticatory component' is an important trigger for Frey's syndrome. Application of Minor's test localized gustatory sweating mainly in the region of previous parotid lobe removal, but also in other areas deriving their sensory supply from the auriculotemporal greater auricular, and lesser occipital nerves. The size of the area affected by the sweating was similar after lateral and total parotidectomy. When evaluating clinical symptoms, subjective assessment by the patients seemed to play a major role. After submandibular extirpation and neck dissection, some patients reported gustatory sweating that was not verified by Minor's test. Conclusion: There is general agreement that the cause of gustatory sweating is sympathetic or parasympathetic innervation of previously denervated sweat glands, initiated by gustatory triggers. The location of the 'erroneous innervation' depends on the type of lesion. In cases after parotidectomy, misdirected parasympathetic regeneration is the model integrating all known factors into a rational concept. For didactic and systematic-pragmatic reasons, a clinically oriented classification of gustatory sweating (types I to III) seems to be useful.&quot;,&quot;author&quot;:[{&quot;dropping-particle&quot;:&quot;&quot;,&quot;family&quot;:&quot;Laskawi&quot;,&quot;given&quot;:&quot;Rainer&quot;,&quot;non-dropping-particle&quot;:&quot;&quot;,&quot;parse-names&quot;:false,&quot;suffix&quot;:&quot;&quot;},{&quot;dropping-particle&quot;:&quot;&quot;,&quot;family&quot;:&quot;Ellies&quot;,&quot;given&quot;:&quot;Maik&quot;,&quot;non-dropping-particle&quot;:&quot;&quot;,&quot;parse-names&quot;:false,&quot;suffix&quot;:&quot;&quot;},{&quot;dropping-particle&quot;:&quot;&quot;,&quot;family&quot;:&quot;Röodel&quot;,&quot;given&quot;:&quot;Ralph&quot;,&quot;non-dropping-particle&quot;:&quot;&quot;,&quot;parse-names&quot;:false,&quot;suffix&quot;:&quot;&quot;},{&quot;dropping-particle&quot;:&quot;&quot;,&quot;family&quot;:&quot;Schoenebeck&quot;,&quot;given&quot;:&quot;Claudia&quot;,&quot;non-dropping-particle&quot;:&quot;&quot;,&quot;parse-names&quot;:false,&quot;suffix&quot;:&quot;&quot;}],&quot;container-title&quot;:&quot;Journal of Oral and Maxillofacial Surgery&quot;,&quot;id&quot;:&quot;25518ba8-a4df-5592-88fa-9ec512b10eba&quot;,&quot;issue&quot;:&quot;6&quot;,&quot;issued&quot;:{&quot;date-parts&quot;:[[&quot;1999&quot;,&quot;6&quot;]]},&quot;page&quot;:&quot;642-648&quot;,&quot;title&quot;:&quot;Gustatory sweating: Clinical implications and etiologic aspects&quot;,&quot;type&quot;:&quot;article-journal&quot;,&quot;volume&quot;:&quot;57&quot;,&quot;container-title-short&quot;:&quot;&quot;},&quot;uris&quot;:[&quot;http://www.mendeley.com/documents/?uuid=c03f5d44-b4f9-46cc-9c11-967256bc426d&quot;],&quot;isTemporary&quot;:false,&quot;legacyDesktopId&quot;:&quot;c03f5d44-b4f9-46cc-9c11-967256bc426d&quot;}]},{&quot;citationID&quot;:&quot;MENDELEY_CITATION_34e9f538-05d2-49d0-8f0b-bdfcdd95665b&quot;,&quot;properties&quot;:{&quot;noteIndex&quot;:0},&quot;isEdited&quot;:false,&quot;manualOverride&quot;:{&quot;citeprocText&quot;:&quot;[203]&quot;,&quot;isManuallyOverridden&quot;:false,&quot;manualOverrideText&quot;:&quot;&quot;},&quot;citationTag&quot;:&quot;MENDELEY_CITATION_v3_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&quot;,&quot;citationItems&quot;:[{&quot;id&quot;:&quot;4d9be26b-9bea-53aa-ad92-4f0cfed1fa11&quot;,&quot;itemData&quot;:{&quot;DOI&quot;:&quot;10.1007/s00421-012-2482-x&quot;,&quot;ISSN&quot;:&quot;1439-6319&quot;,&quot;abstract&quot;:&quot;The head's capacity for evaporative heat loss is important for design of protective helmets for use in hot environments. This study quantified head sweating rate (m sw) in eight males during rest and exercise at three metabolic rates (338 ± 36, 481 ± 24, 622 ± 28 W) in hot-dry (HD: 45 C, 21 % RH) and hot-wet (HW: 35 C, 69 % RH) conditions (matched at 31.6 C WBGT), which were counterbalanced. Heads were shaved, and surface area was (458 ± 61 cm2) measured by 3D scanner. For measurement of head m sw, dry air was passed through a sealed helmet, whereas for forearm m sw a capsule (15.9 cm2) was ventilated with ambient air. Evaporation rate was determined from the increase in vapor pressure in the exiting air. Whole-body sweat loss was calculated from the change in nude weight plus fluid intake and corrected for respiratory fluid losses. Head m sw increased (p = 0.001) with metabolic rate, and was lower (p = 0.018) in HD (0.4 ± 0.2 mg cm-2 min-1 at rest to 1.1 ± 0.6 mg cm-2 min-1 at 622 W), compared to HW (0.5 ± 0.3-1.4 ± 0.8 mg cm-2 min-1). Forearm m sw increased (p &lt; 0.001) with metabolic rate, but was higher (p = 0.002) in HD (0.4 ± 0.3-1.4 ± 0.7 mg cm-2 min -1) than HW (0.1 ± 0.1-1.1 ± 0.3 mg cm-2 min-1). Whole-body sweat loss was not significantly different (p = 0.06) between HD (647 ± 139 g m-2 h-1) and HW (528 ± 189 g m-2 h-1). This study demonstrates the importance of the head for evaporative heat loss, particularly for populations who wear protective clothing which can impair vapor transfer from the skin. © 2012 Springer-Verlag (outside the USA).&quot;,&quot;author&quot;:[{&quot;dropping-particle&quot;:&quot;&quot;,&quot;family&quot;:&quot;O’Brien&quot;,&quot;given&quot;:&quot;Catherine&quot;,&quot;non-dropping-particle&quot;:&quot;&quot;,&quot;parse-names&quot;:false,&quot;suffix&quot;:&quot;&quot;},{&quot;dropping-particle&quot;:&quot;&quot;,&quot;family&quot;:&quot;Cadarette&quot;,&quot;given&quot;:&quot;Bruce S.&quot;,&quot;non-dropping-particle&quot;:&quot;&quot;,&quot;parse-names&quot;:false,&quot;suffix&quot;:&quot;&quot;}],&quot;container-title&quot;:&quot;European Journal of Applied Physiology&quot;,&quot;id&quot;:&quot;4d9be26b-9bea-53aa-ad92-4f0cfed1fa11&quot;,&quot;issue&quot;:&quot;3&quot;,&quot;issued&quot;:{&quot;date-parts&quot;:[[&quot;2013&quot;,&quot;3&quot;,&quot;1&quot;]]},&quot;page&quot;:&quot;735-741&quot;,&quot;title&quot;:&quot;Quantification of head sweating during rest and exercise in the heat&quot;,&quot;type&quot;:&quot;article-journal&quot;,&quot;volume&quot;:&quot;113&quot;,&quot;container-title-short&quot;:&quot;Eur. J. Appl. Physiol.&quot;},&quot;uris&quot;:[&quot;http://www.mendeley.com/documents/?uuid=d6d39425-8bf1-4db3-b883-57ef0b826888&quot;],&quot;isTemporary&quot;:false,&quot;legacyDesktopId&quot;:&quot;d6d39425-8bf1-4db3-b883-57ef0b826888&quot;}]},{&quot;citationID&quot;:&quot;MENDELEY_CITATION_aee82d86-cc04-448d-9c9f-241d0fa444a7&quot;,&quot;properties&quot;:{&quot;noteIndex&quot;:0},&quot;isEdited&quot;:false,&quot;manualOverride&quot;:{&quot;citeprocText&quot;:&quot;[204]&quot;,&quot;isManuallyOverridden&quot;:false,&quot;manualOverrideText&quot;:&quot;&quot;},&quot;citationTag&quot;:&quot;MENDELEY_CITATION_v3_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&quot;,&quot;citationItems&quot;:[{&quot;id&quot;:&quot;bba2d2e4-6eb2-52bf-a099-790b9f0488c9&quot;,&quot;itemData&quot;:{&quot;DOI&quot;:&quot;10.1016/j.enbenv.2025.10.003&quot;,&quot;ISSN&quot;:&quot;26661233&quot;,&quot;author&quot;:[{&quot;dropping-particle&quot;:&quot;&quot;,&quot;family&quot;:&quot;He&quot;,&quot;given&quot;:&quot;Junkang&quot;,&quot;non-dropping-particle&quot;:&quot;&quot;,&quot;parse-names&quot;:false,&quot;suffix&quot;:&quot;&quot;},{&quot;dropping-particle&quot;:&quot;&quot;,&quot;family&quot;:&quot;Liu&quot;,&quot;given&quot;:&quot;Yanchen&quot;,&quot;non-dropping-particle&quot;:&quot;&quot;,&quot;parse-names&quot;:false,&quot;suffix&quot;:&quot;&quot;},{&quot;dropping-particle&quot;:&quot;&quot;,&quot;family&quot;:&quot;Wu&quot;,&quot;given&quot;:&quot;Huijun&quot;,&quot;non-dropping-particle&quot;:&quot;&quot;,&quot;parse-names&quot;:false,&quot;suffix&quot;:&quot;&quot;},{&quot;dropping-particle&quot;:&quot;&quot;,&quot;family&quot;:&quot;Liu&quot;,&quot;given&quot;:&quot;Yanni&quot;,&quot;non-dropping-particle&quot;:&quot;&quot;,&quot;parse-names&quot;:false,&quot;suffix&quot;:&quot;&quot;}],&quot;container-title&quot;:&quot;Energy and Built Environment&quot;,&quot;id&quot;:&quot;bba2d2e4-6eb2-52bf-a099-790b9f0488c9&quot;,&quot;issued&quot;:{&quot;date-parts&quot;:[[&quot;2025&quot;,&quot;10&quot;]]},&quot;publisher&quot;:&quot;Elsevier B.V.&quot;,&quot;title&quot;:&quot;Association of Facial Infrared Thermography with Thermal Comfort and Cognitive Performance in Summer Indoor Environments&quot;,&quot;type&quot;:&quot;article-journal&quot;,&quot;container-title-short&quot;:&quot;&quot;},&quot;uris&quot;:[&quot;http://www.mendeley.com/documents/?uuid=cb46de3e-7e81-4a7d-aa5d-72c73e34985e&quot;],&quot;isTemporary&quot;:false,&quot;legacyDesktopId&quot;:&quot;cb46de3e-7e81-4a7d-aa5d-72c73e34985e&quot;}]},{&quot;citationID&quot;:&quot;MENDELEY_CITATION_6488612b-5686-43dc-9e3d-09a04f5ab141&quot;,&quot;properties&quot;:{&quot;noteIndex&quot;:0},&quot;isEdited&quot;:false,&quot;manualOverride&quot;:{&quot;citeprocText&quot;:&quot;[198]&quot;,&quot;isManuallyOverridden&quot;:false,&quot;manualOverrideText&quot;:&quot;&quot;},&quot;citationTag&quot;:&quot;MENDELEY_CITATION_v3_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&quot;,&quot;citationItems&quot;:[{&quot;id&quot;:&quot;ddd8339e-3a1a-5719-b01b-d17c8394409c&quot;,&quot;itemData&quot;:{&quot;DOI&quot;:&quot;10.1152/japplphysiol.01088.2012&quot;,&quot;ISSN&quot;:&quot;8750-7587&quot;,&quot;PMID&quot;:&quot;23305986&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author&quot;:[{&quot;dropping-particle&quot;:&quot;&quot;,&quot;family&quot;:&quot;Morris&quot;,&quot;given&quot;:&quot;Nathan B.&quot;,&quot;non-dropping-particle&quot;:&quot;&quot;,&quot;parse-names&quot;:false,&quot;suffix&quot;:&quot;&quot;},{&quot;dropping-particle&quot;:&quot;&quot;,&quot;family&quot;:&quot;Cramer&quot;,&quot;given&quot;:&quot;Matthew N.&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ddd8339e-3a1a-5719-b01b-d17c8394409c&quot;,&quot;issue&quot;:&quot;6&quot;,&quot;issued&quot;:{&quot;date-parts&quot;:[[&quot;2013&quot;,&quot;3&quot;,&quot;15&quot;]]},&quot;page&quot;:&quot;816-823&quot;,&quot;title&quot;:&quot;A comparison between the technical absorbent and ventilated capsule methods for measuring local sweat rate&quot;,&quot;type&quot;:&quot;article-journal&quot;,&quot;volume&quot;:&quot;114&quot;,&quot;container-title-short&quot;:&quot;J. Appl. Physiol.&quot;},&quot;uris&quot;:[&quot;http://www.mendeley.com/documents/?uuid=de97f66d-52f2-42df-be03-f44b6f7585e7&quot;],&quot;isTemporary&quot;:false,&quot;legacyDesktopId&quot;:&quot;de97f66d-52f2-42df-be03-f44b6f7585e7&quot;}]},{&quot;citationID&quot;:&quot;MENDELEY_CITATION_576e04a4-b5d1-47ac-ab5e-8cf2f0d94693&quot;,&quot;properties&quot;:{&quot;noteIndex&quot;:0},&quot;isEdited&quot;:false,&quot;manualOverride&quot;:{&quot;citeprocText&quot;:&quot;[197]&quot;,&quot;isManuallyOverridden&quot;:false,&quot;manualOverrideText&quot;:&quot;&quot;},&quot;citationTag&quot;:&quot;MENDELEY_CITATION_v3_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&quot;,&quot;citationItems&quot;:[{&quot;id&quot;:&quot;11c0c912-009f-5d08-bca1-bc2847502af3&quot;,&quot;itemData&quot;:{&quot;DOI&quot;:&quot;10.1113/EP089074&quot;,&quot;ISSN&quot;:&quot;1469445X&quot;,&quot;PMID&quot;:&quot;33230911&quot;,&quot;abstract&quot;:&quot;The ventilated capsule technique is widely used to measure time-dependent changes in sweating in humans. However, evaluations of its reliability (consistency) have been restricted to the forearm, despite extensive regional heterogeneity in the sweating response. Given the importance of such information for experimental design, statistical analysis and interpretation, we determined the reliability of local sweat rate at nine sites during whole-body passive (resting) heating. On three separate occasions, a water-perfused suit was used to increase and clamp oesophageal temperature 0.6, 1.2 and 1.8°C above baseline in 14 young men [24 (SD 5) years of age], while sweat rate was measured at the forehead, chest, abdomen, biceps, forearm, hand, quadriceps, calf and foot using ventilated capsules (3.8 cm2). Absolute and relative reliability were determined via the coefficient of variation (CV) and intraclass correlation coefficient (ICC), respectively. At low heat strain (0.6°C), almost all sites had acceptable relative reliability (ICC ≥ 0.70) and moderate absolute reliability (CV &lt; 25%). At moderate heat strain (1.2°C), only the abdomen, hand, quadriceps and foot had acceptable relative reliability, whereas the forehead, abdomen, forearm, hand and quadriceps had moderate absolute reliability. At high heat strain (1.8°C), relative reliability was acceptable at the abdomen, quadriceps, calf and foot, whereas the chest, abdomen, forearm, hand, quadriceps, calf and foot had moderate absolute reliability. Our findings indicate that the measurement site and level of heat strain impact the consistency of local sweat rate measured via the ventilated capsule technique, and we demonstrate the possible implications for research design and data interpretation.&quot;,&quot;author&quot;:[{&quot;dropping-particle&quot;:&quot;&quot;,&quot;family&quot;:&quot;Rutherford&quot;,&quot;given&quot;:&quot;Maura M.&quot;,&quot;non-dropping-particle&quot;:&quot;&quot;,&quot;parse-names&quot;:false,&quot;suffix&quot;:&quot;&quot;},{&quot;dropping-particle&quot;:&quot;&quot;,&quot;family&quot;:&quot;Akerman&quot;,&quot;given&quot;:&quot;Ashley P.&quot;,&quot;non-dropping-particle&quot;:&quot;&quot;,&quot;parse-names&quot;:false,&quot;suffix&quot;:&quot;&quot;},{&quot;dropping-particle&quot;:&quot;&quot;,&quot;family&quot;:&quot;Notley&quot;,&quot;given&quot;:&quot;Sean R.&quot;,&quot;non-dropping-particle&quot;:&quot;&quot;,&quot;parse-names&quot;:false,&quot;suffix&quot;:&quot;&quot;},{&quot;dropping-particle&quot;:&quot;&quot;,&quot;family&quot;:&quot;Meade&quot;,&quot;given&quot;:&quot;Robert D.&quot;,&quot;non-dropping-particle&quot;:&quot;&quot;,&quot;parse-names&quot;:false,&quot;suffix&quot;:&quot;&quot;},{&quot;dropping-particle&quot;:&quot;&quot;,&quot;family&quot;:&quot;Schmidt&quot;,&quot;given&quot;:&quot;Madison D.&quot;,&quot;non-dropping-particle&quot;:&quot;&quot;,&quot;parse-names&quot;:false,&quot;suffix&quot;:&quot;&quot;},{&quot;dropping-particle&quot;:&quot;&quot;,&quot;family&quot;:&quot;Kenny&quot;,&quot;given&quot;:&quot;Glen P.&quot;,&quot;non-dropping-particle&quot;:&quot;&quot;,&quot;parse-names&quot;:false,&quot;suffix&quot;:&quot;&quot;}],&quot;container-title&quot;:&quot;Experimental Physiology&quot;,&quot;id&quot;:&quot;11c0c912-009f-5d08-bca1-bc2847502af3&quot;,&quot;issue&quot;:&quot;3&quot;,&quot;issued&quot;:{&quot;date-parts&quot;:[[&quot;2021&quot;]]},&quot;page&quot;:&quot;615-633&quot;,&quot;title&quot;:&quot;Regional variation in the reliability of sweat rate measured via the ventilated capsule technique during passive heating&quot;,&quot;type&quot;:&quot;article-journal&quot;,&quot;volume&quot;:&quot;106&quot;,&quot;container-title-short&quot;:&quot;Exp. Physiol.&quot;},&quot;uris&quot;:[&quot;http://www.mendeley.com/documents/?uuid=2ac67621-3bca-4510-82d4-e1cbcdd14f1e&quot;],&quot;isTemporary&quot;:false,&quot;legacyDesktopId&quot;:&quot;2ac67621-3bca-4510-82d4-e1cbcdd14f1e&quot;}]},{&quot;citationID&quot;:&quot;MENDELEY_CITATION_8b903f9a-7df4-4780-841e-775d4a426988&quot;,&quot;properties&quot;:{&quot;noteIndex&quot;:0},&quot;isEdited&quot;:false,&quot;manualOverride&quot;:{&quot;citeprocText&quot;:&quot;[196]&quot;,&quot;isManuallyOverridden&quot;:false,&quot;manualOverrideText&quot;:&quot;&quot;},&quot;citationTag&quot;:&quot;MENDELEY_CITATION_v3_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&quot;,&quot;citationItems&quot;:[{&quot;id&quot;:&quot;1022316a-8956-5d46-a592-ed34ee74e61b&quot;,&quot;itemData&quot;:{&quot;DOI&quot;:&quot;10.1152/ajpregu.00456.2011&quot;,&quot;ISSN&quot;:&quot;03636119&quot;,&quot;PMID&quot;:&quot;22071159&quot;,&quot;abstract&quot;:&quot;Appropriate quantification of analytical and biological variation of thermoregulatory sweating has important practical utility for research design and statistical analysis. We sought to examine contributors to variability in local forearm sweating rate (SR) and sweating onset (SO) and to evaluate the potential for using bilateral measurements. Two women and eight men (26 ± 9 yr; 79 ± 12 kg) completed 5 days of heat acclimation and walked (1.8 l/min Vo 2) on three occasions for 30 min in 40°C, 20% RH, while local SR and SO were measured. Local SR measures among days were not different (2.14 ± 0.72 vs. 2.02 ± 0.79 vs. 2.31 ± 0.72 mg·cm 2·min -1, P = 0.19) nor was SO (10.47 ± 2.54 vs. 10.04 ± 2.97 vs. 9.87 ± 3.44 min P = 0.82). Bilateral SR (2.14 ± 0.72 vs. 2.16 ± 0.71 mg·cm 2·min -1, P = 0.56) and SO (10.47 ± 2.54 vs. 10.83 ± 2.48 min, P = 0.09) were similar and differences were ≤ 1 SD of day-to-day differences for a single forearm. Analytical imprecision (CV a), within (CV i)-, and between (CV g)-subjects' coefficient of variation for local SR were 2.4%, 22.3%, and 56.4%, respectively, and were 0%, 9.6%, and 41%, respectively, for SO. We conclude: 1) technologically, sweat capsules contribute negligibly to sweat measurement variation; 2) bilateral measures of SR and SO appear interchangeable; 3) when studying potential factors affecting sweating, changes in SO afford a more favorable signal-to-noise ratio vs. changes in SR. These findings provide a quantitative basis for study design and optimization of power/sample size analysis in the evaluation of thermoregulatory sweating. © 2012 the American Physiological Society.&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dropping-particle&quot;:&quot;&quot;,&quot;family&quot;:&quot;Elliott&quot;,&quot;given&quot;:&quot;Leonard D.&quot;,&quot;non-dropping-particle&quot;:&quot;&quot;,&quot;parse-names&quot;:false,&quot;suffix&quot;:&quot;&quot;},{&quot;dropping-particle&quot;:&quot;&quot;,&quot;family&quot;:&quot;Ely&quot;,&quot;given&quot;:&quot;Brett R.&quot;,&quot;non-dropping-particle&quot;:&quot;&quot;,&quot;parse-names&quot;:false,&quot;suffix&quot;:&quot;&quot;},{&quot;dropping-particle&quot;:&quot;&quot;,&quot;family&quot;:&quot;Sawka&quot;,&quot;given&quot;:&quot;Michael N.&quot;,&quot;non-dropping-particle&quot;:&quot;&quot;,&quot;parse-names&quot;:false,&quot;suffix&quot;:&quot;&quot;}],&quot;container-title&quot;:&quot;American Journal of Physiology - Regulatory Integrative and Comparative Physiology&quot;,&quot;id&quot;:&quot;1022316a-8956-5d46-a592-ed34ee74e61b&quot;,&quot;issue&quot;:&quot;2&quot;,&quot;issued&quot;:{&quot;date-parts&quot;:[[&quot;2012&quot;]]},&quot;page&quot;:&quot;252-258&quot;,&quot;title&quot;:&quot;Biological and analytical variation of the human sweating response: Implications for study design and analysis&quot;,&quot;type&quot;:&quot;article-journal&quot;,&quot;volume&quot;:&quot;302&quot;,&quot;container-title-short&quot;:&quot;Am. J. Physiol. Regul. Integr. Comp. Physiol.&quot;},&quot;uris&quot;:[&quot;http://www.mendeley.com/documents/?uuid=8702d5d2-8d51-47a9-aef5-97be66b5bdf0&quot;],&quot;isTemporary&quot;:false,&quot;legacyDesktopId&quot;:&quot;8702d5d2-8d51-47a9-aef5-97be66b5bdf0&quot;}]},{&quot;citationID&quot;:&quot;MENDELEY_CITATION_cbdb6245-551f-4ff4-b045-8afa432a0544&quot;,&quot;properties&quot;:{&quot;noteIndex&quot;:0},&quot;isEdited&quot;:false,&quot;manualOverride&quot;:{&quot;citeprocText&quot;:&quot;[3]&quot;,&quot;isManuallyOverridden&quot;:false,&quot;manualOverrideText&quot;:&quot;&quot;},&quot;citationTag&quot;:&quot;MENDELEY_CITATION_v3_eyJjaXRhdGlvbklEIjoiTUVOREVMRVlfQ0lUQVRJT05fY2JkYjYyNDUtNTUxZi00ZmY0LWIwNDUtOGFmYTQzMmEwNTQ0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04227ea6-4f81-4955-bf43-9f3036c631c9&quot;,&quot;properties&quot;:{&quot;noteIndex&quot;:0},&quot;isEdited&quot;:false,&quot;manualOverride&quot;:{&quot;citeprocText&quot;:&quot;[191,192]&quot;,&quot;isManuallyOverridden&quot;:false,&quot;manualOverrideText&quot;:&quot;&quot;},&quot;citationTag&quot;:&quot;MENDELEY_CITATION_v3_eyJjaXRhdGlvbklEIjoiTUVOREVMRVlfQ0lUQVRJT05fMDQyMjdlYTYtNGY4MS00OTU1LWJmNDMtOWYzMDM2YzYzMWM5IiwicHJvcGVydGllcyI6eyJub3RlSW5kZXgiOjB9LCJpc0VkaXRlZCI6ZmFsc2UsIm1hbnVhbE92ZXJyaWRlIjp7ImNpdGVwcm9jVGV4dCI6IlsxOTEsMTkyX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&quot;,&quot;citationItems&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id&quot;:&quot;505ac833-8de1-566c-b8c7-1b78a3bef9ca&quot;,&quot;itemData&quot;:{&quot;DOI&quot;:&quot;10.1126/sciadv.aau6356&quot;,&quot;ISSN&quot;:&quot;2375-2548&quot;,&quot;abstract&quot;:&quot;Waterproof epidermal microfluidics enable collection and analysis of sweat during aquatic exercise.&quot;,&quot;author&quot;:[{&quot;dropping-particle&quot;:&quot;&quot;,&quot;family&quot;:&quot;Reeder&quot;,&quot;given&quot;:&quot;Jonathan T&quot;,&quot;non-dropping-particle&quot;:&quot;&quot;,&quot;parse-names&quot;:false,&quot;suffix&quot;:&quot;&quot;},{&quot;dropping-particle&quot;:&quot;&quot;,&quot;family&quot;:&quot;Choi&quot;,&quot;given&quot;:&quot;Jungil&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Gutruf&quot;,&quot;given&quot;:&quot;Philipp&quot;,&quot;non-dropping-particle&quot;:&quot;&quot;,&quot;parse-names&quot;:false,&quot;suffix&quot;:&quot;&quot;},{&quot;dropping-particle&quot;:&quot;&quot;,&quot;family&quot;:&quot;Hanson&quot;,&quot;given&quot;:&quot;Justin&quot;,&quot;non-dropping-particle&quot;:&quot;&quot;,&quot;parse-names&quot;:false,&quot;suffix&quot;:&quot;&quot;},{&quot;dropping-particle&quot;:&quot;&quot;,&quot;family&quot;:&quot;Liu&quot;,&quot;given&quot;:&quot;Mark&quot;,&quot;non-dropping-particle&quot;:&quot;&quot;,&quot;parse-names&quot;:false,&quot;suffix&quot;:&quot;&quot;},{&quot;dropping-particle&quot;:&quot;&quot;,&quot;family&quot;:&quot;Ray&quot;,&quot;given&quot;:&quot;Tyler&quot;,&quot;non-dropping-particle&quot;:&quot;&quot;,&quot;parse-names&quot;:false,&quot;suffix&quot;:&quot;&quot;},{&quot;dropping-particle&quot;:&quot;&quot;,&quot;family&quot;:&quot;Bandodkar&quot;,&quot;given&quot;:&quot;Amay J&quot;,&quot;non-dropping-particle&quot;:&quot;&quot;,&quot;parse-names&quot;:false,&quot;suffix&quot;:&quot;&quot;},{&quot;dropping-particle&quot;:&quot;&quot;,&quot;family&quot;:&quot;Avila&quot;,&quot;given&quot;:&quot;Raudel&quot;,&quot;non-dropping-particle&quot;:&quot;&quot;,&quot;parse-names&quot;:false,&quot;suffix&quot;:&quot;&quot;},{&quot;dropping-particle&quot;:&quot;&quot;,&quot;family&quot;:&quot;Xia&quot;,&quot;given&quot;:&quot;Wei&quot;,&quot;non-dropping-particle&quot;:&quot;&quot;,&quot;parse-names&quot;:false,&quot;suffix&quot;:&quot;&quot;},{&quot;dropping-particle&quot;:&quot;&quot;,&quot;family&quot;:&quot;Krishnan&quot;,&quot;given&quot;:&quot;Siddharth&quot;,&quot;non-dropping-particle&quot;:&quot;&quot;,&quot;parse-names&quot;:false,&quot;suffix&quot;:&quot;&quot;},{&quot;dropping-particle&quot;:&quot;&quot;,&quot;family&quot;:&quot;Xu&quot;,&quot;given&quot;:&quot;Shuai&quot;,&quot;non-dropping-particle&quot;:&quot;&quot;,&quot;parse-names&quot;:false,&quot;suffix&quot;:&quot;&quot;},{&quot;dropping-particle&quot;:&quot;&quot;,&quot;family&quot;:&quot;Barnes&quot;,&quot;given&quot;:&quot;Kelly&quot;,&quot;non-dropping-particle&quot;:&quot;&quot;,&quot;parse-names&quot;:false,&quot;suffix&quot;:&quot;&quot;},{&quot;dropping-particle&quot;:&quot;&quot;,&quot;family&quot;:&quot;Pahnke&quot;,&quot;given&quot;:&quot;Matthew&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505ac833-8de1-566c-b8c7-1b78a3bef9ca&quot;,&quot;issue&quot;:&quot;1&quot;,&quot;issued&quot;:{&quot;date-parts&quot;:[[&quot;2019&quot;,&quot;1&quot;,&quot;4&quot;]]},&quot;title&quot;:&quot;Waterproof, electronics-enabled, epidermal microfluidic devices for sweat collection, biomarker analysis, and thermography in aquatic settings&quot;,&quot;type&quot;:&quot;article-journal&quot;,&quot;volume&quot;:&quot;5&quot;,&quot;container-title-short&quot;:&quot;Sci. Adv.&quot;},&quot;uris&quot;:[&quot;http://www.mendeley.com/documents/?uuid=34fecc02-f62d-43d7-a4a2-948758cc98a7&quot;],&quot;isTemporary&quot;:false,&quot;legacyDesktopId&quot;:&quot;34fecc02-f62d-43d7-a4a2-948758cc98a7&quot;}]},{&quot;citationID&quot;:&quot;MENDELEY_CITATION_82a48a59-de35-4657-b87c-845d5f18bef5&quot;,&quot;properties&quot;:{&quot;noteIndex&quot;:0},&quot;isEdited&quot;:false,&quot;manualOverride&quot;:{&quot;citeprocText&quot;:&quot;[11,183,205]&quot;,&quot;isManuallyOverridden&quot;:false,&quot;manualOverrideText&quot;:&quot;&quot;},&quot;citationTag&quot;:&quot;MENDELEY_CITATION_v3_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id&quot;:&quot;d8424e69-36e2-5f10-9e08-72daeab825f6&quot;,&quot;itemData&quot;:{&quot;DOI&quot;:&quot;10.1111/j.1469-8986.2009.00972.x&quot;,&quot;ISSN&quot;:&quot;00485772&quot;,&quot;PMID&quot;:&quot;20230512&quot;,&quot;abstract&quot;:&quot;Skin conductance (SC) data are usually characterized by a sequence of overlapping phasic skin conductance responses (SCRs) overlying a tonic component. The variability of SCR shapes hereby complicates the proper decomposition of SC data. A method is proposed for full decomposition of SC data into tonic and phasic components. A two-compartment diffusion model was found to adequately describe a standard SCR shape based on the process of sweat diffusion. Nonnegative deconvolution is used to decompose SC data into discrete compact responses and at the same time assess deviations from the standard SCR shape, which could be ascribed to the additional process of pore opening. Based on the result of single non-overlapped SCRs, response parameters can be estimated precisely as shown in a paradigm with varying inter-stimulus intervals. Copyright © 2010 Society for Psychophysiological Research.&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Psychophysiology&quot;,&quot;id&quot;:&quot;d8424e69-36e2-5f10-9e08-72daeab825f6&quot;,&quot;issue&quot;:&quot;4&quot;,&quot;issued&quot;:{&quot;date-parts&quot;:[[&quot;2010&quot;]]},&quot;page&quot;:&quot;647-658&quot;,&quot;title&quot;:&quot;Decomposition of skin conductance data by means of nonnegative deconvolution&quot;,&quot;type&quot;:&quot;article-journal&quot;,&quot;volume&quot;:&quot;47&quot;,&quot;container-title-short&quot;:&quot;Psychophysiology&quot;},&quot;uris&quot;:[&quot;http://www.mendeley.com/documents/?uuid=3c3959a4-5903-4429-9d7b-9e01e40e5cc5&quot;,&quot;http://www.mendeley.com/documents/?uuid=107f8e9a-b53e-457b-b15e-01eee77019ef&quot;],&quot;isTemporary&quot;:false,&quot;legacyDesktopId&quot;:&quot;3c3959a4-5903-4429-9d7b-9e01e40e5cc5&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5aa87d70-dc04-4fca-90ef-28190d2d1d5b&quot;,&quot;properties&quot;:{&quot;noteIndex&quot;:0},&quot;isEdited&quot;:false,&quot;manualOverride&quot;:{&quot;citeprocText&quot;:&quot;[13,206]&quot;,&quot;isManuallyOverridden&quot;:false,&quot;manualOverrideText&quot;:&quot;&quot;},&quot;citationTag&quot;:&quot;MENDELEY_CITATION_v3_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&quot;,&quot;citationItems&quot;:[{&quot;id&quot;:&quot;0f5ba7cb-9b2e-5369-82f1-520db473b153&quot;,&quot;itemData&quot;:{&quot;DOI&quot;:&quot;10.1152/ajpregu.1984.246.3.r321&quot;,&quot;ISSN&quot;:&quot;03636119&quot;,&quot;PMID&quot;:&quot;6703085&quot;,&quot;abstract&quot;:&quot;To characterize the changes in the control of the heat loss responses associated with the circadian variation in body temperature, we studied five men during 20 min of exercise in 25°C on 6 separate days. Experiments were conducted at six times equally spaced over the 24-h day. Esophageal temperature [T(es)] and chest sweat rate [mE{sw)] were measured continuously, and forearm blood flow (FBF) was measured one to two times per minute. The thresholds for sweating and forearm vasodilation were significantly higher at 1600 and 2000 than at 2400 and 0400, averaging 0.57 and 0.65°C higher, respectively, at 1600 than at 0400. resting T(es) and the T(es) thresholds for cutaneous vasodilation and sweating during exercise all showed a similar circadian rhythm. The level at which core temperature is regulated therefore varies over the 24-h day with the zenith occurring around 1600 and the nadir at 0400. However, whereas the slope of the ṁ(sw)-to-T(es) relation did not change over the 24-h day, the slope of the FBF-to-T(es) relation tended to increae between 0400 and 2400, implying that the circadian rhythm may be more complex than just a shift in the central reference temperature.&quot;,&quot;author&quot;:[{&quot;dropping-particle&quot;:&quot;&quot;,&quot;family&quot;:&quot;Stephenson&quot;,&quot;given&quot;:&quot;L. A.&quot;,&quot;non-dropping-particle&quot;:&quot;&quot;,&quot;parse-names&quot;:false,&quot;suffix&quot;:&quot;&quot;},{&quot;dropping-particle&quot;:&quot;&quot;,&quot;family&quot;:&quot;Wenger&quot;,&quot;given&quot;:&quot;C. B.&quot;,&quot;non-dropping-particle&quot;:&quot;&quot;,&quot;parse-names&quot;:false,&quot;suffix&quot;:&quot;&quot;},{&quot;dropping-particle&quot;:&quot;&quot;,&quot;family&quot;:&quot;O'Donovan&quot;,&quot;given&quot;:&quot;B. H.&quot;,&quot;non-dropping-particle&quot;:&quot;&quot;,&quot;parse-names&quot;:false,&quot;suffix&quot;:&quot;&quot;},{&quot;dropping-particle&quot;:&quot;&quot;,&quot;family&quot;:&quot;Nadel&quot;,&quot;given&quot;:&quot;E. R.&quot;,&quot;non-dropping-particle&quot;:&quot;&quot;,&quot;parse-names&quot;:false,&quot;suffix&quot;:&quot;&quot;}],&quot;container-title&quot;:&quot;American Journal of Physiology - Regulatory Integrative and Comparative Physiology&quot;,&quot;id&quot;:&quot;0f5ba7cb-9b2e-5369-82f1-520db473b153&quot;,&quot;issue&quot;:&quot;3&quot;,&quot;issued&quot;:{&quot;date-parts&quot;:[[&quot;1984&quot;]]},&quot;page&quot;:&quot;321-324&quot;,&quot;title&quot;:&quot;Circadian rhythm in sweating and cutaneous blood flow&quot;,&quot;type&quot;:&quot;article-journal&quot;,&quot;volume&quot;:&quot;15&quot;,&quot;container-title-short&quot;:&quot;Am. J. Physiol. Regul. Integr. Comp. Physiol.&quot;},&quot;uris&quot;:[&quot;http://www.mendeley.com/documents/?uuid=79ee31eb-6070-4149-9f80-a8d260c2dd80&quot;],&quot;isTemporary&quot;:false,&quot;legacyDesktopId&quot;:&quot;79ee31eb-6070-4149-9f80-a8d260c2dd80&quot;},{&quot;id&quot;:&quot;ca66982c-ca99-51d6-83df-d27b78f7fbe4&quot;,&quot;itemData&quot;:{&quot;DOI&quot;:&quot;10.1046/j.1365-201X.1997.d01-1981.x&quot;,&quot;ISSN&quot;:&quot;00016772&quot;,&quot;PMID&quot;:&quot;9401593&quot;,&quot;abstract&quot;:&quot;The aim of present study was to examine whether sweating responses to passive heat stress change with the circadian rhythm of internal temperature. Six men had their legs immersed in water at 42 °C for 60 min in an ambient temperature of 28 °C on four separate days. Experiments were conducted at four different times [06.00 h (morning), 12.00 h (daytime), 18.00 h (evening) and 24.00 h (night)]. We measured oesophageal temperature (T(oes)), mean body temperature (T̄(b)), local sweating rate (m(sw)) on the forehead, back, forearm and thigh, the densities of activated sweat gland (ASG) on the back, forearm and thigh, and the frequency of sweat expulsion per minute (F(sw)) which has been suggested to represent central sudomotor activity. Sweat gland output (SGO) on each site was calculated by dividing m(sw) by ASG. ASG was significantly higher on the forearm than on the back and thigh, and SGO was significantly lower on the forearm than on the back and thigh. However, ASG and SGO did not significantly change over the day. T̄(b) and T(oes) thresholds for the onset of sweating showed a significant change with both the temperature rhythms at rest prior to each procedure, while the slopes of the relationships F(sw)- T̄(b) and m(sw) - F(sw), showed no significant difference over the day. We suggest that the circadian variation of sweating response to passive heat stress is regulated by a central sudomotor mechanism rather than by sweat gland function.&quot;,&quot;author&quot;:[{&quot;dropping-particle&quot;:&quot;&quot;,&quot;family&quot;:&quot;Aoki&quot;,&quot;given&quot;:&quot;K.&quot;,&quot;non-dropping-particle&quot;:&quot;&quot;,&quot;parse-names&quot;:false,&quot;suffix&quot;:&quot;&quot;},{&quot;dropping-particle&quot;:&quot;&quot;,&quot;family&quot;:&quot;Kondo&quot;,&quot;given&quot;:&quot;N.&quot;,&quot;non-dropping-particle&quot;:&quot;&quot;,&quot;parse-names&quot;:false,&quot;suffix&quot;:&quot;&quot;},{&quot;dropping-particle&quot;:&quot;&quot;,&quot;family&quot;:&quot;Shibasaki&quot;,&quot;given&quot;:&quot;M.&quot;,&quot;non-dropping-particle&quot;:&quot;&quot;,&quot;parse-names&quot;:false,&quot;suffix&quot;:&quot;&quot;},{&quot;dropping-particle&quot;:&quot;&quot;,&quot;family&quot;:&quot;Takano&quot;,&quot;given&quot;:&quot;S.&quot;,&quot;non-dropping-particle&quot;:&quot;&quot;,&quot;parse-names&quot;:false,&quot;suffix&quot;:&quot;&quot;},{&quot;dropping-particle&quot;:&quot;&quot;,&quot;family&quot;:&quot;Tominaga&quot;,&quot;given&quot;:&quot;H.&quot;,&quot;non-dropping-particle&quot;:&quot;&quot;,&quot;parse-names&quot;:false,&quot;suffix&quot;:&quot;&quot;},{&quot;dropping-particle&quot;:&quot;&quot;,&quot;family&quot;:&quot;Katsuura&quot;,&quot;given&quot;:&quot;T.&quot;,&quot;non-dropping-particle&quot;:&quot;&quot;,&quot;parse-names&quot;:false,&quot;suffix&quot;:&quot;&quot;}],&quot;container-title&quot;:&quot;Acta Physiologica Scandinavica&quot;,&quot;id&quot;:&quot;ca66982c-ca99-51d6-83df-d27b78f7fbe4&quot;,&quot;issue&quot;:&quot;3&quot;,&quot;issued&quot;:{&quot;date-parts&quot;:[[&quot;1997&quot;]]},&quot;page&quot;:&quot;397-402&quot;,&quot;title&quot;:&quot;Circadian variation of sweating responses to passive heat stress&quot;,&quot;type&quot;:&quot;article-journal&quot;,&quot;volume&quot;:&quot;161&quot;,&quot;container-title-short&quot;:&quot;Acta Physiol. Scand.&quot;},&quot;uris&quot;:[&quot;http://www.mendeley.com/documents/?uuid=be83b7fb-303d-4456-9094-2a00852e723a&quot;],&quot;isTemporary&quot;:false,&quot;legacyDesktopId&quot;:&quot;be83b7fb-303d-4456-9094-2a00852e723a&quot;}]},{&quot;citationID&quot;:&quot;MENDELEY_CITATION_627c7132-2b2b-4796-b3c0-5d3657ff3416&quot;,&quot;properties&quot;:{&quot;noteIndex&quot;:0},&quot;isEdited&quot;:false,&quot;manualOverride&quot;:{&quot;citeprocText&quot;:&quot;[207]&quot;,&quot;isManuallyOverridden&quot;:false,&quot;manualOverrideText&quot;:&quot;&quot;},&quot;citationTag&quot;:&quot;MENDELEY_CITATION_v3_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&quot;,&quot;citationItems&quot;:[{&quot;id&quot;:&quot;b03d3e2c-24fa-5e00-b0ac-a33c93cb0c85&quot;,&quot;itemData&quot;:{&quot;DOI&quot;:&quot;10.1007/s004240050530&quot;,&quot;ISSN&quot;:&quot;00316768&quot;,&quot;PMID&quot;:&quot;9426297&quot;,&quot;abstract&quot;:&quot;Thermoregulatory defenses are characterized by thresholds, the core temperatures triggering each response. Core body temperature is normally maintained within the interthreshold range, temperatures between the sweating and vasoconstriction thresholds that do not trigger autonomic defenses. This range usually spans only some 0.2°C, but it remains unknown whether similar precision is maintained during the circadian core temperature cycle of about 0.8°C. Accordingly, we evaluated the interthreshold range at four times of the day. We studied ten male volunteers, each at 3 a.m., 8 a.m., 3 p.m., and 8 p.m. At least 12 h elapsed between tests, and the order was randomly assigned. At each study time, volunteers were warmed peripherally until sweating was observed. Skin temperature was subsequently kept constant while core temperature was decreased by central-venous infusion of ice-cold fluid until peripheral vasoconstriction was detected. The volunteers were not permitted to sleep during threshold determinations, although sleep was not otherwise controlled. The core temperature triggering an evaporative water loss of 40 g·m-2·h-1 identified the sweating threshold. Similarly, the vasoconstriction threshold was defined by the core temperature triggering the initial decreases in plethysmographic finger tip blood flow. The interthreshold range at 3 a.m. was twice that observed at the other study times (P &lt; 0.05). Our data suggest that autonomic control of body temperature is reduced at 3 a.m., even when sleep is denied. This result contradicts the general perception that circadian variation alters the thermoregulatory target temperature, but not precision of body temperature control.&quot;,&quot;author&quot;:[{&quot;dropping-particle&quot;:&quot;&quot;,&quot;family&quot;:&quot;Tayefeh&quot;,&quot;given&quot;:&quot;Farzin&quot;,&quot;non-dropping-particle&quot;:&quot;&quot;,&quot;parse-names&quot;:false,&quot;suffix&quot;:&quot;&quot;},{&quot;dropping-particle&quot;:&quot;&quot;,&quot;family&quot;:&quot;Plattner&quot;,&quot;given&quot;:&quot;Olga&quot;,&quot;non-dropping-particle&quot;:&quot;&quot;,&quot;parse-names&quot;:false,&quot;suffix&quot;:&quot;&quot;},{&quot;dropping-particle&quot;:&quot;&quot;,&quot;family&quot;:&quot;Sessler&quot;,&quot;given&quot;:&quot;Daniel I.&quot;,&quot;non-dropping-particle&quot;:&quot;&quot;,&quot;parse-names&quot;:false,&quot;suffix&quot;:&quot;&quot;},{&quot;dropping-particle&quot;:&quot;&quot;,&quot;family&quot;:&quot;Ikeda&quot;,&quot;given&quot;:&quot;Takehiko&quot;,&quot;non-dropping-particle&quot;:&quot;&quot;,&quot;parse-names&quot;:false,&quot;suffix&quot;:&quot;&quot;},{&quot;dropping-particle&quot;:&quot;&quot;,&quot;family&quot;:&quot;Marder&quot;,&quot;given&quot;:&quot;Danielle&quot;,&quot;non-dropping-particle&quot;:&quot;&quot;,&quot;parse-names&quot;:false,&quot;suffix&quot;:&quot;&quot;}],&quot;container-title&quot;:&quot;Pflugers Archiv European Journal of Physiology&quot;,&quot;id&quot;:&quot;b03d3e2c-24fa-5e00-b0ac-a33c93cb0c85&quot;,&quot;issue&quot;:&quot;3&quot;,&quot;issued&quot;:{&quot;date-parts&quot;:[[&quot;1998&quot;]]},&quot;page&quot;:&quot;402-406&quot;,&quot;title&quot;:&quot;Circadian changes in the sweating-to-vasoconstriction interthreshold range&quot;,&quot;type&quot;:&quot;article-journal&quot;,&quot;volume&quot;:&quot;435&quot;,&quot;container-title-short&quot;:&quot;Pflugers Arch.&quot;},&quot;uris&quot;:[&quot;http://www.mendeley.com/documents/?uuid=18ffb62b-3c06-4d6c-9d31-95b2c4899b13&quot;],&quot;isTemporary&quot;:false,&quot;legacyDesktopId&quot;:&quot;18ffb62b-3c06-4d6c-9d31-95b2c4899b13&quot;}]},{&quot;citationID&quot;:&quot;MENDELEY_CITATION_d644523d-560b-482e-bdb3-95f420108eea&quot;,&quot;properties&quot;:{&quot;noteIndex&quot;:0},&quot;isEdited&quot;:false,&quot;manualOverride&quot;:{&quot;citeprocText&quot;:&quot;[208]&quot;,&quot;isManuallyOverridden&quot;:false,&quot;manualOverrideText&quot;:&quot;&quot;},&quot;citationTag&quot;:&quot;MENDELEY_CITATION_v3_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&quot;,&quot;citationItems&quot;:[{&quot;id&quot;:&quot;1f9d6490-2eea-53ef-810e-cd216a8e588b&quot;,&quot;itemData&quot;:{&quot;DOI&quot;:&quot;https://doi.org/10.1152/jappl.1975.39.2.226&quot;,&quot;author&quot;:[{&quot;dropping-particle&quot;:&quot;&quot;,&quot;family&quot;:&quot;Timbal&quot;,&quot;given&quot;:&quot;Jean&quot;,&quot;non-dropping-particle&quot;:&quot;&quot;,&quot;parse-names&quot;:false,&quot;suffix&quot;:&quot;&quot;},{&quot;dropping-particle&quot;:&quot;&quot;,&quot;family&quot;:&quot;Colin&quot;,&quot;given&quot;:&quot;Jean&quot;,&quot;non-dropping-particle&quot;:&quot;&quot;,&quot;parse-names&quot;:false,&quot;suffix&quot;:&quot;&quot;},{&quot;dropping-particle&quot;:&quot;&quot;,&quot;family&quot;:&quot;Boutelier&quot;,&quot;given&quot;:&quot;Charles&quot;,&quot;non-dropping-particle&quot;:&quot;&quot;,&quot;parse-names&quot;:false,&quot;suffix&quot;:&quot;&quot;}],&quot;container-title&quot;:&quot;Journal of Applied Physiology&quot;,&quot;id&quot;:&quot;1f9d6490-2eea-53ef-810e-cd216a8e588b&quot;,&quot;issue&quot;:&quot;2&quot;,&quot;issued&quot;:{&quot;date-parts&quot;:[[&quot;1975&quot;]]},&quot;page&quot;:&quot;226-230&quot;,&quot;title&quot;:&quot;Circadian variations in the sweating mechanism&quot;,&quot;type&quot;:&quot;article-journal&quot;,&quot;volume&quot;:&quot;39&quot;,&quot;container-title-short&quot;:&quot;J. Appl. Physiol.&quot;},&quot;uris&quot;:[&quot;http://www.mendeley.com/documents/?uuid=cf571c01-7c1f-497e-b94d-041ea692d2fe&quot;],&quot;isTemporary&quot;:false,&quot;legacyDesktopId&quot;:&quot;cf571c01-7c1f-497e-b94d-041ea692d2fe&quot;}]},{&quot;citationID&quot;:&quot;MENDELEY_CITATION_a808ef46-ec05-4968-9cc8-c0f0ad8dd307&quot;,&quot;properties&quot;:{&quot;noteIndex&quot;:0},&quot;isEdited&quot;:false,&quot;manualOverride&quot;:{&quot;citeprocText&quot;:&quot;[209,210]&quot;,&quot;isManuallyOverridden&quot;:false,&quot;manualOverrideText&quot;:&quot;&quot;},&quot;citationTag&quot;:&quot;MENDELEY_CITATION_v3_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&quot;,&quot;citationItems&quot;:[{&quot;id&quot;:&quot;e447cbef-4c40-5c6a-a1c9-5acb86237f1e&quot;,&quot;itemData&quot;:{&quot;DOI&quot;:&quot;10.1080/07420528.2018.1486852&quot;,&quot;ISSN&quot;:&quot;15256073&quot;,&quot;PMID&quot;:&quot;29939768&quot;,&quot;abstract&quot;:&quot;Probing the electrical response of the human body is minimally invasive and a promising area of investigation for future health care. The electrical responses of individuals may vary depending on daily physiological rhythms or environmental changes, which may hamper their prediction for pathological status. In this study, we observed circadian expressions via both alternating current (AC) and direct current (DC) electrical responses of the human body using bioelectrical impedance analysis (BIA) and electrodermal activity (EDA). In total, 14 healthy adults (9 males and 5 females) participated and were hospitalized for 2 nights with controlled caloric intake, sleep hours and residential conditions. The EDA data showed a significant circadian rhythm, but the BIA data did not show significant modulations during the measurement period. No difference was found between circadian changes in male and female participants. The acrophase of the EDA voltage response showed similar behavior with variations in the heart rate variability, with a resistance minimum occurring at approximately 4 pm, implying that the behavior of the EDA is probably affected by the sympathetic nerve response. Moreover, the resistance of the EDA varied by up to 15% from its mean value, which suggests that circadian variations cannot be neglected for the correct diagnosis of pathological conditions. In contrast, the BIA method did not show this circadian variation but showed independent results over the measurement period. This difference in performance implies that the DC and AC responses of the human body contain different electrophysiological information.&quot;,&quot;author&quot;:[{&quot;dropping-particle&quot;:&quot;&quot;,&quot;family&quot;:&quot;Kim&quot;,&quot;given&quot;:&quot;Jungyoon&quot;,&quot;non-dropping-particle&quot;:&quot;&quot;,&quot;parse-names&quot;:false,&quot;suffix&quot;:&quot;&quot;},{&quot;dropping-particle&quot;:&quot;&quot;,&quot;family&quot;:&quot;Ku&quot;,&quot;given&quot;:&quot;Boncho&quot;,&quot;non-dropping-particle&quot;:&quot;&quot;,&quot;parse-names&quot;:false,&quot;suffix&quot;:&quot;&quot;},{&quot;dropping-particle&quot;:&quot;&quot;,&quot;family&quot;:&quot;Bae&quot;,&quot;given&quot;:&quot;Jang Han&quot;,&quot;non-dropping-particle&quot;:&quot;&quot;,&quot;parse-names&quot;:false,&quot;suffix&quot;:&quot;&quot;},{&quot;dropping-particle&quot;:&quot;&quot;,&quot;family&quot;:&quot;Han&quot;,&quot;given&quot;:&quot;Gyu Cheol&quot;,&quot;non-dropping-particle&quot;:&quot;&quot;,&quot;parse-names&quot;:false,&quot;suffix&quot;:&quot;&quot;},{&quot;dropping-particle&quot;:&quot;&quot;,&quot;family&quot;:&quot;Kim&quot;,&quot;given&quot;:&quot;Jaeuk U.&quot;,&quot;non-dropping-particle&quot;:&quot;&quot;,&quot;parse-names&quot;:false,&quot;suffix&quot;:&quot;&quot;}],&quot;container-title&quot;:&quot;Chronobiology International&quot;,&quot;id&quot;:&quot;e447cbef-4c40-5c6a-a1c9-5acb86237f1e&quot;,&quot;issue&quot;:&quot;10&quot;,&quot;issued&quot;:{&quot;date-parts&quot;:[[&quot;2018&quot;]]},&quot;page&quot;:&quot;1413-1422&quot;,&quot;title&quot;:&quot;Contrast in the circadian behaviors of an electrodermal activity and bioimpedance spectroscopy&quot;,&quot;type&quot;:&quot;article&quot;,&quot;volume&quot;:&quot;35&quot;,&quot;container-title-short&quot;:&quot;Chronobiol. Int.&quot;},&quot;uris&quot;:[&quot;http://www.mendeley.com/documents/?uuid=ea6fa6f2-affc-4102-ba2f-5c0942a89a04&quot;],&quot;isTemporary&quot;:false,&quot;legacyDesktopId&quot;:&quot;ea6fa6f2-affc-4102-ba2f-5c0942a89a04&quot;},{&quot;id&quot;:&quot;48b3adff-6c70-5e79-bcf1-6603713ef71a&quot;,&quot;itemData&quot;:{&quot;DOI&quot;:&quot;10.1016/j.ijpsycho.2014.09.011&quot;,&quot;ISSN&quot;:&quot;18727697&quot;,&quot;PMID&quot;:&quot;25286449&quot;,&quot;abstract&quot;:&quot;We present the first quantitative characterization of electrodermal activity (EDA) patterns on the wrists of healthy adults during sleep using dry electrodes. We compare the new results on the wrist to the prior findings on palmar or finger EDA by characterizing data measured from 80 nights of sleep consisting of 9 nights of wrist and palm EDA from 9 healthy adults sleeping at home, 56 nights of wrist and palm EDA from one healthy adult sleeping at home, and 15 nights of wrist EDA from 15 healthy adults in a sleep laboratory, with the latter compared to concurrent polysomnography. While high frequency patterns of EDA called \&quot;storms\&quot; were identified by eye in the 1960s, we systematically compare thresholds for automatically detecting EDA peaks and establish criteria for EDA storms. We found that more than 80% of the EDA peaks occurred in non-REM sleep, specifically during slow-wave sleep (SWS) and non-REM stage 2 sleep (NREM2). Also, EDA amplitude is higher in SWS than in other sleep stages. Longer EDA storms were more likely to occur in the first two quarters of sleep and during SWS and NREM2. We also found from the home studies (65 nights) that EDA levels were higher and the skin conductance peaks were larger and more frequent when measured on the wrist than when measured on the palm. These EDA high frequency peaks and high amplitude were sometimes associated with higher skin temperature, but more work is needed looking at neurological and other EDA elicitors in order to elucidate their complete behavior.&quot;,&quot;author&quot;:[{&quot;dropping-particle&quot;:&quot;&quot;,&quot;family&quot;:&quot;Sano&quot;,&quot;given&quot;:&quot;Akane&quot;,&quot;non-dropping-particle&quot;:&quot;&quot;,&quot;parse-names&quot;:false,&quot;suffix&quot;:&quot;&quot;},{&quot;dropping-particle&quot;:&quot;&quot;,&quot;family&quot;:&quot;Picard&quot;,&quot;given&quot;:&quot;Rosalind W.&quot;,&quot;non-dropping-particle&quot;:&quot;&quot;,&quot;parse-names&quot;:false,&quot;suffix&quot;:&quot;&quot;},{&quot;dropping-particle&quot;:&quot;&quot;,&quot;family&quot;:&quot;Stickgold&quot;,&quot;given&quot;:&quot;Robert&quot;,&quot;non-dropping-particle&quot;:&quot;&quot;,&quot;parse-names&quot;:false,&quot;suffix&quot;:&quot;&quot;}],&quot;container-title&quot;:&quot;International Journal of Psychophysiology&quot;,&quot;id&quot;:&quot;48b3adff-6c70-5e79-bcf1-6603713ef71a&quot;,&quot;issue&quot;:&quot;3&quot;,&quot;issued&quot;:{&quot;date-parts&quot;:[[&quot;2014&quot;]]},&quot;page&quot;:&quot;382-389&quot;,&quot;publisher&quot;:&quot;Elsevier B.V.&quot;,&quot;title&quot;:&quot;Quantitative analysis of wrist electrodermal activity during sleep&quot;,&quot;type&quot;:&quot;article-journal&quot;,&quot;volume&quot;:&quot;94&quot;,&quot;container-title-short&quot;:&quot;&quot;},&quot;uris&quot;:[&quot;http://www.mendeley.com/documents/?uuid=53a55dec-7ed2-4f3a-9b5a-ec3936b8a18c&quot;],&quot;isTemporary&quot;:false,&quot;legacyDesktopId&quot;:&quot;53a55dec-7ed2-4f3a-9b5a-ec3936b8a18c&quot;}]},{&quot;citationID&quot;:&quot;MENDELEY_CITATION_5846ba57-c1e9-4beb-bd04-7f42740d0dc6&quot;,&quot;properties&quot;:{&quot;noteIndex&quot;:0},&quot;isEdited&quot;:false,&quot;manualOverride&quot;:{&quot;citeprocText&quot;:&quot;[119,211]&quot;,&quot;isManuallyOverridden&quot;:false,&quot;manualOverrideText&quot;:&quot;&quot;},&quot;citationTag&quot;:&quot;MENDELEY_CITATION_v3_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&quot;,&quot;citationItems&quot;:[{&quot;id&quot;:&quot;0596ae73-c31c-536c-be6f-aaded35aa23d&quot;,&quot;itemData&quot;:{&quot;DOI&quot;:&quot;10.1126/science.284.5423.2177&quot;,&quot;ISSN&quot;:&quot;00368075&quot;,&quot;PMID&quot;:&quot;10381883&quot;,&quot;abstract&quot;:&quot;Regulation of circadian period in humans was thought to differ from that of other species, with the period of the activity rhythm reported to range from 13 to 65 hours (median 25.2 hours) and the period of the body temperature rhythm reported to average 25 hours in adulthood, and to shorten with age. However, those observations were based on studies of humans exposed to light levels sufficient to confound circadian period estimation. Precise estimation of the periods of the endogenous circadian rhythms of melatonin, core body temperature, and cortisol in healthy young and older individuals living in carefully controlled lighting conditions has now revealed that the intrinsic period of the human Circadian pacemaker averages 24.18 hours in both age groups, with a tight distribution consistent with other species. These findings have important implications for understanding the pathophysiology of disrupted sleep in older people.&quot;,&quot;author&quot;:[{&quot;dropping-particle&quot;:&quot;&quot;,&quot;family&quot;:&quot;Czeisler&quot;,&quot;given&quot;:&quot;Charles A.&quot;,&quot;non-dropping-particle&quot;:&quot;&quot;,&quot;parse-names&quot;:false,&quot;suffix&quot;:&quot;&quot;},{&quot;dropping-particle&quot;:&quot;&quot;,&quot;family&quot;:&quot;Duffy&quot;,&quot;given&quot;:&quot;Jeanne F.&quot;,&quot;non-dropping-particle&quot;:&quot;&quot;,&quot;parse-names&quot;:false,&quot;suffix&quot;:&quot;&quot;},{&quot;dropping-particle&quot;:&quot;&quot;,&quot;family&quot;:&quot;Shanahan&quot;,&quot;given&quot;:&quot;Theresa L.&quot;,&quot;non-dropping-particle&quot;:&quot;&quot;,&quot;parse-names&quot;:false,&quot;suffix&quot;:&quot;&quot;},{&quot;dropping-particle&quot;:&quot;&quot;,&quot;family&quot;:&quot;Brown&quot;,&quot;given&quot;:&quot;Emery N.&quot;,&quot;non-dropping-particle&quot;:&quot;&quot;,&quot;parse-names&quot;:false,&quot;suffix&quot;:&quot;&quot;},{&quot;dropping-particle&quot;:&quot;&quot;,&quot;family&quot;:&quot;Mitchell&quot;,&quot;given&quot;:&quot;Jude F.&quot;,&quot;non-dropping-particle&quot;:&quot;&quot;,&quot;parse-names&quot;:false,&quot;suffix&quot;:&quot;&quot;},{&quot;dropping-particle&quot;:&quot;&quot;,&quot;family&quot;:&quot;Rimmer&quot;,&quot;given&quot;:&quot;David W.&quot;,&quot;non-dropping-particle&quot;:&quot;&quot;,&quot;parse-names&quot;:false,&quot;suffix&quot;:&quot;&quot;},{&quot;dropping-particle&quot;:&quot;&quot;,&quot;family&quot;:&quot;Ronda&quot;,&quot;given&quot;:&quot;Joseph M.&quot;,&quot;non-dropping-particle&quot;:&quot;&quot;,&quot;parse-names&quot;:false,&quot;suffix&quot;:&quot;&quot;},{&quot;dropping-particle&quot;:&quot;&quot;,&quot;family&quot;:&quot;Silva&quot;,&quot;given&quot;:&quot;Edward J.&quot;,&quot;non-dropping-particle&quot;:&quot;&quot;,&quot;parse-names&quot;:false,&quot;suffix&quot;:&quot;&quot;},{&quot;dropping-particle&quot;:&quot;&quot;,&quot;family&quot;:&quot;Allan&quot;,&quot;given&quot;:&quot;James S.&quot;,&quot;non-dropping-particle&quot;:&quot;&quot;,&quot;parse-names&quot;:false,&quot;suffix&quot;:&quot;&quot;},{&quot;dropping-particle&quot;:&quot;&quot;,&quot;family&quot;:&quot;Emens&quot;,&quot;given&quot;:&quot;Jonathan S.&quot;,&quot;non-dropping-particle&quot;:&quot;&quot;,&quot;parse-names&quot;:false,&quot;suffix&quot;:&quot;&quot;},{&quot;dropping-particle&quot;:&quot;&quot;,&quot;family&quot;:&quot;Dijk&quot;,&quot;given&quot;:&quot;Derk Jan&quot;,&quot;non-dropping-particle&quot;:&quot;&quot;,&quot;parse-names&quot;:false,&quot;suffix&quot;:&quot;&quot;},{&quot;dropping-particle&quot;:&quot;&quot;,&quot;family&quot;:&quot;Kronauer&quot;,&quot;given&quot;:&quot;Richard E.&quot;,&quot;non-dropping-particle&quot;:&quot;&quot;,&quot;parse-names&quot;:false,&quot;suffix&quot;:&quot;&quot;}],&quot;container-title&quot;:&quot;Science&quot;,&quot;id&quot;:&quot;0596ae73-c31c-536c-be6f-aaded35aa23d&quot;,&quot;issue&quot;:&quot;5423&quot;,&quot;issued&quot;:{&quot;date-parts&quot;:[[&quot;1999&quot;]]},&quot;page&quot;:&quot;2177-2181&quot;,&quot;title&quot;:&quot;Stability, precision, and near-24-hour period of the human circadian pacemaker&quot;,&quot;type&quot;:&quot;article-journal&quot;,&quot;volume&quot;:&quot;284&quot;,&quot;container-title-short&quot;:&quot;Science (1979).&quot;},&quot;uris&quot;:[&quot;http://www.mendeley.com/documents/?uuid=ea36f089-2630-4c2c-ad9b-2cc7f23c6430&quot;],&quot;isTemporary&quot;:false,&quot;legacyDesktopId&quot;:&quot;ea36f089-2630-4c2c-ad9b-2cc7f23c6430&quot;},{&quot;id&quot;:&quot;ff769e07-3abe-5123-aee1-b9fc02761296&quot;,&quot;itemData&quot;:{&quot;DOI&quot;:&quot;10.1152/ajpregu.2000.278.3.r741&quot;,&quot;ISSN&quot;:&quot;03636119&quot;,&quot;PMID&quot;:&quot;10712296&quot;,&quot;abstract&quot;:&quot;Thermoregulatory processes have long been implicated in initiation of human sleep. The purpose of this study was to evaluate the role of heat loss in sleep initiation, under the controlled conditions of a constant-routine protocol modified to permit nocturnal sleep. Heat loss was indirectly measured by means of the distal-to-proximal skin temperature gradient (DPG). A stepwise regression analysis revealed that the DPG was the best predictor variable for sleep-onset latency (compared with core body temperature or its rate of change, heart rate, melatonin onset, and subjective sleepiness ratings). This study provides evidence that selective vasodilation of distal skin regions (and hence heat loss) promotes the rapid onset of sleep.&quot;,&quot;author&quot;:[{&quot;dropping-particle&quot;:&quot;&quot;,&quot;family&quot;:&quot;Kräuchi&quot;,&quot;given&quot;:&quot;Kurt&quot;,&quot;non-dropping-particle&quot;:&quot;&quot;,&quot;parse-names&quot;:false,&quot;suffix&quot;:&quot;&quot;},{&quot;dropping-particle&quot;:&quot;&quot;,&quot;family&quot;:&quot;Cajochen&quot;,&quot;given&quot;:&quot;Christian&quot;,&quot;non-dropping-particle&quot;:&quot;&quot;,&quot;parse-names&quot;:false,&quot;suffix&quot;:&quot;&quot;},{&quot;dropping-particle&quot;:&quot;&quot;,&quot;family&quot;:&quot;Werth&quot;,&quot;given&quot;:&quot;Esther&quot;,&quot;non-dropping-particle&quot;:&quot;&quot;,&quot;parse-names&quot;:false,&quot;suffix&quot;:&quot;&quot;},{&quot;dropping-particle&quot;:&quot;&quot;,&quot;family&quot;:&quot;Wirz-Justice&quot;,&quot;given&quot;:&quot;Anna&quot;,&quot;non-dropping-particle&quot;:&quot;&quot;,&quot;parse-names&quot;:false,&quot;suffix&quot;:&quot;&quot;}],&quot;container-title&quot;:&quot;American Journal of Physiology - Regulatory Integrative and Comparative Physiology&quot;,&quot;id&quot;:&quot;ff769e07-3abe-5123-aee1-b9fc02761296&quot;,&quot;issue&quot;:&quot;3 47-3&quot;,&quot;issued&quot;:{&quot;date-parts&quot;:[[&quot;2000&quot;]]},&quot;page&quot;:&quot;741-748&quot;,&quot;title&quot;:&quot;Functional link between distal vasodilation and sleep-onset latency?&quot;,&quot;type&quot;:&quot;article-journal&quot;,&quot;volume&quot;:&quot;278&quot;,&quot;container-title-short&quot;:&quot;Am. J. Physiol. Regul. Integr. Comp. Physiol.&quot;},&quot;uris&quot;:[&quot;http://www.mendeley.com/documents/?uuid=4df04e53-f632-49e5-8363-a329dcf714a4&quot;],&quot;isTemporary&quot;:false,&quot;legacyDesktopId&quot;:&quot;4df04e53-f632-49e5-8363-a329dcf714a4&quot;}]},{&quot;citationID&quot;:&quot;MENDELEY_CITATION_b1bee25f-211d-4be7-9737-947916d84edc&quot;,&quot;properties&quot;:{&quot;noteIndex&quot;:0},&quot;isEdited&quot;:false,&quot;manualOverride&quot;:{&quot;citeprocText&quot;:&quot;[212–215]&quot;,&quot;isManuallyOverridden&quot;:false,&quot;manualOverrideText&quot;:&quot;&quot;},&quot;citationTag&quot;:&quot;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&quot;,&quot;citationItems&quot;:[{&quot;id&quot;:&quot;09d344fd-f01d-5410-a6e5-3ada3c385b3b&quot;,&quot;itemData&quot;:{&quot;DOI&quot;:&quot;10.1007/s00421-008-0837-0&quot;,&quot;ISSN&quot;:&quot;14396319&quot;,&quot;PMID&quot;:&quot;18677506&quot;,&quot;abstract&quot;:&quot;We evaluated the hypothesis that different rates of metabolic heat production between sexes, during exercise at the same percentage of maximum oxygen consumption V̇O2max give proportional differences in evaporative heat loss. Seven males and seven females, exercised at 41.3 ± 2.7% V̇O2max for 60-min at 40°C and 30% relative humidity. Whole-body direct air calorimetry measured rate of whole-body evaporative heat loss ḢE while metabolic heat production Ṁ - Ẇ was measured by indirect calorimetry. Ṁ - Ẇ was greater in males (243 ± 18 W m-2) relative to females (201 ±4 W m-2) (P ≤ 0.05) throughout exercise. This was paralleled by a greater ḢE at end-exercise in males (207 ± 51 W m-2) relative to females (180 ± 3 W m-2) (P ≤ 0.05). Differences in metabolic heat production between sexes during exercise at a fixed percentage of V̇O2max give differences in evaporative heat loss. To compare thermoregulatory function between sexes, differences in metabolic heat production must therefore be accounted for. © Springer-Verlag 2008.&quot;,&quot;author&quot;:[{&quot;dropping-particle&quot;:&quot;&quot;,&quot;family&quot;:&quot;Gagnon&quot;,&quot;given&quot;:&quot;Daniel&quot;,&quot;non-dropping-particle&quot;:&quot;&quot;,&quot;parse-names&quot;:false,&quot;suffix&quot;:&quot;&quot;},{&quot;dropping-particle&quot;:&quot;&quot;,&quot;family&quot;:&quot;Jay&quot;,&quot;given&quot;:&quot;Ollie&quot;,&quot;non-dropping-particle&quot;:&quot;&quot;,&quot;parse-names&quot;:false,&quot;suffix&quot;:&quot;&quot;},{&quot;dropping-particle&quot;:&quot;&quot;,&quot;family&quot;:&quot;Lemire&quot;,&quot;given&quot;:&quot;Bruno&quot;,&quot;non-dropping-particle&quot;:&quot;&quot;,&quot;parse-names&quot;:false,&quot;suffix&quot;:&quot;&quot;},{&quot;dropping-particle&quot;:&quot;&quot;,&quot;family&quot;:&quot;Kenny&quot;,&quot;given&quot;:&quot;Glen P.&quot;,&quot;non-dropping-particle&quot;:&quot;&quot;,&quot;parse-names&quot;:false,&quot;suffix&quot;:&quot;&quot;}],&quot;container-title&quot;:&quot;European Journal of Applied Physiology&quot;,&quot;id&quot;:&quot;09d344fd-f01d-5410-a6e5-3ada3c385b3b&quot;,&quot;issue&quot;:&quot;5&quot;,&quot;issued&quot;:{&quot;date-parts&quot;:[[&quot;2008&quot;]]},&quot;page&quot;:&quot;821-829&quot;,&quot;title&quot;:&quot;Sex-related differences in evaporative heat loss: The importance of metabolic heat production&quot;,&quot;type&quot;:&quot;article-journal&quot;,&quot;volume&quot;:&quot;104&quot;,&quot;container-title-short&quot;:&quot;Eur. J. Appl. Physiol.&quot;},&quot;uris&quot;:[&quot;http://www.mendeley.com/documents/?uuid=79bce7a1-3bc6-45d8-ba73-258ff6f8cfac&quot;],&quot;isTemporary&quot;:false,&quot;legacyDesktopId&quot;:&quot;79bce7a1-3bc6-45d8-ba73-258ff6f8cfac&quot;},{&quot;id&quot;:&quot;489815fd-c798-511f-ad34-19ab5f0f41d5&quot;,&quot;itemData&quot;:{&quot;DOI&quot;:&quot;10.1113/jphysiol.2012.240739&quot;,&quot;ISSN&quot;:&quot;0022-3751&quot;,&quot;PMID&quot;:&quot;23045336&quot;,&quot;abstract&quot;:&quot;Although a number of studies have examined potential differences in temperature regulation between males and females during heat stress, conclusions have remained limited as to whether reported differences are due to confounding physical characteristics or to actual differences in the physiological variables of temperature regulation. Recent observations suggest that sex differences in temperature regulation, particularly in sudomotor activity, go beyond those associated with physical characteristics. Females have recently been shown to have a lower sudomotor activity, as well as a lower thermosensitivity of the response compared to males during exercise performed at a fixed rate of metabolic heat production. Furthermore, sex differences in local and whole-body sudomotor activity are only evident above a certain combination of environmental conditions and rate of metabolic heat production. In contrast, both the onset threshold and thermosensitivity of cutaneous vasodilatation are similar between males and females. In theory, differences in the thermosensitivity of sudomotor activity could be related to either a central (neural activity/integration) and/or peripheral (effector organ) modulation of temperature regulation. Based on recent findings, sex differences in sudomotor activity appear to be mediated peripherally, although a central modulation has yet to be conclusively ruled out. Here we present a brief yet comprehensive review of the current state of knowledge pertaining to sex differences in temperature regulation during exercise in the heat. © 2012 The Authors. The Journal of Physiology © 2012 The Physiological Society.&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Physiology&quot;,&quot;id&quot;:&quot;489815fd-c798-511f-ad34-19ab5f0f41d5&quot;,&quot;issue&quot;:&quot;23&quot;,&quot;issued&quot;:{&quot;date-parts&quot;:[[&quot;2012&quot;,&quot;12&quot;,&quot;5&quot;]]},&quot;page&quot;:&quot;5963-5973&quot;,&quot;title&quot;:&quot;Does sex have an independent effect on thermoeffector responses during exercise in the heat?&quot;,&quot;type&quot;:&quot;article-journal&quot;,&quot;volume&quot;:&quot;590&quot;,&quot;container-title-short&quot;:&quot;&quot;},&quot;uris&quot;:[&quot;http://www.mendeley.com/documents/?uuid=9e687b4a-5232-4f03-b475-8ff028968608&quot;],&quot;isTemporary&quot;:false,&quot;legacyDesktopId&quot;:&quot;9e687b4a-5232-4f03-b475-8ff028968608&quot;},{&quot;id&quot;:&quot;fdd35962-e21a-50ad-a351-0267f92524e8&quot;,&quot;itemData&quot;:{&quot;DOI&quot;:&quot;10.1152/japplphysiol.00637.2012&quot;,&quot;ISSN&quot;:&quot;8750-7587&quot;,&quot;PMID&quot;:&quot;22797311&quot;,&quot;abstract&quot;:&quot;To assess potential mechanisms responsible for the lower sudomotor thermosensitivity in women during exercise, we examined sex differences in sudomotor function and skin blood flow (SkBF) during exercise performed at progressive increases in the requirement for heat loss. Eight men and eight women cycled at rates of metabolic heat production of 200, 250, and 300 W/m 2 of body surface area, with each rate being performed sequentially for 30 min. The protocol was performed in a direct calorimeter to measure evaporative heat loss (EHL) and in a thermal chamber to measure local sweat rate (LSR) (ventilated capsule), SkBF (laser-Doppler), sweat gland activation (modified iodine-paper technique), and sweat gland output (SGO) on the back, chest, and forearm. Despite a similar requirement for heat loss between the sexes, significantly lower increases in EHL and LSR were observed in women ( P ≤ 0.001). Sex differences in EHL and LSR were not consistently observed during the first and second exercise periods, whereas EHL (348 ± 13 vs. 307 ± 9 W/m 2 ) and LSR on the back (1.61 ± 0.07 vs. 1.20 ± 0.09 mg·min −1 ·cm −2 ), chest (1.33 ± 0.06 vs. 1.08 ± 0.09 mg·min −1 ·cm −2 ), and forearm (1.53 ± 0.07 vs. 1.20 ± 0.06 mg·min −1 ·cm −2 , men vs. women) became significantly greater in men during the last exercise period ( P &lt; 0.05). At each site, differences in LSR were solely due to a greater SGO in men, as opposed to differences in sweat gland activation. In contrast, no sex differences in SkBF were observed throughout the exercise period. The present study demonstrates that sex differences in sudomotor function are only evidenced beyond a certain requirement for heat loss, solely through differences in SGO. In contrast, the lower EHL and LSR in women are not paralleled by a lower SkBF response.&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fdd35962-e21a-50ad-a351-0267f92524e8&quot;,&quot;issue&quot;:&quot;5&quot;,&quot;issued&quot;:{&quot;date-parts&quot;:[[&quot;2012&quot;,&quot;9&quot;,&quot;1&quot;]]},&quot;page&quot;:&quot;746-757&quot;,&quot;title&quot;:&quot;Sex differences in thermoeffector responses during exercise at fixed requirements for heat loss&quot;,&quot;type&quot;:&quot;article-journal&quot;,&quot;volume&quot;:&quot;113&quot;,&quot;container-title-short&quot;:&quot;J. Appl. Physiol.&quot;},&quot;uris&quot;:[&quot;http://www.mendeley.com/documents/?uuid=f425e613-cacd-41d5-9962-4a16354b8b6b&quot;],&quot;isTemporary&quot;:false,&quot;legacyDesktopId&quot;:&quot;f425e613-cacd-41d5-9962-4a16354b8b6b&quot;},{&quot;id&quot;:&quot;c4827ea9-723b-586a-a386-df562f755a5c&quot;,&quot;itemData&quot;:{&quot;DOI&quot;:&quot;10.1152/japplphysiol.00877.2012&quot;,&quot;ISSN&quot;:&quot;87507587&quot;,&quot;PMID&quot;:&quot;23154992&quot;,&quot;abstract&quot;:&quot;The current study aimed to determine whether a peripheral modulation of sweating contributes to the lower sudomotor thermosensitivity previously observed in females during exercise. We examined dose-response relationships in 12 males and 12 females to incremental doses of acetylcholine (ACh) and methylcholine (MCh) for sweating (ventilated capsule), as well as to ACh and sodium nitroprusside (SNP) for cutaneous vasodilation (laser-Doppler). All drugs were infused using intradermal microdialysis. On a separate day, potential sex differences in the onset threshold and/or thermosensitivity of heat loss responses were assessed during progressive increases in mean body temperature elicited by passive heating. Increases in sweating as a function of increasing concentration of ACh (P = 0.008) and MCh (P = 0.046) significantly differed between males and females. Although the concentration eliciting 50% of the maximal sweating response did not differ between sexes for either agonist (P &gt; 0.1), maximum values were lower in females in response to ACh (0.34 ± 0.12 vs. 0.59 ± 0.19 mg·min-1·cm -2, P = 0.04) and MCh (0.48 ± 0.12 vs. 0.78 ± 0.26 mg·min-1·cm-2-1, P = 0.05). This observation was paralleled by a lower thermosensitivity of sudomotor activity in females during passive heating (1.29 ± 0.34 vs. 1.83 ± 0.33 mg·min-1·cm-2·°C-1, P = 0.03), with no significant differences in the change in mean body temperature at which onset of sweating occurred (0.85 ± 0.19 vs. 0.67 ± 0.13°C, P = 0.10). No sex differences in cutaneous vasodilation were observed in response to ACh and SNP, as well as during passive heating (all P &gt; 0.1). These findings provide direct evidence for a peripheral modulation of sudomotor activity in females. In contrast, sex does not modulate cutaneous vasodilation. Copyright © 2013 the American Physiological Society.&quot;,&quot;author&quot;:[{&quot;dropping-particle&quot;:&quot;&quot;,&quot;family&quot;:&quot;Gagnon&quot;,&quot;given&quot;:&quot;Daniel&quot;,&quot;non-dropping-particle&quot;:&quot;&quot;,&quot;parse-names&quot;:false,&quot;suffix&quot;:&quot;&quot;},{&quot;dropping-particle&quot;:&quot;&quot;,&quot;family&quot;:&quot;Crandall&quot;,&quot;given&quot;:&quot;Craig G.&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c4827ea9-723b-586a-a386-df562f755a5c&quot;,&quot;issue&quot;:&quot;3&quot;,&quot;issued&quot;:{&quot;date-parts&quot;:[[&quot;2013&quot;]]},&quot;page&quot;:&quot;394-401&quot;,&quot;title&quot;:&quot;Sex differences in postsynaptic sweating and cutaneous vasodilation&quot;,&quot;type&quot;:&quot;article-journal&quot;,&quot;volume&quot;:&quot;114&quot;,&quot;container-title-short&quot;:&quot;J. Appl. Physiol.&quot;},&quot;uris&quot;:[&quot;http://www.mendeley.com/documents/?uuid=aa3eb835-fdaa-4dc9-9873-44b6a4680505&quot;],&quot;isTemporary&quot;:false,&quot;legacyDesktopId&quot;:&quot;aa3eb835-fdaa-4dc9-9873-44b6a4680505&quot;}]},{&quot;citationID&quot;:&quot;MENDELEY_CITATION_cbba4ec5-ecba-4036-bc79-959e87a338af&quot;,&quot;properties&quot;:{&quot;noteIndex&quot;:0},&quot;isEdited&quot;:false,&quot;manualOverride&quot;:{&quot;citeprocText&quot;:&quot;[193]&quot;,&quot;isManuallyOverridden&quot;:false,&quot;manualOverrideText&quot;:&quot;&quot;},&quot;citationTag&quot;:&quot;MENDELEY_CITATION_v3_eyJjaXRhdGlvbklEIjoiTUVOREVMRVlfQ0lUQVRJT05fY2JiYTRlYzUtZWNiYS00MDM2LWJjNzktOTU5ZTg3YTMzOGFmIiwicHJvcGVydGllcyI6eyJub3RlSW5kZXgiOjB9LCJpc0VkaXRlZCI6ZmFsc2UsIm1hbnVhbE92ZXJyaWRlIjp7ImNpdGVwcm9jVGV4dCI6IlsxOTNdIiwiaXNNYW51YWxseU92ZXJyaWRkZW4iOmZhbHNlLCJtYW51YWxPdmVycmlkZVRleHQiOiIifSwiY2l0YXRpb25JdGVtcyI6W3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V19&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citationID&quot;:&quot;MENDELEY_CITATION_f9f85978-bb5f-42c3-a8d1-9794a6b755f9&quot;,&quot;properties&quot;:{&quot;noteIndex&quot;:0},&quot;isEdited&quot;:false,&quot;manualOverride&quot;:{&quot;citeprocText&quot;:&quot;[216]&quot;,&quot;isManuallyOverridden&quot;:false,&quot;manualOverrideText&quot;:&quot;&quot;},&quot;citationTag&quot;:&quot;MENDELEY_CITATION_v3_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&quot;,&quot;citationItems&quot;:[{&quot;id&quot;:&quot;ba39edde-7383-59fc-b994-0e9e4799d3a4&quot;,&quot;itemData&quot;:{&quot;DOI&quot;:&quot;10.1152/physiol.00035.2019&quot;,&quot;ISSN&quot;:&quot;15489221&quot;,&quot;PMID&quot;:&quot;32293229&quot;,&quot;abstract&quot;:&quot;The participation of women in physically strenuous athletic and occupational tasks has increased substantially in the past decade. Female sex steroids have influences on thermoregulatory processes that could impact physical performance in the heat. Here, we summarize and evaluate the current literature regarding sex differences in thermoregulation and provide recommendations for heat-illness risk-mitigation strategies.&quot;,&quot;author&quot;:[{&quot;dropping-particle&quot;:&quot;&quot;,&quot;family&quot;:&quot;Yanovich&quot;,&quot;given&quot;:&quot;R.&quot;,&quot;non-dropping-particle&quot;:&quot;&quot;,&quot;parse-names&quot;:false,&quot;suffix&quot;:&quot;&quot;},{&quot;dropping-particle&quot;:&quot;&quot;,&quot;family&quot;:&quot;Ketko&quot;,&quot;given&quot;:&quot;I.&quot;,&quot;non-dropping-particle&quot;:&quot;&quot;,&quot;parse-names&quot;:false,&quot;suffix&quot;:&quot;&quot;},{&quot;dropping-particle&quot;:&quot;&quot;,&quot;family&quot;:&quot;Charkoudian&quot;,&quot;given&quot;:&quot;N.&quot;,&quot;non-dropping-particle&quot;:&quot;&quot;,&quot;parse-names&quot;:false,&quot;suffix&quot;:&quot;&quot;}],&quot;container-title&quot;:&quot;Physiology&quot;,&quot;id&quot;:&quot;ba39edde-7383-59fc-b994-0e9e4799d3a4&quot;,&quot;issue&quot;:&quot;3&quot;,&quot;issued&quot;:{&quot;date-parts&quot;:[[&quot;2020&quot;]]},&quot;page&quot;:&quot;177-184&quot;,&quot;title&quot;:&quot;Sex differences in human thermoregulation: Relevance for 2020 and beyond&quot;,&quot;type&quot;:&quot;article-journal&quot;,&quot;volume&quot;:&quot;35&quot;,&quot;container-title-short&quot;:&quot;&quot;},&quot;uris&quot;:[&quot;http://www.mendeley.com/documents/?uuid=e1cff6b4-8ae0-42a6-885c-f4743690f899&quot;],&quot;isTemporary&quot;:false,&quot;legacyDesktopId&quot;:&quot;e1cff6b4-8ae0-42a6-885c-f4743690f899&quot;}]},{&quot;citationID&quot;:&quot;MENDELEY_CITATION_1367f9d4-fdb9-43f0-86b8-0f1d8f4b6f7e&quot;,&quot;properties&quot;:{&quot;noteIndex&quot;:0},&quot;isEdited&quot;:false,&quot;manualOverride&quot;:{&quot;citeprocText&quot;:&quot;[58,217,218]&quot;,&quot;isManuallyOverridden&quot;:false,&quot;manualOverrideText&quot;:&quot;&quot;},&quot;citationTag&quot;:&quot;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&quot;,&quot;citationItems&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id&quot;:&quot;52162f14-2c3d-5558-a270-7e3305269c6b&quot;,&quot;itemData&quot;:{&quot;DOI&quot;:&quot;10.1113/JP276233&quot;,&quot;ISSN&quot;:&quot;14697793&quot;,&quot;PMID&quot;:&quot;30320879&quot;,&quot;abstract&quot;:&quot;We studied thermoregulatory responses of ten well-trained ((Formula presented.), 57 ± 7 mL min −1  kg −1 ) women taking a combined, monophasic oral contraceptive pill (OCP) (≥12 months) during exercise in dry and humid heat, across their active OCP cycle. They completed four trials, each of resting and cycling at fixed intensities (125 and 150 W), aiming to assess autonomic regulation, and then a self-paced intensity (30-min work trial) to assess behavioural regulation. Trials were conducted in quasi-follicular (qF) and quasi-luteal (qL) phases in dry (DRY) and humid (HUM) heat matched for wet bulb globe temperature (WBGT) (27°C). During rest and exercise at 125 W, rectal temperature was 0.15°C higher in qL than qF (P = 0.05) independent of environment (P = 0.17). The onset threshold and thermosensitivity of local sweat rate and forearm blood flow relative to mean body temperature was unaffected by the OCP cycle (both P &gt; 0.30). Exercise performance did not differ between quasi-phases (qF: 268 ± 31 kJ, qL: 263 ± 26 kJ, P = 0.31) but was 5 ± 7% higher during DRY than during HUM (273 ± 29 kJ, 258 ± 28 kJ; P = 0.03). Compared to matched eumenorrhoeic athletes, chronic OCP use impaired the sweating onset threshold and thermosensitivity (both P &lt; 0.01). In well-trained, OCP-using women exercising in the heat: (i) a performance-thermoregulatory trade-off occurred that required behavioural adjustment; (ii) humidity impaired performance as a result of reduced evaporative power despite matched WBGT; and (iii) the sudomotor but not behavioural thermoregulatory responses were impaired compared to matched eumenorrhoeic athletes.&quot;,&quot;author&quot;:[{&quot;dropping-particle&quot;:&quot;&quot;,&quot;family&quot;:&quot;Lei&quot;,&quot;given&quot;:&quot;Tze Huan&quot;,&quot;non-dropping-particle&quot;:&quot;&quot;,&quot;parse-names&quot;:false,&quot;suffix&quot;:&quot;&quot;},{&quot;dropping-particle&quot;:&quot;&quot;,&quot;family&quot;:&quot;Cotter&quot;,&quot;given&quot;:&quot;James D.&quot;,&quot;non-dropping-particle&quot;:&quot;&quot;,&quot;parse-names&quot;:false,&quot;suffix&quot;:&quot;&quot;},{&quot;dropping-particle&quot;:&quot;&quot;,&quot;family&quot;:&quot;Schlader&quot;,&quot;given&quot;:&quot;Zachary J.&quot;,&quot;non-dropping-particle&quot;:&quot;&quot;,&quot;parse-names&quot;:false,&quot;suffix&quot;:&quot;&quot;},{&quot;dropping-particle&quot;:&quot;&quot;,&quot;family&quot;:&quot;Stannard&quot;,&quot;given&quot;:&quot;Stephen R.&quot;,&quot;non-dropping-particle&quot;:&quot;&quot;,&quot;parse-names&quot;:false,&quot;suffix&quot;:&quot;&quot;},{&quot;dropping-particle&quot;:&quot;&quot;,&quot;family&quot;:&quot;Perry&quot;,&quot;given&quot;:&quot;Blake G.&quot;,&quot;non-dropping-particle&quot;:&quot;&quot;,&quot;parse-names&quot;:false,&quot;suffix&quot;:&quot;&quot;},{&quot;dropping-particle&quot;:&quot;&quot;,&quot;family&quot;:&quot;Barnes&quot;,&quot;given&quot;:&quot;Matthew J.&quot;,&quot;non-dropping-particle&quot;:&quot;&quot;,&quot;parse-names&quot;:false,&quot;suffix&quot;:&quot;&quot;},{&quot;dropping-particle&quot;:&quot;&quot;,&quot;family&quot;:&quot;Mündel&quot;,&quot;given&quot;:&quot;Toby&quot;,&quot;non-dropping-particle&quot;:&quot;&quot;,&quot;parse-names&quot;:false,&quot;suffix&quot;:&quot;&quot;}],&quot;container-title&quot;:&quot;Journal of Physiology&quot;,&quot;id&quot;:&quot;52162f14-2c3d-5558-a270-7e3305269c6b&quot;,&quot;issue&quot;:&quot;1&quot;,&quot;issued&quot;:{&quot;date-parts&quot;:[[&quot;2019&quot;]]},&quot;page&quot;:&quot;71-88&quot;,&quot;title&quot;:&quot;On exercise thermoregulation in females: interaction of endogenous and exogenous ovarian hormones&quot;,&quot;type&quot;:&quot;article-journal&quot;,&quot;volume&quot;:&quot;597&quot;,&quot;container-title-short&quot;:&quot;&quot;},&quot;uris&quot;:[&quot;http://www.mendeley.com/documents/?uuid=b36e39b5-8491-4817-9df8-60f9a4d2241e&quot;],&quot;isTemporary&quot;:false,&quot;legacyDesktopId&quot;:&quot;b36e39b5-8491-4817-9df8-60f9a4d2241e&quot;},{&quot;id&quot;:&quot;07e0f6b9-dfb9-5f2f-9d54-5b2b2cde6382&quot;,&quot;itemData&quot;:{&quot;DOI&quot;:&quot;10.1249/MSS.0b013e318267b0c4&quot;,&quot;ISSN&quot;:&quot;0195-9131&quot;,&quot;PMID&quot;:&quot;38252772&quot;,&quot;abstract&quot;:&quo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Medicine &amp; Science in Sports &amp; Exercise&quot;,&quot;id&quot;:&quot;07e0f6b9-dfb9-5f2f-9d54-5b2b2cde6382&quot;,&quot;issue&quot;:&quot;12&quot;,&quot;issued&quot;:{&quot;date-parts&quot;:[[&quot;2012&quot;,&quot;12&quot;]]},&quot;page&quot;:&quot;2350-2361&quot;,&quot;title&quot;:&quot;Body Mapping of Sweating Patterns in Athletes&quot;,&quot;type&quot;:&quot;article-journal&quot;,&quot;volume&quot;:&quot;44&quot;,&quot;container-title-short&quot;:&quot;Med. Sci. Sports Exerc.&quot;},&quot;uris&quot;:[&quot;http://www.mendeley.com/documents/?uuid=73d2d9ec-7889-4b13-a5de-29b0047f84d4&quot;],&quot;isTemporary&quot;:false,&quot;legacyDesktopId&quot;:&quot;73d2d9ec-7889-4b13-a5de-29b0047f84d4&quot;}]},{&quot;citationID&quot;:&quot;MENDELEY_CITATION_d70a8978-3ea9-46f9-82cd-90b376bf24eb&quot;,&quot;properties&quot;:{&quot;noteIndex&quot;:0},&quot;isEdited&quot;:false,&quot;manualOverride&quot;:{&quot;citeprocText&quot;:&quot;[219,220]&quot;,&quot;isManuallyOverridden&quot;:false,&quot;manualOverrideText&quot;:&quot;&quot;},&quot;citationTag&quot;:&quot;MENDELEY_CITATION_v3_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&quot;,&quot;citationItems&quot;:[{&quot;id&quot;:&quot;74abdd2d-d047-5b5d-9027-5e22f2609ff0&quot;,&quot;itemData&quot;:{&quot;DOI&quot;:&quot;10.1016/s0015-0282(16)30066-8&quot;,&quot;ISSN&quot;:&quot;00150282&quot;,&quot;author&quot;:[{&quot;dropping-particle&quot;:&quot;&quot;,&quot;family&quot;:&quot;Israel&quot;,&quot;given&quot;:&quot;S. Leon&quot;,&quot;non-dropping-particle&quot;:&quot;&quot;,&quot;parse-names&quot;:false,&quot;suffix&quot;:&quot;&quot;},{&quot;dropping-particle&quot;:&quot;&quot;,&quot;family&quot;:&quot;Schneller&quot;,&quot;given&quot;:&quot;Oscar&quot;,&quot;non-dropping-particle&quot;:&quot;&quot;,&quot;parse-names&quot;:false,&quot;suffix&quot;:&quot;&quot;}],&quot;container-title&quot;:&quot;Fertility and Sterility&quot;,&quot;id&quot;:&quot;74abdd2d-d047-5b5d-9027-5e22f2609ff0&quot;,&quot;issue&quot;:&quot;1&quot;,&quot;issued&quot;:{&quot;date-parts&quot;:[[&quot;1950&quot;]]},&quot;page&quot;:&quot;53-65&quot;,&quot;title&quot;:&quot;The Thermogenic Property of Progesterone&quot;,&quot;type&quot;:&quot;article&quot;,&quot;volume&quot;:&quot;1&quot;,&quot;container-title-short&quot;:&quot;Fertil. Steril.&quot;},&quot;uris&quot;:[&quot;http://www.mendeley.com/documents/?uuid=0c99bc6c-ae1b-445e-a596-4a0c8ace6b30&quot;],&quot;isTemporary&quot;:false,&quot;legacyDesktopId&quot;:&quot;0c99bc6c-ae1b-445e-a596-4a0c8ace6b30&quot;},{&quot;id&quot;:&quot;1675d7e5-ea45-588d-8d50-0269d4b80baa&quot;,&quot;itemData&quot;:{&quot;DOI&quot;:&quot;10.1002/cphy.c130029&quot;,&quot;author&quot;:[{&quot;dropping-particle&quot;:&quot;&quot;,&quot;family&quot;:&quot;Charkoudian&quot;,&quot;given&quot;:&quot;Nisha&quot;,&quot;non-dropping-particle&quot;:&quot;&quot;,&quot;parse-names&quot;:false,&quot;suffix&quot;:&quot;&quot;},{&quot;dropping-particle&quot;:&quot;&quot;,&quot;family&quot;:&quot;Stachenfeld&quot;,&quot;given&quot;:&quot;Nina S.&quot;,&quot;non-dropping-particle&quot;:&quot;&quot;,&quot;parse-names&quot;:false,&quot;suffix&quot;:&quot;&quot;}],&quot;container-title&quot;:&quot;Comprehensive Physiology&quot;,&quot;id&quot;:&quot;1675d7e5-ea45-588d-8d50-0269d4b80baa&quot;,&quot;issued&quot;:{&quot;date-parts&quot;:[[&quot;2014&quot;,&quot;3&quot;,&quot;19&quot;]]},&quot;page&quot;:&quot;793-804&quot;,&quot;publisher&quot;:&quot;Wiley&quot;,&quot;title&quot;:&quot;Reproductive Hormone Influences on Thermoregulation in Women&quot;,&quot;type&quot;:&quot;chapter&quot;,&quot;container-title-short&quot;:&quot;Compr. Physiol.&quot;},&quot;uris&quot;:[&quot;http://www.mendeley.com/documents/?uuid=10689ba4-8b89-4f68-a9f8-8c1cf5867cd7&quot;],&quot;isTemporary&quot;:false,&quot;legacyDesktopId&quot;:&quot;10689ba4-8b89-4f68-a9f8-8c1cf5867cd7&quot;}]},{&quot;citationID&quot;:&quot;MENDELEY_CITATION_efc6be96-efd6-466c-bce4-b4879bd4587d&quot;,&quot;properties&quot;:{&quot;noteIndex&quot;:0},&quot;isEdited&quot;:false,&quot;manualOverride&quot;:{&quot;citeprocText&quot;:&quot;[58,221]&quot;,&quot;isManuallyOverridden&quot;:false,&quot;manualOverrideText&quot;:&quot;&quot;},&quot;citationTag&quot;:&quot;MENDELEY_CITATION_v3_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&quot;,&quot;citationItems&quot;:[{&quot;id&quot;:&quot;8c024291-2256-58c4-bed7-8957b72e464f&quot;,&quot;itemData&quot;:{&quot;DOI&quot;:&quot;10.1152/ajpregu.1985.249.2.r186&quot;,&quot;ISSN&quot;:&quot;03636119&quot;,&quot;PMID&quot;:&quot;4025576&quot;,&quot;abstract&quot;:&quot;The changes occurring in the esophageal temperature (T(es)) thresholds for initiation of heat loss responses as affected by the circadian period and menstrual cycle were studied. Four women exercised at 60% peak V̇O2 in 35°C (ambient water vapor pressure 1.73 kPa) for 30 min at 0400 and 1600 during the follicular (F) and luteal (L) phase. T(es), arm sweating rate (ṁ(sw)), and forearm blood flow (FBF) were measured frequently. At rest, T(es) averaged 0.3°C higher during L than F at both 0400 and 1600 and ~0.4°C higher at 1600 than at 0400 during both phases. During exercise transients, the slopes of the FBF:T(es) and the ṁ(sw):T(es) relationships were not different among treatments. The thresholds for initiation of sweating and cutaneous vasodilation were higher at 1600 than 0400 during both phases. Thresholds during F at 0400 averaged 36.44°C for ṁ(sw) and 36.80°C for vasodilation. The thresholds during L at 1600 averaged 37.46 and 37.53°C for sweating and vasodilation, respectively. Our data indicate that the thermoregulatory effector activity during exercise is a function of numerous inputs, and one of these may be hormonal or hormonal-like in action. Controlling time of day and menstrual cycle phase are as important as controlling for aerobic power, age, and fitness in studying female thermoregulatory responses during exercise.&quot;,&quot;author&quot;:[{&quot;dropping-particle&quot;:&quot;&quot;,&quot;family&quot;:&quot;Stephenson&quot;,&quot;given&quot;:&quot;L. A.&quot;,&quot;non-dropping-particle&quot;:&quot;&quot;,&quot;parse-names&quot;:false,&quot;suffix&quot;:&quot;&quot;},{&quot;dropping-particle&quot;:&quot;&quot;,&quot;family&quot;:&quot;Kolka&quot;,&quot;given&quot;:&quot;M. A.&quot;,&quot;non-dropping-particle&quot;:&quot;&quot;,&quot;parse-names&quot;:false,&quot;suffix&quot;:&quot;&quot;}],&quot;container-title&quot;:&quot;American Journal of Physiology - Regulatory Integrative and Comparative Physiology&quot;,&quot;id&quot;:&quot;8c024291-2256-58c4-bed7-8957b72e464f&quot;,&quot;issue&quot;:&quot;2&quot;,&quot;issued&quot;:{&quot;date-parts&quot;:[[&quot;1985&quot;]]},&quot;title&quot;:&quot;Menstrual cycle phase and time of day alter reference signal controlling arm blood flow and sweating&quot;,&quot;type&quot;:&quot;article-journal&quot;,&quot;volume&quot;:&quot;18&quot;,&quot;container-title-short&quot;:&quot;Am. J. Physiol. Regul. Integr. Comp. Physiol.&quot;},&quot;uris&quot;:[&quot;http://www.mendeley.com/documents/?uuid=6c1e4abd-83c6-44ac-9237-5c0a24103be4&quot;],&quot;isTemporary&quot;:false,&quot;legacyDesktopId&quot;:&quot;6c1e4abd-83c6-44ac-9237-5c0a24103be4&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citationID&quot;:&quot;MENDELEY_CITATION_dc6e4d75-d19b-40f5-9aae-f3b25365bc12&quot;,&quot;properties&quot;:{&quot;noteIndex&quot;:0},&quot;isEdited&quot;:false,&quot;manualOverride&quot;:{&quot;citeprocText&quot;:&quot;[222,223]&quot;,&quot;isManuallyOverridden&quot;:false,&quot;manualOverrideText&quot;:&quot;&quot;},&quot;citationTag&quot;:&quot;MENDELEY_CITATION_v3_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&quot;,&quot;citationItems&quot;:[{&quot;id&quot;:&quot;b17cda9f-54b8-5ed1-836d-b004ca23d39b&quot;,&quot;itemData&quot;:{&quot;DOI&quot;:&quot;10.1007/BF00864229&quot;,&quot;ISSN&quot;:&quot;0301-5548&quot;,&quot;author&quot;:[{&quot;dropping-particle&quot;:&quot;&quot;,&quot;family&quot;:&quot;Grucza&quot;,&quot;given&quot;:&quot;Ryszard&quot;,&quot;non-dropping-particle&quot;:&quot;&quot;,&quot;parse-names&quot;:false,&quot;suffix&quot;:&quot;&quot;},{&quot;dropping-particle&quot;:&quot;&quot;,&quot;family&quot;:&quot;Pekkarinen&quot;,&quot;given&quot;:&quot;Heikki&quot;,&quot;non-dropping-particle&quot;:&quot;&quot;,&quot;parse-names&quot;:false,&quot;suffix&quot;:&quot;&quot;},{&quot;dropping-particle&quot;:&quot;&quot;,&quot;family&quot;:&quot;Titov&quot;,&quot;given&quot;:&quot;Eeva-Kaisa&quot;,&quot;non-dropping-particle&quot;:&quot;&quot;,&quot;parse-names&quot;:false,&quot;suffix&quot;:&quot;&quot;},{&quot;dropping-particle&quot;:&quot;&quot;,&quot;family&quot;:&quot;Kononoff&quot;,&quot;given&quot;:&quot;Aulikki&quot;,&quot;non-dropping-particle&quot;:&quot;&quot;,&quot;parse-names&quot;:false,&quot;suffix&quot;:&quot;&quot;},{&quot;dropping-particle&quot;:&quot;&quot;,&quot;family&quot;:&quot;Haenninen&quot;,&quot;given&quot;:&quot;Osmo&quot;,&quot;non-dropping-particle&quot;:&quot;&quot;,&quot;parse-names&quot;:false,&quot;suffix&quot;:&quot;&quot;}],&quot;container-title&quot;:&quot;European Journal of Applied Physiology and Occupational Physiology&quot;,&quot;id&quot;:&quot;b17cda9f-54b8-5ed1-836d-b004ca23d39b&quot;,&quot;issue&quot;:&quot;3&quot;,&quot;issued&quot;:{&quot;date-parts&quot;:[[&quot;1993&quot;]]},&quot;page&quot;:&quot;279-285&quot;,&quot;title&quot;:&quot;Influence of the menstrual cycle and oral contraceptives on thermoregulatory responses to exercise in young women&quot;,&quot;type&quot;:&quot;article-journal&quot;,&quot;volume&quot;:&quot;67&quot;,&quot;container-title-short&quot;:&quot;Eur. J. Appl. Physiol. Occup. Physiol.&quot;},&quot;uris&quot;:[&quot;http://www.mendeley.com/documents/?uuid=c71912e3-d44d-4507-97ad-ebd0a8266747&quot;],&quot;isTemporary&quot;:false,&quot;legacyDesktopId&quot;:&quot;c71912e3-d44d-4507-97ad-ebd0a8266747&quot;},{&quot;id&quot;:&quot;0d143298-8627-5230-9828-e1a0cd3cbf80&quot;,&quot;itemData&quot;:{&quot;DOI&quot;:&quot;10.1007/s00421-002-0722-1&quot;,&quot;ISSN&quot;:&quot;14396319&quot;,&quot;PMID&quot;:&quot;12527962&quot;,&quot;abstract&quot;:&quot;The present study examined the impact of the menstrual cycle and oral contraceptive use on performance of high-intensity intermittent running in the heat [31.0 (0.2)°C; 23.1 (0.9)% relative humidity]. Seven normally menstruating women (NM) and eight oral contraceptive (OC) users participated in the study. Two trials were undertaken near the predicted midpoint of the follicular (FT) and luteal (LT) phases of the menstrual cycle and the equivalent days for the OC users. Basal serum progesterone concentrations were higher during the LT for the NM group [FT: 2.42 (0.28) nmol l-1 vs LT: 25.96 (11.28) nmol l-1; P &lt; 0.05], but were not different for the OC users [days 1-14: 2.79 (0.38) nmol l-1 vs days 15-28: 2.61 (0.32) nmol l-1]. There were no differences in distance run between menstrual cycle phases or between the normally menstruating and OC groups [NM FT: 6257 (1401) m vs LT: 5861 (1035) m]. However, the OC ran further in days 15-28 compared to days 1-14 [OC 1-14: 5481 (612) m vs 15-28: 6615 (893) m, P &lt; 0.05]. For the NM, rectal temperature, perceived exertion, estimated SR, serum growth hormone, plasma lactate, ammonia and glucose did not differ between phases of the menstrual cycle. For the OC group, heart rate, perceived exertion, sweat rate, plasma lactate and ammonia did not differ between days 1-14 of OC use and days 15-28. However, rectal temperature was higher (P &lt; 0.05) and growth hormone tended to be higher (P = 0.05) during days 15-28, while plasma glucose was lower (P &lt; 0.05). These results demonstrate that for unacclimatised games players the performance of intermittent, high-intensity shuttle running in the heat is unaffected by menstrual cycle phase but is influenced by OC use.&quot;,&quot;author&quot;:[{&quot;dropping-particle&quot;:&quot;&quot;,&quot;family&quot;:&quot;Sunderland&quot;,&quot;given&quot;:&quot;Caroline&quot;,&quot;non-dropping-particle&quot;:&quot;&quot;,&quot;parse-names&quot;:false,&quot;suffix&quot;:&quot;&quot;},{&quot;dropping-particle&quot;:&quot;&quot;,&quot;family&quot;:&quot;Nevill&quot;,&quot;given&quot;:&quot;Mary&quot;,&quot;non-dropping-particle&quot;:&quot;&quot;,&quot;parse-names&quot;:false,&quot;suffix&quot;:&quot;&quot;}],&quot;container-title&quot;:&quot;European Journal of Applied Physiology&quot;,&quot;id&quot;:&quot;0d143298-8627-5230-9828-e1a0cd3cbf80&quot;,&quot;issue&quot;:&quot;4-5&quot;,&quot;issued&quot;:{&quot;date-parts&quot;:[[&quot;2003&quot;]]},&quot;page&quot;:&quot;345-352&quot;,&quot;title&quot;:&quot;Effect of the menstrual cycle on performance of intermittent, high-intensity shuttle running in a hot environment&quot;,&quot;type&quot;:&quot;article-journal&quot;,&quot;volume&quot;:&quot;88&quot;,&quot;container-title-short&quot;:&quot;Eur. J. Appl. Physiol.&quot;},&quot;uris&quot;:[&quot;http://www.mendeley.com/documents/?uuid=cc463b99-7258-4b36-a140-909893689715&quot;],&quot;isTemporary&quot;:false,&quot;legacyDesktopId&quot;:&quot;cc463b99-7258-4b36-a140-909893689715&quot;}]},{&quot;citationID&quot;:&quot;MENDELEY_CITATION_98fe7c1e-5b81-4c54-9c01-b839c212221f&quot;,&quot;properties&quot;:{&quot;noteIndex&quot;:0},&quot;isEdited&quot;:false,&quot;manualOverride&quot;:{&quot;citeprocText&quot;:&quot;[224]&quot;,&quot;isManuallyOverridden&quot;:false,&quot;manualOverrideText&quot;:&quot;&quot;},&quot;citationTag&quot;:&quot;MENDELEY_CITATION_v3_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&quot;,&quot;citationItems&quot;:[{&quot;id&quot;:&quot;d92d2bde-643a-5547-a0cc-714a8f951419&quot;,&quot;itemData&quot;:{&quot;DOI&quot;:&quot;10.1038/258080a0&quot;,&quot;ISSN&quot;:&quot;00280836&quot;,&quot;PMID&quot;:&quot;1186885&quot;,&quot;abstract&quot;:&quot;FEMALE body temperature rises by about 0.5 °C at or near ovulation and remains elevated during the luteal phase of the menstrual cycle. Sustained elevation of basal body temperature is observed also during early pregnancy. These effects have been attributed to progesterone, but little is known about the mechanisms involved1. We have now found that the hormone affects the activity of the thermosensitive neurones in the preoptic area of the brain. © 1975 Nature Publishing Group.&quot;,&quot;author&quot;:[{&quot;dropping-particle&quot;:&quot;&quot;,&quot;family&quot;:&quot;Nakayama&quot;,&quot;given&quot;:&quot;Teruo&quot;,&quot;non-dropping-particle&quot;:&quot;&quot;,&quot;parse-names&quot;:false,&quot;suffix&quot;:&quot;&quot;},{&quot;dropping-particle&quot;:&quot;&quot;,&quot;family&quot;:&quot;Suzuki&quot;,&quot;given&quot;:&quot;Masatoshi&quot;,&quot;non-dropping-particle&quot;:&quot;&quot;,&quot;parse-names&quot;:false,&quot;suffix&quot;:&quot;&quot;},{&quot;dropping-particle&quot;:&quot;&quot;,&quot;family&quot;:&quot;Ishizuka&quot;,&quot;given&quot;:&quot;Naotaka&quot;,&quot;non-dropping-particle&quot;:&quot;&quot;,&quot;parse-names&quot;:false,&quot;suffix&quot;:&quot;&quot;}],&quot;container-title&quot;:&quot;Nature&quot;,&quot;id&quot;:&quot;d92d2bde-643a-5547-a0cc-714a8f951419&quot;,&quot;issue&quot;:&quot;5530&quot;,&quot;issued&quot;:{&quot;date-parts&quot;:[[&quot;1975&quot;]]},&quot;page&quot;:&quot;80&quot;,&quot;title&quot;:&quot;Action of progesterone on preoptic thermosensitive neurones&quot;,&quot;type&quot;:&quot;article-journal&quot;,&quot;volume&quot;:&quot;258&quot;,&quot;container-title-short&quot;:&quot;Nature&quot;},&quot;uris&quot;:[&quot;http://www.mendeley.com/documents/?uuid=f53776f1-ea31-4698-a9af-538ff28b76cd&quot;],&quot;isTemporary&quot;:false,&quot;legacyDesktopId&quot;:&quot;f53776f1-ea31-4698-a9af-538ff28b76cd&quot;}]},{&quot;citationID&quot;:&quot;MENDELEY_CITATION_80d5c735-9b96-4161-bd3c-58ccccce9a8e&quot;,&quot;properties&quot;:{&quot;noteIndex&quot;:0},&quot;isEdited&quot;:false,&quot;manualOverride&quot;:{&quot;citeprocText&quot;:&quot;[225]&quot;,&quot;isManuallyOverridden&quot;:false,&quot;manualOverrideText&quot;:&quot;&quot;},&quot;citationTag&quot;:&quot;MENDELEY_CITATION_v3_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&quot;,&quot;citationItems&quot;:[{&quot;id&quot;:&quot;fdc59b66-b22d-5ae6-a6dc-5fd62e717eb2&quot;,&quot;itemData&quot;:{&quot;DOI&quot;:&quot;10.1152/jappl.1997.83.6.2012&quot;,&quot;ISSN&quot;:&quot;87507587&quot;,&quot;PMID&quot;:&quot;9390975&quot;,&quot;abstract&quot;:&quot;It is not clear whether the altered thermoregulatory reflex control of the cutaneous circulation seen among phases of the menstrual cycle also occurs with the synthetic estrogen and progesterone in oral contraceptive pills and whether any such modifications include altered control of the cutaneous active vasodilator system. To address these questions, we conducted controlled whole body heating experiments in seven women at the end of the third week of hormone pills (HH) and at the end of the week of placebo/no pills (LH). A water-perfused suit was used to control body temperature. Laser Doppler flowmetry was used to monitor cutaneous blood flow at a control site and at a site at which noradrenergic vasoconstrictor control had been eliminated by iontophoresis of bretylium (BT), isolating the active cutaneous vasodilator system. The oral temperature (T(or)) thresholds for cutaneous vasodilation were higher in HH at both control [37.09 ± 0.12 vs. 36.83 ± 0.07°C (LH), P &lt; 0.01] and BT-treated [37.19 ± 0.05 vs. 36.88 ± 0.12°C (LH), P &lt; 0.01] sites. The T(or) threshold for sweating was similarly shifted (HH: 37.15 ± 0.11°C vs. LH: 36.94 ± 0.11°C, P &lt; 0.01). A rightward shift in the relationship of heart rate to T(or) was seen in HH. The sensitivities (slopes of the responses vs. T(or)) did not differ statistically between phases. The similar threshold shifts at control and BT-treated sites suggest that the hormones shift the function of the active vasodilator system to higher internal temperatures. The similarity of the shifts among thermoregulatory effectors suggests a centrally mediated action of these hormones.&quot;,&quot;author&quot;:[{&quot;dropping-particle&quot;:&quot;&quot;,&quot;family&quot;:&quot;Charkoudian&quot;,&quot;given&quot;:&quot;Nisha&quot;,&quot;non-dropping-particle&quot;:&quot;&quot;,&quot;parse-names&quot;:false,&quot;suffix&quot;:&quot;&quot;},{&quot;dropping-particle&quot;:&quot;&quot;,&quot;family&quot;:&quot;Johnson&quot;,&quot;given&quot;:&quot;John M.&quot;,&quot;non-dropping-particle&quot;:&quot;&quot;,&quot;parse-names&quot;:false,&quot;suffix&quot;:&quot;&quot;}],&quot;container-title&quot;:&quot;Journal of Applied Physiology&quot;,&quot;id&quot;:&quot;fdc59b66-b22d-5ae6-a6dc-5fd62e717eb2&quot;,&quot;issue&quot;:&quot;6&quot;,&quot;issued&quot;:{&quot;date-parts&quot;:[[&quot;1997&quot;]]},&quot;page&quot;:&quot;2012-2018&quot;,&quot;title&quot;:&quot;Modification of active cutaneous vasodilation by oral contraceptive hormones&quot;,&quot;type&quot;:&quot;article-journal&quot;,&quot;volume&quot;:&quot;83&quot;,&quot;container-title-short&quot;:&quot;J. Appl. Physiol.&quot;},&quot;uris&quot;:[&quot;http://www.mendeley.com/documents/?uuid=6ec0b189-cd07-484e-8880-1ce70b35360a&quot;],&quot;isTemporary&quot;:false,&quot;legacyDesktopId&quot;:&quot;6ec0b189-cd07-484e-8880-1ce70b35360a&quot;}]},{&quot;citationID&quot;:&quot;MENDELEY_CITATION_d546c9ee-8350-42bd-8799-1acf6cb8df79&quot;,&quot;properties&quot;:{&quot;noteIndex&quot;:0},&quot;isEdited&quot;:false,&quot;manualOverride&quot;:{&quot;citeprocText&quot;:&quot;[58,226]&quot;,&quot;isManuallyOverridden&quot;:false,&quot;manualOverrideText&quot;:&quot;&quot;},&quot;citationTag&quot;:&quot;MENDELEY_CITATION_v3_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&quot;,&quot;citationItems&quot;:[{&quot;id&quot;:&quot;c9440b28-1387-5832-9c27-04d948b81fed&quot;,&quot;itemData&quot;:{&quot;DOI&quot;:&quot;10.1152/jappl.2000.88.5.1643&quot;,&quot;ISSN&quot;:&quot;87507587&quot;,&quot;PMID&quot;:&quot;10797125&quot;,&quot;abstract&quot;:&quot;To test the hypothesis that progestin-mediated increases in resting core temperature and the core temperature threshold for sweating onset are counteracted by estrogen, we studied eight women (24 ± 2 yr) at 27°C rest, during 20 min of passive heating (35°C), and during 40 min of exercise at 35°C. Subjects were tested four times, during the early follicular and midluteal menstrual phases, after 4 wk of combined estradiol-norethindrone (progestin) oral contraceptive administration (OC E+P), and after 4 wk of progestin-only oral contraceptive administration (OC P). The order of the OC P and OC E+P were randomized. Baseline esophageal temperature (T(es)) at 27°C was higher (P &lt; 0.05) in the luteal phase (37.08 ± 0.21°C) and in OC P (37.60 ± 0.31°C) but not during OC E+P (37.04 ± 0.23°C) compared with the follicular phase (36.66 ± 0.21°C). T(es) remained above follicular phase levels throughout passive heating and exercise during OC P, whereas T(es) in the luteal phase was greater than in the follicular phase throughout exercise (P &lt; 0.05). The T(es) threshold for sweating was also greater in the luteal phase (38.02 ± 0.28°C) and OC P (38.07 ± 0.17°C) compared with the follicular phase (37.32 ± 0.11°C) and OC E+P (37.46 ± 0.18°C). Progestin administration raised the T(es) threshold for sweating during OC P, but this effect was not present when estrogen was administered with progestin, suggesting that estrogen modifies progestin-related changes in temperature regulation. These data are also consistent with previous findings that estrogen lowers the thermoregulatory operating point.&quot;,&quot;author&quot;:[{&quot;dropping-particle&quot;:&quot;&quot;,&quot;family&quot;:&quot;Stachenfeld&quot;,&quot;given&quot;:&quot;Nina S.&quot;,&quot;non-dropping-particle&quot;:&quot;&quot;,&quot;parse-names&quot;:false,&quot;suffix&quot;:&quot;&quot;},{&quot;dropping-particle&quot;:&quot;&quot;,&quot;family&quot;:&quot;Silva&quot;,&quot;given&quot;:&quot;Celso&quot;,&quot;non-dropping-particle&quot;:&quot;&quot;,&quot;parse-names&quot;:false,&quot;suffix&quot;:&quot;&quot;},{&quot;dropping-particle&quot;:&quot;&quot;,&quot;family&quot;:&quot;Keefe&quot;,&quot;given&quot;:&quot;David L.&quot;,&quot;non-dropping-particle&quot;:&quot;&quot;,&quot;parse-names&quot;:false,&quot;suffix&quot;:&quot;&quot;}],&quot;container-title&quot;:&quot;Journal of Applied Physiology&quot;,&quot;id&quot;:&quot;c9440b28-1387-5832-9c27-04d948b81fed&quot;,&quot;issue&quot;:&quot;5&quot;,&quot;issued&quot;:{&quot;date-parts&quot;:[[&quot;2000&quot;]]},&quot;page&quot;:&quot;1643-1649&quot;,&quot;title&quot;:&quot;Estrogen modifies the temperature effects of progesterone&quot;,&quot;type&quot;:&quot;article-journal&quot;,&quot;volume&quot;:&quot;88&quot;,&quot;container-title-short&quot;:&quot;J. Appl. Physiol.&quot;},&quot;uris&quot;:[&quot;http://www.mendeley.com/documents/?uuid=9ef1aa01-7a85-4ed7-b5c2-773b44b51c80&quot;],&quot;isTemporary&quot;:false,&quot;legacyDesktopId&quot;:&quot;9ef1aa01-7a85-4ed7-b5c2-773b44b51c80&quot;},{&quot;id&quot;:&quot;f2cd6059-5d1b-5af5-9ade-32333f1dcc9b&quot;,&quot;itemData&quot;:{&quot;DOI&quot;:&quot;10.1152/jappl.1999.86.1.22&quot;,&quot;ISSN&quot;:&quot;87507587&quot;,&quot;PMID&quot;:&quot;9887109&quot;,&quot;abstract&quot;:&quot;The purpose of this study was to test the hypothesis that regulated body temperature is decreased in the preovulatory phase in eumenorrheic women. Six women were studied in both the preovulatory phase (Preov-2; days 9-12), which was 1-2 days before predicted ovulation when 17β-estradiol (E2) was estimated to peak, and in the follicular phase (F; days 2-6). The subjects walked on a treadmill (~225 W · m-2) in a warm chamber (ambient temperature = 30°C; dew-point temperature = 11.5°C) while heavily clothed. E2, esophageal temperature (T(es)), local skin temperatures, and local sweating rate were measured. The estimate of when the E2 surge would occur was correct for four of six subjects. In these four subjects, E2 increased (P ≤ 0.05) from 42.0 ± 24.5 pg/ml during F to 123.2 ± 31.3 pg/ml during Preov-2. Resting T(es) was 37.02 ± 0.20°C during F and 36.76 ± 0.28°C during Preov-2 (P ≤ 0.05). The T(es) threshold for sweating was decreased (P ≤ 0.05) from 36.88 ± 0.27°C during F to 36.64 ± 0.35°C during Preov-2. Both mean skin and mean body temperatures were decreased during rest in Preov-2 group. The hypothesis that regulated body temperature is decreased during the preovulatory phase is supported.&quot;,&quot;author&quot;:[{&quot;dropping-particle&quot;:&quot;&quot;,&quot;family&quot;:&quot;Stephenson&quot;,&quot;given&quot;:&quot;Lou A.&quot;,&quot;non-dropping-particle&quot;:&quot;&quot;,&quot;parse-names&quot;:false,&quot;suffix&quot;:&quot;&quot;},{&quot;dropping-particle&quot;:&quot;&quot;,&quot;family&quot;:&quot;Kolka&quot;,&quot;given&quot;:&quot;Margaret A.&quot;,&quot;non-dropping-particle&quot;:&quot;&quot;,&quot;parse-names&quot;:false,&quot;suffix&quot;:&quot;&quot;}],&quot;container-title&quot;:&quot;Journal of Applied Physiology&quot;,&quot;id&quot;:&quot;f2cd6059-5d1b-5af5-9ade-32333f1dcc9b&quot;,&quot;issue&quot;:&quot;1&quot;,&quot;issued&quot;:{&quot;date-parts&quot;:[[&quot;1999&quot;]]},&quot;page&quot;:&quot;22-28&quot;,&quot;title&quot;:&quot;Esophageal temperature threshold for sweating decreases before ovulation in premenopausal women&quot;,&quot;type&quot;:&quot;article-journal&quot;,&quot;volume&quot;:&quot;86&quot;,&quot;container-title-short&quot;:&quot;J. Appl. Physiol.&quot;},&quot;uris&quot;:[&quot;http://www.mendeley.com/documents/?uuid=3aa5f8d0-d168-4ce4-a7dd-63828998d64c&quot;],&quot;isTemporary&quot;:false,&quot;legacyDesktopId&quot;:&quot;3aa5f8d0-d168-4ce4-a7dd-63828998d64c&quot;}]},{&quot;citationID&quot;:&quot;MENDELEY_CITATION_ebdfdad2-1ff3-482c-8170-353ab58d9889&quot;,&quot;properties&quot;:{&quot;noteIndex&quot;:0},&quot;isEdited&quot;:false,&quot;manualOverride&quot;:{&quot;citeprocText&quot;:&quot;[227,228]&quot;,&quot;isManuallyOverridden&quot;:false,&quot;manualOverrideText&quot;:&quot;&quot;},&quot;citationTag&quot;:&quot;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&quot;,&quot;citationItems&quot;:[{&quot;id&quot;:&quot;d114bf89-437d-577f-91ab-4104f0b36143&quot;,&quot;itemData&quot;:{&quot;DOI&quot;:&quot;10.1152/jappl.1992.73.4.1238&quot;,&quot;ISSN&quot;:&quot;01617567&quot;,&quot;PMID&quot;:&quot;1447065&quot;,&quot;abstract&quot;:&quot;Thermoregulatory, cardiovascular, and body fluid responses during exercise in the heat were tested in five middle-aged (48 ± 2 yr) women before and after 14-23 days of estrogen replacement therapy (ERT). The heat and exercise challenge consisted of a 40-min rest period followed by semirecumbent cycle exercise (~40% maximal O2 uptake) for 60 min. At rest, the ambient temperature was elevated from a thermoneutral (dry bulb temperature 25°C; wet bulb temperature 17.5°C) to a warm humid (dry bulb temperature 36°C; wet bulb temperature 27.5°C) environment. Esophageal (T(es)) and rectal (T(re)) temperatures were measured to estimate body core temperature while arm blood flow and sweating rate were measured to assess the heat loss response. Mean arterial pressure and heart rate were measured to evaluate the cardiovascular response. Blood samples were analyzed for hematocrit (Hct), hemoglobin ([Hb]), plasma 17β-estradiol (E2), progesterone (P4), protein, and electrolyte concentrations. Plasma [E2] was significantly (P &lt; 0.05) elevated by ERT without affecting the plasma [P4] levels. After ERT, T(es) and T(re) were significantly (P &lt; 0.05) depressed by ~0.5°C, and the T(es) threshold for the onset of arm blood flow and sweating rate was significantly (P &lt; 0.05) lower during exercise. After ERT, heart rate during exercise was significantly lower (P &lt; 0.05) without notable variation in mean arterial pressure. Isotonic hemodilution occurred with ERT evident by significant (P &lt; 0.05) reductions in Hct and [Hb], whereas plasma tonicity remained unchanged. These data suggest that the thermoregulatory and cardiovascular strain experienced during heat and exercise is reduced after ERT in middle-aged women.&quot;,&quot;author&quot;:[{&quot;dropping-particle&quot;:&quot;&quot;,&quot;family&quot;:&quot;Tankersley&quot;,&quot;given&quot;:&quot;C. G.&quot;,&quot;non-dropping-particle&quot;:&quot;&quot;,&quot;parse-names&quot;:false,&quot;suffix&quot;:&quot;&quot;},{&quot;dropping-particle&quot;:&quot;&quot;,&quot;family&quot;:&quot;Nicholas&quot;,&quot;given&quot;:&quot;W. C.&quot;,&quot;non-dropping-particle&quot;:&quot;&quot;,&quot;parse-names&quot;:false,&quot;suffix&quot;:&quot;&quot;},{&quot;dropping-particle&quot;:&quot;&quot;,&quot;family&quot;:&quot;Deaver&quot;,&quot;given&quot;:&quot;D. R.&quot;,&quot;non-dropping-particle&quot;:&quot;&quot;,&quot;parse-names&quot;:false,&quot;suffix&quot;:&quot;&quot;},{&quot;dropping-particle&quot;:&quot;&quot;,&quot;family&quot;:&quot;Mikita&quot;,&quot;given&quot;:&quot;D.&quot;,&quot;non-dropping-particle&quot;:&quot;&quot;,&quot;parse-names&quot;:false,&quot;suffix&quot;:&quot;&quot;},{&quot;dropping-particle&quot;:&quot;&quot;,&quot;family&quot;:&quot;Kenney&quot;,&quot;given&quot;:&quot;W. L.&quot;,&quot;non-dropping-particle&quot;:&quot;&quot;,&quot;parse-names&quot;:false,&quot;suffix&quot;:&quot;&quot;}],&quot;container-title&quot;:&quot;Journal of Applied Physiology&quot;,&quot;id&quot;:&quot;d114bf89-437d-577f-91ab-4104f0b36143&quot;,&quot;issue&quot;:&quot;4&quot;,&quot;issued&quot;:{&quot;date-parts&quot;:[[&quot;1992&quot;]]},&quot;page&quot;:&quot;1238-1245&quot;,&quot;title&quot;:&quot;Estrogen replacement in middle-aged women: Thermoregulatory responses to exercise in the heat&quot;,&quot;type&quot;:&quot;article-journal&quot;,&quot;volume&quot;:&quot;73&quot;,&quot;container-title-short&quot;:&quot;J. Appl. Physiol.&quot;},&quot;uris&quot;:[&quot;http://www.mendeley.com/documents/?uuid=4be84cfa-4ac9-4e23-a1f2-dbc22c6e1893&quot;],&quot;isTemporary&quot;:false,&quot;legacyDesktopId&quot;:&quot;4be84cfa-4ac9-4e23-a1f2-dbc22c6e1893&quot;},{&quot;id&quot;:&quot;2dcdd4a3-5c47-5edb-aa87-f6f94fb4098f&quot;,&quot;itemData&quot;:{&quot;DOI&quot;:&quot;10.1152/jappl.1997.83.2.477&quot;,&quot;ISSN&quot;:&quot;87507587&quot;,&quot;PMID&quot;:&quot;9262443&quot;,&quot;abstract&quot;:&quot;This investigation examined effects of chronic (≤2 yr) hormone replacement therapy (HRT), both estrogen replacement therapy (ERT) and estrogen plus progesterone therapy (E+P), on core temperature and skin blood flow responses of postmenopausal women. Twenty-five postmenopausal women [9 not on HRT (NO), 8 on ERT, 8 on E+P] exercised on a cycle ergometer for 1 h at an ambient temperature of 36°C. Cutaneous vascular conductance (CVC) was monitored by laser-Doppler flowmetry, and forearm vascular conductance (FVC) was measured by using venous occlusion plethysmography. Iontophoresis of bretylium tosylate was performed before exercise to block local vasoconstrictor (VC) activity at one skin site on the forearm. Rectal temperature (T(re)) was ~0.5°C lower for the ERT group (P &lt; 0.01) compared with E+P and NO groups at rest and throughout exercise. FVC: mean body temperature (T(b)) and CVC: T(b) curves were shifted ~0.5°C leftward for the ERT group (P &lt; 0.0001). Baseline CVC was significantly higher in the ERT group (P &lt; 0.05), but there was no interaction between bretylium treatment and groups once exercise was initiated. These results suggest that 1) chronic ERT likely acts centrally to decrease T(re), 2) ERT lowers the T(re) at which heat-loss effector mechanisms are initiated, primarily by actions on active cutaneous vasodilation, and 3) addition of exogenous progestins in HRT effectively blocks these effects.&quot;,&quot;author&quot;:[{&quot;dropping-particle&quot;:&quot;&quot;,&quot;family&quot;:&quot;Brooks&quot;,&quot;given&quot;:&quot;E. M.&quot;,&quot;non-dropping-particle&quot;:&quot;&quot;,&quot;parse-names&quot;:false,&quot;suffix&quot;:&quot;&quot;},{&quot;dropping-particle&quot;:&quot;&quot;,&quot;family&quot;:&quot;Morgan&quot;,&quot;given&quot;:&quot;A. L.&quot;,&quot;non-dropping-particle&quot;:&quot;&quot;,&quot;parse-names&quot;:false,&quot;suffix&quot;:&quot;&quot;},{&quot;dropping-particle&quot;:&quot;&quot;,&quot;family&quot;:&quot;Pierzga&quot;,&quot;given&quot;:&quot;J. M.&quot;,&quot;non-dropping-particle&quot;:&quot;&quot;,&quot;parse-names&quot;:false,&quot;suffix&quot;:&quot;&quot;},{&quot;dropping-particle&quot;:&quot;&quot;,&quot;family&quot;:&quot;Wladkowski&quot;,&quot;given&quot;:&quot;S. L.&quot;,&quot;non-dropping-particle&quot;:&quot;&quot;,&quot;parse-names&quot;:false,&quot;suffix&quot;:&quot;&quot;},{&quot;dropping-particle&quot;:&quot;&quot;,&quot;family&quot;:&quot;O'Gorman&quot;,&quot;given&quot;:&quot;J. T.&quot;,&quot;non-dropping-particle&quot;:&quot;&quot;,&quot;parse-names&quot;:false,&quot;suffix&quot;:&quot;&quot;},{&quot;dropping-particle&quot;:&quot;&quot;,&quot;family&quot;:&quot;Derr&quot;,&quot;given&quot;:&quot;J. A.&quot;,&quot;non-dropping-particle&quot;:&quot;&quot;,&quot;parse-names&quot;:false,&quot;suffix&quot;:&quot;&quot;},{&quot;dropping-particle&quot;:&quot;&quot;,&quot;family&quot;:&quot;Kenney&quot;,&quot;given&quot;:&quot;W. L.&quot;,&quot;non-dropping-particle&quot;:&quot;&quot;,&quot;parse-names&quot;:false,&quot;suffix&quot;:&quot;&quot;}],&quot;container-title&quot;:&quot;Journal of Applied Physiology&quot;,&quot;id&quot;:&quot;2dcdd4a3-5c47-5edb-aa87-f6f94fb4098f&quot;,&quot;issue&quot;:&quot;2&quot;,&quot;issued&quot;:{&quot;date-parts&quot;:[[&quot;1997&quot;]]},&quot;page&quot;:&quot;477-484&quot;,&quot;title&quot;:&quot;Chronic hormone replacement therapy alters thermoregulatory and vasomotor function in postmenopausal women&quot;,&quot;type&quot;:&quot;article-journal&quot;,&quot;volume&quot;:&quot;83&quot;,&quot;container-title-short&quot;:&quot;J. Appl. Physiol.&quot;},&quot;uris&quot;:[&quot;http://www.mendeley.com/documents/?uuid=bd577d94-b133-4e55-9bda-deae3d16a2f1&quot;],&quot;isTemporary&quot;:false,&quot;legacyDesktopId&quot;:&quot;bd577d94-b133-4e55-9bda-deae3d16a2f1&quot;}]},{&quot;citationID&quot;:&quot;MENDELEY_CITATION_d9b48004-2a13-4d91-a1d8-7ac94c5f22bf&quot;,&quot;properties&quot;:{&quot;noteIndex&quot;:0},&quot;isEdited&quot;:false,&quot;manualOverride&quot;:{&quot;citeprocText&quot;:&quot;[229,230]&quot;,&quot;isManuallyOverridden&quot;:false,&quot;manualOverrideText&quot;:&quot;&quot;},&quot;citationTag&quot;:&quot;MENDELEY_CITATION_v3_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&quot;,&quot;citationItems&quot;:[{&quot;id&quot;:&quot;29475421-dc06-559f-8482-f21b3286fd6a&quot;,&quot;itemData&quot;:{&quot;DOI&quot;:&quot;10.1007/s004840050107&quot;,&quot;ISSN&quot;:&quot;00207128&quot;,&quot;PMID&quot;:&quot;10232057&quot;,&quot;abstract&quot;:&quot;The purpose of this investigation was to examine the effects of aging and aerobic fitness on exercise- and methylcholine-induced sweating responses during heat acclimation. Five younger [Y group - age: 23±1 (SEM) years; maximal oxygen consumption (V̇O2max): 47±3 ml·kg-1·min-1], four highly fit older (HO group - 63±3 years; 48±4 ml·kg-1·min-1) and five normally fit older men (NO group - 67±3 years; 30±1 ml·kg-1-min-1) who were matched for height, body mass and percentage fat, were heat acclimated by daily cycle exercise (≈35% V̇O2max for 90 min) in a hot (43°C, 30% RH) environment for 8 days. The heat acclimation regimen increased performance time, lowered final rectal temperature (Tre) and percentage maximal heart rate (%HRmax), improved thermal comfort and decreased sweat sodium concentration similarly in all groups. Although total body sweating rates (Ṁsw) during acclimation were significantly greater in the Y and HO groups than in the NO group (P&lt;0.01) (because of the lower absolute workload in the NO group), the Ṁsw did not change in all groups with the acclimation sessions. Neither were local sweating rates (ṁsw) on chest, back, forearm and thigh changed in all groups by the acclimation. The HO group presented greater forearm ṁsw (30-90 min) values and the Y group had greater back and thigh ṁsw (early in exercise) values, compared to the other groups (P&lt;0.001). In a methylcholine injection test on days immediately before and after the acclimation, the order of sweat output per gland (SGO) on chest, back and thigh was Y&gt;HO&gt;NO, and on the forearm Y=HO&gt;NO. No group differences were observed for activated sweat gland density at any site. The SGO at the respective sites increased in the post-acclimation test regardless of group (P&lt;0.01), but on the thigh the magnitude of the increase was lower in the NO (P&lt;0.02) and HO (P=0.07) groups than in the Y group. These findings suggest that heat tolerance and the improvement with acclimation are little impaired not only in highly fit older but also normally fit older men, when the subjects exercised at the same relative exercise intensity. Furthermore, the changes induced by acclimation appear associated with an age-related decrease in V̇O2max. However methylcholine-activated SGO and the magnitude of improvement of SGO with acclimation are related not only to V̇O2max but also to aging, suggesting that sensitivity to cholinergic stimulation decreases with aging. © ISB 1999.&quot;,&quot;author&quot;:[{&quot;dropping-particle&quot;:&quot;&quot;,&quot;family&quot;:&quot;Inoue&quot;,&quot;given&quot;:&quot;Yoshimitsu&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Kenney&quot;,&quot;given&quot;:&quot;W. Larry&quot;,&quot;non-dropping-particle&quot;:&quot;&quot;,&quot;parse-names&quot;:false,&quot;suffix&quot;:&quot;&quot;},{&quot;dropping-particle&quot;:&quot;&quot;,&quot;family&quot;:&quot;Loomis&quot;,&quot;given&quot;:&quot;Joseph L.&quot;,&quot;non-dropping-particle&quot;:&quot;&quot;,&quot;parse-names&quot;:false,&quot;suffix&quot;:&quot;&quot;},{&quot;dropping-particle&quot;:&quot;&quot;,&quot;family&quot;:&quot;Buskirk&quot;,&quot;given&quot;:&quot;Elsworth R.&quot;,&quot;non-dropping-particle&quot;:&quot;&quot;,&quot;parse-names&quot;:false,&quot;suffix&quot;:&quot;&quot;}],&quot;container-title&quot;:&quot;International Journal of Biometeorology&quot;,&quot;id&quot;:&quot;29475421-dc06-559f-8482-f21b3286fd6a&quot;,&quot;issue&quot;:&quot;4&quot;,&quot;issued&quot;:{&quot;date-parts&quot;:[[&quot;1999&quot;]]},&quot;page&quot;:&quot;210-216&quot;,&quot;title&quot;:&quot;Exercise- and methylcholine-induced sweating responses in older and younger men: Effect of heat acclimation and aerobic fitness&quot;,&quot;type&quot;:&quot;article-journal&quot;,&quot;volume&quot;:&quot;42&quot;,&quot;container-title-short&quot;:&quot;Int. J. Biometeorol.&quot;},&quot;uris&quot;:[&quot;http://www.mendeley.com/documents/?uuid=046cc03e-8949-44b5-836c-dace6df4880d&quot;],&quot;isTemporary&quot;:false,&quot;legacyDesktopId&quot;:&quot;046cc03e-8949-44b5-836c-dace6df4880d&quot;},{&quot;id&quot;:&quot;8067664a-6b8b-5045-8fc4-31876ef9c4f5&quot;,&quot;itemData&quot;:{&quot;DOI&quot;:&quot;10.1016/j.physbeh.2016.05.045&quot;,&quot;ISSN&quot;:&quot;00319384&quot;,&quot;PMID&quot;:&quot;27237043&quot;,&quot;abstract&quot;:&quot;Cutaneous thermal sensitivity to a warm and cold stimulus was compared amongst 12 older (OF, 65.2 ± 1.0 year) and 29 younger (YF, 21.6 ± 0.2 years) female participants, and 17 older (OM, 66.2 ± 1.5 years) and 13 younger (YM, 21.2 ± 0.4 years) male participants to examine the effects of ageing and sex. In a neutral condition (27.5 °C, 50% RH) during rest, warm and cold thermal sensitivity was measured on eight body regions (forehead, chest, back, forearm, hand, thigh, calf, and foot). Using the method of limits, a thermal stimulator was applied to the skin at an adapting temperature and either increased or decreased at a constant rate (0.3 °C/s) until the participants detected the temperature with a push button. Thermal sensitivity declined with ageing to both a cold (older: 1468.6 ± 744.7 W/m2, younger: 869.8 ± 654.7 W/m2, p &lt; 0.001) and warm (older: 2127.0 ± 1208.3 W/m2, younger: 1301.7 ± 1055.2 W/m2, p &lt; 0.001) innocuous stimulus. YF and OF were more sensitive than YM and OM to both a warm and cold stimulus (p &lt; 0.05). There was no interaction between age and sex suggesting that whilst thermal sensitivity decreases with age the decrease is similar between the sexes (p &gt; 0.05). There was an interaction between temperatures, age and location and it seemed that cold thermal sensitivity was more homogenous for young and older participants however warm thermal sensitivity was more heterogeneous especially in the younger participants (p &lt; 0.05). Although the pattern was not similar between ages or sexes it was evident that the forehead was the most sensitive region to a warm and cold stimulus. Interestingly the decline in sensitivity observed with ageing occurred for all locations but was attenuated at the forehead in both males and females (p &gt; 0.05).&quot;,&quot;author&quot;:[{&quot;dropping-particle&quot;:&quot;&quot;,&quot;family&quot;:&quot;Inoue&quot;,&quot;given&quot;:&quot;Yoshimitsu&quot;,&quot;non-dropping-particle&quot;:&quot;&quot;,&quot;parse-names&quot;:false,&quot;suffix&quot;:&quot;&quot;},{&quot;dropping-particle&quot;:&quot;&quot;,&quot;family&quot;:&quot;Gerrett&quot;,&quot;given&quot;:&quot;Nicola&quot;,&quot;non-dropping-particle&quot;:&quot;&quot;,&quot;parse-names&quot;:false,&quot;suffix&quot;:&quot;&quot;},{&quot;dropping-particle&quot;:&quot;&quot;,&quot;family&quot;:&quot;Ichinose-Kuwahara&quot;,&quot;given&quot;:&quot;Tomoko&quot;,&quot;non-dropping-particle&quot;:&quot;&quot;,&quot;parse-names&quot;:false,&quot;suffix&quot;:&quot;&quot;},{&quot;dropping-particle&quot;:&quot;&quot;,&quot;family&quot;:&quot;Umino&quot;,&quot;given&quot;:&quot;Yasue&quot;,&quot;non-dropping-particle&quot;:&quot;&quot;,&quot;parse-names&quot;:false,&quot;suffix&quot;:&quot;&quot;},{&quot;dropping-particle&quot;:&quot;&quot;,&quot;family&quot;:&quot;Kiuchi&quot;,&quot;given&quot;:&quot;Saeko&quot;,&quot;non-dropping-particle&quot;:&quot;&quot;,&quot;parse-names&quot;:false,&quot;suffix&quot;:&quot;&quot;},{&quot;dropping-particle&quot;:&quot;&quot;,&quot;family&quot;:&quot;Amano&quot;,&quot;given&quot;:&quot;Tatsuro&quot;,&quot;non-dropping-particle&quot;:&quot;&quot;,&quot;parse-names&quot;:false,&quot;suffix&quot;:&quot;&quot;},{&quot;dropping-particle&quot;:&quot;&quot;,&quot;family&quot;:&quot;Ueda&quot;,&quot;given&quot;:&quot;Hiroyuki&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Kondo&quot;,&quot;given&quot;:&quot;Narihiko&quot;,&quot;non-dropping-particle&quot;:&quot;&quot;,&quot;parse-names&quot;:false,&quot;suffix&quot;:&quot;&quot;}],&quot;container-title&quot;:&quot;Physiology &amp; Behavior&quot;,&quot;id&quot;:&quot;8067664a-6b8b-5045-8fc4-31876ef9c4f5&quot;,&quot;issued&quot;:{&quot;date-parts&quot;:[[&quot;2016&quot;,&quot;10&quot;]]},&quot;page&quot;:&quot;86-92&quot;,&quot;publisher&quot;:&quot;Elsevier Inc.&quot;,&quot;title&quot;:&quot;Sex differences in age-related changes on peripheral warm and cold innocuous thermal sensitivity&quot;,&quot;type&quot;:&quot;article-journal&quot;,&quot;volume&quot;:&quot;164&quot;,&quot;container-title-short&quot;:&quot;Physiol. Behav.&quot;},&quot;uris&quot;:[&quot;http://www.mendeley.com/documents/?uuid=6336826d-9645-4505-824b-4b248701b8b2&quot;],&quot;isTemporary&quot;:false,&quot;legacyDesktopId&quot;:&quot;6336826d-9645-4505-824b-4b248701b8b2&quot;}]},{&quot;citationID&quot;:&quot;MENDELEY_CITATION_5b27e22b-5713-4a11-a514-c6bdfd50914a&quot;,&quot;properties&quot;:{&quot;noteIndex&quot;:0},&quot;isEdited&quot;:false,&quot;manualOverride&quot;:{&quot;citeprocText&quot;:&quot;[180]&quot;,&quot;isManuallyOverridden&quot;:false,&quot;manualOverrideText&quot;:&quot;&quot;},&quot;citationTag&quot;:&quot;MENDELEY_CITATION_v3_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&quot;,&quot;citationItems&quot;:[{&quot;id&quot;:&quot;3ab54c72-d964-54f3-9162-4a23d22c818f&quot;,&quot;itemData&quot;:{&quot;DOI&quot;:&quot;10.2741/s94&quot;,&quot;ISSN&quot;:&quot;1945-0516&quot;,&quot;PMID&quot;:&quot;20036977&quot;,&quot;abstract&quot;:&quot;Human body temperature is regulated within a very narrow range. When exposed to hyperthermic conditions, via environmental factors and/or increased metabolism, heat dissipation becomes vital for survival. In humans, the primary mechanism of heat dissipation, particularly when ambient temperature is higher than skin temperature, is evaporative heat loss secondary to sweat secretion from eccrine glands. While the primary controller of sweating is the integration between internal and skin temperatures, a number of non-thermal factors modulate the sweating response. In addition to summarizing the current understanding of the neural pathways from the brain to the sweat gland, as well as responses at the sweat gland, this review will highlight findings pertaining to studies of proposed non-thermal modifiers of sweating, namely, exercise, baroreceptor loading state, and body fluid status. Information from these studies not only provides important insight pertaining to the basic mechanisms of sweating, but also perhaps could be useful towards a greater understanding of potential mechanisms and consequences of disease states as well as aging in altering sweating responses and thus temperature regulation.&quot;,&quot;author&quot;:[{&quot;dropping-particle&quot;:&quot;&quot;,&quot;family&quot;:&quot;Shibasaki&quot;,&quot;given&quot;:&quot;Manabu&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Frontiers in Bioscience&quot;,&quot;id&quot;:&quot;3ab54c72-d964-54f3-9162-4a23d22c818f&quot;,&quot;issue&quot;:&quot;2&quot;,&quot;issued&quot;:{&quot;date-parts&quot;:[[&quot;2010&quot;]]},&quot;page&quot;:&quot;94&quot;,&quot;title&quot;:&quot;Mechanisms and controllers of eccrine sweating in humans&quot;,&quot;type&quot;:&quot;article-journal&quot;,&quot;volume&quot;:&quot;S2&quot;,&quot;container-title-short&quot;:&quot;&quot;},&quot;uris&quot;:[&quot;http://www.mendeley.com/documents/?uuid=bd9c2501-0364-4bd8-a6c6-35437f7f628f&quot;],&quot;isTemporary&quot;:false,&quot;legacyDesktopId&quot;:&quot;bd9c2501-0364-4bd8-a6c6-35437f7f628f&quot;}]},{&quot;citationID&quot;:&quot;MENDELEY_CITATION_b736fec4-0e0f-472e-bae8-e80e771fbed1&quot;,&quot;properties&quot;:{&quot;noteIndex&quot;:0},&quot;isEdited&quot;:false,&quot;manualOverride&quot;:{&quot;citeprocText&quot;:&quot;[182,231]&quot;,&quot;isManuallyOverridden&quot;:false,&quot;manualOverrideText&quot;:&quot;&quot;},&quot;citationTag&quot;:&quot;MENDELEY_CITATION_v3_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&quot;,&quot;citationItems&quot;:[{&quot;id&quot;:&quot;2217b26f-ef03-534b-985a-6e670db22e25&quot;,&quot;itemData&quot;:{&quot;DOI&quot;:&quot;10.1007/BF00236062&quot;,&quot;ISSN&quot;:&quot;0301-5548&quot;,&quot;PMID&quot;:&quot;2079061&quot;,&quot;abstract&quot;:&quot;An experiment was set up to quantify the relative influence of fitness, acclimatization, gender and anthropometric measures on physiological responses to heat stress. For this purpose, 12 male and 12 female subjects were exposed to a neutral [ambient temperature (Ta) 21°C, relative humidity (r.h. 50%)], a warm, humid (Ta 34°C, r.h. 80%) and a hot, dry (Ta 45°C, r.h. 20%) climate at rest and at two exercise intensities [25%, and 45% maximal O2 intake (VO2max)], seated seminude in a net chair behind a cycle ergometer. Their physiological responses were recorded and the data submitted to a multiple regression analysis. It was shown that for the variance in heat storage, the percentage of body fat and the surface to mass ratio had relatively the largest influence of all the individual parameters, followed by VO2max and the sweat rate versus increase in core temperature (total r2=92%). For the skin temperature variation, the relative influence of individual parameters (sweat gain, VO2max) was small. For body core temperatures, individual parameters had a large influence. The largest effect was due to the percentage of fat and the surface to mass ratio, followed by the sweating setpoint and, finally, VO2max (total r2 = 54%-70%). For the variance in heart rate the VO2max was the most relevant parameter, followed by the setpoint of the sweat rate:rectal temperature relationship (total r2=88%). Blood pressure and skin blood flow predictions were also shown to improve by the addition of individual characteristics to the model. Body surface area, VO2max and the sweating setpoint were shown to have a large influence but the proportion of the variance explained by these variables was too small (r2 &lt; 70%) to use them as strain predictors, however. For all the predicted variables, it was shown that gender lost its influence, once VO2max or anthropometric data were introduced into the prediction equation. © 1990 Springer-Verlag.&quot;,&quot;author&quot;:[{&quot;dropping-particle&quot;:&quot;&quot;,&quot;family&quot;:&quot;Havenith&quot;,&quot;given&quot;:&quot;George&quot;,&quot;non-dropping-particle&quot;:&quot;&quot;,&quot;parse-names&quot;:false,&quot;suffix&quot;:&quot;&quot;},{&quot;dropping-particle&quot;:&quot;&quot;,&quot;family&quot;:&quot;Middendorp&quot;,&quot;given&quot;:&quot;Henk&quot;,&quot;non-dropping-particle&quot;:&quot;van&quot;,&quot;parse-names&quot;:false,&quot;suffix&quot;:&quot;&quot;}],&quot;container-title&quot;:&quot;European Journal of Applied Physiology and Occupational Physiology&quot;,&quot;id&quot;:&quot;2217b26f-ef03-534b-985a-6e670db22e25&quot;,&quot;issue&quot;:&quot;5-6&quot;,&quot;issued&quot;:{&quot;date-parts&quot;:[[&quot;1990&quot;,&quot;12&quot;]]},&quot;page&quot;:&quot;419-427&quot;,&quot;title&quot;:&quot;The relative influence of physical fitness, acclimatization state, anthropometric measures and gender on individual reactions to heat stress&quot;,&quot;type&quot;:&quot;article-journal&quot;,&quot;volume&quot;:&quot;61&quot;,&quot;container-title-short&quot;:&quot;Eur. J. Appl. Physiol. Occup. Physiol.&quot;},&quot;uris&quot;:[&quot;http://www.mendeley.com/documents/?uuid=b90f3d3a-ebc7-4922-8cb6-0a89f211fdec&quot;],&quot;isTemporary&quot;:false,&quot;legacyDesktopId&quot;:&quot;b90f3d3a-ebc7-4922-8cb6-0a89f211fdec&quot;},{&quot;id&quot;:&quot;2b8c8d9d-daa0-5ae3-ac16-1266cadfafa8&quot;,&quot;itemData&quot;:{&quot;DOI&quot;:&quot;10.1111/sms.12408&quot;,&quot;ISSN&quot;:&quot;16000838&quot;,&quot;PMID&quot;:&quot;25943654&quot;,&quot;abstract&quot;:&quot;Exercise heat acclimation induces physiological adaptations that improve thermoregulation, attenuate physiological strain, reduce the risk of serious heat illness, and improve aerobic performance in warm-hot environments and potentially in temperate environments. The adaptations include improved sweating, improved skin blood flow, lowered body temperatures, reduced cardiovascular strain, improved fluid balance, altered metabolism, and enhanced cellular protection. The magnitudes of adaptations are determined by the intensity, duration, frequency, and number of heat exposures, as well as the environmental conditions (i.e., dry or humid heat). Evidence is emerging that controlled hyperthermia regimens where a target core temperature is maintained, enable more rapid and complete adaptations relative to the traditional constant work rate exercise heat acclimation regimens. Furthermore, inducing heat acclimation outdoors in a natural field setting may provide more specific adaptations based on direct exposure to the exact environmental and exercise conditions to be encountered during competition. This review initially examines the physiological adaptations associated with heat acclimation induction regimens, and subsequently emphasizes their application to competitive athletes and sports.&quot;,&quot;author&quot;:[{&quot;dropping-particle&quot;:&quot;&quot;,&quot;family&quot;:&quot;Périard&quot;,&quot;given&quot;:&quot;J. D.&quot;,&quot;non-dropping-particle&quot;:&quot;&quot;,&quot;parse-names&quot;:false,&quot;suffix&quot;:&quot;&quot;},{&quot;dropping-particle&quot;:&quot;&quot;,&quot;family&quot;:&quot;Racinais&quot;,&quot;given&quot;:&quot;S.&quot;,&quot;non-dropping-particle&quot;:&quot;&quot;,&quot;parse-names&quot;:false,&quot;suffix&quot;:&quot;&quot;},{&quot;dropping-particle&quot;:&quot;&quot;,&quot;family&quot;:&quot;Sawka&quot;,&quot;given&quot;:&quot;M. N.&quot;,&quot;non-dropping-particle&quot;:&quot;&quot;,&quot;parse-names&quot;:false,&quot;suffix&quot;:&quot;&quot;}],&quot;container-title&quot;:&quot;Scandinavian Journal of Medicine and Science in Sports&quot;,&quot;id&quot;:&quot;2b8c8d9d-daa0-5ae3-ac16-1266cadfafa8&quot;,&quot;issue&quot;:&quot;S1&quot;,&quot;issued&quot;:{&quot;date-parts&quot;:[[&quot;2015&quot;]]},&quot;page&quot;:&quot;20-38&quot;,&quot;title&quot;:&quot;Adaptations and mechanisms of human heat acclimation: Applications for competitive athletes and sports&quot;,&quot;type&quot;:&quot;article-journal&quot;,&quot;volume&quot;:&quot;25&quot;,&quot;container-title-short&quot;:&quot;Scand. J. Med. Sci. Sports&quot;},&quot;uris&quot;:[&quot;http://www.mendeley.com/documents/?uuid=32496967-fdc0-4177-873f-3ee410ba4c06&quot;],&quot;isTemporary&quot;:false,&quot;legacyDesktopId&quot;:&quot;32496967-fdc0-4177-873f-3ee410ba4c06&quot;}]},{&quot;citationID&quot;:&quot;MENDELEY_CITATION_608b7c13-1485-4d83-b77e-4bb0582d9354&quot;,&quot;properties&quot;:{&quot;noteIndex&quot;:0},&quot;isEdited&quot;:false,&quot;manualOverride&quot;:{&quot;citeprocText&quot;:&quot;[214]&quot;,&quot;isManuallyOverridden&quot;:false,&quot;manualOverrideText&quot;:&quot;&quot;},&quot;citationTag&quot;:&quot;MENDELEY_CITATION_v3_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&quot;,&quot;citationItems&quot;:[{&quot;id&quot;:&quot;fdd35962-e21a-50ad-a351-0267f92524e8&quot;,&quot;itemData&quot;:{&quot;DOI&quot;:&quot;10.1152/japplphysiol.00637.2012&quot;,&quot;ISSN&quot;:&quot;8750-7587&quot;,&quot;PMID&quot;:&quot;22797311&quot;,&quot;abstract&quot;:&quot;To assess potential mechanisms responsible for the lower sudomotor thermosensitivity in women during exercise, we examined sex differences in sudomotor function and skin blood flow (SkBF) during exercise performed at progressive increases in the requirement for heat loss. Eight men and eight women cycled at rates of metabolic heat production of 200, 250, and 300 W/m 2 of body surface area, with each rate being performed sequentially for 30 min. The protocol was performed in a direct calorimeter to measure evaporative heat loss (EHL) and in a thermal chamber to measure local sweat rate (LSR) (ventilated capsule), SkBF (laser-Doppler), sweat gland activation (modified iodine-paper technique), and sweat gland output (SGO) on the back, chest, and forearm. Despite a similar requirement for heat loss between the sexes, significantly lower increases in EHL and LSR were observed in women ( P ≤ 0.001). Sex differences in EHL and LSR were not consistently observed during the first and second exercise periods, whereas EHL (348 ± 13 vs. 307 ± 9 W/m 2 ) and LSR on the back (1.61 ± 0.07 vs. 1.20 ± 0.09 mg·min −1 ·cm −2 ), chest (1.33 ± 0.06 vs. 1.08 ± 0.09 mg·min −1 ·cm −2 ), and forearm (1.53 ± 0.07 vs. 1.20 ± 0.06 mg·min −1 ·cm −2 , men vs. women) became significantly greater in men during the last exercise period ( P &lt; 0.05). At each site, differences in LSR were solely due to a greater SGO in men, as opposed to differences in sweat gland activation. In contrast, no sex differences in SkBF were observed throughout the exercise period. The present study demonstrates that sex differences in sudomotor function are only evidenced beyond a certain requirement for heat loss, solely through differences in SGO. In contrast, the lower EHL and LSR in women are not paralleled by a lower SkBF response.&quot;,&quot;author&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Journal of Applied Physiology&quot;,&quot;id&quot;:&quot;fdd35962-e21a-50ad-a351-0267f92524e8&quot;,&quot;issue&quot;:&quot;5&quot;,&quot;issued&quot;:{&quot;date-parts&quot;:[[&quot;2012&quot;,&quot;9&quot;,&quot;1&quot;]]},&quot;page&quot;:&quot;746-757&quot;,&quot;title&quot;:&quot;Sex differences in thermoeffector responses during exercise at fixed requirements for heat loss&quot;,&quot;type&quot;:&quot;article-journal&quot;,&quot;volume&quot;:&quot;113&quot;,&quot;container-title-short&quot;:&quot;J. Appl. Physiol.&quot;},&quot;uris&quot;:[&quot;http://www.mendeley.com/documents/?uuid=f425e613-cacd-41d5-9962-4a16354b8b6b&quot;],&quot;isTemporary&quot;:false,&quot;legacyDesktopId&quot;:&quot;f425e613-cacd-41d5-9962-4a16354b8b6b&quot;}]},{&quot;citationID&quot;:&quot;MENDELEY_CITATION_9d44eb15-8fb3-4634-a254-c7a9312e8c27&quot;,&quot;properties&quot;:{&quot;noteIndex&quot;:0},&quot;isEdited&quot;:false,&quot;manualOverride&quot;:{&quot;citeprocText&quot;:&quot;[232,233]&quot;,&quot;isManuallyOverridden&quot;:false,&quot;manualOverrideText&quot;:&quot;&quot;},&quot;citationTag&quot;:&quot;MENDELEY_CITATION_v3_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&quot;,&quot;citationItems&quot;:[{&quot;id&quot;:&quot;5c75b7c1-1b16-57c6-8e4c-c9c979aab613&quot;,&quot;itemData&quot;:{&quot;DOI&quot;:&quot;10.1503/cmaj.081050&quot;,&quot;ISSN&quot;:&quot;14882329&quot;,&quot;PMID&quot;:&quot;19703915&quot;,&quot;author&quot;:[{&quot;dropping-particle&quot;:&quot;&quot;,&quot;family&quot;:&quot;Kenny&quot;,&quot;given&quot;:&quot;Glen P.&quot;,&quot;non-dropping-particle&quot;:&quot;&quot;,&quot;parse-names&quot;:false,&quot;suffix&quot;:&quot;&quot;},{&quot;dropping-particle&quot;:&quot;&quot;,&quot;family&quot;:&quot;Yardley&quot;,&quot;given&quot;:&quot;Jane&quot;,&quot;non-dropping-particle&quot;:&quot;&quot;,&quot;parse-names&quot;:false,&quot;suffix&quot;:&quot;&quot;},{&quot;dropping-particle&quot;:&quot;&quot;,&quot;family&quot;:&quot;Brown&quot;,&quot;given&quot;:&quot;Candice&quot;,&quot;non-dropping-particle&quot;:&quot;&quot;,&quot;parse-names&quot;:false,&quot;suffix&quot;:&quot;&quot;},{&quot;dropping-particle&quot;:&quot;&quot;,&quot;family&quot;:&quot;Sigal&quot;,&quot;given&quot;:&quot;Ronald J.&quot;,&quot;non-dropping-particle&quot;:&quot;&quot;,&quot;parse-names&quot;:false,&quot;suffix&quot;:&quot;&quot;},{&quot;dropping-particle&quot;:&quot;&quot;,&quot;family&quot;:&quot;Jay&quot;,&quot;given&quot;:&quot;Ollie&quot;,&quot;non-dropping-particle&quot;:&quot;&quot;,&quot;parse-names&quot;:false,&quot;suffix&quot;:&quot;&quot;}],&quot;container-title&quot;:&quot;CMAJ. Canadian Medical Association Journal&quot;,&quot;id&quot;:&quot;5c75b7c1-1b16-57c6-8e4c-c9c979aab613&quot;,&quot;issue&quot;:&quot;10&quot;,&quot;issued&quot;:{&quot;date-parts&quot;:[[&quot;2010&quot;]]},&quot;page&quot;:&quot;1053-1060&quot;,&quot;title&quot;:&quot;Heat stress in older individuals and patients with common chronic diseases&quot;,&quot;type&quot;:&quot;article-journal&quot;,&quot;volume&quot;:&quot;182&quot;,&quot;container-title-short&quot;:&quot;&quot;},&quot;uris&quot;:[&quot;http://www.mendeley.com/documents/?uuid=cf33aba8-52ae-4486-b6b4-3a835d4d6e1d&quot;],&quot;isTemporary&quot;:false,&quot;legacyDesktopId&quot;:&quot;cf33aba8-52ae-4486-b6b4-3a835d4d6e1d&quot;},{&quot;id&quot;:&quot;909d50f1-d18c-581d-9c21-ffa4e41ecc17&quot;,&quot;itemData&quot;:{&quot;DOI&quot;:&quot;10.1016/j.jsams.2021.06.004&quot;,&quot;ISSN&quot;:&quot;14402440&quot;,&quot;author&quot;:[{&quot;dropping-particle&quot;:&quot;&quot;,&quot;family&quot;:&quot;Morrissey&quot;,&quot;given&quot;:&quot;Margaret C.&quot;,&quot;non-dropping-particle&quot;:&quot;&quot;,&quot;parse-names&quot;:false,&quot;suffix&quot;:&quot;&quot;},{&quot;dropping-particle&quot;:&quot;&quot;,&quot;family&quot;:&quot;Wu&quot;,&quot;given&quot;:&quot;Yin&quot;,&quot;non-dropping-particle&quot;:&quot;&quot;,&quot;parse-names&quot;:false,&quot;suffix&quot;:&quot;&quot;},{&quot;dropping-particle&quot;:&quot;&quot;,&quot;family&quot;:&quot;Zuk&quot;,&quot;given&quot;:&quot;Emma F.&quot;,&quot;non-dropping-particle&quot;:&quot;&quot;,&quot;parse-names&quot;:false,&quot;suffix&quot;:&quot;&quot;},{&quot;dropping-particle&quot;:&quot;&quot;,&quot;family&quot;:&quot;Livingston&quot;,&quot;given&quot;:&quot;Jill&quot;,&quot;non-dropping-particle&quot;:&quot;&quot;,&quot;parse-names&quot;:false,&quot;suffix&quot;:&quot;&quot;},{&quot;dropping-particle&quot;:&quot;&quot;,&quot;family&quot;:&quot;Casa&quot;,&quot;given&quot;:&quot;Douglas J.&quot;,&quot;non-dropping-particle&quot;:&quot;&quot;,&quot;parse-names&quot;:false,&quot;suffix&quot;:&quot;&quot;},{&quot;dropping-particle&quot;:&quot;&quot;,&quot;family&quot;:&quot;Pescatello&quot;,&quot;given&quot;:&quot;Linda S.&quot;,&quot;non-dropping-particle&quot;:&quot;&quot;,&quot;parse-names&quot;:false,&quot;suffix&quot;:&quot;&quot;}],&quot;container-title&quot;:&quot;Journal of Science and Medicine in Sport&quot;,&quot;id&quot;:&quot;909d50f1-d18c-581d-9c21-ffa4e41ecc17&quot;,&quot;issue&quot;:&quot;8&quot;,&quot;issued&quot;:{&quot;date-parts&quot;:[[&quot;2021&quot;,&quot;8&quot;]]},&quot;page&quot;:&quot;843-850&quot;,&quot;title&quot;:&quot;The impact of body fat on thermoregulation during exercise in the heat: A systematic review and meta-analysis&quot;,&quot;type&quot;:&quot;article-journal&quot;,&quot;volume&quot;:&quot;24&quot;,&quot;container-title-short&quot;:&quot;J. Sci. Med. Sport&quot;},&quot;uris&quot;:[&quot;http://www.mendeley.com/documents/?uuid=f4d47b3d-8809-4c56-8abe-01af4959a6ee&quot;],&quot;isTemporary&quot;:false,&quot;legacyDesktopId&quot;:&quot;f4d47b3d-8809-4c56-8abe-01af4959a6ee&quot;}]},{&quot;citationID&quot;:&quot;MENDELEY_CITATION_7c908fae-fe11-4df8-a65c-974471aa63aa&quot;,&quot;properties&quot;:{&quot;noteIndex&quot;:0},&quot;isEdited&quot;:false,&quot;manualOverride&quot;:{&quot;citeprocText&quot;:&quot;[234–236]&quot;,&quot;isManuallyOverridden&quot;:false,&quot;manualOverrideText&quot;:&quot;&quot;},&quot;citationTag&quot;:&quot;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&quot;,&quot;citationItems&quot;:[{&quot;id&quot;:&quot;5f5e0d84-f970-5e9b-80ae-4cde79e187b7&quot;,&quot;itemData&quot;:{&quot;DOI&quot;:&quot;10.1007/s40279-015-0395-7&quot;,&quot;ISSN&quot;:&quot;11792035&quot;,&quot;PMID&quot;:&quot;26553489&quot;,&quot;abstract&quot;:&quot;Body water losses of &gt;2 % of body mass are defined as hypohydration and can occur from sweat loss and/or diuresis from both cold and altitude exposure. Hypohydration elicits intracellular and extracellular water loss proportionate to water and solute deficits. Iso-osmotic hypovolemia (from cold and high-altitude exposure) results in greater plasma loss for a given water deficit than hypertonic hypovolemia from sweat loss. Hypohydration does not impair submaximal intensity aerobic performance in cold–cool environments, sometimes impairs aerobic performance in temperate environments, and usually impairs aerobic performance in warm–hot environments. Hypohydration begins to impair aerobic performance when skin temperatures exceed 27 °C, and with each additional 1 °C elevation in skin temperature there is a further 1.5 % impairment. Hypohydration has an additive effect on impairing aerobic performance in warm–hot high-altitude environments. A commonality of absolute hypovolemia (from plasma volume loss) combined with relative hypovolemia (from tissue vasodilation) is present when aerobic performance is impaired. The decrement in aerobic exercise performance due to hypohydration is likely due to multiple physiological mechanisms, including cardiovascular strain acting as the ‘lynchpin’, elevated tissue temperatures, and metabolic changes which are all integrated through the CNS to reduce motor drive to skeletal muscles.&quot;,&quot;author&quot;:[{&quot;dropping-particle&quot;:&quot;&quot;,&quot;family&quot;:&quot;Sawka&quot;,&quot;given&quot;:&quot;Michael N.&quot;,&quot;non-dropping-particle&quot;:&quot;&quot;,&quot;parse-names&quot;:false,&quot;suffix&quot;:&quot;&quot;},{&quot;dropping-particle&quot;:&quot;&quot;,&quot;family&quot;:&quot;Cheuvront&quot;,&quot;given&quot;:&quot;Samuel N.&quot;,&quot;non-dropping-particle&quot;:&quot;&quot;,&quot;parse-names&quot;:false,&quot;suffix&quot;:&quot;&quot;},{&quot;dropping-particle&quot;:&quot;&quot;,&quot;family&quot;:&quot;Kenefick&quot;,&quot;given&quot;:&quot;Robert W.&quot;,&quot;non-dropping-particle&quot;:&quot;&quot;,&quot;parse-names&quot;:false,&quot;suffix&quot;:&quot;&quot;}],&quot;container-title&quot;:&quot;Sports Medicine&quot;,&quot;id&quot;:&quot;5f5e0d84-f970-5e9b-80ae-4cde79e187b7&quot;,&quot;issue&quot;:&quot;1&quot;,&quot;issued&quot;:{&quot;date-parts&quot;:[[&quot;2015&quot;]]},&quot;page&quot;:&quot;51-60&quot;,&quot;publisher&quot;:&quot;Springer International Publishing&quot;,&quot;title&quot;:&quot;Hypohydration and Human Performance: Impact of Environment and Physiological Mechanisms&quot;,&quot;type&quot;:&quot;article-journal&quot;,&quot;volume&quot;:&quot;45&quot;,&quot;container-title-short&quot;:&quot;&quot;},&quot;uris&quot;:[&quot;http://www.mendeley.com/documents/?uuid=ea35ae4a-5f9c-4b50-9b38-a8dabf3edb17&quot;],&quot;isTemporary&quot;:false,&quot;legacyDesktopId&quot;:&quot;ea35ae4a-5f9c-4b50-9b38-a8dabf3edb17&quot;},{&quot;id&quot;:&quot;b71e18fe-47ac-5793-8dfd-b42dd29b6e66&quot;,&quot;itemData&quot;:{&quot;DOI&quot;:&quot;10.1007/s40279-017-0844-6&quot;,&quot;ISSN&quot;:&quot;11792035&quot;,&quot;PMID&quot;:&quot;29368181&quot;,&quot;abstract&quot;:&quot;In humans, thirst tends to be alleviated before complete rehydration is achieved. When sweating rates are high and ad libitum fluid consumption is not sufficient to replace sweat losses, a cumulative loss in body water results. Body mass losses of 2% or greater take time to accumulate. Dehydration of ≥ 2% body mass is associated with impaired thermoregulatory function, elevated cardiovascular strain and, in many conditions (e.g., warmer, longer, more intense), impaired aerobic exercise performance. Circumstances where planned drinking is optimal include longer duration activities of &gt; 90 min, particularly in the heat; higher-intensity exercise with high sweat rates; exercise where performance is a concern; and when carbohydrate intake of 1 g/min is desired. Individuals with high sweat rates and/or those concerned with exercise performance should determine sweat rates under conditions (exercise intensity, pace) and environments similar to that anticipated when competing and tailor drinking to prevent body mass losses &gt; 2%. Circumstances where drinking to thirst may be sufficient include short duration exercise of &lt; 1 h to 90 min; exercise in cooler conditions; and lower-intensity exercise. It is recommended to never drink so much that weight is gained.&quot;,&quot;author&quot;:[{&quot;dropping-particle&quot;:&quot;&quot;,&quot;family&quot;:&quot;Kenefick&quot;,&quot;given&quot;:&quot;Robert W.&quot;,&quot;non-dropping-particle&quot;:&quot;&quot;,&quot;parse-names&quot;:false,&quot;suffix&quot;:&quot;&quot;}],&quot;container-title&quot;:&quot;Sports Medicine&quot;,&quot;id&quot;:&quot;b71e18fe-47ac-5793-8dfd-b42dd29b6e66&quot;,&quot;issue&quot;:&quot;s1&quot;,&quot;issued&quot;:{&quot;date-parts&quot;:[[&quot;2018&quot;]]},&quot;page&quot;:&quot;31-37&quot;,&quot;publisher&quot;:&quot;Springer International Publishing&quot;,&quot;title&quot;:&quot;Drinking Strategies: Planned Drinking Versus Drinking to Thirst&quot;,&quot;type&quot;:&quot;article-journal&quot;,&quot;volume&quot;:&quot;48&quot;,&quot;container-title-short&quot;:&quot;&quot;},&quot;uris&quot;:[&quot;http://www.mendeley.com/documents/?uuid=04d09516-7f80-45fc-af26-e5e72bb4859c&quot;],&quot;isTemporary&quot;:false,&quot;legacyDesktopId&quot;:&quot;04d09516-7f80-45fc-af26-e5e72bb4859c&quot;},{&quot;id&quot;:&quot;ebc7043e-baec-5669-8d6c-c982f01773ee&quot;,&quot;itemData&quot;:{&quot;DOI&quot;:&quot;10.1016/j.autneu.2016.02.003&quot;,&quot;ISSN&quot;:&quot;18727484&quot;,&quot;PMID&quot;:&quot;26944095&quot;,&quot;abstract&quot;:&quot;Sufficient body water is required to sustain thermoregulatory function, thus losses in total body water (TBW) can challenge the thermoregulatory system. A TBW deficit ≥. 2% body mass (hypohydration) is recognized as the threshold when thermoregulatory function becomes measurably altered. Hypohydration may occur from voluntary fluid restriction, insufficient fluid availability, or thermoregulatory sweating. The secretion and evaporation of sweat important avenues of body heat loss, and if the water lost is not replaced, hypohydration will decrease plasma volume and increase plasma osmotic pressure (hyperosmotic hypovolemia). Both osmotic and/or volume stressors delay the onset and/or reduce the sensitivity of sweating and blood flow responses. The magnitude of hypohydration, environmental heat stress, the population and circumstances of interest will determine the degree, significance and outcome of these thermoregulatory alterations and their contribution to physiological stress.&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container-title&quot;:&quot;Autonomic Neuroscience: Basic and Clinical&quot;,&quot;id&quot;:&quot;ebc7043e-baec-5669-8d6c-c982f01773ee&quot;,&quot;issued&quot;:{&quot;date-parts&quot;:[[&quot;2016&quot;]]},&quot;page&quot;:&quot;47-51&quot;,&quot;title&quot;:&quot;Physiological adjustments to hypohydration: Impact on thermoregulation&quot;,&quot;type&quot;:&quot;article-journal&quot;,&quot;volume&quot;:&quot;196&quot;,&quot;container-title-short&quot;:&quot;Auton. Neurosci.&quot;},&quot;uris&quot;:[&quot;http://www.mendeley.com/documents/?uuid=6706b394-2a75-4bc0-b850-f3fecfd97bf0&quot;],&quot;isTemporary&quot;:false,&quot;legacyDesktopId&quot;:&quot;6706b394-2a75-4bc0-b850-f3fecfd97bf0&quot;}]},{&quot;citationID&quot;:&quot;MENDELEY_CITATION_62bc41a3-a77c-4544-b468-4178677ace96&quot;,&quot;properties&quot;:{&quot;noteIndex&quot;:0},&quot;isEdited&quot;:false,&quot;manualOverride&quot;:{&quot;citeprocText&quot;:&quot;[237]&quot;,&quot;isManuallyOverridden&quot;:false,&quot;manualOverrideText&quot;:&quot;&quot;},&quot;citationTag&quot;:&quot;MENDELEY_CITATION_v3_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&quot;,&quot;citationItems&quot;:[{&quot;id&quot;:&quot;3a07f646-f70e-5f24-9637-784df551fd33&quot;,&quot;itemData&quot;:{&quot;DOI&quot;:&quot;10.1172/JCI113520&quot;,&quot;ISSN&quot;:&quot;00219738&quot;,&quot;PMID&quot;:&quot;3384951&quot;,&quot;abstract&quot;:&quot;A systematic reappraisal of the thermic effect of food was done in lean and obese males randomly fed mixed meals containing 0, 8, 16, 24, and 32 kcal/kg fat-free mass. Densitometric analysis was used to measure body composition. Preprandial and postprandial energy expenditures were measured by indirect calorimetry. The data show that the thermic effect of food was linearly correlated with caloric intake, and that the magnitude and duration of augmented postprandial thermogenesis increased linearly with caloric consumption. Postprandial energy expenditures over resting metabolic requirements were indistinguishable when comparing lean and obese men for a given caloric intake. Individuals, however, had distinct and consistent thermic responses to progressively greater caloric challenges. These unique thermic profiles to food ingestion were also independent of leanness or obesity. We conclude that the thermic effect of food increases linearly with caloric intake, and is independent of leanness and obesity.&quot;,&quot;author&quot;:[{&quot;dropping-particle&quot;:&quot;&quot;,&quot;family&quot;:&quot;D'Alessio&quot;,&quot;given&quot;:&quot;D. A.&quot;,&quot;non-dropping-particle&quot;:&quot;&quot;,&quot;parse-names&quot;:false,&quot;suffix&quot;:&quot;&quot;},{&quot;dropping-particle&quot;:&quot;&quot;,&quot;family&quot;:&quot;Kavle&quot;,&quot;given&quot;:&quot;E. C.&quot;,&quot;non-dropping-particle&quot;:&quot;&quot;,&quot;parse-names&quot;:false,&quot;suffix&quot;:&quot;&quot;},{&quot;dropping-particle&quot;:&quot;&quot;,&quot;family&quot;:&quot;Mozzoli&quot;,&quot;given&quot;:&quot;M. A.&quot;,&quot;non-dropping-particle&quot;:&quot;&quot;,&quot;parse-names&quot;:false,&quot;suffix&quot;:&quot;&quot;},{&quot;dropping-particle&quot;:&quot;&quot;,&quot;family&quot;:&quot;Smalley&quot;,&quot;given&quot;:&quot;K. J.&quot;,&quot;non-dropping-particle&quot;:&quot;&quot;,&quot;parse-names&quot;:false,&quot;suffix&quot;:&quot;&quot;},{&quot;dropping-particle&quot;:&quot;&quot;,&quot;family&quot;:&quot;Polansky&quot;,&quot;given&quot;:&quot;M.&quot;,&quot;non-dropping-particle&quot;:&quot;&quot;,&quot;parse-names&quot;:false,&quot;suffix&quot;:&quot;&quot;},{&quot;dropping-particle&quot;:&quot;V.&quot;,&quot;family&quot;:&quot;Kendrick&quot;,&quot;given&quot;:&quot;Z.&quot;,&quot;non-dropping-particle&quot;:&quot;&quot;,&quot;parse-names&quot;:false,&quot;suffix&quot;:&quot;&quot;},{&quot;dropping-particle&quot;:&quot;&quot;,&quot;family&quot;:&quot;Owen&quot;,&quot;given&quot;:&quot;L. R.&quot;,&quot;non-dropping-particle&quot;:&quot;&quot;,&quot;parse-names&quot;:false,&quot;suffix&quot;:&quot;&quot;},{&quot;dropping-particle&quot;:&quot;&quot;,&quot;family&quot;:&quot;Bushman&quot;,&quot;given&quot;:&quot;M. C.&quot;,&quot;non-dropping-particle&quot;:&quot;&quot;,&quot;parse-names&quot;:false,&quot;suffix&quot;:&quot;&quot;},{&quot;dropping-particle&quot;:&quot;&quot;,&quot;family&quot;:&quot;Boden&quot;,&quot;given&quot;:&quot;G.&quot;,&quot;non-dropping-particle&quot;:&quot;&quot;,&quot;parse-names&quot;:false,&quot;suffix&quot;:&quot;&quot;},{&quot;dropping-particle&quot;:&quot;&quot;,&quot;family&quot;:&quot;Owen&quot;,&quot;given&quot;:&quot;O. E.&quot;,&quot;non-dropping-particle&quot;:&quot;&quot;,&quot;parse-names&quot;:false,&quot;suffix&quot;:&quot;&quot;}],&quot;container-title&quot;:&quot;Journal of Clinical Investigation&quot;,&quot;id&quot;:&quot;3a07f646-f70e-5f24-9637-784df551fd33&quot;,&quot;issue&quot;:&quot;6&quot;,&quot;issued&quot;:{&quot;date-parts&quot;:[[&quot;1988&quot;]]},&quot;page&quot;:&quot;1781-1789&quot;,&quot;title&quot;:&quot;Thermic effect of food in lean and obese men&quot;,&quot;type&quot;:&quot;article-journal&quot;,&quot;volume&quot;:&quot;81&quot;,&quot;container-title-short&quot;:&quot;&quot;},&quot;uris&quot;:[&quot;http://www.mendeley.com/documents/?uuid=25f123cf-7eec-47ac-a665-eeda9388437b&quot;],&quot;isTemporary&quot;:false,&quot;legacyDesktopId&quot;:&quot;25f123cf-7eec-47ac-a665-eeda9388437b&quot;}]},{&quot;citationID&quot;:&quot;MENDELEY_CITATION_34bfc65a-6628-46b0-bdef-52f23a51e631&quot;,&quot;properties&quot;:{&quot;noteIndex&quot;:0},&quot;isEdited&quot;:false,&quot;manualOverride&quot;:{&quot;citeprocText&quot;:&quot;[238,239]&quot;,&quot;isManuallyOverridden&quot;:false,&quot;manualOverrideText&quot;:&quot;&quot;},&quot;citationTag&quot;:&quot;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&quot;,&quot;citationItems&quot;:[{&quot;id&quot;:&quot;eedbe041-2688-5ce0-8106-28ec9bb8b678&quot;,&quot;itemData&quot;:{&quot;DOI&quot;:&quot;10.1016/0165-1838(94)00151-9&quot;,&quot;ISSN&quot;:&quot;01651838&quot;,&quot;PMID&quot;:&quot;7615894&quot;,&quot;abstract&quot;:&quot;Mechanisms of physiological gustatory sweating and flushing were investigated in 21 patients with a facial nerve lesion compromising parasympathetic outflow to the lacrimal gland, and in 13 patients undergoing diagnostic blockade of the stellate ganglion. Vascular responses and electrodermal activity (which reflects sweating) were monitored on each side of the forehead before and during gustatory stimulation with chillies or Tabasco sauce (derived from chillies). Vascular responses in the cheeks were also monitored in 14 patients with a facial nerve lesion. Sympathetic blockade increased gustatory vasodilation but prevented gustatory sweating on the blocked side of the forehead. A facial nerve lesion did not affect gustatoty sweating in the forehead or vasodilatation in the cheeks. However, a facial nerve lesion impaired vasodilatation in the forehead in all six patients who ate chillies, and also in four of five patients whose blood vessels dilatated extensively on the normally-innervated side of the forehead when the patients tasted Tabasco sauce. These findings suggest that sympathetic sudomotor activity mediates physiological gustatory sweating in the forehead, whereas sympathetic vasoconstrictor tone inhibits gustatory vasodilatation in the forehead. A parasympathetic vasodilator reflex in the facial nerve contributes actively to gustatory flushing in the forehead, but some other unidentified mechanism influences vascular responses in the cheeks. © 1995.&quot;,&quot;author&quot;:[{&quot;dropping-particle&quot;:&quot;&quot;,&quot;family&quot;:&quot;Drummond&quot;,&quot;given&quot;:&quot;Peter D.&quot;,&quot;non-dropping-particle&quot;:&quot;&quot;,&quot;parse-names&quot;:false,&quot;suffix&quot;:&quot;&quot;}],&quot;container-title&quot;:&quot;Journal of the Autonomic Nervous System&quot;,&quot;id&quot;:&quot;eedbe041-2688-5ce0-8106-28ec9bb8b678&quot;,&quot;issue&quot;:&quot;2-3&quot;,&quot;issued&quot;:{&quot;date-parts&quot;:[[&quot;1995&quot;]]},&quot;page&quot;:&quot;117-124&quot;,&quot;title&quot;:&quot;Mechanisms of physiological gustatory sweating and flushing in the face&quot;,&quot;type&quot;:&quot;article-journal&quot;,&quot;volume&quot;:&quot;52&quot;,&quot;container-title-short&quot;:&quot;J. Auton. Nerv. Syst.&quot;},&quot;uris&quot;:[&quot;http://www.mendeley.com/documents/?uuid=ec27e765-0fde-411e-8569-3ded329f8444&quot;],&quot;isTemporary&quot;:false,&quot;legacyDesktopId&quot;:&quot;ec27e765-0fde-411e-8569-3ded329f8444&quot;},{&quot;id&quot;:&quot;0efc7605-7123-5497-bef7-b076f7a77c22&quot;,&quot;itemData&quot;:{&quot;DOI&quot;:&quot;10.3389/fnhum.2015.00720&quot;,&quot;ISSN&quot;:&quot;16625161&quot;,&quot;abstract&quot;:&quot;In a human fMRI study, it has been demonstrated that tasting and ingesting capsaicin activate the ventral part of the middle and posterior short gyri (M/PSG) of the insula which is known as the primary gustatory area, suggesting that capsaicin is recognized as a taste. Tasting and digesting spicy foods containing capsaicin induce various physiological responses such as perspiration from face, salivation, and facilitation of cardiovascular activity, which are thought to be caused through viscero-visceral autonomic reflexes. However, this does not necessarily exclude the possibility of the involvement of higher-order sensory-motor integration between the M/PSG and anterior short gyrus (ASG) known as the autonomic region of the insula. To reveal a possible functional coordination between the M/PSG and ASG, we here addressed whether capsaicin increases neural activity in the ASG as well as the M/PSG using fMRI and a custom-made taste delivery system. Twenty subjects participated in this study, and three tastant solutions: capsaicin, NaCl, and artificial saliva (AS) were used. Group analyses with the regions activated by capsaicin revealed significant activations in the bilateral ASG and M/PSG. The fMRI blood oxygenation level-dependent (BOLD) signals in response to capsaicin stimulation were significantly higher in ASG than in M/PSG regardless of the side. Concomitantly, capsaicin increased the fingertip temperature significantly. Although there was no significant correlation between the fingertip temperatures and BOLD signals in the ASG or M/PSG when the contrast [Capsaicin–AS] or [Capsaicin–NaCl] was computed, a significant correlation was found in the bilateral ASG when the contrast [2 × Capsaicin–NaCl–AS] was computed. In contrast, there was a significant correlation in the hypothalamus regardless of the contrasts. Furthermore, there was a significant correlation between M/PSG and ASG. These results indicate that capsaicin increases neural activity in the ASG as well as the M/PSG, suggesting that the neural coordination between the two cortical areas may be involved in autonomic responses to tasting spicy foods as reflected in fingertip temperature increases.&quot;,&quot;author&quot;:[{&quot;dropping-particle&quot;:&quot;&quot;,&quot;family&quot;:&quot;Kawakami&quot;,&quot;given&quot;:&quot;Shinpei&quot;,&quot;non-dropping-particle&quot;:&quot;&quot;,&quot;parse-names&quot;:false,&quot;suffix&quot;:&quot;&quot;},{&quot;dropping-particle&quot;:&quot;&quot;,&quot;family&quot;:&quot;Sato&quot;,&quot;given&quot;:&quot;Hajime&quot;,&quot;non-dropping-particle&quot;:&quot;&quot;,&quot;parse-names&quot;:false,&quot;suffix&quot;:&quot;&quot;},{&quot;dropping-particle&quot;:&quot;&quot;,&quot;family&quot;:&quot;Sasaki&quot;,&quot;given&quot;:&quot;Akihiro T.&quot;,&quot;non-dropping-particle&quot;:&quot;&quot;,&quot;parse-names&quot;:false,&quot;suffix&quot;:&quot;&quot;},{&quot;dropping-particle&quot;:&quot;&quot;,&quot;family&quot;:&quot;Tanabe&quot;,&quot;given&quot;:&quot;Hiroki C.&quot;,&quot;non-dropping-particle&quot;:&quot;&quot;,&quot;parse-names&quot;:false,&quot;suffix&quot;:&quot;&quot;},{&quot;dropping-particle&quot;:&quot;&quot;,&quot;family&quot;:&quot;Yoshida&quot;,&quot;given&quot;:&quot;Yumiko&quot;,&quot;non-dropping-particle&quot;:&quot;&quot;,&quot;parse-names&quot;:false,&quot;suffix&quot;:&quot;&quot;},{&quot;dropping-particle&quot;:&quot;&quot;,&quot;family&quot;:&quot;Saito&quot;,&quot;given&quot;:&quot;Mitsuru&quot;,&quot;non-dropping-particle&quot;:&quot;&quot;,&quot;parse-names&quot;:false,&quot;suffix&quot;:&quot;&quot;},{&quot;dropping-particle&quot;:&quot;&quot;,&quot;family&quot;:&quot;Toyoda&quot;,&quot;given&quot;:&quot;Hiroki&quot;,&quot;non-dropping-particle&quot;:&quot;&quot;,&quot;parse-names&quot;:false,&quot;suffix&quot;:&quot;&quot;},{&quot;dropping-particle&quot;:&quot;&quot;,&quot;family&quot;:&quot;Sadato&quot;,&quot;given&quot;:&quot;Norihiro&quot;,&quot;non-dropping-particle&quot;:&quot;&quot;,&quot;parse-names&quot;:false,&quot;suffix&quot;:&quot;&quot;},{&quot;dropping-particle&quot;:&quot;&quot;,&quot;family&quot;:&quot;Kang&quot;,&quot;given&quot;:&quot;Youngnam&quot;,&quot;non-dropping-particle&quot;:&quot;&quot;,&quot;parse-names&quot;:false,&quot;suffix&quot;:&quot;&quot;}],&quot;container-title&quot;:&quot;Frontiers in Human Neuroscience&quot;,&quot;id&quot;:&quot;0efc7605-7123-5497-bef7-b076f7a77c22&quot;,&quot;issue&quot;:&quot;JAN2016&quot;,&quot;issued&quot;:{&quot;date-parts&quot;:[[&quot;2016&quot;]]},&quot;page&quot;:&quot;1-16&quot;,&quot;title&quot;:&quot;The brain mechanisms underlying the perception of pungent taste of capsaicin and the subsequent autonomic responses&quot;,&quot;type&quot;:&quot;article-journal&quot;,&quot;volume&quot;:&quot;9&quot;,&quot;container-title-short&quot;:&quot;Front. Hum. Neurosci.&quot;},&quot;uris&quot;:[&quot;http://www.mendeley.com/documents/?uuid=02fb1421-8e57-49d0-b970-55faf64cf1a7&quot;],&quot;isTemporary&quot;:false,&quot;legacyDesktopId&quot;:&quot;02fb1421-8e57-49d0-b970-55faf64cf1a7&quot;}]},{&quot;citationID&quot;:&quot;MENDELEY_CITATION_9af98469-9505-47d2-abf1-2b3955eeb485&quot;,&quot;properties&quot;:{&quot;noteIndex&quot;:0},&quot;isEdited&quot;:false,&quot;manualOverride&quot;:{&quot;citeprocText&quot;:&quot;[240,241]&quot;,&quot;isManuallyOverridden&quot;:false,&quot;manualOverrideText&quot;:&quot;&quot;},&quot;citationTag&quot;:&quot;MENDELEY_CITATION_v3_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&quot;,&quot;citationItems&quot;:[{&quot;id&quot;:&quot;2bfd2a1b-a65e-5a66-a244-5ba3a0f1cb9d&quot;,&quot;itemData&quot;:{&quot;DOI&quot;:&quot;10.1152/japplphysiol.00172.2021&quot;,&quot;ISSN&quot;:&quot;15221601&quot;,&quot;PMID&quot;:&quot;34435513&quot;,&quot;abstract&quot;:&quot;To assess the impact of acute caffeine ingestion on thermoregulatory responses during steady-state exercise under moderate heat stress conditions in caffeine-habituated and nonhabituated individuals. Twenty-eight participants [14 habituated (HAB) (4 females) and 14 nonhabituated (NHAB) (6 females)] cycled at a fixed metabolic heat production (7 W·kg-1) for 60 min on two separate occasions 1 h after ingesting 1) 5 mg·kg-1 caffeine (CAF) or 2) 5 mg·kg-1 placebo (PLA), in a double-blinded, randomized, and counterbalanced order. Environmental conditions were 30.6 ± 0.9°C, 31 ± 1% relative humidity (RH). The end-exercise rise in esophageal temperature (ΔTes) from baseline was greater with CAF in the HAB group (CAF = 0.88 ± 0.29°C, PLA = 0.62 ± 0.34°C, P &lt; 0.001), but not in the NHAB group (CAF = 1.00 ± 0.42°C, PLA = 1.00 ± 0.39°C, P = 0.94). For a given change in mean body temperature, rises in % of maximum skin blood flow were attenuated with CAF on the forearm (P = 0.015) and back (P = 0.021) in the HAB group, but not in the NHAB group (P ≥ 0.65). Dry heat loss was similar in the HAB (CAF = 31 ± 5 W·m-2, PLA = 33 ± 7 W·m-2) and NHAB groups (CAF = 31 ± 3 W·m-2, PLA 30 ± 4 W·m-2) (P ≥ 0.37). There were no differences in whole body sweat losses in both groups (HAB: CAF = 0.59 ± 0.15 kg, PLA = 0.56 ± 0.17 kg, NHAB:CAF = 0.53 ± 0.19 kg, PLA 0.52 ± 0.19 kg) (P ≥ 0.32). As the potential for both dry and evaporative heat loss was uninhibited by caffeine, we suggest that the observed ΔTes differences with CAF in the HAB group were due to alterations in internal heat distribution. Our findings support the common practice of participants abstaining from caffeine before participation in thermoregulatory research studies in compensable conditions.&quot;,&quot;author&quot;:[{&quot;dropping-particle&quot;:&quot;&quot;,&quot;family&quot;:&quot;Hunt&quot;,&quot;given&quot;:&quot;Lindsey A.&quot;,&quot;non-dropping-particle&quot;:&quot;&quot;,&quot;parse-names&quot;:false,&quot;suffix&quot;:&quot;&quot;},{&quot;dropping-particle&quot;:&quot;&quot;,&quot;family&quot;:&quot;Hospers&quot;,&quot;given&quot;:&quot;Lily&quot;,&quot;non-dropping-particle&quot;:&quot;&quot;,&quot;parse-names&quot;:false,&quot;suffix&quot;:&quot;&quot;},{&quot;dropping-particle&quot;:&quot;&quot;,&quot;family&quot;:&quot;Smallcombe&quot;,&quot;given&quot;:&quot;James W.&quot;,&quot;non-dropping-particle&quot;:&quot;&quot;,&quot;parse-names&quot;:false,&quot;suffix&quot;:&quot;&quot;},{&quot;dropping-particle&quot;:&quot;&quot;,&quot;family&quot;:&quot;Mavros&quot;,&quot;given&quot;:&quot;Yorgi&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2bfd2a1b-a65e-5a66-a244-5ba3a0f1cb9d&quot;,&quot;issue&quot;:&quot;4&quot;,&quot;issued&quot;:{&quot;date-parts&quot;:[[&quot;2021&quot;]]},&quot;page&quot;:&quot;1300-1310&quot;,&quot;title&quot;:&quot;Caffeine alters thermoregulatory responses to exercise in the heat only in caffeine-habituated individuals: A double-blind placebo-controlled trial&quot;,&quot;type&quot;:&quot;article-journal&quot;,&quot;volume&quot;:&quot;131&quot;,&quot;container-title-short&quot;:&quot;J. Appl. Physiol.&quot;},&quot;uris&quot;:[&quot;http://www.mendeley.com/documents/?uuid=242345e8-e5fe-4b82-8756-44448c052c51&quot;],&quot;isTemporary&quot;:false,&quot;legacyDesktopId&quot;:&quot;242345e8-e5fe-4b82-8756-44448c052c51&quot;},{&quot;id&quot;:&quot;05a53b9b-68b8-536e-8610-df83b05361c7&quot;,&quot;itemData&quot;:{&quot;DOI&quot;:&quot;10.3390/nu16213692&quot;,&quot;ISSN&quot;:&quot;20726643&quot;,&quot;PMID&quot;:&quot;39519525&quot;,&quot;abstract&quot;:&quot;Background: Caffeine is widely recognized as an ergogenic aid to enhance athletic performance, yet its effects in hot environments remain relatively underexplored. Aims: To provide a comprehensive overview of the research landscape and identify research themes in this field. Methods: We systematically searched the Web of Science (WoS) and SCOPUS databases using keywords related to caffeine (e.g., caffe*), hot environments (e.g., heat, hot, or therm*), and athletic performance (e.g., cardio, endurance, or strength). The Bibliometrix package in R was used for bibliometric analysis and result visualization, while a narrative review was subsequently performed to identify research themes. Results: We found that studies examining the impact of caffeine on exercise in hot conditions are relatively sparse and have progressed slowly in recent years. Research in this domain has predominantly been concentrated within an academic network led by Professor Lawrence Armstrong. Recent contributions have been sporadically made by emerging scholars, with collaborations largely confined to a few research groups and countries. Key research themes identified include exercise performance, thermoregulation, fluid balance, physiological responses, immune responses, synergistic effects with other compounds, and the influence of individual differences. Of these, the first three themes—exercise performance, thermoregulation, and fluid balance—have received the most attention. Conclusions: Caffeine’s effects on exercise performance in hot environments have not been thoroughly studied. The existing research themes are varied, and the conclusions show considerable inconsistencies. Our study highlights the need for further research into the effects of caffeine dosage, administration methods, and population-specific variables. We also call for increased collaboration among research groups to advance scientific understanding and address the gaps in this field.&quot;,&quot;author&quot;:[{&quot;dropping-particle&quot;:&quot;&quot;,&quot;family&quot;:&quot;Li&quot;,&quot;given&quot;:&quot;Hansen&quot;,&quot;non-dropping-particle&quot;:&quot;&quot;,&quot;parse-names&quot;:false,&quot;suffix&quot;:&quot;&quot;},{&quot;dropping-particle&quot;:&quot;&quot;,&quot;family&quot;:&quot;Yang&quot;,&quot;given&quot;:&quot;Ying&quot;,&quot;non-dropping-particle&quot;:&quot;&quot;,&quot;parse-names&quot;:false,&quot;suffix&quot;:&quot;&quot;},{&quot;dropping-particle&quot;:&quot;&quot;,&quot;family&quot;:&quot;Liu&quot;,&quot;given&quot;:&quot;Qian&quot;,&quot;non-dropping-particle&quot;:&quot;&quot;,&quot;parse-names&quot;:false,&quot;suffix&quot;:&quot;&quot;},{&quot;dropping-particle&quot;:&quot;&quot;,&quot;family&quot;:&quot;Liu&quot;,&quot;given&quot;:&quot;Liming&quot;,&quot;non-dropping-particle&quot;:&quot;&quot;,&quot;parse-names&quot;:false,&quot;suffix&quot;:&quot;&quot;},{&quot;dropping-particle&quot;:&quot;&quot;,&quot;family&quot;:&quot;Zhang&quot;,&quot;given&quot;:&quot;Guodong&quot;,&quot;non-dropping-particle&quot;:&quot;&quot;,&quot;parse-names&quot;:false,&quot;suffix&quot;:&quot;&quot;},{&quot;dropping-particle&quot;:&quot;&quot;,&quot;family&quot;:&quot;Zhang&quot;,&quot;given&quot;:&quot;Xing&quot;,&quot;non-dropping-particle&quot;:&quot;&quot;,&quot;parse-names&quot;:false,&quot;suffix&quot;:&quot;&quot;},{&quot;dropping-particle&quot;:&quot;&quot;,&quot;family&quot;:&quot;Yin&quot;,&quot;given&quot;:&quot;Mingyue&quot;,&quot;non-dropping-particle&quot;:&quot;&quot;,&quot;parse-names&quot;:false,&quot;suffix&quot;:&quot;&quot;},{&quot;dropping-particle&quot;:&quot;&quot;,&quot;family&quot;:&quot;Cao&quot;,&quot;given&quot;:&quot;Yang&quot;,&quot;non-dropping-particle&quot;:&quot;&quot;,&quot;parse-names&quot;:false,&quot;suffix&quot;:&quot;&quot;}],&quot;container-title&quot;:&quot;Nutrients &quot;,&quot;id&quot;:&quot;05a53b9b-68b8-536e-8610-df83b05361c7&quot;,&quot;issue&quot;:&quot;21&quot;,&quot;issued&quot;:{&quot;date-parts&quot;:[[&quot;2024&quot;]]},&quot;title&quot;:&quot;The Effects of Caffeine on Exercise in Hot Environments: A Bibliometric Study&quot;,&quot;type&quot;:&quot;article-journal&quot;,&quot;volume&quot;:&quot;16&quot;,&quot;container-title-short&quot;:&quot;&quot;},&quot;uris&quot;:[&quot;http://www.mendeley.com/documents/?uuid=6fe88ca9-7d33-4331-902f-94b9519fefae&quot;],&quot;isTemporary&quot;:false,&quot;legacyDesktopId&quot;:&quot;6fe88ca9-7d33-4331-902f-94b9519fefae&quot;}]},{&quot;citationID&quot;:&quot;MENDELEY_CITATION_0bdb7083-6e10-4c5a-8602-6003f89e0f65&quot;,&quot;properties&quot;:{&quot;noteIndex&quot;:0},&quot;isEdited&quot;:false,&quot;manualOverride&quot;:{&quot;citeprocText&quot;:&quot;[242]&quot;,&quot;isManuallyOverridden&quot;:false,&quot;manualOverrideText&quot;:&quot;&quot;},&quot;citationTag&quot;:&quot;MENDELEY_CITATION_v3_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&quot;,&quot;citationItems&quot;:[{&quot;id&quot;:&quot;3350980b-6f9a-50ad-ac32-78b552997ec5&quot;,&quot;itemData&quot;:{&quot;DOI&quot;:&quot;10.3389/fneur.2020.00051&quot;,&quot;ISSN&quot;:&quot;16642295&quot;,&quot;abstract&quot;:&quot;Purpose: The aim of the study was to investigate steady state levels, dynamics and reproducibility of cardiovascular variables and electrodermal activity in different skin areas in response to minor physiological and mental stimuli in healthy subjects in the thermoneutral zone, carried out in high time resolution. Methods: Thirteen healthy subjects underwent experiments on two separate days. Non-invasive electrodermal activity in five different skin areas was measured continuously using a skin conductance method, including resting supine and sitting positions, performing deep inspirations, a mental challenge and being exposed to a sudden loud sound. Blood pressure, heart rate, radial artery blood flow, and skin perfusion were measured simultaneously. Results: Electrodermal activity in the right and left palms was almost identical, with rapid and large increases within a few seconds in response to stimuli, whereas no such significant changes were seen in the face, back, and abdomen. Radial artery blood flow and palmar skin perfusion changed synchronously with electrodermal activity for each stimulus, and were correlated to changes in blood pressure and heart rate. The response patterns in each subject were very similar on the two experimental days. There was very low spontaneous electrodermal activity in the supine position, contrary to the resting sitting position. Conclusion: The electrodermal activity increased rapidly and synchronously in both palms within a few seconds as a response to minor physiological and mental stimuli, synchronous with fluctuations in radial artery blood flow, palmar skin perfusion, and cardiovascular variables. The responses are reproducible from day to day, making them a stable and constant stimuli to be used for studies in patients with hyperhidrosis.&quot;,&quot;author&quot;:[{&quot;dropping-particle&quot;:&quot;&quot;,&quot;family&quot;:&quot;Ho&quot;,&quot;given&quot;:&quot;Ai Van Thuy&quot;,&quot;non-dropping-particle&quot;:&quot;&quot;,&quot;parse-names&quot;:false,&quot;suffix&quot;:&quot;&quot;},{&quot;dropping-particle&quot;:&quot;&quot;,&quot;family&quot;:&quot;Toska&quot;,&quot;given&quot;:&quot;Karin&quot;,&quot;non-dropping-particle&quot;:&quot;&quot;,&quot;parse-names&quot;:false,&quot;suffix&quot;:&quot;&quot;},{&quot;dropping-particle&quot;:&quot;&quot;,&quot;family&quot;:&quot;Wesche&quot;,&quot;given&quot;:&quot;Jarlis&quot;,&quot;non-dropping-particle&quot;:&quot;&quot;,&quot;parse-names&quot;:false,&quot;suffix&quot;:&quot;&quot;}],&quot;container-title&quot;:&quot;Frontiers in Neurology&quot;,&quot;id&quot;:&quot;3350980b-6f9a-50ad-ac32-78b552997ec5&quot;,&quot;issue&quot;:&quot;February&quot;,&quot;issued&quot;:{&quot;date-parts&quot;:[[&quot;2020&quot;]]},&quot;page&quot;:&quot;1-10&quot;,&quot;title&quot;:&quot;Rapid, Large, and Synchronous Sweat and Cardiovascular Responses Upon Minor Stimuli in Healthy Subjects. Dynamics and Reproducibility&quot;,&quot;type&quot;:&quot;article-journal&quot;,&quot;volume&quot;:&quot;11&quot;,&quot;container-title-short&quot;:&quot;Front. Neurol.&quot;},&quot;uris&quot;:[&quot;http://www.mendeley.com/documents/?uuid=b595aae7-998b-403f-893a-67e4b1e58ef8&quot;],&quot;isTemporary&quot;:false,&quot;legacyDesktopId&quot;:&quot;b595aae7-998b-403f-893a-67e4b1e58ef8&quot;}]},{&quot;citationID&quot;:&quot;MENDELEY_CITATION_98758863-73db-47fd-a6db-d63901a60915&quot;,&quot;properties&quot;:{&quot;noteIndex&quot;:0},&quot;isEdited&quot;:false,&quot;manualOverride&quot;:{&quot;citeprocText&quot;:&quot;[243]&quot;,&quot;isManuallyOverridden&quot;:false,&quot;manualOverrideText&quot;:&quot;&quot;},&quot;citationTag&quot;:&quot;MENDELEY_CITATION_v3_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&quot;,&quot;citationItems&quot;:[{&quot;id&quot;:&quot;45c5ca27-463f-54ce-9c56-b3a167efe74a&quot;,&quot;itemData&quot;:{&quot;DOI&quot;:&quot;10.1016/j.alcohol.2005.09.002&quot;,&quot;ISSN&quot;:&quot;07418329&quot;,&quot;PMID&quot;:&quot;16377461&quot;,&quot;abstract&quot;:&quot;We investigated the effects of alcohol on thermoregulatory responses and thermal sensations during mild heat exposure in humans. Eight healthy men participated in this study. Experiments were conducted twice for each subject at a room temperature of 33°C. After a 30-min resting period, the subject drank either 15% alcohol (alcohol session) at a dose of 0.36 g/kg body weight or equal volume of water (control session). Skin blood flow and chest sweat rate in the alcohol session significantly increased over those in controls 10 min after drinking. Deep body temperature in the alcohol session started to decrease 20 min after the onset of sweating and eventually fell 0.3°C lower than in the controls. Whole body hot sensation transiently increased after alcohol drinking, whereas it changed little after water drinking. The increased \&quot;hot\&quot; sensation would presumably cause cool-seeking behavior, if permitted. Thus, alcohol influences thermoregulation so that body core temperature is lowered not only by automatic mechanisms (sweating and skin vasodilation) but also behaviorally. These results suggest that decreases in body temperature after alcohol drinking are not secondary to skin vasodilation, a well-known effect of alcohol, but rather result from a decrease in the regulated body temperature evidenced by the coordinated modulation of various effectors of thermoregulation and sensation. © 2005 Elsevier Inc. All rights reserved.&quot;,&quot;author&quot;:[{&quot;dropping-particle&quot;:&quot;&quot;,&quot;family&quot;:&quot;Yoda&quot;,&quot;given&quot;:&quot;Tamae&quot;,&quot;non-dropping-particle&quot;:&quot;&quot;,&quot;parse-names&quot;:false,&quot;suffix&quot;:&quot;&quot;},{&quot;dropping-particle&quot;:&quot;&quot;,&quot;family&quot;:&quot;Crawshaw&quot;,&quot;given&quot;:&quot;Larry I.&quot;,&quot;non-dropping-particle&quot;:&quot;&quot;,&quot;parse-names&quot;:false,&quot;suffix&quot;:&quot;&quot;},{&quot;dropping-particle&quot;:&quot;&quot;,&quot;family&quot;:&quot;Nakamura&quot;,&quot;given&quot;:&quot;Mayumi&quot;,&quot;non-dropping-particle&quot;:&quot;&quot;,&quot;parse-names&quot;:false,&quot;suffix&quot;:&quot;&quot;},{&quot;dropping-particle&quot;:&quot;&quot;,&quot;family&quot;:&quot;Saito&quot;,&quot;given&quot;:&quot;Kumiko&quot;,&quot;non-dropping-particle&quot;:&quot;&quot;,&quot;parse-names&quot;:false,&quot;suffix&quot;:&quot;&quot;},{&quot;dropping-particle&quot;:&quot;&quot;,&quot;family&quot;:&quot;Konishi&quot;,&quot;given&quot;:&quot;Aki&quot;,&quot;non-dropping-particle&quot;:&quot;&quot;,&quot;parse-names&quot;:false,&quot;suffix&quot;:&quot;&quot;},{&quot;dropping-particle&quot;:&quot;&quot;,&quot;family&quot;:&quot;Nagashima&quot;,&quot;given&quot;:&quot;Kei&quot;,&quot;non-dropping-particle&quot;:&quot;&quot;,&quot;parse-names&quot;:false,&quot;suffix&quot;:&quot;&quot;},{&quot;dropping-particle&quot;:&quot;&quot;,&quot;family&quot;:&quot;Uchida&quot;,&quot;given&quot;:&quot;Sunao&quot;,&quot;non-dropping-particle&quot;:&quot;&quot;,&quot;parse-names&quot;:false,&quot;suffix&quot;:&quot;&quot;},{&quot;dropping-particle&quot;:&quot;&quot;,&quot;family&quot;:&quot;Kanosue&quot;,&quot;given&quot;:&quot;Kazuyuki&quot;,&quot;non-dropping-particle&quot;:&quot;&quot;,&quot;parse-names&quot;:false,&quot;suffix&quot;:&quot;&quot;}],&quot;container-title&quot;:&quot;Alcohol&quot;,&quot;id&quot;:&quot;45c5ca27-463f-54ce-9c56-b3a167efe74a&quot;,&quot;issue&quot;:&quot;3&quot;,&quot;issued&quot;:{&quot;date-parts&quot;:[[&quot;2005&quot;]]},&quot;page&quot;:&quot;195-200&quot;,&quot;title&quot;:&quot;Effects of alcohol on thermoregulation during mild heat exposure in humans&quot;,&quot;type&quot;:&quot;article-journal&quot;,&quot;volume&quot;:&quot;36&quot;,&quot;container-title-short&quot;:&quot;&quot;},&quot;uris&quot;:[&quot;http://www.mendeley.com/documents/?uuid=1e83432d-1052-4dd6-9c76-8002c30eed97&quot;],&quot;isTemporary&quot;:false,&quot;legacyDesktopId&quot;:&quot;1e83432d-1052-4dd6-9c76-8002c30eed97&quot;}]},{&quot;citationID&quot;:&quot;MENDELEY_CITATION_b07ba965-de91-42ec-951c-486dfb179620&quot;,&quot;properties&quot;:{&quot;noteIndex&quot;:0},&quot;isEdited&quot;:false,&quot;manualOverride&quot;:{&quot;citeprocText&quot;:&quot;[11,185,244]&quot;,&quot;isManuallyOverridden&quot;:false,&quot;manualOverrideText&quot;:&quot;&quot;},&quot;citationTag&quot;:&quot;MENDELEY_CITATION_v3_eyJjaXRhdGlvbklEIjoiTUVOREVMRVlfQ0lUQVRJT05fYjA3YmE5NjUtZGU5MS00MmVjLTk1MWMtNDg2ZGZiMTc5NjIwIiwicHJvcGVydGllcyI6eyJub3RlSW5kZXgiOjB9LCJpc0VkaXRlZCI6ZmFsc2UsIm1hbnVhbE92ZXJyaWRlIjp7ImNpdGVwcm9jVGV4dCI6IlsxMSwxODUsMjQ0X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&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059ac35c-5432-5ba5-90fe-15f6aad7742e&quot;,&quot;itemData&quot;:{&quot;DOI&quot;:&quot;10.1177/107385840200800209&quot;,&quot;ISSN&quot;:&quot;1073-8584&quot;,&quot;PMID&quot;:&quot;11954558&quot;,&quot;abstract&quot;:&quot;Electrodermal activity (EDA) is now the preferred term for changes in electrical conductance of the skin, including phasic changes that have been referred to as galvanic skin responses (GSR), that result from sympathetic neuronal activity. EDA is a sensitive psychophysiological index of changes in autonomic sympathetic arousal that are integrated with emotional and cognitive states. Until recently there was little direct knowledge of brain mechanisms governing generation and control of EDA in humans. However, studies of patients with discrete brain lesions and, more recently, functional imaging techniques have clarified the contribution of brain regions implicated in emotion, attention, and cognition to peripheral EDA responses. Moreover, such studies enable an understanding of mechanisms by which states of bodily arousal, indexed by EDA, influence cognition and bias motivational behavior.&quot;,&quot;author&quot;:[{&quot;dropping-particle&quot;:&quot;&quot;,&quot;family&quot;:&quot;Critchley&quot;,&quot;given&quot;:&quot;Hugo D.&quot;,&quot;non-dropping-particle&quot;:&quot;&quot;,&quot;parse-names&quot;:false,&quot;suffix&quot;:&quot;&quot;}],&quot;container-title&quot;:&quot;The Neuroscientist&quot;,&quot;id&quot;:&quot;059ac35c-5432-5ba5-90fe-15f6aad7742e&quot;,&quot;issue&quot;:&quot;2&quot;,&quot;issued&quot;:{&quot;date-parts&quot;:[[&quot;2002&quot;,&quot;4&quot;,&quot;1&quot;]]},&quot;page&quot;:&quot;132-142&quot;,&quot;title&quot;:&quot;Review: Electrodermal Responses: What Happens in the Brain&quot;,&quot;type&quot;:&quot;article-journal&quot;,&quot;volume&quot;:&quot;8&quot;,&quot;container-title-short&quot;:&quot;&quot;},&quot;uris&quot;:[&quot;http://www.mendeley.com/documents/?uuid=7c71ed79-0089-4339-a84b-a72395bf9ea0&quot;],&quot;isTemporary&quot;:false,&quot;legacyDesktopId&quot;:&quot;7c71ed79-0089-4339-a84b-a72395bf9ea0&quot;},{&quot;id&quot;:&quot;402bf0e5-4109-515a-b4b5-579530bb36ec&quot;,&quot;itemData&quot;:{&quot;ISBN&quot;:&quot;0-03-086656-1&quot;,&quot;author&quot;:[{&quot;dropping-particle&quot;:&quot;&quot;,&quot;family&quot;:&quot;Edelberg&quot;,&quot;given&quot;:&quot;R&quot;,&quot;non-dropping-particle&quot;:&quot;&quot;,&quot;parse-names&quot;:false,&quot;suffix&quot;:&quot;&quot;}],&quot;container-title&quot;:&quot;Handbook of Psychophysiology&quot;,&quot;editor&quot;:[{&quot;dropping-particle&quot;:&quot;&quot;,&quot;family&quot;:&quot;Greenfield&quot;,&quot;given&quot;:&quot;N. S.&quot;,&quot;non-dropping-particle&quot;:&quot;&quot;,&quot;parse-names&quot;:false,&quot;suffix&quot;:&quot;&quot;},{&quot;dropping-particle&quot;:&quot;&quot;,&quot;family&quot;:&quot;Sternbach&quot;,&quot;given&quot;:&quot;R. A.&quot;,&quot;non-dropping-particle&quot;:&quot;&quot;,&quot;parse-names&quot;:false,&quot;suffix&quot;:&quot;&quot;}],&quot;id&quot;:&quot;402bf0e5-4109-515a-b4b5-579530bb36ec&quot;,&quot;issued&quot;:{&quot;date-parts&quot;:[[&quot;1972&quot;]]},&quot;page&quot;:&quot;1011&quot;,&quot;publisher&quot;:&quot;Holt, Rinehart &amp; Winston&quot;,&quot;publisher-place&quot;:&quot;New York&quot;,&quot;title&quot;:&quot;Electrical activity of the skin: Its measurement and uses in psychophysiology&quot;,&quot;type&quot;:&quot;chapter&quot;,&quot;volume&quot;:&quot;12&quot;,&quot;container-title-short&quot;:&quot;&quot;},&quot;uris&quot;:[&quot;http://www.mendeley.com/documents/?uuid=4d34186f-cbc0-432b-be0d-007a0ef4f17a&quot;],&quot;isTemporary&quot;:false,&quot;legacyDesktopId&quot;:&quot;4d34186f-cbc0-432b-be0d-007a0ef4f17a&quot;}]},{&quot;citationID&quot;:&quot;MENDELEY_CITATION_eb2b99e1-15f5-4841-b005-32d31633c576&quot;,&quot;properties&quot;:{&quot;noteIndex&quot;:0},&quot;isEdited&quot;:false,&quot;manualOverride&quot;:{&quot;citeprocText&quot;:&quot;[194]&quot;,&quot;isManuallyOverridden&quot;:false,&quot;manualOverrideText&quot;:&quot;&quot;},&quot;citationTag&quot;:&quot;MENDELEY_CITATION_v3_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&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citationID&quot;:&quot;MENDELEY_CITATION_889e5e25-ff59-445e-b59b-7bad73c8510d&quot;,&quot;properties&quot;:{&quot;noteIndex&quot;:0},&quot;isEdited&quot;:false,&quot;manualOverride&quot;:{&quot;citeprocText&quot;:&quot;[245,246]&quot;,&quot;isManuallyOverridden&quot;:false,&quot;manualOverrideText&quot;:&quot;&quot;},&quot;citationTag&quot;:&quot;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&quot;,&quot;citationItems&quot;:[{&quot;id&quot;:&quot;175e8a7b-f3c0-51d4-9534-d0332a53d281&quot;,&quot;itemData&quot;:{&quot;DOI&quot;:&quot;10.1080/00221325.2021.1911919&quot;,&quot;ISSN&quot;:&quot;19400896&quot;,&quot;PMID&quot;:&quot;33860740&quot;,&quot;abstract&quot;:&quot;Sleep deficiency influences emotion and behavior regulation but the mechanisms of influence are poorly understood. Emotion, behavioral, and sleep theories highlight differences in autonomic function as a potential pathway of influence and research in typical populations draw links between sleep deficiency and autonomic dysregulation (e.g., elevated reactivity within the sympathetic nervous system). In populations at elevated risk for sleep deficiency/problems (i.e., individuals with autism), greater variability in sleep and autonomic/arousal profiles may be particularly informative. Using electrodermal activity (EDA) as an indicator of sympathetic nervous system activation, this descriptive pilot study aimed to document daytime EDA patterns in children with autism and to explore their relations with sleep dysregulation/deficiency. EDA and sleep were measured using ankle and wrist worn sensors in 13 children (Meanage 6.11 years). EDA indices included nonspecific skin conductance responses (NSSCR) and tonic skin conductance levels (SCL). Descriptively, children in the dysregulated sleep group had fewer NSSCRs and lower SCL in the afternoon. This blunted physiological arousal profile/pattern is consistent with previous research, but this is the first study to explore how sleep may be linked. Notably, this pattern may not reflect sleep but an overall dysregulation profile which in this sample included: dysregulated sleep, a blunted afternoon arousal profile, and elevated ASD symptom severity. Replication with larger, more diverse samples is needed to disentangle the complex relations among sleep, arousal, and ASD behavioral features. However, this study represents an important first step in documenting extended daytime arousal patterns.&quot;,&quot;author&quot;:[{&quot;dropping-particle&quot;:&quot;&quot;,&quot;family&quot;:&quot;Chong&quot;,&quot;given&quot;:&quot;Pearlynne Li Hui&quot;,&quot;non-dropping-particle&quot;:&quot;&quot;,&quot;parse-names&quot;:false,&quot;suffix&quot;:&quot;&quot;},{&quot;dropping-particle&quot;:&quot;&quot;,&quot;family&quot;:&quot;Abel&quot;,&quot;given&quot;:&quot;Emily&quot;,&quot;non-dropping-particle&quot;:&quot;&quot;,&quot;parse-names&quot;:false,&quot;suffix&quot;:&quot;&quot;},{&quot;dropping-particle&quot;:&quot;&quot;,&quot;family&quot;:&quot;Pao&quot;,&quot;given&quot;:&quot;Ryan&quot;,&quot;non-dropping-particle&quot;:&quot;&quot;,&quot;parse-names&quot;:false,&quot;suffix&quot;:&quot;&quot;},{&quot;dropping-particle&quot;:&quot;&quot;,&quot;family&quot;:&quot;McCormick&quot;,&quot;given&quot;:&quot;Carolyn E.B.&quot;,&quot;non-dropping-particle&quot;:&quot;&quot;,&quot;parse-names&quot;:false,&quot;suffix&quot;:&quot;&quot;},{&quot;dropping-particle&quot;:&quot;&quot;,&quot;family&quot;:&quot;Schwichtenberg&quot;,&quot;given&quot;:&quot;A. J.&quot;,&quot;non-dropping-particle&quot;:&quot;&quot;,&quot;parse-names&quot;:false,&quot;suffix&quot;:&quot;&quot;}],&quot;container-title&quot;:&quot;Journal of Genetic Psychology&quot;,&quot;id&quot;:&quot;175e8a7b-f3c0-51d4-9534-d0332a53d281&quot;,&quot;issue&quot;:&quot;5&quot;,&quot;issued&quot;:{&quot;date-parts&quot;:[[&quot;2021&quot;]]},&quot;page&quot;:&quot;335-347&quot;,&quot;publisher&quot;:&quot;Routledge&quot;,&quot;title&quot;:&quot;Sleep Dysregulation and Daytime Electrodermal Patterns in Children With Autism: A Descriptive Study&quot;,&quot;type&quot;:&quot;article-journal&quot;,&quot;volume&quot;:&quot;182&quot;,&quot;container-title-short&quot;:&quot;&quot;},&quot;uris&quot;:[&quot;http://www.mendeley.com/documents/?uuid=116ede51-e6fa-4ca0-8f34-d463497eea82&quot;],&quot;isTemporary&quot;:false,&quot;legacyDesktopId&quot;:&quot;116ede51-e6fa-4ca0-8f34-d463497eea82&quot;},{&quot;id&quot;:&quot;c4be01d9-b17c-5675-b0ff-174fa93a030c&quot;,&quot;itemData&quot;:{&quot;DOI&quot;:&quot;10.1007/s10802-022-00900-w&quot;,&quot;ISSN&quot;:&quot;2730-7166&quot;,&quot;abstract&quot;:&quot;Relative to children without autism spectrum disorder (ASD), children with ASD experience elevated sleep problems that can contribute to behavioral comorbidities. This study explored the interaction between psychophysiology and sleep to determine which children with ASD may be at risk for, or resilient to, effects of poor sleep on daytime behavior. Participants included 48 children (aged 6–10 years) with ASD. Measures of sympathetic nervous system activity (electrodermal activity; EDA) were collected during a baseline and in response to a laboratory challenge task. Parents reported on their children’s sleep problems and behavioral functioning, including broad externalizing symptoms and situational noncompliance, using standardized questionnaires and a clinical interview. EDA moderated the significant positive associations between sleep problems and both behavioral outcomes. The link between sleep problems and broad externalizing symptoms and situational noncompliance was positive and significant in the context of lower baseline EDA and nonsignificant in the context of higher baseline EDA. Sleep problems also interacted with EDA reactivity in predicting situational noncompliance, but not broad externalizing symptoms. Findings highlight the complex interplay among sleep, daytime behavior, and psychophysiology in children with ASD. Results are interpreted in the context of differential susceptibility and dual-risk frameworks. This study underscores the importance of high-quality sleep for children with ASD, especially those with the biological sensitivity or vulnerability factors (i.e., EDA) identified in this study. Clinical implications are discussed, and directions for future research are provided.&quot;,&quot;author&quot;:[{&quot;dropping-particle&quot;:&quot;&quot;,&quot;family&quot;:&quot;Schiltz&quot;,&quot;given&quot;:&quot;Hillary K.&quot;,&quot;non-dropping-particle&quot;:&quot;&quot;,&quot;parse-names&quot;:false,&quot;suffix&quot;:&quot;&quot;},{&quot;dropping-particle&quot;:&quot;&quot;,&quot;family&quot;:&quot;Fenning&quot;,&quot;given&quot;:&quot;Rachel M.&quot;,&quot;non-dropping-particle&quot;:&quot;&quot;,&quot;parse-names&quot;:false,&quot;suffix&quot;:&quot;&quot;},{&quot;dropping-particle&quot;:&quot;&quot;,&quot;family&quot;:&quot;Erath&quot;,&quot;given&quot;:&quot;Stephen A.&quot;,&quot;non-dropping-particle&quot;:&quot;&quot;,&quot;parse-names&quot;:false,&quot;suffix&quot;:&quot;&quot;},{&quot;dropping-particle&quot;:&quot;&quot;,&quot;family&quot;:&quot;Baucom&quot;,&quot;given&quot;:&quot;Brian R. W.&quot;,&quot;non-dropping-particle&quot;:&quot;&quot;,&quot;parse-names&quot;:false,&quot;suffix&quot;:&quot;&quot;},{&quot;dropping-particle&quot;:&quot;&quot;,&quot;family&quot;:&quot;Baker&quot;,&quot;given&quot;:&quot;Jason K.&quot;,&quot;non-dropping-particle&quot;:&quot;&quot;,&quot;parse-names&quot;:false,&quot;suffix&quot;:&quot;&quot;}],&quot;container-title&quot;:&quot;Research on Child and Adolescent Psychopathology&quot;,&quot;id&quot;:&quot;c4be01d9-b17c-5675-b0ff-174fa93a030c&quot;,&quot;issue&quot;:&quot;6&quot;,&quot;issued&quot;:{&quot;date-parts&quot;:[[&quot;2022&quot;,&quot;6&quot;,&quot;15&quot;]]},&quot;page&quot;:&quot;823-835&quot;,&quot;title&quot;:&quot;Electrodermal Activity Moderates Sleep-Behavior Associations in Children with Autism Spectrum Disorder&quot;,&quot;type&quot;:&quot;article-journal&quot;,&quot;volume&quot;:&quot;50&quot;,&quot;container-title-short&quot;:&quot;Res. Child Adolesc. Psychopathol.&quot;},&quot;uris&quot;:[&quot;http://www.mendeley.com/documents/?uuid=24d3abd9-4cdc-4408-8c05-6cba2025e563&quot;],&quot;isTemporary&quot;:false,&quot;legacyDesktopId&quot;:&quot;24d3abd9-4cdc-4408-8c05-6cba2025e563&quot;}]},{&quot;citationID&quot;:&quot;MENDELEY_CITATION_384a68ec-8770-4a37-884a-4fba85601a94&quot;,&quot;properties&quot;:{&quot;noteIndex&quot;:0},&quot;isEdited&quot;:false,&quot;manualOverride&quot;:{&quot;citeprocText&quot;:&quot;[80]&quot;,&quot;isManuallyOverridden&quot;:false,&quot;manualOverrideText&quot;:&quot;&quot;},&quot;citationTag&quot;:&quot;MENDELEY_CITATION_v3_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&quot;,&quot;citationItems&quot;:[{&quot;id&quot;:&quot;1ce9f076-0fb3-528b-a863-2bc7856129b8&quot;,&quot;itemData&quot;:{&quot;DOI&quot;:&quot;10.1111/jsr.12075&quot;,&quot;ISSN&quot;:&quot;09621105&quot;,&quot;PMID&quot;:&quot;23952346&quot;,&quot;abstract&quot;:&quot;Irregular sleep-wake patterns and delayed sleep times are common in adults with attention-deficit/hyperactivity disorder, but mechanisms underlying these problems are unknown. The present case-control study examined whether circadian abnormalities underlie these sleep problems in a naturalistic home setting. We included 12 medication-naïve patients with attention-deficit/hyperactivity disorder and delayed sleep phase syndrome, and 12 matched healthy controls. We examined associations between sleep/wake rhythm in attention-deficit/hyperactivity disorder and circadian parameters (i.e. salivary melatonin concentrations, core and skin temperatures, and activity patterns) of the patients and controls during five consecutive days and nights. Daily bedtimes were more variable within patients compared with controls (F = 8.19, P &lt; 0.001), but melatonin profiles were equally stable within individuals. Dim-light melatonin onset was about 1.5 h later in the patient group (U = 771, Z = -4.63, P &lt; 0.001). Patients slept about 1 h less on nights before work days compared with controls (F = 11.21, P = 0.002). The interval between dim-light melatonin onset and sleep onset was on average 1 h longer in patients compared with controls (U = 1117, Z = -2.62, P = 0.009). This interval was even longer in patients with extremely late chronotype. Melatonin, activity and body temperatures were delayed to comparable degrees in patients. Overall temperatures were lower in patients than controls. Sleep-onset difficulties correlated with greater distal-proximal temperature gradient (DPG; i.e. colder hands, r2 = -0.32, P = 0.028) in patients. Observed day-to-day bedtime variability of individuals with attention-deficit/hyperactivity disorder and delayed sleep phase syndrome were not reflected in their melatonin profiles. Irregular sleep-wake patterns and delayed sleep in individuals with attention-deficit/hyperactivity disorder and delayed sleep phase syndrome are associated with delays and dysregulations of the core and skin temperatures. © 2013 European Sleep Research Society.&quot;,&quot;author&quot;:[{&quot;dropping-particle&quot;:&quot;&quot;,&quot;family&quot;:&quot;Bijlenga&quot;,&quot;given&quot;:&quot;Denise&quot;,&quot;non-dropping-particle&quot;:&quot;&quot;,&quot;parse-names&quot;:false,&quot;suffix&quot;:&quot;&quot;},{&quot;dropping-particle&quot;:&quot;&quot;,&quot;family&quot;:&quot;Someren&quot;,&quot;given&quot;:&quot;Eus J.W.&quot;,&quot;non-dropping-particle&quot;:&quot;Van&quot;,&quot;parse-names&quot;:false,&quot;suffix&quot;:&quot;&quot;},{&quot;dropping-particle&quot;:&quot;&quot;,&quot;family&quot;:&quot;Gruber&quot;,&quot;given&quot;:&quot;Reut&quot;,&quot;non-dropping-particle&quot;:&quot;&quot;,&quot;parse-names&quot;:false,&quot;suffix&quot;:&quot;&quot;},{&quot;dropping-particle&quot;:&quot;&quot;,&quot;family&quot;:&quot;Bron&quot;,&quot;given&quot;:&quot;Tannetje I.&quot;,&quot;non-dropping-particle&quot;:&quot;&quot;,&quot;parse-names&quot;:false,&quot;suffix&quot;:&quot;&quot;},{&quot;dropping-particle&quot;:&quot;&quot;,&quot;family&quot;:&quot;Kruithof&quot;,&quot;given&quot;:&quot;I. Femke&quot;,&quot;non-dropping-particle&quot;:&quot;&quot;,&quot;parse-names&quot;:false,&quot;suffix&quot;:&quot;&quot;},{&quot;dropping-particle&quot;:&quot;&quot;,&quot;family&quot;:&quot;Spanbroek&quot;,&quot;given&quot;:&quot;Elise C.A.&quot;,&quot;non-dropping-particle&quot;:&quot;&quot;,&quot;parse-names&quot;:false,&quot;suffix&quot;:&quot;&quot;},{&quot;dropping-particle&quot;:&quot;&quot;,&quot;family&quot;:&quot;Kooij&quot;,&quot;given&quot;:&quot;J. J.Sandra&quot;,&quot;non-dropping-particle&quot;:&quot;&quot;,&quot;parse-names&quot;:false,&quot;suffix&quot;:&quot;&quot;}],&quot;container-title&quot;:&quot;Journal of Sleep Research&quot;,&quot;id&quot;:&quot;1ce9f076-0fb3-528b-a863-2bc7856129b8&quot;,&quot;issue&quot;:&quot;6&quot;,&quot;issued&quot;:{&quot;date-parts&quot;:[[&quot;2013&quot;]]},&quot;page&quot;:&quot;607-616&quot;,&quot;title&quot;:&quot;Body temperature, activity and melatonin profiles in adults with attention-deficit/hyperactivity disorder and delayed sleep: A case-control study&quot;,&quot;type&quot;:&quot;article-journal&quot;,&quot;volume&quot;:&quot;22&quot;,&quot;container-title-short&quot;:&quot;J. Sleep Res.&quot;},&quot;uris&quot;:[&quot;http://www.mendeley.com/documents/?uuid=484ff8a8-19bc-4abf-af04-1ad75c186d29&quot;],&quot;isTemporary&quot;:false,&quot;legacyDesktopId&quot;:&quot;484ff8a8-19bc-4abf-af04-1ad75c186d29&quot;}]},{&quot;citationID&quot;:&quot;MENDELEY_CITATION_f83309d5-868b-43dc-bc3c-d02ebedb2830&quot;,&quot;properties&quot;:{&quot;noteIndex&quot;:0},&quot;isEdited&quot;:false,&quot;manualOverride&quot;:{&quot;citeprocText&quot;:&quot;[247]&quot;,&quot;isManuallyOverridden&quot;:false,&quot;manualOverrideText&quot;:&quot;&quot;},&quot;citationTag&quot;:&quot;MENDELEY_CITATION_v3_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&quot;,&quot;citationItems&quot;:[{&quot;id&quot;:&quot;13c61c7d-e585-503b-9155-f0f5f27514e4&quot;,&quot;itemData&quot;:{&quot;DOI&quot;:&quot;10.1016/j.neubiorev.2012.04.007&quot;,&quot;ISSN&quot;:&quot;01497634&quot;,&quot;PMID&quot;:&quot;22575380&quot;,&quot;abstract&quot;:&quot;Disruptions in the sleep-wake cycle and the circadian system have been found in a wide range of psychiatric disorders and are generally correlated with clinical severity and diminished quality of life. Emerging evidence suggests similar disturbances may be found in attention-deficit/hyperactivity disorder (ADHD). Here we review the available literature on across the day fluctuations in ADHD-related processes in terms of; (i) time of day effects on behavior and activity; (ii) morningness-eveningness chronotypology; (iii) sleep/wake rhythms; and (iv) rhythmicity in neuroendocrine and neurophysiological responsiveness. On this basis, we propose a neurobiological framework to guide future study, which sees circadian effects in ADHD, along with other aspects of ADHD arousal-related deficits (e.g., cognitive energetic deficits), as being the result of dysregulated locus coeruleus function. Based on this perspective specific recommendations for future research are presented. © 2012 Elsevier Ltd.&quot;,&quot;author&quot;:[{&quot;dropping-particle&quot;:&quot;&quot;,&quot;family&quot;:&quot;Imeraj&quot;,&quot;given&quot;:&quot;Lindita&quot;,&quot;non-dropping-particle&quot;:&quot;&quot;,&quot;parse-names&quot;:false,&quot;suffix&quot;:&quot;&quot;},{&quot;dropping-particle&quot;:&quot;&quot;,&quot;family&quot;:&quot;Sonuga-Barke&quot;,&quot;given&quot;:&quot;Edmund&quot;,&quot;non-dropping-particle&quot;:&quot;&quot;,&quot;parse-names&quot;:false,&quot;suffix&quot;:&quot;&quot;},{&quot;dropping-particle&quot;:&quot;&quot;,&quot;family&quot;:&quot;Antrop&quot;,&quot;given&quot;:&quot;Inge&quot;,&quot;non-dropping-particle&quot;:&quot;&quot;,&quot;parse-names&quot;:false,&quot;suffix&quot;:&quot;&quot;},{&quot;dropping-particle&quot;:&quot;&quot;,&quot;family&quot;:&quot;Roeyers&quot;,&quot;given&quot;:&quot;Herbert&quot;,&quot;non-dropping-particle&quot;:&quot;&quot;,&quot;parse-names&quot;:false,&quot;suffix&quot;:&quot;&quot;},{&quot;dropping-particle&quot;:&quot;&quot;,&quot;family&quot;:&quot;Wiersema&quot;,&quot;given&quot;:&quot;Roeljan&quot;,&quot;non-dropping-particle&quot;:&quot;&quot;,&quot;parse-names&quot;:false,&quot;suffix&quot;:&quot;&quot;},{&quot;dropping-particle&quot;:&quot;&quot;,&quot;family&quot;:&quot;Bal&quot;,&quot;given&quot;:&quot;Sarah&quot;,&quot;non-dropping-particle&quot;:&quot;&quot;,&quot;parse-names&quot;:false,&quot;suffix&quot;:&quot;&quot;},{&quot;dropping-particle&quot;:&quot;&quot;,&quot;family&quot;:&quot;Deboutte&quot;,&quot;given&quot;:&quot;Dirk&quot;,&quot;non-dropping-particle&quot;:&quot;&quot;,&quot;parse-names&quot;:false,&quot;suffix&quot;:&quot;&quot;}],&quot;container-title&quot;:&quot;Neuroscience and Biobehavioral Reviews&quot;,&quot;id&quot;:&quot;13c61c7d-e585-503b-9155-f0f5f27514e4&quot;,&quot;issue&quot;:&quot;8&quot;,&quot;issued&quot;:{&quot;date-parts&quot;:[[&quot;2012&quot;]]},&quot;page&quot;:&quot;1897-1919&quot;,&quot;publisher&quot;:&quot;Elsevier Ltd&quot;,&quot;title&quot;:&quot;Altered circadian profiles in attention-deficit/hyperactivity disorder: An integrative review and theoretical framework for future studies&quot;,&quot;type&quot;:&quot;article-journal&quot;,&quot;volume&quot;:&quot;36&quot;,&quot;container-title-short&quot;:&quot;Neurosci. Biobehav. Rev.&quot;},&quot;uris&quot;:[&quot;http://www.mendeley.com/documents/?uuid=a815ae64-b07e-4370-9c43-888122319ea7&quot;],&quot;isTemporary&quot;:false,&quot;legacyDesktopId&quot;:&quot;a815ae64-b07e-4370-9c43-888122319ea7&quot;}]},{&quot;citationID&quot;:&quot;MENDELEY_CITATION_446b40d4-42c0-421c-a7df-38c5c7d03420&quot;,&quot;properties&quot;:{&quot;noteIndex&quot;:0},&quot;isEdited&quot;:false,&quot;manualOverride&quot;:{&quot;citeprocText&quot;:&quot;[82,248–250]&quot;,&quot;isManuallyOverridden&quot;:false,&quot;manualOverrideText&quot;:&quot;&quot;},&quot;citationTag&quot;:&quot;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&quot;,&quot;citationItems&quot;:[{&quot;id&quot;:&quot;fcdb73b4-ba07-55a8-ad8b-38558e11fd40&quot;,&quot;itemData&quot;:{&quot;DOI&quot;:&quot;10.1016/S1566-0702(02)00207-2&quot;,&quot;ISSN&quot;:&quot;15660702&quot;,&quot;PMID&quot;:&quot;12492139&quot;,&quot;abstract&quot;:&quot;Spinal cord injury (SCI) causes serious disturbances in autonomic innervation and malfunction of the sympathetic nervous system that controls the pelvic organs, blood pressure, skin temperature and sweating. We studied sympathetic sudomotor pathways in 6 healthy subjects and 14 patients with sensory and motor complete SCI on cervical, thoracic and lumbar level. Sympathetic skin responses (SSRs) were provoked by auditory bursts and electrical stimulation of median, pudendal and tibial nerve and recorded from the palmar and plantar skin. The SSRs in healthy subjects occurred generally with the same pattern and with similar latencies suggesting a common sudomotor pathway mediating the SSR. Appearance or absence of the SSRs in SCI following stimulation above the lesion depend on the spinal level of lesion and on the location of stimulation. Lesions below T3 show palmar and lesions below T12 palmar and plantar SSR. Pudendal nerve stimulation evoked plantar SSRs in patients with complete cervical and thoracic SCI. No SSRs were obtained in patients with lesions at L1 and more caudal. SSRs following pudendal nerve stimulation in complete SCI above the level L1 are mediated by sacral somatic afferents and a sympathetic pathway originating at the upper lumbar level. The underlying sacro-lumbar reflex circuit is organized on spinal level and requires intact lumbar segments. Tibial nerve stimulation was not found to elicit SSRs below a SCI lesion and we suppose that this type of electrical stimulation cannot activate the spinal sudomotor reflex circuit. © 2002 Elsevier Science B.V. All rights reserved.&quot;,&quot;author&quot;:[{&quot;dropping-particle&quot;:&quot;&quot;,&quot;family&quot;:&quot;Reitz&quot;,&quot;given&quot;:&quot;André&quot;,&quot;non-dropping-particle&quot;:&quot;&quot;,&quot;parse-names&quot;:false,&quot;suffix&quot;:&quot;&quot;},{&quot;dropping-particle&quot;:&quot;&quot;,&quot;family&quot;:&quot;Schmid&quot;,&quot;given&quot;:&quot;Daniel M.&quot;,&quot;non-dropping-particle&quot;:&quot;&quot;,&quot;parse-names&quot;:false,&quot;suffix&quot;:&quot;&quot;},{&quot;dropping-particle&quot;:&quot;&quot;,&quot;family&quot;:&quot;Curt&quot;,&quot;given&quot;:&quot;Armin&quot;,&quot;non-dropping-particle&quot;:&quot;&quot;,&quot;parse-names&quot;:false,&quot;suffix&quot;:&quot;&quot;},{&quot;dropping-particle&quot;:&quot;&quot;,&quot;family&quot;:&quot;Knapp&quot;,&quot;given&quot;:&quot;Peter A.&quot;,&quot;non-dropping-particle&quot;:&quot;&quot;,&quot;parse-names&quot;:false,&quot;suffix&quot;:&quot;&quot;},{&quot;dropping-particle&quot;:&quot;&quot;,&quot;family&quot;:&quot;Schurch&quot;,&quot;given&quot;:&quot;Brigitte&quot;,&quot;non-dropping-particle&quot;:&quot;&quot;,&quot;parse-names&quot;:false,&quot;suffix&quot;:&quot;&quot;}],&quot;container-title&quot;:&quot;Autonomic Neuroscience: Basic and Clinical&quot;,&quot;id&quot;:&quot;fcdb73b4-ba07-55a8-ad8b-38558e11fd40&quot;,&quot;issue&quot;:&quot;1-2&quot;,&quot;issued&quot;:{&quot;date-parts&quot;:[[&quot;2002&quot;]]},&quot;page&quot;:&quot;78-84&quot;,&quot;title&quot;:&quot;Sympathetic sudomotor skin activity in human after complete spinal cord injury&quot;,&quot;type&quot;:&quot;article-journal&quot;,&quot;volume&quot;:&quot;102&quot;,&quot;container-title-short&quot;:&quot;Auton. Neurosci.&quot;},&quot;uris&quot;:[&quot;http://www.mendeley.com/documents/?uuid=0b08bbdc-d4f1-45c2-a14a-d8dbd93e5dc3&quot;],&quot;isTemporary&quot;:false,&quot;legacyDesktopId&quot;:&quot;0b08bbdc-d4f1-45c2-a14a-d8dbd93e5dc3&quot;},{&quot;id&quot;:&quot;b483585c-99d1-5fe8-80a2-5445ff868610&quot;,&quot;itemData&quot;:{&quot;DOI&quot;:&quot;10.1016/j.clinph.2004.01.023&quot;,&quot;ISSN&quot;:&quot;13882457&quot;,&quot;PMID&quot;:&quot;15203051&quot;,&quot;author&quot;:[{&quot;dropping-particle&quot;:&quot;&quot;,&quot;family&quot;:&quot;Low&quot;,&quot;given&quot;:&quot;Phillip A.&quot;,&quot;non-dropping-particle&quot;:&quot;&quot;,&quot;parse-names&quot;:false,&quot;suffix&quot;:&quot;&quot;}],&quot;container-title&quot;:&quot;Clinical Neurophysiology&quot;,&quot;id&quot;:&quot;b483585c-99d1-5fe8-80a2-5445ff868610&quot;,&quot;issue&quot;:&quot;7&quot;,&quot;issued&quot;:{&quot;date-parts&quot;:[[&quot;2004&quot;]]},&quot;page&quot;:&quot;1506-1513&quot;,&quot;title&quot;:&quot;Evaluation of sudomotor function&quot;,&quot;type&quot;:&quot;article-journal&quot;,&quot;volume&quot;:&quot;115&quot;,&quot;container-title-short&quot;:&quot;&quot;},&quot;uris&quot;:[&quot;http://www.mendeley.com/documents/?uuid=1e3f0500-fe10-4532-83c8-ca175cfa1bc9&quot;],&quot;isTemporary&quot;:false,&quot;legacyDesktopId&quot;:&quot;1e3f0500-fe10-4532-83c8-ca175cfa1bc9&quot;},{&quot;id&quot;:&quot;9c4fa71f-fd15-55f6-b5cc-8f995a5d5767&quot;,&quot;itemData&quot;:{&quot;DOI&quot;:&quot;10.1111/ene.15413&quot;,&quot;ISSN&quot;:&quot;14681331&quot;,&quot;PMID&quot;:&quot;35598288&quot;,&quot;abstract&quot;:&quot;Background and purpose: The aim was to determine the extent of sudomotor dysfunction in people with neuromyelitis optica spectrum disorder (pwNMOSD) and to compare findings with a historical cohort of people with relapsing–remitting multiple sclerosis (pwRRMS). Methods: Forty-eight pwNMOSD were enrolled from four clinical centers. All participants completed the Composite Autonomic Symptom Score 31 to screen for symptoms of sudomotor dysfunction. Sudomotor function was assessed using the quantitative sudomotor axon reflex test. The results were compared with a historical cohort of 35 pwRRMS matched for age, sex and disease duration. Results: Symptoms of sudomotor dysfunction, defined by a score in the Composite Autonomic Symptom Score 31 secretomotor domain &gt;0, were present in 26 (54%) of pwNMOSD. The quantitative sudomotor axon reflex test confirmed a sudomotor dysfunction in 25 (52.1%) of pwNMOSD; in 14 of them (29.2%) sudomotor dysfunction was moderate or severe. No difference was observed between pwNMOSD and pwRRMS in any of the studied parameters. However, symptomatic sudomotor dysfunction was more frequent in pwNMOSD (n = 8, 22.9%) compared to pwRRMS (n = 1, 3%; p = 0.028). In a multivariable logistic regression analysis, statistically significant predictors for symptomatic sudomotor failure were age and diagnosis of neuromyelitis optica spectrum disorder. Conclusions: Sudomotor dysfunction is common in pwNMOSD and more often symptomatic compared to pwRRMS.&quot;,&quot;author&quot;:[{&quot;dropping-particle&quot;:&quot;&quot;,&quot;family&quot;:&quot;Habek&quot;,&quot;given&quot;:&quot;Mario&quot;,&quot;non-dropping-particle&quot;:&quot;&quot;,&quot;parse-names&quot;:false,&quot;suffix&quot;:&quot;&quot;},{&quot;dropping-particle&quot;:&quot;&quot;,&quot;family&quot;:&quot;Andabaka&quot;,&quot;given&quot;:&quot;Marko&quot;,&quot;non-dropping-particle&quot;:&quot;&quot;,&quot;parse-names&quot;:false,&quot;suffix&quot;:&quot;&quot;},{&quot;dropping-particle&quot;:&quot;&quot;,&quot;family&quot;:&quot;Fanciulli&quot;,&quot;given&quot;:&quot;Alessandra&quot;,&quot;non-dropping-particle&quot;:&quot;&quot;,&quot;parse-names&quot;:false,&quot;suffix&quot;:&quot;&quot;},{&quot;dropping-particle&quot;:&quot;&quot;,&quot;family&quot;:&quot;Brecl Jakob&quot;,&quot;given&quot;:&quot;Gregor&quot;,&quot;non-dropping-particle&quot;:&quot;&quot;,&quot;parse-names&quot;:false,&quot;suffix&quot;:&quot;&quot;},{&quot;dropping-particle&quot;:&quot;&quot;,&quot;family&quot;:&quot;Drulović&quot;,&quot;given&quot;:&quot;Jelena&quot;,&quot;non-dropping-particle&quot;:&quot;&quot;,&quot;parse-names&quot;:false,&quot;suffix&quot;:&quot;&quot;},{&quot;dropping-particle&quot;:&quot;&quot;,&quot;family&quot;:&quot;Leys&quot;,&quot;given&quot;:&quot;Fabian&quot;,&quot;non-dropping-particle&quot;:&quot;&quot;,&quot;parse-names&quot;:false,&quot;suffix&quot;:&quot;&quot;},{&quot;dropping-particle&quot;:&quot;&quot;,&quot;family&quot;:&quot;Pauli&quot;,&quot;given&quot;:&quot;Franziska&quot;,&quot;non-dropping-particle&quot;:&quot;Di&quot;,&quot;parse-names&quot;:false,&quot;suffix&quot;:&quot;&quot;},{&quot;dropping-particle&quot;:&quot;&quot;,&quot;family&quot;:&quot;Hegen&quot;,&quot;given&quot;:&quot;Harald&quot;,&quot;non-dropping-particle&quot;:&quot;&quot;,&quot;parse-names&quot;:false,&quot;suffix&quot;:&quot;&quot;},{&quot;dropping-particle&quot;:&quot;&quot;,&quot;family&quot;:&quot;Auer&quot;,&quot;given&quot;:&quot;Michael&quot;,&quot;non-dropping-particle&quot;:&quot;&quot;,&quot;parse-names&quot;:false,&quot;suffix&quot;:&quot;&quot;},{&quot;dropping-particle&quot;:&quot;&quot;,&quot;family&quot;:&quot;Pekmezović&quot;,&quot;given&quot;:&quot;Tatjana&quot;,&quot;non-dropping-particle&quot;:&quot;&quot;,&quot;parse-names&quot;:false,&quot;suffix&quot;:&quot;&quot;},{&quot;dropping-particle&quot;:&quot;&quot;,&quot;family&quot;:&quot;Mesaroš&quot;,&quot;given&quot;:&quot;Šarlota&quot;,&quot;non-dropping-particle&quot;:&quot;&quot;,&quot;parse-names&quot;:false,&quot;suffix&quot;:&quot;&quot;},{&quot;dropping-particle&quot;:&quot;&quot;,&quot;family&quot;:&quot;Jovičević&quot;,&quot;given&quot;:&quot;Vanja&quot;,&quot;non-dropping-particle&quot;:&quot;&quot;,&quot;parse-names&quot;:false,&quot;suffix&quot;:&quot;&quot;},{&quot;dropping-particle&quot;:&quot;&quot;,&quot;family&quot;:&quot;Junaković&quot;,&quot;given&quot;:&quot;Anamari&quot;,&quot;non-dropping-particle&quot;:&quot;&quot;,&quot;parse-names&quot;:false,&quot;suffix&quot;:&quot;&quot;},{&quot;dropping-particle&quot;:&quot;&quot;,&quot;family&quot;:&quot;Wenning&quot;,&quot;given&quot;:&quot;Gregor K.&quot;,&quot;non-dropping-particle&quot;:&quot;&quot;,&quot;parse-names&quot;:false,&quot;suffix&quot;:&quot;&quot;},{&quot;dropping-particle&quot;:&quot;&quot;,&quot;family&quot;:&quot;Deisenhammer&quot;,&quot;given&quot;:&quot;Florian&quot;,&quot;non-dropping-particle&quot;:&quot;&quot;,&quot;parse-names&quot;:false,&quot;suffix&quot;:&quot;&quot;},{&quot;dropping-particle&quot;:&quot;&quot;,&quot;family&quot;:&quot;Gabelić&quot;,&quot;given&quot;:&quot;Tereza&quot;,&quot;non-dropping-particle&quot;:&quot;&quot;,&quot;parse-names&quot;:false,&quot;suffix&quot;:&quot;&quot;},{&quot;dropping-particle&quot;:&quot;&quot;,&quot;family&quot;:&quot;Barun&quot;,&quot;given&quot;:&quot;Barbara&quot;,&quot;non-dropping-particle&quot;:&quot;&quot;,&quot;parse-names&quot;:false,&quot;suffix&quot;:&quot;&quot;},{&quot;dropping-particle&quot;:&quot;&quot;,&quot;family&quot;:&quot;Adamec&quot;,&quot;given&quot;:&quot;Ivan&quot;,&quot;non-dropping-particle&quot;:&quot;&quot;,&quot;parse-names&quot;:false,&quot;suffix&quot;:&quot;&quot;},{&quot;dropping-particle&quot;:&quot;&quot;,&quot;family&quot;:&quot;Krbot Skorić&quot;,&quot;given&quot;:&quot;Magdalena&quot;,&quot;non-dropping-particle&quot;:&quot;&quot;,&quot;parse-names&quot;:false,&quot;suffix&quot;:&quot;&quot;}],&quot;container-title&quot;:&quot;European Journal of Neurology&quot;,&quot;id&quot;:&quot;9c4fa71f-fd15-55f6-b5cc-8f995a5d5767&quot;,&quot;issue&quot;:&quot;9&quot;,&quot;issued&quot;:{&quot;date-parts&quot;:[[&quot;2022&quot;]]},&quot;page&quot;:&quot;2772-2780&quot;,&quot;title&quot;:&quot;Sudomotor dysfunction in people with neuromyelitis optica spectrum disorders&quot;,&quot;type&quot;:&quot;article-journal&quot;,&quot;volume&quot;:&quot;29&quot;,&quot;container-title-short&quot;:&quot;Eur. J. Neurol.&quot;},&quot;uris&quot;:[&quot;http://www.mendeley.com/documents/?uuid=2fcdb2ee-5f80-46be-92b8-1ac20d4e3a7c&quot;],&quot;isTemporary&quot;:false,&quot;legacyDesktopId&quot;:&quot;2fcdb2ee-5f80-46be-92b8-1ac20d4e3a7c&quot;},{&quot;id&quot;:&quot;1b000560-cc9f-5a03-b06f-b4aa5d240a91&quot;,&quot;itemData&quot;:{&quot;DOI&quot;:&quot;10.1016/j.autneu.2016.01.001&quot;,&quot;ISSN&quot;:&quot;18727484&quot;,&quot;PMID&quot;:&quot;26794588&quot;,&quot;abstract&quot;:&quot;Thermoregulation is a vital function of the autonomic nervous system in response to cold and heat stress. Thermoregulatory physiology sustains health by keeping body core temperature within a degree or two of 37 °C, which enables normal cellular function. Heat production and dissipation are dependent on a coordinated set of autonomic responses. The clinical detection of thermoregulatory impairment provides important diagnostic and localizing information in the evaluation of disorders that impair thermoregulatory pathways, including autonomic neuropathies and ganglionopathies. Failure of neural thermoregulatory mechanisms or exposure to extreme or sustained temperatures that overwhelm the body's thermoregulatory capacity can also result in potentially life-threatening departures from normothermia. Hypothermia, defined as a core temperature of &lt;. 35.0 °C, may present with shivering, respiratory depression, cardiac dysrhythmias, impaired mental function, mydriasis, hypotension, and muscle dysfunction, which can progress to cardiac arrest or coma. Management includes warming measures, hydration, and cardiovascular support. Deaths from hypothermia are twice as frequent as deaths from hyperthermia. Hyperthermia, defined as a core temperature of &gt;. 40.5 °C, may present with sweating, flushing, tachycardia, fatigue, lightheadedness, headache, and paresthesia, progressing to weakness, muscle cramps, oliguria, nausea, agitation, hypotension, syncope, confusion, delirium, seizures, and coma. Mental status changes and core temperature distinguish potentially fatal heat stroke from heat exhaustion. Management requires the immediate reduction of core temperature. Ice water immersion has been shown to be superior to alternative cooling measures. Avoidance of thermal risk and early recognition of cold or heat stress are the cornerstones of preventive therapy.&quot;,&quot;author&quot;:[{&quot;dropping-particle&quot;:&quot;&quot;,&quot;family&quot;:&quot;Cheshire&quot;,&quot;given&quot;:&quot;William P.&quot;,&quot;non-dropping-particle&quot;:&quot;&quot;,&quot;parse-names&quot;:false,&quot;suffix&quot;:&quot;&quot;}],&quot;container-title&quot;:&quot;Autonomic Neuroscience: Basic and Clinical&quot;,&quot;id&quot;:&quot;1b000560-cc9f-5a03-b06f-b4aa5d240a91&quot;,&quot;issued&quot;:{&quot;date-parts&quot;:[[&quot;2016&quot;]]},&quot;page&quot;:&quot;91-104&quot;,&quot;publisher&quot;:&quot;The Author&quot;,&quot;title&quot;:&quot;Thermoregulatory disorders and illness related to heat and cold stress&quot;,&quot;type&quot;:&quot;article-journal&quot;,&quot;volume&quot;:&quot;196&quot;,&quot;container-title-short&quot;:&quot;Auton. Neurosci.&quot;},&quot;uris&quot;:[&quot;http://www.mendeley.com/documents/?uuid=a5a83b50-a604-408e-a2b2-53d336b98b5f&quot;],&quot;isTemporary&quot;:false,&quot;legacyDesktopId&quot;:&quot;a5a83b50-a604-408e-a2b2-53d336b98b5f&quot;}]},{&quot;citationID&quot;:&quot;MENDELEY_CITATION_7f09a242-5c09-40c5-be69-70576d69ccf6&quot;,&quot;properties&quot;:{&quot;noteIndex&quot;:0},&quot;isEdited&quot;:false,&quot;manualOverride&quot;:{&quot;citeprocText&quot;:&quot;[82,251]&quot;,&quot;isManuallyOverridden&quot;:false,&quot;manualOverrideText&quot;:&quot;&quot;},&quot;citationTag&quot;:&quot;MENDELEY_CITATION_v3_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&quot;,&quot;citationItems&quot;:[{&quot;id&quot;:&quot;5d1d990f-4389-5308-9d3c-d55c0e7a4343&quot;,&quot;itemData&quot;:{&quot;DOI&quot;:&quot;10.1530/JME-17-0319&quot;,&quot;ISSN&quot;:&quot;14796813&quot;,&quot;PMID&quot;:&quot;29434028&quot;,&quot;abstract&quot;:&quot;Thyroid hormones (TH) are of central importance for thermogenesis, energy homeostasis and metabolism. Here, we will discuss these aspects by focussing on the physiological aspects of TH-dependent regulation in response to cold exposure and fasting, which will be compared to alterations in primary hyperthyroidism and hypothyroidism. In particular, we will summarise current knowledge on regional thyroid hormone status in the central nervous system (CNS) and in peripheral cells. In contrast to hyperthyroidism and hypothyroidism, where parallel changes are observed, local alterations in the CNS differ to peripheral compartments when induced by cold exposure or fasting. Cold exposure is associated with low hypothalamic TH concentrations but increased TH levels in the periphery. Fasting results in a reversed TH pattern. Primary hypothyroidism and hyperthyroidism disrupt these fine-tuned adaptive mechanisms and both, the hypothalamus and the periphery, will have the same TH status. These important mechanisms need to be considered when discussing thyroid hormone replacement and other therapeutical interventions to modulate TH status.&quot;,&quot;author&quot;:[{&quot;dropping-particle&quot;:&quot;&quot;,&quot;family&quot;:&quot;Iwen&quot;,&quot;given&quot;:&quot;K. Alexander&quot;,&quot;non-dropping-particle&quot;:&quot;&quot;,&quot;parse-names&quot;:false,&quot;suffix&quot;:&quot;&quot;},{&quot;dropping-particle&quot;:&quot;&quot;,&quot;family&quot;:&quot;Oelkrug&quot;,&quot;given&quot;:&quot;Rebecca&quot;,&quot;non-dropping-particle&quot;:&quot;&quot;,&quot;parse-names&quot;:false,&quot;suffix&quot;:&quot;&quot;},{&quot;dropping-particle&quot;:&quot;&quot;,&quot;family&quot;:&quot;Brabant&quot;,&quot;given&quot;:&quot;Georg&quot;,&quot;non-dropping-particle&quot;:&quot;&quot;,&quot;parse-names&quot;:false,&quot;suffix&quot;:&quot;&quot;}],&quot;container-title&quot;:&quot;Journal of Molecular Endocrinology&quot;,&quot;id&quot;:&quot;5d1d990f-4389-5308-9d3c-d55c0e7a4343&quot;,&quot;issue&quot;:&quot;3&quot;,&quot;issued&quot;:{&quot;date-parts&quot;:[[&quot;2018&quot;]]},&quot;page&quot;:&quot;R157-R170&quot;,&quot;title&quot;:&quot;Effects of thyroid hormones on thermogenesis and energy partitioning&quot;,&quot;type&quot;:&quot;article-journal&quot;,&quot;volume&quot;:&quot;60&quot;,&quot;container-title-short&quot;:&quot;J. Mol. Endocrinol.&quot;},&quot;uris&quot;:[&quot;http://www.mendeley.com/documents/?uuid=464473ab-9c83-415a-95fd-755266d1a6cd&quot;],&quot;isTemporary&quot;:false,&quot;legacyDesktopId&quot;:&quot;464473ab-9c83-415a-95fd-755266d1a6cd&quot;},{&quot;id&quot;:&quot;1b000560-cc9f-5a03-b06f-b4aa5d240a91&quot;,&quot;itemData&quot;:{&quot;DOI&quot;:&quot;10.1016/j.autneu.2016.01.001&quot;,&quot;ISSN&quot;:&quot;18727484&quot;,&quot;PMID&quot;:&quot;26794588&quot;,&quot;abstract&quot;:&quot;Thermoregulation is a vital function of the autonomic nervous system in response to cold and heat stress. Thermoregulatory physiology sustains health by keeping body core temperature within a degree or two of 37 °C, which enables normal cellular function. Heat production and dissipation are dependent on a coordinated set of autonomic responses. The clinical detection of thermoregulatory impairment provides important diagnostic and localizing information in the evaluation of disorders that impair thermoregulatory pathways, including autonomic neuropathies and ganglionopathies. Failure of neural thermoregulatory mechanisms or exposure to extreme or sustained temperatures that overwhelm the body's thermoregulatory capacity can also result in potentially life-threatening departures from normothermia. Hypothermia, defined as a core temperature of &lt;. 35.0 °C, may present with shivering, respiratory depression, cardiac dysrhythmias, impaired mental function, mydriasis, hypotension, and muscle dysfunction, which can progress to cardiac arrest or coma. Management includes warming measures, hydration, and cardiovascular support. Deaths from hypothermia are twice as frequent as deaths from hyperthermia. Hyperthermia, defined as a core temperature of &gt;. 40.5 °C, may present with sweating, flushing, tachycardia, fatigue, lightheadedness, headache, and paresthesia, progressing to weakness, muscle cramps, oliguria, nausea, agitation, hypotension, syncope, confusion, delirium, seizures, and coma. Mental status changes and core temperature distinguish potentially fatal heat stroke from heat exhaustion. Management requires the immediate reduction of core temperature. Ice water immersion has been shown to be superior to alternative cooling measures. Avoidance of thermal risk and early recognition of cold or heat stress are the cornerstones of preventive therapy.&quot;,&quot;author&quot;:[{&quot;dropping-particle&quot;:&quot;&quot;,&quot;family&quot;:&quot;Cheshire&quot;,&quot;given&quot;:&quot;William P.&quot;,&quot;non-dropping-particle&quot;:&quot;&quot;,&quot;parse-names&quot;:false,&quot;suffix&quot;:&quot;&quot;}],&quot;container-title&quot;:&quot;Autonomic Neuroscience: Basic and Clinical&quot;,&quot;id&quot;:&quot;1b000560-cc9f-5a03-b06f-b4aa5d240a91&quot;,&quot;issued&quot;:{&quot;date-parts&quot;:[[&quot;2016&quot;]]},&quot;page&quot;:&quot;91-104&quot;,&quot;publisher&quot;:&quot;The Author&quot;,&quot;title&quot;:&quot;Thermoregulatory disorders and illness related to heat and cold stress&quot;,&quot;type&quot;:&quot;article-journal&quot;,&quot;volume&quot;:&quot;196&quot;,&quot;container-title-short&quot;:&quot;Auton. Neurosci.&quot;},&quot;uris&quot;:[&quot;http://www.mendeley.com/documents/?uuid=a5a83b50-a604-408e-a2b2-53d336b98b5f&quot;],&quot;isTemporary&quot;:false,&quot;legacyDesktopId&quot;:&quot;a5a83b50-a604-408e-a2b2-53d336b98b5f&quot;}]},{&quot;citationID&quot;:&quot;MENDELEY_CITATION_3344a641-8ba0-445b-8bd9-fc9613f720b8&quot;,&quot;properties&quot;:{&quot;noteIndex&quot;:0},&quot;isEdited&quot;:false,&quot;manualOverride&quot;:{&quot;citeprocText&quot;:&quot;[252]&quot;,&quot;isManuallyOverridden&quot;:false,&quot;manualOverrideText&quot;:&quot;&quot;},&quot;citationTag&quot;:&quot;MENDELEY_CITATION_v3_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&quot;,&quot;citationItems&quot;:[{&quot;id&quot;:&quot;b2d0bd4a-2272-52cd-80a0-d2b181ac751f&quot;,&quot;itemData&quot;:{&quot;ISSN&quot;:&quot;00266620&quot;,&quot;PMID&quot;:&quot;26455059&quot;,&quot;abstract&quot;:&quot;Primary hyperhidrosis (excessive sweating) commonly affects the axillae, palms, soles, scalp, face, and the groin. Patients may have multiple areas involved making localized therapy challenging. Systemic therapy may be necessary and can be used as monotherapy or combined with other hyperhidrosis treatments for optimal outcomes. Systemic therapy can also be used to treat secondary hyperhidrosis and compensatory hyperhidrosis. Patient selection and counseling are key, and monitoring for side effects is required throughout therapy.&quot;,&quot;author&quot;:[{&quot;dropping-particle&quot;:&quot;&quot;,&quot;family&quot;:&quot;Glaser&quot;,&quot;given&quot;:&quot;Dee A.nna&quot;,&quot;non-dropping-particle&quot;:&quot;&quot;,&quot;parse-names&quot;:false,&quot;suffix&quot;:&quot;&quot;},{&quot;dropping-particle&quot;:&quot;&quot;,&quot;family&quot;:&quot;Glaser&quot;,&quot;given&quot;:&quot;Katherine&quot;,&quot;non-dropping-particle&quot;:&quot;&quot;,&quot;parse-names&quot;:false,&quot;suffix&quot;:&quot;&quot;}],&quot;container-title&quot;:&quot;Missouri medicine&quot;,&quot;id&quot;:&quot;b2d0bd4a-2272-52cd-80a0-d2b181ac751f&quot;,&quot;issue&quot;:&quot;4&quot;,&quot;issued&quot;:{&quot;date-parts&quot;:[[&quot;2015&quot;]]},&quot;page&quot;:&quot;287-291&quot;,&quot;title&quot;:&quot;Use of Systemic Therapies to Manage Focal Hyperhidrosis&quot;,&quot;type&quot;:&quot;article-journal&quot;,&quot;volume&quot;:&quot;112&quot;,&quot;container-title-short&quot;:&quot;Mo. Med.&quot;},&quot;uris&quot;:[&quot;http://www.mendeley.com/documents/?uuid=cab032c3-4c29-4c40-9d2c-059fd3b7ea81&quot;],&quot;isTemporary&quot;:false,&quot;legacyDesktopId&quot;:&quot;cab032c3-4c29-4c40-9d2c-059fd3b7ea81&quot;}]},{&quot;citationID&quot;:&quot;MENDELEY_CITATION_94695dca-72ae-4d6a-af8f-53a1b9fe0b15&quot;,&quot;properties&quot;:{&quot;noteIndex&quot;:0},&quot;isEdited&quot;:false,&quot;manualOverride&quot;:{&quot;citeprocText&quot;:&quot;[11]&quot;,&quot;isManuallyOverridden&quot;:false,&quot;manualOverrideText&quot;:&quot;&quot;},&quot;citationTag&quot;:&quot;MENDELEY_CITATION_v3_eyJjaXRhdGlvbklEIjoiTUVOREVMRVlfQ0lUQVRJT05fOTQ2OTVkY2EtNzJhZS00ZDZhLWFmOGYtNTNhMWI5ZmUwYjE1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91476e16-3f9f-4e42-b5a2-7c5c9d44ef02&quot;,&quot;properties&quot;:{&quot;noteIndex&quot;:0},&quot;isEdited&quot;:false,&quot;manualOverride&quot;:{&quot;citeprocText&quot;:&quot;[3]&quot;,&quot;isManuallyOverridden&quot;:false,&quot;manualOverrideText&quot;:&quot;&quot;},&quot;citationTag&quot;:&quot;MENDELEY_CITATION_v3_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&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citationID&quot;:&quot;MENDELEY_CITATION_8ea54479-ef02-4e9f-b1d6-5c361bb26c48&quot;,&quot;properties&quot;:{&quot;noteIndex&quot;:0},&quot;isEdited&quot;:false,&quot;manualOverride&quot;:{&quot;citeprocText&quot;:&quot;[253]&quot;,&quot;isManuallyOverridden&quot;:false,&quot;manualOverrideText&quot;:&quot;&quot;},&quot;citationTag&quot;:&quot;MENDELEY_CITATION_v3_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&quot;,&quot;citationItems&quot;:[{&quot;id&quot;:&quot;0d0d64c5-e752-5cf0-a418-54be9389b744&quot;,&quot;itemData&quot;:{&quot;DOI&quot;:&quot;10.1016/j.jtherbio.2018.12.019&quot;,&quot;ISSN&quot;:&quot;18790992&quot;,&quot;PMID&quot;:&quot;30612681&quot;,&quot;abstract&quot;:&quot;Introduction: The aim of the study was to evaluate the reliability of five different sweat analysis techniques which measure; whole body sweat rate [WBSR], local sweat rate [LSR] (via technical absorbent [TA] method and KuduSmart ® monitor), sweat conductivity [SC] and sweat gland activation [SGA] in a female population when exercising moderately under heat stress. Methods: Fourteen females (age; 26 ± 7 years, body mass; 66.5 ± 7.6 kg, height; 167.1 ± 6.4 cm) completed a preliminary threshold walking test (to determine exercise intensity) and two main trials, separated by 2 days. Main trials consisted of 30-min seated rest in the environmental chamber (35 °C, 50% relative humidity) in an upper body sauna-suit, before its removal, and walking at a moderate intensity (4 metabolic equivalents) for 30-min (speeds ranged from 4.8 to 6.5 km h −1 ). WBSR was measured via nude mass pre and post exercise. The TA and Tegaderm patches (for sweat sodium chloride) were placed on the back, forearm and chest for the entire 60-min, replicated for all participants for both trials. SGA was assessed following the 60-min trial and the KuduSmart® monitor was placed on the left arm for the 30-min of exercise. Results: WBSR, LSR methods and SC demonstrated no difference between trials (p &gt; 0.05), good agreement (within limits), strong correlations (r ≥ 0.88) and low typical error of measurements [TEM] (&lt; 0.04 L min −1 , 0.13 mg min −1 cm −2 and 8 mmol L −1 , respectively). SGA method showed moderate intra-class correlation (r = 0.80), with high TEM (5 glands) and large limits of agreement. Conclusion: Sudomotor function is reliable, as demonstrated by good reliability, small TEM and strong correlations. The use of these sweat techniques is appropriate and practical in females who are exercising at moderate intensity under heat stress, and so, may aid future interventions. SGA shows larger variation and should be used with caution.&quot;,&quot;author&quot;:[{&quot;dropping-particle&quot;:&quot;&quot;,&quot;family&quot;:&quot;Relf&quot;,&quot;given&quot;:&quot;Rebecca&quot;,&quot;non-dropping-particle&quot;:&quot;&quot;,&quot;parse-names&quot;:false,&quot;suffix&quot;:&quot;&quot;},{&quot;dropping-particle&quot;:&quot;&quot;,&quot;family&quot;:&quot;Willmott&quot;,&quot;given&quot;:&quot;Ashley&quot;,&quot;non-dropping-particle&quot;:&quot;&quot;,&quot;parse-names&quot;:false,&quot;suffix&quot;:&quot;&quot;},{&quot;dropping-particle&quot;:&quot;&quot;,&quot;family&quot;:&quot;Flint&quot;,&quot;given&quot;:&quot;Melanie S.&quot;,&quot;non-dropping-particle&quot;:&quot;&quot;,&quot;parse-names&quot;:false,&quot;suffix&quot;:&quot;&quot;},{&quot;dropping-particle&quot;:&quot;&quot;,&quot;family&quot;:&quot;Beale&quot;,&quot;given&quot;:&quot;Louisa&quot;,&quot;non-dropping-particle&quot;:&quot;&quot;,&quot;parse-names&quot;:false,&quot;suffix&quot;:&quot;&quot;},{&quot;dropping-particle&quot;:&quot;&quot;,&quot;family&quot;:&quot;Maxwell&quot;,&quot;given&quot;:&quot;Neil&quot;,&quot;non-dropping-particle&quot;:&quot;&quot;,&quot;parse-names&quot;:false,&quot;suffix&quot;:&quot;&quot;}],&quot;container-title&quot;:&quot;Journal of Thermal Biology&quot;,&quot;id&quot;:&quot;0d0d64c5-e752-5cf0-a418-54be9389b744&quot;,&quot;issue&quot;:&quot;December 2018&quot;,&quot;issued&quot;:{&quot;date-parts&quot;:[[&quot;2019&quot;]]},&quot;page&quot;:&quot;209-217&quot;,&quot;publisher&quot;:&quot;Elsevier Ltd&quot;,&quot;title&quot;:&quot;Reliability of a wearable sweat rate monitor and routine sweat analysis techniques under heat stress in females&quot;,&quot;type&quot;:&quot;article-journal&quot;,&quot;volume&quot;:&quot;79&quot;,&quot;container-title-short&quot;:&quot;J. Therm. Biol.&quot;},&quot;uris&quot;:[&quot;http://www.mendeley.com/documents/?uuid=1976d4c9-f159-4810-a076-759e2764b088&quot;],&quot;isTemporary&quot;:false,&quot;legacyDesktopId&quot;:&quot;1976d4c9-f159-4810-a076-759e2764b088&quot;}]},{&quot;citationID&quot;:&quot;MENDELEY_CITATION_00828f6e-fb9d-4a10-bfe3-7f674bca2beb&quot;,&quot;properties&quot;:{&quot;noteIndex&quot;:0},&quot;isEdited&quot;:false,&quot;manualOverride&quot;:{&quot;citeprocText&quot;:&quot;[191]&quot;,&quot;isManuallyOverridden&quot;:false,&quot;manualOverrideText&quot;:&quot;&quot;},&quot;citationTag&quot;:&quot;MENDELEY_CITATION_v3_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lBhaWsiLCJnaXZlbiI6IlVuZ3l1Iiwibm9uLWRyb3BwaW5nLXBhcnRpY2xlIjoiIiwicGFyc2UtbmFtZXMiOmZhbHNlLCJzdWZmaXgiOiIifSx7ImRyb3BwaW5nLXBhcnRpY2xlIjoiIiwiZmFtaWx5IjoiU2xlcGlhbiIsImdpdmVuIjoiTWFydmluIEoiLCJub24tZHJvcHBpbmctcGFydGljbGUiOiIiLCJwYXJzZS1uYW1lcyI6ZmFsc2UsInN1ZmZpeCI6IiJ9LHsiZHJvcHBpbmctcGFydGljbGUiOiIiLCJmYW1pbHkiOiJCYWxvb2NoIiwiZ2l2ZW4iOiJHdWl2ZS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&quot;,&quot;citationItems&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citationID&quot;:&quot;MENDELEY_CITATION_0b622403-82f9-4a4d-a436-d72e8f88144f&quot;,&quot;properties&quot;:{&quot;noteIndex&quot;:0},&quot;isEdited&quot;:false,&quot;manualOverride&quot;:{&quot;citeprocText&quot;:&quot;[191,254]&quot;,&quot;isManuallyOverridden&quot;:false,&quot;manualOverrideText&quot;:&quot;&quot;},&quot;citationTag&quot;:&quot;MENDELEY_CITATION_v3_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&quot;,&quot;citationItems&quot;:[{&quot;id&quot;:&quot;9721b920-b84f-54ee-8f40-45b700cdcd7d&quot;,&quot;itemData&quot;:{&quot;DOI&quot;:&quot;10.1126/scitranslmed.aaf2593&quot;,&quot;ISSN&quot;:&quot;1946-6234&quot;,&quot;abstract&quot;:&quot;A soft, skin-mounted microfluidic device captures microliter volumes of sweat and quantitatively measures biochemical markers by colorimetric analysis.&quot;,&quot;author&quot;:[{&quot;dropping-particle&quot;:&quot;&quot;,&quot;family&quot;:&quot;Koh&quot;,&quot;given&quot;:&quot;Ahyeon&quot;,&quot;non-dropping-particle&quot;:&quot;&quot;,&quot;parse-names&quot;:false,&quot;suffix&quot;:&quot;&quot;},{&quot;dropping-particle&quot;:&quot;&quot;,&quot;family&quot;:&quot;Kang&quot;,&quot;given&quot;:&quot;Daeshik&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Lee&quot;,&quot;given&quot;:&quot;Seungmin&quot;,&quot;non-dropping-particle&quot;:&quot;&quot;,&quot;parse-names&quot;:false,&quot;suffix&quot;:&quot;&quot;},{&quot;dropping-particle&quot;:&quot;&quot;,&quot;family&quot;:&quot;Pielak&quot;,&quot;given&quot;:&quot;Rafal M&quot;,&quot;non-dropping-particle&quot;:&quot;&quot;,&quot;parse-names&quot;:false,&quot;suffix&quot;:&quot;&quot;},{&quot;dropping-particle&quot;:&quot;&quot;,&quot;family&quot;:&quot;Kim&quot;,&quot;given&quot;:&quot;Jeonghyun&quot;,&quot;non-dropping-particle&quot;:&quot;&quot;,&quot;parse-names&quot;:false,&quot;suffix&quot;:&quot;&quot;},{&quot;dropping-particle&quot;:&quot;&quot;,&quot;family&quot;:&quot;Hwang&quot;,&quot;given&quot;:&quot;Taehwan&quot;,&quot;non-dropping-particle&quot;:&quot;&quot;,&quot;parse-names&quot;:false,&quot;suffix&quot;:&quot;&quot;},{&quot;dropping-particle&quot;:&quot;&quot;,&quot;family&quot;:&quot;Min&quot;,&quot;given&quot;:&quot;Seunghwan&quot;,&quot;non-dropping-particle&quot;:&quot;&quot;,&quot;parse-names&quot;:false,&quot;suffix&quot;:&quot;&quot;},{&quot;dropping-particle&quot;:&quot;&quot;,&quot;family&quot;:&quot;Banks&quot;,&quot;given&quot;:&quot;Anthony&quot;,&quot;non-dropping-particle&quot;:&quot;&quot;,&quot;parse-names&quot;:false,&quot;suffix&quot;:&quot;&quot;},{&quot;dropping-particle&quot;:&quot;&quot;,&quot;family&quot;:&quot;Bastien&quot;,&quot;given&quot;:&quot;Philippe&quot;,&quot;non-dropping-particle&quot;:&quot;&quot;,&quot;parse-names&quot;:false,&quot;suffix&quot;:&quot;&quot;},{&quot;dropping-particle&quot;:&quot;&quot;,&quot;family&quot;:&quot;Manco&quot;,&quot;given&quot;:&quot;Megan C&quot;,&quot;non-dropping-particle&quot;:&quot;&quot;,&quot;parse-names&quot;:false,&quot;suffix&quot;:&quot;&quot;},{&quot;dropping-particle&quot;:&quot;&quot;,&quot;family&quot;:&quot;Wang&quot;,&quot;given&quot;:&quot;Liang&quot;,&quot;non-dropping-particle&quot;:&quot;&quot;,&quot;parse-names&quot;:false,&quot;suffix&quot;:&quot;&quot;},{&quot;dropping-particle&quot;:&quot;&quot;,&quot;family&quot;:&quot;Ammann&quot;,&quot;given&quot;:&quot;Kaitlyn R&quot;,&quot;non-dropping-particle&quot;:&quot;&quot;,&quot;parse-names&quot;:false,&quot;suffix&quot;:&quot;&quot;},{&quot;dropping-particle&quot;:&quot;&quot;,&quot;family&quot;:&quot;Jang&quot;,&quot;given&quot;:&quot;Kyung-in&quot;,&quot;non-dropping-particle&quot;:&quot;&quot;,&quot;parse-names&quot;:false,&quot;suffix&quot;:&quot;&quot;},{&quot;dropping-particle&quot;:&quot;&quot;,&quot;family&quot;:&quot;Won&quot;,&quot;given&quot;:&quot;Phillip&quot;,&quot;non-dropping-particle&quot;:&quot;&quot;,&quot;parse-names&quot;:false,&quot;suffix&quot;:&quot;&quot;},{&quot;dropping-particle&quot;:&quot;&quot;,&quot;family&quot;:&quot;Han&quot;,&quot;given&quot;:&quot;Seungyong&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Paik&quot;,&quot;given&quot;:&quot;Ungyu&quot;,&quot;non-dropping-particle&quot;:&quot;&quot;,&quot;parse-names&quot;:false,&quot;suffix&quot;:&quot;&quot;},{&quot;dropping-particle&quot;:&quot;&quot;,&quot;family&quot;:&quot;Slepian&quot;,&quot;given&quot;:&quot;Marvin J&quot;,&quot;non-dropping-particle&quot;:&quot;&quot;,&quot;parse-names&quot;:false,&quot;suffix&quot;:&quot;&quot;},{&quot;dropping-particle&quot;:&quot;&quot;,&quot;family&quot;:&quot;Balooch&quot;,&quot;given&quot;:&quot;Guive&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Translational Medicine&quot;,&quot;id&quot;:&quot;9721b920-b84f-54ee-8f40-45b700cdcd7d&quot;,&quot;issue&quot;:&quot;366&quot;,&quot;issued&quot;:{&quot;date-parts&quot;:[[&quot;2016&quot;,&quot;11&quot;,&quot;23&quot;]]},&quot;title&quot;:&quot;A soft, wearable microfluidic device for the capture, storage, and colorimetric sensing of sweat&quot;,&quot;type&quot;:&quot;article-journal&quot;,&quot;volume&quot;:&quot;8&quot;,&quot;container-title-short&quot;:&quot;Sci. Transl. Med.&quot;},&quot;uris&quot;:[&quot;http://www.mendeley.com/documents/?uuid=14d440d5-6bcf-4105-a70d-59bee67435f6&quot;],&quot;isTemporary&quot;:false,&quot;legacyDesktopId&quot;:&quot;14d440d5-6bcf-4105-a70d-59bee67435f6&quot;},{&quot;id&quot;:&quot;91030c04-01db-5265-9dcd-93eceecbd783&quot;,&quot;itemData&quot;:{&quot;DOI&quot;:&quot;10.1126/sciadv.aar3921&quot;,&quot;ISSN&quot;:&quot;2375-2548&quot;,&quot;abstract&quot;:&quot;The advances in sweat collection and analytics follow from a convergence of electronics, electrochemistry, and microfluidics.&quot;,&quot;author&quot;:[{&quot;dropping-particle&quot;:&quot;&quot;,&quot;family&quot;:&quot;Choi&quot;,&quot;given&quot;:&quot;Jungil&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Baker&quot;,&quot;given&quot;:&quot;Lindsay B&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91030c04-01db-5265-9dcd-93eceecbd783&quot;,&quot;issue&quot;:&quot;2&quot;,&quot;issued&quot;:{&quot;date-parts&quot;:[[&quot;2018&quot;,&quot;2&quot;,&quot;2&quot;]]},&quot;page&quot;:&quot;1-9&quot;,&quot;title&quot;:&quot;Skin-interfaced systems for sweat collection and analytics&quot;,&quot;type&quot;:&quot;article-journal&quot;,&quot;volume&quot;:&quot;4&quot;,&quot;container-title-short&quot;:&quot;Sci. Adv.&quot;},&quot;uris&quot;:[&quot;http://www.mendeley.com/documents/?uuid=65cc836e-10b3-4a19-84af-11559bcc5592&quot;],&quot;isTemporary&quot;:false,&quot;legacyDesktopId&quot;:&quot;65cc836e-10b3-4a19-84af-11559bcc5592&quot;}]},{&quot;citationID&quot;:&quot;MENDELEY_CITATION_d09a23e6-51e8-4fd8-8222-94b7cae51b4d&quot;,&quot;properties&quot;:{&quot;noteIndex&quot;:0},&quot;isEdited&quot;:false,&quot;manualOverride&quot;:{&quot;citeprocText&quot;:&quot;[187]&quot;,&quot;isManuallyOverridden&quot;:false,&quot;manualOverrideText&quot;:&quot;&quot;},&quot;citationTag&quot;:&quot;MENDELEY_CITATION_v3_eyJjaXRhdGlvbklEIjoiTUVOREVMRVlfQ0lUQVRJT05fZDA5YTIzZTYtNTFlOC00ZmQ4LTgyMjItOTRiN2NhZTUxYjRkIiwicHJvcGVydGllcyI6eyJub3RlSW5kZXgiOjB9LCJpc0VkaXRlZCI6ZmFsc2UsIm1hbnVhbE92ZXJyaWRlIjp7ImNpdGVwcm9jVGV4dCI6IlsxODdd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quot;,&quot;citationItems&quot;:[{&quot;id&quot;:&quot;8d590402-5cd0-5f1d-b9c2-1bd8234da48c&quot;,&quot;itemData&quot;:{&quot;DOI&quot;:&quot;10.14814/phy2.12007&quot;,&quot;ISSN&quot;:&quot;2051817X&quot;,&quot;abstract&quot;:&quot;This study compared a field versus reference laboratory technique for extracting (syringe vs. centrifuge) and analyzing sweat [Na+] and [K+] (compact Horiba B-722 and B-731, HORIBA vs. ion chromatography, HPLC) collected with regional absorbent patches during exercise in a hot-humid environment. Sweat samples were collected from seven anatomical sites on 30 athletes during 1-h cycling in a heat chamber (33°C, 67% rh). Ten minutes into exercise, skin was cleaned/dried and two sweat patches were applied per anatomical site. After removal, one patch per site was centrifuged and sweat was analyzed with HORIBA in the heat chamber (CENTRIFUGE HORIBA) versus HPLC (CENTRIFUGE HPLC). Sweat from the second patch per site was extracted using a 5-mL syringe and analyzed with HORIBA in the heat chamber (SYRINGE HORIBA) versus HPLC (SYRINGE HPLC). CENTRIFUGE HORIBA, SYRINGE HPLC, and SYRINGE HORIBA were highly related to CENTRIFUGE HPLC ([Na+]: ICC = 0.96, 0.94, and 0.93, respectively; [K+]: ICC = 0.87, 0.92, and 0.84, respectively), while mean differences from CENTRIFUGE HPLC were small but usually significant ([Na+]: 4.7 ± 7.9 mEql/L, -2.5 ± 9.3 mEq/L, 4.0 ± 10.9 mEq/L (all P &lt; 0.001), respectively; [K+]: 0.44 ± 0.52 mEq/L (P &lt; 0.001), 0.01 ± 0.49 mEq/L (P = 0.77), 0.50 ± 0.48 mEq/L (P &lt; 0.001), respectively). On the basis of typical error of the measurement results, sweat [Na+] and [K+] obtained with SYRINGE HORIBA falls within ± 15.4 mEq/L and ± 0.68 mEq/L, respectively, of CENTRIFUGE HPLC 95% of the time. The field (SYRINGE HORIBA) method of extracting and analyzing sweat from regional absorbent patches may be useful in obtaining sweat [Na+] when rapid estimates in a hot-humid field setting are needed.&quot;,&quot;author&quot;:[{&quot;dropping-particle&quot;:&quot;&quot;,&quot;family&quot;:&quot;Baker&quot;,&quot;given&quot;:&quot;Lindsay B.&quot;,&quot;non-dropping-particle&quot;:&quot;&quot;,&quot;parse-names&quot;:false,&quot;suffix&quot;:&quot;&quot;},{&quot;dropping-particle&quot;:&quot;&quot;,&quot;family&quot;:&quot;Ungaro&quot;,&quot;given&quot;:&quot;Corey T.&quot;,&quot;non-dropping-particle&quot;:&quot;&quot;,&quot;parse-names&quot;:false,&quot;suffix&quot;:&quot;&quot;},{&quot;dropping-particle&quot;:&quot;&quot;,&quot;family&quot;:&quot;Barnes&quot;,&quot;given&quot;:&quot;Kelly A.&quot;,&quot;non-dropping-particle&quot;:&quot;&quot;,&quot;parse-names&quot;:false,&quot;suffix&quot;:&quot;&quot;},{&quot;dropping-particle&quot;:&quot;&quot;,&quot;family&quot;:&quot;Nuccio&quot;,&quot;given&quot;:&quot;Ryan P.&quot;,&quot;non-dropping-particle&quot;:&quot;&quot;,&quot;parse-names&quot;:false,&quot;suffix&quot;:&quot;&quot;},{&quot;dropping-particle&quot;:&quot;&quot;,&quot;family&quot;:&quot;Reimel&quot;,&quot;given&quot;:&quot;Adam J.&quot;,&quot;non-dropping-particle&quot;:&quot;&quot;,&quot;parse-names&quot;:false,&quot;suffix&quot;:&quot;&quot;},{&quot;dropping-particle&quot;:&quot;&quot;,&quot;family&quot;:&quot;Stofan&quot;,&quot;given&quot;:&quot;John R.&quot;,&quot;non-dropping-particle&quot;:&quot;&quot;,&quot;parse-names&quot;:false,&quot;suffix&quot;:&quot;&quot;}],&quot;container-title&quot;:&quot;Physiological Reports&quot;,&quot;id&quot;:&quot;8d590402-5cd0-5f1d-b9c2-1bd8234da48c&quot;,&quot;issue&quot;:&quot;5&quot;,&quot;issued&quot;:{&quot;date-parts&quot;:[[&quot;2014&quot;]]},&quot;title&quot;:&quot;Validity and reliability of a field technique for sweat Na+ and K+ analysis during exercise in a hot-humid environment&quot;,&quot;type&quot;:&quot;article-journal&quot;,&quot;volume&quot;:&quot;2&quot;,&quot;container-title-short&quot;:&quot;Physiol. Rep.&quot;},&quot;uris&quot;:[&quot;http://www.mendeley.com/documents/?uuid=8b6809dc-b558-4b93-a6cd-b75ddcda99bd&quot;],&quot;isTemporary&quot;:false,&quot;legacyDesktopId&quot;:&quot;8b6809dc-b558-4b93-a6cd-b75ddcda99bd&quot;}]},{&quot;citationID&quot;:&quot;MENDELEY_CITATION_9d42462b-a5a6-4674-8b2a-84cc3b349c07&quot;,&quot;properties&quot;:{&quot;noteIndex&quot;:0},&quot;isEdited&quot;:false,&quot;manualOverride&quot;:{&quot;citeprocText&quot;:&quot;[187]&quot;,&quot;isManuallyOverridden&quot;:false,&quot;manualOverrideText&quot;:&quot;&quot;},&quot;citationTag&quot;:&quot;MENDELEY_CITATION_v3_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&quot;,&quot;citationItems&quot;:[{&quot;id&quot;:&quot;8d590402-5cd0-5f1d-b9c2-1bd8234da48c&quot;,&quot;itemData&quot;:{&quot;DOI&quot;:&quot;10.14814/phy2.12007&quot;,&quot;ISSN&quot;:&quot;2051817X&quot;,&quot;abstract&quot;:&quot;This study compared a field versus reference laboratory technique for extracting (syringe vs. centrifuge) and analyzing sweat [Na+] and [K+] (compact Horiba B-722 and B-731, HORIBA vs. ion chromatography, HPLC) collected with regional absorbent patches during exercise in a hot-humid environment. Sweat samples were collected from seven anatomical sites on 30 athletes during 1-h cycling in a heat chamber (33°C, 67% rh). Ten minutes into exercise, skin was cleaned/dried and two sweat patches were applied per anatomical site. After removal, one patch per site was centrifuged and sweat was analyzed with HORIBA in the heat chamber (CENTRIFUGE HORIBA) versus HPLC (CENTRIFUGE HPLC). Sweat from the second patch per site was extracted using a 5-mL syringe and analyzed with HORIBA in the heat chamber (SYRINGE HORIBA) versus HPLC (SYRINGE HPLC). CENTRIFUGE HORIBA, SYRINGE HPLC, and SYRINGE HORIBA were highly related to CENTRIFUGE HPLC ([Na+]: ICC = 0.96, 0.94, and 0.93, respectively; [K+]: ICC = 0.87, 0.92, and 0.84, respectively), while mean differences from CENTRIFUGE HPLC were small but usually significant ([Na+]: 4.7 ± 7.9 mEql/L, -2.5 ± 9.3 mEq/L, 4.0 ± 10.9 mEq/L (all P &lt; 0.001), respectively; [K+]: 0.44 ± 0.52 mEq/L (P &lt; 0.001), 0.01 ± 0.49 mEq/L (P = 0.77), 0.50 ± 0.48 mEq/L (P &lt; 0.001), respectively). On the basis of typical error of the measurement results, sweat [Na+] and [K+] obtained with SYRINGE HORIBA falls within ± 15.4 mEq/L and ± 0.68 mEq/L, respectively, of CENTRIFUGE HPLC 95% of the time. The field (SYRINGE HORIBA) method of extracting and analyzing sweat from regional absorbent patches may be useful in obtaining sweat [Na+] when rapid estimates in a hot-humid field setting are needed.&quot;,&quot;author&quot;:[{&quot;dropping-particle&quot;:&quot;&quot;,&quot;family&quot;:&quot;Baker&quot;,&quot;given&quot;:&quot;Lindsay B.&quot;,&quot;non-dropping-particle&quot;:&quot;&quot;,&quot;parse-names&quot;:false,&quot;suffix&quot;:&quot;&quot;},{&quot;dropping-particle&quot;:&quot;&quot;,&quot;family&quot;:&quot;Ungaro&quot;,&quot;given&quot;:&quot;Corey T.&quot;,&quot;non-dropping-particle&quot;:&quot;&quot;,&quot;parse-names&quot;:false,&quot;suffix&quot;:&quot;&quot;},{&quot;dropping-particle&quot;:&quot;&quot;,&quot;family&quot;:&quot;Barnes&quot;,&quot;given&quot;:&quot;Kelly A.&quot;,&quot;non-dropping-particle&quot;:&quot;&quot;,&quot;parse-names&quot;:false,&quot;suffix&quot;:&quot;&quot;},{&quot;dropping-particle&quot;:&quot;&quot;,&quot;family&quot;:&quot;Nuccio&quot;,&quot;given&quot;:&quot;Ryan P.&quot;,&quot;non-dropping-particle&quot;:&quot;&quot;,&quot;parse-names&quot;:false,&quot;suffix&quot;:&quot;&quot;},{&quot;dropping-particle&quot;:&quot;&quot;,&quot;family&quot;:&quot;Reimel&quot;,&quot;given&quot;:&quot;Adam J.&quot;,&quot;non-dropping-particle&quot;:&quot;&quot;,&quot;parse-names&quot;:false,&quot;suffix&quot;:&quot;&quot;},{&quot;dropping-particle&quot;:&quot;&quot;,&quot;family&quot;:&quot;Stofan&quot;,&quot;given&quot;:&quot;John R.&quot;,&quot;non-dropping-particle&quot;:&quot;&quot;,&quot;parse-names&quot;:false,&quot;suffix&quot;:&quot;&quot;}],&quot;container-title&quot;:&quot;Physiological Reports&quot;,&quot;id&quot;:&quot;8d590402-5cd0-5f1d-b9c2-1bd8234da48c&quot;,&quot;issue&quot;:&quot;5&quot;,&quot;issued&quot;:{&quot;date-parts&quot;:[[&quot;2014&quot;]]},&quot;title&quot;:&quot;Validity and reliability of a field technique for sweat Na+ and K+ analysis during exercise in a hot-humid environment&quot;,&quot;type&quot;:&quot;article-journal&quot;,&quot;volume&quot;:&quot;2&quot;,&quot;container-title-short&quot;:&quot;Physiol. Rep.&quot;},&quot;uris&quot;:[&quot;http://www.mendeley.com/documents/?uuid=8b6809dc-b558-4b93-a6cd-b75ddcda99bd&quot;],&quot;isTemporary&quot;:false,&quot;legacyDesktopId&quot;:&quot;8b6809dc-b558-4b93-a6cd-b75ddcda99bd&quot;}]},{&quot;citationID&quot;:&quot;MENDELEY_CITATION_b7510583-0225-49d1-a199-071410a2f7df&quot;,&quot;properties&quot;:{&quot;noteIndex&quot;:0},&quot;isEdited&quot;:false,&quot;manualOverride&quot;:{&quot;citeprocText&quot;:&quot;[253]&quot;,&quot;isManuallyOverridden&quot;:false,&quot;manualOverrideText&quot;:&quot;&quot;},&quot;citationTag&quot;:&quot;MENDELEY_CITATION_v3_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&quot;,&quot;citationItems&quot;:[{&quot;id&quot;:&quot;0d0d64c5-e752-5cf0-a418-54be9389b744&quot;,&quot;itemData&quot;:{&quot;DOI&quot;:&quot;10.1016/j.jtherbio.2018.12.019&quot;,&quot;ISSN&quot;:&quot;18790992&quot;,&quot;PMID&quot;:&quot;30612681&quot;,&quot;abstract&quot;:&quot;Introduction: The aim of the study was to evaluate the reliability of five different sweat analysis techniques which measure; whole body sweat rate [WBSR], local sweat rate [LSR] (via technical absorbent [TA] method and KuduSmart ® monitor), sweat conductivity [SC] and sweat gland activation [SGA] in a female population when exercising moderately under heat stress. Methods: Fourteen females (age; 26 ± 7 years, body mass; 66.5 ± 7.6 kg, height; 167.1 ± 6.4 cm) completed a preliminary threshold walking test (to determine exercise intensity) and two main trials, separated by 2 days. Main trials consisted of 30-min seated rest in the environmental chamber (35 °C, 50% relative humidity) in an upper body sauna-suit, before its removal, and walking at a moderate intensity (4 metabolic equivalents) for 30-min (speeds ranged from 4.8 to 6.5 km h −1 ). WBSR was measured via nude mass pre and post exercise. The TA and Tegaderm patches (for sweat sodium chloride) were placed on the back, forearm and chest for the entire 60-min, replicated for all participants for both trials. SGA was assessed following the 60-min trial and the KuduSmart® monitor was placed on the left arm for the 30-min of exercise. Results: WBSR, LSR methods and SC demonstrated no difference between trials (p &gt; 0.05), good agreement (within limits), strong correlations (r ≥ 0.88) and low typical error of measurements [TEM] (&lt; 0.04 L min −1 , 0.13 mg min −1 cm −2 and 8 mmol L −1 , respectively). SGA method showed moderate intra-class correlation (r = 0.80), with high TEM (5 glands) and large limits of agreement. Conclusion: Sudomotor function is reliable, as demonstrated by good reliability, small TEM and strong correlations. The use of these sweat techniques is appropriate and practical in females who are exercising at moderate intensity under heat stress, and so, may aid future interventions. SGA shows larger variation and should be used with caution.&quot;,&quot;author&quot;:[{&quot;dropping-particle&quot;:&quot;&quot;,&quot;family&quot;:&quot;Relf&quot;,&quot;given&quot;:&quot;Rebecca&quot;,&quot;non-dropping-particle&quot;:&quot;&quot;,&quot;parse-names&quot;:false,&quot;suffix&quot;:&quot;&quot;},{&quot;dropping-particle&quot;:&quot;&quot;,&quot;family&quot;:&quot;Willmott&quot;,&quot;given&quot;:&quot;Ashley&quot;,&quot;non-dropping-particle&quot;:&quot;&quot;,&quot;parse-names&quot;:false,&quot;suffix&quot;:&quot;&quot;},{&quot;dropping-particle&quot;:&quot;&quot;,&quot;family&quot;:&quot;Flint&quot;,&quot;given&quot;:&quot;Melanie S.&quot;,&quot;non-dropping-particle&quot;:&quot;&quot;,&quot;parse-names&quot;:false,&quot;suffix&quot;:&quot;&quot;},{&quot;dropping-particle&quot;:&quot;&quot;,&quot;family&quot;:&quot;Beale&quot;,&quot;given&quot;:&quot;Louisa&quot;,&quot;non-dropping-particle&quot;:&quot;&quot;,&quot;parse-names&quot;:false,&quot;suffix&quot;:&quot;&quot;},{&quot;dropping-particle&quot;:&quot;&quot;,&quot;family&quot;:&quot;Maxwell&quot;,&quot;given&quot;:&quot;Neil&quot;,&quot;non-dropping-particle&quot;:&quot;&quot;,&quot;parse-names&quot;:false,&quot;suffix&quot;:&quot;&quot;}],&quot;container-title&quot;:&quot;Journal of Thermal Biology&quot;,&quot;id&quot;:&quot;0d0d64c5-e752-5cf0-a418-54be9389b744&quot;,&quot;issue&quot;:&quot;December 2018&quot;,&quot;issued&quot;:{&quot;date-parts&quot;:[[&quot;2019&quot;]]},&quot;page&quot;:&quot;209-217&quot;,&quot;publisher&quot;:&quot;Elsevier Ltd&quot;,&quot;title&quot;:&quot;Reliability of a wearable sweat rate monitor and routine sweat analysis techniques under heat stress in females&quot;,&quot;type&quot;:&quot;article-journal&quot;,&quot;volume&quot;:&quot;79&quot;,&quot;container-title-short&quot;:&quot;J. Therm. Biol.&quot;},&quot;uris&quot;:[&quot;http://www.mendeley.com/documents/?uuid=1976d4c9-f159-4810-a076-759e2764b088&quot;],&quot;isTemporary&quot;:false,&quot;legacyDesktopId&quot;:&quot;1976d4c9-f159-4810-a076-759e2764b088&quot;}]},{&quot;citationID&quot;:&quot;MENDELEY_CITATION_e26af045-2327-40ef-9af7-feea19ef83ab&quot;,&quot;properties&quot;:{&quot;noteIndex&quot;:0},&quot;isEdited&quot;:false,&quot;manualOverride&quot;:{&quot;citeprocText&quot;:&quot;[255]&quot;,&quot;isManuallyOverridden&quot;:false,&quot;manualOverrideText&quot;:&quot;&quot;},&quot;citationTag&quot;:&quot;MENDELEY_CITATION_v3_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&quot;,&quot;citationItems&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citationID&quot;:&quot;MENDELEY_CITATION_0a8ca1bc-7403-4906-b902-1c3c9a9a6dc7&quot;,&quot;properties&quot;:{&quot;noteIndex&quot;:0},&quot;isEdited&quot;:false,&quot;manualOverride&quot;:{&quot;citeprocText&quot;:&quot;[192]&quot;,&quot;isManuallyOverridden&quot;:false,&quot;manualOverrideText&quot;:&quot;&quot;},&quot;citationTag&quot;:&quot;MENDELEY_CITATION_v3_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&quot;,&quot;citationItems&quot;:[{&quot;id&quot;:&quot;505ac833-8de1-566c-b8c7-1b78a3bef9ca&quot;,&quot;itemData&quot;:{&quot;DOI&quot;:&quot;10.1126/sciadv.aau6356&quot;,&quot;ISSN&quot;:&quot;2375-2548&quot;,&quot;abstract&quot;:&quot;Waterproof epidermal microfluidics enable collection and analysis of sweat during aquatic exercise.&quot;,&quot;author&quot;:[{&quot;dropping-particle&quot;:&quot;&quot;,&quot;family&quot;:&quot;Reeder&quot;,&quot;given&quot;:&quot;Jonathan T&quot;,&quot;non-dropping-particle&quot;:&quot;&quot;,&quot;parse-names&quot;:false,&quot;suffix&quot;:&quot;&quot;},{&quot;dropping-particle&quot;:&quot;&quot;,&quot;family&quot;:&quot;Choi&quot;,&quot;given&quot;:&quot;Jungil&quot;,&quot;non-dropping-particle&quot;:&quot;&quot;,&quot;parse-names&quot;:false,&quot;suffix&quot;:&quot;&quot;},{&quot;dropping-particle&quot;:&quot;&quot;,&quot;family&quot;:&quot;Xue&quot;,&quot;given&quot;:&quot;Yeguang&quot;,&quot;non-dropping-particle&quot;:&quot;&quot;,&quot;parse-names&quot;:false,&quot;suffix&quot;:&quot;&quot;},{&quot;dropping-particle&quot;:&quot;&quot;,&quot;family&quot;:&quot;Gutruf&quot;,&quot;given&quot;:&quot;Philipp&quot;,&quot;non-dropping-particle&quot;:&quot;&quot;,&quot;parse-names&quot;:false,&quot;suffix&quot;:&quot;&quot;},{&quot;dropping-particle&quot;:&quot;&quot;,&quot;family&quot;:&quot;Hanson&quot;,&quot;given&quot;:&quot;Justin&quot;,&quot;non-dropping-particle&quot;:&quot;&quot;,&quot;parse-names&quot;:false,&quot;suffix&quot;:&quot;&quot;},{&quot;dropping-particle&quot;:&quot;&quot;,&quot;family&quot;:&quot;Liu&quot;,&quot;given&quot;:&quot;Mark&quot;,&quot;non-dropping-particle&quot;:&quot;&quot;,&quot;parse-names&quot;:false,&quot;suffix&quot;:&quot;&quot;},{&quot;dropping-particle&quot;:&quot;&quot;,&quot;family&quot;:&quot;Ray&quot;,&quot;given&quot;:&quot;Tyler&quot;,&quot;non-dropping-particle&quot;:&quot;&quot;,&quot;parse-names&quot;:false,&quot;suffix&quot;:&quot;&quot;},{&quot;dropping-particle&quot;:&quot;&quot;,&quot;family&quot;:&quot;Bandodkar&quot;,&quot;given&quot;:&quot;Amay J&quot;,&quot;non-dropping-particle&quot;:&quot;&quot;,&quot;parse-names&quot;:false,&quot;suffix&quot;:&quot;&quot;},{&quot;dropping-particle&quot;:&quot;&quot;,&quot;family&quot;:&quot;Avila&quot;,&quot;given&quot;:&quot;Raudel&quot;,&quot;non-dropping-particle&quot;:&quot;&quot;,&quot;parse-names&quot;:false,&quot;suffix&quot;:&quot;&quot;},{&quot;dropping-particle&quot;:&quot;&quot;,&quot;family&quot;:&quot;Xia&quot;,&quot;given&quot;:&quot;Wei&quot;,&quot;non-dropping-particle&quot;:&quot;&quot;,&quot;parse-names&quot;:false,&quot;suffix&quot;:&quot;&quot;},{&quot;dropping-particle&quot;:&quot;&quot;,&quot;family&quot;:&quot;Krishnan&quot;,&quot;given&quot;:&quot;Siddharth&quot;,&quot;non-dropping-particle&quot;:&quot;&quot;,&quot;parse-names&quot;:false,&quot;suffix&quot;:&quot;&quot;},{&quot;dropping-particle&quot;:&quot;&quot;,&quot;family&quot;:&quot;Xu&quot;,&quot;given&quot;:&quot;Shuai&quot;,&quot;non-dropping-particle&quot;:&quot;&quot;,&quot;parse-names&quot;:false,&quot;suffix&quot;:&quot;&quot;},{&quot;dropping-particle&quot;:&quot;&quot;,&quot;family&quot;:&quot;Barnes&quot;,&quot;given&quot;:&quot;Kelly&quot;,&quot;non-dropping-particle&quot;:&quot;&quot;,&quot;parse-names&quot;:false,&quot;suffix&quot;:&quot;&quot;},{&quot;dropping-particle&quot;:&quot;&quot;,&quot;family&quot;:&quot;Pahnke&quot;,&quot;given&quot;:&quot;Matthew&quot;,&quot;non-dropping-particle&quot;:&quot;&quot;,&quot;parse-names&quot;:false,&quot;suffix&quot;:&quot;&quot;},{&quot;dropping-particle&quot;:&quot;&quot;,&quot;family&quot;:&quot;Ghaffari&quot;,&quot;given&quot;:&quot;Roozbeh&quot;,&quot;non-dropping-particle&quot;:&quot;&quot;,&quot;parse-names&quot;:false,&quot;suffix&quot;:&quot;&quot;},{&quot;dropping-particle&quot;:&quot;&quot;,&quot;family&quot;:&quot;Huang&quot;,&quot;given&quot;:&quot;Yonggang&quot;,&quot;non-dropping-particle&quot;:&quot;&quot;,&quot;parse-names&quot;:false,&quot;suffix&quot;:&quot;&quot;},{&quot;dropping-particle&quot;:&quot;&quot;,&quot;family&quot;:&quot;Rogers&quot;,&quot;given&quot;:&quot;John A.&quot;,&quot;non-dropping-particle&quot;:&quot;&quot;,&quot;parse-names&quot;:false,&quot;suffix&quot;:&quot;&quot;}],&quot;container-title&quot;:&quot;Science Advances&quot;,&quot;id&quot;:&quot;505ac833-8de1-566c-b8c7-1b78a3bef9ca&quot;,&quot;issue&quot;:&quot;1&quot;,&quot;issued&quot;:{&quot;date-parts&quot;:[[&quot;2019&quot;,&quot;1&quot;,&quot;4&quot;]]},&quot;title&quot;:&quot;Waterproof, electronics-enabled, epidermal microfluidic devices for sweat collection, biomarker analysis, and thermography in aquatic settings&quot;,&quot;type&quot;:&quot;article-journal&quot;,&quot;volume&quot;:&quot;5&quot;,&quot;container-title-short&quot;:&quot;Sci. Adv.&quot;},&quot;uris&quot;:[&quot;http://www.mendeley.com/documents/?uuid=34fecc02-f62d-43d7-a4a2-948758cc98a7&quot;],&quot;isTemporary&quot;:false,&quot;legacyDesktopId&quot;:&quot;34fecc02-f62d-43d7-a4a2-948758cc98a7&quot;}]},{&quot;citationID&quot;:&quot;MENDELEY_CITATION_2a3239a9-9727-446e-b662-530c94f8b4be&quot;,&quot;properties&quot;:{&quot;noteIndex&quot;:0},&quot;isEdited&quot;:false,&quot;manualOverride&quot;:{&quot;citeprocText&quot;:&quot;[11]&quot;,&quot;isManuallyOverridden&quot;:false,&quot;manualOverrideText&quot;:&quot;&quot;},&quot;citationTag&quot;:&quot;MENDELEY_CITATION_v3_eyJjaXRhdGlvbklEIjoiTUVOREVMRVlfQ0lUQVRJT05fMmEzMjM5YTktOTcyNy00NDZlLWI2NjItNTMwYzk0ZjhiNGJl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584a9f1a-9cad-4e43-b633-a4d430406f57&quot;,&quot;properties&quot;:{&quot;noteIndex&quot;:0},&quot;isEdited&quot;:false,&quot;manualOverride&quot;:{&quot;citeprocText&quot;:&quot;[11]&quot;,&quot;isManuallyOverridden&quot;:false,&quot;manualOverrideText&quot;:&quot;&quot;},&quot;citationTag&quot;:&quot;MENDELEY_CITATION_v3_eyJjaXRhdGlvbklEIjoiTUVOREVMRVlfQ0lUQVRJT05fNTg0YTlmMWEtOWNhZC00ZTQzLWI2MzMtYTRkNDMwNDA2ZjU3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27e37b17-fa46-40ae-a14c-b8dd4f84b5c7&quot;,&quot;properties&quot;:{&quot;noteIndex&quot;:0},&quot;isEdited&quot;:false,&quot;manualOverride&quot;:{&quot;citeprocText&quot;:&quot;[256]&quot;,&quot;isManuallyOverridden&quot;:false,&quot;manualOverrideText&quot;:&quot;&quot;},&quot;citationTag&quot;:&quot;MENDELEY_CITATION_v3_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&quot;,&quot;citationItems&quot;:[{&quot;id&quot;:&quot;f6936fdc-102e-5def-aa1f-a2dade3c988a&quot;,&quot;itemData&quot;:{&quot;DOI&quot;:&quot;10.1088/1361-6579/ac5007&quot;,&quot;ISSN&quot;:&quot;0967-3334&quot;,&quot;abstract&quot;:&quot;Electrodermal activity (EDA) has been measured in the laboratory since the late 1800s. Although the influence of sudomotor nerve activity and the sympathetic nervous system on EDA is well established, the mechanisms underlying EDA signal generation are not completely understood. Owing to simplicity of instrumentation and modern electronics, these measurements have recently seen a transfer from the laboratory to wearable devices, sparking numerous novel applications while bringing along both challenges and new opportunities. In addition to developments in electronics and miniaturization, current trends in material technology and manufacturing have sparked innovations in electrode technologies, and trends in data science such as machine learning and sensor fusion are expanding the ways that measurement data can be processed and utilized. Although challenges remain for the quality of wearable EDA measurement, ongoing research and developments may shorten the quality gap between wearable EDA and standardized recordings in the laboratory. In this topical review, we provide an overview of the basics of EDA measurement, discuss the challenges and opportunities of wearable EDA, and review recent developments in instrumentation, material technology, signal processing, modeling and data science tools that may advance the field of EDA research and applications over the coming years.&quot;,&quot;author&quot;:[{&quot;dropping-particle&quot;:&quot;&quot;,&quot;family&quot;:&quot;Tronstad&quot;,&quot;given&quot;:&quot;Christian&quot;,&quot;non-dropping-particle&quot;:&quot;&quot;,&quot;parse-names&quot;:false,&quot;suffix&quot;:&quot;&quot;},{&quot;dropping-particle&quot;:&quot;&quot;,&quot;family&quot;:&quot;Amini&quot;,&quot;given&quot;:&quot;Maryam&quot;,&quot;non-dropping-particle&quot;:&quot;&quot;,&quot;parse-names&quot;:false,&quot;suffix&quot;:&quot;&quot;},{&quot;dropping-particle&quot;:&quot;&quot;,&quot;family&quot;:&quot;Bach&quot;,&quot;given&quot;:&quot;Dominik R&quot;,&quot;non-dropping-particle&quot;:&quot;&quot;,&quot;parse-names&quot;:false,&quot;suffix&quot;:&quot;&quot;},{&quot;dropping-particle&quot;:&quot;&quot;,&quot;family&quot;:&quot;Martinsen&quot;,&quot;given&quot;:&quot;Ørjan G&quot;,&quot;non-dropping-particle&quot;:&quot;&quot;,&quot;parse-names&quot;:false,&quot;suffix&quot;:&quot;&quot;}],&quot;container-title&quot;:&quot;Physiological Measurement&quot;,&quot;id&quot;:&quot;f6936fdc-102e-5def-aa1f-a2dade3c988a&quot;,&quot;issue&quot;:&quot;2&quot;,&quot;issued&quot;:{&quot;date-parts&quot;:[[&quot;2022&quot;,&quot;2&quot;,&quot;28&quot;]]},&quot;page&quot;:&quot;02TR01&quot;,&quot;publisher&quot;:&quot;IOP Publishing&quot;,&quot;title&quot;:&quot;Current trends and opportunities in the methodology of electrodermal activity measurement&quot;,&quot;type&quot;:&quot;article-journal&quot;,&quot;volume&quot;:&quot;43&quot;,&quot;container-title-short&quot;:&quot;Physiol. Meas.&quot;},&quot;uris&quot;:[&quot;http://www.mendeley.com/documents/?uuid=a2cdc649-cfde-4993-8f5d-9e029df88789&quot;],&quot;isTemporary&quot;:false,&quot;legacyDesktopId&quot;:&quot;a2cdc649-cfde-4993-8f5d-9e029df88789&quot;}]},{&quot;citationID&quot;:&quot;MENDELEY_CITATION_2eae1d3c-26fc-4b5d-9590-f62b5f76e057&quot;,&quot;properties&quot;:{&quot;noteIndex&quot;:0},&quot;isEdited&quot;:false,&quot;manualOverride&quot;:{&quot;citeprocText&quot;:&quot;[255,257,258]&quot;,&quot;isManuallyOverridden&quot;:false,&quot;manualOverrideText&quot;:&quot;&quot;},&quot;citationTag&quot;:&quot;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&quot;,&quot;citationItems&quot;:[{&quot;id&quot;:&quot;11b75c6e-16af-58f7-81ff-5521d8cfaf75&quot;,&quot;itemData&quot;:{&quot;DOI&quot;:&quot;10.1016/j.heliyon.2023.e18184&quot;,&quot;ISSN&quot;:&quot;24058440&quot;,&quot;abstract&quot;:&quot;Long term consequences of diabetes mellitus (DM) may include multi-organ complications such as retinopathy, cardiovascular disease, neuronal, and kidney damage. One of the most prevalent complication is diabetic peripheral neuropathy (DPN), occurring in half of all diabetics, and is the main cause of disability globally with profound impact on a patient's quality of life. Small fiber neuropathy (SFN) can develop in the pre-diabetes stage preceding large fiber damage in DPN. Asymptomatic SFN is difficult to diagnose in early stages, with sudomotor dysfunction considered one of the earliest manifestations of autonomic neuropathy. Early detection is crucial as it can prevent potential cardiovascular events. Although punch skin biopsy is the gold-standard method for SFN diagnosis, implementation as routine screening is hindered due to its invasive, impractical, and time-consuming nature. Other sudomotor testing modalities, most of which evaluate the postganglionic cholinergic sympathetic nervous system, have been developed with varying sensitivity and specificity for SFN diagnosis. Here, we provide an overview on the general mechanism of DPN, the importance of sudomotor assessment for early detection of autonomic dysfunction in DPN, the benefits and disadvantages of current testing modalities, factors that may affect testing, and the importance of future discoveries on sudomotor testing for successful DPN diagnosis.&quot;,&quot;author&quot;:[{&quot;dropping-particle&quot;:&quot;&quot;,&quot;family&quot;:&quot;Akbar&quot;,&quot;given&quot;:&quot;Muhammad&quot;,&quot;non-dropping-particle&quot;:&quot;&quot;,&quot;parse-names&quot;:false,&quot;suffix&quot;:&quot;&quot;},{&quot;dropping-particle&quot;:&quot;&quot;,&quot;family&quot;:&quot;Wandy&quot;,&quot;given&quot;:&quot;Alvian&quot;,&quot;non-dropping-particle&quot;:&quot;&quot;,&quot;parse-names&quot;:false,&quot;suffix&quot;:&quot;&quot;},{&quot;dropping-particle&quot;:&quot;&quot;,&quot;family&quot;:&quot;Soraya&quot;,&quot;given&quot;:&quot;Gita Vita&quot;,&quot;non-dropping-particle&quot;:&quot;&quot;,&quot;parse-names&quot;:false,&quot;suffix&quot;:&quot;&quot;},{&quot;dropping-particle&quot;:&quot;&quot;,&quot;family&quot;:&quot;Goysal&quot;,&quot;given&quot;:&quot;Yudy&quot;,&quot;non-dropping-particle&quot;:&quot;&quot;,&quot;parse-names&quot;:false,&quot;suffix&quot;:&quot;&quot;},{&quot;dropping-particle&quot;:&quot;&quot;,&quot;family&quot;:&quot;Lotisna&quot;,&quot;given&quot;:&quot;Mimi&quot;,&quot;non-dropping-particle&quot;:&quot;&quot;,&quot;parse-names&quot;:false,&quot;suffix&quot;:&quot;&quot;},{&quot;dropping-particle&quot;:&quot;&quot;,&quot;family&quot;:&quot;Basri&quot;,&quot;given&quot;:&quot;Muhammad Iqbal&quot;,&quot;non-dropping-particle&quot;:&quot;&quot;,&quot;parse-names&quot;:false,&quot;suffix&quot;:&quot;&quot;}],&quot;container-title&quot;:&quot;Heliyon&quot;,&quot;id&quot;:&quot;11b75c6e-16af-58f7-81ff-5521d8cfaf75&quot;,&quot;issue&quot;:&quot;7&quot;,&quot;issued&quot;:{&quot;date-parts&quot;:[[&quot;2023&quot;]]},&quot;page&quot;:&quot;e18184&quot;,&quot;publisher&quot;:&quot;Elsevier Ltd&quot;,&quot;title&quot;:&quot;Sudomotor dysfunction in diabetic peripheral neuropathy (DPN) and its testing modalities: A literature review&quot;,&quot;type&quot;:&quot;article-journal&quot;,&quot;volume&quot;:&quot;9&quot;,&quot;container-title-short&quot;:&quot;Heliyon&quot;},&quot;uris&quot;:[&quot;http://www.mendeley.com/documents/?uuid=9195cabb-da0a-4875-a7ef-e55bf7a84dbe&quot;],&quot;isTemporary&quot;:false,&quot;legacyDesktopId&quot;:&quot;9195cabb-da0a-4875-a7ef-e55bf7a84dbe&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id&quot;:&quot;a43a284f-16a7-5403-aac2-1fee840384a6&quot;,&quot;itemData&quot;:{&quot;DOI&quot;:&quot;10.1007/s00421-020-04323-7&quot;,&quot;ISBN&quot;:&quot;0123456789&quot;,&quot;ISSN&quot;:&quot;1439-6319&quot;,&quot;PMID&quot;:&quot;32124007&quot;,&quot;abstract&quot;:&quot;Purpose: The purpose of this paper is to review the physiological mechanisms determining eccrine sweat composition to assess the utility of sweat as a proxy for blood or as a potential biomarker of human health or nutritional/physiological status. Methods: This narrative review includes the major sweat electrolytes (sodium, chloride, and potassium), other micronutrients (e.g., calcium, magnesium, iron, copper, zinc, vitamins), metabolites (e.g., glucose, lactate, ammonia, urea, bicarbonate, amino acids, ethanol), and other compounds (e.g., cytokines and cortisol). Results: Ion membrane transport mechanisms for sodium and chloride are well established, but the mechanisms of secretion and/or reabsorption for most other sweat solutes are still equivocal. Correlations between sweat and blood have not been established for most constituents, with perhaps the exception of ethanol. With respect to sweat diagnostics, it is well accepted that elevated sweat sodium and chloride is a useful screening tool for cystic fibrosis. However, sweat electrolyte concentrations are not predictive of hydration status or sweating rate. Sweat metabolite concentrations are not a reliable biomarker for exercise intensity or other physiological stressors. To date, glucose, cytokine, and cortisol research is too limited to suggest that sweat is a useful surrogate for blood. Conclusion: Final sweat composition is not only influenced by extracellular solute concentrations, but also mechanisms of secretion and/or reabsorption, sweat flow rate, byproducts of sweat gland metabolism, skin surface contamination, and sebum secretions, among other factors related to methodology. Future research that accounts for these confounding factors is needed to address the existing gaps in the literature.&quot;,&quot;author&quot;:[{&quot;dropping-particle&quot;:&quot;&quot;,&quot;family&quot;:&quot;Baker&quot;,&quot;given&quot;:&quot;Lindsay B.&quot;,&quot;non-dropping-particle&quot;:&quot;&quot;,&quot;parse-names&quot;:false,&quot;suffix&quot;:&quot;&quot;},{&quot;dropping-particle&quot;:&quot;&quot;,&quot;family&quot;:&quot;Wolfe&quot;,&quot;given&quot;:&quot;Anthony S.&quot;,&quot;non-dropping-particle&quot;:&quot;&quot;,&quot;parse-names&quot;:false,&quot;suffix&quot;:&quot;&quot;}],&quot;container-title&quot;:&quot;European Journal of Applied Physiology&quot;,&quot;id&quot;:&quot;a43a284f-16a7-5403-aac2-1fee840384a6&quot;,&quot;issue&quot;:&quot;4&quot;,&quot;issued&quot;:{&quot;date-parts&quot;:[[&quot;2020&quot;,&quot;4&quot;,&quot;2&quot;]]},&quot;page&quot;:&quot;719-752&quot;,&quot;publisher&quot;:&quot;Springer Berlin Heidelberg&quot;,&quot;title&quot;:&quot;Physiological mechanisms determining eccrine sweat composition&quot;,&quot;type&quot;:&quot;article-journal&quot;,&quot;volume&quot;:&quot;120&quot;,&quot;container-title-short&quot;:&quot;Eur. J. Appl. Physiol.&quot;},&quot;uris&quot;:[&quot;http://www.mendeley.com/documents/?uuid=7538bce5-1cac-4993-a7db-1c31c8184b98&quot;],&quot;isTemporary&quot;:false,&quot;legacyDesktopId&quot;:&quot;7538bce5-1cac-4993-a7db-1c31c8184b98&quot;}]},{&quot;citationID&quot;:&quot;MENDELEY_CITATION_f691bed3-f9f9-4149-94f6-412672a48f42&quot;,&quot;properties&quot;:{&quot;noteIndex&quot;:0},&quot;isEdited&quot;:false,&quot;manualOverride&quot;:{&quot;citeprocText&quot;:&quot;[49,181,193,198,259]&quot;,&quot;isManuallyOverridden&quot;:false,&quot;manualOverrideText&quot;:&quot;&quot;},&quot;citationTag&quot;:&quot;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&quot;,&quot;citationItems&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2f41cec1-e4b2-5707-ad6d-58ec8a456012&quot;,&quot;itemData&quot;:{&quot;DOI&quot;:&quot;10.1113/JP273176&quot;,&quot;ISSN&quot;:&quot;14697793&quot;,&quot;PMID&quot;:&quot;27900769&quot;,&quot;abstract&quot;:&quot;Key points: Despite an attenuated fluctuation in ovarian hormone concentrations in well-trained women, one in two of such women believe their menstrual cycle negatively impacts training and performance. Forthcoming large international events will expose female athletes to hot environments, and studies evaluating aerobic exercise performance in such environments across the menstrual cycle are sparse, with mixed findings. We have identified that autonomic heat loss responses at rest and during fixed-intensity exercise in well-trained women are not affected by menstrual cycle phase, but differ between dry and humid heat. Furthermore, exercise performance is not different across the menstrual cycle, yet is lower in humid heat, in conjunction with reduced evaporative cooling. Menstrual cycle phase does not appear to affect exercise performance in the heat in well-trained women, but humidity impairs performance, probably due to reduced evaporative power. Abstract: We studied thermoregulatory responses of ten well-trained [VO2max, 57 (7) ml min−1 kg−1] eumenorrheic women exercising in dry and humid heat, across their menstrual cycle. They completed four trials, each of resting and cycling at fixed intensities (125 and 150 W), to assess autonomic regulation, then self-paced intensity (30 min work trial), to assess behavioural regulation. Trials were in early-follicular (EF) and mid-luteal (ML) phases in dry (DRY) and humid (HUM) heat matched for wet bulb globe temperature (WBGT, 27°C). During rest and fixed-intensity exercise, rectal temperature was ∼0.2°C higher in ML than EF (P &lt; 0.01) independent of environment (P = 0.66). Mean skin temperature did not differ between menstrual phases (P ≥ 0.13) but was higher in DRY than HUM (P &lt; 0.01). Local sweat rate and/or forearm blood flow differed as a function of menstrual phase and environment (interaction: P ≤ 0.01). Exercise performance did not differ between phases [EF: 257 (37), ML: 255 (43) kJ, P = 0.62], but was 7 (9)% higher in DRY than HUM [263 (39), 248 (40) kJ; P &lt; 0.01] in conjunction with equivalent autonomic regulation and thermal strain but higher evaporative cooling [16 (6) W m2; P &lt; 0.01]. In well-trained women exercising in the heat: (1) menstrual phase did not affect performance, (2) humidity impaired performance due to reduced evaporative cooling despite matched WBGT and (3) behavioural responses nullified thermodynamic and autonomic differences associated with menstrual phase and dry vs. humid heat.&quot;,&quot;author&quot;:[{&quot;dropping-particle&quot;:&quot;&quot;,&quot;family&quot;:&quot;Lei&quot;,&quot;given&quot;:&quot;Tze Huan&quot;,&quot;non-dropping-particle&quot;:&quot;&quot;,&quot;parse-names&quot;:false,&quot;suffix&quot;:&quot;&quot;},{&quot;dropping-particle&quot;:&quot;&quot;,&quot;family&quot;:&quot;Stannard&quot;,&quot;given&quot;:&quot;Stephen R.&quot;,&quot;non-dropping-particle&quot;:&quot;&quot;,&quot;parse-names&quot;:false,&quot;suffix&quot;:&quot;&quot;},{&quot;dropping-particle&quot;:&quot;&quot;,&quot;family&quot;:&quot;Perry&quot;,&quot;given&quot;:&quot;Blake G.&quot;,&quot;non-dropping-particle&quot;:&quot;&quot;,&quot;parse-names&quot;:false,&quot;suffix&quot;:&quot;&quot;},{&quot;dropping-particle&quot;:&quot;&quot;,&quot;family&quot;:&quot;Schlader&quot;,&quot;given&quot;:&quot;Zachary J.&quot;,&quot;non-dropping-particle&quot;:&quot;&quot;,&quot;parse-names&quot;:false,&quot;suffix&quot;:&quot;&quot;},{&quot;dropping-particle&quot;:&quot;&quot;,&quot;family&quot;:&quot;Cotter&quot;,&quot;given&quot;:&quot;James D.&quot;,&quot;non-dropping-particle&quot;:&quot;&quot;,&quot;parse-names&quot;:false,&quot;suffix&quot;:&quot;&quot;},{&quot;dropping-particle&quot;:&quot;&quot;,&quot;family&quot;:&quot;Mündel&quot;,&quot;given&quot;:&quot;Toby&quot;,&quot;non-dropping-particle&quot;:&quot;&quot;,&quot;parse-names&quot;:false,&quot;suffix&quot;:&quot;&quot;}],&quot;container-title&quot;:&quot;Journal of Physiology&quot;,&quot;id&quot;:&quot;2f41cec1-e4b2-5707-ad6d-58ec8a456012&quot;,&quot;issue&quot;:&quot;9&quot;,&quot;issued&quot;:{&quot;date-parts&quot;:[[&quot;2017&quot;]]},&quot;page&quot;:&quot;2823-2837&quot;,&quot;title&quot;:&quot;Influence of menstrual phase and arid vs. humid heat stress on autonomic and behavioural thermoregulation during exercise in trained but unacclimated women&quot;,&quot;type&quot;:&quot;article-journal&quot;,&quot;volume&quot;:&quot;595&quot;,&quot;container-title-short&quot;:&quot;&quot;},&quot;uris&quot;:[&quot;http://www.mendeley.com/documents/?uuid=cd4fb14a-0d9e-4af6-9dd0-be6ff23d1d49&quot;],&quot;isTemporary&quot;:false,&quot;legacyDesktopId&quot;:&quot;cd4fb14a-0d9e-4af6-9dd0-be6ff23d1d49&quot;},{&quot;id&quot;:&quot;df31e520-2bd4-5f0a-adde-0306b34fec31&quot;,&quot;itemData&quot;:{&quot;DOI&quot;:&quot;10.1046/j.1365-201X.1998.00407.x&quot;,&quot;ISSN&quot;:&quot;00016772&quot;,&quot;PMID&quot;:&quot;9777027&quot;,&quot;abstract&quot;:&quot;To investigate regional body differences in the effect of exercise intensity on the thermoregulatory sweating response, nine healthy male subjects (23.2 ± 0.4 year) cycled at 35, 50 and 65% of their maximal O2 uptake (V̇O(2max)0) for 30 min at an ambient temperature of 28.3 ± 0.2°C and a relative humidity of 42.6 ± 2.4%. Local sweating rate (ṁ(sw)) on the forehead, chest, back, forearm and thigh increased significantly with increases in the exercise intensity from 35 to 50% V̇O(2max) and from 50 to 65% V̇O(2max) (P &lt; 0.05). The mean values for the density of activated sweat glands (ASG) at 50 and 65% V̇O(2max) at the five sites were significantly greater than at 35% V̇O(2max). The mean value of the sweat output per gland (SGO) also increased significantly with the increase in exercise intensity (P &lt; 0.05). The patterns of changes in ASG and SGO with an increase in exercise intensity differed from one region of the body to another. Although esophageal temperature (T(es)) threshold for the onset of sweating at each site was not altered by exercise intensity, the sensitivity of the sweating response on the forehead increased significantly from 35 to 50 and 65% V̇O(2max) (P &lt; 0.05). The threshold for cutaneous vasodilation tend to increase with exercise intensity, although the exercise intensity did not affect the sensitivity (the slope in the relationship T(es) vs. percentage of the maximal skin blood flow) at each site. T(es) threshold for cutaneous vasodilation on the forearm was significantly higher at 65% V̇O(2max) than at either 35 or 50% V̇O(2max) but this was not observed at the other sites, such as on the forehead and chest. These results suggest that the increase in ṁ(sw) seen with an increasing intensity of exercise depends first on ASG, and then on SGO, and the dependence of ASG and SGO on the increase in ṁ(sw) differs for different body sites. In addition, there are regional differences in the T(es) threshold for vasodilation in response to an increase in exercise intensity.&quot;,&quot;author&quot;:[{&quot;dropping-particle&quot;:&quot;&quot;,&quot;family&quot;:&quot;Kondo&quot;,&quot;given&quot;:&quot;N.&quot;,&quot;non-dropping-particle&quot;:&quot;&quot;,&quot;parse-names&quot;:false,&quot;suffix&quot;:&quot;&quot;},{&quot;dropping-particle&quot;:&quot;&quot;,&quot;family&quot;:&quot;Takano&quot;,&quot;given&quot;:&quot;S.&quot;,&quot;non-dropping-particle&quot;:&quot;&quot;,&quot;parse-names&quot;:false,&quot;suffix&quot;:&quot;&quot;},{&quot;dropping-particle&quot;:&quot;&quot;,&quot;family&quot;:&quot;Aoki&quot;,&quot;given&quot;:&quot;K.&quot;,&quot;non-dropping-particle&quot;:&quot;&quot;,&quot;parse-names&quot;:false,&quot;suffix&quot;:&quot;&quot;},{&quot;dropping-particle&quot;:&quot;&quot;,&quot;family&quot;:&quot;Shibasaki&quot;,&quot;given&quot;:&quot;M.&quot;,&quot;non-dropping-particle&quot;:&quot;&quot;,&quot;parse-names&quot;:false,&quot;suffix&quot;:&quot;&quot;},{&quot;dropping-particle&quot;:&quot;&quot;,&quot;family&quot;:&quot;Tominaga&quot;,&quot;given&quot;:&quot;H.&quot;,&quot;non-dropping-particle&quot;:&quot;&quot;,&quot;parse-names&quot;:false,&quot;suffix&quot;:&quot;&quot;},{&quot;dropping-particle&quot;:&quot;&quot;,&quot;family&quot;:&quot;Inoue&quot;,&quot;given&quot;:&quot;Y.&quot;,&quot;non-dropping-particle&quot;:&quot;&quot;,&quot;parse-names&quot;:false,&quot;suffix&quot;:&quot;&quot;}],&quot;container-title&quot;:&quot;Acta Physiologica Scandinavica&quot;,&quot;id&quot;:&quot;df31e520-2bd4-5f0a-adde-0306b34fec31&quot;,&quot;issue&quot;:&quot;1&quot;,&quot;issued&quot;:{&quot;date-parts&quot;:[[&quot;1998&quot;]]},&quot;page&quot;:&quot;71-78&quot;,&quot;title&quot;:&quot;Regional differences in the effect of exercise intensity on thermoregulatory sweating and cutaneous vasodilation&quot;,&quot;type&quot;:&quot;article-journal&quot;,&quot;volume&quot;:&quot;164&quot;,&quot;container-title-short&quot;:&quot;Acta Physiol. Scand.&quot;},&quot;uris&quot;:[&quot;http://www.mendeley.com/documents/?uuid=f1db47e6-2078-4b98-9d2a-bde91825aa08&quot;],&quot;isTemporary&quot;:false,&quot;legacyDesktopId&quot;:&quot;f1db47e6-2078-4b98-9d2a-bde91825aa08&quot;},{&quot;id&quot;:&quot;ddd8339e-3a1a-5719-b01b-d17c8394409c&quot;,&quot;itemData&quot;:{&quot;DOI&quot;:&quot;10.1152/japplphysiol.01088.2012&quot;,&quot;ISSN&quot;:&quot;8750-7587&quot;,&quot;PMID&quot;:&quot;23305986&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author&quot;:[{&quot;dropping-particle&quot;:&quot;&quot;,&quot;family&quot;:&quot;Morris&quot;,&quot;given&quot;:&quot;Nathan B.&quot;,&quot;non-dropping-particle&quot;:&quot;&quot;,&quot;parse-names&quot;:false,&quot;suffix&quot;:&quot;&quot;},{&quot;dropping-particle&quot;:&quot;&quot;,&quot;family&quot;:&quot;Cramer&quot;,&quot;given&quot;:&quot;Matthew N.&quot;,&quot;non-dropping-particle&quot;:&quot;&quot;,&quot;parse-names&quot;:false,&quot;suffix&quot;:&quot;&quot;},{&quot;dropping-particle&quot;:&quot;&quot;,&quot;family&quot;:&quot;Hodder&quot;,&quot;given&quot;:&quot;Simon G.&quot;,&quot;non-dropping-particle&quot;:&quot;&quot;,&quot;parse-names&quot;:false,&quot;suffix&quot;:&quot;&quot;},{&quot;dropping-particle&quot;:&quot;&quot;,&quot;family&quot;:&quot;Havenith&quot;,&quot;given&quot;:&quot;George&quot;,&quot;non-dropping-particle&quot;:&quot;&quot;,&quot;parse-names&quot;:false,&quot;suffix&quot;:&quot;&quot;},{&quot;dropping-particle&quot;:&quot;&quot;,&quot;family&quot;:&quot;Jay&quot;,&quot;given&quot;:&quot;Ollie&quot;,&quot;non-dropping-particle&quot;:&quot;&quot;,&quot;parse-names&quot;:false,&quot;suffix&quot;:&quot;&quot;}],&quot;container-title&quot;:&quot;Journal of Applied Physiology&quot;,&quot;id&quot;:&quot;ddd8339e-3a1a-5719-b01b-d17c8394409c&quot;,&quot;issue&quot;:&quot;6&quot;,&quot;issued&quot;:{&quot;date-parts&quot;:[[&quot;2013&quot;,&quot;3&quot;,&quot;15&quot;]]},&quot;page&quot;:&quot;816-823&quot;,&quot;title&quot;:&quot;A comparison between the technical absorbent and ventilated capsule methods for measuring local sweat rate&quot;,&quot;type&quot;:&quot;article-journal&quot;,&quot;volume&quot;:&quot;114&quot;,&quot;container-title-short&quot;:&quot;J. Appl. Physiol.&quot;},&quot;uris&quot;:[&quot;http://www.mendeley.com/documents/?uuid=de97f66d-52f2-42df-be03-f44b6f7585e7&quot;],&quot;isTemporary&quot;:false,&quot;legacyDesktopId&quot;:&quot;de97f66d-52f2-42df-be03-f44b6f7585e7&quot;}]},{&quot;citationID&quot;:&quot;MENDELEY_CITATION_1e24913c-628a-48b6-afb7-7c31b6c5d703&quot;,&quot;properties&quot;:{&quot;noteIndex&quot;:0},&quot;isEdited&quot;:false,&quot;manualOverride&quot;:{&quot;citeprocText&quot;:&quot;[193,255,257]&quot;,&quot;isManuallyOverridden&quot;:false,&quot;manualOverrideText&quot;:&quot;&quot;},&quot;citationTag&quot;:&quot;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&quot;,&quot;citationItems&quot;:[{&quot;id&quot;:&quot;11b75c6e-16af-58f7-81ff-5521d8cfaf75&quot;,&quot;itemData&quot;:{&quot;DOI&quot;:&quot;10.1016/j.heliyon.2023.e18184&quot;,&quot;ISSN&quot;:&quot;24058440&quot;,&quot;abstract&quot;:&quot;Long term consequences of diabetes mellitus (DM) may include multi-organ complications such as retinopathy, cardiovascular disease, neuronal, and kidney damage. One of the most prevalent complication is diabetic peripheral neuropathy (DPN), occurring in half of all diabetics, and is the main cause of disability globally with profound impact on a patient's quality of life. Small fiber neuropathy (SFN) can develop in the pre-diabetes stage preceding large fiber damage in DPN. Asymptomatic SFN is difficult to diagnose in early stages, with sudomotor dysfunction considered one of the earliest manifestations of autonomic neuropathy. Early detection is crucial as it can prevent potential cardiovascular events. Although punch skin biopsy is the gold-standard method for SFN diagnosis, implementation as routine screening is hindered due to its invasive, impractical, and time-consuming nature. Other sudomotor testing modalities, most of which evaluate the postganglionic cholinergic sympathetic nervous system, have been developed with varying sensitivity and specificity for SFN diagnosis. Here, we provide an overview on the general mechanism of DPN, the importance of sudomotor assessment for early detection of autonomic dysfunction in DPN, the benefits and disadvantages of current testing modalities, factors that may affect testing, and the importance of future discoveries on sudomotor testing for successful DPN diagnosis.&quot;,&quot;author&quot;:[{&quot;dropping-particle&quot;:&quot;&quot;,&quot;family&quot;:&quot;Akbar&quot;,&quot;given&quot;:&quot;Muhammad&quot;,&quot;non-dropping-particle&quot;:&quot;&quot;,&quot;parse-names&quot;:false,&quot;suffix&quot;:&quot;&quot;},{&quot;dropping-particle&quot;:&quot;&quot;,&quot;family&quot;:&quot;Wandy&quot;,&quot;given&quot;:&quot;Alvian&quot;,&quot;non-dropping-particle&quot;:&quot;&quot;,&quot;parse-names&quot;:false,&quot;suffix&quot;:&quot;&quot;},{&quot;dropping-particle&quot;:&quot;&quot;,&quot;family&quot;:&quot;Soraya&quot;,&quot;given&quot;:&quot;Gita Vita&quot;,&quot;non-dropping-particle&quot;:&quot;&quot;,&quot;parse-names&quot;:false,&quot;suffix&quot;:&quot;&quot;},{&quot;dropping-particle&quot;:&quot;&quot;,&quot;family&quot;:&quot;Goysal&quot;,&quot;given&quot;:&quot;Yudy&quot;,&quot;non-dropping-particle&quot;:&quot;&quot;,&quot;parse-names&quot;:false,&quot;suffix&quot;:&quot;&quot;},{&quot;dropping-particle&quot;:&quot;&quot;,&quot;family&quot;:&quot;Lotisna&quot;,&quot;given&quot;:&quot;Mimi&quot;,&quot;non-dropping-particle&quot;:&quot;&quot;,&quot;parse-names&quot;:false,&quot;suffix&quot;:&quot;&quot;},{&quot;dropping-particle&quot;:&quot;&quot;,&quot;family&quot;:&quot;Basri&quot;,&quot;given&quot;:&quot;Muhammad Iqbal&quot;,&quot;non-dropping-particle&quot;:&quot;&quot;,&quot;parse-names&quot;:false,&quot;suffix&quot;:&quot;&quot;}],&quot;container-title&quot;:&quot;Heliyon&quot;,&quot;id&quot;:&quot;11b75c6e-16af-58f7-81ff-5521d8cfaf75&quot;,&quot;issue&quot;:&quot;7&quot;,&quot;issued&quot;:{&quot;date-parts&quot;:[[&quot;2023&quot;]]},&quot;page&quot;:&quot;e18184&quot;,&quot;publisher&quot;:&quot;Elsevier Ltd&quot;,&quot;title&quot;:&quot;Sudomotor dysfunction in diabetic peripheral neuropathy (DPN) and its testing modalities: A literature review&quot;,&quot;type&quot;:&quot;article-journal&quot;,&quot;volume&quot;:&quot;9&quot;,&quot;container-title-short&quot;:&quot;Heliyon&quot;},&quot;uris&quot;:[&quot;http://www.mendeley.com/documents/?uuid=9195cabb-da0a-4875-a7ef-e55bf7a84dbe&quot;],&quot;isTemporary&quot;:false,&quot;legacyDesktopId&quot;:&quot;9195cabb-da0a-4875-a7ef-e55bf7a84dbe&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citationID&quot;:&quot;MENDELEY_CITATION_690670ef-e5d2-4d48-8c63-70770bd7ad37&quot;,&quot;properties&quot;:{&quot;noteIndex&quot;:0},&quot;isEdited&quot;:false,&quot;manualOverride&quot;:{&quot;citeprocText&quot;:&quot;[255,260]&quot;,&quot;isManuallyOverridden&quot;:false,&quot;manualOverrideText&quot;:&quot;&quot;},&quot;citationTag&quot;:&quot;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&quot;,&quot;citationItems&quot;:[{&quot;id&quot;:&quot;9fe2d2ab-b137-5202-a5b3-8fdd7fd41e00&quot;,&quot;itemData&quot;:{&quot;DOI&quot;:&quot;10.1007/s00421-010-1744-8&quot;,&quot;ISSN&quot;:&quot;1439-6319&quot;,&quot;PMID&quot;:&quot;21153660&quot;,&quot;abstract&quot;:&quot;Regional variation in sweating over the body is widely recognised. However, most studies only measured a limited number of regions, with the use of differing thermal states across studies making a good meta-analysis to obtain a whole body map problematic. A study was therefore conducted to investigate regional sweat rates (RSR) and distributions over the whole body in male athletes. A modified absorbent technique was used to collect sweat at two exercise intensities [55% (I1) and 75% (I2) VO₂(max)] in moderately warm conditions (25°C, 50% rh, 2 m s(-1) air velocity). At I1 and I2, highest sweat rates were observed on the central (upper and mid) and lower back, with values as high as 1,197, 1,148, and 856 g m(-2) h(-1), respectively, at I2. Lowest values were observed on the fingers, thumbs, and palms, with values of 144, 254, and 119 g m(-2) h(-1), respectively at I2. Sweat mapping of the head demonstrated high sweat rates on the forehead (1,710 g m(-2) h(-1) at I2) compared with low values on the chin (302 g m(-2) h(-1) at I2) and cheeks (279 g m(-2) h(-1) at I2). Sweat rate increased significantly in all regions from the low to high exercise intensity, with exception of the feet and ankles. No significant correlation was present between RSR and regional skin temperature (T (sk)), nor did RSR correspond to known patterns of regional sweat gland density. The present study has provided detailed regional sweat data over the whole body and has demonstrated large intra- and inter-segmental variation and the presence of consistent patterns of regional high versus low sweat rate areas in Caucasians male athletes. This data may have important applications for clothing design, thermophysiological modelling and thermal manikin desig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European Journal of Applied Physiology&quot;,&quot;id&quot;:&quot;9fe2d2ab-b137-5202-a5b3-8fdd7fd41e00&quot;,&quot;issue&quot;:&quot;7&quot;,&quot;issued&quot;:{&quot;date-parts&quot;:[[&quot;2011&quot;,&quot;7&quot;,&quot;12&quot;]]},&quot;page&quot;:&quot;1391-1404&quot;,&quot;title&quot;:&quot;Body mapping of sweating patterns in male athletes in mild exercise-induced hyperthermia&quot;,&quot;type&quot;:&quot;article-journal&quot;,&quot;volume&quot;:&quot;111&quot;,&quot;container-title-short&quot;:&quot;Eur. J. Appl. Physiol.&quot;},&quot;uris&quot;:[&quot;http://www.mendeley.com/documents/?uuid=41ae3757-4b49-43ab-8c80-bb1f9fdc6841&quot;],&quot;isTemporary&quot;:false,&quot;legacyDesktopId&quot;:&quot;41ae3757-4b49-43ab-8c80-bb1f9fdc6841&quot;},{&quot;id&quot;:&quot;61ebb69b-fb65-5e7c-bc04-fa5bf96d1804&quot;,&quot;itemData&quot;:{&quot;DOI&quot;:&quot;10.1016/j.jtherbio.2020.102697&quot;,&quot;ISSN&quot;:&quot;18790992&quot;,&quot;PMID&quot;:&quot;33077118&quot;,&quot;abstract&quot;:&quot;The purpose of this study was to determine local sweat rate (LSR) and sweat composition during heat acclimation (HA). For ten consecutive days of HA, eight participants cycled in 33 °C and 65% relative humidity at an intensity such that a rectal temperature of 38.5 °C was reached within ~40 min, followed by a 60-min clamp of this rectal temperature (i.e., controlled hyperthermia). Four participants extended HA by a 28-day decay period and five consecutive days of heat re-acclimation (HRA) using controlled hyperthermia. Sweat from the upper arm and upper back was collected three times during each heat exposure session. LSR and sweat sodium, chloride, lactate, and potassium concentrations were determined. Relative to HA day 1, LSR was increased at the final day of HA (day 10) (arm: +58%, P &lt; 0.001; back: +36%, P &lt; 0.05). Concentrations of sodium, chloride, and lactate significantly (P &lt; 0.05) decreased to ~60% at HA day 10 compared to day 1 on the arm and back. Potassium concentration did not significantly differ on HA day 10 compared to day 1 (arm: +11%, P &gt; 0.05; back: +8%, P &gt; 0.05). The induction patterns of the sudomotor adaptations were different. Whilst LSR increased from HA day 8 on the arm and from HA day 7 on the back, sodium and chloride conservation already occurred from HA day 3 on both skin sites. Lastly, the sweat lactate reduction occurred from HA day 6 on the arm and back. Initial evidence is provided that adaptations were partly conserved after decay (28 days) and that a 5-day HRA may be sufficient to restore HA adaptations. In conclusion, ten days of exercise-induced HA using controlled hyperthermia led to increases in LSR and concomitant reductions of sweat sodium, chloride, and lactate concentrations, whilst potassium concentrations remained relatively constant.&quot;,&quot;author&quot;:[{&quot;dropping-particle&quot;:&quot;&quot;,&quot;family&quot;:&quot;Klous&quot;,&quot;given&quot;:&quot;Lisa&quot;,&quot;non-dropping-particle&quot;:&quot;&quot;,&quot;parse-names&quot;:false,&quot;suffix&quot;:&quot;&quot;},{&quot;dropping-particle&quot;:&quot;&quot;,&quot;family&quot;:&quot;Ruiter&quot;,&quot;given&quot;:&quot;Cornelis&quot;,&quot;non-dropping-particle&quot;:&quot;De&quot;,&quot;parse-names&quot;:false,&quot;suffix&quot;:&quot;&quot;},{&quot;dropping-particle&quot;:&quot;&quot;,&quot;family&quot;:&quot;Alkemade&quot;,&quot;given&quot;:&quot;Puck&quot;,&quot;non-dropping-particle&quot;:&quot;&quot;,&quot;parse-names&quot;:false,&quot;suffix&quot;:&quot;&quot;},{&quot;dropping-particle&quot;:&quot;&quot;,&quot;family&quot;:&quot;Daanen&quot;,&quot;given&quot;:&quot;Hein&quot;,&quot;non-dropping-particle&quot;:&quot;&quot;,&quot;parse-names&quot;:false,&quot;suffix&quot;:&quot;&quot;},{&quot;dropping-particle&quot;:&quot;&quot;,&quot;family&quot;:&quot;Gerrett&quot;,&quot;given&quot;:&quot;Nicola&quot;,&quot;non-dropping-particle&quot;:&quot;&quot;,&quot;parse-names&quot;:false,&quot;suffix&quot;:&quot;&quot;}],&quot;container-title&quot;:&quot;Journal of Thermal Biology&quot;,&quot;id&quot;:&quot;61ebb69b-fb65-5e7c-bc04-fa5bf96d1804&quot;,&quot;issue&quot;:&quot;May&quot;,&quot;issued&quot;:{&quot;date-parts&quot;:[[&quot;2020&quot;]]},&quot;page&quot;:&quot;102697&quot;,&quot;publisher&quot;:&quot;Elsevier Ltd&quot;,&quot;title&quot;:&quot;Sweat rate and sweat composition during heat acclimation&quot;,&quot;type&quot;:&quot;article-journal&quot;,&quot;volume&quot;:&quot;93&quot;,&quot;container-title-short&quot;:&quot;J. Therm. Biol.&quot;},&quot;uris&quot;:[&quot;http://www.mendeley.com/documents/?uuid=2e7a409e-7764-41ae-8a1f-5830a99b6b61&quot;],&quot;isTemporary&quot;:false,&quot;legacyDesktopId&quot;:&quot;2e7a409e-7764-41ae-8a1f-5830a99b6b61&quot;}]},{&quot;citationID&quot;:&quot;MENDELEY_CITATION_14f83f6b-318d-43b7-9eb0-30d0105d5fbf&quot;,&quot;properties&quot;:{&quot;noteIndex&quot;:0},&quot;isEdited&quot;:false,&quot;manualOverride&quot;:{&quot;citeprocText&quot;:&quot;[260]&quot;,&quot;isManuallyOverridden&quot;:false,&quot;manualOverrideText&quot;:&quot;&quot;},&quot;citationTag&quot;:&quot;MENDELEY_CITATION_v3_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&quot;,&quot;citationItems&quot;:[{&quot;id&quot;:&quot;9fe2d2ab-b137-5202-a5b3-8fdd7fd41e00&quot;,&quot;itemData&quot;:{&quot;DOI&quot;:&quot;10.1007/s00421-010-1744-8&quot;,&quot;ISSN&quot;:&quot;1439-6319&quot;,&quot;PMID&quot;:&quot;21153660&quot;,&quot;abstract&quot;:&quot;Regional variation in sweating over the body is widely recognised. However, most studies only measured a limited number of regions, with the use of differing thermal states across studies making a good meta-analysis to obtain a whole body map problematic. A study was therefore conducted to investigate regional sweat rates (RSR) and distributions over the whole body in male athletes. A modified absorbent technique was used to collect sweat at two exercise intensities [55% (I1) and 75% (I2) VO₂(max)] in moderately warm conditions (25°C, 50% rh, 2 m s(-1) air velocity). At I1 and I2, highest sweat rates were observed on the central (upper and mid) and lower back, with values as high as 1,197, 1,148, and 856 g m(-2) h(-1), respectively, at I2. Lowest values were observed on the fingers, thumbs, and palms, with values of 144, 254, and 119 g m(-2) h(-1), respectively at I2. Sweat mapping of the head demonstrated high sweat rates on the forehead (1,710 g m(-2) h(-1) at I2) compared with low values on the chin (302 g m(-2) h(-1) at I2) and cheeks (279 g m(-2) h(-1) at I2). Sweat rate increased significantly in all regions from the low to high exercise intensity, with exception of the feet and ankles. No significant correlation was present between RSR and regional skin temperature (T (sk)), nor did RSR correspond to known patterns of regional sweat gland density. The present study has provided detailed regional sweat data over the whole body and has demonstrated large intra- and inter-segmental variation and the presence of consistent patterns of regional high versus low sweat rate areas in Caucasians male athletes. This data may have important applications for clothing design, thermophysiological modelling and thermal manikin desig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European Journal of Applied Physiology&quot;,&quot;id&quot;:&quot;9fe2d2ab-b137-5202-a5b3-8fdd7fd41e00&quot;,&quot;issue&quot;:&quot;7&quot;,&quot;issued&quot;:{&quot;date-parts&quot;:[[&quot;2011&quot;,&quot;7&quot;,&quot;12&quot;]]},&quot;page&quot;:&quot;1391-1404&quot;,&quot;title&quot;:&quot;Body mapping of sweating patterns in male athletes in mild exercise-induced hyperthermia&quot;,&quot;type&quot;:&quot;article-journal&quot;,&quot;volume&quot;:&quot;111&quot;,&quot;container-title-short&quot;:&quot;Eur. J. Appl. Physiol.&quot;},&quot;uris&quot;:[&quot;http://www.mendeley.com/documents/?uuid=41ae3757-4b49-43ab-8c80-bb1f9fdc6841&quot;],&quot;isTemporary&quot;:false,&quot;legacyDesktopId&quot;:&quot;41ae3757-4b49-43ab-8c80-bb1f9fdc6841&quot;}]},{&quot;citationID&quot;:&quot;MENDELEY_CITATION_81cbfe06-2266-4b24-934d-794ea07195f5&quot;,&quot;properties&quot;:{&quot;noteIndex&quot;:0},&quot;isEdited&quot;:false,&quot;manualOverride&quot;:{&quot;citeprocText&quot;:&quot;[4,99]&quot;,&quot;isManuallyOverridden&quot;:false,&quot;manualOverrideText&quot;:&quot;&quot;},&quot;citationTag&quot;:&quot;MENDELEY_CITATION_v3_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&quot;,&quot;citationItems&quot;:[{&quot;id&quot;:&quot;6a682e1c-cfc9-50d3-bd25-fb7b3df80f2a&quot;,&quot;itemData&quot;:{&quot;DOI&quot;:&quot;10.1152/jappl.2001.90.5.1943&quot;,&quot;ISSN&quot;:&quot;87507587&quot;,&quot;PMID&quot;:&quot;11299289&quot;,&quot;abstract&quot;:&quot;Individualized model of human thermoregulation for the simulation of heat stress response. J Appl Physiol 90: 1943-1954, 2001. - A population-based dynamic model of human thermoregulation was expanded with control equations incorporating the individual person's characteristics (body surface area, mass, fat%, maximal O2 uptake, acclimation). These affect both the passive (heat capacity, insulation) and active systems (sweating and skin blood flow function). Model parameters were estimated from literature data. Other data, collected for the study of individual differences {working at relative or absolute workloads in hot-dry [45°C, 20% relative humidity (rh)], warm-humid [35°C, 80% rh], and cool [21°C, 50% rh] environments}, were used for validation. The individualized model provides an improved prediction [mean core temperature error, -0.21 → -0.07°C (P &lt; 0.001); mean squared error, 0.40 → 0.16°C, (P &lt; 0.001)]. The magnitude of improvement varies substantially with the climate and work type. Relative to an empirical multiple-regression model derived from these specific data sets, the analytical simulation model has between 54 and 89% of its predictive power, except for the cool climate, in which this ratio is zero. In conclusion, individualization of the model allows improved prediction of heat strain, although a substantial error remains.&quot;,&quot;author&quot;:[{&quot;dropping-particle&quot;:&quot;&quot;,&quot;family&quot;:&quot;Havenith&quot;,&quot;given&quot;:&quot;George&quot;,&quot;non-dropping-particle&quot;:&quot;&quot;,&quot;parse-names&quot;:false,&quot;suffix&quot;:&quot;&quot;}],&quot;container-title&quot;:&quot;Journal of Applied Physiology&quot;,&quot;id&quot;:&quot;6a682e1c-cfc9-50d3-bd25-fb7b3df80f2a&quot;,&quot;issue&quot;:&quot;5&quot;,&quot;issued&quot;:{&quot;date-parts&quot;:[[&quot;2001&quot;]]},&quot;page&quot;:&quot;1943-1954&quot;,&quot;title&quot;:&quot;Individualized model of human thermoregulation for the simulation of heat stress response&quot;,&quot;type&quot;:&quot;article-journal&quot;,&quot;volume&quot;:&quot;90&quot;,&quot;container-title-short&quot;:&quot;J. Appl. Physiol.&quot;},&quot;uris&quot;:[&quot;http://www.mendeley.com/documents/?uuid=dab84d98-2a9b-463f-a681-3da4d40c3958&quot;],&quot;isTemporary&quot;:false,&quot;legacyDesktopId&quot;:&quot;dab84d98-2a9b-463f-a681-3da4d40c3958&quot;},{&quot;id&quot;:&quot;615db002-d800-58e2-8c38-7f41e42fae3c&quot;,&quot;itemData&quot;:{&quot;DOI&quot;:&quot;10.1007/BF00592198&quot;,&quot;ISSN&quot;:&quot;14322013&quot;,&quot;PMID&quot;:&quot;4735965&quot;,&quot;abstract&quot;:&quot;Thermal irradiation was applied to selected skin areas to determine whether particular areas demonstrate a greater thermal sensitivity than others in determination of a physiological thermoregulatory response. Modifications in thigh sweating rate were related to the change in temperature of the irradiated skin and the area of skin irradiated by computing a sensitivity coefficient for each skin area. Thermal sensitivity of the face, as measured by its effect on sweating rate change from the thigh, was found to be approximately three times that of the chest, abdomen men and thigh. Lower legs were found to have about one-half the thermal sensitivity of the thigh. A table of weighting factors for calculation of physiological mean skin temperature, based upon thermal sensitivity and area, is presented. © 1973, Springer-Verlag. All rights reserved.&quot;,&quot;author&quot;:[{&quot;dropping-particle&quot;:&quot;&quot;,&quot;family&quot;:&quot;Nadel&quot;,&quot;given&quot;:&quot;E. R.&quot;,&quot;non-dropping-particle&quot;:&quot;&quot;,&quot;parse-names&quot;:false,&quot;suffix&quot;:&quot;&quot;},{&quot;dropping-particle&quot;:&quot;&quot;,&quot;family&quot;:&quot;Mitchell&quot;,&quot;given&quot;:&quot;J. W.&quot;,&quot;non-dropping-particle&quot;:&quot;&quot;,&quot;parse-names&quot;:false,&quot;suffix&quot;:&quot;&quot;},{&quot;dropping-particle&quot;:&quot;&quot;,&quot;family&quot;:&quot;Stolwijk&quot;,&quot;given&quot;:&quot;J. A.J.&quot;,&quot;non-dropping-particle&quot;:&quot;&quot;,&quot;parse-names&quot;:false,&quot;suffix&quot;:&quot;&quot;}],&quot;container-title&quot;:&quot;Pflügers Archiv: European Journal of Physiology&quot;,&quot;id&quot;:&quot;615db002-d800-58e2-8c38-7f41e42fae3c&quot;,&quot;issue&quot;:&quot;1&quot;,&quot;issued&quot;:{&quot;date-parts&quot;:[[&quot;1973&quot;]]},&quot;page&quot;:&quot;71-76&quot;,&quot;title&quot;:&quot;Differential thermal sensitivity in the human skin&quot;,&quot;type&quot;:&quot;article-journal&quot;,&quot;volume&quot;:&quot;340&quot;,&quot;container-title-short&quot;:&quot;Pflugers Arch.&quot;},&quot;uris&quot;:[&quot;http://www.mendeley.com/documents/?uuid=03bae1c7-ae8a-46a8-a13e-fe87323367bf&quot;],&quot;isTemporary&quot;:false,&quot;legacyDesktopId&quot;:&quot;03bae1c7-ae8a-46a8-a13e-fe87323367bf&quot;}]},{&quot;citationID&quot;:&quot;MENDELEY_CITATION_59b13773-f78c-4282-b2da-fd604c75dc5c&quot;,&quot;properties&quot;:{&quot;noteIndex&quot;:0},&quot;isEdited&quot;:false,&quot;manualOverride&quot;:{&quot;citeprocText&quot;:&quot;[194,261]&quot;,&quot;isManuallyOverridden&quot;:false,&quot;manualOverrideText&quot;:&quot;&quot;},&quot;citationTag&quot;:&quot;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&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id&quot;:&quot;03247e54-bc2d-3a0e-b54b-8254512872e8&quot;,&quot;itemData&quot;:{&quot;type&quot;:&quot;article-journal&quot;,&quot;id&quot;:&quot;03247e54-bc2d-3a0e-b54b-8254512872e8&quot;,&quot;title&quot;:&quot;A comparison between the technical absorbent and ventilated capsule methods for measuring local sweat rate&quot;,&quot;groupId&quot;:&quot;2d3873d7-e261-3da9-86b8-2cfa8990086d&quot;,&quot;author&quot;:[{&quot;family&quot;:&quot;Morris&quot;,&quot;given&quot;:&quot;Nathan B.&quot;,&quot;parse-names&quot;:false,&quot;dropping-particle&quot;:&quot;&quot;,&quot;non-dropping-particle&quot;:&quot;&quot;},{&quot;family&quot;:&quot;Cramer&quot;,&quot;given&quot;:&quot;Matthew N.&quot;,&quot;parse-names&quot;:false,&quot;dropping-particle&quot;:&quot;&quot;,&quot;non-dropping-particle&quot;:&quot;&quot;},{&quot;family&quot;:&quot;Hodder&quot;,&quot;given&quot;:&quot;Simon G.&quot;,&quot;parse-names&quot;:false,&quot;dropping-particle&quot;:&quot;&quot;,&quot;non-dropping-particle&quot;:&quot;&quot;},{&quot;family&quot;:&quot;Havenith&quot;,&quot;given&quot;:&quot;George&quot;,&quot;parse-names&quot;:false,&quot;dropping-particle&quot;:&quot;&quot;,&quot;non-dropping-particle&quot;:&quot;&quot;},{&quot;family&quot;:&quot;Jay&quot;,&quot;given&quot;:&quot;Ollie&quot;,&quot;parse-names&quot;:false,&quot;dropping-particle&quot;:&quot;&quot;,&quot;non-dropping-particle&quot;:&quot;&quot;}],&quot;container-title&quot;:&quot;Journal of Applied Physiology&quot;,&quot;container-title-short&quot;:&quot;J. Appl. Physiol.&quot;,&quot;DOI&quot;:&quot;10.1152/japplphysiol.01088.2012&quot;,&quot;ISSN&quot;:&quot;8750-7587&quot;,&quot;PMID&quot;:&quot;23305986&quot;,&quot;URL&quot;:&quot;https://www.physiology.org/doi/10.1152/japplphysiol.01088.2012&quot;,&quot;issued&quot;:{&quot;date-parts&quot;:[[2013,3,15]]},&quot;page&quot;:&quot;816-823&quot;,&quot;abstract&quot;:&quot;This study assessed the accuracy of the technical absorbent (TA) method for measuring local sweat rate (LSR) relative to the well-established ventilated capsule (VC) method during steady-state and nonsteady-state sweating using large and small sample surface areas on the forearm and midback. Forty participants (38 males and two females) cycled at 60% peak oxygen consumption for 75 min in either a temperate [22.3 ± 0.9°C, 32 ± 17% relative humidity (RH)] or warm (32.5 ± 0.8°C, 29 ± 7% RH) environment. Simultaneous bilateral comparisons of 5-min LSR measurements using the TA and VC methods were performed for the back and forearm after 10, 30, 50, and 70 min. LSR values, measured using the TA method, were highly correlated with the VC method at all time points, irrespective of sample surface area and body region (all P &lt; 0.001). On average, ∼79% of the variability observed in LSR measured with the VC method was described by the TA method. The mean difference in absolute LSR using the TA method (TA-VC with 95% confidence intervals) was −0.23 [−0.30,−0.16], −0.11 [−0.21,0.00], −0.03 [−0.14,+0.08], and +0.02 [−0.07,+0.11] mg·cm −2 ·min −1 after 10, 30, 50, and 70 min of exercise, respectively. Duplicate LSR measurements within each method during steady-state sweating were highly correlated (TA: r = 0.96, P &lt; 0.001, n = 20; VC: r = 0.97, P &lt; 0.001, n = 20) with a mean bias of +0.07 ± 0.14 and +0.01 ± 0.10 mg·cm −2 ·min −1 for TA and VC methods, respectively. The mean smallest detectable difference in LSR was 0.12 and 0.05 mg·min −1 ·cm −2 for TA and VC methods, respectively. These data support the TA method as a reliable alternative for measuring the rate of sweat appearance on the skin surface.&quot;,&quot;issue&quot;:&quot;6&quot;,&quot;volume&quot;:&quot;114&quot;},&quot;isTemporary&quot;:false}]},{&quot;citationID&quot;:&quot;MENDELEY_CITATION_201cf9ba-596b-4930-9d52-99f6ce4c1e74&quot;,&quot;properties&quot;:{&quot;noteIndex&quot;:0},&quot;isEdited&quot;:false,&quot;manualOverride&quot;:{&quot;citeprocText&quot;:&quot;[257]&quot;,&quot;isManuallyOverridden&quot;:false,&quot;manualOverrideText&quot;:&quot;&quot;},&quot;citationTag&quot;:&quot;MENDELEY_CITATION_v3_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&quot;,&quot;citationItems&quot;:[{&quot;id&quot;:&quot;11b75c6e-16af-58f7-81ff-5521d8cfaf75&quot;,&quot;itemData&quot;:{&quot;DOI&quot;:&quot;10.1016/j.heliyon.2023.e18184&quot;,&quot;ISSN&quot;:&quot;24058440&quot;,&quot;abstract&quot;:&quot;Long term consequences of diabetes mellitus (DM) may include multi-organ complications such as retinopathy, cardiovascular disease, neuronal, and kidney damage. One of the most prevalent complication is diabetic peripheral neuropathy (DPN), occurring in half of all diabetics, and is the main cause of disability globally with profound impact on a patient's quality of life. Small fiber neuropathy (SFN) can develop in the pre-diabetes stage preceding large fiber damage in DPN. Asymptomatic SFN is difficult to diagnose in early stages, with sudomotor dysfunction considered one of the earliest manifestations of autonomic neuropathy. Early detection is crucial as it can prevent potential cardiovascular events. Although punch skin biopsy is the gold-standard method for SFN diagnosis, implementation as routine screening is hindered due to its invasive, impractical, and time-consuming nature. Other sudomotor testing modalities, most of which evaluate the postganglionic cholinergic sympathetic nervous system, have been developed with varying sensitivity and specificity for SFN diagnosis. Here, we provide an overview on the general mechanism of DPN, the importance of sudomotor assessment for early detection of autonomic dysfunction in DPN, the benefits and disadvantages of current testing modalities, factors that may affect testing, and the importance of future discoveries on sudomotor testing for successful DPN diagnosis.&quot;,&quot;author&quot;:[{&quot;dropping-particle&quot;:&quot;&quot;,&quot;family&quot;:&quot;Akbar&quot;,&quot;given&quot;:&quot;Muhammad&quot;,&quot;non-dropping-particle&quot;:&quot;&quot;,&quot;parse-names&quot;:false,&quot;suffix&quot;:&quot;&quot;},{&quot;dropping-particle&quot;:&quot;&quot;,&quot;family&quot;:&quot;Wandy&quot;,&quot;given&quot;:&quot;Alvian&quot;,&quot;non-dropping-particle&quot;:&quot;&quot;,&quot;parse-names&quot;:false,&quot;suffix&quot;:&quot;&quot;},{&quot;dropping-particle&quot;:&quot;&quot;,&quot;family&quot;:&quot;Soraya&quot;,&quot;given&quot;:&quot;Gita Vita&quot;,&quot;non-dropping-particle&quot;:&quot;&quot;,&quot;parse-names&quot;:false,&quot;suffix&quot;:&quot;&quot;},{&quot;dropping-particle&quot;:&quot;&quot;,&quot;family&quot;:&quot;Goysal&quot;,&quot;given&quot;:&quot;Yudy&quot;,&quot;non-dropping-particle&quot;:&quot;&quot;,&quot;parse-names&quot;:false,&quot;suffix&quot;:&quot;&quot;},{&quot;dropping-particle&quot;:&quot;&quot;,&quot;family&quot;:&quot;Lotisna&quot;,&quot;given&quot;:&quot;Mimi&quot;,&quot;non-dropping-particle&quot;:&quot;&quot;,&quot;parse-names&quot;:false,&quot;suffix&quot;:&quot;&quot;},{&quot;dropping-particle&quot;:&quot;&quot;,&quot;family&quot;:&quot;Basri&quot;,&quot;given&quot;:&quot;Muhammad Iqbal&quot;,&quot;non-dropping-particle&quot;:&quot;&quot;,&quot;parse-names&quot;:false,&quot;suffix&quot;:&quot;&quot;}],&quot;container-title&quot;:&quot;Heliyon&quot;,&quot;id&quot;:&quot;11b75c6e-16af-58f7-81ff-5521d8cfaf75&quot;,&quot;issue&quot;:&quot;7&quot;,&quot;issued&quot;:{&quot;date-parts&quot;:[[&quot;2023&quot;]]},&quot;page&quot;:&quot;e18184&quot;,&quot;publisher&quot;:&quot;Elsevier Ltd&quot;,&quot;title&quot;:&quot;Sudomotor dysfunction in diabetic peripheral neuropathy (DPN) and its testing modalities: A literature review&quot;,&quot;type&quot;:&quot;article-journal&quot;,&quot;volume&quot;:&quot;9&quot;,&quot;container-title-short&quot;:&quot;Heliyon&quot;},&quot;uris&quot;:[&quot;http://www.mendeley.com/documents/?uuid=9195cabb-da0a-4875-a7ef-e55bf7a84dbe&quot;],&quot;isTemporary&quot;:false,&quot;legacyDesktopId&quot;:&quot;9195cabb-da0a-4875-a7ef-e55bf7a84dbe&quot;}]},{&quot;citationID&quot;:&quot;MENDELEY_CITATION_0d1ae763-a704-4929-abcb-5ef2fdb9859f&quot;,&quot;properties&quot;:{&quot;noteIndex&quot;:0},&quot;isEdited&quot;:false,&quot;manualOverride&quot;:{&quot;citeprocText&quot;:&quot;[193,262]&quot;,&quot;isManuallyOverridden&quot;:false,&quot;manualOverrideText&quot;:&quot;&quot;},&quot;citationTag&quot;:&quot;MENDELEY_CITATION_v3_eyJjaXRhdGlvbklEIjoiTUVOREVMRVlfQ0lUQVRJT05fMGQxYWU3NjMtYTcwNC00OTI5LWFiY2ItNWVmMmZkYjk4NTlmIiwicHJvcGVydGllcyI6eyJub3RlSW5kZXgiOjB9LCJpc0VkaXRlZCI6ZmFsc2UsIm1hbnVhbE92ZXJyaWRlIjp7ImNpdGVwcm9jVGV4dCI6IlsxOTMsMjYy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&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8a9540c5-0491-5999-be04-c8982c8e6fec&quot;,&quot;itemData&quot;:{&quot;DOI&quot;:&quot;10.1139/apnm-2015-0698&quot;,&quot;ISSN&quot;:&quot;17155320&quot;,&quot;PMID&quot;:&quot;27467216&quot;,&quot;abstract&quot;:&quot;The purpose of this study was to examine if local changes in sweat rate following 14 days of heat acclimation reflect those that occur at the whole-body level. Both prior to and following a 14-day traditional heat acclimation protocol, 10 males exercised in the heat (35 °C, ~20% relative humidity) at increasing rates of heat production equal to 300 (Ex1), 350 (Ex2), and 400 (Ex3) W·m−2. A 10-min recovery period followed Ex1, while a 20-min recovery period separated Ex2 and Ex3. The exercise protocol was performed in a direct calorimeter to measure whole-body sweat rate and, on a separate day, in a thermal chamber to measure local sweat rate (LSR), sweat gland activation (SGA), and sweat gland output (SGO) on the upper back, chest, and mid-anterior forearm. Post-acclimation, whole-body sweat rate was greater during each exercise bout (Ex1: 14.3 ± 0.9; Ex2: 17.3 ± 1.2; Ex3: 19.4 ± 1.3 g·min−1, all p ≤ 0.05) relative to pre-acclimation (Ex1: 13.1 ± 0.6; Ex2: 15.4 ± 0.8; Ex3: 16.5 ± 1.3 g·min−1). In contrast, only LSR on the forearm increased with acclimation, and this increase was only observed during Ex2 (Post: 1.32 ± 0.33 vs. Pre: 1.06 ± 0.22 mg·min−1·cm−2, p = 0.03) and Ex3 (Post: 1.47 ± 0.41 vs. Pre: 1.17 ± 0.23 mg·min−1·cm−2, p = 0.05). The greater forearm LSR post-acclimation was due to an increase in SGO, as no changes in SGA were observed. Overall, these data demonstrate marked regional variability in the effect of heat acclimation on LSR, such that not all local measurements of sweat rate reflect the improvements observed at the whole-body level.&quot;,&quot;author&quot;:[{&quot;dropping-particle&quot;:&quot;&quot;,&quot;family&quot;:&quot;Poirier&quot;,&quot;given&quot;:&quot;Martin P.&quot;,&quot;non-dropping-particle&quot;:&quot;&quot;,&quot;parse-names&quot;:false,&quot;suffix&quot;:&quot;&quot;},{&quot;dropping-particle&quot;:&quot;&quot;,&quot;family&quot;:&quot;Gagnon&quot;,&quot;given&quot;:&quot;Daniel&quot;,&quot;non-dropping-particle&quot;:&quot;&quot;,&quot;parse-names&quot;:false,&quot;suffix&quot;:&quot;&quot;},{&quot;dropping-particle&quot;:&quot;&quot;,&quot;family&quot;:&quot;Kenny&quot;,&quot;given&quot;:&quot;Glen P.&quot;,&quot;non-dropping-particle&quot;:&quot;&quot;,&quot;parse-names&quot;:false,&quot;suffix&quot;:&quot;&quot;}],&quot;container-title&quot;:&quot;Applied Physiology, Nutrition and Metabolism&quot;,&quot;id&quot;:&quot;8a9540c5-0491-5999-be04-c8982c8e6fec&quot;,&quot;issue&quot;:&quot;8&quot;,&quot;issued&quot;:{&quot;date-parts&quot;:[[&quot;2016&quot;]]},&quot;page&quot;:&quot;816-824&quot;,&quot;title&quot;:&quot;Local versus whole-body sweating adaptations following 14 days of traditional heat acclimation&quot;,&quot;type&quot;:&quot;article-journal&quot;,&quot;volume&quot;:&quot;41&quot;,&quot;container-title-short&quot;:&quot;&quot;},&quot;uris&quot;:[&quot;http://www.mendeley.com/documents/?uuid=f11d3f2d-d149-4b46-aa3f-add976519d02&quot;],&quot;isTemporary&quot;:false,&quot;legacyDesktopId&quot;:&quot;f11d3f2d-d149-4b46-aa3f-add976519d02&quot;}]},{&quot;citationID&quot;:&quot;MENDELEY_CITATION_f38332c8-c26c-4d80-8c4a-4b2d2c891c95&quot;,&quot;properties&quot;:{&quot;noteIndex&quot;:0},&quot;isEdited&quot;:false,&quot;manualOverride&quot;:{&quot;citeprocText&quot;:&quot;[194,263]&quot;,&quot;isManuallyOverridden&quot;:false,&quot;manualOverrideText&quot;:&quot;&quot;},&quot;citationTag&quot;:&quot;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&quot;,&quot;citationItems&quot;:[{&quot;id&quot;:&quot;233ef1da-f372-5fe2-aad8-8472b5da101a&quot;,&quot;itemData&quot;:{&quot;DOI&quot;:&quot;10.1186/2046-7648-2-4&quot;,&quot;ISSN&quot;:&quot;20467648&quot;,&quot;abstract&quot;:&quot;Literature from the past 168 years has been filtered to provide a unified summary of the regional distribution of cutaneous water and electrolyte losses. The former occurs via transepidermal water vapour diffusion and secretion from the eccrine sweat glands. Daily insensible water losses for a standardised individual (surface area 1.8 m&lt;sup&gt;2&lt;/sup&gt;) will be 0.6-2.3 L, with the hands (80-160 g.h&lt;sup&gt;-1&lt;/sup&gt;) and feet (50-150 g.h&lt;sup&gt;-1&lt;/sup&gt;) losing the most, the head and neck losing intermediate amounts (40-75 g.h&lt;sup&gt;-1&lt;/sup&gt;) and all remaining sites losing 15-60 g.h&lt;sup&gt;-1&lt;/sup&gt;. Whilst sweat gland densities vary widely across the skin surface, this same individual would possess some 2.03 million functional glands, with the highest density on the volar surfaces of the fingers (530 glands.cm&lt;sup&gt;-2&lt;/sup&gt;) and the lowest on the upper lip (16 glands.cm&lt;sup&gt;-2&lt;/sup&gt;). During passive heating that results in a resting whole-body sweat rate of approximately 0.4 L.min&lt;sup&gt;-1&lt;/sup&gt;, the forehead (0.99 mg.cm&lt;sup&gt;-2&lt;/sup&gt;.min&lt;sup&gt;-1&lt;/sup&gt;), dorsal fingers (0.62 mg.cm&lt;sup&gt;-2&lt;/sup&gt;.min&lt;sup&gt;-1&lt;/sup&gt;) and upper back (0.59 mg.cm&lt;sup&gt;-2&lt;/sup&gt;.min&lt;sup&gt;-1&lt;/sup&gt;) would display the highest sweat flows, whilst the medial thighs and anterior legs will secrete the least (both 0.12 mg.cm&lt;sup&gt;-2&lt;/sup&gt;.min&lt;sup&gt;-1&lt;/sup&gt;). Since sweat glands selectively reabsorb electrolytes, the sodium and chloride composition of discharged sweat varies with secretion rate. Across whole-body sweat rates from 0.72 to 3.65 mg.cm&lt;sup&gt;-2&lt;/sup&gt;.min&lt;sup&gt;-1&lt;/sup&gt;, sodium losses of 26.5-49.7 mmol.L&lt;sup&gt;-1&lt;/sup&gt; could be expected, with the corresponding chloride loss being 26.8-36.7 mmol.L&lt;sup&gt;-1&lt;/sup&gt;. Nevertheless, there can be threefold differences in electrolyte losses across skin regions. When exercising in the heat, local sweat rates increase dramatically, with regional glandular flows becoming more homogeneous. However, intra-regional evaporative potential remains proportional to each local surface area. Thus, there is little evidence that regional sudomotor variations reflect an hierarchical distribution of sweating either at rest or during exercise. © 2013 Taylor and Machado-Moreira; licensee BioMed Central Ltd.&quot;,&quot;author&quot;:[{&quot;dropping-particle&quot;:&quot;&quot;,&quot;family&quot;:&quot;Taylor&quot;,&quot;given&quot;:&quot;Nigel A.S.&quot;,&quot;non-dropping-particle&quot;:&quot;&quot;,&quot;parse-names&quot;:false,&quot;suffix&quot;:&quot;&quot;},{&quot;dropping-particle&quot;:&quot;&quot;,&quot;family&quot;:&quot;Machado-Moreira&quot;,&quot;given&quot;:&quot;Christiano A.&quot;,&quot;non-dropping-particle&quot;:&quot;&quot;,&quot;parse-names&quot;:false,&quot;suffix&quot;:&quot;&quot;}],&quot;container-title&quot;:&quot;Extreme Physiology and Medicine&quot;,&quot;id&quot;:&quot;233ef1da-f372-5fe2-aad8-8472b5da101a&quot;,&quot;issue&quot;:&quot;1&quot;,&quot;issued&quot;:{&quot;date-parts&quot;:[[&quot;2013&quot;]]},&quot;page&quot;:&quot;1&quot;,&quot;title&quot;:&quot;Regional variations in transepidermal water loss, eccrine sweat gland density, sweat secretion rates and electrolyte composition in resting and exercising humans&quot;,&quot;type&quot;:&quot;article-journal&quot;,&quot;volume&quot;:&quot;2&quot;,&quot;container-title-short&quot;:&quot;Extrem. Physiol. Med.&quot;},&quot;uris&quot;:[&quot;http://www.mendeley.com/documents/?uuid=08eea8d2-3b23-46de-b7ef-9b1f316b4552&quot;],&quot;isTemporary&quot;:false,&quot;legacyDesktopId&quot;:&quot;08eea8d2-3b23-46de-b7ef-9b1f316b4552&quot;},{&quot;id&quot;:&quot;fb0d3ec4-4188-5a00-8810-4847698ece76&quot;,&quot;itemData&quot;:{&quot;DOI&quot;:&quot;10.1249/MSS.0b013e318267b0c4&quot;,&quot;ISSN&quot;:&quot;0195-9131&quot;,&quot;PMID&quot;:&quot;22811031&quot;,&quot;abstract&quot;:&quot;PURPOSE Limited regional sweat rate (RSR) data are available for females, with only a small number of sites measured across the body. Similarly, sex differences in sweating concentrate on whole body values, with limited RSR data available. METHODS A modified absorbent technique was used to collect sweat at two exercise intensities (60% (I1) and 75% (I2) V˙O2max) in 13 aerobically trained females (21 ± 1 yr, 59.5 ± 10 mL·min·kg V˙O2max) in moderately warm conditions (25°C, 45% relative humidity, 2 m·s air velocity). Females were compared with nine aerobically trained males (23 ± 3 yr, 70.2 ± 13 mL·min·kg V˙O2max) tested under the same conditions. RESULTS Female I1 RSR was highest at the central upper back, heels, and dorsal foot and between the breasts (223, 161, 139, and 139 g·m·h, respectively). Lowest values were over the breasts and the middle and lower outer back (&lt;16 g·m·h). At I2, the central upper back, bra triangle, and lower back showed the highest RSR (723, 470, and 333 g·m·h, respectively). Regions of the breasts and palms had the lowest RSR at I2 (&lt;82 g·m·h). Significantly greater gross sweat loss and thus RSR were observed in males versus females at both exercise intensities. For the same metabolic heat production (male I1 vs female I2), absolute and normalized RSR showed a significant region-sex interaction (P &lt; 0.001), with a greater distribution toward the arms and hands in females versus males. CONCLUSIONS Despite some differences in distribution, both sexes showed highest RSR on the central upper back and the lowest toward the extremities. No correlation was observed between local skin temperature and RSR, failing to explain RSR variation observed. These data have important applications for sex-specific clothing design, thermophysiological modeling, and thermal manikin design.&quot;,&quot;author&quot;:[{&quot;dropping-particle&quot;:&quot;&quot;,&quot;family&quot;:&quot;SMITH&quot;,&quot;given&quot;:&quot;CAROLINE J.&quot;,&quot;non-dropping-particle&quot;:&quot;&quot;,&quot;parse-names&quot;:false,&quot;suffix&quot;:&quot;&quot;},{&quot;dropping-particle&quot;:&quot;&quot;,&quot;family&quot;:&quot;HAVENITH&quot;,&quot;given&quot;:&quot;GEORGE&quot;,&quot;non-dropping-particle&quot;:&quot;&quot;,&quot;parse-names&quot;:false,&quot;suffix&quot;:&quot;&quot;}],&quot;container-title&quot;:&quot;Medicine &amp; Science in Sports &amp; Exercise&quot;,&quot;id&quot;:&quot;fb0d3ec4-4188-5a00-8810-4847698ece76&quot;,&quot;issue&quot;:&quot;12&quot;,&quot;issued&quot;:{&quot;date-parts&quot;:[[&quot;2012&quot;,&quot;12&quot;]]},&quot;page&quot;:&quot;2350-2361&quot;,&quot;title&quot;:&quot;Body Mapping of Sweating Patterns in Athletes&quot;,&quot;type&quot;:&quot;article-journal&quot;,&quot;volume&quot;:&quot;44&quot;,&quot;container-title-short&quot;:&quot;Med. Sci. Sports Exerc.&quot;},&quot;uris&quot;:[&quot;http://www.mendeley.com/documents/?uuid=4a83018c-0824-45e7-85b6-ba4fb0fdbbf8&quot;],&quot;isTemporary&quot;:false,&quot;legacyDesktopId&quot;:&quot;4a83018c-0824-45e7-85b6-ba4fb0fdbbf8&quot;}]},{&quot;citationID&quot;:&quot;MENDELEY_CITATION_e90b6d15-9fed-4d57-a7d1-5ddb4ca77aeb&quot;,&quot;properties&quot;:{&quot;noteIndex&quot;:0},&quot;isEdited&quot;:false,&quot;manualOverride&quot;:{&quot;citeprocText&quot;:&quot;[193,259,264]&quot;,&quot;isManuallyOverridden&quot;:false,&quot;manualOverrideText&quot;:&quot;&quot;},&quot;citationTag&quot;:&quot;MENDELEY_CITATION_v3_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V19&quot;,&quot;citationItems&quot;:[{&quot;id&quot;:&quot;7d511bcc-878e-5d97-8021-d90396e21214&quot;,&quot;itemData&quot;:{&quot;DOI&quot;:&quot;10.1249/MSS.0000000000001439&quot;,&quot;ISBN&quot;:&quot;0000000000&quot;,&quot;ISSN&quot;:&quot;15300315&quot;,&quot;PMID&quot;:&quot;28991042&quot;,&quot;abstract&quot;:&quot;Purpose: To quantify how maximum skin wettedness (Umax); that is, the determinant of the boundary between compensable and uncompensable heat stress, is altered by aerobic training in previously unfit individuals and further augmented by heat acclimation. Methods: Eight untrained individuals completed an 8-wk aerobic training program immediately followed by 8 d of hot/humid (38-C, 65%RH) heat acclimation. Participants completed a humidity ramp protocol pretraining (PRE-TRN), posttraining (POST-TRN), and after heat acclimation (POST-HA), involving treadmill marching at a heat production of 450W for 105min in 37.5-C, 2.0 kPa (35%RH). After attaining a steady-state esophageal temperature (Tes), humidity increased 0.04 kPaIminj1. An upward inflection in Tes indicated the upper limit of physiological compensability (Pcrit), which was then used to quantify Umax. Local sweat rate, activated sweat gland density, and sweat gland output on the back and arm were simultaneously measured throughout. Results: Peak aerobic capacity increased POST-TRN by approximately 14% (PRE-TRN: 45.8 T 11.8 mLIkg-1min-1; POST-TRN: 52.0 T 11.1 mLIkgj1Iminj1, P &lt; 0.001). Umax values became progressively greater from PRE-TRN (0.72 T 0.06) to POST-TRN (0.84 T 0.08; P = 0.02), to POST-HA (0.95 T 0.05; P = 0.03). These shifts in Umax were facilitated by a progressively greater local sweat rate and activated sweat gland density from PRE-TRN (0.84 T 0.21 mgIcmj-1min-1; 67 T 20 glands per square centimeter) to POST-TRN (0.96 T 0.21 mgcm-1min-1, P = 0.03; 86 T 27 glands per square centimeter; P = 0.009), to POST-HA (1.15 T 0.21 mg-2min-1P &lt;0.001; 98 T 35 glands per square centimeter; P &lt; 0.001). No differences in sweat gland output were observed. Conclusions: A greater Umax occurred after 8 wk of aerobic training, but Umax was further augmented with heat acclimation, indicating only a partially increased heat loss capacity with training. These Umax values may assist future predictions of heat stress risk in untrained/trained unacclimated individuals and trained heat-acclimated individuals.&quot;,&quot;author&quot;:[{&quot;dropping-particle&quot;:&quot;&quot;,&quot;family&quot;:&quot;Ravanelli&quot;,&quot;given&quot;:&quot;Nicholas&quot;,&quot;non-dropping-particle&quot;:&quot;&quot;,&quot;parse-names&quot;:false,&quot;suffix&quot;:&quot;&quot;},{&quot;dropping-particle&quot;:&quot;&quot;,&quot;family&quot;:&quot;Coombs&quot;,&quot;given&quot;:&quot;Geoff B.&quot;,&quot;non-dropping-particle&quot;:&quot;&quot;,&quot;parse-names&quot;:false,&quot;suffix&quot;:&quot;&quot;},{&quot;dropping-particle&quot;:&quot;&quot;,&quot;family&quot;:&quot;Imbeault&quot;,&quot;given&quot;:&quot;Pascal&quot;,&quot;non-dropping-particle&quot;:&quot;&quot;,&quot;parse-names&quot;:false,&quot;suffix&quot;:&quot;&quot;},{&quot;dropping-particle&quot;:&quot;&quot;,&quot;family&quot;:&quot;Jay&quot;,&quot;given&quot;:&quot;Ollie&quot;,&quot;non-dropping-particle&quot;:&quot;&quot;,&quot;parse-names&quot;:false,&quot;suffix&quot;:&quot;&quot;}],&quot;container-title&quot;:&quot;Medicine and Science in Sports and Exercise&quot;,&quot;id&quot;:&quot;7d511bcc-878e-5d97-8021-d90396e21214&quot;,&quot;issue&quot;:&quot;2&quot;,&quot;issued&quot;:{&quot;date-parts&quot;:[[&quot;2018&quot;]]},&quot;page&quot;:&quot;299-307&quot;,&quot;title&quot;:&quot;Maximum skin wettedness after aerobic training with and without heat acclimation&quot;,&quot;type&quot;:&quot;article-journal&quot;,&quot;volume&quot;:&quot;50&quot;,&quot;container-title-short&quot;:&quot;Med. Sci. Sports Exerc.&quot;},&quot;uris&quot;:[&quot;http://www.mendeley.com/documents/?uuid=295dca70-7623-4794-acea-ccc4b938a9b1&quot;],&quot;isTemporary&quot;:false,&quot;legacyDesktopId&quot;:&quot;295dca70-7623-4794-acea-ccc4b938a9b1&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citationID&quot;:&quot;MENDELEY_CITATION_d63acdbe-ea31-4210-91cc-1c06ce446dd1&quot;,&quot;properties&quot;:{&quot;noteIndex&quot;:0},&quot;isEdited&quot;:false,&quot;manualOverride&quot;:{&quot;citeprocText&quot;:&quot;[193,264]&quot;,&quot;isManuallyOverridden&quot;:false,&quot;manualOverrideText&quot;:&quot;&quot;},&quot;citationTag&quot;:&quot;MENDELEY_CITATION_v3_eyJjaXRhdGlvbklEIjoiTUVOREVMRVlfQ0lUQVRJT05fZDYzYWNkYmUtZWEzMS00MjEwLTkxY2MtMWMwNmNlNDQ2ZGQxIiwicHJvcGVydGllcyI6eyJub3RlSW5kZXgiOjB9LCJpc0VkaXRlZCI6ZmFsc2UsIm1hbnVhbE92ZXJyaWRlIjp7ImNpdGVwcm9jVGV4dCI6IlsxOTMsMjY0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&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7d511bcc-878e-5d97-8021-d90396e21214&quot;,&quot;itemData&quot;:{&quot;DOI&quot;:&quot;10.1249/MSS.0000000000001439&quot;,&quot;ISBN&quot;:&quot;0000000000&quot;,&quot;ISSN&quot;:&quot;15300315&quot;,&quot;PMID&quot;:&quot;28991042&quot;,&quot;abstract&quot;:&quot;Purpose: To quantify how maximum skin wettedness (Umax); that is, the determinant of the boundary between compensable and uncompensable heat stress, is altered by aerobic training in previously unfit individuals and further augmented by heat acclimation. Methods: Eight untrained individuals completed an 8-wk aerobic training program immediately followed by 8 d of hot/humid (38-C, 65%RH) heat acclimation. Participants completed a humidity ramp protocol pretraining (PRE-TRN), posttraining (POST-TRN), and after heat acclimation (POST-HA), involving treadmill marching at a heat production of 450W for 105min in 37.5-C, 2.0 kPa (35%RH). After attaining a steady-state esophageal temperature (Tes), humidity increased 0.04 kPaIminj1. An upward inflection in Tes indicated the upper limit of physiological compensability (Pcrit), which was then used to quantify Umax. Local sweat rate, activated sweat gland density, and sweat gland output on the back and arm were simultaneously measured throughout. Results: Peak aerobic capacity increased POST-TRN by approximately 14% (PRE-TRN: 45.8 T 11.8 mLIkg-1min-1; POST-TRN: 52.0 T 11.1 mLIkgj1Iminj1, P &lt; 0.001). Umax values became progressively greater from PRE-TRN (0.72 T 0.06) to POST-TRN (0.84 T 0.08; P = 0.02), to POST-HA (0.95 T 0.05; P = 0.03). These shifts in Umax were facilitated by a progressively greater local sweat rate and activated sweat gland density from PRE-TRN (0.84 T 0.21 mgIcmj-1min-1; 67 T 20 glands per square centimeter) to POST-TRN (0.96 T 0.21 mgcm-1min-1, P = 0.03; 86 T 27 glands per square centimeter; P = 0.009), to POST-HA (1.15 T 0.21 mg-2min-1P &lt;0.001; 98 T 35 glands per square centimeter; P &lt; 0.001). No differences in sweat gland output were observed. Conclusions: A greater Umax occurred after 8 wk of aerobic training, but Umax was further augmented with heat acclimation, indicating only a partially increased heat loss capacity with training. These Umax values may assist future predictions of heat stress risk in untrained/trained unacclimated individuals and trained heat-acclimated individuals.&quot;,&quot;author&quot;:[{&quot;dropping-particle&quot;:&quot;&quot;,&quot;family&quot;:&quot;Ravanelli&quot;,&quot;given&quot;:&quot;Nicholas&quot;,&quot;non-dropping-particle&quot;:&quot;&quot;,&quot;parse-names&quot;:false,&quot;suffix&quot;:&quot;&quot;},{&quot;dropping-particle&quot;:&quot;&quot;,&quot;family&quot;:&quot;Coombs&quot;,&quot;given&quot;:&quot;Geoff B.&quot;,&quot;non-dropping-particle&quot;:&quot;&quot;,&quot;parse-names&quot;:false,&quot;suffix&quot;:&quot;&quot;},{&quot;dropping-particle&quot;:&quot;&quot;,&quot;family&quot;:&quot;Imbeault&quot;,&quot;given&quot;:&quot;Pascal&quot;,&quot;non-dropping-particle&quot;:&quot;&quot;,&quot;parse-names&quot;:false,&quot;suffix&quot;:&quot;&quot;},{&quot;dropping-particle&quot;:&quot;&quot;,&quot;family&quot;:&quot;Jay&quot;,&quot;given&quot;:&quot;Ollie&quot;,&quot;non-dropping-particle&quot;:&quot;&quot;,&quot;parse-names&quot;:false,&quot;suffix&quot;:&quot;&quot;}],&quot;container-title&quot;:&quot;Medicine and Science in Sports and Exercise&quot;,&quot;id&quot;:&quot;7d511bcc-878e-5d97-8021-d90396e21214&quot;,&quot;issue&quot;:&quot;2&quot;,&quot;issued&quot;:{&quot;date-parts&quot;:[[&quot;2018&quot;]]},&quot;page&quot;:&quot;299-307&quot;,&quot;title&quot;:&quot;Maximum skin wettedness after aerobic training with and without heat acclimation&quot;,&quot;type&quot;:&quot;article-journal&quot;,&quot;volume&quot;:&quot;50&quot;,&quot;container-title-short&quot;:&quot;Med. Sci. Sports Exerc.&quot;},&quot;uris&quot;:[&quot;http://www.mendeley.com/documents/?uuid=295dca70-7623-4794-acea-ccc4b938a9b1&quot;],&quot;isTemporary&quot;:false,&quot;legacyDesktopId&quot;:&quot;295dca70-7623-4794-acea-ccc4b938a9b1&quot;}]},{&quot;citationID&quot;:&quot;MENDELEY_CITATION_cab3d211-cc73-42da-b040-eac788b2533c&quot;,&quot;properties&quot;:{&quot;noteIndex&quot;:0},&quot;isEdited&quot;:false,&quot;manualOverride&quot;:{&quot;citeprocText&quot;:&quot;[259]&quot;,&quot;isManuallyOverridden&quot;:false,&quot;manualOverrideText&quot;:&quot;&quot;},&quot;citationTag&quot;:&quot;MENDELEY_CITATION_v3_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&quot;,&quot;citationItems&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citationID&quot;:&quot;MENDELEY_CITATION_176c91db-eeeb-4016-be3f-669a1e2ef294&quot;,&quot;properties&quot;:{&quot;noteIndex&quot;:0},&quot;isEdited&quot;:false,&quot;manualOverride&quot;:{&quot;citeprocText&quot;:&quot;[265,266]&quot;,&quot;isManuallyOverridden&quot;:false,&quot;manualOverrideText&quot;:&quot;&quot;},&quot;citationTag&quot;:&quot;MENDELEY_CITATION_v3_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&quot;,&quot;citationItems&quot;:[{&quot;id&quot;:&quot;4d9a6865-cdd2-5f0b-a4fd-b0d3d69c91ad&quot;,&quot;itemData&quot;:{&quot;DOI&quot;:&quot;10.1152/jappl.1979.46.3.522&quot;,&quot;ISSN&quot;:&quot;8750-7587&quot;,&quot;abstract&quot;:&quot;Rates of evaporation and sweating were recorded for three acclimatized male subjects in hot humid conditions, the ambient parameters of which were set so that the various imposed evaporative rates required the same skin wettedness at different levels of sweating. Rectal and skin temperatures were measured. Results showed that during steady state occurring during the 2nd h of exposure each subject reached the required evaporative rate by means of increases in skin wettedness regardless of the level of sweating; the sweat evaporative efficiency, defined as the ratio between evaporative rate and sweat rate, decreased as skin wettedness increased, in a range between 0.74 and 1.0 Sweat efficiency fell to 0.67 for fully wet skin. The body temperatures did not increase with time if skin wettedness was less than unity. Evaporative heat transfer coefficient (he), maximum evaporative capacity, and wettedness were estimated on the basis of the observed decrease of sweat efficiency. The relationship between skin wettedness and sweat efficiency was interpreted as a combined effect of differences in local he as well as in local sweat rates.&quot;,&quot;author&quot;:[{&quot;dropping-particle&quot;:&quot;&quot;,&quot;family&quot;:&quot;Candas&quot;,&quot;given&quot;:&quot;V&quot;,&quot;non-dropping-particle&quot;:&quot;&quot;,&quot;parse-names&quot;:false,&quot;suffix&quot;:&quot;&quot;},{&quot;dropping-particle&quot;:&quot;&quot;,&quot;family&quot;:&quot;Libert&quot;,&quot;given&quot;:&quot;J. P.&quot;,&quot;non-dropping-particle&quot;:&quot;&quot;,&quot;parse-names&quot;:false,&quot;suffix&quot;:&quot;&quot;},{&quot;dropping-particle&quot;:&quot;&quot;,&quot;family&quot;:&quot;Vogt&quot;,&quot;given&quot;:&quot;J. J.&quot;,&quot;non-dropping-particle&quot;:&quot;&quot;,&quot;parse-names&quot;:false,&quot;suffix&quot;:&quot;&quot;}],&quot;container-title&quot;:&quot;Journal of Applied Physiology&quot;,&quot;id&quot;:&quot;4d9a6865-cdd2-5f0b-a4fd-b0d3d69c91ad&quot;,&quot;issue&quot;:&quot;3&quot;,&quot;issued&quot;:{&quot;date-parts&quot;:[[&quot;1979&quot;,&quot;3&quot;,&quot;1&quot;]]},&quot;page&quot;:&quot;522-528&quot;,&quot;title&quot;:&quot;Human skin wettedness and evaporative efficiency of sweating&quot;,&quot;type&quot;:&quot;article-journal&quot;,&quot;volume&quot;:&quot;46&quot;,&quot;container-title-short&quot;:&quot;J. Appl. Physiol.&quot;},&quot;uris&quot;:[&quot;http://www.mendeley.com/documents/?uuid=acdd8b56-4d87-42e8-8e6a-367bf5f6a9b8&quot;],&quot;isTemporary&quot;:false,&quot;legacyDesktopId&quot;:&quot;acdd8b56-4d87-42e8-8e6a-367bf5f6a9b8&quot;},{&quot;id&quot;:&quot;8d683452-2a3b-51a0-836d-d57635dc3e4f&quot;,&quot;itemData&quot;:{&quot;DOI&quot;:&quot;10.1111/sms.12408&quot;,&quot;ISSN&quot;:&quot;16000838&quot;,&quot;PMID&quot;:&quot;25943654&quot;,&quot;abstract&quot;:&quot;Exercise heat acclimation induces physiological adaptations that improve thermoregulation, attenuate physiological strain, reduce the risk of serious heat illness, and improve aerobic performance in warm-hot environments and potentially in temperate environments. The adaptations include improved sweating, improved skin blood flow, lowered body temperatures, reduced cardiovascular strain, improved fluid balance, altered metabolism, and enhanced cellular protection. The magnitudes of adaptations are determined by the intensity, duration, frequency, and number of heat exposures, as well as the environmental conditions (i.e., dry or humid heat). Evidence is emerging that controlled hyperthermia regimens where a target core temperature is maintained, enable more rapid and complete adaptations relative to the traditional constant work rate exercise heat acclimation regimens. Furthermore, inducing heat acclimation outdoors in a natural field setting may provide more specific adaptations based on direct exposure to the exact environmental and exercise conditions to be encountered during competition. This review initially examines the physiological adaptations associated with heat acclimation induction regimens, and subsequently emphasizes their application to competitive athletes and sports.&quot;,&quot;author&quot;:[{&quot;dropping-particle&quot;:&quot;&quot;,&quot;family&quot;:&quot;Périard&quot;,&quot;given&quot;:&quot;J. D.&quot;,&quot;non-dropping-particle&quot;:&quot;&quot;,&quot;parse-names&quot;:false,&quot;suffix&quot;:&quot;&quot;},{&quot;dropping-particle&quot;:&quot;&quot;,&quot;family&quot;:&quot;Racinais&quot;,&quot;given&quot;:&quot;S.&quot;,&quot;non-dropping-particle&quot;:&quot;&quot;,&quot;parse-names&quot;:false,&quot;suffix&quot;:&quot;&quot;},{&quot;dropping-particle&quot;:&quot;&quot;,&quot;family&quot;:&quot;Sawka&quot;,&quot;given&quot;:&quot;M. N.&quot;,&quot;non-dropping-particle&quot;:&quot;&quot;,&quot;parse-names&quot;:false,&quot;suffix&quot;:&quot;&quot;}],&quot;container-title&quot;:&quot;Scandinavian Journal of Medicine and Science in Sports&quot;,&quot;id&quot;:&quot;8d683452-2a3b-51a0-836d-d57635dc3e4f&quot;,&quot;issue&quot;:&quot;S1&quot;,&quot;issued&quot;:{&quot;date-parts&quot;:[[&quot;2015&quot;]]},&quot;page&quot;:&quot;20-38&quot;,&quot;title&quot;:&quot;Adaptations and mechanisms of human heat acclimation: Applications for competitive athletes and sports&quot;,&quot;type&quot;:&quot;article-journal&quot;,&quot;volume&quot;:&quot;25&quot;,&quot;container-title-short&quot;:&quot;Scand. J. Med. Sci. Sports&quot;},&quot;uris&quot;:[&quot;http://www.mendeley.com/documents/?uuid=21d2898f-f12a-4420-a036-7eb33a820c11&quot;],&quot;isTemporary&quot;:false,&quot;legacyDesktopId&quot;:&quot;21d2898f-f12a-4420-a036-7eb33a820c11&quot;}]},{&quot;citationID&quot;:&quot;MENDELEY_CITATION_cb57e0fe-45df-48d7-96fd-40a22136c77b&quot;,&quot;properties&quot;:{&quot;noteIndex&quot;:0},&quot;isEdited&quot;:false,&quot;manualOverride&quot;:{&quot;citeprocText&quot;:&quot;[193,259]&quot;,&quot;isManuallyOverridden&quot;:false,&quot;manualOverrideText&quot;:&quot;&quot;},&quot;citationTag&quot;:&quot;MENDELEY_CITATION_v3_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&quot;,&quot;citationItems&quot;:[{&quot;id&quot;:&quot;20edcd48-f512-52d0-8879-5ea046e6f17e&quot;,&quot;itemData&quot;:{&quot;DOI&quot;:&quot;10.1080/23328940.2019.1632145&quot;,&quot;ISSN&quot;:&quot;23328959&quot;,&quot;PMID&quot;:&quot;31608304&quot;,&quot;abstract&quot;:&quot;The purpose of this comprehensive review is to: 1) review the physiology of sweat gland function and mechanisms determining the amount and composition of sweat excreted onto the skin surface; 2) provide an overview of the well-established thermoregulatory functions and adaptive responses of the sweat gland; and 3) discuss the state of evidence for potential non-thermoregulatory roles of sweat in the maintenance and/or perturbation of human health. The role of sweating to eliminate waste products and toxicants seems to be minor compared with other avenues of excretion via the kidneys and gastrointestinal tract; as eccrine glands do not adapt to increase excretion rates either via concentrating sweat or increasing overall sweating rate. Studies suggesting a larger role of sweat glands in clearing waste products or toxicants from the body may be an artifact of methodological issues rather than evidence for selective transport. Furthermore, unlike the renal system, it seems that sweat glands do not conserve water loss or concentrate sweat fluid through vasopressin-mediated water reabsorption. Individuals with high NaCl concentrations in sweat (e.g. cystic fibrosis) have an increased risk of NaCl imbalances during prolonged periods of heavy sweating; however, sweat-induced deficiencies appear to be of minimal risk for trace minerals and vitamins. Additional research is needed to elucidate the potential role of eccrine sweating in skin hydration and microbial defense. Finally, the utility of sweat composition as a biomarker for human physiology is currently limited; as more research is needed to determine potential relations between sweat and blood solute concentrations.&quot;,&quot;author&quot;:[{&quot;dropping-particle&quot;:&quot;&quot;,&quot;family&quot;:&quot;Baker&quot;,&quot;given&quot;:&quot;Lindsay B.&quot;,&quot;non-dropping-particle&quot;:&quot;&quot;,&quot;parse-names&quot;:false,&quot;suffix&quot;:&quot;&quot;}],&quot;container-title&quot;:&quot;Temperature&quot;,&quot;id&quot;:&quot;20edcd48-f512-52d0-8879-5ea046e6f17e&quot;,&quot;issue&quot;:&quot;3&quot;,&quot;issued&quot;:{&quot;date-parts&quot;:[[&quot;2019&quot;,&quot;7&quot;,&quot;3&quot;]]},&quot;page&quot;:&quot;211-259&quot;,&quot;publisher&quot;:&quot;Taylor &amp; Francis&quot;,&quot;title&quot;:&quot;Physiology of sweat gland function: The roles of sweating and sweat composition in human health&quot;,&quot;type&quot;:&quot;article-journal&quot;,&quot;volume&quot;:&quot;6&quot;,&quot;container-title-short&quot;:&quot;&quot;},&quot;uris&quot;:[&quot;http://www.mendeley.com/documents/?uuid=51de9a5a-b79f-445e-a3b0-6d43cadf72e2&quot;],&quot;isTemporary&quot;:false,&quot;legacyDesktopId&quot;:&quot;51de9a5a-b79f-445e-a3b0-6d43cadf72e2&quot;},{&quot;id&quot;:&quot;dd1242f2-b521-51ba-a77d-571e1a9e6b03&quot;,&quot;itemData&quot;:{&quot;DOI&quot;:&quot;10.1113/JP279944&quot;,&quot;ISSN&quot;:&quot;14697793&quot;,&quot;PMID&quot;:&quot;32406117&quot;,&quot;author&quot;:[{&quot;dropping-particle&quot;:&quot;&quot;,&quot;family&quot;:&quot;Mündel&quot;,&quot;given&quot;:&quot;Toby&quot;,&quot;non-dropping-particle&quot;:&quot;&quot;,&quot;parse-names&quot;:false,&quot;suffix&quot;:&quot;&quot;}],&quot;container-title&quot;:&quot;Journal of Physiology&quot;,&quot;id&quot;:&quot;dd1242f2-b521-51ba-a77d-571e1a9e6b03&quot;,&quot;issue&quot;:&quot;13&quot;,&quot;issued&quot;:{&quot;date-parts&quot;:[[&quot;2020&quot;]]},&quot;page&quot;:&quot;2535-2536&quot;,&quot;title&quot;:&quot;Thermoregulatory sweating and evaporative heat loss during exercise: is the whole greater than the sum of its parts?&quot;,&quot;type&quot;:&quot;article-journal&quot;,&quot;volume&quot;:&quot;598&quot;,&quot;container-title-short&quot;:&quot;&quot;},&quot;uris&quot;:[&quot;http://www.mendeley.com/documents/?uuid=3f5e6c6b-f5c5-4920-a2dd-a14377436990&quot;],&quot;isTemporary&quot;:false,&quot;legacyDesktopId&quot;:&quot;3f5e6c6b-f5c5-4920-a2dd-a14377436990&quot;}]},{&quot;citationID&quot;:&quot;MENDELEY_CITATION_f4120ba1-e34b-4dbe-86b0-3fe38673d370&quot;,&quot;properties&quot;:{&quot;noteIndex&quot;:0},&quot;isEdited&quot;:false,&quot;manualOverride&quot;:{&quot;citeprocText&quot;:&quot;[236,258]&quot;,&quot;isManuallyOverridden&quot;:false,&quot;manualOverrideText&quot;:&quot;&quot;},&quot;citationTag&quot;:&quot;MENDELEY_CITATION_v3_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&quot;,&quot;citationItems&quot;:[{&quot;id&quot;:&quot;a43a284f-16a7-5403-aac2-1fee840384a6&quot;,&quot;itemData&quot;:{&quot;DOI&quot;:&quot;10.1007/s00421-020-04323-7&quot;,&quot;ISBN&quot;:&quot;0123456789&quot;,&quot;ISSN&quot;:&quot;1439-6319&quot;,&quot;PMID&quot;:&quot;32124007&quot;,&quot;abstract&quot;:&quot;Purpose: The purpose of this paper is to review the physiological mechanisms determining eccrine sweat composition to assess the utility of sweat as a proxy for blood or as a potential biomarker of human health or nutritional/physiological status. Methods: This narrative review includes the major sweat electrolytes (sodium, chloride, and potassium), other micronutrients (e.g., calcium, magnesium, iron, copper, zinc, vitamins), metabolites (e.g., glucose, lactate, ammonia, urea, bicarbonate, amino acids, ethanol), and other compounds (e.g., cytokines and cortisol). Results: Ion membrane transport mechanisms for sodium and chloride are well established, but the mechanisms of secretion and/or reabsorption for most other sweat solutes are still equivocal. Correlations between sweat and blood have not been established for most constituents, with perhaps the exception of ethanol. With respect to sweat diagnostics, it is well accepted that elevated sweat sodium and chloride is a useful screening tool for cystic fibrosis. However, sweat electrolyte concentrations are not predictive of hydration status or sweating rate. Sweat metabolite concentrations are not a reliable biomarker for exercise intensity or other physiological stressors. To date, glucose, cytokine, and cortisol research is too limited to suggest that sweat is a useful surrogate for blood. Conclusion: Final sweat composition is not only influenced by extracellular solute concentrations, but also mechanisms of secretion and/or reabsorption, sweat flow rate, byproducts of sweat gland metabolism, skin surface contamination, and sebum secretions, among other factors related to methodology. Future research that accounts for these confounding factors is needed to address the existing gaps in the literature.&quot;,&quot;author&quot;:[{&quot;dropping-particle&quot;:&quot;&quot;,&quot;family&quot;:&quot;Baker&quot;,&quot;given&quot;:&quot;Lindsay B.&quot;,&quot;non-dropping-particle&quot;:&quot;&quot;,&quot;parse-names&quot;:false,&quot;suffix&quot;:&quot;&quot;},{&quot;dropping-particle&quot;:&quot;&quot;,&quot;family&quot;:&quot;Wolfe&quot;,&quot;given&quot;:&quot;Anthony S.&quot;,&quot;non-dropping-particle&quot;:&quot;&quot;,&quot;parse-names&quot;:false,&quot;suffix&quot;:&quot;&quot;}],&quot;container-title&quot;:&quot;European Journal of Applied Physiology&quot;,&quot;id&quot;:&quot;a43a284f-16a7-5403-aac2-1fee840384a6&quot;,&quot;issue&quot;:&quot;4&quot;,&quot;issued&quot;:{&quot;date-parts&quot;:[[&quot;2020&quot;,&quot;4&quot;,&quot;2&quot;]]},&quot;page&quot;:&quot;719-752&quot;,&quot;publisher&quot;:&quot;Springer Berlin Heidelberg&quot;,&quot;title&quot;:&quot;Physiological mechanisms determining eccrine sweat composition&quot;,&quot;type&quot;:&quot;article-journal&quot;,&quot;volume&quot;:&quot;120&quot;,&quot;container-title-short&quot;:&quot;Eur. J. Appl. Physiol.&quot;},&quot;uris&quot;:[&quot;http://www.mendeley.com/documents/?uuid=7538bce5-1cac-4993-a7db-1c31c8184b98&quot;],&quot;isTemporary&quot;:false,&quot;legacyDesktopId&quot;:&quot;7538bce5-1cac-4993-a7db-1c31c8184b98&quot;},{&quot;id&quot;:&quot;ebc7043e-baec-5669-8d6c-c982f01773ee&quot;,&quot;itemData&quot;:{&quot;DOI&quot;:&quot;10.1016/j.autneu.2016.02.003&quot;,&quot;ISSN&quot;:&quot;18727484&quot;,&quot;PMID&quot;:&quot;26944095&quot;,&quot;abstract&quot;:&quot;Sufficient body water is required to sustain thermoregulatory function, thus losses in total body water (TBW) can challenge the thermoregulatory system. A TBW deficit ≥. 2% body mass (hypohydration) is recognized as the threshold when thermoregulatory function becomes measurably altered. Hypohydration may occur from voluntary fluid restriction, insufficient fluid availability, or thermoregulatory sweating. The secretion and evaporation of sweat important avenues of body heat loss, and if the water lost is not replaced, hypohydration will decrease plasma volume and increase plasma osmotic pressure (hyperosmotic hypovolemia). Both osmotic and/or volume stressors delay the onset and/or reduce the sensitivity of sweating and blood flow responses. The magnitude of hypohydration, environmental heat stress, the population and circumstances of interest will determine the degree, significance and outcome of these thermoregulatory alterations and their contribution to physiological stress.&quot;,&quot;author&quot;:[{&quot;dropping-particle&quot;:&quot;&quot;,&quot;family&quot;:&quot;Kenefick&quot;,&quot;given&quot;:&quot;Robert W.&quot;,&quot;non-dropping-particle&quot;:&quot;&quot;,&quot;parse-names&quot;:false,&quot;suffix&quot;:&quot;&quot;},{&quot;dropping-particle&quot;:&quot;&quot;,&quot;family&quot;:&quot;Cheuvront&quot;,&quot;given&quot;:&quot;Samuel N.&quot;,&quot;non-dropping-particle&quot;:&quot;&quot;,&quot;parse-names&quot;:false,&quot;suffix&quot;:&quot;&quot;}],&quot;container-title&quot;:&quot;Autonomic Neuroscience: Basic and Clinical&quot;,&quot;id&quot;:&quot;ebc7043e-baec-5669-8d6c-c982f01773ee&quot;,&quot;issued&quot;:{&quot;date-parts&quot;:[[&quot;2016&quot;]]},&quot;page&quot;:&quot;47-51&quot;,&quot;title&quot;:&quot;Physiological adjustments to hypohydration: Impact on thermoregulation&quot;,&quot;type&quot;:&quot;article-journal&quot;,&quot;volume&quot;:&quot;196&quot;,&quot;container-title-short&quot;:&quot;Auton. Neurosci.&quot;},&quot;uris&quot;:[&quot;http://www.mendeley.com/documents/?uuid=6706b394-2a75-4bc0-b850-f3fecfd97bf0&quot;],&quot;isTemporary&quot;:false,&quot;legacyDesktopId&quot;:&quot;6706b394-2a75-4bc0-b850-f3fecfd97bf0&quot;}]},{&quot;citationID&quot;:&quot;MENDELEY_CITATION_826badde-1b59-4107-9b66-184664fc40e6&quot;,&quot;properties&quot;:{&quot;noteIndex&quot;:0},&quot;isEdited&quot;:false,&quot;manualOverride&quot;:{&quot;citeprocText&quot;:&quot;[199]&quot;,&quot;isManuallyOverridden&quot;:false,&quot;manualOverrideText&quot;:&quot;&quot;},&quot;citationTag&quot;:&quot;MENDELEY_CITATION_v3_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&quot;,&quot;citationItems&quot;:[{&quot;id&quot;:&quot;3ee2103d-79eb-509b-9899-65bf3ce5a432&quot;,&quot;itemData&quot;:{&quot;DOI&quot;:&quot;10.3390/s22093177&quot;,&quot;ISSN&quot;:&quot;1424-8220&quot;,&quot;PMID&quot;:&quot;35590866&quot;,&quot;abstract&quot;:&quot;The most traditional sites for electrodermal activity (EDA) data collection, palmar locations such as fingers or palms, are not usually recommended for ambulatory monitoring given that subjects have to use their hands regularly during their daily activities, and therefore, alternative sites are often sought for EDA data collection. In this study, we collected EDA signals (n = 23 subjects, 19 male) from four measurement sites (forehead, back of neck, finger, and inner edge of foot) during cognitive stress and induction of mild motion artifacts by walking and one-handed weightlifting. Furthermore, we computed several EDA indices from the EDA signals obtained from different sites and evaluated their efficiency to classify cognitive stress from the baseline state. We found a high within-subject correlation between the EDA signals obtained from the finger and the feet. Consistently high correlation was also found between the finger and the foot EDA in both the phasic and tonic components. Statistically significant differences were obtained between the baseline and cognitive stress stage only for the EDA indices computed from the finger and the foot EDA. Moreover, the receiver operating characteristic curve for cognitive stress detection showed a higher area-under-the-curve for the EDA indices computed from the finger and foot EDA. We also evaluated the robustness of the different body sites against motion artifacts and found that the foot EDA location was the best alternative to other sites.&quot;,&quot;author&quot;:[{&quot;dropping-particle&quot;:&quot;&quot;,&quot;family&quot;:&quot;Hossain&quot;,&quot;given&quot;:&quot;Md-Billal&quot;,&quot;non-dropping-particle&quot;:&quot;&quot;,&quot;parse-names&quot;:false,&quot;suffix&quot;:&quot;&quot;},{&quot;dropping-particle&quot;:&quot;&quot;,&quot;family&quot;:&quot;Kong&quot;,&quot;given&quot;:&quot;Youngsun&quot;,&quot;non-dropping-particle&quot;:&quot;&quot;,&quot;parse-names&quot;:false,&quot;suffix&quot;:&quot;&quot;},{&quot;dropping-particle&quot;:&quot;&quot;,&quot;family&quot;:&quot;Posada-Quintero&quot;,&quot;given&quot;:&quot;Hugo F.&quot;,&quot;non-dropping-particle&quot;:&quot;&quot;,&quot;parse-names&quot;:false,&quot;suffix&quot;:&quot;&quot;},{&quot;dropping-particle&quot;:&quot;&quot;,&quot;family&quot;:&quot;Chon&quot;,&quot;given&quot;:&quot;Ki H.&quot;,&quot;non-dropping-particle&quot;:&quot;&quot;,&quot;parse-names&quot;:false,&quot;suffix&quot;:&quot;&quot;}],&quot;container-title&quot;:&quot;Sensors&quot;,&quot;id&quot;:&quot;3ee2103d-79eb-509b-9899-65bf3ce5a432&quot;,&quot;issue&quot;:&quot;9&quot;,&quot;issued&quot;:{&quot;date-parts&quot;:[[&quot;2022&quot;,&quot;4&quot;,&quot;21&quot;]]},&quot;page&quot;:&quot;3177&quot;,&quot;title&quot;:&quot;Comparison of Electrodermal Activity from Multiple Body Locations Based on Standard EDA Indices’ Quality and Robustness against Motion Artifact&quot;,&quot;type&quot;:&quot;article-journal&quot;,&quot;volume&quot;:&quot;22&quot;,&quot;container-title-short&quot;:&quot;&quot;},&quot;uris&quot;:[&quot;http://www.mendeley.com/documents/?uuid=aee30d29-251e-4b43-a06e-26a41ec0659c&quot;],&quot;isTemporary&quot;:false,&quot;legacyDesktopId&quot;:&quot;aee30d29-251e-4b43-a06e-26a41ec0659c&quot;}]},{&quot;citationID&quot;:&quot;MENDELEY_CITATION_6d04ce5e-4e26-49d2-8558-42e8cc08ef9c&quot;,&quot;properties&quot;:{&quot;noteIndex&quot;:0},&quot;isEdited&quot;:false,&quot;manualOverride&quot;:{&quot;citeprocText&quot;:&quot;[11,199]&quot;,&quot;isManuallyOverridden&quot;:false,&quot;manualOverrideText&quot;:&quot;&quot;},&quot;citationTag&quot;:&quot;MENDELEY_CITATION_v3_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&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3ee2103d-79eb-509b-9899-65bf3ce5a432&quot;,&quot;itemData&quot;:{&quot;DOI&quot;:&quot;10.3390/s22093177&quot;,&quot;ISSN&quot;:&quot;1424-8220&quot;,&quot;PMID&quot;:&quot;35590866&quot;,&quot;abstract&quot;:&quot;The most traditional sites for electrodermal activity (EDA) data collection, palmar locations such as fingers or palms, are not usually recommended for ambulatory monitoring given that subjects have to use their hands regularly during their daily activities, and therefore, alternative sites are often sought for EDA data collection. In this study, we collected EDA signals (n = 23 subjects, 19 male) from four measurement sites (forehead, back of neck, finger, and inner edge of foot) during cognitive stress and induction of mild motion artifacts by walking and one-handed weightlifting. Furthermore, we computed several EDA indices from the EDA signals obtained from different sites and evaluated their efficiency to classify cognitive stress from the baseline state. We found a high within-subject correlation between the EDA signals obtained from the finger and the feet. Consistently high correlation was also found between the finger and the foot EDA in both the phasic and tonic components. Statistically significant differences were obtained between the baseline and cognitive stress stage only for the EDA indices computed from the finger and the foot EDA. Moreover, the receiver operating characteristic curve for cognitive stress detection showed a higher area-under-the-curve for the EDA indices computed from the finger and foot EDA. We also evaluated the robustness of the different body sites against motion artifacts and found that the foot EDA location was the best alternative to other sites.&quot;,&quot;author&quot;:[{&quot;dropping-particle&quot;:&quot;&quot;,&quot;family&quot;:&quot;Hossain&quot;,&quot;given&quot;:&quot;Md-Billal&quot;,&quot;non-dropping-particle&quot;:&quot;&quot;,&quot;parse-names&quot;:false,&quot;suffix&quot;:&quot;&quot;},{&quot;dropping-particle&quot;:&quot;&quot;,&quot;family&quot;:&quot;Kong&quot;,&quot;given&quot;:&quot;Youngsun&quot;,&quot;non-dropping-particle&quot;:&quot;&quot;,&quot;parse-names&quot;:false,&quot;suffix&quot;:&quot;&quot;},{&quot;dropping-particle&quot;:&quot;&quot;,&quot;family&quot;:&quot;Posada-Quintero&quot;,&quot;given&quot;:&quot;Hugo F.&quot;,&quot;non-dropping-particle&quot;:&quot;&quot;,&quot;parse-names&quot;:false,&quot;suffix&quot;:&quot;&quot;},{&quot;dropping-particle&quot;:&quot;&quot;,&quot;family&quot;:&quot;Chon&quot;,&quot;given&quot;:&quot;Ki H.&quot;,&quot;non-dropping-particle&quot;:&quot;&quot;,&quot;parse-names&quot;:false,&quot;suffix&quot;:&quot;&quot;}],&quot;container-title&quot;:&quot;Sensors&quot;,&quot;id&quot;:&quot;3ee2103d-79eb-509b-9899-65bf3ce5a432&quot;,&quot;issue&quot;:&quot;9&quot;,&quot;issued&quot;:{&quot;date-parts&quot;:[[&quot;2022&quot;,&quot;4&quot;,&quot;21&quot;]]},&quot;page&quot;:&quot;3177&quot;,&quot;title&quot;:&quot;Comparison of Electrodermal Activity from Multiple Body Locations Based on Standard EDA Indices’ Quality and Robustness against Motion Artifact&quot;,&quot;type&quot;:&quot;article-journal&quot;,&quot;volume&quot;:&quot;22&quot;,&quot;container-title-short&quot;:&quot;&quot;},&quot;uris&quot;:[&quot;http://www.mendeley.com/documents/?uuid=aee30d29-251e-4b43-a06e-26a41ec0659c&quot;],&quot;isTemporary&quot;:false,&quot;legacyDesktopId&quot;:&quot;aee30d29-251e-4b43-a06e-26a41ec0659c&quot;}]},{&quot;citationID&quot;:&quot;MENDELEY_CITATION_138c0f7b-f9f6-412d-9c7f-0560e96e5da5&quot;,&quot;properties&quot;:{&quot;noteIndex&quot;:0},&quot;isEdited&quot;:false,&quot;manualOverride&quot;:{&quot;citeprocText&quot;:&quot;[256,267]&quot;,&quot;isManuallyOverridden&quot;:false,&quot;manualOverrideText&quot;:&quot;&quot;},&quot;citationTag&quot;:&quot;MENDELEY_CITATION_v3_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quot;,&quot;citationItems&quot;:[{&quot;id&quot;:&quot;f6936fdc-102e-5def-aa1f-a2dade3c988a&quot;,&quot;itemData&quot;:{&quot;DOI&quot;:&quot;10.1088/1361-6579/ac5007&quot;,&quot;ISSN&quot;:&quot;0967-3334&quot;,&quot;abstract&quot;:&quot;Electrodermal activity (EDA) has been measured in the laboratory since the late 1800s. Although the influence of sudomotor nerve activity and the sympathetic nervous system on EDA is well established, the mechanisms underlying EDA signal generation are not completely understood. Owing to simplicity of instrumentation and modern electronics, these measurements have recently seen a transfer from the laboratory to wearable devices, sparking numerous novel applications while bringing along both challenges and new opportunities. In addition to developments in electronics and miniaturization, current trends in material technology and manufacturing have sparked innovations in electrode technologies, and trends in data science such as machine learning and sensor fusion are expanding the ways that measurement data can be processed and utilized. Although challenges remain for the quality of wearable EDA measurement, ongoing research and developments may shorten the quality gap between wearable EDA and standardized recordings in the laboratory. In this topical review, we provide an overview of the basics of EDA measurement, discuss the challenges and opportunities of wearable EDA, and review recent developments in instrumentation, material technology, signal processing, modeling and data science tools that may advance the field of EDA research and applications over the coming years.&quot;,&quot;author&quot;:[{&quot;dropping-particle&quot;:&quot;&quot;,&quot;family&quot;:&quot;Tronstad&quot;,&quot;given&quot;:&quot;Christian&quot;,&quot;non-dropping-particle&quot;:&quot;&quot;,&quot;parse-names&quot;:false,&quot;suffix&quot;:&quot;&quot;},{&quot;dropping-particle&quot;:&quot;&quot;,&quot;family&quot;:&quot;Amini&quot;,&quot;given&quot;:&quot;Maryam&quot;,&quot;non-dropping-particle&quot;:&quot;&quot;,&quot;parse-names&quot;:false,&quot;suffix&quot;:&quot;&quot;},{&quot;dropping-particle&quot;:&quot;&quot;,&quot;family&quot;:&quot;Bach&quot;,&quot;given&quot;:&quot;Dominik R&quot;,&quot;non-dropping-particle&quot;:&quot;&quot;,&quot;parse-names&quot;:false,&quot;suffix&quot;:&quot;&quot;},{&quot;dropping-particle&quot;:&quot;&quot;,&quot;family&quot;:&quot;Martinsen&quot;,&quot;given&quot;:&quot;Ørjan G&quot;,&quot;non-dropping-particle&quot;:&quot;&quot;,&quot;parse-names&quot;:false,&quot;suffix&quot;:&quot;&quot;}],&quot;container-title&quot;:&quot;Physiological Measurement&quot;,&quot;id&quot;:&quot;f6936fdc-102e-5def-aa1f-a2dade3c988a&quot;,&quot;issue&quot;:&quot;2&quot;,&quot;issued&quot;:{&quot;date-parts&quot;:[[&quot;2022&quot;,&quot;2&quot;,&quot;28&quot;]]},&quot;page&quot;:&quot;02TR01&quot;,&quot;publisher&quot;:&quot;IOP Publishing&quot;,&quot;title&quot;:&quot;Current trends and opportunities in the methodology of electrodermal activity measurement&quot;,&quot;type&quot;:&quot;article-journal&quot;,&quot;volume&quot;:&quot;43&quot;,&quot;container-title-short&quot;:&quot;Physiol. Meas.&quot;},&quot;uris&quot;:[&quot;http://www.mendeley.com/documents/?uuid=a2cdc649-cfde-4993-8f5d-9e029df88789&quot;],&quot;isTemporary&quot;:false,&quot;legacyDesktopId&quot;:&quot;a2cdc649-cfde-4993-8f5d-9e029df88789&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071880be-c686-4be4-a009-9845c4e248c8&quot;,&quot;properties&quot;:{&quot;noteIndex&quot;:0},&quot;isEdited&quot;:false,&quot;manualOverride&quot;:{&quot;citeprocText&quot;:&quot;[11]&quot;,&quot;isManuallyOverridden&quot;:false,&quot;manualOverrideText&quot;:&quot;&quot;},&quot;citationTag&quot;:&quot;MENDELEY_CITATION_v3_eyJjaXRhdGlvbklEIjoiTUVOREVMRVlfQ0lUQVRJT05fMDcxODgwYmUtYzY4Ni00YmU0LWEwMDktOTg0NWM0ZTI0OGM4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03f40065-474f-42f9-8004-da141867100b&quot;,&quot;properties&quot;:{&quot;noteIndex&quot;:0},&quot;isEdited&quot;:false,&quot;manualOverride&quot;:{&quot;citeprocText&quot;:&quot;[11]&quot;,&quot;isManuallyOverridden&quot;:false,&quot;manualOverrideText&quot;:&quot;&quot;},&quot;citationTag&quot;:&quot;MENDELEY_CITATION_v3_eyJjaXRhdGlvbklEIjoiTUVOREVMRVlfQ0lUQVRJT05fMDNmNDAwNjUtNDc0Zi00MmY5LTgwMDQtZGExNDE4NjcxMDBi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745b76d4-35c5-4260-a77f-8729f8413cf7&quot;,&quot;properties&quot;:{&quot;noteIndex&quot;:0},&quot;isEdited&quot;:false,&quot;manualOverride&quot;:{&quot;citeprocText&quot;:&quot;[11]&quot;,&quot;isManuallyOverridden&quot;:false,&quot;manualOverrideText&quot;:&quot;&quot;},&quot;citationTag&quot;:&quot;MENDELEY_CITATION_v3_eyJjaXRhdGlvbklEIjoiTUVOREVMRVlfQ0lUQVRJT05fNzQ1Yjc2ZDQtMzVjNS00MjYwLWE3N2YtODcyOWY4NDEzY2Y3IiwicHJvcGVydGllcyI6eyJub3RlSW5kZXgiOjB9LCJpc0VkaXRlZCI6ZmFsc2UsIm1hbnVhbE92ZXJyaWRlIjp7ImNpdGVwcm9jVGV4dCI6IlsxMV0iLCJpc01hbnVhbGx5T3ZlcnJpZGRlbiI6ZmFsc2UsIm1hbnVhbE92ZXJyaWRlVGV4dCI6IiJ9LCJjaXRhdGlvbkl0ZW1zIjpb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046c1f1a-4dae-40fa-a078-7866262c6376&quot;,&quot;properties&quot;:{&quot;noteIndex&quot;:0},&quot;isEdited&quot;:false,&quot;manualOverride&quot;:{&quot;citeprocText&quot;:&quot;[11,256,267]&quot;,&quot;isManuallyOverridden&quot;:false,&quot;manualOverrideText&quot;:&quot;&quot;},&quot;citationTag&quot;:&quot;MENDELEY_CITATION_v3_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&quot;,&quot;citationItems&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id&quot;:&quot;f6936fdc-102e-5def-aa1f-a2dade3c988a&quot;,&quot;itemData&quot;:{&quot;DOI&quot;:&quot;10.1088/1361-6579/ac5007&quot;,&quot;ISSN&quot;:&quot;0967-3334&quot;,&quot;abstract&quot;:&quot;Electrodermal activity (EDA) has been measured in the laboratory since the late 1800s. Although the influence of sudomotor nerve activity and the sympathetic nervous system on EDA is well established, the mechanisms underlying EDA signal generation are not completely understood. Owing to simplicity of instrumentation and modern electronics, these measurements have recently seen a transfer from the laboratory to wearable devices, sparking numerous novel applications while bringing along both challenges and new opportunities. In addition to developments in electronics and miniaturization, current trends in material technology and manufacturing have sparked innovations in electrode technologies, and trends in data science such as machine learning and sensor fusion are expanding the ways that measurement data can be processed and utilized. Although challenges remain for the quality of wearable EDA measurement, ongoing research and developments may shorten the quality gap between wearable EDA and standardized recordings in the laboratory. In this topical review, we provide an overview of the basics of EDA measurement, discuss the challenges and opportunities of wearable EDA, and review recent developments in instrumentation, material technology, signal processing, modeling and data science tools that may advance the field of EDA research and applications over the coming years.&quot;,&quot;author&quot;:[{&quot;dropping-particle&quot;:&quot;&quot;,&quot;family&quot;:&quot;Tronstad&quot;,&quot;given&quot;:&quot;Christian&quot;,&quot;non-dropping-particle&quot;:&quot;&quot;,&quot;parse-names&quot;:false,&quot;suffix&quot;:&quot;&quot;},{&quot;dropping-particle&quot;:&quot;&quot;,&quot;family&quot;:&quot;Amini&quot;,&quot;given&quot;:&quot;Maryam&quot;,&quot;non-dropping-particle&quot;:&quot;&quot;,&quot;parse-names&quot;:false,&quot;suffix&quot;:&quot;&quot;},{&quot;dropping-particle&quot;:&quot;&quot;,&quot;family&quot;:&quot;Bach&quot;,&quot;given&quot;:&quot;Dominik R&quot;,&quot;non-dropping-particle&quot;:&quot;&quot;,&quot;parse-names&quot;:false,&quot;suffix&quot;:&quot;&quot;},{&quot;dropping-particle&quot;:&quot;&quot;,&quot;family&quot;:&quot;Martinsen&quot;,&quot;given&quot;:&quot;Ørjan G&quot;,&quot;non-dropping-particle&quot;:&quot;&quot;,&quot;parse-names&quot;:false,&quot;suffix&quot;:&quot;&quot;}],&quot;container-title&quot;:&quot;Physiological Measurement&quot;,&quot;id&quot;:&quot;f6936fdc-102e-5def-aa1f-a2dade3c988a&quot;,&quot;issue&quot;:&quot;2&quot;,&quot;issued&quot;:{&quot;date-parts&quot;:[[&quot;2022&quot;,&quot;2&quot;,&quot;28&quot;]]},&quot;page&quot;:&quot;02TR01&quot;,&quot;publisher&quot;:&quot;IOP Publishing&quot;,&quot;title&quot;:&quot;Current trends and opportunities in the methodology of electrodermal activity measurement&quot;,&quot;type&quot;:&quot;article-journal&quot;,&quot;volume&quot;:&quot;43&quot;,&quot;container-title-short&quot;:&quot;Physiol. Meas.&quot;},&quot;uris&quot;:[&quot;http://www.mendeley.com/documents/?uuid=a2cdc649-cfde-4993-8f5d-9e029df88789&quot;],&quot;isTemporary&quot;:false,&quot;legacyDesktopId&quot;:&quot;a2cdc649-cfde-4993-8f5d-9e029df88789&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40af9bd2-9431-48e8-b8f2-68bb20e3b46b&quot;,&quot;properties&quot;:{&quot;noteIndex&quot;:0},&quot;isEdited&quot;:false,&quot;manualOverride&quot;:{&quot;citeprocText&quot;:&quot;[268]&quot;,&quot;isManuallyOverridden&quot;:false,&quot;manualOverrideText&quot;:&quot;&quot;},&quot;citationTag&quot;:&quot;MENDELEY_CITATION_v3_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&quot;,&quot;citationItems&quot;:[{&quot;id&quot;:&quot;26bd50e8-c7e1-5efc-9f0b-f71a0f3b4722&quot;,&quot;itemData&quot;:{&quot;DOI&quot;:&quot;10.1111/j.1469-8986.2012.01384.x&quot;,&quot;ISSN&quot;:&quot;14698986&quot;,&quot;PMID&quot;:&quot;22680988&quot;,&quot;abstract&quot;:&quot;This committee was appointed by the SPR Board to provide recommendations for publishing data on electrodermal activity (EDA). They are intended to be a stand-alone source for newcomers and experienced users. A short outline of principles for electrodermal measurement is given, and recommendations from an earlier report (Fowles et al., 1981) are incorporated. Three fundamental techniques of EDA recording are described: (1) endosomatic recording without the application of an external current, (2) exosomatic recording with direct current (the most widely applied methodology), and (3) exosomatic recording with alternating current-to date infrequently used but a promising future methodology. In addition to EDA recording in laboratories, ambulatory recording has become an emerging technique. Specific problems that come with this recording of EDA in the field are discussed, as are those emerging from recording EDA within a magnetic field (e.g., fMRI). Recommendations for the details that should be mentioned in publications of EDA methods and results are provided. © 2012 Society for Psychophysiological Research.&quot;,&quot;author&quot;:[{&quot;dropping-particle&quot;:&quot;&quot;,&quot;family&quot;:&quot;Boucsein&quot;,&quot;given&quot;:&quot;Wolfram&quot;,&quot;non-dropping-particle&quot;:&quot;&quot;,&quot;parse-names&quot;:false,&quot;suffix&quot;:&quot;&quot;},{&quot;dropping-particle&quot;:&quot;&quot;,&quot;family&quot;:&quot;Fowles&quot;,&quot;given&quot;:&quot;Don C.&quot;,&quot;non-dropping-particle&quot;:&quot;&quot;,&quot;parse-names&quot;:false,&quot;suffix&quot;:&quot;&quot;},{&quot;dropping-particle&quot;:&quot;&quot;,&quot;family&quot;:&quot;Grimnes&quot;,&quot;given&quot;:&quot;Sverre&quot;,&quot;non-dropping-particle&quot;:&quot;&quot;,&quot;parse-names&quot;:false,&quot;suffix&quot;:&quot;&quot;},{&quot;dropping-particle&quot;:&quot;&quot;,&quot;family&quot;:&quot;Ben-Shakhar&quot;,&quot;given&quot;:&quot;Gershon&quot;,&quot;non-dropping-particle&quot;:&quot;&quot;,&quot;parse-names&quot;:false,&quot;suffix&quot;:&quot;&quot;},{&quot;dropping-particle&quot;:&quot;&quot;,&quot;family&quot;:&quot;Roth&quot;,&quot;given&quot;:&quot;Walton T.&quot;,&quot;non-dropping-particle&quot;:&quot;&quot;,&quot;parse-names&quot;:false,&quot;suffix&quot;:&quot;&quot;},{&quot;dropping-particle&quot;:&quot;&quot;,&quot;family&quot;:&quot;Dawson&quot;,&quot;given&quot;:&quot;Michael E.&quot;,&quot;non-dropping-particle&quot;:&quot;&quot;,&quot;parse-names&quot;:false,&quot;suffix&quot;:&quot;&quot;},{&quot;dropping-particle&quot;:&quot;&quot;,&quot;family&quot;:&quot;Filion&quot;,&quot;given&quot;:&quot;Diane L.&quot;,&quot;non-dropping-particle&quot;:&quot;&quot;,&quot;parse-names&quot;:false,&quot;suffix&quot;:&quot;&quot;}],&quot;container-title&quot;:&quot;Psychophysiology&quot;,&quot;id&quot;:&quot;26bd50e8-c7e1-5efc-9f0b-f71a0f3b4722&quot;,&quot;issue&quot;:&quot;8&quot;,&quot;issued&quot;:{&quot;date-parts&quot;:[[&quot;2012&quot;]]},&quot;page&quot;:&quot;1017-1034&quot;,&quot;title&quot;:&quot;Publication recommendations for electrodermal measurements&quot;,&quot;type&quot;:&quot;article-journal&quot;,&quot;volume&quot;:&quot;49&quot;,&quot;container-title-short&quot;:&quot;Psychophysiology&quot;},&quot;uris&quot;:[&quot;http://www.mendeley.com/documents/?uuid=36c62b94-812e-4ce7-b799-beb73b7a571a&quot;],&quot;isTemporary&quot;:false,&quot;legacyDesktopId&quot;:&quot;36c62b94-812e-4ce7-b799-beb73b7a571a&quot;}]},{&quot;citationID&quot;:&quot;MENDELEY_CITATION_b0a11789-64db-41a9-99df-884302bb6995&quot;,&quot;properties&quot;:{&quot;noteIndex&quot;:0},&quot;isEdited&quot;:false,&quot;manualOverride&quot;:{&quot;citeprocText&quot;:&quot;[267]&quot;,&quot;isManuallyOverridden&quot;:false,&quot;manualOverrideText&quot;:&quot;&quot;},&quot;citationTag&quot;:&quot;MENDELEY_CITATION_v3_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&quot;,&quot;citationItems&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60325234-e87b-4954-a6f3-6b472bb28e3e&quot;,&quot;properties&quot;:{&quot;noteIndex&quot;:0},&quot;isEdited&quot;:false,&quot;manualOverride&quot;:{&quot;citeprocText&quot;:&quot;[267,268]&quot;,&quot;isManuallyOverridden&quot;:false,&quot;manualOverrideText&quot;:&quot;&quot;},&quot;citationTag&quot;:&quot;MENDELEY_CITATION_v3_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&quot;,&quot;citationItems&quot;:[{&quot;id&quot;:&quot;26bd50e8-c7e1-5efc-9f0b-f71a0f3b4722&quot;,&quot;itemData&quot;:{&quot;DOI&quot;:&quot;10.1111/j.1469-8986.2012.01384.x&quot;,&quot;ISSN&quot;:&quot;14698986&quot;,&quot;PMID&quot;:&quot;22680988&quot;,&quot;abstract&quot;:&quot;This committee was appointed by the SPR Board to provide recommendations for publishing data on electrodermal activity (EDA). They are intended to be a stand-alone source for newcomers and experienced users. A short outline of principles for electrodermal measurement is given, and recommendations from an earlier report (Fowles et al., 1981) are incorporated. Three fundamental techniques of EDA recording are described: (1) endosomatic recording without the application of an external current, (2) exosomatic recording with direct current (the most widely applied methodology), and (3) exosomatic recording with alternating current-to date infrequently used but a promising future methodology. In addition to EDA recording in laboratories, ambulatory recording has become an emerging technique. Specific problems that come with this recording of EDA in the field are discussed, as are those emerging from recording EDA within a magnetic field (e.g., fMRI). Recommendations for the details that should be mentioned in publications of EDA methods and results are provided. © 2012 Society for Psychophysiological Research.&quot;,&quot;author&quot;:[{&quot;dropping-particle&quot;:&quot;&quot;,&quot;family&quot;:&quot;Boucsein&quot;,&quot;given&quot;:&quot;Wolfram&quot;,&quot;non-dropping-particle&quot;:&quot;&quot;,&quot;parse-names&quot;:false,&quot;suffix&quot;:&quot;&quot;},{&quot;dropping-particle&quot;:&quot;&quot;,&quot;family&quot;:&quot;Fowles&quot;,&quot;given&quot;:&quot;Don C.&quot;,&quot;non-dropping-particle&quot;:&quot;&quot;,&quot;parse-names&quot;:false,&quot;suffix&quot;:&quot;&quot;},{&quot;dropping-particle&quot;:&quot;&quot;,&quot;family&quot;:&quot;Grimnes&quot;,&quot;given&quot;:&quot;Sverre&quot;,&quot;non-dropping-particle&quot;:&quot;&quot;,&quot;parse-names&quot;:false,&quot;suffix&quot;:&quot;&quot;},{&quot;dropping-particle&quot;:&quot;&quot;,&quot;family&quot;:&quot;Ben-Shakhar&quot;,&quot;given&quot;:&quot;Gershon&quot;,&quot;non-dropping-particle&quot;:&quot;&quot;,&quot;parse-names&quot;:false,&quot;suffix&quot;:&quot;&quot;},{&quot;dropping-particle&quot;:&quot;&quot;,&quot;family&quot;:&quot;Roth&quot;,&quot;given&quot;:&quot;Walton T.&quot;,&quot;non-dropping-particle&quot;:&quot;&quot;,&quot;parse-names&quot;:false,&quot;suffix&quot;:&quot;&quot;},{&quot;dropping-particle&quot;:&quot;&quot;,&quot;family&quot;:&quot;Dawson&quot;,&quot;given&quot;:&quot;Michael E.&quot;,&quot;non-dropping-particle&quot;:&quot;&quot;,&quot;parse-names&quot;:false,&quot;suffix&quot;:&quot;&quot;},{&quot;dropping-particle&quot;:&quot;&quot;,&quot;family&quot;:&quot;Filion&quot;,&quot;given&quot;:&quot;Diane L.&quot;,&quot;non-dropping-particle&quot;:&quot;&quot;,&quot;parse-names&quot;:false,&quot;suffix&quot;:&quot;&quot;}],&quot;container-title&quot;:&quot;Psychophysiology&quot;,&quot;id&quot;:&quot;26bd50e8-c7e1-5efc-9f0b-f71a0f3b4722&quot;,&quot;issue&quot;:&quot;8&quot;,&quot;issued&quot;:{&quot;date-parts&quot;:[[&quot;2012&quot;]]},&quot;page&quot;:&quot;1017-1034&quot;,&quot;title&quot;:&quot;Publication recommendations for electrodermal measurements&quot;,&quot;type&quot;:&quot;article-journal&quot;,&quot;volume&quot;:&quot;49&quot;,&quot;container-title-short&quot;:&quot;Psychophysiology&quot;},&quot;uris&quot;:[&quot;http://www.mendeley.com/documents/?uuid=36c62b94-812e-4ce7-b799-beb73b7a571a&quot;],&quot;isTemporary&quot;:false,&quot;legacyDesktopId&quot;:&quot;36c62b94-812e-4ce7-b799-beb73b7a571a&quot;},{&quot;id&quot;:&quot;457b14e9-fa0a-5fce-aca3-cf4e26d3edee&quot;,&quot;itemData&quot;:{&quot;abstract&quot;:&quot;The Biopac MP36R is a state-of-the-art DAQ device. With specific reference to EDA, it produces exosomatic (DC) measures of skin conductance. It has 4-channels, each of which can be configured to sample up to 100,000samples/sec. It utilises a 24-bit A/D converter making it the fastest sampling and most sensitive device of its type currently available. The device is purely software configured (AcqKnowledge) and has no hardware setting-switches on it (other that the power switch to turn it on). It can be interfaced directly to a computer responsible for stimulus presentation so that EDA correlates of specific stimuli can be tagged and detected or it can be used in a more clinical and ambulatory setting merely gathering EDA measures in response to more general environmental / situational stimulation. All data can be analysed in AcqKnowledge and / or saved in formats of other leading packages for further extended analyses (e.g., Excel, Matlab). The existence of 4-channels means that EDA measurements can be simultaneously complemented by additional psychophysiological measures. Data from the MP36R can also be time-linked to concurrent video recordings, where both can be played-back in concert / parallel. This makes it particularly useful for clinical settings and patient-based neuropsychology. The MP36R can also be used as a 4- channel EEG and multiple devices can be linked together to provide more channels. 2&quot;,&quot;author&quot;:[{&quot;dropping-particle&quot;:&quot;&quot;,&quot;family&quot;:&quot;Braithwaite&quot;,&quot;given&quot;:&quot;Jason J&quot;,&quot;non-dropping-particle&quot;:&quot;&quot;,&quot;parse-names&quot;:false,&quot;suffix&quot;:&quot;&quot;},{&quot;dropping-particle&quot;:&quot;&quot;,&quot;family&quot;:&quot;Derrick&quot;,&quot;given&quot;:&quot;Watson G.&quot;,&quot;non-dropping-particle&quot;:&quot;&quot;,&quot;parse-names&quot;:false,&quot;suffix&quot;:&quot;&quot;},{&quot;dropping-particle&quot;:&quot;&quot;,&quot;family&quot;:&quot;Jones&quot;,&quot;given&quot;:&quot;Robert&quot;,&quot;non-dropping-particle&quot;:&quot;&quot;,&quot;parse-names&quot;:false,&quot;suffix&quot;:&quot;&quot;},{&quot;dropping-particle&quot;:&quot;&quot;,&quot;family&quot;:&quot;Rowe&quot;,&quot;given&quot;:&quot;Mickey&quot;,&quot;non-dropping-particle&quot;:&quot;&quot;,&quot;parse-names&quot;:false,&quot;suffix&quot;:&quot;&quot;}],&quot;id&quot;:&quot;457b14e9-fa0a-5fce-aca3-cf4e26d3edee&quot;,&quot;issued&quot;:{&quot;date-parts&quot;:[[&quot;2015&quot;]]},&quot;number-of-pages&quot;:&quot;1-42&quot;,&quot;publisher-place&quot;:&quot;Birmingham, UK&quot;,&quot;title&quot;:&quot;A Guide for Analysing Electrodermal Activity (EDA) &amp;amp; Skin Conductance Responses (SCRs) for Psychological Experiments&quot;,&quot;type&quot;:&quot;report&quot;,&quot;container-title-short&quot;:&quot;&quot;},&quot;uris&quot;:[&quot;http://www.mendeley.com/documents/?uuid=87294a2d-d7e9-4a99-89d2-304ea8d68bb0&quot;],&quot;isTemporary&quot;:false,&quot;legacyDesktopId&quot;:&quot;87294a2d-d7e9-4a99-89d2-304ea8d68bb0&quot;}]},{&quot;citationID&quot;:&quot;MENDELEY_CITATION_073c0f32-e315-4e8e-b9af-1066290e54ae&quot;,&quot;properties&quot;:{&quot;noteIndex&quot;:0},&quot;isEdited&quot;:false,&quot;manualOverride&quot;:{&quot;citeprocText&quot;:&quot;[3,269]&quot;,&quot;isManuallyOverridden&quot;:false,&quot;manualOverrideText&quot;:&quot;&quot;},&quot;citationTag&quot;:&quot;MENDELEY_CITATION_v3_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&quot;,&quot;citationItems&quot;:[{&quot;id&quot;:&quot;6b856296-4f9a-5beb-9d32-fd2937dbfae0&quot;,&quot;itemData&quot;:{&quot;author&quot;:[{&quot;dropping-particle&quot;:&quot;&quot;,&quot;family&quot;:&quot;ISO&quot;,&quot;given&quot;:&quot;&quot;,&quot;non-dropping-particle&quot;:&quot;&quot;,&quot;parse-names&quot;:false,&quot;suffix&quot;:&quot;&quot;}],&quot;id&quot;:&quot;6b856296-4f9a-5beb-9d32-fd2937dbfae0&quot;,&quot;issued&quot;:{&quot;date-parts&quot;:[[&quot;2004&quot;]]},&quot;publisher-place&quot;:&quot;Geneva&quot;,&quot;title&quot;:&quot;ISO 9886:2004 Ergonomics — Evaluation of thermal strain by physiological measurements&quot;,&quot;type&quot;:&quot;report&quot;,&quot;container-title-short&quot;:&quot;&quot;},&quot;uris&quot;:[&quot;http://www.mendeley.com/documents/?uuid=422fb577-67ce-4ffa-bdd8-4a2105c6d01e&quot;],&quot;isTemporary&quot;:false,&quot;legacyDesktopId&quot;:&quot;422fb577-67ce-4ffa-bdd8-4a2105c6d01e&quot;},{&quot;id&quot;:&quot;e4536b34-29b0-5ea0-af16-f2d8b46f6cda&quot;,&quot;itemData&quot;:{&quot;DOI&quot;:&quot;10.1113/jphysiol.2012.248823&quot;,&quot;ISSN&quot;:&quot;0022-3751&quot;,&quot;PMID&quot;:&quot;23459754&quot;,&quot;abstract&quot;:&quot;A relative exercise intensity (% ) protocol is often used to compare absolute whole‐body sweat rates (WBSRs) during exercise between participants of different aerobic capacity. Under conditions permitting full evaporation, heat balance theory suggests that exercise intensity should be fixed to elicit the same rate of evaporation required for heat balance ( E req ). Whole‐body direct calorimetry was employed to measure WBSRs throughout 90 min of exercise across a range of air temperatures and rates of metabolic heat production. Irrespective of ambient temperature and metabolic heat production, E req alone described ∼90% of all variability in WBSR during steady‐state and non‐steady‐state exercise, whereas &lt;2% of variation was independently described by % . To perform an unbiased comparison of WBSRs (but not necessarily core temperature) between different individuals/groups under conditions allowing full evaporation, future studies should consider using a fixed E req irrespective of the % incurred.&quot;,&quot;author&quot;:[{&quot;dropping-particle&quot;:&quot;&quot;,&quot;family&quot;:&quot;Gagnon&quot;,&quot;given&quot;:&quot;Daniel&quot;,&quot;non-dropping-particle&quot;:&quot;&quot;,&quot;parse-names&quot;:false,&quot;suffix&quot;:&quot;&quot;},{&quot;dropping-particle&quot;:&quot;&quot;,&quot;family&quot;:&quot;Jay&quot;,&quot;given&quot;:&quot;Ollie&quot;,&quot;non-dropping-particle&quot;:&quot;&quot;,&quot;parse-names&quot;:false,&quot;suffix&quot;:&quot;&quot;},{&quot;dropping-particle&quot;:&quot;&quot;,&quot;family&quot;:&quot;Kenny&quot;,&quot;given&quot;:&quot;Glen P.&quot;,&quot;non-dropping-particle&quot;:&quot;&quot;,&quot;parse-names&quot;:false,&quot;suffix&quot;:&quot;&quot;}],&quot;container-title&quot;:&quot;The Journal of Physiology&quot;,&quot;id&quot;:&quot;e4536b34-29b0-5ea0-af16-f2d8b46f6cda&quot;,&quot;issue&quot;:&quot;11&quot;,&quot;issued&quot;:{&quot;date-parts&quot;:[[&quot;2013&quot;,&quot;6&quot;,&quot;5&quot;]]},&quot;page&quot;:&quot;2925-2935&quot;,&quot;title&quot;:&quot;The evaporative requirement for heat balance determines whole‐body sweat rate during exercise under conditions permitting full evaporation&quot;,&quot;type&quot;:&quot;article-journal&quot;,&quot;volume&quot;:&quot;591&quot;,&quot;container-title-short&quot;:&quot;J. Physiol.&quot;},&quot;uris&quot;:[&quot;http://www.mendeley.com/documents/?uuid=a9e6a9f3-bc9c-4cc5-b58e-c4eaac317e83&quot;],&quot;isTemporary&quot;:false,&quot;legacyDesktopId&quot;:&quot;a9e6a9f3-bc9c-4cc5-b58e-c4eaac317e83&quot;}]},{&quot;citationID&quot;:&quot;MENDELEY_CITATION_8af927a4-f10e-46ab-8722-748bdf88d726&quot;,&quot;properties&quot;:{&quot;noteIndex&quot;:0},&quot;isEdited&quot;:false,&quot;manualOverride&quot;:{&quot;citeprocText&quot;:&quot;[11,183]&quot;,&quot;isManuallyOverridden&quot;:false,&quot;manualOverrideText&quot;:&quot;&quot;},&quot;citationTag&quot;:&quot;MENDELEY_CITATION_v3_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&quot;,&quot;citationItems&quot;:[{&quot;id&quot;:&quot;dd8fb7eb-ca0e-56d9-b08b-018237116a99&quot;,&quot;itemData&quot;:{&quot;DOI&quot;:&quot;10.1016/j.jneumeth.2010.04.028&quot;,&quot;ISSN&quot;:&quot;01650270&quot;,&quot;PMID&quot;:&quot;20451556&quot;,&quot;abstract&quot;:&quot;Electrodermal activity is characterized by the superposition of what appear to be single distinct skin conductance responses (SCRs). Classic trough-to-peak analysis of these responses is impeded by their apparent superposition. A deconvolution approach is proposed, which separates SC data into continuous signals of tonic and phasic activity. The resulting phasic activity shows a zero baseline, and overlapping SCRs are represented by predominantly distinct, compact impulses showing an average duration of less than 2. s. A time integration of the continuous measure of phasic activity is proposed as a straightforward indicator of event-related sympathetic activity. The quality and benefit of the proposed measure is demonstrated in an experiment with short interstimulus intervals as well as by means of a simulation study. The advances compared to previous decomposition methods are discussed. © 2010 Elsevier B.V.&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Journal of Neuroscience Methods&quot;,&quot;id&quot;:&quot;dd8fb7eb-ca0e-56d9-b08b-018237116a99&quot;,&quot;issue&quot;:&quot;1&quot;,&quot;issued&quot;:{&quot;date-parts&quot;:[[&quot;2010&quot;]]},&quot;page&quot;:&quot;80-91&quot;,&quot;publisher&quot;:&quot;Elsevier B.V.&quot;,&quot;title&quot;:&quot;A continuous measure of phasic electrodermal activity&quot;,&quot;type&quot;:&quot;article-journal&quot;,&quot;volume&quot;:&quot;190&quot;,&quot;container-title-short&quot;:&quot;J. Neurosci. Methods&quot;},&quot;uris&quot;:[&quot;http://www.mendeley.com/documents/?uuid=991ad72d-692a-4d78-86c0-a3a397b212fe&quot;],&quot;isTemporary&quot;:false,&quot;legacyDesktopId&quot;:&quot;991ad72d-692a-4d78-86c0-a3a397b212fe&quot;},{&quot;id&quot;:&quot;6103cb99-cb8a-5cfb-9e73-d3862cf1ccff&quot;,&quot;itemData&quot;:{&quot;DOI&quot;:&quot;10.1007/978-1-4614-1126-0&quot;,&quot;ISBN&quot;:&quot;978-1-4614-1125-3&quot;,&quot;author&quot;:[{&quot;dropping-particle&quot;:&quot;&quot;,&quot;family&quot;:&quot;Boucsein&quot;,&quot;given&quot;:&quot;Wolfram&quot;,&quot;non-dropping-particle&quot;:&quot;&quot;,&quot;parse-names&quot;:false,&quot;suffix&quot;:&quot;&quot;}],&quot;edition&quot;:&quot;2nd&quot;,&quot;id&quot;:&quot;6103cb99-cb8a-5cfb-9e73-d3862cf1ccff&quot;,&quot;issued&quot;:{&quot;date-parts&quot;:[[&quot;2012&quot;]]},&quot;publisher&quot;:&quot;Springer US&quot;,&quot;publisher-place&quot;:&quot;Boston, MA&quot;,&quot;title&quot;:&quot;Electrodermal Activity&quot;,&quot;type&quot;:&quot;book&quot;,&quot;container-title-short&quot;:&quot;&quot;},&quot;uris&quot;:[&quot;http://www.mendeley.com/documents/?uuid=58391327-d343-4764-98f3-a47dcd6fedde&quot;],&quot;isTemporary&quot;:false,&quot;legacyDesktopId&quot;:&quot;58391327-d343-4764-98f3-a47dcd6fedde&quot;}]},{&quot;citationID&quot;:&quot;MENDELEY_CITATION_1e1e1c92-c11c-4bbe-9a2e-20ddcf6bf92a&quot;,&quot;properties&quot;:{&quot;noteIndex&quot;:0},&quot;isEdited&quot;:false,&quot;manualOverride&quot;:{&quot;citeprocText&quot;:&quot;[270]&quot;,&quot;isManuallyOverridden&quot;:false,&quot;manualOverrideText&quot;:&quot;&quot;},&quot;citationTag&quot;:&quot;MENDELEY_CITATION_v3_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&quot;,&quot;citationItems&quot;:[{&quot;id&quot;:&quot;b492766c-0025-5567-be75-84e5d45c6732&quot;,&quot;itemData&quot;:{&quot;DOI&quot;:&quot;10.3758/s13428-020-01516-y&quot;,&quot;ISSN&quot;:&quot;15543528&quot;,&quot;PMID&quot;:&quot;33528817&quot;,&quot;abstract&quot;:&quot;NeuroKit2 is an open-source, community-driven, and user-centered Python package for neurophysiological signal processing. It provides a comprehensive suite of processing routines for a variety of bodily signals (e.g., ECG, PPG, EDA, EMG, RSP). These processing routines include high-level functions that enable data processing in a few lines of code using validated pipelines, which we illustrate in two examples covering the most typical scenarios, such as an event-related paradigm and an interval-related analysis. The package also includes tools for specific processing steps such as rate extraction and filtering methods, offering a trade-off between high-level convenience and fine-tuned control. Its goal is to improve transparency and reproducibility in neurophysiological research, as well as foster exploration and innovation. Its design philosophy is centred on user-experience and accessibility to both novice and advanced users.&quot;,&quot;author&quot;:[{&quot;dropping-particle&quot;:&quot;&quot;,&quot;family&quot;:&quot;Makowski&quot;,&quot;given&quot;:&quot;Dominique&quot;,&quot;non-dropping-particle&quot;:&quot;&quot;,&quot;parse-names&quot;:false,&quot;suffix&quot;:&quot;&quot;},{&quot;dropping-particle&quot;:&quot;&quot;,&quot;family&quot;:&quot;Pham&quot;,&quot;given&quot;:&quot;Tam&quot;,&quot;non-dropping-particle&quot;:&quot;&quot;,&quot;parse-names&quot;:false,&quot;suffix&quot;:&quot;&quot;},{&quot;dropping-particle&quot;:&quot;&quot;,&quot;family&quot;:&quot;Lau&quot;,&quot;given&quot;:&quot;Zen J.&quot;,&quot;non-dropping-particle&quot;:&quot;&quot;,&quot;parse-names&quot;:false,&quot;suffix&quot;:&quot;&quot;},{&quot;dropping-particle&quot;:&quot;&quot;,&quot;family&quot;:&quot;Brammer&quot;,&quot;given&quot;:&quot;Jan C.&quot;,&quot;non-dropping-particle&quot;:&quot;&quot;,&quot;parse-names&quot;:false,&quot;suffix&quot;:&quot;&quot;},{&quot;dropping-particle&quot;:&quot;&quot;,&quot;family&quot;:&quot;Lespinasse&quot;,&quot;given&quot;:&quot;François&quot;,&quot;non-dropping-particle&quot;:&quot;&quot;,&quot;parse-names&quot;:false,&quot;suffix&quot;:&quot;&quot;},{&quot;dropping-particle&quot;:&quot;&quot;,&quot;family&quot;:&quot;Pham&quot;,&quot;given&quot;:&quot;Hung&quot;,&quot;non-dropping-particle&quot;:&quot;&quot;,&quot;parse-names&quot;:false,&quot;suffix&quot;:&quot;&quot;},{&quot;dropping-particle&quot;:&quot;&quot;,&quot;family&quot;:&quot;Schölzel&quot;,&quot;given&quot;:&quot;Christopher&quot;,&quot;non-dropping-particle&quot;:&quot;&quot;,&quot;parse-names&quot;:false,&quot;suffix&quot;:&quot;&quot;},{&quot;dropping-particle&quot;:&quot;&quot;,&quot;family&quot;:&quot;Chen&quot;,&quot;given&quot;:&quot;S. H.Annabel&quot;,&quot;non-dropping-particle&quot;:&quot;&quot;,&quot;parse-names&quot;:false,&quot;suffix&quot;:&quot;&quot;}],&quot;container-title&quot;:&quot;Behavior Research Methods&quot;,&quot;id&quot;:&quot;b492766c-0025-5567-be75-84e5d45c6732&quot;,&quot;issue&quot;:&quot;4&quot;,&quot;issued&quot;:{&quot;date-parts&quot;:[[&quot;2021&quot;]]},&quot;page&quot;:&quot;1689-1696&quot;,&quot;title&quot;:&quot;NeuroKit2: A Python toolbox for neurophysiological signal processing&quot;,&quot;type&quot;:&quot;article-journal&quot;,&quot;volume&quot;:&quot;53&quot;,&quot;container-title-short&quot;:&quot;Behav. Res. Methods&quot;},&quot;uris&quot;:[&quot;http://www.mendeley.com/documents/?uuid=036ad64b-d79e-4ac9-a991-aac04da5e996&quot;],&quot;isTemporary&quot;:false,&quot;legacyDesktopId&quot;:&quot;036ad64b-d79e-4ac9-a991-aac04da5e996&quot;}]},{&quot;citationID&quot;:&quot;MENDELEY_CITATION_a18cf840-e2bb-4dc0-9f20-7c8016949b71&quot;,&quot;properties&quot;:{&quot;noteIndex&quot;:0},&quot;isEdited&quot;:false,&quot;manualOverride&quot;:{&quot;citeprocText&quot;:&quot;[271]&quot;,&quot;isManuallyOverridden&quot;:false,&quot;manualOverrideText&quot;:&quot;&quot;},&quot;citationTag&quot;:&quot;MENDELEY_CITATION_v3_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&quot;,&quot;citationItems&quot;:[{&quot;id&quot;:&quot;499552f6-e504-55c9-9dbe-e41699e5cad1&quot;,&quot;itemData&quot;:{&quot;DOI&quot;:&quot;10.1111/j.1469-8986.2009.00972.x&quot;,&quot;ISSN&quot;:&quot;00485772&quot;,&quot;PMID&quot;:&quot;20230512&quot;,&quot;abstract&quot;:&quot;Skin conductance (SC) data are usually characterized by a sequence of overlapping phasic skin conductance responses (SCRs) overlying a tonic component. The variability of SCR shapes hereby complicates the proper decomposition of SC data. A method is proposed for full decomposition of SC data into tonic and phasic components. A two-compartment diffusion model was found to adequately describe a standard SCR shape based on the process of sweat diffusion. Nonnegative deconvolution is used to decompose SC data into discrete compact responses and at the same time assess deviations from the standard SCR shape, which could be ascribed to the additional process of pore opening. Based on the result of single non-overlapped SCRs, response parameters can be estimated precisely as shown in a paradigm with varying inter-stimulus intervals. Copyright © 2010 Society for Psychophysiological Research.&quot;,&quot;author&quot;:[{&quot;dropping-particle&quot;:&quot;&quot;,&quot;family&quot;:&quot;Benedek&quot;,&quot;given&quot;:&quot;Mathias&quot;,&quot;non-dropping-particle&quot;:&quot;&quot;,&quot;parse-names&quot;:false,&quot;suffix&quot;:&quot;&quot;},{&quot;dropping-particle&quot;:&quot;&quot;,&quot;family&quot;:&quot;Kaernbach&quot;,&quot;given&quot;:&quot;Christian&quot;,&quot;non-dropping-particle&quot;:&quot;&quot;,&quot;parse-names&quot;:false,&quot;suffix&quot;:&quot;&quot;}],&quot;container-title&quot;:&quot;Psychophysiology&quot;,&quot;id&quot;:&quot;499552f6-e504-55c9-9dbe-e41699e5cad1&quot;,&quot;issue&quot;:&quot;4&quot;,&quot;issued&quot;:{&quot;date-parts&quot;:[[&quot;2010&quot;]]},&quot;page&quot;:&quot;647-658&quot;,&quot;title&quot;:&quot;Decomposition of skin conductance data by means of nonnegative deconvolution&quot;,&quot;type&quot;:&quot;article-journal&quot;,&quot;volume&quot;:&quot;47&quot;,&quot;container-title-short&quot;:&quot;Psychophysiology&quot;},&quot;uris&quot;:[&quot;http://www.mendeley.com/documents/?uuid=107f8e9a-b53e-457b-b15e-01eee77019ef&quot;,&quot;http://www.mendeley.com/documents/?uuid=3c3959a4-5903-4429-9d7b-9e01e40e5cc5&quot;],&quot;isTemporary&quot;:false,&quot;legacyDesktopId&quot;:&quot;107f8e9a-b53e-457b-b15e-01eee77019ef&quot;}]},{&quot;citationID&quot;:&quot;MENDELEY_CITATION_18819d42-f2e8-4575-a657-5e6c16cc2661&quot;,&quot;properties&quot;:{&quot;noteIndex&quot;:0},&quot;isEdited&quot;:false,&quot;manualOverride&quot;:{&quot;citeprocText&quot;:&quot;[272]&quot;,&quot;isManuallyOverridden&quot;:false,&quot;manualOverrideText&quot;:&quot;&quot;},&quot;citationTag&quot;:&quot;MENDELEY_CITATION_v3_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&quot;,&quot;citationItems&quot;:[{&quot;id&quot;:&quot;2b92b87c-b413-53cd-8953-675ff2649e8e&quot;,&quot;itemData&quot;:{&quot;DOI&quot;:&quot;10.3389/fneur.2023.1249170&quot;,&quot;ISSN&quot;:&quot;16642295&quot;,&quot;abstract&quot;:&quot;In this study, we investigated the potential of electrochemical skin conductance (ESC) measurements gathered from home-based devices to detect circadian-like patterns. We analyzed data from 43,284 individuals using the Withings Body Comp or Body Scan scales, which provide ESC measurements. Our results highlighted a circadian pattern of ESC values across different age groups and countries. Our findings suggest that home-based ESC measurements could be used to evaluate circadian rhythm disorders associated with neuropathies and contribute to a better understanding of their pathophysiology. However, further controlled studies are needed to confirm these results. This study highlights the potential of digital health devices to generate new scientific and medical knowledge.&quot;,&quot;author&quot;:[{&quot;dropping-particle&quot;:&quot;&quot;,&quot;family&quot;:&quot;Vittrant&quot;,&quot;given&quot;:&quot;Benjamin&quot;,&quot;non-dropping-particle&quot;:&quot;&quot;,&quot;parse-names&quot;:false,&quot;suffix&quot;:&quot;&quot;},{&quot;dropping-particle&quot;:&quot;&quot;,&quot;family&quot;:&quot;Courrier&quot;,&quot;given&quot;:&quot;Violaine&quot;,&quot;non-dropping-particle&quot;:&quot;&quot;,&quot;parse-names&quot;:false,&quot;suffix&quot;:&quot;&quot;},{&quot;dropping-particle&quot;:&quot;&quot;,&quot;family&quot;:&quot;Yang&quot;,&quot;given&quot;:&quot;Rui Yi&quot;,&quot;non-dropping-particle&quot;:&quot;&quot;,&quot;parse-names&quot;:false,&quot;suffix&quot;:&quot;&quot;},{&quot;dropping-particle&quot;:&quot;&quot;,&quot;family&quot;:&quot;Villèle&quot;,&quot;given&quot;:&quot;Paul&quot;,&quot;non-dropping-particle&quot;:&quot;de&quot;,&quot;parse-names&quot;:false,&quot;suffix&quot;:&quot;&quot;},{&quot;dropping-particle&quot;:&quot;&quot;,&quot;family&quot;:&quot;Tebeka&quot;,&quot;given&quot;:&quot;Samuel&quot;,&quot;non-dropping-particle&quot;:&quot;&quot;,&quot;parse-names&quot;:false,&quot;suffix&quot;:&quot;&quot;},{&quot;dropping-particle&quot;:&quot;&quot;,&quot;family&quot;:&quot;Mauries&quot;,&quot;given&quot;:&quot;Sibylle&quot;,&quot;non-dropping-particle&quot;:&quot;&quot;,&quot;parse-names&quot;:false,&quot;suffix&quot;:&quot;&quot;},{&quot;dropping-particle&quot;:&quot;&quot;,&quot;family&quot;:&quot;Geoffroy&quot;,&quot;given&quot;:&quot;Pierre A.&quot;,&quot;non-dropping-particle&quot;:&quot;&quot;,&quot;parse-names&quot;:false,&quot;suffix&quot;:&quot;&quot;}],&quot;container-title&quot;:&quot;Frontiers in Neurology&quot;,&quot;id&quot;:&quot;2b92b87c-b413-53cd-8953-675ff2649e8e&quot;,&quot;issue&quot;:&quot;October&quot;,&quot;issued&quot;:{&quot;date-parts&quot;:[[&quot;2023&quot;]]},&quot;page&quot;:&quot;1-8&quot;,&quot;title&quot;:&quot;Circadian-like patterns in electrochemical skin conductance measured from home-based devices: a retrospective study&quot;,&quot;type&quot;:&quot;article-journal&quot;,&quot;volume&quot;:&quot;14&quot;,&quot;container-title-short&quot;:&quot;Front. Neurol.&quot;},&quot;uris&quot;:[&quot;http://www.mendeley.com/documents/?uuid=b23de6b8-1feb-42a0-9f38-91df0c91d388&quot;],&quot;isTemporary&quot;:false,&quot;legacyDesktopId&quot;:&quot;b23de6b8-1feb-42a0-9f38-91df0c91d388&quot;}]},{&quot;citationID&quot;:&quot;MENDELEY_CITATION_bd93ea22-6550-4a07-ba8a-bde544d67e48&quot;,&quot;properties&quot;:{&quot;noteIndex&quot;:0},&quot;isEdited&quot;:false,&quot;manualOverride&quot;:{&quot;citeprocText&quot;:&quot;[273,274]&quot;,&quot;isManuallyOverridden&quot;:false,&quot;manualOverrideText&quot;:&quot;&quot;},&quot;citationTag&quot;:&quot;MENDELEY_CITATION_v3_eyJjaXRhdGlvbklEIjoiTUVOREVMRVlfQ0lUQVRJT05fYmQ5M2VhMjItNjU1MC00YTA3LWJhOGEtYmRlNTQ0ZDY3ZTQ4IiwicHJvcGVydGllcyI6eyJub3RlSW5kZXgiOjB9LCJpc0VkaXRlZCI6ZmFsc2UsIm1hbnVhbE92ZXJyaWRlIjp7ImNpdGVwcm9jVGV4dCI6IlsyNzMsMjc0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&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citationID&quot;:&quot;MENDELEY_CITATION_3f1fa9d5-e93e-4edd-8540-28ba162c1fbb&quot;,&quot;properties&quot;:{&quot;noteIndex&quot;:0},&quot;isEdited&quot;:false,&quot;manualOverride&quot;:{&quot;citeprocText&quot;:&quot;[275,276]&quot;,&quot;isManuallyOverridden&quot;:false,&quot;manualOverrideText&quot;:&quot;&quot;},&quot;citationTag&quot;:&quot;MENDELEY_CITATION_v3_eyJjaXRhdGlvbklEIjoiTUVOREVMRVlfQ0lUQVRJT05fM2YxZmE5ZDUtZTkzZS00ZWRkLTg1NDAtMjhiYTE2MmMxZmJiIiwicHJvcGVydGllcyI6eyJub3RlSW5kZXgiOjB9LCJpc0VkaXRlZCI6ZmFsc2UsIm1hbnVhbE92ZXJyaWRlIjp7ImNpdGVwcm9jVGV4dCI6IlsyNzUsMjc2X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&quot;,&quot;citationItems&quot;:[{&quot;id&quot;:&quot;811d874f-9e85-5494-8c05-e3f4ee0dbd2e&quot;,&quot;itemData&quot;:{&quot;DOI&quot;:&quot;10.1152/physrev.1974.54.1.75&quot;,&quot;ISSN&quot;:&quot;00319333&quot;,&quot;PMID&quot;:&quot;4587247&quot;,&quot;abstract&quot;:&quot;This review focuses on the following major problems relevant to human cardiovascular adjustments to exercise and heat stress, cardiovascular adjustments to exercise, cardiovascular adjustments to heat stress during rest, cardiovascular adjustments to combined thermal and metabolic stress, and predictability of vasomotor responses. Emphasis is directed toward the regulation and importance of blood flow distribution.&quot;,&quot;author&quot;:[{&quot;dropping-particle&quot;:&quot;&quot;,&quot;family&quot;:&quot;Rowell&quot;,&quot;given&quot;:&quot;L. B.&quot;,&quot;non-dropping-particle&quot;:&quot;&quot;,&quot;parse-names&quot;:false,&quot;suffix&quot;:&quot;&quot;}],&quot;container-title&quot;:&quot;Physiological Reviews&quot;,&quot;id&quot;:&quot;811d874f-9e85-5494-8c05-e3f4ee0dbd2e&quot;,&quot;issue&quot;:&quot;1&quot;,&quot;issued&quot;:{&quot;date-parts&quot;:[[&quot;1974&quot;]]},&quot;page&quot;:&quot;75-159&quot;,&quot;title&quot;:&quot;Human cardiovascular adjustments to exercise and thermal stress&quot;,&quot;type&quot;:&quot;article-journal&quot;,&quot;volume&quot;:&quot;54&quot;,&quot;container-title-short&quot;:&quot;Physiol. Rev.&quot;},&quot;uris&quot;:[&quot;http://www.mendeley.com/documents/?uuid=977275c5-8f64-4637-8d91-a9051de3a8c5&quot;],&quot;isTemporary&quot;:false,&quot;legacyDesktopId&quot;:&quot;977275c5-8f64-4637-8d91-a9051de3a8c5&quot;},{&quot;id&quot;:&quot;bad4ddfa-de22-5254-b9dc-cb099e3fe2ac&quot;,&quot;itemData&quot;:{&quot;DOI&quot;:&quot;10.1111/j.1748-1716.2010.02119.x&quot;,&quot;ISBN&quot;:&quot;6176321972&quot;,&quot;ISSN&quot;:&quot;1748-1708&quot;,&quot;PMID&quot;:&quot;1000000221&quot;,&quot;abstract&quot;:&quot;Heat stress, whether passive (i.e. exposure to elevated environmental temperatures) or via exercise, results in pronounced cardiovascular adjustments that are necessary for adequate temperature regulation as well as perfusion of the exercising muscle, heart and brain. The available data suggest that generally during passive heat stress baroreflex control of heart rate and sympathetic nerve activity are unchanged, while baroreflex control of systemic vascular resistance may be impaired perhaps due to attenuated vasoconstrictor responsiveness of the cutaneous circulation. Heat stress improves left ventricular systolic function, evidenced by increased cardiac contractility, thereby maintaining stroke volume despite large reductions in ventricular filling pressures. Heat stress‐induced reductions in cerebral perfusion likely contribute to the recognized effect of this thermal condition in reducing orthostatic tolerance, although the mechanism(s) by which this occurs is not completely understood. The combination of intense whole‐body exercise and environmental heat stress or dehydration‐induced hyperthermia results in significant cardiovascular strain prior to exhaustion, which is characterized by reductions in cardiac output, stroke volume, arterial pressure and blood flow to the brain, skin and exercising muscle. These alterations in cardiovascular function and regulation late in heat stress/dehydration exercise might involve the interplay of both local and central reflexes, the contribution of which is presently unresolved.&quot;,&quot;author&quot;:[{&quot;dropping-particle&quot;:&quot;&quot;,&quot;family&quot;:&quot;Crandall&quot;,&quot;given&quot;:&quot;C. G.&quot;,&quot;non-dropping-particle&quot;:&quot;&quot;,&quot;parse-names&quot;:false,&quot;suffix&quot;:&quot;&quot;},{&quot;dropping-particle&quot;:&quot;&quot;,&quot;family&quot;:&quot;González‐Alonso&quot;,&quot;given&quot;:&quot;J.&quot;,&quot;non-dropping-particle&quot;:&quot;&quot;,&quot;parse-names&quot;:false,&quot;suffix&quot;:&quot;&quot;}],&quot;container-title&quot;:&quot;Acta Physiologica&quot;,&quot;id&quot;:&quot;bad4ddfa-de22-5254-b9dc-cb099e3fe2ac&quot;,&quot;issue&quot;:&quot;4&quot;,&quot;issued&quot;:{&quot;date-parts&quot;:[[&quot;2010&quot;,&quot;8&quot;]]},&quot;page&quot;:&quot;407-423&quot;,&quot;title&quot;:&quot;Cardiovascular function in the heat‐stressed human&quot;,&quot;type&quot;:&quot;article-journal&quot;,&quot;volume&quot;:&quot;199&quot;,&quot;container-title-short&quot;:&quot;&quot;},&quot;uris&quot;:[&quot;http://www.mendeley.com/documents/?uuid=17fbc6f4-c8ba-4a81-ab0f-26495deb2864&quot;],&quot;isTemporary&quot;:false,&quot;legacyDesktopId&quot;:&quot;17fbc6f4-c8ba-4a81-ab0f-26495deb2864&quot;}]},{&quot;citationID&quot;:&quot;MENDELEY_CITATION_9c6a57f6-9e34-45a2-b054-4e2869a1b1cb&quot;,&quot;properties&quot;:{&quot;noteIndex&quot;:0},&quot;isEdited&quot;:false,&quot;manualOverride&quot;:{&quot;citeprocText&quot;:&quot;[277–280]&quot;,&quot;isManuallyOverridden&quot;:false,&quot;manualOverrideText&quot;:&quot;&quot;},&quot;citationTag&quot;:&quot;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&quot;,&quot;citationItems&quot;:[{&quot;id&quot;:&quot;366e5976-ed51-52ed-90b7-3178d91dba03&quot;,&quot;itemData&quot;:{&quot;DOI&quot;:&quot;10.1161/01.RES.24.5.711&quot;,&quot;ISSN&quot;:&quot;0009-7330&quot;,&quot;PMID&quot;:&quot;5770258&quot;,&quot;abstract&quot;:&quot;In 11 normal men, central circulatory responses were measured while skin temperature was changed in a square-wave pattern during uninterrupted exercise (26% to 64% maximal oxygen consumption). Skin temperature was changed at 30-minute intervals, beginning at 32°C. On raising it to 38.2°C at low oxygen consumption (V · o 2 ), cardiac output increased 2.5 liters/min, and central blood volume, aortic mean pressure, and stroke volume fell (7%, 7%, and 11%, respectively). Right atrial mean pressure fell 2.2 and 2.3 mm Hg during control and heating periods, respectively. All variables returned to control levels when skin temperature was reduced toward 26.9°C. Raising it to 40°C reproduced these changes with a more clear-cut drop in right atrial mean pressure. Results indicated reduced peripheral venous tone and cutaneous pooling of blood during heating and rapid reversal on cooling. On raising skin temperature to 38.7°C at high V · o 2 , cardiac output increased 19% (3.1 liters/min), stroke volume decreased 14%, and central blood volume rose slightly. Aortic mean pressure fell during the control period and was maintained or rose during heating periods. On cooling, central blood volume and stroke volume rose, cardiac output remained elevated, and aortic mean pressure fell. Increases in cardiac output during heating were related to skin temperature and not to V · o 2 or body temperature. At high V · o 2 , circulatory adjustments favor metabolic rather than thermoregulatory demands.&quot;,&quot;author&quot;:[{&quot;dropping-particle&quot;:&quot;&quot;,&quot;family&quot;:&quot;ROWELL&quot;,&quot;given&quot;:&quot;LORING B.&quot;,&quot;non-dropping-particle&quot;:&quot;&quot;,&quot;parse-names&quot;:false,&quot;suffix&quot;:&quot;&quot;},{&quot;dropping-particle&quot;:&quot;&quot;,&quot;family&quot;:&quot;MURRAY&quot;,&quot;given&quot;:&quot;JOHN A.&quot;,&quot;non-dropping-particle&quot;:&quot;&quot;,&quot;parse-names&quot;:false,&quot;suffix&quot;:&quot;&quot;},{&quot;dropping-particle&quot;:&quot;&quot;,&quot;family&quot;:&quot;BRENGELMANN&quot;,&quot;given&quot;:&quot;GEORGE L.&quot;,&quot;non-dropping-particle&quot;:&quot;&quot;,&quot;parse-names&quot;:false,&quot;suffix&quot;:&quot;&quot;},{&quot;dropping-particle&quot;:&quot;&quot;,&quot;family&quot;:&quot;KRANING&quot;,&quot;given&quot;:&quot;KENNETH K.&quot;,&quot;non-dropping-particle&quot;:&quot;&quot;,&quot;parse-names&quot;:false,&quot;suffix&quot;:&quot;&quot;}],&quot;container-title&quot;:&quot;Circulation Research&quot;,&quot;id&quot;:&quot;366e5976-ed51-52ed-90b7-3178d91dba03&quot;,&quot;issue&quot;:&quot;5&quot;,&quot;issued&quot;:{&quot;date-parts&quot;:[[&quot;1969&quot;,&quot;5&quot;]]},&quot;page&quot;:&quot;711-724&quot;,&quot;title&quot;:&quot;Human Cardiovascular Adjustments to Rapid Changes in Skin Temperature during Exercise&quot;,&quot;type&quot;:&quot;article-journal&quot;,&quot;volume&quot;:&quot;24&quot;,&quot;container-title-short&quot;:&quot;Circ. Res.&quot;},&quot;uris&quot;:[&quot;http://www.mendeley.com/documents/?uuid=fce309b4-57e9-490c-9e8d-269bef7f60c6&quot;],&quot;isTemporary&quot;:false,&quot;legacyDesktopId&quot;:&quot;fce309b4-57e9-490c-9e8d-269bef7f60c6&quot;},{&quot;id&quot;:&quot;5b44289f-0df2-501f-a4a5-b79e44462e56&quot;,&quot;itemData&quot;:{&quot;DOI&quot;:&quot;10.1152/jappl.1967.22.3.509&quot;,&quot;ISSN&quot;:&quot;00218987&quot;,&quot;PMID&quot;:&quot;6020236&quot;,&quot;author&quot;:[{&quot;dropping-particle&quot;:&quot;&quot;,&quot;family&quot;:&quot;Rowell&quot;,&quot;given&quot;:&quot;L. B.&quot;,&quot;non-dropping-particle&quot;:&quot;&quot;,&quot;parse-names&quot;:false,&quot;suffix&quot;:&quot;&quot;},{&quot;dropping-particle&quot;:&quot;&quot;,&quot;family&quot;:&quot;Kraning&quot;,&quot;given&quot;:&quot;K. K.&quot;,&quot;non-dropping-particle&quot;:&quot;&quot;,&quot;parse-names&quot;:false,&quot;suffix&quot;:&quot;&quot;},{&quot;dropping-particle&quot;:&quot;&quot;,&quot;family&quot;:&quot;Kennedy&quot;,&quot;given&quot;:&quot;J. W.&quot;,&quot;non-dropping-particle&quot;:&quot;&quot;,&quot;parse-names&quot;:false,&quot;suffix&quot;:&quot;&quot;},{&quot;dropping-particle&quot;:&quot;&quot;,&quot;family&quot;:&quot;Evans&quot;,&quot;given&quot;:&quot;T. O.&quot;,&quot;non-dropping-particle&quot;:&quot;&quot;,&quot;parse-names&quot;:false,&quot;suffix&quot;:&quot;&quot;}],&quot;container-title&quot;:&quot;Journal of applied physiology&quot;,&quot;id&quot;:&quot;5b44289f-0df2-501f-a4a5-b79e44462e56&quot;,&quot;issue&quot;:&quot;3&quot;,&quot;issued&quot;:{&quot;date-parts&quot;:[[&quot;1967&quot;]]},&quot;page&quot;:&quot;509-518&quot;,&quot;title&quot;:&quot;Central circulatory responses to work in dry heat before and after acclimatization.&quot;,&quot;type&quot;:&quot;article-journal&quot;,&quot;volume&quot;:&quot;22&quot;,&quot;container-title-short&quot;:&quot;J. Appl. Physiol.&quot;},&quot;uris&quot;:[&quot;http://www.mendeley.com/documents/?uuid=2e2d7ca1-6f7e-4131-a164-b2dc4395e6c3&quot;],&quot;isTemporary&quot;:false,&quot;legacyDesktopId&quot;:&quot;2e2d7ca1-6f7e-4131-a164-b2dc4395e6c3&quot;},{&quot;id&quot;:&quot;bf7f9027-58d4-5ed2-b83e-2636638b5e9b&quot;,&quot;itemData&quot;:{&quot;DOI&quot;:&quot;10.1152/jappl.1998.84.4.1323&quot;,&quot;ISSN&quot;:&quot;8750-7587&quot;,&quot;PMID&quot;:&quot;9516200&quot;,&quot;abstract&quot;:&quot;During direct passive heating in young men, a dramatic increase in skin blood flow is achieved by a rise in cardiac output (Q˙ c ) and redistribution of flow from the splanchnic and renal vascular beds. To examine the effect of age on these responses, seven young (Y; 23 ± 1 yr) and seven older (O; 70 ± 3 yr) men were passively heated with water-perfused suits to their individual limit of thermal tolerance. Measurements included heart rate (HR),Q˙ c (by acetylene rebreathing), central venous pressure (via peripherally inserted central catheter), blood pressures (by brachial auscultation), skin blood flow (from increases in forearm blood flow by venous occlusion plethysmography), splanchnic blood flow (by indocyanine green clearance), renal blood flow (by p-aminohippurate clearance), and esophageal and mean skin temperatures.Q˙ c was significantly lower in the older than in the young men (11.1 ± 0.7 and 7.4 ± 0.2 l/min in Y and O, respectively, at the limit of thermal tolerance; P &lt; 0.05), despite similar increases in esophageal and mean skin temperatures and time to reach the limit of thermal tolerance. A lower stroke volume (99 ± 7 and 68 ± 4 ml/beat in Y and O, respectively, P &lt; 0.05), most likely due to an attenuated increase in inotropic function during heating, was the primary factor for the lowerQ˙ c observed in the older men. Increases in HR were similar in the young and older men; however, when expressed as a percentage of maximal HR, the older men relied on a greater proportion of their chronotropic reserve to obtain the same HR response (62 ± 3 and 75 ± 4% maximal HR in Y and O, respectively, P &lt; 0.05). Furthermore, the older men redistributed less blood flow from the combined splanchnic and renal circulations at the limit of thermal tolerance (960 ± 80 and 720 ± 100 ml/min in Y and O, respectively, P &lt; 0.05). As a result of these combined attenuated responses, the older men had a significantly lower increase in total blood flow directed to the skin.&quot;,&quot;author&quot;:[{&quot;dropping-particle&quot;:&quot;&quot;,&quot;family&quot;:&quot;Minson&quot;,&quot;given&quot;:&quot;Christopher T.&quot;,&quot;non-dropping-particle&quot;:&quot;&quot;,&quot;parse-names&quot;:false,&quot;suffix&quot;:&quot;&quot;},{&quot;dropping-particle&quot;:&quot;&quot;,&quot;family&quot;:&quot;Wladkowski&quot;,&quot;given&quot;:&quot;Stacey L.&quot;,&quot;non-dropping-particle&quot;:&quot;&quot;,&quot;parse-names&quot;:false,&quot;suffix&quot;:&quot;&quot;},{&quot;dropping-particle&quot;:&quot;&quot;,&quot;family&quot;:&quot;Cardell&quot;,&quot;given&quot;:&quot;Anthony F.&quot;,&quot;non-dropping-particle&quot;:&quot;&quot;,&quot;parse-names&quot;:false,&quot;suffix&quot;:&quot;&quot;},{&quot;dropping-particle&quot;:&quot;&quot;,&quot;family&quot;:&quot;Pawelczyk&quot;,&quot;given&quot;:&quot;James A.&quot;,&quot;non-dropping-particle&quot;:&quot;&quot;,&quot;parse-names&quot;:false,&quot;suffix&quot;:&quot;&quot;},{&quot;dropping-particle&quot;:&quot;&quot;,&quot;family&quot;:&quot;Kenney&quot;,&quot;given&quot;:&quot;W. Larry&quot;,&quot;non-dropping-particle&quot;:&quot;&quot;,&quot;parse-names&quot;:false,&quot;suffix&quot;:&quot;&quot;}],&quot;container-title&quot;:&quot;Journal of Applied Physiology&quot;,&quot;id&quot;:&quot;bf7f9027-58d4-5ed2-b83e-2636638b5e9b&quot;,&quot;issue&quot;:&quot;4&quot;,&quot;issued&quot;:{&quot;date-parts&quot;:[[&quot;1998&quot;,&quot;4&quot;,&quot;1&quot;]]},&quot;page&quot;:&quot;1323-1332&quot;,&quot;title&quot;:&quot;Age alters the cardiovascular response to direct passive heating&quot;,&quot;type&quot;:&quot;article-journal&quot;,&quot;volume&quot;:&quot;84&quot;,&quot;container-title-short&quot;:&quot;J. Appl. Physiol.&quot;},&quot;uris&quot;:[&quot;http://www.mendeley.com/documents/?uuid=5188025e-5ad1-4725-9813-18f6de4b872c&quot;],&quot;isTemporary&quot;:false,&quot;legacyDesktopId&quot;:&quot;5188025e-5ad1-4725-9813-18f6de4b872c&quot;},{&quot;id&quot;:&quot;686614b3-ae78-5727-8cba-f5b18e82bb31&quot;,&quot;itemData&quot;:{&quot;DOI&quot;:&quot;10.1002/cphy.c140015&quot;,&quot;ISSN&quot;:&quot;20404603&quot;,&quot;PMID&quot;:&quot;25589263&quot;,&quot;abstract&quot;:&quot;Heat stress increases human morbidity and mortality compared to normothermic conditions. Many occupations, disease states, as well as stages of life are especially vulnerable to the stress imposed on the cardiovascular system during exposure to hot ambient conditions. This review focuses on the cardiovascular responses to heat stress that are necessary for heat dissipation. To accomplish this regulatory feat requires complex autonomic nervous system control of the heart and various vascular beds. For example, during heat stress cardiac output increases up to twofold, by increases in heart rate and an active maintenance of stroke volume via increases in inotropy in the presence of decreases in cardiac preload. Baroreflexes retain the ability to regulate blood pressure in many, but not all, heat stress conditions. Central hypovolemia is another cardiovascular challenge brought about by heat stress, which if added to a subsequent central volumetric stress, such as hemorrhage, can be problematic and potentially dangerous, as syncope and cardiovascular collapse may ensue. These combined stresses can compromise blood flow and oxygenation to important tissues such as the brain. It is notable that this compromised condition can occur at cardiac outputs that are adequate during normothermic conditions but are inadequate in heat because of the increased systemic vascular conductance associated with cutaneous vasodilation. Understanding the mechanisms within this complex regulatory system will allow for the development of treatment recommendations and countermeasures to reduce risks during the ever-increasing frequency of severe heat events that are predicted to occur.&quot;,&quot;author&quot;:[{&quot;dropping-particle&quot;:&quot;&quot;,&quot;family&quot;:&quot;Crandall&quot;,&quot;given&quot;:&quot;Craig G.&quot;,&quot;non-dropping-particle&quot;:&quot;&quot;,&quot;parse-names&quot;:false,&quot;suffix&quot;:&quot;&quot;},{&quot;dropping-particle&quot;:&quot;&quot;,&quot;family&quot;:&quot;Wilson&quot;,&quot;given&quot;:&quot;Thad E.&quot;,&quot;non-dropping-particle&quot;:&quot;&quot;,&quot;parse-names&quot;:false,&quot;suffix&quot;:&quot;&quot;}],&quot;container-title&quot;:&quot;Comprehensive Physiology&quot;,&quot;id&quot;:&quot;686614b3-ae78-5727-8cba-f5b18e82bb31&quot;,&quot;issue&quot;:&quot;1&quot;,&quot;issued&quot;:{&quot;date-parts&quot;:[[&quot;2015&quot;]]},&quot;page&quot;:&quot;17-43&quot;,&quot;title&quot;:&quot;Human cardiovascular responses to passive heat stress&quot;,&quot;type&quot;:&quot;article&quot;,&quot;volume&quot;:&quot;5&quot;,&quot;container-title-short&quot;:&quot;Compr. Physiol.&quot;},&quot;uris&quot;:[&quot;http://www.mendeley.com/documents/?uuid=3041a178-927d-4107-9b29-89c088cc516b&quot;],&quot;isTemporary&quot;:false,&quot;legacyDesktopId&quot;:&quot;3041a178-927d-4107-9b29-89c088cc516b&quot;}]},{&quot;citationID&quot;:&quot;MENDELEY_CITATION_6c69984b-18ec-4fbb-93ac-8f7b13c31309&quot;,&quot;properties&quot;:{&quot;noteIndex&quot;:0},&quot;isEdited&quot;:false,&quot;manualOverride&quot;:{&quot;citeprocText&quot;:&quot;[280,281]&quot;,&quot;isManuallyOverridden&quot;:false,&quot;manualOverrideText&quot;:&quot;&quot;},&quot;citationTag&quot;:&quot;MENDELEY_CITATION_v3_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&quot;,&quot;citationItems&quot;:[{&quot;id&quot;:&quot;21db3703-6b8f-5d1e-97df-9175ef8f6e78&quot;,&quot;itemData&quot;:{&quot;DOI&quot;:&quot;10.1093/cvr/4.2.160&quot;,&quot;ISSN&quot;:&quot;0008-6363&quot;,&quot;PMID&quot;:&quot;2912216&quot;,&quot;abstract&quot;:&quot;Altered autonomic tone as well as humoral factors can change the intrinsic rate of the cardiac pacemaker. To study the relationships of neurogenic and humoral factors on intrinsic heart rate (IHR) we used sinoaortic deafferentation (SAD) to increase sympathetic activity, lesion of nucleus ambiguus to reduce central parasympathetic activity, and one-kidney, one-clip (1K1C) renal hypertension system and the combination of 1K1C hypertension with SAD. In conscious rats, IHR was determined using combined blockade with atropine and propranolol. Rats with 1K1C hypertension (7th day) showed increased mean arterial pressure (MAP), heart rate (HR), and IHR. Rats with SAD (4th day) demonstrated increased MAP and HR, but in contrast, had decreased IHR. Lesion of nucleus ambiguus increased HR and decreased IHR. When 1K1C hypertension was combined with SAD an additional increase in MAP and HR occurred, whereas IHR was reduced compared with renal hypertension alone. These data suggest that IHR is influenced greatly by autonomic tone and that the tachycardia in renal hypertension is linked to decreased IHR that is dependent on integrity of the baroreflex.&quot;,&quot;author&quot;:[{&quot;dropping-particle&quot;:&quot;&quot;,&quot;family&quot;:&quot;Jose&quot;,&quot;given&quot;:&quot;A. D.&quot;,&quot;non-dropping-particle&quot;:&quot;&quot;,&quot;parse-names&quot;:false,&quot;suffix&quot;:&quot;&quot;},{&quot;dropping-particle&quot;:&quot;&quot;,&quot;family&quot;:&quot;Collison&quot;,&quot;given&quot;:&quot;D.&quot;,&quot;non-dropping-particle&quot;:&quot;&quot;,&quot;parse-names&quot;:false,&quot;suffix&quot;:&quot;&quot;}],&quot;container-title&quot;:&quot;Cardiovascular Research&quot;,&quot;id&quot;:&quot;21db3703-6b8f-5d1e-97df-9175ef8f6e78&quot;,&quot;issue&quot;:&quot;2&quot;,&quot;issued&quot;:{&quot;date-parts&quot;:[[&quot;1970&quot;,&quot;4&quot;,&quot;1&quot;]]},&quot;page&quot;:&quot;160-167&quot;,&quot;title&quot;:&quot;The normal range and determinants of the intrinsic heart rate in man&quot;,&quot;type&quot;:&quot;article-journal&quot;,&quot;volume&quot;:&quot;4&quot;,&quot;container-title-short&quot;:&quot;Cardiovasc. Res.&quot;},&quot;uris&quot;:[&quot;http://www.mendeley.com/documents/?uuid=c6d639a6-7717-49a9-8699-46b995c98f28&quot;],&quot;isTemporary&quot;:false,&quot;legacyDesktopId&quot;:&quot;c6d639a6-7717-49a9-8699-46b995c98f28&quot;},{&quot;id&quot;:&quot;686614b3-ae78-5727-8cba-f5b18e82bb31&quot;,&quot;itemData&quot;:{&quot;DOI&quot;:&quot;10.1002/cphy.c140015&quot;,&quot;ISSN&quot;:&quot;20404603&quot;,&quot;PMID&quot;:&quot;25589263&quot;,&quot;abstract&quot;:&quot;Heat stress increases human morbidity and mortality compared to normothermic conditions. Many occupations, disease states, as well as stages of life are especially vulnerable to the stress imposed on the cardiovascular system during exposure to hot ambient conditions. This review focuses on the cardiovascular responses to heat stress that are necessary for heat dissipation. To accomplish this regulatory feat requires complex autonomic nervous system control of the heart and various vascular beds. For example, during heat stress cardiac output increases up to twofold, by increases in heart rate and an active maintenance of stroke volume via increases in inotropy in the presence of decreases in cardiac preload. Baroreflexes retain the ability to regulate blood pressure in many, but not all, heat stress conditions. Central hypovolemia is another cardiovascular challenge brought about by heat stress, which if added to a subsequent central volumetric stress, such as hemorrhage, can be problematic and potentially dangerous, as syncope and cardiovascular collapse may ensue. These combined stresses can compromise blood flow and oxygenation to important tissues such as the brain. It is notable that this compromised condition can occur at cardiac outputs that are adequate during normothermic conditions but are inadequate in heat because of the increased systemic vascular conductance associated with cutaneous vasodilation. Understanding the mechanisms within this complex regulatory system will allow for the development of treatment recommendations and countermeasures to reduce risks during the ever-increasing frequency of severe heat events that are predicted to occur.&quot;,&quot;author&quot;:[{&quot;dropping-particle&quot;:&quot;&quot;,&quot;family&quot;:&quot;Crandall&quot;,&quot;given&quot;:&quot;Craig G.&quot;,&quot;non-dropping-particle&quot;:&quot;&quot;,&quot;parse-names&quot;:false,&quot;suffix&quot;:&quot;&quot;},{&quot;dropping-particle&quot;:&quot;&quot;,&quot;family&quot;:&quot;Wilson&quot;,&quot;given&quot;:&quot;Thad E.&quot;,&quot;non-dropping-particle&quot;:&quot;&quot;,&quot;parse-names&quot;:false,&quot;suffix&quot;:&quot;&quot;}],&quot;container-title&quot;:&quot;Comprehensive Physiology&quot;,&quot;id&quot;:&quot;686614b3-ae78-5727-8cba-f5b18e82bb31&quot;,&quot;issue&quot;:&quot;1&quot;,&quot;issued&quot;:{&quot;date-parts&quot;:[[&quot;2015&quot;]]},&quot;page&quot;:&quot;17-43&quot;,&quot;title&quot;:&quot;Human cardiovascular responses to passive heat stress&quot;,&quot;type&quot;:&quot;article&quot;,&quot;volume&quot;:&quot;5&quot;,&quot;container-title-short&quot;:&quot;Compr. Physiol.&quot;},&quot;uris&quot;:[&quot;http://www.mendeley.com/documents/?uuid=3041a178-927d-4107-9b29-89c088cc516b&quot;],&quot;isTemporary&quot;:false,&quot;legacyDesktopId&quot;:&quot;3041a178-927d-4107-9b29-89c088cc516b&quot;}]},{&quot;citationID&quot;:&quot;MENDELEY_CITATION_fd0211fc-012b-4287-b5a5-5b9ad6fc9971&quot;,&quot;properties&quot;:{&quot;noteIndex&quot;:0},&quot;isEdited&quot;:false,&quot;manualOverride&quot;:{&quot;citeprocText&quot;:&quot;[282,283]&quot;,&quot;isManuallyOverridden&quot;:false,&quot;manualOverrideText&quot;:&quot;&quot;},&quot;citationTag&quot;:&quot;MENDELEY_CITATION_v3_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&quot;,&quot;citationItems&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64d7df29-f235-4d3a-98ac-24a4e2a1906c&quot;,&quot;properties&quot;:{&quot;noteIndex&quot;:0},&quot;isEdited&quot;:false,&quot;manualOverride&quot;:{&quot;citeprocText&quot;:&quot;[9,282,284]&quot;,&quot;isManuallyOverridden&quot;:false,&quot;manualOverrideText&quot;:&quot;&quot;},&quot;citationTag&quot;:&quot;MENDELEY_CITATION_v3_eyJjaXRhdGlvbklEIjoiTUVOREVMRVlfQ0lUQVRJT05fNjRkN2RmMjktZjIzNS00ZDNhLTk4YWMtMjRhNGUyYTE5MDZjIiwicHJvcGVydGllcyI6eyJub3RlSW5kZXgiOjB9LCJpc0VkaXRlZCI6ZmFsc2UsIm1hbnVhbE92ZXJyaWRlIjp7ImNpdGVwcm9jVGV4dCI6Ils5LDI4MiwyODRdIiwiaXNNYW51YWxseU92ZXJyaWRkZW4iOmZhbHNlLCJtYW51YWxPdmVycmlkZVRleHQiOiIifSwiY2l0YXRpb25JdGVtcyI6W3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&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9545183f-d00a-448e-99a8-af02b081b6d7&quot;,&quot;properties&quot;:{&quot;noteIndex&quot;:0},&quot;isEdited&quot;:false,&quot;manualOverride&quot;:{&quot;citeprocText&quot;:&quot;[283,285]&quot;,&quot;isManuallyOverridden&quot;:false,&quot;manualOverrideText&quot;:&quot;&quot;},&quot;citationTag&quot;:&quot;MENDELEY_CITATION_v3_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&quot;,&quot;citationItems&quot;:[{&quot;id&quot;:&quot;394e7d4d-7613-56e9-a9b8-2261252c8151&quot;,&quot;itemData&quot;:{&quot;DOI&quot;:&quot;10.3389/fpsyg.2014.01040&quot;,&quot;abstract&quot;:&quot;Heart rate variability (HRV), the change in the time intervals between adjacent heartbeats, is an emergent property of interdependent regulatory systems that operate on different time scales to adapt to challenges and achieve optimal performance. This article briefly reviews neural regulation of the heart, and its basic anatomy, the cardiac cycle, and the sinoatrial and atrioventricular pacemakers. The cardiovascular regulation center in the medulla integrates sensory information and input from higher brain centers, and afferent cardiovascular system inputs to adjust heart rate and blood pressure via sympathetic and parasympathetic efferent pathways. This article reviews sympathetic and parasympathetic influences on the heart, and examines the interpretation of HRV and the association between reduced HRV, risk of disease and mortality, and the loss of regulatory capacity. This article also discusses the intrinsic cardiac nervous system and the heart-brain connection, through which afferent information can influence activity in the subcortical and frontocortical areas, and motor cortex. It also considers new perspectives on the putative underlying physiological mechanisms and properties of the ultra-low-frequency (ULF), very-low-frequency (VLF), low-frequency (LF), and high-frequency (HF) bands. Additionally, it reviews the most common time and frequency domain measurements as well as standardized data collection protocols. In its final section, this article integrates Porges' polyvagal theory, Thayer and colleagues' neurovisceral integration model, Lehrer et al.'s resonance frequency model, and the Institute of HeartMath's coherence model. The authors conclude that a coherent heart is not a metronome because its rhythms are characterized by both complexity and stability over longer time scales. Future research should expand understanding of how the heart and its intrinsic nervous system influence the brain.&quot;,&quot;author&quot;:[{&quot;dropping-particle&quot;:&quot;&quot;,&quot;family&quot;:&quot;Shaffer&quot;,&quot;given&quot;:&quot;Fred&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Zerr&quot;,&quot;given&quot;:&quot;Christopher L.&quot;,&quot;non-dropping-particle&quot;:&quot;&quot;,&quot;parse-names&quot;:false,&quot;suffix&quot;:&quot;&quot;}],&quot;container-title&quot;:&quot;Frontiers in Psychology&quot;,&quot;id&quot;:&quot;394e7d4d-7613-56e9-a9b8-2261252c8151&quot;,&quot;issue&quot;:&quot;September&quot;,&quot;issued&quot;:{&quot;date-parts&quot;:[[&quot;2014&quot;]]},&quot;page&quot;:&quot;1-19&quot;,&quot;title&quot;:&quot;A healthy heart is not a metronome: an integrative review of the heart's anatomy and heart rate variability&quot;,&quot;type&quot;:&quot;article-journal&quot;,&quot;volume&quot;:&quot;5&quot;,&quot;container-title-short&quot;:&quot;Front. Psychol.&quot;},&quot;uris&quot;:[&quot;http://www.mendeley.com/documents/?uuid=5c539aaa-47cb-44ba-b3a8-ef57aad5250b&quot;],&quot;isTemporary&quot;:false,&quot;legacyDesktopId&quot;:&quot;5c539aaa-47cb-44ba-b3a8-ef57aad5250b&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ed44f1d3-ee7b-482e-9bd9-8ee51389c9d0&quot;,&quot;properties&quot;:{&quot;noteIndex&quot;:0},&quot;isEdited&quot;:false,&quot;manualOverride&quot;:{&quot;citeprocText&quot;:&quot;[286–289]&quot;,&quot;isManuallyOverridden&quot;:false,&quot;manualOverrideText&quot;:&quot;&quot;},&quot;citationTag&quot;:&quot;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&quot;,&quot;citationItems&quot;:[{&quot;id&quot;:&quot;a93ba0a8-b423-503d-be54-005ddef96d99&quot;,&quot;itemData&quot;:{&quot;DOI&quot;:&quot;10.1016/S0165-1838(96)00134-8&quot;,&quot;ISSN&quot;:&quot;01651838&quot;,&quot;PMID&quot;:&quot;9089540&quot;,&quot;abstract&quot;:&quot;To elucidate the effect of heat stress on the sympathetic nervous system, we evaluated changes in muscle sympathetic nerve activity (MSNA), plasma arginine vasopressin (AVP), tympanic temperature, skin blood flow, cardiac output, mean blood pressure, and heart rate in 9 subjects in response to acute heat stress induced by raising the ambient temperature from 29 to 34°C and then to 40°C. With the heat exposure, MSNA was significantly increased with a significant increase in tympanic temperature. Skin blood flow and heart rate were also significantly increased, while mean blood pressure tended to decline and cardiac output tended to increase. The combination of the increased MSNA and skin blood flow may have caused the redistribution of the circulatory blood volume from the muscles to the skin, facilitating convection heat loss. The increases in MSNA counteracted the lowered blood pressure during heat exposure. Thus, the increased MSNA may play an important role both in thermoregulation and in the maintenance of blood pressure against heat stress.&quot;,&quot;author&quot;:[{&quot;dropping-particle&quot;:&quot;&quot;,&quot;family&quot;:&quot;Niimi&quot;,&quot;given&quot;:&quot;Yuki&quot;,&quot;non-dropping-particle&quot;:&quot;&quot;,&quot;parse-names&quot;:false,&quot;suffix&quot;:&quot;&quot;},{&quot;dropping-particle&quot;:&quot;&quot;,&quot;family&quot;:&quot;Matsukawa&quot;,&quot;given&quot;:&quot;Toshiyoshi&quot;,&quot;non-dropping-particle&quot;:&quot;&quot;,&quot;parse-names&quot;:false,&quot;suffix&quot;:&quot;&quot;},{&quot;dropping-particle&quot;:&quot;&quot;,&quot;family&quot;:&quot;Sugiyama&quot;,&quot;given&quot;:&quot;Yoshiki&quot;,&quot;non-dropping-particle&quot;:&quot;&quot;,&quot;parse-names&quot;:false,&quot;suffix&quot;:&quot;&quot;},{&quot;dropping-particle&quot;:&quot;&quot;,&quot;family&quot;:&quot;Shamsuzzaman&quot;,&quot;given&quot;:&quot;A. S.M.&quot;,&quot;non-dropping-particle&quot;:&quot;&quot;,&quot;parse-names&quot;:false,&quot;suffix&quot;:&quot;&quot;},{&quot;dropping-particle&quot;:&quot;&quot;,&quot;family&quot;:&quot;Ito&quot;,&quot;given&quot;:&quot;Hiroki&quot;,&quot;non-dropping-particle&quot;:&quot;&quot;,&quot;parse-names&quot;:false,&quot;suffix&quot;:&quot;&quot;},{&quot;dropping-particle&quot;:&quot;&quot;,&quot;family&quot;:&quot;Sobue&quot;,&quot;given&quot;:&quot;Gen&quot;,&quot;non-dropping-particle&quot;:&quot;&quot;,&quot;parse-names&quot;:false,&quot;suffix&quot;:&quot;&quot;},{&quot;dropping-particle&quot;:&quot;&quot;,&quot;family&quot;:&quot;Mano&quot;,&quot;given&quot;:&quot;Tadaaki&quot;,&quot;non-dropping-particle&quot;:&quot;&quot;,&quot;parse-names&quot;:false,&quot;suffix&quot;:&quot;&quot;}],&quot;container-title&quot;:&quot;Journal of the Autonomic Nervous System&quot;,&quot;id&quot;:&quot;a93ba0a8-b423-503d-be54-005ddef96d99&quot;,&quot;issue&quot;:&quot;1-2&quot;,&quot;issued&quot;:{&quot;date-parts&quot;:[[&quot;1997&quot;]]},&quot;page&quot;:&quot;61-67&quot;,&quot;title&quot;:&quot;Effect of heat stress on muscle sympathetic nerve activity in humans&quot;,&quot;type&quot;:&quot;article-journal&quot;,&quot;volume&quot;:&quot;63&quot;,&quot;container-title-short&quot;:&quot;J. Auton. Nerv. Syst.&quot;},&quot;uris&quot;:[&quot;http://www.mendeley.com/documents/?uuid=0b3c69f7-39bf-4fb8-81ac-75d1078e52c5&quot;],&quot;isTemporary&quot;:false,&quot;legacyDesktopId&quot;:&quot;0b3c69f7-39bf-4fb8-81ac-75d1078e52c5&quot;},{&quot;id&quot;:&quot;0f2ca01d-c75a-50c0-a516-86a600e398c9&quot;,&quot;itemData&quot;:{&quot;ISSN&quot;:&quot;0095-6562&quot;,&quot;PMID&quot;:&quot;16964740&quot;,&quot;abstract&quot;:&quot;INTRODUCTION This study observed heart rate variability (HRV) measured in order to detect the changes in sympathovagal activity during high ambient (74 degrees C) temperature. HRV is a measure of heart rate (HR) fluctuations around the mean HR and has been used to indicate the balance between parasympathetic and sympathetic function of the autonomic nervous system in medicine and exercise, but not in extreme environments. METHODS There were 10 healthy male subjects who wore Polar HR monitors (PE 5000) during a 15-min exposure (74.3 +/- 5.9 degrees C). RESULTS HR increased significantly (p &lt; 0.05) from 66.5 bpm pre-exposure to 106.0 bpm during exposure to the dry heat. A significant decrease in parasympathetic drive was indicated by: (1) a reduction of 89.1 +/- 31.3% in the proportion of interval differences between two normal R-R intervals that were in excess of 50 ms in length (pNN50); (2) an 83.4 +/- 7.0% decrease in the root mean square of successive R-R differences (RMSSD); and (3) an 82.7 +/- 11.4% decrease in the normalized high-frequency (HF norm) values. An increase in a sympathetic drive was indicated by a significant increase in: (1) the normalized low-frequency (LF norm) values of (84.5 +/- 19.4%); and (2) the LF:HF ratio (10.9 +/- 10.8%). DISCUSSION The results from this study show that exposure to high ambient temperature produces a significant increase in HR through an increase in sympathetic and decrease in parasympathetic drive.&quot;,&quot;author&quot;:[{&quot;dropping-particle&quot;:&quot;&quot;,&quot;family&quot;:&quot;Bruce-Low&quot;,&quot;given&quot;:&quot;Stewart S.&quot;,&quot;non-dropping-particle&quot;:&quot;&quot;,&quot;parse-names&quot;:false,&quot;suffix&quot;:&quot;&quot;},{&quot;dropping-particle&quot;:&quot;&quot;,&quot;family&quot;:&quot;Cotterrell&quot;,&quot;given&quot;:&quot;David&quot;,&quot;non-dropping-particle&quot;:&quot;&quot;,&quot;parse-names&quot;:false,&quot;suffix&quot;:&quot;&quot;},{&quot;dropping-particle&quot;:&quot;&quot;,&quot;family&quot;:&quot;Jones&quot;,&quot;given&quot;:&quot;Gareth E.&quot;,&quot;non-dropping-particle&quot;:&quot;&quot;,&quot;parse-names&quot;:false,&quot;suffix&quot;:&quot;&quot;}],&quot;container-title&quot;:&quot;Aviation, space, and environmental medicine&quot;,&quot;id&quot;:&quot;0f2ca01d-c75a-50c0-a516-86a600e398c9&quot;,&quot;issue&quot;:&quot;9&quot;,&quot;issued&quot;:{&quot;date-parts&quot;:[[&quot;2006&quot;,&quot;9&quot;]]},&quot;page&quot;:&quot;915-20&quot;,&quot;title&quot;:&quot;Heart rate variability during high ambient heat exposure.&quot;,&quot;type&quot;:&quot;article-journal&quot;,&quot;volume&quot;:&quot;77&quot;,&quot;container-title-short&quot;:&quot;Aviat. Space Environ. Med.&quot;},&quot;uris&quot;:[&quot;http://www.mendeley.com/documents/?uuid=2577cf2c-cd21-46c4-bf23-2d327d221b6c&quot;],&quot;isTemporary&quot;:false,&quot;legacyDesktopId&quot;:&quot;2577cf2c-cd21-46c4-bf23-2d327d221b6c&quot;},{&quot;id&quot;:&quot;8438bb06-e8d6-5226-a005-96395ed89cb4&quot;,&quot;itemData&quot;:{&quot;DOI&quot;:&quot;10.1539/joh.49.199&quot;,&quot;ISSN&quot;:&quot;1341-9145&quot;,&quot;PMID&quot;:&quot;17575400&quot;,&quot;abstract&quot;:&quot;The aim of this study was to investigate the usefulness of heart rate variability (HRV) and urinary catecholamines (CA) as objective indices of heat stress effect. We examined physiological responses, subjective symptoms, HRV and urinary CA to evaluate the effect of heat exposure on the autonomic nervous system. Six healthy male students volunteered for this study. They were exposed on different days to either a thermoneutral condition at wet bulb globe temperature (WBGT) 21 degrees C, or a heated condition at WBGT 35 degrees C for 30 min, while seated on a chair. In the thermoneutral condition, differences of all parameters between the values before and after 30 min exposure were not statistically significant. In the heated condition, heart rate, body temperature and scores for subjective symptoms (feverishness, sweating, mood, and face flushing) significantly increased after 30 min exposure (p&lt;0.05). Also, the high frequency component (HF%) of HRV significantly decreased and the low frequency/high frequency (LF/HF) ratio of HRV significantly increased after 30 min exposure to the heated condition (p&lt;0.05). There were no significant differences between the amounts of urinary CA before and after the 30 min exposures; however, the norepinephrine amount after 30 min exposure to the heated condition was significantly greater than that of the thermoneutral condition (p&lt;0.05). The heat exposure (WBGT 35 degrees C) induced activation of the sympathetic nervous system and a withdrawal of the parasympathetic nervous system. These findings coincide with observed changes of heart rate, body temperature and subjective symptoms. It is suggested that HRV (HF% and LF/HF ratio) and urinary norepinephrine may be useful objective indices of heat stress; HRV seems to be more sensitive to heat stress than urinary CA.&quot;,&quot;author&quot;:[{&quot;dropping-particle&quot;:&quot;&quot;,&quot;family&quot;:&quot;Yamamoto&quot;,&quot;given&quot;:&quot;Shinji&quot;,&quot;non-dropping-particle&quot;:&quot;&quot;,&quot;parse-names&quot;:false,&quot;suffix&quot;:&quot;&quot;},{&quot;dropping-particle&quot;:&quot;&quot;,&quot;family&quot;:&quot;Iwamoto&quot;,&quot;given&quot;:&quot;Mieko&quot;,&quot;non-dropping-particle&quot;:&quot;&quot;,&quot;parse-names&quot;:false,&quot;suffix&quot;:&quot;&quot;},{&quot;dropping-particle&quot;:&quot;&quot;,&quot;family&quot;:&quot;Inoue&quot;,&quot;given&quot;:&quot;Masaiwa&quot;,&quot;non-dropping-particle&quot;:&quot;&quot;,&quot;parse-names&quot;:false,&quot;suffix&quot;:&quot;&quot;},{&quot;dropping-particle&quot;:&quot;&quot;,&quot;family&quot;:&quot;Harada&quot;,&quot;given&quot;:&quot;Noriaki&quot;,&quot;non-dropping-particle&quot;:&quot;&quot;,&quot;parse-names&quot;:false,&quot;suffix&quot;:&quot;&quot;}],&quot;container-title&quot;:&quot;Journal of occupational health&quot;,&quot;id&quot;:&quot;8438bb06-e8d6-5226-a005-96395ed89cb4&quot;,&quot;issue&quot;:&quot;3&quot;,&quot;issued&quot;:{&quot;date-parts&quot;:[[&quot;2007&quot;,&quot;5&quot;]]},&quot;page&quot;:&quot;199-204&quot;,&quot;title&quot;:&quot;Evaluation of the effect of heat exposure on the autonomic nervous system by heart rate variability and urinary catecholamines.&quot;,&quot;type&quot;:&quot;article-journal&quot;,&quot;volume&quot;:&quot;49&quot;,&quot;container-title-short&quot;:&quot;J. Occup. Health&quot;},&quot;uris&quot;:[&quot;http://www.mendeley.com/documents/?uuid=6d9ab000-ca4d-4aec-a3ab-6e299fbc5294&quot;],&quot;isTemporary&quot;:false,&quot;legacyDesktopId&quot;:&quot;6d9ab000-ca4d-4aec-a3ab-6e299fbc5294&quot;},{&quot;id&quot;:&quot;70559eec-296d-5158-b36f-134616d007e4&quot;,&quot;itemData&quot;:{&quot;DOI&quot;:&quot;10.1152/jappl.1999.86.2.605&quot;,&quot;ISSN&quot;:&quot;8750-7587&quot;,&quot;PMID&quot;:&quot;9931197&quot;,&quot;abstract&quot;:&quot;Whole body heating in humans increases skin blood flow (SkBF) and decreases central venous pressure (CVP). This study sought to identify whether elevations in SkBF are augmented during passive heating if CVP is increased during the heat stress. Seven subjects were exposed to passive heating. Once SkBF was substantially elevated, 15 ml/kg warm saline were rapidly infused intravenously. Whole body heating significantly increased cutaneous vascular conductance and decreased CVP from 7.7 ± 0.6 to 4.9 ± 0.5 mmHg ( P &lt; 0.05). Saline infusion returned CVP to pre-heat-stress pressures (7.9 ± 0.6 mmHg; P &gt; 0.05) and significantly increased cutaneous vascular conductance relative to the period before saline administration. Moreover, saline infusion did not alter mean arterial pressure, pulse pressure, or esophageal temperature (all P &gt; 0.05). To serve as a volume control, 15 ml/kg saline were rapidly infused intravenously in normothermic subjects. Saline infusion increased CVP ( P &lt; 0.05) without affecting mean arterial pressure, pulse pressure, or cutaneous vascular conductance (all P &gt; 0.05). These data suggest that cardiopulmonary baroreceptor unloading during passive heating may attenuate the elevation in SkBF in humans, whereas loading cardiopulmonary baroreceptors in normothermia has no effect on SkBF.&quot;,&quot;author&quot;:[{&quot;dropping-particle&quot;:&quot;&quot;,&quot;family&quot;:&quot;Crandall&quot;,&quot;given&quot;:&quot;C. G.&quot;,&quot;non-dropping-particle&quot;:&quot;&quot;,&quot;parse-names&quot;:false,&quot;suffix&quot;:&quot;&quot;},{&quot;dropping-particle&quot;:&quot;&quot;,&quot;family&quot;:&quot;Levine&quot;,&quot;given&quot;:&quot;B. D.&quot;,&quot;non-dropping-particle&quot;:&quot;&quot;,&quot;parse-names&quot;:false,&quot;suffix&quot;:&quot;&quot;},{&quot;dropping-particle&quot;:&quot;&quot;,&quot;family&quot;:&quot;Etzel&quot;,&quot;given&quot;:&quot;R. A.&quot;,&quot;non-dropping-particle&quot;:&quot;&quot;,&quot;parse-names&quot;:false,&quot;suffix&quot;:&quot;&quot;}],&quot;container-title&quot;:&quot;Journal of Applied Physiology&quot;,&quot;id&quot;:&quot;70559eec-296d-5158-b36f-134616d007e4&quot;,&quot;issue&quot;:&quot;2&quot;,&quot;issued&quot;:{&quot;date-parts&quot;:[[&quot;1999&quot;,&quot;2&quot;,&quot;1&quot;]]},&quot;page&quot;:&quot;605-610&quot;,&quot;title&quot;:&quot;Effect of increasing central venous pressure during passive heating on skin blood flow&quot;,&quot;type&quot;:&quot;article-journal&quot;,&quot;volume&quot;:&quot;86&quot;,&quot;container-title-short&quot;:&quot;J. Appl. Physiol.&quot;},&quot;uris&quot;:[&quot;http://www.mendeley.com/documents/?uuid=e7d86707-d6f4-4775-a635-b8b037ba4e69&quot;],&quot;isTemporary&quot;:false,&quot;legacyDesktopId&quot;:&quot;e7d86707-d6f4-4775-a635-b8b037ba4e69&quot;}]},{&quot;citationID&quot;:&quot;MENDELEY_CITATION_b500e6ef-7744-4745-888a-2f335c44f257&quot;,&quot;properties&quot;:{&quot;noteIndex&quot;:0},&quot;isEdited&quot;:false,&quot;manualOverride&quot;:{&quot;citeprocText&quot;:&quot;[286,290–293]&quot;,&quot;isManuallyOverridden&quot;:false,&quot;manualOverrideText&quot;:&quot;&quot;},&quot;citationTag&quot;:&quot;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&quot;,&quot;citationItems&quot;:[{&quot;id&quot;:&quot;5ac1a1e8-0103-558a-8099-67b60cc736af&quot;,&quot;itemData&quot;:{&quot;DOI&quot;:&quot;10.1152/ajpregu.00195.2002&quot;,&quot;ISSN&quot;:&quot;03636119&quot;,&quot;PMID&quot;:&quot;12376416&quot;,&quot;abstract&quot;:&quot;To test the hypothesis that phenylephrine-induced elevations in blood pressure are attenuated in heat-stressed humans, blood pressure was elevated via steady-state infusion of three doses of phenylephrine HCl in 10 healthy subjects in both normothermic and heat stress conditions. Whole body heating significantly increased sublingual temperature by ∼0.5°C, muscle sympathetic nerve activity (MSNA), heart rate, and cardiac output and decreased total peripheral vascular resistance (TPR; all P &lt; 0.005) but did not change mean arterial blood pressure (MAP; P &gt; 0.05). At the highest dose of phenylephrine, the increase in MAP and TPR from predrug baselines was significantly attenuated during the heat stress [AMAP 8.4 ± 1.2 mmHg; ATPR 0.96 ± 0.85 peripheral resistance units (PRU)] compared with normothermia (ΔMAP 15.4 ± 1.4 mmHg, ΔTPR 7.13 ± 1.18 PRU; all P&lt; 0.001). The sensitivity of baroreflex control of MSNA and heart rate, expressed as the slope of the relationship between MSNA and diastolic blood pressure, as well as the slope of the relationship between heart rate and systolic blood pressure, respectively, was similar between thermal conditions (each P &gt; 0.05). These data suggest that phenylephrine-induced elevations in MAP are attenuated in heat-stressed humans without affecting baroreflex control of MSNA or heart rate.&quot;,&quot;author&quot;:[{&quot;dropping-particle&quot;:&quot;&quot;,&quot;family&quot;:&quot;Cui&quot;,&quot;given&quot;:&quot;Jian&quot;,&quot;non-dropping-particle&quot;:&quot;&quot;,&quot;parse-names&quot;:false,&quot;suffix&quot;:&quot;&quot;},{&quot;dropping-particle&quot;:&quot;&quot;,&quot;family&quot;:&quot;Wilson&quot;,&quot;given&quot;:&quot;Thad E.&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American Journal of Physiology - Regulatory Integrative and Comparative Physiology&quot;,&quot;id&quot;:&quot;5ac1a1e8-0103-558a-8099-67b60cc736af&quot;,&quot;issue&quot;:&quot;5 52-5&quot;,&quot;issued&quot;:{&quot;date-parts&quot;:[[&quot;2002&quot;]]},&quot;page&quot;:&quot;1221-1226&quot;,&quot;title&quot;:&quot;Phenylephrine-induced elevations in arterial blood pressure are attenuated in heat-stressed humans&quot;,&quot;type&quot;:&quot;article-journal&quot;,&quot;volume&quot;:&quot;283&quot;,&quot;container-title-short&quot;:&quot;Am. J. Physiol. Regul. Integr. Comp. Physiol.&quot;},&quot;uris&quot;:[&quot;http://www.mendeley.com/documents/?uuid=21e071e6-0a57-4d0d-a293-5b101a700938&quot;],&quot;isTemporary&quot;:false,&quot;legacyDesktopId&quot;:&quot;21e071e6-0a57-4d0d-a293-5b101a700938&quot;},{&quot;id&quot;:&quot;be6c1107-4971-52a3-a89a-fd51e52e77d2&quot;,&quot;itemData&quot;:{&quot;DOI&quot;:&quot;10.1152/japplphysiol.00292.2010&quot;,&quot;ISSN&quot;:&quot;87507587&quot;,&quot;PMID&quot;:&quot;20798269&quot;,&quot;abstract&quot;:&quot;The mechanisms by which heat stress impairs the control of blood pressure leading to compromised orthostatic tolerance are not thoroughly understood. A possible mechanism may be an attenuated blood pressure response to a given increase in sympathetic activity. This study tested the hypothesis that whole body heating attenuates the blood pressure response to a non-baroreflex-mediated sympathoexcitatory stimulus. Ten healthy subjects were instrumented for the measurement of integrated muscle sympathetic nerve activity (MSNA), mean arterial blood pressure (MAP), heart rate, sweat rate, and forearm skin blood flow. Subjects were exposed to a cold pressor test (CPT) by immersing a hand in an ice water slurry for 3 min while otherwise normothermic and while heat stressed (i.e. increase core temperature ∼0.7°C via water-perfused suit). Mean responses from the final minute of the CPT were evaluated. In both thermal conditions CPT induced significant increases in MSNA and MAP without altering heart rate. Although the increase in MSNA to the CPT was similar between thermal conditions (normothermia: Δ14.0 ± 2.6; heat stress: Δ19.1 ± 2.6 bursts/min; P = 0.09), the accompanying increase in MAP was attenuated when subjects were heat stressed (normothermia: Δ25.6 ± 2.3, heat stress: Δ13.4 ± 3.0 mmHg; P &lt; 0.001). The results demonstrate that heat stress can attenuate the pressor response to a sympathoexcitatory stimulus. © 2010 the American Physiological Society.&quot;,&quot;author&quot;:[{&quot;dropping-particle&quot;:&quot;&quot;,&quot;family&quot;:&quot;Cui&quot;,&quot;given&quot;:&quot;Jian&quot;,&quot;non-dropping-particle&quot;:&quot;&quot;,&quot;parse-names&quot;:false,&quot;suffix&quot;:&quot;&quot;},{&quot;dropping-particle&quot;:&quot;&quot;,&quot;family&quot;:&quot;Shibasaki&quot;,&quot;given&quot;:&quot;Manabu&quot;,&quot;non-dropping-particle&quot;:&quot;&quot;,&quot;parse-names&quot;:false,&quot;suffix&quot;:&quot;&quot;},{&quot;dropping-particle&quot;:&quot;&quot;,&quot;family&quot;:&quot;Low&quot;,&quot;given&quot;:&quot;David A.&quot;,&quot;non-dropping-particle&quot;:&quot;&quot;,&quot;parse-names&quot;:false,&quot;suffix&quot;:&quot;&quot;},{&quot;dropping-particle&quot;:&quot;&quot;,&quot;family&quot;:&quot;Keller&quot;,&quot;given&quot;:&quot;David M.&quot;,&quot;non-dropping-particle&quot;:&quot;&quot;,&quot;parse-names&quot;:false,&quot;suffix&quot;:&quot;&quot;},{&quot;dropping-particle&quot;:&quot;&quot;,&quot;family&quot;:&quot;Davis&quot;,&quot;given&quot;:&quot;Scott L.&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Journal of Applied Physiology&quot;,&quot;id&quot;:&quot;be6c1107-4971-52a3-a89a-fd51e52e77d2&quot;,&quot;issue&quot;:&quot;5&quot;,&quot;issued&quot;:{&quot;date-parts&quot;:[[&quot;2010&quot;]]},&quot;page&quot;:&quot;1354-1359&quot;,&quot;title&quot;:&quot;Heat stress attenuates the increase in arterial blood pressure during the cold pressor test&quot;,&quot;type&quot;:&quot;article-journal&quot;,&quot;volume&quot;:&quot;109&quot;,&quot;container-title-short&quot;:&quot;J. Appl. Physiol.&quot;},&quot;uris&quot;:[&quot;http://www.mendeley.com/documents/?uuid=d368c85b-c079-4ed8-bace-4d21745bec12&quot;],&quot;isTemporary&quot;:false,&quot;legacyDesktopId&quot;:&quot;d368c85b-c079-4ed8-bace-4d21745bec12&quot;},{&quot;id&quot;:&quot;a93ba0a8-b423-503d-be54-005ddef96d99&quot;,&quot;itemData&quot;:{&quot;DOI&quot;:&quot;10.1016/S0165-1838(96)00134-8&quot;,&quot;ISSN&quot;:&quot;01651838&quot;,&quot;PMID&quot;:&quot;9089540&quot;,&quot;abstract&quot;:&quot;To elucidate the effect of heat stress on the sympathetic nervous system, we evaluated changes in muscle sympathetic nerve activity (MSNA), plasma arginine vasopressin (AVP), tympanic temperature, skin blood flow, cardiac output, mean blood pressure, and heart rate in 9 subjects in response to acute heat stress induced by raising the ambient temperature from 29 to 34°C and then to 40°C. With the heat exposure, MSNA was significantly increased with a significant increase in tympanic temperature. Skin blood flow and heart rate were also significantly increased, while mean blood pressure tended to decline and cardiac output tended to increase. The combination of the increased MSNA and skin blood flow may have caused the redistribution of the circulatory blood volume from the muscles to the skin, facilitating convection heat loss. The increases in MSNA counteracted the lowered blood pressure during heat exposure. Thus, the increased MSNA may play an important role both in thermoregulation and in the maintenance of blood pressure against heat stress.&quot;,&quot;author&quot;:[{&quot;dropping-particle&quot;:&quot;&quot;,&quot;family&quot;:&quot;Niimi&quot;,&quot;given&quot;:&quot;Yuki&quot;,&quot;non-dropping-particle&quot;:&quot;&quot;,&quot;parse-names&quot;:false,&quot;suffix&quot;:&quot;&quot;},{&quot;dropping-particle&quot;:&quot;&quot;,&quot;family&quot;:&quot;Matsukawa&quot;,&quot;given&quot;:&quot;Toshiyoshi&quot;,&quot;non-dropping-particle&quot;:&quot;&quot;,&quot;parse-names&quot;:false,&quot;suffix&quot;:&quot;&quot;},{&quot;dropping-particle&quot;:&quot;&quot;,&quot;family&quot;:&quot;Sugiyama&quot;,&quot;given&quot;:&quot;Yoshiki&quot;,&quot;non-dropping-particle&quot;:&quot;&quot;,&quot;parse-names&quot;:false,&quot;suffix&quot;:&quot;&quot;},{&quot;dropping-particle&quot;:&quot;&quot;,&quot;family&quot;:&quot;Shamsuzzaman&quot;,&quot;given&quot;:&quot;A. S.M.&quot;,&quot;non-dropping-particle&quot;:&quot;&quot;,&quot;parse-names&quot;:false,&quot;suffix&quot;:&quot;&quot;},{&quot;dropping-particle&quot;:&quot;&quot;,&quot;family&quot;:&quot;Ito&quot;,&quot;given&quot;:&quot;Hiroki&quot;,&quot;non-dropping-particle&quot;:&quot;&quot;,&quot;parse-names&quot;:false,&quot;suffix&quot;:&quot;&quot;},{&quot;dropping-particle&quot;:&quot;&quot;,&quot;family&quot;:&quot;Sobue&quot;,&quot;given&quot;:&quot;Gen&quot;,&quot;non-dropping-particle&quot;:&quot;&quot;,&quot;parse-names&quot;:false,&quot;suffix&quot;:&quot;&quot;},{&quot;dropping-particle&quot;:&quot;&quot;,&quot;family&quot;:&quot;Mano&quot;,&quot;given&quot;:&quot;Tadaaki&quot;,&quot;non-dropping-particle&quot;:&quot;&quot;,&quot;parse-names&quot;:false,&quot;suffix&quot;:&quot;&quot;}],&quot;container-title&quot;:&quot;Journal of the Autonomic Nervous System&quot;,&quot;id&quot;:&quot;a93ba0a8-b423-503d-be54-005ddef96d99&quot;,&quot;issue&quot;:&quot;1-2&quot;,&quot;issued&quot;:{&quot;date-parts&quot;:[[&quot;1997&quot;]]},&quot;page&quot;:&quot;61-67&quot;,&quot;title&quot;:&quot;Effect of heat stress on muscle sympathetic nerve activity in humans&quot;,&quot;type&quot;:&quot;article-journal&quot;,&quot;volume&quot;:&quot;63&quot;,&quot;container-title-short&quot;:&quot;J. Auton. Nerv. Syst.&quot;},&quot;uris&quot;:[&quot;http://www.mendeley.com/documents/?uuid=0b3c69f7-39bf-4fb8-81ac-75d1078e52c5&quot;],&quot;isTemporary&quot;:false,&quot;legacyDesktopId&quot;:&quot;0b3c69f7-39bf-4fb8-81ac-75d1078e52c5&quot;},{&quot;id&quot;:&quot;3beb0636-4112-5193-8223-25e74bfedc77&quot;,&quot;itemData&quot;:{&quot;DOI&quot;:&quot;10.1152/japplphysiol.00498.2011&quot;,&quot;ISSN&quot;:&quot;87507587&quot;,&quot;PMID&quot;:&quot;21868685&quot;,&quot;abstract&quot;:&quot;We and others have shown that moderate passive whole body heating (i.e., increased internal temperature ∼0.7°C) increases muscle (MSNA) and skin sympathetic nerve activity (SSNA). It is unknown, however, if MSNA and/or SSNA continue to increase with more severe passive whole body heating or whether these responses plateau following moderate heating. The aim of this investigation was to test the hypothesis that MSNA and SSNA continue to increase from a moderate to a more severe heat stress. Thirteen subjects, dressed in a water-perfused suit, underwent at least one passive heat stress that increased internal temperature ∼1.3°C, while either MSNA (n = 8) or SSNA (n = 8) was continuously recorded. Heat stress significantly increased mean skin temperature (Δ∼5°C, P &lt; 0.001), internal temperature (Δ∼1.3°C, P &lt; 0.001), mean body temperature (Δ∼2.0°C, P &lt; 0.001), heart rate (Δ∼40 beats/min, P &lt; 0.001), and cutaneous vascular conductance [Δ∼1.1 arbitrary units (AU)/mmHg, P &lt; 0.001]. Mean arterial blood pressure was well maintained (P = 0.52). Relative to baseline, MSNA increased midway through heat stress (Δcore temperature 0.63 ± 0.01°C) when expressed as burst frequency (26 ± 14 to 45 ± 16 bursts/min, P = 0.001), burst incidence (39 ± 13 to 48 ± 14 bursts/100 cardiac cyles, P = 0.03), or total activity (317 ± 170 to 489 ± 150 units/min, P = 0.02) and continued to increase until the end of heat stress (burst frequency: 61 ± 15 bursts/min, P = 0.01; burst incidence: 56 ± 11 bursts/100 cardiac cyles, P = 0.04; total activity: 648 ± 158 units/min, P = 0.01) relative to the mid-heating stage. Similarly, SSNA (total activity) increased midway through the heat stress (normothermia; 1,486 ± 472 to mid heat stress 6,467 ± 5,256 units/min, P = 0.03) and continued to increase until the end of heat stress (11,217 ± 6,684 units/min, P = 0.002 vs. mid-heat stress). These results indicate that both MSNA and SSNA continue to increase as internal temperature is elevated above previously reported values. Copyright © 2011 the American Physiological Society.&quot;,&quot;author&quot;:[{&quot;dropping-particle&quot;:&quot;&quot;,&quot;family&quot;:&quot;Low&quot;,&quot;given&quot;:&quot;David A.&quot;,&quot;non-dropping-particle&quot;:&quot;&quot;,&quot;parse-names&quot;:false,&quot;suffix&quot;:&quot;&quot;},{&quot;dropping-particle&quot;:&quot;&quot;,&quot;family&quot;:&quot;Keller&quot;,&quot;given&quot;:&quot;David M.&quot;,&quot;non-dropping-particle&quot;:&quot;&quot;,&quot;parse-names&quot;:false,&quot;suffix&quot;:&quot;&quot;},{&quot;dropping-particle&quot;:&quot;&quot;,&quot;family&quot;:&quot;Wingo&quot;,&quot;given&quot;:&quot;Jonathan E.&quot;,&quot;non-dropping-particle&quot;:&quot;&quot;,&quot;parse-names&quot;:false,&quot;suffix&quot;:&quot;&quot;},{&quot;dropping-particle&quot;:&quot;&quot;,&quot;family&quot;:&quot;Brothers&quot;,&quot;given&quot;:&quot;R. Matthew&quot;,&quot;non-dropping-particle&quot;:&quot;&quot;,&quot;parse-names&quot;:false,&quot;suffix&quot;:&quot;&quot;},{&quot;dropping-particle&quot;:&quot;&quot;,&quot;family&quot;:&quot;Crandall&quot;,&quot;given&quot;:&quot;Craig G.&quot;,&quot;non-dropping-particle&quot;:&quot;&quot;,&quot;parse-names&quot;:false,&quot;suffix&quot;:&quot;&quot;}],&quot;container-title&quot;:&quot;Journal of Applied Physiology&quot;,&quot;id&quot;:&quot;3beb0636-4112-5193-8223-25e74bfedc77&quot;,&quot;issue&quot;:&quot;5&quot;,&quot;issued&quot;:{&quot;date-parts&quot;:[[&quot;2011&quot;]]},&quot;page&quot;:&quot;1329-1334&quot;,&quot;title&quot;:&quot;Sympathetic nerve activity and whole body heat stress in humans&quot;,&quot;type&quot;:&quot;article&quot;,&quot;volume&quot;:&quot;111&quot;,&quot;container-title-short&quot;:&quot;J. Appl. Physiol.&quot;},&quot;uris&quot;:[&quot;http://www.mendeley.com/documents/?uuid=95d46f27-bbff-47c4-a631-85f3c844e8f0&quot;],&quot;isTemporary&quot;:false,&quot;legacyDesktopId&quot;:&quot;95d46f27-bbff-47c4-a631-85f3c844e8f0&quot;},{&quot;id&quot;:&quot;2fa17ba6-416b-51c4-b16e-801ac2c8c550&quot;,&quot;itemData&quot;:{&quot;DOI&quot;:&quot;10.1152/ajpheart.1999.277.6.H2348&quot;,&quot;ISSN&quot;:&quot;0363-6135&quot;,&quot;PMID&quot;:&quot;10600855&quot;,&quot;abstract&quot;:&quot;Whole body heating decreases central venous pressure (CVP) while increasing muscle sympathetic nerve activity (MSNA). In normothermia, similar decreases in CVP elevate MSNA, presumably via cardiopulmonary baroreceptor unloading. The purpose of this project was to identify whether increases in MSNA during whole body heating could be attributed to cardiopulmonary baroreceptor unloading coincident with the thermal challenge. Seven subjects were exposed to whole body heating while sublingual temperature, skin blood flow, heart rate, arterial blood pressure, and MSNA were monitored. During the heat stress, 15 ml/kg warmed saline was infused intravenously over 7–10 min to increase CVP and load the cardiopulmonary baroreceptors. We reported previously that this amount of saline was sufficient to return CVP to pre-heat stress levels. Whole body heating increased MSNA from 25 ± 3 to 39 ± 3 bursts/min ( P &lt; 0.05). Central blood volume expansion via rapid saline infusion did not significantly decrease MSNA (44 ± 4 bursts/min, P &gt; 0.05 relative to heat stress period) and did not alter mean arterial blood pressure (MAP) or pulse pressure. To identify whether arterial baroreceptor loading decreases MSNA during heat stress, in a separate protocol MAP was elevated via steady-state infusion of phenylephrine during whole body heating. Increasing MAP from 82 ± 3 to 93 ± 4 mmHg ( P &lt; 0.05) caused MSNA to decrease from 36 ± 3 to 15 ± 4 bursts/min ( P &lt; 0.05). These data suggest that cardiopulmonary baroreceptor unloading during passive heating is not the primary mechanism resulting in elevations in MSNA. Moreover, arterial baroreceptors remain capable of modulating MSNA during heat stress.&quot;,&quot;author&quot;:[{&quot;dropping-particle&quot;:&quot;&quot;,&quot;family&quot;:&quot;Crandall&quot;,&quot;given&quot;:&quot;C. G.&quot;,&quot;non-dropping-particle&quot;:&quot;&quot;,&quot;parse-names&quot;:false,&quot;suffix&quot;:&quot;&quot;},{&quot;dropping-particle&quot;:&quot;&quot;,&quot;family&quot;:&quot;Etzel&quot;,&quot;given&quot;:&quot;R. A.&quot;,&quot;non-dropping-particle&quot;:&quot;&quot;,&quot;parse-names&quot;:false,&quot;suffix&quot;:&quot;&quot;},{&quot;dropping-particle&quot;:&quot;&quot;,&quot;family&quot;:&quot;Farr&quot;,&quot;given&quot;:&quot;D. B.&quot;,&quot;non-dropping-particle&quot;:&quot;&quot;,&quot;parse-names&quot;:false,&quot;suffix&quot;:&quot;&quot;}],&quot;container-title&quot;:&quot;American Journal of Physiology-Heart and Circulatory Physiology&quot;,&quot;id&quot;:&quot;2fa17ba6-416b-51c4-b16e-801ac2c8c550&quot;,&quot;issue&quot;:&quot;6&quot;,&quot;issued&quot;:{&quot;date-parts&quot;:[[&quot;1999&quot;,&quot;12&quot;,&quot;1&quot;]]},&quot;page&quot;:&quot;H2348-H2352&quot;,&quot;title&quot;:&quot;Cardiopulmonary baroreceptor control of muscle sympathetic nerve activity in heat-stressed humans&quot;,&quot;type&quot;:&quot;article-journal&quot;,&quot;volume&quot;:&quot;277&quot;,&quot;container-title-short&quot;:&quot;&quot;},&quot;uris&quot;:[&quot;http://www.mendeley.com/documents/?uuid=80a6b0aa-58b1-4a31-8b02-108add047005&quot;],&quot;isTemporary&quot;:false,&quot;legacyDesktopId&quot;:&quot;80a6b0aa-58b1-4a31-8b02-108add047005&quot;}]},{&quot;citationID&quot;:&quot;MENDELEY_CITATION_8a999f7b-fb0c-4ef4-8dd7-48429cccc2c4&quot;,&quot;properties&quot;:{&quot;noteIndex&quot;:0},&quot;isEdited&quot;:false,&quot;manualOverride&quot;:{&quot;citeprocText&quot;:&quot;[284,294–297]&quot;,&quot;isManuallyOverridden&quot;:false,&quot;manualOverrideText&quot;:&quot;&quot;},&quot;citationTag&quot;:&quot;MENDELEY_CITATION_v3_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&quot;,&quot;citationItems&quot;:[{&quot;id&quot;:&quot;9f5d21c3-ac2a-513d-b5ad-8360e6c7a652&quot;,&quot;itemData&quot;:{&quot;DOI&quot;:&quot;10.1007/BF02441043&quot;,&quot;ISSN&quot;:&quot;0140-0118&quot;,&quot;PMID&quot;:&quot;195151&quot;,&quot;abstract&quot;:&quot;A definition of heart-rate variability (h.r.v.) is given. The use of h.r.v. measurement in both clinical applications and the neural cardiovascular research is discussed. For the latter applications, four different signals describing h.r.v. are reviewed. It is shown that these signals are based on modifications of one model, namely the integral pulse frequency modulator. In Part 2, a hardware device for measuring h.r.v. based on one of these modifications is described. © 1977 International Federation for Medical &amp; Biological Engineering.&quot;,&quot;author&quot;:[{&quot;dropping-particle&quot;:&quot;&quot;,&quot;family&quot;:&quot;Rompelman&quot;,&quot;given&quot;:&quot;O.&quot;,&quot;non-dropping-particle&quot;:&quot;&quot;,&quot;parse-names&quot;:false,&quot;suffix&quot;:&quot;&quot;},{&quot;dropping-particle&quot;:&quot;&quot;,&quot;family&quot;:&quot;Coenen&quot;,&quot;given&quot;:&quot;A. J. R. M.&quot;,&quot;non-dropping-particle&quot;:&quot;&quot;,&quot;parse-names&quot;:false,&quot;suffix&quot;:&quot;&quot;},{&quot;dropping-particle&quot;:&quot;&quot;,&quot;family&quot;:&quot;Kitney&quot;,&quot;given&quot;:&quot;R. I.&quot;,&quot;non-dropping-particle&quot;:&quot;&quot;,&quot;parse-names&quot;:false,&quot;suffix&quot;:&quot;&quot;}],&quot;container-title&quot;:&quot;Medical &amp; Biological Engineering &amp; Computing&quot;,&quot;id&quot;:&quot;9f5d21c3-ac2a-513d-b5ad-8360e6c7a652&quot;,&quot;issue&quot;:&quot;3&quot;,&quot;issued&quot;:{&quot;date-parts&quot;:[[&quot;1977&quot;,&quot;5&quot;]]},&quot;page&quot;:&quot;233-239&quot;,&quot;title&quot;:&quot;Measurement of heart-rate variability: Part 1—Comparative study of heart-rate variability analysis methods&quot;,&quot;type&quot;:&quot;article-journal&quot;,&quot;volume&quot;:&quot;15&quot;,&quot;container-title-short&quot;:&quot;Med. Biol. Eng. Comput.&quot;},&quot;uris&quot;:[&quot;http://www.mendeley.com/documents/?uuid=d895b542-1c36-4447-a0ca-ffcde0ef902b&quot;],&quot;isTemporary&quot;:false,&quot;legacyDesktopId&quot;:&quot;d895b542-1c36-4447-a0ca-ffcde0ef902b&quot;},{&quot;id&quot;:&quot;d629480d-4e7a-52f7-aa25-812a7a95373d&quot;,&quot;itemData&quot;:{&quot;DOI&quot;:&quot;10.1007/BF02457997&quot;,&quot;ISSN&quot;:&quot;0140-0118&quot;,&quot;PMID&quot;:&quot;197337&quot;,&quot;abstract&quot;:&quot;Part 1 of the paper was dedicated to some general aspects of h.r.v. measurements. In Part 2, the spectral properties of the integral pulse frequency modulator (i.p.f.m.) are shown. The choice of a hardware device for lowpass filtering the cardiac event series by means of a stepwise convolution is discussed. A method to overcome the problems of distortion due to spurious spectral components in the filter passband is shown. The hardware realisation of the filter is described and results are given. © 1977 International Federation for Medical &amp; Biological Engineering.&quot;,&quot;author&quot;:[{&quot;dropping-particle&quot;:&quot;&quot;,&quot;family&quot;:&quot;Coenen&quot;,&quot;given&quot;:&quot;A. J. R. M.&quot;,&quot;non-dropping-particle&quot;:&quot;&quot;,&quot;parse-names&quot;:false,&quot;suffix&quot;:&quot;&quot;},{&quot;dropping-particle&quot;:&quot;&quot;,&quot;family&quot;:&quot;Rompelman&quot;,&quot;given&quot;:&quot;O.&quot;,&quot;non-dropping-particle&quot;:&quot;&quot;,&quot;parse-names&quot;:false,&quot;suffix&quot;:&quot;&quot;},{&quot;dropping-particle&quot;:&quot;&quot;,&quot;family&quot;:&quot;Kitney&quot;,&quot;given&quot;:&quot;R. I.&quot;,&quot;non-dropping-particle&quot;:&quot;&quot;,&quot;parse-names&quot;:false,&quot;suffix&quot;:&quot;&quot;}],&quot;container-title&quot;:&quot;Medical &amp; Biological Engineering &amp; Computing&quot;,&quot;id&quot;:&quot;d629480d-4e7a-52f7-aa25-812a7a95373d&quot;,&quot;issue&quot;:&quot;4&quot;,&quot;issued&quot;:{&quot;date-parts&quot;:[[&quot;1977&quot;,&quot;7&quot;]]},&quot;page&quot;:&quot;423-430&quot;,&quot;title&quot;:&quot;Measurement of heart-rate variability: Part 2-hardware digital device for the assessment of heart-rate variability&quot;,&quot;type&quot;:&quot;article-journal&quot;,&quot;volume&quot;:&quot;15&quot;,&quot;container-title-short&quot;:&quot;Med. Biol. Eng. Comput.&quot;},&quot;uris&quot;:[&quot;http://www.mendeley.com/documents/?uuid=306d7a7f-bf25-4b88-8d70-7d3224e8eb7b&quot;],&quot;isTemporary&quot;:false,&quot;legacyDesktopId&quot;:&quot;306d7a7f-bf25-4b88-8d70-7d3224e8eb7b&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4a497521-9bef-5128-a9f9-afac4c939f3d&quot;,&quot;itemData&quot;:{&quot;DOI&quot;:&quot;10.1016/j.neubiorev.2011.11.009&quot;,&quot;ISSN&quot;:&quot;01497634&quot;,&quot;PMID&quot;:&quot;22178086&quot;,&quot;abstract&quot;:&quot;The intimate connection between the brain and the heart was enunciated by Claude Bernard over 150 years ago. In our neurovisceral integration model we have tried to build on this pioneering work. In the present paper we further elaborate our model and update it with recent results. Specifically, we performed a meta-analysis of recent neuroimaging studies on the relationship between heart rate variability and regional cerebral blood flow. We identified a number of regions, including the amygdala and ventromedial prefrontal cortex, in which significant associations across studies were found. We further propose that the default response to uncertainty is the threat response and may be related to the well known negativity bias. Heart rate variability may provide an index of how strongly 'top-down' appraisals, mediated by cortical-subcortical pathways, shape brainstem activity and autonomic responses in the body. If the default response to uncertainty is the threat response, as we propose here, contextual information represented in 'appraisal' systems may be necessary to overcome this bias during daily life. Thus, HRV may serve as a proxy for 'vertical integration' of the brain mechanisms that guide flexible control over behavior with peripheral physiology, and as such provides an important window into understanding stress and health. © 2011 Elsevier Ltd.&quot;,&quot;author&quot;:[{&quot;dropping-particle&quot;:&quot;&quot;,&quot;family&quot;:&quot;Thayer&quot;,&quot;given&quot;:&quot;Julian F.&quot;,&quot;non-dropping-particle&quot;:&quot;&quot;,&quot;parse-names&quot;:false,&quot;suffix&quot;:&quot;&quot;},{&quot;dropping-particle&quot;:&quot;&quot;,&quot;family&quot;:&quot;Åhs&quot;,&quot;given&quot;:&quot;Fredrik&quot;,&quot;non-dropping-particle&quot;:&quot;&quot;,&quot;parse-names&quot;:false,&quot;suffix&quot;:&quot;&quot;},{&quot;dropping-particle&quot;:&quot;&quot;,&quot;family&quot;:&quot;Fredrikson&quot;,&quot;given&quot;:&quot;Mats&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Wager&quot;,&quot;given&quot;:&quot;Tor D.&quot;,&quot;non-dropping-particle&quot;:&quot;&quot;,&quot;parse-names&quot;:false,&quot;suffix&quot;:&quot;&quot;}],&quot;container-title&quot;:&quot;Neuroscience and Biobehavioral Reviews&quot;,&quot;id&quot;:&quot;4a497521-9bef-5128-a9f9-afac4c939f3d&quot;,&quot;issue&quot;:&quot;2&quot;,&quot;issued&quot;:{&quot;date-parts&quot;:[[&quot;2012&quot;]]},&quot;page&quot;:&quot;747-756&quot;,&quot;publisher&quot;:&quot;Elsevier Ltd&quot;,&quot;title&quot;:&quot;A meta-analysis of heart rate variability and neuroimaging studies: Implications for heart rate variability as a marker of stress and health&quot;,&quot;type&quot;:&quot;article-journal&quot;,&quot;volume&quot;:&quot;36&quot;,&quot;container-title-short&quot;:&quot;Neurosci. Biobehav. Rev.&quot;},&quot;uris&quot;:[&quot;http://www.mendeley.com/documents/?uuid=ae201183-4721-490b-9d7b-da68640a6d61&quot;],&quot;isTemporary&quot;:false,&quot;legacyDesktopId&quot;:&quot;ae201183-4721-490b-9d7b-da68640a6d61&quot;},{&quot;id&quot;:&quot;b00849c0-2863-53f8-8d95-b1b38082bc5b&quot;,&quot;itemData&quot;:{&quot;DOI&quot;:&quot;10.1016/S1566-0702(01)00289-2&quot;,&quot;ISSN&quot;:&quot;15660702&quot;,&quot;PMID&quot;:&quot;11515803&quot;,&quot;abstract&quot;:&quot;Both theoretic models and cross-spectral analyses suggest that an oscillating sympathetic nervous outflow generates the low-frequency arterial pressure fluctuations termed Mayer waves. Fluctuations in heart rate also have been suggested to relate closely to Mayer waves, but empiric models have not assessed the joint causative influences of heart rate and sympathetic activity. Therefore, we constructed a model based simply upon the hemodynamic equation derived from Ohm's Law. With this model, we determined time relations and relative contributions of heart rate and sympathetic activity to the genesis of arterial pressure Mayer waves. We assessed data from eight healthy young volunteers in the basal state and in a high sympathetic state known to produce concurrent increases in sympathetic nervous outflow and Mayer wave amplitude. We fit the Mayer waves (0.05-0.20 Hz) in mean arterial pressure by the weighted sum of leading oscillations in heart rate and sympathetic nerve activity. This model of our data showed heart rate oscillations leading by 2-3.75 s were responsible for almost half of the variance in arterial pressure (basal R2=0.435±0.140, high sympathetic R2=0.438±0.180). Surprisingly, sympathetic activity (lead 0-5 s) contributed only modestly to the explained variance in Mayer waves during either sympathetic state (basal: ΔR2=0.046±0.026; heightened: ΔR2=0.085±0.036). Thus, it appears that heart rate oscillations contribute to Mayer waves in a simple linear fashion, whereas sympathetic fluctuations contribute little to Mayer waves in this way. Although these results do not exclude an important vascular sympathetic role, they do suggest that additional factors, such as sympathetic transduction into vascular resistance, modulate its influence. Copyright © 2001 Elsevier Science B.V.&quot;,&quot;author&quot;:[{&quot;dropping-particle&quot;:&quot;&quot;,&quot;family&quot;:&quot;Myers&quot;,&quot;given&quot;:&quot;Christopher W.&quot;,&quot;non-dropping-particle&quot;:&quot;&quot;,&quot;parse-names&quot;:false,&quot;suffix&quot;:&quot;&quot;},{&quot;dropping-particle&quot;:&quot;&quot;,&quot;family&quot;:&quot;Cohen&quot;,&quot;given&quot;:&quot;Michael A.&quot;,&quot;non-dropping-particle&quot;:&quot;&quot;,&quot;parse-names&quot;:false,&quot;suffix&quot;:&quot;&quot;},{&quot;dropping-particle&quot;:&quot;&quot;,&quot;family&quot;:&quot;Eckberg&quot;,&quot;given&quot;:&quot;Dwain L.&quot;,&quot;non-dropping-particle&quot;:&quot;&quot;,&quot;parse-names&quot;:false,&quot;suffix&quot;:&quot;&quot;},{&quot;dropping-particle&quot;:&quot;&quot;,&quot;family&quot;:&quot;Taylor&quot;,&quot;given&quot;:&quot;J.Andrew&quot;,&quot;non-dropping-particle&quot;:&quot;&quot;,&quot;parse-names&quot;:false,&quot;suffix&quot;:&quot;&quot;}],&quot;container-title&quot;:&quot;Autonomic Neuroscience&quot;,&quot;id&quot;:&quot;b00849c0-2863-53f8-8d95-b1b38082bc5b&quot;,&quot;issue&quot;:&quot;1-2&quot;,&quot;issued&quot;:{&quot;date-parts&quot;:[[&quot;2001&quot;,&quot;8&quot;]]},&quot;page&quot;:&quot;62-75&quot;,&quot;title&quot;:&quot;A model for the genesis of arterial pressure Mayer waves from heart rate and sympathetic activity&quot;,&quot;type&quot;:&quot;article-journal&quot;,&quot;volume&quot;:&quot;91&quot;,&quot;container-title-short&quot;:&quot;&quot;},&quot;uris&quot;:[&quot;http://www.mendeley.com/documents/?uuid=24e4af3e-2322-4796-a3eb-02b270f29fc3&quot;],&quot;isTemporary&quot;:false,&quot;legacyDesktopId&quot;:&quot;24e4af3e-2322-4796-a3eb-02b270f29fc3&quot;}]},{&quot;citationID&quot;:&quot;MENDELEY_CITATION_43413895-bfcd-4e15-be44-a641175ad104&quot;,&quot;properties&quot;:{&quot;noteIndex&quot;:0},&quot;isEdited&quot;:false,&quot;manualOverride&quot;:{&quot;citeprocText&quot;:&quot;[298]&quot;,&quot;isManuallyOverridden&quot;:false,&quot;manualOverrideText&quot;:&quot;&quot;},&quot;citationTag&quot;:&quot;MENDELEY_CITATION_v3_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&quot;,&quot;citationItems&quot;:[{&quot;id&quot;:&quot;89d6d906-87c6-505d-ae2b-4fc7e1e845e9&quot;,&quot;itemData&quot;:{&quot;DOI&quot;:&quot;10.3389/fphys.2013.00026&quot;,&quot;ISSN&quot;:&quot;1664042X&quot;,&quot;PMID&quot;:&quot;23431279&quot;,&quot;author&quot;:[{&quot;dropping-particle&quot;:&quot;&quot;,&quot;family&quot;:&quot;Billman&quot;,&quot;given&quot;:&quot;George E.&quot;,&quot;non-dropping-particle&quot;:&quot;&quot;,&quot;parse-names&quot;:false,&quot;suffix&quot;:&quot;&quot;}],&quot;container-title&quot;:&quot;Frontiers in Physiology&quot;,&quot;id&quot;:&quot;89d6d906-87c6-505d-ae2b-4fc7e1e845e9&quot;,&quot;issue&quot;:&quot;February&quot;,&quot;issued&quot;:{&quot;date-parts&quot;:[[&quot;2013&quot;]]},&quot;page&quot;:&quot;1-5&quot;,&quot;title&quot;:&quot;The LF/HF ratio does not accurately measure cardiac sympatho-vagal balance&quot;,&quot;type&quot;:&quot;article-journal&quot;,&quot;volume&quot;:&quot;4 FEB&quot;,&quot;container-title-short&quot;:&quot;Front. Physiol.&quot;},&quot;uris&quot;:[&quot;http://www.mendeley.com/documents/?uuid=6c2ca032-d3bb-4d73-8e4b-c81d6ea6e4d3&quot;],&quot;isTemporary&quot;:false,&quot;legacyDesktopId&quot;:&quot;6c2ca032-d3bb-4d73-8e4b-c81d6ea6e4d3&quot;}]},{&quot;citationID&quot;:&quot;MENDELEY_CITATION_9371783a-bbd3-41c7-9a45-30a244c04ec0&quot;,&quot;properties&quot;:{&quot;noteIndex&quot;:0},&quot;isEdited&quot;:false,&quot;manualOverride&quot;:{&quot;citeprocText&quot;:&quot;[299]&quot;,&quot;isManuallyOverridden&quot;:false,&quot;manualOverrideText&quot;:&quot;&quot;},&quot;citationTag&quot;:&quot;MENDELEY_CITATION_v3_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&quot;,&quot;citationItems&quot;:[{&quot;id&quot;:&quot;5de76d7e-52ad-5eed-9c0d-c546b26e9083&quot;,&quot;itemData&quot;:{&quot;DOI&quot;:&quot;10.1111/psyp.12027&quot;,&quot;ISSN&quot;:&quot;14698986&quot;,&quot;abstract&quot;:&quot;This article evaluates the suitability of low frequency (LF) heart rate variability (HRV) as an index of sympathetic cardiac control and the LF/high frequency (HF) ratio as an index of autonomic balance. It includes a comprehensive literature review and a reanalysis of some previous studies on autonomic cardiovascular regulation. The following sources of evidence are addressed: effects of manipulations affecting sympathetic and vagal activity on HRV, predictions of group differences in cardiac autonomic regulation from HRV, relationships between HRV and other cardiac parameters, and the theoretical and mathematical bases of the concept of autonomic balance. Available data challenge the interpretation of the LF and LF/HF ratio as indices of sympathetic cardiac control and autonomic balance, respectively, and suggest that the HRV power spectrum, including its LF component, is mainly determined by the parasympathetic system. © 2013 Society for Psychophysiological Research.&quot;,&quot;author&quot;:[{&quot;dropping-particle&quot;:&quot;&quot;,&quot;family&quot;:&quot;Reyes del Paso&quot;,&quot;given&quot;:&quot;Gustavo A.&quot;,&quot;non-dropping-particle&quot;:&quot;&quot;,&quot;parse-names&quot;:false,&quot;suffix&quot;:&quot;&quot;},{&quot;dropping-particle&quot;:&quot;&quot;,&quot;family&quot;:&quot;Langewitz&quot;,&quot;given&quot;:&quot;Wolf&quot;,&quot;non-dropping-particle&quot;:&quot;&quot;,&quot;parse-names&quot;:false,&quot;suffix&quot;:&quot;&quot;},{&quot;dropping-particle&quot;:&quot;&quot;,&quot;family&quot;:&quot;Mulder&quot;,&quot;given&quot;:&quot;Lambertus J.M.&quot;,&quot;non-dropping-particle&quot;:&quot;&quot;,&quot;parse-names&quot;:false,&quot;suffix&quot;:&quot;&quot;},{&quot;dropping-particle&quot;:&quot;&quot;,&quot;family&quot;:&quot;Roon&quot;,&quot;given&quot;:&quot;Arie&quot;,&quot;non-dropping-particle&quot;:&quot;van&quot;,&quot;parse-names&quot;:false,&quot;suffix&quot;:&quot;&quot;},{&quot;dropping-particle&quot;:&quot;&quot;,&quot;family&quot;:&quot;Duschek&quot;,&quot;given&quot;:&quot;Stefan&quot;,&quot;non-dropping-particle&quot;:&quot;&quot;,&quot;parse-names&quot;:false,&quot;suffix&quot;:&quot;&quot;}],&quot;container-title&quot;:&quot;Psychophysiology&quot;,&quot;id&quot;:&quot;5de76d7e-52ad-5eed-9c0d-c546b26e9083&quot;,&quot;issue&quot;:&quot;5&quot;,&quot;issued&quot;:{&quot;date-parts&quot;:[[&quot;2013&quot;]]},&quot;page&quot;:&quot;477-487&quot;,&quot;title&quot;:&quot;The utility of low frequency heart rate variability as an index of sympathetic cardiac tone: A review with emphasis on a reanalysis of previous studies&quot;,&quot;type&quot;:&quot;article-journal&quot;,&quot;volume&quot;:&quot;50&quot;,&quot;container-title-short&quot;:&quot;Psychophysiology&quot;},&quot;uris&quot;:[&quot;http://www.mendeley.com/documents/?uuid=3e6204fc-0925-411c-ac62-268d97240dfa&quot;],&quot;isTemporary&quot;:false,&quot;legacyDesktopId&quot;:&quot;3e6204fc-0925-411c-ac62-268d97240dfa&quot;}]},{&quot;citationID&quot;:&quot;MENDELEY_CITATION_996bd239-aaf6-49bd-93d4-af646c4b3ae4&quot;,&quot;properties&quot;:{&quot;noteIndex&quot;:0},&quot;isEdited&quot;:false,&quot;manualOverride&quot;:{&quot;citeprocText&quot;:&quot;[273,300]&quot;,&quot;isManuallyOverridden&quot;:false,&quot;manualOverrideText&quot;:&quot;&quot;},&quot;citationTag&quot;:&quot;MENDELEY_CITATION_v3_eyJjaXRhdGlvbklEIjoiTUVOREVMRVlfQ0lUQVRJT05fOTk2YmQyMzktYWFmNi00OWJkLTkzZDQtYWY2NDZjNGIzYWU0IiwicHJvcGVydGllcyI6eyJub3RlSW5kZXgiOjB9LCJpc0VkaXRlZCI6ZmFsc2UsIm1hbnVhbE92ZXJyaWRlIjp7ImNpdGVwcm9jVGV4dCI6IlsyNzMsMzAw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281fa11f-c4b4-5f99-a20d-27c74d154186&quot;,&quot;itemData&quot;:{&quot;DOI&quot;:&quot;10.1042/CS20070055&quot;,&quot;ISSN&quot;:&quot;01435221&quot;,&quot;PMID&quot;:&quot;17381425&quot;,&quot;abstract&quot;:&quot;Despite its extensive use in physiological and clinical research, the analysis of HRV (heart rate variability) is still poorly supported by rigorous reliability studies. The main aim of the present study was to perform an in-depth assessment of absolute and relative reliability of standard indexes of HRV from short-term laboratory recordings. In 39 healthy subjects [mean age (min-max): 38 (26-56) years; 18 men and 21 women] we recorded 5 min of supine ECG during spontaneous and paced (15 breaths/min) breathing. The test was repeated on the next day under the same conditions. From the RR intervals we computed standard indexes of HRV: SDNN (S.D. of RR interval values), RMSSD (root-mean-square of successive RR interval differences), LF (low frequency) and HF (high frequency) power (absolute and normalized units) and LF/HF. Absolute reliability was assessed by 95 % limits of random variation; relative reliability was assessed by the ICC (intraclass correlation coefficient). The sample size needed to detect a mean difference &gt;30% of the between-subject S.D. was also estimated. Although there was no significant mean change between the two tests, we found that in individual subjects the second measurement was as high/low as 1.9/0.5 times (SDNN, best case) and 3.5/0.3 times (LF/HF, worst case) the first measurement, due to pure random variation. For most parameters the ICC was &gt;0.8 (range 0.65-0.88). The estimated sample size ranged from 24-98 subjects. Reliability indexes tended to improve during paced breathing. We conclude that short-term HRV parameters are subject to large day-to-day random variations. Random error, however, represents a limited part of the between-subject variability; therefore observed differences between individuals mostly reflect differences in the subjects' error-free value rather than random error. Overall, paced breathing improves reliability. © The Authors Journal compilation © 2007 Biochemical Society.&quot;,&quot;author&quot;:[{&quot;dropping-particle&quot;:&quot;&quot;,&quot;family&quot;:&quot;Pinna&quot;,&quot;given&quot;:&quot;Gian Domenico&quot;,&quot;non-dropping-particle&quot;:&quot;&quot;,&quot;parse-names&quot;:false,&quot;suffix&quot;:&quot;&quot;},{&quot;dropping-particle&quot;:&quot;&quot;,&quot;family&quot;:&quot;Maestri&quot;,&quot;given&quot;:&quot;Roberte&quot;,&quot;non-dropping-particle&quot;:&quot;&quot;,&quot;parse-names&quot;:false,&quot;suffix&quot;:&quot;&quot;},{&quot;dropping-particle&quot;:&quot;&quot;,&quot;family&quot;:&quot;Torunski&quot;,&quot;given&quot;:&quot;Antoni&quot;,&quot;non-dropping-particle&quot;:&quot;&quot;,&quot;parse-names&quot;:false,&quot;suffix&quot;:&quot;&quot;},{&quot;dropping-particle&quot;:&quot;&quot;,&quot;family&quot;:&quot;Danilowicz-Szymanowicz&quot;,&quot;given&quot;:&quot;Ludmila&quot;,&quot;non-dropping-particle&quot;:&quot;&quot;,&quot;parse-names&quot;:false,&quot;suffix&quot;:&quot;&quot;},{&quot;dropping-particle&quot;:&quot;&quot;,&quot;family&quot;:&quot;Szwoch&quot;,&quot;given&quot;:&quot;Malgorzata&quot;,&quot;non-dropping-particle&quot;:&quot;&quot;,&quot;parse-names&quot;:false,&quot;suffix&quot;:&quot;&quot;},{&quot;dropping-particle&quot;:&quot;&quot;,&quot;family&quot;:&quot;Rovere&quot;,&quot;given&quot;:&quot;Maria Teresa&quot;,&quot;non-dropping-particle&quot;:&quot;La&quot;,&quot;parse-names&quot;:false,&quot;suffix&quot;:&quot;&quot;},{&quot;dropping-particle&quot;:&quot;&quot;,&quot;family&quot;:&quot;Raczak&quot;,&quot;given&quot;:&quot;Grzegorz&quot;,&quot;non-dropping-particle&quot;:&quot;&quot;,&quot;parse-names&quot;:false,&quot;suffix&quot;:&quot;&quot;}],&quot;container-title&quot;:&quot;Clinical Science&quot;,&quot;id&quot;:&quot;281fa11f-c4b4-5f99-a20d-27c74d154186&quot;,&quot;issue&quot;:&quot;3-4&quot;,&quot;issued&quot;:{&quot;date-parts&quot;:[[&quot;2007&quot;]]},&quot;page&quot;:&quot;131-140&quot;,&quot;title&quot;:&quot;Heart rate variability measures: A fresh look at reliability&quot;,&quot;type&quot;:&quot;article-journal&quot;,&quot;volume&quot;:&quot;113&quot;,&quot;container-title-short&quot;:&quot;Clin. Sci.&quot;},&quot;uris&quot;:[&quot;http://www.mendeley.com/documents/?uuid=0fd80e95-27bc-40e9-a27f-579fbdea8c49&quot;],&quot;isTemporary&quot;:false,&quot;legacyDesktopId&quot;:&quot;0fd80e95-27bc-40e9-a27f-579fbdea8c49&quot;}]},{&quot;citationID&quot;:&quot;MENDELEY_CITATION_20e386eb-35e2-45de-bf4e-ebfa61ad2d16&quot;,&quot;properties&quot;:{&quot;noteIndex&quot;:0},&quot;isEdited&quot;:false,&quot;manualOverride&quot;:{&quot;citeprocText&quot;:&quot;[274,301]&quot;,&quot;isManuallyOverridden&quot;:false,&quot;manualOverrideText&quot;:&quot;&quot;},&quot;citationTag&quot;:&quot;MENDELEY_CITATION_v3_eyJjaXRhdGlvbklEIjoiTUVOREVMRVlfQ0lUQVRJT05fMjBlMzg2ZWItMzVlMi00NWRlLWJmNGUtZWJmYTYxYWQyZDE2IiwicHJvcGVydGllcyI6eyJub3RlSW5kZXgiOjB9LCJpc0VkaXRlZCI6ZmFsc2UsIm1hbnVhbE92ZXJyaWRlIjp7ImNpdGVwcm9jVGV4dCI6IlsyNzQsMzAxXSIsImlzTWFudWFsbHlPdmVycmlkZGVuIjpmYWxzZSwibWFudWFsT3ZlcnJpZGVUZXh0IjoiIn0sImNpdGF0aW9uSXRlbXMiOlt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V19&quot;,&quot;citationItems&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citationID&quot;:&quot;MENDELEY_CITATION_5870f157-1d85-43a0-9384-ee34976bbe9a&quot;,&quot;properties&quot;:{&quot;noteIndex&quot;:0},&quot;isEdited&quot;:false,&quot;manualOverride&quot;:{&quot;citeprocText&quot;:&quot;[9,273]&quot;,&quot;isManuallyOverridden&quot;:false,&quot;manualOverrideText&quot;:&quot;&quot;},&quot;citationTag&quot;:&quot;MENDELEY_CITATION_v3_eyJjaXRhdGlvbklEIjoiTUVOREVMRVlfQ0lUQVRJT05fNTg3MGYxNTctMWQ4NS00M2EwLTkzODQtZWUzNDk3NmJiZTlhIiwicHJvcGVydGllcyI6eyJub3RlSW5kZXgiOjB9LCJpc0VkaXRlZCI6ZmFsc2UsIm1hbnVhbE92ZXJyaWRlIjp7ImNpdGVwcm9jVGV4dCI6Ils5LDI3M10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f9a249aa-e919-4813-8481-479127f70a73&quot;,&quot;properties&quot;:{&quot;noteIndex&quot;:0},&quot;isEdited&quot;:false,&quot;manualOverride&quot;:{&quot;citeprocText&quot;:&quot;[302]&quot;,&quot;isManuallyOverridden&quot;:false,&quot;manualOverrideText&quot;:&quot;&quot;},&quot;citationTag&quot;:&quot;MENDELEY_CITATION_v3_eyJjaXRhdGlvbklEIjoiTUVOREVMRVlfQ0lUQVRJT05fZjlhMjQ5YWEtZTkxOS00ODEzLTg0ODEtNDc5MTI3ZjcwYTczIiwicHJvcGVydGllcyI6eyJub3RlSW5kZXgiOjB9LCJpc0VkaXRlZCI6ZmFsc2UsIm1hbnVhbE92ZXJyaWRlIjp7ImNpdGVwcm9jVGV4dCI6IlszMDJd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quot;,&quot;citationItems&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citationID&quot;:&quot;MENDELEY_CITATION_a7b283a9-11b2-425b-8cdd-060e60cbdc45&quot;,&quot;properties&quot;:{&quot;noteIndex&quot;:0},&quot;isEdited&quot;:false,&quot;manualOverride&quot;:{&quot;citeprocText&quot;:&quot;[303–305]&quot;,&quot;isManuallyOverridden&quot;:false,&quot;manualOverrideText&quot;:&quot;&quot;},&quot;citationTag&quot;:&quot;MENDELEY_CITATION_v3_eyJjaXRhdGlvbklEIjoiTUVOREVMRVlfQ0lUQVRJT05fYTdiMjgzYTktMTFiMi00MjViLThjZGQtMDYwZTYwY2JkYzQ1IiwicHJvcGVydGllcyI6eyJub3RlSW5kZXgiOjB9LCJpc0VkaXRlZCI6ZmFsc2UsIm1hbnVhbE92ZXJyaWRlIjp7ImNpdGVwcm9jVGV4dCI6IlszMDPigJMzMDVdIiwiaXNNYW51YWxseU92ZXJyaWRkZW4iOmZhbHNlLCJtYW51YWxPdmVycmlkZVRleHQiOiIifSwiY2l0YXRpb25JdGVtcyI6W3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&quot;,&quot;citationItems&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4d21836c-7fae-5b86-baea-cfe6134b238f&quot;,&quot;itemData&quot;:{&quot;DOI&quot;:&quot;10.1016/j.biopsycho.2007.04.001&quot;,&quot;ISSN&quot;:&quot;03010511&quot;,&quot;PMID&quot;:&quot;17540493&quot;,&quot;abstract&quot;:&quot;The use of heart rate measures in research requires accurate detection and timing of beat-to-beat values. Numerous technologies are available to researchers; however, benchmarking of a specific apparatus is seldom conducted. Since heart rate variability provides a portal to the neural regulation of the heart, accurate detection and timing of beat-to-beat values is essential to both basic physiological research and the clinical application of heart rate variability measures. The current study evaluated the accuracy of an ambulatory system, the LifeShirt® (Vivometrics), relative to a standard laboratory-based heart rate monitoring equipment (Biopac), during baseline and exercise conditions. LifeShirt® performed equivalently to the Biopac during both conditions, experienced few errors of detection, generated similar times between sequential heart periods, and produced similar summary indices of heart rate and heart rate variability.&quot;,&quot;author&quot;:[{&quot;dropping-particle&quot;:&quot;&quot;,&quot;family&quot;:&quot;Heilman&quot;,&quot;given&quot;:&quot;Keri J.&quot;,&quot;non-dropping-particle&quot;:&quot;&quot;,&quot;parse-names&quot;:false,&quot;suffix&quot;:&quot;&quot;},{&quot;dropping-particle&quot;:&quot;&quot;,&quot;family&quot;:&quot;Porges&quot;,&quot;given&quot;:&quot;Stephen W.&quot;,&quot;non-dropping-particle&quot;:&quot;&quot;,&quot;parse-names&quot;:false,&quot;suffix&quot;:&quot;&quot;}],&quot;container-title&quot;:&quot;Biological Psychology&quot;,&quot;id&quot;:&quot;4d21836c-7fae-5b86-baea-cfe6134b238f&quot;,&quot;issue&quot;:&quot;3&quot;,&quot;issued&quot;:{&quot;date-parts&quot;:[[&quot;2007&quot;]]},&quot;page&quot;:&quot;300-305&quot;,&quot;title&quot;:&quot;Accuracy of the LifeShirt® (Vivometrics) in the detection of cardiac rhythms&quot;,&quot;type&quot;:&quot;article-journal&quot;,&quot;volume&quot;:&quot;75&quot;,&quot;container-title-short&quot;:&quot;Biol. Psychol.&quot;},&quot;uris&quot;:[&quot;http://www.mendeley.com/documents/?uuid=0110e065-a27e-4c88-b53c-ab3f95c40854&quot;],&quot;isTemporary&quot;:false,&quot;legacyDesktopId&quot;:&quot;0110e065-a27e-4c88-b53c-ab3f95c40854&quot;},{&quot;id&quot;:&quot;bd191c85-beca-53b8-a7e2-f5eeba41ec16&quot;,&quot;itemData&quot;:{&quot;DOI&quot;:&quot;10.1016/j.resp.2009.03.013&quot;,&quot;ISSN&quot;:&quot;15699048&quot;,&quot;PMID&quot;:&quot;19505672&quot;,&quot;abstract&quot;:&quot;The LifeShirt is a novel ambulatory monitoring system that records cardiorespiratory measurements outside the laboratory. Validity and reliability of cardiorespiratory measurements recorded by the LifeShirt were assessed and two methods of calibrating the LifeShirt were compared. Participants performed an incremental treadmill test and a constant work rate test (65% peak oxygen uptake) on four occasions (&gt;48 h apart) and wore the LifeShirt, COSMED system and Polar Sport Tester simultaneously. The LifeShirt was calibrated using two methods: comparison to a spirometer; and 800 ml fixed-volume bag. Ventilation, respiratory rate, expiratory time and heart rate recorded by the LifeShirt were compared to measurements recorded by laboratory equipment. Sixteen adults participated (6M:10F); mean (SD) age 23.1 (2.9) years. Agreement between the LifeShirt and laboratory equipment was acceptable. Agreement for ventilation was improved by calibrating the LifeShirt using a spirometer. Reliability was similar for the LifeShirt and the laboratory equipment. This study suggests that the LifeShirt provides a valid and reliable method of ambulatory monitoring. © 2009 Elsevier B.V. All rights reserved.&quot;,&quot;author&quot;:[{&quot;dropping-particle&quot;:&quot;&quot;,&quot;family&quot;:&quot;Kent&quot;,&quot;given&quot;:&quot;Lisa&quot;,&quot;non-dropping-particle&quot;:&quot;&quot;,&quot;parse-names&quot;:false,&quot;suffix&quot;:&quot;&quot;},{&quot;dropping-particle&quot;:&quot;&quot;,&quot;family&quot;:&quot;O'Neill&quot;,&quot;given&quot;:&quot;Brenda&quot;,&quot;non-dropping-particle&quot;:&quot;&quot;,&quot;parse-names&quot;:false,&quot;suffix&quot;:&quot;&quot;},{&quot;dropping-particle&quot;:&quot;&quot;,&quot;family&quot;:&quot;Davison&quot;,&quot;given&quot;:&quot;Gareth&quot;,&quot;non-dropping-particle&quot;:&quot;&quot;,&quot;parse-names&quot;:false,&quot;suffix&quot;:&quot;&quot;},{&quot;dropping-particle&quot;:&quot;&quot;,&quot;family&quot;:&quot;Nevill&quot;,&quot;given&quot;:&quot;Alan&quot;,&quot;non-dropping-particle&quot;:&quot;&quot;,&quot;parse-names&quot;:false,&quot;suffix&quot;:&quot;&quot;},{&quot;dropping-particle&quot;:&quot;&quot;,&quot;family&quot;:&quot;Stuart Elborn&quot;,&quot;given&quot;:&quot;J.&quot;,&quot;non-dropping-particle&quot;:&quot;&quot;,&quot;parse-names&quot;:false,&quot;suffix&quot;:&quot;&quot;},{&quot;dropping-particle&quot;:&quot;&quot;,&quot;family&quot;:&quot;Bradley&quot;,&quot;given&quot;:&quot;Judy M.&quot;,&quot;non-dropping-particle&quot;:&quot;&quot;,&quot;parse-names&quot;:false,&quot;suffix&quot;:&quot;&quot;}],&quot;container-title&quot;:&quot;Respiratory Physiology and Neurobiology&quot;,&quot;id&quot;:&quot;bd191c85-beca-53b8-a7e2-f5eeba41ec16&quot;,&quot;issue&quot;:&quot;2&quot;,&quot;issued&quot;:{&quot;date-parts&quot;:[[&quot;2009&quot;]]},&quot;page&quot;:&quot;162-167&quot;,&quot;title&quot;:&quot;Validity and reliability of cardiorespiratory measurements recorded by the LifeShirt during exercise tests&quot;,&quot;type&quot;:&quot;article-journal&quot;,&quot;volume&quot;:&quot;167&quot;,&quot;container-title-short&quot;:&quot;Respir. Physiol. Neurobiol.&quot;},&quot;uris&quot;:[&quot;http://www.mendeley.com/documents/?uuid=d6de0cd3-3a51-4c9c-9612-80426bd22fed&quot;],&quot;isTemporary&quot;:false,&quot;legacyDesktopId&quot;:&quot;d6de0cd3-3a51-4c9c-9612-80426bd22fed&quot;}]},{&quot;citationID&quot;:&quot;MENDELEY_CITATION_3a00d1a9-f7bc-43c8-88eb-7a5f677495ef&quot;,&quot;properties&quot;:{&quot;noteIndex&quot;:0},&quot;isEdited&quot;:false,&quot;manualOverride&quot;:{&quot;citeprocText&quot;:&quot;[306,307]&quot;,&quot;isManuallyOverridden&quot;:false,&quot;manualOverrideText&quot;:&quot;&quot;},&quot;citationTag&quot;:&quot;MENDELEY_CITATION_v3_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quot;,&quot;citationItems&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42720d1e-9a86-417a-b1bb-dc89f964c7f5&quot;,&quot;properties&quot;:{&quot;noteIndex&quot;:0},&quot;isEdited&quot;:false,&quot;manualOverride&quot;:{&quot;citeprocText&quot;:&quot;[273,301]&quot;,&quot;isManuallyOverridden&quot;:false,&quot;manualOverrideText&quot;:&quot;&quot;},&quot;citationTag&quot;:&quot;MENDELEY_CITATION_v3_eyJjaXRhdGlvbklEIjoiTUVOREVMRVlfQ0lUQVRJT05fNDI3MjBkMWUtOWE4Ni00MTdhLWIxYmItZGM4OWY5NjRjN2Y1IiwicHJvcGVydGllcyI6eyJub3RlSW5kZXgiOjB9LCJpc0VkaXRlZCI6ZmFsc2UsIm1hbnVhbE92ZXJyaWRlIjp7ImNpdGVwcm9jVGV4dCI6IlsyNzMsMzAx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citationID&quot;:&quot;MENDELEY_CITATION_8fe98b2b-188c-4e44-88b7-976dcf6dde5e&quot;,&quot;properties&quot;:{&quot;noteIndex&quot;:0},&quot;isEdited&quot;:false,&quot;manualOverride&quot;:{&quot;citeprocText&quot;:&quot;[306–309]&quot;,&quot;isManuallyOverridden&quot;:false,&quot;manualOverrideText&quot;:&quot;&quot;},&quot;citationTag&quot;:&quot;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&quot;,&quot;citationItems&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id&quot;:&quot;64c857b6-f29b-541c-9f8f-80f250fc4737&quot;,&quot;itemData&quot;:{&quot;DOI&quot;:&quot;10.3390/ijerph18030869&quot;,&quot;ISSN&quot;:&quot;16604601&quot;,&quot;PMID&quot;:&quot;33498381&quot;,&quot;abstract&quot;:&quot;Background: Aging may result in autonomic nervous dysfunction. Heart rate variability (HRV) is a non-invasive method to measure autonomic nervous activities. Many studies have shown that HRV contributes to the risk assessment of diseases. A Polar V800 heart rate monitor is a wearable device that measures R-R intervals, but has only been validated in younger adults under limited testing conditions. There is no validation of the V800 under mental stress or in dual task testing conditions. Therefore, this study investigated the validity of the Polar V800 heart rate monitor for assessing R-R intervals and evaluated if there were differences on HRV parameters under different situations in community-dwelling elderly adults. Methods: Forty community-dwelling elderly adults were recruited. Heart rates were recorded via electrocardiogram (ECG) and the V800 under sitting, during an arithmetic test, during a naming test, a self-selected walking velocity test (SSWV), and dual tasks (SSWV performing mental arithmetic test and SSWV performing naming test). Indices of time and frequency domains of HRV were calculated afterwards. The intra-class correlation coefficient (ICC) analysis and effect size were calculated to examine the concurrent validity between the V800 and the ECG. Results: All HRV indices from the V800 were highly correlated with the ECG under all tested conditions (ICC = 0.995–1.000, p &lt; 0.001) and the effect size of bias was small (&lt;0.1). Conclusion: Overall, the V800 has good validity on the assessment of HRV in community-dwelling elderly adults during sitting, mental arithmetic test, naming test, SSWV, and dual tasks.&quot;,&quot;author&quot;:[{&quot;dropping-particle&quot;:&quot;&quot;,&quot;family&quot;:&quot;Huang&quot;,&quot;given&quot;:&quot;Chang Jing&quot;,&quot;non-dropping-particle&quot;:&quot;&quot;,&quot;parse-names&quot;:false,&quot;suffix&quot;:&quot;&quot;},{&quot;dropping-particle&quot;:&quot;&quot;,&quot;family&quot;:&quot;Chan&quot;,&quot;given&quot;:&quot;Hsiao Lung&quot;,&quot;non-dropping-particle&quot;:&quot;&quot;,&quot;parse-names&quot;:false,&quot;suffix&quot;:&quot;&quot;},{&quot;dropping-particle&quot;:&quot;&quot;,&quot;family&quot;:&quot;Chang&quot;,&quot;given&quot;:&quot;Ya Ju&quot;,&quot;non-dropping-particle&quot;:&quot;&quot;,&quot;parse-names&quot;:false,&quot;suffix&quot;:&quot;&quot;},{&quot;dropping-particle&quot;:&quot;&quot;,&quot;family&quot;:&quot;Chen&quot;,&quot;given&quot;:&quot;Shu Mei&quot;,&quot;non-dropping-particle&quot;:&quot;&quot;,&quot;parse-names&quot;:false,&quot;suffix&quot;:&quot;&quot;},{&quot;dropping-particle&quot;:&quot;&quot;,&quot;family&quot;:&quot;Hsu&quot;,&quot;given&quot;:&quot;Miao Ju&quot;,&quot;non-dropping-particle&quot;:&quot;&quot;,&quot;parse-names&quot;:false,&quot;suffix&quot;:&quot;&quot;}],&quot;container-title&quot;:&quot;International Journal of Environmental Research and Public Health&quot;,&quot;id&quot;:&quot;64c857b6-f29b-541c-9f8f-80f250fc4737&quot;,&quot;issue&quot;:&quot;3&quot;,&quot;issued&quot;:{&quot;date-parts&quot;:[[&quot;2021&quot;]]},&quot;page&quot;:&quot;1-12&quot;,&quot;title&quot;:&quot;Validity of the polar v800 monitor for assessing heart rate variability in elderly adults under mental stress and dual task conditions&quot;,&quot;type&quot;:&quot;article-journal&quot;,&quot;volume&quot;:&quot;18&quot;,&quot;container-title-short&quot;:&quot;Int. J. Environ. Res. Public Health&quot;},&quot;uris&quot;:[&quot;http://www.mendeley.com/documents/?uuid=657bcd6b-bb58-41d7-9736-37289cc67589&quot;],&quot;isTemporary&quot;:false,&quot;legacyDesktopId&quot;:&quot;657bcd6b-bb58-41d7-9736-37289cc67589&quot;},{&quot;id&quot;:&quot;995b50ce-1c84-5282-b3d2-c93664d17c08&quot;,&quot;itemData&quot;:{&quot;DOI&quot;:&quot;10.3390/s21041061&quot;,&quot;ISSN&quot;:&quot;14248220&quot;,&quot;PMID&quot;:&quot;33557190&quot;,&quot;abstract&quot;:&quot;Heart rate variability (HRV) measurements provide information on the autonomic nervous system and the balance between parasympathetic and sympathetic activity. A high HRV can be advantageous, reflecting the ability of the autonomic nervous system to adapt, whereas a low HRV can be indicative of fatigue, overtraining or health issues. There has been a surge in wearable devices that claim to measure HRV. Some of these include spot measurements, whilst others only record during periods of rest and/or sleep. Few are capable of continuously measuring HRV (≥24 h). We undertook a narrative review of the literature with the aim to determine which currently available wearable devices are capable of measuring continuous, precise HRV measures. The review also aims to evaluate which devices would be suitable in a field setting specific to military populations. The Polar H10 appears to be the most accurate wearable device when compared to criterion measures and even appears to supersede traditional methods during exercise. However, currently, the H10 must be paired with a watch to enable the raw data to be extracted for HRV analysis if users need to avoid using an app (for security or data ownership reasons) which incurs additional cost.&quot;,&quot;author&quot;:[{&quot;dropping-particle&quot;:&quot;&quot;,&quot;family&quot;:&quot;Hinde&quot;,&quot;given&quot;:&quot;Katrina&quot;,&quot;non-dropping-particle&quot;:&quot;&quot;,&quot;parse-names&quot;:false,&quot;suffix&quot;:&quot;&quot;},{&quot;dropping-particle&quot;:&quot;&quot;,&quot;family&quot;:&quot;White&quot;,&quot;given&quot;:&quot;Graham&quot;,&quot;non-dropping-particle&quot;:&quot;&quot;,&quot;parse-names&quot;:false,&quot;suffix&quot;:&quot;&quot;},{&quot;dropping-particle&quot;:&quot;&quot;,&quot;family&quot;:&quot;Armstrong&quot;,&quot;given&quot;:&quot;Nicola&quot;,&quot;non-dropping-particle&quot;:&quot;&quot;,&quot;parse-names&quot;:false,&quot;suffix&quot;:&quot;&quot;}],&quot;container-title&quot;:&quot;Sensors (Switzerland)&quot;,&quot;id&quot;:&quot;995b50ce-1c84-5282-b3d2-c93664d17c08&quot;,&quot;issue&quot;:&quot;4&quot;,&quot;issued&quot;:{&quot;date-parts&quot;:[[&quot;2021&quot;]]},&quot;page&quot;:&quot;1-20&quot;,&quot;title&quot;:&quot;Wearable devices suitable for monitoring twenty four hour heart rate variability in military populations&quot;,&quot;type&quot;:&quot;article-journal&quot;,&quot;volume&quot;:&quot;21&quot;,&quot;container-title-short&quot;:&quot;&quot;},&quot;uris&quot;:[&quot;http://www.mendeley.com/documents/?uuid=54d1af6d-51db-4869-a5e3-906655f49bef&quot;],&quot;isTemporary&quot;:false,&quot;legacyDesktopId&quot;:&quot;54d1af6d-51db-4869-a5e3-906655f49bef&quot;}]},{&quot;citationID&quot;:&quot;MENDELEY_CITATION_5cfcac4f-049a-4cd9-b86a-bd2437385845&quot;,&quot;properties&quot;:{&quot;noteIndex&quot;:0},&quot;isEdited&quot;:false,&quot;manualOverride&quot;:{&quot;citeprocText&quot;:&quot;[284,310]&quot;,&quot;isManuallyOverridden&quot;:false,&quot;manualOverrideText&quot;:&quot;&quot;},&quot;citationTag&quot;:&quot;MENDELEY_CITATION_v3_eyJjaXRhdGlvbklEIjoiTUVOREVMRVlfQ0lUQVRJT05fNWNmY2FjNGYtMDQ5YS00Y2Q5LWI4NmEtYmQyNDM3Mzg1ODQ1IiwicHJvcGVydGllcyI6eyJub3RlSW5kZXgiOjB9LCJpc0VkaXRlZCI6ZmFsc2UsIm1hbnVhbE92ZXJyaWRlIjp7ImNpdGVwcm9jVGV4dCI6IlsyODQsMzEwXSIsImlzTWFudWFsbHlPdmVycmlkZGVuIjpmYWxzZSwibWFudWFsT3ZlcnJpZGVUZXh0IjoiIn0sImNpdGF0aW9uSXRlbXMiOlt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1dfQ==&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93ef98e2-576b-4eb3-a3c1-2aaa82936504&quot;,&quot;properties&quot;:{&quot;noteIndex&quot;:0},&quot;isEdited&quot;:false,&quot;manualOverride&quot;:{&quot;citeprocText&quot;:&quot;[310]&quot;,&quot;isManuallyOverridden&quot;:false,&quot;manualOverrideText&quot;:&quot;&quot;},&quot;citationTag&quot;:&quot;MENDELEY_CITATION_v3_eyJjaXRhdGlvbklEIjoiTUVOREVMRVlfQ0lUQVRJT05fOTNlZjk4ZTItNTc2Yi00ZWIzLWEzYzEtMmFhYTgyOTM2NTA0IiwicHJvcGVydGllcyI6eyJub3RlSW5kZXgiOjB9LCJpc0VkaXRlZCI6ZmFsc2UsIm1hbnVhbE92ZXJyaWRlIjp7ImNpdGVwcm9jVGV4dCI6IlszMTBd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b0b88990-19be-4055-b5a7-657f5e357631&quot;,&quot;properties&quot;:{&quot;noteIndex&quot;:0},&quot;isEdited&quot;:false,&quot;manualOverride&quot;:{&quot;citeprocText&quot;:&quot;[311,312]&quot;,&quot;isManuallyOverridden&quot;:false,&quot;manualOverrideText&quot;:&quot;&quot;},&quot;citationTag&quot;:&quot;MENDELEY_CITATION_v3_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lZGl0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&quot;,&quot;citationItems&quot;:[{&quot;id&quot;:&quot;df4d9fe9-37ac-5a63-bb8f-855967c67481&quot;,&quot;itemData&quot;:{&quot;DOI&quot;:&quot;10.1016/j.buildenv.2021.108492&quot;,&quot;ISSN&quot;:&quot;03601323&quot;,&quot;abstract&quot;:&quot;Thermal comfort is a critical issue in achieving an acceptable indoor environment and managing building energy use. However, it is difficult to precisely recognize thermal comfort because its determination varies depending on the characteristics of humans and indoor spaces. Moreover, accumulating datasets of indoor environmental and individual features is challenging in terms of both collection time and cost, and is sometimes unrealistic. This study established a prediction model for individual thermal comfort to mitigate this challenge. This model is based on ensemble transfer learning (TL) to transfer knowledge from datasets of someone in different indoor spaces and thermal environments, even if the physiological and environmental data of the target subject are insufficient. First, the physiological data of each subject and the indoor environmental data were collected from wearable wristbands and sensors. Then, a pre-trained model was developed with the datasets by combining deep learning and machine learning algorithms. Based on the pre-trained model, the ensemble TL method was applied to overcome the weak generalization performance that occurred when the dataset of each target subject was insufficient. The results revealed that the ensemble TL more accurately predicted the thermal comfort of two target subjects using the pre-trained model from a source. The accuracy and F1-score were both 95% for the first subject. For the second subject, they were calculated as 85% and 83%, respectively. It was also found that the ensemble TL was suitable for application when using fewer and imbalanced datasets in the target domains.&quot;,&quot;author&quot;:[{&quot;dropping-particle&quot;:&quot;&quot;,&quot;family&quot;:&quot;Park&quot;,&quot;given&quot;:&quot;Hansaem&quot;,&quot;non-dropping-particle&quot;:&quot;&quot;,&quot;parse-names&quot;:false,&quot;suffix&quot;:&quot;&quot;},{&quot;dropping-particle&quot;:&quot;&quot;,&quot;family&quot;:&quot;Park&quot;,&quot;given&quot;:&quot;Dong Yoon&quot;,&quot;non-dropping-particle&quot;:&quot;&quot;,&quot;parse-names&quot;:false,&quot;suffix&quot;:&quot;&quot;}],&quot;container-title&quot;:&quot;Building and Environment&quot;,&quot;id&quot;:&quot;df4d9fe9-37ac-5a63-bb8f-855967c67481&quot;,&quot;issue&quot;:&quot;PB&quot;,&quot;issued&quot;:{&quot;date-parts&quot;:[[&quot;2022&quot;]]},&quot;page&quot;:&quot;108492&quot;,&quot;publisher&quot;:&quot;Elsevier Ltd&quot;,&quot;title&quot;:&quot;Prediction of individual thermal comfort based on ensemble transfer learning method using wearable and environmental sensors&quot;,&quot;type&quot;:&quot;article-journal&quot;,&quot;volume&quot;:&quot;207&quot;,&quot;container-title-short&quot;:&quot;Build. Environ.&quot;},&quot;uris&quot;:[&quot;http://www.mendeley.com/documents/?uuid=85f16366-469a-4282-bbe3-b2b3af4cde93&quot;],&quot;isTemporary&quot;:false,&quot;legacyDesktopId&quot;:&quot;85f16366-469a-4282-bbe3-b2b3af4cde93&quot;},{&quot;id&quot;:&quot;b33a76da-4723-5507-9539-f6cc1d974955&quot;,&quot;itemData&quot;:{&quot;ISBN&quot;:&quot;0198575335&quot;,&quot;auth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edit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id&quot;:&quot;b33a76da-4723-5507-9539-f6cc1d974955&quot;,&quot;issued&quot;:{&quot;date-parts&quot;:[[&quot;1980&quot;]]},&quot;number-of-pages&quot;:&quot;246&quot;,&quot;publisher&quot;:&quot;Clarendon Press&quot;,&quot;publisher-place&quot;:&quot;Oxford&quot;,&quot;title&quot;:&quot;The Study of heart-rate variability&quot;,&quot;type&quot;:&quot;book&quot;,&quot;container-title-short&quot;:&quot;&quot;},&quot;uris&quot;:[&quot;http://www.mendeley.com/documents/?uuid=44208d3f-8f47-4b60-8578-617db66a07ae&quot;],&quot;isTemporary&quot;:false,&quot;legacyDesktopId&quot;:&quot;44208d3f-8f47-4b60-8578-617db66a07ae&quot;}]},{&quot;citationID&quot;:&quot;MENDELEY_CITATION_08c6a721-fc02-4d99-b01a-522064ad9942&quot;,&quot;properties&quot;:{&quot;noteIndex&quot;:0},&quot;isEdited&quot;:false,&quot;manualOverride&quot;:{&quot;citeprocText&quot;:&quot;[310,312]&quot;,&quot;isManuallyOverridden&quot;:false,&quot;manualOverrideText&quot;:&quot;&quot;},&quot;citationTag&quot;:&quot;MENDELEY_CITATION_v3_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&quot;,&quot;citationItems&quot;:[{&quot;id&quot;:&quot;b33a76da-4723-5507-9539-f6cc1d974955&quot;,&quot;itemData&quot;:{&quot;ISBN&quot;:&quot;0198575335&quot;,&quot;auth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edit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id&quot;:&quot;b33a76da-4723-5507-9539-f6cc1d974955&quot;,&quot;issued&quot;:{&quot;date-parts&quot;:[[&quot;1980&quot;]]},&quot;number-of-pages&quot;:&quot;246&quot;,&quot;publisher&quot;:&quot;Clarendon Press&quot;,&quot;publisher-place&quot;:&quot;Oxford&quot;,&quot;title&quot;:&quot;The Study of heart-rate variability&quot;,&quot;type&quot;:&quot;book&quot;,&quot;container-title-short&quot;:&quot;&quot;},&quot;uris&quot;:[&quot;http://www.mendeley.com/documents/?uuid=44208d3f-8f47-4b60-8578-617db66a07ae&quot;],&quot;isTemporary&quot;:false,&quot;legacyDesktopId&quot;:&quot;44208d3f-8f47-4b60-8578-617db66a07ae&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fd78c558-a77d-4b46-8d9f-f96799adb24e&quot;,&quot;properties&quot;:{&quot;noteIndex&quot;:0},&quot;isEdited&quot;:false,&quot;manualOverride&quot;:{&quot;citeprocText&quot;:&quot;[313,314]&quot;,&quot;isManuallyOverridden&quot;:false,&quot;manualOverrideText&quot;:&quot;&quot;},&quot;citationTag&quot;:&quot;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&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2933bf84-eb2c-463a-9726-17962b194535&quot;,&quot;properties&quot;:{&quot;noteIndex&quot;:0},&quot;isEdited&quot;:false,&quot;manualOverride&quot;:{&quot;citeprocText&quot;:&quot;[314–316]&quot;,&quot;isManuallyOverridden&quot;:false,&quot;manualOverrideText&quot;:&quot;&quot;},&quot;citationTag&quot;:&quot;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1dfQ==&quot;,&quot;citationItems&quot;:[{&quot;id&quot;:&quot;bc647d82-d445-5f6a-ac9d-507a39ebc847&quot;,&quot;itemData&quot;:{&quot;DOI&quot;:&quot;10.2196/27487&quot;,&quot;ISSN&quot;:&quot;14388871&quot;,&quot;PMID&quot;:&quot;35040799&quot;,&quot;abstract&quot;:&quot;Background: Photoplethysmography is a noninvasive and low-cost method to remotely and continuously track vital signs. The Oura Ring is a compact photoplethysmography-based smart ring, which has recently drawn attention to remote health monitoring and wellness applications. The ring is used to acquire nocturnal heart rate (HR) and HR variability (HRV) parameters ubiquitously. However, these parameters are highly susceptible to motion artifacts and environmental noise. Therefore, a validity assessment of the parameters is required in everyday settings. Objective: This study aims to evaluate the accuracy of HR and time domain and frequency domain HRV parameters collected by the Oura Ring against a medical grade chest electrocardiogram monitor. Methods: We conducted overnight home-based monitoring using an Oura Ring and a Shimmer3 electrocardiogram device. The nocturnal HR and HRV parameters of 35 healthy individuals were collected and assessed. We evaluated the parameters within 2 tests, that is, values collected from 5-minute recordings (ie, short-term HRV analysis) and the average values per night sleep. A linear regression method, the Pearson correlation coefficient, and the Bland–Altman plot were used to compare the measurements of the 2 devices. Results: Our findings showed low mean biases of the HR and HRV parameters collected by the Oura Ring in both the 5-minute and average-per-night tests. In the 5-minute test, the error variances of the parameters were different. The parameters provided by the Oura Ring dashboard (ie, HR and root mean square of successive differences [RMSSD]) showed relatively low error variance compared with the HRV parameters extracted from the normal interbeat interval signals. The Pearson correlation coefficient tests (P&lt;.001) indicated that HR, RMSSD, average of normal heart beat intervals (AVNN), and percentage of successive normal beat-to-beat intervals that differ by more than 50 ms (pNN50) had high positive correlations with the baseline values; SD of normal beat-to-beat intervals (SDNN) and high frequency (HF) had moderate positive correlations, and low frequency (LF) and LF:HF ratio had low positive correlations. The HR, RMSSD, AVNN, and pNN50 had narrow 95% CIs; however, SDNN, LF, HF, and LF:HF ratio had relatively wider 95% CIs. In contrast, the average-per-night test showed that the HR, RMSSD, SDNN, AVNN, pNN50, LF, and HF had high positive relationships (P&lt;.001), and the LF:HF ratio had a moderate positive relation…&quot;,&quot;author&quot;:[{&quot;dropping-particle&quot;:&quot;&quot;,&quot;family&quot;:&quot;Cao&quot;,&quot;given&quot;:&quot;Rui&quot;,&quot;non-dropping-particle&quot;:&quot;&quot;,&quot;parse-names&quot;:false,&quot;suffix&quot;:&quot;&quot;},{&quot;dropping-particle&quot;:&quot;&quot;,&quot;family&quot;:&quot;Azimi&quot;,&quot;given&quot;:&quot;Iman&quot;,&quot;non-dropping-particle&quot;:&quot;&quot;,&quot;parse-names&quot;:false,&quot;suffix&quot;:&quot;&quot;},{&quot;dropping-particle&quot;:&quot;&quot;,&quot;family&quot;:&quot;Sarhaddi&quot;,&quot;given&quot;:&quot;Fatemeh&quot;,&quot;non-dropping-particle&quot;:&quot;&quot;,&quot;parse-names&quot;:false,&quot;suffix&quot;:&quot;&quot;},{&quot;dropping-particle&quot;:&quot;&quot;,&quot;family&quot;:&quot;Niela-Vilen&quot;,&quot;given&quot;:&quot;Hannakaisa&quot;,&quot;non-dropping-particle&quot;:&quot;&quot;,&quot;parse-names&quot;:false,&quot;suffix&quot;:&quot;&quot;},{&quot;dropping-particle&quot;:&quot;&quot;,&quot;family&quot;:&quot;Axelin&quot;,&quot;given&quot;:&quot;Anna&quot;,&quot;non-dropping-particle&quot;:&quot;&quot;,&quot;parse-names&quot;:false,&quot;suffix&quot;:&quot;&quot;},{&quot;dropping-particle&quot;:&quot;&quot;,&quot;family&quot;:&quot;Liljeberg&quot;,&quot;given&quot;:&quot;Pasi&quot;,&quot;non-dropping-particle&quot;:&quot;&quot;,&quot;parse-names&quot;:false,&quot;suffix&quot;:&quot;&quot;},{&quot;dropping-particle&quot;:&quot;&quot;,&quot;family&quot;:&quot;Rahmani&quot;,&quot;given&quot;:&quot;Amir M.&quot;,&quot;non-dropping-particle&quot;:&quot;&quot;,&quot;parse-names&quot;:false,&quot;suffix&quot;:&quot;&quot;}],&quot;container-title&quot;:&quot;Journal of Medical Internet Research&quot;,&quot;id&quot;:&quot;bc647d82-d445-5f6a-ac9d-507a39ebc847&quot;,&quot;issue&quot;:&quot;1&quot;,&quot;issued&quot;:{&quot;date-parts&quot;:[[&quot;2022&quot;]]},&quot;page&quot;:&quot;1-16&quot;,&quot;title&quot;:&quot;Accuracy Assessment of Oura Ring Nocturnal Heart Rate and Heart Rate Variability in Comparison With Electrocardiography in Time and Frequency Domains: Comprehensive Analysis&quot;,&quot;type&quot;:&quot;article-journal&quot;,&quot;volume&quot;:&quot;24&quot;,&quot;container-title-short&quot;:&quot;J. Med. Internet Res.&quot;},&quot;uris&quot;:[&quot;http://www.mendeley.com/documents/?uuid=05fff566-8dd1-436d-86d3-79d283d7ff81&quot;],&quot;isTemporary&quot;:false,&quot;legacyDesktopId&quot;:&quot;05fff566-8dd1-436d-86d3-79d283d7ff81&quot;},{&quot;id&quot;:&quot;460e15d4-2c37-5424-8a03-3b3b71473fb0&quot;,&quot;itemData&quot;:{&quot;DOI&quot;:&quot;10.14814/phy2.70527&quot;,&quot;ISSN&quot;:&quot;2051817X&quot;,&quot;PMID&quot;:&quot;40834291&quot;,&quot;abstract&quot;:&quot;Modern wearable devices report several heart rate-based nocturnal health metrics, including resting heart rate (RHR) and heart rate variability (HRV). The purpose of this study was to assess the validity of nocturnal RHR and HRV from five wearable devices (Garmin Fenix 6, Oura Generation 3, Oura Generation 4, Polar Grit X Pro, &amp; Whoop 4.0) against an electrocardiogram (ECG) reference. Thirteen healthy adults (6 females) wore an ECG reference and multiple wearables simultaneously during sleep, totaling 536 nights. Interdevice accuracy varied significantly (p &lt; 0.05). For RHR, Oura Gen 3 (Lin's Concordance [CCC] = 0.97, mean absolute percentage error [MAPE] = 1.67 ± 1.54%) and Gen 4 (CCC = 0.98, MAPE = 1.94 ± 2.51%) demonstrated the highest accuracy, outperforming Polar's poor (CCC = 0.86, MAPE = 2.71 ± 2.75%) and WHOOP's moderate agreement (CCC = 0.91, MAPE = 3.00 ± 2.15%). Garmin was excluded from RHR analyses due to methodological inconsistencies. For HRV, Oura devices provided the highest accuracy; Oura Gen 4 (CCC = 0.99, MAPE = 5.96 ± 5.12%), Oura Gen 3 (CCC = 0.97, MAPE = 7.15 ± 5.48%). WHOOP showed moderate accuracy (CCC = 0.94, MAPE = 8.17 ± 10.49%), followed by poor agreement from both Garmin (CCC = 0.87, MAPE = 10.52 ± 8.63%) and Polar (CCC = 0.82, MAPE = 16.32 ± 24.39%). Oura devices showed the highest agreement for RHR and HRV, and WHOOP showed acceptable agreement, whereas Garmin Fenix and Polar demonstrated lower concordance, highlighting the importance of continuous validation and providing valuable benchmarks for clinicians, researchers, and consumers.&quot;,&quot;author&quot;:[{&quot;dropping-particle&quot;:&quot;&quot;,&quot;family&quot;:&quot;Dial&quot;,&quot;given&quot;:&quot;Michael B.&quot;,&quot;non-dropping-particle&quot;:&quot;&quot;,&quot;parse-names&quot;:false,&quot;suffix&quot;:&quot;&quot;},{&quot;dropping-particle&quot;:&quot;&quot;,&quot;family&quot;:&quot;Hollander&quot;,&quot;given&quot;:&quot;Margaret E.&quot;,&quot;non-dropping-particle&quot;:&quot;&quot;,&quot;parse-names&quot;:false,&quot;suffix&quot;:&quot;&quot;},{&quot;dropping-particle&quot;:&quot;&quot;,&quot;family&quot;:&quot;Vatne&quot;,&quot;given&quot;:&quot;Emaly A.&quot;,&quot;non-dropping-particle&quot;:&quot;&quot;,&quot;parse-names&quot;:false,&quot;suffix&quot;:&quot;&quot;},{&quot;dropping-particle&quot;:&quot;&quot;,&quot;family&quot;:&quot;Emerson&quot;,&quot;given&quot;:&quot;Angela M.&quot;,&quot;non-dropping-particle&quot;:&quot;&quot;,&quot;parse-names&quot;:false,&quot;suffix&quot;:&quot;&quot;},{&quot;dropping-particle&quot;:&quot;&quot;,&quot;family&quot;:&quot;Edwards&quot;,&quot;given&quot;:&quot;Nathan A.&quot;,&quot;non-dropping-particle&quot;:&quot;&quot;,&quot;parse-names&quot;:false,&quot;suffix&quot;:&quot;&quot;},{&quot;dropping-particle&quot;:&quot;&quot;,&quot;family&quot;:&quot;Hagen&quot;,&quot;given&quot;:&quot;Joshua A.&quot;,&quot;non-dropping-particle&quot;:&quot;&quot;,&quot;parse-names&quot;:false,&quot;suffix&quot;:&quot;&quot;}],&quot;container-title&quot;:&quot;Physiological Reports&quot;,&quot;id&quot;:&quot;460e15d4-2c37-5424-8a03-3b3b71473fb0&quot;,&quot;issue&quot;:&quot;16&quot;,&quot;issued&quot;:{&quot;date-parts&quot;:[[&quot;2025&quot;]]},&quot;page&quot;:&quot;1-13&quot;,&quot;title&quot;:&quot;Validation of nocturnal resting heart rate and heart rate variability in consumer wearables&quot;,&quot;type&quot;:&quot;article-journal&quot;,&quot;volume&quot;:&quot;13&quot;,&quot;container-title-short&quot;:&quot;Physiol. Rep.&quot;},&quot;uris&quot;:[&quot;http://www.mendeley.com/documents/?uuid=30bc19fc-d95a-400c-8d1e-27775c3dc70c&quot;],&quot;isTemporary&quot;:false,&quot;legacyDesktopId&quot;:&quot;30bc19fc-d95a-400c-8d1e-27775c3dc70c&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334be459-44a6-4d5c-8ba9-fba974e55469&quot;,&quot;properties&quot;:{&quot;noteIndex&quot;:0},&quot;isEdited&quot;:false,&quot;manualOverride&quot;:{&quot;citeprocText&quot;:&quot;[313]&quot;,&quot;isManuallyOverridden&quot;:false,&quot;manualOverrideText&quot;:&quot;&quot;},&quot;citationTag&quot;:&quot;MENDELEY_CITATION_v3_eyJjaXRhdGlvbklEIjoiTUVOREVMRVlfQ0lUQVRJT05fMzM0YmU0NTktNDRhNi00ZDVjLThiYTktZmJhOTc0ZTU1NDY5IiwicHJvcGVydGllcyI6eyJub3RlSW5kZXgiOjB9LCJpc0VkaXRlZCI6ZmFsc2UsIm1hbnVhbE92ZXJyaWRlIjp7ImNpdGVwcm9jVGV4dCI6IlszMTNd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citationID&quot;:&quot;MENDELEY_CITATION_db888123-9a84-4057-a122-bf29fbb1e363&quot;,&quot;properties&quot;:{&quot;noteIndex&quot;:0},&quot;isEdited&quot;:false,&quot;manualOverride&quot;:{&quot;citeprocText&quot;:&quot;[273,274]&quot;,&quot;isManuallyOverridden&quot;:false,&quot;manualOverrideText&quot;:&quot;&quot;},&quot;citationTag&quot;:&quot;MENDELEY_CITATION_v3_eyJjaXRhdGlvbklEIjoiTUVOREVMRVlfQ0lUQVRJT05fZGI4ODgxMjMtOWE4NC00MDU3LWExMjItYmYyOWZiYjFlMzYzIiwicHJvcGVydGllcyI6eyJub3RlSW5kZXgiOjB9LCJpc0VkaXRlZCI6ZmFsc2UsIm1hbnVhbE92ZXJyaWRlIjp7ImNpdGVwcm9jVGV4dCI6IlsyNzMsMjc0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&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citationID&quot;:&quot;MENDELEY_CITATION_1f59456a-738d-4299-b688-efc7fdc20bd9&quot;,&quot;properties&quot;:{&quot;noteIndex&quot;:0},&quot;isEdited&quot;:false,&quot;manualOverride&quot;:{&quot;citeprocText&quot;:&quot;[282]&quot;,&quot;isManuallyOverridden&quot;:false,&quot;manualOverrideText&quot;:&quot;&quot;},&quot;citationTag&quot;:&quot;MENDELEY_CITATION_v3_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&quot;,&quot;citationItems&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citationID&quot;:&quot;MENDELEY_CITATION_017627fa-2dde-4658-afc1-bc40b65f2c71&quot;,&quot;properties&quot;:{&quot;noteIndex&quot;:0},&quot;isEdited&quot;:false,&quot;manualOverride&quot;:{&quot;citeprocText&quot;:&quot;[306,307]&quot;,&quot;isManuallyOverridden&quot;:false,&quot;manualOverrideText&quot;:&quot;&quot;},&quot;citationTag&quot;:&quot;MENDELEY_CITATION_v3_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quot;,&quot;citationItems&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e1918cdd-792f-4b7f-9667-6c164671998d&quot;,&quot;properties&quot;:{&quot;noteIndex&quot;:0},&quot;isEdited&quot;:false,&quot;manualOverride&quot;:{&quot;citeprocText&quot;:&quot;[304]&quot;,&quot;isManuallyOverridden&quot;:false,&quot;manualOverrideText&quot;:&quot;&quot;},&quot;citationTag&quot;:&quot;MENDELEY_CITATION_v3_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&quot;,&quot;citationItems&quot;:[{&quot;id&quot;:&quot;4d21836c-7fae-5b86-baea-cfe6134b238f&quot;,&quot;itemData&quot;:{&quot;DOI&quot;:&quot;10.1016/j.biopsycho.2007.04.001&quot;,&quot;ISSN&quot;:&quot;03010511&quot;,&quot;PMID&quot;:&quot;17540493&quot;,&quot;abstract&quot;:&quot;The use of heart rate measures in research requires accurate detection and timing of beat-to-beat values. Numerous technologies are available to researchers; however, benchmarking of a specific apparatus is seldom conducted. Since heart rate variability provides a portal to the neural regulation of the heart, accurate detection and timing of beat-to-beat values is essential to both basic physiological research and the clinical application of heart rate variability measures. The current study evaluated the accuracy of an ambulatory system, the LifeShirt® (Vivometrics), relative to a standard laboratory-based heart rate monitoring equipment (Biopac), during baseline and exercise conditions. LifeShirt® performed equivalently to the Biopac during both conditions, experienced few errors of detection, generated similar times between sequential heart periods, and produced similar summary indices of heart rate and heart rate variability.&quot;,&quot;author&quot;:[{&quot;dropping-particle&quot;:&quot;&quot;,&quot;family&quot;:&quot;Heilman&quot;,&quot;given&quot;:&quot;Keri J.&quot;,&quot;non-dropping-particle&quot;:&quot;&quot;,&quot;parse-names&quot;:false,&quot;suffix&quot;:&quot;&quot;},{&quot;dropping-particle&quot;:&quot;&quot;,&quot;family&quot;:&quot;Porges&quot;,&quot;given&quot;:&quot;Stephen W.&quot;,&quot;non-dropping-particle&quot;:&quot;&quot;,&quot;parse-names&quot;:false,&quot;suffix&quot;:&quot;&quot;}],&quot;container-title&quot;:&quot;Biological Psychology&quot;,&quot;id&quot;:&quot;4d21836c-7fae-5b86-baea-cfe6134b238f&quot;,&quot;issue&quot;:&quot;3&quot;,&quot;issued&quot;:{&quot;date-parts&quot;:[[&quot;2007&quot;]]},&quot;page&quot;:&quot;300-305&quot;,&quot;title&quot;:&quot;Accuracy of the LifeShirt® (Vivometrics) in the detection of cardiac rhythms&quot;,&quot;type&quot;:&quot;article-journal&quot;,&quot;volume&quot;:&quot;75&quot;,&quot;container-title-short&quot;:&quot;Biol. Psychol.&quot;},&quot;uris&quot;:[&quot;http://www.mendeley.com/documents/?uuid=0110e065-a27e-4c88-b53c-ab3f95c40854&quot;],&quot;isTemporary&quot;:false,&quot;legacyDesktopId&quot;:&quot;0110e065-a27e-4c88-b53c-ab3f95c40854&quot;}]},{&quot;citationID&quot;:&quot;MENDELEY_CITATION_a8733d34-332b-45a0-89c4-48b9e5975476&quot;,&quot;properties&quot;:{&quot;noteIndex&quot;:0},&quot;isEdited&quot;:false,&quot;manualOverride&quot;:{&quot;citeprocText&quot;:&quot;[302]&quot;,&quot;isManuallyOverridden&quot;:false,&quot;manualOverrideText&quot;:&quot;&quot;},&quot;citationTag&quot;:&quot;MENDELEY_CITATION_v3_eyJjaXRhdGlvbklEIjoiTUVOREVMRVlfQ0lUQVRJT05fYTg3MzNkMzQtMzMyYi00NWEwLTg5YzQtNDhiOWU1OTc1NDc2IiwicHJvcGVydGllcyI6eyJub3RlSW5kZXgiOjB9LCJpc0VkaXRlZCI6ZmFsc2UsIm1hbnVhbE92ZXJyaWRlIjp7ImNpdGVwcm9jVGV4dCI6IlszMDJdIiwiaXNNYW51YWxseU92ZXJyaWRkZW4iOmZhbHNlLCJtYW51YWxPdmVycmlkZVRleHQiOiIifSwiY2l0YXRpb25JdGVtcyI6W3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XX0=&quot;,&quot;citationItems&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citationID&quot;:&quot;MENDELEY_CITATION_5535417a-a9b4-418e-9536-d65f8764024a&quot;,&quot;properties&quot;:{&quot;noteIndex&quot;:0},&quot;isEdited&quot;:false,&quot;manualOverride&quot;:{&quot;citeprocText&quot;:&quot;[284,310]&quot;,&quot;isManuallyOverridden&quot;:false,&quot;manualOverrideText&quot;:&quot;&quot;},&quot;citationTag&quot;:&quot;MENDELEY_CITATION_v3_eyJjaXRhdGlvbklEIjoiTUVOREVMRVlfQ0lUQVRJT05fNTUzNTQxN2EtYTliNC00MThlLTk1MzYtZDY1Zjg3NjQwMjRhIiwicHJvcGVydGllcyI6eyJub3RlSW5kZXgiOjB9LCJpc0VkaXRlZCI6ZmFsc2UsIm1hbnVhbE92ZXJyaWRlIjp7ImNpdGVwcm9jVGV4dCI6IlsyODQsMzEwXSIsImlzTWFudWFsbHlPdmVycmlkZGVuIjpmYWxzZSwibWFudWFsT3ZlcnJpZGVUZXh0IjoiIn0sImNpdGF0aW9uSXRlbXMiOlt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1dfQ==&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a084ac25-5786-4aab-a55b-12f90ba4d1bb&quot;,&quot;properties&quot;:{&quot;noteIndex&quot;:0},&quot;isEdited&quot;:false,&quot;manualOverride&quot;:{&quot;citeprocText&quot;:&quot;[312]&quot;,&quot;isManuallyOverridden&quot;:false,&quot;manualOverrideText&quot;:&quot;&quot;},&quot;citationTag&quot;:&quot;MENDELEY_CITATION_v3_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&quot;,&quot;citationItems&quot;:[{&quot;id&quot;:&quot;b33a76da-4723-5507-9539-f6cc1d974955&quot;,&quot;itemData&quot;:{&quot;ISBN&quot;:&quot;0198575335&quot;,&quot;auth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editor&quot;:[{&quot;dropping-particle&quot;:&quot;&quot;,&quot;family&quot;:&quot;Kitney&quot;,&quot;given&quot;:&quot;R. I.;&quot;,&quot;non-dropping-particle&quot;:&quot;&quot;,&quot;parse-names&quot;:false,&quot;suffix&quot;:&quot;&quot;},{&quot;dropping-particle&quot;:&quot;&quot;,&quot;family&quot;:&quot;Rompelman&quot;,&quot;given&quot;:&quot;O.&quot;,&quot;non-dropping-particle&quot;:&quot;&quot;,&quot;parse-names&quot;:false,&quot;suffix&quot;:&quot;&quot;}],&quot;id&quot;:&quot;b33a76da-4723-5507-9539-f6cc1d974955&quot;,&quot;issued&quot;:{&quot;date-parts&quot;:[[&quot;1980&quot;]]},&quot;number-of-pages&quot;:&quot;246&quot;,&quot;publisher&quot;:&quot;Clarendon Press&quot;,&quot;publisher-place&quot;:&quot;Oxford&quot;,&quot;title&quot;:&quot;The Study of heart-rate variability&quot;,&quot;type&quot;:&quot;book&quot;,&quot;container-title-short&quot;:&quot;&quot;},&quot;uris&quot;:[&quot;http://www.mendeley.com/documents/?uuid=44208d3f-8f47-4b60-8578-617db66a07ae&quot;],&quot;isTemporary&quot;:false,&quot;legacyDesktopId&quot;:&quot;44208d3f-8f47-4b60-8578-617db66a07ae&quot;}]},{&quot;citationID&quot;:&quot;MENDELEY_CITATION_f15ec989-6578-449f-a2fe-2b92678c5001&quot;,&quot;properties&quot;:{&quot;noteIndex&quot;:0},&quot;isEdited&quot;:false,&quot;manualOverride&quot;:{&quot;citeprocText&quot;:&quot;[314,315]&quot;,&quot;isManuallyOverridden&quot;:false,&quot;manualOverrideText&quot;:&quot;&quot;},&quot;citationTag&quot;:&quot;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&quot;,&quot;citationItems&quot;:[{&quot;id&quot;:&quot;bc647d82-d445-5f6a-ac9d-507a39ebc847&quot;,&quot;itemData&quot;:{&quot;DOI&quot;:&quot;10.2196/27487&quot;,&quot;ISSN&quot;:&quot;14388871&quot;,&quot;PMID&quot;:&quot;35040799&quot;,&quot;abstract&quot;:&quot;Background: Photoplethysmography is a noninvasive and low-cost method to remotely and continuously track vital signs. The Oura Ring is a compact photoplethysmography-based smart ring, which has recently drawn attention to remote health monitoring and wellness applications. The ring is used to acquire nocturnal heart rate (HR) and HR variability (HRV) parameters ubiquitously. However, these parameters are highly susceptible to motion artifacts and environmental noise. Therefore, a validity assessment of the parameters is required in everyday settings. Objective: This study aims to evaluate the accuracy of HR and time domain and frequency domain HRV parameters collected by the Oura Ring against a medical grade chest electrocardiogram monitor. Methods: We conducted overnight home-based monitoring using an Oura Ring and a Shimmer3 electrocardiogram device. The nocturnal HR and HRV parameters of 35 healthy individuals were collected and assessed. We evaluated the parameters within 2 tests, that is, values collected from 5-minute recordings (ie, short-term HRV analysis) and the average values per night sleep. A linear regression method, the Pearson correlation coefficient, and the Bland–Altman plot were used to compare the measurements of the 2 devices. Results: Our findings showed low mean biases of the HR and HRV parameters collected by the Oura Ring in both the 5-minute and average-per-night tests. In the 5-minute test, the error variances of the parameters were different. The parameters provided by the Oura Ring dashboard (ie, HR and root mean square of successive differences [RMSSD]) showed relatively low error variance compared with the HRV parameters extracted from the normal interbeat interval signals. The Pearson correlation coefficient tests (P&lt;.001) indicated that HR, RMSSD, average of normal heart beat intervals (AVNN), and percentage of successive normal beat-to-beat intervals that differ by more than 50 ms (pNN50) had high positive correlations with the baseline values; SD of normal beat-to-beat intervals (SDNN) and high frequency (HF) had moderate positive correlations, and low frequency (LF) and LF:HF ratio had low positive correlations. The HR, RMSSD, AVNN, and pNN50 had narrow 95% CIs; however, SDNN, LF, HF, and LF:HF ratio had relatively wider 95% CIs. In contrast, the average-per-night test showed that the HR, RMSSD, SDNN, AVNN, pNN50, LF, and HF had high positive relationships (P&lt;.001), and the LF:HF ratio had a moderate positive relation…&quot;,&quot;author&quot;:[{&quot;dropping-particle&quot;:&quot;&quot;,&quot;family&quot;:&quot;Cao&quot;,&quot;given&quot;:&quot;Rui&quot;,&quot;non-dropping-particle&quot;:&quot;&quot;,&quot;parse-names&quot;:false,&quot;suffix&quot;:&quot;&quot;},{&quot;dropping-particle&quot;:&quot;&quot;,&quot;family&quot;:&quot;Azimi&quot;,&quot;given&quot;:&quot;Iman&quot;,&quot;non-dropping-particle&quot;:&quot;&quot;,&quot;parse-names&quot;:false,&quot;suffix&quot;:&quot;&quot;},{&quot;dropping-particle&quot;:&quot;&quot;,&quot;family&quot;:&quot;Sarhaddi&quot;,&quot;given&quot;:&quot;Fatemeh&quot;,&quot;non-dropping-particle&quot;:&quot;&quot;,&quot;parse-names&quot;:false,&quot;suffix&quot;:&quot;&quot;},{&quot;dropping-particle&quot;:&quot;&quot;,&quot;family&quot;:&quot;Niela-Vilen&quot;,&quot;given&quot;:&quot;Hannakaisa&quot;,&quot;non-dropping-particle&quot;:&quot;&quot;,&quot;parse-names&quot;:false,&quot;suffix&quot;:&quot;&quot;},{&quot;dropping-particle&quot;:&quot;&quot;,&quot;family&quot;:&quot;Axelin&quot;,&quot;given&quot;:&quot;Anna&quot;,&quot;non-dropping-particle&quot;:&quot;&quot;,&quot;parse-names&quot;:false,&quot;suffix&quot;:&quot;&quot;},{&quot;dropping-particle&quot;:&quot;&quot;,&quot;family&quot;:&quot;Liljeberg&quot;,&quot;given&quot;:&quot;Pasi&quot;,&quot;non-dropping-particle&quot;:&quot;&quot;,&quot;parse-names&quot;:false,&quot;suffix&quot;:&quot;&quot;},{&quot;dropping-particle&quot;:&quot;&quot;,&quot;family&quot;:&quot;Rahmani&quot;,&quot;given&quot;:&quot;Amir M.&quot;,&quot;non-dropping-particle&quot;:&quot;&quot;,&quot;parse-names&quot;:false,&quot;suffix&quot;:&quot;&quot;}],&quot;container-title&quot;:&quot;Journal of Medical Internet Research&quot;,&quot;id&quot;:&quot;bc647d82-d445-5f6a-ac9d-507a39ebc847&quot;,&quot;issue&quot;:&quot;1&quot;,&quot;issued&quot;:{&quot;date-parts&quot;:[[&quot;2022&quot;]]},&quot;page&quot;:&quot;1-16&quot;,&quot;title&quot;:&quot;Accuracy Assessment of Oura Ring Nocturnal Heart Rate and Heart Rate Variability in Comparison With Electrocardiography in Time and Frequency Domains: Comprehensive Analysis&quot;,&quot;type&quot;:&quot;article-journal&quot;,&quot;volume&quot;:&quot;24&quot;,&quot;container-title-short&quot;:&quot;J. Med. Internet Res.&quot;},&quot;uris&quot;:[&quot;http://www.mendeley.com/documents/?uuid=05fff566-8dd1-436d-86d3-79d283d7ff81&quot;],&quot;isTemporary&quot;:false,&quot;legacyDesktopId&quot;:&quot;05fff566-8dd1-436d-86d3-79d283d7ff81&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a7ff2989-ea42-4925-95f0-2929a5c24841&quot;,&quot;properties&quot;:{&quot;noteIndex&quot;:0},&quot;isEdited&quot;:false,&quot;manualOverride&quot;:{&quot;citeprocText&quot;:&quot;[284]&quot;,&quot;isManuallyOverridden&quot;:false,&quot;manualOverrideText&quot;:&quot;&quot;},&quot;citationTag&quot;:&quot;MENDELEY_CITATION_v3_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&quot;,&quot;citationItems&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citationID&quot;:&quot;MENDELEY_CITATION_be1c3811-0c01-475c-baff-34e36ff6d750&quot;,&quot;properties&quot;:{&quot;noteIndex&quot;:0},&quot;isEdited&quot;:false,&quot;manualOverride&quot;:{&quot;citeprocText&quot;:&quot;[317]&quot;,&quot;isManuallyOverridden&quot;:false,&quot;manualOverrideText&quot;:&quot;&quot;},&quot;citationTag&quot;:&quot;MENDELEY_CITATION_v3_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&quot;,&quot;citationItems&quot;:[{&quot;id&quot;:&quot;827fa861-7d4f-5e7d-a733-e1c2f22fc8f7&quot;,&quot;itemData&quot;:{&quot;DOI&quot;:&quot;10.3389/fphys.2021.808451&quot;,&quot;ISSN&quot;:&quot;1664-042X&quot;,&quot;abstract&quot;:&quot;Beyond its use in a clinical environment, photoplethysmogram (PPG) is increasingly used for measuring the physiological state of an individual in daily life. This review aims to examine existing research on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with the PubMed, Google Scholar, Institute of Electrical and Electronics Engineers (IEEE), ScienceDirect, and Web of Science databases. Exclusion conditions did not include the year of publication, but articles not published in English were excluded. Based on 118 articles, we identified four main topics of enabling PPG: (A) PPG waveform, (B) PPG features and clinical applications including basic features based on the original PPG waveform, combined features of PPG, and derivative features of PPG, (C) PPG noise including motion artifact baseline wandering and hypoperfusion, and (D) PPG signal processing including PPG preprocessing, PPG peak detection, and signal quality index. The application field of photoplethysmogram has been extending from the clinical to the mobile environment. Although there is no standardized pre-processing pipeline for PPG signal processing, as PPG data are acquired and accumulated in various ways, the recently proposed machine learning-based method is expected to offer a promising solution.&quot;,&quot;author&quot;:[{&quot;dropping-particle&quot;:&quot;&quot;,&quot;family&quot;:&quot;Park&quot;,&quot;given&quot;:&quot;Junyung&quot;,&quot;non-dropping-particle&quot;:&quot;&quot;,&quot;parse-names&quot;:false,&quot;suffix&quot;:&quot;&quot;},{&quot;dropping-particle&quot;:&quot;&quot;,&quot;family&quot;:&quot;Seok&quot;,&quot;given&quot;:&quot;Hyeon Seok&quot;,&quot;non-dropping-particle&quot;:&quot;&quot;,&quot;parse-names&quot;:false,&quot;suffix&quot;:&quot;&quot;},{&quot;dropping-particle&quot;:&quot;&quot;,&quot;family&quot;:&quot;Kim&quot;,&quot;given&quot;:&quot;Sang-Su&quot;,&quot;non-dropping-particle&quot;:&quot;&quot;,&quot;parse-names&quot;:false,&quot;suffix&quot;:&quot;&quot;},{&quot;dropping-particle&quot;:&quot;&quot;,&quot;family&quot;:&quot;Shin&quot;,&quot;given&quot;:&quot;Hangsik&quot;,&quot;non-dropping-particle&quot;:&quot;&quot;,&quot;parse-names&quot;:false,&quot;suffix&quot;:&quot;&quot;}],&quot;container-title&quot;:&quot;Frontiers in Physiology&quot;,&quot;id&quot;:&quot;827fa861-7d4f-5e7d-a733-e1c2f22fc8f7&quot;,&quot;issue&quot;:&quot;March&quot;,&quot;issued&quot;:{&quot;date-parts&quot;:[[&quot;2022&quot;,&quot;3&quot;,&quot;1&quot;]]},&quot;page&quot;:&quot;1-23&quot;,&quot;title&quot;:&quot;Photoplethysmogram Analysis and Applications: An Integrative Review&quot;,&quot;type&quot;:&quot;article-journal&quot;,&quot;volume&quot;:&quot;12&quot;,&quot;container-title-short&quot;:&quot;Front. Physiol.&quot;},&quot;uris&quot;:[&quot;http://www.mendeley.com/documents/?uuid=7196235d-18c1-40c9-b493-90f3f87791ba&quot;],&quot;isTemporary&quot;:false,&quot;legacyDesktopId&quot;:&quot;7196235d-18c1-40c9-b493-90f3f87791ba&quot;}]},{&quot;citationID&quot;:&quot;MENDELEY_CITATION_39883aff-7807-484c-a208-cc9e1a927327&quot;,&quot;properties&quot;:{&quot;noteIndex&quot;:0},&quot;isEdited&quot;:false,&quot;manualOverride&quot;:{&quot;citeprocText&quot;:&quot;[313,314]&quot;,&quot;isManuallyOverridden&quot;:false,&quot;manualOverrideText&quot;:&quot;&quot;},&quot;citationTag&quot;:&quot;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&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citationID&quot;:&quot;MENDELEY_CITATION_c654a37d-87e7-4f57-b012-d787927366bf&quot;,&quot;properties&quot;:{&quot;noteIndex&quot;:0},&quot;isEdited&quot;:false,&quot;manualOverride&quot;:{&quot;citeprocText&quot;:&quot;[310]&quot;,&quot;isManuallyOverridden&quot;:false,&quot;manualOverrideText&quot;:&quot;&quot;},&quot;citationTag&quot;:&quot;MENDELEY_CITATION_v3_eyJjaXRhdGlvbklEIjoiTUVOREVMRVlfQ0lUQVRJT05fYzY1NGEzN2QtODdlNy00ZjU3LWIwMTItZDc4NzkyNzM2NmJmIiwicHJvcGVydGllcyI6eyJub3RlSW5kZXgiOjB9LCJpc0VkaXRlZCI6ZmFsc2UsIm1hbnVhbE92ZXJyaWRlIjp7ImNpdGVwcm9jVGV4dCI6IlszMTBdIiwiaXNNYW51YWxseU92ZXJyaWRkZW4iOmZhbHNlLCJtYW51YWxPdmVycmlkZVRleHQiOiIifSwiY2l0YXRpb25JdGVtcyI6W3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dd9a9b6f-0831-40ed-9016-ce96065f6a0e&quot;,&quot;properties&quot;:{&quot;noteIndex&quot;:0},&quot;isEdited&quot;:false,&quot;manualOverride&quot;:{&quot;citeprocText&quot;:&quot;[307]&quot;,&quot;isManuallyOverridden&quot;:false,&quot;manualOverrideText&quot;:&quot;&quot;},&quot;citationTag&quot;:&quot;MENDELEY_CITATION_v3_eyJjaXRhdGlvbklEIjoiTUVOREVMRVlfQ0lUQVRJT05fZGQ5YTliNmYtMDgzMS00MGVkLTkwMTYtY2U5NjA2NWY2YTBlIiwicHJvcGVydGllcyI6eyJub3RlSW5kZXgiOjB9LCJpc0VkaXRlZCI6ZmFsc2UsIm1hbnVhbE92ZXJyaWRlIjp7ImNpdGVwcm9jVGV4dCI6IlszMDddIiwiaXNNYW51YWxseU92ZXJyaWRkZW4iOmZhbHNlLCJtYW51YWxPdmVycmlkZVRleHQiOiIifSwiY2l0YXRpb25JdGVtcyI6W3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quot;,&quot;citationItems&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5d84678c-e0fc-4268-970c-b625f81bd0fb&quot;,&quot;properties&quot;:{&quot;noteIndex&quot;:0},&quot;isEdited&quot;:false,&quot;manualOverride&quot;:{&quot;citeprocText&quot;:&quot;[306,308,309,318–322]&quot;,&quot;isManuallyOverridden&quot;:false,&quot;manualOverrideText&quot;:&quot;&quot;},&quot;citationTag&quot;:&quot;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&quot;,&quot;citationItems&quot;:[{&quot;id&quot;:&quot;4c7a56c2-00e5-527a-b891-ea3f9165e9bf&quot;,&quot;itemData&quot;:{&quot;DOI&quot;:&quot;10.2196/18694&quot;,&quot;ISSN&quot;:&quot;22915222&quot;,&quot;PMID&quot;:&quot;32897239&quot;,&quot;abstract&quot;:&quot;Background: Consumer-wearable activity trackers are small electronic devices that record fitness and health-related measures. Objective: The purpose of this systematic review was to examine the validity and reliability of commercial wearables in measuring step count, heart rate, and energy expenditure. Methods: We identified devices to be included in the review. Database searches were conducted in PubMed, Embase, and SPORTDiscus, and only articles published in the English language up to May 2019 were considered. Studies were excluded if they did not identify the device used and if they did not examine the validity or reliability of the device. Studies involving the general population and all special populations were included. We operationalized validity as criterion validity (as compared with other measures) and construct validity (degree to which the device is measuring what it claims). Reliability measures focused on intradevice and interdevice reliability. Results: We included 158 publications examining nine different commercial wearable device brands. Fitbit was by far the most studied brand. In laboratory-based settings, Fitbit, Apple Watch, and Samsung appeared to measure steps accurately. Heart rate measurement was more variable, with Apple Watch and Garmin being the most accurate and Fitbit tending toward underestimation. For energy expenditure, no brand was accurate. We also examined validity between devices within a specific brand. Conclusions: Commercial wearable devices are accurate for measuring steps and heart rate in laboratory-based settings, but this varies by the manufacturer and device type. Devices are constantly being upgraded and redesigned to new models, suggesting the need for more current reviews and research.&quot;,&quot;author&quot;:[{&quot;dropping-particle&quot;:&quot;&quot;,&quot;family&quot;:&quot;Fuller&quot;,&quot;given&quot;:&quot;Daniel&quot;,&quot;non-dropping-particle&quot;:&quot;&quot;,&quot;parse-names&quot;:false,&quot;suffix&quot;:&quot;&quot;},{&quot;dropping-particle&quot;:&quot;&quot;,&quot;family&quot;:&quot;Colwell&quot;,&quot;given&quot;:&quot;Emily&quot;,&quot;non-dropping-particle&quot;:&quot;&quot;,&quot;parse-names&quot;:false,&quot;suffix&quot;:&quot;&quot;},{&quot;dropping-particle&quot;:&quot;&quot;,&quot;family&quot;:&quot;Low&quot;,&quot;given&quot;:&quot;Jonathan&quot;,&quot;non-dropping-particle&quot;:&quot;&quot;,&quot;parse-names&quot;:false,&quot;suffix&quot;:&quot;&quot;},{&quot;dropping-particle&quot;:&quot;&quot;,&quot;family&quot;:&quot;Orychock&quot;,&quot;given&quot;:&quot;Kassia&quot;,&quot;non-dropping-particle&quot;:&quot;&quot;,&quot;parse-names&quot;:false,&quot;suffix&quot;:&quot;&quot;},{&quot;dropping-particle&quot;:&quot;&quot;,&quot;family&quot;:&quot;Ann Tobin&quot;,&quot;given&quot;:&quot;Melissa&quot;,&quot;non-dropping-particle&quot;:&quot;&quot;,&quot;parse-names&quot;:false,&quot;suffix&quot;:&quot;&quot;},{&quot;dropping-particle&quot;:&quot;&quot;,&quot;family&quot;:&quot;Simango&quot;,&quot;given&quot;:&quot;Bo&quot;,&quot;non-dropping-particle&quot;:&quot;&quot;,&quot;parse-names&quot;:false,&quot;suffix&quot;:&quot;&quot;},{&quot;dropping-particle&quot;:&quot;&quot;,&quot;family&quot;:&quot;Buote&quot;,&quot;given&quot;:&quot;Richard&quot;,&quot;non-dropping-particle&quot;:&quot;&quot;,&quot;parse-names&quot;:false,&quot;suffix&quot;:&quot;&quot;},{&quot;dropping-particle&quot;:&quot;&quot;,&quot;family&quot;:&quot;Heerden&quot;,&quot;given&quot;:&quot;Desiree&quot;,&quot;non-dropping-particle&quot;:&quot;van&quot;,&quot;parse-names&quot;:false,&quot;suffix&quot;:&quot;&quot;},{&quot;dropping-particle&quot;:&quot;&quot;,&quot;family&quot;:&quot;Luan&quot;,&quot;given&quot;:&quot;Hui&quot;,&quot;non-dropping-particle&quot;:&quot;&quot;,&quot;parse-names&quot;:false,&quot;suffix&quot;:&quot;&quot;},{&quot;dropping-particle&quot;:&quot;&quot;,&quot;family&quot;:&quot;Cullen&quot;,&quot;given&quot;:&quot;Kimberley&quot;,&quot;non-dropping-particle&quot;:&quot;&quot;,&quot;parse-names&quot;:false,&quot;suffix&quot;:&quot;&quot;},{&quot;dropping-particle&quot;:&quot;&quot;,&quot;family&quot;:&quot;Slade&quot;,&quot;given&quot;:&quot;Logan&quot;,&quot;non-dropping-particle&quot;:&quot;&quot;,&quot;parse-names&quot;:false,&quot;suffix&quot;:&quot;&quot;},{&quot;dropping-particle&quot;:&quot;&quot;,&quot;family&quot;:&quot;Taylor&quot;,&quot;given&quot;:&quot;Nathan G.A.&quot;,&quot;non-dropping-particle&quot;:&quot;&quot;,&quot;parse-names&quot;:false,&quot;suffix&quot;:&quot;&quot;}],&quot;container-title&quot;:&quot;JMIR mHealth and uHealth&quot;,&quot;id&quot;:&quot;4c7a56c2-00e5-527a-b891-ea3f9165e9bf&quot;,&quot;issue&quot;:&quot;9&quot;,&quot;issued&quot;:{&quot;date-parts&quot;:[[&quot;2020&quot;]]},&quot;page&quot;:&quot;1-23&quot;,&quot;title&quot;:&quot;Reliability and Validity of Commercially Available Wearable Devices for Measuring Steps, Energy Expenditure, and Heart Rate: Systematic Review&quot;,&quot;type&quot;:&quot;article-journal&quot;,&quot;volume&quot;:&quot;8&quot;,&quot;container-title-short&quot;:&quot;JMIR Mhealth Uhealth&quot;},&quot;uris&quot;:[&quot;http://www.mendeley.com/documents/?uuid=11a0f4b8-a3d3-4953-81ff-1ddd3ff1032c&quot;],&quot;isTemporary&quot;:false,&quot;legacyDesktopId&quot;:&quot;11a0f4b8-a3d3-4953-81ff-1ddd3ff1032c&quot;},{&quot;id&quot;:&quot;995b50ce-1c84-5282-b3d2-c93664d17c08&quot;,&quot;itemData&quot;:{&quot;DOI&quot;:&quot;10.3390/s21041061&quot;,&quot;ISSN&quot;:&quot;14248220&quot;,&quot;PMID&quot;:&quot;33557190&quot;,&quot;abstract&quot;:&quot;Heart rate variability (HRV) measurements provide information on the autonomic nervous system and the balance between parasympathetic and sympathetic activity. A high HRV can be advantageous, reflecting the ability of the autonomic nervous system to adapt, whereas a low HRV can be indicative of fatigue, overtraining or health issues. There has been a surge in wearable devices that claim to measure HRV. Some of these include spot measurements, whilst others only record during periods of rest and/or sleep. Few are capable of continuously measuring HRV (≥24 h). We undertook a narrative review of the literature with the aim to determine which currently available wearable devices are capable of measuring continuous, precise HRV measures. The review also aims to evaluate which devices would be suitable in a field setting specific to military populations. The Polar H10 appears to be the most accurate wearable device when compared to criterion measures and even appears to supersede traditional methods during exercise. However, currently, the H10 must be paired with a watch to enable the raw data to be extracted for HRV analysis if users need to avoid using an app (for security or data ownership reasons) which incurs additional cost.&quot;,&quot;author&quot;:[{&quot;dropping-particle&quot;:&quot;&quot;,&quot;family&quot;:&quot;Hinde&quot;,&quot;given&quot;:&quot;Katrina&quot;,&quot;non-dropping-particle&quot;:&quot;&quot;,&quot;parse-names&quot;:false,&quot;suffix&quot;:&quot;&quot;},{&quot;dropping-particle&quot;:&quot;&quot;,&quot;family&quot;:&quot;White&quot;,&quot;given&quot;:&quot;Graham&quot;,&quot;non-dropping-particle&quot;:&quot;&quot;,&quot;parse-names&quot;:false,&quot;suffix&quot;:&quot;&quot;},{&quot;dropping-particle&quot;:&quot;&quot;,&quot;family&quot;:&quot;Armstrong&quot;,&quot;given&quot;:&quot;Nicola&quot;,&quot;non-dropping-particle&quot;:&quot;&quot;,&quot;parse-names&quot;:false,&quot;suffix&quot;:&quot;&quot;}],&quot;container-title&quot;:&quot;Sensors (Switzerland)&quot;,&quot;id&quot;:&quot;995b50ce-1c84-5282-b3d2-c93664d17c08&quot;,&quot;issue&quot;:&quot;4&quot;,&quot;issued&quot;:{&quot;date-parts&quot;:[[&quot;2021&quot;]]},&quot;page&quot;:&quot;1-20&quot;,&quot;title&quot;:&quot;Wearable devices suitable for monitoring twenty four hour heart rate variability in military populations&quot;,&quot;type&quot;:&quot;article-journal&quot;,&quot;volume&quot;:&quot;21&quot;,&quot;container-title-short&quot;:&quot;&quot;},&quot;uris&quot;:[&quot;http://www.mendeley.com/documents/?uuid=54d1af6d-51db-4869-a5e3-906655f49bef&quot;],&quot;isTemporary&quot;:false,&quot;legacyDesktopId&quot;:&quot;54d1af6d-51db-4869-a5e3-906655f49bef&quot;},{&quot;id&quot;:&quot;03232e87-5545-563f-85f1-f5f8b37207b9&quot;,&quot;itemData&quot;:{&quot;DOI&quot;:&quot;10.1249/MSS.0b013e318184a4b1&quot;,&quot;ISSN&quot;:&quot;01959131&quot;,&quot;PMID&quot;:&quot;19092682&quot;,&quot;abstract&quot;:&quot;Purpose: To assess the validity and the reliability of short-term resting heart-rate variability (HRV) measures obtained using the Polar S810 heart-rate monitor and accompanying software. Methods: Measures of HRV were obtained from 5-min R to R wave (RR) interval data for 19 males and 14 females during 10 min of quiet rest on three separate occasions at 1-wk intervals using the Polar S8.10. Criterion measures of HRV were obtained simultaneously using the CardioPerfect (CP; Medical Graphics Corporation, St Paul, MN) 12-lead ECG module. Measures of validity of the Polar S810 were estimated by regression analysis, and measures of reliability of both. devices were estimated by analysis of change scores. Measures of the SD of normal-to-normal intervals (SDNN), the root mean square of successive differences (RMSSD), and the low-frequency (LF) and the high-frequency (HF) spectral power and their ratio (LF/HF) were analyzed after log transformation, whereas mean RR and LF and HF in normalized units were analyzed without transformation. Results: There were marginal differences between the Polar and the CP mean measures of HRV, and the uncertainty in the differences was small. The Polar S810 demonstrated high correlations (0.85-0.99) with CP for all measures of HRV indicating good to near-perfect validity. Except for the low- and the high-frequency normalized units, Polar S810 did not add any substantial technical error to the within-subject variability in the repeated measurements of HRV. Conclusion: HRV measures obtained with the Polar S810 and accompanying software have no appreciable bias or additional random error in comparison with criterion measures, but the measures are inherently unreliable over a 1-wk interval. Reliability of HRV from longer (e.g., 10 min) and/or consecutive 5-min RR recordings needs to be investigated with the Polar and criterion instruments. Copyright © 2008 by the American College of Sports Medicine.&quot;,&quot;author&quot;:[{&quot;dropping-particle&quot;:&quot;&quot;,&quot;family&quot;:&quot;Nunan&quot;,&quot;given&quot;:&quot;David&quot;,&quot;non-dropping-particle&quot;:&quot;&quot;,&quot;parse-names&quot;:false,&quot;suffix&quot;:&quot;&quot;},{&quot;dropping-particle&quot;:&quot;&quot;,&quot;family&quot;:&quot;Gay&quot;,&quot;given&quot;:&quot;Donovan&quot;,&quot;non-dropping-particle&quot;:&quot;&quot;,&quot;parse-names&quot;:false,&quot;suffix&quot;:&quot;&quot;},{&quot;dropping-particle&quot;:&quot;&quot;,&quot;family&quot;:&quot;Jakovljevic&quot;,&quot;given&quot;:&quot;Djordje G.&quot;,&quot;non-dropping-particle&quot;:&quot;&quot;,&quot;parse-names&quot;:false,&quot;suffix&quot;:&quot;&quot;},{&quot;dropping-particle&quot;:&quot;&quot;,&quot;family&quot;:&quot;Hodges&quot;,&quot;given&quot;:&quot;Lynette D.&quot;,&quot;non-dropping-particle&quot;:&quot;&quot;,&quot;parse-names&quot;:false,&quot;suffix&quot;:&quot;&quot;},{&quot;dropping-particle&quot;:&quot;&quot;,&quot;family&quot;:&quot;Sandercock&quot;,&quot;given&quot;:&quot;Gavin R.H.&quot;,&quot;non-dropping-particle&quot;:&quot;&quot;,&quot;parse-names&quot;:false,&quot;suffix&quot;:&quot;&quot;},{&quot;dropping-particle&quot;:&quot;&quot;,&quot;family&quot;:&quot;Brodie&quot;,&quot;given&quot;:&quot;David A.&quot;,&quot;non-dropping-particle&quot;:&quot;&quot;,&quot;parse-names&quot;:false,&quot;suffix&quot;:&quot;&quot;}],&quot;container-title&quot;:&quot;Medicine and Science in Sports and Exercise&quot;,&quot;id&quot;:&quot;03232e87-5545-563f-85f1-f5f8b37207b9&quot;,&quot;issue&quot;:&quot;1&quot;,&quot;issued&quot;:{&quot;date-parts&quot;:[[&quot;2009&quot;]]},&quot;page&quot;:&quot;243-250&quot;,&quot;title&quot;:&quot;Validity and reliability of short-term heart-rate variability from the Polar S810&quot;,&quot;type&quot;:&quot;article-journal&quot;,&quot;volume&quot;:&quot;41&quot;,&quot;container-title-short&quot;:&quot;Med. Sci. Sports Exerc.&quot;},&quot;uris&quot;:[&quot;http://www.mendeley.com/documents/?uuid=c6752ceb-114c-4bc2-b41b-1429b101bd8d&quot;],&quot;isTemporary&quot;:false,&quot;legacyDesktopId&quot;:&quot;c6752ceb-114c-4bc2-b41b-1429b101bd8d&quot;},{&quot;id&quot;:&quot;6d1e6420-f655-5548-826f-70535d904a86&quot;,&quot;itemData&quot;:{&quot;DOI&quot;:&quot;10.1007/s00421-011-2079-9&quot;,&quot;ISBN&quot;:&quot;0042101120799&quot;,&quot;ISSN&quot;:&quot;14396319&quot;,&quot;PMID&quot;:&quot;21766225&quot;,&quot;abstract&quot;:&quot;A growing trend among clinical studies is the use of heart rate monitors (HRMs) for assessment of heart rate variability (HRV). These instruments offer a convenient alternative to traditional electrocardiographs (ECGs) for recording and processing of R-R data. Reports on the validity of such systems are, however, conflicting. This study aimed to assess the validity of a commercial HRM on a large study sample, with emphasis on gender and age. Simultaneous recordings of R-R intervals were conducted with the Polar RS800 HRM and a 3-lead ECG on 341 individuals. Data editing was performed with individually designated software for each instrument. Agreement on SDNN, RMSSD, and HF- and LF power was assessed with intraclass correlations (ICCs), standard errors of measurement (SEMs) and Bland and Altman plots. The HRM was not able to identify 18 observations with non-sinus beats. For men, agreement between instruments ranged from good to excellent (ICC ≥ 0.8) on all HRV measures, and SEMs were generally small. For women the results were weaker, with unacceptable agreement between instruments on SDNN. Women over 60 years did not reach a critical ICC value of 0.75 on any of the HRV measures. Bland and Altman plots demonstrated that the RS800 generally overestimated HRV, and that uncertainty increased with higher values. Since the Polar system did not identify errors satisfactorily, or return valid values of HRV for certain groups, it is concluded that, whenever possible, traditional ECGs should be used for both gathering and editing of HRV data. © Springer-Verlag 2011.&quot;,&quot;author&quot;:[{&quot;dropping-particle&quot;:&quot;&quot;,&quot;family&quot;:&quot;Wallén&quot;,&quot;given&quot;:&quot;Martin Benka&quot;,&quot;non-dropping-particle&quot;:&quot;&quot;,&quot;parse-names&quot;:false,&quot;suffix&quot;:&quot;&quot;},{&quot;dropping-particle&quot;:&quot;&quot;,&quot;family&quot;:&quot;Hasson&quot;,&quot;given&quot;:&quot;Dan&quot;,&quot;non-dropping-particle&quot;:&quot;&quot;,&quot;parse-names&quot;:false,&quot;suffix&quot;:&quot;&quot;},{&quot;dropping-particle&quot;:&quot;&quot;,&quot;family&quot;:&quot;Theorell&quot;,&quot;given&quot;:&quot;Töres&quot;,&quot;non-dropping-particle&quot;:&quot;&quot;,&quot;parse-names&quot;:false,&quot;suffix&quot;:&quot;&quot;},{&quot;dropping-particle&quot;:&quot;&quot;,&quot;family&quot;:&quot;Canlon&quot;,&quot;given&quot;:&quot;Barbara&quot;,&quot;non-dropping-particle&quot;:&quot;&quot;,&quot;parse-names&quot;:false,&quot;suffix&quot;:&quot;&quot;},{&quot;dropping-particle&quot;:&quot;&quot;,&quot;family&quot;:&quot;Osika&quot;,&quot;given&quot;:&quot;Walter&quot;,&quot;non-dropping-particle&quot;:&quot;&quot;,&quot;parse-names&quot;:false,&quot;suffix&quot;:&quot;&quot;},{&quot;dropping-particle&quot;:&quot;&quot;,&quot;family&quot;:&quot;Ward&quot;,&quot;given&quot;:&quot;Susan A.&quot;,&quot;non-dropping-particle&quot;:&quot;&quot;,&quot;parse-names&quot;:false,&quot;suffix&quot;:&quot;&quot;}],&quot;container-title&quot;:&quot;European Journal of Applied Physiology&quot;,&quot;id&quot;:&quot;6d1e6420-f655-5548-826f-70535d904a86&quot;,&quot;issue&quot;:&quot;3&quot;,&quot;issued&quot;:{&quot;date-parts&quot;:[[&quot;2012&quot;]]},&quot;page&quot;:&quot;1153-1165&quot;,&quot;title&quot;:&quot;Possibilities and limitations of the polar RS800 in measuring heart rate variability at rest&quot;,&quot;type&quot;:&quot;article-journal&quot;,&quot;volume&quot;:&quot;112&quot;,&quot;container-title-short&quot;:&quot;Eur. J. Appl. Physiol.&quot;},&quot;uris&quot;:[&quot;http://www.mendeley.com/documents/?uuid=6e603cd4-e8ac-462d-bc27-7fbdc242ef25&quot;],&quot;isTemporary&quot;:false,&quot;legacyDesktopId&quot;:&quot;6e603cd4-e8ac-462d-bc27-7fbdc242ef25&quot;},{&quot;id&quot;:&quot;a66c6798-1de8-51f4-9e71-bc366ae4d112&quot;,&quot;itemData&quot;:{&quot;DOI&quot;:&quot;10.3390/s21030902&quot;,&quot;ISSN&quot;:&quot;1424-8220&quot;,&quot;PMID&quot;:&quot;33572800&quot;,&quot;abstract&quot;:&quot;This work aims to validate the Polar H7 heart rate (HR) sensor for heart rate variability (HRV) analysis at rest and during various exercise intensities in a cohort of male volunteers with different age, body composition and fitness level. Cluster analysis was carried out to evaluate how these phenotypic characteristics influenced HR and HRV measurements. For this purpose, sixty-seven volunteers performed a test consisting of the following consecutive segments: sitting rest, three submaximal exercise intensities in cycle-ergometer and sitting recovery. The agreement between HRV indices derived from Polar H7 and a simultaneous electrocardiogram (ECG) was assessed using concordance correlation coefficient (CCC). The percentage of subjects not reaching excellent agreement (CCC &gt; 0.90) was higher for high-frequency power (PHF) than for low-frequency power (PLF) of HRV and increased with exercise intensity. A cluster of unfit and not young volunteers with high trunk fat percentage showed the highest error in HRV indices. This study indicates that Polar H7 and ECG were interchangeable at rest. During exercise, HR and PLF showed excellent agreement between devices. However, during the highest exercise intensity, CCC for PHF was lower than 0.90 in as many as 60% of the volunteers. During recovery, HR but not HRV measurements were accurate. As a conclusion, phenotypic differences between subjects can represent one of the causes for disagreement between HR sensors and ECG devices, which should be considered specifically when using Polar H7 and, generally, in the validation of any HR sensor for HRV analysis.&quot;,&quot;author&quot;:[{&quot;dropping-particle&quot;:&quot;&quot;,&quot;family&quot;:&quot;Hernández-Vicente&quot;,&quot;given&quot;:&quot;Adrián&quot;,&quot;non-dropping-particle&quot;:&quot;&quot;,&quot;parse-names&quot;:false,&quot;suffix&quot;:&quot;&quot;},{&quot;dropping-particle&quot;:&quot;&quot;,&quot;family&quot;:&quot;Hernando&quot;,&quot;given&quot;:&quot;David&quot;,&quot;non-dropping-particle&quot;:&quot;&quot;,&quot;parse-names&quot;:false,&quot;suffix&quot;:&quot;&quot;},{&quot;dropping-particle&quot;:&quot;&quot;,&quot;family&quot;:&quot;Marín-Puyalto&quot;,&quot;given&quot;:&quot;Jorge&quot;,&quot;non-dropping-particle&quot;:&quot;&quot;,&quot;parse-names&quot;:false,&quot;suffix&quot;:&quot;&quot;},{&quot;dropping-particle&quot;:&quot;&quot;,&quot;family&quot;:&quot;Vicente-Rodríguez&quot;,&quot;given&quot;:&quot;Germán&quot;,&quot;non-dropping-particle&quot;:&quot;&quot;,&quot;parse-names&quot;:false,&quot;suffix&quot;:&quot;&quot;},{&quot;dropping-particle&quot;:&quot;&quot;,&quot;family&quot;:&quot;Garatachea&quot;,&quot;given&quot;:&quot;Nuria&quot;,&quot;non-dropping-particle&quot;:&quot;&quot;,&quot;parse-names&quot;:false,&quot;suffix&quot;:&quot;&quot;},{&quot;dropping-particle&quot;:&quot;&quot;,&quot;family&quot;:&quot;Pueyo&quot;,&quot;given&quot;:&quot;Esther&quot;,&quot;non-dropping-particle&quot;:&quot;&quot;,&quot;parse-names&quot;:false,&quot;suffix&quot;:&quot;&quot;},{&quot;dropping-particle&quot;:&quot;&quot;,&quot;family&quot;:&quot;Bailón&quot;,&quot;given&quot;:&quot;Raquel&quot;,&quot;non-dropping-particle&quot;:&quot;&quot;,&quot;parse-names&quot;:false,&quot;suffix&quot;:&quot;&quot;}],&quot;container-title&quot;:&quot;Sensors&quot;,&quot;id&quot;:&quot;a66c6798-1de8-51f4-9e71-bc366ae4d112&quot;,&quot;issue&quot;:&quot;3&quot;,&quot;issued&quot;:{&quot;date-parts&quot;:[[&quot;2021&quot;,&quot;1&quot;,&quot;29&quot;]]},&quot;page&quot;:&quot;902&quot;,&quot;title&quot;:&quot;Validity of the Polar H7 Heart Rate Sensor for Heart Rate Variability Analysis during Exercise in Different Age, Body Composition and Fitness Level Groups&quot;,&quot;type&quot;:&quot;article-journal&quot;,&quot;volume&quot;:&quot;21&quot;,&quot;container-title-short&quot;:&quot;&quot;},&quot;uris&quot;:[&quot;http://www.mendeley.com/documents/?uuid=ea6226be-1c2f-4704-b5be-38a72388cf3c&quot;],&quot;isTemporary&quot;:false,&quot;legacyDesktopId&quot;:&quot;ea6226be-1c2f-4704-b5be-38a72388cf3c&quot;},{&quot;id&quot;:&quot;9bb842b7-c7ca-56f5-bed4-28cae886126f&quot;,&quot;itemData&quot;:{&quot;DOI&quot;:&quot;10.3390/s22176536&quot;,&quot;ISSN&quot;:&quot;1424-8220&quot;,&quot;PMID&quot;:&quot;36081005&quot;,&quot;abstract&quot;:&quot;Heart rate variability (HRV) is frequently applied in sport-specific settings. The rising use of freely accessible applications for its recording requires validation processes to ensure accurate data. It is the aim of this study to compare the HRV data obtained by the Polar H10 sensor chest strap device and an electrocardiogram (ECG) with the focus on RR intervals and short-term scaling exponent alpha 1 of Detrended Fluctuation Analysis (DFA a1) as non-linear metric of HRV analysis. A group of 25 participants performed an exhaustive cycling ramp with measurements of HRV with both recording systems. Average time between heartbeats (RR), heart rate (HR) and DFA a1 were recorded before (PRE), during, and after (POST) the exercise test. High correlations were found for the resting conditions (PRE: r = 0.95, rc = 0.95, ICC3,1 = 0.95, POST: r = 0.86, rc = 0.84, ICC3,1 = 0.85) and for the incremental exercise (r &gt; 0.93, rc &gt; 0.93, ICC3,1 &gt; 0.93). While PRE and POST comparisons revealed no differences, significant bias could be found during the exercise test for all variables (p &lt; 0.001). For RR and HR, bias and limits of agreement (LoA) in the Bland–Altman analysis were minimal (RR: bias of 0.7 to 0.4 ms with LoA of 4.3 to −2.8 ms during low intensity and 1.3 to −0.5 ms during high intensity, HR: bias of −0.1 to −0.2 ms with LoA of 0.3 to −0.5 ms during low intensity and 0.4 to −0.7 ms during high intensity). DFA a1 showed wider bias and LoAs (bias of 0.9 to 8.6% with LoA of 11.6 to −9.9% during low intensity and 58.1 to −40.9% during high intensity). Linear HRV measurements derived from the Polar H10 chest strap device show strong agreement and small bias compared with ECG recordings and can be recommended for practitioners. However, with respect to DFA a1, values in the uncorrelated range and during higher exercise intensities tend to elicit higher bias and wider LoA.&quot;,&quot;author&quot;:[{&quot;dropping-particle&quot;:&quot;&quot;,&quot;family&quot;:&quot;Schaffarczyk&quot;,&quot;given&quot;:&quot;Marcelle&quot;,&quot;non-dropping-particle&quot;:&quot;&quot;,&quot;parse-names&quot;:false,&quot;suffix&quot;:&quot;&quot;},{&quot;dropping-particle&quot;:&quot;&quot;,&quot;family&quot;:&quot;Rogers&quot;,&quot;given&quot;:&quot;Bruce&quot;,&quot;non-dropping-particle&quot;:&quot;&quot;,&quot;parse-names&quot;:false,&quot;suffix&quot;:&quot;&quot;},{&quot;dropping-particle&quot;:&quot;&quot;,&quot;family&quot;:&quot;Reer&quot;,&quot;given&quot;:&quot;Rüdiger&quot;,&quot;non-dropping-particle&quot;:&quot;&quot;,&quot;parse-names&quot;:false,&quot;suffix&quot;:&quot;&quot;},{&quot;dropping-particle&quot;:&quot;&quot;,&quot;family&quot;:&quot;Gronwald&quot;,&quot;given&quot;:&quot;Thomas&quot;,&quot;non-dropping-particle&quot;:&quot;&quot;,&quot;parse-names&quot;:false,&quot;suffix&quot;:&quot;&quot;}],&quot;container-title&quot;:&quot;Sensors&quot;,&quot;id&quot;:&quot;9bb842b7-c7ca-56f5-bed4-28cae886126f&quot;,&quot;issue&quot;:&quot;17&quot;,&quot;issued&quot;:{&quot;date-parts&quot;:[[&quot;2022&quot;,&quot;8&quot;,&quot;30&quot;]]},&quot;page&quot;:&quot;6536&quot;,&quot;title&quot;:&quot;Validity of the Polar H10 Sensor for Heart Rate Variability Analysis during Resting State and Incremental Exercise in Recreational Men and Women&quot;,&quot;type&quot;:&quot;article-journal&quot;,&quot;volume&quot;:&quot;22&quot;,&quot;container-title-short&quot;:&quot;&quot;},&quot;uris&quot;:[&quot;http://www.mendeley.com/documents/?uuid=0b9741c4-262b-41f5-82ac-ad29945d7e0b&quot;],&quot;isTemporary&quot;:false,&quot;legacyDesktopId&quot;:&quot;0b9741c4-262b-41f5-82ac-ad29945d7e0b&quot;},{&quot;id&quot;:&quot;fd3e2532-fbbf-5540-9e21-8ed8ffef1651&quot;,&quot;itemData&quot;:{&quot;DOI&quot;:&quot;10.1249/01.mss.0000218135.79476.9c&quot;,&quot;ISSN&quot;:&quot;01959131&quot;,&quot;PMID&quot;:&quot;16672842&quot;,&quot;abstract&quot;:&quot;Purpose: This study was conducted to compare R-R intervals and the subsequent analysis of heart rate variability (HRV) obtained from the Polar S810 heart rate monitor (HRM) (Polar Electro Oy) with an electrocardiogram (ECG) (Physiotrace, Estaris, Lille, France) during an orthostatic test. Methods: A total of 18 healthy men (age: 27.1 ± 1.9 yr; height: 1.82 ± 0.06 m; mass 77.1 ± 7.7 kg) performed an active orthostatic test during which R-R intervals were simultaneously recorded with the HRM and the ECG recorder The two signals were synchronized and corrected before a time domain analysis, the fast Fourier transform (FFT) and a Poincaré plot analysis. Bias and limits of agreement (LoA), effect size (ES), and correlation coefficients were calculated. Results: R-R intervals were significantly different in the supine and standing position between the ECG and the HRM uncorrected and corrected signal (P &lt; 0.05, ES = 0.000 and 0.006, respectively). The bias ± LoA, however, were 0.9 ± 12 ms. HRV parameters derived from both signals in both positions were not different (P &gt; 0.05) and well correlated (r &gt; 0.97, P &lt; 0.05), except root mean square of difference (RMSSD) and SD1 in standing position (P &lt; 0.05, ES = 0.052 and 0.057; r = 0.99 and 0.98, respectively). Conclusion: Narrow LoA, good correlations, and small effect sizes support the validity of the Polar S810 HRM to measure R-R intervals and make the subsequent HRV analysis in supine position. Caution must be taken in standing position for the parameters sensitive to the short-term variability (i.e., RMSSD and SD1). Copyright © 2006 by the American College of Sports Medicine.&quot;,&quot;author&quot;:[{&quot;dropping-particle&quot;:&quot;&quot;,&quot;family&quot;:&quot;Gamelin&quot;,&quot;given&quot;:&quot;François Xavier&quot;,&quot;non-dropping-particle&quot;:&quot;&quot;,&quot;parse-names&quot;:false,&quot;suffix&quot;:&quot;&quot;},{&quot;dropping-particle&quot;:&quot;&quot;,&quot;family&quot;:&quot;Berthoin&quot;,&quot;given&quot;:&quot;Serge&quot;,&quot;non-dropping-particle&quot;:&quot;&quot;,&quot;parse-names&quot;:false,&quot;suffix&quot;:&quot;&quot;},{&quot;dropping-particle&quot;:&quot;&quot;,&quot;family&quot;:&quot;Bosquet&quot;,&quot;given&quot;:&quot;Laurent&quot;,&quot;non-dropping-particle&quot;:&quot;&quot;,&quot;parse-names&quot;:false,&quot;suffix&quot;:&quot;&quot;}],&quot;container-title&quot;:&quot;Medicine and Science in Sports and Exercise&quot;,&quot;id&quot;:&quot;fd3e2532-fbbf-5540-9e21-8ed8ffef1651&quot;,&quot;issue&quot;:&quot;5&quot;,&quot;issued&quot;:{&quot;date-parts&quot;:[[&quot;2006&quot;]]},&quot;page&quot;:&quot;887-893&quot;,&quot;title&quot;:&quot;Validity of the polar S810 Heart rate monitor to measure R-R intervals at rest&quot;,&quot;type&quot;:&quot;article-journal&quot;,&quot;volume&quot;:&quot;38&quot;,&quot;container-title-short&quot;:&quot;Med. Sci. Sports Exerc.&quot;},&quot;uris&quot;:[&quot;http://www.mendeley.com/documents/?uuid=dc23d60f-5374-4ff3-b43d-78cc07ed012a&quot;],&quot;isTemporary&quot;:false,&quot;legacyDesktopId&quot;:&quot;dc23d60f-5374-4ff3-b43d-78cc07ed012a&quot;},{&quot;id&quot;:&quot;64c857b6-f29b-541c-9f8f-80f250fc4737&quot;,&quot;itemData&quot;:{&quot;DOI&quot;:&quot;10.3390/ijerph18030869&quot;,&quot;ISSN&quot;:&quot;16604601&quot;,&quot;PMID&quot;:&quot;33498381&quot;,&quot;abstract&quot;:&quot;Background: Aging may result in autonomic nervous dysfunction. Heart rate variability (HRV) is a non-invasive method to measure autonomic nervous activities. Many studies have shown that HRV contributes to the risk assessment of diseases. A Polar V800 heart rate monitor is a wearable device that measures R-R intervals, but has only been validated in younger adults under limited testing conditions. There is no validation of the V800 under mental stress or in dual task testing conditions. Therefore, this study investigated the validity of the Polar V800 heart rate monitor for assessing R-R intervals and evaluated if there were differences on HRV parameters under different situations in community-dwelling elderly adults. Methods: Forty community-dwelling elderly adults were recruited. Heart rates were recorded via electrocardiogram (ECG) and the V800 under sitting, during an arithmetic test, during a naming test, a self-selected walking velocity test (SSWV), and dual tasks (SSWV performing mental arithmetic test and SSWV performing naming test). Indices of time and frequency domains of HRV were calculated afterwards. The intra-class correlation coefficient (ICC) analysis and effect size were calculated to examine the concurrent validity between the V800 and the ECG. Results: All HRV indices from the V800 were highly correlated with the ECG under all tested conditions (ICC = 0.995–1.000, p &lt; 0.001) and the effect size of bias was small (&lt;0.1). Conclusion: Overall, the V800 has good validity on the assessment of HRV in community-dwelling elderly adults during sitting, mental arithmetic test, naming test, SSWV, and dual tasks.&quot;,&quot;author&quot;:[{&quot;dropping-particle&quot;:&quot;&quot;,&quot;family&quot;:&quot;Huang&quot;,&quot;given&quot;:&quot;Chang Jing&quot;,&quot;non-dropping-particle&quot;:&quot;&quot;,&quot;parse-names&quot;:false,&quot;suffix&quot;:&quot;&quot;},{&quot;dropping-particle&quot;:&quot;&quot;,&quot;family&quot;:&quot;Chan&quot;,&quot;given&quot;:&quot;Hsiao Lung&quot;,&quot;non-dropping-particle&quot;:&quot;&quot;,&quot;parse-names&quot;:false,&quot;suffix&quot;:&quot;&quot;},{&quot;dropping-particle&quot;:&quot;&quot;,&quot;family&quot;:&quot;Chang&quot;,&quot;given&quot;:&quot;Ya Ju&quot;,&quot;non-dropping-particle&quot;:&quot;&quot;,&quot;parse-names&quot;:false,&quot;suffix&quot;:&quot;&quot;},{&quot;dropping-particle&quot;:&quot;&quot;,&quot;family&quot;:&quot;Chen&quot;,&quot;given&quot;:&quot;Shu Mei&quot;,&quot;non-dropping-particle&quot;:&quot;&quot;,&quot;parse-names&quot;:false,&quot;suffix&quot;:&quot;&quot;},{&quot;dropping-particle&quot;:&quot;&quot;,&quot;family&quot;:&quot;Hsu&quot;,&quot;given&quot;:&quot;Miao Ju&quot;,&quot;non-dropping-particle&quot;:&quot;&quot;,&quot;parse-names&quot;:false,&quot;suffix&quot;:&quot;&quot;}],&quot;container-title&quot;:&quot;International Journal of Environmental Research and Public Health&quot;,&quot;id&quot;:&quot;64c857b6-f29b-541c-9f8f-80f250fc4737&quot;,&quot;issue&quot;:&quot;3&quot;,&quot;issued&quot;:{&quot;date-parts&quot;:[[&quot;2021&quot;]]},&quot;page&quot;:&quot;1-12&quot;,&quot;title&quot;:&quot;Validity of the polar v800 monitor for assessing heart rate variability in elderly adults under mental stress and dual task conditions&quot;,&quot;type&quot;:&quot;article-journal&quot;,&quot;volume&quot;:&quot;18&quot;,&quot;container-title-short&quot;:&quot;Int. J. Environ. Res. Public Health&quot;},&quot;uris&quot;:[&quot;http://www.mendeley.com/documents/?uuid=657bcd6b-bb58-41d7-9736-37289cc67589&quot;],&quot;isTemporary&quot;:false,&quot;legacyDesktopId&quot;:&quot;657bcd6b-bb58-41d7-9736-37289cc67589&quot;}]},{&quot;citationID&quot;:&quot;MENDELEY_CITATION_540df52b-a174-4ce1-9947-c08be0db4d1e&quot;,&quot;properties&quot;:{&quot;noteIndex&quot;:0},&quot;isEdited&quot;:false,&quot;manualOverride&quot;:{&quot;citeprocText&quot;:&quot;[310,323,324]&quot;,&quot;isManuallyOverridden&quot;:false,&quot;manualOverrideText&quot;:&quot;&quot;},&quot;citationTag&quot;:&quot;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&quot;,&quot;citationItems&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id&quot;:&quot;0d3bd7ef-d5ac-5274-95ea-3e144636c120&quot;,&quot;itemData&quot;:{&quot;DOI&quot;:&quot;10.3390/sports13020029&quot;,&quot;ISSN&quot;:&quot;2075-4663&quot;,&quot;abstract&quot;:&quot;The purpose of the current study was to determine the test–retest reliability and concurrent validity of a photoplethysmography (PPG) finger sensor when collecting heart rate variability (HRV) metrics in reference to electrocardiography (ECG) and heart rate monitor (HRM) devices. Five minutes of R-R interval data were collected from 45 participants (23 females; age: 23.13 ± 4.45 yrs; body mass index: 25.39 ± 4.13 kg/m2) in the supine and seated positions in testing sessions 48 h apart. Moderate-to-excellent test–retest reliability of the HRV data collected from the PPG sensor was identified (ICC2,1 = 0.60–0.93). Additionally, similar standard errors of the mean, coefficient of variation, and minimal detectable change metrics were observed across all devices. Statistically significant (p &lt; 0.05) differences were identified in the HRV data between the PPG sensor and ECG and HRM devices; however, these differences were interpreted as trivial-to-small (g = 0.00–0.59). Further, the PPG sensor tended to only overestimate HRV metrics by &lt;0.5 ms and near perfect relationships (r = 0.91–1.00) and very large-to-near perfect agreement (CCC = 0.81–1.00) were identified between collection methods. The PPG sensor demonstrated adequate test–retest reliability and concurrent validity in both the supine and seated resting positions.&quot;,&quot;author&quot;:[{&quot;dropping-particle&quot;:&quot;&quot;,&quot;family&quot;:&quot;Rogers&quot;,&quot;given&quot;:&quot;Donald W.&quot;,&quot;non-dropping-particle&quot;:&quot;&quot;,&quot;parse-names&quot;:false,&quot;suffix&quot;:&quot;&quot;},{&quot;dropping-particle&quot;:&quot;&quot;,&quot;family&quot;:&quot;Himariotis&quot;,&quot;given&quot;:&quot;Andreas T.&quot;,&quot;non-dropping-particle&quot;:&quot;&quot;,&quot;parse-names&quot;:false,&quot;suffix&quot;:&quot;&quot;},{&quot;dropping-particle&quot;:&quot;&quot;,&quot;family&quot;:&quot;Sherriff&quot;,&quot;given&quot;:&quot;Thomas J.&quot;,&quot;non-dropping-particle&quot;:&quot;&quot;,&quot;parse-names&quot;:false,&quot;suffix&quot;:&quot;&quot;},{&quot;dropping-particle&quot;:&quot;&quot;,&quot;family&quot;:&quot;Proulx&quot;,&quot;given&quot;:&quot;Quentin J.&quot;,&quot;non-dropping-particle&quot;:&quot;&quot;,&quot;parse-names&quot;:false,&quot;suffix&quot;:&quot;&quot;},{&quot;dropping-particle&quot;:&quot;&quot;,&quot;family&quot;:&quot;Duong&quot;,&quot;given&quot;:&quot;Megan T.&quot;,&quot;non-dropping-particle&quot;:&quot;&quot;,&quot;parse-names&quot;:false,&quot;suffix&quot;:&quot;&quot;},{&quot;dropping-particle&quot;:&quot;&quot;,&quot;family&quot;:&quot;Noel&quot;,&quot;given&quot;:&quot;Sabrina E.&quot;,&quot;non-dropping-particle&quot;:&quot;&quot;,&quot;parse-names&quot;:false,&quot;suffix&quot;:&quot;&quot;},{&quot;dropping-particle&quot;:&quot;&quot;,&quot;family&quot;:&quot;Cornell&quot;,&quot;given&quot;:&quot;David J.&quot;,&quot;non-dropping-particle&quot;:&quot;&quot;,&quot;parse-names&quot;:false,&quot;suffix&quot;:&quot;&quot;}],&quot;container-title&quot;:&quot;Sports&quot;,&quot;id&quot;:&quot;0d3bd7ef-d5ac-5274-95ea-3e144636c120&quot;,&quot;issue&quot;:&quot;2&quot;,&quot;issued&quot;:{&quot;date-parts&quot;:[[&quot;2025&quot;,&quot;1&quot;,&quot;22&quot;]]},&quot;page&quot;:&quot;29&quot;,&quot;title&quot;:&quot;Test–Retest Reliability and Concurrent Validity of Photoplethysmography Finger Sensor to Collect Measures of Heart Rate Variability&quot;,&quot;type&quot;:&quot;article-journal&quot;,&quot;volume&quot;:&quot;13&quot;,&quot;container-title-short&quot;:&quot;&quot;},&quot;uris&quot;:[&quot;http://www.mendeley.com/documents/?uuid=33edb469-0452-4c02-98a7-780a4369e353&quot;],&quot;isTemporary&quot;:false,&quot;legacyDesktopId&quot;:&quot;33edb469-0452-4c02-98a7-780a4369e353&quot;},{&quot;id&quot;:&quot;c5a8e1f7-a936-5736-85af-ac60536442c8&quot;,&quot;itemData&quot;:{&quot;DOI&quot;:&quot;10.3389/fdgth.2022.909519&quot;,&quot;ISSN&quot;:&quot;2673-253X&quot;,&quot;abstract&quot;:&quot;Background: Recent research has shown that photoplethysmography (PPG) based wearable sensors offer a promising potential for chronic disease monitoring. The aim of the present study was to assess the performance of an in-ear wearable PPG sensor in acquiring valid and reliable heart rate measurements in a clinical setting, with epileptic patients. Methods: Patients undergoing video-electroencephalography (EEG) monitoring with concomitant one-lead electrocardiographic (ECG) recordings were equipped with an in-ear sensor developed by cosinuss°. Results: In total, 2,048 h of recording from 97 patients with simultaneous ECG and in-ear heart rate data were included in the analysis. The comparison of the quality-filtered in-ear heart rate data with the reference ECG resulted in a bias of 0.78 bpm with a standard deviation of ±2.54 bpm; Pearson’s Correlation Coefficient PCC = 0.83; Intraclass Correlation Coefficient ICC = 0.81 and mean absolute percentage error MAPE = 2.57. Conclusion: These data confirm that the in-ear wearable PPG sensor provides accurate heart rate measurements in comparison with ECG under realistic clinical conditions, especially with a signal quality indicator. Further research is required to investigate whether this technology is helpful in identifying seizure-related cardiovascular changes.&quot;,&quot;author&quot;:[{&quot;dropping-particle&quot;:&quot;&quot;,&quot;family&quot;:&quot;Adams&quot;,&quot;given&quot;:&quot;Tim&quot;,&quot;non-dropping-particle&quot;:&quot;&quot;,&quot;parse-names&quot;:false,&quot;suffix&quot;:&quot;&quot;},{&quot;dropping-particle&quot;:&quot;&quot;,&quot;family&quot;:&quot;Wagner&quot;,&quot;given&quot;:&quot;Sophie&quot;,&quot;non-dropping-particle&quot;:&quot;&quot;,&quot;parse-names&quot;:false,&quot;suffix&quot;:&quot;&quot;},{&quot;dropping-particle&quot;:&quot;&quot;,&quot;family&quot;:&quot;Baldinger&quot;,&quot;given&quot;:&quot;Melanie&quot;,&quot;non-dropping-particle&quot;:&quot;&quot;,&quot;parse-names&quot;:false,&quot;suffix&quot;:&quot;&quot;},{&quot;dropping-particle&quot;:&quot;&quot;,&quot;family&quot;:&quot;Zellhuber&quot;,&quot;given&quot;:&quot;Incinur&quot;,&quot;non-dropping-particle&quot;:&quot;&quot;,&quot;parse-names&quot;:false,&quot;suffix&quot;:&quot;&quot;},{&quot;dropping-particle&quot;:&quot;&quot;,&quot;family&quot;:&quot;Weber&quot;,&quot;given&quot;:&quot;Michael&quot;,&quot;non-dropping-particle&quot;:&quot;&quot;,&quot;parse-names&quot;:false,&quot;suffix&quot;:&quot;&quot;},{&quot;dropping-particle&quot;:&quot;&quot;,&quot;family&quot;:&quot;Nass&quot;,&quot;given&quot;:&quot;Daniel&quot;,&quot;non-dropping-particle&quot;:&quot;&quot;,&quot;parse-names&quot;:false,&quot;suffix&quot;:&quot;&quot;},{&quot;dropping-particle&quot;:&quot;&quot;,&quot;family&quot;:&quot;Surges&quot;,&quot;given&quot;:&quot;Rainer&quot;,&quot;non-dropping-particle&quot;:&quot;&quot;,&quot;parse-names&quot;:false,&quot;suffix&quot;:&quot;&quot;}],&quot;container-title&quot;:&quot;Frontiers in Digital Health&quot;,&quot;id&quot;:&quot;c5a8e1f7-a936-5736-85af-ac60536442c8&quot;,&quot;issue&quot;:&quot;August&quot;,&quot;issued&quot;:{&quot;date-parts&quot;:[[&quot;2022&quot;,&quot;8&quot;,&quot;17&quot;]]},&quot;page&quot;:&quot;1-10&quot;,&quot;title&quot;:&quot;Accurate detection of heart rate using in-ear photoplethysmography in a clinical setting&quot;,&quot;type&quot;:&quot;article-journal&quot;,&quot;volume&quot;:&quot;4&quot;,&quot;container-title-short&quot;:&quot;Front. Digit. Health&quot;},&quot;uris&quot;:[&quot;http://www.mendeley.com/documents/?uuid=84e03f83-df77-4d6d-af10-7066579e4531&quot;],&quot;isTemporary&quot;:false,&quot;legacyDesktopId&quot;:&quot;84e03f83-df77-4d6d-af10-7066579e4531&quot;}]},{&quot;citationID&quot;:&quot;MENDELEY_CITATION_740292ba-a3a4-4d9e-8087-c93a76980215&quot;,&quot;properties&quot;:{&quot;noteIndex&quot;:0},&quot;isEdited&quot;:false,&quot;manualOverride&quot;:{&quot;citeprocText&quot;:&quot;[313]&quot;,&quot;isManuallyOverridden&quot;:false,&quot;manualOverrideText&quot;:&quot;&quot;},&quot;citationTag&quot;:&quot;MENDELEY_CITATION_v3_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&quot;,&quot;citationItems&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citationID&quot;:&quot;MENDELEY_CITATION_289fef90-997a-4f59-832b-e7525911e44a&quot;,&quot;properties&quot;:{&quot;noteIndex&quot;:0},&quot;isEdited&quot;:false,&quot;manualOverride&quot;:{&quot;citeprocText&quot;:&quot;[318,325–329]&quot;,&quot;isManuallyOverridden&quot;:false,&quot;manualOverrideText&quot;:&quot;&quot;},&quot;citationTag&quot;:&quot;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&quot;,&quot;citationItems&quot;:[{&quot;id&quot;:&quot;0b0b3140-d05e-5bb4-b601-f90621ec76c8&quot;,&quot;itemData&quot;:{&quot;DOI&quot;:&quot;10.7717/peerj.10893&quot;,&quot;ISSN&quot;:&quot;2167-8359&quot;,&quot;abstract&quot;:&quot;Background: The use of wrist worn wearable fitness trackers has been growing rapidly over the last decade. The growing popularity can be partly attributed to the improvements in technology, making activity trackers more affordable, comfortable and convenient for use in different fitness and environmental applications. Fitness trackers typically monitor activity level, track steps, distance, heart rate (HR), sleep, peripheral capillary oxygen saturation and more, as the technology continuously is advancing. In terms of measuring HR, photoplethysmography (PPG) is a relatively new technology utilised in wearables. PPG estimates HR through an optical technique that monitors changes in blood volume beneath the skin. With these new products becoming available it is important that the validity of these devices be evaluated. Therefore, the aim of this study was to assess the validity of the Polar Vantage M (PVM) watch to measure HR compared to medical grade ECG on a healthy population during a range of treadmill exercise intensities. Methods: A total of 30 healthy participants (n = 17 males, n = 13 females) were recruited for this study. The validity of the PVM watch to measure HR was compared against the gold standard 5-lead ECG. The study was conducted on 2 separate testing days with 24 48 h between sessions. Participants completed the Bruce Treadmill Protocol, and HR was measured every 30 s. Validation of the PVM watch in comparison to the ECG was measured with an Intraclass Correlation Coefficient (ICC) and associated 95% confidence intervals (CI) and levels of agreement were identified with Bland Altman plots with 90% limits of agreement. Linear regression analysis was performed to calculate the value of r2 computing the variation of HR obtained by the PVM watch and ECG. Results: In total, 30 participants completed the protocol, with data from 28 participants utilised for statistical analysis (16 males, 14 females, 26.10 3.39 years, height 52.36 m 7.40 cm, mass 73.59 11.90 kg). A strong and significant correlation was found between the PVM watch and ECG, demonstrating good criterion validity (p 0.05, r2 = 0.87). Good validity was seen for day 1 and day 2 for stage 0 (ICC = 0.83; 95% CI [0.63 0.92], ICC = 0.74; 95% CI [0.37 0.88]), stage 1 (ICC = 0.78; 95% CI [0.52 0.90], ICC = 0.88; 95% CI [0.74 0.95]), and stage 2 (ICC = 0.88; 95% CI [0.73 0.94], ICC = 0.80; 95% CI [0.40 0.92]). Poor validity was demonstrated on day 1 and day 2 for stages 3 5 (ICC 0.50). …&quot;,&quot;author&quot;:[{&quot;dropping-particle&quot;:&quot;&quot;,&quot;family&quot;:&quot;Shumate&quot;,&quot;given&quot;:&quot;Tricia&quot;,&quot;non-dropping-particle&quot;:&quot;&quot;,&quot;parse-names&quot;:false,&quot;suffix&quot;:&quot;&quot;},{&quot;dropping-particle&quot;:&quot;&quot;,&quot;family&quot;:&quot;Link&quot;,&quot;given&quot;:&quot;Magdalen&quot;,&quot;non-dropping-particle&quot;:&quot;&quot;,&quot;parse-names&quot;:false,&quot;suffix&quot;:&quot;&quot;},{&quot;dropping-particle&quot;:&quot;&quot;,&quot;family&quot;:&quot;Furness&quot;,&quot;given&quot;:&quot;James&quot;,&quot;non-dropping-particle&quot;:&quot;&quot;,&quot;parse-names&quot;:false,&quot;suffix&quot;:&quot;&quot;},{&quot;dropping-particle&quot;:&quot;&quot;,&quot;family&quot;:&quot;Kemp-Smith&quot;,&quot;given&quot;:&quot;Kevin&quot;,&quot;non-dropping-particle&quot;:&quot;&quot;,&quot;parse-names&quot;:false,&quot;suffix&quot;:&quot;&quot;},{&quot;dropping-particle&quot;:&quot;&quot;,&quot;family&quot;:&quot;Simas&quot;,&quot;given&quot;:&quot;Vini&quot;,&quot;non-dropping-particle&quot;:&quot;&quot;,&quot;parse-names&quot;:false,&quot;suffix&quot;:&quot;&quot;},{&quot;dropping-particle&quot;:&quot;&quot;,&quot;family&quot;:&quot;Climstein&quot;,&quot;given&quot;:&quot;Mike&quot;,&quot;non-dropping-particle&quot;:&quot;&quot;,&quot;parse-names&quot;:false,&quot;suffix&quot;:&quot;&quot;}],&quot;container-title&quot;:&quot;PeerJ&quot;,&quot;id&quot;:&quot;0b0b3140-d05e-5bb4-b601-f90621ec76c8&quot;,&quot;issued&quot;:{&quot;date-parts&quot;:[[&quot;2021&quot;,&quot;2&quot;,&quot;9&quot;]]},&quot;page&quot;:&quot;e10893&quot;,&quot;title&quot;:&quot;Validity of the Polar Vantage M watch when measuring heart rate at different exercise intensities&quot;,&quot;type&quot;:&quot;article-journal&quot;,&quot;volume&quot;:&quot;9&quot;,&quot;container-title-short&quot;:&quot;PeerJ&quot;},&quot;uris&quot;:[&quot;http://www.mendeley.com/documents/?uuid=4f0cabb1-a4c9-4eee-b941-8f05da117f2b&quot;],&quot;isTemporary&quot;:false,&quot;legacyDesktopId&quot;:&quot;4f0cabb1-a4c9-4eee-b941-8f05da117f2b&quot;},{&quot;id&quot;:&quot;6896423a-787f-5439-aaf6-ad534f36a51d&quot;,&quot;itemData&quot;:{&quot;DOI&quot;:&quot;10.1007/s10916-020-01648-w&quot;,&quot;ISBN&quot;:&quot;1091602001648&quot;,&quot;ISSN&quot;:&quot;0148-5598&quot;,&quot;PMID&quot;:&quot;32965570&quot;,&quot;abstract&quot;:&quot;Wearable monitoring devices are an innovative way to measure heart rate (HR) and heart rate variability (HRV), however, there is still debate about the validity of these wearables. This study aimed to validate the accuracy and predictive value of the Empatica E4 wristband against the VU University Ambulatory Monitoring System (VU-AMS) in a clinical population of traumatized adolescents in residential care. A sample of 345 recordings of both the Empatica E4 wristband and the VU-AMS was derived from a feasibility study that included fifteen participants. They wore both devices during two experimental testing and twelve intervention sessions. We used correlations, cross-correlations, Mann-Whitney tests, difference factors, Bland-Altman plots, and Limits of Agreement to evaluate differences in outcomes between devices. Significant correlations were found between Empatica E4 and VU-AMS recordings for HR, SDNN, RMSSD, and HF recordings. There was a significant difference between the devices for all parameters but HR, although effect sizes were small for SDNN, LF, and HF. For all parameters but RMSSD, testing outcomes of the two devices led to the same conclusions regarding significance. The Empatica E4 wristband provides a new opportunity to measure HRV in an unobtrusive way. Results of this study indicate the potential of the Empatica E4 as a practical and valid tool for research on HR and HRV under non-movement conditions. While more research needs to be conducted, this study could be considered as a first step to support the use of HRV recordings provided by wearables.&quot;,&quot;author&quot;:[{&quot;dropping-particle&quot;:&quot;&quot;,&quot;family&quot;:&quot;Schuurmans&quot;,&quot;given&quot;:&quot;Angela A.T. T.&quot;,&quot;non-dropping-particle&quot;:&quot;&quot;,&quot;parse-names&quot;:false,&quot;suffix&quot;:&quot;&quot;},{&quot;dropping-particle&quot;:&quot;&quot;,&quot;family&quot;:&quot;Looff&quot;,&quot;given&quot;:&quot;Peter&quot;,&quot;non-dropping-particle&quot;:&quot;de&quot;,&quot;parse-names&quot;:false,&quot;suffix&quot;:&quot;&quot;},{&quot;dropping-particle&quot;:&quot;&quot;,&quot;family&quot;:&quot;Nijhof&quot;,&quot;given&quot;:&quot;Karin S.&quot;,&quot;non-dropping-particle&quot;:&quot;&quot;,&quot;parse-names&quot;:false,&quot;suffix&quot;:&quot;&quot;},{&quot;dropping-particle&quot;:&quot;&quot;,&quot;family&quot;:&quot;Rosada&quot;,&quot;given&quot;:&quot;Catarina&quot;,&quot;non-dropping-particle&quot;:&quot;&quot;,&quot;parse-names&quot;:false,&quot;suffix&quot;:&quot;&quot;},{&quot;dropping-particle&quot;:&quot;&quot;,&quot;family&quot;:&quot;Scholte&quot;,&quot;given&quot;:&quot;Ron H.J. J.&quot;,&quot;non-dropping-particle&quot;:&quot;&quot;,&quot;parse-names&quot;:false,&quot;suffix&quot;:&quot;&quot;},{&quot;dropping-particle&quot;:&quot;&quot;,&quot;family&quot;:&quot;Popma&quot;,&quot;given&quot;:&quot;Arne&quot;,&quot;non-dropping-particle&quot;:&quot;&quot;,&quot;parse-names&quot;:false,&quot;suffix&quot;:&quot;&quot;},{&quot;dropping-particle&quot;:&quot;&quot;,&quot;family&quot;:&quot;Otten&quot;,&quot;given&quot;:&quot;Roy&quot;,&quot;non-dropping-particle&quot;:&quot;&quot;,&quot;parse-names&quot;:false,&quot;suffix&quot;:&quot;&quot;}],&quot;container-title&quot;:&quot;Journal of Medical Systems&quot;,&quot;id&quot;:&quot;6896423a-787f-5439-aaf6-ad534f36a51d&quot;,&quot;issue&quot;:&quot;11&quot;,&quot;issued&quot;:{&quot;date-parts&quot;:[[&quot;2020&quot;,&quot;11&quot;,&quot;23&quot;]]},&quot;page&quot;:&quot;190&quot;,&quot;publisher&quot;:&quot;Journal of Medical Systems&quot;,&quot;title&quot;:&quot;Validity of the Empatica E4 Wristband to Measure Heart Rate Variability (HRV) Parameters: a Comparison to Electrocardiography (ECG)&quot;,&quot;type&quot;:&quot;article-journal&quot;,&quot;volume&quot;:&quot;44&quot;,&quot;container-title-short&quot;:&quot;J. Med. Syst.&quot;},&quot;uris&quot;:[&quot;http://www.mendeley.com/documents/?uuid=a7429727-ea96-49e9-894c-ec6cab7a35ae&quot;],&quot;isTemporary&quot;:false,&quot;legacyDesktopId&quot;:&quot;a7429727-ea96-49e9-894c-ec6cab7a35ae&quot;},{&quot;id&quot;:&quot;7b7aacc2-0aae-57c0-aecb-20beb0b78d10&quot;,&quot;itemData&quot;:{&quot;DOI&quot;:&quot;10.1016/j.ijpsycho.2022.10.003&quot;,&quot;ISSN&quot;:&quot;18727697&quot;,&quot;PMID&quot;:&quot;36252721&quot;,&quot;abstract&quot;:&quot;Lab research might benefit from the advantages of wearable devices, such as their ease of use, to estimate pulse rate (PR) and pulse rate variability (PRV) as an equivalent for heart rate (HR) and heart rate variability. However, before implementing them in a lab context, the validity of the PR and PRV, also on ultra-short time scales (e.g., 30s), needs to be confirmed. We recorded heart activity simultaneously with an E4 wristband and an ECG device in a seated resting condition for 5 min. Our results showed that HR, RMSSD, SDNN and LF, but not HF, were validly estimated by the E4 wristband. Furthermore, the E4 wristband could validly estimate PR with recording lengths as short as 10s. RMSSD and SDNN were validly estimated using 30s or 120 s or an average of multiple short intervals (10s), while HF likely requires longer recording intervals. Based on this study, we formulated several recommendations for using the E4 wristband in a lab context.&quot;,&quot;author&quot;:[{&quot;dropping-particle&quot;:&quot;&quot;,&quot;family&quot;:&quot;Stuyck&quot;,&quot;given&quot;:&quot;Hans&quot;,&quot;non-dropping-particle&quot;:&quot;&quot;,&quot;parse-names&quot;:false,&quot;suffix&quot;:&quot;&quot;},{&quot;dropping-particle&quot;:&quot;&quot;,&quot;family&quot;:&quot;Dalla Costa&quot;,&quot;given&quot;:&quot;Leonardo&quot;,&quot;non-dropping-particle&quot;:&quot;&quot;,&quot;parse-names&quot;:false,&quot;suffix&quot;:&quot;&quot;},{&quot;dropping-particle&quot;:&quot;&quot;,&quot;family&quot;:&quot;Cleeremans&quot;,&quot;given&quot;:&quot;Axel&quot;,&quot;non-dropping-particle&quot;:&quot;&quot;,&quot;parse-names&quot;:false,&quot;suffix&quot;:&quot;&quot;},{&quot;dropping-particle&quot;:&quot;&quot;,&quot;family&quot;:&quot;Bussche&quot;,&quot;given&quot;:&quot;Eva&quot;,&quot;non-dropping-particle&quot;:&quot;Van den&quot;,&quot;parse-names&quot;:false,&quot;suffix&quot;:&quot;&quot;}],&quot;container-title&quot;:&quot;International Journal of Psychophysiology&quot;,&quot;id&quot;:&quot;7b7aacc2-0aae-57c0-aecb-20beb0b78d10&quot;,&quot;issue&quot;:&quot;July&quot;,&quot;issued&quot;:{&quot;date-parts&quot;:[[&quot;2022&quot;]]},&quot;page&quot;:&quot;105-118&quot;,&quot;publisher&quot;:&quot;Elsevier B.V.&quot;,&quot;title&quot;:&quot;Validity of the Empatica E4 wristband to estimate resting-state heart rate variability in a lab-based context&quot;,&quot;type&quot;:&quot;article-journal&quot;,&quot;volume&quot;:&quot;182&quot;,&quot;container-title-short&quot;:&quot;&quot;},&quot;uris&quot;:[&quot;http://www.mendeley.com/documents/?uuid=5ad54177-be0a-49c1-bf51-2323faeaf062&quot;],&quot;isTemporary&quot;:false,&quot;legacyDesktopId&quot;:&quot;5ad54177-be0a-49c1-bf51-2323faeaf062&quot;},{&quot;id&quot;:&quot;806d09ac-61ce-5e52-9bdb-86ea53755783&quot;,&quot;itemData&quot;:{&quot;DOI&quot;:&quot;10.2196/10828&quot;,&quot;ISBN&quot;:&quot;3108014595&quot;,&quot;ISSN&quot;:&quot;22915222&quot;,&quot;abstract&quot;:&quot;Background: Wrist-worn smart watches and fitness monitors (ie, wearables) have become widely adopted by consumers and are gaining increased attention from researchers for their potential contribution to naturalistic digital measurement of health in a scalable, mobile, and unobtrusive way. Various studies have examined the accuracy of these devices in controlled laboratory settings (eg, treadmill and stationary bike); however, no studies have investigated the heart rate accuracy of wearables during a continuous and ecologically valid 24-hour period of actual consumer device use conditions. Objective: The aim of this study was to determine the heart rate accuracy of 2 popular wearable devices, the Apple Watch 3 and Fitbit Charge 2, as compared with the gold standard reference method, an ambulatory electrocardiogram (ECG), during consumer device use conditions in an individual. Data were collected across 5 daily conditions, including sitting, walking, running, activities of daily living (ADL; eg, chores, brushing teeth), and sleeping. Methods: One participant, (first author; 29-year-old Caucasian male) completed a 24-hour ecologically valid protocol by wearing 2 popular wrist wearable devices (Apple Watch 3 and Fitbit Charge 2). In addition, an ambulatory ECG (Vrije Universiteit Ambulatory Monitoring System) was used as the gold standard reference method, which resulted in the collection of 102,740 individual heartbeats. A single-subject design was used to keep all variables constant except for wearable devices while providing a rapid response design to provide initial assessment of wearable accuracy for allowing the research cycle to keep pace with technological advancements. Accuracy of these devices compared with the gold standard ECG was assessed using mean error, mean absolute error, and mean absolute percent error. These data were supplemented with Bland-Altman analyses and concordance class correlation to assess agreement between devices. Results: The Apple Watch 3 and Fitbit Charge 2 were generally highly accurate across the 24-hour condition. Specifically, the Apple Watch 3 had a mean difference of -1.80 beats per minute (bpm), a mean absolute error percent of 5.86%, and a mean agreement of 95% when compared with the ECG across 24 hours. The Fitbit Charge 2 had a mean difference of -3.47 bpm, a mean absolute error of 5.96%, and a mean agreement of 91% when compared with the ECG across 24 hours. These findings varied by condition. Conclusions: The …&quot;,&quot;author&quot;:[{&quot;dropping-particle&quot;:&quot;&quot;,&quot;family&quot;:&quot;Nelson&quot;,&quot;given&quot;:&quot;Benjamin W.&quot;,&quot;non-dropping-particle&quot;:&quot;&quot;,&quot;parse-names&quot;:false,&quot;suffix&quot;:&quot;&quot;},{&quot;dropping-particle&quot;:&quot;&quot;,&quot;family&quot;:&quot;Allen&quot;,&quot;given&quot;:&quot;Nicholas B.&quot;,&quot;non-dropping-particle&quot;:&quot;&quot;,&quot;parse-names&quot;:false,&quot;suffix&quot;:&quot;&quot;}],&quot;container-title&quot;:&quot;JMIR mHealth and uHealth&quot;,&quot;id&quot;:&quot;806d09ac-61ce-5e52-9bdb-86ea53755783&quot;,&quot;issue&quot;:&quot;3&quot;,&quot;issued&quot;:{&quot;date-parts&quot;:[[&quot;2019&quot;]]},&quot;page&quot;:&quot;1-16&quot;,&quot;title&quot;:&quot;Accuracy of consumer wearable heart rate measurement during an ecologically valid 24-hour period: Intraindividual validation study&quot;,&quot;type&quot;:&quot;article-journal&quot;,&quot;volume&quot;:&quot;7&quot;,&quot;container-title-short&quot;:&quot;JMIR Mhealth Uhealth&quot;},&quot;uris&quot;:[&quot;http://www.mendeley.com/documents/?uuid=a6d57dcb-bc1c-48cb-ac99-79db0cda23e7&quot;],&quot;isTemporary&quot;:false,&quot;legacyDesktopId&quot;:&quot;a6d57dcb-bc1c-48cb-ac99-79db0cda23e7&quot;},{&quot;id&quot;:&quot;9ba9160d-1564-5cf5-a0d0-0f3a62ce22cc&quot;,&quot;itemData&quot;:{&quot;DOI&quot;:&quot;10.3390/s18082619&quot;,&quot;ISSN&quot;:&quot;1424-8220&quot;,&quot;PMID&quot;:&quot;30103376&quot;,&quot;abstract&quot;:&quot;Heart rate variability (HRV) analysis is a noninvasive tool widely used to assess autonomic nervous system state. The market for wearable devices that measure the heart rate has grown exponentially, as well as their potential use for healthcare and wellbeing applications. Still, there is a lack of validation of these devices. In particular, this work aims to validate the Apple Watch in terms of HRV derived from the RR interval series provided by the device, both in temporal (HRM (mean heart rate), SDNN, RMSSD and pNN50) and frequency (low and high frequency powers, LF and HF) domain. For this purpose, a database of 20 healthy volunteers subjected to relax and a mild cognitive stress was used. First, RR interval series provided by Apple Watch were validated using as reference the RR interval series provided by a Polar H7 using Bland-Altman plots and reliability and agreement coefficients. Then, HRV parameters derived from both RR interval series were compared and their ability to identify autonomic nervous system (ANS) response to mild cognitive stress was studied. Apple Watch measurements presented very good reliability and agreement (&gt;0.9). RR interval series provided by Apple Watch contain gaps due to missing RR interval values (on average, 5 gaps per recording, lasting 6.5 s per gap). Temporal HRV indices were not significantly affected by the gaps. However, they produced a significant decrease in the LF and HF power. Despite these differences, HRV indices derived from the Apple Watch RR interval series were able to reflect changes induced by a mild mental stress, showing a significant decrease of HF power as well as RMSSD in stress with respect to relax, suggesting the potential use of HRV measurements derived from Apple Watch for stress monitoring.&quot;,&quot;author&quot;:[{&quot;dropping-particle&quot;:&quot;&quot;,&quot;family&quot;:&quot;Hernando&quot;,&quot;given&quot;:&quot;David&quot;,&quot;non-dropping-particle&quot;:&quot;&quot;,&quot;parse-names&quot;:false,&quot;suffix&quot;:&quot;&quot;},{&quot;dropping-particle&quot;:&quot;&quot;,&quot;family&quot;:&quot;Roca&quot;,&quot;given&quot;:&quot;Surya&quot;,&quot;non-dropping-particle&quot;:&quot;&quot;,&quot;parse-names&quot;:false,&quot;suffix&quot;:&quot;&quot;},{&quot;dropping-particle&quot;:&quot;&quot;,&quot;family&quot;:&quot;Sancho&quot;,&quot;given&quot;:&quot;Jorge&quot;,&quot;non-dropping-particle&quot;:&quot;&quot;,&quot;parse-names&quot;:false,&quot;suffix&quot;:&quot;&quot;},{&quot;dropping-particle&quot;:&quot;&quot;,&quot;family&quot;:&quot;Alesanco&quot;,&quot;given&quot;:&quot;Álvaro&quot;,&quot;non-dropping-particle&quot;:&quot;&quot;,&quot;parse-names&quot;:false,&quot;suffix&quot;:&quot;&quot;},{&quot;dropping-particle&quot;:&quot;&quot;,&quot;family&quot;:&quot;Bailón&quot;,&quot;given&quot;:&quot;Raquel&quot;,&quot;non-dropping-particle&quot;:&quot;&quot;,&quot;parse-names&quot;:false,&quot;suffix&quot;:&quot;&quot;}],&quot;container-title&quot;:&quot;Sensors&quot;,&quot;id&quot;:&quot;9ba9160d-1564-5cf5-a0d0-0f3a62ce22cc&quot;,&quot;issue&quot;:&quot;8&quot;,&quot;issued&quot;:{&quot;date-parts&quot;:[[&quot;2018&quot;,&quot;8&quot;,&quot;10&quot;]]},&quot;page&quot;:&quot;2619&quot;,&quot;title&quot;:&quot;Validation of the Apple Watch for Heart Rate Variability Measurements during Relax and Mental Stress in Healthy Subjects&quot;,&quot;type&quot;:&quot;article-journal&quot;,&quot;volume&quot;:&quot;18&quot;,&quot;container-title-short&quot;:&quot;&quot;},&quot;uris&quot;:[&quot;http://www.mendeley.com/documents/?uuid=e12c7efc-e620-4f49-a5d4-ea6d568c42ef&quot;],&quot;isTemporary&quot;:false,&quot;legacyDesktopId&quot;:&quot;e12c7efc-e620-4f49-a5d4-ea6d568c42ef&quot;},{&quot;id&quot;:&quot;4c7a56c2-00e5-527a-b891-ea3f9165e9bf&quot;,&quot;itemData&quot;:{&quot;DOI&quot;:&quot;10.2196/18694&quot;,&quot;ISSN&quot;:&quot;22915222&quot;,&quot;PMID&quot;:&quot;32897239&quot;,&quot;abstract&quot;:&quot;Background: Consumer-wearable activity trackers are small electronic devices that record fitness and health-related measures. Objective: The purpose of this systematic review was to examine the validity and reliability of commercial wearables in measuring step count, heart rate, and energy expenditure. Methods: We identified devices to be included in the review. Database searches were conducted in PubMed, Embase, and SPORTDiscus, and only articles published in the English language up to May 2019 were considered. Studies were excluded if they did not identify the device used and if they did not examine the validity or reliability of the device. Studies involving the general population and all special populations were included. We operationalized validity as criterion validity (as compared with other measures) and construct validity (degree to which the device is measuring what it claims). Reliability measures focused on intradevice and interdevice reliability. Results: We included 158 publications examining nine different commercial wearable device brands. Fitbit was by far the most studied brand. In laboratory-based settings, Fitbit, Apple Watch, and Samsung appeared to measure steps accurately. Heart rate measurement was more variable, with Apple Watch and Garmin being the most accurate and Fitbit tending toward underestimation. For energy expenditure, no brand was accurate. We also examined validity between devices within a specific brand. Conclusions: Commercial wearable devices are accurate for measuring steps and heart rate in laboratory-based settings, but this varies by the manufacturer and device type. Devices are constantly being upgraded and redesigned to new models, suggesting the need for more current reviews and research.&quot;,&quot;author&quot;:[{&quot;dropping-particle&quot;:&quot;&quot;,&quot;family&quot;:&quot;Fuller&quot;,&quot;given&quot;:&quot;Daniel&quot;,&quot;non-dropping-particle&quot;:&quot;&quot;,&quot;parse-names&quot;:false,&quot;suffix&quot;:&quot;&quot;},{&quot;dropping-particle&quot;:&quot;&quot;,&quot;family&quot;:&quot;Colwell&quot;,&quot;given&quot;:&quot;Emily&quot;,&quot;non-dropping-particle&quot;:&quot;&quot;,&quot;parse-names&quot;:false,&quot;suffix&quot;:&quot;&quot;},{&quot;dropping-particle&quot;:&quot;&quot;,&quot;family&quot;:&quot;Low&quot;,&quot;given&quot;:&quot;Jonathan&quot;,&quot;non-dropping-particle&quot;:&quot;&quot;,&quot;parse-names&quot;:false,&quot;suffix&quot;:&quot;&quot;},{&quot;dropping-particle&quot;:&quot;&quot;,&quot;family&quot;:&quot;Orychock&quot;,&quot;given&quot;:&quot;Kassia&quot;,&quot;non-dropping-particle&quot;:&quot;&quot;,&quot;parse-names&quot;:false,&quot;suffix&quot;:&quot;&quot;},{&quot;dropping-particle&quot;:&quot;&quot;,&quot;family&quot;:&quot;Ann Tobin&quot;,&quot;given&quot;:&quot;Melissa&quot;,&quot;non-dropping-particle&quot;:&quot;&quot;,&quot;parse-names&quot;:false,&quot;suffix&quot;:&quot;&quot;},{&quot;dropping-particle&quot;:&quot;&quot;,&quot;family&quot;:&quot;Simango&quot;,&quot;given&quot;:&quot;Bo&quot;,&quot;non-dropping-particle&quot;:&quot;&quot;,&quot;parse-names&quot;:false,&quot;suffix&quot;:&quot;&quot;},{&quot;dropping-particle&quot;:&quot;&quot;,&quot;family&quot;:&quot;Buote&quot;,&quot;given&quot;:&quot;Richard&quot;,&quot;non-dropping-particle&quot;:&quot;&quot;,&quot;parse-names&quot;:false,&quot;suffix&quot;:&quot;&quot;},{&quot;dropping-particle&quot;:&quot;&quot;,&quot;family&quot;:&quot;Heerden&quot;,&quot;given&quot;:&quot;Desiree&quot;,&quot;non-dropping-particle&quot;:&quot;van&quot;,&quot;parse-names&quot;:false,&quot;suffix&quot;:&quot;&quot;},{&quot;dropping-particle&quot;:&quot;&quot;,&quot;family&quot;:&quot;Luan&quot;,&quot;given&quot;:&quot;Hui&quot;,&quot;non-dropping-particle&quot;:&quot;&quot;,&quot;parse-names&quot;:false,&quot;suffix&quot;:&quot;&quot;},{&quot;dropping-particle&quot;:&quot;&quot;,&quot;family&quot;:&quot;Cullen&quot;,&quot;given&quot;:&quot;Kimberley&quot;,&quot;non-dropping-particle&quot;:&quot;&quot;,&quot;parse-names&quot;:false,&quot;suffix&quot;:&quot;&quot;},{&quot;dropping-particle&quot;:&quot;&quot;,&quot;family&quot;:&quot;Slade&quot;,&quot;given&quot;:&quot;Logan&quot;,&quot;non-dropping-particle&quot;:&quot;&quot;,&quot;parse-names&quot;:false,&quot;suffix&quot;:&quot;&quot;},{&quot;dropping-particle&quot;:&quot;&quot;,&quot;family&quot;:&quot;Taylor&quot;,&quot;given&quot;:&quot;Nathan G.A.&quot;,&quot;non-dropping-particle&quot;:&quot;&quot;,&quot;parse-names&quot;:false,&quot;suffix&quot;:&quot;&quot;}],&quot;container-title&quot;:&quot;JMIR mHealth and uHealth&quot;,&quot;id&quot;:&quot;4c7a56c2-00e5-527a-b891-ea3f9165e9bf&quot;,&quot;issue&quot;:&quot;9&quot;,&quot;issued&quot;:{&quot;date-parts&quot;:[[&quot;2020&quot;]]},&quot;page&quot;:&quot;1-23&quot;,&quot;title&quot;:&quot;Reliability and Validity of Commercially Available Wearable Devices for Measuring Steps, Energy Expenditure, and Heart Rate: Systematic Review&quot;,&quot;type&quot;:&quot;article-journal&quot;,&quot;volume&quot;:&quot;8&quot;,&quot;container-title-short&quot;:&quot;JMIR Mhealth Uhealth&quot;},&quot;uris&quot;:[&quot;http://www.mendeley.com/documents/?uuid=11a0f4b8-a3d3-4953-81ff-1ddd3ff1032c&quot;],&quot;isTemporary&quot;:false,&quot;legacyDesktopId&quot;:&quot;11a0f4b8-a3d3-4953-81ff-1ddd3ff1032c&quot;}]},{&quot;citationID&quot;:&quot;MENDELEY_CITATION_244d645a-ece3-4e91-9ea8-782a6cc09fc6&quot;,&quot;properties&quot;:{&quot;noteIndex&quot;:0},&quot;isEdited&quot;:false,&quot;manualOverride&quot;:{&quot;citeprocText&quot;:&quot;[314–316,330]&quot;,&quot;isManuallyOverridden&quot;:false,&quot;manualOverrideText&quot;:&quot;&quot;},&quot;citationTag&quot;:&quot;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&quot;,&quot;citationItems&quot;:[{&quot;id&quot;:&quot;bc647d82-d445-5f6a-ac9d-507a39ebc847&quot;,&quot;itemData&quot;:{&quot;DOI&quot;:&quot;10.2196/27487&quot;,&quot;ISSN&quot;:&quot;14388871&quot;,&quot;PMID&quot;:&quot;35040799&quot;,&quot;abstract&quot;:&quot;Background: Photoplethysmography is a noninvasive and low-cost method to remotely and continuously track vital signs. The Oura Ring is a compact photoplethysmography-based smart ring, which has recently drawn attention to remote health monitoring and wellness applications. The ring is used to acquire nocturnal heart rate (HR) and HR variability (HRV) parameters ubiquitously. However, these parameters are highly susceptible to motion artifacts and environmental noise. Therefore, a validity assessment of the parameters is required in everyday settings. Objective: This study aims to evaluate the accuracy of HR and time domain and frequency domain HRV parameters collected by the Oura Ring against a medical grade chest electrocardiogram monitor. Methods: We conducted overnight home-based monitoring using an Oura Ring and a Shimmer3 electrocardiogram device. The nocturnal HR and HRV parameters of 35 healthy individuals were collected and assessed. We evaluated the parameters within 2 tests, that is, values collected from 5-minute recordings (ie, short-term HRV analysis) and the average values per night sleep. A linear regression method, the Pearson correlation coefficient, and the Bland–Altman plot were used to compare the measurements of the 2 devices. Results: Our findings showed low mean biases of the HR and HRV parameters collected by the Oura Ring in both the 5-minute and average-per-night tests. In the 5-minute test, the error variances of the parameters were different. The parameters provided by the Oura Ring dashboard (ie, HR and root mean square of successive differences [RMSSD]) showed relatively low error variance compared with the HRV parameters extracted from the normal interbeat interval signals. The Pearson correlation coefficient tests (P&lt;.001) indicated that HR, RMSSD, average of normal heart beat intervals (AVNN), and percentage of successive normal beat-to-beat intervals that differ by more than 50 ms (pNN50) had high positive correlations with the baseline values; SD of normal beat-to-beat intervals (SDNN) and high frequency (HF) had moderate positive correlations, and low frequency (LF) and LF:HF ratio had low positive correlations. The HR, RMSSD, AVNN, and pNN50 had narrow 95% CIs; however, SDNN, LF, HF, and LF:HF ratio had relatively wider 95% CIs. In contrast, the average-per-night test showed that the HR, RMSSD, SDNN, AVNN, pNN50, LF, and HF had high positive relationships (P&lt;.001), and the LF:HF ratio had a moderate positive relation…&quot;,&quot;author&quot;:[{&quot;dropping-particle&quot;:&quot;&quot;,&quot;family&quot;:&quot;Cao&quot;,&quot;given&quot;:&quot;Rui&quot;,&quot;non-dropping-particle&quot;:&quot;&quot;,&quot;parse-names&quot;:false,&quot;suffix&quot;:&quot;&quot;},{&quot;dropping-particle&quot;:&quot;&quot;,&quot;family&quot;:&quot;Azimi&quot;,&quot;given&quot;:&quot;Iman&quot;,&quot;non-dropping-particle&quot;:&quot;&quot;,&quot;parse-names&quot;:false,&quot;suffix&quot;:&quot;&quot;},{&quot;dropping-particle&quot;:&quot;&quot;,&quot;family&quot;:&quot;Sarhaddi&quot;,&quot;given&quot;:&quot;Fatemeh&quot;,&quot;non-dropping-particle&quot;:&quot;&quot;,&quot;parse-names&quot;:false,&quot;suffix&quot;:&quot;&quot;},{&quot;dropping-particle&quot;:&quot;&quot;,&quot;family&quot;:&quot;Niela-Vilen&quot;,&quot;given&quot;:&quot;Hannakaisa&quot;,&quot;non-dropping-particle&quot;:&quot;&quot;,&quot;parse-names&quot;:false,&quot;suffix&quot;:&quot;&quot;},{&quot;dropping-particle&quot;:&quot;&quot;,&quot;family&quot;:&quot;Axelin&quot;,&quot;given&quot;:&quot;Anna&quot;,&quot;non-dropping-particle&quot;:&quot;&quot;,&quot;parse-names&quot;:false,&quot;suffix&quot;:&quot;&quot;},{&quot;dropping-particle&quot;:&quot;&quot;,&quot;family&quot;:&quot;Liljeberg&quot;,&quot;given&quot;:&quot;Pasi&quot;,&quot;non-dropping-particle&quot;:&quot;&quot;,&quot;parse-names&quot;:false,&quot;suffix&quot;:&quot;&quot;},{&quot;dropping-particle&quot;:&quot;&quot;,&quot;family&quot;:&quot;Rahmani&quot;,&quot;given&quot;:&quot;Amir M.&quot;,&quot;non-dropping-particle&quot;:&quot;&quot;,&quot;parse-names&quot;:false,&quot;suffix&quot;:&quot;&quot;}],&quot;container-title&quot;:&quot;Journal of Medical Internet Research&quot;,&quot;id&quot;:&quot;bc647d82-d445-5f6a-ac9d-507a39ebc847&quot;,&quot;issue&quot;:&quot;1&quot;,&quot;issued&quot;:{&quot;date-parts&quot;:[[&quot;2022&quot;]]},&quot;page&quot;:&quot;1-16&quot;,&quot;title&quot;:&quot;Accuracy Assessment of Oura Ring Nocturnal Heart Rate and Heart Rate Variability in Comparison With Electrocardiography in Time and Frequency Domains: Comprehensive Analysis&quot;,&quot;type&quot;:&quot;article-journal&quot;,&quot;volume&quot;:&quot;24&quot;,&quot;container-title-short&quot;:&quot;J. Med. Internet Res.&quot;},&quot;uris&quot;:[&quot;http://www.mendeley.com/documents/?uuid=05fff566-8dd1-436d-86d3-79d283d7ff81&quot;],&quot;isTemporary&quot;:false,&quot;legacyDesktopId&quot;:&quot;05fff566-8dd1-436d-86d3-79d283d7ff81&quot;},{&quot;id&quot;:&quot;460e15d4-2c37-5424-8a03-3b3b71473fb0&quot;,&quot;itemData&quot;:{&quot;DOI&quot;:&quot;10.14814/phy2.70527&quot;,&quot;ISSN&quot;:&quot;2051817X&quot;,&quot;PMID&quot;:&quot;40834291&quot;,&quot;abstract&quot;:&quot;Modern wearable devices report several heart rate-based nocturnal health metrics, including resting heart rate (RHR) and heart rate variability (HRV). The purpose of this study was to assess the validity of nocturnal RHR and HRV from five wearable devices (Garmin Fenix 6, Oura Generation 3, Oura Generation 4, Polar Grit X Pro, &amp; Whoop 4.0) against an electrocardiogram (ECG) reference. Thirteen healthy adults (6 females) wore an ECG reference and multiple wearables simultaneously during sleep, totaling 536 nights. Interdevice accuracy varied significantly (p &lt; 0.05). For RHR, Oura Gen 3 (Lin's Concordance [CCC] = 0.97, mean absolute percentage error [MAPE] = 1.67 ± 1.54%) and Gen 4 (CCC = 0.98, MAPE = 1.94 ± 2.51%) demonstrated the highest accuracy, outperforming Polar's poor (CCC = 0.86, MAPE = 2.71 ± 2.75%) and WHOOP's moderate agreement (CCC = 0.91, MAPE = 3.00 ± 2.15%). Garmin was excluded from RHR analyses due to methodological inconsistencies. For HRV, Oura devices provided the highest accuracy; Oura Gen 4 (CCC = 0.99, MAPE = 5.96 ± 5.12%), Oura Gen 3 (CCC = 0.97, MAPE = 7.15 ± 5.48%). WHOOP showed moderate accuracy (CCC = 0.94, MAPE = 8.17 ± 10.49%), followed by poor agreement from both Garmin (CCC = 0.87, MAPE = 10.52 ± 8.63%) and Polar (CCC = 0.82, MAPE = 16.32 ± 24.39%). Oura devices showed the highest agreement for RHR and HRV, and WHOOP showed acceptable agreement, whereas Garmin Fenix and Polar demonstrated lower concordance, highlighting the importance of continuous validation and providing valuable benchmarks for clinicians, researchers, and consumers.&quot;,&quot;author&quot;:[{&quot;dropping-particle&quot;:&quot;&quot;,&quot;family&quot;:&quot;Dial&quot;,&quot;given&quot;:&quot;Michael B.&quot;,&quot;non-dropping-particle&quot;:&quot;&quot;,&quot;parse-names&quot;:false,&quot;suffix&quot;:&quot;&quot;},{&quot;dropping-particle&quot;:&quot;&quot;,&quot;family&quot;:&quot;Hollander&quot;,&quot;given&quot;:&quot;Margaret E.&quot;,&quot;non-dropping-particle&quot;:&quot;&quot;,&quot;parse-names&quot;:false,&quot;suffix&quot;:&quot;&quot;},{&quot;dropping-particle&quot;:&quot;&quot;,&quot;family&quot;:&quot;Vatne&quot;,&quot;given&quot;:&quot;Emaly A.&quot;,&quot;non-dropping-particle&quot;:&quot;&quot;,&quot;parse-names&quot;:false,&quot;suffix&quot;:&quot;&quot;},{&quot;dropping-particle&quot;:&quot;&quot;,&quot;family&quot;:&quot;Emerson&quot;,&quot;given&quot;:&quot;Angela M.&quot;,&quot;non-dropping-particle&quot;:&quot;&quot;,&quot;parse-names&quot;:false,&quot;suffix&quot;:&quot;&quot;},{&quot;dropping-particle&quot;:&quot;&quot;,&quot;family&quot;:&quot;Edwards&quot;,&quot;given&quot;:&quot;Nathan A.&quot;,&quot;non-dropping-particle&quot;:&quot;&quot;,&quot;parse-names&quot;:false,&quot;suffix&quot;:&quot;&quot;},{&quot;dropping-particle&quot;:&quot;&quot;,&quot;family&quot;:&quot;Hagen&quot;,&quot;given&quot;:&quot;Joshua A.&quot;,&quot;non-dropping-particle&quot;:&quot;&quot;,&quot;parse-names&quot;:false,&quot;suffix&quot;:&quot;&quot;}],&quot;container-title&quot;:&quot;Physiological Reports&quot;,&quot;id&quot;:&quot;460e15d4-2c37-5424-8a03-3b3b71473fb0&quot;,&quot;issue&quot;:&quot;16&quot;,&quot;issued&quot;:{&quot;date-parts&quot;:[[&quot;2025&quot;]]},&quot;page&quot;:&quot;1-13&quot;,&quot;title&quot;:&quot;Validation of nocturnal resting heart rate and heart rate variability in consumer wearables&quot;,&quot;type&quot;:&quot;article-journal&quot;,&quot;volume&quot;:&quot;13&quot;,&quot;container-title-short&quot;:&quot;Physiol. Rep.&quot;},&quot;uris&quot;:[&quot;http://www.mendeley.com/documents/?uuid=30bc19fc-d95a-400c-8d1e-27775c3dc70c&quot;],&quot;isTemporary&quot;:false,&quot;legacyDesktopId&quot;:&quot;30bc19fc-d95a-400c-8d1e-27775c3dc70c&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id&quot;:&quot;2b8eea33-bfa3-59b5-a4ca-79b4ed446239&quot;,&quot;itemData&quot;:{&quot;DOI&quot;:&quot;10.3390/app142310778&quot;,&quot;ISSN&quot;:&quot;20763417&quot;,&quot;abstract&quot;:&quot;Smart Rings (SRs) are user-friendly devices capable of measuring various health parameters, making them suitable for remote continuous monitoring in diverse clinical settings. Since the available evidence on the accuracy of SRs recording health data is highly heterogeneous, this systematic review, conducted in accordance with PRISMA guidelines, searched for articles evaluating the efficacy of SRs for sleep, respiratory, and cardiovascular monitoring across the PubMed, SCOPUS, and ProQuest databases. Meta-analyses were conducted for health outcomes evaluated in at least three studies with a comparable study population and design, and the same comparison device. Nineteen articles were included: eleven analyses focused on sleep quality, eight on cardiovascular parameters, and one on oxygen saturation. Studies analysing cardiovascular outcomes found a good accuracy of SRs in measuring heart rate (HR) with a mean bias of −0.4 bpms (limits of agreement (LoAs): −2.7; 1.8). The meta-analyses showed variability in SRs’ efficacy in monitoring total sleep time (mean bias: −21.3 min, LoAs: −69.9, 27.4) and REM duration (mean bias: −18.2 min, LoAs: −33.3, −3.1). The results highlighted the promising potential of SRs for HR monitoring. Further research is needed to clarify the reliability of SRs in monitoring sleep quality and their use directed to a broader range of health parameters. With further development, SRs could become valuable tools for healthcare professionals.&quot;,&quot;author&quot;:[{&quot;dropping-particle&quot;:&quot;&quot;,&quot;family&quot;:&quot;Fiore&quot;,&quot;given&quot;:&quot;Matteo&quot;,&quot;non-dropping-particle&quot;:&quot;&quot;,&quot;parse-names&quot;:false,&quot;suffix&quot;:&quot;&quot;},{&quot;dropping-particle&quot;:&quot;&quot;,&quot;family&quot;:&quot;Bianconi&quot;,&quot;given&quot;:&quot;Alessandro&quot;,&quot;non-dropping-particle&quot;:&quot;&quot;,&quot;parse-names&quot;:false,&quot;suffix&quot;:&quot;&quot;},{&quot;dropping-particle&quot;:&quot;&quot;,&quot;family&quot;:&quot;Sicari&quot;,&quot;given&quot;:&quot;Gaia&quot;,&quot;non-dropping-particle&quot;:&quot;&quot;,&quot;parse-names&quot;:false,&quot;suffix&quot;:&quot;&quot;},{&quot;dropping-particle&quot;:&quot;&quot;,&quot;family&quot;:&quot;Conni&quot;,&quot;given&quot;:&quot;Alice&quot;,&quot;non-dropping-particle&quot;:&quot;&quot;,&quot;parse-names&quot;:false,&quot;suffix&quot;:&quot;&quot;},{&quot;dropping-particle&quot;:&quot;&quot;,&quot;family&quot;:&quot;Lenzi&quot;,&quot;given&quot;:&quot;Jacopo&quot;,&quot;non-dropping-particle&quot;:&quot;&quot;,&quot;parse-names&quot;:false,&quot;suffix&quot;:&quot;&quot;},{&quot;dropping-particle&quot;:&quot;&quot;,&quot;family&quot;:&quot;Tomaiuolo&quot;,&quot;given&quot;:&quot;Giulia&quot;,&quot;non-dropping-particle&quot;:&quot;&quot;,&quot;parse-names&quot;:false,&quot;suffix&quot;:&quot;&quot;},{&quot;dropping-particle&quot;:&quot;&quot;,&quot;family&quot;:&quot;Zito&quot;,&quot;given&quot;:&quot;Flavia&quot;,&quot;non-dropping-particle&quot;:&quot;&quot;,&quot;parse-names&quot;:false,&quot;suffix&quot;:&quot;&quot;},{&quot;dropping-particle&quot;:&quot;&quot;,&quot;family&quot;:&quot;Golinelli&quot;,&quot;given&quot;:&quot;Davide&quot;,&quot;non-dropping-particle&quot;:&quot;&quot;,&quot;parse-names&quot;:false,&quot;suffix&quot;:&quot;&quot;},{&quot;dropping-particle&quot;:&quot;&quot;,&quot;family&quot;:&quot;Sanmarchi&quot;,&quot;given&quot;:&quot;Francesco&quot;,&quot;non-dropping-particle&quot;:&quot;&quot;,&quot;parse-names&quot;:false,&quot;suffix&quot;:&quot;&quot;}],&quot;container-title&quot;:&quot;Applied Sciences (Switzerland)&quot;,&quot;id&quot;:&quot;2b8eea33-bfa3-59b5-a4ca-79b4ed446239&quot;,&quot;issue&quot;:&quot;23&quot;,&quot;issued&quot;:{&quot;date-parts&quot;:[[&quot;2024&quot;]]},&quot;page&quot;:&quot;1-18&quot;,&quot;title&quot;:&quot;The Use of Smart Rings in Health Monitoring—A Meta-Analysis&quot;,&quot;type&quot;:&quot;article-journal&quot;,&quot;volume&quot;:&quot;14&quot;,&quot;container-title-short&quot;:&quot;&quot;},&quot;uris&quot;:[&quot;http://www.mendeley.com/documents/?uuid=9ef228da-2c8c-498f-a3b9-9871c046ca31&quot;],&quot;isTemporary&quot;:false,&quot;legacyDesktopId&quot;:&quot;9ef228da-2c8c-498f-a3b9-9871c046ca31&quot;}]},{&quot;citationID&quot;:&quot;MENDELEY_CITATION_c8e6d648-2572-4f7a-9058-40b189c26a20&quot;,&quot;properties&quot;:{&quot;noteIndex&quot;:0},&quot;isEdited&quot;:false,&quot;manualOverride&quot;:{&quot;citeprocText&quot;:&quot;[319,320,331]&quot;,&quot;isManuallyOverridden&quot;:false,&quot;manualOverrideText&quot;:&quot;&quot;},&quot;citationTag&quot;:&quot;MENDELEY_CITATION_v3_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&quot;,&quot;citationItems&quot;:[{&quot;id&quot;:&quot;289f380f-a23a-53a5-b851-2d890071d76b&quot;,&quot;itemData&quot;:{&quot;DOI&quot;:&quot;10.1007/s10286-003-0085-7&quot;,&quot;ISSN&quot;:&quot;09599851&quot;,&quot;PMID&quot;:&quot;12720094&quot;,&quot;abstract&quot;:&quot;Background: The widespread use of affordable devices with sufficient precision for measurement of heart rate variability (HRV) might lead to early detection of abnormalities in a large number of high-risk patients and athletes. The purpose of this study was to determine the limits of agreement of two devices for measuring HRV parameters differing in price and assumed precision. Subjects and methods: 36 healthy subjects (22 men and 14 women) with a mean age of 27.4 (SD 11.1) years were included. The two devices used for comparison were PowerLab® with Chart® software as the reference golden standard, and Polar® Transmitter®/Advantage® with Precision Performance® software, respectively. Measurements included the following heart rate variability parameters: heart rate, range of R-R-interval duration, SDNN, rMSSD, total Power, VLF power, LF power, and HF power. Measurements were taken during metronomic respiration over a total period of 3 minutes. Statistical analysis was performed according to Bland and Altman and by means of scatterplots and Spearman correlation coefficients. Results Good agreement was found for heart rate (95% CI of limits of agreement: -0.7-0.6 bpm; r = 0.999), range of duration of R-R-intervals (95% CI: -18.9-17.0 ms; r = 0.997), rMSSD (95% CI: -1.5-2.5 ms; r = 0.999), and SDNN (95% CI: -3.0-3.1 ms; r = 0.997). Correlation of measurements was high for the variables total Power, VLF power, LF power, and HF power. Analysis of method agreement for frequency domain variables was statistically not feasible. Conclusion: The level of agreement for the analyzed time domain variables between the reference golden standard and the inexpensive device is sufficient to permit initial screening by family doctors, and self-administration by high-risk patients and athletes.&quot;,&quot;author&quot;:[{&quot;dropping-particle&quot;:&quot;&quot;,&quot;family&quot;:&quot;Radespiel-Tröger&quot;,&quot;given&quot;:&quot;Martin&quot;,&quot;non-dropping-particle&quot;:&quot;&quot;,&quot;parse-names&quot;:false,&quot;suffix&quot;:&quot;&quot;},{&quot;dropping-particle&quot;:&quot;&quot;,&quot;family&quot;:&quot;Rauh&quot;,&quot;given&quot;:&quot;Robert&quot;,&quot;non-dropping-particle&quot;:&quot;&quot;,&quot;parse-names&quot;:false,&quot;suffix&quot;:&quot;&quot;},{&quot;dropping-particle&quot;:&quot;&quot;,&quot;family&quot;:&quot;Mahlke&quot;,&quot;given&quot;:&quot;Christine&quot;,&quot;non-dropping-particle&quot;:&quot;&quot;,&quot;parse-names&quot;:false,&quot;suffix&quot;:&quot;&quot;},{&quot;dropping-particle&quot;:&quot;&quot;,&quot;family&quot;:&quot;Gottschalk&quot;,&quot;given&quot;:&quot;Tim&quot;,&quot;non-dropping-particle&quot;:&quot;&quot;,&quot;parse-names&quot;:false,&quot;suffix&quot;:&quot;&quot;},{&quot;dropping-particle&quot;:&quot;&quot;,&quot;family&quot;:&quot;Mück-Weymann&quot;,&quot;given&quot;:&quot;Michael&quot;,&quot;non-dropping-particle&quot;:&quot;&quot;,&quot;parse-names&quot;:false,&quot;suffix&quot;:&quot;&quot;}],&quot;container-title&quot;:&quot;Clinical Autonomic Research&quot;,&quot;id&quot;:&quot;289f380f-a23a-53a5-b851-2d890071d76b&quot;,&quot;issue&quot;:&quot;2&quot;,&quot;issued&quot;:{&quot;date-parts&quot;:[[&quot;2003&quot;]]},&quot;page&quot;:&quot;99-102&quot;,&quot;title&quot;:&quot;Agreement of two different methods for measurement of heart rate variability&quot;,&quot;type&quot;:&quot;article-journal&quot;,&quot;volume&quot;:&quot;13&quot;,&quot;container-title-short&quot;:&quot;&quot;},&quot;uris&quot;:[&quot;http://www.mendeley.com/documents/?uuid=83606dc8-683a-4c5e-968c-8f6510fdebe1&quot;],&quot;isTemporary&quot;:false,&quot;legacyDesktopId&quot;:&quot;83606dc8-683a-4c5e-968c-8f6510fdebe1&quot;},{&quot;id&quot;:&quot;03232e87-5545-563f-85f1-f5f8b37207b9&quot;,&quot;itemData&quot;:{&quot;DOI&quot;:&quot;10.1249/MSS.0b013e318184a4b1&quot;,&quot;ISSN&quot;:&quot;01959131&quot;,&quot;PMID&quot;:&quot;19092682&quot;,&quot;abstract&quot;:&quot;Purpose: To assess the validity and the reliability of short-term resting heart-rate variability (HRV) measures obtained using the Polar S810 heart-rate monitor and accompanying software. Methods: Measures of HRV were obtained from 5-min R to R wave (RR) interval data for 19 males and 14 females during 10 min of quiet rest on three separate occasions at 1-wk intervals using the Polar S8.10. Criterion measures of HRV were obtained simultaneously using the CardioPerfect (CP; Medical Graphics Corporation, St Paul, MN) 12-lead ECG module. Measures of validity of the Polar S810 were estimated by regression analysis, and measures of reliability of both. devices were estimated by analysis of change scores. Measures of the SD of normal-to-normal intervals (SDNN), the root mean square of successive differences (RMSSD), and the low-frequency (LF) and the high-frequency (HF) spectral power and their ratio (LF/HF) were analyzed after log transformation, whereas mean RR and LF and HF in normalized units were analyzed without transformation. Results: There were marginal differences between the Polar and the CP mean measures of HRV, and the uncertainty in the differences was small. The Polar S810 demonstrated high correlations (0.85-0.99) with CP for all measures of HRV indicating good to near-perfect validity. Except for the low- and the high-frequency normalized units, Polar S810 did not add any substantial technical error to the within-subject variability in the repeated measurements of HRV. Conclusion: HRV measures obtained with the Polar S810 and accompanying software have no appreciable bias or additional random error in comparison with criterion measures, but the measures are inherently unreliable over a 1-wk interval. Reliability of HRV from longer (e.g., 10 min) and/or consecutive 5-min RR recordings needs to be investigated with the Polar and criterion instruments. Copyright © 2008 by the American College of Sports Medicine.&quot;,&quot;author&quot;:[{&quot;dropping-particle&quot;:&quot;&quot;,&quot;family&quot;:&quot;Nunan&quot;,&quot;given&quot;:&quot;David&quot;,&quot;non-dropping-particle&quot;:&quot;&quot;,&quot;parse-names&quot;:false,&quot;suffix&quot;:&quot;&quot;},{&quot;dropping-particle&quot;:&quot;&quot;,&quot;family&quot;:&quot;Gay&quot;,&quot;given&quot;:&quot;Donovan&quot;,&quot;non-dropping-particle&quot;:&quot;&quot;,&quot;parse-names&quot;:false,&quot;suffix&quot;:&quot;&quot;},{&quot;dropping-particle&quot;:&quot;&quot;,&quot;family&quot;:&quot;Jakovljevic&quot;,&quot;given&quot;:&quot;Djordje G.&quot;,&quot;non-dropping-particle&quot;:&quot;&quot;,&quot;parse-names&quot;:false,&quot;suffix&quot;:&quot;&quot;},{&quot;dropping-particle&quot;:&quot;&quot;,&quot;family&quot;:&quot;Hodges&quot;,&quot;given&quot;:&quot;Lynette D.&quot;,&quot;non-dropping-particle&quot;:&quot;&quot;,&quot;parse-names&quot;:false,&quot;suffix&quot;:&quot;&quot;},{&quot;dropping-particle&quot;:&quot;&quot;,&quot;family&quot;:&quot;Sandercock&quot;,&quot;given&quot;:&quot;Gavin R.H.&quot;,&quot;non-dropping-particle&quot;:&quot;&quot;,&quot;parse-names&quot;:false,&quot;suffix&quot;:&quot;&quot;},{&quot;dropping-particle&quot;:&quot;&quot;,&quot;family&quot;:&quot;Brodie&quot;,&quot;given&quot;:&quot;David A.&quot;,&quot;non-dropping-particle&quot;:&quot;&quot;,&quot;parse-names&quot;:false,&quot;suffix&quot;:&quot;&quot;}],&quot;container-title&quot;:&quot;Medicine and Science in Sports and Exercise&quot;,&quot;id&quot;:&quot;03232e87-5545-563f-85f1-f5f8b37207b9&quot;,&quot;issue&quot;:&quot;1&quot;,&quot;issued&quot;:{&quot;date-parts&quot;:[[&quot;2009&quot;]]},&quot;page&quot;:&quot;243-250&quot;,&quot;title&quot;:&quot;Validity and reliability of short-term heart-rate variability from the Polar S810&quot;,&quot;type&quot;:&quot;article-journal&quot;,&quot;volume&quot;:&quot;41&quot;,&quot;container-title-short&quot;:&quot;Med. Sci. Sports Exerc.&quot;},&quot;uris&quot;:[&quot;http://www.mendeley.com/documents/?uuid=c6752ceb-114c-4bc2-b41b-1429b101bd8d&quot;],&quot;isTemporary&quot;:false,&quot;legacyDesktopId&quot;:&quot;c6752ceb-114c-4bc2-b41b-1429b101bd8d&quot;},{&quot;id&quot;:&quot;6d1e6420-f655-5548-826f-70535d904a86&quot;,&quot;itemData&quot;:{&quot;DOI&quot;:&quot;10.1007/s00421-011-2079-9&quot;,&quot;ISBN&quot;:&quot;0042101120799&quot;,&quot;ISSN&quot;:&quot;14396319&quot;,&quot;PMID&quot;:&quot;21766225&quot;,&quot;abstract&quot;:&quot;A growing trend among clinical studies is the use of heart rate monitors (HRMs) for assessment of heart rate variability (HRV). These instruments offer a convenient alternative to traditional electrocardiographs (ECGs) for recording and processing of R-R data. Reports on the validity of such systems are, however, conflicting. This study aimed to assess the validity of a commercial HRM on a large study sample, with emphasis on gender and age. Simultaneous recordings of R-R intervals were conducted with the Polar RS800 HRM and a 3-lead ECG on 341 individuals. Data editing was performed with individually designated software for each instrument. Agreement on SDNN, RMSSD, and HF- and LF power was assessed with intraclass correlations (ICCs), standard errors of measurement (SEMs) and Bland and Altman plots. The HRM was not able to identify 18 observations with non-sinus beats. For men, agreement between instruments ranged from good to excellent (ICC ≥ 0.8) on all HRV measures, and SEMs were generally small. For women the results were weaker, with unacceptable agreement between instruments on SDNN. Women over 60 years did not reach a critical ICC value of 0.75 on any of the HRV measures. Bland and Altman plots demonstrated that the RS800 generally overestimated HRV, and that uncertainty increased with higher values. Since the Polar system did not identify errors satisfactorily, or return valid values of HRV for certain groups, it is concluded that, whenever possible, traditional ECGs should be used for both gathering and editing of HRV data. © Springer-Verlag 2011.&quot;,&quot;author&quot;:[{&quot;dropping-particle&quot;:&quot;&quot;,&quot;family&quot;:&quot;Wallén&quot;,&quot;given&quot;:&quot;Martin Benka&quot;,&quot;non-dropping-particle&quot;:&quot;&quot;,&quot;parse-names&quot;:false,&quot;suffix&quot;:&quot;&quot;},{&quot;dropping-particle&quot;:&quot;&quot;,&quot;family&quot;:&quot;Hasson&quot;,&quot;given&quot;:&quot;Dan&quot;,&quot;non-dropping-particle&quot;:&quot;&quot;,&quot;parse-names&quot;:false,&quot;suffix&quot;:&quot;&quot;},{&quot;dropping-particle&quot;:&quot;&quot;,&quot;family&quot;:&quot;Theorell&quot;,&quot;given&quot;:&quot;Töres&quot;,&quot;non-dropping-particle&quot;:&quot;&quot;,&quot;parse-names&quot;:false,&quot;suffix&quot;:&quot;&quot;},{&quot;dropping-particle&quot;:&quot;&quot;,&quot;family&quot;:&quot;Canlon&quot;,&quot;given&quot;:&quot;Barbara&quot;,&quot;non-dropping-particle&quot;:&quot;&quot;,&quot;parse-names&quot;:false,&quot;suffix&quot;:&quot;&quot;},{&quot;dropping-particle&quot;:&quot;&quot;,&quot;family&quot;:&quot;Osika&quot;,&quot;given&quot;:&quot;Walter&quot;,&quot;non-dropping-particle&quot;:&quot;&quot;,&quot;parse-names&quot;:false,&quot;suffix&quot;:&quot;&quot;},{&quot;dropping-particle&quot;:&quot;&quot;,&quot;family&quot;:&quot;Ward&quot;,&quot;given&quot;:&quot;Susan A.&quot;,&quot;non-dropping-particle&quot;:&quot;&quot;,&quot;parse-names&quot;:false,&quot;suffix&quot;:&quot;&quot;}],&quot;container-title&quot;:&quot;European Journal of Applied Physiology&quot;,&quot;id&quot;:&quot;6d1e6420-f655-5548-826f-70535d904a86&quot;,&quot;issue&quot;:&quot;3&quot;,&quot;issued&quot;:{&quot;date-parts&quot;:[[&quot;2012&quot;]]},&quot;page&quot;:&quot;1153-1165&quot;,&quot;title&quot;:&quot;Possibilities and limitations of the polar RS800 in measuring heart rate variability at rest&quot;,&quot;type&quot;:&quot;article-journal&quot;,&quot;volume&quot;:&quot;112&quot;,&quot;container-title-short&quot;:&quot;Eur. J. Appl. Physiol.&quot;},&quot;uris&quot;:[&quot;http://www.mendeley.com/documents/?uuid=6e603cd4-e8ac-462d-bc27-7fbdc242ef25&quot;],&quot;isTemporary&quot;:false,&quot;legacyDesktopId&quot;:&quot;6e603cd4-e8ac-462d-bc27-7fbdc242ef25&quot;}]},{&quot;citationID&quot;:&quot;MENDELEY_CITATION_c899b9bd-cc78-427b-8996-0bee6e240a2f&quot;,&quot;properties&quot;:{&quot;noteIndex&quot;:0},&quot;isEdited&quot;:false,&quot;manualOverride&quot;:{&quot;citeprocText&quot;:&quot;[284,332–335]&quot;,&quot;isManuallyOverridden&quot;:false,&quot;manualOverrideText&quot;:&quot;&quot;},&quot;citationTag&quot;:&quot;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&quot;,&quot;citationItems&quot;:[{&quot;id&quot;:&quot;232cc3a7-c5ea-5fea-96f1-9a0bd9c2ccbf&quot;,&quot;itemData&quot;:{&quot;DOI&quot;:&quot;10.1161/01.cir.81.6.1803&quot;,&quot;ISSN&quot;:&quot;00097322&quot;,&quot;PMID&quot;:&quot;2344676&quot;,&quot;abstract&quot;:&quot;Fourier analysis of heart rate (HR) may be used to characterize overall HR variability as well as low- and high-frequency components attributable to sympathetic and vagal influences, respectively. We analyzed HR spectral characteristics of 12 healthy young (18-35 years) and 10 healthy old (71-94 years) subjects before and during 60° head-up tilt. Total spectral power in the 0.01-0.40-Hz frequency range and low-frequency (0.06-0.10 Hz) and high-frequency (0.15-0.40 Hz) components of the HR power spectrum were significantly lower in old than in young subjects in supine and upright positions. To characterize and compare overall HR variability in young and old subjects, we computed the regression lines relating the log amplitude to the log frequency of the supine HR spectra (1/fx plots). The regression lines for old subjects were lower and steeper (mean slope, -0.78 [5%, 95% confidence limits (CL), -0.73, -0.83]) than in young (mean slope, -0.67 [CL, -0.62, -0.72]), indicating not only reduced overall spectral amplitude but also relatively greater attenuation of high-frequency HR components in the old subjects. This finding illustrates a novel way to quantify the loss of autonomic influences on HR regulation as a function of age. During postural tilt, HR variability was unchanged in the old subjects. For the entire group of young subjects, total HR variability increased during tilt. Six young subjects developed vasovagal syncope during tilt, enabling us to examine differences in the HR spectra of these subjects while they were asymptomatic before syncope. Subjects with syncope had a significant increase in total and low-frequency HR variability during tilt, whereas those without syncope had no significant change in the HR spectrum. Thus, the old subjects have reduced supine HR variability and absent or attenuated low-frequency activation during tilt. Young subjects who develop syncope during tilt demonstrate prominent low-frequency activation, which may be associated with heightened sympathetic activity. Our findings may provide a physiological explanation for resistance to vasovagal syncope in old age.&quot;,&quot;author&quot;:[{&quot;dropping-particle&quot;:&quot;&quot;,&quot;family&quot;:&quot;Lipsitz&quot;,&quot;given&quot;:&quot;Lewis A.&quot;,&quot;non-dropping-particle&quot;:&quot;&quot;,&quot;parse-names&quot;:false,&quot;suffix&quot;:&quot;&quot;},{&quot;dropping-particle&quot;:&quot;&quot;,&quot;family&quot;:&quot;Mietus&quot;,&quot;given&quot;:&quot;Joseph&quot;,&quot;non-dropping-particle&quot;:&quot;&quot;,&quot;parse-names&quot;:false,&quot;suffix&quot;:&quot;&quot;},{&quot;dropping-particle&quot;:&quot;&quot;,&quot;family&quot;:&quot;Moody&quot;,&quot;given&quot;:&quot;George B.&quot;,&quot;non-dropping-particle&quot;:&quot;&quot;,&quot;parse-names&quot;:false,&quot;suffix&quot;:&quot;&quot;},{&quot;dropping-particle&quot;:&quot;&quot;,&quot;family&quot;:&quot;Goldberger&quot;,&quot;given&quot;:&quot;Ary L.&quot;,&quot;non-dropping-particle&quot;:&quot;&quot;,&quot;parse-names&quot;:false,&quot;suffix&quot;:&quot;&quot;}],&quot;container-title&quot;:&quot;Circulation&quot;,&quot;id&quot;:&quot;232cc3a7-c5ea-5fea-96f1-9a0bd9c2ccbf&quot;,&quot;issue&quot;:&quot;6&quot;,&quot;issued&quot;:{&quot;date-parts&quot;:[[&quot;1990&quot;]]},&quot;page&quot;:&quot;1803-1810&quot;,&quot;title&quot;:&quot;Spectral characteristics of heart rate variability before and during postural tilt: Relations to aging and risk of syncope&quot;,&quot;type&quot;:&quot;article-journal&quot;,&quot;volume&quot;:&quot;81&quot;,&quot;container-title-short&quot;:&quot;Circulation&quot;},&quot;uris&quot;:[&quot;http://www.mendeley.com/documents/?uuid=225f1027-295a-40dc-85d0-34df4042d312&quot;],&quot;isTemporary&quot;:false,&quot;legacyDesktopId&quot;:&quot;225f1027-295a-40dc-85d0-34df4042d312&quot;},{&quot;id&quot;:&quot;e128f3fd-ab40-511c-98db-51abcb264862&quot;,&quot;itemData&quot;:{&quot;DOI&quot;:&quot;10.1126/science.6166045&quot;,&quot;ISSN&quot;:&quot;0036-8075&quot;,&quot;abstract&quot;:&quot;Power spectrum analysis of heart rate fluctuations provides a quantitative noninvasive means of assessing the functioning of the short-term cardiovascular control systems. We show that sympathetic and parasympathetic nervous activity make frequency-specific contributions to the heart rate power spectrum, and that renin-angiotensin system activity strongly modulates the amplitude of the spectral peak located at 0.04 hertz. Our data therefore provide evidence that the renin-angiotensin system plays a significant role in short-term cardiovascular control on the time scale of seconds to minutes.&quot;,&quot;author&quot;:[{&quot;dropping-particle&quot;:&quot;&quot;,&quot;family&quot;:&quot;Akselrod&quot;,&quot;given&quot;:&quot;Solange&quot;,&quot;non-dropping-particle&quot;:&quot;&quot;,&quot;parse-names&quot;:false,&quot;suffix&quot;:&quot;&quot;},{&quot;dropping-particle&quot;:&quot;&quot;,&quot;family&quot;:&quot;Gordon&quot;,&quot;given&quot;:&quot;David&quot;,&quot;non-dropping-particle&quot;:&quot;&quot;,&quot;parse-names&quot;:false,&quot;suffix&quot;:&quot;&quot;},{&quot;dropping-particle&quot;:&quot;&quot;,&quot;family&quot;:&quot;Ubel&quot;,&quot;given&quot;:&quot;F. Andrew&quot;,&quot;non-dropping-particle&quot;:&quot;&quot;,&quot;parse-names&quot;:false,&quot;suffix&quot;:&quot;&quot;},{&quot;dropping-particle&quot;:&quot;&quot;,&quot;family&quot;:&quot;Shannon&quot;,&quot;given&quot;:&quot;Daniel C.&quot;,&quot;non-dropping-particle&quot;:&quot;&quot;,&quot;parse-names&quot;:false,&quot;suffix&quot;:&quot;&quot;},{&quot;dropping-particle&quot;:&quot;&quot;,&quot;family&quot;:&quot;Berger&quot;,&quot;given&quot;:&quot;A. Clifford&quot;,&quot;non-dropping-particle&quot;:&quot;&quot;,&quot;parse-names&quot;:false,&quot;suffix&quot;:&quot;&quot;},{&quot;dropping-particle&quot;:&quot;&quot;,&quot;family&quot;:&quot;Cohen&quot;,&quot;given&quot;:&quot;Richard J.&quot;,&quot;non-dropping-particle&quot;:&quot;&quot;,&quot;parse-names&quot;:false,&quot;suffix&quot;:&quot;&quot;}],&quot;container-title&quot;:&quot;Science&quot;,&quot;id&quot;:&quot;e128f3fd-ab40-511c-98db-51abcb264862&quot;,&quot;issue&quot;:&quot;4504&quot;,&quot;issued&quot;:{&quot;date-parts&quot;:[[&quot;1981&quot;,&quot;7&quot;,&quot;10&quot;]]},&quot;page&quot;:&quot;220-222&quot;,&quot;title&quot;:&quot;Power Spectrum Analysis of Heart Rate Fluctuation: A Quantitative Probe of Beat-to-Beat Cardiovascular Control&quot;,&quot;type&quot;:&quot;article-journal&quot;,&quot;volume&quot;:&quot;213&quot;,&quot;container-title-short&quot;:&quot;Science (1979).&quot;},&quot;uris&quot;:[&quot;http://www.mendeley.com/documents/?uuid=98506fb3-b92b-4a6d-92c1-3a3a75ba40c2&quot;],&quot;isTemporary&quot;:false,&quot;legacyDesktopId&quot;:&quot;98506fb3-b92b-4a6d-92c1-3a3a75ba40c2&quot;},{&quot;id&quot;:&quot;e8f07c90-4f5e-5b34-bee4-92c6ef8d69ba&quot;,&quot;itemData&quot;:{&quot;DOI&quot;:&quot;10.1136/hrt.55.4.348&quot;,&quot;ISSN&quot;:&quot;1355-6037&quot;,&quot;author&quot;:[{&quot;dropping-particle&quot;:&quot;&quot;,&quot;family&quot;:&quot;O'Brien&quot;,&quot;given&quot;:&quot;I A&quot;,&quot;non-dropping-particle&quot;:&quot;&quot;,&quot;parse-names&quot;:false,&quot;suffix&quot;:&quot;&quot;},{&quot;dropping-particle&quot;:&quot;&quot;,&quot;family&quot;:&quot;O'Hare&quot;,&quot;given&quot;:&quot;P&quot;,&quot;non-dropping-particle&quot;:&quot;&quot;,&quot;parse-names&quot;:false,&quot;suffix&quot;:&quot;&quot;},{&quot;dropping-particle&quot;:&quot;&quot;,&quot;family&quot;:&quot;Corrall&quot;,&quot;given&quot;:&quot;R J&quot;,&quot;non-dropping-particle&quot;:&quot;&quot;,&quot;parse-names&quot;:false,&quot;suffix&quot;:&quot;&quot;}],&quot;container-title&quot;:&quot;Heart&quot;,&quot;id&quot;:&quot;e8f07c90-4f5e-5b34-bee4-92c6ef8d69ba&quot;,&quot;issue&quot;:&quot;4&quot;,&quot;issued&quot;:{&quot;date-parts&quot;:[[&quot;1986&quot;,&quot;4&quot;,&quot;1&quot;]]},&quot;page&quot;:&quot;348-354&quot;,&quot;title&quot;:&quot;Heart rate variability in healthy subjects: effect of age and the derivation of normal ranges for tests of autonomic function.&quot;,&quot;type&quot;:&quot;article-journal&quot;,&quot;volume&quot;:&quot;55&quot;,&quot;container-title-short&quot;:&quot;&quot;},&quot;uris&quot;:[&quot;http://www.mendeley.com/documents/?uuid=e0673616-9f67-477d-a25e-3938ac58c33f&quot;],&quot;isTemporary&quot;:false,&quot;legacyDesktopId&quot;:&quot;e0673616-9f67-477d-a25e-3938ac58c33f&quot;},{&quot;id&quot;:&quot;2e255c56-2f2e-5a97-b582-b116370008b5&quot;,&quot;itemData&quot;:{&quot;DOI&quot;:&quot;10.1046/j.1540-8167.2003.03078.x&quot;,&quot;ISSN&quot;:&quot;10453873&quot;,&quot;PMID&quot;:&quot;12890036&quot;,&quot;abstract&quot;:&quot;Introduction: Although heart rate variability (HRV) has been established as a tool to study cardiac autonomic activity, almost no data are available on the circadian patterns of HRV in healthy subjects aged 20 to 70 years. Methods and Results: We investigated 166 healthy volunteers (81 women and 85 men; age 42 ± 15 years, range 20-70) without evidence of cardiac disease. Time-domain HRV parameters were determined from 24-hour Holter monitoring and calculated as hourly mean values and mean 24-hour values. All volunteers were fully mobile, awoke around 7 A.M., and had 6 to 8 hours of sleep. Circadian profiles of vagus-associated HRV parameters revealed a marked day-night pattern, with a peak at nighttime and a plateau at daytime. The characteristic nocturnal peak and the day-night amplitude diminished with aging by decade. Estimates of overall HRV (geometric triangular index [TI], SD of NN intervals [SDNN]) and long-term components of HRV (SD of the averages of NN intervals for all 5-min segments [SDANN]) were low at nighttime and increased in the morning hours. There was a significant decline of 24-hour values of all HRV parameters (P &lt; 0.001) and a strong negative correlation (P &lt; 0.001) with increasing age. Mean 24-hour RR interval (P &lt; 0.001), SDNN, mean SD of NN intervals for all 5-minute intervals (SDNNi), and SDANN (all P &lt; 0.01) were significantly higher in men. Younger men also exhibited significantly higher values for vagus-associated parameters (root mean square successive difference [rMSSD], P &lt; 0.05; SDNNi, P &lt; 0.01); however, gender differences diminished with increasing age. Conclusion: Normal aging is associated with a constant decline of cardiac vagal modulation due to a significant decrease of nocturnal parasympathetic activity. The significant gender-related difference of HRV decreases with aging. These findings emphasize the need to determine age-, gender-, and nycthemeral-dependent normal ranges for HRV assessment.&quot;,&quot;author&quot;:[{&quot;dropping-particle&quot;:&quot;&quot;,&quot;family&quot;:&quot;Bonnemeier&quot;,&quot;given&quot;:&quot;Hendrik&quot;,&quot;non-dropping-particle&quot;:&quot;&quot;,&quot;parse-names&quot;:false,&quot;suffix&quot;:&quot;&quot;},{&quot;dropping-particle&quot;:&quot;&quot;,&quot;family&quot;:&quot;Wiegand&quot;,&quot;given&quot;:&quot;Uwe K.H.&quot;,&quot;non-dropping-particle&quot;:&quot;&quot;,&quot;parse-names&quot;:false,&quot;suffix&quot;:&quot;&quot;},{&quot;dropping-particle&quot;:&quot;&quot;,&quot;family&quot;:&quot;Brandes&quot;,&quot;given&quot;:&quot;Axel&quot;,&quot;non-dropping-particle&quot;:&quot;&quot;,&quot;parse-names&quot;:false,&quot;suffix&quot;:&quot;&quot;},{&quot;dropping-particle&quot;:&quot;&quot;,&quot;family&quot;:&quot;Kluge&quot;,&quot;given&quot;:&quot;Nina&quot;,&quot;non-dropping-particle&quot;:&quot;&quot;,&quot;parse-names&quot;:false,&quot;suffix&quot;:&quot;&quot;},{&quot;dropping-particle&quot;:&quot;&quot;,&quot;family&quot;:&quot;Katus&quot;,&quot;given&quot;:&quot;Hugo A.&quot;,&quot;non-dropping-particle&quot;:&quot;&quot;,&quot;parse-names&quot;:false,&quot;suffix&quot;:&quot;&quot;},{&quot;dropping-particle&quot;:&quot;&quot;,&quot;family&quot;:&quot;Richardt&quot;,&quot;given&quot;:&quot;Gert&quot;,&quot;non-dropping-particle&quot;:&quot;&quot;,&quot;parse-names&quot;:false,&quot;suffix&quot;:&quot;&quot;},{&quot;dropping-particle&quot;:&quot;&quot;,&quot;family&quot;:&quot;Potratz&quot;,&quot;given&quot;:&quot;Jürgen&quot;,&quot;non-dropping-particle&quot;:&quot;&quot;,&quot;parse-names&quot;:false,&quot;suffix&quot;:&quot;&quot;}],&quot;container-title&quot;:&quot;Journal of Cardiovascular Electrophysiology&quot;,&quot;id&quot;:&quot;2e255c56-2f2e-5a97-b582-b116370008b5&quot;,&quot;issue&quot;:&quot;8&quot;,&quot;issued&quot;:{&quot;date-parts&quot;:[[&quot;2003&quot;]]},&quot;page&quot;:&quot;791-799&quot;,&quot;title&quot;:&quot;Circadian profile of cardiac autonomic nervous modulation in healthy subjects: Differing effects of aging and gender on heart rate variability&quot;,&quot;type&quot;:&quot;article-journal&quot;,&quot;volume&quot;:&quot;14&quot;,&quot;container-title-short&quot;:&quot;J. Cardiovasc. Electrophysiol.&quot;},&quot;uris&quot;:[&quot;http://www.mendeley.com/documents/?uuid=0d647687-f2a3-4473-90ea-ca8b01fcabf3&quot;],&quot;isTemporary&quot;:false,&quot;legacyDesktopId&quot;:&quot;0d647687-f2a3-4473-90ea-ca8b01fcabf3&quot;},{&quot;id&quot;:&quot;2ced94ed-5fd6-5997-bf22-38819c21bb73&quot;,&quot;itemData&quot;:{&quot;DOI&quot;:&quot;10.1152/ajpheart.1998.275.3.h946&quot;,&quot;ISSN&quot;:&quot;03636135&quot;,&quot;PMID&quot;:&quot;9724299&quot;,&quot;abstract&quot;:&quot;We have recently demonstrated that the overnight profiles of cardiac interbeat autocorrelation coefficient of R-R intervals (r(RR)) calculated at 1-min intervals are related to the changes in sleep electroencephalographic (EEG) mean frequency, which reflect depth of sleep. Other quantitative measures of the Poincare plots, i.e., the standard deviation of normal R-R intervals (SDNN) and the root mean square difference among successive R-R normal intervals (RMSSD), are commonly used to evaluate heart rate variability. The present study was designed to compare the nocturnal profiles of r(RR), SDNN, and RMSSD with the R-R spectral power components: high- frequency (HF) power, reflecting parasympathetic activity; low-frequency (LF) power, reflecting a predominance of sympathetic activity with a parasympathetic component; and the LF-to-HF ratio (LF/HF), regarded as an index of sympathovagal balance. r(RR), SDNN, RMSSD, and the spectral power components were calculated every 5 min during sleep in 15 healthy subjects. The overnight profiles of r(RR) and LF/HF showed coordinate variations with highly significant correlation coefficients (P &lt; 0.001 in all subjects). SDNN correlated with LF power (P &lt; 0.001), and RMSSD correlated with HF power (P &lt; 0.001). The overnight profiles of r(RR) and EEG mean frequency were found to be closely related with highly cross-correlated coefficients (P &lt; 0.001). SDNN and EEG mean frequency were also highly cross correlated (P &lt; 0.001 in all subjects but 1). No systematic relationship was found between RMSSD and EEG mean frequency. In conclusion, r(RR) appears to be a new tool for evaluating the dynamic beat-to-beat interval behavior and the sympathovagal balance continuously during sleep. This nonlinear method may provide new insight into autonomic disorders.&quot;,&quot;author&quot;:[{&quot;dropping-particle&quot;:&quot;&quot;,&quot;family&quot;:&quot;Otzenberger&quot;,&quot;given&quot;:&quot;Hélène&quot;,&quot;non-dropping-particle&quot;:&quot;&quot;,&quot;parse-names&quot;:false,&quot;suffix&quot;:&quot;&quot;},{&quot;dropping-particle&quot;:&quot;&quot;,&quot;family&quot;:&quot;Gronfier&quot;,&quot;given&quot;:&quot;Claude&quot;,&quot;non-dropping-particle&quot;:&quot;&quot;,&quot;parse-names&quot;:false,&quot;suffix&quot;:&quot;&quot;},{&quot;dropping-particle&quot;:&quot;&quot;,&quot;family&quot;:&quot;Simon&quot;,&quot;given&quot;:&quot;Chantal&quot;,&quot;non-dropping-particle&quot;:&quot;&quot;,&quot;parse-names&quot;:false,&quot;suffix&quot;:&quot;&quot;},{&quot;dropping-particle&quot;:&quot;&quot;,&quot;family&quot;:&quot;Charloux&quot;,&quot;given&quot;:&quot;Anne&quot;,&quot;non-dropping-particle&quot;:&quot;&quot;,&quot;parse-names&quot;:false,&quot;suffix&quot;:&quot;&quot;},{&quot;dropping-particle&quot;:&quot;&quot;,&quot;family&quot;:&quot;Ehrhart&quot;,&quot;given&quot;:&quot;Jean&quot;,&quot;non-dropping-particle&quot;:&quot;&quot;,&quot;parse-names&quot;:false,&quot;suffix&quot;:&quot;&quot;},{&quot;dropping-particle&quot;:&quot;&quot;,&quot;family&quot;:&quot;Piquard&quot;,&quot;given&quot;:&quot;François&quot;,&quot;non-dropping-particle&quot;:&quot;&quot;,&quot;parse-names&quot;:false,&quot;suffix&quot;:&quot;&quot;},{&quot;dropping-particle&quot;:&quot;&quot;,&quot;family&quot;:&quot;Brandenberger&quot;,&quot;given&quot;:&quot;Gabrielle&quot;,&quot;non-dropping-particle&quot;:&quot;&quot;,&quot;parse-names&quot;:false,&quot;suffix&quot;:&quot;&quot;}],&quot;container-title&quot;:&quot;American Journal of Physiology - Heart and Circulatory Physiology&quot;,&quot;id&quot;:&quot;2ced94ed-5fd6-5997-bf22-38819c21bb73&quot;,&quot;issue&quot;:&quot;3 44-3&quot;,&quot;issued&quot;:{&quot;date-parts&quot;:[[&quot;1998&quot;]]},&quot;title&quot;:&quot;Dynamic heart rate variability: A tool for exploring sympathovagal balance continuously during sleep in men&quot;,&quot;type&quot;:&quot;article-journal&quot;,&quot;volume&quot;:&quot;275&quot;,&quot;container-title-short&quot;:&quot;Am. J. Physiol. Heart Circ. Physiol.&quot;},&quot;uris&quot;:[&quot;http://www.mendeley.com/documents/?uuid=6619a72c-9c5a-4913-88c0-c90dc47ba762&quot;],&quot;isTemporary&quot;:false,&quot;legacyDesktopId&quot;:&quot;6619a72c-9c5a-4913-88c0-c90dc47ba762&quot;}]},{&quot;citationID&quot;:&quot;MENDELEY_CITATION_618a246f-a094-44c4-94ff-53f9ee3c5bdc&quot;,&quot;properties&quot;:{&quot;noteIndex&quot;:0},&quot;isEdited&quot;:false,&quot;manualOverride&quot;:{&quot;citeprocText&quot;:&quot;[303,336]&quot;,&quot;isManuallyOverridden&quot;:false,&quot;manualOverrideText&quot;:&quot;&quot;},&quot;citationTag&quot;:&quot;MENDELEY_CITATION_v3_eyJjaXRhdGlvbklEIjoiTUVOREVMRVlfQ0lUQVRJT05fNjE4YTI0NmYtYTA5NC00NGM0LTk0ZmYtNTNmOWVlM2M1YmRjIiwicHJvcGVydGllcyI6eyJub3RlSW5kZXgiOjB9LCJpc0VkaXRlZCI6ZmFsc2UsIm1hbnVhbE92ZXJyaWRlIjp7ImNpdGVwcm9jVGV4dCI6IlszMDMsMzM2XSIsImlzTWFudWFsbHlPdmVycmlkZGVuIjpmYWxzZSwibWFudWFsT3ZlcnJpZGVUZXh0IjoiIn0sImNpdGF0aW9uSXRlbXMiOlt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&quot;,&quot;citationItems&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d5f77b83-acac-5d19-bec1-3944b8604ae0&quot;,&quot;itemData&quot;:{&quot;DOI&quot;:&quot;10.1088/0967-3334/33/8/1289&quot;,&quot;ISSN&quot;:&quot;13616579&quot;,&quot;PMID&quot;:&quot;22813869&quot;,&quot;abstract&quot;:&quot;Heart rate variability (HRV) analysis is an established method to characterize the autonomic regulation and is based mostly on 24h Holter recordings. The importance of short-term HRV (less than 30min) for various applications is growing consistently. Major reasons for this are the suitability for ambulatory care and patient monitoring and the ability to provide an almost immediate test result. So far, there have been only a few studies that provided statistically relevant reference values for short-term HRV. In our study, 5min short-term HRV indices were determined from 1906 healthy subjects. From these records, linear and nonlinear indices were extracted. To determine general age-related influences, HRV indices were compared from subjects aged 25-49years with subjects aged 50-74years. In a second approach, we examined the development of HRV indices by age in terms of age decades (25-34, 35-44, 45-54, 55-64 and 65-74years). Our results showed significant variations of HRV indices by age in almost all domains. While marked dynamics in terms of parameter change (variability reduction) were observed in the first age decades, in particular the last two age decades showed certain constancy with respect to the HRV indices examined. © 2012 Institute of Physics and Engineering in Medicine.&quot;,&quot;author&quot;:[{&quot;dropping-particle&quot;:&quot;&quot;,&quot;family&quot;:&quot;Voss&quot;,&quot;given&quot;:&quot;A.&quot;,&quot;non-dropping-particle&quot;:&quot;&quot;,&quot;parse-names&quot;:false,&quot;suffix&quot;:&quot;&quot;},{&quot;dropping-particle&quot;:&quot;&quot;,&quot;family&quot;:&quot;Heitmann&quot;,&quot;given&quot;:&quot;A.&quot;,&quot;non-dropping-particle&quot;:&quot;&quot;,&quot;parse-names&quot;:false,&quot;suffix&quot;:&quot;&quot;},{&quot;dropping-particle&quot;:&quot;&quot;,&quot;family&quot;:&quot;Schroeder&quot;,&quot;given&quot;:&quot;R.&quot;,&quot;non-dropping-particle&quot;:&quot;&quot;,&quot;parse-names&quot;:false,&quot;suffix&quot;:&quot;&quot;},{&quot;dropping-particle&quot;:&quot;&quot;,&quot;family&quot;:&quot;Peters&quot;,&quot;given&quot;:&quot;A.&quot;,&quot;non-dropping-particle&quot;:&quot;&quot;,&quot;parse-names&quot;:false,&quot;suffix&quot;:&quot;&quot;},{&quot;dropping-particle&quot;:&quot;&quot;,&quot;family&quot;:&quot;Perz&quot;,&quot;given&quot;:&quot;S.&quot;,&quot;non-dropping-particle&quot;:&quot;&quot;,&quot;parse-names&quot;:false,&quot;suffix&quot;:&quot;&quot;}],&quot;container-title&quot;:&quot;Physiological Measurement&quot;,&quot;id&quot;:&quot;d5f77b83-acac-5d19-bec1-3944b8604ae0&quot;,&quot;issue&quot;:&quot;8&quot;,&quot;issued&quot;:{&quot;date-parts&quot;:[[&quot;2012&quot;]]},&quot;page&quot;:&quot;1289-1311&quot;,&quot;title&quot;:&quot;Short-term heart rate variability - Age dependence in healthy subjects&quot;,&quot;type&quot;:&quot;article-journal&quot;,&quot;volume&quot;:&quot;33&quot;,&quot;container-title-short&quot;:&quot;Physiol. Meas.&quot;},&quot;uris&quot;:[&quot;http://www.mendeley.com/documents/?uuid=861f39d8-7d65-4929-af45-7c36d490253e&quot;],&quot;isTemporary&quot;:false,&quot;legacyDesktopId&quot;:&quot;861f39d8-7d65-4929-af45-7c36d490253e&quot;}]},{&quot;citationID&quot;:&quot;MENDELEY_CITATION_88c4c01c-13ee-415a-ad91-60a6753a59da&quot;,&quot;properties&quot;:{&quot;noteIndex&quot;:0},&quot;isEdited&quot;:false,&quot;manualOverride&quot;:{&quot;citeprocText&quot;:&quot;[337,338]&quot;,&quot;isManuallyOverridden&quot;:false,&quot;manualOverrideText&quot;:&quot;&quot;},&quot;citationTag&quot;:&quot;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&quot;,&quot;citationItems&quot;:[{&quot;id&quot;:&quot;01c5a1a6-1ca0-5035-be78-8a389fbe2985&quot;,&quot;itemData&quot;:{&quot;DOI&quot;:&quot;10.1007/s00421-004-1055-z&quot;,&quot;ISBN&quot;:&quot;0042100410&quot;,&quot;ISSN&quot;:&quot;1439-6319&quot;,&quot;PMID&quot;:&quot;14991326&quot;,&quot;abstract&quot;:&quot;The aim was to evaluate the cardiovascular and subjective stress response to a combined physical and mental workload, and the effect of rest. Twelve females who had no prior experience of laboratory experiments participated in the study. Computer-work-related mental stressors were either added to or removed from a standardized computer work session in the laboratory. Beat-to-beat blood pressure and electrocardiogram (ECG) were recorded continuously during the experiment. The participants reported subjective experiences of stress in six categories using an 11-point scale before and at the end of the work. Heart rate variability (HRV) variables were calculated from the ECG recordings, and a reduction in the high-frequency component of HRV and an increase in the low- to high-frequency ratio were observed in the stress situation compared to the control session. No changes were seen in the low-frequency component of HRV. The stressors induced an increase in blood pressure compared to baseline that persisted, and for the diastolic pressure it even increased in the subsequent control session. No differences were observed for subjective experience of stress with the exception of a time trend in the exhaustion scale, i.e. a progression in reported exhaustion with time. The results - and the dissociation between HRV and blood pressure variables - indicate that HRV is a more sensitive and selective measure of mental stress. It could be speculated that heart rate-derived variables reflect a central pathway in cardiovascular control mechanisms (\&quot;central command\&quot;), while the blood pressure response is more influenced by local conditions in the working muscles that partly mask the effect of changes in mental workloads. In the rest period after each work session, HRV and blood pressure variables were partly normalized as expected. However, an 8-min period of rest was insufficient to restore blood pressure to resting values. © Springer-Verlag 2004.&quot;,&quot;author&quot;:[{&quot;dropping-particle&quot;:&quot;&quot;,&quot;family&quot;:&quot;Hjortskov&quot;,&quot;given&quot;:&quot;Nis&quot;,&quot;non-dropping-particle&quot;:&quot;&quot;,&quot;parse-names&quot;:false,&quot;suffix&quot;:&quot;&quot;},{&quot;dropping-particle&quot;:&quot;&quot;,&quot;family&quot;:&quot;Rissen&quot;,&quot;given&quot;:&quot;Dag&quot;,&quot;non-dropping-particle&quot;:&quot;&quot;,&quot;parse-names&quot;:false,&quot;suffix&quot;:&quot;&quot;},{&quot;dropping-particle&quot;:&quot;&quot;,&quot;family&quot;:&quot;Blangsted&quot;,&quot;given&quot;:&quot;Anne Katrine&quot;,&quot;non-dropping-particle&quot;:&quot;&quot;,&quot;parse-names&quot;:false,&quot;suffix&quot;:&quot;&quot;},{&quot;dropping-particle&quot;:&quot;&quot;,&quot;family&quot;:&quot;Fallentin&quot;,&quot;given&quot;:&quot;Nils&quot;,&quot;non-dropping-particle&quot;:&quot;&quot;,&quot;parse-names&quot;:false,&quot;suffix&quot;:&quot;&quot;},{&quot;dropping-particle&quot;:&quot;&quot;,&quot;family&quot;:&quot;Lundberg&quot;,&quot;given&quot;:&quot;Ulf&quot;,&quot;non-dropping-particle&quot;:&quot;&quot;,&quot;parse-names&quot;:false,&quot;suffix&quot;:&quot;&quot;},{&quot;dropping-particle&quot;:&quot;&quot;,&quot;family&quot;:&quot;Sogaard&quot;,&quot;given&quot;:&quot;Karen&quot;,&quot;non-dropping-particle&quot;:&quot;&quot;,&quot;parse-names&quot;:false,&quot;suffix&quot;:&quot;&quot;}],&quot;container-title&quot;:&quot;European Journal of Applied Physiology&quot;,&quot;id&quot;:&quot;01c5a1a6-1ca0-5035-be78-8a389fbe2985&quot;,&quot;issue&quot;:&quot;1-2&quot;,&quot;issued&quot;:{&quot;date-parts&quot;:[[&quot;2004&quot;,&quot;6&quot;,&quot;1&quot;]]},&quot;page&quot;:&quot;84-89&quot;,&quot;title&quot;:&quot;The effect of mental stress on heart rate variability and blood pressure during computer work&quot;,&quot;type&quot;:&quot;article-journal&quot;,&quot;volume&quot;:&quot;92&quot;,&quot;container-title-short&quot;:&quot;Eur. J. Appl. Physiol.&quot;},&quot;uris&quot;:[&quot;http://www.mendeley.com/documents/?uuid=1a5a1820-1e34-47bd-91ca-258e56f697b8&quot;],&quot;isTemporary&quot;:false,&quot;legacyDesktopId&quot;:&quot;1a5a1820-1e34-47bd-91ca-258e56f697b8&quot;},{&quot;id&quot;:&quot;966f7f44-1722-505b-a8f1-749d9cd48171&quot;,&quot;itemData&quot;:{&quot;DOI&quot;:&quot;10.1111/j.1365-2869.2007.00581.x&quot;,&quot;ISSN&quot;:&quot;09621105&quot;,&quot;PMID&quot;:&quot;17542944&quot;,&quot;abstract&quot;:&quot;Heart rate (HR) and heart rate variability (HRV) undergo marked fluctuations over the 24-h day. Although controversial, this 24-h rhythm is thought to be driven by the sleep-wake/rest-activity cycle as well as by endogenous circadian rhythmicity. We quantified the endogenous circadian rhythm of HR and HRV and investigated whether this rhythm can be shifted by repeated melatonin administration while exposed to an altered photoperiod. Eight healthy males (age 24.4 ± 4.4 years) participated in a double-blind cross-over design study. In both conditions, volunteers were scheduled to 16 h-8 h rest : wake and dark : light cycles for nine consecutive days preceded and followed by 29-h constant routines (CR) for assessment of endogenous circadian rhythmicity. Melatonin (1.5 mg) or placebo was administered at the beginning of the extended sleep opportunities. For all polysomnographically verified wakefulness periods of the CR, we calculated the high- (HF) and low- (LF) frequency bands of the power spectrum of the R-R interval, the standard deviation of the normal-to-normal (NN) intervals (SDNN) and the square root of the mean-squared difference of successive NN intervals (rMSSD). HR and HRV variables revealed robust endogenous circadian rhythms with fitted maxima, respectively, in the afternoon (16:36 hours) and in the early morning (between 05:00 and 06:59 hours). Melatonin treatment phase-advanced HR, HF, SDNN and rMSSD, and these shifts were significantly greater than after placebo treatment. We conclude that endogenous circadian rhythmicity influences autonomic control of HR and that the timing of these endogenous rhythms can be altered by extended sleep/rest episodes and associated changes in photoperiod as well as by melatonin treatment. © 2007 European Sleep Research Society.&quot;,&quot;author&quot;:[{&quot;dropping-particle&quot;:&quot;&quot;,&quot;family&quot;:&quot;Vandewalle&quot;,&quot;given&quot;:&quot;Gilles&quot;,&quot;non-dropping-particle&quot;:&quot;&quot;,&quot;parse-names&quot;:false,&quot;suffix&quot;:&quot;&quot;},{&quot;dropping-particle&quot;:&quot;&quot;,&quot;family&quot;:&quot;Middleton&quot;,&quot;given&quot;:&quot;Benita&quot;,&quot;non-dropping-particle&quot;:&quot;&quot;,&quot;parse-names&quot;:false,&quot;suffix&quot;:&quot;&quot;},{&quot;dropping-particle&quot;:&quot;&quot;,&quot;family&quot;:&quot;Rajaratnam&quot;,&quot;given&quot;:&quot;Shantha M.W.&quot;,&quot;non-dropping-particle&quot;:&quot;&quot;,&quot;parse-names&quot;:false,&quot;suffix&quot;:&quot;&quot;},{&quot;dropping-particle&quot;:&quot;&quot;,&quot;family&quot;:&quot;Stone&quot;,&quot;given&quot;:&quot;Barbara M.&quot;,&quot;non-dropping-particle&quot;:&quot;&quot;,&quot;parse-names&quot;:false,&quot;suffix&quot;:&quot;&quot;},{&quot;dropping-particle&quot;:&quot;&quot;,&quot;family&quot;:&quot;Thorleifsdottir&quot;,&quot;given&quot;:&quot;Bjorg&quot;,&quot;non-dropping-particle&quot;:&quot;&quot;,&quot;parse-names&quot;:false,&quot;suffix&quot;:&quot;&quot;},{&quot;dropping-particle&quot;:&quot;&quot;,&quot;family&quot;:&quot;Arendt&quot;,&quot;given&quot;:&quot;Josephine&quot;,&quot;non-dropping-particle&quot;:&quot;&quot;,&quot;parse-names&quot;:false,&quot;suffix&quot;:&quot;&quot;},{&quot;dropping-particle&quot;:&quot;&quot;,&quot;family&quot;:&quot;Dijk&quot;,&quot;given&quot;:&quot;Derk Jan&quot;,&quot;non-dropping-particle&quot;:&quot;&quot;,&quot;parse-names&quot;:false,&quot;suffix&quot;:&quot;&quot;}],&quot;container-title&quot;:&quot;Journal of Sleep Research&quot;,&quot;id&quot;:&quot;966f7f44-1722-505b-a8f1-749d9cd48171&quot;,&quot;issue&quot;:&quot;2&quot;,&quot;issued&quot;:{&quot;date-parts&quot;:[[&quot;2007&quot;]]},&quot;page&quot;:&quot;148-155&quot;,&quot;title&quot;:&quot;Robust circadian rhythm in heart rate and its variability: Influence of exogenous melatonin and photoperiod&quot;,&quot;type&quot;:&quot;article-journal&quot;,&quot;volume&quot;:&quot;16&quot;,&quot;container-title-short&quot;:&quot;J. Sleep Res.&quot;},&quot;uris&quot;:[&quot;http://www.mendeley.com/documents/?uuid=f60a175d-a250-4d28-a003-e355bd075996&quot;],&quot;isTemporary&quot;:false,&quot;legacyDesktopId&quot;:&quot;f60a175d-a250-4d28-a003-e355bd075996&quot;}]},{&quot;citationID&quot;:&quot;MENDELEY_CITATION_eab83a60-b0a1-4990-a2bf-299e8b4fed3f&quot;,&quot;properties&quot;:{&quot;noteIndex&quot;:0},&quot;isEdited&quot;:false,&quot;manualOverride&quot;:{&quot;citeprocText&quot;:&quot;[283,339,340]&quot;,&quot;isManuallyOverridden&quot;:false,&quot;manualOverrideText&quot;:&quot;&quot;},&quot;citationTag&quot;:&quot;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&quot;,&quot;citationItems&quot;:[{&quot;id&quot;:&quot;eb47dc0d-2302-5e08-8d42-9d4a301a0705&quot;,&quot;itemData&quot;:{&quot;DOI&quot;:&quot;10.1073/pnas.081072698&quot;,&quot;ISSN&quot;:&quot;00278424&quot;,&quot;PMID&quot;:&quot;11287659&quot;,&quot;abstract&quot;:&quot;Allostatic load (AL) has been proposed as a new conceptualization of cumulative biological burden exacted on the body through attempts to adapt to life's demands. Using a multisystem summary measure of AL, we evaluated its capacity to predict four categories of health outcomes, 7 years after a baseline survey of 1,189 men and women age 70-79. Higher baseline AL scores were associated with significantly increased risk for 7-year mortality as well as declines in cognitive and physical functioning and were marginally associated with incident cardiovascular disease events, independent of standard socio-demographic characteristics and baseline health status. The summary AL measure was based on 10 parameters of biological functioning, four of which are primary mediators in the cascade from perceived challenges to downstream health outcomes. Six of the components are secondary mediators reflecting primarily components of the metabolic syndrome (syndrome X). AL was a better predictor of mortality and decline in physical functioning than either the syndrome X or primary mediator components alone. The findings support the concept of AL as a measure of cumulative biological burden.&quot;,&quot;author&quot;:[{&quot;dropping-particle&quot;:&quot;&quot;,&quot;family&quot;:&quot;Seeman&quot;,&quot;given&quot;:&quot;Teresa E.&quot;,&quot;non-dropping-particle&quot;:&quot;&quot;,&quot;parse-names&quot;:false,&quot;suffix&quot;:&quot;&quot;},{&quot;dropping-particle&quot;:&quot;&quot;,&quot;family&quot;:&quot;McEwen&quot;,&quot;given&quot;:&quot;Bruce S.&quot;,&quot;non-dropping-particle&quot;:&quot;&quot;,&quot;parse-names&quot;:false,&quot;suffix&quot;:&quot;&quot;},{&quot;dropping-particle&quot;:&quot;&quot;,&quot;family&quot;:&quot;Rowe&quot;,&quot;given&quot;:&quot;John W.&quot;,&quot;non-dropping-particle&quot;:&quot;&quot;,&quot;parse-names&quot;:false,&quot;suffix&quot;:&quot;&quot;},{&quot;dropping-particle&quot;:&quot;&quot;,&quot;family&quot;:&quot;Singer&quot;,&quot;given&quot;:&quot;Burton H.&quot;,&quot;non-dropping-particle&quot;:&quot;&quot;,&quot;parse-names&quot;:false,&quot;suffix&quot;:&quot;&quot;}],&quot;container-title&quot;:&quot;Proceedings of the National Academy of Sciences of the United States of America&quot;,&quot;id&quot;:&quot;eb47dc0d-2302-5e08-8d42-9d4a301a0705&quot;,&quot;issue&quot;:&quot;8&quot;,&quot;issued&quot;:{&quot;date-parts&quot;:[[&quot;2001&quot;]]},&quot;page&quot;:&quot;4770-4775&quot;,&quot;title&quot;:&quot;Allostatic load as a marker of cumulative biological risk: MacArthur studies of successful aging&quot;,&quot;type&quot;:&quot;paper-conference&quot;,&quot;volume&quot;:&quot;98&quot;,&quot;container-title-short&quot;:&quot;Proc. Natl. Acad. Sci. U. S. A.&quot;},&quot;uris&quot;:[&quot;http://www.mendeley.com/documents/?uuid=6e96fa05-aed2-48e5-b689-38fbb73b8078&quot;],&quot;isTemporary&quot;:false,&quot;legacyDesktopId&quot;:&quot;6e96fa05-aed2-48e5-b689-38fbb73b8078&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id&quot;:&quot;338e6a05-289b-5a15-986d-eec3491edf9d&quot;,&quot;itemData&quot;:{&quot;DOI&quot;:&quot;10.1016/j.neubiorev.2013.07.004&quot;,&quot;ISSN&quot;:&quot;01497634&quot;,&quot;PMID&quot;:&quot;23891906&quot;,&quot;abstract&quot;:&quot;Aim: This systematic review evaluates and summarizes the evidence of the association between psychosocial work environment as indicated by several work-stress models such as Job-Demand-Control (JDC), Effort-Reward-Imbalance (ERI), or Organizational Justice (OJ) and autonomic nervous system (ANS) function as indexed by heart rate variability (HRV). Method: We conducted a systematic literature search following the PRISMA-Statement in eleven databases including Medline, Web of Science and PsycINFO to address medical as well as psychological aspects of the relation between psychosocial work-stress models and HRV. Results: We identified 19 publications with a total of 8382 employees from ten countries reporting data from the years 1976-2008.Overall, nine of all studies report a negative and significant association between vagally-mediated HRV and measures of stress at work, while eight of all studies report a negative and significant association to mixed sympathetic and parasympathetic measures of HRV. Conclusions: This systematic review provides evidence that adverse psychosocial work conditions are negatively associated with ANS function as indexed by HRV. © 2013 Elsevier Ltd.&quot;,&quot;author&quot;:[{&quot;dropping-particle&quot;:&quot;&quot;,&quot;family&quot;:&quot;Jarczok&quot;,&quot;given&quot;:&quot;Marc N.&quot;,&quot;non-dropping-particle&quot;:&quot;&quot;,&quot;parse-names&quot;:false,&quot;suffix&quot;:&quot;&quot;},{&quot;dropping-particle&quot;:&quot;&quot;,&quot;family&quot;:&quot;Jarczok&quot;,&quot;given&quot;:&quot;Marion&quot;,&quot;non-dropping-particle&quot;:&quot;&quot;,&quot;parse-names&quot;:false,&quot;suffix&quot;:&quot;&quot;},{&quot;dropping-particle&quot;:&quot;&quot;,&quot;family&quot;:&quot;Mauss&quot;,&quot;given&quot;:&quot;Daniel&quot;,&quot;non-dropping-particle&quot;:&quot;&quot;,&quot;parse-names&quot;:false,&quot;suffix&quot;:&quot;&quot;},{&quot;dropping-particle&quot;:&quot;&quot;,&quot;family&quot;:&quot;Koenig&quot;,&quot;given&quot;:&quot;Julian&quot;,&quot;non-dropping-particle&quot;:&quot;&quot;,&quot;parse-names&quot;:false,&quot;suffix&quot;:&quot;&quot;},{&quot;dropping-particle&quot;:&quot;&quot;,&quot;family&quot;:&quot;Li&quot;,&quot;given&quot;:&quot;Jian&quot;,&quot;non-dropping-particle&quot;:&quot;&quot;,&quot;parse-names&quot;:false,&quot;suffix&quot;:&quot;&quot;},{&quot;dropping-particle&quot;:&quot;&quot;,&quot;family&quot;:&quot;Herr&quot;,&quot;given&quot;:&quot;Raphael M.&quot;,&quot;non-dropping-particle&quot;:&quot;&quot;,&quot;parse-names&quot;:false,&quot;suffix&quot;:&quot;&quot;},{&quot;dropping-particle&quot;:&quot;&quot;,&quot;family&quot;:&quot;Thayer&quot;,&quot;given&quot;:&quot;Julian F.&quot;,&quot;non-dropping-particle&quot;:&quot;&quot;,&quot;parse-names&quot;:false,&quot;suffix&quot;:&quot;&quot;}],&quot;container-title&quot;:&quot;Neuroscience &amp; Biobehavioral Reviews&quot;,&quot;id&quot;:&quot;338e6a05-289b-5a15-986d-eec3491edf9d&quot;,&quot;issue&quot;:&quot;8&quot;,&quot;issued&quot;:{&quot;date-parts&quot;:[[&quot;2013&quot;,&quot;9&quot;]]},&quot;page&quot;:&quot;1810-1823&quot;,&quot;publisher&quot;:&quot;Elsevier Ltd&quot;,&quot;title&quot;:&quot;Autonomic nervous system activity and workplace stressors—A systematic review&quot;,&quot;type&quot;:&quot;article-journal&quot;,&quot;volume&quot;:&quot;37&quot;,&quot;container-title-short&quot;:&quot;Neurosci. Biobehav. Rev.&quot;},&quot;uris&quot;:[&quot;http://www.mendeley.com/documents/?uuid=c8af5d78-8674-4f6a-b909-bec8363eeb05&quot;],&quot;isTemporary&quot;:false,&quot;legacyDesktopId&quot;:&quot;c8af5d78-8674-4f6a-b909-bec8363eeb05&quot;}]},{&quot;citationID&quot;:&quot;MENDELEY_CITATION_224679b0-34fb-4d52-9e58-1b8d39daaead&quot;,&quot;properties&quot;:{&quot;noteIndex&quot;:0},&quot;isEdited&quot;:false,&quot;manualOverride&quot;:{&quot;citeprocText&quot;:&quot;[303,341–343]&quot;,&quot;isManuallyOverridden&quot;:false,&quot;manualOverrideText&quot;:&quot;&quot;},&quot;citationTag&quot;:&quot;MENDELEY_CITATION_v3_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&quot;,&quot;citationItems&quot;:[{&quot;id&quot;:&quot;27284bb6-0256-5270-aa19-766067d5b992&quot;,&quot;itemData&quot;:{&quot;DOI&quot;:&quot;10.1093/europace/euv015&quot;,&quot;ISSN&quot;:&quot;15322092&quot;,&quot;PMID&quot;:&quot;26177817&quot;,&quot;abstract&quot;:&quot;Following the publication of the Task Force document on heart rate variability (HRV) in 1996, a number of articles have been published to describe new HRV methodologies and their application in different physiological and clinical studies. This document presents a critical review of the new methods. A particular attention has been paid to methodologies that have not been reported in the 1996 standardization document but have been more recently tested in sufficiently sized populations. The following methods were considered: Long-range correlation and fractal analysis; Short-term complexity; Entropy and regularity; and Nonlinear dynamical systems and chaotic behaviour. For each of these methods, technical aspects, clinical achievements, and suggestions for clinical application were reviewed. While the novel approaches have contributed in the technical understanding of the signal character of HRV, their success in developing new clinical tools, such as those for the identification of high-risk patients, has been rather limited. Available results obtained in selected populations of patients by specialized laboratories are nevertheless of interest but new prospective studies are needed. The investigation of new parameters, descriptive of the complex regulation mechanisms of heart rate, has to be encouraged because not all information in the HRV signal is captured by traditional methods. The new technologies thus could provide after proper validation, additional physiological, and clinical meaning. Multidisciplinary dialogue and specialized courses in the combination of clinical cardiology and complex signal processing methods seem warranted for further advances in studies of cardiac oscillations and in the understanding normal and abnormal cardiac control processes.&quot;,&quot;author&quot;:[{&quot;dropping-particle&quot;:&quot;&quot;,&quot;family&quot;:&quot;Sassi&quot;,&quot;given&quot;:&quot;Roberto&quot;,&quot;non-dropping-particle&quot;:&quot;&quot;,&quot;parse-names&quot;:false,&quot;suffix&quot;:&quot;&quot;},{&quot;dropping-particle&quot;:&quot;&quot;,&quot;family&quot;:&quot;Cerutti&quot;,&quot;given&quot;:&quot;Sergio&quot;,&quot;non-dropping-particle&quot;:&quot;&quot;,&quot;parse-names&quot;:false,&quot;suffix&quot;:&quot;&quot;},{&quot;dropping-particle&quot;:&quot;&quot;,&quot;family&quot;:&quot;Lombardi&quot;,&quot;given&quot;:&quot;Federico&quot;,&quot;non-dropping-particle&quot;:&quot;&quot;,&quot;parse-names&quot;:false,&quot;suffix&quot;:&quot;&quot;},{&quot;dropping-particle&quot;:&quot;&quot;,&quot;family&quot;:&quot;Malik&quot;,&quot;given&quot;:&quot;Marek&quot;,&quot;non-dropping-particle&quot;:&quot;&quot;,&quot;parse-names&quot;:false,&quot;suffix&quot;:&quot;&quot;},{&quot;dropping-particle&quot;:&quot;V.&quot;,&quot;family&quot;:&quot;Huikuri&quot;,&quot;given&quot;:&quot;Heikki&quot;,&quot;non-dropping-particle&quot;:&quot;&quot;,&quot;parse-names&quot;:false,&quot;suffix&quot;:&quot;&quot;},{&quot;dropping-particle&quot;:&quot;&quot;,&quot;family&quot;:&quot;Peng&quot;,&quot;given&quot;:&quot;Chung Kang&quot;,&quot;non-dropping-particle&quot;:&quot;&quot;,&quot;parse-names&quot;:false,&quot;suffix&quot;:&quot;&quot;},{&quot;dropping-particle&quot;:&quot;&quot;,&quot;family&quot;:&quot;Schmidt&quot;,&quot;given&quot;:&quot;Georg&quot;,&quot;non-dropping-particle&quot;:&quot;&quot;,&quot;parse-names&quot;:false,&quot;suffix&quot;:&quot;&quot;},{&quot;dropping-particle&quot;:&quot;&quot;,&quot;family&quot;:&quot;Yamamoto&quot;,&quot;given&quot;:&quot;Yoshiharu&quot;,&quot;non-dropping-particle&quot;:&quot;&quot;,&quot;parse-names&quot;:false,&quot;suffix&quot;:&quot;&quot;}],&quot;container-title&quot;:&quot;Europace&quot;,&quot;id&quot;:&quot;27284bb6-0256-5270-aa19-766067d5b992&quot;,&quot;issue&quot;:&quot;9&quot;,&quot;issued&quot;:{&quot;date-parts&quot;:[[&quot;2015&quot;]]},&quot;page&quot;:&quot;1341-1353&quot;,&quot;title&quot;:&quot;Advances in heart rate variability signal analysis: Joint position statement by the e-Cardiology ESC Working Group and the European Heart Rhythm Association co-endorsed by the Asia Pacific Heart Rhythm Society&quot;,&quot;type&quot;:&quot;article-journal&quot;,&quot;volume&quot;:&quot;17&quot;,&quot;container-title-short&quot;:&quot;&quot;},&quot;uris&quot;:[&quot;http://www.mendeley.com/documents/?uuid=72f21bf6-39bd-4688-acd3-33687e60201c&quot;],&quot;isTemporary&quot;:false,&quot;legacyDesktopId&quot;:&quot;72f21bf6-39bd-4688-acd3-33687e60201c&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99fbc125-5242-5de0-affc-5e7f25dfe37f&quot;,&quot;itemData&quot;:{&quot;DOI&quot;:&quot;10.1136/hrt.80.2.156&quot;,&quot;ISSN&quot;:&quot;13556037&quot;,&quot;PMID&quot;:&quot;9813562&quot;,&quot;abstract&quot;:&quot;Objective - To evaluate the stability of short recordings of heart rate variability (HRV) with time, and the association of HRV with age and sex. Design - Five minute Holter recordings were made twice over a two month interval (tracking study). In addition, HRV was measured in a cross sectional study. Setting - Residents of 11 Israeli kibbutzim were examined in their settlements. Subjects - 32 men and 38 women (aged 31-67) participated in the tracking study and 294 (aged 35-65) were involved in the cross sectional study. Main outcome measures - Time and frequency domain analyses on Holter recordings were undertaken in two breathing conditions: spontaneous and controlled breathing (15 respirations per minute). Regression was used to assess the relations of sex, age, heart rate, and logarithmically transformed HRV indices. Results - HRV measures were highly consisted with time with correlations of 0.76-0.80 for high frequency and total power. Geometric mean total power declined with age by 45% in men and 32% in women, and was lower by 24% among women than among men (all p ≤ 0.005). Men had a 34% higher very low and low frequency power and a higher ratio of low to high frequency power (p &lt; 0.001). Conversely, high frequency power in women represents a greater proportion of total power than in men. Conclusion - Short recordings of HRV in a non-laboratory setting are stable over months and therefore characteristic of an individual. Strong age and sex effects were evident. HRV derived from short recordings can be informative in population based studies.&quot;,&quot;author&quot;:[{&quot;dropping-particle&quot;:&quot;&quot;,&quot;family&quot;:&quot;Sinnreich&quot;,&quot;given&quot;:&quot;R.&quot;,&quot;non-dropping-particle&quot;:&quot;&quot;,&quot;parse-names&quot;:false,&quot;suffix&quot;:&quot;&quot;},{&quot;dropping-particle&quot;:&quot;&quot;,&quot;family&quot;:&quot;Kark&quot;,&quot;given&quot;:&quot;J. D.&quot;,&quot;non-dropping-particle&quot;:&quot;&quot;,&quot;parse-names&quot;:false,&quot;suffix&quot;:&quot;&quot;},{&quot;dropping-particle&quot;:&quot;&quot;,&quot;family&quot;:&quot;Friedlander&quot;,&quot;given&quot;:&quot;Y.&quot;,&quot;non-dropping-particle&quot;:&quot;&quot;,&quot;parse-names&quot;:false,&quot;suffix&quot;:&quot;&quot;},{&quot;dropping-particle&quot;:&quot;&quot;,&quot;family&quot;:&quot;Sapoznikov&quot;,&quot;given&quot;:&quot;D.&quot;,&quot;non-dropping-particle&quot;:&quot;&quot;,&quot;parse-names&quot;:false,&quot;suffix&quot;:&quot;&quot;},{&quot;dropping-particle&quot;:&quot;&quot;,&quot;family&quot;:&quot;Luria&quot;,&quot;given&quot;:&quot;M. H.&quot;,&quot;non-dropping-particle&quot;:&quot;&quot;,&quot;parse-names&quot;:false,&quot;suffix&quot;:&quot;&quot;}],&quot;container-title&quot;:&quot;Heart&quot;,&quot;id&quot;:&quot;99fbc125-5242-5de0-affc-5e7f25dfe37f&quot;,&quot;issue&quot;:&quot;2&quot;,&quot;issued&quot;:{&quot;date-parts&quot;:[[&quot;1998&quot;]]},&quot;page&quot;:&quot;156-162&quot;,&quot;title&quot;:&quot;Five minute recordings of heart rate variability for population studies: Repeatability and age-sex characteristics&quot;,&quot;type&quot;:&quot;article-journal&quot;,&quot;volume&quot;:&quot;80&quot;,&quot;container-title-short&quot;:&quot;&quot;},&quot;uris&quot;:[&quot;http://www.mendeley.com/documents/?uuid=6b21072f-846a-4b33-930b-1e5c9bb27c80&quot;],&quot;isTemporary&quot;:false,&quot;legacyDesktopId&quot;:&quot;6b21072f-846a-4b33-930b-1e5c9bb27c80&quot;},{&quot;id&quot;:&quot;84ecbbd6-7cb8-5660-9740-f2a6c219eb4c&quot;,&quot;itemData&quot;:{&quot;DOI&quot;:&quot;10.1016/j.autneu.2008.01.006&quot;,&quot;ISBN&quot;:&quot;6176321972&quot;,&quot;ISSN&quot;:&quot;15660702&quot;,&quot;PMID&quot;:&quot;1000000221&quot;,&quot;author&quot;:[{&quot;dropping-particle&quot;:&quot;&quot;,&quot;family&quot;:&quot;Sloan&quot;,&quot;given&quot;:&quot;Richard P.&quot;,&quot;non-dropping-particle&quot;:&quot;&quot;,&quot;parse-names&quot;:false,&quot;suffix&quot;:&quot;&quot;},{&quot;dropping-particle&quot;:&quot;&quot;,&quot;family&quot;:&quot;Huang&quot;,&quot;given&quot;:&quot;Mei-Hua&quot;,&quot;non-dropping-particle&quot;:&quot;&quot;,&quot;parse-names&quot;:false,&quot;suffix&quot;:&quot;&quot;},{&quot;dropping-particle&quot;:&quot;&quot;,&quot;family&quot;:&quot;McCreath&quot;,&quot;given&quot;:&quot;Heather&quot;,&quot;non-dropping-particle&quot;:&quot;&quot;,&quot;parse-names&quot;:false,&quot;suffix&quot;:&quot;&quot;},{&quot;dropping-particle&quot;:&quot;&quot;,&quot;family&quot;:&quot;Sidney&quot;,&quot;given&quot;:&quot;Stephen&quot;,&quot;non-dropping-particle&quot;:&quot;&quot;,&quot;parse-names&quot;:false,&quot;suffix&quot;:&quot;&quot;},{&quot;dropping-particle&quot;:&quot;&quot;,&quot;family&quot;:&quot;Liu&quot;,&quot;given&quot;:&quot;Kiang&quot;,&quot;non-dropping-particle&quot;:&quot;&quot;,&quot;parse-names&quot;:false,&quot;suffix&quot;:&quot;&quot;},{&quot;dropping-particle&quot;:&quot;&quot;,&quot;family&quot;:&quot;Dale Williams&quot;,&quot;given&quot;:&quot;O.&quot;,&quot;non-dropping-particle&quot;:&quot;&quot;,&quot;parse-names&quot;:false,&quot;suffix&quot;:&quot;&quot;},{&quot;dropping-particle&quot;:&quot;&quot;,&quot;family&quot;:&quot;Seeman&quot;,&quot;given&quot;:&quot;Teresa&quot;,&quot;non-dropping-particle&quot;:&quot;&quot;,&quot;parse-names&quot;:false,&quot;suffix&quot;:&quot;&quot;}],&quot;container-title&quot;:&quot;Autonomic Neuroscience&quot;,&quot;id&quot;:&quot;84ecbbd6-7cb8-5660-9740-f2a6c219eb4c&quot;,&quot;issue&quot;:&quot;1-2&quot;,&quot;issued&quot;:{&quot;date-parts&quot;:[[&quot;2008&quot;,&quot;5&quot;]]},&quot;page&quot;:&quot;78-85&quot;,&quot;title&quot;:&quot;Cardiac autonomic control and the effects of age, race, and sex: The CARDIA study&quot;,&quot;type&quot;:&quot;article-journal&quot;,&quot;volume&quot;:&quot;139&quot;,&quot;container-title-short&quot;:&quot;&quot;},&quot;uris&quot;:[&quot;http://www.mendeley.com/documents/?uuid=4e60ed79-c7c9-421a-bf2a-475ed8fb541a&quot;],&quot;isTemporary&quot;:false,&quot;legacyDesktopId&quot;:&quot;4e60ed79-c7c9-421a-bf2a-475ed8fb541a&quot;}]},{&quot;citationID&quot;:&quot;MENDELEY_CITATION_db5bc80b-2fe7-4052-b71a-e5c3f38a1550&quot;,&quot;properties&quot;:{&quot;noteIndex&quot;:0},&quot;isEdited&quot;:false,&quot;manualOverride&quot;:{&quot;citeprocText&quot;:&quot;[344–346]&quot;,&quot;isManuallyOverridden&quot;:false,&quot;manualOverrideText&quot;:&quot;&quot;},&quot;citationTag&quot;:&quot;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&quot;,&quot;citationItems&quot;:[{&quot;id&quot;:&quot;862e886d-ccc4-5e31-a4f0-3ab666cdbfb0&quot;,&quot;itemData&quot;:{&quot;DOI&quot;:&quot;10.1016/0002-9149(90)90308-N&quot;,&quot;ISSN&quot;:&quot;00029149&quot;,&quot;PMID&quot;:&quot;2301268&quot;,&quot;abstract&quot;:&quot;Low heart rate (HR) variability, expressed as the standard deviation of cardiac cycle lengths, has been shown to be associated with increased mortality in patients with coronary artery disease.1,2 HR variability can be easily measured from 24-hour electrocardiographic recordings using recently developed software.1,2 However, reference values for HR variability and their reproducibility in normal persons are not well studied. We estimated the reproducibility and circadian rhythm of HR variability, measured from repeated 24-hour electrocardiographic recordings, in young healthy adults to establish normal values and determine patterns of reproducibility. © 1990.&quot;,&quot;author&quot;:[{&quot;dropping-particle&quot;:&quot;V.&quot;,&quot;family&quot;:&quot;Huikuri&quot;,&quot;given&quot;:&quot;Heikki&quot;,&quot;non-dropping-particle&quot;:&quot;&quot;,&quot;parse-names&quot;:false,&quot;suffix&quot;:&quot;&quot;},{&quot;dropping-particle&quot;:&quot;&quot;,&quot;family&quot;:&quot;Kessler&quot;,&quot;given&quot;:&quot;Kenneth M.&quot;,&quot;non-dropping-particle&quot;:&quot;&quot;,&quot;parse-names&quot;:false,&quot;suffix&quot;:&quot;&quot;},{&quot;dropping-particle&quot;:&quot;&quot;,&quot;family&quot;:&quot;Terracall&quot;,&quot;given&quot;:&quot;Elisabeth&quot;,&quot;non-dropping-particle&quot;:&quot;&quot;,&quot;parse-names&quot;:false,&quot;suffix&quot;:&quot;&quot;},{&quot;dropping-particle&quot;:&quot;&quot;,&quot;family&quot;:&quot;Castellanos&quot;,&quot;given&quot;:&quot;Agustin&quot;,&quot;non-dropping-particle&quot;:&quot;&quot;,&quot;parse-names&quot;:false,&quot;suffix&quot;:&quot;&quot;},{&quot;dropping-particle&quot;:&quot;&quot;,&quot;family&quot;:&quot;Linnaluoto&quot;,&quot;given&quot;:&quot;Markku K.&quot;,&quot;non-dropping-particle&quot;:&quot;&quot;,&quot;parse-names&quot;:false,&quot;suffix&quot;:&quot;&quot;},{&quot;dropping-particle&quot;:&quot;&quot;,&quot;family&quot;:&quot;Myerburg&quot;,&quot;given&quot;:&quot;Robert J.&quot;,&quot;non-dropping-particle&quot;:&quot;&quot;,&quot;parse-names&quot;:false,&quot;suffix&quot;:&quot;&quot;}],&quot;container-title&quot;:&quot;The American Journal of Cardiology&quot;,&quot;id&quot;:&quot;862e886d-ccc4-5e31-a4f0-3ab666cdbfb0&quot;,&quot;issue&quot;:&quot;5&quot;,&quot;issued&quot;:{&quot;date-parts&quot;:[[&quot;1990&quot;]]},&quot;page&quot;:&quot;391-393&quot;,&quot;title&quot;:&quot;Reproducibility and circadian rhythm of heart rate variability in healthy subjects&quot;,&quot;type&quot;:&quot;article-journal&quot;,&quot;volume&quot;:&quot;65&quot;,&quot;container-title-short&quot;:&quot;Am. J. Cardiol.&quot;},&quot;uris&quot;:[&quot;http://www.mendeley.com/documents/?uuid=3b68405b-70af-4221-bec7-99ce0b2c5836&quot;],&quot;isTemporary&quot;:false,&quot;legacyDesktopId&quot;:&quot;3b68405b-70af-4221-bec7-99ce0b2c5836&quot;},{&quot;id&quot;:&quot;1f7116bb-5cdf-5340-89a9-51a892b8c63f&quot;,&quot;itemData&quot;:{&quot;DOI&quot;:&quot;10.1161/01.CIR.94.2.122&quot;,&quot;ISSN&quot;:&quot;0009-7322&quot;,&quot;PMID&quot;:&quot;8674168&quot;,&quot;abstract&quot;:&quot;Background Women have worse outcomes when they experience acute myocardial infarction (MI), but the reasons for this sex-related difference are not well understood. Because cardiovascular neural regulation plays an important role in cardiac mortality, we studied possible sex-related differences in the autonomic modulation of heart rate (HR) in middle-aged subjects without known heart disease.&quot;,&quot;author&quot;:[{&quot;dropping-particle&quot;:&quot;V.&quot;,&quot;family&quot;:&quot;Huikuri&quot;,&quot;given&quot;:&quot;Heikki&quot;,&quot;non-dropping-particle&quot;:&quot;&quot;,&quot;parse-names&quot;:false,&quot;suffix&quot;:&quot;&quot;},{&quot;dropping-particle&quot;:&quot;&quot;,&quot;family&quot;:&quot;Pikkuja¨msa¨&quot;,&quot;given&quot;:&quot;Sirkku M.&quot;,&quot;non-dropping-particle&quot;:&quot;&quot;,&quot;parse-names&quot;:false,&quot;suffix&quot;:&quot;&quot;},{&quot;dropping-particle&quot;:&quot;&quot;,&quot;family&quot;:&quot;Airaksinen&quot;,&quot;given&quot;:&quot;K.E. Juhani&quot;,&quot;non-dropping-particle&quot;:&quot;&quot;,&quot;parse-names&quot;:false,&quot;suffix&quot;:&quot;&quot;},{&quot;dropping-particle&quot;:&quot;&quot;,&quot;family&quot;:&quot;Ika¨heimo&quot;,&quot;given&quot;:&quot;Markku J.&quot;,&quot;non-dropping-particle&quot;:&quot;&quot;,&quot;parse-names&quot;:false,&quot;suffix&quot;:&quot;&quot;},{&quot;dropping-particle&quot;:&quot;&quot;,&quot;family&quot;:&quot;Rantala&quot;,&quot;given&quot;:&quot;Asko O.&quot;,&quot;non-dropping-particle&quot;:&quot;&quot;,&quot;parse-names&quot;:false,&quot;suffix&quot;:&quot;&quot;},{&quot;dropping-particle&quot;:&quot;&quot;,&quot;family&quot;:&quot;Kauma&quot;,&quot;given&quot;:&quot;Heikki&quot;,&quot;non-dropping-particle&quot;:&quot;&quot;,&quot;parse-names&quot;:false,&quot;suffix&quot;:&quot;&quot;},{&quot;dropping-particle&quot;:&quot;&quot;,&quot;family&quot;:&quot;Lilja&quot;,&quot;given&quot;:&quot;Mauno&quot;,&quot;non-dropping-particle&quot;:&quot;&quot;,&quot;parse-names&quot;:false,&quot;suffix&quot;:&quot;&quot;},{&quot;dropping-particle&quot;:&quot;&quot;,&quot;family&quot;:&quot;Kesa¨niemi&quot;,&quot;given&quot;:&quot;Y. Antero&quot;,&quot;non-dropping-particle&quot;:&quot;&quot;,&quot;parse-names&quot;:false,&quot;suffix&quot;:&quot;&quot;}],&quot;container-title&quot;:&quot;Circulation&quot;,&quot;id&quot;:&quot;1f7116bb-5cdf-5340-89a9-51a892b8c63f&quot;,&quot;issue&quot;:&quot;2&quot;,&quot;issued&quot;:{&quot;date-parts&quot;:[[&quot;1996&quot;,&quot;7&quot;,&quot;15&quot;]]},&quot;page&quot;:&quot;122-125&quot;,&quot;title&quot;:&quot;Sex-Related Differences in Autonomic Modulation of Heart Rate in Middle-aged Subjects&quot;,&quot;type&quot;:&quot;article-journal&quot;,&quot;volume&quot;:&quot;94&quot;,&quot;container-title-short&quot;:&quot;Circulation&quot;},&quot;uris&quot;:[&quot;http://www.mendeley.com/documents/?uuid=815c1903-be4b-4ea1-b2de-ccf93b79f8f6&quot;],&quot;isTemporary&quot;:false,&quot;legacyDesktopId&quot;:&quot;815c1903-be4b-4ea1-b2de-ccf93b79f8f6&quot;},{&quot;id&quot;:&quot;6e20859d-ec17-3b84-9806-2667123940d7&quot;,&quot;itemData&quot;:{&quot;type&quot;:&quot;article-journal&quot;,&quot;id&quot;:&quot;6e20859d-ec17-3b84-9806-2667123940d7&quot;,&quot;title&quot;:&quot;Heart rate variability as a function of menopausal status, menstrual cycle phase, and estradiol level&quot;,&quot;groupId&quot;:&quot;2d3873d7-e261-3da9-86b8-2cfa8990086d&quot;,&quot;author&quot;:[{&quot;family&quot;:&quot;Ramesh&quot;,&quot;given&quot;:&quot;Sharanya&quot;,&quot;parse-names&quot;:false,&quot;dropping-particle&quot;:&quot;&quot;,&quot;non-dropping-particle&quot;:&quot;&quot;},{&quot;family&quot;:&quot;James&quot;,&quot;given&quot;:&quot;Matthew T.&quot;,&quot;parse-names&quot;:false,&quot;dropping-particle&quot;:&quot;&quot;,&quot;non-dropping-particle&quot;:&quot;&quot;},{&quot;family&quot;:&quot;Holroyd-Leduc&quot;,&quot;given&quot;:&quot;Jayna M.&quot;,&quot;parse-names&quot;:false,&quot;dropping-particle&quot;:&quot;&quot;,&quot;non-dropping-particle&quot;:&quot;&quot;},{&quot;family&quot;:&quot;Wilton&quot;,&quot;given&quot;:&quot;Stephen B.&quot;,&quot;parse-names&quot;:false,&quot;dropping-particle&quot;:&quot;&quot;,&quot;non-dropping-particle&quot;:&quot;&quot;},{&quot;family&quot;:&quot;Sola&quot;,&quot;given&quot;:&quot;Darlene Y.&quot;,&quot;parse-names&quot;:false,&quot;dropping-particle&quot;:&quot;&quot;,&quot;non-dropping-particle&quot;:&quot;&quot;},{&quot;family&quot;:&quot;Ahmed&quot;,&quot;given&quot;:&quot;Sofia B.&quot;,&quot;parse-names&quot;:false,&quot;dropping-particle&quot;:&quot;&quot;,&quot;non-dropping-particle&quot;:&quot;&quot;}],&quot;container-title&quot;:&quot;Physiological Reports&quot;,&quot;container-title-short&quot;:&quot;Physiol. Rep.&quot;,&quot;DOI&quot;:&quot;10.14814/phy2.15298&quot;,&quot;ISSN&quot;:&quot;2051817X&quot;,&quot;PMID&quot;:&quot;35608101&quot;,&quot;issued&quot;:{&quot;date-parts&quot;:[[2022]]},&quot;page&quot;:&quot;1-10&quot;,&quot;abstract&quot;:&quot;Low estradiol status is associated with increased cardiovascular risk. We sought to determine the association between heart rate variability (HRV), a marker of cardiovascular risk, at baseline and in response to stressor as a function of menopausal status, menstrual cycle phase and estradiol level. Forty-one healthy women (13 postmenopausal, 28 premenopausal) were studied. Eleven premenopausal women were additionally studied in the high and low estradiol phases of the menstrual cycle. HRV was calculated by spectral power analysis (low Frequency (LF), high frequency (HF) and LF:HF) at baseline and in response to graded Angiotensin II (AngII) infusion. The primary outcomes were differences in HRV at baseline and in response to AngII. Compared to premenopausal women in the low estradiol phase, postmenopausal women demonstrated lower baseline LF (p = 0.01) and HF (p &lt; 0.001) measures, which were not significant after adjustment for age and BMI. In response to AngII, a decrease in cardioprotective HRV (ΔHF = −0.43 ± 0.46 ln ms2, p = 0.005 vs. baseline) was observed in postmenopausal women versus premenopausal women. Baseline HRV parameters did not differ by menstrual phase in premenopausal women. During the low estradiol phase, no differences were observed in the HRV response to AngII challenge. In contrast, women in the high estradiol phase were unable to maintain HRV (ΔLF = −0.07 ± 0.46 ln ms2, p = 0.048 response vs. baseline, ΔHF = −0.33 ± 0.74 ln ms2, p = 0.048 response vs. baseline). No association was observed between any measure of HRV and estradiol level. Menopausal status and the high estradiol phase in premenopausal women were associated with reduced HRV, a marker of cardiovascular risk. Understanding the role of estradiol in the modulation of cardiac autonomic tone may help guide risk reduction strategies in women.&quot;,&quot;issue&quot;:&quot;10&quot;,&quot;volume&quot;:&quot;10&quot;},&quot;isTemporary&quot;:false}]},{&quot;citationID&quot;:&quot;MENDELEY_CITATION_482880ca-30c2-4b1b-a404-1eefe12749fa&quot;,&quot;properties&quot;:{&quot;noteIndex&quot;:0},&quot;isEdited&quot;:false,&quot;manualOverride&quot;:{&quot;citeprocText&quot;:&quot;[347–349]&quot;,&quot;isManuallyOverridden&quot;:false,&quot;manualOverrideText&quot;:&quot;&quot;},&quot;citationTag&quot;:&quot;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&quot;,&quot;citationItems&quot;:[{&quot;id&quot;:&quot;4a132341-df12-51c8-a7be-30eb1bd1424c&quot;,&quot;itemData&quot;:{&quot;DOI&quot;:&quot;10.1111/j.1542-474x.2001.tb00140.x&quot;,&quot;ISSN&quot;:&quot;1082720X&quot;,&quot;PMID&quot;:&quot;11844293&quot;,&quot;abstract&quot;:&quot;Objective: The aim of the study was to investigate the effects of menstrual cycle on cardiac autonomic function parameters in young healthy women by means of heart rate variability (HRV). Methods: Forty-three nonobese regularly cycling women (age 29 ± 6, range 20-38) were enrolled. Recordings for HRV analysis were obtained during the two phases of the menstrual cycle when the estrogen and progesterone levels peaked (follicular phase 11 ± 1 days and luteal phase 21 ± 1 days from the start of bleeding). Power spectral analysis of HRV was performed to calculate the low frequency peak (LF, 0.04-0.15 Hz), high frequency peak (HF, 0.15-0.40 Hz), LF in normalized unit (LF nU), HF in normalized unit (HF nU), and LF/HF ratio during the two phases of menstrual cycle. Results: The heart rates, LF and HF, were similar in both phases (P &gt; 0.05). A significant increase was noted in the LF NU in the luteal phase compared to follicular phase of the menstrual cycle (P = 0.014), whereas a tendency for increased HF NU was observed in the follicular phase (P = 0.053). Furthermore, LF/HF ratio was significantly higher in the luteal phase compared to follicular phase (2.1 ± 1.5 vs 1.6 ± 0.9, P = 0.002), suggesting increased sympathetic activity in the luteal phase. Conclusion: We concluded that regulation of autonomic tone is modified during menstrual cycle. The alteration in the balance of ovarian hormones might be responsible for these changes in the cardiac autonomic innervation.&quot;,&quot;author&quot;:[{&quot;dropping-particle&quot;:&quot;&quot;,&quot;family&quot;:&quot;Yildirir&quot;,&quot;given&quot;:&quot;Aylin&quot;,&quot;non-dropping-particle&quot;:&quot;&quot;,&quot;parse-names&quot;:false,&quot;suffix&quot;:&quot;&quot;},{&quot;dropping-particle&quot;:&quot;&quot;,&quot;family&quot;:&quot;Kabakci&quot;,&quot;given&quot;:&quot;Giray&quot;,&quot;non-dropping-particle&quot;:&quot;&quot;,&quot;parse-names&quot;:false,&quot;suffix&quot;:&quot;&quot;},{&quot;dropping-particle&quot;:&quot;&quot;,&quot;family&quot;:&quot;Akgul&quot;,&quot;given&quot;:&quot;Ebru&quot;,&quot;non-dropping-particle&quot;:&quot;&quot;,&quot;parse-names&quot;:false,&quot;suffix&quot;:&quot;&quot;},{&quot;dropping-particle&quot;:&quot;&quot;,&quot;family&quot;:&quot;Tokgozoglu&quot;,&quot;given&quot;:&quot;Lale&quot;,&quot;non-dropping-particle&quot;:&quot;&quot;,&quot;parse-names&quot;:false,&quot;suffix&quot;:&quot;&quot;},{&quot;dropping-particle&quot;:&quot;&quot;,&quot;family&quot;:&quot;Oto&quot;,&quot;given&quot;:&quot;Ali&quot;,&quot;non-dropping-particle&quot;:&quot;&quot;,&quot;parse-names&quot;:false,&quot;suffix&quot;:&quot;&quot;}],&quot;container-title&quot;:&quot;Annals of Noninvasive Electrocardiology&quot;,&quot;id&quot;:&quot;4a132341-df12-51c8-a7be-30eb1bd1424c&quot;,&quot;issue&quot;:&quot;1&quot;,&quot;issued&quot;:{&quot;date-parts&quot;:[[&quot;2001&quot;]]},&quot;page&quot;:&quot;60-63&quot;,&quot;title&quot;:&quot;Effects of menstrual cycle on cardiac autonomic innervation as assessed by heart rate variability&quot;,&quot;type&quot;:&quot;article-journal&quot;,&quot;volume&quot;:&quot;7&quot;,&quot;container-title-short&quot;:&quot;&quot;},&quot;uris&quot;:[&quot;http://www.mendeley.com/documents/?uuid=48d59372-1dab-4747-806d-9e5daa09cbf4&quot;],&quot;isTemporary&quot;:false,&quot;legacyDesktopId&quot;:&quot;48d59372-1dab-4747-806d-9e5daa09cbf4&quot;},{&quot;id&quot;:&quot;d6cdcb8c-dfc3-54f0-b185-9fd60de06c22&quot;,&quot;itemData&quot;:{&quot;DOI&quot;:&quot;10.1097/00006842-199507000-00004&quot;,&quot;ISSN&quot;:&quot;15347796&quot;,&quot;PMID&quot;:&quot;7480562&quot;,&quot;abstract&quot;:&quot;This study investigated the fluctuations of autonomic nervous activities during the menstrual cycle.Twenty college females were tested for cardiovascular reactivity to mental challenge during both follicular and luteal phases across two menstrual cycles. Power spectral analysis of heart rate variability (HRV) was used to examine the autonomic nervous activities. At baseline, although heart rate and blood pressure did not differ across the menstrual cycle, the low-frequency (LF) component in the HRV was higher and the high-frequency (HF) component in the HRV was lower during the luteal phase than during the follicular phase. The LF/HF ratio was also significantly greater in the luteal phase. These data suggest that sympathetic nervous activities are predominant in the luteal phase as compared with follicular phase. In addition, the power spectral analysis of HRV has more sensitivity than heart rate or blood pressure in assessing the slight fluctuations of autonomic nervous activities during the menstrual cycle. © 1995 by American Psychosomatic Society.&quot;,&quot;author&quot;:[{&quot;dropping-particle&quot;:&quot;&quot;,&quot;family&quot;:&quot;Sato&quot;,&quot;given&quot;:&quot;Nozomi&quot;,&quot;non-dropping-particle&quot;:&quot;&quot;,&quot;parse-names&quot;:false,&quot;suffix&quot;:&quot;&quot;},{&quot;dropping-particle&quot;:&quot;&quot;,&quot;family&quot;:&quot;Miyake&quot;,&quot;given&quot;:&quot;Shinji&quot;,&quot;non-dropping-particle&quot;:&quot;&quot;,&quot;parse-names&quot;:false,&quot;suffix&quot;:&quot;&quot;},{&quot;dropping-particle&quot;:&quot;&quot;,&quot;family&quot;:&quot;Akatsu&quot;,&quot;given&quot;:&quot;Jun'ichi&quot;,&quot;non-dropping-particle&quot;:&quot;&quot;,&quot;parse-names&quot;:false,&quot;suffix&quot;:&quot;&quot;},{&quot;dropping-particle&quot;:&quot;&quot;,&quot;family&quot;:&quot;Kumashiro&quot;,&quot;given&quot;:&quot;Masaharu&quot;,&quot;non-dropping-particle&quot;:&quot;&quot;,&quot;parse-names&quot;:false,&quot;suffix&quot;:&quot;&quot;}],&quot;container-title&quot;:&quot;Psychosomatic Medicine&quot;,&quot;id&quot;:&quot;d6cdcb8c-dfc3-54f0-b185-9fd60de06c22&quot;,&quot;issue&quot;:&quot;4&quot;,&quot;issued&quot;:{&quot;date-parts&quot;:[[&quot;1995&quot;]]},&quot;page&quot;:&quot;331-335&quot;,&quot;title&quot;:&quot;Power spectral analysis of heart rate variability in healthy young women during the normal menstrual cycle&quot;,&quot;type&quot;:&quot;article-journal&quot;,&quot;volume&quot;:&quot;57&quot;,&quot;container-title-short&quot;:&quot;Psychosom. Med.&quot;},&quot;uris&quot;:[&quot;http://www.mendeley.com/documents/?uuid=8581f5c4-d2c6-49ce-bccc-06bf73bf9854&quot;],&quot;isTemporary&quot;:false,&quot;legacyDesktopId&quot;:&quot;8581f5c4-d2c6-49ce-bccc-06bf73bf9854&quot;},{&quot;id&quot;:&quot;8e426f34-cdcf-58fc-a50f-782d69dd8360&quot;,&quot;itemData&quot;:{&quot;DOI&quot;:&quot;10.1016/S0165-1838(97)00067-2&quot;,&quot;ISSN&quot;:&quot;01651838&quot;,&quot;PMID&quot;:&quot;9334995&quot;,&quot;abstract&quot;:&quot;This study was designed to determine whether autonomic regulation induced by posture changes varies during the menstrual cycle. Heart rate variability (HRV) was analyzed in women with normal menstrual cycles (n = 10, age range 20-37 years) during 3 min periods of controlled frequency breathing (15 breaths/min) in supine followed by sitting positions. In a supine or sitting position, high frequency (HF) components of HRV, which reflects only parasympathetic activity, were significantly high in the follicular phase compared with those in the menstrual phase, suggesting that parasympathetic nerve activity increases in this phase. Following the change of position to sitting from supine, the HF component decreased significantly in the menstrual, ovulatory and luteal phases, but not the follicular or premenstrual phase. After changing the position to sitting, the low to high frequency component ratio, which reflects the balance of autonomic nerve activities, was increased significantly in the menstrual, luteal and premenstrual phases, indicating that sympathetic nerve activities in these phases became predominant by the sitting position. These results suggest that parasympathetic nerve activity is predominant in the follicular phase, resulting in an impairment of baroreflex caused by posture changes. Moreover, baroreflex control of the sympathetic component, not the parasympathetic component, increases in the premenstrual phase, while the reflex response of the sympathetic component is less in the ovulatory phase compared with the menstrual or luteal phase. We concluded that baroreflex regulation of autonomic functions induced by changing positions is modified during the menstrual cycle. A difference of a balance of ovarian hormones may be responsible far these changes of autonomic functions during the menstrual cycle.&quot;,&quot;author&quot;:[{&quot;dropping-particle&quot;:&quot;&quot;,&quot;family&quot;:&quot;Saeki&quot;,&quot;given&quot;:&quot;Yuka&quot;,&quot;non-dropping-particle&quot;:&quot;&quot;,&quot;parse-names&quot;:false,&quot;suffix&quot;:&quot;&quot;},{&quot;dropping-particle&quot;:&quot;&quot;,&quot;family&quot;:&quot;Atogami&quot;,&quot;given&quot;:&quot;Fumi&quot;,&quot;non-dropping-particle&quot;:&quot;&quot;,&quot;parse-names&quot;:false,&quot;suffix&quot;:&quot;&quot;},{&quot;dropping-particle&quot;:&quot;&quot;,&quot;family&quot;:&quot;Takahashi&quot;,&quot;given&quot;:&quot;Kana&quot;,&quot;non-dropping-particle&quot;:&quot;&quot;,&quot;parse-names&quot;:false,&quot;suffix&quot;:&quot;&quot;},{&quot;dropping-particle&quot;:&quot;&quot;,&quot;family&quot;:&quot;Yoshizawa&quot;,&quot;given&quot;:&quot;Toyoko&quot;,&quot;non-dropping-particle&quot;:&quot;&quot;,&quot;parse-names&quot;:false,&quot;suffix&quot;:&quot;&quot;}],&quot;container-title&quot;:&quot;Journal of the Autonomic Nervous System&quot;,&quot;id&quot;:&quot;8e426f34-cdcf-58fc-a50f-782d69dd8360&quot;,&quot;issue&quot;:&quot;1-2&quot;,&quot;issued&quot;:{&quot;date-parts&quot;:[[&quot;1997&quot;]]},&quot;page&quot;:&quot;69-74&quot;,&quot;title&quot;:&quot;Reflex control of autonomic function induced by posture change during the menstrual cycle&quot;,&quot;type&quot;:&quot;article-journal&quot;,&quot;volume&quot;:&quot;66&quot;,&quot;container-title-short&quot;:&quot;J. Auton. Nerv. Syst.&quot;},&quot;uris&quot;:[&quot;http://www.mendeley.com/documents/?uuid=5cf0734b-2d2b-481a-afda-5702fe4476f2&quot;],&quot;isTemporary&quot;:false,&quot;legacyDesktopId&quot;:&quot;5cf0734b-2d2b-481a-afda-5702fe4476f2&quot;}]},{&quot;citationID&quot;:&quot;MENDELEY_CITATION_ae3ff15c-5fb7-4a7f-b129-10c044543a64&quot;,&quot;properties&quot;:{&quot;noteIndex&quot;:0},&quot;isEdited&quot;:false,&quot;manualOverride&quot;:{&quot;citeprocText&quot;:&quot;[346,350]&quot;,&quot;isManuallyOverridden&quot;:false,&quot;manualOverrideText&quot;:&quot;&quot;},&quot;citationTag&quot;:&quot;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&quot;,&quot;citationItems&quot;:[{&quot;id&quot;:&quot;c1e79289-4d3e-547e-8f42-17724e67a5cf&quot;,&quot;itemData&quot;:{&quot;DOI&quot;:&quot;10.1113/eph8802535&quot;,&quot;ISSN&quot;:&quot;09580670&quot;,&quot;PMID&quot;:&quot;12719769&quot;,&quot;abstract&quot;:&quot;To our knowledge, the relationship between all four endogenous female sex hormones and resting cardiac autonomic function has not been studied. The aim of the current study was to examine the association between the normal endogenous levels of oestrogen (17β-oestradiol), progesterone, luteinising hormone and follicle-stimulating hormone and heart rate variability (HRV) during the menstrual cycle in young eumenorrheic women. Ten healthy, young, female subjects volunteered for this study. HRV and endogenous hormone levels were recorded at three phases of the menstrual cycle: menses (day 3.8 ± 0.5), ovulation (day 15.8 ± 0.7) and luteal (day 22.1 ± 0.4) to ensure HRV recordings at times of low (menses) and high (ovulation and luteal) hormonal influence. Heart rate recordings were obtained from supine resting subjects and analysed on a Holter analysis system. Total power (TP, 0-1.0 Hz), low frequency (LF, 0.041-0.15 Hz), high frequency (HF, 0.15-0.80 Hz) and LF/HF components of HRV were examined. Despite a significantly greater HR at ovulation and normal cyclic variations in all endogenous sex hormone levels, no measure of HRV was significantly different between menstrual cycle phases. Significant correlations between oestrogen levels and absolute measures of HRV at ovulation were identified. The results of the current study demonstrated that the normal cyclic variations in endogenous sex hormone levels during the menstrual cycle were not significantly associated with changes in cardiac autonomic control as measured by HRV. Significant correlation between peak oestrogen levels and HRV measures at ovulation provided further support for the reported cardioprotective effects of oestrogen in healthy females.&quot;,&quot;author&quot;:[{&quot;dropping-particle&quot;:&quot;&quot;,&quot;family&quot;:&quot;Leicht&quot;,&quot;given&quot;:&quot;Anthony S.&quot;,&quot;non-dropping-particle&quot;:&quot;&quot;,&quot;parse-names&quot;:false,&quot;suffix&quot;:&quot;&quot;},{&quot;dropping-particle&quot;:&quot;&quot;,&quot;family&quot;:&quot;Hirning&quot;,&quot;given&quot;:&quot;David A.&quot;,&quot;non-dropping-particle&quot;:&quot;&quot;,&quot;parse-names&quot;:false,&quot;suffix&quot;:&quot;&quot;},{&quot;dropping-particle&quot;:&quot;&quot;,&quot;family&quot;:&quot;Allen&quot;,&quot;given&quot;:&quot;Graham D.&quot;,&quot;non-dropping-particle&quot;:&quot;&quot;,&quot;parse-names&quot;:false,&quot;suffix&quot;:&quot;&quot;}],&quot;container-title&quot;:&quot;Experimental Physiology&quot;,&quot;id&quot;:&quot;c1e79289-4d3e-547e-8f42-17724e67a5cf&quot;,&quot;issue&quot;:&quot;3&quot;,&quot;issued&quot;:{&quot;date-parts&quot;:[[&quot;2003&quot;]]},&quot;page&quot;:&quot;441-446&quot;,&quot;title&quot;:&quot;Heart rate variability and endogenous sex hormones during the menstrual cycle in young women&quot;,&quot;type&quot;:&quot;article-journal&quot;,&quot;volume&quot;:&quot;88&quot;,&quot;container-title-short&quot;:&quot;Exp. Physiol.&quot;},&quot;uris&quot;:[&quot;http://www.mendeley.com/documents/?uuid=0fea5d0c-8b8a-4dac-bf16-151a4053a390&quot;],&quot;isTemporary&quot;:false,&quot;legacyDesktopId&quot;:&quot;0fea5d0c-8b8a-4dac-bf16-151a4053a390&quot;},{&quot;id&quot;:&quot;6e20859d-ec17-3b84-9806-2667123940d7&quot;,&quot;itemData&quot;:{&quot;type&quot;:&quot;article-journal&quot;,&quot;id&quot;:&quot;6e20859d-ec17-3b84-9806-2667123940d7&quot;,&quot;title&quot;:&quot;Heart rate variability as a function of menopausal status, menstrual cycle phase, and estradiol level&quot;,&quot;groupId&quot;:&quot;2d3873d7-e261-3da9-86b8-2cfa8990086d&quot;,&quot;author&quot;:[{&quot;family&quot;:&quot;Ramesh&quot;,&quot;given&quot;:&quot;Sharanya&quot;,&quot;parse-names&quot;:false,&quot;dropping-particle&quot;:&quot;&quot;,&quot;non-dropping-particle&quot;:&quot;&quot;},{&quot;family&quot;:&quot;James&quot;,&quot;given&quot;:&quot;Matthew T.&quot;,&quot;parse-names&quot;:false,&quot;dropping-particle&quot;:&quot;&quot;,&quot;non-dropping-particle&quot;:&quot;&quot;},{&quot;family&quot;:&quot;Holroyd-Leduc&quot;,&quot;given&quot;:&quot;Jayna M.&quot;,&quot;parse-names&quot;:false,&quot;dropping-particle&quot;:&quot;&quot;,&quot;non-dropping-particle&quot;:&quot;&quot;},{&quot;family&quot;:&quot;Wilton&quot;,&quot;given&quot;:&quot;Stephen B.&quot;,&quot;parse-names&quot;:false,&quot;dropping-particle&quot;:&quot;&quot;,&quot;non-dropping-particle&quot;:&quot;&quot;},{&quot;family&quot;:&quot;Sola&quot;,&quot;given&quot;:&quot;Darlene Y.&quot;,&quot;parse-names&quot;:false,&quot;dropping-particle&quot;:&quot;&quot;,&quot;non-dropping-particle&quot;:&quot;&quot;},{&quot;family&quot;:&quot;Ahmed&quot;,&quot;given&quot;:&quot;Sofia B.&quot;,&quot;parse-names&quot;:false,&quot;dropping-particle&quot;:&quot;&quot;,&quot;non-dropping-particle&quot;:&quot;&quot;}],&quot;container-title&quot;:&quot;Physiological Reports&quot;,&quot;container-title-short&quot;:&quot;Physiol. Rep.&quot;,&quot;DOI&quot;:&quot;10.14814/phy2.15298&quot;,&quot;ISSN&quot;:&quot;2051817X&quot;,&quot;PMID&quot;:&quot;35608101&quot;,&quot;issued&quot;:{&quot;date-parts&quot;:[[2022]]},&quot;page&quot;:&quot;1-10&quot;,&quot;abstract&quot;:&quot;Low estradiol status is associated with increased cardiovascular risk. We sought to determine the association between heart rate variability (HRV), a marker of cardiovascular risk, at baseline and in response to stressor as a function of menopausal status, menstrual cycle phase and estradiol level. Forty-one healthy women (13 postmenopausal, 28 premenopausal) were studied. Eleven premenopausal women were additionally studied in the high and low estradiol phases of the menstrual cycle. HRV was calculated by spectral power analysis (low Frequency (LF), high frequency (HF) and LF:HF) at baseline and in response to graded Angiotensin II (AngII) infusion. The primary outcomes were differences in HRV at baseline and in response to AngII. Compared to premenopausal women in the low estradiol phase, postmenopausal women demonstrated lower baseline LF (p = 0.01) and HF (p &lt; 0.001) measures, which were not significant after adjustment for age and BMI. In response to AngII, a decrease in cardioprotective HRV (ΔHF = −0.43 ± 0.46 ln ms2, p = 0.005 vs. baseline) was observed in postmenopausal women versus premenopausal women. Baseline HRV parameters did not differ by menstrual phase in premenopausal women. During the low estradiol phase, no differences were observed in the HRV response to AngII challenge. In contrast, women in the high estradiol phase were unable to maintain HRV (ΔLF = −0.07 ± 0.46 ln ms2, p = 0.048 response vs. baseline, ΔHF = −0.33 ± 0.74 ln ms2, p = 0.048 response vs. baseline). No association was observed between any measure of HRV and estradiol level. Menopausal status and the high estradiol phase in premenopausal women were associated with reduced HRV, a marker of cardiovascular risk. Understanding the role of estradiol in the modulation of cardiac autonomic tone may help guide risk reduction strategies in women.&quot;,&quot;issue&quot;:&quot;10&quot;,&quot;volume&quot;:&quot;10&quot;},&quot;isTemporary&quot;:false}]},{&quot;citationID&quot;:&quot;MENDELEY_CITATION_f99d4577-52c3-4f66-93a0-f07dcc0ec173&quot;,&quot;properties&quot;:{&quot;noteIndex&quot;:0},&quot;isEdited&quot;:false,&quot;manualOverride&quot;:{&quot;citeprocText&quot;:&quot;[351,352]&quot;,&quot;isManuallyOverridden&quot;:false,&quot;manualOverrideText&quot;:&quot;&quot;},&quot;citationTag&quot;:&quot;MENDELEY_CITATION_v3_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&quot;,&quot;citationItems&quot;:[{&quot;id&quot;:&quot;c5a8d856-a60a-57db-9b17-85be1de589ce&quot;,&quot;itemData&quot;:{&quot;DOI&quot;:&quot;10.1210/jcem.87.4.8406&quot;,&quot;ISSN&quot;:&quot;0021972X&quot;,&quot;PMID&quot;:&quot;11932284&quot;,&quot;abstract&quot;:&quot;Gonadal hormones may affect homeostatic mechanisms regulating the cardiovascular system. We investigated this relationship at five different crucial hormonal time points along the menstrual cycle. Eight eumenorrheic healthy subjects underwent a battery of autonomic tests, hemodynamics, and volume-regulatory hormone measurements. Fluid-regulatory hormones, plasma renin activity, and aldosterone increased along the luteal phase (P = 0.003 and 0.02, respectively), whereas rest supine-corrected hematocrit declined in the course of the menstrual cycle (P = 0.001). Plasma norepinephrine decreased from 1.4 ± 0.2 to 0.95 ± 0.1 nmol/liter (P &lt; 0.02) [early follicular (EF) to late follicular]. Thereafter, concentrations gradually returned to EF levels. Lf to Hf domain ratio (spectral analysis of electrocardiogram) showed a difference from that of norepinephrine. The cardiovagal baroreflex sensitivity increased significantly along the luteal phase (P = 0.04). The dose of isoproterenol required to increase heart rate (HR) 15 beats per minute was 0.19 ± 0.04 μg during the EF time point, and it increased to 0.39 ± 0.06 μg during the late luteal time point (P = 0.05). However, blood pressure, HR, and their responses to orthostatic stress remained unchanged. Fluctuations in the ovarian hormones along the menstrual cycle are associated with unchanged blood pressure and HR, despite the significant variations in the different homeostatic mechanisms regulating the cardiovascular system.&quot;,&quot;author&quot;:[{&quot;dropping-particle&quot;:&quot;&quot;,&quot;family&quot;:&quot;Hirshoren&quot;,&quot;given&quot;:&quot;Nir&quot;,&quot;non-dropping-particle&quot;:&quot;&quot;,&quot;parse-names&quot;:false,&quot;suffix&quot;:&quot;&quot;},{&quot;dropping-particle&quot;:&quot;&quot;,&quot;family&quot;:&quot;Tzoran&quot;,&quot;given&quot;:&quot;Inna&quot;,&quot;non-dropping-particle&quot;:&quot;&quot;,&quot;parse-names&quot;:false,&quot;suffix&quot;:&quot;&quot;},{&quot;dropping-particle&quot;:&quot;&quot;,&quot;family&quot;:&quot;Makrienko&quot;,&quot;given&quot;:&quot;Igor&quot;,&quot;non-dropping-particle&quot;:&quot;&quot;,&quot;parse-names&quot;:false,&quot;suffix&quot;:&quot;&quot;},{&quot;dropping-particle&quot;:&quot;&quot;,&quot;family&quot;:&quot;Edoute&quot;,&quot;given&quot;:&quot;Yehuda&quot;,&quot;non-dropping-particle&quot;:&quot;&quot;,&quot;parse-names&quot;:false,&quot;suffix&quot;:&quot;&quot;},{&quot;dropping-particle&quot;:&quot;&quot;,&quot;family&quot;:&quot;Plawner&quot;,&quot;given&quot;:&quot;Mikahl M.&quot;,&quot;non-dropping-particle&quot;:&quot;&quot;,&quot;parse-names&quot;:false,&quot;suffix&quot;:&quot;&quot;},{&quot;dropping-particle&quot;:&quot;&quot;,&quot;family&quot;:&quot;Itskovitz-Eldor&quot;,&quot;given&quot;:&quot;Joseph&quot;,&quot;non-dropping-particle&quot;:&quot;&quot;,&quot;parse-names&quot;:false,&quot;suffix&quot;:&quot;&quot;},{&quot;dropping-particle&quot;:&quot;&quot;,&quot;family&quot;:&quot;Jacob&quot;,&quot;given&quot;:&quot;Giris&quot;,&quot;non-dropping-particle&quot;:&quot;&quot;,&quot;parse-names&quot;:false,&quot;suffix&quot;:&quot;&quot;},{&quot;dropping-particle&quot;:&quot;&quot;,&quot;family&quot;:&quot;Center&quot;,&quot;given&quot;:&quot;Rambam Medical&quot;,&quot;non-dropping-particle&quot;:&quot;&quot;,&quot;parse-names&quot;:false,&quot;suffix&quot;:&quot;&quot;}],&quot;container-title&quot;:&quot;Journal of Clinical Endocrinology and Metabolism&quot;,&quot;id&quot;:&quot;c5a8d856-a60a-57db-9b17-85be1de589ce&quot;,&quot;issue&quot;:&quot;4&quot;,&quot;issued&quot;:{&quot;date-parts&quot;:[[&quot;2002&quot;]]},&quot;page&quot;:&quot;1569-1575&quot;,&quot;title&quot;:&quot;Menstrual cycle effects on the neurohumoral and autonomic nervous systems regulating the cardiovascular system&quot;,&quot;type&quot;:&quot;article-journal&quot;,&quot;volume&quot;:&quot;87&quot;,&quot;container-title-short&quot;:&quot;&quot;},&quot;uris&quot;:[&quot;http://www.mendeley.com/documents/?uuid=61e7e9bf-3d46-4d16-99fa-06af3550cd5b&quot;],&quot;isTemporary&quot;:false,&quot;legacyDesktopId&quot;:&quot;61e7e9bf-3d46-4d16-99fa-06af3550cd5b&quot;},{&quot;id&quot;:&quot;41d52c67-8d6c-5176-a36e-0e6ce137f44c&quot;,&quot;itemData&quot;:{&quot;DOI&quot;:&quot;10.1152/ajpheart.00256.2003&quot;,&quot;ISSN&quot;:&quot;03636135&quot;,&quot;PMID&quot;:&quot;12881217&quot;,&quot;abstract&quot;:&quot;Our previous studies demonstrated that premenopausal women have dominant vagal and subordinate sympathetic activity compared with age-matched men. This study was designed to investigate the role of estrogen in gender-related autonomic differences. We evaluated the heart rate variability of four healthy groups: aged-matched postmenopausal women without hormone replacement therapy (PM), postmenopausal women on conjugated estrogen replacement therapy (PME), men, and non-age-matched premenopausal women (PreM). Frequency-domain analysis of short-term and stationary R-R intervals was performed to evaluate low-frequency power (LF; 0.04-0.15 Hz), high-frequency power (HF; 0.15-0.40 Hz), the ratio of LF to HF (LF/HF), and LF in normalized units (LF%). No gender-related autonomic differences existed between the PM and men groups, but they did exist between the PME and men group. Compared with the PreM group, the PM group had a lower HF and higher LF% and LF/HF. Compared with the PM group, the PME group had a higher HF but lower LF% and LF/HF. These results suggest that conjugated estrogen replacement therapy may facilitate vagal and attenuate sympathetic regulation of heart rate in postmenopausal women. In addition, estrogen may play an important role in gender-related autonomic differences.&quot;,&quot;author&quot;:[{&quot;dropping-particle&quot;:&quot;&quot;,&quot;family&quot;:&quot;Liu&quot;,&quot;given&quot;:&quot;C. C.&quot;,&quot;non-dropping-particle&quot;:&quot;&quot;,&quot;parse-names&quot;:false,&quot;suffix&quot;:&quot;&quot;},{&quot;dropping-particle&quot;:&quot;&quot;,&quot;family&quot;:&quot;Kuo&quot;,&quot;given&quot;:&quot;Terry B.J.&quot;,&quot;non-dropping-particle&quot;:&quot;&quot;,&quot;parse-names&quot;:false,&quot;suffix&quot;:&quot;&quot;},{&quot;dropping-particle&quot;:&quot;&quot;,&quot;family&quot;:&quot;Yang&quot;,&quot;given&quot;:&quot;Cheryl C.H.&quot;,&quot;non-dropping-particle&quot;:&quot;&quot;,&quot;parse-names&quot;:false,&quot;suffix&quot;:&quot;&quot;}],&quot;container-title&quot;:&quot;American Journal of Physiology - Heart and Circulatory Physiology&quot;,&quot;id&quot;:&quot;41d52c67-8d6c-5176-a36e-0e6ce137f44c&quot;,&quot;issue&quot;:&quot;5 54-5&quot;,&quot;issued&quot;:{&quot;date-parts&quot;:[[&quot;2003&quot;]]},&quot;page&quot;:&quot;2188-2193&quot;,&quot;title&quot;:&quot;Effects of estrogen on gender-related autonomic differences in humans&quot;,&quot;type&quot;:&quot;article-journal&quot;,&quot;volume&quot;:&quot;285&quot;,&quot;container-title-short&quot;:&quot;Am. J. Physiol. Heart Circ. Physiol.&quot;},&quot;uris&quot;:[&quot;http://www.mendeley.com/documents/?uuid=a2b52e7c-57e2-4a96-9a78-73674f771f00&quot;],&quot;isTemporary&quot;:false,&quot;legacyDesktopId&quot;:&quot;a2b52e7c-57e2-4a96-9a78-73674f771f00&quot;}]},{&quot;citationID&quot;:&quot;MENDELEY_CITATION_98947eb8-8ee4-4939-8994-0d73e41ffbc5&quot;,&quot;properties&quot;:{&quot;noteIndex&quot;:0},&quot;isEdited&quot;:false,&quot;manualOverride&quot;:{&quot;citeprocText&quot;:&quot;[353–355]&quot;,&quot;isManuallyOverridden&quot;:false,&quot;manualOverrideText&quot;:&quot;&quot;},&quot;citationTag&quot;:&quot;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&quot;,&quot;citationItems&quot;:[{&quot;id&quot;:&quot;d82d2330-3ba1-5ebd-8f6b-90b36da2405b&quot;,&quot;itemData&quot;:{&quot;DOI&quot;:&quot;10.1161/01.CIR.101.8.862&quot;,&quot;ISSN&quot;:&quot;00097322&quot;,&quot;PMID&quot;:&quot;10694525&quot;,&quot;abstract&quot;:&quot;Background - Our goal was to test sympathetic and cardiovagal baroreflex sensitivity and the transduction of sympathetic traffic into vascular resistance during the early follicular (EF) and midluteal (ML) phases of the menstrual cycle. Methods and Results - Sympathetic baroreflex sensitivity was assessed by lowering and raising blood pressure with intravenous bolus doses of sodium nitroprusside and phenylephrine. It was defined as the slope relating muscle sympathetic nerve activity (MSNA; determined by microneurography) and diastolic blood pressure. Cardiovagal baroreflex sensitivity was defined as the slope relating R-R interval and systolic blood pressure. Vascular transduction was evaluated during ischemic handgrip exercise and postexercise ischemia, and it was defined as the slope relating MSNA and calf vascular resistance (determined by plethysmography) Resting MSNA (EF, 1170 ± 151 U/min; ML 2252 ± 251 U/min; P &lt; 0.001) and plasma norepinephrine levels (EF, 240 ± 21 pg/mL; ML, 294 ± 25 pg/mL; P=0.025) were significantly higher in the ML than in the EF phase. Furthermore, sympathetic baroreflex sensitivity was greater during the ML than the EF phase in every subject (MSNA/diastolic blood pressure slopes: EF, -4.15; FL, -5.42 P=0.005). No significant differences in cardiovagal baroreflex sensitivity or vascular transduction were observed. Conclusions - The present study suggests that the hormonal fluctuations that occur during the normal menstrual cycle may alter sympathetic outflow but not the transduction of sympathetic activity into vascular resistance.&quot;,&quot;author&quot;:[{&quot;dropping-particle&quot;:&quot;&quot;,&quot;family&quot;:&quot;Minson&quot;,&quot;given&quot;:&quot;Christopher T.&quot;,&quot;non-dropping-particle&quot;:&quot;&quot;,&quot;parse-names&quot;:false,&quot;suffix&quot;:&quot;&quot;},{&quot;dropping-particle&quot;:&quot;&quot;,&quot;family&quot;:&quot;Halliwill&quot;,&quot;given&quot;:&quot;John R.&quot;,&quot;non-dropping-particle&quot;:&quot;&quot;,&quot;parse-names&quot;:false,&quot;suffix&quot;:&quot;&quot;},{&quot;dropping-particle&quot;:&quot;&quot;,&quot;family&quot;:&quot;Young&quot;,&quot;given&quot;:&quot;Tamica M.&quot;,&quot;non-dropping-particle&quot;:&quot;&quot;,&quot;parse-names&quot;:false,&quot;suffix&quot;:&quot;&quot;},{&quot;dropping-particle&quot;:&quot;&quot;,&quot;family&quot;:&quot;Joyner&quot;,&quot;given&quot;:&quot;Michael J.&quot;,&quot;non-dropping-particle&quot;:&quot;&quot;,&quot;parse-names&quot;:false,&quot;suffix&quot;:&quot;&quot;}],&quot;container-title&quot;:&quot;Circulation&quot;,&quot;id&quot;:&quot;d82d2330-3ba1-5ebd-8f6b-90b36da2405b&quot;,&quot;issue&quot;:&quot;8&quot;,&quot;issued&quot;:{&quot;date-parts&quot;:[[&quot;2000&quot;]]},&quot;page&quot;:&quot;862-868&quot;,&quot;title&quot;:&quot;Influence of the menstrual cycle on sympathetic activity, baroreflex sensitivity, and vascular transduction in young women&quot;,&quot;type&quot;:&quot;article-journal&quot;,&quot;volume&quot;:&quot;101&quot;,&quot;container-title-short&quot;:&quot;Circulation&quot;},&quot;uris&quot;:[&quot;http://www.mendeley.com/documents/?uuid=cd5e0cda-d7c2-4f0b-854e-b3e177475aa1&quot;],&quot;isTemporary&quot;:false,&quot;legacyDesktopId&quot;:&quot;cd5e0cda-d7c2-4f0b-854e-b3e177475aa1&quot;},{&quot;id&quot;:&quot;a3e3b5ea-4802-50f4-b119-5af2ec44e8fd&quot;,&quot;itemData&quot;:{&quot;DOI&quot;:&quot;10.1161/01.CIR.102.13.1473&quot;,&quot;ISSN&quot;:&quot;00097322&quot;,&quot;PMID&quot;:&quot;11004135&quot;,&quot;abstract&quot;:&quot;Background - We tested sympathetic and cardiovagal baroreflex sensitivity during the placebo or 'low-hormone' phase (LH) and 2 to 3 weeks later during the 'high-hormone' phase (HH) of oral contraceptive (OC) use in 9 women. Methods and Results - Sympathetic baroreflex sensitivity was assessed by intravenous doses of sodium nitroprusside and phenylephrine and defined as the slope relating muscle sympathetic nerve activity (by microneurography) and diastolic blood pressure. Cardiovagal baroreflex sensitivity was defined as the slope relating R-R interval and systolic blood pressure. No difference was observed for resting muscle sympathetic nerve activity or plasma norepinephrine levels. However, sympathetic baroreflex sensitivity was greater and mean arterial pressure was higher during the LH than in the HH phase. Similarly, cardiovagal baroreflex sensitivity was greater in the LH than in the HH phase. Conclusions - Sympathetic and cardiovagal baroreflex sensitivities change during the 28-day course of OC use. Furthermore, changes in baroreflex sensitivity with OC differ from changes in baroreflex sensitivity during the normal menstrual cycle.&quot;,&quot;author&quot;:[{&quot;dropping-particle&quot;:&quot;&quot;,&quot;family&quot;:&quot;Minson&quot;,&quot;given&quot;:&quot;Christopher T.&quot;,&quot;non-dropping-particle&quot;:&quot;&quot;,&quot;parse-names&quot;:false,&quot;suffix&quot;:&quot;&quot;},{&quot;dropping-particle&quot;:&quot;&quot;,&quot;family&quot;:&quot;Halliwill&quot;,&quot;given&quot;:&quot;John R.&quot;,&quot;non-dropping-particle&quot;:&quot;&quot;,&quot;parse-names&quot;:false,&quot;suffix&quot;:&quot;&quot;},{&quot;dropping-particle&quot;:&quot;&quot;,&quot;family&quot;:&quot;Young&quot;,&quot;given&quot;:&quot;Tamica M.&quot;,&quot;non-dropping-particle&quot;:&quot;&quot;,&quot;parse-names&quot;:false,&quot;suffix&quot;:&quot;&quot;},{&quot;dropping-particle&quot;:&quot;&quot;,&quot;family&quot;:&quot;Joyner&quot;,&quot;given&quot;:&quot;Michael J.&quot;,&quot;non-dropping-particle&quot;:&quot;&quot;,&quot;parse-names&quot;:false,&quot;suffix&quot;:&quot;&quot;}],&quot;container-title&quot;:&quot;Circulation&quot;,&quot;id&quot;:&quot;a3e3b5ea-4802-50f4-b119-5af2ec44e8fd&quot;,&quot;issue&quot;:&quot;13&quot;,&quot;issued&quot;:{&quot;date-parts&quot;:[[&quot;2000&quot;]]},&quot;page&quot;:&quot;1473-1476&quot;,&quot;title&quot;:&quot;Sympathetic activity and baroreflex sensitivity in young women taking oral contraceptives&quot;,&quot;type&quot;:&quot;article-journal&quot;,&quot;volume&quot;:&quot;102&quot;,&quot;container-title-short&quot;:&quot;Circulation&quot;},&quot;uris&quot;:[&quot;http://www.mendeley.com/documents/?uuid=f37bf26d-b0e6-4d89-a79e-b070c5bdd55e&quot;],&quot;isTemporary&quot;:false,&quot;legacyDesktopId&quot;:&quot;f37bf26d-b0e6-4d89-a79e-b070c5bdd55e&quot;},{&quot;id&quot;:&quot;726a6883-2e05-5aa3-b573-ffd78972062e&quot;,&quot;itemData&quot;:{&quot;DOI&quot;:&quot;10.1111/psyp.12510&quot;,&quot;ISSN&quot;:&quot;14698986&quot;,&quot;PMID&quot;:&quot;26332575&quot;,&quot;abstract&quot;:&quot;Previous studies have shown that resting heart rate variability (HRV) is modified by different phases of the menstrual cycle in nonusers of oral contraceptive pills (OCP); however, the effect of OCP on autonomic control of the heart remains unclear. The purpose of this study was to investigate HRV during the low hormone (LH-not taking OCP) and during the high hormone (HH-active OCP use) phases of the menstrual cycle in young women. Seventeen healthy women (19-31 years) taking OCP for at least 6 consecutive months were enrolled in this study. Plasma estradiol and progesterone were verified at each visit. HRV was assessed by using one-lead electrocardiography in time and frequency domains, in which participants rested in the supine position for a 20-min period with a breathing rate of 15 cycles/min. In addition, resting heart rate, and systolic and diastolic blood pressure were obtained. Both plasma estradiol (LH: 19.8±4.2 pg/mL vs. HH: 12.4±1.5 pg/mL; p&gt;.05) and progesterone (LH: 0.247±0.58 ng/mL vs. HH: 0.371±0.08 ng/mL; p&gt;.05) (mean±SE) levels were similar in both phases. No significant difference was obtained for any component of HRV, heart rate, or blood pressure between the LH and HH phases (p&gt;.05). These results provide preliminary evidence that use of OCP does not affect HRV during the menstrual cycle in healthy women.&quot;,&quot;author&quot;:[{&quot;dropping-particle&quot;:&quot;&quot;,&quot;family&quot;:&quot;Teixeira&quot;,&quot;given&quot;:&quot;André L.&quot;,&quot;non-dropping-particle&quot;:&quot;&quot;,&quot;parse-names&quot;:false,&quot;suffix&quot;:&quot;&quot;},{&quot;dropping-particle&quot;:&quot;&quot;,&quot;family&quot;:&quot;Ramos&quot;,&quot;given&quot;:&quot;Plínio S.&quot;,&quot;non-dropping-particle&quot;:&quot;&quot;,&quot;parse-names&quot;:false,&quot;suffix&quot;:&quot;&quot;},{&quot;dropping-particle&quot;:&quot;&quot;,&quot;family&quot;:&quot;Vianna&quot;,&quot;given&quot;:&quot;Lauro C.&quot;,&quot;non-dropping-particle&quot;:&quot;&quot;,&quot;parse-names&quot;:false,&quot;suffix&quot;:&quot;&quot;},{&quot;dropping-particle&quot;:&quot;&quot;,&quot;family&quot;:&quot;Ricardo&quot;,&quot;given&quot;:&quot;Djalma R.&quot;,&quot;non-dropping-particle&quot;:&quot;&quot;,&quot;parse-names&quot;:false,&quot;suffix&quot;:&quot;&quot;}],&quot;container-title&quot;:&quot;Psychophysiology&quot;,&quot;id&quot;:&quot;726a6883-2e05-5aa3-b573-ffd78972062e&quot;,&quot;issue&quot;:&quot;11&quot;,&quot;issued&quot;:{&quot;date-parts&quot;:[[&quot;2015&quot;]]},&quot;page&quot;:&quot;1451-1455&quot;,&quot;title&quot;:&quot;Heart rate variability across the menstrual cycle in young women taking oral contraceptives&quot;,&quot;type&quot;:&quot;article-journal&quot;,&quot;volume&quot;:&quot;52&quot;,&quot;container-title-short&quot;:&quot;Psychophysiology&quot;},&quot;uris&quot;:[&quot;http://www.mendeley.com/documents/?uuid=1ad0b74c-9d16-42f3-83c0-2ded631e7e09&quot;],&quot;isTemporary&quot;:false,&quot;legacyDesktopId&quot;:&quot;1ad0b74c-9d16-42f3-83c0-2ded631e7e09&quot;}]},{&quot;citationID&quot;:&quot;MENDELEY_CITATION_5a68c5c9-c29e-4319-a338-c3d617504c1c&quot;,&quot;properties&quot;:{&quot;noteIndex&quot;:0},&quot;isEdited&quot;:false,&quot;manualOverride&quot;:{&quot;citeprocText&quot;:&quot;[303,333,336]&quot;,&quot;isManuallyOverridden&quot;:false,&quot;manualOverrideText&quot;:&quot;&quot;},&quot;citationTag&quot;:&quot;MENDELEY_CITATION_v3_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quot;,&quot;citationItems&quot;:[{&quot;id&quot;:&quot;e8f07c90-4f5e-5b34-bee4-92c6ef8d69ba&quot;,&quot;itemData&quot;:{&quot;DOI&quot;:&quot;10.1136/hrt.55.4.348&quot;,&quot;ISSN&quot;:&quot;1355-6037&quot;,&quot;author&quot;:[{&quot;dropping-particle&quot;:&quot;&quot;,&quot;family&quot;:&quot;O'Brien&quot;,&quot;given&quot;:&quot;I A&quot;,&quot;non-dropping-particle&quot;:&quot;&quot;,&quot;parse-names&quot;:false,&quot;suffix&quot;:&quot;&quot;},{&quot;dropping-particle&quot;:&quot;&quot;,&quot;family&quot;:&quot;O'Hare&quot;,&quot;given&quot;:&quot;P&quot;,&quot;non-dropping-particle&quot;:&quot;&quot;,&quot;parse-names&quot;:false,&quot;suffix&quot;:&quot;&quot;},{&quot;dropping-particle&quot;:&quot;&quot;,&quot;family&quot;:&quot;Corrall&quot;,&quot;given&quot;:&quot;R J&quot;,&quot;non-dropping-particle&quot;:&quot;&quot;,&quot;parse-names&quot;:false,&quot;suffix&quot;:&quot;&quot;}],&quot;container-title&quot;:&quot;Heart&quot;,&quot;id&quot;:&quot;e8f07c90-4f5e-5b34-bee4-92c6ef8d69ba&quot;,&quot;issue&quot;:&quot;4&quot;,&quot;issued&quot;:{&quot;date-parts&quot;:[[&quot;1986&quot;,&quot;4&quot;,&quot;1&quot;]]},&quot;page&quot;:&quot;348-354&quot;,&quot;title&quot;:&quot;Heart rate variability in healthy subjects: effect of age and the derivation of normal ranges for tests of autonomic function.&quot;,&quot;type&quot;:&quot;article-journal&quot;,&quot;volume&quot;:&quot;55&quot;,&quot;container-title-short&quot;:&quot;&quot;},&quot;uris&quot;:[&quot;http://www.mendeley.com/documents/?uuid=e0673616-9f67-477d-a25e-3938ac58c33f&quot;],&quot;isTemporary&quot;:false,&quot;legacyDesktopId&quot;:&quot;e0673616-9f67-477d-a25e-3938ac58c33f&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id&quot;:&quot;d5f77b83-acac-5d19-bec1-3944b8604ae0&quot;,&quot;itemData&quot;:{&quot;DOI&quot;:&quot;10.1088/0967-3334/33/8/1289&quot;,&quot;ISSN&quot;:&quot;13616579&quot;,&quot;PMID&quot;:&quot;22813869&quot;,&quot;abstract&quot;:&quot;Heart rate variability (HRV) analysis is an established method to characterize the autonomic regulation and is based mostly on 24h Holter recordings. The importance of short-term HRV (less than 30min) for various applications is growing consistently. Major reasons for this are the suitability for ambulatory care and patient monitoring and the ability to provide an almost immediate test result. So far, there have been only a few studies that provided statistically relevant reference values for short-term HRV. In our study, 5min short-term HRV indices were determined from 1906 healthy subjects. From these records, linear and nonlinear indices were extracted. To determine general age-related influences, HRV indices were compared from subjects aged 25-49years with subjects aged 50-74years. In a second approach, we examined the development of HRV indices by age in terms of age decades (25-34, 35-44, 45-54, 55-64 and 65-74years). Our results showed significant variations of HRV indices by age in almost all domains. While marked dynamics in terms of parameter change (variability reduction) were observed in the first age decades, in particular the last two age decades showed certain constancy with respect to the HRV indices examined. © 2012 Institute of Physics and Engineering in Medicine.&quot;,&quot;author&quot;:[{&quot;dropping-particle&quot;:&quot;&quot;,&quot;family&quot;:&quot;Voss&quot;,&quot;given&quot;:&quot;A.&quot;,&quot;non-dropping-particle&quot;:&quot;&quot;,&quot;parse-names&quot;:false,&quot;suffix&quot;:&quot;&quot;},{&quot;dropping-particle&quot;:&quot;&quot;,&quot;family&quot;:&quot;Heitmann&quot;,&quot;given&quot;:&quot;A.&quot;,&quot;non-dropping-particle&quot;:&quot;&quot;,&quot;parse-names&quot;:false,&quot;suffix&quot;:&quot;&quot;},{&quot;dropping-particle&quot;:&quot;&quot;,&quot;family&quot;:&quot;Schroeder&quot;,&quot;given&quot;:&quot;R.&quot;,&quot;non-dropping-particle&quot;:&quot;&quot;,&quot;parse-names&quot;:false,&quot;suffix&quot;:&quot;&quot;},{&quot;dropping-particle&quot;:&quot;&quot;,&quot;family&quot;:&quot;Peters&quot;,&quot;given&quot;:&quot;A.&quot;,&quot;non-dropping-particle&quot;:&quot;&quot;,&quot;parse-names&quot;:false,&quot;suffix&quot;:&quot;&quot;},{&quot;dropping-particle&quot;:&quot;&quot;,&quot;family&quot;:&quot;Perz&quot;,&quot;given&quot;:&quot;S.&quot;,&quot;non-dropping-particle&quot;:&quot;&quot;,&quot;parse-names&quot;:false,&quot;suffix&quot;:&quot;&quot;}],&quot;container-title&quot;:&quot;Physiological Measurement&quot;,&quot;id&quot;:&quot;d5f77b83-acac-5d19-bec1-3944b8604ae0&quot;,&quot;issue&quot;:&quot;8&quot;,&quot;issued&quot;:{&quot;date-parts&quot;:[[&quot;2012&quot;]]},&quot;page&quot;:&quot;1289-1311&quot;,&quot;title&quot;:&quot;Short-term heart rate variability - Age dependence in healthy subjects&quot;,&quot;type&quot;:&quot;article-journal&quot;,&quot;volume&quot;:&quot;33&quot;,&quot;container-title-short&quot;:&quot;Physiol. Meas.&quot;},&quot;uris&quot;:[&quot;http://www.mendeley.com/documents/?uuid=861f39d8-7d65-4929-af45-7c36d490253e&quot;],&quot;isTemporary&quot;:false,&quot;legacyDesktopId&quot;:&quot;861f39d8-7d65-4929-af45-7c36d490253e&quot;}]},{&quot;citationID&quot;:&quot;MENDELEY_CITATION_3187b211-47b3-4e86-8f9c-d80f8f6c2689&quot;,&quot;properties&quot;:{&quot;noteIndex&quot;:0},&quot;isEdited&quot;:false,&quot;manualOverride&quot;:{&quot;citeprocText&quot;:&quot;[356,357]&quot;,&quot;isManuallyOverridden&quot;:false,&quot;manualOverrideText&quot;:&quot;&quot;},&quot;citationTag&quot;:&quot;MENDELEY_CITATION_v3_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&quot;,&quot;citationItems&quot;:[{&quot;id&quot;:&quot;b1676b8c-17e5-5a63-a35e-60ed6e0a53f4&quot;,&quot;itemData&quot;:{&quot;DOI&quot;:&quot;10.1111/j.1445-5994.1990.tb01315.x&quot;,&quot;ISSN&quot;:&quot;14455994&quot;,&quot;PMID&quot;:&quot;2222350&quot;,&quot;abstract&quot;:&quot;Abstract We studied 76 healthy subjects (five‐85 years) with a number of invasive and non‐invasive tests of autonomie function. Age related effects were found with the tests of predominantly vagal cardiovascular function. However, there were no age related effects found with the tests of predominantly sympathetic cardiovascular function. The age of the subject should be taken into consideration when evaluating tests of autonomic function and each laboratory should establish its own control values. Copyright © 1990, Wiley Blackwell. All rights reserved&quot;,&quot;author&quot;:[{&quot;dropping-particle&quot;:&quot;&quot;,&quot;family&quot;:&quot;Ingall&quot;,&quot;given&quot;:&quot;T. J.&quot;,&quot;non-dropping-particle&quot;:&quot;&quot;,&quot;parse-names&quot;:false,&quot;suffix&quot;:&quot;&quot;},{&quot;dropping-particle&quot;:&quot;&quot;,&quot;family&quot;:&quot;McLeod&quot;,&quot;given&quot;:&quot;J. G.&quot;,&quot;non-dropping-particle&quot;:&quot;&quot;,&quot;parse-names&quot;:false,&quot;suffix&quot;:&quot;&quot;},{&quot;dropping-particle&quot;:&quot;&quot;,&quot;family&quot;:&quot;O'Brien&quot;,&quot;given&quot;:&quot;P. C.&quot;,&quot;non-dropping-particle&quot;:&quot;&quot;,&quot;parse-names&quot;:false,&quot;suffix&quot;:&quot;&quot;}],&quot;container-title&quot;:&quot;Australian and New Zealand Journal of Medicine&quot;,&quot;id&quot;:&quot;b1676b8c-17e5-5a63-a35e-60ed6e0a53f4&quot;,&quot;issue&quot;:&quot;4&quot;,&quot;issued&quot;:{&quot;date-parts&quot;:[[&quot;1990&quot;]]},&quot;page&quot;:&quot;570-577&quot;,&quot;title&quot;:&quot;The effect of ageing on autonomic nervous system function&quot;,&quot;type&quot;:&quot;article-journal&quot;,&quot;volume&quot;:&quot;20&quot;,&quot;container-title-short&quot;:&quot;Aust. N. Z. J. Med.&quot;},&quot;uris&quot;:[&quot;http://www.mendeley.com/documents/?uuid=09490eaf-a911-477b-a42d-abd2c0622edd&quot;],&quot;isTemporary&quot;:false,&quot;legacyDesktopId&quot;:&quot;09490eaf-a911-477b-a42d-abd2c0622edd&quot;},{&quot;id&quot;:&quot;fb694057-2097-55b2-80f4-66dba4c93bd0&quot;,&quot;itemData&quot;:{&quot;DOI&quot;:&quot;10.1038/s41598-022-26440-3&quot;,&quot;ISBN&quot;:&quot;0123456789&quot;,&quot;ISSN&quot;:&quot;2045-2322&quot;,&quot;PMID&quot;:&quot;36575245&quot;,&quot;abstract&quot;:&quot;Cardiovascular function is related to age, sex, and state of consciousness. We hypothesized that cardiovagal baroreflex sensitivity (BRS) demonstrates different patterns in both sexes before and after 50 years of age and that these patterns are associated with patterned changes during the sleep–wake cycle. We recruited 67 healthy participants (aged 20–79 years; 41 women) and divided them into four age groups: 20–29, 30–49, 50–69, and 70–79 years. All the participants underwent polysomnography and blood pressure measurements. For each participant, we used the average of the arterial pressure variability, heart rate variability (HRV), and BRS parameters during the sleep–wake stages. BRS and HRV parameters were significantly negatively correlated with age. The BRS indexes were significantly lower in the participants aged ≥ 50 years than in those aged &lt; 50 years, and these age-related declines were more apparent during non-rapid eye movement sleep than during wakefulness. Only BRS demonstrated a significantly negative correlation with age in participants ≥ 50 years old. Women exhibited a stronger association than men between BRS and age and an earlier decline in BRS. Changes in BRS varied with age, sex, and consciousness state, each demonstrating a specific pattern. The age of 50 years appeared to be a crucial turning point for sexual dimorphism in BRS. Baroreflex modulation of the cardiovascular system during sleep sensitively delineated the age- and sex-dependent BRS patterns, highlighting the clinical importance of our results. Our findings may aid in screening for neurocardiac abnormalities in apparently healthy individuals.&quot;,&quot;author&quot;:[{&quot;dropping-particle&quot;:&quot;&quot;,&quot;family&quot;:&quot;Yeh&quot;,&quot;given&quot;:&quot;Chia-Hsin&quot;,&quot;non-dropping-particle&quot;:&quot;&quot;,&quot;parse-names&quot;:false,&quot;suffix&quot;:&quot;&quot;},{&quot;dropping-particle&quot;:&quot;&quot;,&quot;family&quot;:&quot;Kuo&quot;,&quot;given&quot;:&quot;Terry B. J.&quot;,&quot;non-dropping-particle&quot;:&quot;&quot;,&quot;parse-names&quot;:false,&quot;suffix&quot;:&quot;&quot;},{&quot;dropping-particle&quot;:&quot;&quot;,&quot;family&quot;:&quot;Li&quot;,&quot;given&quot;:&quot;Jia-Yi&quot;,&quot;non-dropping-particle&quot;:&quot;&quot;,&quot;parse-names&quot;:false,&quot;suffix&quot;:&quot;&quot;},{&quot;dropping-particle&quot;:&quot;&quot;,&quot;family&quot;:&quot;Kuo&quot;,&quot;given&quot;:&quot;Kuan-Liang&quot;,&quot;non-dropping-particle&quot;:&quot;&quot;,&quot;parse-names&quot;:false,&quot;suffix&quot;:&quot;&quot;},{&quot;dropping-particle&quot;:&quot;&quot;,&quot;family&quot;:&quot;Chern&quot;,&quot;given&quot;:&quot;Chang-Ming&quot;,&quot;non-dropping-particle&quot;:&quot;&quot;,&quot;parse-names&quot;:false,&quot;suffix&quot;:&quot;&quot;},{&quot;dropping-particle&quot;:&quot;&quot;,&quot;family&quot;:&quot;Yang&quot;,&quot;given&quot;:&quot;Cheryl C. H.&quot;,&quot;non-dropping-particle&quot;:&quot;&quot;,&quot;parse-names&quot;:false,&quot;suffix&quot;:&quot;&quot;},{&quot;dropping-particle&quot;:&quot;&quot;,&quot;family&quot;:&quot;Huang&quot;,&quot;given&quot;:&quot;Hsin-Yi&quot;,&quot;non-dropping-particle&quot;:&quot;&quot;,&quot;parse-names&quot;:false,&quot;suffix&quot;:&quot;&quot;}],&quot;container-title&quot;:&quot;Scientific Reports&quot;,&quot;id&quot;:&quot;fb694057-2097-55b2-80f4-66dba4c93bd0&quot;,&quot;issue&quot;:&quot;1&quot;,&quot;issued&quot;:{&quot;date-parts&quot;:[[&quot;2022&quot;,&quot;12&quot;,&quot;27&quot;]]},&quot;page&quot;:&quot;22424&quot;,&quot;publisher&quot;:&quot;Nature Publishing Group UK&quot;,&quot;title&quot;:&quot;Effects of age and sex on vasomotor activity and baroreflex sensitivity during the sleep–wake cycle&quot;,&quot;type&quot;:&quot;article-journal&quot;,&quot;volume&quot;:&quot;12&quot;,&quot;container-title-short&quot;:&quot;Sci. Rep.&quot;},&quot;uris&quot;:[&quot;http://www.mendeley.com/documents/?uuid=cdc1e433-3f62-4c29-a93c-08416153fe7f&quot;],&quot;isTemporary&quot;:false,&quot;legacyDesktopId&quot;:&quot;cdc1e433-3f62-4c29-a93c-08416153fe7f&quot;}]},{&quot;citationID&quot;:&quot;MENDELEY_CITATION_5b2c5544-d389-4c99-86c1-b1221f97a802&quot;,&quot;properties&quot;:{&quot;noteIndex&quot;:0},&quot;isEdited&quot;:false,&quot;manualOverride&quot;:{&quot;citeprocText&quot;:&quot;[303,358]&quot;,&quot;isManuallyOverridden&quot;:false,&quot;manualOverrideText&quot;:&quot;&quot;},&quot;citationTag&quot;:&quot;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&quot;,&quot;citationItems&quot;:[{&quot;id&quot;:&quot;b3288d6f-98ca-5d41-b159-bfb3553c004f&quot;,&quot;itemData&quot;:{&quot;DOI&quot;:&quot;10.1016/0002-9149(87)90795-8&quot;,&quot;ISSN&quot;:&quot;00029149&quot;,&quot;PMID&quot;:&quot;3812275&quot;,&quot;abstract&quot;:&quot;A high degree of heart rate (HR) variability is found in compensated hearts with good function, whereas HR variability can be decreased with severe coronary artery disease, congestive heart failure, aging and diabetic neuropathy. To test the hypothesis that HR variability is a predictor of long-term survival after acute myocardial infarction (AMI), the Holter tapes of 808 patients who survived AMI were analyzed. Heart rate variability was defined as the standard deviation of all normal RR intervals in a 24-hour continuous electrocardiogram recording made 11 ± 3 days after AMI. In all patients demographic, clinical and laboratory variables were measured at baseline. Mean follow-up time was 31 months. Of all Holter variables measured, HR variability had the strongest univariate correlation with mortality. The relative risk of mortality was 5.3 times higher in the group with HR variability of less than 50 ms than the group with HR variability of more than 100 ms. HR variability remained a significant predictor of mortality after adjusting for clinical, demographic, other Holter features and ejection fraction. A hypothesis to explain this finding is that decreased HR variability correlates with increased sympathetic or decreased vagal tone, which may predispose to ventricular fibrillation. © 1987.&quot;,&quot;author&quot;:[{&quot;dropping-particle&quot;:&quot;&quot;,&quot;family&quot;:&quot;Kleiger&quot;,&quot;given&quot;:&quot;Robert E.&quot;,&quot;non-dropping-particle&quot;:&quot;&quot;,&quot;parse-names&quot;:false,&quot;suffix&quot;:&quot;&quot;},{&quot;dropping-particle&quot;:&quot;&quot;,&quot;family&quot;:&quot;Miller&quot;,&quot;given&quot;:&quot;J. Philip&quot;,&quot;non-dropping-particle&quot;:&quot;&quot;,&quot;parse-names&quot;:false,&quot;suffix&quot;:&quot;&quot;},{&quot;dropping-particle&quot;:&quot;&quot;,&quot;family&quot;:&quot;Bigger&quot;,&quot;given&quot;:&quot;J. Thomas&quot;,&quot;non-dropping-particle&quot;:&quot;&quot;,&quot;parse-names&quot;:false,&quot;suffix&quot;:&quot;&quot;},{&quot;dropping-particle&quot;:&quot;&quot;,&quot;family&quot;:&quot;Moss&quot;,&quot;given&quot;:&quot;Arthur J.&quot;,&quot;non-dropping-particle&quot;:&quot;&quot;,&quot;parse-names&quot;:false,&quot;suffix&quot;:&quot;&quot;}],&quot;container-title&quot;:&quot;The American Journal of Cardiology&quot;,&quot;id&quot;:&quot;b3288d6f-98ca-5d41-b159-bfb3553c004f&quot;,&quot;issue&quot;:&quot;4&quot;,&quot;issued&quot;:{&quot;date-parts&quot;:[[&quot;1987&quot;]]},&quot;page&quot;:&quot;256-262&quot;,&quot;title&quot;:&quot;Decreased heart rate variability and its association with increased mortality after acute myocardial infarction&quot;,&quot;type&quot;:&quot;article-journal&quot;,&quot;volume&quot;:&quot;59&quot;,&quot;container-title-short&quot;:&quot;Am. J. Cardiol.&quot;},&quot;uris&quot;:[&quot;http://www.mendeley.com/documents/?uuid=6ac09016-a93e-4b4e-bd11-53d43d7751ab&quot;],&quot;isTemporary&quot;:false,&quot;legacyDesktopId&quot;:&quot;6ac09016-a93e-4b4e-bd11-53d43d7751ab&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citationID&quot;:&quot;MENDELEY_CITATION_30dcd5bf-9827-4bcf-b935-c4b7748cf9f4&quot;,&quot;properties&quot;:{&quot;noteIndex&quot;:0},&quot;isEdited&quot;:false,&quot;manualOverride&quot;:{&quot;citeprocText&quot;:&quot;[350,359–361]&quot;,&quot;isManuallyOverridden&quot;:false,&quot;manualOverrideText&quot;:&quot;&quot;},&quot;citationTag&quot;:&quot;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&quot;,&quot;citationItems&quot;:[{&quot;id&quot;:&quot;0457fc15-6ea0-5591-b7aa-b4009c70b1ea&quot;,&quot;itemData&quot;:{&quot;DOI&quot;:&quot;10.1007/s004210100479&quot;,&quot;ISBN&quot;:&quot;1303315327&quot;,&quot;ISSN&quot;:&quot;14396319&quot;,&quot;PMID&quot;:&quot;11606013&quot;,&quot;abstract&quot;:&quot;Eleven previously sedentary adult males, serving as the experimental (EXP) group [mean (SE) age 36.6 (1.7) years, body mass 87.2 (4.3) kg, body mass index, BMI, 28.4 (1.5) kg·m-2] participated in a 16-week supervised exercise program (3 days·week-1, 30 min· day-1, at ≅80% of heart rate reserve) to determine the temporal effects of a moderate-to-vigorous-intensity exercise program on heart rate variability (HRV). Five sedentary males [mean (SD) age 36.6 (4.2)years, body mass 83.8 (6.6) kg, BMI 22.8 (1.7) kg·m-2] served as non-exercising controls (CON). HRV was measured every 4 weeks from a resting electrocardiogram obtained while subjects paced their breathing at 10 breaths·min-1 (0.167 Hz). The time-domain measures of HRV recorded were the proportion of adjacent intervals differing by more than 50 ms (pNN50), the root mean square of successive differences (rMSSD), and the standard deviation of the resting interbeat interval. The frequency-domain measures recorded were high (HF) and low (LF) frequency oscillations, as determined using the fast Fourier transform technique. Aerobic capacity (i.e., peak oxygen uptake) increased by 13.8% in EXP (P&lt;0.0001), but did not change in CON. Resting heart rate did not change in either EXP or CON. In EXP, pNN50 at week 12 (P &lt; 0.01), rMSSD at weeks 12 (P &lt; 0.01) and 16 (P = 0.05), and HF power at weeks 12 (P &lt; 0.01) and 16 (P = 0.05) were elevated above baseline. Time- and frequency-domain measures of HRV remained unchanged in CON. It is concluded that a moderate-to-vigorous-intensity exercise program produces increases in time- and frequency-domain measures of HRV within 12 weeks.&quot;,&quot;author&quot;:[{&quot;dropping-particle&quot;:&quot;&quot;,&quot;family&quot;:&quot;Melanson&quot;,&quot;given&quot;:&quot;E. L.&quot;,&quot;non-dropping-particle&quot;:&quot;&quot;,&quot;parse-names&quot;:false,&quot;suffix&quot;:&quot;&quot;},{&quot;dropping-particle&quot;:&quot;&quot;,&quot;family&quot;:&quot;Freedson&quot;,&quot;given&quot;:&quot;P. S.&quot;,&quot;non-dropping-particle&quot;:&quot;&quot;,&quot;parse-names&quot;:false,&quot;suffix&quot;:&quot;&quot;}],&quot;container-title&quot;:&quot;European Journal of Applied Physiology&quot;,&quot;id&quot;:&quot;0457fc15-6ea0-5591-b7aa-b4009c70b1ea&quot;,&quot;issue&quot;:&quot;5&quot;,&quot;issued&quot;:{&quot;date-parts&quot;:[[&quot;2001&quot;]]},&quot;page&quot;:&quot;442-449&quot;,&quot;title&quot;:&quot;The effect of endurance training on resting heart rate variability in sedentary adult males&quot;,&quot;type&quot;:&quot;article-journal&quot;,&quot;volume&quot;:&quot;85&quot;,&quot;container-title-short&quot;:&quot;Eur. J. Appl. Physiol.&quot;},&quot;uris&quot;:[&quot;http://www.mendeley.com/documents/?uuid=de92f9fa-f8a7-478c-b48a-bf81013fee1e&quot;],&quot;isTemporary&quot;:false,&quot;legacyDesktopId&quot;:&quot;de92f9fa-f8a7-478c-b48a-bf81013fee1e&quot;},{&quot;id&quot;:&quot;cfaed3e0-edd3-5430-90e7-39a96afc4134&quot;,&quot;itemData&quot;:{&quot;DOI&quot;:&quot;10.2165/00007256-200333120-00003&quot;,&quot;ISBN&quot;:&quot;0000725620033&quot;,&quot;ISSN&quot;:&quot;0112-1642&quot;,&quot;PMID&quot;:&quot;12974657&quot;,&quot;abstract&quot;:&quot;This review examines the influence on heart rate variability (HRV) indices in athletes from training status, different types of exercise training, sex and ageing, presented from both cross-sectional and longitudinal studies. The predictability of HRV in over-training, athletic condition and athletic performance is also included. Finally, some recommendations concerning the application of HRV methods in athletes are made.The cardiovascular system is mostly controlled by autonomic regulation through the activity of sympathetic and parasympathetic pathways of the autonomic nervous system. Analysis of HRV permits insight in this control mechanism. It can easily be determined from ECG recordings, resulting in time series (RR-intervals) that are usually analysed in time and frequency domains. As a first approach, it can be assumed that power in different frequency bands corresponds to activity of sympathetic (0.04-0.15 Hz) and parasympathetic (0.15-0.4 Hz) nerves. However, other mechanisms (and feedback loops) are also at work, especially in the low frequency band. During dynamic exercise, it is generally assumed that heart rate increases due to both a parasympathetic withdrawal and an augmented sympathetic activity. However, because some authors disagree with the former statement and the fact that during exercise there is also a technical problem related to the non-stationary signals, a critical look at interpretation of results is needed. It is strongly suggested that, when presenting reports on HRV studies related to exercise physiology in general or concerned with athletes, a detailed description should be provided on analysis methods, as well as concerning population, and training schedule, intensity and duration. Most studies concern relatively small numbers of study participants, diminishing the power of statistics. Therefore, multicentre studies would be preferable. In order to further develop this fascinating research field, we advocate prospective, randomised, controlled, long-term studies using validated measurement methods. Finally, there is a strong need for basic research on the nature of the control and regulating mechanism exerted by the autonomic nervous system on cardiovascular function in athletes, preferably with a multidisciplinary approach between cardiologists, exercise physiologists, pulmonary physiologists, coaches and biomedical engineers.&quot;,&quot;author&quot;:[{&quot;dropping-particle&quot;:&quot;&quot;,&quot;family&quot;:&quot;Aubert&quot;,&quot;given&quot;:&quot;André E.&quot;,&quot;non-dropping-particle&quot;:&quot;&quot;,&quot;parse-names&quot;:false,&quot;suffix&quot;:&quot;&quot;},{&quot;dropping-particle&quot;:&quot;&quot;,&quot;family&quot;:&quot;Seps&quot;,&quot;given&quot;:&quot;Bert&quot;,&quot;non-dropping-particle&quot;:&quot;&quot;,&quot;parse-names&quot;:false,&quot;suffix&quot;:&quot;&quot;},{&quot;dropping-particle&quot;:&quot;&quot;,&quot;family&quot;:&quot;Beckers&quot;,&quot;given&quot;:&quot;Frank&quot;,&quot;non-dropping-particle&quot;:&quot;&quot;,&quot;parse-names&quot;:false,&quot;suffix&quot;:&quot;&quot;}],&quot;container-title&quot;:&quot;Sports Medicine&quot;,&quot;id&quot;:&quot;cfaed3e0-edd3-5430-90e7-39a96afc4134&quot;,&quot;issue&quot;:&quot;12&quot;,&quot;issued&quot;:{&quot;date-parts&quot;:[[&quot;2003&quot;]]},&quot;page&quot;:&quot;889-919&quot;,&quot;title&quot;:&quot;Heart Rate Variability in Athletes&quot;,&quot;type&quot;:&quot;article-journal&quot;,&quot;volume&quot;:&quot;33&quot;,&quot;container-title-short&quot;:&quot;&quot;},&quot;uris&quot;:[&quot;http://www.mendeley.com/documents/?uuid=68a27434-cc7f-4375-8e0c-a23c6e7b3a79&quot;],&quot;isTemporary&quot;:false,&quot;legacyDesktopId&quot;:&quot;68a27434-cc7f-4375-8e0c-a23c6e7b3a79&quot;},{&quot;id&quot;:&quot;17e77e74-c4a7-5e3f-8fdf-9d65137cf4d1&quot;,&quot;itemData&quot;:{&quot;DOI&quot;:&quot;10.1139/h96-040&quot;,&quot;ISSN&quot;:&quot;10667814&quot;,&quot;PMID&quot;:&quot;8959312&quot;,&quot;abstract&quot;:&quot;The adaptive responses of the cardiovascular system to regular physical activity appear to include a reduction in sympathetic (SNS) activity and an increase in parasympathetic (PNS) activity during rest and at different absolute intensities of exercise. In a cross-sectional design, trained individuals who exercised at least 5 days/week for 45 min/day or more were compared with age- and gender-matched untrained controls. There was a relative bradycardia in the trained groups at rest and at the same absolute intensity of exercise in both young and middle-aged subjects. There were no differences in indicators of PNS and SNS activity at rest in young subjects. There was a reduced SNS activity and increased PNS activity in middle-aged trained subjects versus their age-matched controls. Spectral analysis was capable of showing changes in autonomic control of heart rate at rest and across intensities of exercise. These data showed significant shifts to increased PNS and reduced SNS indicators at rest in trained versus untrained middle-aged subjects and in females in both age groups versus males.&quot;,&quot;author&quot;:[{&quot;dropping-particle&quot;:&quot;&quot;,&quot;family&quot;:&quot;Gregoire&quot;,&quot;given&quot;:&quot;Jason&quot;,&quot;non-dropping-particle&quot;:&quot;&quot;,&quot;parse-names&quot;:false,&quot;suffix&quot;:&quot;&quot;},{&quot;dropping-particle&quot;:&quot;&quot;,&quot;family&quot;:&quot;Tuck&quot;,&quot;given&quot;:&quot;Stephanie&quot;,&quot;non-dropping-particle&quot;:&quot;&quot;,&quot;parse-names&quot;:false,&quot;suffix&quot;:&quot;&quot;},{&quot;dropping-particle&quot;:&quot;&quot;,&quot;family&quot;:&quot;Yamamoto&quot;,&quot;given&quot;:&quot;Yoshiharu&quot;,&quot;non-dropping-particle&quot;:&quot;&quot;,&quot;parse-names&quot;:false,&quot;suffix&quot;:&quot;&quot;},{&quot;dropping-particle&quot;:&quot;&quot;,&quot;family&quot;:&quot;Hughson&quot;,&quot;given&quot;:&quot;Richard L.&quot;,&quot;non-dropping-particle&quot;:&quot;&quot;,&quot;parse-names&quot;:false,&quot;suffix&quot;:&quot;&quot;}],&quot;container-title&quot;:&quot;Canadian Journal of Applied Physiology&quot;,&quot;id&quot;:&quot;17e77e74-c4a7-5e3f-8fdf-9d65137cf4d1&quot;,&quot;issue&quot;:&quot;6&quot;,&quot;issued&quot;:{&quot;date-parts&quot;:[[&quot;1996&quot;]]},&quot;page&quot;:&quot;455-470&quot;,&quot;title&quot;:&quot;Heart Rate Variability at Rest and Exercise: Influence of Age, Gender, and Physical Training&quot;,&quot;type&quot;:&quot;article-journal&quot;,&quot;volume&quot;:&quot;21&quot;,&quot;container-title-short&quot;:&quot;&quot;},&quot;uris&quot;:[&quot;http://www.mendeley.com/documents/?uuid=5b3e3429-7c9e-413e-9ab7-d3268ef079fb&quot;],&quot;isTemporary&quot;:false,&quot;legacyDesktopId&quot;:&quot;5b3e3429-7c9e-413e-9ab7-d3268ef079fb&quot;},{&quot;id&quot;:&quot;c1e79289-4d3e-547e-8f42-17724e67a5cf&quot;,&quot;itemData&quot;:{&quot;DOI&quot;:&quot;10.1113/eph8802535&quot;,&quot;ISSN&quot;:&quot;09580670&quot;,&quot;PMID&quot;:&quot;12719769&quot;,&quot;abstract&quot;:&quot;To our knowledge, the relationship between all four endogenous female sex hormones and resting cardiac autonomic function has not been studied. The aim of the current study was to examine the association between the normal endogenous levels of oestrogen (17β-oestradiol), progesterone, luteinising hormone and follicle-stimulating hormone and heart rate variability (HRV) during the menstrual cycle in young eumenorrheic women. Ten healthy, young, female subjects volunteered for this study. HRV and endogenous hormone levels were recorded at three phases of the menstrual cycle: menses (day 3.8 ± 0.5), ovulation (day 15.8 ± 0.7) and luteal (day 22.1 ± 0.4) to ensure HRV recordings at times of low (menses) and high (ovulation and luteal) hormonal influence. Heart rate recordings were obtained from supine resting subjects and analysed on a Holter analysis system. Total power (TP, 0-1.0 Hz), low frequency (LF, 0.041-0.15 Hz), high frequency (HF, 0.15-0.80 Hz) and LF/HF components of HRV were examined. Despite a significantly greater HR at ovulation and normal cyclic variations in all endogenous sex hormone levels, no measure of HRV was significantly different between menstrual cycle phases. Significant correlations between oestrogen levels and absolute measures of HRV at ovulation were identified. The results of the current study demonstrated that the normal cyclic variations in endogenous sex hormone levels during the menstrual cycle were not significantly associated with changes in cardiac autonomic control as measured by HRV. Significant correlation between peak oestrogen levels and HRV measures at ovulation provided further support for the reported cardioprotective effects of oestrogen in healthy females.&quot;,&quot;author&quot;:[{&quot;dropping-particle&quot;:&quot;&quot;,&quot;family&quot;:&quot;Leicht&quot;,&quot;given&quot;:&quot;Anthony S.&quot;,&quot;non-dropping-particle&quot;:&quot;&quot;,&quot;parse-names&quot;:false,&quot;suffix&quot;:&quot;&quot;},{&quot;dropping-particle&quot;:&quot;&quot;,&quot;family&quot;:&quot;Hirning&quot;,&quot;given&quot;:&quot;David A.&quot;,&quot;non-dropping-particle&quot;:&quot;&quot;,&quot;parse-names&quot;:false,&quot;suffix&quot;:&quot;&quot;},{&quot;dropping-particle&quot;:&quot;&quot;,&quot;family&quot;:&quot;Allen&quot;,&quot;given&quot;:&quot;Graham D.&quot;,&quot;non-dropping-particle&quot;:&quot;&quot;,&quot;parse-names&quot;:false,&quot;suffix&quot;:&quot;&quot;}],&quot;container-title&quot;:&quot;Experimental Physiology&quot;,&quot;id&quot;:&quot;c1e79289-4d3e-547e-8f42-17724e67a5cf&quot;,&quot;issue&quot;:&quot;3&quot;,&quot;issued&quot;:{&quot;date-parts&quot;:[[&quot;2003&quot;]]},&quot;page&quot;:&quot;441-446&quot;,&quot;title&quot;:&quot;Heart rate variability and endogenous sex hormones during the menstrual cycle in young women&quot;,&quot;type&quot;:&quot;article-journal&quot;,&quot;volume&quot;:&quot;88&quot;,&quot;container-title-short&quot;:&quot;Exp. Physiol.&quot;},&quot;uris&quot;:[&quot;http://www.mendeley.com/documents/?uuid=0fea5d0c-8b8a-4dac-bf16-151a4053a390&quot;],&quot;isTemporary&quot;:false,&quot;legacyDesktopId&quot;:&quot;0fea5d0c-8b8a-4dac-bf16-151a4053a390&quot;}]},{&quot;citationID&quot;:&quot;MENDELEY_CITATION_e5802d87-dc38-4856-999f-16c8ac084e97&quot;,&quot;properties&quot;:{&quot;noteIndex&quot;:0},&quot;isEdited&quot;:false,&quot;manualOverride&quot;:{&quot;citeprocText&quot;:&quot;[360,362,363]&quot;,&quot;isManuallyOverridden&quot;:false,&quot;manualOverrideText&quot;:&quot;&quot;},&quot;citationTag&quot;:&quot;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&quot;,&quot;citationItems&quot;:[{&quot;id&quot;:&quot;04435f19-c332-5cc5-88de-2c274b0e524d&quot;,&quot;itemData&quot;:{&quot;DOI&quot;:&quot;10.1016/S0002-9149(97)00697-8&quot;,&quot;ISSN&quot;:&quot;00029149&quot;,&quot;PMID&quot;:&quot;9388127&quot;,&quot;abstract&quot;:&quot;To determine if the age-associated decline in heart rate variability is due in part to decreases in fitness levels, we compared heart rate variability parameters in older athletes and age-matched sedentary persons. All heart rate variability parameters were superior in the athletes, consistent with an enhanced cardiac vagal modulation in the athlete.&quot;,&quot;author&quot;:[{&quot;dropping-particle&quot;:&quot;&quot;,&quot;family&quot;:&quot;Yataco&quot;,&quot;given&quot;:&quot;Alberto R.&quot;,&quot;non-dropping-particle&quot;:&quot;&quot;,&quot;parse-names&quot;:false,&quot;suffix&quot;:&quot;&quot;},{&quot;dropping-particle&quot;:&quot;&quot;,&quot;family&quot;:&quot;Fleisher&quot;,&quot;given&quot;:&quot;Lee A.&quot;,&quot;non-dropping-particle&quot;:&quot;&quot;,&quot;parse-names&quot;:false,&quot;suffix&quot;:&quot;&quot;},{&quot;dropping-particle&quot;:&quot;&quot;,&quot;family&quot;:&quot;Katzel&quot;,&quot;given&quot;:&quot;Leslie I.&quot;,&quot;non-dropping-particle&quot;:&quot;&quot;,&quot;parse-names&quot;:false,&quot;suffix&quot;:&quot;&quot;}],&quot;container-title&quot;:&quot;American Journal of Cardiology&quot;,&quot;id&quot;:&quot;04435f19-c332-5cc5-88de-2c274b0e524d&quot;,&quot;issue&quot;:&quot;10&quot;,&quot;issued&quot;:{&quot;date-parts&quot;:[[&quot;1997&quot;]]},&quot;page&quot;:&quot;1389-1391&quot;,&quot;title&quot;:&quot;Heart rate variability and cardiovascular fitness in senior athletes&quot;,&quot;type&quot;:&quot;article-journal&quot;,&quot;volume&quot;:&quot;80&quot;,&quot;container-title-short&quot;:&quot;&quot;},&quot;uris&quot;:[&quot;http://www.mendeley.com/documents/?uuid=61a2004e-5c0a-4136-9276-07f9ec61908c&quot;],&quot;isTemporary&quot;:false,&quot;legacyDesktopId&quot;:&quot;61a2004e-5c0a-4136-9276-07f9ec61908c&quot;},{&quot;id&quot;:&quot;1c2c455b-ad1d-55cc-a917-5fce7abdd377&quot;,&quot;itemData&quot;:{&quot;DOI&quot;:&quot;10.1046/j.1365-201X.1997.00142.x&quot;,&quot;ISSN&quot;:&quot;00016772&quot;,&quot;PMID&quot;:&quot;9246386&quot;,&quot;abstract&quot;:&quot;The effects of age and gender on heart rate variability as measured by spectral and time domain analysis of 24 h ECG recordings were evaluated in 101 healthy subjects, 49 men and 52 women (20-69 years of age). In the frequency domain, total power, very low-frequency power, low-frequency power and high-frequency power were negatively correlated to age (P &lt; 0.001 for all variables). Total power decreased by 30% between 20-29 and 60-69 years of age. In the lime domain, SDNN-index, the mean of the standard deviations of all normal R-R intervals for all 5 min segments of a 24 h ECG recording, was negatively correlated to age (P &lt; 0.001). Total power, very low-frequency power, low-frequency power and the low-frequency/hig-frequency ratio were lower in women (P &lt; 0.05, P &lt; 0.05, P &lt; 0.01 and P &lt; 0.01), although the absolute differences were much smaller than for age. There was a pronounced circadian variation; at night total power increased in all age groups (P &lt; 0.01). The results show that age, and to a lesser degree gender, are important determinants of heart rate variability in healthy subjects. Heart rate variability is a valuable tool for risk stratification in cardiovascular disease, but the physiological effects of ageing, with diminishing heart rate variability in older age groups, must also be taken into account.&quot;,&quot;author&quot;:[{&quot;dropping-particle&quot;:&quot;&quot;,&quot;family&quot;:&quot;Jensen-Urstad&quot;,&quot;given&quot;:&quot;K.&quot;,&quot;non-dropping-particle&quot;:&quot;&quot;,&quot;parse-names&quot;:false,&quot;suffix&quot;:&quot;&quot;},{&quot;dropping-particle&quot;:&quot;&quot;,&quot;family&quot;:&quot;Storck&quot;,&quot;given&quot;:&quot;N.&quot;,&quot;non-dropping-particle&quot;:&quot;&quot;,&quot;parse-names&quot;:false,&quot;suffix&quot;:&quot;&quot;},{&quot;dropping-particle&quot;:&quot;&quot;,&quot;family&quot;:&quot;Bouvier&quot;,&quot;given&quot;:&quot;F.&quot;,&quot;non-dropping-particle&quot;:&quot;&quot;,&quot;parse-names&quot;:false,&quot;suffix&quot;:&quot;&quot;},{&quot;dropping-particle&quot;:&quot;&quot;,&quot;family&quot;:&quot;Ericson&quot;,&quot;given&quot;:&quot;M.&quot;,&quot;non-dropping-particle&quot;:&quot;&quot;,&quot;parse-names&quot;:false,&quot;suffix&quot;:&quot;&quot;},{&quot;dropping-particle&quot;:&quot;&quot;,&quot;family&quot;:&quot;Lindblad&quot;,&quot;given&quot;:&quot;L. E.&quot;,&quot;non-dropping-particle&quot;:&quot;&quot;,&quot;parse-names&quot;:false,&quot;suffix&quot;:&quot;&quot;},{&quot;dropping-particle&quot;:&quot;&quot;,&quot;family&quot;:&quot;Jensen-Urstad&quot;,&quot;given&quot;:&quot;M.&quot;,&quot;non-dropping-particle&quot;:&quot;&quot;,&quot;parse-names&quot;:false,&quot;suffix&quot;:&quot;&quot;}],&quot;container-title&quot;:&quot;Acta Physiologica Scandinavica&quot;,&quot;id&quot;:&quot;1c2c455b-ad1d-55cc-a917-5fce7abdd377&quot;,&quot;issue&quot;:&quot;3&quot;,&quot;issued&quot;:{&quot;date-parts&quot;:[[&quot;1997&quot;]]},&quot;page&quot;:&quot;235-241&quot;,&quot;title&quot;:&quot;Heart rate variability in healthy subjects is related to age and gender&quot;,&quot;type&quot;:&quot;article-journal&quot;,&quot;volume&quot;:&quot;160&quot;,&quot;container-title-short&quot;:&quot;Acta Physiol. Scand.&quot;},&quot;uris&quot;:[&quot;http://www.mendeley.com/documents/?uuid=5c6925df-c232-4bd3-8370-7f86479d9647&quot;],&quot;isTemporary&quot;:false,&quot;legacyDesktopId&quot;:&quot;5c6925df-c232-4bd3-8370-7f86479d9647&quot;},{&quot;id&quot;:&quot;cfaed3e0-edd3-5430-90e7-39a96afc4134&quot;,&quot;itemData&quot;:{&quot;DOI&quot;:&quot;10.2165/00007256-200333120-00003&quot;,&quot;ISBN&quot;:&quot;0000725620033&quot;,&quot;ISSN&quot;:&quot;0112-1642&quot;,&quot;PMID&quot;:&quot;12974657&quot;,&quot;abstract&quot;:&quot;This review examines the influence on heart rate variability (HRV) indices in athletes from training status, different types of exercise training, sex and ageing, presented from both cross-sectional and longitudinal studies. The predictability of HRV in over-training, athletic condition and athletic performance is also included. Finally, some recommendations concerning the application of HRV methods in athletes are made.The cardiovascular system is mostly controlled by autonomic regulation through the activity of sympathetic and parasympathetic pathways of the autonomic nervous system. Analysis of HRV permits insight in this control mechanism. It can easily be determined from ECG recordings, resulting in time series (RR-intervals) that are usually analysed in time and frequency domains. As a first approach, it can be assumed that power in different frequency bands corresponds to activity of sympathetic (0.04-0.15 Hz) and parasympathetic (0.15-0.4 Hz) nerves. However, other mechanisms (and feedback loops) are also at work, especially in the low frequency band. During dynamic exercise, it is generally assumed that heart rate increases due to both a parasympathetic withdrawal and an augmented sympathetic activity. However, because some authors disagree with the former statement and the fact that during exercise there is also a technical problem related to the non-stationary signals, a critical look at interpretation of results is needed. It is strongly suggested that, when presenting reports on HRV studies related to exercise physiology in general or concerned with athletes, a detailed description should be provided on analysis methods, as well as concerning population, and training schedule, intensity and duration. Most studies concern relatively small numbers of study participants, diminishing the power of statistics. Therefore, multicentre studies would be preferable. In order to further develop this fascinating research field, we advocate prospective, randomised, controlled, long-term studies using validated measurement methods. Finally, there is a strong need for basic research on the nature of the control and regulating mechanism exerted by the autonomic nervous system on cardiovascular function in athletes, preferably with a multidisciplinary approach between cardiologists, exercise physiologists, pulmonary physiologists, coaches and biomedical engineers.&quot;,&quot;author&quot;:[{&quot;dropping-particle&quot;:&quot;&quot;,&quot;family&quot;:&quot;Aubert&quot;,&quot;given&quot;:&quot;André E.&quot;,&quot;non-dropping-particle&quot;:&quot;&quot;,&quot;parse-names&quot;:false,&quot;suffix&quot;:&quot;&quot;},{&quot;dropping-particle&quot;:&quot;&quot;,&quot;family&quot;:&quot;Seps&quot;,&quot;given&quot;:&quot;Bert&quot;,&quot;non-dropping-particle&quot;:&quot;&quot;,&quot;parse-names&quot;:false,&quot;suffix&quot;:&quot;&quot;},{&quot;dropping-particle&quot;:&quot;&quot;,&quot;family&quot;:&quot;Beckers&quot;,&quot;given&quot;:&quot;Frank&quot;,&quot;non-dropping-particle&quot;:&quot;&quot;,&quot;parse-names&quot;:false,&quot;suffix&quot;:&quot;&quot;}],&quot;container-title&quot;:&quot;Sports Medicine&quot;,&quot;id&quot;:&quot;cfaed3e0-edd3-5430-90e7-39a96afc4134&quot;,&quot;issue&quot;:&quot;12&quot;,&quot;issued&quot;:{&quot;date-parts&quot;:[[&quot;2003&quot;]]},&quot;page&quot;:&quot;889-919&quot;,&quot;title&quot;:&quot;Heart Rate Variability in Athletes&quot;,&quot;type&quot;:&quot;article-journal&quot;,&quot;volume&quot;:&quot;33&quot;,&quot;container-title-short&quot;:&quot;&quot;},&quot;uris&quot;:[&quot;http://www.mendeley.com/documents/?uuid=68a27434-cc7f-4375-8e0c-a23c6e7b3a79&quot;],&quot;isTemporary&quot;:false,&quot;legacyDesktopId&quot;:&quot;68a27434-cc7f-4375-8e0c-a23c6e7b3a79&quot;}]},{&quot;citationID&quot;:&quot;MENDELEY_CITATION_76faa1c4-66dc-416e-875d-f64f15358890&quot;,&quot;properties&quot;:{&quot;noteIndex&quot;:0},&quot;isEdited&quot;:false,&quot;manualOverride&quot;:{&quot;citeprocText&quot;:&quot;[275,364]&quot;,&quot;isManuallyOverridden&quot;:false,&quot;manualOverrideText&quot;:&quot;&quot;},&quot;citationTag&quot;:&quot;MENDELEY_CITATION_v3_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&quot;,&quot;citationItems&quot;:[{&quot;id&quot;:&quot;811d874f-9e85-5494-8c05-e3f4ee0dbd2e&quot;,&quot;itemData&quot;:{&quot;DOI&quot;:&quot;10.1152/physrev.1974.54.1.75&quot;,&quot;ISSN&quot;:&quot;00319333&quot;,&quot;PMID&quot;:&quot;4587247&quot;,&quot;abstract&quot;:&quot;This review focuses on the following major problems relevant to human cardiovascular adjustments to exercise and heat stress, cardiovascular adjustments to exercise, cardiovascular adjustments to heat stress during rest, cardiovascular adjustments to combined thermal and metabolic stress, and predictability of vasomotor responses. Emphasis is directed toward the regulation and importance of blood flow distribution.&quot;,&quot;author&quot;:[{&quot;dropping-particle&quot;:&quot;&quot;,&quot;family&quot;:&quot;Rowell&quot;,&quot;given&quot;:&quot;L. B.&quot;,&quot;non-dropping-particle&quot;:&quot;&quot;,&quot;parse-names&quot;:false,&quot;suffix&quot;:&quot;&quot;}],&quot;container-title&quot;:&quot;Physiological Reviews&quot;,&quot;id&quot;:&quot;811d874f-9e85-5494-8c05-e3f4ee0dbd2e&quot;,&quot;issue&quot;:&quot;1&quot;,&quot;issued&quot;:{&quot;date-parts&quot;:[[&quot;1974&quot;]]},&quot;page&quot;:&quot;75-159&quot;,&quot;title&quot;:&quot;Human cardiovascular adjustments to exercise and thermal stress&quot;,&quot;type&quot;:&quot;article-journal&quot;,&quot;volume&quot;:&quot;54&quot;,&quot;container-title-short&quot;:&quot;Physiol. Rev.&quot;},&quot;uris&quot;:[&quot;http://www.mendeley.com/documents/?uuid=977275c5-8f64-4637-8d91-a9051de3a8c5&quot;],&quot;isTemporary&quot;:false,&quot;legacyDesktopId&quot;:&quot;977275c5-8f64-4637-8d91-a9051de3a8c5&quot;},{&quot;id&quot;:&quot;e4fc64f8-e66e-5297-b8d8-a7c0b79a85f0&quot;,&quot;itemData&quot;:{&quot;DOI&quot;:&quot;10.1113/jphysiol.2007.142158&quot;,&quot;ISSN&quot;:&quot;0022-3751&quot;,&quot;PMID&quot;:&quot;17855754&quot;,&quot;abstract&quot;:&quot;Exercise in the heat can pose a severe challenge to human cardiovascular control, and thus the provision of oxygen to exercising muscles and vital organs, because of enhanced thermoregulatory demand for skin blood flow coupled with dehydration and hyperthermia. Cardiovascular strain, typified by reductions in cardiac output, skin and locomotor muscle blood flow and systemic and muscle oxygen delivery accompanies marked dehydration and hyperthermia during prolonged and intense exercise characteristic of many summer Olympic events. This review focuses on how the cardiovascular system is regulated when exercising in the heat and how restrictions in locomotor skeletal muscle and/or skin perfusion might limit athletic performance in hot environments.&quot;,&quot;author&quot;:[{&quot;dropping-particle&quot;:&quot;&quot;,&quot;family&quot;:&quot;González‐Alonso&quot;,&quot;given&quot;:&quot;José&quot;,&quot;non-dropping-particle&quot;:&quot;&quot;,&quot;parse-names&quot;:false,&quot;suffix&quot;:&quot;&quot;},{&quot;dropping-particle&quot;:&quot;&quot;,&quot;family&quot;:&quot;Crandall&quot;,&quot;given&quot;:&quot;Craig G.&quot;,&quot;non-dropping-particle&quot;:&quot;&quot;,&quot;parse-names&quot;:false,&quot;suffix&quot;:&quot;&quot;},{&quot;dropping-particle&quot;:&quot;&quot;,&quot;family&quot;:&quot;Johnson&quot;,&quot;given&quot;:&quot;John M.&quot;,&quot;non-dropping-particle&quot;:&quot;&quot;,&quot;parse-names&quot;:false,&quot;suffix&quot;:&quot;&quot;}],&quot;container-title&quot;:&quot;The Journal of Physiology&quot;,&quot;id&quot;:&quot;e4fc64f8-e66e-5297-b8d8-a7c0b79a85f0&quot;,&quot;issue&quot;:&quot;1&quot;,&quot;issued&quot;:{&quot;date-parts&quot;:[[&quot;2008&quot;,&quot;1&quot;,&quot;2&quot;]]},&quot;page&quot;:&quot;45-53&quot;,&quot;title&quot;:&quot;The cardiovascular challenge of exercising in the heat&quot;,&quot;type&quot;:&quot;article-journal&quot;,&quot;volume&quot;:&quot;586&quot;,&quot;container-title-short&quot;:&quot;J. Physiol.&quot;},&quot;uris&quot;:[&quot;http://www.mendeley.com/documents/?uuid=322a7b8d-0a35-4ec2-b055-83bf5ccb6ade&quot;],&quot;isTemporary&quot;:false,&quot;legacyDesktopId&quot;:&quot;322a7b8d-0a35-4ec2-b055-83bf5ccb6ade&quot;}]},{&quot;citationID&quot;:&quot;MENDELEY_CITATION_72ec7d36-a3f2-4f69-82b5-5a07bedafd0c&quot;,&quot;properties&quot;:{&quot;noteIndex&quot;:0},&quot;isEdited&quot;:false,&quot;manualOverride&quot;:{&quot;citeprocText&quot;:&quot;[365–367]&quot;,&quot;isManuallyOverridden&quot;:false,&quot;manualOverrideText&quot;:&quot;&quot;},&quot;citationTag&quot;:&quot;MENDELEY_CITATION_v3_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&quot;,&quot;citationItems&quot;:[{&quot;id&quot;:&quot;370aba2c-56ed-53df-83c0-97121c97957e&quot;,&quot;itemData&quot;:{&quot;DOI&quot;:&quot;10.1155/2012/149516&quot;,&quot;ISSN&quot;:&quot;20900708&quot;,&quot;abstract&quot;:&quot;While frank obesity is associated with reduced HRV, indicative of poorer autonomic nervous system (ANS) function, the association between body mass index (BMI) and HRV is less clear. We hypothesized that effects of adiposity on ANS are mostly mediated by visceral fat and less by subcutaneous fat; therefore, centrally distributed adipose tissue, that is, waist circumference (WC), should be more strongly associated with HRV than overall adiposity (BMI). To examine this hypothesis, we used data collected in a subset of the Baltimore Longitudinal Study of Aging to compare strength of association between HRV and WC to that of HRV and BMI. Time domain HRV variables SDNN (standard deviation of successive differences in normal-to-normal (N-N) intervals) and RMSSD (root mean square of successive differences in N-N intervals) were calculated from 24-hour Holter recordings in 159 participants (29-96 years). Increasing WC was associated with decreasing SDNN and RMSSD in younger but not older participants (P value for WC-by-age interaction = 0.003). BMI was not associated with either SDNN or RMSSD at any age. In conclusion, central adiposity may contribute to sympathetic and parasympathetic ANS declines early in life. © 2012 B. Gwen Windham et al.&quot;,&quot;author&quot;:[{&quot;dropping-particle&quot;:&quot;&quot;,&quot;family&quot;:&quot;Windham&quot;,&quot;given&quot;:&quot;B. Gwen&quot;,&quot;non-dropping-particle&quot;:&quot;&quot;,&quot;parse-names&quot;:false,&quot;suffix&quot;:&quot;&quot;},{&quot;dropping-particle&quot;:&quot;&quot;,&quot;family&quot;:&quot;Fumagalli&quot;,&quot;given&quot;:&quot;Stefano&quot;,&quot;non-dropping-particle&quot;:&quot;&quot;,&quot;parse-names&quot;:false,&quot;suffix&quot;:&quot;&quot;},{&quot;dropping-particle&quot;:&quot;&quot;,&quot;family&quot;:&quot;Ble&quot;,&quot;given&quot;:&quot;Alessandro&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Thayer&quot;,&quot;given&quot;:&quot;Julian F.&quot;,&quot;non-dropping-particle&quot;:&quot;&quot;,&quot;parse-names&quot;:false,&quot;suffix&quot;:&quot;&quot;},{&quot;dropping-particle&quot;:&quot;&quot;,&quot;family&quot;:&quot;Najjar&quot;,&quot;given&quot;:&quot;Samar S.&quot;,&quot;non-dropping-particle&quot;:&quot;&quot;,&quot;parse-names&quot;:false,&quot;suffix&quot;:&quot;&quot;},{&quot;dropping-particle&quot;:&quot;&quot;,&quot;family&quot;:&quot;Griswold&quot;,&quot;given&quot;:&quot;Michael E.&quot;,&quot;non-dropping-particle&quot;:&quot;&quot;,&quot;parse-names&quot;:false,&quot;suffix&quot;:&quot;&quot;},{&quot;dropping-particle&quot;:&quot;&quot;,&quot;family&quot;:&quot;Ferrucci&quot;,&quot;given&quot;:&quot;Luigi&quot;,&quot;non-dropping-particle&quot;:&quot;&quot;,&quot;parse-names&quot;:false,&quot;suffix&quot;:&quot;&quot;}],&quot;container-title&quot;:&quot;Journal of Obesity&quot;,&quot;id&quot;:&quot;370aba2c-56ed-53df-83c0-97121c97957e&quot;,&quot;issued&quot;:{&quot;date-parts&quot;:[[&quot;2012&quot;]]},&quot;title&quot;:&quot;The relationship between heart rate variability and adiposity differs for central and overall adiposity&quot;,&quot;type&quot;:&quot;article-journal&quot;,&quot;volume&quot;:&quot;2012&quot;,&quot;container-title-short&quot;:&quot;J. Obes.&quot;},&quot;uris&quot;:[&quot;http://www.mendeley.com/documents/?uuid=309060de-e50b-4c9e-9283-9124b607e4b7&quot;],&quot;isTemporary&quot;:false,&quot;legacyDesktopId&quot;:&quot;309060de-e50b-4c9e-9283-9124b607e4b7&quot;},{&quot;id&quot;:&quot;4e81b40f-5c99-55b1-8226-e0359c2abf1d&quot;,&quot;itemData&quot;:{&quot;DOI&quot;:&quot;10.1016/j.hrthm.2018.05.006&quot;,&quot;ISSN&quot;:&quot;15563871&quot;,&quot;PMID&quot;:&quot;29753022&quot;,&quot;abstract&quot;:&quot;Background: Heart rate variability (HRV) is an important marker of heart health, with low values reflecting reduced vagal control of the heart rhythm. Objective: The purpose of this study was to investigate the extent to which a broad range of demographic (age, sex), lifestyle (physical activity, smoking, alcohol use), and psychosocial factors (stress, social well-being, neuroticism) explain individual differences in HRV in the general population. Methods: Using baseline data of 10-second electrocardiograms from the Lifelines Cohort Study (n = 149,205; 58.7% female; mean age ± SD: 44.6 ± 13.2 years), we calculated the root mean square of successive differences (RMSSD) between adjacent interbeat intervals as an index of cardiac parasympathetic nervous system activity. We also calculated RMSSD adjusted for its dependency on heart rate (cRMSSD). The association of demographic, lifestyle, and psychosocial factors with RMSSD was assessed using hierarchical linear regression models adjusting for potential confounding effects of medication use, disease, and body mass index. Results: HRV strongly declined with age and was consistently higher in women. These demographic factors together explained 17.4% of the variance in RMSSD and 21.9% in cRMSSD. Physical activity, alcohol use, and smoking showed some significant associations with RMSSD, but stress, social well-being, and neuroticism did not. Adding lifestyle and psychosocial factors to the model additionally explained &lt;0.50% of the variance. Conclusion: Age and sex were the most important determinants in this very large general population cohort, explaining almost one-fifth of the individual differences in HRV. The additional contribution of lifestyle and psychosocial factors was negligible.&quot;,&quot;author&quot;:[{&quot;dropping-particle&quot;:&quot;&quot;,&quot;family&quot;:&quot;Tegegne&quot;,&quot;given&quot;:&quot;Balewgizie Sileshi&quot;,&quot;non-dropping-particle&quot;:&quot;&quot;,&quot;parse-names&quot;:false,&quot;suffix&quot;:&quot;&quot;},{&quot;dropping-particle&quot;:&quot;&quot;,&quot;family&quot;:&quot;Man&quot;,&quot;given&quot;:&quot;Tengfei&quot;,&quot;non-dropping-particle&quot;:&quot;&quot;,&quot;parse-names&quot;:false,&quot;suffix&quot;:&quot;&quot;},{&quot;dropping-particle&quot;:&quot;&quot;,&quot;family&quot;:&quot;Roon&quot;,&quot;given&quot;:&quot;Arie M.&quot;,&quot;non-dropping-particle&quot;:&quot;van&quot;,&quot;parse-names&quot;:false,&quot;suffix&quot;:&quot;&quot;},{&quot;dropping-particle&quot;:&quot;&quot;,&quot;family&quot;:&quot;Riese&quot;,&quot;given&quot;:&quot;Harriëtte&quot;,&quot;non-dropping-particle&quot;:&quot;&quot;,&quot;parse-names&quot;:false,&quot;suffix&quot;:&quot;&quot;},{&quot;dropping-particle&quot;:&quot;&quot;,&quot;family&quot;:&quot;Snieder&quot;,&quot;given&quot;:&quot;Harold&quot;,&quot;non-dropping-particle&quot;:&quot;&quot;,&quot;parse-names&quot;:false,&quot;suffix&quot;:&quot;&quot;}],&quot;container-title&quot;:&quot;Heart Rhythm&quot;,&quot;id&quot;:&quot;4e81b40f-5c99-55b1-8226-e0359c2abf1d&quot;,&quot;issue&quot;:&quot;10&quot;,&quot;issued&quot;:{&quot;date-parts&quot;:[[&quot;2018&quot;]]},&quot;page&quot;:&quot;1552-1558&quot;,&quot;publisher&quot;:&quot;Heart Rhythm Society&quot;,&quot;title&quot;:&quot;Determinants of heart rate variability in the general population: The Lifelines Cohort Study&quot;,&quot;type&quot;:&quot;article-journal&quot;,&quot;volume&quot;:&quot;15&quot;,&quot;container-title-short&quot;:&quot;Heart Rhythm&quot;},&quot;uris&quot;:[&quot;http://www.mendeley.com/documents/?uuid=6711187c-3959-4f01-b6df-f908160e5347&quot;],&quot;isTemporary&quot;:false,&quot;legacyDesktopId&quot;:&quot;6711187c-3959-4f01-b6df-f908160e5347&quot;},{&quot;id&quot;:&quot;afd902c4-3f36-54b4-8aa0-155bb96e75c7&quot;,&quot;itemData&quot;:{&quot;DOI&quot;:&quot;10.1007/s00421-012-2572-9&quot;,&quot;ISSN&quot;:&quot;14396319&quot;,&quot;PMID&quot;:&quot;23269492&quot;,&quot;abstract&quot;:&quot;This paper provides age- and sex-specific reference values for short-term heart rate variability (HRV) data in children by time domain and frequency domain methods. Furthermore, HRV determinants will be determined. In 460 children (5-10 years), 5-minute HRV measurements in supine position were undertaken with Polar chest belts. The data were manually edited and processed with time and frequency domain methods. Age, time point, physical activity (accelerometry), physical fitness (cardiopulmonary fitness, upper and lower limb muscular fitness) and body composition (body mass index, fat%, fat and fat-free mass) were analysed as determinants using multiple regression analysis stratified by sex. Sex- and age-specific reference values were produced. Overall, girls had lower HRV. Age-related parasympathetic increases and sympathetic decreases were seen with sometimes age-related year-to-year wave-like changes in boys. The time point of recording had limited influence on HRV. Of the lifestyle related factors, fatness (only 7 % overweight) was not associated with HRV but fat-free mass, physical activity and in particular physical fitness (over and above activity) had a favourable association by increased parasympathetic activity. Future HRV studies in children should consider age, sex and physical fitness. © 2012 Springer-Verlag Berlin Heidelberg.&quot;,&quot;author&quot;:[{&quot;dropping-particle&quot;:&quot;&quot;,&quot;family&quot;:&quot;Michels&quot;,&quot;given&quot;:&quot;Nathalie&quot;,&quot;non-dropping-particle&quot;:&quot;&quot;,&quot;parse-names&quot;:false,&quot;suffix&quot;:&quot;&quot;},{&quot;dropping-particle&quot;:&quot;&quot;,&quot;family&quot;:&quot;Clays&quot;,&quot;given&quot;:&quot;Els&quot;,&quot;non-dropping-particle&quot;:&quot;&quot;,&quot;parse-names&quot;:false,&quot;suffix&quot;:&quot;&quot;},{&quot;dropping-particle&quot;:&quot;&quot;,&quot;family&quot;:&quot;Buyzere&quot;,&quot;given&quot;:&quot;Marc&quot;,&quot;non-dropping-particle&quot;:&quot;De&quot;,&quot;parse-names&quot;:false,&quot;suffix&quot;:&quot;&quot;},{&quot;dropping-particle&quot;:&quot;&quot;,&quot;family&quot;:&quot;Huybrechts&quot;,&quot;given&quot;:&quot;Inge&quot;,&quot;non-dropping-particle&quot;:&quot;&quot;,&quot;parse-names&quot;:false,&quot;suffix&quot;:&quot;&quot;},{&quot;dropping-particle&quot;:&quot;&quot;,&quot;family&quot;:&quot;Marild&quot;,&quot;given&quot;:&quot;Staffan&quot;,&quot;non-dropping-particle&quot;:&quot;&quot;,&quot;parse-names&quot;:false,&quot;suffix&quot;:&quot;&quot;},{&quot;dropping-particle&quot;:&quot;&quot;,&quot;family&quot;:&quot;Vanaelst&quot;,&quot;given&quot;:&quot;Barbara&quot;,&quot;non-dropping-particle&quot;:&quot;&quot;,&quot;parse-names&quot;:false,&quot;suffix&quot;:&quot;&quot;},{&quot;dropping-particle&quot;:&quot;&quot;,&quot;family&quot;:&quot;Henauw&quot;,&quot;given&quot;:&quot;Stefaan&quot;,&quot;non-dropping-particle&quot;:&quot;De&quot;,&quot;parse-names&quot;:false,&quot;suffix&quot;:&quot;&quot;},{&quot;dropping-particle&quot;:&quot;&quot;,&quot;family&quot;:&quot;Sioen&quot;,&quot;given&quot;:&quot;Isabelle&quot;,&quot;non-dropping-particle&quot;:&quot;&quot;,&quot;parse-names&quot;:false,&quot;suffix&quot;:&quot;&quot;}],&quot;container-title&quot;:&quot;European Journal of Applied Physiology&quot;,&quot;id&quot;:&quot;afd902c4-3f36-54b4-8aa0-155bb96e75c7&quot;,&quot;issue&quot;:&quot;6&quot;,&quot;issued&quot;:{&quot;date-parts&quot;:[[&quot;2013&quot;]]},&quot;page&quot;:&quot;1477-1488&quot;,&quot;title&quot;:&quot;Determinants and reference values of short-term heart rate variability in children&quot;,&quot;type&quot;:&quot;article-journal&quot;,&quot;volume&quot;:&quot;113&quot;,&quot;container-title-short&quot;:&quot;Eur. J. Appl. Physiol.&quot;},&quot;uris&quot;:[&quot;http://www.mendeley.com/documents/?uuid=219ca2b9-5923-4932-9320-565f75e2b6ff&quot;],&quot;isTemporary&quot;:false,&quot;legacyDesktopId&quot;:&quot;219ca2b9-5923-4932-9320-565f75e2b6ff&quot;}]},{&quot;citationID&quot;:&quot;MENDELEY_CITATION_2f37b59b-f1a1-4818-93d8-0d9f07320471&quot;,&quot;properties&quot;:{&quot;noteIndex&quot;:0},&quot;isEdited&quot;:false,&quot;manualOverride&quot;:{&quot;citeprocText&quot;:&quot;[368]&quot;,&quot;isManuallyOverridden&quot;:false,&quot;manualOverrideText&quot;:&quot;&quot;},&quot;citationTag&quot;:&quot;MENDELEY_CITATION_v3_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&quot;,&quot;citationItems&quot;:[{&quot;id&quot;:&quot;4cd9a232-3089-593c-9d3e-a5ce3ee6ec02&quot;,&quot;itemData&quot;:{&quot;DOI&quot;:&quot;10.1152/jappl.1980.49.4.715&quot;,&quot;ISSN&quot;:&quot;8750-7587&quot;,&quot;PMID&quot;:&quot;7440285&quot;,&quot;abstract&quot;:&quot;To determine the influence of hydration state upon circulatory controls, we studied four relatively fit subjects during duplicate 30-min cycle ergometer exercise bouts (55% VO2max) in euhydrated, hypohydrated, and hyperhydrated conditions. Ambient temperature was 35 degrees C. Hypohydration was achieved by 4 days of diuretic administration and resulted in a whole-body weight loss of 2.2 kg and a plasma volume decrease of approximately 700 ml. Hyperhydration was achieved by ADH administration plus ingestion of 2 liters water but caused only a minor increase volume. Hypohydration resulted in a significantly reduced cardiac output during exercise; this the result of a reduction in stroke volume of 17 ml.beat-1 without adequate elevation in heart rate. the internal temperature (Tes) threshold for cutaneous vasodilation was elevated by 0.42 degree C in hypohydrated conditions; but once vasodilation occurred, the slope of the arm blood flow:Tes relation was unchanged from control. Maximal arm blood flow was reduced by nearly 50% in hypohydration. These restrictions in cutaneous blood flow served to maintain an already compromised venous return, but due to the limitation of core-to-skin heat transfer, forced Tes to nearly 39 degrees C, significantly higher than in euhydrated conditions.&quot;,&quot;author&quot;:[{&quot;dropping-particle&quot;:&quot;&quot;,&quot;family&quot;:&quot;Nadel&quot;,&quot;given&quot;:&quot;E. R.&quot;,&quot;non-dropping-particle&quot;:&quot;&quot;,&quot;parse-names&quot;:false,&quot;suffix&quot;:&quot;&quot;},{&quot;dropping-particle&quot;:&quot;&quot;,&quot;family&quot;:&quot;Fortney&quot;,&quot;given&quot;:&quot;S. M.&quot;,&quot;non-dropping-particle&quot;:&quot;&quot;,&quot;parse-names&quot;:false,&quot;suffix&quot;:&quot;&quot;},{&quot;dropping-particle&quot;:&quot;&quot;,&quot;family&quot;:&quot;Wenger&quot;,&quot;given&quot;:&quot;C. B.&quot;,&quot;non-dropping-particle&quot;:&quot;&quot;,&quot;parse-names&quot;:false,&quot;suffix&quot;:&quot;&quot;}],&quot;container-title&quot;:&quot;Journal of Applied Physiology&quot;,&quot;id&quot;:&quot;4cd9a232-3089-593c-9d3e-a5ce3ee6ec02&quot;,&quot;issue&quot;:&quot;4&quot;,&quot;issued&quot;:{&quot;date-parts&quot;:[[&quot;1980&quot;,&quot;10&quot;,&quot;1&quot;]]},&quot;page&quot;:&quot;715-721&quot;,&quot;title&quot;:&quot;Effect of hydration state of circulatory and thermal regulations&quot;,&quot;type&quot;:&quot;article-journal&quot;,&quot;volume&quot;:&quot;49&quot;,&quot;container-title-short&quot;:&quot;J. Appl. Physiol.&quot;},&quot;uris&quot;:[&quot;http://www.mendeley.com/documents/?uuid=60147a91-c615-45b2-b3bc-8630fd07a77d&quot;],&quot;isTemporary&quot;:false,&quot;legacyDesktopId&quot;:&quot;60147a91-c615-45b2-b3bc-8630fd07a77d&quot;}]},{&quot;citationID&quot;:&quot;MENDELEY_CITATION_6e09d9f6-cdad-468d-948a-063bd7afdbd7&quot;,&quot;properties&quot;:{&quot;noteIndex&quot;:0},&quot;isEdited&quot;:false,&quot;manualOverride&quot;:{&quot;citeprocText&quot;:&quot;[283]&quot;,&quot;isManuallyOverridden&quot;:false,&quot;manualOverrideText&quot;:&quot;&quot;},&quot;citationTag&quot;:&quot;MENDELEY_CITATION_v3_eyJjaXRhdGlvbklEIjoiTUVOREVMRVlfQ0lUQVRJT05fNmUwOWQ5ZjYtY2RhZC00NjhkLTk0OGEtMDYzYmQ3YWZkYmQ3IiwicHJvcGVydGllcyI6eyJub3RlSW5kZXgiOjB9LCJpc0VkaXRlZCI6ZmFsc2UsIm1hbnVhbE92ZXJyaWRlIjp7ImNpdGVwcm9jVGV4dCI6IlsyODNdIiwiaXNNYW51YWxseU92ZXJyaWRkZW4iOmZhbHNlLCJtYW51YWxPdmVycmlkZVRleHQiOiIifSwiY2l0YXRpb25JdGVtcyI6W3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V19&quot;,&quot;citationItems&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4a1ea6ca-7dc8-49c9-b544-d11e1bb1132a&quot;,&quot;properties&quot;:{&quot;noteIndex&quot;:0},&quot;isEdited&quot;:false,&quot;manualOverride&quot;:{&quot;citeprocText&quot;:&quot;[369]&quot;,&quot;isManuallyOverridden&quot;:false,&quot;manualOverrideText&quot;:&quot;&quot;},&quot;citationTag&quot;:&quot;MENDELEY_CITATION_v3_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&quot;,&quot;citationItems&quot;:[{&quot;id&quot;:&quot;99b85ee3-0196-5140-bf17-12d7a88eda4d&quot;,&quot;itemData&quot;:{&quot;DOI&quot;:&quot;10.1111/psyp.12134&quot;,&quot;ISSN&quot;:&quot;14698986&quot;,&quot;PMID&quot;:&quot;23941125&quot;,&quot;abstract&quot;:&quot;Epidemiological literature indicates that the relationship between alcohol consumption and health outcomes reflects a J-shaped curve such that moderate alcohol consumption confers a protective effect in comparison to abstinence, while heavy consumption is associated with poorer health. While heart rate variability (HRV) may underpin the relationship between drinking and poor health in heavy drinkers, it is unclear whether HRV is increased in moderate, habitual drinkers relative to nonhabitual drinkers. HRV and drinking habits were assessed in 47 volunteers. Results supported hypotheses suggesting that moderate, habitual drinking increases HRV. Although not supported by a significant interaction between drinking group and sex, planned follow-up analysis also revealed that these findings may be specific to males. Regardless, results highlight HRV as a candidate mechanism for the findings reported in the epidemiological literature. © 2013 Society for Psychophysiological Research.&quot;,&quot;author&quot;:[{&quot;dropping-particle&quot;:&quot;&quot;,&quot;family&quot;:&quot;Quintana&quot;,&quot;given&quot;:&quot;Daniel S.&quot;,&quot;non-dropping-particle&quot;:&quot;&quot;,&quot;parse-names&quot;:false,&quot;suffix&quot;:&quot;&quot;},{&quot;dropping-particle&quot;:&quot;&quot;,&quot;family&quot;:&quot;Guastella&quot;,&quot;given&quot;:&quot;Adam J.&quot;,&quot;non-dropping-particle&quot;:&quot;&quot;,&quot;parse-names&quot;:false,&quot;suffix&quot;:&quot;&quot;},{&quot;dropping-particle&quot;:&quot;&quot;,&quot;family&quot;:&quot;Mcgregor&quot;,&quot;given&quot;:&quot;Iain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Kemp&quot;,&quot;given&quot;:&quot;Andrew H.&quot;,&quot;non-dropping-particle&quot;:&quot;&quot;,&quot;parse-names&quot;:false,&quot;suffix&quot;:&quot;&quot;}],&quot;container-title&quot;:&quot;Psychophysiology&quot;,&quot;id&quot;:&quot;99b85ee3-0196-5140-bf17-12d7a88eda4d&quot;,&quot;issue&quot;:&quot;12&quot;,&quot;issued&quot;:{&quot;date-parts&quot;:[[&quot;2013&quot;]]},&quot;page&quot;:&quot;1202-1208&quot;,&quot;title&quot;:&quot;Moderate alcohol intake is related to increased heart rate variability in young adults: Implications for health and well-being&quot;,&quot;type&quot;:&quot;article-journal&quot;,&quot;volume&quot;:&quot;50&quot;,&quot;container-title-short&quot;:&quot;Psychophysiology&quot;},&quot;uris&quot;:[&quot;http://www.mendeley.com/documents/?uuid=681e205f-78a9-4745-bd4e-a62f1abb387f&quot;],&quot;isTemporary&quot;:false,&quot;legacyDesktopId&quot;:&quot;681e205f-78a9-4745-bd4e-a62f1abb387f&quot;}]},{&quot;citationID&quot;:&quot;MENDELEY_CITATION_5f534f37-becf-4ced-8234-3c71c24de086&quot;,&quot;properties&quot;:{&quot;noteIndex&quot;:0},&quot;isEdited&quot;:false,&quot;manualOverride&quot;:{&quot;citeprocText&quot;:&quot;[370–377]&quot;,&quot;isManuallyOverridden&quot;:false,&quot;manualOverrideText&quot;:&quot;&quot;},&quot;citationTag&quot;:&quot;MENDELEY_CITATION_v3_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&quot;,&quot;citationItems&quot;:[{&quot;id&quot;:&quot;97c4cb1a-12a0-5f03-b1fa-048d4aa3291f&quot;,&quot;itemData&quot;:{&quot;DOI&quot;:&quot;10.1016/j.biopsych.2009.12.012&quot;,&quot;ISSN&quot;:&quot;00063223&quot;,&quot;PMID&quot;:&quot;20138254&quot;,&quot;abstract&quot;:&quot;Background: Depression is associated with an increase in the likelihood of cardiac events; however, studies investigating the relationship between depression and heart rate variability (HRV) have generally focused on patients with cardiovascular disease (CVD). The objective of the current report is to examine with meta-analysis the impact of depression and antidepressant treatment on HRV in depressed patients without CVD. Methods: Studies comparing 1) HRV in patients with major depressive disorder and healthy control subjects and 2) the HRV of patients with major depressive disorder before and after treatment were considered for meta-analysis. Results: Meta-analyses were based on 18 articles that met inclusion criteria, comprising a total of 673 depressed participants and 407 healthy comparison participants. Participants with depression had lower HRV (time frequency: Hedges' g = -.301, p &lt; .001; high frequency: Hedges' g = -.293, p &lt; .001; nonlinear: Hedges' g = -1.955, p = .05; Valsalva ratio: Hedges' g = -.712, p &lt; .001) than healthy control subjects, and depression severity was negatively correlated with HRV (r = -.354, p &lt; .001). Tricyclic medication decreased HRV, although serotonin reuptake inhibitors, mirtazapine, and nefazodone had no significant impact on HRV despite patient response to treatment. Conclusions: Depression without CVD is associated with reduced HRV, which decreases with increasing depression severity, most apparent with nonlinear measures of HRV. Critically, a variety of antidepressant treatments do not resolve these decreases despite resolution of symptoms, highlighting that antidepressant medications might not have HRV-mediated cardioprotective effects and the need to identify individuals at risk among patients in remission. © 2010 Society of Biological Psychiatry.&quot;,&quot;author&quot;:[{&quot;dropping-particle&quot;:&quot;&quot;,&quot;family&quot;:&quot;Kemp&quot;,&quot;given&quot;:&quot;Andrew H.&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Gray&quot;,&quot;given&quot;:&quot;Marcus A.&quot;,&quot;non-dropping-particle&quot;:&quot;&quot;,&quot;parse-names&quot;:false,&quot;suffix&quot;:&quot;&quot;},{&quot;dropping-particle&quot;:&quot;&quot;,&quot;family&quot;:&quot;Felmingham&quot;,&quot;given&quot;:&quot;Kim L.&quot;,&quot;non-dropping-particle&quot;:&quot;&quot;,&quot;parse-names&quot;:false,&quot;suffix&quot;:&quot;&quot;},{&quot;dropping-particle&quot;:&quot;&quot;,&quot;family&quot;:&quot;Brown&quot;,&quot;given&quot;:&quot;Kerri&quot;,&quot;non-dropping-particle&quot;:&quot;&quot;,&quot;parse-names&quot;:false,&quot;suffix&quot;:&quot;&quot;},{&quot;dropping-particle&quot;:&quot;&quot;,&quot;family&quot;:&quot;Gatt&quot;,&quot;given&quot;:&quot;Justine M.&quot;,&quot;non-dropping-particle&quot;:&quot;&quot;,&quot;parse-names&quot;:false,&quot;suffix&quot;:&quot;&quot;}],&quot;container-title&quot;:&quot;Biological Psychiatry&quot;,&quot;id&quot;:&quot;97c4cb1a-12a0-5f03-b1fa-048d4aa3291f&quot;,&quot;issue&quot;:&quot;11&quot;,&quot;issued&quot;:{&quot;date-parts&quot;:[[&quot;2010&quot;]]},&quot;page&quot;:&quot;1067-1074&quot;,&quot;publisher&quot;:&quot;Elsevier Inc.&quot;,&quot;title&quot;:&quot;Impact of Depression and Antidepressant Treatment on Heart Rate Variability: A Review and Meta-Analysis&quot;,&quot;type&quot;:&quot;article-journal&quot;,&quot;volume&quot;:&quot;67&quot;,&quot;container-title-short&quot;:&quot;Biol. Psychiatry&quot;},&quot;uris&quot;:[&quot;http://www.mendeley.com/documents/?uuid=99a93558-8a06-4af0-a015-abbc2789db14&quot;],&quot;isTemporary&quot;:false,&quot;legacyDesktopId&quot;:&quot;99a93558-8a06-4af0-a015-abbc2789db14&quot;},{&quot;id&quot;:&quot;d4ffde44-1aa6-599f-8d2d-0d1c66110236&quot;,&quot;itemData&quot;:{&quot;DOI&quot;:&quot;10.3389/fpsyt.2014.00080&quot;,&quot;ISSN&quot;:&quot;16640640&quot;,&quot;PMID&quot;:&quot;25071612&quot;,&quot;abstract&quot;:&quot;Background: Anxiety disorders increase risk of future cardiovascular disease (CVD) and mortality, even after controlling for confounds including smoking, lifestyle, and socioeconomic status, and irrespective of a history of medical disorders. While impaired vagal function, indicated by reductions in heart rate variability (HRV), may be one mechanism linking anxiety disorders to CVD, prior studies have reported inconsistent findings highlighting the need for meta-analysis. Method: Studies comparing resting-state HRV recordings in patients with an anxiety disorder as a primary diagnosis and healthy controls were considered for meta-analysis. Results: Meta-analyses were based on 36 articles, including 2086 patients with an anxiety disorder and 2294 controls. Overall, anxiety disorders were characterized by lower HRV [high frequency (HF): Hedges' g = -0.29. 95% CI: -0.41 to -0.17, p &lt; 0.001; time domain: Hedges' g = -0.45, 95% CI: -0.57 to -0.33, p &lt; 0.001] than controls. Panic disorder (n = 447), post-traumatic stress disorder (n = 192), generalized anxiety disorder (n = 68), and social anxiety disorder (n = 90), but not obsessive-compulsive disorder (n = 40), displayed reductions in HF HRV relative to controls (all ps &lt; 0.001). Conclusion: Anxiety disorders are associated with reduced HRV, findings associated with a small-to-moderate effect size. Findings have important implications for future physical health and well-being of patients, highlighting a need for comprehensive cardiovascular risk reduction. © 2014 Chalmers, Quintana, Abbott and Kemp.&quot;,&quot;author&quot;:[{&quot;dropping-particle&quot;:&quot;&quot;,&quot;family&quot;:&quot;Chalmers&quot;,&quot;given&quot;:&quot;John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Abbott&quot;,&quot;given&quot;:&quot;Maree J.Anne&quot;,&quot;non-dropping-particle&quot;:&quot;&quot;,&quot;parse-names&quot;:false,&quot;suffix&quot;:&quot;&quot;},{&quot;dropping-particle&quot;:&quot;&quot;,&quot;family&quot;:&quot;Kemp&quot;,&quot;given&quot;:&quot;Andrew H.&quot;,&quot;non-dropping-particle&quot;:&quot;&quot;,&quot;parse-names&quot;:false,&quot;suffix&quot;:&quot;&quot;}],&quot;container-title&quot;:&quot;Frontiers in Psychiatry&quot;,&quot;id&quot;:&quot;d4ffde44-1aa6-599f-8d2d-0d1c66110236&quot;,&quot;issue&quot;:&quot;JUL&quot;,&quot;issued&quot;:{&quot;date-parts&quot;:[[&quot;2014&quot;]]},&quot;page&quot;:&quot;1-11&quot;,&quot;title&quot;:&quot;Anxiety disorders are associated with reduced heart rate variability: A meta-analysis&quot;,&quot;type&quot;:&quot;article-journal&quot;,&quot;volume&quot;:&quot;5&quot;,&quot;container-title-short&quot;:&quot;Front. Psychiatry&quot;},&quot;uris&quot;:[&quot;http://www.mendeley.com/documents/?uuid=172716d8-2e45-481b-b240-ae47494e6508&quot;],&quot;isTemporary&quot;:false,&quot;legacyDesktopId&quot;:&quot;172716d8-2e45-481b-b240-ae47494e6508&quot;},{&quot;id&quot;:&quot;d32beadf-4044-5a10-939c-9317006eeed8&quot;,&quot;itemData&quot;:{&quot;DOI&quot;:&quot;10.1371/journal.pone.0030777&quot;,&quot;ISSN&quot;:&quot;19326203&quot;,&quot;PMID&quot;:&quot;22355326&quot;,&quot;abstract&quot;:&quot;Context: There is evidence that heart rate variability (HRV) is reduced in major depressive disorder (MDD), although there is debate about whether this effect is caused by medication or the disorder per se. MDD is associated with a two to fourfold increase in the risk of cardiac mortality, and HRV is a robust predictor of cardiac mortality; determining a direct link between HRV and not only MDD, but common comorbid anxiety disorders, will point to psychiatric indicators for cardiovascular risk reduction. Objective: To determine in physically healthy, unmedicated patients whether (1) HRV is reduced in MDD relative to controls, and (2) HRV reductions are driven by MDD alone, comorbid generalized anxiety disorder (GAD, characterized by anxious anticipation), or comorbid panic and posttraumatic stress disorders (PD/PTSD, characterized by anxious arousal). Design, Setting, and Patients: A case-control study in 2006 and 2007 on 73 MDD patients, including 24 without anxiety comorbidity, 24 with GAD, and 14 with PD/PTSD. Seventy-three MDD and 94 healthy age- and sex-matched control participants were recruited from the general community. Participants had no history of drug addiction, alcoholism, brain injury, loss of consciousness, stroke, neurological disorder, or serious medical conditions. There were no significant differences between the four groups in age, gender, BMI, or alcohol use. Main Outcome Measures: HRV was calculated from electrocardiography under a standardized short-term resting state condition. Results: HRV was reduced in MDD relative to controls, an effect associated with a medium effect size. MDD participants with comorbid generalized anxiety disorder displayed the greatest reductions in HRV relative to controls, an effect associated with a large effect size. Conclusions: Unmedicated, physically healthy MDD patients with and without comorbid anxiety had reduced HRV. Those with comorbid GAD showed the greatest reductions. Implications for cardiovascular risk reduction strategies in otherwise healthy patients with psychiatric illness are discussed. © 2012 Kemp et al.&quot;,&quot;author&quot;:[{&quot;dropping-particle&quot;:&quot;&quot;,&quot;family&quot;:&quot;Kemp&quot;,&quot;given&quot;:&quot;Andrew H.&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Felmingham&quot;,&quot;given&quot;:&quot;Kim L.&quot;,&quot;non-dropping-particle&quot;:&quot;&quot;,&quot;parse-names&quot;:false,&quot;suffix&quot;:&quot;&quot;},{&quot;dropping-particle&quot;:&quot;&quot;,&quot;family&quot;:&quot;Matthews&quot;,&quot;given&quot;:&quot;Slade&quot;,&quot;non-dropping-particle&quot;:&quot;&quot;,&quot;parse-names&quot;:false,&quot;suffix&quot;:&quot;&quot;},{&quot;dropping-particle&quot;:&quot;&quot;,&quot;family&quot;:&quot;Jelinek&quot;,&quot;given&quot;:&quot;Herbert F.&quot;,&quot;non-dropping-particle&quot;:&quot;&quot;,&quot;parse-names&quot;:false,&quot;suffix&quot;:&quot;&quot;}],&quot;container-title&quot;:&quot;PLoS ONE&quot;,&quot;id&quot;:&quot;d32beadf-4044-5a10-939c-9317006eeed8&quot;,&quot;issue&quot;:&quot;2&quot;,&quot;issued&quot;:{&quot;date-parts&quot;:[[&quot;2012&quot;]]},&quot;page&quot;:&quot;1-8&quot;,&quot;title&quot;:&quot;Depression, comorbid anxiety disorders, and heart rate variability in physically healthy, unmedicated patients: Implications for cardiovascular risk&quot;,&quot;type&quot;:&quot;article-journal&quot;,&quot;volume&quot;:&quot;7&quot;,&quot;container-title-short&quot;:&quot;PLoS One&quot;},&quot;uris&quot;:[&quot;http://www.mendeley.com/documents/?uuid=5d7fe050-31af-4b42-9bb3-11409c2e2302&quot;],&quot;isTemporary&quot;:false,&quot;legacyDesktopId&quot;:&quot;5d7fe050-31af-4b42-9bb3-11409c2e2302&quot;},{&quot;id&quot;:&quot;47a79f3c-c245-5e87-8b3a-536d4fd9cfc5&quot;,&quot;itemData&quot;:{&quot;DOI&quot;:&quot;10.1016/j.neubiorev.2016.12.007&quot;,&quot;ISSN&quot;:&quot;18737528&quot;,&quot;PMID&quot;:&quot;27986468&quot;,&quot;abstract&quot;:&quot;Background Heart rate variability (HRV) has been suggested reduced in bipolar disorder (BD) compared with healthy individuals (HC). This meta-analysis investigated: HRV differences in BD compared with HC, major depressive disorder or schizophrenia; HRV differences between affective states; HRV changes from mania/depression to euthymia; and HRV changes following interventions. Methods A systematic review and meta-analysis reported according to the PRISMA guidelines was conducted. MEDLINE, Embase, PsycINFO, The Cochrane Library and Scopus were searched. A total of 15 articles comprising 2534 individuals were included. Results HRV was reduced in BD compared to HC (g = -1.77, 95% CI: −2.46; −1.09, P &lt; 0.001, 10 comparisons, n = 1581). More recent publication year, larger study and higher study quality were associated with a smaller difference in HRV. Large between-study heterogeneity, low study quality, and lack of consideration of confounding factors in individual studies were observed. Conclusions This first meta-analysis of HRV in BD suggests that HRV is reduced in BD compared to HC. Heterogeneity and methodological issues limit the evidence. Future studies employing strict methodology are warranted.&quot;,&quot;author&quot;:[{&quot;dropping-particle&quot;:&quot;&quot;,&quot;family&quot;:&quot;Faurholt-Jepsen&quot;,&quot;given&quot;:&quot;Maria&quot;,&quot;non-dropping-particle&quot;:&quot;&quot;,&quot;parse-names&quot;:false,&quot;suffix&quot;:&quot;&quot;},{&quot;dropping-particle&quot;:&quot;&quot;,&quot;family&quot;:&quot;Kessing&quot;,&quot;given&quot;:&quot;Lars Vedel&quot;,&quot;non-dropping-particle&quot;:&quot;&quot;,&quot;parse-names&quot;:false,&quot;suffix&quot;:&quot;&quot;},{&quot;dropping-particle&quot;:&quot;&quot;,&quot;family&quot;:&quot;Munkholm&quot;,&quot;given&quot;:&quot;Klaus&quot;,&quot;non-dropping-particle&quot;:&quot;&quot;,&quot;parse-names&quot;:false,&quot;suffix&quot;:&quot;&quot;}],&quot;container-title&quot;:&quot;Neuroscience and Biobehavioral Reviews&quot;,&quot;id&quot;:&quot;47a79f3c-c245-5e87-8b3a-536d4fd9cfc5&quot;,&quot;issued&quot;:{&quot;date-parts&quot;:[[&quot;2017&quot;]]},&quot;page&quot;:&quot;68-80&quot;,&quot;publisher&quot;:&quot;Elsevier Ltd&quot;,&quot;title&quot;:&quot;Heart rate variability in bipolar disorder: A systematic review and meta-analysis&quot;,&quot;type&quot;:&quot;article-journal&quot;,&quot;volume&quot;:&quot;73&quot;,&quot;container-title-short&quot;:&quot;Neurosci. Biobehav. Rev.&quot;},&quot;uris&quot;:[&quot;http://www.mendeley.com/documents/?uuid=040ce5ab-9806-47cb-91ce-df1575f0665b&quot;],&quot;isTemporary&quot;:false,&quot;legacyDesktopId&quot;:&quot;040ce5ab-9806-47cb-91ce-df1575f0665b&quot;},{&quot;id&quot;:&quot;a42b60e9-630c-5add-b961-0d76884fb6e7&quot;,&quot;itemData&quot;:{&quot;DOI&quot;:&quot;10.1503/jpn.140217&quot;,&quot;ISSN&quot;:&quot;14882434&quot;,&quot;PMID&quot;:&quot;26447819&quot;,&quot;abstract&quot;:&quot;Autonomic nervous system (ANS) dysfunction is a putative underlying mechanism for increased cardiovascular disease risk in individuals with psychiatric disorders. Previous studies suggest that this risk may be related to psychotropic medication use. In the present study we systematically reviewed and analyzed published studies of heart rate variability (HRV), measuring ANS output, to determine the effect of psychiatric illness and medication use. Methods: We searched for studies comparing HRV in physically healthy adults with a diagnosed psychiatric disorder to controls and comparing HRV pre-and post-treatment with a psychotropic medication. Results: In total, 140 case-control (mood, anxiety, psychosis, dependent disorders, k = 151) and 30 treatment (antidepressants, antipsychotics; k = 43) studies were included. We found that HRV was reduced in all patient groups compared to controls (Hedges g =-0.583) with a large effect for psychotic disorders (Hedges g =-0.948). Effect sizes remained highly significant for medication-free patients compared to controls across all disorders. Smaller and significant reductions in HRV were observed for specific antidepressants and antipsychotics. Limitations: Study quality significantly moderated effect sizes in case-control analyses, underscoring the importance of assessing methodological quality when interpreting HRV findings. Conclusion: Combined findings confirm substantial reductions in HRV across psychiatric disorders, and these effects remained significant even in medication-free individuals. Reductions in HRV may therefore represent a significant mechanism contributing to elevated cardiovascular risk in individuals with psychiatric disorders. The negative impact of specific medications on HRV suggest increased risk for cardiovascular disease in these groups, highlighting a need for treatment providers to consider modifiable cardiovascular risk factors to attenuate this risk.&quot;,&quot;author&quot;:[{&quot;dropping-particle&quot;:&quot;&quot;,&quot;family&quot;:&quot;Alvares&quot;,&quot;given&quot;:&quot;Gail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Journal of Psychiatry and Neuroscience&quot;,&quot;id&quot;:&quot;a42b60e9-630c-5add-b961-0d76884fb6e7&quot;,&quot;issue&quot;:&quot;2&quot;,&quot;issued&quot;:{&quot;date-parts&quot;:[[&quot;2016&quot;]]},&quot;page&quot;:&quot;89-104&quot;,&quot;title&quot;:&quot;Autonomic nervous system dysfunction in psychiatric disorders and the impact of psychotropic medications: A systematic review and meta-analysis&quot;,&quot;type&quot;:&quot;article-journal&quot;,&quot;volume&quot;:&quot;41&quot;,&quot;container-title-short&quot;:&quot;&quot;},&quot;uris&quot;:[&quot;http://www.mendeley.com/documents/?uuid=34e25f46-2f0d-463b-b9b2-8b632c89c7b8&quot;],&quot;isTemporary&quot;:false,&quot;legacyDesktopId&quot;:&quot;34e25f46-2f0d-463b-b9b2-8b632c89c7b8&quot;},{&quot;id&quot;:&quot;81b6a480-eca2-5658-a930-965957acb2c8&quot;,&quot;itemData&quot;:{&quot;DOI&quot;:&quot;10.1016/j.ijpsycho.2015.08.004&quot;,&quot;ISSN&quot;:&quot;18727697&quot;,&quot;PMID&quot;:&quot;26272488&quot;,&quot;abstract&quot;:&quot;The Research Domain Criteria (RDoC), developed by the National Institute of Mental Health as a neuroscience-informed alternative to traditional psychiatric nosology, is an explicitly dimensional system in which classification of psychopathology is derived inductively (i.e., from basic science), across multiple levels of analysis (e.g., genetic, neural, psychophysiological, and behavioral). Although RDoC is often presented as paradigmatically revolutionary, a review of the history of psychophysiology suggests that roots of RDoC thinking extend at least as far back as the mid-20th Century. In this paper, we briefly and selectively review the historical emergence of neurobiologically-informed dimensional trait models of psychopathology, and we summarize our thinking regarding high frequency heart rate variability (HF-HRV) as a transdiagnostic biomarker of self-regulation and cognitive control. When functional interactions between HF-HRV and systems of behavioral approach and avoidance are considered, diverse patterns of behavioral maladjustment can be subsumed into a single model. This model accommodates the general bifactor structure of psychopathology, and suggests that HF-HRV can be viewed as an autonomic, transdiagnostic biomarker of mental illness.&quot;,&quot;author&quot;:[{&quot;dropping-particle&quot;:&quot;&quot;,&quot;family&quot;:&quot;Beauchaine&quot;,&quot;given&quot;:&quot;Theodore P.&quot;,&quot;non-dropping-particle&quot;:&quot;&quot;,&quot;parse-names&quot;:false,&quot;suffix&quot;:&quot;&quot;},{&quot;dropping-particle&quot;:&quot;&quot;,&quot;family&quot;:&quot;Thayer&quot;,&quot;given&quot;:&quot;Julian F.&quot;,&quot;non-dropping-particle&quot;:&quot;&quot;,&quot;parse-names&quot;:false,&quot;suffix&quot;:&quot;&quot;}],&quot;container-title&quot;:&quot;International Journal of Psychophysiology&quot;,&quot;id&quot;:&quot;81b6a480-eca2-5658-a930-965957acb2c8&quot;,&quot;issue&quot;:&quot;2&quot;,&quot;issued&quot;:{&quot;date-parts&quot;:[[&quot;2015&quot;]]},&quot;page&quot;:&quot;338-350&quot;,&quot;publisher&quot;:&quot;Elsevier B.V.&quot;,&quot;title&quot;:&quot;Heart rate variability as a transdiagnostic biomarker of psychopathology&quot;,&quot;type&quot;:&quot;article-journal&quot;,&quot;volume&quot;:&quot;98&quot;,&quot;container-title-short&quot;:&quot;&quot;},&quot;uris&quot;:[&quot;http://www.mendeley.com/documents/?uuid=b12cdbc9-0f73-4437-b562-d434192e8353&quot;],&quot;isTemporary&quot;:false,&quot;legacyDesktopId&quot;:&quot;b12cdbc9-0f73-4437-b562-d434192e8353&quot;},{&quot;id&quot;:&quot;4de94d10-6f28-5f21-ba46-7370a7a93893&quot;,&quot;itemData&quot;:{&quot;DOI&quot;:&quot;10.1016/j.jpsychires.2009.07.011&quot;,&quot;ISSN&quot;:&quot;00223956&quot;,&quot;PMID&quot;:&quot;19700172&quot;,&quot;abstract&quot;:&quot;Background: Autonomic nervous system (ANS) dysfunction and reduced heart rate variability (HRV) have been reported in a wide variety of psychiatric disorders, but have not been well characterized in bipolar mania. We recorded cardiac activity and assessed HRV in acutely hospitalized manic bipolar (BD) and schizophrenia (SCZ) patients compared to age- and gender-matched healthy comparison (HC) subjects. Method: HRV was assessed using time domain, frequency domain, and nonlinear analyses in 23 manic BD, 14 SCZ, and 23 HC subjects during a 5. min rest period. Psychiatric symptoms were assessed by administration of the Brief Psychiatric Rating Scale (BPRS) and the Young Mania Rating Scale (YMRS). Results: Manic BD patients demonstrated a significant reduction in HRV, parasympathetic activity, and cardiac entropy compared to HC subjects, while SCZ patients demonstrated a similar, but non-significant, trend towards lower HRV and entropy. Reduction in parasympathetic tone was significantly correlated with higher YMRS scores and the unusual thought content subscale on the BPRS. Decreased entropy was associated with increased aggression and diminished personal hygiene on the YMRS scale. Conclusion: Cardiac function in manic BD individuals is characterized by decreased HRV, reduced vagal tone, and a decline in heart rate complexity as assessed by linear and nonlinear methods of analysis. Autonomic dysregulation is associated with more severe psychiatric symptoms, suggesting HRV dysfunction in this disorder may be dependent on the phase of the illness. © 2009 Elsevier Ltd.&quot;,&quot;author&quot;:[{&quot;dropping-particle&quot;:&quot;&quot;,&quot;family&quot;:&quot;Henry&quot;,&quot;given&quot;:&quot;Brook L.&quot;,&quot;non-dropping-particle&quot;:&quot;&quot;,&quot;parse-names&quot;:false,&quot;suffix&quot;:&quot;&quot;},{&quot;dropping-particle&quot;:&quot;&quot;,&quot;family&quot;:&quot;Minassian&quot;,&quot;given&quot;:&quot;Arpi&quot;,&quot;non-dropping-particle&quot;:&quot;&quot;,&quot;parse-names&quot;:false,&quot;suffix&quot;:&quot;&quot;},{&quot;dropping-particle&quot;:&quot;&quot;,&quot;family&quot;:&quot;Paulus&quot;,&quot;given&quot;:&quot;Martin P.&quot;,&quot;non-dropping-particle&quot;:&quot;&quot;,&quot;parse-names&quot;:false,&quot;suffix&quot;:&quot;&quot;},{&quot;dropping-particle&quot;:&quot;&quot;,&quot;family&quot;:&quot;Geyer&quot;,&quot;given&quot;:&quot;Mark A.&quot;,&quot;non-dropping-particle&quot;:&quot;&quot;,&quot;parse-names&quot;:false,&quot;suffix&quot;:&quot;&quot;},{&quot;dropping-particle&quot;:&quot;&quot;,&quot;family&quot;:&quot;Perry&quot;,&quot;given&quot;:&quot;William&quot;,&quot;non-dropping-particle&quot;:&quot;&quot;,&quot;parse-names&quot;:false,&quot;suffix&quot;:&quot;&quot;}],&quot;container-title&quot;:&quot;Journal of Psychiatric Research&quot;,&quot;id&quot;:&quot;4de94d10-6f28-5f21-ba46-7370a7a93893&quot;,&quot;issue&quot;:&quot;3&quot;,&quot;issued&quot;:{&quot;date-parts&quot;:[[&quot;2010&quot;]]},&quot;page&quot;:&quot;168-176&quot;,&quot;publisher&quot;:&quot;Elsevier Ltd&quot;,&quot;title&quot;:&quot;Heart rate variability in bipolar mania and schizophrenia&quot;,&quot;type&quot;:&quot;article-journal&quot;,&quot;volume&quot;:&quot;44&quot;,&quot;container-title-short&quot;:&quot;J. Psychiatr. Res.&quot;},&quot;uris&quot;:[&quot;http://www.mendeley.com/documents/?uuid=fed00daa-5c45-4b22-8cc0-0235d0ab73c4&quot;],&quot;isTemporary&quot;:false,&quot;legacyDesktopId&quot;:&quot;fed00daa-5c45-4b22-8cc0-0235d0ab73c4&quot;},{&quot;id&quot;:&quot;3bc3c4aa-1677-564c-8fa0-12ceba7c3c01&quot;,&quot;itemData&quot;:{&quot;DOI&quot;:&quot;10.1016/j.neubiorev.2016.12.032&quot;,&quot;ISSN&quot;:&quot;18737528&quot;,&quot;PMID&quot;:&quot;28057463&quot;,&quot;abstract&quot;:&quot;Theoretical perspectives posit that heart-rate variability (HRV) reflects self-regulatory capacity and therefore can be employed as a bio-marker of top-down self-regulation (the ability to regulate behavioral, cognitive, and emotional processes). However, existing findings of relations between self-regulation and HRV indices are mixed. To clarify the nature of such relations, we conducted a meta-analysis of 123 studies (N = 14,347) reporting relations between HRV indices and aspects of top-down self-regulation (e.g., executive functioning, emotion regulation, effortful control). A significant, albeit small, effect was observed (r = 0.09) such that greater HRV was related to better top-down self-regulation. Differences in relations were negligible across aspects of self-regulation, self-regulation measurement methods, HRV computational techniques, at-risk compared with healthy samples, and the context of HRV measurement. Stronger relations were observed in older relative to younger samples and in published compared to unpublished studies. These findings generally support the notion that HRV indices can tentatively be employed as bio-markers of top-down self-regulation. Conceptual and theoretical implications, and critical gaps in current knowledge to be addressed by future work, are discussed.&quot;,&quot;author&quot;:[{&quot;dropping-particle&quot;:&quot;&quot;,&quot;family&quot;:&quot;Holzman&quot;,&quot;given&quot;:&quot;Jacob B.&quot;,&quot;non-dropping-particle&quot;:&quot;&quot;,&quot;parse-names&quot;:false,&quot;suffix&quot;:&quot;&quot;},{&quot;dropping-particle&quot;:&quot;&quot;,&quot;family&quot;:&quot;Bridgett&quot;,&quot;given&quot;:&quot;David J.&quot;,&quot;non-dropping-particle&quot;:&quot;&quot;,&quot;parse-names&quot;:false,&quot;suffix&quot;:&quot;&quot;}],&quot;container-title&quot;:&quot;Neuroscience and Biobehavioral Reviews&quot;,&quot;id&quot;:&quot;3bc3c4aa-1677-564c-8fa0-12ceba7c3c01&quot;,&quot;issued&quot;:{&quot;date-parts&quot;:[[&quot;2017&quot;]]},&quot;page&quot;:&quot;233-255&quot;,&quot;publisher&quot;:&quot;Elsevier Ltd&quot;,&quot;title&quot;:&quot;Heart rate variability indices as bio-markers of top-down self-regulatory mechanisms: A meta-analytic review&quot;,&quot;type&quot;:&quot;article-journal&quot;,&quot;volume&quot;:&quot;74&quot;,&quot;container-title-short&quot;:&quot;Neurosci. Biobehav. Rev.&quot;},&quot;uris&quot;:[&quot;http://www.mendeley.com/documents/?uuid=a9bb6f0b-315a-4339-9def-34d0779e6d00&quot;],&quot;isTemporary&quot;:false,&quot;legacyDesktopId&quot;:&quot;a9bb6f0b-315a-4339-9def-34d0779e6d00&quot;}]},{&quot;citationID&quot;:&quot;MENDELEY_CITATION_1098ddae-1130-4843-bc60-6eb44c4959a9&quot;,&quot;properties&quot;:{&quot;noteIndex&quot;:0},&quot;isEdited&quot;:false,&quot;manualOverride&quot;:{&quot;citeprocText&quot;:&quot;[374]&quot;,&quot;isManuallyOverridden&quot;:false,&quot;manualOverrideText&quot;:&quot;&quot;},&quot;citationTag&quot;:&quot;MENDELEY_CITATION_v3_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&quot;,&quot;citationItems&quot;:[{&quot;id&quot;:&quot;a42b60e9-630c-5add-b961-0d76884fb6e7&quot;,&quot;itemData&quot;:{&quot;DOI&quot;:&quot;10.1503/jpn.140217&quot;,&quot;ISSN&quot;:&quot;14882434&quot;,&quot;PMID&quot;:&quot;26447819&quot;,&quot;abstract&quot;:&quot;Autonomic nervous system (ANS) dysfunction is a putative underlying mechanism for increased cardiovascular disease risk in individuals with psychiatric disorders. Previous studies suggest that this risk may be related to psychotropic medication use. In the present study we systematically reviewed and analyzed published studies of heart rate variability (HRV), measuring ANS output, to determine the effect of psychiatric illness and medication use. Methods: We searched for studies comparing HRV in physically healthy adults with a diagnosed psychiatric disorder to controls and comparing HRV pre-and post-treatment with a psychotropic medication. Results: In total, 140 case-control (mood, anxiety, psychosis, dependent disorders, k = 151) and 30 treatment (antidepressants, antipsychotics; k = 43) studies were included. We found that HRV was reduced in all patient groups compared to controls (Hedges g =-0.583) with a large effect for psychotic disorders (Hedges g =-0.948). Effect sizes remained highly significant for medication-free patients compared to controls across all disorders. Smaller and significant reductions in HRV were observed for specific antidepressants and antipsychotics. Limitations: Study quality significantly moderated effect sizes in case-control analyses, underscoring the importance of assessing methodological quality when interpreting HRV findings. Conclusion: Combined findings confirm substantial reductions in HRV across psychiatric disorders, and these effects remained significant even in medication-free individuals. Reductions in HRV may therefore represent a significant mechanism contributing to elevated cardiovascular risk in individuals with psychiatric disorders. The negative impact of specific medications on HRV suggest increased risk for cardiovascular disease in these groups, highlighting a need for treatment providers to consider modifiable cardiovascular risk factors to attenuate this risk.&quot;,&quot;author&quot;:[{&quot;dropping-particle&quot;:&quot;&quot;,&quot;family&quot;:&quot;Alvares&quot;,&quot;given&quot;:&quot;Gail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Journal of Psychiatry and Neuroscience&quot;,&quot;id&quot;:&quot;a42b60e9-630c-5add-b961-0d76884fb6e7&quot;,&quot;issue&quot;:&quot;2&quot;,&quot;issued&quot;:{&quot;date-parts&quot;:[[&quot;2016&quot;]]},&quot;page&quot;:&quot;89-104&quot;,&quot;title&quot;:&quot;Autonomic nervous system dysfunction in psychiatric disorders and the impact of psychotropic medications: A systematic review and meta-analysis&quot;,&quot;type&quot;:&quot;article-journal&quot;,&quot;volume&quot;:&quot;41&quot;,&quot;container-title-short&quot;:&quot;&quot;},&quot;uris&quot;:[&quot;http://www.mendeley.com/documents/?uuid=34e25f46-2f0d-463b-b9b2-8b632c89c7b8&quot;],&quot;isTemporary&quot;:false,&quot;legacyDesktopId&quot;:&quot;34e25f46-2f0d-463b-b9b2-8b632c89c7b8&quot;}]},{&quot;citationID&quot;:&quot;MENDELEY_CITATION_53dabe8f-5989-4df8-ab56-bee8606755e4&quot;,&quot;properties&quot;:{&quot;noteIndex&quot;:0},&quot;isEdited&quot;:false,&quot;manualOverride&quot;:{&quot;citeprocText&quot;:&quot;[375,378]&quot;,&quot;isManuallyOverridden&quot;:false,&quot;manualOverrideText&quot;:&quot;&quot;},&quot;citationTag&quot;:&quot;MENDELEY_CITATION_v3_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&quot;,&quot;citationItems&quot;:[{&quot;id&quot;:&quot;81b6a480-eca2-5658-a930-965957acb2c8&quot;,&quot;itemData&quot;:{&quot;DOI&quot;:&quot;10.1016/j.ijpsycho.2015.08.004&quot;,&quot;ISSN&quot;:&quot;18727697&quot;,&quot;PMID&quot;:&quot;26272488&quot;,&quot;abstract&quot;:&quot;The Research Domain Criteria (RDoC), developed by the National Institute of Mental Health as a neuroscience-informed alternative to traditional psychiatric nosology, is an explicitly dimensional system in which classification of psychopathology is derived inductively (i.e., from basic science), across multiple levels of analysis (e.g., genetic, neural, psychophysiological, and behavioral). Although RDoC is often presented as paradigmatically revolutionary, a review of the history of psychophysiology suggests that roots of RDoC thinking extend at least as far back as the mid-20th Century. In this paper, we briefly and selectively review the historical emergence of neurobiologically-informed dimensional trait models of psychopathology, and we summarize our thinking regarding high frequency heart rate variability (HF-HRV) as a transdiagnostic biomarker of self-regulation and cognitive control. When functional interactions between HF-HRV and systems of behavioral approach and avoidance are considered, diverse patterns of behavioral maladjustment can be subsumed into a single model. This model accommodates the general bifactor structure of psychopathology, and suggests that HF-HRV can be viewed as an autonomic, transdiagnostic biomarker of mental illness.&quot;,&quot;author&quot;:[{&quot;dropping-particle&quot;:&quot;&quot;,&quot;family&quot;:&quot;Beauchaine&quot;,&quot;given&quot;:&quot;Theodore P.&quot;,&quot;non-dropping-particle&quot;:&quot;&quot;,&quot;parse-names&quot;:false,&quot;suffix&quot;:&quot;&quot;},{&quot;dropping-particle&quot;:&quot;&quot;,&quot;family&quot;:&quot;Thayer&quot;,&quot;given&quot;:&quot;Julian F.&quot;,&quot;non-dropping-particle&quot;:&quot;&quot;,&quot;parse-names&quot;:false,&quot;suffix&quot;:&quot;&quot;}],&quot;container-title&quot;:&quot;International Journal of Psychophysiology&quot;,&quot;id&quot;:&quot;81b6a480-eca2-5658-a930-965957acb2c8&quot;,&quot;issue&quot;:&quot;2&quot;,&quot;issued&quot;:{&quot;date-parts&quot;:[[&quot;2015&quot;]]},&quot;page&quot;:&quot;338-350&quot;,&quot;publisher&quot;:&quot;Elsevier B.V.&quot;,&quot;title&quot;:&quot;Heart rate variability as a transdiagnostic biomarker of psychopathology&quot;,&quot;type&quot;:&quot;article-journal&quot;,&quot;volume&quot;:&quot;98&quot;,&quot;container-title-short&quot;:&quot;&quot;},&quot;uris&quot;:[&quot;http://www.mendeley.com/documents/?uuid=b12cdbc9-0f73-4437-b562-d434192e8353&quot;],&quot;isTemporary&quot;:false,&quot;legacyDesktopId&quot;:&quot;b12cdbc9-0f73-4437-b562-d434192e8353&quot;},{&quot;id&quot;:&quot;88cdc4ea-bf91-5dd3-824e-cc4b7ef78a11&quot;,&quot;itemData&quot;:{&quot;DOI&quot;:&quot;10.1007/s10803-009-0884-3&quot;,&quot;ISSN&quot;:&quot;01623257&quot;,&quot;PMID&quot;:&quot;19885725&quot;,&quot;abstract&quot;:&quot;Respiratory Sinus Arrhythmia (RSA), heart rate, and accuracy and latency of emotion recognition were evaluated in children with autism spectrum disorders (ASD) and typically developing children while viewing videos of faces slowly transitioning from a neutral expression to one of six basic emotions (e.g., anger, disgust, fear, happiness, sadness, and surprise). Children with ASD were slower in emotion recognition and selectively made more errors in detecting anger. ASD children had lower amplitude RSA and faster heart rate. Within the ASD group, children with higher amplitude RSA recognized emotions faster. Less severe ASD symptoms and increased gaze to the eye region in children with ASD were related to more accurate emotion recognition. © 2009 Springer Science+Business Media, LLC.&quot;,&quot;author&quot;:[{&quot;dropping-particle&quot;:&quot;&quot;,&quot;family&quot;:&quot;Bal&quot;,&quot;given&quot;:&quot;Elgiz&quot;,&quot;non-dropping-particle&quot;:&quot;&quot;,&quot;parse-names&quot;:false,&quot;suffix&quot;:&quot;&quot;},{&quot;dropping-particle&quot;:&quot;&quot;,&quot;family&quot;:&quot;Harden&quot;,&quot;given&quot;:&quot;Emily&quot;,&quot;non-dropping-particle&quot;:&quot;&quot;,&quot;parse-names&quot;:false,&quot;suffix&quot;:&quot;&quot;},{&quot;dropping-particle&quot;:&quot;&quot;,&quot;family&quot;:&quot;Lamb&quot;,&quot;given&quot;:&quot;Damon&quot;,&quot;non-dropping-particle&quot;:&quot;&quot;,&quot;parse-names&quot;:false,&quot;suffix&quot;:&quot;&quot;},{&quot;dropping-particle&quot;:&quot;&quot;,&quot;family&quot;:&quot;Hecke&quot;,&quot;given&quot;:&quot;Amy Vaughan&quot;,&quot;non-dropping-particle&quot;:&quot;Van&quot;,&quot;parse-names&quot;:false,&quot;suffix&quot;:&quot;&quot;},{&quot;dropping-particle&quot;:&quot;&quot;,&quot;family&quot;:&quot;Denver&quot;,&quot;given&quot;:&quot;John W.&quot;,&quot;non-dropping-particle&quot;:&quot;&quot;,&quot;parse-names&quot;:false,&quot;suffix&quot;:&quot;&quot;},{&quot;dropping-particle&quot;:&quot;&quot;,&quot;family&quot;:&quot;Porges&quot;,&quot;given&quot;:&quot;Stephen W.&quot;,&quot;non-dropping-particle&quot;:&quot;&quot;,&quot;parse-names&quot;:false,&quot;suffix&quot;:&quot;&quot;}],&quot;container-title&quot;:&quot;Journal of Autism and Developmental Disorders&quot;,&quot;id&quot;:&quot;88cdc4ea-bf91-5dd3-824e-cc4b7ef78a11&quot;,&quot;issue&quot;:&quot;3&quot;,&quot;issued&quot;:{&quot;date-parts&quot;:[[&quot;2010&quot;]]},&quot;page&quot;:&quot;358-370&quot;,&quot;title&quot;:&quot;Emotion recognition in children with autism spectrum disorders: Relations to eye gaze and autonomic state&quot;,&quot;type&quot;:&quot;article-journal&quot;,&quot;volume&quot;:&quot;40&quot;,&quot;container-title-short&quot;:&quot;J. Autism Dev. Disord.&quot;},&quot;uris&quot;:[&quot;http://www.mendeley.com/documents/?uuid=9cd2f2ee-d4a7-4cca-805d-fea08bfadf24&quot;],&quot;isTemporary&quot;:false,&quot;legacyDesktopId&quot;:&quot;9cd2f2ee-d4a7-4cca-805d-fea08bfadf24&quot;}]},{&quot;citationID&quot;:&quot;MENDELEY_CITATION_ada35214-5409-4fa4-9cb2-93b75533d5b2&quot;,&quot;properties&quot;:{&quot;noteIndex&quot;:0},&quot;isEdited&quot;:false,&quot;manualOverride&quot;:{&quot;citeprocText&quot;:&quot;[379,380]&quot;,&quot;isManuallyOverridden&quot;:false,&quot;manualOverrideText&quot;:&quot;&quot;},&quot;citationTag&quot;:&quot;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&quot;,&quot;citationItems&quot;:[{&quot;id&quot;:&quot;4726556c-6f81-5c27-9d45-373e0490de9f&quot;,&quot;itemData&quot;:{&quot;DOI&quot;:&quot;10.33549/physiolres.934662&quot;,&quot;ISSN&quot;:&quot;18029973&quot;,&quot;PMID&quot;:&quot;34062079&quot;,&quot;abstract&quot;:&quot;Autism spectrum disorder (ASD) represents a serious neurodevelopmental disorder associated with autonomic nervous system dysregulation. The aim was to study complex cardiovascular autonomic regulation using heart rate variability (HRV) and systolic blood pressure variability (SBPV) linear/nonlinear analysis at rest and during orthostasis, and to assess plasma levels of epidermal growth factor (EGF) and vascular endothelial growth factor (VEGF) in autistic children. Twenty-five ASD boys and 25 age and gender-matched children at the age 7–15 years were examined. After venous blood taking, continuous ECG and blood pressure biosignals were recorded at rest and during orthostasis. Evaluated parameters: RR intervals, high- and low-frequency band of HRV spectral analysis (HF-HRV, LF-HRV), symbolic dynamics parameters 0V %, 1V %, 2LV %, 2UV %, low- and high-frequency band of SBPV (LF-SBPV, HF-SBPV), systolic, diastolic, mean blood pressure, EGF, VEGF plasma levels. RR intervals were significantly shortened and the HF-HRV, LF-SBPV, HF-SBPV parameters were significantly lower at rest, the HF-HRV and LF-SBPV remained lower during orthostasis in autistic children compared to controls (p&lt;0.05). EGF plasma levels were significantly lower in ASD compared to controls (p=0.046). No significant differences were found in remaining parameters. Our study revealed tachycardia, cardiovagal underactivity, and blunted sympathetic vasomotor regulation at rest and during orthostasis in autistic children. Additionally, complex heart rate dynamics are similar in autistic children than controls. Furthermore, EGF was reduced in autistic children without significant correlations with any autonomic parameters. We suggest that the abnormal complex cardiovascular reflex control could contribute to understanding the pathway linking autonomic features and autism.&quot;,&quot;author&quot;:[{&quot;dropping-particle&quot;:&quot;&quot;,&quot;family&quot;:&quot;Tonhajzerova&quot;,&quot;given&quot;:&quot;Ingrid&quot;,&quot;non-dropping-particle&quot;:&quot;&quot;,&quot;parse-names&quot;:false,&quot;suffix&quot;:&quot;&quot;},{&quot;dropping-particle&quot;:&quot;&quot;,&quot;family&quot;:&quot;Ondrejka&quot;,&quot;given&quot;:&quot;Igor&quot;,&quot;non-dropping-particle&quot;:&quot;&quot;,&quot;parse-names&quot;:false,&quot;suffix&quot;:&quot;&quot;},{&quot;dropping-particle&quot;:&quot;&quot;,&quot;family&quot;:&quot;Ferencova&quot;,&quot;given&quot;:&quot;Nikola&quot;,&quot;non-dropping-particle&quot;:&quot;&quot;,&quot;parse-names&quot;:false,&quot;suffix&quot;:&quot;&quot;},{&quot;dropping-particle&quot;:&quot;&quot;,&quot;family&quot;:&quot;Bujnakova&quot;,&quot;given&quot;:&quot;Iveta&quot;,&quot;non-dropping-particle&quot;:&quot;&quot;,&quot;parse-names&quot;:false,&quot;suffix&quot;:&quot;&quot;},{&quot;dropping-particle&quot;:&quot;&quot;,&quot;family&quot;:&quot;Grendar&quot;,&quot;given&quot;:&quot;Marian&quot;,&quot;non-dropping-particle&quot;:&quot;&quot;,&quot;parse-names&quot;:false,&quot;suffix&quot;:&quot;&quot;},{&quot;dropping-particle&quot;:&quot;&quot;,&quot;family&quot;:&quot;Olexova&quot;,&quot;given&quot;:&quot;Lucia Bona&quot;,&quot;non-dropping-particle&quot;:&quot;&quot;,&quot;parse-names&quot;:false,&quot;suffix&quot;:&quot;&quot;},{&quot;dropping-particle&quot;:&quot;&quot;,&quot;family&quot;:&quot;Hrtanek&quot;,&quot;given&quot;:&quot;Igor&quot;,&quot;non-dropping-particle&quot;:&quot;&quot;,&quot;parse-names&quot;:false,&quot;suffix&quot;:&quot;&quot;},{&quot;dropping-particle&quot;:&quot;&quot;,&quot;family&quot;:&quot;Visnovcova&quot;,&quot;given&quot;:&quot;Zuzana&quot;,&quot;non-dropping-particle&quot;:&quot;&quot;,&quot;parse-names&quot;:false,&quot;suffix&quot;:&quot;&quot;}],&quot;container-title&quot;:&quot;Physiological Research&quot;,&quot;id&quot;:&quot;4726556c-6f81-5c27-9d45-373e0490de9f&quot;,&quot;issue&quot;:&quot;4&quot;,&quot;issued&quot;:{&quot;date-parts&quot;:[[&quot;2021&quot;]]},&quot;page&quot;:&quot;551-561&quot;,&quot;title&quot;:&quot;Alternations in the Cardiovascular Autonomic Regulation and Growth Factors in Autism&quot;,&quot;type&quot;:&quot;article-journal&quot;,&quot;volume&quot;:&quot;70&quot;,&quot;container-title-short&quot;:&quot;Physiol. Res.&quot;},&quot;uris&quot;:[&quot;http://www.mendeley.com/documents/?uuid=db3c9ac1-587c-4c04-a6ea-cfea638e81fb&quot;],&quot;isTemporary&quot;:false,&quot;legacyDesktopId&quot;:&quot;db3c9ac1-587c-4c04-a6ea-cfea638e81fb&quot;},{&quot;id&quot;:&quot;6384dcd5-9b1c-5292-aa13-8d57e2393eae&quot;,&quot;itemData&quot;:{&quot;DOI&quot;:&quot;10.1002/aur.2437&quot;,&quot;ISSN&quot;:&quot;19393806&quot;,&quot;PMID&quot;:&quot;33225622&quot;,&quot;abstract&quot;:&quot;Abstract: Decreased heart rate variability (HRV) is considered a common marker of autonomic dysfunction that contributes to poor health outcomes. While some studies have suggested that children with autism spectrum disorder (ASD) show reduced HRV, research is yet to consider whether this may be associated with medication use and symptom severity. This study examined the relationship between resting state HRV, medication use and symptom severity in children diagnosed with ASD. Children with ASD (N = 86), aged between 3 and 12 years (M = 8.09), were compared to 44 neurotypical children of similar age (M = 7.15). Laboratory assessment of HRV involved 5 min of non-invasive baseline electrocardiogram assessments while participants viewed an age-appropriate non-verbal animated video. Time-domain and frequency-domain HRV measures were analyzed. ASD symptom severity was assessed using the Autism Diagnostic Observation Schedule-Second Edition (ADOS-2) and Social Responsiveness Scale (SRS-2). Results indicated that children with ASD exhibited reduced resting HRV relative to neurotypical children. Subsequent analyses within the ASD group suggested that this group difference was greater in children who were taking psychotropic medication (N = 36). Our data also provides tentative evidence of a relationship between HRV and social impairment symptoms in children with ASD, with more severe repetitive behaviors (as measured by the ADOS-2) associated with decreased resting HRV. Overall, these findings suggest that HRV may be atypical in children with ASD and suggest the importance of exploring HRV as a risk factor for cardiovascular health in this group. Lay Summary: Cardiac activity, such as heart rate variability (HRV), can provide insight into the autonomic nervous system. This study reports on the association between resting-state HRV and autonomic nervous system activity in young children with autism spectrum disorder (ASD) compared to neurotypical children. These results may help us understand what underlies autonomic nervous system dysfunction and the potential pathophysiological mechanisms leading to increased cardiovascular risk in ASD.&quot;,&quot;author&quot;:[{&quot;dropping-particle&quot;:&quot;&quot;,&quot;family&quot;:&quot;Thapa&quot;,&quot;given&quot;:&quot;Rinku&quot;,&quot;non-dropping-particle&quot;:&quot;&quot;,&quot;parse-names&quot;:false,&quot;suffix&quot;:&quot;&quot;},{&quot;dropping-particle&quot;:&quot;&quot;,&quot;family&quot;:&quot;Pokorski&quot;,&quot;given&quot;:&quot;Izabella&quot;,&quot;non-dropping-particle&quot;:&quot;&quot;,&quot;parse-names&quot;:false,&quot;suffix&quot;:&quot;&quot;},{&quot;dropping-particle&quot;:&quot;&quot;,&quot;family&quot;:&quot;Ambarchi&quot;,&quot;given&quot;:&quot;Zahava&quot;,&quot;non-dropping-particle&quot;:&quot;&quot;,&quot;parse-names&quot;:false,&quot;suffix&quot;:&quot;&quot;},{&quot;dropping-particle&quot;:&quot;&quot;,&quot;family&quot;:&quot;Thomas&quot;,&quot;given&quot;:&quot;Emma&quot;,&quot;non-dropping-particle&quot;:&quot;&quot;,&quot;parse-names&quot;:false,&quot;suffix&quot;:&quot;&quot;},{&quot;dropping-particle&quot;:&quot;&quot;,&quot;family&quot;:&quot;Demayo&quot;,&quot;given&quot;:&quot;Marilena&quot;,&quot;non-dropping-particle&quot;:&quot;&quot;,&quot;parse-names&quot;:false,&quot;suffix&quot;:&quot;&quot;},{&quot;dropping-particle&quot;:&quot;&quot;,&quot;family&quot;:&quot;Boulton&quot;,&quot;given&quot;:&quot;Kelsie&quot;,&quot;non-dropping-particle&quot;:&quot;&quot;,&quot;parse-names&quot;:false,&quot;suffix&quot;:&quot;&quot;},{&quot;dropping-particle&quot;:&quot;&quot;,&quot;family&quot;:&quot;Matthews&quot;,&quot;given&quot;:&quot;Slade&quot;,&quot;non-dropping-particle&quot;:&quot;&quot;,&quot;parse-names&quot;:false,&quot;suffix&quot;:&quot;&quot;},{&quot;dropping-particle&quot;:&quot;&quot;,&quot;family&quot;:&quot;Patel&quot;,&quot;given&quot;:&quot;Shrujna&quot;,&quot;non-dropping-particle&quot;:&quot;&quot;,&quot;parse-names&quot;:false,&quot;suffix&quot;:&quot;&quot;},{&quot;dropping-particle&quot;:&quot;&quot;,&quot;family&quot;:&quot;Sedeli&quot;,&quot;given&quot;:&quot;Indra&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Autism Research&quot;,&quot;id&quot;:&quot;6384dcd5-9b1c-5292-aa13-8d57e2393eae&quot;,&quot;issue&quot;:&quot;1&quot;,&quot;issued&quot;:{&quot;date-parts&quot;:[[&quot;2021&quot;]]},&quot;page&quot;:&quot;75-85&quot;,&quot;title&quot;:&quot;Heart Rate Variability in Children With Autism Spectrum Disorder and Associations With Medication and Symptom Severity&quot;,&quot;type&quot;:&quot;article-journal&quot;,&quot;volume&quot;:&quot;14&quot;,&quot;container-title-short&quot;:&quot;&quot;},&quot;uris&quot;:[&quot;http://www.mendeley.com/documents/?uuid=08684abc-72bd-4de6-b9e9-1e063224b12c&quot;],&quot;isTemporary&quot;:false,&quot;legacyDesktopId&quot;:&quot;08684abc-72bd-4de6-b9e9-1e063224b12c&quot;}]},{&quot;citationID&quot;:&quot;MENDELEY_CITATION_c1590758-f90c-4345-8d6a-392b9b17c11b&quot;,&quot;properties&quot;:{&quot;noteIndex&quot;:0},&quot;isEdited&quot;:false,&quot;manualOverride&quot;:{&quot;citeprocText&quot;:&quot;[381,382]&quot;,&quot;isManuallyOverridden&quot;:false,&quot;manualOverrideText&quot;:&quot;&quot;},&quot;citationTag&quot;:&quot;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&quot;,&quot;citationItems&quot;:[{&quot;id&quot;:&quot;6391f132-e2da-54c0-ba59-bc82dc0dfa11&quot;,&quot;itemData&quot;:{&quot;DOI&quot;:&quot;10.1002/dmrr.1239&quot;,&quot;ISBN&quot;:&quot;1520-7560 (Electronic) 1520-7552 (Linking)&quot;,&quot;ISSN&quot;:&quot;1520-7552&quot;,&quot;PMID&quot;:&quot;19145587&quot;,&quot;abstract&quot;:&quot;The Cardiovascular Autonomic Neuropathy (CAN) Subcommittee of the Toronto Consensus Panel on Diabetic Neuropathy worked to update CAN guidelines, with regard to epidemiology, clinical impact, diagnosis, usefulness of CAN testing, and management. CAN is the impairment of cardiovascular autonomic control in the setting of diabetes after exclusion of other causes. The prevalence of confirmed CAN is around 20%, and increases up to 65% with age and diabetes duration. Established risk factors for CAN are glycaemic control in type 1 and a combination of hypertension, dyslipidaemia, obesity, and glycaemic control in type 2 diabetes. CAN is a risk marker of mortality and cardiovascular morbidity, and possibly a progression promoter of diabetic nephropathy. Criteria for CAN diagnosis and staging are: (1) one abnormal cardiovagal test result identifies possible or early CAN; (2) at least two abnormal cardiovagal test results are required for definite or confirmed CAN; and (3) the presence of orthostatic hypotension in addition to abnormal heart rate test results identifies severe or advanced CAN. Progressive stages of CAN are associated with increasingly worse prognosis. CAN assessment is relevant in clinical practice for (1) diagnosis of CAN clinical forms, (2) detection and tailored treatment of CAN clinical correlates (e.g. tachycardia, orthostatic hypotension, non‐dipping, QT interval prolongation), (3) risk stratification for diabetic complications and cardiovascular morbidity and mortality, and (4) modulation of targets of diabetes therapy. Evidence on the cost‐effectiveness of CAN testing is lacking. Apart from the preventive role of intensive glycaemic control in type 1 diabetes, recommendations cannot be made for most therapeutic approaches to CAN. Copyright © 2011 John Wiley &amp; Sons, Ltd.&quot;,&quot;author&quot;:[{&quot;dropping-particle&quot;:&quot;&quot;,&quot;family&quot;:&quot;Spallone&quot;,&quot;given&quot;:&quot;Vincenza&quot;,&quot;non-dropping-particle&quot;:&quot;&quot;,&quot;parse-names&quot;:false,&quot;suffix&quot;:&quot;&quot;},{&quot;dropping-particle&quot;:&quot;&quot;,&quot;family&quot;:&quot;Ziegler&quot;,&quot;given&quot;:&quot;Dan&quot;,&quot;non-dropping-particle&quot;:&quot;&quot;,&quot;parse-names&quot;:false,&quot;suffix&quot;:&quot;&quot;},{&quot;dropping-particle&quot;:&quot;&quot;,&quot;family&quot;:&quot;Freeman&quot;,&quot;given&quot;:&quot;Roy&quot;,&quot;non-dropping-particle&quot;:&quot;&quot;,&quot;parse-names&quot;:false,&quot;suffix&quot;:&quot;&quot;},{&quot;dropping-particle&quot;:&quot;&quot;,&quot;family&quot;:&quot;Bernardi&quot;,&quot;given&quot;:&quot;Luciano&quot;,&quot;non-dropping-particle&quot;:&quot;&quot;,&quot;parse-names&quot;:false,&quot;suffix&quot;:&quot;&quot;},{&quot;dropping-particle&quot;:&quot;&quot;,&quot;family&quot;:&quot;Frontoni&quot;,&quot;given&quot;:&quot;Simona&quot;,&quot;non-dropping-particle&quot;:&quot;&quot;,&quot;parse-names&quot;:false,&quot;suffix&quot;:&quot;&quot;},{&quot;dropping-particle&quot;:&quot;&quot;,&quot;family&quot;:&quot;Pop‐Busui&quot;,&quot;given&quot;:&quot;Rodica&quot;,&quot;non-dropping-particle&quot;:&quot;&quot;,&quot;parse-names&quot;:false,&quot;suffix&quot;:&quot;&quot;},{&quot;dropping-particle&quot;:&quot;&quot;,&quot;family&quot;:&quot;Stevens&quot;,&quot;given&quot;:&quot;Martin&quot;,&quot;non-dropping-particle&quot;:&quot;&quot;,&quot;parse-names&quot;:false,&quot;suffix&quot;:&quot;&quot;},{&quot;dropping-particle&quot;:&quot;&quot;,&quot;family&quot;:&quot;Kempler&quot;,&quot;given&quot;:&quot;Peter&quot;,&quot;non-dropping-particle&quot;:&quot;&quot;,&quot;parse-names&quot;:false,&quot;suffix&quot;:&quot;&quot;},{&quot;dropping-particle&quot;:&quot;&quot;,&quot;family&quot;:&quot;Hilsted&quot;,&quot;given&quot;:&quot;Jannik&quot;,&quot;non-dropping-particle&quot;:&quot;&quot;,&quot;parse-names&quot;:false,&quot;suffix&quot;:&quot;&quot;},{&quot;dropping-particle&quot;:&quot;&quot;,&quot;family&quot;:&quot;Tesfaye&quot;,&quot;given&quot;:&quot;Solomon&quot;,&quot;non-dropping-particle&quot;:&quot;&quot;,&quot;parse-names&quot;:false,&quot;suffix&quot;:&quot;&quot;},{&quot;dropping-particle&quot;:&quot;&quot;,&quot;family&quot;:&quot;Low&quot;,&quot;given&quot;:&quot;Phillip&quot;,&quot;non-dropping-particle&quot;:&quot;&quot;,&quot;parse-names&quot;:false,&quot;suffix&quot;:&quot;&quot;},{&quot;dropping-particle&quot;:&quot;&quot;,&quot;family&quot;:&quot;Valensi&quot;,&quot;given&quot;:&quot;Paul&quot;,&quot;non-dropping-particle&quot;:&quot;&quot;,&quot;parse-names&quot;:false,&quot;suffix&quot;:&quot;&quot;}],&quot;container-title&quot;:&quot;Diabetes/Metabolism Research and Reviews&quot;,&quot;id&quot;:&quot;6391f132-e2da-54c0-ba59-bc82dc0dfa11&quot;,&quot;issue&quot;:&quot;7&quot;,&quot;issued&quot;:{&quot;date-parts&quot;:[[&quot;2011&quot;,&quot;10&quot;,&quot;6&quot;]]},&quot;page&quot;:&quot;639-653&quot;,&quot;title&quot;:&quot;Cardiovascular autonomic neuropathy in diabetes: clinical impact, assessment, diagnosis, and management&quot;,&quot;type&quot;:&quot;article-journal&quot;,&quot;volume&quot;:&quot;27&quot;,&quot;container-title-short&quot;:&quot;Diabetes. Metab. Res. Rev.&quot;},&quot;uris&quot;:[&quot;http://www.mendeley.com/documents/?uuid=ed1d70b1-f611-4546-96c3-4f7068208f10&quot;],&quot;isTemporary&quot;:false,&quot;legacyDesktopId&quot;:&quot;ed1d70b1-f611-4546-96c3-4f7068208f10&quot;},{&quot;id&quot;:&quot;2a5c6a44-7c10-502f-84b1-1fa937ae419a&quot;,&quot;itemData&quot;:{&quot;DOI&quot;:&quot;10.2337/diacare.8.1.64&quot;,&quot;ISSN&quot;:&quot;01495992&quot;,&quot;abstract&quot;:&quot;Heart rate variability (HRV) during deep breathing was studied with a neonatal heart monitor in 143 control subjects and 218 patients with diabetes (102 with IDDM and 116 with NIDDM). In the control group HRV decreased after age 20 by 4-5 beats per decade (from 29.7 ± 5.8 beats at age 20-29 to 11.8 ± 5.4 beats at age 60+). In all age groups HRV in IDDM was lower than in the controls, and both age and duration of diabetes played a role in the decrease of HRV (from 21.5 ± 5.3 beats at age 20-29 to 6.3 ± 5.4 at age 60+). In NIDDM aging seemed to play a less important role, and the influence of the duration of the disease was not statistically significant. In both groups of patients the frequency of HRV below the 2.5th percentile was 82% in those with symptoms and/or signs of autonomic neuropathy, 64% in patients with peripheral neuropathy only, and 36% in those who had no obvious signs or symptoms of neuropathy. Interindividual variability was pronounced, and age and duration of the disease together accounted for only 36% of the observed differences between IDDM and the controls. Determination of HRV with a standard neonatal heart monitor presents an easy, simple, and nonstressful test of cardiac autonomic neuropathy. The norms of the test are age related.&quot;,&quot;author&quot;:[{&quot;dropping-particle&quot;:&quot;&quot;,&quot;family&quot;:&quot;Masaoka&quot;,&quot;given&quot;:&quot;S.&quot;,&quot;non-dropping-particle&quot;:&quot;&quot;,&quot;parse-names&quot;:false,&quot;suffix&quot;:&quot;&quot;},{&quot;dropping-particle&quot;:&quot;&quot;,&quot;family&quot;:&quot;Lev-Ran&quot;,&quot;given&quot;:&quot;A.&quot;,&quot;non-dropping-particle&quot;:&quot;&quot;,&quot;parse-names&quot;:false,&quot;suffix&quot;:&quot;&quot;},{&quot;dropping-particle&quot;:&quot;&quot;,&quot;family&quot;:&quot;Hill&quot;,&quot;given&quot;:&quot;L. R.&quot;,&quot;non-dropping-particle&quot;:&quot;&quot;,&quot;parse-names&quot;:false,&quot;suffix&quot;:&quot;&quot;},{&quot;dropping-particle&quot;:&quot;&quot;,&quot;family&quot;:&quot;Vakil&quot;,&quot;given&quot;:&quot;G.&quot;,&quot;non-dropping-particle&quot;:&quot;&quot;,&quot;parse-names&quot;:false,&quot;suffix&quot;:&quot;&quot;},{&quot;dropping-particle&quot;:&quot;&quot;,&quot;family&quot;:&quot;Hon&quot;,&quot;given&quot;:&quot;E. H.&quot;,&quot;non-dropping-particle&quot;:&quot;&quot;,&quot;parse-names&quot;:false,&quot;suffix&quot;:&quot;&quot;}],&quot;container-title&quot;:&quot;Diabetes Care&quot;,&quot;id&quot;:&quot;2a5c6a44-7c10-502f-84b1-1fa937ae419a&quot;,&quot;issue&quot;:&quot;1&quot;,&quot;issued&quot;:{&quot;date-parts&quot;:[[&quot;1985&quot;]]},&quot;page&quot;:&quot;64-68&quot;,&quot;title&quot;:&quot;Heart rate variability in diabetes: Relationship to age and duration of the disease&quot;,&quot;type&quot;:&quot;article-journal&quot;,&quot;volume&quot;:&quot;8&quot;,&quot;container-title-short&quot;:&quot;Diabetes Care&quot;},&quot;uris&quot;:[&quot;http://www.mendeley.com/documents/?uuid=35e6458d-8513-43a7-95cf-94cb698ac984&quot;],&quot;isTemporary&quot;:false,&quot;legacyDesktopId&quot;:&quot;35e6458d-8513-43a7-95cf-94cb698ac984&quot;}]},{&quot;citationID&quot;:&quot;MENDELEY_CITATION_39977d28-6d6e-4f20-bf2b-22ea0614a404&quot;,&quot;properties&quot;:{&quot;noteIndex&quot;:0},&quot;isEdited&quot;:false,&quot;manualOverride&quot;:{&quot;citeprocText&quot;:&quot;[358,383]&quot;,&quot;isManuallyOverridden&quot;:false,&quot;manualOverrideText&quot;:&quot;&quot;},&quot;citationTag&quot;:&quot;MENDELEY_CITATION_v3_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&quot;,&quot;citationItems&quot;:[{&quot;id&quot;:&quot;b3288d6f-98ca-5d41-b159-bfb3553c004f&quot;,&quot;itemData&quot;:{&quot;DOI&quot;:&quot;10.1016/0002-9149(87)90795-8&quot;,&quot;ISSN&quot;:&quot;00029149&quot;,&quot;PMID&quot;:&quot;3812275&quot;,&quot;abstract&quot;:&quot;A high degree of heart rate (HR) variability is found in compensated hearts with good function, whereas HR variability can be decreased with severe coronary artery disease, congestive heart failure, aging and diabetic neuropathy. To test the hypothesis that HR variability is a predictor of long-term survival after acute myocardial infarction (AMI), the Holter tapes of 808 patients who survived AMI were analyzed. Heart rate variability was defined as the standard deviation of all normal RR intervals in a 24-hour continuous electrocardiogram recording made 11 ± 3 days after AMI. In all patients demographic, clinical and laboratory variables were measured at baseline. Mean follow-up time was 31 months. Of all Holter variables measured, HR variability had the strongest univariate correlation with mortality. The relative risk of mortality was 5.3 times higher in the group with HR variability of less than 50 ms than the group with HR variability of more than 100 ms. HR variability remained a significant predictor of mortality after adjusting for clinical, demographic, other Holter features and ejection fraction. A hypothesis to explain this finding is that decreased HR variability correlates with increased sympathetic or decreased vagal tone, which may predispose to ventricular fibrillation. © 1987.&quot;,&quot;author&quot;:[{&quot;dropping-particle&quot;:&quot;&quot;,&quot;family&quot;:&quot;Kleiger&quot;,&quot;given&quot;:&quot;Robert E.&quot;,&quot;non-dropping-particle&quot;:&quot;&quot;,&quot;parse-names&quot;:false,&quot;suffix&quot;:&quot;&quot;},{&quot;dropping-particle&quot;:&quot;&quot;,&quot;family&quot;:&quot;Miller&quot;,&quot;given&quot;:&quot;J. Philip&quot;,&quot;non-dropping-particle&quot;:&quot;&quot;,&quot;parse-names&quot;:false,&quot;suffix&quot;:&quot;&quot;},{&quot;dropping-particle&quot;:&quot;&quot;,&quot;family&quot;:&quot;Bigger&quot;,&quot;given&quot;:&quot;J. Thomas&quot;,&quot;non-dropping-particle&quot;:&quot;&quot;,&quot;parse-names&quot;:false,&quot;suffix&quot;:&quot;&quot;},{&quot;dropping-particle&quot;:&quot;&quot;,&quot;family&quot;:&quot;Moss&quot;,&quot;given&quot;:&quot;Arthur J.&quot;,&quot;non-dropping-particle&quot;:&quot;&quot;,&quot;parse-names&quot;:false,&quot;suffix&quot;:&quot;&quot;}],&quot;container-title&quot;:&quot;The American Journal of Cardiology&quot;,&quot;id&quot;:&quot;b3288d6f-98ca-5d41-b159-bfb3553c004f&quot;,&quot;issue&quot;:&quot;4&quot;,&quot;issued&quot;:{&quot;date-parts&quot;:[[&quot;1987&quot;]]},&quot;page&quot;:&quot;256-262&quot;,&quot;title&quot;:&quot;Decreased heart rate variability and its association with increased mortality after acute myocardial infarction&quot;,&quot;type&quot;:&quot;article-journal&quot;,&quot;volume&quot;:&quot;59&quot;,&quot;container-title-short&quot;:&quot;Am. J. Cardiol.&quot;},&quot;uris&quot;:[&quot;http://www.mendeley.com/documents/?uuid=6ac09016-a93e-4b4e-bd11-53d43d7751ab&quot;],&quot;isTemporary&quot;:false,&quot;legacyDesktopId&quot;:&quot;6ac09016-a93e-4b4e-bd11-53d43d7751ab&quot;},{&quot;id&quot;:&quot;25fc3b9d-f62a-50d1-9085-b4636dd5c69a&quot;,&quot;itemData&quot;:{&quot;DOI&quot;:&quot;10.1007/978-0-387-09488-5&quot;,&quot;ISBN&quot;:&quot;978-0-387-09487-8&quot;,&quot;abstract&quot;:&quot;Cognitive Determinants of Health Behavior&quot;,&quot;author&quot;:[{&quot;dropping-particle&quot;:&quot;&quot;,&quot;family&quot;:&quot;Thayer&quot;,&quot;given&quot;:&quot;Julian F&quot;,&quot;non-dropping-particle&quot;:&quot;&quot;,&quot;parse-names&quot;:false,&quot;suffix&quot;:&quot;&quot;},{&quot;dropping-particle&quot;:&quot;&quot;,&quot;family&quot;:&quot;Hansen&quot;,&quot;given&quot;:&quot;Anita L&quot;,&quot;non-dropping-particle&quot;:&quot;&quot;,&quot;parse-names&quot;:false,&quot;suffix&quot;:&quot;&quot;},{&quot;dropping-particle&quot;:&quot;&quot;,&quot;family&quot;:&quot;Johnsen&quot;,&quot;given&quot;:&quot;Bjorn Helge&quot;,&quot;non-dropping-particle&quot;:&quot;&quot;,&quot;parse-names&quot;:false,&quot;suffix&quot;:&quot;&quot;},{&quot;dropping-particle&quot;:&quot;&quot;,&quot;family&quot;:&quot;Balance&quot;,&quot;given&quot;:&quot;Autonomic&quot;,&quot;non-dropping-particle&quot;:&quot;&quot;,&quot;parse-names&quot;:false,&quot;suffix&quot;:&quot;&quot;},{&quot;dropping-particle&quot;:&quot;&quot;,&quot;family&quot;:&quot;Medicine&quot;,&quot;given&quot;:&quot;Behavioral&quot;,&quot;non-dropping-particle&quot;:&quot;&quot;,&quot;parse-names&quot;:false,&quot;suffix&quot;:&quot;&quot;}],&quot;container-title&quot;:&quot;Handbook of Behavioral Medicine&quot;,&quot;editor&quot;:[{&quot;dropping-particle&quot;:&quot;&quot;,&quot;family&quot;:&quot;Steptoe&quot;,&quot;given&quot;:&quot;A.&quot;,&quot;non-dropping-particle&quot;:&quot;&quot;,&quot;parse-names&quot;:false,&quot;suffix&quot;:&quot;&quot;}],&quot;id&quot;:&quot;25fc3b9d-f62a-50d1-9085-b4636dd5c69a&quot;,&quot;issued&quot;:{&quot;date-parts&quot;:[[&quot;2010&quot;]]},&quot;number-of-pages&quot;:&quot;723-740&quot;,&quot;publisher&quot;:&quot;Springer New York&quot;,&quot;publisher-place&quot;:&quot;New York, NY&quot;,&quot;title&quot;:&quot;Handbook of Behavioral Medicine&quot;,&quot;type&quot;:&quot;book&quot;,&quot;container-title-short&quot;:&quot;&quot;},&quot;uris&quot;:[&quot;http://www.mendeley.com/documents/?uuid=771ff373-bce0-4800-91e6-0c333f87d960&quot;],&quot;isTemporary&quot;:false,&quot;legacyDesktopId&quot;:&quot;771ff373-bce0-4800-91e6-0c333f87d960&quot;}]},{&quot;citationID&quot;:&quot;MENDELEY_CITATION_439d9d96-ebb3-4e72-85ce-4c0cee57bc42&quot;,&quot;properties&quot;:{&quot;noteIndex&quot;:0},&quot;isEdited&quot;:false,&quot;manualOverride&quot;:{&quot;citeprocText&quot;:&quot;[283,374]&quot;,&quot;isManuallyOverridden&quot;:false,&quot;manualOverrideText&quot;:&quot;&quot;},&quot;citationTag&quot;:&quot;MENDELEY_CITATION_v3_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&quot;,&quot;citationItems&quot;:[{&quot;id&quot;:&quot;a42b60e9-630c-5add-b961-0d76884fb6e7&quot;,&quot;itemData&quot;:{&quot;DOI&quot;:&quot;10.1503/jpn.140217&quot;,&quot;ISSN&quot;:&quot;14882434&quot;,&quot;PMID&quot;:&quot;26447819&quot;,&quot;abstract&quot;:&quot;Autonomic nervous system (ANS) dysfunction is a putative underlying mechanism for increased cardiovascular disease risk in individuals with psychiatric disorders. Previous studies suggest that this risk may be related to psychotropic medication use. In the present study we systematically reviewed and analyzed published studies of heart rate variability (HRV), measuring ANS output, to determine the effect of psychiatric illness and medication use. Methods: We searched for studies comparing HRV in physically healthy adults with a diagnosed psychiatric disorder to controls and comparing HRV pre-and post-treatment with a psychotropic medication. Results: In total, 140 case-control (mood, anxiety, psychosis, dependent disorders, k = 151) and 30 treatment (antidepressants, antipsychotics; k = 43) studies were included. We found that HRV was reduced in all patient groups compared to controls (Hedges g =-0.583) with a large effect for psychotic disorders (Hedges g =-0.948). Effect sizes remained highly significant for medication-free patients compared to controls across all disorders. Smaller and significant reductions in HRV were observed for specific antidepressants and antipsychotics. Limitations: Study quality significantly moderated effect sizes in case-control analyses, underscoring the importance of assessing methodological quality when interpreting HRV findings. Conclusion: Combined findings confirm substantial reductions in HRV across psychiatric disorders, and these effects remained significant even in medication-free individuals. Reductions in HRV may therefore represent a significant mechanism contributing to elevated cardiovascular risk in individuals with psychiatric disorders. The negative impact of specific medications on HRV suggest increased risk for cardiovascular disease in these groups, highlighting a need for treatment providers to consider modifiable cardiovascular risk factors to attenuate this risk.&quot;,&quot;author&quot;:[{&quot;dropping-particle&quot;:&quot;&quot;,&quot;family&quot;:&quot;Alvares&quot;,&quot;given&quot;:&quot;Gail A.&quot;,&quot;non-dropping-particle&quot;:&quot;&quot;,&quot;parse-names&quot;:false,&quot;suffix&quot;:&quot;&quot;},{&quot;dropping-particle&quot;:&quot;&quot;,&quot;family&quot;:&quot;Quintana&quot;,&quot;given&quot;:&quot;Daniel S.&quot;,&quot;non-dropping-particle&quot;:&quot;&quot;,&quot;parse-names&quot;:false,&quot;suffix&quot;:&quot;&quot;},{&quot;dropping-particle&quot;:&quot;&quot;,&quot;family&quot;:&quot;Hickie&quot;,&quot;given&quot;:&quot;Ian B.&quot;,&quot;non-dropping-particle&quot;:&quot;&quot;,&quot;parse-names&quot;:false,&quot;suffix&quot;:&quot;&quot;},{&quot;dropping-particle&quot;:&quot;&quot;,&quot;family&quot;:&quot;Guastella&quot;,&quot;given&quot;:&quot;Adam J.&quot;,&quot;non-dropping-particle&quot;:&quot;&quot;,&quot;parse-names&quot;:false,&quot;suffix&quot;:&quot;&quot;}],&quot;container-title&quot;:&quot;Journal of Psychiatry and Neuroscience&quot;,&quot;id&quot;:&quot;a42b60e9-630c-5add-b961-0d76884fb6e7&quot;,&quot;issue&quot;:&quot;2&quot;,&quot;issued&quot;:{&quot;date-parts&quot;:[[&quot;2016&quot;]]},&quot;page&quot;:&quot;89-104&quot;,&quot;title&quot;:&quot;Autonomic nervous system dysfunction in psychiatric disorders and the impact of psychotropic medications: A systematic review and meta-analysis&quot;,&quot;type&quot;:&quot;article-journal&quot;,&quot;volume&quot;:&quot;41&quot;,&quot;container-title-short&quot;:&quot;&quot;},&quot;uris&quot;:[&quot;http://www.mendeley.com/documents/?uuid=34e25f46-2f0d-463b-b9b2-8b632c89c7b8&quot;],&quot;isTemporary&quot;:false,&quot;legacyDesktopId&quot;:&quot;34e25f46-2f0d-463b-b9b2-8b632c89c7b8&quot;},{&quot;id&quot;:&quot;5b231b09-c9da-5bf8-82f4-bba33cd29063&quot;,&quot;itemData&quot;:{&quot;DOI&quot;:&quot;10.1016/j.ijcard.2009.09.543&quot;,&quot;ISSN&quot;:&quot;01675273&quot;,&quot;PMID&quot;:&quot;19910061&quot;,&quot;abstract&quot;:&quot;Cardiovascular disease (CVD) is the leading cause of death and disability worldwide. The understanding of the risk factors for CVD may yield important insights into the prevention, etiology, course, and treatment of this major public health concern. Autonomic imbalance, characterized by a hyperactive sympathetic system and a hypoactive parasympathetic system, is associated with various pathological conditions. Over time, excessive energy demands on the system can lead to premature aging and diseases. Therefore, autonomic imbalance may be a final common pathway to increased morbidity and mortality from a host of conditions and diseases, including cardiovascular disease. Heart rate variability (HRV) may be used to assess autonomic imbalances, diseases and mortality. Parasympathetic activity and HRV have been associated with a wide range of conditions including CVD. Here we review the evidence linking HRV to established and emerging modifiable and non-modifiable CVD risk factors such as hypertension, obesity, family history and work stress. Substantial evidence exists to support the notion that decreased HRV precedes the development of a number of risk factors and that lowering risk profiles is associated with increased HRV. We close with a suggestion that a model of autonomic imbalance may provide a unifying framework within which to investigate the impact of risk factors, including psychosocial factors and work stress, on cardiovascular disease. © 2009 Elsevier Ireland Ltd. All rights reserved.&quot;,&quot;author&quot;:[{&quot;dropping-particle&quot;:&quot;&quot;,&quot;family&quot;:&quot;Thayer&quot;,&quot;given&quot;:&quot;Julian F.&quot;,&quot;non-dropping-particle&quot;:&quot;&quot;,&quot;parse-names&quot;:false,&quot;suffix&quot;:&quot;&quot;},{&quot;dropping-particle&quot;:&quot;&quot;,&quot;family&quot;:&quot;Yamamoto&quot;,&quot;given&quot;:&quot;Shelby S.&quot;,&quot;non-dropping-particle&quot;:&quot;&quot;,&quot;parse-names&quot;:false,&quot;suffix&quot;:&quot;&quot;},{&quot;dropping-particle&quot;:&quot;&quot;,&quot;family&quot;:&quot;Brosschot&quot;,&quot;given&quot;:&quot;Jos F.&quot;,&quot;non-dropping-particle&quot;:&quot;&quot;,&quot;parse-names&quot;:false,&quot;suffix&quot;:&quot;&quot;}],&quot;container-title&quot;:&quot;International Journal of Cardiology&quot;,&quot;id&quot;:&quot;5b231b09-c9da-5bf8-82f4-bba33cd29063&quot;,&quot;issue&quot;:&quot;2&quot;,&quot;issued&quot;:{&quot;date-parts&quot;:[[&quot;2010&quot;]]},&quot;page&quot;:&quot;122-131&quot;,&quot;publisher&quot;:&quot;Elsevier Ireland Ltd&quot;,&quot;title&quot;:&quot;The relationship of autonomic imbalance, heart rate variability and cardiovascular disease risk factors&quot;,&quot;type&quot;:&quot;article-journal&quot;,&quot;volume&quot;:&quot;141&quot;,&quot;container-title-short&quot;:&quot;Int. J. Cardiol.&quot;},&quot;uris&quot;:[&quot;http://www.mendeley.com/documents/?uuid=f5c466c0-1b70-4278-b4d3-67ace684cbbd&quot;],&quot;isTemporary&quot;:false,&quot;legacyDesktopId&quot;:&quot;f5c466c0-1b70-4278-b4d3-67ace684cbbd&quot;}]},{&quot;citationID&quot;:&quot;MENDELEY_CITATION_f3cddde3-0d52-425b-9646-e441380d7d19&quot;,&quot;properties&quot;:{&quot;noteIndex&quot;:0},&quot;isEdited&quot;:false,&quot;manualOverride&quot;:{&quot;citeprocText&quot;:&quot;[384,385]&quot;,&quot;isManuallyOverridden&quot;:false,&quot;manualOverrideText&quot;:&quot;&quot;},&quot;citationTag&quot;:&quot;MENDELEY_CITATION_v3_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&quot;,&quot;citationItems&quot;:[{&quot;id&quot;:&quot;953bb835-689e-5543-8b5a-799a006f8f6a&quot;,&quot;itemData&quot;:{&quot;DOI&quot;:&quot;10.1152/jappl.1993.75.5.2310&quot;,&quot;ISSN&quot;:&quot;87507587&quot;,&quot;PMID&quot;:&quot;8307890&quot;,&quot;abstract&quot;:&quot;Frequency-domain analyses of R-R intervals are used widely to estimate levels of autonomic neural traffic to the human heart. Because respiration modulates autonomic activity, we determined for nine healthy subjects the influence of breathing frequency and tidal volume on R-R interval power spectra (fast-Fourier transform method). We also surveyed published literature to determine current practices in this burgeoning field of scientific inquiry. Supine subjects breathed at rates of 6, 7.5, 10, 15, 17.1, 20, and 24 breaths/min and with nominal tidal volumes of 1,000 and 1,500 ml. R-R interval power at respiratory and low (0.06-0.14 Hz) frequencies declined significantly as breathing frequency increased. R-R interval power at respiratory frequencies was significantly greater at a tidal volume of 1,500 than 1,000 ml. Neither breathing frequency nor tidal volume influenced average R-R intervals significantly. Our review of studies reporting human R-R interval power spectra showed that 51% of the studies controlled respiratory rate, 11% controlled tidal volume, and 11% controlled both respiratory rate and tidal volume. The major implications of our analyses are that breathing parameters strongly influence low-frequency as well as respiratory frequency R-R interval power spectra and that this influence is largely ignored in published research.&quot;,&quot;author&quot;:[{&quot;dropping-particle&quot;:&quot;&quot;,&quot;family&quot;:&quot;Brown&quot;,&quot;given&quot;:&quot;T. E.&quot;,&quot;non-dropping-particle&quot;:&quot;&quot;,&quot;parse-names&quot;:false,&quot;suffix&quot;:&quot;&quot;},{&quot;dropping-particle&quot;:&quot;&quot;,&quot;family&quot;:&quot;Beightol&quot;,&quot;given&quot;:&quot;L. A.&quot;,&quot;non-dropping-particle&quot;:&quot;&quot;,&quot;parse-names&quot;:false,&quot;suffix&quot;:&quot;&quot;},{&quot;dropping-particle&quot;:&quot;&quot;,&quot;family&quot;:&quot;Koh&quot;,&quot;given&quot;:&quot;J.&quot;,&quot;non-dropping-particle&quot;:&quot;&quot;,&quot;parse-names&quot;:false,&quot;suffix&quot;:&quot;&quot;},{&quot;dropping-particle&quot;:&quot;&quot;,&quot;family&quot;:&quot;Eckberg&quot;,&quot;given&quot;:&quot;D. L.&quot;,&quot;non-dropping-particle&quot;:&quot;&quot;,&quot;parse-names&quot;:false,&quot;suffix&quot;:&quot;&quot;}],&quot;container-title&quot;:&quot;Journal of Applied Physiology&quot;,&quot;id&quot;:&quot;953bb835-689e-5543-8b5a-799a006f8f6a&quot;,&quot;issue&quot;:&quot;5&quot;,&quot;issued&quot;:{&quot;date-parts&quot;:[[&quot;1993&quot;]]},&quot;page&quot;:&quot;2310-2317&quot;,&quot;title&quot;:&quot;Important influence of respiration on human R-R interval power spectra is largely ignored&quot;,&quot;type&quot;:&quot;article-journal&quot;,&quot;volume&quot;:&quot;75&quot;,&quot;container-title-short&quot;:&quot;J. Appl. Physiol.&quot;},&quot;uris&quot;:[&quot;http://www.mendeley.com/documents/?uuid=d934d24f-0a42-4b62-99c7-69b72a423e1c&quot;],&quot;isTemporary&quot;:false,&quot;legacyDesktopId&quot;:&quot;d934d24f-0a42-4b62-99c7-69b72a423e1c&quot;},{&quot;id&quot;:&quot;4dcdf7b4-fbe1-5a3c-bc11-9b17df05f781&quot;,&quot;itemData&quot;:{&quot;DOI&quot;:&quot;10.1152/ajpheart.1981.241.4.h620&quot;,&quot;ISSN&quot;:&quot;03636135&quot;,&quot;PMID&quot;:&quot;7315987&quot;,&quot;abstract&quot;:&quot;The relationship of respiratory sinus arrhythmia amplitude (RSA) to tidal volume and breathing frequency was quantified during voluntary controlled tidal volume and breathing frequency and spontaneous quiet breathing. Seventeen seated subjects breathed via mouthpiece and noseclip, maintaining constant tidal volumes at each of several breathing frequencies. Inspiratory breath hold was zero frequency. Log RSA was plotted vs. log frequency for each tidal volume. The large stable RSA for frequencies less than 6 cycles/min was called low-frequency intercept (LFI, 20±5 beats/min). Low-frequency intercept was inversely proportional to a subject's age only to 35 yr. At high breathing frequencies above a characteristic corner frequency (f(C), 7.2±1.5 cycles/min) RSA decreased with constant slope (roll-off; 2.1±3.4 dB/decade). The RSA-volume relationship was linear permitting normalization of RSA-frequency curves for tidal volume to yield one curve. Spontaneous breathing data points fell on this curve. Voluntarily coupling of heart rate to breathing frequency in integer ratios reduced breath-by-breath variability of RSA without changing mean RSA. In conclusion, low-frequency intercept, corner frequency, and roll-off characterize an individual's RSA-frequency relationship during both voluntarily controlled and spontaneous breathing.&quot;,&quot;author&quot;:[{&quot;dropping-particle&quot;:&quot;&quot;,&quot;family&quot;:&quot;Hirsch&quot;,&quot;given&quot;:&quot;J. A.&quot;,&quot;non-dropping-particle&quot;:&quot;&quot;,&quot;parse-names&quot;:false,&quot;suffix&quot;:&quot;&quot;},{&quot;dropping-particle&quot;:&quot;&quot;,&quot;family&quot;:&quot;Bishop&quot;,&quot;given&quot;:&quot;B.&quot;,&quot;non-dropping-particle&quot;:&quot;&quot;,&quot;parse-names&quot;:false,&quot;suffix&quot;:&quot;&quot;}],&quot;container-title&quot;:&quot;American Journal of Physiology - Heart and Circulatory Physiology&quot;,&quot;id&quot;:&quot;4dcdf7b4-fbe1-5a3c-bc11-9b17df05f781&quot;,&quot;issue&quot;:&quot;4&quot;,&quot;issued&quot;:{&quot;date-parts&quot;:[[&quot;1981&quot;]]},&quot;page&quot;:&quot;620-629&quot;,&quot;title&quot;:&quot;Respiratory sinus arrhythmia in humans: How breathing pattern modulates heart rate&quot;,&quot;type&quot;:&quot;article-journal&quot;,&quot;volume&quot;:&quot;10&quot;,&quot;container-title-short&quot;:&quot;Am. J. Physiol. Heart Circ. Physiol.&quot;},&quot;uris&quot;:[&quot;http://www.mendeley.com/documents/?uuid=2537c3a7-5409-4249-95cf-cfe7547369b1&quot;],&quot;isTemporary&quot;:false,&quot;legacyDesktopId&quot;:&quot;2537c3a7-5409-4249-95cf-cfe7547369b1&quot;}]},{&quot;citationID&quot;:&quot;MENDELEY_CITATION_ce768fd3-8b4b-4cea-8ea5-1e28c5ec4a34&quot;,&quot;properties&quot;:{&quot;noteIndex&quot;:0},&quot;isEdited&quot;:false,&quot;manualOverride&quot;:{&quot;citeprocText&quot;:&quot;[302,386–388]&quot;,&quot;isManuallyOverridden&quot;:false,&quot;manualOverrideText&quot;:&quot;&quot;},&quot;citationTag&quot;:&quot;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&quot;,&quot;citationItems&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id&quot;:&quot;d570103b-2802-562c-a905-718e2c2bc736&quot;,&quot;itemData&quot;:{&quot;DOI&quot;:&quot;10.1044/jslhr.4305.1240&quot;,&quot;ISSN&quot;:&quot;10924388&quot;,&quot;PMID&quot;:&quot;11063244&quot;,&quot;abstract&quot;:&quot;This study was conducted to explore the influence of speaking on ventilation. Twenty healthy young men were studied during periods of quiet breathing and prolonged speaking using noninvasive methods to measure chest wall surface motions and expired gas composition. Results indicated that all subjects ventilated more during speaking than during quiet breathing, usually by augmenting both tidal volume and breathing frequency. Ventilation did not change across repeated speaking trials. Quiet breathing was altered from its usual behavior following speaking, often for several minutes. Speaking-related increases in ventilation were found to be strongly correlated with lung volume expenditures per syllable. These findings have clinical implications for the respiratory care practitioner and the speech-language pathologist.&quot;,&quot;author&quot;:[{&quot;dropping-particle&quot;:&quot;&quot;,&quot;family&quot;:&quot;Hoit&quot;,&quot;given&quot;:&quot;Jeannette D.&quot;,&quot;non-dropping-particle&quot;:&quot;&quot;,&quot;parse-names&quot;:false,&quot;suffix&quot;:&quot;&quot;},{&quot;dropping-particle&quot;:&quot;&quot;,&quot;family&quot;:&quot;Lohmeier&quot;,&quot;given&quot;:&quot;Heather L.&quot;,&quot;non-dropping-particle&quot;:&quot;&quot;,&quot;parse-names&quot;:false,&quot;suffix&quot;:&quot;&quot;}],&quot;container-title&quot;:&quot;Journal of Speech, Language, and Hearing Research&quot;,&quot;id&quot;:&quot;d570103b-2802-562c-a905-718e2c2bc736&quot;,&quot;issue&quot;:&quot;1-5&quot;,&quot;issued&quot;:{&quot;date-parts&quot;:[[&quot;2000&quot;]]},&quot;page&quot;:&quot;1240-1251&quot;,&quot;title&quot;:&quot;Influence of Continuous Speaking on Ventilation&quot;,&quot;type&quot;:&quot;article-journal&quot;,&quot;volume&quot;:&quot;43&quot;,&quot;container-title-short&quot;:&quot;&quot;},&quot;uris&quot;:[&quot;http://www.mendeley.com/documents/?uuid=976cf0c0-1c91-4c59-b4eb-f19543f6c99b&quot;],&quot;isTemporary&quot;:false,&quot;legacyDesktopId&quot;:&quot;976cf0c0-1c91-4c59-b4eb-f19543f6c99b&quot;},{&quot;id&quot;:&quot;4a86f1a8-f9c3-554b-bf93-7617c6dfd365&quot;,&quot;itemData&quot;:{&quot;DOI&quot;:&quot;10.1152/jappl.1995.79.3.1048&quot;,&quot;ISBN&quot;:&quot;0161756719&quot;,&quot;ISSN&quot;:&quot;87507587&quot;,&quot;PMID&quot;:&quot;8567501&quot;,&quot;abstract&quot;:&quot;We investigated the effects of voluntary control of breathing on autonomic function in cardiovascular regulation. Variability in heart rate was compared between 5 min of spontaneous and controlled breathing. During controlled breathing, for 5 min, subjects voluntarily reproduced their own spontaneous breathing pattern (both rate and volume on a breath-by-breath basis). With the use of this experimental design, we could unmask the effects of voluntary override of the spontaneous respiratory pattern generator on autonomic function in cardiovascular regulation without the confounding effects of altered respiratory pattern. Results from 10 subjects showed that during voluntary control of breathing, mean values of heart rate and blood pressure increased, whereas fractal and spectral powers in heart rate in the respiratory frequency region decreased. End-tidal PCO2 was similar during spontaneous and controlled breathing. These results indicate that the act of voluntary control of breathing decreases the influence of the vagal component, which is the principal parasympathetic influence in cardiovascular regulation.&quot;,&quot;author&quot;:[{&quot;dropping-particle&quot;:&quot;&quot;,&quot;family&quot;:&quot;Patwardhan&quot;,&quot;given&quot;:&quot;A. R.&quot;,&quot;non-dropping-particle&quot;:&quot;&quot;,&quot;parse-names&quot;:false,&quot;suffix&quot;:&quot;&quot;},{&quot;dropping-particle&quot;:&quot;&quot;,&quot;family&quot;:&quot;Vallurupalli&quot;,&quot;given&quot;:&quot;S.&quot;,&quot;non-dropping-particle&quot;:&quot;&quot;,&quot;parse-names&quot;:false,&quot;suffix&quot;:&quot;&quot;},{&quot;dropping-particle&quot;:&quot;&quot;,&quot;family&quot;:&quot;Evans&quot;,&quot;given&quot;:&quot;J. M.&quot;,&quot;non-dropping-particle&quot;:&quot;&quot;,&quot;parse-names&quot;:false,&quot;suffix&quot;:&quot;&quot;},{&quot;dropping-particle&quot;:&quot;&quot;,&quot;family&quot;:&quot;Bruce&quot;,&quot;given&quot;:&quot;E. N.&quot;,&quot;non-dropping-particle&quot;:&quot;&quot;,&quot;parse-names&quot;:false,&quot;suffix&quot;:&quot;&quot;},{&quot;dropping-particle&quot;:&quot;&quot;,&quot;family&quot;:&quot;Knapp&quot;,&quot;given&quot;:&quot;C. F.&quot;,&quot;non-dropping-particle&quot;:&quot;&quot;,&quot;parse-names&quot;:false,&quot;suffix&quot;:&quot;&quot;}],&quot;container-title&quot;:&quot;Journal of Applied Physiology&quot;,&quot;id&quot;:&quot;4a86f1a8-f9c3-554b-bf93-7617c6dfd365&quot;,&quot;issue&quot;:&quot;3&quot;,&quot;issued&quot;:{&quot;date-parts&quot;:[[&quot;1995&quot;]]},&quot;page&quot;:&quot;1048-1054&quot;,&quot;title&quot;:&quot;Override of spontaneous respiratory pattern generator reduces cardiovascular parasympathetic influence&quot;,&quot;type&quot;:&quot;article-journal&quot;,&quot;volume&quot;:&quot;79&quot;,&quot;container-title-short&quot;:&quot;J. Appl. Physiol.&quot;},&quot;uris&quot;:[&quot;http://www.mendeley.com/documents/?uuid=73c767bb-9a55-4758-bc36-8352603ea74f&quot;],&quot;isTemporary&quot;:false,&quot;legacyDesktopId&quot;:&quot;73c767bb-9a55-4758-bc36-8352603ea74f&quot;},{&quot;id&quot;:&quot;b94dc274-3199-5026-9ed9-02552b6f1fea&quot;,&quot;itemData&quot;:{&quot;DOI&quot;:&quot;10.1016/j.biopsycho.2012.12.001&quot;,&quot;ISSN&quot;:&quot;03010511&quot;,&quot;PMID&quot;:&quot;23261937&quot;,&quot;abstract&quot;:&quot;Whereas respiratory psychophysiological research has mainly studied respiratory time and volume, variability in these parameters has been largely disregarded, even though it may provide important information about respiratory regulation. The present paper reviews the literature on respiratory variability and elaborates on the importance of assessing various components of respiratory variability when studying the interrelationships between emotions and breathing. A model is proposed that predicts specific action tendencies related to emotions to disturb the balance between various respiratory variability components depending on valence by arousal and control dimensions. The central focus of the paper is sighing. The causes and consequences of sighing are reviewed and integrated in the proposed model in which sighing is hypothesized to function as a resetter in the regulation of both breathing and emotions, because it restores a balance in respiratory variability fractions and causes relief. © 2012 Elsevier B.V.&quot;,&quot;author&quot;:[{&quot;dropping-particle&quot;:&quot;&quot;,&quot;family&quot;:&quot;Vlemincx&quot;,&quot;given&quot;:&quot;Elke&quot;,&quot;non-dropping-particle&quot;:&quot;&quot;,&quot;parse-names&quot;:false,&quot;suffix&quot;:&quot;&quot;},{&quot;dropping-particle&quot;:&quot;&quot;,&quot;family&quot;:&quot;Abelson&quot;,&quot;given&quot;:&quot;James L.&quot;,&quot;non-dropping-particle&quot;:&quot;&quot;,&quot;parse-names&quot;:false,&quot;suffix&quot;:&quot;&quot;},{&quot;dropping-particle&quot;:&quot;&quot;,&quot;family&quot;:&quot;Lehrer&quot;,&quot;given&quot;:&quot;Paul M.&quot;,&quot;non-dropping-particle&quot;:&quot;&quot;,&quot;parse-names&quot;:false,&quot;suffix&quot;:&quot;&quot;},{&quot;dropping-particle&quot;:&quot;&quot;,&quot;family&quot;:&quot;Davenport&quot;,&quot;given&quot;:&quot;Paul W.&quot;,&quot;non-dropping-particle&quot;:&quot;&quot;,&quot;parse-names&quot;:false,&quot;suffix&quot;:&quot;&quot;},{&quot;dropping-particle&quot;:&quot;&quot;,&quot;family&quot;:&quot;Diest&quot;,&quot;given&quot;:&quot;Ilse&quot;,&quot;non-dropping-particle&quot;:&quot;Van&quot;,&quot;parse-names&quot;:false,&quot;suffix&quot;:&quot;&quot;},{&quot;dropping-particle&quot;:&quot;&quot;,&quot;family&quot;:&quot;Bergh&quot;,&quot;given&quot;:&quot;Omer&quot;,&quot;non-dropping-particle&quot;:&quot;Van Den&quot;,&quot;parse-names&quot;:false,&quot;suffix&quot;:&quot;&quot;}],&quot;container-title&quot;:&quot;Biological Psychology&quot;,&quot;id&quot;:&quot;b94dc274-3199-5026-9ed9-02552b6f1fea&quot;,&quot;issue&quot;:&quot;1&quot;,&quot;issued&quot;:{&quot;date-parts&quot;:[[&quot;2013&quot;]]},&quot;page&quot;:&quot;24-32&quot;,&quot;publisher&quot;:&quot;Elsevier B.V.&quot;,&quot;title&quot;:&quot;Respiratory variability and sighing: A psychophysiological reset model&quot;,&quot;type&quot;:&quot;article-journal&quot;,&quot;volume&quot;:&quot;93&quot;,&quot;container-title-short&quot;:&quot;Biol. Psychol.&quot;},&quot;uris&quot;:[&quot;http://www.mendeley.com/documents/?uuid=cc0a060f-aaba-47ef-9f2b-701b443c1806&quot;],&quot;isTemporary&quot;:false,&quot;legacyDesktopId&quot;:&quot;cc0a060f-aaba-47ef-9f2b-701b443c1806&quot;}]},{&quot;citationID&quot;:&quot;MENDELEY_CITATION_cd6be45e-ce2c-40bd-896f-b6281d403737&quot;,&quot;properties&quot;:{&quot;noteIndex&quot;:0},&quot;isEdited&quot;:false,&quot;manualOverride&quot;:{&quot;citeprocText&quot;:&quot;[389]&quot;,&quot;isManuallyOverridden&quot;:false,&quot;manualOverrideText&quot;:&quot;&quot;},&quot;citationTag&quot;:&quot;MENDELEY_CITATION_v3_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&quot;,&quot;citationItems&quot;:[{&quot;id&quot;:&quot;dda4439a-400d-55d5-b5db-144c6042586c&quot;,&quot;itemData&quot;:{&quot;DOI&quot;:&quot;10.1152/jappl.1969.27.5.673&quot;,&quot;ISSN&quot;:&quot;00218987&quot;,&quot;PMID&quot;:&quot;5360442&quot;,&quot;author&quot;:[{&quot;dropping-particle&quot;:&quot;&quot;,&quot;family&quot;:&quot;Rowell&quot;,&quot;given&quot;:&quot;L. B.&quot;,&quot;non-dropping-particle&quot;:&quot;&quot;,&quot;parse-names&quot;:false,&quot;suffix&quot;:&quot;&quot;},{&quot;dropping-particle&quot;:&quot;&quot;,&quot;family&quot;:&quot;Brengelmann&quot;,&quot;given&quot;:&quot;G. L.&quot;,&quot;non-dropping-particle&quot;:&quot;&quot;,&quot;parse-names&quot;:false,&quot;suffix&quot;:&quot;&quot;},{&quot;dropping-particle&quot;:&quot;&quot;,&quot;family&quot;:&quot;Murray&quot;,&quot;given&quot;:&quot;J. A.&quot;,&quot;non-dropping-particle&quot;:&quot;&quot;,&quot;parse-names&quot;:false,&quot;suffix&quot;:&quot;&quot;}],&quot;container-title&quot;:&quot;Journal of applied physiology&quot;,&quot;id&quot;:&quot;dda4439a-400d-55d5-b5db-144c6042586c&quot;,&quot;issue&quot;:&quot;5&quot;,&quot;issued&quot;:{&quot;date-parts&quot;:[[&quot;1969&quot;]]},&quot;page&quot;:&quot;673-680&quot;,&quot;title&quot;:&quot;Cardiovascular responses to sustained high skin temperature in resting man.&quot;,&quot;type&quot;:&quot;article-journal&quot;,&quot;volume&quot;:&quot;27&quot;,&quot;container-title-short&quot;:&quot;J. Appl. Physiol.&quot;},&quot;uris&quot;:[&quot;http://www.mendeley.com/documents/?uuid=9e721622-1ebb-405c-b73a-d22527c7df70&quot;],&quot;isTemporary&quot;:false,&quot;legacyDesktopId&quot;:&quot;9e721622-1ebb-405c-b73a-d22527c7df70&quot;}]},{&quot;citationID&quot;:&quot;MENDELEY_CITATION_36183291-ee1a-46c9-b704-c7bd7383a3e4&quot;,&quot;properties&quot;:{&quot;noteIndex&quot;:0},&quot;isEdited&quot;:false,&quot;manualOverride&quot;:{&quot;citeprocText&quot;:&quot;[301]&quot;,&quot;isManuallyOverridden&quot;:false,&quot;manualOverrideText&quot;:&quot;&quot;},&quot;citationTag&quot;:&quot;MENDELEY_CITATION_v3_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&quot;,&quot;citationItems&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citationID&quot;:&quot;MENDELEY_CITATION_9b551e6c-fbc9-46c5-831c-c54598973e13&quot;,&quot;properties&quot;:{&quot;noteIndex&quot;:0},&quot;isEdited&quot;:false,&quot;manualOverride&quot;:{&quot;citeprocText&quot;:&quot;[273,274,282,336]&quot;,&quot;isManuallyOverridden&quot;:false,&quot;manualOverrideText&quot;:&quot;&quot;},&quot;citationTag&quot;:&quot;MENDELEY_CITATION_v3_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Sx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&quot;,&quot;citationItems&quot;:[{&quot;id&quot;:&quot;1a547c94-c28b-5c67-9143-04c435689655&quot;,&quot;itemData&quot;:{&quot;DOI&quot;:&quot;10.1152/physiologyonline.1990.5.1.32&quot;,&quot;ISSN&quot;:&quot;1548-9213&quot;,&quot;abstract&quot;:&quot;What is most intriguing about heart rate (HR) variability is that there is so much of it. HR is constantly responding both rapidly and slowly to various physiological perturbations. We now understand that the frequency and amplitude of these HR fluctuations are indicative of the autonomic control systems underlying the response.&quot;,&quot;author&quot;:[{&quot;dropping-particle&quot;:&quot;&quot;,&quot;family&quot;:&quot;Saul&quot;,&quot;given&quot;:&quot;JP&quot;,&quot;non-dropping-particle&quot;:&quot;&quot;,&quot;parse-names&quot;:false,&quot;suffix&quot;:&quot;&quot;}],&quot;container-title&quot;:&quot;Physiology&quot;,&quot;id&quot;:&quot;1a547c94-c28b-5c67-9143-04c435689655&quot;,&quot;issue&quot;:&quot;1&quot;,&quot;issued&quot;:{&quot;date-parts&quot;:[[&quot;1990&quot;,&quot;2&quot;,&quot;1&quot;]]},&quot;page&quot;:&quot;32-37&quot;,&quot;title&quot;:&quot;Beat-To-Beat Variations of Heart Rate Reflect Modulation of Cardiac Autonomic Outflow&quot;,&quot;type&quot;:&quot;article-journal&quot;,&quot;volume&quot;:&quot;5&quot;,&quot;container-title-short&quot;:&quot;&quot;},&quot;uris&quot;:[&quot;http://www.mendeley.com/documents/?uuid=ebebf82a-7eed-4a76-813a-533c9974413f&quot;],&quot;isTemporary&quot;:false,&quot;legacyDesktopId&quot;:&quot;ebebf82a-7eed-4a76-813a-533c9974413f&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id&quot;:&quot;d5f77b83-acac-5d19-bec1-3944b8604ae0&quot;,&quot;itemData&quot;:{&quot;DOI&quot;:&quot;10.1088/0967-3334/33/8/1289&quot;,&quot;ISSN&quot;:&quot;13616579&quot;,&quot;PMID&quot;:&quot;22813869&quot;,&quot;abstract&quot;:&quot;Heart rate variability (HRV) analysis is an established method to characterize the autonomic regulation and is based mostly on 24h Holter recordings. The importance of short-term HRV (less than 30min) for various applications is growing consistently. Major reasons for this are the suitability for ambulatory care and patient monitoring and the ability to provide an almost immediate test result. So far, there have been only a few studies that provided statistically relevant reference values for short-term HRV. In our study, 5min short-term HRV indices were determined from 1906 healthy subjects. From these records, linear and nonlinear indices were extracted. To determine general age-related influences, HRV indices were compared from subjects aged 25-49years with subjects aged 50-74years. In a second approach, we examined the development of HRV indices by age in terms of age decades (25-34, 35-44, 45-54, 55-64 and 65-74years). Our results showed significant variations of HRV indices by age in almost all domains. While marked dynamics in terms of parameter change (variability reduction) were observed in the first age decades, in particular the last two age decades showed certain constancy with respect to the HRV indices examined. © 2012 Institute of Physics and Engineering in Medicine.&quot;,&quot;author&quot;:[{&quot;dropping-particle&quot;:&quot;&quot;,&quot;family&quot;:&quot;Voss&quot;,&quot;given&quot;:&quot;A.&quot;,&quot;non-dropping-particle&quot;:&quot;&quot;,&quot;parse-names&quot;:false,&quot;suffix&quot;:&quot;&quot;},{&quot;dropping-particle&quot;:&quot;&quot;,&quot;family&quot;:&quot;Heitmann&quot;,&quot;given&quot;:&quot;A.&quot;,&quot;non-dropping-particle&quot;:&quot;&quot;,&quot;parse-names&quot;:false,&quot;suffix&quot;:&quot;&quot;},{&quot;dropping-particle&quot;:&quot;&quot;,&quot;family&quot;:&quot;Schroeder&quot;,&quot;given&quot;:&quot;R.&quot;,&quot;non-dropping-particle&quot;:&quot;&quot;,&quot;parse-names&quot;:false,&quot;suffix&quot;:&quot;&quot;},{&quot;dropping-particle&quot;:&quot;&quot;,&quot;family&quot;:&quot;Peters&quot;,&quot;given&quot;:&quot;A.&quot;,&quot;non-dropping-particle&quot;:&quot;&quot;,&quot;parse-names&quot;:false,&quot;suffix&quot;:&quot;&quot;},{&quot;dropping-particle&quot;:&quot;&quot;,&quot;family&quot;:&quot;Perz&quot;,&quot;given&quot;:&quot;S.&quot;,&quot;non-dropping-particle&quot;:&quot;&quot;,&quot;parse-names&quot;:false,&quot;suffix&quot;:&quot;&quot;}],&quot;container-title&quot;:&quot;Physiological Measurement&quot;,&quot;id&quot;:&quot;d5f77b83-acac-5d19-bec1-3944b8604ae0&quot;,&quot;issue&quot;:&quot;8&quot;,&quot;issued&quot;:{&quot;date-parts&quot;:[[&quot;2012&quot;]]},&quot;page&quot;:&quot;1289-1311&quot;,&quot;title&quot;:&quot;Short-term heart rate variability - Age dependence in healthy subjects&quot;,&quot;type&quot;:&quot;article-journal&quot;,&quot;volume&quot;:&quot;33&quot;,&quot;container-title-short&quot;:&quot;Physiol. Meas.&quot;},&quot;uris&quot;:[&quot;http://www.mendeley.com/documents/?uuid=861f39d8-7d65-4929-af45-7c36d490253e&quot;],&quot;isTemporary&quot;:false,&quot;legacyDesktopId&quot;:&quot;861f39d8-7d65-4929-af45-7c36d490253e&quot;}]},{&quot;citationID&quot;:&quot;MENDELEY_CITATION_b1d73a62-8e8a-465e-af26-d3168cea5ed3&quot;,&quot;properties&quot;:{&quot;noteIndex&quot;:0},&quot;isEdited&quot;:false,&quot;manualOverride&quot;:{&quot;citeprocText&quot;:&quot;[313,314]&quot;,&quot;isManuallyOverridden&quot;:false,&quot;manualOverrideText&quot;:&quot;&quot;},&quot;citationTag&quot;:&quot;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&quot;,&quot;citationItems&quot;:[{&quot;id&quot;:&quot;1e502126-a14c-5e65-bf25-4c7c3cb51256&quot;,&quot;itemData&quot;:{&quot;DOI&quot;:&quot;10.3389/fspor.2021.585870&quot;,&quot;ISSN&quot;:&quot;26249367&quot;,&quot;PMID&quot;:&quot;33733234&quot;,&quot;abstract&quot;:&quot;Commercial off-the shelf (COTS) wearable devices continue development at unprecedented rates. An unfortunate consequence of their rapid commercialization is the lack of independent, third-party accuracy verification for reported physiological metrics of interest, such as heart rate (HR) and heart rate variability (HRV). To address these shortcomings, the present study examined the accuracy of seven COTS devices in assessing resting-state HR and root mean square of successive differences (rMSSD). Five healthy young adults generated 148 total trials, each of which compared COTS devices against a validation standard, multi-lead electrocardiogram (mECG). All devices accurately reported mean HR, according to absolute percent error summary statistics, although the highest mean absolute percent error (MAPE) was observed for CameraHRV (17.26%). The next highest MAPE for HR was nearly 15% less (HRV4Training, 2.34%). When measuring rMSSD, MAPE was again the highest for CameraHRV [112.36%, concordance correlation coefficient (CCC): 0.04], while the lowest MAPEs observed were from HRV4Training (4.10%; CCC: 0.98) and OURA (6.84%; CCC: 0.91). Our findings support extant literature that exposes varying degrees of veracity among COTS devices. To thoroughly address questionable claims from manufacturers, elucidate the accuracy of data parameters, and maximize the real-world applicative value of emerging devices, future research must continually evaluate COTS devices.&quot;,&quot;author&quot;:[{&quot;dropping-particle&quot;:&quot;&quot;,&quot;family&quot;:&quot;Stone&quot;,&quot;given&quot;:&quot;Jason D.&quot;,&quot;non-dropping-particle&quot;:&quot;&quot;,&quot;parse-names&quot;:false,&quot;suffix&quot;:&quot;&quot;},{&quot;dropping-particle&quot;:&quot;&quot;,&quot;family&quot;:&quot;Ulman&quot;,&quot;given&quot;:&quot;Hana K.&quot;,&quot;non-dropping-particle&quot;:&quot;&quot;,&quot;parse-names&quot;:false,&quot;suffix&quot;:&quot;&quot;},{&quot;dropping-particle&quot;:&quot;&quot;,&quot;family&quot;:&quot;Tran&quot;,&quot;given&quot;:&quot;Kaylee&quot;,&quot;non-dropping-particle&quot;:&quot;&quot;,&quot;parse-names&quot;:false,&quot;suffix&quot;:&quot;&quot;},{&quot;dropping-particle&quot;:&quot;&quot;,&quot;family&quot;:&quot;Thompson&quot;,&quot;given&quot;:&quot;Andrew G.&quot;,&quot;non-dropping-particle&quot;:&quot;&quot;,&quot;parse-names&quot;:false,&quot;suffix&quot;:&quot;&quot;},{&quot;dropping-particle&quot;:&quot;&quot;,&quot;family&quot;:&quot;Halter&quot;,&quot;given&quot;:&quot;Manuel D.&quot;,&quot;non-dropping-particle&quot;:&quot;&quot;,&quot;parse-names&quot;:false,&quot;suffix&quot;:&quot;&quot;},{&quot;dropping-particle&quot;:&quot;&quot;,&quot;family&quot;:&quot;Ramadan&quot;,&quot;given&quot;:&quot;Jad H.&quot;,&quot;non-dropping-particle&quot;:&quot;&quot;,&quot;parse-names&quot;:false,&quot;suffix&quot;:&quot;&quot;},{&quot;dropping-particle&quot;:&quot;&quot;,&quot;family&quot;:&quot;Stephenson&quot;,&quot;given&quot;:&quot;Mark&quot;,&quot;non-dropping-particle&quot;:&quot;&quot;,&quot;parse-names&quot;:false,&quot;suffix&quot;:&quot;&quot;},{&quot;dropping-particle&quot;:&quot;&quot;,&quot;family&quot;:&quot;Finomore&quot;,&quot;given&quot;:&quot;Victor S.&quot;,&quot;non-dropping-particle&quot;:&quot;&quot;,&quot;parse-names&quot;:false,&quot;suffix&quot;:&quot;&quot;},{&quot;dropping-particle&quot;:&quot;&quot;,&quot;family&quot;:&quot;Galster&quot;,&quot;given&quot;:&quot;Scott M.&quot;,&quot;non-dropping-particle&quot;:&quot;&quot;,&quot;parse-names&quot;:false,&quot;suffix&quot;:&quot;&quot;},{&quot;dropping-particle&quot;:&quot;&quot;,&quot;family&quot;:&quot;Rezai&quot;,&quot;given&quot;:&quot;Ali R.&quot;,&quot;non-dropping-particle&quot;:&quot;&quot;,&quot;parse-names&quot;:false,&quot;suffix&quot;:&quot;&quot;},{&quot;dropping-particle&quot;:&quot;&quot;,&quot;family&quot;:&quot;Hagen&quot;,&quot;given&quot;:&quot;Joshua A.&quot;,&quot;non-dropping-particle&quot;:&quot;&quot;,&quot;parse-names&quot;:false,&quot;suffix&quot;:&quot;&quot;}],&quot;container-title&quot;:&quot;Frontiers in Sports and Active Living&quot;,&quot;id&quot;:&quot;1e502126-a14c-5e65-bf25-4c7c3cb51256&quot;,&quot;issue&quot;:&quot;March 2021&quot;,&quot;issued&quot;:{&quot;date-parts&quot;:[[&quot;2021&quot;]]},&quot;title&quot;:&quot;Assessing the Accuracy of Popular Commercial Technologies That Measure Resting Heart Rate and Heart Rate Variability&quot;,&quot;type&quot;:&quot;article-journal&quot;,&quot;volume&quot;:&quot;3&quot;,&quot;container-title-short&quot;:&quot;Front. Sports Act. Living&quot;},&quot;uris&quot;:[&quot;http://www.mendeley.com/documents/?uuid=81c84b81-2952-420d-8d95-a6bac0bdc14d&quot;],&quot;isTemporary&quot;:false,&quot;legacyDesktopId&quot;:&quot;81c84b81-2952-420d-8d95-a6bac0bdc14d&quot;},{&quot;id&quot;:&quot;62a554a4-6870-59ca-84c5-8c4d47101007&quot;,&quot;itemData&quot;:{&quot;DOI&quot;:&quot;10.2478/folmed-2018-0012&quot;,&quot;ISSN&quot;:&quot;02048043&quot;,&quot;PMID&quot;:&quot;29668452&quot;,&quot;abstract&quot;:&quot;BACKGROUND: A growing number of wearable devices claim to provide accurate, cheap and easily applicable heart rate variability (HRV) indices. This is mainly accomplished by using wearable photoplethysmography (PPG) and/or electrocardiography (ECG), through simple and non-invasive techniques, as a substitute of the gold standard RR interval estimation through electrocardiogram. Although the agreement between pulse rate variability (PRV) and HRV has been evaluated in the literature, the reported results are still inconclusive especially when using wearable devices. AIM: The purpose of this systematic review is to investigate if wearable devices provide a reliable and precise measurement of classic HRV parameters in rest as well as during exercise. MATERIALS AND METHODS: A search strategy was implemented to retrieve relevant articles from MEDLINE and SCOPUS databases, as well as, through internet search. The 308 articles retrieved were reviewed for further evaluation according to the predetermined inclusion/exclusion criteria. RESULTS: Eighteen studies were included. Sixteen of them integrated ECG - HRV technology and two of them PPG - PRV technology. All of them examined wearable devices accuracy in RV detection during rest, while only eight of them during exercise. The correlation between classic ECG derived HRV and the wearable RV ranged from very good to excellent during rest, yet it declined progressively as exercise level increased. CONCLUSIONS: Wearable devices may provide a promising alternative solution for measuring RV. However, more robust studies in non-stationary conditions are needed using appropriate methodology in terms of number of subjects involved, acquisition and analysis techniques implied.&quot;,&quot;author&quot;:[{&quot;dropping-particle&quot;:&quot;&quot;,&quot;family&quot;:&quot;Georgiou&quot;,&quot;given&quot;:&quot;Konstantinos&quot;,&quot;non-dropping-particle&quot;:&quot;&quot;,&quot;parse-names&quot;:false,&quot;suffix&quot;:&quot;&quot;},{&quot;dropping-particle&quot;:&quot;V.&quot;,&quot;family&quot;:&quot;Larentzakis&quot;,&quot;given&quot;:&quot;Andreas&quot;,&quot;non-dropping-particle&quot;:&quot;&quot;,&quot;parse-names&quot;:false,&quot;suffix&quot;:&quot;&quot;},{&quot;dropping-particle&quot;:&quot;&quot;,&quot;family&quot;:&quot;Khamis&quot;,&quot;given&quot;:&quot;Nehal N.&quot;,&quot;non-dropping-particle&quot;:&quot;&quot;,&quot;parse-names&quot;:false,&quot;suffix&quot;:&quot;&quot;},{&quot;dropping-particle&quot;:&quot;&quot;,&quot;family&quot;:&quot;Alsuhaibani&quot;,&quot;given&quot;:&quot;Ghadah I.&quot;,&quot;non-dropping-particle&quot;:&quot;&quot;,&quot;parse-names&quot;:false,&quot;suffix&quot;:&quot;&quot;},{&quot;dropping-particle&quot;:&quot;&quot;,&quot;family&quot;:&quot;Alaska&quot;,&quot;given&quot;:&quot;Yasser A.&quot;,&quot;non-dropping-particle&quot;:&quot;&quot;,&quot;parse-names&quot;:false,&quot;suffix&quot;:&quot;&quot;},{&quot;dropping-particle&quot;:&quot;&quot;,&quot;family&quot;:&quot;Giallafos&quot;,&quot;given&quot;:&quot;Elias J.&quot;,&quot;non-dropping-particle&quot;:&quot;&quot;,&quot;parse-names&quot;:false,&quot;suffix&quot;:&quot;&quot;}],&quot;container-title&quot;:&quot;Folia medica&quot;,&quot;id&quot;:&quot;62a554a4-6870-59ca-84c5-8c4d47101007&quot;,&quot;issue&quot;:&quot;1&quot;,&quot;issued&quot;:{&quot;date-parts&quot;:[[&quot;2018&quot;]]},&quot;page&quot;:&quot;7-20&quot;,&quot;title&quot;:&quot;Can Wearable Devices Accurately Measure Heart Rate Variability? A Systematic Review&quot;,&quot;type&quot;:&quot;article-journal&quot;,&quot;volume&quot;:&quot;60&quot;,&quot;container-title-short&quot;:&quot;Folia Med. (Plovdiv).&quot;},&quot;uris&quot;:[&quot;http://www.mendeley.com/documents/?uuid=2381a430-f10a-4199-8047-145f18424731&quot;],&quot;isTemporary&quot;:false,&quot;legacyDesktopId&quot;:&quot;2381a430-f10a-4199-8047-145f18424731&quot;}]},{&quot;citationID&quot;:&quot;MENDELEY_CITATION_8db47f8b-86e1-41bb-9b30-cbb2da980d5d&quot;,&quot;properties&quot;:{&quot;noteIndex&quot;:0},&quot;isEdited&quot;:false,&quot;manualOverride&quot;:{&quot;citeprocText&quot;:&quot;[9,390,391]&quot;,&quot;isManuallyOverridden&quot;:false,&quot;manualOverrideText&quot;:&quot;&quot;},&quot;citationTag&quot;:&quot;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&quot;,&quot;citationItems&quot;:[{&quot;id&quot;:&quot;5ec5a046-9cc9-52d7-a7ad-f57b9beba77f&quot;,&quot;itemData&quot;:{&quot;abstract&quot;:&quot;Moreover, these studies varied considerably in their meth-odology: Differences existed not only in the types of ANS function tests used (conventional tests or computerized HRV analyzes) or the patient sample (number, race, age distribution), but also in the duration of the HRV analyses (short-term assessment between 2 and 15 minutes, 24-hour long-term recordings), the subjects' body position (recum-bent, sitting), and the control of breathing (flee breathing versus metronomic breathing) during the recording session, the selection of HRV indices (time-domain or frequency-domain variables), and the statistical procedures used (cal-culation of power spectra by fast-Fourier transformation or autoregressive models, consideration or disregard of HR it-self as a covariate). A task force report published recently by the European Society of Cardiology and the North American Society of Pacing and Electrophysiology [1] focused on the problem of reduced comparability of HRV study results arising from these methodological variations. After a critical assessment of this problem, quality guidelines for performing and evaluating HRV studies were developed, and adequately large studies in healthy subjects for defining normal HRV values were demanded. In the current study, and considering the guidelines of the task force report, a standardized 5-minute HRV resting study [1], the deep-breathing test (DBT), and an orthostatic test (maximum/minimum 30:15 ratio) were performed in 309 healthy subjects. The DBT and orthostatic tests are components of the autonomic test battery proposed by Ew-ing and Clarke in the mid 1970s, which was recommended for the standardized assessment of autonomic dysfunction in diabetic neuropathy [40]. The aim of this study was to answer the following questions: (1) which of the HRV in-dices are dependent on age; (2) does HR itself influence the time-or the frequency-domain (or both) HRV indices; and (3) are there any significant effects of gender on the HRV indices? Methods Study population Three-hundred fifty-six subjects (173 male, 183 female), with an average age of 36.7 + 13.8 years (18-77 years), were recruited for the study. They included medical and non-medical employees of the hospital clinics in Gelsenkirchen, Diisseldorf, and Weimar; medical and nonmedical students of the Ruhr-University of Bochum; and the family members of both groups. After receiving an explanation of the planned study, prospective subjects decided whether to par-ticipa…&quot;,&quot;author&quot;:[{&quot;dropping-particle&quot;:&quot;&quot;,&quot;family&quot;:&quot;Agelink&quot;,&quot;given&quot;:&quot;Marcus W&quot;,&quot;non-dropping-particle&quot;:&quot;&quot;,&quot;parse-names&quot;:false,&quot;suffix&quot;:&quot;&quot;},{&quot;dropping-particle&quot;:&quot;&quot;,&quot;family&quot;:&quot;Majewski&quot;,&quot;given&quot;:&quot;Thom&quot;,&quot;non-dropping-particle&quot;:&quot;&quot;,&quot;parse-names&quot;:false,&quot;suffix&quot;:&quot;&quot;},{&quot;dropping-particle&quot;:&quot;&quot;,&quot;family&quot;:&quot;Akila&quot;,&quot;given&quot;:&quot;Frank&quot;,&quot;non-dropping-particle&quot;:&quot;&quot;,&quot;parse-names&quot;:false,&quot;suffix&quot;:&quot;&quot;},{&quot;dropping-particle&quot;:&quot;&quot;,&quot;family&quot;:&quot;Zeit&quot;,&quot;given&quot;:&quot;Thom&quot;,&quot;non-dropping-particle&quot;:&quot;&quot;,&quot;parse-names&quot;:false,&quot;suffix&quot;:&quot;&quot;},{&quot;dropping-particle&quot;:&quot;&quot;,&quot;family&quot;:&quot;Ziegler&quot;,&quot;given&quot;:&quot;Dan&quot;,&quot;non-dropping-particle&quot;:&quot;&quot;,&quot;parse-names&quot;:false,&quot;suffix&quot;:&quot;&quot;}],&quot;container-title&quot;:&quot;Clinical Autonomic Research&quot;,&quot;id&quot;:&quot;5ec5a046-9cc9-52d7-a7ad-f57b9beba77f&quot;,&quot;issue&quot;:&quot;2&quot;,&quot;issued&quot;:{&quot;date-parts&quot;:[[&quot;2001&quot;]]},&quot;page&quot;:&quot;99-108&quot;,&quot;title&quot;:&quot;Standardized tests of Heart Rate Variability&quot;,&quot;type&quot;:&quot;article-journal&quot;,&quot;volume&quot;:&quot;11&quot;,&quot;container-title-short&quot;:&quot;&quot;},&quot;uris&quot;:[&quot;http://www.mendeley.com/documents/?uuid=d18ee949-702b-45e8-b1bf-bb2dcaeeccf2&quot;],&quot;isTemporary&quot;:false,&quot;legacyDesktopId&quot;:&quot;d18ee949-702b-45e8-b1bf-bb2dcaeeccf2&quot;},{&quot;id&quot;:&quot;b677480d-393f-5df9-81a2-b2f4fc817718&quot;,&quot;itemData&quot;:{&quot;DOI&quot;:&quot;10.1038/TP.2016.73&quot;,&quot;ISSN&quot;:&quot;21583188&quot;,&quot;PMID&quot;:&quot;27163204&quot;,&quot;abstract&quot;:&quot;The number of publications investigating heart rate variability (HRV) in psychiatry and the behavioral sciences has increased markedly in the last decade. In addition to the significant debates surrounding ideal methods to collect and interpret measures of HRV, standardized reporting of methodology in this field is lacking. Commonly cited recommendations were designed well before recent calls to improve research communication and reproducibility across disciplines. In an effort to standardize reporting, we propose the Guidelines for Reporting Articles on Psychiatry and Heart rate variability (GRAPH), a checklist with four domains: participant selection, interbeat interval collection, data preparation and HRV calculation. This paper provides an overview of these four domains and why their standardized reporting is necessary to suitably evaluate HRV research in psychiatry and related disciplines. Adherence to these communication guidelines will help expedite the translation of HRV research into a potential psychiatric biomarker by improving interpretation, reproducibility and future meta-analyses.&quot;,&quot;author&quot;:[{&quot;dropping-particle&quot;:&quot;&quot;,&quot;family&quot;:&quot;Quintana&quot;,&quot;given&quot;:&quot;D. S.&quot;,&quot;non-dropping-particle&quot;:&quot;&quot;,&quot;parse-names&quot;:false,&quot;suffix&quot;:&quot;&quot;},{&quot;dropping-particle&quot;:&quot;&quot;,&quot;family&quot;:&quot;Alvares&quot;,&quot;given&quot;:&quot;G. A.&quot;,&quot;non-dropping-particle&quot;:&quot;&quot;,&quot;parse-names&quot;:false,&quot;suffix&quot;:&quot;&quot;},{&quot;dropping-particle&quot;:&quot;&quot;,&quot;family&quot;:&quot;Heathers&quot;,&quot;given&quot;:&quot;J. A.J.&quot;,&quot;non-dropping-particle&quot;:&quot;&quot;,&quot;parse-names&quot;:false,&quot;suffix&quot;:&quot;&quot;}],&quot;container-title&quot;:&quot;Translational Psychiatry&quot;,&quot;id&quot;:&quot;b677480d-393f-5df9-81a2-b2f4fc817718&quot;,&quot;issue&quot;:&quot;5&quot;,&quot;issued&quot;:{&quot;date-parts&quot;:[[&quot;2016&quot;]]},&quot;publisher&quot;:&quot;Nature Publishing Group&quot;,&quot;title&quot;:&quot;Guidelines for Reporting Articles on Psychiatry and Heart rate variability (GRAPH): recommendations to advance research communication&quot;,&quot;type&quot;:&quot;article-journal&quot;,&quot;volume&quot;:&quot;6&quot;,&quot;container-title-short&quot;:&quot;Transl. Psychiatry&quot;},&quot;uris&quot;:[&quot;http://www.mendeley.com/documents/?uuid=467c6cb4-ba94-43b4-baf6-91df07718d5f&quot;],&quot;isTemporary&quot;:false,&quot;legacyDesktopId&quot;:&quot;467c6cb4-ba94-43b4-baf6-91df07718d5f&quot;},{&quot;id&quot;:&quot;6ae78ccc-e272-5df2-b8cc-e424e07bc17d&quot;,&quot;itemData&quot;:{&quot;DOI&quot;:&quot;10.3389/fpubh.2017.00258&quot;,&quot;ISSN&quot;:&quot;2296-2565&quot;,&quot;PMID&quot;:&quot;29034226&quot;,&quot;abstract&quot;:&quot;Healthy biological systems exhibit complex patterns of variability that can be described by mathematical chaos. Heart rate variability (HRV) consists of changes in the time intervals between consecutive heartbeats called interbeat intervals (IBIs). A healthy heart is not a metronome. The oscillations of a healthy heart are complex and constantly changing, which allow the cardiovascular system to rapidly adjust to sudden physical and psychological challenges to homeostasis. This article briefly reviews current perspectives on the mechanisms that generate 24 h, short-term (~5 min), and ultra-short-term (&lt;5 min) HRV, the importance of HRV, and its implications for health and performance. The authors provide an overview of widely-used HRV time-domain, frequency-domain, and non-linear metrics. Time-domain indices quantify the amount of HRV observed during monitoring periods that may range from ~2 min to 24 h. Frequency-domain values calculate the absolute or relative amount of signal energy within component bands. Non-linear measurements quantify the unpredictability and complexity of a series of IBIs. The authors survey published normative values for clinical, healthy, and optimal performance populations. They stress the importance of measurement context, including recording period length, subject age, and sex, on baseline HRV values. They caution that 24 h, short-term, and ultra-short-term normative values are not interchangeable. They encourage professionals to supplement published norms with findings from their own specialized populations. Finally, the authors provide an overview of HRV assessment strategies for clinical and optimal performance interventions.&quot;,&quot;author&quot;:[{&quot;dropping-particle&quot;:&quot;&quot;,&quot;family&quot;:&quot;Shaffer&quot;,&quot;given&quot;:&quot;Fred&quot;,&quot;non-dropping-particle&quot;:&quot;&quot;,&quot;parse-names&quot;:false,&quot;suffix&quot;:&quot;&quot;},{&quot;dropping-particle&quot;:&quot;&quot;,&quot;family&quot;:&quot;Ginsberg&quot;,&quot;given&quot;:&quot;J. P.&quot;,&quot;non-dropping-particle&quot;:&quot;&quot;,&quot;parse-names&quot;:false,&quot;suffix&quot;:&quot;&quot;}],&quot;container-title&quot;:&quot;Frontiers in Public Health&quot;,&quot;id&quot;:&quot;6ae78ccc-e272-5df2-b8cc-e424e07bc17d&quot;,&quot;issue&quot;:&quot;September&quot;,&quot;issued&quot;:{&quot;date-parts&quot;:[[&quot;2017&quot;,&quot;9&quot;,&quot;28&quot;]]},&quot;page&quot;:&quot;1-17&quot;,&quot;title&quot;:&quot;An Overview of Heart Rate Variability Metrics and Norms&quot;,&quot;type&quot;:&quot;article-journal&quot;,&quot;volume&quot;:&quot;5&quot;,&quot;container-title-short&quot;:&quot;Front. Public Health&quot;},&quot;uris&quot;:[&quot;http://www.mendeley.com/documents/?uuid=c454926e-8de2-4dc1-ac44-b06b16f9b782&quot;],&quot;isTemporary&quot;:false,&quot;legacyDesktopId&quot;:&quot;c454926e-8de2-4dc1-ac44-b06b16f9b782&quot;}]},{&quot;citationID&quot;:&quot;MENDELEY_CITATION_aea15a8a-327c-4e5b-9e56-93ffff3a9157&quot;,&quot;properties&quot;:{&quot;noteIndex&quot;:0},&quot;isEdited&quot;:false,&quot;manualOverride&quot;:{&quot;citeprocText&quot;:&quot;[310,392]&quot;,&quot;isManuallyOverridden&quot;:false,&quot;manualOverrideText&quot;:&quot;&quot;},&quot;citationTag&quot;:&quot;MENDELEY_CITATION_v3_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&quot;,&quot;citationItems&quot;:[{&quot;id&quot;:&quot;6fe1413d-0240-5707-8968-a874f9a88eb4&quot;,&quot;itemData&quot;:{&quot;DOI&quot;:&quot;10.5960/dzsm.2024.595&quot;,&quot;ISSN&quot;:&quot;25105264&quot;,&quot;abstract&quot;:&quot;› Heart rate variability (HRV) operationalizes the successive beat-to-beat fluctuations over a defined period of time, is derived from the time series of successive R-R intervals using various context-dependent metrics, and reflects the complex dynamic modulation of the heart’s chronotropic response to physiological and/or pathological perturbations. › HRV metrics are used as markers of human cardiovascular health and risk stratification, or as measures of load quantification, exercise response and performance, respectively. › However, a valid use of HRV in the fields of sports medicine and exercise science requires careful consideration of the specific measurement principle of the recording device, standardized assessment, preprocessing, analysis, and context-sensitive interpretation.&quot;,&quot;author&quot;:[{&quot;dropping-particle&quot;:&quot;&quot;,&quot;family&quot;:&quot;Gronwald&quot;,&quot;given&quot;:&quot;Thomas&quot;,&quot;non-dropping-particle&quot;:&quot;&quot;,&quot;parse-names&quot;:false,&quot;suffix&quot;:&quot;&quot;},{&quot;dropping-particle&quot;:&quot;&quot;,&quot;family&quot;:&quot;Schaffarczyk&quot;,&quot;given&quot;:&quot;M.&quot;,&quot;non-dropping-particle&quot;:&quot;&quot;,&quot;parse-names&quot;:false,&quot;suffix&quot;:&quot;&quot;},{&quot;dropping-particle&quot;:&quot;&quot;,&quot;family&quot;:&quot;Reinsberger&quot;,&quot;given&quot;:&quot;C.&quot;,&quot;non-dropping-particle&quot;:&quot;&quot;,&quot;parse-names&quot;:false,&quot;suffix&quot;:&quot;&quot;},{&quot;dropping-particle&quot;:&quot;&quot;,&quot;family&quot;:&quot;Hoos&quot;,&quot;given&quot;:&quot;O.&quot;,&quot;non-dropping-particle&quot;:&quot;&quot;,&quot;parse-names&quot;:false,&quot;suffix&quot;:&quot;&quot;}],&quot;container-title&quot;:&quot;Deutsche Zeitschrift fur Sportmedizin&quot;,&quot;id&quot;:&quot;6fe1413d-0240-5707-8968-a874f9a88eb4&quot;,&quot;issue&quot;:&quot;3&quot;,&quot;issued&quot;:{&quot;date-parts&quot;:[[&quot;2024&quot;]]},&quot;page&quot;:&quot;113-118&quot;,&quot;title&quot;:&quot;Heart Rate Variability – Methods and Analysis in Sports Medicine and Exercise Science&quot;,&quot;type&quot;:&quot;article-journal&quot;,&quot;volume&quot;:&quot;75&quot;,&quot;container-title-short&quot;:&quot;Dtsch. Z. Sportmed.&quot;},&quot;uris&quot;:[&quot;http://www.mendeley.com/documents/?uuid=d68caf93-5439-4ce0-9974-22e7743b1d9a&quot;],&quot;isTemporary&quot;:false,&quot;legacyDesktopId&quot;:&quot;d68caf93-5439-4ce0-9974-22e7743b1d9a&quot;},{&quot;id&quot;:&quot;65245e98-5b39-53e7-8327-017bc553569a&quot;,&quot;itemData&quot;:{&quot;DOI&quot;:&quot;10.3109/03091900903150998&quot;,&quot;ISSN&quot;:&quot;03091902&quot;,&quot;PMID&quot;:&quot;19848857&quot;,&quot;abstract&quot;:&quot;Measures of heart rate variability (HRV) are widely used to assess autonomic nervous system (ANS) function. The signal from which they are derived requires accurate determination of the interval between successive heartbeats; it can be recorded via electrocardiography (ECG), which is both non-invasive and widely available. However, methodological problems inherent in the recording and analysis of ECG traces have motivated a search for alternatives. Photoplethysmography (PPG) constitutes another means of determining the timing of cardiac cycles via continuous monitoring of changes in blood volume in a portion of the peripheral microvasculature. This technique measures pulse waveforms, which in some instances may prove a practical basis for HRV analysis. We investigated the feasibility of using earlobe PPG to analyse HRV by applying the same analytic process to PPG and ECG recordings made simultaneously. Comparison of 5-minute recordings demonstrated a very high degree of correlation in the temporal and frequency domains and in nonlinear dynamic analyses between HRV measures derived from PPG and ECG. Our results confirm that PPG provides accurate interpulse intervals from which HRV measures can be accurately derived in healthy subjects under ideal conditions, suggesting this technique may prove a practical alternative to ECG for HRV analysis. This finding is of particular relevance to the care of patients suffering from peripheral hyperkinesia or tremor, which make fingertip PPG recording impractical, and following clinical interventions known to introduce electrical artefacts into the electrocardiogram.&quot;,&quot;author&quot;:[{&quot;dropping-particle&quot;:&quot;&quot;,&quot;family&quot;:&quot;Lu&quot;,&quot;given&quot;:&quot;G.&quot;,&quot;non-dropping-particle&quot;:&quot;&quot;,&quot;parse-names&quot;:false,&quot;suffix&quot;:&quot;&quot;},{&quot;dropping-particle&quot;:&quot;&quot;,&quot;family&quot;:&quot;Yang&quot;,&quot;given&quot;:&quot;F.&quot;,&quot;non-dropping-particle&quot;:&quot;&quot;,&quot;parse-names&quot;:false,&quot;suffix&quot;:&quot;&quot;},{&quot;dropping-particle&quot;:&quot;&quot;,&quot;family&quot;:&quot;Taylor&quot;,&quot;given&quot;:&quot;J. A.&quot;,&quot;non-dropping-particle&quot;:&quot;&quot;,&quot;parse-names&quot;:false,&quot;suffix&quot;:&quot;&quot;},{&quot;dropping-particle&quot;:&quot;&quot;,&quot;family&quot;:&quot;Stein&quot;,&quot;given&quot;:&quot;J. F.&quot;,&quot;non-dropping-particle&quot;:&quot;&quot;,&quot;parse-names&quot;:false,&quot;suffix&quot;:&quot;&quot;}],&quot;container-title&quot;:&quot;Journal of Medical Engineering and Technology&quot;,&quot;id&quot;:&quot;65245e98-5b39-53e7-8327-017bc553569a&quot;,&quot;issue&quot;:&quot;8&quot;,&quot;issued&quot;:{&quot;date-parts&quot;:[[&quot;2009&quot;]]},&quot;page&quot;:&quot;634-641&quot;,&quot;title&quot;:&quot;A comparison of photoplethysmography and ECG recording to analyse heart rate variability in healthy subjects&quot;,&quot;type&quot;:&quot;article-journal&quot;,&quot;volume&quot;:&quot;33&quot;,&quot;container-title-short&quot;:&quot;J. Med. Eng. Technol.&quot;},&quot;uris&quot;:[&quot;http://www.mendeley.com/documents/?uuid=eca3913e-86e5-4e43-a6a5-8fad5eda2ef9&quot;],&quot;isTemporary&quot;:false,&quot;legacyDesktopId&quot;:&quot;eca3913e-86e5-4e43-a6a5-8fad5eda2ef9&quot;}]},{&quot;citationID&quot;:&quot;MENDELEY_CITATION_10eb1702-f6d5-4f61-8878-6ac14d768967&quot;,&quot;properties&quot;:{&quot;noteIndex&quot;:0},&quot;isEdited&quot;:false,&quot;manualOverride&quot;:{&quot;citeprocText&quot;:&quot;[273,274,301,302,393]&quot;,&quot;isManuallyOverridden&quot;:false,&quot;manualOverrideText&quot;:&quot;&quot;},&quot;citationTag&quot;:&quot;MENDELEY_CITATION_v3_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&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id&quot;:&quot;d0b2fb72-206e-5f71-8899-ab08932ebdd6&quot;,&quot;itemData&quot;:{&quot;DOI&quot;:&quot;10.3389/fpsyg.2017.00213&quot;,&quot;ISSN&quot;:&quot;1664-1078&quot;,&quot;PMID&quot;:&quot;28265249&quot;,&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author&quot;:[{&quot;dropping-particle&quot;:&quot;&quot;,&quot;family&quot;:&quot;Laborde&quot;,&quot;given&quot;:&quot;Sylvain&quot;,&quot;non-dropping-particle&quot;:&quot;&quot;,&quot;parse-names&quot;:false,&quot;suffix&quot;:&quot;&quot;},{&quot;dropping-particle&quot;:&quot;&quot;,&quot;family&quot;:&quot;Mosley&quot;,&quot;given&quot;:&quot;Emma&quot;,&quot;non-dropping-particle&quot;:&quot;&quot;,&quot;parse-names&quot;:false,&quot;suffix&quot;:&quot;&quot;},{&quot;dropping-particle&quot;:&quot;&quot;,&quot;family&quot;:&quot;Thayer&quot;,&quot;given&quot;:&quot;Julian F.&quot;,&quot;non-dropping-particle&quot;:&quot;&quot;,&quot;parse-names&quot;:false,&quot;suffix&quot;:&quot;&quot;}],&quot;container-title&quot;:&quot;Frontiers in Psychology&quot;,&quot;id&quot;:&quot;d0b2fb72-206e-5f71-8899-ab08932ebdd6&quot;,&quot;issue&quot;:&quot;FEB&quot;,&quot;issued&quot;:{&quot;date-parts&quot;:[[&quot;2017&quot;,&quot;2&quot;,&quot;20&quot;]]},&quot;page&quot;:&quot;1-18&quot;,&quot;title&quot;:&quot;Heart Rate Variability and Cardiac Vagal Tone in Psychophysiological Research – Recommendations for Experiment Planning, Data Analysis, and Data Reporting&quot;,&quot;type&quot;:&quot;article-journal&quot;,&quot;volume&quot;:&quot;08&quot;,&quot;container-title-short&quot;:&quot;Front. Psychol.&quot;},&quot;uris&quot;:[&quot;http://www.mendeley.com/documents/?uuid=2c476423-3400-4ce4-8d01-eca8651ec472&quot;],&quot;isTemporary&quot;:false,&quot;legacyDesktopId&quot;:&quot;2c476423-3400-4ce4-8d01-eca8651ec472&quot;},{&quot;id&quot;:&quot;d5b5b395-64af-5410-8d7b-eadce39cf26f&quot;,&quot;itemData&quot;:{&quot;DOI&quot;:&quot;10.1017/S0048577298001541&quot;,&quot;ISSN&quot;:&quot;00485772&quot;,&quot;PMID&quot;:&quot;9499713&quot;,&quot;abstract&quot;:&quot;The impact of artifacts on estimates of heart period variability were evaluated by modeling the effects of missed R-waves and spurious R-wave detections in actual and simulated heart period series. Results revealed that even a single artifact, occurring within a 128-s interbeat interval series, can impart substantial spurious variance into all commonly analyzed frequency bands, including that associated with respiratory sinus arrhythmia. In fact, the spurious variance introduced by a single artifact may be greater than that associated with true basal heart period variability and can far exceed typical effect sizes in psychophysiological studies. The effects of artifacts are not related to a specific analytical method and are apparent in both frequency and time domain analyses. Results emphasize the importance of artifact detection and resolution for studies of heart period variability.&quot;,&quot;author&quot;:[{&quot;dropping-particle&quot;:&quot;&quot;,&quot;family&quot;:&quot;Berntson&quot;,&quot;given&quot;:&quot;Gary G.&quot;,&quot;non-dropping-particle&quot;:&quot;&quot;,&quot;parse-names&quot;:false,&quot;suffix&quot;:&quot;&quot;},{&quot;dropping-particle&quot;:&quot;&quot;,&quot;family&quot;:&quot;Stowell&quot;,&quot;given&quot;:&quot;Jeffrey R.&quot;,&quot;non-dropping-particle&quot;:&quot;&quot;,&quot;parse-names&quot;:false,&quot;suffix&quot;:&quot;&quot;}],&quot;container-title&quot;:&quot;Psychophysiology&quot;,&quot;id&quot;:&quot;d5b5b395-64af-5410-8d7b-eadce39cf26f&quot;,&quot;issue&quot;:&quot;1&quot;,&quot;issued&quot;:{&quot;date-parts&quot;:[[&quot;1998&quot;]]},&quot;page&quot;:&quot;127-132&quot;,&quot;title&quot;:&quot;ECG artifacts and heart period variability: Don't miss a beat!&quot;,&quot;type&quot;:&quot;article-journal&quot;,&quot;volume&quot;:&quot;35&quot;,&quot;container-title-short&quot;:&quot;Psychophysiology&quot;},&quot;uris&quot;:[&quot;http://www.mendeley.com/documents/?uuid=fa60db0e-b6c9-4d53-a3a9-2304cb1f9757&quot;],&quot;isTemporary&quot;:false,&quot;legacyDesktopId&quot;:&quot;fa60db0e-b6c9-4d53-a3a9-2304cb1f9757&quot;},{&quot;id&quot;:&quot;7cc06b0c-520a-5d01-8020-167a7f7b55d2&quot;,&quot;itemData&quot;:{&quot;DOI&quot;:&quot;10.3389/fphys.2012.00148&quot;,&quot;ISSN&quot;:&quot;1664042X&quot;,&quot;abstract&quot;:&quot;This paper reviews the methods used for editing of the R-R interval time series and how this editing can influence the results of heart rate (HR) variability analyses. Measurement of HR variability from short and long-term electrocardiographic (ECG) recordings is a non-invasive method for evaluating cardiac autonomic regulation. HR variability provides information about the sympathetic-parasympathetic autonomic balance. One important clinical application is the measurement of HR variability in patients suffering from acute myocardial infarction. However, HR variability signals extracted from R-R interval time series from ambulatory ECG recordings often contain different amounts of artifact. These false beats can be either of physiological or technical origin. For instance, technical artifact may result from poorly fastened electrodes or be due to motion of the subject. Ectopic beats and atrial fibrillation are examples of physiological artifact. Since ectopic and other false beats are common in the R-R interval time series, they complicate the reliable analysis of HR variability sometimes making it impossible. In conjunction with the increased usage of HR variability analyses, several studies have confirmed the need for different approaches for handling false beats present in the R-R interval time series. The editing process for the R-R interval time series has become an integral part of these analyses. However, the published literature does not contain detailed reviews of editing methods and their impact on HR variability analyses. Several different editing and HR variability signal pre-processing methods have been introduced and tested for the artifact correction. There are several approaches available, i.e., use of methods involving deletion, interpolation or filtering systems. However, these editing methods can have different effects on HR variability measures. The effects of editing are dependent on the study setting, editing method, parameters used to assess HR variability, type of study population, and the length of R-R interval time series. The purpose of this paper is to summarize these pre-processing methods for HR variability signal, focusing especially on the editing of the R-R interval time series. © 2012 Peltola.&quot;,&quot;author&quot;:[{&quot;dropping-particle&quot;:&quot;&quot;,&quot;family&quot;:&quot;Peltola&quot;,&quot;given&quot;:&quot;Mirja A.&quot;,&quot;non-dropping-particle&quot;:&quot;&quot;,&quot;parse-names&quot;:false,&quot;suffix&quot;:&quot;&quot;}],&quot;container-title&quot;:&quot;Frontiers in Physiology&quot;,&quot;id&quot;:&quot;7cc06b0c-520a-5d01-8020-167a7f7b55d2&quot;,&quot;issue&quot;:&quot;May&quot;,&quot;issued&quot;:{&quot;date-parts&quot;:[[&quot;2012&quot;]]},&quot;page&quot;:&quot;1-10&quot;,&quot;title&quot;:&quot;Role of editing of R-R intervals in the analysis of heart rate variability&quot;,&quot;type&quot;:&quot;article-journal&quot;,&quot;volume&quot;:&quot;3 MAY&quot;,&quot;container-title-short&quot;:&quot;Front. Physiol.&quot;},&quot;uris&quot;:[&quot;http://www.mendeley.com/documents/?uuid=6abfb38b-9205-4101-a9ef-5cbb781935ff&quot;],&quot;isTemporary&quot;:false,&quot;legacyDesktopId&quot;:&quot;6abfb38b-9205-4101-a9ef-5cbb781935ff&quot;}]},{&quot;citationID&quot;:&quot;MENDELEY_CITATION_da35eb10-2852-4cfe-8ee5-e044ea6aafc7&quot;,&quot;properties&quot;:{&quot;noteIndex&quot;:0},&quot;isEdited&quot;:false,&quot;manualOverride&quot;:{&quot;citeprocText&quot;:&quot;[391]&quot;,&quot;isManuallyOverridden&quot;:false,&quot;manualOverrideText&quot;:&quot;&quot;},&quot;citationTag&quot;:&quot;MENDELEY_CITATION_v3_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&quot;,&quot;citationItems&quot;:[{&quot;id&quot;:&quot;b677480d-393f-5df9-81a2-b2f4fc817718&quot;,&quot;itemData&quot;:{&quot;DOI&quot;:&quot;10.1038/TP.2016.73&quot;,&quot;ISSN&quot;:&quot;21583188&quot;,&quot;PMID&quot;:&quot;27163204&quot;,&quot;abstract&quot;:&quot;The number of publications investigating heart rate variability (HRV) in psychiatry and the behavioral sciences has increased markedly in the last decade. In addition to the significant debates surrounding ideal methods to collect and interpret measures of HRV, standardized reporting of methodology in this field is lacking. Commonly cited recommendations were designed well before recent calls to improve research communication and reproducibility across disciplines. In an effort to standardize reporting, we propose the Guidelines for Reporting Articles on Psychiatry and Heart rate variability (GRAPH), a checklist with four domains: participant selection, interbeat interval collection, data preparation and HRV calculation. This paper provides an overview of these four domains and why their standardized reporting is necessary to suitably evaluate HRV research in psychiatry and related disciplines. Adherence to these communication guidelines will help expedite the translation of HRV research into a potential psychiatric biomarker by improving interpretation, reproducibility and future meta-analyses.&quot;,&quot;author&quot;:[{&quot;dropping-particle&quot;:&quot;&quot;,&quot;family&quot;:&quot;Quintana&quot;,&quot;given&quot;:&quot;D. S.&quot;,&quot;non-dropping-particle&quot;:&quot;&quot;,&quot;parse-names&quot;:false,&quot;suffix&quot;:&quot;&quot;},{&quot;dropping-particle&quot;:&quot;&quot;,&quot;family&quot;:&quot;Alvares&quot;,&quot;given&quot;:&quot;G. A.&quot;,&quot;non-dropping-particle&quot;:&quot;&quot;,&quot;parse-names&quot;:false,&quot;suffix&quot;:&quot;&quot;},{&quot;dropping-particle&quot;:&quot;&quot;,&quot;family&quot;:&quot;Heathers&quot;,&quot;given&quot;:&quot;J. A.J.&quot;,&quot;non-dropping-particle&quot;:&quot;&quot;,&quot;parse-names&quot;:false,&quot;suffix&quot;:&quot;&quot;}],&quot;container-title&quot;:&quot;Translational Psychiatry&quot;,&quot;id&quot;:&quot;b677480d-393f-5df9-81a2-b2f4fc817718&quot;,&quot;issue&quot;:&quot;5&quot;,&quot;issued&quot;:{&quot;date-parts&quot;:[[&quot;2016&quot;]]},&quot;publisher&quot;:&quot;Nature Publishing Group&quot;,&quot;title&quot;:&quot;Guidelines for Reporting Articles on Psychiatry and Heart rate variability (GRAPH): recommendations to advance research communication&quot;,&quot;type&quot;:&quot;article-journal&quot;,&quot;volume&quot;:&quot;6&quot;,&quot;container-title-short&quot;:&quot;Transl. Psychiatry&quot;},&quot;uris&quot;:[&quot;http://www.mendeley.com/documents/?uuid=467c6cb4-ba94-43b4-baf6-91df07718d5f&quot;],&quot;isTemporary&quot;:false,&quot;legacyDesktopId&quot;:&quot;467c6cb4-ba94-43b4-baf6-91df07718d5f&quot;}]},{&quot;citationID&quot;:&quot;MENDELEY_CITATION_445aa7c7-8232-478a-95ff-edd5be53c2af&quot;,&quot;properties&quot;:{&quot;noteIndex&quot;:0},&quot;isEdited&quot;:false,&quot;manualOverride&quot;:{&quot;citeprocText&quot;:&quot;[394]&quot;,&quot;isManuallyOverridden&quot;:false,&quot;manualOverrideText&quot;:&quot;&quot;},&quot;citationTag&quot;:&quot;MENDELEY_CITATION_v3_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&quot;,&quot;citationItems&quot;:[{&quot;id&quot;:&quot;be4d91a5-78cf-585a-8ace-ec851cf72b7d&quot;,&quot;itemData&quot;:{&quot;DOI&quot;:&quot;10.1080/03091902.2019.1640306&quot;,&quot;ISSN&quot;:&quot;1464522X&quot;,&quot;PMID&quot;:&quot;31314618&quot;,&quot;abstract&quot;:&quot;Purpose: Heart rate variability is a commonly used measurement to evaluate functioning of autonomic nervous system, psychophysiological stress, and exercise intensity and recovery. HRV measurements contain artefacts such as extra, missed or misaligned beat detections, which can produce significant distortion on HRV parameters. In this paper, a robust automatic method for artefact detection from HRV time series is proposed. Methods: The proposed detection method is based on time-varying thresholds estimated from distribution of successive RR-interval differences combined with a novel beat classification scheme. The method is validated using simulated extra, missed and misaligned beat detections as well as real artefacts such as atrial and ventricular ectopic beats. Results: The sensitivity of the algorithm to detect simulated missed/extra beats was 100%. The sensitivity to detect real atrial and ventricular ectopic beats was 96.96%, the corresponding specificity being 99.94%. The mean error in HRV parameters after correction was &lt;2% for missed and extra beats as well as for misaligned beats generated with large displacement factors. Misaligned beats with smallest displacement factor were the most difficult to detect and resulted in largest HRV parameter errors after correction, largest errors being &lt;8%. Conclusions: The HRV artefact correction algorithm presented in this study provided comparable specificity and better sensitivity to detect ectopic beats as compared to state-of-the-art algorithms. The proposed algorithm detects abnormal beats with high accuracy, is relatively easy to implement, and secures reliable HRV analysis by reducing the effect of possible artefacts to tolerable level.&quot;,&quot;author&quot;:[{&quot;dropping-particle&quot;:&quot;&quot;,&quot;family&quot;:&quot;Lipponen&quot;,&quot;given&quot;:&quot;Jukka A.&quot;,&quot;non-dropping-particle&quot;:&quot;&quot;,&quot;parse-names&quot;:false,&quot;suffix&quot;:&quot;&quot;},{&quot;dropping-particle&quot;:&quot;&quot;,&quot;family&quot;:&quot;Tarvainen&quot;,&quot;given&quot;:&quot;Mika P.&quot;,&quot;non-dropping-particle&quot;:&quot;&quot;,&quot;parse-names&quot;:false,&quot;suffix&quot;:&quot;&quot;}],&quot;container-title&quot;:&quot;Journal of Medical Engineering and Technology&quot;,&quot;id&quot;:&quot;be4d91a5-78cf-585a-8ace-ec851cf72b7d&quot;,&quot;issue&quot;:&quot;3&quot;,&quot;issued&quot;:{&quot;date-parts&quot;:[[&quot;2019&quot;]]},&quot;page&quot;:&quot;173-181&quot;,&quot;publisher&quot;:&quot;Taylor &amp; Francis&quot;,&quot;title&quot;:&quot;A robust algorithm for heart rate variability time series artefact correction using novel beat classification&quot;,&quot;type&quot;:&quot;article-journal&quot;,&quot;volume&quot;:&quot;43&quot;,&quot;container-title-short&quot;:&quot;J. Med. Eng. Technol.&quot;},&quot;uris&quot;:[&quot;http://www.mendeley.com/documents/?uuid=2ac6d73b-f31e-45f1-a92c-bd4236d008a5&quot;],&quot;isTemporary&quot;:false,&quot;legacyDesktopId&quot;:&quot;2ac6d73b-f31e-45f1-a92c-bd4236d008a5&quot;}]},{&quot;citationID&quot;:&quot;MENDELEY_CITATION_04f83fc1-3b4a-4361-b7e1-a63375a9fa12&quot;,&quot;properties&quot;:{&quot;noteIndex&quot;:0},&quot;isEdited&quot;:false,&quot;manualOverride&quot;:{&quot;citeprocText&quot;:&quot;[273,302,393]&quot;,&quot;isManuallyOverridden&quot;:false,&quot;manualOverrideText&quot;:&quot;&quot;},&quot;citationTag&quot;:&quot;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&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id&quot;:&quot;19936f73-2701-5603-b270-353d8504c8f7&quot;,&quot;itemData&quot;:{&quot;DOI&quot;:&quot;10.1016/j.bjpt.2019.02.006&quot;,&quot;ISSN&quot;:&quot;18099246&quot;,&quot;PMID&quot;:&quot;30852243&quot;,&quot;abstract&quot;:&quot;Background: Heart rate variability is used as an assessment method for cardiac autonomic modulation. Since the Task Force's publication on heart rate variability in 1996, the European Heart Rhythm Association Position Paper in 2015 and a recent publication in 2017, attention has been paid to recommendations on using heart rate variability analysis methods, as well as their applications in different physiological conditions and clinical studies. This analysis has proved to be useful as a complementary tool for clinical evaluation and to assess the effect of non-pharmacological therapeutic interventions, such as physical exercise programmes, on cardiac autonomic modulation. Objective: The aim of this article is to make recommendations and to develop a checklist of normalisation procedures regarding the use of heart rate variability data collection and analysis methodology, focusing on the cardiology area and cardiac rehabilitation. Methods: Based on previous heart rate variability publications, this paper provides a description of the most common shortcomings of using the analysis methods and considers recommendations and suggestions on how to minimise these occurrences by using a specific checklist. Conclusions: This article includes recommendations and a checklist regarding the use of heart rate variability collection and analysis methods. This work could help improve reporting on clinical evaluation and therapeutic intervention results and consequently, disseminate heart rate variability knowledge.&quot;,&quot;author&quot;:[{&quot;dropping-particle&quot;:&quot;&quot;,&quot;family&quot;:&quot;Catai&quot;,&quot;given&quot;:&quot;Aparecida Maria&quot;,&quot;non-dropping-particle&quot;:&quot;&quot;,&quot;parse-names&quot;:false,&quot;suffix&quot;:&quot;&quot;},{&quot;dropping-particle&quot;:&quot;&quot;,&quot;family&quot;:&quot;Pastre&quot;,&quot;given&quot;:&quot;Carlos Marcelo&quot;,&quot;non-dropping-particle&quot;:&quot;&quot;,&quot;parse-names&quot;:false,&quot;suffix&quot;:&quot;&quot;},{&quot;dropping-particle&quot;:&quot;de&quot;,&quot;family&quot;:&quot;Godoy&quot;,&quot;given&quot;:&quot;Moacir Fernades&quot;,&quot;non-dropping-particle&quot;:&quot;&quot;,&quot;parse-names&quot;:false,&quot;suffix&quot;:&quot;&quot;},{&quot;dropping-particle&quot;:&quot;da&quot;,&quot;family&quot;:&quot;Silva&quot;,&quot;given&quot;:&quot;Ester&quot;,&quot;non-dropping-particle&quot;:&quot;&quot;,&quot;parse-names&quot;:false,&quot;suffix&quot;:&quot;&quot;},{&quot;dropping-particle&quot;:&quot;&quot;,&quot;family&quot;:&quot;Takahashi&quot;,&quot;given&quot;:&quot;Anielle Christine de Medeiros&quot;,&quot;non-dropping-particle&quot;:&quot;&quot;,&quot;parse-names&quot;:false,&quot;suffix&quot;:&quot;&quot;},{&quot;dropping-particle&quot;:&quot;&quot;,&quot;family&quot;:&quot;Vanderlei&quot;,&quot;given&quot;:&quot;Luiz Carlos Marques&quot;,&quot;non-dropping-particle&quot;:&quot;&quot;,&quot;parse-names&quot;:false,&quot;suffix&quot;:&quot;&quot;}],&quot;container-title&quot;:&quot;Brazilian Journal of Physical Therapy&quot;,&quot;id&quot;:&quot;19936f73-2701-5603-b270-353d8504c8f7&quot;,&quot;issue&quot;:&quot;2&quot;,&quot;issued&quot;:{&quot;date-parts&quot;:[[&quot;2020&quot;]]},&quot;page&quot;:&quot;91-102&quot;,&quot;publisher&quot;:&quot;Associa&amp;ccedil;&amp;atilde;o Brasileira de Pesquisa e P&amp;oacute;s-Gradua&amp;ccedil;&amp;atilde;o em Fisioterapia&quot;,&quot;title&quot;:&quot;Heart rate variability: are you using it properly? Standardisation checklist of procedures&quot;,&quot;type&quot;:&quot;article-journal&quot;,&quot;volume&quot;:&quot;24&quot;,&quot;container-title-short&quot;:&quot;Braz. J. Phys. Ther.&quot;},&quot;uris&quot;:[&quot;http://www.mendeley.com/documents/?uuid=90104263-b764-47cf-9687-85585bac5c06&quot;],&quot;isTemporary&quot;:false,&quot;legacyDesktopId&quot;:&quot;90104263-b764-47cf-9687-85585bac5c06&quot;},{&quot;id&quot;:&quot;7cc06b0c-520a-5d01-8020-167a7f7b55d2&quot;,&quot;itemData&quot;:{&quot;DOI&quot;:&quot;10.3389/fphys.2012.00148&quot;,&quot;ISSN&quot;:&quot;1664042X&quot;,&quot;abstract&quot;:&quot;This paper reviews the methods used for editing of the R-R interval time series and how this editing can influence the results of heart rate (HR) variability analyses. Measurement of HR variability from short and long-term electrocardiographic (ECG) recordings is a non-invasive method for evaluating cardiac autonomic regulation. HR variability provides information about the sympathetic-parasympathetic autonomic balance. One important clinical application is the measurement of HR variability in patients suffering from acute myocardial infarction. However, HR variability signals extracted from R-R interval time series from ambulatory ECG recordings often contain different amounts of artifact. These false beats can be either of physiological or technical origin. For instance, technical artifact may result from poorly fastened electrodes or be due to motion of the subject. Ectopic beats and atrial fibrillation are examples of physiological artifact. Since ectopic and other false beats are common in the R-R interval time series, they complicate the reliable analysis of HR variability sometimes making it impossible. In conjunction with the increased usage of HR variability analyses, several studies have confirmed the need for different approaches for handling false beats present in the R-R interval time series. The editing process for the R-R interval time series has become an integral part of these analyses. However, the published literature does not contain detailed reviews of editing methods and their impact on HR variability analyses. Several different editing and HR variability signal pre-processing methods have been introduced and tested for the artifact correction. There are several approaches available, i.e., use of methods involving deletion, interpolation or filtering systems. However, these editing methods can have different effects on HR variability measures. The effects of editing are dependent on the study setting, editing method, parameters used to assess HR variability, type of study population, and the length of R-R interval time series. The purpose of this paper is to summarize these pre-processing methods for HR variability signal, focusing especially on the editing of the R-R interval time series. © 2012 Peltola.&quot;,&quot;author&quot;:[{&quot;dropping-particle&quot;:&quot;&quot;,&quot;family&quot;:&quot;Peltola&quot;,&quot;given&quot;:&quot;Mirja A.&quot;,&quot;non-dropping-particle&quot;:&quot;&quot;,&quot;parse-names&quot;:false,&quot;suffix&quot;:&quot;&quot;}],&quot;container-title&quot;:&quot;Frontiers in Physiology&quot;,&quot;id&quot;:&quot;7cc06b0c-520a-5d01-8020-167a7f7b55d2&quot;,&quot;issue&quot;:&quot;May&quot;,&quot;issued&quot;:{&quot;date-parts&quot;:[[&quot;2012&quot;]]},&quot;page&quot;:&quot;1-10&quot;,&quot;title&quot;:&quot;Role of editing of R-R intervals in the analysis of heart rate variability&quot;,&quot;type&quot;:&quot;article-journal&quot;,&quot;volume&quot;:&quot;3 MAY&quot;,&quot;container-title-short&quot;:&quot;Front. Physiol.&quot;},&quot;uris&quot;:[&quot;http://www.mendeley.com/documents/?uuid=6abfb38b-9205-4101-a9ef-5cbb781935ff&quot;],&quot;isTemporary&quot;:false,&quot;legacyDesktopId&quot;:&quot;6abfb38b-9205-4101-a9ef-5cbb781935ff&quot;}]},{&quot;citationID&quot;:&quot;MENDELEY_CITATION_e3c4ae8f-2725-4375-8733-f5880e1a06e7&quot;,&quot;properties&quot;:{&quot;noteIndex&quot;:0},&quot;isEdited&quot;:false,&quot;manualOverride&quot;:{&quot;citeprocText&quot;:&quot;[393,395]&quot;,&quot;isManuallyOverridden&quot;:false,&quot;manualOverrideText&quot;:&quot;&quot;},&quot;citationTag&quot;:&quot;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&quot;,&quot;citationItems&quot;:[{&quot;id&quot;:&quot;7cc06b0c-520a-5d01-8020-167a7f7b55d2&quot;,&quot;itemData&quot;:{&quot;DOI&quot;:&quot;10.3389/fphys.2012.00148&quot;,&quot;ISSN&quot;:&quot;1664042X&quot;,&quot;abstract&quot;:&quot;This paper reviews the methods used for editing of the R-R interval time series and how this editing can influence the results of heart rate (HR) variability analyses. Measurement of HR variability from short and long-term electrocardiographic (ECG) recordings is a non-invasive method for evaluating cardiac autonomic regulation. HR variability provides information about the sympathetic-parasympathetic autonomic balance. One important clinical application is the measurement of HR variability in patients suffering from acute myocardial infarction. However, HR variability signals extracted from R-R interval time series from ambulatory ECG recordings often contain different amounts of artifact. These false beats can be either of physiological or technical origin. For instance, technical artifact may result from poorly fastened electrodes or be due to motion of the subject. Ectopic beats and atrial fibrillation are examples of physiological artifact. Since ectopic and other false beats are common in the R-R interval time series, they complicate the reliable analysis of HR variability sometimes making it impossible. In conjunction with the increased usage of HR variability analyses, several studies have confirmed the need for different approaches for handling false beats present in the R-R interval time series. The editing process for the R-R interval time series has become an integral part of these analyses. However, the published literature does not contain detailed reviews of editing methods and their impact on HR variability analyses. Several different editing and HR variability signal pre-processing methods have been introduced and tested for the artifact correction. There are several approaches available, i.e., use of methods involving deletion, interpolation or filtering systems. However, these editing methods can have different effects on HR variability measures. The effects of editing are dependent on the study setting, editing method, parameters used to assess HR variability, type of study population, and the length of R-R interval time series. The purpose of this paper is to summarize these pre-processing methods for HR variability signal, focusing especially on the editing of the R-R interval time series. © 2012 Peltola.&quot;,&quot;author&quot;:[{&quot;dropping-particle&quot;:&quot;&quot;,&quot;family&quot;:&quot;Peltola&quot;,&quot;given&quot;:&quot;Mirja A.&quot;,&quot;non-dropping-particle&quot;:&quot;&quot;,&quot;parse-names&quot;:false,&quot;suffix&quot;:&quot;&quot;}],&quot;container-title&quot;:&quot;Frontiers in Physiology&quot;,&quot;id&quot;:&quot;7cc06b0c-520a-5d01-8020-167a7f7b55d2&quot;,&quot;issue&quot;:&quot;May&quot;,&quot;issued&quot;:{&quot;date-parts&quot;:[[&quot;2012&quot;]]},&quot;page&quot;:&quot;1-10&quot;,&quot;title&quot;:&quot;Role of editing of R-R intervals in the analysis of heart rate variability&quot;,&quot;type&quot;:&quot;article-journal&quot;,&quot;volume&quot;:&quot;3 MAY&quot;,&quot;container-title-short&quot;:&quot;Front. Physiol.&quot;},&quot;uris&quot;:[&quot;http://www.mendeley.com/documents/?uuid=6abfb38b-9205-4101-a9ef-5cbb781935ff&quot;],&quot;isTemporary&quot;:false,&quot;legacyDesktopId&quot;:&quot;6abfb38b-9205-4101-a9ef-5cbb781935ff&quot;},{&quot;id&quot;:&quot;629617bd-ded2-5782-b2f6-9e125fdbd95b&quot;,&quot;itemData&quot;:{&quot;DOI&quot;:&quot;10.1111/j.1542-474X.2001.tb00080.x&quot;,&quot;ISSN&quot;:&quot;1082720X&quot;,&quot;PMID&quot;:&quot;11174857&quot;,&quot;abstract&quot;:&quot;Background: Various methods can be used to edit biological and technical artefacts in heart rate variability (HRV), but there is relatively little information on the effects of such editing methods on HRV. Methods: The effects of editing on HRV analysis were studied using R-R interval data of 10 healthy subjects and 10 patients with a previous myocardial infarction (MI). R-R interval tachograms of verified sinus beats were analyzed from short-term (∼ 5 min) and long-term (∼ 24 hours) recordings by eliminating different amounts of real R-R intervals. Three editing methods were applied to these segments: (1) interpolation of degree zero, (2) interpolation of degree one, and (3) deletion without replacement. Results: In time domain analysis of short-term data, the standard deviation of normal-to-normal intervals (SDANN) was least affected by editing, and 30%-50% of the data could be edited by all the three methods without a significant error (&lt; 5%). In the frequency domain analysis, the method of editing resulted in remarkably different changes and errors for both the high-frequency (HF) and the low-frequency (LF) spectral components. The editing methods also yielded in different results in healthy subjects and AMI patients. In 24-hour HRV analysis, up to 50% could be edited by all methods without an error larger than 5% in the analysis of the standard deviation of normal to normal intervals (SDNN). Both interpolation methods also performed well in the editing of the long-term power spectral components for 24-hour data, but with the deletion method, only 5% of the data could be edited without a significant error. Conclusions: The amount and type of editing R-R interval data have remarkably different effects on various HRV indices. There is no universal method for editing ectopic beats that could be used in both the time-domain and the frequency-domain analysis of HRV.&quot;,&quot;author&quot;:[{&quot;dropping-particle&quot;:&quot;&quot;,&quot;family&quot;:&quot;Salo&quot;,&quot;given&quot;:&quot;Mirja A.&quot;,&quot;non-dropping-particle&quot;:&quot;&quot;,&quot;parse-names&quot;:false,&quot;suffix&quot;:&quot;&quot;},{&quot;dropping-particle&quot;:&quot;V.&quot;,&quot;family&quot;:&quot;Huikuri&quot;,&quot;given&quot;:&quot;Heikki&quot;,&quot;non-dropping-particle&quot;:&quot;&quot;,&quot;parse-names&quot;:false,&quot;suffix&quot;:&quot;&quot;},{&quot;dropping-particle&quot;:&quot;&quot;,&quot;family&quot;:&quot;Seppanen&quot;,&quot;given&quot;:&quot;Tapio&quot;,&quot;non-dropping-particle&quot;:&quot;&quot;,&quot;parse-names&quot;:false,&quot;suffix&quot;:&quot;&quot;}],&quot;container-title&quot;:&quot;Annals of Noninvasive Electrocardiology&quot;,&quot;id&quot;:&quot;629617bd-ded2-5782-b2f6-9e125fdbd95b&quot;,&quot;issue&quot;:&quot;1&quot;,&quot;issued&quot;:{&quot;date-parts&quot;:[[&quot;2001&quot;]]},&quot;page&quot;:&quot;5-17&quot;,&quot;title&quot;:&quot;Ectopic beats in heart rate variability analysis: Effects of editing on time and frequency domain measures&quot;,&quot;type&quot;:&quot;article-journal&quot;,&quot;volume&quot;:&quot;6&quot;,&quot;container-title-short&quot;:&quot;&quot;},&quot;uris&quot;:[&quot;http://www.mendeley.com/documents/?uuid=86051518-5479-4942-85f5-ce9db376b0b0&quot;],&quot;isTemporary&quot;:false,&quot;legacyDesktopId&quot;:&quot;86051518-5479-4942-85f5-ce9db376b0b0&quot;}]},{&quot;citationID&quot;:&quot;MENDELEY_CITATION_5e4f3a0e-dd18-45c8-8af5-5044398c9ffe&quot;,&quot;properties&quot;:{&quot;noteIndex&quot;:0},&quot;isEdited&quot;:false,&quot;manualOverride&quot;:{&quot;citeprocText&quot;:&quot;[331,396–398]&quot;,&quot;isManuallyOverridden&quot;:false,&quot;manualOverrideText&quot;:&quot;&quot;},&quot;citationTag&quot;:&quot;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&quot;,&quot;citationItems&quot;:[{&quot;id&quot;:&quot;ebbc9073-e3ad-57d9-84ab-d6dec7613c85&quot;,&quot;itemData&quot;:{&quot;DOI&quot;:&quot;10.1111/j.1540-8159.2010.02841.x&quot;,&quot;ISBN&quot;:&quot;4418652892&quot;,&quot;ISSN&quot;:&quot;01478389&quot;,&quot;PMID&quot;:&quot;20663071&quot;,&quot;abstract&quot;:&quot;Heart rate variability (HRV) is a known risk factor for mortality in both healthy and patient populations. There are currently no normative data for short-term measures of HRV. A thorough review of short-term HRV data published since 1996 was therefore performed. Data from studies published after the 1996 Task Force report (i.e., between January 1997 and September 2008) and reporting short-term measures of HRV obtained in normally healthy individuals were collated and factors underlying discrepant values were identified. Forty-four studies met the pre-set inclusion criteria involving 21,438 participants. Values for short-term HRV measures from the literature were lower than Task Force norms. A degree of homogeneity for common measures of HRV in healthy adults was shown across studies. A number of studies demonstrate large interindividual variations (up to 260,000%), particularly for spectral measures. A number of methodological discrepancies underlined disparate values. These include a systematic failure within the literature (a) to recognize the importance of RR data recognition/editing procedures and (b) to question disparate HRV values observed in normally healthy individuals. A need for large-scale population studies and a review of the Task Force recommendations for short-term HRV that covers the full-age spectrum were identified. Data presented should be used to quantify reference ranges for short-term measures of HRV in healthy adult populations but should be undertaken with reference to methodological factors underlying disparate values. Recommendations for the measurement of HRV require updating to include current technologies. © 2010, The Authors. Journal compilation.&quot;,&quot;author&quot;:[{&quot;dropping-particle&quot;:&quot;&quot;,&quot;family&quot;:&quot;NUNAN&quot;,&quot;given&quot;:&quot;DAVID&quot;,&quot;non-dropping-particle&quot;:&quot;&quot;,&quot;parse-names&quot;:false,&quot;suffix&quot;:&quot;&quot;},{&quot;dropping-particle&quot;:&quot;&quot;,&quot;family&quot;:&quot;SANDERCOCK&quot;,&quot;given&quot;:&quot;GAVIN R. H.&quot;,&quot;non-dropping-particle&quot;:&quot;&quot;,&quot;parse-names&quot;:false,&quot;suffix&quot;:&quot;&quot;},{&quot;dropping-particle&quot;:&quot;&quot;,&quot;family&quot;:&quot;BRODIE&quot;,&quot;given&quot;:&quot;DAVID A.&quot;,&quot;non-dropping-particle&quot;:&quot;&quot;,&quot;parse-names&quot;:false,&quot;suffix&quot;:&quot;&quot;}],&quot;container-title&quot;:&quot;Pacing and Clinical Electrophysiology&quot;,&quot;id&quot;:&quot;ebbc9073-e3ad-57d9-84ab-d6dec7613c85&quot;,&quot;issue&quot;:&quot;11&quot;,&quot;issued&quot;:{&quot;date-parts&quot;:[[&quot;2010&quot;,&quot;11&quot;]]},&quot;page&quot;:&quot;1407-1417&quot;,&quot;title&quot;:&quot;A Quantitative Systematic Review of Normal Values for Short-Term Heart Rate Variability in Healthy Adults&quot;,&quot;type&quot;:&quot;article-journal&quot;,&quot;volume&quot;:&quot;33&quot;,&quot;container-title-short&quot;:&quot;&quot;},&quot;uris&quot;:[&quot;http://www.mendeley.com/documents/?uuid=e6098823-797e-4b72-943e-6b81c98ac777&quot;],&quot;isTemporary&quot;:false,&quot;legacyDesktopId&quot;:&quot;e6098823-797e-4b72-943e-6b81c98ac777&quot;},{&quot;id&quot;:&quot;289f380f-a23a-53a5-b851-2d890071d76b&quot;,&quot;itemData&quot;:{&quot;DOI&quot;:&quot;10.1007/s10286-003-0085-7&quot;,&quot;ISSN&quot;:&quot;09599851&quot;,&quot;PMID&quot;:&quot;12720094&quot;,&quot;abstract&quot;:&quot;Background: The widespread use of affordable devices with sufficient precision for measurement of heart rate variability (HRV) might lead to early detection of abnormalities in a large number of high-risk patients and athletes. The purpose of this study was to determine the limits of agreement of two devices for measuring HRV parameters differing in price and assumed precision. Subjects and methods: 36 healthy subjects (22 men and 14 women) with a mean age of 27.4 (SD 11.1) years were included. The two devices used for comparison were PowerLab® with Chart® software as the reference golden standard, and Polar® Transmitter®/Advantage® with Precision Performance® software, respectively. Measurements included the following heart rate variability parameters: heart rate, range of R-R-interval duration, SDNN, rMSSD, total Power, VLF power, LF power, and HF power. Measurements were taken during metronomic respiration over a total period of 3 minutes. Statistical analysis was performed according to Bland and Altman and by means of scatterplots and Spearman correlation coefficients. Results Good agreement was found for heart rate (95% CI of limits of agreement: -0.7-0.6 bpm; r = 0.999), range of duration of R-R-intervals (95% CI: -18.9-17.0 ms; r = 0.997), rMSSD (95% CI: -1.5-2.5 ms; r = 0.999), and SDNN (95% CI: -3.0-3.1 ms; r = 0.997). Correlation of measurements was high for the variables total Power, VLF power, LF power, and HF power. Analysis of method agreement for frequency domain variables was statistically not feasible. Conclusion: The level of agreement for the analyzed time domain variables between the reference golden standard and the inexpensive device is sufficient to permit initial screening by family doctors, and self-administration by high-risk patients and athletes.&quot;,&quot;author&quot;:[{&quot;dropping-particle&quot;:&quot;&quot;,&quot;family&quot;:&quot;Radespiel-Tröger&quot;,&quot;given&quot;:&quot;Martin&quot;,&quot;non-dropping-particle&quot;:&quot;&quot;,&quot;parse-names&quot;:false,&quot;suffix&quot;:&quot;&quot;},{&quot;dropping-particle&quot;:&quot;&quot;,&quot;family&quot;:&quot;Rauh&quot;,&quot;given&quot;:&quot;Robert&quot;,&quot;non-dropping-particle&quot;:&quot;&quot;,&quot;parse-names&quot;:false,&quot;suffix&quot;:&quot;&quot;},{&quot;dropping-particle&quot;:&quot;&quot;,&quot;family&quot;:&quot;Mahlke&quot;,&quot;given&quot;:&quot;Christine&quot;,&quot;non-dropping-particle&quot;:&quot;&quot;,&quot;parse-names&quot;:false,&quot;suffix&quot;:&quot;&quot;},{&quot;dropping-particle&quot;:&quot;&quot;,&quot;family&quot;:&quot;Gottschalk&quot;,&quot;given&quot;:&quot;Tim&quot;,&quot;non-dropping-particle&quot;:&quot;&quot;,&quot;parse-names&quot;:false,&quot;suffix&quot;:&quot;&quot;},{&quot;dropping-particle&quot;:&quot;&quot;,&quot;family&quot;:&quot;Mück-Weymann&quot;,&quot;given&quot;:&quot;Michael&quot;,&quot;non-dropping-particle&quot;:&quot;&quot;,&quot;parse-names&quot;:false,&quot;suffix&quot;:&quot;&quot;}],&quot;container-title&quot;:&quot;Clinical Autonomic Research&quot;,&quot;id&quot;:&quot;289f380f-a23a-53a5-b851-2d890071d76b&quot;,&quot;issue&quot;:&quot;2&quot;,&quot;issued&quot;:{&quot;date-parts&quot;:[[&quot;2003&quot;]]},&quot;page&quot;:&quot;99-102&quot;,&quot;title&quot;:&quot;Agreement of two different methods for measurement of heart rate variability&quot;,&quot;type&quot;:&quot;article-journal&quot;,&quot;volume&quot;:&quot;13&quot;,&quot;container-title-short&quot;:&quot;&quot;},&quot;uris&quot;:[&quot;http://www.mendeley.com/documents/?uuid=83606dc8-683a-4c5e-968c-8f6510fdebe1&quot;],&quot;isTemporary&quot;:false,&quot;legacyDesktopId&quot;:&quot;83606dc8-683a-4c5e-968c-8f6510fdebe1&quot;},{&quot;id&quot;:&quot;167ead60-246d-5173-83aa-d8deaa90e7a5&quot;,&quot;itemData&quot;:{&quot;DOI&quot;:&quot;10.1007/s00246-014-0962-y.Short-Term&quot;,&quot;author&quot;:[{&quot;dropping-particle&quot;:&quot;&quot;,&quot;family&quot;:&quot;Jarrin&quot;,&quot;given&quot;:&quot;Denise C&quot;,&quot;non-dropping-particle&quot;:&quot;&quot;,&quot;parse-names&quot;:false,&quot;suffix&quot;:&quot;&quot;},{&quot;dropping-particle&quot;:&quot;&quot;,&quot;family&quot;:&quot;Gv&quot;,&quot;given&quot;:&quot;Q C&quot;,&quot;non-dropping-particle&quot;:&quot;&quot;,&quot;parse-names&quot;:false,&quot;suffix&quot;:&quot;&quot;},{&quot;dropping-particle&quot;:&quot;&quot;,&quot;family&quot;:&quot;Mcgrath&quot;,&quot;given&quot;:&quot;Jennifer J&quot;,&quot;non-dropping-particle&quot;:&quot;&quot;,&quot;parse-names&quot;:false,&quot;suffix&quot;:&quot;&quot;},{&quot;dropping-particle&quot;:&quot;&quot;,&quot;family&quot;:&quot;West&quot;,&quot;given&quot;:&quot;Sherbrooke St&quot;,&quot;non-dropping-particle&quot;:&quot;&quot;,&quot;parse-names&quot;:false,&quot;suffix&quot;:&quot;&quot;},{&quot;dropping-particle&quot;:&quot;&quot;,&quot;family&quot;:&quot;Hb&quot;,&quot;given&quot;:&quot;Q C&quot;,&quot;non-dropping-particle&quot;:&quot;&quot;,&quot;parse-names&quot;:false,&quot;suffix&quot;:&quot;&quot;},{&quot;dropping-particle&quot;:&quot;&quot;,&quot;family&quot;:&quot;Poirier&quot;,&quot;given&quot;:&quot;Paul&quot;,&quot;non-dropping-particle&quot;:&quot;&quot;,&quot;parse-names&quot;:false,&quot;suffix&quot;:&quot;&quot;},{&quot;dropping-particle&quot;:&quot;&quot;,&quot;family&quot;:&quot;Séguin&quot;,&quot;given&quot;:&quot;Louise&quot;,&quot;non-dropping-particle&quot;:&quot;&quot;,&quot;parse-names&quot;:false,&quot;suffix&quot;:&quot;&quot;},{&quot;dropping-particle&quot;:&quot;&quot;,&quot;family&quot;:&quot;Tremblay&quot;,&quot;given&quot;:&quot;Richard E&quot;,&quot;non-dropping-particle&quot;:&quot;&quot;,&quot;parse-names&quot;:false,&quot;suffix&quot;:&quot;&quot;},{&quot;dropping-particle&quot;:&quot;&quot;,&quot;family&quot;:&quot;Ste-justine&quot;,&quot;given&quot;:&quot;De Recherche C H U&quot;,&quot;non-dropping-particle&quot;:&quot;&quot;,&quot;parse-names&quot;:false,&quot;suffix&quot;:&quot;&quot;}],&quot;container-title&quot;:&quot;Pediatric Cardiology&quot;,&quot;id&quot;:&quot;167ead60-246d-5173-83aa-d8deaa90e7a5&quot;,&quot;issue&quot;:&quot;1&quot;,&quot;issued&quot;:{&quot;date-parts&quot;:[[&quot;2015&quot;]]},&quot;page&quot;:&quot;41-48&quot;,&quot;title&quot;:&quot;Short-Term Heart Rate Variability in a Population-Based Sample of 10-Year-Old Children&quot;,&quot;type&quot;:&quot;article-journal&quot;,&quot;volume&quot;:&quot;36&quot;,&quot;container-title-short&quot;:&quot;Pediatr. Cardiol.&quot;},&quot;uris&quot;:[&quot;http://www.mendeley.com/documents/?uuid=ea809fb2-da04-4cd8-8416-9657a3a440e1&quot;],&quot;isTemporary&quot;:false,&quot;legacyDesktopId&quot;:&quot;ea809fb2-da04-4cd8-8416-9657a3a440e1&quot;},{&quot;id&quot;:&quot;3e895e14-c38d-5271-be6c-95db139a4c12&quot;,&quot;itemData&quot;:{&quot;DOI&quot;:&quot;10.1016/j.ijcard.2004.09.013&quot;,&quot;ISSN&quot;:&quot;01675273&quot;,&quot;PMID&quot;:&quot;16098384&quot;,&quot;abstract&quot;:&quot;Short-term assessment of heart rate variability (HRV) is a non-invasive technique to examine ANS function. Within the literature, HRV is commonly referred to as a reliable measurement technique. The aim of this review was to assess the accuracy of this description based upon a comprehensive review of the available data concerning reliability of short-term HRV measures. Reviewing only studies using appropriate statistical analyses, it was determined that reliability coefficients for HRV measures were highly varied. Coefficients of variation ranged from &lt;1% to &gt;100%. Similar variation was found in studies using the intraclass correlation coefficient values, and limits of agreement. Reliability coefficients reported displayed some distinct patterns. Firstly, where measurements were made during interventions such as tilt or pharmacological stimulation, reliability was poorer than when HRV was measured at rest. Secondly, clinical populations displayed poorer reliability than healthy subjects. There was little effect of test-retest duration on reliability and although no single HRV measurement appeared less reliable than another, there was evidence that optimal data collection conditions for specific frequency domain measures exist. Describing HRV as a reliable measurement technique appears to be a gross oversimplification, as results of reliability studies are heterogenous, and dependent on a number of factors. Further studies are required, particularly in clinical populations to assess HRV reliability. Authors should refer to coefficients from similar populations measured under similar conditions when making future sample size calculations. © 2005 Elsevier Ireland Ltd. All rights reserved.&quot;,&quot;author&quot;:[{&quot;dropping-particle&quot;:&quot;&quot;,&quot;family&quot;:&quot;Sandercock&quot;,&quot;given&quot;:&quot;Gavin R.H.&quot;,&quot;non-dropping-particle&quot;:&quot;&quot;,&quot;parse-names&quot;:false,&quot;suffix&quot;:&quot;&quot;},{&quot;dropping-particle&quot;:&quot;&quot;,&quot;family&quot;:&quot;Bromley&quot;,&quot;given&quot;:&quot;Paul D.&quot;,&quot;non-dropping-particle&quot;:&quot;&quot;,&quot;parse-names&quot;:false,&quot;suffix&quot;:&quot;&quot;},{&quot;dropping-particle&quot;:&quot;&quot;,&quot;family&quot;:&quot;Brodie&quot;,&quot;given&quot;:&quot;David A.&quot;,&quot;non-dropping-particle&quot;:&quot;&quot;,&quot;parse-names&quot;:false,&quot;suffix&quot;:&quot;&quot;}],&quot;container-title&quot;:&quot;International Journal of Cardiology&quot;,&quot;id&quot;:&quot;3e895e14-c38d-5271-be6c-95db139a4c12&quot;,&quot;issue&quot;:&quot;3&quot;,&quot;issued&quot;:{&quot;date-parts&quot;:[[&quot;2005&quot;]]},&quot;page&quot;:&quot;238-247&quot;,&quot;title&quot;:&quot;The reliability of short-term measurements of heart rate variability&quot;,&quot;type&quot;:&quot;article-journal&quot;,&quot;volume&quot;:&quot;103&quot;,&quot;container-title-short&quot;:&quot;Int. J. Cardiol.&quot;},&quot;uris&quot;:[&quot;http://www.mendeley.com/documents/?uuid=21b4ca75-5bba-420b-9aea-8ff952f53f9f&quot;],&quot;isTemporary&quot;:false,&quot;legacyDesktopId&quot;:&quot;21b4ca75-5bba-420b-9aea-8ff952f53f9f&quot;}]},{&quot;citationID&quot;:&quot;MENDELEY_CITATION_e2542955-bdf9-41f8-b6be-6f0c5a882d19&quot;,&quot;properties&quot;:{&quot;noteIndex&quot;:0},&quot;isEdited&quot;:false,&quot;manualOverride&quot;:{&quot;citeprocText&quot;:&quot;[273]&quot;,&quot;isManuallyOverridden&quot;:false,&quot;manualOverrideText&quot;:&quot;&quot;},&quot;citationTag&quot;:&quot;MENDELEY_CITATION_v3_eyJjaXRhdGlvbklEIjoiTUVOREVMRVlfQ0lUQVRJT05fZTI1NDI5NTUtYmRmOS00MWY4LWI2YmUtNmYwYzVhODgyZDE5IiwicHJvcGVydGllcyI6eyJub3RlSW5kZXgiOjB9LCJpc0VkaXRlZCI6ZmFsc2UsIm1hbnVhbE92ZXJyaWRlIjp7ImNpdGVwcm9jVGV4dCI6IlsyNzNd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citationID&quot;:&quot;MENDELEY_CITATION_3fb0e08e-59ef-471c-836b-22a2f1c43c8e&quot;,&quot;properties&quot;:{&quot;noteIndex&quot;:0},&quot;isEdited&quot;:false,&quot;manualOverride&quot;:{&quot;citeprocText&quot;:&quot;[341,399]&quot;,&quot;isManuallyOverridden&quot;:false,&quot;manualOverrideText&quot;:&quot;&quot;},&quot;citationTag&quot;:&quot;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&quot;,&quot;citationItems&quot;:[{&quot;id&quot;:&quot;e829ac1b-5c18-597b-8fcc-d700db08e5f7&quot;,&quot;itemData&quot;:{&quot;DOI&quot;:&quot;10.1088/0967-3334/27/3/002&quot;,&quot;ISSN&quot;:&quot;13616579&quot;,&quot;PMID&quot;:&quot;16462010&quot;,&quot;abstract&quot;:&quot;A time-varying parametric spectrum estimation method for analysing non-stationary heart rate variability signals is presented. As a case study, the dynamics of heart rate variability during an orthostatic test is examined. In this method, the non-stationary signal is first modelled with a time-varying autoregressive model and the model parameters are estimated recursively with a Kalman smoother algorithm. The benefit of using the Kalman smoother is that the lag error present in a Kalman filter, as well as in all other adaptive filters, can be avoided. The spectrum estimates for each time instant are then obtained from the estimated model parameters. Statistics of the obtained spectrum estimates are derived using the error propagation principle. The obtained spectrum estimates can further be decomposed into separate components and, thus, the time variation of low- and high-frequency components of heart rate variability can be examined separately. By using the presented method, high resolution time-varying spectrum estimates with no lag error can be produced. Other benefits of the method are the straightforward procedure for evaluating the statistics of the spectrum estimates and the option of spectral decomposition. © 2006 IOP Publishing Ltd.&quot;,&quot;author&quot;:[{&quot;dropping-particle&quot;:&quot;&quot;,&quot;family&quot;:&quot;Tarvainen&quot;,&quot;given&quot;:&quot;Mika P.&quot;,&quot;non-dropping-particle&quot;:&quot;&quot;,&quot;parse-names&quot;:false,&quot;suffix&quot;:&quot;&quot;},{&quot;dropping-particle&quot;:&quot;&quot;,&quot;family&quot;:&quot;Georgiadis&quot;,&quot;given&quot;:&quot;Stefanos D.&quot;,&quot;non-dropping-particle&quot;:&quot;&quot;,&quot;parse-names&quot;:false,&quot;suffix&quot;:&quot;&quot;},{&quot;dropping-particle&quot;:&quot;&quot;,&quot;family&quot;:&quot;Ranta-Aho&quot;,&quot;given&quot;:&quot;Perttu O.&quot;,&quot;non-dropping-particle&quot;:&quot;&quot;,&quot;parse-names&quot;:false,&quot;suffix&quot;:&quot;&quot;},{&quot;dropping-particle&quot;:&quot;&quot;,&quot;family&quot;:&quot;Karjalainen&quot;,&quot;given&quot;:&quot;Pasi A.&quot;,&quot;non-dropping-particle&quot;:&quot;&quot;,&quot;parse-names&quot;:false,&quot;suffix&quot;:&quot;&quot;}],&quot;container-title&quot;:&quot;Physiological Measurement&quot;,&quot;id&quot;:&quot;e829ac1b-5c18-597b-8fcc-d700db08e5f7&quot;,&quot;issue&quot;:&quot;3&quot;,&quot;issued&quot;:{&quot;date-parts&quot;:[[&quot;2006&quot;]]},&quot;page&quot;:&quot;225-239&quot;,&quot;title&quot;:&quot;Time-varying analysis of heart rate variability signals with a Kalman smoother algorithm&quot;,&quot;type&quot;:&quot;article-journal&quot;,&quot;volume&quot;:&quot;27&quot;,&quot;container-title-short&quot;:&quot;Physiol. Meas.&quot;},&quot;uris&quot;:[&quot;http://www.mendeley.com/documents/?uuid=4f1345c3-fd85-41e8-992b-c0b27d6f27d7&quot;],&quot;isTemporary&quot;:false,&quot;legacyDesktopId&quot;:&quot;4f1345c3-fd85-41e8-992b-c0b27d6f27d7&quot;},{&quot;id&quot;:&quot;27284bb6-0256-5270-aa19-766067d5b992&quot;,&quot;itemData&quot;:{&quot;DOI&quot;:&quot;10.1093/europace/euv015&quot;,&quot;ISSN&quot;:&quot;15322092&quot;,&quot;PMID&quot;:&quot;26177817&quot;,&quot;abstract&quot;:&quot;Following the publication of the Task Force document on heart rate variability (HRV) in 1996, a number of articles have been published to describe new HRV methodologies and their application in different physiological and clinical studies. This document presents a critical review of the new methods. A particular attention has been paid to methodologies that have not been reported in the 1996 standardization document but have been more recently tested in sufficiently sized populations. The following methods were considered: Long-range correlation and fractal analysis; Short-term complexity; Entropy and regularity; and Nonlinear dynamical systems and chaotic behaviour. For each of these methods, technical aspects, clinical achievements, and suggestions for clinical application were reviewed. While the novel approaches have contributed in the technical understanding of the signal character of HRV, their success in developing new clinical tools, such as those for the identification of high-risk patients, has been rather limited. Available results obtained in selected populations of patients by specialized laboratories are nevertheless of interest but new prospective studies are needed. The investigation of new parameters, descriptive of the complex regulation mechanisms of heart rate, has to be encouraged because not all information in the HRV signal is captured by traditional methods. The new technologies thus could provide after proper validation, additional physiological, and clinical meaning. Multidisciplinary dialogue and specialized courses in the combination of clinical cardiology and complex signal processing methods seem warranted for further advances in studies of cardiac oscillations and in the understanding normal and abnormal cardiac control processes.&quot;,&quot;author&quot;:[{&quot;dropping-particle&quot;:&quot;&quot;,&quot;family&quot;:&quot;Sassi&quot;,&quot;given&quot;:&quot;Roberto&quot;,&quot;non-dropping-particle&quot;:&quot;&quot;,&quot;parse-names&quot;:false,&quot;suffix&quot;:&quot;&quot;},{&quot;dropping-particle&quot;:&quot;&quot;,&quot;family&quot;:&quot;Cerutti&quot;,&quot;given&quot;:&quot;Sergio&quot;,&quot;non-dropping-particle&quot;:&quot;&quot;,&quot;parse-names&quot;:false,&quot;suffix&quot;:&quot;&quot;},{&quot;dropping-particle&quot;:&quot;&quot;,&quot;family&quot;:&quot;Lombardi&quot;,&quot;given&quot;:&quot;Federico&quot;,&quot;non-dropping-particle&quot;:&quot;&quot;,&quot;parse-names&quot;:false,&quot;suffix&quot;:&quot;&quot;},{&quot;dropping-particle&quot;:&quot;&quot;,&quot;family&quot;:&quot;Malik&quot;,&quot;given&quot;:&quot;Marek&quot;,&quot;non-dropping-particle&quot;:&quot;&quot;,&quot;parse-names&quot;:false,&quot;suffix&quot;:&quot;&quot;},{&quot;dropping-particle&quot;:&quot;V.&quot;,&quot;family&quot;:&quot;Huikuri&quot;,&quot;given&quot;:&quot;Heikki&quot;,&quot;non-dropping-particle&quot;:&quot;&quot;,&quot;parse-names&quot;:false,&quot;suffix&quot;:&quot;&quot;},{&quot;dropping-particle&quot;:&quot;&quot;,&quot;family&quot;:&quot;Peng&quot;,&quot;given&quot;:&quot;Chung Kang&quot;,&quot;non-dropping-particle&quot;:&quot;&quot;,&quot;parse-names&quot;:false,&quot;suffix&quot;:&quot;&quot;},{&quot;dropping-particle&quot;:&quot;&quot;,&quot;family&quot;:&quot;Schmidt&quot;,&quot;given&quot;:&quot;Georg&quot;,&quot;non-dropping-particle&quot;:&quot;&quot;,&quot;parse-names&quot;:false,&quot;suffix&quot;:&quot;&quot;},{&quot;dropping-particle&quot;:&quot;&quot;,&quot;family&quot;:&quot;Yamamoto&quot;,&quot;given&quot;:&quot;Yoshiharu&quot;,&quot;non-dropping-particle&quot;:&quot;&quot;,&quot;parse-names&quot;:false,&quot;suffix&quot;:&quot;&quot;}],&quot;container-title&quot;:&quot;Europace&quot;,&quot;id&quot;:&quot;27284bb6-0256-5270-aa19-766067d5b992&quot;,&quot;issue&quot;:&quot;9&quot;,&quot;issued&quot;:{&quot;date-parts&quot;:[[&quot;2015&quot;]]},&quot;page&quot;:&quot;1341-1353&quot;,&quot;title&quot;:&quot;Advances in heart rate variability signal analysis: Joint position statement by the e-Cardiology ESC Working Group and the European Heart Rhythm Association co-endorsed by the Asia Pacific Heart Rhythm Society&quot;,&quot;type&quot;:&quot;article-journal&quot;,&quot;volume&quot;:&quot;17&quot;,&quot;container-title-short&quot;:&quot;&quot;},&quot;uris&quot;:[&quot;http://www.mendeley.com/documents/?uuid=72f21bf6-39bd-4688-acd3-33687e60201c&quot;],&quot;isTemporary&quot;:false,&quot;legacyDesktopId&quot;:&quot;72f21bf6-39bd-4688-acd3-33687e60201c&quot;}]},{&quot;citationID&quot;:&quot;MENDELEY_CITATION_7e6516ea-e7ee-4fce-87af-7988b95d357e&quot;,&quot;properties&quot;:{&quot;noteIndex&quot;:0},&quot;isEdited&quot;:false,&quot;manualOverride&quot;:{&quot;citeprocText&quot;:&quot;[273]&quot;,&quot;isManuallyOverridden&quot;:false,&quot;manualOverrideText&quot;:&quot;&quot;},&quot;citationTag&quot;:&quot;MENDELEY_CITATION_v3_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&quot;,&quot;citationItems&quot;:[{&quot;id&quot;:&quot;f9d104b8-9887-52d1-9278-747960be0eed&quot;,&quot;itemData&quot;:{&quot;DOI&quot;:&quot;10.1161/01.CIR.93.5.1043&quot;,&quot;ISSN&quot;:&quot;0009-7322&quot;,&quot;PMID&quot;:&quot;9559255&quot;,&quot;abstract&quot;:&quot;Heart rate variability is a recognized tool for the estimation of cardiac autonomic modulations. Recently, several studies have advanced the field of heart rate variability in three areas: 1) in technical modes of electrocardiogram processing and heart rate variability assessment, 2) in physiologic understanding and interpretation, and 3) in clinical and practical use. The most recent technical studies concentrate on the analysis of nonlinear aspects of heart period variations and on coherence between electrocardiogram variability and other physiologic factors such as respiration. Principal physiologic investigations studied the components of heart rate variability attributable to the individual limbs of the autonomic nervous system. It is becoming recognized that behavior and responses to the environment, including the psychosocial environment, play an important role in long-term heart rate variability. Established clinical applications of heart rate variablility are presently restricted to the assessment of risk after myocardial infarction and to the early diagnosis of diabetic neuropathy. Nevertheless, recent studies indicate that heart rate variability might soon become a similarly powerful tool for risk prediction and monitoring of disease progression in congestive heart failure and for monitoring or reinnervation after heart transplantation.&quot;,&quot;author&quot;:[{&quot;dropping-particle&quot;:&quot;&quot;,&quot;family&quot;:&quot;Task Force of the European Society of Cardiology the North American Society of Pacing Electrophysiology&quot;,&quot;given&quot;:&quot;&quot;,&quot;non-dropping-particle&quot;:&quot;&quot;,&quot;parse-names&quot;:false,&quot;suffix&quot;:&quot;&quot;}],&quot;container-title&quot;:&quot;Circulation&quot;,&quot;id&quot;:&quot;f9d104b8-9887-52d1-9278-747960be0eed&quot;,&quot;issue&quot;:&quot;5&quot;,&quot;issued&quot;:{&quot;date-parts&quot;:[[&quot;1996&quot;,&quot;3&quot;]]},&quot;page&quot;:&quot;1043-1065&quot;,&quot;title&quot;:&quot;Heart Rate Variability: Standards of Measurement, Physiological Interpretation, and Clinical Use&quot;,&quot;type&quot;:&quot;article-journal&quot;,&quot;volume&quot;:&quot;93&quot;,&quot;container-title-short&quot;:&quot;Circulation&quot;},&quot;uris&quot;:[&quot;http://www.mendeley.com/documents/?uuid=77c89495-bfda-4f88-8220-32a62b5196af&quot;],&quot;isTemporary&quot;:false,&quot;legacyDesktopId&quot;:&quot;77c89495-bfda-4f88-8220-32a62b5196af&quot;}]},{&quot;citationID&quot;:&quot;MENDELEY_CITATION_98ae0c8c-5ebb-4c62-9620-872aff973340&quot;,&quot;properties&quot;:{&quot;noteIndex&quot;:0},&quot;isEdited&quot;:false,&quot;manualOverride&quot;:{&quot;citeprocText&quot;:&quot;[394,400,401]&quot;,&quot;isManuallyOverridden&quot;:false,&quot;manualOverrideText&quot;:&quot;&quot;},&quot;citationTag&quot;:&quot;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&quot;,&quot;citationItems&quot;:[{&quot;id&quot;:&quot;6b1b2181-2ab3-510e-b56b-6e563b6df854&quot;,&quot;itemData&quot;:{&quot;DOI&quot;:&quot;10.1109/10.979357&quot;,&quot;ISSN&quot;:&quot;00189294&quot;,&quot;PMID&quot;:&quot;12066885&quot;,&quot;abstract&quot;:&quot;An advanced, simple to use, detrending method to be used before heart rate variability analysis (HRV) is presented. The method is based on smoothness priors approach and operates like a time-varying finite-impulse response high-pass filter. The effect of the detrending on time- and frequency-domain analysis of HRV is studied.&quot;,&quot;author&quot;:[{&quot;dropping-particle&quot;:&quot;&quot;,&quot;family&quot;:&quot;Tarvainen&quot;,&quot;given&quot;:&quot;Mika P.&quot;,&quot;non-dropping-particle&quot;:&quot;&quot;,&quot;parse-names&quot;:false,&quot;suffix&quot;:&quot;&quot;},{&quot;dropping-particle&quot;:&quot;&quot;,&quot;family&quot;:&quot;Ranta-aho&quot;,&quot;given&quot;:&quot;Perttu O.&quot;,&quot;non-dropping-particle&quot;:&quot;&quot;,&quot;parse-names&quot;:false,&quot;suffix&quot;:&quot;&quot;},{&quot;dropping-particle&quot;:&quot;&quot;,&quot;family&quot;:&quot;Karjalainen&quot;,&quot;given&quot;:&quot;Pasi A.&quot;,&quot;non-dropping-particle&quot;:&quot;&quot;,&quot;parse-names&quot;:false,&quot;suffix&quot;:&quot;&quot;}],&quot;container-title&quot;:&quot;IEEE Transactions on Biomedical Engineering&quot;,&quot;id&quot;:&quot;6b1b2181-2ab3-510e-b56b-6e563b6df854&quot;,&quot;issue&quot;:&quot;2&quot;,&quot;issued&quot;:{&quot;date-parts&quot;:[[&quot;2002&quot;]]},&quot;page&quot;:&quot;172-175&quot;,&quot;title&quot;:&quot;An advanced detrending method with application to HRV analysis&quot;,&quot;type&quot;:&quot;article-journal&quot;,&quot;volume&quot;:&quot;49&quot;,&quot;container-title-short&quot;:&quot;IEEE Trans. Biomed. Eng.&quot;},&quot;uris&quot;:[&quot;http://www.mendeley.com/documents/?uuid=a0cbd76f-4ae8-4e1d-a1a9-812bd93f0253&quot;],&quot;isTemporary&quot;:false,&quot;legacyDesktopId&quot;:&quot;a0cbd76f-4ae8-4e1d-a1a9-812bd93f0253&quot;},{&quot;id&quot;:&quot;be4d91a5-78cf-585a-8ace-ec851cf72b7d&quot;,&quot;itemData&quot;:{&quot;DOI&quot;:&quot;10.1080/03091902.2019.1640306&quot;,&quot;ISSN&quot;:&quot;1464522X&quot;,&quot;PMID&quot;:&quot;31314618&quot;,&quot;abstract&quot;:&quot;Purpose: Heart rate variability is a commonly used measurement to evaluate functioning of autonomic nervous system, psychophysiological stress, and exercise intensity and recovery. HRV measurements contain artefacts such as extra, missed or misaligned beat detections, which can produce significant distortion on HRV parameters. In this paper, a robust automatic method for artefact detection from HRV time series is proposed. Methods: The proposed detection method is based on time-varying thresholds estimated from distribution of successive RR-interval differences combined with a novel beat classification scheme. The method is validated using simulated extra, missed and misaligned beat detections as well as real artefacts such as atrial and ventricular ectopic beats. Results: The sensitivity of the algorithm to detect simulated missed/extra beats was 100%. The sensitivity to detect real atrial and ventricular ectopic beats was 96.96%, the corresponding specificity being 99.94%. The mean error in HRV parameters after correction was &lt;2% for missed and extra beats as well as for misaligned beats generated with large displacement factors. Misaligned beats with smallest displacement factor were the most difficult to detect and resulted in largest HRV parameter errors after correction, largest errors being &lt;8%. Conclusions: The HRV artefact correction algorithm presented in this study provided comparable specificity and better sensitivity to detect ectopic beats as compared to state-of-the-art algorithms. The proposed algorithm detects abnormal beats with high accuracy, is relatively easy to implement, and secures reliable HRV analysis by reducing the effect of possible artefacts to tolerable level.&quot;,&quot;author&quot;:[{&quot;dropping-particle&quot;:&quot;&quot;,&quot;family&quot;:&quot;Lipponen&quot;,&quot;given&quot;:&quot;Jukka A.&quot;,&quot;non-dropping-particle&quot;:&quot;&quot;,&quot;parse-names&quot;:false,&quot;suffix&quot;:&quot;&quot;},{&quot;dropping-particle&quot;:&quot;&quot;,&quot;family&quot;:&quot;Tarvainen&quot;,&quot;given&quot;:&quot;Mika P.&quot;,&quot;non-dropping-particle&quot;:&quot;&quot;,&quot;parse-names&quot;:false,&quot;suffix&quot;:&quot;&quot;}],&quot;container-title&quot;:&quot;Journal of Medical Engineering and Technology&quot;,&quot;id&quot;:&quot;be4d91a5-78cf-585a-8ace-ec851cf72b7d&quot;,&quot;issue&quot;:&quot;3&quot;,&quot;issued&quot;:{&quot;date-parts&quot;:[[&quot;2019&quot;]]},&quot;page&quot;:&quot;173-181&quot;,&quot;publisher&quot;:&quot;Taylor &amp; Francis&quot;,&quot;title&quot;:&quot;A robust algorithm for heart rate variability time series artefact correction using novel beat classification&quot;,&quot;type&quot;:&quot;article-journal&quot;,&quot;volume&quot;:&quot;43&quot;,&quot;container-title-short&quot;:&quot;J. Med. Eng. Technol.&quot;},&quot;uris&quot;:[&quot;http://www.mendeley.com/documents/?uuid=2ac6d73b-f31e-45f1-a92c-bd4236d008a5&quot;],&quot;isTemporary&quot;:false,&quot;legacyDesktopId&quot;:&quot;2ac6d73b-f31e-45f1-a92c-bd4236d008a5&quot;},{&quot;id&quot;:&quot;aa4a8e85-e547-5bf8-b209-b42183ae7841&quot;,&quot;itemData&quot;:{&quot;DOI&quot;:&quot;10.1016/j.ijpsycho.2012.07.004&quot;,&quot;ISSN&quot;:&quot;01678760&quot;,&quot;PMID&quot;:&quot;22820268&quot;,&quot;abstract&quot;:&quot;Heart rate variability (HRV) is a particularly valuable quantitative marker of the flexibility and balance of the autonomic nervous system. Significant advances in software programs to automatically derive HRV have led to its extensive use in psychophysiological research. However, there is a lack of systematic comparisons across software programs used to derive HRV indices. Further, researchers report meager details on important signal processing decisions making synthesis across studies challenging. The aim of the present study was to evaluate the measurement fidelity of time- and frequency-domain HRV indices derived from three predominant signal processing software programs commonly used in clinical and research settings. Triplicate ECG recordings were derived from 20 participants using identical data acquisition hardware. Among the time-domain indices, there was strong to excellent correspondence (ICCavg=0.93) for SDNN, SDANN, SDNNi, rMSSD, and pNN50. The frequency-domain indices yielded excellent correspondence (ICCavg=0.91) for LF, HF, and LF/HF ratio, except for VLF which exhibited poor correspondence (ICCavg=0.19). Stringent user-decisions and technical specifications for nuanced HRV processing details are essential to ensure measurement fidelity across signal processing software programs. © 2012 Elsevier B.V.&quot;,&quot;author&quot;:[{&quot;dropping-particle&quot;:&quot;&quot;,&quot;family&quot;:&quot;Jarrin&quot;,&quot;given&quot;:&quot;Denise C.&quot;,&quot;non-dropping-particle&quot;:&quot;&quot;,&quot;parse-names&quot;:false,&quot;suffix&quot;:&quot;&quot;},{&quot;dropping-particle&quot;:&quot;&quot;,&quot;family&quot;:&quot;McGrath&quot;,&quot;given&quot;:&quot;Jennifer J.&quot;,&quot;non-dropping-particle&quot;:&quot;&quot;,&quot;parse-names&quot;:false,&quot;suffix&quot;:&quot;&quot;},{&quot;dropping-particle&quot;:&quot;&quot;,&quot;family&quot;:&quot;Giovanniello&quot;,&quot;given&quot;:&quot;Sabrina&quot;,&quot;non-dropping-particle&quot;:&quot;&quot;,&quot;parse-names&quot;:false,&quot;suffix&quot;:&quot;&quot;},{&quot;dropping-particle&quot;:&quot;&quot;,&quot;family&quot;:&quot;Poirier&quot;,&quot;given&quot;:&quot;Paul&quot;,&quot;non-dropping-particle&quot;:&quot;&quot;,&quot;parse-names&quot;:false,&quot;suffix&quot;:&quot;&quot;},{&quot;dropping-particle&quot;:&quot;&quot;,&quot;family&quot;:&quot;Lambert&quot;,&quot;given&quot;:&quot;Marie&quot;,&quot;non-dropping-particle&quot;:&quot;&quot;,&quot;parse-names&quot;:false,&quot;suffix&quot;:&quot;&quot;}],&quot;container-title&quot;:&quot;International Journal of Psychophysiology&quot;,&quot;id&quot;:&quot;aa4a8e85-e547-5bf8-b209-b42183ae7841&quot;,&quot;issue&quot;:&quot;1&quot;,&quot;issued&quot;:{&quot;date-parts&quot;:[[&quot;2012&quot;]]},&quot;page&quot;:&quot;88-97&quot;,&quot;publisher&quot;:&quot;Elsevier B.V.&quot;,&quot;title&quot;:&quot;Measurement fidelity of heart rate variability signal processing: The devil is in the details&quot;,&quot;type&quot;:&quot;article-journal&quot;,&quot;volume&quot;:&quot;86&quot;,&quot;container-title-short&quot;:&quot;&quot;},&quot;uris&quot;:[&quot;http://www.mendeley.com/documents/?uuid=1c675618-5e7c-468d-94f1-83f79cf9534b&quot;],&quot;isTemporary&quot;:false,&quot;legacyDesktopId&quot;:&quot;1c675618-5e7c-468d-94f1-83f79cf9534b&quot;}]},{&quot;citationID&quot;:&quot;MENDELEY_CITATION_5c044684-5e35-4c56-98d7-2f58e6dacb92&quot;,&quot;properties&quot;:{&quot;noteIndex&quot;:0},&quot;isEdited&quot;:false,&quot;manualOverride&quot;:{&quot;citeprocText&quot;:&quot;[391,401,402]&quot;,&quot;isManuallyOverridden&quot;:false,&quot;manualOverrideText&quot;:&quot;&quot;},&quot;citationTag&quot;:&quot;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&quot;,&quot;citationItems&quot;:[{&quot;id&quot;:&quot;81a2e508-f33d-5d6e-bdbd-51b9244a04d0&quot;,&quot;itemData&quot;:{&quot;DOI&quot;:&quot;10.1109/BIA50171.2020.9244285&quot;,&quot;ISBN&quot;:&quot;9781728170732&quot;,&quot;abstract&quot;:&quot;We present a gathering of information what is heart rate variability, it's uses and interpretation. We also make an overview of the methods in time and frequency domain and also the nonlinear method for calculation of heart rate variability. The experiments compare different implementations of those methods in separate platforms - Matlab and the widely used, among medical experts and specialist, software platform Kubios. The results in the time domain prove to be almost identical, the frequency domain show similar trends even if the absolute values are not identical, and the results in the nonlinear calculations are similar.&quot;,&quot;author&quot;:[{&quot;dropping-particle&quot;:&quot;&quot;,&quot;family&quot;:&quot;Kalinkov&quot;,&quot;given&quot;:&quot;Kalin&quot;,&quot;non-dropping-particle&quot;:&quot;&quot;,&quot;parse-names&quot;:false,&quot;suffix&quot;:&quot;&quot;},{&quot;dropping-particle&quot;:&quot;&quot;,&quot;family&quot;:&quot;Markova&quot;,&quot;given&quot;:&quot;Valentina&quot;,&quot;non-dropping-particle&quot;:&quot;&quot;,&quot;parse-names&quot;:false,&quot;suffix&quot;:&quot;&quot;},{&quot;dropping-particle&quot;:&quot;&quot;,&quot;family&quot;:&quot;Ganchev&quot;,&quot;given&quot;:&quot;Todor&quot;,&quot;non-dropping-particle&quot;:&quot;&quot;,&quot;parse-names&quot;:false,&quot;suffix&quot;:&quot;&quot;}],&quot;container-title&quot;:&quot;Proceedings of the International Conference on Biomedical Innovations and Applications, BIA 2020&quot;,&quot;id&quot;:&quot;81a2e508-f33d-5d6e-bdbd-51b9244a04d0&quot;,&quot;issue&quot;:&quot;March 2021&quot;,&quot;issued&quot;:{&quot;date-parts&quot;:[[&quot;2020&quot;]]},&quot;page&quot;:&quot;97-100&quot;,&quot;title&quot;:&quot;Heart Rate Variability calculation methods&quot;,&quot;type&quot;:&quot;paper-conference&quot;,&quot;container-title-short&quot;:&quot;&quot;},&quot;uris&quot;:[&quot;http://www.mendeley.com/documents/?uuid=dc54674f-917d-49a6-b8cb-0749db2f06b8&quot;],&quot;isTemporary&quot;:false,&quot;legacyDesktopId&quot;:&quot;dc54674f-917d-49a6-b8cb-0749db2f06b8&quot;},{&quot;id&quot;:&quot;b677480d-393f-5df9-81a2-b2f4fc817718&quot;,&quot;itemData&quot;:{&quot;DOI&quot;:&quot;10.1038/TP.2016.73&quot;,&quot;ISSN&quot;:&quot;21583188&quot;,&quot;PMID&quot;:&quot;27163204&quot;,&quot;abstract&quot;:&quot;The number of publications investigating heart rate variability (HRV) in psychiatry and the behavioral sciences has increased markedly in the last decade. In addition to the significant debates surrounding ideal methods to collect and interpret measures of HRV, standardized reporting of methodology in this field is lacking. Commonly cited recommendations were designed well before recent calls to improve research communication and reproducibility across disciplines. In an effort to standardize reporting, we propose the Guidelines for Reporting Articles on Psychiatry and Heart rate variability (GRAPH), a checklist with four domains: participant selection, interbeat interval collection, data preparation and HRV calculation. This paper provides an overview of these four domains and why their standardized reporting is necessary to suitably evaluate HRV research in psychiatry and related disciplines. Adherence to these communication guidelines will help expedite the translation of HRV research into a potential psychiatric biomarker by improving interpretation, reproducibility and future meta-analyses.&quot;,&quot;author&quot;:[{&quot;dropping-particle&quot;:&quot;&quot;,&quot;family&quot;:&quot;Quintana&quot;,&quot;given&quot;:&quot;D. S.&quot;,&quot;non-dropping-particle&quot;:&quot;&quot;,&quot;parse-names&quot;:false,&quot;suffix&quot;:&quot;&quot;},{&quot;dropping-particle&quot;:&quot;&quot;,&quot;family&quot;:&quot;Alvares&quot;,&quot;given&quot;:&quot;G. A.&quot;,&quot;non-dropping-particle&quot;:&quot;&quot;,&quot;parse-names&quot;:false,&quot;suffix&quot;:&quot;&quot;},{&quot;dropping-particle&quot;:&quot;&quot;,&quot;family&quot;:&quot;Heathers&quot;,&quot;given&quot;:&quot;J. A.J.&quot;,&quot;non-dropping-particle&quot;:&quot;&quot;,&quot;parse-names&quot;:false,&quot;suffix&quot;:&quot;&quot;}],&quot;container-title&quot;:&quot;Translational Psychiatry&quot;,&quot;id&quot;:&quot;b677480d-393f-5df9-81a2-b2f4fc817718&quot;,&quot;issue&quot;:&quot;5&quot;,&quot;issued&quot;:{&quot;date-parts&quot;:[[&quot;2016&quot;]]},&quot;publisher&quot;:&quot;Nature Publishing Group&quot;,&quot;title&quot;:&quot;Guidelines for Reporting Articles on Psychiatry and Heart rate variability (GRAPH): recommendations to advance research communication&quot;,&quot;type&quot;:&quot;article-journal&quot;,&quot;volume&quot;:&quot;6&quot;,&quot;container-title-short&quot;:&quot;Transl. Psychiatry&quot;},&quot;uris&quot;:[&quot;http://www.mendeley.com/documents/?uuid=467c6cb4-ba94-43b4-baf6-91df07718d5f&quot;],&quot;isTemporary&quot;:false,&quot;legacyDesktopId&quot;:&quot;467c6cb4-ba94-43b4-baf6-91df07718d5f&quot;},{&quot;id&quot;:&quot;aa4a8e85-e547-5bf8-b209-b42183ae7841&quot;,&quot;itemData&quot;:{&quot;DOI&quot;:&quot;10.1016/j.ijpsycho.2012.07.004&quot;,&quot;ISSN&quot;:&quot;01678760&quot;,&quot;PMID&quot;:&quot;22820268&quot;,&quot;abstract&quot;:&quot;Heart rate variability (HRV) is a particularly valuable quantitative marker of the flexibility and balance of the autonomic nervous system. Significant advances in software programs to automatically derive HRV have led to its extensive use in psychophysiological research. However, there is a lack of systematic comparisons across software programs used to derive HRV indices. Further, researchers report meager details on important signal processing decisions making synthesis across studies challenging. The aim of the present study was to evaluate the measurement fidelity of time- and frequency-domain HRV indices derived from three predominant signal processing software programs commonly used in clinical and research settings. Triplicate ECG recordings were derived from 20 participants using identical data acquisition hardware. Among the time-domain indices, there was strong to excellent correspondence (ICCavg=0.93) for SDNN, SDANN, SDNNi, rMSSD, and pNN50. The frequency-domain indices yielded excellent correspondence (ICCavg=0.91) for LF, HF, and LF/HF ratio, except for VLF which exhibited poor correspondence (ICCavg=0.19). Stringent user-decisions and technical specifications for nuanced HRV processing details are essential to ensure measurement fidelity across signal processing software programs. © 2012 Elsevier B.V.&quot;,&quot;author&quot;:[{&quot;dropping-particle&quot;:&quot;&quot;,&quot;family&quot;:&quot;Jarrin&quot;,&quot;given&quot;:&quot;Denise C.&quot;,&quot;non-dropping-particle&quot;:&quot;&quot;,&quot;parse-names&quot;:false,&quot;suffix&quot;:&quot;&quot;},{&quot;dropping-particle&quot;:&quot;&quot;,&quot;family&quot;:&quot;McGrath&quot;,&quot;given&quot;:&quot;Jennifer J.&quot;,&quot;non-dropping-particle&quot;:&quot;&quot;,&quot;parse-names&quot;:false,&quot;suffix&quot;:&quot;&quot;},{&quot;dropping-particle&quot;:&quot;&quot;,&quot;family&quot;:&quot;Giovanniello&quot;,&quot;given&quot;:&quot;Sabrina&quot;,&quot;non-dropping-particle&quot;:&quot;&quot;,&quot;parse-names&quot;:false,&quot;suffix&quot;:&quot;&quot;},{&quot;dropping-particle&quot;:&quot;&quot;,&quot;family&quot;:&quot;Poirier&quot;,&quot;given&quot;:&quot;Paul&quot;,&quot;non-dropping-particle&quot;:&quot;&quot;,&quot;parse-names&quot;:false,&quot;suffix&quot;:&quot;&quot;},{&quot;dropping-particle&quot;:&quot;&quot;,&quot;family&quot;:&quot;Lambert&quot;,&quot;given&quot;:&quot;Marie&quot;,&quot;non-dropping-particle&quot;:&quot;&quot;,&quot;parse-names&quot;:false,&quot;suffix&quot;:&quot;&quot;}],&quot;container-title&quot;:&quot;International Journal of Psychophysiology&quot;,&quot;id&quot;:&quot;aa4a8e85-e547-5bf8-b209-b42183ae7841&quot;,&quot;issue&quot;:&quot;1&quot;,&quot;issued&quot;:{&quot;date-parts&quot;:[[&quot;2012&quot;]]},&quot;page&quot;:&quot;88-97&quot;,&quot;publisher&quot;:&quot;Elsevier B.V.&quot;,&quot;title&quot;:&quot;Measurement fidelity of heart rate variability signal processing: The devil is in the details&quot;,&quot;type&quot;:&quot;article-journal&quot;,&quot;volume&quot;:&quot;86&quot;,&quot;container-title-short&quot;:&quot;&quot;},&quot;uris&quot;:[&quot;http://www.mendeley.com/documents/?uuid=1c675618-5e7c-468d-94f1-83f79cf9534b&quot;],&quot;isTemporary&quot;:false,&quot;legacyDesktopId&quot;:&quot;1c675618-5e7c-468d-94f1-83f79cf9534b&quot;}]},{&quot;citationID&quot;:&quot;MENDELEY_CITATION_aa888e63-4672-4947-bdb5-541cfb5b55cb&quot;,&quot;properties&quot;:{&quot;noteIndex&quot;:0},&quot;isEdited&quot;:false,&quot;manualOverride&quot;:{&quot;citeprocText&quot;:&quot;[303]&quot;,&quot;isManuallyOverridden&quot;:false,&quot;manualOverrideText&quot;:&quot;&quot;},&quot;citationTag&quot;:&quot;MENDELEY_CITATION_v3_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&quot;,&quot;citationItems&quot;:[{&quot;id&quot;:&quot;8a9c05f0-748c-5c89-b663-96c22c0e2c82&quot;,&quot;itemData&quot;:{&quot;DOI&quot;:&quot;10.1016/S0735-1097(97)00554-8&quot;,&quot;ISSN&quot;:&quot;07351097&quot;,&quot;PMID&quot;:&quot;9502641&quot;,&quot;abstract&quot;:&quot;Objectives. This study sought to define the effects of age and gender effects on the normal range of time domain heart rate variability (HRV) over nine decades in healthy subjects. Background. Low HRV is considered an independent marker of mortality risk. However, the age-related decline in HRV may limit its predictive value, particularly in the elderly. Delineation of the range of HRV in healthy subjects over the life span is needed. Gender- related differences in HRV also need clarification. Methods. We determined, according to decade, 24-h heart rate (HR) and HRV of 260 healthy subjects (10 to 99 years old; 112 male, 148 female) by means of five standard time domain measures: standard deviation of all normal sinus RR intervals over 24 h (SDNN), standard deviation of the averaged normal sinus RR intervals for all 5-mm segments (SDANN), mean of the standard deviations of all normal sinus RR intervals for all 5-min segments (SDNN index), root-mean-square of successive normal sinus RR interval difference (rMSSD) and the percentage of successive normal sinus RR intervals &gt;50 ms (pNN50). Results. 1) HRV decreased with aging, the pattern of change being measure dependent. HRV (SDNN and SDANN) decreased only very gradually, reaching 60% of baseline (second-decade values) by the tenth decade. With the SDNN index, HRV decreased linearly with aging, reaching 46% of baseline by the tenth decade. Using pNN50 and rMSSD, HRV decreased most rapidly, reaching 24% and 47% of baseline, respectively, by the sixth decade and then stabilized. 2) Using the SDNN index, rMSSD and pNN50, HRV of subjects &gt;65 years old fell below published cutpoints for increased risk of mortality in 25%, 12% and 4%, respectively. 3) At age &lt;30 years, HRV for all measures was lower in female than male subjects. Gender differences decreased at age &gt;30 years and disappeared at age &gt;50 years. 4) HR also declined with aging but much more slowly. HR at age &lt;50 years was faster in female than in male subjects. Gender differences disappeared thereafter. Conclusions. 1) Using all measures, HRV of healthy subjects declines with aging, with measure-dependent patterns. 2) Using the SDNN index, rMSSD and pNN50, HRV of healthy subjects, particularly those &gt;65 years old, may decrease to below levels associated with increased risk of mortality. 3)Gender influences HRV. Gender differences in HRV are age and measure dependent. 4) Age and gender also affect heart rate.&quot;,&quot;author&quot;:[{&quot;dropping-particle&quot;:&quot;&quot;,&quot;family&quot;:&quot;Umetani&quot;,&quot;given&quot;:&quot;Ken&quot;,&quot;non-dropping-particle&quot;:&quot;&quot;,&quot;parse-names&quot;:false,&quot;suffix&quot;:&quot;&quot;},{&quot;dropping-particle&quot;:&quot;&quot;,&quot;family&quot;:&quot;Singer&quot;,&quot;given&quot;:&quot;Donald H.&quot;,&quot;non-dropping-particle&quot;:&quot;&quot;,&quot;parse-names&quot;:false,&quot;suffix&quot;:&quot;&quot;},{&quot;dropping-particle&quot;:&quot;&quot;,&quot;family&quot;:&quot;McCraty&quot;,&quot;given&quot;:&quot;Rollin&quot;,&quot;non-dropping-particle&quot;:&quot;&quot;,&quot;parse-names&quot;:false,&quot;suffix&quot;:&quot;&quot;},{&quot;dropping-particle&quot;:&quot;&quot;,&quot;family&quot;:&quot;Atkinson&quot;,&quot;given&quot;:&quot;Mike&quot;,&quot;non-dropping-particle&quot;:&quot;&quot;,&quot;parse-names&quot;:false,&quot;suffix&quot;:&quot;&quot;}],&quot;container-title&quot;:&quot;Journal of the American College of Cardiology&quot;,&quot;id&quot;:&quot;8a9c05f0-748c-5c89-b663-96c22c0e2c82&quot;,&quot;issue&quot;:&quot;3&quot;,&quot;issued&quot;:{&quot;date-parts&quot;:[[&quot;1998&quot;]]},&quot;page&quot;:&quot;593-601&quot;,&quot;title&quot;:&quot;Twenty-four hour time domain heart rate variability and heart rate: Relations to age and gender over nine decades&quot;,&quot;type&quot;:&quot;article-journal&quot;,&quot;volume&quot;:&quot;31&quot;,&quot;container-title-short&quot;:&quot;J. Am. Coll. Cardiol.&quot;},&quot;uris&quot;:[&quot;http://www.mendeley.com/documents/?uuid=9313dec3-cec7-43fc-9e63-160ed8741e37&quot;],&quot;isTemporary&quot;:false,&quot;legacyDesktopId&quot;:&quot;9313dec3-cec7-43fc-9e63-160ed8741e37&quot;}]},{&quot;citationID&quot;:&quot;MENDELEY_CITATION_5b038f9f-03ce-4a44-b240-27815e7fcfa8&quot;,&quot;properties&quot;:{&quot;noteIndex&quot;:0},&quot;isEdited&quot;:false,&quot;manualOverride&quot;:{&quot;citeprocText&quot;:&quot;[365]&quot;,&quot;isManuallyOverridden&quot;:false,&quot;manualOverrideText&quot;:&quot;&quot;},&quot;citationTag&quot;:&quot;MENDELEY_CITATION_v3_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&quot;,&quot;citationItems&quot;:[{&quot;id&quot;:&quot;370aba2c-56ed-53df-83c0-97121c97957e&quot;,&quot;itemData&quot;:{&quot;DOI&quot;:&quot;10.1155/2012/149516&quot;,&quot;ISSN&quot;:&quot;20900708&quot;,&quot;abstract&quot;:&quot;While frank obesity is associated with reduced HRV, indicative of poorer autonomic nervous system (ANS) function, the association between body mass index (BMI) and HRV is less clear. We hypothesized that effects of adiposity on ANS are mostly mediated by visceral fat and less by subcutaneous fat; therefore, centrally distributed adipose tissue, that is, waist circumference (WC), should be more strongly associated with HRV than overall adiposity (BMI). To examine this hypothesis, we used data collected in a subset of the Baltimore Longitudinal Study of Aging to compare strength of association between HRV and WC to that of HRV and BMI. Time domain HRV variables SDNN (standard deviation of successive differences in normal-to-normal (N-N) intervals) and RMSSD (root mean square of successive differences in N-N intervals) were calculated from 24-hour Holter recordings in 159 participants (29-96 years). Increasing WC was associated with decreasing SDNN and RMSSD in younger but not older participants (P value for WC-by-age interaction = 0.003). BMI was not associated with either SDNN or RMSSD at any age. In conclusion, central adiposity may contribute to sympathetic and parasympathetic ANS declines early in life. © 2012 B. Gwen Windham et al.&quot;,&quot;author&quot;:[{&quot;dropping-particle&quot;:&quot;&quot;,&quot;family&quot;:&quot;Windham&quot;,&quot;given&quot;:&quot;B. Gwen&quot;,&quot;non-dropping-particle&quot;:&quot;&quot;,&quot;parse-names&quot;:false,&quot;suffix&quot;:&quot;&quot;},{&quot;dropping-particle&quot;:&quot;&quot;,&quot;family&quot;:&quot;Fumagalli&quot;,&quot;given&quot;:&quot;Stefano&quot;,&quot;non-dropping-particle&quot;:&quot;&quot;,&quot;parse-names&quot;:false,&quot;suffix&quot;:&quot;&quot;},{&quot;dropping-particle&quot;:&quot;&quot;,&quot;family&quot;:&quot;Ble&quot;,&quot;given&quot;:&quot;Alessandro&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Thayer&quot;,&quot;given&quot;:&quot;Julian F.&quot;,&quot;non-dropping-particle&quot;:&quot;&quot;,&quot;parse-names&quot;:false,&quot;suffix&quot;:&quot;&quot;},{&quot;dropping-particle&quot;:&quot;&quot;,&quot;family&quot;:&quot;Najjar&quot;,&quot;given&quot;:&quot;Samar S.&quot;,&quot;non-dropping-particle&quot;:&quot;&quot;,&quot;parse-names&quot;:false,&quot;suffix&quot;:&quot;&quot;},{&quot;dropping-particle&quot;:&quot;&quot;,&quot;family&quot;:&quot;Griswold&quot;,&quot;given&quot;:&quot;Michael E.&quot;,&quot;non-dropping-particle&quot;:&quot;&quot;,&quot;parse-names&quot;:false,&quot;suffix&quot;:&quot;&quot;},{&quot;dropping-particle&quot;:&quot;&quot;,&quot;family&quot;:&quot;Ferrucci&quot;,&quot;given&quot;:&quot;Luigi&quot;,&quot;non-dropping-particle&quot;:&quot;&quot;,&quot;parse-names&quot;:false,&quot;suffix&quot;:&quot;&quot;}],&quot;container-title&quot;:&quot;Journal of Obesity&quot;,&quot;id&quot;:&quot;370aba2c-56ed-53df-83c0-97121c97957e&quot;,&quot;issued&quot;:{&quot;date-parts&quot;:[[&quot;2012&quot;]]},&quot;title&quot;:&quot;The relationship between heart rate variability and adiposity differs for central and overall adiposity&quot;,&quot;type&quot;:&quot;article-journal&quot;,&quot;volume&quot;:&quot;2012&quot;,&quot;container-title-short&quot;:&quot;J. Obes.&quot;},&quot;uris&quot;:[&quot;http://www.mendeley.com/documents/?uuid=309060de-e50b-4c9e-9283-9124b607e4b7&quot;],&quot;isTemporary&quot;:false,&quot;legacyDesktopId&quot;:&quot;309060de-e50b-4c9e-9283-9124b607e4b7&quot;}]},{&quot;citationID&quot;:&quot;MENDELEY_CITATION_cd1cc070-f5cc-491f-ac18-92d362a8e377&quot;,&quot;properties&quot;:{&quot;noteIndex&quot;:0},&quot;isEdited&quot;:false,&quot;manualOverride&quot;:{&quot;citeprocText&quot;:&quot;[396]&quot;,&quot;isManuallyOverridden&quot;:false,&quot;manualOverrideText&quot;:&quot;&quot;},&quot;citationTag&quot;:&quot;MENDELEY_CITATION_v3_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&quot;,&quot;citationItems&quot;:[{&quot;id&quot;:&quot;ebbc9073-e3ad-57d9-84ab-d6dec7613c85&quot;,&quot;itemData&quot;:{&quot;DOI&quot;:&quot;10.1111/j.1540-8159.2010.02841.x&quot;,&quot;ISBN&quot;:&quot;4418652892&quot;,&quot;ISSN&quot;:&quot;01478389&quot;,&quot;PMID&quot;:&quot;20663071&quot;,&quot;abstract&quot;:&quot;Heart rate variability (HRV) is a known risk factor for mortality in both healthy and patient populations. There are currently no normative data for short-term measures of HRV. A thorough review of short-term HRV data published since 1996 was therefore performed. Data from studies published after the 1996 Task Force report (i.e., between January 1997 and September 2008) and reporting short-term measures of HRV obtained in normally healthy individuals were collated and factors underlying discrepant values were identified. Forty-four studies met the pre-set inclusion criteria involving 21,438 participants. Values for short-term HRV measures from the literature were lower than Task Force norms. A degree of homogeneity for common measures of HRV in healthy adults was shown across studies. A number of studies demonstrate large interindividual variations (up to 260,000%), particularly for spectral measures. A number of methodological discrepancies underlined disparate values. These include a systematic failure within the literature (a) to recognize the importance of RR data recognition/editing procedures and (b) to question disparate HRV values observed in normally healthy individuals. A need for large-scale population studies and a review of the Task Force recommendations for short-term HRV that covers the full-age spectrum were identified. Data presented should be used to quantify reference ranges for short-term measures of HRV in healthy adult populations but should be undertaken with reference to methodological factors underlying disparate values. Recommendations for the measurement of HRV require updating to include current technologies. © 2010, The Authors. Journal compilation.&quot;,&quot;author&quot;:[{&quot;dropping-particle&quot;:&quot;&quot;,&quot;family&quot;:&quot;NUNAN&quot;,&quot;given&quot;:&quot;DAVID&quot;,&quot;non-dropping-particle&quot;:&quot;&quot;,&quot;parse-names&quot;:false,&quot;suffix&quot;:&quot;&quot;},{&quot;dropping-particle&quot;:&quot;&quot;,&quot;family&quot;:&quot;SANDERCOCK&quot;,&quot;given&quot;:&quot;GAVIN R. H.&quot;,&quot;non-dropping-particle&quot;:&quot;&quot;,&quot;parse-names&quot;:false,&quot;suffix&quot;:&quot;&quot;},{&quot;dropping-particle&quot;:&quot;&quot;,&quot;family&quot;:&quot;BRODIE&quot;,&quot;given&quot;:&quot;DAVID A.&quot;,&quot;non-dropping-particle&quot;:&quot;&quot;,&quot;parse-names&quot;:false,&quot;suffix&quot;:&quot;&quot;}],&quot;container-title&quot;:&quot;Pacing and Clinical Electrophysiology&quot;,&quot;id&quot;:&quot;ebbc9073-e3ad-57d9-84ab-d6dec7613c85&quot;,&quot;issue&quot;:&quot;11&quot;,&quot;issued&quot;:{&quot;date-parts&quot;:[[&quot;2010&quot;,&quot;11&quot;]]},&quot;page&quot;:&quot;1407-1417&quot;,&quot;title&quot;:&quot;A Quantitative Systematic Review of Normal Values for Short-Term Heart Rate Variability in Healthy Adults&quot;,&quot;type&quot;:&quot;article-journal&quot;,&quot;volume&quot;:&quot;33&quot;,&quot;container-title-short&quot;:&quot;&quot;},&quot;uris&quot;:[&quot;http://www.mendeley.com/documents/?uuid=e6098823-797e-4b72-943e-6b81c98ac777&quot;],&quot;isTemporary&quot;:false,&quot;legacyDesktopId&quot;:&quot;e6098823-797e-4b72-943e-6b81c98ac777&quot;}]},{&quot;citationID&quot;:&quot;MENDELEY_CITATION_c68aadbe-6777-45a1-80c0-12afd80e5766&quot;,&quot;properties&quot;:{&quot;noteIndex&quot;:0},&quot;isEdited&quot;:false,&quot;manualOverride&quot;:{&quot;citeprocText&quot;:&quot;[365]&quot;,&quot;isManuallyOverridden&quot;:false,&quot;manualOverrideText&quot;:&quot;&quot;},&quot;citationTag&quot;:&quot;MENDELEY_CITATION_v3_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&quot;,&quot;citationItems&quot;:[{&quot;id&quot;:&quot;370aba2c-56ed-53df-83c0-97121c97957e&quot;,&quot;itemData&quot;:{&quot;DOI&quot;:&quot;10.1155/2012/149516&quot;,&quot;ISSN&quot;:&quot;20900708&quot;,&quot;abstract&quot;:&quot;While frank obesity is associated with reduced HRV, indicative of poorer autonomic nervous system (ANS) function, the association between body mass index (BMI) and HRV is less clear. We hypothesized that effects of adiposity on ANS are mostly mediated by visceral fat and less by subcutaneous fat; therefore, centrally distributed adipose tissue, that is, waist circumference (WC), should be more strongly associated with HRV than overall adiposity (BMI). To examine this hypothesis, we used data collected in a subset of the Baltimore Longitudinal Study of Aging to compare strength of association between HRV and WC to that of HRV and BMI. Time domain HRV variables SDNN (standard deviation of successive differences in normal-to-normal (N-N) intervals) and RMSSD (root mean square of successive differences in N-N intervals) were calculated from 24-hour Holter recordings in 159 participants (29-96 years). Increasing WC was associated with decreasing SDNN and RMSSD in younger but not older participants (P value for WC-by-age interaction = 0.003). BMI was not associated with either SDNN or RMSSD at any age. In conclusion, central adiposity may contribute to sympathetic and parasympathetic ANS declines early in life. © 2012 B. Gwen Windham et al.&quot;,&quot;author&quot;:[{&quot;dropping-particle&quot;:&quot;&quot;,&quot;family&quot;:&quot;Windham&quot;,&quot;given&quot;:&quot;B. Gwen&quot;,&quot;non-dropping-particle&quot;:&quot;&quot;,&quot;parse-names&quot;:false,&quot;suffix&quot;:&quot;&quot;},{&quot;dropping-particle&quot;:&quot;&quot;,&quot;family&quot;:&quot;Fumagalli&quot;,&quot;given&quot;:&quot;Stefano&quot;,&quot;non-dropping-particle&quot;:&quot;&quot;,&quot;parse-names&quot;:false,&quot;suffix&quot;:&quot;&quot;},{&quot;dropping-particle&quot;:&quot;&quot;,&quot;family&quot;:&quot;Ble&quot;,&quot;given&quot;:&quot;Alessandro&quot;,&quot;non-dropping-particle&quot;:&quot;&quot;,&quot;parse-names&quot;:false,&quot;suffix&quot;:&quot;&quot;},{&quot;dropping-particle&quot;:&quot;&quot;,&quot;family&quot;:&quot;Sollers&quot;,&quot;given&quot;:&quot;John J.&quot;,&quot;non-dropping-particle&quot;:&quot;&quot;,&quot;parse-names&quot;:false,&quot;suffix&quot;:&quot;&quot;},{&quot;dropping-particle&quot;:&quot;&quot;,&quot;family&quot;:&quot;Thayer&quot;,&quot;given&quot;:&quot;Julian F.&quot;,&quot;non-dropping-particle&quot;:&quot;&quot;,&quot;parse-names&quot;:false,&quot;suffix&quot;:&quot;&quot;},{&quot;dropping-particle&quot;:&quot;&quot;,&quot;family&quot;:&quot;Najjar&quot;,&quot;given&quot;:&quot;Samar S.&quot;,&quot;non-dropping-particle&quot;:&quot;&quot;,&quot;parse-names&quot;:false,&quot;suffix&quot;:&quot;&quot;},{&quot;dropping-particle&quot;:&quot;&quot;,&quot;family&quot;:&quot;Griswold&quot;,&quot;given&quot;:&quot;Michael E.&quot;,&quot;non-dropping-particle&quot;:&quot;&quot;,&quot;parse-names&quot;:false,&quot;suffix&quot;:&quot;&quot;},{&quot;dropping-particle&quot;:&quot;&quot;,&quot;family&quot;:&quot;Ferrucci&quot;,&quot;given&quot;:&quot;Luigi&quot;,&quot;non-dropping-particle&quot;:&quot;&quot;,&quot;parse-names&quot;:false,&quot;suffix&quot;:&quot;&quot;}],&quot;container-title&quot;:&quot;Journal of Obesity&quot;,&quot;id&quot;:&quot;370aba2c-56ed-53df-83c0-97121c97957e&quot;,&quot;issued&quot;:{&quot;date-parts&quot;:[[&quot;2012&quot;]]},&quot;title&quot;:&quot;The relationship between heart rate variability and adiposity differs for central and overall adiposity&quot;,&quot;type&quot;:&quot;article-journal&quot;,&quot;volume&quot;:&quot;2012&quot;,&quot;container-title-short&quot;:&quot;J. Obes.&quot;},&quot;uris&quot;:[&quot;http://www.mendeley.com/documents/?uuid=309060de-e50b-4c9e-9283-9124b607e4b7&quot;],&quot;isTemporary&quot;:false,&quot;legacyDesktopId&quot;:&quot;309060de-e50b-4c9e-9283-9124b607e4b7&quot;}]},{&quot;citationID&quot;:&quot;MENDELEY_CITATION_c34fa765-df99-4fbd-bf6b-384b8b39be2c&quot;,&quot;properties&quot;:{&quot;noteIndex&quot;:0},&quot;isEdited&quot;:false,&quot;manualOverride&quot;:{&quot;citeprocText&quot;:&quot;[307,319]&quot;,&quot;isManuallyOverridden&quot;:false,&quot;manualOverrideText&quot;:&quot;&quot;},&quot;citationTag&quot;:&quot;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&quot;,&quot;citationItems&quot;:[{&quot;id&quot;:&quot;03232e87-5545-563f-85f1-f5f8b37207b9&quot;,&quot;itemData&quot;:{&quot;DOI&quot;:&quot;10.1249/MSS.0b013e318184a4b1&quot;,&quot;ISSN&quot;:&quot;01959131&quot;,&quot;PMID&quot;:&quot;19092682&quot;,&quot;abstract&quot;:&quot;Purpose: To assess the validity and the reliability of short-term resting heart-rate variability (HRV) measures obtained using the Polar S810 heart-rate monitor and accompanying software. Methods: Measures of HRV were obtained from 5-min R to R wave (RR) interval data for 19 males and 14 females during 10 min of quiet rest on three separate occasions at 1-wk intervals using the Polar S8.10. Criterion measures of HRV were obtained simultaneously using the CardioPerfect (CP; Medical Graphics Corporation, St Paul, MN) 12-lead ECG module. Measures of validity of the Polar S810 were estimated by regression analysis, and measures of reliability of both. devices were estimated by analysis of change scores. Measures of the SD of normal-to-normal intervals (SDNN), the root mean square of successive differences (RMSSD), and the low-frequency (LF) and the high-frequency (HF) spectral power and their ratio (LF/HF) were analyzed after log transformation, whereas mean RR and LF and HF in normalized units were analyzed without transformation. Results: There were marginal differences between the Polar and the CP mean measures of HRV, and the uncertainty in the differences was small. The Polar S810 demonstrated high correlations (0.85-0.99) with CP for all measures of HRV indicating good to near-perfect validity. Except for the low- and the high-frequency normalized units, Polar S810 did not add any substantial technical error to the within-subject variability in the repeated measurements of HRV. Conclusion: HRV measures obtained with the Polar S810 and accompanying software have no appreciable bias or additional random error in comparison with criterion measures, but the measures are inherently unreliable over a 1-wk interval. Reliability of HRV from longer (e.g., 10 min) and/or consecutive 5-min RR recordings needs to be investigated with the Polar and criterion instruments. Copyright © 2008 by the American College of Sports Medicine.&quot;,&quot;author&quot;:[{&quot;dropping-particle&quot;:&quot;&quot;,&quot;family&quot;:&quot;Nunan&quot;,&quot;given&quot;:&quot;David&quot;,&quot;non-dropping-particle&quot;:&quot;&quot;,&quot;parse-names&quot;:false,&quot;suffix&quot;:&quot;&quot;},{&quot;dropping-particle&quot;:&quot;&quot;,&quot;family&quot;:&quot;Gay&quot;,&quot;given&quot;:&quot;Donovan&quot;,&quot;non-dropping-particle&quot;:&quot;&quot;,&quot;parse-names&quot;:false,&quot;suffix&quot;:&quot;&quot;},{&quot;dropping-particle&quot;:&quot;&quot;,&quot;family&quot;:&quot;Jakovljevic&quot;,&quot;given&quot;:&quot;Djordje G.&quot;,&quot;non-dropping-particle&quot;:&quot;&quot;,&quot;parse-names&quot;:false,&quot;suffix&quot;:&quot;&quot;},{&quot;dropping-particle&quot;:&quot;&quot;,&quot;family&quot;:&quot;Hodges&quot;,&quot;given&quot;:&quot;Lynette D.&quot;,&quot;non-dropping-particle&quot;:&quot;&quot;,&quot;parse-names&quot;:false,&quot;suffix&quot;:&quot;&quot;},{&quot;dropping-particle&quot;:&quot;&quot;,&quot;family&quot;:&quot;Sandercock&quot;,&quot;given&quot;:&quot;Gavin R.H.&quot;,&quot;non-dropping-particle&quot;:&quot;&quot;,&quot;parse-names&quot;:false,&quot;suffix&quot;:&quot;&quot;},{&quot;dropping-particle&quot;:&quot;&quot;,&quot;family&quot;:&quot;Brodie&quot;,&quot;given&quot;:&quot;David A.&quot;,&quot;non-dropping-particle&quot;:&quot;&quot;,&quot;parse-names&quot;:false,&quot;suffix&quot;:&quot;&quot;}],&quot;container-title&quot;:&quot;Medicine and Science in Sports and Exercise&quot;,&quot;id&quot;:&quot;03232e87-5545-563f-85f1-f5f8b37207b9&quot;,&quot;issue&quot;:&quot;1&quot;,&quot;issued&quot;:{&quot;date-parts&quot;:[[&quot;2009&quot;]]},&quot;page&quot;:&quot;243-250&quot;,&quot;title&quot;:&quot;Validity and reliability of short-term heart-rate variability from the Polar S810&quot;,&quot;type&quot;:&quot;article-journal&quot;,&quot;volume&quot;:&quot;41&quot;,&quot;container-title-short&quot;:&quot;Med. Sci. Sports Exerc.&quot;},&quot;uris&quot;:[&quot;http://www.mendeley.com/documents/?uuid=c6752ceb-114c-4bc2-b41b-1429b101bd8d&quot;],&quot;isTemporary&quot;:false,&quot;legacyDesktopId&quot;:&quot;c6752ceb-114c-4bc2-b41b-1429b101bd8d&quot;},{&quot;id&quot;:&quot;e9dc7a2f-414a-55cf-b7ed-1970e8050e12&quot;,&quot;itemData&quot;:{&quot;DOI&quot;:&quot;10.1007/s00421-015-3303-9&quot;,&quot;ISSN&quot;:&quot;14396319&quot;,&quot;PMID&quot;:&quot;26708360&quot;,&quot;abstract&quot;:&quot;Purpose: To assess the validity of RR intervals and short-term heart rate variability (HRV) data obtained from the Polar V800 heart rate monitor, in comparison to an electrocardiograph (ECG). Method: Twenty participants completed an active orthostatic test using the V800 and ECG. An improved method for the identification and correction of RR intervals was employed prior to HRV analysis. Agreement of the data was assessed using intra-class correlation coefficients (ICC), Bland–Altman limits of agreement (LoA), and effect size (ES). Results: A small number of errors were detected between ECG and Polar RR signal, with a combined error rate of 0.086 %. The RR intervals from ECG to V800 were significantly different, but with small ES for both supine corrected and standing corrected data (ES &lt;0.001). The bias (LoA) were 0.06 (−4.33 to 4.45 ms) and 0.59 (−1.70 to 2.87 ms) for supine and standing intervals, respectively. The ICC was &gt;0.999 for both supine and standing corrected intervals. When analysed with the same HRV software no significant differences were observed in any HRV parameters, for either supine or standing; the data displayed small bias and tight LoA, strong ICC (&gt;0.99) and small ES (≤0.029). Conclusions: The V800 improves over previous Polar models, with narrower LoA, stronger ICC and smaller ES for both the RR intervals and HRV parameters. The findings support the validity of the Polar V800 and its ability to produce RR interval recordings consistent with an ECG. In addition, HRV parameters derived from these recordings are also highly comparable.&quot;,&quot;author&quot;:[{&quot;dropping-particle&quot;:&quot;&quot;,&quot;family&quot;:&quot;Giles&quot;,&quot;given&quot;:&quot;David&quot;,&quot;non-dropping-particle&quot;:&quot;&quot;,&quot;parse-names&quot;:false,&quot;suffix&quot;:&quot;&quot;},{&quot;dropping-particle&quot;:&quot;&quot;,&quot;family&quot;:&quot;Draper&quot;,&quot;given&quot;:&quot;Nick&quot;,&quot;non-dropping-particle&quot;:&quot;&quot;,&quot;parse-names&quot;:false,&quot;suffix&quot;:&quot;&quot;},{&quot;dropping-particle&quot;:&quot;&quot;,&quot;family&quot;:&quot;Neil&quot;,&quot;given&quot;:&quot;William&quot;,&quot;non-dropping-particle&quot;:&quot;&quot;,&quot;parse-names&quot;:false,&quot;suffix&quot;:&quot;&quot;}],&quot;container-title&quot;:&quot;European Journal of Applied Physiology&quot;,&quot;id&quot;:&quot;e9dc7a2f-414a-55cf-b7ed-1970e8050e12&quot;,&quot;issue&quot;:&quot;3&quot;,&quot;issued&quot;:{&quot;date-parts&quot;:[[&quot;2016&quot;]]},&quot;page&quot;:&quot;563-571&quot;,&quot;publisher&quot;:&quot;Springer Berlin Heidelberg&quot;,&quot;title&quot;:&quot;Validity of the Polar V800 heart rate monitor to measure RR intervals at rest&quot;,&quot;type&quot;:&quot;article-journal&quot;,&quot;volume&quot;:&quot;116&quot;,&quot;container-title-short&quot;:&quot;Eur. J. Appl. Physiol.&quot;},&quot;uris&quot;:[&quot;http://www.mendeley.com/documents/?uuid=b1b6d42c-8039-48f0-b19e-7b1ece23b791&quot;],&quot;isTemporary&quot;:false,&quot;legacyDesktopId&quot;:&quot;b1b6d42c-8039-48f0-b19e-7b1ece23b791&quot;}]},{&quot;citationID&quot;:&quot;MENDELEY_CITATION_637e95b7-9529-4a47-9688-7468fae13a26&quot;,&quot;properties&quot;:{&quot;noteIndex&quot;:0},&quot;isEdited&quot;:false,&quot;manualOverride&quot;:{&quot;citeprocText&quot;:&quot;[298,403]&quot;,&quot;isManuallyOverridden&quot;:false,&quot;manualOverrideText&quot;:&quot;&quot;},&quot;citationTag&quot;:&quot;MENDELEY_CITATION_v3_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&quot;,&quot;citationItems&quot;:[{&quot;id&quot;:&quot;89d6d906-87c6-505d-ae2b-4fc7e1e845e9&quot;,&quot;itemData&quot;:{&quot;DOI&quot;:&quot;10.3389/fphys.2013.00026&quot;,&quot;ISSN&quot;:&quot;1664042X&quot;,&quot;PMID&quot;:&quot;23431279&quot;,&quot;author&quot;:[{&quot;dropping-particle&quot;:&quot;&quot;,&quot;family&quot;:&quot;Billman&quot;,&quot;given&quot;:&quot;George E.&quot;,&quot;non-dropping-particle&quot;:&quot;&quot;,&quot;parse-names&quot;:false,&quot;suffix&quot;:&quot;&quot;}],&quot;container-title&quot;:&quot;Frontiers in Physiology&quot;,&quot;id&quot;:&quot;89d6d906-87c6-505d-ae2b-4fc7e1e845e9&quot;,&quot;issue&quot;:&quot;February&quot;,&quot;issued&quot;:{&quot;date-parts&quot;:[[&quot;2013&quot;]]},&quot;page&quot;:&quot;1-5&quot;,&quot;title&quot;:&quot;The LF/HF ratio does not accurately measure cardiac sympatho-vagal balance&quot;,&quot;type&quot;:&quot;article-journal&quot;,&quot;volume&quot;:&quot;4 FEB&quot;,&quot;container-title-short&quot;:&quot;Front. Physiol.&quot;},&quot;uris&quot;:[&quot;http://www.mendeley.com/documents/?uuid=6c2ca032-d3bb-4d73-8e4b-c81d6ea6e4d3&quot;],&quot;isTemporary&quot;:false,&quot;legacyDesktopId&quot;:&quot;6c2ca032-d3bb-4d73-8e4b-c81d6ea6e4d3&quot;},{&quot;id&quot;:&quot;bba61923-85cc-550f-9027-7cdc89416dff&quot;,&quot;itemData&quot;:{&quot;DOI&quot;:&quot;10.1113/expphysiol.2010.056259&quot;,&quot;ISSN&quot;:&quot;1469445X&quot;,&quot;PMID&quot;:&quot;21890520&quot;,&quot;abstract&quot;:&quot;Power spectral analysis of heart rate variability has often been used to assess cardiac autonomic function; however, the relationship of low-frequency (LF) power of heart rate variability to cardiac sympathetic tone has been unclear. With or without adjustment for high-frequency (HF) power, total power or respiration, LF power seems to provide an index not of cardiac sympathetic tone but of baroreflex function. Manipulations and drugs that change LF power or LF:HF may do so not by affecting cardiac autonomic outflows directly but by affecting modulation of those outflows by baroreflexes. © 2011 The Authors. Journal compilation © 2011 The Physiological Society.&quot;,&quot;author&quot;:[{&quot;dropping-particle&quot;:&quot;&quot;,&quot;family&quot;:&quot;Goldstein&quot;,&quot;given&quot;:&quot;David S.&quot;,&quot;non-dropping-particle&quot;:&quot;&quot;,&quot;parse-names&quot;:false,&quot;suffix&quot;:&quot;&quot;},{&quot;dropping-particle&quot;:&quot;&quot;,&quot;family&quot;:&quot;Bentho&quot;,&quot;given&quot;:&quot;Oladi&quot;,&quot;non-dropping-particle&quot;:&quot;&quot;,&quot;parse-names&quot;:false,&quot;suffix&quot;:&quot;&quot;},{&quot;dropping-particle&quot;:&quot;&quot;,&quot;family&quot;:&quot;Park&quot;,&quot;given&quot;:&quot;Mee Yeong&quot;,&quot;non-dropping-particle&quot;:&quot;&quot;,&quot;parse-names&quot;:false,&quot;suffix&quot;:&quot;&quot;},{&quot;dropping-particle&quot;:&quot;&quot;,&quot;family&quot;:&quot;Sharabi&quot;,&quot;given&quot;:&quot;Yehonatan&quot;,&quot;non-dropping-particle&quot;:&quot;&quot;,&quot;parse-names&quot;:false,&quot;suffix&quot;:&quot;&quot;}],&quot;container-title&quot;:&quot;Experimental Physiology&quot;,&quot;id&quot;:&quot;bba61923-85cc-550f-9027-7cdc89416dff&quot;,&quot;issue&quot;:&quot;12&quot;,&quot;issued&quot;:{&quot;date-parts&quot;:[[&quot;2011&quot;]]},&quot;page&quot;:&quot;1255-1261&quot;,&quot;title&quot;:&quot;Low-frequency power of heart rate variability is not a measure of cardiac sympathetic tone but may be a measure of modulation of cardiac autonomic outflows by baroreflexes&quot;,&quot;type&quot;:&quot;article-journal&quot;,&quot;volume&quot;:&quot;96&quot;,&quot;container-title-short&quot;:&quot;Exp. Physiol.&quot;},&quot;uris&quot;:[&quot;http://www.mendeley.com/documents/?uuid=a8a7f295-2979-42cf-966f-1ffc7051e624&quot;],&quot;isTemporary&quot;:false,&quot;legacyDesktopId&quot;:&quot;a8a7f295-2979-42cf-966f-1ffc7051e624&quot;}]},{&quot;citationID&quot;:&quot;MENDELEY_CITATION_c7d50e37-9bc5-4168-8e1c-6264d229b4b1&quot;,&quot;properties&quot;:{&quot;noteIndex&quot;:0},&quot;isEdited&quot;:false,&quot;manualOverride&quot;:{&quot;citeprocText&quot;:&quot;[404]&quot;,&quot;isManuallyOverridden&quot;:false,&quot;manualOverrideText&quot;:&quot;&quot;},&quot;citationTag&quot;:&quot;MENDELEY_CITATION_v3_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&quot;,&quot;citationItems&quot;:[{&quot;id&quot;:&quot;1135b847-7279-5a50-9c7d-39aadcc964e0&quot;,&quot;itemData&quot;:{&quot;DOI&quot;:&quot;10.1249/MSS.0b013e318180bc98&quot;,&quot;ISSN&quot;:&quot;01959131&quot;,&quot;PMID&quot;:&quot;18981943&quot;,&quot;abstract&quot;:&quot;In healthy, noninjured, individuals, passive (i.e., nonexercising) whole-body heating has the potential to cause significant cardiovascular stress that may be second only to the cardiovascular stress associated with exercise. For example, such a heat stress can increase heart rate to well over 100 beats•min with cardiac output increasing upward to 13 L•min. This increase in cardiac output is necessary to maintain blood pressure due to profound reductions in total vascular conductance associated with cutaneous vasodilation. These responses are accompanied with elevations in sympathetic activity and reductions in vascular conductance (i.e., increased vascular resistance) from noncutaneous beds. While heat-stressed, blood pressure control is compromised resulting in orthostatic intolerance. A plausible explanation for such an event is that heat stress impairs baroreflex responsiveness perhaps due to the reduced range by which baroreflexes can increase heart rate, cardiac output, sympathetic activity, and vascular resistance during a hypotensive challenge. Given that dynamic exercise has the potential to cause large increases in internal temperature, possibly a component of the response to exercise, with respect to baroreflex control of blood pressure, may be affected by the thermal load during the exercise bout. Within this context, the purpose of this review was to summarize findings investigating the effects of heat stress on baroreflex regulation of blood pressure. Copyright © 2008 by the American College of Sports Medicine.&quot;,&quot;author&quot;:[{&quot;dropping-particle&quot;:&quot;&quot;,&quot;family&quot;:&quot;Crandall&quot;,&quot;given&quot;:&quot;Craig G.&quot;,&quot;non-dropping-particle&quot;:&quot;&quot;,&quot;parse-names&quot;:false,&quot;suffix&quot;:&quot;&quot;}],&quot;container-title&quot;:&quot;Medicine and Science in Sports and Exercise&quot;,&quot;id&quot;:&quot;1135b847-7279-5a50-9c7d-39aadcc964e0&quot;,&quot;issue&quot;:&quot;12&quot;,&quot;issued&quot;:{&quot;date-parts&quot;:[[&quot;2008&quot;]]},&quot;page&quot;:&quot;2063-2070&quot;,&quot;title&quot;:&quot;Heat stress and baroreflex regulation ofblood pressure&quot;,&quot;type&quot;:&quot;article-journal&quot;,&quot;volume&quot;:&quot;40&quot;,&quot;container-title-short&quot;:&quot;Med. Sci. Sports Exerc.&quot;},&quot;uris&quot;:[&quot;http://www.mendeley.com/documents/?uuid=1aa459ac-76f1-4239-aa95-de69e58464db&quot;,&quot;http://www.mendeley.com/documents/?uuid=45601613-be1d-4166-b05f-0ac840aa9f80&quot;],&quot;isTemporary&quot;:false,&quot;legacyDesktopId&quot;:&quot;1aa459ac-76f1-4239-aa95-de69e58464db&quot;}]},{&quot;citationID&quot;:&quot;MENDELEY_CITATION_17cd5896-d650-4fbd-bcfd-c7a9aa5002ed&quot;,&quot;properties&quot;:{&quot;noteIndex&quot;:0},&quot;isEdited&quot;:false,&quot;manualOverride&quot;:{&quot;citeprocText&quot;:&quot;[405]&quot;,&quot;isManuallyOverridden&quot;:false,&quot;manualOverrideText&quot;:&quot;&quot;},&quot;citationTag&quot;:&quot;MENDELEY_CITATION_v3_eyJjaXRhdGlvbklEIjoiTUVOREVMRVlfQ0lUQVRJT05fMTdjZDU4OTYtZDY1MC00ZmJkLWJjZmQtYzdhOWFhNTAwMmVk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4be4508c-ba2a-47e8-9371-a175336f2263&quot;,&quot;properties&quot;:{&quot;noteIndex&quot;:0},&quot;isEdited&quot;:false,&quot;manualOverride&quot;:{&quot;citeprocText&quot;:&quot;[406]&quot;,&quot;isManuallyOverridden&quot;:false,&quot;manualOverrideText&quot;:&quot;&quot;},&quot;citationTag&quot;:&quot;MENDELEY_CITATION_v3_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&quot;,&quot;citationItems&quot;:[{&quot;id&quot;:&quot;468121a1-8e8a-56d5-8fcd-7e2add2f5771&quot;,&quot;itemData&quot;:{&quot;DOI&quot;:&quot;10.1152/physrev.1974.54.1.75&quot;,&quot;ISSN&quot;:&quot;00319333&quot;,&quot;PMID&quot;:&quot;4587247&quot;,&quot;abstract&quot;:&quot;This review focuses on the following major problems relevant to human cardiovascular adjustments to exercise and heat stress, cardiovascular adjustments to exercise, cardiovascular adjustments to heat stress during rest, cardiovascular adjustments to combined thermal and metabolic stress, and predictability of vasomotor responses. Emphasis is directed toward the regulation and importance of blood flow distribution.&quot;,&quot;author&quot;:[{&quot;dropping-particle&quot;:&quot;&quot;,&quot;family&quot;:&quot;Rowell&quot;,&quot;given&quot;:&quot;L. B.&quot;,&quot;non-dropping-particle&quot;:&quot;&quot;,&quot;parse-names&quot;:false,&quot;suffix&quot;:&quot;&quot;}],&quot;container-title&quot;:&quot;Physiological Reviews&quot;,&quot;id&quot;:&quot;468121a1-8e8a-56d5-8fcd-7e2add2f5771&quot;,&quot;issue&quot;:&quot;1&quot;,&quot;issued&quot;:{&quot;date-parts&quot;:[[&quot;1974&quot;]]},&quot;page&quot;:&quot;75-159&quot;,&quot;title&quot;:&quot;Human cardiovascular adjustments to exercise and thermal stress&quot;,&quot;type&quot;:&quot;article-journal&quot;,&quot;volume&quot;:&quot;54&quot;,&quot;container-title-short&quot;:&quot;Physiol. Rev.&quot;},&quot;uris&quot;:[&quot;http://www.mendeley.com/documents/?uuid=25fe2fe1-dcd3-4461-93b3-fed5f8579161&quot;,&quot;http://www.mendeley.com/documents/?uuid=43ffca5f-4ab4-451a-8aef-01462947a6d2&quot;],&quot;isTemporary&quot;:false,&quot;legacyDesktopId&quot;:&quot;25fe2fe1-dcd3-4461-93b3-fed5f8579161&quot;}]},{&quot;citationID&quot;:&quot;MENDELEY_CITATION_644e2550-fa5b-4225-a3e2-0b83cfeb2233&quot;,&quot;properties&quot;:{&quot;noteIndex&quot;:0},&quot;isEdited&quot;:false,&quot;manualOverride&quot;:{&quot;citeprocText&quot;:&quot;[407]&quot;,&quot;isManuallyOverridden&quot;:false,&quot;manualOverrideText&quot;:&quot;&quot;},&quot;citationTag&quot;:&quot;MENDELEY_CITATION_v3_eyJjaXRhdGlvbklEIjoiTUVOREVMRVlfQ0lUQVRJT05fNjQ0ZTI1NTAtZmE1Yi00MjI1LWEzZTItMGI4M2NmZWIyMjMz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82d37c62-d235-46cc-bfa2-5933ace659eb&quot;,&quot;properties&quot;:{&quot;noteIndex&quot;:0},&quot;isEdited&quot;:false,&quot;manualOverride&quot;:{&quot;citeprocText&quot;:&quot;[408]&quot;,&quot;isManuallyOverridden&quot;:false,&quot;manualOverrideText&quot;:&quot;&quot;},&quot;citationTag&quot;:&quot;MENDELEY_CITATION_v3_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&quot;,&quot;citationItems&quot;:[{&quot;id&quot;:&quot;8bf223b6-888e-53e4-bf45-e37ebd0202f9&quot;,&quot;itemData&quot;:{&quot;DOI&quot;:&quot;10.3389/fphys.2019.01415&quot;,&quot;ISSN&quot;:&quot;1664042X&quot;,&quot;abstract&quot;:&quot;Oscillometry is the blood pressure (BP) measurement principle of most automatic cuff devices. The oscillogram (which is approximately the blood volume oscillation amplitude-external pressure function) is measured, and BP is then estimated via an empirical algorithm. The objective was to establish formulas to explain three popular empirical algorithms in the literature—the maximum amplitude, derivative, and fixed ratio algorithms. A mathematical model of the oscillogram was developed and analyzed to derive parametric formulas for explaining each algorithm. Exemplary parameter values were obtained by fitting the model to measured oscillograms. The model and formulas were validated by showing that their predictions correspond to measurements. The formula for the maximum amplitude algorithm indicates that it yields a weighted average of systolic and diastolic BP (0.45 and 0.55 weighting) instead of commonly assumed mean BP. The formulas for the derivative algorithm indicate that it can accurately estimate systolic and diastolic BP (&lt;1.5 mmHg error), if oscillogram measurement noise can be obviated. The formulas for the fixed ratio algorithm indicate that it can yield inaccurate BP estimates, because the ratios change substantially (over a 0.5–0.6 range) with arterial compliance and pulse pressure and error in the assumed ratio translates to BP error via large amplification (&gt;40). The established formulas allow for easy and complete interpretation of perhaps the three most popular oscillometric BP estimation algorithms in the literature while providing new insights. The model and formulas may also be of some value toward improving the accuracy of automatic cuff BP measurement devices.&quot;,&quot;author&quot;:[{&quot;dropping-particle&quot;:&quot;&quot;,&quot;family&quot;:&quot;Chandrasekhar&quot;,&quot;given&quot;:&quot;Anand&quot;,&quot;non-dropping-particle&quot;:&quot;&quot;,&quot;parse-names&quot;:false,&quot;suffix&quot;:&quot;&quot;},{&quot;dropping-particle&quot;:&quot;&quot;,&quot;family&quot;:&quot;Yavarimanesh&quot;,&quot;given&quot;:&quot;Mohammad&quot;,&quot;non-dropping-particle&quot;:&quot;&quot;,&quot;parse-names&quot;:false,&quot;suffix&quot;:&quot;&quot;},{&quot;dropping-particle&quot;:&quot;&quot;,&quot;family&quot;:&quot;Hahn&quot;,&quot;given&quot;:&quot;Jin Oh&quot;,&quot;non-dropping-particle&quot;:&quot;&quot;,&quot;parse-names&quot;:false,&quot;suffix&quot;:&quot;&quot;},{&quot;dropping-particle&quot;:&quot;&quot;,&quot;family&quot;:&quot;Sung&quot;,&quot;given&quot;:&quot;Shih Hsien&quot;,&quot;non-dropping-particle&quot;:&quot;&quot;,&quot;parse-names&quot;:false,&quot;suffix&quot;:&quot;&quot;},{&quot;dropping-particle&quot;:&quot;&quot;,&quot;family&quot;:&quot;Chen&quot;,&quot;given&quot;:&quot;Chen Huan&quot;,&quot;non-dropping-particle&quot;:&quot;&quot;,&quot;parse-names&quot;:false,&quot;suffix&quot;:&quot;&quot;},{&quot;dropping-particle&quot;:&quot;&quot;,&quot;family&quot;:&quot;Cheng&quot;,&quot;given&quot;:&quot;Hao Min&quot;,&quot;non-dropping-particle&quot;:&quot;&quot;,&quot;parse-names&quot;:false,&quot;suffix&quot;:&quot;&quot;},{&quot;dropping-particle&quot;:&quot;&quot;,&quot;family&quot;:&quot;Mukkamala&quot;,&quot;given&quot;:&quot;Ramakrishna&quot;,&quot;non-dropping-particle&quot;:&quot;&quot;,&quot;parse-names&quot;:false,&quot;suffix&quot;:&quot;&quot;}],&quot;container-title&quot;:&quot;Frontiers in Physiology&quot;,&quot;id&quot;:&quot;8bf223b6-888e-53e4-bf45-e37ebd0202f9&quot;,&quot;issue&quot;:&quot;November&quot;,&quot;issued&quot;:{&quot;date-parts&quot;:[[&quot;2019&quot;]]},&quot;page&quot;:&quot;1-14&quot;,&quot;title&quot;:&quot;Formulas to Explain Popular Oscillometric Blood Pressure Estimation Algorithms&quot;,&quot;type&quot;:&quot;article-journal&quot;,&quot;volume&quot;:&quot;10&quot;,&quot;container-title-short&quot;:&quot;Front. Physiol.&quot;},&quot;uris&quot;:[&quot;http://www.mendeley.com/documents/?uuid=6dc177ab-64d5-42cb-9d04-f4ec42134aab&quot;,&quot;http://www.mendeley.com/documents/?uuid=3ecf246e-46f8-4af1-be24-367a6edf643f&quot;],&quot;isTemporary&quot;:false,&quot;legacyDesktopId&quot;:&quot;6dc177ab-64d5-42cb-9d04-f4ec42134aab&quot;}]},{&quot;citationID&quot;:&quot;MENDELEY_CITATION_49174490-7a9d-4853-92cb-4b9e17d6b1a5&quot;,&quot;properties&quot;:{&quot;noteIndex&quot;:0},&quot;isEdited&quot;:false,&quot;manualOverride&quot;:{&quot;citeprocText&quot;:&quot;[409]&quot;,&quot;isManuallyOverridden&quot;:false,&quot;manualOverrideText&quot;:&quot;&quot;},&quot;citationTag&quot;:&quot;MENDELEY_CITATION_v3_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&quot;,&quot;citationItems&quot;:[{&quot;id&quot;:&quot;1283b784-e18d-57a9-9fae-d4236da0231e&quot;,&quot;itemData&quot;:{&quot;DOI&quot;:&quot;10.1016/j.jash.2014.08.014&quot;,&quot;ISBN&quot;:&quot;9017578181&quot;,&quot;ISSN&quot;:&quot;18787436&quot;,&quot;PMID&quot;:&quot;25492837&quot;,&quot;abstract&quot;:&quot;Oscillometric devices for the non-invasive estimation of blood pressure (BP) have become the \&quot;clinical standard\&quot; because of training requirements for determination of BP by auscultation, cost, and the phasing-out/banning of mercury in many states and countries. Analysis of recent publications reveals a lack of understanding of the \&quot;meaning\&quot; of oscillometric blood pressure (OBP) measurements by authors, journal editors, and clinicians. We were invited to submit a review of OBP methodology written for clinicians. We hope that the material contained herein will clarify how clinicians should interpret OBP values for their patients.&quot;,&quot;author&quot;:[{&quot;dropping-particle&quot;:&quot;&quot;,&quot;family&quot;:&quot;Alpert&quot;,&quot;given&quot;:&quot;Bruce S.&quot;,&quot;non-dropping-particle&quot;:&quot;&quot;,&quot;parse-names&quot;:false,&quot;suffix&quot;:&quot;&quot;},{&quot;dropping-particle&quot;:&quot;&quot;,&quot;family&quot;:&quot;Quinn&quot;,&quot;given&quot;:&quot;David&quot;,&quot;non-dropping-particle&quot;:&quot;&quot;,&quot;parse-names&quot;:false,&quot;suffix&quot;:&quot;&quot;},{&quot;dropping-particle&quot;:&quot;&quot;,&quot;family&quot;:&quot;Gallick&quot;,&quot;given&quot;:&quot;David&quot;,&quot;non-dropping-particle&quot;:&quot;&quot;,&quot;parse-names&quot;:false,&quot;suffix&quot;:&quot;&quot;}],&quot;container-title&quot;:&quot;Journal of the American Society of Hypertension&quot;,&quot;id&quot;:&quot;1283b784-e18d-57a9-9fae-d4236da0231e&quot;,&quot;issue&quot;:&quot;12&quot;,&quot;issued&quot;:{&quot;date-parts&quot;:[[&quot;2014&quot;]]},&quot;page&quot;:&quot;930-938&quot;,&quot;publisher&quot;:&quot;Elsevier Ltd&quot;,&quot;title&quot;:&quot;Oscillometric blood pressure: A review for clinicians&quot;,&quot;type&quot;:&quot;article-journal&quot;,&quot;volume&quot;:&quot;8&quot;,&quot;container-title-short&quot;:&quot;&quot;},&quot;uris&quot;:[&quot;http://www.mendeley.com/documents/?uuid=f5d73692-9beb-430a-98c6-e102151395d6&quot;,&quot;http://www.mendeley.com/documents/?uuid=a19b0e88-e9cb-4a6c-bf4f-1369feebe9ae&quot;],&quot;isTemporary&quot;:false,&quot;legacyDesktopId&quot;:&quot;f5d73692-9beb-430a-98c6-e102151395d6&quot;}]},{&quot;citationID&quot;:&quot;MENDELEY_CITATION_7f770691-87a7-4de8-ab36-fa9532e45669&quot;,&quot;properties&quot;:{&quot;noteIndex&quot;:0},&quot;isEdited&quot;:false,&quot;manualOverride&quot;:{&quot;citeprocText&quot;:&quot;[407]&quot;,&quot;isManuallyOverridden&quot;:false,&quot;manualOverrideText&quot;:&quot;&quot;},&quot;citationTag&quot;:&quot;MENDELEY_CITATION_v3_eyJjaXRhdGlvbklEIjoiTUVOREVMRVlfQ0lUQVRJT05fN2Y3NzA2OTEtODdhNy00ZGU4LWFiMzYtZmE5NTMyZTQ1NjY5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98993d2c-bb92-45e8-9f0f-502ed3da1dc3&quot;,&quot;properties&quot;:{&quot;noteIndex&quot;:0},&quot;isEdited&quot;:false,&quot;manualOverride&quot;:{&quot;citeprocText&quot;:&quot;[410]&quot;,&quot;isManuallyOverridden&quot;:false,&quot;manualOverrideText&quot;:&quot;&quot;},&quot;citationTag&quot;:&quot;MENDELEY_CITATION_v3_eyJjaXRhdGlvbklEIjoiTUVOREVMRVlfQ0lUQVRJT05fOTg5OTNkMmMtYmI5Mi00NWU4LTlmMGYtNTAyZWQzZGExZGMzIiwicHJvcGVydGllcyI6eyJub3RlSW5kZXgiOjB9LCJpc0VkaXRlZCI6ZmFsc2UsIm1hbnVhbE92ZXJyaWRlIjp7ImNpdGVwcm9jVGV4dCI6Ils0MTBdIiwiaXNNYW51YWxseU92ZXJyaWRkZW4iOmZhbHNlLCJtYW51YWxPdmVycmlkZVRleHQiOiIifSwiY2l0YXRpb25JdGVtcyI6W3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quot;,&quot;citationItems&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citationID&quot;:&quot;MENDELEY_CITATION_b915b256-a6b4-4c15-a62e-ecf3d127def7&quot;,&quot;properties&quot;:{&quot;noteIndex&quot;:0},&quot;isEdited&quot;:false,&quot;manualOverride&quot;:{&quot;citeprocText&quot;:&quot;[411–413]&quot;,&quot;isManuallyOverridden&quot;:false,&quot;manualOverrideText&quot;:&quot;&quot;},&quot;citationTag&quot;:&quot;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&quot;,&quot;citationItems&quot;:[{&quot;id&quot;:&quot;81ef31a6-b037-575d-abef-1eb92a6eb4f7&quot;,&quot;itemData&quot;:{&quot;DOI&quot;:&quot;10.1007/s10877-015-9670-2&quot;,&quot;ISSN&quot;:&quot;1387-1307&quot;,&quot;PMID&quot;:&quot;25726179&quot;,&quot;abstract&quot;:&quot;The CNAP system allows continuous noninvasive arterial pressure measurement based on the volume clamp method using a finger cuff. We aimed to evaluate the agreement between arterial pressure measurements noninvasively obtained using the CNAP device and arterial catheter-derived arterial pressure measurements in intensive care unit patients. In 55 intensive care unit patients, we simultaneously recorded arterial pressure values obtained by an arterial catheter placed in the abdominal aorta through the femoral artery (criterion standard) and arterial pressure values determined noninvasively using CNAP. We performed Bland–Altman analysis and calculated the percentage error. The mean difference (±standard deviation, 95 % limits of agreement, percentage error) between noninvasive (CNAP) and invasively assessed arterial pressure was for mean arterial pressure +1 mmHg (±9 mmHg, −16 to +19 mmHg, 22 %), for systolic arterial pressure −10 mmHg (±16 mmHg, −42 to +21 mmHg, 27 %), and for diastolic arterial pressure +7 mmHg (±9 mmHg, −10 to +24 mmHg, 28 %). Our results indicate a reasonable accuracy and precision for the determination of mean and diastolic arterial pressure by noninvasive continuous arterial pressure measurements using the volume clamp method compared with the criterion standard (invasive arterial catheter). Systolic arterial pressure is determined less accurately and precisely.&quot;,&quot;author&quot;:[{&quot;dropping-particle&quot;:&quot;&quot;,&quot;family&quot;:&quot;Wagner&quot;,&quot;given&quot;:&quot;Julia Y.&quot;,&quot;non-dropping-particle&quot;:&quot;&quot;,&quot;parse-names&quot;:false,&quot;suffix&quot;:&quot;&quot;},{&quot;dropping-particle&quot;:&quot;&quot;,&quot;family&quot;:&quot;Negulescu&quot;,&quot;given&quot;:&quot;Ileana&quot;,&quot;non-dropping-particle&quot;:&quot;&quot;,&quot;parse-names&quot;:false,&quot;suffix&quot;:&quot;&quot;},{&quot;dropping-particle&quot;:&quot;&quot;,&quot;family&quot;:&quot;Schöfthaler&quot;,&quot;given&quot;:&quot;Miriam&quot;,&quot;non-dropping-particle&quot;:&quot;&quot;,&quot;parse-names&quot;:false,&quot;suffix&quot;:&quot;&quot;},{&quot;dropping-particle&quot;:&quot;&quot;,&quot;family&quot;:&quot;Hapfelmeier&quot;,&quot;given&quot;:&quot;Alexander&quot;,&quot;non-dropping-particle&quot;:&quot;&quot;,&quot;parse-names&quot;:false,&quot;suffix&quot;:&quot;&quot;},{&quot;dropping-particle&quot;:&quot;&quot;,&quot;family&quot;:&quot;Meidert&quot;,&quot;given&quot;:&quot;Agnes S.&quot;,&quot;non-dropping-particle&quot;:&quot;&quot;,&quot;parse-names&quot;:false,&quot;suffix&quot;:&quot;&quot;},{&quot;dropping-particle&quot;:&quot;&quot;,&quot;family&quot;:&quot;Huber&quot;,&quot;given&quot;:&quot;Wolfgang&quot;,&quot;non-dropping-particle&quot;:&quot;&quot;,&quot;parse-names&quot;:false,&quot;suffix&quot;:&quot;&quot;},{&quot;dropping-particle&quot;:&quot;&quot;,&quot;family&quot;:&quot;Schmid&quot;,&quot;given&quot;:&quot;Roland M.&quot;,&quot;non-dropping-particle&quot;:&quot;&quot;,&quot;parse-names&quot;:false,&quot;suffix&quot;:&quot;&quot;},{&quot;dropping-particle&quot;:&quot;&quot;,&quot;family&quot;:&quot;Saugel&quot;,&quot;given&quot;:&quot;Bernd&quot;,&quot;non-dropping-particle&quot;:&quot;&quot;,&quot;parse-names&quot;:false,&quot;suffix&quot;:&quot;&quot;}],&quot;container-title&quot;:&quot;Journal of Clinical Monitoring and Computing&quot;,&quot;id&quot;:&quot;81ef31a6-b037-575d-abef-1eb92a6eb4f7&quot;,&quot;issue&quot;:&quot;6&quot;,&quot;issued&quot;:{&quot;date-parts&quot;:[[&quot;2015&quot;,&quot;12&quot;,&quot;1&quot;]]},&quot;page&quot;:&quot;807-813&quot;,&quot;title&quot;:&quot;Continuous noninvasive arterial pressure measurement using the volume clamp method: an evaluation of the CNAP device in intensive care unit patients&quot;,&quot;type&quot;:&quot;article-journal&quot;,&quot;volume&quot;:&quot;29&quot;,&quot;container-title-short&quot;:&quot;J. Clin. Monit. Comput.&quot;},&quot;uris&quot;:[&quot;http://www.mendeley.com/documents/?uuid=4f12e663-d0a5-4dfb-8a93-03fbcfbba4ff&quot;],&quot;isTemporary&quot;:false,&quot;legacyDesktopId&quot;:&quot;4f12e663-d0a5-4dfb-8a93-03fbcfbba4ff&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citationID&quot;:&quot;MENDELEY_CITATION_886db104-7239-4414-b5bb-c2807db74f62&quot;,&quot;properties&quot;:{&quot;noteIndex&quot;:0},&quot;isEdited&quot;:false,&quot;manualOverride&quot;:{&quot;citeprocText&quot;:&quot;[410,414]&quot;,&quot;isManuallyOverridden&quot;:false,&quot;manualOverrideText&quot;:&quot;&quot;},&quot;citationTag&quot;:&quot;MENDELEY_CITATION_v3_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&quot;,&quot;citationItems&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citationID&quot;:&quot;MENDELEY_CITATION_3dde64fc-c415-443f-b7e5-172fc5f993e2&quot;,&quot;properties&quot;:{&quot;noteIndex&quot;:0},&quot;isEdited&quot;:false,&quot;manualOverride&quot;:{&quot;citeprocText&quot;:&quot;[415]&quot;,&quot;isManuallyOverridden&quot;:false,&quot;manualOverrideText&quot;:&quot;&quot;},&quot;citationTag&quot;:&quot;MENDELEY_CITATION_v3_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&quot;,&quot;citationItems&quot;:[{&quot;id&quot;:&quot;2d610581-4c26-54e8-bfed-01c04599975b&quot;,&quot;itemData&quot;:{&quot;DOI&quot;:&quot;10.1038/hr.2015.78&quot;,&quot;ISSN&quot;:&quot;0916-9636&quot;,&quot;PMID&quot;:&quot;26155750&quot;,&quot;author&quot;:[{&quot;dropping-particle&quot;:&quot;&quot;,&quot;family&quot;:&quot;Salvi&quot;,&quot;given&quot;:&quot;Paolo&quot;,&quot;non-dropping-particle&quot;:&quot;&quot;,&quot;parse-names&quot;:false,&quot;suffix&quot;:&quot;&quot;},{&quot;dropping-particle&quot;:&quot;&quot;,&quot;family&quot;:&quot;Grillo&quot;,&quot;given&quot;:&quot;Andrea&quot;,&quot;non-dropping-particle&quot;:&quot;&quot;,&quot;parse-names&quot;:false,&quot;suffix&quot;:&quot;&quot;},{&quot;dropping-particle&quot;:&quot;&quot;,&quot;family&quot;:&quot;Parati&quot;,&quot;given&quot;:&quot;Gianfranco&quot;,&quot;non-dropping-particle&quot;:&quot;&quot;,&quot;parse-names&quot;:false,&quot;suffix&quot;:&quot;&quot;}],&quot;container-title&quot;:&quot;Hypertension Research&quot;,&quot;id&quot;:&quot;2d610581-4c26-54e8-bfed-01c04599975b&quot;,&quot;issue&quot;:&quot;10&quot;,&quot;issued&quot;:{&quot;date-parts&quot;:[[&quot;2015&quot;,&quot;10&quot;,&quot;9&quot;]]},&quot;page&quot;:&quot;646-648&quot;,&quot;publisher&quot;:&quot;Nature Publishing Group&quot;,&quot;title&quot;:&quot;Noninvasive estimation of central blood pressure and analysis of pulse waves by applanation tonometry&quot;,&quot;type&quot;:&quot;article-journal&quot;,&quot;volume&quot;:&quot;38&quot;,&quot;container-title-short&quot;:&quot;&quot;},&quot;uris&quot;:[&quot;http://www.mendeley.com/documents/?uuid=18e79b24-031d-43a0-ba97-fb10a3ff0d76&quot;],&quot;isTemporary&quot;:false,&quot;legacyDesktopId&quot;:&quot;18e79b24-031d-43a0-ba97-fb10a3ff0d76&quot;}]},{&quot;citationID&quot;:&quot;MENDELEY_CITATION_edb8b248-12ef-4350-bffb-e5a1ea1020b9&quot;,&quot;properties&quot;:{&quot;noteIndex&quot;:0},&quot;isEdited&quot;:false,&quot;manualOverride&quot;:{&quot;citeprocText&quot;:&quot;[405,416]&quot;,&quot;isManuallyOverridden&quot;:false,&quot;manualOverrideText&quot;:&quot;&quot;},&quot;citationTag&quot;:&quot;MENDELEY_CITATION_v3_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&quot;,&quot;citationItems&quot;:[{&quot;id&quot;:&quot;cc9f1fe3-2bdf-556f-8694-5ac829c291e6&quot;,&quot;itemData&quot;:{&quot;DOI&quot;:&quot;10.1007/s13534-019-00096-x&quot;,&quot;ISBN&quot;:&quot;0123456789&quot;,&quot;ISSN&quot;:&quot;2093-9868&quot;,&quot;abstract&quot;:&quot;Cuffless technique holds great promise to measure blood pressure (BP) in an unobtrusive way, improving diagnostics and monitoring of hypertension and its related cardiovascular diseases, and maximizing the independence and participation of individual. Pulse transit time (PTT) has been the most commonly employed techniques for cuffless BP estimation. Many studies have been conducted to explore its feasibility and validate its performance in the clinical settings. However, there is still issues and challenges ahead before its wide application. This review will investigate the understanding and development of the PTT technique in depth, with a focus on the physiological regulation of arterial BP, the relationship between PTT and BP, and the summaries of the PTT-based models for BP estimation.&quot;,&quot;author&quot;:[{&quot;dropping-particle&quot;:&quot;&quot;,&quot;family&quot;:&quot;Ding&quot;,&quot;given&quot;:&quot;Xiaorong&quot;,&quot;non-dropping-particle&quot;:&quot;&quot;,&quot;parse-names&quot;:false,&quot;suffix&quot;:&quot;&quot;},{&quot;dropping-particle&quot;:&quot;&quot;,&quot;family&quot;:&quot;Zhang&quot;,&quot;given&quot;:&quot;Yuan-Ting&quot;,&quot;non-dropping-particle&quot;:&quot;&quot;,&quot;parse-names&quot;:false,&quot;suffix&quot;:&quot;&quot;}],&quot;container-title&quot;:&quot;Biomedical Engineering Letters&quot;,&quot;id&quot;:&quot;cc9f1fe3-2bdf-556f-8694-5ac829c291e6&quot;,&quot;issue&quot;:&quot;1&quot;,&quot;issued&quot;:{&quot;date-parts&quot;:[[&quot;2019&quot;,&quot;2&quot;,&quot;18&quot;]]},&quot;page&quot;:&quot;37-52&quot;,&quot;publisher&quot;:&quot;The Korean Society of Medical and Biological Engineering&quot;,&quot;title&quot;:&quot;Pulse transit time technique for cuffless unobtrusive blood pressure measurement: from theory to algorithm&quot;,&quot;type&quot;:&quot;article-journal&quot;,&quot;volume&quot;:&quot;9&quot;,&quot;container-title-short&quot;:&quot;Biomed. Eng. Lett.&quot;},&quot;uris&quot;:[&quot;http://www.mendeley.com/documents/?uuid=3cb5fad5-0cd5-4029-bee9-1bfc4e979011&quot;],&quot;isTemporary&quot;:false,&quot;legacyDesktopId&quot;:&quot;3cb5fad5-0cd5-4029-bee9-1bfc4e979011&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7f3e799c-f5f8-47ce-ac63-1750de35a572&quot;,&quot;properties&quot;:{&quot;noteIndex&quot;:0},&quot;isEdited&quot;:false,&quot;manualOverride&quot;:{&quot;citeprocText&quot;:&quot;[417]&quot;,&quot;isManuallyOverridden&quot;:false,&quot;manualOverrideText&quot;:&quot;&quot;},&quot;citationTag&quot;:&quot;MENDELEY_CITATION_v3_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&quot;,&quot;citationItems&quot;:[{&quot;id&quot;:&quot;f49da493-ebf2-50cb-8da2-a7515a5b1fb6&quot;,&quot;itemData&quot;:{&quot;DOI&quot;:&quot;10.3390/s23031684&quot;,&quot;ISSN&quot;:&quot;1424-8220&quot;,&quot;PMID&quot;:&quot;36772724&quot;,&quot;abstract&quot;:&quot;Research has shown that pulse transit time (PTT), which is the time delay between the electrocardiogram (ECG) signal and the signal from a photoplethysmogram (PPG) sensor, can be used to estimate systolic blood pressure (SBP) and diastolic blood pressure (DBP) without the need for a cuff. However, the LED of the PPG sensor requires the precise adjustment of both light intensity and light absorption rates according to the contact status of the light-receiving element. This results in the need for regular calibration. In this study, we propose a cuffless blood pressure monitor that measures real-time blood pressure using a microphone instead of a PPG sensor. The blood pulse wave is measured in the radial artery of the wrist using a microphone that can directly measure the sound generated by a body rather than sending energy inside the body and receiving a returning signal. Our blood pressure monitor uses the PTT between the R-peak of the ECG signal and two feature points of the blood pulse wave in the radial artery of the wrist. ECG electrodes and circuits were fabricated, and a commercial microelectromechanical system (MEMS) microphone was used as the microphone to measure blood pulses. The peak points of the blood pulse from the microphone were clear, so the estimated SBP and DBP could be obtained from each ECG pulse in real time, and the resulting estimations were similar to those made by a commercial cuff blood pressure monitor. Since neither the ECG electrodes nor the microphone requires calibration over time, the real-time cuffless blood pressure monitor does not require calibration. Using the developed device, blood pressure was measured three times daily for five days, and the mean absolute error (MAE) and standard deviation (SD) of the SBP and DBP were found to be 2.72 ± 3.42 mmHg and 2.29 ± 3.53 mmHg, respectively. As a preliminary study for proof-of-concept, these results were obtained from one subject. The next step will be a pilot study on a large number of subjects.&quot;,&quot;author&quot;:[{&quot;dropping-particle&quot;:&quot;&quot;,&quot;family&quot;:&quot;Choi&quot;,&quot;given&quot;:&quot;Jingyu&quot;,&quot;non-dropping-particle&quot;:&quot;&quot;,&quot;parse-names&quot;:false,&quot;suffix&quot;:&quot;&quot;},{&quot;dropping-particle&quot;:&quot;&quot;,&quot;family&quot;:&quot;Kang&quot;,&quot;given&quot;:&quot;Younghwan&quot;,&quot;non-dropping-particle&quot;:&quot;&quot;,&quot;parse-names&quot;:false,&quot;suffix&quot;:&quot;&quot;},{&quot;dropping-particle&quot;:&quot;&quot;,&quot;family&quot;:&quot;Park&quot;,&quot;given&quot;:&quot;Jaesoon&quot;,&quot;non-dropping-particle&quot;:&quot;&quot;,&quot;parse-names&quot;:false,&quot;suffix&quot;:&quot;&quot;},{&quot;dropping-particle&quot;:&quot;&quot;,&quot;family&quot;:&quot;Joung&quot;,&quot;given&quot;:&quot;Yeunho&quot;,&quot;non-dropping-particle&quot;:&quot;&quot;,&quot;parse-names&quot;:false,&quot;suffix&quot;:&quot;&quot;},{&quot;dropping-particle&quot;:&quot;&quot;,&quot;family&quot;:&quot;Koo&quot;,&quot;given&quot;:&quot;Chiwan&quot;,&quot;non-dropping-particle&quot;:&quot;&quot;,&quot;parse-names&quot;:false,&quot;suffix&quot;:&quot;&quot;}],&quot;container-title&quot;:&quot;Sensors&quot;,&quot;id&quot;:&quot;f49da493-ebf2-50cb-8da2-a7515a5b1fb6&quot;,&quot;issue&quot;:&quot;3&quot;,&quot;issued&quot;:{&quot;date-parts&quot;:[[&quot;2023&quot;,&quot;2&quot;,&quot;3&quot;]]},&quot;page&quot;:&quot;1684&quot;,&quot;title&quot;:&quot;Development of Real-Time Cuffless Blood Pressure Measurement Systems with ECG Electrodes and a Microphone Using Pulse Transit Time (PTT)&quot;,&quot;type&quot;:&quot;article-journal&quot;,&quot;volume&quot;:&quot;23&quot;,&quot;container-title-short&quot;:&quot;&quot;},&quot;uris&quot;:[&quot;http://www.mendeley.com/documents/?uuid=dbc301ab-74e9-4192-841b-c076fe3be9e3&quot;],&quot;isTemporary&quot;:false,&quot;legacyDesktopId&quot;:&quot;dbc301ab-74e9-4192-841b-c076fe3be9e3&quot;}]},{&quot;citationID&quot;:&quot;MENDELEY_CITATION_812b718f-e1a5-461e-8cc3-a3fdcd8c9c96&quot;,&quot;properties&quot;:{&quot;noteIndex&quot;:0},&quot;isEdited&quot;:false,&quot;manualOverride&quot;:{&quot;citeprocText&quot;:&quot;[418–420]&quot;,&quot;isManuallyOverridden&quot;:false,&quot;manualOverrideText&quot;:&quot;&quot;},&quot;citationTag&quot;:&quot;MENDELEY_CITATION_v3_eyJjaXRhdGlvbklEIjoiTUVOREVMRVlfQ0lUQVRJT05fODEyYjcxOGYtZTFhNS00NjFlLThjYzMtYTNmZGNkOGM5Yzk2IiwicHJvcGVydGllcyI6eyJub3RlSW5kZXgiOjB9LCJpc0VkaXRlZCI6ZmFsc2UsIm1hbnVhbE92ZXJyaWRlIjp7ImNpdGVwcm9jVGV4dCI6Ils0MTjigJM0MjBd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&quot;,&quot;citationItems&quot;:[{&quot;id&quot;:&quot;b4e0e913-bde5-5b5f-9b27-0b11175d7e74&quot;,&quot;itemData&quot;:{&quot;DOI&quot;:&quot;10.1093/ehjdh/ztac021&quot;,&quot;ISSN&quot;:&quot;26343916&quot;,&quot;abstract&quot;:&quot;Aims: High blood pressure (BP) is the commonest modifiable cardiovascular risk factor, yet its monitoring remains problematic. Wearable cuffless BP devices offer potential solutions; however, little is known about their validity and utility. We aimed to systematically review the validity, features and clinical use of wearable cuffless BP devices. Methods and results: We searched MEDLINE, Embase, IEEE Xplore and the Cochrane Database till December 2019 for studies that reported validating cuffless BP devices. We extracted information about study characteristics, device features, validation processes, and clinical applications. Devices were classified according to their functions and features. We defined devices with a mean systolic BP (SBP) and diastolic BP (DBP) biases of &lt;5mmHg as valid as a consensus. Our definition of validity did not include assessment of device measurement precision, which is assessed by standard deviation of the mean difference-a critical component of ISO protocol validation criteria. Study quality was assessed using the Quality Assessment of Diagnostic Accuracy Studies version 2 tool. A random-effects model meta-Analysis was performed to summarise the mean biases for SBP and DBP across studies. Of the 430 studies identified, 16 studies (15 devices, 974 participants) were selected. The majority of devices (81.3%) used photoplethysmography to estimate BP against a reference device; other technologies included tonometry, auscultation and electrocardiogram. In addition to BP and heart rate, some devices also measured night-Time BP (n = 5), sleep monitoring (n = 3), oxygen saturation (n = 3), temperature (n = 2) and electrocardiogram (n = 3). Eight devices showed mean biases of &lt;5 mmHg for SBP and DBP compared with a reference device and three devices were commercially available. The meta-Analysis showed no statistically significant differences between the wearable and reference devices for SBP (pooled mean difference = 3.42mmHg, 95% CI:-2.17, 9.01, I2 95.4%) and DBP (pooled mean = 1.16mmHg, 95% CI:-1.26, 3.58, I2 87.1%). Conclusion: Several cuffless BP devices are currently available using different technologies, offering the potential for continuous BP monitoring. The variation in standards and validation protocols limited the comparability of findings across studies and the identification of the most accurate device. Challenges such as validation using standard protocols and in real-life settings must be overcome before they can be…&quot;,&quot;author&quot;:[{&quot;dropping-particle&quot;:&quot;&quot;,&quot;family&quot;:&quot;Islam&quot;,&quot;given&quot;:&quot;Sheikh Mohammed Shariful&quot;,&quot;non-dropping-particle&quot;:&quot;&quot;,&quot;parse-names&quot;:false,&quot;suffix&quot;:&quot;&quot;},{&quot;dropping-particle&quot;:&quot;&quot;,&quot;family&quot;:&quot;Chow&quot;,&quot;given&quot;:&quot;Clara K.&quot;,&quot;non-dropping-particle&quot;:&quot;&quot;,&quot;parse-names&quot;:false,&quot;suffix&quot;:&quot;&quot;},{&quot;dropping-particle&quot;:&quot;&quot;,&quot;family&quot;:&quot;Daryabeygikhotbehsara&quot;,&quot;given&quot;:&quot;Reza&quot;,&quot;non-dropping-particle&quot;:&quot;&quot;,&quot;parse-names&quot;:false,&quot;suffix&quot;:&quot;&quot;},{&quot;dropping-particle&quot;:&quot;&quot;,&quot;family&quot;:&quot;Subedi&quot;,&quot;given&quot;:&quot;Narayan&quot;,&quot;non-dropping-particle&quot;:&quot;&quot;,&quot;parse-names&quot;:false,&quot;suffix&quot;:&quot;&quot;},{&quot;dropping-particle&quot;:&quot;&quot;,&quot;family&quot;:&quot;Rawstorn&quot;,&quot;given&quot;:&quot;Jonathan&quot;,&quot;non-dropping-particle&quot;:&quot;&quot;,&quot;parse-names&quot;:false,&quot;suffix&quot;:&quot;&quot;},{&quot;dropping-particle&quot;:&quot;&quot;,&quot;family&quot;:&quot;Tegegne&quot;,&quot;given&quot;:&quot;Teketo&quot;,&quot;non-dropping-particle&quot;:&quot;&quot;,&quot;parse-names&quot;:false,&quot;suffix&quot;:&quot;&quot;},{&quot;dropping-particle&quot;:&quot;&quot;,&quot;family&quot;:&quot;Karmakar&quot;,&quot;given&quot;:&quot;Chandan&quot;,&quot;non-dropping-particle&quot;:&quot;&quot;,&quot;parse-names&quot;:false,&quot;suffix&quot;:&quot;&quot;},{&quot;dropping-particle&quot;:&quot;&quot;,&quot;family&quot;:&quot;Siddiqui&quot;,&quot;given&quot;:&quot;Muhammad U.&quot;,&quot;non-dropping-particle&quot;:&quot;&quot;,&quot;parse-names&quot;:false,&quot;suffix&quot;:&quot;&quot;},{&quot;dropping-particle&quot;:&quot;&quot;,&quot;family&quot;:&quot;Lambert&quot;,&quot;given&quot;:&quot;Gavin&quot;,&quot;non-dropping-particle&quot;:&quot;&quot;,&quot;parse-names&quot;:false,&quot;suffix&quot;:&quot;&quot;},{&quot;dropping-particle&quot;:&quot;&quot;,&quot;family&quot;:&quot;Maddison&quot;,&quot;given&quot;:&quot;Ralph&quot;,&quot;non-dropping-particle&quot;:&quot;&quot;,&quot;parse-names&quot;:false,&quot;suffix&quot;:&quot;&quot;}],&quot;container-title&quot;:&quot;European Heart Journal - Digital Health&quot;,&quot;id&quot;:&quot;b4e0e913-bde5-5b5f-9b27-0b11175d7e74&quot;,&quot;issue&quot;:&quot;2&quot;,&quot;issued&quot;:{&quot;date-parts&quot;:[[&quot;2022&quot;]]},&quot;page&quot;:&quot;323-337&quot;,&quot;title&quot;:&quot;Wearable cuffless blood pressure monitoring devices: A systematic review and meta-Analysis&quot;,&quot;type&quot;:&quot;article-journal&quot;,&quot;volume&quot;:&quot;3&quot;,&quot;container-title-short&quot;:&quot;&quot;},&quot;uris&quot;:[&quot;http://www.mendeley.com/documents/?uuid=83f41065-49ca-4e1d-809f-e7ca8991d329&quot;],&quot;isTemporary&quot;:false,&quot;legacyDesktopId&quot;:&quot;83f41065-49ca-4e1d-809f-e7ca8991d329&quot;},{&quot;id&quot;:&quot;f5c9d82c-2d80-575e-a3ef-ffe456cc52d6&quot;,&quot;itemData&quot;:{&quot;DOI&quot;:&quot;10.1038/s41746-023-00835-6&quot;,&quot;ISSN&quot;:&quot;23986352&quot;,&quot;abstract&quot;:&quot;Cardiovascular diseases (CVDs) are a leading cause of death worldwide. For early diagnosis, intervention and management of CVDs, it is highly desirable to frequently monitor blood pressure (BP), a vital sign closely related to CVDs, during people’s daily life, including sleep time. Towards this end, wearable and cuffless BP extraction methods have been extensively researched in recent years as part of the mobile healthcare initiative. This review focuses on the enabling technologies for wearable and cuffless BP monitoring platforms, covering both the emerging flexible sensor designs and BP extraction algorithms. Based on the signal type, the sensing devices are classified into electrical, optical, and mechanical sensors, and the state-of-the-art material choices, fabrication methods, and performances of each type of sensor are briefly reviewed. In the model part of the review, contemporary algorithmic BP estimation methods for beat-to-beat BP measurements and continuous BP waveform extraction are introduced. Mainstream approaches, such as pulse transit time-based analytical models and machine learning methods, are compared in terms of their input modalities, features, implementation algorithms, and performances. The review sheds light on the interdisciplinary research opportunities to combine the latest innovations in the sensor and signal processing research fields to achieve a new generation of cuffless BP measurement devices with improved wearability, reliability, and accuracy.&quot;,&quot;author&quot;:[{&quot;dropping-particle&quot;:&quot;&quot;,&quot;family&quot;:&quot;Zhao&quot;,&quot;given&quot;:&quot;Lei&quot;,&quot;non-dropping-particle&quot;:&quot;&quot;,&quot;parse-names&quot;:false,&quot;suffix&quot;:&quot;&quot;},{&quot;dropping-particle&quot;:&quot;&quot;,&quot;family&quot;:&quot;Liang&quot;,&quot;given&quot;:&quot;Cunman&quot;,&quot;non-dropping-particle&quot;:&quot;&quot;,&quot;parse-names&quot;:false,&quot;suffix&quot;:&quot;&quot;},{&quot;dropping-particle&quot;:&quot;&quot;,&quot;family&quot;:&quot;Huang&quot;,&quot;given&quot;:&quot;Yan&quot;,&quot;non-dropping-particle&quot;:&quot;&quot;,&quot;parse-names&quot;:false,&quot;suffix&quot;:&quot;&quot;},{&quot;dropping-particle&quot;:&quot;&quot;,&quot;family&quot;:&quot;Zhou&quot;,&quot;given&quot;:&quot;Guodong&quot;,&quot;non-dropping-particle&quot;:&quot;&quot;,&quot;parse-names&quot;:false,&quot;suffix&quot;:&quot;&quot;},{&quot;dropping-particle&quot;:&quot;&quot;,&quot;family&quot;:&quot;Xiao&quot;,&quot;given&quot;:&quot;Yiqun&quot;,&quot;non-dropping-particle&quot;:&quot;&quot;,&quot;parse-names&quot;:false,&quot;suffix&quot;:&quot;&quot;},{&quot;dropping-particle&quot;:&quot;&quot;,&quot;family&quot;:&quot;Ji&quot;,&quot;given&quot;:&quot;Nan&quot;,&quot;non-dropping-particle&quot;:&quot;&quot;,&quot;parse-names&quot;:false,&quot;suffix&quot;:&quot;&quot;},{&quot;dropping-particle&quot;:&quot;&quot;,&quot;family&quot;:&quot;Zhang&quot;,&quot;given&quot;:&quot;Yuan Ting&quot;,&quot;non-dropping-particle&quot;:&quot;&quot;,&quot;parse-names&quot;:false,&quot;suffix&quot;:&quot;&quot;},{&quot;dropping-particle&quot;:&quot;&quot;,&quot;family&quot;:&quot;Zhao&quot;,&quot;given&quot;:&quot;Ni&quot;,&quot;non-dropping-particle&quot;:&quot;&quot;,&quot;parse-names&quot;:false,&quot;suffix&quot;:&quot;&quot;}],&quot;container-title&quot;:&quot;npj Digital Medicine&quot;,&quot;id&quot;:&quot;f5c9d82c-2d80-575e-a3ef-ffe456cc52d6&quot;,&quot;issue&quot;:&quot;1&quot;,&quot;issued&quot;:{&quot;date-parts&quot;:[[&quot;2023&quot;]]},&quot;page&quot;:&quot;1-15&quot;,&quot;publisher&quot;:&quot;Springer US&quot;,&quot;title&quot;:&quot;Emerging sensing and modeling technologies for wearable and cuffless blood pressure monitoring&quot;,&quot;type&quot;:&quot;article-journal&quot;,&quot;volume&quot;:&quot;6&quot;,&quot;container-title-short&quot;:&quot;NPJ Digit. Med.&quot;},&quot;uris&quot;:[&quot;http://www.mendeley.com/documents/?uuid=7f4bc783-7724-4e0b-921c-59e03a6aae87&quot;],&quot;isTemporary&quot;:false,&quot;legacyDesktopId&quot;:&quot;7f4bc783-7724-4e0b-921c-59e03a6aae87&quot;},{&quot;id&quot;:&quot;46aee411-b28f-5118-83bd-cd73a1f57131&quot;,&quot;itemData&quot;:{&quot;DOI&quot;:&quot;10.1039/D3SD00201B&quot;,&quot;ISSN&quot;:&quot;2635-0998&quot;,&quot;abstract&quot;:&quot;This review focuses on blood pressure measurement techniques, algorithms, validation standards and recent sensors and technologies to measure arterial pulse.&quot;,&quot;author&quot;:[{&quot;dropping-particle&quot;:&quot;&quot;,&quot;family&quot;:&quot;Kumar&quot;,&quot;given&quot;:&quot;Shubham&quot;,&quot;non-dropping-particle&quot;:&quot;&quot;,&quot;parse-names&quot;:false,&quot;suffix&quot;:&quot;&quot;},{&quot;dropping-particle&quot;:&quot;&quot;,&quot;family&quot;:&quot;Yadav&quot;,&quot;given&quot;:&quot;Sanjay&quot;,&quot;non-dropping-particle&quot;:&quot;&quot;,&quot;parse-names&quot;:false,&quot;suffix&quot;:&quot;&quot;},{&quot;dropping-particle&quot;:&quot;&quot;,&quot;family&quot;:&quot;Kumar&quot;,&quot;given&quot;:&quot;Ashok&quot;,&quot;non-dropping-particle&quot;:&quot;&quot;,&quot;parse-names&quot;:false,&quot;suffix&quot;:&quot;&quot;}],&quot;container-title&quot;:&quot;Sensors &amp; Diagnostics&quot;,&quot;id&quot;:&quot;46aee411-b28f-5118-83bd-cd73a1f57131&quot;,&quot;issue&quot;:&quot;2&quot;,&quot;issued&quot;:{&quot;date-parts&quot;:[[&quot;2024&quot;]]},&quot;page&quot;:&quot;181-202&quot;,&quot;publisher&quot;:&quot;Royal Society of Chemistry&quot;,&quot;title&quot;:&quot;Blood pressure measurement techniques, standards, technologies, and the latest futuristic wearable cuff-less know-how&quot;,&quot;type&quot;:&quot;article-journal&quot;,&quot;volume&quot;:&quot;3&quot;,&quot;container-title-short&quot;:&quot;&quot;},&quot;uris&quot;:[&quot;http://www.mendeley.com/documents/?uuid=c3f3b3fe-33f5-49bc-b4a7-fd29ae51d4e8&quot;],&quot;isTemporary&quot;:false,&quot;legacyDesktopId&quot;:&quot;c3f3b3fe-33f5-49bc-b4a7-fd29ae51d4e8&quot;}]},{&quot;citationID&quot;:&quot;MENDELEY_CITATION_3e1a2f26-cb9f-4f5e-acbc-e36d700b2586&quot;,&quot;properties&quot;:{&quot;noteIndex&quot;:0},&quot;isEdited&quot;:false,&quot;manualOverride&quot;:{&quot;citeprocText&quot;:&quot;[410,414,421]&quot;,&quot;isManuallyOverridden&quot;:false,&quot;manualOverrideText&quot;:&quot;&quot;},&quot;citationTag&quot;:&quot;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quot;,&quot;citationItems&quot;:[{&quot;id&quot;:&quot;9609b379-6144-5450-a96d-3ec4b3c27a06&quot;,&quot;itemData&quot;:{&quot;DOI&quot;:&quot;10.1186/s13054-014-0644-4&quot;,&quot;ISSN&quot;:&quot;1364-8535&quot;,&quot;PMID&quot;:&quot;25433536&quot;,&quot;abstract&quot;:&quot;Introduction: Critically ill patients and patients undergoing high-risk and major surgery, are instrumented with intra-arterial catheters and invasive blood pressure is considered the \&quot; gold standard\&quot; for arterial pressure monitoring. Nonetheless, artifacts due to inappropriate dynamic response of the fluid-filled monitoring systems may lead to clinically relevant differences between actual and displayed pressure values. We sought to analyze the incidence and causes of resonance/underdamping phenomena in patients undergoing major vascular and cardiac surgery. Methods: Arterial pressures were measured invasively and, according to the fast-flush Gardner's test, each patient was attributed to one of two groups depending on the presence (R-group) or absence (NR-group) of resonance/underdamping. Invasive pressure values were then compared with the non-invasive ones. Results: A total of 11,610 pulses and 1,200 non-invasive blood pressure measurements were analyzed in 300 patients. Ninety-two out of 300 (30.7%) underdamping/resonance arterial signals were found. In these cases (R-group) systolic invasive blood pressure (IBP) average overestimation of non-invasive blood pressure (NIBP) was 28.5 (15.9) mmHg (P &lt;0.0001) while in the NR-group the overestimation was 4.1(5.3) mmHg (P &lt;0.0001). The mean IBP-NIBP difference in diastolic pressure in the R-group was -2.2 (10.6) mmHg and, in the NR-group -1.1 (5.8) mmHg. The mean arterial pressure difference was 7.4 (11.2) mmHg in the R-group and 2.3 (6.4) mmHg in the NR-group. A multivariate logistic regression identified five parameters independently associated with underdamping/resonance: polydistrectual arteriopathy (P =0.0023; OR = 2.82), history of arterial hypertension (P =0.0214; OR = 2.09), chronic obstructive pulmonary disease (P =0.198; OR = 2.61), arterial catheter diameter (20 vs. 18 gauge) (P &lt;0.0001; OR = 0.35) and sedation (P =0.0131; OR = 0.5). The ROC curve for the maximal pressure-time ratio, showed an optimum selected cut-off point of 1.67 mmHg/msec with a specificity of 97% (95% CI: 95.13 to 99.47%) and a sensitivity of 77% (95% CI: 67.25 to 85.28%) and an area under the ROC curve by extended trapezoidal rule of 0.88. Conclusion: Physicians should be aware of the possibility that IBP can be inaccurate in a consistent number of patients due to underdamping/resonance phenomena. NIBP measurement may help to confirm/exclude the presence of this artifact avoiding inappropriate treatments.&quot;,&quot;author&quot;:[{&quot;dropping-particle&quot;:&quot;&quot;,&quot;family&quot;:&quot;Romagnoli&quot;,&quot;given&quot;:&quot;Stefano&quot;,&quot;non-dropping-particle&quot;:&quot;&quot;,&quot;parse-names&quot;:false,&quot;suffix&quot;:&quot;&quot;},{&quot;dropping-particle&quot;:&quot;&quot;,&quot;family&quot;:&quot;Ricci&quot;,&quot;given&quot;:&quot;Zaccaria&quot;,&quot;non-dropping-particle&quot;:&quot;&quot;,&quot;parse-names&quot;:false,&quot;suffix&quot;:&quot;&quot;},{&quot;dropping-particle&quot;:&quot;&quot;,&quot;family&quot;:&quot;Quattrone&quot;,&quot;given&quot;:&quot;Diego&quot;,&quot;non-dropping-particle&quot;:&quot;&quot;,&quot;parse-names&quot;:false,&quot;suffix&quot;:&quot;&quot;},{&quot;dropping-particle&quot;:&quot;&quot;,&quot;family&quot;:&quot;Tofani&quot;,&quot;given&quot;:&quot;Lorenzo&quot;,&quot;non-dropping-particle&quot;:&quot;&quot;,&quot;parse-names&quot;:false,&quot;suffix&quot;:&quot;&quot;},{&quot;dropping-particle&quot;:&quot;&quot;,&quot;family&quot;:&quot;Tujjar&quot;,&quot;given&quot;:&quot;Omar&quot;,&quot;non-dropping-particle&quot;:&quot;&quot;,&quot;parse-names&quot;:false,&quot;suffix&quot;:&quot;&quot;},{&quot;dropping-particle&quot;:&quot;&quot;,&quot;family&quot;:&quot;Villa&quot;,&quot;given&quot;:&quot;Gianluca&quot;,&quot;non-dropping-particle&quot;:&quot;&quot;,&quot;parse-names&quot;:false,&quot;suffix&quot;:&quot;&quot;},{&quot;dropping-particle&quot;:&quot;&quot;,&quot;family&quot;:&quot;Romano&quot;,&quot;given&quot;:&quot;Salvatore M.&quot;,&quot;non-dropping-particle&quot;:&quot;&quot;,&quot;parse-names&quot;:false,&quot;suffix&quot;:&quot;&quot;},{&quot;dropping-particle&quot;:&quot;&quot;,&quot;family&quot;:&quot;Gaudio&quot;,&quot;given&quot;:&quot;A. Raffaele&quot;,&quot;non-dropping-particle&quot;:&quot;De&quot;,&quot;parse-names&quot;:false,&quot;suffix&quot;:&quot;&quot;}],&quot;container-title&quot;:&quot;Critical Care&quot;,&quot;id&quot;:&quot;9609b379-6144-5450-a96d-3ec4b3c27a06&quot;,&quot;issue&quot;:&quot;6&quot;,&quot;issued&quot;:{&quot;date-parts&quot;:[[&quot;2014&quot;,&quot;11&quot;,&quot;30&quot;]]},&quot;page&quot;:&quot;644&quot;,&quot;title&quot;:&quot;Accuracy of invasive arterial pressure monitoring in cardiovascular patients: an observational study&quot;,&quot;type&quot;:&quot;article-journal&quot;,&quot;volume&quot;:&quot;18&quot;,&quot;container-title-short&quot;:&quot;Crit. Care&quot;},&quot;uris&quot;:[&quot;http://www.mendeley.com/documents/?uuid=029d78fe-ba5b-4fb8-9096-ec47d9da7d05&quot;],&quot;isTemporary&quot;:false,&quot;legacyDesktopId&quot;:&quot;029d78fe-ba5b-4fb8-9096-ec47d9da7d05&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citationID&quot;:&quot;MENDELEY_CITATION_32010706-c9dc-47a5-a126-22fa982fea81&quot;,&quot;properties&quot;:{&quot;noteIndex&quot;:0},&quot;isEdited&quot;:false,&quot;manualOverride&quot;:{&quot;citeprocText&quot;:&quot;[407]&quot;,&quot;isManuallyOverridden&quot;:false,&quot;manualOverrideText&quot;:&quot;&quot;},&quot;citationTag&quot;:&quot;MENDELEY_CITATION_v3_eyJjaXRhdGlvbklEIjoiTUVOREVMRVlfQ0lUQVRJT05fMzIwMTA3MDYtYzlkYy00N2E1LWExMjYtMjJmYTk4MmZlYTgx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76d78bef-ef80-4e00-aaf2-122d70b06d40&quot;,&quot;properties&quot;:{&quot;noteIndex&quot;:0},&quot;isEdited&quot;:false,&quot;manualOverride&quot;:{&quot;citeprocText&quot;:&quot;[407]&quot;,&quot;isManuallyOverridden&quot;:false,&quot;manualOverrideText&quot;:&quot;&quot;},&quot;citationTag&quot;:&quot;MENDELEY_CITATION_v3_eyJjaXRhdGlvbklEIjoiTUVOREVMRVlfQ0lUQVRJT05fNzZkNzhiZWYtZWY4MC00ZTAwLWFhZjItMTIyZDcwYjA2ZDQw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83472781-9830-4558-82ea-c4f8a7a8ce32&quot;,&quot;properties&quot;:{&quot;noteIndex&quot;:0},&quot;isEdited&quot;:false,&quot;manualOverride&quot;:{&quot;citeprocText&quot;:&quot;[422]&quot;,&quot;isManuallyOverridden&quot;:false,&quot;manualOverrideText&quot;:&quot;&quot;},&quot;citationTag&quot;:&quot;MENDELEY_CITATION_v3_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&quot;,&quot;citationItems&quot;:[{&quot;id&quot;:&quot;9bb894dd-d631-54e7-9ccd-d4557d561498&quot;,&quot;itemData&quot;:{&quot;author&quot;:[{&quot;dropping-particle&quot;:&quot;&quot;,&quot;family&quot;:&quot;Pickering T&quot;,&quot;given&quot;:&quot;&quot;,&quot;non-dropping-particle&quot;:&quot;&quot;,&quot;parse-names&quot;:false,&quot;suffix&quot;:&quot;&quot;},{&quot;dropping-particle&quot;:&quot;&quot;,&quot;family&quot;:&quot;Hall J&quot;,&quot;given&quot;:&quot;&quot;,&quot;non-dropping-particle&quot;:&quot;&quot;,&quot;parse-names&quot;:false,&quot;suffix&quot;:&quot;&quot;},{&quot;dropping-particle&quot;:&quot;&quot;,&quot;family&quot;:&quot;Appel L&quot;,&quot;given&quot;:&quot;&quot;,&quot;non-dropping-particle&quot;:&quot;&quot;,&quot;parse-names&quot;:false,&quot;suffix&quot;:&quot;&quot;},{&quot;dropping-particle&quot;:&quot;&quot;,&quot;family&quot;:&quot;Falkner B&quot;,&quot;given&quot;:&quot;&quot;,&quot;non-dropping-particle&quot;:&quot;&quot;,&quot;parse-names&quot;:false,&quot;suffix&quot;:&quot;&quot;},{&quot;dropping-particle&quot;:&quot;&quot;,&quot;family&quot;:&quot;Graves J&quot;,&quot;given&quot;:&quot;&quot;,&quot;non-dropping-particle&quot;:&quot;&quot;,&quot;parse-names&quot;:false,&quot;suffix&quot;:&quot;&quot;},{&quot;dropping-particle&quot;:&quot;&quot;,&quot;family&quot;:&quot;Hill M&quot;,&quot;given&quot;:&quot;&quot;,&quot;non-dropping-particle&quot;:&quot;&quot;,&quot;parse-names&quot;:false,&quot;suffix&quot;:&quot;&quot;},{&quot;dropping-particle&quot;:&quot;&quot;,&quot;family&quot;:&quot;Jones D&quot;,&quot;given&quot;:&quot;&quot;,&quot;non-dropping-particle&quot;:&quot;&quot;,&quot;parse-names&quot;:false,&quot;suffix&quot;:&quot;&quot;},{&quot;dropping-particle&quot;:&quot;&quot;,&quot;family&quot;:&quot;Kurtz T&quot;,&quot;given&quot;:&quot;&quot;,&quot;non-dropping-particle&quot;:&quot;&quot;,&quot;parse-names&quot;:false,&quot;suffix&quot;:&quot;&quot;},{&quot;dropping-particle&quot;:&quot;&quot;,&quot;family&quot;:&quot;Sheps S&quot;,&quot;given&quot;:&quot;&quot;,&quot;non-dropping-particle&quot;:&quot;&quot;,&quot;parse-names&quot;:false,&quot;suffix&quot;:&quot;&quot;},{&quot;dropping-particle&quot;:&quot;&quot;,&quot;family&quot;:&quot;Edward J. Roccella E&quot;,&quot;given&quot;:&quot;&quot;,&quot;non-dropping-particle&quot;:&quot;&quot;,&quot;parse-names&quot;:false,&quot;suffix&quot;:&quot;&quot;}],&quot;container-title&quot;:&quot;The Journal of Clinical Hypertension&quot;,&quot;id&quot;:&quot;9bb894dd-d631-54e7-9ccd-d4557d561498&quot;,&quot;issue&quot;:&quot;2&quot;,&quot;issued&quot;:{&quot;date-parts&quot;:[[&quot;2005&quot;]]},&quot;page&quot;:&quot;102-109&quot;,&quot;title&quot;:&quot;Recommendations for Bloods Pressure Measurements in Humans&quot;,&quot;type&quot;:&quot;article-journal&quot;,&quot;volume&quot;:&quot;7&quot;,&quot;container-title-short&quot;:&quot;&quot;},&quot;uris&quot;:[&quot;http://www.mendeley.com/documents/?uuid=5ac9a7fe-f80e-4029-a087-fb433023a2ed&quot;,&quot;http://www.mendeley.com/documents/?uuid=9b8eef38-4a0e-4486-a1fb-d810daff3087&quot;],&quot;isTemporary&quot;:false,&quot;legacyDesktopId&quot;:&quot;5ac9a7fe-f80e-4029-a087-fb433023a2ed&quot;}]},{&quot;citationID&quot;:&quot;MENDELEY_CITATION_6cdf5207-5812-4c97-a29e-d559430dc813&quot;,&quot;properties&quot;:{&quot;noteIndex&quot;:0},&quot;isEdited&quot;:false,&quot;manualOverride&quot;:{&quot;citeprocText&quot;:&quot;[423,424]&quot;,&quot;isManuallyOverridden&quot;:false,&quot;manualOverrideText&quot;:&quot;&quot;},&quot;citationTag&quot;:&quot;MENDELEY_CITATION_v3_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&quot;,&quot;citationItems&quot;:[{&quot;id&quot;:&quot;f370e230-38eb-578a-a73c-777caeb1a2e4&quot;,&quot;itemData&quot;:{&quot;DOI&quot;:&quot;10.1038/s41440-025-02207-x&quot;,&quot;ISSN&quot;:&quot;0916-9636&quot;,&quot;PMID&quot;:&quot;40199977&quot;,&quot;author&quot;:[{&quot;dropping-particle&quot;:&quot;&quot;,&quot;family&quot;:&quot;Palatini&quot;,&quot;given&quot;:&quot;Paolo&quot;,&quot;non-dropping-particle&quot;:&quot;&quot;,&quot;parse-names&quot;:false,&quot;suffix&quot;:&quot;&quot;}],&quot;container-title&quot;:&quot;Hypertension Research&quot;,&quot;id&quot;:&quot;f370e230-38eb-578a-a73c-777caeb1a2e4&quot;,&quot;issue&quot;:&quot;6&quot;,&quot;issued&quot;:{&quot;date-parts&quot;:[[&quot;2025&quot;,&quot;6&quot;,&quot;8&quot;]]},&quot;page&quot;:&quot;1993-1996&quot;,&quot;publisher&quot;:&quot;Springer US&quot;,&quot;title&quot;:&quot;Challenges and pitfalls of cuff oscillometric blood pressure measurement&quot;,&quot;type&quot;:&quot;article-journal&quot;,&quot;volume&quot;:&quot;48&quot;,&quot;container-title-short&quot;:&quot;&quot;},&quot;uris&quot;:[&quot;http://www.mendeley.com/documents/?uuid=9fc706c1-f010-4b5b-82c2-6a060ad3d836&quot;],&quot;isTemporary&quot;:false,&quot;legacyDesktopId&quot;:&quot;9fc706c1-f010-4b5b-82c2-6a060ad3d836&quot;},{&quot;id&quot;:&quot;5a6173d1-4560-5fcf-94ca-b8b1d5994dad&quot;,&quot;itemData&quot;:{&quot;DOI&quot;:&quot;10.1161/HYPERTENSIONAHA.116.07961&quot;,&quot;ISSN&quot;:&quot;15244563&quot;,&quot;PMID&quot;:&quot;27550911&quot;,&quot;abstract&quot;:&quot;The reliability of blood pressure measurement with wrist devices, which has not previously been assessed under real-life circumstances in general population, is dependent on correct positioning of the wrist device at heart level. We determined whether an error was present when blood pressure was self-measured at the wrist in 721 unselected subjects from the general population. After training, blood pressure was measured in the office and self-measured at home with an upper-arm device (the UA-767 Plus) and a wrist device (the UB-542, not provided with a position sensor). The upper-arm-wrist blood pressure difference detected in the office was used as the reference measurement. The discrepancy between office and home differences was the home measurement error. In the office, systolic blood pressure was 2.5% lower at wrist than at arm (P=0.002), whereas at home, systolic and diastolic blood pressures were higher at wrist than at arm (+5.6% and +5.4%, respectively; P&lt;0.0001 for both); 621 subjects had home measurement error of at least ±5 mm Hg and 455 of at least ±10 mm Hg (bad measurers). In multivariable linear regression, a lower cognitive pattern independently determined both the systolic and the diastolic home measurement error and a longer forearm the systolic error only. This was confirmed by logistic regression having bad measurers as dependent variable. The use of wrist devices for home self-measurement, therefore, leads to frequent detection of falsely elevated blood pressure values likely because of a poor memory and rendition of the instructions, leading to the wrong position of the wrist.&quot;,&quot;author&quot;:[{&quot;dropping-particle&quot;:&quot;&quot;,&quot;family&quot;:&quot;Casiglia&quot;,&quot;given&quot;:&quot;Edoardo&quot;,&quot;non-dropping-particle&quot;:&quot;&quot;,&quot;parse-names&quot;:false,&quot;suffix&quot;:&quot;&quot;},{&quot;dropping-particle&quot;:&quot;&quot;,&quot;family&quot;:&quot;Tikhonoff&quot;,&quot;given&quot;:&quot;Valérie&quot;,&quot;non-dropping-particle&quot;:&quot;&quot;,&quot;parse-names&quot;:false,&quot;suffix&quot;:&quot;&quot;},{&quot;dropping-particle&quot;:&quot;&quot;,&quot;family&quot;:&quot;Albertini&quot;,&quot;given&quot;:&quot;Federica&quot;,&quot;non-dropping-particle&quot;:&quot;&quot;,&quot;parse-names&quot;:false,&quot;suffix&quot;:&quot;&quot;},{&quot;dropping-particle&quot;:&quot;&quot;,&quot;family&quot;:&quot;Palatini&quot;,&quot;given&quot;:&quot;Paolo&quot;,&quot;non-dropping-particle&quot;:&quot;&quot;,&quot;parse-names&quot;:false,&quot;suffix&quot;:&quot;&quot;}],&quot;container-title&quot;:&quot;Hypertension&quot;,&quot;id&quot;:&quot;5a6173d1-4560-5fcf-94ca-b8b1d5994dad&quot;,&quot;issue&quot;:&quot;4&quot;,&quot;issued&quot;:{&quot;date-parts&quot;:[[&quot;2016&quot;]]},&quot;page&quot;:&quot;896-903&quot;,&quot;title&quot;:&quot;Poor Reliability of Wrist Blood Pressure Self-Measurement at Home: A Population-Based Study&quot;,&quot;type&quot;:&quot;article-journal&quot;,&quot;volume&quot;:&quot;68&quot;,&quot;container-title-short&quot;:&quot;&quot;},&quot;uris&quot;:[&quot;http://www.mendeley.com/documents/?uuid=0e9e0662-b46f-4116-9ae1-e137ccac15c6&quot;],&quot;isTemporary&quot;:false,&quot;legacyDesktopId&quot;:&quot;0e9e0662-b46f-4116-9ae1-e137ccac15c6&quot;}]},{&quot;citationID&quot;:&quot;MENDELEY_CITATION_a1ac8898-d0ed-4c39-ba6d-5a8c228d49f1&quot;,&quot;properties&quot;:{&quot;noteIndex&quot;:0},&quot;isEdited&quot;:false,&quot;manualOverride&quot;:{&quot;citeprocText&quot;:&quot;[425]&quot;,&quot;isManuallyOverridden&quot;:false,&quot;manualOverrideText&quot;:&quot;&quot;},&quot;citationTag&quot;:&quot;MENDELEY_CITATION_v3_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&quot;,&quot;citationItems&quot;:[{&quot;id&quot;:&quot;6fcc0640-5eb6-58da-9cc4-bb46ac6aba9f&quot;,&quot;itemData&quot;:{&quot;DOI&quot;:&quot;10.2196/jmir.8009&quot;,&quot;ISSN&quot;:&quot;14388871&quot;,&quot;PMID&quot;:&quot;29695375&quot;,&quot;abstract&quot;:&quot;Background: Clinical guidelines recommend monitoring of blood pressure at home using an automatic blood pressure device for the management of hypertension. Devices are not often calibrated against direct blood pressure measures, leaving health care providers and patients with less reliable information than is possible with current technology. Rigorous assessments of medical devices are necessary for establishing clinical utility. Objective: The purpose of our study was 2-fold: (1) to assess the validity and perform iterative calibration of indirect blood pressure measurements by a noninvasive wrist cuff blood pressure device in direct comparison with simultaneously recorded peripheral and central intra-arterial blood pressure measurements and (2) to assess the validity of the measurements thereafter of the noninvasive wrist cuff blood pressure device in comparison with measurements by a noninvasive upper arm blood pressure device to the Canadian hypertension guidelines. Methods: The cloud-based blood pressure algorithms for an oscillometric wrist cuff device were iteratively calibrated to direct pressure measures in 20 consented patient participants. We then assessed measurement validity of the device, using Bland-Altman analysis during routine cardiovascular catheterization. Results: The precalibrated absolute mean difference between direct intra-arterial to wrist cuff pressure measurements were 10.8 (SD 9.7) for systolic and 16.1 (SD 6.3) for diastolic. The postcalibrated absolute mean difference was 7.2 (SD 5.1) for systolic and 4.3 (SD 3.3) for diastolic pressures. This is an improvement in accuracy of 33% systolic and 73% diastolic with a 48% reduction in the variability for both measures. Furthermore, the wrist cuff device demonstrated similar sensitivity in measuring high blood pressure compared with the direct intra-arterial method. The device, when calibrated to direct aortic pressures, demonstrated the potential to reduce a treatment gap in high blood pressure measurements. Conclusions: The systolic pressure measurements of the wrist cuff have been iteratively calibrated using gold standard central (ascending aortic) pressure. This improves the accuracy of the indirect measures and potentially reduces the treatment gap. Devices that undergo auscultatory (indirect) calibration for licensing can be greatly improved by additional iterative calibration via intra-arterial (direct) measures of blood pressure. Further clinical trials with repeated us…&quot;,&quot;author&quot;:[{&quot;dropping-particle&quot;:&quot;&quot;,&quot;family&quot;:&quot;Melville&quot;,&quot;given&quot;:&quot;Sarah&quot;,&quot;non-dropping-particle&quot;:&quot;&quot;,&quot;parse-names&quot;:false,&quot;suffix&quot;:&quot;&quot;},{&quot;dropping-particle&quot;:&quot;&quot;,&quot;family&quot;:&quot;Teskey&quot;,&quot;given&quot;:&quot;Robert&quot;,&quot;non-dropping-particle&quot;:&quot;&quot;,&quot;parse-names&quot;:false,&quot;suffix&quot;:&quot;&quot;},{&quot;dropping-particle&quot;:&quot;&quot;,&quot;family&quot;:&quot;Philip&quot;,&quot;given&quot;:&quot;Shona&quot;,&quot;non-dropping-particle&quot;:&quot;&quot;,&quot;parse-names&quot;:false,&quot;suffix&quot;:&quot;&quot;},{&quot;dropping-particle&quot;:&quot;&quot;,&quot;family&quot;:&quot;Simpson&quot;,&quot;given&quot;:&quot;Jeremy A.&quot;,&quot;non-dropping-particle&quot;:&quot;&quot;,&quot;parse-names&quot;:false,&quot;suffix&quot;:&quot;&quot;},{&quot;dropping-particle&quot;:&quot;&quot;,&quot;family&quot;:&quot;Lutchmedial&quot;,&quot;given&quot;:&quot;Sohrab&quot;,&quot;non-dropping-particle&quot;:&quot;&quot;,&quot;parse-names&quot;:false,&quot;suffix&quot;:&quot;&quot;},{&quot;dropping-particle&quot;:&quot;&quot;,&quot;family&quot;:&quot;Brunt&quot;,&quot;given&quot;:&quot;Keith R.&quot;,&quot;non-dropping-particle&quot;:&quot;&quot;,&quot;parse-names&quot;:false,&quot;suffix&quot;:&quot;&quot;}],&quot;container-title&quot;:&quot;Journal of Medical Internet Research&quot;,&quot;id&quot;:&quot;6fcc0640-5eb6-58da-9cc4-bb46ac6aba9f&quot;,&quot;issue&quot;:&quot;4&quot;,&quot;issued&quot;:{&quot;date-parts&quot;:[[&quot;2018&quot;]]},&quot;page&quot;:&quot;1-13&quot;,&quot;title&quot;:&quot;A comparison and calibration of a wrist-worn blood pressure monitor for patient management: Assessing the reliability of innovative blood pressure devices&quot;,&quot;type&quot;:&quot;article-journal&quot;,&quot;volume&quot;:&quot;20&quot;,&quot;container-title-short&quot;:&quot;J. Med. Internet Res.&quot;},&quot;uris&quot;:[&quot;http://www.mendeley.com/documents/?uuid=186d74e9-47ca-42e1-9f4f-6143d2eb9927&quot;,&quot;http://www.mendeley.com/documents/?uuid=388b32d2-10d9-4aae-8b6d-c5f1078b374c&quot;],&quot;isTemporary&quot;:false,&quot;legacyDesktopId&quot;:&quot;186d74e9-47ca-42e1-9f4f-6143d2eb9927&quot;}]},{&quot;citationID&quot;:&quot;MENDELEY_CITATION_a78b5fb3-f332-4f0a-92f4-864cf2cd4bb3&quot;,&quot;properties&quot;:{&quot;noteIndex&quot;:0},&quot;isEdited&quot;:false,&quot;manualOverride&quot;:{&quot;citeprocText&quot;:&quot;[412,426]&quot;,&quot;isManuallyOverridden&quot;:false,&quot;manualOverrideText&quot;:&quot;&quot;},&quot;citationTag&quot;:&quot;MENDELEY_CITATION_v3_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&quot;,&quot;citationItems&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id&quot;:&quot;3aae289d-a26e-5bfc-93d0-8ac44e1bd7e2&quot;,&quot;itemData&quot;:{&quot;DOI&quot;:&quot;10.22489/CinC.2022.215&quot;,&quot;author&quot;:[{&quot;dropping-particle&quot;:&quot;&quot;,&quot;family&quot;:&quot;Żyliński&quot;,&quot;given&quot;:&quot;Marek&quot;,&quot;non-dropping-particle&quot;:&quot;&quot;,&quot;parse-names&quot;:false,&quot;suffix&quot;:&quot;&quot;},{&quot;dropping-particle&quot;:&quot;&quot;,&quot;family&quot;:&quot;Cybulski&quot;,&quot;given&quot;:&quot;Gerard&quot;,&quot;non-dropping-particle&quot;:&quot;&quot;,&quot;parse-names&quot;:false,&quot;suffix&quot;:&quot;&quot;}],&quot;container-title&quot;:&quot;2022 Computing in Cardiology (CinC)&quot;,&quot;id&quot;:&quot;3aae289d-a26e-5bfc-93d0-8ac44e1bd7e2&quot;,&quot;issued&quot;:{&quot;date-parts&quot;:[[&quot;2022&quot;,&quot;12&quot;,&quot;31&quot;]]},&quot;page&quot;:&quot;1-4&quot;,&quot;publisher-place&quot;:&quot;Tampere, Finland&quot;,&quot;title&quot;:&quot;Verification of the Assumptions of Volume-Clamp Method for Continuous Blood Pressure Measurement in a Silicone Phantom&quot;,&quot;type&quot;:&quot;paper-conference&quot;,&quot;container-title-short&quot;:&quot;&quot;},&quot;uris&quot;:[&quot;http://www.mendeley.com/documents/?uuid=56d26971-bcb9-4053-9658-a5f386f97900&quot;],&quot;isTemporary&quot;:false,&quot;legacyDesktopId&quot;:&quot;56d26971-bcb9-4053-9658-a5f386f97900&quot;}]},{&quot;citationID&quot;:&quot;MENDELEY_CITATION_18a4177c-d048-435d-94cf-b6c9103f87a1&quot;,&quot;properties&quot;:{&quot;noteIndex&quot;:0},&quot;isEdited&quot;:false,&quot;manualOverride&quot;:{&quot;citeprocText&quot;:&quot;[413,427]&quot;,&quot;isManuallyOverridden&quot;:false,&quot;manualOverrideText&quot;:&quot;&quot;},&quot;citationTag&quot;:&quot;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&quot;,&quot;citationItems&quot;:[{&quot;id&quot;:&quot;de22a192-48eb-5034-aacd-915743265058&quot;,&quot;itemData&quot;:{&quot;DOI&quot;:&quot;10.1203/PDR.0b013e31816c8fe3&quot;,&quot;ISSN&quot;:&quot;0031-3998&quot;,&quot;PMID&quot;:&quot;18520333&quot;,&quot;abstract&quot;:&quot;Our goal was to study the feasibility of continuous noninvasive finger blood pressure (BP) monitoring in very young children, aged 0-4 y. To achieve this, we designed a set of small-sized finger cuffs based on the assessment of finger circumference. Finger arterial BP measured by a volume clamp device (Finapres technology) was compared with simultaneously measured intra-arterial BP in 15 very young children (median age, 5 mo; range, 0-48), admitted to the intensive care unit for vital monitoring. The finger cuff-derived BP waveforms showed good resemblance with the invasive arterial waveforms (mean root-mean-square error, 3 mm Hg). The correlation coefficient between both methods was 0.79 ± 0.19 systolic and 0.74 ± 0.24 diastolic. The correlation coefficient of beat-to-beat changes between both methods was 0.82 ± 0.18 and 0.75 ± 0.21, respectively. Three measurements were related to measurement errors (loose cuff application; wrong set-point). Excluding these erroneous measurements resulted in clinically acceptable measurement bias (-3.8 mm Hg) and 95% limits of agreement (-10.4 to + 2.8 mm Hg) of mean BP values. We conclude that continuous finger BP measurement is feasible in very young children. However, cuff application is critical, and the current set-point algorithm needs to be revised in very young children. Copyright © 2008 International Pediatric Research Foundation, Inc.&quot;,&quot;author&quot;:[{&quot;dropping-particle&quot;:&quot;&quot;,&quot;family&quot;:&quot;Andriessen&quot;,&quot;given&quot;:&quot;Peter&quot;,&quot;non-dropping-particle&quot;:&quot;&quot;,&quot;parse-names&quot;:false,&quot;suffix&quot;:&quot;&quot;},{&quot;dropping-particle&quot;:&quot;&quot;,&quot;family&quot;:&quot;Schraa&quot;,&quot;given&quot;:&quot;Olaf&quot;,&quot;non-dropping-particle&quot;:&quot;&quot;,&quot;parse-names&quot;:false,&quot;suffix&quot;:&quot;&quot;},{&quot;dropping-particle&quot;:&quot;&quot;,&quot;family&quot;:&quot;Bosch-Ruis&quot;,&quot;given&quot;:&quot;Wendy&quot;,&quot;non-dropping-particle&quot;:&quot;van den&quot;,&quot;parse-names&quot;:false,&quot;suffix&quot;:&quot;&quot;},{&quot;dropping-particle&quot;:&quot;&quot;,&quot;family&quot;:&quot;Jan Ten Harkel&quot;,&quot;given&quot;:&quot;Derk&quot;,&quot;non-dropping-particle&quot;:&quot;&quot;,&quot;parse-names&quot;:false,&quot;suffix&quot;:&quot;&quot;},{&quot;dropping-particle&quot;:&quot;&quot;,&quot;family&quot;:&quot;Settels&quot;,&quot;given&quot;:&quot;Jos J.&quot;,&quot;non-dropping-particle&quot;:&quot;&quot;,&quot;parse-names&quot;:false,&quot;suffix&quot;:&quot;&quot;},{&quot;dropping-particle&quot;:&quot;&quot;,&quot;family&quot;:&quot;Oetomo&quot;,&quot;given&quot;:&quot;Sidarto Bambang&quot;,&quot;non-dropping-particle&quot;:&quot;&quot;,&quot;parse-names&quot;:false,&quot;suffix&quot;:&quot;&quot;},{&quot;dropping-particle&quot;:&quot;&quot;,&quot;family&quot;:&quot;Blanco&quot;,&quot;given&quot;:&quot;Carlos E.&quot;,&quot;non-dropping-particle&quot;:&quot;&quot;,&quot;parse-names&quot;:false,&quot;suffix&quot;:&quot;&quot;}],&quot;container-title&quot;:&quot;Pediatric Research&quot;,&quot;id&quot;:&quot;de22a192-48eb-5034-aacd-915743265058&quot;,&quot;issue&quot;:&quot;6&quot;,&quot;issued&quot;:{&quot;date-parts&quot;:[[&quot;2008&quot;,&quot;6&quot;]]},&quot;page&quot;:&quot;691-696&quot;,&quot;title&quot;:&quot;Feasibility of Noninvasive Continuous Finger Arterial Blood Pressure Measurements in Very Young Children, Aged 0–4 Years&quot;,&quot;type&quot;:&quot;article-journal&quot;,&quot;volume&quot;:&quot;63&quot;,&quot;container-title-short&quot;:&quot;Pediatr. Res.&quot;},&quot;uris&quot;:[&quot;http://www.mendeley.com/documents/?uuid=d3ad2877-2e0a-4c53-b635-e84067215acc&quot;],&quot;isTemporary&quot;:false,&quot;legacyDesktopId&quot;:&quot;d3ad2877-2e0a-4c53-b635-e84067215acc&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citationID&quot;:&quot;MENDELEY_CITATION_b7943963-856a-4ec4-9308-fdbf5deb0608&quot;,&quot;properties&quot;:{&quot;noteIndex&quot;:0},&quot;isEdited&quot;:false,&quot;manualOverride&quot;:{&quot;citeprocText&quot;:&quot;[415,428]&quot;,&quot;isManuallyOverridden&quot;:false,&quot;manualOverrideText&quot;:&quot;&quot;},&quot;citationTag&quot;:&quot;MENDELEY_CITATION_v3_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Ub21peWFtYSIsImdpdmVuIjoiSGlyb2Z1bWk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&quot;,&quot;citationItems&quot;:[{&quot;id&quot;:&quot;2d610581-4c26-54e8-bfed-01c04599975b&quot;,&quot;itemData&quot;:{&quot;DOI&quot;:&quot;10.1038/hr.2015.78&quot;,&quot;ISSN&quot;:&quot;0916-9636&quot;,&quot;PMID&quot;:&quot;26155750&quot;,&quot;author&quot;:[{&quot;dropping-particle&quot;:&quot;&quot;,&quot;family&quot;:&quot;Salvi&quot;,&quot;given&quot;:&quot;Paolo&quot;,&quot;non-dropping-particle&quot;:&quot;&quot;,&quot;parse-names&quot;:false,&quot;suffix&quot;:&quot;&quot;},{&quot;dropping-particle&quot;:&quot;&quot;,&quot;family&quot;:&quot;Grillo&quot;,&quot;given&quot;:&quot;Andrea&quot;,&quot;non-dropping-particle&quot;:&quot;&quot;,&quot;parse-names&quot;:false,&quot;suffix&quot;:&quot;&quot;},{&quot;dropping-particle&quot;:&quot;&quot;,&quot;family&quot;:&quot;Parati&quot;,&quot;given&quot;:&quot;Gianfranco&quot;,&quot;non-dropping-particle&quot;:&quot;&quot;,&quot;parse-names&quot;:false,&quot;suffix&quot;:&quot;&quot;}],&quot;container-title&quot;:&quot;Hypertension Research&quot;,&quot;id&quot;:&quot;2d610581-4c26-54e8-bfed-01c04599975b&quot;,&quot;issue&quot;:&quot;10&quot;,&quot;issued&quot;:{&quot;date-parts&quot;:[[&quot;2015&quot;,&quot;10&quot;,&quot;9&quot;]]},&quot;page&quot;:&quot;646-648&quot;,&quot;publisher&quot;:&quot;Nature Publishing Group&quot;,&quot;title&quot;:&quot;Noninvasive estimation of central blood pressure and analysis of pulse waves by applanation tonometry&quot;,&quot;type&quot;:&quot;article-journal&quot;,&quot;volume&quot;:&quot;38&quot;,&quot;container-title-short&quot;:&quot;&quot;},&quot;uris&quot;:[&quot;http://www.mendeley.com/documents/?uuid=18e79b24-031d-43a0-ba97-fb10a3ff0d76&quot;],&quot;isTemporary&quot;:false,&quot;legacyDesktopId&quot;:&quot;18e79b24-031d-43a0-ba97-fb10a3ff0d76&quot;},{&quot;id&quot;:&quot;6d8f22b9-d539-54ac-8fba-288eb1454346&quot;,&quot;itemData&quot;:{&quot;DOI&quot;:&quot;10.1093/eurheartj/ehw632&quot;,&quot;ISSN&quot;:&quot;15229645&quot;,&quot;PMID&quot;:&quot;28158489&quot;,&quot;author&quot;:[{&quot;dropping-particle&quot;:&quot;&quot;,&quot;family&quot;:&quot;Sharman&quot;,&quot;given&quot;:&quot;James E.&quot;,&quot;non-dropping-particle&quot;:&quot;&quot;,&quot;parse-names&quot;:false,&quot;suffix&quot;:&quot;&quot;},{&quot;dropping-particle&quot;:&quot;&quot;,&quot;family&quot;:&quot;Avolio&quot;,&quot;given&quot;:&quot;Alberto P.&quot;,&quot;non-dropping-particle&quot;:&quot;&quot;,&quot;parse-names&quot;:false,&quot;suffix&quot;:&quot;&quot;},{&quot;dropping-particle&quot;:&quot;&quot;,&quot;family&quot;:&quot;Baulmann&quot;,&quot;given&quot;:&quot;Johannes&quot;,&quot;non-dropping-particle&quot;:&quot;&quot;,&quot;parse-names&quot;:false,&quot;suffix&quot;:&quot;&quot;},{&quot;dropping-particle&quot;:&quot;&quot;,&quot;family&quot;:&quot;Benetos&quot;,&quot;given&quot;:&quot;Athanase&quot;,&quot;non-dropping-particle&quot;:&quot;&quot;,&quot;parse-names&quot;:false,&quot;suffix&quot;:&quot;&quot;},{&quot;dropping-particle&quot;:&quot;&quot;,&quot;family&quot;:&quot;Blacher&quot;,&quot;given&quot;:&quot;Jacques&quot;,&quot;non-dropping-particle&quot;:&quot;&quot;,&quot;parse-names&quot;:false,&quot;suffix&quot;:&quot;&quot;},{&quot;dropping-particle&quot;:&quot;&quot;,&quot;family&quot;:&quot;Blizzard&quot;,&quot;given&quot;:&quot;C. Leigh&quot;,&quot;non-dropping-particle&quot;:&quot;&quot;,&quot;parse-names&quot;:false,&quot;suffix&quot;:&quot;&quot;},{&quot;dropping-particle&quot;:&quot;&quot;,&quot;family&quot;:&quot;Boutouyrie&quot;,&quot;given&quot;:&quot;Pierre&quot;,&quot;non-dropping-particle&quot;:&quot;&quot;,&quot;parse-names&quot;:false,&quot;suffix&quot;:&quot;&quot;},{&quot;dropping-particle&quot;:&quot;&quot;,&quot;family&quot;:&quot;Chen&quot;,&quot;given&quot;:&quot;Chen Huan&quot;,&quot;non-dropping-particle&quot;:&quot;&quot;,&quot;parse-names&quot;:false,&quot;suffix&quot;:&quot;&quot;},{&quot;dropping-particle&quot;:&quot;&quot;,&quot;family&quot;:&quot;Chowienczyk&quot;,&quot;given&quot;:&quot;Phil&quot;,&quot;non-dropping-particle&quot;:&quot;&quot;,&quot;parse-names&quot;:false,&quot;suffix&quot;:&quot;&quot;},{&quot;dropping-particle&quot;:&quot;&quot;,&quot;family&quot;:&quot;Cockcroft&quot;,&quot;given&quot;:&quot;John R.&quot;,&quot;non-dropping-particle&quot;:&quot;&quot;,&quot;parse-names&quot;:false,&quot;suffix&quot;:&quot;&quot;},{&quot;dropping-particle&quot;:&quot;&quot;,&quot;family&quot;:&quot;Cruickshank&quot;,&quot;given&quot;:&quot;J. Kennedy&quot;,&quot;non-dropping-particle&quot;:&quot;&quot;,&quot;parse-names&quot;:false,&quot;suffix&quot;:&quot;&quot;},{&quot;dropping-particle&quot;:&quot;&quot;,&quot;family&quot;:&quot;Ferreira&quot;,&quot;given&quot;:&quot;Isabel&quot;,&quot;non-dropping-particle&quot;:&quot;&quot;,&quot;parse-names&quot;:false,&quot;suffix&quot;:&quot;&quot;},{&quot;dropping-particle&quot;:&quot;&quot;,&quot;family&quot;:&quot;Ghiadoni&quot;,&quot;given&quot;:&quot;Lorenzo&quot;,&quot;non-dropping-particle&quot;:&quot;&quot;,&quot;parse-names&quot;:false,&quot;suffix&quot;:&quot;&quot;},{&quot;dropping-particle&quot;:&quot;&quot;,&quot;family&quot;:&quot;Hughes&quot;,&quot;given&quot;:&quot;Alun&quot;,&quot;non-dropping-particle&quot;:&quot;&quot;,&quot;parse-names&quot;:false,&quot;suffix&quot;:&quot;&quot;},{&quot;dropping-particle&quot;:&quot;&quot;,&quot;family&quot;:&quot;Jankowski&quot;,&quot;given&quot;:&quot;Piotr&quot;,&quot;non-dropping-particle&quot;:&quot;&quot;,&quot;parse-names&quot;:false,&quot;suffix&quot;:&quot;&quot;},{&quot;dropping-particle&quot;:&quot;&quot;,&quot;family&quot;:&quot;Laurent&quot;,&quot;given&quot;:&quot;Stephane&quot;,&quot;non-dropping-particle&quot;:&quot;&quot;,&quot;parse-names&quot;:false,&quot;suffix&quot;:&quot;&quot;},{&quot;dropping-particle&quot;:&quot;&quot;,&quot;family&quot;:&quot;McDonnell&quot;,&quot;given&quot;:&quot;Barry J.&quot;,&quot;non-dropping-particle&quot;:&quot;&quot;,&quot;parse-names&quot;:false,&quot;suffix&quot;:&quot;&quot;},{&quot;dropping-particle&quot;:&quot;&quot;,&quot;family&quot;:&quot;McEniery&quot;,&quot;given&quot;:&quot;Carmel&quot;,&quot;non-dropping-particle&quot;:&quot;&quot;,&quot;parse-names&quot;:false,&quot;suffix&quot;:&quot;&quot;},{&quot;dropping-particle&quot;:&quot;&quot;,&quot;family&quot;:&quot;Millasseau&quot;,&quot;given&quot;:&quot;Sandrine C.&quot;,&quot;non-dropping-particle&quot;:&quot;&quot;,&quot;parse-names&quot;:false,&quot;suffix&quot;:&quot;&quot;},{&quot;dropping-particle&quot;:&quot;&quot;,&quot;family&quot;:&quot;Papaioannou&quot;,&quot;given&quot;:&quot;Theodoros G.&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Park&quot;,&quot;given&quot;:&quot;Jeong Bae&quot;,&quot;non-dropping-particle&quot;:&quot;&quot;,&quot;parse-names&quot;:false,&quot;suffix&quot;:&quot;&quot;},{&quot;dropping-particle&quot;:&quot;&quot;,&quot;family&quot;:&quot;Protogerou&quot;,&quot;given&quot;:&quot;Athanase D.&quot;,&quot;non-dropping-particle&quot;:&quot;&quot;,&quot;parse-names&quot;:false,&quot;suffix&quot;:&quot;&quot;},{&quot;dropping-particle&quot;:&quot;&quot;,&quot;family&quot;:&quot;Roman&quot;,&quot;given&quot;:&quot;Mary J.&quot;,&quot;non-dropping-particle&quot;:&quot;&quot;,&quot;parse-names&quot;:false,&quot;suffix&quot;:&quot;&quot;},{&quot;dropping-particle&quot;:&quot;&quot;,&quot;family&quot;:&quot;Schillaci&quot;,&quot;given&quot;:&quot;Giuseppe&quot;,&quot;non-dropping-particle&quot;:&quot;&quot;,&quot;parse-names&quot;:false,&quot;suffix&quot;:&quot;&quot;},{&quot;dropping-particle&quot;:&quot;&quot;,&quot;family&quot;:&quot;Segers&quot;,&quot;given&quot;:&quot;Patrick&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Tomiyama&quot;,&quot;given&quot;:&quot;Hirofumi&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Bortel&quot;,&quot;given&quot;:&quot;Luc M.&quot;,&quot;non-dropping-particle&quot;:&quot;Van&quot;,&quot;parse-names&quot;:false,&quot;suffix&quot;:&quot;&quot;},{&quot;dropping-particle&quot;:&quot;&quot;,&quot;family&quot;:&quot;Wang&quot;,&quot;given&quot;:&quot;Jiguang&quot;,&quot;non-dropping-particle&quot;:&quot;&quot;,&quot;parse-names&quot;:false,&quot;suffix&quot;:&quot;&quot;},{&quot;dropping-particle&quot;:&quot;&quot;,&quot;family&quot;:&quot;Wassertheurer&quot;,&quot;given&quot;:&quot;Siegfried&quot;,&quot;non-dropping-particle&quot;:&quot;&quot;,&quot;parse-names&quot;:false,&quot;suffix&quot;:&quot;&quot;},{&quot;dropping-particle&quot;:&quot;&quot;,&quot;family&quot;:&quot;Weber&quot;,&quot;given&quot;:&quot;Thomas&quot;,&quot;non-dropping-particle&quot;:&quot;&quot;,&quot;parse-names&quot;:false,&quot;suffix&quot;:&quot;&quot;},{&quot;dropping-particle&quot;:&quot;&quot;,&quot;family&quot;:&quot;Wilkinson&quot;,&quot;given&quot;:&quot;Ian B.&quot;,&quot;non-dropping-particle&quot;:&quot;&quot;,&quot;parse-names&quot;:false,&quot;suffix&quot;:&quot;&quot;},{&quot;dropping-particle&quot;:&quot;&quot;,&quot;family&quot;:&quot;Vlachopoulos&quot;,&quot;given&quot;:&quot;Charalambos&quot;,&quot;non-dropping-particle&quot;:&quot;&quot;,&quot;parse-names&quot;:false,&quot;suffix&quot;:&quot;&quot;}],&quot;container-title&quot;:&quot;European Heart Journal&quot;,&quot;id&quot;:&quot;6d8f22b9-d539-54ac-8fba-288eb1454346&quot;,&quot;issue&quot;:&quot;37&quot;,&quot;issued&quot;:{&quot;date-parts&quot;:[[&quot;2017&quot;]]},&quot;page&quot;:&quot;2805-2812&quot;,&quot;title&quot;:&quot;Validation of non-invasive central blood pressure devices: ARTERY Society task force consensus statement on protocol standardization&quot;,&quot;type&quot;:&quot;article-journal&quot;,&quot;volume&quot;:&quot;38&quot;,&quot;container-title-short&quot;:&quot;Eur. Heart J.&quot;},&quot;uris&quot;:[&quot;http://www.mendeley.com/documents/?uuid=573eba15-2a5b-4f74-859d-f3e76b10458c&quot;],&quot;isTemporary&quot;:false,&quot;legacyDesktopId&quot;:&quot;573eba15-2a5b-4f74-859d-f3e76b10458c&quot;}]},{&quot;citationID&quot;:&quot;MENDELEY_CITATION_a94dbbd4-0ed1-4263-9d6d-d6c33b21513a&quot;,&quot;properties&quot;:{&quot;noteIndex&quot;:0},&quot;isEdited&quot;:false,&quot;manualOverride&quot;:{&quot;citeprocText&quot;:&quot;[410,421]&quot;,&quot;isManuallyOverridden&quot;:false,&quot;manualOverrideText&quot;:&quot;&quot;},&quot;citationTag&quot;:&quot;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&quot;,&quot;citationItems&quot;:[{&quot;id&quot;:&quot;9609b379-6144-5450-a96d-3ec4b3c27a06&quot;,&quot;itemData&quot;:{&quot;DOI&quot;:&quot;10.1186/s13054-014-0644-4&quot;,&quot;ISSN&quot;:&quot;1364-8535&quot;,&quot;PMID&quot;:&quot;25433536&quot;,&quot;abstract&quot;:&quot;Introduction: Critically ill patients and patients undergoing high-risk and major surgery, are instrumented with intra-arterial catheters and invasive blood pressure is considered the \&quot; gold standard\&quot; for arterial pressure monitoring. Nonetheless, artifacts due to inappropriate dynamic response of the fluid-filled monitoring systems may lead to clinically relevant differences between actual and displayed pressure values. We sought to analyze the incidence and causes of resonance/underdamping phenomena in patients undergoing major vascular and cardiac surgery. Methods: Arterial pressures were measured invasively and, according to the fast-flush Gardner's test, each patient was attributed to one of two groups depending on the presence (R-group) or absence (NR-group) of resonance/underdamping. Invasive pressure values were then compared with the non-invasive ones. Results: A total of 11,610 pulses and 1,200 non-invasive blood pressure measurements were analyzed in 300 patients. Ninety-two out of 300 (30.7%) underdamping/resonance arterial signals were found. In these cases (R-group) systolic invasive blood pressure (IBP) average overestimation of non-invasive blood pressure (NIBP) was 28.5 (15.9) mmHg (P &lt;0.0001) while in the NR-group the overestimation was 4.1(5.3) mmHg (P &lt;0.0001). The mean IBP-NIBP difference in diastolic pressure in the R-group was -2.2 (10.6) mmHg and, in the NR-group -1.1 (5.8) mmHg. The mean arterial pressure difference was 7.4 (11.2) mmHg in the R-group and 2.3 (6.4) mmHg in the NR-group. A multivariate logistic regression identified five parameters independently associated with underdamping/resonance: polydistrectual arteriopathy (P =0.0023; OR = 2.82), history of arterial hypertension (P =0.0214; OR = 2.09), chronic obstructive pulmonary disease (P =0.198; OR = 2.61), arterial catheter diameter (20 vs. 18 gauge) (P &lt;0.0001; OR = 0.35) and sedation (P =0.0131; OR = 0.5). The ROC curve for the maximal pressure-time ratio, showed an optimum selected cut-off point of 1.67 mmHg/msec with a specificity of 97% (95% CI: 95.13 to 99.47%) and a sensitivity of 77% (95% CI: 67.25 to 85.28%) and an area under the ROC curve by extended trapezoidal rule of 0.88. Conclusion: Physicians should be aware of the possibility that IBP can be inaccurate in a consistent number of patients due to underdamping/resonance phenomena. NIBP measurement may help to confirm/exclude the presence of this artifact avoiding inappropriate treatments.&quot;,&quot;author&quot;:[{&quot;dropping-particle&quot;:&quot;&quot;,&quot;family&quot;:&quot;Romagnoli&quot;,&quot;given&quot;:&quot;Stefano&quot;,&quot;non-dropping-particle&quot;:&quot;&quot;,&quot;parse-names&quot;:false,&quot;suffix&quot;:&quot;&quot;},{&quot;dropping-particle&quot;:&quot;&quot;,&quot;family&quot;:&quot;Ricci&quot;,&quot;given&quot;:&quot;Zaccaria&quot;,&quot;non-dropping-particle&quot;:&quot;&quot;,&quot;parse-names&quot;:false,&quot;suffix&quot;:&quot;&quot;},{&quot;dropping-particle&quot;:&quot;&quot;,&quot;family&quot;:&quot;Quattrone&quot;,&quot;given&quot;:&quot;Diego&quot;,&quot;non-dropping-particle&quot;:&quot;&quot;,&quot;parse-names&quot;:false,&quot;suffix&quot;:&quot;&quot;},{&quot;dropping-particle&quot;:&quot;&quot;,&quot;family&quot;:&quot;Tofani&quot;,&quot;given&quot;:&quot;Lorenzo&quot;,&quot;non-dropping-particle&quot;:&quot;&quot;,&quot;parse-names&quot;:false,&quot;suffix&quot;:&quot;&quot;},{&quot;dropping-particle&quot;:&quot;&quot;,&quot;family&quot;:&quot;Tujjar&quot;,&quot;given&quot;:&quot;Omar&quot;,&quot;non-dropping-particle&quot;:&quot;&quot;,&quot;parse-names&quot;:false,&quot;suffix&quot;:&quot;&quot;},{&quot;dropping-particle&quot;:&quot;&quot;,&quot;family&quot;:&quot;Villa&quot;,&quot;given&quot;:&quot;Gianluca&quot;,&quot;non-dropping-particle&quot;:&quot;&quot;,&quot;parse-names&quot;:false,&quot;suffix&quot;:&quot;&quot;},{&quot;dropping-particle&quot;:&quot;&quot;,&quot;family&quot;:&quot;Romano&quot;,&quot;given&quot;:&quot;Salvatore M.&quot;,&quot;non-dropping-particle&quot;:&quot;&quot;,&quot;parse-names&quot;:false,&quot;suffix&quot;:&quot;&quot;},{&quot;dropping-particle&quot;:&quot;&quot;,&quot;family&quot;:&quot;Gaudio&quot;,&quot;given&quot;:&quot;A. Raffaele&quot;,&quot;non-dropping-particle&quot;:&quot;De&quot;,&quot;parse-names&quot;:false,&quot;suffix&quot;:&quot;&quot;}],&quot;container-title&quot;:&quot;Critical Care&quot;,&quot;id&quot;:&quot;9609b379-6144-5450-a96d-3ec4b3c27a06&quot;,&quot;issue&quot;:&quot;6&quot;,&quot;issued&quot;:{&quot;date-parts&quot;:[[&quot;2014&quot;,&quot;11&quot;,&quot;30&quot;]]},&quot;page&quot;:&quot;644&quot;,&quot;title&quot;:&quot;Accuracy of invasive arterial pressure monitoring in cardiovascular patients: an observational study&quot;,&quot;type&quot;:&quot;article-journal&quot;,&quot;volume&quot;:&quot;18&quot;,&quot;container-title-short&quot;:&quot;Crit. Care&quot;},&quot;uris&quot;:[&quot;http://www.mendeley.com/documents/?uuid=029d78fe-ba5b-4fb8-9096-ec47d9da7d05&quot;],&quot;isTemporary&quot;:false,&quot;legacyDesktopId&quot;:&quot;029d78fe-ba5b-4fb8-9096-ec47d9da7d05&quot;},{&quot;id&quot;:&quot;1b9b3720-d229-5bfa-85d4-a1e8eb28e28a&quot;,&quot;itemData&quot;:{&quot;DOI&quot;:&quot;10.3389/fmed.2017.00231&quot;,&quot;ISSN&quot;:&quot;2296-858X&quot;,&quot;abstract&quot;:&quot;Since both, hypotension and hypertension, can potentially impair the function of vital organs such as heart, brain, or kidneys, monitoring of arterial blood pressure (BP) is a mainstay of hemodynamic monitoring in acutely or critically ill patients. Arterial BP can either be obtained invasively via an arterial catheter or non-invasively. Non-invasive BP measurement provides either intermittent or continuous readings. Most commonly, an occluding upper arm cuff is used for intermittent non-invasive monitoring. BP values are then obtained either manually (by auscultation of Korotkoff sounds or palpation) or automatically (e.g., by oscillometry). For continuous non-invasive BP monitoring, the volume clamp method or arterial applanation tonometry can be used. Both techniques enable the arterial waveform and BP values to be obtained continuously. This article describes the different techniques for non-invasive BP measurement, their advantages and limitations, and their clinical applicability.&quot;,&quot;author&quot;:[{&quot;dropping-particle&quot;:&quot;&quot;,&quot;family&quot;:&quot;Meidert&quot;,&quot;given&quot;:&quot;Agnes S.&quot;,&quot;non-dropping-particle&quot;:&quot;&quot;,&quot;parse-names&quot;:false,&quot;suffix&quot;:&quot;&quot;},{&quot;dropping-particle&quot;:&quot;&quot;,&quot;family&quot;:&quot;Saugel&quot;,&quot;given&quot;:&quot;Bernd&quot;,&quot;non-dropping-particle&quot;:&quot;&quot;,&quot;parse-names&quot;:false,&quot;suffix&quot;:&quot;&quot;}],&quot;container-title&quot;:&quot;Frontiers in Medicine&quot;,&quot;id&quot;:&quot;1b9b3720-d229-5bfa-85d4-a1e8eb28e28a&quot;,&quot;issue&quot;:&quot;JAN&quot;,&quot;issued&quot;:{&quot;date-parts&quot;:[[&quot;2018&quot;,&quot;1&quot;,&quot;8&quot;]]},&quot;page&quot;:&quot;1-6&quot;,&quot;title&quot;:&quot;Techniques for Non-Invasive Monitoring of Arterial Blood Pressure&quot;,&quot;type&quot;:&quot;article-journal&quot;,&quot;volume&quot;:&quot;4&quot;,&quot;container-title-short&quot;:&quot;Front. Med. (Lausanne).&quot;},&quot;uris&quot;:[&quot;http://www.mendeley.com/documents/?uuid=d77aa057-b297-4ad4-a8f5-d5bdd6333c89&quot;],&quot;isTemporary&quot;:false,&quot;legacyDesktopId&quot;:&quot;d77aa057-b297-4ad4-a8f5-d5bdd6333c89&quot;}]},{&quot;citationID&quot;:&quot;MENDELEY_CITATION_d1332032-2041-4cb1-9fd0-1fa829161c74&quot;,&quot;properties&quot;:{&quot;noteIndex&quot;:0},&quot;isEdited&quot;:false,&quot;manualOverride&quot;:{&quot;citeprocText&quot;:&quot;[407]&quot;,&quot;isManuallyOverridden&quot;:false,&quot;manualOverrideText&quot;:&quot;&quot;},&quot;citationTag&quot;:&quot;MENDELEY_CITATION_v3_eyJjaXRhdGlvbklEIjoiTUVOREVMRVlfQ0lUQVRJT05fZDEzMzIwMzItMjA0MS00Y2IxLTlmZDAtMWZhODI5MTYxYzc0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4a92da37-1c6e-41ae-8c6d-9e47dffe287f&quot;,&quot;properties&quot;:{&quot;noteIndex&quot;:0},&quot;isEdited&quot;:false,&quot;manualOverride&quot;:{&quot;citeprocText&quot;:&quot;[429,430]&quot;,&quot;isManuallyOverridden&quot;:false,&quot;manualOverrideText&quot;:&quot;&quot;},&quot;citationTag&quot;:&quot;MENDELEY_CITATION_v3_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&quot;,&quot;citationItems&quot;:[{&quot;id&quot;:&quot;187c42ab-56ee-571e-b75f-aa6447684f4c&quot;,&quot;itemData&quot;:{&quot;DOI&quot;:&quot;10.5114/ait.2022.123120&quot;,&quot;ISSN&quot;:&quot;1642-5758&quot;,&quot;PMID&quot;:&quot;36734453&quot;,&quot;abstract&quot;:&quot;Mean arterial pressure (MAP) is a key haemodynamic variable monitored in critically ill patients. The advantages of oscillometric noninvasive blood pressure (NIBP) measurement are its easy and fast methodology; however, the accuracy and the precision of this measurement in critically ill patients is constantly debated. We performed a systematic review and meta-analysis of observational studies comparing oscillometric NIBP methods with invasive arterial pressure (IAP) measurements. We included studies of adult critically ill patients, which evaluated MAP in the same patient by both NIBP and IAP at any site. We included only studies comparing simultaneous measurements of arterial pressure by NIBP and IAP, reporting their results using mean difference and SD of agreement. The main outcome was to define the bias of the MAP measured by NIBP over the IAP measurement. The quality of the studies was analysed by the QUADAS 2 tool. Seven studies and 1593 patients were included in the main analysis. The oscillometric NIBP method had a mean value of -1.50 mmHg when compared with IAP (95% CI: –3.34 to 0.35; I2 = 96% for random effects model, P &lt; 0.01). The limits of agreement for MAP varied between –14.6 mmHg and +40.3 mmHg. NIBP had an adequate accuracy regarding MAP measurements by oscillometry. Limits of agreement may thus narrow the clinical applicability in scenarios in which there is a need for a more precise management of blood pressure.&quot;,&quot;author&quot;:[{&quot;dropping-particle&quot;:&quot;&quot;,&quot;family&quot;:&quot;Nedel&quot;,&quot;given&quot;:&quot;Wagner Luis&quot;,&quot;non-dropping-particle&quot;:&quot;&quot;,&quot;parse-names&quot;:false,&quot;suffix&quot;:&quot;&quot;},{&quot;dropping-particle&quot;:&quot;&quot;,&quot;family&quot;:&quot;Vasconcellos&quot;,&quot;given&quot;:&quot;Alessandro Tonin&quot;,&quot;non-dropping-particle&quot;:&quot;&quot;,&quot;parse-names&quot;:false,&quot;suffix&quot;:&quot;&quot;},{&quot;dropping-particle&quot;:&quot;&quot;,&quot;family&quot;:&quot;Gunsch&quot;,&quot;given&quot;:&quot;Karoline Ariane&quot;,&quot;non-dropping-particle&quot;:&quot;&quot;,&quot;parse-names&quot;:false,&quot;suffix&quot;:&quot;&quot;},{&quot;dropping-particle&quot;:&quot;&quot;,&quot;family&quot;:&quot;Rigotti Soares&quot;,&quot;given&quot;:&quot;Pedro Henrique&quot;,&quot;non-dropping-particle&quot;:&quot;&quot;,&quot;parse-names&quot;:false,&quot;suffix&quot;:&quot;&quot;}],&quot;container-title&quot;:&quot;Anaesthesiology Intensive Therapy&quot;,&quot;id&quot;:&quot;187c42ab-56ee-571e-b75f-aa6447684f4c&quot;,&quot;issue&quot;:&quot;5&quot;,&quot;issued&quot;:{&quot;date-parts&quot;:[[&quot;2022&quot;,&quot;12&quot;,&quot;30&quot;]]},&quot;page&quot;:&quot;425-431&quot;,&quot;title&quot;:&quot;Accuracy and precision of oscillometric noninvasive blood pressure measurement in critically ill patients: systematic review and meta-analysis&quot;,&quot;type&quot;:&quot;article-journal&quot;,&quot;volume&quot;:&quot;54&quot;,&quot;container-title-short&quot;:&quot;Anaesthesiol. Intensive Ther.&quot;},&quot;uris&quot;:[&quot;http://www.mendeley.com/documents/?uuid=c1d0ed22-970d-44d8-87eb-a2c16ff2a72d&quot;],&quot;isTemporary&quot;:false,&quot;legacyDesktopId&quot;:&quot;c1d0ed22-970d-44d8-87eb-a2c16ff2a72d&quot;},{&quot;id&quot;:&quot;0a4f80d8-483f-51a2-a2ba-3e7f19227809&quot;,&quot;itemData&quot;:{&quot;DOI&quot;:&quot;10.1038/s41569-022-00690-0&quot;,&quot;ISBN&quot;:&quot;4156902200690&quot;,&quot;ISSN&quot;:&quot;1759-5002&quot;,&quot;PMID&quot;:&quot;35440738&quot;,&quot;abstract&quot;:&quot;Current hypertension guidelines recommend using the average values of several blood pressure (BP) readings obtained both in and out of the office for the diagnosis and management of hypertension. In-office BP measurement using an upper-arm cuff constitutes the evidence-based reference method for current BP classification and treatment targets. However, out-of-office BP evaluation using 24 h ambulatory or home BP monitoring is recommended by all major medical associations for obtaining further insights into the BP profile of an individual and how it relates to their daily activities. Importantly, the highly variable nature of office and out-of-office BP readings has been widely acknowledged, including the association of BP variability with cardiovascular outcomes. However, to date, the implications of BP variability on cardiovascular outcomes have largely been ignored, with limited application in clinical practice. Novel cuffless wearable technologies might provide a detailed assessment of the 24 h BP profile and behaviour over weeks or months. These devices offer many advantages for researchers and patients compared with traditional BP monitors, but their accuracy and utility remain uncertain. In this Review, we outline and compare conventional and novel methods and techniques for assessing average BP levels and BP variability, and reflect on the utility and potential of these methods for improving the treatment and management of patients with hypertension.&quot;,&quot;author&quot;:[{&quot;dropping-particle&quot;:&quot;&quot;,&quot;family&quot;:&quot;Schutte&quot;,&quot;given&quot;:&quot;Aletta E.&quot;,&quot;non-dropping-particle&quot;:&quot;&quot;,&quot;parse-names&quot;:false,&quot;suffix&quot;:&quot;&quot;},{&quot;dropping-particle&quot;:&quot;&quot;,&quot;family&quot;:&quot;Kollias&quot;,&quot;given&quot;:&quot;Anastasios&quot;,&quot;non-dropping-particle&quot;:&quot;&quot;,&quot;parse-names&quot;:false,&quot;suffix&quot;:&quot;&quot;},{&quot;dropping-particle&quot;:&quot;&quot;,&quot;family&quot;:&quot;Stergiou&quot;,&quot;given&quot;:&quot;George S.&quot;,&quot;non-dropping-particle&quot;:&quot;&quot;,&quot;parse-names&quot;:false,&quot;suffix&quot;:&quot;&quot;}],&quot;container-title&quot;:&quot;Nature Reviews Cardiology&quot;,&quot;id&quot;:&quot;0a4f80d8-483f-51a2-a2ba-3e7f19227809&quot;,&quot;issue&quot;:&quot;10&quot;,&quot;issued&quot;:{&quot;date-parts&quot;:[[&quot;2022&quot;,&quot;10&quot;,&quot;19&quot;]]},&quot;page&quot;:&quot;643-654&quot;,&quot;publisher&quot;:&quot;Springer US&quot;,&quot;title&quot;:&quot;Blood pressure and its variability: classic and novel measurement techniques&quot;,&quot;type&quot;:&quot;article-journal&quot;,&quot;volume&quot;:&quot;19&quot;,&quot;container-title-short&quot;:&quot;Nat. Rev. Cardiol.&quot;},&quot;uris&quot;:[&quot;http://www.mendeley.com/documents/?uuid=3570c420-2308-4850-bc03-a4fbd2da528f&quot;],&quot;isTemporary&quot;:false,&quot;legacyDesktopId&quot;:&quot;3570c420-2308-4850-bc03-a4fbd2da528f&quot;}]},{&quot;citationID&quot;:&quot;MENDELEY_CITATION_749e3ae2-8b29-4d4a-84ae-726d2479bdf1&quot;,&quot;properties&quot;:{&quot;noteIndex&quot;:0},&quot;isEdited&quot;:false,&quot;manualOverride&quot;:{&quot;citeprocText&quot;:&quot;[429]&quot;,&quot;isManuallyOverridden&quot;:false,&quot;manualOverrideText&quot;:&quot;&quot;},&quot;citationTag&quot;:&quot;MENDELEY_CITATION_v3_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&quot;,&quot;citationItems&quot;:[{&quot;id&quot;:&quot;187c42ab-56ee-571e-b75f-aa6447684f4c&quot;,&quot;itemData&quot;:{&quot;DOI&quot;:&quot;10.5114/ait.2022.123120&quot;,&quot;ISSN&quot;:&quot;1642-5758&quot;,&quot;PMID&quot;:&quot;36734453&quot;,&quot;abstract&quot;:&quot;Mean arterial pressure (MAP) is a key haemodynamic variable monitored in critically ill patients. The advantages of oscillometric noninvasive blood pressure (NIBP) measurement are its easy and fast methodology; however, the accuracy and the precision of this measurement in critically ill patients is constantly debated. We performed a systematic review and meta-analysis of observational studies comparing oscillometric NIBP methods with invasive arterial pressure (IAP) measurements. We included studies of adult critically ill patients, which evaluated MAP in the same patient by both NIBP and IAP at any site. We included only studies comparing simultaneous measurements of arterial pressure by NIBP and IAP, reporting their results using mean difference and SD of agreement. The main outcome was to define the bias of the MAP measured by NIBP over the IAP measurement. The quality of the studies was analysed by the QUADAS 2 tool. Seven studies and 1593 patients were included in the main analysis. The oscillometric NIBP method had a mean value of -1.50 mmHg when compared with IAP (95% CI: –3.34 to 0.35; I2 = 96% for random effects model, P &lt; 0.01). The limits of agreement for MAP varied between –14.6 mmHg and +40.3 mmHg. NIBP had an adequate accuracy regarding MAP measurements by oscillometry. Limits of agreement may thus narrow the clinical applicability in scenarios in which there is a need for a more precise management of blood pressure.&quot;,&quot;author&quot;:[{&quot;dropping-particle&quot;:&quot;&quot;,&quot;family&quot;:&quot;Nedel&quot;,&quot;given&quot;:&quot;Wagner Luis&quot;,&quot;non-dropping-particle&quot;:&quot;&quot;,&quot;parse-names&quot;:false,&quot;suffix&quot;:&quot;&quot;},{&quot;dropping-particle&quot;:&quot;&quot;,&quot;family&quot;:&quot;Vasconcellos&quot;,&quot;given&quot;:&quot;Alessandro Tonin&quot;,&quot;non-dropping-particle&quot;:&quot;&quot;,&quot;parse-names&quot;:false,&quot;suffix&quot;:&quot;&quot;},{&quot;dropping-particle&quot;:&quot;&quot;,&quot;family&quot;:&quot;Gunsch&quot;,&quot;given&quot;:&quot;Karoline Ariane&quot;,&quot;non-dropping-particle&quot;:&quot;&quot;,&quot;parse-names&quot;:false,&quot;suffix&quot;:&quot;&quot;},{&quot;dropping-particle&quot;:&quot;&quot;,&quot;family&quot;:&quot;Rigotti Soares&quot;,&quot;given&quot;:&quot;Pedro Henrique&quot;,&quot;non-dropping-particle&quot;:&quot;&quot;,&quot;parse-names&quot;:false,&quot;suffix&quot;:&quot;&quot;}],&quot;container-title&quot;:&quot;Anaesthesiology Intensive Therapy&quot;,&quot;id&quot;:&quot;187c42ab-56ee-571e-b75f-aa6447684f4c&quot;,&quot;issue&quot;:&quot;5&quot;,&quot;issued&quot;:{&quot;date-parts&quot;:[[&quot;2022&quot;,&quot;12&quot;,&quot;30&quot;]]},&quot;page&quot;:&quot;425-431&quot;,&quot;title&quot;:&quot;Accuracy and precision of oscillometric noninvasive blood pressure measurement in critically ill patients: systematic review and meta-analysis&quot;,&quot;type&quot;:&quot;article-journal&quot;,&quot;volume&quot;:&quot;54&quot;,&quot;container-title-short&quot;:&quot;Anaesthesiol. Intensive Ther.&quot;},&quot;uris&quot;:[&quot;http://www.mendeley.com/documents/?uuid=c1d0ed22-970d-44d8-87eb-a2c16ff2a72d&quot;],&quot;isTemporary&quot;:false,&quot;legacyDesktopId&quot;:&quot;c1d0ed22-970d-44d8-87eb-a2c16ff2a72d&quot;}]},{&quot;citationID&quot;:&quot;MENDELEY_CITATION_aff18503-b108-4da4-9071-5da2ffaf72b5&quot;,&quot;properties&quot;:{&quot;noteIndex&quot;:0},&quot;isEdited&quot;:false,&quot;manualOverride&quot;:{&quot;citeprocText&quot;:&quot;[424,431]&quot;,&quot;isManuallyOverridden&quot;:false,&quot;manualOverrideText&quot;:&quot;&quot;},&quot;citationTag&quot;:&quot;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&quot;,&quot;citationItems&quot;:[{&quot;id&quot;:&quot;5a6173d1-4560-5fcf-94ca-b8b1d5994dad&quot;,&quot;itemData&quot;:{&quot;DOI&quot;:&quot;10.1161/HYPERTENSIONAHA.116.07961&quot;,&quot;ISSN&quot;:&quot;15244563&quot;,&quot;PMID&quot;:&quot;27550911&quot;,&quot;abstract&quot;:&quot;The reliability of blood pressure measurement with wrist devices, which has not previously been assessed under real-life circumstances in general population, is dependent on correct positioning of the wrist device at heart level. We determined whether an error was present when blood pressure was self-measured at the wrist in 721 unselected subjects from the general population. After training, blood pressure was measured in the office and self-measured at home with an upper-arm device (the UA-767 Plus) and a wrist device (the UB-542, not provided with a position sensor). The upper-arm-wrist blood pressure difference detected in the office was used as the reference measurement. The discrepancy between office and home differences was the home measurement error. In the office, systolic blood pressure was 2.5% lower at wrist than at arm (P=0.002), whereas at home, systolic and diastolic blood pressures were higher at wrist than at arm (+5.6% and +5.4%, respectively; P&lt;0.0001 for both); 621 subjects had home measurement error of at least ±5 mm Hg and 455 of at least ±10 mm Hg (bad measurers). In multivariable linear regression, a lower cognitive pattern independently determined both the systolic and the diastolic home measurement error and a longer forearm the systolic error only. This was confirmed by logistic regression having bad measurers as dependent variable. The use of wrist devices for home self-measurement, therefore, leads to frequent detection of falsely elevated blood pressure values likely because of a poor memory and rendition of the instructions, leading to the wrong position of the wrist.&quot;,&quot;author&quot;:[{&quot;dropping-particle&quot;:&quot;&quot;,&quot;family&quot;:&quot;Casiglia&quot;,&quot;given&quot;:&quot;Edoardo&quot;,&quot;non-dropping-particle&quot;:&quot;&quot;,&quot;parse-names&quot;:false,&quot;suffix&quot;:&quot;&quot;},{&quot;dropping-particle&quot;:&quot;&quot;,&quot;family&quot;:&quot;Tikhonoff&quot;,&quot;given&quot;:&quot;Valérie&quot;,&quot;non-dropping-particle&quot;:&quot;&quot;,&quot;parse-names&quot;:false,&quot;suffix&quot;:&quot;&quot;},{&quot;dropping-particle&quot;:&quot;&quot;,&quot;family&quot;:&quot;Albertini&quot;,&quot;given&quot;:&quot;Federica&quot;,&quot;non-dropping-particle&quot;:&quot;&quot;,&quot;parse-names&quot;:false,&quot;suffix&quot;:&quot;&quot;},{&quot;dropping-particle&quot;:&quot;&quot;,&quot;family&quot;:&quot;Palatini&quot;,&quot;given&quot;:&quot;Paolo&quot;,&quot;non-dropping-particle&quot;:&quot;&quot;,&quot;parse-names&quot;:false,&quot;suffix&quot;:&quot;&quot;}],&quot;container-title&quot;:&quot;Hypertension&quot;,&quot;id&quot;:&quot;5a6173d1-4560-5fcf-94ca-b8b1d5994dad&quot;,&quot;issue&quot;:&quot;4&quot;,&quot;issued&quot;:{&quot;date-parts&quot;:[[&quot;2016&quot;]]},&quot;page&quot;:&quot;896-903&quot;,&quot;title&quot;:&quot;Poor Reliability of Wrist Blood Pressure Self-Measurement at Home: A Population-Based Study&quot;,&quot;type&quot;:&quot;article-journal&quot;,&quot;volume&quot;:&quot;68&quot;,&quot;container-title-short&quot;:&quot;&quot;},&quot;uris&quot;:[&quot;http://www.mendeley.com/documents/?uuid=0e9e0662-b46f-4116-9ae1-e137ccac15c6&quot;],&quot;isTemporary&quot;:false,&quot;legacyDesktopId&quot;:&quot;0e9e0662-b46f-4116-9ae1-e137ccac15c6&quot;},{&quot;id&quot;:&quot;b2b77bf4-350a-515d-b5ee-934fdd619151&quot;,&quot;itemData&quot;:{&quot;DOI&quot;:&quot;10.1136/bmjopen-2016-012429&quot;,&quot;ISSN&quot;:&quot;2044-6055&quot;,&quot;PMID&quot;:&quot;27810973&quot;,&quot;abstract&quot;:&quot;Objective: To determine the diagnostic accuracy of different methods of blood pressure (BP) measurement compared with reference standards for the diagnosis of hypertension in patients with obesity with a large arm circumference. Design: Systematic review with meta-analysis with hierarchical summary receiver operating characteristic models. Bland-Altman analyses where individual patient data were available. Methodological quality appraised using Quality Assessment of Diagnostic Accuracy Studies 2 (QUADAS2) criteria. Data sources: MEDLINE, EMBASE, Cochrane, DARE, Medion and Trip databases were searched. Eligibility criteria: Cross-sectional, randomised and cohort studies of diagnostic test accuracy that compared any non-invasive BP tests (upper arm, forearm, wrist, finger) with an appropriate reference standard (invasive BP, correctly fitting upper arm cuff, ambulatory BP monitoring) in primary care were included. Results: 4037 potentially relevant papers were identified. 20 studies involving 26 different comparisons met the inclusion criteria. Individual patient data were available from 4 studies. No studies satisfied all QUADAS2 criteria. Compared with the reference test of invasive BP, a correctly fitting upper arm BP cuff had a sensitivity of 0.87 (0.79 to 0.93) and a specificity of 0.85 (0.64 to 0.95); insufficient evidence was available for other comparisons to invasive BP. Compared with the reference test of a correctly fitting upper arm cuff, BP measurement at the wrist had a sensitivity of 0.92 (0.64 to 0.99) and a specificity of 0.92 (0.85 to 0.87). Measurement with an incorrectly fitting standard cuff had a sensitivity of 0.73 (0.67 to 0.78) and a specificity of 0.76 (0.69 to 0.82). Measurement at the forearm had a sensitivity of 0.84 (0.71 to 0.92) and a specificity 0.75 of (0.66 to 0.83). Bland-Altman analysis of individual patient data from 3 studies comparing wrist and upper arm BP showed a mean difference of 0.46 mm Hg for systolic BP measurement and 2.2 mm Hg for diastolic BP measurement. Conclusions: BP measurement with a correctly fitting upper arm cuff is sufficiently sensitive and specific to diagnose hypertension in patients with obesity with a large upper arm circumference. If a correctly fitting upper arm cuff cannot be applied, an incorrectly fitting standard size cuff should not be used and BP measurement at the wrist should be considered.&quot;,&quot;author&quot;:[{&quot;dropping-particle&quot;:&quot;&quot;,&quot;family&quot;:&quot;Irving&quot;,&quot;given&quot;:&quot;Greg&quot;,&quot;non-dropping-particle&quot;:&quot;&quot;,&quot;parse-names&quot;:false,&quot;suffix&quot;:&quot;&quot;},{&quot;dropping-particle&quot;:&quot;&quot;,&quot;family&quot;:&quot;Holden&quot;,&quot;given&quot;:&quot;John&quot;,&quot;non-dropping-particle&quot;:&quot;&quot;,&quot;parse-names&quot;:false,&quot;suffix&quot;:&quot;&quot;},{&quot;dropping-particle&quot;:&quot;&quot;,&quot;family&quot;:&quot;Stevens&quot;,&quot;given&quot;:&quot;Richard&quot;,&quot;non-dropping-particle&quot;:&quot;&quot;,&quot;parse-names&quot;:false,&quot;suffix&quot;:&quot;&quot;},{&quot;dropping-particle&quot;:&quot;&quot;,&quot;family&quot;:&quot;McManus&quot;,&quot;given&quot;:&quot;Richard J.&quot;,&quot;non-dropping-particle&quot;:&quot;&quot;,&quot;parse-names&quot;:false,&quot;suffix&quot;:&quot;&quot;}],&quot;container-title&quot;:&quot;BMJ Open&quot;,&quot;id&quot;:&quot;b2b77bf4-350a-515d-b5ee-934fdd619151&quot;,&quot;issue&quot;:&quot;11&quot;,&quot;issued&quot;:{&quot;date-parts&quot;:[[&quot;2016&quot;,&quot;11&quot;,&quot;3&quot;]]},&quot;page&quot;:&quot;e012429&quot;,&quot;title&quot;:&quot;Which cuff should I use? Indirect blood pressure measurement for the diagnosis of hypertension in patients with obesity: a diagnostic accuracy review&quot;,&quot;type&quot;:&quot;article-journal&quot;,&quot;volume&quot;:&quot;6&quot;,&quot;container-title-short&quot;:&quot;BMJ Open&quot;},&quot;uris&quot;:[&quot;http://www.mendeley.com/documents/?uuid=a5ae1e61-2d79-4a77-8eba-e9fe4ef4d8bf&quot;],&quot;isTemporary&quot;:false,&quot;legacyDesktopId&quot;:&quot;a5ae1e61-2d79-4a77-8eba-e9fe4ef4d8bf&quot;}]},{&quot;citationID&quot;:&quot;MENDELEY_CITATION_6020d4bb-7cde-46bd-a4d7-7c142578f96a&quot;,&quot;properties&quot;:{&quot;noteIndex&quot;:0},&quot;isEdited&quot;:false,&quot;manualOverride&quot;:{&quot;citeprocText&quot;:&quot;[432]&quot;,&quot;isManuallyOverridden&quot;:false,&quot;manualOverrideText&quot;:&quot;&quot;},&quot;citationTag&quot;:&quot;MENDELEY_CITATION_v3_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&quot;,&quot;citationItems&quot;:[{&quot;id&quot;:&quot;99b05a79-3e61-5711-bdc8-06575f2e53a8&quot;,&quot;itemData&quot;:{&quot;DOI&quot;:&quot;10.2196/jmir.8009&quot;,&quot;ISSN&quot;:&quot;14388871&quot;,&quot;PMID&quot;:&quot;29695375&quot;,&quot;abstract&quot;:&quot;Background: Clinical guidelines recommend monitoring of blood pressure at home using an automatic blood pressure device for the management of hypertension. Devices are not often calibrated against direct blood pressure measures, leaving health care providers and patients with less reliable information than is possible with current technology. Rigorous assessments of medical devices are necessary for establishing clinical utility. Objective: The purpose of our study was 2-fold: (1) to assess the validity and perform iterative calibration of indirect blood pressure measurements by a noninvasive wrist cuff blood pressure device in direct comparison with simultaneously recorded peripheral and central intra-arterial blood pressure measurements and (2) to assess the validity of the measurements thereafter of the noninvasive wrist cuff blood pressure device in comparison with measurements by a noninvasive upper arm blood pressure device to the Canadian hypertension guidelines. Methods: The cloud-based blood pressure algorithms for an oscillometric wrist cuff device were iteratively calibrated to direct pressure measures in 20 consented patient participants. We then assessed measurement validity of the device, using Bland-Altman analysis during routine cardiovascular catheterization. Results: The precalibrated absolute mean difference between direct intra-arterial to wrist cuff pressure measurements were 10.8 (SD 9.7) for systolic and 16.1 (SD 6.3) for diastolic. The postcalibrated absolute mean difference was 7.2 (SD 5.1) for systolic and 4.3 (SD 3.3) for diastolic pressures. This is an improvement in accuracy of 33% systolic and 73% diastolic with a 48% reduction in the variability for both measures. Furthermore, the wrist cuff device demonstrated similar sensitivity in measuring high blood pressure compared with the direct intra-arterial method. The device, when calibrated to direct aortic pressures, demonstrated the potential to reduce a treatment gap in high blood pressure measurements. Conclusions: The systolic pressure measurements of the wrist cuff have been iteratively calibrated using gold standard central (ascending aortic) pressure. This improves the accuracy of the indirect measures and potentially reduces the treatment gap. Devices that undergo auscultatory (indirect) calibration for licensing can be greatly improved by additional iterative calibration via intra-arterial (direct) measures of blood pressure. Further clinical trials with repeated us…&quot;,&quot;author&quot;:[{&quot;dropping-particle&quot;:&quot;&quot;,&quot;family&quot;:&quot;Melville&quot;,&quot;given&quot;:&quot;Sarah&quot;,&quot;non-dropping-particle&quot;:&quot;&quot;,&quot;parse-names&quot;:false,&quot;suffix&quot;:&quot;&quot;},{&quot;dropping-particle&quot;:&quot;&quot;,&quot;family&quot;:&quot;Teskey&quot;,&quot;given&quot;:&quot;Robert&quot;,&quot;non-dropping-particle&quot;:&quot;&quot;,&quot;parse-names&quot;:false,&quot;suffix&quot;:&quot;&quot;},{&quot;dropping-particle&quot;:&quot;&quot;,&quot;family&quot;:&quot;Philip&quot;,&quot;given&quot;:&quot;Shona&quot;,&quot;non-dropping-particle&quot;:&quot;&quot;,&quot;parse-names&quot;:false,&quot;suffix&quot;:&quot;&quot;},{&quot;dropping-particle&quot;:&quot;&quot;,&quot;family&quot;:&quot;Simpson&quot;,&quot;given&quot;:&quot;Jeremy A.&quot;,&quot;non-dropping-particle&quot;:&quot;&quot;,&quot;parse-names&quot;:false,&quot;suffix&quot;:&quot;&quot;},{&quot;dropping-particle&quot;:&quot;&quot;,&quot;family&quot;:&quot;Lutchmedial&quot;,&quot;given&quot;:&quot;Sohrab&quot;,&quot;non-dropping-particle&quot;:&quot;&quot;,&quot;parse-names&quot;:false,&quot;suffix&quot;:&quot;&quot;},{&quot;dropping-particle&quot;:&quot;&quot;,&quot;family&quot;:&quot;Brunt&quot;,&quot;given&quot;:&quot;Keith R.&quot;,&quot;non-dropping-particle&quot;:&quot;&quot;,&quot;parse-names&quot;:false,&quot;suffix&quot;:&quot;&quot;}],&quot;container-title&quot;:&quot;Journal of Medical Internet Research&quot;,&quot;id&quot;:&quot;99b05a79-3e61-5711-bdc8-06575f2e53a8&quot;,&quot;issue&quot;:&quot;4&quot;,&quot;issued&quot;:{&quot;date-parts&quot;:[[&quot;2018&quot;]]},&quot;page&quot;:&quot;1-13&quot;,&quot;title&quot;:&quot;A comparison and calibration of a wrist-worn blood pressure monitor for patient management: Assessing the reliability of innovative blood pressure devices&quot;,&quot;type&quot;:&quot;article-journal&quot;,&quot;volume&quot;:&quot;20&quot;,&quot;container-title-short&quot;:&quot;J. Med. Internet Res.&quot;},&quot;uris&quot;:[&quot;http://www.mendeley.com/documents/?uuid=388b32d2-10d9-4aae-8b6d-c5f1078b374c&quot;,&quot;http://www.mendeley.com/documents/?uuid=186d74e9-47ca-42e1-9f4f-6143d2eb9927&quot;],&quot;isTemporary&quot;:false,&quot;legacyDesktopId&quot;:&quot;388b32d2-10d9-4aae-8b6d-c5f1078b374c&quot;}]},{&quot;citationID&quot;:&quot;MENDELEY_CITATION_5d8afeba-b537-4b6e-8cd1-48c61826aab1&quot;,&quot;properties&quot;:{&quot;noteIndex&quot;:0},&quot;isEdited&quot;:false,&quot;manualOverride&quot;:{&quot;citeprocText&quot;:&quot;[412]&quot;,&quot;isManuallyOverridden&quot;:false,&quot;manualOverrideText&quot;:&quot;&quot;},&quot;citationTag&quot;:&quot;MENDELEY_CITATION_v3_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&quot;,&quot;citationItems&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citationID&quot;:&quot;MENDELEY_CITATION_8c5a00bd-c04a-42b0-ad47-0e913953c903&quot;,&quot;properties&quot;:{&quot;noteIndex&quot;:0},&quot;isEdited&quot;:false,&quot;manualOverride&quot;:{&quot;citeprocText&quot;:&quot;[413]&quot;,&quot;isManuallyOverridden&quot;:false,&quot;manualOverrideText&quot;:&quot;&quot;},&quot;citationTag&quot;:&quot;MENDELEY_CITATION_v3_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&quot;,&quot;citationItems&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citationID&quot;:&quot;MENDELEY_CITATION_92d45e1a-30d1-4143-af6c-504ae84186d6&quot;,&quot;properties&quot;:{&quot;noteIndex&quot;:0},&quot;isEdited&quot;:false,&quot;manualOverride&quot;:{&quot;citeprocText&quot;:&quot;[418]&quot;,&quot;isManuallyOverridden&quot;:false,&quot;manualOverrideText&quot;:&quot;&quot;},&quot;citationTag&quot;:&quot;MENDELEY_CITATION_v3_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&quot;,&quot;citationItems&quot;:[{&quot;id&quot;:&quot;b4e0e913-bde5-5b5f-9b27-0b11175d7e74&quot;,&quot;itemData&quot;:{&quot;DOI&quot;:&quot;10.1093/ehjdh/ztac021&quot;,&quot;ISSN&quot;:&quot;26343916&quot;,&quot;abstract&quot;:&quot;Aims: High blood pressure (BP) is the commonest modifiable cardiovascular risk factor, yet its monitoring remains problematic. Wearable cuffless BP devices offer potential solutions; however, little is known about their validity and utility. We aimed to systematically review the validity, features and clinical use of wearable cuffless BP devices. Methods and results: We searched MEDLINE, Embase, IEEE Xplore and the Cochrane Database till December 2019 for studies that reported validating cuffless BP devices. We extracted information about study characteristics, device features, validation processes, and clinical applications. Devices were classified according to their functions and features. We defined devices with a mean systolic BP (SBP) and diastolic BP (DBP) biases of &lt;5mmHg as valid as a consensus. Our definition of validity did not include assessment of device measurement precision, which is assessed by standard deviation of the mean difference-a critical component of ISO protocol validation criteria. Study quality was assessed using the Quality Assessment of Diagnostic Accuracy Studies version 2 tool. A random-effects model meta-Analysis was performed to summarise the mean biases for SBP and DBP across studies. Of the 430 studies identified, 16 studies (15 devices, 974 participants) were selected. The majority of devices (81.3%) used photoplethysmography to estimate BP against a reference device; other technologies included tonometry, auscultation and electrocardiogram. In addition to BP and heart rate, some devices also measured night-Time BP (n = 5), sleep monitoring (n = 3), oxygen saturation (n = 3), temperature (n = 2) and electrocardiogram (n = 3). Eight devices showed mean biases of &lt;5 mmHg for SBP and DBP compared with a reference device and three devices were commercially available. The meta-Analysis showed no statistically significant differences between the wearable and reference devices for SBP (pooled mean difference = 3.42mmHg, 95% CI:-2.17, 9.01, I2 95.4%) and DBP (pooled mean = 1.16mmHg, 95% CI:-1.26, 3.58, I2 87.1%). Conclusion: Several cuffless BP devices are currently available using different technologies, offering the potential for continuous BP monitoring. The variation in standards and validation protocols limited the comparability of findings across studies and the identification of the most accurate device. Challenges such as validation using standard protocols and in real-life settings must be overcome before they can be…&quot;,&quot;author&quot;:[{&quot;dropping-particle&quot;:&quot;&quot;,&quot;family&quot;:&quot;Islam&quot;,&quot;given&quot;:&quot;Sheikh Mohammed Shariful&quot;,&quot;non-dropping-particle&quot;:&quot;&quot;,&quot;parse-names&quot;:false,&quot;suffix&quot;:&quot;&quot;},{&quot;dropping-particle&quot;:&quot;&quot;,&quot;family&quot;:&quot;Chow&quot;,&quot;given&quot;:&quot;Clara K.&quot;,&quot;non-dropping-particle&quot;:&quot;&quot;,&quot;parse-names&quot;:false,&quot;suffix&quot;:&quot;&quot;},{&quot;dropping-particle&quot;:&quot;&quot;,&quot;family&quot;:&quot;Daryabeygikhotbehsara&quot;,&quot;given&quot;:&quot;Reza&quot;,&quot;non-dropping-particle&quot;:&quot;&quot;,&quot;parse-names&quot;:false,&quot;suffix&quot;:&quot;&quot;},{&quot;dropping-particle&quot;:&quot;&quot;,&quot;family&quot;:&quot;Subedi&quot;,&quot;given&quot;:&quot;Narayan&quot;,&quot;non-dropping-particle&quot;:&quot;&quot;,&quot;parse-names&quot;:false,&quot;suffix&quot;:&quot;&quot;},{&quot;dropping-particle&quot;:&quot;&quot;,&quot;family&quot;:&quot;Rawstorn&quot;,&quot;given&quot;:&quot;Jonathan&quot;,&quot;non-dropping-particle&quot;:&quot;&quot;,&quot;parse-names&quot;:false,&quot;suffix&quot;:&quot;&quot;},{&quot;dropping-particle&quot;:&quot;&quot;,&quot;family&quot;:&quot;Tegegne&quot;,&quot;given&quot;:&quot;Teketo&quot;,&quot;non-dropping-particle&quot;:&quot;&quot;,&quot;parse-names&quot;:false,&quot;suffix&quot;:&quot;&quot;},{&quot;dropping-particle&quot;:&quot;&quot;,&quot;family&quot;:&quot;Karmakar&quot;,&quot;given&quot;:&quot;Chandan&quot;,&quot;non-dropping-particle&quot;:&quot;&quot;,&quot;parse-names&quot;:false,&quot;suffix&quot;:&quot;&quot;},{&quot;dropping-particle&quot;:&quot;&quot;,&quot;family&quot;:&quot;Siddiqui&quot;,&quot;given&quot;:&quot;Muhammad U.&quot;,&quot;non-dropping-particle&quot;:&quot;&quot;,&quot;parse-names&quot;:false,&quot;suffix&quot;:&quot;&quot;},{&quot;dropping-particle&quot;:&quot;&quot;,&quot;family&quot;:&quot;Lambert&quot;,&quot;given&quot;:&quot;Gavin&quot;,&quot;non-dropping-particle&quot;:&quot;&quot;,&quot;parse-names&quot;:false,&quot;suffix&quot;:&quot;&quot;},{&quot;dropping-particle&quot;:&quot;&quot;,&quot;family&quot;:&quot;Maddison&quot;,&quot;given&quot;:&quot;Ralph&quot;,&quot;non-dropping-particle&quot;:&quot;&quot;,&quot;parse-names&quot;:false,&quot;suffix&quot;:&quot;&quot;}],&quot;container-title&quot;:&quot;European Heart Journal - Digital Health&quot;,&quot;id&quot;:&quot;b4e0e913-bde5-5b5f-9b27-0b11175d7e74&quot;,&quot;issue&quot;:&quot;2&quot;,&quot;issued&quot;:{&quot;date-parts&quot;:[[&quot;2022&quot;]]},&quot;page&quot;:&quot;323-337&quot;,&quot;title&quot;:&quot;Wearable cuffless blood pressure monitoring devices: A systematic review and meta-Analysis&quot;,&quot;type&quot;:&quot;article-journal&quot;,&quot;volume&quot;:&quot;3&quot;,&quot;container-title-short&quot;:&quot;&quot;},&quot;uris&quot;:[&quot;http://www.mendeley.com/documents/?uuid=83f41065-49ca-4e1d-809f-e7ca8991d329&quot;],&quot;isTemporary&quot;:false,&quot;legacyDesktopId&quot;:&quot;83f41065-49ca-4e1d-809f-e7ca8991d329&quot;}]},{&quot;citationID&quot;:&quot;MENDELEY_CITATION_d343a0dc-3f8f-4f07-b487-d3641a93d98f&quot;,&quot;properties&quot;:{&quot;noteIndex&quot;:0},&quot;isEdited&quot;:false,&quot;manualOverride&quot;:{&quot;citeprocText&quot;:&quot;[405,433]&quot;,&quot;isManuallyOverridden&quot;:false,&quot;manualOverrideText&quot;:&quot;&quot;},&quot;citationTag&quot;:&quot;MENDELEY_CITATION_v3_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&quot;,&quot;citationItems&quot;:[{&quot;id&quot;:&quot;7e4a6d0c-6087-5c58-b42d-d3fdde2b9e18&quot;,&quot;itemData&quot;:{&quot;DOI&quot;:&quot;10.1038/s41598-023-33205-z&quot;,&quot;ISBN&quot;:&quot;0123456789&quot;,&quot;ISSN&quot;:&quot;20452322&quot;,&quot;PMID&quot;:&quot;37061569&quot;,&quot;abstract&quot;:&quot;The use of 24-h ambulatory blood pressure monitoring (ABPM) has been continuously increasing over the last decades. However, cuff-based devices may cause discomfort, particularly at night, leading to potentially non-representative blood pressure (BP) values. We investigated the feasibility of a cuff-less BP monitoring solution in 67 subjects undergoing conventional 24-h ABPM. A watch-like optical sensor was attached at the upper arm or wrist at the contralateral side of the cuff. Systolic (SBP) and diastolic BP (DBP) values were estimated from the measured optical signals by pulse wave analysis. Average 24-h, daytime and nighttime BP values were compared between the conventional monitor and the cuff-less sensor. The differences between both methods—expressed as mean ± standard deviation (95% limits of agreement)—were of − 1.8 ± 6.2 mmHg (− 13.9, 10.3) on SBP and − 2.3 ± 5.4 mmHg (− 13.0, 8.3) on DBP for 24-h averages, of − 1.5 ± 6.6 mmHg (− 14.4, 11.4) on SBP and − 1.8 ± 5.9 mmHg (− 13.4, 9.9) on DBP for daytime averages, and of 0.4 ± 7.5 mmHg (− 14.4, 15.1) on SBP and − 1.3 ± 6.8 mmHg (− 14.7, 12.0) on DBP for nighttime averages. These results encouragingly suggest that cuff-less 24-h ABPM may soon become a clinical possibility.&quot;,&quot;author&quot;:[{&quot;dropping-particle&quot;:&quot;&quot;,&quot;family&quot;:&quot;Proença&quot;,&quot;given&quot;:&quot;Martin&quot;,&quot;non-dropping-particle&quot;:&quot;&quot;,&quot;parse-names&quot;:false,&quot;suffix&quot;:&quot;&quot;},{&quot;dropping-particle&quot;:&quot;&quot;,&quot;family&quot;:&quot;Ambühl&quot;,&quot;given&quot;:&quot;Jeremias&quot;,&quot;non-dropping-particle&quot;:&quot;&quot;,&quot;parse-names&quot;:false,&quot;suffix&quot;:&quot;&quot;},{&quot;dropping-particle&quot;:&quot;&quot;,&quot;family&quot;:&quot;Bonnier&quot;,&quot;given&quot;:&quot;Guillaume&quot;,&quot;non-dropping-particle&quot;:&quot;&quot;,&quot;parse-names&quot;:false,&quot;suffix&quot;:&quot;&quot;},{&quot;dropping-particle&quot;:&quot;&quot;,&quot;family&quot;:&quot;Meister&quot;,&quot;given&quot;:&quot;Théo A.&quot;,&quot;non-dropping-particle&quot;:&quot;&quot;,&quot;parse-names&quot;:false,&quot;suffix&quot;:&quot;&quot;},{&quot;dropping-particle&quot;:&quot;&quot;,&quot;family&quot;:&quot;Valentin&quot;,&quot;given&quot;:&quot;Jérémy&quot;,&quot;non-dropping-particle&quot;:&quot;&quot;,&quot;parse-names&quot;:false,&quot;suffix&quot;:&quot;&quot;},{&quot;dropping-particle&quot;:&quot;&quot;,&quot;family&quot;:&quot;Soria&quot;,&quot;given&quot;:&quot;Rodrigo&quot;,&quot;non-dropping-particle&quot;:&quot;&quot;,&quot;parse-names&quot;:false,&quot;suffix&quot;:&quot;&quot;},{&quot;dropping-particle&quot;:&quot;&quot;,&quot;family&quot;:&quot;Ferrario&quot;,&quot;given&quot;:&quot;Damien&quot;,&quot;non-dropping-particle&quot;:&quot;&quot;,&quot;parse-names&quot;:false,&quot;suffix&quot;:&quot;&quot;},{&quot;dropping-particle&quot;:&quot;&quot;,&quot;family&quot;:&quot;Lemay&quot;,&quot;given&quot;:&quot;Mathieu&quot;,&quot;non-dropping-particle&quot;:&quot;&quot;,&quot;parse-names&quot;:false,&quot;suffix&quot;:&quot;&quot;},{&quot;dropping-particle&quot;:&quot;&quot;,&quot;family&quot;:&quot;Rexhaj&quot;,&quot;given&quot;:&quot;Emrush&quot;,&quot;non-dropping-particle&quot;:&quot;&quot;,&quot;parse-names&quot;:false,&quot;suffix&quot;:&quot;&quot;}],&quot;container-title&quot;:&quot;Scientific Reports&quot;,&quot;id&quot;:&quot;7e4a6d0c-6087-5c58-b42d-d3fdde2b9e18&quot;,&quot;issue&quot;:&quot;1&quot;,&quot;issued&quot;:{&quot;date-parts&quot;:[[&quot;2023&quot;]]},&quot;page&quot;:&quot;1-10&quot;,&quot;publisher&quot;:&quot;Nature Publishing Group UK&quot;,&quot;title&quot;:&quot;Method-comparison study between a watch-like sensor and a cuff-based device for 24-h ambulatory blood pressure monitoring&quot;,&quot;type&quot;:&quot;article-journal&quot;,&quot;volume&quot;:&quot;13&quot;,&quot;container-title-short&quot;:&quot;Sci. Rep.&quot;},&quot;uris&quot;:[&quot;http://www.mendeley.com/documents/?uuid=c76bad57-81d6-4536-a4c3-b29757cd9048&quot;],&quot;isTemporary&quot;:false,&quot;legacyDesktopId&quot;:&quot;c76bad57-81d6-4536-a4c3-b29757cd9048&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900da466-21f5-4918-be76-d831c2acd03d&quot;,&quot;properties&quot;:{&quot;noteIndex&quot;:0},&quot;isEdited&quot;:false,&quot;manualOverride&quot;:{&quot;citeprocText&quot;:&quot;[434–436]&quot;,&quot;isManuallyOverridden&quot;:false,&quot;manualOverrideText&quot;:&quot;&quot;},&quot;citationTag&quot;:&quot;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&quot;,&quot;citationItems&quot;:[{&quot;id&quot;:&quot;a315eef8-05cf-566b-81cc-a048e9a3d373&quot;,&quot;itemData&quot;:{&quot;DOI&quot;:&quot;10.1016/j.addr.2006.08.003&quot;,&quot;ISSN&quot;:&quot;0169409X&quot;,&quot;PMID&quot;:&quot;17659807&quot;,&quot;abstract&quot;:&quot;Ambulatory blood pressure (BP) measurements present a close correlation with target organ damage and cardiovascular events, including myocardial infarction, stroke and cardiovascular mortality. With the use of this measurement technique, a significant circadian variation has been shown to characterize BP. This circadian BP variation, although affected by a variety of external factors, represents the influence of internal factors such as ethnicity, gender, autonomic nervous system tone, vasoactive hormones, and hematologic and renal variables. In most individuals, BP presents a morning increase, a small post-prandial valley, and a deeper descent during nocturnal rest. However, under certain pathophysiological conditions, the nocturnal BP decline may be reduced or even reversed. This cannot be determined by traditional clinical or home BP assessments. Subjects with a diminished nocturnal BP decline (non-dipper pattern) have a significantly worse prognosis than the ones with a normal dipper pattern. In particular, the non-dipper circadian BP pattern represents a risk factor for left ventricular hyperthropy, microalbuminuria, cerebrovascular disease, congestive heart failure, vascular dementia and myocardial infarction. The normalization of the circadian BP pattern to a dipper profile is a novel therapeutic goal, and accumulating medical evidence suggests this can delay the progression towards the renal and cardiovascular pathology known to be a consequence of the non-dipper BP pattern. The features of the circadian BP profile have direct implications for improving the drug-delivery of antihypertensive therapies as well as the qualification of patients for medication trials and assessment. © 2007 Elsevier B.V. All rights reserved.&quot;,&quot;author&quot;:[{&quot;dropping-particle&quot;:&quot;&quot;,&quot;family&quot;:&quot;Hermida&quot;,&quot;given&quot;:&quot;Ramón C.&quot;,&quot;non-dropping-particle&quot;:&quot;&quot;,&quot;parse-names&quot;:false,&quot;suffix&quot;:&quot;&quot;},{&quot;dropping-particle&quot;:&quot;&quot;,&quot;family&quot;:&quot;Ayala&quot;,&quot;given&quot;:&quot;Diana E.&quot;,&quot;non-dropping-particle&quot;:&quot;&quot;,&quot;parse-names&quot;:false,&quot;suffix&quot;:&quot;&quot;},{&quot;dropping-particle&quot;:&quot;&quot;,&quot;family&quot;:&quot;Portaluppi&quot;,&quot;given&quot;:&quot;Francesco&quot;,&quot;non-dropping-particle&quot;:&quot;&quot;,&quot;parse-names&quot;:false,&quot;suffix&quot;:&quot;&quot;}],&quot;container-title&quot;:&quot;Advanced Drug Delivery Reviews&quot;,&quot;id&quot;:&quot;a315eef8-05cf-566b-81cc-a048e9a3d373&quot;,&quot;issue&quot;:&quot;9-10&quot;,&quot;issued&quot;:{&quot;date-parts&quot;:[[&quot;2007&quot;]]},&quot;page&quot;:&quot;904-922&quot;,&quot;title&quot;:&quot;Circadian variation of blood pressure: The basis for the chronotherapy of hypertension&quot;,&quot;type&quot;:&quot;article-journal&quot;,&quot;volume&quot;:&quot;59&quot;,&quot;container-title-short&quot;:&quot;Adv. Drug Deliv. Rev.&quot;},&quot;uris&quot;:[&quot;http://www.mendeley.com/documents/?uuid=3da6ada7-e182-4d0e-b7b1-4ded7f260644&quot;],&quot;isTemporary&quot;:false,&quot;legacyDesktopId&quot;:&quot;3da6ada7-e182-4d0e-b7b1-4ded7f260644&quot;},{&quot;id&quot;:&quot;a7b93624-59ab-5cc8-ac81-c8ef26a3b773&quot;,&quot;itemData&quot;:{&quot;DOI&quot;:&quot;10.1016/j.amjmed.2023.02.018&quot;,&quot;ISSN&quot;:&quot;15557162&quot;,&quot;PMID&quot;:&quot;36893831&quot;,&quot;abstract&quot;:&quot;A comprehensive approach to hypertension requires out-of-office determinations by home or ambulatory monitoring. The 4 phenotypes comparing office and out-of-office pressures in treated and untreated patients include normotension, hypertension, white-coat phenomena, and masked phenomena. Components of out-of-office pressure may be equally as important as mean values. Nighttime pressures are normally 10%-20% lower than daytime (normal “dipping”) pressures. Abnormalities include dipping more than 20% (extreme dippers), less than 10 % (nondippers), or rising above daytime (risers) and have been associated with elevated cardiovascular risk. Nighttime pressure may be elevated (nocturnal hypertension) in isolation or together with daytime hypertension. Isolated nocturnal hypertension theoretically changes white-coat hypertension to true hypertension and normotension to masked hypertension. Pressure normally peaks in the morning hours (“morning surge”) when cardiovascular events are most common. Morning hypertension may result from residual nocturnal hypertension or an exaggerated surge and has been associated with enhanced cardiovascular risk, especially in Asian populations. Randomized trials are needed to determine whether altering therapy based solely on either abnormal dipping, isolated nocturnal hypertension, or an abnormal surge is justified.&quot;,&quot;author&quot;:[{&quot;dropping-particle&quot;:&quot;&quot;,&quot;family&quot;:&quot;Filippone&quot;,&quot;given&quot;:&quot;Edward J.&quot;,&quot;non-dropping-particle&quot;:&quot;&quot;,&quot;parse-names&quot;:false,&quot;suffix&quot;:&quot;&quot;},{&quot;dropping-particle&quot;:&quot;&quot;,&quot;family&quot;:&quot;Foy&quot;,&quot;given&quot;:&quot;Andrew J.&quot;,&quot;non-dropping-particle&quot;:&quot;&quot;,&quot;parse-names&quot;:false,&quot;suffix&quot;:&quot;&quot;},{&quot;dropping-particle&quot;:&quot;V.&quot;,&quot;family&quot;:&quot;Naccarelli&quot;,&quot;given&quot;:&quot;Gerald&quot;,&quot;non-dropping-particle&quot;:&quot;&quot;,&quot;parse-names&quot;:false,&quot;suffix&quot;:&quot;&quot;}],&quot;container-title&quot;:&quot;American Journal of Medicine&quot;,&quot;id&quot;:&quot;a7b93624-59ab-5cc8-ac81-c8ef26a3b773&quot;,&quot;issue&quot;:&quot;7&quot;,&quot;issued&quot;:{&quot;date-parts&quot;:[[&quot;2023&quot;]]},&quot;page&quot;:&quot;629-637&quot;,&quot;publisher&quot;:&quot;Elsevier Inc.&quot;,&quot;title&quot;:&quot;Controversies in Hypertension III: Dipping, Nocturnal Hypertension, and the Morning Surge&quot;,&quot;type&quot;:&quot;article-journal&quot;,&quot;volume&quot;:&quot;136&quot;,&quot;container-title-short&quot;:&quot;&quot;},&quot;uris&quot;:[&quot;http://www.mendeley.com/documents/?uuid=6f7f11e7-f54c-4283-8ada-72c474b25129&quot;],&quot;isTemporary&quot;:false,&quot;legacyDesktopId&quot;:&quot;6f7f11e7-f54c-4283-8ada-72c474b25129&quot;},{&quot;id&quot;:&quot;1cc69f5d-0714-56ba-aa58-1da7f10c4833&quot;,&quot;itemData&quot;:{&quot;DOI&quot;:&quot;10.1161/HYPERTENSIONAHA.107.105510&quot;,&quot;ISSN&quot;:&quot;0194911X&quot;,&quot;PMID&quot;:&quot;18316653&quot;,&quot;abstract&quot;:&quot;Blood pressure (BP) follows a circadian rhythm, with 10% to 15% lower values during nighttime than during daytime. The absence of a nocturnal BP decrease (dipping) is associated with target organ damage, but the determinants of dipping are poorly understood. We assessed whether the nighttime BP and the dipping are associated with the circadian pattern of sodium excretion. Ambulatory BP and daytime and nighttime urinary electrolyte excretion were measured simultaneously in 325 individuals of African descent from 73 families. When divided into sex-specific tertiles of day:night ratios of urinary sodium excretion rate, subjects in tertile 1 (with the lowest ratio) were 6.5 years older and had a 9.8-mm Hg higher nighttime systolic BP (SBP) and a 23% lower SBP dipping (expressed in percentage of day value) compared with subjects in tertile 3 (P for trend &lt;0.01). After adjustment for age, the SBP difference across tertiles decreased to 5.4 mm Hg (P=0.002), and the SBP dipping difference decreased to 17% (P=0.05). A similar trend across tertiles was found with diastolic BP. In multivariate analyses, daytime urinary sodium and potassium concentrations were independently associated with nighttime SBP and SBP dipping (P&lt;0.05 for each). These data, based on a large number of subjects, suggest that the capacity to excrete sodium during daytime is a significant determinant of nocturnal BP and dipping. This observation may help us to understand the pathophysiology and clinical consequences of nighttime BP and to develop therapeutic strategies to normalize the dipping profile in hypertensive patients. © 2008 American Heart Association, Inc.&quot;,&quot;author&quot;:[{&quot;dropping-particle&quot;:&quot;&quot;,&quot;family&quot;:&quot;Bankir&quot;,&quot;given&quot;:&quot;Lise&quot;,&quot;non-dropping-particle&quot;:&quot;&quot;,&quot;parse-names&quot;:false,&quot;suffix&quot;:&quot;&quot;},{&quot;dropping-particle&quot;:&quot;&quot;,&quot;family&quot;:&quot;Bochud&quot;,&quot;given&quot;:&quot;Murielle&quot;,&quot;non-dropping-particle&quot;:&quot;&quot;,&quot;parse-names&quot;:false,&quot;suffix&quot;:&quot;&quot;},{&quot;dropping-particle&quot;:&quot;&quot;,&quot;family&quot;:&quot;Maillard&quot;,&quot;given&quot;:&quot;Marc&quot;,&quot;non-dropping-particle&quot;:&quot;&quot;,&quot;parse-names&quot;:false,&quot;suffix&quot;:&quot;&quot;},{&quot;dropping-particle&quot;:&quot;&quot;,&quot;family&quot;:&quot;Bovet&quot;,&quot;given&quot;:&quot;Pascal&quot;,&quot;non-dropping-particle&quot;:&quot;&quot;,&quot;parse-names&quot;:false,&quot;suffix&quot;:&quot;&quot;},{&quot;dropping-particle&quot;:&quot;&quot;,&quot;family&quot;:&quot;Gabriel&quot;,&quot;given&quot;:&quot;Anne&quot;,&quot;non-dropping-particle&quot;:&quot;&quot;,&quot;parse-names&quot;:false,&quot;suffix&quot;:&quot;&quot;},{&quot;dropping-particle&quot;:&quot;&quot;,&quot;family&quot;:&quot;Burnier&quot;,&quot;given&quot;:&quot;Michel&quot;,&quot;non-dropping-particle&quot;:&quot;&quot;,&quot;parse-names&quot;:false,&quot;suffix&quot;:&quot;&quot;}],&quot;container-title&quot;:&quot;Hypertension&quot;,&quot;id&quot;:&quot;1cc69f5d-0714-56ba-aa58-1da7f10c4833&quot;,&quot;issue&quot;:&quot;4&quot;,&quot;issued&quot;:{&quot;date-parts&quot;:[[&quot;2008&quot;]]},&quot;page&quot;:&quot;891-898&quot;,&quot;title&quot;:&quot;Nighttime blood pressure and nocturnal dipping are associated with daytime urinary sodium excretion in African subjects&quot;,&quot;type&quot;:&quot;article-journal&quot;,&quot;volume&quot;:&quot;51&quot;,&quot;container-title-short&quot;:&quot;&quot;},&quot;uris&quot;:[&quot;http://www.mendeley.com/documents/?uuid=71c9f130-b60c-4bf7-8d3f-9a681652e1de&quot;],&quot;isTemporary&quot;:false,&quot;legacyDesktopId&quot;:&quot;71c9f130-b60c-4bf7-8d3f-9a681652e1de&quot;}]},{&quot;citationID&quot;:&quot;MENDELEY_CITATION_cbfe847a-df79-4b89-968f-a2de1c46b9c3&quot;,&quot;properties&quot;:{&quot;noteIndex&quot;:0},&quot;isEdited&quot;:false,&quot;manualOverride&quot;:{&quot;citeprocText&quot;:&quot;[437,438]&quot;,&quot;isManuallyOverridden&quot;:false,&quot;manualOverrideText&quot;:&quot;&quot;},&quot;citationTag&quot;:&quot;MENDELEY_CITATION_v3_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1dfQ==&quot;,&quot;citationItems&quot;:[{&quot;id&quot;:&quot;955a5708-bd8f-5e6e-8bda-aa466ddee580&quot;,&quot;itemData&quot;:{&quot;DOI&quot;:&quot;10.1111/jch.13023&quot;,&quot;ISSN&quot;:&quot;17517176&quot;,&quot;PMID&quot;:&quot;28692165&quot;,&quot;abstract&quot;:&quot;Reverse or inverted dipping (ie, the phenomenon characterized by higher nighttime compared with daytime blood pressure values) is an alteration of circadian blood pressure rhythm frequently documented in hypertension, type 2 diabetes mellitus, chronic kidney disease, and sleep apnea syndrome, and generally regarded as a harmful condition. Available literature on the clinical and prognostic implications of reverse dipping is scanty. The present article will review a number of relevant issues concerning reverse dipping, in particular: (1) its possible mechanisms; (2) prevalence and clinical correlates, (3) concomitant cardiac and extracardiac subclinical organ damage; (4) association with acute and chronic cardiovascular diseases; (5) prognostic value in predicting cardiovascular events and mortality; and (6) therapeutic interventions aimed at reverting this abnormal circadian blood pressure rhythm.&quot;,&quot;author&quot;:[{&quot;dropping-particle&quot;:&quot;&quot;,&quot;family&quot;:&quot;Cuspidi&quot;,&quot;given&quot;:&quot;Cesare&quot;,&quot;non-dropping-particle&quot;:&quot;&quot;,&quot;parse-names&quot;:false,&quot;suffix&quot;:&quot;&quot;},{&quot;dropping-particle&quot;:&quot;&quot;,&quot;family&quot;:&quot;Sala&quot;,&quot;given&quot;:&quot;Carla&quot;,&quot;non-dropping-particle&quot;:&quot;&quot;,&quot;parse-names&quot;:false,&quot;suffix&quot;:&quot;&quot;},{&quot;dropping-particle&quot;:&quot;&quot;,&quot;family&quot;:&quot;Tadic&quot;,&quot;given&quot;:&quot;Marijana&quot;,&quot;non-dropping-particle&quot;:&quot;&quot;,&quot;parse-names&quot;:false,&quot;suffix&quot;:&quot;&quot;},{&quot;dropping-particle&quot;:&quot;&quot;,&quot;family&quot;:&quot;Gherbesi&quot;,&quot;given&quot;:&quot;Elisa&quot;,&quot;non-dropping-particle&quot;:&quot;&quot;,&quot;parse-names&quot;:false,&quot;suffix&quot;:&quot;&quot;},{&quot;dropping-particle&quot;:&quot;&quot;,&quot;family&quot;:&quot;Giorgi&quot;,&quot;given&quot;:&quot;Antonio&quot;,&quot;non-dropping-particle&quot;:&quot;De&quot;,&quot;parse-names&quot;:false,&quot;suffix&quot;:&quot;&quot;},{&quot;dropping-particle&quot;:&quot;&quot;,&quot;family&quot;:&quot;Grassi&quot;,&quot;given&quot;:&quot;Guido&quot;,&quot;non-dropping-particle&quot;:&quot;&quot;,&quot;parse-names&quot;:false,&quot;suffix&quot;:&quot;&quot;},{&quot;dropping-particle&quot;:&quot;&quot;,&quot;family&quot;:&quot;Mancia&quot;,&quot;given&quot;:&quot;Giuseppe&quot;,&quot;non-dropping-particle&quot;:&quot;&quot;,&quot;parse-names&quot;:false,&quot;suffix&quot;:&quot;&quot;}],&quot;container-title&quot;:&quot;Journal of Clinical Hypertension&quot;,&quot;id&quot;:&quot;955a5708-bd8f-5e6e-8bda-aa466ddee580&quot;,&quot;issue&quot;:&quot;7&quot;,&quot;issued&quot;:{&quot;date-parts&quot;:[[&quot;2017&quot;]]},&quot;page&quot;:&quot;713-721&quot;,&quot;title&quot;:&quot;Clinical and prognostic significance of a reverse dipping pattern on ambulatory monitoring: An updated review&quot;,&quot;type&quot;:&quot;article-journal&quot;,&quot;volume&quot;:&quot;19&quot;,&quot;container-title-short&quot;:&quot;J. Clin. Hypertens.&quot;},&quot;uris&quot;:[&quot;http://www.mendeley.com/documents/?uuid=22827dcb-d251-4dae-aec0-efcc233e786a&quot;],&quot;isTemporary&quot;:false,&quot;legacyDesktopId&quot;:&quot;22827dcb-d251-4dae-aec0-efcc233e786a&quot;},{&quot;id&quot;:&quot;ea036328-ce3a-5897-af16-bcdd72e4cef6&quot;,&quot;itemData&quot;:{&quot;DOI&quot;:&quot;10.1038/hr.2016.74&quot;,&quot;ISSN&quot;:&quot;13484214&quot;,&quot;PMID&quot;:&quot;27334063&quot;,&quot;abstract&quot;:&quot;The independent prognostic significance of circadian blood pressure (BP) changes is unclear. We investigated the association between circadian BP changes and cardiovascular risk among elderly-treated hypertensive patients. The occurrence of a composite end point (that is, stroke, coronary events, heart failure and peripheral revascularization) was evaluated among 1191 elderly-treated hypertensive patients (age range 60-90 years). According to the nighttime change and the morning surge (MS) of systolic BP, subjects were divided into groups of dippers with a normal or high MS (DNMS and DHMS, respectively), non-dippers (ND), reverse dippers (RD) and extreme dippers with a normal or high MS (EDNMS and EDHMS, respectively). During the follow-up (9.1± 4.9 years, range 0.4-20 years), 392 events occurred. The event rate was 3.63 per 100 patient-years. After adjustment for various covariates, including 24-h BP, the DHMS (hazard ratio (HR) 1.49, 95% confidence interval (CI) 1.02-2.16, P=0.04), ND (HR 1.71, 95% CI 1.28-2.27, P=0.0001), RD (HR 2.05, 95% CI 1.44-2.93, P=0.0001) and EDHMS (HR 3.40, 95% CI 1.96-5.90, P=0.001) were at higher cardiovascular risk than the DNMS. The population attributable risk was 0.6, 7.1, 7.3 and 1.4% for the DHMS, ND, RD and EDHMS, respectively. In elderly-treated hypertensive patients, circadian BP changes were independently associated with increased cardiovascular risk. At the patient level, the highest risk was observed among the EDHMS, followed by the RD, ND and DHMS. At the population level, the highest risk was observed among the RD, followed by the ND, EDHMS and DHMS.&quot;,&quot;author&quot;:[{&quot;dropping-particle&quot;:&quot;&quot;,&quot;family&quot;:&quot;Pierdomenico&quot;,&quot;given&quot;:&quot;Sante D.&quot;,&quot;non-dropping-particle&quot;:&quot;&quot;,&quot;parse-names&quot;:false,&quot;suffix&quot;:&quot;&quot;},{&quot;dropping-particle&quot;:&quot;&quot;,&quot;family&quot;:&quot;Pierdomenico&quot;,&quot;given&quot;:&quot;Anna M.&quot;,&quot;non-dropping-particle&quot;:&quot;&quot;,&quot;parse-names&quot;:false,&quot;suffix&quot;:&quot;&quot;},{&quot;dropping-particle&quot;:&quot;&quot;,&quot;family&quot;:&quot;Coccina&quot;,&quot;given&quot;:&quot;Francesca&quot;,&quot;non-dropping-particle&quot;:&quot;&quot;,&quot;parse-names&quot;:false,&quot;suffix&quot;:&quot;&quot;},{&quot;dropping-particle&quot;:&quot;&quot;,&quot;family&quot;:&quot;Lapenna&quot;,&quot;given&quot;:&quot;Domenico&quot;,&quot;non-dropping-particle&quot;:&quot;&quot;,&quot;parse-names&quot;:false,&quot;suffix&quot;:&quot;&quot;},{&quot;dropping-particle&quot;:&quot;&quot;,&quot;family&quot;:&quot;Porreca&quot;,&quot;given&quot;:&quot;Ettore&quot;,&quot;non-dropping-particle&quot;:&quot;&quot;,&quot;parse-names&quot;:false,&quot;suffix&quot;:&quot;&quot;}],&quot;container-title&quot;:&quot;Hypertension Research&quot;,&quot;id&quot;:&quot;ea036328-ce3a-5897-af16-bcdd72e4cef6&quot;,&quot;issue&quot;:&quot;11&quot;,&quot;issued&quot;:{&quot;date-parts&quot;:[[&quot;2016&quot;]]},&quot;page&quot;:&quot;805-811&quot;,&quot;publisher&quot;:&quot;Nature Publishing Group&quot;,&quot;title&quot;:&quot;Circadian blood pressure changes and cardiovascular risk in elderly-treated hypertensive patients&quot;,&quot;type&quot;:&quot;article-journal&quot;,&quot;volume&quot;:&quot;39&quot;,&quot;container-title-short&quot;:&quot;&quot;},&quot;uris&quot;:[&quot;http://www.mendeley.com/documents/?uuid=10db3c58-8077-4e08-9cad-e37e14b9a551&quot;],&quot;isTemporary&quot;:false,&quot;legacyDesktopId&quot;:&quot;10db3c58-8077-4e08-9cad-e37e14b9a551&quot;}]},{&quot;citationID&quot;:&quot;MENDELEY_CITATION_cf2abf93-841d-4c98-846e-ebdbcbeeb2b0&quot;,&quot;properties&quot;:{&quot;noteIndex&quot;:0},&quot;isEdited&quot;:false,&quot;manualOverride&quot;:{&quot;citeprocText&quot;:&quot;[439,440]&quot;,&quot;isManuallyOverridden&quot;:false,&quot;manualOverrideText&quot;:&quot;&quot;},&quot;citationTag&quot;:&quot;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&quot;,&quot;citationItems&quot;:[{&quot;id&quot;:&quot;a0793754-5e5a-5218-8aff-6f4ae4f882a1&quot;,&quot;itemData&quot;:{&quot;DOI&quot;:&quot;10.3390/jcm12144816&quot;,&quot;ISSN&quot;:&quot;20770383&quot;,&quot;abstract&quot;:&quot;The purpose of this study was to investigate the alterations in blood pressure (BP) during midday and the changes in circadian BP patterns in the acute phase of ischemic stroke (AIS) with the severity of stroke and their predictive role outcomes within 3 months. A total of 228 AIS patients (a prospective multicenter follow-up study) underwent 24 h ambulatory blood pressure monitoring (ABPM). Mean BP parameters during the day (7:00–22:59), the midday (13:00–16:59), and the night (23:00–6:59), and midday and nocturnal dipping were calculated. Midday SBP dippers had less severe stroke, lower incidence of hypertension and SBP/DBP on admission, lower levels of serum glucose and WBCs, and delayed initiation of ABPM compared to risers. There was a reverse relation between midday SBP dipping and both nocturnal dipping and stroke severity. The “double dippers” (midday and nocturnal dipping) had the least severe stroke, the lowest SBP/DBP on admission, the lowest heart rate from ABPM, and a lower risk of an unfavorable outcome, while the “double risers” had the opposite results, by an approximately five-fold risk of death/disability at 3 months. These findings indicate different circadian BP patterns during the acute phase of AIS, which could be considered a marker of stroke severity and prognosis.&quot;,&quot;author&quot;:[{&quot;dropping-particle&quot;:&quot;&quot;,&quot;family&quot;:&quot;Kakaletsis&quot;,&quot;given&quot;:&quot;Nikolaos&quot;,&quot;non-dropping-particle&quot;:&quot;&quot;,&quot;parse-names&quot;:false,&quot;suffix&quot;:&quot;&quot;},{&quot;dropping-particle&quot;:&quot;&quot;,&quot;family&quot;:&quot;Ntaios&quot;,&quot;given&quot;:&quot;George&quot;,&quot;non-dropping-particle&quot;:&quot;&quot;,&quot;parse-names&quot;:false,&quot;suffix&quot;:&quot;&quot;},{&quot;dropping-particle&quot;:&quot;&quot;,&quot;family&quot;:&quot;Milionis&quot;,&quot;given&quot;:&quot;Haralampos&quot;,&quot;non-dropping-particle&quot;:&quot;&quot;,&quot;parse-names&quot;:false,&quot;suffix&quot;:&quot;&quot;},{&quot;dropping-particle&quot;:&quot;&quot;,&quot;family&quot;:&quot;Karagiannaki&quot;,&quot;given&quot;:&quot;Anastasia&quot;,&quot;non-dropping-particle&quot;:&quot;&quot;,&quot;parse-names&quot;:false,&quot;suffix&quot;:&quot;&quot;},{&quot;dropping-particle&quot;:&quot;&quot;,&quot;family&quot;:&quot;Chouvarda&quot;,&quot;given&quot;:&quot;Ioanna&quot;,&quot;non-dropping-particle&quot;:&quot;&quot;,&quot;parse-names&quot;:false,&quot;suffix&quot;:&quot;&quot;},{&quot;dropping-particle&quot;:&quot;&quot;,&quot;family&quot;:&quot;Dourliou&quot;,&quot;given&quot;:&quot;Vasiliki&quot;,&quot;non-dropping-particle&quot;:&quot;&quot;,&quot;parse-names&quot;:false,&quot;suffix&quot;:&quot;&quot;},{&quot;dropping-particle&quot;:&quot;&quot;,&quot;family&quot;:&quot;Ladakis&quot;,&quot;given&quot;:&quot;Ioannis&quot;,&quot;non-dropping-particle&quot;:&quot;&quot;,&quot;parse-names&quot;:false,&quot;suffix&quot;:&quot;&quot;},{&quot;dropping-particle&quot;:&quot;&quot;,&quot;family&quot;:&quot;Kaiafa&quot;,&quot;given&quot;:&quot;Georgia&quot;,&quot;non-dropping-particle&quot;:&quot;&quot;,&quot;parse-names&quot;:false,&quot;suffix&quot;:&quot;&quot;},{&quot;dropping-particle&quot;:&quot;&quot;,&quot;family&quot;:&quot;Vemmos&quot;,&quot;given&quot;:&quot;Konstantinos&quot;,&quot;non-dropping-particle&quot;:&quot;&quot;,&quot;parse-names&quot;:false,&quot;suffix&quot;:&quot;&quot;},{&quot;dropping-particle&quot;:&quot;&quot;,&quot;family&quot;:&quot;Savopoulos&quot;,&quot;given&quot;:&quot;Christos&quot;,&quot;non-dropping-particle&quot;:&quot;&quot;,&quot;parse-names&quot;:false,&quot;suffix&quot;:&quot;&quot;}],&quot;container-title&quot;:&quot;Journal of Clinical Medicine&quot;,&quot;id&quot;:&quot;a0793754-5e5a-5218-8aff-6f4ae4f882a1&quot;,&quot;issue&quot;:&quot;14&quot;,&quot;issued&quot;:{&quot;date-parts&quot;:[[&quot;2023&quot;]]},&quot;title&quot;:&quot;Midday Dipping and Circadian Blood Pressure Patterns in Acute Ischemic Stroke&quot;,&quot;type&quot;:&quot;article-journal&quot;,&quot;volume&quot;:&quot;12&quot;,&quot;container-title-short&quot;:&quot;J. Clin. Med.&quot;},&quot;uris&quot;:[&quot;http://www.mendeley.com/documents/?uuid=89fc3f3a-0557-462c-bf5f-fee8ec2f2586&quot;],&quot;isTemporary&quot;:false,&quot;legacyDesktopId&quot;:&quot;89fc3f3a-0557-462c-bf5f-fee8ec2f2586&quot;},{&quot;id&quot;:&quot;e51c1f97-6058-52b0-8669-00a8ac55cecc&quot;,&quot;itemData&quot;:{&quot;DOI&quot;:&quot;10.1016/j.jash.2013.06.001&quot;,&quot;ISSN&quot;:&quot;19331711&quot;,&quot;PMID&quot;:&quot;23850195&quot;,&quot;abstract&quot;:&quot;Previous studies of the reproducibility of blood pressure (BP) dipping have yielded inconsistent results. Few have examined factors that may influence day-to-day differences in dipping. Ambulatory BP monitoring was performed on three occasions, approximately 1 week apart, in 115 untreated adult subjects with elevated clinic BPs. The mean ± standard deviation BP dip was 18 ± 7/15 ± 5 mm Hg (sleep/awake BP ratio = 0.87 ± 0.05/0.82 ± 0.06), with a median (interquartile range) day-to-day variation of 5.2 (3.1-8.1)/4.3 (2.8-5.6) mm Hg. There was no decrease in variability with successive measurements. The reproducibility coefficient (5.6 [95% confidence interval, 5.1-6.1] mm Hg) was greater and the intraclass correlation coefficient (0.53 [95% confidence interval, 0.42-0.63]) was smaller for the systolic dip than for 24-hour or awake systolic BPs, suggesting greater day-to-day variability in dipping. Variability in systolic dipping was greater in subjects with higher awake BP, but was not related to age, gender, race, or body mass index. Within individuals, day-to-day variations in dipping were related to variations in the fragmentation index (P &lt;.001), a measure of sleep quality. Although mean 24-hour and awake BPs were relatively stable over repeated monitoring days, our study confirms substantial variability in BP dipping. Day-to-day differences in dipping are related to sleep quality. © 2013 American Society of Hypertension. All rights reserved.&quot;,&quot;author&quot;:[{&quot;dropping-particle&quot;:&quot;&quot;,&quot;family&quot;:&quot;Hinderliter&quot;,&quot;given&quot;:&quot;Alan L.&quot;,&quot;non-dropping-particle&quot;:&quot;&quot;,&quot;parse-names&quot;:false,&quot;suffix&quot;:&quot;&quot;},{&quot;dropping-particle&quot;:&quot;&quot;,&quot;family&quot;:&quot;Routledge&quot;,&quot;given&quot;:&quot;Faye S.&quot;,&quot;non-dropping-particle&quot;:&quot;&quot;,&quot;parse-names&quot;:false,&quot;suffix&quot;:&quot;&quot;},{&quot;dropping-particle&quot;:&quot;&quot;,&quot;family&quot;:&quot;Blumenthal&quot;,&quot;given&quot;:&quot;James A.&quot;,&quot;non-dropping-particle&quot;:&quot;&quot;,&quot;parse-names&quot;:false,&quot;suffix&quot;:&quot;&quot;},{&quot;dropping-particle&quot;:&quot;&quot;,&quot;family&quot;:&quot;Koch&quot;,&quot;given&quot;:&quot;Gary&quot;,&quot;non-dropping-particle&quot;:&quot;&quot;,&quot;parse-names&quot;:false,&quot;suffix&quot;:&quot;&quot;},{&quot;dropping-particle&quot;:&quot;&quot;,&quot;family&quot;:&quot;Hussey&quot;,&quot;given&quot;:&quot;Michael A.&quot;,&quot;non-dropping-particle&quot;:&quot;&quot;,&quot;parse-names&quot;:false,&quot;suffix&quot;:&quot;&quot;},{&quot;dropping-particle&quot;:&quot;&quot;,&quot;family&quot;:&quot;Wohlgemuth&quot;,&quot;given&quot;:&quot;William K.&quot;,&quot;non-dropping-particle&quot;:&quot;&quot;,&quot;parse-names&quot;:false,&quot;suffix&quot;:&quot;&quot;},{&quot;dropping-particle&quot;:&quot;&quot;,&quot;family&quot;:&quot;Sherwood&quot;,&quot;given&quot;:&quot;Andrew&quot;,&quot;non-dropping-particle&quot;:&quot;&quot;,&quot;parse-names&quot;:false,&quot;suffix&quot;:&quot;&quot;}],&quot;container-title&quot;:&quot;Journal of the American Society of Hypertension&quot;,&quot;id&quot;:&quot;e51c1f97-6058-52b0-8669-00a8ac55cecc&quot;,&quot;issue&quot;:&quot;6&quot;,&quot;issued&quot;:{&quot;date-parts&quot;:[[&quot;2013&quot;]]},&quot;page&quot;:&quot;432-439&quot;,&quot;publisher&quot;:&quot;Elsevier Ltd&quot;,&quot;title&quot;:&quot;Reproducibility of blood pressure dipping: Relation to day-to-day variability in sleep quality&quot;,&quot;type&quot;:&quot;article-journal&quot;,&quot;volume&quot;:&quot;7&quot;,&quot;container-title-short&quot;:&quot;&quot;},&quot;uris&quot;:[&quot;http://www.mendeley.com/documents/?uuid=e8579237-1f1b-478d-af4f-eb1c005474af&quot;],&quot;isTemporary&quot;:false,&quot;legacyDesktopId&quot;:&quot;e8579237-1f1b-478d-af4f-eb1c005474af&quot;}]},{&quot;citationID&quot;:&quot;MENDELEY_CITATION_d18ccddb-c4fd-40cd-8c8a-645171d3e40a&quot;,&quot;properties&quot;:{&quot;noteIndex&quot;:0},&quot;isEdited&quot;:false,&quot;manualOverride&quot;:{&quot;citeprocText&quot;:&quot;[441]&quot;,&quot;isManuallyOverridden&quot;:false,&quot;manualOverrideText&quot;:&quot;&quot;},&quot;citationTag&quot;:&quot;MENDELEY_CITATION_v3_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&quot;,&quot;citationItems&quot;:[{&quot;id&quot;:&quot;6e99d49a-959b-519c-933a-476ccfc984e0&quot;,&quot;itemData&quot;:{&quot;DOI&quot;:&quot;10.3389/fcvm.2022.905504&quot;,&quot;ISSN&quot;:&quot;2297-055X&quot;,&quot;abstract&quot;:&quot;Hypertension is one of the main causes of morbidity and mortality in the human population. Nevertheless, the intricate network of pathophysiological mechanisms that lead to the development of hypertension in women still awaits to be fully understood. From young age to maturity and senescence, the female body transits through different stages, each of them characterized with specific physiological features and disposition to particular pathological conditions, and that is exactly what makes the understanding of the genesis and adequate treatment of hypertension in women so challenging. Clinical and experimental findings emphasize the role of sex hormones, autonomic nervous system, renin-angiotensin-aldosterone system and arterial stiffness in the development of chronically elevated blood pressure in females. The purpose of this review is to briefly summarize the knowledge of the mechanisms and treatment of hypertension in women.&quot;,&quot;author&quot;:[{&quot;dropping-particle&quot;:&quot;&quot;,&quot;family&quot;:&quot;Tasić&quot;,&quot;given&quot;:&quot;Tatjana&quot;,&quot;non-dropping-particle&quot;:&quot;&quot;,&quot;parse-names&quot;:false,&quot;suffix&quot;:&quot;&quot;},{&quot;dropping-particle&quot;:&quot;&quot;,&quot;family&quot;:&quot;Tadić&quot;,&quot;given&quot;:&quot;Marijana&quot;,&quot;non-dropping-particle&quot;:&quot;&quot;,&quot;parse-names&quot;:false,&quot;suffix&quot;:&quot;&quot;},{&quot;dropping-particle&quot;:&quot;&quot;,&quot;family&quot;:&quot;Lozić&quot;,&quot;given&quot;:&quot;Maja&quot;,&quot;non-dropping-particle&quot;:&quot;&quot;,&quot;parse-names&quot;:false,&quot;suffix&quot;:&quot;&quot;}],&quot;container-title&quot;:&quot;Frontiers in Cardiovascular Medicine&quot;,&quot;id&quot;:&quot;6e99d49a-959b-519c-933a-476ccfc984e0&quot;,&quot;issue&quot;:&quot;June&quot;,&quot;issued&quot;:{&quot;date-parts&quot;:[[&quot;2022&quot;,&quot;6&quot;,&quot;3&quot;]]},&quot;page&quot;:&quot;1-7&quot;,&quot;title&quot;:&quot;Hypertension in Women&quot;,&quot;type&quot;:&quot;article-journal&quot;,&quot;volume&quot;:&quot;9&quot;,&quot;container-title-short&quot;:&quot;Front. Cardiovasc. Med.&quot;},&quot;uris&quot;:[&quot;http://www.mendeley.com/documents/?uuid=3ce34419-3056-4553-9efb-a3e2d22817e8&quot;],&quot;isTemporary&quot;:false,&quot;legacyDesktopId&quot;:&quot;3ce34419-3056-4553-9efb-a3e2d22817e8&quot;}]},{&quot;citationID&quot;:&quot;MENDELEY_CITATION_b149cbe2-628d-4497-b637-b00643bdc3fe&quot;,&quot;properties&quot;:{&quot;noteIndex&quot;:0},&quot;isEdited&quot;:false,&quot;manualOverride&quot;:{&quot;citeprocText&quot;:&quot;[442]&quot;,&quot;isManuallyOverridden&quot;:false,&quot;manualOverrideText&quot;:&quot;&quot;},&quot;citationTag&quot;:&quot;MENDELEY_CITATION_v3_eyJjaXRhdGlvbklEIjoiTUVOREVMRVlfQ0lUQVRJT05fYjE0OWNiZTItNjI4ZC00NDk3LWI2MzctYjAwNjQzYmRjM2ZlIiwicHJvcGVydGllcyI6eyJub3RlSW5kZXgiOjB9LCJpc0VkaXRlZCI6ZmFsc2UsIm1hbnVhbE92ZXJyaWRlIjp7ImNpdGVwcm9jVGV4dCI6Ils0NDJd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quot;,&quot;citationItems&quot;:[{&quot;id&quot;:&quot;a7e74937-54bc-5dab-90c4-0a13234cc851&quot;,&quot;itemData&quot;:{&quot;DOI&quot;:&quot;10.1152/physrev.00041.2022&quot;,&quot;ISSN&quot;:&quot;0031-9333&quot;,&quot;PMID&quot;:&quot;37477622&quot;,&quot;abstract&quot;:&quot;The teleology of sex differences has been argued since at least as early as Aristotle’s controversial Generation of Animals more than 300 years BC, which reflects the sex bias of the time to contemporary readers. Although the question “why are the sexes different” remains a topic of debate in the present day in metaphysics, the recent emphasis on sex comparison in research studies has led to the question “how are the sexes different” being addressed in health science through numerous observational studies in both health and disease susceptibility, including blood pressure regulation and hypertension. These efforts have resulted in better understanding of differences in males and females at the molecular level that partially explain their differences in vascular function and renal sodium handling and hence blood pressure and the consequential cardiovascular and kidney disease risks in hypertension. This review focuses on clinical studies comparing differences between men and women in blood pressure over the life span and response to dietary sodium and highlights experimental models investigating sexual dimorphism in the renin-angiotensin-aldosterone, vascular, sympathetic nervous, and immune systems, endothelin, the major renal sodium transporters/exchangers/channels, and the impact of sex hormones on these systems in blood pressure homeostasis. Understanding the mechanisms governing sex differences in blood pressure regulation could guide novel therapeutic approaches in a sex-specific manner to lower cardiovascular risks in hypertension and advance personalized medicine.&quot;,&quot;author&quot;:[{&quot;dropping-particle&quot;:&quot;&quot;,&quot;family&quot;:&quot;Drury&quot;,&quot;given&quot;:&quot;Erika R.&quot;,&quot;non-dropping-particle&quot;:&quot;&quot;,&quot;parse-names&quot;:false,&quot;suffix&quot;:&quot;&quot;},{&quot;dropping-particle&quot;:&quot;&quot;,&quot;family&quot;:&quot;Wu&quot;,&quot;given&quot;:&quot;Jing&quot;,&quot;non-dropping-particle&quot;:&quot;&quot;,&quot;parse-names&quot;:false,&quot;suffix&quot;:&quot;&quot;},{&quot;dropping-particle&quot;:&quot;&quot;,&quot;family&quot;:&quot;Gigliotti&quot;,&quot;given&quot;:&quot;Joseph C.&quot;,&quot;non-dropping-particle&quot;:&quot;&quot;,&quot;parse-names&quot;:false,&quot;suffix&quot;:&quot;&quot;},{&quot;dropping-particle&quot;:&quot;&quot;,&quot;family&quot;:&quot;Le&quot;,&quot;given&quot;:&quot;Thu H.&quot;,&quot;non-dropping-particle&quot;:&quot;&quot;,&quot;parse-names&quot;:false,&quot;suffix&quot;:&quot;&quot;}],&quot;container-title&quot;:&quot;Physiological Reviews&quot;,&quot;id&quot;:&quot;a7e74937-54bc-5dab-90c4-0a13234cc851&quot;,&quot;issue&quot;:&quot;1&quot;,&quot;issued&quot;:{&quot;date-parts&quot;:[[&quot;2024&quot;,&quot;1&quot;,&quot;1&quot;]]},&quot;page&quot;:&quot;199-251&quot;,&quot;title&quot;:&quot;Sex differences in blood pressure regulation and hypertension: renal, hemodynamic, and hormonal mechanisms&quot;,&quot;type&quot;:&quot;article-journal&quot;,&quot;volume&quot;:&quot;104&quot;,&quot;container-title-short&quot;:&quot;Physiol. Rev.&quot;},&quot;uris&quot;:[&quot;http://www.mendeley.com/documents/?uuid=02d0b190-6761-4675-bad2-2d72b1960518&quot;],&quot;isTemporary&quot;:false,&quot;legacyDesktopId&quot;:&quot;02d0b190-6761-4675-bad2-2d72b1960518&quot;}]},{&quot;citationID&quot;:&quot;MENDELEY_CITATION_1068bfe9-e287-4463-9e7e-a19b214358c0&quot;,&quot;properties&quot;:{&quot;noteIndex&quot;:0},&quot;isEdited&quot;:false,&quot;manualOverride&quot;:{&quot;citeprocText&quot;:&quot;[443,444]&quot;,&quot;isManuallyOverridden&quot;:false,&quot;manualOverrideText&quot;:&quot;&quot;},&quot;citationTag&quot;:&quot;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&quot;,&quot;citationItems&quot;:[{&quot;id&quot;:&quot;a7b34e28-34e6-58bb-9a7a-44636a663624&quot;,&quot;itemData&quot;:{&quot;DOI&quot;:&quot;10.1161/HYPERTENSIONAHA.122.20018&quot;,&quot;ISSN&quot;:&quot;15244563&quot;,&quot;PMID&quot;:&quot;37075131&quot;,&quot;abstract&quot;:&quot;Oral contraceptive pills (OCPs) have been used as effective and popular forms of contraception since the middle of the last century. By 2019, over 150 million reproductive-aged individuals were using OCPs to prevent unintended pregnancies worldwide. Safety concerns regarding the effects of OCPs on blood pressure were reported soon after these pills gained approval. Although OCP doses were subsequently reduced, epidemiologic evidence continued to support a smaller, but significant association between OCPs and hypertension. Given the rising prevalence of hypertension, as well as the adverse effects of cumulative exposure to blood pressure elevations on cardiovascular disease risk, understanding the nature of the association between OCPs and hypertension is important for clinicians and patients to assess the risks and benefits of use, and make individualized decisions regarding contraception. Therefore, this review summarizes the current and historical evidence describing the association between OCP use and blood pressure elevations. Specifically, it identifies the pathophysiologic mechanisms linking OCPs to hypertension risk, describes the magnitude of the association between OCPs and blood pressure elevations, and distinguishes the effects of various OCP types on blood pressure. Finally, it describes current recommendations regarding hypertension and OCP use, as well as identifies strategies, such as over-the-counter OCP prescribing, to safely and equitably improve access to oral contraception.&quot;,&quot;author&quot;:[{&quot;dropping-particle&quot;:&quot;&quot;,&quot;family&quot;:&quot;Cameron&quot;,&quot;given&quot;:&quot;Natalie A.&quot;,&quot;non-dropping-particle&quot;:&quot;&quot;,&quot;parse-names&quot;:false,&quot;suffix&quot;:&quot;&quot;},{&quot;dropping-particle&quot;:&quot;&quot;,&quot;family&quot;:&quot;Blyler&quot;,&quot;given&quot;:&quot;Ciantel A.&quot;,&quot;non-dropping-particle&quot;:&quot;&quot;,&quot;parse-names&quot;:false,&quot;suffix&quot;:&quot;&quot;},{&quot;dropping-particle&quot;:&quot;&quot;,&quot;family&quot;:&quot;Bello&quot;,&quot;given&quot;:&quot;Natalie A.&quot;,&quot;non-dropping-particle&quot;:&quot;&quot;,&quot;parse-names&quot;:false,&quot;suffix&quot;:&quot;&quot;}],&quot;container-title&quot;:&quot;Hypertension&quot;,&quot;id&quot;:&quot;a7b34e28-34e6-58bb-9a7a-44636a663624&quot;,&quot;issue&quot;:&quot;5&quot;,&quot;issued&quot;:{&quot;date-parts&quot;:[[&quot;2023&quot;]]},&quot;page&quot;:&quot;924-935&quot;,&quot;title&quot;:&quot;Oral Contraceptive Pills and Hypertension: A Review of Current Evidence and Recommendations&quot;,&quot;type&quot;:&quot;article-journal&quot;,&quot;volume&quot;:&quot;80&quot;,&quot;container-title-short&quot;:&quot;&quot;},&quot;uris&quot;:[&quot;http://www.mendeley.com/documents/?uuid=fef16fe5-da4d-4f1f-870c-b9ba78a1e6ce&quot;],&quot;isTemporary&quot;:false,&quot;legacyDesktopId&quot;:&quot;fef16fe5-da4d-4f1f-870c-b9ba78a1e6ce&quot;},{&quot;id&quot;:&quot;89c040b1-79b2-5145-9753-1340e9559690&quot;,&quot;itemData&quot;:{&quot;DOI&quot;:&quot;10.1016/j.eurox.2024.100307&quot;,&quot;ISSN&quot;:&quot;25901613&quot;,&quot;abstract&quot;:&quot;Introduction: In the WHO eligibility criteria, there is agreement that hypertensive women taking Oral Contraceptive Hormonal Combined (OCHC) may be at increased risk of cardiovascular disease. The risk-to-benefit ratio hinges on the severity of the condition. While a mild increase in blood pressure is a common occurrence in consumers of OCHC, the potential for developing high blood pressure exists during oral contraceptive use. Consequently, there is a possibility of increased cardiovascular risk, with limited available data on this issue. Objective: To evaluate the potential effects of OCHC on blood pressure through a systematic review with statistical analysis of existing randomized controlled trials. Method: This systematic review with statistical comparison adheres to the recommendations outlined in the PRISMA (Principal Reporting Items for Systematic Reviews and Meta-analyses) guidelines. The analysis strategy involves comparing the mean difference in blood pressure change according to the type of treatment, in addition to the calculation of clinically relevant outcomes (CRO). Results: Our findings suggest a clinically relevant outcome related to the increase in blood pressure in users of ethinyl estradiol combined with gestodene in a cyclic regimen over 6 months. Conversely, a decrease in blood pressure was observed among users of ethinyl estradiol combined with chlormadinone over 24 months of usage. Conclusion: While our study found minor variations in blood pressure across varying forms of oral contraceptives, these differences are not significant enough to warrant specific clinical recommendations. However, the results suggest that individuals with hypertension should exercise caution with ethinyl estradiol, particularly when administered cyclically alongside gestodene, due to the potential risk of increased blood pressure. Additionally, the use of oral contraceptives containing ethinyl estradiol paired with chlormadinone acetate or ethinyl estradiol combined with drospirenone may be more suitable for individuals at a high risk of developing hypertension.&quot;,&quot;author&quot;:[{&quot;dropping-particle&quot;:&quot;&quot;,&quot;family&quot;:&quot;Souza&quot;,&quot;given&quot;:&quot;Ingrid Soares&quot;,&quot;non-dropping-particle&quot;:&quot;de&quot;,&quot;parse-names&quot;:false,&quot;suffix&quot;:&quot;&quot;},{&quot;dropping-particle&quot;:&quot;&quot;,&quot;family&quot;:&quot;Laporta&quot;,&quot;given&quot;:&quot;Gabriel Zorello&quot;,&quot;non-dropping-particle&quot;:&quot;&quot;,&quot;parse-names&quot;:false,&quot;suffix&quot;:&quot;&quot;},{&quot;dropping-particle&quot;:&quot;&quot;,&quot;family&quot;:&quot;Zangirolami-Raimundo&quot;,&quot;given&quot;:&quot;Juliana&quot;,&quot;non-dropping-particle&quot;:&quot;&quot;,&quot;parse-names&quot;:false,&quot;suffix&quot;:&quot;&quot;},{&quot;dropping-particle&quot;:&quot;&quot;,&quot;family&quot;:&quot;Sorpreso&quot;,&quot;given&quot;:&quot;Isabel Cristina Esposito&quot;,&quot;non-dropping-particle&quot;:&quot;&quot;,&quot;parse-names&quot;:false,&quot;suffix&quot;:&quot;&quot;},{&quot;dropping-particle&quot;:&quot;&quot;,&quot;family&quot;:&quot;Silva dos Santos&quot;,&quot;given&quot;:&quot;Heloisa Carla Lopes&quot;,&quot;non-dropping-particle&quot;:&quot;&quot;,&quot;parse-names&quot;:false,&quot;suffix&quot;:&quot;&quot;},{&quot;dropping-particle&quot;:&quot;&quot;,&quot;family&quot;:&quot;Soares Júnior&quot;,&quot;given&quot;:&quot;José Maria&quot;,&quot;non-dropping-particle&quot;:&quot;&quot;,&quot;parse-names&quot;:false,&quot;suffix&quot;:&quot;&quot;},{&quot;dropping-particle&quot;:&quot;&quot;,&quot;family&quot;:&quot;Raimundo&quot;,&quot;given&quot;:&quot;Rodrigo Daminello&quot;,&quot;non-dropping-particle&quot;:&quot;&quot;,&quot;parse-names&quot;:false,&quot;suffix&quot;:&quot;&quot;}],&quot;container-title&quot;:&quot;European Journal of Obstetrics &amp; Gynecology and Reproductive Biology: X&quot;,&quot;id&quot;:&quot;89c040b1-79b2-5145-9753-1340e9559690&quot;,&quot;issue&quot;:&quot;November 2023&quot;,&quot;issued&quot;:{&quot;date-parts&quot;:[[&quot;2024&quot;,&quot;6&quot;]]},&quot;page&quot;:&quot;100307&quot;,&quot;title&quot;:&quot;Association between the use of oral contraceptives and the occurrence of systemic hypertension: A systematic review with statistical comparison between randomized clinical trial interventions&quot;,&quot;type&quot;:&quot;article-journal&quot;,&quot;volume&quot;:&quot;22&quot;,&quot;container-title-short&quot;:&quot;Eur. J. Obstet. Gynecol. Reprod. Biol. X&quot;},&quot;uris&quot;:[&quot;http://www.mendeley.com/documents/?uuid=67b98def-9c12-4dec-ac7d-f068232a2cb3&quot;],&quot;isTemporary&quot;:false,&quot;legacyDesktopId&quot;:&quot;67b98def-9c12-4dec-ac7d-f068232a2cb3&quot;}]},{&quot;citationID&quot;:&quot;MENDELEY_CITATION_a97b87b5-0a97-454c-b9f0-0c0860cc1127&quot;,&quot;properties&quot;:{&quot;noteIndex&quot;:0},&quot;isEdited&quot;:false,&quot;manualOverride&quot;:{&quot;citeprocText&quot;:&quot;[442]&quot;,&quot;isManuallyOverridden&quot;:false,&quot;manualOverrideText&quot;:&quot;&quot;},&quot;citationTag&quot;:&quot;MENDELEY_CITATION_v3_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&quot;,&quot;citationItems&quot;:[{&quot;id&quot;:&quot;a7e74937-54bc-5dab-90c4-0a13234cc851&quot;,&quot;itemData&quot;:{&quot;DOI&quot;:&quot;10.1152/physrev.00041.2022&quot;,&quot;ISSN&quot;:&quot;0031-9333&quot;,&quot;PMID&quot;:&quot;37477622&quot;,&quot;abstract&quot;:&quot;The teleology of sex differences has been argued since at least as early as Aristotle’s controversial Generation of Animals more than 300 years BC, which reflects the sex bias of the time to contemporary readers. Although the question “why are the sexes different” remains a topic of debate in the present day in metaphysics, the recent emphasis on sex comparison in research studies has led to the question “how are the sexes different” being addressed in health science through numerous observational studies in both health and disease susceptibility, including blood pressure regulation and hypertension. These efforts have resulted in better understanding of differences in males and females at the molecular level that partially explain their differences in vascular function and renal sodium handling and hence blood pressure and the consequential cardiovascular and kidney disease risks in hypertension. This review focuses on clinical studies comparing differences between men and women in blood pressure over the life span and response to dietary sodium and highlights experimental models investigating sexual dimorphism in the renin-angiotensin-aldosterone, vascular, sympathetic nervous, and immune systems, endothelin, the major renal sodium transporters/exchangers/channels, and the impact of sex hormones on these systems in blood pressure homeostasis. Understanding the mechanisms governing sex differences in blood pressure regulation could guide novel therapeutic approaches in a sex-specific manner to lower cardiovascular risks in hypertension and advance personalized medicine.&quot;,&quot;author&quot;:[{&quot;dropping-particle&quot;:&quot;&quot;,&quot;family&quot;:&quot;Drury&quot;,&quot;given&quot;:&quot;Erika R.&quot;,&quot;non-dropping-particle&quot;:&quot;&quot;,&quot;parse-names&quot;:false,&quot;suffix&quot;:&quot;&quot;},{&quot;dropping-particle&quot;:&quot;&quot;,&quot;family&quot;:&quot;Wu&quot;,&quot;given&quot;:&quot;Jing&quot;,&quot;non-dropping-particle&quot;:&quot;&quot;,&quot;parse-names&quot;:false,&quot;suffix&quot;:&quot;&quot;},{&quot;dropping-particle&quot;:&quot;&quot;,&quot;family&quot;:&quot;Gigliotti&quot;,&quot;given&quot;:&quot;Joseph C.&quot;,&quot;non-dropping-particle&quot;:&quot;&quot;,&quot;parse-names&quot;:false,&quot;suffix&quot;:&quot;&quot;},{&quot;dropping-particle&quot;:&quot;&quot;,&quot;family&quot;:&quot;Le&quot;,&quot;given&quot;:&quot;Thu H.&quot;,&quot;non-dropping-particle&quot;:&quot;&quot;,&quot;parse-names&quot;:false,&quot;suffix&quot;:&quot;&quot;}],&quot;container-title&quot;:&quot;Physiological Reviews&quot;,&quot;id&quot;:&quot;a7e74937-54bc-5dab-90c4-0a13234cc851&quot;,&quot;issue&quot;:&quot;1&quot;,&quot;issued&quot;:{&quot;date-parts&quot;:[[&quot;2024&quot;,&quot;1&quot;,&quot;1&quot;]]},&quot;page&quot;:&quot;199-251&quot;,&quot;title&quot;:&quot;Sex differences in blood pressure regulation and hypertension: renal, hemodynamic, and hormonal mechanisms&quot;,&quot;type&quot;:&quot;article-journal&quot;,&quot;volume&quot;:&quot;104&quot;,&quot;container-title-short&quot;:&quot;Physiol. Rev.&quot;},&quot;uris&quot;:[&quot;http://www.mendeley.com/documents/?uuid=02d0b190-6761-4675-bad2-2d72b1960518&quot;],&quot;isTemporary&quot;:false,&quot;legacyDesktopId&quot;:&quot;02d0b190-6761-4675-bad2-2d72b1960518&quot;}]},{&quot;citationID&quot;:&quot;MENDELEY_CITATION_76509196-3038-4f2c-b147-fc06882f9f6f&quot;,&quot;properties&quot;:{&quot;noteIndex&quot;:0},&quot;isEdited&quot;:false,&quot;manualOverride&quot;:{&quot;citeprocText&quot;:&quot;[445,446]&quot;,&quot;isManuallyOverridden&quot;:false,&quot;manualOverrideText&quot;:&quot;&quot;},&quot;citationTag&quot;:&quot;MENDELEY_CITATION_v3_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&quot;,&quot;citationItems&quot;:[{&quot;id&quot;:&quot;33ac9bcc-e646-5207-ae52-f3a522505998&quot;,&quot;itemData&quot;:{&quot;DOI&quot;:&quot;10.3389/fcvm.2020.544302&quot;,&quot;ISSN&quot;:&quot;2297-055X&quot;,&quot;abstract&quot;:&quot;Hypertension prevalence increases with age. Age and high blood pressure are the two main determinants of arterial stiffness. In elderly hypertensives, large arteries stiffen and systolic and pulse pressures increase, due to wave reflections. A major reason for measuring arterial stiffness in clinical practice in elderly hypertensive patients comes from the repeated demonstration that arterial stiffness and wave reflections have a predictive value for CV events. A large body of evidence has been published during the last two decades, concerning the epidemiology, pathophysiology, and pharmacology of large arteries in hypertension in various settings of age. Particularly, two expert consensus documents have reviewed the methodological agreements for measuring arterial stiffness. The concepts of Early Vascular Aging (EVA) and Supernormal Vascular Aging (SUPERNOVA) help to better understand on which determinants of arterial stiffness it is possible to act, in order to limit target organ damage and cardiovascular complications. This review will address the issues of the cellular and molecular mechanisms of arterial stiffening in elderly hypertensives, the consequences of arterial stiffening on central systolic and pulse (systolic minus diastolic, PP) pressures and target organs, the methodology for measuring arterial stiffness, central pulse pressure and wave reflection, the epidemiological determinants of arterial stiffening in elderly hypertensives, the pharmacology of arterial destiffening, and how the concepts of EVA and SUPERNOVA apply to the detection of organ damage and prevention of CV complications.&quot;,&quot;author&quot;:[{&quot;dropping-particle&quot;:&quot;&quot;,&quot;family&quot;:&quot;Laurent&quot;,&quot;given&quot;:&quot;Stéphane&quot;,&quot;non-dropping-particle&quot;:&quot;&quot;,&quot;parse-names&quot;:false,&quot;suffix&quot;:&quot;&quot;},{&quot;dropping-particle&quot;:&quot;&quot;,&quot;family&quot;:&quot;Boutouyrie&quot;,&quot;given&quot;:&quot;Pierre&quot;,&quot;non-dropping-particle&quot;:&quot;&quot;,&quot;parse-names&quot;:false,&quot;suffix&quot;:&quot;&quot;}],&quot;container-title&quot;:&quot;Frontiers in Cardiovascular Medicine&quot;,&quot;id&quot;:&quot;33ac9bcc-e646-5207-ae52-f3a522505998&quot;,&quot;issue&quot;:&quot;October&quot;,&quot;issued&quot;:{&quot;date-parts&quot;:[[&quot;2020&quot;,&quot;10&quot;,&quot;29&quot;]]},&quot;page&quot;:&quot;1-13&quot;,&quot;title&quot;:&quot;Arterial Stiffness and Hypertension in the Elderly&quot;,&quot;type&quot;:&quot;article-journal&quot;,&quot;volume&quot;:&quot;7&quot;,&quot;container-title-short&quot;:&quot;Front. Cardiovasc. Med.&quot;},&quot;uris&quot;:[&quot;http://www.mendeley.com/documents/?uuid=0d92e0bb-acb9-422d-aec7-c965e5b89535&quot;],&quot;isTemporary&quot;:false,&quot;legacyDesktopId&quot;:&quot;0d92e0bb-acb9-422d-aec7-c965e5b89535&quot;},{&quot;id&quot;:&quot;ca583387-ad21-5b0b-9742-596ab0eee826&quot;,&quot;itemData&quot;:{&quot;DOI&quot;:&quot;10.1186/s40885-023-00258-1&quot;,&quot;ISSN&quot;:&quot;2056-5909&quot;,&quot;PMID&quot;:&quot;38037153&quot;,&quot;abstract&quot;:&quot;Arterial stiffness and hypertension are closely related in pathophysiology. Chronic high blood pressure (BP) can lead to arterial wall damage by mechanical stress, endothelial dysfunction, increased inflammation, oxidative stress, and renin–angiotensin–aldosterone system (RAAS) activation. Hypertension also increases collagen fiber production and accelerates elastin fiber degradation. Stiffened arteries struggle with BP changes, raising systolic BP and pulse pressure. The resulting increased systolic pressure further hardens arteries, creating a harmful cycle of inflammation and calcification. Arterial stiffness data can predict target organ damage and future cardiovascular events in hypertensive patients. Thus, early detection of arterial stiffness aids in initiating preventive measures and treatment plans to protect against progression of vascular damage. While various methods exist for measuring arterial stiffness, pulse wave velocity is a non-invasive, simple measurement method that maximizes effectiveness. Healthy lifestyle changes, RAAS blockers, and statins are known to reduce arterial stiffness. Further research is needed to ascertain if improving arterial stiffness will enhance prognosis in hypertensive patients. Graphical Abstract: [Figure not available: see fulltext.].&quot;,&quot;author&quot;:[{&quot;dropping-particle&quot;:&quot;&quot;,&quot;family&quot;:&quot;Kim&quot;,&quot;given&quot;:&quot;Hack-Lyoung&quot;,&quot;non-dropping-particle&quot;:&quot;&quot;,&quot;parse-names&quot;:false,&quot;suffix&quot;:&quot;&quot;}],&quot;container-title&quot;:&quot;Clinical Hypertension&quot;,&quot;id&quot;:&quot;ca583387-ad21-5b0b-9742-596ab0eee826&quot;,&quot;issue&quot;:&quot;1&quot;,&quot;issued&quot;:{&quot;date-parts&quot;:[[&quot;2023&quot;]]},&quot;page&quot;:&quot;1-9&quot;,&quot;publisher&quot;:&quot;BioMed Central&quot;,&quot;title&quot;:&quot;Arterial stiffness and hypertension&quot;,&quot;type&quot;:&quot;article-journal&quot;,&quot;volume&quot;:&quot;29&quot;,&quot;container-title-short&quot;:&quot;Clin. Hypertens.&quot;},&quot;uris&quot;:[&quot;http://www.mendeley.com/documents/?uuid=a818290c-859a-464c-a1f0-34de39d2ee81&quot;],&quot;isTemporary&quot;:false,&quot;legacyDesktopId&quot;:&quot;a818290c-859a-464c-a1f0-34de39d2ee81&quot;}]},{&quot;citationID&quot;:&quot;MENDELEY_CITATION_960d78e1-a0ef-4724-85aa-31bd3e4c3b5f&quot;,&quot;properties&quot;:{&quot;noteIndex&quot;:0},&quot;isEdited&quot;:false,&quot;manualOverride&quot;:{&quot;citeprocText&quot;:&quot;[447]&quot;,&quot;isManuallyOverridden&quot;:false,&quot;manualOverrideText&quot;:&quot;&quot;},&quot;citationTag&quot;:&quot;MENDELEY_CITATION_v3_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&quot;,&quot;citationItems&quot;:[{&quot;id&quot;:&quot;079d0fd0-d412-5b94-b6db-72269006bb9c&quot;,&quot;itemData&quot;:{&quot;DOI&quot;:&quot;10.1152/ajpregu.00031.2007&quot;,&quot;ISSN&quot;:&quot;03636119&quot;,&quot;PMID&quot;:&quot;17442786&quot;,&quot;abstract&quot;:&quot;Arterial blood pressure (BP) is regulated via the interaction of various local, humoral, and neural factors. In humans, the major neural pathway for acute BP regulation involves the baroreflexes. In response to baroreceptor activation/deactivation, as occurs during transient changes in BP, key determinants of BP, such as cardiac period/heart rate (via the sympathetic and parasympathetic nervous system) and vascular resistance (via the sympathetic nervous system), are modified to maintain BP homeostasis. In this review, the effects of aging on both the parasympathetic and sympathetic arms of the baroreflex are discussed. Aging is associated with decreased cardiovagal baroreflex sensitivity (i.e., blunted reflex changes in R-R interval in response to a change in BP). Mechanisms underlying this decrease may involve factors such as increased levels of oxidative stress, vascular stiffening, and decreased cardiac cholinergic responsiveness with age. Consequences of cardiovagal baroreflex impairment may include increased levels of BP variability, an impaired ability to respond to acute challenges to the maintenance of BP, and increased risk of sudden cardiac death. In contrast, baroreflex control of sympathetic outflow is not impaired with age. Collectively, changes in baroreflex function with age are associated with an impaired ability of the organism to buffer changes in BP. This is evidenced by the reduced potentiation of the pressor response to bolus infusion of a pressor drug after compared to before systemic ganglionic blockade in older compared with young adults. Copyright © 2007 the American Physiological Society.&quot;,&quot;author&quot;:[{&quot;dropping-particle&quot;:&quot;&quot;,&quot;family&quot;:&quot;Monahan&quot;,&quot;given&quot;:&quot;Kevin D.&quot;,&quot;non-dropping-particle&quot;:&quot;&quot;,&quot;parse-names&quot;:false,&quot;suffix&quot;:&quot;&quot;}],&quot;container-title&quot;:&quot;American Journal of Physiology - Regulatory Integrative and Comparative Physiology&quot;,&quot;id&quot;:&quot;079d0fd0-d412-5b94-b6db-72269006bb9c&quot;,&quot;issue&quot;:&quot;1&quot;,&quot;issued&quot;:{&quot;date-parts&quot;:[[&quot;2007&quot;]]},&quot;title&quot;:&quot;Effect of aging on baroreflex function in humans&quot;,&quot;type&quot;:&quot;article-journal&quot;,&quot;volume&quot;:&quot;293&quot;,&quot;container-title-short&quot;:&quot;Am. J. Physiol. Regul. Integr. Comp. Physiol.&quot;},&quot;uris&quot;:[&quot;http://www.mendeley.com/documents/?uuid=01954a95-33a1-4a9d-b042-f2a3d8712df6&quot;],&quot;isTemporary&quot;:false,&quot;legacyDesktopId&quot;:&quot;01954a95-33a1-4a9d-b042-f2a3d8712df6&quot;}]},{&quot;citationID&quot;:&quot;MENDELEY_CITATION_4d2f4c3e-01b3-4b18-aa7d-92df78aef421&quot;,&quot;properties&quot;:{&quot;noteIndex&quot;:0},&quot;isEdited&quot;:false,&quot;manualOverride&quot;:{&quot;citeprocText&quot;:&quot;[448]&quot;,&quot;isManuallyOverridden&quot;:false,&quot;manualOverrideText&quot;:&quot;&quot;},&quot;citationTag&quot;:&quot;MENDELEY_CITATION_v3_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&quot;,&quot;citationItems&quot;:[{&quot;id&quot;:&quot;b370f2d4-4618-50a1-a2cc-1ab357824a40&quot;,&quot;itemData&quot;:{&quot;DOI&quot;:&quot;10.1038/s41598-023-38041-9&quot;,&quot;ISBN&quot;:&quot;4159802338&quot;,&quot;ISSN&quot;:&quot;2045-2322&quot;,&quot;PMID&quot;:&quot;37414810&quot;,&quot;abstract&quot;:&quot;Blood pressure (BP) reactivity to stress is associated with cardiovascular events and the incidence of hypertension, therefore, tolerance to stressors is important for better management of cardiovascular risks. Exercise training is among the strategies that have been investigated as blunting the peak response to stressors, however, its efficacy is poorly explored. The aim was to explore the effects of exercise training (at least four weeks) on BP responses to stressor tasks in adults. A systematic review was performed in five electronic databases (MEDLINE, LILACS, EMBASE, SPORTDiscus, and PsycInfo). Twenty-three studies and one conference abstract was included in the qualitative analysis, totaling 1121 individuals, and k = 17 and 695 individuals in the meta-analysis. Favorable results (random-effects) for exercise training were found, with attenuated peak responses in systolic (standardized mean difference (SMD) = −0.34 [−0.56; −0.11], representing average reductions of 2.5 ± 3.6 mmHg) and null effects on diastolic BP (SMD = −0.20 [−0.54; 0.14], representing average reductions of 2.0 ± 3.5 mmHg). The analysis removing outliers’ studies improved the effects for diastolic (SMD = −0.21 [−0.38; −0.05]) but not systolic BP (SMD = −0.33 [−0.53; −0.13]). In conclusion, exercise training seems to lower stress-related BP reactivity, therefore has the potential to improve patients’ ability to better respond to stressful situations.&quot;,&quot;author&quot;:[{&quot;dropping-particle&quot;:&quot;&quot;,&quot;family&quot;:&quot;Mariano&quot;,&quot;given&quot;:&quot;Igor M.&quot;,&quot;non-dropping-particle&quot;:&quot;&quot;,&quot;parse-names&quot;:false,&quot;suffix&quot;:&quot;&quot;},{&quot;dropping-particle&quot;:&quot;&quot;,&quot;family&quot;:&quot;Amaral&quot;,&quot;given&quot;:&quot;Ana Luiza&quot;,&quot;non-dropping-particle&quot;:&quot;&quot;,&quot;parse-names&quot;:false,&quot;suffix&quot;:&quot;&quot;},{&quot;dropping-particle&quot;:&quot;&quot;,&quot;family&quot;:&quot;Ribeiro&quot;,&quot;given&quot;:&quot;Paula A. B.&quot;,&quot;non-dropping-particle&quot;:&quot;&quot;,&quot;parse-names&quot;:false,&quot;suffix&quot;:&quot;&quot;},{&quot;dropping-particle&quot;:&quot;&quot;,&quot;family&quot;:&quot;Puga&quot;,&quot;given&quot;:&quot;Guilherme Morais&quot;,&quot;non-dropping-particle&quot;:&quot;&quot;,&quot;parse-names&quot;:false,&quot;suffix&quot;:&quot;&quot;}],&quot;container-title&quot;:&quot;Scientific Reports&quot;,&quot;id&quot;:&quot;b370f2d4-4618-50a1-a2cc-1ab357824a40&quot;,&quot;issue&quot;:&quot;1&quot;,&quot;issued&quot;:{&quot;date-parts&quot;:[[&quot;2023&quot;,&quot;7&quot;,&quot;6&quot;]]},&quot;page&quot;:&quot;10962&quot;,&quot;publisher&quot;:&quot;Nature Publishing Group UK&quot;,&quot;title&quot;:&quot;Exercise training improves blood pressure reactivity to stress: a systematic review and meta-analysis&quot;,&quot;type&quot;:&quot;article-journal&quot;,&quot;volume&quot;:&quot;13&quot;,&quot;container-title-short&quot;:&quot;Sci. Rep.&quot;},&quot;uris&quot;:[&quot;http://www.mendeley.com/documents/?uuid=94a7f1ff-d79d-42eb-a660-2522832434ed&quot;],&quot;isTemporary&quot;:false,&quot;legacyDesktopId&quot;:&quot;94a7f1ff-d79d-42eb-a660-2522832434ed&quot;}]},{&quot;citationID&quot;:&quot;MENDELEY_CITATION_d176af4a-3e6e-4a9a-963d-9b5179aeb440&quot;,&quot;properties&quot;:{&quot;noteIndex&quot;:0},&quot;isEdited&quot;:false,&quot;manualOverride&quot;:{&quot;citeprocText&quot;:&quot;[449,450]&quot;,&quot;isManuallyOverridden&quot;:false,&quot;manualOverrideText&quot;:&quot;&quot;},&quot;citationTag&quot;:&quot;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&quot;,&quot;citationItems&quot;:[{&quot;id&quot;:&quot;3040569a-50fb-55f3-bac0-71a84de14a79&quot;,&quot;itemData&quot;:{&quot;DOI&quot;:&quot;10.1016/j.jacc.2014.05.057&quot;,&quot;ISSN&quot;:&quot;15583597&quot;,&quot;PMID&quot;:&quot;25190234&quot;,&quot;abstract&quot;:&quot;BACKGROUND Obesity has been linked to the development of hypertension, but whether total adiposity or site-specific fat accumulation underpins this relationship is unclear. OBJECTIVES This study sought to determine the relationship between adipose tissue distribution and incident hypertension. METHODS Normotensive participants enrolled in the Dallas Heart Study were followed for a median of 7 years for the development of hypertension (systolic blood pressure [SBP] ≥140 mm Hg, diastolic blood pressure ≥90 mm Hg, or initiation of blood pressure medications). Visceral adipose tissue (VAT) and subcutaneous adipose tissue (SAT) was quantified by magnetic resonance imaging and proton-spectroscopic imaging, and lower body fat (LBF) was imaged by dual-energy x-ray absorptiometry. Multivariable relative risk regression was performed to test the association between individual fat depots and incident hypertension, adjusting for age, sex, race/ethnicity, diabetes, smoking, SBP, and body mass index (BMI). RESULTS Among 903 participants (median age, 40 years; 57% women; 60% nonwhite; median BMI 27.5 kg/m2), 230 (25%) developed incident hypertension. In multivariable analyses, higher BMI was significantly associated with incident hypertension (relative risk: 1.24; 95% confidence interval: 1.12 to 1.36, per 1-SD increase). However, when VAT, SAT, and LBF were added to the model, only VAT remained independently associated with incident hypertension (relative risk: 1.22; 95% confidence interval: 1.06 to 1.39, per 1-SD increase). CONCLUSIONS Increased visceral adiposity, but not total or subcutaneous adiposity, was robustly associated with incident hypertension. Additional studies will be needed to elucidate the mechanisms behind this association. (J Am Coll Cardiol 2014;64:997-1002)&quot;,&quot;author&quot;:[{&quot;dropping-particle&quot;:&quot;&quot;,&quot;family&quot;:&quot;Chandra&quot;,&quot;given&quot;:&quot;Alvin&quot;,&quot;non-dropping-particle&quot;:&quot;&quot;,&quot;parse-names&quot;:false,&quot;suffix&quot;:&quot;&quot;},{&quot;dropping-particle&quot;:&quot;&quot;,&quot;family&quot;:&quot;Neeland&quot;,&quot;given&quot;:&quot;Ian J.&quot;,&quot;non-dropping-particle&quot;:&quot;&quot;,&quot;parse-names&quot;:false,&quot;suffix&quot;:&quot;&quot;},{&quot;dropping-particle&quot;:&quot;&quot;,&quot;family&quot;:&quot;Berry&quot;,&quot;given&quot;:&quot;Jarett D.&quot;,&quot;non-dropping-particle&quot;:&quot;&quot;,&quot;parse-names&quot;:false,&quot;suffix&quot;:&quot;&quot;},{&quot;dropping-particle&quot;:&quot;&quot;,&quot;family&quot;:&quot;Ayers&quot;,&quot;given&quot;:&quot;Colby R.&quot;,&quot;non-dropping-particle&quot;:&quot;&quot;,&quot;parse-names&quot;:false,&quot;suffix&quot;:&quot;&quot;},{&quot;dropping-particle&quot;:&quot;&quot;,&quot;family&quot;:&quot;Rohatgi&quot;,&quot;given&quot;:&quot;Anand&quot;,&quot;non-dropping-particle&quot;:&quot;&quot;,&quot;parse-names&quot;:false,&quot;suffix&quot;:&quot;&quot;},{&quot;dropping-particle&quot;:&quot;&quot;,&quot;family&quot;:&quot;Das&quot;,&quot;given&quot;:&quot;Sandeep R.&quot;,&quot;non-dropping-particle&quot;:&quot;&quot;,&quot;parse-names&quot;:false,&quot;suffix&quot;:&quot;&quot;},{&quot;dropping-particle&quot;:&quot;&quot;,&quot;family&quot;:&quot;Khera&quot;,&quot;given&quot;:&quot;Amit&quot;,&quot;non-dropping-particle&quot;:&quot;&quot;,&quot;parse-names&quot;:false,&quot;suffix&quot;:&quot;&quot;},{&quot;dropping-particle&quot;:&quot;&quot;,&quot;family&quot;:&quot;McGuire&quot;,&quot;given&quot;:&quot;Darren K.&quot;,&quot;non-dropping-particle&quot;:&quot;&quot;,&quot;parse-names&quot;:false,&quot;suffix&quot;:&quot;&quot;},{&quot;dropping-particle&quot;:&quot;&quot;,&quot;family&quot;:&quot;Lemos&quot;,&quot;given&quot;:&quot;James A.&quot;,&quot;non-dropping-particle&quot;:&quot;De&quot;,&quot;parse-names&quot;:false,&quot;suffix&quot;:&quot;&quot;},{&quot;dropping-particle&quot;:&quot;&quot;,&quot;family&quot;:&quot;Turer&quot;,&quot;given&quot;:&quot;Aslan T.&quot;,&quot;non-dropping-particle&quot;:&quot;&quot;,&quot;parse-names&quot;:false,&quot;suffix&quot;:&quot;&quot;}],&quot;container-title&quot;:&quot;Journal of the American College of Cardiology&quot;,&quot;id&quot;:&quot;3040569a-50fb-55f3-bac0-71a84de14a79&quot;,&quot;issue&quot;:&quot;10&quot;,&quot;issued&quot;:{&quot;date-parts&quot;:[[&quot;2014&quot;]]},&quot;page&quot;:&quot;997-1002&quot;,&quot;title&quot;:&quot;The relationship of body mass and fat distribution with incident hypertension: Observations from the dallas heart study&quot;,&quot;type&quot;:&quot;article-journal&quot;,&quot;volume&quot;:&quot;64&quot;,&quot;container-title-short&quot;:&quot;J. Am. Coll. Cardiol.&quot;},&quot;uris&quot;:[&quot;http://www.mendeley.com/documents/?uuid=19cc737e-ba1a-41d3-9afa-629c8d91d89a&quot;],&quot;isTemporary&quot;:false,&quot;legacyDesktopId&quot;:&quot;19cc737e-ba1a-41d3-9afa-629c8d91d89a&quot;},{&quot;id&quot;:&quot;77eaa3fe-77c0-5b1c-ad3a-5477bf75b1c0&quot;,&quot;itemData&quot;:{&quot;DOI&quot;:&quot;10.1016/j.orcp.2021.10.001&quot;,&quot;ISBN&quot;:&quot;4202020596&quot;,&quot;ISSN&quot;:&quot;18780318&quot;,&quot;PMID&quot;:&quot;34696990&quot;,&quot;abstract&quot;:&quot;Purpose: This systematic review aimed to investigate the association between VAI and blood pressure. Methods: The study was according to the PRISMA standards and the bibliographic search in the PubMed, EMBASE and Cochrane Library databases. Results: This review included 32 articles, with 60,482 individuals – children to elderly people between 7 and 102 years old – of different age groups, most of them female (54.9%; n = 26,478). The year of publication ranged from 2010 to 2020, indicating that it is a recent theme, applied in almost all continents (America, Europe, Africa and Asia). The authors used data as continuous or into quantiles; blood pressure data also varied, with different cutoff points for the classification of arterial hypertension or continuously. The vast majority of studies have shown a positive association between VAI and blood pressure, both the sexes, in different age groups. The evaluation of the quality of the articles used by the Tool of the Joanna Briggs Institute according to their design. Conclusion: Individuals with increased VAI have higher blood pressure levels. Registration (PROSPERO: CRD42020205965).&quot;,&quot;author&quot;:[{&quot;dropping-particle&quot;:&quot;&quot;,&quot;family&quot;:&quot;Leite&quot;,&quot;given&quot;:&quot;Nathália Nogueira&quot;,&quot;non-dropping-particle&quot;:&quot;&quot;,&quot;parse-names&quot;:false,&quot;suffix&quot;:&quot;&quot;},{&quot;dropping-particle&quot;:&quot;&quot;,&quot;family&quot;:&quot;Cota&quot;,&quot;given&quot;:&quot;Bruna Clemente&quot;,&quot;non-dropping-particle&quot;:&quot;&quot;,&quot;parse-names&quot;:false,&quot;suffix&quot;:&quot;&quot;},{&quot;dropping-particle&quot;:&quot;&quot;,&quot;family&quot;:&quot;Gotine&quot;,&quot;given&quot;:&quot;Ana Raquel Ernesto Manuel&quot;,&quot;non-dropping-particle&quot;:&quot;&quot;,&quot;parse-names&quot;:false,&quot;suffix&quot;:&quot;&quot;},{&quot;dropping-particle&quot;:&quot;&quot;,&quot;family&quot;:&quot;Rocha&quot;,&quot;given&quot;:&quot;Daniela Mayumi Usuda Prado&quot;,&quot;non-dropping-particle&quot;:&quot;&quot;,&quot;parse-names&quot;:false,&quot;suffix&quot;:&quot;&quot;},{&quot;dropping-particle&quot;:&quot;&quot;,&quot;family&quot;:&quot;Pereira&quot;,&quot;given&quot;:&quot;Patrícia Feliciano&quot;,&quot;non-dropping-particle&quot;:&quot;&quot;,&quot;parse-names&quot;:false,&quot;suffix&quot;:&quot;&quot;},{&quot;dropping-particle&quot;:&quot;&quot;,&quot;family&quot;:&quot;Hermsdorff&quot;,&quot;given&quot;:&quot;Helen Hermana Miranda&quot;,&quot;non-dropping-particle&quot;:&quot;&quot;,&quot;parse-names&quot;:false,&quot;suffix&quot;:&quot;&quot;}],&quot;container-title&quot;:&quot;Obesity Research and Clinical Practice&quot;,&quot;id&quot;:&quot;77eaa3fe-77c0-5b1c-ad3a-5477bf75b1c0&quot;,&quot;issue&quot;:&quot;6&quot;,&quot;issued&quot;:{&quot;date-parts&quot;:[[&quot;2021&quot;]]},&quot;page&quot;:&quot;546-556&quot;,&quot;title&quot;:&quot;Visceral adiposity index is positively associated with blood pressure: A systematic review&quot;,&quot;type&quot;:&quot;article-journal&quot;,&quot;volume&quot;:&quot;15&quot;,&quot;container-title-short&quot;:&quot;Obes. Res. Clin. Pract.&quot;},&quot;uris&quot;:[&quot;http://www.mendeley.com/documents/?uuid=dfad285c-8dc2-49c7-835a-4c7d1a8e29d3&quot;],&quot;isTemporary&quot;:false,&quot;legacyDesktopId&quot;:&quot;dfad285c-8dc2-49c7-835a-4c7d1a8e29d3&quot;}]},{&quot;citationID&quot;:&quot;MENDELEY_CITATION_5d35f691-fe12-4936-93f3-db5e79ddecef&quot;,&quot;properties&quot;:{&quot;noteIndex&quot;:0},&quot;isEdited&quot;:false,&quot;manualOverride&quot;:{&quot;citeprocText&quot;:&quot;[451]&quot;,&quot;isManuallyOverridden&quot;:false,&quot;manualOverrideText&quot;:&quot;&quot;},&quot;citationTag&quot;:&quot;MENDELEY_CITATION_v3_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&quot;,&quot;citationItems&quot;:[{&quot;id&quot;:&quot;e2e90664-1be4-5469-85f4-8d4a30d70f92&quot;,&quot;itemData&quot;:{&quot;DOI&quot;:&quot;10.3389/fcvm.2022.941341&quot;,&quot;ISSN&quot;:&quot;2297-055X&quot;,&quot;abstract&quot;:&quot;Introduction: Body mass index (BMI) trajectories, such as non-linear time trends and nonlinear changes in BMI with age, can provide information on the underlying temporal health patterns. The relationship between BMI trajectories and the risk of hypertension remains controversial. Methods: PubMed, Embase, Cochrane, Scopus, and Web of Science databases were searched from their inception to January 31, 2022. We categorized BMI trajectories as “Stable high,” “table normal,” “Stable low,” “Fluctuated (sharp increase),” and “Fluctuated (elevated-decrease).” The main outcome was the relative risk for the prevalence of hypertension in the different BMI trajectories. Potential sources of heterogeneity were examined using meta-regression and subgroup analysis. A publication bias test and Grading of Recommendations Assessment, Development and Evaluation (GRADE) approach were also used. Results: The 18 cohort studies included 89,094 participants. Compared with the “Stable normal” trajectory, “Stable high,” “Fluctuated (sharp increase),” and “Fluctuated (elevated-decrease)” trajectories were associated with an increased relative risk of hypertension: [RR (95% CI)]: 1.80 (1.29 2.50), p &lt; 0.001; 1.53 (1.27 1.83), p &lt; 0.001; 1.30 (1.24 1.37), p = 0.001, respectively. The “Stable low” trajectory was associated with a reduced risk of hypertension [0.83 (0.79 0.83), p &lt; 0.001]. The “Stable high” trajectory (surface under the cumulative ranking curve = 88.1%) had the highest probability of developing hypertension in the population. The certainty of the evidence for direct comparisons of the incidence of hypertension between various BMI trajectories was generally very low. Conclusion: Our findings suggested that “Stable high,” “Fluctuated (sharp increase),” and “Fluctuated (elevated-decrease)” trajectories were associated with an increased relative risk of hypertension, with the “Stable high” trajectory most likely associated with hypertension. Systematic review registration: [https://www.crd.york.ac.uk/prospero/display_record.php?RecordID=308575], identifier [CRD42022308575].&quot;,&quot;author&quot;:[{&quot;dropping-particle&quot;:&quot;&quot;,&quot;family&quot;:&quot;Tan&quot;,&quot;given&quot;:&quot;Ling&quot;,&quot;non-dropping-particle&quot;:&quot;&quot;,&quot;parse-names&quot;:false,&quot;suffix&quot;:&quot;&quot;},{&quot;dropping-particle&quot;:&quot;&quot;,&quot;family&quot;:&quot;Long&quot;,&quot;given&quot;:&quot;Lin-zi&quot;,&quot;non-dropping-particle&quot;:&quot;&quot;,&quot;parse-names&quot;:false,&quot;suffix&quot;:&quot;&quot;},{&quot;dropping-particle&quot;:&quot;&quot;,&quot;family&quot;:&quot;Ma&quot;,&quot;given&quot;:&quot;Xiao-chang&quot;,&quot;non-dropping-particle&quot;:&quot;&quot;,&quot;parse-names&quot;:false,&quot;suffix&quot;:&quot;&quot;},{&quot;dropping-particle&quot;:&quot;&quot;,&quot;family&quot;:&quot;Yang&quot;,&quot;given&quot;:&quot;Wen-wen&quot;,&quot;non-dropping-particle&quot;:&quot;&quot;,&quot;parse-names&quot;:false,&quot;suffix&quot;:&quot;&quot;},{&quot;dropping-particle&quot;:&quot;&quot;,&quot;family&quot;:&quot;Liao&quot;,&quot;given&quot;:&quot;Fei-fei&quot;,&quot;non-dropping-particle&quot;:&quot;&quot;,&quot;parse-names&quot;:false,&quot;suffix&quot;:&quot;&quot;},{&quot;dropping-particle&quot;:&quot;&quot;,&quot;family&quot;:&quot;Peng&quot;,&quot;given&quot;:&quot;Yu-xuan&quot;,&quot;non-dropping-particle&quot;:&quot;&quot;,&quot;parse-names&quot;:false,&quot;suffix&quot;:&quot;&quot;},{&quot;dropping-particle&quot;:&quot;&quot;,&quot;family&quot;:&quot;Lu&quot;,&quot;given&quot;:&quot;Jie-ming&quot;,&quot;non-dropping-particle&quot;:&quot;&quot;,&quot;parse-names&quot;:false,&quot;suffix&quot;:&quot;&quot;},{&quot;dropping-particle&quot;:&quot;&quot;,&quot;family&quot;:&quot;Shen&quot;,&quot;given&quot;:&quot;A-ling&quot;,&quot;non-dropping-particle&quot;:&quot;&quot;,&quot;parse-names&quot;:false,&quot;suffix&quot;:&quot;&quot;},{&quot;dropping-particle&quot;:&quot;&quot;,&quot;family&quot;:&quot;An&quot;,&quot;given&quot;:&quot;Dong-qing&quot;,&quot;non-dropping-particle&quot;:&quot;&quot;,&quot;parse-names&quot;:false,&quot;suffix&quot;:&quot;&quot;},{&quot;dropping-particle&quot;:&quot;&quot;,&quot;family&quot;:&quot;Qu&quot;,&quot;given&quot;:&quot;Hua&quot;,&quot;non-dropping-particle&quot;:&quot;&quot;,&quot;parse-names&quot;:false,&quot;suffix&quot;:&quot;&quot;},{&quot;dropping-particle&quot;:&quot;&quot;,&quot;family&quot;:&quot;Fu&quot;,&quot;given&quot;:&quot;Chang-geng&quot;,&quot;non-dropping-particle&quot;:&quot;&quot;,&quot;parse-names&quot;:false,&quot;suffix&quot;:&quot;&quot;}],&quot;container-title&quot;:&quot;Frontiers in Cardiovascular Medicine&quot;,&quot;id&quot;:&quot;e2e90664-1be4-5469-85f4-8d4a30d70f92&quot;,&quot;issue&quot;:&quot;January&quot;,&quot;issued&quot;:{&quot;date-parts&quot;:[[&quot;2023&quot;,&quot;1&quot;,&quot;4&quot;]]},&quot;title&quot;:&quot;Association of body mass index trajectory and hypertension risk: A systematic review of cohort studies and network meta-analysis of 89,094 participants&quot;,&quot;type&quot;:&quot;article-journal&quot;,&quot;volume&quot;:&quot;9&quot;,&quot;container-title-short&quot;:&quot;Front. Cardiovasc. Med.&quot;},&quot;uris&quot;:[&quot;http://www.mendeley.com/documents/?uuid=8d098c9d-9731-480d-abf3-c53ee21e5267&quot;],&quot;isTemporary&quot;:false,&quot;legacyDesktopId&quot;:&quot;8d098c9d-9731-480d-abf3-c53ee21e5267&quot;}]},{&quot;citationID&quot;:&quot;MENDELEY_CITATION_5baf8eee-7caa-445c-b44e-7da03d104af0&quot;,&quot;properties&quot;:{&quot;noteIndex&quot;:0},&quot;isEdited&quot;:false,&quot;manualOverride&quot;:{&quot;citeprocText&quot;:&quot;[452]&quot;,&quot;isManuallyOverridden&quot;:false,&quot;manualOverrideText&quot;:&quot;&quot;},&quot;citationTag&quot;:&quot;MENDELEY_CITATION_v3_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&quot;,&quot;citationItems&quot;:[{&quot;id&quot;:&quot;985d0175-31c0-5de8-843f-511f835da38e&quot;,&quot;itemData&quot;:{&quot;DOI&quot;:&quot;10.3390/nu11081866&quot;,&quot;ISSN&quot;:&quot;20726643&quot;,&quot;PMID&quot;:&quot;31405195&quot;,&quot;abstract&quot;:&quot;Hypohydration, defined as a state of low body water, increases thirst sensations, arginine vasopressin release, and elicits renin–angiotensin–aldosterone system activation to replenish intra-and extra-cellular fluid stores. Hypohydration impairs mental and physical performance, but new evidence suggests hypohydration may also have deleterious effects on cardiovascular health. This is alarming because cardiovascular disease is the leading cause of death in the United States. Observational studies have linked habitual low water intake with increased future risk for adverse cardiovascular events. While it is currently unclear how chronic reductions in water intake may predispose individuals to greater future risk for adverse cardiovascular events, there is evidence that acute hypohydration impairs vascular function and blood pressure (BP) regulation. Specifically, acute hypohydration may reduce endothelial function, increase sympathetic nervous system activity, and worsen orthostatic tolerance. Therefore, the purpose of this review is to present the currently available evidence linking acute hypohydration with altered vascular function and BP regulation.&quot;,&quot;author&quot;:[{&quot;dropping-particle&quot;:&quot;&quot;,&quot;family&quot;:&quot;Watso&quot;,&quot;given&quot;:&quot;Joseph C.&quot;,&quot;non-dropping-particle&quot;:&quot;&quot;,&quot;parse-names&quot;:false,&quot;suffix&quot;:&quot;&quot;},{&quot;dropping-particle&quot;:&quot;&quot;,&quot;family&quot;:&quot;Farquhar&quot;,&quot;given&quot;:&quot;William B.&quot;,&quot;non-dropping-particle&quot;:&quot;&quot;,&quot;parse-names&quot;:false,&quot;suffix&quot;:&quot;&quot;}],&quot;container-title&quot;:&quot;Nutrients&quot;,&quot;id&quot;:&quot;985d0175-31c0-5de8-843f-511f835da38e&quot;,&quot;issue&quot;:&quot;8&quot;,&quot;issued&quot;:{&quot;date-parts&quot;:[[&quot;2019&quot;]]},&quot;title&quot;:&quot;Hydration status and cardiovascular function&quot;,&quot;type&quot;:&quot;article-journal&quot;,&quot;volume&quot;:&quot;11&quot;,&quot;container-title-short&quot;:&quot;Nutrients&quot;},&quot;uris&quot;:[&quot;http://www.mendeley.com/documents/?uuid=3618a0a8-7a0c-48b7-a59b-d3e9bdb6c2dc&quot;],&quot;isTemporary&quot;:false,&quot;legacyDesktopId&quot;:&quot;3618a0a8-7a0c-48b7-a59b-d3e9bdb6c2dc&quot;}]},{&quot;citationID&quot;:&quot;MENDELEY_CITATION_70504091-3c0a-48bf-87d9-4cbe09c99e2c&quot;,&quot;properties&quot;:{&quot;noteIndex&quot;:0},&quot;isEdited&quot;:false,&quot;manualOverride&quot;:{&quot;citeprocText&quot;:&quot;[453–455]&quot;,&quot;isManuallyOverridden&quot;:false,&quot;manualOverrideText&quot;:&quot;&quot;},&quot;citationTag&quot;:&quot;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&quot;,&quot;citationItems&quot;:[{&quot;id&quot;:&quot;d5c60864-baf5-5afa-88ef-380abf2adec4&quot;,&quot;itemData&quot;:{&quot;DOI&quot;:&quot;10.3945/ajcn.111.016667&quot;,&quot;ISSN&quot;:&quot;00029165&quot;,&quot;PMID&quot;:&quot;21880846&quot;,&quot;abstract&quot;:&quot;Background: The effect of coffee and caffeine on blood pressure (BP) and cardiovascular disease (CVD) in hypertensive persons is uncertain. Objective: The objective was to summarize the evidence on the acute and longer-term effects of caffeine and coffee intake on BP and on the association between habitual coffee consumption and risk of CVD in hypertensive individuals. Design: A systematic review and meta-analysis of publications identified in a PubMed and EMBASE search up to 30 April 2011 was undertaken. Data were extracted from controlled trials on the effect of caffeine or coffee intake on BP change and from cohort studies on the association between habitual coffee consumption and CVD. Results: In 5 trials, the administration of 200-300 mg caffeine produced a mean increase of 8.1 mm Hg (95% CI: 5.7, 10.6 mm Hg) in systolic BP and of 5.7 mm Hg (95% CI: 4.1, 7.4 mm Hg) in diastolic BP. The increase in BP was observed in the first hour after caffeine intake and lasted ≥3 h. In 3 studies of the longer-term effect (2 wk) of coffee, no increase in BP was observed after coffee was compared with a caffeine-free diet or was compared with decaffeinated coffee. Last, 7 cohort studies found no evidence of an association between habitual coffee consumption and a higher risk of CVD. Conclusions: In hypertensive individuals, caffeine intake produces an acute increase in BP for ≥3 h. However, current evidence does not support an association between longer-term coffee consumption and increased BP or between habitual coffee consumption and an increased risk of CVD in hypertensive subjects. © 2011 American Society for Nutrition.&quot;,&quot;author&quot;:[{&quot;dropping-particle&quot;:&quot;&quot;,&quot;family&quot;:&quot;Mesas&quot;,&quot;given&quot;:&quot;Arthur Eumann&quot;,&quot;non-dropping-particle&quot;:&quot;&quot;,&quot;parse-names&quot;:false,&quot;suffix&quot;:&quot;&quot;},{&quot;dropping-particle&quot;:&quot;&quot;,&quot;family&quot;:&quot;Leon-Muñoz&quot;,&quot;given&quot;:&quot;Luz M.&quot;,&quot;non-dropping-particle&quot;:&quot;&quot;,&quot;parse-names&quot;:false,&quot;suffix&quot;:&quot;&quot;},{&quot;dropping-particle&quot;:&quot;&quot;,&quot;family&quot;:&quot;Rodriguez-Artalejo&quot;,&quot;given&quot;:&quot;Fernando&quot;,&quot;non-dropping-particle&quot;:&quot;&quot;,&quot;parse-names&quot;:false,&quot;suffix&quot;:&quot;&quot;},{&quot;dropping-particle&quot;:&quot;&quot;,&quot;family&quot;:&quot;Lopez-Garcia&quot;,&quot;given&quot;:&quot;Esther&quot;,&quot;non-dropping-particle&quot;:&quot;&quot;,&quot;parse-names&quot;:false,&quot;suffix&quot;:&quot;&quot;}],&quot;container-title&quot;:&quot;American Journal of Clinical Nutrition&quot;,&quot;id&quot;:&quot;d5c60864-baf5-5afa-88ef-380abf2adec4&quot;,&quot;issue&quot;:&quot;4&quot;,&quot;issued&quot;:{&quot;date-parts&quot;:[[&quot;2011&quot;]]},&quot;page&quot;:&quot;1113-1126&quot;,&quot;title&quot;:&quot;The effect of coffee on blood pressure and cardiovascular disease in hypertensive individuals: A systematic review and meta-analysis&quot;,&quot;type&quot;:&quot;article-journal&quot;,&quot;volume&quot;:&quot;94&quot;,&quot;container-title-short&quot;:&quot;&quot;},&quot;uris&quot;:[&quot;http://www.mendeley.com/documents/?uuid=25038ff6-844e-4705-9d20-9764f620bb7f&quot;],&quot;isTemporary&quot;:false,&quot;legacyDesktopId&quot;:&quot;25038ff6-844e-4705-9d20-9764f620bb7f&quot;},{&quot;id&quot;:&quot;6179a090-1b7a-5546-a0b0-1963aff21f47&quot;,&quot;itemData&quot;:{&quot;DOI&quot;:&quot;10.1016/j.jff.2021.104482&quot;,&quot;ISSN&quot;:&quot;17564646&quot;,&quot;abstract&quot;:&quot;Blood pressure alteration after taking caffeinated beverages is controversial. We performed a meta-analysis to synthesize the evidence on the relation between short time caffeinated beverages consumption and blood pressure from randomized controlled trials. PubMed and Web of Science were systematically searched. Ultimately 11 articles and 470 enrolled subjects were included in the present meta-analysis. Fixed-model was used to assess the relationship between caffeine and blood pressure alteration across all included studies. We found an overall blood pressure elevation of 3.04/2.45 mmHg for short-term (within four weeks) caffeinated beverages intake. In adolescent population, BP increased 5.31/2.26 mmHg. In the adult group, the BP increased 2.67/2.55 mmHg. Less than one week of caffeine consumption increased BP by 5.23/2.14 mmHg. More than one week caffeine consumption elevated BP by 2.62/2.66 mmHg. This meta-analysis indicates the possibility of increase in blood pressure in a young population with caffeinated beverages.&quot;,&quot;author&quot;:[{&quot;dropping-particle&quot;:&quot;&quot;,&quot;family&quot;:&quot;Xu&quot;,&quot;given&quot;:&quot;Zhican&quot;,&quot;non-dropping-particle&quot;:&quot;&quot;,&quot;parse-names&quot;:false,&quot;suffix&quot;:&quot;&quot;},{&quot;dropping-particle&quot;:&quot;&quot;,&quot;family&quot;:&quot;Meng&quot;,&quot;given&quot;:&quot;Qingshu&quot;,&quot;non-dropping-particle&quot;:&quot;&quot;,&quot;parse-names&quot;:false,&quot;suffix&quot;:&quot;&quot;},{&quot;dropping-particle&quot;:&quot;&quot;,&quot;family&quot;:&quot;Ge&quot;,&quot;given&quot;:&quot;Xinyu&quot;,&quot;non-dropping-particle&quot;:&quot;&quot;,&quot;parse-names&quot;:false,&quot;suffix&quot;:&quot;&quot;},{&quot;dropping-particle&quot;:&quot;&quot;,&quot;family&quot;:&quot;Zhuang&quot;,&quot;given&quot;:&quot;Rulin&quot;,&quot;non-dropping-particle&quot;:&quot;&quot;,&quot;parse-names&quot;:false,&quot;suffix&quot;:&quot;&quot;},{&quot;dropping-particle&quot;:&quot;&quot;,&quot;family&quot;:&quot;Liu&quot;,&quot;given&quot;:&quot;Jing&quot;,&quot;non-dropping-particle&quot;:&quot;&quot;,&quot;parse-names&quot;:false,&quot;suffix&quot;:&quot;&quot;},{&quot;dropping-particle&quot;:&quot;&quot;,&quot;family&quot;:&quot;Liang&quot;,&quot;given&quot;:&quot;Xiaoting&quot;,&quot;non-dropping-particle&quot;:&quot;&quot;,&quot;parse-names&quot;:false,&quot;suffix&quot;:&quot;&quot;},{&quot;dropping-particle&quot;:&quot;&quot;,&quot;family&quot;:&quot;Fan&quot;,&quot;given&quot;:&quot;Huimin&quot;,&quot;non-dropping-particle&quot;:&quot;&quot;,&quot;parse-names&quot;:false,&quot;suffix&quot;:&quot;&quot;},{&quot;dropping-particle&quot;:&quot;&quot;,&quot;family&quot;:&quot;Yu&quot;,&quot;given&quot;:&quot;Ping&quot;,&quot;non-dropping-particle&quot;:&quot;&quot;,&quot;parse-names&quot;:false,&quot;suffix&quot;:&quot;&quot;},{&quot;dropping-particle&quot;:&quot;&quot;,&quot;family&quot;:&quot;Zheng&quot;,&quot;given&quot;:&quot;Liang&quot;,&quot;non-dropping-particle&quot;:&quot;&quot;,&quot;parse-names&quot;:false,&quot;suffix&quot;:&quot;&quot;},{&quot;dropping-particle&quot;:&quot;&quot;,&quot;family&quot;:&quot;Zhou&quot;,&quot;given&quot;:&quot;Xiaohui&quot;,&quot;non-dropping-particle&quot;:&quot;&quot;,&quot;parse-names&quot;:false,&quot;suffix&quot;:&quot;&quot;}],&quot;container-title&quot;:&quot;Journal of Functional Foods&quot;,&quot;id&quot;:&quot;6179a090-1b7a-5546-a0b0-1963aff21f47&quot;,&quot;issued&quot;:{&quot;date-parts&quot;:[[&quot;2021&quot;,&quot;6&quot;]]},&quot;page&quot;:&quot;104482&quot;,&quot;publisher&quot;:&quot;Elsevier Ltd&quot;,&quot;title&quot;:&quot;A short-term effect of caffeinated beverages on blood pressure: A meta-analysis of randomized controlled trails&quot;,&quot;type&quot;:&quot;article-journal&quot;,&quot;volume&quot;:&quot;81&quot;,&quot;container-title-short&quot;:&quot;J. Funct. Foods&quot;},&quot;uris&quot;:[&quot;http://www.mendeley.com/documents/?uuid=cc3005a7-5daf-46d1-83fa-1a713ab8b2a8&quot;],&quot;isTemporary&quot;:false,&quot;legacyDesktopId&quot;:&quot;cc3005a7-5daf-46d1-83fa-1a713ab8b2a8&quot;},{&quot;id&quot;:&quot;a44126d8-02cc-591e-91d9-fec070abd922&quot;,&quot;itemData&quot;:{&quot;DOI&quot;:&quot;10.1016/j.clnesp.2023.09.923&quot;,&quot;ISSN&quot;:&quot;24054577&quot;,&quot;PMID&quot;:&quot;38057002&quot;,&quot;abstract&quot;:&quot;Background and aims: Hypertension is a serious complication linked to a higher risk for organs. Caffeine is a natural component that affects the cardiovascular system, while the mechanisms of its effects are not fully established. Therefore, we aimed to examine the impact of caffeine supplementation on blood pressure (BP) by conducting a systematic review and dose-response meta-analysis of randomized controlled clinical trials (RCTs). Methods and results: We searched online databases using relevant keywords up to July 2022 to identify RCTs using caffeine on systolic (SBP) and diastolic BP (DBP) in adults. Inclusion criteria were adult participants ≥18 years old for subjects, examining the effect of caffeine supplementation on BP, and RCTs studies. A random-effects model was used to estimate the weighted mean difference (WMD) and 95% confidence (CI). The pooled of 11 effect sizes analysis of 8 studies demonstrated significant increases in SBP (WMD:1.94 mmHg; 95%CI:0.52, 3.35; p = 0.007) and DBP (WMD:1.66 mmHg; 95% CI:0.75, 2.57; p = 0.000) after caffeine supplementation. The subgroup analysis showed that caffeine supplementation more effectively increased SBP and DBP in males than females. Moreover, meta-regression analysis demonstrated a significant relationship between the dose of caffeine intake and changes in SBP (p = 0.000), DBP (p = 0.000), and duration of the trial in SBP (p = 0.005), and DBP (p = 0.001). The non-linear dose-response analysis detected the dosage of supplementation &gt;400 mg/day is effective for increasing DBP (p = 0.034), and the duration of supplementation of more than nine weeks makes increasing in both SBP and DBP. Conclusion: This meta-analysis shows that caffeine supplementation significantly increased SBP and DBP in adults.&quot;,&quot;author&quot;:[{&quot;dropping-particle&quot;:&quot;&quot;,&quot;family&quot;:&quot;Abbas-Hashemi&quot;,&quot;given&quot;:&quot;Seyed Ali&quot;,&quot;non-dropping-particle&quot;:&quot;&quot;,&quot;parse-names&quot;:false,&quot;suffix&quot;:&quot;&quot;},{&quot;dropping-particle&quot;:&quot;&quot;,&quot;family&quot;:&quot;Hosseininasab&quot;,&quot;given&quot;:&quot;Dorsa&quot;,&quot;non-dropping-particle&quot;:&quot;&quot;,&quot;parse-names&quot;:false,&quot;suffix&quot;:&quot;&quot;},{&quot;dropping-particle&quot;:&quot;&quot;,&quot;family&quot;:&quot;Rastgoo&quot;,&quot;given&quot;:&quot;Samira&quot;,&quot;non-dropping-particle&quot;:&quot;&quot;,&quot;parse-names&quot;:false,&quot;suffix&quot;:&quot;&quot;},{&quot;dropping-particle&quot;:&quot;&quot;,&quot;family&quot;:&quot;Shiraseb&quot;,&quot;given&quot;:&quot;Farideh&quot;,&quot;non-dropping-particle&quot;:&quot;&quot;,&quot;parse-names&quot;:false,&quot;suffix&quot;:&quot;&quot;},{&quot;dropping-particle&quot;:&quot;&quot;,&quot;family&quot;:&quot;Asbaghi&quot;,&quot;given&quot;:&quot;Omid&quot;,&quot;non-dropping-particle&quot;:&quot;&quot;,&quot;parse-names&quot;:false,&quot;suffix&quot;:&quot;&quot;}],&quot;container-title&quot;:&quot;Clinical Nutrition ESPEN&quot;,&quot;id&quot;:&quot;a44126d8-02cc-591e-91d9-fec070abd922&quot;,&quot;issued&quot;:{&quot;date-parts&quot;:[[&quot;2023&quot;]]},&quot;page&quot;:&quot;165-177&quot;,&quot;publisher&quot;:&quot;European Society for Clinical Nutrition and Metabolism&quot;,&quot;title&quot;:&quot;The effects of caffeine supplementation on blood pressure in adults: A systematic review and dose-response meta-analysis&quot;,&quot;type&quot;:&quot;article-journal&quot;,&quot;volume&quot;:&quot;58&quot;,&quot;container-title-short&quot;:&quot;Clin. Nutr. ESPEN&quot;},&quot;uris&quot;:[&quot;http://www.mendeley.com/documents/?uuid=3043936c-104b-4d62-aafe-ef12c5cb5dbc&quot;,&quot;http://www.mendeley.com/documents/?uuid=fb05637f-4b35-45e6-8b4c-97945f9cb747&quot;],&quot;isTemporary&quot;:false,&quot;legacyDesktopId&quot;:&quot;3043936c-104b-4d62-aafe-ef12c5cb5dbc&quot;}]},{&quot;citationID&quot;:&quot;MENDELEY_CITATION_1efab4b9-1ffd-4341-8cb3-0983b4a6a9f4&quot;,&quot;properties&quot;:{&quot;noteIndex&quot;:0},&quot;isEdited&quot;:false,&quot;manualOverride&quot;:{&quot;citeprocText&quot;:&quot;[456,457]&quot;,&quot;isManuallyOverridden&quot;:false,&quot;manualOverrideText&quot;:&quot;&quot;},&quot;citationTag&quot;:&quot;MENDELEY_CITATION_v3_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&quot;,&quot;citationItems&quot;:[{&quot;id&quot;:&quot;04a2c2ce-7208-55d6-bad5-7faba251ba92&quot;,&quot;itemData&quot;:{&quot;DOI&quot;:&quot;10.1093/nutrit/nuad112&quot;,&quot;ISSN&quot;:&quot;0029-6643&quot;,&quot;author&quot;:[{&quot;dropping-particle&quot;:&quot;&quot;,&quot;family&quot;:&quot;Gualberto&quot;,&quot;given&quot;:&quot;Pedro I B&quot;,&quot;non-dropping-particle&quot;:&quot;&quot;,&quot;parse-names&quot;:false,&quot;suffix&quot;:&quot;&quot;},{&quot;dropping-particle&quot;:&quot;V&quot;,&quot;family&quot;:&quot;Benvindo&quot;,&quot;given&quot;:&quot;Vinícius&quot;,&quot;non-dropping-particle&quot;:&quot;&quot;,&quot;parse-names&quot;:false,&quot;suffix&quot;:&quot;&quot;},{&quot;dropping-particle&quot;:&quot;&quot;,&quot;family&quot;:&quot;Waclawovsky&quot;,&quot;given&quot;:&quot;Gustavo&quot;,&quot;non-dropping-particle&quot;:&quot;&quot;,&quot;parse-names&quot;:false,&quot;suffix&quot;:&quot;&quot;},{&quot;dropping-particle&quot;:&quot;&quot;,&quot;family&quot;:&quot;Deresz&quot;,&quot;given&quot;:&quot;Luís F&quot;,&quot;non-dropping-particle&quot;:&quot;&quot;,&quot;parse-names&quot;:false,&quot;suffix&quot;:&quot;&quot;}],&quot;container-title&quot;:&quot;Nutrition Reviews&quot;,&quot;id&quot;:&quot;04a2c2ce-7208-55d6-bad5-7faba251ba92&quot;,&quot;issue&quot;:&quot;8&quot;,&quot;issued&quot;:{&quot;date-parts&quot;:[[&quot;2024&quot;,&quot;8&quot;,&quot;1&quot;]]},&quot;page&quot;:&quot;1028-1045&quot;,&quot;title&quot;:&quot;Acute effects of energy drink consumption on cardiovascular parameters in healthy adults: a systematic review and meta-analysis of randomized clinical trials&quot;,&quot;type&quot;:&quot;article-journal&quot;,&quot;volume&quot;:&quot;82&quot;,&quot;container-title-short&quot;:&quot;Nutr. Rev.&quot;},&quot;uris&quot;:[&quot;http://www.mendeley.com/documents/?uuid=c0c50cad-043c-4829-b49f-5a3aca10e9f3&quot;],&quot;isTemporary&quot;:false,&quot;legacyDesktopId&quot;:&quot;c0c50cad-043c-4829-b49f-5a3aca10e9f3&quot;},{&quot;id&quot;:&quot;4fd7d9f1-337e-584f-912f-5c28f9f46473&quot;,&quot;itemData&quot;:{&quot;DOI&quot;:&quot;10.1016/s0735-1097(19)32489-1&quot;,&quot;ISSN&quot;:&quot;07351097&quot;,&quot;abstract&quot;:&quot;Background: Consumption of energy drinks (ED) is associated with adverse cardiovascular (CV) events, including coronary thrombosis, vascular dissection and arrhythmias. While the pathophysiologic mechanisms effects of ED have not been clearly elucidated, it is known that ED produce tachycardia, hypertension and prolong the QTc interval. Our aim was to systematically analyze the available studies on cardiovascular effects of ED. Methods: We searched PubMed From 1996 trough October 2018 for randomized studies reporting cardiovascular effects of ED consumption compared to controls. We evaluated the presence of electrocardiographic and hemodynamic changes. RevMan 5.3 was used for the analysis, with a fixed effect when I2 &lt; 50% and P &gt; 0.10. Results: Out of 24 articles, 3 clinical studies met criteria and were included in the analysis. The pooled data provided a total of 71 comparisons in healthy and young subjects. ED use was associated with prolonged QTc interval after 2-3 hours (Mean difference 5.39 ms [CI 0.69-10.08ms]) and a significant increase in the systolic blood pressure (2.64mmHg [0.16-5.12mmHg]) in 5-6 hours (Figures 1A and 1B) when compared to placebo. No differences in other electrocardiographic or hemodynamic parameters have been found Conclusion: Our data suggest that ED use is associated with systolic hypertension and QTc prolongation, however large studies are needed to confirm these findings and to provide more robust data in order to support the regulation of ED sales and consumption.&quot;,&quot;author&quot;:[{&quot;dropping-particle&quot;:&quot;&quot;,&quot;family&quot;:&quot;Benjo&quot;,&quot;given&quot;:&quot;Alexandre M.&quot;,&quot;non-dropping-particle&quot;:&quot;&quot;,&quot;parse-names&quot;:false,&quot;suffix&quot;:&quot;&quot;},{&quot;dropping-particle&quot;:&quot;&quot;,&quot;family&quot;:&quot;Jaramillo&quot;,&quot;given&quot;:&quot;Valentina&quot;,&quot;non-dropping-particle&quot;:&quot;&quot;,&quot;parse-names&quot;:false,&quot;suffix&quot;:&quot;&quot;},{&quot;dropping-particle&quot;:&quot;&quot;,&quot;family&quot;:&quot;Atassi&quot;,&quot;given&quot;:&quot;Fadi&quot;,&quot;non-dropping-particle&quot;:&quot;&quot;,&quot;parse-names&quot;:false,&quot;suffix&quot;:&quot;&quot;},{&quot;dropping-particle&quot;:&quot;&quot;,&quot;family&quot;:&quot;Nascimento&quot;,&quot;given&quot;:&quot;Francisco&quot;,&quot;non-dropping-particle&quot;:&quot;&quot;,&quot;parse-names&quot;:false,&quot;suffix&quot;:&quot;&quot;},{&quot;dropping-particle&quot;:&quot;&quot;,&quot;family&quot;:&quot;Benjo&quot;,&quot;given&quot;:&quot;Jonas&quot;,&quot;non-dropping-particle&quot;:&quot;&quot;,&quot;parse-names&quot;:false,&quot;suffix&quot;:&quot;&quot;},{&quot;dropping-particle&quot;:&quot;&quot;,&quot;family&quot;:&quot;Mahtta&quot;,&quot;given&quot;:&quot;Dhruv&quot;,&quot;non-dropping-particle&quot;:&quot;&quot;,&quot;parse-names&quot;:false,&quot;suffix&quot;:&quot;&quot;},{&quot;dropping-particle&quot;:&quot;&quot;,&quot;family&quot;:&quot;Alviar&quot;,&quot;given&quot;:&quot;Carlos&quot;,&quot;non-dropping-particle&quot;:&quot;&quot;,&quot;parse-names&quot;:false,&quot;suffix&quot;:&quot;&quot;}],&quot;container-title&quot;:&quot;Journal of the American College of Cardiology&quot;,&quot;id&quot;:&quot;4fd7d9f1-337e-584f-912f-5c28f9f46473&quot;,&quot;issue&quot;:&quot;9&quot;,&quot;issued&quot;:{&quot;date-parts&quot;:[[&quot;2019&quot;]]},&quot;page&quot;:&quot;1883&quot;,&quot;publisher&quot;:&quot;American College of Cardiology Foundation&quot;,&quot;title&quot;:&quot;Acute Cardiovascular Effects of Energy Drinks in Healthy Subjects: a Meta-Analysis of Randomized Trials&quot;,&quot;type&quot;:&quot;article-journal&quot;,&quot;volume&quot;:&quot;73&quot;,&quot;container-title-short&quot;:&quot;J. Am. Coll. Cardiol.&quot;},&quot;uris&quot;:[&quot;http://www.mendeley.com/documents/?uuid=918b6d65-61c0-4b86-9bbf-1ec9176f4d0c&quot;],&quot;isTemporary&quot;:false,&quot;legacyDesktopId&quot;:&quot;918b6d65-61c0-4b86-9bbf-1ec9176f4d0c&quot;}]},{&quot;citationID&quot;:&quot;MENDELEY_CITATION_cc183662-2411-448a-b3ac-14d8a4c245e7&quot;,&quot;properties&quot;:{&quot;noteIndex&quot;:0},&quot;isEdited&quot;:false,&quot;manualOverride&quot;:{&quot;citeprocText&quot;:&quot;[458,459]&quot;,&quot;isManuallyOverridden&quot;:false,&quot;manualOverrideText&quot;:&quot;&quot;},&quot;citationTag&quot;:&quot;MENDELEY_CITATION_v3_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&quot;,&quot;citationItems&quot;:[{&quot;id&quot;:&quot;be1dd444-c25d-52e4-8740-9184c9dacfc1&quot;,&quot;itemData&quot;:{&quot;DOI&quot;:&quot;10.1161/01.CIR.0000133415.37578.E4&quot;,&quot;ISSN&quot;:&quot;00097322&quot;,&quot;PMID&quot;:&quot;15210592&quot;,&quot;abstract&quot;:&quot;Background - A longstanding but controversial hypothesis is that individuals who exhibit frequent, large increases in blood pressure (BP) during psychological stress are at risk for developing essential hypertension. We tested whether BP changes during psychological stress predict incident hypertension in young adults. Methods and Results - We used survival analysis to predict hypertensive status during 13 years of follow-up in a sample of &gt;4100 normotensive black and white men and women (age at entry, 18 to 30 years) enrolled in the CARDIA study. BP responses to 3 psychological challenges - cold pressor, star tracing, and video game tasks - were measured. Hypertensive status was defined as use of antihypertensive medication or measured BP ≥140/90 mm Hg. After adjustment for race, gender, covariates (education, body mass index, age, and resting pressure), and their significant interactions, the larger the BP responses were to each of the 3 tasks, the earlier hypertension occurred (P&lt;0.0001 to &lt;0.01). The systolic BP effect for the cold pressor task was apparent for women and for whites in race- and gender-specific models, whereas the diastolic BP effect for the video game was apparent for men. Conclusions - Young adults who show a large BP response to psychological stress may be at risk for hypertension as they approach midlife.&quot;,&quot;author&quot;:[{&quot;dropping-particle&quot;:&quot;&quot;,&quot;family&quot;:&quot;Matthews&quot;,&quot;given&quot;:&quot;Karen A.&quot;,&quot;non-dropping-particle&quot;:&quot;&quot;,&quot;parse-names&quot;:false,&quot;suffix&quot;:&quot;&quot;},{&quot;dropping-particle&quot;:&quot;&quot;,&quot;family&quot;:&quot;Katholi&quot;,&quot;given&quot;:&quot;Charles R.&quot;,&quot;non-dropping-particle&quot;:&quot;&quot;,&quot;parse-names&quot;:false,&quot;suffix&quot;:&quot;&quot;},{&quot;dropping-particle&quot;:&quot;&quot;,&quot;family&quot;:&quot;McCreath&quot;,&quot;given&quot;:&quot;Heather&quot;,&quot;non-dropping-particle&quot;:&quot;&quot;,&quot;parse-names&quot;:false,&quot;suffix&quot;:&quot;&quot;},{&quot;dropping-particle&quot;:&quot;&quot;,&quot;family&quot;:&quot;Whooley&quot;,&quot;given&quot;:&quot;Mary A.&quot;,&quot;non-dropping-particle&quot;:&quot;&quot;,&quot;parse-names&quot;:false,&quot;suffix&quot;:&quot;&quot;},{&quot;dropping-particle&quot;:&quot;&quot;,&quot;family&quot;:&quot;Williams&quot;,&quot;given&quot;:&quot;David R.&quot;,&quot;non-dropping-particle&quot;:&quot;&quot;,&quot;parse-names&quot;:false,&quot;suffix&quot;:&quot;&quot;},{&quot;dropping-particle&quot;:&quot;&quot;,&quot;family&quot;:&quot;Zhu&quot;,&quot;given&quot;:&quot;Sha&quot;,&quot;non-dropping-particle&quot;:&quot;&quot;,&quot;parse-names&quot;:false,&quot;suffix&quot;:&quot;&quot;},{&quot;dropping-particle&quot;:&quot;&quot;,&quot;family&quot;:&quot;Markovitz&quot;,&quot;given&quot;:&quot;Jerry H.&quot;,&quot;non-dropping-particle&quot;:&quot;&quot;,&quot;parse-names&quot;:false,&quot;suffix&quot;:&quot;&quot;}],&quot;container-title&quot;:&quot;Circulation&quot;,&quot;id&quot;:&quot;be1dd444-c25d-52e4-8740-9184c9dacfc1&quot;,&quot;issue&quot;:&quot;1&quot;,&quot;issued&quot;:{&quot;date-parts&quot;:[[&quot;2004&quot;]]},&quot;page&quot;:&quot;74-78&quot;,&quot;title&quot;:&quot;Blood pressure reactivity to psychological stress predicts hypertension in the CARDIA study&quot;,&quot;type&quot;:&quot;article-journal&quot;,&quot;volume&quot;:&quot;110&quot;,&quot;container-title-short&quot;:&quot;Circulation&quot;},&quot;uris&quot;:[&quot;http://www.mendeley.com/documents/?uuid=a95fb2df-801b-4fee-a5f3-58cd744665fa&quot;],&quot;isTemporary&quot;:false,&quot;legacyDesktopId&quot;:&quot;a95fb2df-801b-4fee-a5f3-58cd744665fa&quot;},{&quot;id&quot;:&quot;a0871fab-3c4f-5050-8f2a-f0572f8adfb8&quot;,&quot;itemData&quot;:{&quot;DOI&quot;:&quot;10.1111/psyp.14064&quot;,&quot;ISSN&quot;:&quot;14698986&quot;,&quot;PMID&quot;:&quot;35353904&quot;,&quot;abstract&quot;:&quot;Cardiovascular reactions to acute psychological stress have been associated with cognitive function. However, previous work has assessed cardiovascular reactions and cognitive function in the laboratory at the same time. The present study examined the association between cardiovascular reactions to acute psychological stress in the laboratory and academic performance in final year high school students. Heart rate, blood pressure, stroke volume, and cardiac output reactions to an acute psychological stress task were measured in 131 participants during their final year of high school. Performance on high school A-levels were obtained the following year. Higher heart rate and cardiac output reactivity were associated with better A-level performance. These associations were still statistically significant after adjusting for a wide range of potentially confounding variables. The present results are consistent with a body of literature suggesting that higher heart rate reactions to acute psychological stress are associated with better cognitive performance across a variety of domains.&quot;,&quot;author&quot;:[{&quot;dropping-particle&quot;:&quot;&quot;,&quot;family&quot;:&quot;Ginty&quot;,&quot;given&quot;:&quot;Annie T.&quot;,&quot;non-dropping-particle&quot;:&quot;&quot;,&quot;parse-names&quot;:false,&quot;suffix&quot;:&quot;&quot;},{&quot;dropping-particle&quot;:&quot;&quot;,&quot;family&quot;:&quot;Tyra&quot;,&quot;given&quot;:&quot;Alexandra T.&quot;,&quot;non-dropping-particle&quot;:&quot;&quot;,&quot;parse-names&quot;:false,&quot;suffix&quot;:&quot;&quot;},{&quot;dropping-particle&quot;:&quot;&quot;,&quot;family&quot;:&quot;Young&quot;,&quot;given&quot;:&quot;Danielle A.&quot;,&quot;non-dropping-particle&quot;:&quot;&quot;,&quot;parse-names&quot;:false,&quot;suffix&quot;:&quot;&quot;},{&quot;dropping-particle&quot;:&quot;&quot;,&quot;family&quot;:&quot;Brindle&quot;,&quot;given&quot;:&quot;Ryan C.&quot;,&quot;non-dropping-particle&quot;:&quot;&quot;,&quot;parse-names&quot;:false,&quot;suffix&quot;:&quot;&quot;},{&quot;dropping-particle&quot;:&quot;&quot;,&quot;family&quot;:&quot;Rooij&quot;,&quot;given&quot;:&quot;Susanne R.&quot;,&quot;non-dropping-particle&quot;:&quot;de&quot;,&quot;parse-names&quot;:false,&quot;suffix&quot;:&quot;&quot;},{&quot;dropping-particle&quot;:&quot;&quot;,&quot;family&quot;:&quot;Williams&quot;,&quot;given&quot;:&quot;Sarah E.&quot;,&quot;non-dropping-particle&quot;:&quot;&quot;,&quot;parse-names&quot;:false,&quot;suffix&quot;:&quot;&quot;}],&quot;container-title&quot;:&quot;Psychophysiology&quot;,&quot;id&quot;:&quot;a0871fab-3c4f-5050-8f2a-f0572f8adfb8&quot;,&quot;issue&quot;:&quot;10&quot;,&quot;issued&quot;:{&quot;date-parts&quot;:[[&quot;2022&quot;]]},&quot;page&quot;:&quot;1-14&quot;,&quot;title&quot;:&quot;Cardiovascular reactions to acute psychological stress and academic achievement&quot;,&quot;type&quot;:&quot;article-journal&quot;,&quot;volume&quot;:&quot;59&quot;,&quot;container-title-short&quot;:&quot;Psychophysiology&quot;},&quot;uris&quot;:[&quot;http://www.mendeley.com/documents/?uuid=f6dc2d3a-8c27-4fea-89a3-a594a20350f9&quot;],&quot;isTemporary&quot;:false,&quot;legacyDesktopId&quot;:&quot;f6dc2d3a-8c27-4fea-89a3-a594a20350f9&quot;}]},{&quot;citationID&quot;:&quot;MENDELEY_CITATION_2b88adf2-edb1-4d24-aa59-ffd00fede8b4&quot;,&quot;properties&quot;:{&quot;noteIndex&quot;:0},&quot;isEdited&quot;:false,&quot;manualOverride&quot;:{&quot;citeprocText&quot;:&quot;[379,460]&quot;,&quot;isManuallyOverridden&quot;:false,&quot;manualOverrideText&quot;:&quot;&quot;},&quot;citationTag&quot;:&quot;MENDELEY_CITATION_v3_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&quot;,&quot;citationItems&quot;:[{&quot;id&quot;:&quot;fc74c379-6b93-544a-8976-e0478412b04e&quot;,&quot;itemData&quot;:{&quot;DOI&quot;:&quot;10.3389/fnint.2021.787037&quot;,&quot;ISSN&quot;:&quot;1662-5145&quot;,&quot;abstract&quot;:&quot;Background: There have been previous reports of enhanced sympathoexcitation in autism spectrum disorder (ASD). However, there has been no formal investigation of autonomic dysfunction in ASD. Also, the joint hypermobile form of Ehlers-Danlos syndrome (hE-DS) that maybe overrepresented in ASD and orthostatic related autonomic dysfunction. This study examined the comorbidity of ASD, autonomic dysfunction and hE-DS in two UK autonomic national referral centers. Proven, documented and globally accepted clinical autonomic investigations were used to assess neuro-cardiovascular autonomic function in a cohort of ASD subjects and in age-matched healthy controls.&quot;,&quot;author&quot;:[{&quot;dropping-particle&quot;:&quot;&quot;,&quot;family&quot;:&quot;Owens&quot;,&quot;given&quot;:&quot;Andrew P.&quot;,&quot;non-dropping-particle&quot;:&quot;&quot;,&quot;parse-names&quot;:false,&quot;suffix&quot;:&quot;&quot;},{&quot;dropping-particle&quot;:&quot;&quot;,&quot;family&quot;:&quot;Mathias&quot;,&quot;given&quot;:&quot;Christopher J.&quot;,&quot;non-dropping-particle&quot;:&quot;&quot;,&quot;parse-names&quot;:false,&quot;suffix&quot;:&quot;&quot;},{&quot;dropping-particle&quot;:&quot;&quot;,&quot;family&quot;:&quot;Iodice&quot;,&quot;given&quot;:&quot;Valeria&quot;,&quot;non-dropping-particle&quot;:&quot;&quot;,&quot;parse-names&quot;:false,&quot;suffix&quot;:&quot;&quot;}],&quot;container-title&quot;:&quot;Frontiers in Integrative Neuroscience&quot;,&quot;id&quot;:&quot;fc74c379-6b93-544a-8976-e0478412b04e&quot;,&quot;issue&quot;:&quot;December&quot;,&quot;issued&quot;:{&quot;date-parts&quot;:[[&quot;2021&quot;,&quot;12&quot;,&quot;30&quot;]]},&quot;page&quot;:&quot;1-10&quot;,&quot;title&quot;:&quot;Autonomic Dysfunction in Autism Spectrum Disorder&quot;,&quot;type&quot;:&quot;article-journal&quot;,&quot;volume&quot;:&quot;15&quot;,&quot;container-title-short&quot;:&quot;Front. Integr. Neurosci.&quot;},&quot;uris&quot;:[&quot;http://www.mendeley.com/documents/?uuid=2d382370-a42f-4414-a8dc-17e451e08d3b&quot;],&quot;isTemporary&quot;:false,&quot;legacyDesktopId&quot;:&quot;2d382370-a42f-4414-a8dc-17e451e08d3b&quot;},{&quot;id&quot;:&quot;4726556c-6f81-5c27-9d45-373e0490de9f&quot;,&quot;itemData&quot;:{&quot;DOI&quot;:&quot;10.33549/physiolres.934662&quot;,&quot;ISSN&quot;:&quot;18029973&quot;,&quot;PMID&quot;:&quot;34062079&quot;,&quot;abstract&quot;:&quot;Autism spectrum disorder (ASD) represents a serious neurodevelopmental disorder associated with autonomic nervous system dysregulation. The aim was to study complex cardiovascular autonomic regulation using heart rate variability (HRV) and systolic blood pressure variability (SBPV) linear/nonlinear analysis at rest and during orthostasis, and to assess plasma levels of epidermal growth factor (EGF) and vascular endothelial growth factor (VEGF) in autistic children. Twenty-five ASD boys and 25 age and gender-matched children at the age 7–15 years were examined. After venous blood taking, continuous ECG and blood pressure biosignals were recorded at rest and during orthostasis. Evaluated parameters: RR intervals, high- and low-frequency band of HRV spectral analysis (HF-HRV, LF-HRV), symbolic dynamics parameters 0V %, 1V %, 2LV %, 2UV %, low- and high-frequency band of SBPV (LF-SBPV, HF-SBPV), systolic, diastolic, mean blood pressure, EGF, VEGF plasma levels. RR intervals were significantly shortened and the HF-HRV, LF-SBPV, HF-SBPV parameters were significantly lower at rest, the HF-HRV and LF-SBPV remained lower during orthostasis in autistic children compared to controls (p&lt;0.05). EGF plasma levels were significantly lower in ASD compared to controls (p=0.046). No significant differences were found in remaining parameters. Our study revealed tachycardia, cardiovagal underactivity, and blunted sympathetic vasomotor regulation at rest and during orthostasis in autistic children. Additionally, complex heart rate dynamics are similar in autistic children than controls. Furthermore, EGF was reduced in autistic children without significant correlations with any autonomic parameters. We suggest that the abnormal complex cardiovascular reflex control could contribute to understanding the pathway linking autonomic features and autism.&quot;,&quot;author&quot;:[{&quot;dropping-particle&quot;:&quot;&quot;,&quot;family&quot;:&quot;Tonhajzerova&quot;,&quot;given&quot;:&quot;Ingrid&quot;,&quot;non-dropping-particle&quot;:&quot;&quot;,&quot;parse-names&quot;:false,&quot;suffix&quot;:&quot;&quot;},{&quot;dropping-particle&quot;:&quot;&quot;,&quot;family&quot;:&quot;Ondrejka&quot;,&quot;given&quot;:&quot;Igor&quot;,&quot;non-dropping-particle&quot;:&quot;&quot;,&quot;parse-names&quot;:false,&quot;suffix&quot;:&quot;&quot;},{&quot;dropping-particle&quot;:&quot;&quot;,&quot;family&quot;:&quot;Ferencova&quot;,&quot;given&quot;:&quot;Nikola&quot;,&quot;non-dropping-particle&quot;:&quot;&quot;,&quot;parse-names&quot;:false,&quot;suffix&quot;:&quot;&quot;},{&quot;dropping-particle&quot;:&quot;&quot;,&quot;family&quot;:&quot;Bujnakova&quot;,&quot;given&quot;:&quot;Iveta&quot;,&quot;non-dropping-particle&quot;:&quot;&quot;,&quot;parse-names&quot;:false,&quot;suffix&quot;:&quot;&quot;},{&quot;dropping-particle&quot;:&quot;&quot;,&quot;family&quot;:&quot;Grendar&quot;,&quot;given&quot;:&quot;Marian&quot;,&quot;non-dropping-particle&quot;:&quot;&quot;,&quot;parse-names&quot;:false,&quot;suffix&quot;:&quot;&quot;},{&quot;dropping-particle&quot;:&quot;&quot;,&quot;family&quot;:&quot;Olexova&quot;,&quot;given&quot;:&quot;Lucia Bona&quot;,&quot;non-dropping-particle&quot;:&quot;&quot;,&quot;parse-names&quot;:false,&quot;suffix&quot;:&quot;&quot;},{&quot;dropping-particle&quot;:&quot;&quot;,&quot;family&quot;:&quot;Hrtanek&quot;,&quot;given&quot;:&quot;Igor&quot;,&quot;non-dropping-particle&quot;:&quot;&quot;,&quot;parse-names&quot;:false,&quot;suffix&quot;:&quot;&quot;},{&quot;dropping-particle&quot;:&quot;&quot;,&quot;family&quot;:&quot;Visnovcova&quot;,&quot;given&quot;:&quot;Zuzana&quot;,&quot;non-dropping-particle&quot;:&quot;&quot;,&quot;parse-names&quot;:false,&quot;suffix&quot;:&quot;&quot;}],&quot;container-title&quot;:&quot;Physiological Research&quot;,&quot;id&quot;:&quot;4726556c-6f81-5c27-9d45-373e0490de9f&quot;,&quot;issue&quot;:&quot;4&quot;,&quot;issued&quot;:{&quot;date-parts&quot;:[[&quot;2021&quot;]]},&quot;page&quot;:&quot;551-561&quot;,&quot;title&quot;:&quot;Alternations in the Cardiovascular Autonomic Regulation and Growth Factors in Autism&quot;,&quot;type&quot;:&quot;article-journal&quot;,&quot;volume&quot;:&quot;70&quot;,&quot;container-title-short&quot;:&quot;Physiol. Res.&quot;},&quot;uris&quot;:[&quot;http://www.mendeley.com/documents/?uuid=db3c9ac1-587c-4c04-a6ea-cfea638e81fb&quot;],&quot;isTemporary&quot;:false,&quot;legacyDesktopId&quot;:&quot;db3c9ac1-587c-4c04-a6ea-cfea638e81fb&quot;}]},{&quot;citationID&quot;:&quot;MENDELEY_CITATION_053443fc-3425-4e14-b7db-9c534f29f90f&quot;,&quot;properties&quot;:{&quot;noteIndex&quot;:0},&quot;isEdited&quot;:false,&quot;manualOverride&quot;:{&quot;citeprocText&quot;:&quot;[461,462]&quot;,&quot;isManuallyOverridden&quot;:false,&quot;manualOverrideText&quot;:&quot;&quot;},&quot;citationTag&quot;:&quot;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&quot;,&quot;citationItems&quot;:[{&quot;id&quot;:&quot;3123d827-c585-5e6a-85cb-21fa27fe6f88&quot;,&quot;itemData&quot;:{&quot;DOI&quot;:&quot;10.1016/j.euroneuro.2022.09.001&quot;,&quot;ISSN&quot;:&quot;18737862&quot;,&quot;PMID&quot;:&quot;36209558&quot;,&quot;abstract&quot;:&quot;Young people with attention deficit hyperactivity disorder (ADHD) are now being treated with psychostimulant medication for longer than was previously the case and are increasingly likely to remain on methylphenidate into adolescence and adulthood. This study was designed to determine whether the long-term use of methylphenidate (MPH, immediate release or extended release) increases blood pressure and left ventricular mass (LVM) identified by echocardiography in adolescents and young adults with ADHD aged 12-25 years. In a five-site cross-sectional design two groups were compared for 24- hour blood pressure and heart rate (HR) registrations and LVM: 1) adolescents and young adults with ADHD who had been treated with MPH for &gt; 2 years (N=162, age mean (SD) 15.6 (3.0)), and 2) adolescents and young adults with ADHD who had never been treated with methylphenidate (N=71, age mean 17.4 (4.2)). The analyses were controlled for propensity scores derived from age, sex, height, weight, and 19 relevant background variables. A blood pressure indicative of hypertension (&gt;95th percentile) was observed in 12.2% (95% confidence interval 7.3 – 18.9%) of the participants in the MPH treated group and in 9.6% (95%CI 3.2 – 21.0%) of the MPH naïve group, with overlapping intervals. The 24-hour recorded systolic blood pressure (SBP) and HR were significantly higher during daytime in medicated individuals with ADHD than in those with unmedicated ADHD, but were similar in both groups during the night. 24-hour diastolic blood pressure (DBP) did not differ between both groups during either daytime or at night. LVM, corrected for body-surface area (LVMBSA), also did not differ between the two groups (p=0.20, controlling for confounders). Further, MPH daily dose and duration of treatment were unrelated to LVMBSA, SBP, and DBP. Long-term MPH use in adolescents and young adults with ADHD is associated with small but significant increases of SBP and HR during daytime. Given the current sample size, the proportions of hypertension do not differ significantly between MPH treated and MPH-naïve individuals with ADHD. Future studies with larger samples, longer treatment duration, and/or with within-subject designs are necessary. The results do, however, further support recommendations that highlight the importance of monitoring blood pressure and HR during MPH treatment.&quot;,&quot;author&quot;:[{&quot;dropping-particle&quot;:&quot;&quot;,&quot;family&quot;:&quot;Buitelaar&quot;,&quot;given&quot;:&quot;J. K.&quot;,&quot;non-dropping-particle&quot;:&quot;&quot;,&quot;parse-names&quot;:false,&quot;suffix&quot;:&quot;&quot;},{&quot;dropping-particle&quot;:&quot;&quot;,&quot;family&quot;:&quot;Loo-Neus&quot;,&quot;given&quot;:&quot;G. H.H.&quot;,&quot;non-dropping-particle&quot;:&quot;van de&quot;,&quot;parse-names&quot;:false,&quot;suffix&quot;:&quot;&quot;},{&quot;dropping-particle&quot;:&quot;&quot;,&quot;family&quot;:&quot;Hennissen&quot;,&quot;given&quot;:&quot;L.&quot;,&quot;non-dropping-particle&quot;:&quot;&quot;,&quot;parse-names&quot;:false,&quot;suffix&quot;:&quot;&quot;},{&quot;dropping-particle&quot;:&quot;&quot;,&quot;family&quot;:&quot;Greven&quot;,&quot;given&quot;:&quot;C. U.&quot;,&quot;non-dropping-particle&quot;:&quot;&quot;,&quot;parse-names&quot;:false,&quot;suffix&quot;:&quot;&quot;},{&quot;dropping-particle&quot;:&quot;&quot;,&quot;family&quot;:&quot;Hoekstra&quot;,&quot;given&quot;:&quot;P. J.&quot;,&quot;non-dropping-particle&quot;:&quot;&quot;,&quot;parse-names&quot;:false,&quot;suffix&quot;:&quot;&quot;},{&quot;dropping-particle&quot;:&quot;&quot;,&quot;family&quot;:&quot;Nagy&quot;,&quot;given&quot;:&quot;P.&quot;,&quot;non-dropping-particle&quot;:&quot;&quot;,&quot;parse-names&quot;:false,&quot;suffix&quot;:&quot;&quot;},{&quot;dropping-particle&quot;:&quot;&quot;,&quot;family&quot;:&quot;Ramos-Quiroga&quot;,&quot;given&quot;:&quot;A.&quot;,&quot;non-dropping-particle&quot;:&quot;&quot;,&quot;parse-names&quot;:false,&quot;suffix&quot;:&quot;&quot;},{&quot;dropping-particle&quot;:&quot;&quot;,&quot;family&quot;:&quot;Rosenthal&quot;,&quot;given&quot;:&quot;E.&quot;,&quot;non-dropping-particle&quot;:&quot;&quot;,&quot;parse-names&quot;:false,&quot;suffix&quot;:&quot;&quot;},{&quot;dropping-particle&quot;:&quot;&quot;,&quot;family&quot;:&quot;Kabir&quot;,&quot;given&quot;:&quot;S.&quot;,&quot;non-dropping-particle&quot;:&quot;&quot;,&quot;parse-names&quot;:false,&quot;suffix&quot;:&quot;&quot;},{&quot;dropping-particle&quot;:&quot;&quot;,&quot;family&quot;:&quot;Man&quot;,&quot;given&quot;:&quot;K. K.C.&quot;,&quot;non-dropping-particle&quot;:&quot;&quot;,&quot;parse-names&quot;:false,&quot;suffix&quot;:&quot;&quot;},{&quot;dropping-particle&quot;:&quot;&quot;,&quot;family&quot;:&quot;IC&quot;,&quot;given&quot;:&quot;Wong&quot;,&quot;non-dropping-particle&quot;:&quot;&quot;,&quot;parse-names&quot;:false,&quot;suffix&quot;:&quot;&quot;},{&quot;dropping-particle&quot;:&quot;&quot;,&quot;family&quot;:&quot;Coghill&quot;,&quot;given&quot;:&quot;D.&quot;,&quot;non-dropping-particle&quot;:&quot;&quot;,&quot;parse-names&quot;:false,&quot;suffix&quot;:&quot;&quot;},{&quot;dropping-particle&quot;:&quot;&quot;,&quot;family&quot;:&quot;Häge&quot;,&quot;given&quot;:&quot;Alexander&quot;,&quot;non-dropping-particle&quot;:&quot;&quot;,&quot;parse-names&quot;:false,&quot;suffix&quot;:&quot;&quot;},{&quot;dropping-particle&quot;:&quot;&quot;,&quot;family&quot;:&quot;Banaschewski&quot;,&quot;given&quot;:&quot;Tobias&quot;,&quot;non-dropping-particle&quot;:&quot;&quot;,&quot;parse-names&quot;:false,&quot;suffix&quot;:&quot;&quot;},{&quot;dropping-particle&quot;:&quot;&quot;,&quot;family&quot;:&quot;Inglis&quot;,&quot;given&quot;:&quot;Sarah K.&quot;,&quot;non-dropping-particle&quot;:&quot;&quot;,&quot;parse-names&quot;:false,&quot;suffix&quot;:&quot;&quot;},{&quot;dropping-particle&quot;:&quot;&quot;,&quot;family&quot;:&quot;Carucci&quot;,&quot;given&quot;:&quot;Sara&quot;,&quot;non-dropping-particle&quot;:&quot;&quot;,&quot;parse-names&quot;:false,&quot;suffix&quot;:&quot;&quot;},{&quot;dropping-particle&quot;:&quot;&quot;,&quot;family&quot;:&quot;Danckaerts&quot;,&quot;given&quot;:&quot;Marina&quot;,&quot;non-dropping-particle&quot;:&quot;&quot;,&quot;parse-names&quot;:false,&quot;suffix&quot;:&quot;&quot;},{&quot;dropping-particle&quot;:&quot;&quot;,&quot;family&quot;:&quot;Dittmann&quot;,&quot;given&quot;:&quot;Ralf W.&quot;,&quot;non-dropping-particle&quot;:&quot;&quot;,&quot;parse-names&quot;:false,&quot;suffix&quot;:&quot;&quot;},{&quot;dropping-particle&quot;:&quot;&quot;,&quot;family&quot;:&quot;Falissard&quot;,&quot;given&quot;:&quot;Bruno&quot;,&quot;non-dropping-particle&quot;:&quot;&quot;,&quot;parse-names&quot;:false,&quot;suffix&quot;:&quot;&quot;},{&quot;dropping-particle&quot;:&quot;&quot;,&quot;family&quot;:&quot;Garas&quot;,&quot;given&quot;:&quot;Peter&quot;,&quot;non-dropping-particle&quot;:&quot;&quot;,&quot;parse-names&quot;:false,&quot;suffix&quot;:&quot;&quot;},{&quot;dropping-particle&quot;:&quot;&quot;,&quot;family&quot;:&quot;Hollis&quot;,&quot;given&quot;:&quot;Chris&quot;,&quot;non-dropping-particle&quot;:&quot;&quot;,&quot;parse-names&quot;:false,&quot;suffix&quot;:&quot;&quot;},{&quot;dropping-particle&quot;:&quot;&quot;,&quot;family&quot;:&quot;Konrad&quot;,&quot;given&quot;:&quot;Kerstin&quot;,&quot;non-dropping-particle&quot;:&quot;&quot;,&quot;parse-names&quot;:false,&quot;suffix&quot;:&quot;&quot;},{&quot;dropping-particle&quot;:&quot;&quot;,&quot;family&quot;:&quot;Kovshoff&quot;,&quot;given&quot;:&quot;Hanna&quot;,&quot;non-dropping-particle&quot;:&quot;&quot;,&quot;parse-names&quot;:false,&quot;suffix&quot;:&quot;&quot;},{&quot;dropping-particle&quot;:&quot;&quot;,&quot;family&quot;:&quot;Liddle&quot;,&quot;given&quot;:&quot;Elizabeth&quot;,&quot;non-dropping-particle&quot;:&quot;&quot;,&quot;parse-names&quot;:false,&quot;suffix&quot;:&quot;&quot;},{&quot;dropping-particle&quot;:&quot;&quot;,&quot;family&quot;:&quot;McCarthy&quot;,&quot;given&quot;:&quot;Suzanne&quot;,&quot;non-dropping-particle&quot;:&quot;&quot;,&quot;parse-names&quot;:false,&quot;suffix&quot;:&quot;&quot;},{&quot;dropping-particle&quot;:&quot;&quot;,&quot;family&quot;:&quot;Neubert&quot;,&quot;given&quot;:&quot;Antje&quot;,&quot;non-dropping-particle&quot;:&quot;&quot;,&quot;parse-names&quot;:false,&quot;suffix&quot;:&quot;&quot;},{&quot;dropping-particle&quot;:&quot;&quot;,&quot;family&quot;:&quot;Sonuga-Barke&quot;,&quot;given&quot;:&quot;Edmund J.S.&quot;,&quot;non-dropping-particle&quot;:&quot;&quot;,&quot;parse-names&quot;:false,&quot;suffix&quot;:&quot;&quot;},{&quot;dropping-particle&quot;:&quot;&quot;,&quot;family&quot;:&quot;Zuddas&quot;,&quot;given&quot;:&quot;Alessandro&quot;,&quot;non-dropping-particle&quot;:&quot;&quot;,&quot;parse-names&quot;:false,&quot;suffix&quot;:&quot;&quot;}],&quot;container-title&quot;:&quot;European Neuropsychopharmacology&quot;,&quot;id&quot;:&quot;3123d827-c585-5e6a-85cb-21fa27fe6f88&quot;,&quot;issue&quot;:&quot;July&quot;,&quot;issued&quot;:{&quot;date-parts&quot;:[[&quot;2022&quot;]]},&quot;page&quot;:&quot;63-71&quot;,&quot;publisher&quot;:&quot;Elsevier B.V.&quot;,&quot;title&quot;:&quot;Long-term methylphenidate exposure and 24-hours blood pressure and left ventricular mass in adolescents and young adults with attention deficit hyperactivity disorder&quot;,&quot;type&quot;:&quot;article-journal&quot;,&quot;volume&quot;:&quot;64&quot;,&quot;container-title-short&quot;:&quot;&quot;},&quot;uris&quot;:[&quot;http://www.mendeley.com/documents/?uuid=1cb9a79b-5946-4cac-a47a-f6d4fae72daa&quot;],&quot;isTemporary&quot;:false,&quot;legacyDesktopId&quot;:&quot;1cb9a79b-5946-4cac-a47a-f6d4fae72daa&quot;},{&quot;id&quot;:&quot;9d5b669a-4e6e-5991-a605-f973257db3d6&quot;,&quot;itemData&quot;:{&quot;DOI&quot;:&quot;10.1155/2013/419208&quot;,&quot;ISSN&quot;:&quot;20900384&quot;,&quot;abstract&quot;:&quot;Childhood hypertension's increasing prevalence has generally been linked to the obesity epidemic. We observed that a significant proportion of children referred to our pediatric center with documented office hypertension are nonobese and have a history of attention deficit hyperactivity disorder (ADHD). To define the extent of this anecdotal observation, we performed a retrospective analysis of ambulatory blood pressure monitoring (ABPM) tests which in our center are routinely performed in newly referred children suspected of hypertension. Twenty-one percent (48 of 227 new referrals) had a history of ADHD, and 81% of them were treated with psychostimulant medications at the time of their ABPM test. Children in this group had a significantly lower average BMI z-score compared with the rest of the children (0.18 versus 0.75) and were significantly more likely to have abnormally elevated wake systolic loads on ABPM (38% versus 4%). The overall proportion of children with any abnormality on ABPM was comparable in both groups (46% versus 40%). Conclusion. A significant proportion of children suspected of hypertension have ADHD which may be related to higher wake systolic BP values. The prevalence of hypertension among children with ADHD will have to be determined in prospective studies. © 2013 Silviu Grisaru et al.&quot;,&quot;author&quot;:[{&quot;dropping-particle&quot;:&quot;&quot;,&quot;family&quot;:&quot;Grisaru&quot;,&quot;given&quot;:&quot;Silviu&quot;,&quot;non-dropping-particle&quot;:&quot;&quot;,&quot;parse-names&quot;:false,&quot;suffix&quot;:&quot;&quot;},{&quot;dropping-particle&quot;:&quot;&quot;,&quot;family&quot;:&quot;Yue&quot;,&quot;given&quot;:&quot;Melissa W.&quot;,&quot;non-dropping-particle&quot;:&quot;&quot;,&quot;parse-names&quot;:false,&quot;suffix&quot;:&quot;&quot;},{&quot;dropping-particle&quot;:&quot;&quot;,&quot;family&quot;:&quot;Mah&quot;,&quot;given&quot;:&quot;Justin C.&quot;,&quot;non-dropping-particle&quot;:&quot;&quot;,&quot;parse-names&quot;:false,&quot;suffix&quot;:&quot;&quot;},{&quot;dropping-particle&quot;:&quot;&quot;,&quot;family&quot;:&quot;Hamiwka&quot;,&quot;given&quot;:&quot;Lorraine A.&quot;,&quot;non-dropping-particle&quot;:&quot;&quot;,&quot;parse-names&quot;:false,&quot;suffix&quot;:&quot;&quot;}],&quot;container-title&quot;:&quot;International Journal of Hypertension&quot;,&quot;id&quot;:&quot;9d5b669a-4e6e-5991-a605-f973257db3d6&quot;,&quot;issued&quot;:{&quot;date-parts&quot;:[[&quot;2013&quot;]]},&quot;title&quot;:&quot;Ambulatory blood pressure monitoring in a cohort of children referred with suspected hypertension: Characteristics of children with and without attention deficit hyperactivity disorder&quot;,&quot;type&quot;:&quot;article-journal&quot;,&quot;volume&quot;:&quot;2013&quot;,&quot;container-title-short&quot;:&quot;Int. J. Hypertens.&quot;},&quot;uris&quot;:[&quot;http://www.mendeley.com/documents/?uuid=4dc8a8f5-6362-4bd5-a056-bbdda77ee443&quot;],&quot;isTemporary&quot;:false,&quot;legacyDesktopId&quot;:&quot;4dc8a8f5-6362-4bd5-a056-bbdda77ee443&quot;}]},{&quot;citationID&quot;:&quot;MENDELEY_CITATION_af40bc15-0d06-46fb-86d4-323c532775ee&quot;,&quot;properties&quot;:{&quot;noteIndex&quot;:0},&quot;isEdited&quot;:false,&quot;manualOverride&quot;:{&quot;citeprocText&quot;:&quot;[438,463]&quot;,&quot;isManuallyOverridden&quot;:false,&quot;manualOverrideText&quot;:&quot;&quot;},&quot;citationTag&quot;:&quot;MENDELEY_CITATION_v3_eyJjaXRhdGlvbklEIjoiTUVOREVMRVlfQ0lUQVRJT05fYWY0MGJjMTUtMGQwNi00NmZiLTg2ZDQtMzIzYzUzMjc3NWVlIiwicHJvcGVydGllcyI6eyJub3RlSW5kZXgiOjB9LCJpc0VkaXRlZCI6ZmFsc2UsIm1hbnVhbE92ZXJyaWRlIjp7ImNpdGVwcm9jVGV4dCI6Ils0MzgsNDYzXSIsImlzTWFudWFsbHlPdmVycmlkZGVuIjpmYWxzZSwibWFudWFsT3ZlcnJpZGVUZXh0IjoiIn0sImNpdGF0aW9uSXRlbXMiOlt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&quot;,&quot;citationItems&quot;:[{&quot;id&quot;:&quot;ea036328-ce3a-5897-af16-bcdd72e4cef6&quot;,&quot;itemData&quot;:{&quot;DOI&quot;:&quot;10.1038/hr.2016.74&quot;,&quot;ISSN&quot;:&quot;13484214&quot;,&quot;PMID&quot;:&quot;27334063&quot;,&quot;abstract&quot;:&quot;The independent prognostic significance of circadian blood pressure (BP) changes is unclear. We investigated the association between circadian BP changes and cardiovascular risk among elderly-treated hypertensive patients. The occurrence of a composite end point (that is, stroke, coronary events, heart failure and peripheral revascularization) was evaluated among 1191 elderly-treated hypertensive patients (age range 60-90 years). According to the nighttime change and the morning surge (MS) of systolic BP, subjects were divided into groups of dippers with a normal or high MS (DNMS and DHMS, respectively), non-dippers (ND), reverse dippers (RD) and extreme dippers with a normal or high MS (EDNMS and EDHMS, respectively). During the follow-up (9.1± 4.9 years, range 0.4-20 years), 392 events occurred. The event rate was 3.63 per 100 patient-years. After adjustment for various covariates, including 24-h BP, the DHMS (hazard ratio (HR) 1.49, 95% confidence interval (CI) 1.02-2.16, P=0.04), ND (HR 1.71, 95% CI 1.28-2.27, P=0.0001), RD (HR 2.05, 95% CI 1.44-2.93, P=0.0001) and EDHMS (HR 3.40, 95% CI 1.96-5.90, P=0.001) were at higher cardiovascular risk than the DNMS. The population attributable risk was 0.6, 7.1, 7.3 and 1.4% for the DHMS, ND, RD and EDHMS, respectively. In elderly-treated hypertensive patients, circadian BP changes were independently associated with increased cardiovascular risk. At the patient level, the highest risk was observed among the EDHMS, followed by the RD, ND and DHMS. At the population level, the highest risk was observed among the RD, followed by the ND, EDHMS and DHMS.&quot;,&quot;author&quot;:[{&quot;dropping-particle&quot;:&quot;&quot;,&quot;family&quot;:&quot;Pierdomenico&quot;,&quot;given&quot;:&quot;Sante D.&quot;,&quot;non-dropping-particle&quot;:&quot;&quot;,&quot;parse-names&quot;:false,&quot;suffix&quot;:&quot;&quot;},{&quot;dropping-particle&quot;:&quot;&quot;,&quot;family&quot;:&quot;Pierdomenico&quot;,&quot;given&quot;:&quot;Anna M.&quot;,&quot;non-dropping-particle&quot;:&quot;&quot;,&quot;parse-names&quot;:false,&quot;suffix&quot;:&quot;&quot;},{&quot;dropping-particle&quot;:&quot;&quot;,&quot;family&quot;:&quot;Coccina&quot;,&quot;given&quot;:&quot;Francesca&quot;,&quot;non-dropping-particle&quot;:&quot;&quot;,&quot;parse-names&quot;:false,&quot;suffix&quot;:&quot;&quot;},{&quot;dropping-particle&quot;:&quot;&quot;,&quot;family&quot;:&quot;Lapenna&quot;,&quot;given&quot;:&quot;Domenico&quot;,&quot;non-dropping-particle&quot;:&quot;&quot;,&quot;parse-names&quot;:false,&quot;suffix&quot;:&quot;&quot;},{&quot;dropping-particle&quot;:&quot;&quot;,&quot;family&quot;:&quot;Porreca&quot;,&quot;given&quot;:&quot;Ettore&quot;,&quot;non-dropping-particle&quot;:&quot;&quot;,&quot;parse-names&quot;:false,&quot;suffix&quot;:&quot;&quot;}],&quot;container-title&quot;:&quot;Hypertension Research&quot;,&quot;id&quot;:&quot;ea036328-ce3a-5897-af16-bcdd72e4cef6&quot;,&quot;issue&quot;:&quot;11&quot;,&quot;issued&quot;:{&quot;date-parts&quot;:[[&quot;2016&quot;]]},&quot;page&quot;:&quot;805-811&quot;,&quot;publisher&quot;:&quot;Nature Publishing Group&quot;,&quot;title&quot;:&quot;Circadian blood pressure changes and cardiovascular risk in elderly-treated hypertensive patients&quot;,&quot;type&quot;:&quot;article-journal&quot;,&quot;volume&quot;:&quot;39&quot;,&quot;container-title-short&quot;:&quot;&quot;},&quot;uris&quot;:[&quot;http://www.mendeley.com/documents/?uuid=10db3c58-8077-4e08-9cad-e37e14b9a551&quot;],&quot;isTemporary&quot;:false,&quot;legacyDesktopId&quot;:&quot;10db3c58-8077-4e08-9cad-e37e14b9a551&quot;},{&quot;id&quot;:&quot;1b7cc367-c4a5-59fd-84fa-a2f50209504c&quot;,&quot;itemData&quot;:{&quot;DOI&quot;:&quot;10.3389/fendo.2023.1083179&quot;,&quot;ISSN&quot;:&quot;1664-2392&quot;,&quot;abstract&quot;:&quot;Objective: Impairment of circadian blood pressure (BP) patterns has been associated with cardiovascular risks and events in individuals with hypertension and in general populations, which are more likely to be found in obstructive sleep apnea (OSA). The aim of this study was to investigate the association of non-dipping BP pattern with new-onset diabetes in hypertensive patients with OSA, based on Urumqi Research on Sleep Apnea and Hypertension (UROSAH) data. Materials and methods: This retrospective cohort study included 1841 hypertensive patients at least 18 years of age, who were diagnosed with OSA without baseline diabetes and had adequate ambulatory blood pressure monitoring (ABPM) data at enrollment. The exposure of interest for the present study was the circadian BP patterns, including non-dipping and dipping BP pattern, and the study outcome was defined as the time from baseline to new-onset diabetes. The associations between circadian BP patterns and new-onset diabetes were assessed using Cox proportional hazard models. Results: Among 1841 participants (mean age: 48.8 ± 10.5 years, 69.1% male), during the total follow-up of 12172 person-years with a median follow-up of 6.9 (inter quartile range: 6.0-8.0) years, 217 participants developed new-onset diabetes with an incidence rate of 17.8 per 1000 person-years. The proportion of non-dippers and dippers at enrollment in this cohort was 58.8% and 41.2%, respectively. Non-dippers were associated with higher risk of new-onset diabetes compared with dippers (full adjusted hazard ratio [HR]=1.53, 95% confidence interval [CI]: 1.14-2.06, P=0.005). Multiple subgroup and sensitivity analyses yielded similar results. We further explored the association of systolic and diastolic BP patterns with new-onset diabetes separately, and found that diastolic BP non-dippers were associated with higher risk of new-onset diabetes (full adjusted HR=1.54, 95% CI: 1.12-2.10, P=0.008), whereas for systolic BP non-dippers, the association was nonsignificant after adjusted the confounding covariates (full adjusted HR=1.35, 95% CI: 0.98-1.86, P=0.070). Conclusions: Non-dipping BP pattern is associated with an approximately 1.5-fold higher risk of new-onset diabetes in hypertensive patients with OSA, suggesting that non-dipping BP pattern may be an important clinical implication for the early prevention of diabetes in hypertensive patients with OSA.&quot;,&quot;author&quot;:[{&quot;dropping-particle&quot;:&quot;&quot;,&quot;family&quot;:&quot;Luo&quot;,&quot;given&quot;:&quot;Qin&quot;,&quot;non-dropping-particle&quot;:&quot;&quot;,&quot;parse-names&quot;:false,&quot;suffix&quot;:&quot;&quot;},{&quot;dropping-particle&quot;:&quot;&quot;,&quot;family&quot;:&quot;Li&quot;,&quot;given&quot;:&quot;Nanfang&quot;,&quot;non-dropping-particle&quot;:&quot;&quot;,&quot;parse-names&quot;:false,&quot;suffix&quot;:&quot;&quot;},{&quot;dropping-particle&quot;:&quot;&quot;,&quot;family&quot;:&quot;Zhu&quot;,&quot;given&quot;:&quot;Qing&quot;,&quot;non-dropping-particle&quot;:&quot;&quot;,&quot;parse-names&quot;:false,&quot;suffix&quot;:&quot;&quot;},{&quot;dropping-particle&quot;:&quot;&quot;,&quot;family&quot;:&quot;Yao&quot;,&quot;given&quot;:&quot;Xiaoguang&quot;,&quot;non-dropping-particle&quot;:&quot;&quot;,&quot;parse-names&quot;:false,&quot;suffix&quot;:&quot;&quot;},{&quot;dropping-particle&quot;:&quot;&quot;,&quot;family&quot;:&quot;Wang&quot;,&quot;given&quot;:&quot;Menghui&quot;,&quot;non-dropping-particle&quot;:&quot;&quot;,&quot;parse-names&quot;:false,&quot;suffix&quot;:&quot;&quot;},{&quot;dropping-particle&quot;:&quot;&quot;,&quot;family&quot;:&quot;Heizhati&quot;,&quot;given&quot;:&quot;Mulalibieke&quot;,&quot;non-dropping-particle&quot;:&quot;&quot;,&quot;parse-names&quot;:false,&quot;suffix&quot;:&quot;&quot;},{&quot;dropping-particle&quot;:&quot;&quot;,&quot;family&quot;:&quot;Cai&quot;,&quot;given&quot;:&quot;Xintian&quot;,&quot;non-dropping-particle&quot;:&quot;&quot;,&quot;parse-names&quot;:false,&quot;suffix&quot;:&quot;&quot;},{&quot;dropping-particle&quot;:&quot;&quot;,&quot;family&quot;:&quot;Hu&quot;,&quot;given&quot;:&quot;Junli&quot;,&quot;non-dropping-particle&quot;:&quot;&quot;,&quot;parse-names&quot;:false,&quot;suffix&quot;:&quot;&quot;},{&quot;dropping-particle&quot;:&quot;&quot;,&quot;family&quot;:&quot;Abulimiti&quot;,&quot;given&quot;:&quot;Ayinigeer&quot;,&quot;non-dropping-particle&quot;:&quot;&quot;,&quot;parse-names&quot;:false,&quot;suffix&quot;:&quot;&quot;},{&quot;dropping-particle&quot;:&quot;&quot;,&quot;family&quot;:&quot;Yao&quot;,&quot;given&quot;:&quot;Ling&quot;,&quot;non-dropping-particle&quot;:&quot;&quot;,&quot;parse-names&quot;:false,&quot;suffix&quot;:&quot;&quot;},{&quot;dropping-particle&quot;:&quot;&quot;,&quot;family&quot;:&quot;Li&quot;,&quot;given&quot;:&quot;Xiufang&quot;,&quot;non-dropping-particle&quot;:&quot;&quot;,&quot;parse-names&quot;:false,&quot;suffix&quot;:&quot;&quot;},{&quot;dropping-particle&quot;:&quot;&quot;,&quot;family&quot;:&quot;Gan&quot;,&quot;given&quot;:&quot;Lin&quot;,&quot;non-dropping-particle&quot;:&quot;&quot;,&quot;parse-names&quot;:false,&quot;suffix&quot;:&quot;&quot;}],&quot;container-title&quot;:&quot;Frontiers in Endocrinology&quot;,&quot;id&quot;:&quot;1b7cc367-c4a5-59fd-84fa-a2f50209504c&quot;,&quot;issue&quot;:&quot;February&quot;,&quot;issued&quot;:{&quot;date-parts&quot;:[[&quot;2023&quot;,&quot;2&quot;,&quot;16&quot;]]},&quot;page&quot;:&quot;1-13&quot;,&quot;title&quot;:&quot;Non-dipping blood pressure pattern is associated with higher risk of new-onset diabetes in hypertensive patients with obstructive sleep apnea: UROSAH data&quot;,&quot;type&quot;:&quot;article-journal&quot;,&quot;volume&quot;:&quot;14&quot;,&quot;container-title-short&quot;:&quot;Front. Endocrinol. (Lausanne).&quot;},&quot;uris&quot;:[&quot;http://www.mendeley.com/documents/?uuid=34b5136d-9bd8-45b5-9197-614c8fd820cc&quot;],&quot;isTemporary&quot;:false,&quot;legacyDesktopId&quot;:&quot;34b5136d-9bd8-45b5-9197-614c8fd820cc&quot;}]},{&quot;citationID&quot;:&quot;MENDELEY_CITATION_f9a04520-5a80-4ccb-b687-879beaf87c7a&quot;,&quot;properties&quot;:{&quot;noteIndex&quot;:0},&quot;isEdited&quot;:false,&quot;manualOverride&quot;:{&quot;citeprocText&quot;:&quot;[446]&quot;,&quot;isManuallyOverridden&quot;:false,&quot;manualOverrideText&quot;:&quot;&quot;},&quot;citationTag&quot;:&quot;MENDELEY_CITATION_v3_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&quot;,&quot;citationItems&quot;:[{&quot;id&quot;:&quot;ca583387-ad21-5b0b-9742-596ab0eee826&quot;,&quot;itemData&quot;:{&quot;DOI&quot;:&quot;10.1186/s40885-023-00258-1&quot;,&quot;ISSN&quot;:&quot;2056-5909&quot;,&quot;PMID&quot;:&quot;38037153&quot;,&quot;abstract&quot;:&quot;Arterial stiffness and hypertension are closely related in pathophysiology. Chronic high blood pressure (BP) can lead to arterial wall damage by mechanical stress, endothelial dysfunction, increased inflammation, oxidative stress, and renin–angiotensin–aldosterone system (RAAS) activation. Hypertension also increases collagen fiber production and accelerates elastin fiber degradation. Stiffened arteries struggle with BP changes, raising systolic BP and pulse pressure. The resulting increased systolic pressure further hardens arteries, creating a harmful cycle of inflammation and calcification. Arterial stiffness data can predict target organ damage and future cardiovascular events in hypertensive patients. Thus, early detection of arterial stiffness aids in initiating preventive measures and treatment plans to protect against progression of vascular damage. While various methods exist for measuring arterial stiffness, pulse wave velocity is a non-invasive, simple measurement method that maximizes effectiveness. Healthy lifestyle changes, RAAS blockers, and statins are known to reduce arterial stiffness. Further research is needed to ascertain if improving arterial stiffness will enhance prognosis in hypertensive patients. Graphical Abstract: [Figure not available: see fulltext.].&quot;,&quot;author&quot;:[{&quot;dropping-particle&quot;:&quot;&quot;,&quot;family&quot;:&quot;Kim&quot;,&quot;given&quot;:&quot;Hack-Lyoung&quot;,&quot;non-dropping-particle&quot;:&quot;&quot;,&quot;parse-names&quot;:false,&quot;suffix&quot;:&quot;&quot;}],&quot;container-title&quot;:&quot;Clinical Hypertension&quot;,&quot;id&quot;:&quot;ca583387-ad21-5b0b-9742-596ab0eee826&quot;,&quot;issue&quot;:&quot;1&quot;,&quot;issued&quot;:{&quot;date-parts&quot;:[[&quot;2023&quot;]]},&quot;page&quot;:&quot;1-9&quot;,&quot;publisher&quot;:&quot;BioMed Central&quot;,&quot;title&quot;:&quot;Arterial stiffness and hypertension&quot;,&quot;type&quot;:&quot;article-journal&quot;,&quot;volume&quot;:&quot;29&quot;,&quot;container-title-short&quot;:&quot;Clin. Hypertens.&quot;},&quot;uris&quot;:[&quot;http://www.mendeley.com/documents/?uuid=a818290c-859a-464c-a1f0-34de39d2ee81&quot;],&quot;isTemporary&quot;:false,&quot;legacyDesktopId&quot;:&quot;a818290c-859a-464c-a1f0-34de39d2ee81&quot;}]},{&quot;citationID&quot;:&quot;MENDELEY_CITATION_f25e64c3-411d-4e4f-b24d-a666e85dfce5&quot;,&quot;properties&quot;:{&quot;noteIndex&quot;:0},&quot;isEdited&quot;:false,&quot;manualOverride&quot;:{&quot;citeprocText&quot;:&quot;[407]&quot;,&quot;isManuallyOverridden&quot;:false,&quot;manualOverrideText&quot;:&quot;&quot;},&quot;citationTag&quot;:&quot;MENDELEY_CITATION_v3_eyJjaXRhdGlvbklEIjoiTUVOREVMRVlfQ0lUQVRJT05fZjI1ZTY0YzMtNDExZC00ZTRmLWIyNGQtYTY2NmU4NWRmY2U1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cd58e3f6-f309-4414-b43c-8f1848b99c8c&quot;,&quot;properties&quot;:{&quot;noteIndex&quot;:0},&quot;isEdited&quot;:false,&quot;manualOverride&quot;:{&quot;citeprocText&quot;:&quot;[464]&quot;,&quot;isManuallyOverridden&quot;:false,&quot;manualOverrideText&quot;:&quot;&quot;},&quot;citationTag&quot;:&quot;MENDELEY_CITATION_v3_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&quot;,&quot;citationItems&quot;:[{&quot;id&quot;:&quot;11ca9b27-a4b9-5f06-a816-ca028e5788eb&quot;,&quot;itemData&quot;:{&quot;DOI&quot;:&quot;10.1016/j.measurement.2020.108845&quot;,&quot;ISSN&quot;:&quot;02632241&quot;,&quot;abstract&quot;:&quot;Blood pressure (BP) measurement is very important and crucial parameter for monitoring, controlling and treatment of human health conditions. Measurement of BP is performed using variety of instruments. Out of these, (i) mechanical or mercury manometers and (ii) oscillometric digital sphygmomanometers, are the most commonly used devices. Although, the international recommendations (OIML R16-2) for the automatic BP measuring instrument is available, there is no uniform international standard or method of calibration available. In this paper, a terse review of different types of BP measuring techniques and devices, commercially available is presented along with some related important historical developments. A concise and consolidated report of the several existing methods of BP device calibration being used at various National Metrology Institutes (NMIs) and other leading research groups is also included. This would open new lines for the future researchers to standardise a uniform and acceptable calibration method for these devices which is need of the hour.&quot;,&quot;author&quot;:[{&quot;dropping-particle&quot;:&quot;&quot;,&quot;family&quot;:&quot;Kumar&quot;,&quot;given&quot;:&quot;Rahul&quot;,&quot;non-dropping-particle&quot;:&quot;&quot;,&quot;parse-names&quot;:false,&quot;suffix&quot;:&quot;&quot;},{&quot;dropping-particle&quot;:&quot;&quot;,&quot;family&quot;:&quot;Dubey&quot;,&quot;given&quot;:&quot;P. K.&quot;,&quot;non-dropping-particle&quot;:&quot;&quot;,&quot;parse-names&quot;:false,&quot;suffix&quot;:&quot;&quot;},{&quot;dropping-particle&quot;:&quot;&quot;,&quot;family&quot;:&quot;Zafer&quot;,&quot;given&quot;:&quot;Afaqul&quot;,&quot;non-dropping-particle&quot;:&quot;&quot;,&quot;parse-names&quot;:false,&quot;suffix&quot;:&quot;&quot;},{&quot;dropping-particle&quot;:&quot;&quot;,&quot;family&quot;:&quot;Kumar&quot;,&quot;given&quot;:&quot;Ashok&quot;,&quot;non-dropping-particle&quot;:&quot;&quot;,&quot;parse-names&quot;:false,&quot;suffix&quot;:&quot;&quot;},{&quot;dropping-particle&quot;:&quot;&quot;,&quot;family&quot;:&quot;Yadav&quot;,&quot;given&quot;:&quot;Sanjay&quot;,&quot;non-dropping-particle&quot;:&quot;&quot;,&quot;parse-names&quot;:false,&quot;suffix&quot;:&quot;&quot;}],&quot;container-title&quot;:&quot;Measurement: Journal of the International Measurement Confederation&quot;,&quot;id&quot;:&quot;11ca9b27-a4b9-5f06-a816-ca028e5788eb&quot;,&quot;issue&quot;:&quot;November 2020&quot;,&quot;issued&quot;:{&quot;date-parts&quot;:[[&quot;2021&quot;]]},&quot;page&quot;:&quot;108845&quot;,&quot;publisher&quot;:&quot;Elsevier Ltd&quot;,&quot;title&quot;:&quot;Past, present and future of blood pressure measuring instruments and their calibration&quot;,&quot;type&quot;:&quot;article-journal&quot;,&quot;volume&quot;:&quot;172&quot;,&quot;container-title-short&quot;:&quot;Measurement (Lond).&quot;},&quot;uris&quot;:[&quot;http://www.mendeley.com/documents/?uuid=d52989df-e588-4c2b-8dc1-70501d28e85c&quot;],&quot;isTemporary&quot;:false,&quot;legacyDesktopId&quot;:&quot;d52989df-e588-4c2b-8dc1-70501d28e85c&quot;}]},{&quot;citationID&quot;:&quot;MENDELEY_CITATION_ecd00832-d975-4386-b291-c34664cb1972&quot;,&quot;properties&quot;:{&quot;noteIndex&quot;:0},&quot;isEdited&quot;:false,&quot;manualOverride&quot;:{&quot;citeprocText&quot;:&quot;[465]&quot;,&quot;isManuallyOverridden&quot;:false,&quot;manualOverrideText&quot;:&quot;&quot;},&quot;citationTag&quot;:&quot;MENDELEY_CITATION_v3_eyJjaXRhdGlvbklEIjoiTUVOREVMRVlfQ0lUQVRJT05fZWNkMDA4MzItZDk3NS00Mzg2LWIyOTEtYzM0NjY0Y2IxOTcyIiwicHJvcGVydGllcyI6eyJub3RlSW5kZXgiOjB9LCJpc0VkaXRlZCI6ZmFsc2UsIm1hbnVhbE92ZXJyaWRlIjp7ImNpdGVwcm9jVGV4dCI6Ils0NjVd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quot;,&quot;citationItems&quot;:[{&quot;id&quot;:&quot;b3ba64f7-3980-54ea-8a47-1871d61c5e74&quot;,&quot;itemData&quot;:{&quot;DOI&quot;:&quot;10.2345/9781570207228.ch1&quot;,&quot;abstract&quot;:&quot;This document specifies the requirements and methods for the clinical investigation of me equipment used for the intermittent non-invasive automated estimation of the arterial blood pressure by utilizing a cuff. This document is applicable to all sphygmomanometers that sense or display pulsations, flow or sounds for the estimation, display or recording of blood pressure. These sphygmomanometers need not have automatic cuff inflation. This document covers sphygmomanometers intended for use in all patient populations (e.g. all age and weight ranges), and all conditions of use (e.g. ambulatory blood pressure monitoring, stress testing blood pressure monitoring and blood pressure monitors for the home healthcare environment for self-measurement as well as use in a professional healthcare facility). EXAMPLE Automated sphygmomanometer as given in IEC 80601-2-30 undergoing clinical investigation according to this document. This document specifies additional disclosure requirements for the accompanying documents of sphygmomanometers that have passed a clinical investigation according to this document. This document is not applicable to clinical investigations of non-automated sphygmomanometers as given in ISO 81060-1 or invasive blood pressure monitoring equipment as given in IEC 60601-2-34. This document is not applicable to clinical investigations of a set of cuffs that are not of same materials and construction. Each type of cuff set is required to be evaluated separately according to this document.&quot;,&quot;author&quot;:[{&quot;dropping-particle&quot;:&quot;&quot;,&quot;family&quot;:&quot;ISO&quot;,&quot;given&quot;:&quot;&quot;,&quot;non-dropping-particle&quot;:&quot;&quot;,&quot;parse-names&quot;:false,&quot;suffix&quot;:&quot;&quot;}],&quot;id&quot;:&quot;b3ba64f7-3980-54ea-8a47-1871d61c5e74&quot;,&quot;issued&quot;:{&quot;date-parts&quot;:[[&quot;2019&quot;,&quot;3&quot;,&quot;22&quot;]]},&quot;publisher&quot;:&quot;AAMI&quot;,&quot;title&quot;:&quot;Non-invasive sphygmomanometers—Part 2: Clinical investigation of the intermittent automated measurement type&quot;,&quot;type&quot;:&quot;legislation&quot;,&quot;volume&quot;:&quot;2018&quot;,&quot;container-title-short&quot;:&quot;&quot;},&quot;uris&quot;:[&quot;http://www.mendeley.com/documents/?uuid=27debab0-a882-4e1d-8842-b0f7cd275efb&quot;],&quot;isTemporary&quot;:false,&quot;legacyDesktopId&quot;:&quot;27debab0-a882-4e1d-8842-b0f7cd275efb&quot;}]},{&quot;citationID&quot;:&quot;MENDELEY_CITATION_aa672ad5-d501-43a3-b4d0-275729861b41&quot;,&quot;properties&quot;:{&quot;noteIndex&quot;:0},&quot;isEdited&quot;:false,&quot;manualOverride&quot;:{&quot;citeprocText&quot;:&quot;[466]&quot;,&quot;isManuallyOverridden&quot;:false,&quot;manualOverrideText&quot;:&quot;&quot;},&quot;citationTag&quot;:&quot;MENDELEY_CITATION_v3_eyJjaXRhdGlvbklEIjoiTUVOREVMRVlfQ0lUQVRJT05fYWE2NzJhZDUtZDUwMS00M2EzLWI0ZDAtMjc1NzI5ODYxYjQxIiwicHJvcGVydGllcyI6eyJub3RlSW5kZXgiOjB9LCJpc0VkaXRlZCI6ZmFsc2UsIm1hbnVhbE92ZXJyaWRlIjp7ImNpdGVwcm9jVGV4dCI6Ils0NjZd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quot;,&quot;citationItems&quot;:[{&quot;id&quot;:&quot;af4bfda3-1a4f-5cb9-acde-60bf07f27842&quot;,&quot;itemData&quot;:{&quot;DOI&quot;:&quot;10.1161/HYPERTENSIONAHA.117.10237&quot;,&quot;ISSN&quot;:&quot;15244563&quot;,&quot;PMID&quot;:&quot;29386350&quot;,&quot;abstract&quot;:&quot;In the past 30 years, several organizations, such as the US Association for the Advancement of Medical Instrumentation (AAMI), the British Hypertension Society, the European Society of Hypertension (ESH) Working Group on Blood Pressure (BP) Monitoring, and the International Organization for Standardization (ISO), have developed protocols for clinical validation of BP measuring devices. However, it is recognized that science, as well as patients, consumers, and manufacturers, would be best served if all BP measuring devices were assessed for accuracy according to an agreed single validation protocol that had global acceptance. Therefore, an international initiative was taken by the AAMI, ESH, and ISO experts who agreed to develop a universal standard for device validation. This statement presents the key aspects of a validation procedure, which were agreed by the AAMI, ESH, and ISO representatives as the basis for a single universal validation protocol. As soon as the AAMI/ESH/ISO standard is fully developed, this will be regarded as the single universal standard and will replace all other previous standards/protocols.&quot;,&quot;author&quot;:[{&quot;dropping-particle&quot;:&quot;&quot;,&quot;family&quot;:&quot;Stergiou&quot;,&quot;given&quot;:&quot;George S.&quot;,&quot;non-dropping-particle&quot;:&quot;&quot;,&quot;parse-names&quot;:false,&quot;suffix&quot;:&quot;&quot;},{&quot;dropping-particle&quot;:&quot;&quot;,&quot;family&quot;:&quot;Alpert&quot;,&quot;given&quot;:&quot;Bruce&quot;,&quot;non-dropping-particle&quot;:&quot;&quot;,&quot;parse-names&quot;:false,&quot;suffix&quot;:&quot;&quot;},{&quot;dropping-particle&quot;:&quot;&quot;,&quot;family&quot;:&quot;Mieke&quot;,&quot;given&quot;:&quot;Stephan&quot;,&quot;non-dropping-particle&quot;:&quot;&quot;,&quot;parse-names&quot;:false,&quot;suffix&quot;:&quot;&quot;},{&quot;dropping-particle&quot;:&quot;&quot;,&quot;family&quot;:&quot;Asmar&quot;,&quot;given&quot;:&quot;Roland&quot;,&quot;non-dropping-particle&quot;:&quot;&quot;,&quot;parse-names&quot;:false,&quot;suffix&quot;:&quot;&quot;},{&quot;dropping-particle&quot;:&quot;&quot;,&quot;family&quot;:&quot;Atkins&quot;,&quot;given&quot;:&quot;Neil&quot;,&quot;non-dropping-particle&quot;:&quot;&quot;,&quot;parse-names&quot;:false,&quot;suffix&quot;:&quot;&quot;},{&quot;dropping-particle&quot;:&quot;&quot;,&quot;family&quot;:&quot;Eckert&quot;,&quot;given&quot;:&quot;Siegfried&quot;,&quot;non-dropping-particle&quot;:&quot;&quot;,&quot;parse-names&quot;:false,&quot;suffix&quot;:&quot;&quot;},{&quot;dropping-particle&quot;:&quot;&quot;,&quot;family&quot;:&quot;Frick&quot;,&quot;given&quot;:&quot;Gerhard&quot;,&quot;non-dropping-particle&quot;:&quot;&quot;,&quot;parse-names&quot;:false,&quot;suffix&quot;:&quot;&quot;},{&quot;dropping-particle&quot;:&quot;&quot;,&quot;family&quot;:&quot;Friedman&quot;,&quot;given&quot;:&quot;Bruce&quot;,&quot;non-dropping-particle&quot;:&quot;&quot;,&quot;parse-names&quot;:false,&quot;suffix&quot;:&quot;&quot;},{&quot;dropping-particle&quot;:&quot;&quot;,&quot;family&quot;:&quot;Graßl&quot;,&quot;given&quot;:&quot;Thomas&quot;,&quot;non-dropping-particle&quot;:&quot;&quot;,&quot;parse-names&quot;:false,&quot;suffix&quot;:&quot;&quot;},{&quot;dropping-particle&quot;:&quot;&quot;,&quot;family&quot;:&quot;Ichikawa&quot;,&quot;given&quot;:&quot;Tsutomu&quot;,&quot;non-dropping-particle&quot;:&quot;&quot;,&quot;parse-names&quot;:false,&quot;suffix&quot;:&quot;&quot;},{&quot;dropping-particle&quot;:&quot;&quot;,&quot;family&quot;:&quot;Ioannidis&quot;,&quot;given&quot;:&quot;John P.&quot;,&quot;non-dropping-particle&quot;:&quot;&quot;,&quot;parse-names&quot;:false,&quot;suffix&quot;:&quot;&quot;},{&quot;dropping-particle&quot;:&quot;&quot;,&quot;family&quot;:&quot;Lacy&quot;,&quot;given&quot;:&quot;Peter&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Murray&quot;,&quot;given&quot;:&quot;Alan&quot;,&quot;non-dropping-particle&quot;:&quot;&quot;,&quot;parse-names&quot;:false,&quot;suffix&quot;:&quot;&quot;},{&quot;dropping-particle&quot;:&quot;&quot;,&quot;family&quot;:&quot;Myers&quot;,&quot;given&quot;:&quot;Martin&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Quinn&quot;,&quot;given&quot;:&quot;David&quot;,&quot;non-dropping-particle&quot;:&quot;&quot;,&quot;parse-names&quot;:false,&quot;suffix&quot;:&quot;&quot;},{&quot;dropping-particle&quot;:&quot;&quot;,&quot;family&quot;:&quot;Sarkis&quot;,&quot;given&quot;:&quot;Josh&quot;,&quot;non-dropping-particle&quot;:&quot;&quot;,&quot;parse-names&quot;:false,&quot;suffix&quot;:&quot;&quot;},{&quot;dropping-particle&quot;:&quot;&quot;,&quot;family&quot;:&quot;Shennan&quot;,&quot;given&quot;:&quot;Andrew&quot;,&quot;non-dropping-particle&quot;:&quot;&quot;,&quot;parse-names&quot;:false,&quot;suffix&quot;:&quot;&quot;},{&quot;dropping-particle&quot;:&quot;&quot;,&quot;family&quot;:&quot;Usuda&quot;,&quot;given&quot;:&quot;Takashi&quot;,&quot;non-dropping-particle&quot;:&quot;&quot;,&quot;parse-names&quot;:false,&quot;suffix&quot;:&quot;&quot;},{&quot;dropping-particle&quot;:&quot;&quot;,&quot;family&quot;:&quot;Wang&quot;,&quot;given&quot;:&quot;Jiguang&quot;,&quot;non-dropping-particle&quot;:&quot;&quot;,&quot;parse-names&quot;:false,&quot;suffix&quot;:&quot;&quot;},{&quot;dropping-particle&quot;:&quot;&quot;,&quot;family&quot;:&quot;Wu&quot;,&quot;given&quot;:&quot;Colin O.&quot;,&quot;non-dropping-particle&quot;:&quot;&quot;,&quot;parse-names&quot;:false,&quot;suffix&quot;:&quot;&quot;},{&quot;dropping-particle&quot;:&quot;&quot;,&quot;family&quot;:&quot;O'Brien&quot;,&quot;given&quot;:&quot;Eoin&quot;,&quot;non-dropping-particle&quot;:&quot;&quot;,&quot;parse-names&quot;:false,&quot;suffix&quot;:&quot;&quot;}],&quot;container-title&quot;:&quot;Hypertension&quot;,&quot;id&quot;:&quot;af4bfda3-1a4f-5cb9-acde-60bf07f27842&quot;,&quot;issue&quot;:&quot;3&quot;,&quot;issued&quot;:{&quot;date-parts&quot;:[[&quot;2018&quot;]]},&quot;page&quot;:&quot;368-374&quot;,&quot;title&quot;:&quot;A universal standard for the validation of blood pressure measuring devices: Association for the Advancement of Medical Instrumentation/European Society of Hypertension/International Organization for Standardization (AAMI/ESH/ISO) Collaboration Statement&quot;,&quot;type&quot;:&quot;article-journal&quot;,&quot;volume&quot;:&quot;71&quot;,&quot;container-title-short&quot;:&quot;&quot;},&quot;uris&quot;:[&quot;http://www.mendeley.com/documents/?uuid=67192b83-2285-4bd7-8670-b32ced4dcaff&quot;],&quot;isTemporary&quot;:false,&quot;legacyDesktopId&quot;:&quot;67192b83-2285-4bd7-8670-b32ced4dcaff&quot;}]},{&quot;citationID&quot;:&quot;MENDELEY_CITATION_1f9bbecc-8b18-4595-af09-6803863d811d&quot;,&quot;properties&quot;:{&quot;noteIndex&quot;:0},&quot;isEdited&quot;:false,&quot;manualOverride&quot;:{&quot;citeprocText&quot;:&quot;[412,413,415]&quot;,&quot;isManuallyOverridden&quot;:false,&quot;manualOverrideText&quot;:&quot;&quot;},&quot;citationTag&quot;:&quot;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&quot;,&quot;citationItems&quot;:[{&quot;id&quot;:&quot;2d610581-4c26-54e8-bfed-01c04599975b&quot;,&quot;itemData&quot;:{&quot;DOI&quot;:&quot;10.1038/hr.2015.78&quot;,&quot;ISSN&quot;:&quot;0916-9636&quot;,&quot;PMID&quot;:&quot;26155750&quot;,&quot;author&quot;:[{&quot;dropping-particle&quot;:&quot;&quot;,&quot;family&quot;:&quot;Salvi&quot;,&quot;given&quot;:&quot;Paolo&quot;,&quot;non-dropping-particle&quot;:&quot;&quot;,&quot;parse-names&quot;:false,&quot;suffix&quot;:&quot;&quot;},{&quot;dropping-particle&quot;:&quot;&quot;,&quot;family&quot;:&quot;Grillo&quot;,&quot;given&quot;:&quot;Andrea&quot;,&quot;non-dropping-particle&quot;:&quot;&quot;,&quot;parse-names&quot;:false,&quot;suffix&quot;:&quot;&quot;},{&quot;dropping-particle&quot;:&quot;&quot;,&quot;family&quot;:&quot;Parati&quot;,&quot;given&quot;:&quot;Gianfranco&quot;,&quot;non-dropping-particle&quot;:&quot;&quot;,&quot;parse-names&quot;:false,&quot;suffix&quot;:&quot;&quot;}],&quot;container-title&quot;:&quot;Hypertension Research&quot;,&quot;id&quot;:&quot;2d610581-4c26-54e8-bfed-01c04599975b&quot;,&quot;issue&quot;:&quot;10&quot;,&quot;issued&quot;:{&quot;date-parts&quot;:[[&quot;2015&quot;,&quot;10&quot;,&quot;9&quot;]]},&quot;page&quot;:&quot;646-648&quot;,&quot;publisher&quot;:&quot;Nature Publishing Group&quot;,&quot;title&quot;:&quot;Noninvasive estimation of central blood pressure and analysis of pulse waves by applanation tonometry&quot;,&quot;type&quot;:&quot;article-journal&quot;,&quot;volume&quot;:&quot;38&quot;,&quot;container-title-short&quot;:&quot;&quot;},&quot;uris&quot;:[&quot;http://www.mendeley.com/documents/?uuid=18e79b24-031d-43a0-ba97-fb10a3ff0d76&quot;],&quot;isTemporary&quot;:false,&quot;legacyDesktopId&quot;:&quot;18e79b24-031d-43a0-ba97-fb10a3ff0d76&quot;},{&quot;id&quot;:&quot;4a0548da-5ade-5039-9daa-554a15c62420&quot;,&quot;itemData&quot;:{&quot;DOI&quot;:&quot;10.1016/j.bja.2020.03.013&quot;,&quot;ISBN&quot;:&quot;4201911926&quot;,&quot;ISSN&quot;:&quot;14716771&quot;,&quot;PMID&quot;:&quot;32475686&quot;,&quot;abstract&quot;:&quot;Background: Finger cuff technologies allow continuous noninvasive arterial blood pressure (AP) and cardiac output/index (CO/CI) monitoring. Methods: We performed a meta-analysis of studies comparing finger cuff-derived AP and CO/CI measurements with invasive measurements in surgical or critically ill patients. We calculated overall random effects model-derived pooled estimates of the mean of the differences and of the percentage error (PE; CO/CI studies) with 95%-confidence intervals (95%-CI), pooled 95%-limits of agreement (95%-LOA), Cochran's Q and I2 (for heterogeneity). Results: The pooled mean of the differences (95%-CI) was 4.2 (2.8 to 5.62) mm Hg with pooled 95%-LOA of –14.0 to 22.5 mm Hg for mean AP (Q=230.4 [P&lt;0.001], I2=91%). For mean AP, the mean of the differences between finger cuff technologies and the reference method was ≤5±8 mm Hg in 9/27 data sets (33%). The pooled mean of the differences (95%-CI) was –0.13 (–0.43 to 0.18) L min−1 with pooled 95%-LOA of –2.56 to 2.23 L min−1 for CO (Q=66.7 [P&lt;0.001], I2=90%) and 0.07 (0.01 to 0.13) L min−1 m−2 with pooled 95%-LOA of –1.20 to 1.15 L min−1 m−2 for CI (Q=5.8 [P=0.326], I2=0%). The overall random effects model-derived pooled estimate of the PE (95%-CI) was 43 (37 to 49)% (Q=48.6 [P&lt;0.001], I2=63%). In 4/19 data sets (21%) the PE was ≤30%, and in 10/19 data sets (53%) it was ≤45%. Conclusions: Study heterogeneity was high. Several studies showed interchangeability between AP and CO/CI measurements using finger cuff technologies and reference methods. However, the pooled results of this meta-analysis indicate that AP and CO/CI measurements using finger cuff technologies and reference methods are not interchangeable in surgical or critically ill patients. Clinical trial number: PROSPERO registration number: CRD42019119266.&quot;,&quot;author&quot;:[{&quot;dropping-particle&quot;:&quot;&quot;,&quot;family&quot;:&quot;Saugel&quot;,&quot;given&quot;:&quot;Bernd&quot;,&quot;non-dropping-particle&quot;:&quot;&quot;,&quot;parse-names&quot;:false,&quot;suffix&quot;:&quot;&quot;},{&quot;dropping-particle&quot;:&quot;&quot;,&quot;family&quot;:&quot;Hoppe&quot;,&quot;given&quot;:&quot;Phillip&quot;,&quot;non-dropping-particle&quot;:&quot;&quot;,&quot;parse-names&quot;:false,&quot;suffix&quot;:&quot;&quot;},{&quot;dropping-particle&quot;:&quot;&quot;,&quot;family&quot;:&quot;Nicklas&quot;,&quot;given&quot;:&quot;Julia Y.&quot;,&quot;non-dropping-particle&quot;:&quot;&quot;,&quot;parse-names&quot;:false,&quot;suffix&quot;:&quot;&quot;},{&quot;dropping-particle&quot;:&quot;&quot;,&quot;family&quot;:&quot;Kouz&quot;,&quot;given&quot;:&quot;Karim&quot;,&quot;non-dropping-particle&quot;:&quot;&quot;,&quot;parse-names&quot;:false,&quot;suffix&quot;:&quot;&quot;},{&quot;dropping-particle&quot;:&quot;&quot;,&quot;family&quot;:&quot;Körner&quot;,&quot;given&quot;:&quot;Annmarie&quot;,&quot;non-dropping-particle&quot;:&quot;&quot;,&quot;parse-names&quot;:false,&quot;suffix&quot;:&quot;&quot;},{&quot;dropping-particle&quot;:&quot;&quot;,&quot;family&quot;:&quot;Hempel&quot;,&quot;given&quot;:&quot;Julia C.&quot;,&quot;non-dropping-particle&quot;:&quot;&quot;,&quot;parse-names&quot;:false,&quot;suffix&quot;:&quot;&quot;},{&quot;dropping-particle&quot;:&quot;&quot;,&quot;family&quot;:&quot;Vos&quot;,&quot;given&quot;:&quot;Jaap J.&quot;,&quot;non-dropping-particle&quot;:&quot;&quot;,&quot;parse-names&quot;:false,&quot;suffix&quot;:&quot;&quot;},{&quot;dropping-particle&quot;:&quot;&quot;,&quot;family&quot;:&quot;Schön&quot;,&quot;given&quot;:&quot;Gerhard&quot;,&quot;non-dropping-particle&quot;:&quot;&quot;,&quot;parse-names&quot;:false,&quot;suffix&quot;:&quot;&quot;},{&quot;dropping-particle&quot;:&quot;&quot;,&quot;family&quot;:&quot;Scheeren&quot;,&quot;given&quot;:&quot;Thomas W.L.&quot;,&quot;non-dropping-particle&quot;:&quot;&quot;,&quot;parse-names&quot;:false,&quot;suffix&quot;:&quot;&quot;}],&quot;container-title&quot;:&quot;British Journal of Anaesthesia&quot;,&quot;id&quot;:&quot;4a0548da-5ade-5039-9daa-554a15c62420&quot;,&quot;issue&quot;:&quot;1&quot;,&quot;issued&quot;:{&quot;date-parts&quot;:[[&quot;2020&quot;]]},&quot;page&quot;:&quot;25-37&quot;,&quot;title&quot;:&quot;Continuous noninvasive pulse wave analysis using finger cuff technologies for arterial blood pressure and cardiac output monitoring in perioperative and intensive care medicine: a systematic review and meta-analysis&quot;,&quot;type&quot;:&quot;article-journal&quot;,&quot;volume&quot;:&quot;125&quot;,&quot;container-title-short&quot;:&quot;Br. J. Anaesth.&quot;},&quot;uris&quot;:[&quot;http://www.mendeley.com/documents/?uuid=aa3c26e4-8c96-4164-a737-a125021aeee5&quot;],&quot;isTemporary&quot;:false,&quot;legacyDesktopId&quot;:&quot;aa3c26e4-8c96-4164-a737-a125021aeee5&quot;},{&quot;id&quot;:&quot;5a16b364-74d9-5d42-a60c-87125e536d5f&quot;,&quot;itemData&quot;:{&quot;DOI&quot;:&quot;10.1038/s41467-021-21271-8&quot;,&quot;ISBN&quot;:&quot;4146702121271&quot;,&quot;ISSN&quot;:&quot;2041-1723&quot;,&quot;PMID&quot;:&quot;33654082&quot;,&quot;abstract&quot;:&quot;Wearable sensors to continuously measure blood pressure and derived cardiovascular variables have the potential to revolutionize patient monitoring. Current wearable methods analyzing time components (e.g., pulse transit time) still lack clinical accuracy, whereas existing technologies for direct blood pressure measurement are too bulky. Here we present an innovative art of continuous noninvasive hemodynamic monitoring (CNAP2GO). It directly measures blood pressure by using a volume control technique and could be used for small wearable sensors integrated in a finger-ring. As a software prototype, CNAP2GO showed excellent blood pressure measurement performance in comparison with invasive reference measurements in 46 patients having surgery. The resulting pulsatile blood pressure signal carries information to derive cardiac output and other hemodynamic variables. We show that CNAP2GO can self-calibrate and be miniaturized for wearable approaches. CNAP2GO potentially constitutes the breakthrough for wearable sensors for blood pressure and flow monitoring in both ambulatory and in-hospital clinical settings.&quot;,&quot;author&quot;:[{&quot;dropping-particle&quot;:&quot;&quot;,&quot;family&quot;:&quot;Fortin&quot;,&quot;given&quot;:&quot;Jürgen&quot;,&quot;non-dropping-particle&quot;:&quot;&quot;,&quot;parse-names&quot;:false,&quot;suffix&quot;:&quot;&quot;},{&quot;dropping-particle&quot;:&quot;&quot;,&quot;family&quot;:&quot;Rogge&quot;,&quot;given&quot;:&quot;Dorothea E.&quot;,&quot;non-dropping-particle&quot;:&quot;&quot;,&quot;parse-names&quot;:false,&quot;suffix&quot;:&quot;&quot;},{&quot;dropping-particle&quot;:&quot;&quot;,&quot;family&quot;:&quot;Fellner&quot;,&quot;given&quot;:&quot;Christian&quot;,&quot;non-dropping-particle&quot;:&quot;&quot;,&quot;parse-names&quot;:false,&quot;suffix&quot;:&quot;&quot;},{&quot;dropping-particle&quot;:&quot;&quot;,&quot;family&quot;:&quot;Flotzinger&quot;,&quot;given&quot;:&quot;Doris&quot;,&quot;non-dropping-particle&quot;:&quot;&quot;,&quot;parse-names&quot;:false,&quot;suffix&quot;:&quot;&quot;},{&quot;dropping-particle&quot;:&quot;&quot;,&quot;family&quot;:&quot;Grond&quot;,&quot;given&quot;:&quot;Julian&quot;,&quot;non-dropping-particle&quot;:&quot;&quot;,&quot;parse-names&quot;:false,&quot;suffix&quot;:&quot;&quot;},{&quot;dropping-particle&quot;:&quot;&quot;,&quot;family&quot;:&quot;Lerche&quot;,&quot;given&quot;:&quot;Katja&quot;,&quot;non-dropping-particle&quot;:&quot;&quot;,&quot;parse-names&quot;:false,&quot;suffix&quot;:&quot;&quot;},{&quot;dropping-particle&quot;:&quot;&quot;,&quot;family&quot;:&quot;Saugel&quot;,&quot;given&quot;:&quot;Bernd&quot;,&quot;non-dropping-particle&quot;:&quot;&quot;,&quot;parse-names&quot;:false,&quot;suffix&quot;:&quot;&quot;}],&quot;container-title&quot;:&quot;Nature Communications&quot;,&quot;id&quot;:&quot;5a16b364-74d9-5d42-a60c-87125e536d5f&quot;,&quot;issue&quot;:&quot;1&quot;,&quot;issued&quot;:{&quot;date-parts&quot;:[[&quot;2021&quot;,&quot;3&quot;,&quot;2&quot;]]},&quot;page&quot;:&quot;1387&quot;,&quot;publisher&quot;:&quot;Springer US&quot;,&quot;title&quot;:&quot;A novel art of continuous noninvasive blood pressure measurement&quot;,&quot;type&quot;:&quot;article-journal&quot;,&quot;volume&quot;:&quot;12&quot;,&quot;container-title-short&quot;:&quot;Nat. Commun.&quot;},&quot;uris&quot;:[&quot;http://www.mendeley.com/documents/?uuid=b7f340a0-399a-4df4-afdd-00ea39a15854&quot;],&quot;isTemporary&quot;:false,&quot;legacyDesktopId&quot;:&quot;b7f340a0-399a-4df4-afdd-00ea39a15854&quot;}]},{&quot;citationID&quot;:&quot;MENDELEY_CITATION_772d58e4-08b2-4b4e-9a07-4f8e943b7920&quot;,&quot;properties&quot;:{&quot;noteIndex&quot;:0},&quot;isEdited&quot;:false,&quot;manualOverride&quot;:{&quot;citeprocText&quot;:&quot;[405]&quot;,&quot;isManuallyOverridden&quot;:false,&quot;manualOverrideText&quot;:&quot;&quot;},&quot;citationTag&quot;:&quot;MENDELEY_CITATION_v3_eyJjaXRhdGlvbklEIjoiTUVOREVMRVlfQ0lUQVRJT05fNzcyZDU4ZTQtMDhiMi00YjRlLTlhMDctNGY4ZTk0M2I3OTIw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db5fbbfe-d28c-4c82-b1e7-8565a6f89b9a&quot;,&quot;properties&quot;:{&quot;noteIndex&quot;:0},&quot;isEdited&quot;:false,&quot;manualOverride&quot;:{&quot;citeprocText&quot;:&quot;[430,467,468]&quot;,&quot;isManuallyOverridden&quot;:false,&quot;manualOverrideText&quot;:&quot;&quot;},&quot;citationTag&quot;:&quot;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&quot;,&quot;citationItems&quot;:[{&quot;id&quot;:&quot;0a4f80d8-483f-51a2-a2ba-3e7f19227809&quot;,&quot;itemData&quot;:{&quot;DOI&quot;:&quot;10.1038/s41569-022-00690-0&quot;,&quot;ISBN&quot;:&quot;4156902200690&quot;,&quot;ISSN&quot;:&quot;1759-5002&quot;,&quot;PMID&quot;:&quot;35440738&quot;,&quot;abstract&quot;:&quot;Current hypertension guidelines recommend using the average values of several blood pressure (BP) readings obtained both in and out of the office for the diagnosis and management of hypertension. In-office BP measurement using an upper-arm cuff constitutes the evidence-based reference method for current BP classification and treatment targets. However, out-of-office BP evaluation using 24 h ambulatory or home BP monitoring is recommended by all major medical associations for obtaining further insights into the BP profile of an individual and how it relates to their daily activities. Importantly, the highly variable nature of office and out-of-office BP readings has been widely acknowledged, including the association of BP variability with cardiovascular outcomes. However, to date, the implications of BP variability on cardiovascular outcomes have largely been ignored, with limited application in clinical practice. Novel cuffless wearable technologies might provide a detailed assessment of the 24 h BP profile and behaviour over weeks or months. These devices offer many advantages for researchers and patients compared with traditional BP monitors, but their accuracy and utility remain uncertain. In this Review, we outline and compare conventional and novel methods and techniques for assessing average BP levels and BP variability, and reflect on the utility and potential of these methods for improving the treatment and management of patients with hypertension.&quot;,&quot;author&quot;:[{&quot;dropping-particle&quot;:&quot;&quot;,&quot;family&quot;:&quot;Schutte&quot;,&quot;given&quot;:&quot;Aletta E.&quot;,&quot;non-dropping-particle&quot;:&quot;&quot;,&quot;parse-names&quot;:false,&quot;suffix&quot;:&quot;&quot;},{&quot;dropping-particle&quot;:&quot;&quot;,&quot;family&quot;:&quot;Kollias&quot;,&quot;given&quot;:&quot;Anastasios&quot;,&quot;non-dropping-particle&quot;:&quot;&quot;,&quot;parse-names&quot;:false,&quot;suffix&quot;:&quot;&quot;},{&quot;dropping-particle&quot;:&quot;&quot;,&quot;family&quot;:&quot;Stergiou&quot;,&quot;given&quot;:&quot;George S.&quot;,&quot;non-dropping-particle&quot;:&quot;&quot;,&quot;parse-names&quot;:false,&quot;suffix&quot;:&quot;&quot;}],&quot;container-title&quot;:&quot;Nature Reviews Cardiology&quot;,&quot;id&quot;:&quot;0a4f80d8-483f-51a2-a2ba-3e7f19227809&quot;,&quot;issue&quot;:&quot;10&quot;,&quot;issued&quot;:{&quot;date-parts&quot;:[[&quot;2022&quot;,&quot;10&quot;,&quot;19&quot;]]},&quot;page&quot;:&quot;643-654&quot;,&quot;publisher&quot;:&quot;Springer US&quot;,&quot;title&quot;:&quot;Blood pressure and its variability: classic and novel measurement techniques&quot;,&quot;type&quot;:&quot;article-journal&quot;,&quot;volume&quot;:&quot;19&quot;,&quot;container-title-short&quot;:&quot;Nat. Rev. Cardiol.&quot;},&quot;uris&quot;:[&quot;http://www.mendeley.com/documents/?uuid=3570c420-2308-4850-bc03-a4fbd2da528f&quot;],&quot;isTemporary&quot;:false,&quot;legacyDesktopId&quot;:&quot;3570c420-2308-4850-bc03-a4fbd2da528f&quot;},{&quot;id&quot;:&quot;38c479e8-6951-5b85-9b3a-ce8346c68920&quot;,&quot;itemData&quot;:{&quot;DOI&quot;:&quot;10.1016/j.cvdhj.2023.01.001&quot;,&quot;ISSN&quot;:&quot;26666936&quot;,&quot;abstract&quot;:&quot;Cuff-based home blood pressure (BP) devices, which have been the standard for BP monitoring for decades, are limited by physical discomfort, convenience, and their ability to capture BP variability and patterns between intermittent readings. In recent years, cuffless BP devices, which do not require cuff inflation around a limb, have entered the market, offering the promise of continuous beat-to-beat measurement of BP. These devices take advantage of a variety of principles to determine BP, including (1) pulse arrival time, (2) pulse transit time, (3) pulse wave analysis, (4) volume clamping, and (5) applanation tonometry. Because BP is calculated indirectly, these devices require calibration with cuff-based devices at regular intervals. Unfortunately, the pace of regulation of these devices has failed to match the speed of innovation and direct availability to patient consumers. There is an urgent need to develop a consensus on standards by which cuffless BP devices can be tested for accuracy. In this narrative review, we describe the landscape of cuffless BP devices, summarize the current status of validation protocols, and provide recommendations for an ideal validation process for these devices.&quot;,&quot;author&quot;:[{&quot;dropping-particle&quot;:&quot;&quot;,&quot;family&quot;:&quot;Hu&quot;,&quot;given&quot;:&quot;Jiun Ruey&quot;,&quot;non-dropping-particle&quot;:&quot;&quot;,&quot;parse-names&quot;:false,&quot;suffix&quot;:&quot;&quot;},{&quot;dropping-particle&quot;:&quot;&quot;,&quot;family&quot;:&quot;Martin&quot;,&quot;given&quot;:&quot;Gabrielle&quot;,&quot;non-dropping-particle&quot;:&quot;&quot;,&quot;parse-names&quot;:false,&quot;suffix&quot;:&quot;&quot;},{&quot;dropping-particle&quot;:&quot;&quot;,&quot;family&quot;:&quot;Iyengar&quot;,&quot;given&quot;:&quot;Sanjna&quot;,&quot;non-dropping-particle&quot;:&quot;&quot;,&quot;parse-names&quot;:false,&quot;suffix&quot;:&quot;&quot;},{&quot;dropping-particle&quot;:&quot;&quot;,&quot;family&quot;:&quot;Kovell&quot;,&quot;given&quot;:&quot;Lara C.&quot;,&quot;non-dropping-particle&quot;:&quot;&quot;,&quot;parse-names&quot;:false,&quot;suffix&quot;:&quot;&quot;},{&quot;dropping-particle&quot;:&quot;&quot;,&quot;family&quot;:&quot;Plante&quot;,&quot;given&quot;:&quot;Timothy B.&quot;,&quot;non-dropping-particle&quot;:&quot;&quot;,&quot;parse-names&quot;:false,&quot;suffix&quot;:&quot;&quot;},{&quot;dropping-particle&quot;:&quot;van&quot;,&quot;family&quot;:&quot;Helmond&quot;,&quot;given&quot;:&quot;Noud&quot;,&quot;non-dropping-particle&quot;:&quot;&quot;,&quot;parse-names&quot;:false,&quot;suffix&quot;:&quot;&quot;},{&quot;dropping-particle&quot;:&quot;&quot;,&quot;family&quot;:&quot;Dart&quot;,&quot;given&quot;:&quot;Richard A.&quot;,&quot;non-dropping-particle&quot;:&quot;&quot;,&quot;parse-names&quot;:false,&quot;suffix&quot;:&quot;&quot;},{&quot;dropping-particle&quot;:&quot;&quot;,&quot;family&quot;:&quot;Brady&quot;,&quot;given&quot;:&quot;Tammy M.&quot;,&quot;non-dropping-particle&quot;:&quot;&quot;,&quot;parse-names&quot;:false,&quot;suffix&quot;:&quot;&quot;},{&quot;dropping-particle&quot;:&quot;&quot;,&quot;family&quot;:&quot;Turkson-Ocran&quot;,&quot;given&quot;:&quot;Ruth Alma N.&quot;,&quot;non-dropping-particle&quot;:&quot;&quot;,&quot;parse-names&quot;:false,&quot;suffix&quot;:&quot;&quot;},{&quot;dropping-particle&quot;:&quot;&quot;,&quot;family&quot;:&quot;Juraschek&quot;,&quot;given&quot;:&quot;Stephen P.&quot;,&quot;non-dropping-particle&quot;:&quot;&quot;,&quot;parse-names&quot;:false,&quot;suffix&quot;:&quot;&quot;}],&quot;container-title&quot;:&quot;Cardiovascular Digital Health Journal&quot;,&quot;id&quot;:&quot;38c479e8-6951-5b85-9b3a-ce8346c68920&quot;,&quot;issue&quot;:&quot;1&quot;,&quot;issued&quot;:{&quot;date-parts&quot;:[[&quot;2023&quot;]]},&quot;page&quot;:&quot;9-20&quot;,&quot;publisher&quot;:&quot;Heart Rhythm Society&quot;,&quot;title&quot;:&quot;Validating cuffless continuous blood pressure monitoring devices&quot;,&quot;type&quot;:&quot;article-journal&quot;,&quot;volume&quot;:&quot;4&quot;,&quot;container-title-short&quot;:&quot;Cardiovasc. Digit. Health J.&quot;},&quot;uris&quot;:[&quot;http://www.mendeley.com/documents/?uuid=d94a1853-30a5-4fe4-9cf2-781f3a84bdcc&quot;],&quot;isTemporary&quot;:false,&quot;legacyDesktopId&quot;:&quot;d94a1853-30a5-4fe4-9cf2-781f3a84bdcc&quot;},{&quot;id&quot;:&quot;67d7d298-687d-564a-bfad-a0ff57b2547c&quot;,&quot;itemData&quot;:{&quot;DOI&quot;:&quot;10.1080/08037051.2024.2304190&quot;,&quot;ISSN&quot;:&quot;0803-7051&quot;,&quot;PMID&quot;:&quot;38245864&quot;,&quot;abstract&quot;:&quot;Background: Cuffless blood pressure measurement technologies have attracted significant attention for their potential to transform cardiovascular monitoring. Methods: This updated narrative review thoroughly examines the challenges, opportunities, and limitations associated with the implementation of cuffless blood pressure monitoring systems. Results: Diverse technologies, including photoplethysmography, tonometry, and ECG analysis, enable cuffless blood pressure measurement and are integrated into devices like smartphones and smartwatches. Signal processing emerges as a critical aspect, dictating the accuracy and reliability of readings. Despite its potential, the integration of cuffless technologies into clinical practice faces obstacles, including the need to address concerns related to accuracy, calibration, and standardization across diverse devices and patient populations. The development of robust algorithms to mitigate artifacts and environmental disturbances is essential for extracting clear physiological signals. Based on extensive research, this review emphasizes the necessity for standardized protocols, validation studies, and regulatory frameworks to ensure the reliability and safety of cuffless blood pressure monitoring devices and their implementation in mainstream medical practice. Interdisciplinary collaborations between engineers, clinicians, and regulatory bodies are crucial to address technical, clinical, and regulatory complexities during implementation. In conclusion, while cuffless blood pressure monitoring holds immense potential to transform cardiovascular care. The resolution of existing challenges and the establishment of rigorous standards are imperative for its seamless incorporation into routine clinical practice. Conclusion: The emergence of these new technologies shifts the paradigm of cardiovascular health management, presenting a new possibility for non-invasive continuous and dynamic monitoring. The concept of cuffless blood pressure measurement is viable and more finely tuned devices are expected to enter the market, which could redefine our understanding of blood pressure and hypertension.&quot;,&quot;author&quot;:[{&quot;dropping-particle&quot;:&quot;&quot;,&quot;family&quot;:&quot;Henry&quot;,&quot;given&quot;:&quot;Benoit&quot;,&quot;non-dropping-particle&quot;:&quot;&quot;,&quot;parse-names&quot;:false,&quot;suffix&quot;:&quot;&quot;},{&quot;dropping-particle&quot;:&quot;&quot;,&quot;family&quot;:&quot;Merz&quot;,&quot;given&quot;:&quot;Maxime&quot;,&quot;non-dropping-particle&quot;:&quot;&quot;,&quot;parse-names&quot;:false,&quot;suffix&quot;:&quot;&quot;},{&quot;dropping-particle&quot;:&quot;&quot;,&quot;family&quot;:&quot;Hoang&quot;,&quot;given&quot;:&quot;Harry&quot;,&quot;non-dropping-particle&quot;:&quot;&quot;,&quot;parse-names&quot;:false,&quot;suffix&quot;:&quot;&quot;},{&quot;dropping-particle&quot;:&quot;&quot;,&quot;family&quot;:&quot;Abdulkarim&quot;,&quot;given&quot;:&quot;Ghaith&quot;,&quot;non-dropping-particle&quot;:&quot;&quot;,&quot;parse-names&quot;:false,&quot;suffix&quot;:&quot;&quot;},{&quot;dropping-particle&quot;:&quot;&quot;,&quot;family&quot;:&quot;Wosik&quot;,&quot;given&quot;:&quot;Jedrek&quot;,&quot;non-dropping-particle&quot;:&quot;&quot;,&quot;parse-names&quot;:false,&quot;suffix&quot;:&quot;&quot;},{&quot;dropping-particle&quot;:&quot;&quot;,&quot;family&quot;:&quot;Schoettker&quot;,&quot;given&quot;:&quot;Patrick&quot;,&quot;non-dropping-particle&quot;:&quot;&quot;,&quot;parse-names&quot;:false,&quot;suffix&quot;:&quot;&quot;}],&quot;container-title&quot;:&quot;Blood Pressure&quot;,&quot;id&quot;:&quot;67d7d298-687d-564a-bfad-a0ff57b2547c&quot;,&quot;issue&quot;:&quot;1&quot;,&quot;issued&quot;:{&quot;date-parts&quot;:[[&quot;2024&quot;,&quot;12&quot;,&quot;31&quot;]]},&quot;page&quot;:&quot;-&quot;,&quot;publisher&quot;:&quot;Taylor &amp; Francis&quot;,&quot;title&quot;:&quot;Cuffless Blood Pressure in clinical practice: challenges, opportunities and current limits.&quot;,&quot;type&quot;:&quot;article-journal&quot;,&quot;volume&quot;:&quot;33&quot;,&quot;container-title-short&quot;:&quot;Blood Press.&quot;},&quot;uris&quot;:[&quot;http://www.mendeley.com/documents/?uuid=af1a9e5c-5e36-42c3-b824-89aa7954b3fd&quot;],&quot;isTemporary&quot;:false,&quot;legacyDesktopId&quot;:&quot;af1a9e5c-5e36-42c3-b824-89aa7954b3fd&quot;}]},{&quot;citationID&quot;:&quot;MENDELEY_CITATION_b86cc3e1-681b-4dab-8a8c-c840bcc96776&quot;,&quot;properties&quot;:{&quot;noteIndex&quot;:0},&quot;isEdited&quot;:false,&quot;manualOverride&quot;:{&quot;citeprocText&quot;:&quot;[469]&quot;,&quot;isManuallyOverridden&quot;:false,&quot;manualOverrideText&quot;:&quot;&quot;},&quot;citationTag&quot;:&quot;MENDELEY_CITATION_v3_eyJjaXRhdGlvbklEIjoiTUVOREVMRVlfQ0lUQVRJT05fYjg2Y2MzZTEtNjgxYi00ZGFiLThhOGMtYzg0MGJjYzk2Nzc2IiwicHJvcGVydGllcyI6eyJub3RlSW5kZXgiOjB9LCJpc0VkaXRlZCI6ZmFsc2UsIm1hbnVhbE92ZXJyaWRlIjp7ImNpdGVwcm9jVGV4dCI6Ils0Njld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quot;,&quot;citationItems&quot;:[{&quot;id&quot;:&quot;4d73bac0-8e8d-5948-b2df-6c95486b45e0&quot;,&quot;itemData&quot;:{&quot;DOI&quot;:&quot;10.1097/HJH.0000000000002843&quot;,&quot;ISBN&quot;:&quot;0000000000&quot;,&quot;ISSN&quot;:&quot;0263-6352&quot;,&quot;PMID&quot;:&quot;33710173&quot;,&quot;author&quot;:[{&quot;dropping-particle&quot;:&quot;&quot;,&quot;family&quot;:&quot;Stergiou&quot;,&quot;given&quot;:&quot;George S.&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O’Brien&quot;,&quot;given&quot;:&quot;Eoin&quot;,&quot;non-dropping-particle&quot;:&quot;&quot;,&quot;parse-names&quot;:false,&quot;suffix&quot;:&quot;&quot;},{&quot;dropping-particle&quot;:&quot;&quot;,&quot;family&quot;:&quot;Januszewicz&quot;,&quot;given&quot;:&quot;Andrzej&quot;,&quot;non-dropping-particle&quot;:&quot;&quot;,&quot;parse-names&quot;:false,&quot;suffix&quot;:&quot;&quot;},{&quot;dropping-particle&quot;:&quot;&quot;,&quot;family&quot;:&quot;Lurbe&quot;,&quot;given&quot;:&quot;Empar&quot;,&quot;non-dropping-particle&quot;:&quot;&quot;,&quot;parse-names&quot;:false,&quot;suffix&quot;:&quot;&quot;},{&quot;dropping-particle&quot;:&quot;&quot;,&quot;family&quot;:&quot;Persu&quot;,&quot;given&quot;:&quot;Alexandre&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Kreutz&quot;,&quot;given&quot;:&quot;Reinhold&quot;,&quot;non-dropping-particle&quot;:&quot;&quot;,&quot;parse-names&quot;:false,&quot;suffix&quot;:&quot;&quot;}],&quot;container-title&quot;:&quot;Journal of Hypertension&quot;,&quot;id&quot;:&quot;4d73bac0-8e8d-5948-b2df-6c95486b45e0&quot;,&quot;issue&quot;:&quot;7&quot;,&quot;issued&quot;:{&quot;date-parts&quot;:[[&quot;2021&quot;,&quot;7&quot;]]},&quot;page&quot;:&quot;1293-1302&quot;,&quot;title&quot;:&quot;2021 European Society of Hypertension practice guidelines for office and out-of-office blood pressure measurement&quot;,&quot;type&quot;:&quot;article-journal&quot;,&quot;volume&quot;:&quot;39&quot;,&quot;container-title-short&quot;:&quot;J. Hypertens.&quot;},&quot;uris&quot;:[&quot;http://www.mendeley.com/documents/?uuid=e4b5655a-8401-4f86-b6ab-53c2398b2ccf&quot;],&quot;isTemporary&quot;:false,&quot;legacyDesktopId&quot;:&quot;e4b5655a-8401-4f86-b6ab-53c2398b2ccf&quot;}]},{&quot;citationID&quot;:&quot;MENDELEY_CITATION_eb08817c-6425-4dc0-b9f4-a87603ddb7ea&quot;,&quot;properties&quot;:{&quot;noteIndex&quot;:0},&quot;isEdited&quot;:false,&quot;manualOverride&quot;:{&quot;citeprocText&quot;:&quot;[470]&quot;,&quot;isManuallyOverridden&quot;:false,&quot;manualOverrideText&quot;:&quot;&quot;},&quot;citationTag&quot;:&quot;MENDELEY_CITATION_v3_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&quot;,&quot;citationItems&quot;:[{&quot;id&quot;:&quot;a6f5660d-c180-56cf-beb8-9c64ab78e422&quot;,&quot;itemData&quot;:{&quot;DOI&quot;:&quot;10.5603/KP.2019.0018&quot;,&quot;ISBN&quot;:&quot;0000000000&quot;,&quot;ISSN&quot;:&quot;1897-4279&quot;,&quot;abstract&quot;:&quot;Blood pressure, epidemiology and risk. Globally, over 1 billion people have hypertension. As populations age and adopt more sedentary lifestyles, the worldwide prevalence of hypertension will continue to rise towards 1.5 billion by 2025. Elevated blood pressure (BP) is the leading global contributor to premature death, accounting for almost 10 million deaths in 2015, 4.9 million due to ischaemic heart disease and 3.5 million due to stroke. Hypertension is also a major risk factor for heart failure, atrial fibrillation, chronic kidney disease (CKD), peripheral artery disease (PAD) and cognitive decline. 2. Definition of hypertension. The classification of BP and the definition of hypertension is unchanged from previous European guidelines, and is defined as an office SBP at least 140 mmHg and/or DBP at least 90 mmHg, which is equivalent to a 24-h ABPM average of at least 130/80 mmHg, or a home blood pressure monitoring (HBPM) average at least 135/ 85 mmHg. 3. Screening and diagnosis of hypertension. Hypertension is usually asymptomatic (hence the term 'silent killer'). Because of its high prevalence, screening programmes should be established to ensure that BP is measured in all adults, at least every 5 years and more frequently in people with a high-normal BP. When hypertension is suspected because of an elevated screening BP, the diagnosis of hypertension should be confirmed either by repeated office BP measurements, over a number of visits, or by out-of-office BP measurement using 24-h ABPM or by HBPM. 4. The importance of cardiovascular risk assessment and detection of HMOD. Other cardiovascular risk factors such as dyslipidaemia and metabolic syndrome frequently cluster with hypertension. Thus, unless the patient is already at high or very high risk due to established CVD, formal cardiovascular risk assessment is recommended using the SCORE system. It is important to recognize, however, that the presence of HMOD, especially left ventricular hypertrophy (LVH), chronic kidney disease (CKD) or advanced retinopathy, further increases the risk of cardiovascular morbidity and mortality, and should be screened for as part of risk assessment in hypertensive patients because the SCORE system alone may underestimate their risk. 5. Think - could this patient have secondary hypertension? For most people with hypertension, no underlying cause will be detected. Secondary (and potentially remediable) causes of hypertension are more likely to be present in people w…&quot;,&quot;author&quot;:[{&quot;dropping-particle&quot;:&quot;&quot;,&quot;family&quot;:&quot;Williams&quot;,&quot;given&quot;:&quot;Bryan&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Spiering&quot;,&quot;given&quot;:&quot;Wilko&quot;,&quot;non-dropping-particle&quot;:&quot;&quot;,&quot;parse-names&quot;:false,&quot;suffix&quot;:&quot;&quot;},{&quot;dropping-particle&quot;:&quot;&quot;,&quot;family&quot;:&quot;Rosei&quot;,&quot;given&quot;:&quot;Enrico Agabiti&quot;,&quot;non-dropping-particle&quot;:&quot;&quot;,&quot;parse-names&quot;:false,&quot;suffix&quot;:&quot;&quot;},{&quot;dropping-particle&quot;:&quot;&quot;,&quot;family&quot;:&quot;Azizi&quot;,&quot;given&quot;:&quot;Michel&quot;,&quot;non-dropping-particle&quot;:&quot;&quot;,&quot;parse-names&quot;:false,&quot;suffix&quot;:&quot;&quot;},{&quot;dropping-particle&quot;:&quot;&quot;,&quot;family&quot;:&quot;Burnier&quot;,&quot;given&quot;:&quot;Michel&quot;,&quot;non-dropping-particle&quot;:&quot;&quot;,&quot;parse-names&quot;:false,&quot;suffix&quot;:&quot;&quot;},{&quot;dropping-particle&quot;:&quot;&quot;,&quot;family&quot;:&quot;Clement&quot;,&quot;given&quot;:&quot;Denis L.&quot;,&quot;non-dropping-particle&quot;:&quot;&quot;,&quot;parse-names&quot;:false,&quot;suffix&quot;:&quot;&quot;},{&quot;dropping-particle&quot;:&quot;&quot;,&quot;family&quot;:&quot;Coca&quot;,&quot;given&quot;:&quot;Antonio&quot;,&quot;non-dropping-particle&quot;:&quot;&quot;,&quot;parse-names&quot;:false,&quot;suffix&quot;:&quot;&quot;},{&quot;dropping-particle&quot;:&quot;&quot;,&quot;family&quot;:&quot;Simone&quot;,&quot;given&quot;:&quot;Giovanni&quot;,&quot;non-dropping-particle&quot;:&quot;De&quot;,&quot;parse-names&quot;:false,&quot;suffix&quot;:&quot;&quot;},{&quot;dropping-particle&quot;:&quot;&quot;,&quot;family&quot;:&quot;Dominiczak&quot;,&quot;given&quot;:&quot;Anna&quot;,&quot;non-dropping-particle&quot;:&quot;&quot;,&quot;parse-names&quot;:false,&quot;suffix&quot;:&quot;&quot;},{&quot;dropping-particle&quot;:&quot;&quot;,&quot;family&quot;:&quot;Kahan&quot;,&quot;given&quot;:&quot;Thomas&quot;,&quot;non-dropping-particle&quot;:&quot;&quot;,&quot;parse-names&quot;:false,&quot;suffix&quot;:&quot;&quot;},{&quot;dropping-particle&quot;:&quot;&quot;,&quot;family&quot;:&quot;Mahfoud&quot;,&quot;given&quot;:&quot;Felix&quot;,&quot;non-dropping-particle&quot;:&quot;&quot;,&quot;parse-names&quot;:false,&quot;suffix&quot;:&quot;&quot;},{&quot;dropping-particle&quot;:&quot;&quot;,&quot;family&quot;:&quot;Redon&quot;,&quot;given&quot;:&quot;Josep&quot;,&quot;non-dropping-particle&quot;:&quot;&quot;,&quot;parse-names&quot;:false,&quot;suffix&quot;:&quot;&quot;},{&quot;dropping-particle&quot;:&quot;&quot;,&quot;family&quot;:&quot;Ruilope&quot;,&quot;given&quot;:&quot;Luis&quot;,&quot;non-dropping-particle&quot;:&quot;&quot;,&quot;parse-names&quot;:false,&quot;suffix&quot;:&quot;&quot;},{&quot;dropping-particle&quot;:&quot;&quot;,&quot;family&quot;:&quot;Zanchetti&quot;,&quot;given&quot;:&quot;Alberto&quot;,&quot;non-dropping-particle&quot;:&quot;&quot;,&quot;parse-names&quot;:false,&quot;suffix&quot;:&quot;&quot;},{&quot;dropping-particle&quot;:&quot;&quot;,&quot;family&quot;:&quot;Kerins&quot;,&quot;given&quot;:&quot;Mary&quot;,&quot;non-dropping-particle&quot;:&quot;&quot;,&quot;parse-names&quot;:false,&quot;suffix&quot;:&quot;&quot;},{&quot;dropping-particle&quot;:&quot;&quot;,&quot;family&quot;:&quot;Kjeldsen&quot;,&quot;given&quot;:&quot;Sverre E.&quot;,&quot;non-dropping-particle&quot;:&quot;&quot;,&quot;parse-names&quot;:false,&quot;suffix&quot;:&quot;&quot;},{&quot;dropping-particle&quot;:&quot;&quot;,&quot;family&quot;:&quot;Kreutz&quot;,&quot;given&quot;:&quot;Reinhold&quot;,&quot;non-dropping-particle&quot;:&quot;&quot;,&quot;parse-names&quot;:false,&quot;suffix&quot;:&quot;&quot;},{&quot;dropping-particle&quot;:&quot;&quot;,&quot;family&quot;:&quot;Laurent&quot;,&quot;given&quot;:&quot;Stephane&quot;,&quot;non-dropping-particle&quot;:&quot;&quot;,&quot;parse-names&quot;:false,&quot;suffix&quot;:&quot;&quot;},{&quot;dropping-particle&quot;:&quot;&quot;,&quot;family&quot;:&quot;Lip&quot;,&quot;given&quot;:&quot;Gregory Y. H.&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Narkiewicz&quot;,&quot;given&quot;:&quot;Krzysztof&quot;,&quot;non-dropping-particle&quot;:&quot;&quot;,&quot;parse-names&quot;:false,&quot;suffix&quot;:&quot;&quot;},{&quot;dropping-particle&quot;:&quot;&quot;,&quot;family&quot;:&quot;Ruschitzka&quot;,&quot;given&quot;:&quot;Frank&quot;,&quot;non-dropping-particle&quot;:&quot;&quot;,&quot;parse-names&quot;:false,&quot;suffix&quot;:&quot;&quot;},{&quot;dropping-particle&quot;:&quot;&quot;,&quot;family&quot;:&quot;Schmieder&quot;,&quot;given&quot;:&quot;Roland E.&quot;,&quot;non-dropping-particle&quot;:&quot;&quot;,&quot;parse-names&quot;:false,&quot;suffix&quot;:&quot;&quot;},{&quot;dropping-particle&quot;:&quot;&quot;,&quot;family&quot;:&quot;Shlyakhto&quot;,&quot;given&quot;:&quot;Evgeny&quot;,&quot;non-dropping-particle&quot;:&quot;&quot;,&quot;parse-names&quot;:false,&quot;suffix&quot;:&quot;&quot;},{&quot;dropping-particle&quot;:&quot;&quot;,&quot;family&quot;:&quot;Tsioufis&quot;,&quot;given&quot;:&quot;Costas&quot;,&quot;non-dropping-particle&quot;:&quot;&quot;,&quot;parse-names&quot;:false,&quot;suffix&quot;:&quot;&quot;},{&quot;dropping-particle&quot;:&quot;&quot;,&quot;family&quot;:&quot;Aboyans&quot;,&quot;given&quot;:&quot;Victor&quot;,&quot;non-dropping-particle&quot;:&quot;&quot;,&quot;parse-names&quot;:false,&quot;suffix&quot;:&quot;&quot;},{&quot;dropping-particle&quot;:&quot;&quot;,&quot;family&quot;:&quot;Desormais&quot;,&quot;given&quot;:&quot;Ileana&quot;,&quot;non-dropping-particle&quot;:&quot;&quot;,&quot;parse-names&quot;:false,&quot;suffix&quot;:&quot;&quot;}],&quot;container-title&quot;:&quot;Kardiologia Polska&quot;,&quot;id&quot;:&quot;a6f5660d-c180-56cf-beb8-9c64ab78e422&quot;,&quot;issue&quot;:&quot;2&quot;,&quot;issued&quot;:{&quot;date-parts&quot;:[[&quot;2019&quot;,&quot;2&quot;,&quot;26&quot;]]},&quot;page&quot;:&quot;71-159&quot;,&quot;title&quot;:&quot;2018 ESC/ESH Guidelines for the management of arterial hypertension&quot;,&quot;type&quot;:&quot;article-journal&quot;,&quot;volume&quot;:&quot;77&quot;,&quot;container-title-short&quot;:&quot;Kardiol. Pol.&quot;},&quot;uris&quot;:[&quot;http://www.mendeley.com/documents/?uuid=42fcc5c2-9473-4a50-9061-1e260985f77f&quot;],&quot;isTemporary&quot;:false,&quot;legacyDesktopId&quot;:&quot;42fcc5c2-9473-4a50-9061-1e260985f77f&quot;}]},{&quot;citationID&quot;:&quot;MENDELEY_CITATION_915f09d8-e713-426a-8d5c-ea3c89fe99f5&quot;,&quot;properties&quot;:{&quot;noteIndex&quot;:0},&quot;isEdited&quot;:false,&quot;manualOverride&quot;:{&quot;citeprocText&quot;:&quot;[471]&quot;,&quot;isManuallyOverridden&quot;:false,&quot;manualOverrideText&quot;:&quot;&quot;},&quot;citationTag&quot;:&quot;MENDELEY_CITATION_v3_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&quot;,&quot;citationItems&quot;:[{&quot;id&quot;:&quot;68e60ba1-acd3-5cb8-bce1-fb36c8d05fed&quot;,&quot;itemData&quot;:{&quot;DOI&quot;:&quot;10.1111/j.1524-6175.2005.04377.x&quot;,&quot;ISSN&quot;:&quot;1524-6175&quot;,&quot;author&quot;:[{&quot;dropping-particle&quot;:&quot;&quot;,&quot;family&quot;:&quot;Pickering&quot;,&quot;given&quot;:&quot;Thomas G.&quot;,&quot;non-dropping-particle&quot;:&quot;&quot;,&quot;parse-names&quot;:false,&quot;suffix&quot;:&quot;&quot;},{&quot;dropping-particle&quot;:&quot;&quot;,&quot;family&quot;:&quot;Hall&quot;,&quot;given&quot;:&quot;John E.&quot;,&quot;non-dropping-particle&quot;:&quot;&quot;,&quot;parse-names&quot;:false,&quot;suffix&quot;:&quot;&quot;},{&quot;dropping-particle&quot;:&quot;&quot;,&quot;family&quot;:&quot;Appel&quot;,&quot;given&quot;:&quot;Lawrence J.&quot;,&quot;non-dropping-particle&quot;:&quot;&quot;,&quot;parse-names&quot;:false,&quot;suffix&quot;:&quot;&quot;},{&quot;dropping-particle&quot;:&quot;&quot;,&quot;family&quot;:&quot;Falkner&quot;,&quot;given&quot;:&quot;Bonita E.&quot;,&quot;non-dropping-particle&quot;:&quot;&quot;,&quot;parse-names&quot;:false,&quot;suffix&quot;:&quot;&quot;},{&quot;dropping-particle&quot;:&quot;&quot;,&quot;family&quot;:&quot;Graves&quot;,&quot;given&quot;:&quot;John W.&quot;,&quot;non-dropping-particle&quot;:&quot;&quot;,&quot;parse-names&quot;:false,&quot;suffix&quot;:&quot;&quot;},{&quot;dropping-particle&quot;:&quot;&quot;,&quot;family&quot;:&quot;Hill&quot;,&quot;given&quot;:&quot;Martha N.&quot;,&quot;non-dropping-particle&quot;:&quot;&quot;,&quot;parse-names&quot;:false,&quot;suffix&quot;:&quot;&quot;},{&quot;dropping-particle&quot;:&quot;&quot;,&quot;family&quot;:&quot;Jones&quot;,&quot;given&quot;:&quot;Daniel W.&quot;,&quot;non-dropping-particle&quot;:&quot;&quot;,&quot;parse-names&quot;:false,&quot;suffix&quot;:&quot;&quot;},{&quot;dropping-particle&quot;:&quot;&quot;,&quot;family&quot;:&quot;Kurtz&quot;,&quot;given&quot;:&quot;Theodore&quot;,&quot;non-dropping-particle&quot;:&quot;&quot;,&quot;parse-names&quot;:false,&quot;suffix&quot;:&quot;&quot;},{&quot;dropping-particle&quot;:&quot;&quot;,&quot;family&quot;:&quot;Sheps&quot;,&quot;given&quot;:&quot;Sheldon G.&quot;,&quot;non-dropping-particle&quot;:&quot;&quot;,&quot;parse-names&quot;:false,&quot;suffix&quot;:&quot;&quot;},{&quot;dropping-particle&quot;:&quot;&quot;,&quot;family&quot;:&quot;Roccella&quot;,&quot;given&quot;:&quot;Edward J.&quot;,&quot;non-dropping-particle&quot;:&quot;&quot;,&quot;parse-names&quot;:false,&quot;suffix&quot;:&quot;&quot;}],&quot;container-title&quot;:&quot;The Journal of Clinical Hypertension&quot;,&quot;id&quot;:&quot;68e60ba1-acd3-5cb8-bce1-fb36c8d05fed&quot;,&quot;issue&quot;:&quot;2&quot;,&quot;issued&quot;:{&quot;date-parts&quot;:[[&quot;2005&quot;,&quot;2&quot;,&quot;25&quot;]]},&quot;page&quot;:&quot;102-109&quot;,&quot;title&quot;:&quot;Recommendations for Blood Pressure Measurement in Humans: An AHA Scientific Statement from the Council on High Blood Pressure Research Professional and Public Education Subcommittee&quot;,&quot;type&quot;:&quot;article-journal&quot;,&quot;volume&quot;:&quot;7&quot;,&quot;container-title-short&quot;:&quot;&quot;},&quot;uris&quot;:[&quot;http://www.mendeley.com/documents/?uuid=eaacfcc5-eb7b-4eb0-b156-eed3ffa80f07&quot;],&quot;isTemporary&quot;:false,&quot;legacyDesktopId&quot;:&quot;eaacfcc5-eb7b-4eb0-b156-eed3ffa80f07&quot;}]},{&quot;citationID&quot;:&quot;MENDELEY_CITATION_faf3c5d4-63e9-4db9-b727-2bbcd6941fc4&quot;,&quot;properties&quot;:{&quot;noteIndex&quot;:0},&quot;isEdited&quot;:false,&quot;manualOverride&quot;:{&quot;citeprocText&quot;:&quot;[472,473]&quot;,&quot;isManuallyOverridden&quot;:false,&quot;manualOverrideText&quot;:&quot;&quot;},&quot;citationTag&quot;:&quot;MENDELEY_CITATION_v3_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&quot;,&quot;citationItems&quot;:[{&quot;id&quot;:&quot;2413b61f-0cb0-5d9d-9569-7df999689db0&quot;,&quot;itemData&quot;:{&quot;DOI&quot;:&quot;10.1007/s10586-025-05185-4&quot;,&quot;ISSN&quot;:&quot;15737543&quot;,&quot;abstract&quot;:&quot;Continuous blood pressure (BP) monitoring plays a crucial role in preventative health care because it provides invaluable assessment of an individual’s cardiovascular health. However, achieving accurate and non-invasive BP estimation remains a significant challenge. Motivated by the need for improved accuracy in BP estimation, this research proposes a novel deep-learning technique to estimate blood pressure from photoplethysmography (PPG) signals based on the temporal attention mechanism by selecting optimal features to improve the estimation accuracy. The proposed deep learning model consists of an embedded temporal attention employed to learn the temporal sequence and selects the optimal competitive features using bidirectional encoder and decoder. PPG features are extracted from traditional feature extraction techniques such as statistical, frequency, time domain-based analysis and chaotic features using two publicly available datasets MIMIC II and PPG-BP. The comparison of proposed model experimental results with the state-of-the-art models demonstrates the advancement of optimal feature selection technique for blood pressure measurement. The mean absolute error (MAE) and standard deviation SD for optimal feature extraction with the temporal attention mechanism model are 2.31 ± 3.16 mmHg and 1.13 ± 2.32 mmHg utilising MIMIC II data and 3.43 ± 3.08 mmHg and 3.29 ± 2.19 mmHg for PPG-BP dataset for SBP and DBP respectively. The proposed model results satisfied the standard requirements published by the British Hypertension Society (BHS) and US Association for the Advancement of Medical Instrumentation (AAMI) standards. The proposed solution can offer continuous BP estimation and can significantly enhance healthcare by helping individuals manage their cardiovascular health more effectively.&quot;,&quot;author&quot;:[{&quot;dropping-particle&quot;:&quot;&quot;,&quot;family&quot;:&quot;Maqsood&quot;,&quot;given&quot;:&quot;Sumbal&quot;,&quot;non-dropping-particle&quot;:&quot;&quot;,&quot;parse-names&quot;:false,&quot;suffix&quot;:&quot;&quot;},{&quot;dropping-particle&quot;:&quot;&quot;,&quot;family&quot;:&quot;Xu&quot;,&quot;given&quot;:&quot;Shuxiang&quot;,&quot;non-dropping-particle&quot;:&quot;&quot;,&quot;parse-names&quot;:false,&quot;suffix&quot;:&quot;&quot;},{&quot;dropping-particle&quot;:&quot;&quot;,&quot;family&quot;:&quot;Springer&quot;,&quot;given&quot;:&quot;Matthew&quot;,&quot;non-dropping-particle&quot;:&quot;&quot;,&quot;parse-names&quot;:false,&quot;suffix&quot;:&quot;&quot;},{&quot;dropping-particle&quot;:&quot;&quot;,&quot;family&quot;:&quot;Mohawesh&quot;,&quot;given&quot;:&quot;Rami&quot;,&quot;non-dropping-particle&quot;:&quot;&quot;,&quot;parse-names&quot;:false,&quot;suffix&quot;:&quot;&quot;},{&quot;dropping-particle&quot;:&quot;&quot;,&quot;family&quot;:&quot;Salameh&quot;,&quot;given&quot;:&quot;Haythem Bany&quot;,&quot;non-dropping-particle&quot;:&quot;&quot;,&quot;parse-names&quot;:false,&quot;suffix&quot;:&quot;&quot;},{&quot;dropping-particle&quot;:&quot;&quot;,&quot;family&quot;:&quot;Gheewala&quot;,&quot;given&quot;:&quot;Shivangi&quot;,&quot;non-dropping-particle&quot;:&quot;&quot;,&quot;parse-names&quot;:false,&quot;suffix&quot;:&quot;&quot;}],&quot;container-title&quot;:&quot;Cluster Computing&quot;,&quot;id&quot;:&quot;2413b61f-0cb0-5d9d-9569-7df999689db0&quot;,&quot;issue&quot;:&quot;6&quot;,&quot;issued&quot;:{&quot;date-parts&quot;:[[&quot;2025&quot;]]},&quot;title&quot;:&quot;Temporal attention to estimate continuous blood pressure using photoplethysmography signals&quot;,&quot;type&quot;:&quot;article-journal&quot;,&quot;volume&quot;:&quot;28&quot;,&quot;container-title-short&quot;:&quot;Cluster Comput.&quot;},&quot;uris&quot;:[&quot;http://www.mendeley.com/documents/?uuid=dc1274ee-229c-4732-a824-b53c0390b723&quot;],&quot;isTemporary&quot;:false,&quot;legacyDesktopId&quot;:&quot;dc1274ee-229c-4732-a824-b53c0390b723&quot;},{&quot;id&quot;:&quot;900f1349-b349-575e-9891-dca704cdbe04&quot;,&quot;itemData&quot;:{&quot;DOI&quot;:&quot;10.20944/preprints202312.0273.v1&quot;,&quot;author&quot;:[{&quot;dropping-particle&quot;:&quot;&quot;,&quot;family&quot;:&quot;Boschi&quot;,&quot;given&quot;:&quot;Francesca&quot;,&quot;non-dropping-particle&quot;:&quot;&quot;,&quot;parse-names&quot;:false,&quot;suffix&quot;:&quot;&quot;},{&quot;dropping-particle&quot;:&quot;&quot;,&quot;family&quot;:&quot;Figini&quot;,&quot;given&quot;:&quot;Valeria&quot;,&quot;non-dropping-particle&quot;:&quot;&quot;,&quot;parse-names&quot;:false,&quot;suffix&quot;:&quot;&quot;},{&quot;dropping-particle&quot;:&quot;&quot;,&quot;family&quot;:&quot;Pagana&quot;,&quot;given&quot;:&quot;Guido&quot;,&quot;non-dropping-particle&quot;:&quot;&quot;,&quot;parse-names&quot;:false,&quot;suffix&quot;:&quot;&quot;},{&quot;dropping-particle&quot;:&quot;&quot;,&quot;family&quot;:&quot;Visintin&quot;,&quot;given&quot;:&quot;Monica&quot;,&quot;non-dropping-particle&quot;:&quot;&quot;,&quot;parse-names&quot;:false,&quot;suffix&quot;:&quot;&quot;},{&quot;dropping-particle&quot;:&quot;&quot;,&quot;family&quot;:&quot;Scholar&quot;,&quot;given&quot;:&quot;Google&quot;,&quot;non-dropping-particle&quot;:&quot;&quot;,&quot;parse-names&quot;:false,&quot;suffix&quot;:&quot;&quot;}],&quot;id&quot;:&quot;900f1349-b349-575e-9891-dca704cdbe04&quot;,&quot;issued&quot;:{&quot;date-parts&quot;:[[&quot;2023&quot;]]},&quot;title&quot;:&quot;Optimized Cuffless Blood Pressure Measurement Using ECG , PPG and Linear Regression&quot;,&quot;type&quot;:&quot;article-journal&quot;,&quot;container-title-short&quot;:&quot;&quot;},&quot;uris&quot;:[&quot;http://www.mendeley.com/documents/?uuid=8ce2824f-cf4f-4918-8d3f-d7f743984a24&quot;],&quot;isTemporary&quot;:false,&quot;legacyDesktopId&quot;:&quot;8ce2824f-cf4f-4918-8d3f-d7f743984a24&quot;}]},{&quot;citationID&quot;:&quot;MENDELEY_CITATION_3755495d-842a-4d54-9d00-d9a87f07a967&quot;,&quot;properties&quot;:{&quot;noteIndex&quot;:0},&quot;isEdited&quot;:false,&quot;manualOverride&quot;:{&quot;citeprocText&quot;:&quot;[414]&quot;,&quot;isManuallyOverridden&quot;:false,&quot;manualOverrideText&quot;:&quot;&quot;},&quot;citationTag&quot;:&quot;MENDELEY_CITATION_v3_eyJjaXRhdGlvbklEIjoiTUVOREVMRVlfQ0lUQVRJT05fMzc1NTQ5NWQtODQyYS00ZDU0LTlkMDAtZDlhODdmMDdhOTY3IiwicHJvcGVydGllcyI6eyJub3RlSW5kZXgiOjB9LCJpc0VkaXRlZCI6ZmFsc2UsIm1hbnVhbE92ZXJyaWRlIjp7ImNpdGVwcm9jVGV4dCI6Ils0MTRd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quot;,&quot;citationItems&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citationID&quot;:&quot;MENDELEY_CITATION_b3de4847-35f9-44d8-8331-c7eb7065ad0e&quot;,&quot;properties&quot;:{&quot;noteIndex&quot;:0},&quot;isEdited&quot;:false,&quot;manualOverride&quot;:{&quot;citeprocText&quot;:&quot;[474]&quot;,&quot;isManuallyOverridden&quot;:false,&quot;manualOverrideText&quot;:&quot;&quot;},&quot;citationTag&quot;:&quot;MENDELEY_CITATION_v3_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&quot;,&quot;citationItems&quot;:[{&quot;id&quot;:&quot;85b3676d-123e-55d7-b504-8b1a36e6922d&quot;,&quot;itemData&quot;:{&quot;DOI&quot;:&quot;10.1088/1742-6596/1607/1/012088&quot;,&quot;ISSN&quot;:&quot;17426596&quot;,&quot;abstract&quot;:&quot;Photoplethysmographic imaging (PPGi) is a burgeoning technology to monitor physiological parameters. Under the background of information technologies' development, both the PPGi signal's collecting set-ups and its data processing methods have been widely studied. However, the unsatisfactory signal-to-noise-ratio is still an obstacle to its productization. For this problem, an appropriate denoising strategy would be a feasible solution. Therefore, through the analysis and screening of Butterworth Low Pass filter, Butterworth High Pass filter, Median filter, Wavelet Transform, Hilbert-Huang Transform and Independent Component Correlation Algorithm, three of them are combined to form 3 tactics, their effects in improving signal-to-noise-ratio of PPGi signals are evaluated. It is found, the integration of Butterworth Low Pass filter, Median filter and Wavelet Transform (BMW) can acquire the best signal-to-noise-ratio (31.42dB) in the designed strategies. Furthermore, these denoised PPGi signals by the three tactics are used to calculate the blood pressure (BP) and heart rate (HR). The comparisons with the actually BP and HR data which are measured by a commercial sphygmomanometer also indicate that the close-to-actual BP and HR are obtained from the BMW denoised PPGi signals.&quot;,&quot;author&quot;:[{&quot;dropping-particle&quot;:&quot;&quot;,&quot;family&quot;:&quot;Deng&quot;,&quot;given&quot;:&quot;Fubo&quot;,&quot;non-dropping-particle&quot;:&quot;&quot;,&quot;parse-names&quot;:false,&quot;suffix&quot;:&quot;&quot;},{&quot;dropping-particle&quot;:&quot;&quot;,&quot;family&quot;:&quot;Zhang&quot;,&quot;given&quot;:&quot;Jizhao&quot;,&quot;non-dropping-particle&quot;:&quot;&quot;,&quot;parse-names&quot;:false,&quot;suffix&quot;:&quot;&quot;},{&quot;dropping-particle&quot;:&quot;&quot;,&quot;family&quot;:&quot;Jia&quot;,&quot;given&quot;:&quot;Yunfang&quot;,&quot;non-dropping-particle&quot;:&quot;&quot;,&quot;parse-names&quot;:false,&quot;suffix&quot;:&quot;&quot;}],&quot;container-title&quot;:&quot;Journal of Physics: Conference Series&quot;,&quot;id&quot;:&quot;85b3676d-123e-55d7-b504-8b1a36e6922d&quot;,&quot;issue&quot;:&quot;1&quot;,&quot;issued&quot;:{&quot;date-parts&quot;:[[&quot;2020&quot;]]},&quot;title&quot;:&quot;A denoising strategy for the improvements of PPGi's signal-to-noise-ratio&quot;,&quot;type&quot;:&quot;article-journal&quot;,&quot;volume&quot;:&quot;1607&quot;,&quot;container-title-short&quot;:&quot;J. Phys. Conf. Ser.&quot;},&quot;uris&quot;:[&quot;http://www.mendeley.com/documents/?uuid=9b43700c-2f36-4db6-b0d9-55cf639f2a0e&quot;],&quot;isTemporary&quot;:false,&quot;legacyDesktopId&quot;:&quot;9b43700c-2f36-4db6-b0d9-55cf639f2a0e&quot;}]},{&quot;citationID&quot;:&quot;MENDELEY_CITATION_f030a821-f3eb-4e29-bd39-a0081e8a4531&quot;,&quot;properties&quot;:{&quot;noteIndex&quot;:0},&quot;isEdited&quot;:false,&quot;manualOverride&quot;:{&quot;citeprocText&quot;:&quot;[473,475]&quot;,&quot;isManuallyOverridden&quot;:false,&quot;manualOverrideText&quot;:&quot;&quot;},&quot;citationTag&quot;:&quot;MENDELEY_CITATION_v3_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&quot;,&quot;citationItems&quot;:[{&quot;id&quot;:&quot;12033179-5fe2-5ded-8f21-52c425848b21&quot;,&quot;itemData&quot;:{&quot;DOI&quot;:&quot;10.1109/iembs.2008.4649142&quot;,&quot;ISBN&quot;:&quot;9781424418152&quot;,&quot;PMID&quot;:&quot;19162645&quot;,&quot;abstract&quot;:&quot;In this paper, a new noise reduction method was proposed for oscillometric blood pressure measurement. The proposed method uses a capacitive sensor and an adaptive filter to minimize blood pressure measurement error. Noise such as undesired external pressure applied to cuff was focused on. Three types of the distorted oscillation signals (no overlap, non-consecutive overlap, consecutive overlap between the noise and the oscillation) were used to compare the conventional method using linear interpolation and the proposed method using the adaptive filter. The proposed method outperformed the conventional method in the case of consecutive overlap between the noise and the oscillation. The proposed method could be useful for measuring blood pressure in such a noisy environment that the subject is being transported. © 2008 IEEE.&quot;,&quot;author&quot;:[{&quot;dropping-particle&quot;:&quot;&quot;,&quot;family&quot;:&quot;Choi&quot;,&quot;given&quot;:&quot;Hyun Seok&quot;,&quot;non-dropping-particle&quot;:&quot;&quot;,&quot;parse-names&quot;:false,&quot;suffix&quot;:&quot;&quot;},{&quot;dropping-particle&quot;:&quot;&quot;,&quot;family&quot;:&quot;Myoung&quot;,&quot;given&quot;:&quot;Hyoun Seok&quot;,&quot;non-dropping-particle&quot;:&quot;&quot;,&quot;parse-names&quot;:false,&quot;suffix&quot;:&quot;&quot;},{&quot;dropping-particle&quot;:&quot;&quot;,&quot;family&quot;:&quot;Lee&quot;,&quot;given&quot;:&quot;Hyo Ki&quot;,&quot;non-dropping-particle&quot;:&quot;&quot;,&quot;parse-names&quot;:false,&quot;suffix&quot;:&quot;&quot;},{&quot;dropping-particle&quot;:&quot;&quot;,&quot;family&quot;:&quot;Park&quot;,&quot;given&quot;:&quot;Ho Dong&quot;,&quot;non-dropping-particle&quot;:&quot;&quot;,&quot;parse-names&quot;:false,&quot;suffix&quot;:&quot;&quot;},{&quot;dropping-particle&quot;:&quot;&quot;,&quot;family&quot;:&quot;Lee&quot;,&quot;given&quot;:&quot;Kyoung Joung&quot;,&quot;non-dropping-particle&quot;:&quot;&quot;,&quot;parse-names&quot;:false,&quot;suffix&quot;:&quot;&quot;}],&quot;container-title&quot;:&quot;Proceedings of the 30th Annual International Conference of the IEEE Engineering in Medicine and Biology Society, EMBS'08 - \&quot;Personalized Healthcare through Technology\&quot;&quot;,&quot;id&quot;:&quot;12033179-5fe2-5ded-8f21-52c425848b21&quot;,&quot;issued&quot;:{&quot;date-parts&quot;:[[&quot;2008&quot;]]},&quot;page&quot;:&quot;270-272&quot;,&quot;title&quot;:&quot;A new noise reduction method for oscillometric blood pressure measurement&quot;,&quot;type&quot;:&quot;article-journal&quot;,&quot;volume&quot;:&quot;5&quot;,&quot;container-title-short&quot;:&quot;&quot;},&quot;uris&quot;:[&quot;http://www.mendeley.com/documents/?uuid=b4ff564f-152b-4e47-81a9-9595e47b8003&quot;],&quot;isTemporary&quot;:false,&quot;legacyDesktopId&quot;:&quot;b4ff564f-152b-4e47-81a9-9595e47b8003&quot;},{&quot;id&quot;:&quot;900f1349-b349-575e-9891-dca704cdbe04&quot;,&quot;itemData&quot;:{&quot;DOI&quot;:&quot;10.20944/preprints202312.0273.v1&quot;,&quot;author&quot;:[{&quot;dropping-particle&quot;:&quot;&quot;,&quot;family&quot;:&quot;Boschi&quot;,&quot;given&quot;:&quot;Francesca&quot;,&quot;non-dropping-particle&quot;:&quot;&quot;,&quot;parse-names&quot;:false,&quot;suffix&quot;:&quot;&quot;},{&quot;dropping-particle&quot;:&quot;&quot;,&quot;family&quot;:&quot;Figini&quot;,&quot;given&quot;:&quot;Valeria&quot;,&quot;non-dropping-particle&quot;:&quot;&quot;,&quot;parse-names&quot;:false,&quot;suffix&quot;:&quot;&quot;},{&quot;dropping-particle&quot;:&quot;&quot;,&quot;family&quot;:&quot;Pagana&quot;,&quot;given&quot;:&quot;Guido&quot;,&quot;non-dropping-particle&quot;:&quot;&quot;,&quot;parse-names&quot;:false,&quot;suffix&quot;:&quot;&quot;},{&quot;dropping-particle&quot;:&quot;&quot;,&quot;family&quot;:&quot;Visintin&quot;,&quot;given&quot;:&quot;Monica&quot;,&quot;non-dropping-particle&quot;:&quot;&quot;,&quot;parse-names&quot;:false,&quot;suffix&quot;:&quot;&quot;},{&quot;dropping-particle&quot;:&quot;&quot;,&quot;family&quot;:&quot;Scholar&quot;,&quot;given&quot;:&quot;Google&quot;,&quot;non-dropping-particle&quot;:&quot;&quot;,&quot;parse-names&quot;:false,&quot;suffix&quot;:&quot;&quot;}],&quot;id&quot;:&quot;900f1349-b349-575e-9891-dca704cdbe04&quot;,&quot;issued&quot;:{&quot;date-parts&quot;:[[&quot;2023&quot;]]},&quot;title&quot;:&quot;Optimized Cuffless Blood Pressure Measurement Using ECG , PPG and Linear Regression&quot;,&quot;type&quot;:&quot;article-journal&quot;,&quot;container-title-short&quot;:&quot;&quot;},&quot;uris&quot;:[&quot;http://www.mendeley.com/documents/?uuid=8ce2824f-cf4f-4918-8d3f-d7f743984a24&quot;],&quot;isTemporary&quot;:false,&quot;legacyDesktopId&quot;:&quot;8ce2824f-cf4f-4918-8d3f-d7f743984a24&quot;}]},{&quot;citationID&quot;:&quot;MENDELEY_CITATION_71ca6871-18e5-4607-923a-d42d70891e29&quot;,&quot;properties&quot;:{&quot;noteIndex&quot;:0},&quot;isEdited&quot;:false,&quot;manualOverride&quot;:{&quot;citeprocText&quot;:&quot;[405]&quot;,&quot;isManuallyOverridden&quot;:false,&quot;manualOverrideText&quot;:&quot;&quot;},&quot;citationTag&quot;:&quot;MENDELEY_CITATION_v3_eyJjaXRhdGlvbklEIjoiTUVOREVMRVlfQ0lUQVRJT05fNzFjYTY4NzEtMThlNS00NjA3LTkyM2EtZDQyZDcwODkxZTI5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6c8621f5-e30c-40f4-b25f-35ee5bcf0884&quot;,&quot;properties&quot;:{&quot;noteIndex&quot;:0},&quot;isEdited&quot;:false,&quot;manualOverride&quot;:{&quot;citeprocText&quot;:&quot;[405]&quot;,&quot;isManuallyOverridden&quot;:false,&quot;manualOverrideText&quot;:&quot;&quot;},&quot;citationTag&quot;:&quot;MENDELEY_CITATION_v3_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&quot;,&quot;citationItems&quot;:[{&quot;id&quot;:&quot;af795b91-3371-5cbb-80c7-26f6eb3bf287&quot;,&quot;itemData&quot;:{&quot;DOI&quot;:&quot;10.1146/annurev-bioeng-110220-014644&quot;,&quot;ISSN&quot;:&quot;1523-9829&quot;,&quot;PMID&quot;:&quot;35363536&quot;,&quot;abstract&quot;:&quot;Cuffless blood pressure (BP) measurement has become a popular field due to clinical need and technological opportunity. However, no method has been broadly accepted hitherto. The objective of this review is to accelerate progress in the development and application of cuffless BP measurement methods. We begin by describing the principles of conventional BP measurement, outstanding hypertension/hypotension problems that could be addressed with cuffless methods, and recent technological advances, including smartphone proliferation and wearable sensing, that are driving the field. We then present all major cuffless methods under investigation, including their current evidence. Our presentation includes calibrated methods (i.e., pulse transit time, pulse wave analysis, and facial video processing) and uncalibrated methods (i.e., cuffless oscillometry, ultrasound, and volume control). The calibrated methods can offer convenience advantages, whereas the uncalibrated methods do not require periodic cuff device usage or demographic inputs. We conclude by summarizing the field and highlighting potentially useful future research directions.&quot;,&quot;author&quot;:[{&quot;dropping-particle&quot;:&quot;&quot;,&quot;family&quot;:&quot;Mukkamala&quot;,&quot;given&quot;:&quot;Ramakrishna&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Avolio&quot;,&quot;given&quot;:&quot;Alberto P.&quot;,&quot;non-dropping-particle&quot;:&quot;&quot;,&quot;parse-names&quot;:false,&quot;suffix&quot;:&quot;&quot;}],&quot;container-title&quot;:&quot;Annual Review of Biomedical Engineering&quot;,&quot;id&quot;:&quot;af795b91-3371-5cbb-80c7-26f6eb3bf287&quot;,&quot;issue&quot;:&quot;1&quot;,&quot;issued&quot;:{&quot;date-parts&quot;:[[&quot;2022&quot;,&quot;6&quot;,&quot;6&quot;]]},&quot;page&quot;:&quot;203-230&quot;,&quot;title&quot;:&quot;Cuffless Blood Pressure Measurement&quot;,&quot;type&quot;:&quot;article-journal&quot;,&quot;volume&quot;:&quot;24&quot;,&quot;container-title-short&quot;:&quot;Annu. Rev. Biomed. Eng.&quot;},&quot;uris&quot;:[&quot;http://www.mendeley.com/documents/?uuid=437f9765-ef4f-4b14-a437-33a7d148925b&quot;],&quot;isTemporary&quot;:false,&quot;legacyDesktopId&quot;:&quot;437f9765-ef4f-4b14-a437-33a7d148925b&quot;}]},{&quot;citationID&quot;:&quot;MENDELEY_CITATION_60caa2c8-f406-49ff-90d4-94200bf41235&quot;,&quot;properties&quot;:{&quot;noteIndex&quot;:0},&quot;isEdited&quot;:false,&quot;manualOverride&quot;:{&quot;citeprocText&quot;:&quot;[472]&quot;,&quot;isManuallyOverridden&quot;:false,&quot;manualOverrideText&quot;:&quot;&quot;},&quot;citationTag&quot;:&quot;MENDELEY_CITATION_v3_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&quot;,&quot;citationItems&quot;:[{&quot;id&quot;:&quot;2413b61f-0cb0-5d9d-9569-7df999689db0&quot;,&quot;itemData&quot;:{&quot;DOI&quot;:&quot;10.1007/s10586-025-05185-4&quot;,&quot;ISSN&quot;:&quot;15737543&quot;,&quot;abstract&quot;:&quot;Continuous blood pressure (BP) monitoring plays a crucial role in preventative health care because it provides invaluable assessment of an individual’s cardiovascular health. However, achieving accurate and non-invasive BP estimation remains a significant challenge. Motivated by the need for improved accuracy in BP estimation, this research proposes a novel deep-learning technique to estimate blood pressure from photoplethysmography (PPG) signals based on the temporal attention mechanism by selecting optimal features to improve the estimation accuracy. The proposed deep learning model consists of an embedded temporal attention employed to learn the temporal sequence and selects the optimal competitive features using bidirectional encoder and decoder. PPG features are extracted from traditional feature extraction techniques such as statistical, frequency, time domain-based analysis and chaotic features using two publicly available datasets MIMIC II and PPG-BP. The comparison of proposed model experimental results with the state-of-the-art models demonstrates the advancement of optimal feature selection technique for blood pressure measurement. The mean absolute error (MAE) and standard deviation SD for optimal feature extraction with the temporal attention mechanism model are 2.31 ± 3.16 mmHg and 1.13 ± 2.32 mmHg utilising MIMIC II data and 3.43 ± 3.08 mmHg and 3.29 ± 2.19 mmHg for PPG-BP dataset for SBP and DBP respectively. The proposed model results satisfied the standard requirements published by the British Hypertension Society (BHS) and US Association for the Advancement of Medical Instrumentation (AAMI) standards. The proposed solution can offer continuous BP estimation and can significantly enhance healthcare by helping individuals manage their cardiovascular health more effectively.&quot;,&quot;author&quot;:[{&quot;dropping-particle&quot;:&quot;&quot;,&quot;family&quot;:&quot;Maqsood&quot;,&quot;given&quot;:&quot;Sumbal&quot;,&quot;non-dropping-particle&quot;:&quot;&quot;,&quot;parse-names&quot;:false,&quot;suffix&quot;:&quot;&quot;},{&quot;dropping-particle&quot;:&quot;&quot;,&quot;family&quot;:&quot;Xu&quot;,&quot;given&quot;:&quot;Shuxiang&quot;,&quot;non-dropping-particle&quot;:&quot;&quot;,&quot;parse-names&quot;:false,&quot;suffix&quot;:&quot;&quot;},{&quot;dropping-particle&quot;:&quot;&quot;,&quot;family&quot;:&quot;Springer&quot;,&quot;given&quot;:&quot;Matthew&quot;,&quot;non-dropping-particle&quot;:&quot;&quot;,&quot;parse-names&quot;:false,&quot;suffix&quot;:&quot;&quot;},{&quot;dropping-particle&quot;:&quot;&quot;,&quot;family&quot;:&quot;Mohawesh&quot;,&quot;given&quot;:&quot;Rami&quot;,&quot;non-dropping-particle&quot;:&quot;&quot;,&quot;parse-names&quot;:false,&quot;suffix&quot;:&quot;&quot;},{&quot;dropping-particle&quot;:&quot;&quot;,&quot;family&quot;:&quot;Salameh&quot;,&quot;given&quot;:&quot;Haythem Bany&quot;,&quot;non-dropping-particle&quot;:&quot;&quot;,&quot;parse-names&quot;:false,&quot;suffix&quot;:&quot;&quot;},{&quot;dropping-particle&quot;:&quot;&quot;,&quot;family&quot;:&quot;Gheewala&quot;,&quot;given&quot;:&quot;Shivangi&quot;,&quot;non-dropping-particle&quot;:&quot;&quot;,&quot;parse-names&quot;:false,&quot;suffix&quot;:&quot;&quot;}],&quot;container-title&quot;:&quot;Cluster Computing&quot;,&quot;id&quot;:&quot;2413b61f-0cb0-5d9d-9569-7df999689db0&quot;,&quot;issue&quot;:&quot;6&quot;,&quot;issued&quot;:{&quot;date-parts&quot;:[[&quot;2025&quot;]]},&quot;title&quot;:&quot;Temporal attention to estimate continuous blood pressure using photoplethysmography signals&quot;,&quot;type&quot;:&quot;article-journal&quot;,&quot;volume&quot;:&quot;28&quot;,&quot;container-title-short&quot;:&quot;Cluster Comput.&quot;},&quot;uris&quot;:[&quot;http://www.mendeley.com/documents/?uuid=dc1274ee-229c-4732-a824-b53c0390b723&quot;],&quot;isTemporary&quot;:false,&quot;legacyDesktopId&quot;:&quot;dc1274ee-229c-4732-a824-b53c0390b723&quot;}]},{&quot;citationID&quot;:&quot;MENDELEY_CITATION_8bd85806-69de-440b-8dc1-0c65daf7772d&quot;,&quot;properties&quot;:{&quot;noteIndex&quot;:0},&quot;isEdited&quot;:false,&quot;manualOverride&quot;:{&quot;citeprocText&quot;:&quot;[414]&quot;,&quot;isManuallyOverridden&quot;:false,&quot;manualOverrideText&quot;:&quot;&quot;},&quot;citationTag&quot;:&quot;MENDELEY_CITATION_v3_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&quot;,&quot;citationItems&quot;:[{&quot;id&quot;:&quot;862638b6-b996-53a3-8366-074fd66ef8bf&quot;,&quot;itemData&quot;:{&quot;DOI&quot;:&quot;10.3390/s22103953&quot;,&quot;ISSN&quot;:&quot;1424-8220&quot;,&quot;PMID&quot;:&quot;35632360&quot;,&quot;abstract&quot;:&quot;Accurate estimation of blood pressure (BP) waveforms is critical for ensuring the safety and proper care of patients in intensive care units (ICUs) and for intraoperative hemodynamic monitoring. Normal cuff-based BP measurements can only provide systolic blood pressure (SBP) and diastolic blood pressure (DBP). Alternatively, the BP waveform can be used to estimate a variety of other physiological parameters and provides additional information about the patient’s health. As a result, various techniques are being proposed for accurately estimating the BP waveforms. The purpose of this review is to summarize the current state of knowledge regarding the BP waveform, three methodologies (pressure-based, ultrasound-based, and deep-learning-based) used in noninvasive BP waveform estimation research and the feasibility of employing these strategies at home as well as in ICUs. Additionally, this article will discuss the physical concepts underlying both invasive and noninvasive BP waveform measurements. We will review historical BP waveform measurements, standard clinical procedures, and more recent innovations in noninvasive BP waveform monitoring. Although the technique has not been validated, it is expected that precise, noninvasive BP waveform estimation will be available in the near future due to its enormous potential.&quot;,&quot;author&quot;:[{&quot;dropping-particle&quot;:&quot;&quot;,&quot;family&quot;:&quot;Athaya&quot;,&quot;given&quot;:&quot;Tasbiraha&quot;,&quot;non-dropping-particle&quot;:&quot;&quot;,&quot;parse-names&quot;:false,&quot;suffix&quot;:&quot;&quot;},{&quot;dropping-particle&quot;:&quot;&quot;,&quot;family&quot;:&quot;Choi&quot;,&quot;given&quot;:&quot;Sunwoong&quot;,&quot;non-dropping-particle&quot;:&quot;&quot;,&quot;parse-names&quot;:false,&quot;suffix&quot;:&quot;&quot;}],&quot;container-title&quot;:&quot;Sensors&quot;,&quot;id&quot;:&quot;862638b6-b996-53a3-8366-074fd66ef8bf&quot;,&quot;issue&quot;:&quot;10&quot;,&quot;issued&quot;:{&quot;date-parts&quot;:[[&quot;2022&quot;,&quot;5&quot;,&quot;23&quot;]]},&quot;page&quot;:&quot;3953&quot;,&quot;title&quot;:&quot;A Review of Noninvasive Methodologies to Estimate the Blood Pressure Waveform&quot;,&quot;type&quot;:&quot;article-journal&quot;,&quot;volume&quot;:&quot;22&quot;,&quot;container-title-short&quot;:&quot;&quot;},&quot;uris&quot;:[&quot;http://www.mendeley.com/documents/?uuid=3a744219-0acb-4f79-8e9e-633cd23ad5f6&quot;],&quot;isTemporary&quot;:false,&quot;legacyDesktopId&quot;:&quot;3a744219-0acb-4f79-8e9e-633cd23ad5f6&quot;}]},{&quot;citationID&quot;:&quot;MENDELEY_CITATION_d6cb9ad5-a48a-45b1-a63e-ba40800b2bbf&quot;,&quot;properties&quot;:{&quot;noteIndex&quot;:0},&quot;isEdited&quot;:false,&quot;manualOverride&quot;:{&quot;citeprocText&quot;:&quot;[465]&quot;,&quot;isManuallyOverridden&quot;:false,&quot;manualOverrideText&quot;:&quot;&quot;},&quot;citationTag&quot;:&quot;MENDELEY_CITATION_v3_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&quot;,&quot;citationItems&quot;:[{&quot;id&quot;:&quot;b3ba64f7-3980-54ea-8a47-1871d61c5e74&quot;,&quot;itemData&quot;:{&quot;DOI&quot;:&quot;10.2345/9781570207228.ch1&quot;,&quot;abstract&quot;:&quot;This document specifies the requirements and methods for the clinical investigation of me equipment used for the intermittent non-invasive automated estimation of the arterial blood pressure by utilizing a cuff. This document is applicable to all sphygmomanometers that sense or display pulsations, flow or sounds for the estimation, display or recording of blood pressure. These sphygmomanometers need not have automatic cuff inflation. This document covers sphygmomanometers intended for use in all patient populations (e.g. all age and weight ranges), and all conditions of use (e.g. ambulatory blood pressure monitoring, stress testing blood pressure monitoring and blood pressure monitors for the home healthcare environment for self-measurement as well as use in a professional healthcare facility). EXAMPLE Automated sphygmomanometer as given in IEC 80601-2-30 undergoing clinical investigation according to this document. This document specifies additional disclosure requirements for the accompanying documents of sphygmomanometers that have passed a clinical investigation according to this document. This document is not applicable to clinical investigations of non-automated sphygmomanometers as given in ISO 81060-1 or invasive blood pressure monitoring equipment as given in IEC 60601-2-34. This document is not applicable to clinical investigations of a set of cuffs that are not of same materials and construction. Each type of cuff set is required to be evaluated separately according to this document.&quot;,&quot;author&quot;:[{&quot;dropping-particle&quot;:&quot;&quot;,&quot;family&quot;:&quot;ISO&quot;,&quot;given&quot;:&quot;&quot;,&quot;non-dropping-particle&quot;:&quot;&quot;,&quot;parse-names&quot;:false,&quot;suffix&quot;:&quot;&quot;}],&quot;id&quot;:&quot;b3ba64f7-3980-54ea-8a47-1871d61c5e74&quot;,&quot;issued&quot;:{&quot;date-parts&quot;:[[&quot;2019&quot;,&quot;3&quot;,&quot;22&quot;]]},&quot;publisher&quot;:&quot;AAMI&quot;,&quot;title&quot;:&quot;Non-invasive sphygmomanometers—Part 2: Clinical investigation of the intermittent automated measurement type&quot;,&quot;type&quot;:&quot;legislation&quot;,&quot;volume&quot;:&quot;2018&quot;,&quot;container-title-short&quot;:&quot;&quot;},&quot;uris&quot;:[&quot;http://www.mendeley.com/documents/?uuid=27debab0-a882-4e1d-8842-b0f7cd275efb&quot;],&quot;isTemporary&quot;:false,&quot;legacyDesktopId&quot;:&quot;27debab0-a882-4e1d-8842-b0f7cd275efb&quot;}]},{&quot;citationID&quot;:&quot;MENDELEY_CITATION_1df6d14d-74bf-44c3-b571-7d0e0c8fe498&quot;,&quot;properties&quot;:{&quot;noteIndex&quot;:0},&quot;isEdited&quot;:false,&quot;manualOverride&quot;:{&quot;citeprocText&quot;:&quot;[466]&quot;,&quot;isManuallyOverridden&quot;:false,&quot;manualOverrideText&quot;:&quot;&quot;},&quot;citationTag&quot;:&quot;MENDELEY_CITATION_v3_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11cnJheSIsImdpdmVuIjoiQWxhbiIsIm5vbi1kcm9wcGluZy1wYXJ0aWNsZSI6IiIsInBhcnNlLW5hbWVzIjpmYWxzZSwic3VmZml4IjoiIn0seyJkcm9wcGluZy1wYXJ0aWNsZSI6IiIsImZhbWlseSI6Ik15ZXJzIiwiZ2l2ZW4iOiJNYXJ0aW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&quot;,&quot;citationItems&quot;:[{&quot;id&quot;:&quot;af4bfda3-1a4f-5cb9-acde-60bf07f27842&quot;,&quot;itemData&quot;:{&quot;DOI&quot;:&quot;10.1161/HYPERTENSIONAHA.117.10237&quot;,&quot;ISSN&quot;:&quot;15244563&quot;,&quot;PMID&quot;:&quot;29386350&quot;,&quot;abstract&quot;:&quot;In the past 30 years, several organizations, such as the US Association for the Advancement of Medical Instrumentation (AAMI), the British Hypertension Society, the European Society of Hypertension (ESH) Working Group on Blood Pressure (BP) Monitoring, and the International Organization for Standardization (ISO), have developed protocols for clinical validation of BP measuring devices. However, it is recognized that science, as well as patients, consumers, and manufacturers, would be best served if all BP measuring devices were assessed for accuracy according to an agreed single validation protocol that had global acceptance. Therefore, an international initiative was taken by the AAMI, ESH, and ISO experts who agreed to develop a universal standard for device validation. This statement presents the key aspects of a validation procedure, which were agreed by the AAMI, ESH, and ISO representatives as the basis for a single universal validation protocol. As soon as the AAMI/ESH/ISO standard is fully developed, this will be regarded as the single universal standard and will replace all other previous standards/protocols.&quot;,&quot;author&quot;:[{&quot;dropping-particle&quot;:&quot;&quot;,&quot;family&quot;:&quot;Stergiou&quot;,&quot;given&quot;:&quot;George S.&quot;,&quot;non-dropping-particle&quot;:&quot;&quot;,&quot;parse-names&quot;:false,&quot;suffix&quot;:&quot;&quot;},{&quot;dropping-particle&quot;:&quot;&quot;,&quot;family&quot;:&quot;Alpert&quot;,&quot;given&quot;:&quot;Bruce&quot;,&quot;non-dropping-particle&quot;:&quot;&quot;,&quot;parse-names&quot;:false,&quot;suffix&quot;:&quot;&quot;},{&quot;dropping-particle&quot;:&quot;&quot;,&quot;family&quot;:&quot;Mieke&quot;,&quot;given&quot;:&quot;Stephan&quot;,&quot;non-dropping-particle&quot;:&quot;&quot;,&quot;parse-names&quot;:false,&quot;suffix&quot;:&quot;&quot;},{&quot;dropping-particle&quot;:&quot;&quot;,&quot;family&quot;:&quot;Asmar&quot;,&quot;given&quot;:&quot;Roland&quot;,&quot;non-dropping-particle&quot;:&quot;&quot;,&quot;parse-names&quot;:false,&quot;suffix&quot;:&quot;&quot;},{&quot;dropping-particle&quot;:&quot;&quot;,&quot;family&quot;:&quot;Atkins&quot;,&quot;given&quot;:&quot;Neil&quot;,&quot;non-dropping-particle&quot;:&quot;&quot;,&quot;parse-names&quot;:false,&quot;suffix&quot;:&quot;&quot;},{&quot;dropping-particle&quot;:&quot;&quot;,&quot;family&quot;:&quot;Eckert&quot;,&quot;given&quot;:&quot;Siegfried&quot;,&quot;non-dropping-particle&quot;:&quot;&quot;,&quot;parse-names&quot;:false,&quot;suffix&quot;:&quot;&quot;},{&quot;dropping-particle&quot;:&quot;&quot;,&quot;family&quot;:&quot;Frick&quot;,&quot;given&quot;:&quot;Gerhard&quot;,&quot;non-dropping-particle&quot;:&quot;&quot;,&quot;parse-names&quot;:false,&quot;suffix&quot;:&quot;&quot;},{&quot;dropping-particle&quot;:&quot;&quot;,&quot;family&quot;:&quot;Friedman&quot;,&quot;given&quot;:&quot;Bruce&quot;,&quot;non-dropping-particle&quot;:&quot;&quot;,&quot;parse-names&quot;:false,&quot;suffix&quot;:&quot;&quot;},{&quot;dropping-particle&quot;:&quot;&quot;,&quot;family&quot;:&quot;Graßl&quot;,&quot;given&quot;:&quot;Thomas&quot;,&quot;non-dropping-particle&quot;:&quot;&quot;,&quot;parse-names&quot;:false,&quot;suffix&quot;:&quot;&quot;},{&quot;dropping-particle&quot;:&quot;&quot;,&quot;family&quot;:&quot;Ichikawa&quot;,&quot;given&quot;:&quot;Tsutomu&quot;,&quot;non-dropping-particle&quot;:&quot;&quot;,&quot;parse-names&quot;:false,&quot;suffix&quot;:&quot;&quot;},{&quot;dropping-particle&quot;:&quot;&quot;,&quot;family&quot;:&quot;Ioannidis&quot;,&quot;given&quot;:&quot;John P.&quot;,&quot;non-dropping-particle&quot;:&quot;&quot;,&quot;parse-names&quot;:false,&quot;suffix&quot;:&quot;&quot;},{&quot;dropping-particle&quot;:&quot;&quot;,&quot;family&quot;:&quot;Lacy&quot;,&quot;given&quot;:&quot;Peter&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Murray&quot;,&quot;given&quot;:&quot;Alan&quot;,&quot;non-dropping-particle&quot;:&quot;&quot;,&quot;parse-names&quot;:false,&quot;suffix&quot;:&quot;&quot;},{&quot;dropping-particle&quot;:&quot;&quot;,&quot;family&quot;:&quot;Myers&quot;,&quot;given&quot;:&quot;Martin&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Quinn&quot;,&quot;given&quot;:&quot;David&quot;,&quot;non-dropping-particle&quot;:&quot;&quot;,&quot;parse-names&quot;:false,&quot;suffix&quot;:&quot;&quot;},{&quot;dropping-particle&quot;:&quot;&quot;,&quot;family&quot;:&quot;Sarkis&quot;,&quot;given&quot;:&quot;Josh&quot;,&quot;non-dropping-particle&quot;:&quot;&quot;,&quot;parse-names&quot;:false,&quot;suffix&quot;:&quot;&quot;},{&quot;dropping-particle&quot;:&quot;&quot;,&quot;family&quot;:&quot;Shennan&quot;,&quot;given&quot;:&quot;Andrew&quot;,&quot;non-dropping-particle&quot;:&quot;&quot;,&quot;parse-names&quot;:false,&quot;suffix&quot;:&quot;&quot;},{&quot;dropping-particle&quot;:&quot;&quot;,&quot;family&quot;:&quot;Usuda&quot;,&quot;given&quot;:&quot;Takashi&quot;,&quot;non-dropping-particle&quot;:&quot;&quot;,&quot;parse-names&quot;:false,&quot;suffix&quot;:&quot;&quot;},{&quot;dropping-particle&quot;:&quot;&quot;,&quot;family&quot;:&quot;Wang&quot;,&quot;given&quot;:&quot;Jiguang&quot;,&quot;non-dropping-particle&quot;:&quot;&quot;,&quot;parse-names&quot;:false,&quot;suffix&quot;:&quot;&quot;},{&quot;dropping-particle&quot;:&quot;&quot;,&quot;family&quot;:&quot;Wu&quot;,&quot;given&quot;:&quot;Colin O.&quot;,&quot;non-dropping-particle&quot;:&quot;&quot;,&quot;parse-names&quot;:false,&quot;suffix&quot;:&quot;&quot;},{&quot;dropping-particle&quot;:&quot;&quot;,&quot;family&quot;:&quot;O'Brien&quot;,&quot;given&quot;:&quot;Eoin&quot;,&quot;non-dropping-particle&quot;:&quot;&quot;,&quot;parse-names&quot;:false,&quot;suffix&quot;:&quot;&quot;}],&quot;container-title&quot;:&quot;Hypertension&quot;,&quot;id&quot;:&quot;af4bfda3-1a4f-5cb9-acde-60bf07f27842&quot;,&quot;issue&quot;:&quot;3&quot;,&quot;issued&quot;:{&quot;date-parts&quot;:[[&quot;2018&quot;]]},&quot;page&quot;:&quot;368-374&quot;,&quot;title&quot;:&quot;A universal standard for the validation of blood pressure measuring devices: Association for the Advancement of Medical Instrumentation/European Society of Hypertension/International Organization for Standardization (AAMI/ESH/ISO) Collaboration Statement&quot;,&quot;type&quot;:&quot;article-journal&quot;,&quot;volume&quot;:&quot;71&quot;,&quot;container-title-short&quot;:&quot;&quot;},&quot;uris&quot;:[&quot;http://www.mendeley.com/documents/?uuid=67192b83-2285-4bd7-8670-b32ced4dcaff&quot;],&quot;isTemporary&quot;:false,&quot;legacyDesktopId&quot;:&quot;67192b83-2285-4bd7-8670-b32ced4dcaff&quot;}]},{&quot;citationID&quot;:&quot;MENDELEY_CITATION_74ad8678-2d8a-474a-a6ee-9926a15924eb&quot;,&quot;properties&quot;:{&quot;noteIndex&quot;:0},&quot;isEdited&quot;:false,&quot;manualOverride&quot;:{&quot;citeprocText&quot;:&quot;[407,470,476]&quot;,&quot;isManuallyOverridden&quot;:false,&quot;manualOverrideText&quot;:&quot;&quot;},&quot;citationTag&quot;:&quot;MENDELEY_CITATION_v3_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&quot;,&quot;citationItems&quot;:[{&quot;id&quot;:&quot;a6f5660d-c180-56cf-beb8-9c64ab78e422&quot;,&quot;itemData&quot;:{&quot;DOI&quot;:&quot;10.5603/KP.2019.0018&quot;,&quot;ISBN&quot;:&quot;0000000000&quot;,&quot;ISSN&quot;:&quot;1897-4279&quot;,&quot;abstract&quot;:&quot;Blood pressure, epidemiology and risk. Globally, over 1 billion people have hypertension. As populations age and adopt more sedentary lifestyles, the worldwide prevalence of hypertension will continue to rise towards 1.5 billion by 2025. Elevated blood pressure (BP) is the leading global contributor to premature death, accounting for almost 10 million deaths in 2015, 4.9 million due to ischaemic heart disease and 3.5 million due to stroke. Hypertension is also a major risk factor for heart failure, atrial fibrillation, chronic kidney disease (CKD), peripheral artery disease (PAD) and cognitive decline. 2. Definition of hypertension. The classification of BP and the definition of hypertension is unchanged from previous European guidelines, and is defined as an office SBP at least 140 mmHg and/or DBP at least 90 mmHg, which is equivalent to a 24-h ABPM average of at least 130/80 mmHg, or a home blood pressure monitoring (HBPM) average at least 135/ 85 mmHg. 3. Screening and diagnosis of hypertension. Hypertension is usually asymptomatic (hence the term 'silent killer'). Because of its high prevalence, screening programmes should be established to ensure that BP is measured in all adults, at least every 5 years and more frequently in people with a high-normal BP. When hypertension is suspected because of an elevated screening BP, the diagnosis of hypertension should be confirmed either by repeated office BP measurements, over a number of visits, or by out-of-office BP measurement using 24-h ABPM or by HBPM. 4. The importance of cardiovascular risk assessment and detection of HMOD. Other cardiovascular risk factors such as dyslipidaemia and metabolic syndrome frequently cluster with hypertension. Thus, unless the patient is already at high or very high risk due to established CVD, formal cardiovascular risk assessment is recommended using the SCORE system. It is important to recognize, however, that the presence of HMOD, especially left ventricular hypertrophy (LVH), chronic kidney disease (CKD) or advanced retinopathy, further increases the risk of cardiovascular morbidity and mortality, and should be screened for as part of risk assessment in hypertensive patients because the SCORE system alone may underestimate their risk. 5. Think - could this patient have secondary hypertension? For most people with hypertension, no underlying cause will be detected. Secondary (and potentially remediable) causes of hypertension are more likely to be present in people w…&quot;,&quot;author&quot;:[{&quot;dropping-particle&quot;:&quot;&quot;,&quot;family&quot;:&quot;Williams&quot;,&quot;given&quot;:&quot;Bryan&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Spiering&quot;,&quot;given&quot;:&quot;Wilko&quot;,&quot;non-dropping-particle&quot;:&quot;&quot;,&quot;parse-names&quot;:false,&quot;suffix&quot;:&quot;&quot;},{&quot;dropping-particle&quot;:&quot;&quot;,&quot;family&quot;:&quot;Rosei&quot;,&quot;given&quot;:&quot;Enrico Agabiti&quot;,&quot;non-dropping-particle&quot;:&quot;&quot;,&quot;parse-names&quot;:false,&quot;suffix&quot;:&quot;&quot;},{&quot;dropping-particle&quot;:&quot;&quot;,&quot;family&quot;:&quot;Azizi&quot;,&quot;given&quot;:&quot;Michel&quot;,&quot;non-dropping-particle&quot;:&quot;&quot;,&quot;parse-names&quot;:false,&quot;suffix&quot;:&quot;&quot;},{&quot;dropping-particle&quot;:&quot;&quot;,&quot;family&quot;:&quot;Burnier&quot;,&quot;given&quot;:&quot;Michel&quot;,&quot;non-dropping-particle&quot;:&quot;&quot;,&quot;parse-names&quot;:false,&quot;suffix&quot;:&quot;&quot;},{&quot;dropping-particle&quot;:&quot;&quot;,&quot;family&quot;:&quot;Clement&quot;,&quot;given&quot;:&quot;Denis L.&quot;,&quot;non-dropping-particle&quot;:&quot;&quot;,&quot;parse-names&quot;:false,&quot;suffix&quot;:&quot;&quot;},{&quot;dropping-particle&quot;:&quot;&quot;,&quot;family&quot;:&quot;Coca&quot;,&quot;given&quot;:&quot;Antonio&quot;,&quot;non-dropping-particle&quot;:&quot;&quot;,&quot;parse-names&quot;:false,&quot;suffix&quot;:&quot;&quot;},{&quot;dropping-particle&quot;:&quot;&quot;,&quot;family&quot;:&quot;Simone&quot;,&quot;given&quot;:&quot;Giovanni&quot;,&quot;non-dropping-particle&quot;:&quot;De&quot;,&quot;parse-names&quot;:false,&quot;suffix&quot;:&quot;&quot;},{&quot;dropping-particle&quot;:&quot;&quot;,&quot;family&quot;:&quot;Dominiczak&quot;,&quot;given&quot;:&quot;Anna&quot;,&quot;non-dropping-particle&quot;:&quot;&quot;,&quot;parse-names&quot;:false,&quot;suffix&quot;:&quot;&quot;},{&quot;dropping-particle&quot;:&quot;&quot;,&quot;family&quot;:&quot;Kahan&quot;,&quot;given&quot;:&quot;Thomas&quot;,&quot;non-dropping-particle&quot;:&quot;&quot;,&quot;parse-names&quot;:false,&quot;suffix&quot;:&quot;&quot;},{&quot;dropping-particle&quot;:&quot;&quot;,&quot;family&quot;:&quot;Mahfoud&quot;,&quot;given&quot;:&quot;Felix&quot;,&quot;non-dropping-particle&quot;:&quot;&quot;,&quot;parse-names&quot;:false,&quot;suffix&quot;:&quot;&quot;},{&quot;dropping-particle&quot;:&quot;&quot;,&quot;family&quot;:&quot;Redon&quot;,&quot;given&quot;:&quot;Josep&quot;,&quot;non-dropping-particle&quot;:&quot;&quot;,&quot;parse-names&quot;:false,&quot;suffix&quot;:&quot;&quot;},{&quot;dropping-particle&quot;:&quot;&quot;,&quot;family&quot;:&quot;Ruilope&quot;,&quot;given&quot;:&quot;Luis&quot;,&quot;non-dropping-particle&quot;:&quot;&quot;,&quot;parse-names&quot;:false,&quot;suffix&quot;:&quot;&quot;},{&quot;dropping-particle&quot;:&quot;&quot;,&quot;family&quot;:&quot;Zanchetti&quot;,&quot;given&quot;:&quot;Alberto&quot;,&quot;non-dropping-particle&quot;:&quot;&quot;,&quot;parse-names&quot;:false,&quot;suffix&quot;:&quot;&quot;},{&quot;dropping-particle&quot;:&quot;&quot;,&quot;family&quot;:&quot;Kerins&quot;,&quot;given&quot;:&quot;Mary&quot;,&quot;non-dropping-particle&quot;:&quot;&quot;,&quot;parse-names&quot;:false,&quot;suffix&quot;:&quot;&quot;},{&quot;dropping-particle&quot;:&quot;&quot;,&quot;family&quot;:&quot;Kjeldsen&quot;,&quot;given&quot;:&quot;Sverre E.&quot;,&quot;non-dropping-particle&quot;:&quot;&quot;,&quot;parse-names&quot;:false,&quot;suffix&quot;:&quot;&quot;},{&quot;dropping-particle&quot;:&quot;&quot;,&quot;family&quot;:&quot;Kreutz&quot;,&quot;given&quot;:&quot;Reinhold&quot;,&quot;non-dropping-particle&quot;:&quot;&quot;,&quot;parse-names&quot;:false,&quot;suffix&quot;:&quot;&quot;},{&quot;dropping-particle&quot;:&quot;&quot;,&quot;family&quot;:&quot;Laurent&quot;,&quot;given&quot;:&quot;Stephane&quot;,&quot;non-dropping-particle&quot;:&quot;&quot;,&quot;parse-names&quot;:false,&quot;suffix&quot;:&quot;&quot;},{&quot;dropping-particle&quot;:&quot;&quot;,&quot;family&quot;:&quot;Lip&quot;,&quot;given&quot;:&quot;Gregory Y. H.&quot;,&quot;non-dropping-particle&quot;:&quot;&quot;,&quot;parse-names&quot;:false,&quot;suffix&quot;:&quot;&quot;},{&quot;dropping-particle&quot;:&quot;&quot;,&quot;family&quot;:&quot;McManus&quot;,&quot;given&quot;:&quot;Richard&quot;,&quot;non-dropping-particle&quot;:&quot;&quot;,&quot;parse-names&quot;:false,&quot;suffix&quot;:&quot;&quot;},{&quot;dropping-particle&quot;:&quot;&quot;,&quot;family&quot;:&quot;Narkiewicz&quot;,&quot;given&quot;:&quot;Krzysztof&quot;,&quot;non-dropping-particle&quot;:&quot;&quot;,&quot;parse-names&quot;:false,&quot;suffix&quot;:&quot;&quot;},{&quot;dropping-particle&quot;:&quot;&quot;,&quot;family&quot;:&quot;Ruschitzka&quot;,&quot;given&quot;:&quot;Frank&quot;,&quot;non-dropping-particle&quot;:&quot;&quot;,&quot;parse-names&quot;:false,&quot;suffix&quot;:&quot;&quot;},{&quot;dropping-particle&quot;:&quot;&quot;,&quot;family&quot;:&quot;Schmieder&quot;,&quot;given&quot;:&quot;Roland E.&quot;,&quot;non-dropping-particle&quot;:&quot;&quot;,&quot;parse-names&quot;:false,&quot;suffix&quot;:&quot;&quot;},{&quot;dropping-particle&quot;:&quot;&quot;,&quot;family&quot;:&quot;Shlyakhto&quot;,&quot;given&quot;:&quot;Evgeny&quot;,&quot;non-dropping-particle&quot;:&quot;&quot;,&quot;parse-names&quot;:false,&quot;suffix&quot;:&quot;&quot;},{&quot;dropping-particle&quot;:&quot;&quot;,&quot;family&quot;:&quot;Tsioufis&quot;,&quot;given&quot;:&quot;Costas&quot;,&quot;non-dropping-particle&quot;:&quot;&quot;,&quot;parse-names&quot;:false,&quot;suffix&quot;:&quot;&quot;},{&quot;dropping-particle&quot;:&quot;&quot;,&quot;family&quot;:&quot;Aboyans&quot;,&quot;given&quot;:&quot;Victor&quot;,&quot;non-dropping-particle&quot;:&quot;&quot;,&quot;parse-names&quot;:false,&quot;suffix&quot;:&quot;&quot;},{&quot;dropping-particle&quot;:&quot;&quot;,&quot;family&quot;:&quot;Desormais&quot;,&quot;given&quot;:&quot;Ileana&quot;,&quot;non-dropping-particle&quot;:&quot;&quot;,&quot;parse-names&quot;:false,&quot;suffix&quot;:&quot;&quot;}],&quot;container-title&quot;:&quot;Kardiologia Polska&quot;,&quot;id&quot;:&quot;a6f5660d-c180-56cf-beb8-9c64ab78e422&quot;,&quot;issue&quot;:&quot;2&quot;,&quot;issued&quot;:{&quot;date-parts&quot;:[[&quot;2019&quot;,&quot;2&quot;,&quot;26&quot;]]},&quot;page&quot;:&quot;71-159&quot;,&quot;title&quot;:&quot;2018 ESC/ESH Guidelines for the management of arterial hypertension&quot;,&quot;type&quot;:&quot;article-journal&quot;,&quot;volume&quot;:&quot;77&quot;,&quot;container-title-short&quot;:&quot;Kardiol. Pol.&quot;},&quot;uris&quot;:[&quot;http://www.mendeley.com/documents/?uuid=42fcc5c2-9473-4a50-9061-1e260985f77f&quot;],&quot;isTemporary&quot;:false,&quot;legacyDesktopId&quot;:&quot;42fcc5c2-9473-4a50-9061-1e260985f77f&quot;},{&quot;id&quot;:&quot;79ee10c0-7361-51d6-83b5-b4f5657b91c3&quot;,&quot;itemData&quot;:{&quot;DOI&quot;:&quot;10.4178/epih.e2023055&quot;,&quot;ISSN&quot;:&quot;2092-7193&quot;,&quot;PMID&quot;:&quot;37309114&quot;,&quot;abstract&quot;:&quot;OBJECTIVES: This prospective cohort study investigated the association between blood pressure (BP) as measured in different body postures and all-cause and cardiovascular (CV) mortality risk.METHODS: This population-based investigation included 8,901 Korean adults in 2001 and 2002. Systolic blood pressure (SBP) and diastolic blood pressure (DBP) were measured sequentially in the sitting, supine, and standing positions and classified into 4 categories: (1) normal, SBP &lt;120 mmHg and DBP &lt;80 mmHg; (2) high normal/prehypertension, SBP 120-129 mmHg and DBP &lt;80 mmHg/SBP 130-139 mmHg or DBP 80-89 mmHg; (3) grade 1 hypertension (HTN), with SBP 140-159 mmHg or DBP 90-99 mmHg; and (4) grade 2 HTN, SBP ≥160 mmHg or DBP ≥100 mmHg. The date and cause of individual deaths were confirmed in the death record data compiled until 2013. Data were analyzed using Cox proportional hazard regression.RESULTS: Significant associations were found between the BP categories and all-cause mortality, but only when BPs were measured in the supine position. The multivariate hazard ratios (95% confidence intervals, [CIs]) were 1.36 (95% CI, 1.06 to 1.75) and 1.59 (95% CI, 1.06 to 2.39) for grade 1 HTN and grade 2 HTN, respectively, compared with the normal category. The associations between the BP categories and CV mortality were significant regardless of body posture among participants ≥65 years, whereas they were significant for supine BP measurements only in those &lt;65 years.CONCLUSIONS: BP measured in the supine position predicted all-cause mortality and CV mortality better than BP measured in other postures.&quot;,&quot;author&quot;:[{&quot;dropping-particle&quot;:&quot;&quot;,&quot;family&quot;:&quot;Baik&quot;,&quot;given&quot;:&quot;Inkyung&quot;,&quot;non-dropping-particle&quot;:&quot;&quot;,&quot;parse-names&quot;:false,&quot;suffix&quot;:&quot;&quot;},{&quot;dropping-particle&quot;:&quot;&quot;,&quot;family&quot;:&quot;Kim&quot;,&quot;given&quot;:&quot;Nan Hee&quot;,&quot;non-dropping-particle&quot;:&quot;&quot;,&quot;parse-names&quot;:false,&quot;suffix&quot;:&quot;&quot;},{&quot;dropping-particle&quot;:&quot;&quot;,&quot;family&quot;:&quot;Kim&quot;,&quot;given&quot;:&quot;Seong Hwan&quot;,&quot;non-dropping-particle&quot;:&quot;&quot;,&quot;parse-names&quot;:false,&quot;suffix&quot;:&quot;&quot;},{&quot;dropping-particle&quot;:&quot;&quot;,&quot;family&quot;:&quot;Shin&quot;,&quot;given&quot;:&quot;Chol&quot;,&quot;non-dropping-particle&quot;:&quot;&quot;,&quot;parse-names&quot;:false,&quot;suffix&quot;:&quot;&quot;}],&quot;container-title&quot;:&quot;Epidemiology and Health&quot;,&quot;id&quot;:&quot;79ee10c0-7361-51d6-83b5-b4f5657b91c3&quot;,&quot;issued&quot;:{&quot;date-parts&quot;:[[&quot;2023&quot;,&quot;6&quot;,&quot;8&quot;]]},&quot;page&quot;:&quot;e2023055&quot;,&quot;title&quot;:&quot;Association of blood pressure measurements in sitting, supine, and standing positions with the 10-year risk of mortality in Korean adults&quot;,&quot;type&quot;:&quot;article-journal&quot;,&quot;volume&quot;:&quot;45&quot;,&quot;container-title-short&quot;:&quot;Epidemiol. Health&quot;},&quot;uris&quot;:[&quot;http://www.mendeley.com/documents/?uuid=bead7fef-b842-4366-8b91-b8b72220ab43&quot;],&quot;isTemporary&quot;:false,&quot;legacyDesktopId&quot;:&quot;bead7fef-b842-4366-8b91-b8b72220ab43&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9b04b4c4-0fd8-4088-a251-8023730e837d&quot;,&quot;properties&quot;:{&quot;noteIndex&quot;:0},&quot;isEdited&quot;:false,&quot;manualOverride&quot;:{&quot;citeprocText&quot;:&quot;[407]&quot;,&quot;isManuallyOverridden&quot;:false,&quot;manualOverrideText&quot;:&quot;&quot;},&quot;citationTag&quot;:&quot;MENDELEY_CITATION_v3_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&quot;,&quot;citationItems&quot;:[{&quot;id&quot;:&quot;cb4541be-bab0-58c3-b062-d011f79db755&quot;,&quot;itemData&quot;:{&quot;DOI&quot;:&quot;10.1161/HYP.0000000000000087&quot;,&quot;ISBN&quot;:&quot;0000000000000&quot;,&quot;ISSN&quot;:&quot;0194-911X&quot;,&quot;PMID&quot;:&quot;30827125&quot;,&quot;abstract&quot;:&quot;The accurate measurement of blood pressure (BP) is essential for the diagnosis and management of hypertension. This article provides an updated American Heart Association scientific statement on BP measurement in humans. In the office setting, many oscillometric devices have been validated that allow accurate BP measurement while reducing human errors associated with the auscultatory approach. Fully automated oscillometric devices capable of taking multiple readings even without an observer being present may provide a more accurate measurement of BP than auscultation. Studies have shown substantial differences in BP when measured outside versus in the office setting. Ambulatory BP monitoring is considered the reference standard for out-of-office BP assessment, with home BP monitoring being an alternative when ambulatory BP monitoring is not available or tolerated. Compared with their counterparts with sustained normotension (ie, nonhypertensive BP levels in and outside the office setting), it is unclear whether adults with white-coat hypertension (ie, hypertensive BP levels in the office but not outside the office) have increased cardiovascular disease risk, whereas those with masked hypertension (ie, hypertensive BP levels outside the office but not in the office) are at substantially increased risk. In addition, high nighttime BP on ambulatory BP monitoring is associated with increased cardiovascular disease risk. Both oscillometric and auscultatory methods are considered acceptable for measuring BP in children and adolescents. Regardless of the method used to measure BP, initial and ongoing training of technicians and healthcare providers and the use of validated and calibrated devices are critical for obtaining accurate BP measurements.&quot;,&quot;author&quot;:[{&quot;dropping-particle&quot;:&quot;&quot;,&quot;family&quot;:&quot;Muntner&quot;,&quot;given&quot;:&quot;Paul&quot;,&quot;non-dropping-particle&quot;:&quot;&quot;,&quot;parse-names&quot;:false,&quot;suffix&quot;:&quot;&quot;},{&quot;dropping-particle&quot;:&quot;&quot;,&quot;family&quot;:&quot;Shimbo&quot;,&quot;given&quot;:&quot;Daichi&quot;,&quot;non-dropping-particle&quot;:&quot;&quot;,&quot;parse-names&quot;:false,&quot;suffix&quot;:&quot;&quot;},{&quot;dropping-particle&quot;:&quot;&quot;,&quot;family&quot;:&quot;Carey&quot;,&quot;given&quot;:&quot;Robert M.&quot;,&quot;non-dropping-particle&quot;:&quot;&quot;,&quot;parse-names&quot;:false,&quot;suffix&quot;:&quot;&quot;},{&quot;dropping-particle&quot;:&quot;&quot;,&quot;family&quot;:&quot;Charleston&quot;,&quot;given&quot;:&quot;Jeanne B.&quot;,&quot;non-dropping-particle&quot;:&quot;&quot;,&quot;parse-names&quot;:false,&quot;suffix&quot;:&quot;&quot;},{&quot;dropping-particle&quot;:&quot;&quot;,&quot;family&quot;:&quot;Gaillard&quot;,&quot;given&quot;:&quot;Trudy&quot;,&quot;non-dropping-particle&quot;:&quot;&quot;,&quot;parse-names&quot;:false,&quot;suffix&quot;:&quot;&quot;},{&quot;dropping-particle&quot;:&quot;&quot;,&quot;family&quot;:&quot;Misra&quot;,&quot;given&quot;:&quot;Sanjay&quot;,&quot;non-dropping-particle&quot;:&quot;&quot;,&quot;parse-names&quot;:false,&quot;suffix&quot;:&quot;&quot;},{&quot;dropping-particle&quot;:&quot;&quot;,&quot;family&quot;:&quot;Myers&quot;,&quot;given&quot;:&quot;Martin G.&quot;,&quot;non-dropping-particle&quot;:&quot;&quot;,&quot;parse-names&quot;:false,&quot;suffix&quot;:&quot;&quot;},{&quot;dropping-particle&quot;:&quot;&quot;,&quot;family&quot;:&quot;Ogedegbe&quot;,&quot;given&quot;:&quot;Gbenga&quot;,&quot;non-dropping-particle&quot;:&quot;&quot;,&quot;parse-names&quot;:false,&quot;suffix&quot;:&quot;&quot;},{&quot;dropping-particle&quot;:&quot;&quot;,&quot;family&quot;:&quot;Schwartz&quot;,&quot;given&quot;:&quot;Joseph E.&quot;,&quot;non-dropping-particle&quot;:&quot;&quot;,&quot;parse-names&quot;:false,&quot;suffix&quot;:&quot;&quot;},{&quot;dropping-particle&quot;:&quot;&quot;,&quot;family&quot;:&quot;Townsend&quot;,&quot;given&quot;:&quot;Raymond R.&quot;,&quot;non-dropping-particle&quot;:&quot;&quot;,&quot;parse-names&quot;:false,&quot;suffix&quot;:&quot;&quot;},{&quot;dropping-particle&quot;:&quot;&quot;,&quot;family&quot;:&quot;Urbina&quot;,&quot;given&quot;:&quot;Elaine M.&quot;,&quot;non-dropping-particle&quot;:&quot;&quot;,&quot;parse-names&quot;:false,&quot;suffix&quot;:&quot;&quot;},{&quot;dropping-particle&quot;:&quot;&quot;,&quot;family&quot;:&quot;Viera&quot;,&quot;given&quot;:&quot;Anthony J.&quot;,&quot;non-dropping-particle&quot;:&quot;&quot;,&quot;parse-names&quot;:false,&quot;suffix&quot;:&quot;&quot;},{&quot;dropping-particle&quot;:&quot;&quot;,&quot;family&quot;:&quot;White&quot;,&quot;given&quot;:&quot;William B.&quot;,&quot;non-dropping-particle&quot;:&quot;&quot;,&quot;parse-names&quot;:false,&quot;suffix&quot;:&quot;&quot;},{&quot;dropping-particle&quot;:&quot;&quot;,&quot;family&quot;:&quot;Wright&quot;,&quot;given&quot;:&quot;Jackson T.&quot;,&quot;non-dropping-particle&quot;:&quot;&quot;,&quot;parse-names&quot;:false,&quot;suffix&quot;:&quot;&quot;}],&quot;container-title&quot;:&quot;Hypertension&quot;,&quot;id&quot;:&quot;cb4541be-bab0-58c3-b062-d011f79db755&quot;,&quot;issue&quot;:&quot;5&quot;,&quot;issued&quot;:{&quot;date-parts&quot;:[[&quot;2019&quot;,&quot;5&quot;]]},&quot;page&quot;:&quot;E35-E66&quot;,&quot;title&quot;:&quot;Measurement of Blood Pressure in Humans: A Scientific Statement From the American Heart Association&quot;,&quot;type&quot;:&quot;article-journal&quot;,&quot;volume&quot;:&quot;73&quot;,&quot;container-title-short&quot;:&quot;&quot;},&quot;uris&quot;:[&quot;http://www.mendeley.com/documents/?uuid=d3c51e54-28d4-40e1-b8cd-f2381e4fe9da&quot;],&quot;isTemporary&quot;:false,&quot;legacyDesktopId&quot;:&quot;d3c51e54-28d4-40e1-b8cd-f2381e4fe9da&quot;}]},{&quot;citationID&quot;:&quot;MENDELEY_CITATION_9de40fab-172d-4858-87ab-4e4a7e4442e3&quot;,&quot;properties&quot;:{&quot;noteIndex&quot;:0},&quot;isEdited&quot;:false,&quot;manualOverride&quot;:{&quot;citeprocText&quot;:&quot;[477]&quot;,&quot;isManuallyOverridden&quot;:false,&quot;manualOverrideText&quot;:&quot;&quot;},&quot;citationTag&quot;:&quot;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&quot;,&quot;citationItems&quot;:[{&quot;id&quot;:&quot;2fb45d51-da6e-5e46-b0d1-ca4af8e1de18&quot;,&quot;itemData&quot;:{&quot;DOI&quot;:&quot;10.1093/eurheartj/eht296&quot;,&quot;ISSN&quot;:&quot;15229645&quot;,&quot;PMID&quot;:&quot;23996286&quot;,&quot;author&quot;:[{&quot;dropping-particle&quot;:&quot;&quot;,&quot;family&quot;:&quot;Montalescot&quot;,&quot;given&quot;:&quot;Gilles&quot;,&quot;non-dropping-particle&quot;:&quot;&quot;,&quot;parse-names&quot;:false,&quot;suffix&quot;:&quot;&quot;},{&quot;dropping-particle&quot;:&quot;&quot;,&quot;family&quot;:&quot;Sechtem&quot;,&quot;given&quot;:&quot;Udo&quot;,&quot;non-dropping-particle&quot;:&quot;&quot;,&quot;parse-names&quot;:false,&quot;suffix&quot;:&quot;&quot;},{&quot;dropping-particle&quot;:&quot;&quot;,&quot;family&quot;:&quot;Achenbach&quot;,&quot;given&quot;:&quot;Stephan&quot;,&quot;non-dropping-particle&quot;:&quot;&quot;,&quot;parse-names&quot;:false,&quot;suffix&quot;:&quot;&quot;},{&quot;dropping-particle&quot;:&quot;&quot;,&quot;family&quot;:&quot;Andreotti&quot;,&quot;given&quot;:&quot;Felicita&quot;,&quot;non-dropping-particle&quot;:&quot;&quot;,&quot;parse-names&quot;:false,&quot;suffix&quot;:&quot;&quot;},{&quot;dropping-particle&quot;:&quot;&quot;,&quot;family&quot;:&quot;Arden&quot;,&quot;given&quot;:&quot;Chris&quot;,&quot;non-dropping-particle&quot;:&quot;&quot;,&quot;parse-names&quot;:false,&quot;suffix&quot;:&quot;&quot;},{&quot;dropping-particle&quot;:&quot;&quot;,&quot;family&quot;:&quot;Budaj&quot;,&quot;given&quot;:&quot;Andrzej&quot;,&quot;non-dropping-particle&quot;:&quot;&quot;,&quot;parse-names&quot;:false,&quot;suffix&quot;:&quot;&quot;},{&quot;dropping-particle&quot;:&quot;&quot;,&quot;family&quot;:&quot;Bugiardini&quot;,&quot;given&quot;:&quot;Raffaele&quot;,&quot;non-dropping-particle&quot;:&quot;&quot;,&quot;parse-names&quot;:false,&quot;suffix&quot;:&quot;&quot;},{&quot;dropping-particle&quot;:&quot;&quot;,&quot;family&quot;:&quot;Crea&quot;,&quot;given&quot;:&quot;Filippo&quot;,&quot;non-dropping-particle&quot;:&quot;&quot;,&quot;parse-names&quot;:false,&quot;suffix&quot;:&quot;&quot;},{&quot;dropping-particle&quot;:&quot;&quot;,&quot;family&quot;:&quot;Cuisset&quot;,&quot;given&quot;:&quot;Thomas&quot;,&quot;non-dropping-particle&quot;:&quot;&quot;,&quot;parse-names&quot;:false,&quot;suffix&quot;:&quot;&quot;},{&quot;dropping-particle&quot;:&quot;&quot;,&quot;family&quot;:&quot;Mario&quot;,&quot;given&quot;:&quot;Carlo&quot;,&quot;non-dropping-particle&quot;:&quot;Di&quot;,&quot;parse-names&quot;:false,&quot;suffix&quot;:&quot;&quot;},{&quot;dropping-particle&quot;:&quot;&quot;,&quot;family&quot;:&quot;Ferreira&quot;,&quot;given&quot;:&quot;J. Rafael&quot;,&quot;non-dropping-particle&quot;:&quot;&quot;,&quot;parse-names&quot;:false,&quot;suffix&quot;:&quot;&quot;},{&quot;dropping-particle&quot;:&quot;&quot;,&quot;family&quot;:&quot;Gersh&quot;,&quot;given&quot;:&quot;Bernard J.&quot;,&quot;non-dropping-particle&quot;:&quot;&quot;,&quot;parse-names&quot;:false,&quot;suffix&quot;:&quot;&quot;},{&quot;dropping-particle&quot;:&quot;&quot;,&quot;family&quot;:&quot;Gitt&quot;,&quot;given&quot;:&quot;Anselm K.&quot;,&quot;non-dropping-particle&quot;:&quot;&quot;,&quot;parse-names&quot;:false,&quot;suffix&quot;:&quot;&quot;},{&quot;dropping-particle&quot;:&quot;&quot;,&quot;family&quot;:&quot;Hulot&quot;,&quot;given&quot;:&quot;Jean Sebastien&quot;,&quot;non-dropping-particle&quot;:&quot;&quot;,&quot;parse-names&quot;:false,&quot;suffix&quot;:&quot;&quot;},{&quot;dropping-particle&quot;:&quot;&quot;,&quot;family&quot;:&quot;Marx&quot;,&quot;given&quot;:&quot;Nikolaus&quot;,&quot;non-dropping-particle&quot;:&quot;&quot;,&quot;parse-names&quot;:false,&quot;suffix&quot;:&quot;&quot;},{&quot;dropping-particle&quot;:&quot;&quot;,&quot;family&quot;:&quot;Opie&quot;,&quot;given&quot;:&quot;Lionel H.&quot;,&quot;non-dropping-particle&quot;:&quot;&quot;,&quot;parse-names&quot;:false,&quot;suffix&quot;:&quot;&quot;},{&quot;dropping-particle&quot;:&quot;&quot;,&quot;family&quot;:&quot;Pfisterer&quot;,&quot;given&quot;:&quot;Matthias&quot;,&quot;non-dropping-particle&quot;:&quot;&quot;,&quot;parse-names&quot;:false,&quot;suffix&quot;:&quot;&quot;},{&quot;dropping-particle&quot;:&quot;&quot;,&quot;family&quot;:&quot;Prescott&quot;,&quot;given&quot;:&quot;Eva&quot;,&quot;non-dropping-particle&quot;:&quot;&quot;,&quot;parse-names&quot;:false,&quot;suffix&quot;:&quot;&quot;},{&quot;dropping-particle&quot;:&quot;&quot;,&quot;family&quot;:&quot;Ruschitzka&quot;,&quot;given&quot;:&quot;Frank&quot;,&quot;non-dropping-particle&quot;:&quot;&quot;,&quot;parse-names&quot;:false,&quot;suffix&quot;:&quot;&quot;},{&quot;dropping-particle&quot;:&quot;&quot;,&quot;family&quot;:&quot;Sabaté&quot;,&quot;given&quot;:&quot;Manel&quot;,&quot;non-dropping-particle&quot;:&quot;&quot;,&quot;parse-names&quot;:false,&quot;suffix&quot;:&quot;&quot;},{&quot;dropping-particle&quot;:&quot;&quot;,&quot;family&quot;:&quot;Senior&quot;,&quot;given&quot;:&quot;Roxy&quot;,&quot;non-dropping-particle&quot;:&quot;&quot;,&quot;parse-names&quot;:false,&quot;suffix&quot;:&quot;&quot;},{&quot;dropping-particle&quot;:&quot;&quot;,&quot;family&quot;:&quot;Taggart&quot;,&quot;given&quot;:&quot;David Paul&quot;,&quot;non-dropping-particle&quot;:&quot;&quot;,&quot;parse-names&quot;:false,&quot;suffix&quot;:&quot;&quot;},{&quot;dropping-particle&quot;:&quot;&quot;,&quot;family&quot;:&quot;Wall&quot;,&quot;given&quot;:&quot;Ernst E.&quot;,&quot;non-dropping-particle&quot;:&quot;Van Der&quot;,&quot;parse-names&quot;:false,&quot;suffix&quot;:&quot;&quot;},{&quot;dropping-particle&quot;:&quot;&quot;,&quot;family&quot;:&quot;Vrints&quot;,&quot;given&quot;:&quot;Christiaan J.M.&quot;,&quot;non-dropping-particle&quot;:&quot;&quot;,&quot;parse-names&quot;:false,&quot;suffix&quot;:&quot;&quot;},{&quot;dropping-particle&quot;:&quot;&quot;,&quot;family&quot;:&quot;Zamorano&quot;,&quot;given&quot;:&quot;Jose Luis&quot;,&quot;non-dropping-particle&quot;:&quot;&quot;,&quot;parse-names&quot;:false,&quot;suffix&quot;:&quot;&quot;},{&quot;dropping-particle&quot;:&quot;&quot;,&quot;family&quot;:&quot;Baumgartner&quot;,&quot;given&quot;:&quot;Helmut&quot;,&quot;non-dropping-particle&quot;:&quot;&quot;,&quot;parse-names&quot;:false,&quot;suffix&quot;:&quot;&quot;},{&quot;dropping-particle&quot;:&quot;&quot;,&quot;family&quot;:&quot;Bax&quot;,&quot;given&quot;:&quot;Jeroen J.&quot;,&quot;non-dropping-particle&quot;:&quot;&quot;,&quot;parse-names&quot;:false,&quot;suffix&quot;:&quot;&quot;},{&quot;dropping-particle&quot;:&quot;&quot;,&quot;family&quot;:&quot;Bueno&quot;,&quot;given&quot;:&quot;Héctor&quot;,&quot;non-dropping-particle&quot;:&quot;&quot;,&quot;parse-names&quot;:false,&quot;suffix&quot;:&quot;&quot;},{&quot;dropping-particle&quot;:&quot;&quot;,&quot;family&quot;:&quot;Dean&quot;,&quot;given&quot;:&quot;Veronica&quot;,&quot;non-dropping-particle&quot;:&quot;&quot;,&quot;parse-names&quot;:false,&quot;suffix&quot;:&quot;&quot;},{&quot;dropping-particle&quot;:&quot;&quot;,&quot;family&quot;:&quot;Deaton&quot;,&quot;given&quot;:&quot;Christi&quot;,&quot;non-dropping-particle&quot;:&quot;&quot;,&quot;parse-names&quot;:false,&quot;suffix&quot;:&quot;&quot;},{&quot;dropping-particle&quot;:&quot;&quot;,&quot;family&quot;:&quot;Erol&quot;,&quot;given&quot;:&quot;Cetin&quot;,&quot;non-dropping-particle&quot;:&quot;&quot;,&quot;parse-names&quot;:false,&quot;suffix&quot;:&quot;&quot;},{&quot;dropping-particle&quot;:&quot;&quot;,&quot;family&quot;:&quot;Fagard&quot;,&quot;given&quot;:&quot;Robert&quot;,&quot;non-dropping-particle&quot;:&quot;&quot;,&quot;parse-names&quot;:false,&quot;suffix&quot;:&quot;&quot;},{&quot;dropping-particle&quot;:&quot;&quot;,&quot;family&quot;:&quot;Ferrari&quot;,&quot;given&quot;:&quot;Roberto&quot;,&quot;non-dropping-particle&quot;:&quot;&quot;,&quot;parse-names&quot;:false,&quot;suffix&quot;:&quot;&quot;},{&quot;dropping-particle&quot;:&quot;&quot;,&quot;family&quot;:&quot;Hasdai&quot;,&quot;given&quot;:&quot;David&quot;,&quot;non-dropping-particle&quot;:&quot;&quot;,&quot;parse-names&quot;:false,&quot;suffix&quot;:&quot;&quot;},{&quot;dropping-particle&quot;:&quot;&quot;,&quot;family&quot;:&quot;Hoes&quot;,&quot;given&quot;:&quot;Arno W.&quot;,&quot;non-dropping-particle&quot;:&quot;&quot;,&quot;parse-names&quot;:false,&quot;suffix&quot;:&quot;&quot;},{&quot;dropping-particle&quot;:&quot;&quot;,&quot;family&quot;:&quot;Kirchhof&quot;,&quot;given&quot;:&quot;Paulus&quot;,&quot;non-dropping-particle&quot;:&quot;&quot;,&quot;parse-names&quot;:false,&quot;suffix&quot;:&quot;&quot;},{&quot;dropping-particle&quot;:&quot;&quot;,&quot;family&quot;:&quot;Knuuti&quot;,&quot;given&quot;:&quot;Juhani&quot;,&quot;non-dropping-particle&quot;:&quot;&quot;,&quot;parse-names&quot;:false,&quot;suffix&quot;:&quot;&quot;},{&quot;dropping-particle&quot;:&quot;&quot;,&quot;family&quot;:&quot;Kolh&quot;,&quot;given&quot;:&quot;Philippe&quot;,&quot;non-dropping-particle&quot;:&quot;&quot;,&quot;parse-names&quot;:false,&quot;suffix&quot;:&quot;&quot;},{&quot;dropping-particle&quot;:&quot;&quot;,&quot;family&quot;:&quot;Lancellotti&quot;,&quot;given&quot;:&quot;Patrizio&quot;,&quot;non-dropping-particle&quot;:&quot;&quot;,&quot;parse-names&quot;:false,&quot;suffix&quot;:&quot;&quot;},{&quot;dropping-particle&quot;:&quot;&quot;,&quot;family&quot;:&quot;Linhart&quot;,&quot;given&quot;:&quot;Ales&quot;,&quot;non-dropping-particle&quot;:&quot;&quot;,&quot;parse-names&quot;:false,&quot;suffix&quot;:&quot;&quot;},{&quot;dropping-particle&quot;:&quot;&quot;,&quot;family&quot;:&quot;Nihoyannopoulos&quot;,&quot;given&quot;:&quot;Petros&quot;,&quot;non-dropping-particle&quot;:&quot;&quot;,&quot;parse-names&quot;:false,&quot;suffix&quot;:&quot;&quot;},{&quot;dropping-particle&quot;:&quot;&quot;,&quot;family&quot;:&quot;Piepoli&quot;,&quot;given&quot;:&quot;Massimo F.&quot;,&quot;non-dropping-particle&quot;:&quot;&quot;,&quot;parse-names&quot;:false,&quot;suffix&quot;:&quot;&quot;},{&quot;dropping-particle&quot;:&quot;&quot;,&quot;family&quot;:&quot;Ponikowski&quot;,&quot;given&quot;:&quot;Piotr&quot;,&quot;non-dropping-particle&quot;:&quot;&quot;,&quot;parse-names&quot;:false,&quot;suffix&quot;:&quot;&quot;},{&quot;dropping-particle&quot;:&quot;&quot;,&quot;family&quot;:&quot;Sirnes&quot;,&quot;given&quot;:&quot;Per Anton&quot;,&quot;non-dropping-particle&quot;:&quot;&quot;,&quot;parse-names&quot;:false,&quot;suffix&quot;:&quot;&quot;},{&quot;dropping-particle&quot;:&quot;&quot;,&quot;family&quot;:&quot;Tamargo&quot;,&quot;given&quot;:&quot;Juan Luis&quot;,&quot;non-dropping-particle&quot;:&quot;&quot;,&quot;parse-names&quot;:false,&quot;suffix&quot;:&quot;&quot;},{&quot;dropping-particle&quot;:&quot;&quot;,&quot;family&quot;:&quot;Tendera&quot;,&quot;given&quot;:&quot;Michal&quot;,&quot;non-dropping-particle&quot;:&quot;&quot;,&quot;parse-names&quot;:false,&quot;suffix&quot;:&quot;&quot;},{&quot;dropping-particle&quot;:&quot;&quot;,&quot;family&quot;:&quot;Torbicki&quot;,&quot;given&quot;:&quot;Adam&quot;,&quot;non-dropping-particle&quot;:&quot;&quot;,&quot;parse-names&quot;:false,&quot;suffix&quot;:&quot;&quot;},{&quot;dropping-particle&quot;:&quot;&quot;,&quot;family&quot;:&quot;Wijns&quot;,&quot;given&quot;:&quot;William&quot;,&quot;non-dropping-particle&quot;:&quot;&quot;,&quot;parse-names&quot;:false,&quot;suffix&quot;:&quot;&quot;},{&quot;dropping-particle&quot;:&quot;&quot;,&quot;family&quot;:&quot;Windecker&quot;,&quot;given&quot;:&quot;Stephan&quot;,&quot;non-dropping-particle&quot;:&quot;&quot;,&quot;parse-names&quot;:false,&quot;suffix&quot;:&quot;&quot;},{&quot;dropping-particle&quot;:&quot;&quot;,&quot;family&quot;:&quot;Valgimigli&quot;,&quot;given&quot;:&quot;Marco&quot;,&quot;non-dropping-particle&quot;:&quot;&quot;,&quot;parse-names&quot;:false,&quot;suffix&quot;:&quot;&quot;},{&quot;dropping-particle&quot;:&quot;&quot;,&quot;family&quot;:&quot;Claeys&quot;,&quot;given&quot;:&quot;Marc J.&quot;,&quot;non-dropping-particle&quot;:&quot;&quot;,&quot;parse-names&quot;:false,&quot;suffix&quot;:&quot;&quot;},{&quot;dropping-particle&quot;:&quot;&quot;,&quot;family&quot;:&quot;Donner-Banzhoff&quot;,&quot;given&quot;:&quot;Norbert&quot;,&quot;non-dropping-particle&quot;:&quot;&quot;,&quot;parse-names&quot;:false,&quot;suffix&quot;:&quot;&quot;},{&quot;dropping-particle&quot;:&quot;&quot;,&quot;family&quot;:&quot;Frank&quot;,&quot;given&quot;:&quot;Herbert&quot;,&quot;non-dropping-particle&quot;:&quot;&quot;,&quot;parse-names&quot;:false,&quot;suffix&quot;:&quot;&quot;},{&quot;dropping-particle&quot;:&quot;&quot;,&quot;family&quot;:&quot;Funck-Brentano&quot;,&quot;given&quot;:&quot;Christian&quot;,&quot;non-dropping-particle&quot;:&quot;&quot;,&quot;parse-names&quot;:false,&quot;suffix&quot;:&quot;&quot;},{&quot;dropping-particle&quot;:&quot;&quot;,&quot;family&quot;:&quot;Gaemperli&quot;,&quot;given&quot;:&quot;Oliver&quot;,&quot;non-dropping-particle&quot;:&quot;&quot;,&quot;parse-names&quot;:false,&quot;suffix&quot;:&quot;&quot;},{&quot;dropping-particle&quot;:&quot;&quot;,&quot;family&quot;:&quot;Gonzalez-Juanatey&quot;,&quot;given&quot;:&quot;José R.&quot;,&quot;non-dropping-particle&quot;:&quot;&quot;,&quot;parse-names&quot;:false,&quot;suffix&quot;:&quot;&quot;},{&quot;dropping-particle&quot;:&quot;&quot;,&quot;family&quot;:&quot;Hamilos&quot;,&quot;given&quot;:&quot;Michalis&quot;,&quot;non-dropping-particle&quot;:&quot;&quot;,&quot;parse-names&quot;:false,&quot;suffix&quot;:&quot;&quot;},{&quot;dropping-particle&quot;:&quot;&quot;,&quot;family&quot;:&quot;Husted&quot;,&quot;given&quot;:&quot;Steen&quot;,&quot;non-dropping-particle&quot;:&quot;&quot;,&quot;parse-names&quot;:false,&quot;suffix&quot;:&quot;&quot;},{&quot;dropping-particle&quot;:&quot;&quot;,&quot;family&quot;:&quot;James&quot;,&quot;given&quot;:&quot;Stefan K.&quot;,&quot;non-dropping-particle&quot;:&quot;&quot;,&quot;parse-names&quot;:false,&quot;suffix&quot;:&quot;&quot;},{&quot;dropping-particle&quot;:&quot;&quot;,&quot;family&quot;:&quot;Kervinen&quot;,&quot;given&quot;:&quot;Kari&quot;,&quot;non-dropping-particle&quot;:&quot;&quot;,&quot;parse-names&quot;:false,&quot;suffix&quot;:&quot;&quot;},{&quot;dropping-particle&quot;:&quot;&quot;,&quot;family&quot;:&quot;Kristensen&quot;,&quot;given&quot;:&quot;Steen Dalby&quot;,&quot;non-dropping-particle&quot;:&quot;&quot;,&quot;parse-names&quot;:false,&quot;suffix&quot;:&quot;&quot;},{&quot;dropping-particle&quot;:&quot;Pietro&quot;,&quot;family&quot;:&quot;Maggioni&quot;,&quot;given&quot;:&quot;Aldo&quot;,&quot;non-dropping-particle&quot;:&quot;&quot;,&quot;parse-names&quot;:false,&quot;suffix&quot;:&quot;&quot;},{&quot;dropping-particle&quot;:&quot;&quot;,&quot;family&quot;:&quot;Romeo&quot;,&quot;given&quot;:&quot;Francesco&quot;,&quot;non-dropping-particle&quot;:&quot;&quot;,&quot;parse-names&quot;:false,&quot;suffix&quot;:&quot;&quot;},{&quot;dropping-particle&quot;:&quot;&quot;,&quot;family&quot;:&quot;Rydén&quot;,&quot;given&quot;:&quot;Lars&quot;,&quot;non-dropping-particle&quot;:&quot;&quot;,&quot;parse-names&quot;:false,&quot;suffix&quot;:&quot;&quot;},{&quot;dropping-particle&quot;:&quot;&quot;,&quot;family&quot;:&quot;Simoons&quot;,&quot;given&quot;:&quot;Maarten L.&quot;,&quot;non-dropping-particle&quot;:&quot;&quot;,&quot;parse-names&quot;:false,&quot;suffix&quot;:&quot;&quot;},{&quot;dropping-particle&quot;:&quot;&quot;,&quot;family&quot;:&quot;Steg&quot;,&quot;given&quot;:&quot;Ph Gabriel&quot;,&quot;non-dropping-particle&quot;:&quot;&quot;,&quot;parse-names&quot;:false,&quot;suffix&quot;:&quot;&quot;},{&quot;dropping-particle&quot;:&quot;&quot;,&quot;family&quot;:&quot;Timmis&quot;,&quot;given&quot;:&quot;Adam&quot;,&quot;non-dropping-particle&quot;:&quot;&quot;,&quot;parse-names&quot;:false,&quot;suffix&quot;:&quot;&quot;},{&quot;dropping-particle&quot;:&quot;&quot;,&quot;family&quot;:&quot;Yildirir&quot;,&quot;given&quot;:&quot;Aylin&quot;,&quot;non-dropping-particle&quot;:&quot;&quot;,&quot;parse-names&quot;:false,&quot;suffix&quot;:&quot;&quot;}],&quot;container-title&quot;:&quot;European Heart Journal&quot;,&quot;id&quot;:&quot;2fb45d51-da6e-5e46-b0d1-ca4af8e1de18&quot;,&quot;issue&quot;:&quot;38&quot;,&quot;issued&quot;:{&quot;date-parts&quot;:[[&quot;2013&quot;]]},&quot;page&quot;:&quot;2949-3003&quot;,&quot;title&quot;:&quot;2013 ESC guidelines on the management of stable coronary artery disease&quot;,&quot;type&quot;:&quot;article-journal&quot;,&quot;volume&quot;:&quot;34&quot;,&quot;container-title-short&quot;:&quot;Eur. Heart J.&quot;},&quot;uris&quot;:[&quot;http://www.mendeley.com/documents/?uuid=8edae208-bf33-407b-ab55-228197dc34f3&quot;],&quot;isTemporary&quot;:false,&quot;legacyDesktopId&quot;:&quot;8edae208-bf33-407b-ab55-228197dc34f3&quot;}]},{&quot;citationID&quot;:&quot;MENDELEY_CITATION_e1928eec-1d4f-422b-8a81-bc1b5141b857&quot;,&quot;properties&quot;:{&quot;noteIndex&quot;:0},&quot;isEdited&quot;:false,&quot;manualOverride&quot;:{&quot;citeprocText&quot;:&quot;[478]&quot;,&quot;isManuallyOverridden&quot;:false,&quot;manualOverrideText&quot;:&quot;&quot;},&quot;citationTag&quot;:&quot;MENDELEY_CITATION_v3_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&quot;,&quot;citationItems&quot;:[{&quot;id&quot;:&quot;e2c871dd-b179-5aa0-aad3-6aba017deaa3&quot;,&quot;itemData&quot;:{&quot;DOI&quot;:&quot;10.1109/ICMLA52953.2021.00241&quot;,&quot;ISBN&quot;:&quot;9781665443371&quot;,&quot;abstract&quot;:&quot;Blood pressure (BP) is one of the most influential bio-markers for cardiovascular diseases and stroke; therefore, it needs to be regularly monitored to diagnose and prevent any advent of medical complications. Current cuffless approaches to continuous BP monitoring, though non-invasive and unobtrusive, involve explicit feature engineering surrounding fingertip Photo-plethysmogram (PPG) signals. To circumvent this, we present an end-to-end deep learning solution, BP-Net, that uses PPG waveform to estimate Systolic BP (SBP), Mean Average Pressure (MAP), and Diastolic BP (DBP) through intermediate continuous Arterial BP (ABP) waveform. Under the terms of the British Hypertension Society (BHS) standard, BP-Net achieves Grade A for DBP and MAP estimation and Grade B for SBP estimation. BP-Net also satisfies Advancement of Medical Instrumentation (AAMI) criteria for DBP and MAP estimation and achieves Mean Absolute Error (MAE) of 5.16 mmHg and 2.89 mmHg for SBP and DBP, respectively. Further, we establish the ubiquitous potential of our approach by deploying BP-Net on a Raspberry Pi 4 device and achieve 4.25 ms inference time for our model to translate the PPG waveform to ABP waveform.&quot;,&quot;author&quot;:[{&quot;dropping-particle&quot;:&quot;&quot;,&quot;family&quot;:&quot;Rishi Vardhan&quot;,&quot;given&quot;:&quot;K.&quot;,&quot;non-dropping-particle&quot;:&quot;&quot;,&quot;parse-names&quot;:false,&quot;suffix&quot;:&quot;&quot;},{&quot;dropping-particle&quot;:&quot;&quot;,&quot;family&quot;:&quot;Vedanth&quot;,&quot;given&quot;:&quot;S.&quot;,&quot;non-dropping-particle&quot;:&quot;&quot;,&quot;parse-names&quot;:false,&quot;suffix&quot;:&quot;&quot;},{&quot;dropping-particle&quot;:&quot;&quot;,&quot;family&quot;:&quot;Poojah&quot;,&quot;given&quot;:&quot;G.&quot;,&quot;non-dropping-particle&quot;:&quot;&quot;,&quot;parse-names&quot;:false,&quot;suffix&quot;:&quot;&quot;},{&quot;dropping-particle&quot;:&quot;&quot;,&quot;family&quot;:&quot;Abhishek&quot;,&quot;given&quot;:&quot;K.&quot;,&quot;non-dropping-particle&quot;:&quot;&quot;,&quot;parse-names&quot;:false,&quot;suffix&quot;:&quot;&quot;},{&quot;dropping-particle&quot;:&quot;&quot;,&quot;family&quot;:&quot;Nitish Kumar&quot;,&quot;given&quot;:&quot;M.&quot;,&quot;non-dropping-particle&quot;:&quot;&quot;,&quot;parse-names&quot;:false,&quot;suffix&quot;:&quot;&quot;},{&quot;dropping-particle&quot;:&quot;&quot;,&quot;family&quot;:&quot;Vijayaraghavan&quot;,&quot;given&quot;:&quot;Vineeth&quot;,&quot;non-dropping-particle&quot;:&quot;&quot;,&quot;parse-names&quot;:false,&quot;suffix&quot;:&quot;&quot;}],&quot;container-title&quot;:&quot;Proceedings - 20th IEEE International Conference on Machine Learning and Applications, ICMLA 2021&quot;,&quot;id&quot;:&quot;e2c871dd-b179-5aa0-aad3-6aba017deaa3&quot;,&quot;issued&quot;:{&quot;date-parts&quot;:[[&quot;2021&quot;]]},&quot;page&quot;:&quot;1495-1500&quot;,&quot;title&quot;:&quot;BP-Net: Efficient Deep Learning for Continuous Arterial Blood Pressure Estimation using Photoplethysmogram&quot;,&quot;type&quot;:&quot;article-journal&quot;,&quot;container-title-short&quot;:&quot;&quot;},&quot;uris&quot;:[&quot;http://www.mendeley.com/documents/?uuid=fd347e59-f61a-4b58-ba26-1170731ed5f4&quot;],&quot;isTemporary&quot;:false,&quot;legacyDesktopId&quot;:&quot;fd347e59-f61a-4b58-ba26-1170731ed5f4&quot;}]},{&quot;citationID&quot;:&quot;MENDELEY_CITATION_b29fda33-6957-4e87-8252-da78941bb0e8&quot;,&quot;properties&quot;:{&quot;noteIndex&quot;:0},&quot;isEdited&quot;:false,&quot;manualOverride&quot;:{&quot;citeprocText&quot;:&quot;[469]&quot;,&quot;isManuallyOverridden&quot;:false,&quot;manualOverrideText&quot;:&quot;&quot;},&quot;citationTag&quot;:&quot;MENDELEY_CITATION_v3_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&quot;,&quot;citationItems&quot;:[{&quot;id&quot;:&quot;4d73bac0-8e8d-5948-b2df-6c95486b45e0&quot;,&quot;itemData&quot;:{&quot;DOI&quot;:&quot;10.1097/HJH.0000000000002843&quot;,&quot;ISBN&quot;:&quot;0000000000&quot;,&quot;ISSN&quot;:&quot;0263-6352&quot;,&quot;PMID&quot;:&quot;33710173&quot;,&quot;author&quot;:[{&quot;dropping-particle&quot;:&quot;&quot;,&quot;family&quot;:&quot;Stergiou&quot;,&quot;given&quot;:&quot;George S.&quot;,&quot;non-dropping-particle&quot;:&quot;&quot;,&quot;parse-names&quot;:false,&quot;suffix&quot;:&quot;&quot;},{&quot;dropping-particle&quot;:&quot;&quot;,&quot;family&quot;:&quot;Palatini&quot;,&quot;given&quot;:&quot;Paolo&quot;,&quot;non-dropping-particle&quot;:&quot;&quot;,&quot;parse-names&quot;:false,&quot;suffix&quot;:&quot;&quot;},{&quot;dropping-particle&quot;:&quot;&quot;,&quot;family&quot;:&quot;Parati&quot;,&quot;given&quot;:&quot;Gianfranco&quot;,&quot;non-dropping-particle&quot;:&quot;&quot;,&quot;parse-names&quot;:false,&quot;suffix&quot;:&quot;&quot;},{&quot;dropping-particle&quot;:&quot;&quot;,&quot;family&quot;:&quot;O’Brien&quot;,&quot;given&quot;:&quot;Eoin&quot;,&quot;non-dropping-particle&quot;:&quot;&quot;,&quot;parse-names&quot;:false,&quot;suffix&quot;:&quot;&quot;},{&quot;dropping-particle&quot;:&quot;&quot;,&quot;family&quot;:&quot;Januszewicz&quot;,&quot;given&quot;:&quot;Andrzej&quot;,&quot;non-dropping-particle&quot;:&quot;&quot;,&quot;parse-names&quot;:false,&quot;suffix&quot;:&quot;&quot;},{&quot;dropping-particle&quot;:&quot;&quot;,&quot;family&quot;:&quot;Lurbe&quot;,&quot;given&quot;:&quot;Empar&quot;,&quot;non-dropping-particle&quot;:&quot;&quot;,&quot;parse-names&quot;:false,&quot;suffix&quot;:&quot;&quot;},{&quot;dropping-particle&quot;:&quot;&quot;,&quot;family&quot;:&quot;Persu&quot;,&quot;given&quot;:&quot;Alexandre&quot;,&quot;non-dropping-particle&quot;:&quot;&quot;,&quot;parse-names&quot;:false,&quot;suffix&quot;:&quot;&quot;},{&quot;dropping-particle&quot;:&quot;&quot;,&quot;family&quot;:&quot;Mancia&quot;,&quot;given&quot;:&quot;Giuseppe&quot;,&quot;non-dropping-particle&quot;:&quot;&quot;,&quot;parse-names&quot;:false,&quot;suffix&quot;:&quot;&quot;},{&quot;dropping-particle&quot;:&quot;&quot;,&quot;family&quot;:&quot;Kreutz&quot;,&quot;given&quot;:&quot;Reinhold&quot;,&quot;non-dropping-particle&quot;:&quot;&quot;,&quot;parse-names&quot;:false,&quot;suffix&quot;:&quot;&quot;}],&quot;container-title&quot;:&quot;Journal of Hypertension&quot;,&quot;id&quot;:&quot;4d73bac0-8e8d-5948-b2df-6c95486b45e0&quot;,&quot;issue&quot;:&quot;7&quot;,&quot;issued&quot;:{&quot;date-parts&quot;:[[&quot;2021&quot;,&quot;7&quot;]]},&quot;page&quot;:&quot;1293-1302&quot;,&quot;title&quot;:&quot;2021 European Society of Hypertension practice guidelines for office and out-of-office blood pressure measurement&quot;,&quot;type&quot;:&quot;article-journal&quot;,&quot;volume&quot;:&quot;39&quot;,&quot;container-title-short&quot;:&quot;J. Hypertens.&quot;},&quot;uris&quot;:[&quot;http://www.mendeley.com/documents/?uuid=e4b5655a-8401-4f86-b6ab-53c2398b2ccf&quot;],&quot;isTemporary&quot;:false,&quot;legacyDesktopId&quot;:&quot;e4b5655a-8401-4f86-b6ab-53c2398b2ccf&quot;}]},{&quot;citationID&quot;:&quot;MENDELEY_CITATION_97e92990-71f0-487d-8954-38b87c47fafc&quot;,&quot;properties&quot;:{&quot;noteIndex&quot;:0},&quot;isEdited&quot;:false,&quot;manualOverride&quot;:{&quot;citeprocText&quot;:&quot;[479]&quot;,&quot;isManuallyOverridden&quot;:false,&quot;manualOverrideText&quot;:&quot;&quot;},&quot;citationTag&quot;:&quot;MENDELEY_CITATION_v3_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&quot;,&quot;citationItems&quot;:[{&quot;id&quot;:&quot;1184a588-26a6-5c69-8a44-90ff8747beec&quot;,&quot;itemData&quot;:{&quot;DOI&quot;:&quot;10.1038/hr.2016.41&quot;,&quot;ISSN&quot;:&quot;0916-9636&quot;,&quot;PMID&quot;:&quot;27194570&quot;,&quot;abstract&quot;:&quot;To assess the differences among seven different methods for the calculation of mean arterial pressure (MAP) and to identify the formula that provides MAP values that are more closely associated with target organ deterioration as expressed by the carotid cross-sectional area (CSA), carotid-to-femoral pulse-wave velocity (cf-PWV) and left ventricular mass (LVM). The study population consisted of 1878 subjects who underwent noninvasive cardiovascular risk assessment. Blood pressure (BP) was assessed in all subjects, and MAP was calculated by direct oscillometry and six different formulas. Carotid artery ultrasound imaging was performed in 1628 subjects. The CSA of the right and left common carotid artery (CCA) were calculated and used as surrogates of arterial wall mass and hypertrophy. Aortic stiffness was evaluated in 1763 subjects by measuring the cf-PWV. Finally, 218 subjects underwent echocardiographic examination for the assessment of LVM. Among the examined methods of MAP calculation, the formula MAP 1 =[diastolic BP]+0.412 × [pulse pressure] yielded the strongest correlations with the LVM, cf-PWV and CSA of the right and left CCA, even after adjusting for age and gender. The MAP calculation using the 0.412 was superior compared with the traditional formula that uses the 0.33 for the discrimination of subjects with left ventricular and carotid wall hypertrophy, as well as subjects with increased aortic stiffness. MAP estimated with the 0.412 is better correlated with target organ deterioration compared with other formulas. Future studies are needed to explore the accuracy of these formulas for MAP estimation compared with direct intra-arterial BP measurement.&quot;,&quot;author&quot;:[{&quot;dropping-particle&quot;:&quot;&quot;,&quot;family&quot;:&quot;Papaioannou&quot;,&quot;given&quot;:&quot;Theodore G.&quot;,&quot;non-dropping-particle&quot;:&quot;&quot;,&quot;parse-names&quot;:false,&quot;suffix&quot;:&quot;&quot;},{&quot;dropping-particle&quot;:&quot;&quot;,&quot;family&quot;:&quot;Protogerou&quot;,&quot;given&quot;:&quot;Athanase D.&quot;,&quot;non-dropping-particle&quot;:&quot;&quot;,&quot;parse-names&quot;:false,&quot;suffix&quot;:&quot;&quot;},{&quot;dropping-particle&quot;:&quot;&quot;,&quot;family&quot;:&quot;Vrachatis&quot;,&quot;given&quot;:&quot;Dimitrios&quot;,&quot;non-dropping-particle&quot;:&quot;&quot;,&quot;parse-names&quot;:false,&quot;suffix&quot;:&quot;&quot;},{&quot;dropping-particle&quot;:&quot;&quot;,&quot;family&quot;:&quot;Konstantonis&quot;,&quot;given&quot;:&quot;Giorgos&quot;,&quot;non-dropping-particle&quot;:&quot;&quot;,&quot;parse-names&quot;:false,&quot;suffix&quot;:&quot;&quot;},{&quot;dropping-particle&quot;:&quot;&quot;,&quot;family&quot;:&quot;Aissopou&quot;,&quot;given&quot;:&quot;Evaggelia&quot;,&quot;non-dropping-particle&quot;:&quot;&quot;,&quot;parse-names&quot;:false,&quot;suffix&quot;:&quot;&quot;},{&quot;dropping-particle&quot;:&quot;&quot;,&quot;family&quot;:&quot;Argyris&quot;,&quot;given&quot;:&quot;Antonis&quot;,&quot;non-dropping-particle&quot;:&quot;&quot;,&quot;parse-names&quot;:false,&quot;suffix&quot;:&quot;&quot;},{&quot;dropping-particle&quot;:&quot;&quot;,&quot;family&quot;:&quot;Nasothimiou&quot;,&quot;given&quot;:&quot;Efthimia&quot;,&quot;non-dropping-particle&quot;:&quot;&quot;,&quot;parse-names&quot;:false,&quot;suffix&quot;:&quot;&quot;},{&quot;dropping-particle&quot;:&quot;&quot;,&quot;family&quot;:&quot;Gialafos&quot;,&quot;given&quot;:&quot;Elias J.&quot;,&quot;non-dropping-particle&quot;:&quot;&quot;,&quot;parse-names&quot;:false,&quot;suffix&quot;:&quot;&quot;},{&quot;dropping-particle&quot;:&quot;&quot;,&quot;family&quot;:&quot;Karamanou&quot;,&quot;given&quot;:&quot;Marianna&quot;,&quot;non-dropping-particle&quot;:&quot;&quot;,&quot;parse-names&quot;:false,&quot;suffix&quot;:&quot;&quot;},{&quot;dropping-particle&quot;:&quot;&quot;,&quot;family&quot;:&quot;Tousoulis&quot;,&quot;given&quot;:&quot;Dimitris&quot;,&quot;non-dropping-particle&quot;:&quot;&quot;,&quot;parse-names&quot;:false,&quot;suffix&quot;:&quot;&quot;},{&quot;dropping-particle&quot;:&quot;&quot;,&quot;family&quot;:&quot;Sfikakis&quot;,&quot;given&quot;:&quot;Petros P.&quot;,&quot;non-dropping-particle&quot;:&quot;&quot;,&quot;parse-names&quot;:false,&quot;suffix&quot;:&quot;&quot;}],&quot;container-title&quot;:&quot;Hypertension Research&quot;,&quot;id&quot;:&quot;1184a588-26a6-5c69-8a44-90ff8747beec&quot;,&quot;issue&quot;:&quot;9&quot;,&quot;issued&quot;:{&quot;date-parts&quot;:[[&quot;2016&quot;,&quot;9&quot;,&quot;19&quot;]]},&quot;page&quot;:&quot;640-647&quot;,&quot;title&quot;:&quot;Mean arterial pressure values calculated using seven different methods and their associations with target organ deterioration in a single-center study of 1878 individuals&quot;,&quot;type&quot;:&quot;article-journal&quot;,&quot;volume&quot;:&quot;39&quot;,&quot;container-title-short&quot;:&quot;&quot;},&quot;uris&quot;:[&quot;http://www.mendeley.com/documents/?uuid=cbf89816-558b-4278-bca1-bf43e8ca90b1&quot;],&quot;isTemporary&quot;:false,&quot;legacyDesktopId&quot;:&quot;cbf89816-558b-4278-bca1-bf43e8ca90b1&quot;}]},{&quot;citationID&quot;:&quot;MENDELEY_CITATION_103abe18-998c-4f31-a355-4fb0a897e30c&quot;,&quot;properties&quot;:{&quot;noteIndex&quot;:0},&quot;isEdited&quot;:false,&quot;manualOverride&quot;:{&quot;citeprocText&quot;:&quot;[480]&quot;,&quot;isManuallyOverridden&quot;:false,&quot;manualOverrideText&quot;:&quot;&quot;},&quot;citationTag&quot;:&quot;MENDELEY_CITATION_v3_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&quot;,&quot;citationItems&quot;:[{&quot;id&quot;:&quot;9928275e-0b2b-5d8e-9127-5de377db0792&quot;,&quot;itemData&quot;:{&quot;ISSN&quot;:&quot;03002977&quot;,&quot;PMID&quot;:&quot;19075313&quot;,&quot;abstract&quot;:&quot;Mean arterial pressure (MAP) is often used as an index of overall blood pressure. In recent years, the use of automated oscillometric blood pressure measurement devices is increasing. These devices directly measure and display MAP; however, MAP is often calculated from systolic blood pressure (SBP) and diastolic blood pressure (DBP) as displayed by the device. In this study we have analysed measured and calculated MAP, obtained by two different oscillometric BP measurement devices in two different patient cohorts. The first cohort included 242 healthy subjects (male 40.5%, 50±13 years). BP measurements were performed with a Welch Allyn 5300P device. We found a small but significant difference between measured MAP and calculated MAP (MAPm-c: -1.8 mmHg, range -5.7 to 12.9 mmHg, p&lt;0.001). MAPm-c showed a significant, but weak correlation with DBP and SBP. The second cohort included 134 patients with glomerular diseases (male 63%, 50±14 years). BP measurements were performed with a Dinamap 487210 device. In this group we also observed a small difference between measured MAP and calculated MAP (+1.7 mmHg, range -15.3 to 28.2 mmHg, p&lt;0.001). MAPm-c correlated with age, all blood pressure indices and heart rate. An overall analysis showed that age, SBP, DBP, and type of device are all independently related to MAPm-c. There is a significant difference between measured and calculated MAP. The difference is small on average; however, this MAPm-c can be large in the individual patient. Moreover, there are differences of reported MAP between devices. Our data suggest that calculated and measured MAP cannot be used interchangeably. © 2008 Van Zuiden Communications B.V. All rights reserved.&quot;,&quot;author&quot;:[{&quot;dropping-particle&quot;:&quot;&quot;,&quot;family&quot;:&quot;Kiers&quot;,&quot;given&quot;:&quot;H. D.&quot;,&quot;non-dropping-particle&quot;:&quot;&quot;,&quot;parse-names&quot;:false,&quot;suffix&quot;:&quot;&quot;},{&quot;dropping-particle&quot;:&quot;&quot;,&quot;family&quot;:&quot;Hofstra&quot;,&quot;given&quot;:&quot;J. M.&quot;,&quot;non-dropping-particle&quot;:&quot;&quot;,&quot;parse-names&quot;:false,&quot;suffix&quot;:&quot;&quot;},{&quot;dropping-particle&quot;:&quot;&quot;,&quot;family&quot;:&quot;Wetzels&quot;,&quot;given&quot;:&quot;J. F.M.&quot;,&quot;non-dropping-particle&quot;:&quot;&quot;,&quot;parse-names&quot;:false,&quot;suffix&quot;:&quot;&quot;}],&quot;container-title&quot;:&quot;Netherlands Journal of Medicine&quot;,&quot;id&quot;:&quot;9928275e-0b2b-5d8e-9127-5de377db0792&quot;,&quot;issue&quot;:&quot;11&quot;,&quot;issued&quot;:{&quot;date-parts&quot;:[[&quot;2008&quot;]]},&quot;page&quot;:&quot;474-479&quot;,&quot;title&quot;:&quot;Oscillometric blood pressure measurements: Differences between measured and calculated mean arterial pressure&quot;,&quot;type&quot;:&quot;article-journal&quot;,&quot;volume&quot;:&quot;66&quot;,&quot;container-title-short&quot;:&quot;&quot;},&quot;uris&quot;:[&quot;http://www.mendeley.com/documents/?uuid=1e921733-32c9-4e21-a2b9-45c65c305ad6&quot;],&quot;isTemporary&quot;:false,&quot;legacyDesktopId&quot;:&quot;1e921733-32c9-4e21-a2b9-45c65c305ad6&quot;}]},{&quot;citationID&quot;:&quot;MENDELEY_CITATION_e49395fd-67f8-449c-8500-74519986412d&quot;,&quot;properties&quot;:{&quot;noteIndex&quot;:0},&quot;isEdited&quot;:false,&quot;manualOverride&quot;:{&quot;citeprocText&quot;:&quot;[481]&quot;,&quot;isManuallyOverridden&quot;:false,&quot;manualOverrideText&quot;:&quot;&quot;},&quot;citationTag&quot;:&quot;MENDELEY_CITATION_v3_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&quot;,&quot;citationItems&quot;:[{&quot;id&quot;:&quot;1197150c-0935-5570-96f9-7d2b2bebe02b&quot;,&quot;itemData&quot;:{&quot;DOI&quot;:&quot;10.1111/jch.13304&quot;,&quot;ISSN&quot;:&quot;1524-6175&quot;,&quot;PMID&quot;:&quot;30003704&quot;,&quot;abstract&quot;:&quot;Blood pressure variability is an entity that characterizes the continuous and dynamic fluctuations that occur in blood pressure levels throughout a lifetime. This phenomenon has a complex and yet not fully understood physiological background and can be evaluated over time spans ranging from seconds to years. The present paper provides a short overview of methodological aspects, clinical relevance, and potential therapeutic interventions related to the management of blood pressure variability.&quot;,&quot;author&quot;:[{&quot;dropping-particle&quot;:&quot;&quot;,&quot;family&quot;:&quot;Parati&quot;,&quot;given&quot;:&quot;Gianfranco&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Dolan&quot;,&quot;given&quot;:&quot;Eamon&quot;,&quot;non-dropping-particle&quot;:&quot;&quot;,&quot;parse-names&quot;:false,&quot;suffix&quot;:&quot;&quot;},{&quot;dropping-particle&quot;:&quot;&quot;,&quot;family&quot;:&quot;Bilo&quot;,&quot;given&quot;:&quot;Grzegorz&quot;,&quot;non-dropping-particle&quot;:&quot;&quot;,&quot;parse-names&quot;:false,&quot;suffix&quot;:&quot;&quot;}],&quot;container-title&quot;:&quot;The Journal of Clinical Hypertension&quot;,&quot;id&quot;:&quot;1197150c-0935-5570-96f9-7d2b2bebe02b&quot;,&quot;issue&quot;:&quot;7&quot;,&quot;issued&quot;:{&quot;date-parts&quot;:[[&quot;2018&quot;,&quot;7&quot;,&quot;13&quot;]]},&quot;page&quot;:&quot;1133-1137&quot;,&quot;title&quot;:&quot;Blood pressure variability: clinical relevance and application&quot;,&quot;type&quot;:&quot;article-journal&quot;,&quot;volume&quot;:&quot;20&quot;,&quot;container-title-short&quot;:&quot;&quot;},&quot;uris&quot;:[&quot;http://www.mendeley.com/documents/?uuid=df15e10a-8712-4228-af50-a9be2ec2d5cd&quot;],&quot;isTemporary&quot;:false,&quot;legacyDesktopId&quot;:&quot;df15e10a-8712-4228-af50-a9be2ec2d5cd&quot;}]},{&quot;citationID&quot;:&quot;MENDELEY_CITATION_1c311340-31db-4c1c-a42d-c3dbcdbfd8eb&quot;,&quot;properties&quot;:{&quot;noteIndex&quot;:0},&quot;isEdited&quot;:false,&quot;manualOverride&quot;:{&quot;citeprocText&quot;:&quot;[481]&quot;,&quot;isManuallyOverridden&quot;:false,&quot;manualOverrideText&quot;:&quot;&quot;},&quot;citationTag&quot;:&quot;MENDELEY_CITATION_v3_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&quot;,&quot;citationItems&quot;:[{&quot;id&quot;:&quot;1197150c-0935-5570-96f9-7d2b2bebe02b&quot;,&quot;itemData&quot;:{&quot;DOI&quot;:&quot;10.1111/jch.13304&quot;,&quot;ISSN&quot;:&quot;1524-6175&quot;,&quot;PMID&quot;:&quot;30003704&quot;,&quot;abstract&quot;:&quot;Blood pressure variability is an entity that characterizes the continuous and dynamic fluctuations that occur in blood pressure levels throughout a lifetime. This phenomenon has a complex and yet not fully understood physiological background and can be evaluated over time spans ranging from seconds to years. The present paper provides a short overview of methodological aspects, clinical relevance, and potential therapeutic interventions related to the management of blood pressure variability.&quot;,&quot;author&quot;:[{&quot;dropping-particle&quot;:&quot;&quot;,&quot;family&quot;:&quot;Parati&quot;,&quot;given&quot;:&quot;Gianfranco&quot;,&quot;non-dropping-particle&quot;:&quot;&quot;,&quot;parse-names&quot;:false,&quot;suffix&quot;:&quot;&quot;},{&quot;dropping-particle&quot;:&quot;&quot;,&quot;family&quot;:&quot;Stergiou&quot;,&quot;given&quot;:&quot;George S.&quot;,&quot;non-dropping-particle&quot;:&quot;&quot;,&quot;parse-names&quot;:false,&quot;suffix&quot;:&quot;&quot;},{&quot;dropping-particle&quot;:&quot;&quot;,&quot;family&quot;:&quot;Dolan&quot;,&quot;given&quot;:&quot;Eamon&quot;,&quot;non-dropping-particle&quot;:&quot;&quot;,&quot;parse-names&quot;:false,&quot;suffix&quot;:&quot;&quot;},{&quot;dropping-particle&quot;:&quot;&quot;,&quot;family&quot;:&quot;Bilo&quot;,&quot;given&quot;:&quot;Grzegorz&quot;,&quot;non-dropping-particle&quot;:&quot;&quot;,&quot;parse-names&quot;:false,&quot;suffix&quot;:&quot;&quot;}],&quot;container-title&quot;:&quot;The Journal of Clinical Hypertension&quot;,&quot;id&quot;:&quot;1197150c-0935-5570-96f9-7d2b2bebe02b&quot;,&quot;issue&quot;:&quot;7&quot;,&quot;issued&quot;:{&quot;date-parts&quot;:[[&quot;2018&quot;,&quot;7&quot;,&quot;13&quot;]]},&quot;page&quot;:&quot;1133-1137&quot;,&quot;title&quot;:&quot;Blood pressure variability: clinical relevance and application&quot;,&quot;type&quot;:&quot;article-journal&quot;,&quot;volume&quot;:&quot;20&quot;,&quot;container-title-short&quot;:&quot;&quot;},&quot;uris&quot;:[&quot;http://www.mendeley.com/documents/?uuid=df15e10a-8712-4228-af50-a9be2ec2d5cd&quot;],&quot;isTemporary&quot;:false,&quot;legacyDesktopId&quot;:&quot;df15e10a-8712-4228-af50-a9be2ec2d5cd&quot;}]},{&quot;citationID&quot;:&quot;MENDELEY_CITATION_30cfd223-4cca-40bc-aed1-9d9f386c1b43&quot;,&quot;properties&quot;:{&quot;noteIndex&quot;:0},&quot;isEdited&quot;:false,&quot;manualOverride&quot;:{&quot;citeprocText&quot;:&quot;[437,438]&quot;,&quot;isManuallyOverridden&quot;:false,&quot;manualOverrideText&quot;:&quot;&quot;},&quot;citationTag&quot;:&quot;MENDELEY_CITATION_v3_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&quot;,&quot;citationItems&quot;:[{&quot;id&quot;:&quot;ea036328-ce3a-5897-af16-bcdd72e4cef6&quot;,&quot;itemData&quot;:{&quot;DOI&quot;:&quot;10.1038/hr.2016.74&quot;,&quot;ISSN&quot;:&quot;13484214&quot;,&quot;PMID&quot;:&quot;27334063&quot;,&quot;abstract&quot;:&quot;The independent prognostic significance of circadian blood pressure (BP) changes is unclear. We investigated the association between circadian BP changes and cardiovascular risk among elderly-treated hypertensive patients. The occurrence of a composite end point (that is, stroke, coronary events, heart failure and peripheral revascularization) was evaluated among 1191 elderly-treated hypertensive patients (age range 60-90 years). According to the nighttime change and the morning surge (MS) of systolic BP, subjects were divided into groups of dippers with a normal or high MS (DNMS and DHMS, respectively), non-dippers (ND), reverse dippers (RD) and extreme dippers with a normal or high MS (EDNMS and EDHMS, respectively). During the follow-up (9.1± 4.9 years, range 0.4-20 years), 392 events occurred. The event rate was 3.63 per 100 patient-years. After adjustment for various covariates, including 24-h BP, the DHMS (hazard ratio (HR) 1.49, 95% confidence interval (CI) 1.02-2.16, P=0.04), ND (HR 1.71, 95% CI 1.28-2.27, P=0.0001), RD (HR 2.05, 95% CI 1.44-2.93, P=0.0001) and EDHMS (HR 3.40, 95% CI 1.96-5.90, P=0.001) were at higher cardiovascular risk than the DNMS. The population attributable risk was 0.6, 7.1, 7.3 and 1.4% for the DHMS, ND, RD and EDHMS, respectively. In elderly-treated hypertensive patients, circadian BP changes were independently associated with increased cardiovascular risk. At the patient level, the highest risk was observed among the EDHMS, followed by the RD, ND and DHMS. At the population level, the highest risk was observed among the RD, followed by the ND, EDHMS and DHMS.&quot;,&quot;author&quot;:[{&quot;dropping-particle&quot;:&quot;&quot;,&quot;family&quot;:&quot;Pierdomenico&quot;,&quot;given&quot;:&quot;Sante D.&quot;,&quot;non-dropping-particle&quot;:&quot;&quot;,&quot;parse-names&quot;:false,&quot;suffix&quot;:&quot;&quot;},{&quot;dropping-particle&quot;:&quot;&quot;,&quot;family&quot;:&quot;Pierdomenico&quot;,&quot;given&quot;:&quot;Anna M.&quot;,&quot;non-dropping-particle&quot;:&quot;&quot;,&quot;parse-names&quot;:false,&quot;suffix&quot;:&quot;&quot;},{&quot;dropping-particle&quot;:&quot;&quot;,&quot;family&quot;:&quot;Coccina&quot;,&quot;given&quot;:&quot;Francesca&quot;,&quot;non-dropping-particle&quot;:&quot;&quot;,&quot;parse-names&quot;:false,&quot;suffix&quot;:&quot;&quot;},{&quot;dropping-particle&quot;:&quot;&quot;,&quot;family&quot;:&quot;Lapenna&quot;,&quot;given&quot;:&quot;Domenico&quot;,&quot;non-dropping-particle&quot;:&quot;&quot;,&quot;parse-names&quot;:false,&quot;suffix&quot;:&quot;&quot;},{&quot;dropping-particle&quot;:&quot;&quot;,&quot;family&quot;:&quot;Porreca&quot;,&quot;given&quot;:&quot;Ettore&quot;,&quot;non-dropping-particle&quot;:&quot;&quot;,&quot;parse-names&quot;:false,&quot;suffix&quot;:&quot;&quot;}],&quot;container-title&quot;:&quot;Hypertension Research&quot;,&quot;id&quot;:&quot;ea036328-ce3a-5897-af16-bcdd72e4cef6&quot;,&quot;issue&quot;:&quot;11&quot;,&quot;issued&quot;:{&quot;date-parts&quot;:[[&quot;2016&quot;]]},&quot;page&quot;:&quot;805-811&quot;,&quot;publisher&quot;:&quot;Nature Publishing Group&quot;,&quot;title&quot;:&quot;Circadian blood pressure changes and cardiovascular risk in elderly-treated hypertensive patients&quot;,&quot;type&quot;:&quot;article-journal&quot;,&quot;volume&quot;:&quot;39&quot;,&quot;container-title-short&quot;:&quot;&quot;},&quot;uris&quot;:[&quot;http://www.mendeley.com/documents/?uuid=10db3c58-8077-4e08-9cad-e37e14b9a551&quot;],&quot;isTemporary&quot;:false,&quot;legacyDesktopId&quot;:&quot;10db3c58-8077-4e08-9cad-e37e14b9a551&quot;},{&quot;id&quot;:&quot;955a5708-bd8f-5e6e-8bda-aa466ddee580&quot;,&quot;itemData&quot;:{&quot;DOI&quot;:&quot;10.1111/jch.13023&quot;,&quot;ISSN&quot;:&quot;17517176&quot;,&quot;PMID&quot;:&quot;28692165&quot;,&quot;abstract&quot;:&quot;Reverse or inverted dipping (ie, the phenomenon characterized by higher nighttime compared with daytime blood pressure values) is an alteration of circadian blood pressure rhythm frequently documented in hypertension, type 2 diabetes mellitus, chronic kidney disease, and sleep apnea syndrome, and generally regarded as a harmful condition. Available literature on the clinical and prognostic implications of reverse dipping is scanty. The present article will review a number of relevant issues concerning reverse dipping, in particular: (1) its possible mechanisms; (2) prevalence and clinical correlates, (3) concomitant cardiac and extracardiac subclinical organ damage; (4) association with acute and chronic cardiovascular diseases; (5) prognostic value in predicting cardiovascular events and mortality; and (6) therapeutic interventions aimed at reverting this abnormal circadian blood pressure rhythm.&quot;,&quot;author&quot;:[{&quot;dropping-particle&quot;:&quot;&quot;,&quot;family&quot;:&quot;Cuspidi&quot;,&quot;given&quot;:&quot;Cesare&quot;,&quot;non-dropping-particle&quot;:&quot;&quot;,&quot;parse-names&quot;:false,&quot;suffix&quot;:&quot;&quot;},{&quot;dropping-particle&quot;:&quot;&quot;,&quot;family&quot;:&quot;Sala&quot;,&quot;given&quot;:&quot;Carla&quot;,&quot;non-dropping-particle&quot;:&quot;&quot;,&quot;parse-names&quot;:false,&quot;suffix&quot;:&quot;&quot;},{&quot;dropping-particle&quot;:&quot;&quot;,&quot;family&quot;:&quot;Tadic&quot;,&quot;given&quot;:&quot;Marijana&quot;,&quot;non-dropping-particle&quot;:&quot;&quot;,&quot;parse-names&quot;:false,&quot;suffix&quot;:&quot;&quot;},{&quot;dropping-particle&quot;:&quot;&quot;,&quot;family&quot;:&quot;Gherbesi&quot;,&quot;given&quot;:&quot;Elisa&quot;,&quot;non-dropping-particle&quot;:&quot;&quot;,&quot;parse-names&quot;:false,&quot;suffix&quot;:&quot;&quot;},{&quot;dropping-particle&quot;:&quot;&quot;,&quot;family&quot;:&quot;Giorgi&quot;,&quot;given&quot;:&quot;Antonio&quot;,&quot;non-dropping-particle&quot;:&quot;De&quot;,&quot;parse-names&quot;:false,&quot;suffix&quot;:&quot;&quot;},{&quot;dropping-particle&quot;:&quot;&quot;,&quot;family&quot;:&quot;Grassi&quot;,&quot;given&quot;:&quot;Guido&quot;,&quot;non-dropping-particle&quot;:&quot;&quot;,&quot;parse-names&quot;:false,&quot;suffix&quot;:&quot;&quot;},{&quot;dropping-particle&quot;:&quot;&quot;,&quot;family&quot;:&quot;Mancia&quot;,&quot;given&quot;:&quot;Giuseppe&quot;,&quot;non-dropping-particle&quot;:&quot;&quot;,&quot;parse-names&quot;:false,&quot;suffix&quot;:&quot;&quot;}],&quot;container-title&quot;:&quot;Journal of Clinical Hypertension&quot;,&quot;id&quot;:&quot;955a5708-bd8f-5e6e-8bda-aa466ddee580&quot;,&quot;issue&quot;:&quot;7&quot;,&quot;issued&quot;:{&quot;date-parts&quot;:[[&quot;2017&quot;]]},&quot;page&quot;:&quot;713-721&quot;,&quot;title&quot;:&quot;Clinical and prognostic significance of a reverse dipping pattern on ambulatory monitoring: An updated review&quot;,&quot;type&quot;:&quot;article-journal&quot;,&quot;volume&quot;:&quot;19&quot;,&quot;container-title-short&quot;:&quot;J. Clin. Hypertens.&quot;},&quot;uris&quot;:[&quot;http://www.mendeley.com/documents/?uuid=22827dcb-d251-4dae-aec0-efcc233e786a&quot;],&quot;isTemporary&quot;:false,&quot;legacyDesktopId&quot;:&quot;22827dcb-d251-4dae-aec0-efcc233e786a&quot;}]},{&quot;citationID&quot;:&quot;MENDELEY_CITATION_db327626-3c5a-4f3c-b3ff-200349c9ca58&quot;,&quot;properties&quot;:{&quot;noteIndex&quot;:0},&quot;isEdited&quot;:false,&quot;manualOverride&quot;:{&quot;citeprocText&quot;:&quot;[430,482]&quot;,&quot;isManuallyOverridden&quot;:false,&quot;manualOverrideText&quot;:&quot;&quot;},&quot;citationTag&quot;:&quot;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&quot;,&quot;citationItems&quot;:[{&quot;id&quot;:&quot;0a4f80d8-483f-51a2-a2ba-3e7f19227809&quot;,&quot;itemData&quot;:{&quot;DOI&quot;:&quot;10.1038/s41569-022-00690-0&quot;,&quot;ISBN&quot;:&quot;4156902200690&quot;,&quot;ISSN&quot;:&quot;1759-5002&quot;,&quot;PMID&quot;:&quot;35440738&quot;,&quot;abstract&quot;:&quot;Current hypertension guidelines recommend using the average values of several blood pressure (BP) readings obtained both in and out of the office for the diagnosis and management of hypertension. In-office BP measurement using an upper-arm cuff constitutes the evidence-based reference method for current BP classification and treatment targets. However, out-of-office BP evaluation using 24 h ambulatory or home BP monitoring is recommended by all major medical associations for obtaining further insights into the BP profile of an individual and how it relates to their daily activities. Importantly, the highly variable nature of office and out-of-office BP readings has been widely acknowledged, including the association of BP variability with cardiovascular outcomes. However, to date, the implications of BP variability on cardiovascular outcomes have largely been ignored, with limited application in clinical practice. Novel cuffless wearable technologies might provide a detailed assessment of the 24 h BP profile and behaviour over weeks or months. These devices offer many advantages for researchers and patients compared with traditional BP monitors, but their accuracy and utility remain uncertain. In this Review, we outline and compare conventional and novel methods and techniques for assessing average BP levels and BP variability, and reflect on the utility and potential of these methods for improving the treatment and management of patients with hypertension.&quot;,&quot;author&quot;:[{&quot;dropping-particle&quot;:&quot;&quot;,&quot;family&quot;:&quot;Schutte&quot;,&quot;given&quot;:&quot;Aletta E.&quot;,&quot;non-dropping-particle&quot;:&quot;&quot;,&quot;parse-names&quot;:false,&quot;suffix&quot;:&quot;&quot;},{&quot;dropping-particle&quot;:&quot;&quot;,&quot;family&quot;:&quot;Kollias&quot;,&quot;given&quot;:&quot;Anastasios&quot;,&quot;non-dropping-particle&quot;:&quot;&quot;,&quot;parse-names&quot;:false,&quot;suffix&quot;:&quot;&quot;},{&quot;dropping-particle&quot;:&quot;&quot;,&quot;family&quot;:&quot;Stergiou&quot;,&quot;given&quot;:&quot;George S.&quot;,&quot;non-dropping-particle&quot;:&quot;&quot;,&quot;parse-names&quot;:false,&quot;suffix&quot;:&quot;&quot;}],&quot;container-title&quot;:&quot;Nature Reviews Cardiology&quot;,&quot;id&quot;:&quot;0a4f80d8-483f-51a2-a2ba-3e7f19227809&quot;,&quot;issue&quot;:&quot;10&quot;,&quot;issued&quot;:{&quot;date-parts&quot;:[[&quot;2022&quot;,&quot;10&quot;,&quot;19&quot;]]},&quot;page&quot;:&quot;643-654&quot;,&quot;publisher&quot;:&quot;Springer US&quot;,&quot;title&quot;:&quot;Blood pressure and its variability: classic and novel measurement techniques&quot;,&quot;type&quot;:&quot;article-journal&quot;,&quot;volume&quot;:&quot;19&quot;,&quot;container-title-short&quot;:&quot;Nat. Rev. Cardiol.&quot;},&quot;uris&quot;:[&quot;http://www.mendeley.com/documents/?uuid=3570c420-2308-4850-bc03-a4fbd2da528f&quot;],&quot;isTemporary&quot;:false,&quot;legacyDesktopId&quot;:&quot;3570c420-2308-4850-bc03-a4fbd2da528f&quot;},{&quot;id&quot;:&quot;e56c02c5-656c-5b8e-a317-813a6fa80353&quot;,&quot;itemData&quot;:{&quot;DOI&quot;:&quot;10.1093/eurheartj/ehx250&quot;,&quot;ISSN&quot;:&quot;15229645&quot;,&quot;PMID&quot;:&quot;28575274&quot;,&quot;abstract&quot;:&quot;Aims To study the relation between visit-to-visit variability of blood pressure (BP) and cardiovascular risk in patients with stable coronary heart disease. Methods and results In 15 828 patients from the STABILITY trial (darapladib vs. placebo in patients with established coronary heart disease), BP variability was assessed by the standard deviation (SD) of systolic BP, the SD of diastolic BP, maximum BP, and minimum BP, from 5 measurements (baseline and months 1, 3, 6, and 12) during the first year after randomisation. Mean (SD) average BP during the first year of study was 131.0 (13.7) mmHg over 78.3 (8.3) mmHg. Mean (SD) of the visit-to-visit SD was 9.8 (4.8) mmHg for systolic and 6.3 (3.0)mmHg for diastolic BP. During the subsequent median follow-up of 2.6 years, 1010 patients met the primary endpoint, a composite of time to cardiovascular death, myocardial infarction, or stroke. In Cox regression models adjusted for average BP during first year of study, baseline vascular disease, treatment, renal function and cardiovascular risk factors, the primary endpoint was associated with SD of systolic BP (hazard ratio for highest vs. lowest tertile, 1.30, 95% CI 1.10-1.53, P = 0.007), and with SD of diastolic BP (hazard ratio for highest vs. lowest tertile, 1.38, 95% CI 1.18-1.62, P &lt; 0.001). Peaks and troughs in BP were also independently associated with adverse events. Conclusion In patients with stable coronary heart disease, higher visit-to-visit variabilities of both systolic and diastolic BP are strong predictors of increased risk of cardiovascular events, independently of mean BP.&quot;,&quot;author&quot;:[{&quot;dropping-particle&quot;:&quot;&quot;,&quot;family&quot;:&quot;Vidal-Petiot&quot;,&quot;given&quot;:&quot;Emmanuelle&quot;,&quot;non-dropping-particle&quot;:&quot;&quot;,&quot;parse-names&quot;:false,&quot;suffix&quot;:&quot;&quot;},{&quot;dropping-particle&quot;:&quot;&quot;,&quot;family&quot;:&quot;Stebbins&quot;,&quot;given&quot;:&quot;Amanda&quot;,&quot;non-dropping-particle&quot;:&quot;&quot;,&quot;parse-names&quot;:false,&quot;suffix&quot;:&quot;&quot;},{&quot;dropping-particle&quot;:&quot;&quot;,&quot;family&quot;:&quot;Chiswell&quot;,&quot;given&quot;:&quot;Karen&quot;,&quot;non-dropping-particle&quot;:&quot;&quot;,&quot;parse-names&quot;:false,&quot;suffix&quot;:&quot;&quot;},{&quot;dropping-particle&quot;:&quot;&quot;,&quot;family&quot;:&quot;Ardissino&quot;,&quot;given&quot;:&quot;Diego&quot;,&quot;non-dropping-particle&quot;:&quot;&quot;,&quot;parse-names&quot;:false,&quot;suffix&quot;:&quot;&quot;},{&quot;dropping-particle&quot;:&quot;&quot;,&quot;family&quot;:&quot;Aylward&quot;,&quot;given&quot;:&quot;Philip E.&quot;,&quot;non-dropping-particle&quot;:&quot;&quot;,&quot;parse-names&quot;:false,&quot;suffix&quot;:&quot;&quot;},{&quot;dropping-particle&quot;:&quot;&quot;,&quot;family&quot;:&quot;Cannon&quot;,&quot;given&quot;:&quot;Christopher P.&quot;,&quot;non-dropping-particle&quot;:&quot;&quot;,&quot;parse-names&quot;:false,&quot;suffix&quot;:&quot;&quot;},{&quot;dropping-particle&quot;:&quot;&quot;,&quot;family&quot;:&quot;Ramos Corrales&quot;,&quot;given&quot;:&quot;Marco A.&quot;,&quot;non-dropping-particle&quot;:&quot;&quot;,&quot;parse-names&quot;:false,&quot;suffix&quot;:&quot;&quot;},{&quot;dropping-particle&quot;:&quot;&quot;,&quot;family&quot;:&quot;Held&quot;,&quot;given&quot;:&quot;Claes&quot;,&quot;non-dropping-particle&quot;:&quot;&quot;,&quot;parse-names&quot;:false,&quot;suffix&quot;:&quot;&quot;},{&quot;dropping-particle&quot;:&quot;&quot;,&quot;family&quot;:&quot;López-Sendón&quot;,&quot;given&quot;:&quot;Jose Luis&quot;,&quot;non-dropping-particle&quot;:&quot;&quot;,&quot;parse-names&quot;:false,&quot;suffix&quot;:&quot;&quot;},{&quot;dropping-particle&quot;:&quot;&quot;,&quot;family&quot;:&quot;Stewart&quot;,&quot;given&quot;:&quot;Ralph A.H.&quot;,&quot;non-dropping-particle&quot;:&quot;&quot;,&quot;parse-names&quot;:false,&quot;suffix&quot;:&quot;&quot;},{&quot;dropping-particle&quot;:&quot;&quot;,&quot;family&quot;:&quot;Wallentin&quot;,&quot;given&quot;:&quot;Lars&quot;,&quot;non-dropping-particle&quot;:&quot;&quot;,&quot;parse-names&quot;:false,&quot;suffix&quot;:&quot;&quot;},{&quot;dropping-particle&quot;:&quot;&quot;,&quot;family&quot;:&quot;White&quot;,&quot;given&quot;:&quot;Harvey D.&quot;,&quot;non-dropping-particle&quot;:&quot;&quot;,&quot;parse-names&quot;:false,&quot;suffix&quot;:&quot;&quot;},{&quot;dropping-particle&quot;:&quot;&quot;,&quot;family&quot;:&quot;Steg&quot;,&quot;given&quot;:&quot;Philippe Gabriel&quot;,&quot;non-dropping-particle&quot;:&quot;&quot;,&quot;parse-names&quot;:false,&quot;suffix&quot;:&quot;&quot;}],&quot;container-title&quot;:&quot;European Heart Journal&quot;,&quot;id&quot;:&quot;e56c02c5-656c-5b8e-a317-813a6fa80353&quot;,&quot;issue&quot;:&quot;37&quot;,&quot;issued&quot;:{&quot;date-parts&quot;:[[&quot;2017&quot;]]},&quot;page&quot;:&quot;2813-2822&quot;,&quot;title&quot;:&quot;Visit-to-visit variability of blood pressure and cardiovascular outcomes in patients with stable coronary heart disease. Insights from the STABILITY trial&quot;,&quot;type&quot;:&quot;article-journal&quot;,&quot;volume&quot;:&quot;38&quot;,&quot;container-title-short&quot;:&quot;Eur. Heart J.&quot;},&quot;uris&quot;:[&quot;http://www.mendeley.com/documents/?uuid=69cc0e49-720c-437c-b0fb-51d03d443e82&quot;],&quot;isTemporary&quot;:false,&quot;legacyDesktopId&quot;:&quot;69cc0e49-720c-437c-b0fb-51d03d443e82&quot;}]},{&quot;citationID&quot;:&quot;MENDELEY_CITATION_c5bf5ea0-6251-4c3e-8ca5-a625cd6f2d2f&quot;,&quot;properties&quot;:{&quot;noteIndex&quot;:0},&quot;isEdited&quot;:false,&quot;manualOverride&quot;:{&quot;citeprocText&quot;:&quot;[483,484]&quot;,&quot;isManuallyOverridden&quot;:false,&quot;manualOverrideText&quot;:&quot;&quot;},&quot;citationTag&quot;:&quot;MENDELEY_CITATION_v3_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&quot;,&quot;citationItems&quot;:[{&quot;id&quot;:&quot;d6b30778-1530-5245-beea-880cf57f4a0a&quot;,&quot;itemData&quot;:{&quot;DOI&quot;:&quot;10.1111/psyp.14009&quot;,&quot;ISSN&quot;:&quot;14698986&quot;,&quot;abstract&quot;:&quot;Cognitive workload (CWL) is a fundamental concept in the assessment and monitoring of human performance during cognitive tasks. Numerous studies have attempted to objectively and continuously measure the CWL using neuroimaging techniques. Although the electroencephalogram (EEG) is a widely used technique, the impact of CWL on the spectral power of brain frequencies has shown inconsistent results. The present review aimed to synthesize the results of the literature and quantitatively assess which brain frequency is the most sensitive to CWL. A systematic literature search following PRISMA recommendations highlighted three main frequency bands used to measure CWL: theta (4–8 Hz), alpha (8–12 Hz), and beta (12–30 Hz). Three meta-analyses were conducted to quantitatively examine the effect of CWL on these frequencies. A total of 45 effect sizes from 24 studies involving 723 participants were computed. CWL was associated with significant effects on theta (g = 0.68, CI [0.41, 0.95]), alpha (g = −0.25, CI [−0.45, 0.04]), and beta (g = 0.50, CI [0.21, 0.79]) power. Our results suggests that theta, especially the frontal theta, is the best index of CWL. Alpha and beta power were also significantly impacted by CWL; however, their association seemed less straightforward. These results are critically analyzed considering the literature on cerebral oscillations. We conclude by emphasizing the need to investigate the interaction between CWL and other factors that may influence spectral power (e.g., emotional load), and to combine this measure with other methods of analysis of the central and peripheral nervous system (e.g., functional connectivity, heart rate).&quot;,&quot;author&quot;:[{&quot;dropping-particle&quot;:&quot;&quot;,&quot;family&quot;:&quot;Chikhi&quot;,&quot;given&quot;:&quot;Samy&quot;,&quot;non-dropping-particle&quot;:&quot;&quot;,&quot;parse-names&quot;:false,&quot;suffix&quot;:&quot;&quot;},{&quot;dropping-particle&quot;:&quot;&quot;,&quot;family&quot;:&quot;Matton&quot;,&quot;given&quot;:&quot;Nadine&quot;,&quot;non-dropping-particle&quot;:&quot;&quot;,&quot;parse-names&quot;:false,&quot;suffix&quot;:&quot;&quot;},{&quot;dropping-particle&quot;:&quot;&quot;,&quot;family&quot;:&quot;Blanchet&quot;,&quot;given&quot;:&quot;Sophie&quot;,&quot;non-dropping-particle&quot;:&quot;&quot;,&quot;parse-names&quot;:false,&quot;suffix&quot;:&quot;&quot;}],&quot;container-title&quot;:&quot;Psychophysiology&quot;,&quot;id&quot;:&quot;d6b30778-1530-5245-beea-880cf57f4a0a&quot;,&quot;issue&quot;:&quot;6&quot;,&quot;issued&quot;:{&quot;date-parts&quot;:[[&quot;2022&quot;]]},&quot;page&quot;:&quot;1-24&quot;,&quot;title&quot;:&quot;EEG power spectral measures of cognitive workload: A meta-analysis&quot;,&quot;type&quot;:&quot;article-journal&quot;,&quot;volume&quot;:&quot;59&quot;,&quot;container-title-short&quot;:&quot;Psychophysiology&quot;},&quot;uris&quot;:[&quot;http://www.mendeley.com/documents/?uuid=2adfca2d-6d02-4f3c-8945-b73ac5671189&quot;],&quot;isTemporary&quot;:false,&quot;legacyDesktopId&quot;:&quot;2adfca2d-6d02-4f3c-8945-b73ac5671189&quot;},{&quot;id&quot;:&quot;a8e9700e-ac30-54b8-abfc-3a5beaa65913&quot;,&quot;itemData&quot;:{&quot;DOI&quot;:&quot;10.1177/00187208211007707&quot;,&quot;ISSN&quot;:&quot;15478181&quot;,&quot;PMID&quot;:&quot;33861182&quot;,&quot;abstract&quot;:&quot;Objective: We demonstrate and discuss the use of mobile electroencephalogram (EEG) for neuroergonomics. Both technical state of the art as well as measures and cognitive concepts are systematically addressed. Background: Modern work is increasingly characterized by information processing. Therefore, the examination of mental states, mental load, or cognitive processing during work is becoming increasingly important for ergonomics. Results: Mobile EEG allows to measure mental states and processes under real live conditions. It can be used for various research questions in cognitive neuroergonomics. Besides measures in the frequency domain that have a long tradition in the investigation of mental fatigue, task load, and task engagement, new approaches—like blink-evoked potentials—render event-related analyses of the EEG possible also during unrestricted behavior. Conclusion: Mobile EEG has become a valuable tool for evaluating mental states and mental processes on a highly objective level during work. The main advantage of this technique is that working environments don’t have to be changed while systematically measuring brain functions at work. Moreover, the workflow is unaffected by such neuroergonomic approaches.&quot;,&quot;author&quot;:[{&quot;dropping-particle&quot;:&quot;&quot;,&quot;family&quot;:&quot;Wascher&quot;,&quot;given&quot;:&quot;Edmund&quot;,&quot;non-dropping-particle&quot;:&quot;&quot;,&quot;parse-names&quot;:false,&quot;suffix&quot;:&quot;&quot;},{&quot;dropping-particle&quot;:&quot;&quot;,&quot;family&quot;:&quot;Reiser&quot;,&quot;given&quot;:&quot;Julian&quot;,&quot;non-dropping-particle&quot;:&quot;&quot;,&quot;parse-names&quot;:false,&quot;suffix&quot;:&quot;&quot;},{&quot;dropping-particle&quot;:&quot;&quot;,&quot;family&quot;:&quot;Rinkenauer&quot;,&quot;given&quot;:&quot;Gerhard&quot;,&quot;non-dropping-particle&quot;:&quot;&quot;,&quot;parse-names&quot;:false,&quot;suffix&quot;:&quot;&quot;},{&quot;dropping-particle&quot;:&quot;&quot;,&quot;family&quot;:&quot;Larrá&quot;,&quot;given&quot;:&quot;Mauro&quot;,&quot;non-dropping-particle&quot;:&quot;&quot;,&quot;parse-names&quot;:false,&quot;suffix&quot;:&quot;&quot;},{&quot;dropping-particle&quot;:&quot;&quot;,&quot;family&quot;:&quot;Dreger&quot;,&quot;given&quot;:&quot;Felix A.&quot;,&quot;non-dropping-particle&quot;:&quot;&quot;,&quot;parse-names&quot;:false,&quot;suffix&quot;:&quot;&quot;},{&quot;dropping-particle&quot;:&quot;&quot;,&quot;family&quot;:&quot;Schneider&quot;,&quot;given&quot;:&quot;Daniel&quot;,&quot;non-dropping-particle&quot;:&quot;&quot;,&quot;parse-names&quot;:false,&quot;suffix&quot;:&quot;&quot;},{&quot;dropping-particle&quot;:&quot;&quot;,&quot;family&quot;:&quot;Karthaus&quot;,&quot;given&quot;:&quot;Melanie&quot;,&quot;non-dropping-particle&quot;:&quot;&quot;,&quot;parse-names&quot;:false,&quot;suffix&quot;:&quot;&quot;},{&quot;dropping-particle&quot;:&quot;&quot;,&quot;family&quot;:&quot;Getzmann&quot;,&quot;given&quot;:&quot;Stephan&quot;,&quot;non-dropping-particle&quot;:&quot;&quot;,&quot;parse-names&quot;:false,&quot;suffix&quot;:&quot;&quot;},{&quot;dropping-particle&quot;:&quot;&quot;,&quot;family&quot;:&quot;Gutberlet&quot;,&quot;given&quot;:&quot;Marie&quot;,&quot;non-dropping-particle&quot;:&quot;&quot;,&quot;parse-names&quot;:false,&quot;suffix&quot;:&quot;&quot;},{&quot;dropping-particle&quot;:&quot;&quot;,&quot;family&quot;:&quot;Arnau&quot;,&quot;given&quot;:&quot;Stefan&quot;,&quot;non-dropping-particle&quot;:&quot;&quot;,&quot;parse-names&quot;:false,&quot;suffix&quot;:&quot;&quot;}],&quot;container-title&quot;:&quot;Human Factors&quot;,&quot;id&quot;:&quot;a8e9700e-ac30-54b8-abfc-3a5beaa65913&quot;,&quot;issue&quot;:&quot;1&quot;,&quot;issued&quot;:{&quot;date-parts&quot;:[[&quot;2023&quot;]]},&quot;page&quot;:&quot;86-106&quot;,&quot;title&quot;:&quot;Neuroergonomics on the Go: An Evaluation of the Potential of Mobile EEG for Workplace Assessment and Design&quot;,&quot;type&quot;:&quot;article-journal&quot;,&quot;volume&quot;:&quot;65&quot;,&quot;container-title-short&quot;:&quot;Hum. Factors&quot;},&quot;uris&quot;:[&quot;http://www.mendeley.com/documents/?uuid=5b747803-a5c4-441c-b186-023947615788&quot;],&quot;isTemporary&quot;:false,&quot;legacyDesktopId&quot;:&quot;5b747803-a5c4-441c-b186-023947615788&quot;}]},{&quot;citationID&quot;:&quot;MENDELEY_CITATION_e514b699-e369-4b71-916f-b8bbe684bbee&quot;,&quot;properties&quot;:{&quot;noteIndex&quot;:0},&quot;isEdited&quot;:false,&quot;manualOverride&quot;:{&quot;citeprocText&quot;:&quot;[485,486]&quot;,&quot;isManuallyOverridden&quot;:false,&quot;manualOverrideText&quot;:&quot;&quot;},&quot;citationTag&quot;:&quot;MENDELEY_CITATION_v3_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&quot;,&quot;citationItems&quot;:[{&quot;id&quot;:&quot;b7549f74-57cf-5693-9cb9-9290c2eab260&quot;,&quot;itemData&quot;:{&quot;DOI&quot;:&quot;10.1371/journal.pone.0287885&quot;,&quot;ISBN&quot;:&quot;1111111111&quot;,&quot;ISSN&quot;:&quot;19326203&quot;,&quot;PMID&quot;:&quot;37410768&quot;,&quot;abstract&quot;:&quot;Combining brain imaging with dual-task paradigms provides a quantitative, direct metric of cognitive load that is agnostic to the motor task. This work aimed to quantitatively assess cognitive load during activities of daily living–sitting, standing, and walking–using a commercial dry encephalography headset. We recorded participants’ brain activity while engaging in a stimulus paradigm that elicited event-related potentials. The stimulus paradigm consisted of an auditory oddball task in which participants had to report the number of oddball tones that were heard during each motor task. We extracted the P3 event-related potential, which is inversely proportional to cognitive load, from EEG signals in each condition. Our main findings showed that P3 was significantly lower during walking compared to sitting (p = .039), suggesting that cognitive load was higher during walking compared to the other activities. There were no significant differences in P3 between sitting and standing. Head motion did not have a significant impact on the measurement of cognitive load. This work validates the use of a commercial dry-EEG headset for measuring cognitive load across different motor tasks. The ability to accurately measure cognitive load in dynamic activities opens new avenues for exploring cognitive-motor interactions in individuals with and without motor impairments. This work highlights the potential of dry EEG for measuring cognitive load in naturalistic settings.&quot;,&quot;author&quot;:[{&quot;dropping-particle&quot;:&quot;&quot;,&quot;family&quot;:&quot;Swerdloff&quot;,&quot;given&quot;:&quot;Margaret M.&quot;,&quot;non-dropping-particle&quot;:&quot;&quot;,&quot;parse-names&quot;:false,&quot;suffix&quot;:&quot;&quot;},{&quot;dropping-particle&quot;:&quot;&quot;,&quot;family&quot;:&quot;Hargrove&quot;,&quot;given&quot;:&quot;Levi J.&quot;,&quot;non-dropping-particle&quot;:&quot;&quot;,&quot;parse-names&quot;:false,&quot;suffix&quot;:&quot;&quot;}],&quot;container-title&quot;:&quot;PLoS ONE&quot;,&quot;id&quot;:&quot;b7549f74-57cf-5693-9cb9-9290c2eab260&quot;,&quot;issue&quot;:&quot;7 July&quot;,&quot;issued&quot;:{&quot;date-parts&quot;:[[&quot;2023&quot;]]},&quot;page&quot;:&quot;1-16&quot;,&quot;title&quot;:&quot;Dry EEG measurement of P3 to evaluate cognitive load during sitting, standing, and walking&quot;,&quot;type&quot;:&quot;article-journal&quot;,&quot;volume&quot;:&quot;18&quot;,&quot;container-title-short&quot;:&quot;PLoS One&quot;},&quot;uris&quot;:[&quot;http://www.mendeley.com/documents/?uuid=e47ec065-e58d-43ac-8335-16ba11f99866&quot;],&quot;isTemporary&quot;:false,&quot;legacyDesktopId&quot;:&quot;e47ec065-e58d-43ac-8335-16ba11f99866&quot;},{&quot;id&quot;:&quot;cfb0a9cb-5443-5bff-93ed-a226f75f3fb9&quot;,&quot;itemData&quot;:{&quot;DOI&quot;:&quot;10.1016/j.bbr.2023.114827&quot;,&quot;ISSN&quot;:&quot;18727549&quot;,&quot;PMID&quot;:&quot;38128886&quot;,&quot;abstract&quot;:&quot;Advancements in portable neuroimaging technologies open up new opportunities to gain insight into the neural dynamics and cognitive processes underlying day-to-day behaviors. In this study, we evaluated the relevance of a headphone- mounted electroencephalogram (EEG) system for monitoring mental workload. The participants (N = 12) were instructed to pay attention to auditory alarms presented sporadically while performing the Multi-Attribute Task Battery (MATB) whose difficulty was staged across three conditions to manipulate mental workload. The P300 Event-Related Potentials (ERP) elicited by the presentation of auditory alarms were used as probes of attentional resources available. The amplitude and latency of P300 ERPs were compared across experimental conditions. Our findings indicate that the P300 ERP component can be captured using a headphone-mounted EEG system. Moreover, neural responses to alarm could be used to classify mental workload with high accuracy (over 80%) at a single-trial level. Our analyses indicated that the signal-to-noise ratio acquired by the sponge-based sensors remained stable throughout the recordings. These results highlight the potential of portable neuroimaging technology for the development of neuroassistive applications while underscoring the current limitations and challenges associated with the integration of EEG sensors in everyday-life wearable technologies. Overall, our study contributes to the growing body of research exploring the feasibility and validity of wearable neuroimaging technologies for the study of human cognition and behavior in real-world settings.&quot;,&quot;author&quot;:[{&quot;dropping-particle&quot;:&quot;&quot;,&quot;family&quot;:&quot;Ladouce&quot;,&quot;given&quot;:&quot;Simon&quot;,&quot;non-dropping-particle&quot;:&quot;&quot;,&quot;parse-names&quot;:false,&quot;suffix&quot;:&quot;&quot;},{&quot;dropping-particle&quot;:&quot;&quot;,&quot;family&quot;:&quot;Pietzker&quot;,&quot;given&quot;:&quot;Max&quot;,&quot;non-dropping-particle&quot;:&quot;&quot;,&quot;parse-names&quot;:false,&quot;suffix&quot;:&quot;&quot;},{&quot;dropping-particle&quot;:&quot;&quot;,&quot;family&quot;:&quot;Manzey&quot;,&quot;given&quot;:&quot;Dietrich&quot;,&quot;non-dropping-particle&quot;:&quot;&quot;,&quot;parse-names&quot;:false,&quot;suffix&quot;:&quot;&quot;},{&quot;dropping-particle&quot;:&quot;&quot;,&quot;family&quot;:&quot;Dehais&quot;,&quot;given&quot;:&quot;Frederic&quot;,&quot;non-dropping-particle&quot;:&quot;&quot;,&quot;parse-names&quot;:false,&quot;suffix&quot;:&quot;&quot;}],&quot;container-title&quot;:&quot;Behavioural Brain Research&quot;,&quot;id&quot;:&quot;cfb0a9cb-5443-5bff-93ed-a226f75f3fb9&quot;,&quot;issue&quot;:&quot;November 2023&quot;,&quot;issued&quot;:{&quot;date-parts&quot;:[[&quot;2024&quot;]]},&quot;page&quot;:&quot;114827&quot;,&quot;publisher&quot;:&quot;Elsevier B.V.&quot;,&quot;title&quot;:&quot;Evaluation of a headphones-fitted EEG system for the recording of auditory evoked potentials and mental workload assessment&quot;,&quot;type&quot;:&quot;article-journal&quot;,&quot;volume&quot;:&quot;460&quot;,&quot;container-title-short&quot;:&quot;&quot;},&quot;uris&quot;:[&quot;http://www.mendeley.com/documents/?uuid=5d837384-bc88-409c-b7b6-fc7c0da85498&quot;],&quot;isTemporary&quot;:false,&quot;legacyDesktopId&quot;:&quot;5d837384-bc88-409c-b7b6-fc7c0da85498&quot;}]},{&quot;citationID&quot;:&quot;MENDELEY_CITATION_5185379d-923d-4d1e-af7d-2ce8b536c00d&quot;,&quot;properties&quot;:{&quot;noteIndex&quot;:0},&quot;isEdited&quot;:false,&quot;manualOverride&quot;:{&quot;citeprocText&quot;:&quot;[483]&quot;,&quot;isManuallyOverridden&quot;:false,&quot;manualOverrideText&quot;:&quot;&quot;},&quot;citationTag&quot;:&quot;MENDELEY_CITATION_v3_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&quot;,&quot;citationItems&quot;:[{&quot;id&quot;:&quot;d6b30778-1530-5245-beea-880cf57f4a0a&quot;,&quot;itemData&quot;:{&quot;DOI&quot;:&quot;10.1111/psyp.14009&quot;,&quot;ISSN&quot;:&quot;14698986&quot;,&quot;abstract&quot;:&quot;Cognitive workload (CWL) is a fundamental concept in the assessment and monitoring of human performance during cognitive tasks. Numerous studies have attempted to objectively and continuously measure the CWL using neuroimaging techniques. Although the electroencephalogram (EEG) is a widely used technique, the impact of CWL on the spectral power of brain frequencies has shown inconsistent results. The present review aimed to synthesize the results of the literature and quantitatively assess which brain frequency is the most sensitive to CWL. A systematic literature search following PRISMA recommendations highlighted three main frequency bands used to measure CWL: theta (4–8 Hz), alpha (8–12 Hz), and beta (12–30 Hz). Three meta-analyses were conducted to quantitatively examine the effect of CWL on these frequencies. A total of 45 effect sizes from 24 studies involving 723 participants were computed. CWL was associated with significant effects on theta (g = 0.68, CI [0.41, 0.95]), alpha (g = −0.25, CI [−0.45, 0.04]), and beta (g = 0.50, CI [0.21, 0.79]) power. Our results suggests that theta, especially the frontal theta, is the best index of CWL. Alpha and beta power were also significantly impacted by CWL; however, their association seemed less straightforward. These results are critically analyzed considering the literature on cerebral oscillations. We conclude by emphasizing the need to investigate the interaction between CWL and other factors that may influence spectral power (e.g., emotional load), and to combine this measure with other methods of analysis of the central and peripheral nervous system (e.g., functional connectivity, heart rate).&quot;,&quot;author&quot;:[{&quot;dropping-particle&quot;:&quot;&quot;,&quot;family&quot;:&quot;Chikhi&quot;,&quot;given&quot;:&quot;Samy&quot;,&quot;non-dropping-particle&quot;:&quot;&quot;,&quot;parse-names&quot;:false,&quot;suffix&quot;:&quot;&quot;},{&quot;dropping-particle&quot;:&quot;&quot;,&quot;family&quot;:&quot;Matton&quot;,&quot;given&quot;:&quot;Nadine&quot;,&quot;non-dropping-particle&quot;:&quot;&quot;,&quot;parse-names&quot;:false,&quot;suffix&quot;:&quot;&quot;},{&quot;dropping-particle&quot;:&quot;&quot;,&quot;family&quot;:&quot;Blanchet&quot;,&quot;given&quot;:&quot;Sophie&quot;,&quot;non-dropping-particle&quot;:&quot;&quot;,&quot;parse-names&quot;:false,&quot;suffix&quot;:&quot;&quot;}],&quot;container-title&quot;:&quot;Psychophysiology&quot;,&quot;id&quot;:&quot;d6b30778-1530-5245-beea-880cf57f4a0a&quot;,&quot;issue&quot;:&quot;6&quot;,&quot;issued&quot;:{&quot;date-parts&quot;:[[&quot;2022&quot;]]},&quot;page&quot;:&quot;1-24&quot;,&quot;title&quot;:&quot;EEG power spectral measures of cognitive workload: A meta-analysis&quot;,&quot;type&quot;:&quot;article-journal&quot;,&quot;volume&quot;:&quot;59&quot;,&quot;container-title-short&quot;:&quot;Psychophysiology&quot;},&quot;uris&quot;:[&quot;http://www.mendeley.com/documents/?uuid=2adfca2d-6d02-4f3c-8945-b73ac5671189&quot;],&quot;isTemporary&quot;:false,&quot;legacyDesktopId&quot;:&quot;2adfca2d-6d02-4f3c-8945-b73ac5671189&quot;}]},{&quot;citationID&quot;:&quot;MENDELEY_CITATION_d04e966e-4675-4062-8b86-9250f725e0cc&quot;,&quot;properties&quot;:{&quot;noteIndex&quot;:0},&quot;isEdited&quot;:false,&quot;manualOverride&quot;:{&quot;citeprocText&quot;:&quot;[487]&quot;,&quot;isManuallyOverridden&quot;:false,&quot;manualOverrideText&quot;:&quot;&quot;},&quot;citationTag&quot;:&quot;MENDELEY_CITATION_v3_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&quot;,&quot;citationItems&quot;:[{&quot;id&quot;:&quot;fc3a35e9-5a5f-54e9-bd76-3a2ca51b95ab&quot;,&quot;itemData&quot;:{&quot;DOI&quot;:&quot;10.4065/78.5.603&quot;,&quot;ISSN&quot;:&quot;00256196&quot;,&quot;PMID&quot;:&quot;12744548&quot;,&quot;abstract&quot;:&quot;The thermoregulatory control of human skin blood flow is vital to the maintenance of normal body temperatures during challenges to thermal homeostasis. Sympathetic neural control of skin blood flow includes the noradrenergic vasoconstrictor system and a sympathetic active vasodilator system, the latter of which is responsible for 80% to 90% of the substantial cutaneous vasodilation that occurs with whole body heat stress. With body heating, the magnitude of skin vasodilation is striking: skin blood flow can reach 6 to 8 L/min during hyperthermia. Cutaneous sympathetic vasoconstrictor and vasodilator systems also participate in baroreflex control of blood pressure; this is particularly important during heat stress, when such a large percentage of cardiac output is directed to the skin. Local thermal control of cutaneous blood vessels also contributes importantly - local warming of the skin can cause maximal vasodilation in healthy humans and includes roles for both local sensory nerves and nitric oxide. Local cooling of the skin can decrease skin blood flow to minimal levels. During menopause, changes in reproductive hormone levels substantially alter thermoregulatory control of skin blood flow. This altered control might contribute to the occurrence of hot flashes. In type 2 diabetes mellitus, the ability of skin blood vessels to dilate is impaired. This impaired vasodilation likely contributes to the increased risk of heat illness in this patient population during exposure to elevated ambient temperatures. Raynaud phenomenon and erythromelalgia represent cutaneous microvascular disorders whose pathophysiology appears to relate to disorders of local and/or reflex thermoregulatory control of the skin circulation.&quot;,&quot;author&quot;:[{&quot;dropping-particle&quot;:&quot;&quot;,&quot;family&quot;:&quot;Charkoudian&quot;,&quot;given&quot;:&quot;Nisha&quot;,&quot;non-dropping-particle&quot;:&quot;&quot;,&quot;parse-names&quot;:false,&quot;suffix&quot;:&quot;&quot;}],&quot;container-title&quot;:&quot;Mayo Clinic Proceedings&quot;,&quot;id&quot;:&quot;fc3a35e9-5a5f-54e9-bd76-3a2ca51b95ab&quot;,&quot;issue&quot;:&quot;5&quot;,&quot;issued&quot;:{&quot;date-parts&quot;:[[&quot;2003&quot;]]},&quot;page&quot;:&quot;603-612&quot;,&quot;publisher&quot;:&quot;Mayo Foundation for Medical Education and Research&quot;,&quot;title&quot;:&quot;Skin blood flow in adult human thermoregulation: How it works, when it does not, and why&quot;,&quot;type&quot;:&quot;article-journal&quot;,&quot;volume&quot;:&quot;78&quot;,&quot;container-title-short&quot;:&quot;Mayo Clin. Proc.&quot;},&quot;uris&quot;:[&quot;http://www.mendeley.com/documents/?uuid=08e843eb-cb30-433c-ac77-f6da4bff5169&quot;],&quot;isTemporary&quot;:false,&quot;legacyDesktopId&quot;:&quot;08e843eb-cb30-433c-ac77-f6da4bff5169&quot;}]},{&quot;citationID&quot;:&quot;MENDELEY_CITATION_bb2d9eab-6d17-4c64-85d0-978c004e4b83&quot;,&quot;properties&quot;:{&quot;noteIndex&quot;:0},&quot;isEdited&quot;:false,&quot;manualOverride&quot;:{&quot;citeprocText&quot;:&quot;[488,489]&quot;,&quot;isManuallyOverridden&quot;:false,&quot;manualOverrideText&quot;:&quot;&quot;},&quot;citationTag&quot;:&quot;MENDELEY_CITATION_v3_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&quot;,&quot;citationItems&quot;:[{&quot;id&quot;:&quot;9aa3245f-edf9-5025-8688-c19b00e55b0e&quot;,&quot;itemData&quot;:{&quot;DOI&quot;:&quot;10.1152/japplphysiol.00407.2010&quot;,&quot;ISSN&quot;:&quot;87507587&quot;,&quot;PMID&quot;:&quot;20522732&quot;,&quot;abstract&quot;:&quot;The level of skin blood flow is subject to both reflex thermoregulatory control and influences from the direct effects of warming and cooling the skin. The effects of local changes in temperature arecapable of maximally vasoconstricting or vasodilating the skin. Theyare brought about by a combination of mechanisms involving endothelial, adrenergic, and sensory systems. Local warming initiates a transient vasodilation through an axon reflex, succeeded by a plateau phase due largely to nitric oxide. Both phases are supported by sympathetic transmitters. The plateau phase is followed by the die-away phenomenon, a slow reversal of the vasodilation that is dependent on intact sympathetic vasoconstrictor nerves. The vasoconstriction with local skin cooling is brought about, in part, by a postsynaptic upregulation of 2c-adrenoceptors and, in part, by inhibition of the nitric oxide system at at least two points. There is also an early vasodilator response to local cooling, dependent on the rate of cooling. The mechanism for that transient vasodilation is not known, but it isinhibited by intact sympathetic vasoconstrictor nerve function and by intact sensory nerve function. © 2010 the American Physiological Society.&quot;,&quot;author&quot;:[{&quot;dropping-particle&quot;:&quot;&quot;,&quot;family&quot;:&quot;Johnson&quot;,&quot;given&quot;:&quot;John M.&quot;,&quot;non-dropping-particle&quot;:&quot;&quot;,&quot;parse-names&quot;:false,&quot;suffix&quot;:&quot;&quot;},{&quot;dropping-particle&quot;:&quot;&quot;,&quot;family&quot;:&quot;Kellogg&quot;,&quot;given&quot;:&quot;Dean L.&quot;,&quot;non-dropping-particle&quot;:&quot;&quot;,&quot;parse-names&quot;:false,&quot;suffix&quot;:&quot;&quot;}],&quot;container-title&quot;:&quot;Journal of Applied Physiology&quot;,&quot;id&quot;:&quot;9aa3245f-edf9-5025-8688-c19b00e55b0e&quot;,&quot;issue&quot;:&quot;4&quot;,&quot;issued&quot;:{&quot;date-parts&quot;:[[&quot;2010&quot;]]},&quot;page&quot;:&quot;1229-1238&quot;,&quot;title&quot;:&quot;Local thermal control of the human cutaneous circulation&quot;,&quot;type&quot;:&quot;article-journal&quot;,&quot;volume&quot;:&quot;109&quot;,&quot;container-title-short&quot;:&quot;J. Appl. Physiol.&quot;},&quot;uris&quot;:[&quot;http://www.mendeley.com/documents/?uuid=d7021854-8d2b-4182-ab47-dd60d99daa76&quot;,&quot;http://www.mendeley.com/documents/?uuid=afc428e8-728c-44eb-aa82-e008e04da70a&quot;],&quot;isTemporary&quot;:false,&quot;legacyDesktopId&quot;:&quot;d7021854-8d2b-4182-ab47-dd60d99daa76&quot;},{&quot;id&quot;:&quot;5f504e33-fa62-5560-80e6-35f2fdb7ed9b&quot;,&quot;itemData&quot;:{&quot;DOI&quot;:&quot;10.1007/s00421-019-04246-y&quot;,&quot;ISBN&quot;:&quot;0123456789&quot;,&quot;ISSN&quot;:&quot;14396327&quot;,&quot;PMID&quot;:&quot;31776694&quot;,&quot;abstract&quot;:&quot;Several techniques exist for the determination of skin blood flow that have historically been used in the investigation of thermoregulatory control of skin blood flow, and more recently, in clinical assessments or as an index of global vascular function. Skin blood flow measurement techniques differ in their methodology and their strengths and limitations. To examine the historical development of techniques for assessing skin blood flow by describing the origin, basic principles, and important aspects of each procedure and to provide recommendations for best practise. Venous occlusion plethysmography was one of the earliest techniques to intermittently index a limb’s skin blood flow under conditions in which local muscle blood flow does not change. The introduction of laser Doppler flowmetry provided a method that continuously records an index of skin blood flow (red cell flux) (albeit from a relatively small skin area) that requires normalisation due to high site-to-site variability. The subsequent development of laser Doppler and laser speckle imaging techniques allows the mapping of skin blood flow from larger surface areas and the visualisation of capillary filling from the dermal plexus in two dimensions. The use of iontophoresis or intradermal microdialysis in conjunction with laser Doppler methods allows for the local delivery of pharmacological agents to interrogate the local and neural control of skin blood flow. The recent development of optical coherence tomography promises further advances in assessment of the skin circulation via three-dimensional imaging of the skin microvasculature for quantification of vessel diameter and vessel recruitment.&quot;,&quot;author&quot;:[{&quot;dropping-particle&quot;:&quot;&quot;,&quot;family&quot;:&quot;Low&quot;,&quot;given&quot;:&quot;David A.&quot;,&quot;non-dropping-particle&quot;:&quot;&quot;,&quot;parse-names&quot;:false,&quot;suffix&quot;:&quot;&quot;},{&quot;dropping-particle&quot;:&quot;&quot;,&quot;family&quot;:&quot;Jones&quot;,&quot;given&quot;:&quot;Helen&quot;,&quot;non-dropping-particle&quot;:&quot;&quot;,&quot;parse-names&quot;:false,&quot;suffix&quot;:&quot;&quot;},{&quot;dropping-particle&quot;:&quot;&quot;,&quot;family&quot;:&quot;Cable&quot;,&quot;given&quot;:&quot;N. Tim&quot;,&quot;non-dropping-particle&quot;:&quot;&quot;,&quot;parse-names&quot;:false,&quot;suffix&quot;:&quot;&quot;},{&quot;dropping-particle&quot;:&quot;&quot;,&quot;family&quot;:&quot;Alexander&quot;,&quot;given&quot;:&quot;Lacy M.&quot;,&quot;non-dropping-particle&quot;:&quot;&quot;,&quot;parse-names&quot;:false,&quot;suffix&quot;:&quot;&quot;},{&quot;dropping-particle&quot;:&quot;&quot;,&quot;family&quot;:&quot;Kenney&quot;,&quot;given&quot;:&quot;W. Larry&quot;,&quot;non-dropping-particle&quot;:&quot;&quot;,&quot;parse-names&quot;:false,&quot;suffix&quot;:&quot;&quot;}],&quot;container-title&quot;:&quot;European Journal of Applied Physiology&quot;,&quot;id&quot;:&quot;5f504e33-fa62-5560-80e6-35f2fdb7ed9b&quot;,&quot;issue&quot;:&quot;1&quot;,&quot;issued&quot;:{&quot;date-parts&quot;:[[&quot;2020&quot;]]},&quot;page&quot;:&quot;1-16&quot;,&quot;publisher&quot;:&quot;Springer Berlin Heidelberg&quot;,&quot;title&quot;:&quot;Historical reviews of the assessment of human cardiovascular function: interrogation and understanding of the control of skin blood flow&quot;,&quot;type&quot;:&quot;article-journal&quot;,&quot;volume&quot;:&quot;120&quot;,&quot;container-title-short&quot;:&quot;Eur. J. Appl. Physiol.&quot;},&quot;uris&quot;:[&quot;http://www.mendeley.com/documents/?uuid=d1f6d246-7756-4542-87bf-b5ac0643de8e&quot;],&quot;isTemporary&quot;:false,&quot;legacyDesktopId&quot;:&quot;d1f6d246-7756-4542-87bf-b5ac0643de8e&quot;}]},{&quot;citationID&quot;:&quot;MENDELEY_CITATION_248f5372-bf60-4e38-83e4-bc5503a706a4&quot;,&quot;properties&quot;:{&quot;noteIndex&quot;:0},&quot;isEdited&quot;:false,&quot;manualOverride&quot;:{&quot;citeprocText&quot;:&quot;[490]&quot;,&quot;isManuallyOverridden&quot;:false,&quot;manualOverrideText&quot;:&quot;&quot;},&quot;citationTag&quot;:&quot;MENDELEY_CITATION_v3_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&quot;,&quot;citationItems&quot;:[{&quot;id&quot;:&quot;dfa336bd-c46b-5903-95d5-ce4eb96dc870&quot;,&quot;itemData&quot;:{&quot;DOI&quot;:&quot;10.1152/japplphysiol.00407.2010&quot;,&quot;ISSN&quot;:&quot;87507587&quot;,&quot;PMID&quot;:&quot;20522732&quot;,&quot;abstract&quot;:&quot;The level of skin blood flow is subject to both reflex thermoregulatory control and influences from the direct effects of warming and cooling the skin. The effects of local changes in temperature arecapable of maximally vasoconstricting or vasodilating the skin. Theyare brought about by a combination of mechanisms involving endothelial, adrenergic, and sensory systems. Local warming initiates a transient vasodilation through an axon reflex, succeeded by a plateau phase due largely to nitric oxide. Both phases are supported by sympathetic transmitters. The plateau phase is followed by the die-away phenomenon, a slow reversal of the vasodilation that is dependent on intact sympathetic vasoconstrictor nerves. The vasoconstriction with local skin cooling is brought about, in part, by a postsynaptic upregulation of 2c-adrenoceptors and, in part, by inhibition of the nitric oxide system at at least two points. There is also an early vasodilator response to local cooling, dependent on the rate of cooling. The mechanism for that transient vasodilation is not known, but it isinhibited by intact sympathetic vasoconstrictor nerve function and by intact sensory nerve function. © 2010 the American Physiological Society.&quot;,&quot;author&quot;:[{&quot;dropping-particle&quot;:&quot;&quot;,&quot;family&quot;:&quot;Johnson&quot;,&quot;given&quot;:&quot;John M.&quot;,&quot;non-dropping-particle&quot;:&quot;&quot;,&quot;parse-names&quot;:false,&quot;suffix&quot;:&quot;&quot;},{&quot;dropping-particle&quot;:&quot;&quot;,&quot;family&quot;:&quot;Kellogg&quot;,&quot;given&quot;:&quot;Dean L.&quot;,&quot;non-dropping-particle&quot;:&quot;&quot;,&quot;parse-names&quot;:false,&quot;suffix&quot;:&quot;&quot;}],&quot;container-title&quot;:&quot;Journal of Applied Physiology&quot;,&quot;id&quot;:&quot;dfa336bd-c46b-5903-95d5-ce4eb96dc870&quot;,&quot;issue&quot;:&quot;4&quot;,&quot;issued&quot;:{&quot;date-parts&quot;:[[&quot;2010&quot;]]},&quot;page&quot;:&quot;1229-1238&quot;,&quot;title&quot;:&quot;Local thermal control of the human cutaneous circulation&quot;,&quot;type&quot;:&quot;article-journal&quot;,&quot;volume&quot;:&quot;109&quot;,&quot;container-title-short&quot;:&quot;J. Appl. Physiol.&quot;},&quot;uris&quot;:[&quot;http://www.mendeley.com/documents/?uuid=afc428e8-728c-44eb-aa82-e008e04da70a&quot;,&quot;http://www.mendeley.com/documents/?uuid=d7021854-8d2b-4182-ab47-dd60d99daa76&quot;],&quot;isTemporary&quot;:false,&quot;legacyDesktopId&quot;:&quot;afc428e8-728c-44eb-aa82-e008e04da70a&quot;}]},{&quot;citationID&quot;:&quot;MENDELEY_CITATION_295adc10-de2f-4cb7-9f9c-90e0765aa2ec&quot;,&quot;properties&quot;:{&quot;noteIndex&quot;:0},&quot;isEdited&quot;:false,&quot;manualOverride&quot;:{&quot;citeprocText&quot;:&quot;[487]&quot;,&quot;isManuallyOverridden&quot;:false,&quot;manualOverrideText&quot;:&quot;&quot;},&quot;citationTag&quot;:&quot;MENDELEY_CITATION_v3_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&quot;,&quot;citationItems&quot;:[{&quot;id&quot;:&quot;fc3a35e9-5a5f-54e9-bd76-3a2ca51b95ab&quot;,&quot;itemData&quot;:{&quot;DOI&quot;:&quot;10.4065/78.5.603&quot;,&quot;ISSN&quot;:&quot;00256196&quot;,&quot;PMID&quot;:&quot;12744548&quot;,&quot;abstract&quot;:&quot;The thermoregulatory control of human skin blood flow is vital to the maintenance of normal body temperatures during challenges to thermal homeostasis. Sympathetic neural control of skin blood flow includes the noradrenergic vasoconstrictor system and a sympathetic active vasodilator system, the latter of which is responsible for 80% to 90% of the substantial cutaneous vasodilation that occurs with whole body heat stress. With body heating, the magnitude of skin vasodilation is striking: skin blood flow can reach 6 to 8 L/min during hyperthermia. Cutaneous sympathetic vasoconstrictor and vasodilator systems also participate in baroreflex control of blood pressure; this is particularly important during heat stress, when such a large percentage of cardiac output is directed to the skin. Local thermal control of cutaneous blood vessels also contributes importantly - local warming of the skin can cause maximal vasodilation in healthy humans and includes roles for both local sensory nerves and nitric oxide. Local cooling of the skin can decrease skin blood flow to minimal levels. During menopause, changes in reproductive hormone levels substantially alter thermoregulatory control of skin blood flow. This altered control might contribute to the occurrence of hot flashes. In type 2 diabetes mellitus, the ability of skin blood vessels to dilate is impaired. This impaired vasodilation likely contributes to the increased risk of heat illness in this patient population during exposure to elevated ambient temperatures. Raynaud phenomenon and erythromelalgia represent cutaneous microvascular disorders whose pathophysiology appears to relate to disorders of local and/or reflex thermoregulatory control of the skin circulation.&quot;,&quot;author&quot;:[{&quot;dropping-particle&quot;:&quot;&quot;,&quot;family&quot;:&quot;Charkoudian&quot;,&quot;given&quot;:&quot;Nisha&quot;,&quot;non-dropping-particle&quot;:&quot;&quot;,&quot;parse-names&quot;:false,&quot;suffix&quot;:&quot;&quot;}],&quot;container-title&quot;:&quot;Mayo Clinic Proceedings&quot;,&quot;id&quot;:&quot;fc3a35e9-5a5f-54e9-bd76-3a2ca51b95ab&quot;,&quot;issue&quot;:&quot;5&quot;,&quot;issued&quot;:{&quot;date-parts&quot;:[[&quot;2003&quot;]]},&quot;page&quot;:&quot;603-612&quot;,&quot;publisher&quot;:&quot;Mayo Foundation for Medical Education and Research&quot;,&quot;title&quot;:&quot;Skin blood flow in adult human thermoregulation: How it works, when it does not, and why&quot;,&quot;type&quot;:&quot;article-journal&quot;,&quot;volume&quot;:&quot;78&quot;,&quot;container-title-short&quot;:&quot;Mayo Clin. Proc.&quot;},&quot;uris&quot;:[&quot;http://www.mendeley.com/documents/?uuid=08e843eb-cb30-433c-ac77-f6da4bff5169&quot;],&quot;isTemporary&quot;:false,&quot;legacyDesktopId&quot;:&quot;08e843eb-cb30-433c-ac77-f6da4bff5169&quot;}]},{&quot;citationID&quot;:&quot;MENDELEY_CITATION_09e3023a-9650-47c2-9d9c-fa636ed93130&quot;,&quot;properties&quot;:{&quot;noteIndex&quot;:0},&quot;isEdited&quot;:false,&quot;manualOverride&quot;:{&quot;citeprocText&quot;:&quot;[491,492]&quot;,&quot;isManuallyOverridden&quot;:false,&quot;manualOverrideText&quot;:&quot;&quot;},&quot;citationTag&quot;:&quot;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&quot;,&quot;citationItems&quot;:[{&quot;id&quot;:&quot;13860919-117e-5d1d-a121-3233d8087c1b&quot;,&quot;itemData&quot;:{&quot;DOI&quot;:&quot;10.1177/0004563216687335&quot;,&quot;ISBN&quot;:&quot;0004563216687&quot;,&quot;ISSN&quot;:&quot;17581001&quot;,&quot;PMID&quot;:&quot;28068807&quot;,&quot;abstract&quot;:&quot;Cortisol is a steroid hormone produced in response to stress. It is essential for maintaining health and wellbeing and leads to significant morbidity when deficient or present in excess. It is lipophilic and is transported bound to cortisol-binding globulin (CBG) and albumin; a small fraction (∼10%) of total serum cortisol is unbound and biologically active. Serum cortisol assays measure total cortisol and their results can be misleading in patients with altered serum protein concentrations. Automated immunoassays are used to measure cortisol but lack specificity and show significant inter-assay differences. Liquid chromatography – tandem mass spectrometry (LC-MS/MS) offers improved specificity and sensitivity; however, cortisol cut-offs used in the short Synacthen and Dexamethasone suppression tests are yet to be validated for these assays. Urine free cortisol is used to screen for Cushing’s syndrome. Unbound cortisol is excreted unchanged in the urine and 24-h urine free cortisol correlates well with mean serum-free cortisol in conditions of cortisol excess. Urine free cortisol is measured predominantly by immunoassay or LC-MS/MS. Salivary cortisol also reflects changes in unbound serum cortisol and offers a reliable alternative to measuring free cortisol in serum. LC-MS/MS is the method of choice for measuring salivary cortisol; however, its use is limited by the lack of a single, validated reference range and poorly standardized assays. This review examines the methods available for measuring cortisol in serum, urine and saliva, explores cortisol in disease and considers the difficulties of measuring cortisol in acutely unwell patients and in neonates.&quot;,&quot;author&quot;:[{&quot;dropping-particle&quot;:&quot;&quot;,&quot;family&quot;:&quot;El-Farhan&quot;,&quot;given&quot;:&quot;Nadia&quot;,&quot;non-dropping-particle&quot;:&quot;&quot;,&quot;parse-names&quot;:false,&quot;suffix&quot;:&quot;&quot;},{&quot;dropping-particle&quot;:&quot;&quot;,&quot;family&quot;:&quot;Rees&quot;,&quot;given&quot;:&quot;D. Aled&quot;,&quot;non-dropping-particle&quot;:&quot;&quot;,&quot;parse-names&quot;:false,&quot;suffix&quot;:&quot;&quot;},{&quot;dropping-particle&quot;:&quot;&quot;,&quot;family&quot;:&quot;Evans&quot;,&quot;given&quot;:&quot;Carol&quot;,&quot;non-dropping-particle&quot;:&quot;&quot;,&quot;parse-names&quot;:false,&quot;suffix&quot;:&quot;&quot;}],&quot;container-title&quot;:&quot;Annals of Clinical Biochemistry&quot;,&quot;id&quot;:&quot;13860919-117e-5d1d-a121-3233d8087c1b&quot;,&quot;issue&quot;:&quot;3&quot;,&quot;issued&quot;:{&quot;date-parts&quot;:[[&quot;2017&quot;]]},&quot;page&quot;:&quot;308-322&quot;,&quot;title&quot;:&quot;Measuring cortisol in serum, urine and saliva – are our assays good enough?&quot;,&quot;type&quot;:&quot;article-journal&quot;,&quot;volume&quot;:&quot;54&quot;,&quot;container-title-short&quot;:&quot;Ann. Clin. Biochem.&quot;},&quot;uris&quot;:[&quot;http://www.mendeley.com/documents/?uuid=a0658d1c-2b2c-4743-8c5c-09460485ec97&quot;],&quot;isTemporary&quot;:false,&quot;legacyDesktopId&quot;:&quot;a0658d1c-2b2c-4743-8c5c-09460485ec97&quot;},{&quot;id&quot;:&quot;283f2d2a-cb01-5653-ac5e-f8a99e94b831&quot;,&quot;itemData&quot;:{&quot;DOI&quot;:&quot;10.1007/s12020-021-02621-4&quot;,&quot;ISBN&quot;:&quot;1202002102&quot;,&quot;ISSN&quot;:&quot;15590100&quot;,&quot;PMID&quot;:&quot;33543430&quot;,&quot;abstract&quot;:&quot;Purpose: The activity of the hypothalamus–pituitary–adrenal axis plays a crucial role as an endogenous stress-reactive system. Lifestyle and work often interfere with the endogenous circadian rhythms and can modify the physiological patterns of stress-hormones secretion, including cortisol. We evaluated the cortisol circadian rhythm in the “jet-lag syndrome” that is the most known condition associated with the desynchronization of the circadian rhythm. Methods: To assess the modifications of cortisol secretion after a long-haul flight, we compared baseline and post-travel salivary cortisol rhythm in a group of 28 healthy eastward travelers (from the U.S.A. or Canada to Italy). The salivary samples were collected about 1 week before the departure at 11 p.m. on day 0 and at 8 a.m., 12 a.m. (midday) and 11 p.m. on day 1 (R0). The same samples were obtained after the landing, the day they flew back home (R1). Results: Statistical analysis showed a significant difference between R0 and R1 for each sample considered (p &lt; 0.005). In particular, the post-travel salivary cortisol levels detected at 11 p.m. both on day 0 and on day 1, were significantly higher than at baseline. Post-travel morning salivary cortisol levels were lower compared with basal rhythm and increased during the morning, reaching the acrophase at 12 a.m. Conclusions: In eastward travelers, crossing more than five time zones, the cortisol circadian rhythm after the return to the East “remained behind,” being synchronized with the West time. This impaired cortisol secretion can contribute to the pathogenesis of the jet-lag syndrome.&quot;,&quot;author&quot;:[{&quot;dropping-particle&quot;:&quot;&quot;,&quot;family&quot;:&quot;Paragliola&quot;,&quot;given&quot;:&quot;Rosa Maria&quot;,&quot;non-dropping-particle&quot;:&quot;&quot;,&quot;parse-names&quot;:false,&quot;suffix&quot;:&quot;&quot;},{&quot;dropping-particle&quot;:&quot;&quot;,&quot;family&quot;:&quot;Corsello&quot;,&quot;given&quot;:&quot;Andrea&quot;,&quot;non-dropping-particle&quot;:&quot;&quot;,&quot;parse-names&quot;:false,&quot;suffix&quot;:&quot;&quot;},{&quot;dropping-particle&quot;:&quot;&quot;,&quot;family&quot;:&quot;Troiani&quot;,&quot;given&quot;:&quot;Eliana&quot;,&quot;non-dropping-particle&quot;:&quot;&quot;,&quot;parse-names&quot;:false,&quot;suffix&quot;:&quot;&quot;},{&quot;dropping-particle&quot;:&quot;&quot;,&quot;family&quot;:&quot;Locantore&quot;,&quot;given&quot;:&quot;Pietro&quot;,&quot;non-dropping-particle&quot;:&quot;&quot;,&quot;parse-names&quot;:false,&quot;suffix&quot;:&quot;&quot;},{&quot;dropping-particle&quot;:&quot;&quot;,&quot;family&quot;:&quot;Papi&quot;,&quot;given&quot;:&quot;Giampaolo&quot;,&quot;non-dropping-particle&quot;:&quot;&quot;,&quot;parse-names&quot;:false,&quot;suffix&quot;:&quot;&quot;},{&quot;dropping-particle&quot;:&quot;&quot;,&quot;family&quot;:&quot;Donnini&quot;,&quot;given&quot;:&quot;Giulia&quot;,&quot;non-dropping-particle&quot;:&quot;&quot;,&quot;parse-names&quot;:false,&quot;suffix&quot;:&quot;&quot;},{&quot;dropping-particle&quot;:&quot;&quot;,&quot;family&quot;:&quot;Pontecorvi&quot;,&quot;given&quot;:&quot;Alfredo&quot;,&quot;non-dropping-particle&quot;:&quot;&quot;,&quot;parse-names&quot;:false,&quot;suffix&quot;:&quot;&quot;},{&quot;dropping-particle&quot;:&quot;&quot;,&quot;family&quot;:&quot;Corsello&quot;,&quot;given&quot;:&quot;Salvatore Maria&quot;,&quot;non-dropping-particle&quot;:&quot;&quot;,&quot;parse-names&quot;:false,&quot;suffix&quot;:&quot;&quot;},{&quot;dropping-particle&quot;:&quot;&quot;,&quot;family&quot;:&quot;Carrozza&quot;,&quot;given&quot;:&quot;Cinzia&quot;,&quot;non-dropping-particle&quot;:&quot;&quot;,&quot;parse-names&quot;:false,&quot;suffix&quot;:&quot;&quot;}],&quot;container-title&quot;:&quot;Endocrine&quot;,&quot;id&quot;:&quot;283f2d2a-cb01-5653-ac5e-f8a99e94b831&quot;,&quot;issue&quot;:&quot;2&quot;,&quot;issued&quot;:{&quot;date-parts&quot;:[[&quot;2021&quot;]]},&quot;page&quot;:&quot;424-430&quot;,&quot;publisher&quot;:&quot;Springer US&quot;,&quot;title&quot;:&quot;Cortisol circadian rhythm and jet-lag syndrome: evaluation of salivary cortisol rhythm in a group of eastward travelers&quot;,&quot;type&quot;:&quot;article-journal&quot;,&quot;volume&quot;:&quot;73&quot;,&quot;container-title-short&quot;:&quot;Endocrine&quot;},&quot;uris&quot;:[&quot;http://www.mendeley.com/documents/?uuid=232c8b80-692e-4c5c-a87f-39ccd4ddacb8&quot;],&quot;isTemporary&quot;:false,&quot;legacyDesktopId&quot;:&quot;232c8b80-692e-4c5c-a87f-39ccd4ddacb8&quot;}]},{&quot;citationID&quot;:&quot;MENDELEY_CITATION_6a620ad3-fa05-4468-811b-84c403517d35&quot;,&quot;properties&quot;:{&quot;noteIndex&quot;:0},&quot;isEdited&quot;:false,&quot;manualOverride&quot;:{&quot;citeprocText&quot;:&quot;[493,494]&quot;,&quot;isManuallyOverridden&quot;:false,&quot;manualOverrideText&quot;:&quot;&quot;},&quot;citationTag&quot;:&quot;MENDELEY_CITATION_v3_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&quot;,&quot;citationItems&quot;:[{&quot;id&quot;:&quot;039f244f-2058-5196-9eda-d394f5f96673&quot;,&quot;itemData&quot;:{&quot;DOI&quot;:&quot;10.1016/j.pnpbp.2006.06.020&quot;,&quot;ISSN&quot;:&quot;02785846&quot;,&quot;PMID&quot;:&quot;16884842&quot;,&quot;abstract&quot;:&quot;The circadian rhythm of melatonin in saliva or plasma, or of the melatonin metabolite 6-sulphatoxymelatonin (aMT6S) in urine, is a defining feature of suprachiasmatic nucleus (SCN) function, the endogenous oscillatory pacemaker. A substantial number of studies have shown that, within this rhythmic profile, the onset of melatonin secretion under dim light conditions (the dim light melatonin onset or DLMO) is the single most accurate marker for assessing the circadian pacemaker. Additionally, melatonin onset has been used clinically to evaluate problems related to the onset or offset of sleep. DLMO is useful for determining whether an individual is entrained (synchronized) to a 24-h light/dark (LD) cycle or is in a free-running state. DLMO is also useful for assessing phase delays or advances of rhythms in entrained individuals. Additionally, it has become an important tool for psychiatric diagnosis, its use being recommended for phase typing in patients suffering from sleep and mood disorders. More recently, DLMO has also been used to assess the chronobiological features of seasonal affective disorder (SAD). DLMO marker is also useful for identifying optimal application times for therapies such as bright light or exogenous melatonin treatment. © 2006 Elsevier Inc. All rights reserved.&quot;,&quot;author&quot;:[{&quot;dropping-particle&quot;:&quot;&quot;,&quot;family&quot;:&quot;Pandi-Perumal&quot;,&quot;given&quot;:&quot;Seithikurippu R.&quot;,&quot;non-dropping-particle&quot;:&quot;&quot;,&quot;parse-names&quot;:false,&quot;suffix&quot;:&quot;&quot;},{&quot;dropping-particle&quot;:&quot;&quot;,&quot;family&quot;:&quot;Smits&quot;,&quot;given&quot;:&quot;Marcel&quot;,&quot;non-dropping-particle&quot;:&quot;&quot;,&quot;parse-names&quot;:false,&quot;suffix&quot;:&quot;&quot;},{&quot;dropping-particle&quot;:&quot;&quot;,&quot;family&quot;:&quot;Spence&quot;,&quot;given&quot;:&quot;Warren&quot;,&quot;non-dropping-particle&quot;:&quot;&quot;,&quot;parse-names&quot;:false,&quot;suffix&quot;:&quot;&quot;},{&quot;dropping-particle&quot;:&quot;&quot;,&quot;family&quot;:&quot;Srinivasan&quot;,&quot;given&quot;:&quot;Venkataramanujan&quot;,&quot;non-dropping-particle&quot;:&quot;&quot;,&quot;parse-names&quot;:false,&quot;suffix&quot;:&quot;&quot;},{&quot;dropping-particle&quot;:&quot;&quot;,&quot;family&quot;:&quot;Cardinali&quot;,&quot;given&quot;:&quot;Daniel P.&quot;,&quot;non-dropping-particle&quot;:&quot;&quot;,&quot;parse-names&quot;:false,&quot;suffix&quot;:&quot;&quot;},{&quot;dropping-particle&quot;:&quot;&quot;,&quot;family&quot;:&quot;Lowe&quot;,&quot;given&quot;:&quot;Alan D.&quot;,&quot;non-dropping-particle&quot;:&quot;&quot;,&quot;parse-names&quot;:false,&quot;suffix&quot;:&quot;&quot;},{&quot;dropping-particle&quot;:&quot;&quot;,&quot;family&quot;:&quot;Kayumov&quot;,&quot;given&quot;:&quot;Leonid&quot;,&quot;non-dropping-particle&quot;:&quot;&quot;,&quot;parse-names&quot;:false,&quot;suffix&quot;:&quot;&quot;}],&quot;container-title&quot;:&quot;Progress in Neuro-Psychopharmacology and Biological Psychiatry&quot;,&quot;id&quot;:&quot;039f244f-2058-5196-9eda-d394f5f96673&quot;,&quot;issue&quot;:&quot;1&quot;,&quot;issued&quot;:{&quot;date-parts&quot;:[[&quot;2007&quot;]]},&quot;page&quot;:&quot;1-11&quot;,&quot;title&quot;:&quot;Dim light melatonin onset (DLMO): A tool for the analysis of circadian phase in human sleep and chronobiological disorders&quot;,&quot;type&quot;:&quot;article-journal&quot;,&quot;volume&quot;:&quot;31&quot;,&quot;container-title-short&quot;:&quot;Prog. Neuropsychopharmacol. Biol. Psychiatry&quot;},&quot;uris&quot;:[&quot;http://www.mendeley.com/documents/?uuid=2e9a9e2f-5b06-4768-8098-aca6cb259f37&quot;],&quot;isTemporary&quot;:false,&quot;legacyDesktopId&quot;:&quot;2e9a9e2f-5b06-4768-8098-aca6cb259f37&quot;},{&quot;id&quot;:&quot;99cb3013-99ac-5f7e-ad2c-50a95ed3e37f&quot;,&quot;itemData&quot;:{&quot;DOI&quot;:&quot;10.1093/sleep/zsad033&quot;,&quot;ISSN&quot;:&quot;15509109&quot;,&quot;PMID&quot;:&quot;36799668&quot;,&quot;abstract&quot;:&quot;The onset of melatonin secretion, the dim light melatonin onset (DLMO), is a tool for determining the phase of the circadian timing system. Although small studies have investigated the impacts of age and methods of calculating DLMO, there is no DLMO reference range. In the current study, the saliva DLMO from 3579 participants from 121 published studies and plasma DLMO from 818 healthy controls from 31 studies (aged 3–73 years) were analyzed. In a subset of 53 papers (1749 participants), individual saliva DLMO and Morningness Eveningness Questionaire (MEQ) scores were obtained from authors or mined from publications and a reference range was constructed. Saliva DLMO was earliest in children to 10 years of age and latest around 20 years of age and thereafter advanced with age by 30 min in the oldest participants. Melatonin assay methods and DLMO calculation methods had little effect on the determination of the DLMO. Saliva DLMO was correlated (p &lt; 0.001) with the MEQ score; lower MEQ scores were associated with later DLMO. MEQ scores increased with age, reflecting a tendency toward morningness. An evaluation of 14 saliva DLMO studies of clinically diagnosed patients living with delayed sleep–wake phase disorder (mean ages 20 to 31 years) revealed mean saliva DLMO within the reference range albeit at the late extreme. Peak plasma melatonin levels from 179 studies of healthy participants revealed a high degree of variability within studies and age groups, but only a small decline between the 20 and 50 years and lowest levels after 70 years.&quot;,&quot;author&quot;:[{&quot;dropping-particle&quot;:&quot;&quot;,&quot;family&quot;:&quot;Kennaway&quot;,&quot;given&quot;:&quot;David J.&quot;,&quot;non-dropping-particle&quot;:&quot;&quot;,&quot;parse-names&quot;:false,&quot;suffix&quot;:&quot;&quot;}],&quot;container-title&quot;:&quot;Sleep&quot;,&quot;id&quot;:&quot;99cb3013-99ac-5f7e-ad2c-50a95ed3e37f&quot;,&quot;issue&quot;:&quot;5&quot;,&quot;issued&quot;:{&quot;date-parts&quot;:[[&quot;2023&quot;]]},&quot;page&quot;:&quot;1-14&quot;,&quot;title&quot;:&quot;The dim light melatonin onset across ages, methodologies, and sex and its relationship with morningness/eveningness&quot;,&quot;type&quot;:&quot;article-journal&quot;,&quot;volume&quot;:&quot;46&quot;,&quot;container-title-short&quot;:&quot;Sleep&quot;},&quot;uris&quot;:[&quot;http://www.mendeley.com/documents/?uuid=97248179-1fac-42db-a64e-0fea21557854&quot;],&quot;isTemporary&quot;:false,&quot;legacyDesktopId&quot;:&quot;97248179-1fac-42db-a64e-0fea21557854&quot;}]},{&quot;citationID&quot;:&quot;MENDELEY_CITATION_75d82ed1-9438-4ee0-a1a1-f5c0674eb81d&quot;,&quot;properties&quot;:{&quot;noteIndex&quot;:0},&quot;isEdited&quot;:false,&quot;manualOverride&quot;:{&quot;citeprocText&quot;:&quot;[495,496]&quot;,&quot;isManuallyOverridden&quot;:false,&quot;manualOverrideText&quot;:&quot;&quot;},&quot;citationTag&quot;:&quot;MENDELEY_CITATION_v3_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&quot;,&quot;citationItems&quot;:[{&quot;id&quot;:&quot;d3fc7ea3-6063-572b-9abd-b3e43bf2d18a&quot;,&quot;itemData&quot;:{&quot;DOI&quot;:&quot;10.1177/0004563216687335&quot;,&quot;ISBN&quot;:&quot;0004563216687&quot;,&quot;ISSN&quot;:&quot;17581001&quot;,&quot;PMID&quot;:&quot;28068807&quot;,&quot;abstract&quot;:&quot;Cortisol is a steroid hormone produced in response to stress. It is essential for maintaining health and wellbeing and leads to significant morbidity when deficient or present in excess. It is lipophilic and is transported bound to cortisol-binding globulin (CBG) and albumin; a small fraction (∼10%) of total serum cortisol is unbound and biologically active. Serum cortisol assays measure total cortisol and their results can be misleading in patients with altered serum protein concentrations. Automated immunoassays are used to measure cortisol but lack specificity and show significant inter-assay differences. Liquid chromatography – tandem mass spectrometry (LC-MS/MS) offers improved specificity and sensitivity; however, cortisol cut-offs used in the short Synacthen and Dexamethasone suppression tests are yet to be validated for these assays. Urine free cortisol is used to screen for Cushing’s syndrome. Unbound cortisol is excreted unchanged in the urine and 24-h urine free cortisol correlates well with mean serum-free cortisol in conditions of cortisol excess. Urine free cortisol is measured predominantly by immunoassay or LC-MS/MS. Salivary cortisol also reflects changes in unbound serum cortisol and offers a reliable alternative to measuring free cortisol in serum. LC-MS/MS is the method of choice for measuring salivary cortisol; however, its use is limited by the lack of a single, validated reference range and poorly standardized assays. This review examines the methods available for measuring cortisol in serum, urine and saliva, explores cortisol in disease and considers the difficulties of measuring cortisol in acutely unwell patients and in neonates.&quot;,&quot;author&quot;:[{&quot;dropping-particle&quot;:&quot;&quot;,&quot;family&quot;:&quot;El-Farhan&quot;,&quot;given&quot;:&quot;Nadia&quot;,&quot;non-dropping-particle&quot;:&quot;&quot;,&quot;parse-names&quot;:false,&quot;suffix&quot;:&quot;&quot;},{&quot;dropping-particle&quot;:&quot;&quot;,&quot;family&quot;:&quot;Rees&quot;,&quot;given&quot;:&quot;D. Aled&quot;,&quot;non-dropping-particle&quot;:&quot;&quot;,&quot;parse-names&quot;:false,&quot;suffix&quot;:&quot;&quot;},{&quot;dropping-particle&quot;:&quot;&quot;,&quot;family&quot;:&quot;Evans&quot;,&quot;given&quot;:&quot;Carol&quot;,&quot;non-dropping-particle&quot;:&quot;&quot;,&quot;parse-names&quot;:false,&quot;suffix&quot;:&quot;&quot;}],&quot;container-title&quot;:&quot;Annals of Clinical Biochemistry&quot;,&quot;id&quot;:&quot;d3fc7ea3-6063-572b-9abd-b3e43bf2d18a&quot;,&quot;issue&quot;:&quot;3&quot;,&quot;issued&quot;:{&quot;date-parts&quot;:[[&quot;2017&quot;]]},&quot;page&quot;:&quot;308-322&quot;,&quot;title&quot;:&quot;Measuring cortisol in serum, urine and saliva – are our assays good enough?&quot;,&quot;type&quot;:&quot;article-journal&quot;,&quot;volume&quot;:&quot;54&quot;,&quot;container-title-short&quot;:&quot;Ann. Clin. Biochem.&quot;},&quot;uris&quot;:[&quot;http://www.mendeley.com/documents/?uuid=b93da3a7-3cdd-4739-8beb-be4ad23654e1&quot;],&quot;isTemporary&quot;:false,&quot;legacyDesktopId&quot;:&quot;b93da3a7-3cdd-4739-8beb-be4ad23654e1&quot;},{&quot;id&quot;:&quot;35784fe8-5c05-51a3-8215-bfefc537e2d8&quot;,&quot;itemData&quot;:{&quot;DOI&quot;:&quot;10.3390/ijms26189141&quot;,&quot;ISSN&quot;:&quot;14220067&quot;,&quot;PMID&quot;:&quot;41009704&quot;,&quot;abstract&quot;:&quot;Cortisol follows a 24 h circadian rhythm that plays a pivotal role in maintaining the optimal function of various physiological systems in alignment with behavioural cycles. Its synthesis and secretion are regulated by the hypothalamic–pituitary–adrenal (HPA) axis. The 24 h fluctuations of cortisol may result from physiological changes influencing its regulation, or conversely, hormone-mediating physiological changes within the body. This review mainly aims to synthesize current evidence on methods for detecting cortisol. In addition, it focuses on evaluating cortisol’s potential as a biomarker for circadian disruption and related health impacts. A literature search was conducted across databases, including Google Scholar, PubMed, and Scopus, using search terms such as “circadian rhythm OR circadian clock OR circadian disruption OR circadian dysregulation” and “cortisol OR hydrocort* OR corticoid OR corticosteroid”. A total of 47 articles were included on methods of cortisol detection, and 41 articles were reviewed for their health implications. Cortisol measured via saliva, blood serum, urine, interstitial fluid (ISF), and sweat has been reported as suitable for 24 h monitoring, reflecting circadian regulation. In contrast, hair cortisol is suitable for identifying chronic changes and prolonged elevations in cortisol levels. This review highlights the stability, suitability, and challenges of each detection method, including reported cortisol levels across studies. Additionally, it provides a comprehensive overview of health implications associated with changes in cortisol, offering insights into its potential as a marker for circadian disruption and related health outcomes.&quot;,&quot;author&quot;:[{&quot;dropping-particle&quot;:&quot;&quot;,&quot;family&quot;:&quot;Juliana&quot;,&quot;given&quot;:&quot;Norsham&quot;,&quot;non-dropping-particle&quot;:&quot;&quot;,&quot;parse-names&quot;:false,&quot;suffix&quot;:&quot;&quot;},{&quot;dropping-particle&quot;:&quot;&quot;,&quot;family&quot;:&quot;Maluin&quot;,&quot;given&quot;:&quot;Sofwatul Mokhtarah&quot;,&quot;non-dropping-particle&quot;:&quot;&quot;,&quot;parse-names&quot;:false,&quot;suffix&quot;:&quot;&quot;},{&quot;dropping-particle&quot;:&quot;&quot;,&quot;family&quot;:&quot;Effendy&quot;,&quot;given&quot;:&quot;Nadia Mohd&quot;,&quot;non-dropping-particle&quot;:&quot;&quot;,&quot;parse-names&quot;:false,&quot;suffix&quot;:&quot;&quot;},{&quot;dropping-particle&quot;:&quot;&quot;,&quot;family&quot;:&quot;Abu&quot;,&quot;given&quot;:&quot;Izuddin Fahmy&quot;,&quot;non-dropping-particle&quot;:&quot;&quot;,&quot;parse-names&quot;:false,&quot;suffix&quot;:&quot;&quot;},{&quot;dropping-particle&quot;:&quot;&quot;,&quot;family&quot;:&quot;Azmani&quot;,&quot;given&quot;:&quot;Sahar&quot;,&quot;non-dropping-particle&quot;:&quot;&quot;,&quot;parse-names&quot;:false,&quot;suffix&quot;:&quot;&quot;}],&quot;container-title&quot;:&quot;International Journal of Molecular Sciences&quot;,&quot;id&quot;:&quot;35784fe8-5c05-51a3-8215-bfefc537e2d8&quot;,&quot;issue&quot;:&quot;18&quot;,&quot;issued&quot;:{&quot;date-parts&quot;:[[&quot;2025&quot;]]},&quot;page&quot;:&quot;1-17&quot;,&quot;title&quot;:&quot;Cortisol Detection Methods and the Hormone’s Role in Evaluating Circadian Rhythm Disruption&quot;,&quot;type&quot;:&quot;article-journal&quot;,&quot;volume&quot;:&quot;26&quot;,&quot;container-title-short&quot;:&quot;Int. J. Mol. Sci.&quot;},&quot;uris&quot;:[&quot;http://www.mendeley.com/documents/?uuid=b17a3fce-1f62-45b0-8bc3-5578e172e13e&quot;],&quot;isTemporary&quot;:false,&quot;legacyDesktopId&quot;:&quot;b17a3fce-1f62-45b0-8bc3-5578e172e13e&quot;}]},{&quot;citationID&quot;:&quot;MENDELEY_CITATION_418bdcfa-170a-44b6-b829-efaddd096c84&quot;,&quot;properties&quot;:{&quot;noteIndex&quot;:0},&quot;isEdited&quot;:false,&quot;manualOverride&quot;:{&quot;citeprocText&quot;:&quot;[497,498]&quot;,&quot;isManuallyOverridden&quot;:false,&quot;manualOverrideText&quot;:&quot;&quot;},&quot;citationTag&quot;:&quot;MENDELEY_CITATION_v3_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&quot;,&quot;citationItems&quot;:[{&quot;id&quot;:&quot;cfae2b1b-3ab6-59dc-8cff-65a22a06270d&quot;,&quot;itemData&quot;:{&quot;DOI&quot;:&quot;10.3109/07420528909059144&quot;,&quot;ISSN&quot;:&quot;07420528&quot;,&quot;PMID&quot;:&quot;2706705&quot;,&quot;abstract&quot;:&quot;Masking is known to affect a variety of circadian rhythms, making it difficult to use them as reliable markers of circadian phase position. Melatonin may be unique in that it appears to be masked only by (bright) light. Sleep and activity do not appear to influence the melatonin rhythm. By measuring the onset of melatonin production, a clearly demarcated event, we can reliably assess circadian phase position, provided blood is sampled under dim light (the dim light melatonin onset, or DL.MO). The DLMO has been useful in assessing the phase-shifting properties of bright light and in phase typing patients with chronobiologic disorders, such as winter depression. © 1989 Informa UK Ltd All rights reserved: reproduction in whole or part not permitted.&quot;,&quot;author&quot;:[{&quot;dropping-particle&quot;:&quot;&quot;,&quot;family&quot;:&quot;Lewy&quot;,&quot;given&quot;:&quot;Alfred J.&quot;,&quot;non-dropping-particle&quot;:&quot;&quot;,&quot;parse-names&quot;:false,&quot;suffix&quot;:&quot;&quot;},{&quot;dropping-particle&quot;:&quot;&quot;,&quot;family&quot;:&quot;Sack&quot;,&quot;given&quot;:&quot;Robert L.&quot;,&quot;non-dropping-particle&quot;:&quot;&quot;,&quot;parse-names&quot;:false,&quot;suffix&quot;:&quot;&quot;}],&quot;container-title&quot;:&quot;Chronobiology International&quot;,&quot;id&quot;:&quot;cfae2b1b-3ab6-59dc-8cff-65a22a06270d&quot;,&quot;issue&quot;:&quot;1&quot;,&quot;issued&quot;:{&quot;date-parts&quot;:[[&quot;1989&quot;]]},&quot;page&quot;:&quot;93-102&quot;,&quot;title&quot;:&quot;The dim light melatonin onset as a marker for orcadian phase position&quot;,&quot;type&quot;:&quot;article-journal&quot;,&quot;volume&quot;:&quot;6&quot;,&quot;container-title-short&quot;:&quot;Chronobiol. Int.&quot;},&quot;uris&quot;:[&quot;http://www.mendeley.com/documents/?uuid=de19e452-6772-49cd-8c76-818d80852713&quot;],&quot;isTemporary&quot;:false,&quot;legacyDesktopId&quot;:&quot;de19e452-6772-49cd-8c76-818d80852713&quot;},{&quot;id&quot;:&quot;37ead30b-2cba-5361-abc2-2baf8af318ce&quot;,&quot;itemData&quot;:{&quot;DOI&quot;:&quot;10.1080/07420528.2022.2150554&quot;,&quot;ISSN&quot;:&quot;15256073&quot;,&quot;PMID&quot;:&quot;36519316&quot;,&quot;abstract&quot;:&quot;Dim light melatonin onset (DLMO) is considered the most reliable circadian phase marker in humans. However, the methods to calculate it are diverse, which limits the comparability between studies. Given the key role of DLMO to diagnose circadian rhythm sleep-wake disorders and determine the optimal timing of chronotherapies, the establishment of clear and validated guidelines on the methodology to assess DLMO is very important. We performed a repeatability study (n = 31) and an agreement study (n = 62) in healthy young adults with hourly blood samples collected under dim light conditions (&lt;8 lux) during a chronobiological protocol. We assessed the repeatability of DLMO with three different methods (fixed threshold, dynamic threshold and hockey stick) across two nights and assessed agreement of each method with the mean visual estimation made by four chronobiologists. Analyses included Bland-Altman diagrams, intraclass correlation coefficients and equivalence tests. The repeatability of the four methods across two nights ranged from good to perfect. The agreement study highlighted that the hockey stick showed equivalent or superior performance (ICC: 0.95, mean difference with visual estimation: 5 min) in healthy subjects compared to the dynamic and fixed thresholds. Thanks to its objective nature, the hockey stick method may provide better estimates than the mean of the visual estimations of several raters. These findings suggest that the hockey stick method provides the most reliable estimate of DLMO within the tested methods and should be considered for use in future studies.&quot;,&quot;author&quot;:[{&quot;dropping-particle&quot;:&quot;&quot;,&quot;family&quot;:&quot;Glacet&quot;,&quot;given&quot;:&quot;Raphaëlle&quot;,&quot;non-dropping-particle&quot;:&quot;&quot;,&quot;parse-names&quot;:false,&quot;suffix&quot;:&quot;&quot;},{&quot;dropping-particle&quot;:&quot;&quot;,&quot;family&quot;:&quot;Reynaud&quot;,&quot;given&quot;:&quot;Eve&quot;,&quot;non-dropping-particle&quot;:&quot;&quot;,&quot;parse-names&quot;:false,&quot;suffix&quot;:&quot;&quot;},{&quot;dropping-particle&quot;:&quot;&quot;,&quot;family&quot;:&quot;Robin-Choteau&quot;,&quot;given&quot;:&quot;Ludivine&quot;,&quot;non-dropping-particle&quot;:&quot;&quot;,&quot;parse-names&quot;:false,&quot;suffix&quot;:&quot;&quot;},{&quot;dropping-particle&quot;:&quot;&quot;,&quot;family&quot;:&quot;Reix&quot;,&quot;given&quot;:&quot;Nathalie&quot;,&quot;non-dropping-particle&quot;:&quot;&quot;,&quot;parse-names&quot;:false,&quot;suffix&quot;:&quot;&quot;},{&quot;dropping-particle&quot;:&quot;&quot;,&quot;family&quot;:&quot;Hugueny&quot;,&quot;given&quot;:&quot;Laurence&quot;,&quot;non-dropping-particle&quot;:&quot;&quot;,&quot;parse-names&quot;:false,&quot;suffix&quot;:&quot;&quot;},{&quot;dropping-particle&quot;:&quot;&quot;,&quot;family&quot;:&quot;Ruppert&quot;,&quot;given&quot;:&quot;Elisabeth&quot;,&quot;non-dropping-particle&quot;:&quot;&quot;,&quot;parse-names&quot;:false,&quot;suffix&quot;:&quot;&quot;},{&quot;dropping-particle&quot;:&quot;&quot;,&quot;family&quot;:&quot;Geoffroy&quot;,&quot;given&quot;:&quot;Pierre A.&quot;,&quot;non-dropping-particle&quot;:&quot;&quot;,&quot;parse-names&quot;:false,&quot;suffix&quot;:&quot;&quot;},{&quot;dropping-particle&quot;:&quot;&quot;,&quot;family&quot;:&quot;Kilic-Huck&quot;,&quot;given&quot;:&quot;Ülker&quot;,&quot;non-dropping-particle&quot;:&quot;&quot;,&quot;parse-names&quot;:false,&quot;suffix&quot;:&quot;&quot;},{&quot;dropping-particle&quot;:&quot;&quot;,&quot;family&quot;:&quot;Comtet&quot;,&quot;given&quot;:&quot;Henri&quot;,&quot;non-dropping-particle&quot;:&quot;&quot;,&quot;parse-names&quot;:false,&quot;suffix&quot;:&quot;&quot;},{&quot;dropping-particle&quot;:&quot;&quot;,&quot;family&quot;:&quot;Bourgin&quot;,&quot;given&quot;:&quot;Patrice&quot;,&quot;non-dropping-particle&quot;:&quot;&quot;,&quot;parse-names&quot;:false,&quot;suffix&quot;:&quot;&quot;}],&quot;container-title&quot;:&quot;Chronobiology International&quot;,&quot;id&quot;:&quot;37ead30b-2cba-5361-abc2-2baf8af318ce&quot;,&quot;issue&quot;:&quot;2&quot;,&quot;issued&quot;:{&quot;date-parts&quot;:[[&quot;2023&quot;]]},&quot;page&quot;:&quot;123-131&quot;,&quot;publisher&quot;:&quot;Taylor &amp; Francis&quot;,&quot;title&quot;:&quot;A comparison of four methods to estimate dim light melatonin onset: a repeatability and agreement study&quot;,&quot;type&quot;:&quot;article-journal&quot;,&quot;volume&quot;:&quot;40&quot;,&quot;container-title-short&quot;:&quot;Chronobiol. Int.&quot;},&quot;uris&quot;:[&quot;http://www.mendeley.com/documents/?uuid=ecee6392-2d2e-419d-82db-9c0d60793108&quot;],&quot;isTemporary&quot;:false,&quot;legacyDesktopId&quot;:&quot;ecee6392-2d2e-419d-82db-9c0d60793108&quot;}]},{&quot;citationID&quot;:&quot;MENDELEY_CITATION_ebad4de4-7ee3-468c-86a8-8dad75f1c73c&quot;,&quot;properties&quot;:{&quot;noteIndex&quot;:0},&quot;isEdited&quot;:false,&quot;manualOverride&quot;:{&quot;citeprocText&quot;:&quot;[499]&quot;,&quot;isManuallyOverridden&quot;:false,&quot;manualOverrideText&quot;:&quot;&quot;},&quot;citationTag&quot;:&quot;MENDELEY_CITATION_v3_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&quot;,&quot;citationItems&quot;:[{&quot;id&quot;:&quot;6071fcd9-0d0a-5a4e-bf04-40399f1f13ab&quot;,&quot;itemData&quot;:{&quot;DOI&quot;:&quot;10.1177/0004563216687335&quot;,&quot;ISBN&quot;:&quot;0004563216687&quot;,&quot;ISSN&quot;:&quot;17581001&quot;,&quot;PMID&quot;:&quot;28068807&quot;,&quot;abstract&quot;:&quot;Cortisol is a steroid hormone produced in response to stress. It is essential for maintaining health and wellbeing and leads to significant morbidity when deficient or present in excess. It is lipophilic and is transported bound to cortisol-binding globulin (CBG) and albumin; a small fraction (∼10%) of total serum cortisol is unbound and biologically active. Serum cortisol assays measure total cortisol and their results can be misleading in patients with altered serum protein concentrations. Automated immunoassays are used to measure cortisol but lack specificity and show significant inter-assay differences. Liquid chromatography – tandem mass spectrometry (LC-MS/MS) offers improved specificity and sensitivity; however, cortisol cut-offs used in the short Synacthen and Dexamethasone suppression tests are yet to be validated for these assays. Urine free cortisol is used to screen for Cushing’s syndrome. Unbound cortisol is excreted unchanged in the urine and 24-h urine free cortisol correlates well with mean serum-free cortisol in conditions of cortisol excess. Urine free cortisol is measured predominantly by immunoassay or LC-MS/MS. Salivary cortisol also reflects changes in unbound serum cortisol and offers a reliable alternative to measuring free cortisol in serum. LC-MS/MS is the method of choice for measuring salivary cortisol; however, its use is limited by the lack of a single, validated reference range and poorly standardized assays. This review examines the methods available for measuring cortisol in serum, urine and saliva, explores cortisol in disease and considers the difficulties of measuring cortisol in acutely unwell patients and in neonates.&quot;,&quot;author&quot;:[{&quot;dropping-particle&quot;:&quot;&quot;,&quot;family&quot;:&quot;El-Farhan&quot;,&quot;given&quot;:&quot;Nadia&quot;,&quot;non-dropping-particle&quot;:&quot;&quot;,&quot;parse-names&quot;:false,&quot;suffix&quot;:&quot;&quot;},{&quot;dropping-particle&quot;:&quot;&quot;,&quot;family&quot;:&quot;Rees&quot;,&quot;given&quot;:&quot;D. Aled&quot;,&quot;non-dropping-particle&quot;:&quot;&quot;,&quot;parse-names&quot;:false,&quot;suffix&quot;:&quot;&quot;},{&quot;dropping-particle&quot;:&quot;&quot;,&quot;family&quot;:&quot;Evans&quot;,&quot;given&quot;:&quot;Carol&quot;,&quot;non-dropping-particle&quot;:&quot;&quot;,&quot;parse-names&quot;:false,&quot;suffix&quot;:&quot;&quot;}],&quot;container-title&quot;:&quot;Annals of Clinical Biochemistry&quot;,&quot;id&quot;:&quot;6071fcd9-0d0a-5a4e-bf04-40399f1f13ab&quot;,&quot;issue&quot;:&quot;3&quot;,&quot;issued&quot;:{&quot;date-parts&quot;:[[&quot;2017&quot;]]},&quot;page&quot;:&quot;308-322&quot;,&quot;title&quot;:&quot;Measuring cortisol in serum, urine and saliva – are our assays good enough?&quot;,&quot;type&quot;:&quot;article-journal&quot;,&quot;volume&quot;:&quot;54&quot;,&quot;container-title-short&quot;:&quot;Ann. Clin. Biochem.&quot;},&quot;uris&quot;:[&quot;http://www.mendeley.com/documents/?uuid=20fdb1bf-85a6-4218-9996-d95e70d1c98c&quot;],&quot;isTemporary&quot;:false,&quot;legacyDesktopId&quot;:&quot;20fdb1bf-85a6-4218-9996-d95e70d1c98c&quot;}]},{&quot;citationID&quot;:&quot;MENDELEY_CITATION_729744a6-e4db-482f-8fa2-68f3e7571c3b&quot;,&quot;properties&quot;:{&quot;noteIndex&quot;:0},&quot;isEdited&quot;:false,&quot;manualOverride&quot;:{&quot;citeprocText&quot;:&quot;[500]&quot;,&quot;isManuallyOverridden&quot;:false,&quot;manualOverrideText&quot;:&quot;&quot;},&quot;citationTag&quot;:&quot;MENDELEY_CITATION_v3_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&quot;,&quot;citationItems&quot;:[{&quot;id&quot;:&quot;9548f3c2-2be0-5865-97b7-7d36db07e788&quot;,&quot;itemData&quot;:{&quot;DOI&quot;:&quot;10.3390/s100807772&quot;,&quot;ISSN&quot;:&quot;14248220&quot;,&quot;PMID&quot;:&quot;22163626&quot;,&quot;abstract&quot;:&quot;Characteristics of physical activity are indicative of one's mobility level, latent chronic diseases and aging process. Accelerometers have been widely accepted as useful and practical sensors for wearable devices to measure and assess physical activity. This paper reviews the development of wearable accelerometry-based motion detectors. The principle of accelerometry measurement, sensor properties and sensor placements are first introduced. Various research using accelerometry-based wearable motion detectors for physical activity monitoring and assessment, including posture and movement classification, estimation of energy expenditure, fall detection and balance control evaluation, are also reviewed. Finally this paper reviews and compares existing commercial products to provide a comprehensive outlook of current development status and possible emerging technologies. © 2010 by the authors.&quot;,&quot;author&quot;:[{&quot;dropping-particle&quot;:&quot;&quot;,&quot;family&quot;:&quot;Yang&quot;,&quot;given&quot;:&quot;Che Chang&quot;,&quot;non-dropping-particle&quot;:&quot;&quot;,&quot;parse-names&quot;:false,&quot;suffix&quot;:&quot;&quot;},{&quot;dropping-particle&quot;:&quot;&quot;,&quot;family&quot;:&quot;Hsu&quot;,&quot;given&quot;:&quot;Yeh Liang&quot;,&quot;non-dropping-particle&quot;:&quot;&quot;,&quot;parse-names&quot;:false,&quot;suffix&quot;:&quot;&quot;}],&quot;container-title&quot;:&quot;Sensors&quot;,&quot;id&quot;:&quot;9548f3c2-2be0-5865-97b7-7d36db07e788&quot;,&quot;issue&quot;:&quot;8&quot;,&quot;issued&quot;:{&quot;date-parts&quot;:[[&quot;2010&quot;]]},&quot;page&quot;:&quot;7772-7788&quot;,&quot;title&quot;:&quot;A review of accelerometry-based wearable motion detectors for physical activity monitoring&quot;,&quot;type&quot;:&quot;article-journal&quot;,&quot;volume&quot;:&quot;10&quot;,&quot;container-title-short&quot;:&quot;&quot;},&quot;uris&quot;:[&quot;http://www.mendeley.com/documents/?uuid=d82988eb-44fd-4c9f-9e57-45b824c837b5&quot;],&quot;isTemporary&quot;:false,&quot;legacyDesktopId&quot;:&quot;d82988eb-44fd-4c9f-9e57-45b824c837b5&quot;}]},{&quot;citationID&quot;:&quot;MENDELEY_CITATION_f4734b1a-9ff6-4199-87ef-395eb91f8511&quot;,&quot;properties&quot;:{&quot;noteIndex&quot;:0},&quot;isEdited&quot;:false,&quot;manualOverride&quot;:{&quot;citeprocText&quot;:&quot;[500,501]&quot;,&quot;isManuallyOverridden&quot;:false,&quot;manualOverrideText&quot;:&quot;&quot;},&quot;citationTag&quot;:&quot;MENDELEY_CITATION_v3_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&quot;,&quot;citationItems&quot;:[{&quot;id&quot;:&quot;20de10ca-a6fe-5166-91c6-c4db2880644a&quot;,&quot;itemData&quot;:{&quot;DOI&quot;:&quot;10.1016/j.medengphy.2013.06.005&quot;,&quot;ISSN&quot;:&quot;13504533&quot;,&quot;PMID&quot;:&quot;23899533&quot;,&quot;abstract&quot;:&quot;A robust method for identifying movement in the free-living environment is needed to objectively measure physical activity. The purpose of this study was to validate the identification of postural orientation and movement from acceleration data against visual inspection from video recordings. Using tri-axial accelerometers placed on the waist and thigh, static orientations of standing, sitting, and lying down, as well as dynamic movements of walking, jogging and transitions between postures were identified. Additionally, subjects walked and jogged at self-selected slow, comfortable, and fast speeds. Identification of tasks was performed using a combination of the signal magnitude area, continuous wavelet transforms and accelerometer orientations. Twelve healthy adults were studied in the laboratory, with two investigators identifying tasks during each second of video observation. The intraclass correlation coefficients for inter-rater reliability were greater than 0.95 for all activities except for transitions. Results demonstrated high validity, with sensitivity and positive predictive values of greater than 85% for sitting and lying, with walking and jogging identified at greater than 90%. The greatest disagreement in identification accuracy between the algorithm and video occurred when subjects were asked to fidget while standing or sitting. During variable speed tasks, gait was correctly identified for speeds between 0.1 m/s and 4.8 m/s. This study included a range of walking speeds and natural movements such as fidgeting during static postures, demonstrating that accelerometer data can be used to identify orientation and movement among the general population. © 2013 IPEM.&quot;,&quot;author&quot;:[{&quot;dropping-particle&quot;:&quot;&quot;,&quot;family&quot;:&quot;Lugade&quot;,&quot;given&quot;:&quot;Vipul&quot;,&quot;non-dropping-particle&quot;:&quot;&quot;,&quot;parse-names&quot;:false,&quot;suffix&quot;:&quot;&quot;},{&quot;dropping-particle&quot;:&quot;&quot;,&quot;family&quot;:&quot;Fortune&quot;,&quot;given&quot;:&quot;Emma&quot;,&quot;non-dropping-particle&quot;:&quot;&quot;,&quot;parse-names&quot;:false,&quot;suffix&quot;:&quot;&quot;},{&quot;dropping-particle&quot;:&quot;&quot;,&quot;family&quot;:&quot;Morrow&quot;,&quot;given&quot;:&quot;Melissa&quot;,&quot;non-dropping-particle&quot;:&quot;&quot;,&quot;parse-names&quot;:false,&quot;suffix&quot;:&quot;&quot;},{&quot;dropping-particle&quot;:&quot;&quot;,&quot;family&quot;:&quot;Kaufman&quot;,&quot;given&quot;:&quot;Kenton&quot;,&quot;non-dropping-particle&quot;:&quot;&quot;,&quot;parse-names&quot;:false,&quot;suffix&quot;:&quot;&quot;}],&quot;container-title&quot;:&quot;Medical Engineering and Physics&quot;,&quot;id&quot;:&quot;20de10ca-a6fe-5166-91c6-c4db2880644a&quot;,&quot;issue&quot;:&quot;2&quot;,&quot;issued&quot;:{&quot;date-parts&quot;:[[&quot;2014&quot;]]},&quot;page&quot;:&quot;169-176&quot;,&quot;publisher&quot;:&quot;Institute of Physics and Engineering in Medicine&quot;,&quot;title&quot;:&quot;Validity of using tri-axial accelerometers to measure human movement-Part I: Posture and movement detection&quot;,&quot;type&quot;:&quot;article-journal&quot;,&quot;volume&quot;:&quot;36&quot;,&quot;container-title-short&quot;:&quot;Med. Eng. Phys.&quot;},&quot;uris&quot;:[&quot;http://www.mendeley.com/documents/?uuid=d28d6432-3037-4ce3-809c-ba3c75868fb4&quot;],&quot;isTemporary&quot;:false,&quot;legacyDesktopId&quot;:&quot;d28d6432-3037-4ce3-809c-ba3c75868fb4&quot;},{&quot;id&quot;:&quot;9548f3c2-2be0-5865-97b7-7d36db07e788&quot;,&quot;itemData&quot;:{&quot;DOI&quot;:&quot;10.3390/s100807772&quot;,&quot;ISSN&quot;:&quot;14248220&quot;,&quot;PMID&quot;:&quot;22163626&quot;,&quot;abstract&quot;:&quot;Characteristics of physical activity are indicative of one's mobility level, latent chronic diseases and aging process. Accelerometers have been widely accepted as useful and practical sensors for wearable devices to measure and assess physical activity. This paper reviews the development of wearable accelerometry-based motion detectors. The principle of accelerometry measurement, sensor properties and sensor placements are first introduced. Various research using accelerometry-based wearable motion detectors for physical activity monitoring and assessment, including posture and movement classification, estimation of energy expenditure, fall detection and balance control evaluation, are also reviewed. Finally this paper reviews and compares existing commercial products to provide a comprehensive outlook of current development status and possible emerging technologies. © 2010 by the authors.&quot;,&quot;author&quot;:[{&quot;dropping-particle&quot;:&quot;&quot;,&quot;family&quot;:&quot;Yang&quot;,&quot;given&quot;:&quot;Che Chang&quot;,&quot;non-dropping-particle&quot;:&quot;&quot;,&quot;parse-names&quot;:false,&quot;suffix&quot;:&quot;&quot;},{&quot;dropping-particle&quot;:&quot;&quot;,&quot;family&quot;:&quot;Hsu&quot;,&quot;given&quot;:&quot;Yeh Liang&quot;,&quot;non-dropping-particle&quot;:&quot;&quot;,&quot;parse-names&quot;:false,&quot;suffix&quot;:&quot;&quot;}],&quot;container-title&quot;:&quot;Sensors&quot;,&quot;id&quot;:&quot;9548f3c2-2be0-5865-97b7-7d36db07e788&quot;,&quot;issue&quot;:&quot;8&quot;,&quot;issued&quot;:{&quot;date-parts&quot;:[[&quot;2010&quot;]]},&quot;page&quot;:&quot;7772-7788&quot;,&quot;title&quot;:&quot;A review of accelerometry-based wearable motion detectors for physical activity monitoring&quot;,&quot;type&quot;:&quot;article-journal&quot;,&quot;volume&quot;:&quot;10&quot;,&quot;container-title-short&quot;:&quot;&quot;},&quot;uris&quot;:[&quot;http://www.mendeley.com/documents/?uuid=d82988eb-44fd-4c9f-9e57-45b824c837b5&quot;],&quot;isTemporary&quot;:false,&quot;legacyDesktopId&quot;:&quot;d82988eb-44fd-4c9f-9e57-45b824c837b5&quot;}]},{&quot;citationID&quot;:&quot;MENDELEY_CITATION_60ece193-cb6b-41a5-a2ad-7391d7df558c&quot;,&quot;properties&quot;:{&quot;noteIndex&quot;:0},&quot;isEdited&quot;:false,&quot;manualOverride&quot;:{&quot;citeprocText&quot;:&quot;[502,503]&quot;,&quot;isManuallyOverridden&quot;:false,&quot;manualOverrideText&quot;:&quot;&quot;},&quot;citationTag&quot;:&quot;MENDELEY_CITATION_v3_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"/>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41CD0-1CCE-4C50-AA81-F805B45C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92</Pages>
  <Words>46621</Words>
  <Characters>300711</Characters>
  <Application>Microsoft Office Word</Application>
  <DocSecurity>0</DocSecurity>
  <Lines>7159</Lines>
  <Paragraphs>3129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Bilge Kobas</dc:creator>
  <cp:keywords/>
  <dc:description/>
  <cp:lastModifiedBy>Bilge Kobas</cp:lastModifiedBy>
  <cp:revision>33</cp:revision>
  <dcterms:created xsi:type="dcterms:W3CDTF">2026-02-28T20:14:00Z</dcterms:created>
  <dcterms:modified xsi:type="dcterms:W3CDTF">2026-03-02T16:10:00Z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2cc0e24c-a771-3fd0-81d6-e200b6b2a428</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6th/7th edition</vt:lpwstr>
  </property>
  <property fmtid="{D5CDD505-2E9C-101B-9397-08002B2CF9AE}" pid="10" name="Mendeley Recent Style Id 3_1">
    <vt:lpwstr>http://www.zotero.org/styles/building-and-environment</vt:lpwstr>
  </property>
  <property fmtid="{D5CDD505-2E9C-101B-9397-08002B2CF9AE}" pid="11" name="Mendeley Recent Style Name 3_1">
    <vt:lpwstr>Building and Environment</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GrammarlyDocumentId">
    <vt:lpwstr>0a60a676-bee5-4310-87fb-bf4432459840</vt:lpwstr>
  </property>
  <property fmtid="{D5CDD505-2E9C-101B-9397-08002B2CF9AE}" pid="25" name="Mendeley Citation Style_1">
    <vt:lpwstr>http://www.zotero.org/styles/chicago-author-date</vt:lpwstr>
  </property>
</Properties>
</file>